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231A" w14:textId="453DA396" w:rsidR="00CF14BF" w:rsidRPr="001B4CA2" w:rsidRDefault="00FD27DD" w:rsidP="00CF14BF">
      <w:pPr>
        <w:widowControl w:val="0"/>
        <w:tabs>
          <w:tab w:val="left" w:pos="9072"/>
        </w:tabs>
        <w:jc w:val="center"/>
        <w:rPr>
          <w:rFonts w:eastAsia="Times New Roman"/>
          <w:snapToGrid w:val="0"/>
          <w:szCs w:val="20"/>
        </w:rPr>
      </w:pPr>
      <w:r w:rsidRPr="001B4CA2">
        <w:rPr>
          <w:noProof/>
          <w:sz w:val="18"/>
          <w:szCs w:val="18"/>
          <w:lang w:eastAsia="hr-HR"/>
        </w:rPr>
        <w:drawing>
          <wp:inline distT="0" distB="0" distL="0" distR="0" wp14:anchorId="68B98CE7" wp14:editId="2C34E14D">
            <wp:extent cx="584206" cy="663262"/>
            <wp:effectExtent l="0" t="0" r="6350" b="3810"/>
            <wp:docPr id="9" name="Picture 1" descr="h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171" cy="666628"/>
                    </a:xfrm>
                    <a:prstGeom prst="rect">
                      <a:avLst/>
                    </a:prstGeom>
                    <a:noFill/>
                    <a:ln>
                      <a:noFill/>
                    </a:ln>
                  </pic:spPr>
                </pic:pic>
              </a:graphicData>
            </a:graphic>
          </wp:inline>
        </w:drawing>
      </w:r>
    </w:p>
    <w:p w14:paraId="2CF4A46C" w14:textId="77777777" w:rsidR="00FD27DD" w:rsidRPr="001B4CA2" w:rsidRDefault="00FD27DD" w:rsidP="00CF14BF">
      <w:pPr>
        <w:widowControl w:val="0"/>
        <w:tabs>
          <w:tab w:val="left" w:pos="9072"/>
        </w:tabs>
        <w:jc w:val="center"/>
        <w:rPr>
          <w:rFonts w:eastAsia="Times New Roman"/>
          <w:snapToGrid w:val="0"/>
          <w:szCs w:val="20"/>
        </w:rPr>
      </w:pPr>
    </w:p>
    <w:p w14:paraId="36467576" w14:textId="77777777" w:rsidR="00CF14BF" w:rsidRPr="001B4CA2" w:rsidRDefault="00CF14BF" w:rsidP="00CF14BF">
      <w:pPr>
        <w:widowControl w:val="0"/>
        <w:tabs>
          <w:tab w:val="center" w:pos="2608"/>
          <w:tab w:val="left" w:pos="9072"/>
        </w:tabs>
        <w:jc w:val="center"/>
        <w:rPr>
          <w:rFonts w:eastAsia="Times New Roman"/>
          <w:b/>
          <w:snapToGrid w:val="0"/>
          <w:sz w:val="28"/>
          <w:szCs w:val="28"/>
        </w:rPr>
      </w:pPr>
      <w:r w:rsidRPr="001B4CA2">
        <w:rPr>
          <w:rFonts w:eastAsia="Times New Roman"/>
          <w:b/>
          <w:snapToGrid w:val="0"/>
          <w:sz w:val="28"/>
          <w:szCs w:val="28"/>
        </w:rPr>
        <w:t>REPUBLIKA</w:t>
      </w:r>
      <w:r w:rsidRPr="001B4CA2">
        <w:rPr>
          <w:rFonts w:eastAsia="Times New Roman"/>
          <w:snapToGrid w:val="0"/>
          <w:sz w:val="28"/>
          <w:szCs w:val="28"/>
        </w:rPr>
        <w:t xml:space="preserve"> </w:t>
      </w:r>
      <w:r w:rsidRPr="001B4CA2">
        <w:rPr>
          <w:rFonts w:eastAsia="Times New Roman"/>
          <w:b/>
          <w:snapToGrid w:val="0"/>
          <w:sz w:val="28"/>
          <w:szCs w:val="28"/>
        </w:rPr>
        <w:t>HRVATSKA</w:t>
      </w:r>
    </w:p>
    <w:p w14:paraId="4815019D" w14:textId="77777777" w:rsidR="00CF14BF" w:rsidRPr="001B4CA2" w:rsidRDefault="00CF14BF" w:rsidP="00CF14BF">
      <w:pPr>
        <w:widowControl w:val="0"/>
        <w:tabs>
          <w:tab w:val="left" w:pos="9072"/>
        </w:tabs>
        <w:jc w:val="center"/>
        <w:rPr>
          <w:rFonts w:eastAsia="Times New Roman"/>
          <w:b/>
          <w:snapToGrid w:val="0"/>
          <w:sz w:val="28"/>
          <w:szCs w:val="28"/>
        </w:rPr>
      </w:pPr>
      <w:r w:rsidRPr="001B4CA2">
        <w:rPr>
          <w:rFonts w:eastAsia="Times New Roman"/>
          <w:b/>
          <w:snapToGrid w:val="0"/>
          <w:sz w:val="28"/>
          <w:szCs w:val="28"/>
        </w:rPr>
        <w:t>DRŽAVNO ODVJETNIŠTVO REPUBLIKE HRVATSKE</w:t>
      </w:r>
    </w:p>
    <w:p w14:paraId="68EBC464" w14:textId="77777777" w:rsidR="00CF14BF" w:rsidRPr="001B4CA2" w:rsidRDefault="00CF14BF" w:rsidP="00CF14BF">
      <w:pPr>
        <w:tabs>
          <w:tab w:val="left" w:pos="6105"/>
          <w:tab w:val="left" w:pos="9072"/>
        </w:tabs>
        <w:jc w:val="center"/>
        <w:rPr>
          <w:sz w:val="28"/>
          <w:szCs w:val="28"/>
        </w:rPr>
      </w:pPr>
    </w:p>
    <w:p w14:paraId="37DA20CC" w14:textId="77777777" w:rsidR="00CF14BF" w:rsidRPr="001B4CA2" w:rsidRDefault="00CF14BF" w:rsidP="00CF14BF">
      <w:pPr>
        <w:tabs>
          <w:tab w:val="left" w:pos="6105"/>
          <w:tab w:val="left" w:pos="9072"/>
        </w:tabs>
        <w:jc w:val="center"/>
        <w:rPr>
          <w:b/>
        </w:rPr>
      </w:pPr>
    </w:p>
    <w:p w14:paraId="4628FE3D" w14:textId="77777777" w:rsidR="00CF14BF" w:rsidRPr="001B4CA2" w:rsidRDefault="00CF14BF" w:rsidP="00CF14BF">
      <w:pPr>
        <w:tabs>
          <w:tab w:val="left" w:pos="6105"/>
          <w:tab w:val="left" w:pos="9072"/>
        </w:tabs>
        <w:jc w:val="center"/>
        <w:rPr>
          <w:b/>
        </w:rPr>
      </w:pPr>
    </w:p>
    <w:p w14:paraId="2DAE329E" w14:textId="77777777" w:rsidR="00CF14BF" w:rsidRPr="001B4CA2" w:rsidRDefault="00CF14BF" w:rsidP="00CF14BF">
      <w:pPr>
        <w:tabs>
          <w:tab w:val="left" w:pos="6105"/>
          <w:tab w:val="left" w:pos="9072"/>
        </w:tabs>
        <w:jc w:val="center"/>
        <w:rPr>
          <w:b/>
        </w:rPr>
      </w:pPr>
    </w:p>
    <w:p w14:paraId="0ED8A3AE" w14:textId="77777777" w:rsidR="00CF14BF" w:rsidRPr="001B4CA2" w:rsidRDefault="00CF14BF" w:rsidP="00CF14BF">
      <w:pPr>
        <w:tabs>
          <w:tab w:val="left" w:pos="6105"/>
          <w:tab w:val="left" w:pos="9072"/>
        </w:tabs>
        <w:jc w:val="center"/>
        <w:rPr>
          <w:b/>
        </w:rPr>
      </w:pPr>
    </w:p>
    <w:p w14:paraId="280BFA3E" w14:textId="77777777" w:rsidR="00CF14BF" w:rsidRPr="001B4CA2" w:rsidRDefault="00CF14BF" w:rsidP="00CF14BF">
      <w:pPr>
        <w:tabs>
          <w:tab w:val="left" w:pos="6105"/>
          <w:tab w:val="left" w:pos="9072"/>
        </w:tabs>
        <w:jc w:val="center"/>
        <w:rPr>
          <w:b/>
        </w:rPr>
      </w:pPr>
    </w:p>
    <w:p w14:paraId="6E8BE08E" w14:textId="77777777" w:rsidR="00CF14BF" w:rsidRPr="001B4CA2" w:rsidRDefault="00CF14BF" w:rsidP="00CF14BF">
      <w:pPr>
        <w:tabs>
          <w:tab w:val="left" w:pos="6105"/>
          <w:tab w:val="left" w:pos="9072"/>
        </w:tabs>
        <w:jc w:val="center"/>
        <w:rPr>
          <w:b/>
        </w:rPr>
      </w:pPr>
    </w:p>
    <w:p w14:paraId="0732A518" w14:textId="77777777" w:rsidR="00CF14BF" w:rsidRPr="001B4CA2" w:rsidRDefault="00CF14BF" w:rsidP="00CF14BF">
      <w:pPr>
        <w:tabs>
          <w:tab w:val="left" w:pos="6105"/>
          <w:tab w:val="left" w:pos="9072"/>
        </w:tabs>
        <w:jc w:val="center"/>
        <w:rPr>
          <w:b/>
        </w:rPr>
      </w:pPr>
    </w:p>
    <w:p w14:paraId="48497523" w14:textId="77777777" w:rsidR="00CF14BF" w:rsidRPr="001B4CA2" w:rsidRDefault="00CF14BF" w:rsidP="00CF14BF">
      <w:pPr>
        <w:tabs>
          <w:tab w:val="left" w:pos="6105"/>
          <w:tab w:val="left" w:pos="9072"/>
        </w:tabs>
        <w:jc w:val="center"/>
        <w:rPr>
          <w:b/>
        </w:rPr>
      </w:pPr>
    </w:p>
    <w:p w14:paraId="451F9788" w14:textId="77777777" w:rsidR="00CF14BF" w:rsidRPr="001B4CA2" w:rsidRDefault="00CF14BF" w:rsidP="00CF14BF">
      <w:pPr>
        <w:tabs>
          <w:tab w:val="left" w:pos="6105"/>
          <w:tab w:val="left" w:pos="9072"/>
        </w:tabs>
        <w:jc w:val="center"/>
        <w:rPr>
          <w:b/>
        </w:rPr>
      </w:pPr>
    </w:p>
    <w:p w14:paraId="680528C0" w14:textId="77777777" w:rsidR="00CF14BF" w:rsidRPr="001B4CA2" w:rsidRDefault="00CF14BF" w:rsidP="00CF14BF">
      <w:pPr>
        <w:tabs>
          <w:tab w:val="left" w:pos="6105"/>
          <w:tab w:val="left" w:pos="9072"/>
        </w:tabs>
        <w:jc w:val="center"/>
        <w:rPr>
          <w:b/>
        </w:rPr>
      </w:pPr>
    </w:p>
    <w:p w14:paraId="03B40A1D" w14:textId="77777777" w:rsidR="00FD27DD" w:rsidRPr="001B4CA2" w:rsidRDefault="00FD27DD" w:rsidP="00CF14BF">
      <w:pPr>
        <w:tabs>
          <w:tab w:val="left" w:pos="6105"/>
          <w:tab w:val="left" w:pos="9072"/>
        </w:tabs>
        <w:jc w:val="center"/>
        <w:rPr>
          <w:b/>
        </w:rPr>
      </w:pPr>
    </w:p>
    <w:p w14:paraId="28F9409E" w14:textId="77777777" w:rsidR="00CF14BF" w:rsidRPr="001B4CA2" w:rsidRDefault="00CF14BF" w:rsidP="00CF14BF">
      <w:pPr>
        <w:tabs>
          <w:tab w:val="left" w:pos="6105"/>
          <w:tab w:val="left" w:pos="9072"/>
        </w:tabs>
        <w:jc w:val="center"/>
        <w:rPr>
          <w:b/>
        </w:rPr>
      </w:pPr>
    </w:p>
    <w:p w14:paraId="7D30B254" w14:textId="77777777" w:rsidR="00CF14BF" w:rsidRPr="001B4CA2" w:rsidRDefault="00CF14BF" w:rsidP="00CF14BF">
      <w:pPr>
        <w:tabs>
          <w:tab w:val="left" w:pos="6105"/>
          <w:tab w:val="left" w:pos="9072"/>
        </w:tabs>
        <w:jc w:val="center"/>
        <w:rPr>
          <w:b/>
        </w:rPr>
      </w:pPr>
    </w:p>
    <w:p w14:paraId="503644EA" w14:textId="77777777" w:rsidR="00CF14BF" w:rsidRPr="001B4CA2" w:rsidRDefault="00CF14BF" w:rsidP="00CF14BF">
      <w:pPr>
        <w:tabs>
          <w:tab w:val="left" w:pos="6105"/>
          <w:tab w:val="left" w:pos="9072"/>
        </w:tabs>
        <w:jc w:val="center"/>
        <w:rPr>
          <w:b/>
        </w:rPr>
      </w:pPr>
    </w:p>
    <w:p w14:paraId="6156FB02" w14:textId="56AE1794" w:rsidR="000D50AA" w:rsidRPr="001B4CA2" w:rsidRDefault="0031775F" w:rsidP="000D50AA">
      <w:pPr>
        <w:tabs>
          <w:tab w:val="left" w:pos="6105"/>
          <w:tab w:val="left" w:pos="9072"/>
        </w:tabs>
        <w:jc w:val="center"/>
        <w:rPr>
          <w:b/>
          <w:sz w:val="28"/>
          <w:szCs w:val="28"/>
        </w:rPr>
      </w:pPr>
      <w:r w:rsidRPr="001B4CA2">
        <w:rPr>
          <w:b/>
          <w:sz w:val="28"/>
          <w:szCs w:val="28"/>
        </w:rPr>
        <w:t>IZVJEŠĆE</w:t>
      </w:r>
    </w:p>
    <w:p w14:paraId="38E7F6AA" w14:textId="77777777" w:rsidR="00CF5961" w:rsidRPr="001B4CA2" w:rsidRDefault="00CF5961" w:rsidP="000D50AA">
      <w:pPr>
        <w:tabs>
          <w:tab w:val="left" w:pos="6105"/>
          <w:tab w:val="left" w:pos="9072"/>
        </w:tabs>
        <w:jc w:val="center"/>
        <w:rPr>
          <w:b/>
          <w:sz w:val="28"/>
          <w:szCs w:val="28"/>
        </w:rPr>
      </w:pPr>
    </w:p>
    <w:p w14:paraId="50579D1C" w14:textId="08F198E9" w:rsidR="000D50AA" w:rsidRPr="001B4CA2" w:rsidRDefault="000D50AA" w:rsidP="000D50AA">
      <w:pPr>
        <w:tabs>
          <w:tab w:val="left" w:pos="6105"/>
          <w:tab w:val="left" w:pos="9072"/>
        </w:tabs>
        <w:jc w:val="center"/>
        <w:rPr>
          <w:b/>
          <w:sz w:val="28"/>
          <w:szCs w:val="28"/>
        </w:rPr>
      </w:pPr>
      <w:r w:rsidRPr="001B4CA2">
        <w:rPr>
          <w:b/>
          <w:sz w:val="28"/>
          <w:szCs w:val="28"/>
        </w:rPr>
        <w:t>GLAVNOG DRŽAVNOG ODVJETNIKA REPUBLIKE HRVATSKE</w:t>
      </w:r>
    </w:p>
    <w:p w14:paraId="4C3311F0" w14:textId="756D4EB6" w:rsidR="000D50AA" w:rsidRPr="001B4CA2" w:rsidRDefault="00E23BCA" w:rsidP="000D50AA">
      <w:pPr>
        <w:tabs>
          <w:tab w:val="left" w:pos="6105"/>
          <w:tab w:val="left" w:pos="9072"/>
        </w:tabs>
        <w:jc w:val="center"/>
        <w:rPr>
          <w:b/>
          <w:sz w:val="28"/>
          <w:szCs w:val="28"/>
        </w:rPr>
      </w:pPr>
      <w:r w:rsidRPr="001B4CA2">
        <w:rPr>
          <w:b/>
          <w:sz w:val="28"/>
          <w:szCs w:val="28"/>
        </w:rPr>
        <w:t>O RADU DRŽAVNIH ODVJETNIŠTAVA</w:t>
      </w:r>
    </w:p>
    <w:p w14:paraId="5E440B10" w14:textId="77777777" w:rsidR="000D50AA" w:rsidRPr="001B4CA2" w:rsidRDefault="000D50AA" w:rsidP="000D50AA">
      <w:pPr>
        <w:tabs>
          <w:tab w:val="left" w:pos="6105"/>
          <w:tab w:val="left" w:pos="9072"/>
        </w:tabs>
        <w:jc w:val="center"/>
        <w:rPr>
          <w:sz w:val="28"/>
          <w:szCs w:val="28"/>
        </w:rPr>
      </w:pPr>
    </w:p>
    <w:p w14:paraId="73694DB6" w14:textId="60C09183" w:rsidR="000D50AA" w:rsidRPr="001B4CA2" w:rsidRDefault="000D50AA" w:rsidP="000D50AA">
      <w:pPr>
        <w:tabs>
          <w:tab w:val="left" w:pos="6105"/>
          <w:tab w:val="left" w:pos="9072"/>
        </w:tabs>
        <w:jc w:val="center"/>
        <w:rPr>
          <w:b/>
          <w:sz w:val="28"/>
          <w:szCs w:val="28"/>
        </w:rPr>
      </w:pPr>
      <w:r w:rsidRPr="001B4CA2">
        <w:rPr>
          <w:b/>
          <w:sz w:val="28"/>
          <w:szCs w:val="28"/>
        </w:rPr>
        <w:t>u 202</w:t>
      </w:r>
      <w:r w:rsidR="00D75A10" w:rsidRPr="001B4CA2">
        <w:rPr>
          <w:b/>
          <w:sz w:val="28"/>
          <w:szCs w:val="28"/>
        </w:rPr>
        <w:t>2</w:t>
      </w:r>
      <w:r w:rsidRPr="001B4CA2">
        <w:rPr>
          <w:b/>
          <w:sz w:val="28"/>
          <w:szCs w:val="28"/>
        </w:rPr>
        <w:t>. godini</w:t>
      </w:r>
    </w:p>
    <w:p w14:paraId="0A3D25C6" w14:textId="77777777" w:rsidR="00CF14BF" w:rsidRPr="001B4CA2" w:rsidRDefault="00CF14BF" w:rsidP="00CF14BF">
      <w:pPr>
        <w:widowControl w:val="0"/>
        <w:tabs>
          <w:tab w:val="left" w:pos="9072"/>
        </w:tabs>
        <w:autoSpaceDE w:val="0"/>
        <w:autoSpaceDN w:val="0"/>
        <w:adjustRightInd w:val="0"/>
        <w:jc w:val="center"/>
        <w:rPr>
          <w:b/>
        </w:rPr>
      </w:pPr>
    </w:p>
    <w:p w14:paraId="1F166330" w14:textId="77777777" w:rsidR="00CF5961" w:rsidRPr="001B4CA2" w:rsidRDefault="00CF5961" w:rsidP="00CF14BF">
      <w:pPr>
        <w:widowControl w:val="0"/>
        <w:tabs>
          <w:tab w:val="left" w:pos="9072"/>
        </w:tabs>
        <w:autoSpaceDE w:val="0"/>
        <w:autoSpaceDN w:val="0"/>
        <w:adjustRightInd w:val="0"/>
        <w:jc w:val="center"/>
        <w:rPr>
          <w:b/>
        </w:rPr>
      </w:pPr>
    </w:p>
    <w:p w14:paraId="66DED859" w14:textId="77777777" w:rsidR="00CF14BF" w:rsidRPr="001B4CA2" w:rsidRDefault="00CF14BF" w:rsidP="00CF14BF">
      <w:pPr>
        <w:widowControl w:val="0"/>
        <w:tabs>
          <w:tab w:val="left" w:pos="9072"/>
        </w:tabs>
        <w:autoSpaceDE w:val="0"/>
        <w:autoSpaceDN w:val="0"/>
        <w:adjustRightInd w:val="0"/>
        <w:jc w:val="center"/>
        <w:rPr>
          <w:b/>
        </w:rPr>
      </w:pPr>
    </w:p>
    <w:p w14:paraId="0E1EA9BF" w14:textId="77777777" w:rsidR="00CF14BF" w:rsidRPr="001B4CA2" w:rsidRDefault="00CF14BF" w:rsidP="00CF14BF">
      <w:pPr>
        <w:widowControl w:val="0"/>
        <w:tabs>
          <w:tab w:val="left" w:pos="9072"/>
        </w:tabs>
        <w:autoSpaceDE w:val="0"/>
        <w:autoSpaceDN w:val="0"/>
        <w:adjustRightInd w:val="0"/>
        <w:jc w:val="center"/>
        <w:rPr>
          <w:b/>
        </w:rPr>
      </w:pPr>
    </w:p>
    <w:p w14:paraId="4962CEF1" w14:textId="77777777" w:rsidR="00CF14BF" w:rsidRPr="001B4CA2" w:rsidRDefault="00CF14BF" w:rsidP="00CF14BF">
      <w:pPr>
        <w:widowControl w:val="0"/>
        <w:tabs>
          <w:tab w:val="left" w:pos="9072"/>
        </w:tabs>
        <w:autoSpaceDE w:val="0"/>
        <w:autoSpaceDN w:val="0"/>
        <w:adjustRightInd w:val="0"/>
        <w:jc w:val="center"/>
        <w:rPr>
          <w:b/>
        </w:rPr>
      </w:pPr>
    </w:p>
    <w:p w14:paraId="56D42D8A" w14:textId="77777777" w:rsidR="005C789D" w:rsidRPr="001B4CA2" w:rsidRDefault="005C789D" w:rsidP="00CF14BF">
      <w:pPr>
        <w:widowControl w:val="0"/>
        <w:tabs>
          <w:tab w:val="left" w:pos="9072"/>
        </w:tabs>
        <w:autoSpaceDE w:val="0"/>
        <w:autoSpaceDN w:val="0"/>
        <w:adjustRightInd w:val="0"/>
        <w:jc w:val="center"/>
        <w:rPr>
          <w:b/>
        </w:rPr>
      </w:pPr>
    </w:p>
    <w:p w14:paraId="4D455B5B" w14:textId="77777777" w:rsidR="00A1378A" w:rsidRPr="001B4CA2" w:rsidRDefault="00A1378A" w:rsidP="00CF14BF">
      <w:pPr>
        <w:widowControl w:val="0"/>
        <w:tabs>
          <w:tab w:val="left" w:pos="9072"/>
        </w:tabs>
        <w:autoSpaceDE w:val="0"/>
        <w:autoSpaceDN w:val="0"/>
        <w:adjustRightInd w:val="0"/>
        <w:jc w:val="center"/>
        <w:rPr>
          <w:b/>
        </w:rPr>
      </w:pPr>
    </w:p>
    <w:p w14:paraId="78CE8FCA" w14:textId="77777777" w:rsidR="00A1378A" w:rsidRPr="001B4CA2" w:rsidRDefault="00A1378A" w:rsidP="00875AD7">
      <w:pPr>
        <w:widowControl w:val="0"/>
        <w:tabs>
          <w:tab w:val="left" w:pos="9072"/>
        </w:tabs>
        <w:autoSpaceDE w:val="0"/>
        <w:autoSpaceDN w:val="0"/>
        <w:adjustRightInd w:val="0"/>
        <w:jc w:val="center"/>
        <w:rPr>
          <w:b/>
        </w:rPr>
      </w:pPr>
    </w:p>
    <w:p w14:paraId="6EA9C31F" w14:textId="77777777" w:rsidR="00CF14BF" w:rsidRPr="001B4CA2" w:rsidRDefault="00CF14BF" w:rsidP="00875AD7">
      <w:pPr>
        <w:widowControl w:val="0"/>
        <w:tabs>
          <w:tab w:val="left" w:pos="9072"/>
        </w:tabs>
        <w:autoSpaceDE w:val="0"/>
        <w:autoSpaceDN w:val="0"/>
        <w:adjustRightInd w:val="0"/>
        <w:jc w:val="center"/>
        <w:rPr>
          <w:b/>
        </w:rPr>
      </w:pPr>
    </w:p>
    <w:p w14:paraId="1DCF7D90" w14:textId="77777777" w:rsidR="00A1378A" w:rsidRPr="001B4CA2" w:rsidRDefault="00A1378A" w:rsidP="00875AD7">
      <w:pPr>
        <w:widowControl w:val="0"/>
        <w:tabs>
          <w:tab w:val="left" w:pos="9072"/>
        </w:tabs>
        <w:autoSpaceDE w:val="0"/>
        <w:autoSpaceDN w:val="0"/>
        <w:adjustRightInd w:val="0"/>
        <w:jc w:val="center"/>
        <w:rPr>
          <w:b/>
        </w:rPr>
      </w:pPr>
    </w:p>
    <w:p w14:paraId="3C10BCB4" w14:textId="77777777" w:rsidR="00A1378A" w:rsidRPr="001B4CA2" w:rsidRDefault="00A1378A" w:rsidP="00875AD7">
      <w:pPr>
        <w:widowControl w:val="0"/>
        <w:tabs>
          <w:tab w:val="left" w:pos="9072"/>
        </w:tabs>
        <w:autoSpaceDE w:val="0"/>
        <w:autoSpaceDN w:val="0"/>
        <w:adjustRightInd w:val="0"/>
        <w:jc w:val="center"/>
        <w:rPr>
          <w:b/>
        </w:rPr>
      </w:pPr>
    </w:p>
    <w:p w14:paraId="6924127D" w14:textId="77777777" w:rsidR="00A1378A" w:rsidRPr="001B4CA2" w:rsidRDefault="00A1378A" w:rsidP="00875AD7">
      <w:pPr>
        <w:widowControl w:val="0"/>
        <w:tabs>
          <w:tab w:val="left" w:pos="9072"/>
        </w:tabs>
        <w:autoSpaceDE w:val="0"/>
        <w:autoSpaceDN w:val="0"/>
        <w:adjustRightInd w:val="0"/>
        <w:jc w:val="center"/>
        <w:rPr>
          <w:b/>
        </w:rPr>
      </w:pPr>
    </w:p>
    <w:p w14:paraId="27E64218" w14:textId="77777777" w:rsidR="00A1378A" w:rsidRPr="001B4CA2" w:rsidRDefault="00A1378A" w:rsidP="00875AD7">
      <w:pPr>
        <w:widowControl w:val="0"/>
        <w:tabs>
          <w:tab w:val="left" w:pos="9072"/>
        </w:tabs>
        <w:autoSpaceDE w:val="0"/>
        <w:autoSpaceDN w:val="0"/>
        <w:adjustRightInd w:val="0"/>
        <w:jc w:val="center"/>
        <w:rPr>
          <w:b/>
        </w:rPr>
      </w:pPr>
    </w:p>
    <w:p w14:paraId="47824FC9" w14:textId="77777777" w:rsidR="00A1378A" w:rsidRPr="001B4CA2" w:rsidRDefault="00A1378A" w:rsidP="00875AD7">
      <w:pPr>
        <w:widowControl w:val="0"/>
        <w:tabs>
          <w:tab w:val="left" w:pos="9072"/>
        </w:tabs>
        <w:autoSpaceDE w:val="0"/>
        <w:autoSpaceDN w:val="0"/>
        <w:adjustRightInd w:val="0"/>
        <w:jc w:val="center"/>
        <w:rPr>
          <w:b/>
        </w:rPr>
      </w:pPr>
    </w:p>
    <w:p w14:paraId="15E37D33" w14:textId="77777777" w:rsidR="00462422" w:rsidRPr="001B4CA2" w:rsidRDefault="00462422" w:rsidP="00875AD7">
      <w:pPr>
        <w:widowControl w:val="0"/>
        <w:tabs>
          <w:tab w:val="left" w:pos="9072"/>
        </w:tabs>
        <w:autoSpaceDE w:val="0"/>
        <w:autoSpaceDN w:val="0"/>
        <w:adjustRightInd w:val="0"/>
        <w:jc w:val="center"/>
        <w:rPr>
          <w:b/>
        </w:rPr>
      </w:pPr>
    </w:p>
    <w:p w14:paraId="2727EAC7" w14:textId="1D982587" w:rsidR="00462422" w:rsidRPr="001B4CA2" w:rsidRDefault="00462422" w:rsidP="00462422">
      <w:pPr>
        <w:keepNext/>
        <w:keepLines/>
        <w:tabs>
          <w:tab w:val="left" w:pos="9072"/>
        </w:tabs>
        <w:spacing w:before="240" w:line="276" w:lineRule="auto"/>
        <w:jc w:val="center"/>
        <w:rPr>
          <w:rFonts w:eastAsiaTheme="majorEastAsia"/>
          <w:b/>
          <w:bCs/>
          <w:sz w:val="28"/>
          <w:szCs w:val="28"/>
          <w:lang w:eastAsia="hr-HR"/>
        </w:rPr>
      </w:pPr>
      <w:r w:rsidRPr="001B4CA2">
        <w:rPr>
          <w:rFonts w:eastAsiaTheme="majorEastAsia"/>
          <w:b/>
          <w:bCs/>
          <w:lang w:eastAsia="hr-HR"/>
        </w:rPr>
        <w:t>Zagreb, travanj 202</w:t>
      </w:r>
      <w:r w:rsidR="00D75A10" w:rsidRPr="001B4CA2">
        <w:rPr>
          <w:rFonts w:eastAsiaTheme="majorEastAsia"/>
          <w:b/>
          <w:bCs/>
          <w:lang w:eastAsia="hr-HR"/>
        </w:rPr>
        <w:t>3</w:t>
      </w:r>
      <w:r w:rsidRPr="001B4CA2">
        <w:rPr>
          <w:rFonts w:eastAsiaTheme="majorEastAsia"/>
          <w:b/>
          <w:bCs/>
          <w:lang w:eastAsia="hr-HR"/>
        </w:rPr>
        <w:t>.</w:t>
      </w:r>
    </w:p>
    <w:p w14:paraId="777480C7" w14:textId="77777777" w:rsidR="00CF14BF" w:rsidRPr="001B4CA2" w:rsidRDefault="00CF14BF" w:rsidP="00CF14BF">
      <w:pPr>
        <w:widowControl w:val="0"/>
        <w:tabs>
          <w:tab w:val="left" w:pos="9072"/>
        </w:tabs>
        <w:autoSpaceDE w:val="0"/>
        <w:autoSpaceDN w:val="0"/>
        <w:adjustRightInd w:val="0"/>
        <w:jc w:val="center"/>
        <w:rPr>
          <w:b/>
        </w:rPr>
      </w:pPr>
      <w:r w:rsidRPr="001B4CA2">
        <w:rPr>
          <w:b/>
        </w:rPr>
        <w:t>____________________________________________</w:t>
      </w:r>
    </w:p>
    <w:p w14:paraId="41668AB1" w14:textId="77777777" w:rsidR="00462422" w:rsidRPr="001B4CA2" w:rsidRDefault="00462422" w:rsidP="00462422">
      <w:pPr>
        <w:widowControl w:val="0"/>
        <w:tabs>
          <w:tab w:val="left" w:pos="9072"/>
        </w:tabs>
        <w:autoSpaceDE w:val="0"/>
        <w:autoSpaceDN w:val="0"/>
        <w:adjustRightInd w:val="0"/>
        <w:jc w:val="center"/>
        <w:rPr>
          <w:b/>
        </w:rPr>
      </w:pPr>
    </w:p>
    <w:p w14:paraId="6F50353C" w14:textId="393F461F" w:rsidR="00462422" w:rsidRPr="001B4CA2" w:rsidRDefault="00EF2A8C" w:rsidP="00462422">
      <w:pPr>
        <w:widowControl w:val="0"/>
        <w:tabs>
          <w:tab w:val="left" w:pos="9072"/>
        </w:tabs>
        <w:autoSpaceDE w:val="0"/>
        <w:autoSpaceDN w:val="0"/>
        <w:adjustRightInd w:val="0"/>
        <w:jc w:val="center"/>
        <w:rPr>
          <w:b/>
        </w:rPr>
      </w:pPr>
      <w:r w:rsidRPr="001B4CA2">
        <w:rPr>
          <w:b/>
        </w:rPr>
        <w:t>Lektura: Institut za hrvatski jezik i jezikoslovlje</w:t>
      </w:r>
    </w:p>
    <w:p w14:paraId="4B71E801" w14:textId="77777777" w:rsidR="00EF2A8C" w:rsidRPr="001B4CA2" w:rsidRDefault="00EF2A8C" w:rsidP="00462422">
      <w:pPr>
        <w:widowControl w:val="0"/>
        <w:tabs>
          <w:tab w:val="left" w:pos="9072"/>
        </w:tabs>
        <w:autoSpaceDE w:val="0"/>
        <w:autoSpaceDN w:val="0"/>
        <w:adjustRightInd w:val="0"/>
        <w:jc w:val="center"/>
        <w:rPr>
          <w:b/>
        </w:rPr>
      </w:pPr>
    </w:p>
    <w:p w14:paraId="5029A5F6" w14:textId="77777777" w:rsidR="00BB4D48" w:rsidRPr="001B4CA2" w:rsidRDefault="00BB4D48" w:rsidP="00F868B4">
      <w:pPr>
        <w:jc w:val="center"/>
        <w:rPr>
          <w:b/>
        </w:rPr>
      </w:pPr>
      <w:r w:rsidRPr="001B4CA2">
        <w:rPr>
          <w:b/>
        </w:rPr>
        <w:lastRenderedPageBreak/>
        <w:t>SADRŽAJ</w:t>
      </w:r>
    </w:p>
    <w:p w14:paraId="68D0BA7D" w14:textId="59139B58" w:rsidR="00BB4D48" w:rsidRPr="001B4CA2" w:rsidRDefault="00174E62" w:rsidP="00F868B4">
      <w:pPr>
        <w:jc w:val="center"/>
        <w:rPr>
          <w:b/>
        </w:rPr>
      </w:pPr>
      <w:r w:rsidRPr="001B4CA2">
        <w:rPr>
          <w:b/>
        </w:rPr>
        <w:t>IZVJEŠĆA GLAVNOG</w:t>
      </w:r>
      <w:r w:rsidR="00F065AE" w:rsidRPr="001B4CA2">
        <w:rPr>
          <w:b/>
        </w:rPr>
        <w:t>A</w:t>
      </w:r>
      <w:r w:rsidRPr="001B4CA2">
        <w:rPr>
          <w:b/>
        </w:rPr>
        <w:t xml:space="preserve"> DRŽAVNOG ODVJETNIKA</w:t>
      </w:r>
      <w:r w:rsidR="00BB4D48" w:rsidRPr="001B4CA2">
        <w:rPr>
          <w:b/>
        </w:rPr>
        <w:t xml:space="preserve"> RH</w:t>
      </w:r>
    </w:p>
    <w:p w14:paraId="1CCC63E4" w14:textId="77777777" w:rsidR="00AC30B7" w:rsidRPr="001B4CA2" w:rsidRDefault="00AC30B7" w:rsidP="007558E4">
      <w:pPr>
        <w:rPr>
          <w:b/>
        </w:rPr>
      </w:pPr>
    </w:p>
    <w:p w14:paraId="77EB591A" w14:textId="77777777" w:rsidR="00D2012D" w:rsidRPr="001B4CA2" w:rsidRDefault="00D2012D" w:rsidP="000C43D0"/>
    <w:p w14:paraId="2A8F2B5F" w14:textId="74F0875C" w:rsidR="00806AE8" w:rsidRPr="001B4CA2" w:rsidRDefault="001B29A5" w:rsidP="007558E4">
      <w:pPr>
        <w:ind w:left="426"/>
      </w:pPr>
      <w:r w:rsidRPr="001B4CA2">
        <w:t>UVOD</w:t>
      </w:r>
      <w:r w:rsidR="00CE6656" w:rsidRPr="001B4CA2">
        <w:t>NE NAPOMENE</w:t>
      </w:r>
      <w:r w:rsidRPr="001B4CA2">
        <w:t>…………………………………………………………………</w:t>
      </w:r>
      <w:r w:rsidR="005C789D" w:rsidRPr="001B4CA2">
        <w:t>8</w:t>
      </w:r>
    </w:p>
    <w:p w14:paraId="504A806F" w14:textId="77777777" w:rsidR="000C43D0" w:rsidRPr="001B4CA2" w:rsidRDefault="000C43D0" w:rsidP="00886E1C"/>
    <w:p w14:paraId="45676492" w14:textId="3371390A" w:rsidR="00B06098" w:rsidRDefault="00806AE8">
      <w:pPr>
        <w:pStyle w:val="Sadraj1"/>
        <w:tabs>
          <w:tab w:val="left" w:pos="440"/>
          <w:tab w:val="right" w:leader="dot" w:pos="9062"/>
        </w:tabs>
        <w:rPr>
          <w:rFonts w:asciiTheme="minorHAnsi" w:eastAsiaTheme="minorEastAsia" w:hAnsiTheme="minorHAnsi" w:cstheme="minorBidi"/>
          <w:noProof/>
          <w:sz w:val="22"/>
          <w:szCs w:val="22"/>
          <w:lang w:eastAsia="hr-HR"/>
        </w:rPr>
      </w:pPr>
      <w:r w:rsidRPr="001B4CA2">
        <w:fldChar w:fldCharType="begin"/>
      </w:r>
      <w:r w:rsidRPr="001B4CA2">
        <w:instrText xml:space="preserve"> TOC \o "1-5" \h \z \u </w:instrText>
      </w:r>
      <w:r w:rsidRPr="001B4CA2">
        <w:fldChar w:fldCharType="separate"/>
      </w:r>
      <w:hyperlink w:anchor="_Toc133394264" w:history="1">
        <w:r w:rsidR="00B06098" w:rsidRPr="00670870">
          <w:rPr>
            <w:rStyle w:val="Hiperveza"/>
            <w:noProof/>
          </w:rPr>
          <w:t>I.</w:t>
        </w:r>
        <w:r w:rsidR="00B06098">
          <w:rPr>
            <w:rFonts w:asciiTheme="minorHAnsi" w:eastAsiaTheme="minorEastAsia" w:hAnsiTheme="minorHAnsi" w:cstheme="minorBidi"/>
            <w:noProof/>
            <w:sz w:val="22"/>
            <w:szCs w:val="22"/>
            <w:lang w:eastAsia="hr-HR"/>
          </w:rPr>
          <w:tab/>
        </w:r>
        <w:r w:rsidR="00B06098" w:rsidRPr="00670870">
          <w:rPr>
            <w:rStyle w:val="Hiperveza"/>
            <w:noProof/>
          </w:rPr>
          <w:t>PRIKAZ USTROJSTVA I RADA DRŽAVNIH ODVJETNIŠTAVA ZA 2022. GODINU</w:t>
        </w:r>
        <w:r w:rsidR="00B06098">
          <w:rPr>
            <w:noProof/>
            <w:webHidden/>
          </w:rPr>
          <w:tab/>
        </w:r>
        <w:r w:rsidR="00B06098">
          <w:rPr>
            <w:noProof/>
            <w:webHidden/>
          </w:rPr>
          <w:fldChar w:fldCharType="begin"/>
        </w:r>
        <w:r w:rsidR="00B06098">
          <w:rPr>
            <w:noProof/>
            <w:webHidden/>
          </w:rPr>
          <w:instrText xml:space="preserve"> PAGEREF _Toc133394264 \h </w:instrText>
        </w:r>
        <w:r w:rsidR="00B06098">
          <w:rPr>
            <w:noProof/>
            <w:webHidden/>
          </w:rPr>
        </w:r>
        <w:r w:rsidR="00B06098">
          <w:rPr>
            <w:noProof/>
            <w:webHidden/>
          </w:rPr>
          <w:fldChar w:fldCharType="separate"/>
        </w:r>
        <w:r w:rsidR="00B06098">
          <w:rPr>
            <w:noProof/>
            <w:webHidden/>
          </w:rPr>
          <w:t>9</w:t>
        </w:r>
        <w:r w:rsidR="00B06098">
          <w:rPr>
            <w:noProof/>
            <w:webHidden/>
          </w:rPr>
          <w:fldChar w:fldCharType="end"/>
        </w:r>
      </w:hyperlink>
    </w:p>
    <w:p w14:paraId="2A8A13FA" w14:textId="47973FA8" w:rsidR="00B06098" w:rsidRDefault="00B06098">
      <w:pPr>
        <w:pStyle w:val="Sadraj2"/>
        <w:tabs>
          <w:tab w:val="left" w:pos="660"/>
          <w:tab w:val="right" w:leader="dot" w:pos="9062"/>
        </w:tabs>
        <w:rPr>
          <w:rFonts w:asciiTheme="minorHAnsi" w:eastAsiaTheme="minorEastAsia" w:hAnsiTheme="minorHAnsi" w:cstheme="minorBidi"/>
          <w:noProof/>
          <w:sz w:val="22"/>
          <w:szCs w:val="22"/>
          <w:lang w:eastAsia="hr-HR"/>
        </w:rPr>
      </w:pPr>
      <w:hyperlink w:anchor="_Toc133394265" w:history="1">
        <w:r w:rsidRPr="00670870">
          <w:rPr>
            <w:rStyle w:val="Hiperveza"/>
            <w:noProof/>
          </w:rPr>
          <w:t>1.</w:t>
        </w:r>
        <w:r>
          <w:rPr>
            <w:rFonts w:asciiTheme="minorHAnsi" w:eastAsiaTheme="minorEastAsia" w:hAnsiTheme="minorHAnsi" w:cstheme="minorBidi"/>
            <w:noProof/>
            <w:sz w:val="22"/>
            <w:szCs w:val="22"/>
            <w:lang w:eastAsia="hr-HR"/>
          </w:rPr>
          <w:tab/>
        </w:r>
        <w:r w:rsidRPr="00670870">
          <w:rPr>
            <w:rStyle w:val="Hiperveza"/>
            <w:noProof/>
          </w:rPr>
          <w:t>Opći podatci o ustrojstvu državnoga odvjetništva i ljudskim potencijalima</w:t>
        </w:r>
        <w:r>
          <w:rPr>
            <w:noProof/>
            <w:webHidden/>
          </w:rPr>
          <w:tab/>
        </w:r>
        <w:r>
          <w:rPr>
            <w:noProof/>
            <w:webHidden/>
          </w:rPr>
          <w:fldChar w:fldCharType="begin"/>
        </w:r>
        <w:r>
          <w:rPr>
            <w:noProof/>
            <w:webHidden/>
          </w:rPr>
          <w:instrText xml:space="preserve"> PAGEREF _Toc133394265 \h </w:instrText>
        </w:r>
        <w:r>
          <w:rPr>
            <w:noProof/>
            <w:webHidden/>
          </w:rPr>
        </w:r>
        <w:r>
          <w:rPr>
            <w:noProof/>
            <w:webHidden/>
          </w:rPr>
          <w:fldChar w:fldCharType="separate"/>
        </w:r>
        <w:r>
          <w:rPr>
            <w:noProof/>
            <w:webHidden/>
          </w:rPr>
          <w:t>9</w:t>
        </w:r>
        <w:r>
          <w:rPr>
            <w:noProof/>
            <w:webHidden/>
          </w:rPr>
          <w:fldChar w:fldCharType="end"/>
        </w:r>
      </w:hyperlink>
    </w:p>
    <w:p w14:paraId="0E2D169F" w14:textId="258AFC4A"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66" w:history="1">
        <w:r w:rsidRPr="00670870">
          <w:rPr>
            <w:rStyle w:val="Hiperveza"/>
            <w:noProof/>
          </w:rPr>
          <w:t>1.1.</w:t>
        </w:r>
        <w:r>
          <w:rPr>
            <w:rFonts w:asciiTheme="minorHAnsi" w:eastAsiaTheme="minorEastAsia" w:hAnsiTheme="minorHAnsi" w:cstheme="minorBidi"/>
            <w:noProof/>
            <w:sz w:val="22"/>
            <w:szCs w:val="22"/>
            <w:lang w:eastAsia="hr-HR"/>
          </w:rPr>
          <w:tab/>
        </w:r>
        <w:r w:rsidRPr="00670870">
          <w:rPr>
            <w:rStyle w:val="Hiperveza"/>
            <w:noProof/>
          </w:rPr>
          <w:t>Broj državnih odvjetništava na dan 31. prosinca 2022.</w:t>
        </w:r>
        <w:r>
          <w:rPr>
            <w:noProof/>
            <w:webHidden/>
          </w:rPr>
          <w:tab/>
        </w:r>
        <w:r>
          <w:rPr>
            <w:noProof/>
            <w:webHidden/>
          </w:rPr>
          <w:fldChar w:fldCharType="begin"/>
        </w:r>
        <w:r>
          <w:rPr>
            <w:noProof/>
            <w:webHidden/>
          </w:rPr>
          <w:instrText xml:space="preserve"> PAGEREF _Toc133394266 \h </w:instrText>
        </w:r>
        <w:r>
          <w:rPr>
            <w:noProof/>
            <w:webHidden/>
          </w:rPr>
        </w:r>
        <w:r>
          <w:rPr>
            <w:noProof/>
            <w:webHidden/>
          </w:rPr>
          <w:fldChar w:fldCharType="separate"/>
        </w:r>
        <w:r>
          <w:rPr>
            <w:noProof/>
            <w:webHidden/>
          </w:rPr>
          <w:t>9</w:t>
        </w:r>
        <w:r>
          <w:rPr>
            <w:noProof/>
            <w:webHidden/>
          </w:rPr>
          <w:fldChar w:fldCharType="end"/>
        </w:r>
      </w:hyperlink>
    </w:p>
    <w:p w14:paraId="72C97919" w14:textId="79CA1C1E"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67" w:history="1">
        <w:r w:rsidRPr="00670870">
          <w:rPr>
            <w:rStyle w:val="Hiperveza"/>
            <w:noProof/>
          </w:rPr>
          <w:t>1.2.</w:t>
        </w:r>
        <w:r>
          <w:rPr>
            <w:rFonts w:asciiTheme="minorHAnsi" w:eastAsiaTheme="minorEastAsia" w:hAnsiTheme="minorHAnsi" w:cstheme="minorBidi"/>
            <w:noProof/>
            <w:sz w:val="22"/>
            <w:szCs w:val="22"/>
            <w:lang w:eastAsia="hr-HR"/>
          </w:rPr>
          <w:tab/>
        </w:r>
        <w:r w:rsidRPr="00670870">
          <w:rPr>
            <w:rStyle w:val="Hiperveza"/>
            <w:noProof/>
          </w:rPr>
          <w:t>Brojno stanje kadrova u državnim odvjetništvima na dan 31. prosinca 2022.</w:t>
        </w:r>
        <w:r>
          <w:rPr>
            <w:noProof/>
            <w:webHidden/>
          </w:rPr>
          <w:tab/>
        </w:r>
        <w:r>
          <w:rPr>
            <w:noProof/>
            <w:webHidden/>
          </w:rPr>
          <w:tab/>
        </w:r>
        <w:r>
          <w:rPr>
            <w:noProof/>
            <w:webHidden/>
          </w:rPr>
          <w:fldChar w:fldCharType="begin"/>
        </w:r>
        <w:r>
          <w:rPr>
            <w:noProof/>
            <w:webHidden/>
          </w:rPr>
          <w:instrText xml:space="preserve"> PAGEREF _Toc133394267 \h </w:instrText>
        </w:r>
        <w:r>
          <w:rPr>
            <w:noProof/>
            <w:webHidden/>
          </w:rPr>
        </w:r>
        <w:r>
          <w:rPr>
            <w:noProof/>
            <w:webHidden/>
          </w:rPr>
          <w:fldChar w:fldCharType="separate"/>
        </w:r>
        <w:r>
          <w:rPr>
            <w:noProof/>
            <w:webHidden/>
          </w:rPr>
          <w:t>10</w:t>
        </w:r>
        <w:r>
          <w:rPr>
            <w:noProof/>
            <w:webHidden/>
          </w:rPr>
          <w:fldChar w:fldCharType="end"/>
        </w:r>
      </w:hyperlink>
    </w:p>
    <w:p w14:paraId="36379BC9" w14:textId="4EAFA15C"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68" w:history="1">
        <w:r w:rsidRPr="00670870">
          <w:rPr>
            <w:rStyle w:val="Hiperveza"/>
            <w:noProof/>
          </w:rPr>
          <w:t>1.3.</w:t>
        </w:r>
        <w:r>
          <w:rPr>
            <w:rFonts w:asciiTheme="minorHAnsi" w:eastAsiaTheme="minorEastAsia" w:hAnsiTheme="minorHAnsi" w:cstheme="minorBidi"/>
            <w:noProof/>
            <w:sz w:val="22"/>
            <w:szCs w:val="22"/>
            <w:lang w:eastAsia="hr-HR"/>
          </w:rPr>
          <w:tab/>
        </w:r>
        <w:r w:rsidRPr="00670870">
          <w:rPr>
            <w:rStyle w:val="Hiperveza"/>
            <w:noProof/>
          </w:rPr>
          <w:t>Obrazovanje i stručno usavršavanje</w:t>
        </w:r>
        <w:r>
          <w:rPr>
            <w:noProof/>
            <w:webHidden/>
          </w:rPr>
          <w:tab/>
        </w:r>
        <w:r>
          <w:rPr>
            <w:noProof/>
            <w:webHidden/>
          </w:rPr>
          <w:fldChar w:fldCharType="begin"/>
        </w:r>
        <w:r>
          <w:rPr>
            <w:noProof/>
            <w:webHidden/>
          </w:rPr>
          <w:instrText xml:space="preserve"> PAGEREF _Toc133394268 \h </w:instrText>
        </w:r>
        <w:r>
          <w:rPr>
            <w:noProof/>
            <w:webHidden/>
          </w:rPr>
        </w:r>
        <w:r>
          <w:rPr>
            <w:noProof/>
            <w:webHidden/>
          </w:rPr>
          <w:fldChar w:fldCharType="separate"/>
        </w:r>
        <w:r>
          <w:rPr>
            <w:noProof/>
            <w:webHidden/>
          </w:rPr>
          <w:t>12</w:t>
        </w:r>
        <w:r>
          <w:rPr>
            <w:noProof/>
            <w:webHidden/>
          </w:rPr>
          <w:fldChar w:fldCharType="end"/>
        </w:r>
      </w:hyperlink>
    </w:p>
    <w:p w14:paraId="0E60307C" w14:textId="4375AFE2" w:rsidR="00B06098" w:rsidRDefault="00B06098">
      <w:pPr>
        <w:pStyle w:val="Sadraj2"/>
        <w:tabs>
          <w:tab w:val="left" w:pos="660"/>
          <w:tab w:val="right" w:leader="dot" w:pos="9062"/>
        </w:tabs>
        <w:rPr>
          <w:rFonts w:asciiTheme="minorHAnsi" w:eastAsiaTheme="minorEastAsia" w:hAnsiTheme="minorHAnsi" w:cstheme="minorBidi"/>
          <w:noProof/>
          <w:sz w:val="22"/>
          <w:szCs w:val="22"/>
          <w:lang w:eastAsia="hr-HR"/>
        </w:rPr>
      </w:pPr>
      <w:hyperlink w:anchor="_Toc133394269" w:history="1">
        <w:r w:rsidRPr="00670870">
          <w:rPr>
            <w:rStyle w:val="Hiperveza"/>
            <w:noProof/>
          </w:rPr>
          <w:t>2.</w:t>
        </w:r>
        <w:r>
          <w:rPr>
            <w:rFonts w:asciiTheme="minorHAnsi" w:eastAsiaTheme="minorEastAsia" w:hAnsiTheme="minorHAnsi" w:cstheme="minorBidi"/>
            <w:noProof/>
            <w:sz w:val="22"/>
            <w:szCs w:val="22"/>
            <w:lang w:eastAsia="hr-HR"/>
          </w:rPr>
          <w:tab/>
        </w:r>
        <w:r w:rsidRPr="00670870">
          <w:rPr>
            <w:rStyle w:val="Hiperveza"/>
            <w:noProof/>
          </w:rPr>
          <w:t>Zbirni podatci o kretanju predmeta u državnim odvjetništvima i pokazatelji uspješnosti rada na predmetima</w:t>
        </w:r>
        <w:r>
          <w:rPr>
            <w:noProof/>
            <w:webHidden/>
          </w:rPr>
          <w:tab/>
        </w:r>
        <w:r>
          <w:rPr>
            <w:noProof/>
            <w:webHidden/>
          </w:rPr>
          <w:fldChar w:fldCharType="begin"/>
        </w:r>
        <w:r>
          <w:rPr>
            <w:noProof/>
            <w:webHidden/>
          </w:rPr>
          <w:instrText xml:space="preserve"> PAGEREF _Toc133394269 \h </w:instrText>
        </w:r>
        <w:r>
          <w:rPr>
            <w:noProof/>
            <w:webHidden/>
          </w:rPr>
        </w:r>
        <w:r>
          <w:rPr>
            <w:noProof/>
            <w:webHidden/>
          </w:rPr>
          <w:fldChar w:fldCharType="separate"/>
        </w:r>
        <w:r>
          <w:rPr>
            <w:noProof/>
            <w:webHidden/>
          </w:rPr>
          <w:t>14</w:t>
        </w:r>
        <w:r>
          <w:rPr>
            <w:noProof/>
            <w:webHidden/>
          </w:rPr>
          <w:fldChar w:fldCharType="end"/>
        </w:r>
      </w:hyperlink>
    </w:p>
    <w:p w14:paraId="1B30BCF2" w14:textId="5B5D3B9E" w:rsidR="00B06098" w:rsidRDefault="00B06098">
      <w:pPr>
        <w:pStyle w:val="Sadraj2"/>
        <w:tabs>
          <w:tab w:val="left" w:pos="660"/>
          <w:tab w:val="right" w:leader="dot" w:pos="9062"/>
        </w:tabs>
        <w:rPr>
          <w:rFonts w:asciiTheme="minorHAnsi" w:eastAsiaTheme="minorEastAsia" w:hAnsiTheme="minorHAnsi" w:cstheme="minorBidi"/>
          <w:noProof/>
          <w:sz w:val="22"/>
          <w:szCs w:val="22"/>
          <w:lang w:eastAsia="hr-HR"/>
        </w:rPr>
      </w:pPr>
      <w:hyperlink w:anchor="_Toc133394270" w:history="1">
        <w:r w:rsidRPr="00670870">
          <w:rPr>
            <w:rStyle w:val="Hiperveza"/>
            <w:noProof/>
          </w:rPr>
          <w:t>3.</w:t>
        </w:r>
        <w:r>
          <w:rPr>
            <w:rFonts w:asciiTheme="minorHAnsi" w:eastAsiaTheme="minorEastAsia" w:hAnsiTheme="minorHAnsi" w:cstheme="minorBidi"/>
            <w:noProof/>
            <w:sz w:val="22"/>
            <w:szCs w:val="22"/>
            <w:lang w:eastAsia="hr-HR"/>
          </w:rPr>
          <w:tab/>
        </w:r>
        <w:r w:rsidRPr="00670870">
          <w:rPr>
            <w:rStyle w:val="Hiperveza"/>
            <w:noProof/>
          </w:rPr>
          <w:t>Pregled kretanja predmeta i indikatora uspješnosti po razinama državnih odvjetništava i vrsti predmeta</w:t>
        </w:r>
        <w:r>
          <w:rPr>
            <w:noProof/>
            <w:webHidden/>
          </w:rPr>
          <w:tab/>
        </w:r>
        <w:r>
          <w:rPr>
            <w:noProof/>
            <w:webHidden/>
          </w:rPr>
          <w:fldChar w:fldCharType="begin"/>
        </w:r>
        <w:r>
          <w:rPr>
            <w:noProof/>
            <w:webHidden/>
          </w:rPr>
          <w:instrText xml:space="preserve"> PAGEREF _Toc133394270 \h </w:instrText>
        </w:r>
        <w:r>
          <w:rPr>
            <w:noProof/>
            <w:webHidden/>
          </w:rPr>
        </w:r>
        <w:r>
          <w:rPr>
            <w:noProof/>
            <w:webHidden/>
          </w:rPr>
          <w:fldChar w:fldCharType="separate"/>
        </w:r>
        <w:r>
          <w:rPr>
            <w:noProof/>
            <w:webHidden/>
          </w:rPr>
          <w:t>17</w:t>
        </w:r>
        <w:r>
          <w:rPr>
            <w:noProof/>
            <w:webHidden/>
          </w:rPr>
          <w:fldChar w:fldCharType="end"/>
        </w:r>
      </w:hyperlink>
    </w:p>
    <w:p w14:paraId="37CD56B9" w14:textId="74ACF2BF"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71" w:history="1">
        <w:r w:rsidRPr="00670870">
          <w:rPr>
            <w:rStyle w:val="Hiperveza"/>
            <w:noProof/>
          </w:rPr>
          <w:t>3.1.</w:t>
        </w:r>
        <w:r>
          <w:rPr>
            <w:rFonts w:asciiTheme="minorHAnsi" w:eastAsiaTheme="minorEastAsia" w:hAnsiTheme="minorHAnsi" w:cstheme="minorBidi"/>
            <w:noProof/>
            <w:sz w:val="22"/>
            <w:szCs w:val="22"/>
            <w:lang w:eastAsia="hr-HR"/>
          </w:rPr>
          <w:tab/>
        </w:r>
        <w:r w:rsidRPr="00670870">
          <w:rPr>
            <w:rStyle w:val="Hiperveza"/>
            <w:noProof/>
          </w:rPr>
          <w:t>Opći pregled kretanja predmeta po razinama državnih odvjetništava</w:t>
        </w:r>
        <w:r>
          <w:rPr>
            <w:noProof/>
            <w:webHidden/>
          </w:rPr>
          <w:tab/>
        </w:r>
        <w:r>
          <w:rPr>
            <w:noProof/>
            <w:webHidden/>
          </w:rPr>
          <w:fldChar w:fldCharType="begin"/>
        </w:r>
        <w:r>
          <w:rPr>
            <w:noProof/>
            <w:webHidden/>
          </w:rPr>
          <w:instrText xml:space="preserve"> PAGEREF _Toc133394271 \h </w:instrText>
        </w:r>
        <w:r>
          <w:rPr>
            <w:noProof/>
            <w:webHidden/>
          </w:rPr>
        </w:r>
        <w:r>
          <w:rPr>
            <w:noProof/>
            <w:webHidden/>
          </w:rPr>
          <w:fldChar w:fldCharType="separate"/>
        </w:r>
        <w:r>
          <w:rPr>
            <w:noProof/>
            <w:webHidden/>
          </w:rPr>
          <w:t>17</w:t>
        </w:r>
        <w:r>
          <w:rPr>
            <w:noProof/>
            <w:webHidden/>
          </w:rPr>
          <w:fldChar w:fldCharType="end"/>
        </w:r>
      </w:hyperlink>
    </w:p>
    <w:p w14:paraId="5B84C3A2" w14:textId="03FAC075"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72" w:history="1">
        <w:r w:rsidRPr="00670870">
          <w:rPr>
            <w:rStyle w:val="Hiperveza"/>
            <w:noProof/>
          </w:rPr>
          <w:t>3.2.</w:t>
        </w:r>
        <w:r>
          <w:rPr>
            <w:rFonts w:asciiTheme="minorHAnsi" w:eastAsiaTheme="minorEastAsia" w:hAnsiTheme="minorHAnsi" w:cstheme="minorBidi"/>
            <w:noProof/>
            <w:sz w:val="22"/>
            <w:szCs w:val="22"/>
            <w:lang w:eastAsia="hr-HR"/>
          </w:rPr>
          <w:tab/>
        </w:r>
        <w:r w:rsidRPr="00670870">
          <w:rPr>
            <w:rStyle w:val="Hiperveza"/>
            <w:noProof/>
          </w:rPr>
          <w:t>Pregled kretanja predmeta po godinama i po vrsti predmeta u državnom  odvjetništvu</w:t>
        </w:r>
        <w:r>
          <w:rPr>
            <w:noProof/>
            <w:webHidden/>
          </w:rPr>
          <w:tab/>
        </w:r>
        <w:r>
          <w:rPr>
            <w:noProof/>
            <w:webHidden/>
          </w:rPr>
          <w:fldChar w:fldCharType="begin"/>
        </w:r>
        <w:r>
          <w:rPr>
            <w:noProof/>
            <w:webHidden/>
          </w:rPr>
          <w:instrText xml:space="preserve"> PAGEREF _Toc133394272 \h </w:instrText>
        </w:r>
        <w:r>
          <w:rPr>
            <w:noProof/>
            <w:webHidden/>
          </w:rPr>
        </w:r>
        <w:r>
          <w:rPr>
            <w:noProof/>
            <w:webHidden/>
          </w:rPr>
          <w:fldChar w:fldCharType="separate"/>
        </w:r>
        <w:r>
          <w:rPr>
            <w:noProof/>
            <w:webHidden/>
          </w:rPr>
          <w:t>19</w:t>
        </w:r>
        <w:r>
          <w:rPr>
            <w:noProof/>
            <w:webHidden/>
          </w:rPr>
          <w:fldChar w:fldCharType="end"/>
        </w:r>
      </w:hyperlink>
    </w:p>
    <w:p w14:paraId="0F52022F" w14:textId="7F710FAF"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73" w:history="1">
        <w:r w:rsidRPr="00670870">
          <w:rPr>
            <w:rStyle w:val="Hiperveza"/>
            <w:noProof/>
          </w:rPr>
          <w:t>3.3.</w:t>
        </w:r>
        <w:r>
          <w:rPr>
            <w:rFonts w:asciiTheme="minorHAnsi" w:eastAsiaTheme="minorEastAsia" w:hAnsiTheme="minorHAnsi" w:cstheme="minorBidi"/>
            <w:noProof/>
            <w:sz w:val="22"/>
            <w:szCs w:val="22"/>
            <w:lang w:eastAsia="hr-HR"/>
          </w:rPr>
          <w:tab/>
        </w:r>
        <w:r w:rsidRPr="00670870">
          <w:rPr>
            <w:rStyle w:val="Hiperveza"/>
            <w:noProof/>
          </w:rPr>
          <w:t>Pregled kretanja riješenih i neriješenih predmeta po godinama</w:t>
        </w:r>
        <w:r>
          <w:rPr>
            <w:noProof/>
            <w:webHidden/>
          </w:rPr>
          <w:tab/>
        </w:r>
        <w:r>
          <w:rPr>
            <w:noProof/>
            <w:webHidden/>
          </w:rPr>
          <w:fldChar w:fldCharType="begin"/>
        </w:r>
        <w:r>
          <w:rPr>
            <w:noProof/>
            <w:webHidden/>
          </w:rPr>
          <w:instrText xml:space="preserve"> PAGEREF _Toc133394273 \h </w:instrText>
        </w:r>
        <w:r>
          <w:rPr>
            <w:noProof/>
            <w:webHidden/>
          </w:rPr>
        </w:r>
        <w:r>
          <w:rPr>
            <w:noProof/>
            <w:webHidden/>
          </w:rPr>
          <w:fldChar w:fldCharType="separate"/>
        </w:r>
        <w:r>
          <w:rPr>
            <w:noProof/>
            <w:webHidden/>
          </w:rPr>
          <w:t>22</w:t>
        </w:r>
        <w:r>
          <w:rPr>
            <w:noProof/>
            <w:webHidden/>
          </w:rPr>
          <w:fldChar w:fldCharType="end"/>
        </w:r>
      </w:hyperlink>
    </w:p>
    <w:p w14:paraId="582A80DE" w14:textId="52ADF375" w:rsidR="00B06098" w:rsidRDefault="00B06098">
      <w:pPr>
        <w:pStyle w:val="Sadraj2"/>
        <w:tabs>
          <w:tab w:val="left" w:pos="660"/>
          <w:tab w:val="right" w:leader="dot" w:pos="9062"/>
        </w:tabs>
        <w:rPr>
          <w:rFonts w:asciiTheme="minorHAnsi" w:eastAsiaTheme="minorEastAsia" w:hAnsiTheme="minorHAnsi" w:cstheme="minorBidi"/>
          <w:noProof/>
          <w:sz w:val="22"/>
          <w:szCs w:val="22"/>
          <w:lang w:eastAsia="hr-HR"/>
        </w:rPr>
      </w:pPr>
      <w:hyperlink w:anchor="_Toc133394274" w:history="1">
        <w:r w:rsidRPr="00670870">
          <w:rPr>
            <w:rStyle w:val="Hiperveza"/>
            <w:noProof/>
          </w:rPr>
          <w:t>4.</w:t>
        </w:r>
        <w:r>
          <w:rPr>
            <w:rFonts w:asciiTheme="minorHAnsi" w:eastAsiaTheme="minorEastAsia" w:hAnsiTheme="minorHAnsi" w:cstheme="minorBidi"/>
            <w:noProof/>
            <w:sz w:val="22"/>
            <w:szCs w:val="22"/>
            <w:lang w:eastAsia="hr-HR"/>
          </w:rPr>
          <w:tab/>
        </w:r>
        <w:r w:rsidRPr="00670870">
          <w:rPr>
            <w:rStyle w:val="Hiperveza"/>
            <w:noProof/>
          </w:rPr>
          <w:t>Podatci o kretanju predmeta općinskih državnih odvjetništava</w:t>
        </w:r>
        <w:r>
          <w:rPr>
            <w:noProof/>
            <w:webHidden/>
          </w:rPr>
          <w:tab/>
        </w:r>
        <w:r>
          <w:rPr>
            <w:noProof/>
            <w:webHidden/>
          </w:rPr>
          <w:fldChar w:fldCharType="begin"/>
        </w:r>
        <w:r>
          <w:rPr>
            <w:noProof/>
            <w:webHidden/>
          </w:rPr>
          <w:instrText xml:space="preserve"> PAGEREF _Toc133394274 \h </w:instrText>
        </w:r>
        <w:r>
          <w:rPr>
            <w:noProof/>
            <w:webHidden/>
          </w:rPr>
        </w:r>
        <w:r>
          <w:rPr>
            <w:noProof/>
            <w:webHidden/>
          </w:rPr>
          <w:fldChar w:fldCharType="separate"/>
        </w:r>
        <w:r>
          <w:rPr>
            <w:noProof/>
            <w:webHidden/>
          </w:rPr>
          <w:t>25</w:t>
        </w:r>
        <w:r>
          <w:rPr>
            <w:noProof/>
            <w:webHidden/>
          </w:rPr>
          <w:fldChar w:fldCharType="end"/>
        </w:r>
      </w:hyperlink>
    </w:p>
    <w:p w14:paraId="719E9C89" w14:textId="5448E3C0"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75" w:history="1">
        <w:r w:rsidRPr="00670870">
          <w:rPr>
            <w:rStyle w:val="Hiperveza"/>
            <w:noProof/>
          </w:rPr>
          <w:t>4.1.</w:t>
        </w:r>
        <w:r>
          <w:rPr>
            <w:rFonts w:asciiTheme="minorHAnsi" w:eastAsiaTheme="minorEastAsia" w:hAnsiTheme="minorHAnsi" w:cstheme="minorBidi"/>
            <w:noProof/>
            <w:sz w:val="22"/>
            <w:szCs w:val="22"/>
            <w:lang w:eastAsia="hr-HR"/>
          </w:rPr>
          <w:tab/>
        </w:r>
        <w:r w:rsidRPr="00670870">
          <w:rPr>
            <w:rStyle w:val="Hiperveza"/>
            <w:noProof/>
          </w:rPr>
          <w:t>Opći pregled kretanja predmeta</w:t>
        </w:r>
        <w:r>
          <w:rPr>
            <w:noProof/>
            <w:webHidden/>
          </w:rPr>
          <w:tab/>
        </w:r>
        <w:r>
          <w:rPr>
            <w:noProof/>
            <w:webHidden/>
          </w:rPr>
          <w:fldChar w:fldCharType="begin"/>
        </w:r>
        <w:r>
          <w:rPr>
            <w:noProof/>
            <w:webHidden/>
          </w:rPr>
          <w:instrText xml:space="preserve"> PAGEREF _Toc133394275 \h </w:instrText>
        </w:r>
        <w:r>
          <w:rPr>
            <w:noProof/>
            <w:webHidden/>
          </w:rPr>
        </w:r>
        <w:r>
          <w:rPr>
            <w:noProof/>
            <w:webHidden/>
          </w:rPr>
          <w:fldChar w:fldCharType="separate"/>
        </w:r>
        <w:r>
          <w:rPr>
            <w:noProof/>
            <w:webHidden/>
          </w:rPr>
          <w:t>25</w:t>
        </w:r>
        <w:r>
          <w:rPr>
            <w:noProof/>
            <w:webHidden/>
          </w:rPr>
          <w:fldChar w:fldCharType="end"/>
        </w:r>
      </w:hyperlink>
    </w:p>
    <w:p w14:paraId="6CE83671" w14:textId="1D8F4B31"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76" w:history="1">
        <w:r w:rsidRPr="00670870">
          <w:rPr>
            <w:rStyle w:val="Hiperveza"/>
            <w:noProof/>
          </w:rPr>
          <w:t>4.2.</w:t>
        </w:r>
        <w:r>
          <w:rPr>
            <w:rFonts w:asciiTheme="minorHAnsi" w:eastAsiaTheme="minorEastAsia" w:hAnsiTheme="minorHAnsi" w:cstheme="minorBidi"/>
            <w:noProof/>
            <w:sz w:val="22"/>
            <w:szCs w:val="22"/>
            <w:lang w:eastAsia="hr-HR"/>
          </w:rPr>
          <w:tab/>
        </w:r>
        <w:r w:rsidRPr="00670870">
          <w:rPr>
            <w:rStyle w:val="Hiperveza"/>
            <w:noProof/>
          </w:rPr>
          <w:t>Pregled kretanja predmeta za 2022. godinu s pokazateljima po vrstama predmeta</w:t>
        </w:r>
        <w:r>
          <w:rPr>
            <w:noProof/>
            <w:webHidden/>
          </w:rPr>
          <w:tab/>
        </w:r>
        <w:r>
          <w:rPr>
            <w:noProof/>
            <w:webHidden/>
          </w:rPr>
          <w:fldChar w:fldCharType="begin"/>
        </w:r>
        <w:r>
          <w:rPr>
            <w:noProof/>
            <w:webHidden/>
          </w:rPr>
          <w:instrText xml:space="preserve"> PAGEREF _Toc133394276 \h </w:instrText>
        </w:r>
        <w:r>
          <w:rPr>
            <w:noProof/>
            <w:webHidden/>
          </w:rPr>
        </w:r>
        <w:r>
          <w:rPr>
            <w:noProof/>
            <w:webHidden/>
          </w:rPr>
          <w:fldChar w:fldCharType="separate"/>
        </w:r>
        <w:r>
          <w:rPr>
            <w:noProof/>
            <w:webHidden/>
          </w:rPr>
          <w:t>27</w:t>
        </w:r>
        <w:r>
          <w:rPr>
            <w:noProof/>
            <w:webHidden/>
          </w:rPr>
          <w:fldChar w:fldCharType="end"/>
        </w:r>
      </w:hyperlink>
    </w:p>
    <w:p w14:paraId="237D84DD" w14:textId="28FD3761"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77" w:history="1">
        <w:r w:rsidRPr="00670870">
          <w:rPr>
            <w:rStyle w:val="Hiperveza"/>
            <w:noProof/>
          </w:rPr>
          <w:t>4.3.</w:t>
        </w:r>
        <w:r>
          <w:rPr>
            <w:rFonts w:asciiTheme="minorHAnsi" w:eastAsiaTheme="minorEastAsia" w:hAnsiTheme="minorHAnsi" w:cstheme="minorBidi"/>
            <w:noProof/>
            <w:sz w:val="22"/>
            <w:szCs w:val="22"/>
            <w:lang w:eastAsia="hr-HR"/>
          </w:rPr>
          <w:tab/>
        </w:r>
        <w:r w:rsidRPr="00670870">
          <w:rPr>
            <w:rStyle w:val="Hiperveza"/>
            <w:noProof/>
          </w:rPr>
          <w:t>Pregled kretanja predmeta na općinskim državnim odvjetništvima u 2022. godini – pojedinačno</w:t>
        </w:r>
        <w:r>
          <w:rPr>
            <w:noProof/>
            <w:webHidden/>
          </w:rPr>
          <w:tab/>
        </w:r>
        <w:r>
          <w:rPr>
            <w:noProof/>
            <w:webHidden/>
          </w:rPr>
          <w:fldChar w:fldCharType="begin"/>
        </w:r>
        <w:r>
          <w:rPr>
            <w:noProof/>
            <w:webHidden/>
          </w:rPr>
          <w:instrText xml:space="preserve"> PAGEREF _Toc133394277 \h </w:instrText>
        </w:r>
        <w:r>
          <w:rPr>
            <w:noProof/>
            <w:webHidden/>
          </w:rPr>
        </w:r>
        <w:r>
          <w:rPr>
            <w:noProof/>
            <w:webHidden/>
          </w:rPr>
          <w:fldChar w:fldCharType="separate"/>
        </w:r>
        <w:r>
          <w:rPr>
            <w:noProof/>
            <w:webHidden/>
          </w:rPr>
          <w:t>28</w:t>
        </w:r>
        <w:r>
          <w:rPr>
            <w:noProof/>
            <w:webHidden/>
          </w:rPr>
          <w:fldChar w:fldCharType="end"/>
        </w:r>
      </w:hyperlink>
    </w:p>
    <w:p w14:paraId="215ED6D9" w14:textId="24A27511" w:rsidR="00B06098" w:rsidRDefault="00B06098">
      <w:pPr>
        <w:pStyle w:val="Sadraj2"/>
        <w:tabs>
          <w:tab w:val="left" w:pos="660"/>
          <w:tab w:val="right" w:leader="dot" w:pos="9062"/>
        </w:tabs>
        <w:rPr>
          <w:rFonts w:asciiTheme="minorHAnsi" w:eastAsiaTheme="minorEastAsia" w:hAnsiTheme="minorHAnsi" w:cstheme="minorBidi"/>
          <w:noProof/>
          <w:sz w:val="22"/>
          <w:szCs w:val="22"/>
          <w:lang w:eastAsia="hr-HR"/>
        </w:rPr>
      </w:pPr>
      <w:hyperlink w:anchor="_Toc133394278" w:history="1">
        <w:r w:rsidRPr="00670870">
          <w:rPr>
            <w:rStyle w:val="Hiperveza"/>
            <w:noProof/>
          </w:rPr>
          <w:t>5.</w:t>
        </w:r>
        <w:r>
          <w:rPr>
            <w:rFonts w:asciiTheme="minorHAnsi" w:eastAsiaTheme="minorEastAsia" w:hAnsiTheme="minorHAnsi" w:cstheme="minorBidi"/>
            <w:noProof/>
            <w:sz w:val="22"/>
            <w:szCs w:val="22"/>
            <w:lang w:eastAsia="hr-HR"/>
          </w:rPr>
          <w:tab/>
        </w:r>
        <w:r w:rsidRPr="00670870">
          <w:rPr>
            <w:rStyle w:val="Hiperveza"/>
            <w:noProof/>
          </w:rPr>
          <w:t>Podatci o kretanju predmeta na županijskim državnim odvjetništvima</w:t>
        </w:r>
        <w:r>
          <w:rPr>
            <w:noProof/>
            <w:webHidden/>
          </w:rPr>
          <w:tab/>
        </w:r>
        <w:r>
          <w:rPr>
            <w:noProof/>
            <w:webHidden/>
          </w:rPr>
          <w:fldChar w:fldCharType="begin"/>
        </w:r>
        <w:r>
          <w:rPr>
            <w:noProof/>
            <w:webHidden/>
          </w:rPr>
          <w:instrText xml:space="preserve"> PAGEREF _Toc133394278 \h </w:instrText>
        </w:r>
        <w:r>
          <w:rPr>
            <w:noProof/>
            <w:webHidden/>
          </w:rPr>
        </w:r>
        <w:r>
          <w:rPr>
            <w:noProof/>
            <w:webHidden/>
          </w:rPr>
          <w:fldChar w:fldCharType="separate"/>
        </w:r>
        <w:r>
          <w:rPr>
            <w:noProof/>
            <w:webHidden/>
          </w:rPr>
          <w:t>30</w:t>
        </w:r>
        <w:r>
          <w:rPr>
            <w:noProof/>
            <w:webHidden/>
          </w:rPr>
          <w:fldChar w:fldCharType="end"/>
        </w:r>
      </w:hyperlink>
    </w:p>
    <w:p w14:paraId="4E64FE06" w14:textId="47621ED8"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79" w:history="1">
        <w:r w:rsidRPr="00670870">
          <w:rPr>
            <w:rStyle w:val="Hiperveza"/>
            <w:noProof/>
          </w:rPr>
          <w:t>5.1.</w:t>
        </w:r>
        <w:r>
          <w:rPr>
            <w:rFonts w:asciiTheme="minorHAnsi" w:eastAsiaTheme="minorEastAsia" w:hAnsiTheme="minorHAnsi" w:cstheme="minorBidi"/>
            <w:noProof/>
            <w:sz w:val="22"/>
            <w:szCs w:val="22"/>
            <w:lang w:eastAsia="hr-HR"/>
          </w:rPr>
          <w:tab/>
        </w:r>
        <w:r w:rsidRPr="00670870">
          <w:rPr>
            <w:rStyle w:val="Hiperveza"/>
            <w:noProof/>
          </w:rPr>
          <w:t>Opći pregled kretanja predmeta</w:t>
        </w:r>
        <w:r>
          <w:rPr>
            <w:noProof/>
            <w:webHidden/>
          </w:rPr>
          <w:tab/>
        </w:r>
        <w:r>
          <w:rPr>
            <w:noProof/>
            <w:webHidden/>
          </w:rPr>
          <w:fldChar w:fldCharType="begin"/>
        </w:r>
        <w:r>
          <w:rPr>
            <w:noProof/>
            <w:webHidden/>
          </w:rPr>
          <w:instrText xml:space="preserve"> PAGEREF _Toc133394279 \h </w:instrText>
        </w:r>
        <w:r>
          <w:rPr>
            <w:noProof/>
            <w:webHidden/>
          </w:rPr>
        </w:r>
        <w:r>
          <w:rPr>
            <w:noProof/>
            <w:webHidden/>
          </w:rPr>
          <w:fldChar w:fldCharType="separate"/>
        </w:r>
        <w:r>
          <w:rPr>
            <w:noProof/>
            <w:webHidden/>
          </w:rPr>
          <w:t>30</w:t>
        </w:r>
        <w:r>
          <w:rPr>
            <w:noProof/>
            <w:webHidden/>
          </w:rPr>
          <w:fldChar w:fldCharType="end"/>
        </w:r>
      </w:hyperlink>
    </w:p>
    <w:p w14:paraId="1372190E" w14:textId="1863F6D9"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80" w:history="1">
        <w:r w:rsidRPr="00670870">
          <w:rPr>
            <w:rStyle w:val="Hiperveza"/>
            <w:noProof/>
          </w:rPr>
          <w:t>5.2.</w:t>
        </w:r>
        <w:r>
          <w:rPr>
            <w:rFonts w:asciiTheme="minorHAnsi" w:eastAsiaTheme="minorEastAsia" w:hAnsiTheme="minorHAnsi" w:cstheme="minorBidi"/>
            <w:noProof/>
            <w:sz w:val="22"/>
            <w:szCs w:val="22"/>
            <w:lang w:eastAsia="hr-HR"/>
          </w:rPr>
          <w:tab/>
        </w:r>
        <w:r w:rsidRPr="00670870">
          <w:rPr>
            <w:rStyle w:val="Hiperveza"/>
            <w:noProof/>
          </w:rPr>
          <w:t>Pregled kretanja predmeta za 2022. godinu s pokazateljima po vrstama predmeta</w:t>
        </w:r>
        <w:r>
          <w:rPr>
            <w:noProof/>
            <w:webHidden/>
          </w:rPr>
          <w:tab/>
        </w:r>
        <w:r>
          <w:rPr>
            <w:noProof/>
            <w:webHidden/>
          </w:rPr>
          <w:fldChar w:fldCharType="begin"/>
        </w:r>
        <w:r>
          <w:rPr>
            <w:noProof/>
            <w:webHidden/>
          </w:rPr>
          <w:instrText xml:space="preserve"> PAGEREF _Toc133394280 \h </w:instrText>
        </w:r>
        <w:r>
          <w:rPr>
            <w:noProof/>
            <w:webHidden/>
          </w:rPr>
        </w:r>
        <w:r>
          <w:rPr>
            <w:noProof/>
            <w:webHidden/>
          </w:rPr>
          <w:fldChar w:fldCharType="separate"/>
        </w:r>
        <w:r>
          <w:rPr>
            <w:noProof/>
            <w:webHidden/>
          </w:rPr>
          <w:t>31</w:t>
        </w:r>
        <w:r>
          <w:rPr>
            <w:noProof/>
            <w:webHidden/>
          </w:rPr>
          <w:fldChar w:fldCharType="end"/>
        </w:r>
      </w:hyperlink>
    </w:p>
    <w:p w14:paraId="1B37DEA4" w14:textId="72C396D6"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81" w:history="1">
        <w:r w:rsidRPr="00670870">
          <w:rPr>
            <w:rStyle w:val="Hiperveza"/>
            <w:noProof/>
          </w:rPr>
          <w:t>5.3.</w:t>
        </w:r>
        <w:r>
          <w:rPr>
            <w:rFonts w:asciiTheme="minorHAnsi" w:eastAsiaTheme="minorEastAsia" w:hAnsiTheme="minorHAnsi" w:cstheme="minorBidi"/>
            <w:noProof/>
            <w:sz w:val="22"/>
            <w:szCs w:val="22"/>
            <w:lang w:eastAsia="hr-HR"/>
          </w:rPr>
          <w:tab/>
        </w:r>
        <w:r w:rsidRPr="00670870">
          <w:rPr>
            <w:rStyle w:val="Hiperveza"/>
            <w:noProof/>
          </w:rPr>
          <w:t>Pregled kretanja predmeta županijskih državnih odvjetništava u 2022. godini – pojedinačno</w:t>
        </w:r>
        <w:r>
          <w:rPr>
            <w:noProof/>
            <w:webHidden/>
          </w:rPr>
          <w:tab/>
        </w:r>
        <w:r>
          <w:rPr>
            <w:noProof/>
            <w:webHidden/>
          </w:rPr>
          <w:fldChar w:fldCharType="begin"/>
        </w:r>
        <w:r>
          <w:rPr>
            <w:noProof/>
            <w:webHidden/>
          </w:rPr>
          <w:instrText xml:space="preserve"> PAGEREF _Toc133394281 \h </w:instrText>
        </w:r>
        <w:r>
          <w:rPr>
            <w:noProof/>
            <w:webHidden/>
          </w:rPr>
        </w:r>
        <w:r>
          <w:rPr>
            <w:noProof/>
            <w:webHidden/>
          </w:rPr>
          <w:fldChar w:fldCharType="separate"/>
        </w:r>
        <w:r>
          <w:rPr>
            <w:noProof/>
            <w:webHidden/>
          </w:rPr>
          <w:t>32</w:t>
        </w:r>
        <w:r>
          <w:rPr>
            <w:noProof/>
            <w:webHidden/>
          </w:rPr>
          <w:fldChar w:fldCharType="end"/>
        </w:r>
      </w:hyperlink>
    </w:p>
    <w:p w14:paraId="49650807" w14:textId="6CF25C17" w:rsidR="00B06098" w:rsidRDefault="00B06098">
      <w:pPr>
        <w:pStyle w:val="Sadraj2"/>
        <w:tabs>
          <w:tab w:val="left" w:pos="660"/>
          <w:tab w:val="right" w:leader="dot" w:pos="9062"/>
        </w:tabs>
        <w:rPr>
          <w:rFonts w:asciiTheme="minorHAnsi" w:eastAsiaTheme="minorEastAsia" w:hAnsiTheme="minorHAnsi" w:cstheme="minorBidi"/>
          <w:noProof/>
          <w:sz w:val="22"/>
          <w:szCs w:val="22"/>
          <w:lang w:eastAsia="hr-HR"/>
        </w:rPr>
      </w:pPr>
      <w:hyperlink w:anchor="_Toc133394282" w:history="1">
        <w:r w:rsidRPr="00670870">
          <w:rPr>
            <w:rStyle w:val="Hiperveza"/>
            <w:noProof/>
          </w:rPr>
          <w:t>6.</w:t>
        </w:r>
        <w:r>
          <w:rPr>
            <w:rFonts w:asciiTheme="minorHAnsi" w:eastAsiaTheme="minorEastAsia" w:hAnsiTheme="minorHAnsi" w:cstheme="minorBidi"/>
            <w:noProof/>
            <w:sz w:val="22"/>
            <w:szCs w:val="22"/>
            <w:lang w:eastAsia="hr-HR"/>
          </w:rPr>
          <w:tab/>
        </w:r>
        <w:r w:rsidRPr="00670870">
          <w:rPr>
            <w:rStyle w:val="Hiperveza"/>
            <w:noProof/>
          </w:rPr>
          <w:t>Podatci o kretanju predmeta u Uredu za suzbijanje korupcije i organiziranoga kriminaliteta (USKOK)</w:t>
        </w:r>
        <w:r>
          <w:rPr>
            <w:noProof/>
            <w:webHidden/>
          </w:rPr>
          <w:tab/>
        </w:r>
        <w:r>
          <w:rPr>
            <w:noProof/>
            <w:webHidden/>
          </w:rPr>
          <w:fldChar w:fldCharType="begin"/>
        </w:r>
        <w:r>
          <w:rPr>
            <w:noProof/>
            <w:webHidden/>
          </w:rPr>
          <w:instrText xml:space="preserve"> PAGEREF _Toc133394282 \h </w:instrText>
        </w:r>
        <w:r>
          <w:rPr>
            <w:noProof/>
            <w:webHidden/>
          </w:rPr>
        </w:r>
        <w:r>
          <w:rPr>
            <w:noProof/>
            <w:webHidden/>
          </w:rPr>
          <w:fldChar w:fldCharType="separate"/>
        </w:r>
        <w:r>
          <w:rPr>
            <w:noProof/>
            <w:webHidden/>
          </w:rPr>
          <w:t>34</w:t>
        </w:r>
        <w:r>
          <w:rPr>
            <w:noProof/>
            <w:webHidden/>
          </w:rPr>
          <w:fldChar w:fldCharType="end"/>
        </w:r>
      </w:hyperlink>
    </w:p>
    <w:p w14:paraId="43F1D533" w14:textId="2AC8A66E"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83" w:history="1">
        <w:r w:rsidRPr="00670870">
          <w:rPr>
            <w:rStyle w:val="Hiperveza"/>
            <w:noProof/>
          </w:rPr>
          <w:t>6.1.</w:t>
        </w:r>
        <w:r>
          <w:rPr>
            <w:rFonts w:asciiTheme="minorHAnsi" w:eastAsiaTheme="minorEastAsia" w:hAnsiTheme="minorHAnsi" w:cstheme="minorBidi"/>
            <w:noProof/>
            <w:sz w:val="22"/>
            <w:szCs w:val="22"/>
            <w:lang w:eastAsia="hr-HR"/>
          </w:rPr>
          <w:tab/>
        </w:r>
        <w:r w:rsidRPr="00670870">
          <w:rPr>
            <w:rStyle w:val="Hiperveza"/>
            <w:noProof/>
          </w:rPr>
          <w:t>Opći pregled kretanja predmeta</w:t>
        </w:r>
        <w:r>
          <w:rPr>
            <w:noProof/>
            <w:webHidden/>
          </w:rPr>
          <w:tab/>
        </w:r>
        <w:r>
          <w:rPr>
            <w:noProof/>
            <w:webHidden/>
          </w:rPr>
          <w:fldChar w:fldCharType="begin"/>
        </w:r>
        <w:r>
          <w:rPr>
            <w:noProof/>
            <w:webHidden/>
          </w:rPr>
          <w:instrText xml:space="preserve"> PAGEREF _Toc133394283 \h </w:instrText>
        </w:r>
        <w:r>
          <w:rPr>
            <w:noProof/>
            <w:webHidden/>
          </w:rPr>
        </w:r>
        <w:r>
          <w:rPr>
            <w:noProof/>
            <w:webHidden/>
          </w:rPr>
          <w:fldChar w:fldCharType="separate"/>
        </w:r>
        <w:r>
          <w:rPr>
            <w:noProof/>
            <w:webHidden/>
          </w:rPr>
          <w:t>34</w:t>
        </w:r>
        <w:r>
          <w:rPr>
            <w:noProof/>
            <w:webHidden/>
          </w:rPr>
          <w:fldChar w:fldCharType="end"/>
        </w:r>
      </w:hyperlink>
    </w:p>
    <w:p w14:paraId="2F8CEB82" w14:textId="1A7000F5"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84" w:history="1">
        <w:r w:rsidRPr="00670870">
          <w:rPr>
            <w:rStyle w:val="Hiperveza"/>
            <w:noProof/>
          </w:rPr>
          <w:t>6.2.</w:t>
        </w:r>
        <w:r>
          <w:rPr>
            <w:rFonts w:asciiTheme="minorHAnsi" w:eastAsiaTheme="minorEastAsia" w:hAnsiTheme="minorHAnsi" w:cstheme="minorBidi"/>
            <w:noProof/>
            <w:sz w:val="22"/>
            <w:szCs w:val="22"/>
            <w:lang w:eastAsia="hr-HR"/>
          </w:rPr>
          <w:tab/>
        </w:r>
        <w:r w:rsidRPr="00670870">
          <w:rPr>
            <w:rStyle w:val="Hiperveza"/>
            <w:noProof/>
          </w:rPr>
          <w:t>Pregled kretanja predmeta za 2022. godinu s pokazateljima po vrstama predmeta</w:t>
        </w:r>
        <w:r>
          <w:rPr>
            <w:noProof/>
            <w:webHidden/>
          </w:rPr>
          <w:tab/>
        </w:r>
        <w:r>
          <w:rPr>
            <w:noProof/>
            <w:webHidden/>
          </w:rPr>
          <w:fldChar w:fldCharType="begin"/>
        </w:r>
        <w:r>
          <w:rPr>
            <w:noProof/>
            <w:webHidden/>
          </w:rPr>
          <w:instrText xml:space="preserve"> PAGEREF _Toc133394284 \h </w:instrText>
        </w:r>
        <w:r>
          <w:rPr>
            <w:noProof/>
            <w:webHidden/>
          </w:rPr>
        </w:r>
        <w:r>
          <w:rPr>
            <w:noProof/>
            <w:webHidden/>
          </w:rPr>
          <w:fldChar w:fldCharType="separate"/>
        </w:r>
        <w:r>
          <w:rPr>
            <w:noProof/>
            <w:webHidden/>
          </w:rPr>
          <w:t>35</w:t>
        </w:r>
        <w:r>
          <w:rPr>
            <w:noProof/>
            <w:webHidden/>
          </w:rPr>
          <w:fldChar w:fldCharType="end"/>
        </w:r>
      </w:hyperlink>
    </w:p>
    <w:p w14:paraId="4C3395DE" w14:textId="3C3004E1" w:rsidR="00B06098" w:rsidRDefault="00B06098">
      <w:pPr>
        <w:pStyle w:val="Sadraj2"/>
        <w:tabs>
          <w:tab w:val="left" w:pos="660"/>
          <w:tab w:val="right" w:leader="dot" w:pos="9062"/>
        </w:tabs>
        <w:rPr>
          <w:rFonts w:asciiTheme="minorHAnsi" w:eastAsiaTheme="minorEastAsia" w:hAnsiTheme="minorHAnsi" w:cstheme="minorBidi"/>
          <w:noProof/>
          <w:sz w:val="22"/>
          <w:szCs w:val="22"/>
          <w:lang w:eastAsia="hr-HR"/>
        </w:rPr>
      </w:pPr>
      <w:hyperlink w:anchor="_Toc133394285" w:history="1">
        <w:r w:rsidRPr="00670870">
          <w:rPr>
            <w:rStyle w:val="Hiperveza"/>
            <w:noProof/>
          </w:rPr>
          <w:t>7.</w:t>
        </w:r>
        <w:r>
          <w:rPr>
            <w:rFonts w:asciiTheme="minorHAnsi" w:eastAsiaTheme="minorEastAsia" w:hAnsiTheme="minorHAnsi" w:cstheme="minorBidi"/>
            <w:noProof/>
            <w:sz w:val="22"/>
            <w:szCs w:val="22"/>
            <w:lang w:eastAsia="hr-HR"/>
          </w:rPr>
          <w:tab/>
        </w:r>
        <w:r w:rsidRPr="00670870">
          <w:rPr>
            <w:rStyle w:val="Hiperveza"/>
            <w:noProof/>
          </w:rPr>
          <w:t>Podatci o kretanju predmeta Državnog odvjetništva Republike Hrvatske (DORH)</w:t>
        </w:r>
        <w:r>
          <w:rPr>
            <w:noProof/>
            <w:webHidden/>
          </w:rPr>
          <w:tab/>
        </w:r>
        <w:r>
          <w:rPr>
            <w:noProof/>
            <w:webHidden/>
          </w:rPr>
          <w:fldChar w:fldCharType="begin"/>
        </w:r>
        <w:r>
          <w:rPr>
            <w:noProof/>
            <w:webHidden/>
          </w:rPr>
          <w:instrText xml:space="preserve"> PAGEREF _Toc133394285 \h </w:instrText>
        </w:r>
        <w:r>
          <w:rPr>
            <w:noProof/>
            <w:webHidden/>
          </w:rPr>
        </w:r>
        <w:r>
          <w:rPr>
            <w:noProof/>
            <w:webHidden/>
          </w:rPr>
          <w:fldChar w:fldCharType="separate"/>
        </w:r>
        <w:r>
          <w:rPr>
            <w:noProof/>
            <w:webHidden/>
          </w:rPr>
          <w:t>35</w:t>
        </w:r>
        <w:r>
          <w:rPr>
            <w:noProof/>
            <w:webHidden/>
          </w:rPr>
          <w:fldChar w:fldCharType="end"/>
        </w:r>
      </w:hyperlink>
    </w:p>
    <w:p w14:paraId="720955F7" w14:textId="4B06DEEC"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86" w:history="1">
        <w:r w:rsidRPr="00670870">
          <w:rPr>
            <w:rStyle w:val="Hiperveza"/>
            <w:noProof/>
          </w:rPr>
          <w:t>7.1.</w:t>
        </w:r>
        <w:r>
          <w:rPr>
            <w:rFonts w:asciiTheme="minorHAnsi" w:eastAsiaTheme="minorEastAsia" w:hAnsiTheme="minorHAnsi" w:cstheme="minorBidi"/>
            <w:noProof/>
            <w:sz w:val="22"/>
            <w:szCs w:val="22"/>
            <w:lang w:eastAsia="hr-HR"/>
          </w:rPr>
          <w:tab/>
        </w:r>
        <w:r w:rsidRPr="00670870">
          <w:rPr>
            <w:rStyle w:val="Hiperveza"/>
            <w:noProof/>
          </w:rPr>
          <w:t>Opći pregled kretanja predmeta</w:t>
        </w:r>
        <w:r>
          <w:rPr>
            <w:noProof/>
            <w:webHidden/>
          </w:rPr>
          <w:tab/>
        </w:r>
        <w:r>
          <w:rPr>
            <w:noProof/>
            <w:webHidden/>
          </w:rPr>
          <w:fldChar w:fldCharType="begin"/>
        </w:r>
        <w:r>
          <w:rPr>
            <w:noProof/>
            <w:webHidden/>
          </w:rPr>
          <w:instrText xml:space="preserve"> PAGEREF _Toc133394286 \h </w:instrText>
        </w:r>
        <w:r>
          <w:rPr>
            <w:noProof/>
            <w:webHidden/>
          </w:rPr>
        </w:r>
        <w:r>
          <w:rPr>
            <w:noProof/>
            <w:webHidden/>
          </w:rPr>
          <w:fldChar w:fldCharType="separate"/>
        </w:r>
        <w:r>
          <w:rPr>
            <w:noProof/>
            <w:webHidden/>
          </w:rPr>
          <w:t>36</w:t>
        </w:r>
        <w:r>
          <w:rPr>
            <w:noProof/>
            <w:webHidden/>
          </w:rPr>
          <w:fldChar w:fldCharType="end"/>
        </w:r>
      </w:hyperlink>
    </w:p>
    <w:p w14:paraId="6B33C948" w14:textId="0CB130D2"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87" w:history="1">
        <w:r w:rsidRPr="00670870">
          <w:rPr>
            <w:rStyle w:val="Hiperveza"/>
            <w:noProof/>
          </w:rPr>
          <w:t>7.2.</w:t>
        </w:r>
        <w:r>
          <w:rPr>
            <w:rFonts w:asciiTheme="minorHAnsi" w:eastAsiaTheme="minorEastAsia" w:hAnsiTheme="minorHAnsi" w:cstheme="minorBidi"/>
            <w:noProof/>
            <w:sz w:val="22"/>
            <w:szCs w:val="22"/>
            <w:lang w:eastAsia="hr-HR"/>
          </w:rPr>
          <w:tab/>
        </w:r>
        <w:r w:rsidRPr="00670870">
          <w:rPr>
            <w:rStyle w:val="Hiperveza"/>
            <w:noProof/>
          </w:rPr>
          <w:t>Pregled kretanja predmeta za 2022. godinu s pokazateljima po vrstama predmeta</w:t>
        </w:r>
        <w:r>
          <w:rPr>
            <w:noProof/>
            <w:webHidden/>
          </w:rPr>
          <w:tab/>
        </w:r>
        <w:r>
          <w:rPr>
            <w:noProof/>
            <w:webHidden/>
          </w:rPr>
          <w:fldChar w:fldCharType="begin"/>
        </w:r>
        <w:r>
          <w:rPr>
            <w:noProof/>
            <w:webHidden/>
          </w:rPr>
          <w:instrText xml:space="preserve"> PAGEREF _Toc133394287 \h </w:instrText>
        </w:r>
        <w:r>
          <w:rPr>
            <w:noProof/>
            <w:webHidden/>
          </w:rPr>
        </w:r>
        <w:r>
          <w:rPr>
            <w:noProof/>
            <w:webHidden/>
          </w:rPr>
          <w:fldChar w:fldCharType="separate"/>
        </w:r>
        <w:r>
          <w:rPr>
            <w:noProof/>
            <w:webHidden/>
          </w:rPr>
          <w:t>38</w:t>
        </w:r>
        <w:r>
          <w:rPr>
            <w:noProof/>
            <w:webHidden/>
          </w:rPr>
          <w:fldChar w:fldCharType="end"/>
        </w:r>
      </w:hyperlink>
    </w:p>
    <w:p w14:paraId="3CBDC65E" w14:textId="20876727" w:rsidR="00B06098" w:rsidRDefault="00B06098">
      <w:pPr>
        <w:pStyle w:val="Sadraj1"/>
        <w:tabs>
          <w:tab w:val="left" w:pos="440"/>
          <w:tab w:val="right" w:leader="dot" w:pos="9062"/>
        </w:tabs>
        <w:rPr>
          <w:rFonts w:asciiTheme="minorHAnsi" w:eastAsiaTheme="minorEastAsia" w:hAnsiTheme="minorHAnsi" w:cstheme="minorBidi"/>
          <w:noProof/>
          <w:sz w:val="22"/>
          <w:szCs w:val="22"/>
          <w:lang w:eastAsia="hr-HR"/>
        </w:rPr>
      </w:pPr>
      <w:hyperlink w:anchor="_Toc133394288" w:history="1">
        <w:r w:rsidRPr="00670870">
          <w:rPr>
            <w:rStyle w:val="Hiperveza"/>
            <w:noProof/>
          </w:rPr>
          <w:t>II.</w:t>
        </w:r>
        <w:r>
          <w:rPr>
            <w:rFonts w:asciiTheme="minorHAnsi" w:eastAsiaTheme="minorEastAsia" w:hAnsiTheme="minorHAnsi" w:cstheme="minorBidi"/>
            <w:noProof/>
            <w:sz w:val="22"/>
            <w:szCs w:val="22"/>
            <w:lang w:eastAsia="hr-HR"/>
          </w:rPr>
          <w:tab/>
        </w:r>
        <w:r w:rsidRPr="00670870">
          <w:rPr>
            <w:rStyle w:val="Hiperveza"/>
            <w:noProof/>
          </w:rPr>
          <w:t>REZULTATI RADA DRŽAVNIH ODVJETNIŠTAVA ZA 2022. GODINU</w:t>
        </w:r>
        <w:r>
          <w:rPr>
            <w:noProof/>
            <w:webHidden/>
          </w:rPr>
          <w:tab/>
        </w:r>
        <w:r>
          <w:rPr>
            <w:noProof/>
            <w:webHidden/>
          </w:rPr>
          <w:fldChar w:fldCharType="begin"/>
        </w:r>
        <w:r>
          <w:rPr>
            <w:noProof/>
            <w:webHidden/>
          </w:rPr>
          <w:instrText xml:space="preserve"> PAGEREF _Toc133394288 \h </w:instrText>
        </w:r>
        <w:r>
          <w:rPr>
            <w:noProof/>
            <w:webHidden/>
          </w:rPr>
        </w:r>
        <w:r>
          <w:rPr>
            <w:noProof/>
            <w:webHidden/>
          </w:rPr>
          <w:fldChar w:fldCharType="separate"/>
        </w:r>
        <w:r>
          <w:rPr>
            <w:noProof/>
            <w:webHidden/>
          </w:rPr>
          <w:t>39</w:t>
        </w:r>
        <w:r>
          <w:rPr>
            <w:noProof/>
            <w:webHidden/>
          </w:rPr>
          <w:fldChar w:fldCharType="end"/>
        </w:r>
      </w:hyperlink>
    </w:p>
    <w:p w14:paraId="576FDDB0" w14:textId="379FFAF4" w:rsidR="00B06098" w:rsidRDefault="00B06098">
      <w:pPr>
        <w:pStyle w:val="Sadraj2"/>
        <w:tabs>
          <w:tab w:val="left" w:pos="660"/>
          <w:tab w:val="right" w:leader="dot" w:pos="9062"/>
        </w:tabs>
        <w:rPr>
          <w:rFonts w:asciiTheme="minorHAnsi" w:eastAsiaTheme="minorEastAsia" w:hAnsiTheme="minorHAnsi" w:cstheme="minorBidi"/>
          <w:noProof/>
          <w:sz w:val="22"/>
          <w:szCs w:val="22"/>
          <w:lang w:eastAsia="hr-HR"/>
        </w:rPr>
      </w:pPr>
      <w:hyperlink w:anchor="_Toc133394289" w:history="1">
        <w:r w:rsidRPr="00670870">
          <w:rPr>
            <w:rStyle w:val="Hiperveza"/>
            <w:noProof/>
          </w:rPr>
          <w:t>8.</w:t>
        </w:r>
        <w:r>
          <w:rPr>
            <w:rFonts w:asciiTheme="minorHAnsi" w:eastAsiaTheme="minorEastAsia" w:hAnsiTheme="minorHAnsi" w:cstheme="minorBidi"/>
            <w:noProof/>
            <w:sz w:val="22"/>
            <w:szCs w:val="22"/>
            <w:lang w:eastAsia="hr-HR"/>
          </w:rPr>
          <w:tab/>
        </w:r>
        <w:r w:rsidRPr="00670870">
          <w:rPr>
            <w:rStyle w:val="Hiperveza"/>
            <w:noProof/>
          </w:rPr>
          <w:t>Zbirni prikaz načina rješavanja kaznenih, građanskih i upravnih predmeta u 2022. godini za razdoblje od 2018. do 2022. godine</w:t>
        </w:r>
        <w:r>
          <w:rPr>
            <w:noProof/>
            <w:webHidden/>
          </w:rPr>
          <w:tab/>
        </w:r>
        <w:r>
          <w:rPr>
            <w:noProof/>
            <w:webHidden/>
          </w:rPr>
          <w:fldChar w:fldCharType="begin"/>
        </w:r>
        <w:r>
          <w:rPr>
            <w:noProof/>
            <w:webHidden/>
          </w:rPr>
          <w:instrText xml:space="preserve"> PAGEREF _Toc133394289 \h </w:instrText>
        </w:r>
        <w:r>
          <w:rPr>
            <w:noProof/>
            <w:webHidden/>
          </w:rPr>
        </w:r>
        <w:r>
          <w:rPr>
            <w:noProof/>
            <w:webHidden/>
          </w:rPr>
          <w:fldChar w:fldCharType="separate"/>
        </w:r>
        <w:r>
          <w:rPr>
            <w:noProof/>
            <w:webHidden/>
          </w:rPr>
          <w:t>39</w:t>
        </w:r>
        <w:r>
          <w:rPr>
            <w:noProof/>
            <w:webHidden/>
          </w:rPr>
          <w:fldChar w:fldCharType="end"/>
        </w:r>
      </w:hyperlink>
    </w:p>
    <w:p w14:paraId="79988519" w14:textId="5CFB404E"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290" w:history="1">
        <w:r w:rsidRPr="00670870">
          <w:rPr>
            <w:rStyle w:val="Hiperveza"/>
            <w:noProof/>
          </w:rPr>
          <w:t>8.1.</w:t>
        </w:r>
        <w:r>
          <w:rPr>
            <w:rFonts w:asciiTheme="minorHAnsi" w:eastAsiaTheme="minorEastAsia" w:hAnsiTheme="minorHAnsi" w:cstheme="minorBidi"/>
            <w:noProof/>
            <w:sz w:val="22"/>
            <w:szCs w:val="22"/>
            <w:lang w:eastAsia="hr-HR"/>
          </w:rPr>
          <w:tab/>
        </w:r>
        <w:r w:rsidRPr="00670870">
          <w:rPr>
            <w:rStyle w:val="Hiperveza"/>
            <w:noProof/>
          </w:rPr>
          <w:t>Zbirni prikaz rada i odluka u kaznenim i prekršajnim predmetima</w:t>
        </w:r>
        <w:r>
          <w:rPr>
            <w:noProof/>
            <w:webHidden/>
          </w:rPr>
          <w:tab/>
        </w:r>
        <w:r>
          <w:rPr>
            <w:noProof/>
            <w:webHidden/>
          </w:rPr>
          <w:fldChar w:fldCharType="begin"/>
        </w:r>
        <w:r>
          <w:rPr>
            <w:noProof/>
            <w:webHidden/>
          </w:rPr>
          <w:instrText xml:space="preserve"> PAGEREF _Toc133394290 \h </w:instrText>
        </w:r>
        <w:r>
          <w:rPr>
            <w:noProof/>
            <w:webHidden/>
          </w:rPr>
        </w:r>
        <w:r>
          <w:rPr>
            <w:noProof/>
            <w:webHidden/>
          </w:rPr>
          <w:fldChar w:fldCharType="separate"/>
        </w:r>
        <w:r>
          <w:rPr>
            <w:noProof/>
            <w:webHidden/>
          </w:rPr>
          <w:t>39</w:t>
        </w:r>
        <w:r>
          <w:rPr>
            <w:noProof/>
            <w:webHidden/>
          </w:rPr>
          <w:fldChar w:fldCharType="end"/>
        </w:r>
      </w:hyperlink>
    </w:p>
    <w:p w14:paraId="6B36F9F4" w14:textId="3E735586"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291" w:history="1">
        <w:r w:rsidRPr="00670870">
          <w:rPr>
            <w:rStyle w:val="Hiperveza"/>
            <w:noProof/>
          </w:rPr>
          <w:t>8.1.1.</w:t>
        </w:r>
        <w:r>
          <w:rPr>
            <w:rFonts w:asciiTheme="minorHAnsi" w:eastAsiaTheme="minorEastAsia" w:hAnsiTheme="minorHAnsi" w:cstheme="minorBidi"/>
            <w:noProof/>
            <w:sz w:val="22"/>
            <w:szCs w:val="22"/>
            <w:lang w:eastAsia="hr-HR"/>
          </w:rPr>
          <w:tab/>
        </w:r>
        <w:r w:rsidRPr="00670870">
          <w:rPr>
            <w:rStyle w:val="Hiperveza"/>
            <w:noProof/>
          </w:rPr>
          <w:t>Odluke povodom kaznene prijave</w:t>
        </w:r>
        <w:r>
          <w:rPr>
            <w:noProof/>
            <w:webHidden/>
          </w:rPr>
          <w:tab/>
        </w:r>
        <w:r>
          <w:rPr>
            <w:noProof/>
            <w:webHidden/>
          </w:rPr>
          <w:fldChar w:fldCharType="begin"/>
        </w:r>
        <w:r>
          <w:rPr>
            <w:noProof/>
            <w:webHidden/>
          </w:rPr>
          <w:instrText xml:space="preserve"> PAGEREF _Toc133394291 \h </w:instrText>
        </w:r>
        <w:r>
          <w:rPr>
            <w:noProof/>
            <w:webHidden/>
          </w:rPr>
        </w:r>
        <w:r>
          <w:rPr>
            <w:noProof/>
            <w:webHidden/>
          </w:rPr>
          <w:fldChar w:fldCharType="separate"/>
        </w:r>
        <w:r>
          <w:rPr>
            <w:noProof/>
            <w:webHidden/>
          </w:rPr>
          <w:t>41</w:t>
        </w:r>
        <w:r>
          <w:rPr>
            <w:noProof/>
            <w:webHidden/>
          </w:rPr>
          <w:fldChar w:fldCharType="end"/>
        </w:r>
      </w:hyperlink>
    </w:p>
    <w:p w14:paraId="371FF8CE" w14:textId="0014305C" w:rsidR="00B06098" w:rsidRDefault="00B06098">
      <w:pPr>
        <w:pStyle w:val="Sadraj5"/>
        <w:tabs>
          <w:tab w:val="left" w:pos="1901"/>
          <w:tab w:val="right" w:leader="dot" w:pos="9062"/>
        </w:tabs>
        <w:rPr>
          <w:rFonts w:asciiTheme="minorHAnsi" w:eastAsiaTheme="minorEastAsia" w:hAnsiTheme="minorHAnsi" w:cstheme="minorBidi"/>
          <w:noProof/>
          <w:sz w:val="22"/>
          <w:szCs w:val="22"/>
          <w:lang w:eastAsia="hr-HR"/>
        </w:rPr>
      </w:pPr>
      <w:hyperlink w:anchor="_Toc133394292" w:history="1">
        <w:r w:rsidRPr="00670870">
          <w:rPr>
            <w:rStyle w:val="Hiperveza"/>
            <w:noProof/>
          </w:rPr>
          <w:t>8.1.1.1.</w:t>
        </w:r>
        <w:r>
          <w:rPr>
            <w:rFonts w:asciiTheme="minorHAnsi" w:eastAsiaTheme="minorEastAsia" w:hAnsiTheme="minorHAnsi" w:cstheme="minorBidi"/>
            <w:noProof/>
            <w:sz w:val="22"/>
            <w:szCs w:val="22"/>
            <w:lang w:eastAsia="hr-HR"/>
          </w:rPr>
          <w:tab/>
        </w:r>
        <w:r w:rsidRPr="00670870">
          <w:rPr>
            <w:rStyle w:val="Hiperveza"/>
            <w:noProof/>
          </w:rPr>
          <w:t>Odluke povodom kaznene prijave – maloljetnici</w:t>
        </w:r>
        <w:r>
          <w:rPr>
            <w:noProof/>
            <w:webHidden/>
          </w:rPr>
          <w:tab/>
        </w:r>
        <w:r>
          <w:rPr>
            <w:noProof/>
            <w:webHidden/>
          </w:rPr>
          <w:fldChar w:fldCharType="begin"/>
        </w:r>
        <w:r>
          <w:rPr>
            <w:noProof/>
            <w:webHidden/>
          </w:rPr>
          <w:instrText xml:space="preserve"> PAGEREF _Toc133394292 \h </w:instrText>
        </w:r>
        <w:r>
          <w:rPr>
            <w:noProof/>
            <w:webHidden/>
          </w:rPr>
        </w:r>
        <w:r>
          <w:rPr>
            <w:noProof/>
            <w:webHidden/>
          </w:rPr>
          <w:fldChar w:fldCharType="separate"/>
        </w:r>
        <w:r>
          <w:rPr>
            <w:noProof/>
            <w:webHidden/>
          </w:rPr>
          <w:t>42</w:t>
        </w:r>
        <w:r>
          <w:rPr>
            <w:noProof/>
            <w:webHidden/>
          </w:rPr>
          <w:fldChar w:fldCharType="end"/>
        </w:r>
      </w:hyperlink>
    </w:p>
    <w:p w14:paraId="6098D7B7" w14:textId="6392D1DB" w:rsidR="00B06098" w:rsidRDefault="00B06098">
      <w:pPr>
        <w:pStyle w:val="Sadraj5"/>
        <w:tabs>
          <w:tab w:val="left" w:pos="1901"/>
          <w:tab w:val="right" w:leader="dot" w:pos="9062"/>
        </w:tabs>
        <w:rPr>
          <w:rFonts w:asciiTheme="minorHAnsi" w:eastAsiaTheme="minorEastAsia" w:hAnsiTheme="minorHAnsi" w:cstheme="minorBidi"/>
          <w:noProof/>
          <w:sz w:val="22"/>
          <w:szCs w:val="22"/>
          <w:lang w:eastAsia="hr-HR"/>
        </w:rPr>
      </w:pPr>
      <w:hyperlink w:anchor="_Toc133394293" w:history="1">
        <w:r w:rsidRPr="00670870">
          <w:rPr>
            <w:rStyle w:val="Hiperveza"/>
            <w:noProof/>
          </w:rPr>
          <w:t>8.1.1.2.</w:t>
        </w:r>
        <w:r>
          <w:rPr>
            <w:rFonts w:asciiTheme="minorHAnsi" w:eastAsiaTheme="minorEastAsia" w:hAnsiTheme="minorHAnsi" w:cstheme="minorBidi"/>
            <w:noProof/>
            <w:sz w:val="22"/>
            <w:szCs w:val="22"/>
            <w:lang w:eastAsia="hr-HR"/>
          </w:rPr>
          <w:tab/>
        </w:r>
        <w:r w:rsidRPr="00670870">
          <w:rPr>
            <w:rStyle w:val="Hiperveza"/>
            <w:noProof/>
          </w:rPr>
          <w:t>Odluke o kaznenoj prijavi nakon dovršenog istraživanja</w:t>
        </w:r>
        <w:r>
          <w:rPr>
            <w:noProof/>
            <w:webHidden/>
          </w:rPr>
          <w:tab/>
        </w:r>
        <w:r>
          <w:rPr>
            <w:noProof/>
            <w:webHidden/>
          </w:rPr>
          <w:fldChar w:fldCharType="begin"/>
        </w:r>
        <w:r>
          <w:rPr>
            <w:noProof/>
            <w:webHidden/>
          </w:rPr>
          <w:instrText xml:space="preserve"> PAGEREF _Toc133394293 \h </w:instrText>
        </w:r>
        <w:r>
          <w:rPr>
            <w:noProof/>
            <w:webHidden/>
          </w:rPr>
        </w:r>
        <w:r>
          <w:rPr>
            <w:noProof/>
            <w:webHidden/>
          </w:rPr>
          <w:fldChar w:fldCharType="separate"/>
        </w:r>
        <w:r>
          <w:rPr>
            <w:noProof/>
            <w:webHidden/>
          </w:rPr>
          <w:t>43</w:t>
        </w:r>
        <w:r>
          <w:rPr>
            <w:noProof/>
            <w:webHidden/>
          </w:rPr>
          <w:fldChar w:fldCharType="end"/>
        </w:r>
      </w:hyperlink>
    </w:p>
    <w:p w14:paraId="6298825C" w14:textId="051E1979"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294" w:history="1">
        <w:r w:rsidRPr="00670870">
          <w:rPr>
            <w:rStyle w:val="Hiperveza"/>
            <w:noProof/>
          </w:rPr>
          <w:t>8.1.2.</w:t>
        </w:r>
        <w:r>
          <w:rPr>
            <w:rFonts w:asciiTheme="minorHAnsi" w:eastAsiaTheme="minorEastAsia" w:hAnsiTheme="minorHAnsi" w:cstheme="minorBidi"/>
            <w:noProof/>
            <w:sz w:val="22"/>
            <w:szCs w:val="22"/>
            <w:lang w:eastAsia="hr-HR"/>
          </w:rPr>
          <w:tab/>
        </w:r>
        <w:r w:rsidRPr="00670870">
          <w:rPr>
            <w:rStyle w:val="Hiperveza"/>
            <w:noProof/>
          </w:rPr>
          <w:t>Istrage i odluke po dovršenoj istrazi</w:t>
        </w:r>
        <w:r>
          <w:rPr>
            <w:noProof/>
            <w:webHidden/>
          </w:rPr>
          <w:tab/>
        </w:r>
        <w:r>
          <w:rPr>
            <w:noProof/>
            <w:webHidden/>
          </w:rPr>
          <w:fldChar w:fldCharType="begin"/>
        </w:r>
        <w:r>
          <w:rPr>
            <w:noProof/>
            <w:webHidden/>
          </w:rPr>
          <w:instrText xml:space="preserve"> PAGEREF _Toc133394294 \h </w:instrText>
        </w:r>
        <w:r>
          <w:rPr>
            <w:noProof/>
            <w:webHidden/>
          </w:rPr>
        </w:r>
        <w:r>
          <w:rPr>
            <w:noProof/>
            <w:webHidden/>
          </w:rPr>
          <w:fldChar w:fldCharType="separate"/>
        </w:r>
        <w:r>
          <w:rPr>
            <w:noProof/>
            <w:webHidden/>
          </w:rPr>
          <w:t>44</w:t>
        </w:r>
        <w:r>
          <w:rPr>
            <w:noProof/>
            <w:webHidden/>
          </w:rPr>
          <w:fldChar w:fldCharType="end"/>
        </w:r>
      </w:hyperlink>
    </w:p>
    <w:p w14:paraId="0FCDFF6E" w14:textId="4D052435" w:rsidR="00B06098" w:rsidRDefault="00B06098">
      <w:pPr>
        <w:pStyle w:val="Sadraj5"/>
        <w:tabs>
          <w:tab w:val="left" w:pos="1901"/>
          <w:tab w:val="right" w:leader="dot" w:pos="9062"/>
        </w:tabs>
        <w:rPr>
          <w:rFonts w:asciiTheme="minorHAnsi" w:eastAsiaTheme="minorEastAsia" w:hAnsiTheme="minorHAnsi" w:cstheme="minorBidi"/>
          <w:noProof/>
          <w:sz w:val="22"/>
          <w:szCs w:val="22"/>
          <w:lang w:eastAsia="hr-HR"/>
        </w:rPr>
      </w:pPr>
      <w:hyperlink w:anchor="_Toc133394295" w:history="1">
        <w:r w:rsidRPr="00670870">
          <w:rPr>
            <w:rStyle w:val="Hiperveza"/>
            <w:noProof/>
          </w:rPr>
          <w:t>8.1.2.1.</w:t>
        </w:r>
        <w:r>
          <w:rPr>
            <w:rFonts w:asciiTheme="minorHAnsi" w:eastAsiaTheme="minorEastAsia" w:hAnsiTheme="minorHAnsi" w:cstheme="minorBidi"/>
            <w:noProof/>
            <w:sz w:val="22"/>
            <w:szCs w:val="22"/>
            <w:lang w:eastAsia="hr-HR"/>
          </w:rPr>
          <w:tab/>
        </w:r>
        <w:r w:rsidRPr="00670870">
          <w:rPr>
            <w:rStyle w:val="Hiperveza"/>
            <w:noProof/>
          </w:rPr>
          <w:t>Odluke po dovršenom pripremnom postupku – maloljetnici</w:t>
        </w:r>
        <w:r>
          <w:rPr>
            <w:noProof/>
            <w:webHidden/>
          </w:rPr>
          <w:tab/>
        </w:r>
        <w:r>
          <w:rPr>
            <w:noProof/>
            <w:webHidden/>
          </w:rPr>
          <w:fldChar w:fldCharType="begin"/>
        </w:r>
        <w:r>
          <w:rPr>
            <w:noProof/>
            <w:webHidden/>
          </w:rPr>
          <w:instrText xml:space="preserve"> PAGEREF _Toc133394295 \h </w:instrText>
        </w:r>
        <w:r>
          <w:rPr>
            <w:noProof/>
            <w:webHidden/>
          </w:rPr>
        </w:r>
        <w:r>
          <w:rPr>
            <w:noProof/>
            <w:webHidden/>
          </w:rPr>
          <w:fldChar w:fldCharType="separate"/>
        </w:r>
        <w:r>
          <w:rPr>
            <w:noProof/>
            <w:webHidden/>
          </w:rPr>
          <w:t>45</w:t>
        </w:r>
        <w:r>
          <w:rPr>
            <w:noProof/>
            <w:webHidden/>
          </w:rPr>
          <w:fldChar w:fldCharType="end"/>
        </w:r>
      </w:hyperlink>
    </w:p>
    <w:p w14:paraId="6CCCEA09" w14:textId="3856E172"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296" w:history="1">
        <w:r w:rsidRPr="00670870">
          <w:rPr>
            <w:rStyle w:val="Hiperveza"/>
            <w:noProof/>
          </w:rPr>
          <w:t>8.1.3.</w:t>
        </w:r>
        <w:r>
          <w:rPr>
            <w:rFonts w:asciiTheme="minorHAnsi" w:eastAsiaTheme="minorEastAsia" w:hAnsiTheme="minorHAnsi" w:cstheme="minorBidi"/>
            <w:noProof/>
            <w:sz w:val="22"/>
            <w:szCs w:val="22"/>
            <w:lang w:eastAsia="hr-HR"/>
          </w:rPr>
          <w:tab/>
        </w:r>
        <w:r w:rsidRPr="00670870">
          <w:rPr>
            <w:rStyle w:val="Hiperveza"/>
            <w:noProof/>
          </w:rPr>
          <w:t>Optuženja i odluke sudova povodom optuženja</w:t>
        </w:r>
        <w:r>
          <w:rPr>
            <w:noProof/>
            <w:webHidden/>
          </w:rPr>
          <w:tab/>
        </w:r>
        <w:r>
          <w:rPr>
            <w:noProof/>
            <w:webHidden/>
          </w:rPr>
          <w:fldChar w:fldCharType="begin"/>
        </w:r>
        <w:r>
          <w:rPr>
            <w:noProof/>
            <w:webHidden/>
          </w:rPr>
          <w:instrText xml:space="preserve"> PAGEREF _Toc133394296 \h </w:instrText>
        </w:r>
        <w:r>
          <w:rPr>
            <w:noProof/>
            <w:webHidden/>
          </w:rPr>
        </w:r>
        <w:r>
          <w:rPr>
            <w:noProof/>
            <w:webHidden/>
          </w:rPr>
          <w:fldChar w:fldCharType="separate"/>
        </w:r>
        <w:r>
          <w:rPr>
            <w:noProof/>
            <w:webHidden/>
          </w:rPr>
          <w:t>45</w:t>
        </w:r>
        <w:r>
          <w:rPr>
            <w:noProof/>
            <w:webHidden/>
          </w:rPr>
          <w:fldChar w:fldCharType="end"/>
        </w:r>
      </w:hyperlink>
    </w:p>
    <w:p w14:paraId="0C3B5BA0" w14:textId="3729E8E1"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297" w:history="1">
        <w:r w:rsidRPr="00670870">
          <w:rPr>
            <w:rStyle w:val="Hiperveza"/>
            <w:noProof/>
          </w:rPr>
          <w:t>8.1.4.</w:t>
        </w:r>
        <w:r>
          <w:rPr>
            <w:rFonts w:asciiTheme="minorHAnsi" w:eastAsiaTheme="minorEastAsia" w:hAnsiTheme="minorHAnsi" w:cstheme="minorBidi"/>
            <w:noProof/>
            <w:sz w:val="22"/>
            <w:szCs w:val="22"/>
            <w:lang w:eastAsia="hr-HR"/>
          </w:rPr>
          <w:tab/>
        </w:r>
        <w:r w:rsidRPr="00670870">
          <w:rPr>
            <w:rStyle w:val="Hiperveza"/>
            <w:noProof/>
          </w:rPr>
          <w:t>Kaznene sankcije</w:t>
        </w:r>
        <w:r>
          <w:rPr>
            <w:noProof/>
            <w:webHidden/>
          </w:rPr>
          <w:tab/>
        </w:r>
        <w:r>
          <w:rPr>
            <w:noProof/>
            <w:webHidden/>
          </w:rPr>
          <w:fldChar w:fldCharType="begin"/>
        </w:r>
        <w:r>
          <w:rPr>
            <w:noProof/>
            <w:webHidden/>
          </w:rPr>
          <w:instrText xml:space="preserve"> PAGEREF _Toc133394297 \h </w:instrText>
        </w:r>
        <w:r>
          <w:rPr>
            <w:noProof/>
            <w:webHidden/>
          </w:rPr>
        </w:r>
        <w:r>
          <w:rPr>
            <w:noProof/>
            <w:webHidden/>
          </w:rPr>
          <w:fldChar w:fldCharType="separate"/>
        </w:r>
        <w:r>
          <w:rPr>
            <w:noProof/>
            <w:webHidden/>
          </w:rPr>
          <w:t>49</w:t>
        </w:r>
        <w:r>
          <w:rPr>
            <w:noProof/>
            <w:webHidden/>
          </w:rPr>
          <w:fldChar w:fldCharType="end"/>
        </w:r>
      </w:hyperlink>
    </w:p>
    <w:p w14:paraId="5C36C272" w14:textId="79852A46" w:rsidR="00B06098" w:rsidRDefault="00B06098">
      <w:pPr>
        <w:pStyle w:val="Sadraj5"/>
        <w:tabs>
          <w:tab w:val="left" w:pos="1901"/>
          <w:tab w:val="right" w:leader="dot" w:pos="9062"/>
        </w:tabs>
        <w:rPr>
          <w:rFonts w:asciiTheme="minorHAnsi" w:eastAsiaTheme="minorEastAsia" w:hAnsiTheme="minorHAnsi" w:cstheme="minorBidi"/>
          <w:noProof/>
          <w:sz w:val="22"/>
          <w:szCs w:val="22"/>
          <w:lang w:eastAsia="hr-HR"/>
        </w:rPr>
      </w:pPr>
      <w:hyperlink w:anchor="_Toc133394298" w:history="1">
        <w:r w:rsidRPr="00670870">
          <w:rPr>
            <w:rStyle w:val="Hiperveza"/>
            <w:noProof/>
          </w:rPr>
          <w:t>8.1.4.1.</w:t>
        </w:r>
        <w:r>
          <w:rPr>
            <w:rFonts w:asciiTheme="minorHAnsi" w:eastAsiaTheme="minorEastAsia" w:hAnsiTheme="minorHAnsi" w:cstheme="minorBidi"/>
            <w:noProof/>
            <w:sz w:val="22"/>
            <w:szCs w:val="22"/>
            <w:lang w:eastAsia="hr-HR"/>
          </w:rPr>
          <w:tab/>
        </w:r>
        <w:r w:rsidRPr="00670870">
          <w:rPr>
            <w:rStyle w:val="Hiperveza"/>
            <w:noProof/>
          </w:rPr>
          <w:t>Kaznene sankcije – maloljetnici</w:t>
        </w:r>
        <w:r>
          <w:rPr>
            <w:noProof/>
            <w:webHidden/>
          </w:rPr>
          <w:tab/>
        </w:r>
        <w:r>
          <w:rPr>
            <w:noProof/>
            <w:webHidden/>
          </w:rPr>
          <w:fldChar w:fldCharType="begin"/>
        </w:r>
        <w:r>
          <w:rPr>
            <w:noProof/>
            <w:webHidden/>
          </w:rPr>
          <w:instrText xml:space="preserve"> PAGEREF _Toc133394298 \h </w:instrText>
        </w:r>
        <w:r>
          <w:rPr>
            <w:noProof/>
            <w:webHidden/>
          </w:rPr>
        </w:r>
        <w:r>
          <w:rPr>
            <w:noProof/>
            <w:webHidden/>
          </w:rPr>
          <w:fldChar w:fldCharType="separate"/>
        </w:r>
        <w:r>
          <w:rPr>
            <w:noProof/>
            <w:webHidden/>
          </w:rPr>
          <w:t>51</w:t>
        </w:r>
        <w:r>
          <w:rPr>
            <w:noProof/>
            <w:webHidden/>
          </w:rPr>
          <w:fldChar w:fldCharType="end"/>
        </w:r>
      </w:hyperlink>
    </w:p>
    <w:p w14:paraId="3BCE6788" w14:textId="216F82D5" w:rsidR="00B06098" w:rsidRDefault="00B06098">
      <w:pPr>
        <w:pStyle w:val="Sadraj5"/>
        <w:tabs>
          <w:tab w:val="left" w:pos="1901"/>
          <w:tab w:val="right" w:leader="dot" w:pos="9062"/>
        </w:tabs>
        <w:rPr>
          <w:rFonts w:asciiTheme="minorHAnsi" w:eastAsiaTheme="minorEastAsia" w:hAnsiTheme="minorHAnsi" w:cstheme="minorBidi"/>
          <w:noProof/>
          <w:sz w:val="22"/>
          <w:szCs w:val="22"/>
          <w:lang w:eastAsia="hr-HR"/>
        </w:rPr>
      </w:pPr>
      <w:hyperlink w:anchor="_Toc133394299" w:history="1">
        <w:r w:rsidRPr="00670870">
          <w:rPr>
            <w:rStyle w:val="Hiperveza"/>
            <w:noProof/>
          </w:rPr>
          <w:t>8.1.4.2.</w:t>
        </w:r>
        <w:r>
          <w:rPr>
            <w:rFonts w:asciiTheme="minorHAnsi" w:eastAsiaTheme="minorEastAsia" w:hAnsiTheme="minorHAnsi" w:cstheme="minorBidi"/>
            <w:noProof/>
            <w:sz w:val="22"/>
            <w:szCs w:val="22"/>
            <w:lang w:eastAsia="hr-HR"/>
          </w:rPr>
          <w:tab/>
        </w:r>
        <w:r w:rsidRPr="00670870">
          <w:rPr>
            <w:rStyle w:val="Hiperveza"/>
            <w:noProof/>
          </w:rPr>
          <w:t>Oduzimanje imovinske koristi i mjere osiguranja</w:t>
        </w:r>
        <w:r>
          <w:rPr>
            <w:noProof/>
            <w:webHidden/>
          </w:rPr>
          <w:tab/>
        </w:r>
        <w:r>
          <w:rPr>
            <w:noProof/>
            <w:webHidden/>
          </w:rPr>
          <w:fldChar w:fldCharType="begin"/>
        </w:r>
        <w:r>
          <w:rPr>
            <w:noProof/>
            <w:webHidden/>
          </w:rPr>
          <w:instrText xml:space="preserve"> PAGEREF _Toc133394299 \h </w:instrText>
        </w:r>
        <w:r>
          <w:rPr>
            <w:noProof/>
            <w:webHidden/>
          </w:rPr>
        </w:r>
        <w:r>
          <w:rPr>
            <w:noProof/>
            <w:webHidden/>
          </w:rPr>
          <w:fldChar w:fldCharType="separate"/>
        </w:r>
        <w:r>
          <w:rPr>
            <w:noProof/>
            <w:webHidden/>
          </w:rPr>
          <w:t>52</w:t>
        </w:r>
        <w:r>
          <w:rPr>
            <w:noProof/>
            <w:webHidden/>
          </w:rPr>
          <w:fldChar w:fldCharType="end"/>
        </w:r>
      </w:hyperlink>
    </w:p>
    <w:p w14:paraId="78669742" w14:textId="2B5F3EA5"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00" w:history="1">
        <w:r w:rsidRPr="00670870">
          <w:rPr>
            <w:rStyle w:val="Hiperveza"/>
            <w:noProof/>
          </w:rPr>
          <w:t>8.1.5.</w:t>
        </w:r>
        <w:r>
          <w:rPr>
            <w:rFonts w:asciiTheme="minorHAnsi" w:eastAsiaTheme="minorEastAsia" w:hAnsiTheme="minorHAnsi" w:cstheme="minorBidi"/>
            <w:noProof/>
            <w:sz w:val="22"/>
            <w:szCs w:val="22"/>
            <w:lang w:eastAsia="hr-HR"/>
          </w:rPr>
          <w:tab/>
        </w:r>
        <w:r w:rsidRPr="00670870">
          <w:rPr>
            <w:rStyle w:val="Hiperveza"/>
            <w:noProof/>
          </w:rPr>
          <w:t>Pregled radnji i ročišta u kaznenim predmetima</w:t>
        </w:r>
        <w:r>
          <w:rPr>
            <w:noProof/>
            <w:webHidden/>
          </w:rPr>
          <w:tab/>
        </w:r>
        <w:r>
          <w:rPr>
            <w:noProof/>
            <w:webHidden/>
          </w:rPr>
          <w:fldChar w:fldCharType="begin"/>
        </w:r>
        <w:r>
          <w:rPr>
            <w:noProof/>
            <w:webHidden/>
          </w:rPr>
          <w:instrText xml:space="preserve"> PAGEREF _Toc133394300 \h </w:instrText>
        </w:r>
        <w:r>
          <w:rPr>
            <w:noProof/>
            <w:webHidden/>
          </w:rPr>
        </w:r>
        <w:r>
          <w:rPr>
            <w:noProof/>
            <w:webHidden/>
          </w:rPr>
          <w:fldChar w:fldCharType="separate"/>
        </w:r>
        <w:r>
          <w:rPr>
            <w:noProof/>
            <w:webHidden/>
          </w:rPr>
          <w:t>55</w:t>
        </w:r>
        <w:r>
          <w:rPr>
            <w:noProof/>
            <w:webHidden/>
          </w:rPr>
          <w:fldChar w:fldCharType="end"/>
        </w:r>
      </w:hyperlink>
    </w:p>
    <w:p w14:paraId="12C5AA6D" w14:textId="1BAE1FF6"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01" w:history="1">
        <w:r w:rsidRPr="00670870">
          <w:rPr>
            <w:rStyle w:val="Hiperveza"/>
            <w:noProof/>
          </w:rPr>
          <w:t>8.1.6.</w:t>
        </w:r>
        <w:r>
          <w:rPr>
            <w:rFonts w:asciiTheme="minorHAnsi" w:eastAsiaTheme="minorEastAsia" w:hAnsiTheme="minorHAnsi" w:cstheme="minorBidi"/>
            <w:noProof/>
            <w:sz w:val="22"/>
            <w:szCs w:val="22"/>
            <w:lang w:eastAsia="hr-HR"/>
          </w:rPr>
          <w:tab/>
        </w:r>
        <w:r w:rsidRPr="00670870">
          <w:rPr>
            <w:rStyle w:val="Hiperveza"/>
            <w:noProof/>
          </w:rPr>
          <w:t>Žalbe i odluke sudova povodom žalbi (bez maloljetnika)</w:t>
        </w:r>
        <w:r>
          <w:rPr>
            <w:noProof/>
            <w:webHidden/>
          </w:rPr>
          <w:tab/>
        </w:r>
        <w:r>
          <w:rPr>
            <w:noProof/>
            <w:webHidden/>
          </w:rPr>
          <w:fldChar w:fldCharType="begin"/>
        </w:r>
        <w:r>
          <w:rPr>
            <w:noProof/>
            <w:webHidden/>
          </w:rPr>
          <w:instrText xml:space="preserve"> PAGEREF _Toc133394301 \h </w:instrText>
        </w:r>
        <w:r>
          <w:rPr>
            <w:noProof/>
            <w:webHidden/>
          </w:rPr>
        </w:r>
        <w:r>
          <w:rPr>
            <w:noProof/>
            <w:webHidden/>
          </w:rPr>
          <w:fldChar w:fldCharType="separate"/>
        </w:r>
        <w:r>
          <w:rPr>
            <w:noProof/>
            <w:webHidden/>
          </w:rPr>
          <w:t>55</w:t>
        </w:r>
        <w:r>
          <w:rPr>
            <w:noProof/>
            <w:webHidden/>
          </w:rPr>
          <w:fldChar w:fldCharType="end"/>
        </w:r>
      </w:hyperlink>
    </w:p>
    <w:p w14:paraId="4427DD5B" w14:textId="1C0EC3FB"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302" w:history="1">
        <w:r w:rsidRPr="00670870">
          <w:rPr>
            <w:rStyle w:val="Hiperveza"/>
            <w:noProof/>
          </w:rPr>
          <w:t>8.2.</w:t>
        </w:r>
        <w:r>
          <w:rPr>
            <w:rFonts w:asciiTheme="minorHAnsi" w:eastAsiaTheme="minorEastAsia" w:hAnsiTheme="minorHAnsi" w:cstheme="minorBidi"/>
            <w:noProof/>
            <w:sz w:val="22"/>
            <w:szCs w:val="22"/>
            <w:lang w:eastAsia="hr-HR"/>
          </w:rPr>
          <w:tab/>
        </w:r>
        <w:r w:rsidRPr="00670870">
          <w:rPr>
            <w:rStyle w:val="Hiperveza"/>
            <w:noProof/>
          </w:rPr>
          <w:t>Zbirni pregled odluka u građanskim i upravnim predmetima</w:t>
        </w:r>
        <w:r>
          <w:rPr>
            <w:noProof/>
            <w:webHidden/>
          </w:rPr>
          <w:tab/>
        </w:r>
        <w:r>
          <w:rPr>
            <w:noProof/>
            <w:webHidden/>
          </w:rPr>
          <w:fldChar w:fldCharType="begin"/>
        </w:r>
        <w:r>
          <w:rPr>
            <w:noProof/>
            <w:webHidden/>
          </w:rPr>
          <w:instrText xml:space="preserve"> PAGEREF _Toc133394302 \h </w:instrText>
        </w:r>
        <w:r>
          <w:rPr>
            <w:noProof/>
            <w:webHidden/>
          </w:rPr>
        </w:r>
        <w:r>
          <w:rPr>
            <w:noProof/>
            <w:webHidden/>
          </w:rPr>
          <w:fldChar w:fldCharType="separate"/>
        </w:r>
        <w:r>
          <w:rPr>
            <w:noProof/>
            <w:webHidden/>
          </w:rPr>
          <w:t>57</w:t>
        </w:r>
        <w:r>
          <w:rPr>
            <w:noProof/>
            <w:webHidden/>
          </w:rPr>
          <w:fldChar w:fldCharType="end"/>
        </w:r>
      </w:hyperlink>
    </w:p>
    <w:p w14:paraId="4863CA05" w14:textId="63BCB3D8"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03" w:history="1">
        <w:r w:rsidRPr="00670870">
          <w:rPr>
            <w:rStyle w:val="Hiperveza"/>
            <w:noProof/>
          </w:rPr>
          <w:t>8.2.1.</w:t>
        </w:r>
        <w:r>
          <w:rPr>
            <w:rFonts w:asciiTheme="minorHAnsi" w:eastAsiaTheme="minorEastAsia" w:hAnsiTheme="minorHAnsi" w:cstheme="minorBidi"/>
            <w:noProof/>
            <w:sz w:val="22"/>
            <w:szCs w:val="22"/>
            <w:lang w:eastAsia="hr-HR"/>
          </w:rPr>
          <w:tab/>
        </w:r>
        <w:r w:rsidRPr="00670870">
          <w:rPr>
            <w:rStyle w:val="Hiperveza"/>
            <w:noProof/>
          </w:rPr>
          <w:t>Predmeti izvansudskog rješavanja sporova</w:t>
        </w:r>
        <w:r>
          <w:rPr>
            <w:noProof/>
            <w:webHidden/>
          </w:rPr>
          <w:tab/>
        </w:r>
        <w:r>
          <w:rPr>
            <w:noProof/>
            <w:webHidden/>
          </w:rPr>
          <w:fldChar w:fldCharType="begin"/>
        </w:r>
        <w:r>
          <w:rPr>
            <w:noProof/>
            <w:webHidden/>
          </w:rPr>
          <w:instrText xml:space="preserve"> PAGEREF _Toc133394303 \h </w:instrText>
        </w:r>
        <w:r>
          <w:rPr>
            <w:noProof/>
            <w:webHidden/>
          </w:rPr>
        </w:r>
        <w:r>
          <w:rPr>
            <w:noProof/>
            <w:webHidden/>
          </w:rPr>
          <w:fldChar w:fldCharType="separate"/>
        </w:r>
        <w:r>
          <w:rPr>
            <w:noProof/>
            <w:webHidden/>
          </w:rPr>
          <w:t>59</w:t>
        </w:r>
        <w:r>
          <w:rPr>
            <w:noProof/>
            <w:webHidden/>
          </w:rPr>
          <w:fldChar w:fldCharType="end"/>
        </w:r>
      </w:hyperlink>
    </w:p>
    <w:p w14:paraId="3749F31D" w14:textId="4144D523" w:rsidR="00B06098" w:rsidRDefault="00B06098">
      <w:pPr>
        <w:pStyle w:val="Sadraj5"/>
        <w:tabs>
          <w:tab w:val="left" w:pos="1901"/>
          <w:tab w:val="right" w:leader="dot" w:pos="9062"/>
        </w:tabs>
        <w:rPr>
          <w:rFonts w:asciiTheme="minorHAnsi" w:eastAsiaTheme="minorEastAsia" w:hAnsiTheme="minorHAnsi" w:cstheme="minorBidi"/>
          <w:noProof/>
          <w:sz w:val="22"/>
          <w:szCs w:val="22"/>
          <w:lang w:eastAsia="hr-HR"/>
        </w:rPr>
      </w:pPr>
      <w:hyperlink w:anchor="_Toc133394304" w:history="1">
        <w:r w:rsidRPr="00670870">
          <w:rPr>
            <w:rStyle w:val="Hiperveza"/>
            <w:noProof/>
          </w:rPr>
          <w:t>8.2.1.1.</w:t>
        </w:r>
        <w:r>
          <w:rPr>
            <w:rFonts w:asciiTheme="minorHAnsi" w:eastAsiaTheme="minorEastAsia" w:hAnsiTheme="minorHAnsi" w:cstheme="minorBidi"/>
            <w:noProof/>
            <w:sz w:val="22"/>
            <w:szCs w:val="22"/>
            <w:lang w:eastAsia="hr-HR"/>
          </w:rPr>
          <w:tab/>
        </w:r>
        <w:r w:rsidRPr="00670870">
          <w:rPr>
            <w:rStyle w:val="Hiperveza"/>
            <w:noProof/>
          </w:rPr>
          <w:t>Mirno rješavanje sporova (članak 186.a Zakona o parničnom postupku)</w:t>
        </w:r>
        <w:r>
          <w:rPr>
            <w:noProof/>
            <w:webHidden/>
          </w:rPr>
          <w:tab/>
        </w:r>
        <w:r>
          <w:rPr>
            <w:noProof/>
            <w:webHidden/>
          </w:rPr>
          <w:fldChar w:fldCharType="begin"/>
        </w:r>
        <w:r>
          <w:rPr>
            <w:noProof/>
            <w:webHidden/>
          </w:rPr>
          <w:instrText xml:space="preserve"> PAGEREF _Toc133394304 \h </w:instrText>
        </w:r>
        <w:r>
          <w:rPr>
            <w:noProof/>
            <w:webHidden/>
          </w:rPr>
        </w:r>
        <w:r>
          <w:rPr>
            <w:noProof/>
            <w:webHidden/>
          </w:rPr>
          <w:fldChar w:fldCharType="separate"/>
        </w:r>
        <w:r>
          <w:rPr>
            <w:noProof/>
            <w:webHidden/>
          </w:rPr>
          <w:t>59</w:t>
        </w:r>
        <w:r>
          <w:rPr>
            <w:noProof/>
            <w:webHidden/>
          </w:rPr>
          <w:fldChar w:fldCharType="end"/>
        </w:r>
      </w:hyperlink>
    </w:p>
    <w:p w14:paraId="2B007C73" w14:textId="755F2EC1"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05" w:history="1">
        <w:r w:rsidRPr="00670870">
          <w:rPr>
            <w:rStyle w:val="Hiperveza"/>
            <w:noProof/>
          </w:rPr>
          <w:t>8.2.2.</w:t>
        </w:r>
        <w:r>
          <w:rPr>
            <w:rFonts w:asciiTheme="minorHAnsi" w:eastAsiaTheme="minorEastAsia" w:hAnsiTheme="minorHAnsi" w:cstheme="minorBidi"/>
            <w:noProof/>
            <w:sz w:val="22"/>
            <w:szCs w:val="22"/>
            <w:lang w:eastAsia="hr-HR"/>
          </w:rPr>
          <w:tab/>
        </w:r>
        <w:r w:rsidRPr="00670870">
          <w:rPr>
            <w:rStyle w:val="Hiperveza"/>
            <w:noProof/>
          </w:rPr>
          <w:t>Odluke državnih odvjetništava u parnicama pred općinskim i trgovačkim sudovima</w:t>
        </w:r>
        <w:r>
          <w:rPr>
            <w:noProof/>
            <w:webHidden/>
          </w:rPr>
          <w:tab/>
        </w:r>
        <w:r>
          <w:rPr>
            <w:noProof/>
            <w:webHidden/>
          </w:rPr>
          <w:fldChar w:fldCharType="begin"/>
        </w:r>
        <w:r>
          <w:rPr>
            <w:noProof/>
            <w:webHidden/>
          </w:rPr>
          <w:instrText xml:space="preserve"> PAGEREF _Toc133394305 \h </w:instrText>
        </w:r>
        <w:r>
          <w:rPr>
            <w:noProof/>
            <w:webHidden/>
          </w:rPr>
        </w:r>
        <w:r>
          <w:rPr>
            <w:noProof/>
            <w:webHidden/>
          </w:rPr>
          <w:fldChar w:fldCharType="separate"/>
        </w:r>
        <w:r>
          <w:rPr>
            <w:noProof/>
            <w:webHidden/>
          </w:rPr>
          <w:t>67</w:t>
        </w:r>
        <w:r>
          <w:rPr>
            <w:noProof/>
            <w:webHidden/>
          </w:rPr>
          <w:fldChar w:fldCharType="end"/>
        </w:r>
      </w:hyperlink>
    </w:p>
    <w:p w14:paraId="4CB3043E" w14:textId="17190969"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06" w:history="1">
        <w:r w:rsidRPr="00670870">
          <w:rPr>
            <w:rStyle w:val="Hiperveza"/>
            <w:noProof/>
          </w:rPr>
          <w:t>8.2.3.</w:t>
        </w:r>
        <w:r>
          <w:rPr>
            <w:rFonts w:asciiTheme="minorHAnsi" w:eastAsiaTheme="minorEastAsia" w:hAnsiTheme="minorHAnsi" w:cstheme="minorBidi"/>
            <w:noProof/>
            <w:sz w:val="22"/>
            <w:szCs w:val="22"/>
            <w:lang w:eastAsia="hr-HR"/>
          </w:rPr>
          <w:tab/>
        </w:r>
        <w:r w:rsidRPr="00670870">
          <w:rPr>
            <w:rStyle w:val="Hiperveza"/>
            <w:noProof/>
          </w:rPr>
          <w:t>Odluke sudova u parnicama u kojima zastupa državno odvjetništvo</w:t>
        </w:r>
        <w:r>
          <w:rPr>
            <w:noProof/>
            <w:webHidden/>
          </w:rPr>
          <w:tab/>
        </w:r>
        <w:r>
          <w:rPr>
            <w:noProof/>
            <w:webHidden/>
          </w:rPr>
          <w:fldChar w:fldCharType="begin"/>
        </w:r>
        <w:r>
          <w:rPr>
            <w:noProof/>
            <w:webHidden/>
          </w:rPr>
          <w:instrText xml:space="preserve"> PAGEREF _Toc133394306 \h </w:instrText>
        </w:r>
        <w:r>
          <w:rPr>
            <w:noProof/>
            <w:webHidden/>
          </w:rPr>
        </w:r>
        <w:r>
          <w:rPr>
            <w:noProof/>
            <w:webHidden/>
          </w:rPr>
          <w:fldChar w:fldCharType="separate"/>
        </w:r>
        <w:r>
          <w:rPr>
            <w:noProof/>
            <w:webHidden/>
          </w:rPr>
          <w:t>71</w:t>
        </w:r>
        <w:r>
          <w:rPr>
            <w:noProof/>
            <w:webHidden/>
          </w:rPr>
          <w:fldChar w:fldCharType="end"/>
        </w:r>
      </w:hyperlink>
    </w:p>
    <w:p w14:paraId="0AB6AEC5" w14:textId="7D6944D8"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07" w:history="1">
        <w:r w:rsidRPr="00670870">
          <w:rPr>
            <w:rStyle w:val="Hiperveza"/>
            <w:noProof/>
          </w:rPr>
          <w:t>8.2.4.</w:t>
        </w:r>
        <w:r>
          <w:rPr>
            <w:rFonts w:asciiTheme="minorHAnsi" w:eastAsiaTheme="minorEastAsia" w:hAnsiTheme="minorHAnsi" w:cstheme="minorBidi"/>
            <w:noProof/>
            <w:sz w:val="22"/>
            <w:szCs w:val="22"/>
            <w:lang w:eastAsia="hr-HR"/>
          </w:rPr>
          <w:tab/>
        </w:r>
        <w:r w:rsidRPr="00670870">
          <w:rPr>
            <w:rStyle w:val="Hiperveza"/>
            <w:noProof/>
          </w:rPr>
          <w:t>Odluke u upravnim predmetima</w:t>
        </w:r>
        <w:r>
          <w:rPr>
            <w:noProof/>
            <w:webHidden/>
          </w:rPr>
          <w:tab/>
        </w:r>
        <w:r>
          <w:rPr>
            <w:noProof/>
            <w:webHidden/>
          </w:rPr>
          <w:fldChar w:fldCharType="begin"/>
        </w:r>
        <w:r>
          <w:rPr>
            <w:noProof/>
            <w:webHidden/>
          </w:rPr>
          <w:instrText xml:space="preserve"> PAGEREF _Toc133394307 \h </w:instrText>
        </w:r>
        <w:r>
          <w:rPr>
            <w:noProof/>
            <w:webHidden/>
          </w:rPr>
        </w:r>
        <w:r>
          <w:rPr>
            <w:noProof/>
            <w:webHidden/>
          </w:rPr>
          <w:fldChar w:fldCharType="separate"/>
        </w:r>
        <w:r>
          <w:rPr>
            <w:noProof/>
            <w:webHidden/>
          </w:rPr>
          <w:t>73</w:t>
        </w:r>
        <w:r>
          <w:rPr>
            <w:noProof/>
            <w:webHidden/>
          </w:rPr>
          <w:fldChar w:fldCharType="end"/>
        </w:r>
      </w:hyperlink>
    </w:p>
    <w:p w14:paraId="1D5B72CA" w14:textId="5733ED7E"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08" w:history="1">
        <w:r w:rsidRPr="00670870">
          <w:rPr>
            <w:rStyle w:val="Hiperveza"/>
            <w:noProof/>
          </w:rPr>
          <w:t>8.2.5.</w:t>
        </w:r>
        <w:r>
          <w:rPr>
            <w:rFonts w:asciiTheme="minorHAnsi" w:eastAsiaTheme="minorEastAsia" w:hAnsiTheme="minorHAnsi" w:cstheme="minorBidi"/>
            <w:noProof/>
            <w:sz w:val="22"/>
            <w:szCs w:val="22"/>
            <w:lang w:eastAsia="hr-HR"/>
          </w:rPr>
          <w:tab/>
        </w:r>
        <w:r w:rsidRPr="00670870">
          <w:rPr>
            <w:rStyle w:val="Hiperveza"/>
            <w:noProof/>
          </w:rPr>
          <w:t>Odluke u ostalim predmetima</w:t>
        </w:r>
        <w:r>
          <w:rPr>
            <w:noProof/>
            <w:webHidden/>
          </w:rPr>
          <w:tab/>
        </w:r>
        <w:r>
          <w:rPr>
            <w:noProof/>
            <w:webHidden/>
          </w:rPr>
          <w:fldChar w:fldCharType="begin"/>
        </w:r>
        <w:r>
          <w:rPr>
            <w:noProof/>
            <w:webHidden/>
          </w:rPr>
          <w:instrText xml:space="preserve"> PAGEREF _Toc133394308 \h </w:instrText>
        </w:r>
        <w:r>
          <w:rPr>
            <w:noProof/>
            <w:webHidden/>
          </w:rPr>
        </w:r>
        <w:r>
          <w:rPr>
            <w:noProof/>
            <w:webHidden/>
          </w:rPr>
          <w:fldChar w:fldCharType="separate"/>
        </w:r>
        <w:r>
          <w:rPr>
            <w:noProof/>
            <w:webHidden/>
          </w:rPr>
          <w:t>73</w:t>
        </w:r>
        <w:r>
          <w:rPr>
            <w:noProof/>
            <w:webHidden/>
          </w:rPr>
          <w:fldChar w:fldCharType="end"/>
        </w:r>
      </w:hyperlink>
    </w:p>
    <w:p w14:paraId="584F8433" w14:textId="39E21B22" w:rsidR="00B06098" w:rsidRDefault="00B06098">
      <w:pPr>
        <w:pStyle w:val="Sadraj2"/>
        <w:tabs>
          <w:tab w:val="left" w:pos="660"/>
          <w:tab w:val="right" w:leader="dot" w:pos="9062"/>
        </w:tabs>
        <w:rPr>
          <w:rFonts w:asciiTheme="minorHAnsi" w:eastAsiaTheme="minorEastAsia" w:hAnsiTheme="minorHAnsi" w:cstheme="minorBidi"/>
          <w:noProof/>
          <w:sz w:val="22"/>
          <w:szCs w:val="22"/>
          <w:lang w:eastAsia="hr-HR"/>
        </w:rPr>
      </w:pPr>
      <w:hyperlink w:anchor="_Toc133394309" w:history="1">
        <w:r w:rsidRPr="00670870">
          <w:rPr>
            <w:rStyle w:val="Hiperveza"/>
            <w:noProof/>
          </w:rPr>
          <w:t>9.</w:t>
        </w:r>
        <w:r>
          <w:rPr>
            <w:rFonts w:asciiTheme="minorHAnsi" w:eastAsiaTheme="minorEastAsia" w:hAnsiTheme="minorHAnsi" w:cstheme="minorBidi"/>
            <w:noProof/>
            <w:sz w:val="22"/>
            <w:szCs w:val="22"/>
            <w:lang w:eastAsia="hr-HR"/>
          </w:rPr>
          <w:tab/>
        </w:r>
        <w:r w:rsidRPr="00670870">
          <w:rPr>
            <w:rStyle w:val="Hiperveza"/>
            <w:noProof/>
          </w:rPr>
          <w:t>Prikaz rada i odluka općinskih državnih odvjetništava</w:t>
        </w:r>
        <w:r>
          <w:rPr>
            <w:noProof/>
            <w:webHidden/>
          </w:rPr>
          <w:tab/>
        </w:r>
        <w:r>
          <w:rPr>
            <w:noProof/>
            <w:webHidden/>
          </w:rPr>
          <w:fldChar w:fldCharType="begin"/>
        </w:r>
        <w:r>
          <w:rPr>
            <w:noProof/>
            <w:webHidden/>
          </w:rPr>
          <w:instrText xml:space="preserve"> PAGEREF _Toc133394309 \h </w:instrText>
        </w:r>
        <w:r>
          <w:rPr>
            <w:noProof/>
            <w:webHidden/>
          </w:rPr>
        </w:r>
        <w:r>
          <w:rPr>
            <w:noProof/>
            <w:webHidden/>
          </w:rPr>
          <w:fldChar w:fldCharType="separate"/>
        </w:r>
        <w:r>
          <w:rPr>
            <w:noProof/>
            <w:webHidden/>
          </w:rPr>
          <w:t>76</w:t>
        </w:r>
        <w:r>
          <w:rPr>
            <w:noProof/>
            <w:webHidden/>
          </w:rPr>
          <w:fldChar w:fldCharType="end"/>
        </w:r>
      </w:hyperlink>
    </w:p>
    <w:p w14:paraId="7D8F8A0A" w14:textId="1BD9B23E"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310" w:history="1">
        <w:r w:rsidRPr="00670870">
          <w:rPr>
            <w:rStyle w:val="Hiperveza"/>
            <w:noProof/>
          </w:rPr>
          <w:t>9.1.</w:t>
        </w:r>
        <w:r>
          <w:rPr>
            <w:rFonts w:asciiTheme="minorHAnsi" w:eastAsiaTheme="minorEastAsia" w:hAnsiTheme="minorHAnsi" w:cstheme="minorBidi"/>
            <w:noProof/>
            <w:sz w:val="22"/>
            <w:szCs w:val="22"/>
            <w:lang w:eastAsia="hr-HR"/>
          </w:rPr>
          <w:tab/>
        </w:r>
        <w:r w:rsidRPr="00670870">
          <w:rPr>
            <w:rStyle w:val="Hiperveza"/>
            <w:noProof/>
          </w:rPr>
          <w:t>Prikaz rada i odluka u kaznenim i prekršajnim predmetima</w:t>
        </w:r>
        <w:r>
          <w:rPr>
            <w:noProof/>
            <w:webHidden/>
          </w:rPr>
          <w:tab/>
        </w:r>
        <w:r>
          <w:rPr>
            <w:noProof/>
            <w:webHidden/>
          </w:rPr>
          <w:fldChar w:fldCharType="begin"/>
        </w:r>
        <w:r>
          <w:rPr>
            <w:noProof/>
            <w:webHidden/>
          </w:rPr>
          <w:instrText xml:space="preserve"> PAGEREF _Toc133394310 \h </w:instrText>
        </w:r>
        <w:r>
          <w:rPr>
            <w:noProof/>
            <w:webHidden/>
          </w:rPr>
        </w:r>
        <w:r>
          <w:rPr>
            <w:noProof/>
            <w:webHidden/>
          </w:rPr>
          <w:fldChar w:fldCharType="separate"/>
        </w:r>
        <w:r>
          <w:rPr>
            <w:noProof/>
            <w:webHidden/>
          </w:rPr>
          <w:t>76</w:t>
        </w:r>
        <w:r>
          <w:rPr>
            <w:noProof/>
            <w:webHidden/>
          </w:rPr>
          <w:fldChar w:fldCharType="end"/>
        </w:r>
      </w:hyperlink>
    </w:p>
    <w:p w14:paraId="06AFA8F5" w14:textId="3EA9A4CC"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11" w:history="1">
        <w:r w:rsidRPr="00670870">
          <w:rPr>
            <w:rStyle w:val="Hiperveza"/>
            <w:noProof/>
          </w:rPr>
          <w:t>9.1.1.</w:t>
        </w:r>
        <w:r>
          <w:rPr>
            <w:rFonts w:asciiTheme="minorHAnsi" w:eastAsiaTheme="minorEastAsia" w:hAnsiTheme="minorHAnsi" w:cstheme="minorBidi"/>
            <w:noProof/>
            <w:sz w:val="22"/>
            <w:szCs w:val="22"/>
            <w:lang w:eastAsia="hr-HR"/>
          </w:rPr>
          <w:tab/>
        </w:r>
        <w:r w:rsidRPr="00670870">
          <w:rPr>
            <w:rStyle w:val="Hiperveza"/>
            <w:noProof/>
          </w:rPr>
          <w:t>Odluke povodom kaznene prijave</w:t>
        </w:r>
        <w:r>
          <w:rPr>
            <w:noProof/>
            <w:webHidden/>
          </w:rPr>
          <w:tab/>
        </w:r>
        <w:r>
          <w:rPr>
            <w:noProof/>
            <w:webHidden/>
          </w:rPr>
          <w:fldChar w:fldCharType="begin"/>
        </w:r>
        <w:r>
          <w:rPr>
            <w:noProof/>
            <w:webHidden/>
          </w:rPr>
          <w:instrText xml:space="preserve"> PAGEREF _Toc133394311 \h </w:instrText>
        </w:r>
        <w:r>
          <w:rPr>
            <w:noProof/>
            <w:webHidden/>
          </w:rPr>
        </w:r>
        <w:r>
          <w:rPr>
            <w:noProof/>
            <w:webHidden/>
          </w:rPr>
          <w:fldChar w:fldCharType="separate"/>
        </w:r>
        <w:r>
          <w:rPr>
            <w:noProof/>
            <w:webHidden/>
          </w:rPr>
          <w:t>78</w:t>
        </w:r>
        <w:r>
          <w:rPr>
            <w:noProof/>
            <w:webHidden/>
          </w:rPr>
          <w:fldChar w:fldCharType="end"/>
        </w:r>
      </w:hyperlink>
    </w:p>
    <w:p w14:paraId="1BF17448" w14:textId="464B4EDF" w:rsidR="00B06098" w:rsidRDefault="00B06098">
      <w:pPr>
        <w:pStyle w:val="Sadraj5"/>
        <w:tabs>
          <w:tab w:val="left" w:pos="1901"/>
          <w:tab w:val="right" w:leader="dot" w:pos="9062"/>
        </w:tabs>
        <w:rPr>
          <w:rFonts w:asciiTheme="minorHAnsi" w:eastAsiaTheme="minorEastAsia" w:hAnsiTheme="minorHAnsi" w:cstheme="minorBidi"/>
          <w:noProof/>
          <w:sz w:val="22"/>
          <w:szCs w:val="22"/>
          <w:lang w:eastAsia="hr-HR"/>
        </w:rPr>
      </w:pPr>
      <w:hyperlink w:anchor="_Toc133394312" w:history="1">
        <w:r w:rsidRPr="00670870">
          <w:rPr>
            <w:rStyle w:val="Hiperveza"/>
            <w:noProof/>
          </w:rPr>
          <w:t>9.1.1.1.</w:t>
        </w:r>
        <w:r>
          <w:rPr>
            <w:rFonts w:asciiTheme="minorHAnsi" w:eastAsiaTheme="minorEastAsia" w:hAnsiTheme="minorHAnsi" w:cstheme="minorBidi"/>
            <w:noProof/>
            <w:sz w:val="22"/>
            <w:szCs w:val="22"/>
            <w:lang w:eastAsia="hr-HR"/>
          </w:rPr>
          <w:tab/>
        </w:r>
        <w:r w:rsidRPr="00670870">
          <w:rPr>
            <w:rStyle w:val="Hiperveza"/>
            <w:noProof/>
          </w:rPr>
          <w:t>Odluke povodom kaznene prijave – maloljetnici</w:t>
        </w:r>
        <w:r>
          <w:rPr>
            <w:noProof/>
            <w:webHidden/>
          </w:rPr>
          <w:tab/>
        </w:r>
        <w:r>
          <w:rPr>
            <w:noProof/>
            <w:webHidden/>
          </w:rPr>
          <w:fldChar w:fldCharType="begin"/>
        </w:r>
        <w:r>
          <w:rPr>
            <w:noProof/>
            <w:webHidden/>
          </w:rPr>
          <w:instrText xml:space="preserve"> PAGEREF _Toc133394312 \h </w:instrText>
        </w:r>
        <w:r>
          <w:rPr>
            <w:noProof/>
            <w:webHidden/>
          </w:rPr>
        </w:r>
        <w:r>
          <w:rPr>
            <w:noProof/>
            <w:webHidden/>
          </w:rPr>
          <w:fldChar w:fldCharType="separate"/>
        </w:r>
        <w:r>
          <w:rPr>
            <w:noProof/>
            <w:webHidden/>
          </w:rPr>
          <w:t>79</w:t>
        </w:r>
        <w:r>
          <w:rPr>
            <w:noProof/>
            <w:webHidden/>
          </w:rPr>
          <w:fldChar w:fldCharType="end"/>
        </w:r>
      </w:hyperlink>
    </w:p>
    <w:p w14:paraId="1906A741" w14:textId="63C32860" w:rsidR="00B06098" w:rsidRDefault="00B06098">
      <w:pPr>
        <w:pStyle w:val="Sadraj5"/>
        <w:tabs>
          <w:tab w:val="left" w:pos="1901"/>
          <w:tab w:val="right" w:leader="dot" w:pos="9062"/>
        </w:tabs>
        <w:rPr>
          <w:rFonts w:asciiTheme="minorHAnsi" w:eastAsiaTheme="minorEastAsia" w:hAnsiTheme="minorHAnsi" w:cstheme="minorBidi"/>
          <w:noProof/>
          <w:sz w:val="22"/>
          <w:szCs w:val="22"/>
          <w:lang w:eastAsia="hr-HR"/>
        </w:rPr>
      </w:pPr>
      <w:hyperlink w:anchor="_Toc133394313" w:history="1">
        <w:r w:rsidRPr="00670870">
          <w:rPr>
            <w:rStyle w:val="Hiperveza"/>
            <w:noProof/>
          </w:rPr>
          <w:t>9.1.1.2.</w:t>
        </w:r>
        <w:r>
          <w:rPr>
            <w:rFonts w:asciiTheme="minorHAnsi" w:eastAsiaTheme="minorEastAsia" w:hAnsiTheme="minorHAnsi" w:cstheme="minorBidi"/>
            <w:noProof/>
            <w:sz w:val="22"/>
            <w:szCs w:val="22"/>
            <w:lang w:eastAsia="hr-HR"/>
          </w:rPr>
          <w:tab/>
        </w:r>
        <w:r w:rsidRPr="00670870">
          <w:rPr>
            <w:rStyle w:val="Hiperveza"/>
            <w:noProof/>
          </w:rPr>
          <w:t>Odluke o kaznenim prijavama nakon dovršenog istraživanja</w:t>
        </w:r>
        <w:r>
          <w:rPr>
            <w:noProof/>
            <w:webHidden/>
          </w:rPr>
          <w:tab/>
        </w:r>
        <w:r>
          <w:rPr>
            <w:noProof/>
            <w:webHidden/>
          </w:rPr>
          <w:fldChar w:fldCharType="begin"/>
        </w:r>
        <w:r>
          <w:rPr>
            <w:noProof/>
            <w:webHidden/>
          </w:rPr>
          <w:instrText xml:space="preserve"> PAGEREF _Toc133394313 \h </w:instrText>
        </w:r>
        <w:r>
          <w:rPr>
            <w:noProof/>
            <w:webHidden/>
          </w:rPr>
        </w:r>
        <w:r>
          <w:rPr>
            <w:noProof/>
            <w:webHidden/>
          </w:rPr>
          <w:fldChar w:fldCharType="separate"/>
        </w:r>
        <w:r>
          <w:rPr>
            <w:noProof/>
            <w:webHidden/>
          </w:rPr>
          <w:t>80</w:t>
        </w:r>
        <w:r>
          <w:rPr>
            <w:noProof/>
            <w:webHidden/>
          </w:rPr>
          <w:fldChar w:fldCharType="end"/>
        </w:r>
      </w:hyperlink>
    </w:p>
    <w:p w14:paraId="2F4B2BD3" w14:textId="28A1E2DA"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14" w:history="1">
        <w:r w:rsidRPr="00670870">
          <w:rPr>
            <w:rStyle w:val="Hiperveza"/>
            <w:noProof/>
          </w:rPr>
          <w:t>9.1.2.</w:t>
        </w:r>
        <w:r>
          <w:rPr>
            <w:rFonts w:asciiTheme="minorHAnsi" w:eastAsiaTheme="minorEastAsia" w:hAnsiTheme="minorHAnsi" w:cstheme="minorBidi"/>
            <w:noProof/>
            <w:sz w:val="22"/>
            <w:szCs w:val="22"/>
            <w:lang w:eastAsia="hr-HR"/>
          </w:rPr>
          <w:tab/>
        </w:r>
        <w:r w:rsidRPr="00670870">
          <w:rPr>
            <w:rStyle w:val="Hiperveza"/>
            <w:noProof/>
          </w:rPr>
          <w:t>Istrage i odluke po dovršenoj istrazi</w:t>
        </w:r>
        <w:r>
          <w:rPr>
            <w:noProof/>
            <w:webHidden/>
          </w:rPr>
          <w:tab/>
        </w:r>
        <w:r>
          <w:rPr>
            <w:noProof/>
            <w:webHidden/>
          </w:rPr>
          <w:fldChar w:fldCharType="begin"/>
        </w:r>
        <w:r>
          <w:rPr>
            <w:noProof/>
            <w:webHidden/>
          </w:rPr>
          <w:instrText xml:space="preserve"> PAGEREF _Toc133394314 \h </w:instrText>
        </w:r>
        <w:r>
          <w:rPr>
            <w:noProof/>
            <w:webHidden/>
          </w:rPr>
        </w:r>
        <w:r>
          <w:rPr>
            <w:noProof/>
            <w:webHidden/>
          </w:rPr>
          <w:fldChar w:fldCharType="separate"/>
        </w:r>
        <w:r>
          <w:rPr>
            <w:noProof/>
            <w:webHidden/>
          </w:rPr>
          <w:t>81</w:t>
        </w:r>
        <w:r>
          <w:rPr>
            <w:noProof/>
            <w:webHidden/>
          </w:rPr>
          <w:fldChar w:fldCharType="end"/>
        </w:r>
      </w:hyperlink>
    </w:p>
    <w:p w14:paraId="71DD14DE" w14:textId="47987DC4" w:rsidR="00B06098" w:rsidRDefault="00B06098">
      <w:pPr>
        <w:pStyle w:val="Sadraj5"/>
        <w:tabs>
          <w:tab w:val="left" w:pos="1901"/>
          <w:tab w:val="right" w:leader="dot" w:pos="9062"/>
        </w:tabs>
        <w:rPr>
          <w:rFonts w:asciiTheme="minorHAnsi" w:eastAsiaTheme="minorEastAsia" w:hAnsiTheme="minorHAnsi" w:cstheme="minorBidi"/>
          <w:noProof/>
          <w:sz w:val="22"/>
          <w:szCs w:val="22"/>
          <w:lang w:eastAsia="hr-HR"/>
        </w:rPr>
      </w:pPr>
      <w:hyperlink w:anchor="_Toc133394315" w:history="1">
        <w:r w:rsidRPr="00670870">
          <w:rPr>
            <w:rStyle w:val="Hiperveza"/>
            <w:noProof/>
          </w:rPr>
          <w:t>9.1.2.1.</w:t>
        </w:r>
        <w:r>
          <w:rPr>
            <w:rFonts w:asciiTheme="minorHAnsi" w:eastAsiaTheme="minorEastAsia" w:hAnsiTheme="minorHAnsi" w:cstheme="minorBidi"/>
            <w:noProof/>
            <w:sz w:val="22"/>
            <w:szCs w:val="22"/>
            <w:lang w:eastAsia="hr-HR"/>
          </w:rPr>
          <w:tab/>
        </w:r>
        <w:r w:rsidRPr="00670870">
          <w:rPr>
            <w:rStyle w:val="Hiperveza"/>
            <w:noProof/>
          </w:rPr>
          <w:t>Odluke po dovršenom pripremnom postupku – maloljetnici</w:t>
        </w:r>
        <w:r>
          <w:rPr>
            <w:noProof/>
            <w:webHidden/>
          </w:rPr>
          <w:tab/>
        </w:r>
        <w:r>
          <w:rPr>
            <w:noProof/>
            <w:webHidden/>
          </w:rPr>
          <w:fldChar w:fldCharType="begin"/>
        </w:r>
        <w:r>
          <w:rPr>
            <w:noProof/>
            <w:webHidden/>
          </w:rPr>
          <w:instrText xml:space="preserve"> PAGEREF _Toc133394315 \h </w:instrText>
        </w:r>
        <w:r>
          <w:rPr>
            <w:noProof/>
            <w:webHidden/>
          </w:rPr>
        </w:r>
        <w:r>
          <w:rPr>
            <w:noProof/>
            <w:webHidden/>
          </w:rPr>
          <w:fldChar w:fldCharType="separate"/>
        </w:r>
        <w:r>
          <w:rPr>
            <w:noProof/>
            <w:webHidden/>
          </w:rPr>
          <w:t>82</w:t>
        </w:r>
        <w:r>
          <w:rPr>
            <w:noProof/>
            <w:webHidden/>
          </w:rPr>
          <w:fldChar w:fldCharType="end"/>
        </w:r>
      </w:hyperlink>
    </w:p>
    <w:p w14:paraId="497672F9" w14:textId="6FB06466"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16" w:history="1">
        <w:r w:rsidRPr="00670870">
          <w:rPr>
            <w:rStyle w:val="Hiperveza"/>
            <w:noProof/>
          </w:rPr>
          <w:t>9.1.3.</w:t>
        </w:r>
        <w:r>
          <w:rPr>
            <w:rFonts w:asciiTheme="minorHAnsi" w:eastAsiaTheme="minorEastAsia" w:hAnsiTheme="minorHAnsi" w:cstheme="minorBidi"/>
            <w:noProof/>
            <w:sz w:val="22"/>
            <w:szCs w:val="22"/>
            <w:lang w:eastAsia="hr-HR"/>
          </w:rPr>
          <w:tab/>
        </w:r>
        <w:r w:rsidRPr="00670870">
          <w:rPr>
            <w:rStyle w:val="Hiperveza"/>
            <w:noProof/>
          </w:rPr>
          <w:t>Optuženja i odluke sudova povodom optuženja</w:t>
        </w:r>
        <w:r>
          <w:rPr>
            <w:noProof/>
            <w:webHidden/>
          </w:rPr>
          <w:tab/>
        </w:r>
        <w:r>
          <w:rPr>
            <w:noProof/>
            <w:webHidden/>
          </w:rPr>
          <w:fldChar w:fldCharType="begin"/>
        </w:r>
        <w:r>
          <w:rPr>
            <w:noProof/>
            <w:webHidden/>
          </w:rPr>
          <w:instrText xml:space="preserve"> PAGEREF _Toc133394316 \h </w:instrText>
        </w:r>
        <w:r>
          <w:rPr>
            <w:noProof/>
            <w:webHidden/>
          </w:rPr>
        </w:r>
        <w:r>
          <w:rPr>
            <w:noProof/>
            <w:webHidden/>
          </w:rPr>
          <w:fldChar w:fldCharType="separate"/>
        </w:r>
        <w:r>
          <w:rPr>
            <w:noProof/>
            <w:webHidden/>
          </w:rPr>
          <w:t>82</w:t>
        </w:r>
        <w:r>
          <w:rPr>
            <w:noProof/>
            <w:webHidden/>
          </w:rPr>
          <w:fldChar w:fldCharType="end"/>
        </w:r>
      </w:hyperlink>
    </w:p>
    <w:p w14:paraId="60258AB4" w14:textId="6C58D01A"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17" w:history="1">
        <w:r w:rsidRPr="00670870">
          <w:rPr>
            <w:rStyle w:val="Hiperveza"/>
            <w:noProof/>
          </w:rPr>
          <w:t>9.1.4.</w:t>
        </w:r>
        <w:r>
          <w:rPr>
            <w:rFonts w:asciiTheme="minorHAnsi" w:eastAsiaTheme="minorEastAsia" w:hAnsiTheme="minorHAnsi" w:cstheme="minorBidi"/>
            <w:noProof/>
            <w:sz w:val="22"/>
            <w:szCs w:val="22"/>
            <w:lang w:eastAsia="hr-HR"/>
          </w:rPr>
          <w:tab/>
        </w:r>
        <w:r w:rsidRPr="00670870">
          <w:rPr>
            <w:rStyle w:val="Hiperveza"/>
            <w:noProof/>
          </w:rPr>
          <w:t>Kaznene sankcije</w:t>
        </w:r>
        <w:r>
          <w:rPr>
            <w:noProof/>
            <w:webHidden/>
          </w:rPr>
          <w:tab/>
        </w:r>
        <w:r>
          <w:rPr>
            <w:noProof/>
            <w:webHidden/>
          </w:rPr>
          <w:fldChar w:fldCharType="begin"/>
        </w:r>
        <w:r>
          <w:rPr>
            <w:noProof/>
            <w:webHidden/>
          </w:rPr>
          <w:instrText xml:space="preserve"> PAGEREF _Toc133394317 \h </w:instrText>
        </w:r>
        <w:r>
          <w:rPr>
            <w:noProof/>
            <w:webHidden/>
          </w:rPr>
        </w:r>
        <w:r>
          <w:rPr>
            <w:noProof/>
            <w:webHidden/>
          </w:rPr>
          <w:fldChar w:fldCharType="separate"/>
        </w:r>
        <w:r>
          <w:rPr>
            <w:noProof/>
            <w:webHidden/>
          </w:rPr>
          <w:t>85</w:t>
        </w:r>
        <w:r>
          <w:rPr>
            <w:noProof/>
            <w:webHidden/>
          </w:rPr>
          <w:fldChar w:fldCharType="end"/>
        </w:r>
      </w:hyperlink>
    </w:p>
    <w:p w14:paraId="1B4709D6" w14:textId="4ADD5748" w:rsidR="00B06098" w:rsidRDefault="00B06098">
      <w:pPr>
        <w:pStyle w:val="Sadraj5"/>
        <w:tabs>
          <w:tab w:val="left" w:pos="1901"/>
          <w:tab w:val="right" w:leader="dot" w:pos="9062"/>
        </w:tabs>
        <w:rPr>
          <w:rFonts w:asciiTheme="minorHAnsi" w:eastAsiaTheme="minorEastAsia" w:hAnsiTheme="minorHAnsi" w:cstheme="minorBidi"/>
          <w:noProof/>
          <w:sz w:val="22"/>
          <w:szCs w:val="22"/>
          <w:lang w:eastAsia="hr-HR"/>
        </w:rPr>
      </w:pPr>
      <w:hyperlink w:anchor="_Toc133394318" w:history="1">
        <w:r w:rsidRPr="00670870">
          <w:rPr>
            <w:rStyle w:val="Hiperveza"/>
            <w:noProof/>
          </w:rPr>
          <w:t>9.1.4.1.</w:t>
        </w:r>
        <w:r>
          <w:rPr>
            <w:rFonts w:asciiTheme="minorHAnsi" w:eastAsiaTheme="minorEastAsia" w:hAnsiTheme="minorHAnsi" w:cstheme="minorBidi"/>
            <w:noProof/>
            <w:sz w:val="22"/>
            <w:szCs w:val="22"/>
            <w:lang w:eastAsia="hr-HR"/>
          </w:rPr>
          <w:tab/>
        </w:r>
        <w:r w:rsidRPr="00670870">
          <w:rPr>
            <w:rStyle w:val="Hiperveza"/>
            <w:noProof/>
          </w:rPr>
          <w:t>Kaznene sankcije – maloljetnici</w:t>
        </w:r>
        <w:r>
          <w:rPr>
            <w:noProof/>
            <w:webHidden/>
          </w:rPr>
          <w:tab/>
        </w:r>
        <w:r>
          <w:rPr>
            <w:noProof/>
            <w:webHidden/>
          </w:rPr>
          <w:fldChar w:fldCharType="begin"/>
        </w:r>
        <w:r>
          <w:rPr>
            <w:noProof/>
            <w:webHidden/>
          </w:rPr>
          <w:instrText xml:space="preserve"> PAGEREF _Toc133394318 \h </w:instrText>
        </w:r>
        <w:r>
          <w:rPr>
            <w:noProof/>
            <w:webHidden/>
          </w:rPr>
        </w:r>
        <w:r>
          <w:rPr>
            <w:noProof/>
            <w:webHidden/>
          </w:rPr>
          <w:fldChar w:fldCharType="separate"/>
        </w:r>
        <w:r>
          <w:rPr>
            <w:noProof/>
            <w:webHidden/>
          </w:rPr>
          <w:t>88</w:t>
        </w:r>
        <w:r>
          <w:rPr>
            <w:noProof/>
            <w:webHidden/>
          </w:rPr>
          <w:fldChar w:fldCharType="end"/>
        </w:r>
      </w:hyperlink>
    </w:p>
    <w:p w14:paraId="0F51268B" w14:textId="09F49634" w:rsidR="00B06098" w:rsidRDefault="00B06098">
      <w:pPr>
        <w:pStyle w:val="Sadraj5"/>
        <w:tabs>
          <w:tab w:val="left" w:pos="1901"/>
          <w:tab w:val="right" w:leader="dot" w:pos="9062"/>
        </w:tabs>
        <w:rPr>
          <w:rFonts w:asciiTheme="minorHAnsi" w:eastAsiaTheme="minorEastAsia" w:hAnsiTheme="minorHAnsi" w:cstheme="minorBidi"/>
          <w:noProof/>
          <w:sz w:val="22"/>
          <w:szCs w:val="22"/>
          <w:lang w:eastAsia="hr-HR"/>
        </w:rPr>
      </w:pPr>
      <w:hyperlink w:anchor="_Toc133394319" w:history="1">
        <w:r w:rsidRPr="00670870">
          <w:rPr>
            <w:rStyle w:val="Hiperveza"/>
            <w:noProof/>
          </w:rPr>
          <w:t>9.1.4.2.</w:t>
        </w:r>
        <w:r>
          <w:rPr>
            <w:rFonts w:asciiTheme="minorHAnsi" w:eastAsiaTheme="minorEastAsia" w:hAnsiTheme="minorHAnsi" w:cstheme="minorBidi"/>
            <w:noProof/>
            <w:sz w:val="22"/>
            <w:szCs w:val="22"/>
            <w:lang w:eastAsia="hr-HR"/>
          </w:rPr>
          <w:tab/>
        </w:r>
        <w:r w:rsidRPr="00670870">
          <w:rPr>
            <w:rStyle w:val="Hiperveza"/>
            <w:noProof/>
          </w:rPr>
          <w:t>Oduzimanje imovinske koristi i mjere osiguranja</w:t>
        </w:r>
        <w:r>
          <w:rPr>
            <w:noProof/>
            <w:webHidden/>
          </w:rPr>
          <w:tab/>
        </w:r>
        <w:r>
          <w:rPr>
            <w:noProof/>
            <w:webHidden/>
          </w:rPr>
          <w:fldChar w:fldCharType="begin"/>
        </w:r>
        <w:r>
          <w:rPr>
            <w:noProof/>
            <w:webHidden/>
          </w:rPr>
          <w:instrText xml:space="preserve"> PAGEREF _Toc133394319 \h </w:instrText>
        </w:r>
        <w:r>
          <w:rPr>
            <w:noProof/>
            <w:webHidden/>
          </w:rPr>
        </w:r>
        <w:r>
          <w:rPr>
            <w:noProof/>
            <w:webHidden/>
          </w:rPr>
          <w:fldChar w:fldCharType="separate"/>
        </w:r>
        <w:r>
          <w:rPr>
            <w:noProof/>
            <w:webHidden/>
          </w:rPr>
          <w:t>88</w:t>
        </w:r>
        <w:r>
          <w:rPr>
            <w:noProof/>
            <w:webHidden/>
          </w:rPr>
          <w:fldChar w:fldCharType="end"/>
        </w:r>
      </w:hyperlink>
    </w:p>
    <w:p w14:paraId="37406722" w14:textId="4BC75290"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20" w:history="1">
        <w:r w:rsidRPr="00670870">
          <w:rPr>
            <w:rStyle w:val="Hiperveza"/>
            <w:noProof/>
          </w:rPr>
          <w:t>9.1.5.</w:t>
        </w:r>
        <w:r>
          <w:rPr>
            <w:rFonts w:asciiTheme="minorHAnsi" w:eastAsiaTheme="minorEastAsia" w:hAnsiTheme="minorHAnsi" w:cstheme="minorBidi"/>
            <w:noProof/>
            <w:sz w:val="22"/>
            <w:szCs w:val="22"/>
            <w:lang w:eastAsia="hr-HR"/>
          </w:rPr>
          <w:tab/>
        </w:r>
        <w:r w:rsidRPr="00670870">
          <w:rPr>
            <w:rStyle w:val="Hiperveza"/>
            <w:noProof/>
          </w:rPr>
          <w:t>Pregled radnji i ročišta (općinskih državnih odvjetništava)</w:t>
        </w:r>
        <w:r>
          <w:rPr>
            <w:noProof/>
            <w:webHidden/>
          </w:rPr>
          <w:tab/>
        </w:r>
        <w:r>
          <w:rPr>
            <w:noProof/>
            <w:webHidden/>
          </w:rPr>
          <w:fldChar w:fldCharType="begin"/>
        </w:r>
        <w:r>
          <w:rPr>
            <w:noProof/>
            <w:webHidden/>
          </w:rPr>
          <w:instrText xml:space="preserve"> PAGEREF _Toc133394320 \h </w:instrText>
        </w:r>
        <w:r>
          <w:rPr>
            <w:noProof/>
            <w:webHidden/>
          </w:rPr>
        </w:r>
        <w:r>
          <w:rPr>
            <w:noProof/>
            <w:webHidden/>
          </w:rPr>
          <w:fldChar w:fldCharType="separate"/>
        </w:r>
        <w:r>
          <w:rPr>
            <w:noProof/>
            <w:webHidden/>
          </w:rPr>
          <w:t>90</w:t>
        </w:r>
        <w:r>
          <w:rPr>
            <w:noProof/>
            <w:webHidden/>
          </w:rPr>
          <w:fldChar w:fldCharType="end"/>
        </w:r>
      </w:hyperlink>
    </w:p>
    <w:p w14:paraId="3CC14584" w14:textId="06BB15E0"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21" w:history="1">
        <w:r w:rsidRPr="00670870">
          <w:rPr>
            <w:rStyle w:val="Hiperveza"/>
            <w:noProof/>
          </w:rPr>
          <w:t>9.1.6.</w:t>
        </w:r>
        <w:r>
          <w:rPr>
            <w:rFonts w:asciiTheme="minorHAnsi" w:eastAsiaTheme="minorEastAsia" w:hAnsiTheme="minorHAnsi" w:cstheme="minorBidi"/>
            <w:noProof/>
            <w:sz w:val="22"/>
            <w:szCs w:val="22"/>
            <w:lang w:eastAsia="hr-HR"/>
          </w:rPr>
          <w:tab/>
        </w:r>
        <w:r w:rsidRPr="00670870">
          <w:rPr>
            <w:rStyle w:val="Hiperveza"/>
            <w:noProof/>
          </w:rPr>
          <w:t>Žalbe i odluke sudova povodom žalbi</w:t>
        </w:r>
        <w:r>
          <w:rPr>
            <w:noProof/>
            <w:webHidden/>
          </w:rPr>
          <w:tab/>
        </w:r>
        <w:r>
          <w:rPr>
            <w:noProof/>
            <w:webHidden/>
          </w:rPr>
          <w:fldChar w:fldCharType="begin"/>
        </w:r>
        <w:r>
          <w:rPr>
            <w:noProof/>
            <w:webHidden/>
          </w:rPr>
          <w:instrText xml:space="preserve"> PAGEREF _Toc133394321 \h </w:instrText>
        </w:r>
        <w:r>
          <w:rPr>
            <w:noProof/>
            <w:webHidden/>
          </w:rPr>
        </w:r>
        <w:r>
          <w:rPr>
            <w:noProof/>
            <w:webHidden/>
          </w:rPr>
          <w:fldChar w:fldCharType="separate"/>
        </w:r>
        <w:r>
          <w:rPr>
            <w:noProof/>
            <w:webHidden/>
          </w:rPr>
          <w:t>91</w:t>
        </w:r>
        <w:r>
          <w:rPr>
            <w:noProof/>
            <w:webHidden/>
          </w:rPr>
          <w:fldChar w:fldCharType="end"/>
        </w:r>
      </w:hyperlink>
    </w:p>
    <w:p w14:paraId="5D949B57" w14:textId="35BD0186"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22" w:history="1">
        <w:r w:rsidRPr="00670870">
          <w:rPr>
            <w:rStyle w:val="Hiperveza"/>
            <w:noProof/>
          </w:rPr>
          <w:t>9.1.7.</w:t>
        </w:r>
        <w:r>
          <w:rPr>
            <w:rFonts w:asciiTheme="minorHAnsi" w:eastAsiaTheme="minorEastAsia" w:hAnsiTheme="minorHAnsi" w:cstheme="minorBidi"/>
            <w:noProof/>
            <w:sz w:val="22"/>
            <w:szCs w:val="22"/>
            <w:lang w:eastAsia="hr-HR"/>
          </w:rPr>
          <w:tab/>
        </w:r>
        <w:r w:rsidRPr="00670870">
          <w:rPr>
            <w:rStyle w:val="Hiperveza"/>
            <w:noProof/>
          </w:rPr>
          <w:t>Rad i odluke u prekršajnim predmetima</w:t>
        </w:r>
        <w:r>
          <w:rPr>
            <w:noProof/>
            <w:webHidden/>
          </w:rPr>
          <w:tab/>
        </w:r>
        <w:r>
          <w:rPr>
            <w:noProof/>
            <w:webHidden/>
          </w:rPr>
          <w:fldChar w:fldCharType="begin"/>
        </w:r>
        <w:r>
          <w:rPr>
            <w:noProof/>
            <w:webHidden/>
          </w:rPr>
          <w:instrText xml:space="preserve"> PAGEREF _Toc133394322 \h </w:instrText>
        </w:r>
        <w:r>
          <w:rPr>
            <w:noProof/>
            <w:webHidden/>
          </w:rPr>
        </w:r>
        <w:r>
          <w:rPr>
            <w:noProof/>
            <w:webHidden/>
          </w:rPr>
          <w:fldChar w:fldCharType="separate"/>
        </w:r>
        <w:r>
          <w:rPr>
            <w:noProof/>
            <w:webHidden/>
          </w:rPr>
          <w:t>92</w:t>
        </w:r>
        <w:r>
          <w:rPr>
            <w:noProof/>
            <w:webHidden/>
          </w:rPr>
          <w:fldChar w:fldCharType="end"/>
        </w:r>
      </w:hyperlink>
    </w:p>
    <w:p w14:paraId="29182FE6" w14:textId="6057CAC9" w:rsidR="00B06098" w:rsidRDefault="00B06098">
      <w:pPr>
        <w:pStyle w:val="Sadraj3"/>
        <w:tabs>
          <w:tab w:val="left" w:pos="1100"/>
          <w:tab w:val="right" w:leader="dot" w:pos="9062"/>
        </w:tabs>
        <w:rPr>
          <w:rFonts w:asciiTheme="minorHAnsi" w:eastAsiaTheme="minorEastAsia" w:hAnsiTheme="minorHAnsi" w:cstheme="minorBidi"/>
          <w:noProof/>
          <w:sz w:val="22"/>
          <w:szCs w:val="22"/>
          <w:lang w:eastAsia="hr-HR"/>
        </w:rPr>
      </w:pPr>
      <w:hyperlink w:anchor="_Toc133394323" w:history="1">
        <w:r w:rsidRPr="00670870">
          <w:rPr>
            <w:rStyle w:val="Hiperveza"/>
            <w:noProof/>
          </w:rPr>
          <w:t>9.2.</w:t>
        </w:r>
        <w:r>
          <w:rPr>
            <w:rFonts w:asciiTheme="minorHAnsi" w:eastAsiaTheme="minorEastAsia" w:hAnsiTheme="minorHAnsi" w:cstheme="minorBidi"/>
            <w:noProof/>
            <w:sz w:val="22"/>
            <w:szCs w:val="22"/>
            <w:lang w:eastAsia="hr-HR"/>
          </w:rPr>
          <w:tab/>
        </w:r>
        <w:r w:rsidRPr="00670870">
          <w:rPr>
            <w:rStyle w:val="Hiperveza"/>
            <w:noProof/>
          </w:rPr>
          <w:t>Prikaz rada i odluka u građanskim i upravnim predmetima</w:t>
        </w:r>
        <w:r>
          <w:rPr>
            <w:noProof/>
            <w:webHidden/>
          </w:rPr>
          <w:tab/>
        </w:r>
        <w:r>
          <w:rPr>
            <w:noProof/>
            <w:webHidden/>
          </w:rPr>
          <w:fldChar w:fldCharType="begin"/>
        </w:r>
        <w:r>
          <w:rPr>
            <w:noProof/>
            <w:webHidden/>
          </w:rPr>
          <w:instrText xml:space="preserve"> PAGEREF _Toc133394323 \h </w:instrText>
        </w:r>
        <w:r>
          <w:rPr>
            <w:noProof/>
            <w:webHidden/>
          </w:rPr>
        </w:r>
        <w:r>
          <w:rPr>
            <w:noProof/>
            <w:webHidden/>
          </w:rPr>
          <w:fldChar w:fldCharType="separate"/>
        </w:r>
        <w:r>
          <w:rPr>
            <w:noProof/>
            <w:webHidden/>
          </w:rPr>
          <w:t>94</w:t>
        </w:r>
        <w:r>
          <w:rPr>
            <w:noProof/>
            <w:webHidden/>
          </w:rPr>
          <w:fldChar w:fldCharType="end"/>
        </w:r>
      </w:hyperlink>
    </w:p>
    <w:p w14:paraId="1FF2557C" w14:textId="5120E59E"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24" w:history="1">
        <w:r w:rsidRPr="00670870">
          <w:rPr>
            <w:rStyle w:val="Hiperveza"/>
            <w:noProof/>
          </w:rPr>
          <w:t>9.2.1.</w:t>
        </w:r>
        <w:r>
          <w:rPr>
            <w:rFonts w:asciiTheme="minorHAnsi" w:eastAsiaTheme="minorEastAsia" w:hAnsiTheme="minorHAnsi" w:cstheme="minorBidi"/>
            <w:noProof/>
            <w:sz w:val="22"/>
            <w:szCs w:val="22"/>
            <w:lang w:eastAsia="hr-HR"/>
          </w:rPr>
          <w:tab/>
        </w:r>
        <w:r w:rsidRPr="00670870">
          <w:rPr>
            <w:rStyle w:val="Hiperveza"/>
            <w:noProof/>
          </w:rPr>
          <w:t>Predmeti izvansudskog rješavanja sporova</w:t>
        </w:r>
        <w:r>
          <w:rPr>
            <w:noProof/>
            <w:webHidden/>
          </w:rPr>
          <w:tab/>
        </w:r>
        <w:r>
          <w:rPr>
            <w:noProof/>
            <w:webHidden/>
          </w:rPr>
          <w:fldChar w:fldCharType="begin"/>
        </w:r>
        <w:r>
          <w:rPr>
            <w:noProof/>
            <w:webHidden/>
          </w:rPr>
          <w:instrText xml:space="preserve"> PAGEREF _Toc133394324 \h </w:instrText>
        </w:r>
        <w:r>
          <w:rPr>
            <w:noProof/>
            <w:webHidden/>
          </w:rPr>
        </w:r>
        <w:r>
          <w:rPr>
            <w:noProof/>
            <w:webHidden/>
          </w:rPr>
          <w:fldChar w:fldCharType="separate"/>
        </w:r>
        <w:r>
          <w:rPr>
            <w:noProof/>
            <w:webHidden/>
          </w:rPr>
          <w:t>96</w:t>
        </w:r>
        <w:r>
          <w:rPr>
            <w:noProof/>
            <w:webHidden/>
          </w:rPr>
          <w:fldChar w:fldCharType="end"/>
        </w:r>
      </w:hyperlink>
    </w:p>
    <w:p w14:paraId="2EC6421A" w14:textId="3FFC90F9" w:rsidR="00B06098" w:rsidRDefault="00B06098">
      <w:pPr>
        <w:pStyle w:val="Sadraj5"/>
        <w:tabs>
          <w:tab w:val="left" w:pos="1901"/>
          <w:tab w:val="right" w:leader="dot" w:pos="9062"/>
        </w:tabs>
        <w:rPr>
          <w:rFonts w:asciiTheme="minorHAnsi" w:eastAsiaTheme="minorEastAsia" w:hAnsiTheme="minorHAnsi" w:cstheme="minorBidi"/>
          <w:noProof/>
          <w:sz w:val="22"/>
          <w:szCs w:val="22"/>
          <w:lang w:eastAsia="hr-HR"/>
        </w:rPr>
      </w:pPr>
      <w:hyperlink w:anchor="_Toc133394325" w:history="1">
        <w:r w:rsidRPr="00670870">
          <w:rPr>
            <w:rStyle w:val="Hiperveza"/>
            <w:noProof/>
          </w:rPr>
          <w:t>9.2.1.1.</w:t>
        </w:r>
        <w:r>
          <w:rPr>
            <w:rFonts w:asciiTheme="minorHAnsi" w:eastAsiaTheme="minorEastAsia" w:hAnsiTheme="minorHAnsi" w:cstheme="minorBidi"/>
            <w:noProof/>
            <w:sz w:val="22"/>
            <w:szCs w:val="22"/>
            <w:lang w:eastAsia="hr-HR"/>
          </w:rPr>
          <w:tab/>
        </w:r>
        <w:r w:rsidRPr="00670870">
          <w:rPr>
            <w:rStyle w:val="Hiperveza"/>
            <w:noProof/>
          </w:rPr>
          <w:t>Mirno rješavanje sporova (članak 186.a Zakona o parničnom  postupku)</w:t>
        </w:r>
        <w:r>
          <w:rPr>
            <w:noProof/>
            <w:webHidden/>
          </w:rPr>
          <w:tab/>
        </w:r>
        <w:r>
          <w:rPr>
            <w:noProof/>
            <w:webHidden/>
          </w:rPr>
          <w:fldChar w:fldCharType="begin"/>
        </w:r>
        <w:r>
          <w:rPr>
            <w:noProof/>
            <w:webHidden/>
          </w:rPr>
          <w:instrText xml:space="preserve"> PAGEREF _Toc133394325 \h </w:instrText>
        </w:r>
        <w:r>
          <w:rPr>
            <w:noProof/>
            <w:webHidden/>
          </w:rPr>
        </w:r>
        <w:r>
          <w:rPr>
            <w:noProof/>
            <w:webHidden/>
          </w:rPr>
          <w:fldChar w:fldCharType="separate"/>
        </w:r>
        <w:r>
          <w:rPr>
            <w:noProof/>
            <w:webHidden/>
          </w:rPr>
          <w:t>96</w:t>
        </w:r>
        <w:r>
          <w:rPr>
            <w:noProof/>
            <w:webHidden/>
          </w:rPr>
          <w:fldChar w:fldCharType="end"/>
        </w:r>
      </w:hyperlink>
    </w:p>
    <w:p w14:paraId="06E2A0F0" w14:textId="436858C7"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26" w:history="1">
        <w:r w:rsidRPr="00670870">
          <w:rPr>
            <w:rStyle w:val="Hiperveza"/>
            <w:noProof/>
          </w:rPr>
          <w:t>9.2.2.</w:t>
        </w:r>
        <w:r>
          <w:rPr>
            <w:rFonts w:asciiTheme="minorHAnsi" w:eastAsiaTheme="minorEastAsia" w:hAnsiTheme="minorHAnsi" w:cstheme="minorBidi"/>
            <w:noProof/>
            <w:sz w:val="22"/>
            <w:szCs w:val="22"/>
            <w:lang w:eastAsia="hr-HR"/>
          </w:rPr>
          <w:tab/>
        </w:r>
        <w:r w:rsidRPr="00670870">
          <w:rPr>
            <w:rStyle w:val="Hiperveza"/>
            <w:noProof/>
          </w:rPr>
          <w:t>Odluke državnog odvjetništva u parnicama pred općinskim sudovima</w:t>
        </w:r>
        <w:r>
          <w:rPr>
            <w:noProof/>
            <w:webHidden/>
          </w:rPr>
          <w:tab/>
        </w:r>
        <w:r>
          <w:rPr>
            <w:noProof/>
            <w:webHidden/>
          </w:rPr>
          <w:tab/>
        </w:r>
        <w:r>
          <w:rPr>
            <w:noProof/>
            <w:webHidden/>
          </w:rPr>
          <w:tab/>
        </w:r>
        <w:r>
          <w:rPr>
            <w:noProof/>
            <w:webHidden/>
          </w:rPr>
          <w:fldChar w:fldCharType="begin"/>
        </w:r>
        <w:r>
          <w:rPr>
            <w:noProof/>
            <w:webHidden/>
          </w:rPr>
          <w:instrText xml:space="preserve"> PAGEREF _Toc133394326 \h </w:instrText>
        </w:r>
        <w:r>
          <w:rPr>
            <w:noProof/>
            <w:webHidden/>
          </w:rPr>
        </w:r>
        <w:r>
          <w:rPr>
            <w:noProof/>
            <w:webHidden/>
          </w:rPr>
          <w:fldChar w:fldCharType="separate"/>
        </w:r>
        <w:r>
          <w:rPr>
            <w:noProof/>
            <w:webHidden/>
          </w:rPr>
          <w:t>105</w:t>
        </w:r>
        <w:r>
          <w:rPr>
            <w:noProof/>
            <w:webHidden/>
          </w:rPr>
          <w:fldChar w:fldCharType="end"/>
        </w:r>
      </w:hyperlink>
    </w:p>
    <w:p w14:paraId="3F44C139" w14:textId="7CBAE797"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27" w:history="1">
        <w:r w:rsidRPr="00670870">
          <w:rPr>
            <w:rStyle w:val="Hiperveza"/>
            <w:noProof/>
          </w:rPr>
          <w:t>9.2.3.</w:t>
        </w:r>
        <w:r>
          <w:rPr>
            <w:rFonts w:asciiTheme="minorHAnsi" w:eastAsiaTheme="minorEastAsia" w:hAnsiTheme="minorHAnsi" w:cstheme="minorBidi"/>
            <w:noProof/>
            <w:sz w:val="22"/>
            <w:szCs w:val="22"/>
            <w:lang w:eastAsia="hr-HR"/>
          </w:rPr>
          <w:tab/>
        </w:r>
        <w:r w:rsidRPr="00670870">
          <w:rPr>
            <w:rStyle w:val="Hiperveza"/>
            <w:noProof/>
          </w:rPr>
          <w:t>Odluke općinskih sudova u parnicama u kojima zastupa državno odvjetništvo</w:t>
        </w:r>
        <w:r>
          <w:rPr>
            <w:noProof/>
            <w:webHidden/>
          </w:rPr>
          <w:tab/>
        </w:r>
        <w:r>
          <w:rPr>
            <w:noProof/>
            <w:webHidden/>
          </w:rPr>
          <w:fldChar w:fldCharType="begin"/>
        </w:r>
        <w:r>
          <w:rPr>
            <w:noProof/>
            <w:webHidden/>
          </w:rPr>
          <w:instrText xml:space="preserve"> PAGEREF _Toc133394327 \h </w:instrText>
        </w:r>
        <w:r>
          <w:rPr>
            <w:noProof/>
            <w:webHidden/>
          </w:rPr>
        </w:r>
        <w:r>
          <w:rPr>
            <w:noProof/>
            <w:webHidden/>
          </w:rPr>
          <w:fldChar w:fldCharType="separate"/>
        </w:r>
        <w:r>
          <w:rPr>
            <w:noProof/>
            <w:webHidden/>
          </w:rPr>
          <w:t>109</w:t>
        </w:r>
        <w:r>
          <w:rPr>
            <w:noProof/>
            <w:webHidden/>
          </w:rPr>
          <w:fldChar w:fldCharType="end"/>
        </w:r>
      </w:hyperlink>
    </w:p>
    <w:p w14:paraId="4BB57DB9" w14:textId="1F951C52"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28" w:history="1">
        <w:r w:rsidRPr="00670870">
          <w:rPr>
            <w:rStyle w:val="Hiperveza"/>
            <w:noProof/>
          </w:rPr>
          <w:t>9.2.4.</w:t>
        </w:r>
        <w:r>
          <w:rPr>
            <w:rFonts w:asciiTheme="minorHAnsi" w:eastAsiaTheme="minorEastAsia" w:hAnsiTheme="minorHAnsi" w:cstheme="minorBidi"/>
            <w:noProof/>
            <w:sz w:val="22"/>
            <w:szCs w:val="22"/>
            <w:lang w:eastAsia="hr-HR"/>
          </w:rPr>
          <w:tab/>
        </w:r>
        <w:r w:rsidRPr="00670870">
          <w:rPr>
            <w:rStyle w:val="Hiperveza"/>
            <w:noProof/>
          </w:rPr>
          <w:t>Stečaj potrošača</w:t>
        </w:r>
        <w:r>
          <w:rPr>
            <w:noProof/>
            <w:webHidden/>
          </w:rPr>
          <w:tab/>
        </w:r>
        <w:r>
          <w:rPr>
            <w:noProof/>
            <w:webHidden/>
          </w:rPr>
          <w:fldChar w:fldCharType="begin"/>
        </w:r>
        <w:r>
          <w:rPr>
            <w:noProof/>
            <w:webHidden/>
          </w:rPr>
          <w:instrText xml:space="preserve"> PAGEREF _Toc133394328 \h </w:instrText>
        </w:r>
        <w:r>
          <w:rPr>
            <w:noProof/>
            <w:webHidden/>
          </w:rPr>
        </w:r>
        <w:r>
          <w:rPr>
            <w:noProof/>
            <w:webHidden/>
          </w:rPr>
          <w:fldChar w:fldCharType="separate"/>
        </w:r>
        <w:r>
          <w:rPr>
            <w:noProof/>
            <w:webHidden/>
          </w:rPr>
          <w:t>111</w:t>
        </w:r>
        <w:r>
          <w:rPr>
            <w:noProof/>
            <w:webHidden/>
          </w:rPr>
          <w:fldChar w:fldCharType="end"/>
        </w:r>
      </w:hyperlink>
    </w:p>
    <w:p w14:paraId="0CA51021" w14:textId="283D7C64"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29" w:history="1">
        <w:r w:rsidRPr="00670870">
          <w:rPr>
            <w:rStyle w:val="Hiperveza"/>
            <w:noProof/>
          </w:rPr>
          <w:t>9.2.5.</w:t>
        </w:r>
        <w:r>
          <w:rPr>
            <w:rFonts w:asciiTheme="minorHAnsi" w:eastAsiaTheme="minorEastAsia" w:hAnsiTheme="minorHAnsi" w:cstheme="minorBidi"/>
            <w:noProof/>
            <w:sz w:val="22"/>
            <w:szCs w:val="22"/>
            <w:lang w:eastAsia="hr-HR"/>
          </w:rPr>
          <w:tab/>
        </w:r>
        <w:r w:rsidRPr="00670870">
          <w:rPr>
            <w:rStyle w:val="Hiperveza"/>
            <w:noProof/>
          </w:rPr>
          <w:t>Odluke u izvanparničnim i zemljišnoknjižnim predmetima</w:t>
        </w:r>
        <w:r>
          <w:rPr>
            <w:noProof/>
            <w:webHidden/>
          </w:rPr>
          <w:tab/>
        </w:r>
        <w:r>
          <w:rPr>
            <w:noProof/>
            <w:webHidden/>
          </w:rPr>
          <w:fldChar w:fldCharType="begin"/>
        </w:r>
        <w:r>
          <w:rPr>
            <w:noProof/>
            <w:webHidden/>
          </w:rPr>
          <w:instrText xml:space="preserve"> PAGEREF _Toc133394329 \h </w:instrText>
        </w:r>
        <w:r>
          <w:rPr>
            <w:noProof/>
            <w:webHidden/>
          </w:rPr>
        </w:r>
        <w:r>
          <w:rPr>
            <w:noProof/>
            <w:webHidden/>
          </w:rPr>
          <w:fldChar w:fldCharType="separate"/>
        </w:r>
        <w:r>
          <w:rPr>
            <w:noProof/>
            <w:webHidden/>
          </w:rPr>
          <w:t>112</w:t>
        </w:r>
        <w:r>
          <w:rPr>
            <w:noProof/>
            <w:webHidden/>
          </w:rPr>
          <w:fldChar w:fldCharType="end"/>
        </w:r>
      </w:hyperlink>
    </w:p>
    <w:p w14:paraId="3368875F" w14:textId="2EF8B65D"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30" w:history="1">
        <w:r w:rsidRPr="00670870">
          <w:rPr>
            <w:rStyle w:val="Hiperveza"/>
            <w:noProof/>
          </w:rPr>
          <w:t>9.2.6.</w:t>
        </w:r>
        <w:r>
          <w:rPr>
            <w:rFonts w:asciiTheme="minorHAnsi" w:eastAsiaTheme="minorEastAsia" w:hAnsiTheme="minorHAnsi" w:cstheme="minorBidi"/>
            <w:noProof/>
            <w:sz w:val="22"/>
            <w:szCs w:val="22"/>
            <w:lang w:eastAsia="hr-HR"/>
          </w:rPr>
          <w:tab/>
        </w:r>
        <w:r w:rsidRPr="00670870">
          <w:rPr>
            <w:rStyle w:val="Hiperveza"/>
            <w:noProof/>
          </w:rPr>
          <w:t>Odluke u ovršnim predmetima</w:t>
        </w:r>
        <w:r>
          <w:rPr>
            <w:noProof/>
            <w:webHidden/>
          </w:rPr>
          <w:tab/>
        </w:r>
        <w:r>
          <w:rPr>
            <w:noProof/>
            <w:webHidden/>
          </w:rPr>
          <w:fldChar w:fldCharType="begin"/>
        </w:r>
        <w:r>
          <w:rPr>
            <w:noProof/>
            <w:webHidden/>
          </w:rPr>
          <w:instrText xml:space="preserve"> PAGEREF _Toc133394330 \h </w:instrText>
        </w:r>
        <w:r>
          <w:rPr>
            <w:noProof/>
            <w:webHidden/>
          </w:rPr>
        </w:r>
        <w:r>
          <w:rPr>
            <w:noProof/>
            <w:webHidden/>
          </w:rPr>
          <w:fldChar w:fldCharType="separate"/>
        </w:r>
        <w:r>
          <w:rPr>
            <w:noProof/>
            <w:webHidden/>
          </w:rPr>
          <w:t>113</w:t>
        </w:r>
        <w:r>
          <w:rPr>
            <w:noProof/>
            <w:webHidden/>
          </w:rPr>
          <w:fldChar w:fldCharType="end"/>
        </w:r>
      </w:hyperlink>
    </w:p>
    <w:p w14:paraId="4C1E28FE" w14:textId="7F3EF530"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31" w:history="1">
        <w:r w:rsidRPr="00670870">
          <w:rPr>
            <w:rStyle w:val="Hiperveza"/>
            <w:noProof/>
          </w:rPr>
          <w:t>9.2.7.</w:t>
        </w:r>
        <w:r>
          <w:rPr>
            <w:rFonts w:asciiTheme="minorHAnsi" w:eastAsiaTheme="minorEastAsia" w:hAnsiTheme="minorHAnsi" w:cstheme="minorBidi"/>
            <w:noProof/>
            <w:sz w:val="22"/>
            <w:szCs w:val="22"/>
            <w:lang w:eastAsia="hr-HR"/>
          </w:rPr>
          <w:tab/>
        </w:r>
        <w:r w:rsidRPr="00670870">
          <w:rPr>
            <w:rStyle w:val="Hiperveza"/>
            <w:noProof/>
          </w:rPr>
          <w:t>Odluke u upravnim predmetima</w:t>
        </w:r>
        <w:r>
          <w:rPr>
            <w:noProof/>
            <w:webHidden/>
          </w:rPr>
          <w:tab/>
        </w:r>
        <w:r>
          <w:rPr>
            <w:noProof/>
            <w:webHidden/>
          </w:rPr>
          <w:fldChar w:fldCharType="begin"/>
        </w:r>
        <w:r>
          <w:rPr>
            <w:noProof/>
            <w:webHidden/>
          </w:rPr>
          <w:instrText xml:space="preserve"> PAGEREF _Toc133394331 \h </w:instrText>
        </w:r>
        <w:r>
          <w:rPr>
            <w:noProof/>
            <w:webHidden/>
          </w:rPr>
        </w:r>
        <w:r>
          <w:rPr>
            <w:noProof/>
            <w:webHidden/>
          </w:rPr>
          <w:fldChar w:fldCharType="separate"/>
        </w:r>
        <w:r>
          <w:rPr>
            <w:noProof/>
            <w:webHidden/>
          </w:rPr>
          <w:t>115</w:t>
        </w:r>
        <w:r>
          <w:rPr>
            <w:noProof/>
            <w:webHidden/>
          </w:rPr>
          <w:fldChar w:fldCharType="end"/>
        </w:r>
      </w:hyperlink>
    </w:p>
    <w:p w14:paraId="3C177E2D" w14:textId="6ED408F1" w:rsidR="00B06098" w:rsidRDefault="00B06098">
      <w:pPr>
        <w:pStyle w:val="Sadraj4"/>
        <w:tabs>
          <w:tab w:val="left" w:pos="1540"/>
          <w:tab w:val="right" w:leader="dot" w:pos="9062"/>
        </w:tabs>
        <w:rPr>
          <w:rFonts w:asciiTheme="minorHAnsi" w:eastAsiaTheme="minorEastAsia" w:hAnsiTheme="minorHAnsi" w:cstheme="minorBidi"/>
          <w:noProof/>
          <w:sz w:val="22"/>
          <w:szCs w:val="22"/>
          <w:lang w:eastAsia="hr-HR"/>
        </w:rPr>
      </w:pPr>
      <w:hyperlink w:anchor="_Toc133394332" w:history="1">
        <w:r w:rsidRPr="00670870">
          <w:rPr>
            <w:rStyle w:val="Hiperveza"/>
            <w:noProof/>
          </w:rPr>
          <w:t>9.2.8.</w:t>
        </w:r>
        <w:r>
          <w:rPr>
            <w:rFonts w:asciiTheme="minorHAnsi" w:eastAsiaTheme="minorEastAsia" w:hAnsiTheme="minorHAnsi" w:cstheme="minorBidi"/>
            <w:noProof/>
            <w:sz w:val="22"/>
            <w:szCs w:val="22"/>
            <w:lang w:eastAsia="hr-HR"/>
          </w:rPr>
          <w:tab/>
        </w:r>
        <w:r w:rsidRPr="00670870">
          <w:rPr>
            <w:rStyle w:val="Hiperveza"/>
            <w:noProof/>
          </w:rPr>
          <w:t>Odluke u ostalim predmetima (adhezijski predmeti i pravna mišljenja)</w:t>
        </w:r>
        <w:r>
          <w:rPr>
            <w:noProof/>
            <w:webHidden/>
          </w:rPr>
          <w:tab/>
        </w:r>
        <w:r>
          <w:rPr>
            <w:noProof/>
            <w:webHidden/>
          </w:rPr>
          <w:tab/>
        </w:r>
        <w:r>
          <w:rPr>
            <w:noProof/>
            <w:webHidden/>
          </w:rPr>
          <w:tab/>
        </w:r>
        <w:r>
          <w:rPr>
            <w:noProof/>
            <w:webHidden/>
          </w:rPr>
          <w:fldChar w:fldCharType="begin"/>
        </w:r>
        <w:r>
          <w:rPr>
            <w:noProof/>
            <w:webHidden/>
          </w:rPr>
          <w:instrText xml:space="preserve"> PAGEREF _Toc133394332 \h </w:instrText>
        </w:r>
        <w:r>
          <w:rPr>
            <w:noProof/>
            <w:webHidden/>
          </w:rPr>
        </w:r>
        <w:r>
          <w:rPr>
            <w:noProof/>
            <w:webHidden/>
          </w:rPr>
          <w:fldChar w:fldCharType="separate"/>
        </w:r>
        <w:r>
          <w:rPr>
            <w:noProof/>
            <w:webHidden/>
          </w:rPr>
          <w:t>117</w:t>
        </w:r>
        <w:r>
          <w:rPr>
            <w:noProof/>
            <w:webHidden/>
          </w:rPr>
          <w:fldChar w:fldCharType="end"/>
        </w:r>
      </w:hyperlink>
    </w:p>
    <w:p w14:paraId="6C505F62" w14:textId="647B62D1" w:rsidR="00B06098" w:rsidRDefault="00B06098">
      <w:pPr>
        <w:pStyle w:val="Sadraj2"/>
        <w:tabs>
          <w:tab w:val="left" w:pos="880"/>
          <w:tab w:val="right" w:leader="dot" w:pos="9062"/>
        </w:tabs>
        <w:rPr>
          <w:rFonts w:asciiTheme="minorHAnsi" w:eastAsiaTheme="minorEastAsia" w:hAnsiTheme="minorHAnsi" w:cstheme="minorBidi"/>
          <w:noProof/>
          <w:sz w:val="22"/>
          <w:szCs w:val="22"/>
          <w:lang w:eastAsia="hr-HR"/>
        </w:rPr>
      </w:pPr>
      <w:hyperlink w:anchor="_Toc133394333" w:history="1">
        <w:r w:rsidRPr="00670870">
          <w:rPr>
            <w:rStyle w:val="Hiperveza"/>
            <w:noProof/>
          </w:rPr>
          <w:t>10.</w:t>
        </w:r>
        <w:r>
          <w:rPr>
            <w:rFonts w:asciiTheme="minorHAnsi" w:eastAsiaTheme="minorEastAsia" w:hAnsiTheme="minorHAnsi" w:cstheme="minorBidi"/>
            <w:noProof/>
            <w:sz w:val="22"/>
            <w:szCs w:val="22"/>
            <w:lang w:eastAsia="hr-HR"/>
          </w:rPr>
          <w:tab/>
        </w:r>
        <w:r w:rsidRPr="00670870">
          <w:rPr>
            <w:rStyle w:val="Hiperveza"/>
            <w:noProof/>
          </w:rPr>
          <w:t>Prikaz rada i odluka županijskih državnih odvjetništava</w:t>
        </w:r>
        <w:r>
          <w:rPr>
            <w:noProof/>
            <w:webHidden/>
          </w:rPr>
          <w:tab/>
        </w:r>
        <w:r>
          <w:rPr>
            <w:noProof/>
            <w:webHidden/>
          </w:rPr>
          <w:fldChar w:fldCharType="begin"/>
        </w:r>
        <w:r>
          <w:rPr>
            <w:noProof/>
            <w:webHidden/>
          </w:rPr>
          <w:instrText xml:space="preserve"> PAGEREF _Toc133394333 \h </w:instrText>
        </w:r>
        <w:r>
          <w:rPr>
            <w:noProof/>
            <w:webHidden/>
          </w:rPr>
        </w:r>
        <w:r>
          <w:rPr>
            <w:noProof/>
            <w:webHidden/>
          </w:rPr>
          <w:fldChar w:fldCharType="separate"/>
        </w:r>
        <w:r>
          <w:rPr>
            <w:noProof/>
            <w:webHidden/>
          </w:rPr>
          <w:t>119</w:t>
        </w:r>
        <w:r>
          <w:rPr>
            <w:noProof/>
            <w:webHidden/>
          </w:rPr>
          <w:fldChar w:fldCharType="end"/>
        </w:r>
      </w:hyperlink>
    </w:p>
    <w:p w14:paraId="6268270A" w14:textId="3AE9161D"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34" w:history="1">
        <w:r w:rsidRPr="00670870">
          <w:rPr>
            <w:rStyle w:val="Hiperveza"/>
            <w:noProof/>
          </w:rPr>
          <w:t>10.1.</w:t>
        </w:r>
        <w:r>
          <w:rPr>
            <w:rFonts w:asciiTheme="minorHAnsi" w:eastAsiaTheme="minorEastAsia" w:hAnsiTheme="minorHAnsi" w:cstheme="minorBidi"/>
            <w:noProof/>
            <w:sz w:val="22"/>
            <w:szCs w:val="22"/>
            <w:lang w:eastAsia="hr-HR"/>
          </w:rPr>
          <w:tab/>
        </w:r>
        <w:r w:rsidRPr="00670870">
          <w:rPr>
            <w:rStyle w:val="Hiperveza"/>
            <w:noProof/>
          </w:rPr>
          <w:t>Prikaz rada i odluka u kaznenim predmetima</w:t>
        </w:r>
        <w:r>
          <w:rPr>
            <w:noProof/>
            <w:webHidden/>
          </w:rPr>
          <w:tab/>
        </w:r>
        <w:r>
          <w:rPr>
            <w:noProof/>
            <w:webHidden/>
          </w:rPr>
          <w:fldChar w:fldCharType="begin"/>
        </w:r>
        <w:r>
          <w:rPr>
            <w:noProof/>
            <w:webHidden/>
          </w:rPr>
          <w:instrText xml:space="preserve"> PAGEREF _Toc133394334 \h </w:instrText>
        </w:r>
        <w:r>
          <w:rPr>
            <w:noProof/>
            <w:webHidden/>
          </w:rPr>
        </w:r>
        <w:r>
          <w:rPr>
            <w:noProof/>
            <w:webHidden/>
          </w:rPr>
          <w:fldChar w:fldCharType="separate"/>
        </w:r>
        <w:r>
          <w:rPr>
            <w:noProof/>
            <w:webHidden/>
          </w:rPr>
          <w:t>119</w:t>
        </w:r>
        <w:r>
          <w:rPr>
            <w:noProof/>
            <w:webHidden/>
          </w:rPr>
          <w:fldChar w:fldCharType="end"/>
        </w:r>
      </w:hyperlink>
    </w:p>
    <w:p w14:paraId="50AE8EF6" w14:textId="6DA4B0F6"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35" w:history="1">
        <w:r w:rsidRPr="00670870">
          <w:rPr>
            <w:rStyle w:val="Hiperveza"/>
            <w:noProof/>
          </w:rPr>
          <w:t>10.1.1.</w:t>
        </w:r>
        <w:r>
          <w:rPr>
            <w:rFonts w:asciiTheme="minorHAnsi" w:eastAsiaTheme="minorEastAsia" w:hAnsiTheme="minorHAnsi" w:cstheme="minorBidi"/>
            <w:noProof/>
            <w:sz w:val="22"/>
            <w:szCs w:val="22"/>
            <w:lang w:eastAsia="hr-HR"/>
          </w:rPr>
          <w:tab/>
        </w:r>
        <w:r w:rsidRPr="00670870">
          <w:rPr>
            <w:rStyle w:val="Hiperveza"/>
            <w:noProof/>
          </w:rPr>
          <w:t>Odluke povodom kaznene prijave</w:t>
        </w:r>
        <w:r>
          <w:rPr>
            <w:noProof/>
            <w:webHidden/>
          </w:rPr>
          <w:tab/>
        </w:r>
        <w:r>
          <w:rPr>
            <w:noProof/>
            <w:webHidden/>
          </w:rPr>
          <w:fldChar w:fldCharType="begin"/>
        </w:r>
        <w:r>
          <w:rPr>
            <w:noProof/>
            <w:webHidden/>
          </w:rPr>
          <w:instrText xml:space="preserve"> PAGEREF _Toc133394335 \h </w:instrText>
        </w:r>
        <w:r>
          <w:rPr>
            <w:noProof/>
            <w:webHidden/>
          </w:rPr>
        </w:r>
        <w:r>
          <w:rPr>
            <w:noProof/>
            <w:webHidden/>
          </w:rPr>
          <w:fldChar w:fldCharType="separate"/>
        </w:r>
        <w:r>
          <w:rPr>
            <w:noProof/>
            <w:webHidden/>
          </w:rPr>
          <w:t>121</w:t>
        </w:r>
        <w:r>
          <w:rPr>
            <w:noProof/>
            <w:webHidden/>
          </w:rPr>
          <w:fldChar w:fldCharType="end"/>
        </w:r>
      </w:hyperlink>
    </w:p>
    <w:p w14:paraId="53AF5586" w14:textId="711C38E6" w:rsidR="00B06098" w:rsidRDefault="00B06098">
      <w:pPr>
        <w:pStyle w:val="Sadraj5"/>
        <w:tabs>
          <w:tab w:val="left" w:pos="2034"/>
          <w:tab w:val="right" w:leader="dot" w:pos="9062"/>
        </w:tabs>
        <w:rPr>
          <w:rFonts w:asciiTheme="minorHAnsi" w:eastAsiaTheme="minorEastAsia" w:hAnsiTheme="minorHAnsi" w:cstheme="minorBidi"/>
          <w:noProof/>
          <w:sz w:val="22"/>
          <w:szCs w:val="22"/>
          <w:lang w:eastAsia="hr-HR"/>
        </w:rPr>
      </w:pPr>
      <w:hyperlink w:anchor="_Toc133394336" w:history="1">
        <w:r w:rsidRPr="00670870">
          <w:rPr>
            <w:rStyle w:val="Hiperveza"/>
            <w:noProof/>
          </w:rPr>
          <w:t>10.1.1.1.</w:t>
        </w:r>
        <w:r>
          <w:rPr>
            <w:rFonts w:asciiTheme="minorHAnsi" w:eastAsiaTheme="minorEastAsia" w:hAnsiTheme="minorHAnsi" w:cstheme="minorBidi"/>
            <w:noProof/>
            <w:sz w:val="22"/>
            <w:szCs w:val="22"/>
            <w:lang w:eastAsia="hr-HR"/>
          </w:rPr>
          <w:tab/>
        </w:r>
        <w:r w:rsidRPr="00670870">
          <w:rPr>
            <w:rStyle w:val="Hiperveza"/>
            <w:noProof/>
          </w:rPr>
          <w:t>Odluke povodom kaznene prijave – maloljetnici</w:t>
        </w:r>
        <w:r>
          <w:rPr>
            <w:noProof/>
            <w:webHidden/>
          </w:rPr>
          <w:tab/>
        </w:r>
        <w:r>
          <w:rPr>
            <w:noProof/>
            <w:webHidden/>
          </w:rPr>
          <w:fldChar w:fldCharType="begin"/>
        </w:r>
        <w:r>
          <w:rPr>
            <w:noProof/>
            <w:webHidden/>
          </w:rPr>
          <w:instrText xml:space="preserve"> PAGEREF _Toc133394336 \h </w:instrText>
        </w:r>
        <w:r>
          <w:rPr>
            <w:noProof/>
            <w:webHidden/>
          </w:rPr>
        </w:r>
        <w:r>
          <w:rPr>
            <w:noProof/>
            <w:webHidden/>
          </w:rPr>
          <w:fldChar w:fldCharType="separate"/>
        </w:r>
        <w:r>
          <w:rPr>
            <w:noProof/>
            <w:webHidden/>
          </w:rPr>
          <w:t>122</w:t>
        </w:r>
        <w:r>
          <w:rPr>
            <w:noProof/>
            <w:webHidden/>
          </w:rPr>
          <w:fldChar w:fldCharType="end"/>
        </w:r>
      </w:hyperlink>
    </w:p>
    <w:p w14:paraId="0870CD93" w14:textId="5AEDE823"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37" w:history="1">
        <w:r w:rsidRPr="00670870">
          <w:rPr>
            <w:rStyle w:val="Hiperveza"/>
            <w:noProof/>
          </w:rPr>
          <w:t>10.1.2.</w:t>
        </w:r>
        <w:r>
          <w:rPr>
            <w:rFonts w:asciiTheme="minorHAnsi" w:eastAsiaTheme="minorEastAsia" w:hAnsiTheme="minorHAnsi" w:cstheme="minorBidi"/>
            <w:noProof/>
            <w:sz w:val="22"/>
            <w:szCs w:val="22"/>
            <w:lang w:eastAsia="hr-HR"/>
          </w:rPr>
          <w:tab/>
        </w:r>
        <w:r w:rsidRPr="00670870">
          <w:rPr>
            <w:rStyle w:val="Hiperveza"/>
            <w:noProof/>
          </w:rPr>
          <w:t>Istrage i odluke po dovršenoj istrazi</w:t>
        </w:r>
        <w:r>
          <w:rPr>
            <w:noProof/>
            <w:webHidden/>
          </w:rPr>
          <w:tab/>
        </w:r>
        <w:r>
          <w:rPr>
            <w:noProof/>
            <w:webHidden/>
          </w:rPr>
          <w:fldChar w:fldCharType="begin"/>
        </w:r>
        <w:r>
          <w:rPr>
            <w:noProof/>
            <w:webHidden/>
          </w:rPr>
          <w:instrText xml:space="preserve"> PAGEREF _Toc133394337 \h </w:instrText>
        </w:r>
        <w:r>
          <w:rPr>
            <w:noProof/>
            <w:webHidden/>
          </w:rPr>
        </w:r>
        <w:r>
          <w:rPr>
            <w:noProof/>
            <w:webHidden/>
          </w:rPr>
          <w:fldChar w:fldCharType="separate"/>
        </w:r>
        <w:r>
          <w:rPr>
            <w:noProof/>
            <w:webHidden/>
          </w:rPr>
          <w:t>122</w:t>
        </w:r>
        <w:r>
          <w:rPr>
            <w:noProof/>
            <w:webHidden/>
          </w:rPr>
          <w:fldChar w:fldCharType="end"/>
        </w:r>
      </w:hyperlink>
    </w:p>
    <w:p w14:paraId="6A8B3659" w14:textId="7A453529" w:rsidR="00B06098" w:rsidRDefault="00B06098">
      <w:pPr>
        <w:pStyle w:val="Sadraj5"/>
        <w:tabs>
          <w:tab w:val="left" w:pos="2034"/>
          <w:tab w:val="right" w:leader="dot" w:pos="9062"/>
        </w:tabs>
        <w:rPr>
          <w:rFonts w:asciiTheme="minorHAnsi" w:eastAsiaTheme="minorEastAsia" w:hAnsiTheme="minorHAnsi" w:cstheme="minorBidi"/>
          <w:noProof/>
          <w:sz w:val="22"/>
          <w:szCs w:val="22"/>
          <w:lang w:eastAsia="hr-HR"/>
        </w:rPr>
      </w:pPr>
      <w:hyperlink w:anchor="_Toc133394338" w:history="1">
        <w:r w:rsidRPr="00670870">
          <w:rPr>
            <w:rStyle w:val="Hiperveza"/>
            <w:noProof/>
          </w:rPr>
          <w:t>10.1.2.1.</w:t>
        </w:r>
        <w:r>
          <w:rPr>
            <w:rFonts w:asciiTheme="minorHAnsi" w:eastAsiaTheme="minorEastAsia" w:hAnsiTheme="minorHAnsi" w:cstheme="minorBidi"/>
            <w:noProof/>
            <w:sz w:val="22"/>
            <w:szCs w:val="22"/>
            <w:lang w:eastAsia="hr-HR"/>
          </w:rPr>
          <w:tab/>
        </w:r>
        <w:r w:rsidRPr="00670870">
          <w:rPr>
            <w:rStyle w:val="Hiperveza"/>
            <w:noProof/>
          </w:rPr>
          <w:t>Odluke po dovršenom pripremnom postupku – maloljetnici</w:t>
        </w:r>
        <w:r>
          <w:rPr>
            <w:noProof/>
            <w:webHidden/>
          </w:rPr>
          <w:tab/>
        </w:r>
        <w:r>
          <w:rPr>
            <w:noProof/>
            <w:webHidden/>
          </w:rPr>
          <w:fldChar w:fldCharType="begin"/>
        </w:r>
        <w:r>
          <w:rPr>
            <w:noProof/>
            <w:webHidden/>
          </w:rPr>
          <w:instrText xml:space="preserve"> PAGEREF _Toc133394338 \h </w:instrText>
        </w:r>
        <w:r>
          <w:rPr>
            <w:noProof/>
            <w:webHidden/>
          </w:rPr>
        </w:r>
        <w:r>
          <w:rPr>
            <w:noProof/>
            <w:webHidden/>
          </w:rPr>
          <w:fldChar w:fldCharType="separate"/>
        </w:r>
        <w:r>
          <w:rPr>
            <w:noProof/>
            <w:webHidden/>
          </w:rPr>
          <w:t>123</w:t>
        </w:r>
        <w:r>
          <w:rPr>
            <w:noProof/>
            <w:webHidden/>
          </w:rPr>
          <w:fldChar w:fldCharType="end"/>
        </w:r>
      </w:hyperlink>
    </w:p>
    <w:p w14:paraId="79B0EC24" w14:textId="6F4B499D"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39" w:history="1">
        <w:r w:rsidRPr="00670870">
          <w:rPr>
            <w:rStyle w:val="Hiperveza"/>
            <w:noProof/>
          </w:rPr>
          <w:t>10.1.3.</w:t>
        </w:r>
        <w:r>
          <w:rPr>
            <w:rFonts w:asciiTheme="minorHAnsi" w:eastAsiaTheme="minorEastAsia" w:hAnsiTheme="minorHAnsi" w:cstheme="minorBidi"/>
            <w:noProof/>
            <w:sz w:val="22"/>
            <w:szCs w:val="22"/>
            <w:lang w:eastAsia="hr-HR"/>
          </w:rPr>
          <w:tab/>
        </w:r>
        <w:r w:rsidRPr="00670870">
          <w:rPr>
            <w:rStyle w:val="Hiperveza"/>
            <w:noProof/>
          </w:rPr>
          <w:t>Optuženja i odluke sudova povodom optuženja</w:t>
        </w:r>
        <w:r>
          <w:rPr>
            <w:noProof/>
            <w:webHidden/>
          </w:rPr>
          <w:tab/>
        </w:r>
        <w:r>
          <w:rPr>
            <w:noProof/>
            <w:webHidden/>
          </w:rPr>
          <w:fldChar w:fldCharType="begin"/>
        </w:r>
        <w:r>
          <w:rPr>
            <w:noProof/>
            <w:webHidden/>
          </w:rPr>
          <w:instrText xml:space="preserve"> PAGEREF _Toc133394339 \h </w:instrText>
        </w:r>
        <w:r>
          <w:rPr>
            <w:noProof/>
            <w:webHidden/>
          </w:rPr>
        </w:r>
        <w:r>
          <w:rPr>
            <w:noProof/>
            <w:webHidden/>
          </w:rPr>
          <w:fldChar w:fldCharType="separate"/>
        </w:r>
        <w:r>
          <w:rPr>
            <w:noProof/>
            <w:webHidden/>
          </w:rPr>
          <w:t>124</w:t>
        </w:r>
        <w:r>
          <w:rPr>
            <w:noProof/>
            <w:webHidden/>
          </w:rPr>
          <w:fldChar w:fldCharType="end"/>
        </w:r>
      </w:hyperlink>
    </w:p>
    <w:p w14:paraId="13600BEE" w14:textId="09355824"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40" w:history="1">
        <w:r w:rsidRPr="00670870">
          <w:rPr>
            <w:rStyle w:val="Hiperveza"/>
            <w:noProof/>
          </w:rPr>
          <w:t>10.1.4.</w:t>
        </w:r>
        <w:r>
          <w:rPr>
            <w:rFonts w:asciiTheme="minorHAnsi" w:eastAsiaTheme="minorEastAsia" w:hAnsiTheme="minorHAnsi" w:cstheme="minorBidi"/>
            <w:noProof/>
            <w:sz w:val="22"/>
            <w:szCs w:val="22"/>
            <w:lang w:eastAsia="hr-HR"/>
          </w:rPr>
          <w:tab/>
        </w:r>
        <w:r w:rsidRPr="00670870">
          <w:rPr>
            <w:rStyle w:val="Hiperveza"/>
            <w:noProof/>
          </w:rPr>
          <w:t>Kaznene sankcije</w:t>
        </w:r>
        <w:r>
          <w:rPr>
            <w:noProof/>
            <w:webHidden/>
          </w:rPr>
          <w:tab/>
        </w:r>
        <w:r>
          <w:rPr>
            <w:noProof/>
            <w:webHidden/>
          </w:rPr>
          <w:fldChar w:fldCharType="begin"/>
        </w:r>
        <w:r>
          <w:rPr>
            <w:noProof/>
            <w:webHidden/>
          </w:rPr>
          <w:instrText xml:space="preserve"> PAGEREF _Toc133394340 \h </w:instrText>
        </w:r>
        <w:r>
          <w:rPr>
            <w:noProof/>
            <w:webHidden/>
          </w:rPr>
        </w:r>
        <w:r>
          <w:rPr>
            <w:noProof/>
            <w:webHidden/>
          </w:rPr>
          <w:fldChar w:fldCharType="separate"/>
        </w:r>
        <w:r>
          <w:rPr>
            <w:noProof/>
            <w:webHidden/>
          </w:rPr>
          <w:t>126</w:t>
        </w:r>
        <w:r>
          <w:rPr>
            <w:noProof/>
            <w:webHidden/>
          </w:rPr>
          <w:fldChar w:fldCharType="end"/>
        </w:r>
      </w:hyperlink>
    </w:p>
    <w:p w14:paraId="66B65DD5" w14:textId="7CFB36AC" w:rsidR="00B06098" w:rsidRDefault="00B06098">
      <w:pPr>
        <w:pStyle w:val="Sadraj5"/>
        <w:tabs>
          <w:tab w:val="left" w:pos="2034"/>
          <w:tab w:val="right" w:leader="dot" w:pos="9062"/>
        </w:tabs>
        <w:rPr>
          <w:rFonts w:asciiTheme="minorHAnsi" w:eastAsiaTheme="minorEastAsia" w:hAnsiTheme="minorHAnsi" w:cstheme="minorBidi"/>
          <w:noProof/>
          <w:sz w:val="22"/>
          <w:szCs w:val="22"/>
          <w:lang w:eastAsia="hr-HR"/>
        </w:rPr>
      </w:pPr>
      <w:hyperlink w:anchor="_Toc133394341" w:history="1">
        <w:r w:rsidRPr="00670870">
          <w:rPr>
            <w:rStyle w:val="Hiperveza"/>
            <w:noProof/>
          </w:rPr>
          <w:t>10.1.4.1.</w:t>
        </w:r>
        <w:r>
          <w:rPr>
            <w:rFonts w:asciiTheme="minorHAnsi" w:eastAsiaTheme="minorEastAsia" w:hAnsiTheme="minorHAnsi" w:cstheme="minorBidi"/>
            <w:noProof/>
            <w:sz w:val="22"/>
            <w:szCs w:val="22"/>
            <w:lang w:eastAsia="hr-HR"/>
          </w:rPr>
          <w:tab/>
        </w:r>
        <w:r w:rsidRPr="00670870">
          <w:rPr>
            <w:rStyle w:val="Hiperveza"/>
            <w:noProof/>
          </w:rPr>
          <w:t>Kaznene sankcije – maloljetnici</w:t>
        </w:r>
        <w:r>
          <w:rPr>
            <w:noProof/>
            <w:webHidden/>
          </w:rPr>
          <w:tab/>
        </w:r>
        <w:r>
          <w:rPr>
            <w:noProof/>
            <w:webHidden/>
          </w:rPr>
          <w:fldChar w:fldCharType="begin"/>
        </w:r>
        <w:r>
          <w:rPr>
            <w:noProof/>
            <w:webHidden/>
          </w:rPr>
          <w:instrText xml:space="preserve"> PAGEREF _Toc133394341 \h </w:instrText>
        </w:r>
        <w:r>
          <w:rPr>
            <w:noProof/>
            <w:webHidden/>
          </w:rPr>
        </w:r>
        <w:r>
          <w:rPr>
            <w:noProof/>
            <w:webHidden/>
          </w:rPr>
          <w:fldChar w:fldCharType="separate"/>
        </w:r>
        <w:r>
          <w:rPr>
            <w:noProof/>
            <w:webHidden/>
          </w:rPr>
          <w:t>128</w:t>
        </w:r>
        <w:r>
          <w:rPr>
            <w:noProof/>
            <w:webHidden/>
          </w:rPr>
          <w:fldChar w:fldCharType="end"/>
        </w:r>
      </w:hyperlink>
    </w:p>
    <w:p w14:paraId="7D3AB34E" w14:textId="3EA71B3F" w:rsidR="00B06098" w:rsidRDefault="00B06098">
      <w:pPr>
        <w:pStyle w:val="Sadraj5"/>
        <w:tabs>
          <w:tab w:val="left" w:pos="2034"/>
          <w:tab w:val="right" w:leader="dot" w:pos="9062"/>
        </w:tabs>
        <w:rPr>
          <w:rFonts w:asciiTheme="minorHAnsi" w:eastAsiaTheme="minorEastAsia" w:hAnsiTheme="minorHAnsi" w:cstheme="minorBidi"/>
          <w:noProof/>
          <w:sz w:val="22"/>
          <w:szCs w:val="22"/>
          <w:lang w:eastAsia="hr-HR"/>
        </w:rPr>
      </w:pPr>
      <w:hyperlink w:anchor="_Toc133394342" w:history="1">
        <w:r w:rsidRPr="00670870">
          <w:rPr>
            <w:rStyle w:val="Hiperveza"/>
            <w:noProof/>
          </w:rPr>
          <w:t>10.1.4.2.</w:t>
        </w:r>
        <w:r>
          <w:rPr>
            <w:rFonts w:asciiTheme="minorHAnsi" w:eastAsiaTheme="minorEastAsia" w:hAnsiTheme="minorHAnsi" w:cstheme="minorBidi"/>
            <w:noProof/>
            <w:sz w:val="22"/>
            <w:szCs w:val="22"/>
            <w:lang w:eastAsia="hr-HR"/>
          </w:rPr>
          <w:tab/>
        </w:r>
        <w:r w:rsidRPr="00670870">
          <w:rPr>
            <w:rStyle w:val="Hiperveza"/>
            <w:noProof/>
          </w:rPr>
          <w:t>Oduzimanje imovinske koristi i mjere osiguranja</w:t>
        </w:r>
        <w:r>
          <w:rPr>
            <w:noProof/>
            <w:webHidden/>
          </w:rPr>
          <w:tab/>
        </w:r>
        <w:r>
          <w:rPr>
            <w:noProof/>
            <w:webHidden/>
          </w:rPr>
          <w:fldChar w:fldCharType="begin"/>
        </w:r>
        <w:r>
          <w:rPr>
            <w:noProof/>
            <w:webHidden/>
          </w:rPr>
          <w:instrText xml:space="preserve"> PAGEREF _Toc133394342 \h </w:instrText>
        </w:r>
        <w:r>
          <w:rPr>
            <w:noProof/>
            <w:webHidden/>
          </w:rPr>
        </w:r>
        <w:r>
          <w:rPr>
            <w:noProof/>
            <w:webHidden/>
          </w:rPr>
          <w:fldChar w:fldCharType="separate"/>
        </w:r>
        <w:r>
          <w:rPr>
            <w:noProof/>
            <w:webHidden/>
          </w:rPr>
          <w:t>128</w:t>
        </w:r>
        <w:r>
          <w:rPr>
            <w:noProof/>
            <w:webHidden/>
          </w:rPr>
          <w:fldChar w:fldCharType="end"/>
        </w:r>
      </w:hyperlink>
    </w:p>
    <w:p w14:paraId="4FFDAC00" w14:textId="0838C51B"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43" w:history="1">
        <w:r w:rsidRPr="00670870">
          <w:rPr>
            <w:rStyle w:val="Hiperveza"/>
            <w:noProof/>
          </w:rPr>
          <w:t>10.1.5.</w:t>
        </w:r>
        <w:r>
          <w:rPr>
            <w:rFonts w:asciiTheme="minorHAnsi" w:eastAsiaTheme="minorEastAsia" w:hAnsiTheme="minorHAnsi" w:cstheme="minorBidi"/>
            <w:noProof/>
            <w:sz w:val="22"/>
            <w:szCs w:val="22"/>
            <w:lang w:eastAsia="hr-HR"/>
          </w:rPr>
          <w:tab/>
        </w:r>
        <w:r w:rsidRPr="00670870">
          <w:rPr>
            <w:rStyle w:val="Hiperveza"/>
            <w:noProof/>
          </w:rPr>
          <w:t>Pregled radnji i ročišta u kaznenim predmetima (županijska državna odvjetništva)</w:t>
        </w:r>
        <w:r>
          <w:rPr>
            <w:noProof/>
            <w:webHidden/>
          </w:rPr>
          <w:tab/>
        </w:r>
        <w:r>
          <w:rPr>
            <w:noProof/>
            <w:webHidden/>
          </w:rPr>
          <w:fldChar w:fldCharType="begin"/>
        </w:r>
        <w:r>
          <w:rPr>
            <w:noProof/>
            <w:webHidden/>
          </w:rPr>
          <w:instrText xml:space="preserve"> PAGEREF _Toc133394343 \h </w:instrText>
        </w:r>
        <w:r>
          <w:rPr>
            <w:noProof/>
            <w:webHidden/>
          </w:rPr>
        </w:r>
        <w:r>
          <w:rPr>
            <w:noProof/>
            <w:webHidden/>
          </w:rPr>
          <w:fldChar w:fldCharType="separate"/>
        </w:r>
        <w:r>
          <w:rPr>
            <w:noProof/>
            <w:webHidden/>
          </w:rPr>
          <w:t>129</w:t>
        </w:r>
        <w:r>
          <w:rPr>
            <w:noProof/>
            <w:webHidden/>
          </w:rPr>
          <w:fldChar w:fldCharType="end"/>
        </w:r>
      </w:hyperlink>
    </w:p>
    <w:p w14:paraId="51BC4ECC" w14:textId="12F14147"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44" w:history="1">
        <w:r w:rsidRPr="00670870">
          <w:rPr>
            <w:rStyle w:val="Hiperveza"/>
            <w:noProof/>
          </w:rPr>
          <w:t>10.1.6.</w:t>
        </w:r>
        <w:r>
          <w:rPr>
            <w:rFonts w:asciiTheme="minorHAnsi" w:eastAsiaTheme="minorEastAsia" w:hAnsiTheme="minorHAnsi" w:cstheme="minorBidi"/>
            <w:noProof/>
            <w:sz w:val="22"/>
            <w:szCs w:val="22"/>
            <w:lang w:eastAsia="hr-HR"/>
          </w:rPr>
          <w:tab/>
        </w:r>
        <w:r w:rsidRPr="00670870">
          <w:rPr>
            <w:rStyle w:val="Hiperveza"/>
            <w:noProof/>
          </w:rPr>
          <w:t>Žalbe i odluke sudova povodom žalbi</w:t>
        </w:r>
        <w:r>
          <w:rPr>
            <w:noProof/>
            <w:webHidden/>
          </w:rPr>
          <w:tab/>
        </w:r>
        <w:r>
          <w:rPr>
            <w:noProof/>
            <w:webHidden/>
          </w:rPr>
          <w:fldChar w:fldCharType="begin"/>
        </w:r>
        <w:r>
          <w:rPr>
            <w:noProof/>
            <w:webHidden/>
          </w:rPr>
          <w:instrText xml:space="preserve"> PAGEREF _Toc133394344 \h </w:instrText>
        </w:r>
        <w:r>
          <w:rPr>
            <w:noProof/>
            <w:webHidden/>
          </w:rPr>
        </w:r>
        <w:r>
          <w:rPr>
            <w:noProof/>
            <w:webHidden/>
          </w:rPr>
          <w:fldChar w:fldCharType="separate"/>
        </w:r>
        <w:r>
          <w:rPr>
            <w:noProof/>
            <w:webHidden/>
          </w:rPr>
          <w:t>130</w:t>
        </w:r>
        <w:r>
          <w:rPr>
            <w:noProof/>
            <w:webHidden/>
          </w:rPr>
          <w:fldChar w:fldCharType="end"/>
        </w:r>
      </w:hyperlink>
    </w:p>
    <w:p w14:paraId="4027B6EF" w14:textId="2E698655"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45" w:history="1">
        <w:r w:rsidRPr="00670870">
          <w:rPr>
            <w:rStyle w:val="Hiperveza"/>
            <w:noProof/>
          </w:rPr>
          <w:t>10.2.</w:t>
        </w:r>
        <w:r>
          <w:rPr>
            <w:rFonts w:asciiTheme="minorHAnsi" w:eastAsiaTheme="minorEastAsia" w:hAnsiTheme="minorHAnsi" w:cstheme="minorBidi"/>
            <w:noProof/>
            <w:sz w:val="22"/>
            <w:szCs w:val="22"/>
            <w:lang w:eastAsia="hr-HR"/>
          </w:rPr>
          <w:tab/>
        </w:r>
        <w:r w:rsidRPr="00670870">
          <w:rPr>
            <w:rStyle w:val="Hiperveza"/>
            <w:noProof/>
          </w:rPr>
          <w:t>Prikaz rada i odluka u građanskim i upravnim predmetima</w:t>
        </w:r>
        <w:r>
          <w:rPr>
            <w:noProof/>
            <w:webHidden/>
          </w:rPr>
          <w:tab/>
        </w:r>
        <w:r>
          <w:rPr>
            <w:noProof/>
            <w:webHidden/>
          </w:rPr>
          <w:fldChar w:fldCharType="begin"/>
        </w:r>
        <w:r>
          <w:rPr>
            <w:noProof/>
            <w:webHidden/>
          </w:rPr>
          <w:instrText xml:space="preserve"> PAGEREF _Toc133394345 \h </w:instrText>
        </w:r>
        <w:r>
          <w:rPr>
            <w:noProof/>
            <w:webHidden/>
          </w:rPr>
        </w:r>
        <w:r>
          <w:rPr>
            <w:noProof/>
            <w:webHidden/>
          </w:rPr>
          <w:fldChar w:fldCharType="separate"/>
        </w:r>
        <w:r>
          <w:rPr>
            <w:noProof/>
            <w:webHidden/>
          </w:rPr>
          <w:t>131</w:t>
        </w:r>
        <w:r>
          <w:rPr>
            <w:noProof/>
            <w:webHidden/>
          </w:rPr>
          <w:fldChar w:fldCharType="end"/>
        </w:r>
      </w:hyperlink>
    </w:p>
    <w:p w14:paraId="4EA1CBF6" w14:textId="7B8FCD28"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46" w:history="1">
        <w:r w:rsidRPr="00670870">
          <w:rPr>
            <w:rStyle w:val="Hiperveza"/>
            <w:noProof/>
          </w:rPr>
          <w:t>10.2.1.</w:t>
        </w:r>
        <w:r>
          <w:rPr>
            <w:rFonts w:asciiTheme="minorHAnsi" w:eastAsiaTheme="minorEastAsia" w:hAnsiTheme="minorHAnsi" w:cstheme="minorBidi"/>
            <w:noProof/>
            <w:sz w:val="22"/>
            <w:szCs w:val="22"/>
            <w:lang w:eastAsia="hr-HR"/>
          </w:rPr>
          <w:tab/>
        </w:r>
        <w:r w:rsidRPr="00670870">
          <w:rPr>
            <w:rStyle w:val="Hiperveza"/>
            <w:noProof/>
          </w:rPr>
          <w:t>Predmeti izvansudskog rješavanja sporova</w:t>
        </w:r>
        <w:r>
          <w:rPr>
            <w:noProof/>
            <w:webHidden/>
          </w:rPr>
          <w:tab/>
        </w:r>
        <w:r>
          <w:rPr>
            <w:noProof/>
            <w:webHidden/>
          </w:rPr>
          <w:fldChar w:fldCharType="begin"/>
        </w:r>
        <w:r>
          <w:rPr>
            <w:noProof/>
            <w:webHidden/>
          </w:rPr>
          <w:instrText xml:space="preserve"> PAGEREF _Toc133394346 \h </w:instrText>
        </w:r>
        <w:r>
          <w:rPr>
            <w:noProof/>
            <w:webHidden/>
          </w:rPr>
        </w:r>
        <w:r>
          <w:rPr>
            <w:noProof/>
            <w:webHidden/>
          </w:rPr>
          <w:fldChar w:fldCharType="separate"/>
        </w:r>
        <w:r>
          <w:rPr>
            <w:noProof/>
            <w:webHidden/>
          </w:rPr>
          <w:t>137</w:t>
        </w:r>
        <w:r>
          <w:rPr>
            <w:noProof/>
            <w:webHidden/>
          </w:rPr>
          <w:fldChar w:fldCharType="end"/>
        </w:r>
      </w:hyperlink>
    </w:p>
    <w:p w14:paraId="301A6DBE" w14:textId="5767F1BF" w:rsidR="00B06098" w:rsidRDefault="00B06098">
      <w:pPr>
        <w:pStyle w:val="Sadraj5"/>
        <w:tabs>
          <w:tab w:val="left" w:pos="2034"/>
          <w:tab w:val="right" w:leader="dot" w:pos="9062"/>
        </w:tabs>
        <w:rPr>
          <w:rFonts w:asciiTheme="minorHAnsi" w:eastAsiaTheme="minorEastAsia" w:hAnsiTheme="minorHAnsi" w:cstheme="minorBidi"/>
          <w:noProof/>
          <w:sz w:val="22"/>
          <w:szCs w:val="22"/>
          <w:lang w:eastAsia="hr-HR"/>
        </w:rPr>
      </w:pPr>
      <w:hyperlink w:anchor="_Toc133394347" w:history="1">
        <w:r w:rsidRPr="00670870">
          <w:rPr>
            <w:rStyle w:val="Hiperveza"/>
            <w:noProof/>
          </w:rPr>
          <w:t>10.2.1.1.</w:t>
        </w:r>
        <w:r>
          <w:rPr>
            <w:rFonts w:asciiTheme="minorHAnsi" w:eastAsiaTheme="minorEastAsia" w:hAnsiTheme="minorHAnsi" w:cstheme="minorBidi"/>
            <w:noProof/>
            <w:sz w:val="22"/>
            <w:szCs w:val="22"/>
            <w:lang w:eastAsia="hr-HR"/>
          </w:rPr>
          <w:tab/>
        </w:r>
        <w:r w:rsidRPr="00670870">
          <w:rPr>
            <w:rStyle w:val="Hiperveza"/>
            <w:noProof/>
          </w:rPr>
          <w:t>Mirno rješavanje sporova (članak 186.a Zakona o parničnom    postupku)</w:t>
        </w:r>
        <w:r>
          <w:rPr>
            <w:noProof/>
            <w:webHidden/>
          </w:rPr>
          <w:tab/>
        </w:r>
        <w:r>
          <w:rPr>
            <w:noProof/>
            <w:webHidden/>
          </w:rPr>
          <w:tab/>
        </w:r>
        <w:r>
          <w:rPr>
            <w:noProof/>
            <w:webHidden/>
          </w:rPr>
          <w:fldChar w:fldCharType="begin"/>
        </w:r>
        <w:r>
          <w:rPr>
            <w:noProof/>
            <w:webHidden/>
          </w:rPr>
          <w:instrText xml:space="preserve"> PAGEREF _Toc133394347 \h </w:instrText>
        </w:r>
        <w:r>
          <w:rPr>
            <w:noProof/>
            <w:webHidden/>
          </w:rPr>
        </w:r>
        <w:r>
          <w:rPr>
            <w:noProof/>
            <w:webHidden/>
          </w:rPr>
          <w:fldChar w:fldCharType="separate"/>
        </w:r>
        <w:r>
          <w:rPr>
            <w:noProof/>
            <w:webHidden/>
          </w:rPr>
          <w:t>137</w:t>
        </w:r>
        <w:r>
          <w:rPr>
            <w:noProof/>
            <w:webHidden/>
          </w:rPr>
          <w:fldChar w:fldCharType="end"/>
        </w:r>
      </w:hyperlink>
    </w:p>
    <w:p w14:paraId="00F0CF8B" w14:textId="563E9635" w:rsidR="00B06098" w:rsidRDefault="00B06098">
      <w:pPr>
        <w:pStyle w:val="Sadraj5"/>
        <w:tabs>
          <w:tab w:val="left" w:pos="2034"/>
          <w:tab w:val="right" w:leader="dot" w:pos="9062"/>
        </w:tabs>
        <w:rPr>
          <w:rFonts w:asciiTheme="minorHAnsi" w:eastAsiaTheme="minorEastAsia" w:hAnsiTheme="minorHAnsi" w:cstheme="minorBidi"/>
          <w:noProof/>
          <w:sz w:val="22"/>
          <w:szCs w:val="22"/>
          <w:lang w:eastAsia="hr-HR"/>
        </w:rPr>
      </w:pPr>
      <w:hyperlink w:anchor="_Toc133394348" w:history="1">
        <w:r w:rsidRPr="00670870">
          <w:rPr>
            <w:rStyle w:val="Hiperveza"/>
            <w:noProof/>
          </w:rPr>
          <w:t>10.2.1.2.</w:t>
        </w:r>
        <w:r>
          <w:rPr>
            <w:rFonts w:asciiTheme="minorHAnsi" w:eastAsiaTheme="minorEastAsia" w:hAnsiTheme="minorHAnsi" w:cstheme="minorBidi"/>
            <w:noProof/>
            <w:sz w:val="22"/>
            <w:szCs w:val="22"/>
            <w:lang w:eastAsia="hr-HR"/>
          </w:rPr>
          <w:tab/>
        </w:r>
        <w:r w:rsidRPr="00670870">
          <w:rPr>
            <w:rStyle w:val="Hiperveza"/>
            <w:noProof/>
          </w:rPr>
          <w:t>Izdavanje tabularne isprave (članak 57. stavak 3. Zakona o    zemljišnim knjigama)</w:t>
        </w:r>
        <w:r>
          <w:rPr>
            <w:noProof/>
            <w:webHidden/>
          </w:rPr>
          <w:tab/>
        </w:r>
        <w:r>
          <w:rPr>
            <w:noProof/>
            <w:webHidden/>
          </w:rPr>
          <w:fldChar w:fldCharType="begin"/>
        </w:r>
        <w:r>
          <w:rPr>
            <w:noProof/>
            <w:webHidden/>
          </w:rPr>
          <w:instrText xml:space="preserve"> PAGEREF _Toc133394348 \h </w:instrText>
        </w:r>
        <w:r>
          <w:rPr>
            <w:noProof/>
            <w:webHidden/>
          </w:rPr>
        </w:r>
        <w:r>
          <w:rPr>
            <w:noProof/>
            <w:webHidden/>
          </w:rPr>
          <w:fldChar w:fldCharType="separate"/>
        </w:r>
        <w:r>
          <w:rPr>
            <w:noProof/>
            <w:webHidden/>
          </w:rPr>
          <w:t>147</w:t>
        </w:r>
        <w:r>
          <w:rPr>
            <w:noProof/>
            <w:webHidden/>
          </w:rPr>
          <w:fldChar w:fldCharType="end"/>
        </w:r>
      </w:hyperlink>
    </w:p>
    <w:p w14:paraId="3156BFD8" w14:textId="49B21151"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49" w:history="1">
        <w:r w:rsidRPr="00670870">
          <w:rPr>
            <w:rStyle w:val="Hiperveza"/>
            <w:noProof/>
          </w:rPr>
          <w:t>10.2.2.</w:t>
        </w:r>
        <w:r>
          <w:rPr>
            <w:rFonts w:asciiTheme="minorHAnsi" w:eastAsiaTheme="minorEastAsia" w:hAnsiTheme="minorHAnsi" w:cstheme="minorBidi"/>
            <w:noProof/>
            <w:sz w:val="22"/>
            <w:szCs w:val="22"/>
            <w:lang w:eastAsia="hr-HR"/>
          </w:rPr>
          <w:tab/>
        </w:r>
        <w:r w:rsidRPr="00670870">
          <w:rPr>
            <w:rStyle w:val="Hiperveza"/>
            <w:noProof/>
          </w:rPr>
          <w:t>Odluke državnog odvjetništva u parnicama pred trgovačkim    sudovima</w:t>
        </w:r>
        <w:r>
          <w:rPr>
            <w:noProof/>
            <w:webHidden/>
          </w:rPr>
          <w:tab/>
        </w:r>
        <w:r>
          <w:rPr>
            <w:noProof/>
            <w:webHidden/>
          </w:rPr>
          <w:tab/>
        </w:r>
        <w:r>
          <w:rPr>
            <w:noProof/>
            <w:webHidden/>
          </w:rPr>
          <w:fldChar w:fldCharType="begin"/>
        </w:r>
        <w:r>
          <w:rPr>
            <w:noProof/>
            <w:webHidden/>
          </w:rPr>
          <w:instrText xml:space="preserve"> PAGEREF _Toc133394349 \h </w:instrText>
        </w:r>
        <w:r>
          <w:rPr>
            <w:noProof/>
            <w:webHidden/>
          </w:rPr>
        </w:r>
        <w:r>
          <w:rPr>
            <w:noProof/>
            <w:webHidden/>
          </w:rPr>
          <w:fldChar w:fldCharType="separate"/>
        </w:r>
        <w:r>
          <w:rPr>
            <w:noProof/>
            <w:webHidden/>
          </w:rPr>
          <w:t>148</w:t>
        </w:r>
        <w:r>
          <w:rPr>
            <w:noProof/>
            <w:webHidden/>
          </w:rPr>
          <w:fldChar w:fldCharType="end"/>
        </w:r>
      </w:hyperlink>
    </w:p>
    <w:p w14:paraId="680A8BB9" w14:textId="1BDCD709"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50" w:history="1">
        <w:r w:rsidRPr="00670870">
          <w:rPr>
            <w:rStyle w:val="Hiperveza"/>
            <w:noProof/>
          </w:rPr>
          <w:t>10.2.3.</w:t>
        </w:r>
        <w:r>
          <w:rPr>
            <w:rFonts w:asciiTheme="minorHAnsi" w:eastAsiaTheme="minorEastAsia" w:hAnsiTheme="minorHAnsi" w:cstheme="minorBidi"/>
            <w:noProof/>
            <w:sz w:val="22"/>
            <w:szCs w:val="22"/>
            <w:lang w:eastAsia="hr-HR"/>
          </w:rPr>
          <w:tab/>
        </w:r>
        <w:r w:rsidRPr="00670870">
          <w:rPr>
            <w:rStyle w:val="Hiperveza"/>
            <w:noProof/>
          </w:rPr>
          <w:t>Odluke trgovačkih sudova u parnicama u kojima zastupa državno  odvjetništvo</w:t>
        </w:r>
        <w:r>
          <w:rPr>
            <w:noProof/>
            <w:webHidden/>
          </w:rPr>
          <w:tab/>
        </w:r>
        <w:r>
          <w:rPr>
            <w:noProof/>
            <w:webHidden/>
          </w:rPr>
          <w:fldChar w:fldCharType="begin"/>
        </w:r>
        <w:r>
          <w:rPr>
            <w:noProof/>
            <w:webHidden/>
          </w:rPr>
          <w:instrText xml:space="preserve"> PAGEREF _Toc133394350 \h </w:instrText>
        </w:r>
        <w:r>
          <w:rPr>
            <w:noProof/>
            <w:webHidden/>
          </w:rPr>
        </w:r>
        <w:r>
          <w:rPr>
            <w:noProof/>
            <w:webHidden/>
          </w:rPr>
          <w:fldChar w:fldCharType="separate"/>
        </w:r>
        <w:r>
          <w:rPr>
            <w:noProof/>
            <w:webHidden/>
          </w:rPr>
          <w:t>154</w:t>
        </w:r>
        <w:r>
          <w:rPr>
            <w:noProof/>
            <w:webHidden/>
          </w:rPr>
          <w:fldChar w:fldCharType="end"/>
        </w:r>
      </w:hyperlink>
    </w:p>
    <w:p w14:paraId="779F1DC5" w14:textId="0B11B6F0"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51" w:history="1">
        <w:r w:rsidRPr="00670870">
          <w:rPr>
            <w:rStyle w:val="Hiperveza"/>
            <w:noProof/>
          </w:rPr>
          <w:t>10.2.4.</w:t>
        </w:r>
        <w:r>
          <w:rPr>
            <w:rFonts w:asciiTheme="minorHAnsi" w:eastAsiaTheme="minorEastAsia" w:hAnsiTheme="minorHAnsi" w:cstheme="minorBidi"/>
            <w:noProof/>
            <w:sz w:val="22"/>
            <w:szCs w:val="22"/>
            <w:lang w:eastAsia="hr-HR"/>
          </w:rPr>
          <w:tab/>
        </w:r>
        <w:r w:rsidRPr="00670870">
          <w:rPr>
            <w:rStyle w:val="Hiperveza"/>
            <w:noProof/>
          </w:rPr>
          <w:t>Odluke u stečajnim i predstečajnim predmetima</w:t>
        </w:r>
        <w:r>
          <w:rPr>
            <w:noProof/>
            <w:webHidden/>
          </w:rPr>
          <w:tab/>
        </w:r>
        <w:r>
          <w:rPr>
            <w:noProof/>
            <w:webHidden/>
          </w:rPr>
          <w:fldChar w:fldCharType="begin"/>
        </w:r>
        <w:r>
          <w:rPr>
            <w:noProof/>
            <w:webHidden/>
          </w:rPr>
          <w:instrText xml:space="preserve"> PAGEREF _Toc133394351 \h </w:instrText>
        </w:r>
        <w:r>
          <w:rPr>
            <w:noProof/>
            <w:webHidden/>
          </w:rPr>
        </w:r>
        <w:r>
          <w:rPr>
            <w:noProof/>
            <w:webHidden/>
          </w:rPr>
          <w:fldChar w:fldCharType="separate"/>
        </w:r>
        <w:r>
          <w:rPr>
            <w:noProof/>
            <w:webHidden/>
          </w:rPr>
          <w:t>156</w:t>
        </w:r>
        <w:r>
          <w:rPr>
            <w:noProof/>
            <w:webHidden/>
          </w:rPr>
          <w:fldChar w:fldCharType="end"/>
        </w:r>
      </w:hyperlink>
    </w:p>
    <w:p w14:paraId="2E4603C1" w14:textId="10A94E2A" w:rsidR="00B06098" w:rsidRDefault="00B06098">
      <w:pPr>
        <w:pStyle w:val="Sadraj5"/>
        <w:tabs>
          <w:tab w:val="left" w:pos="2034"/>
          <w:tab w:val="right" w:leader="dot" w:pos="9062"/>
        </w:tabs>
        <w:rPr>
          <w:rFonts w:asciiTheme="minorHAnsi" w:eastAsiaTheme="minorEastAsia" w:hAnsiTheme="minorHAnsi" w:cstheme="minorBidi"/>
          <w:noProof/>
          <w:sz w:val="22"/>
          <w:szCs w:val="22"/>
          <w:lang w:eastAsia="hr-HR"/>
        </w:rPr>
      </w:pPr>
      <w:hyperlink w:anchor="_Toc133394352" w:history="1">
        <w:r w:rsidRPr="00670870">
          <w:rPr>
            <w:rStyle w:val="Hiperveza"/>
            <w:noProof/>
          </w:rPr>
          <w:t>10.2.4.1.</w:t>
        </w:r>
        <w:r>
          <w:rPr>
            <w:rFonts w:asciiTheme="minorHAnsi" w:eastAsiaTheme="minorEastAsia" w:hAnsiTheme="minorHAnsi" w:cstheme="minorBidi"/>
            <w:noProof/>
            <w:sz w:val="22"/>
            <w:szCs w:val="22"/>
            <w:lang w:eastAsia="hr-HR"/>
          </w:rPr>
          <w:tab/>
        </w:r>
        <w:r w:rsidRPr="00670870">
          <w:rPr>
            <w:rStyle w:val="Hiperveza"/>
            <w:noProof/>
          </w:rPr>
          <w:t>Predstečajni predmeti</w:t>
        </w:r>
        <w:r>
          <w:rPr>
            <w:noProof/>
            <w:webHidden/>
          </w:rPr>
          <w:tab/>
        </w:r>
        <w:r>
          <w:rPr>
            <w:noProof/>
            <w:webHidden/>
          </w:rPr>
          <w:fldChar w:fldCharType="begin"/>
        </w:r>
        <w:r>
          <w:rPr>
            <w:noProof/>
            <w:webHidden/>
          </w:rPr>
          <w:instrText xml:space="preserve"> PAGEREF _Toc133394352 \h </w:instrText>
        </w:r>
        <w:r>
          <w:rPr>
            <w:noProof/>
            <w:webHidden/>
          </w:rPr>
        </w:r>
        <w:r>
          <w:rPr>
            <w:noProof/>
            <w:webHidden/>
          </w:rPr>
          <w:fldChar w:fldCharType="separate"/>
        </w:r>
        <w:r>
          <w:rPr>
            <w:noProof/>
            <w:webHidden/>
          </w:rPr>
          <w:t>161</w:t>
        </w:r>
        <w:r>
          <w:rPr>
            <w:noProof/>
            <w:webHidden/>
          </w:rPr>
          <w:fldChar w:fldCharType="end"/>
        </w:r>
      </w:hyperlink>
    </w:p>
    <w:p w14:paraId="4F0AE040" w14:textId="4981A1CE"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53" w:history="1">
        <w:r w:rsidRPr="00670870">
          <w:rPr>
            <w:rStyle w:val="Hiperveza"/>
            <w:noProof/>
          </w:rPr>
          <w:t>10.2.5.</w:t>
        </w:r>
        <w:r>
          <w:rPr>
            <w:rFonts w:asciiTheme="minorHAnsi" w:eastAsiaTheme="minorEastAsia" w:hAnsiTheme="minorHAnsi" w:cstheme="minorBidi"/>
            <w:noProof/>
            <w:sz w:val="22"/>
            <w:szCs w:val="22"/>
            <w:lang w:eastAsia="hr-HR"/>
          </w:rPr>
          <w:tab/>
        </w:r>
        <w:r w:rsidRPr="00670870">
          <w:rPr>
            <w:rStyle w:val="Hiperveza"/>
            <w:noProof/>
          </w:rPr>
          <w:t>Odluke u upravnim sporovima</w:t>
        </w:r>
        <w:r>
          <w:rPr>
            <w:noProof/>
            <w:webHidden/>
          </w:rPr>
          <w:tab/>
        </w:r>
        <w:r>
          <w:rPr>
            <w:noProof/>
            <w:webHidden/>
          </w:rPr>
          <w:fldChar w:fldCharType="begin"/>
        </w:r>
        <w:r>
          <w:rPr>
            <w:noProof/>
            <w:webHidden/>
          </w:rPr>
          <w:instrText xml:space="preserve"> PAGEREF _Toc133394353 \h </w:instrText>
        </w:r>
        <w:r>
          <w:rPr>
            <w:noProof/>
            <w:webHidden/>
          </w:rPr>
        </w:r>
        <w:r>
          <w:rPr>
            <w:noProof/>
            <w:webHidden/>
          </w:rPr>
          <w:fldChar w:fldCharType="separate"/>
        </w:r>
        <w:r>
          <w:rPr>
            <w:noProof/>
            <w:webHidden/>
          </w:rPr>
          <w:t>163</w:t>
        </w:r>
        <w:r>
          <w:rPr>
            <w:noProof/>
            <w:webHidden/>
          </w:rPr>
          <w:fldChar w:fldCharType="end"/>
        </w:r>
      </w:hyperlink>
    </w:p>
    <w:p w14:paraId="6F49C89F" w14:textId="51E84307"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54" w:history="1">
        <w:r w:rsidRPr="00670870">
          <w:rPr>
            <w:rStyle w:val="Hiperveza"/>
            <w:noProof/>
          </w:rPr>
          <w:t>10.2.6.</w:t>
        </w:r>
        <w:r>
          <w:rPr>
            <w:rFonts w:asciiTheme="minorHAnsi" w:eastAsiaTheme="minorEastAsia" w:hAnsiTheme="minorHAnsi" w:cstheme="minorBidi"/>
            <w:noProof/>
            <w:sz w:val="22"/>
            <w:szCs w:val="22"/>
            <w:lang w:eastAsia="hr-HR"/>
          </w:rPr>
          <w:tab/>
        </w:r>
        <w:r w:rsidRPr="00670870">
          <w:rPr>
            <w:rStyle w:val="Hiperveza"/>
            <w:noProof/>
          </w:rPr>
          <w:t>Odluke u ostalim predmetima</w:t>
        </w:r>
        <w:r>
          <w:rPr>
            <w:noProof/>
            <w:webHidden/>
          </w:rPr>
          <w:tab/>
        </w:r>
        <w:r>
          <w:rPr>
            <w:noProof/>
            <w:webHidden/>
          </w:rPr>
          <w:fldChar w:fldCharType="begin"/>
        </w:r>
        <w:r>
          <w:rPr>
            <w:noProof/>
            <w:webHidden/>
          </w:rPr>
          <w:instrText xml:space="preserve"> PAGEREF _Toc133394354 \h </w:instrText>
        </w:r>
        <w:r>
          <w:rPr>
            <w:noProof/>
            <w:webHidden/>
          </w:rPr>
        </w:r>
        <w:r>
          <w:rPr>
            <w:noProof/>
            <w:webHidden/>
          </w:rPr>
          <w:fldChar w:fldCharType="separate"/>
        </w:r>
        <w:r>
          <w:rPr>
            <w:noProof/>
            <w:webHidden/>
          </w:rPr>
          <w:t>165</w:t>
        </w:r>
        <w:r>
          <w:rPr>
            <w:noProof/>
            <w:webHidden/>
          </w:rPr>
          <w:fldChar w:fldCharType="end"/>
        </w:r>
      </w:hyperlink>
    </w:p>
    <w:p w14:paraId="7CA25FA3" w14:textId="6D7D9E1D" w:rsidR="00B06098" w:rsidRDefault="00B06098">
      <w:pPr>
        <w:pStyle w:val="Sadraj2"/>
        <w:tabs>
          <w:tab w:val="left" w:pos="880"/>
          <w:tab w:val="right" w:leader="dot" w:pos="9062"/>
        </w:tabs>
        <w:rPr>
          <w:rFonts w:asciiTheme="minorHAnsi" w:eastAsiaTheme="minorEastAsia" w:hAnsiTheme="minorHAnsi" w:cstheme="minorBidi"/>
          <w:noProof/>
          <w:sz w:val="22"/>
          <w:szCs w:val="22"/>
          <w:lang w:eastAsia="hr-HR"/>
        </w:rPr>
      </w:pPr>
      <w:hyperlink w:anchor="_Toc133394355" w:history="1">
        <w:r w:rsidRPr="00670870">
          <w:rPr>
            <w:rStyle w:val="Hiperveza"/>
            <w:noProof/>
          </w:rPr>
          <w:t>11.</w:t>
        </w:r>
        <w:r>
          <w:rPr>
            <w:rFonts w:asciiTheme="minorHAnsi" w:eastAsiaTheme="minorEastAsia" w:hAnsiTheme="minorHAnsi" w:cstheme="minorBidi"/>
            <w:noProof/>
            <w:sz w:val="22"/>
            <w:szCs w:val="22"/>
            <w:lang w:eastAsia="hr-HR"/>
          </w:rPr>
          <w:tab/>
        </w:r>
        <w:r w:rsidRPr="00670870">
          <w:rPr>
            <w:rStyle w:val="Hiperveza"/>
            <w:noProof/>
          </w:rPr>
          <w:t>Prikaz rada i odluka Ureda za suzbijanje korupcije i organiziranog</w:t>
        </w:r>
        <w:r>
          <w:rPr>
            <w:noProof/>
            <w:webHidden/>
          </w:rPr>
          <w:tab/>
        </w:r>
        <w:r>
          <w:rPr>
            <w:noProof/>
            <w:webHidden/>
          </w:rPr>
          <w:fldChar w:fldCharType="begin"/>
        </w:r>
        <w:r>
          <w:rPr>
            <w:noProof/>
            <w:webHidden/>
          </w:rPr>
          <w:instrText xml:space="preserve"> PAGEREF _Toc133394355 \h </w:instrText>
        </w:r>
        <w:r>
          <w:rPr>
            <w:noProof/>
            <w:webHidden/>
          </w:rPr>
        </w:r>
        <w:r>
          <w:rPr>
            <w:noProof/>
            <w:webHidden/>
          </w:rPr>
          <w:fldChar w:fldCharType="separate"/>
        </w:r>
        <w:r>
          <w:rPr>
            <w:noProof/>
            <w:webHidden/>
          </w:rPr>
          <w:t>169</w:t>
        </w:r>
        <w:r>
          <w:rPr>
            <w:noProof/>
            <w:webHidden/>
          </w:rPr>
          <w:fldChar w:fldCharType="end"/>
        </w:r>
      </w:hyperlink>
    </w:p>
    <w:p w14:paraId="7C3BF55C" w14:textId="43A71360" w:rsidR="00B06098" w:rsidRDefault="00B06098">
      <w:pPr>
        <w:pStyle w:val="Sadraj2"/>
        <w:tabs>
          <w:tab w:val="right" w:leader="dot" w:pos="9062"/>
        </w:tabs>
        <w:rPr>
          <w:rFonts w:asciiTheme="minorHAnsi" w:eastAsiaTheme="minorEastAsia" w:hAnsiTheme="minorHAnsi" w:cstheme="minorBidi"/>
          <w:noProof/>
          <w:sz w:val="22"/>
          <w:szCs w:val="22"/>
          <w:lang w:eastAsia="hr-HR"/>
        </w:rPr>
      </w:pPr>
      <w:hyperlink w:anchor="_Toc133394356" w:history="1">
        <w:r w:rsidRPr="00670870">
          <w:rPr>
            <w:rStyle w:val="Hiperveza"/>
            <w:noProof/>
          </w:rPr>
          <w:t>kriminaliteta (USKOK)</w:t>
        </w:r>
        <w:r>
          <w:rPr>
            <w:noProof/>
            <w:webHidden/>
          </w:rPr>
          <w:tab/>
        </w:r>
        <w:r>
          <w:rPr>
            <w:noProof/>
            <w:webHidden/>
          </w:rPr>
          <w:fldChar w:fldCharType="begin"/>
        </w:r>
        <w:r>
          <w:rPr>
            <w:noProof/>
            <w:webHidden/>
          </w:rPr>
          <w:instrText xml:space="preserve"> PAGEREF _Toc133394356 \h </w:instrText>
        </w:r>
        <w:r>
          <w:rPr>
            <w:noProof/>
            <w:webHidden/>
          </w:rPr>
        </w:r>
        <w:r>
          <w:rPr>
            <w:noProof/>
            <w:webHidden/>
          </w:rPr>
          <w:fldChar w:fldCharType="separate"/>
        </w:r>
        <w:r>
          <w:rPr>
            <w:noProof/>
            <w:webHidden/>
          </w:rPr>
          <w:t>169</w:t>
        </w:r>
        <w:r>
          <w:rPr>
            <w:noProof/>
            <w:webHidden/>
          </w:rPr>
          <w:fldChar w:fldCharType="end"/>
        </w:r>
      </w:hyperlink>
    </w:p>
    <w:p w14:paraId="2340C216" w14:textId="67DCAF74"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57" w:history="1">
        <w:r w:rsidRPr="00670870">
          <w:rPr>
            <w:rStyle w:val="Hiperveza"/>
            <w:noProof/>
          </w:rPr>
          <w:t>11.1.</w:t>
        </w:r>
        <w:r>
          <w:rPr>
            <w:rFonts w:asciiTheme="minorHAnsi" w:eastAsiaTheme="minorEastAsia" w:hAnsiTheme="minorHAnsi" w:cstheme="minorBidi"/>
            <w:noProof/>
            <w:sz w:val="22"/>
            <w:szCs w:val="22"/>
            <w:lang w:eastAsia="hr-HR"/>
          </w:rPr>
          <w:tab/>
        </w:r>
        <w:r w:rsidRPr="00670870">
          <w:rPr>
            <w:rStyle w:val="Hiperveza"/>
            <w:noProof/>
          </w:rPr>
          <w:t>Odluke povodom kaznene prijave</w:t>
        </w:r>
        <w:r>
          <w:rPr>
            <w:noProof/>
            <w:webHidden/>
          </w:rPr>
          <w:tab/>
        </w:r>
        <w:r>
          <w:rPr>
            <w:noProof/>
            <w:webHidden/>
          </w:rPr>
          <w:fldChar w:fldCharType="begin"/>
        </w:r>
        <w:r>
          <w:rPr>
            <w:noProof/>
            <w:webHidden/>
          </w:rPr>
          <w:instrText xml:space="preserve"> PAGEREF _Toc133394357 \h </w:instrText>
        </w:r>
        <w:r>
          <w:rPr>
            <w:noProof/>
            <w:webHidden/>
          </w:rPr>
        </w:r>
        <w:r>
          <w:rPr>
            <w:noProof/>
            <w:webHidden/>
          </w:rPr>
          <w:fldChar w:fldCharType="separate"/>
        </w:r>
        <w:r>
          <w:rPr>
            <w:noProof/>
            <w:webHidden/>
          </w:rPr>
          <w:t>169</w:t>
        </w:r>
        <w:r>
          <w:rPr>
            <w:noProof/>
            <w:webHidden/>
          </w:rPr>
          <w:fldChar w:fldCharType="end"/>
        </w:r>
      </w:hyperlink>
    </w:p>
    <w:p w14:paraId="06627C9E" w14:textId="327CFA55"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58" w:history="1">
        <w:r w:rsidRPr="00670870">
          <w:rPr>
            <w:rStyle w:val="Hiperveza"/>
            <w:noProof/>
          </w:rPr>
          <w:t>11.2.</w:t>
        </w:r>
        <w:r>
          <w:rPr>
            <w:rFonts w:asciiTheme="minorHAnsi" w:eastAsiaTheme="minorEastAsia" w:hAnsiTheme="minorHAnsi" w:cstheme="minorBidi"/>
            <w:noProof/>
            <w:sz w:val="22"/>
            <w:szCs w:val="22"/>
            <w:lang w:eastAsia="hr-HR"/>
          </w:rPr>
          <w:tab/>
        </w:r>
        <w:r w:rsidRPr="00670870">
          <w:rPr>
            <w:rStyle w:val="Hiperveza"/>
            <w:noProof/>
          </w:rPr>
          <w:t>Istrage i odluke po dovršenoj istrazi</w:t>
        </w:r>
        <w:r>
          <w:rPr>
            <w:noProof/>
            <w:webHidden/>
          </w:rPr>
          <w:tab/>
        </w:r>
        <w:r>
          <w:rPr>
            <w:noProof/>
            <w:webHidden/>
          </w:rPr>
          <w:fldChar w:fldCharType="begin"/>
        </w:r>
        <w:r>
          <w:rPr>
            <w:noProof/>
            <w:webHidden/>
          </w:rPr>
          <w:instrText xml:space="preserve"> PAGEREF _Toc133394358 \h </w:instrText>
        </w:r>
        <w:r>
          <w:rPr>
            <w:noProof/>
            <w:webHidden/>
          </w:rPr>
        </w:r>
        <w:r>
          <w:rPr>
            <w:noProof/>
            <w:webHidden/>
          </w:rPr>
          <w:fldChar w:fldCharType="separate"/>
        </w:r>
        <w:r>
          <w:rPr>
            <w:noProof/>
            <w:webHidden/>
          </w:rPr>
          <w:t>170</w:t>
        </w:r>
        <w:r>
          <w:rPr>
            <w:noProof/>
            <w:webHidden/>
          </w:rPr>
          <w:fldChar w:fldCharType="end"/>
        </w:r>
      </w:hyperlink>
    </w:p>
    <w:p w14:paraId="0B537CD6" w14:textId="1A15D121"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59" w:history="1">
        <w:r w:rsidRPr="00670870">
          <w:rPr>
            <w:rStyle w:val="Hiperveza"/>
            <w:rFonts w:eastAsia="Calibri"/>
            <w:noProof/>
          </w:rPr>
          <w:t>11.2.1.</w:t>
        </w:r>
        <w:r>
          <w:rPr>
            <w:rFonts w:asciiTheme="minorHAnsi" w:eastAsiaTheme="minorEastAsia" w:hAnsiTheme="minorHAnsi" w:cstheme="minorBidi"/>
            <w:noProof/>
            <w:sz w:val="22"/>
            <w:szCs w:val="22"/>
            <w:lang w:eastAsia="hr-HR"/>
          </w:rPr>
          <w:tab/>
        </w:r>
        <w:r w:rsidRPr="00670870">
          <w:rPr>
            <w:rStyle w:val="Hiperveza"/>
            <w:rFonts w:eastAsia="Calibri"/>
            <w:noProof/>
          </w:rPr>
          <w:t>Trajanje istrage</w:t>
        </w:r>
        <w:r>
          <w:rPr>
            <w:noProof/>
            <w:webHidden/>
          </w:rPr>
          <w:tab/>
        </w:r>
        <w:r>
          <w:rPr>
            <w:noProof/>
            <w:webHidden/>
          </w:rPr>
          <w:fldChar w:fldCharType="begin"/>
        </w:r>
        <w:r>
          <w:rPr>
            <w:noProof/>
            <w:webHidden/>
          </w:rPr>
          <w:instrText xml:space="preserve"> PAGEREF _Toc133394359 \h </w:instrText>
        </w:r>
        <w:r>
          <w:rPr>
            <w:noProof/>
            <w:webHidden/>
          </w:rPr>
        </w:r>
        <w:r>
          <w:rPr>
            <w:noProof/>
            <w:webHidden/>
          </w:rPr>
          <w:fldChar w:fldCharType="separate"/>
        </w:r>
        <w:r>
          <w:rPr>
            <w:noProof/>
            <w:webHidden/>
          </w:rPr>
          <w:t>171</w:t>
        </w:r>
        <w:r>
          <w:rPr>
            <w:noProof/>
            <w:webHidden/>
          </w:rPr>
          <w:fldChar w:fldCharType="end"/>
        </w:r>
      </w:hyperlink>
    </w:p>
    <w:p w14:paraId="1CE8E381" w14:textId="6B5C93B8"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60" w:history="1">
        <w:r w:rsidRPr="00670870">
          <w:rPr>
            <w:rStyle w:val="Hiperveza"/>
            <w:noProof/>
          </w:rPr>
          <w:t>11.3.</w:t>
        </w:r>
        <w:r>
          <w:rPr>
            <w:rFonts w:asciiTheme="minorHAnsi" w:eastAsiaTheme="minorEastAsia" w:hAnsiTheme="minorHAnsi" w:cstheme="minorBidi"/>
            <w:noProof/>
            <w:sz w:val="22"/>
            <w:szCs w:val="22"/>
            <w:lang w:eastAsia="hr-HR"/>
          </w:rPr>
          <w:tab/>
        </w:r>
        <w:r w:rsidRPr="00670870">
          <w:rPr>
            <w:rStyle w:val="Hiperveza"/>
            <w:noProof/>
          </w:rPr>
          <w:t>Optuženja i odluke sudova povodom optuženja</w:t>
        </w:r>
        <w:r>
          <w:rPr>
            <w:noProof/>
            <w:webHidden/>
          </w:rPr>
          <w:tab/>
        </w:r>
        <w:r>
          <w:rPr>
            <w:noProof/>
            <w:webHidden/>
          </w:rPr>
          <w:fldChar w:fldCharType="begin"/>
        </w:r>
        <w:r>
          <w:rPr>
            <w:noProof/>
            <w:webHidden/>
          </w:rPr>
          <w:instrText xml:space="preserve"> PAGEREF _Toc133394360 \h </w:instrText>
        </w:r>
        <w:r>
          <w:rPr>
            <w:noProof/>
            <w:webHidden/>
          </w:rPr>
        </w:r>
        <w:r>
          <w:rPr>
            <w:noProof/>
            <w:webHidden/>
          </w:rPr>
          <w:fldChar w:fldCharType="separate"/>
        </w:r>
        <w:r>
          <w:rPr>
            <w:noProof/>
            <w:webHidden/>
          </w:rPr>
          <w:t>172</w:t>
        </w:r>
        <w:r>
          <w:rPr>
            <w:noProof/>
            <w:webHidden/>
          </w:rPr>
          <w:fldChar w:fldCharType="end"/>
        </w:r>
      </w:hyperlink>
    </w:p>
    <w:p w14:paraId="2D6C8376" w14:textId="0101E33C"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61" w:history="1">
        <w:r w:rsidRPr="00670870">
          <w:rPr>
            <w:rStyle w:val="Hiperveza"/>
            <w:noProof/>
          </w:rPr>
          <w:t>11.3.1.</w:t>
        </w:r>
        <w:r>
          <w:rPr>
            <w:rFonts w:asciiTheme="minorHAnsi" w:eastAsiaTheme="minorEastAsia" w:hAnsiTheme="minorHAnsi" w:cstheme="minorBidi"/>
            <w:noProof/>
            <w:sz w:val="22"/>
            <w:szCs w:val="22"/>
            <w:lang w:eastAsia="hr-HR"/>
          </w:rPr>
          <w:tab/>
        </w:r>
        <w:r w:rsidRPr="00670870">
          <w:rPr>
            <w:rStyle w:val="Hiperveza"/>
            <w:noProof/>
          </w:rPr>
          <w:t>Optužnice u radu Ureda</w:t>
        </w:r>
        <w:r>
          <w:rPr>
            <w:noProof/>
            <w:webHidden/>
          </w:rPr>
          <w:tab/>
        </w:r>
        <w:r>
          <w:rPr>
            <w:noProof/>
            <w:webHidden/>
          </w:rPr>
          <w:fldChar w:fldCharType="begin"/>
        </w:r>
        <w:r>
          <w:rPr>
            <w:noProof/>
            <w:webHidden/>
          </w:rPr>
          <w:instrText xml:space="preserve"> PAGEREF _Toc133394361 \h </w:instrText>
        </w:r>
        <w:r>
          <w:rPr>
            <w:noProof/>
            <w:webHidden/>
          </w:rPr>
        </w:r>
        <w:r>
          <w:rPr>
            <w:noProof/>
            <w:webHidden/>
          </w:rPr>
          <w:fldChar w:fldCharType="separate"/>
        </w:r>
        <w:r>
          <w:rPr>
            <w:noProof/>
            <w:webHidden/>
          </w:rPr>
          <w:t>172</w:t>
        </w:r>
        <w:r>
          <w:rPr>
            <w:noProof/>
            <w:webHidden/>
          </w:rPr>
          <w:fldChar w:fldCharType="end"/>
        </w:r>
      </w:hyperlink>
    </w:p>
    <w:p w14:paraId="36FC172A" w14:textId="680759D5"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62" w:history="1">
        <w:r w:rsidRPr="00670870">
          <w:rPr>
            <w:rStyle w:val="Hiperveza"/>
            <w:rFonts w:eastAsia="Arial"/>
            <w:noProof/>
          </w:rPr>
          <w:t>11.3.2.</w:t>
        </w:r>
        <w:r>
          <w:rPr>
            <w:rFonts w:asciiTheme="minorHAnsi" w:eastAsiaTheme="minorEastAsia" w:hAnsiTheme="minorHAnsi" w:cstheme="minorBidi"/>
            <w:noProof/>
            <w:sz w:val="22"/>
            <w:szCs w:val="22"/>
            <w:lang w:eastAsia="hr-HR"/>
          </w:rPr>
          <w:tab/>
        </w:r>
        <w:r w:rsidRPr="00670870">
          <w:rPr>
            <w:rStyle w:val="Hiperveza"/>
            <w:rFonts w:eastAsia="Arial"/>
            <w:noProof/>
          </w:rPr>
          <w:t>Odluke pred optužnim vijećem</w:t>
        </w:r>
        <w:r>
          <w:rPr>
            <w:noProof/>
            <w:webHidden/>
          </w:rPr>
          <w:tab/>
        </w:r>
        <w:r>
          <w:rPr>
            <w:noProof/>
            <w:webHidden/>
          </w:rPr>
          <w:fldChar w:fldCharType="begin"/>
        </w:r>
        <w:r>
          <w:rPr>
            <w:noProof/>
            <w:webHidden/>
          </w:rPr>
          <w:instrText xml:space="preserve"> PAGEREF _Toc133394362 \h </w:instrText>
        </w:r>
        <w:r>
          <w:rPr>
            <w:noProof/>
            <w:webHidden/>
          </w:rPr>
        </w:r>
        <w:r>
          <w:rPr>
            <w:noProof/>
            <w:webHidden/>
          </w:rPr>
          <w:fldChar w:fldCharType="separate"/>
        </w:r>
        <w:r>
          <w:rPr>
            <w:noProof/>
            <w:webHidden/>
          </w:rPr>
          <w:t>173</w:t>
        </w:r>
        <w:r>
          <w:rPr>
            <w:noProof/>
            <w:webHidden/>
          </w:rPr>
          <w:fldChar w:fldCharType="end"/>
        </w:r>
      </w:hyperlink>
    </w:p>
    <w:p w14:paraId="0011832C" w14:textId="1BBAFAE9"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63" w:history="1">
        <w:r w:rsidRPr="00670870">
          <w:rPr>
            <w:rStyle w:val="Hiperveza"/>
            <w:rFonts w:eastAsia="Arial"/>
            <w:noProof/>
          </w:rPr>
          <w:t>11.3.3.</w:t>
        </w:r>
        <w:r>
          <w:rPr>
            <w:rFonts w:asciiTheme="minorHAnsi" w:eastAsiaTheme="minorEastAsia" w:hAnsiTheme="minorHAnsi" w:cstheme="minorBidi"/>
            <w:noProof/>
            <w:sz w:val="22"/>
            <w:szCs w:val="22"/>
            <w:lang w:eastAsia="hr-HR"/>
          </w:rPr>
          <w:tab/>
        </w:r>
        <w:r w:rsidRPr="00670870">
          <w:rPr>
            <w:rStyle w:val="Hiperveza"/>
            <w:rFonts w:eastAsia="Arial"/>
            <w:noProof/>
          </w:rPr>
          <w:t>Broj i vrste presuda</w:t>
        </w:r>
        <w:r>
          <w:rPr>
            <w:noProof/>
            <w:webHidden/>
          </w:rPr>
          <w:tab/>
        </w:r>
        <w:r>
          <w:rPr>
            <w:noProof/>
            <w:webHidden/>
          </w:rPr>
          <w:fldChar w:fldCharType="begin"/>
        </w:r>
        <w:r>
          <w:rPr>
            <w:noProof/>
            <w:webHidden/>
          </w:rPr>
          <w:instrText xml:space="preserve"> PAGEREF _Toc133394363 \h </w:instrText>
        </w:r>
        <w:r>
          <w:rPr>
            <w:noProof/>
            <w:webHidden/>
          </w:rPr>
        </w:r>
        <w:r>
          <w:rPr>
            <w:noProof/>
            <w:webHidden/>
          </w:rPr>
          <w:fldChar w:fldCharType="separate"/>
        </w:r>
        <w:r>
          <w:rPr>
            <w:noProof/>
            <w:webHidden/>
          </w:rPr>
          <w:t>174</w:t>
        </w:r>
        <w:r>
          <w:rPr>
            <w:noProof/>
            <w:webHidden/>
          </w:rPr>
          <w:fldChar w:fldCharType="end"/>
        </w:r>
      </w:hyperlink>
    </w:p>
    <w:p w14:paraId="3AE1EB74" w14:textId="133C5DAC"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64" w:history="1">
        <w:r w:rsidRPr="00670870">
          <w:rPr>
            <w:rStyle w:val="Hiperveza"/>
            <w:noProof/>
          </w:rPr>
          <w:t>11.4.</w:t>
        </w:r>
        <w:r>
          <w:rPr>
            <w:rFonts w:asciiTheme="minorHAnsi" w:eastAsiaTheme="minorEastAsia" w:hAnsiTheme="minorHAnsi" w:cstheme="minorBidi"/>
            <w:noProof/>
            <w:sz w:val="22"/>
            <w:szCs w:val="22"/>
            <w:lang w:eastAsia="hr-HR"/>
          </w:rPr>
          <w:tab/>
        </w:r>
        <w:r w:rsidRPr="00670870">
          <w:rPr>
            <w:rStyle w:val="Hiperveza"/>
            <w:noProof/>
          </w:rPr>
          <w:t>Kaznene sankcije</w:t>
        </w:r>
        <w:r>
          <w:rPr>
            <w:noProof/>
            <w:webHidden/>
          </w:rPr>
          <w:tab/>
        </w:r>
        <w:r>
          <w:rPr>
            <w:noProof/>
            <w:webHidden/>
          </w:rPr>
          <w:fldChar w:fldCharType="begin"/>
        </w:r>
        <w:r>
          <w:rPr>
            <w:noProof/>
            <w:webHidden/>
          </w:rPr>
          <w:instrText xml:space="preserve"> PAGEREF _Toc133394364 \h </w:instrText>
        </w:r>
        <w:r>
          <w:rPr>
            <w:noProof/>
            <w:webHidden/>
          </w:rPr>
        </w:r>
        <w:r>
          <w:rPr>
            <w:noProof/>
            <w:webHidden/>
          </w:rPr>
          <w:fldChar w:fldCharType="separate"/>
        </w:r>
        <w:r>
          <w:rPr>
            <w:noProof/>
            <w:webHidden/>
          </w:rPr>
          <w:t>176</w:t>
        </w:r>
        <w:r>
          <w:rPr>
            <w:noProof/>
            <w:webHidden/>
          </w:rPr>
          <w:fldChar w:fldCharType="end"/>
        </w:r>
      </w:hyperlink>
    </w:p>
    <w:p w14:paraId="08128B06" w14:textId="562DCFA2"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65" w:history="1">
        <w:r w:rsidRPr="00670870">
          <w:rPr>
            <w:rStyle w:val="Hiperveza"/>
            <w:noProof/>
          </w:rPr>
          <w:t>11.4.1.</w:t>
        </w:r>
        <w:r>
          <w:rPr>
            <w:rFonts w:asciiTheme="minorHAnsi" w:eastAsiaTheme="minorEastAsia" w:hAnsiTheme="minorHAnsi" w:cstheme="minorBidi"/>
            <w:noProof/>
            <w:sz w:val="22"/>
            <w:szCs w:val="22"/>
            <w:lang w:eastAsia="hr-HR"/>
          </w:rPr>
          <w:tab/>
        </w:r>
        <w:r w:rsidRPr="00670870">
          <w:rPr>
            <w:rStyle w:val="Hiperveza"/>
            <w:noProof/>
          </w:rPr>
          <w:t>Oduzimanje imovinske koristi i mjere osiguranja</w:t>
        </w:r>
        <w:r>
          <w:rPr>
            <w:noProof/>
            <w:webHidden/>
          </w:rPr>
          <w:tab/>
        </w:r>
        <w:r>
          <w:rPr>
            <w:noProof/>
            <w:webHidden/>
          </w:rPr>
          <w:fldChar w:fldCharType="begin"/>
        </w:r>
        <w:r>
          <w:rPr>
            <w:noProof/>
            <w:webHidden/>
          </w:rPr>
          <w:instrText xml:space="preserve"> PAGEREF _Toc133394365 \h </w:instrText>
        </w:r>
        <w:r>
          <w:rPr>
            <w:noProof/>
            <w:webHidden/>
          </w:rPr>
        </w:r>
        <w:r>
          <w:rPr>
            <w:noProof/>
            <w:webHidden/>
          </w:rPr>
          <w:fldChar w:fldCharType="separate"/>
        </w:r>
        <w:r>
          <w:rPr>
            <w:noProof/>
            <w:webHidden/>
          </w:rPr>
          <w:t>177</w:t>
        </w:r>
        <w:r>
          <w:rPr>
            <w:noProof/>
            <w:webHidden/>
          </w:rPr>
          <w:fldChar w:fldCharType="end"/>
        </w:r>
      </w:hyperlink>
    </w:p>
    <w:p w14:paraId="4A6C2A0A" w14:textId="203EAC17"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66" w:history="1">
        <w:r w:rsidRPr="00670870">
          <w:rPr>
            <w:rStyle w:val="Hiperveza"/>
            <w:noProof/>
          </w:rPr>
          <w:t>11.4.2.</w:t>
        </w:r>
        <w:r>
          <w:rPr>
            <w:rFonts w:asciiTheme="minorHAnsi" w:eastAsiaTheme="minorEastAsia" w:hAnsiTheme="minorHAnsi" w:cstheme="minorBidi"/>
            <w:noProof/>
            <w:sz w:val="22"/>
            <w:szCs w:val="22"/>
            <w:lang w:eastAsia="hr-HR"/>
          </w:rPr>
          <w:tab/>
        </w:r>
        <w:r w:rsidRPr="00670870">
          <w:rPr>
            <w:rStyle w:val="Hiperveza"/>
            <w:noProof/>
          </w:rPr>
          <w:t>Pregled radnji i ročišta</w:t>
        </w:r>
        <w:r>
          <w:rPr>
            <w:noProof/>
            <w:webHidden/>
          </w:rPr>
          <w:tab/>
        </w:r>
        <w:r>
          <w:rPr>
            <w:noProof/>
            <w:webHidden/>
          </w:rPr>
          <w:fldChar w:fldCharType="begin"/>
        </w:r>
        <w:r>
          <w:rPr>
            <w:noProof/>
            <w:webHidden/>
          </w:rPr>
          <w:instrText xml:space="preserve"> PAGEREF _Toc133394366 \h </w:instrText>
        </w:r>
        <w:r>
          <w:rPr>
            <w:noProof/>
            <w:webHidden/>
          </w:rPr>
        </w:r>
        <w:r>
          <w:rPr>
            <w:noProof/>
            <w:webHidden/>
          </w:rPr>
          <w:fldChar w:fldCharType="separate"/>
        </w:r>
        <w:r>
          <w:rPr>
            <w:noProof/>
            <w:webHidden/>
          </w:rPr>
          <w:t>180</w:t>
        </w:r>
        <w:r>
          <w:rPr>
            <w:noProof/>
            <w:webHidden/>
          </w:rPr>
          <w:fldChar w:fldCharType="end"/>
        </w:r>
      </w:hyperlink>
    </w:p>
    <w:p w14:paraId="329598B3" w14:textId="33479FC9"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67" w:history="1">
        <w:r w:rsidRPr="00670870">
          <w:rPr>
            <w:rStyle w:val="Hiperveza"/>
            <w:noProof/>
          </w:rPr>
          <w:t>11.5.</w:t>
        </w:r>
        <w:r>
          <w:rPr>
            <w:rFonts w:asciiTheme="minorHAnsi" w:eastAsiaTheme="minorEastAsia" w:hAnsiTheme="minorHAnsi" w:cstheme="minorBidi"/>
            <w:noProof/>
            <w:sz w:val="22"/>
            <w:szCs w:val="22"/>
            <w:lang w:eastAsia="hr-HR"/>
          </w:rPr>
          <w:tab/>
        </w:r>
        <w:r w:rsidRPr="00670870">
          <w:rPr>
            <w:rStyle w:val="Hiperveza"/>
            <w:noProof/>
          </w:rPr>
          <w:t>Žalbe i odluke sudova povodom žalbi</w:t>
        </w:r>
        <w:r>
          <w:rPr>
            <w:noProof/>
            <w:webHidden/>
          </w:rPr>
          <w:tab/>
        </w:r>
        <w:r>
          <w:rPr>
            <w:noProof/>
            <w:webHidden/>
          </w:rPr>
          <w:fldChar w:fldCharType="begin"/>
        </w:r>
        <w:r>
          <w:rPr>
            <w:noProof/>
            <w:webHidden/>
          </w:rPr>
          <w:instrText xml:space="preserve"> PAGEREF _Toc133394367 \h </w:instrText>
        </w:r>
        <w:r>
          <w:rPr>
            <w:noProof/>
            <w:webHidden/>
          </w:rPr>
        </w:r>
        <w:r>
          <w:rPr>
            <w:noProof/>
            <w:webHidden/>
          </w:rPr>
          <w:fldChar w:fldCharType="separate"/>
        </w:r>
        <w:r>
          <w:rPr>
            <w:noProof/>
            <w:webHidden/>
          </w:rPr>
          <w:t>180</w:t>
        </w:r>
        <w:r>
          <w:rPr>
            <w:noProof/>
            <w:webHidden/>
          </w:rPr>
          <w:fldChar w:fldCharType="end"/>
        </w:r>
      </w:hyperlink>
    </w:p>
    <w:p w14:paraId="300FE76A" w14:textId="18EEF341"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68" w:history="1">
        <w:r w:rsidRPr="00670870">
          <w:rPr>
            <w:rStyle w:val="Hiperveza"/>
            <w:noProof/>
          </w:rPr>
          <w:t>11.6.</w:t>
        </w:r>
        <w:r>
          <w:rPr>
            <w:rFonts w:asciiTheme="minorHAnsi" w:eastAsiaTheme="minorEastAsia" w:hAnsiTheme="minorHAnsi" w:cstheme="minorBidi"/>
            <w:noProof/>
            <w:sz w:val="22"/>
            <w:szCs w:val="22"/>
            <w:lang w:eastAsia="hr-HR"/>
          </w:rPr>
          <w:tab/>
        </w:r>
        <w:r w:rsidRPr="00670870">
          <w:rPr>
            <w:rStyle w:val="Hiperveza"/>
            <w:noProof/>
          </w:rPr>
          <w:t>Poduzimanje posebnih dokaznih radnji</w:t>
        </w:r>
        <w:r>
          <w:rPr>
            <w:noProof/>
            <w:webHidden/>
          </w:rPr>
          <w:tab/>
        </w:r>
        <w:r>
          <w:rPr>
            <w:noProof/>
            <w:webHidden/>
          </w:rPr>
          <w:fldChar w:fldCharType="begin"/>
        </w:r>
        <w:r>
          <w:rPr>
            <w:noProof/>
            <w:webHidden/>
          </w:rPr>
          <w:instrText xml:space="preserve"> PAGEREF _Toc133394368 \h </w:instrText>
        </w:r>
        <w:r>
          <w:rPr>
            <w:noProof/>
            <w:webHidden/>
          </w:rPr>
        </w:r>
        <w:r>
          <w:rPr>
            <w:noProof/>
            <w:webHidden/>
          </w:rPr>
          <w:fldChar w:fldCharType="separate"/>
        </w:r>
        <w:r>
          <w:rPr>
            <w:noProof/>
            <w:webHidden/>
          </w:rPr>
          <w:t>181</w:t>
        </w:r>
        <w:r>
          <w:rPr>
            <w:noProof/>
            <w:webHidden/>
          </w:rPr>
          <w:fldChar w:fldCharType="end"/>
        </w:r>
      </w:hyperlink>
    </w:p>
    <w:p w14:paraId="6D2DA5EC" w14:textId="347E7108" w:rsidR="00B06098" w:rsidRDefault="00B06098">
      <w:pPr>
        <w:pStyle w:val="Sadraj1"/>
        <w:tabs>
          <w:tab w:val="right" w:leader="dot" w:pos="9062"/>
        </w:tabs>
        <w:rPr>
          <w:rFonts w:asciiTheme="minorHAnsi" w:eastAsiaTheme="minorEastAsia" w:hAnsiTheme="minorHAnsi" w:cstheme="minorBidi"/>
          <w:noProof/>
          <w:sz w:val="22"/>
          <w:szCs w:val="22"/>
          <w:lang w:eastAsia="hr-HR"/>
        </w:rPr>
      </w:pPr>
      <w:hyperlink w:anchor="_Toc133394369" w:history="1">
        <w:r w:rsidRPr="00670870">
          <w:rPr>
            <w:rStyle w:val="Hiperveza"/>
            <w:noProof/>
          </w:rPr>
          <w:t>III. IZVJEŠĆE O RADU NA POJEDINIM VRSTAMA PREDMETA I AKTUALNOJ PROBLEMATICI U 2022.</w:t>
        </w:r>
        <w:r>
          <w:rPr>
            <w:noProof/>
            <w:webHidden/>
          </w:rPr>
          <w:tab/>
        </w:r>
        <w:r>
          <w:rPr>
            <w:noProof/>
            <w:webHidden/>
          </w:rPr>
          <w:fldChar w:fldCharType="begin"/>
        </w:r>
        <w:r>
          <w:rPr>
            <w:noProof/>
            <w:webHidden/>
          </w:rPr>
          <w:instrText xml:space="preserve"> PAGEREF _Toc133394369 \h </w:instrText>
        </w:r>
        <w:r>
          <w:rPr>
            <w:noProof/>
            <w:webHidden/>
          </w:rPr>
        </w:r>
        <w:r>
          <w:rPr>
            <w:noProof/>
            <w:webHidden/>
          </w:rPr>
          <w:fldChar w:fldCharType="separate"/>
        </w:r>
        <w:r>
          <w:rPr>
            <w:noProof/>
            <w:webHidden/>
          </w:rPr>
          <w:t>184</w:t>
        </w:r>
        <w:r>
          <w:rPr>
            <w:noProof/>
            <w:webHidden/>
          </w:rPr>
          <w:fldChar w:fldCharType="end"/>
        </w:r>
      </w:hyperlink>
    </w:p>
    <w:p w14:paraId="0B433577" w14:textId="232F08E3" w:rsidR="00B06098" w:rsidRDefault="00B06098">
      <w:pPr>
        <w:pStyle w:val="Sadraj2"/>
        <w:tabs>
          <w:tab w:val="left" w:pos="880"/>
          <w:tab w:val="right" w:leader="dot" w:pos="9062"/>
        </w:tabs>
        <w:rPr>
          <w:rFonts w:asciiTheme="minorHAnsi" w:eastAsiaTheme="minorEastAsia" w:hAnsiTheme="minorHAnsi" w:cstheme="minorBidi"/>
          <w:noProof/>
          <w:sz w:val="22"/>
          <w:szCs w:val="22"/>
          <w:lang w:eastAsia="hr-HR"/>
        </w:rPr>
      </w:pPr>
      <w:hyperlink w:anchor="_Toc133394370" w:history="1">
        <w:r w:rsidRPr="00670870">
          <w:rPr>
            <w:rStyle w:val="Hiperveza"/>
            <w:noProof/>
          </w:rPr>
          <w:t>12.</w:t>
        </w:r>
        <w:r>
          <w:rPr>
            <w:rFonts w:asciiTheme="minorHAnsi" w:eastAsiaTheme="minorEastAsia" w:hAnsiTheme="minorHAnsi" w:cstheme="minorBidi"/>
            <w:noProof/>
            <w:sz w:val="22"/>
            <w:szCs w:val="22"/>
            <w:lang w:eastAsia="hr-HR"/>
          </w:rPr>
          <w:tab/>
        </w:r>
        <w:r w:rsidRPr="00670870">
          <w:rPr>
            <w:rStyle w:val="Hiperveza"/>
            <w:noProof/>
          </w:rPr>
          <w:t>Prikaz rada na pojedinim vrstama kaznenih predmeta iz nadležnosti     kaznenih odjela i USKOK-a</w:t>
        </w:r>
        <w:r>
          <w:rPr>
            <w:noProof/>
            <w:webHidden/>
          </w:rPr>
          <w:tab/>
        </w:r>
        <w:r>
          <w:rPr>
            <w:noProof/>
            <w:webHidden/>
          </w:rPr>
          <w:fldChar w:fldCharType="begin"/>
        </w:r>
        <w:r>
          <w:rPr>
            <w:noProof/>
            <w:webHidden/>
          </w:rPr>
          <w:instrText xml:space="preserve"> PAGEREF _Toc133394370 \h </w:instrText>
        </w:r>
        <w:r>
          <w:rPr>
            <w:noProof/>
            <w:webHidden/>
          </w:rPr>
        </w:r>
        <w:r>
          <w:rPr>
            <w:noProof/>
            <w:webHidden/>
          </w:rPr>
          <w:fldChar w:fldCharType="separate"/>
        </w:r>
        <w:r>
          <w:rPr>
            <w:noProof/>
            <w:webHidden/>
          </w:rPr>
          <w:t>184</w:t>
        </w:r>
        <w:r>
          <w:rPr>
            <w:noProof/>
            <w:webHidden/>
          </w:rPr>
          <w:fldChar w:fldCharType="end"/>
        </w:r>
      </w:hyperlink>
    </w:p>
    <w:p w14:paraId="2C66CAE8" w14:textId="6CCDF29E"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71" w:history="1">
        <w:r w:rsidRPr="00670870">
          <w:rPr>
            <w:rStyle w:val="Hiperveza"/>
            <w:noProof/>
          </w:rPr>
          <w:t>12.1.</w:t>
        </w:r>
        <w:r>
          <w:rPr>
            <w:rFonts w:asciiTheme="minorHAnsi" w:eastAsiaTheme="minorEastAsia" w:hAnsiTheme="minorHAnsi" w:cstheme="minorBidi"/>
            <w:noProof/>
            <w:sz w:val="22"/>
            <w:szCs w:val="22"/>
            <w:lang w:eastAsia="hr-HR"/>
          </w:rPr>
          <w:tab/>
        </w:r>
        <w:r w:rsidRPr="00670870">
          <w:rPr>
            <w:rStyle w:val="Hiperveza"/>
            <w:noProof/>
          </w:rPr>
          <w:t>Kaznena djela ratnog zločina</w:t>
        </w:r>
        <w:r>
          <w:rPr>
            <w:noProof/>
            <w:webHidden/>
          </w:rPr>
          <w:tab/>
        </w:r>
        <w:r>
          <w:rPr>
            <w:noProof/>
            <w:webHidden/>
          </w:rPr>
          <w:fldChar w:fldCharType="begin"/>
        </w:r>
        <w:r>
          <w:rPr>
            <w:noProof/>
            <w:webHidden/>
          </w:rPr>
          <w:instrText xml:space="preserve"> PAGEREF _Toc133394371 \h </w:instrText>
        </w:r>
        <w:r>
          <w:rPr>
            <w:noProof/>
            <w:webHidden/>
          </w:rPr>
        </w:r>
        <w:r>
          <w:rPr>
            <w:noProof/>
            <w:webHidden/>
          </w:rPr>
          <w:fldChar w:fldCharType="separate"/>
        </w:r>
        <w:r>
          <w:rPr>
            <w:noProof/>
            <w:webHidden/>
          </w:rPr>
          <w:t>184</w:t>
        </w:r>
        <w:r>
          <w:rPr>
            <w:noProof/>
            <w:webHidden/>
          </w:rPr>
          <w:fldChar w:fldCharType="end"/>
        </w:r>
      </w:hyperlink>
    </w:p>
    <w:p w14:paraId="7E82F45A" w14:textId="253A3F29"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72" w:history="1">
        <w:r w:rsidRPr="00670870">
          <w:rPr>
            <w:rStyle w:val="Hiperveza"/>
            <w:noProof/>
          </w:rPr>
          <w:t>12.2.</w:t>
        </w:r>
        <w:r>
          <w:rPr>
            <w:rFonts w:asciiTheme="minorHAnsi" w:eastAsiaTheme="minorEastAsia" w:hAnsiTheme="minorHAnsi" w:cstheme="minorBidi"/>
            <w:noProof/>
            <w:sz w:val="22"/>
            <w:szCs w:val="22"/>
            <w:lang w:eastAsia="hr-HR"/>
          </w:rPr>
          <w:tab/>
        </w:r>
        <w:r w:rsidRPr="00670870">
          <w:rPr>
            <w:rStyle w:val="Hiperveza"/>
            <w:noProof/>
          </w:rPr>
          <w:t>Kaznena djela počinjena iz mržnje i govor mržnje</w:t>
        </w:r>
        <w:r>
          <w:rPr>
            <w:noProof/>
            <w:webHidden/>
          </w:rPr>
          <w:tab/>
        </w:r>
        <w:r>
          <w:rPr>
            <w:noProof/>
            <w:webHidden/>
          </w:rPr>
          <w:fldChar w:fldCharType="begin"/>
        </w:r>
        <w:r>
          <w:rPr>
            <w:noProof/>
            <w:webHidden/>
          </w:rPr>
          <w:instrText xml:space="preserve"> PAGEREF _Toc133394372 \h </w:instrText>
        </w:r>
        <w:r>
          <w:rPr>
            <w:noProof/>
            <w:webHidden/>
          </w:rPr>
        </w:r>
        <w:r>
          <w:rPr>
            <w:noProof/>
            <w:webHidden/>
          </w:rPr>
          <w:fldChar w:fldCharType="separate"/>
        </w:r>
        <w:r>
          <w:rPr>
            <w:noProof/>
            <w:webHidden/>
          </w:rPr>
          <w:t>186</w:t>
        </w:r>
        <w:r>
          <w:rPr>
            <w:noProof/>
            <w:webHidden/>
          </w:rPr>
          <w:fldChar w:fldCharType="end"/>
        </w:r>
      </w:hyperlink>
    </w:p>
    <w:p w14:paraId="00E52B3E" w14:textId="350240B5"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73" w:history="1">
        <w:r w:rsidRPr="00670870">
          <w:rPr>
            <w:rStyle w:val="Hiperveza"/>
            <w:noProof/>
          </w:rPr>
          <w:t>12.3.</w:t>
        </w:r>
        <w:r>
          <w:rPr>
            <w:rFonts w:asciiTheme="minorHAnsi" w:eastAsiaTheme="minorEastAsia" w:hAnsiTheme="minorHAnsi" w:cstheme="minorBidi"/>
            <w:noProof/>
            <w:sz w:val="22"/>
            <w:szCs w:val="22"/>
            <w:lang w:eastAsia="hr-HR"/>
          </w:rPr>
          <w:tab/>
        </w:r>
        <w:r w:rsidRPr="00670870">
          <w:rPr>
            <w:rStyle w:val="Hiperveza"/>
            <w:noProof/>
          </w:rPr>
          <w:t>Kazneno djelo protuzakonitog ulaženja, kretanja i boravka u Republici  Hrvatskoj, drugoj državi članici Europske unije ili potpisnici Šengenskog  sporazuma</w:t>
        </w:r>
        <w:r>
          <w:rPr>
            <w:noProof/>
            <w:webHidden/>
          </w:rPr>
          <w:tab/>
        </w:r>
        <w:r>
          <w:rPr>
            <w:noProof/>
            <w:webHidden/>
          </w:rPr>
          <w:fldChar w:fldCharType="begin"/>
        </w:r>
        <w:r>
          <w:rPr>
            <w:noProof/>
            <w:webHidden/>
          </w:rPr>
          <w:instrText xml:space="preserve"> PAGEREF _Toc133394373 \h </w:instrText>
        </w:r>
        <w:r>
          <w:rPr>
            <w:noProof/>
            <w:webHidden/>
          </w:rPr>
        </w:r>
        <w:r>
          <w:rPr>
            <w:noProof/>
            <w:webHidden/>
          </w:rPr>
          <w:fldChar w:fldCharType="separate"/>
        </w:r>
        <w:r>
          <w:rPr>
            <w:noProof/>
            <w:webHidden/>
          </w:rPr>
          <w:t>189</w:t>
        </w:r>
        <w:r>
          <w:rPr>
            <w:noProof/>
            <w:webHidden/>
          </w:rPr>
          <w:fldChar w:fldCharType="end"/>
        </w:r>
      </w:hyperlink>
    </w:p>
    <w:p w14:paraId="72B89774" w14:textId="3397E641"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74" w:history="1">
        <w:r w:rsidRPr="00670870">
          <w:rPr>
            <w:rStyle w:val="Hiperveza"/>
            <w:noProof/>
          </w:rPr>
          <w:t>12.4.</w:t>
        </w:r>
        <w:r>
          <w:rPr>
            <w:rFonts w:asciiTheme="minorHAnsi" w:eastAsiaTheme="minorEastAsia" w:hAnsiTheme="minorHAnsi" w:cstheme="minorBidi"/>
            <w:noProof/>
            <w:sz w:val="22"/>
            <w:szCs w:val="22"/>
            <w:lang w:eastAsia="hr-HR"/>
          </w:rPr>
          <w:tab/>
        </w:r>
        <w:r w:rsidRPr="00670870">
          <w:rPr>
            <w:rStyle w:val="Hiperveza"/>
            <w:noProof/>
          </w:rPr>
          <w:t>Kaznena djela vezana za zlouporabu droga</w:t>
        </w:r>
        <w:r>
          <w:rPr>
            <w:noProof/>
            <w:webHidden/>
          </w:rPr>
          <w:tab/>
        </w:r>
        <w:r>
          <w:rPr>
            <w:noProof/>
            <w:webHidden/>
          </w:rPr>
          <w:fldChar w:fldCharType="begin"/>
        </w:r>
        <w:r>
          <w:rPr>
            <w:noProof/>
            <w:webHidden/>
          </w:rPr>
          <w:instrText xml:space="preserve"> PAGEREF _Toc133394374 \h </w:instrText>
        </w:r>
        <w:r>
          <w:rPr>
            <w:noProof/>
            <w:webHidden/>
          </w:rPr>
        </w:r>
        <w:r>
          <w:rPr>
            <w:noProof/>
            <w:webHidden/>
          </w:rPr>
          <w:fldChar w:fldCharType="separate"/>
        </w:r>
        <w:r>
          <w:rPr>
            <w:noProof/>
            <w:webHidden/>
          </w:rPr>
          <w:t>191</w:t>
        </w:r>
        <w:r>
          <w:rPr>
            <w:noProof/>
            <w:webHidden/>
          </w:rPr>
          <w:fldChar w:fldCharType="end"/>
        </w:r>
      </w:hyperlink>
    </w:p>
    <w:p w14:paraId="2E97243F" w14:textId="34905058"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75" w:history="1">
        <w:r w:rsidRPr="00670870">
          <w:rPr>
            <w:rStyle w:val="Hiperveza"/>
            <w:noProof/>
          </w:rPr>
          <w:t>12.5.</w:t>
        </w:r>
        <w:r>
          <w:rPr>
            <w:rFonts w:asciiTheme="minorHAnsi" w:eastAsiaTheme="minorEastAsia" w:hAnsiTheme="minorHAnsi" w:cstheme="minorBidi"/>
            <w:noProof/>
            <w:sz w:val="22"/>
            <w:szCs w:val="22"/>
            <w:lang w:eastAsia="hr-HR"/>
          </w:rPr>
          <w:tab/>
        </w:r>
        <w:r w:rsidRPr="00670870">
          <w:rPr>
            <w:rStyle w:val="Hiperveza"/>
            <w:noProof/>
          </w:rPr>
          <w:t>Kazneno djelo nasilje u obitelji</w:t>
        </w:r>
        <w:r>
          <w:rPr>
            <w:noProof/>
            <w:webHidden/>
          </w:rPr>
          <w:tab/>
        </w:r>
        <w:r>
          <w:rPr>
            <w:noProof/>
            <w:webHidden/>
          </w:rPr>
          <w:fldChar w:fldCharType="begin"/>
        </w:r>
        <w:r>
          <w:rPr>
            <w:noProof/>
            <w:webHidden/>
          </w:rPr>
          <w:instrText xml:space="preserve"> PAGEREF _Toc133394375 \h </w:instrText>
        </w:r>
        <w:r>
          <w:rPr>
            <w:noProof/>
            <w:webHidden/>
          </w:rPr>
        </w:r>
        <w:r>
          <w:rPr>
            <w:noProof/>
            <w:webHidden/>
          </w:rPr>
          <w:fldChar w:fldCharType="separate"/>
        </w:r>
        <w:r>
          <w:rPr>
            <w:noProof/>
            <w:webHidden/>
          </w:rPr>
          <w:t>193</w:t>
        </w:r>
        <w:r>
          <w:rPr>
            <w:noProof/>
            <w:webHidden/>
          </w:rPr>
          <w:fldChar w:fldCharType="end"/>
        </w:r>
      </w:hyperlink>
    </w:p>
    <w:p w14:paraId="77564180" w14:textId="278F4041"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76" w:history="1">
        <w:r w:rsidRPr="00670870">
          <w:rPr>
            <w:rStyle w:val="Hiperveza"/>
            <w:noProof/>
          </w:rPr>
          <w:t>12.6.</w:t>
        </w:r>
        <w:r>
          <w:rPr>
            <w:rFonts w:asciiTheme="minorHAnsi" w:eastAsiaTheme="minorEastAsia" w:hAnsiTheme="minorHAnsi" w:cstheme="minorBidi"/>
            <w:noProof/>
            <w:sz w:val="22"/>
            <w:szCs w:val="22"/>
            <w:lang w:eastAsia="hr-HR"/>
          </w:rPr>
          <w:tab/>
        </w:r>
        <w:r w:rsidRPr="00670870">
          <w:rPr>
            <w:rStyle w:val="Hiperveza"/>
            <w:noProof/>
          </w:rPr>
          <w:t>Kaznena djela protiv gospodarstva</w:t>
        </w:r>
        <w:r>
          <w:rPr>
            <w:noProof/>
            <w:webHidden/>
          </w:rPr>
          <w:tab/>
        </w:r>
        <w:r>
          <w:rPr>
            <w:noProof/>
            <w:webHidden/>
          </w:rPr>
          <w:fldChar w:fldCharType="begin"/>
        </w:r>
        <w:r>
          <w:rPr>
            <w:noProof/>
            <w:webHidden/>
          </w:rPr>
          <w:instrText xml:space="preserve"> PAGEREF _Toc133394376 \h </w:instrText>
        </w:r>
        <w:r>
          <w:rPr>
            <w:noProof/>
            <w:webHidden/>
          </w:rPr>
        </w:r>
        <w:r>
          <w:rPr>
            <w:noProof/>
            <w:webHidden/>
          </w:rPr>
          <w:fldChar w:fldCharType="separate"/>
        </w:r>
        <w:r>
          <w:rPr>
            <w:noProof/>
            <w:webHidden/>
          </w:rPr>
          <w:t>194</w:t>
        </w:r>
        <w:r>
          <w:rPr>
            <w:noProof/>
            <w:webHidden/>
          </w:rPr>
          <w:fldChar w:fldCharType="end"/>
        </w:r>
      </w:hyperlink>
    </w:p>
    <w:p w14:paraId="431BC9AE" w14:textId="356F2BF3"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77" w:history="1">
        <w:r w:rsidRPr="00670870">
          <w:rPr>
            <w:rStyle w:val="Hiperveza"/>
            <w:noProof/>
          </w:rPr>
          <w:t>12.7.</w:t>
        </w:r>
        <w:r>
          <w:rPr>
            <w:rFonts w:asciiTheme="minorHAnsi" w:eastAsiaTheme="minorEastAsia" w:hAnsiTheme="minorHAnsi" w:cstheme="minorBidi"/>
            <w:noProof/>
            <w:sz w:val="22"/>
            <w:szCs w:val="22"/>
            <w:lang w:eastAsia="hr-HR"/>
          </w:rPr>
          <w:tab/>
        </w:r>
        <w:r w:rsidRPr="00670870">
          <w:rPr>
            <w:rStyle w:val="Hiperveza"/>
            <w:noProof/>
          </w:rPr>
          <w:t>Kaznena djela organiziranog kriminaliteta</w:t>
        </w:r>
        <w:r>
          <w:rPr>
            <w:noProof/>
            <w:webHidden/>
          </w:rPr>
          <w:tab/>
        </w:r>
        <w:r>
          <w:rPr>
            <w:noProof/>
            <w:webHidden/>
          </w:rPr>
          <w:fldChar w:fldCharType="begin"/>
        </w:r>
        <w:r>
          <w:rPr>
            <w:noProof/>
            <w:webHidden/>
          </w:rPr>
          <w:instrText xml:space="preserve"> PAGEREF _Toc133394377 \h </w:instrText>
        </w:r>
        <w:r>
          <w:rPr>
            <w:noProof/>
            <w:webHidden/>
          </w:rPr>
        </w:r>
        <w:r>
          <w:rPr>
            <w:noProof/>
            <w:webHidden/>
          </w:rPr>
          <w:fldChar w:fldCharType="separate"/>
        </w:r>
        <w:r>
          <w:rPr>
            <w:noProof/>
            <w:webHidden/>
          </w:rPr>
          <w:t>201</w:t>
        </w:r>
        <w:r>
          <w:rPr>
            <w:noProof/>
            <w:webHidden/>
          </w:rPr>
          <w:fldChar w:fldCharType="end"/>
        </w:r>
      </w:hyperlink>
    </w:p>
    <w:p w14:paraId="1C14ED8F" w14:textId="0E85BEBF"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78" w:history="1">
        <w:r w:rsidRPr="00670870">
          <w:rPr>
            <w:rStyle w:val="Hiperveza"/>
            <w:noProof/>
          </w:rPr>
          <w:t>12.7.1.</w:t>
        </w:r>
        <w:r>
          <w:rPr>
            <w:rFonts w:asciiTheme="minorHAnsi" w:eastAsiaTheme="minorEastAsia" w:hAnsiTheme="minorHAnsi" w:cstheme="minorBidi"/>
            <w:noProof/>
            <w:sz w:val="22"/>
            <w:szCs w:val="22"/>
            <w:lang w:eastAsia="hr-HR"/>
          </w:rPr>
          <w:tab/>
        </w:r>
        <w:r w:rsidRPr="00670870">
          <w:rPr>
            <w:rStyle w:val="Hiperveza"/>
            <w:noProof/>
          </w:rPr>
          <w:t>Struktura kaznenih djela organiziranog kriminaliteta</w:t>
        </w:r>
        <w:r>
          <w:rPr>
            <w:noProof/>
            <w:webHidden/>
          </w:rPr>
          <w:tab/>
        </w:r>
        <w:r>
          <w:rPr>
            <w:noProof/>
            <w:webHidden/>
          </w:rPr>
          <w:fldChar w:fldCharType="begin"/>
        </w:r>
        <w:r>
          <w:rPr>
            <w:noProof/>
            <w:webHidden/>
          </w:rPr>
          <w:instrText xml:space="preserve"> PAGEREF _Toc133394378 \h </w:instrText>
        </w:r>
        <w:r>
          <w:rPr>
            <w:noProof/>
            <w:webHidden/>
          </w:rPr>
        </w:r>
        <w:r>
          <w:rPr>
            <w:noProof/>
            <w:webHidden/>
          </w:rPr>
          <w:fldChar w:fldCharType="separate"/>
        </w:r>
        <w:r>
          <w:rPr>
            <w:noProof/>
            <w:webHidden/>
          </w:rPr>
          <w:t>204</w:t>
        </w:r>
        <w:r>
          <w:rPr>
            <w:noProof/>
            <w:webHidden/>
          </w:rPr>
          <w:fldChar w:fldCharType="end"/>
        </w:r>
      </w:hyperlink>
    </w:p>
    <w:p w14:paraId="69EA3627" w14:textId="76786B75"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79" w:history="1">
        <w:r w:rsidRPr="00670870">
          <w:rPr>
            <w:rStyle w:val="Hiperveza"/>
            <w:noProof/>
          </w:rPr>
          <w:t>12.7.2.</w:t>
        </w:r>
        <w:r>
          <w:rPr>
            <w:rFonts w:asciiTheme="minorHAnsi" w:eastAsiaTheme="minorEastAsia" w:hAnsiTheme="minorHAnsi" w:cstheme="minorBidi"/>
            <w:noProof/>
            <w:sz w:val="22"/>
            <w:szCs w:val="22"/>
            <w:lang w:eastAsia="hr-HR"/>
          </w:rPr>
          <w:tab/>
        </w:r>
        <w:r w:rsidRPr="00670870">
          <w:rPr>
            <w:rStyle w:val="Hiperveza"/>
            <w:noProof/>
          </w:rPr>
          <w:t>Struktura zločinačkih udruženja</w:t>
        </w:r>
        <w:r>
          <w:rPr>
            <w:noProof/>
            <w:webHidden/>
          </w:rPr>
          <w:tab/>
        </w:r>
        <w:r>
          <w:rPr>
            <w:noProof/>
            <w:webHidden/>
          </w:rPr>
          <w:fldChar w:fldCharType="begin"/>
        </w:r>
        <w:r>
          <w:rPr>
            <w:noProof/>
            <w:webHidden/>
          </w:rPr>
          <w:instrText xml:space="preserve"> PAGEREF _Toc133394379 \h </w:instrText>
        </w:r>
        <w:r>
          <w:rPr>
            <w:noProof/>
            <w:webHidden/>
          </w:rPr>
        </w:r>
        <w:r>
          <w:rPr>
            <w:noProof/>
            <w:webHidden/>
          </w:rPr>
          <w:fldChar w:fldCharType="separate"/>
        </w:r>
        <w:r>
          <w:rPr>
            <w:noProof/>
            <w:webHidden/>
          </w:rPr>
          <w:t>204</w:t>
        </w:r>
        <w:r>
          <w:rPr>
            <w:noProof/>
            <w:webHidden/>
          </w:rPr>
          <w:fldChar w:fldCharType="end"/>
        </w:r>
      </w:hyperlink>
    </w:p>
    <w:p w14:paraId="592C60A4" w14:textId="5EEBDA60"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80" w:history="1">
        <w:r w:rsidRPr="00670870">
          <w:rPr>
            <w:rStyle w:val="Hiperveza"/>
            <w:noProof/>
          </w:rPr>
          <w:t>12.8.</w:t>
        </w:r>
        <w:r>
          <w:rPr>
            <w:rFonts w:asciiTheme="minorHAnsi" w:eastAsiaTheme="minorEastAsia" w:hAnsiTheme="minorHAnsi" w:cstheme="minorBidi"/>
            <w:noProof/>
            <w:sz w:val="22"/>
            <w:szCs w:val="22"/>
            <w:lang w:eastAsia="hr-HR"/>
          </w:rPr>
          <w:tab/>
        </w:r>
        <w:r w:rsidRPr="00670870">
          <w:rPr>
            <w:rStyle w:val="Hiperveza"/>
            <w:noProof/>
          </w:rPr>
          <w:t>Koruptivna kaznena djela</w:t>
        </w:r>
        <w:r>
          <w:rPr>
            <w:noProof/>
            <w:webHidden/>
          </w:rPr>
          <w:tab/>
        </w:r>
        <w:r>
          <w:rPr>
            <w:noProof/>
            <w:webHidden/>
          </w:rPr>
          <w:fldChar w:fldCharType="begin"/>
        </w:r>
        <w:r>
          <w:rPr>
            <w:noProof/>
            <w:webHidden/>
          </w:rPr>
          <w:instrText xml:space="preserve"> PAGEREF _Toc133394380 \h </w:instrText>
        </w:r>
        <w:r>
          <w:rPr>
            <w:noProof/>
            <w:webHidden/>
          </w:rPr>
        </w:r>
        <w:r>
          <w:rPr>
            <w:noProof/>
            <w:webHidden/>
          </w:rPr>
          <w:fldChar w:fldCharType="separate"/>
        </w:r>
        <w:r>
          <w:rPr>
            <w:noProof/>
            <w:webHidden/>
          </w:rPr>
          <w:t>206</w:t>
        </w:r>
        <w:r>
          <w:rPr>
            <w:noProof/>
            <w:webHidden/>
          </w:rPr>
          <w:fldChar w:fldCharType="end"/>
        </w:r>
      </w:hyperlink>
    </w:p>
    <w:p w14:paraId="168451B1" w14:textId="1D24F2DF"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81" w:history="1">
        <w:r w:rsidRPr="00670870">
          <w:rPr>
            <w:rStyle w:val="Hiperveza"/>
            <w:noProof/>
          </w:rPr>
          <w:t>12.8.1.</w:t>
        </w:r>
        <w:r>
          <w:rPr>
            <w:rFonts w:asciiTheme="minorHAnsi" w:eastAsiaTheme="minorEastAsia" w:hAnsiTheme="minorHAnsi" w:cstheme="minorBidi"/>
            <w:noProof/>
            <w:sz w:val="22"/>
            <w:szCs w:val="22"/>
            <w:lang w:eastAsia="hr-HR"/>
          </w:rPr>
          <w:tab/>
        </w:r>
        <w:r w:rsidRPr="00670870">
          <w:rPr>
            <w:rStyle w:val="Hiperveza"/>
            <w:noProof/>
          </w:rPr>
          <w:t>Kretanje i struktura kriminaliteta</w:t>
        </w:r>
        <w:r>
          <w:rPr>
            <w:noProof/>
            <w:webHidden/>
          </w:rPr>
          <w:tab/>
        </w:r>
        <w:r>
          <w:rPr>
            <w:noProof/>
            <w:webHidden/>
          </w:rPr>
          <w:fldChar w:fldCharType="begin"/>
        </w:r>
        <w:r>
          <w:rPr>
            <w:noProof/>
            <w:webHidden/>
          </w:rPr>
          <w:instrText xml:space="preserve"> PAGEREF _Toc133394381 \h </w:instrText>
        </w:r>
        <w:r>
          <w:rPr>
            <w:noProof/>
            <w:webHidden/>
          </w:rPr>
        </w:r>
        <w:r>
          <w:rPr>
            <w:noProof/>
            <w:webHidden/>
          </w:rPr>
          <w:fldChar w:fldCharType="separate"/>
        </w:r>
        <w:r>
          <w:rPr>
            <w:noProof/>
            <w:webHidden/>
          </w:rPr>
          <w:t>206</w:t>
        </w:r>
        <w:r>
          <w:rPr>
            <w:noProof/>
            <w:webHidden/>
          </w:rPr>
          <w:fldChar w:fldCharType="end"/>
        </w:r>
      </w:hyperlink>
    </w:p>
    <w:p w14:paraId="6D3EAC2B" w14:textId="7294A0EA"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82" w:history="1">
        <w:r w:rsidRPr="00670870">
          <w:rPr>
            <w:rStyle w:val="Hiperveza"/>
            <w:noProof/>
          </w:rPr>
          <w:t>12.8.2.</w:t>
        </w:r>
        <w:r>
          <w:rPr>
            <w:rFonts w:asciiTheme="minorHAnsi" w:eastAsiaTheme="minorEastAsia" w:hAnsiTheme="minorHAnsi" w:cstheme="minorBidi"/>
            <w:noProof/>
            <w:sz w:val="22"/>
            <w:szCs w:val="22"/>
            <w:lang w:eastAsia="hr-HR"/>
          </w:rPr>
          <w:tab/>
        </w:r>
        <w:r w:rsidRPr="00670870">
          <w:rPr>
            <w:rStyle w:val="Hiperveza"/>
            <w:noProof/>
          </w:rPr>
          <w:t>Struktura koruptivnih kaznenih djela</w:t>
        </w:r>
        <w:r>
          <w:rPr>
            <w:noProof/>
            <w:webHidden/>
          </w:rPr>
          <w:tab/>
        </w:r>
        <w:r>
          <w:rPr>
            <w:noProof/>
            <w:webHidden/>
          </w:rPr>
          <w:fldChar w:fldCharType="begin"/>
        </w:r>
        <w:r>
          <w:rPr>
            <w:noProof/>
            <w:webHidden/>
          </w:rPr>
          <w:instrText xml:space="preserve"> PAGEREF _Toc133394382 \h </w:instrText>
        </w:r>
        <w:r>
          <w:rPr>
            <w:noProof/>
            <w:webHidden/>
          </w:rPr>
        </w:r>
        <w:r>
          <w:rPr>
            <w:noProof/>
            <w:webHidden/>
          </w:rPr>
          <w:fldChar w:fldCharType="separate"/>
        </w:r>
        <w:r>
          <w:rPr>
            <w:noProof/>
            <w:webHidden/>
          </w:rPr>
          <w:t>207</w:t>
        </w:r>
        <w:r>
          <w:rPr>
            <w:noProof/>
            <w:webHidden/>
          </w:rPr>
          <w:fldChar w:fldCharType="end"/>
        </w:r>
      </w:hyperlink>
    </w:p>
    <w:p w14:paraId="185FE8A8" w14:textId="38998D79"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83" w:history="1">
        <w:r w:rsidRPr="00670870">
          <w:rPr>
            <w:rStyle w:val="Hiperveza"/>
            <w:noProof/>
          </w:rPr>
          <w:t>12.8.3.</w:t>
        </w:r>
        <w:r>
          <w:rPr>
            <w:rFonts w:asciiTheme="minorHAnsi" w:eastAsiaTheme="minorEastAsia" w:hAnsiTheme="minorHAnsi" w:cstheme="minorBidi"/>
            <w:noProof/>
            <w:sz w:val="22"/>
            <w:szCs w:val="22"/>
            <w:lang w:eastAsia="hr-HR"/>
          </w:rPr>
          <w:tab/>
        </w:r>
        <w:r w:rsidRPr="00670870">
          <w:rPr>
            <w:rStyle w:val="Hiperveza"/>
            <w:noProof/>
          </w:rPr>
          <w:t>Kazneno djelo zlouporabe položaja i ovlasti</w:t>
        </w:r>
        <w:r>
          <w:rPr>
            <w:noProof/>
            <w:webHidden/>
          </w:rPr>
          <w:tab/>
        </w:r>
        <w:r>
          <w:rPr>
            <w:noProof/>
            <w:webHidden/>
          </w:rPr>
          <w:fldChar w:fldCharType="begin"/>
        </w:r>
        <w:r>
          <w:rPr>
            <w:noProof/>
            <w:webHidden/>
          </w:rPr>
          <w:instrText xml:space="preserve"> PAGEREF _Toc133394383 \h </w:instrText>
        </w:r>
        <w:r>
          <w:rPr>
            <w:noProof/>
            <w:webHidden/>
          </w:rPr>
        </w:r>
        <w:r>
          <w:rPr>
            <w:noProof/>
            <w:webHidden/>
          </w:rPr>
          <w:fldChar w:fldCharType="separate"/>
        </w:r>
        <w:r>
          <w:rPr>
            <w:noProof/>
            <w:webHidden/>
          </w:rPr>
          <w:t>208</w:t>
        </w:r>
        <w:r>
          <w:rPr>
            <w:noProof/>
            <w:webHidden/>
          </w:rPr>
          <w:fldChar w:fldCharType="end"/>
        </w:r>
      </w:hyperlink>
    </w:p>
    <w:p w14:paraId="326D3266" w14:textId="399127A8"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84" w:history="1">
        <w:r w:rsidRPr="00670870">
          <w:rPr>
            <w:rStyle w:val="Hiperveza"/>
            <w:noProof/>
          </w:rPr>
          <w:t>12.9.</w:t>
        </w:r>
        <w:r>
          <w:rPr>
            <w:rFonts w:asciiTheme="minorHAnsi" w:eastAsiaTheme="minorEastAsia" w:hAnsiTheme="minorHAnsi" w:cstheme="minorBidi"/>
            <w:noProof/>
            <w:sz w:val="22"/>
            <w:szCs w:val="22"/>
            <w:lang w:eastAsia="hr-HR"/>
          </w:rPr>
          <w:tab/>
        </w:r>
        <w:r w:rsidRPr="00670870">
          <w:rPr>
            <w:rStyle w:val="Hiperveza"/>
            <w:noProof/>
          </w:rPr>
          <w:t>Kaznena djela ratnog profiterstva i kaznena djela iz procesa pretvorbe i   privatizacije</w:t>
        </w:r>
        <w:r>
          <w:rPr>
            <w:noProof/>
            <w:webHidden/>
          </w:rPr>
          <w:tab/>
        </w:r>
        <w:r>
          <w:rPr>
            <w:noProof/>
            <w:webHidden/>
          </w:rPr>
          <w:fldChar w:fldCharType="begin"/>
        </w:r>
        <w:r>
          <w:rPr>
            <w:noProof/>
            <w:webHidden/>
          </w:rPr>
          <w:instrText xml:space="preserve"> PAGEREF _Toc133394384 \h </w:instrText>
        </w:r>
        <w:r>
          <w:rPr>
            <w:noProof/>
            <w:webHidden/>
          </w:rPr>
        </w:r>
        <w:r>
          <w:rPr>
            <w:noProof/>
            <w:webHidden/>
          </w:rPr>
          <w:fldChar w:fldCharType="separate"/>
        </w:r>
        <w:r>
          <w:rPr>
            <w:noProof/>
            <w:webHidden/>
          </w:rPr>
          <w:t>210</w:t>
        </w:r>
        <w:r>
          <w:rPr>
            <w:noProof/>
            <w:webHidden/>
          </w:rPr>
          <w:fldChar w:fldCharType="end"/>
        </w:r>
      </w:hyperlink>
    </w:p>
    <w:p w14:paraId="223343D4" w14:textId="590B6CC1" w:rsidR="00B06098" w:rsidRDefault="00B06098">
      <w:pPr>
        <w:pStyle w:val="Sadraj2"/>
        <w:tabs>
          <w:tab w:val="left" w:pos="880"/>
          <w:tab w:val="right" w:leader="dot" w:pos="9062"/>
        </w:tabs>
        <w:rPr>
          <w:rFonts w:asciiTheme="minorHAnsi" w:eastAsiaTheme="minorEastAsia" w:hAnsiTheme="minorHAnsi" w:cstheme="minorBidi"/>
          <w:noProof/>
          <w:sz w:val="22"/>
          <w:szCs w:val="22"/>
          <w:lang w:eastAsia="hr-HR"/>
        </w:rPr>
      </w:pPr>
      <w:hyperlink w:anchor="_Toc133394385" w:history="1">
        <w:r w:rsidRPr="00670870">
          <w:rPr>
            <w:rStyle w:val="Hiperveza"/>
            <w:noProof/>
          </w:rPr>
          <w:t>13.</w:t>
        </w:r>
        <w:r>
          <w:rPr>
            <w:rFonts w:asciiTheme="minorHAnsi" w:eastAsiaTheme="minorEastAsia" w:hAnsiTheme="minorHAnsi" w:cstheme="minorBidi"/>
            <w:noProof/>
            <w:sz w:val="22"/>
            <w:szCs w:val="22"/>
            <w:lang w:eastAsia="hr-HR"/>
          </w:rPr>
          <w:tab/>
        </w:r>
        <w:r w:rsidRPr="00670870">
          <w:rPr>
            <w:rStyle w:val="Hiperveza"/>
            <w:noProof/>
          </w:rPr>
          <w:t>Prikaz rada na pojedinim vrstama predmeta iz nadležnosti građansko-   upravnih odjela</w:t>
        </w:r>
        <w:r>
          <w:rPr>
            <w:noProof/>
            <w:webHidden/>
          </w:rPr>
          <w:tab/>
        </w:r>
        <w:r>
          <w:rPr>
            <w:noProof/>
            <w:webHidden/>
          </w:rPr>
          <w:fldChar w:fldCharType="begin"/>
        </w:r>
        <w:r>
          <w:rPr>
            <w:noProof/>
            <w:webHidden/>
          </w:rPr>
          <w:instrText xml:space="preserve"> PAGEREF _Toc133394385 \h </w:instrText>
        </w:r>
        <w:r>
          <w:rPr>
            <w:noProof/>
            <w:webHidden/>
          </w:rPr>
        </w:r>
        <w:r>
          <w:rPr>
            <w:noProof/>
            <w:webHidden/>
          </w:rPr>
          <w:fldChar w:fldCharType="separate"/>
        </w:r>
        <w:r>
          <w:rPr>
            <w:noProof/>
            <w:webHidden/>
          </w:rPr>
          <w:t>212</w:t>
        </w:r>
        <w:r>
          <w:rPr>
            <w:noProof/>
            <w:webHidden/>
          </w:rPr>
          <w:fldChar w:fldCharType="end"/>
        </w:r>
      </w:hyperlink>
    </w:p>
    <w:p w14:paraId="23BDEE84" w14:textId="7898B9A8"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86" w:history="1">
        <w:r w:rsidRPr="00670870">
          <w:rPr>
            <w:rStyle w:val="Hiperveza"/>
            <w:noProof/>
          </w:rPr>
          <w:t>13.1.</w:t>
        </w:r>
        <w:r>
          <w:rPr>
            <w:rFonts w:asciiTheme="minorHAnsi" w:eastAsiaTheme="minorEastAsia" w:hAnsiTheme="minorHAnsi" w:cstheme="minorBidi"/>
            <w:noProof/>
            <w:sz w:val="22"/>
            <w:szCs w:val="22"/>
            <w:lang w:eastAsia="hr-HR"/>
          </w:rPr>
          <w:tab/>
        </w:r>
        <w:r w:rsidRPr="00670870">
          <w:rPr>
            <w:rStyle w:val="Hiperveza"/>
            <w:noProof/>
          </w:rPr>
          <w:t>Zastupanje Republike Hrvatske u imovinskim sporovima pred  inozemnim sudovima i tijelima</w:t>
        </w:r>
        <w:r>
          <w:rPr>
            <w:noProof/>
            <w:webHidden/>
          </w:rPr>
          <w:tab/>
        </w:r>
        <w:r>
          <w:rPr>
            <w:noProof/>
            <w:webHidden/>
          </w:rPr>
          <w:fldChar w:fldCharType="begin"/>
        </w:r>
        <w:r>
          <w:rPr>
            <w:noProof/>
            <w:webHidden/>
          </w:rPr>
          <w:instrText xml:space="preserve"> PAGEREF _Toc133394386 \h </w:instrText>
        </w:r>
        <w:r>
          <w:rPr>
            <w:noProof/>
            <w:webHidden/>
          </w:rPr>
        </w:r>
        <w:r>
          <w:rPr>
            <w:noProof/>
            <w:webHidden/>
          </w:rPr>
          <w:fldChar w:fldCharType="separate"/>
        </w:r>
        <w:r>
          <w:rPr>
            <w:noProof/>
            <w:webHidden/>
          </w:rPr>
          <w:t>212</w:t>
        </w:r>
        <w:r>
          <w:rPr>
            <w:noProof/>
            <w:webHidden/>
          </w:rPr>
          <w:fldChar w:fldCharType="end"/>
        </w:r>
      </w:hyperlink>
    </w:p>
    <w:p w14:paraId="4873F0E7" w14:textId="29ACBC51"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87" w:history="1">
        <w:r w:rsidRPr="00670870">
          <w:rPr>
            <w:rStyle w:val="Hiperveza"/>
            <w:noProof/>
          </w:rPr>
          <w:t>13.1.1.</w:t>
        </w:r>
        <w:r>
          <w:rPr>
            <w:rFonts w:asciiTheme="minorHAnsi" w:eastAsiaTheme="minorEastAsia" w:hAnsiTheme="minorHAnsi" w:cstheme="minorBidi"/>
            <w:noProof/>
            <w:sz w:val="22"/>
            <w:szCs w:val="22"/>
            <w:lang w:eastAsia="hr-HR"/>
          </w:rPr>
          <w:tab/>
        </w:r>
        <w:r w:rsidRPr="00670870">
          <w:rPr>
            <w:rStyle w:val="Hiperveza"/>
            <w:noProof/>
          </w:rPr>
          <w:t>Međunarodne arbitraže radi zaštite stranih ulaganja</w:t>
        </w:r>
        <w:r>
          <w:rPr>
            <w:noProof/>
            <w:webHidden/>
          </w:rPr>
          <w:tab/>
        </w:r>
        <w:r>
          <w:rPr>
            <w:noProof/>
            <w:webHidden/>
          </w:rPr>
          <w:fldChar w:fldCharType="begin"/>
        </w:r>
        <w:r>
          <w:rPr>
            <w:noProof/>
            <w:webHidden/>
          </w:rPr>
          <w:instrText xml:space="preserve"> PAGEREF _Toc133394387 \h </w:instrText>
        </w:r>
        <w:r>
          <w:rPr>
            <w:noProof/>
            <w:webHidden/>
          </w:rPr>
        </w:r>
        <w:r>
          <w:rPr>
            <w:noProof/>
            <w:webHidden/>
          </w:rPr>
          <w:fldChar w:fldCharType="separate"/>
        </w:r>
        <w:r>
          <w:rPr>
            <w:noProof/>
            <w:webHidden/>
          </w:rPr>
          <w:t>213</w:t>
        </w:r>
        <w:r>
          <w:rPr>
            <w:noProof/>
            <w:webHidden/>
          </w:rPr>
          <w:fldChar w:fldCharType="end"/>
        </w:r>
      </w:hyperlink>
    </w:p>
    <w:p w14:paraId="22EDBB8A" w14:textId="25651409" w:rsidR="00B06098" w:rsidRDefault="00B06098">
      <w:pPr>
        <w:pStyle w:val="Sadraj5"/>
        <w:tabs>
          <w:tab w:val="left" w:pos="2034"/>
          <w:tab w:val="right" w:leader="dot" w:pos="9062"/>
        </w:tabs>
        <w:rPr>
          <w:rFonts w:asciiTheme="minorHAnsi" w:eastAsiaTheme="minorEastAsia" w:hAnsiTheme="minorHAnsi" w:cstheme="minorBidi"/>
          <w:noProof/>
          <w:sz w:val="22"/>
          <w:szCs w:val="22"/>
          <w:lang w:eastAsia="hr-HR"/>
        </w:rPr>
      </w:pPr>
      <w:hyperlink w:anchor="_Toc133394388" w:history="1">
        <w:r w:rsidRPr="00670870">
          <w:rPr>
            <w:rStyle w:val="Hiperveza"/>
            <w:noProof/>
          </w:rPr>
          <w:t>13.1.1.1.</w:t>
        </w:r>
        <w:r>
          <w:rPr>
            <w:rFonts w:asciiTheme="minorHAnsi" w:eastAsiaTheme="minorEastAsia" w:hAnsiTheme="minorHAnsi" w:cstheme="minorBidi"/>
            <w:noProof/>
            <w:sz w:val="22"/>
            <w:szCs w:val="22"/>
            <w:lang w:eastAsia="hr-HR"/>
          </w:rPr>
          <w:tab/>
        </w:r>
        <w:r w:rsidRPr="00670870">
          <w:rPr>
            <w:rStyle w:val="Hiperveza"/>
            <w:noProof/>
          </w:rPr>
          <w:t>Prijateljsko rješavanje spora prije pokretanja arbitraže radi zaštite  stranih ulaganja</w:t>
        </w:r>
        <w:r>
          <w:rPr>
            <w:noProof/>
            <w:webHidden/>
          </w:rPr>
          <w:tab/>
        </w:r>
        <w:r>
          <w:rPr>
            <w:noProof/>
            <w:webHidden/>
          </w:rPr>
          <w:fldChar w:fldCharType="begin"/>
        </w:r>
        <w:r>
          <w:rPr>
            <w:noProof/>
            <w:webHidden/>
          </w:rPr>
          <w:instrText xml:space="preserve"> PAGEREF _Toc133394388 \h </w:instrText>
        </w:r>
        <w:r>
          <w:rPr>
            <w:noProof/>
            <w:webHidden/>
          </w:rPr>
        </w:r>
        <w:r>
          <w:rPr>
            <w:noProof/>
            <w:webHidden/>
          </w:rPr>
          <w:fldChar w:fldCharType="separate"/>
        </w:r>
        <w:r>
          <w:rPr>
            <w:noProof/>
            <w:webHidden/>
          </w:rPr>
          <w:t>213</w:t>
        </w:r>
        <w:r>
          <w:rPr>
            <w:noProof/>
            <w:webHidden/>
          </w:rPr>
          <w:fldChar w:fldCharType="end"/>
        </w:r>
      </w:hyperlink>
    </w:p>
    <w:p w14:paraId="15406D02" w14:textId="292F7A3C" w:rsidR="00B06098" w:rsidRDefault="00B06098">
      <w:pPr>
        <w:pStyle w:val="Sadraj5"/>
        <w:tabs>
          <w:tab w:val="left" w:pos="2034"/>
          <w:tab w:val="right" w:leader="dot" w:pos="9062"/>
        </w:tabs>
        <w:rPr>
          <w:rFonts w:asciiTheme="minorHAnsi" w:eastAsiaTheme="minorEastAsia" w:hAnsiTheme="minorHAnsi" w:cstheme="minorBidi"/>
          <w:noProof/>
          <w:sz w:val="22"/>
          <w:szCs w:val="22"/>
          <w:lang w:eastAsia="hr-HR"/>
        </w:rPr>
      </w:pPr>
      <w:hyperlink w:anchor="_Toc133394389" w:history="1">
        <w:r w:rsidRPr="00670870">
          <w:rPr>
            <w:rStyle w:val="Hiperveza"/>
            <w:noProof/>
          </w:rPr>
          <w:t>13.1.1.2.</w:t>
        </w:r>
        <w:r>
          <w:rPr>
            <w:rFonts w:asciiTheme="minorHAnsi" w:eastAsiaTheme="minorEastAsia" w:hAnsiTheme="minorHAnsi" w:cstheme="minorBidi"/>
            <w:noProof/>
            <w:sz w:val="22"/>
            <w:szCs w:val="22"/>
            <w:lang w:eastAsia="hr-HR"/>
          </w:rPr>
          <w:tab/>
        </w:r>
        <w:r w:rsidRPr="00670870">
          <w:rPr>
            <w:rStyle w:val="Hiperveza"/>
            <w:noProof/>
          </w:rPr>
          <w:t>Zastupanje u arbitražnom postupku – uloga i postupanje DORH-a</w:t>
        </w:r>
        <w:r>
          <w:rPr>
            <w:noProof/>
            <w:webHidden/>
          </w:rPr>
          <w:tab/>
        </w:r>
        <w:r>
          <w:rPr>
            <w:noProof/>
            <w:webHidden/>
          </w:rPr>
          <w:tab/>
        </w:r>
        <w:r>
          <w:rPr>
            <w:noProof/>
            <w:webHidden/>
          </w:rPr>
          <w:tab/>
        </w:r>
        <w:r>
          <w:rPr>
            <w:noProof/>
            <w:webHidden/>
          </w:rPr>
          <w:fldChar w:fldCharType="begin"/>
        </w:r>
        <w:r>
          <w:rPr>
            <w:noProof/>
            <w:webHidden/>
          </w:rPr>
          <w:instrText xml:space="preserve"> PAGEREF _Toc133394389 \h </w:instrText>
        </w:r>
        <w:r>
          <w:rPr>
            <w:noProof/>
            <w:webHidden/>
          </w:rPr>
        </w:r>
        <w:r>
          <w:rPr>
            <w:noProof/>
            <w:webHidden/>
          </w:rPr>
          <w:fldChar w:fldCharType="separate"/>
        </w:r>
        <w:r>
          <w:rPr>
            <w:noProof/>
            <w:webHidden/>
          </w:rPr>
          <w:t>214</w:t>
        </w:r>
        <w:r>
          <w:rPr>
            <w:noProof/>
            <w:webHidden/>
          </w:rPr>
          <w:fldChar w:fldCharType="end"/>
        </w:r>
      </w:hyperlink>
    </w:p>
    <w:p w14:paraId="63A2B154" w14:textId="1D7108BF" w:rsidR="00B06098" w:rsidRDefault="00B06098">
      <w:pPr>
        <w:pStyle w:val="Sadraj5"/>
        <w:tabs>
          <w:tab w:val="left" w:pos="2034"/>
          <w:tab w:val="right" w:leader="dot" w:pos="9062"/>
        </w:tabs>
        <w:rPr>
          <w:rFonts w:asciiTheme="minorHAnsi" w:eastAsiaTheme="minorEastAsia" w:hAnsiTheme="minorHAnsi" w:cstheme="minorBidi"/>
          <w:noProof/>
          <w:sz w:val="22"/>
          <w:szCs w:val="22"/>
          <w:lang w:eastAsia="hr-HR"/>
        </w:rPr>
      </w:pPr>
      <w:hyperlink w:anchor="_Toc133394390" w:history="1">
        <w:r w:rsidRPr="00670870">
          <w:rPr>
            <w:rStyle w:val="Hiperveza"/>
            <w:noProof/>
          </w:rPr>
          <w:t>13.1.1.3.</w:t>
        </w:r>
        <w:r>
          <w:rPr>
            <w:rFonts w:asciiTheme="minorHAnsi" w:eastAsiaTheme="minorEastAsia" w:hAnsiTheme="minorHAnsi" w:cstheme="minorBidi"/>
            <w:noProof/>
            <w:sz w:val="22"/>
            <w:szCs w:val="22"/>
            <w:lang w:eastAsia="hr-HR"/>
          </w:rPr>
          <w:tab/>
        </w:r>
        <w:r w:rsidRPr="00670870">
          <w:rPr>
            <w:rStyle w:val="Hiperveza"/>
            <w:noProof/>
          </w:rPr>
          <w:t>Troškovi arbitraža i sudskih postupaka pred stranim sudovima i  tijelima</w:t>
        </w:r>
        <w:r>
          <w:rPr>
            <w:noProof/>
            <w:webHidden/>
          </w:rPr>
          <w:tab/>
        </w:r>
        <w:r>
          <w:rPr>
            <w:noProof/>
            <w:webHidden/>
          </w:rPr>
          <w:tab/>
        </w:r>
        <w:r>
          <w:rPr>
            <w:noProof/>
            <w:webHidden/>
          </w:rPr>
          <w:fldChar w:fldCharType="begin"/>
        </w:r>
        <w:r>
          <w:rPr>
            <w:noProof/>
            <w:webHidden/>
          </w:rPr>
          <w:instrText xml:space="preserve"> PAGEREF _Toc133394390 \h </w:instrText>
        </w:r>
        <w:r>
          <w:rPr>
            <w:noProof/>
            <w:webHidden/>
          </w:rPr>
        </w:r>
        <w:r>
          <w:rPr>
            <w:noProof/>
            <w:webHidden/>
          </w:rPr>
          <w:fldChar w:fldCharType="separate"/>
        </w:r>
        <w:r>
          <w:rPr>
            <w:noProof/>
            <w:webHidden/>
          </w:rPr>
          <w:t>218</w:t>
        </w:r>
        <w:r>
          <w:rPr>
            <w:noProof/>
            <w:webHidden/>
          </w:rPr>
          <w:fldChar w:fldCharType="end"/>
        </w:r>
      </w:hyperlink>
    </w:p>
    <w:p w14:paraId="7379C7EB" w14:textId="7E2DAE0B"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91" w:history="1">
        <w:r w:rsidRPr="00670870">
          <w:rPr>
            <w:rStyle w:val="Hiperveza"/>
            <w:noProof/>
          </w:rPr>
          <w:t>13.1.2.</w:t>
        </w:r>
        <w:r>
          <w:rPr>
            <w:rFonts w:asciiTheme="minorHAnsi" w:eastAsiaTheme="minorEastAsia" w:hAnsiTheme="minorHAnsi" w:cstheme="minorBidi"/>
            <w:noProof/>
            <w:sz w:val="22"/>
            <w:szCs w:val="22"/>
            <w:lang w:eastAsia="hr-HR"/>
          </w:rPr>
          <w:tab/>
        </w:r>
        <w:r w:rsidRPr="00670870">
          <w:rPr>
            <w:rStyle w:val="Hiperveza"/>
            <w:noProof/>
          </w:rPr>
          <w:t>Zastupanje pred stranim sudovima i tijelima</w:t>
        </w:r>
        <w:r>
          <w:rPr>
            <w:noProof/>
            <w:webHidden/>
          </w:rPr>
          <w:tab/>
        </w:r>
        <w:r>
          <w:rPr>
            <w:noProof/>
            <w:webHidden/>
          </w:rPr>
          <w:fldChar w:fldCharType="begin"/>
        </w:r>
        <w:r>
          <w:rPr>
            <w:noProof/>
            <w:webHidden/>
          </w:rPr>
          <w:instrText xml:space="preserve"> PAGEREF _Toc133394391 \h </w:instrText>
        </w:r>
        <w:r>
          <w:rPr>
            <w:noProof/>
            <w:webHidden/>
          </w:rPr>
        </w:r>
        <w:r>
          <w:rPr>
            <w:noProof/>
            <w:webHidden/>
          </w:rPr>
          <w:fldChar w:fldCharType="separate"/>
        </w:r>
        <w:r>
          <w:rPr>
            <w:noProof/>
            <w:webHidden/>
          </w:rPr>
          <w:t>218</w:t>
        </w:r>
        <w:r>
          <w:rPr>
            <w:noProof/>
            <w:webHidden/>
          </w:rPr>
          <w:fldChar w:fldCharType="end"/>
        </w:r>
      </w:hyperlink>
    </w:p>
    <w:p w14:paraId="21F76B7F" w14:textId="7A1B0275"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92" w:history="1">
        <w:r w:rsidRPr="00670870">
          <w:rPr>
            <w:rStyle w:val="Hiperveza"/>
            <w:noProof/>
          </w:rPr>
          <w:t>13.1.3.</w:t>
        </w:r>
        <w:r>
          <w:rPr>
            <w:rFonts w:asciiTheme="minorHAnsi" w:eastAsiaTheme="minorEastAsia" w:hAnsiTheme="minorHAnsi" w:cstheme="minorBidi"/>
            <w:noProof/>
            <w:sz w:val="22"/>
            <w:szCs w:val="22"/>
            <w:lang w:eastAsia="hr-HR"/>
          </w:rPr>
          <w:tab/>
        </w:r>
        <w:r w:rsidRPr="00670870">
          <w:rPr>
            <w:rStyle w:val="Hiperveza"/>
            <w:noProof/>
          </w:rPr>
          <w:t>Naplata novčanih tražbina Republike Hrvatske temeljem pravomoćnih i ovršnih sudskih odluka u građanskim i kaznenim  stvarima s međunarodnim elementom</w:t>
        </w:r>
        <w:r>
          <w:rPr>
            <w:noProof/>
            <w:webHidden/>
          </w:rPr>
          <w:tab/>
        </w:r>
        <w:r>
          <w:rPr>
            <w:noProof/>
            <w:webHidden/>
          </w:rPr>
          <w:fldChar w:fldCharType="begin"/>
        </w:r>
        <w:r>
          <w:rPr>
            <w:noProof/>
            <w:webHidden/>
          </w:rPr>
          <w:instrText xml:space="preserve"> PAGEREF _Toc133394392 \h </w:instrText>
        </w:r>
        <w:r>
          <w:rPr>
            <w:noProof/>
            <w:webHidden/>
          </w:rPr>
        </w:r>
        <w:r>
          <w:rPr>
            <w:noProof/>
            <w:webHidden/>
          </w:rPr>
          <w:fldChar w:fldCharType="separate"/>
        </w:r>
        <w:r>
          <w:rPr>
            <w:noProof/>
            <w:webHidden/>
          </w:rPr>
          <w:t>220</w:t>
        </w:r>
        <w:r>
          <w:rPr>
            <w:noProof/>
            <w:webHidden/>
          </w:rPr>
          <w:fldChar w:fldCharType="end"/>
        </w:r>
      </w:hyperlink>
    </w:p>
    <w:p w14:paraId="2BE3BAFC" w14:textId="07B6FB14" w:rsidR="00B06098" w:rsidRDefault="00B06098">
      <w:pPr>
        <w:pStyle w:val="Sadraj5"/>
        <w:tabs>
          <w:tab w:val="left" w:pos="2034"/>
          <w:tab w:val="right" w:leader="dot" w:pos="9062"/>
        </w:tabs>
        <w:rPr>
          <w:rFonts w:asciiTheme="minorHAnsi" w:eastAsiaTheme="minorEastAsia" w:hAnsiTheme="minorHAnsi" w:cstheme="minorBidi"/>
          <w:noProof/>
          <w:sz w:val="22"/>
          <w:szCs w:val="22"/>
          <w:lang w:eastAsia="hr-HR"/>
        </w:rPr>
      </w:pPr>
      <w:hyperlink w:anchor="_Toc133394393" w:history="1">
        <w:r w:rsidRPr="00670870">
          <w:rPr>
            <w:rStyle w:val="Hiperveza"/>
            <w:noProof/>
          </w:rPr>
          <w:t>13.1.3.1.</w:t>
        </w:r>
        <w:r>
          <w:rPr>
            <w:rFonts w:asciiTheme="minorHAnsi" w:eastAsiaTheme="minorEastAsia" w:hAnsiTheme="minorHAnsi" w:cstheme="minorBidi"/>
            <w:noProof/>
            <w:sz w:val="22"/>
            <w:szCs w:val="22"/>
            <w:lang w:eastAsia="hr-HR"/>
          </w:rPr>
          <w:tab/>
        </w:r>
        <w:r w:rsidRPr="00670870">
          <w:rPr>
            <w:rStyle w:val="Hiperveza"/>
            <w:noProof/>
          </w:rPr>
          <w:t>Naplata tražbina u građanskim stvarima</w:t>
        </w:r>
        <w:r>
          <w:rPr>
            <w:noProof/>
            <w:webHidden/>
          </w:rPr>
          <w:tab/>
        </w:r>
        <w:r>
          <w:rPr>
            <w:noProof/>
            <w:webHidden/>
          </w:rPr>
          <w:fldChar w:fldCharType="begin"/>
        </w:r>
        <w:r>
          <w:rPr>
            <w:noProof/>
            <w:webHidden/>
          </w:rPr>
          <w:instrText xml:space="preserve"> PAGEREF _Toc133394393 \h </w:instrText>
        </w:r>
        <w:r>
          <w:rPr>
            <w:noProof/>
            <w:webHidden/>
          </w:rPr>
        </w:r>
        <w:r>
          <w:rPr>
            <w:noProof/>
            <w:webHidden/>
          </w:rPr>
          <w:fldChar w:fldCharType="separate"/>
        </w:r>
        <w:r>
          <w:rPr>
            <w:noProof/>
            <w:webHidden/>
          </w:rPr>
          <w:t>220</w:t>
        </w:r>
        <w:r>
          <w:rPr>
            <w:noProof/>
            <w:webHidden/>
          </w:rPr>
          <w:fldChar w:fldCharType="end"/>
        </w:r>
      </w:hyperlink>
    </w:p>
    <w:p w14:paraId="5A8912D6" w14:textId="5EB31E01" w:rsidR="00B06098" w:rsidRDefault="00B06098">
      <w:pPr>
        <w:pStyle w:val="Sadraj5"/>
        <w:tabs>
          <w:tab w:val="left" w:pos="2034"/>
          <w:tab w:val="right" w:leader="dot" w:pos="9062"/>
        </w:tabs>
        <w:rPr>
          <w:rFonts w:asciiTheme="minorHAnsi" w:eastAsiaTheme="minorEastAsia" w:hAnsiTheme="minorHAnsi" w:cstheme="minorBidi"/>
          <w:noProof/>
          <w:sz w:val="22"/>
          <w:szCs w:val="22"/>
          <w:lang w:eastAsia="hr-HR"/>
        </w:rPr>
      </w:pPr>
      <w:hyperlink w:anchor="_Toc133394394" w:history="1">
        <w:r w:rsidRPr="00670870">
          <w:rPr>
            <w:rStyle w:val="Hiperveza"/>
            <w:noProof/>
          </w:rPr>
          <w:t>13.1.3.2.</w:t>
        </w:r>
        <w:r>
          <w:rPr>
            <w:rFonts w:asciiTheme="minorHAnsi" w:eastAsiaTheme="minorEastAsia" w:hAnsiTheme="minorHAnsi" w:cstheme="minorBidi"/>
            <w:noProof/>
            <w:sz w:val="22"/>
            <w:szCs w:val="22"/>
            <w:lang w:eastAsia="hr-HR"/>
          </w:rPr>
          <w:tab/>
        </w:r>
        <w:r w:rsidRPr="00670870">
          <w:rPr>
            <w:rStyle w:val="Hiperveza"/>
            <w:noProof/>
          </w:rPr>
          <w:t>Naplata tražbina u kaznenim stvarima</w:t>
        </w:r>
        <w:r>
          <w:rPr>
            <w:noProof/>
            <w:webHidden/>
          </w:rPr>
          <w:tab/>
        </w:r>
        <w:r>
          <w:rPr>
            <w:noProof/>
            <w:webHidden/>
          </w:rPr>
          <w:fldChar w:fldCharType="begin"/>
        </w:r>
        <w:r>
          <w:rPr>
            <w:noProof/>
            <w:webHidden/>
          </w:rPr>
          <w:instrText xml:space="preserve"> PAGEREF _Toc133394394 \h </w:instrText>
        </w:r>
        <w:r>
          <w:rPr>
            <w:noProof/>
            <w:webHidden/>
          </w:rPr>
        </w:r>
        <w:r>
          <w:rPr>
            <w:noProof/>
            <w:webHidden/>
          </w:rPr>
          <w:fldChar w:fldCharType="separate"/>
        </w:r>
        <w:r>
          <w:rPr>
            <w:noProof/>
            <w:webHidden/>
          </w:rPr>
          <w:t>221</w:t>
        </w:r>
        <w:r>
          <w:rPr>
            <w:noProof/>
            <w:webHidden/>
          </w:rPr>
          <w:fldChar w:fldCharType="end"/>
        </w:r>
      </w:hyperlink>
    </w:p>
    <w:p w14:paraId="57A48BE9" w14:textId="1E154413"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95" w:history="1">
        <w:r w:rsidRPr="00670870">
          <w:rPr>
            <w:rStyle w:val="Hiperveza"/>
            <w:noProof/>
          </w:rPr>
          <w:t>13.2.</w:t>
        </w:r>
        <w:r>
          <w:rPr>
            <w:rFonts w:asciiTheme="minorHAnsi" w:eastAsiaTheme="minorEastAsia" w:hAnsiTheme="minorHAnsi" w:cstheme="minorBidi"/>
            <w:noProof/>
            <w:sz w:val="22"/>
            <w:szCs w:val="22"/>
            <w:lang w:eastAsia="hr-HR"/>
          </w:rPr>
          <w:tab/>
        </w:r>
        <w:r w:rsidRPr="00670870">
          <w:rPr>
            <w:rStyle w:val="Hiperveza"/>
            <w:noProof/>
          </w:rPr>
          <w:t>Rad na predmetima davanja pravnih mišljenja</w:t>
        </w:r>
        <w:r>
          <w:rPr>
            <w:noProof/>
            <w:webHidden/>
          </w:rPr>
          <w:tab/>
        </w:r>
        <w:r>
          <w:rPr>
            <w:noProof/>
            <w:webHidden/>
          </w:rPr>
          <w:fldChar w:fldCharType="begin"/>
        </w:r>
        <w:r>
          <w:rPr>
            <w:noProof/>
            <w:webHidden/>
          </w:rPr>
          <w:instrText xml:space="preserve"> PAGEREF _Toc133394395 \h </w:instrText>
        </w:r>
        <w:r>
          <w:rPr>
            <w:noProof/>
            <w:webHidden/>
          </w:rPr>
        </w:r>
        <w:r>
          <w:rPr>
            <w:noProof/>
            <w:webHidden/>
          </w:rPr>
          <w:fldChar w:fldCharType="separate"/>
        </w:r>
        <w:r>
          <w:rPr>
            <w:noProof/>
            <w:webHidden/>
          </w:rPr>
          <w:t>222</w:t>
        </w:r>
        <w:r>
          <w:rPr>
            <w:noProof/>
            <w:webHidden/>
          </w:rPr>
          <w:fldChar w:fldCharType="end"/>
        </w:r>
      </w:hyperlink>
    </w:p>
    <w:p w14:paraId="5E984043" w14:textId="5A3FD5AC"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96" w:history="1">
        <w:r w:rsidRPr="00670870">
          <w:rPr>
            <w:rStyle w:val="Hiperveza"/>
            <w:noProof/>
          </w:rPr>
          <w:t>13.2.1.</w:t>
        </w:r>
        <w:r>
          <w:rPr>
            <w:rFonts w:asciiTheme="minorHAnsi" w:eastAsiaTheme="minorEastAsia" w:hAnsiTheme="minorHAnsi" w:cstheme="minorBidi"/>
            <w:noProof/>
            <w:sz w:val="22"/>
            <w:szCs w:val="22"/>
            <w:lang w:eastAsia="hr-HR"/>
          </w:rPr>
          <w:tab/>
        </w:r>
        <w:r w:rsidRPr="00670870">
          <w:rPr>
            <w:rStyle w:val="Hiperveza"/>
            <w:noProof/>
          </w:rPr>
          <w:t>Pravna mišljenja po Zakonu o državnom odvjetništvu</w:t>
        </w:r>
        <w:r>
          <w:rPr>
            <w:noProof/>
            <w:webHidden/>
          </w:rPr>
          <w:tab/>
        </w:r>
        <w:r>
          <w:rPr>
            <w:noProof/>
            <w:webHidden/>
          </w:rPr>
          <w:fldChar w:fldCharType="begin"/>
        </w:r>
        <w:r>
          <w:rPr>
            <w:noProof/>
            <w:webHidden/>
          </w:rPr>
          <w:instrText xml:space="preserve"> PAGEREF _Toc133394396 \h </w:instrText>
        </w:r>
        <w:r>
          <w:rPr>
            <w:noProof/>
            <w:webHidden/>
          </w:rPr>
        </w:r>
        <w:r>
          <w:rPr>
            <w:noProof/>
            <w:webHidden/>
          </w:rPr>
          <w:fldChar w:fldCharType="separate"/>
        </w:r>
        <w:r>
          <w:rPr>
            <w:noProof/>
            <w:webHidden/>
          </w:rPr>
          <w:t>223</w:t>
        </w:r>
        <w:r>
          <w:rPr>
            <w:noProof/>
            <w:webHidden/>
          </w:rPr>
          <w:fldChar w:fldCharType="end"/>
        </w:r>
      </w:hyperlink>
    </w:p>
    <w:p w14:paraId="11E62348" w14:textId="0EC60607"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397" w:history="1">
        <w:r w:rsidRPr="00670870">
          <w:rPr>
            <w:rStyle w:val="Hiperveza"/>
            <w:noProof/>
          </w:rPr>
          <w:t>13.2.2.</w:t>
        </w:r>
        <w:r>
          <w:rPr>
            <w:rFonts w:asciiTheme="minorHAnsi" w:eastAsiaTheme="minorEastAsia" w:hAnsiTheme="minorHAnsi" w:cstheme="minorBidi"/>
            <w:noProof/>
            <w:sz w:val="22"/>
            <w:szCs w:val="22"/>
            <w:lang w:eastAsia="hr-HR"/>
          </w:rPr>
          <w:tab/>
        </w:r>
        <w:r w:rsidRPr="00670870">
          <w:rPr>
            <w:rStyle w:val="Hiperveza"/>
            <w:noProof/>
          </w:rPr>
          <w:t>Pravna mišljenja po posebnim zakonima</w:t>
        </w:r>
        <w:r>
          <w:rPr>
            <w:noProof/>
            <w:webHidden/>
          </w:rPr>
          <w:tab/>
        </w:r>
        <w:r>
          <w:rPr>
            <w:noProof/>
            <w:webHidden/>
          </w:rPr>
          <w:fldChar w:fldCharType="begin"/>
        </w:r>
        <w:r>
          <w:rPr>
            <w:noProof/>
            <w:webHidden/>
          </w:rPr>
          <w:instrText xml:space="preserve"> PAGEREF _Toc133394397 \h </w:instrText>
        </w:r>
        <w:r>
          <w:rPr>
            <w:noProof/>
            <w:webHidden/>
          </w:rPr>
        </w:r>
        <w:r>
          <w:rPr>
            <w:noProof/>
            <w:webHidden/>
          </w:rPr>
          <w:fldChar w:fldCharType="separate"/>
        </w:r>
        <w:r>
          <w:rPr>
            <w:noProof/>
            <w:webHidden/>
          </w:rPr>
          <w:t>225</w:t>
        </w:r>
        <w:r>
          <w:rPr>
            <w:noProof/>
            <w:webHidden/>
          </w:rPr>
          <w:fldChar w:fldCharType="end"/>
        </w:r>
      </w:hyperlink>
    </w:p>
    <w:p w14:paraId="44E44BEF" w14:textId="694ADC5D" w:rsidR="00B06098" w:rsidRDefault="00B06098">
      <w:pPr>
        <w:pStyle w:val="Sadraj2"/>
        <w:tabs>
          <w:tab w:val="left" w:pos="880"/>
          <w:tab w:val="right" w:leader="dot" w:pos="9062"/>
        </w:tabs>
        <w:rPr>
          <w:rFonts w:asciiTheme="minorHAnsi" w:eastAsiaTheme="minorEastAsia" w:hAnsiTheme="minorHAnsi" w:cstheme="minorBidi"/>
          <w:noProof/>
          <w:sz w:val="22"/>
          <w:szCs w:val="22"/>
          <w:lang w:eastAsia="hr-HR"/>
        </w:rPr>
      </w:pPr>
      <w:hyperlink w:anchor="_Toc133394398" w:history="1">
        <w:r w:rsidRPr="00670870">
          <w:rPr>
            <w:rStyle w:val="Hiperveza"/>
            <w:noProof/>
          </w:rPr>
          <w:t>14.</w:t>
        </w:r>
        <w:r>
          <w:rPr>
            <w:rFonts w:asciiTheme="minorHAnsi" w:eastAsiaTheme="minorEastAsia" w:hAnsiTheme="minorHAnsi" w:cstheme="minorBidi"/>
            <w:noProof/>
            <w:sz w:val="22"/>
            <w:szCs w:val="22"/>
            <w:lang w:eastAsia="hr-HR"/>
          </w:rPr>
          <w:tab/>
        </w:r>
        <w:r w:rsidRPr="00670870">
          <w:rPr>
            <w:rStyle w:val="Hiperveza"/>
            <w:noProof/>
          </w:rPr>
          <w:t>Rad na predmetima zaštite zakonitosti</w:t>
        </w:r>
        <w:r>
          <w:rPr>
            <w:noProof/>
            <w:webHidden/>
          </w:rPr>
          <w:tab/>
        </w:r>
        <w:r>
          <w:rPr>
            <w:noProof/>
            <w:webHidden/>
          </w:rPr>
          <w:fldChar w:fldCharType="begin"/>
        </w:r>
        <w:r>
          <w:rPr>
            <w:noProof/>
            <w:webHidden/>
          </w:rPr>
          <w:instrText xml:space="preserve"> PAGEREF _Toc133394398 \h </w:instrText>
        </w:r>
        <w:r>
          <w:rPr>
            <w:noProof/>
            <w:webHidden/>
          </w:rPr>
        </w:r>
        <w:r>
          <w:rPr>
            <w:noProof/>
            <w:webHidden/>
          </w:rPr>
          <w:fldChar w:fldCharType="separate"/>
        </w:r>
        <w:r>
          <w:rPr>
            <w:noProof/>
            <w:webHidden/>
          </w:rPr>
          <w:t>227</w:t>
        </w:r>
        <w:r>
          <w:rPr>
            <w:noProof/>
            <w:webHidden/>
          </w:rPr>
          <w:fldChar w:fldCharType="end"/>
        </w:r>
      </w:hyperlink>
    </w:p>
    <w:p w14:paraId="0541F44F" w14:textId="3C9D0483"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399" w:history="1">
        <w:r w:rsidRPr="00670870">
          <w:rPr>
            <w:rStyle w:val="Hiperveza"/>
            <w:noProof/>
          </w:rPr>
          <w:t>14.1.</w:t>
        </w:r>
        <w:r>
          <w:rPr>
            <w:rFonts w:asciiTheme="minorHAnsi" w:eastAsiaTheme="minorEastAsia" w:hAnsiTheme="minorHAnsi" w:cstheme="minorBidi"/>
            <w:noProof/>
            <w:sz w:val="22"/>
            <w:szCs w:val="22"/>
            <w:lang w:eastAsia="hr-HR"/>
          </w:rPr>
          <w:tab/>
        </w:r>
        <w:r w:rsidRPr="00670870">
          <w:rPr>
            <w:rStyle w:val="Hiperveza"/>
            <w:noProof/>
          </w:rPr>
          <w:t>Zaštita zakonitosti u kaznenim predmetima</w:t>
        </w:r>
        <w:r>
          <w:rPr>
            <w:noProof/>
            <w:webHidden/>
          </w:rPr>
          <w:tab/>
        </w:r>
        <w:r>
          <w:rPr>
            <w:noProof/>
            <w:webHidden/>
          </w:rPr>
          <w:fldChar w:fldCharType="begin"/>
        </w:r>
        <w:r>
          <w:rPr>
            <w:noProof/>
            <w:webHidden/>
          </w:rPr>
          <w:instrText xml:space="preserve"> PAGEREF _Toc133394399 \h </w:instrText>
        </w:r>
        <w:r>
          <w:rPr>
            <w:noProof/>
            <w:webHidden/>
          </w:rPr>
        </w:r>
        <w:r>
          <w:rPr>
            <w:noProof/>
            <w:webHidden/>
          </w:rPr>
          <w:fldChar w:fldCharType="separate"/>
        </w:r>
        <w:r>
          <w:rPr>
            <w:noProof/>
            <w:webHidden/>
          </w:rPr>
          <w:t>227</w:t>
        </w:r>
        <w:r>
          <w:rPr>
            <w:noProof/>
            <w:webHidden/>
          </w:rPr>
          <w:fldChar w:fldCharType="end"/>
        </w:r>
      </w:hyperlink>
    </w:p>
    <w:p w14:paraId="4E461E11" w14:textId="71A27878"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400" w:history="1">
        <w:r w:rsidRPr="00670870">
          <w:rPr>
            <w:rStyle w:val="Hiperveza"/>
            <w:noProof/>
          </w:rPr>
          <w:t>14.2.</w:t>
        </w:r>
        <w:r>
          <w:rPr>
            <w:rFonts w:asciiTheme="minorHAnsi" w:eastAsiaTheme="minorEastAsia" w:hAnsiTheme="minorHAnsi" w:cstheme="minorBidi"/>
            <w:noProof/>
            <w:sz w:val="22"/>
            <w:szCs w:val="22"/>
            <w:lang w:eastAsia="hr-HR"/>
          </w:rPr>
          <w:tab/>
        </w:r>
        <w:r w:rsidRPr="00670870">
          <w:rPr>
            <w:rStyle w:val="Hiperveza"/>
            <w:noProof/>
          </w:rPr>
          <w:t>Zaštita zakonitosti u prekršajnim predmetima</w:t>
        </w:r>
        <w:r>
          <w:rPr>
            <w:noProof/>
            <w:webHidden/>
          </w:rPr>
          <w:tab/>
        </w:r>
        <w:r>
          <w:rPr>
            <w:noProof/>
            <w:webHidden/>
          </w:rPr>
          <w:fldChar w:fldCharType="begin"/>
        </w:r>
        <w:r>
          <w:rPr>
            <w:noProof/>
            <w:webHidden/>
          </w:rPr>
          <w:instrText xml:space="preserve"> PAGEREF _Toc133394400 \h </w:instrText>
        </w:r>
        <w:r>
          <w:rPr>
            <w:noProof/>
            <w:webHidden/>
          </w:rPr>
        </w:r>
        <w:r>
          <w:rPr>
            <w:noProof/>
            <w:webHidden/>
          </w:rPr>
          <w:fldChar w:fldCharType="separate"/>
        </w:r>
        <w:r>
          <w:rPr>
            <w:noProof/>
            <w:webHidden/>
          </w:rPr>
          <w:t>228</w:t>
        </w:r>
        <w:r>
          <w:rPr>
            <w:noProof/>
            <w:webHidden/>
          </w:rPr>
          <w:fldChar w:fldCharType="end"/>
        </w:r>
      </w:hyperlink>
    </w:p>
    <w:p w14:paraId="72FC41D2" w14:textId="744CA5E1"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401" w:history="1">
        <w:r w:rsidRPr="00670870">
          <w:rPr>
            <w:rStyle w:val="Hiperveza"/>
            <w:noProof/>
          </w:rPr>
          <w:t>14.3.</w:t>
        </w:r>
        <w:r>
          <w:rPr>
            <w:rFonts w:asciiTheme="minorHAnsi" w:eastAsiaTheme="minorEastAsia" w:hAnsiTheme="minorHAnsi" w:cstheme="minorBidi"/>
            <w:noProof/>
            <w:sz w:val="22"/>
            <w:szCs w:val="22"/>
            <w:lang w:eastAsia="hr-HR"/>
          </w:rPr>
          <w:tab/>
        </w:r>
        <w:r w:rsidRPr="00670870">
          <w:rPr>
            <w:rStyle w:val="Hiperveza"/>
            <w:noProof/>
          </w:rPr>
          <w:t>Izvanredno preispitivanje pravomoćne presude u upravnom sporu</w:t>
        </w:r>
        <w:r>
          <w:rPr>
            <w:noProof/>
            <w:webHidden/>
          </w:rPr>
          <w:tab/>
        </w:r>
        <w:r>
          <w:rPr>
            <w:noProof/>
            <w:webHidden/>
          </w:rPr>
          <w:fldChar w:fldCharType="begin"/>
        </w:r>
        <w:r>
          <w:rPr>
            <w:noProof/>
            <w:webHidden/>
          </w:rPr>
          <w:instrText xml:space="preserve"> PAGEREF _Toc133394401 \h </w:instrText>
        </w:r>
        <w:r>
          <w:rPr>
            <w:noProof/>
            <w:webHidden/>
          </w:rPr>
        </w:r>
        <w:r>
          <w:rPr>
            <w:noProof/>
            <w:webHidden/>
          </w:rPr>
          <w:fldChar w:fldCharType="separate"/>
        </w:r>
        <w:r>
          <w:rPr>
            <w:noProof/>
            <w:webHidden/>
          </w:rPr>
          <w:t>229</w:t>
        </w:r>
        <w:r>
          <w:rPr>
            <w:noProof/>
            <w:webHidden/>
          </w:rPr>
          <w:fldChar w:fldCharType="end"/>
        </w:r>
      </w:hyperlink>
    </w:p>
    <w:p w14:paraId="527618B6" w14:textId="5980C12C"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402" w:history="1">
        <w:r w:rsidRPr="00670870">
          <w:rPr>
            <w:rStyle w:val="Hiperveza"/>
            <w:noProof/>
          </w:rPr>
          <w:t>14.3.1.</w:t>
        </w:r>
        <w:r>
          <w:rPr>
            <w:rFonts w:asciiTheme="minorHAnsi" w:eastAsiaTheme="minorEastAsia" w:hAnsiTheme="minorHAnsi" w:cstheme="minorBidi"/>
            <w:noProof/>
            <w:sz w:val="22"/>
            <w:szCs w:val="22"/>
            <w:lang w:eastAsia="hr-HR"/>
          </w:rPr>
          <w:tab/>
        </w:r>
        <w:r w:rsidRPr="00670870">
          <w:rPr>
            <w:rStyle w:val="Hiperveza"/>
            <w:noProof/>
          </w:rPr>
          <w:t>Kretanje predmeta izvanrednog preispitivanja pravomoćnih presuda u upravnom sporu</w:t>
        </w:r>
        <w:r>
          <w:rPr>
            <w:noProof/>
            <w:webHidden/>
          </w:rPr>
          <w:tab/>
        </w:r>
        <w:r>
          <w:rPr>
            <w:noProof/>
            <w:webHidden/>
          </w:rPr>
          <w:fldChar w:fldCharType="begin"/>
        </w:r>
        <w:r>
          <w:rPr>
            <w:noProof/>
            <w:webHidden/>
          </w:rPr>
          <w:instrText xml:space="preserve"> PAGEREF _Toc133394402 \h </w:instrText>
        </w:r>
        <w:r>
          <w:rPr>
            <w:noProof/>
            <w:webHidden/>
          </w:rPr>
        </w:r>
        <w:r>
          <w:rPr>
            <w:noProof/>
            <w:webHidden/>
          </w:rPr>
          <w:fldChar w:fldCharType="separate"/>
        </w:r>
        <w:r>
          <w:rPr>
            <w:noProof/>
            <w:webHidden/>
          </w:rPr>
          <w:t>229</w:t>
        </w:r>
        <w:r>
          <w:rPr>
            <w:noProof/>
            <w:webHidden/>
          </w:rPr>
          <w:fldChar w:fldCharType="end"/>
        </w:r>
      </w:hyperlink>
    </w:p>
    <w:p w14:paraId="179EEF09" w14:textId="32A62C6C" w:rsidR="00B06098" w:rsidRDefault="00B06098">
      <w:pPr>
        <w:pStyle w:val="Sadraj2"/>
        <w:tabs>
          <w:tab w:val="left" w:pos="880"/>
          <w:tab w:val="right" w:leader="dot" w:pos="9062"/>
        </w:tabs>
        <w:rPr>
          <w:rFonts w:asciiTheme="minorHAnsi" w:eastAsiaTheme="minorEastAsia" w:hAnsiTheme="minorHAnsi" w:cstheme="minorBidi"/>
          <w:noProof/>
          <w:sz w:val="22"/>
          <w:szCs w:val="22"/>
          <w:lang w:eastAsia="hr-HR"/>
        </w:rPr>
      </w:pPr>
      <w:hyperlink w:anchor="_Toc133394403" w:history="1">
        <w:r w:rsidRPr="00670870">
          <w:rPr>
            <w:rStyle w:val="Hiperveza"/>
            <w:noProof/>
          </w:rPr>
          <w:t>15.</w:t>
        </w:r>
        <w:r>
          <w:rPr>
            <w:rFonts w:asciiTheme="minorHAnsi" w:eastAsiaTheme="minorEastAsia" w:hAnsiTheme="minorHAnsi" w:cstheme="minorBidi"/>
            <w:noProof/>
            <w:sz w:val="22"/>
            <w:szCs w:val="22"/>
            <w:lang w:eastAsia="hr-HR"/>
          </w:rPr>
          <w:tab/>
        </w:r>
        <w:r w:rsidRPr="00670870">
          <w:rPr>
            <w:rStyle w:val="Hiperveza"/>
            <w:noProof/>
          </w:rPr>
          <w:t>Međunarodna pravna pomoć i pravosudna suradnja u kaznenim</w:t>
        </w:r>
        <w:r>
          <w:rPr>
            <w:noProof/>
            <w:webHidden/>
          </w:rPr>
          <w:tab/>
        </w:r>
        <w:r>
          <w:rPr>
            <w:noProof/>
            <w:webHidden/>
          </w:rPr>
          <w:fldChar w:fldCharType="begin"/>
        </w:r>
        <w:r>
          <w:rPr>
            <w:noProof/>
            <w:webHidden/>
          </w:rPr>
          <w:instrText xml:space="preserve"> PAGEREF _Toc133394403 \h </w:instrText>
        </w:r>
        <w:r>
          <w:rPr>
            <w:noProof/>
            <w:webHidden/>
          </w:rPr>
        </w:r>
        <w:r>
          <w:rPr>
            <w:noProof/>
            <w:webHidden/>
          </w:rPr>
          <w:fldChar w:fldCharType="separate"/>
        </w:r>
        <w:r>
          <w:rPr>
            <w:noProof/>
            <w:webHidden/>
          </w:rPr>
          <w:t>230</w:t>
        </w:r>
        <w:r>
          <w:rPr>
            <w:noProof/>
            <w:webHidden/>
          </w:rPr>
          <w:fldChar w:fldCharType="end"/>
        </w:r>
      </w:hyperlink>
    </w:p>
    <w:p w14:paraId="4744FBD8" w14:textId="1051D369" w:rsidR="00B06098" w:rsidRDefault="00B06098">
      <w:pPr>
        <w:pStyle w:val="Sadraj2"/>
        <w:tabs>
          <w:tab w:val="right" w:leader="dot" w:pos="9062"/>
        </w:tabs>
        <w:rPr>
          <w:rFonts w:asciiTheme="minorHAnsi" w:eastAsiaTheme="minorEastAsia" w:hAnsiTheme="minorHAnsi" w:cstheme="minorBidi"/>
          <w:noProof/>
          <w:sz w:val="22"/>
          <w:szCs w:val="22"/>
          <w:lang w:eastAsia="hr-HR"/>
        </w:rPr>
      </w:pPr>
      <w:hyperlink w:anchor="_Toc133394404" w:history="1">
        <w:r w:rsidRPr="00670870">
          <w:rPr>
            <w:rStyle w:val="Hiperveza"/>
            <w:noProof/>
          </w:rPr>
          <w:t>predmetima</w:t>
        </w:r>
        <w:r>
          <w:rPr>
            <w:noProof/>
            <w:webHidden/>
          </w:rPr>
          <w:tab/>
        </w:r>
        <w:r>
          <w:rPr>
            <w:noProof/>
            <w:webHidden/>
          </w:rPr>
          <w:fldChar w:fldCharType="begin"/>
        </w:r>
        <w:r>
          <w:rPr>
            <w:noProof/>
            <w:webHidden/>
          </w:rPr>
          <w:instrText xml:space="preserve"> PAGEREF _Toc133394404 \h </w:instrText>
        </w:r>
        <w:r>
          <w:rPr>
            <w:noProof/>
            <w:webHidden/>
          </w:rPr>
        </w:r>
        <w:r>
          <w:rPr>
            <w:noProof/>
            <w:webHidden/>
          </w:rPr>
          <w:fldChar w:fldCharType="separate"/>
        </w:r>
        <w:r>
          <w:rPr>
            <w:noProof/>
            <w:webHidden/>
          </w:rPr>
          <w:t>230</w:t>
        </w:r>
        <w:r>
          <w:rPr>
            <w:noProof/>
            <w:webHidden/>
          </w:rPr>
          <w:fldChar w:fldCharType="end"/>
        </w:r>
      </w:hyperlink>
    </w:p>
    <w:p w14:paraId="3C7E6390" w14:textId="29A1CCB6"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405" w:history="1">
        <w:r w:rsidRPr="00670870">
          <w:rPr>
            <w:rStyle w:val="Hiperveza"/>
            <w:noProof/>
          </w:rPr>
          <w:t>15.1.</w:t>
        </w:r>
        <w:r>
          <w:rPr>
            <w:rFonts w:asciiTheme="minorHAnsi" w:eastAsiaTheme="minorEastAsia" w:hAnsiTheme="minorHAnsi" w:cstheme="minorBidi"/>
            <w:noProof/>
            <w:sz w:val="22"/>
            <w:szCs w:val="22"/>
            <w:lang w:eastAsia="hr-HR"/>
          </w:rPr>
          <w:tab/>
        </w:r>
        <w:r w:rsidRPr="00670870">
          <w:rPr>
            <w:rStyle w:val="Hiperveza"/>
            <w:noProof/>
          </w:rPr>
          <w:t>Međunarodna pravna pomoć</w:t>
        </w:r>
        <w:r>
          <w:rPr>
            <w:noProof/>
            <w:webHidden/>
          </w:rPr>
          <w:tab/>
        </w:r>
        <w:r>
          <w:rPr>
            <w:noProof/>
            <w:webHidden/>
          </w:rPr>
          <w:fldChar w:fldCharType="begin"/>
        </w:r>
        <w:r>
          <w:rPr>
            <w:noProof/>
            <w:webHidden/>
          </w:rPr>
          <w:instrText xml:space="preserve"> PAGEREF _Toc133394405 \h </w:instrText>
        </w:r>
        <w:r>
          <w:rPr>
            <w:noProof/>
            <w:webHidden/>
          </w:rPr>
        </w:r>
        <w:r>
          <w:rPr>
            <w:noProof/>
            <w:webHidden/>
          </w:rPr>
          <w:fldChar w:fldCharType="separate"/>
        </w:r>
        <w:r>
          <w:rPr>
            <w:noProof/>
            <w:webHidden/>
          </w:rPr>
          <w:t>232</w:t>
        </w:r>
        <w:r>
          <w:rPr>
            <w:noProof/>
            <w:webHidden/>
          </w:rPr>
          <w:fldChar w:fldCharType="end"/>
        </w:r>
      </w:hyperlink>
    </w:p>
    <w:p w14:paraId="57BE59D6" w14:textId="0659B257"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406" w:history="1">
        <w:r w:rsidRPr="00670870">
          <w:rPr>
            <w:rStyle w:val="Hiperveza"/>
            <w:noProof/>
          </w:rPr>
          <w:t>15.2.</w:t>
        </w:r>
        <w:r>
          <w:rPr>
            <w:rFonts w:asciiTheme="minorHAnsi" w:eastAsiaTheme="minorEastAsia" w:hAnsiTheme="minorHAnsi" w:cstheme="minorBidi"/>
            <w:noProof/>
            <w:sz w:val="22"/>
            <w:szCs w:val="22"/>
            <w:lang w:eastAsia="hr-HR"/>
          </w:rPr>
          <w:tab/>
        </w:r>
        <w:r w:rsidRPr="00670870">
          <w:rPr>
            <w:rStyle w:val="Hiperveza"/>
            <w:noProof/>
          </w:rPr>
          <w:t>Pravosudna suradnja</w:t>
        </w:r>
        <w:r>
          <w:rPr>
            <w:noProof/>
            <w:webHidden/>
          </w:rPr>
          <w:tab/>
        </w:r>
        <w:r>
          <w:rPr>
            <w:noProof/>
            <w:webHidden/>
          </w:rPr>
          <w:fldChar w:fldCharType="begin"/>
        </w:r>
        <w:r>
          <w:rPr>
            <w:noProof/>
            <w:webHidden/>
          </w:rPr>
          <w:instrText xml:space="preserve"> PAGEREF _Toc133394406 \h </w:instrText>
        </w:r>
        <w:r>
          <w:rPr>
            <w:noProof/>
            <w:webHidden/>
          </w:rPr>
        </w:r>
        <w:r>
          <w:rPr>
            <w:noProof/>
            <w:webHidden/>
          </w:rPr>
          <w:fldChar w:fldCharType="separate"/>
        </w:r>
        <w:r>
          <w:rPr>
            <w:noProof/>
            <w:webHidden/>
          </w:rPr>
          <w:t>234</w:t>
        </w:r>
        <w:r>
          <w:rPr>
            <w:noProof/>
            <w:webHidden/>
          </w:rPr>
          <w:fldChar w:fldCharType="end"/>
        </w:r>
      </w:hyperlink>
    </w:p>
    <w:p w14:paraId="3C894E5E" w14:textId="02301F6E"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407" w:history="1">
        <w:r w:rsidRPr="00670870">
          <w:rPr>
            <w:rStyle w:val="Hiperveza"/>
            <w:noProof/>
          </w:rPr>
          <w:t>15.3.</w:t>
        </w:r>
        <w:r>
          <w:rPr>
            <w:rFonts w:asciiTheme="minorHAnsi" w:eastAsiaTheme="minorEastAsia" w:hAnsiTheme="minorHAnsi" w:cstheme="minorBidi"/>
            <w:noProof/>
            <w:sz w:val="22"/>
            <w:szCs w:val="22"/>
            <w:lang w:eastAsia="hr-HR"/>
          </w:rPr>
          <w:tab/>
        </w:r>
        <w:r w:rsidRPr="00670870">
          <w:rPr>
            <w:rStyle w:val="Hiperveza"/>
            <w:noProof/>
          </w:rPr>
          <w:t>Suradnja putem EUROJUST-a i Europske pravosudne mreže (EJN)</w:t>
        </w:r>
        <w:r>
          <w:rPr>
            <w:noProof/>
            <w:webHidden/>
          </w:rPr>
          <w:tab/>
        </w:r>
        <w:r>
          <w:rPr>
            <w:noProof/>
            <w:webHidden/>
          </w:rPr>
          <w:fldChar w:fldCharType="begin"/>
        </w:r>
        <w:r>
          <w:rPr>
            <w:noProof/>
            <w:webHidden/>
          </w:rPr>
          <w:instrText xml:space="preserve"> PAGEREF _Toc133394407 \h </w:instrText>
        </w:r>
        <w:r>
          <w:rPr>
            <w:noProof/>
            <w:webHidden/>
          </w:rPr>
        </w:r>
        <w:r>
          <w:rPr>
            <w:noProof/>
            <w:webHidden/>
          </w:rPr>
          <w:fldChar w:fldCharType="separate"/>
        </w:r>
        <w:r>
          <w:rPr>
            <w:noProof/>
            <w:webHidden/>
          </w:rPr>
          <w:t>236</w:t>
        </w:r>
        <w:r>
          <w:rPr>
            <w:noProof/>
            <w:webHidden/>
          </w:rPr>
          <w:fldChar w:fldCharType="end"/>
        </w:r>
      </w:hyperlink>
    </w:p>
    <w:p w14:paraId="7A904E00" w14:textId="1A94A161"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408" w:history="1">
        <w:r w:rsidRPr="00670870">
          <w:rPr>
            <w:rStyle w:val="Hiperveza"/>
            <w:noProof/>
          </w:rPr>
          <w:t>15.3.1.</w:t>
        </w:r>
        <w:r>
          <w:rPr>
            <w:rFonts w:asciiTheme="minorHAnsi" w:eastAsiaTheme="minorEastAsia" w:hAnsiTheme="minorHAnsi" w:cstheme="minorBidi"/>
            <w:noProof/>
            <w:sz w:val="22"/>
            <w:szCs w:val="22"/>
            <w:lang w:eastAsia="hr-HR"/>
          </w:rPr>
          <w:tab/>
        </w:r>
        <w:r w:rsidRPr="00670870">
          <w:rPr>
            <w:rStyle w:val="Hiperveza"/>
            <w:noProof/>
          </w:rPr>
          <w:t>Međunarodna suradnja</w:t>
        </w:r>
        <w:r>
          <w:rPr>
            <w:noProof/>
            <w:webHidden/>
          </w:rPr>
          <w:tab/>
        </w:r>
        <w:r>
          <w:rPr>
            <w:noProof/>
            <w:webHidden/>
          </w:rPr>
          <w:fldChar w:fldCharType="begin"/>
        </w:r>
        <w:r>
          <w:rPr>
            <w:noProof/>
            <w:webHidden/>
          </w:rPr>
          <w:instrText xml:space="preserve"> PAGEREF _Toc133394408 \h </w:instrText>
        </w:r>
        <w:r>
          <w:rPr>
            <w:noProof/>
            <w:webHidden/>
          </w:rPr>
        </w:r>
        <w:r>
          <w:rPr>
            <w:noProof/>
            <w:webHidden/>
          </w:rPr>
          <w:fldChar w:fldCharType="separate"/>
        </w:r>
        <w:r>
          <w:rPr>
            <w:noProof/>
            <w:webHidden/>
          </w:rPr>
          <w:t>237</w:t>
        </w:r>
        <w:r>
          <w:rPr>
            <w:noProof/>
            <w:webHidden/>
          </w:rPr>
          <w:fldChar w:fldCharType="end"/>
        </w:r>
      </w:hyperlink>
    </w:p>
    <w:p w14:paraId="0D0D5EBF" w14:textId="57F33E51"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409" w:history="1">
        <w:r w:rsidRPr="00670870">
          <w:rPr>
            <w:rStyle w:val="Hiperveza"/>
            <w:noProof/>
          </w:rPr>
          <w:t>15.3.2.</w:t>
        </w:r>
        <w:r>
          <w:rPr>
            <w:rFonts w:asciiTheme="minorHAnsi" w:eastAsiaTheme="minorEastAsia" w:hAnsiTheme="minorHAnsi" w:cstheme="minorBidi"/>
            <w:noProof/>
            <w:sz w:val="22"/>
            <w:szCs w:val="22"/>
            <w:lang w:eastAsia="hr-HR"/>
          </w:rPr>
          <w:tab/>
        </w:r>
        <w:r w:rsidRPr="00670870">
          <w:rPr>
            <w:rStyle w:val="Hiperveza"/>
            <w:noProof/>
          </w:rPr>
          <w:t>Suradnja s Uredom zastupnika Republike Hrvatske pred Europskim sudom za ljudska prava</w:t>
        </w:r>
        <w:r>
          <w:rPr>
            <w:noProof/>
            <w:webHidden/>
          </w:rPr>
          <w:tab/>
        </w:r>
        <w:r>
          <w:rPr>
            <w:noProof/>
            <w:webHidden/>
          </w:rPr>
          <w:fldChar w:fldCharType="begin"/>
        </w:r>
        <w:r>
          <w:rPr>
            <w:noProof/>
            <w:webHidden/>
          </w:rPr>
          <w:instrText xml:space="preserve"> PAGEREF _Toc133394409 \h </w:instrText>
        </w:r>
        <w:r>
          <w:rPr>
            <w:noProof/>
            <w:webHidden/>
          </w:rPr>
        </w:r>
        <w:r>
          <w:rPr>
            <w:noProof/>
            <w:webHidden/>
          </w:rPr>
          <w:fldChar w:fldCharType="separate"/>
        </w:r>
        <w:r>
          <w:rPr>
            <w:noProof/>
            <w:webHidden/>
          </w:rPr>
          <w:t>238</w:t>
        </w:r>
        <w:r>
          <w:rPr>
            <w:noProof/>
            <w:webHidden/>
          </w:rPr>
          <w:fldChar w:fldCharType="end"/>
        </w:r>
      </w:hyperlink>
    </w:p>
    <w:p w14:paraId="54F88BE5" w14:textId="48A12FB0"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410" w:history="1">
        <w:r w:rsidRPr="00670870">
          <w:rPr>
            <w:rStyle w:val="Hiperveza"/>
            <w:noProof/>
          </w:rPr>
          <w:t>15.4.</w:t>
        </w:r>
        <w:r>
          <w:rPr>
            <w:rFonts w:asciiTheme="minorHAnsi" w:eastAsiaTheme="minorEastAsia" w:hAnsiTheme="minorHAnsi" w:cstheme="minorBidi"/>
            <w:noProof/>
            <w:sz w:val="22"/>
            <w:szCs w:val="22"/>
            <w:lang w:eastAsia="hr-HR"/>
          </w:rPr>
          <w:tab/>
        </w:r>
        <w:r w:rsidRPr="00670870">
          <w:rPr>
            <w:rStyle w:val="Hiperveza"/>
            <w:noProof/>
          </w:rPr>
          <w:t>Suradnja na temelju Protokola/Memoranduma</w:t>
        </w:r>
        <w:r>
          <w:rPr>
            <w:noProof/>
            <w:webHidden/>
          </w:rPr>
          <w:tab/>
        </w:r>
        <w:r>
          <w:rPr>
            <w:noProof/>
            <w:webHidden/>
          </w:rPr>
          <w:fldChar w:fldCharType="begin"/>
        </w:r>
        <w:r>
          <w:rPr>
            <w:noProof/>
            <w:webHidden/>
          </w:rPr>
          <w:instrText xml:space="preserve"> PAGEREF _Toc133394410 \h </w:instrText>
        </w:r>
        <w:r>
          <w:rPr>
            <w:noProof/>
            <w:webHidden/>
          </w:rPr>
        </w:r>
        <w:r>
          <w:rPr>
            <w:noProof/>
            <w:webHidden/>
          </w:rPr>
          <w:fldChar w:fldCharType="separate"/>
        </w:r>
        <w:r>
          <w:rPr>
            <w:noProof/>
            <w:webHidden/>
          </w:rPr>
          <w:t>240</w:t>
        </w:r>
        <w:r>
          <w:rPr>
            <w:noProof/>
            <w:webHidden/>
          </w:rPr>
          <w:fldChar w:fldCharType="end"/>
        </w:r>
      </w:hyperlink>
    </w:p>
    <w:p w14:paraId="5E1BA71B" w14:textId="0459739F"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411" w:history="1">
        <w:r w:rsidRPr="00670870">
          <w:rPr>
            <w:rStyle w:val="Hiperveza"/>
            <w:noProof/>
          </w:rPr>
          <w:t>15.5.</w:t>
        </w:r>
        <w:r>
          <w:rPr>
            <w:rFonts w:asciiTheme="minorHAnsi" w:eastAsiaTheme="minorEastAsia" w:hAnsiTheme="minorHAnsi" w:cstheme="minorBidi"/>
            <w:noProof/>
            <w:sz w:val="22"/>
            <w:szCs w:val="22"/>
            <w:lang w:eastAsia="hr-HR"/>
          </w:rPr>
          <w:tab/>
        </w:r>
        <w:r w:rsidRPr="00670870">
          <w:rPr>
            <w:rStyle w:val="Hiperveza"/>
            <w:noProof/>
          </w:rPr>
          <w:t>Suradnja s uredom Europskog javnog tužitelja – EPPO</w:t>
        </w:r>
        <w:r>
          <w:rPr>
            <w:noProof/>
            <w:webHidden/>
          </w:rPr>
          <w:tab/>
        </w:r>
        <w:r>
          <w:rPr>
            <w:noProof/>
            <w:webHidden/>
          </w:rPr>
          <w:fldChar w:fldCharType="begin"/>
        </w:r>
        <w:r>
          <w:rPr>
            <w:noProof/>
            <w:webHidden/>
          </w:rPr>
          <w:instrText xml:space="preserve"> PAGEREF _Toc133394411 \h </w:instrText>
        </w:r>
        <w:r>
          <w:rPr>
            <w:noProof/>
            <w:webHidden/>
          </w:rPr>
        </w:r>
        <w:r>
          <w:rPr>
            <w:noProof/>
            <w:webHidden/>
          </w:rPr>
          <w:fldChar w:fldCharType="separate"/>
        </w:r>
        <w:r>
          <w:rPr>
            <w:noProof/>
            <w:webHidden/>
          </w:rPr>
          <w:t>240</w:t>
        </w:r>
        <w:r>
          <w:rPr>
            <w:noProof/>
            <w:webHidden/>
          </w:rPr>
          <w:fldChar w:fldCharType="end"/>
        </w:r>
      </w:hyperlink>
    </w:p>
    <w:p w14:paraId="65E6AB9F" w14:textId="372F3BB9" w:rsidR="00B06098" w:rsidRDefault="00B06098">
      <w:pPr>
        <w:pStyle w:val="Sadraj2"/>
        <w:tabs>
          <w:tab w:val="left" w:pos="880"/>
          <w:tab w:val="right" w:leader="dot" w:pos="9062"/>
        </w:tabs>
        <w:rPr>
          <w:rFonts w:asciiTheme="minorHAnsi" w:eastAsiaTheme="minorEastAsia" w:hAnsiTheme="minorHAnsi" w:cstheme="minorBidi"/>
          <w:noProof/>
          <w:sz w:val="22"/>
          <w:szCs w:val="22"/>
          <w:lang w:eastAsia="hr-HR"/>
        </w:rPr>
      </w:pPr>
      <w:hyperlink w:anchor="_Toc133394412" w:history="1">
        <w:r w:rsidRPr="00670870">
          <w:rPr>
            <w:rStyle w:val="Hiperveza"/>
            <w:noProof/>
          </w:rPr>
          <w:t>16.</w:t>
        </w:r>
        <w:r>
          <w:rPr>
            <w:rFonts w:asciiTheme="minorHAnsi" w:eastAsiaTheme="minorEastAsia" w:hAnsiTheme="minorHAnsi" w:cstheme="minorBidi"/>
            <w:noProof/>
            <w:sz w:val="22"/>
            <w:szCs w:val="22"/>
            <w:lang w:eastAsia="hr-HR"/>
          </w:rPr>
          <w:tab/>
        </w:r>
        <w:r w:rsidRPr="00670870">
          <w:rPr>
            <w:rStyle w:val="Hiperveza"/>
            <w:noProof/>
          </w:rPr>
          <w:t>Nadzor nad radom i postupanjem nižih državnih odvjetništava</w:t>
        </w:r>
        <w:r>
          <w:rPr>
            <w:noProof/>
            <w:webHidden/>
          </w:rPr>
          <w:tab/>
        </w:r>
        <w:r>
          <w:rPr>
            <w:noProof/>
            <w:webHidden/>
          </w:rPr>
          <w:fldChar w:fldCharType="begin"/>
        </w:r>
        <w:r>
          <w:rPr>
            <w:noProof/>
            <w:webHidden/>
          </w:rPr>
          <w:instrText xml:space="preserve"> PAGEREF _Toc133394412 \h </w:instrText>
        </w:r>
        <w:r>
          <w:rPr>
            <w:noProof/>
            <w:webHidden/>
          </w:rPr>
        </w:r>
        <w:r>
          <w:rPr>
            <w:noProof/>
            <w:webHidden/>
          </w:rPr>
          <w:fldChar w:fldCharType="separate"/>
        </w:r>
        <w:r>
          <w:rPr>
            <w:noProof/>
            <w:webHidden/>
          </w:rPr>
          <w:t>244</w:t>
        </w:r>
        <w:r>
          <w:rPr>
            <w:noProof/>
            <w:webHidden/>
          </w:rPr>
          <w:fldChar w:fldCharType="end"/>
        </w:r>
      </w:hyperlink>
    </w:p>
    <w:p w14:paraId="5D52D36B" w14:textId="282C0E52"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413" w:history="1">
        <w:r w:rsidRPr="00670870">
          <w:rPr>
            <w:rStyle w:val="Hiperveza"/>
            <w:noProof/>
          </w:rPr>
          <w:t>16.1.</w:t>
        </w:r>
        <w:r>
          <w:rPr>
            <w:rFonts w:asciiTheme="minorHAnsi" w:eastAsiaTheme="minorEastAsia" w:hAnsiTheme="minorHAnsi" w:cstheme="minorBidi"/>
            <w:noProof/>
            <w:sz w:val="22"/>
            <w:szCs w:val="22"/>
            <w:lang w:eastAsia="hr-HR"/>
          </w:rPr>
          <w:tab/>
        </w:r>
        <w:r w:rsidRPr="00670870">
          <w:rPr>
            <w:rStyle w:val="Hiperveza"/>
            <w:noProof/>
          </w:rPr>
          <w:t>Vrste nadzora</w:t>
        </w:r>
        <w:r>
          <w:rPr>
            <w:noProof/>
            <w:webHidden/>
          </w:rPr>
          <w:tab/>
        </w:r>
        <w:r>
          <w:rPr>
            <w:noProof/>
            <w:webHidden/>
          </w:rPr>
          <w:fldChar w:fldCharType="begin"/>
        </w:r>
        <w:r>
          <w:rPr>
            <w:noProof/>
            <w:webHidden/>
          </w:rPr>
          <w:instrText xml:space="preserve"> PAGEREF _Toc133394413 \h </w:instrText>
        </w:r>
        <w:r>
          <w:rPr>
            <w:noProof/>
            <w:webHidden/>
          </w:rPr>
        </w:r>
        <w:r>
          <w:rPr>
            <w:noProof/>
            <w:webHidden/>
          </w:rPr>
          <w:fldChar w:fldCharType="separate"/>
        </w:r>
        <w:r>
          <w:rPr>
            <w:noProof/>
            <w:webHidden/>
          </w:rPr>
          <w:t>244</w:t>
        </w:r>
        <w:r>
          <w:rPr>
            <w:noProof/>
            <w:webHidden/>
          </w:rPr>
          <w:fldChar w:fldCharType="end"/>
        </w:r>
      </w:hyperlink>
    </w:p>
    <w:p w14:paraId="4D8595D9" w14:textId="391EA416"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414" w:history="1">
        <w:r w:rsidRPr="00670870">
          <w:rPr>
            <w:rStyle w:val="Hiperveza"/>
            <w:noProof/>
          </w:rPr>
          <w:t>16.1.1.</w:t>
        </w:r>
        <w:r>
          <w:rPr>
            <w:rFonts w:asciiTheme="minorHAnsi" w:eastAsiaTheme="minorEastAsia" w:hAnsiTheme="minorHAnsi" w:cstheme="minorBidi"/>
            <w:noProof/>
            <w:sz w:val="22"/>
            <w:szCs w:val="22"/>
            <w:lang w:eastAsia="hr-HR"/>
          </w:rPr>
          <w:tab/>
        </w:r>
        <w:r w:rsidRPr="00670870">
          <w:rPr>
            <w:rStyle w:val="Hiperveza"/>
            <w:noProof/>
          </w:rPr>
          <w:t>Predmeti povodom pravnih lijekova</w:t>
        </w:r>
        <w:r>
          <w:rPr>
            <w:noProof/>
            <w:webHidden/>
          </w:rPr>
          <w:tab/>
        </w:r>
        <w:r>
          <w:rPr>
            <w:noProof/>
            <w:webHidden/>
          </w:rPr>
          <w:fldChar w:fldCharType="begin"/>
        </w:r>
        <w:r>
          <w:rPr>
            <w:noProof/>
            <w:webHidden/>
          </w:rPr>
          <w:instrText xml:space="preserve"> PAGEREF _Toc133394414 \h </w:instrText>
        </w:r>
        <w:r>
          <w:rPr>
            <w:noProof/>
            <w:webHidden/>
          </w:rPr>
        </w:r>
        <w:r>
          <w:rPr>
            <w:noProof/>
            <w:webHidden/>
          </w:rPr>
          <w:fldChar w:fldCharType="separate"/>
        </w:r>
        <w:r>
          <w:rPr>
            <w:noProof/>
            <w:webHidden/>
          </w:rPr>
          <w:t>245</w:t>
        </w:r>
        <w:r>
          <w:rPr>
            <w:noProof/>
            <w:webHidden/>
          </w:rPr>
          <w:fldChar w:fldCharType="end"/>
        </w:r>
      </w:hyperlink>
    </w:p>
    <w:p w14:paraId="18D287D7" w14:textId="15C593B5"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415" w:history="1">
        <w:r w:rsidRPr="00670870">
          <w:rPr>
            <w:rStyle w:val="Hiperveza"/>
            <w:noProof/>
          </w:rPr>
          <w:t>16.1.2.</w:t>
        </w:r>
        <w:r>
          <w:rPr>
            <w:rFonts w:asciiTheme="minorHAnsi" w:eastAsiaTheme="minorEastAsia" w:hAnsiTheme="minorHAnsi" w:cstheme="minorBidi"/>
            <w:noProof/>
            <w:sz w:val="22"/>
            <w:szCs w:val="22"/>
            <w:lang w:eastAsia="hr-HR"/>
          </w:rPr>
          <w:tab/>
        </w:r>
        <w:r w:rsidRPr="00670870">
          <w:rPr>
            <w:rStyle w:val="Hiperveza"/>
            <w:noProof/>
          </w:rPr>
          <w:t>Pregledi rada nižih državnih odvjetništava</w:t>
        </w:r>
        <w:r>
          <w:rPr>
            <w:noProof/>
            <w:webHidden/>
          </w:rPr>
          <w:tab/>
        </w:r>
        <w:r>
          <w:rPr>
            <w:noProof/>
            <w:webHidden/>
          </w:rPr>
          <w:fldChar w:fldCharType="begin"/>
        </w:r>
        <w:r>
          <w:rPr>
            <w:noProof/>
            <w:webHidden/>
          </w:rPr>
          <w:instrText xml:space="preserve"> PAGEREF _Toc133394415 \h </w:instrText>
        </w:r>
        <w:r>
          <w:rPr>
            <w:noProof/>
            <w:webHidden/>
          </w:rPr>
        </w:r>
        <w:r>
          <w:rPr>
            <w:noProof/>
            <w:webHidden/>
          </w:rPr>
          <w:fldChar w:fldCharType="separate"/>
        </w:r>
        <w:r>
          <w:rPr>
            <w:noProof/>
            <w:webHidden/>
          </w:rPr>
          <w:t>246</w:t>
        </w:r>
        <w:r>
          <w:rPr>
            <w:noProof/>
            <w:webHidden/>
          </w:rPr>
          <w:fldChar w:fldCharType="end"/>
        </w:r>
      </w:hyperlink>
    </w:p>
    <w:p w14:paraId="5FB20D0F" w14:textId="730FD72B"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416" w:history="1">
        <w:r w:rsidRPr="00670870">
          <w:rPr>
            <w:rStyle w:val="Hiperveza"/>
            <w:noProof/>
          </w:rPr>
          <w:t>16.1.3.</w:t>
        </w:r>
        <w:r>
          <w:rPr>
            <w:rFonts w:asciiTheme="minorHAnsi" w:eastAsiaTheme="minorEastAsia" w:hAnsiTheme="minorHAnsi" w:cstheme="minorBidi"/>
            <w:noProof/>
            <w:sz w:val="22"/>
            <w:szCs w:val="22"/>
            <w:lang w:eastAsia="hr-HR"/>
          </w:rPr>
          <w:tab/>
        </w:r>
        <w:r w:rsidRPr="00670870">
          <w:rPr>
            <w:rStyle w:val="Hiperveza"/>
            <w:noProof/>
          </w:rPr>
          <w:t>Predstavke i pritužbe</w:t>
        </w:r>
        <w:r>
          <w:rPr>
            <w:noProof/>
            <w:webHidden/>
          </w:rPr>
          <w:tab/>
        </w:r>
        <w:r>
          <w:rPr>
            <w:noProof/>
            <w:webHidden/>
          </w:rPr>
          <w:fldChar w:fldCharType="begin"/>
        </w:r>
        <w:r>
          <w:rPr>
            <w:noProof/>
            <w:webHidden/>
          </w:rPr>
          <w:instrText xml:space="preserve"> PAGEREF _Toc133394416 \h </w:instrText>
        </w:r>
        <w:r>
          <w:rPr>
            <w:noProof/>
            <w:webHidden/>
          </w:rPr>
        </w:r>
        <w:r>
          <w:rPr>
            <w:noProof/>
            <w:webHidden/>
          </w:rPr>
          <w:fldChar w:fldCharType="separate"/>
        </w:r>
        <w:r>
          <w:rPr>
            <w:noProof/>
            <w:webHidden/>
          </w:rPr>
          <w:t>247</w:t>
        </w:r>
        <w:r>
          <w:rPr>
            <w:noProof/>
            <w:webHidden/>
          </w:rPr>
          <w:fldChar w:fldCharType="end"/>
        </w:r>
      </w:hyperlink>
    </w:p>
    <w:p w14:paraId="4CABDD01" w14:textId="60CD0E3C" w:rsidR="00B06098" w:rsidRDefault="00B06098">
      <w:pPr>
        <w:pStyle w:val="Sadraj1"/>
        <w:tabs>
          <w:tab w:val="right" w:leader="dot" w:pos="9062"/>
        </w:tabs>
        <w:rPr>
          <w:rFonts w:asciiTheme="minorHAnsi" w:eastAsiaTheme="minorEastAsia" w:hAnsiTheme="minorHAnsi" w:cstheme="minorBidi"/>
          <w:noProof/>
          <w:sz w:val="22"/>
          <w:szCs w:val="22"/>
          <w:lang w:eastAsia="hr-HR"/>
        </w:rPr>
      </w:pPr>
      <w:hyperlink w:anchor="_Toc133394417" w:history="1">
        <w:r w:rsidRPr="00670870">
          <w:rPr>
            <w:rStyle w:val="Hiperveza"/>
            <w:noProof/>
          </w:rPr>
          <w:t>IV. IZVJEŠĆE O MATERIJALNIM I FINANCIJSKIM UVJETIMA ZA RAD DRŽAVNOG ODVJETNIŠTVA TE STANJU I OPTEREĆENOSTI LJUDSKIH POTENCIJALA DRŽAVNOG ODVJETNIŠTVA</w:t>
        </w:r>
        <w:r>
          <w:rPr>
            <w:noProof/>
            <w:webHidden/>
          </w:rPr>
          <w:tab/>
        </w:r>
        <w:r>
          <w:rPr>
            <w:noProof/>
            <w:webHidden/>
          </w:rPr>
          <w:fldChar w:fldCharType="begin"/>
        </w:r>
        <w:r>
          <w:rPr>
            <w:noProof/>
            <w:webHidden/>
          </w:rPr>
          <w:instrText xml:space="preserve"> PAGEREF _Toc133394417 \h </w:instrText>
        </w:r>
        <w:r>
          <w:rPr>
            <w:noProof/>
            <w:webHidden/>
          </w:rPr>
        </w:r>
        <w:r>
          <w:rPr>
            <w:noProof/>
            <w:webHidden/>
          </w:rPr>
          <w:fldChar w:fldCharType="separate"/>
        </w:r>
        <w:r>
          <w:rPr>
            <w:noProof/>
            <w:webHidden/>
          </w:rPr>
          <w:t>250</w:t>
        </w:r>
        <w:r>
          <w:rPr>
            <w:noProof/>
            <w:webHidden/>
          </w:rPr>
          <w:fldChar w:fldCharType="end"/>
        </w:r>
      </w:hyperlink>
    </w:p>
    <w:p w14:paraId="784A400F" w14:textId="1A1723D5" w:rsidR="00B06098" w:rsidRDefault="00B06098">
      <w:pPr>
        <w:pStyle w:val="Sadraj2"/>
        <w:tabs>
          <w:tab w:val="left" w:pos="880"/>
          <w:tab w:val="right" w:leader="dot" w:pos="9062"/>
        </w:tabs>
        <w:rPr>
          <w:rFonts w:asciiTheme="minorHAnsi" w:eastAsiaTheme="minorEastAsia" w:hAnsiTheme="minorHAnsi" w:cstheme="minorBidi"/>
          <w:noProof/>
          <w:sz w:val="22"/>
          <w:szCs w:val="22"/>
          <w:lang w:eastAsia="hr-HR"/>
        </w:rPr>
      </w:pPr>
      <w:hyperlink w:anchor="_Toc133394418" w:history="1">
        <w:r w:rsidRPr="00670870">
          <w:rPr>
            <w:rStyle w:val="Hiperveza"/>
            <w:noProof/>
          </w:rPr>
          <w:t>17.</w:t>
        </w:r>
        <w:r>
          <w:rPr>
            <w:rFonts w:asciiTheme="minorHAnsi" w:eastAsiaTheme="minorEastAsia" w:hAnsiTheme="minorHAnsi" w:cstheme="minorBidi"/>
            <w:noProof/>
            <w:sz w:val="22"/>
            <w:szCs w:val="22"/>
            <w:lang w:eastAsia="hr-HR"/>
          </w:rPr>
          <w:tab/>
        </w:r>
        <w:r w:rsidRPr="00670870">
          <w:rPr>
            <w:rStyle w:val="Hiperveza"/>
            <w:noProof/>
          </w:rPr>
          <w:t>Materijalni i financijski uvjeti za rad državnog odvjetništva</w:t>
        </w:r>
        <w:r>
          <w:rPr>
            <w:noProof/>
            <w:webHidden/>
          </w:rPr>
          <w:tab/>
        </w:r>
        <w:r>
          <w:rPr>
            <w:noProof/>
            <w:webHidden/>
          </w:rPr>
          <w:fldChar w:fldCharType="begin"/>
        </w:r>
        <w:r>
          <w:rPr>
            <w:noProof/>
            <w:webHidden/>
          </w:rPr>
          <w:instrText xml:space="preserve"> PAGEREF _Toc133394418 \h </w:instrText>
        </w:r>
        <w:r>
          <w:rPr>
            <w:noProof/>
            <w:webHidden/>
          </w:rPr>
        </w:r>
        <w:r>
          <w:rPr>
            <w:noProof/>
            <w:webHidden/>
          </w:rPr>
          <w:fldChar w:fldCharType="separate"/>
        </w:r>
        <w:r>
          <w:rPr>
            <w:noProof/>
            <w:webHidden/>
          </w:rPr>
          <w:t>250</w:t>
        </w:r>
        <w:r>
          <w:rPr>
            <w:noProof/>
            <w:webHidden/>
          </w:rPr>
          <w:fldChar w:fldCharType="end"/>
        </w:r>
      </w:hyperlink>
    </w:p>
    <w:p w14:paraId="53887157" w14:textId="51966355"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419" w:history="1">
        <w:r w:rsidRPr="00670870">
          <w:rPr>
            <w:rStyle w:val="Hiperveza"/>
            <w:noProof/>
          </w:rPr>
          <w:t>17.1.</w:t>
        </w:r>
        <w:r>
          <w:rPr>
            <w:rFonts w:asciiTheme="minorHAnsi" w:eastAsiaTheme="minorEastAsia" w:hAnsiTheme="minorHAnsi" w:cstheme="minorBidi"/>
            <w:noProof/>
            <w:sz w:val="22"/>
            <w:szCs w:val="22"/>
            <w:lang w:eastAsia="hr-HR"/>
          </w:rPr>
          <w:tab/>
        </w:r>
        <w:r w:rsidRPr="00670870">
          <w:rPr>
            <w:rStyle w:val="Hiperveza"/>
            <w:noProof/>
          </w:rPr>
          <w:t>Smještaj i opremljenost prostora/procjena utjecaja nedostatka opreme i     poslovnog prostora na učinkovit rad u 2022. godini</w:t>
        </w:r>
        <w:r>
          <w:rPr>
            <w:noProof/>
            <w:webHidden/>
          </w:rPr>
          <w:tab/>
        </w:r>
        <w:r>
          <w:rPr>
            <w:noProof/>
            <w:webHidden/>
          </w:rPr>
          <w:fldChar w:fldCharType="begin"/>
        </w:r>
        <w:r>
          <w:rPr>
            <w:noProof/>
            <w:webHidden/>
          </w:rPr>
          <w:instrText xml:space="preserve"> PAGEREF _Toc133394419 \h </w:instrText>
        </w:r>
        <w:r>
          <w:rPr>
            <w:noProof/>
            <w:webHidden/>
          </w:rPr>
        </w:r>
        <w:r>
          <w:rPr>
            <w:noProof/>
            <w:webHidden/>
          </w:rPr>
          <w:fldChar w:fldCharType="separate"/>
        </w:r>
        <w:r>
          <w:rPr>
            <w:noProof/>
            <w:webHidden/>
          </w:rPr>
          <w:t>250</w:t>
        </w:r>
        <w:r>
          <w:rPr>
            <w:noProof/>
            <w:webHidden/>
          </w:rPr>
          <w:fldChar w:fldCharType="end"/>
        </w:r>
      </w:hyperlink>
    </w:p>
    <w:p w14:paraId="3470F40B" w14:textId="15035EED"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420" w:history="1">
        <w:r w:rsidRPr="00670870">
          <w:rPr>
            <w:rStyle w:val="Hiperveza"/>
            <w:noProof/>
          </w:rPr>
          <w:t>17.1.1.</w:t>
        </w:r>
        <w:r>
          <w:rPr>
            <w:rFonts w:asciiTheme="minorHAnsi" w:eastAsiaTheme="minorEastAsia" w:hAnsiTheme="minorHAnsi" w:cstheme="minorBidi"/>
            <w:noProof/>
            <w:sz w:val="22"/>
            <w:szCs w:val="22"/>
            <w:lang w:eastAsia="hr-HR"/>
          </w:rPr>
          <w:tab/>
        </w:r>
        <w:r w:rsidRPr="00670870">
          <w:rPr>
            <w:rStyle w:val="Hiperveza"/>
            <w:noProof/>
          </w:rPr>
          <w:t>Smještajni kapaciteti</w:t>
        </w:r>
        <w:r>
          <w:rPr>
            <w:noProof/>
            <w:webHidden/>
          </w:rPr>
          <w:tab/>
        </w:r>
        <w:r>
          <w:rPr>
            <w:noProof/>
            <w:webHidden/>
          </w:rPr>
          <w:fldChar w:fldCharType="begin"/>
        </w:r>
        <w:r>
          <w:rPr>
            <w:noProof/>
            <w:webHidden/>
          </w:rPr>
          <w:instrText xml:space="preserve"> PAGEREF _Toc133394420 \h </w:instrText>
        </w:r>
        <w:r>
          <w:rPr>
            <w:noProof/>
            <w:webHidden/>
          </w:rPr>
        </w:r>
        <w:r>
          <w:rPr>
            <w:noProof/>
            <w:webHidden/>
          </w:rPr>
          <w:fldChar w:fldCharType="separate"/>
        </w:r>
        <w:r>
          <w:rPr>
            <w:noProof/>
            <w:webHidden/>
          </w:rPr>
          <w:t>250</w:t>
        </w:r>
        <w:r>
          <w:rPr>
            <w:noProof/>
            <w:webHidden/>
          </w:rPr>
          <w:fldChar w:fldCharType="end"/>
        </w:r>
      </w:hyperlink>
    </w:p>
    <w:p w14:paraId="6C4F10E0" w14:textId="518AAF96"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421" w:history="1">
        <w:r w:rsidRPr="00670870">
          <w:rPr>
            <w:rStyle w:val="Hiperveza"/>
            <w:noProof/>
          </w:rPr>
          <w:t>17.1.2.</w:t>
        </w:r>
        <w:r>
          <w:rPr>
            <w:rFonts w:asciiTheme="minorHAnsi" w:eastAsiaTheme="minorEastAsia" w:hAnsiTheme="minorHAnsi" w:cstheme="minorBidi"/>
            <w:noProof/>
            <w:sz w:val="22"/>
            <w:szCs w:val="22"/>
            <w:lang w:eastAsia="hr-HR"/>
          </w:rPr>
          <w:tab/>
        </w:r>
        <w:r w:rsidRPr="00670870">
          <w:rPr>
            <w:rStyle w:val="Hiperveza"/>
            <w:noProof/>
          </w:rPr>
          <w:t>Službena vozila</w:t>
        </w:r>
        <w:r>
          <w:rPr>
            <w:noProof/>
            <w:webHidden/>
          </w:rPr>
          <w:tab/>
        </w:r>
        <w:r>
          <w:rPr>
            <w:noProof/>
            <w:webHidden/>
          </w:rPr>
          <w:fldChar w:fldCharType="begin"/>
        </w:r>
        <w:r>
          <w:rPr>
            <w:noProof/>
            <w:webHidden/>
          </w:rPr>
          <w:instrText xml:space="preserve"> PAGEREF _Toc133394421 \h </w:instrText>
        </w:r>
        <w:r>
          <w:rPr>
            <w:noProof/>
            <w:webHidden/>
          </w:rPr>
        </w:r>
        <w:r>
          <w:rPr>
            <w:noProof/>
            <w:webHidden/>
          </w:rPr>
          <w:fldChar w:fldCharType="separate"/>
        </w:r>
        <w:r>
          <w:rPr>
            <w:noProof/>
            <w:webHidden/>
          </w:rPr>
          <w:t>253</w:t>
        </w:r>
        <w:r>
          <w:rPr>
            <w:noProof/>
            <w:webHidden/>
          </w:rPr>
          <w:fldChar w:fldCharType="end"/>
        </w:r>
      </w:hyperlink>
    </w:p>
    <w:p w14:paraId="30475B22" w14:textId="00827608" w:rsidR="00B06098" w:rsidRDefault="00B06098">
      <w:pPr>
        <w:pStyle w:val="Sadraj4"/>
        <w:tabs>
          <w:tab w:val="left" w:pos="1760"/>
          <w:tab w:val="right" w:leader="dot" w:pos="9062"/>
        </w:tabs>
        <w:rPr>
          <w:rFonts w:asciiTheme="minorHAnsi" w:eastAsiaTheme="minorEastAsia" w:hAnsiTheme="minorHAnsi" w:cstheme="minorBidi"/>
          <w:noProof/>
          <w:sz w:val="22"/>
          <w:szCs w:val="22"/>
          <w:lang w:eastAsia="hr-HR"/>
        </w:rPr>
      </w:pPr>
      <w:hyperlink w:anchor="_Toc133394422" w:history="1">
        <w:r w:rsidRPr="00670870">
          <w:rPr>
            <w:rStyle w:val="Hiperveza"/>
            <w:noProof/>
          </w:rPr>
          <w:t>17.1.3.</w:t>
        </w:r>
        <w:r>
          <w:rPr>
            <w:rFonts w:asciiTheme="minorHAnsi" w:eastAsiaTheme="minorEastAsia" w:hAnsiTheme="minorHAnsi" w:cstheme="minorBidi"/>
            <w:noProof/>
            <w:sz w:val="22"/>
            <w:szCs w:val="22"/>
            <w:lang w:eastAsia="hr-HR"/>
          </w:rPr>
          <w:tab/>
        </w:r>
        <w:r w:rsidRPr="00670870">
          <w:rPr>
            <w:rStyle w:val="Hiperveza"/>
            <w:noProof/>
          </w:rPr>
          <w:t>Oprema</w:t>
        </w:r>
        <w:r>
          <w:rPr>
            <w:noProof/>
            <w:webHidden/>
          </w:rPr>
          <w:tab/>
        </w:r>
        <w:r>
          <w:rPr>
            <w:noProof/>
            <w:webHidden/>
          </w:rPr>
          <w:fldChar w:fldCharType="begin"/>
        </w:r>
        <w:r>
          <w:rPr>
            <w:noProof/>
            <w:webHidden/>
          </w:rPr>
          <w:instrText xml:space="preserve"> PAGEREF _Toc133394422 \h </w:instrText>
        </w:r>
        <w:r>
          <w:rPr>
            <w:noProof/>
            <w:webHidden/>
          </w:rPr>
        </w:r>
        <w:r>
          <w:rPr>
            <w:noProof/>
            <w:webHidden/>
          </w:rPr>
          <w:fldChar w:fldCharType="separate"/>
        </w:r>
        <w:r>
          <w:rPr>
            <w:noProof/>
            <w:webHidden/>
          </w:rPr>
          <w:t>254</w:t>
        </w:r>
        <w:r>
          <w:rPr>
            <w:noProof/>
            <w:webHidden/>
          </w:rPr>
          <w:fldChar w:fldCharType="end"/>
        </w:r>
      </w:hyperlink>
    </w:p>
    <w:p w14:paraId="3C8007A3" w14:textId="5A2CC143" w:rsidR="00B06098" w:rsidRDefault="00B06098">
      <w:pPr>
        <w:pStyle w:val="Sadraj3"/>
        <w:tabs>
          <w:tab w:val="left" w:pos="1320"/>
          <w:tab w:val="right" w:leader="dot" w:pos="9062"/>
        </w:tabs>
        <w:rPr>
          <w:rFonts w:asciiTheme="minorHAnsi" w:eastAsiaTheme="minorEastAsia" w:hAnsiTheme="minorHAnsi" w:cstheme="minorBidi"/>
          <w:noProof/>
          <w:sz w:val="22"/>
          <w:szCs w:val="22"/>
          <w:lang w:eastAsia="hr-HR"/>
        </w:rPr>
      </w:pPr>
      <w:hyperlink w:anchor="_Toc133394423" w:history="1">
        <w:r w:rsidRPr="00670870">
          <w:rPr>
            <w:rStyle w:val="Hiperveza"/>
            <w:noProof/>
          </w:rPr>
          <w:t>17.2.</w:t>
        </w:r>
        <w:r>
          <w:rPr>
            <w:rFonts w:asciiTheme="minorHAnsi" w:eastAsiaTheme="minorEastAsia" w:hAnsiTheme="minorHAnsi" w:cstheme="minorBidi"/>
            <w:noProof/>
            <w:sz w:val="22"/>
            <w:szCs w:val="22"/>
            <w:lang w:eastAsia="hr-HR"/>
          </w:rPr>
          <w:tab/>
        </w:r>
        <w:r w:rsidRPr="00670870">
          <w:rPr>
            <w:rStyle w:val="Hiperveza"/>
            <w:noProof/>
          </w:rPr>
          <w:t>Odobrena financijska sredstva za rad državnih odvjetništava</w:t>
        </w:r>
        <w:r>
          <w:rPr>
            <w:noProof/>
            <w:webHidden/>
          </w:rPr>
          <w:tab/>
        </w:r>
        <w:r>
          <w:rPr>
            <w:noProof/>
            <w:webHidden/>
          </w:rPr>
          <w:fldChar w:fldCharType="begin"/>
        </w:r>
        <w:r>
          <w:rPr>
            <w:noProof/>
            <w:webHidden/>
          </w:rPr>
          <w:instrText xml:space="preserve"> PAGEREF _Toc133394423 \h </w:instrText>
        </w:r>
        <w:r>
          <w:rPr>
            <w:noProof/>
            <w:webHidden/>
          </w:rPr>
        </w:r>
        <w:r>
          <w:rPr>
            <w:noProof/>
            <w:webHidden/>
          </w:rPr>
          <w:fldChar w:fldCharType="separate"/>
        </w:r>
        <w:r>
          <w:rPr>
            <w:noProof/>
            <w:webHidden/>
          </w:rPr>
          <w:t>255</w:t>
        </w:r>
        <w:r>
          <w:rPr>
            <w:noProof/>
            <w:webHidden/>
          </w:rPr>
          <w:fldChar w:fldCharType="end"/>
        </w:r>
      </w:hyperlink>
    </w:p>
    <w:p w14:paraId="16B1BB5A" w14:textId="5FD01BB0" w:rsidR="00B06098" w:rsidRDefault="00B06098">
      <w:pPr>
        <w:pStyle w:val="Sadraj1"/>
        <w:tabs>
          <w:tab w:val="right" w:leader="dot" w:pos="9062"/>
        </w:tabs>
        <w:rPr>
          <w:rFonts w:asciiTheme="minorHAnsi" w:eastAsiaTheme="minorEastAsia" w:hAnsiTheme="minorHAnsi" w:cstheme="minorBidi"/>
          <w:noProof/>
          <w:sz w:val="22"/>
          <w:szCs w:val="22"/>
          <w:lang w:eastAsia="hr-HR"/>
        </w:rPr>
      </w:pPr>
      <w:hyperlink w:anchor="_Toc133394424" w:history="1">
        <w:r w:rsidRPr="00670870">
          <w:rPr>
            <w:rStyle w:val="Hiperveza"/>
            <w:noProof/>
          </w:rPr>
          <w:t>V. ZAKLJUČNO</w:t>
        </w:r>
        <w:r>
          <w:rPr>
            <w:noProof/>
            <w:webHidden/>
          </w:rPr>
          <w:tab/>
        </w:r>
        <w:r>
          <w:rPr>
            <w:noProof/>
            <w:webHidden/>
          </w:rPr>
          <w:fldChar w:fldCharType="begin"/>
        </w:r>
        <w:r>
          <w:rPr>
            <w:noProof/>
            <w:webHidden/>
          </w:rPr>
          <w:instrText xml:space="preserve"> PAGEREF _Toc133394424 \h </w:instrText>
        </w:r>
        <w:r>
          <w:rPr>
            <w:noProof/>
            <w:webHidden/>
          </w:rPr>
        </w:r>
        <w:r>
          <w:rPr>
            <w:noProof/>
            <w:webHidden/>
          </w:rPr>
          <w:fldChar w:fldCharType="separate"/>
        </w:r>
        <w:r>
          <w:rPr>
            <w:noProof/>
            <w:webHidden/>
          </w:rPr>
          <w:t>257</w:t>
        </w:r>
        <w:r>
          <w:rPr>
            <w:noProof/>
            <w:webHidden/>
          </w:rPr>
          <w:fldChar w:fldCharType="end"/>
        </w:r>
      </w:hyperlink>
    </w:p>
    <w:p w14:paraId="6753F1C6" w14:textId="3B6D3BF2" w:rsidR="00950154" w:rsidRPr="001B4CA2" w:rsidRDefault="00806AE8" w:rsidP="00B962AC">
      <w:r w:rsidRPr="001B4CA2">
        <w:fldChar w:fldCharType="end"/>
      </w:r>
    </w:p>
    <w:p w14:paraId="0E6DFBAA" w14:textId="77777777" w:rsidR="00B962AC" w:rsidRPr="001B4CA2" w:rsidRDefault="00B962AC" w:rsidP="00B962AC"/>
    <w:p w14:paraId="1431E489" w14:textId="77777777" w:rsidR="002A30A5" w:rsidRPr="001B4CA2" w:rsidRDefault="002A30A5" w:rsidP="00022EFB"/>
    <w:p w14:paraId="2D5810DE" w14:textId="45CC0DD5" w:rsidR="00823578" w:rsidRDefault="00823578" w:rsidP="00823578">
      <w:pPr>
        <w:jc w:val="center"/>
      </w:pPr>
      <w:r>
        <w:t xml:space="preserve">DODATAK: Izvješće o radu </w:t>
      </w:r>
      <w:proofErr w:type="spellStart"/>
      <w:r>
        <w:t>Državnoodvjetničkog</w:t>
      </w:r>
      <w:proofErr w:type="spellEnd"/>
      <w:r>
        <w:t xml:space="preserve"> vijeća u 2022. godini</w:t>
      </w:r>
    </w:p>
    <w:p w14:paraId="59190F9E" w14:textId="77777777" w:rsidR="002A30A5" w:rsidRPr="001B4CA2" w:rsidRDefault="002A30A5" w:rsidP="00022EFB"/>
    <w:p w14:paraId="317914EA" w14:textId="77777777" w:rsidR="002A30A5" w:rsidRPr="001B4CA2" w:rsidRDefault="002A30A5" w:rsidP="00022EFB"/>
    <w:p w14:paraId="0D2419CC" w14:textId="77777777" w:rsidR="002A30A5" w:rsidRPr="001B4CA2" w:rsidRDefault="002A30A5" w:rsidP="00022EFB"/>
    <w:p w14:paraId="3CFE50D8" w14:textId="77777777" w:rsidR="002A30A5" w:rsidRPr="001B4CA2" w:rsidRDefault="002A30A5" w:rsidP="00022EFB"/>
    <w:p w14:paraId="03704EFB" w14:textId="77777777" w:rsidR="002A30A5" w:rsidRPr="001B4CA2" w:rsidRDefault="002A30A5" w:rsidP="00022EFB"/>
    <w:p w14:paraId="0692A4DD" w14:textId="77777777" w:rsidR="002A30A5" w:rsidRPr="001B4CA2" w:rsidRDefault="002A30A5" w:rsidP="00022EFB"/>
    <w:p w14:paraId="42CB762C" w14:textId="77777777" w:rsidR="002A30A5" w:rsidRPr="001B4CA2" w:rsidRDefault="002A30A5" w:rsidP="00022EFB"/>
    <w:p w14:paraId="12813F31" w14:textId="77777777" w:rsidR="002A30A5" w:rsidRPr="001B4CA2" w:rsidRDefault="002A30A5" w:rsidP="00022EFB"/>
    <w:p w14:paraId="0362000A" w14:textId="77777777" w:rsidR="002A30A5" w:rsidRPr="001B4CA2" w:rsidRDefault="002A30A5" w:rsidP="00022EFB"/>
    <w:p w14:paraId="61A82CD0" w14:textId="77777777" w:rsidR="002A30A5" w:rsidRPr="001B4CA2" w:rsidRDefault="002A30A5" w:rsidP="00022EFB"/>
    <w:p w14:paraId="0BCC15B6" w14:textId="77777777" w:rsidR="002A30A5" w:rsidRPr="001B4CA2" w:rsidRDefault="002A30A5" w:rsidP="00022EFB"/>
    <w:p w14:paraId="2F699B0B" w14:textId="77777777" w:rsidR="002A30A5" w:rsidRPr="001B4CA2" w:rsidRDefault="002A30A5" w:rsidP="00022EFB"/>
    <w:p w14:paraId="016DCA1E" w14:textId="77777777" w:rsidR="002A30A5" w:rsidRPr="001B4CA2" w:rsidRDefault="002A30A5" w:rsidP="00022EFB"/>
    <w:p w14:paraId="6BEFA18F" w14:textId="77777777" w:rsidR="002A30A5" w:rsidRPr="001B4CA2" w:rsidRDefault="002A30A5" w:rsidP="00022EFB"/>
    <w:p w14:paraId="6315E1C9" w14:textId="77777777" w:rsidR="002A30A5" w:rsidRPr="001B4CA2" w:rsidRDefault="002A30A5" w:rsidP="00022EFB"/>
    <w:p w14:paraId="5983C48B" w14:textId="77777777" w:rsidR="002A30A5" w:rsidRPr="001B4CA2" w:rsidRDefault="002A30A5" w:rsidP="00022EFB"/>
    <w:p w14:paraId="2F17F13F" w14:textId="77777777" w:rsidR="002A30A5" w:rsidRPr="001B4CA2" w:rsidRDefault="002A30A5" w:rsidP="00022EFB"/>
    <w:p w14:paraId="448ED52E" w14:textId="77777777" w:rsidR="002A30A5" w:rsidRPr="001B4CA2" w:rsidRDefault="002A30A5" w:rsidP="00022EFB"/>
    <w:p w14:paraId="6F36BC27" w14:textId="4B8A7819" w:rsidR="005B29A5" w:rsidRPr="001B4CA2" w:rsidRDefault="005B29A5" w:rsidP="00022EFB"/>
    <w:p w14:paraId="1A2E22C3" w14:textId="627959E3" w:rsidR="00255C3F" w:rsidRPr="001B4CA2" w:rsidRDefault="00255C3F" w:rsidP="00022EFB"/>
    <w:p w14:paraId="647A32A1" w14:textId="3EF52A2C" w:rsidR="00255C3F" w:rsidRPr="001B4CA2" w:rsidRDefault="00255C3F" w:rsidP="00022EFB"/>
    <w:p w14:paraId="5E5FB219" w14:textId="18405A4D" w:rsidR="00255C3F" w:rsidRPr="001B4CA2" w:rsidRDefault="00255C3F" w:rsidP="00022EFB"/>
    <w:p w14:paraId="77D5010E" w14:textId="4196620F" w:rsidR="00255C3F" w:rsidRPr="001B4CA2" w:rsidRDefault="00255C3F" w:rsidP="00022EFB"/>
    <w:p w14:paraId="413CA98C" w14:textId="4F41405E" w:rsidR="00255C3F" w:rsidRPr="001B4CA2" w:rsidRDefault="00255C3F" w:rsidP="00022EFB"/>
    <w:p w14:paraId="154F2E31" w14:textId="19ABD1B0" w:rsidR="00255C3F" w:rsidRPr="001B4CA2" w:rsidRDefault="00255C3F" w:rsidP="00022EFB"/>
    <w:p w14:paraId="6F981624" w14:textId="77777777" w:rsidR="00255C3F" w:rsidRPr="001B4CA2" w:rsidRDefault="00255C3F" w:rsidP="00022EFB"/>
    <w:p w14:paraId="7B5759C0" w14:textId="77777777" w:rsidR="00D42107" w:rsidRPr="001B4CA2" w:rsidRDefault="00D42107" w:rsidP="00022EFB"/>
    <w:p w14:paraId="55F5100D" w14:textId="77777777" w:rsidR="00A67149" w:rsidRPr="001B4CA2" w:rsidRDefault="00A67149" w:rsidP="00022EFB"/>
    <w:p w14:paraId="013E85B2" w14:textId="77777777" w:rsidR="00B9684F" w:rsidRPr="001B4CA2" w:rsidRDefault="00B9684F" w:rsidP="00022EFB"/>
    <w:p w14:paraId="4E36E541" w14:textId="77777777" w:rsidR="00700F9A" w:rsidRPr="001B4CA2" w:rsidRDefault="00700F9A" w:rsidP="00700F9A">
      <w:pPr>
        <w:jc w:val="center"/>
        <w:rPr>
          <w:sz w:val="28"/>
          <w:szCs w:val="28"/>
        </w:rPr>
      </w:pPr>
      <w:r w:rsidRPr="001B4CA2">
        <w:rPr>
          <w:sz w:val="28"/>
          <w:szCs w:val="28"/>
        </w:rPr>
        <w:t>UVODNE NAPOMENE</w:t>
      </w:r>
    </w:p>
    <w:p w14:paraId="2B05DEDC" w14:textId="77777777" w:rsidR="00700F9A" w:rsidRPr="001B4CA2" w:rsidRDefault="00700F9A" w:rsidP="00700F9A"/>
    <w:p w14:paraId="2946953B" w14:textId="4D07A5FE" w:rsidR="00123AE0" w:rsidRPr="001B4CA2" w:rsidRDefault="00123AE0" w:rsidP="00123AE0">
      <w:r w:rsidRPr="001B4CA2">
        <w:tab/>
        <w:t>Ustavom Republike Hrvatske, odredbom članka 121.a,</w:t>
      </w:r>
      <w:r w:rsidR="001B4CA2">
        <w:t xml:space="preserve"> </w:t>
      </w:r>
      <w:r w:rsidR="00F47D60">
        <w:t>d</w:t>
      </w:r>
      <w:r w:rsidRPr="001B4CA2">
        <w:t xml:space="preserve">ržavno je </w:t>
      </w:r>
      <w:r w:rsidR="00F47D60" w:rsidRPr="001B4CA2">
        <w:t xml:space="preserve">odvjetništvo </w:t>
      </w:r>
      <w:r w:rsidRPr="001B4CA2">
        <w:t>definirano kao samostalno i neovisno pravosudno tijelo koje je ovlašteno i dužno progoniti počinitelje kaznenih i drugih kažnjivih djela, poduzimati pravne radnje radi zaštite imovinskih interesa Republike Hrvatske i podnositi pravna sredstva za zaštitu Ustava i prava. Ustanovljavanje, ustrojstvo, djelokrug i nadležnost državnog odvjetništva uređuju se zakonom.</w:t>
      </w:r>
    </w:p>
    <w:p w14:paraId="13D7B55A" w14:textId="77777777" w:rsidR="00123AE0" w:rsidRPr="001B4CA2" w:rsidRDefault="00123AE0" w:rsidP="00123AE0">
      <w:r w:rsidRPr="001B4CA2">
        <w:t xml:space="preserve"> </w:t>
      </w:r>
    </w:p>
    <w:p w14:paraId="55550B05" w14:textId="589560E9" w:rsidR="00123AE0" w:rsidRPr="001B4CA2" w:rsidRDefault="00123AE0" w:rsidP="00123AE0">
      <w:r w:rsidRPr="001B4CA2">
        <w:tab/>
        <w:t>Zakon o državnom odvjetništvu (Narodne novine, broj 67/2018, 21/22 – u daljnjem tekstu ZDO) odredbom članka 72. ZDO propisuje da Glavni državni odvjetnik Republike Hrvatske podnosi Hrvatskom</w:t>
      </w:r>
      <w:r w:rsidR="00F47D60">
        <w:t>u</w:t>
      </w:r>
      <w:r w:rsidRPr="001B4CA2">
        <w:t xml:space="preserve"> saboru izvješće o radu na kaznenim i prekršajnim predmetima, o predmetima u vezi sa zaštitom imovinskih interesa Republike Hrvatske, o predmetima u vezi sa zaštitom Ustava Republike Hrvatske i zakona, o organizaciji, materijalnim i financijskim uvjetima za rad državnog</w:t>
      </w:r>
      <w:r w:rsidR="00F47D60">
        <w:t>a</w:t>
      </w:r>
      <w:r w:rsidRPr="001B4CA2">
        <w:t xml:space="preserve"> odvjetništva te stanju i opterećenosti ljudskih potencijala državnog</w:t>
      </w:r>
      <w:r w:rsidR="00F47D60">
        <w:t>a</w:t>
      </w:r>
      <w:r w:rsidRPr="001B4CA2">
        <w:t xml:space="preserve"> odvjetništva. U godišnjem izvješću navode se pokazatelji učinkovitosti i kvalitete rada državnog</w:t>
      </w:r>
      <w:r w:rsidR="00F47D60">
        <w:t>a</w:t>
      </w:r>
      <w:r w:rsidRPr="001B4CA2">
        <w:t xml:space="preserve"> odvjetništva za kazn</w:t>
      </w:r>
      <w:r w:rsidR="001B4CA2">
        <w:t>e</w:t>
      </w:r>
      <w:r w:rsidRPr="001B4CA2">
        <w:t>ni odjel i građansko-upravni odjel na razini cijelog</w:t>
      </w:r>
      <w:r w:rsidR="00F47D60">
        <w:t>a</w:t>
      </w:r>
      <w:r w:rsidRPr="001B4CA2">
        <w:t xml:space="preserve"> sustava te posebno na razini Državnog</w:t>
      </w:r>
      <w:r w:rsidR="00F47D60">
        <w:t>a</w:t>
      </w:r>
      <w:r w:rsidRPr="001B4CA2">
        <w:t xml:space="preserve"> odvjetništva Republike Hrvatske (u daljnjem tekstu DORH), županijskih državnih odvjetništava, općinskih državnih odvjetništava i posebnih državnih odvjetništava, kao i pokazatelji rada za svako pojedino državno odvjetništvo.</w:t>
      </w:r>
    </w:p>
    <w:p w14:paraId="3A94AA0A" w14:textId="77777777" w:rsidR="00123AE0" w:rsidRPr="001B4CA2" w:rsidRDefault="00123AE0" w:rsidP="00123AE0"/>
    <w:p w14:paraId="744C18B2" w14:textId="1608B3A6" w:rsidR="00123AE0" w:rsidRPr="001B4CA2" w:rsidRDefault="00123AE0" w:rsidP="00123AE0">
      <w:r w:rsidRPr="001B4CA2">
        <w:t xml:space="preserve"> </w:t>
      </w:r>
      <w:r w:rsidRPr="001B4CA2">
        <w:tab/>
        <w:t>Ovo izvješće objedinjuje statističke podatke i omogućuje svim zainteresiranima uvid u rad državnih odvjetništava u Republici Hrvatskoj, u ukupan obim rada te po vrstama predmeta, na svim razinama</w:t>
      </w:r>
      <w:r w:rsidR="001B4CA2">
        <w:t xml:space="preserve"> </w:t>
      </w:r>
      <w:r w:rsidR="00F47D60">
        <w:t>–</w:t>
      </w:r>
      <w:r w:rsidRPr="001B4CA2">
        <w:t xml:space="preserve"> općinskoj, županijskoj i državnoj. Statistički pregled sadrži opće podatke o državnim odvjetništvima, brojno stanje zaposlenih dužnosnika</w:t>
      </w:r>
      <w:r w:rsidR="00F47D60">
        <w:t xml:space="preserve">, ali </w:t>
      </w:r>
      <w:r w:rsidRPr="001B4CA2">
        <w:t xml:space="preserve">i službenika i namještenika, podatke o kretanju broja primljenih i riješenih predmeta. </w:t>
      </w:r>
    </w:p>
    <w:p w14:paraId="265C676A" w14:textId="77777777" w:rsidR="00123AE0" w:rsidRPr="001B4CA2" w:rsidRDefault="00123AE0" w:rsidP="00123AE0"/>
    <w:p w14:paraId="41F82600" w14:textId="66E0A68B" w:rsidR="00123AE0" w:rsidRPr="001B4CA2" w:rsidRDefault="00123AE0" w:rsidP="00123AE0">
      <w:r w:rsidRPr="001B4CA2">
        <w:tab/>
        <w:t>U izvješću se prikazuje rad i kvaliteta rada državnih odvjetništava kroz kretanje indikatora učinkovitosti i kvalitete koje primjenjuje Komisija za učinkovitost pravosuđa Vijeća Europe, a na temelju kojih indikatora se, također, prati i rad i učinkovitost sudova. Prikaz rada na predmetima i pokazatelji učinkovitosti i kvalitete rada koji su prikazani u ovom</w:t>
      </w:r>
      <w:r w:rsidR="00F47D60">
        <w:t>e</w:t>
      </w:r>
      <w:r w:rsidRPr="001B4CA2">
        <w:t xml:space="preserve"> izvješću temelje se na pod</w:t>
      </w:r>
      <w:r w:rsidR="00FD08E9">
        <w:t>atci</w:t>
      </w:r>
      <w:r w:rsidRPr="001B4CA2">
        <w:t xml:space="preserve">ma informacijskog sustava državnog odvjetništva </w:t>
      </w:r>
      <w:proofErr w:type="spellStart"/>
      <w:r w:rsidRPr="001B4CA2">
        <w:t>Case</w:t>
      </w:r>
      <w:proofErr w:type="spellEnd"/>
      <w:r w:rsidRPr="001B4CA2">
        <w:t xml:space="preserve"> </w:t>
      </w:r>
      <w:proofErr w:type="spellStart"/>
      <w:r w:rsidRPr="001B4CA2">
        <w:t>Tracking</w:t>
      </w:r>
      <w:proofErr w:type="spellEnd"/>
      <w:r w:rsidRPr="001B4CA2">
        <w:t xml:space="preserve"> System (CTS).</w:t>
      </w:r>
    </w:p>
    <w:p w14:paraId="67D69554" w14:textId="77777777" w:rsidR="00123AE0" w:rsidRPr="001B4CA2" w:rsidRDefault="00123AE0" w:rsidP="00123AE0"/>
    <w:p w14:paraId="2E2BB4B9" w14:textId="1209F505" w:rsidR="00123AE0" w:rsidRPr="001B4CA2" w:rsidRDefault="00123AE0" w:rsidP="00123AE0">
      <w:r w:rsidRPr="001B4CA2">
        <w:tab/>
        <w:t>Osim navedenih podataka, ovo izvješće prikazuje i rezultate rada državnog</w:t>
      </w:r>
      <w:r w:rsidR="00F47D60">
        <w:t>a</w:t>
      </w:r>
      <w:r w:rsidRPr="001B4CA2">
        <w:t xml:space="preserve"> odvjetništva kroz prikaz donesenih odluka, ali i odluka sudova u predmetima u kojima postupa</w:t>
      </w:r>
      <w:r w:rsidR="00F47D60">
        <w:t>,</w:t>
      </w:r>
      <w:r w:rsidRPr="001B4CA2">
        <w:t xml:space="preserve"> odnosno zastupa državno odvjetništvo te izvješće o radu po posebnim tematskim područjima i aktualnoj problematici (kaznena djela ratnog</w:t>
      </w:r>
      <w:r w:rsidR="00F47D60">
        <w:t>a</w:t>
      </w:r>
      <w:r w:rsidRPr="001B4CA2">
        <w:t xml:space="preserve"> zločina, kaznena djela počinjena iz mržnje i govor mržnje, kaznen</w:t>
      </w:r>
      <w:r w:rsidR="00F47D60">
        <w:t>a</w:t>
      </w:r>
      <w:r w:rsidRPr="001B4CA2">
        <w:t xml:space="preserve"> djela organiziranog</w:t>
      </w:r>
      <w:r w:rsidR="00F47D60">
        <w:t>a</w:t>
      </w:r>
      <w:r w:rsidRPr="001B4CA2">
        <w:t xml:space="preserve"> kriminaliteta i korupcije, međunarodne arbitraže, pravna mišljenja i dr.) za koje je ocijenjeno da su od osobitog</w:t>
      </w:r>
      <w:r w:rsidR="00F47D60">
        <w:t>a</w:t>
      </w:r>
      <w:r w:rsidRPr="001B4CA2">
        <w:t xml:space="preserve"> značenja za Republiku Hrvatsku.</w:t>
      </w:r>
    </w:p>
    <w:p w14:paraId="5DC0E4B0" w14:textId="77777777" w:rsidR="00123AE0" w:rsidRPr="001B4CA2" w:rsidRDefault="00123AE0" w:rsidP="00123AE0"/>
    <w:p w14:paraId="4C1218B7" w14:textId="3EC1BBC5" w:rsidR="00123AE0" w:rsidRPr="001B4CA2" w:rsidRDefault="00123AE0" w:rsidP="00123AE0">
      <w:r w:rsidRPr="001B4CA2">
        <w:tab/>
        <w:t>Kako je od 1. siječnja 2023. euro postao službena valuta u Republici Hrvatskoj</w:t>
      </w:r>
      <w:r w:rsidR="00F47D60">
        <w:t>,</w:t>
      </w:r>
      <w:r w:rsidRPr="001B4CA2">
        <w:t xml:space="preserve"> u pisanom</w:t>
      </w:r>
      <w:r w:rsidR="00F47D60">
        <w:t>e</w:t>
      </w:r>
      <w:r w:rsidRPr="001B4CA2">
        <w:t xml:space="preserve"> dijelu izvješća novčani iznosi izraženi u kunama preračunati su u euro, a prema tečaju određenom Zakonom o uvođenju eura kao službene valute (Narodne novine 57/2022).</w:t>
      </w:r>
    </w:p>
    <w:p w14:paraId="6E1968F5" w14:textId="77777777" w:rsidR="00F95EE6" w:rsidRPr="001B4CA2" w:rsidRDefault="00F95EE6" w:rsidP="00F95EE6"/>
    <w:p w14:paraId="5FDC71CB" w14:textId="77777777" w:rsidR="00F95EE6" w:rsidRPr="001B4CA2" w:rsidRDefault="00F95EE6" w:rsidP="00F95EE6"/>
    <w:p w14:paraId="1D20A740" w14:textId="031D0746" w:rsidR="00BB4D48" w:rsidRPr="001B4CA2" w:rsidRDefault="00197521" w:rsidP="005236DB">
      <w:pPr>
        <w:pStyle w:val="Naslov1"/>
      </w:pPr>
      <w:bookmarkStart w:id="0" w:name="_Toc133394264"/>
      <w:r w:rsidRPr="001B4CA2">
        <w:t xml:space="preserve">PRIKAZ </w:t>
      </w:r>
      <w:r w:rsidR="00AF2EE0" w:rsidRPr="001B4CA2">
        <w:t xml:space="preserve">USTROJSTVA I </w:t>
      </w:r>
      <w:r w:rsidR="00BB4D48" w:rsidRPr="001B4CA2">
        <w:t>RAD</w:t>
      </w:r>
      <w:r w:rsidR="00D80F32" w:rsidRPr="001B4CA2">
        <w:t>A DRŽAVNIH ODVJETNIŠTAVA</w:t>
      </w:r>
      <w:r w:rsidRPr="001B4CA2">
        <w:t xml:space="preserve"> </w:t>
      </w:r>
      <w:r w:rsidR="00D80F32" w:rsidRPr="001B4CA2">
        <w:t xml:space="preserve">ZA </w:t>
      </w:r>
      <w:r w:rsidR="005236DB" w:rsidRPr="001B4CA2">
        <w:t>202</w:t>
      </w:r>
      <w:r w:rsidR="00E92D6A" w:rsidRPr="001B4CA2">
        <w:t>2</w:t>
      </w:r>
      <w:r w:rsidR="00BB4D48" w:rsidRPr="001B4CA2">
        <w:t>. GODINU</w:t>
      </w:r>
      <w:bookmarkEnd w:id="0"/>
    </w:p>
    <w:p w14:paraId="2E50E220" w14:textId="77777777" w:rsidR="00FD6621" w:rsidRPr="001B4CA2" w:rsidRDefault="00FD6621" w:rsidP="00886E1C"/>
    <w:p w14:paraId="7237F941" w14:textId="77777777" w:rsidR="00DC7896" w:rsidRPr="001B4CA2" w:rsidRDefault="00DC7896" w:rsidP="00886E1C"/>
    <w:p w14:paraId="552E669A" w14:textId="41A1B554" w:rsidR="00197521" w:rsidRPr="001B4CA2" w:rsidRDefault="00BB4D48" w:rsidP="00886E1C">
      <w:pPr>
        <w:pStyle w:val="Naslov2"/>
        <w:rPr>
          <w:rFonts w:ascii="Arial" w:hAnsi="Arial" w:cs="Arial"/>
        </w:rPr>
      </w:pPr>
      <w:bookmarkStart w:id="1" w:name="_Toc133394265"/>
      <w:r w:rsidRPr="001B4CA2">
        <w:rPr>
          <w:rFonts w:ascii="Arial" w:hAnsi="Arial" w:cs="Arial"/>
        </w:rPr>
        <w:t>Opći poda</w:t>
      </w:r>
      <w:r w:rsidR="00FC60D2" w:rsidRPr="001B4CA2">
        <w:rPr>
          <w:rFonts w:ascii="Arial" w:hAnsi="Arial" w:cs="Arial"/>
        </w:rPr>
        <w:t>t</w:t>
      </w:r>
      <w:r w:rsidRPr="001B4CA2">
        <w:rPr>
          <w:rFonts w:ascii="Arial" w:hAnsi="Arial" w:cs="Arial"/>
        </w:rPr>
        <w:t>ci o ustrojstvu državnog</w:t>
      </w:r>
      <w:r w:rsidR="00DB7A24">
        <w:rPr>
          <w:rFonts w:ascii="Arial" w:hAnsi="Arial" w:cs="Arial"/>
        </w:rPr>
        <w:t>a</w:t>
      </w:r>
      <w:r w:rsidRPr="001B4CA2">
        <w:rPr>
          <w:rFonts w:ascii="Arial" w:hAnsi="Arial" w:cs="Arial"/>
        </w:rPr>
        <w:t xml:space="preserve"> odvjetništva i ljudskim potencijalima</w:t>
      </w:r>
      <w:bookmarkEnd w:id="1"/>
    </w:p>
    <w:p w14:paraId="61B6C2E6" w14:textId="77777777" w:rsidR="0030400F" w:rsidRPr="001B4CA2" w:rsidRDefault="0030400F" w:rsidP="0030400F"/>
    <w:p w14:paraId="70230812" w14:textId="7B139793" w:rsidR="006A177B" w:rsidRPr="001B4CA2" w:rsidRDefault="00BB4D48" w:rsidP="008935CE">
      <w:pPr>
        <w:pStyle w:val="Naslov3"/>
        <w:rPr>
          <w:rFonts w:ascii="Arial" w:hAnsi="Arial" w:cs="Arial"/>
        </w:rPr>
      </w:pPr>
      <w:bookmarkStart w:id="2" w:name="_Toc133394266"/>
      <w:r w:rsidRPr="001B4CA2">
        <w:rPr>
          <w:rFonts w:ascii="Arial" w:hAnsi="Arial" w:cs="Arial"/>
        </w:rPr>
        <w:t>Broj državnih odvjetniš</w:t>
      </w:r>
      <w:r w:rsidR="00EC7E99" w:rsidRPr="001B4CA2">
        <w:rPr>
          <w:rFonts w:ascii="Arial" w:hAnsi="Arial" w:cs="Arial"/>
        </w:rPr>
        <w:t xml:space="preserve">tava na dan 31. </w:t>
      </w:r>
      <w:r w:rsidR="00D80F32" w:rsidRPr="001B4CA2">
        <w:rPr>
          <w:rFonts w:ascii="Arial" w:hAnsi="Arial" w:cs="Arial"/>
        </w:rPr>
        <w:t xml:space="preserve">prosinca </w:t>
      </w:r>
      <w:r w:rsidR="008935CE" w:rsidRPr="001B4CA2">
        <w:rPr>
          <w:rFonts w:ascii="Arial" w:hAnsi="Arial" w:cs="Arial"/>
        </w:rPr>
        <w:t>202</w:t>
      </w:r>
      <w:r w:rsidR="00E92D6A" w:rsidRPr="001B4CA2">
        <w:rPr>
          <w:rFonts w:ascii="Arial" w:hAnsi="Arial" w:cs="Arial"/>
        </w:rPr>
        <w:t>2</w:t>
      </w:r>
      <w:r w:rsidR="00EC7E99" w:rsidRPr="001B4CA2">
        <w:rPr>
          <w:rFonts w:ascii="Arial" w:hAnsi="Arial" w:cs="Arial"/>
        </w:rPr>
        <w:t>.</w:t>
      </w:r>
      <w:bookmarkEnd w:id="2"/>
    </w:p>
    <w:p w14:paraId="6AACD06F" w14:textId="77777777" w:rsidR="000D50AA" w:rsidRPr="001B4CA2" w:rsidRDefault="000D50AA" w:rsidP="005B4856"/>
    <w:p w14:paraId="5D0C020D" w14:textId="0A4191AD" w:rsidR="000D50AA" w:rsidRPr="001B4CA2" w:rsidRDefault="000D50AA" w:rsidP="00AA2EAD">
      <w:pPr>
        <w:ind w:left="1418"/>
        <w:rPr>
          <w:i/>
        </w:rPr>
      </w:pPr>
      <w:r w:rsidRPr="001B4CA2">
        <w:rPr>
          <w:i/>
        </w:rPr>
        <w:t>Broj državnih odvjetništava</w:t>
      </w:r>
    </w:p>
    <w:tbl>
      <w:tblPr>
        <w:tblStyle w:val="Reetkatablice5"/>
        <w:tblW w:w="6521" w:type="dxa"/>
        <w:jc w:val="center"/>
        <w:tblCellMar>
          <w:left w:w="28" w:type="dxa"/>
        </w:tblCellMar>
        <w:tblLook w:val="04A0" w:firstRow="1" w:lastRow="0" w:firstColumn="1" w:lastColumn="0" w:noHBand="0" w:noVBand="1"/>
      </w:tblPr>
      <w:tblGrid>
        <w:gridCol w:w="5292"/>
        <w:gridCol w:w="1229"/>
      </w:tblGrid>
      <w:tr w:rsidR="00532C41" w:rsidRPr="001B4CA2" w14:paraId="13CE12F8" w14:textId="77777777" w:rsidTr="000D50AA">
        <w:trPr>
          <w:trHeight w:val="397"/>
          <w:jc w:val="center"/>
        </w:trPr>
        <w:tc>
          <w:tcPr>
            <w:tcW w:w="5292" w:type="dxa"/>
            <w:shd w:val="clear" w:color="auto" w:fill="99CCFF"/>
            <w:vAlign w:val="center"/>
          </w:tcPr>
          <w:p w14:paraId="30B7A402" w14:textId="77777777" w:rsidR="000D50AA" w:rsidRPr="001F53E7" w:rsidRDefault="000D50AA" w:rsidP="000D50AA">
            <w:pPr>
              <w:widowControl w:val="0"/>
              <w:tabs>
                <w:tab w:val="left" w:pos="7267"/>
              </w:tabs>
              <w:autoSpaceDE w:val="0"/>
              <w:autoSpaceDN w:val="0"/>
              <w:adjustRightInd w:val="0"/>
              <w:ind w:left="115"/>
              <w:jc w:val="left"/>
              <w:rPr>
                <w:rFonts w:ascii="Arial" w:hAnsi="Arial" w:cs="Arial"/>
                <w:b/>
                <w:bCs/>
                <w:spacing w:val="-7"/>
                <w:w w:val="103"/>
                <w:sz w:val="18"/>
                <w:szCs w:val="18"/>
              </w:rPr>
            </w:pPr>
            <w:r w:rsidRPr="001F53E7">
              <w:rPr>
                <w:rFonts w:ascii="Arial" w:hAnsi="Arial" w:cs="Arial"/>
                <w:b/>
                <w:bCs/>
                <w:spacing w:val="-7"/>
                <w:w w:val="103"/>
                <w:sz w:val="18"/>
                <w:szCs w:val="18"/>
              </w:rPr>
              <w:t>Državno odvjetništvo</w:t>
            </w:r>
          </w:p>
        </w:tc>
        <w:tc>
          <w:tcPr>
            <w:tcW w:w="1229" w:type="dxa"/>
            <w:shd w:val="clear" w:color="auto" w:fill="99CCFF"/>
            <w:vAlign w:val="center"/>
          </w:tcPr>
          <w:p w14:paraId="101BC12A" w14:textId="77777777" w:rsidR="000D50AA" w:rsidRPr="001F53E7" w:rsidRDefault="000D50AA" w:rsidP="000D50AA">
            <w:pPr>
              <w:widowControl w:val="0"/>
              <w:tabs>
                <w:tab w:val="left" w:pos="3402"/>
                <w:tab w:val="left" w:pos="4940"/>
                <w:tab w:val="left" w:pos="5927"/>
                <w:tab w:val="left" w:pos="7267"/>
              </w:tabs>
              <w:autoSpaceDE w:val="0"/>
              <w:autoSpaceDN w:val="0"/>
              <w:adjustRightInd w:val="0"/>
              <w:jc w:val="center"/>
              <w:rPr>
                <w:rFonts w:ascii="Arial" w:hAnsi="Arial" w:cs="Arial"/>
                <w:b/>
                <w:bCs/>
                <w:spacing w:val="-7"/>
                <w:w w:val="103"/>
                <w:sz w:val="18"/>
                <w:szCs w:val="18"/>
              </w:rPr>
            </w:pPr>
            <w:r w:rsidRPr="001F53E7">
              <w:rPr>
                <w:rFonts w:ascii="Arial" w:hAnsi="Arial" w:cs="Arial"/>
                <w:b/>
                <w:bCs/>
                <w:spacing w:val="-7"/>
                <w:w w:val="103"/>
                <w:sz w:val="18"/>
                <w:szCs w:val="18"/>
              </w:rPr>
              <w:t>Broj</w:t>
            </w:r>
          </w:p>
        </w:tc>
      </w:tr>
      <w:tr w:rsidR="00532C41" w:rsidRPr="001B4CA2" w14:paraId="68F1FE8C" w14:textId="77777777" w:rsidTr="000D50AA">
        <w:trPr>
          <w:trHeight w:val="397"/>
          <w:jc w:val="center"/>
        </w:trPr>
        <w:tc>
          <w:tcPr>
            <w:tcW w:w="5292" w:type="dxa"/>
            <w:vAlign w:val="center"/>
          </w:tcPr>
          <w:p w14:paraId="63BA7C19" w14:textId="77777777" w:rsidR="000D50AA" w:rsidRPr="001F53E7" w:rsidRDefault="000D50AA" w:rsidP="000D50AA">
            <w:pPr>
              <w:widowControl w:val="0"/>
              <w:tabs>
                <w:tab w:val="left" w:pos="7267"/>
              </w:tabs>
              <w:autoSpaceDE w:val="0"/>
              <w:autoSpaceDN w:val="0"/>
              <w:adjustRightInd w:val="0"/>
              <w:ind w:left="115"/>
              <w:jc w:val="left"/>
              <w:rPr>
                <w:rFonts w:ascii="Arial" w:hAnsi="Arial" w:cs="Arial"/>
                <w:bCs/>
                <w:spacing w:val="-7"/>
                <w:w w:val="103"/>
              </w:rPr>
            </w:pPr>
            <w:r w:rsidRPr="001F53E7">
              <w:rPr>
                <w:rFonts w:ascii="Arial" w:hAnsi="Arial" w:cs="Arial"/>
                <w:bCs/>
                <w:spacing w:val="-7"/>
                <w:w w:val="103"/>
              </w:rPr>
              <w:t>Općinska državna odvjetništva (ODO)</w:t>
            </w:r>
          </w:p>
        </w:tc>
        <w:tc>
          <w:tcPr>
            <w:tcW w:w="1229" w:type="dxa"/>
            <w:vAlign w:val="center"/>
          </w:tcPr>
          <w:p w14:paraId="0437BA48" w14:textId="7C9FA5E9" w:rsidR="000D50AA" w:rsidRPr="001F53E7" w:rsidRDefault="000D50AA" w:rsidP="000D50AA">
            <w:pPr>
              <w:widowControl w:val="0"/>
              <w:tabs>
                <w:tab w:val="left" w:pos="3402"/>
                <w:tab w:val="left" w:pos="4940"/>
                <w:tab w:val="left" w:pos="5927"/>
                <w:tab w:val="left" w:pos="7267"/>
              </w:tabs>
              <w:autoSpaceDE w:val="0"/>
              <w:autoSpaceDN w:val="0"/>
              <w:adjustRightInd w:val="0"/>
              <w:jc w:val="center"/>
              <w:rPr>
                <w:rFonts w:ascii="Arial" w:hAnsi="Arial" w:cs="Arial"/>
                <w:bCs/>
                <w:spacing w:val="-7"/>
                <w:w w:val="103"/>
                <w:sz w:val="18"/>
                <w:szCs w:val="18"/>
              </w:rPr>
            </w:pPr>
            <w:r w:rsidRPr="001F53E7">
              <w:rPr>
                <w:rFonts w:ascii="Arial" w:hAnsi="Arial" w:cs="Arial"/>
                <w:bCs/>
                <w:spacing w:val="-7"/>
                <w:w w:val="103"/>
                <w:sz w:val="18"/>
                <w:szCs w:val="18"/>
              </w:rPr>
              <w:t>2</w:t>
            </w:r>
            <w:r w:rsidR="00760AAE" w:rsidRPr="001F53E7">
              <w:rPr>
                <w:rFonts w:ascii="Arial" w:hAnsi="Arial" w:cs="Arial"/>
                <w:bCs/>
                <w:spacing w:val="-7"/>
                <w:w w:val="103"/>
                <w:sz w:val="18"/>
                <w:szCs w:val="18"/>
              </w:rPr>
              <w:t>6</w:t>
            </w:r>
          </w:p>
        </w:tc>
      </w:tr>
      <w:tr w:rsidR="00532C41" w:rsidRPr="001B4CA2" w14:paraId="09ACAB89" w14:textId="77777777" w:rsidTr="000D50AA">
        <w:trPr>
          <w:trHeight w:val="397"/>
          <w:jc w:val="center"/>
        </w:trPr>
        <w:tc>
          <w:tcPr>
            <w:tcW w:w="5292" w:type="dxa"/>
            <w:vAlign w:val="center"/>
          </w:tcPr>
          <w:p w14:paraId="26BF2903" w14:textId="77777777" w:rsidR="000D50AA" w:rsidRPr="001F53E7" w:rsidRDefault="000D50AA" w:rsidP="000D50AA">
            <w:pPr>
              <w:widowControl w:val="0"/>
              <w:tabs>
                <w:tab w:val="left" w:pos="7267"/>
              </w:tabs>
              <w:autoSpaceDE w:val="0"/>
              <w:autoSpaceDN w:val="0"/>
              <w:adjustRightInd w:val="0"/>
              <w:ind w:left="115"/>
              <w:jc w:val="left"/>
              <w:rPr>
                <w:rFonts w:ascii="Arial" w:hAnsi="Arial" w:cs="Arial"/>
                <w:bCs/>
                <w:spacing w:val="-7"/>
                <w:w w:val="103"/>
              </w:rPr>
            </w:pPr>
            <w:r w:rsidRPr="001F53E7">
              <w:rPr>
                <w:rFonts w:ascii="Arial" w:hAnsi="Arial" w:cs="Arial"/>
                <w:bCs/>
                <w:spacing w:val="-7"/>
                <w:w w:val="103"/>
              </w:rPr>
              <w:t>Županijska državna odvjetništva (ŽDO)</w:t>
            </w:r>
          </w:p>
        </w:tc>
        <w:tc>
          <w:tcPr>
            <w:tcW w:w="1229" w:type="dxa"/>
            <w:vAlign w:val="center"/>
          </w:tcPr>
          <w:p w14:paraId="0E951E00" w14:textId="77777777" w:rsidR="000D50AA" w:rsidRPr="001F53E7" w:rsidRDefault="000D50AA" w:rsidP="000D50AA">
            <w:pPr>
              <w:widowControl w:val="0"/>
              <w:tabs>
                <w:tab w:val="left" w:pos="3402"/>
                <w:tab w:val="left" w:pos="4940"/>
                <w:tab w:val="left" w:pos="5927"/>
                <w:tab w:val="left" w:pos="7267"/>
              </w:tabs>
              <w:autoSpaceDE w:val="0"/>
              <w:autoSpaceDN w:val="0"/>
              <w:adjustRightInd w:val="0"/>
              <w:jc w:val="center"/>
              <w:rPr>
                <w:rFonts w:ascii="Arial" w:hAnsi="Arial" w:cs="Arial"/>
                <w:bCs/>
                <w:spacing w:val="-7"/>
                <w:w w:val="103"/>
                <w:sz w:val="18"/>
                <w:szCs w:val="18"/>
              </w:rPr>
            </w:pPr>
            <w:r w:rsidRPr="001F53E7">
              <w:rPr>
                <w:rFonts w:ascii="Arial" w:hAnsi="Arial" w:cs="Arial"/>
                <w:bCs/>
                <w:spacing w:val="-7"/>
                <w:w w:val="103"/>
                <w:sz w:val="18"/>
                <w:szCs w:val="18"/>
              </w:rPr>
              <w:t>15</w:t>
            </w:r>
          </w:p>
        </w:tc>
      </w:tr>
      <w:tr w:rsidR="00532C41" w:rsidRPr="001B4CA2" w14:paraId="30D90BDA" w14:textId="77777777" w:rsidTr="000D50AA">
        <w:trPr>
          <w:trHeight w:val="397"/>
          <w:jc w:val="center"/>
        </w:trPr>
        <w:tc>
          <w:tcPr>
            <w:tcW w:w="5292" w:type="dxa"/>
            <w:vAlign w:val="center"/>
          </w:tcPr>
          <w:p w14:paraId="403D6FD3" w14:textId="77777777" w:rsidR="000D50AA" w:rsidRPr="001F53E7" w:rsidRDefault="000D50AA" w:rsidP="000D50AA">
            <w:pPr>
              <w:widowControl w:val="0"/>
              <w:tabs>
                <w:tab w:val="left" w:pos="7267"/>
              </w:tabs>
              <w:autoSpaceDE w:val="0"/>
              <w:autoSpaceDN w:val="0"/>
              <w:adjustRightInd w:val="0"/>
              <w:ind w:left="115"/>
              <w:jc w:val="left"/>
              <w:rPr>
                <w:rFonts w:ascii="Arial" w:hAnsi="Arial" w:cs="Arial"/>
                <w:bCs/>
                <w:spacing w:val="-7"/>
                <w:w w:val="103"/>
              </w:rPr>
            </w:pPr>
            <w:r w:rsidRPr="001F53E7">
              <w:rPr>
                <w:rFonts w:ascii="Arial" w:hAnsi="Arial" w:cs="Arial"/>
                <w:bCs/>
                <w:spacing w:val="-7"/>
                <w:w w:val="103"/>
              </w:rPr>
              <w:t>USKOK</w:t>
            </w:r>
          </w:p>
        </w:tc>
        <w:tc>
          <w:tcPr>
            <w:tcW w:w="1229" w:type="dxa"/>
            <w:vAlign w:val="center"/>
          </w:tcPr>
          <w:p w14:paraId="0FF7CF51" w14:textId="77777777" w:rsidR="000D50AA" w:rsidRPr="001F53E7" w:rsidRDefault="000D50AA" w:rsidP="000D50AA">
            <w:pPr>
              <w:widowControl w:val="0"/>
              <w:tabs>
                <w:tab w:val="left" w:pos="3402"/>
                <w:tab w:val="left" w:pos="4940"/>
                <w:tab w:val="left" w:pos="5927"/>
                <w:tab w:val="left" w:pos="7267"/>
              </w:tabs>
              <w:autoSpaceDE w:val="0"/>
              <w:autoSpaceDN w:val="0"/>
              <w:adjustRightInd w:val="0"/>
              <w:jc w:val="center"/>
              <w:rPr>
                <w:rFonts w:ascii="Arial" w:hAnsi="Arial" w:cs="Arial"/>
                <w:bCs/>
                <w:spacing w:val="-7"/>
                <w:w w:val="103"/>
                <w:sz w:val="18"/>
                <w:szCs w:val="18"/>
              </w:rPr>
            </w:pPr>
            <w:r w:rsidRPr="001F53E7">
              <w:rPr>
                <w:rFonts w:ascii="Arial" w:hAnsi="Arial" w:cs="Arial"/>
                <w:bCs/>
                <w:spacing w:val="-7"/>
                <w:w w:val="103"/>
                <w:sz w:val="18"/>
                <w:szCs w:val="18"/>
              </w:rPr>
              <w:t>1</w:t>
            </w:r>
          </w:p>
        </w:tc>
      </w:tr>
      <w:tr w:rsidR="00532C41" w:rsidRPr="001B4CA2" w14:paraId="2D4C0A63" w14:textId="77777777" w:rsidTr="000D50AA">
        <w:trPr>
          <w:trHeight w:val="397"/>
          <w:jc w:val="center"/>
        </w:trPr>
        <w:tc>
          <w:tcPr>
            <w:tcW w:w="5292" w:type="dxa"/>
            <w:vAlign w:val="center"/>
          </w:tcPr>
          <w:p w14:paraId="11A8713B" w14:textId="77777777" w:rsidR="000D50AA" w:rsidRPr="001F53E7" w:rsidRDefault="000D50AA" w:rsidP="000D50AA">
            <w:pPr>
              <w:widowControl w:val="0"/>
              <w:tabs>
                <w:tab w:val="left" w:pos="7267"/>
              </w:tabs>
              <w:autoSpaceDE w:val="0"/>
              <w:autoSpaceDN w:val="0"/>
              <w:adjustRightInd w:val="0"/>
              <w:ind w:left="115"/>
              <w:jc w:val="left"/>
              <w:rPr>
                <w:rFonts w:ascii="Arial" w:hAnsi="Arial" w:cs="Arial"/>
                <w:bCs/>
                <w:spacing w:val="-7"/>
                <w:w w:val="103"/>
              </w:rPr>
            </w:pPr>
            <w:r w:rsidRPr="001F53E7">
              <w:rPr>
                <w:rFonts w:ascii="Arial" w:hAnsi="Arial" w:cs="Arial"/>
                <w:bCs/>
                <w:spacing w:val="-7"/>
                <w:w w:val="103"/>
              </w:rPr>
              <w:t>DORH</w:t>
            </w:r>
          </w:p>
        </w:tc>
        <w:tc>
          <w:tcPr>
            <w:tcW w:w="1229" w:type="dxa"/>
            <w:vAlign w:val="center"/>
          </w:tcPr>
          <w:p w14:paraId="060C9F68" w14:textId="77777777" w:rsidR="000D50AA" w:rsidRPr="001F53E7" w:rsidRDefault="000D50AA" w:rsidP="000D50AA">
            <w:pPr>
              <w:widowControl w:val="0"/>
              <w:tabs>
                <w:tab w:val="left" w:pos="3402"/>
                <w:tab w:val="left" w:pos="4940"/>
                <w:tab w:val="left" w:pos="5927"/>
                <w:tab w:val="left" w:pos="7267"/>
              </w:tabs>
              <w:autoSpaceDE w:val="0"/>
              <w:autoSpaceDN w:val="0"/>
              <w:adjustRightInd w:val="0"/>
              <w:jc w:val="center"/>
              <w:rPr>
                <w:rFonts w:ascii="Arial" w:hAnsi="Arial" w:cs="Arial"/>
                <w:bCs/>
                <w:spacing w:val="-7"/>
                <w:w w:val="103"/>
                <w:sz w:val="18"/>
                <w:szCs w:val="18"/>
              </w:rPr>
            </w:pPr>
            <w:r w:rsidRPr="001F53E7">
              <w:rPr>
                <w:rFonts w:ascii="Arial" w:hAnsi="Arial" w:cs="Arial"/>
                <w:bCs/>
                <w:spacing w:val="-7"/>
                <w:w w:val="103"/>
                <w:sz w:val="18"/>
                <w:szCs w:val="18"/>
              </w:rPr>
              <w:t>1</w:t>
            </w:r>
          </w:p>
        </w:tc>
      </w:tr>
      <w:tr w:rsidR="00532C41" w:rsidRPr="001B4CA2" w14:paraId="022F33D3" w14:textId="77777777" w:rsidTr="000D50AA">
        <w:trPr>
          <w:trHeight w:val="397"/>
          <w:jc w:val="center"/>
        </w:trPr>
        <w:tc>
          <w:tcPr>
            <w:tcW w:w="5292" w:type="dxa"/>
            <w:shd w:val="clear" w:color="auto" w:fill="FFFFFF" w:themeFill="background1"/>
            <w:vAlign w:val="center"/>
          </w:tcPr>
          <w:p w14:paraId="593734E1" w14:textId="5C4658E3" w:rsidR="000D50AA" w:rsidRPr="001F53E7" w:rsidRDefault="00753B7C" w:rsidP="00E21E72">
            <w:pPr>
              <w:widowControl w:val="0"/>
              <w:tabs>
                <w:tab w:val="left" w:pos="7267"/>
              </w:tabs>
              <w:autoSpaceDE w:val="0"/>
              <w:autoSpaceDN w:val="0"/>
              <w:adjustRightInd w:val="0"/>
              <w:ind w:left="115"/>
              <w:jc w:val="left"/>
              <w:rPr>
                <w:rFonts w:ascii="Arial" w:hAnsi="Arial" w:cs="Arial"/>
                <w:b/>
                <w:bCs/>
                <w:spacing w:val="-7"/>
                <w:w w:val="103"/>
                <w:sz w:val="18"/>
                <w:szCs w:val="18"/>
              </w:rPr>
            </w:pPr>
            <w:r w:rsidRPr="001F53E7">
              <w:rPr>
                <w:rFonts w:ascii="Arial" w:hAnsi="Arial" w:cs="Arial"/>
                <w:b/>
                <w:bCs/>
                <w:spacing w:val="-7"/>
                <w:w w:val="103"/>
                <w:sz w:val="18"/>
                <w:szCs w:val="18"/>
              </w:rPr>
              <w:t>UKUPNO</w:t>
            </w:r>
          </w:p>
        </w:tc>
        <w:tc>
          <w:tcPr>
            <w:tcW w:w="1229" w:type="dxa"/>
            <w:shd w:val="clear" w:color="auto" w:fill="FFFFFF" w:themeFill="background1"/>
            <w:vAlign w:val="center"/>
          </w:tcPr>
          <w:p w14:paraId="35F48F6E" w14:textId="676FBD1D" w:rsidR="000D50AA" w:rsidRPr="001F53E7" w:rsidRDefault="000D50AA" w:rsidP="000D50AA">
            <w:pPr>
              <w:widowControl w:val="0"/>
              <w:tabs>
                <w:tab w:val="left" w:pos="3402"/>
                <w:tab w:val="left" w:pos="4940"/>
                <w:tab w:val="left" w:pos="5927"/>
                <w:tab w:val="left" w:pos="7267"/>
              </w:tabs>
              <w:autoSpaceDE w:val="0"/>
              <w:autoSpaceDN w:val="0"/>
              <w:adjustRightInd w:val="0"/>
              <w:jc w:val="center"/>
              <w:rPr>
                <w:rFonts w:ascii="Arial" w:hAnsi="Arial" w:cs="Arial"/>
                <w:b/>
                <w:bCs/>
                <w:spacing w:val="-7"/>
                <w:w w:val="103"/>
                <w:sz w:val="18"/>
                <w:szCs w:val="18"/>
              </w:rPr>
            </w:pPr>
            <w:r w:rsidRPr="001F53E7">
              <w:rPr>
                <w:rFonts w:ascii="Arial" w:hAnsi="Arial" w:cs="Arial"/>
                <w:b/>
                <w:bCs/>
                <w:spacing w:val="-7"/>
                <w:w w:val="103"/>
                <w:sz w:val="18"/>
                <w:szCs w:val="18"/>
              </w:rPr>
              <w:t>4</w:t>
            </w:r>
            <w:r w:rsidR="00760AAE" w:rsidRPr="001F53E7">
              <w:rPr>
                <w:rFonts w:ascii="Arial" w:hAnsi="Arial" w:cs="Arial"/>
                <w:b/>
                <w:bCs/>
                <w:spacing w:val="-7"/>
                <w:w w:val="103"/>
                <w:sz w:val="18"/>
                <w:szCs w:val="18"/>
              </w:rPr>
              <w:t>3</w:t>
            </w:r>
          </w:p>
        </w:tc>
      </w:tr>
    </w:tbl>
    <w:p w14:paraId="5D16873D" w14:textId="555F33B3" w:rsidR="00262A63" w:rsidRPr="001B4CA2" w:rsidRDefault="00262A63" w:rsidP="000D50AA">
      <w:pPr>
        <w:widowControl w:val="0"/>
        <w:autoSpaceDE w:val="0"/>
        <w:autoSpaceDN w:val="0"/>
        <w:adjustRightInd w:val="0"/>
        <w:rPr>
          <w:rFonts w:eastAsia="Times New Roman"/>
          <w:bCs/>
          <w:spacing w:val="-7"/>
          <w:w w:val="103"/>
          <w:lang w:eastAsia="hr-HR"/>
        </w:rPr>
      </w:pPr>
    </w:p>
    <w:p w14:paraId="0FDE1648" w14:textId="08AC3447" w:rsidR="00760AAE" w:rsidRPr="001B4CA2" w:rsidRDefault="00760AAE" w:rsidP="00760AAE">
      <w:pPr>
        <w:widowControl w:val="0"/>
        <w:autoSpaceDE w:val="0"/>
        <w:autoSpaceDN w:val="0"/>
        <w:adjustRightInd w:val="0"/>
        <w:ind w:firstLine="708"/>
        <w:rPr>
          <w:rFonts w:eastAsia="Times New Roman"/>
          <w:bCs/>
          <w:spacing w:val="-7"/>
          <w:w w:val="103"/>
          <w:lang w:eastAsia="hr-HR"/>
        </w:rPr>
      </w:pPr>
      <w:r w:rsidRPr="001B4CA2">
        <w:rPr>
          <w:rFonts w:eastAsia="Times New Roman"/>
          <w:bCs/>
          <w:spacing w:val="-7"/>
          <w:w w:val="103"/>
          <w:lang w:eastAsia="hr-HR"/>
        </w:rPr>
        <w:t>U Republici Hrvatskoj su na dan 31. prosinca 2021. bila ustanovljena 42 državna odvjetništva, dok su od 1. ožujka</w:t>
      </w:r>
      <w:r w:rsidR="001B4CA2">
        <w:rPr>
          <w:rFonts w:eastAsia="Times New Roman"/>
          <w:bCs/>
          <w:spacing w:val="-7"/>
          <w:w w:val="103"/>
          <w:lang w:eastAsia="hr-HR"/>
        </w:rPr>
        <w:t xml:space="preserve"> </w:t>
      </w:r>
      <w:r w:rsidRPr="001B4CA2">
        <w:rPr>
          <w:rFonts w:eastAsia="Times New Roman"/>
          <w:bCs/>
          <w:spacing w:val="-7"/>
          <w:w w:val="103"/>
          <w:lang w:eastAsia="hr-HR"/>
        </w:rPr>
        <w:t xml:space="preserve">2022. ustanovljena 43 državna odvjetništva. </w:t>
      </w:r>
    </w:p>
    <w:p w14:paraId="4659F632" w14:textId="77777777" w:rsidR="00760AAE" w:rsidRPr="001B4CA2" w:rsidRDefault="00760AAE" w:rsidP="00760AAE">
      <w:pPr>
        <w:widowControl w:val="0"/>
        <w:autoSpaceDE w:val="0"/>
        <w:autoSpaceDN w:val="0"/>
        <w:adjustRightInd w:val="0"/>
        <w:ind w:firstLine="708"/>
        <w:rPr>
          <w:rFonts w:eastAsia="Times New Roman"/>
          <w:bCs/>
          <w:spacing w:val="-7"/>
          <w:w w:val="103"/>
          <w:lang w:eastAsia="hr-HR"/>
        </w:rPr>
      </w:pPr>
    </w:p>
    <w:p w14:paraId="4CD68D28" w14:textId="609F22DC" w:rsidR="00760AAE" w:rsidRPr="001B4CA2" w:rsidRDefault="00760AAE" w:rsidP="00760AAE">
      <w:pPr>
        <w:widowControl w:val="0"/>
        <w:autoSpaceDE w:val="0"/>
        <w:autoSpaceDN w:val="0"/>
        <w:adjustRightInd w:val="0"/>
        <w:ind w:firstLine="708"/>
        <w:rPr>
          <w:rFonts w:eastAsia="Times New Roman"/>
          <w:bCs/>
          <w:spacing w:val="-7"/>
          <w:w w:val="103"/>
          <w:lang w:eastAsia="hr-HR"/>
        </w:rPr>
      </w:pPr>
      <w:r w:rsidRPr="001B4CA2">
        <w:rPr>
          <w:rFonts w:eastAsia="Times New Roman"/>
          <w:bCs/>
          <w:spacing w:val="-7"/>
          <w:w w:val="103"/>
          <w:lang w:eastAsia="hr-HR"/>
        </w:rPr>
        <w:t>Naime, stupanjem na snagu Zakona o izmjenama i dopunama Zakona o područjima i sjedištima državnih odvjetništava (Narodne novine broj 21/2022. od 16. veljače 2022.)</w:t>
      </w:r>
      <w:r w:rsidR="00DB7A24">
        <w:rPr>
          <w:rFonts w:eastAsia="Times New Roman"/>
          <w:bCs/>
          <w:spacing w:val="-7"/>
          <w:w w:val="103"/>
          <w:lang w:eastAsia="hr-HR"/>
        </w:rPr>
        <w:t>,</w:t>
      </w:r>
      <w:r w:rsidRPr="001B4CA2">
        <w:rPr>
          <w:rFonts w:eastAsia="Times New Roman"/>
          <w:bCs/>
          <w:spacing w:val="-7"/>
          <w:w w:val="103"/>
          <w:lang w:eastAsia="hr-HR"/>
        </w:rPr>
        <w:t xml:space="preserve"> koji zakon je stupio na snagu 1. ožujka 2022.</w:t>
      </w:r>
      <w:r w:rsidR="00DB7A24">
        <w:rPr>
          <w:rFonts w:eastAsia="Times New Roman"/>
          <w:bCs/>
          <w:spacing w:val="-7"/>
          <w:w w:val="103"/>
          <w:lang w:eastAsia="hr-HR"/>
        </w:rPr>
        <w:t>,</w:t>
      </w:r>
      <w:r w:rsidRPr="001B4CA2">
        <w:rPr>
          <w:rFonts w:eastAsia="Times New Roman"/>
          <w:bCs/>
          <w:spacing w:val="-7"/>
          <w:w w:val="103"/>
          <w:lang w:eastAsia="hr-HR"/>
        </w:rPr>
        <w:t xml:space="preserve"> dotadašnje Općinsko državno odvjetništvo u Zagrebu razdvojilo</w:t>
      </w:r>
      <w:r w:rsidR="001B4CA2">
        <w:rPr>
          <w:rFonts w:eastAsia="Times New Roman"/>
          <w:bCs/>
          <w:spacing w:val="-7"/>
          <w:w w:val="103"/>
          <w:lang w:eastAsia="hr-HR"/>
        </w:rPr>
        <w:t xml:space="preserve"> </w:t>
      </w:r>
      <w:r w:rsidRPr="001B4CA2">
        <w:rPr>
          <w:rFonts w:eastAsia="Times New Roman"/>
          <w:bCs/>
          <w:spacing w:val="-7"/>
          <w:w w:val="103"/>
          <w:lang w:eastAsia="hr-HR"/>
        </w:rPr>
        <w:t>se na dva državna odvjetništva</w:t>
      </w:r>
      <w:r w:rsidR="00DB7A24">
        <w:rPr>
          <w:rFonts w:eastAsia="Times New Roman"/>
          <w:bCs/>
          <w:spacing w:val="-7"/>
          <w:w w:val="103"/>
          <w:lang w:eastAsia="hr-HR"/>
        </w:rPr>
        <w:t>,</w:t>
      </w:r>
      <w:r w:rsidRPr="001B4CA2">
        <w:rPr>
          <w:rFonts w:eastAsia="Times New Roman"/>
          <w:bCs/>
          <w:spacing w:val="-7"/>
          <w:w w:val="103"/>
          <w:lang w:eastAsia="hr-HR"/>
        </w:rPr>
        <w:t xml:space="preserve"> i to Općinsko kazneno državno odvjetništvo u Zagrebu</w:t>
      </w:r>
      <w:r w:rsidR="00DB7A24">
        <w:rPr>
          <w:rFonts w:eastAsia="Times New Roman"/>
          <w:bCs/>
          <w:spacing w:val="-7"/>
          <w:w w:val="103"/>
          <w:lang w:eastAsia="hr-HR"/>
        </w:rPr>
        <w:t>,</w:t>
      </w:r>
      <w:r w:rsidRPr="001B4CA2">
        <w:rPr>
          <w:rFonts w:eastAsia="Times New Roman"/>
          <w:bCs/>
          <w:spacing w:val="-7"/>
          <w:w w:val="103"/>
          <w:lang w:eastAsia="hr-HR"/>
        </w:rPr>
        <w:t xml:space="preserve"> koje je nadležno za postupanje u kaznenim predmetima</w:t>
      </w:r>
      <w:r w:rsidR="00DB7A24">
        <w:rPr>
          <w:rFonts w:eastAsia="Times New Roman"/>
          <w:bCs/>
          <w:spacing w:val="-7"/>
          <w:w w:val="103"/>
          <w:lang w:eastAsia="hr-HR"/>
        </w:rPr>
        <w:t>,</w:t>
      </w:r>
      <w:r w:rsidRPr="001B4CA2">
        <w:rPr>
          <w:rFonts w:eastAsia="Times New Roman"/>
          <w:bCs/>
          <w:spacing w:val="-7"/>
          <w:w w:val="103"/>
          <w:lang w:eastAsia="hr-HR"/>
        </w:rPr>
        <w:t xml:space="preserve"> i Općinsko građansko državno odvjetništvo u Zagrebu</w:t>
      </w:r>
      <w:r w:rsidR="00DB7A24">
        <w:rPr>
          <w:rFonts w:eastAsia="Times New Roman"/>
          <w:bCs/>
          <w:spacing w:val="-7"/>
          <w:w w:val="103"/>
          <w:lang w:eastAsia="hr-HR"/>
        </w:rPr>
        <w:t>,</w:t>
      </w:r>
      <w:r w:rsidRPr="001B4CA2">
        <w:rPr>
          <w:rFonts w:eastAsia="Times New Roman"/>
          <w:bCs/>
          <w:spacing w:val="-7"/>
          <w:w w:val="103"/>
          <w:lang w:eastAsia="hr-HR"/>
        </w:rPr>
        <w:t xml:space="preserve"> koje je</w:t>
      </w:r>
      <w:r w:rsidR="001B4CA2">
        <w:rPr>
          <w:rFonts w:eastAsia="Times New Roman"/>
          <w:bCs/>
          <w:spacing w:val="-7"/>
          <w:w w:val="103"/>
          <w:lang w:eastAsia="hr-HR"/>
        </w:rPr>
        <w:t xml:space="preserve"> </w:t>
      </w:r>
      <w:r w:rsidRPr="001B4CA2">
        <w:rPr>
          <w:rFonts w:eastAsia="Times New Roman"/>
          <w:bCs/>
          <w:spacing w:val="-7"/>
          <w:w w:val="103"/>
          <w:lang w:eastAsia="hr-HR"/>
        </w:rPr>
        <w:t xml:space="preserve">nadležno za postupanje u građanskim i upravnim predmetima. Sva ostala državna odvjetništva, </w:t>
      </w:r>
      <w:r w:rsidR="00DB7A24">
        <w:rPr>
          <w:rFonts w:eastAsia="Times New Roman"/>
          <w:bCs/>
          <w:spacing w:val="-7"/>
          <w:w w:val="103"/>
          <w:lang w:eastAsia="hr-HR"/>
        </w:rPr>
        <w:t>osim</w:t>
      </w:r>
      <w:r w:rsidRPr="001B4CA2">
        <w:rPr>
          <w:rFonts w:eastAsia="Times New Roman"/>
          <w:bCs/>
          <w:spacing w:val="-7"/>
          <w:w w:val="103"/>
          <w:lang w:eastAsia="hr-HR"/>
        </w:rPr>
        <w:t xml:space="preserve"> Ureda za suzbijanje korupcije i organiziranog</w:t>
      </w:r>
      <w:r w:rsidR="00DB7A24">
        <w:rPr>
          <w:rFonts w:eastAsia="Times New Roman"/>
          <w:bCs/>
          <w:spacing w:val="-7"/>
          <w:w w:val="103"/>
          <w:lang w:eastAsia="hr-HR"/>
        </w:rPr>
        <w:t>a</w:t>
      </w:r>
      <w:r w:rsidRPr="001B4CA2">
        <w:rPr>
          <w:rFonts w:eastAsia="Times New Roman"/>
          <w:bCs/>
          <w:spacing w:val="-7"/>
          <w:w w:val="103"/>
          <w:lang w:eastAsia="hr-HR"/>
        </w:rPr>
        <w:t xml:space="preserve"> kriminaliteta, nadležna su za postupanje u kaznenim i građanskim i upravnim predmetima. </w:t>
      </w:r>
    </w:p>
    <w:p w14:paraId="5DF21CFC" w14:textId="77777777" w:rsidR="00760AAE" w:rsidRPr="001B4CA2" w:rsidRDefault="00760AAE" w:rsidP="00760AAE">
      <w:pPr>
        <w:widowControl w:val="0"/>
        <w:autoSpaceDE w:val="0"/>
        <w:autoSpaceDN w:val="0"/>
        <w:adjustRightInd w:val="0"/>
        <w:ind w:firstLine="708"/>
        <w:rPr>
          <w:rFonts w:eastAsia="Times New Roman"/>
          <w:bCs/>
          <w:spacing w:val="-7"/>
          <w:w w:val="103"/>
          <w:lang w:eastAsia="hr-HR"/>
        </w:rPr>
      </w:pPr>
    </w:p>
    <w:p w14:paraId="2C4EC724" w14:textId="4B05734B" w:rsidR="00760AAE" w:rsidRPr="001B4CA2" w:rsidRDefault="00760AAE" w:rsidP="00760AAE">
      <w:pPr>
        <w:widowControl w:val="0"/>
        <w:autoSpaceDE w:val="0"/>
        <w:autoSpaceDN w:val="0"/>
        <w:adjustRightInd w:val="0"/>
        <w:ind w:firstLine="708"/>
        <w:rPr>
          <w:rFonts w:eastAsia="Times New Roman"/>
          <w:bCs/>
          <w:spacing w:val="-7"/>
          <w:w w:val="103"/>
          <w:lang w:eastAsia="hr-HR"/>
        </w:rPr>
      </w:pPr>
      <w:r w:rsidRPr="001B4CA2">
        <w:rPr>
          <w:rFonts w:eastAsia="Times New Roman"/>
          <w:bCs/>
          <w:spacing w:val="-7"/>
          <w:w w:val="103"/>
          <w:lang w:eastAsia="hr-HR"/>
        </w:rPr>
        <w:t>Ured za suzbijanje korupcije i organiziranog</w:t>
      </w:r>
      <w:r w:rsidR="00DB7A24">
        <w:rPr>
          <w:rFonts w:eastAsia="Times New Roman"/>
          <w:bCs/>
          <w:spacing w:val="-7"/>
          <w:w w:val="103"/>
          <w:lang w:eastAsia="hr-HR"/>
        </w:rPr>
        <w:t>a</w:t>
      </w:r>
      <w:r w:rsidRPr="001B4CA2">
        <w:rPr>
          <w:rFonts w:eastAsia="Times New Roman"/>
          <w:bCs/>
          <w:spacing w:val="-7"/>
          <w:w w:val="103"/>
          <w:lang w:eastAsia="hr-HR"/>
        </w:rPr>
        <w:t xml:space="preserve"> kriminaliteta ustanovljen je kao posebno državno odvjetništvo specijalizirano za rad na određenoj vrsti kaznenih djela </w:t>
      </w:r>
      <w:r w:rsidR="00670F8C">
        <w:rPr>
          <w:rFonts w:eastAsia="Times New Roman"/>
          <w:bCs/>
          <w:spacing w:val="-7"/>
          <w:w w:val="103"/>
          <w:lang w:eastAsia="hr-HR"/>
        </w:rPr>
        <w:t>te je</w:t>
      </w:r>
      <w:r w:rsidRPr="001B4CA2">
        <w:rPr>
          <w:rFonts w:eastAsia="Times New Roman"/>
          <w:bCs/>
          <w:spacing w:val="-7"/>
          <w:w w:val="103"/>
          <w:lang w:eastAsia="hr-HR"/>
        </w:rPr>
        <w:t xml:space="preserve"> nadležno za područje cijele Republike Hrvatske.</w:t>
      </w:r>
    </w:p>
    <w:p w14:paraId="653A7084" w14:textId="77777777" w:rsidR="00760AAE" w:rsidRPr="001B4CA2" w:rsidRDefault="00760AAE" w:rsidP="00760AAE">
      <w:pPr>
        <w:widowControl w:val="0"/>
        <w:autoSpaceDE w:val="0"/>
        <w:autoSpaceDN w:val="0"/>
        <w:adjustRightInd w:val="0"/>
        <w:ind w:firstLine="708"/>
        <w:rPr>
          <w:rFonts w:eastAsia="Times New Roman"/>
          <w:bCs/>
          <w:spacing w:val="-7"/>
          <w:w w:val="103"/>
          <w:lang w:eastAsia="hr-HR"/>
        </w:rPr>
      </w:pPr>
    </w:p>
    <w:p w14:paraId="1C6DEA03" w14:textId="42710C42" w:rsidR="00F90934" w:rsidRPr="001B4CA2" w:rsidRDefault="00760AAE" w:rsidP="00760AAE">
      <w:pPr>
        <w:widowControl w:val="0"/>
        <w:autoSpaceDE w:val="0"/>
        <w:autoSpaceDN w:val="0"/>
        <w:adjustRightInd w:val="0"/>
        <w:ind w:firstLine="708"/>
        <w:rPr>
          <w:rFonts w:eastAsia="Times New Roman"/>
          <w:bCs/>
          <w:spacing w:val="-7"/>
          <w:w w:val="103"/>
          <w:lang w:eastAsia="hr-HR"/>
        </w:rPr>
      </w:pPr>
      <w:r w:rsidRPr="001B4CA2">
        <w:rPr>
          <w:rFonts w:eastAsia="Times New Roman"/>
          <w:bCs/>
          <w:spacing w:val="-7"/>
          <w:w w:val="103"/>
          <w:lang w:eastAsia="hr-HR"/>
        </w:rPr>
        <w:t xml:space="preserve">Gore navedenom zakonodavnom izmjenom </w:t>
      </w:r>
      <w:proofErr w:type="spellStart"/>
      <w:r w:rsidRPr="001B4CA2">
        <w:rPr>
          <w:rFonts w:eastAsia="Times New Roman"/>
          <w:bCs/>
          <w:spacing w:val="-7"/>
          <w:w w:val="103"/>
          <w:lang w:eastAsia="hr-HR"/>
        </w:rPr>
        <w:t>državnoodvjetničkoj</w:t>
      </w:r>
      <w:proofErr w:type="spellEnd"/>
      <w:r w:rsidRPr="001B4CA2">
        <w:rPr>
          <w:rFonts w:eastAsia="Times New Roman"/>
          <w:bCs/>
          <w:spacing w:val="-7"/>
          <w:w w:val="103"/>
          <w:lang w:eastAsia="hr-HR"/>
        </w:rPr>
        <w:t xml:space="preserve"> organizaciji još uvijek nije u potpunosti omogućeno praćenje ustroja organizacije sudova u Republici Hrvatskoj, jer usprkos činjenici što je još 1. siječnja 2021. započeo s radom Visoki kazneni sud Republike Hrvatske te usprkos činjenici da Državno odvjetništvo Republike Hrvatske počevši od 2019. godine neprekidno ukazuje nadležnom ministarstvu na potrebu osnivanja Visokog državnog odvjetništva, s čim u vezi su dostavljeni konkretni i obrazloženi prijedlozi izmjena Zakona o državnom odvjetništvu i Zakona o </w:t>
      </w:r>
      <w:proofErr w:type="spellStart"/>
      <w:r w:rsidRPr="001B4CA2">
        <w:rPr>
          <w:rFonts w:eastAsia="Times New Roman"/>
          <w:bCs/>
          <w:spacing w:val="-7"/>
          <w:w w:val="103"/>
          <w:lang w:eastAsia="hr-HR"/>
        </w:rPr>
        <w:t>državnoodvjetničkom</w:t>
      </w:r>
      <w:proofErr w:type="spellEnd"/>
      <w:r w:rsidRPr="001B4CA2">
        <w:rPr>
          <w:rFonts w:eastAsia="Times New Roman"/>
          <w:bCs/>
          <w:spacing w:val="-7"/>
          <w:w w:val="103"/>
          <w:lang w:eastAsia="hr-HR"/>
        </w:rPr>
        <w:t xml:space="preserve"> vijeću, argumentirani, višekratno ponavljani prijedlozi državnog</w:t>
      </w:r>
      <w:r w:rsidR="00670F8C">
        <w:rPr>
          <w:rFonts w:eastAsia="Times New Roman"/>
          <w:bCs/>
          <w:spacing w:val="-7"/>
          <w:w w:val="103"/>
          <w:lang w:eastAsia="hr-HR"/>
        </w:rPr>
        <w:t>a</w:t>
      </w:r>
      <w:r w:rsidRPr="001B4CA2">
        <w:rPr>
          <w:rFonts w:eastAsia="Times New Roman"/>
          <w:bCs/>
          <w:spacing w:val="-7"/>
          <w:w w:val="103"/>
          <w:lang w:eastAsia="hr-HR"/>
        </w:rPr>
        <w:t xml:space="preserve"> odvjetništva prema kojima ustrojstvo i nadležnost državnih odvjetništava mora pratiti ustrojstvo organizacije sudova u Republici Hrvatskoj, nisu rezultirali potrebnim i očekivanim zakonodavnim izmjenama te Visoko državno odvjetništvo još uvijek nije osnovano. </w:t>
      </w:r>
    </w:p>
    <w:p w14:paraId="3621EFDF" w14:textId="6C17265E" w:rsidR="000D50AA" w:rsidRPr="001B4CA2" w:rsidRDefault="00BB4D48" w:rsidP="000D50AA">
      <w:pPr>
        <w:pStyle w:val="Naslov3"/>
        <w:rPr>
          <w:rFonts w:ascii="Arial" w:hAnsi="Arial" w:cs="Arial"/>
        </w:rPr>
      </w:pPr>
      <w:bookmarkStart w:id="3" w:name="_Toc133394267"/>
      <w:r w:rsidRPr="001B4CA2">
        <w:rPr>
          <w:rFonts w:ascii="Arial" w:hAnsi="Arial" w:cs="Arial"/>
        </w:rPr>
        <w:lastRenderedPageBreak/>
        <w:t>Brojno stanje kadrova u državnim odvjetništ</w:t>
      </w:r>
      <w:r w:rsidR="00D80F32" w:rsidRPr="001B4CA2">
        <w:rPr>
          <w:rFonts w:ascii="Arial" w:hAnsi="Arial" w:cs="Arial"/>
        </w:rPr>
        <w:t xml:space="preserve">vima na dan 31. prosinca </w:t>
      </w:r>
      <w:r w:rsidR="00E42DD7" w:rsidRPr="001B4CA2">
        <w:rPr>
          <w:rFonts w:ascii="Arial" w:hAnsi="Arial" w:cs="Arial"/>
        </w:rPr>
        <w:t>202</w:t>
      </w:r>
      <w:r w:rsidR="00E92D6A" w:rsidRPr="001B4CA2">
        <w:rPr>
          <w:rFonts w:ascii="Arial" w:hAnsi="Arial" w:cs="Arial"/>
        </w:rPr>
        <w:t>2</w:t>
      </w:r>
      <w:r w:rsidR="00EC7E99" w:rsidRPr="001B4CA2">
        <w:rPr>
          <w:rFonts w:ascii="Arial" w:hAnsi="Arial" w:cs="Arial"/>
        </w:rPr>
        <w:t>.</w:t>
      </w:r>
      <w:bookmarkEnd w:id="3"/>
    </w:p>
    <w:p w14:paraId="269856B6" w14:textId="77777777" w:rsidR="00D2666B" w:rsidRPr="001B4CA2" w:rsidRDefault="00D2666B" w:rsidP="00641E0A">
      <w:pPr>
        <w:widowControl w:val="0"/>
        <w:autoSpaceDE w:val="0"/>
        <w:autoSpaceDN w:val="0"/>
        <w:adjustRightInd w:val="0"/>
        <w:jc w:val="left"/>
      </w:pPr>
    </w:p>
    <w:p w14:paraId="22929B4C" w14:textId="3110665E" w:rsidR="00760AAE" w:rsidRPr="001B4CA2" w:rsidRDefault="00760AAE" w:rsidP="00760AAE">
      <w:pPr>
        <w:widowControl w:val="0"/>
        <w:autoSpaceDE w:val="0"/>
        <w:autoSpaceDN w:val="0"/>
        <w:adjustRightInd w:val="0"/>
        <w:ind w:left="426"/>
        <w:jc w:val="left"/>
        <w:rPr>
          <w:rFonts w:eastAsia="Times New Roman"/>
          <w:b/>
          <w:bCs/>
          <w:spacing w:val="-7"/>
          <w:w w:val="103"/>
          <w:sz w:val="18"/>
          <w:szCs w:val="18"/>
          <w:lang w:eastAsia="hr-HR"/>
        </w:rPr>
      </w:pPr>
      <w:r w:rsidRPr="001B4CA2">
        <w:rPr>
          <w:rFonts w:eastAsia="Times New Roman"/>
          <w:bCs/>
          <w:i/>
          <w:spacing w:val="-7"/>
          <w:w w:val="103"/>
          <w:lang w:eastAsia="hr-HR"/>
        </w:rPr>
        <w:t>Brojno stanje i struktura kadrova u državnim odvjetništvima</w:t>
      </w:r>
    </w:p>
    <w:tbl>
      <w:tblPr>
        <w:tblStyle w:val="Reetkatablice13"/>
        <w:tblW w:w="8543" w:type="dxa"/>
        <w:jc w:val="center"/>
        <w:tblLayout w:type="fixed"/>
        <w:tblLook w:val="04A0" w:firstRow="1" w:lastRow="0" w:firstColumn="1" w:lastColumn="0" w:noHBand="0" w:noVBand="1"/>
      </w:tblPr>
      <w:tblGrid>
        <w:gridCol w:w="948"/>
        <w:gridCol w:w="567"/>
        <w:gridCol w:w="709"/>
        <w:gridCol w:w="578"/>
        <w:gridCol w:w="697"/>
        <w:gridCol w:w="490"/>
        <w:gridCol w:w="644"/>
        <w:gridCol w:w="567"/>
        <w:gridCol w:w="567"/>
        <w:gridCol w:w="632"/>
        <w:gridCol w:w="726"/>
        <w:gridCol w:w="691"/>
        <w:gridCol w:w="727"/>
      </w:tblGrid>
      <w:tr w:rsidR="00760AAE" w:rsidRPr="001B4CA2" w14:paraId="6ABC95F7" w14:textId="77777777" w:rsidTr="006D0A51">
        <w:trPr>
          <w:trHeight w:val="510"/>
          <w:jc w:val="center"/>
        </w:trPr>
        <w:tc>
          <w:tcPr>
            <w:tcW w:w="948" w:type="dxa"/>
            <w:vMerge w:val="restart"/>
            <w:shd w:val="clear" w:color="auto" w:fill="99CCFF"/>
            <w:textDirection w:val="btLr"/>
            <w:vAlign w:val="center"/>
          </w:tcPr>
          <w:p w14:paraId="6D5C8A6C"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Državno odvjetništvo</w:t>
            </w:r>
          </w:p>
        </w:tc>
        <w:tc>
          <w:tcPr>
            <w:tcW w:w="1276" w:type="dxa"/>
            <w:gridSpan w:val="2"/>
            <w:shd w:val="clear" w:color="auto" w:fill="99CCFF"/>
            <w:vAlign w:val="center"/>
          </w:tcPr>
          <w:p w14:paraId="12374CF2"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Pravosudni dužnosnici</w:t>
            </w:r>
          </w:p>
        </w:tc>
        <w:tc>
          <w:tcPr>
            <w:tcW w:w="1275" w:type="dxa"/>
            <w:gridSpan w:val="2"/>
            <w:shd w:val="clear" w:color="auto" w:fill="99CCFF"/>
            <w:vAlign w:val="center"/>
          </w:tcPr>
          <w:p w14:paraId="6E8F8F31"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Savjetnici i stručni suradnici</w:t>
            </w:r>
          </w:p>
        </w:tc>
        <w:tc>
          <w:tcPr>
            <w:tcW w:w="1134" w:type="dxa"/>
            <w:gridSpan w:val="2"/>
            <w:shd w:val="clear" w:color="auto" w:fill="99CCFF"/>
            <w:vAlign w:val="center"/>
          </w:tcPr>
          <w:p w14:paraId="14753C3F"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Vježbenici</w:t>
            </w:r>
          </w:p>
        </w:tc>
        <w:tc>
          <w:tcPr>
            <w:tcW w:w="1134" w:type="dxa"/>
            <w:gridSpan w:val="2"/>
            <w:shd w:val="clear" w:color="auto" w:fill="99CCFF"/>
            <w:vAlign w:val="center"/>
          </w:tcPr>
          <w:p w14:paraId="7094F0A9"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Službenici</w:t>
            </w:r>
          </w:p>
        </w:tc>
        <w:tc>
          <w:tcPr>
            <w:tcW w:w="1358" w:type="dxa"/>
            <w:gridSpan w:val="2"/>
            <w:shd w:val="clear" w:color="auto" w:fill="99CCFF"/>
            <w:vAlign w:val="center"/>
          </w:tcPr>
          <w:p w14:paraId="1CE170F1"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Namještenici</w:t>
            </w:r>
          </w:p>
        </w:tc>
        <w:tc>
          <w:tcPr>
            <w:tcW w:w="1418" w:type="dxa"/>
            <w:gridSpan w:val="2"/>
            <w:shd w:val="clear" w:color="auto" w:fill="99CCFF"/>
            <w:vAlign w:val="center"/>
          </w:tcPr>
          <w:p w14:paraId="0FB6969C"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Sveukupno</w:t>
            </w:r>
          </w:p>
        </w:tc>
      </w:tr>
      <w:tr w:rsidR="00760AAE" w:rsidRPr="001B4CA2" w14:paraId="69ABC587" w14:textId="77777777" w:rsidTr="006D0A51">
        <w:trPr>
          <w:cantSplit/>
          <w:trHeight w:val="826"/>
          <w:jc w:val="center"/>
        </w:trPr>
        <w:tc>
          <w:tcPr>
            <w:tcW w:w="948" w:type="dxa"/>
            <w:vMerge/>
            <w:shd w:val="clear" w:color="auto" w:fill="99CCFF"/>
            <w:vAlign w:val="center"/>
          </w:tcPr>
          <w:p w14:paraId="5FD226E1"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p>
        </w:tc>
        <w:tc>
          <w:tcPr>
            <w:tcW w:w="567" w:type="dxa"/>
            <w:shd w:val="clear" w:color="auto" w:fill="99CCFF"/>
            <w:textDirection w:val="btLr"/>
            <w:vAlign w:val="center"/>
          </w:tcPr>
          <w:p w14:paraId="1C2A7323"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Žena</w:t>
            </w:r>
          </w:p>
        </w:tc>
        <w:tc>
          <w:tcPr>
            <w:tcW w:w="709" w:type="dxa"/>
            <w:shd w:val="clear" w:color="auto" w:fill="99CCFF"/>
            <w:textDirection w:val="btLr"/>
            <w:vAlign w:val="center"/>
          </w:tcPr>
          <w:p w14:paraId="238FC0AF"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Ukupno</w:t>
            </w:r>
          </w:p>
        </w:tc>
        <w:tc>
          <w:tcPr>
            <w:tcW w:w="578" w:type="dxa"/>
            <w:shd w:val="clear" w:color="auto" w:fill="99CCFF"/>
            <w:textDirection w:val="btLr"/>
            <w:vAlign w:val="center"/>
          </w:tcPr>
          <w:p w14:paraId="5CDFD18A"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Žena</w:t>
            </w:r>
          </w:p>
        </w:tc>
        <w:tc>
          <w:tcPr>
            <w:tcW w:w="697" w:type="dxa"/>
            <w:shd w:val="clear" w:color="auto" w:fill="99CCFF"/>
            <w:textDirection w:val="btLr"/>
            <w:vAlign w:val="center"/>
          </w:tcPr>
          <w:p w14:paraId="11767E6A"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Ukupno</w:t>
            </w:r>
          </w:p>
        </w:tc>
        <w:tc>
          <w:tcPr>
            <w:tcW w:w="490" w:type="dxa"/>
            <w:shd w:val="clear" w:color="auto" w:fill="99CCFF"/>
            <w:textDirection w:val="btLr"/>
            <w:vAlign w:val="center"/>
          </w:tcPr>
          <w:p w14:paraId="09DC75D6"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Žena</w:t>
            </w:r>
          </w:p>
        </w:tc>
        <w:tc>
          <w:tcPr>
            <w:tcW w:w="644" w:type="dxa"/>
            <w:shd w:val="clear" w:color="auto" w:fill="99CCFF"/>
            <w:textDirection w:val="btLr"/>
            <w:vAlign w:val="center"/>
          </w:tcPr>
          <w:p w14:paraId="69A15799"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Ukupno</w:t>
            </w:r>
          </w:p>
        </w:tc>
        <w:tc>
          <w:tcPr>
            <w:tcW w:w="567" w:type="dxa"/>
            <w:shd w:val="clear" w:color="auto" w:fill="99CCFF"/>
            <w:textDirection w:val="btLr"/>
            <w:vAlign w:val="center"/>
          </w:tcPr>
          <w:p w14:paraId="6DAA8602"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Žena</w:t>
            </w:r>
          </w:p>
        </w:tc>
        <w:tc>
          <w:tcPr>
            <w:tcW w:w="567" w:type="dxa"/>
            <w:shd w:val="clear" w:color="auto" w:fill="99CCFF"/>
            <w:textDirection w:val="btLr"/>
            <w:vAlign w:val="center"/>
          </w:tcPr>
          <w:p w14:paraId="41E3FD7A"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Ukupno</w:t>
            </w:r>
          </w:p>
        </w:tc>
        <w:tc>
          <w:tcPr>
            <w:tcW w:w="632" w:type="dxa"/>
            <w:shd w:val="clear" w:color="auto" w:fill="99CCFF"/>
            <w:textDirection w:val="btLr"/>
            <w:vAlign w:val="center"/>
          </w:tcPr>
          <w:p w14:paraId="628009CF"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Žena</w:t>
            </w:r>
          </w:p>
        </w:tc>
        <w:tc>
          <w:tcPr>
            <w:tcW w:w="726" w:type="dxa"/>
            <w:shd w:val="clear" w:color="auto" w:fill="99CCFF"/>
            <w:textDirection w:val="btLr"/>
            <w:vAlign w:val="center"/>
          </w:tcPr>
          <w:p w14:paraId="650537E4"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Ukupno</w:t>
            </w:r>
          </w:p>
        </w:tc>
        <w:tc>
          <w:tcPr>
            <w:tcW w:w="691" w:type="dxa"/>
            <w:shd w:val="clear" w:color="auto" w:fill="99CCFF"/>
            <w:textDirection w:val="btLr"/>
            <w:vAlign w:val="center"/>
          </w:tcPr>
          <w:p w14:paraId="143E2309"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Žena</w:t>
            </w:r>
          </w:p>
        </w:tc>
        <w:tc>
          <w:tcPr>
            <w:tcW w:w="727" w:type="dxa"/>
            <w:shd w:val="clear" w:color="auto" w:fill="99CCFF"/>
            <w:textDirection w:val="btLr"/>
            <w:vAlign w:val="center"/>
          </w:tcPr>
          <w:p w14:paraId="2ED2D7C1"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Ukupno</w:t>
            </w:r>
          </w:p>
        </w:tc>
      </w:tr>
      <w:tr w:rsidR="00760AAE" w:rsidRPr="001B4CA2" w14:paraId="7F533A00" w14:textId="77777777" w:rsidTr="006D0A51">
        <w:trPr>
          <w:trHeight w:val="454"/>
          <w:jc w:val="center"/>
        </w:trPr>
        <w:tc>
          <w:tcPr>
            <w:tcW w:w="948" w:type="dxa"/>
            <w:shd w:val="clear" w:color="auto" w:fill="auto"/>
            <w:vAlign w:val="center"/>
          </w:tcPr>
          <w:p w14:paraId="7DC5B1A4"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ODO</w:t>
            </w:r>
          </w:p>
        </w:tc>
        <w:tc>
          <w:tcPr>
            <w:tcW w:w="567" w:type="dxa"/>
            <w:vAlign w:val="center"/>
          </w:tcPr>
          <w:p w14:paraId="243CEC79"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304</w:t>
            </w:r>
          </w:p>
        </w:tc>
        <w:tc>
          <w:tcPr>
            <w:tcW w:w="709" w:type="dxa"/>
            <w:vAlign w:val="center"/>
          </w:tcPr>
          <w:p w14:paraId="5048963A"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419</w:t>
            </w:r>
          </w:p>
        </w:tc>
        <w:tc>
          <w:tcPr>
            <w:tcW w:w="578" w:type="dxa"/>
            <w:vAlign w:val="center"/>
          </w:tcPr>
          <w:p w14:paraId="0BB818B9"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105</w:t>
            </w:r>
          </w:p>
        </w:tc>
        <w:tc>
          <w:tcPr>
            <w:tcW w:w="697" w:type="dxa"/>
            <w:vAlign w:val="center"/>
          </w:tcPr>
          <w:p w14:paraId="3099290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136</w:t>
            </w:r>
          </w:p>
        </w:tc>
        <w:tc>
          <w:tcPr>
            <w:tcW w:w="490" w:type="dxa"/>
            <w:vAlign w:val="center"/>
          </w:tcPr>
          <w:p w14:paraId="7EC7D7BE"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13</w:t>
            </w:r>
          </w:p>
        </w:tc>
        <w:tc>
          <w:tcPr>
            <w:tcW w:w="644" w:type="dxa"/>
            <w:vAlign w:val="center"/>
          </w:tcPr>
          <w:p w14:paraId="53AC8AEF"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17</w:t>
            </w:r>
          </w:p>
        </w:tc>
        <w:tc>
          <w:tcPr>
            <w:tcW w:w="567" w:type="dxa"/>
            <w:vAlign w:val="center"/>
          </w:tcPr>
          <w:p w14:paraId="1D5AD6DB"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551</w:t>
            </w:r>
          </w:p>
        </w:tc>
        <w:tc>
          <w:tcPr>
            <w:tcW w:w="567" w:type="dxa"/>
            <w:vAlign w:val="center"/>
          </w:tcPr>
          <w:p w14:paraId="40F155D7"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584</w:t>
            </w:r>
          </w:p>
        </w:tc>
        <w:tc>
          <w:tcPr>
            <w:tcW w:w="632" w:type="dxa"/>
            <w:vAlign w:val="center"/>
          </w:tcPr>
          <w:p w14:paraId="0577017C"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43</w:t>
            </w:r>
          </w:p>
        </w:tc>
        <w:tc>
          <w:tcPr>
            <w:tcW w:w="726" w:type="dxa"/>
            <w:vAlign w:val="center"/>
          </w:tcPr>
          <w:p w14:paraId="4180A67F"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71</w:t>
            </w:r>
          </w:p>
        </w:tc>
        <w:tc>
          <w:tcPr>
            <w:tcW w:w="691" w:type="dxa"/>
            <w:vAlign w:val="center"/>
          </w:tcPr>
          <w:p w14:paraId="7F8035AB" w14:textId="647D76BB"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1016</w:t>
            </w:r>
          </w:p>
        </w:tc>
        <w:tc>
          <w:tcPr>
            <w:tcW w:w="727" w:type="dxa"/>
            <w:vAlign w:val="center"/>
          </w:tcPr>
          <w:p w14:paraId="7497D1A9" w14:textId="3C40BE73"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1227</w:t>
            </w:r>
          </w:p>
        </w:tc>
      </w:tr>
      <w:tr w:rsidR="00760AAE" w:rsidRPr="001B4CA2" w14:paraId="391CF098" w14:textId="77777777" w:rsidTr="006D0A51">
        <w:trPr>
          <w:trHeight w:val="454"/>
          <w:jc w:val="center"/>
        </w:trPr>
        <w:tc>
          <w:tcPr>
            <w:tcW w:w="948" w:type="dxa"/>
            <w:shd w:val="clear" w:color="auto" w:fill="auto"/>
            <w:vAlign w:val="center"/>
          </w:tcPr>
          <w:p w14:paraId="36E50AB6"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ŽDO</w:t>
            </w:r>
          </w:p>
        </w:tc>
        <w:tc>
          <w:tcPr>
            <w:tcW w:w="567" w:type="dxa"/>
            <w:vAlign w:val="center"/>
          </w:tcPr>
          <w:p w14:paraId="0BD8B393"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103</w:t>
            </w:r>
          </w:p>
        </w:tc>
        <w:tc>
          <w:tcPr>
            <w:tcW w:w="709" w:type="dxa"/>
            <w:vAlign w:val="center"/>
          </w:tcPr>
          <w:p w14:paraId="136DBE82"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164</w:t>
            </w:r>
          </w:p>
        </w:tc>
        <w:tc>
          <w:tcPr>
            <w:tcW w:w="578" w:type="dxa"/>
            <w:vAlign w:val="center"/>
          </w:tcPr>
          <w:p w14:paraId="74324C3A"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24</w:t>
            </w:r>
          </w:p>
        </w:tc>
        <w:tc>
          <w:tcPr>
            <w:tcW w:w="697" w:type="dxa"/>
            <w:vAlign w:val="center"/>
          </w:tcPr>
          <w:p w14:paraId="48A34674"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33</w:t>
            </w:r>
          </w:p>
        </w:tc>
        <w:tc>
          <w:tcPr>
            <w:tcW w:w="490" w:type="dxa"/>
            <w:vAlign w:val="center"/>
          </w:tcPr>
          <w:p w14:paraId="3AD2B3DF" w14:textId="77777777" w:rsidR="00760AAE" w:rsidRPr="001F53E7" w:rsidRDefault="00760AAE" w:rsidP="006D0A51">
            <w:pPr>
              <w:jc w:val="center"/>
              <w:rPr>
                <w:rFonts w:asciiTheme="majorHAnsi" w:hAnsiTheme="majorHAnsi" w:cstheme="majorHAnsi"/>
                <w:sz w:val="18"/>
                <w:szCs w:val="18"/>
              </w:rPr>
            </w:pPr>
          </w:p>
        </w:tc>
        <w:tc>
          <w:tcPr>
            <w:tcW w:w="644" w:type="dxa"/>
            <w:vAlign w:val="center"/>
          </w:tcPr>
          <w:p w14:paraId="404B42C9" w14:textId="77777777" w:rsidR="00760AAE" w:rsidRPr="001F53E7" w:rsidRDefault="00760AAE" w:rsidP="006D0A51">
            <w:pPr>
              <w:jc w:val="center"/>
              <w:rPr>
                <w:rFonts w:asciiTheme="majorHAnsi" w:hAnsiTheme="majorHAnsi" w:cstheme="majorHAnsi"/>
                <w:sz w:val="18"/>
                <w:szCs w:val="18"/>
              </w:rPr>
            </w:pPr>
          </w:p>
        </w:tc>
        <w:tc>
          <w:tcPr>
            <w:tcW w:w="567" w:type="dxa"/>
            <w:vAlign w:val="center"/>
          </w:tcPr>
          <w:p w14:paraId="224DEB85"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206</w:t>
            </w:r>
          </w:p>
        </w:tc>
        <w:tc>
          <w:tcPr>
            <w:tcW w:w="567" w:type="dxa"/>
            <w:vAlign w:val="center"/>
          </w:tcPr>
          <w:p w14:paraId="22510045"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229</w:t>
            </w:r>
          </w:p>
        </w:tc>
        <w:tc>
          <w:tcPr>
            <w:tcW w:w="632" w:type="dxa"/>
            <w:vAlign w:val="center"/>
          </w:tcPr>
          <w:p w14:paraId="18841E53"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22</w:t>
            </w:r>
          </w:p>
        </w:tc>
        <w:tc>
          <w:tcPr>
            <w:tcW w:w="726" w:type="dxa"/>
            <w:vAlign w:val="center"/>
          </w:tcPr>
          <w:p w14:paraId="1F8C2607"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45</w:t>
            </w:r>
          </w:p>
        </w:tc>
        <w:tc>
          <w:tcPr>
            <w:tcW w:w="691" w:type="dxa"/>
            <w:vAlign w:val="center"/>
          </w:tcPr>
          <w:p w14:paraId="5E9BA625"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355</w:t>
            </w:r>
          </w:p>
        </w:tc>
        <w:tc>
          <w:tcPr>
            <w:tcW w:w="727" w:type="dxa"/>
            <w:vAlign w:val="center"/>
          </w:tcPr>
          <w:p w14:paraId="1441BDD9"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471</w:t>
            </w:r>
          </w:p>
        </w:tc>
      </w:tr>
      <w:tr w:rsidR="00760AAE" w:rsidRPr="001B4CA2" w14:paraId="795F5083" w14:textId="77777777" w:rsidTr="006D0A51">
        <w:trPr>
          <w:trHeight w:val="454"/>
          <w:jc w:val="center"/>
        </w:trPr>
        <w:tc>
          <w:tcPr>
            <w:tcW w:w="948" w:type="dxa"/>
            <w:shd w:val="clear" w:color="auto" w:fill="auto"/>
            <w:vAlign w:val="center"/>
          </w:tcPr>
          <w:p w14:paraId="2646CAFE"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USKOK</w:t>
            </w:r>
          </w:p>
        </w:tc>
        <w:tc>
          <w:tcPr>
            <w:tcW w:w="567" w:type="dxa"/>
            <w:vAlign w:val="center"/>
          </w:tcPr>
          <w:p w14:paraId="04E6289A"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21</w:t>
            </w:r>
          </w:p>
        </w:tc>
        <w:tc>
          <w:tcPr>
            <w:tcW w:w="709" w:type="dxa"/>
            <w:vAlign w:val="center"/>
          </w:tcPr>
          <w:p w14:paraId="0CB04383"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31</w:t>
            </w:r>
          </w:p>
        </w:tc>
        <w:tc>
          <w:tcPr>
            <w:tcW w:w="578" w:type="dxa"/>
            <w:vAlign w:val="center"/>
          </w:tcPr>
          <w:p w14:paraId="611AA87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15</w:t>
            </w:r>
          </w:p>
        </w:tc>
        <w:tc>
          <w:tcPr>
            <w:tcW w:w="697" w:type="dxa"/>
            <w:vAlign w:val="center"/>
          </w:tcPr>
          <w:p w14:paraId="56BDE00E"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20</w:t>
            </w:r>
          </w:p>
        </w:tc>
        <w:tc>
          <w:tcPr>
            <w:tcW w:w="490" w:type="dxa"/>
            <w:vAlign w:val="center"/>
          </w:tcPr>
          <w:p w14:paraId="4D495878" w14:textId="77777777" w:rsidR="00760AAE" w:rsidRPr="001F53E7" w:rsidRDefault="00760AAE" w:rsidP="006D0A51">
            <w:pPr>
              <w:jc w:val="center"/>
              <w:rPr>
                <w:rFonts w:asciiTheme="majorHAnsi" w:hAnsiTheme="majorHAnsi" w:cstheme="majorHAnsi"/>
                <w:sz w:val="18"/>
                <w:szCs w:val="18"/>
              </w:rPr>
            </w:pPr>
          </w:p>
        </w:tc>
        <w:tc>
          <w:tcPr>
            <w:tcW w:w="644" w:type="dxa"/>
            <w:vAlign w:val="center"/>
          </w:tcPr>
          <w:p w14:paraId="11D3D634" w14:textId="77777777" w:rsidR="00760AAE" w:rsidRPr="001F53E7" w:rsidRDefault="00760AAE" w:rsidP="006D0A51">
            <w:pPr>
              <w:jc w:val="center"/>
              <w:rPr>
                <w:rFonts w:asciiTheme="majorHAnsi" w:hAnsiTheme="majorHAnsi" w:cstheme="majorHAnsi"/>
                <w:sz w:val="18"/>
                <w:szCs w:val="18"/>
              </w:rPr>
            </w:pPr>
          </w:p>
        </w:tc>
        <w:tc>
          <w:tcPr>
            <w:tcW w:w="567" w:type="dxa"/>
            <w:vAlign w:val="center"/>
          </w:tcPr>
          <w:p w14:paraId="06CD3DDE"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30</w:t>
            </w:r>
          </w:p>
        </w:tc>
        <w:tc>
          <w:tcPr>
            <w:tcW w:w="567" w:type="dxa"/>
            <w:vAlign w:val="center"/>
          </w:tcPr>
          <w:p w14:paraId="0ACB313D"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34</w:t>
            </w:r>
          </w:p>
        </w:tc>
        <w:tc>
          <w:tcPr>
            <w:tcW w:w="632" w:type="dxa"/>
            <w:vAlign w:val="center"/>
          </w:tcPr>
          <w:p w14:paraId="302C9E7E"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5</w:t>
            </w:r>
          </w:p>
        </w:tc>
        <w:tc>
          <w:tcPr>
            <w:tcW w:w="726" w:type="dxa"/>
            <w:vAlign w:val="center"/>
          </w:tcPr>
          <w:p w14:paraId="3AC91D7E"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8</w:t>
            </w:r>
          </w:p>
        </w:tc>
        <w:tc>
          <w:tcPr>
            <w:tcW w:w="691" w:type="dxa"/>
            <w:vAlign w:val="center"/>
          </w:tcPr>
          <w:p w14:paraId="507D3CD2"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71</w:t>
            </w:r>
          </w:p>
        </w:tc>
        <w:tc>
          <w:tcPr>
            <w:tcW w:w="727" w:type="dxa"/>
            <w:vAlign w:val="center"/>
          </w:tcPr>
          <w:p w14:paraId="6F931A2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93</w:t>
            </w:r>
          </w:p>
        </w:tc>
      </w:tr>
      <w:tr w:rsidR="00760AAE" w:rsidRPr="001B4CA2" w14:paraId="77EB2E8A" w14:textId="77777777" w:rsidTr="006D0A51">
        <w:trPr>
          <w:trHeight w:val="454"/>
          <w:jc w:val="center"/>
        </w:trPr>
        <w:tc>
          <w:tcPr>
            <w:tcW w:w="948" w:type="dxa"/>
            <w:shd w:val="clear" w:color="auto" w:fill="auto"/>
            <w:vAlign w:val="center"/>
          </w:tcPr>
          <w:p w14:paraId="58A0A5A7"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DORH</w:t>
            </w:r>
          </w:p>
        </w:tc>
        <w:tc>
          <w:tcPr>
            <w:tcW w:w="567" w:type="dxa"/>
            <w:vAlign w:val="center"/>
          </w:tcPr>
          <w:p w14:paraId="25FFDF72"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19</w:t>
            </w:r>
          </w:p>
        </w:tc>
        <w:tc>
          <w:tcPr>
            <w:tcW w:w="709" w:type="dxa"/>
            <w:vAlign w:val="center"/>
          </w:tcPr>
          <w:p w14:paraId="642BE1D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26</w:t>
            </w:r>
          </w:p>
        </w:tc>
        <w:tc>
          <w:tcPr>
            <w:tcW w:w="578" w:type="dxa"/>
            <w:vAlign w:val="center"/>
          </w:tcPr>
          <w:p w14:paraId="0283F59D"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6</w:t>
            </w:r>
          </w:p>
        </w:tc>
        <w:tc>
          <w:tcPr>
            <w:tcW w:w="697" w:type="dxa"/>
            <w:vAlign w:val="center"/>
          </w:tcPr>
          <w:p w14:paraId="1B7228DB"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7</w:t>
            </w:r>
          </w:p>
        </w:tc>
        <w:tc>
          <w:tcPr>
            <w:tcW w:w="490" w:type="dxa"/>
            <w:vAlign w:val="center"/>
          </w:tcPr>
          <w:p w14:paraId="05962278" w14:textId="77777777" w:rsidR="00760AAE" w:rsidRPr="001F53E7" w:rsidRDefault="00760AAE" w:rsidP="006D0A51">
            <w:pPr>
              <w:jc w:val="center"/>
              <w:rPr>
                <w:rFonts w:asciiTheme="majorHAnsi" w:hAnsiTheme="majorHAnsi" w:cstheme="majorHAnsi"/>
                <w:sz w:val="18"/>
                <w:szCs w:val="18"/>
              </w:rPr>
            </w:pPr>
          </w:p>
        </w:tc>
        <w:tc>
          <w:tcPr>
            <w:tcW w:w="644" w:type="dxa"/>
            <w:vAlign w:val="center"/>
          </w:tcPr>
          <w:p w14:paraId="6BB515F4" w14:textId="77777777" w:rsidR="00760AAE" w:rsidRPr="001F53E7" w:rsidRDefault="00760AAE" w:rsidP="006D0A51">
            <w:pPr>
              <w:jc w:val="center"/>
              <w:rPr>
                <w:rFonts w:asciiTheme="majorHAnsi" w:hAnsiTheme="majorHAnsi" w:cstheme="majorHAnsi"/>
                <w:sz w:val="18"/>
                <w:szCs w:val="18"/>
              </w:rPr>
            </w:pPr>
          </w:p>
        </w:tc>
        <w:tc>
          <w:tcPr>
            <w:tcW w:w="567" w:type="dxa"/>
            <w:vAlign w:val="center"/>
          </w:tcPr>
          <w:p w14:paraId="1D1832F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33</w:t>
            </w:r>
          </w:p>
        </w:tc>
        <w:tc>
          <w:tcPr>
            <w:tcW w:w="567" w:type="dxa"/>
            <w:vAlign w:val="center"/>
          </w:tcPr>
          <w:p w14:paraId="44681B5A"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34</w:t>
            </w:r>
          </w:p>
        </w:tc>
        <w:tc>
          <w:tcPr>
            <w:tcW w:w="632" w:type="dxa"/>
            <w:vAlign w:val="center"/>
          </w:tcPr>
          <w:p w14:paraId="68EE1B91"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10</w:t>
            </w:r>
          </w:p>
        </w:tc>
        <w:tc>
          <w:tcPr>
            <w:tcW w:w="726" w:type="dxa"/>
            <w:vAlign w:val="center"/>
          </w:tcPr>
          <w:p w14:paraId="11A47BA5"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13</w:t>
            </w:r>
          </w:p>
        </w:tc>
        <w:tc>
          <w:tcPr>
            <w:tcW w:w="691" w:type="dxa"/>
            <w:vAlign w:val="center"/>
          </w:tcPr>
          <w:p w14:paraId="6E2826FB"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68</w:t>
            </w:r>
          </w:p>
        </w:tc>
        <w:tc>
          <w:tcPr>
            <w:tcW w:w="727" w:type="dxa"/>
            <w:vAlign w:val="center"/>
          </w:tcPr>
          <w:p w14:paraId="156C5450"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80</w:t>
            </w:r>
          </w:p>
        </w:tc>
      </w:tr>
      <w:tr w:rsidR="00760AAE" w:rsidRPr="001B4CA2" w14:paraId="3599C47B" w14:textId="77777777" w:rsidTr="006D0A51">
        <w:trPr>
          <w:trHeight w:val="454"/>
          <w:jc w:val="center"/>
        </w:trPr>
        <w:tc>
          <w:tcPr>
            <w:tcW w:w="948" w:type="dxa"/>
            <w:shd w:val="clear" w:color="auto" w:fill="auto"/>
            <w:vAlign w:val="center"/>
          </w:tcPr>
          <w:p w14:paraId="14656E27"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Ukupno</w:t>
            </w:r>
          </w:p>
        </w:tc>
        <w:tc>
          <w:tcPr>
            <w:tcW w:w="567" w:type="dxa"/>
            <w:shd w:val="clear" w:color="auto" w:fill="auto"/>
            <w:vAlign w:val="center"/>
          </w:tcPr>
          <w:p w14:paraId="123F9820"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447</w:t>
            </w:r>
          </w:p>
        </w:tc>
        <w:tc>
          <w:tcPr>
            <w:tcW w:w="709" w:type="dxa"/>
            <w:shd w:val="clear" w:color="auto" w:fill="auto"/>
            <w:vAlign w:val="center"/>
          </w:tcPr>
          <w:p w14:paraId="2CBBC1D1"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640</w:t>
            </w:r>
          </w:p>
        </w:tc>
        <w:tc>
          <w:tcPr>
            <w:tcW w:w="578" w:type="dxa"/>
            <w:shd w:val="clear" w:color="auto" w:fill="auto"/>
            <w:vAlign w:val="center"/>
          </w:tcPr>
          <w:p w14:paraId="3A073FA0"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150</w:t>
            </w:r>
          </w:p>
        </w:tc>
        <w:tc>
          <w:tcPr>
            <w:tcW w:w="697" w:type="dxa"/>
            <w:shd w:val="clear" w:color="auto" w:fill="auto"/>
            <w:vAlign w:val="center"/>
          </w:tcPr>
          <w:p w14:paraId="4320A8A7"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196</w:t>
            </w:r>
          </w:p>
        </w:tc>
        <w:tc>
          <w:tcPr>
            <w:tcW w:w="490" w:type="dxa"/>
            <w:shd w:val="clear" w:color="auto" w:fill="auto"/>
            <w:vAlign w:val="center"/>
          </w:tcPr>
          <w:p w14:paraId="56F2EC1A"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13</w:t>
            </w:r>
          </w:p>
        </w:tc>
        <w:tc>
          <w:tcPr>
            <w:tcW w:w="644" w:type="dxa"/>
            <w:shd w:val="clear" w:color="auto" w:fill="auto"/>
            <w:vAlign w:val="center"/>
          </w:tcPr>
          <w:p w14:paraId="40588EB1"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17</w:t>
            </w:r>
          </w:p>
        </w:tc>
        <w:tc>
          <w:tcPr>
            <w:tcW w:w="567" w:type="dxa"/>
            <w:shd w:val="clear" w:color="auto" w:fill="auto"/>
            <w:vAlign w:val="center"/>
          </w:tcPr>
          <w:p w14:paraId="2066EFB3"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820</w:t>
            </w:r>
          </w:p>
        </w:tc>
        <w:tc>
          <w:tcPr>
            <w:tcW w:w="567" w:type="dxa"/>
            <w:shd w:val="clear" w:color="auto" w:fill="auto"/>
            <w:vAlign w:val="center"/>
          </w:tcPr>
          <w:p w14:paraId="28065FE0"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881</w:t>
            </w:r>
          </w:p>
        </w:tc>
        <w:tc>
          <w:tcPr>
            <w:tcW w:w="632" w:type="dxa"/>
            <w:shd w:val="clear" w:color="auto" w:fill="auto"/>
            <w:vAlign w:val="center"/>
          </w:tcPr>
          <w:p w14:paraId="1798D08C"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80</w:t>
            </w:r>
          </w:p>
        </w:tc>
        <w:tc>
          <w:tcPr>
            <w:tcW w:w="726" w:type="dxa"/>
            <w:shd w:val="clear" w:color="auto" w:fill="auto"/>
            <w:vAlign w:val="center"/>
          </w:tcPr>
          <w:p w14:paraId="5C8538DD"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137</w:t>
            </w:r>
          </w:p>
        </w:tc>
        <w:tc>
          <w:tcPr>
            <w:tcW w:w="691" w:type="dxa"/>
            <w:shd w:val="clear" w:color="auto" w:fill="auto"/>
            <w:vAlign w:val="center"/>
          </w:tcPr>
          <w:p w14:paraId="7DE3645A" w14:textId="05F0085C"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1510</w:t>
            </w:r>
          </w:p>
        </w:tc>
        <w:tc>
          <w:tcPr>
            <w:tcW w:w="727" w:type="dxa"/>
            <w:shd w:val="clear" w:color="auto" w:fill="auto"/>
            <w:vAlign w:val="center"/>
          </w:tcPr>
          <w:p w14:paraId="178DCA62" w14:textId="1AD70571"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1871</w:t>
            </w:r>
          </w:p>
        </w:tc>
      </w:tr>
    </w:tbl>
    <w:p w14:paraId="671362F8" w14:textId="77777777" w:rsidR="00760AAE" w:rsidRPr="001B4CA2" w:rsidRDefault="00760AAE" w:rsidP="00760AAE">
      <w:pPr>
        <w:rPr>
          <w:rFonts w:eastAsia="Calibri"/>
        </w:rPr>
      </w:pPr>
    </w:p>
    <w:p w14:paraId="6DC8BE73" w14:textId="45F8745A" w:rsidR="00760AAE" w:rsidRPr="001B4CA2" w:rsidRDefault="00760AAE" w:rsidP="00760AAE">
      <w:pPr>
        <w:ind w:firstLine="708"/>
        <w:rPr>
          <w:rFonts w:eastAsia="Calibri"/>
          <w:color w:val="000000"/>
        </w:rPr>
      </w:pPr>
      <w:r w:rsidRPr="001B4CA2">
        <w:rPr>
          <w:rFonts w:eastAsia="Calibri"/>
          <w:color w:val="000000"/>
        </w:rPr>
        <w:t>U svim državnim odvjetništvima na kraju 2022. bila je zaposlena ukupno 1871 osoba, što je 17 zaposlenika više nego 2021. godine.</w:t>
      </w:r>
    </w:p>
    <w:p w14:paraId="493F335E" w14:textId="77777777" w:rsidR="00760AAE" w:rsidRPr="001B4CA2" w:rsidRDefault="00760AAE" w:rsidP="00760AAE">
      <w:pPr>
        <w:rPr>
          <w:rFonts w:eastAsia="Calibri"/>
          <w:color w:val="000000"/>
        </w:rPr>
      </w:pPr>
    </w:p>
    <w:p w14:paraId="18A28514" w14:textId="69DE92FE" w:rsidR="00760AAE" w:rsidRPr="001B4CA2" w:rsidRDefault="00760AAE" w:rsidP="00760AAE">
      <w:pPr>
        <w:ind w:firstLine="708"/>
        <w:rPr>
          <w:rFonts w:eastAsia="Calibri"/>
          <w:strike/>
          <w:color w:val="000000"/>
        </w:rPr>
      </w:pPr>
      <w:proofErr w:type="spellStart"/>
      <w:r w:rsidRPr="001B4CA2">
        <w:rPr>
          <w:rFonts w:eastAsia="Calibri"/>
          <w:color w:val="000000"/>
        </w:rPr>
        <w:t>Državnoodvjetničku</w:t>
      </w:r>
      <w:proofErr w:type="spellEnd"/>
      <w:r w:rsidRPr="001B4CA2">
        <w:rPr>
          <w:rFonts w:eastAsia="Calibri"/>
          <w:color w:val="000000"/>
        </w:rPr>
        <w:t xml:space="preserve"> dužnost u svim državnim odvjetništvima 31. prosinca 2022. obnašalo je 640 državnih odvjetnika i njihovih zamjenika, odnosno 6 dužnosnika više nego 2021. godine. Pri tome treba istaknuti da je važećom sistematizacijom predviđeno da </w:t>
      </w:r>
      <w:proofErr w:type="spellStart"/>
      <w:r w:rsidRPr="001B4CA2">
        <w:rPr>
          <w:rFonts w:eastAsia="Calibri"/>
          <w:color w:val="000000"/>
        </w:rPr>
        <w:t>državnoodvjetničku</w:t>
      </w:r>
      <w:proofErr w:type="spellEnd"/>
      <w:r w:rsidRPr="001B4CA2">
        <w:rPr>
          <w:rFonts w:eastAsia="Calibri"/>
          <w:color w:val="000000"/>
        </w:rPr>
        <w:t xml:space="preserve"> dužnost na svim razinama obnašaju 43 državna odvjetnika, koja su radna mjesta bila popunjena. Sistematizacijom je predviđeno</w:t>
      </w:r>
      <w:r w:rsidR="001B4CA2">
        <w:rPr>
          <w:rFonts w:eastAsia="Calibri"/>
          <w:color w:val="000000"/>
        </w:rPr>
        <w:t xml:space="preserve"> </w:t>
      </w:r>
      <w:r w:rsidRPr="001B4CA2">
        <w:rPr>
          <w:rFonts w:eastAsia="Calibri"/>
          <w:color w:val="000000"/>
        </w:rPr>
        <w:t xml:space="preserve">778 radnih mjesta zamjenika državnih odvjetnika, od kojeg je </w:t>
      </w:r>
      <w:r w:rsidR="00670F8C" w:rsidRPr="001B4CA2">
        <w:rPr>
          <w:rFonts w:eastAsia="Calibri"/>
          <w:color w:val="000000"/>
        </w:rPr>
        <w:t>broja</w:t>
      </w:r>
      <w:r w:rsidR="00670F8C">
        <w:rPr>
          <w:rFonts w:eastAsia="Calibri"/>
          <w:color w:val="000000"/>
        </w:rPr>
        <w:t xml:space="preserve"> </w:t>
      </w:r>
      <w:r w:rsidRPr="001B4CA2">
        <w:rPr>
          <w:rFonts w:eastAsia="Calibri"/>
          <w:color w:val="000000"/>
        </w:rPr>
        <w:t>bilo popunjeno 597 mjesta zamjenika (76,7</w:t>
      </w:r>
      <w:r w:rsidR="00670F8C">
        <w:rPr>
          <w:rFonts w:eastAsia="Calibri"/>
          <w:color w:val="000000"/>
        </w:rPr>
        <w:t> </w:t>
      </w:r>
      <w:r w:rsidRPr="001B4CA2">
        <w:rPr>
          <w:rFonts w:eastAsia="Calibri"/>
          <w:color w:val="000000"/>
        </w:rPr>
        <w:t xml:space="preserve">%), dok je 181 zamjeničko mjesto ili 23,3 % bilo nepopunjeno. </w:t>
      </w:r>
    </w:p>
    <w:p w14:paraId="2DD80145" w14:textId="77777777" w:rsidR="00760AAE" w:rsidRPr="001B4CA2" w:rsidRDefault="00760AAE" w:rsidP="00760AAE">
      <w:pPr>
        <w:rPr>
          <w:rFonts w:eastAsia="Calibri"/>
          <w:color w:val="000000"/>
        </w:rPr>
      </w:pPr>
    </w:p>
    <w:p w14:paraId="52B585F6" w14:textId="270947B4" w:rsidR="00760AAE" w:rsidRPr="001B4CA2" w:rsidRDefault="00760AAE" w:rsidP="00760AAE">
      <w:pPr>
        <w:ind w:firstLine="708"/>
        <w:rPr>
          <w:rFonts w:eastAsia="Calibri"/>
          <w:color w:val="000000"/>
        </w:rPr>
      </w:pPr>
      <w:r w:rsidRPr="001B4CA2">
        <w:rPr>
          <w:rFonts w:eastAsia="Calibri"/>
          <w:color w:val="000000"/>
        </w:rPr>
        <w:t>Tijekom 2022. godine od 32 sistematizirana radna mjesta zamjenika Glavnog državnog odvjetnika bilo je popunjeno 25 mjesta zamjenika. U Državnom odvjetništvu Republike Hrvatske zaposlena su dva nova zamjenika</w:t>
      </w:r>
      <w:r w:rsidR="00670F8C">
        <w:rPr>
          <w:rFonts w:eastAsia="Calibri"/>
          <w:color w:val="000000"/>
        </w:rPr>
        <w:t>,</w:t>
      </w:r>
      <w:r w:rsidRPr="001B4CA2">
        <w:rPr>
          <w:rFonts w:eastAsia="Calibri"/>
          <w:color w:val="000000"/>
        </w:rPr>
        <w:t xml:space="preserve"> i to u građansko-upravni odjel, dok se duže vrijeme upražnjena zamjenička mjesta u kaznenom odjelu nisu popunjavala</w:t>
      </w:r>
      <w:r w:rsidR="00670F8C">
        <w:rPr>
          <w:rFonts w:eastAsia="Calibri"/>
          <w:color w:val="000000"/>
        </w:rPr>
        <w:t>,</w:t>
      </w:r>
      <w:r w:rsidRPr="001B4CA2">
        <w:rPr>
          <w:rFonts w:eastAsia="Calibri"/>
          <w:color w:val="000000"/>
        </w:rPr>
        <w:t xml:space="preserve"> i to zbog očekivanog osnivanja Visokog</w:t>
      </w:r>
      <w:r w:rsidR="00670F8C">
        <w:rPr>
          <w:rFonts w:eastAsia="Calibri"/>
          <w:color w:val="000000"/>
        </w:rPr>
        <w:t>a</w:t>
      </w:r>
      <w:r w:rsidRPr="001B4CA2">
        <w:rPr>
          <w:rFonts w:eastAsia="Calibri"/>
          <w:color w:val="000000"/>
        </w:rPr>
        <w:t xml:space="preserve"> državnog odvjetništva, koje još nije osnovano, a što bi svakako </w:t>
      </w:r>
      <w:r w:rsidR="00670F8C">
        <w:rPr>
          <w:rFonts w:eastAsia="Calibri"/>
          <w:color w:val="000000"/>
        </w:rPr>
        <w:t>imalo</w:t>
      </w:r>
      <w:r w:rsidRPr="001B4CA2">
        <w:rPr>
          <w:rFonts w:eastAsia="Calibri"/>
          <w:color w:val="000000"/>
        </w:rPr>
        <w:t xml:space="preserve"> utjecaja na broj zamjenika koje je nužno zaposliti u najvišem državnom odvjetništvu.</w:t>
      </w:r>
    </w:p>
    <w:p w14:paraId="18E11CAA" w14:textId="77777777" w:rsidR="00760AAE" w:rsidRPr="001B4CA2" w:rsidRDefault="00760AAE" w:rsidP="00760AAE">
      <w:pPr>
        <w:rPr>
          <w:rFonts w:eastAsia="Calibri"/>
          <w:color w:val="000000"/>
        </w:rPr>
      </w:pPr>
    </w:p>
    <w:p w14:paraId="0F1567A0" w14:textId="77777777" w:rsidR="00760AAE" w:rsidRPr="001B4CA2" w:rsidRDefault="00760AAE" w:rsidP="00760AAE">
      <w:pPr>
        <w:ind w:firstLine="709"/>
        <w:rPr>
          <w:rFonts w:eastAsia="Calibri"/>
          <w:color w:val="000000"/>
        </w:rPr>
      </w:pPr>
      <w:r w:rsidRPr="001B4CA2">
        <w:rPr>
          <w:rFonts w:eastAsia="Calibri"/>
          <w:color w:val="000000"/>
        </w:rPr>
        <w:t xml:space="preserve">Prema spolnoj strukturi </w:t>
      </w:r>
      <w:proofErr w:type="spellStart"/>
      <w:r w:rsidRPr="001B4CA2">
        <w:rPr>
          <w:rFonts w:eastAsia="Calibri"/>
          <w:color w:val="000000"/>
        </w:rPr>
        <w:t>državnoodvjetničkih</w:t>
      </w:r>
      <w:proofErr w:type="spellEnd"/>
      <w:r w:rsidRPr="001B4CA2">
        <w:rPr>
          <w:rFonts w:eastAsia="Calibri"/>
          <w:color w:val="000000"/>
        </w:rPr>
        <w:t xml:space="preserve"> dužnosnika 69,84 % čine žene. Žene čine 80,71 % svih zaposlenih osoba u državnim odvjetništvima.</w:t>
      </w:r>
    </w:p>
    <w:p w14:paraId="79259CC2" w14:textId="3201199F" w:rsidR="00760AAE" w:rsidRPr="001B4CA2" w:rsidRDefault="00760AAE" w:rsidP="00760AAE">
      <w:pPr>
        <w:rPr>
          <w:rFonts w:eastAsia="Calibri"/>
        </w:rPr>
      </w:pPr>
    </w:p>
    <w:p w14:paraId="6F40B45D" w14:textId="20543831" w:rsidR="00760AAE" w:rsidRPr="001B4CA2" w:rsidRDefault="00760AAE" w:rsidP="00760AAE">
      <w:pPr>
        <w:rPr>
          <w:rFonts w:eastAsia="Calibri"/>
        </w:rPr>
      </w:pPr>
    </w:p>
    <w:p w14:paraId="59FC7290" w14:textId="44C3D215" w:rsidR="00760AAE" w:rsidRPr="001B4CA2" w:rsidRDefault="00760AAE" w:rsidP="00760AAE">
      <w:pPr>
        <w:rPr>
          <w:rFonts w:eastAsia="Calibri"/>
        </w:rPr>
      </w:pPr>
    </w:p>
    <w:p w14:paraId="275F4C51" w14:textId="0DFF8D5B" w:rsidR="00760AAE" w:rsidRPr="001B4CA2" w:rsidRDefault="00760AAE" w:rsidP="00760AAE">
      <w:pPr>
        <w:rPr>
          <w:rFonts w:eastAsia="Calibri"/>
        </w:rPr>
      </w:pPr>
    </w:p>
    <w:p w14:paraId="1FDE8BF1" w14:textId="37AB52A6" w:rsidR="00760AAE" w:rsidRPr="001B4CA2" w:rsidRDefault="00760AAE" w:rsidP="00760AAE">
      <w:pPr>
        <w:rPr>
          <w:rFonts w:eastAsia="Calibri"/>
        </w:rPr>
      </w:pPr>
    </w:p>
    <w:p w14:paraId="428E89B0" w14:textId="7145078A" w:rsidR="00760AAE" w:rsidRPr="001B4CA2" w:rsidRDefault="00760AAE" w:rsidP="00760AAE">
      <w:pPr>
        <w:rPr>
          <w:rFonts w:eastAsia="Calibri"/>
        </w:rPr>
      </w:pPr>
    </w:p>
    <w:p w14:paraId="003F3AD7" w14:textId="14C0E768" w:rsidR="00760AAE" w:rsidRPr="001B4CA2" w:rsidRDefault="00760AAE" w:rsidP="00760AAE">
      <w:pPr>
        <w:rPr>
          <w:rFonts w:eastAsia="Calibri"/>
        </w:rPr>
      </w:pPr>
    </w:p>
    <w:p w14:paraId="477A3515" w14:textId="36534698" w:rsidR="00760AAE" w:rsidRPr="001B4CA2" w:rsidRDefault="00760AAE" w:rsidP="00760AAE">
      <w:pPr>
        <w:rPr>
          <w:rFonts w:eastAsia="Calibri"/>
        </w:rPr>
      </w:pPr>
    </w:p>
    <w:p w14:paraId="33C80AB7" w14:textId="77777777" w:rsidR="00760AAE" w:rsidRPr="001B4CA2" w:rsidRDefault="00760AAE" w:rsidP="00760AAE">
      <w:pPr>
        <w:rPr>
          <w:rFonts w:eastAsia="Calibri"/>
        </w:rPr>
      </w:pPr>
    </w:p>
    <w:p w14:paraId="32FBB491" w14:textId="77777777" w:rsidR="00760AAE" w:rsidRPr="001B4CA2" w:rsidRDefault="00760AAE" w:rsidP="00760AAE">
      <w:pPr>
        <w:ind w:left="426"/>
        <w:rPr>
          <w:rFonts w:eastAsia="Calibri"/>
        </w:rPr>
      </w:pPr>
      <w:r w:rsidRPr="001B4CA2">
        <w:rPr>
          <w:rFonts w:eastAsia="Calibri"/>
          <w:i/>
        </w:rPr>
        <w:lastRenderedPageBreak/>
        <w:t>Struktura zaposlenih službenika i namještenika</w:t>
      </w:r>
    </w:p>
    <w:tbl>
      <w:tblPr>
        <w:tblStyle w:val="Reetkatablice13"/>
        <w:tblW w:w="0" w:type="auto"/>
        <w:jc w:val="center"/>
        <w:tblLayout w:type="fixed"/>
        <w:tblLook w:val="04A0" w:firstRow="1" w:lastRow="0" w:firstColumn="1" w:lastColumn="0" w:noHBand="0" w:noVBand="1"/>
      </w:tblPr>
      <w:tblGrid>
        <w:gridCol w:w="1022"/>
        <w:gridCol w:w="786"/>
        <w:gridCol w:w="880"/>
        <w:gridCol w:w="852"/>
        <w:gridCol w:w="707"/>
        <w:gridCol w:w="866"/>
        <w:gridCol w:w="694"/>
        <w:gridCol w:w="879"/>
        <w:gridCol w:w="787"/>
        <w:gridCol w:w="1021"/>
      </w:tblGrid>
      <w:tr w:rsidR="00760AAE" w:rsidRPr="001B4CA2" w14:paraId="656C01CC" w14:textId="77777777" w:rsidTr="006D0A51">
        <w:trPr>
          <w:trHeight w:val="512"/>
          <w:jc w:val="center"/>
        </w:trPr>
        <w:tc>
          <w:tcPr>
            <w:tcW w:w="1022" w:type="dxa"/>
            <w:vMerge w:val="restart"/>
            <w:shd w:val="clear" w:color="auto" w:fill="99CCFF"/>
            <w:textDirection w:val="btLr"/>
            <w:vAlign w:val="center"/>
          </w:tcPr>
          <w:p w14:paraId="7D4ADC57"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Državno odvjetništvo</w:t>
            </w:r>
          </w:p>
        </w:tc>
        <w:tc>
          <w:tcPr>
            <w:tcW w:w="786" w:type="dxa"/>
            <w:vMerge w:val="restart"/>
            <w:shd w:val="clear" w:color="auto" w:fill="99CCFF"/>
            <w:textDirection w:val="btLr"/>
            <w:vAlign w:val="center"/>
          </w:tcPr>
          <w:p w14:paraId="3BF3E241"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Ukupno</w:t>
            </w:r>
          </w:p>
        </w:tc>
        <w:tc>
          <w:tcPr>
            <w:tcW w:w="1732" w:type="dxa"/>
            <w:gridSpan w:val="2"/>
            <w:shd w:val="clear" w:color="auto" w:fill="99CCFF"/>
            <w:vAlign w:val="center"/>
          </w:tcPr>
          <w:p w14:paraId="163B99C7"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Savjetnici i stručni suradnici</w:t>
            </w:r>
          </w:p>
        </w:tc>
        <w:tc>
          <w:tcPr>
            <w:tcW w:w="1573" w:type="dxa"/>
            <w:gridSpan w:val="2"/>
            <w:shd w:val="clear" w:color="auto" w:fill="99CCFF"/>
            <w:vAlign w:val="center"/>
          </w:tcPr>
          <w:p w14:paraId="078729AF"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Vježbenici</w:t>
            </w:r>
          </w:p>
        </w:tc>
        <w:tc>
          <w:tcPr>
            <w:tcW w:w="1573" w:type="dxa"/>
            <w:gridSpan w:val="2"/>
            <w:shd w:val="clear" w:color="auto" w:fill="99CCFF"/>
            <w:vAlign w:val="center"/>
          </w:tcPr>
          <w:p w14:paraId="6756CF80"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Službenici</w:t>
            </w:r>
          </w:p>
        </w:tc>
        <w:tc>
          <w:tcPr>
            <w:tcW w:w="1808" w:type="dxa"/>
            <w:gridSpan w:val="2"/>
            <w:shd w:val="clear" w:color="auto" w:fill="99CCFF"/>
            <w:vAlign w:val="center"/>
          </w:tcPr>
          <w:p w14:paraId="086352CC"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Namještenici</w:t>
            </w:r>
          </w:p>
        </w:tc>
      </w:tr>
      <w:tr w:rsidR="00760AAE" w:rsidRPr="001B4CA2" w14:paraId="28168C5C" w14:textId="77777777" w:rsidTr="00760AAE">
        <w:trPr>
          <w:cantSplit/>
          <w:trHeight w:val="1031"/>
          <w:jc w:val="center"/>
        </w:trPr>
        <w:tc>
          <w:tcPr>
            <w:tcW w:w="1022" w:type="dxa"/>
            <w:vMerge/>
            <w:shd w:val="clear" w:color="auto" w:fill="99CCFF"/>
            <w:vAlign w:val="center"/>
          </w:tcPr>
          <w:p w14:paraId="7B8DD6F5"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p>
        </w:tc>
        <w:tc>
          <w:tcPr>
            <w:tcW w:w="786" w:type="dxa"/>
            <w:vMerge/>
            <w:shd w:val="clear" w:color="auto" w:fill="99CCFF"/>
            <w:textDirection w:val="btLr"/>
            <w:vAlign w:val="center"/>
          </w:tcPr>
          <w:p w14:paraId="0B7C6BC5"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p>
        </w:tc>
        <w:tc>
          <w:tcPr>
            <w:tcW w:w="880" w:type="dxa"/>
            <w:shd w:val="clear" w:color="auto" w:fill="99CCFF"/>
            <w:textDirection w:val="btLr"/>
            <w:vAlign w:val="center"/>
          </w:tcPr>
          <w:p w14:paraId="3F3F144C"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Broj zaposlenih</w:t>
            </w:r>
          </w:p>
        </w:tc>
        <w:tc>
          <w:tcPr>
            <w:tcW w:w="852" w:type="dxa"/>
            <w:shd w:val="clear" w:color="auto" w:fill="99CCFF"/>
            <w:textDirection w:val="btLr"/>
            <w:vAlign w:val="center"/>
          </w:tcPr>
          <w:p w14:paraId="71FA7622"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Udio (%)</w:t>
            </w:r>
          </w:p>
        </w:tc>
        <w:tc>
          <w:tcPr>
            <w:tcW w:w="707" w:type="dxa"/>
            <w:shd w:val="clear" w:color="auto" w:fill="99CCFF"/>
            <w:textDirection w:val="btLr"/>
            <w:vAlign w:val="center"/>
          </w:tcPr>
          <w:p w14:paraId="3092DDFB"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Broj zaposlenih</w:t>
            </w:r>
          </w:p>
        </w:tc>
        <w:tc>
          <w:tcPr>
            <w:tcW w:w="866" w:type="dxa"/>
            <w:shd w:val="clear" w:color="auto" w:fill="99CCFF"/>
            <w:textDirection w:val="btLr"/>
            <w:vAlign w:val="center"/>
          </w:tcPr>
          <w:p w14:paraId="0D5AA1C1"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Udio (%)</w:t>
            </w:r>
          </w:p>
        </w:tc>
        <w:tc>
          <w:tcPr>
            <w:tcW w:w="694" w:type="dxa"/>
            <w:shd w:val="clear" w:color="auto" w:fill="99CCFF"/>
            <w:textDirection w:val="btLr"/>
            <w:vAlign w:val="center"/>
          </w:tcPr>
          <w:p w14:paraId="68FC2C19"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Broj zaposlenih</w:t>
            </w:r>
          </w:p>
        </w:tc>
        <w:tc>
          <w:tcPr>
            <w:tcW w:w="879" w:type="dxa"/>
            <w:shd w:val="clear" w:color="auto" w:fill="99CCFF"/>
            <w:textDirection w:val="btLr"/>
            <w:vAlign w:val="center"/>
          </w:tcPr>
          <w:p w14:paraId="2D34A3C2"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Udio (%)</w:t>
            </w:r>
          </w:p>
        </w:tc>
        <w:tc>
          <w:tcPr>
            <w:tcW w:w="787" w:type="dxa"/>
            <w:shd w:val="clear" w:color="auto" w:fill="99CCFF"/>
            <w:textDirection w:val="btLr"/>
            <w:vAlign w:val="center"/>
          </w:tcPr>
          <w:p w14:paraId="577B19CC"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Broj zaposlenih</w:t>
            </w:r>
          </w:p>
        </w:tc>
        <w:tc>
          <w:tcPr>
            <w:tcW w:w="1021" w:type="dxa"/>
            <w:shd w:val="clear" w:color="auto" w:fill="99CCFF"/>
            <w:textDirection w:val="btLr"/>
            <w:vAlign w:val="center"/>
          </w:tcPr>
          <w:p w14:paraId="28999C86" w14:textId="77777777" w:rsidR="00760AAE" w:rsidRPr="001F53E7" w:rsidRDefault="00760AAE" w:rsidP="006D0A51">
            <w:pPr>
              <w:widowControl w:val="0"/>
              <w:autoSpaceDE w:val="0"/>
              <w:autoSpaceDN w:val="0"/>
              <w:adjustRightInd w:val="0"/>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Udio (%)</w:t>
            </w:r>
          </w:p>
        </w:tc>
      </w:tr>
      <w:tr w:rsidR="00760AAE" w:rsidRPr="001B4CA2" w14:paraId="40DA8A6D" w14:textId="77777777" w:rsidTr="006D0A51">
        <w:trPr>
          <w:trHeight w:val="456"/>
          <w:jc w:val="center"/>
        </w:trPr>
        <w:tc>
          <w:tcPr>
            <w:tcW w:w="1022" w:type="dxa"/>
            <w:shd w:val="clear" w:color="auto" w:fill="auto"/>
            <w:vAlign w:val="center"/>
          </w:tcPr>
          <w:p w14:paraId="04136A6F"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ODO</w:t>
            </w:r>
          </w:p>
        </w:tc>
        <w:tc>
          <w:tcPr>
            <w:tcW w:w="786" w:type="dxa"/>
            <w:vAlign w:val="center"/>
          </w:tcPr>
          <w:p w14:paraId="77E6E2F6"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808</w:t>
            </w:r>
          </w:p>
        </w:tc>
        <w:tc>
          <w:tcPr>
            <w:tcW w:w="880" w:type="dxa"/>
            <w:vAlign w:val="center"/>
          </w:tcPr>
          <w:p w14:paraId="6F9DF1DF"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136</w:t>
            </w:r>
          </w:p>
        </w:tc>
        <w:tc>
          <w:tcPr>
            <w:tcW w:w="852" w:type="dxa"/>
            <w:vAlign w:val="center"/>
          </w:tcPr>
          <w:p w14:paraId="1954F79E"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16,83%</w:t>
            </w:r>
          </w:p>
        </w:tc>
        <w:tc>
          <w:tcPr>
            <w:tcW w:w="707" w:type="dxa"/>
            <w:vAlign w:val="center"/>
          </w:tcPr>
          <w:p w14:paraId="6BAC28C2"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17</w:t>
            </w:r>
          </w:p>
        </w:tc>
        <w:tc>
          <w:tcPr>
            <w:tcW w:w="866" w:type="dxa"/>
            <w:vAlign w:val="center"/>
          </w:tcPr>
          <w:p w14:paraId="46A49BCD"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2,10%</w:t>
            </w:r>
          </w:p>
        </w:tc>
        <w:tc>
          <w:tcPr>
            <w:tcW w:w="694" w:type="dxa"/>
            <w:vAlign w:val="center"/>
          </w:tcPr>
          <w:p w14:paraId="33F9F51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584</w:t>
            </w:r>
          </w:p>
        </w:tc>
        <w:tc>
          <w:tcPr>
            <w:tcW w:w="879" w:type="dxa"/>
            <w:vAlign w:val="center"/>
          </w:tcPr>
          <w:p w14:paraId="173C699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72,28%</w:t>
            </w:r>
          </w:p>
        </w:tc>
        <w:tc>
          <w:tcPr>
            <w:tcW w:w="787" w:type="dxa"/>
            <w:vAlign w:val="center"/>
          </w:tcPr>
          <w:p w14:paraId="03ABB7D3"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71</w:t>
            </w:r>
          </w:p>
        </w:tc>
        <w:tc>
          <w:tcPr>
            <w:tcW w:w="1021" w:type="dxa"/>
            <w:vAlign w:val="center"/>
          </w:tcPr>
          <w:p w14:paraId="6DB7D7B1"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8,79%</w:t>
            </w:r>
          </w:p>
        </w:tc>
      </w:tr>
      <w:tr w:rsidR="00760AAE" w:rsidRPr="001B4CA2" w14:paraId="7D87655B" w14:textId="77777777" w:rsidTr="006D0A51">
        <w:trPr>
          <w:trHeight w:val="456"/>
          <w:jc w:val="center"/>
        </w:trPr>
        <w:tc>
          <w:tcPr>
            <w:tcW w:w="1022" w:type="dxa"/>
            <w:shd w:val="clear" w:color="auto" w:fill="auto"/>
            <w:vAlign w:val="center"/>
          </w:tcPr>
          <w:p w14:paraId="1AFD4B72"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ŽDO</w:t>
            </w:r>
          </w:p>
        </w:tc>
        <w:tc>
          <w:tcPr>
            <w:tcW w:w="786" w:type="dxa"/>
            <w:vAlign w:val="center"/>
          </w:tcPr>
          <w:p w14:paraId="024411B6"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307</w:t>
            </w:r>
          </w:p>
        </w:tc>
        <w:tc>
          <w:tcPr>
            <w:tcW w:w="880" w:type="dxa"/>
            <w:vAlign w:val="center"/>
          </w:tcPr>
          <w:p w14:paraId="08681690"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33</w:t>
            </w:r>
          </w:p>
        </w:tc>
        <w:tc>
          <w:tcPr>
            <w:tcW w:w="852" w:type="dxa"/>
            <w:vAlign w:val="center"/>
          </w:tcPr>
          <w:p w14:paraId="1C364292"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10,75%</w:t>
            </w:r>
          </w:p>
        </w:tc>
        <w:tc>
          <w:tcPr>
            <w:tcW w:w="707" w:type="dxa"/>
            <w:vAlign w:val="center"/>
          </w:tcPr>
          <w:p w14:paraId="68A4A49B" w14:textId="77777777" w:rsidR="00760AAE" w:rsidRPr="001F53E7" w:rsidRDefault="00760AAE" w:rsidP="006D0A51">
            <w:pPr>
              <w:jc w:val="center"/>
              <w:rPr>
                <w:rFonts w:asciiTheme="majorHAnsi" w:hAnsiTheme="majorHAnsi" w:cstheme="majorHAnsi"/>
                <w:sz w:val="18"/>
                <w:szCs w:val="18"/>
              </w:rPr>
            </w:pPr>
          </w:p>
        </w:tc>
        <w:tc>
          <w:tcPr>
            <w:tcW w:w="866" w:type="dxa"/>
            <w:vAlign w:val="center"/>
          </w:tcPr>
          <w:p w14:paraId="0F4BCD81"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0,00%</w:t>
            </w:r>
          </w:p>
        </w:tc>
        <w:tc>
          <w:tcPr>
            <w:tcW w:w="694" w:type="dxa"/>
            <w:vAlign w:val="center"/>
          </w:tcPr>
          <w:p w14:paraId="6A177AF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229</w:t>
            </w:r>
          </w:p>
        </w:tc>
        <w:tc>
          <w:tcPr>
            <w:tcW w:w="879" w:type="dxa"/>
            <w:vAlign w:val="center"/>
          </w:tcPr>
          <w:p w14:paraId="21D56346"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74,59%</w:t>
            </w:r>
          </w:p>
        </w:tc>
        <w:tc>
          <w:tcPr>
            <w:tcW w:w="787" w:type="dxa"/>
            <w:vAlign w:val="center"/>
          </w:tcPr>
          <w:p w14:paraId="124E2C7B"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45</w:t>
            </w:r>
          </w:p>
        </w:tc>
        <w:tc>
          <w:tcPr>
            <w:tcW w:w="1021" w:type="dxa"/>
            <w:vAlign w:val="center"/>
          </w:tcPr>
          <w:p w14:paraId="5C0D1910"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14,66%</w:t>
            </w:r>
          </w:p>
        </w:tc>
      </w:tr>
      <w:tr w:rsidR="00760AAE" w:rsidRPr="001B4CA2" w14:paraId="315CB57A" w14:textId="77777777" w:rsidTr="006D0A51">
        <w:trPr>
          <w:trHeight w:val="456"/>
          <w:jc w:val="center"/>
        </w:trPr>
        <w:tc>
          <w:tcPr>
            <w:tcW w:w="1022" w:type="dxa"/>
            <w:shd w:val="clear" w:color="auto" w:fill="auto"/>
            <w:vAlign w:val="center"/>
          </w:tcPr>
          <w:p w14:paraId="4E485F80"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USKOK</w:t>
            </w:r>
          </w:p>
        </w:tc>
        <w:tc>
          <w:tcPr>
            <w:tcW w:w="786" w:type="dxa"/>
            <w:vAlign w:val="center"/>
          </w:tcPr>
          <w:p w14:paraId="49848CB0"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62</w:t>
            </w:r>
          </w:p>
        </w:tc>
        <w:tc>
          <w:tcPr>
            <w:tcW w:w="880" w:type="dxa"/>
            <w:vAlign w:val="center"/>
          </w:tcPr>
          <w:p w14:paraId="7D1617F2"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20</w:t>
            </w:r>
          </w:p>
        </w:tc>
        <w:tc>
          <w:tcPr>
            <w:tcW w:w="852" w:type="dxa"/>
            <w:vAlign w:val="center"/>
          </w:tcPr>
          <w:p w14:paraId="53A1A137"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32,26%</w:t>
            </w:r>
          </w:p>
        </w:tc>
        <w:tc>
          <w:tcPr>
            <w:tcW w:w="707" w:type="dxa"/>
            <w:vAlign w:val="center"/>
          </w:tcPr>
          <w:p w14:paraId="7AB29005" w14:textId="77777777" w:rsidR="00760AAE" w:rsidRPr="001F53E7" w:rsidRDefault="00760AAE" w:rsidP="006D0A51">
            <w:pPr>
              <w:rPr>
                <w:rFonts w:asciiTheme="majorHAnsi" w:hAnsiTheme="majorHAnsi" w:cstheme="majorHAnsi"/>
                <w:sz w:val="18"/>
                <w:szCs w:val="18"/>
              </w:rPr>
            </w:pPr>
          </w:p>
        </w:tc>
        <w:tc>
          <w:tcPr>
            <w:tcW w:w="866" w:type="dxa"/>
            <w:vAlign w:val="center"/>
          </w:tcPr>
          <w:p w14:paraId="2F4C163D"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0,00%</w:t>
            </w:r>
          </w:p>
        </w:tc>
        <w:tc>
          <w:tcPr>
            <w:tcW w:w="694" w:type="dxa"/>
            <w:vAlign w:val="center"/>
          </w:tcPr>
          <w:p w14:paraId="14FDF6E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34</w:t>
            </w:r>
          </w:p>
        </w:tc>
        <w:tc>
          <w:tcPr>
            <w:tcW w:w="879" w:type="dxa"/>
            <w:vAlign w:val="center"/>
          </w:tcPr>
          <w:p w14:paraId="6DF5E677"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54,84%</w:t>
            </w:r>
          </w:p>
        </w:tc>
        <w:tc>
          <w:tcPr>
            <w:tcW w:w="787" w:type="dxa"/>
            <w:vAlign w:val="center"/>
          </w:tcPr>
          <w:p w14:paraId="0D974850"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8</w:t>
            </w:r>
          </w:p>
        </w:tc>
        <w:tc>
          <w:tcPr>
            <w:tcW w:w="1021" w:type="dxa"/>
            <w:vAlign w:val="center"/>
          </w:tcPr>
          <w:p w14:paraId="7FBDD9E2"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12,90%</w:t>
            </w:r>
          </w:p>
        </w:tc>
      </w:tr>
      <w:tr w:rsidR="00760AAE" w:rsidRPr="001B4CA2" w14:paraId="7D501DF9" w14:textId="77777777" w:rsidTr="006D0A51">
        <w:trPr>
          <w:trHeight w:val="456"/>
          <w:jc w:val="center"/>
        </w:trPr>
        <w:tc>
          <w:tcPr>
            <w:tcW w:w="1022" w:type="dxa"/>
            <w:shd w:val="clear" w:color="auto" w:fill="auto"/>
            <w:vAlign w:val="center"/>
          </w:tcPr>
          <w:p w14:paraId="4CAAE542"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DORH</w:t>
            </w:r>
          </w:p>
        </w:tc>
        <w:tc>
          <w:tcPr>
            <w:tcW w:w="786" w:type="dxa"/>
            <w:vAlign w:val="center"/>
          </w:tcPr>
          <w:p w14:paraId="5329E9F2"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54</w:t>
            </w:r>
          </w:p>
        </w:tc>
        <w:tc>
          <w:tcPr>
            <w:tcW w:w="880" w:type="dxa"/>
            <w:vAlign w:val="center"/>
          </w:tcPr>
          <w:p w14:paraId="0A00C202"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7</w:t>
            </w:r>
          </w:p>
        </w:tc>
        <w:tc>
          <w:tcPr>
            <w:tcW w:w="852" w:type="dxa"/>
            <w:vAlign w:val="center"/>
          </w:tcPr>
          <w:p w14:paraId="5A1F7914"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12,96%</w:t>
            </w:r>
          </w:p>
        </w:tc>
        <w:tc>
          <w:tcPr>
            <w:tcW w:w="707" w:type="dxa"/>
            <w:vAlign w:val="center"/>
          </w:tcPr>
          <w:p w14:paraId="0474D082" w14:textId="77777777" w:rsidR="00760AAE" w:rsidRPr="001F53E7" w:rsidRDefault="00760AAE" w:rsidP="006D0A51">
            <w:pPr>
              <w:jc w:val="center"/>
              <w:rPr>
                <w:rFonts w:asciiTheme="majorHAnsi" w:hAnsiTheme="majorHAnsi" w:cstheme="majorHAnsi"/>
                <w:sz w:val="18"/>
                <w:szCs w:val="18"/>
              </w:rPr>
            </w:pPr>
          </w:p>
        </w:tc>
        <w:tc>
          <w:tcPr>
            <w:tcW w:w="866" w:type="dxa"/>
            <w:vAlign w:val="center"/>
          </w:tcPr>
          <w:p w14:paraId="106FAF5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0,00%</w:t>
            </w:r>
          </w:p>
        </w:tc>
        <w:tc>
          <w:tcPr>
            <w:tcW w:w="694" w:type="dxa"/>
            <w:vAlign w:val="center"/>
          </w:tcPr>
          <w:p w14:paraId="27A68B93"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34</w:t>
            </w:r>
          </w:p>
        </w:tc>
        <w:tc>
          <w:tcPr>
            <w:tcW w:w="879" w:type="dxa"/>
            <w:vAlign w:val="center"/>
          </w:tcPr>
          <w:p w14:paraId="3B45609E"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62,96%</w:t>
            </w:r>
          </w:p>
        </w:tc>
        <w:tc>
          <w:tcPr>
            <w:tcW w:w="787" w:type="dxa"/>
            <w:vAlign w:val="center"/>
          </w:tcPr>
          <w:p w14:paraId="6F985B8C"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13</w:t>
            </w:r>
          </w:p>
        </w:tc>
        <w:tc>
          <w:tcPr>
            <w:tcW w:w="1021" w:type="dxa"/>
            <w:vAlign w:val="center"/>
          </w:tcPr>
          <w:p w14:paraId="42FCF502"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24,07%</w:t>
            </w:r>
          </w:p>
        </w:tc>
      </w:tr>
      <w:tr w:rsidR="00760AAE" w:rsidRPr="001B4CA2" w14:paraId="2E482EA6" w14:textId="77777777" w:rsidTr="006D0A51">
        <w:trPr>
          <w:trHeight w:val="456"/>
          <w:jc w:val="center"/>
        </w:trPr>
        <w:tc>
          <w:tcPr>
            <w:tcW w:w="1022" w:type="dxa"/>
            <w:shd w:val="clear" w:color="auto" w:fill="auto"/>
            <w:vAlign w:val="center"/>
          </w:tcPr>
          <w:p w14:paraId="059AC7E8"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Ukupno</w:t>
            </w:r>
          </w:p>
        </w:tc>
        <w:tc>
          <w:tcPr>
            <w:tcW w:w="786" w:type="dxa"/>
            <w:shd w:val="clear" w:color="auto" w:fill="auto"/>
            <w:vAlign w:val="center"/>
          </w:tcPr>
          <w:p w14:paraId="1DF3B8DE" w14:textId="77777777" w:rsidR="00760AAE" w:rsidRPr="001F53E7" w:rsidRDefault="00760AAE" w:rsidP="006D0A51">
            <w:pPr>
              <w:jc w:val="center"/>
              <w:rPr>
                <w:rFonts w:asciiTheme="majorHAnsi" w:hAnsiTheme="majorHAnsi" w:cstheme="majorHAnsi"/>
                <w:b/>
                <w:sz w:val="18"/>
                <w:szCs w:val="18"/>
              </w:rPr>
            </w:pPr>
            <w:r w:rsidRPr="001F53E7">
              <w:rPr>
                <w:rFonts w:asciiTheme="majorHAnsi" w:hAnsiTheme="majorHAnsi" w:cstheme="majorHAnsi"/>
                <w:b/>
                <w:sz w:val="18"/>
                <w:szCs w:val="18"/>
              </w:rPr>
              <w:t>1231</w:t>
            </w:r>
          </w:p>
        </w:tc>
        <w:tc>
          <w:tcPr>
            <w:tcW w:w="880" w:type="dxa"/>
            <w:shd w:val="clear" w:color="auto" w:fill="auto"/>
            <w:vAlign w:val="center"/>
          </w:tcPr>
          <w:p w14:paraId="2A07EF39"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196</w:t>
            </w:r>
          </w:p>
        </w:tc>
        <w:tc>
          <w:tcPr>
            <w:tcW w:w="852" w:type="dxa"/>
            <w:shd w:val="clear" w:color="auto" w:fill="auto"/>
            <w:vAlign w:val="center"/>
          </w:tcPr>
          <w:p w14:paraId="0D7117A1"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15,92%</w:t>
            </w:r>
          </w:p>
        </w:tc>
        <w:tc>
          <w:tcPr>
            <w:tcW w:w="707" w:type="dxa"/>
            <w:shd w:val="clear" w:color="auto" w:fill="auto"/>
            <w:vAlign w:val="center"/>
          </w:tcPr>
          <w:p w14:paraId="46A43EA0"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17</w:t>
            </w:r>
          </w:p>
        </w:tc>
        <w:tc>
          <w:tcPr>
            <w:tcW w:w="866" w:type="dxa"/>
            <w:shd w:val="clear" w:color="auto" w:fill="auto"/>
            <w:vAlign w:val="center"/>
          </w:tcPr>
          <w:p w14:paraId="26035060"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1,38%</w:t>
            </w:r>
          </w:p>
        </w:tc>
        <w:tc>
          <w:tcPr>
            <w:tcW w:w="694" w:type="dxa"/>
            <w:shd w:val="clear" w:color="auto" w:fill="auto"/>
            <w:vAlign w:val="center"/>
          </w:tcPr>
          <w:p w14:paraId="682F3AF4"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881</w:t>
            </w:r>
          </w:p>
        </w:tc>
        <w:tc>
          <w:tcPr>
            <w:tcW w:w="879" w:type="dxa"/>
            <w:shd w:val="clear" w:color="auto" w:fill="auto"/>
            <w:vAlign w:val="center"/>
          </w:tcPr>
          <w:p w14:paraId="76F598CD"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71,57%</w:t>
            </w:r>
          </w:p>
        </w:tc>
        <w:tc>
          <w:tcPr>
            <w:tcW w:w="787" w:type="dxa"/>
            <w:shd w:val="clear" w:color="auto" w:fill="auto"/>
            <w:vAlign w:val="center"/>
          </w:tcPr>
          <w:p w14:paraId="46F3DB78"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137</w:t>
            </w:r>
          </w:p>
        </w:tc>
        <w:tc>
          <w:tcPr>
            <w:tcW w:w="1021" w:type="dxa"/>
            <w:shd w:val="clear" w:color="auto" w:fill="auto"/>
            <w:vAlign w:val="center"/>
          </w:tcPr>
          <w:p w14:paraId="1437731F"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11,13%</w:t>
            </w:r>
          </w:p>
        </w:tc>
      </w:tr>
    </w:tbl>
    <w:p w14:paraId="22326D99" w14:textId="77777777" w:rsidR="00760AAE" w:rsidRPr="001B4CA2" w:rsidRDefault="00760AAE" w:rsidP="00760AAE">
      <w:pPr>
        <w:rPr>
          <w:rFonts w:eastAsia="Calibri"/>
        </w:rPr>
      </w:pPr>
    </w:p>
    <w:p w14:paraId="03A35184" w14:textId="1A66DBF6" w:rsidR="00760AAE" w:rsidRPr="001B4CA2" w:rsidRDefault="00760AAE" w:rsidP="00760AAE">
      <w:pPr>
        <w:ind w:firstLine="709"/>
        <w:rPr>
          <w:rFonts w:eastAsia="Calibri"/>
          <w:color w:val="000000"/>
        </w:rPr>
      </w:pPr>
      <w:r w:rsidRPr="001B4CA2">
        <w:rPr>
          <w:rFonts w:eastAsia="Calibri"/>
          <w:color w:val="000000"/>
        </w:rPr>
        <w:t xml:space="preserve">U državnim odvjetništvima bio je zaposlen 1231 službenik i namještenik, od čega 166 </w:t>
      </w:r>
      <w:proofErr w:type="spellStart"/>
      <w:r w:rsidRPr="001B4CA2">
        <w:rPr>
          <w:rFonts w:eastAsia="Calibri"/>
          <w:color w:val="000000"/>
        </w:rPr>
        <w:t>državnoodvjetničkih</w:t>
      </w:r>
      <w:proofErr w:type="spellEnd"/>
      <w:r w:rsidRPr="001B4CA2">
        <w:rPr>
          <w:rFonts w:eastAsia="Calibri"/>
          <w:color w:val="000000"/>
        </w:rPr>
        <w:t xml:space="preserve"> savjetnika i 30 stručnih suradnika. Uspoređujući s prethodnom godinom, broj službenika i namještenika povećan je za 11 zaposlenika.</w:t>
      </w:r>
    </w:p>
    <w:p w14:paraId="2B7ADAA5" w14:textId="77777777" w:rsidR="00760AAE" w:rsidRPr="001B4CA2" w:rsidRDefault="00760AAE" w:rsidP="00760AAE">
      <w:pPr>
        <w:ind w:firstLine="709"/>
        <w:rPr>
          <w:rFonts w:eastAsia="Calibri"/>
          <w:color w:val="000000"/>
        </w:rPr>
      </w:pPr>
    </w:p>
    <w:p w14:paraId="2322AD6E" w14:textId="5C6E380A" w:rsidR="00760AAE" w:rsidRPr="001B4CA2" w:rsidRDefault="00760AAE" w:rsidP="00760AAE">
      <w:pPr>
        <w:ind w:firstLine="709"/>
        <w:rPr>
          <w:rFonts w:eastAsia="Calibri"/>
          <w:color w:val="000000"/>
        </w:rPr>
      </w:pPr>
      <w:r w:rsidRPr="001B4CA2">
        <w:rPr>
          <w:rFonts w:eastAsia="Calibri"/>
          <w:color w:val="000000"/>
        </w:rPr>
        <w:t>Posebno je zabrinjavajuće što u 2022. godini nije zaposlen ni</w:t>
      </w:r>
      <w:r w:rsidR="00670F8C">
        <w:rPr>
          <w:rFonts w:eastAsia="Calibri"/>
          <w:color w:val="000000"/>
        </w:rPr>
        <w:t>j</w:t>
      </w:r>
      <w:r w:rsidRPr="001B4CA2">
        <w:rPr>
          <w:rFonts w:eastAsia="Calibri"/>
          <w:color w:val="000000"/>
        </w:rPr>
        <w:t xml:space="preserve">edan novi vježbenik pravne struke, dok ih je tijekom 2021. bilo zaposleno 14. </w:t>
      </w:r>
    </w:p>
    <w:p w14:paraId="0464255D" w14:textId="77777777" w:rsidR="00760AAE" w:rsidRPr="001B4CA2" w:rsidRDefault="00760AAE" w:rsidP="00760AAE">
      <w:pPr>
        <w:rPr>
          <w:rFonts w:eastAsia="Calibri"/>
          <w:color w:val="000000"/>
        </w:rPr>
      </w:pPr>
    </w:p>
    <w:p w14:paraId="10FA1071" w14:textId="77777777" w:rsidR="00760AAE" w:rsidRPr="001B4CA2" w:rsidRDefault="00760AAE" w:rsidP="00760AAE">
      <w:pPr>
        <w:ind w:firstLine="708"/>
        <w:rPr>
          <w:rFonts w:eastAsia="Calibri"/>
          <w:color w:val="000000"/>
        </w:rPr>
      </w:pPr>
      <w:r w:rsidRPr="001B4CA2">
        <w:rPr>
          <w:rFonts w:eastAsia="Calibri"/>
          <w:color w:val="000000"/>
        </w:rPr>
        <w:t>Na administrativnim, materijalno-financijskim i stručnim poslovima bio je zaposlen ukupno 881 službenik, od kojih je najveći broj u općinskim državnim odvjetništvima.</w:t>
      </w:r>
    </w:p>
    <w:p w14:paraId="6455869B" w14:textId="77777777" w:rsidR="00760AAE" w:rsidRPr="001B4CA2" w:rsidRDefault="00760AAE" w:rsidP="00760AAE">
      <w:pPr>
        <w:rPr>
          <w:rFonts w:eastAsia="Calibri"/>
        </w:rPr>
      </w:pPr>
    </w:p>
    <w:p w14:paraId="4019D40E" w14:textId="3A663341" w:rsidR="00760AAE" w:rsidRPr="001B4CA2" w:rsidRDefault="00100365" w:rsidP="00760AAE">
      <w:pPr>
        <w:ind w:left="142"/>
        <w:rPr>
          <w:rFonts w:eastAsia="Calibri"/>
        </w:rPr>
      </w:pPr>
      <w:r>
        <w:rPr>
          <w:rFonts w:eastAsia="Calibri"/>
          <w:i/>
        </w:rPr>
        <w:t xml:space="preserve">  </w:t>
      </w:r>
      <w:r w:rsidR="00760AAE" w:rsidRPr="001B4CA2">
        <w:rPr>
          <w:rFonts w:eastAsia="Calibri"/>
          <w:i/>
        </w:rPr>
        <w:t>Dobna struktura dužnosnika</w:t>
      </w:r>
    </w:p>
    <w:tbl>
      <w:tblPr>
        <w:tblStyle w:val="Reetkatablice13"/>
        <w:tblW w:w="9004" w:type="dxa"/>
        <w:jc w:val="center"/>
        <w:tblLayout w:type="fixed"/>
        <w:tblLook w:val="04A0" w:firstRow="1" w:lastRow="0" w:firstColumn="1" w:lastColumn="0" w:noHBand="0" w:noVBand="1"/>
      </w:tblPr>
      <w:tblGrid>
        <w:gridCol w:w="1276"/>
        <w:gridCol w:w="918"/>
        <w:gridCol w:w="567"/>
        <w:gridCol w:w="709"/>
        <w:gridCol w:w="770"/>
        <w:gridCol w:w="794"/>
        <w:gridCol w:w="794"/>
        <w:gridCol w:w="794"/>
        <w:gridCol w:w="794"/>
        <w:gridCol w:w="794"/>
        <w:gridCol w:w="794"/>
      </w:tblGrid>
      <w:tr w:rsidR="00760AAE" w:rsidRPr="001B4CA2" w14:paraId="6A622AE9" w14:textId="77777777" w:rsidTr="00100365">
        <w:trPr>
          <w:trHeight w:val="353"/>
          <w:jc w:val="center"/>
        </w:trPr>
        <w:tc>
          <w:tcPr>
            <w:tcW w:w="1276" w:type="dxa"/>
            <w:vMerge w:val="restart"/>
            <w:shd w:val="clear" w:color="auto" w:fill="99CCFF"/>
            <w:vAlign w:val="center"/>
          </w:tcPr>
          <w:p w14:paraId="39E8FE91"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r w:rsidRPr="001F53E7">
              <w:rPr>
                <w:rFonts w:asciiTheme="majorHAnsi" w:hAnsiTheme="majorHAnsi" w:cstheme="majorHAnsi"/>
                <w:b/>
                <w:bCs/>
                <w:spacing w:val="-7"/>
                <w:w w:val="103"/>
                <w:sz w:val="18"/>
                <w:szCs w:val="18"/>
              </w:rPr>
              <w:t>Državno odvjetništvo</w:t>
            </w:r>
          </w:p>
        </w:tc>
        <w:tc>
          <w:tcPr>
            <w:tcW w:w="918" w:type="dxa"/>
            <w:vMerge w:val="restart"/>
            <w:shd w:val="clear" w:color="auto" w:fill="99CCFF"/>
            <w:vAlign w:val="center"/>
          </w:tcPr>
          <w:p w14:paraId="3A7AE694"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r w:rsidRPr="001F53E7">
              <w:rPr>
                <w:rFonts w:asciiTheme="majorHAnsi" w:hAnsiTheme="majorHAnsi" w:cstheme="majorHAnsi"/>
                <w:b/>
                <w:bCs/>
                <w:spacing w:val="-7"/>
                <w:w w:val="103"/>
                <w:sz w:val="18"/>
                <w:szCs w:val="18"/>
              </w:rPr>
              <w:t>Ukupno</w:t>
            </w:r>
          </w:p>
        </w:tc>
        <w:tc>
          <w:tcPr>
            <w:tcW w:w="6810" w:type="dxa"/>
            <w:gridSpan w:val="9"/>
            <w:shd w:val="clear" w:color="auto" w:fill="99CCFF"/>
            <w:vAlign w:val="center"/>
          </w:tcPr>
          <w:p w14:paraId="17EC96CE"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r w:rsidRPr="001F53E7">
              <w:rPr>
                <w:rFonts w:asciiTheme="majorHAnsi" w:hAnsiTheme="majorHAnsi" w:cstheme="majorHAnsi"/>
                <w:b/>
                <w:bCs/>
                <w:spacing w:val="-7"/>
                <w:w w:val="103"/>
                <w:sz w:val="18"/>
                <w:szCs w:val="18"/>
              </w:rPr>
              <w:t>Dobna skupina</w:t>
            </w:r>
          </w:p>
        </w:tc>
      </w:tr>
      <w:tr w:rsidR="00760AAE" w:rsidRPr="001B4CA2" w14:paraId="3A408D0E" w14:textId="77777777" w:rsidTr="00100365">
        <w:trPr>
          <w:cantSplit/>
          <w:trHeight w:val="415"/>
          <w:jc w:val="center"/>
        </w:trPr>
        <w:tc>
          <w:tcPr>
            <w:tcW w:w="1276" w:type="dxa"/>
            <w:vMerge/>
            <w:shd w:val="clear" w:color="auto" w:fill="99CCFF"/>
            <w:vAlign w:val="center"/>
          </w:tcPr>
          <w:p w14:paraId="531510D3"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p>
        </w:tc>
        <w:tc>
          <w:tcPr>
            <w:tcW w:w="918" w:type="dxa"/>
            <w:vMerge/>
            <w:shd w:val="clear" w:color="auto" w:fill="99CCFF"/>
            <w:vAlign w:val="center"/>
          </w:tcPr>
          <w:p w14:paraId="6A3342DF"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p>
        </w:tc>
        <w:tc>
          <w:tcPr>
            <w:tcW w:w="567" w:type="dxa"/>
            <w:shd w:val="clear" w:color="auto" w:fill="99CCFF"/>
            <w:vAlign w:val="center"/>
          </w:tcPr>
          <w:p w14:paraId="4B994525"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r w:rsidRPr="001F53E7">
              <w:rPr>
                <w:rFonts w:asciiTheme="majorHAnsi" w:hAnsiTheme="majorHAnsi" w:cstheme="majorHAnsi"/>
                <w:b/>
                <w:bCs/>
                <w:spacing w:val="-7"/>
                <w:w w:val="103"/>
                <w:sz w:val="18"/>
                <w:szCs w:val="18"/>
              </w:rPr>
              <w:t>&lt;30</w:t>
            </w:r>
          </w:p>
        </w:tc>
        <w:tc>
          <w:tcPr>
            <w:tcW w:w="709" w:type="dxa"/>
            <w:shd w:val="clear" w:color="auto" w:fill="99CCFF"/>
            <w:vAlign w:val="center"/>
          </w:tcPr>
          <w:p w14:paraId="51FE7801"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r w:rsidRPr="001F53E7">
              <w:rPr>
                <w:rFonts w:asciiTheme="majorHAnsi" w:hAnsiTheme="majorHAnsi" w:cstheme="majorHAnsi"/>
                <w:b/>
                <w:bCs/>
                <w:spacing w:val="-7"/>
                <w:w w:val="103"/>
                <w:sz w:val="18"/>
                <w:szCs w:val="18"/>
              </w:rPr>
              <w:t>30&lt;35</w:t>
            </w:r>
          </w:p>
        </w:tc>
        <w:tc>
          <w:tcPr>
            <w:tcW w:w="770" w:type="dxa"/>
            <w:shd w:val="clear" w:color="auto" w:fill="99CCFF"/>
            <w:vAlign w:val="center"/>
          </w:tcPr>
          <w:p w14:paraId="2A4E96DB"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r w:rsidRPr="001F53E7">
              <w:rPr>
                <w:rFonts w:asciiTheme="majorHAnsi" w:hAnsiTheme="majorHAnsi" w:cstheme="majorHAnsi"/>
                <w:b/>
                <w:bCs/>
                <w:spacing w:val="-7"/>
                <w:w w:val="103"/>
                <w:sz w:val="18"/>
                <w:szCs w:val="18"/>
              </w:rPr>
              <w:t>35&lt;40</w:t>
            </w:r>
          </w:p>
        </w:tc>
        <w:tc>
          <w:tcPr>
            <w:tcW w:w="794" w:type="dxa"/>
            <w:shd w:val="clear" w:color="auto" w:fill="99CCFF"/>
            <w:vAlign w:val="center"/>
          </w:tcPr>
          <w:p w14:paraId="23FE16E4"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r w:rsidRPr="001F53E7">
              <w:rPr>
                <w:rFonts w:asciiTheme="majorHAnsi" w:hAnsiTheme="majorHAnsi" w:cstheme="majorHAnsi"/>
                <w:b/>
                <w:bCs/>
                <w:spacing w:val="-7"/>
                <w:w w:val="103"/>
                <w:sz w:val="18"/>
                <w:szCs w:val="18"/>
              </w:rPr>
              <w:t>40&lt;45</w:t>
            </w:r>
          </w:p>
        </w:tc>
        <w:tc>
          <w:tcPr>
            <w:tcW w:w="794" w:type="dxa"/>
            <w:shd w:val="clear" w:color="auto" w:fill="99CCFF"/>
            <w:vAlign w:val="center"/>
          </w:tcPr>
          <w:p w14:paraId="65C0FFAB"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r w:rsidRPr="001F53E7">
              <w:rPr>
                <w:rFonts w:asciiTheme="majorHAnsi" w:hAnsiTheme="majorHAnsi" w:cstheme="majorHAnsi"/>
                <w:b/>
                <w:bCs/>
                <w:spacing w:val="-7"/>
                <w:w w:val="103"/>
                <w:sz w:val="18"/>
                <w:szCs w:val="18"/>
              </w:rPr>
              <w:t>45&lt;50</w:t>
            </w:r>
          </w:p>
        </w:tc>
        <w:tc>
          <w:tcPr>
            <w:tcW w:w="794" w:type="dxa"/>
            <w:shd w:val="clear" w:color="auto" w:fill="99CCFF"/>
            <w:vAlign w:val="center"/>
          </w:tcPr>
          <w:p w14:paraId="381D30F7"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r w:rsidRPr="001F53E7">
              <w:rPr>
                <w:rFonts w:asciiTheme="majorHAnsi" w:hAnsiTheme="majorHAnsi" w:cstheme="majorHAnsi"/>
                <w:b/>
                <w:bCs/>
                <w:spacing w:val="-7"/>
                <w:w w:val="103"/>
                <w:sz w:val="18"/>
                <w:szCs w:val="18"/>
              </w:rPr>
              <w:t>50&lt;55</w:t>
            </w:r>
          </w:p>
        </w:tc>
        <w:tc>
          <w:tcPr>
            <w:tcW w:w="794" w:type="dxa"/>
            <w:shd w:val="clear" w:color="auto" w:fill="99CCFF"/>
            <w:vAlign w:val="center"/>
          </w:tcPr>
          <w:p w14:paraId="52EC5882"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r w:rsidRPr="001F53E7">
              <w:rPr>
                <w:rFonts w:asciiTheme="majorHAnsi" w:hAnsiTheme="majorHAnsi" w:cstheme="majorHAnsi"/>
                <w:b/>
                <w:bCs/>
                <w:spacing w:val="-7"/>
                <w:w w:val="103"/>
                <w:sz w:val="18"/>
                <w:szCs w:val="18"/>
              </w:rPr>
              <w:t>55&lt;60</w:t>
            </w:r>
          </w:p>
        </w:tc>
        <w:tc>
          <w:tcPr>
            <w:tcW w:w="794" w:type="dxa"/>
            <w:shd w:val="clear" w:color="auto" w:fill="99CCFF"/>
            <w:vAlign w:val="center"/>
          </w:tcPr>
          <w:p w14:paraId="500C58D4"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r w:rsidRPr="001F53E7">
              <w:rPr>
                <w:rFonts w:asciiTheme="majorHAnsi" w:hAnsiTheme="majorHAnsi" w:cstheme="majorHAnsi"/>
                <w:b/>
                <w:bCs/>
                <w:spacing w:val="-7"/>
                <w:w w:val="103"/>
                <w:sz w:val="18"/>
                <w:szCs w:val="18"/>
              </w:rPr>
              <w:t>60&lt;65</w:t>
            </w:r>
          </w:p>
        </w:tc>
        <w:tc>
          <w:tcPr>
            <w:tcW w:w="794" w:type="dxa"/>
            <w:shd w:val="clear" w:color="auto" w:fill="99CCFF"/>
            <w:vAlign w:val="center"/>
          </w:tcPr>
          <w:p w14:paraId="04B8A28C" w14:textId="77777777" w:rsidR="00760AAE" w:rsidRPr="001F53E7" w:rsidRDefault="00760AAE" w:rsidP="006D0A51">
            <w:pPr>
              <w:widowControl w:val="0"/>
              <w:autoSpaceDE w:val="0"/>
              <w:autoSpaceDN w:val="0"/>
              <w:adjustRightInd w:val="0"/>
              <w:jc w:val="center"/>
              <w:rPr>
                <w:rFonts w:asciiTheme="majorHAnsi" w:hAnsiTheme="majorHAnsi" w:cstheme="majorHAnsi"/>
                <w:bCs/>
                <w:spacing w:val="-7"/>
                <w:w w:val="103"/>
                <w:sz w:val="18"/>
                <w:szCs w:val="18"/>
              </w:rPr>
            </w:pPr>
            <w:r w:rsidRPr="001F53E7">
              <w:rPr>
                <w:rFonts w:asciiTheme="majorHAnsi" w:hAnsiTheme="majorHAnsi" w:cstheme="majorHAnsi"/>
                <w:b/>
                <w:bCs/>
                <w:spacing w:val="-7"/>
                <w:w w:val="103"/>
                <w:sz w:val="18"/>
                <w:szCs w:val="18"/>
              </w:rPr>
              <w:t>65&lt;70</w:t>
            </w:r>
          </w:p>
        </w:tc>
      </w:tr>
      <w:tr w:rsidR="00760AAE" w:rsidRPr="001B4CA2" w14:paraId="0ACEA571" w14:textId="77777777" w:rsidTr="00100365">
        <w:trPr>
          <w:trHeight w:val="340"/>
          <w:jc w:val="center"/>
        </w:trPr>
        <w:tc>
          <w:tcPr>
            <w:tcW w:w="1276" w:type="dxa"/>
            <w:shd w:val="clear" w:color="auto" w:fill="auto"/>
            <w:vAlign w:val="center"/>
          </w:tcPr>
          <w:p w14:paraId="597034C4"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ODO</w:t>
            </w:r>
          </w:p>
        </w:tc>
        <w:tc>
          <w:tcPr>
            <w:tcW w:w="918" w:type="dxa"/>
            <w:vAlign w:val="center"/>
          </w:tcPr>
          <w:p w14:paraId="40A52582"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419</w:t>
            </w:r>
          </w:p>
        </w:tc>
        <w:tc>
          <w:tcPr>
            <w:tcW w:w="567" w:type="dxa"/>
            <w:vAlign w:val="center"/>
          </w:tcPr>
          <w:p w14:paraId="1A9CD20F" w14:textId="77777777" w:rsidR="00760AAE" w:rsidRPr="001F53E7" w:rsidRDefault="00760AAE" w:rsidP="006D0A51">
            <w:pPr>
              <w:jc w:val="center"/>
              <w:rPr>
                <w:rFonts w:asciiTheme="majorHAnsi" w:hAnsiTheme="majorHAnsi" w:cstheme="majorHAnsi"/>
                <w:sz w:val="18"/>
                <w:szCs w:val="18"/>
              </w:rPr>
            </w:pPr>
          </w:p>
        </w:tc>
        <w:tc>
          <w:tcPr>
            <w:tcW w:w="709" w:type="dxa"/>
            <w:vAlign w:val="center"/>
          </w:tcPr>
          <w:p w14:paraId="0D333729"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6</w:t>
            </w:r>
          </w:p>
        </w:tc>
        <w:tc>
          <w:tcPr>
            <w:tcW w:w="770" w:type="dxa"/>
            <w:vAlign w:val="center"/>
          </w:tcPr>
          <w:p w14:paraId="00D7CBBB"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83</w:t>
            </w:r>
          </w:p>
        </w:tc>
        <w:tc>
          <w:tcPr>
            <w:tcW w:w="794" w:type="dxa"/>
            <w:vAlign w:val="center"/>
          </w:tcPr>
          <w:p w14:paraId="71AF825F"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109</w:t>
            </w:r>
          </w:p>
        </w:tc>
        <w:tc>
          <w:tcPr>
            <w:tcW w:w="794" w:type="dxa"/>
            <w:vAlign w:val="center"/>
          </w:tcPr>
          <w:p w14:paraId="7529749D"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76</w:t>
            </w:r>
          </w:p>
        </w:tc>
        <w:tc>
          <w:tcPr>
            <w:tcW w:w="794" w:type="dxa"/>
            <w:vAlign w:val="center"/>
          </w:tcPr>
          <w:p w14:paraId="526BAB63"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64</w:t>
            </w:r>
          </w:p>
        </w:tc>
        <w:tc>
          <w:tcPr>
            <w:tcW w:w="794" w:type="dxa"/>
            <w:vAlign w:val="center"/>
          </w:tcPr>
          <w:p w14:paraId="079AD4A7"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39</w:t>
            </w:r>
          </w:p>
        </w:tc>
        <w:tc>
          <w:tcPr>
            <w:tcW w:w="794" w:type="dxa"/>
            <w:vAlign w:val="center"/>
          </w:tcPr>
          <w:p w14:paraId="59DCBC6B"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33</w:t>
            </w:r>
          </w:p>
        </w:tc>
        <w:tc>
          <w:tcPr>
            <w:tcW w:w="794" w:type="dxa"/>
            <w:vAlign w:val="center"/>
          </w:tcPr>
          <w:p w14:paraId="04354617"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9</w:t>
            </w:r>
          </w:p>
        </w:tc>
      </w:tr>
      <w:tr w:rsidR="00760AAE" w:rsidRPr="001B4CA2" w14:paraId="228BA620" w14:textId="77777777" w:rsidTr="00100365">
        <w:trPr>
          <w:trHeight w:val="340"/>
          <w:jc w:val="center"/>
        </w:trPr>
        <w:tc>
          <w:tcPr>
            <w:tcW w:w="1276" w:type="dxa"/>
            <w:shd w:val="clear" w:color="auto" w:fill="auto"/>
            <w:vAlign w:val="center"/>
          </w:tcPr>
          <w:p w14:paraId="34ADA5A9"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ŽDO</w:t>
            </w:r>
          </w:p>
        </w:tc>
        <w:tc>
          <w:tcPr>
            <w:tcW w:w="918" w:type="dxa"/>
            <w:vAlign w:val="center"/>
          </w:tcPr>
          <w:p w14:paraId="04B9146C"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164</w:t>
            </w:r>
          </w:p>
        </w:tc>
        <w:tc>
          <w:tcPr>
            <w:tcW w:w="567" w:type="dxa"/>
            <w:vAlign w:val="center"/>
          </w:tcPr>
          <w:p w14:paraId="4B512669" w14:textId="77777777" w:rsidR="00760AAE" w:rsidRPr="001F53E7" w:rsidRDefault="00760AAE" w:rsidP="006D0A51">
            <w:pPr>
              <w:jc w:val="center"/>
              <w:rPr>
                <w:rFonts w:asciiTheme="majorHAnsi" w:hAnsiTheme="majorHAnsi" w:cstheme="majorHAnsi"/>
                <w:sz w:val="18"/>
                <w:szCs w:val="18"/>
              </w:rPr>
            </w:pPr>
          </w:p>
        </w:tc>
        <w:tc>
          <w:tcPr>
            <w:tcW w:w="709" w:type="dxa"/>
            <w:vAlign w:val="center"/>
          </w:tcPr>
          <w:p w14:paraId="033B664F" w14:textId="77777777" w:rsidR="00760AAE" w:rsidRPr="001F53E7" w:rsidRDefault="00760AAE" w:rsidP="006D0A51">
            <w:pPr>
              <w:jc w:val="center"/>
              <w:rPr>
                <w:rFonts w:asciiTheme="majorHAnsi" w:hAnsiTheme="majorHAnsi" w:cstheme="majorHAnsi"/>
                <w:sz w:val="18"/>
                <w:szCs w:val="18"/>
              </w:rPr>
            </w:pPr>
          </w:p>
        </w:tc>
        <w:tc>
          <w:tcPr>
            <w:tcW w:w="770" w:type="dxa"/>
            <w:vAlign w:val="center"/>
          </w:tcPr>
          <w:p w14:paraId="18D0A836" w14:textId="77777777" w:rsidR="00760AAE" w:rsidRPr="001F53E7" w:rsidRDefault="00760AAE" w:rsidP="006D0A51">
            <w:pPr>
              <w:jc w:val="center"/>
              <w:rPr>
                <w:rFonts w:asciiTheme="majorHAnsi" w:hAnsiTheme="majorHAnsi" w:cstheme="majorHAnsi"/>
                <w:sz w:val="18"/>
                <w:szCs w:val="18"/>
              </w:rPr>
            </w:pPr>
          </w:p>
        </w:tc>
        <w:tc>
          <w:tcPr>
            <w:tcW w:w="794" w:type="dxa"/>
            <w:vAlign w:val="center"/>
          </w:tcPr>
          <w:p w14:paraId="17D1EC59"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5</w:t>
            </w:r>
          </w:p>
        </w:tc>
        <w:tc>
          <w:tcPr>
            <w:tcW w:w="794" w:type="dxa"/>
            <w:vAlign w:val="center"/>
          </w:tcPr>
          <w:p w14:paraId="6B64DCCF"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24</w:t>
            </w:r>
          </w:p>
        </w:tc>
        <w:tc>
          <w:tcPr>
            <w:tcW w:w="794" w:type="dxa"/>
            <w:vAlign w:val="center"/>
          </w:tcPr>
          <w:p w14:paraId="1777E02C"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35</w:t>
            </w:r>
          </w:p>
        </w:tc>
        <w:tc>
          <w:tcPr>
            <w:tcW w:w="794" w:type="dxa"/>
            <w:vAlign w:val="center"/>
          </w:tcPr>
          <w:p w14:paraId="6CDFABE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38</w:t>
            </w:r>
          </w:p>
        </w:tc>
        <w:tc>
          <w:tcPr>
            <w:tcW w:w="794" w:type="dxa"/>
            <w:vAlign w:val="center"/>
          </w:tcPr>
          <w:p w14:paraId="5BD2DEC3"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44</w:t>
            </w:r>
          </w:p>
        </w:tc>
        <w:tc>
          <w:tcPr>
            <w:tcW w:w="794" w:type="dxa"/>
            <w:vAlign w:val="center"/>
          </w:tcPr>
          <w:p w14:paraId="43B8C5DE"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18</w:t>
            </w:r>
          </w:p>
        </w:tc>
      </w:tr>
      <w:tr w:rsidR="00760AAE" w:rsidRPr="001B4CA2" w14:paraId="409D9D6F" w14:textId="77777777" w:rsidTr="00100365">
        <w:trPr>
          <w:trHeight w:val="340"/>
          <w:jc w:val="center"/>
        </w:trPr>
        <w:tc>
          <w:tcPr>
            <w:tcW w:w="1276" w:type="dxa"/>
            <w:shd w:val="clear" w:color="auto" w:fill="auto"/>
            <w:vAlign w:val="center"/>
          </w:tcPr>
          <w:p w14:paraId="6270D03F"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USKOK</w:t>
            </w:r>
          </w:p>
        </w:tc>
        <w:tc>
          <w:tcPr>
            <w:tcW w:w="918" w:type="dxa"/>
            <w:vAlign w:val="center"/>
          </w:tcPr>
          <w:p w14:paraId="1CF1EAB0"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31</w:t>
            </w:r>
          </w:p>
        </w:tc>
        <w:tc>
          <w:tcPr>
            <w:tcW w:w="567" w:type="dxa"/>
            <w:vAlign w:val="center"/>
          </w:tcPr>
          <w:p w14:paraId="07C527B3" w14:textId="77777777" w:rsidR="00760AAE" w:rsidRPr="001F53E7" w:rsidRDefault="00760AAE" w:rsidP="006D0A51">
            <w:pPr>
              <w:jc w:val="center"/>
              <w:rPr>
                <w:rFonts w:asciiTheme="majorHAnsi" w:hAnsiTheme="majorHAnsi" w:cstheme="majorHAnsi"/>
                <w:sz w:val="18"/>
                <w:szCs w:val="18"/>
              </w:rPr>
            </w:pPr>
          </w:p>
        </w:tc>
        <w:tc>
          <w:tcPr>
            <w:tcW w:w="709" w:type="dxa"/>
            <w:vAlign w:val="center"/>
          </w:tcPr>
          <w:p w14:paraId="3190B5A0" w14:textId="77777777" w:rsidR="00760AAE" w:rsidRPr="001F53E7" w:rsidRDefault="00760AAE" w:rsidP="006D0A51">
            <w:pPr>
              <w:jc w:val="center"/>
              <w:rPr>
                <w:rFonts w:asciiTheme="majorHAnsi" w:hAnsiTheme="majorHAnsi" w:cstheme="majorHAnsi"/>
                <w:sz w:val="18"/>
                <w:szCs w:val="18"/>
              </w:rPr>
            </w:pPr>
          </w:p>
        </w:tc>
        <w:tc>
          <w:tcPr>
            <w:tcW w:w="770" w:type="dxa"/>
            <w:vAlign w:val="center"/>
          </w:tcPr>
          <w:p w14:paraId="17948C6D"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w:t>
            </w:r>
          </w:p>
        </w:tc>
        <w:tc>
          <w:tcPr>
            <w:tcW w:w="794" w:type="dxa"/>
            <w:vAlign w:val="center"/>
          </w:tcPr>
          <w:p w14:paraId="38DBE825"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13</w:t>
            </w:r>
          </w:p>
        </w:tc>
        <w:tc>
          <w:tcPr>
            <w:tcW w:w="794" w:type="dxa"/>
            <w:vAlign w:val="center"/>
          </w:tcPr>
          <w:p w14:paraId="6765B645"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7</w:t>
            </w:r>
          </w:p>
        </w:tc>
        <w:tc>
          <w:tcPr>
            <w:tcW w:w="794" w:type="dxa"/>
            <w:vAlign w:val="center"/>
          </w:tcPr>
          <w:p w14:paraId="440E654F"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w:t>
            </w:r>
          </w:p>
        </w:tc>
        <w:tc>
          <w:tcPr>
            <w:tcW w:w="794" w:type="dxa"/>
            <w:vAlign w:val="center"/>
          </w:tcPr>
          <w:p w14:paraId="7751654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5</w:t>
            </w:r>
          </w:p>
        </w:tc>
        <w:tc>
          <w:tcPr>
            <w:tcW w:w="794" w:type="dxa"/>
            <w:vAlign w:val="center"/>
          </w:tcPr>
          <w:p w14:paraId="08A7765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w:t>
            </w:r>
          </w:p>
        </w:tc>
        <w:tc>
          <w:tcPr>
            <w:tcW w:w="794" w:type="dxa"/>
            <w:vAlign w:val="center"/>
          </w:tcPr>
          <w:p w14:paraId="1B73B2C3" w14:textId="77777777" w:rsidR="00760AAE" w:rsidRPr="001F53E7" w:rsidRDefault="00760AAE" w:rsidP="006D0A51">
            <w:pPr>
              <w:jc w:val="center"/>
              <w:rPr>
                <w:rFonts w:asciiTheme="majorHAnsi" w:hAnsiTheme="majorHAnsi" w:cstheme="majorHAnsi"/>
                <w:sz w:val="18"/>
                <w:szCs w:val="18"/>
              </w:rPr>
            </w:pPr>
          </w:p>
        </w:tc>
      </w:tr>
      <w:tr w:rsidR="00760AAE" w:rsidRPr="001B4CA2" w14:paraId="6C5D0D66" w14:textId="77777777" w:rsidTr="00100365">
        <w:trPr>
          <w:trHeight w:val="340"/>
          <w:jc w:val="center"/>
        </w:trPr>
        <w:tc>
          <w:tcPr>
            <w:tcW w:w="1276" w:type="dxa"/>
            <w:shd w:val="clear" w:color="auto" w:fill="auto"/>
            <w:vAlign w:val="center"/>
          </w:tcPr>
          <w:p w14:paraId="79AD86CF"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DORH</w:t>
            </w:r>
          </w:p>
        </w:tc>
        <w:tc>
          <w:tcPr>
            <w:tcW w:w="918" w:type="dxa"/>
            <w:vAlign w:val="center"/>
          </w:tcPr>
          <w:p w14:paraId="1119AB16"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26</w:t>
            </w:r>
          </w:p>
        </w:tc>
        <w:tc>
          <w:tcPr>
            <w:tcW w:w="567" w:type="dxa"/>
            <w:vAlign w:val="center"/>
          </w:tcPr>
          <w:p w14:paraId="20C53672" w14:textId="77777777" w:rsidR="00760AAE" w:rsidRPr="001F53E7" w:rsidRDefault="00760AAE" w:rsidP="006D0A51">
            <w:pPr>
              <w:jc w:val="center"/>
              <w:rPr>
                <w:rFonts w:asciiTheme="majorHAnsi" w:hAnsiTheme="majorHAnsi" w:cstheme="majorHAnsi"/>
                <w:sz w:val="18"/>
                <w:szCs w:val="18"/>
              </w:rPr>
            </w:pPr>
          </w:p>
        </w:tc>
        <w:tc>
          <w:tcPr>
            <w:tcW w:w="709" w:type="dxa"/>
            <w:vAlign w:val="center"/>
          </w:tcPr>
          <w:p w14:paraId="48C689E2" w14:textId="77777777" w:rsidR="00760AAE" w:rsidRPr="001F53E7" w:rsidRDefault="00760AAE" w:rsidP="006D0A51">
            <w:pPr>
              <w:jc w:val="center"/>
              <w:rPr>
                <w:rFonts w:asciiTheme="majorHAnsi" w:hAnsiTheme="majorHAnsi" w:cstheme="majorHAnsi"/>
                <w:sz w:val="18"/>
                <w:szCs w:val="18"/>
              </w:rPr>
            </w:pPr>
          </w:p>
        </w:tc>
        <w:tc>
          <w:tcPr>
            <w:tcW w:w="770" w:type="dxa"/>
            <w:vAlign w:val="center"/>
          </w:tcPr>
          <w:p w14:paraId="03A46E1C" w14:textId="77777777" w:rsidR="00760AAE" w:rsidRPr="001F53E7" w:rsidRDefault="00760AAE" w:rsidP="006D0A51">
            <w:pPr>
              <w:jc w:val="center"/>
              <w:rPr>
                <w:rFonts w:asciiTheme="majorHAnsi" w:hAnsiTheme="majorHAnsi" w:cstheme="majorHAnsi"/>
                <w:sz w:val="18"/>
                <w:szCs w:val="18"/>
              </w:rPr>
            </w:pPr>
          </w:p>
        </w:tc>
        <w:tc>
          <w:tcPr>
            <w:tcW w:w="794" w:type="dxa"/>
            <w:vAlign w:val="center"/>
          </w:tcPr>
          <w:p w14:paraId="5620D4D4" w14:textId="77777777" w:rsidR="00760AAE" w:rsidRPr="001F53E7" w:rsidRDefault="00760AAE" w:rsidP="006D0A51">
            <w:pPr>
              <w:jc w:val="center"/>
              <w:rPr>
                <w:rFonts w:asciiTheme="majorHAnsi" w:hAnsiTheme="majorHAnsi" w:cstheme="majorHAnsi"/>
                <w:sz w:val="18"/>
                <w:szCs w:val="18"/>
              </w:rPr>
            </w:pPr>
          </w:p>
        </w:tc>
        <w:tc>
          <w:tcPr>
            <w:tcW w:w="794" w:type="dxa"/>
            <w:vAlign w:val="center"/>
          </w:tcPr>
          <w:p w14:paraId="4491ACBF"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w:t>
            </w:r>
          </w:p>
        </w:tc>
        <w:tc>
          <w:tcPr>
            <w:tcW w:w="794" w:type="dxa"/>
            <w:vAlign w:val="center"/>
          </w:tcPr>
          <w:p w14:paraId="239CEC29"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4</w:t>
            </w:r>
          </w:p>
        </w:tc>
        <w:tc>
          <w:tcPr>
            <w:tcW w:w="794" w:type="dxa"/>
            <w:vAlign w:val="center"/>
          </w:tcPr>
          <w:p w14:paraId="561CB364"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6</w:t>
            </w:r>
          </w:p>
        </w:tc>
        <w:tc>
          <w:tcPr>
            <w:tcW w:w="794" w:type="dxa"/>
            <w:vAlign w:val="center"/>
          </w:tcPr>
          <w:p w14:paraId="261ADCA5"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5</w:t>
            </w:r>
          </w:p>
        </w:tc>
        <w:tc>
          <w:tcPr>
            <w:tcW w:w="794" w:type="dxa"/>
            <w:vAlign w:val="center"/>
          </w:tcPr>
          <w:p w14:paraId="6F8F6D32"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10</w:t>
            </w:r>
          </w:p>
        </w:tc>
      </w:tr>
      <w:tr w:rsidR="00760AAE" w:rsidRPr="001B4CA2" w14:paraId="03CBCF1D" w14:textId="77777777" w:rsidTr="00100365">
        <w:trPr>
          <w:trHeight w:val="340"/>
          <w:jc w:val="center"/>
        </w:trPr>
        <w:tc>
          <w:tcPr>
            <w:tcW w:w="1276" w:type="dxa"/>
            <w:shd w:val="clear" w:color="auto" w:fill="auto"/>
            <w:vAlign w:val="center"/>
          </w:tcPr>
          <w:p w14:paraId="48D7F42C"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Ukupno</w:t>
            </w:r>
          </w:p>
        </w:tc>
        <w:tc>
          <w:tcPr>
            <w:tcW w:w="918" w:type="dxa"/>
            <w:shd w:val="clear" w:color="auto" w:fill="auto"/>
            <w:vAlign w:val="center"/>
          </w:tcPr>
          <w:p w14:paraId="1FBF080A" w14:textId="77777777" w:rsidR="00760AAE" w:rsidRPr="001F53E7" w:rsidRDefault="00760AAE" w:rsidP="006D0A51">
            <w:pPr>
              <w:jc w:val="center"/>
              <w:rPr>
                <w:rFonts w:asciiTheme="majorHAnsi" w:hAnsiTheme="majorHAnsi" w:cstheme="majorHAnsi"/>
                <w:b/>
                <w:sz w:val="18"/>
                <w:szCs w:val="18"/>
              </w:rPr>
            </w:pPr>
            <w:r w:rsidRPr="001F53E7">
              <w:rPr>
                <w:rFonts w:asciiTheme="majorHAnsi" w:hAnsiTheme="majorHAnsi" w:cstheme="majorHAnsi"/>
                <w:b/>
                <w:sz w:val="18"/>
                <w:szCs w:val="18"/>
              </w:rPr>
              <w:t>640</w:t>
            </w:r>
          </w:p>
        </w:tc>
        <w:tc>
          <w:tcPr>
            <w:tcW w:w="567" w:type="dxa"/>
            <w:shd w:val="clear" w:color="auto" w:fill="auto"/>
            <w:vAlign w:val="center"/>
          </w:tcPr>
          <w:p w14:paraId="7EA4291E"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0</w:t>
            </w:r>
          </w:p>
        </w:tc>
        <w:tc>
          <w:tcPr>
            <w:tcW w:w="709" w:type="dxa"/>
            <w:shd w:val="clear" w:color="auto" w:fill="auto"/>
            <w:vAlign w:val="center"/>
          </w:tcPr>
          <w:p w14:paraId="7ACA5AA8"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6</w:t>
            </w:r>
          </w:p>
        </w:tc>
        <w:tc>
          <w:tcPr>
            <w:tcW w:w="770" w:type="dxa"/>
            <w:shd w:val="clear" w:color="auto" w:fill="auto"/>
            <w:vAlign w:val="center"/>
          </w:tcPr>
          <w:p w14:paraId="4004DB7D"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86</w:t>
            </w:r>
          </w:p>
        </w:tc>
        <w:tc>
          <w:tcPr>
            <w:tcW w:w="794" w:type="dxa"/>
            <w:shd w:val="clear" w:color="auto" w:fill="auto"/>
            <w:vAlign w:val="center"/>
          </w:tcPr>
          <w:p w14:paraId="15651903"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127</w:t>
            </w:r>
          </w:p>
        </w:tc>
        <w:tc>
          <w:tcPr>
            <w:tcW w:w="794" w:type="dxa"/>
            <w:shd w:val="clear" w:color="auto" w:fill="auto"/>
            <w:vAlign w:val="center"/>
          </w:tcPr>
          <w:p w14:paraId="627D5052"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108</w:t>
            </w:r>
          </w:p>
        </w:tc>
        <w:tc>
          <w:tcPr>
            <w:tcW w:w="794" w:type="dxa"/>
            <w:shd w:val="clear" w:color="auto" w:fill="auto"/>
            <w:vAlign w:val="center"/>
          </w:tcPr>
          <w:p w14:paraId="7C7F3785"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105</w:t>
            </w:r>
          </w:p>
        </w:tc>
        <w:tc>
          <w:tcPr>
            <w:tcW w:w="794" w:type="dxa"/>
            <w:shd w:val="clear" w:color="auto" w:fill="auto"/>
            <w:vAlign w:val="center"/>
          </w:tcPr>
          <w:p w14:paraId="3781F270"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88</w:t>
            </w:r>
          </w:p>
        </w:tc>
        <w:tc>
          <w:tcPr>
            <w:tcW w:w="794" w:type="dxa"/>
            <w:shd w:val="clear" w:color="auto" w:fill="auto"/>
            <w:vAlign w:val="center"/>
          </w:tcPr>
          <w:p w14:paraId="0F3E75C0"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83</w:t>
            </w:r>
          </w:p>
        </w:tc>
        <w:tc>
          <w:tcPr>
            <w:tcW w:w="794" w:type="dxa"/>
            <w:shd w:val="clear" w:color="auto" w:fill="auto"/>
            <w:vAlign w:val="center"/>
          </w:tcPr>
          <w:p w14:paraId="6A381007"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37</w:t>
            </w:r>
          </w:p>
        </w:tc>
      </w:tr>
    </w:tbl>
    <w:p w14:paraId="3CD53499" w14:textId="77777777" w:rsidR="00760AAE" w:rsidRPr="001B4CA2" w:rsidRDefault="00760AAE" w:rsidP="00760AAE">
      <w:pPr>
        <w:rPr>
          <w:rFonts w:eastAsia="Calibri"/>
        </w:rPr>
      </w:pPr>
    </w:p>
    <w:p w14:paraId="5A4F99BD" w14:textId="0B68C927" w:rsidR="00760AAE" w:rsidRPr="001B4CA2" w:rsidRDefault="00760AAE" w:rsidP="00760AAE">
      <w:pPr>
        <w:ind w:firstLine="708"/>
        <w:rPr>
          <w:rFonts w:eastAsia="Calibri"/>
          <w:color w:val="000000"/>
        </w:rPr>
      </w:pPr>
      <w:r w:rsidRPr="001B4CA2">
        <w:rPr>
          <w:rFonts w:eastAsia="Calibri"/>
        </w:rPr>
        <w:t xml:space="preserve">Gornja tablica prikazuje broj </w:t>
      </w:r>
      <w:proofErr w:type="spellStart"/>
      <w:r w:rsidRPr="001B4CA2">
        <w:rPr>
          <w:rFonts w:eastAsia="Calibri"/>
        </w:rPr>
        <w:t>državnoodvjetničkih</w:t>
      </w:r>
      <w:proofErr w:type="spellEnd"/>
      <w:r w:rsidRPr="001B4CA2">
        <w:rPr>
          <w:rFonts w:eastAsia="Calibri"/>
        </w:rPr>
        <w:t xml:space="preserve"> dužnosnika po dobnim skupinama. </w:t>
      </w:r>
      <w:r w:rsidRPr="001B4CA2">
        <w:rPr>
          <w:rFonts w:eastAsia="Calibri"/>
          <w:color w:val="000000"/>
        </w:rPr>
        <w:t>Kao i prošle godine, najveći broj dužnosnika u općinskim državnim odvjetništvima u starosnoj je skupini između 40 i 45 godina (109) te 35 i 40 godina (83). U županijskim državnim odvjetništvima najveći je broj dužnosnika u dobi između 60 i 65 godina (44). U Uredu za suzbijanje korupcije i organiziranog</w:t>
      </w:r>
      <w:r w:rsidR="00670F8C">
        <w:rPr>
          <w:rFonts w:eastAsia="Calibri"/>
          <w:color w:val="000000"/>
        </w:rPr>
        <w:t>a</w:t>
      </w:r>
      <w:r w:rsidRPr="001B4CA2">
        <w:rPr>
          <w:rFonts w:eastAsia="Calibri"/>
          <w:color w:val="000000"/>
        </w:rPr>
        <w:t xml:space="preserve"> kriminaliteta kao i u ranijem izvještajnom razdoblju najveći je broj zamjenika ravnatelja u dobi između 40 i 45 godina (13). U Državnom odvjetništvu Republike Hrvatske najveći je broj dužnosnika u dobi između 65 i 70 godina (10).</w:t>
      </w:r>
    </w:p>
    <w:p w14:paraId="3AC9BE6E" w14:textId="77777777" w:rsidR="00760AAE" w:rsidRPr="001B4CA2" w:rsidRDefault="00760AAE" w:rsidP="00760AAE">
      <w:pPr>
        <w:rPr>
          <w:rFonts w:eastAsia="Calibri"/>
          <w:color w:val="000000"/>
        </w:rPr>
      </w:pPr>
    </w:p>
    <w:p w14:paraId="689B4279" w14:textId="4DF997C3" w:rsidR="00760AAE" w:rsidRPr="001B4CA2" w:rsidRDefault="00760AAE" w:rsidP="00760AAE">
      <w:pPr>
        <w:ind w:firstLine="708"/>
        <w:rPr>
          <w:rFonts w:eastAsia="Calibri"/>
          <w:color w:val="000000"/>
        </w:rPr>
      </w:pPr>
      <w:r w:rsidRPr="001B4CA2">
        <w:rPr>
          <w:rFonts w:eastAsia="Calibri"/>
          <w:color w:val="000000"/>
        </w:rPr>
        <w:t xml:space="preserve">Najraznolikiju strukturu dužnosnika po dobnim skupinama imaju općinska državna odvjetništva, s time da nijedan pravosudni dužnosnik koji je obnašao dužnost u 2022. godini nije bio mlađi od 30 godina, što govori o sve kasnijem </w:t>
      </w:r>
      <w:r w:rsidRPr="001B4CA2">
        <w:rPr>
          <w:rFonts w:eastAsia="Calibri"/>
          <w:color w:val="000000"/>
        </w:rPr>
        <w:lastRenderedPageBreak/>
        <w:t>stjecanju uvjeta za imenovanje zamjenikom općinskog</w:t>
      </w:r>
      <w:r w:rsidR="00670F8C">
        <w:rPr>
          <w:rFonts w:eastAsia="Calibri"/>
          <w:color w:val="000000"/>
        </w:rPr>
        <w:t>a</w:t>
      </w:r>
      <w:r w:rsidRPr="001B4CA2">
        <w:rPr>
          <w:rFonts w:eastAsia="Calibri"/>
          <w:color w:val="000000"/>
        </w:rPr>
        <w:t xml:space="preserve"> državnog odvjetnika. Jednako tako, raste broj dužnosnika dobnih skupina starijih od 55 godina koji rade u prvom stupnju. Tako je na razini županijskih državnih odvjetništava od 164 dužnosnika njih 100, odnosno 60,96 %, starije od 55 godina.</w:t>
      </w:r>
    </w:p>
    <w:p w14:paraId="275204DC" w14:textId="77777777" w:rsidR="00760AAE" w:rsidRPr="001B4CA2" w:rsidRDefault="00760AAE" w:rsidP="00760AAE">
      <w:pPr>
        <w:rPr>
          <w:rFonts w:eastAsia="Calibri"/>
          <w:color w:val="000000"/>
        </w:rPr>
      </w:pPr>
    </w:p>
    <w:p w14:paraId="10912ACA" w14:textId="77777777" w:rsidR="00760AAE" w:rsidRPr="001B4CA2" w:rsidRDefault="00760AAE" w:rsidP="00760AAE">
      <w:pPr>
        <w:ind w:left="284"/>
        <w:rPr>
          <w:rFonts w:eastAsia="Calibri"/>
        </w:rPr>
      </w:pPr>
      <w:r w:rsidRPr="001B4CA2">
        <w:rPr>
          <w:rFonts w:eastAsia="Calibri"/>
          <w:i/>
        </w:rPr>
        <w:t>Nacionalna struktura dužnosnika</w:t>
      </w:r>
    </w:p>
    <w:tbl>
      <w:tblPr>
        <w:tblStyle w:val="Reetkatablice13"/>
        <w:tblW w:w="8970" w:type="dxa"/>
        <w:jc w:val="center"/>
        <w:tblLayout w:type="fixed"/>
        <w:tblLook w:val="04A0" w:firstRow="1" w:lastRow="0" w:firstColumn="1" w:lastColumn="0" w:noHBand="0" w:noVBand="1"/>
      </w:tblPr>
      <w:tblGrid>
        <w:gridCol w:w="948"/>
        <w:gridCol w:w="837"/>
        <w:gridCol w:w="839"/>
        <w:gridCol w:w="794"/>
        <w:gridCol w:w="794"/>
        <w:gridCol w:w="793"/>
        <w:gridCol w:w="793"/>
        <w:gridCol w:w="793"/>
        <w:gridCol w:w="793"/>
        <w:gridCol w:w="793"/>
        <w:gridCol w:w="793"/>
      </w:tblGrid>
      <w:tr w:rsidR="00760AAE" w:rsidRPr="001B4CA2" w14:paraId="790DDC02" w14:textId="77777777" w:rsidTr="006D0A51">
        <w:trPr>
          <w:cantSplit/>
          <w:trHeight w:val="1372"/>
          <w:jc w:val="center"/>
        </w:trPr>
        <w:tc>
          <w:tcPr>
            <w:tcW w:w="948"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2C234A12"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Državno odvjetništvo</w:t>
            </w:r>
          </w:p>
        </w:tc>
        <w:tc>
          <w:tcPr>
            <w:tcW w:w="837"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60DD6157"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Broj dužnosnika</w:t>
            </w:r>
          </w:p>
        </w:tc>
        <w:tc>
          <w:tcPr>
            <w:tcW w:w="839"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27EC276A"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Hrvati</w:t>
            </w:r>
          </w:p>
        </w:tc>
        <w:tc>
          <w:tcPr>
            <w:tcW w:w="794"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29B0DB0F"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Srbi</w:t>
            </w:r>
          </w:p>
        </w:tc>
        <w:tc>
          <w:tcPr>
            <w:tcW w:w="794"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00D0A838"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Crnogorci</w:t>
            </w:r>
          </w:p>
        </w:tc>
        <w:tc>
          <w:tcPr>
            <w:tcW w:w="794"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5FD210AF"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Bošnjaci</w:t>
            </w:r>
          </w:p>
        </w:tc>
        <w:tc>
          <w:tcPr>
            <w:tcW w:w="794"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18D6E717"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Talijani</w:t>
            </w:r>
          </w:p>
        </w:tc>
        <w:tc>
          <w:tcPr>
            <w:tcW w:w="794"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076C104F"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Makedonci</w:t>
            </w:r>
          </w:p>
        </w:tc>
        <w:tc>
          <w:tcPr>
            <w:tcW w:w="794"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57BA6DF4"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Mađari</w:t>
            </w:r>
          </w:p>
        </w:tc>
        <w:tc>
          <w:tcPr>
            <w:tcW w:w="794"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26191FE1"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Ukrajinci</w:t>
            </w:r>
          </w:p>
        </w:tc>
        <w:tc>
          <w:tcPr>
            <w:tcW w:w="794"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2CE8C658" w14:textId="77777777" w:rsidR="00760AAE" w:rsidRPr="001F53E7" w:rsidRDefault="00760AAE" w:rsidP="006D0A51">
            <w:pPr>
              <w:widowControl w:val="0"/>
              <w:autoSpaceDE w:val="0"/>
              <w:autoSpaceDN w:val="0"/>
              <w:adjustRightInd w:val="0"/>
              <w:ind w:left="113" w:right="113"/>
              <w:jc w:val="left"/>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Česi</w:t>
            </w:r>
          </w:p>
        </w:tc>
      </w:tr>
      <w:tr w:rsidR="00760AAE" w:rsidRPr="001B4CA2" w14:paraId="3AC0668A" w14:textId="77777777" w:rsidTr="006D0A51">
        <w:trPr>
          <w:trHeight w:val="34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3BE21DA"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ODO</w:t>
            </w:r>
          </w:p>
        </w:tc>
        <w:tc>
          <w:tcPr>
            <w:tcW w:w="837" w:type="dxa"/>
            <w:tcBorders>
              <w:top w:val="single" w:sz="4" w:space="0" w:color="auto"/>
              <w:left w:val="single" w:sz="4" w:space="0" w:color="auto"/>
              <w:bottom w:val="single" w:sz="4" w:space="0" w:color="auto"/>
              <w:right w:val="single" w:sz="4" w:space="0" w:color="auto"/>
            </w:tcBorders>
            <w:vAlign w:val="center"/>
          </w:tcPr>
          <w:p w14:paraId="50257C0A"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419</w:t>
            </w:r>
          </w:p>
        </w:tc>
        <w:tc>
          <w:tcPr>
            <w:tcW w:w="839" w:type="dxa"/>
            <w:tcBorders>
              <w:top w:val="single" w:sz="4" w:space="0" w:color="auto"/>
              <w:left w:val="single" w:sz="4" w:space="0" w:color="auto"/>
              <w:bottom w:val="single" w:sz="4" w:space="0" w:color="auto"/>
              <w:right w:val="single" w:sz="4" w:space="0" w:color="auto"/>
            </w:tcBorders>
            <w:vAlign w:val="center"/>
          </w:tcPr>
          <w:p w14:paraId="49146F4A"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407</w:t>
            </w:r>
          </w:p>
        </w:tc>
        <w:tc>
          <w:tcPr>
            <w:tcW w:w="794" w:type="dxa"/>
            <w:tcBorders>
              <w:top w:val="single" w:sz="4" w:space="0" w:color="auto"/>
              <w:left w:val="single" w:sz="4" w:space="0" w:color="auto"/>
              <w:bottom w:val="single" w:sz="4" w:space="0" w:color="auto"/>
              <w:right w:val="single" w:sz="4" w:space="0" w:color="auto"/>
            </w:tcBorders>
            <w:vAlign w:val="center"/>
          </w:tcPr>
          <w:p w14:paraId="2FFE33B0"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8</w:t>
            </w:r>
          </w:p>
        </w:tc>
        <w:tc>
          <w:tcPr>
            <w:tcW w:w="794" w:type="dxa"/>
            <w:tcBorders>
              <w:top w:val="single" w:sz="4" w:space="0" w:color="auto"/>
              <w:left w:val="single" w:sz="4" w:space="0" w:color="auto"/>
              <w:bottom w:val="single" w:sz="4" w:space="0" w:color="auto"/>
              <w:right w:val="single" w:sz="4" w:space="0" w:color="auto"/>
            </w:tcBorders>
            <w:vAlign w:val="center"/>
          </w:tcPr>
          <w:p w14:paraId="4611BD8E"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w:t>
            </w:r>
          </w:p>
        </w:tc>
        <w:tc>
          <w:tcPr>
            <w:tcW w:w="794" w:type="dxa"/>
            <w:tcBorders>
              <w:top w:val="single" w:sz="4" w:space="0" w:color="auto"/>
              <w:left w:val="single" w:sz="4" w:space="0" w:color="auto"/>
              <w:bottom w:val="single" w:sz="4" w:space="0" w:color="auto"/>
              <w:right w:val="single" w:sz="4" w:space="0" w:color="auto"/>
            </w:tcBorders>
            <w:vAlign w:val="center"/>
          </w:tcPr>
          <w:p w14:paraId="31A1C987"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26BD0AD3"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3D54FEC5"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w:t>
            </w:r>
          </w:p>
        </w:tc>
        <w:tc>
          <w:tcPr>
            <w:tcW w:w="794" w:type="dxa"/>
            <w:tcBorders>
              <w:top w:val="single" w:sz="4" w:space="0" w:color="auto"/>
              <w:left w:val="single" w:sz="4" w:space="0" w:color="auto"/>
              <w:bottom w:val="single" w:sz="4" w:space="0" w:color="auto"/>
              <w:right w:val="single" w:sz="4" w:space="0" w:color="auto"/>
            </w:tcBorders>
            <w:vAlign w:val="center"/>
          </w:tcPr>
          <w:p w14:paraId="00BE954D"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2A725443"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7F174509"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w:t>
            </w:r>
          </w:p>
        </w:tc>
      </w:tr>
      <w:tr w:rsidR="00760AAE" w:rsidRPr="001B4CA2" w14:paraId="19F02639" w14:textId="77777777" w:rsidTr="006D0A51">
        <w:trPr>
          <w:trHeight w:val="34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022A8C89"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ŽDO</w:t>
            </w:r>
          </w:p>
        </w:tc>
        <w:tc>
          <w:tcPr>
            <w:tcW w:w="837" w:type="dxa"/>
            <w:tcBorders>
              <w:top w:val="single" w:sz="4" w:space="0" w:color="auto"/>
              <w:left w:val="single" w:sz="4" w:space="0" w:color="auto"/>
              <w:bottom w:val="single" w:sz="4" w:space="0" w:color="auto"/>
              <w:right w:val="single" w:sz="4" w:space="0" w:color="auto"/>
            </w:tcBorders>
            <w:vAlign w:val="center"/>
          </w:tcPr>
          <w:p w14:paraId="355E136D"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164</w:t>
            </w:r>
          </w:p>
        </w:tc>
        <w:tc>
          <w:tcPr>
            <w:tcW w:w="839" w:type="dxa"/>
            <w:tcBorders>
              <w:top w:val="single" w:sz="4" w:space="0" w:color="auto"/>
              <w:left w:val="single" w:sz="4" w:space="0" w:color="auto"/>
              <w:bottom w:val="single" w:sz="4" w:space="0" w:color="auto"/>
              <w:right w:val="single" w:sz="4" w:space="0" w:color="auto"/>
            </w:tcBorders>
            <w:vAlign w:val="center"/>
          </w:tcPr>
          <w:p w14:paraId="751C0427"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156</w:t>
            </w:r>
          </w:p>
        </w:tc>
        <w:tc>
          <w:tcPr>
            <w:tcW w:w="794" w:type="dxa"/>
            <w:tcBorders>
              <w:top w:val="single" w:sz="4" w:space="0" w:color="auto"/>
              <w:left w:val="single" w:sz="4" w:space="0" w:color="auto"/>
              <w:bottom w:val="single" w:sz="4" w:space="0" w:color="auto"/>
              <w:right w:val="single" w:sz="4" w:space="0" w:color="auto"/>
            </w:tcBorders>
            <w:vAlign w:val="center"/>
          </w:tcPr>
          <w:p w14:paraId="4ED84EEB"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5</w:t>
            </w:r>
          </w:p>
        </w:tc>
        <w:tc>
          <w:tcPr>
            <w:tcW w:w="794" w:type="dxa"/>
            <w:tcBorders>
              <w:top w:val="single" w:sz="4" w:space="0" w:color="auto"/>
              <w:left w:val="single" w:sz="4" w:space="0" w:color="auto"/>
              <w:bottom w:val="single" w:sz="4" w:space="0" w:color="auto"/>
              <w:right w:val="single" w:sz="4" w:space="0" w:color="auto"/>
            </w:tcBorders>
            <w:vAlign w:val="center"/>
          </w:tcPr>
          <w:p w14:paraId="5B5865DC"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6948969D"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20C7023E"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w:t>
            </w:r>
          </w:p>
        </w:tc>
        <w:tc>
          <w:tcPr>
            <w:tcW w:w="794" w:type="dxa"/>
            <w:tcBorders>
              <w:top w:val="single" w:sz="4" w:space="0" w:color="auto"/>
              <w:left w:val="single" w:sz="4" w:space="0" w:color="auto"/>
              <w:bottom w:val="single" w:sz="4" w:space="0" w:color="auto"/>
              <w:right w:val="single" w:sz="4" w:space="0" w:color="auto"/>
            </w:tcBorders>
            <w:vAlign w:val="center"/>
          </w:tcPr>
          <w:p w14:paraId="0DADCC02"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5F782724"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w:t>
            </w:r>
          </w:p>
        </w:tc>
        <w:tc>
          <w:tcPr>
            <w:tcW w:w="794" w:type="dxa"/>
            <w:tcBorders>
              <w:top w:val="single" w:sz="4" w:space="0" w:color="auto"/>
              <w:left w:val="single" w:sz="4" w:space="0" w:color="auto"/>
              <w:bottom w:val="single" w:sz="4" w:space="0" w:color="auto"/>
              <w:right w:val="single" w:sz="4" w:space="0" w:color="auto"/>
            </w:tcBorders>
            <w:vAlign w:val="center"/>
          </w:tcPr>
          <w:p w14:paraId="1F8275AF"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w:t>
            </w:r>
          </w:p>
        </w:tc>
        <w:tc>
          <w:tcPr>
            <w:tcW w:w="794" w:type="dxa"/>
            <w:tcBorders>
              <w:top w:val="single" w:sz="4" w:space="0" w:color="auto"/>
              <w:left w:val="single" w:sz="4" w:space="0" w:color="auto"/>
              <w:bottom w:val="single" w:sz="4" w:space="0" w:color="auto"/>
              <w:right w:val="single" w:sz="4" w:space="0" w:color="auto"/>
            </w:tcBorders>
            <w:vAlign w:val="center"/>
          </w:tcPr>
          <w:p w14:paraId="6AE979BD" w14:textId="77777777" w:rsidR="00760AAE" w:rsidRPr="001F53E7" w:rsidRDefault="00760AAE" w:rsidP="006D0A51">
            <w:pPr>
              <w:jc w:val="center"/>
              <w:rPr>
                <w:rFonts w:asciiTheme="majorHAnsi" w:hAnsiTheme="majorHAnsi" w:cstheme="majorHAnsi"/>
                <w:sz w:val="18"/>
                <w:szCs w:val="18"/>
              </w:rPr>
            </w:pPr>
          </w:p>
        </w:tc>
      </w:tr>
      <w:tr w:rsidR="00760AAE" w:rsidRPr="001B4CA2" w14:paraId="71807D7E" w14:textId="77777777" w:rsidTr="006D0A51">
        <w:trPr>
          <w:trHeight w:val="34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2CF7152D"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USKOK</w:t>
            </w:r>
          </w:p>
        </w:tc>
        <w:tc>
          <w:tcPr>
            <w:tcW w:w="837" w:type="dxa"/>
            <w:tcBorders>
              <w:top w:val="single" w:sz="4" w:space="0" w:color="auto"/>
              <w:left w:val="single" w:sz="4" w:space="0" w:color="auto"/>
              <w:bottom w:val="single" w:sz="4" w:space="0" w:color="auto"/>
              <w:right w:val="single" w:sz="4" w:space="0" w:color="auto"/>
            </w:tcBorders>
            <w:vAlign w:val="center"/>
          </w:tcPr>
          <w:p w14:paraId="1DF4293B"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31</w:t>
            </w:r>
          </w:p>
        </w:tc>
        <w:tc>
          <w:tcPr>
            <w:tcW w:w="839" w:type="dxa"/>
            <w:tcBorders>
              <w:top w:val="single" w:sz="4" w:space="0" w:color="auto"/>
              <w:left w:val="single" w:sz="4" w:space="0" w:color="auto"/>
              <w:bottom w:val="single" w:sz="4" w:space="0" w:color="auto"/>
              <w:right w:val="single" w:sz="4" w:space="0" w:color="auto"/>
            </w:tcBorders>
            <w:vAlign w:val="center"/>
          </w:tcPr>
          <w:p w14:paraId="3ADE73A8"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31</w:t>
            </w:r>
          </w:p>
        </w:tc>
        <w:tc>
          <w:tcPr>
            <w:tcW w:w="794" w:type="dxa"/>
            <w:tcBorders>
              <w:top w:val="single" w:sz="4" w:space="0" w:color="auto"/>
              <w:left w:val="single" w:sz="4" w:space="0" w:color="auto"/>
              <w:bottom w:val="single" w:sz="4" w:space="0" w:color="auto"/>
              <w:right w:val="single" w:sz="4" w:space="0" w:color="auto"/>
            </w:tcBorders>
            <w:vAlign w:val="center"/>
          </w:tcPr>
          <w:p w14:paraId="0307C8DB"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5CB11E59"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11E61D4B"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43FE9260"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18423555"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3F04CA28"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35CC36ED"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7663E621" w14:textId="77777777" w:rsidR="00760AAE" w:rsidRPr="001F53E7" w:rsidRDefault="00760AAE" w:rsidP="006D0A51">
            <w:pPr>
              <w:jc w:val="center"/>
              <w:rPr>
                <w:rFonts w:asciiTheme="majorHAnsi" w:hAnsiTheme="majorHAnsi" w:cstheme="majorHAnsi"/>
                <w:sz w:val="18"/>
                <w:szCs w:val="18"/>
              </w:rPr>
            </w:pPr>
          </w:p>
        </w:tc>
      </w:tr>
      <w:tr w:rsidR="00760AAE" w:rsidRPr="001B4CA2" w14:paraId="678746DC" w14:textId="77777777" w:rsidTr="006D0A51">
        <w:trPr>
          <w:trHeight w:val="340"/>
          <w:jc w:val="center"/>
        </w:trPr>
        <w:tc>
          <w:tcPr>
            <w:tcW w:w="948" w:type="dxa"/>
            <w:tcBorders>
              <w:top w:val="single" w:sz="4" w:space="0" w:color="auto"/>
              <w:left w:val="single" w:sz="4" w:space="0" w:color="auto"/>
              <w:bottom w:val="single" w:sz="4" w:space="0" w:color="auto"/>
              <w:right w:val="single" w:sz="4" w:space="0" w:color="auto"/>
            </w:tcBorders>
            <w:vAlign w:val="center"/>
            <w:hideMark/>
          </w:tcPr>
          <w:p w14:paraId="695B2E33"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DORH</w:t>
            </w:r>
          </w:p>
        </w:tc>
        <w:tc>
          <w:tcPr>
            <w:tcW w:w="837" w:type="dxa"/>
            <w:tcBorders>
              <w:top w:val="single" w:sz="4" w:space="0" w:color="auto"/>
              <w:left w:val="single" w:sz="4" w:space="0" w:color="auto"/>
              <w:bottom w:val="single" w:sz="4" w:space="0" w:color="auto"/>
              <w:right w:val="single" w:sz="4" w:space="0" w:color="auto"/>
            </w:tcBorders>
            <w:vAlign w:val="center"/>
          </w:tcPr>
          <w:p w14:paraId="6A085C3A"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26</w:t>
            </w:r>
          </w:p>
        </w:tc>
        <w:tc>
          <w:tcPr>
            <w:tcW w:w="839" w:type="dxa"/>
            <w:tcBorders>
              <w:top w:val="single" w:sz="4" w:space="0" w:color="auto"/>
              <w:left w:val="single" w:sz="4" w:space="0" w:color="auto"/>
              <w:bottom w:val="single" w:sz="4" w:space="0" w:color="auto"/>
              <w:right w:val="single" w:sz="4" w:space="0" w:color="auto"/>
            </w:tcBorders>
            <w:vAlign w:val="center"/>
          </w:tcPr>
          <w:p w14:paraId="5DC70704"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35</w:t>
            </w:r>
          </w:p>
        </w:tc>
        <w:tc>
          <w:tcPr>
            <w:tcW w:w="794" w:type="dxa"/>
            <w:tcBorders>
              <w:top w:val="single" w:sz="4" w:space="0" w:color="auto"/>
              <w:left w:val="single" w:sz="4" w:space="0" w:color="auto"/>
              <w:bottom w:val="single" w:sz="4" w:space="0" w:color="auto"/>
              <w:right w:val="single" w:sz="4" w:space="0" w:color="auto"/>
            </w:tcBorders>
            <w:vAlign w:val="center"/>
          </w:tcPr>
          <w:p w14:paraId="37651E83"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3D505D4F"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4F1871BF" w14:textId="77777777" w:rsidR="00760AAE" w:rsidRPr="001F53E7" w:rsidRDefault="00760AAE" w:rsidP="006D0A51">
            <w:pPr>
              <w:jc w:val="center"/>
              <w:rPr>
                <w:rFonts w:asciiTheme="majorHAnsi" w:hAnsiTheme="majorHAnsi" w:cstheme="majorHAnsi"/>
                <w:sz w:val="18"/>
                <w:szCs w:val="18"/>
              </w:rPr>
            </w:pPr>
            <w:r w:rsidRPr="001F53E7">
              <w:rPr>
                <w:rFonts w:asciiTheme="majorHAnsi" w:hAnsiTheme="majorHAnsi" w:cstheme="majorHAnsi"/>
                <w:sz w:val="18"/>
                <w:szCs w:val="18"/>
              </w:rPr>
              <w:t>1</w:t>
            </w:r>
          </w:p>
        </w:tc>
        <w:tc>
          <w:tcPr>
            <w:tcW w:w="794" w:type="dxa"/>
            <w:tcBorders>
              <w:top w:val="single" w:sz="4" w:space="0" w:color="auto"/>
              <w:left w:val="single" w:sz="4" w:space="0" w:color="auto"/>
              <w:bottom w:val="single" w:sz="4" w:space="0" w:color="auto"/>
              <w:right w:val="single" w:sz="4" w:space="0" w:color="auto"/>
            </w:tcBorders>
            <w:vAlign w:val="center"/>
          </w:tcPr>
          <w:p w14:paraId="77D08240"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1521D799"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4E58D648"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41216FDB" w14:textId="77777777" w:rsidR="00760AAE" w:rsidRPr="001F53E7" w:rsidRDefault="00760AAE" w:rsidP="006D0A51">
            <w:pPr>
              <w:jc w:val="center"/>
              <w:rPr>
                <w:rFonts w:asciiTheme="majorHAnsi" w:hAnsiTheme="majorHAnsi" w:cstheme="majorHAnsi"/>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14:paraId="3ACD0D62" w14:textId="77777777" w:rsidR="00760AAE" w:rsidRPr="001F53E7" w:rsidRDefault="00760AAE" w:rsidP="006D0A51">
            <w:pPr>
              <w:jc w:val="center"/>
              <w:rPr>
                <w:rFonts w:asciiTheme="majorHAnsi" w:hAnsiTheme="majorHAnsi" w:cstheme="majorHAnsi"/>
                <w:sz w:val="18"/>
                <w:szCs w:val="18"/>
              </w:rPr>
            </w:pPr>
          </w:p>
        </w:tc>
      </w:tr>
      <w:tr w:rsidR="00760AAE" w:rsidRPr="001B4CA2" w14:paraId="3273C777" w14:textId="77777777" w:rsidTr="006D0A51">
        <w:trPr>
          <w:trHeight w:val="340"/>
          <w:jc w:val="center"/>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65318"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r w:rsidRPr="001F53E7">
              <w:rPr>
                <w:rFonts w:asciiTheme="majorHAnsi" w:hAnsiTheme="majorHAnsi" w:cstheme="majorHAnsi"/>
                <w:b/>
                <w:bCs/>
                <w:spacing w:val="-7"/>
                <w:w w:val="103"/>
                <w:sz w:val="18"/>
                <w:szCs w:val="18"/>
              </w:rPr>
              <w:t>Ukupno</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14:paraId="2C9E8C26" w14:textId="77777777" w:rsidR="00760AAE" w:rsidRPr="001F53E7" w:rsidRDefault="00760AAE" w:rsidP="006D0A51">
            <w:pPr>
              <w:jc w:val="center"/>
              <w:rPr>
                <w:rFonts w:asciiTheme="majorHAnsi" w:hAnsiTheme="majorHAnsi" w:cstheme="majorHAnsi"/>
                <w:b/>
                <w:sz w:val="18"/>
                <w:szCs w:val="18"/>
              </w:rPr>
            </w:pPr>
            <w:r w:rsidRPr="001F53E7">
              <w:rPr>
                <w:rFonts w:asciiTheme="majorHAnsi" w:hAnsiTheme="majorHAnsi" w:cstheme="majorHAnsi"/>
                <w:b/>
                <w:sz w:val="18"/>
                <w:szCs w:val="18"/>
              </w:rPr>
              <w:t>640</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14:paraId="59734BC5"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619</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72EA6B9"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3BEDF1A"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C819E65"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3A65A24"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FDCDB91"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6DFFDE7"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A1C518B"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B713E67"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2</w:t>
            </w:r>
          </w:p>
        </w:tc>
      </w:tr>
      <w:tr w:rsidR="00760AAE" w:rsidRPr="001B4CA2" w14:paraId="715C9762" w14:textId="77777777" w:rsidTr="006D0A51">
        <w:trPr>
          <w:trHeight w:val="340"/>
          <w:jc w:val="center"/>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tcPr>
          <w:p w14:paraId="1EB7F61A" w14:textId="77777777" w:rsidR="00760AAE" w:rsidRPr="001F53E7" w:rsidRDefault="00760AAE" w:rsidP="006D0A51">
            <w:pPr>
              <w:widowControl w:val="0"/>
              <w:autoSpaceDE w:val="0"/>
              <w:autoSpaceDN w:val="0"/>
              <w:adjustRightInd w:val="0"/>
              <w:jc w:val="center"/>
              <w:rPr>
                <w:rFonts w:asciiTheme="majorHAnsi" w:hAnsiTheme="majorHAnsi" w:cstheme="majorHAnsi"/>
                <w:b/>
                <w:bCs/>
                <w:spacing w:val="-7"/>
                <w:w w:val="103"/>
                <w:sz w:val="18"/>
                <w:szCs w:val="18"/>
              </w:rPr>
            </w:pP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8FD11" w14:textId="4CE30612" w:rsidR="00760AAE" w:rsidRPr="001F53E7" w:rsidRDefault="00760AAE" w:rsidP="006D0A51">
            <w:pPr>
              <w:jc w:val="center"/>
              <w:rPr>
                <w:rFonts w:asciiTheme="majorHAnsi" w:hAnsiTheme="majorHAnsi" w:cstheme="majorHAnsi"/>
                <w:b/>
                <w:sz w:val="18"/>
                <w:szCs w:val="18"/>
              </w:rPr>
            </w:pPr>
            <w:r w:rsidRPr="001F53E7">
              <w:rPr>
                <w:rFonts w:asciiTheme="majorHAnsi" w:hAnsiTheme="majorHAnsi" w:cstheme="majorHAnsi"/>
                <w:b/>
                <w:sz w:val="18"/>
                <w:szCs w:val="18"/>
              </w:rPr>
              <w:t>%</w:t>
            </w:r>
            <w:r w:rsidR="00670F8C" w:rsidRPr="001F53E7">
              <w:rPr>
                <w:rFonts w:asciiTheme="majorHAnsi" w:hAnsiTheme="majorHAnsi" w:cstheme="majorHAnsi"/>
                <w:b/>
                <w:sz w:val="18"/>
                <w:szCs w:val="18"/>
              </w:rPr>
              <w:t xml:space="preserve"> </w:t>
            </w:r>
            <w:r w:rsidRPr="001F53E7">
              <w:rPr>
                <w:rFonts w:asciiTheme="majorHAnsi" w:hAnsiTheme="majorHAnsi" w:cstheme="majorHAnsi"/>
                <w:b/>
                <w:sz w:val="18"/>
                <w:szCs w:val="18"/>
              </w:rPr>
              <w:t>udjel</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142CD"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96,72%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C9334"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2,03%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81ED6"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0,16%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3D5C6"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0,16%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D0B8E"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0,16%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145E3"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0,16%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306AF"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0,16%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42CA9"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0,16%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21500" w14:textId="77777777" w:rsidR="00760AAE" w:rsidRPr="001F53E7" w:rsidRDefault="00760AAE" w:rsidP="006D0A51">
            <w:pPr>
              <w:jc w:val="center"/>
              <w:rPr>
                <w:rFonts w:asciiTheme="majorHAnsi" w:hAnsiTheme="majorHAnsi" w:cstheme="majorHAnsi"/>
                <w:b/>
                <w:bCs/>
                <w:sz w:val="18"/>
                <w:szCs w:val="18"/>
              </w:rPr>
            </w:pPr>
            <w:r w:rsidRPr="001F53E7">
              <w:rPr>
                <w:rFonts w:asciiTheme="majorHAnsi" w:hAnsiTheme="majorHAnsi" w:cstheme="majorHAnsi"/>
                <w:b/>
                <w:bCs/>
                <w:sz w:val="18"/>
                <w:szCs w:val="18"/>
              </w:rPr>
              <w:t>0,31%</w:t>
            </w:r>
          </w:p>
        </w:tc>
      </w:tr>
    </w:tbl>
    <w:p w14:paraId="352D4964" w14:textId="77777777" w:rsidR="005C789D" w:rsidRPr="001B4CA2" w:rsidRDefault="005C789D" w:rsidP="002914DF">
      <w:pPr>
        <w:pStyle w:val="Naslov3"/>
        <w:numPr>
          <w:ilvl w:val="0"/>
          <w:numId w:val="0"/>
        </w:numPr>
        <w:rPr>
          <w:rFonts w:ascii="Arial" w:hAnsi="Arial" w:cs="Arial"/>
          <w:b w:val="0"/>
        </w:rPr>
      </w:pPr>
    </w:p>
    <w:p w14:paraId="7C6BF074" w14:textId="31AF6175" w:rsidR="005C4A9A" w:rsidRPr="001B4CA2" w:rsidRDefault="005B197C" w:rsidP="005B197C">
      <w:pPr>
        <w:pStyle w:val="Naslov3"/>
        <w:rPr>
          <w:rFonts w:ascii="Arial" w:hAnsi="Arial" w:cs="Arial"/>
        </w:rPr>
      </w:pPr>
      <w:bookmarkStart w:id="4" w:name="_Toc133394268"/>
      <w:r w:rsidRPr="001B4CA2">
        <w:rPr>
          <w:rFonts w:ascii="Arial" w:hAnsi="Arial" w:cs="Arial"/>
        </w:rPr>
        <w:t>Obrazovanje i stručno usavršavanje</w:t>
      </w:r>
      <w:bookmarkEnd w:id="4"/>
    </w:p>
    <w:p w14:paraId="17435F20" w14:textId="77777777" w:rsidR="008F43B8" w:rsidRPr="001B4CA2" w:rsidRDefault="008F43B8" w:rsidP="008F43B8"/>
    <w:p w14:paraId="07D6B21B" w14:textId="311BBC4B" w:rsidR="000740F7" w:rsidRPr="001B4CA2" w:rsidRDefault="000740F7" w:rsidP="000740F7">
      <w:pPr>
        <w:ind w:firstLine="708"/>
        <w:rPr>
          <w:rFonts w:eastAsia="Calibri"/>
        </w:rPr>
      </w:pPr>
      <w:r w:rsidRPr="001B4CA2">
        <w:rPr>
          <w:rFonts w:eastAsia="Calibri"/>
        </w:rPr>
        <w:t xml:space="preserve">U </w:t>
      </w:r>
      <w:proofErr w:type="spellStart"/>
      <w:r w:rsidRPr="001B4CA2">
        <w:rPr>
          <w:rFonts w:eastAsia="Calibri"/>
        </w:rPr>
        <w:t>državnoodvjetničkoj</w:t>
      </w:r>
      <w:proofErr w:type="spellEnd"/>
      <w:r w:rsidRPr="001B4CA2">
        <w:rPr>
          <w:rFonts w:eastAsia="Calibri"/>
        </w:rPr>
        <w:t xml:space="preserve"> </w:t>
      </w:r>
      <w:r w:rsidR="00670F8C" w:rsidRPr="001B4CA2">
        <w:rPr>
          <w:rFonts w:eastAsia="Calibri"/>
        </w:rPr>
        <w:t xml:space="preserve">se </w:t>
      </w:r>
      <w:r w:rsidRPr="001B4CA2">
        <w:rPr>
          <w:rFonts w:eastAsia="Calibri"/>
        </w:rPr>
        <w:t xml:space="preserve">organizaciji i tijekom izvještajnog razdoblja, kao i ranijih godina posebna </w:t>
      </w:r>
      <w:r w:rsidR="00670F8C">
        <w:rPr>
          <w:rFonts w:eastAsia="Calibri"/>
        </w:rPr>
        <w:t>pozornost</w:t>
      </w:r>
      <w:r w:rsidRPr="001B4CA2">
        <w:rPr>
          <w:rFonts w:eastAsia="Calibri"/>
        </w:rPr>
        <w:t xml:space="preserve"> posvećivala permanentnom</w:t>
      </w:r>
      <w:r w:rsidR="001B4CA2">
        <w:rPr>
          <w:rFonts w:eastAsia="Calibri"/>
        </w:rPr>
        <w:t xml:space="preserve"> </w:t>
      </w:r>
      <w:r w:rsidRPr="001B4CA2">
        <w:rPr>
          <w:rFonts w:eastAsia="Calibri"/>
        </w:rPr>
        <w:t>stručnom usavršavanju dužnosnika, jer se samo neprekidnim usavršavanjem državnih odvjetnika može unaprijediti</w:t>
      </w:r>
      <w:r w:rsidR="001B4CA2">
        <w:rPr>
          <w:rFonts w:eastAsia="Calibri"/>
        </w:rPr>
        <w:t xml:space="preserve"> </w:t>
      </w:r>
      <w:r w:rsidRPr="001B4CA2">
        <w:rPr>
          <w:rFonts w:eastAsia="Calibri"/>
        </w:rPr>
        <w:t xml:space="preserve">njihova profesionalna kompetentnost i stručnost. </w:t>
      </w:r>
    </w:p>
    <w:p w14:paraId="527B744C" w14:textId="77777777" w:rsidR="000740F7" w:rsidRPr="001B4CA2" w:rsidRDefault="000740F7" w:rsidP="000740F7">
      <w:pPr>
        <w:ind w:firstLine="708"/>
        <w:rPr>
          <w:rFonts w:eastAsia="Calibri"/>
        </w:rPr>
      </w:pPr>
    </w:p>
    <w:p w14:paraId="6529742E" w14:textId="77777777" w:rsidR="000740F7" w:rsidRPr="001B4CA2" w:rsidRDefault="000740F7" w:rsidP="000740F7">
      <w:pPr>
        <w:ind w:firstLine="708"/>
        <w:rPr>
          <w:rFonts w:eastAsia="Calibri"/>
        </w:rPr>
      </w:pPr>
      <w:r w:rsidRPr="001B4CA2">
        <w:t>Stoga su d</w:t>
      </w:r>
      <w:r w:rsidRPr="001B4CA2">
        <w:rPr>
          <w:rFonts w:eastAsia="Calibri"/>
        </w:rPr>
        <w:t>ržavni odvjetnici i zamjenici državnog odvjetnika</w:t>
      </w:r>
      <w:r w:rsidRPr="001B4CA2">
        <w:t xml:space="preserve"> na razini cijele </w:t>
      </w:r>
      <w:proofErr w:type="spellStart"/>
      <w:r w:rsidRPr="001B4CA2">
        <w:t>državnoodvjetničke</w:t>
      </w:r>
      <w:proofErr w:type="spellEnd"/>
      <w:r w:rsidRPr="001B4CA2">
        <w:t xml:space="preserve"> organizacije tijekom 2022. godine sudjelovali u brojnim </w:t>
      </w:r>
      <w:r w:rsidRPr="001B4CA2">
        <w:rPr>
          <w:rFonts w:eastAsia="Calibri"/>
        </w:rPr>
        <w:t>programima obrazovanja i usavršavanja u zemlji i inozemstvu, u organizaciji Pravosudne akademije, Vrhovnog suda Republike Hrvatske, Europske mreže centara za stručno usavršavanje pravosudnih dužnosnika i drugih.</w:t>
      </w:r>
    </w:p>
    <w:p w14:paraId="025AEA1F" w14:textId="77777777" w:rsidR="000740F7" w:rsidRPr="001B4CA2" w:rsidRDefault="000740F7" w:rsidP="000740F7">
      <w:pPr>
        <w:rPr>
          <w:rFonts w:eastAsia="Calibri"/>
        </w:rPr>
      </w:pPr>
    </w:p>
    <w:p w14:paraId="74D45FD4" w14:textId="101355FA" w:rsidR="000740F7" w:rsidRPr="001B4CA2" w:rsidRDefault="000740F7" w:rsidP="000740F7">
      <w:pPr>
        <w:ind w:firstLine="708"/>
        <w:rPr>
          <w:rFonts w:eastAsia="Calibri"/>
        </w:rPr>
      </w:pPr>
      <w:r w:rsidRPr="001B4CA2">
        <w:rPr>
          <w:rFonts w:eastAsia="Calibri"/>
        </w:rPr>
        <w:t>Državni odvjetnici i zamjenici državnih odvjetnika sudjelovali su i na raznim međunarodnim konferencijama te kao voditelji ili polaznici na radionicama iz građanskog i građansko-</w:t>
      </w:r>
      <w:proofErr w:type="spellStart"/>
      <w:r w:rsidRPr="001B4CA2">
        <w:rPr>
          <w:rFonts w:eastAsia="Calibri"/>
        </w:rPr>
        <w:t>postupovnog</w:t>
      </w:r>
      <w:proofErr w:type="spellEnd"/>
      <w:r w:rsidRPr="001B4CA2">
        <w:rPr>
          <w:rFonts w:eastAsia="Calibri"/>
        </w:rPr>
        <w:t xml:space="preserve"> prava, kaznenog materijalnog i kazneno-</w:t>
      </w:r>
      <w:proofErr w:type="spellStart"/>
      <w:r w:rsidRPr="001B4CA2">
        <w:rPr>
          <w:rFonts w:eastAsia="Calibri"/>
        </w:rPr>
        <w:t>postupovnog</w:t>
      </w:r>
      <w:proofErr w:type="spellEnd"/>
      <w:r w:rsidRPr="001B4CA2">
        <w:rPr>
          <w:rFonts w:eastAsia="Calibri"/>
        </w:rPr>
        <w:t xml:space="preserve"> prava, europskog i međunarodnog prava, prekršajnog prava.</w:t>
      </w:r>
    </w:p>
    <w:p w14:paraId="126D4D8B" w14:textId="77777777" w:rsidR="000740F7" w:rsidRPr="001B4CA2" w:rsidRDefault="000740F7" w:rsidP="000740F7">
      <w:pPr>
        <w:rPr>
          <w:rFonts w:eastAsia="Calibri"/>
          <w:highlight w:val="yellow"/>
        </w:rPr>
      </w:pPr>
    </w:p>
    <w:p w14:paraId="06448BEA" w14:textId="5D783A5D" w:rsidR="000740F7" w:rsidRPr="001B4CA2" w:rsidRDefault="000740F7" w:rsidP="000740F7">
      <w:pPr>
        <w:ind w:firstLine="708"/>
        <w:rPr>
          <w:rFonts w:eastAsia="Calibri"/>
        </w:rPr>
      </w:pPr>
      <w:r w:rsidRPr="001B4CA2">
        <w:rPr>
          <w:rFonts w:eastAsia="Calibri"/>
        </w:rPr>
        <w:t>Tako je tijekom 2022. godine 633 državnih odvjetnika, zamjenika i savjetnika sudjelovalo na 2491 radionic</w:t>
      </w:r>
      <w:r w:rsidR="00670F8C">
        <w:rPr>
          <w:rFonts w:eastAsia="Calibri"/>
        </w:rPr>
        <w:t>i</w:t>
      </w:r>
      <w:r w:rsidRPr="001B4CA2">
        <w:rPr>
          <w:rFonts w:eastAsia="Calibri"/>
        </w:rPr>
        <w:t>, seminar</w:t>
      </w:r>
      <w:r w:rsidR="00670F8C">
        <w:rPr>
          <w:rFonts w:eastAsia="Calibri"/>
        </w:rPr>
        <w:t>u</w:t>
      </w:r>
      <w:r w:rsidRPr="001B4CA2">
        <w:rPr>
          <w:rFonts w:eastAsia="Calibri"/>
        </w:rPr>
        <w:t>, konferencij</w:t>
      </w:r>
      <w:r w:rsidR="00670F8C">
        <w:rPr>
          <w:rFonts w:eastAsia="Calibri"/>
        </w:rPr>
        <w:t>i</w:t>
      </w:r>
      <w:r w:rsidRPr="001B4CA2">
        <w:rPr>
          <w:rFonts w:eastAsia="Calibri"/>
        </w:rPr>
        <w:t>, s time da je 213 konferencija, radionica i seminara održano u inozemstvu.</w:t>
      </w:r>
    </w:p>
    <w:p w14:paraId="0EB84F40" w14:textId="77777777" w:rsidR="000740F7" w:rsidRPr="001B4CA2" w:rsidRDefault="000740F7" w:rsidP="000740F7">
      <w:pPr>
        <w:rPr>
          <w:rFonts w:eastAsia="Calibri"/>
          <w:highlight w:val="yellow"/>
        </w:rPr>
      </w:pPr>
    </w:p>
    <w:p w14:paraId="4FC5096A" w14:textId="77777777" w:rsidR="000740F7" w:rsidRPr="001B4CA2" w:rsidRDefault="000740F7" w:rsidP="000740F7">
      <w:pPr>
        <w:ind w:firstLine="708"/>
        <w:rPr>
          <w:rFonts w:eastAsia="Calibri"/>
        </w:rPr>
      </w:pPr>
      <w:r w:rsidRPr="001B4CA2">
        <w:rPr>
          <w:rFonts w:eastAsia="Calibri"/>
        </w:rPr>
        <w:t>Za samo državno odvjetništvo od iznimne važnosti bile su radionice na temu:</w:t>
      </w:r>
    </w:p>
    <w:p w14:paraId="55070611" w14:textId="77777777" w:rsidR="000740F7" w:rsidRPr="001B4CA2" w:rsidRDefault="000740F7" w:rsidP="000740F7">
      <w:pPr>
        <w:rPr>
          <w:color w:val="333333"/>
          <w:shd w:val="clear" w:color="auto" w:fill="FFFFFF"/>
        </w:rPr>
      </w:pPr>
    </w:p>
    <w:p w14:paraId="260E5FDE" w14:textId="7711228A" w:rsidR="000740F7" w:rsidRDefault="000740F7" w:rsidP="000740F7">
      <w:pPr>
        <w:ind w:firstLine="708"/>
        <w:rPr>
          <w:shd w:val="clear" w:color="auto" w:fill="FFFFFF"/>
        </w:rPr>
      </w:pPr>
      <w:r w:rsidRPr="001B4CA2">
        <w:rPr>
          <w:shd w:val="clear" w:color="auto" w:fill="FFFFFF"/>
        </w:rPr>
        <w:t>Seminar „Zločin iz mržnje“, edukacija tužitelja i policije zemalja iz regije (</w:t>
      </w:r>
      <w:proofErr w:type="spellStart"/>
      <w:r w:rsidRPr="00670F8C">
        <w:rPr>
          <w:i/>
          <w:iCs/>
          <w:shd w:val="clear" w:color="auto" w:fill="FFFFFF"/>
        </w:rPr>
        <w:t>Partnership</w:t>
      </w:r>
      <w:proofErr w:type="spellEnd"/>
      <w:r w:rsidRPr="00670F8C">
        <w:rPr>
          <w:i/>
          <w:iCs/>
          <w:shd w:val="clear" w:color="auto" w:fill="FFFFFF"/>
        </w:rPr>
        <w:t xml:space="preserve"> for </w:t>
      </w:r>
      <w:proofErr w:type="spellStart"/>
      <w:r w:rsidRPr="00670F8C">
        <w:rPr>
          <w:i/>
          <w:iCs/>
          <w:shd w:val="clear" w:color="auto" w:fill="FFFFFF"/>
        </w:rPr>
        <w:t>education</w:t>
      </w:r>
      <w:proofErr w:type="spellEnd"/>
      <w:r w:rsidR="00670F8C">
        <w:rPr>
          <w:shd w:val="clear" w:color="auto" w:fill="FFFFFF"/>
        </w:rPr>
        <w:t xml:space="preserve">  – </w:t>
      </w:r>
      <w:r w:rsidRPr="001B4CA2">
        <w:rPr>
          <w:shd w:val="clear" w:color="auto" w:fill="FFFFFF"/>
        </w:rPr>
        <w:t>partnerstvo Veleposlanstva SAD-a u RH i Policijske akademije u RH za regionalnu policijsku suradnju), radionica „Rad u sustavu CTS-a</w:t>
      </w:r>
      <w:r w:rsidR="00670F8C">
        <w:rPr>
          <w:shd w:val="clear" w:color="auto" w:fill="FFFFFF"/>
        </w:rPr>
        <w:t xml:space="preserve"> – </w:t>
      </w:r>
      <w:r w:rsidRPr="001B4CA2">
        <w:rPr>
          <w:shd w:val="clear" w:color="auto" w:fill="FFFFFF"/>
        </w:rPr>
        <w:t>kazneni predmeti“, radionica „Rad u sustavu CTS-a</w:t>
      </w:r>
      <w:r w:rsidR="00670F8C">
        <w:rPr>
          <w:shd w:val="clear" w:color="auto" w:fill="FFFFFF"/>
        </w:rPr>
        <w:t xml:space="preserve"> – </w:t>
      </w:r>
      <w:r w:rsidRPr="001B4CA2">
        <w:rPr>
          <w:shd w:val="clear" w:color="auto" w:fill="FFFFFF"/>
        </w:rPr>
        <w:t xml:space="preserve">građanski predmeti“, radionica „Snimanje dokaznih i drugih radnji u prethodnom i kaznenom postupku“, radionica </w:t>
      </w:r>
      <w:r w:rsidRPr="001B4CA2">
        <w:rPr>
          <w:shd w:val="clear" w:color="auto" w:fill="FFFFFF"/>
        </w:rPr>
        <w:lastRenderedPageBreak/>
        <w:t>„Procesuiranje ratnih zločina</w:t>
      </w:r>
      <w:r w:rsidR="00670F8C">
        <w:rPr>
          <w:shd w:val="clear" w:color="auto" w:fill="FFFFFF"/>
        </w:rPr>
        <w:t xml:space="preserve"> – </w:t>
      </w:r>
      <w:r w:rsidRPr="001B4CA2">
        <w:rPr>
          <w:shd w:val="clear" w:color="auto" w:fill="FFFFFF"/>
        </w:rPr>
        <w:t xml:space="preserve">ujednačavanje sudske prakse“, a koje su </w:t>
      </w:r>
      <w:r w:rsidR="00670F8C" w:rsidRPr="001B4CA2">
        <w:rPr>
          <w:shd w:val="clear" w:color="auto" w:fill="FFFFFF"/>
        </w:rPr>
        <w:t xml:space="preserve">radionice </w:t>
      </w:r>
      <w:r w:rsidRPr="001B4CA2">
        <w:rPr>
          <w:shd w:val="clear" w:color="auto" w:fill="FFFFFF"/>
        </w:rPr>
        <w:t>vodili zamjenici Glavne državne odvjetnice Republike Hrvatske.</w:t>
      </w:r>
    </w:p>
    <w:p w14:paraId="6766EE7C" w14:textId="77777777" w:rsidR="00766A28" w:rsidRPr="001B4CA2" w:rsidRDefault="00766A28" w:rsidP="000740F7">
      <w:pPr>
        <w:ind w:firstLine="708"/>
        <w:rPr>
          <w:shd w:val="clear" w:color="auto" w:fill="FFFFFF"/>
        </w:rPr>
      </w:pPr>
    </w:p>
    <w:p w14:paraId="1080871E" w14:textId="40A46E0E" w:rsidR="000740F7" w:rsidRPr="001B4CA2" w:rsidRDefault="00670F8C" w:rsidP="000740F7">
      <w:pPr>
        <w:ind w:firstLine="708"/>
        <w:rPr>
          <w:rFonts w:eastAsia="Calibri"/>
        </w:rPr>
      </w:pPr>
      <w:r>
        <w:rPr>
          <w:shd w:val="clear" w:color="auto" w:fill="FFFFFF"/>
        </w:rPr>
        <w:t>Važnim držimo</w:t>
      </w:r>
      <w:r w:rsidR="000740F7" w:rsidRPr="001B4CA2">
        <w:rPr>
          <w:shd w:val="clear" w:color="auto" w:fill="FFFFFF"/>
        </w:rPr>
        <w:t xml:space="preserve"> i sudjelovanje zamjenika na regionalnom seminaru posvećenom jačanju suzbijanja organiziranog</w:t>
      </w:r>
      <w:r>
        <w:rPr>
          <w:shd w:val="clear" w:color="auto" w:fill="FFFFFF"/>
        </w:rPr>
        <w:t>a</w:t>
      </w:r>
      <w:r w:rsidR="000740F7" w:rsidRPr="001B4CA2">
        <w:rPr>
          <w:shd w:val="clear" w:color="auto" w:fill="FFFFFF"/>
        </w:rPr>
        <w:t xml:space="preserve"> kriminala povezanim s krijumčarenjem nezakonitih migranata u </w:t>
      </w:r>
      <w:r>
        <w:rPr>
          <w:shd w:val="clear" w:color="auto" w:fill="FFFFFF"/>
        </w:rPr>
        <w:t>j</w:t>
      </w:r>
      <w:r w:rsidR="000740F7" w:rsidRPr="001B4CA2">
        <w:rPr>
          <w:shd w:val="clear" w:color="auto" w:fill="FFFFFF"/>
        </w:rPr>
        <w:t>ugoistočnoj Europi, kao i na</w:t>
      </w:r>
      <w:r w:rsidR="001B4CA2">
        <w:rPr>
          <w:shd w:val="clear" w:color="auto" w:fill="FFFFFF"/>
        </w:rPr>
        <w:t xml:space="preserve"> </w:t>
      </w:r>
      <w:r w:rsidR="000740F7" w:rsidRPr="001B4CA2">
        <w:rPr>
          <w:shd w:val="clear" w:color="auto" w:fill="FFFFFF"/>
        </w:rPr>
        <w:t xml:space="preserve">regionalnoj konferenciji „Efektivno oduzimanje imovinske koristi stečene kriminalnom djelatnošću u skladu s </w:t>
      </w:r>
      <w:r>
        <w:rPr>
          <w:shd w:val="clear" w:color="auto" w:fill="FFFFFF"/>
        </w:rPr>
        <w:t>e</w:t>
      </w:r>
      <w:r w:rsidR="000740F7" w:rsidRPr="001B4CA2">
        <w:rPr>
          <w:shd w:val="clear" w:color="auto" w:fill="FFFFFF"/>
        </w:rPr>
        <w:t>uropskim standardima,“ sudjelovanje na radionici „Zabranjeni sadržaji</w:t>
      </w:r>
      <w:r w:rsidR="00F47D60">
        <w:rPr>
          <w:shd w:val="clear" w:color="auto" w:fill="FFFFFF"/>
        </w:rPr>
        <w:t xml:space="preserve"> – </w:t>
      </w:r>
      <w:r w:rsidR="000740F7" w:rsidRPr="001B4CA2">
        <w:rPr>
          <w:shd w:val="clear" w:color="auto" w:fill="FFFFFF"/>
        </w:rPr>
        <w:t>unaprjeđenje programa edukacija u borbi protiv kibernetičkog</w:t>
      </w:r>
      <w:r>
        <w:rPr>
          <w:shd w:val="clear" w:color="auto" w:fill="FFFFFF"/>
        </w:rPr>
        <w:t>a</w:t>
      </w:r>
      <w:r w:rsidR="000740F7" w:rsidRPr="001B4CA2">
        <w:rPr>
          <w:shd w:val="clear" w:color="auto" w:fill="FFFFFF"/>
        </w:rPr>
        <w:t xml:space="preserve"> kriminala“, radionici „Europski nalog za blokadu računa“, radionici na temu sprječavanja pranja novca.</w:t>
      </w:r>
    </w:p>
    <w:p w14:paraId="2DCC379B" w14:textId="77777777" w:rsidR="000740F7" w:rsidRPr="001B4CA2" w:rsidRDefault="000740F7" w:rsidP="000740F7">
      <w:pPr>
        <w:rPr>
          <w:rFonts w:eastAsia="Calibri"/>
          <w:highlight w:val="yellow"/>
        </w:rPr>
      </w:pPr>
    </w:p>
    <w:p w14:paraId="0E7E0782" w14:textId="52C05259" w:rsidR="000740F7" w:rsidRPr="001B4CA2" w:rsidRDefault="000740F7" w:rsidP="000740F7">
      <w:pPr>
        <w:ind w:firstLine="708"/>
        <w:rPr>
          <w:rFonts w:eastAsia="Calibri"/>
        </w:rPr>
      </w:pPr>
      <w:r w:rsidRPr="001B4CA2">
        <w:rPr>
          <w:rFonts w:eastAsia="Calibri"/>
        </w:rPr>
        <w:t xml:space="preserve">Glavna državna odvjetnica Republike Hrvatske sudjelovala je na Konferenciji mreže javnih tužitelja u Beču kao i </w:t>
      </w:r>
      <w:r w:rsidR="00BE61D2">
        <w:rPr>
          <w:rFonts w:eastAsia="Calibri"/>
        </w:rPr>
        <w:t xml:space="preserve">na </w:t>
      </w:r>
      <w:r w:rsidRPr="001B4CA2">
        <w:rPr>
          <w:rFonts w:eastAsia="Calibri"/>
        </w:rPr>
        <w:t>godišnjoj konferencij</w:t>
      </w:r>
      <w:r w:rsidR="00BE61D2">
        <w:rPr>
          <w:rFonts w:eastAsia="Calibri"/>
        </w:rPr>
        <w:t>i</w:t>
      </w:r>
      <w:r w:rsidRPr="001B4CA2">
        <w:rPr>
          <w:rFonts w:eastAsia="Calibri"/>
        </w:rPr>
        <w:t xml:space="preserve"> IAP-a u Tbilisi</w:t>
      </w:r>
      <w:r w:rsidR="00F47D60">
        <w:rPr>
          <w:rFonts w:eastAsia="Calibri"/>
        </w:rPr>
        <w:t>j</w:t>
      </w:r>
      <w:r w:rsidRPr="001B4CA2">
        <w:rPr>
          <w:rFonts w:eastAsia="Calibri"/>
        </w:rPr>
        <w:t>u.</w:t>
      </w:r>
    </w:p>
    <w:p w14:paraId="63494EDC" w14:textId="77777777" w:rsidR="000740F7" w:rsidRPr="001B4CA2" w:rsidRDefault="000740F7" w:rsidP="000740F7">
      <w:pPr>
        <w:rPr>
          <w:rFonts w:eastAsia="Calibri"/>
          <w:highlight w:val="yellow"/>
        </w:rPr>
      </w:pPr>
    </w:p>
    <w:p w14:paraId="0E6342AA" w14:textId="77777777" w:rsidR="000740F7" w:rsidRPr="001B4CA2" w:rsidRDefault="000740F7" w:rsidP="000740F7">
      <w:pPr>
        <w:ind w:firstLine="708"/>
        <w:rPr>
          <w:rFonts w:eastAsia="Calibri"/>
        </w:rPr>
      </w:pPr>
      <w:r w:rsidRPr="001B4CA2">
        <w:rPr>
          <w:rFonts w:eastAsia="Calibri"/>
        </w:rPr>
        <w:t xml:space="preserve">Predstavnici Državnog odvjetništva Republike Hrvatske sudjelovali su na konferenciji Savjetodavnog vijeća državnih odvjetnika Europe u Palermu. </w:t>
      </w:r>
    </w:p>
    <w:p w14:paraId="11012716" w14:textId="77777777" w:rsidR="000740F7" w:rsidRPr="001B4CA2" w:rsidRDefault="000740F7" w:rsidP="000740F7">
      <w:pPr>
        <w:rPr>
          <w:rFonts w:eastAsia="Calibri"/>
          <w:highlight w:val="yellow"/>
        </w:rPr>
      </w:pPr>
    </w:p>
    <w:p w14:paraId="74453AB9" w14:textId="3723FE71" w:rsidR="000740F7" w:rsidRPr="001B4CA2" w:rsidRDefault="000740F7" w:rsidP="000740F7">
      <w:pPr>
        <w:ind w:firstLine="708"/>
        <w:rPr>
          <w:rFonts w:eastAsia="Calibri"/>
        </w:rPr>
      </w:pPr>
      <w:r w:rsidRPr="001B4CA2">
        <w:rPr>
          <w:rFonts w:eastAsia="Calibri"/>
        </w:rPr>
        <w:t>Državni odvjetnici i zamjenici državnog</w:t>
      </w:r>
      <w:r w:rsidR="00BE61D2">
        <w:rPr>
          <w:rFonts w:eastAsia="Calibri"/>
        </w:rPr>
        <w:t>a</w:t>
      </w:r>
      <w:r w:rsidRPr="001B4CA2">
        <w:rPr>
          <w:rFonts w:eastAsia="Calibri"/>
        </w:rPr>
        <w:t xml:space="preserve"> odvjetnika sudjelovali su posredstvom Pravosudne akademije i u programima obrazovanja i usavršavanja Europske mreže centara za stručno usavršavanje pravosudnih dužnosnika – EJTN, kao i u aktivnostima programa AIKOS namijenjenima pravosudnim dužnosnicima na početku karijere, kao i u provedbi programa </w:t>
      </w:r>
      <w:proofErr w:type="spellStart"/>
      <w:r w:rsidRPr="001B4CA2">
        <w:rPr>
          <w:rFonts w:eastAsia="Calibri"/>
        </w:rPr>
        <w:t>Help</w:t>
      </w:r>
      <w:proofErr w:type="spellEnd"/>
      <w:r w:rsidRPr="001B4CA2">
        <w:rPr>
          <w:rFonts w:eastAsia="Calibri"/>
        </w:rPr>
        <w:t xml:space="preserve"> Vijeća Europe.</w:t>
      </w:r>
    </w:p>
    <w:p w14:paraId="31B53F71" w14:textId="77777777" w:rsidR="000740F7" w:rsidRPr="001B4CA2" w:rsidRDefault="000740F7" w:rsidP="000740F7">
      <w:pPr>
        <w:rPr>
          <w:rFonts w:eastAsia="Calibri"/>
          <w:highlight w:val="yellow"/>
        </w:rPr>
      </w:pPr>
    </w:p>
    <w:p w14:paraId="114FABD1" w14:textId="0A531E2D" w:rsidR="000740F7" w:rsidRPr="001B4CA2" w:rsidRDefault="000740F7" w:rsidP="000740F7">
      <w:pPr>
        <w:ind w:firstLine="708"/>
        <w:rPr>
          <w:rFonts w:eastAsia="Calibri"/>
        </w:rPr>
      </w:pPr>
      <w:r w:rsidRPr="001B4CA2">
        <w:rPr>
          <w:rFonts w:eastAsia="Calibri"/>
        </w:rPr>
        <w:t xml:space="preserve">Kao i ranijih godina, Državno odvjetništvo Republike Hrvatske </w:t>
      </w:r>
      <w:r w:rsidR="00BE61D2" w:rsidRPr="001B4CA2">
        <w:rPr>
          <w:rFonts w:eastAsia="Calibri"/>
        </w:rPr>
        <w:t>već</w:t>
      </w:r>
      <w:r w:rsidR="00BE61D2">
        <w:rPr>
          <w:rFonts w:eastAsia="Calibri"/>
        </w:rPr>
        <w:t xml:space="preserve"> </w:t>
      </w:r>
      <w:r w:rsidRPr="001B4CA2">
        <w:rPr>
          <w:rFonts w:eastAsia="Calibri"/>
        </w:rPr>
        <w:t xml:space="preserve">je tradicionalno organiziralo dva stručna skupa: Stručni skup kaznenih odjela i Stručni skup građansko-upravnih odjela, na kojima su sudjelovali državni odvjetnici i zamjenici iz svih državnih odvjetništava radi educiranja, ali i međusobne razmjene iskustava u primjeni pojedinih instituta s područja kaznenoga, odnosno građanskoga ili upravnoga prava s ciljem ujednačavanja </w:t>
      </w:r>
      <w:proofErr w:type="spellStart"/>
      <w:r w:rsidRPr="001B4CA2">
        <w:rPr>
          <w:rFonts w:eastAsia="Calibri"/>
        </w:rPr>
        <w:t>državnoodvjetničkoga</w:t>
      </w:r>
      <w:proofErr w:type="spellEnd"/>
      <w:r w:rsidRPr="001B4CA2">
        <w:rPr>
          <w:rFonts w:eastAsia="Calibri"/>
        </w:rPr>
        <w:t xml:space="preserve"> postupanja.</w:t>
      </w:r>
    </w:p>
    <w:p w14:paraId="03BF8F9A" w14:textId="47C5489A" w:rsidR="00715DFD" w:rsidRDefault="00715DFD" w:rsidP="005C4A9A">
      <w:pPr>
        <w:rPr>
          <w:rFonts w:eastAsia="Calibri"/>
        </w:rPr>
      </w:pPr>
    </w:p>
    <w:p w14:paraId="767F072C" w14:textId="02430AEA" w:rsidR="001F53E7" w:rsidRDefault="001F53E7" w:rsidP="005C4A9A">
      <w:pPr>
        <w:rPr>
          <w:rFonts w:eastAsia="Calibri"/>
        </w:rPr>
      </w:pPr>
    </w:p>
    <w:p w14:paraId="61066416" w14:textId="1D7A8DD5" w:rsidR="001F53E7" w:rsidRDefault="001F53E7" w:rsidP="005C4A9A">
      <w:pPr>
        <w:rPr>
          <w:rFonts w:eastAsia="Calibri"/>
        </w:rPr>
      </w:pPr>
    </w:p>
    <w:p w14:paraId="019FEE90" w14:textId="53C383DB" w:rsidR="001F53E7" w:rsidRDefault="001F53E7" w:rsidP="005C4A9A">
      <w:pPr>
        <w:rPr>
          <w:rFonts w:eastAsia="Calibri"/>
        </w:rPr>
      </w:pPr>
    </w:p>
    <w:p w14:paraId="0EA63A75" w14:textId="27C5021A" w:rsidR="001F53E7" w:rsidRDefault="001F53E7" w:rsidP="005C4A9A">
      <w:pPr>
        <w:rPr>
          <w:rFonts w:eastAsia="Calibri"/>
        </w:rPr>
      </w:pPr>
    </w:p>
    <w:p w14:paraId="4BEE6102" w14:textId="572C2054" w:rsidR="001F53E7" w:rsidRDefault="001F53E7" w:rsidP="005C4A9A">
      <w:pPr>
        <w:rPr>
          <w:rFonts w:eastAsia="Calibri"/>
        </w:rPr>
      </w:pPr>
    </w:p>
    <w:p w14:paraId="52E11EBD" w14:textId="0196CC50" w:rsidR="001F53E7" w:rsidRDefault="001F53E7" w:rsidP="005C4A9A">
      <w:pPr>
        <w:rPr>
          <w:rFonts w:eastAsia="Calibri"/>
        </w:rPr>
      </w:pPr>
    </w:p>
    <w:p w14:paraId="1128CCD7" w14:textId="286D874B" w:rsidR="001F53E7" w:rsidRDefault="001F53E7" w:rsidP="005C4A9A">
      <w:pPr>
        <w:rPr>
          <w:rFonts w:eastAsia="Calibri"/>
        </w:rPr>
      </w:pPr>
    </w:p>
    <w:p w14:paraId="0CEC1CFE" w14:textId="5147C83E" w:rsidR="001F53E7" w:rsidRDefault="001F53E7" w:rsidP="005C4A9A">
      <w:pPr>
        <w:rPr>
          <w:rFonts w:eastAsia="Calibri"/>
        </w:rPr>
      </w:pPr>
    </w:p>
    <w:p w14:paraId="49D9C791" w14:textId="68A9D470" w:rsidR="001F53E7" w:rsidRDefault="001F53E7" w:rsidP="005C4A9A">
      <w:pPr>
        <w:rPr>
          <w:rFonts w:eastAsia="Calibri"/>
        </w:rPr>
      </w:pPr>
    </w:p>
    <w:p w14:paraId="5647BA02" w14:textId="6E7368F4" w:rsidR="001F53E7" w:rsidRDefault="001F53E7" w:rsidP="005C4A9A">
      <w:pPr>
        <w:rPr>
          <w:rFonts w:eastAsia="Calibri"/>
        </w:rPr>
      </w:pPr>
    </w:p>
    <w:p w14:paraId="5C8E4FDA" w14:textId="16E68961" w:rsidR="001F53E7" w:rsidRDefault="001F53E7" w:rsidP="005C4A9A">
      <w:pPr>
        <w:rPr>
          <w:rFonts w:eastAsia="Calibri"/>
        </w:rPr>
      </w:pPr>
    </w:p>
    <w:p w14:paraId="25311AF8" w14:textId="2EC3D082" w:rsidR="001F53E7" w:rsidRDefault="001F53E7" w:rsidP="005C4A9A">
      <w:pPr>
        <w:rPr>
          <w:rFonts w:eastAsia="Calibri"/>
        </w:rPr>
      </w:pPr>
    </w:p>
    <w:p w14:paraId="2922D974" w14:textId="009F6D82" w:rsidR="001F53E7" w:rsidRDefault="001F53E7" w:rsidP="005C4A9A">
      <w:pPr>
        <w:rPr>
          <w:rFonts w:eastAsia="Calibri"/>
        </w:rPr>
      </w:pPr>
    </w:p>
    <w:p w14:paraId="7F38C261" w14:textId="4F3D0FAC" w:rsidR="001F53E7" w:rsidRDefault="001F53E7" w:rsidP="005C4A9A">
      <w:pPr>
        <w:rPr>
          <w:rFonts w:eastAsia="Calibri"/>
        </w:rPr>
      </w:pPr>
    </w:p>
    <w:p w14:paraId="748F2681" w14:textId="01D067E0" w:rsidR="001F53E7" w:rsidRDefault="001F53E7" w:rsidP="005C4A9A">
      <w:pPr>
        <w:rPr>
          <w:rFonts w:eastAsia="Calibri"/>
        </w:rPr>
      </w:pPr>
    </w:p>
    <w:p w14:paraId="332DACB4" w14:textId="290F4ACA" w:rsidR="001F53E7" w:rsidRDefault="001F53E7" w:rsidP="005C4A9A">
      <w:pPr>
        <w:rPr>
          <w:rFonts w:eastAsia="Calibri"/>
        </w:rPr>
      </w:pPr>
    </w:p>
    <w:p w14:paraId="4AB4FC5A" w14:textId="0C456C89" w:rsidR="001F53E7" w:rsidRDefault="001F53E7" w:rsidP="005C4A9A">
      <w:pPr>
        <w:rPr>
          <w:rFonts w:eastAsia="Calibri"/>
        </w:rPr>
      </w:pPr>
    </w:p>
    <w:p w14:paraId="5E618E3F" w14:textId="04AEF615" w:rsidR="001F53E7" w:rsidRDefault="001F53E7" w:rsidP="005C4A9A">
      <w:pPr>
        <w:rPr>
          <w:rFonts w:eastAsia="Calibri"/>
        </w:rPr>
      </w:pPr>
    </w:p>
    <w:p w14:paraId="4723486A" w14:textId="77777777" w:rsidR="001F53E7" w:rsidRPr="001B4CA2" w:rsidRDefault="001F53E7" w:rsidP="005C4A9A">
      <w:pPr>
        <w:rPr>
          <w:rFonts w:eastAsia="Calibri"/>
        </w:rPr>
      </w:pPr>
    </w:p>
    <w:p w14:paraId="61376DF2" w14:textId="78D61CC9" w:rsidR="005C4A9A" w:rsidRPr="001B4CA2" w:rsidRDefault="00BB4D48" w:rsidP="00262A63">
      <w:pPr>
        <w:pStyle w:val="Naslov2"/>
        <w:rPr>
          <w:rFonts w:ascii="Arial" w:hAnsi="Arial" w:cs="Arial"/>
        </w:rPr>
      </w:pPr>
      <w:bookmarkStart w:id="5" w:name="_Toc133394269"/>
      <w:r w:rsidRPr="001B4CA2">
        <w:rPr>
          <w:rFonts w:ascii="Arial" w:hAnsi="Arial" w:cs="Arial"/>
        </w:rPr>
        <w:lastRenderedPageBreak/>
        <w:t>Zbirni poda</w:t>
      </w:r>
      <w:r w:rsidR="00FC60D2" w:rsidRPr="001B4CA2">
        <w:rPr>
          <w:rFonts w:ascii="Arial" w:hAnsi="Arial" w:cs="Arial"/>
        </w:rPr>
        <w:t>t</w:t>
      </w:r>
      <w:r w:rsidRPr="001B4CA2">
        <w:rPr>
          <w:rFonts w:ascii="Arial" w:hAnsi="Arial" w:cs="Arial"/>
        </w:rPr>
        <w:t>ci o kretanju predmeta u državnim odvjetništvima i pokazatelji uspješnosti rada na predmetim</w:t>
      </w:r>
      <w:r w:rsidR="00AA68E5" w:rsidRPr="001B4CA2">
        <w:rPr>
          <w:rFonts w:ascii="Arial" w:hAnsi="Arial" w:cs="Arial"/>
        </w:rPr>
        <w:t>a</w:t>
      </w:r>
      <w:bookmarkEnd w:id="5"/>
    </w:p>
    <w:p w14:paraId="46D62228" w14:textId="77777777" w:rsidR="005B197C" w:rsidRPr="001B4CA2" w:rsidRDefault="005B197C" w:rsidP="00262A63"/>
    <w:p w14:paraId="303E99EA" w14:textId="77777777" w:rsidR="000740F7" w:rsidRPr="001B4CA2" w:rsidRDefault="000740F7" w:rsidP="000740F7">
      <w:pPr>
        <w:ind w:firstLine="709"/>
      </w:pPr>
      <w:r w:rsidRPr="001B4CA2">
        <w:t xml:space="preserve">U ovome dijelu izvješća prikazani su zbirni podatci o kretanju svih kaznenih, građanskih i upravnih predmeta u državnim odvjetništvima. Predmeti </w:t>
      </w:r>
      <w:proofErr w:type="spellStart"/>
      <w:r w:rsidRPr="001B4CA2">
        <w:t>državnoodvjetničke</w:t>
      </w:r>
      <w:proofErr w:type="spellEnd"/>
      <w:r w:rsidRPr="001B4CA2">
        <w:t xml:space="preserve"> uprave nisu predmet prikazivanja.</w:t>
      </w:r>
    </w:p>
    <w:p w14:paraId="6CA37DF9" w14:textId="77777777" w:rsidR="000740F7" w:rsidRPr="001B4CA2" w:rsidRDefault="000740F7" w:rsidP="000740F7"/>
    <w:tbl>
      <w:tblPr>
        <w:tblW w:w="7971" w:type="dxa"/>
        <w:tblInd w:w="566" w:type="dxa"/>
        <w:tblLook w:val="04A0" w:firstRow="1" w:lastRow="0" w:firstColumn="1" w:lastColumn="0" w:noHBand="0" w:noVBand="1"/>
      </w:tblPr>
      <w:tblGrid>
        <w:gridCol w:w="2686"/>
        <w:gridCol w:w="1057"/>
        <w:gridCol w:w="1057"/>
        <w:gridCol w:w="1057"/>
        <w:gridCol w:w="1057"/>
        <w:gridCol w:w="1057"/>
      </w:tblGrid>
      <w:tr w:rsidR="000740F7" w:rsidRPr="001B4CA2" w14:paraId="592C011C" w14:textId="77777777" w:rsidTr="00373B2A">
        <w:trPr>
          <w:trHeight w:val="414"/>
        </w:trPr>
        <w:tc>
          <w:tcPr>
            <w:tcW w:w="2686"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57249CBC" w14:textId="77777777" w:rsidR="000740F7" w:rsidRPr="001B4CA2" w:rsidRDefault="000740F7" w:rsidP="006D0A51">
            <w:pPr>
              <w:jc w:val="left"/>
              <w:rPr>
                <w:rFonts w:eastAsia="Times New Roman"/>
                <w:b/>
                <w:bCs/>
                <w:sz w:val="18"/>
                <w:szCs w:val="18"/>
                <w:lang w:eastAsia="hr-HR"/>
              </w:rPr>
            </w:pPr>
            <w:r w:rsidRPr="001B4CA2">
              <w:rPr>
                <w:rFonts w:eastAsia="Times New Roman"/>
                <w:b/>
                <w:bCs/>
                <w:sz w:val="18"/>
                <w:szCs w:val="18"/>
                <w:lang w:eastAsia="hr-HR"/>
              </w:rPr>
              <w:t>Podatci o radu državnih odvjetništava</w:t>
            </w:r>
          </w:p>
        </w:tc>
        <w:tc>
          <w:tcPr>
            <w:tcW w:w="1057" w:type="dxa"/>
            <w:tcBorders>
              <w:top w:val="single" w:sz="4" w:space="0" w:color="auto"/>
              <w:left w:val="nil"/>
              <w:bottom w:val="single" w:sz="4" w:space="0" w:color="auto"/>
              <w:right w:val="single" w:sz="4" w:space="0" w:color="auto"/>
            </w:tcBorders>
            <w:shd w:val="clear" w:color="000000" w:fill="99CCFF"/>
            <w:vAlign w:val="center"/>
            <w:hideMark/>
          </w:tcPr>
          <w:p w14:paraId="329DCC10"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2018.</w:t>
            </w:r>
          </w:p>
        </w:tc>
        <w:tc>
          <w:tcPr>
            <w:tcW w:w="1057" w:type="dxa"/>
            <w:tcBorders>
              <w:top w:val="single" w:sz="4" w:space="0" w:color="auto"/>
              <w:left w:val="nil"/>
              <w:bottom w:val="single" w:sz="4" w:space="0" w:color="auto"/>
              <w:right w:val="single" w:sz="4" w:space="0" w:color="auto"/>
            </w:tcBorders>
            <w:shd w:val="clear" w:color="000000" w:fill="99CCFF"/>
            <w:vAlign w:val="center"/>
            <w:hideMark/>
          </w:tcPr>
          <w:p w14:paraId="6AAA4DA3"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2019.</w:t>
            </w:r>
          </w:p>
        </w:tc>
        <w:tc>
          <w:tcPr>
            <w:tcW w:w="1057" w:type="dxa"/>
            <w:tcBorders>
              <w:top w:val="single" w:sz="4" w:space="0" w:color="auto"/>
              <w:left w:val="nil"/>
              <w:bottom w:val="single" w:sz="4" w:space="0" w:color="auto"/>
              <w:right w:val="single" w:sz="4" w:space="0" w:color="auto"/>
            </w:tcBorders>
            <w:shd w:val="clear" w:color="000000" w:fill="99CCFF"/>
            <w:vAlign w:val="center"/>
            <w:hideMark/>
          </w:tcPr>
          <w:p w14:paraId="22715F87"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2020.</w:t>
            </w:r>
          </w:p>
        </w:tc>
        <w:tc>
          <w:tcPr>
            <w:tcW w:w="1057" w:type="dxa"/>
            <w:tcBorders>
              <w:top w:val="single" w:sz="4" w:space="0" w:color="auto"/>
              <w:left w:val="nil"/>
              <w:bottom w:val="single" w:sz="4" w:space="0" w:color="auto"/>
              <w:right w:val="single" w:sz="4" w:space="0" w:color="auto"/>
            </w:tcBorders>
            <w:shd w:val="clear" w:color="000000" w:fill="99CCFF"/>
            <w:vAlign w:val="center"/>
            <w:hideMark/>
          </w:tcPr>
          <w:p w14:paraId="726A7470"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2021.</w:t>
            </w:r>
          </w:p>
        </w:tc>
        <w:tc>
          <w:tcPr>
            <w:tcW w:w="1057" w:type="dxa"/>
            <w:tcBorders>
              <w:top w:val="single" w:sz="4" w:space="0" w:color="auto"/>
              <w:left w:val="nil"/>
              <w:bottom w:val="single" w:sz="4" w:space="0" w:color="auto"/>
              <w:right w:val="single" w:sz="4" w:space="0" w:color="auto"/>
            </w:tcBorders>
            <w:shd w:val="clear" w:color="000000" w:fill="99CCFF"/>
            <w:vAlign w:val="center"/>
            <w:hideMark/>
          </w:tcPr>
          <w:p w14:paraId="7901E7F1"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2022.</w:t>
            </w:r>
          </w:p>
        </w:tc>
      </w:tr>
      <w:tr w:rsidR="000740F7" w:rsidRPr="001B4CA2" w14:paraId="1D964E3D" w14:textId="77777777" w:rsidTr="00373B2A">
        <w:trPr>
          <w:trHeight w:val="414"/>
        </w:trPr>
        <w:tc>
          <w:tcPr>
            <w:tcW w:w="2686" w:type="dxa"/>
            <w:tcBorders>
              <w:top w:val="nil"/>
              <w:left w:val="single" w:sz="4" w:space="0" w:color="auto"/>
              <w:bottom w:val="single" w:sz="4" w:space="0" w:color="auto"/>
              <w:right w:val="single" w:sz="4" w:space="0" w:color="auto"/>
            </w:tcBorders>
            <w:shd w:val="clear" w:color="auto" w:fill="auto"/>
            <w:vAlign w:val="center"/>
            <w:hideMark/>
          </w:tcPr>
          <w:p w14:paraId="0833730E"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Primljeno</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1986F" w14:textId="77777777" w:rsidR="000740F7" w:rsidRPr="001B4CA2" w:rsidRDefault="000740F7" w:rsidP="006D0A51">
            <w:pPr>
              <w:jc w:val="center"/>
              <w:rPr>
                <w:color w:val="000000"/>
                <w:sz w:val="18"/>
                <w:szCs w:val="18"/>
              </w:rPr>
            </w:pPr>
            <w:r w:rsidRPr="001B4CA2">
              <w:rPr>
                <w:color w:val="000000"/>
                <w:sz w:val="18"/>
                <w:szCs w:val="18"/>
              </w:rPr>
              <w:t>180.510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BD1A494" w14:textId="77777777" w:rsidR="000740F7" w:rsidRPr="001B4CA2" w:rsidRDefault="000740F7" w:rsidP="006D0A51">
            <w:pPr>
              <w:jc w:val="center"/>
              <w:rPr>
                <w:color w:val="000000"/>
                <w:sz w:val="18"/>
                <w:szCs w:val="18"/>
              </w:rPr>
            </w:pPr>
            <w:r w:rsidRPr="001B4CA2">
              <w:rPr>
                <w:color w:val="000000"/>
                <w:sz w:val="18"/>
                <w:szCs w:val="18"/>
              </w:rPr>
              <w:t>215.688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4A39BD5" w14:textId="77777777" w:rsidR="000740F7" w:rsidRPr="001B4CA2" w:rsidRDefault="000740F7" w:rsidP="006D0A51">
            <w:pPr>
              <w:jc w:val="center"/>
              <w:rPr>
                <w:color w:val="000000"/>
                <w:sz w:val="18"/>
                <w:szCs w:val="18"/>
              </w:rPr>
            </w:pPr>
            <w:r w:rsidRPr="001B4CA2">
              <w:rPr>
                <w:color w:val="000000"/>
                <w:sz w:val="18"/>
                <w:szCs w:val="18"/>
              </w:rPr>
              <w:t>213.252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39DFA97" w14:textId="77777777" w:rsidR="000740F7" w:rsidRPr="001B4CA2" w:rsidRDefault="000740F7" w:rsidP="006D0A51">
            <w:pPr>
              <w:jc w:val="center"/>
              <w:rPr>
                <w:color w:val="000000"/>
                <w:sz w:val="18"/>
                <w:szCs w:val="18"/>
              </w:rPr>
            </w:pPr>
            <w:r w:rsidRPr="001B4CA2">
              <w:rPr>
                <w:color w:val="000000"/>
                <w:sz w:val="18"/>
                <w:szCs w:val="18"/>
              </w:rPr>
              <w:t>227.008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EA3663F" w14:textId="77777777" w:rsidR="000740F7" w:rsidRPr="001B4CA2" w:rsidRDefault="000740F7" w:rsidP="006D0A51">
            <w:pPr>
              <w:jc w:val="center"/>
              <w:rPr>
                <w:color w:val="000000"/>
                <w:sz w:val="18"/>
                <w:szCs w:val="18"/>
              </w:rPr>
            </w:pPr>
            <w:r w:rsidRPr="001B4CA2">
              <w:rPr>
                <w:color w:val="000000"/>
                <w:sz w:val="18"/>
                <w:szCs w:val="18"/>
              </w:rPr>
              <w:t>211.161</w:t>
            </w:r>
          </w:p>
        </w:tc>
      </w:tr>
      <w:tr w:rsidR="000740F7" w:rsidRPr="001B4CA2" w14:paraId="355AB352" w14:textId="77777777" w:rsidTr="00373B2A">
        <w:trPr>
          <w:trHeight w:val="414"/>
        </w:trPr>
        <w:tc>
          <w:tcPr>
            <w:tcW w:w="2686" w:type="dxa"/>
            <w:tcBorders>
              <w:top w:val="nil"/>
              <w:left w:val="single" w:sz="4" w:space="0" w:color="auto"/>
              <w:bottom w:val="single" w:sz="4" w:space="0" w:color="auto"/>
              <w:right w:val="single" w:sz="4" w:space="0" w:color="auto"/>
            </w:tcBorders>
            <w:shd w:val="clear" w:color="auto" w:fill="auto"/>
            <w:vAlign w:val="center"/>
            <w:hideMark/>
          </w:tcPr>
          <w:p w14:paraId="2A443B59"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Ukupno u radu u DO-u</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5A039" w14:textId="77777777" w:rsidR="000740F7" w:rsidRPr="001B4CA2" w:rsidRDefault="000740F7" w:rsidP="006D0A51">
            <w:pPr>
              <w:jc w:val="center"/>
              <w:rPr>
                <w:color w:val="000000"/>
                <w:sz w:val="18"/>
                <w:szCs w:val="18"/>
              </w:rPr>
            </w:pPr>
            <w:r w:rsidRPr="001B4CA2">
              <w:rPr>
                <w:color w:val="000000"/>
                <w:sz w:val="18"/>
                <w:szCs w:val="18"/>
              </w:rPr>
              <w:t>253.946</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B006AD8" w14:textId="77777777" w:rsidR="000740F7" w:rsidRPr="001B4CA2" w:rsidRDefault="000740F7" w:rsidP="006D0A51">
            <w:pPr>
              <w:jc w:val="center"/>
              <w:rPr>
                <w:color w:val="000000"/>
                <w:sz w:val="18"/>
                <w:szCs w:val="18"/>
              </w:rPr>
            </w:pPr>
            <w:r w:rsidRPr="001B4CA2">
              <w:rPr>
                <w:color w:val="000000"/>
                <w:sz w:val="18"/>
                <w:szCs w:val="18"/>
              </w:rPr>
              <w:t>266.478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A0FCCE5" w14:textId="77777777" w:rsidR="000740F7" w:rsidRPr="001B4CA2" w:rsidRDefault="000740F7" w:rsidP="006D0A51">
            <w:pPr>
              <w:jc w:val="center"/>
              <w:rPr>
                <w:color w:val="000000"/>
                <w:sz w:val="18"/>
                <w:szCs w:val="18"/>
              </w:rPr>
            </w:pPr>
            <w:r w:rsidRPr="001B4CA2">
              <w:rPr>
                <w:color w:val="000000"/>
                <w:sz w:val="18"/>
                <w:szCs w:val="18"/>
              </w:rPr>
              <w:t>254.785</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B341A60" w14:textId="77777777" w:rsidR="000740F7" w:rsidRPr="001B4CA2" w:rsidRDefault="000740F7" w:rsidP="006D0A51">
            <w:pPr>
              <w:jc w:val="center"/>
              <w:rPr>
                <w:color w:val="000000"/>
                <w:sz w:val="18"/>
                <w:szCs w:val="18"/>
              </w:rPr>
            </w:pPr>
            <w:r w:rsidRPr="001B4CA2">
              <w:rPr>
                <w:color w:val="000000"/>
                <w:sz w:val="18"/>
                <w:szCs w:val="18"/>
              </w:rPr>
              <w:t>268.012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8E49CA8" w14:textId="77777777" w:rsidR="000740F7" w:rsidRPr="001B4CA2" w:rsidRDefault="000740F7" w:rsidP="006D0A51">
            <w:pPr>
              <w:jc w:val="center"/>
              <w:rPr>
                <w:color w:val="000000"/>
                <w:sz w:val="18"/>
                <w:szCs w:val="18"/>
              </w:rPr>
            </w:pPr>
            <w:r w:rsidRPr="001B4CA2">
              <w:rPr>
                <w:color w:val="000000"/>
                <w:sz w:val="18"/>
                <w:szCs w:val="18"/>
              </w:rPr>
              <w:t>251.392</w:t>
            </w:r>
          </w:p>
        </w:tc>
      </w:tr>
      <w:tr w:rsidR="000740F7" w:rsidRPr="001B4CA2" w14:paraId="27128F9C" w14:textId="77777777" w:rsidTr="00373B2A">
        <w:trPr>
          <w:trHeight w:val="414"/>
        </w:trPr>
        <w:tc>
          <w:tcPr>
            <w:tcW w:w="2686" w:type="dxa"/>
            <w:tcBorders>
              <w:top w:val="nil"/>
              <w:left w:val="single" w:sz="4" w:space="0" w:color="auto"/>
              <w:bottom w:val="single" w:sz="4" w:space="0" w:color="auto"/>
              <w:right w:val="single" w:sz="4" w:space="0" w:color="auto"/>
            </w:tcBorders>
            <w:shd w:val="clear" w:color="auto" w:fill="auto"/>
            <w:vAlign w:val="center"/>
            <w:hideMark/>
          </w:tcPr>
          <w:p w14:paraId="739E25E8"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 xml:space="preserve">Riješeno u DO-u </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11C50" w14:textId="77777777" w:rsidR="000740F7" w:rsidRPr="001B4CA2" w:rsidRDefault="000740F7" w:rsidP="006D0A51">
            <w:pPr>
              <w:jc w:val="center"/>
              <w:rPr>
                <w:color w:val="000000"/>
                <w:sz w:val="18"/>
                <w:szCs w:val="18"/>
              </w:rPr>
            </w:pPr>
            <w:r w:rsidRPr="001B4CA2">
              <w:rPr>
                <w:color w:val="000000"/>
                <w:sz w:val="18"/>
                <w:szCs w:val="18"/>
              </w:rPr>
              <w:t>187.978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247D340" w14:textId="77777777" w:rsidR="000740F7" w:rsidRPr="001B4CA2" w:rsidRDefault="000740F7" w:rsidP="006D0A51">
            <w:pPr>
              <w:jc w:val="center"/>
              <w:rPr>
                <w:color w:val="000000"/>
                <w:sz w:val="18"/>
                <w:szCs w:val="18"/>
              </w:rPr>
            </w:pPr>
            <w:r w:rsidRPr="001B4CA2">
              <w:rPr>
                <w:color w:val="000000"/>
                <w:sz w:val="18"/>
                <w:szCs w:val="18"/>
              </w:rPr>
              <w:t>219.498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87FFBD8" w14:textId="77777777" w:rsidR="000740F7" w:rsidRPr="001B4CA2" w:rsidRDefault="000740F7" w:rsidP="006D0A51">
            <w:pPr>
              <w:jc w:val="center"/>
              <w:rPr>
                <w:color w:val="000000"/>
                <w:sz w:val="18"/>
                <w:szCs w:val="18"/>
              </w:rPr>
            </w:pPr>
            <w:r w:rsidRPr="001B4CA2">
              <w:rPr>
                <w:color w:val="000000"/>
                <w:sz w:val="18"/>
                <w:szCs w:val="18"/>
              </w:rPr>
              <w:t>213.719</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ED4CC9" w14:textId="77777777" w:rsidR="000740F7" w:rsidRPr="001B4CA2" w:rsidRDefault="000740F7" w:rsidP="006D0A51">
            <w:pPr>
              <w:jc w:val="center"/>
              <w:rPr>
                <w:color w:val="000000"/>
                <w:sz w:val="18"/>
                <w:szCs w:val="18"/>
              </w:rPr>
            </w:pPr>
            <w:r w:rsidRPr="001B4CA2">
              <w:rPr>
                <w:color w:val="000000"/>
                <w:sz w:val="18"/>
                <w:szCs w:val="18"/>
              </w:rPr>
              <w:t>227.750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AA78128" w14:textId="77777777" w:rsidR="000740F7" w:rsidRPr="001B4CA2" w:rsidRDefault="000740F7" w:rsidP="006D0A51">
            <w:pPr>
              <w:jc w:val="center"/>
              <w:rPr>
                <w:color w:val="000000"/>
                <w:sz w:val="18"/>
                <w:szCs w:val="18"/>
              </w:rPr>
            </w:pPr>
            <w:r w:rsidRPr="001B4CA2">
              <w:rPr>
                <w:color w:val="000000"/>
                <w:sz w:val="18"/>
                <w:szCs w:val="18"/>
              </w:rPr>
              <w:t>206.661</w:t>
            </w:r>
          </w:p>
        </w:tc>
      </w:tr>
      <w:tr w:rsidR="000740F7" w:rsidRPr="001B4CA2" w14:paraId="7414EDF4" w14:textId="77777777" w:rsidTr="00373B2A">
        <w:trPr>
          <w:trHeight w:val="414"/>
        </w:trPr>
        <w:tc>
          <w:tcPr>
            <w:tcW w:w="2686" w:type="dxa"/>
            <w:tcBorders>
              <w:top w:val="nil"/>
              <w:left w:val="single" w:sz="4" w:space="0" w:color="auto"/>
              <w:bottom w:val="single" w:sz="4" w:space="0" w:color="auto"/>
              <w:right w:val="single" w:sz="4" w:space="0" w:color="auto"/>
            </w:tcBorders>
            <w:shd w:val="clear" w:color="auto" w:fill="auto"/>
            <w:vAlign w:val="center"/>
            <w:hideMark/>
          </w:tcPr>
          <w:p w14:paraId="0E1C105E"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Neriješeno na kraju godine</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C9E91" w14:textId="77777777" w:rsidR="000740F7" w:rsidRPr="001B4CA2" w:rsidRDefault="000740F7" w:rsidP="006D0A51">
            <w:pPr>
              <w:jc w:val="center"/>
              <w:rPr>
                <w:color w:val="000000"/>
                <w:sz w:val="18"/>
                <w:szCs w:val="18"/>
              </w:rPr>
            </w:pPr>
            <w:r w:rsidRPr="001B4CA2">
              <w:rPr>
                <w:color w:val="000000"/>
                <w:sz w:val="18"/>
                <w:szCs w:val="18"/>
              </w:rPr>
              <w:t>65.968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A4C1843" w14:textId="77777777" w:rsidR="000740F7" w:rsidRPr="001B4CA2" w:rsidRDefault="000740F7" w:rsidP="006D0A51">
            <w:pPr>
              <w:jc w:val="center"/>
              <w:rPr>
                <w:color w:val="000000"/>
                <w:sz w:val="18"/>
                <w:szCs w:val="18"/>
              </w:rPr>
            </w:pPr>
            <w:r w:rsidRPr="001B4CA2">
              <w:rPr>
                <w:color w:val="000000"/>
                <w:sz w:val="18"/>
                <w:szCs w:val="18"/>
              </w:rPr>
              <w:t>46.979</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44B9848" w14:textId="77777777" w:rsidR="000740F7" w:rsidRPr="001B4CA2" w:rsidRDefault="000740F7" w:rsidP="006D0A51">
            <w:pPr>
              <w:jc w:val="center"/>
              <w:rPr>
                <w:color w:val="000000"/>
                <w:sz w:val="18"/>
                <w:szCs w:val="18"/>
              </w:rPr>
            </w:pPr>
            <w:r w:rsidRPr="001B4CA2">
              <w:rPr>
                <w:color w:val="000000"/>
                <w:sz w:val="18"/>
                <w:szCs w:val="18"/>
              </w:rPr>
              <w:t>41.065</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31DE91C" w14:textId="77777777" w:rsidR="000740F7" w:rsidRPr="001B4CA2" w:rsidRDefault="000740F7" w:rsidP="006D0A51">
            <w:pPr>
              <w:jc w:val="center"/>
              <w:rPr>
                <w:color w:val="000000"/>
                <w:sz w:val="18"/>
                <w:szCs w:val="18"/>
              </w:rPr>
            </w:pPr>
            <w:r w:rsidRPr="001B4CA2">
              <w:rPr>
                <w:color w:val="000000"/>
                <w:sz w:val="18"/>
                <w:szCs w:val="18"/>
              </w:rPr>
              <w:t>41.004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D84A0AD" w14:textId="77777777" w:rsidR="000740F7" w:rsidRPr="001B4CA2" w:rsidRDefault="000740F7" w:rsidP="006D0A51">
            <w:pPr>
              <w:jc w:val="center"/>
              <w:rPr>
                <w:color w:val="000000"/>
                <w:sz w:val="18"/>
                <w:szCs w:val="18"/>
              </w:rPr>
            </w:pPr>
            <w:r w:rsidRPr="001B4CA2">
              <w:rPr>
                <w:color w:val="000000"/>
                <w:sz w:val="18"/>
                <w:szCs w:val="18"/>
              </w:rPr>
              <w:t>44.693</w:t>
            </w:r>
          </w:p>
        </w:tc>
      </w:tr>
      <w:tr w:rsidR="000740F7" w:rsidRPr="001B4CA2" w14:paraId="142E324B" w14:textId="77777777" w:rsidTr="006D0A51">
        <w:trPr>
          <w:trHeight w:val="1116"/>
        </w:trPr>
        <w:tc>
          <w:tcPr>
            <w:tcW w:w="2686" w:type="dxa"/>
            <w:tcBorders>
              <w:top w:val="nil"/>
              <w:left w:val="single" w:sz="4" w:space="0" w:color="auto"/>
              <w:bottom w:val="single" w:sz="4" w:space="0" w:color="auto"/>
              <w:right w:val="single" w:sz="4" w:space="0" w:color="auto"/>
            </w:tcBorders>
            <w:shd w:val="clear" w:color="auto" w:fill="auto"/>
            <w:vAlign w:val="center"/>
            <w:hideMark/>
          </w:tcPr>
          <w:p w14:paraId="61F99310"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Ukupan broj predmeta u kojima postupak vodi ili u postupku sudjeluje državno odvjetništvo*</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BBC88" w14:textId="77777777" w:rsidR="000740F7" w:rsidRPr="001B4CA2" w:rsidRDefault="000740F7" w:rsidP="006D0A51">
            <w:pPr>
              <w:jc w:val="center"/>
              <w:rPr>
                <w:color w:val="000000"/>
                <w:sz w:val="18"/>
                <w:szCs w:val="18"/>
              </w:rPr>
            </w:pPr>
            <w:r w:rsidRPr="001B4CA2">
              <w:rPr>
                <w:color w:val="000000"/>
                <w:sz w:val="18"/>
                <w:szCs w:val="18"/>
              </w:rPr>
              <w:t>417.832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1CC8094" w14:textId="77777777" w:rsidR="000740F7" w:rsidRPr="001B4CA2" w:rsidRDefault="000740F7" w:rsidP="006D0A51">
            <w:pPr>
              <w:jc w:val="center"/>
              <w:rPr>
                <w:color w:val="000000"/>
                <w:sz w:val="18"/>
                <w:szCs w:val="18"/>
              </w:rPr>
            </w:pPr>
            <w:r w:rsidRPr="001B4CA2">
              <w:rPr>
                <w:color w:val="000000"/>
                <w:sz w:val="18"/>
                <w:szCs w:val="18"/>
              </w:rPr>
              <w:t>451.004</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D6D7911" w14:textId="77777777" w:rsidR="000740F7" w:rsidRPr="001B4CA2" w:rsidRDefault="000740F7" w:rsidP="006D0A51">
            <w:pPr>
              <w:jc w:val="center"/>
              <w:rPr>
                <w:color w:val="000000"/>
                <w:sz w:val="18"/>
                <w:szCs w:val="18"/>
              </w:rPr>
            </w:pPr>
            <w:r w:rsidRPr="001B4CA2">
              <w:rPr>
                <w:color w:val="000000"/>
                <w:sz w:val="18"/>
                <w:szCs w:val="18"/>
              </w:rPr>
              <w:t>471.468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BCA7012" w14:textId="77777777" w:rsidR="000740F7" w:rsidRPr="001B4CA2" w:rsidRDefault="000740F7" w:rsidP="006D0A51">
            <w:pPr>
              <w:jc w:val="center"/>
              <w:rPr>
                <w:color w:val="000000"/>
                <w:sz w:val="18"/>
                <w:szCs w:val="18"/>
              </w:rPr>
            </w:pPr>
            <w:r w:rsidRPr="001B4CA2">
              <w:rPr>
                <w:color w:val="000000"/>
                <w:sz w:val="18"/>
                <w:szCs w:val="18"/>
              </w:rPr>
              <w:t>457.615</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03A35C9" w14:textId="77777777" w:rsidR="000740F7" w:rsidRPr="001B4CA2" w:rsidRDefault="000740F7" w:rsidP="006D0A51">
            <w:pPr>
              <w:jc w:val="center"/>
              <w:rPr>
                <w:color w:val="000000"/>
                <w:sz w:val="18"/>
                <w:szCs w:val="18"/>
              </w:rPr>
            </w:pPr>
            <w:r w:rsidRPr="001B4CA2">
              <w:rPr>
                <w:color w:val="000000"/>
                <w:sz w:val="18"/>
                <w:szCs w:val="18"/>
              </w:rPr>
              <w:t>395.205</w:t>
            </w:r>
          </w:p>
        </w:tc>
      </w:tr>
      <w:tr w:rsidR="000740F7" w:rsidRPr="001B4CA2" w14:paraId="52669738" w14:textId="77777777" w:rsidTr="006D0A51">
        <w:trPr>
          <w:trHeight w:val="867"/>
        </w:trPr>
        <w:tc>
          <w:tcPr>
            <w:tcW w:w="2686" w:type="dxa"/>
            <w:tcBorders>
              <w:top w:val="nil"/>
              <w:left w:val="single" w:sz="4" w:space="0" w:color="auto"/>
              <w:bottom w:val="single" w:sz="4" w:space="0" w:color="auto"/>
              <w:right w:val="single" w:sz="4" w:space="0" w:color="auto"/>
            </w:tcBorders>
            <w:shd w:val="clear" w:color="auto" w:fill="auto"/>
            <w:vAlign w:val="center"/>
          </w:tcPr>
          <w:p w14:paraId="4B4C2BA8" w14:textId="49A67838"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Broj predmeta u postupku pred sudom i JPT</w:t>
            </w:r>
            <w:r w:rsidR="00BE61D2">
              <w:rPr>
                <w:rFonts w:eastAsia="Times New Roman"/>
                <w:sz w:val="18"/>
                <w:szCs w:val="18"/>
                <w:lang w:eastAsia="hr-HR"/>
              </w:rPr>
              <w:t>-om</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39FA7" w14:textId="77777777" w:rsidR="000740F7" w:rsidRPr="001B4CA2" w:rsidRDefault="000740F7" w:rsidP="006D0A51">
            <w:pPr>
              <w:jc w:val="center"/>
              <w:rPr>
                <w:color w:val="000000"/>
                <w:sz w:val="18"/>
                <w:szCs w:val="18"/>
              </w:rPr>
            </w:pPr>
            <w:r w:rsidRPr="001B4CA2">
              <w:rPr>
                <w:color w:val="000000"/>
                <w:sz w:val="18"/>
                <w:szCs w:val="18"/>
              </w:rPr>
              <w:t>215.529</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B80986C" w14:textId="77777777" w:rsidR="000740F7" w:rsidRPr="001B4CA2" w:rsidRDefault="000740F7" w:rsidP="006D0A51">
            <w:pPr>
              <w:jc w:val="center"/>
              <w:rPr>
                <w:color w:val="000000"/>
                <w:sz w:val="18"/>
                <w:szCs w:val="18"/>
              </w:rPr>
            </w:pPr>
            <w:r w:rsidRPr="001B4CA2">
              <w:rPr>
                <w:color w:val="000000"/>
                <w:sz w:val="18"/>
                <w:szCs w:val="18"/>
              </w:rPr>
              <w:t>246.171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F641709" w14:textId="77777777" w:rsidR="000740F7" w:rsidRPr="001B4CA2" w:rsidRDefault="000740F7" w:rsidP="006D0A51">
            <w:pPr>
              <w:jc w:val="center"/>
              <w:rPr>
                <w:color w:val="000000"/>
                <w:sz w:val="18"/>
                <w:szCs w:val="18"/>
              </w:rPr>
            </w:pPr>
            <w:r w:rsidRPr="001B4CA2">
              <w:rPr>
                <w:color w:val="000000"/>
                <w:sz w:val="18"/>
                <w:szCs w:val="18"/>
              </w:rPr>
              <w:t>284.480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DD4B021" w14:textId="77777777" w:rsidR="000740F7" w:rsidRPr="001B4CA2" w:rsidRDefault="000740F7" w:rsidP="006D0A51">
            <w:pPr>
              <w:jc w:val="center"/>
              <w:rPr>
                <w:color w:val="000000"/>
                <w:sz w:val="18"/>
                <w:szCs w:val="18"/>
              </w:rPr>
            </w:pPr>
            <w:r w:rsidRPr="001B4CA2">
              <w:rPr>
                <w:color w:val="000000"/>
                <w:sz w:val="18"/>
                <w:szCs w:val="18"/>
              </w:rPr>
              <w:t>254.419</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03759F22" w14:textId="77777777" w:rsidR="000740F7" w:rsidRPr="001B4CA2" w:rsidRDefault="000740F7" w:rsidP="006D0A51">
            <w:pPr>
              <w:jc w:val="center"/>
              <w:rPr>
                <w:color w:val="000000"/>
                <w:sz w:val="18"/>
                <w:szCs w:val="18"/>
              </w:rPr>
            </w:pPr>
            <w:r w:rsidRPr="001B4CA2">
              <w:rPr>
                <w:color w:val="000000"/>
                <w:sz w:val="18"/>
                <w:szCs w:val="18"/>
              </w:rPr>
              <w:t>240.816</w:t>
            </w:r>
          </w:p>
        </w:tc>
      </w:tr>
    </w:tbl>
    <w:p w14:paraId="44C41E34" w14:textId="5B291C4C" w:rsidR="000740F7" w:rsidRDefault="000740F7" w:rsidP="000740F7">
      <w:pPr>
        <w:ind w:left="426"/>
        <w:rPr>
          <w:sz w:val="20"/>
          <w:szCs w:val="20"/>
        </w:rPr>
      </w:pPr>
      <w:r w:rsidRPr="001B4CA2">
        <w:rPr>
          <w:sz w:val="20"/>
          <w:szCs w:val="20"/>
        </w:rPr>
        <w:t>*procjena temeljem dostupnih podataka u informacijskom sustavu državnog odvjetništva</w:t>
      </w:r>
    </w:p>
    <w:p w14:paraId="532F7416" w14:textId="77777777" w:rsidR="00BE61D2" w:rsidRPr="001B4CA2" w:rsidRDefault="00BE61D2" w:rsidP="000740F7">
      <w:pPr>
        <w:ind w:left="426"/>
        <w:rPr>
          <w:sz w:val="20"/>
          <w:szCs w:val="20"/>
        </w:rPr>
      </w:pPr>
    </w:p>
    <w:p w14:paraId="2BE2BC74" w14:textId="4A211875" w:rsidR="000740F7" w:rsidRPr="001B4CA2" w:rsidRDefault="000740F7" w:rsidP="000740F7">
      <w:pPr>
        <w:ind w:firstLine="708"/>
      </w:pPr>
      <w:r w:rsidRPr="001B4CA2">
        <w:t>Podatci u gornjoj tablici pokazuju da su državna odvjetništva u 2022. godini primila 211.161 predmet, što je 15.847 novih predmeta ili 7</w:t>
      </w:r>
      <w:r w:rsidR="00BE61D2">
        <w:t> </w:t>
      </w:r>
      <w:r w:rsidRPr="001B4CA2">
        <w:t>% manje u odnosu na 2021. godinu. Broj riješenih predmeta</w:t>
      </w:r>
      <w:r w:rsidR="001B4CA2">
        <w:t xml:space="preserve"> </w:t>
      </w:r>
      <w:r w:rsidR="00BE61D2" w:rsidRPr="001B4CA2">
        <w:t xml:space="preserve">smanjen </w:t>
      </w:r>
      <w:r w:rsidRPr="001B4CA2">
        <w:t>je, jer je u 2022. godini riješen 206.661 predmet</w:t>
      </w:r>
      <w:r w:rsidR="00FD08E9">
        <w:t xml:space="preserve">, </w:t>
      </w:r>
      <w:r w:rsidRPr="001B4CA2">
        <w:t>odnosno</w:t>
      </w:r>
      <w:r w:rsidR="001B4CA2">
        <w:t xml:space="preserve"> </w:t>
      </w:r>
      <w:r w:rsidRPr="001B4CA2">
        <w:t>21.089 predmeta ili 9,3 % manje nego u prethodnom izvještajnom razdoblju.</w:t>
      </w:r>
    </w:p>
    <w:p w14:paraId="34646F1B" w14:textId="77777777" w:rsidR="000740F7" w:rsidRPr="001B4CA2" w:rsidRDefault="000740F7" w:rsidP="000740F7"/>
    <w:p w14:paraId="0C0724CC" w14:textId="77777777" w:rsidR="000740F7" w:rsidRPr="001B4CA2" w:rsidRDefault="000740F7" w:rsidP="000740F7">
      <w:pPr>
        <w:ind w:firstLine="708"/>
      </w:pPr>
      <w:r w:rsidRPr="001B4CA2">
        <w:t>Prikazani podatci odnose se samo na predmete koji se nalaze u radu pred državnim odvjetništvom, jer se indikatori uspješnosti mogu primijeniti samo na tu vrstu predmeta i odluke koje donosi državno odvjetništvo (odluka po kaznenoj prijavi, optužnica, tužba, pravno mišljenje i dr.)</w:t>
      </w:r>
    </w:p>
    <w:p w14:paraId="091B4C40" w14:textId="77777777" w:rsidR="000740F7" w:rsidRPr="001B4CA2" w:rsidRDefault="000740F7" w:rsidP="000740F7"/>
    <w:p w14:paraId="4566011C" w14:textId="72B42475" w:rsidR="000740F7" w:rsidRPr="001B4CA2" w:rsidRDefault="000740F7" w:rsidP="00BE61D2">
      <w:pPr>
        <w:ind w:firstLine="708"/>
      </w:pPr>
      <w:r w:rsidRPr="001B4CA2">
        <w:t xml:space="preserve">Predmeti u kojima se postupak nakon donošenja </w:t>
      </w:r>
      <w:proofErr w:type="spellStart"/>
      <w:r w:rsidRPr="001B4CA2">
        <w:t>državnoodvjetničke</w:t>
      </w:r>
      <w:proofErr w:type="spellEnd"/>
      <w:r w:rsidRPr="001B4CA2">
        <w:t xml:space="preserve"> odluke pokreće i vodi pred sudovima i javnopravnim tijelima prikazani su u drugom, donjem dijelu tablice, jer upravljanje ovim postupcima i njihovo trajanje ne ovisi o državnom odvjetništvu.</w:t>
      </w:r>
    </w:p>
    <w:p w14:paraId="75456782" w14:textId="77777777" w:rsidR="000740F7" w:rsidRPr="001B4CA2" w:rsidRDefault="000740F7" w:rsidP="000740F7"/>
    <w:p w14:paraId="02A0EC5A" w14:textId="77777777" w:rsidR="000740F7" w:rsidRPr="001B4CA2" w:rsidRDefault="000740F7" w:rsidP="000740F7">
      <w:pPr>
        <w:ind w:firstLine="708"/>
      </w:pPr>
      <w:r w:rsidRPr="001B4CA2">
        <w:t xml:space="preserve">Međutim, ovi predmeti zahtijevaju velik angažman državnih odvjetnika koji poduzimaju potrebne </w:t>
      </w:r>
      <w:proofErr w:type="spellStart"/>
      <w:r w:rsidRPr="001B4CA2">
        <w:t>državnoodvjetničke</w:t>
      </w:r>
      <w:proofErr w:type="spellEnd"/>
      <w:r w:rsidRPr="001B4CA2">
        <w:t xml:space="preserve"> radnje pred sudovima (zastupanje na raspravama i ročištima, pisanje podnesaka, pravnih lijekova i dr.) i javnopravnim tijelima.</w:t>
      </w:r>
    </w:p>
    <w:p w14:paraId="7297F190" w14:textId="77777777" w:rsidR="000740F7" w:rsidRPr="001B4CA2" w:rsidRDefault="000740F7" w:rsidP="000740F7">
      <w:pPr>
        <w:ind w:firstLine="708"/>
      </w:pPr>
    </w:p>
    <w:p w14:paraId="4A1B1C59" w14:textId="5AAB2DAE" w:rsidR="000740F7" w:rsidRPr="001B4CA2" w:rsidRDefault="00373B2A" w:rsidP="000740F7">
      <w:r w:rsidRPr="001B4CA2">
        <w:tab/>
      </w:r>
      <w:r w:rsidR="000740F7" w:rsidRPr="001B4CA2">
        <w:t xml:space="preserve">Predmeti </w:t>
      </w:r>
      <w:proofErr w:type="spellStart"/>
      <w:r w:rsidR="000740F7" w:rsidRPr="001B4CA2">
        <w:t>državnoodvjetničke</w:t>
      </w:r>
      <w:proofErr w:type="spellEnd"/>
      <w:r w:rsidR="000740F7" w:rsidRPr="001B4CA2">
        <w:t xml:space="preserve"> uprave nisu obuhvaćeni izvješćem, iako i </w:t>
      </w:r>
      <w:r w:rsidR="00BE61D2">
        <w:t>t</w:t>
      </w:r>
      <w:r w:rsidR="000740F7" w:rsidRPr="001B4CA2">
        <w:t>i predmeti</w:t>
      </w:r>
      <w:r w:rsidR="001B4CA2">
        <w:t xml:space="preserve"> </w:t>
      </w:r>
      <w:r w:rsidR="000740F7" w:rsidRPr="001B4CA2">
        <w:t xml:space="preserve">zahtijevaju </w:t>
      </w:r>
      <w:r w:rsidR="00BE61D2">
        <w:t>velik</w:t>
      </w:r>
      <w:r w:rsidR="000740F7" w:rsidRPr="001B4CA2">
        <w:t xml:space="preserve"> angažman i vrijeme ponajprije državnih odvjetnika.</w:t>
      </w:r>
    </w:p>
    <w:p w14:paraId="0D1B56A1" w14:textId="77777777" w:rsidR="000740F7" w:rsidRPr="001B4CA2" w:rsidRDefault="000740F7" w:rsidP="000740F7">
      <w:pPr>
        <w:ind w:firstLine="708"/>
      </w:pPr>
    </w:p>
    <w:p w14:paraId="2E0F2093" w14:textId="6607C5F7" w:rsidR="00BE61D2" w:rsidRPr="001B4CA2" w:rsidRDefault="000740F7" w:rsidP="000740F7">
      <w:pPr>
        <w:ind w:firstLine="708"/>
      </w:pPr>
      <w:r w:rsidRPr="001B4CA2">
        <w:t xml:space="preserve">Manji broj riješenih predmeta u odnosu na prethodno izvještajno razdoblje, usprkos manjem broju </w:t>
      </w:r>
      <w:proofErr w:type="spellStart"/>
      <w:r w:rsidRPr="001B4CA2">
        <w:t>novozaprimljenih</w:t>
      </w:r>
      <w:proofErr w:type="spellEnd"/>
      <w:r w:rsidRPr="001B4CA2">
        <w:t xml:space="preserve"> predmeta</w:t>
      </w:r>
      <w:r w:rsidR="00BE61D2">
        <w:t>,</w:t>
      </w:r>
      <w:r w:rsidRPr="001B4CA2">
        <w:t xml:space="preserve"> posljedica je činjenice da je stvarni broj </w:t>
      </w:r>
      <w:proofErr w:type="spellStart"/>
      <w:r w:rsidRPr="001B4CA2">
        <w:t>rješavatelja</w:t>
      </w:r>
      <w:proofErr w:type="spellEnd"/>
      <w:r w:rsidRPr="001B4CA2">
        <w:t xml:space="preserve"> bio 81</w:t>
      </w:r>
      <w:r w:rsidR="00BE61D2">
        <w:t> </w:t>
      </w:r>
      <w:r w:rsidRPr="001B4CA2">
        <w:t xml:space="preserve">% od ukupno zaposlenih državnih odvjetnika, </w:t>
      </w:r>
      <w:r w:rsidRPr="001B4CA2">
        <w:lastRenderedPageBreak/>
        <w:t>zamjenika i savjetnika, dok su isto</w:t>
      </w:r>
      <w:r w:rsidR="00BE61D2">
        <w:t>dob</w:t>
      </w:r>
      <w:r w:rsidRPr="001B4CA2">
        <w:t>no sudovi zakazali veći broj rasprava i ročišta na kojima je obvezna prisutnost državnih odvjetnika i zamjenika. Tako su</w:t>
      </w:r>
      <w:r w:rsidR="001B4CA2">
        <w:t xml:space="preserve"> </w:t>
      </w:r>
      <w:r w:rsidRPr="001B4CA2">
        <w:t xml:space="preserve">samo dužnosnici u kaznenim odjelima, uključujući Ured za suzbijanje korupcije i organiziranog kriminaliteta tijekom 2022., obavili 65.255 </w:t>
      </w:r>
      <w:proofErr w:type="spellStart"/>
      <w:r w:rsidRPr="001B4CA2">
        <w:t>državnoodvjetničkih</w:t>
      </w:r>
      <w:proofErr w:type="spellEnd"/>
      <w:r w:rsidRPr="001B4CA2">
        <w:t xml:space="preserve"> zastupanja pred sudovima, što je 5,57</w:t>
      </w:r>
      <w:r w:rsidR="00BE61D2">
        <w:t> </w:t>
      </w:r>
      <w:r w:rsidRPr="001B4CA2">
        <w:t xml:space="preserve">% više nego prethodne godine. Istodobno, kazneni </w:t>
      </w:r>
      <w:r w:rsidR="00BE61D2" w:rsidRPr="001B4CA2">
        <w:t xml:space="preserve">su </w:t>
      </w:r>
      <w:r w:rsidRPr="001B4CA2">
        <w:t>odjeli svih državnih odvjetništava neposredno proveli ili naložili provođenje</w:t>
      </w:r>
      <w:r w:rsidR="001B4CA2">
        <w:t xml:space="preserve"> </w:t>
      </w:r>
      <w:r w:rsidRPr="001B4CA2">
        <w:t>ukupno 51.921 dokaznu radnju, što je 12</w:t>
      </w:r>
      <w:r w:rsidR="00BE61D2">
        <w:t> </w:t>
      </w:r>
      <w:r w:rsidRPr="001B4CA2">
        <w:t xml:space="preserve">% više nego prethodne godine, što je iziskivalo </w:t>
      </w:r>
      <w:r w:rsidR="00BE61D2">
        <w:t>velik</w:t>
      </w:r>
      <w:r w:rsidRPr="001B4CA2">
        <w:t xml:space="preserve"> angažman i vrijeme svakoga </w:t>
      </w:r>
      <w:proofErr w:type="spellStart"/>
      <w:r w:rsidRPr="001B4CA2">
        <w:t>rješavatelja</w:t>
      </w:r>
      <w:proofErr w:type="spellEnd"/>
      <w:r w:rsidRPr="001B4CA2">
        <w:t xml:space="preserve">. </w:t>
      </w:r>
    </w:p>
    <w:tbl>
      <w:tblPr>
        <w:tblpPr w:leftFromText="181" w:rightFromText="181" w:vertAnchor="text" w:horzAnchor="margin" w:tblpXSpec="center" w:tblpY="1"/>
        <w:tblOverlap w:val="never"/>
        <w:tblW w:w="4730" w:type="pct"/>
        <w:tblLook w:val="04A0" w:firstRow="1" w:lastRow="0" w:firstColumn="1" w:lastColumn="0" w:noHBand="0" w:noVBand="1"/>
      </w:tblPr>
      <w:tblGrid>
        <w:gridCol w:w="1234"/>
        <w:gridCol w:w="450"/>
        <w:gridCol w:w="450"/>
        <w:gridCol w:w="489"/>
        <w:gridCol w:w="450"/>
        <w:gridCol w:w="567"/>
        <w:gridCol w:w="489"/>
        <w:gridCol w:w="489"/>
        <w:gridCol w:w="606"/>
        <w:gridCol w:w="528"/>
        <w:gridCol w:w="450"/>
        <w:gridCol w:w="568"/>
        <w:gridCol w:w="499"/>
        <w:gridCol w:w="450"/>
        <w:gridCol w:w="568"/>
        <w:gridCol w:w="499"/>
      </w:tblGrid>
      <w:tr w:rsidR="000740F7" w:rsidRPr="001B4CA2" w14:paraId="108B8D52" w14:textId="77777777" w:rsidTr="00BA7382">
        <w:trPr>
          <w:trHeight w:val="302"/>
        </w:trPr>
        <w:tc>
          <w:tcPr>
            <w:tcW w:w="5000" w:type="pct"/>
            <w:gridSpan w:val="16"/>
            <w:tcBorders>
              <w:top w:val="nil"/>
              <w:left w:val="nil"/>
              <w:bottom w:val="single" w:sz="4" w:space="0" w:color="auto"/>
              <w:right w:val="nil"/>
            </w:tcBorders>
            <w:shd w:val="clear" w:color="auto" w:fill="auto"/>
            <w:noWrap/>
            <w:vAlign w:val="center"/>
            <w:hideMark/>
          </w:tcPr>
          <w:p w14:paraId="602CA1DC" w14:textId="77777777" w:rsidR="00766A28" w:rsidRDefault="00766A28" w:rsidP="006D0A51">
            <w:pPr>
              <w:ind w:left="142"/>
              <w:jc w:val="left"/>
              <w:rPr>
                <w:rFonts w:eastAsia="Times New Roman"/>
                <w:i/>
                <w:lang w:eastAsia="hr-HR"/>
              </w:rPr>
            </w:pPr>
          </w:p>
          <w:p w14:paraId="69FFAC8D" w14:textId="72D7E9AE" w:rsidR="000740F7" w:rsidRPr="001B4CA2" w:rsidRDefault="000740F7" w:rsidP="006D0A51">
            <w:pPr>
              <w:ind w:left="142"/>
              <w:jc w:val="left"/>
              <w:rPr>
                <w:rFonts w:eastAsia="Times New Roman"/>
                <w:i/>
                <w:lang w:eastAsia="hr-HR"/>
              </w:rPr>
            </w:pPr>
            <w:r w:rsidRPr="001B4CA2">
              <w:rPr>
                <w:rFonts w:eastAsia="Times New Roman"/>
                <w:i/>
                <w:lang w:eastAsia="hr-HR"/>
              </w:rPr>
              <w:t>Broj zamjenika i savjetnika</w:t>
            </w:r>
            <w:r w:rsidR="00BE61D2">
              <w:rPr>
                <w:rFonts w:eastAsia="Times New Roman"/>
                <w:i/>
                <w:lang w:eastAsia="hr-HR"/>
              </w:rPr>
              <w:t xml:space="preserve"> – </w:t>
            </w:r>
            <w:r w:rsidRPr="001B4CA2">
              <w:rPr>
                <w:rFonts w:eastAsia="Times New Roman"/>
                <w:i/>
                <w:lang w:eastAsia="hr-HR"/>
              </w:rPr>
              <w:t>popunjena radna mjesta i stvarna prisutnost</w:t>
            </w:r>
          </w:p>
        </w:tc>
      </w:tr>
      <w:tr w:rsidR="000740F7" w:rsidRPr="001B4CA2" w14:paraId="6C4E7FE1" w14:textId="77777777" w:rsidTr="00BA7382">
        <w:trPr>
          <w:trHeight w:val="302"/>
        </w:trPr>
        <w:tc>
          <w:tcPr>
            <w:tcW w:w="703" w:type="pct"/>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14:paraId="54B92C13" w14:textId="77777777" w:rsidR="000740F7" w:rsidRPr="001B4CA2" w:rsidRDefault="000740F7" w:rsidP="006D0A51">
            <w:pPr>
              <w:jc w:val="center"/>
              <w:rPr>
                <w:rFonts w:eastAsia="Times New Roman"/>
                <w:b/>
                <w:bCs/>
                <w:sz w:val="16"/>
                <w:szCs w:val="16"/>
                <w:lang w:eastAsia="hr-HR"/>
              </w:rPr>
            </w:pPr>
            <w:r w:rsidRPr="001B4CA2">
              <w:rPr>
                <w:rFonts w:eastAsia="Times New Roman"/>
                <w:b/>
                <w:bCs/>
                <w:sz w:val="16"/>
                <w:szCs w:val="16"/>
                <w:lang w:eastAsia="hr-HR"/>
              </w:rPr>
              <w:t>Državno odvjetništvo</w:t>
            </w:r>
          </w:p>
        </w:tc>
        <w:tc>
          <w:tcPr>
            <w:tcW w:w="790" w:type="pct"/>
            <w:gridSpan w:val="3"/>
            <w:tcBorders>
              <w:top w:val="single" w:sz="4" w:space="0" w:color="auto"/>
              <w:left w:val="nil"/>
              <w:bottom w:val="single" w:sz="4" w:space="0" w:color="auto"/>
              <w:right w:val="single" w:sz="4" w:space="0" w:color="auto"/>
            </w:tcBorders>
            <w:shd w:val="clear" w:color="000000" w:fill="99CCFF"/>
            <w:vAlign w:val="center"/>
          </w:tcPr>
          <w:p w14:paraId="5EDCB1F6" w14:textId="77777777" w:rsidR="000740F7" w:rsidRPr="001B4CA2" w:rsidRDefault="000740F7" w:rsidP="006D0A51">
            <w:pPr>
              <w:jc w:val="center"/>
              <w:rPr>
                <w:rFonts w:eastAsia="Times New Roman"/>
                <w:b/>
                <w:bCs/>
                <w:sz w:val="16"/>
                <w:szCs w:val="16"/>
                <w:lang w:eastAsia="hr-HR"/>
              </w:rPr>
            </w:pPr>
            <w:r w:rsidRPr="001B4CA2">
              <w:rPr>
                <w:rFonts w:eastAsia="Times New Roman"/>
                <w:b/>
                <w:bCs/>
                <w:sz w:val="16"/>
                <w:szCs w:val="16"/>
                <w:lang w:eastAsia="hr-HR"/>
              </w:rPr>
              <w:t>2018.</w:t>
            </w:r>
          </w:p>
        </w:tc>
        <w:tc>
          <w:tcPr>
            <w:tcW w:w="857" w:type="pct"/>
            <w:gridSpan w:val="3"/>
            <w:tcBorders>
              <w:top w:val="single" w:sz="4" w:space="0" w:color="auto"/>
              <w:left w:val="nil"/>
              <w:bottom w:val="single" w:sz="4" w:space="0" w:color="auto"/>
              <w:right w:val="single" w:sz="4" w:space="0" w:color="auto"/>
            </w:tcBorders>
            <w:shd w:val="clear" w:color="000000" w:fill="99CCFF"/>
            <w:vAlign w:val="center"/>
            <w:hideMark/>
          </w:tcPr>
          <w:p w14:paraId="53A41B22" w14:textId="77777777" w:rsidR="000740F7" w:rsidRPr="001B4CA2" w:rsidRDefault="000740F7" w:rsidP="006D0A51">
            <w:pPr>
              <w:jc w:val="center"/>
              <w:rPr>
                <w:rFonts w:eastAsia="Times New Roman"/>
                <w:b/>
                <w:bCs/>
                <w:sz w:val="16"/>
                <w:szCs w:val="16"/>
                <w:lang w:eastAsia="hr-HR"/>
              </w:rPr>
            </w:pPr>
            <w:r w:rsidRPr="001B4CA2">
              <w:rPr>
                <w:rFonts w:eastAsia="Times New Roman"/>
                <w:b/>
                <w:bCs/>
                <w:sz w:val="16"/>
                <w:szCs w:val="16"/>
                <w:lang w:eastAsia="hr-HR"/>
              </w:rPr>
              <w:t>2019.</w:t>
            </w:r>
          </w:p>
        </w:tc>
        <w:tc>
          <w:tcPr>
            <w:tcW w:w="924" w:type="pct"/>
            <w:gridSpan w:val="3"/>
            <w:tcBorders>
              <w:top w:val="single" w:sz="4" w:space="0" w:color="auto"/>
              <w:left w:val="nil"/>
              <w:bottom w:val="single" w:sz="4" w:space="0" w:color="auto"/>
              <w:right w:val="single" w:sz="4" w:space="0" w:color="auto"/>
            </w:tcBorders>
            <w:shd w:val="clear" w:color="000000" w:fill="99CCFF"/>
            <w:vAlign w:val="center"/>
            <w:hideMark/>
          </w:tcPr>
          <w:p w14:paraId="59B1CF5A" w14:textId="77777777" w:rsidR="000740F7" w:rsidRPr="001B4CA2" w:rsidRDefault="000740F7" w:rsidP="006D0A51">
            <w:pPr>
              <w:jc w:val="center"/>
              <w:rPr>
                <w:rFonts w:eastAsia="Times New Roman"/>
                <w:b/>
                <w:bCs/>
                <w:sz w:val="16"/>
                <w:szCs w:val="16"/>
                <w:lang w:eastAsia="hr-HR"/>
              </w:rPr>
            </w:pPr>
            <w:r w:rsidRPr="001B4CA2">
              <w:rPr>
                <w:rFonts w:eastAsia="Times New Roman"/>
                <w:b/>
                <w:bCs/>
                <w:sz w:val="16"/>
                <w:szCs w:val="16"/>
                <w:lang w:eastAsia="hr-HR"/>
              </w:rPr>
              <w:t>2020.</w:t>
            </w:r>
          </w:p>
        </w:tc>
        <w:tc>
          <w:tcPr>
            <w:tcW w:w="863" w:type="pct"/>
            <w:gridSpan w:val="3"/>
            <w:tcBorders>
              <w:top w:val="single" w:sz="4" w:space="0" w:color="auto"/>
              <w:left w:val="nil"/>
              <w:bottom w:val="single" w:sz="4" w:space="0" w:color="auto"/>
              <w:right w:val="single" w:sz="4" w:space="0" w:color="auto"/>
            </w:tcBorders>
            <w:shd w:val="clear" w:color="000000" w:fill="99CCFF"/>
            <w:vAlign w:val="center"/>
            <w:hideMark/>
          </w:tcPr>
          <w:p w14:paraId="156C8E08" w14:textId="77777777" w:rsidR="000740F7" w:rsidRPr="001B4CA2" w:rsidRDefault="000740F7" w:rsidP="006D0A51">
            <w:pPr>
              <w:jc w:val="center"/>
              <w:rPr>
                <w:rFonts w:eastAsia="Times New Roman"/>
                <w:b/>
                <w:bCs/>
                <w:sz w:val="16"/>
                <w:szCs w:val="16"/>
                <w:lang w:eastAsia="hr-HR"/>
              </w:rPr>
            </w:pPr>
            <w:r w:rsidRPr="001B4CA2">
              <w:rPr>
                <w:rFonts w:eastAsia="Times New Roman"/>
                <w:b/>
                <w:bCs/>
                <w:sz w:val="16"/>
                <w:szCs w:val="16"/>
                <w:lang w:eastAsia="hr-HR"/>
              </w:rPr>
              <w:t>2021.</w:t>
            </w:r>
          </w:p>
        </w:tc>
        <w:tc>
          <w:tcPr>
            <w:tcW w:w="862" w:type="pct"/>
            <w:gridSpan w:val="3"/>
            <w:tcBorders>
              <w:top w:val="single" w:sz="4" w:space="0" w:color="auto"/>
              <w:left w:val="nil"/>
              <w:bottom w:val="single" w:sz="4" w:space="0" w:color="auto"/>
              <w:right w:val="single" w:sz="4" w:space="0" w:color="auto"/>
            </w:tcBorders>
            <w:shd w:val="clear" w:color="000000" w:fill="99CCFF"/>
            <w:vAlign w:val="center"/>
            <w:hideMark/>
          </w:tcPr>
          <w:p w14:paraId="009196B0" w14:textId="77777777" w:rsidR="000740F7" w:rsidRPr="001B4CA2" w:rsidRDefault="000740F7" w:rsidP="006D0A51">
            <w:pPr>
              <w:jc w:val="center"/>
              <w:rPr>
                <w:rFonts w:eastAsia="Times New Roman"/>
                <w:b/>
                <w:bCs/>
                <w:sz w:val="16"/>
                <w:szCs w:val="16"/>
                <w:lang w:eastAsia="hr-HR"/>
              </w:rPr>
            </w:pPr>
            <w:r w:rsidRPr="001B4CA2">
              <w:rPr>
                <w:rFonts w:eastAsia="Times New Roman"/>
                <w:b/>
                <w:bCs/>
                <w:sz w:val="16"/>
                <w:szCs w:val="16"/>
                <w:lang w:eastAsia="hr-HR"/>
              </w:rPr>
              <w:t>2022.</w:t>
            </w:r>
          </w:p>
        </w:tc>
      </w:tr>
      <w:tr w:rsidR="00373B2A" w:rsidRPr="001B4CA2" w14:paraId="6165F0E4" w14:textId="77777777" w:rsidTr="00BA7382">
        <w:trPr>
          <w:trHeight w:val="2245"/>
        </w:trPr>
        <w:tc>
          <w:tcPr>
            <w:tcW w:w="703" w:type="pct"/>
            <w:vMerge/>
            <w:tcBorders>
              <w:top w:val="single" w:sz="4" w:space="0" w:color="auto"/>
              <w:left w:val="single" w:sz="4" w:space="0" w:color="auto"/>
              <w:bottom w:val="single" w:sz="4" w:space="0" w:color="auto"/>
              <w:right w:val="single" w:sz="4" w:space="0" w:color="auto"/>
            </w:tcBorders>
            <w:vAlign w:val="center"/>
            <w:hideMark/>
          </w:tcPr>
          <w:p w14:paraId="1A8CBF72" w14:textId="77777777" w:rsidR="000740F7" w:rsidRPr="001B4CA2" w:rsidRDefault="000740F7" w:rsidP="006D0A51">
            <w:pPr>
              <w:jc w:val="left"/>
              <w:rPr>
                <w:rFonts w:eastAsia="Times New Roman"/>
                <w:b/>
                <w:bCs/>
                <w:sz w:val="16"/>
                <w:szCs w:val="16"/>
                <w:lang w:eastAsia="hr-HR"/>
              </w:rPr>
            </w:pPr>
          </w:p>
        </w:tc>
        <w:tc>
          <w:tcPr>
            <w:tcW w:w="256" w:type="pct"/>
            <w:tcBorders>
              <w:top w:val="single" w:sz="4" w:space="0" w:color="auto"/>
              <w:left w:val="nil"/>
              <w:bottom w:val="single" w:sz="4" w:space="0" w:color="auto"/>
              <w:right w:val="single" w:sz="4" w:space="0" w:color="auto"/>
            </w:tcBorders>
            <w:shd w:val="clear" w:color="000000" w:fill="99CCFF"/>
            <w:textDirection w:val="btLr"/>
            <w:vAlign w:val="center"/>
          </w:tcPr>
          <w:p w14:paraId="24993C3A"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Popunjeno radnih mjesta</w:t>
            </w:r>
          </w:p>
        </w:tc>
        <w:tc>
          <w:tcPr>
            <w:tcW w:w="256" w:type="pct"/>
            <w:tcBorders>
              <w:top w:val="single" w:sz="4" w:space="0" w:color="auto"/>
              <w:left w:val="nil"/>
              <w:bottom w:val="single" w:sz="4" w:space="0" w:color="auto"/>
              <w:right w:val="single" w:sz="4" w:space="0" w:color="auto"/>
            </w:tcBorders>
            <w:shd w:val="clear" w:color="000000" w:fill="99CCFF"/>
            <w:textDirection w:val="btLr"/>
            <w:vAlign w:val="center"/>
          </w:tcPr>
          <w:p w14:paraId="25A83F4F"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Stvarna prisutnost</w:t>
            </w:r>
          </w:p>
        </w:tc>
        <w:tc>
          <w:tcPr>
            <w:tcW w:w="278" w:type="pct"/>
            <w:tcBorders>
              <w:top w:val="single" w:sz="4" w:space="0" w:color="auto"/>
              <w:left w:val="nil"/>
              <w:bottom w:val="single" w:sz="4" w:space="0" w:color="auto"/>
              <w:right w:val="single" w:sz="4" w:space="0" w:color="auto"/>
            </w:tcBorders>
            <w:shd w:val="clear" w:color="000000" w:fill="99CCFF"/>
            <w:textDirection w:val="btLr"/>
            <w:vAlign w:val="center"/>
          </w:tcPr>
          <w:p w14:paraId="4291830E"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 stvarno prisutno</w:t>
            </w:r>
          </w:p>
        </w:tc>
        <w:tc>
          <w:tcPr>
            <w:tcW w:w="256"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635D8341"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Popunjeno radnih mjesta</w:t>
            </w:r>
          </w:p>
        </w:tc>
        <w:tc>
          <w:tcPr>
            <w:tcW w:w="323"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15814648"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Stvarna prisutnost</w:t>
            </w:r>
          </w:p>
        </w:tc>
        <w:tc>
          <w:tcPr>
            <w:tcW w:w="278"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1B7200B0"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 stvarno prisutno</w:t>
            </w:r>
          </w:p>
        </w:tc>
        <w:tc>
          <w:tcPr>
            <w:tcW w:w="278"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7F91332E"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Popunjeno radnih mjesta</w:t>
            </w:r>
          </w:p>
        </w:tc>
        <w:tc>
          <w:tcPr>
            <w:tcW w:w="345"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0065645A"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Stvarna prisutnost</w:t>
            </w:r>
          </w:p>
        </w:tc>
        <w:tc>
          <w:tcPr>
            <w:tcW w:w="301"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4CC76EE4"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 stvarno prisutno</w:t>
            </w:r>
          </w:p>
        </w:tc>
        <w:tc>
          <w:tcPr>
            <w:tcW w:w="256"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19F60264"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Popunjeno radnih mjesta</w:t>
            </w:r>
          </w:p>
        </w:tc>
        <w:tc>
          <w:tcPr>
            <w:tcW w:w="323"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0DC664DD"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Stvarna prisutnost</w:t>
            </w:r>
          </w:p>
        </w:tc>
        <w:tc>
          <w:tcPr>
            <w:tcW w:w="284"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0F181E0C"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 stvarno prisutno</w:t>
            </w:r>
          </w:p>
        </w:tc>
        <w:tc>
          <w:tcPr>
            <w:tcW w:w="256"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2B4568D5"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Popunjeno radnih mjesta</w:t>
            </w:r>
          </w:p>
        </w:tc>
        <w:tc>
          <w:tcPr>
            <w:tcW w:w="323"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20D38F3E"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Stvarna prisutnost</w:t>
            </w:r>
          </w:p>
        </w:tc>
        <w:tc>
          <w:tcPr>
            <w:tcW w:w="283"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6F2B0B85" w14:textId="77777777" w:rsidR="000740F7" w:rsidRPr="001B4CA2" w:rsidRDefault="000740F7" w:rsidP="006D0A51">
            <w:pPr>
              <w:jc w:val="left"/>
              <w:rPr>
                <w:rFonts w:eastAsia="Times New Roman"/>
                <w:b/>
                <w:bCs/>
                <w:sz w:val="16"/>
                <w:szCs w:val="16"/>
                <w:lang w:eastAsia="hr-HR"/>
              </w:rPr>
            </w:pPr>
            <w:r w:rsidRPr="001B4CA2">
              <w:rPr>
                <w:rFonts w:eastAsia="Times New Roman"/>
                <w:b/>
                <w:bCs/>
                <w:sz w:val="16"/>
                <w:szCs w:val="16"/>
                <w:lang w:eastAsia="hr-HR"/>
              </w:rPr>
              <w:t>% stvarno prisutno</w:t>
            </w:r>
          </w:p>
        </w:tc>
      </w:tr>
      <w:tr w:rsidR="000740F7" w:rsidRPr="001B4CA2" w14:paraId="4894ECAB" w14:textId="77777777" w:rsidTr="00BA7382">
        <w:trPr>
          <w:trHeight w:val="302"/>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7332C" w14:textId="77777777" w:rsidR="000740F7" w:rsidRPr="001B4CA2" w:rsidRDefault="000740F7" w:rsidP="006D0A51">
            <w:pPr>
              <w:jc w:val="center"/>
              <w:rPr>
                <w:rFonts w:eastAsia="Times New Roman"/>
                <w:b/>
                <w:sz w:val="16"/>
                <w:szCs w:val="16"/>
                <w:lang w:eastAsia="hr-HR"/>
              </w:rPr>
            </w:pPr>
            <w:r w:rsidRPr="001B4CA2">
              <w:rPr>
                <w:rFonts w:eastAsia="Times New Roman"/>
                <w:b/>
                <w:sz w:val="16"/>
                <w:szCs w:val="16"/>
                <w:lang w:eastAsia="hr-HR"/>
              </w:rPr>
              <w:t>ODO</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2D861" w14:textId="77777777" w:rsidR="000740F7" w:rsidRPr="001B4CA2" w:rsidRDefault="000740F7" w:rsidP="006D0A51">
            <w:pPr>
              <w:jc w:val="center"/>
              <w:rPr>
                <w:color w:val="000000"/>
                <w:sz w:val="14"/>
                <w:szCs w:val="18"/>
              </w:rPr>
            </w:pPr>
            <w:r w:rsidRPr="001B4CA2">
              <w:rPr>
                <w:color w:val="000000"/>
                <w:sz w:val="14"/>
                <w:szCs w:val="18"/>
              </w:rPr>
              <w:t>552</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C3E052" w14:textId="77777777" w:rsidR="000740F7" w:rsidRPr="001B4CA2" w:rsidRDefault="000740F7" w:rsidP="006D0A51">
            <w:pPr>
              <w:jc w:val="center"/>
              <w:rPr>
                <w:color w:val="000000"/>
                <w:sz w:val="14"/>
                <w:szCs w:val="18"/>
              </w:rPr>
            </w:pPr>
            <w:r w:rsidRPr="001B4CA2">
              <w:rPr>
                <w:color w:val="000000"/>
                <w:sz w:val="14"/>
                <w:szCs w:val="18"/>
              </w:rPr>
              <w:t>474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196E3" w14:textId="77777777" w:rsidR="000740F7" w:rsidRPr="001B4CA2" w:rsidRDefault="000740F7" w:rsidP="006D0A51">
            <w:pPr>
              <w:jc w:val="center"/>
              <w:rPr>
                <w:color w:val="000000"/>
                <w:sz w:val="14"/>
                <w:szCs w:val="18"/>
              </w:rPr>
            </w:pPr>
            <w:r w:rsidRPr="001B4CA2">
              <w:rPr>
                <w:color w:val="000000"/>
                <w:sz w:val="14"/>
                <w:szCs w:val="18"/>
              </w:rPr>
              <w:t>85,9</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647EC" w14:textId="77777777" w:rsidR="000740F7" w:rsidRPr="001B4CA2" w:rsidRDefault="000740F7" w:rsidP="006D0A51">
            <w:pPr>
              <w:jc w:val="center"/>
              <w:rPr>
                <w:color w:val="000000"/>
                <w:sz w:val="14"/>
                <w:szCs w:val="18"/>
              </w:rPr>
            </w:pPr>
            <w:r w:rsidRPr="001B4CA2">
              <w:rPr>
                <w:color w:val="000000"/>
                <w:sz w:val="14"/>
                <w:szCs w:val="18"/>
              </w:rPr>
              <w:t>541</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21130" w14:textId="77777777" w:rsidR="000740F7" w:rsidRPr="001B4CA2" w:rsidRDefault="000740F7" w:rsidP="006D0A51">
            <w:pPr>
              <w:jc w:val="center"/>
              <w:rPr>
                <w:color w:val="000000"/>
                <w:sz w:val="14"/>
                <w:szCs w:val="18"/>
              </w:rPr>
            </w:pPr>
            <w:r w:rsidRPr="001B4CA2">
              <w:rPr>
                <w:color w:val="000000"/>
                <w:sz w:val="14"/>
                <w:szCs w:val="18"/>
              </w:rPr>
              <w:t>416,6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DA19DC" w14:textId="77777777" w:rsidR="000740F7" w:rsidRPr="001B4CA2" w:rsidRDefault="000740F7" w:rsidP="006D0A51">
            <w:pPr>
              <w:jc w:val="center"/>
              <w:rPr>
                <w:color w:val="000000"/>
                <w:sz w:val="14"/>
                <w:szCs w:val="18"/>
              </w:rPr>
            </w:pPr>
            <w:r w:rsidRPr="001B4CA2">
              <w:rPr>
                <w:color w:val="000000"/>
                <w:sz w:val="14"/>
                <w:szCs w:val="18"/>
              </w:rPr>
              <w:t>77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EC1F9" w14:textId="77777777" w:rsidR="000740F7" w:rsidRPr="001B4CA2" w:rsidRDefault="000740F7" w:rsidP="006D0A51">
            <w:pPr>
              <w:jc w:val="center"/>
              <w:rPr>
                <w:color w:val="000000"/>
                <w:sz w:val="14"/>
                <w:szCs w:val="18"/>
              </w:rPr>
            </w:pPr>
            <w:r w:rsidRPr="001B4CA2">
              <w:rPr>
                <w:color w:val="000000"/>
                <w:sz w:val="14"/>
                <w:szCs w:val="18"/>
              </w:rPr>
              <w:t> 535</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43804" w14:textId="77777777" w:rsidR="000740F7" w:rsidRPr="001B4CA2" w:rsidRDefault="000740F7" w:rsidP="006D0A51">
            <w:pPr>
              <w:jc w:val="center"/>
              <w:rPr>
                <w:color w:val="000000"/>
                <w:sz w:val="14"/>
                <w:szCs w:val="18"/>
              </w:rPr>
            </w:pPr>
            <w:r w:rsidRPr="001B4CA2">
              <w:rPr>
                <w:color w:val="000000"/>
                <w:sz w:val="14"/>
                <w:szCs w:val="18"/>
              </w:rPr>
              <w:t>415,7 </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59AAB" w14:textId="77777777" w:rsidR="000740F7" w:rsidRPr="001B4CA2" w:rsidRDefault="000740F7" w:rsidP="006D0A51">
            <w:pPr>
              <w:jc w:val="center"/>
              <w:rPr>
                <w:color w:val="000000"/>
                <w:sz w:val="14"/>
                <w:szCs w:val="18"/>
              </w:rPr>
            </w:pPr>
            <w:r w:rsidRPr="001B4CA2">
              <w:rPr>
                <w:color w:val="000000"/>
                <w:sz w:val="14"/>
                <w:szCs w:val="18"/>
              </w:rPr>
              <w:t>77,7 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B41DA" w14:textId="77777777" w:rsidR="000740F7" w:rsidRPr="001B4CA2" w:rsidRDefault="000740F7" w:rsidP="006D0A51">
            <w:pPr>
              <w:jc w:val="center"/>
              <w:rPr>
                <w:color w:val="000000"/>
                <w:sz w:val="14"/>
                <w:szCs w:val="18"/>
              </w:rPr>
            </w:pPr>
            <w:r w:rsidRPr="001B4CA2">
              <w:rPr>
                <w:color w:val="000000"/>
                <w:sz w:val="14"/>
                <w:szCs w:val="18"/>
              </w:rPr>
              <w:t>579</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A16B8" w14:textId="77777777" w:rsidR="000740F7" w:rsidRPr="001B4CA2" w:rsidRDefault="000740F7" w:rsidP="006D0A51">
            <w:pPr>
              <w:jc w:val="center"/>
              <w:rPr>
                <w:color w:val="000000"/>
                <w:sz w:val="14"/>
                <w:szCs w:val="18"/>
              </w:rPr>
            </w:pPr>
            <w:r w:rsidRPr="001B4CA2">
              <w:rPr>
                <w:color w:val="000000"/>
                <w:sz w:val="14"/>
                <w:szCs w:val="18"/>
              </w:rPr>
              <w:t>467,2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D67878" w14:textId="77777777" w:rsidR="000740F7" w:rsidRPr="001B4CA2" w:rsidRDefault="000740F7" w:rsidP="006D0A51">
            <w:pPr>
              <w:jc w:val="center"/>
              <w:rPr>
                <w:color w:val="000000"/>
                <w:sz w:val="14"/>
                <w:szCs w:val="18"/>
              </w:rPr>
            </w:pPr>
            <w:r w:rsidRPr="001B4CA2">
              <w:rPr>
                <w:color w:val="000000"/>
                <w:sz w:val="14"/>
                <w:szCs w:val="18"/>
              </w:rPr>
              <w:t>81%</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D87587" w14:textId="77777777" w:rsidR="000740F7" w:rsidRPr="001B4CA2" w:rsidRDefault="000740F7" w:rsidP="006D0A51">
            <w:pPr>
              <w:jc w:val="center"/>
              <w:rPr>
                <w:color w:val="000000"/>
                <w:sz w:val="14"/>
                <w:szCs w:val="18"/>
              </w:rPr>
            </w:pPr>
            <w:r w:rsidRPr="001B4CA2">
              <w:rPr>
                <w:color w:val="000000"/>
                <w:sz w:val="14"/>
                <w:szCs w:val="18"/>
              </w:rPr>
              <w:t>576</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17F08" w14:textId="77777777" w:rsidR="000740F7" w:rsidRPr="001B4CA2" w:rsidRDefault="000740F7" w:rsidP="006D0A51">
            <w:pPr>
              <w:jc w:val="center"/>
              <w:rPr>
                <w:color w:val="000000"/>
                <w:sz w:val="14"/>
                <w:szCs w:val="18"/>
              </w:rPr>
            </w:pPr>
            <w:r w:rsidRPr="001B4CA2">
              <w:rPr>
                <w:color w:val="000000"/>
                <w:sz w:val="14"/>
                <w:szCs w:val="18"/>
              </w:rPr>
              <w:t>467,2</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31839" w14:textId="77777777" w:rsidR="000740F7" w:rsidRPr="001B4CA2" w:rsidRDefault="000740F7" w:rsidP="006D0A51">
            <w:pPr>
              <w:jc w:val="center"/>
              <w:rPr>
                <w:color w:val="000000"/>
                <w:sz w:val="14"/>
                <w:szCs w:val="18"/>
              </w:rPr>
            </w:pPr>
            <w:r w:rsidRPr="001B4CA2">
              <w:rPr>
                <w:color w:val="000000"/>
                <w:sz w:val="14"/>
                <w:szCs w:val="18"/>
              </w:rPr>
              <w:t>81%</w:t>
            </w:r>
          </w:p>
        </w:tc>
      </w:tr>
      <w:tr w:rsidR="000740F7" w:rsidRPr="001B4CA2" w14:paraId="57524DB1" w14:textId="77777777" w:rsidTr="00BA7382">
        <w:trPr>
          <w:trHeight w:val="302"/>
        </w:trPr>
        <w:tc>
          <w:tcPr>
            <w:tcW w:w="7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82B2C" w14:textId="77777777" w:rsidR="000740F7" w:rsidRPr="001B4CA2" w:rsidRDefault="000740F7" w:rsidP="006D0A51">
            <w:pPr>
              <w:jc w:val="center"/>
              <w:rPr>
                <w:rFonts w:eastAsia="Times New Roman"/>
                <w:b/>
                <w:sz w:val="16"/>
                <w:szCs w:val="16"/>
                <w:lang w:eastAsia="hr-HR"/>
              </w:rPr>
            </w:pPr>
            <w:r w:rsidRPr="001B4CA2">
              <w:rPr>
                <w:rFonts w:eastAsia="Times New Roman"/>
                <w:b/>
                <w:sz w:val="16"/>
                <w:szCs w:val="16"/>
                <w:lang w:eastAsia="hr-HR"/>
              </w:rPr>
              <w:t>ŽDO</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D02AA" w14:textId="77777777" w:rsidR="000740F7" w:rsidRPr="001B4CA2" w:rsidRDefault="000740F7" w:rsidP="006D0A51">
            <w:pPr>
              <w:jc w:val="center"/>
              <w:rPr>
                <w:color w:val="000000"/>
                <w:sz w:val="14"/>
                <w:szCs w:val="18"/>
              </w:rPr>
            </w:pPr>
            <w:r w:rsidRPr="001B4CA2">
              <w:rPr>
                <w:color w:val="000000"/>
                <w:sz w:val="14"/>
                <w:szCs w:val="18"/>
              </w:rPr>
              <w:t>194</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4BF8C5" w14:textId="77777777" w:rsidR="000740F7" w:rsidRPr="001B4CA2" w:rsidRDefault="000740F7" w:rsidP="006D0A51">
            <w:pPr>
              <w:jc w:val="center"/>
              <w:rPr>
                <w:color w:val="000000"/>
                <w:sz w:val="14"/>
                <w:szCs w:val="18"/>
              </w:rPr>
            </w:pPr>
            <w:r w:rsidRPr="001B4CA2">
              <w:rPr>
                <w:color w:val="000000"/>
                <w:sz w:val="14"/>
                <w:szCs w:val="18"/>
              </w:rPr>
              <w:t>170</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935C35" w14:textId="77777777" w:rsidR="000740F7" w:rsidRPr="001B4CA2" w:rsidRDefault="000740F7" w:rsidP="006D0A51">
            <w:pPr>
              <w:jc w:val="center"/>
              <w:rPr>
                <w:color w:val="000000"/>
                <w:sz w:val="14"/>
                <w:szCs w:val="18"/>
              </w:rPr>
            </w:pPr>
            <w:r w:rsidRPr="001B4CA2">
              <w:rPr>
                <w:color w:val="000000"/>
                <w:sz w:val="14"/>
                <w:szCs w:val="18"/>
              </w:rPr>
              <w:t>87,6</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453166" w14:textId="77777777" w:rsidR="000740F7" w:rsidRPr="001B4CA2" w:rsidRDefault="000740F7" w:rsidP="006D0A51">
            <w:pPr>
              <w:jc w:val="center"/>
              <w:rPr>
                <w:color w:val="000000"/>
                <w:sz w:val="14"/>
                <w:szCs w:val="18"/>
              </w:rPr>
            </w:pPr>
            <w:r w:rsidRPr="001B4CA2">
              <w:rPr>
                <w:color w:val="000000"/>
                <w:sz w:val="14"/>
                <w:szCs w:val="18"/>
              </w:rPr>
              <w:t>211</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4EF39" w14:textId="77777777" w:rsidR="000740F7" w:rsidRPr="001B4CA2" w:rsidRDefault="000740F7" w:rsidP="006D0A51">
            <w:pPr>
              <w:jc w:val="center"/>
              <w:rPr>
                <w:color w:val="000000"/>
                <w:sz w:val="14"/>
                <w:szCs w:val="18"/>
              </w:rPr>
            </w:pPr>
            <w:r w:rsidRPr="001B4CA2">
              <w:rPr>
                <w:color w:val="000000"/>
                <w:sz w:val="14"/>
                <w:szCs w:val="18"/>
              </w:rPr>
              <w:t>163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A1707" w14:textId="77777777" w:rsidR="000740F7" w:rsidRPr="001B4CA2" w:rsidRDefault="000740F7" w:rsidP="006D0A51">
            <w:pPr>
              <w:jc w:val="center"/>
              <w:rPr>
                <w:color w:val="000000"/>
                <w:sz w:val="14"/>
                <w:szCs w:val="18"/>
              </w:rPr>
            </w:pPr>
            <w:r w:rsidRPr="001B4CA2">
              <w:rPr>
                <w:color w:val="000000"/>
                <w:sz w:val="14"/>
                <w:szCs w:val="18"/>
              </w:rPr>
              <w:t>77,3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23FA8" w14:textId="77777777" w:rsidR="000740F7" w:rsidRPr="001B4CA2" w:rsidRDefault="000740F7" w:rsidP="006D0A51">
            <w:pPr>
              <w:jc w:val="center"/>
              <w:rPr>
                <w:color w:val="000000"/>
                <w:sz w:val="14"/>
                <w:szCs w:val="18"/>
              </w:rPr>
            </w:pPr>
            <w:r w:rsidRPr="001B4CA2">
              <w:rPr>
                <w:color w:val="000000"/>
                <w:sz w:val="14"/>
                <w:szCs w:val="18"/>
              </w:rPr>
              <w:t>201 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1013F" w14:textId="77777777" w:rsidR="000740F7" w:rsidRPr="001B4CA2" w:rsidRDefault="000740F7" w:rsidP="006D0A51">
            <w:pPr>
              <w:jc w:val="center"/>
              <w:rPr>
                <w:color w:val="000000"/>
                <w:sz w:val="14"/>
                <w:szCs w:val="18"/>
              </w:rPr>
            </w:pPr>
            <w:r w:rsidRPr="001B4CA2">
              <w:rPr>
                <w:color w:val="000000"/>
                <w:sz w:val="14"/>
                <w:szCs w:val="18"/>
              </w:rPr>
              <w:t>159,1 </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9B968" w14:textId="77777777" w:rsidR="000740F7" w:rsidRPr="001B4CA2" w:rsidRDefault="000740F7" w:rsidP="006D0A51">
            <w:pPr>
              <w:jc w:val="center"/>
              <w:rPr>
                <w:color w:val="000000"/>
                <w:sz w:val="14"/>
                <w:szCs w:val="18"/>
              </w:rPr>
            </w:pPr>
            <w:r w:rsidRPr="001B4CA2">
              <w:rPr>
                <w:color w:val="000000"/>
                <w:sz w:val="14"/>
                <w:szCs w:val="18"/>
              </w:rPr>
              <w:t>79,2 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AABDCD" w14:textId="77777777" w:rsidR="000740F7" w:rsidRPr="001B4CA2" w:rsidRDefault="000740F7" w:rsidP="006D0A51">
            <w:pPr>
              <w:jc w:val="center"/>
              <w:rPr>
                <w:color w:val="000000"/>
                <w:sz w:val="14"/>
                <w:szCs w:val="18"/>
              </w:rPr>
            </w:pPr>
            <w:r w:rsidRPr="001B4CA2">
              <w:rPr>
                <w:color w:val="000000"/>
                <w:sz w:val="14"/>
                <w:szCs w:val="18"/>
              </w:rPr>
              <w:t>218</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00DFC" w14:textId="77777777" w:rsidR="000740F7" w:rsidRPr="001B4CA2" w:rsidRDefault="000740F7" w:rsidP="006D0A51">
            <w:pPr>
              <w:jc w:val="center"/>
              <w:rPr>
                <w:color w:val="000000"/>
                <w:sz w:val="14"/>
                <w:szCs w:val="18"/>
              </w:rPr>
            </w:pPr>
            <w:r w:rsidRPr="001B4CA2">
              <w:rPr>
                <w:color w:val="000000"/>
                <w:sz w:val="14"/>
                <w:szCs w:val="18"/>
              </w:rPr>
              <w:t>164,7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52BFB" w14:textId="77777777" w:rsidR="000740F7" w:rsidRPr="001B4CA2" w:rsidRDefault="000740F7" w:rsidP="006D0A51">
            <w:pPr>
              <w:jc w:val="center"/>
              <w:rPr>
                <w:color w:val="000000"/>
                <w:sz w:val="14"/>
                <w:szCs w:val="18"/>
              </w:rPr>
            </w:pPr>
            <w:r w:rsidRPr="001B4CA2">
              <w:rPr>
                <w:color w:val="000000"/>
                <w:sz w:val="14"/>
                <w:szCs w:val="18"/>
              </w:rPr>
              <w:t>76%</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4EED5" w14:textId="77777777" w:rsidR="000740F7" w:rsidRPr="001B4CA2" w:rsidRDefault="000740F7" w:rsidP="006D0A51">
            <w:pPr>
              <w:jc w:val="center"/>
              <w:rPr>
                <w:color w:val="000000"/>
                <w:sz w:val="14"/>
                <w:szCs w:val="18"/>
              </w:rPr>
            </w:pPr>
            <w:r w:rsidRPr="001B4CA2">
              <w:rPr>
                <w:color w:val="000000"/>
                <w:sz w:val="14"/>
                <w:szCs w:val="18"/>
              </w:rPr>
              <w:t>220</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B64FD" w14:textId="77777777" w:rsidR="000740F7" w:rsidRPr="001B4CA2" w:rsidRDefault="000740F7" w:rsidP="006D0A51">
            <w:pPr>
              <w:jc w:val="center"/>
              <w:rPr>
                <w:color w:val="000000"/>
                <w:sz w:val="14"/>
                <w:szCs w:val="18"/>
              </w:rPr>
            </w:pPr>
            <w:r w:rsidRPr="001B4CA2">
              <w:rPr>
                <w:color w:val="000000"/>
                <w:sz w:val="14"/>
                <w:szCs w:val="18"/>
              </w:rPr>
              <w:t>173,8</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E2D07" w14:textId="77777777" w:rsidR="000740F7" w:rsidRPr="001B4CA2" w:rsidRDefault="000740F7" w:rsidP="006D0A51">
            <w:pPr>
              <w:jc w:val="center"/>
              <w:rPr>
                <w:color w:val="000000"/>
                <w:sz w:val="14"/>
                <w:szCs w:val="18"/>
              </w:rPr>
            </w:pPr>
            <w:r w:rsidRPr="001B4CA2">
              <w:rPr>
                <w:color w:val="000000"/>
                <w:sz w:val="14"/>
                <w:szCs w:val="18"/>
              </w:rPr>
              <w:t>79%</w:t>
            </w:r>
          </w:p>
        </w:tc>
      </w:tr>
      <w:tr w:rsidR="000740F7" w:rsidRPr="001B4CA2" w14:paraId="5467D8F3" w14:textId="77777777" w:rsidTr="00BA7382">
        <w:trPr>
          <w:trHeight w:val="302"/>
        </w:trPr>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B6B93" w14:textId="77777777" w:rsidR="000740F7" w:rsidRPr="001B4CA2" w:rsidRDefault="000740F7" w:rsidP="006D0A51">
            <w:pPr>
              <w:jc w:val="center"/>
              <w:rPr>
                <w:rFonts w:eastAsia="Times New Roman"/>
                <w:b/>
                <w:sz w:val="16"/>
                <w:szCs w:val="16"/>
                <w:lang w:eastAsia="hr-HR"/>
              </w:rPr>
            </w:pPr>
            <w:r w:rsidRPr="001B4CA2">
              <w:rPr>
                <w:rFonts w:eastAsia="Times New Roman"/>
                <w:b/>
                <w:sz w:val="16"/>
                <w:szCs w:val="16"/>
                <w:lang w:eastAsia="hr-HR"/>
              </w:rPr>
              <w:t>USKOK</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AABF0" w14:textId="77777777" w:rsidR="000740F7" w:rsidRPr="001B4CA2" w:rsidRDefault="000740F7" w:rsidP="006D0A51">
            <w:pPr>
              <w:jc w:val="center"/>
              <w:rPr>
                <w:color w:val="000000"/>
                <w:sz w:val="14"/>
                <w:szCs w:val="18"/>
              </w:rPr>
            </w:pPr>
            <w:r w:rsidRPr="001B4CA2">
              <w:rPr>
                <w:color w:val="000000"/>
                <w:sz w:val="14"/>
                <w:szCs w:val="18"/>
              </w:rPr>
              <w:t>40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02DF3F" w14:textId="77777777" w:rsidR="000740F7" w:rsidRPr="001B4CA2" w:rsidRDefault="000740F7" w:rsidP="006D0A51">
            <w:pPr>
              <w:jc w:val="center"/>
              <w:rPr>
                <w:color w:val="000000"/>
                <w:sz w:val="14"/>
                <w:szCs w:val="18"/>
              </w:rPr>
            </w:pPr>
            <w:r w:rsidRPr="001B4CA2">
              <w:rPr>
                <w:color w:val="000000"/>
                <w:sz w:val="14"/>
                <w:szCs w:val="18"/>
              </w:rPr>
              <w:t>34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B2B2F" w14:textId="77777777" w:rsidR="000740F7" w:rsidRPr="001B4CA2" w:rsidRDefault="000740F7" w:rsidP="006D0A51">
            <w:pPr>
              <w:jc w:val="center"/>
              <w:rPr>
                <w:color w:val="000000"/>
                <w:sz w:val="14"/>
                <w:szCs w:val="18"/>
              </w:rPr>
            </w:pPr>
            <w:r w:rsidRPr="001B4CA2">
              <w:rPr>
                <w:color w:val="000000"/>
                <w:sz w:val="14"/>
                <w:szCs w:val="18"/>
              </w:rPr>
              <w:t>85</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485DD" w14:textId="77777777" w:rsidR="000740F7" w:rsidRPr="001B4CA2" w:rsidRDefault="000740F7" w:rsidP="006D0A51">
            <w:pPr>
              <w:jc w:val="center"/>
              <w:rPr>
                <w:color w:val="000000"/>
                <w:sz w:val="14"/>
                <w:szCs w:val="18"/>
              </w:rPr>
            </w:pPr>
            <w:r w:rsidRPr="001B4CA2">
              <w:rPr>
                <w:color w:val="000000"/>
                <w:sz w:val="14"/>
                <w:szCs w:val="18"/>
              </w:rPr>
              <w:t>41</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03651" w14:textId="77777777" w:rsidR="000740F7" w:rsidRPr="001B4CA2" w:rsidRDefault="000740F7" w:rsidP="006D0A51">
            <w:pPr>
              <w:jc w:val="center"/>
              <w:rPr>
                <w:color w:val="000000"/>
                <w:sz w:val="14"/>
                <w:szCs w:val="18"/>
              </w:rPr>
            </w:pPr>
            <w:r w:rsidRPr="001B4CA2">
              <w:rPr>
                <w:color w:val="000000"/>
                <w:sz w:val="14"/>
                <w:szCs w:val="18"/>
              </w:rPr>
              <w:t>36</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0A2C2" w14:textId="77777777" w:rsidR="000740F7" w:rsidRPr="001B4CA2" w:rsidRDefault="000740F7" w:rsidP="006D0A51">
            <w:pPr>
              <w:jc w:val="center"/>
              <w:rPr>
                <w:color w:val="000000"/>
                <w:sz w:val="14"/>
                <w:szCs w:val="18"/>
              </w:rPr>
            </w:pPr>
            <w:r w:rsidRPr="001B4CA2">
              <w:rPr>
                <w:color w:val="000000"/>
                <w:sz w:val="14"/>
                <w:szCs w:val="18"/>
              </w:rPr>
              <w:t>87,8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A0C471" w14:textId="77777777" w:rsidR="000740F7" w:rsidRPr="001B4CA2" w:rsidRDefault="000740F7" w:rsidP="006D0A51">
            <w:pPr>
              <w:jc w:val="center"/>
              <w:rPr>
                <w:color w:val="000000"/>
                <w:sz w:val="14"/>
                <w:szCs w:val="18"/>
              </w:rPr>
            </w:pPr>
            <w:r w:rsidRPr="001B4CA2">
              <w:rPr>
                <w:color w:val="000000"/>
                <w:sz w:val="14"/>
                <w:szCs w:val="18"/>
              </w:rPr>
              <w:t>42 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D0654" w14:textId="77777777" w:rsidR="000740F7" w:rsidRPr="001B4CA2" w:rsidRDefault="000740F7" w:rsidP="006D0A51">
            <w:pPr>
              <w:jc w:val="center"/>
              <w:rPr>
                <w:color w:val="000000"/>
                <w:sz w:val="14"/>
                <w:szCs w:val="18"/>
              </w:rPr>
            </w:pPr>
            <w:r w:rsidRPr="001B4CA2">
              <w:rPr>
                <w:color w:val="000000"/>
                <w:sz w:val="14"/>
                <w:szCs w:val="18"/>
              </w:rPr>
              <w:t>32,3 </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08B835" w14:textId="77777777" w:rsidR="000740F7" w:rsidRPr="001B4CA2" w:rsidRDefault="000740F7" w:rsidP="006D0A51">
            <w:pPr>
              <w:jc w:val="center"/>
              <w:rPr>
                <w:color w:val="000000"/>
                <w:sz w:val="14"/>
                <w:szCs w:val="18"/>
              </w:rPr>
            </w:pPr>
            <w:r w:rsidRPr="001B4CA2">
              <w:rPr>
                <w:color w:val="000000"/>
                <w:sz w:val="14"/>
                <w:szCs w:val="18"/>
              </w:rPr>
              <w:t>76,8 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F8E1C" w14:textId="77777777" w:rsidR="000740F7" w:rsidRPr="001B4CA2" w:rsidRDefault="000740F7" w:rsidP="006D0A51">
            <w:pPr>
              <w:jc w:val="center"/>
              <w:rPr>
                <w:color w:val="000000"/>
                <w:sz w:val="14"/>
                <w:szCs w:val="18"/>
              </w:rPr>
            </w:pPr>
            <w:r w:rsidRPr="001B4CA2">
              <w:rPr>
                <w:color w:val="000000"/>
                <w:sz w:val="14"/>
                <w:szCs w:val="18"/>
              </w:rPr>
              <w:t>47</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BC59A" w14:textId="77777777" w:rsidR="000740F7" w:rsidRPr="001B4CA2" w:rsidRDefault="000740F7" w:rsidP="006D0A51">
            <w:pPr>
              <w:jc w:val="center"/>
              <w:rPr>
                <w:color w:val="000000"/>
                <w:sz w:val="14"/>
                <w:szCs w:val="18"/>
              </w:rPr>
            </w:pPr>
            <w:r w:rsidRPr="001B4CA2">
              <w:rPr>
                <w:color w:val="000000"/>
                <w:sz w:val="14"/>
                <w:szCs w:val="18"/>
              </w:rPr>
              <w:t>36,5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8817C" w14:textId="77777777" w:rsidR="000740F7" w:rsidRPr="001B4CA2" w:rsidRDefault="000740F7" w:rsidP="006D0A51">
            <w:pPr>
              <w:jc w:val="center"/>
              <w:rPr>
                <w:color w:val="000000"/>
                <w:sz w:val="14"/>
                <w:szCs w:val="18"/>
              </w:rPr>
            </w:pPr>
            <w:r w:rsidRPr="001B4CA2">
              <w:rPr>
                <w:color w:val="000000"/>
                <w:sz w:val="14"/>
                <w:szCs w:val="18"/>
              </w:rPr>
              <w:t>78%</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BC3208" w14:textId="77777777" w:rsidR="000740F7" w:rsidRPr="001B4CA2" w:rsidRDefault="000740F7" w:rsidP="006D0A51">
            <w:pPr>
              <w:jc w:val="center"/>
              <w:rPr>
                <w:color w:val="000000"/>
                <w:sz w:val="14"/>
                <w:szCs w:val="18"/>
              </w:rPr>
            </w:pPr>
            <w:r w:rsidRPr="001B4CA2">
              <w:rPr>
                <w:color w:val="000000"/>
                <w:sz w:val="14"/>
                <w:szCs w:val="18"/>
              </w:rPr>
              <w:t>42</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861C1" w14:textId="77777777" w:rsidR="000740F7" w:rsidRPr="001B4CA2" w:rsidRDefault="000740F7" w:rsidP="006D0A51">
            <w:pPr>
              <w:jc w:val="center"/>
              <w:rPr>
                <w:color w:val="000000"/>
                <w:sz w:val="14"/>
                <w:szCs w:val="18"/>
              </w:rPr>
            </w:pPr>
            <w:r w:rsidRPr="001B4CA2">
              <w:rPr>
                <w:color w:val="000000"/>
                <w:sz w:val="14"/>
                <w:szCs w:val="18"/>
              </w:rPr>
              <w:t>35,25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B04E6" w14:textId="77777777" w:rsidR="000740F7" w:rsidRPr="001B4CA2" w:rsidRDefault="000740F7" w:rsidP="006D0A51">
            <w:pPr>
              <w:jc w:val="center"/>
              <w:rPr>
                <w:color w:val="000000"/>
                <w:sz w:val="14"/>
                <w:szCs w:val="18"/>
              </w:rPr>
            </w:pPr>
            <w:r w:rsidRPr="001B4CA2">
              <w:rPr>
                <w:color w:val="000000"/>
                <w:sz w:val="14"/>
                <w:szCs w:val="18"/>
              </w:rPr>
              <w:t>84%</w:t>
            </w:r>
          </w:p>
        </w:tc>
      </w:tr>
      <w:tr w:rsidR="000740F7" w:rsidRPr="001B4CA2" w14:paraId="1A89D57E" w14:textId="77777777" w:rsidTr="00BA7382">
        <w:trPr>
          <w:trHeight w:val="302"/>
        </w:trPr>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AC39C" w14:textId="77777777" w:rsidR="000740F7" w:rsidRPr="001B4CA2" w:rsidRDefault="000740F7" w:rsidP="006D0A51">
            <w:pPr>
              <w:jc w:val="center"/>
              <w:rPr>
                <w:rFonts w:eastAsia="Times New Roman"/>
                <w:b/>
                <w:sz w:val="16"/>
                <w:szCs w:val="16"/>
                <w:lang w:eastAsia="hr-HR"/>
              </w:rPr>
            </w:pPr>
            <w:r w:rsidRPr="001B4CA2">
              <w:rPr>
                <w:rFonts w:eastAsia="Times New Roman"/>
                <w:b/>
                <w:sz w:val="16"/>
                <w:szCs w:val="16"/>
                <w:lang w:eastAsia="hr-HR"/>
              </w:rPr>
              <w:t>DORH</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2F0FA3" w14:textId="77777777" w:rsidR="000740F7" w:rsidRPr="001B4CA2" w:rsidRDefault="000740F7" w:rsidP="006D0A51">
            <w:pPr>
              <w:jc w:val="center"/>
              <w:rPr>
                <w:color w:val="000000"/>
                <w:sz w:val="14"/>
                <w:szCs w:val="18"/>
              </w:rPr>
            </w:pPr>
            <w:r w:rsidRPr="001B4CA2">
              <w:rPr>
                <w:color w:val="000000"/>
                <w:sz w:val="14"/>
                <w:szCs w:val="18"/>
              </w:rPr>
              <w:t>29</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7C37E" w14:textId="77777777" w:rsidR="000740F7" w:rsidRPr="001B4CA2" w:rsidRDefault="000740F7" w:rsidP="006D0A51">
            <w:pPr>
              <w:jc w:val="center"/>
              <w:rPr>
                <w:color w:val="000000"/>
                <w:sz w:val="14"/>
                <w:szCs w:val="18"/>
              </w:rPr>
            </w:pPr>
            <w:r w:rsidRPr="001B4CA2">
              <w:rPr>
                <w:color w:val="000000"/>
                <w:sz w:val="14"/>
                <w:szCs w:val="18"/>
              </w:rPr>
              <w:t>24</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93AC76" w14:textId="77777777" w:rsidR="000740F7" w:rsidRPr="001B4CA2" w:rsidRDefault="000740F7" w:rsidP="006D0A51">
            <w:pPr>
              <w:jc w:val="center"/>
              <w:rPr>
                <w:color w:val="000000"/>
                <w:sz w:val="14"/>
                <w:szCs w:val="18"/>
              </w:rPr>
            </w:pPr>
            <w:r w:rsidRPr="001B4CA2">
              <w:rPr>
                <w:color w:val="000000"/>
                <w:sz w:val="14"/>
                <w:szCs w:val="18"/>
              </w:rPr>
              <w:t>82,8</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4C1617" w14:textId="77777777" w:rsidR="000740F7" w:rsidRPr="001B4CA2" w:rsidRDefault="000740F7" w:rsidP="006D0A51">
            <w:pPr>
              <w:jc w:val="center"/>
              <w:rPr>
                <w:color w:val="000000"/>
                <w:sz w:val="14"/>
                <w:szCs w:val="18"/>
              </w:rPr>
            </w:pPr>
            <w:r w:rsidRPr="001B4CA2">
              <w:rPr>
                <w:color w:val="000000"/>
                <w:sz w:val="14"/>
                <w:szCs w:val="18"/>
              </w:rPr>
              <w:t>33</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F8476C" w14:textId="77777777" w:rsidR="000740F7" w:rsidRPr="001B4CA2" w:rsidRDefault="000740F7" w:rsidP="006D0A51">
            <w:pPr>
              <w:jc w:val="center"/>
              <w:rPr>
                <w:color w:val="000000"/>
                <w:sz w:val="14"/>
                <w:szCs w:val="18"/>
              </w:rPr>
            </w:pPr>
            <w:r w:rsidRPr="001B4CA2">
              <w:rPr>
                <w:color w:val="000000"/>
                <w:sz w:val="14"/>
                <w:szCs w:val="18"/>
              </w:rPr>
              <w:t>31,3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D8D69F" w14:textId="77777777" w:rsidR="000740F7" w:rsidRPr="001B4CA2" w:rsidRDefault="000740F7" w:rsidP="006D0A51">
            <w:pPr>
              <w:jc w:val="center"/>
              <w:rPr>
                <w:color w:val="000000"/>
                <w:sz w:val="14"/>
                <w:szCs w:val="18"/>
              </w:rPr>
            </w:pPr>
            <w:r w:rsidRPr="001B4CA2">
              <w:rPr>
                <w:color w:val="000000"/>
                <w:sz w:val="14"/>
                <w:szCs w:val="18"/>
              </w:rPr>
              <w:t>94,7</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E6A2D" w14:textId="77777777" w:rsidR="000740F7" w:rsidRPr="001B4CA2" w:rsidRDefault="000740F7" w:rsidP="006D0A51">
            <w:pPr>
              <w:jc w:val="center"/>
              <w:rPr>
                <w:color w:val="000000"/>
                <w:sz w:val="14"/>
                <w:szCs w:val="18"/>
              </w:rPr>
            </w:pPr>
            <w:r w:rsidRPr="001B4CA2">
              <w:rPr>
                <w:color w:val="000000"/>
                <w:sz w:val="14"/>
                <w:szCs w:val="18"/>
              </w:rPr>
              <w:t>43 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C2714" w14:textId="77777777" w:rsidR="000740F7" w:rsidRPr="001B4CA2" w:rsidRDefault="000740F7" w:rsidP="006D0A51">
            <w:pPr>
              <w:jc w:val="center"/>
              <w:rPr>
                <w:color w:val="000000"/>
                <w:sz w:val="14"/>
                <w:szCs w:val="18"/>
              </w:rPr>
            </w:pPr>
            <w:r w:rsidRPr="001B4CA2">
              <w:rPr>
                <w:color w:val="000000"/>
                <w:sz w:val="14"/>
                <w:szCs w:val="18"/>
              </w:rPr>
              <w:t>33,5 </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3DEDD" w14:textId="77777777" w:rsidR="000740F7" w:rsidRPr="001B4CA2" w:rsidRDefault="000740F7" w:rsidP="006D0A51">
            <w:pPr>
              <w:jc w:val="center"/>
              <w:rPr>
                <w:color w:val="000000"/>
                <w:sz w:val="14"/>
                <w:szCs w:val="18"/>
              </w:rPr>
            </w:pPr>
            <w:r w:rsidRPr="001B4CA2">
              <w:rPr>
                <w:color w:val="000000"/>
                <w:sz w:val="14"/>
                <w:szCs w:val="18"/>
              </w:rPr>
              <w:t>77,9 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9B1C2" w14:textId="77777777" w:rsidR="000740F7" w:rsidRPr="001B4CA2" w:rsidRDefault="000740F7" w:rsidP="006D0A51">
            <w:pPr>
              <w:jc w:val="center"/>
              <w:rPr>
                <w:color w:val="000000"/>
                <w:sz w:val="14"/>
                <w:szCs w:val="18"/>
              </w:rPr>
            </w:pPr>
            <w:r w:rsidRPr="001B4CA2">
              <w:rPr>
                <w:color w:val="000000"/>
                <w:sz w:val="14"/>
                <w:szCs w:val="18"/>
              </w:rPr>
              <w:t>32</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5216A" w14:textId="77777777" w:rsidR="000740F7" w:rsidRPr="001B4CA2" w:rsidRDefault="000740F7" w:rsidP="006D0A51">
            <w:pPr>
              <w:jc w:val="center"/>
              <w:rPr>
                <w:color w:val="000000"/>
                <w:sz w:val="14"/>
                <w:szCs w:val="18"/>
              </w:rPr>
            </w:pPr>
            <w:r w:rsidRPr="001B4CA2">
              <w:rPr>
                <w:color w:val="000000"/>
                <w:sz w:val="14"/>
                <w:szCs w:val="18"/>
              </w:rPr>
              <w:t>29,7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FB359" w14:textId="77777777" w:rsidR="000740F7" w:rsidRPr="001B4CA2" w:rsidRDefault="000740F7" w:rsidP="006D0A51">
            <w:pPr>
              <w:jc w:val="center"/>
              <w:rPr>
                <w:color w:val="000000"/>
                <w:sz w:val="14"/>
                <w:szCs w:val="18"/>
              </w:rPr>
            </w:pPr>
            <w:r w:rsidRPr="001B4CA2">
              <w:rPr>
                <w:color w:val="000000"/>
                <w:sz w:val="14"/>
                <w:szCs w:val="18"/>
              </w:rPr>
              <w:t>93%</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06759" w14:textId="77777777" w:rsidR="000740F7" w:rsidRPr="001B4CA2" w:rsidRDefault="000740F7" w:rsidP="006D0A51">
            <w:pPr>
              <w:jc w:val="center"/>
              <w:rPr>
                <w:color w:val="000000"/>
                <w:sz w:val="14"/>
                <w:szCs w:val="18"/>
              </w:rPr>
            </w:pPr>
            <w:r w:rsidRPr="001B4CA2">
              <w:rPr>
                <w:color w:val="000000"/>
                <w:sz w:val="14"/>
                <w:szCs w:val="18"/>
              </w:rPr>
              <w:t>34</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9B1A7" w14:textId="77777777" w:rsidR="000740F7" w:rsidRPr="001B4CA2" w:rsidRDefault="000740F7" w:rsidP="006D0A51">
            <w:pPr>
              <w:jc w:val="center"/>
              <w:rPr>
                <w:color w:val="000000"/>
                <w:sz w:val="14"/>
                <w:szCs w:val="18"/>
              </w:rPr>
            </w:pPr>
            <w:r w:rsidRPr="001B4CA2">
              <w:rPr>
                <w:color w:val="000000"/>
                <w:sz w:val="14"/>
                <w:szCs w:val="18"/>
              </w:rPr>
              <w:t>27,5</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3111EE" w14:textId="77777777" w:rsidR="000740F7" w:rsidRPr="001B4CA2" w:rsidRDefault="000740F7" w:rsidP="006D0A51">
            <w:pPr>
              <w:jc w:val="center"/>
              <w:rPr>
                <w:color w:val="000000"/>
                <w:sz w:val="14"/>
                <w:szCs w:val="18"/>
              </w:rPr>
            </w:pPr>
            <w:r w:rsidRPr="001B4CA2">
              <w:rPr>
                <w:color w:val="000000"/>
                <w:sz w:val="14"/>
                <w:szCs w:val="18"/>
              </w:rPr>
              <w:t>81%</w:t>
            </w:r>
          </w:p>
        </w:tc>
      </w:tr>
      <w:tr w:rsidR="000740F7" w:rsidRPr="001B4CA2" w14:paraId="7D8EF804" w14:textId="77777777" w:rsidTr="00BA7382">
        <w:trPr>
          <w:trHeight w:val="302"/>
        </w:trPr>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0A2E" w14:textId="77777777" w:rsidR="000740F7" w:rsidRPr="001B4CA2" w:rsidRDefault="000740F7" w:rsidP="006D0A51">
            <w:pPr>
              <w:jc w:val="center"/>
              <w:rPr>
                <w:rFonts w:eastAsia="Times New Roman"/>
                <w:b/>
                <w:bCs/>
                <w:sz w:val="16"/>
                <w:szCs w:val="16"/>
                <w:lang w:eastAsia="hr-HR"/>
              </w:rPr>
            </w:pPr>
            <w:r w:rsidRPr="001B4CA2">
              <w:rPr>
                <w:rFonts w:eastAsia="Times New Roman"/>
                <w:b/>
                <w:bCs/>
                <w:sz w:val="16"/>
                <w:szCs w:val="16"/>
                <w:lang w:eastAsia="hr-HR"/>
              </w:rPr>
              <w:t>Ukupno</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236486" w14:textId="77777777" w:rsidR="000740F7" w:rsidRPr="001B4CA2" w:rsidRDefault="000740F7" w:rsidP="006D0A51">
            <w:pPr>
              <w:jc w:val="center"/>
              <w:rPr>
                <w:color w:val="000000"/>
                <w:sz w:val="14"/>
                <w:szCs w:val="18"/>
              </w:rPr>
            </w:pPr>
            <w:r w:rsidRPr="001B4CA2">
              <w:rPr>
                <w:color w:val="000000"/>
                <w:sz w:val="14"/>
                <w:szCs w:val="18"/>
              </w:rPr>
              <w:t>815</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42C0A" w14:textId="77777777" w:rsidR="000740F7" w:rsidRPr="001B4CA2" w:rsidRDefault="000740F7" w:rsidP="006D0A51">
            <w:pPr>
              <w:jc w:val="center"/>
              <w:rPr>
                <w:color w:val="000000"/>
                <w:sz w:val="14"/>
                <w:szCs w:val="18"/>
              </w:rPr>
            </w:pPr>
            <w:r w:rsidRPr="001B4CA2">
              <w:rPr>
                <w:color w:val="000000"/>
                <w:sz w:val="14"/>
                <w:szCs w:val="18"/>
              </w:rPr>
              <w:t>702</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A60C9" w14:textId="77777777" w:rsidR="000740F7" w:rsidRPr="001B4CA2" w:rsidRDefault="000740F7" w:rsidP="006D0A51">
            <w:pPr>
              <w:jc w:val="center"/>
              <w:rPr>
                <w:color w:val="000000"/>
                <w:sz w:val="14"/>
                <w:szCs w:val="18"/>
              </w:rPr>
            </w:pPr>
            <w:r w:rsidRPr="001B4CA2">
              <w:rPr>
                <w:color w:val="000000"/>
                <w:sz w:val="14"/>
                <w:szCs w:val="18"/>
              </w:rPr>
              <w:t>86,1</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4FE11A" w14:textId="77777777" w:rsidR="000740F7" w:rsidRPr="001B4CA2" w:rsidRDefault="000740F7" w:rsidP="006D0A51">
            <w:pPr>
              <w:jc w:val="center"/>
              <w:rPr>
                <w:color w:val="000000"/>
                <w:sz w:val="14"/>
                <w:szCs w:val="18"/>
              </w:rPr>
            </w:pPr>
            <w:r w:rsidRPr="001B4CA2">
              <w:rPr>
                <w:color w:val="000000"/>
                <w:sz w:val="14"/>
                <w:szCs w:val="18"/>
              </w:rPr>
              <w:t>826</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7B735E" w14:textId="77777777" w:rsidR="000740F7" w:rsidRPr="001B4CA2" w:rsidRDefault="000740F7" w:rsidP="006D0A51">
            <w:pPr>
              <w:jc w:val="center"/>
              <w:rPr>
                <w:color w:val="000000"/>
                <w:sz w:val="14"/>
                <w:szCs w:val="18"/>
              </w:rPr>
            </w:pPr>
            <w:r w:rsidRPr="001B4CA2">
              <w:rPr>
                <w:color w:val="000000"/>
                <w:sz w:val="14"/>
                <w:szCs w:val="18"/>
              </w:rPr>
              <w:t>646,8</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5BD95" w14:textId="77777777" w:rsidR="000740F7" w:rsidRPr="001B4CA2" w:rsidRDefault="000740F7" w:rsidP="006D0A51">
            <w:pPr>
              <w:jc w:val="center"/>
              <w:rPr>
                <w:color w:val="000000"/>
                <w:sz w:val="14"/>
                <w:szCs w:val="18"/>
              </w:rPr>
            </w:pPr>
            <w:r w:rsidRPr="001B4CA2">
              <w:rPr>
                <w:color w:val="000000"/>
                <w:sz w:val="14"/>
                <w:szCs w:val="18"/>
              </w:rPr>
              <w:t>78,3</w:t>
            </w:r>
          </w:p>
        </w:tc>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6CE34" w14:textId="77777777" w:rsidR="000740F7" w:rsidRPr="001B4CA2" w:rsidRDefault="000740F7" w:rsidP="006D0A51">
            <w:pPr>
              <w:jc w:val="center"/>
              <w:rPr>
                <w:color w:val="000000"/>
                <w:sz w:val="14"/>
                <w:szCs w:val="18"/>
              </w:rPr>
            </w:pPr>
            <w:r w:rsidRPr="001B4CA2">
              <w:rPr>
                <w:color w:val="000000"/>
                <w:sz w:val="14"/>
                <w:szCs w:val="18"/>
              </w:rPr>
              <w:t>821 </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6168E5" w14:textId="77777777" w:rsidR="000740F7" w:rsidRPr="001B4CA2" w:rsidRDefault="000740F7" w:rsidP="006D0A51">
            <w:pPr>
              <w:jc w:val="center"/>
              <w:rPr>
                <w:color w:val="000000"/>
                <w:sz w:val="14"/>
                <w:szCs w:val="18"/>
              </w:rPr>
            </w:pPr>
            <w:r w:rsidRPr="001B4CA2">
              <w:rPr>
                <w:color w:val="000000"/>
                <w:sz w:val="14"/>
                <w:szCs w:val="18"/>
              </w:rPr>
              <w:t>640,6 </w:t>
            </w:r>
          </w:p>
        </w:tc>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020863" w14:textId="77777777" w:rsidR="000740F7" w:rsidRPr="001B4CA2" w:rsidRDefault="000740F7" w:rsidP="006D0A51">
            <w:pPr>
              <w:jc w:val="center"/>
              <w:rPr>
                <w:color w:val="000000"/>
                <w:sz w:val="14"/>
                <w:szCs w:val="18"/>
              </w:rPr>
            </w:pPr>
            <w:r w:rsidRPr="001B4CA2">
              <w:rPr>
                <w:color w:val="000000"/>
                <w:sz w:val="14"/>
                <w:szCs w:val="18"/>
              </w:rPr>
              <w:t>78,0 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886B9" w14:textId="77777777" w:rsidR="000740F7" w:rsidRPr="001B4CA2" w:rsidRDefault="000740F7" w:rsidP="006D0A51">
            <w:pPr>
              <w:jc w:val="center"/>
              <w:rPr>
                <w:color w:val="000000"/>
                <w:sz w:val="14"/>
                <w:szCs w:val="18"/>
              </w:rPr>
            </w:pPr>
            <w:r w:rsidRPr="001B4CA2">
              <w:rPr>
                <w:color w:val="000000"/>
                <w:sz w:val="14"/>
                <w:szCs w:val="18"/>
              </w:rPr>
              <w:t>876</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528FE" w14:textId="77777777" w:rsidR="000740F7" w:rsidRPr="001B4CA2" w:rsidRDefault="000740F7" w:rsidP="006D0A51">
            <w:pPr>
              <w:jc w:val="center"/>
              <w:rPr>
                <w:color w:val="000000"/>
                <w:sz w:val="14"/>
                <w:szCs w:val="18"/>
              </w:rPr>
            </w:pPr>
            <w:r w:rsidRPr="001B4CA2">
              <w:rPr>
                <w:color w:val="000000"/>
                <w:sz w:val="14"/>
                <w:szCs w:val="18"/>
              </w:rPr>
              <w:t>698,1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2848B" w14:textId="77777777" w:rsidR="000740F7" w:rsidRPr="001B4CA2" w:rsidRDefault="000740F7" w:rsidP="006D0A51">
            <w:pPr>
              <w:jc w:val="center"/>
              <w:rPr>
                <w:color w:val="000000"/>
                <w:sz w:val="14"/>
                <w:szCs w:val="18"/>
              </w:rPr>
            </w:pPr>
            <w:r w:rsidRPr="001B4CA2">
              <w:rPr>
                <w:color w:val="000000"/>
                <w:sz w:val="14"/>
                <w:szCs w:val="18"/>
              </w:rPr>
              <w:t>80%</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3B464" w14:textId="77777777" w:rsidR="000740F7" w:rsidRPr="001B4CA2" w:rsidRDefault="000740F7" w:rsidP="006D0A51">
            <w:pPr>
              <w:jc w:val="center"/>
              <w:rPr>
                <w:color w:val="000000"/>
                <w:sz w:val="14"/>
                <w:szCs w:val="18"/>
              </w:rPr>
            </w:pPr>
            <w:r w:rsidRPr="001B4CA2">
              <w:rPr>
                <w:color w:val="000000"/>
                <w:sz w:val="14"/>
                <w:szCs w:val="18"/>
              </w:rPr>
              <w:t>872</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C4FBF" w14:textId="77777777" w:rsidR="000740F7" w:rsidRPr="001B4CA2" w:rsidRDefault="000740F7" w:rsidP="006D0A51">
            <w:pPr>
              <w:jc w:val="center"/>
              <w:rPr>
                <w:color w:val="000000"/>
                <w:sz w:val="14"/>
                <w:szCs w:val="18"/>
              </w:rPr>
            </w:pPr>
            <w:r w:rsidRPr="001B4CA2">
              <w:rPr>
                <w:color w:val="000000"/>
                <w:sz w:val="14"/>
                <w:szCs w:val="18"/>
              </w:rPr>
              <w:t>703,8</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C301E" w14:textId="77777777" w:rsidR="000740F7" w:rsidRPr="001B4CA2" w:rsidRDefault="000740F7" w:rsidP="006D0A51">
            <w:pPr>
              <w:jc w:val="center"/>
              <w:rPr>
                <w:color w:val="000000"/>
                <w:sz w:val="14"/>
                <w:szCs w:val="18"/>
              </w:rPr>
            </w:pPr>
            <w:r w:rsidRPr="001B4CA2">
              <w:rPr>
                <w:color w:val="000000"/>
                <w:sz w:val="14"/>
                <w:szCs w:val="18"/>
              </w:rPr>
              <w:t>81%</w:t>
            </w:r>
          </w:p>
        </w:tc>
      </w:tr>
    </w:tbl>
    <w:p w14:paraId="0E1F0001" w14:textId="77777777" w:rsidR="000740F7" w:rsidRPr="001B4CA2" w:rsidRDefault="000740F7" w:rsidP="000740F7">
      <w:pPr>
        <w:ind w:firstLine="708"/>
      </w:pPr>
    </w:p>
    <w:p w14:paraId="564FEAC6" w14:textId="5F768A4A" w:rsidR="000740F7" w:rsidRPr="001B4CA2" w:rsidRDefault="000740F7" w:rsidP="000740F7">
      <w:r w:rsidRPr="001B4CA2">
        <w:tab/>
        <w:t xml:space="preserve">U gornjoj tablici prikazan je broj radnih mjesta koja su bila popunjena i broj </w:t>
      </w:r>
      <w:proofErr w:type="spellStart"/>
      <w:r w:rsidRPr="001B4CA2">
        <w:t>državnoodvjetničkih</w:t>
      </w:r>
      <w:proofErr w:type="spellEnd"/>
      <w:r w:rsidRPr="001B4CA2">
        <w:t xml:space="preserve"> dužnosnika i savjetnika kao </w:t>
      </w:r>
      <w:proofErr w:type="spellStart"/>
      <w:r w:rsidRPr="001B4CA2">
        <w:t>rješavatelja</w:t>
      </w:r>
      <w:proofErr w:type="spellEnd"/>
      <w:r w:rsidRPr="001B4CA2">
        <w:t xml:space="preserve"> na kaznenim i građansko-upravnim predmetima, a koji su stvarno radili u 2022. godini.</w:t>
      </w:r>
    </w:p>
    <w:p w14:paraId="52EE818D" w14:textId="77777777" w:rsidR="000740F7" w:rsidRPr="001B4CA2" w:rsidRDefault="000740F7" w:rsidP="000740F7"/>
    <w:p w14:paraId="22ECCCF9" w14:textId="37F6CA68" w:rsidR="000740F7" w:rsidRPr="001B4CA2" w:rsidRDefault="000740F7" w:rsidP="000740F7">
      <w:pPr>
        <w:ind w:firstLine="708"/>
      </w:pPr>
      <w:r w:rsidRPr="001B4CA2">
        <w:t xml:space="preserve">Od 872 popunjena radna mjesta </w:t>
      </w:r>
      <w:proofErr w:type="spellStart"/>
      <w:r w:rsidRPr="001B4CA2">
        <w:t>državnoodvjetničkih</w:t>
      </w:r>
      <w:proofErr w:type="spellEnd"/>
      <w:r w:rsidRPr="001B4CA2">
        <w:t xml:space="preserve"> dužnosnika i savjetnika stvarno je na radu bilo prisutno 703,8 </w:t>
      </w:r>
      <w:proofErr w:type="spellStart"/>
      <w:r w:rsidRPr="001B4CA2">
        <w:t>rješavatelja</w:t>
      </w:r>
      <w:proofErr w:type="spellEnd"/>
      <w:r w:rsidRPr="001B4CA2">
        <w:t xml:space="preserve"> ili prosječno</w:t>
      </w:r>
      <w:r w:rsidR="001B4CA2">
        <w:t xml:space="preserve"> </w:t>
      </w:r>
      <w:r w:rsidRPr="001B4CA2">
        <w:t>81</w:t>
      </w:r>
      <w:r w:rsidR="00BE61D2">
        <w:t> </w:t>
      </w:r>
      <w:r w:rsidRPr="001B4CA2">
        <w:t>%.</w:t>
      </w:r>
    </w:p>
    <w:p w14:paraId="7180429F" w14:textId="77777777" w:rsidR="000740F7" w:rsidRPr="001B4CA2" w:rsidRDefault="000740F7" w:rsidP="000740F7"/>
    <w:p w14:paraId="6088C99E" w14:textId="77777777" w:rsidR="000740F7" w:rsidRPr="001B4CA2" w:rsidRDefault="000740F7" w:rsidP="000740F7">
      <w:pPr>
        <w:ind w:firstLine="708"/>
      </w:pPr>
      <w:r w:rsidRPr="001B4CA2">
        <w:t xml:space="preserve">Indikatori uspješnosti temelje se na stopi ažurnosti (CR) i vremenu rješavanja (DT), a izračunavaju se na temelju broja riješenih predmeta u državnom odvjetništvu i broja </w:t>
      </w:r>
      <w:proofErr w:type="spellStart"/>
      <w:r w:rsidRPr="001B4CA2">
        <w:t>rješavatelja</w:t>
      </w:r>
      <w:proofErr w:type="spellEnd"/>
      <w:r w:rsidRPr="001B4CA2">
        <w:t xml:space="preserve"> koji su bili stvarno prisutni na radu.</w:t>
      </w:r>
    </w:p>
    <w:p w14:paraId="4F6D0612" w14:textId="77777777" w:rsidR="000740F7" w:rsidRPr="001B4CA2" w:rsidRDefault="000740F7" w:rsidP="000740F7">
      <w:pPr>
        <w:tabs>
          <w:tab w:val="left" w:pos="990"/>
        </w:tabs>
      </w:pPr>
    </w:p>
    <w:p w14:paraId="248EBB0E" w14:textId="77777777" w:rsidR="000740F7" w:rsidRPr="001B4CA2" w:rsidRDefault="000740F7" w:rsidP="000740F7">
      <w:pPr>
        <w:ind w:left="709"/>
      </w:pPr>
      <w:r w:rsidRPr="001B4CA2">
        <w:rPr>
          <w:rFonts w:eastAsia="Times New Roman"/>
          <w:i/>
          <w:iCs/>
          <w:lang w:eastAsia="hr-HR"/>
        </w:rPr>
        <w:t>Indikatori uspješnosti rada državnih odvjetništava</w:t>
      </w:r>
    </w:p>
    <w:tbl>
      <w:tblPr>
        <w:tblW w:w="8233"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856"/>
        <w:gridCol w:w="856"/>
        <w:gridCol w:w="856"/>
        <w:gridCol w:w="856"/>
        <w:gridCol w:w="843"/>
      </w:tblGrid>
      <w:tr w:rsidR="000740F7" w:rsidRPr="001B4CA2" w14:paraId="42367AAC" w14:textId="77777777" w:rsidTr="006D0A51">
        <w:trPr>
          <w:trHeight w:val="490"/>
        </w:trPr>
        <w:tc>
          <w:tcPr>
            <w:tcW w:w="0" w:type="auto"/>
            <w:shd w:val="clear" w:color="auto" w:fill="99CCFF"/>
            <w:noWrap/>
            <w:vAlign w:val="center"/>
            <w:hideMark/>
          </w:tcPr>
          <w:p w14:paraId="12AACBC0" w14:textId="77777777" w:rsidR="000740F7" w:rsidRPr="001B4CA2" w:rsidRDefault="000740F7" w:rsidP="006D0A51">
            <w:pPr>
              <w:jc w:val="left"/>
              <w:rPr>
                <w:rFonts w:eastAsia="Times New Roman"/>
                <w:i/>
                <w:iCs/>
                <w:lang w:eastAsia="hr-HR"/>
              </w:rPr>
            </w:pPr>
            <w:r w:rsidRPr="001B4CA2">
              <w:rPr>
                <w:rFonts w:eastAsia="Times New Roman"/>
                <w:b/>
                <w:bCs/>
                <w:sz w:val="18"/>
                <w:szCs w:val="18"/>
                <w:lang w:eastAsia="hr-HR"/>
              </w:rPr>
              <w:t>Indikatori uspješnosti</w:t>
            </w:r>
          </w:p>
        </w:tc>
        <w:tc>
          <w:tcPr>
            <w:tcW w:w="0" w:type="auto"/>
            <w:shd w:val="clear" w:color="auto" w:fill="99CCFF"/>
            <w:vAlign w:val="center"/>
          </w:tcPr>
          <w:p w14:paraId="3D57390D" w14:textId="77777777" w:rsidR="000740F7" w:rsidRPr="001B4CA2" w:rsidRDefault="000740F7" w:rsidP="006D0A51">
            <w:pPr>
              <w:jc w:val="center"/>
              <w:rPr>
                <w:rFonts w:eastAsia="Times New Roman"/>
                <w:i/>
                <w:iCs/>
                <w:lang w:eastAsia="hr-HR"/>
              </w:rPr>
            </w:pPr>
            <w:r w:rsidRPr="001B4CA2">
              <w:rPr>
                <w:rFonts w:eastAsia="Times New Roman"/>
                <w:b/>
                <w:bCs/>
                <w:sz w:val="18"/>
                <w:szCs w:val="18"/>
                <w:lang w:eastAsia="hr-HR"/>
              </w:rPr>
              <w:t>2018.</w:t>
            </w:r>
          </w:p>
        </w:tc>
        <w:tc>
          <w:tcPr>
            <w:tcW w:w="0" w:type="auto"/>
            <w:shd w:val="clear" w:color="auto" w:fill="99CCFF"/>
            <w:vAlign w:val="center"/>
          </w:tcPr>
          <w:p w14:paraId="56347952" w14:textId="77777777" w:rsidR="000740F7" w:rsidRPr="001B4CA2" w:rsidRDefault="000740F7" w:rsidP="006D0A51">
            <w:pPr>
              <w:jc w:val="center"/>
              <w:rPr>
                <w:rFonts w:eastAsia="Times New Roman"/>
                <w:i/>
                <w:iCs/>
                <w:lang w:eastAsia="hr-HR"/>
              </w:rPr>
            </w:pPr>
            <w:r w:rsidRPr="001B4CA2">
              <w:rPr>
                <w:rFonts w:eastAsia="Times New Roman"/>
                <w:b/>
                <w:bCs/>
                <w:sz w:val="18"/>
                <w:szCs w:val="18"/>
                <w:lang w:eastAsia="hr-HR"/>
              </w:rPr>
              <w:t>2019.</w:t>
            </w:r>
          </w:p>
        </w:tc>
        <w:tc>
          <w:tcPr>
            <w:tcW w:w="0" w:type="auto"/>
            <w:shd w:val="clear" w:color="auto" w:fill="99CCFF"/>
            <w:vAlign w:val="center"/>
          </w:tcPr>
          <w:p w14:paraId="361F1136" w14:textId="77777777" w:rsidR="000740F7" w:rsidRPr="001B4CA2" w:rsidRDefault="000740F7" w:rsidP="006D0A51">
            <w:pPr>
              <w:jc w:val="center"/>
              <w:rPr>
                <w:rFonts w:eastAsia="Times New Roman"/>
                <w:i/>
                <w:iCs/>
                <w:lang w:eastAsia="hr-HR"/>
              </w:rPr>
            </w:pPr>
            <w:r w:rsidRPr="001B4CA2">
              <w:rPr>
                <w:rFonts w:eastAsia="Times New Roman"/>
                <w:b/>
                <w:bCs/>
                <w:sz w:val="18"/>
                <w:szCs w:val="18"/>
                <w:lang w:eastAsia="hr-HR"/>
              </w:rPr>
              <w:t>2020.</w:t>
            </w:r>
          </w:p>
        </w:tc>
        <w:tc>
          <w:tcPr>
            <w:tcW w:w="0" w:type="auto"/>
            <w:shd w:val="clear" w:color="auto" w:fill="99CCFF"/>
            <w:vAlign w:val="center"/>
          </w:tcPr>
          <w:p w14:paraId="60E416F6" w14:textId="77777777" w:rsidR="000740F7" w:rsidRPr="001B4CA2" w:rsidRDefault="000740F7" w:rsidP="006D0A51">
            <w:pPr>
              <w:jc w:val="center"/>
              <w:rPr>
                <w:rFonts w:eastAsia="Times New Roman"/>
                <w:i/>
                <w:iCs/>
                <w:lang w:eastAsia="hr-HR"/>
              </w:rPr>
            </w:pPr>
            <w:r w:rsidRPr="001B4CA2">
              <w:rPr>
                <w:rFonts w:eastAsia="Times New Roman"/>
                <w:b/>
                <w:bCs/>
                <w:sz w:val="18"/>
                <w:szCs w:val="18"/>
                <w:lang w:eastAsia="hr-HR"/>
              </w:rPr>
              <w:t>2021.</w:t>
            </w:r>
          </w:p>
        </w:tc>
        <w:tc>
          <w:tcPr>
            <w:tcW w:w="0" w:type="auto"/>
            <w:shd w:val="clear" w:color="auto" w:fill="99CCFF"/>
            <w:noWrap/>
            <w:vAlign w:val="center"/>
            <w:hideMark/>
          </w:tcPr>
          <w:p w14:paraId="2951CD1C" w14:textId="77777777" w:rsidR="000740F7" w:rsidRPr="001B4CA2" w:rsidRDefault="000740F7" w:rsidP="006D0A51">
            <w:pPr>
              <w:jc w:val="center"/>
              <w:rPr>
                <w:rFonts w:eastAsia="Times New Roman"/>
                <w:i/>
                <w:iCs/>
                <w:lang w:eastAsia="hr-HR"/>
              </w:rPr>
            </w:pPr>
            <w:r w:rsidRPr="001B4CA2">
              <w:rPr>
                <w:rFonts w:eastAsia="Times New Roman"/>
                <w:b/>
                <w:bCs/>
                <w:sz w:val="18"/>
                <w:szCs w:val="18"/>
                <w:lang w:eastAsia="hr-HR"/>
              </w:rPr>
              <w:t>2022.</w:t>
            </w:r>
          </w:p>
        </w:tc>
      </w:tr>
      <w:tr w:rsidR="000740F7" w:rsidRPr="001B4CA2" w14:paraId="28202C6A" w14:textId="77777777" w:rsidTr="006D0A51">
        <w:trPr>
          <w:trHeight w:val="356"/>
        </w:trPr>
        <w:tc>
          <w:tcPr>
            <w:tcW w:w="0" w:type="auto"/>
            <w:shd w:val="clear" w:color="auto" w:fill="auto"/>
            <w:noWrap/>
            <w:vAlign w:val="center"/>
            <w:hideMark/>
          </w:tcPr>
          <w:p w14:paraId="3F0CE79C"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Stopa ažurnosti (</w:t>
            </w:r>
            <w:proofErr w:type="spellStart"/>
            <w:r w:rsidRPr="00BE61D2">
              <w:rPr>
                <w:rFonts w:eastAsia="Times New Roman"/>
                <w:i/>
                <w:iCs/>
                <w:sz w:val="18"/>
                <w:szCs w:val="18"/>
                <w:lang w:eastAsia="hr-HR"/>
              </w:rPr>
              <w:t>Clearance</w:t>
            </w:r>
            <w:proofErr w:type="spellEnd"/>
            <w:r w:rsidRPr="00BE61D2">
              <w:rPr>
                <w:rFonts w:eastAsia="Times New Roman"/>
                <w:i/>
                <w:iCs/>
                <w:sz w:val="18"/>
                <w:szCs w:val="18"/>
                <w:lang w:eastAsia="hr-HR"/>
              </w:rPr>
              <w:t xml:space="preserve"> rate</w:t>
            </w:r>
            <w:r w:rsidRPr="001B4CA2">
              <w:rPr>
                <w:rFonts w:eastAsia="Times New Roman"/>
                <w:sz w:val="18"/>
                <w:szCs w:val="18"/>
                <w:lang w:eastAsia="hr-HR"/>
              </w:rPr>
              <w:t>)</w:t>
            </w:r>
          </w:p>
        </w:tc>
        <w:tc>
          <w:tcPr>
            <w:tcW w:w="0" w:type="auto"/>
            <w:shd w:val="clear" w:color="auto" w:fill="auto"/>
            <w:noWrap/>
            <w:vAlign w:val="center"/>
          </w:tcPr>
          <w:p w14:paraId="6D1E1E51" w14:textId="77777777" w:rsidR="000740F7" w:rsidRPr="001B4CA2" w:rsidRDefault="000740F7" w:rsidP="006D0A51">
            <w:pPr>
              <w:jc w:val="center"/>
              <w:rPr>
                <w:color w:val="000000"/>
                <w:sz w:val="18"/>
                <w:szCs w:val="18"/>
              </w:rPr>
            </w:pPr>
            <w:r w:rsidRPr="001B4CA2">
              <w:rPr>
                <w:color w:val="000000"/>
                <w:sz w:val="18"/>
                <w:szCs w:val="18"/>
              </w:rPr>
              <w:t>104%</w:t>
            </w:r>
          </w:p>
        </w:tc>
        <w:tc>
          <w:tcPr>
            <w:tcW w:w="0" w:type="auto"/>
            <w:shd w:val="clear" w:color="auto" w:fill="auto"/>
            <w:noWrap/>
            <w:vAlign w:val="center"/>
          </w:tcPr>
          <w:p w14:paraId="377DF0AE" w14:textId="77777777" w:rsidR="000740F7" w:rsidRPr="001B4CA2" w:rsidRDefault="000740F7" w:rsidP="006D0A51">
            <w:pPr>
              <w:jc w:val="center"/>
              <w:rPr>
                <w:color w:val="000000"/>
                <w:sz w:val="18"/>
                <w:szCs w:val="18"/>
              </w:rPr>
            </w:pPr>
            <w:r w:rsidRPr="001B4CA2">
              <w:rPr>
                <w:color w:val="000000"/>
                <w:sz w:val="18"/>
                <w:szCs w:val="18"/>
              </w:rPr>
              <w:t>102%</w:t>
            </w:r>
          </w:p>
        </w:tc>
        <w:tc>
          <w:tcPr>
            <w:tcW w:w="0" w:type="auto"/>
            <w:shd w:val="clear" w:color="auto" w:fill="auto"/>
            <w:noWrap/>
            <w:vAlign w:val="center"/>
          </w:tcPr>
          <w:p w14:paraId="7587025F" w14:textId="77777777" w:rsidR="000740F7" w:rsidRPr="001B4CA2" w:rsidRDefault="000740F7" w:rsidP="006D0A51">
            <w:pPr>
              <w:jc w:val="center"/>
              <w:rPr>
                <w:color w:val="000000"/>
                <w:sz w:val="18"/>
                <w:szCs w:val="18"/>
              </w:rPr>
            </w:pPr>
            <w:r w:rsidRPr="001B4CA2">
              <w:rPr>
                <w:color w:val="000000"/>
                <w:sz w:val="18"/>
                <w:szCs w:val="18"/>
              </w:rPr>
              <w:t>100%</w:t>
            </w:r>
          </w:p>
        </w:tc>
        <w:tc>
          <w:tcPr>
            <w:tcW w:w="0" w:type="auto"/>
            <w:shd w:val="clear" w:color="auto" w:fill="auto"/>
            <w:noWrap/>
            <w:vAlign w:val="center"/>
          </w:tcPr>
          <w:p w14:paraId="5772FB6F" w14:textId="77777777" w:rsidR="000740F7" w:rsidRPr="001B4CA2" w:rsidRDefault="000740F7" w:rsidP="006D0A51">
            <w:pPr>
              <w:jc w:val="center"/>
              <w:rPr>
                <w:color w:val="000000"/>
                <w:sz w:val="18"/>
                <w:szCs w:val="18"/>
              </w:rPr>
            </w:pPr>
            <w:r w:rsidRPr="001B4CA2">
              <w:rPr>
                <w:color w:val="000000"/>
                <w:sz w:val="18"/>
                <w:szCs w:val="18"/>
              </w:rPr>
              <w:t>100%</w:t>
            </w:r>
          </w:p>
        </w:tc>
        <w:tc>
          <w:tcPr>
            <w:tcW w:w="0" w:type="auto"/>
            <w:shd w:val="clear" w:color="auto" w:fill="auto"/>
            <w:noWrap/>
            <w:vAlign w:val="center"/>
          </w:tcPr>
          <w:p w14:paraId="7124B427" w14:textId="77777777" w:rsidR="000740F7" w:rsidRPr="001B4CA2" w:rsidRDefault="000740F7" w:rsidP="006D0A51">
            <w:pPr>
              <w:jc w:val="center"/>
              <w:rPr>
                <w:color w:val="000000"/>
                <w:sz w:val="18"/>
                <w:szCs w:val="18"/>
              </w:rPr>
            </w:pPr>
            <w:r w:rsidRPr="001B4CA2">
              <w:rPr>
                <w:color w:val="000000"/>
                <w:sz w:val="18"/>
                <w:szCs w:val="18"/>
              </w:rPr>
              <w:t>98%</w:t>
            </w:r>
          </w:p>
        </w:tc>
      </w:tr>
      <w:tr w:rsidR="000740F7" w:rsidRPr="001B4CA2" w14:paraId="0D16CC20" w14:textId="77777777" w:rsidTr="006D0A51">
        <w:trPr>
          <w:trHeight w:val="356"/>
        </w:trPr>
        <w:tc>
          <w:tcPr>
            <w:tcW w:w="0" w:type="auto"/>
            <w:shd w:val="clear" w:color="auto" w:fill="auto"/>
            <w:noWrap/>
            <w:vAlign w:val="center"/>
            <w:hideMark/>
          </w:tcPr>
          <w:p w14:paraId="755495E0"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Vrijeme rješavanja (</w:t>
            </w:r>
            <w:proofErr w:type="spellStart"/>
            <w:r w:rsidRPr="00BE61D2">
              <w:rPr>
                <w:rFonts w:eastAsia="Times New Roman"/>
                <w:i/>
                <w:iCs/>
                <w:sz w:val="18"/>
                <w:szCs w:val="18"/>
                <w:lang w:eastAsia="hr-HR"/>
              </w:rPr>
              <w:t>Disposition</w:t>
            </w:r>
            <w:proofErr w:type="spellEnd"/>
            <w:r w:rsidRPr="00BE61D2">
              <w:rPr>
                <w:rFonts w:eastAsia="Times New Roman"/>
                <w:i/>
                <w:iCs/>
                <w:sz w:val="18"/>
                <w:szCs w:val="18"/>
                <w:lang w:eastAsia="hr-HR"/>
              </w:rPr>
              <w:t xml:space="preserve"> time</w:t>
            </w:r>
            <w:r w:rsidRPr="001B4CA2">
              <w:rPr>
                <w:rFonts w:eastAsia="Times New Roman"/>
                <w:sz w:val="18"/>
                <w:szCs w:val="18"/>
                <w:lang w:eastAsia="hr-HR"/>
              </w:rPr>
              <w:t>)</w:t>
            </w:r>
          </w:p>
        </w:tc>
        <w:tc>
          <w:tcPr>
            <w:tcW w:w="0" w:type="auto"/>
            <w:shd w:val="clear" w:color="auto" w:fill="auto"/>
            <w:noWrap/>
            <w:vAlign w:val="center"/>
          </w:tcPr>
          <w:p w14:paraId="4906BB7E" w14:textId="77777777" w:rsidR="000740F7" w:rsidRPr="001B4CA2" w:rsidRDefault="000740F7" w:rsidP="006D0A51">
            <w:pPr>
              <w:jc w:val="center"/>
              <w:rPr>
                <w:color w:val="000000"/>
                <w:sz w:val="18"/>
                <w:szCs w:val="18"/>
              </w:rPr>
            </w:pPr>
            <w:r w:rsidRPr="001B4CA2">
              <w:rPr>
                <w:color w:val="000000"/>
                <w:sz w:val="18"/>
                <w:szCs w:val="18"/>
              </w:rPr>
              <w:t>128</w:t>
            </w:r>
          </w:p>
        </w:tc>
        <w:tc>
          <w:tcPr>
            <w:tcW w:w="0" w:type="auto"/>
            <w:shd w:val="clear" w:color="auto" w:fill="auto"/>
            <w:noWrap/>
            <w:vAlign w:val="center"/>
          </w:tcPr>
          <w:p w14:paraId="2253BA33" w14:textId="77777777" w:rsidR="000740F7" w:rsidRPr="001B4CA2" w:rsidRDefault="000740F7" w:rsidP="006D0A51">
            <w:pPr>
              <w:jc w:val="center"/>
              <w:rPr>
                <w:color w:val="000000"/>
                <w:sz w:val="18"/>
                <w:szCs w:val="18"/>
              </w:rPr>
            </w:pPr>
            <w:r w:rsidRPr="001B4CA2">
              <w:rPr>
                <w:color w:val="000000"/>
                <w:sz w:val="18"/>
                <w:szCs w:val="18"/>
              </w:rPr>
              <w:t>78</w:t>
            </w:r>
          </w:p>
        </w:tc>
        <w:tc>
          <w:tcPr>
            <w:tcW w:w="0" w:type="auto"/>
            <w:shd w:val="clear" w:color="auto" w:fill="auto"/>
            <w:noWrap/>
            <w:vAlign w:val="center"/>
          </w:tcPr>
          <w:p w14:paraId="011AFFD0" w14:textId="77777777" w:rsidR="000740F7" w:rsidRPr="001B4CA2" w:rsidRDefault="000740F7" w:rsidP="006D0A51">
            <w:pPr>
              <w:jc w:val="center"/>
              <w:rPr>
                <w:color w:val="000000"/>
                <w:sz w:val="18"/>
                <w:szCs w:val="18"/>
              </w:rPr>
            </w:pPr>
            <w:r w:rsidRPr="001B4CA2">
              <w:rPr>
                <w:color w:val="000000"/>
                <w:sz w:val="18"/>
                <w:szCs w:val="18"/>
              </w:rPr>
              <w:t>70</w:t>
            </w:r>
          </w:p>
        </w:tc>
        <w:tc>
          <w:tcPr>
            <w:tcW w:w="0" w:type="auto"/>
            <w:shd w:val="clear" w:color="auto" w:fill="auto"/>
            <w:noWrap/>
            <w:vAlign w:val="center"/>
          </w:tcPr>
          <w:p w14:paraId="03D47468" w14:textId="77777777" w:rsidR="000740F7" w:rsidRPr="001B4CA2" w:rsidRDefault="000740F7" w:rsidP="006D0A51">
            <w:pPr>
              <w:jc w:val="center"/>
              <w:rPr>
                <w:color w:val="000000"/>
                <w:sz w:val="18"/>
                <w:szCs w:val="18"/>
              </w:rPr>
            </w:pPr>
            <w:r w:rsidRPr="001B4CA2">
              <w:rPr>
                <w:color w:val="000000"/>
                <w:sz w:val="18"/>
                <w:szCs w:val="18"/>
              </w:rPr>
              <w:t>65</w:t>
            </w:r>
          </w:p>
        </w:tc>
        <w:tc>
          <w:tcPr>
            <w:tcW w:w="0" w:type="auto"/>
            <w:shd w:val="clear" w:color="auto" w:fill="auto"/>
            <w:noWrap/>
            <w:vAlign w:val="center"/>
          </w:tcPr>
          <w:p w14:paraId="088262D9" w14:textId="77777777" w:rsidR="000740F7" w:rsidRPr="001B4CA2" w:rsidRDefault="000740F7" w:rsidP="006D0A51">
            <w:pPr>
              <w:jc w:val="center"/>
              <w:rPr>
                <w:color w:val="000000"/>
                <w:sz w:val="18"/>
                <w:szCs w:val="18"/>
              </w:rPr>
            </w:pPr>
            <w:r w:rsidRPr="001B4CA2">
              <w:rPr>
                <w:color w:val="000000"/>
                <w:sz w:val="18"/>
                <w:szCs w:val="18"/>
              </w:rPr>
              <w:t>79</w:t>
            </w:r>
          </w:p>
        </w:tc>
      </w:tr>
      <w:tr w:rsidR="000740F7" w:rsidRPr="001B4CA2" w14:paraId="0256DB85" w14:textId="77777777" w:rsidTr="006D0A51">
        <w:trPr>
          <w:trHeight w:val="356"/>
        </w:trPr>
        <w:tc>
          <w:tcPr>
            <w:tcW w:w="0" w:type="auto"/>
            <w:shd w:val="clear" w:color="auto" w:fill="auto"/>
            <w:noWrap/>
            <w:vAlign w:val="center"/>
            <w:hideMark/>
          </w:tcPr>
          <w:p w14:paraId="3EA19F0E"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Broj zamjenika/savjetnika*</w:t>
            </w:r>
          </w:p>
        </w:tc>
        <w:tc>
          <w:tcPr>
            <w:tcW w:w="0" w:type="auto"/>
            <w:shd w:val="clear" w:color="auto" w:fill="auto"/>
            <w:noWrap/>
            <w:vAlign w:val="center"/>
          </w:tcPr>
          <w:p w14:paraId="595FA74B" w14:textId="77777777" w:rsidR="000740F7" w:rsidRPr="001B4CA2" w:rsidRDefault="000740F7" w:rsidP="006D0A51">
            <w:pPr>
              <w:jc w:val="center"/>
              <w:rPr>
                <w:color w:val="000000"/>
                <w:sz w:val="18"/>
                <w:szCs w:val="18"/>
              </w:rPr>
            </w:pPr>
            <w:r w:rsidRPr="001B4CA2">
              <w:rPr>
                <w:color w:val="000000"/>
                <w:sz w:val="18"/>
                <w:szCs w:val="18"/>
              </w:rPr>
              <w:t>702</w:t>
            </w:r>
          </w:p>
        </w:tc>
        <w:tc>
          <w:tcPr>
            <w:tcW w:w="0" w:type="auto"/>
            <w:shd w:val="clear" w:color="auto" w:fill="auto"/>
            <w:noWrap/>
            <w:vAlign w:val="center"/>
          </w:tcPr>
          <w:p w14:paraId="45A1D80A" w14:textId="77777777" w:rsidR="000740F7" w:rsidRPr="001B4CA2" w:rsidRDefault="000740F7" w:rsidP="006D0A51">
            <w:pPr>
              <w:jc w:val="center"/>
              <w:rPr>
                <w:color w:val="000000"/>
                <w:sz w:val="18"/>
                <w:szCs w:val="18"/>
              </w:rPr>
            </w:pPr>
            <w:r w:rsidRPr="001B4CA2">
              <w:rPr>
                <w:color w:val="000000"/>
                <w:sz w:val="18"/>
                <w:szCs w:val="18"/>
              </w:rPr>
              <w:t>646</w:t>
            </w:r>
          </w:p>
        </w:tc>
        <w:tc>
          <w:tcPr>
            <w:tcW w:w="0" w:type="auto"/>
            <w:shd w:val="clear" w:color="auto" w:fill="auto"/>
            <w:noWrap/>
            <w:vAlign w:val="center"/>
          </w:tcPr>
          <w:p w14:paraId="6CE9D1C5" w14:textId="77777777" w:rsidR="000740F7" w:rsidRPr="001B4CA2" w:rsidRDefault="000740F7" w:rsidP="006D0A51">
            <w:pPr>
              <w:jc w:val="center"/>
              <w:rPr>
                <w:color w:val="000000"/>
                <w:sz w:val="18"/>
                <w:szCs w:val="18"/>
              </w:rPr>
            </w:pPr>
            <w:r w:rsidRPr="001B4CA2">
              <w:rPr>
                <w:color w:val="000000"/>
                <w:sz w:val="18"/>
                <w:szCs w:val="18"/>
              </w:rPr>
              <w:t>641</w:t>
            </w:r>
          </w:p>
        </w:tc>
        <w:tc>
          <w:tcPr>
            <w:tcW w:w="0" w:type="auto"/>
            <w:shd w:val="clear" w:color="auto" w:fill="auto"/>
            <w:noWrap/>
            <w:vAlign w:val="center"/>
          </w:tcPr>
          <w:p w14:paraId="6121601C" w14:textId="77777777" w:rsidR="000740F7" w:rsidRPr="001B4CA2" w:rsidRDefault="000740F7" w:rsidP="006D0A51">
            <w:pPr>
              <w:jc w:val="center"/>
              <w:rPr>
                <w:color w:val="000000"/>
                <w:sz w:val="18"/>
                <w:szCs w:val="18"/>
              </w:rPr>
            </w:pPr>
            <w:r w:rsidRPr="001B4CA2">
              <w:rPr>
                <w:color w:val="000000"/>
                <w:sz w:val="18"/>
                <w:szCs w:val="18"/>
              </w:rPr>
              <w:t>698</w:t>
            </w:r>
          </w:p>
        </w:tc>
        <w:tc>
          <w:tcPr>
            <w:tcW w:w="0" w:type="auto"/>
            <w:shd w:val="clear" w:color="auto" w:fill="auto"/>
            <w:noWrap/>
            <w:vAlign w:val="center"/>
          </w:tcPr>
          <w:p w14:paraId="58710197" w14:textId="77777777" w:rsidR="000740F7" w:rsidRPr="001B4CA2" w:rsidRDefault="000740F7" w:rsidP="006D0A51">
            <w:pPr>
              <w:jc w:val="center"/>
              <w:rPr>
                <w:color w:val="000000"/>
                <w:sz w:val="18"/>
                <w:szCs w:val="18"/>
              </w:rPr>
            </w:pPr>
            <w:r w:rsidRPr="001B4CA2">
              <w:rPr>
                <w:color w:val="000000"/>
                <w:sz w:val="18"/>
                <w:szCs w:val="18"/>
              </w:rPr>
              <w:t>704</w:t>
            </w:r>
          </w:p>
        </w:tc>
      </w:tr>
      <w:tr w:rsidR="000740F7" w:rsidRPr="001B4CA2" w14:paraId="1D13FEAB" w14:textId="77777777" w:rsidTr="006D0A51">
        <w:trPr>
          <w:trHeight w:val="356"/>
        </w:trPr>
        <w:tc>
          <w:tcPr>
            <w:tcW w:w="0" w:type="auto"/>
            <w:shd w:val="clear" w:color="auto" w:fill="auto"/>
            <w:noWrap/>
            <w:vAlign w:val="center"/>
            <w:hideMark/>
          </w:tcPr>
          <w:p w14:paraId="593032BD"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Primljeno po zamjeniku/savjetniku</w:t>
            </w:r>
          </w:p>
        </w:tc>
        <w:tc>
          <w:tcPr>
            <w:tcW w:w="0" w:type="auto"/>
            <w:shd w:val="clear" w:color="auto" w:fill="auto"/>
            <w:noWrap/>
            <w:vAlign w:val="center"/>
          </w:tcPr>
          <w:p w14:paraId="29176A0F" w14:textId="77777777" w:rsidR="000740F7" w:rsidRPr="001B4CA2" w:rsidRDefault="000740F7" w:rsidP="006D0A51">
            <w:pPr>
              <w:jc w:val="center"/>
              <w:rPr>
                <w:color w:val="000000"/>
                <w:sz w:val="18"/>
                <w:szCs w:val="18"/>
              </w:rPr>
            </w:pPr>
            <w:r w:rsidRPr="001B4CA2">
              <w:rPr>
                <w:color w:val="000000"/>
                <w:sz w:val="18"/>
                <w:szCs w:val="18"/>
              </w:rPr>
              <w:t>257</w:t>
            </w:r>
          </w:p>
        </w:tc>
        <w:tc>
          <w:tcPr>
            <w:tcW w:w="0" w:type="auto"/>
            <w:shd w:val="clear" w:color="auto" w:fill="auto"/>
            <w:noWrap/>
            <w:vAlign w:val="center"/>
          </w:tcPr>
          <w:p w14:paraId="024C936D" w14:textId="77777777" w:rsidR="000740F7" w:rsidRPr="001B4CA2" w:rsidRDefault="000740F7" w:rsidP="006D0A51">
            <w:pPr>
              <w:jc w:val="center"/>
              <w:rPr>
                <w:color w:val="000000"/>
                <w:sz w:val="18"/>
                <w:szCs w:val="18"/>
              </w:rPr>
            </w:pPr>
            <w:r w:rsidRPr="001B4CA2">
              <w:rPr>
                <w:color w:val="000000"/>
                <w:sz w:val="18"/>
                <w:szCs w:val="18"/>
              </w:rPr>
              <w:t>334</w:t>
            </w:r>
          </w:p>
        </w:tc>
        <w:tc>
          <w:tcPr>
            <w:tcW w:w="0" w:type="auto"/>
            <w:shd w:val="clear" w:color="auto" w:fill="auto"/>
            <w:noWrap/>
            <w:vAlign w:val="center"/>
          </w:tcPr>
          <w:p w14:paraId="4EC06522" w14:textId="77777777" w:rsidR="000740F7" w:rsidRPr="001B4CA2" w:rsidRDefault="000740F7" w:rsidP="006D0A51">
            <w:pPr>
              <w:jc w:val="center"/>
              <w:rPr>
                <w:color w:val="000000"/>
                <w:sz w:val="18"/>
                <w:szCs w:val="18"/>
              </w:rPr>
            </w:pPr>
            <w:r w:rsidRPr="001B4CA2">
              <w:rPr>
                <w:color w:val="000000"/>
                <w:sz w:val="18"/>
                <w:szCs w:val="18"/>
              </w:rPr>
              <w:t>333</w:t>
            </w:r>
          </w:p>
        </w:tc>
        <w:tc>
          <w:tcPr>
            <w:tcW w:w="0" w:type="auto"/>
            <w:shd w:val="clear" w:color="auto" w:fill="auto"/>
            <w:noWrap/>
            <w:vAlign w:val="center"/>
          </w:tcPr>
          <w:p w14:paraId="45F4AD75" w14:textId="77777777" w:rsidR="000740F7" w:rsidRPr="001B4CA2" w:rsidRDefault="000740F7" w:rsidP="006D0A51">
            <w:pPr>
              <w:jc w:val="center"/>
              <w:rPr>
                <w:color w:val="000000"/>
                <w:sz w:val="18"/>
                <w:szCs w:val="18"/>
              </w:rPr>
            </w:pPr>
            <w:r w:rsidRPr="001B4CA2">
              <w:rPr>
                <w:color w:val="000000"/>
                <w:sz w:val="18"/>
                <w:szCs w:val="18"/>
              </w:rPr>
              <w:t>325</w:t>
            </w:r>
          </w:p>
        </w:tc>
        <w:tc>
          <w:tcPr>
            <w:tcW w:w="0" w:type="auto"/>
            <w:shd w:val="clear" w:color="auto" w:fill="auto"/>
            <w:noWrap/>
            <w:vAlign w:val="center"/>
          </w:tcPr>
          <w:p w14:paraId="56AF45C2" w14:textId="77777777" w:rsidR="000740F7" w:rsidRPr="001B4CA2" w:rsidRDefault="000740F7" w:rsidP="006D0A51">
            <w:pPr>
              <w:jc w:val="center"/>
              <w:rPr>
                <w:color w:val="000000"/>
                <w:sz w:val="18"/>
                <w:szCs w:val="18"/>
              </w:rPr>
            </w:pPr>
            <w:r w:rsidRPr="001B4CA2">
              <w:rPr>
                <w:color w:val="000000"/>
                <w:sz w:val="18"/>
                <w:szCs w:val="18"/>
              </w:rPr>
              <w:t>300</w:t>
            </w:r>
          </w:p>
        </w:tc>
      </w:tr>
      <w:tr w:rsidR="000740F7" w:rsidRPr="001B4CA2" w14:paraId="505A1CAA" w14:textId="77777777" w:rsidTr="006D0A51">
        <w:trPr>
          <w:trHeight w:val="356"/>
        </w:trPr>
        <w:tc>
          <w:tcPr>
            <w:tcW w:w="0" w:type="auto"/>
            <w:shd w:val="clear" w:color="auto" w:fill="auto"/>
            <w:noWrap/>
            <w:vAlign w:val="center"/>
            <w:hideMark/>
          </w:tcPr>
          <w:p w14:paraId="231D9BC6"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Riješeno po zamjeniku/savjetniku</w:t>
            </w:r>
          </w:p>
        </w:tc>
        <w:tc>
          <w:tcPr>
            <w:tcW w:w="0" w:type="auto"/>
            <w:shd w:val="clear" w:color="auto" w:fill="auto"/>
            <w:noWrap/>
            <w:vAlign w:val="center"/>
          </w:tcPr>
          <w:p w14:paraId="41EDB081" w14:textId="77777777" w:rsidR="000740F7" w:rsidRPr="001B4CA2" w:rsidRDefault="000740F7" w:rsidP="006D0A51">
            <w:pPr>
              <w:jc w:val="center"/>
              <w:rPr>
                <w:color w:val="000000"/>
                <w:sz w:val="18"/>
                <w:szCs w:val="18"/>
              </w:rPr>
            </w:pPr>
            <w:r w:rsidRPr="001B4CA2">
              <w:rPr>
                <w:color w:val="000000"/>
                <w:sz w:val="18"/>
                <w:szCs w:val="18"/>
              </w:rPr>
              <w:t>268</w:t>
            </w:r>
          </w:p>
        </w:tc>
        <w:tc>
          <w:tcPr>
            <w:tcW w:w="0" w:type="auto"/>
            <w:shd w:val="clear" w:color="auto" w:fill="auto"/>
            <w:noWrap/>
            <w:vAlign w:val="center"/>
          </w:tcPr>
          <w:p w14:paraId="569919D5" w14:textId="77777777" w:rsidR="000740F7" w:rsidRPr="001B4CA2" w:rsidRDefault="000740F7" w:rsidP="006D0A51">
            <w:pPr>
              <w:jc w:val="center"/>
              <w:rPr>
                <w:color w:val="000000"/>
                <w:sz w:val="18"/>
                <w:szCs w:val="18"/>
              </w:rPr>
            </w:pPr>
            <w:r w:rsidRPr="001B4CA2">
              <w:rPr>
                <w:color w:val="000000"/>
                <w:sz w:val="18"/>
                <w:szCs w:val="18"/>
              </w:rPr>
              <w:t>340</w:t>
            </w:r>
          </w:p>
        </w:tc>
        <w:tc>
          <w:tcPr>
            <w:tcW w:w="0" w:type="auto"/>
            <w:shd w:val="clear" w:color="auto" w:fill="auto"/>
            <w:noWrap/>
            <w:vAlign w:val="center"/>
          </w:tcPr>
          <w:p w14:paraId="4A80D978" w14:textId="77777777" w:rsidR="000740F7" w:rsidRPr="001B4CA2" w:rsidRDefault="000740F7" w:rsidP="006D0A51">
            <w:pPr>
              <w:jc w:val="center"/>
              <w:rPr>
                <w:color w:val="000000"/>
                <w:sz w:val="18"/>
                <w:szCs w:val="18"/>
              </w:rPr>
            </w:pPr>
            <w:r w:rsidRPr="001B4CA2">
              <w:rPr>
                <w:color w:val="000000"/>
                <w:sz w:val="18"/>
                <w:szCs w:val="18"/>
              </w:rPr>
              <w:t>333</w:t>
            </w:r>
          </w:p>
        </w:tc>
        <w:tc>
          <w:tcPr>
            <w:tcW w:w="0" w:type="auto"/>
            <w:shd w:val="clear" w:color="auto" w:fill="auto"/>
            <w:noWrap/>
            <w:vAlign w:val="center"/>
          </w:tcPr>
          <w:p w14:paraId="4C23A94F" w14:textId="77777777" w:rsidR="000740F7" w:rsidRPr="001B4CA2" w:rsidRDefault="000740F7" w:rsidP="006D0A51">
            <w:pPr>
              <w:jc w:val="center"/>
              <w:rPr>
                <w:color w:val="000000"/>
                <w:sz w:val="18"/>
                <w:szCs w:val="18"/>
              </w:rPr>
            </w:pPr>
            <w:r w:rsidRPr="001B4CA2">
              <w:rPr>
                <w:color w:val="000000"/>
                <w:sz w:val="18"/>
                <w:szCs w:val="18"/>
              </w:rPr>
              <w:t>326</w:t>
            </w:r>
          </w:p>
        </w:tc>
        <w:tc>
          <w:tcPr>
            <w:tcW w:w="0" w:type="auto"/>
            <w:shd w:val="clear" w:color="auto" w:fill="auto"/>
            <w:noWrap/>
            <w:vAlign w:val="center"/>
          </w:tcPr>
          <w:p w14:paraId="0F2317F0" w14:textId="77777777" w:rsidR="000740F7" w:rsidRPr="001B4CA2" w:rsidRDefault="000740F7" w:rsidP="006D0A51">
            <w:pPr>
              <w:jc w:val="center"/>
              <w:rPr>
                <w:color w:val="000000"/>
                <w:sz w:val="18"/>
                <w:szCs w:val="18"/>
              </w:rPr>
            </w:pPr>
            <w:r w:rsidRPr="001B4CA2">
              <w:rPr>
                <w:color w:val="000000"/>
                <w:sz w:val="18"/>
                <w:szCs w:val="18"/>
              </w:rPr>
              <w:t>294</w:t>
            </w:r>
          </w:p>
        </w:tc>
      </w:tr>
      <w:tr w:rsidR="000740F7" w:rsidRPr="001B4CA2" w14:paraId="4BDE79BE" w14:textId="77777777" w:rsidTr="006D0A51">
        <w:trPr>
          <w:trHeight w:val="356"/>
        </w:trPr>
        <w:tc>
          <w:tcPr>
            <w:tcW w:w="0" w:type="auto"/>
            <w:shd w:val="clear" w:color="auto" w:fill="auto"/>
            <w:noWrap/>
            <w:vAlign w:val="center"/>
            <w:hideMark/>
          </w:tcPr>
          <w:p w14:paraId="2C0A94BA"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Neriješeno po zamjeniku/savjetniku</w:t>
            </w:r>
          </w:p>
        </w:tc>
        <w:tc>
          <w:tcPr>
            <w:tcW w:w="0" w:type="auto"/>
            <w:shd w:val="clear" w:color="auto" w:fill="auto"/>
            <w:noWrap/>
            <w:vAlign w:val="center"/>
          </w:tcPr>
          <w:p w14:paraId="2CF87DC9" w14:textId="77777777" w:rsidR="000740F7" w:rsidRPr="001B4CA2" w:rsidRDefault="000740F7" w:rsidP="006D0A51">
            <w:pPr>
              <w:jc w:val="center"/>
              <w:rPr>
                <w:color w:val="000000"/>
                <w:sz w:val="18"/>
                <w:szCs w:val="18"/>
              </w:rPr>
            </w:pPr>
            <w:r w:rsidRPr="001B4CA2">
              <w:rPr>
                <w:color w:val="000000"/>
                <w:sz w:val="18"/>
                <w:szCs w:val="18"/>
              </w:rPr>
              <w:t>94</w:t>
            </w:r>
          </w:p>
        </w:tc>
        <w:tc>
          <w:tcPr>
            <w:tcW w:w="0" w:type="auto"/>
            <w:shd w:val="clear" w:color="auto" w:fill="auto"/>
            <w:noWrap/>
            <w:vAlign w:val="center"/>
          </w:tcPr>
          <w:p w14:paraId="53FE562B" w14:textId="77777777" w:rsidR="000740F7" w:rsidRPr="001B4CA2" w:rsidRDefault="000740F7" w:rsidP="006D0A51">
            <w:pPr>
              <w:jc w:val="center"/>
              <w:rPr>
                <w:color w:val="000000"/>
                <w:sz w:val="18"/>
                <w:szCs w:val="18"/>
              </w:rPr>
            </w:pPr>
            <w:r w:rsidRPr="001B4CA2">
              <w:rPr>
                <w:color w:val="000000"/>
                <w:sz w:val="18"/>
                <w:szCs w:val="18"/>
              </w:rPr>
              <w:t>73</w:t>
            </w:r>
          </w:p>
        </w:tc>
        <w:tc>
          <w:tcPr>
            <w:tcW w:w="0" w:type="auto"/>
            <w:shd w:val="clear" w:color="auto" w:fill="auto"/>
            <w:noWrap/>
            <w:vAlign w:val="center"/>
          </w:tcPr>
          <w:p w14:paraId="5F3C9AC4" w14:textId="77777777" w:rsidR="000740F7" w:rsidRPr="001B4CA2" w:rsidRDefault="000740F7" w:rsidP="006D0A51">
            <w:pPr>
              <w:jc w:val="center"/>
              <w:rPr>
                <w:color w:val="000000"/>
                <w:sz w:val="18"/>
                <w:szCs w:val="18"/>
              </w:rPr>
            </w:pPr>
            <w:r w:rsidRPr="001B4CA2">
              <w:rPr>
                <w:color w:val="000000"/>
                <w:sz w:val="18"/>
                <w:szCs w:val="18"/>
              </w:rPr>
              <w:t>64</w:t>
            </w:r>
          </w:p>
        </w:tc>
        <w:tc>
          <w:tcPr>
            <w:tcW w:w="0" w:type="auto"/>
            <w:shd w:val="clear" w:color="auto" w:fill="auto"/>
            <w:noWrap/>
            <w:vAlign w:val="center"/>
          </w:tcPr>
          <w:p w14:paraId="330A47AA" w14:textId="77777777" w:rsidR="000740F7" w:rsidRPr="001B4CA2" w:rsidRDefault="000740F7" w:rsidP="006D0A51">
            <w:pPr>
              <w:jc w:val="center"/>
              <w:rPr>
                <w:color w:val="000000"/>
                <w:sz w:val="18"/>
                <w:szCs w:val="18"/>
              </w:rPr>
            </w:pPr>
            <w:r w:rsidRPr="001B4CA2">
              <w:rPr>
                <w:color w:val="000000"/>
                <w:sz w:val="18"/>
                <w:szCs w:val="18"/>
              </w:rPr>
              <w:t>58</w:t>
            </w:r>
          </w:p>
        </w:tc>
        <w:tc>
          <w:tcPr>
            <w:tcW w:w="0" w:type="auto"/>
            <w:shd w:val="clear" w:color="auto" w:fill="auto"/>
            <w:noWrap/>
            <w:vAlign w:val="center"/>
          </w:tcPr>
          <w:p w14:paraId="2C6C2544" w14:textId="77777777" w:rsidR="000740F7" w:rsidRPr="001B4CA2" w:rsidRDefault="000740F7" w:rsidP="006D0A51">
            <w:pPr>
              <w:jc w:val="center"/>
              <w:rPr>
                <w:color w:val="000000"/>
                <w:sz w:val="18"/>
                <w:szCs w:val="18"/>
              </w:rPr>
            </w:pPr>
            <w:r w:rsidRPr="001B4CA2">
              <w:rPr>
                <w:color w:val="000000"/>
                <w:sz w:val="18"/>
                <w:szCs w:val="18"/>
              </w:rPr>
              <w:t>64</w:t>
            </w:r>
          </w:p>
        </w:tc>
      </w:tr>
    </w:tbl>
    <w:p w14:paraId="30F15846" w14:textId="77777777" w:rsidR="000740F7" w:rsidRPr="001B4CA2" w:rsidRDefault="000740F7" w:rsidP="000740F7"/>
    <w:p w14:paraId="35D43EA3" w14:textId="11BFDC90" w:rsidR="000740F7" w:rsidRPr="001B4CA2" w:rsidRDefault="000740F7" w:rsidP="000740F7">
      <w:pPr>
        <w:ind w:firstLine="709"/>
      </w:pPr>
      <w:r w:rsidRPr="001B4CA2">
        <w:lastRenderedPageBreak/>
        <w:t>Podatci pokazuju da je stopa ažurnosti</w:t>
      </w:r>
      <w:r w:rsidR="001B4CA2">
        <w:t xml:space="preserve"> </w:t>
      </w:r>
      <w:r w:rsidRPr="001B4CA2">
        <w:t>i dalje na visokih</w:t>
      </w:r>
      <w:r w:rsidR="001B4CA2">
        <w:t xml:space="preserve"> </w:t>
      </w:r>
      <w:r w:rsidRPr="001B4CA2">
        <w:t>98 %</w:t>
      </w:r>
      <w:r w:rsidR="00BE61D2">
        <w:t>,</w:t>
      </w:r>
      <w:r w:rsidRPr="001B4CA2">
        <w:t xml:space="preserve"> dok je vrijeme rješavanja (DT) na razini</w:t>
      </w:r>
      <w:r w:rsidR="001B4CA2">
        <w:t xml:space="preserve"> </w:t>
      </w:r>
      <w:r w:rsidRPr="001B4CA2">
        <w:t>ranijih izvještajnih razdoblja.</w:t>
      </w:r>
    </w:p>
    <w:p w14:paraId="3AC34DB8" w14:textId="77777777" w:rsidR="00336E7C" w:rsidRPr="001B4CA2" w:rsidRDefault="00336E7C" w:rsidP="005B197C"/>
    <w:p w14:paraId="189F381B" w14:textId="2877E996" w:rsidR="00262A63" w:rsidRPr="001B4CA2" w:rsidRDefault="00803FDE" w:rsidP="005B197C">
      <w:r w:rsidRPr="001B4CA2">
        <w:br w:type="page"/>
      </w:r>
    </w:p>
    <w:p w14:paraId="6DCD96D0" w14:textId="77777777" w:rsidR="00BB4D48" w:rsidRPr="001B4CA2" w:rsidRDefault="00BB4D48" w:rsidP="00886E1C">
      <w:pPr>
        <w:pStyle w:val="Naslov2"/>
        <w:rPr>
          <w:rFonts w:ascii="Arial" w:hAnsi="Arial" w:cs="Arial"/>
        </w:rPr>
      </w:pPr>
      <w:bookmarkStart w:id="6" w:name="_Toc133394270"/>
      <w:r w:rsidRPr="001B4CA2">
        <w:rPr>
          <w:rFonts w:ascii="Arial" w:hAnsi="Arial" w:cs="Arial"/>
        </w:rPr>
        <w:lastRenderedPageBreak/>
        <w:t>Pregled kretanja predmeta i indikatora uspješnosti po razinama državnih odvjetništava i vrsti predmeta</w:t>
      </w:r>
      <w:bookmarkEnd w:id="6"/>
    </w:p>
    <w:p w14:paraId="7B2B9E6D" w14:textId="77777777" w:rsidR="00B35375" w:rsidRPr="001B4CA2" w:rsidRDefault="00B35375" w:rsidP="0030400F"/>
    <w:p w14:paraId="031F92FE" w14:textId="77777777" w:rsidR="00BB4D48" w:rsidRPr="001B4CA2" w:rsidRDefault="00BB4D48" w:rsidP="00B45008">
      <w:pPr>
        <w:pStyle w:val="Naslov3"/>
        <w:rPr>
          <w:rFonts w:ascii="Arial" w:hAnsi="Arial" w:cs="Arial"/>
        </w:rPr>
      </w:pPr>
      <w:bookmarkStart w:id="7" w:name="_Toc133394271"/>
      <w:r w:rsidRPr="001B4CA2">
        <w:rPr>
          <w:rFonts w:ascii="Arial" w:hAnsi="Arial" w:cs="Arial"/>
        </w:rPr>
        <w:t>Opći pregled kretanja predmeta po razinama državnih odvjetništa</w:t>
      </w:r>
      <w:r w:rsidR="00EC7E99" w:rsidRPr="001B4CA2">
        <w:rPr>
          <w:rFonts w:ascii="Arial" w:hAnsi="Arial" w:cs="Arial"/>
        </w:rPr>
        <w:t>va</w:t>
      </w:r>
      <w:bookmarkEnd w:id="7"/>
    </w:p>
    <w:p w14:paraId="693300E7" w14:textId="77777777" w:rsidR="00D1644F" w:rsidRPr="001B4CA2" w:rsidRDefault="00D1644F" w:rsidP="00D1644F">
      <w:pPr>
        <w:rPr>
          <w:i/>
        </w:rPr>
      </w:pPr>
    </w:p>
    <w:tbl>
      <w:tblPr>
        <w:tblW w:w="7762" w:type="dxa"/>
        <w:tblInd w:w="654" w:type="dxa"/>
        <w:tblLook w:val="04A0" w:firstRow="1" w:lastRow="0" w:firstColumn="1" w:lastColumn="0" w:noHBand="0" w:noVBand="1"/>
      </w:tblPr>
      <w:tblGrid>
        <w:gridCol w:w="1486"/>
        <w:gridCol w:w="836"/>
        <w:gridCol w:w="785"/>
        <w:gridCol w:w="920"/>
        <w:gridCol w:w="920"/>
        <w:gridCol w:w="785"/>
        <w:gridCol w:w="1020"/>
        <w:gridCol w:w="1010"/>
      </w:tblGrid>
      <w:tr w:rsidR="000740F7" w:rsidRPr="001B4CA2" w14:paraId="54218BB7" w14:textId="77777777" w:rsidTr="00BE61D2">
        <w:trPr>
          <w:trHeight w:val="450"/>
        </w:trPr>
        <w:tc>
          <w:tcPr>
            <w:tcW w:w="1486"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14:paraId="471F71BB" w14:textId="77777777" w:rsidR="000740F7" w:rsidRPr="001F53E7" w:rsidRDefault="000740F7" w:rsidP="006D0A51">
            <w:pPr>
              <w:jc w:val="center"/>
              <w:rPr>
                <w:rFonts w:eastAsia="Times New Roman"/>
                <w:b/>
                <w:bCs/>
                <w:sz w:val="18"/>
                <w:szCs w:val="18"/>
                <w:lang w:eastAsia="hr-HR"/>
              </w:rPr>
            </w:pPr>
            <w:r w:rsidRPr="001F53E7">
              <w:rPr>
                <w:rFonts w:eastAsia="Times New Roman"/>
                <w:b/>
                <w:bCs/>
                <w:sz w:val="18"/>
                <w:szCs w:val="18"/>
                <w:lang w:eastAsia="hr-HR"/>
              </w:rPr>
              <w:t>Državna odvjetništva</w:t>
            </w:r>
          </w:p>
        </w:tc>
        <w:tc>
          <w:tcPr>
            <w:tcW w:w="836" w:type="dxa"/>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1C5AF0E5" w14:textId="77777777" w:rsidR="000740F7" w:rsidRPr="001F53E7" w:rsidRDefault="000740F7" w:rsidP="00BE61D2">
            <w:pPr>
              <w:jc w:val="left"/>
              <w:rPr>
                <w:rFonts w:eastAsia="Times New Roman"/>
                <w:b/>
                <w:bCs/>
                <w:sz w:val="18"/>
                <w:szCs w:val="18"/>
                <w:lang w:eastAsia="hr-HR"/>
              </w:rPr>
            </w:pPr>
            <w:r w:rsidRPr="001F53E7">
              <w:rPr>
                <w:rFonts w:eastAsia="Times New Roman"/>
                <w:b/>
                <w:bCs/>
                <w:sz w:val="18"/>
                <w:szCs w:val="18"/>
                <w:lang w:eastAsia="hr-HR"/>
              </w:rPr>
              <w:t>Godina</w:t>
            </w:r>
          </w:p>
        </w:tc>
        <w:tc>
          <w:tcPr>
            <w:tcW w:w="3410" w:type="dxa"/>
            <w:gridSpan w:val="4"/>
            <w:tcBorders>
              <w:top w:val="single" w:sz="4" w:space="0" w:color="auto"/>
              <w:left w:val="nil"/>
              <w:bottom w:val="single" w:sz="4" w:space="0" w:color="auto"/>
              <w:right w:val="single" w:sz="4" w:space="0" w:color="auto"/>
            </w:tcBorders>
            <w:shd w:val="clear" w:color="000000" w:fill="99CCFF"/>
            <w:noWrap/>
            <w:vAlign w:val="center"/>
            <w:hideMark/>
          </w:tcPr>
          <w:p w14:paraId="67D8527D" w14:textId="77777777" w:rsidR="000740F7" w:rsidRPr="001F53E7" w:rsidRDefault="000740F7" w:rsidP="006D0A51">
            <w:pPr>
              <w:jc w:val="center"/>
              <w:rPr>
                <w:rFonts w:eastAsia="Times New Roman"/>
                <w:b/>
                <w:bCs/>
                <w:sz w:val="18"/>
                <w:szCs w:val="18"/>
                <w:lang w:eastAsia="hr-HR"/>
              </w:rPr>
            </w:pPr>
            <w:r w:rsidRPr="001F53E7">
              <w:rPr>
                <w:rFonts w:eastAsia="Times New Roman"/>
                <w:b/>
                <w:bCs/>
                <w:sz w:val="18"/>
                <w:szCs w:val="18"/>
                <w:lang w:eastAsia="hr-HR"/>
              </w:rPr>
              <w:t>Kretanje predmeta</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99CCFF"/>
            <w:textDirection w:val="btLr"/>
            <w:vAlign w:val="center"/>
            <w:hideMark/>
          </w:tcPr>
          <w:p w14:paraId="70E16252" w14:textId="77777777" w:rsidR="000740F7" w:rsidRPr="001F53E7" w:rsidRDefault="000740F7" w:rsidP="006D0A51">
            <w:pPr>
              <w:jc w:val="left"/>
              <w:rPr>
                <w:rFonts w:eastAsia="Times New Roman"/>
                <w:b/>
                <w:bCs/>
                <w:sz w:val="18"/>
                <w:szCs w:val="18"/>
                <w:lang w:eastAsia="hr-HR"/>
              </w:rPr>
            </w:pPr>
            <w:r w:rsidRPr="001F53E7">
              <w:rPr>
                <w:rFonts w:eastAsia="Times New Roman"/>
                <w:b/>
                <w:bCs/>
                <w:sz w:val="18"/>
                <w:szCs w:val="18"/>
                <w:lang w:eastAsia="hr-HR"/>
              </w:rPr>
              <w:t>Broj predmeta u postupku pred sudom ili upravnim tijelima*</w:t>
            </w:r>
          </w:p>
        </w:tc>
        <w:tc>
          <w:tcPr>
            <w:tcW w:w="1010" w:type="dxa"/>
            <w:vMerge w:val="restart"/>
            <w:tcBorders>
              <w:top w:val="single" w:sz="4" w:space="0" w:color="auto"/>
              <w:left w:val="single" w:sz="4" w:space="0" w:color="auto"/>
              <w:bottom w:val="single" w:sz="4" w:space="0" w:color="auto"/>
              <w:right w:val="single" w:sz="4" w:space="0" w:color="auto"/>
            </w:tcBorders>
            <w:shd w:val="clear" w:color="000000" w:fill="99CCFF"/>
            <w:textDirection w:val="btLr"/>
            <w:vAlign w:val="center"/>
            <w:hideMark/>
          </w:tcPr>
          <w:p w14:paraId="1185C69F" w14:textId="77777777" w:rsidR="000740F7" w:rsidRPr="001F53E7" w:rsidRDefault="000740F7" w:rsidP="006D0A51">
            <w:pPr>
              <w:jc w:val="left"/>
              <w:rPr>
                <w:rFonts w:eastAsia="Times New Roman"/>
                <w:b/>
                <w:bCs/>
                <w:sz w:val="18"/>
                <w:szCs w:val="18"/>
                <w:lang w:eastAsia="hr-HR"/>
              </w:rPr>
            </w:pPr>
            <w:r w:rsidRPr="001F53E7">
              <w:rPr>
                <w:rFonts w:eastAsia="Times New Roman"/>
                <w:b/>
                <w:bCs/>
                <w:sz w:val="18"/>
                <w:szCs w:val="18"/>
                <w:lang w:eastAsia="hr-HR"/>
              </w:rPr>
              <w:t>Ukupan broj predmeta u kojima postupak vodi ili u postupku sudjeluje državno odvjetništvo*</w:t>
            </w:r>
          </w:p>
        </w:tc>
      </w:tr>
      <w:tr w:rsidR="000740F7" w:rsidRPr="001B4CA2" w14:paraId="38A44174" w14:textId="77777777" w:rsidTr="006D0A51">
        <w:trPr>
          <w:trHeight w:val="2535"/>
        </w:trPr>
        <w:tc>
          <w:tcPr>
            <w:tcW w:w="1486" w:type="dxa"/>
            <w:vMerge/>
            <w:tcBorders>
              <w:top w:val="single" w:sz="4" w:space="0" w:color="auto"/>
              <w:left w:val="single" w:sz="4" w:space="0" w:color="auto"/>
              <w:bottom w:val="single" w:sz="4" w:space="0" w:color="auto"/>
              <w:right w:val="single" w:sz="4" w:space="0" w:color="auto"/>
            </w:tcBorders>
            <w:vAlign w:val="center"/>
            <w:hideMark/>
          </w:tcPr>
          <w:p w14:paraId="25F9D009" w14:textId="77777777" w:rsidR="000740F7" w:rsidRPr="001F53E7" w:rsidRDefault="000740F7" w:rsidP="006D0A51">
            <w:pPr>
              <w:jc w:val="left"/>
              <w:rPr>
                <w:rFonts w:eastAsia="Times New Roman"/>
                <w:b/>
                <w:bCs/>
                <w:sz w:val="16"/>
                <w:szCs w:val="16"/>
                <w:lang w:eastAsia="hr-HR"/>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14:paraId="7BAEB9F7" w14:textId="77777777" w:rsidR="000740F7" w:rsidRPr="001F53E7" w:rsidRDefault="000740F7" w:rsidP="006D0A51">
            <w:pPr>
              <w:jc w:val="left"/>
              <w:rPr>
                <w:rFonts w:eastAsia="Times New Roman"/>
                <w:b/>
                <w:bCs/>
                <w:sz w:val="16"/>
                <w:szCs w:val="16"/>
                <w:lang w:eastAsia="hr-HR"/>
              </w:rPr>
            </w:pPr>
          </w:p>
        </w:tc>
        <w:tc>
          <w:tcPr>
            <w:tcW w:w="785" w:type="dxa"/>
            <w:tcBorders>
              <w:top w:val="single" w:sz="4" w:space="0" w:color="auto"/>
              <w:left w:val="nil"/>
              <w:bottom w:val="single" w:sz="4" w:space="0" w:color="auto"/>
              <w:right w:val="single" w:sz="4" w:space="0" w:color="auto"/>
            </w:tcBorders>
            <w:shd w:val="clear" w:color="000000" w:fill="99CCFF"/>
            <w:noWrap/>
            <w:textDirection w:val="btLr"/>
            <w:vAlign w:val="center"/>
            <w:hideMark/>
          </w:tcPr>
          <w:p w14:paraId="79212A9E" w14:textId="77777777" w:rsidR="000740F7" w:rsidRPr="001F53E7" w:rsidRDefault="000740F7" w:rsidP="006D0A51">
            <w:pPr>
              <w:jc w:val="left"/>
              <w:rPr>
                <w:rFonts w:eastAsia="Times New Roman"/>
                <w:b/>
                <w:bCs/>
                <w:sz w:val="18"/>
                <w:szCs w:val="18"/>
                <w:lang w:eastAsia="hr-HR"/>
              </w:rPr>
            </w:pPr>
            <w:r w:rsidRPr="001F53E7">
              <w:rPr>
                <w:rFonts w:eastAsia="Times New Roman"/>
                <w:b/>
                <w:bCs/>
                <w:sz w:val="18"/>
                <w:szCs w:val="18"/>
                <w:lang w:eastAsia="hr-HR"/>
              </w:rPr>
              <w:t>Na početku</w:t>
            </w:r>
          </w:p>
        </w:tc>
        <w:tc>
          <w:tcPr>
            <w:tcW w:w="920" w:type="dxa"/>
            <w:tcBorders>
              <w:top w:val="single" w:sz="4" w:space="0" w:color="auto"/>
              <w:left w:val="nil"/>
              <w:bottom w:val="single" w:sz="4" w:space="0" w:color="auto"/>
              <w:right w:val="single" w:sz="4" w:space="0" w:color="auto"/>
            </w:tcBorders>
            <w:shd w:val="clear" w:color="000000" w:fill="99CCFF"/>
            <w:noWrap/>
            <w:textDirection w:val="btLr"/>
            <w:vAlign w:val="center"/>
            <w:hideMark/>
          </w:tcPr>
          <w:p w14:paraId="086CF333" w14:textId="77777777" w:rsidR="000740F7" w:rsidRPr="001F53E7" w:rsidRDefault="000740F7" w:rsidP="006D0A51">
            <w:pPr>
              <w:jc w:val="left"/>
              <w:rPr>
                <w:rFonts w:eastAsia="Times New Roman"/>
                <w:b/>
                <w:bCs/>
                <w:sz w:val="18"/>
                <w:szCs w:val="18"/>
                <w:lang w:eastAsia="hr-HR"/>
              </w:rPr>
            </w:pPr>
            <w:r w:rsidRPr="001F53E7">
              <w:rPr>
                <w:rFonts w:eastAsia="Times New Roman"/>
                <w:b/>
                <w:bCs/>
                <w:sz w:val="18"/>
                <w:szCs w:val="18"/>
                <w:lang w:eastAsia="hr-HR"/>
              </w:rPr>
              <w:t>Primljeno</w:t>
            </w:r>
          </w:p>
        </w:tc>
        <w:tc>
          <w:tcPr>
            <w:tcW w:w="920" w:type="dxa"/>
            <w:tcBorders>
              <w:top w:val="single" w:sz="4" w:space="0" w:color="auto"/>
              <w:left w:val="nil"/>
              <w:bottom w:val="single" w:sz="4" w:space="0" w:color="auto"/>
              <w:right w:val="single" w:sz="4" w:space="0" w:color="auto"/>
            </w:tcBorders>
            <w:shd w:val="clear" w:color="000000" w:fill="99CCFF"/>
            <w:noWrap/>
            <w:textDirection w:val="btLr"/>
            <w:vAlign w:val="center"/>
            <w:hideMark/>
          </w:tcPr>
          <w:p w14:paraId="56BAB27C" w14:textId="77777777" w:rsidR="000740F7" w:rsidRPr="001F53E7" w:rsidRDefault="000740F7" w:rsidP="006D0A51">
            <w:pPr>
              <w:jc w:val="left"/>
              <w:rPr>
                <w:rFonts w:eastAsia="Times New Roman"/>
                <w:b/>
                <w:bCs/>
                <w:sz w:val="18"/>
                <w:szCs w:val="18"/>
                <w:lang w:eastAsia="hr-HR"/>
              </w:rPr>
            </w:pPr>
            <w:r w:rsidRPr="001F53E7">
              <w:rPr>
                <w:rFonts w:eastAsia="Times New Roman"/>
                <w:b/>
                <w:bCs/>
                <w:sz w:val="18"/>
                <w:szCs w:val="18"/>
                <w:lang w:eastAsia="hr-HR"/>
              </w:rPr>
              <w:t>Riješeno</w:t>
            </w:r>
          </w:p>
        </w:tc>
        <w:tc>
          <w:tcPr>
            <w:tcW w:w="785" w:type="dxa"/>
            <w:tcBorders>
              <w:top w:val="single" w:sz="4" w:space="0" w:color="auto"/>
              <w:left w:val="nil"/>
              <w:bottom w:val="single" w:sz="4" w:space="0" w:color="auto"/>
              <w:right w:val="single" w:sz="4" w:space="0" w:color="auto"/>
            </w:tcBorders>
            <w:shd w:val="clear" w:color="000000" w:fill="99CCFF"/>
            <w:noWrap/>
            <w:textDirection w:val="btLr"/>
            <w:vAlign w:val="center"/>
            <w:hideMark/>
          </w:tcPr>
          <w:p w14:paraId="535E1969" w14:textId="77777777" w:rsidR="000740F7" w:rsidRPr="001F53E7" w:rsidRDefault="000740F7" w:rsidP="006D0A51">
            <w:pPr>
              <w:jc w:val="left"/>
              <w:rPr>
                <w:rFonts w:eastAsia="Times New Roman"/>
                <w:b/>
                <w:bCs/>
                <w:sz w:val="18"/>
                <w:szCs w:val="18"/>
                <w:lang w:eastAsia="hr-HR"/>
              </w:rPr>
            </w:pPr>
            <w:r w:rsidRPr="001F53E7">
              <w:rPr>
                <w:rFonts w:eastAsia="Times New Roman"/>
                <w:b/>
                <w:bCs/>
                <w:sz w:val="18"/>
                <w:szCs w:val="18"/>
                <w:lang w:eastAsia="hr-HR"/>
              </w:rPr>
              <w:t>Neriješeno</w:t>
            </w: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C01AD3B" w14:textId="77777777" w:rsidR="000740F7" w:rsidRPr="001F53E7" w:rsidRDefault="000740F7" w:rsidP="006D0A51">
            <w:pPr>
              <w:jc w:val="left"/>
              <w:rPr>
                <w:rFonts w:eastAsia="Times New Roman"/>
                <w:b/>
                <w:bCs/>
                <w:sz w:val="16"/>
                <w:szCs w:val="16"/>
                <w:lang w:eastAsia="hr-HR"/>
              </w:rPr>
            </w:pPr>
          </w:p>
        </w:tc>
        <w:tc>
          <w:tcPr>
            <w:tcW w:w="1010" w:type="dxa"/>
            <w:vMerge/>
            <w:tcBorders>
              <w:top w:val="single" w:sz="4" w:space="0" w:color="auto"/>
              <w:left w:val="single" w:sz="4" w:space="0" w:color="auto"/>
              <w:bottom w:val="single" w:sz="4" w:space="0" w:color="auto"/>
              <w:right w:val="single" w:sz="4" w:space="0" w:color="auto"/>
            </w:tcBorders>
            <w:vAlign w:val="center"/>
            <w:hideMark/>
          </w:tcPr>
          <w:p w14:paraId="475F9357" w14:textId="77777777" w:rsidR="000740F7" w:rsidRPr="001F53E7" w:rsidRDefault="000740F7" w:rsidP="006D0A51">
            <w:pPr>
              <w:jc w:val="left"/>
              <w:rPr>
                <w:rFonts w:eastAsia="Times New Roman"/>
                <w:b/>
                <w:bCs/>
                <w:sz w:val="16"/>
                <w:szCs w:val="16"/>
                <w:lang w:eastAsia="hr-HR"/>
              </w:rPr>
            </w:pPr>
          </w:p>
        </w:tc>
      </w:tr>
      <w:tr w:rsidR="000740F7" w:rsidRPr="001B4CA2" w14:paraId="04895CAA" w14:textId="77777777" w:rsidTr="006D0A51">
        <w:trPr>
          <w:trHeight w:val="300"/>
        </w:trPr>
        <w:tc>
          <w:tcPr>
            <w:tcW w:w="14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6FD89C" w14:textId="77777777" w:rsidR="000740F7" w:rsidRPr="001F53E7" w:rsidRDefault="000740F7" w:rsidP="006D0A51">
            <w:pPr>
              <w:jc w:val="center"/>
              <w:rPr>
                <w:rFonts w:eastAsia="Times New Roman"/>
                <w:sz w:val="16"/>
                <w:szCs w:val="16"/>
                <w:lang w:eastAsia="hr-HR"/>
              </w:rPr>
            </w:pPr>
            <w:r w:rsidRPr="001F53E7">
              <w:rPr>
                <w:rFonts w:eastAsia="Times New Roman"/>
                <w:sz w:val="16"/>
                <w:szCs w:val="16"/>
                <w:lang w:eastAsia="hr-HR"/>
              </w:rPr>
              <w:t>ODO</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2DD58781" w14:textId="77777777" w:rsidR="000740F7" w:rsidRPr="001F53E7" w:rsidRDefault="000740F7" w:rsidP="006D0A51">
            <w:pPr>
              <w:jc w:val="center"/>
              <w:rPr>
                <w:color w:val="000000"/>
                <w:sz w:val="16"/>
                <w:szCs w:val="16"/>
              </w:rPr>
            </w:pPr>
            <w:r w:rsidRPr="001F53E7">
              <w:rPr>
                <w:color w:val="000000"/>
                <w:sz w:val="16"/>
                <w:szCs w:val="16"/>
              </w:rPr>
              <w:t>2018.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C277E" w14:textId="77777777" w:rsidR="000740F7" w:rsidRPr="001F53E7" w:rsidRDefault="000740F7" w:rsidP="006D0A51">
            <w:pPr>
              <w:jc w:val="center"/>
              <w:rPr>
                <w:color w:val="000000"/>
                <w:sz w:val="16"/>
                <w:szCs w:val="16"/>
              </w:rPr>
            </w:pPr>
            <w:r w:rsidRPr="001F53E7">
              <w:rPr>
                <w:color w:val="000000"/>
                <w:sz w:val="16"/>
                <w:szCs w:val="16"/>
              </w:rPr>
              <w:t>64.795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3FF7E" w14:textId="77777777" w:rsidR="000740F7" w:rsidRPr="001F53E7" w:rsidRDefault="000740F7" w:rsidP="006D0A51">
            <w:pPr>
              <w:jc w:val="center"/>
              <w:rPr>
                <w:color w:val="000000"/>
                <w:sz w:val="16"/>
                <w:szCs w:val="16"/>
              </w:rPr>
            </w:pPr>
            <w:r w:rsidRPr="001F53E7">
              <w:rPr>
                <w:color w:val="000000"/>
                <w:sz w:val="16"/>
                <w:szCs w:val="16"/>
              </w:rPr>
              <w:t>142.575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D3BD9" w14:textId="77777777" w:rsidR="000740F7" w:rsidRPr="001F53E7" w:rsidRDefault="000740F7" w:rsidP="006D0A51">
            <w:pPr>
              <w:jc w:val="center"/>
              <w:rPr>
                <w:color w:val="000000"/>
                <w:sz w:val="16"/>
                <w:szCs w:val="16"/>
              </w:rPr>
            </w:pPr>
            <w:r w:rsidRPr="001F53E7">
              <w:rPr>
                <w:color w:val="000000"/>
                <w:sz w:val="16"/>
                <w:szCs w:val="16"/>
              </w:rPr>
              <w:t>149.200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DBAB8" w14:textId="77777777" w:rsidR="000740F7" w:rsidRPr="001F53E7" w:rsidRDefault="000740F7" w:rsidP="006D0A51">
            <w:pPr>
              <w:jc w:val="center"/>
              <w:rPr>
                <w:color w:val="000000"/>
                <w:sz w:val="16"/>
                <w:szCs w:val="16"/>
              </w:rPr>
            </w:pPr>
            <w:r w:rsidRPr="001F53E7">
              <w:rPr>
                <w:color w:val="000000"/>
                <w:sz w:val="16"/>
                <w:szCs w:val="16"/>
              </w:rPr>
              <w:t>58.170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C50D1E0" w14:textId="77777777" w:rsidR="000740F7" w:rsidRPr="001F53E7" w:rsidRDefault="000740F7" w:rsidP="006D0A51">
            <w:pPr>
              <w:jc w:val="center"/>
              <w:rPr>
                <w:color w:val="000000"/>
                <w:sz w:val="16"/>
                <w:szCs w:val="16"/>
              </w:rPr>
            </w:pPr>
            <w:r w:rsidRPr="001F53E7">
              <w:rPr>
                <w:color w:val="000000"/>
                <w:sz w:val="16"/>
                <w:szCs w:val="16"/>
              </w:rPr>
              <w:t>196.658</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3905E95" w14:textId="77777777" w:rsidR="000740F7" w:rsidRPr="001F53E7" w:rsidRDefault="000740F7" w:rsidP="006D0A51">
            <w:pPr>
              <w:jc w:val="center"/>
              <w:rPr>
                <w:color w:val="000000"/>
                <w:sz w:val="16"/>
                <w:szCs w:val="16"/>
              </w:rPr>
            </w:pPr>
            <w:r w:rsidRPr="001F53E7">
              <w:rPr>
                <w:color w:val="000000"/>
                <w:sz w:val="16"/>
                <w:szCs w:val="16"/>
              </w:rPr>
              <w:t>344.248</w:t>
            </w:r>
          </w:p>
        </w:tc>
      </w:tr>
      <w:tr w:rsidR="000740F7" w:rsidRPr="001B4CA2" w14:paraId="14A80197"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24B493D7"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3E986DC8" w14:textId="77777777" w:rsidR="000740F7" w:rsidRPr="001F53E7" w:rsidRDefault="000740F7" w:rsidP="006D0A51">
            <w:pPr>
              <w:jc w:val="center"/>
              <w:rPr>
                <w:color w:val="000000"/>
                <w:sz w:val="16"/>
                <w:szCs w:val="16"/>
              </w:rPr>
            </w:pPr>
            <w:r w:rsidRPr="001F53E7">
              <w:rPr>
                <w:color w:val="000000"/>
                <w:sz w:val="16"/>
                <w:szCs w:val="16"/>
              </w:rPr>
              <w:t>2019.</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860DA" w14:textId="77777777" w:rsidR="000740F7" w:rsidRPr="001F53E7" w:rsidRDefault="000740F7" w:rsidP="006D0A51">
            <w:pPr>
              <w:jc w:val="center"/>
              <w:rPr>
                <w:color w:val="000000"/>
                <w:sz w:val="16"/>
                <w:szCs w:val="16"/>
              </w:rPr>
            </w:pPr>
            <w:r w:rsidRPr="001F53E7">
              <w:rPr>
                <w:color w:val="000000"/>
                <w:sz w:val="16"/>
                <w:szCs w:val="16"/>
              </w:rPr>
              <w:t>43.148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88B2C" w14:textId="77777777" w:rsidR="000740F7" w:rsidRPr="001F53E7" w:rsidRDefault="000740F7" w:rsidP="006D0A51">
            <w:pPr>
              <w:jc w:val="center"/>
              <w:rPr>
                <w:color w:val="000000"/>
                <w:sz w:val="16"/>
                <w:szCs w:val="16"/>
              </w:rPr>
            </w:pPr>
            <w:r w:rsidRPr="001F53E7">
              <w:rPr>
                <w:color w:val="000000"/>
                <w:sz w:val="16"/>
                <w:szCs w:val="16"/>
              </w:rPr>
              <w:t>177.229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FFA1D" w14:textId="77777777" w:rsidR="000740F7" w:rsidRPr="001F53E7" w:rsidRDefault="000740F7" w:rsidP="006D0A51">
            <w:pPr>
              <w:jc w:val="center"/>
              <w:rPr>
                <w:color w:val="000000"/>
                <w:sz w:val="16"/>
                <w:szCs w:val="16"/>
              </w:rPr>
            </w:pPr>
            <w:r w:rsidRPr="001F53E7">
              <w:rPr>
                <w:color w:val="000000"/>
                <w:sz w:val="16"/>
                <w:szCs w:val="16"/>
              </w:rPr>
              <w:t>179.437</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B1049" w14:textId="77777777" w:rsidR="000740F7" w:rsidRPr="001F53E7" w:rsidRDefault="000740F7" w:rsidP="006D0A51">
            <w:pPr>
              <w:jc w:val="center"/>
              <w:rPr>
                <w:color w:val="000000"/>
                <w:sz w:val="16"/>
                <w:szCs w:val="16"/>
              </w:rPr>
            </w:pPr>
            <w:r w:rsidRPr="001F53E7">
              <w:rPr>
                <w:color w:val="000000"/>
                <w:sz w:val="16"/>
                <w:szCs w:val="16"/>
              </w:rPr>
              <w:t>40.940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C4CB3FC" w14:textId="77777777" w:rsidR="000740F7" w:rsidRPr="001F53E7" w:rsidRDefault="000740F7" w:rsidP="006D0A51">
            <w:pPr>
              <w:jc w:val="center"/>
              <w:rPr>
                <w:color w:val="000000"/>
                <w:sz w:val="16"/>
                <w:szCs w:val="16"/>
              </w:rPr>
            </w:pPr>
            <w:r w:rsidRPr="001F53E7">
              <w:rPr>
                <w:color w:val="000000"/>
                <w:sz w:val="16"/>
                <w:szCs w:val="16"/>
              </w:rPr>
              <w:t>226.309</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5A1A0F1" w14:textId="77777777" w:rsidR="000740F7" w:rsidRPr="001F53E7" w:rsidRDefault="000740F7" w:rsidP="006D0A51">
            <w:pPr>
              <w:jc w:val="center"/>
              <w:rPr>
                <w:color w:val="000000"/>
                <w:sz w:val="16"/>
                <w:szCs w:val="16"/>
              </w:rPr>
            </w:pPr>
            <w:r w:rsidRPr="001F53E7">
              <w:rPr>
                <w:color w:val="000000"/>
                <w:sz w:val="16"/>
                <w:szCs w:val="16"/>
              </w:rPr>
              <w:t>371.535</w:t>
            </w:r>
          </w:p>
        </w:tc>
      </w:tr>
      <w:tr w:rsidR="000740F7" w:rsidRPr="001B4CA2" w14:paraId="7C1485F0"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0C51AEA3"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34A56035" w14:textId="77777777" w:rsidR="000740F7" w:rsidRPr="001F53E7" w:rsidRDefault="000740F7" w:rsidP="006D0A51">
            <w:pPr>
              <w:jc w:val="center"/>
              <w:rPr>
                <w:color w:val="000000"/>
                <w:sz w:val="16"/>
                <w:szCs w:val="16"/>
              </w:rPr>
            </w:pPr>
            <w:r w:rsidRPr="001F53E7">
              <w:rPr>
                <w:color w:val="000000"/>
                <w:sz w:val="16"/>
                <w:szCs w:val="16"/>
              </w:rPr>
              <w:t>2020.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8A58C" w14:textId="77777777" w:rsidR="000740F7" w:rsidRPr="001F53E7" w:rsidRDefault="000740F7" w:rsidP="006D0A51">
            <w:pPr>
              <w:jc w:val="center"/>
              <w:rPr>
                <w:color w:val="000000"/>
                <w:sz w:val="16"/>
                <w:szCs w:val="16"/>
              </w:rPr>
            </w:pPr>
            <w:r w:rsidRPr="001F53E7">
              <w:rPr>
                <w:color w:val="000000"/>
                <w:sz w:val="16"/>
                <w:szCs w:val="16"/>
              </w:rPr>
              <w:t>35.768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3D2F7" w14:textId="77777777" w:rsidR="000740F7" w:rsidRPr="001F53E7" w:rsidRDefault="000740F7" w:rsidP="006D0A51">
            <w:pPr>
              <w:jc w:val="center"/>
              <w:rPr>
                <w:color w:val="000000"/>
                <w:sz w:val="16"/>
                <w:szCs w:val="16"/>
              </w:rPr>
            </w:pPr>
            <w:r w:rsidRPr="001F53E7">
              <w:rPr>
                <w:color w:val="000000"/>
                <w:sz w:val="16"/>
                <w:szCs w:val="16"/>
              </w:rPr>
              <w:t>172.348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0FECE" w14:textId="77777777" w:rsidR="000740F7" w:rsidRPr="001F53E7" w:rsidRDefault="000740F7" w:rsidP="006D0A51">
            <w:pPr>
              <w:jc w:val="center"/>
              <w:rPr>
                <w:color w:val="000000"/>
                <w:sz w:val="16"/>
                <w:szCs w:val="16"/>
              </w:rPr>
            </w:pPr>
            <w:r w:rsidRPr="001F53E7">
              <w:rPr>
                <w:color w:val="000000"/>
                <w:sz w:val="16"/>
                <w:szCs w:val="16"/>
              </w:rPr>
              <w:t>172.904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C2411" w14:textId="77777777" w:rsidR="000740F7" w:rsidRPr="001F53E7" w:rsidRDefault="000740F7" w:rsidP="006D0A51">
            <w:pPr>
              <w:jc w:val="center"/>
              <w:rPr>
                <w:color w:val="000000"/>
                <w:sz w:val="16"/>
                <w:szCs w:val="16"/>
              </w:rPr>
            </w:pPr>
            <w:r w:rsidRPr="001F53E7">
              <w:rPr>
                <w:color w:val="000000"/>
                <w:sz w:val="16"/>
                <w:szCs w:val="16"/>
              </w:rPr>
              <w:t>35.211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E206423" w14:textId="77777777" w:rsidR="000740F7" w:rsidRPr="001F53E7" w:rsidRDefault="000740F7" w:rsidP="006D0A51">
            <w:pPr>
              <w:jc w:val="center"/>
              <w:rPr>
                <w:color w:val="000000"/>
                <w:sz w:val="16"/>
                <w:szCs w:val="16"/>
              </w:rPr>
            </w:pPr>
            <w:r w:rsidRPr="001F53E7">
              <w:rPr>
                <w:color w:val="000000"/>
                <w:sz w:val="16"/>
                <w:szCs w:val="16"/>
              </w:rPr>
              <w:t>261.122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4BAE62E3" w14:textId="77777777" w:rsidR="000740F7" w:rsidRPr="001F53E7" w:rsidRDefault="000740F7" w:rsidP="006D0A51">
            <w:pPr>
              <w:jc w:val="center"/>
              <w:rPr>
                <w:color w:val="000000"/>
                <w:sz w:val="16"/>
                <w:szCs w:val="16"/>
              </w:rPr>
            </w:pPr>
            <w:r w:rsidRPr="001F53E7">
              <w:rPr>
                <w:color w:val="000000"/>
                <w:sz w:val="16"/>
                <w:szCs w:val="16"/>
              </w:rPr>
              <w:t>404.008</w:t>
            </w:r>
          </w:p>
        </w:tc>
      </w:tr>
      <w:tr w:rsidR="000740F7" w:rsidRPr="001B4CA2" w14:paraId="2DA8C14A"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3A634279"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0CF9E038" w14:textId="77777777" w:rsidR="000740F7" w:rsidRPr="001F53E7" w:rsidRDefault="000740F7" w:rsidP="006D0A51">
            <w:pPr>
              <w:jc w:val="center"/>
              <w:rPr>
                <w:color w:val="000000"/>
                <w:sz w:val="16"/>
                <w:szCs w:val="16"/>
              </w:rPr>
            </w:pPr>
            <w:r w:rsidRPr="001F53E7">
              <w:rPr>
                <w:color w:val="000000"/>
                <w:sz w:val="16"/>
                <w:szCs w:val="16"/>
              </w:rPr>
              <w:t>2021.</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B8A06" w14:textId="77777777" w:rsidR="000740F7" w:rsidRPr="001F53E7" w:rsidRDefault="000740F7" w:rsidP="006D0A51">
            <w:pPr>
              <w:jc w:val="center"/>
              <w:rPr>
                <w:color w:val="000000"/>
                <w:sz w:val="16"/>
                <w:szCs w:val="16"/>
              </w:rPr>
            </w:pPr>
            <w:r w:rsidRPr="001F53E7">
              <w:rPr>
                <w:color w:val="000000"/>
                <w:sz w:val="16"/>
                <w:szCs w:val="16"/>
              </w:rPr>
              <w:t>35.330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B0588" w14:textId="77777777" w:rsidR="000740F7" w:rsidRPr="001F53E7" w:rsidRDefault="000740F7" w:rsidP="006D0A51">
            <w:pPr>
              <w:jc w:val="center"/>
              <w:rPr>
                <w:color w:val="000000"/>
                <w:sz w:val="16"/>
                <w:szCs w:val="16"/>
              </w:rPr>
            </w:pPr>
            <w:r w:rsidRPr="001F53E7">
              <w:rPr>
                <w:color w:val="000000"/>
                <w:sz w:val="16"/>
                <w:szCs w:val="16"/>
              </w:rPr>
              <w:t>182.350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02E30" w14:textId="77777777" w:rsidR="000740F7" w:rsidRPr="001F53E7" w:rsidRDefault="000740F7" w:rsidP="006D0A51">
            <w:pPr>
              <w:jc w:val="center"/>
              <w:rPr>
                <w:color w:val="000000"/>
                <w:sz w:val="16"/>
                <w:szCs w:val="16"/>
              </w:rPr>
            </w:pPr>
            <w:r w:rsidRPr="001F53E7">
              <w:rPr>
                <w:color w:val="000000"/>
                <w:sz w:val="16"/>
                <w:szCs w:val="16"/>
              </w:rPr>
              <w:t>182.943</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8C3FA" w14:textId="77777777" w:rsidR="000740F7" w:rsidRPr="001F53E7" w:rsidRDefault="000740F7" w:rsidP="006D0A51">
            <w:pPr>
              <w:jc w:val="center"/>
              <w:rPr>
                <w:color w:val="000000"/>
                <w:sz w:val="16"/>
                <w:szCs w:val="16"/>
              </w:rPr>
            </w:pPr>
            <w:r w:rsidRPr="001F53E7">
              <w:rPr>
                <w:color w:val="000000"/>
                <w:sz w:val="16"/>
                <w:szCs w:val="16"/>
              </w:rPr>
              <w:t>34.737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AE30DCF" w14:textId="77777777" w:rsidR="000740F7" w:rsidRPr="001F53E7" w:rsidRDefault="000740F7" w:rsidP="006D0A51">
            <w:pPr>
              <w:jc w:val="center"/>
              <w:rPr>
                <w:color w:val="000000"/>
                <w:sz w:val="16"/>
                <w:szCs w:val="16"/>
              </w:rPr>
            </w:pPr>
            <w:r w:rsidRPr="001F53E7">
              <w:rPr>
                <w:color w:val="000000"/>
                <w:sz w:val="16"/>
                <w:szCs w:val="16"/>
              </w:rPr>
              <w:t>231.084</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3959CAF" w14:textId="77777777" w:rsidR="000740F7" w:rsidRPr="001F53E7" w:rsidRDefault="000740F7" w:rsidP="006D0A51">
            <w:pPr>
              <w:jc w:val="center"/>
              <w:rPr>
                <w:color w:val="000000"/>
                <w:sz w:val="16"/>
                <w:szCs w:val="16"/>
              </w:rPr>
            </w:pPr>
            <w:r w:rsidRPr="001F53E7">
              <w:rPr>
                <w:color w:val="000000"/>
                <w:sz w:val="16"/>
                <w:szCs w:val="16"/>
              </w:rPr>
              <w:t>388.483</w:t>
            </w:r>
          </w:p>
        </w:tc>
      </w:tr>
      <w:tr w:rsidR="000740F7" w:rsidRPr="001B4CA2" w14:paraId="5715F639"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3E0BF3F2"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6B9A705D" w14:textId="77777777" w:rsidR="000740F7" w:rsidRPr="001F53E7" w:rsidRDefault="000740F7" w:rsidP="006D0A51">
            <w:pPr>
              <w:jc w:val="center"/>
              <w:rPr>
                <w:color w:val="000000"/>
                <w:sz w:val="16"/>
                <w:szCs w:val="16"/>
              </w:rPr>
            </w:pPr>
            <w:r w:rsidRPr="001F53E7">
              <w:rPr>
                <w:color w:val="000000"/>
                <w:sz w:val="16"/>
                <w:szCs w:val="16"/>
              </w:rPr>
              <w:t>2022.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59DBE" w14:textId="77777777" w:rsidR="000740F7" w:rsidRPr="001F53E7" w:rsidRDefault="000740F7" w:rsidP="006D0A51">
            <w:pPr>
              <w:jc w:val="center"/>
              <w:rPr>
                <w:color w:val="000000"/>
                <w:sz w:val="16"/>
                <w:szCs w:val="16"/>
              </w:rPr>
            </w:pPr>
            <w:r w:rsidRPr="001F53E7">
              <w:rPr>
                <w:color w:val="000000"/>
                <w:sz w:val="16"/>
                <w:szCs w:val="16"/>
              </w:rPr>
              <w:t>34.734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1428A" w14:textId="77777777" w:rsidR="000740F7" w:rsidRPr="001F53E7" w:rsidRDefault="000740F7" w:rsidP="006D0A51">
            <w:pPr>
              <w:jc w:val="center"/>
              <w:rPr>
                <w:color w:val="000000"/>
                <w:sz w:val="16"/>
                <w:szCs w:val="16"/>
              </w:rPr>
            </w:pPr>
            <w:r w:rsidRPr="001F53E7">
              <w:rPr>
                <w:color w:val="000000"/>
                <w:sz w:val="16"/>
                <w:szCs w:val="16"/>
              </w:rPr>
              <w:t>167.600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26AAC" w14:textId="77777777" w:rsidR="000740F7" w:rsidRPr="001F53E7" w:rsidRDefault="000740F7" w:rsidP="006D0A51">
            <w:pPr>
              <w:jc w:val="center"/>
              <w:rPr>
                <w:color w:val="000000"/>
                <w:sz w:val="16"/>
                <w:szCs w:val="16"/>
              </w:rPr>
            </w:pPr>
            <w:r w:rsidRPr="001F53E7">
              <w:rPr>
                <w:color w:val="000000"/>
                <w:sz w:val="16"/>
                <w:szCs w:val="16"/>
              </w:rPr>
              <w:t>163.193</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3075A" w14:textId="77777777" w:rsidR="000740F7" w:rsidRPr="001F53E7" w:rsidRDefault="000740F7" w:rsidP="006D0A51">
            <w:pPr>
              <w:jc w:val="center"/>
              <w:rPr>
                <w:color w:val="000000"/>
                <w:sz w:val="16"/>
                <w:szCs w:val="16"/>
              </w:rPr>
            </w:pPr>
            <w:r w:rsidRPr="001F53E7">
              <w:rPr>
                <w:color w:val="000000"/>
                <w:sz w:val="16"/>
                <w:szCs w:val="16"/>
              </w:rPr>
              <w:t>39.106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2ADCA62" w14:textId="77777777" w:rsidR="000740F7" w:rsidRPr="001F53E7" w:rsidRDefault="000740F7" w:rsidP="006D0A51">
            <w:pPr>
              <w:jc w:val="center"/>
              <w:rPr>
                <w:color w:val="000000"/>
                <w:sz w:val="16"/>
                <w:szCs w:val="16"/>
              </w:rPr>
            </w:pPr>
            <w:r w:rsidRPr="001F53E7">
              <w:rPr>
                <w:color w:val="000000"/>
                <w:sz w:val="16"/>
                <w:szCs w:val="16"/>
              </w:rPr>
              <w:t>231.886</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039DE67" w14:textId="77777777" w:rsidR="000740F7" w:rsidRPr="001F53E7" w:rsidRDefault="000740F7" w:rsidP="006D0A51">
            <w:pPr>
              <w:jc w:val="center"/>
              <w:rPr>
                <w:color w:val="000000"/>
                <w:sz w:val="16"/>
                <w:szCs w:val="16"/>
              </w:rPr>
            </w:pPr>
            <w:r w:rsidRPr="001F53E7">
              <w:rPr>
                <w:color w:val="000000"/>
                <w:sz w:val="16"/>
                <w:szCs w:val="16"/>
              </w:rPr>
              <w:t>340.710</w:t>
            </w:r>
          </w:p>
        </w:tc>
      </w:tr>
      <w:tr w:rsidR="000740F7" w:rsidRPr="001B4CA2" w14:paraId="7130B3CD" w14:textId="77777777" w:rsidTr="006D0A51">
        <w:trPr>
          <w:trHeight w:val="300"/>
        </w:trPr>
        <w:tc>
          <w:tcPr>
            <w:tcW w:w="14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93DCA0" w14:textId="77777777" w:rsidR="000740F7" w:rsidRPr="001F53E7" w:rsidRDefault="000740F7" w:rsidP="006D0A51">
            <w:pPr>
              <w:jc w:val="center"/>
              <w:rPr>
                <w:rFonts w:eastAsia="Times New Roman"/>
                <w:sz w:val="16"/>
                <w:szCs w:val="16"/>
                <w:lang w:eastAsia="hr-HR"/>
              </w:rPr>
            </w:pPr>
            <w:r w:rsidRPr="001F53E7">
              <w:rPr>
                <w:rFonts w:eastAsia="Times New Roman"/>
                <w:sz w:val="16"/>
                <w:szCs w:val="16"/>
                <w:lang w:eastAsia="hr-HR"/>
              </w:rPr>
              <w:t>ŽDO</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43839987" w14:textId="77777777" w:rsidR="000740F7" w:rsidRPr="001F53E7" w:rsidRDefault="000740F7" w:rsidP="006D0A51">
            <w:pPr>
              <w:jc w:val="center"/>
              <w:rPr>
                <w:color w:val="000000"/>
                <w:sz w:val="16"/>
                <w:szCs w:val="16"/>
              </w:rPr>
            </w:pPr>
            <w:r w:rsidRPr="001F53E7">
              <w:rPr>
                <w:color w:val="000000"/>
                <w:sz w:val="16"/>
                <w:szCs w:val="16"/>
              </w:rPr>
              <w:t>2018.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59AC0" w14:textId="77777777" w:rsidR="000740F7" w:rsidRPr="001F53E7" w:rsidRDefault="000740F7" w:rsidP="006D0A51">
            <w:pPr>
              <w:jc w:val="center"/>
              <w:rPr>
                <w:color w:val="000000"/>
                <w:sz w:val="16"/>
                <w:szCs w:val="16"/>
              </w:rPr>
            </w:pPr>
            <w:r w:rsidRPr="001F53E7">
              <w:rPr>
                <w:color w:val="000000"/>
                <w:sz w:val="16"/>
                <w:szCs w:val="16"/>
              </w:rPr>
              <w:t>5.439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E7A5D" w14:textId="77777777" w:rsidR="000740F7" w:rsidRPr="001F53E7" w:rsidRDefault="000740F7" w:rsidP="006D0A51">
            <w:pPr>
              <w:jc w:val="center"/>
              <w:rPr>
                <w:color w:val="000000"/>
                <w:sz w:val="16"/>
                <w:szCs w:val="16"/>
              </w:rPr>
            </w:pPr>
            <w:r w:rsidRPr="001F53E7">
              <w:rPr>
                <w:color w:val="000000"/>
                <w:sz w:val="16"/>
                <w:szCs w:val="16"/>
              </w:rPr>
              <w:t>31.468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9079E" w14:textId="77777777" w:rsidR="000740F7" w:rsidRPr="001F53E7" w:rsidRDefault="000740F7" w:rsidP="006D0A51">
            <w:pPr>
              <w:jc w:val="center"/>
              <w:rPr>
                <w:color w:val="000000"/>
                <w:sz w:val="16"/>
                <w:szCs w:val="16"/>
              </w:rPr>
            </w:pPr>
            <w:r w:rsidRPr="001F53E7">
              <w:rPr>
                <w:color w:val="000000"/>
                <w:sz w:val="16"/>
                <w:szCs w:val="16"/>
              </w:rPr>
              <w:t>32.044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61D55" w14:textId="77777777" w:rsidR="000740F7" w:rsidRPr="001F53E7" w:rsidRDefault="000740F7" w:rsidP="006D0A51">
            <w:pPr>
              <w:jc w:val="center"/>
              <w:rPr>
                <w:color w:val="000000"/>
                <w:sz w:val="16"/>
                <w:szCs w:val="16"/>
              </w:rPr>
            </w:pPr>
            <w:r w:rsidRPr="001F53E7">
              <w:rPr>
                <w:color w:val="000000"/>
                <w:sz w:val="16"/>
                <w:szCs w:val="16"/>
              </w:rPr>
              <w:t>4.863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3DFECB1" w14:textId="77777777" w:rsidR="000740F7" w:rsidRPr="001F53E7" w:rsidRDefault="000740F7" w:rsidP="006D0A51">
            <w:pPr>
              <w:jc w:val="center"/>
              <w:rPr>
                <w:color w:val="000000"/>
                <w:sz w:val="16"/>
                <w:szCs w:val="16"/>
              </w:rPr>
            </w:pPr>
            <w:r w:rsidRPr="001F53E7">
              <w:rPr>
                <w:color w:val="000000"/>
                <w:sz w:val="16"/>
                <w:szCs w:val="16"/>
              </w:rPr>
              <w:t>18.475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0881F97" w14:textId="77777777" w:rsidR="000740F7" w:rsidRPr="001F53E7" w:rsidRDefault="000740F7" w:rsidP="006D0A51">
            <w:pPr>
              <w:jc w:val="center"/>
              <w:rPr>
                <w:color w:val="000000"/>
                <w:sz w:val="16"/>
                <w:szCs w:val="16"/>
              </w:rPr>
            </w:pPr>
            <w:r w:rsidRPr="001F53E7">
              <w:rPr>
                <w:color w:val="000000"/>
                <w:sz w:val="16"/>
                <w:szCs w:val="16"/>
              </w:rPr>
              <w:t>60.491</w:t>
            </w:r>
          </w:p>
        </w:tc>
      </w:tr>
      <w:tr w:rsidR="000740F7" w:rsidRPr="001B4CA2" w14:paraId="05914FFD"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746EB867"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56A54E37" w14:textId="77777777" w:rsidR="000740F7" w:rsidRPr="001F53E7" w:rsidRDefault="000740F7" w:rsidP="006D0A51">
            <w:pPr>
              <w:jc w:val="center"/>
              <w:rPr>
                <w:color w:val="000000"/>
                <w:sz w:val="16"/>
                <w:szCs w:val="16"/>
              </w:rPr>
            </w:pPr>
            <w:r w:rsidRPr="001F53E7">
              <w:rPr>
                <w:color w:val="000000"/>
                <w:sz w:val="16"/>
                <w:szCs w:val="16"/>
              </w:rPr>
              <w:t>2019.</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66521" w14:textId="77777777" w:rsidR="000740F7" w:rsidRPr="001F53E7" w:rsidRDefault="000740F7" w:rsidP="006D0A51">
            <w:pPr>
              <w:jc w:val="center"/>
              <w:rPr>
                <w:color w:val="000000"/>
                <w:sz w:val="16"/>
                <w:szCs w:val="16"/>
              </w:rPr>
            </w:pPr>
            <w:r w:rsidRPr="001F53E7">
              <w:rPr>
                <w:color w:val="000000"/>
                <w:sz w:val="16"/>
                <w:szCs w:val="16"/>
              </w:rPr>
              <w:t>4.640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271F6" w14:textId="77777777" w:rsidR="000740F7" w:rsidRPr="001F53E7" w:rsidRDefault="000740F7" w:rsidP="006D0A51">
            <w:pPr>
              <w:jc w:val="center"/>
              <w:rPr>
                <w:color w:val="000000"/>
                <w:sz w:val="16"/>
                <w:szCs w:val="16"/>
              </w:rPr>
            </w:pPr>
            <w:r w:rsidRPr="001F53E7">
              <w:rPr>
                <w:color w:val="000000"/>
                <w:sz w:val="16"/>
                <w:szCs w:val="16"/>
              </w:rPr>
              <w:t>31.579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AD571" w14:textId="77777777" w:rsidR="000740F7" w:rsidRPr="001F53E7" w:rsidRDefault="000740F7" w:rsidP="006D0A51">
            <w:pPr>
              <w:jc w:val="center"/>
              <w:rPr>
                <w:color w:val="000000"/>
                <w:sz w:val="16"/>
                <w:szCs w:val="16"/>
              </w:rPr>
            </w:pPr>
            <w:r w:rsidRPr="001F53E7">
              <w:rPr>
                <w:color w:val="000000"/>
                <w:sz w:val="16"/>
                <w:szCs w:val="16"/>
              </w:rPr>
              <w:t>32.536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B192E" w14:textId="77777777" w:rsidR="000740F7" w:rsidRPr="001F53E7" w:rsidRDefault="000740F7" w:rsidP="006D0A51">
            <w:pPr>
              <w:jc w:val="center"/>
              <w:rPr>
                <w:color w:val="000000"/>
                <w:sz w:val="16"/>
                <w:szCs w:val="16"/>
              </w:rPr>
            </w:pPr>
            <w:r w:rsidRPr="001F53E7">
              <w:rPr>
                <w:color w:val="000000"/>
                <w:sz w:val="16"/>
                <w:szCs w:val="16"/>
              </w:rPr>
              <w:t>3.682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BD1DE56" w14:textId="77777777" w:rsidR="000740F7" w:rsidRPr="001F53E7" w:rsidRDefault="000740F7" w:rsidP="006D0A51">
            <w:pPr>
              <w:jc w:val="center"/>
              <w:rPr>
                <w:color w:val="000000"/>
                <w:sz w:val="16"/>
                <w:szCs w:val="16"/>
              </w:rPr>
            </w:pPr>
            <w:r w:rsidRPr="001F53E7">
              <w:rPr>
                <w:color w:val="000000"/>
                <w:sz w:val="16"/>
                <w:szCs w:val="16"/>
              </w:rPr>
              <w:t>19.504</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6D4B8745" w14:textId="77777777" w:rsidR="000740F7" w:rsidRPr="001F53E7" w:rsidRDefault="000740F7" w:rsidP="006D0A51">
            <w:pPr>
              <w:jc w:val="center"/>
              <w:rPr>
                <w:color w:val="000000"/>
                <w:sz w:val="16"/>
                <w:szCs w:val="16"/>
              </w:rPr>
            </w:pPr>
            <w:r w:rsidRPr="001F53E7">
              <w:rPr>
                <w:color w:val="000000"/>
                <w:sz w:val="16"/>
                <w:szCs w:val="16"/>
              </w:rPr>
              <w:t>63.470</w:t>
            </w:r>
          </w:p>
        </w:tc>
      </w:tr>
      <w:tr w:rsidR="000740F7" w:rsidRPr="001B4CA2" w14:paraId="6D094A2A"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32B6625F"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19E8989A" w14:textId="77777777" w:rsidR="000740F7" w:rsidRPr="001F53E7" w:rsidRDefault="000740F7" w:rsidP="006D0A51">
            <w:pPr>
              <w:jc w:val="center"/>
              <w:rPr>
                <w:color w:val="000000"/>
                <w:sz w:val="16"/>
                <w:szCs w:val="16"/>
              </w:rPr>
            </w:pPr>
            <w:r w:rsidRPr="001F53E7">
              <w:rPr>
                <w:color w:val="000000"/>
                <w:sz w:val="16"/>
                <w:szCs w:val="16"/>
              </w:rPr>
              <w:t>2020.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3075E" w14:textId="77777777" w:rsidR="000740F7" w:rsidRPr="001F53E7" w:rsidRDefault="000740F7" w:rsidP="006D0A51">
            <w:pPr>
              <w:jc w:val="center"/>
              <w:rPr>
                <w:color w:val="000000"/>
                <w:sz w:val="16"/>
                <w:szCs w:val="16"/>
              </w:rPr>
            </w:pPr>
            <w:r w:rsidRPr="001F53E7">
              <w:rPr>
                <w:color w:val="000000"/>
                <w:sz w:val="16"/>
                <w:szCs w:val="16"/>
              </w:rPr>
              <w:t>3.717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E5633" w14:textId="77777777" w:rsidR="000740F7" w:rsidRPr="001F53E7" w:rsidRDefault="000740F7" w:rsidP="006D0A51">
            <w:pPr>
              <w:jc w:val="center"/>
              <w:rPr>
                <w:color w:val="000000"/>
                <w:sz w:val="16"/>
                <w:szCs w:val="16"/>
              </w:rPr>
            </w:pPr>
            <w:r w:rsidRPr="001F53E7">
              <w:rPr>
                <w:color w:val="000000"/>
                <w:sz w:val="16"/>
                <w:szCs w:val="16"/>
              </w:rPr>
              <w:t>31.995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DAD15" w14:textId="77777777" w:rsidR="000740F7" w:rsidRPr="001F53E7" w:rsidRDefault="000740F7" w:rsidP="006D0A51">
            <w:pPr>
              <w:jc w:val="center"/>
              <w:rPr>
                <w:color w:val="000000"/>
                <w:sz w:val="16"/>
                <w:szCs w:val="16"/>
              </w:rPr>
            </w:pPr>
            <w:r w:rsidRPr="001F53E7">
              <w:rPr>
                <w:color w:val="000000"/>
                <w:sz w:val="16"/>
                <w:szCs w:val="16"/>
              </w:rPr>
              <w:t>31.758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5CE34" w14:textId="77777777" w:rsidR="000740F7" w:rsidRPr="001F53E7" w:rsidRDefault="000740F7" w:rsidP="006D0A51">
            <w:pPr>
              <w:jc w:val="center"/>
              <w:rPr>
                <w:color w:val="000000"/>
                <w:sz w:val="16"/>
                <w:szCs w:val="16"/>
              </w:rPr>
            </w:pPr>
            <w:r w:rsidRPr="001F53E7">
              <w:rPr>
                <w:color w:val="000000"/>
                <w:sz w:val="16"/>
                <w:szCs w:val="16"/>
              </w:rPr>
              <w:t>3.954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BD476FC" w14:textId="77777777" w:rsidR="000740F7" w:rsidRPr="001F53E7" w:rsidRDefault="000740F7" w:rsidP="006D0A51">
            <w:pPr>
              <w:jc w:val="center"/>
              <w:rPr>
                <w:color w:val="000000"/>
                <w:sz w:val="16"/>
                <w:szCs w:val="16"/>
              </w:rPr>
            </w:pPr>
            <w:r w:rsidRPr="001F53E7">
              <w:rPr>
                <w:color w:val="000000"/>
                <w:sz w:val="16"/>
                <w:szCs w:val="16"/>
              </w:rPr>
              <w:t>18.778</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0E57013" w14:textId="77777777" w:rsidR="000740F7" w:rsidRPr="001F53E7" w:rsidRDefault="000740F7" w:rsidP="006D0A51">
            <w:pPr>
              <w:jc w:val="center"/>
              <w:rPr>
                <w:color w:val="000000"/>
                <w:sz w:val="16"/>
                <w:szCs w:val="16"/>
              </w:rPr>
            </w:pPr>
            <w:r w:rsidRPr="001F53E7">
              <w:rPr>
                <w:color w:val="000000"/>
                <w:sz w:val="16"/>
                <w:szCs w:val="16"/>
              </w:rPr>
              <w:t>54.191</w:t>
            </w:r>
          </w:p>
        </w:tc>
      </w:tr>
      <w:tr w:rsidR="000740F7" w:rsidRPr="001B4CA2" w14:paraId="4E4C3F2C"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186F0F1E"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77A3AE10" w14:textId="77777777" w:rsidR="000740F7" w:rsidRPr="001F53E7" w:rsidRDefault="000740F7" w:rsidP="006D0A51">
            <w:pPr>
              <w:jc w:val="center"/>
              <w:rPr>
                <w:color w:val="000000"/>
                <w:sz w:val="16"/>
                <w:szCs w:val="16"/>
              </w:rPr>
            </w:pPr>
            <w:r w:rsidRPr="001F53E7">
              <w:rPr>
                <w:color w:val="000000"/>
                <w:sz w:val="16"/>
                <w:szCs w:val="16"/>
              </w:rPr>
              <w:t>2021.</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9968B" w14:textId="77777777" w:rsidR="000740F7" w:rsidRPr="001F53E7" w:rsidRDefault="000740F7" w:rsidP="006D0A51">
            <w:pPr>
              <w:jc w:val="center"/>
              <w:rPr>
                <w:color w:val="000000"/>
                <w:sz w:val="16"/>
                <w:szCs w:val="16"/>
              </w:rPr>
            </w:pPr>
            <w:r w:rsidRPr="001F53E7">
              <w:rPr>
                <w:color w:val="000000"/>
                <w:sz w:val="16"/>
                <w:szCs w:val="16"/>
              </w:rPr>
              <w:t>3.888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140B7" w14:textId="77777777" w:rsidR="000740F7" w:rsidRPr="001F53E7" w:rsidRDefault="000740F7" w:rsidP="006D0A51">
            <w:pPr>
              <w:jc w:val="center"/>
              <w:rPr>
                <w:color w:val="000000"/>
                <w:sz w:val="16"/>
                <w:szCs w:val="16"/>
              </w:rPr>
            </w:pPr>
            <w:r w:rsidRPr="001F53E7">
              <w:rPr>
                <w:color w:val="000000"/>
                <w:sz w:val="16"/>
                <w:szCs w:val="16"/>
              </w:rPr>
              <w:t>34.806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C8DBD" w14:textId="77777777" w:rsidR="000740F7" w:rsidRPr="001F53E7" w:rsidRDefault="000740F7" w:rsidP="006D0A51">
            <w:pPr>
              <w:jc w:val="center"/>
              <w:rPr>
                <w:color w:val="000000"/>
                <w:sz w:val="16"/>
                <w:szCs w:val="16"/>
              </w:rPr>
            </w:pPr>
            <w:r w:rsidRPr="001F53E7">
              <w:rPr>
                <w:color w:val="000000"/>
                <w:sz w:val="16"/>
                <w:szCs w:val="16"/>
              </w:rPr>
              <w:t>34.925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65CA8" w14:textId="77777777" w:rsidR="000740F7" w:rsidRPr="001F53E7" w:rsidRDefault="000740F7" w:rsidP="006D0A51">
            <w:pPr>
              <w:jc w:val="center"/>
              <w:rPr>
                <w:color w:val="000000"/>
                <w:sz w:val="16"/>
                <w:szCs w:val="16"/>
              </w:rPr>
            </w:pPr>
            <w:r w:rsidRPr="001F53E7">
              <w:rPr>
                <w:color w:val="000000"/>
                <w:sz w:val="16"/>
                <w:szCs w:val="16"/>
              </w:rPr>
              <w:t>3.769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97D806E" w14:textId="77777777" w:rsidR="000740F7" w:rsidRPr="001F53E7" w:rsidRDefault="000740F7" w:rsidP="006D0A51">
            <w:pPr>
              <w:jc w:val="center"/>
              <w:rPr>
                <w:color w:val="000000"/>
                <w:sz w:val="16"/>
                <w:szCs w:val="16"/>
              </w:rPr>
            </w:pPr>
            <w:r w:rsidRPr="001F53E7">
              <w:rPr>
                <w:color w:val="000000"/>
                <w:sz w:val="16"/>
                <w:szCs w:val="16"/>
              </w:rPr>
              <w:t>21.648</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EB4EF47" w14:textId="77777777" w:rsidR="000740F7" w:rsidRPr="001F53E7" w:rsidRDefault="000740F7" w:rsidP="006D0A51">
            <w:pPr>
              <w:jc w:val="center"/>
              <w:rPr>
                <w:color w:val="000000"/>
                <w:sz w:val="16"/>
                <w:szCs w:val="16"/>
              </w:rPr>
            </w:pPr>
            <w:r w:rsidRPr="001F53E7">
              <w:rPr>
                <w:color w:val="000000"/>
                <w:sz w:val="16"/>
                <w:szCs w:val="16"/>
              </w:rPr>
              <w:t>54.083</w:t>
            </w:r>
          </w:p>
        </w:tc>
      </w:tr>
      <w:tr w:rsidR="000740F7" w:rsidRPr="001B4CA2" w14:paraId="18AAC902"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5E2066A8"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1C0F158C" w14:textId="77777777" w:rsidR="000740F7" w:rsidRPr="001F53E7" w:rsidRDefault="000740F7" w:rsidP="006D0A51">
            <w:pPr>
              <w:jc w:val="center"/>
              <w:rPr>
                <w:color w:val="000000"/>
                <w:sz w:val="16"/>
                <w:szCs w:val="16"/>
              </w:rPr>
            </w:pPr>
            <w:r w:rsidRPr="001F53E7">
              <w:rPr>
                <w:color w:val="000000"/>
                <w:sz w:val="16"/>
                <w:szCs w:val="16"/>
              </w:rPr>
              <w:t>2022.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A5F86" w14:textId="77777777" w:rsidR="000740F7" w:rsidRPr="001F53E7" w:rsidRDefault="000740F7" w:rsidP="006D0A51">
            <w:pPr>
              <w:jc w:val="center"/>
              <w:rPr>
                <w:color w:val="000000"/>
                <w:sz w:val="16"/>
                <w:szCs w:val="16"/>
              </w:rPr>
            </w:pPr>
            <w:r w:rsidRPr="001F53E7">
              <w:rPr>
                <w:color w:val="000000"/>
                <w:sz w:val="16"/>
                <w:szCs w:val="16"/>
              </w:rPr>
              <w:t>3.857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F4BFB" w14:textId="77777777" w:rsidR="000740F7" w:rsidRPr="001F53E7" w:rsidRDefault="000740F7" w:rsidP="006D0A51">
            <w:pPr>
              <w:jc w:val="center"/>
              <w:rPr>
                <w:color w:val="000000"/>
                <w:sz w:val="16"/>
                <w:szCs w:val="16"/>
              </w:rPr>
            </w:pPr>
            <w:r w:rsidRPr="001F53E7">
              <w:rPr>
                <w:color w:val="000000"/>
                <w:sz w:val="16"/>
                <w:szCs w:val="16"/>
              </w:rPr>
              <w:t>34.220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2ADC7" w14:textId="77777777" w:rsidR="000740F7" w:rsidRPr="001F53E7" w:rsidRDefault="000740F7" w:rsidP="006D0A51">
            <w:pPr>
              <w:jc w:val="center"/>
              <w:rPr>
                <w:color w:val="000000"/>
                <w:sz w:val="16"/>
                <w:szCs w:val="16"/>
              </w:rPr>
            </w:pPr>
            <w:r w:rsidRPr="001F53E7">
              <w:rPr>
                <w:color w:val="000000"/>
                <w:sz w:val="16"/>
                <w:szCs w:val="16"/>
              </w:rPr>
              <w:t>34.457</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1A414" w14:textId="77777777" w:rsidR="000740F7" w:rsidRPr="001F53E7" w:rsidRDefault="000740F7" w:rsidP="006D0A51">
            <w:pPr>
              <w:jc w:val="center"/>
              <w:rPr>
                <w:color w:val="000000"/>
                <w:sz w:val="16"/>
                <w:szCs w:val="16"/>
              </w:rPr>
            </w:pPr>
            <w:r w:rsidRPr="001F53E7">
              <w:rPr>
                <w:color w:val="000000"/>
                <w:sz w:val="16"/>
                <w:szCs w:val="16"/>
              </w:rPr>
              <w:t>3.617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4D0659D" w14:textId="77777777" w:rsidR="000740F7" w:rsidRPr="001F53E7" w:rsidRDefault="000740F7" w:rsidP="006D0A51">
            <w:pPr>
              <w:jc w:val="center"/>
              <w:rPr>
                <w:color w:val="000000"/>
                <w:sz w:val="16"/>
                <w:szCs w:val="16"/>
              </w:rPr>
            </w:pPr>
            <w:r w:rsidRPr="001F53E7">
              <w:rPr>
                <w:color w:val="000000"/>
                <w:sz w:val="16"/>
                <w:szCs w:val="16"/>
              </w:rPr>
              <w:t>8.136</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9D7036B" w14:textId="77777777" w:rsidR="000740F7" w:rsidRPr="001F53E7" w:rsidRDefault="000740F7" w:rsidP="006D0A51">
            <w:pPr>
              <w:jc w:val="center"/>
              <w:rPr>
                <w:color w:val="000000"/>
                <w:sz w:val="16"/>
                <w:szCs w:val="16"/>
              </w:rPr>
            </w:pPr>
            <w:r w:rsidRPr="001F53E7">
              <w:rPr>
                <w:color w:val="000000"/>
                <w:sz w:val="16"/>
                <w:szCs w:val="16"/>
              </w:rPr>
              <w:t>43.009</w:t>
            </w:r>
          </w:p>
        </w:tc>
      </w:tr>
      <w:tr w:rsidR="000740F7" w:rsidRPr="001B4CA2" w14:paraId="362FE5AE" w14:textId="77777777" w:rsidTr="006D0A51">
        <w:trPr>
          <w:trHeight w:val="300"/>
        </w:trPr>
        <w:tc>
          <w:tcPr>
            <w:tcW w:w="1486" w:type="dxa"/>
            <w:vMerge w:val="restart"/>
            <w:tcBorders>
              <w:top w:val="nil"/>
              <w:left w:val="single" w:sz="4" w:space="0" w:color="auto"/>
              <w:bottom w:val="single" w:sz="4" w:space="0" w:color="auto"/>
              <w:right w:val="single" w:sz="4" w:space="0" w:color="auto"/>
            </w:tcBorders>
            <w:shd w:val="clear" w:color="auto" w:fill="auto"/>
            <w:vAlign w:val="center"/>
            <w:hideMark/>
          </w:tcPr>
          <w:p w14:paraId="6AEE20D9" w14:textId="77777777" w:rsidR="000740F7" w:rsidRPr="001F53E7" w:rsidRDefault="000740F7" w:rsidP="006D0A51">
            <w:pPr>
              <w:jc w:val="center"/>
              <w:rPr>
                <w:rFonts w:eastAsia="Times New Roman"/>
                <w:sz w:val="16"/>
                <w:szCs w:val="16"/>
                <w:lang w:eastAsia="hr-HR"/>
              </w:rPr>
            </w:pPr>
            <w:r w:rsidRPr="001F53E7">
              <w:rPr>
                <w:rFonts w:eastAsia="Times New Roman"/>
                <w:sz w:val="16"/>
                <w:szCs w:val="16"/>
                <w:lang w:eastAsia="hr-HR"/>
              </w:rPr>
              <w:t>USKOK</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4C6F1DD7" w14:textId="77777777" w:rsidR="000740F7" w:rsidRPr="001F53E7" w:rsidRDefault="000740F7" w:rsidP="006D0A51">
            <w:pPr>
              <w:jc w:val="center"/>
              <w:rPr>
                <w:color w:val="000000"/>
                <w:sz w:val="16"/>
                <w:szCs w:val="16"/>
              </w:rPr>
            </w:pPr>
            <w:r w:rsidRPr="001F53E7">
              <w:rPr>
                <w:color w:val="000000"/>
                <w:sz w:val="16"/>
                <w:szCs w:val="16"/>
              </w:rPr>
              <w:t>2018.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8A86E" w14:textId="77777777" w:rsidR="000740F7" w:rsidRPr="001F53E7" w:rsidRDefault="000740F7" w:rsidP="006D0A51">
            <w:pPr>
              <w:jc w:val="center"/>
              <w:rPr>
                <w:color w:val="000000"/>
                <w:sz w:val="16"/>
                <w:szCs w:val="16"/>
              </w:rPr>
            </w:pPr>
            <w:r w:rsidRPr="001F53E7">
              <w:rPr>
                <w:color w:val="000000"/>
                <w:sz w:val="16"/>
                <w:szCs w:val="16"/>
              </w:rPr>
              <w:t>775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2704E" w14:textId="77777777" w:rsidR="000740F7" w:rsidRPr="001F53E7" w:rsidRDefault="000740F7" w:rsidP="006D0A51">
            <w:pPr>
              <w:jc w:val="center"/>
              <w:rPr>
                <w:color w:val="000000"/>
                <w:sz w:val="16"/>
                <w:szCs w:val="16"/>
              </w:rPr>
            </w:pPr>
            <w:r w:rsidRPr="001F53E7">
              <w:rPr>
                <w:color w:val="000000"/>
                <w:sz w:val="16"/>
                <w:szCs w:val="16"/>
              </w:rPr>
              <w:t>1.427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B5333" w14:textId="77777777" w:rsidR="000740F7" w:rsidRPr="001F53E7" w:rsidRDefault="000740F7" w:rsidP="006D0A51">
            <w:pPr>
              <w:jc w:val="center"/>
              <w:rPr>
                <w:color w:val="000000"/>
                <w:sz w:val="16"/>
                <w:szCs w:val="16"/>
              </w:rPr>
            </w:pPr>
            <w:r w:rsidRPr="001F53E7">
              <w:rPr>
                <w:color w:val="000000"/>
                <w:sz w:val="16"/>
                <w:szCs w:val="16"/>
              </w:rPr>
              <w:t>1.492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3B6D3" w14:textId="77777777" w:rsidR="000740F7" w:rsidRPr="001F53E7" w:rsidRDefault="000740F7" w:rsidP="006D0A51">
            <w:pPr>
              <w:jc w:val="center"/>
              <w:rPr>
                <w:color w:val="000000"/>
                <w:sz w:val="16"/>
                <w:szCs w:val="16"/>
              </w:rPr>
            </w:pPr>
            <w:r w:rsidRPr="001F53E7">
              <w:rPr>
                <w:color w:val="000000"/>
                <w:sz w:val="16"/>
                <w:szCs w:val="16"/>
              </w:rPr>
              <w:t>710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4D99AB1" w14:textId="77777777" w:rsidR="000740F7" w:rsidRPr="001F53E7" w:rsidRDefault="000740F7" w:rsidP="006D0A51">
            <w:pPr>
              <w:jc w:val="center"/>
              <w:rPr>
                <w:color w:val="000000"/>
                <w:sz w:val="16"/>
                <w:szCs w:val="16"/>
              </w:rPr>
            </w:pPr>
            <w:r w:rsidRPr="001F53E7">
              <w:rPr>
                <w:color w:val="000000"/>
                <w:sz w:val="16"/>
                <w:szCs w:val="16"/>
              </w:rPr>
              <w:t>352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B102A33" w14:textId="77777777" w:rsidR="000740F7" w:rsidRPr="001F53E7" w:rsidRDefault="000740F7" w:rsidP="006D0A51">
            <w:pPr>
              <w:jc w:val="center"/>
              <w:rPr>
                <w:color w:val="000000"/>
                <w:sz w:val="16"/>
                <w:szCs w:val="16"/>
              </w:rPr>
            </w:pPr>
            <w:r w:rsidRPr="001F53E7">
              <w:rPr>
                <w:color w:val="000000"/>
                <w:sz w:val="16"/>
                <w:szCs w:val="16"/>
              </w:rPr>
              <w:t>2.610</w:t>
            </w:r>
          </w:p>
        </w:tc>
      </w:tr>
      <w:tr w:rsidR="000740F7" w:rsidRPr="001B4CA2" w14:paraId="29142DD3"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668B277D"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0376DA1A" w14:textId="77777777" w:rsidR="000740F7" w:rsidRPr="001F53E7" w:rsidRDefault="000740F7" w:rsidP="006D0A51">
            <w:pPr>
              <w:jc w:val="center"/>
              <w:rPr>
                <w:color w:val="000000"/>
                <w:sz w:val="16"/>
                <w:szCs w:val="16"/>
              </w:rPr>
            </w:pPr>
            <w:r w:rsidRPr="001F53E7">
              <w:rPr>
                <w:color w:val="000000"/>
                <w:sz w:val="16"/>
                <w:szCs w:val="16"/>
              </w:rPr>
              <w:t>2019.</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9DC4F" w14:textId="77777777" w:rsidR="000740F7" w:rsidRPr="001F53E7" w:rsidRDefault="000740F7" w:rsidP="006D0A51">
            <w:pPr>
              <w:jc w:val="center"/>
              <w:rPr>
                <w:color w:val="000000"/>
                <w:sz w:val="16"/>
                <w:szCs w:val="16"/>
              </w:rPr>
            </w:pPr>
            <w:r w:rsidRPr="001F53E7">
              <w:rPr>
                <w:color w:val="000000"/>
                <w:sz w:val="16"/>
                <w:szCs w:val="16"/>
              </w:rPr>
              <w:t>725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57368" w14:textId="77777777" w:rsidR="000740F7" w:rsidRPr="001F53E7" w:rsidRDefault="000740F7" w:rsidP="006D0A51">
            <w:pPr>
              <w:jc w:val="center"/>
              <w:rPr>
                <w:color w:val="000000"/>
                <w:sz w:val="16"/>
                <w:szCs w:val="16"/>
              </w:rPr>
            </w:pPr>
            <w:r w:rsidRPr="001F53E7">
              <w:rPr>
                <w:color w:val="000000"/>
                <w:sz w:val="16"/>
                <w:szCs w:val="16"/>
              </w:rPr>
              <w:t>1.553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912CF" w14:textId="77777777" w:rsidR="000740F7" w:rsidRPr="001F53E7" w:rsidRDefault="000740F7" w:rsidP="006D0A51">
            <w:pPr>
              <w:jc w:val="center"/>
              <w:rPr>
                <w:color w:val="000000"/>
                <w:sz w:val="16"/>
                <w:szCs w:val="16"/>
              </w:rPr>
            </w:pPr>
            <w:r w:rsidRPr="001F53E7">
              <w:rPr>
                <w:color w:val="000000"/>
                <w:sz w:val="16"/>
                <w:szCs w:val="16"/>
              </w:rPr>
              <w:t>1.626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34CBF" w14:textId="77777777" w:rsidR="000740F7" w:rsidRPr="001F53E7" w:rsidRDefault="000740F7" w:rsidP="006D0A51">
            <w:pPr>
              <w:jc w:val="center"/>
              <w:rPr>
                <w:color w:val="000000"/>
                <w:sz w:val="16"/>
                <w:szCs w:val="16"/>
              </w:rPr>
            </w:pPr>
            <w:r w:rsidRPr="001F53E7">
              <w:rPr>
                <w:color w:val="000000"/>
                <w:sz w:val="16"/>
                <w:szCs w:val="16"/>
              </w:rPr>
              <w:t>652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6842923" w14:textId="77777777" w:rsidR="000740F7" w:rsidRPr="001F53E7" w:rsidRDefault="000740F7" w:rsidP="006D0A51">
            <w:pPr>
              <w:jc w:val="center"/>
              <w:rPr>
                <w:color w:val="000000"/>
                <w:sz w:val="16"/>
                <w:szCs w:val="16"/>
              </w:rPr>
            </w:pPr>
            <w:r w:rsidRPr="001F53E7">
              <w:rPr>
                <w:color w:val="000000"/>
                <w:sz w:val="16"/>
                <w:szCs w:val="16"/>
              </w:rPr>
              <w:t>317</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72B0964" w14:textId="77777777" w:rsidR="000740F7" w:rsidRPr="001F53E7" w:rsidRDefault="000740F7" w:rsidP="006D0A51">
            <w:pPr>
              <w:jc w:val="center"/>
              <w:rPr>
                <w:color w:val="000000"/>
                <w:sz w:val="16"/>
                <w:szCs w:val="16"/>
              </w:rPr>
            </w:pPr>
            <w:r w:rsidRPr="001F53E7">
              <w:rPr>
                <w:color w:val="000000"/>
                <w:sz w:val="16"/>
                <w:szCs w:val="16"/>
              </w:rPr>
              <w:t>2.635</w:t>
            </w:r>
          </w:p>
        </w:tc>
      </w:tr>
      <w:tr w:rsidR="000740F7" w:rsidRPr="001B4CA2" w14:paraId="0880D6D6"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062ED218"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4D3E9F69" w14:textId="77777777" w:rsidR="000740F7" w:rsidRPr="001F53E7" w:rsidRDefault="000740F7" w:rsidP="006D0A51">
            <w:pPr>
              <w:jc w:val="center"/>
              <w:rPr>
                <w:color w:val="000000"/>
                <w:sz w:val="16"/>
                <w:szCs w:val="16"/>
              </w:rPr>
            </w:pPr>
            <w:r w:rsidRPr="001F53E7">
              <w:rPr>
                <w:color w:val="000000"/>
                <w:sz w:val="16"/>
                <w:szCs w:val="16"/>
              </w:rPr>
              <w:t>2020.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65DED" w14:textId="77777777" w:rsidR="000740F7" w:rsidRPr="001F53E7" w:rsidRDefault="000740F7" w:rsidP="006D0A51">
            <w:pPr>
              <w:jc w:val="center"/>
              <w:rPr>
                <w:color w:val="000000"/>
                <w:sz w:val="16"/>
                <w:szCs w:val="16"/>
              </w:rPr>
            </w:pPr>
            <w:r w:rsidRPr="001F53E7">
              <w:rPr>
                <w:color w:val="000000"/>
                <w:sz w:val="16"/>
                <w:szCs w:val="16"/>
              </w:rPr>
              <w:t> 197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E44AF" w14:textId="77777777" w:rsidR="000740F7" w:rsidRPr="001F53E7" w:rsidRDefault="000740F7" w:rsidP="006D0A51">
            <w:pPr>
              <w:jc w:val="center"/>
              <w:rPr>
                <w:color w:val="000000"/>
                <w:sz w:val="16"/>
                <w:szCs w:val="16"/>
              </w:rPr>
            </w:pPr>
            <w:r w:rsidRPr="001F53E7">
              <w:rPr>
                <w:color w:val="000000"/>
                <w:sz w:val="16"/>
                <w:szCs w:val="16"/>
              </w:rPr>
              <w:t>3.335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DC384" w14:textId="77777777" w:rsidR="000740F7" w:rsidRPr="001F53E7" w:rsidRDefault="000740F7" w:rsidP="006D0A51">
            <w:pPr>
              <w:jc w:val="center"/>
              <w:rPr>
                <w:color w:val="000000"/>
                <w:sz w:val="16"/>
                <w:szCs w:val="16"/>
              </w:rPr>
            </w:pPr>
            <w:r w:rsidRPr="001F53E7">
              <w:rPr>
                <w:color w:val="000000"/>
                <w:sz w:val="16"/>
                <w:szCs w:val="16"/>
              </w:rPr>
              <w:t> 3.025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285E8" w14:textId="77777777" w:rsidR="000740F7" w:rsidRPr="001F53E7" w:rsidRDefault="000740F7" w:rsidP="006D0A51">
            <w:pPr>
              <w:jc w:val="center"/>
              <w:rPr>
                <w:color w:val="000000"/>
                <w:sz w:val="16"/>
                <w:szCs w:val="16"/>
              </w:rPr>
            </w:pPr>
            <w:r w:rsidRPr="001F53E7">
              <w:rPr>
                <w:color w:val="000000"/>
                <w:sz w:val="16"/>
                <w:szCs w:val="16"/>
              </w:rPr>
              <w:t>507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7B7DEEF" w14:textId="77777777" w:rsidR="000740F7" w:rsidRPr="001F53E7" w:rsidRDefault="000740F7" w:rsidP="006D0A51">
            <w:pPr>
              <w:jc w:val="center"/>
              <w:rPr>
                <w:color w:val="000000"/>
                <w:sz w:val="16"/>
                <w:szCs w:val="16"/>
              </w:rPr>
            </w:pPr>
            <w:r w:rsidRPr="001F53E7">
              <w:rPr>
                <w:color w:val="000000"/>
                <w:sz w:val="16"/>
                <w:szCs w:val="16"/>
              </w:rPr>
              <w:t>649</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13F065DF" w14:textId="77777777" w:rsidR="000740F7" w:rsidRPr="001F53E7" w:rsidRDefault="000740F7" w:rsidP="006D0A51">
            <w:pPr>
              <w:jc w:val="center"/>
              <w:rPr>
                <w:color w:val="000000"/>
                <w:sz w:val="16"/>
                <w:szCs w:val="16"/>
              </w:rPr>
            </w:pPr>
            <w:r w:rsidRPr="001F53E7">
              <w:rPr>
                <w:color w:val="000000"/>
                <w:sz w:val="16"/>
                <w:szCs w:val="16"/>
              </w:rPr>
              <w:t>3.695</w:t>
            </w:r>
          </w:p>
        </w:tc>
      </w:tr>
      <w:tr w:rsidR="000740F7" w:rsidRPr="001B4CA2" w14:paraId="6779234D"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51BE7368"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125E484E" w14:textId="77777777" w:rsidR="000740F7" w:rsidRPr="001F53E7" w:rsidRDefault="000740F7" w:rsidP="006D0A51">
            <w:pPr>
              <w:jc w:val="center"/>
              <w:rPr>
                <w:color w:val="000000"/>
                <w:sz w:val="16"/>
                <w:szCs w:val="16"/>
              </w:rPr>
            </w:pPr>
            <w:r w:rsidRPr="001F53E7">
              <w:rPr>
                <w:color w:val="000000"/>
                <w:sz w:val="16"/>
                <w:szCs w:val="16"/>
              </w:rPr>
              <w:t>2021.</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8A4EA" w14:textId="77777777" w:rsidR="000740F7" w:rsidRPr="001F53E7" w:rsidRDefault="000740F7" w:rsidP="006D0A51">
            <w:pPr>
              <w:jc w:val="center"/>
              <w:rPr>
                <w:color w:val="000000"/>
                <w:sz w:val="16"/>
                <w:szCs w:val="16"/>
              </w:rPr>
            </w:pPr>
            <w:r w:rsidRPr="001F53E7">
              <w:rPr>
                <w:color w:val="000000"/>
                <w:sz w:val="16"/>
                <w:szCs w:val="16"/>
              </w:rPr>
              <w:t>549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B70E9" w14:textId="77777777" w:rsidR="000740F7" w:rsidRPr="001F53E7" w:rsidRDefault="000740F7" w:rsidP="006D0A51">
            <w:pPr>
              <w:jc w:val="center"/>
              <w:rPr>
                <w:color w:val="000000"/>
                <w:sz w:val="16"/>
                <w:szCs w:val="16"/>
              </w:rPr>
            </w:pPr>
            <w:r w:rsidRPr="001F53E7">
              <w:rPr>
                <w:color w:val="000000"/>
                <w:sz w:val="16"/>
                <w:szCs w:val="16"/>
              </w:rPr>
              <w:t>3.454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7748F" w14:textId="77777777" w:rsidR="000740F7" w:rsidRPr="001F53E7" w:rsidRDefault="000740F7" w:rsidP="006D0A51">
            <w:pPr>
              <w:jc w:val="center"/>
              <w:rPr>
                <w:color w:val="000000"/>
                <w:sz w:val="16"/>
                <w:szCs w:val="16"/>
              </w:rPr>
            </w:pPr>
            <w:r w:rsidRPr="001F53E7">
              <w:rPr>
                <w:color w:val="000000"/>
                <w:sz w:val="16"/>
                <w:szCs w:val="16"/>
              </w:rPr>
              <w:t>3.308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F6A97" w14:textId="77777777" w:rsidR="000740F7" w:rsidRPr="001F53E7" w:rsidRDefault="000740F7" w:rsidP="006D0A51">
            <w:pPr>
              <w:jc w:val="center"/>
              <w:rPr>
                <w:color w:val="000000"/>
                <w:sz w:val="16"/>
                <w:szCs w:val="16"/>
              </w:rPr>
            </w:pPr>
            <w:r w:rsidRPr="001F53E7">
              <w:rPr>
                <w:color w:val="000000"/>
                <w:sz w:val="16"/>
                <w:szCs w:val="16"/>
              </w:rPr>
              <w:t>695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C08F820" w14:textId="77777777" w:rsidR="000740F7" w:rsidRPr="001F53E7" w:rsidRDefault="000740F7" w:rsidP="006D0A51">
            <w:pPr>
              <w:jc w:val="center"/>
              <w:rPr>
                <w:color w:val="000000"/>
                <w:sz w:val="16"/>
                <w:szCs w:val="16"/>
              </w:rPr>
            </w:pPr>
            <w:r w:rsidRPr="001F53E7">
              <w:rPr>
                <w:color w:val="000000"/>
                <w:sz w:val="16"/>
                <w:szCs w:val="16"/>
              </w:rPr>
              <w:t>527</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F23B23A" w14:textId="77777777" w:rsidR="000740F7" w:rsidRPr="001F53E7" w:rsidRDefault="000740F7" w:rsidP="006D0A51">
            <w:pPr>
              <w:jc w:val="center"/>
              <w:rPr>
                <w:color w:val="000000"/>
                <w:sz w:val="16"/>
                <w:szCs w:val="16"/>
              </w:rPr>
            </w:pPr>
            <w:r w:rsidRPr="001F53E7">
              <w:rPr>
                <w:color w:val="000000"/>
                <w:sz w:val="16"/>
                <w:szCs w:val="16"/>
              </w:rPr>
              <w:t>4.611</w:t>
            </w:r>
          </w:p>
        </w:tc>
      </w:tr>
      <w:tr w:rsidR="000740F7" w:rsidRPr="001B4CA2" w14:paraId="16B8AE99"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2D4C1EB6"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5C42E882" w14:textId="77777777" w:rsidR="000740F7" w:rsidRPr="001F53E7" w:rsidRDefault="000740F7" w:rsidP="006D0A51">
            <w:pPr>
              <w:jc w:val="center"/>
              <w:rPr>
                <w:color w:val="000000"/>
                <w:sz w:val="16"/>
                <w:szCs w:val="16"/>
              </w:rPr>
            </w:pPr>
            <w:r w:rsidRPr="001F53E7">
              <w:rPr>
                <w:color w:val="000000"/>
                <w:sz w:val="16"/>
                <w:szCs w:val="16"/>
              </w:rPr>
              <w:t>2022.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EAC81" w14:textId="77777777" w:rsidR="000740F7" w:rsidRPr="001F53E7" w:rsidRDefault="000740F7" w:rsidP="006D0A51">
            <w:pPr>
              <w:jc w:val="center"/>
              <w:rPr>
                <w:color w:val="000000"/>
                <w:sz w:val="16"/>
                <w:szCs w:val="16"/>
              </w:rPr>
            </w:pPr>
            <w:r w:rsidRPr="001F53E7">
              <w:rPr>
                <w:color w:val="000000"/>
                <w:sz w:val="16"/>
                <w:szCs w:val="16"/>
              </w:rPr>
              <w:t>685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C8C35" w14:textId="77777777" w:rsidR="000740F7" w:rsidRPr="001F53E7" w:rsidRDefault="000740F7" w:rsidP="006D0A51">
            <w:pPr>
              <w:jc w:val="center"/>
              <w:rPr>
                <w:color w:val="000000"/>
                <w:sz w:val="16"/>
                <w:szCs w:val="16"/>
              </w:rPr>
            </w:pPr>
            <w:r w:rsidRPr="001F53E7">
              <w:rPr>
                <w:color w:val="000000"/>
                <w:sz w:val="16"/>
                <w:szCs w:val="16"/>
              </w:rPr>
              <w:t>3.493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BA1B2" w14:textId="77777777" w:rsidR="000740F7" w:rsidRPr="001F53E7" w:rsidRDefault="000740F7" w:rsidP="006D0A51">
            <w:pPr>
              <w:jc w:val="center"/>
              <w:rPr>
                <w:color w:val="000000"/>
                <w:sz w:val="16"/>
                <w:szCs w:val="16"/>
              </w:rPr>
            </w:pPr>
            <w:r w:rsidRPr="001F53E7">
              <w:rPr>
                <w:color w:val="000000"/>
                <w:sz w:val="16"/>
                <w:szCs w:val="16"/>
              </w:rPr>
              <w:t>3.306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71EB3" w14:textId="77777777" w:rsidR="000740F7" w:rsidRPr="001F53E7" w:rsidRDefault="000740F7" w:rsidP="006D0A51">
            <w:pPr>
              <w:jc w:val="center"/>
              <w:rPr>
                <w:color w:val="000000"/>
                <w:sz w:val="16"/>
                <w:szCs w:val="16"/>
              </w:rPr>
            </w:pPr>
            <w:r w:rsidRPr="001F53E7">
              <w:rPr>
                <w:color w:val="000000"/>
                <w:sz w:val="16"/>
                <w:szCs w:val="16"/>
              </w:rPr>
              <w:t>872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C51AE98" w14:textId="77777777" w:rsidR="000740F7" w:rsidRPr="001F53E7" w:rsidRDefault="000740F7" w:rsidP="006D0A51">
            <w:pPr>
              <w:jc w:val="center"/>
              <w:rPr>
                <w:color w:val="000000"/>
                <w:sz w:val="16"/>
                <w:szCs w:val="16"/>
              </w:rPr>
            </w:pPr>
            <w:r w:rsidRPr="001F53E7">
              <w:rPr>
                <w:color w:val="000000"/>
                <w:sz w:val="16"/>
                <w:szCs w:val="16"/>
              </w:rPr>
              <w:t>349</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4A3B08C" w14:textId="77777777" w:rsidR="000740F7" w:rsidRPr="001F53E7" w:rsidRDefault="000740F7" w:rsidP="006D0A51">
            <w:pPr>
              <w:jc w:val="center"/>
              <w:rPr>
                <w:color w:val="000000"/>
                <w:sz w:val="16"/>
                <w:szCs w:val="16"/>
              </w:rPr>
            </w:pPr>
            <w:r w:rsidRPr="001F53E7">
              <w:rPr>
                <w:color w:val="000000"/>
                <w:sz w:val="16"/>
                <w:szCs w:val="16"/>
              </w:rPr>
              <w:t>4.408</w:t>
            </w:r>
          </w:p>
        </w:tc>
      </w:tr>
      <w:tr w:rsidR="000740F7" w:rsidRPr="001B4CA2" w14:paraId="7DC907D4" w14:textId="77777777" w:rsidTr="006D0A51">
        <w:trPr>
          <w:trHeight w:val="300"/>
        </w:trPr>
        <w:tc>
          <w:tcPr>
            <w:tcW w:w="14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0EDEDA" w14:textId="77777777" w:rsidR="000740F7" w:rsidRPr="001F53E7" w:rsidRDefault="000740F7" w:rsidP="006D0A51">
            <w:pPr>
              <w:jc w:val="center"/>
              <w:rPr>
                <w:rFonts w:eastAsia="Times New Roman"/>
                <w:sz w:val="16"/>
                <w:szCs w:val="16"/>
                <w:lang w:eastAsia="hr-HR"/>
              </w:rPr>
            </w:pPr>
            <w:r w:rsidRPr="001F53E7">
              <w:rPr>
                <w:rFonts w:eastAsia="Times New Roman"/>
                <w:sz w:val="16"/>
                <w:szCs w:val="16"/>
                <w:lang w:eastAsia="hr-HR"/>
              </w:rPr>
              <w:t>DORH</w:t>
            </w: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43881EAC" w14:textId="77777777" w:rsidR="000740F7" w:rsidRPr="001F53E7" w:rsidRDefault="000740F7" w:rsidP="006D0A51">
            <w:pPr>
              <w:jc w:val="center"/>
              <w:rPr>
                <w:color w:val="000000"/>
                <w:sz w:val="16"/>
                <w:szCs w:val="16"/>
              </w:rPr>
            </w:pPr>
            <w:r w:rsidRPr="001F53E7">
              <w:rPr>
                <w:color w:val="000000"/>
                <w:sz w:val="16"/>
                <w:szCs w:val="16"/>
              </w:rPr>
              <w:t>2018.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D7F47" w14:textId="77777777" w:rsidR="000740F7" w:rsidRPr="001F53E7" w:rsidRDefault="000740F7" w:rsidP="006D0A51">
            <w:pPr>
              <w:jc w:val="center"/>
              <w:rPr>
                <w:color w:val="000000"/>
                <w:sz w:val="16"/>
                <w:szCs w:val="16"/>
              </w:rPr>
            </w:pPr>
            <w:r w:rsidRPr="001F53E7">
              <w:rPr>
                <w:color w:val="000000"/>
                <w:sz w:val="16"/>
                <w:szCs w:val="16"/>
              </w:rPr>
              <w:t>2.427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BBFC" w14:textId="77777777" w:rsidR="000740F7" w:rsidRPr="001F53E7" w:rsidRDefault="000740F7" w:rsidP="006D0A51">
            <w:pPr>
              <w:jc w:val="center"/>
              <w:rPr>
                <w:color w:val="000000"/>
                <w:sz w:val="16"/>
                <w:szCs w:val="16"/>
              </w:rPr>
            </w:pPr>
            <w:r w:rsidRPr="001F53E7">
              <w:rPr>
                <w:color w:val="000000"/>
                <w:sz w:val="16"/>
                <w:szCs w:val="16"/>
              </w:rPr>
              <w:t>5.040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06952" w14:textId="77777777" w:rsidR="000740F7" w:rsidRPr="001F53E7" w:rsidRDefault="000740F7" w:rsidP="006D0A51">
            <w:pPr>
              <w:jc w:val="center"/>
              <w:rPr>
                <w:color w:val="000000"/>
                <w:sz w:val="16"/>
                <w:szCs w:val="16"/>
              </w:rPr>
            </w:pPr>
            <w:r w:rsidRPr="001F53E7">
              <w:rPr>
                <w:color w:val="000000"/>
                <w:sz w:val="16"/>
                <w:szCs w:val="16"/>
              </w:rPr>
              <w:t>5.242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5402A" w14:textId="77777777" w:rsidR="000740F7" w:rsidRPr="001F53E7" w:rsidRDefault="000740F7" w:rsidP="006D0A51">
            <w:pPr>
              <w:jc w:val="center"/>
              <w:rPr>
                <w:color w:val="000000"/>
                <w:sz w:val="16"/>
                <w:szCs w:val="16"/>
              </w:rPr>
            </w:pPr>
            <w:r w:rsidRPr="001F53E7">
              <w:rPr>
                <w:color w:val="000000"/>
                <w:sz w:val="16"/>
                <w:szCs w:val="16"/>
              </w:rPr>
              <w:t>2.225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13B48C6" w14:textId="77777777" w:rsidR="000740F7" w:rsidRPr="001F53E7" w:rsidRDefault="000740F7" w:rsidP="006D0A51">
            <w:pPr>
              <w:jc w:val="center"/>
              <w:rPr>
                <w:color w:val="000000"/>
                <w:sz w:val="16"/>
                <w:szCs w:val="16"/>
              </w:rPr>
            </w:pPr>
            <w:r w:rsidRPr="001F53E7">
              <w:rPr>
                <w:color w:val="000000"/>
                <w:sz w:val="16"/>
                <w:szCs w:val="16"/>
              </w:rPr>
              <w:t>44</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1A63B2A4" w14:textId="77777777" w:rsidR="000740F7" w:rsidRPr="001F53E7" w:rsidRDefault="000740F7" w:rsidP="006D0A51">
            <w:pPr>
              <w:jc w:val="center"/>
              <w:rPr>
                <w:color w:val="000000"/>
                <w:sz w:val="16"/>
                <w:szCs w:val="16"/>
              </w:rPr>
            </w:pPr>
            <w:r w:rsidRPr="001F53E7">
              <w:rPr>
                <w:color w:val="000000"/>
                <w:sz w:val="16"/>
                <w:szCs w:val="16"/>
              </w:rPr>
              <w:t>10.483</w:t>
            </w:r>
          </w:p>
        </w:tc>
      </w:tr>
      <w:tr w:rsidR="000740F7" w:rsidRPr="001B4CA2" w14:paraId="579882E2"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243E5072"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05A0E5C8" w14:textId="77777777" w:rsidR="000740F7" w:rsidRPr="001F53E7" w:rsidRDefault="000740F7" w:rsidP="006D0A51">
            <w:pPr>
              <w:jc w:val="center"/>
              <w:rPr>
                <w:color w:val="000000"/>
                <w:sz w:val="16"/>
                <w:szCs w:val="16"/>
              </w:rPr>
            </w:pPr>
            <w:r w:rsidRPr="001F53E7">
              <w:rPr>
                <w:color w:val="000000"/>
                <w:sz w:val="16"/>
                <w:szCs w:val="16"/>
              </w:rPr>
              <w:t>2019.</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BDE42" w14:textId="77777777" w:rsidR="000740F7" w:rsidRPr="001F53E7" w:rsidRDefault="000740F7" w:rsidP="006D0A51">
            <w:pPr>
              <w:jc w:val="center"/>
              <w:rPr>
                <w:color w:val="000000"/>
                <w:sz w:val="16"/>
                <w:szCs w:val="16"/>
              </w:rPr>
            </w:pPr>
            <w:r w:rsidRPr="001F53E7">
              <w:rPr>
                <w:color w:val="000000"/>
                <w:sz w:val="16"/>
                <w:szCs w:val="16"/>
              </w:rPr>
              <w:t>2.277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A5115" w14:textId="77777777" w:rsidR="000740F7" w:rsidRPr="001F53E7" w:rsidRDefault="000740F7" w:rsidP="006D0A51">
            <w:pPr>
              <w:jc w:val="center"/>
              <w:rPr>
                <w:color w:val="000000"/>
                <w:sz w:val="16"/>
                <w:szCs w:val="16"/>
              </w:rPr>
            </w:pPr>
            <w:r w:rsidRPr="001F53E7">
              <w:rPr>
                <w:color w:val="000000"/>
                <w:sz w:val="16"/>
                <w:szCs w:val="16"/>
              </w:rPr>
              <w:t>5.327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57AEE" w14:textId="77777777" w:rsidR="000740F7" w:rsidRPr="001F53E7" w:rsidRDefault="000740F7" w:rsidP="006D0A51">
            <w:pPr>
              <w:jc w:val="center"/>
              <w:rPr>
                <w:color w:val="000000"/>
                <w:sz w:val="16"/>
                <w:szCs w:val="16"/>
              </w:rPr>
            </w:pPr>
            <w:r w:rsidRPr="001F53E7">
              <w:rPr>
                <w:color w:val="000000"/>
                <w:sz w:val="16"/>
                <w:szCs w:val="16"/>
              </w:rPr>
              <w:t>5.899</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9D04E" w14:textId="77777777" w:rsidR="000740F7" w:rsidRPr="001F53E7" w:rsidRDefault="000740F7" w:rsidP="006D0A51">
            <w:pPr>
              <w:jc w:val="center"/>
              <w:rPr>
                <w:color w:val="000000"/>
                <w:sz w:val="16"/>
                <w:szCs w:val="16"/>
              </w:rPr>
            </w:pPr>
            <w:r w:rsidRPr="001F53E7">
              <w:rPr>
                <w:color w:val="000000"/>
                <w:sz w:val="16"/>
                <w:szCs w:val="16"/>
              </w:rPr>
              <w:t>1.705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63923FE" w14:textId="77777777" w:rsidR="000740F7" w:rsidRPr="001F53E7" w:rsidRDefault="000740F7" w:rsidP="006D0A51">
            <w:pPr>
              <w:jc w:val="center"/>
              <w:rPr>
                <w:color w:val="000000"/>
                <w:sz w:val="16"/>
                <w:szCs w:val="16"/>
              </w:rPr>
            </w:pPr>
            <w:r w:rsidRPr="001F53E7">
              <w:rPr>
                <w:color w:val="000000"/>
                <w:sz w:val="16"/>
                <w:szCs w:val="16"/>
              </w:rPr>
              <w:t>41</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9269113" w14:textId="77777777" w:rsidR="000740F7" w:rsidRPr="001F53E7" w:rsidRDefault="000740F7" w:rsidP="006D0A51">
            <w:pPr>
              <w:jc w:val="center"/>
              <w:rPr>
                <w:color w:val="000000"/>
                <w:sz w:val="16"/>
                <w:szCs w:val="16"/>
              </w:rPr>
            </w:pPr>
            <w:r w:rsidRPr="001F53E7">
              <w:rPr>
                <w:color w:val="000000"/>
                <w:sz w:val="16"/>
                <w:szCs w:val="16"/>
              </w:rPr>
              <w:t>9.001</w:t>
            </w:r>
          </w:p>
        </w:tc>
      </w:tr>
      <w:tr w:rsidR="000740F7" w:rsidRPr="001B4CA2" w14:paraId="57B57F6A"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10E1F10B"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46E8FDC6" w14:textId="77777777" w:rsidR="000740F7" w:rsidRPr="001F53E7" w:rsidRDefault="000740F7" w:rsidP="006D0A51">
            <w:pPr>
              <w:jc w:val="center"/>
              <w:rPr>
                <w:color w:val="000000"/>
                <w:sz w:val="16"/>
                <w:szCs w:val="16"/>
              </w:rPr>
            </w:pPr>
            <w:r w:rsidRPr="001F53E7">
              <w:rPr>
                <w:color w:val="000000"/>
                <w:sz w:val="16"/>
                <w:szCs w:val="16"/>
              </w:rPr>
              <w:t xml:space="preserve">2020. </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C7968" w14:textId="77777777" w:rsidR="000740F7" w:rsidRPr="001F53E7" w:rsidRDefault="000740F7" w:rsidP="006D0A51">
            <w:pPr>
              <w:jc w:val="center"/>
              <w:rPr>
                <w:color w:val="000000"/>
                <w:sz w:val="16"/>
                <w:szCs w:val="16"/>
              </w:rPr>
            </w:pPr>
            <w:r w:rsidRPr="001F53E7">
              <w:rPr>
                <w:color w:val="000000"/>
                <w:sz w:val="16"/>
                <w:szCs w:val="16"/>
              </w:rPr>
              <w:t> 1.306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A7AE0" w14:textId="77777777" w:rsidR="000740F7" w:rsidRPr="001F53E7" w:rsidRDefault="000740F7" w:rsidP="006D0A51">
            <w:pPr>
              <w:jc w:val="center"/>
              <w:rPr>
                <w:color w:val="000000"/>
                <w:sz w:val="16"/>
                <w:szCs w:val="16"/>
              </w:rPr>
            </w:pPr>
            <w:r w:rsidRPr="001F53E7">
              <w:rPr>
                <w:color w:val="000000"/>
                <w:sz w:val="16"/>
                <w:szCs w:val="16"/>
              </w:rPr>
              <w:t>5.571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8B306" w14:textId="77777777" w:rsidR="000740F7" w:rsidRPr="001F53E7" w:rsidRDefault="000740F7" w:rsidP="006D0A51">
            <w:pPr>
              <w:jc w:val="center"/>
              <w:rPr>
                <w:color w:val="000000"/>
                <w:sz w:val="16"/>
                <w:szCs w:val="16"/>
              </w:rPr>
            </w:pPr>
            <w:r w:rsidRPr="001F53E7">
              <w:rPr>
                <w:color w:val="000000"/>
                <w:sz w:val="16"/>
                <w:szCs w:val="16"/>
              </w:rPr>
              <w:t>5.584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8CA3E" w14:textId="77777777" w:rsidR="000740F7" w:rsidRPr="001F53E7" w:rsidRDefault="000740F7" w:rsidP="006D0A51">
            <w:pPr>
              <w:jc w:val="center"/>
              <w:rPr>
                <w:color w:val="000000"/>
                <w:sz w:val="16"/>
                <w:szCs w:val="16"/>
              </w:rPr>
            </w:pPr>
            <w:r w:rsidRPr="001F53E7">
              <w:rPr>
                <w:color w:val="000000"/>
                <w:sz w:val="16"/>
                <w:szCs w:val="16"/>
              </w:rPr>
              <w:t>1.293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FB376ED" w14:textId="77777777" w:rsidR="000740F7" w:rsidRPr="001F53E7" w:rsidRDefault="000740F7" w:rsidP="006D0A51">
            <w:pPr>
              <w:jc w:val="center"/>
              <w:rPr>
                <w:color w:val="000000"/>
                <w:sz w:val="16"/>
                <w:szCs w:val="16"/>
              </w:rPr>
            </w:pPr>
            <w:r w:rsidRPr="001F53E7">
              <w:rPr>
                <w:color w:val="000000"/>
                <w:sz w:val="16"/>
                <w:szCs w:val="16"/>
              </w:rPr>
              <w:t>52</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2E64A1A" w14:textId="77777777" w:rsidR="000740F7" w:rsidRPr="001F53E7" w:rsidRDefault="000740F7" w:rsidP="006D0A51">
            <w:pPr>
              <w:jc w:val="center"/>
              <w:rPr>
                <w:color w:val="000000"/>
                <w:sz w:val="16"/>
                <w:szCs w:val="16"/>
              </w:rPr>
            </w:pPr>
            <w:r w:rsidRPr="001F53E7">
              <w:rPr>
                <w:color w:val="000000"/>
                <w:sz w:val="16"/>
                <w:szCs w:val="16"/>
              </w:rPr>
              <w:t>9.642</w:t>
            </w:r>
          </w:p>
        </w:tc>
      </w:tr>
      <w:tr w:rsidR="000740F7" w:rsidRPr="001B4CA2" w14:paraId="43B9C4C5"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68E5F9A6"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59A7349D" w14:textId="77777777" w:rsidR="000740F7" w:rsidRPr="001F53E7" w:rsidRDefault="000740F7" w:rsidP="006D0A51">
            <w:pPr>
              <w:jc w:val="center"/>
              <w:rPr>
                <w:color w:val="000000"/>
                <w:sz w:val="16"/>
                <w:szCs w:val="16"/>
              </w:rPr>
            </w:pPr>
            <w:r w:rsidRPr="001F53E7">
              <w:rPr>
                <w:color w:val="000000"/>
                <w:sz w:val="16"/>
                <w:szCs w:val="16"/>
              </w:rPr>
              <w:t xml:space="preserve">2021. </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46AB" w14:textId="77777777" w:rsidR="000740F7" w:rsidRPr="001F53E7" w:rsidRDefault="000740F7" w:rsidP="006D0A51">
            <w:pPr>
              <w:jc w:val="center"/>
              <w:rPr>
                <w:color w:val="000000"/>
                <w:sz w:val="16"/>
                <w:szCs w:val="16"/>
              </w:rPr>
            </w:pPr>
            <w:r w:rsidRPr="001F53E7">
              <w:rPr>
                <w:color w:val="000000"/>
                <w:sz w:val="16"/>
                <w:szCs w:val="16"/>
              </w:rPr>
              <w:t>1.237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613F1" w14:textId="77777777" w:rsidR="000740F7" w:rsidRPr="001F53E7" w:rsidRDefault="000740F7" w:rsidP="006D0A51">
            <w:pPr>
              <w:jc w:val="center"/>
              <w:rPr>
                <w:color w:val="000000"/>
                <w:sz w:val="16"/>
                <w:szCs w:val="16"/>
              </w:rPr>
            </w:pPr>
            <w:r w:rsidRPr="001F53E7">
              <w:rPr>
                <w:color w:val="000000"/>
                <w:sz w:val="16"/>
                <w:szCs w:val="16"/>
              </w:rPr>
              <w:t>6.398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7EE46" w14:textId="77777777" w:rsidR="000740F7" w:rsidRPr="001F53E7" w:rsidRDefault="000740F7" w:rsidP="006D0A51">
            <w:pPr>
              <w:jc w:val="center"/>
              <w:rPr>
                <w:color w:val="000000"/>
                <w:sz w:val="16"/>
                <w:szCs w:val="16"/>
              </w:rPr>
            </w:pPr>
            <w:r w:rsidRPr="001F53E7">
              <w:rPr>
                <w:color w:val="000000"/>
                <w:sz w:val="16"/>
                <w:szCs w:val="16"/>
              </w:rPr>
              <w:t>6.574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CD8A8" w14:textId="77777777" w:rsidR="000740F7" w:rsidRPr="001F53E7" w:rsidRDefault="000740F7" w:rsidP="006D0A51">
            <w:pPr>
              <w:jc w:val="center"/>
              <w:rPr>
                <w:color w:val="000000"/>
                <w:sz w:val="16"/>
                <w:szCs w:val="16"/>
              </w:rPr>
            </w:pPr>
            <w:r w:rsidRPr="001F53E7">
              <w:rPr>
                <w:color w:val="000000"/>
                <w:sz w:val="16"/>
                <w:szCs w:val="16"/>
              </w:rPr>
              <w:t>1.061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5A08E15" w14:textId="77777777" w:rsidR="000740F7" w:rsidRPr="001F53E7" w:rsidRDefault="000740F7" w:rsidP="006D0A51">
            <w:pPr>
              <w:jc w:val="center"/>
              <w:rPr>
                <w:color w:val="000000"/>
                <w:sz w:val="16"/>
                <w:szCs w:val="16"/>
              </w:rPr>
            </w:pPr>
            <w:r w:rsidRPr="001F53E7">
              <w:rPr>
                <w:color w:val="000000"/>
                <w:sz w:val="16"/>
                <w:szCs w:val="16"/>
              </w:rPr>
              <w:t>1.177</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4B77886E" w14:textId="77777777" w:rsidR="000740F7" w:rsidRPr="001F53E7" w:rsidRDefault="000740F7" w:rsidP="006D0A51">
            <w:pPr>
              <w:jc w:val="center"/>
              <w:rPr>
                <w:color w:val="000000"/>
                <w:sz w:val="16"/>
                <w:szCs w:val="16"/>
              </w:rPr>
            </w:pPr>
            <w:r w:rsidRPr="001F53E7">
              <w:rPr>
                <w:color w:val="000000"/>
                <w:sz w:val="16"/>
                <w:szCs w:val="16"/>
              </w:rPr>
              <w:t>10.455</w:t>
            </w:r>
          </w:p>
        </w:tc>
      </w:tr>
      <w:tr w:rsidR="000740F7" w:rsidRPr="001B4CA2" w14:paraId="35EA01FD" w14:textId="77777777" w:rsidTr="006D0A51">
        <w:trPr>
          <w:trHeight w:val="300"/>
        </w:trPr>
        <w:tc>
          <w:tcPr>
            <w:tcW w:w="1486" w:type="dxa"/>
            <w:vMerge/>
            <w:tcBorders>
              <w:top w:val="nil"/>
              <w:left w:val="single" w:sz="4" w:space="0" w:color="auto"/>
              <w:bottom w:val="single" w:sz="4" w:space="0" w:color="auto"/>
              <w:right w:val="single" w:sz="4" w:space="0" w:color="auto"/>
            </w:tcBorders>
            <w:vAlign w:val="center"/>
            <w:hideMark/>
          </w:tcPr>
          <w:p w14:paraId="48BE871E" w14:textId="77777777" w:rsidR="000740F7" w:rsidRPr="001F53E7" w:rsidRDefault="000740F7" w:rsidP="006D0A51">
            <w:pPr>
              <w:jc w:val="left"/>
              <w:rPr>
                <w:rFonts w:eastAsia="Times New Roman"/>
                <w:sz w:val="16"/>
                <w:szCs w:val="16"/>
                <w:lang w:eastAsia="hr-HR"/>
              </w:rPr>
            </w:pPr>
          </w:p>
        </w:tc>
        <w:tc>
          <w:tcPr>
            <w:tcW w:w="836" w:type="dxa"/>
            <w:tcBorders>
              <w:top w:val="single" w:sz="4" w:space="0" w:color="auto"/>
              <w:left w:val="nil"/>
              <w:bottom w:val="single" w:sz="4" w:space="0" w:color="auto"/>
              <w:right w:val="single" w:sz="4" w:space="0" w:color="auto"/>
            </w:tcBorders>
            <w:shd w:val="clear" w:color="auto" w:fill="auto"/>
            <w:noWrap/>
            <w:vAlign w:val="center"/>
          </w:tcPr>
          <w:p w14:paraId="505263A9" w14:textId="77777777" w:rsidR="000740F7" w:rsidRPr="001F53E7" w:rsidRDefault="000740F7" w:rsidP="006D0A51">
            <w:pPr>
              <w:jc w:val="center"/>
              <w:rPr>
                <w:color w:val="000000"/>
                <w:sz w:val="16"/>
                <w:szCs w:val="16"/>
              </w:rPr>
            </w:pPr>
            <w:r w:rsidRPr="001F53E7">
              <w:rPr>
                <w:color w:val="000000"/>
                <w:sz w:val="16"/>
                <w:szCs w:val="16"/>
              </w:rPr>
              <w:t xml:space="preserve">2022. </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63B77" w14:textId="77777777" w:rsidR="000740F7" w:rsidRPr="001F53E7" w:rsidRDefault="000740F7" w:rsidP="006D0A51">
            <w:pPr>
              <w:jc w:val="center"/>
              <w:rPr>
                <w:color w:val="000000"/>
                <w:sz w:val="16"/>
                <w:szCs w:val="16"/>
              </w:rPr>
            </w:pPr>
            <w:r w:rsidRPr="001F53E7">
              <w:rPr>
                <w:color w:val="000000"/>
                <w:sz w:val="16"/>
                <w:szCs w:val="16"/>
              </w:rPr>
              <w:t>955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FB60" w14:textId="77777777" w:rsidR="000740F7" w:rsidRPr="001F53E7" w:rsidRDefault="000740F7" w:rsidP="006D0A51">
            <w:pPr>
              <w:jc w:val="center"/>
              <w:rPr>
                <w:color w:val="000000"/>
                <w:sz w:val="16"/>
                <w:szCs w:val="16"/>
              </w:rPr>
            </w:pPr>
            <w:r w:rsidRPr="001F53E7">
              <w:rPr>
                <w:color w:val="000000"/>
                <w:sz w:val="16"/>
                <w:szCs w:val="16"/>
              </w:rPr>
              <w:t>5.848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F8617" w14:textId="77777777" w:rsidR="000740F7" w:rsidRPr="001F53E7" w:rsidRDefault="000740F7" w:rsidP="006D0A51">
            <w:pPr>
              <w:jc w:val="center"/>
              <w:rPr>
                <w:color w:val="000000"/>
                <w:sz w:val="16"/>
                <w:szCs w:val="16"/>
              </w:rPr>
            </w:pPr>
            <w:r w:rsidRPr="001F53E7">
              <w:rPr>
                <w:color w:val="000000"/>
                <w:sz w:val="16"/>
                <w:szCs w:val="16"/>
              </w:rPr>
              <w:t>5.705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7EFA1" w14:textId="77777777" w:rsidR="000740F7" w:rsidRPr="001F53E7" w:rsidRDefault="000740F7" w:rsidP="006D0A51">
            <w:pPr>
              <w:jc w:val="center"/>
              <w:rPr>
                <w:color w:val="000000"/>
                <w:sz w:val="16"/>
                <w:szCs w:val="16"/>
              </w:rPr>
            </w:pPr>
            <w:r w:rsidRPr="001F53E7">
              <w:rPr>
                <w:color w:val="000000"/>
                <w:sz w:val="16"/>
                <w:szCs w:val="16"/>
              </w:rPr>
              <w:t>1.098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9F0D412" w14:textId="77777777" w:rsidR="000740F7" w:rsidRPr="001F53E7" w:rsidRDefault="000740F7" w:rsidP="006D0A51">
            <w:pPr>
              <w:jc w:val="center"/>
              <w:rPr>
                <w:color w:val="000000"/>
                <w:sz w:val="16"/>
                <w:szCs w:val="16"/>
              </w:rPr>
            </w:pPr>
            <w:r w:rsidRPr="001F53E7">
              <w:rPr>
                <w:color w:val="000000"/>
                <w:sz w:val="16"/>
                <w:szCs w:val="16"/>
              </w:rPr>
              <w:t>445</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6704958C" w14:textId="77777777" w:rsidR="000740F7" w:rsidRPr="001F53E7" w:rsidRDefault="000740F7" w:rsidP="006D0A51">
            <w:pPr>
              <w:jc w:val="center"/>
              <w:rPr>
                <w:color w:val="000000"/>
                <w:sz w:val="16"/>
                <w:szCs w:val="16"/>
              </w:rPr>
            </w:pPr>
            <w:r w:rsidRPr="001F53E7">
              <w:rPr>
                <w:color w:val="000000"/>
                <w:sz w:val="16"/>
                <w:szCs w:val="16"/>
              </w:rPr>
              <w:t>7.078</w:t>
            </w:r>
          </w:p>
        </w:tc>
      </w:tr>
    </w:tbl>
    <w:p w14:paraId="6D5B107D" w14:textId="77777777" w:rsidR="000740F7" w:rsidRPr="001B4CA2" w:rsidRDefault="000740F7" w:rsidP="000740F7">
      <w:pPr>
        <w:ind w:left="567"/>
        <w:rPr>
          <w:i/>
        </w:rPr>
      </w:pPr>
      <w:r w:rsidRPr="001B4CA2">
        <w:rPr>
          <w:i/>
        </w:rPr>
        <w:t>*</w:t>
      </w:r>
      <w:r w:rsidRPr="001B4CA2">
        <w:rPr>
          <w:i/>
          <w:sz w:val="20"/>
          <w:szCs w:val="20"/>
        </w:rPr>
        <w:t>procjena temeljem dostupnih podataka u informacijskom sustavu državnog odvjetništva</w:t>
      </w:r>
    </w:p>
    <w:p w14:paraId="5994737C" w14:textId="77777777" w:rsidR="000740F7" w:rsidRPr="001B4CA2" w:rsidRDefault="000740F7" w:rsidP="000740F7"/>
    <w:p w14:paraId="2F1F416D" w14:textId="77777777" w:rsidR="000740F7" w:rsidRPr="001B4CA2" w:rsidRDefault="000740F7" w:rsidP="000740F7">
      <w:pPr>
        <w:ind w:firstLine="708"/>
      </w:pPr>
      <w:r w:rsidRPr="001B4CA2">
        <w:t>U gornjoj tablici dan je petogodišnji prikaz podataka o broju primljenih, riješenih i neriješenih predmeta po razinama državnih odvjetništava.</w:t>
      </w:r>
    </w:p>
    <w:p w14:paraId="5D1DC338" w14:textId="77777777" w:rsidR="000740F7" w:rsidRPr="001B4CA2" w:rsidRDefault="000740F7" w:rsidP="000740F7"/>
    <w:p w14:paraId="1A1F30DA" w14:textId="0205E419" w:rsidR="000740F7" w:rsidRPr="001B4CA2" w:rsidRDefault="000740F7" w:rsidP="000740F7">
      <w:pPr>
        <w:ind w:firstLine="708"/>
      </w:pPr>
      <w:r w:rsidRPr="001B4CA2">
        <w:t>Iz prikazanih je podataka vidljivo da</w:t>
      </w:r>
      <w:r w:rsidR="001B4CA2">
        <w:t xml:space="preserve"> </w:t>
      </w:r>
      <w:r w:rsidRPr="001B4CA2">
        <w:t xml:space="preserve">su općinska državna odvjetništva i Ured za suzbijanje korupcije i organiziranog kriminaliteta tijekom izvještajne godine riješili nešto manji broj predmeta od zaprimljenog broja novih predmeta, dok su županijska državna odvjetništva održala kontinuitet rješavanja većeg broja predmeta u odnosu na broj primljenih predmeta. Broj primljenih i riješenih predmeta u Državnom odvjetništvu Republike Hrvatske na istoj </w:t>
      </w:r>
      <w:r w:rsidR="00BE61D2" w:rsidRPr="001B4CA2">
        <w:t xml:space="preserve">je </w:t>
      </w:r>
      <w:r w:rsidRPr="001B4CA2">
        <w:t xml:space="preserve">razini kao i prethodne izvještajne godine. </w:t>
      </w:r>
    </w:p>
    <w:p w14:paraId="12C7C41C" w14:textId="77777777" w:rsidR="000740F7" w:rsidRPr="001B4CA2" w:rsidRDefault="000740F7" w:rsidP="000740F7">
      <w:pPr>
        <w:ind w:firstLine="708"/>
      </w:pPr>
    </w:p>
    <w:tbl>
      <w:tblPr>
        <w:tblW w:w="8329" w:type="dxa"/>
        <w:tblInd w:w="108" w:type="dxa"/>
        <w:tblLook w:val="04A0" w:firstRow="1" w:lastRow="0" w:firstColumn="1" w:lastColumn="0" w:noHBand="0" w:noVBand="1"/>
      </w:tblPr>
      <w:tblGrid>
        <w:gridCol w:w="1866"/>
        <w:gridCol w:w="929"/>
        <w:gridCol w:w="728"/>
        <w:gridCol w:w="688"/>
        <w:gridCol w:w="1029"/>
        <w:gridCol w:w="1029"/>
        <w:gridCol w:w="1029"/>
        <w:gridCol w:w="1031"/>
      </w:tblGrid>
      <w:tr w:rsidR="000740F7" w:rsidRPr="001B4CA2" w14:paraId="0F125334" w14:textId="77777777" w:rsidTr="006D0A51">
        <w:trPr>
          <w:trHeight w:val="333"/>
        </w:trPr>
        <w:tc>
          <w:tcPr>
            <w:tcW w:w="8329" w:type="dxa"/>
            <w:gridSpan w:val="8"/>
            <w:tcBorders>
              <w:top w:val="nil"/>
              <w:left w:val="nil"/>
              <w:bottom w:val="nil"/>
              <w:right w:val="nil"/>
            </w:tcBorders>
            <w:shd w:val="clear" w:color="auto" w:fill="auto"/>
            <w:noWrap/>
            <w:vAlign w:val="center"/>
            <w:hideMark/>
          </w:tcPr>
          <w:p w14:paraId="39A1CBC0" w14:textId="77777777" w:rsidR="000740F7" w:rsidRPr="001B4CA2" w:rsidRDefault="000740F7" w:rsidP="006D0A51">
            <w:pPr>
              <w:ind w:left="34"/>
              <w:jc w:val="left"/>
              <w:rPr>
                <w:rFonts w:eastAsia="Times New Roman"/>
                <w:i/>
                <w:iCs/>
                <w:lang w:eastAsia="hr-HR"/>
              </w:rPr>
            </w:pPr>
            <w:r w:rsidRPr="001B4CA2">
              <w:rPr>
                <w:rFonts w:eastAsia="Times New Roman"/>
                <w:i/>
                <w:iCs/>
                <w:lang w:eastAsia="hr-HR"/>
              </w:rPr>
              <w:lastRenderedPageBreak/>
              <w:t>Pregled pokazatelja uspješnosti rada po razinama državnih odvjetništava</w:t>
            </w:r>
          </w:p>
        </w:tc>
      </w:tr>
      <w:tr w:rsidR="000740F7" w:rsidRPr="001B4CA2" w14:paraId="36C50DE8" w14:textId="77777777" w:rsidTr="006D0A51">
        <w:trPr>
          <w:trHeight w:val="2517"/>
        </w:trPr>
        <w:tc>
          <w:tcPr>
            <w:tcW w:w="1866"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4D0EAC2F"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Državna odvjetništva</w:t>
            </w:r>
          </w:p>
        </w:tc>
        <w:tc>
          <w:tcPr>
            <w:tcW w:w="929" w:type="dxa"/>
            <w:tcBorders>
              <w:top w:val="single" w:sz="4" w:space="0" w:color="auto"/>
              <w:left w:val="nil"/>
              <w:bottom w:val="single" w:sz="4" w:space="0" w:color="auto"/>
              <w:right w:val="single" w:sz="4" w:space="0" w:color="auto"/>
            </w:tcBorders>
            <w:shd w:val="clear" w:color="000000" w:fill="99CCFF"/>
            <w:noWrap/>
            <w:vAlign w:val="center"/>
            <w:hideMark/>
          </w:tcPr>
          <w:p w14:paraId="46F06D0D"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Godina</w:t>
            </w:r>
          </w:p>
        </w:tc>
        <w:tc>
          <w:tcPr>
            <w:tcW w:w="728" w:type="dxa"/>
            <w:tcBorders>
              <w:top w:val="single" w:sz="4" w:space="0" w:color="auto"/>
              <w:left w:val="nil"/>
              <w:bottom w:val="single" w:sz="4" w:space="0" w:color="auto"/>
              <w:right w:val="single" w:sz="4" w:space="0" w:color="auto"/>
            </w:tcBorders>
            <w:shd w:val="clear" w:color="000000" w:fill="99CCFF"/>
            <w:noWrap/>
            <w:vAlign w:val="center"/>
            <w:hideMark/>
          </w:tcPr>
          <w:p w14:paraId="10946DBB"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688" w:type="dxa"/>
            <w:tcBorders>
              <w:top w:val="single" w:sz="4" w:space="0" w:color="auto"/>
              <w:left w:val="nil"/>
              <w:bottom w:val="single" w:sz="4" w:space="0" w:color="auto"/>
              <w:right w:val="single" w:sz="4" w:space="0" w:color="auto"/>
            </w:tcBorders>
            <w:shd w:val="clear" w:color="000000" w:fill="99CCFF"/>
            <w:noWrap/>
            <w:vAlign w:val="center"/>
            <w:hideMark/>
          </w:tcPr>
          <w:p w14:paraId="294268E4"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DT</w:t>
            </w:r>
          </w:p>
        </w:tc>
        <w:tc>
          <w:tcPr>
            <w:tcW w:w="1029" w:type="dxa"/>
            <w:tcBorders>
              <w:top w:val="single" w:sz="4" w:space="0" w:color="auto"/>
              <w:left w:val="nil"/>
              <w:bottom w:val="single" w:sz="4" w:space="0" w:color="auto"/>
              <w:right w:val="single" w:sz="4" w:space="0" w:color="auto"/>
            </w:tcBorders>
            <w:shd w:val="clear" w:color="000000" w:fill="99CCFF"/>
            <w:textDirection w:val="btLr"/>
            <w:vAlign w:val="center"/>
            <w:hideMark/>
          </w:tcPr>
          <w:p w14:paraId="73BEB104" w14:textId="77777777" w:rsidR="000740F7" w:rsidRPr="001B4CA2" w:rsidRDefault="000740F7" w:rsidP="006D0A51">
            <w:pPr>
              <w:jc w:val="left"/>
              <w:rPr>
                <w:rFonts w:eastAsia="Times New Roman"/>
                <w:b/>
                <w:bCs/>
                <w:sz w:val="18"/>
                <w:szCs w:val="18"/>
                <w:lang w:eastAsia="hr-HR"/>
              </w:rPr>
            </w:pPr>
            <w:r w:rsidRPr="001B4CA2">
              <w:rPr>
                <w:rFonts w:eastAsia="Times New Roman"/>
                <w:b/>
                <w:bCs/>
                <w:sz w:val="18"/>
                <w:szCs w:val="18"/>
                <w:lang w:eastAsia="hr-HR"/>
              </w:rPr>
              <w:t>Broj zamjenika/savjetnika – stvarna prisutnost</w:t>
            </w:r>
          </w:p>
        </w:tc>
        <w:tc>
          <w:tcPr>
            <w:tcW w:w="1029" w:type="dxa"/>
            <w:tcBorders>
              <w:top w:val="single" w:sz="4" w:space="0" w:color="auto"/>
              <w:left w:val="nil"/>
              <w:bottom w:val="single" w:sz="4" w:space="0" w:color="auto"/>
              <w:right w:val="single" w:sz="4" w:space="0" w:color="auto"/>
            </w:tcBorders>
            <w:shd w:val="clear" w:color="000000" w:fill="99CCFF"/>
            <w:textDirection w:val="btLr"/>
            <w:vAlign w:val="center"/>
            <w:hideMark/>
          </w:tcPr>
          <w:p w14:paraId="7599DD83" w14:textId="77777777" w:rsidR="000740F7" w:rsidRPr="001B4CA2" w:rsidRDefault="000740F7" w:rsidP="006D0A51">
            <w:pPr>
              <w:jc w:val="left"/>
              <w:rPr>
                <w:rFonts w:eastAsia="Times New Roman"/>
                <w:b/>
                <w:bCs/>
                <w:sz w:val="18"/>
                <w:szCs w:val="18"/>
                <w:lang w:eastAsia="hr-HR"/>
              </w:rPr>
            </w:pPr>
            <w:r w:rsidRPr="001B4CA2">
              <w:rPr>
                <w:rFonts w:eastAsia="Times New Roman"/>
                <w:b/>
                <w:bCs/>
                <w:sz w:val="18"/>
                <w:szCs w:val="18"/>
                <w:lang w:eastAsia="hr-HR"/>
              </w:rPr>
              <w:t>Primljeno po zamjeniku/savjetniku</w:t>
            </w:r>
          </w:p>
        </w:tc>
        <w:tc>
          <w:tcPr>
            <w:tcW w:w="1029" w:type="dxa"/>
            <w:tcBorders>
              <w:top w:val="single" w:sz="4" w:space="0" w:color="auto"/>
              <w:left w:val="nil"/>
              <w:bottom w:val="single" w:sz="4" w:space="0" w:color="auto"/>
              <w:right w:val="single" w:sz="4" w:space="0" w:color="auto"/>
            </w:tcBorders>
            <w:shd w:val="clear" w:color="000000" w:fill="99CCFF"/>
            <w:textDirection w:val="btLr"/>
            <w:vAlign w:val="center"/>
            <w:hideMark/>
          </w:tcPr>
          <w:p w14:paraId="2AD3DC8F" w14:textId="77777777" w:rsidR="000740F7" w:rsidRPr="001B4CA2" w:rsidRDefault="000740F7" w:rsidP="006D0A51">
            <w:pPr>
              <w:jc w:val="left"/>
              <w:rPr>
                <w:rFonts w:eastAsia="Times New Roman"/>
                <w:b/>
                <w:bCs/>
                <w:sz w:val="18"/>
                <w:szCs w:val="18"/>
                <w:lang w:eastAsia="hr-HR"/>
              </w:rPr>
            </w:pPr>
            <w:r w:rsidRPr="001B4CA2">
              <w:rPr>
                <w:rFonts w:eastAsia="Times New Roman"/>
                <w:b/>
                <w:bCs/>
                <w:sz w:val="18"/>
                <w:szCs w:val="18"/>
                <w:lang w:eastAsia="hr-HR"/>
              </w:rPr>
              <w:t>Broj riješenih predmeta po zamjeniku/savjetniku</w:t>
            </w:r>
          </w:p>
        </w:tc>
        <w:tc>
          <w:tcPr>
            <w:tcW w:w="1031" w:type="dxa"/>
            <w:tcBorders>
              <w:top w:val="single" w:sz="4" w:space="0" w:color="auto"/>
              <w:left w:val="nil"/>
              <w:bottom w:val="single" w:sz="4" w:space="0" w:color="auto"/>
              <w:right w:val="single" w:sz="4" w:space="0" w:color="auto"/>
            </w:tcBorders>
            <w:shd w:val="clear" w:color="000000" w:fill="99CCFF"/>
            <w:textDirection w:val="btLr"/>
            <w:vAlign w:val="center"/>
            <w:hideMark/>
          </w:tcPr>
          <w:p w14:paraId="1CC11811" w14:textId="77777777" w:rsidR="000740F7" w:rsidRPr="001B4CA2" w:rsidRDefault="000740F7" w:rsidP="006D0A51">
            <w:pPr>
              <w:jc w:val="left"/>
              <w:rPr>
                <w:rFonts w:eastAsia="Times New Roman"/>
                <w:b/>
                <w:bCs/>
                <w:sz w:val="18"/>
                <w:szCs w:val="18"/>
                <w:lang w:eastAsia="hr-HR"/>
              </w:rPr>
            </w:pPr>
            <w:r w:rsidRPr="001B4CA2">
              <w:rPr>
                <w:rFonts w:eastAsia="Times New Roman"/>
                <w:b/>
                <w:bCs/>
                <w:sz w:val="18"/>
                <w:szCs w:val="18"/>
                <w:lang w:eastAsia="hr-HR"/>
              </w:rPr>
              <w:t>Broj neriješenih predmeta po zamjeniku/savjetniku</w:t>
            </w:r>
          </w:p>
        </w:tc>
      </w:tr>
      <w:tr w:rsidR="000740F7" w:rsidRPr="001B4CA2" w14:paraId="66507632" w14:textId="77777777" w:rsidTr="006D0A51">
        <w:trPr>
          <w:trHeight w:val="333"/>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B34CEE"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ODO</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99B2386" w14:textId="77777777" w:rsidR="000740F7" w:rsidRPr="001F53E7" w:rsidRDefault="000740F7" w:rsidP="006D0A51">
            <w:pPr>
              <w:jc w:val="center"/>
              <w:rPr>
                <w:color w:val="000000"/>
                <w:sz w:val="18"/>
                <w:szCs w:val="18"/>
              </w:rPr>
            </w:pPr>
            <w:r w:rsidRPr="001F53E7">
              <w:rPr>
                <w:color w:val="000000"/>
                <w:sz w:val="18"/>
                <w:szCs w:val="18"/>
              </w:rPr>
              <w:t>2018.</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E9616" w14:textId="77777777" w:rsidR="000740F7" w:rsidRPr="001F53E7" w:rsidRDefault="000740F7" w:rsidP="006D0A51">
            <w:pPr>
              <w:jc w:val="center"/>
              <w:rPr>
                <w:color w:val="000000"/>
                <w:sz w:val="18"/>
                <w:szCs w:val="18"/>
              </w:rPr>
            </w:pPr>
            <w:r w:rsidRPr="001F53E7">
              <w:rPr>
                <w:color w:val="000000"/>
                <w:sz w:val="18"/>
                <w:szCs w:val="18"/>
              </w:rPr>
              <w:t>105%</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08BA1" w14:textId="77777777" w:rsidR="000740F7" w:rsidRPr="001F53E7" w:rsidRDefault="000740F7" w:rsidP="006D0A51">
            <w:pPr>
              <w:jc w:val="center"/>
              <w:rPr>
                <w:color w:val="000000"/>
                <w:sz w:val="18"/>
                <w:szCs w:val="18"/>
              </w:rPr>
            </w:pPr>
            <w:r w:rsidRPr="001F53E7">
              <w:rPr>
                <w:color w:val="000000"/>
                <w:sz w:val="18"/>
                <w:szCs w:val="18"/>
              </w:rPr>
              <w:t>142,3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97DD2" w14:textId="77777777" w:rsidR="000740F7" w:rsidRPr="001F53E7" w:rsidRDefault="000740F7" w:rsidP="006D0A51">
            <w:pPr>
              <w:jc w:val="center"/>
              <w:rPr>
                <w:color w:val="000000"/>
                <w:sz w:val="18"/>
                <w:szCs w:val="18"/>
              </w:rPr>
            </w:pPr>
            <w:r w:rsidRPr="001F53E7">
              <w:rPr>
                <w:color w:val="000000"/>
                <w:sz w:val="18"/>
                <w:szCs w:val="18"/>
              </w:rPr>
              <w:t>474</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CD56E" w14:textId="77777777" w:rsidR="000740F7" w:rsidRPr="001F53E7" w:rsidRDefault="000740F7" w:rsidP="006D0A51">
            <w:pPr>
              <w:jc w:val="center"/>
              <w:rPr>
                <w:color w:val="000000"/>
                <w:sz w:val="18"/>
                <w:szCs w:val="18"/>
              </w:rPr>
            </w:pPr>
            <w:r w:rsidRPr="001F53E7">
              <w:rPr>
                <w:color w:val="000000"/>
                <w:sz w:val="18"/>
                <w:szCs w:val="18"/>
              </w:rPr>
              <w:t>300,8</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4A56B" w14:textId="77777777" w:rsidR="000740F7" w:rsidRPr="001F53E7" w:rsidRDefault="000740F7" w:rsidP="006D0A51">
            <w:pPr>
              <w:jc w:val="center"/>
              <w:rPr>
                <w:color w:val="000000"/>
                <w:sz w:val="18"/>
                <w:szCs w:val="18"/>
              </w:rPr>
            </w:pPr>
            <w:r w:rsidRPr="001F53E7">
              <w:rPr>
                <w:color w:val="000000"/>
                <w:sz w:val="18"/>
                <w:szCs w:val="18"/>
              </w:rPr>
              <w:t>314,8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AC626" w14:textId="77777777" w:rsidR="000740F7" w:rsidRPr="001F53E7" w:rsidRDefault="000740F7" w:rsidP="006D0A51">
            <w:pPr>
              <w:jc w:val="center"/>
              <w:rPr>
                <w:color w:val="000000"/>
                <w:sz w:val="18"/>
                <w:szCs w:val="18"/>
              </w:rPr>
            </w:pPr>
            <w:r w:rsidRPr="001F53E7">
              <w:rPr>
                <w:color w:val="000000"/>
                <w:sz w:val="18"/>
                <w:szCs w:val="18"/>
              </w:rPr>
              <w:t>122,7</w:t>
            </w:r>
          </w:p>
        </w:tc>
      </w:tr>
      <w:tr w:rsidR="000740F7" w:rsidRPr="001B4CA2" w14:paraId="2CFBF460"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37D34690"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F46D974" w14:textId="77777777" w:rsidR="000740F7" w:rsidRPr="001F53E7" w:rsidRDefault="000740F7" w:rsidP="006D0A51">
            <w:pPr>
              <w:jc w:val="center"/>
              <w:rPr>
                <w:color w:val="000000"/>
                <w:sz w:val="18"/>
                <w:szCs w:val="18"/>
              </w:rPr>
            </w:pPr>
            <w:r w:rsidRPr="001F53E7">
              <w:rPr>
                <w:color w:val="000000"/>
                <w:sz w:val="18"/>
                <w:szCs w:val="18"/>
              </w:rPr>
              <w:t>2019.</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11A80" w14:textId="77777777" w:rsidR="000740F7" w:rsidRPr="001F53E7" w:rsidRDefault="000740F7" w:rsidP="006D0A51">
            <w:pPr>
              <w:jc w:val="center"/>
              <w:rPr>
                <w:color w:val="000000"/>
                <w:sz w:val="18"/>
                <w:szCs w:val="18"/>
              </w:rPr>
            </w:pPr>
            <w:r w:rsidRPr="001F53E7">
              <w:rPr>
                <w:color w:val="000000"/>
                <w:sz w:val="18"/>
                <w:szCs w:val="18"/>
              </w:rPr>
              <w:t>101%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24E6E" w14:textId="77777777" w:rsidR="000740F7" w:rsidRPr="001F53E7" w:rsidRDefault="000740F7" w:rsidP="006D0A51">
            <w:pPr>
              <w:jc w:val="center"/>
              <w:rPr>
                <w:color w:val="000000"/>
                <w:sz w:val="18"/>
                <w:szCs w:val="18"/>
              </w:rPr>
            </w:pPr>
            <w:r w:rsidRPr="001F53E7">
              <w:rPr>
                <w:color w:val="000000"/>
                <w:sz w:val="18"/>
                <w:szCs w:val="18"/>
              </w:rPr>
              <w:t>83,3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7B910" w14:textId="77777777" w:rsidR="000740F7" w:rsidRPr="001F53E7" w:rsidRDefault="000740F7" w:rsidP="006D0A51">
            <w:pPr>
              <w:jc w:val="center"/>
              <w:rPr>
                <w:color w:val="000000"/>
                <w:sz w:val="18"/>
                <w:szCs w:val="18"/>
              </w:rPr>
            </w:pPr>
            <w:r w:rsidRPr="001F53E7">
              <w:rPr>
                <w:color w:val="000000"/>
                <w:sz w:val="18"/>
                <w:szCs w:val="18"/>
              </w:rPr>
              <w:t>416,6</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37242" w14:textId="77777777" w:rsidR="000740F7" w:rsidRPr="001F53E7" w:rsidRDefault="000740F7" w:rsidP="006D0A51">
            <w:pPr>
              <w:jc w:val="center"/>
              <w:rPr>
                <w:color w:val="000000"/>
                <w:sz w:val="18"/>
                <w:szCs w:val="18"/>
              </w:rPr>
            </w:pPr>
            <w:r w:rsidRPr="001F53E7">
              <w:rPr>
                <w:color w:val="000000"/>
                <w:sz w:val="18"/>
                <w:szCs w:val="18"/>
              </w:rPr>
              <w:t>425,4</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3007A" w14:textId="77777777" w:rsidR="000740F7" w:rsidRPr="001F53E7" w:rsidRDefault="000740F7" w:rsidP="006D0A51">
            <w:pPr>
              <w:jc w:val="center"/>
              <w:rPr>
                <w:color w:val="000000"/>
                <w:sz w:val="18"/>
                <w:szCs w:val="18"/>
              </w:rPr>
            </w:pPr>
            <w:r w:rsidRPr="001F53E7">
              <w:rPr>
                <w:color w:val="000000"/>
                <w:sz w:val="18"/>
                <w:szCs w:val="18"/>
              </w:rPr>
              <w:t>430,7</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6327F" w14:textId="77777777" w:rsidR="000740F7" w:rsidRPr="001F53E7" w:rsidRDefault="000740F7" w:rsidP="006D0A51">
            <w:pPr>
              <w:jc w:val="center"/>
              <w:rPr>
                <w:color w:val="000000"/>
                <w:sz w:val="18"/>
                <w:szCs w:val="18"/>
              </w:rPr>
            </w:pPr>
            <w:r w:rsidRPr="001F53E7">
              <w:rPr>
                <w:color w:val="000000"/>
                <w:sz w:val="18"/>
                <w:szCs w:val="18"/>
              </w:rPr>
              <w:t>98,3</w:t>
            </w:r>
          </w:p>
        </w:tc>
      </w:tr>
      <w:tr w:rsidR="000740F7" w:rsidRPr="001B4CA2" w14:paraId="561603FE"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58DAD03B"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D733A9A" w14:textId="77777777" w:rsidR="000740F7" w:rsidRPr="001F53E7" w:rsidRDefault="000740F7" w:rsidP="006D0A51">
            <w:pPr>
              <w:jc w:val="center"/>
              <w:rPr>
                <w:color w:val="000000"/>
                <w:sz w:val="18"/>
                <w:szCs w:val="18"/>
              </w:rPr>
            </w:pPr>
            <w:r w:rsidRPr="001F53E7">
              <w:rPr>
                <w:color w:val="000000"/>
                <w:sz w:val="18"/>
                <w:szCs w:val="18"/>
              </w:rPr>
              <w:t>2020.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C179D" w14:textId="77777777" w:rsidR="000740F7" w:rsidRPr="001F53E7" w:rsidRDefault="000740F7" w:rsidP="006D0A51">
            <w:pPr>
              <w:jc w:val="center"/>
              <w:rPr>
                <w:color w:val="000000"/>
                <w:sz w:val="18"/>
                <w:szCs w:val="18"/>
              </w:rPr>
            </w:pPr>
            <w:r w:rsidRPr="001F53E7">
              <w:rPr>
                <w:color w:val="000000"/>
                <w:sz w:val="18"/>
                <w:szCs w:val="18"/>
              </w:rPr>
              <w:t>100%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2AA92" w14:textId="77777777" w:rsidR="000740F7" w:rsidRPr="001F53E7" w:rsidRDefault="000740F7" w:rsidP="006D0A51">
            <w:pPr>
              <w:jc w:val="center"/>
              <w:rPr>
                <w:color w:val="000000"/>
                <w:sz w:val="18"/>
                <w:szCs w:val="18"/>
              </w:rPr>
            </w:pPr>
            <w:r w:rsidRPr="001F53E7">
              <w:rPr>
                <w:color w:val="000000"/>
                <w:sz w:val="18"/>
                <w:szCs w:val="18"/>
              </w:rPr>
              <w:t>74,3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64FEC" w14:textId="77777777" w:rsidR="000740F7" w:rsidRPr="001F53E7" w:rsidRDefault="000740F7" w:rsidP="006D0A51">
            <w:pPr>
              <w:jc w:val="center"/>
              <w:rPr>
                <w:color w:val="000000"/>
                <w:sz w:val="18"/>
                <w:szCs w:val="18"/>
              </w:rPr>
            </w:pPr>
            <w:r w:rsidRPr="001F53E7">
              <w:rPr>
                <w:color w:val="000000"/>
                <w:sz w:val="18"/>
                <w:szCs w:val="18"/>
              </w:rPr>
              <w:t>415,7</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4E301" w14:textId="77777777" w:rsidR="000740F7" w:rsidRPr="001F53E7" w:rsidRDefault="000740F7" w:rsidP="006D0A51">
            <w:pPr>
              <w:jc w:val="center"/>
              <w:rPr>
                <w:color w:val="000000"/>
                <w:sz w:val="18"/>
                <w:szCs w:val="18"/>
              </w:rPr>
            </w:pPr>
            <w:r w:rsidRPr="001F53E7">
              <w:rPr>
                <w:color w:val="000000"/>
                <w:sz w:val="18"/>
                <w:szCs w:val="18"/>
              </w:rPr>
              <w:t>414,6</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58822" w14:textId="77777777" w:rsidR="000740F7" w:rsidRPr="001F53E7" w:rsidRDefault="000740F7" w:rsidP="006D0A51">
            <w:pPr>
              <w:jc w:val="center"/>
              <w:rPr>
                <w:color w:val="000000"/>
                <w:sz w:val="18"/>
                <w:szCs w:val="18"/>
              </w:rPr>
            </w:pPr>
            <w:r w:rsidRPr="001F53E7">
              <w:rPr>
                <w:color w:val="000000"/>
                <w:sz w:val="18"/>
                <w:szCs w:val="18"/>
              </w:rPr>
              <w:t>415,9</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47A55" w14:textId="77777777" w:rsidR="000740F7" w:rsidRPr="001F53E7" w:rsidRDefault="000740F7" w:rsidP="006D0A51">
            <w:pPr>
              <w:jc w:val="center"/>
              <w:rPr>
                <w:color w:val="000000"/>
                <w:sz w:val="18"/>
                <w:szCs w:val="18"/>
              </w:rPr>
            </w:pPr>
            <w:r w:rsidRPr="001F53E7">
              <w:rPr>
                <w:color w:val="000000"/>
                <w:sz w:val="18"/>
                <w:szCs w:val="18"/>
              </w:rPr>
              <w:t>84,7</w:t>
            </w:r>
          </w:p>
        </w:tc>
      </w:tr>
      <w:tr w:rsidR="000740F7" w:rsidRPr="001B4CA2" w14:paraId="25B35D76"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25A3FD71"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F3EAD8C" w14:textId="77777777" w:rsidR="000740F7" w:rsidRPr="001F53E7" w:rsidRDefault="000740F7" w:rsidP="006D0A51">
            <w:pPr>
              <w:jc w:val="center"/>
              <w:rPr>
                <w:color w:val="000000"/>
                <w:sz w:val="18"/>
                <w:szCs w:val="18"/>
              </w:rPr>
            </w:pPr>
            <w:r w:rsidRPr="001F53E7">
              <w:rPr>
                <w:color w:val="000000"/>
                <w:sz w:val="18"/>
                <w:szCs w:val="18"/>
              </w:rPr>
              <w:t>2021.</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49100" w14:textId="77777777" w:rsidR="000740F7" w:rsidRPr="001F53E7" w:rsidRDefault="000740F7" w:rsidP="006D0A51">
            <w:pPr>
              <w:jc w:val="center"/>
              <w:rPr>
                <w:color w:val="000000"/>
                <w:sz w:val="18"/>
                <w:szCs w:val="18"/>
              </w:rPr>
            </w:pPr>
            <w:r w:rsidRPr="001F53E7">
              <w:rPr>
                <w:color w:val="000000"/>
                <w:sz w:val="18"/>
                <w:szCs w:val="18"/>
              </w:rPr>
              <w:t>100%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B8F3B" w14:textId="77777777" w:rsidR="000740F7" w:rsidRPr="001F53E7" w:rsidRDefault="000740F7" w:rsidP="006D0A51">
            <w:pPr>
              <w:jc w:val="center"/>
              <w:rPr>
                <w:color w:val="000000"/>
                <w:sz w:val="18"/>
                <w:szCs w:val="18"/>
              </w:rPr>
            </w:pPr>
            <w:r w:rsidRPr="001F53E7">
              <w:rPr>
                <w:color w:val="000000"/>
                <w:sz w:val="18"/>
                <w:szCs w:val="18"/>
              </w:rPr>
              <w:t>69,3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2A94A" w14:textId="77777777" w:rsidR="000740F7" w:rsidRPr="001F53E7" w:rsidRDefault="000740F7" w:rsidP="006D0A51">
            <w:pPr>
              <w:jc w:val="center"/>
              <w:rPr>
                <w:color w:val="000000"/>
                <w:sz w:val="18"/>
                <w:szCs w:val="18"/>
              </w:rPr>
            </w:pPr>
            <w:r w:rsidRPr="001F53E7">
              <w:rPr>
                <w:color w:val="000000"/>
                <w:sz w:val="18"/>
                <w:szCs w:val="18"/>
              </w:rPr>
              <w:t>467,18</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57A6F" w14:textId="77777777" w:rsidR="000740F7" w:rsidRPr="001F53E7" w:rsidRDefault="000740F7" w:rsidP="006D0A51">
            <w:pPr>
              <w:jc w:val="center"/>
              <w:rPr>
                <w:color w:val="000000"/>
                <w:sz w:val="18"/>
                <w:szCs w:val="18"/>
              </w:rPr>
            </w:pPr>
            <w:r w:rsidRPr="001F53E7">
              <w:rPr>
                <w:color w:val="000000"/>
                <w:sz w:val="18"/>
                <w:szCs w:val="18"/>
              </w:rPr>
              <w:t>390,3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6EC96" w14:textId="77777777" w:rsidR="000740F7" w:rsidRPr="001F53E7" w:rsidRDefault="000740F7" w:rsidP="006D0A51">
            <w:pPr>
              <w:jc w:val="center"/>
              <w:rPr>
                <w:color w:val="000000"/>
                <w:sz w:val="18"/>
                <w:szCs w:val="18"/>
              </w:rPr>
            </w:pPr>
            <w:r w:rsidRPr="001F53E7">
              <w:rPr>
                <w:color w:val="000000"/>
                <w:sz w:val="18"/>
                <w:szCs w:val="18"/>
              </w:rPr>
              <w:t>391,6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EFE6C" w14:textId="77777777" w:rsidR="000740F7" w:rsidRPr="001F53E7" w:rsidRDefault="000740F7" w:rsidP="006D0A51">
            <w:pPr>
              <w:jc w:val="center"/>
              <w:rPr>
                <w:color w:val="000000"/>
                <w:sz w:val="18"/>
                <w:szCs w:val="18"/>
              </w:rPr>
            </w:pPr>
            <w:r w:rsidRPr="001F53E7">
              <w:rPr>
                <w:color w:val="000000"/>
                <w:sz w:val="18"/>
                <w:szCs w:val="18"/>
              </w:rPr>
              <w:t>74,4</w:t>
            </w:r>
          </w:p>
        </w:tc>
      </w:tr>
      <w:tr w:rsidR="000740F7" w:rsidRPr="001B4CA2" w14:paraId="5C9E5463"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6D1544BE"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3FB14CC" w14:textId="77777777" w:rsidR="000740F7" w:rsidRPr="001F53E7" w:rsidRDefault="000740F7" w:rsidP="006D0A51">
            <w:pPr>
              <w:jc w:val="center"/>
              <w:rPr>
                <w:color w:val="000000"/>
                <w:sz w:val="18"/>
                <w:szCs w:val="18"/>
              </w:rPr>
            </w:pPr>
            <w:r w:rsidRPr="001F53E7">
              <w:rPr>
                <w:color w:val="000000"/>
                <w:sz w:val="18"/>
                <w:szCs w:val="18"/>
              </w:rPr>
              <w:t>2022.</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9C5FA" w14:textId="77777777" w:rsidR="000740F7" w:rsidRPr="001F53E7" w:rsidRDefault="000740F7" w:rsidP="006D0A51">
            <w:pPr>
              <w:jc w:val="center"/>
              <w:rPr>
                <w:color w:val="000000"/>
                <w:sz w:val="18"/>
                <w:szCs w:val="18"/>
              </w:rPr>
            </w:pPr>
            <w:r w:rsidRPr="001F53E7">
              <w:rPr>
                <w:color w:val="000000"/>
                <w:sz w:val="18"/>
                <w:szCs w:val="18"/>
              </w:rPr>
              <w:t>97%</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CE8EE" w14:textId="77777777" w:rsidR="000740F7" w:rsidRPr="001F53E7" w:rsidRDefault="000740F7" w:rsidP="006D0A51">
            <w:pPr>
              <w:jc w:val="center"/>
              <w:rPr>
                <w:color w:val="000000"/>
                <w:sz w:val="18"/>
                <w:szCs w:val="18"/>
              </w:rPr>
            </w:pPr>
            <w:r w:rsidRPr="001F53E7">
              <w:rPr>
                <w:color w:val="000000"/>
                <w:sz w:val="18"/>
                <w:szCs w:val="18"/>
              </w:rPr>
              <w:t>87,5</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0B586" w14:textId="77777777" w:rsidR="000740F7" w:rsidRPr="001F53E7" w:rsidRDefault="000740F7" w:rsidP="006D0A51">
            <w:pPr>
              <w:jc w:val="center"/>
              <w:rPr>
                <w:color w:val="000000"/>
                <w:sz w:val="18"/>
                <w:szCs w:val="18"/>
              </w:rPr>
            </w:pPr>
            <w:r w:rsidRPr="001F53E7">
              <w:rPr>
                <w:color w:val="000000"/>
                <w:sz w:val="18"/>
                <w:szCs w:val="18"/>
              </w:rPr>
              <w:t>467,23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09EF6" w14:textId="77777777" w:rsidR="000740F7" w:rsidRPr="001F53E7" w:rsidRDefault="000740F7" w:rsidP="006D0A51">
            <w:pPr>
              <w:jc w:val="center"/>
              <w:rPr>
                <w:color w:val="000000"/>
                <w:sz w:val="18"/>
                <w:szCs w:val="18"/>
              </w:rPr>
            </w:pPr>
            <w:r w:rsidRPr="001F53E7">
              <w:rPr>
                <w:color w:val="000000"/>
                <w:sz w:val="18"/>
                <w:szCs w:val="18"/>
              </w:rPr>
              <w:t>358,7</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F0F92" w14:textId="77777777" w:rsidR="000740F7" w:rsidRPr="001F53E7" w:rsidRDefault="000740F7" w:rsidP="006D0A51">
            <w:pPr>
              <w:jc w:val="center"/>
              <w:rPr>
                <w:color w:val="000000"/>
                <w:sz w:val="18"/>
                <w:szCs w:val="18"/>
              </w:rPr>
            </w:pPr>
            <w:r w:rsidRPr="001F53E7">
              <w:rPr>
                <w:color w:val="000000"/>
                <w:sz w:val="18"/>
                <w:szCs w:val="18"/>
              </w:rPr>
              <w:t>349,3</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52377" w14:textId="77777777" w:rsidR="000740F7" w:rsidRPr="001F53E7" w:rsidRDefault="000740F7" w:rsidP="006D0A51">
            <w:pPr>
              <w:jc w:val="center"/>
              <w:rPr>
                <w:color w:val="000000"/>
                <w:sz w:val="18"/>
                <w:szCs w:val="18"/>
              </w:rPr>
            </w:pPr>
            <w:r w:rsidRPr="001F53E7">
              <w:rPr>
                <w:color w:val="000000"/>
                <w:sz w:val="18"/>
                <w:szCs w:val="18"/>
              </w:rPr>
              <w:t>83,7</w:t>
            </w:r>
          </w:p>
        </w:tc>
      </w:tr>
      <w:tr w:rsidR="000740F7" w:rsidRPr="001B4CA2" w14:paraId="57B65B44" w14:textId="77777777" w:rsidTr="006D0A51">
        <w:trPr>
          <w:trHeight w:val="333"/>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1830BB"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ŽDO</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8125CCF" w14:textId="77777777" w:rsidR="000740F7" w:rsidRPr="001F53E7" w:rsidRDefault="000740F7" w:rsidP="006D0A51">
            <w:pPr>
              <w:jc w:val="center"/>
              <w:rPr>
                <w:color w:val="000000"/>
                <w:sz w:val="18"/>
                <w:szCs w:val="18"/>
              </w:rPr>
            </w:pPr>
            <w:r w:rsidRPr="001F53E7">
              <w:rPr>
                <w:color w:val="000000"/>
                <w:sz w:val="18"/>
                <w:szCs w:val="18"/>
              </w:rPr>
              <w:t>2018.</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F5A19" w14:textId="77777777" w:rsidR="000740F7" w:rsidRPr="001F53E7" w:rsidRDefault="000740F7" w:rsidP="006D0A51">
            <w:pPr>
              <w:jc w:val="center"/>
              <w:rPr>
                <w:color w:val="000000"/>
                <w:sz w:val="18"/>
                <w:szCs w:val="18"/>
              </w:rPr>
            </w:pPr>
            <w:r w:rsidRPr="001F53E7">
              <w:rPr>
                <w:color w:val="000000"/>
                <w:sz w:val="18"/>
                <w:szCs w:val="18"/>
              </w:rPr>
              <w:t>102%</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0564F" w14:textId="77777777" w:rsidR="000740F7" w:rsidRPr="001F53E7" w:rsidRDefault="000740F7" w:rsidP="006D0A51">
            <w:pPr>
              <w:jc w:val="center"/>
              <w:rPr>
                <w:color w:val="000000"/>
                <w:sz w:val="18"/>
                <w:szCs w:val="18"/>
              </w:rPr>
            </w:pPr>
            <w:r w:rsidRPr="001F53E7">
              <w:rPr>
                <w:color w:val="000000"/>
                <w:sz w:val="18"/>
                <w:szCs w:val="18"/>
              </w:rPr>
              <w:t>55,4</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BFDC0" w14:textId="77777777" w:rsidR="000740F7" w:rsidRPr="001F53E7" w:rsidRDefault="000740F7" w:rsidP="006D0A51">
            <w:pPr>
              <w:jc w:val="center"/>
              <w:rPr>
                <w:color w:val="000000"/>
                <w:sz w:val="18"/>
                <w:szCs w:val="18"/>
              </w:rPr>
            </w:pPr>
            <w:r w:rsidRPr="001F53E7">
              <w:rPr>
                <w:color w:val="000000"/>
                <w:sz w:val="18"/>
                <w:szCs w:val="18"/>
              </w:rPr>
              <w:t>170</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27B8D" w14:textId="77777777" w:rsidR="000740F7" w:rsidRPr="001F53E7" w:rsidRDefault="000740F7" w:rsidP="006D0A51">
            <w:pPr>
              <w:jc w:val="center"/>
              <w:rPr>
                <w:color w:val="000000"/>
                <w:sz w:val="18"/>
                <w:szCs w:val="18"/>
              </w:rPr>
            </w:pPr>
            <w:r w:rsidRPr="001F53E7">
              <w:rPr>
                <w:color w:val="000000"/>
                <w:sz w:val="18"/>
                <w:szCs w:val="18"/>
              </w:rPr>
              <w:t>185,1</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AB109" w14:textId="77777777" w:rsidR="000740F7" w:rsidRPr="001F53E7" w:rsidRDefault="000740F7" w:rsidP="006D0A51">
            <w:pPr>
              <w:jc w:val="center"/>
              <w:rPr>
                <w:color w:val="000000"/>
                <w:sz w:val="18"/>
                <w:szCs w:val="18"/>
              </w:rPr>
            </w:pPr>
            <w:r w:rsidRPr="001F53E7">
              <w:rPr>
                <w:color w:val="000000"/>
                <w:sz w:val="18"/>
                <w:szCs w:val="18"/>
              </w:rPr>
              <w:t>188,5</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64D76" w14:textId="77777777" w:rsidR="000740F7" w:rsidRPr="001F53E7" w:rsidRDefault="000740F7" w:rsidP="006D0A51">
            <w:pPr>
              <w:jc w:val="center"/>
              <w:rPr>
                <w:color w:val="000000"/>
                <w:sz w:val="18"/>
                <w:szCs w:val="18"/>
              </w:rPr>
            </w:pPr>
            <w:r w:rsidRPr="001F53E7">
              <w:rPr>
                <w:color w:val="000000"/>
                <w:sz w:val="18"/>
                <w:szCs w:val="18"/>
              </w:rPr>
              <w:t>28,6</w:t>
            </w:r>
          </w:p>
        </w:tc>
      </w:tr>
      <w:tr w:rsidR="000740F7" w:rsidRPr="001B4CA2" w14:paraId="2E9DBDD6"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09D830C6"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5D3D314" w14:textId="77777777" w:rsidR="000740F7" w:rsidRPr="001F53E7" w:rsidRDefault="000740F7" w:rsidP="006D0A51">
            <w:pPr>
              <w:jc w:val="center"/>
              <w:rPr>
                <w:color w:val="000000"/>
                <w:sz w:val="18"/>
                <w:szCs w:val="18"/>
              </w:rPr>
            </w:pPr>
            <w:r w:rsidRPr="001F53E7">
              <w:rPr>
                <w:color w:val="000000"/>
                <w:sz w:val="18"/>
                <w:szCs w:val="18"/>
              </w:rPr>
              <w:t>2019.</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741D" w14:textId="77777777" w:rsidR="000740F7" w:rsidRPr="001F53E7" w:rsidRDefault="000740F7" w:rsidP="006D0A51">
            <w:pPr>
              <w:jc w:val="center"/>
              <w:rPr>
                <w:color w:val="000000"/>
                <w:sz w:val="18"/>
                <w:szCs w:val="18"/>
              </w:rPr>
            </w:pPr>
            <w:r w:rsidRPr="001F53E7">
              <w:rPr>
                <w:color w:val="000000"/>
                <w:sz w:val="18"/>
                <w:szCs w:val="18"/>
              </w:rPr>
              <w:t>103%</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4722C" w14:textId="77777777" w:rsidR="000740F7" w:rsidRPr="001F53E7" w:rsidRDefault="000740F7" w:rsidP="006D0A51">
            <w:pPr>
              <w:jc w:val="center"/>
              <w:rPr>
                <w:color w:val="000000"/>
                <w:sz w:val="18"/>
                <w:szCs w:val="18"/>
              </w:rPr>
            </w:pPr>
            <w:r w:rsidRPr="001F53E7">
              <w:rPr>
                <w:color w:val="000000"/>
                <w:sz w:val="18"/>
                <w:szCs w:val="18"/>
              </w:rPr>
              <w:t>41,3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CE292" w14:textId="77777777" w:rsidR="000740F7" w:rsidRPr="001F53E7" w:rsidRDefault="000740F7" w:rsidP="006D0A51">
            <w:pPr>
              <w:jc w:val="center"/>
              <w:rPr>
                <w:color w:val="000000"/>
                <w:sz w:val="18"/>
                <w:szCs w:val="18"/>
              </w:rPr>
            </w:pPr>
            <w:r w:rsidRPr="001F53E7">
              <w:rPr>
                <w:color w:val="000000"/>
                <w:sz w:val="18"/>
                <w:szCs w:val="18"/>
              </w:rPr>
              <w:t>163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CB3C4" w14:textId="77777777" w:rsidR="000740F7" w:rsidRPr="001F53E7" w:rsidRDefault="000740F7" w:rsidP="006D0A51">
            <w:pPr>
              <w:jc w:val="center"/>
              <w:rPr>
                <w:color w:val="000000"/>
                <w:sz w:val="18"/>
                <w:szCs w:val="18"/>
              </w:rPr>
            </w:pPr>
            <w:r w:rsidRPr="001F53E7">
              <w:rPr>
                <w:color w:val="000000"/>
                <w:sz w:val="18"/>
                <w:szCs w:val="18"/>
              </w:rPr>
              <w:t>193,7</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90692" w14:textId="77777777" w:rsidR="000740F7" w:rsidRPr="001F53E7" w:rsidRDefault="000740F7" w:rsidP="006D0A51">
            <w:pPr>
              <w:jc w:val="center"/>
              <w:rPr>
                <w:color w:val="000000"/>
                <w:sz w:val="18"/>
                <w:szCs w:val="18"/>
              </w:rPr>
            </w:pPr>
            <w:r w:rsidRPr="001F53E7">
              <w:rPr>
                <w:color w:val="000000"/>
                <w:sz w:val="18"/>
                <w:szCs w:val="18"/>
              </w:rPr>
              <w:t>199,6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DFADD" w14:textId="77777777" w:rsidR="000740F7" w:rsidRPr="001F53E7" w:rsidRDefault="000740F7" w:rsidP="006D0A51">
            <w:pPr>
              <w:jc w:val="center"/>
              <w:rPr>
                <w:color w:val="000000"/>
                <w:sz w:val="18"/>
                <w:szCs w:val="18"/>
              </w:rPr>
            </w:pPr>
            <w:r w:rsidRPr="001F53E7">
              <w:rPr>
                <w:color w:val="000000"/>
                <w:sz w:val="18"/>
                <w:szCs w:val="18"/>
              </w:rPr>
              <w:t>22,6</w:t>
            </w:r>
          </w:p>
        </w:tc>
      </w:tr>
      <w:tr w:rsidR="000740F7" w:rsidRPr="001B4CA2" w14:paraId="71B52166"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74889481"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6B609EE" w14:textId="77777777" w:rsidR="000740F7" w:rsidRPr="001F53E7" w:rsidRDefault="000740F7" w:rsidP="006D0A51">
            <w:pPr>
              <w:jc w:val="center"/>
              <w:rPr>
                <w:color w:val="000000"/>
                <w:sz w:val="18"/>
                <w:szCs w:val="18"/>
              </w:rPr>
            </w:pPr>
            <w:r w:rsidRPr="001F53E7">
              <w:rPr>
                <w:color w:val="000000"/>
                <w:sz w:val="18"/>
                <w:szCs w:val="18"/>
              </w:rPr>
              <w:t>2020.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7CD0D" w14:textId="77777777" w:rsidR="000740F7" w:rsidRPr="001F53E7" w:rsidRDefault="000740F7" w:rsidP="006D0A51">
            <w:pPr>
              <w:jc w:val="center"/>
              <w:rPr>
                <w:color w:val="000000"/>
                <w:sz w:val="18"/>
                <w:szCs w:val="18"/>
              </w:rPr>
            </w:pPr>
            <w:r w:rsidRPr="001F53E7">
              <w:rPr>
                <w:color w:val="000000"/>
                <w:sz w:val="18"/>
                <w:szCs w:val="18"/>
              </w:rPr>
              <w:t>99%</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21A2E" w14:textId="77777777" w:rsidR="000740F7" w:rsidRPr="001F53E7" w:rsidRDefault="000740F7" w:rsidP="006D0A51">
            <w:pPr>
              <w:jc w:val="center"/>
              <w:rPr>
                <w:color w:val="000000"/>
                <w:sz w:val="18"/>
                <w:szCs w:val="18"/>
              </w:rPr>
            </w:pPr>
            <w:r w:rsidRPr="001F53E7">
              <w:rPr>
                <w:color w:val="000000"/>
                <w:sz w:val="18"/>
                <w:szCs w:val="18"/>
              </w:rPr>
              <w:t>45,4</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321DD" w14:textId="77777777" w:rsidR="000740F7" w:rsidRPr="001F53E7" w:rsidRDefault="000740F7" w:rsidP="006D0A51">
            <w:pPr>
              <w:jc w:val="center"/>
              <w:rPr>
                <w:color w:val="000000"/>
                <w:sz w:val="18"/>
                <w:szCs w:val="18"/>
              </w:rPr>
            </w:pPr>
            <w:r w:rsidRPr="001F53E7">
              <w:rPr>
                <w:color w:val="000000"/>
                <w:sz w:val="18"/>
                <w:szCs w:val="18"/>
              </w:rPr>
              <w:t>159,11</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707B6" w14:textId="77777777" w:rsidR="000740F7" w:rsidRPr="001F53E7" w:rsidRDefault="000740F7" w:rsidP="006D0A51">
            <w:pPr>
              <w:jc w:val="center"/>
              <w:rPr>
                <w:color w:val="000000"/>
                <w:sz w:val="18"/>
                <w:szCs w:val="18"/>
              </w:rPr>
            </w:pPr>
            <w:r w:rsidRPr="001F53E7">
              <w:rPr>
                <w:color w:val="000000"/>
                <w:sz w:val="18"/>
                <w:szCs w:val="18"/>
              </w:rPr>
              <w:t>201,1</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F7E4E" w14:textId="77777777" w:rsidR="000740F7" w:rsidRPr="001F53E7" w:rsidRDefault="000740F7" w:rsidP="006D0A51">
            <w:pPr>
              <w:jc w:val="center"/>
              <w:rPr>
                <w:color w:val="000000"/>
                <w:sz w:val="18"/>
                <w:szCs w:val="18"/>
              </w:rPr>
            </w:pPr>
            <w:r w:rsidRPr="001F53E7">
              <w:rPr>
                <w:color w:val="000000"/>
                <w:sz w:val="18"/>
                <w:szCs w:val="18"/>
              </w:rPr>
              <w:t>199,6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D17C2" w14:textId="77777777" w:rsidR="000740F7" w:rsidRPr="001F53E7" w:rsidRDefault="000740F7" w:rsidP="006D0A51">
            <w:pPr>
              <w:jc w:val="center"/>
              <w:rPr>
                <w:color w:val="000000"/>
                <w:sz w:val="18"/>
                <w:szCs w:val="18"/>
              </w:rPr>
            </w:pPr>
            <w:r w:rsidRPr="001F53E7">
              <w:rPr>
                <w:color w:val="000000"/>
                <w:sz w:val="18"/>
                <w:szCs w:val="18"/>
              </w:rPr>
              <w:t>24,8</w:t>
            </w:r>
          </w:p>
        </w:tc>
      </w:tr>
      <w:tr w:rsidR="000740F7" w:rsidRPr="001B4CA2" w14:paraId="7B4520FC"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4CCF4D0A"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7CB47FB" w14:textId="77777777" w:rsidR="000740F7" w:rsidRPr="001F53E7" w:rsidRDefault="000740F7" w:rsidP="006D0A51">
            <w:pPr>
              <w:jc w:val="center"/>
              <w:rPr>
                <w:color w:val="000000"/>
                <w:sz w:val="18"/>
                <w:szCs w:val="18"/>
              </w:rPr>
            </w:pPr>
            <w:r w:rsidRPr="001F53E7">
              <w:rPr>
                <w:color w:val="000000"/>
                <w:sz w:val="18"/>
                <w:szCs w:val="18"/>
              </w:rPr>
              <w:t>2021.</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54FBC" w14:textId="77777777" w:rsidR="000740F7" w:rsidRPr="001F53E7" w:rsidRDefault="000740F7" w:rsidP="006D0A51">
            <w:pPr>
              <w:jc w:val="center"/>
              <w:rPr>
                <w:color w:val="000000"/>
                <w:sz w:val="18"/>
                <w:szCs w:val="18"/>
              </w:rPr>
            </w:pPr>
            <w:r w:rsidRPr="001F53E7">
              <w:rPr>
                <w:color w:val="000000"/>
                <w:sz w:val="18"/>
                <w:szCs w:val="18"/>
              </w:rPr>
              <w:t>100%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0BA2F" w14:textId="77777777" w:rsidR="000740F7" w:rsidRPr="001F53E7" w:rsidRDefault="000740F7" w:rsidP="006D0A51">
            <w:pPr>
              <w:jc w:val="center"/>
              <w:rPr>
                <w:color w:val="000000"/>
                <w:sz w:val="18"/>
                <w:szCs w:val="18"/>
              </w:rPr>
            </w:pPr>
            <w:r w:rsidRPr="001F53E7">
              <w:rPr>
                <w:color w:val="000000"/>
                <w:sz w:val="18"/>
                <w:szCs w:val="18"/>
              </w:rPr>
              <w:t>39,4</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38393" w14:textId="77777777" w:rsidR="000740F7" w:rsidRPr="001F53E7" w:rsidRDefault="000740F7" w:rsidP="006D0A51">
            <w:pPr>
              <w:jc w:val="center"/>
              <w:rPr>
                <w:color w:val="000000"/>
                <w:sz w:val="18"/>
                <w:szCs w:val="18"/>
              </w:rPr>
            </w:pPr>
            <w:r w:rsidRPr="001F53E7">
              <w:rPr>
                <w:color w:val="000000"/>
                <w:sz w:val="18"/>
                <w:szCs w:val="18"/>
              </w:rPr>
              <w:t>164,7</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B8AD3" w14:textId="77777777" w:rsidR="000740F7" w:rsidRPr="001F53E7" w:rsidRDefault="000740F7" w:rsidP="006D0A51">
            <w:pPr>
              <w:jc w:val="center"/>
              <w:rPr>
                <w:color w:val="000000"/>
                <w:sz w:val="18"/>
                <w:szCs w:val="18"/>
              </w:rPr>
            </w:pPr>
            <w:r w:rsidRPr="001F53E7">
              <w:rPr>
                <w:color w:val="000000"/>
                <w:sz w:val="18"/>
                <w:szCs w:val="18"/>
              </w:rPr>
              <w:t>211,3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99432" w14:textId="77777777" w:rsidR="000740F7" w:rsidRPr="001F53E7" w:rsidRDefault="000740F7" w:rsidP="006D0A51">
            <w:pPr>
              <w:jc w:val="center"/>
              <w:rPr>
                <w:color w:val="000000"/>
                <w:sz w:val="18"/>
                <w:szCs w:val="18"/>
              </w:rPr>
            </w:pPr>
            <w:r w:rsidRPr="001F53E7">
              <w:rPr>
                <w:color w:val="000000"/>
                <w:sz w:val="18"/>
                <w:szCs w:val="18"/>
              </w:rPr>
              <w:t>212,0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7304F" w14:textId="77777777" w:rsidR="000740F7" w:rsidRPr="001F53E7" w:rsidRDefault="000740F7" w:rsidP="006D0A51">
            <w:pPr>
              <w:jc w:val="center"/>
              <w:rPr>
                <w:color w:val="000000"/>
                <w:sz w:val="18"/>
                <w:szCs w:val="18"/>
              </w:rPr>
            </w:pPr>
            <w:r w:rsidRPr="001F53E7">
              <w:rPr>
                <w:color w:val="000000"/>
                <w:sz w:val="18"/>
                <w:szCs w:val="18"/>
              </w:rPr>
              <w:t>22,9</w:t>
            </w:r>
          </w:p>
        </w:tc>
      </w:tr>
      <w:tr w:rsidR="000740F7" w:rsidRPr="001B4CA2" w14:paraId="0736EF59"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260F5F08"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6BD7692" w14:textId="77777777" w:rsidR="000740F7" w:rsidRPr="001F53E7" w:rsidRDefault="000740F7" w:rsidP="006D0A51">
            <w:pPr>
              <w:jc w:val="center"/>
              <w:rPr>
                <w:color w:val="000000"/>
                <w:sz w:val="18"/>
                <w:szCs w:val="18"/>
              </w:rPr>
            </w:pPr>
            <w:r w:rsidRPr="001F53E7">
              <w:rPr>
                <w:color w:val="000000"/>
                <w:sz w:val="18"/>
                <w:szCs w:val="18"/>
              </w:rPr>
              <w:t>2022.</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A8F84" w14:textId="77777777" w:rsidR="000740F7" w:rsidRPr="001F53E7" w:rsidRDefault="000740F7" w:rsidP="006D0A51">
            <w:pPr>
              <w:jc w:val="center"/>
              <w:rPr>
                <w:color w:val="000000"/>
                <w:sz w:val="18"/>
                <w:szCs w:val="18"/>
              </w:rPr>
            </w:pPr>
            <w:r w:rsidRPr="001F53E7">
              <w:rPr>
                <w:color w:val="000000"/>
                <w:sz w:val="18"/>
                <w:szCs w:val="18"/>
              </w:rPr>
              <w:t>101%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07194" w14:textId="77777777" w:rsidR="000740F7" w:rsidRPr="001F53E7" w:rsidRDefault="000740F7" w:rsidP="006D0A51">
            <w:pPr>
              <w:jc w:val="center"/>
              <w:rPr>
                <w:color w:val="000000"/>
                <w:sz w:val="18"/>
                <w:szCs w:val="18"/>
              </w:rPr>
            </w:pPr>
            <w:r w:rsidRPr="001F53E7">
              <w:rPr>
                <w:color w:val="000000"/>
                <w:sz w:val="18"/>
                <w:szCs w:val="18"/>
              </w:rPr>
              <w:t>38,3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1FE34" w14:textId="77777777" w:rsidR="000740F7" w:rsidRPr="001F53E7" w:rsidRDefault="000740F7" w:rsidP="006D0A51">
            <w:pPr>
              <w:jc w:val="center"/>
              <w:rPr>
                <w:color w:val="000000"/>
                <w:sz w:val="18"/>
                <w:szCs w:val="18"/>
              </w:rPr>
            </w:pPr>
            <w:r w:rsidRPr="001F53E7">
              <w:rPr>
                <w:color w:val="000000"/>
                <w:sz w:val="18"/>
                <w:szCs w:val="18"/>
              </w:rPr>
              <w:t>173,8</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1D6A7" w14:textId="77777777" w:rsidR="000740F7" w:rsidRPr="001F53E7" w:rsidRDefault="000740F7" w:rsidP="006D0A51">
            <w:pPr>
              <w:jc w:val="center"/>
              <w:rPr>
                <w:color w:val="000000"/>
                <w:sz w:val="18"/>
                <w:szCs w:val="18"/>
              </w:rPr>
            </w:pPr>
            <w:r w:rsidRPr="001F53E7">
              <w:rPr>
                <w:color w:val="000000"/>
                <w:sz w:val="18"/>
                <w:szCs w:val="18"/>
              </w:rPr>
              <w:t>196,9</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49344" w14:textId="77777777" w:rsidR="000740F7" w:rsidRPr="001F53E7" w:rsidRDefault="000740F7" w:rsidP="006D0A51">
            <w:pPr>
              <w:jc w:val="center"/>
              <w:rPr>
                <w:color w:val="000000"/>
                <w:sz w:val="18"/>
                <w:szCs w:val="18"/>
              </w:rPr>
            </w:pPr>
            <w:r w:rsidRPr="001F53E7">
              <w:rPr>
                <w:color w:val="000000"/>
                <w:sz w:val="18"/>
                <w:szCs w:val="18"/>
              </w:rPr>
              <w:t>198,3</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2864C" w14:textId="77777777" w:rsidR="000740F7" w:rsidRPr="001F53E7" w:rsidRDefault="000740F7" w:rsidP="006D0A51">
            <w:pPr>
              <w:jc w:val="center"/>
              <w:rPr>
                <w:color w:val="000000"/>
                <w:sz w:val="18"/>
                <w:szCs w:val="18"/>
              </w:rPr>
            </w:pPr>
            <w:r w:rsidRPr="001F53E7">
              <w:rPr>
                <w:color w:val="000000"/>
                <w:sz w:val="18"/>
                <w:szCs w:val="18"/>
              </w:rPr>
              <w:t>20,8</w:t>
            </w:r>
          </w:p>
        </w:tc>
      </w:tr>
      <w:tr w:rsidR="000740F7" w:rsidRPr="001B4CA2" w14:paraId="6030EB71" w14:textId="77777777" w:rsidTr="006D0A51">
        <w:trPr>
          <w:trHeight w:val="333"/>
        </w:trPr>
        <w:tc>
          <w:tcPr>
            <w:tcW w:w="1866" w:type="dxa"/>
            <w:vMerge w:val="restart"/>
            <w:tcBorders>
              <w:top w:val="nil"/>
              <w:left w:val="single" w:sz="4" w:space="0" w:color="auto"/>
              <w:bottom w:val="single" w:sz="4" w:space="0" w:color="auto"/>
              <w:right w:val="single" w:sz="4" w:space="0" w:color="auto"/>
            </w:tcBorders>
            <w:shd w:val="clear" w:color="auto" w:fill="auto"/>
            <w:vAlign w:val="center"/>
            <w:hideMark/>
          </w:tcPr>
          <w:p w14:paraId="6188E5B9"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USKOK</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BE1D37B" w14:textId="77777777" w:rsidR="000740F7" w:rsidRPr="001F53E7" w:rsidRDefault="000740F7" w:rsidP="006D0A51">
            <w:pPr>
              <w:jc w:val="center"/>
              <w:rPr>
                <w:color w:val="000000"/>
                <w:sz w:val="18"/>
                <w:szCs w:val="18"/>
              </w:rPr>
            </w:pPr>
            <w:r w:rsidRPr="001F53E7">
              <w:rPr>
                <w:color w:val="000000"/>
                <w:sz w:val="18"/>
                <w:szCs w:val="18"/>
              </w:rPr>
              <w:t>2018.</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AF765" w14:textId="77777777" w:rsidR="000740F7" w:rsidRPr="001F53E7" w:rsidRDefault="000740F7" w:rsidP="006D0A51">
            <w:pPr>
              <w:jc w:val="center"/>
              <w:rPr>
                <w:color w:val="000000"/>
                <w:sz w:val="18"/>
                <w:szCs w:val="18"/>
              </w:rPr>
            </w:pPr>
            <w:r w:rsidRPr="001F53E7">
              <w:rPr>
                <w:color w:val="000000"/>
                <w:sz w:val="18"/>
                <w:szCs w:val="18"/>
              </w:rPr>
              <w:t>105%</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18BC5" w14:textId="77777777" w:rsidR="000740F7" w:rsidRPr="001F53E7" w:rsidRDefault="000740F7" w:rsidP="006D0A51">
            <w:pPr>
              <w:jc w:val="center"/>
              <w:rPr>
                <w:color w:val="000000"/>
                <w:sz w:val="18"/>
                <w:szCs w:val="18"/>
              </w:rPr>
            </w:pPr>
            <w:r w:rsidRPr="001F53E7">
              <w:rPr>
                <w:color w:val="000000"/>
                <w:sz w:val="18"/>
                <w:szCs w:val="18"/>
              </w:rPr>
              <w:t>173,7</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BF99B" w14:textId="77777777" w:rsidR="000740F7" w:rsidRPr="001F53E7" w:rsidRDefault="000740F7" w:rsidP="006D0A51">
            <w:pPr>
              <w:jc w:val="center"/>
              <w:rPr>
                <w:color w:val="000000"/>
                <w:sz w:val="18"/>
                <w:szCs w:val="18"/>
              </w:rPr>
            </w:pPr>
            <w:r w:rsidRPr="001F53E7">
              <w:rPr>
                <w:color w:val="000000"/>
                <w:sz w:val="18"/>
                <w:szCs w:val="18"/>
              </w:rPr>
              <w:t>33,5</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389F8" w14:textId="77777777" w:rsidR="000740F7" w:rsidRPr="001F53E7" w:rsidRDefault="000740F7" w:rsidP="006D0A51">
            <w:pPr>
              <w:jc w:val="center"/>
              <w:rPr>
                <w:color w:val="000000"/>
                <w:sz w:val="18"/>
                <w:szCs w:val="18"/>
              </w:rPr>
            </w:pPr>
            <w:r w:rsidRPr="001F53E7">
              <w:rPr>
                <w:color w:val="000000"/>
                <w:sz w:val="18"/>
                <w:szCs w:val="18"/>
              </w:rPr>
              <w:t>42,6</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0E70E" w14:textId="77777777" w:rsidR="000740F7" w:rsidRPr="001F53E7" w:rsidRDefault="000740F7" w:rsidP="006D0A51">
            <w:pPr>
              <w:jc w:val="center"/>
              <w:rPr>
                <w:color w:val="000000"/>
                <w:sz w:val="18"/>
                <w:szCs w:val="18"/>
              </w:rPr>
            </w:pPr>
            <w:r w:rsidRPr="001F53E7">
              <w:rPr>
                <w:color w:val="000000"/>
                <w:sz w:val="18"/>
                <w:szCs w:val="18"/>
              </w:rPr>
              <w:t>44,5</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CD694" w14:textId="77777777" w:rsidR="000740F7" w:rsidRPr="001F53E7" w:rsidRDefault="000740F7" w:rsidP="006D0A51">
            <w:pPr>
              <w:jc w:val="center"/>
              <w:rPr>
                <w:color w:val="000000"/>
                <w:sz w:val="18"/>
                <w:szCs w:val="18"/>
              </w:rPr>
            </w:pPr>
            <w:r w:rsidRPr="001F53E7">
              <w:rPr>
                <w:color w:val="000000"/>
                <w:sz w:val="18"/>
                <w:szCs w:val="18"/>
              </w:rPr>
              <w:t>21,2</w:t>
            </w:r>
          </w:p>
        </w:tc>
      </w:tr>
      <w:tr w:rsidR="000740F7" w:rsidRPr="001B4CA2" w14:paraId="0CC23572"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4FC53BAC"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C8F055B" w14:textId="77777777" w:rsidR="000740F7" w:rsidRPr="001F53E7" w:rsidRDefault="000740F7" w:rsidP="006D0A51">
            <w:pPr>
              <w:jc w:val="center"/>
              <w:rPr>
                <w:color w:val="000000"/>
                <w:sz w:val="18"/>
                <w:szCs w:val="18"/>
              </w:rPr>
            </w:pPr>
            <w:r w:rsidRPr="001F53E7">
              <w:rPr>
                <w:color w:val="000000"/>
                <w:sz w:val="18"/>
                <w:szCs w:val="18"/>
              </w:rPr>
              <w:t>2019.</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D6606" w14:textId="77777777" w:rsidR="000740F7" w:rsidRPr="001F53E7" w:rsidRDefault="000740F7" w:rsidP="006D0A51">
            <w:pPr>
              <w:jc w:val="center"/>
              <w:rPr>
                <w:color w:val="000000"/>
                <w:sz w:val="18"/>
                <w:szCs w:val="18"/>
              </w:rPr>
            </w:pPr>
            <w:r w:rsidRPr="001F53E7">
              <w:rPr>
                <w:color w:val="000000"/>
                <w:sz w:val="18"/>
                <w:szCs w:val="18"/>
              </w:rPr>
              <w:t>105%</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FD895" w14:textId="77777777" w:rsidR="000740F7" w:rsidRPr="001F53E7" w:rsidRDefault="000740F7" w:rsidP="006D0A51">
            <w:pPr>
              <w:jc w:val="center"/>
              <w:rPr>
                <w:color w:val="000000"/>
                <w:sz w:val="18"/>
                <w:szCs w:val="18"/>
              </w:rPr>
            </w:pPr>
            <w:r w:rsidRPr="001F53E7">
              <w:rPr>
                <w:color w:val="000000"/>
                <w:sz w:val="18"/>
                <w:szCs w:val="18"/>
              </w:rPr>
              <w:t>146,4</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4B541" w14:textId="77777777" w:rsidR="000740F7" w:rsidRPr="001F53E7" w:rsidRDefault="000740F7" w:rsidP="006D0A51">
            <w:pPr>
              <w:jc w:val="center"/>
              <w:rPr>
                <w:color w:val="000000"/>
                <w:sz w:val="18"/>
                <w:szCs w:val="18"/>
              </w:rPr>
            </w:pPr>
            <w:r w:rsidRPr="001F53E7">
              <w:rPr>
                <w:color w:val="000000"/>
                <w:sz w:val="18"/>
                <w:szCs w:val="18"/>
              </w:rPr>
              <w:t>35</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A5262" w14:textId="77777777" w:rsidR="000740F7" w:rsidRPr="001F53E7" w:rsidRDefault="000740F7" w:rsidP="006D0A51">
            <w:pPr>
              <w:jc w:val="center"/>
              <w:rPr>
                <w:color w:val="000000"/>
                <w:sz w:val="18"/>
                <w:szCs w:val="18"/>
              </w:rPr>
            </w:pPr>
            <w:r w:rsidRPr="001F53E7">
              <w:rPr>
                <w:color w:val="000000"/>
                <w:sz w:val="18"/>
                <w:szCs w:val="18"/>
              </w:rPr>
              <w:t>44,4</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75649" w14:textId="77777777" w:rsidR="000740F7" w:rsidRPr="001F53E7" w:rsidRDefault="000740F7" w:rsidP="006D0A51">
            <w:pPr>
              <w:jc w:val="center"/>
              <w:rPr>
                <w:color w:val="000000"/>
                <w:sz w:val="18"/>
                <w:szCs w:val="18"/>
              </w:rPr>
            </w:pPr>
            <w:r w:rsidRPr="001F53E7">
              <w:rPr>
                <w:color w:val="000000"/>
                <w:sz w:val="18"/>
                <w:szCs w:val="18"/>
              </w:rPr>
              <w:t>46,5</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622D0" w14:textId="77777777" w:rsidR="000740F7" w:rsidRPr="001F53E7" w:rsidRDefault="000740F7" w:rsidP="006D0A51">
            <w:pPr>
              <w:jc w:val="center"/>
              <w:rPr>
                <w:color w:val="000000"/>
                <w:sz w:val="18"/>
                <w:szCs w:val="18"/>
              </w:rPr>
            </w:pPr>
            <w:r w:rsidRPr="001F53E7">
              <w:rPr>
                <w:color w:val="000000"/>
                <w:sz w:val="18"/>
                <w:szCs w:val="18"/>
              </w:rPr>
              <w:t>18,6</w:t>
            </w:r>
          </w:p>
        </w:tc>
      </w:tr>
      <w:tr w:rsidR="000740F7" w:rsidRPr="001B4CA2" w14:paraId="7689C7BC"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11890C84"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1B1DCF9" w14:textId="77777777" w:rsidR="000740F7" w:rsidRPr="001F53E7" w:rsidRDefault="000740F7" w:rsidP="006D0A51">
            <w:pPr>
              <w:jc w:val="center"/>
              <w:rPr>
                <w:color w:val="000000"/>
                <w:sz w:val="18"/>
                <w:szCs w:val="18"/>
              </w:rPr>
            </w:pPr>
            <w:r w:rsidRPr="001F53E7">
              <w:rPr>
                <w:color w:val="000000"/>
                <w:sz w:val="18"/>
                <w:szCs w:val="18"/>
              </w:rPr>
              <w:t>2020.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71F10" w14:textId="77777777" w:rsidR="000740F7" w:rsidRPr="001F53E7" w:rsidRDefault="000740F7" w:rsidP="006D0A51">
            <w:pPr>
              <w:jc w:val="center"/>
              <w:rPr>
                <w:color w:val="000000"/>
                <w:sz w:val="18"/>
                <w:szCs w:val="18"/>
              </w:rPr>
            </w:pPr>
            <w:r w:rsidRPr="001F53E7">
              <w:rPr>
                <w:color w:val="000000"/>
                <w:sz w:val="18"/>
                <w:szCs w:val="18"/>
              </w:rPr>
              <w:t>104%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F8427" w14:textId="77777777" w:rsidR="000740F7" w:rsidRPr="001F53E7" w:rsidRDefault="000740F7" w:rsidP="006D0A51">
            <w:pPr>
              <w:jc w:val="center"/>
              <w:rPr>
                <w:color w:val="000000"/>
                <w:sz w:val="18"/>
                <w:szCs w:val="18"/>
              </w:rPr>
            </w:pPr>
            <w:r w:rsidRPr="001F53E7">
              <w:rPr>
                <w:color w:val="000000"/>
                <w:sz w:val="18"/>
                <w:szCs w:val="18"/>
              </w:rPr>
              <w:t>63,8</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D8FC2" w14:textId="77777777" w:rsidR="000740F7" w:rsidRPr="001F53E7" w:rsidRDefault="000740F7" w:rsidP="006D0A51">
            <w:pPr>
              <w:jc w:val="center"/>
              <w:rPr>
                <w:color w:val="000000"/>
                <w:sz w:val="18"/>
                <w:szCs w:val="18"/>
              </w:rPr>
            </w:pPr>
            <w:r w:rsidRPr="001F53E7">
              <w:rPr>
                <w:color w:val="000000"/>
                <w:sz w:val="18"/>
                <w:szCs w:val="18"/>
              </w:rPr>
              <w:t>32,3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0B2CF" w14:textId="77777777" w:rsidR="000740F7" w:rsidRPr="001F53E7" w:rsidRDefault="000740F7" w:rsidP="006D0A51">
            <w:pPr>
              <w:jc w:val="center"/>
              <w:rPr>
                <w:color w:val="000000"/>
                <w:sz w:val="18"/>
                <w:szCs w:val="18"/>
              </w:rPr>
            </w:pPr>
            <w:r w:rsidRPr="001F53E7">
              <w:rPr>
                <w:color w:val="000000"/>
                <w:sz w:val="18"/>
                <w:szCs w:val="18"/>
              </w:rPr>
              <w:t>103,5</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884EA" w14:textId="77777777" w:rsidR="000740F7" w:rsidRPr="001F53E7" w:rsidRDefault="000740F7" w:rsidP="006D0A51">
            <w:pPr>
              <w:jc w:val="center"/>
              <w:rPr>
                <w:color w:val="000000"/>
                <w:sz w:val="18"/>
                <w:szCs w:val="18"/>
              </w:rPr>
            </w:pPr>
            <w:r w:rsidRPr="001F53E7">
              <w:rPr>
                <w:color w:val="000000"/>
                <w:sz w:val="18"/>
                <w:szCs w:val="18"/>
              </w:rPr>
              <w:t>107,7</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FFD6B" w14:textId="77777777" w:rsidR="000740F7" w:rsidRPr="001F53E7" w:rsidRDefault="000740F7" w:rsidP="006D0A51">
            <w:pPr>
              <w:jc w:val="center"/>
              <w:rPr>
                <w:color w:val="000000"/>
                <w:sz w:val="18"/>
                <w:szCs w:val="18"/>
              </w:rPr>
            </w:pPr>
            <w:r w:rsidRPr="001F53E7">
              <w:rPr>
                <w:color w:val="000000"/>
                <w:sz w:val="18"/>
                <w:szCs w:val="18"/>
              </w:rPr>
              <w:t>15,7</w:t>
            </w:r>
          </w:p>
        </w:tc>
      </w:tr>
      <w:tr w:rsidR="000740F7" w:rsidRPr="001B4CA2" w14:paraId="3C819E29"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1EC07DA5"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9A0F0A4" w14:textId="77777777" w:rsidR="000740F7" w:rsidRPr="001F53E7" w:rsidRDefault="000740F7" w:rsidP="006D0A51">
            <w:pPr>
              <w:jc w:val="center"/>
              <w:rPr>
                <w:color w:val="000000"/>
                <w:sz w:val="18"/>
                <w:szCs w:val="18"/>
              </w:rPr>
            </w:pPr>
            <w:r w:rsidRPr="001F53E7">
              <w:rPr>
                <w:color w:val="000000"/>
                <w:sz w:val="18"/>
                <w:szCs w:val="18"/>
              </w:rPr>
              <w:t>2021.</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CAB48" w14:textId="77777777" w:rsidR="000740F7" w:rsidRPr="001F53E7" w:rsidRDefault="000740F7" w:rsidP="006D0A51">
            <w:pPr>
              <w:jc w:val="center"/>
              <w:rPr>
                <w:color w:val="000000"/>
                <w:sz w:val="18"/>
                <w:szCs w:val="18"/>
              </w:rPr>
            </w:pPr>
            <w:r w:rsidRPr="001F53E7">
              <w:rPr>
                <w:color w:val="000000"/>
                <w:sz w:val="18"/>
                <w:szCs w:val="18"/>
              </w:rPr>
              <w:t>96%</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3AB9E" w14:textId="77777777" w:rsidR="000740F7" w:rsidRPr="001F53E7" w:rsidRDefault="000740F7" w:rsidP="006D0A51">
            <w:pPr>
              <w:jc w:val="center"/>
              <w:rPr>
                <w:color w:val="000000"/>
                <w:sz w:val="18"/>
                <w:szCs w:val="18"/>
              </w:rPr>
            </w:pPr>
            <w:r w:rsidRPr="001F53E7">
              <w:rPr>
                <w:color w:val="000000"/>
                <w:sz w:val="18"/>
                <w:szCs w:val="18"/>
              </w:rPr>
              <w:t>76,7</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BAAA8" w14:textId="77777777" w:rsidR="000740F7" w:rsidRPr="001F53E7" w:rsidRDefault="000740F7" w:rsidP="006D0A51">
            <w:pPr>
              <w:jc w:val="center"/>
              <w:rPr>
                <w:color w:val="000000"/>
                <w:sz w:val="18"/>
                <w:szCs w:val="18"/>
              </w:rPr>
            </w:pPr>
            <w:r w:rsidRPr="001F53E7">
              <w:rPr>
                <w:color w:val="000000"/>
                <w:sz w:val="18"/>
                <w:szCs w:val="18"/>
              </w:rPr>
              <w:t>36,5</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EDC34" w14:textId="77777777" w:rsidR="000740F7" w:rsidRPr="001F53E7" w:rsidRDefault="000740F7" w:rsidP="006D0A51">
            <w:pPr>
              <w:jc w:val="center"/>
              <w:rPr>
                <w:color w:val="000000"/>
                <w:sz w:val="18"/>
                <w:szCs w:val="18"/>
              </w:rPr>
            </w:pPr>
            <w:r w:rsidRPr="001F53E7">
              <w:rPr>
                <w:color w:val="000000"/>
                <w:sz w:val="18"/>
                <w:szCs w:val="18"/>
              </w:rPr>
              <w:t>94,6</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28364" w14:textId="77777777" w:rsidR="000740F7" w:rsidRPr="001F53E7" w:rsidRDefault="000740F7" w:rsidP="006D0A51">
            <w:pPr>
              <w:jc w:val="center"/>
              <w:rPr>
                <w:color w:val="000000"/>
                <w:sz w:val="18"/>
                <w:szCs w:val="18"/>
              </w:rPr>
            </w:pPr>
            <w:r w:rsidRPr="001F53E7">
              <w:rPr>
                <w:color w:val="000000"/>
                <w:sz w:val="18"/>
                <w:szCs w:val="18"/>
              </w:rPr>
              <w:t>90,6</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77EA1" w14:textId="77777777" w:rsidR="000740F7" w:rsidRPr="001F53E7" w:rsidRDefault="000740F7" w:rsidP="006D0A51">
            <w:pPr>
              <w:jc w:val="center"/>
              <w:rPr>
                <w:color w:val="000000"/>
                <w:sz w:val="18"/>
                <w:szCs w:val="18"/>
              </w:rPr>
            </w:pPr>
            <w:r w:rsidRPr="001F53E7">
              <w:rPr>
                <w:color w:val="000000"/>
                <w:sz w:val="18"/>
                <w:szCs w:val="18"/>
              </w:rPr>
              <w:t>19,0</w:t>
            </w:r>
          </w:p>
        </w:tc>
      </w:tr>
      <w:tr w:rsidR="000740F7" w:rsidRPr="001B4CA2" w14:paraId="0979058C"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539D6329"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57F1F4AF" w14:textId="77777777" w:rsidR="000740F7" w:rsidRPr="001F53E7" w:rsidRDefault="000740F7" w:rsidP="006D0A51">
            <w:pPr>
              <w:jc w:val="center"/>
              <w:rPr>
                <w:color w:val="000000"/>
                <w:sz w:val="18"/>
                <w:szCs w:val="18"/>
              </w:rPr>
            </w:pPr>
            <w:r w:rsidRPr="001F53E7">
              <w:rPr>
                <w:color w:val="000000"/>
                <w:sz w:val="18"/>
                <w:szCs w:val="18"/>
              </w:rPr>
              <w:t>2022.</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4C0C7" w14:textId="77777777" w:rsidR="000740F7" w:rsidRPr="001F53E7" w:rsidRDefault="000740F7" w:rsidP="006D0A51">
            <w:pPr>
              <w:jc w:val="center"/>
              <w:rPr>
                <w:color w:val="000000"/>
                <w:sz w:val="18"/>
                <w:szCs w:val="18"/>
              </w:rPr>
            </w:pPr>
            <w:r w:rsidRPr="001F53E7">
              <w:rPr>
                <w:color w:val="000000"/>
                <w:sz w:val="18"/>
                <w:szCs w:val="18"/>
              </w:rPr>
              <w:t>95%</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47F05" w14:textId="77777777" w:rsidR="000740F7" w:rsidRPr="001F53E7" w:rsidRDefault="000740F7" w:rsidP="006D0A51">
            <w:pPr>
              <w:jc w:val="center"/>
              <w:rPr>
                <w:color w:val="000000"/>
                <w:sz w:val="18"/>
                <w:szCs w:val="18"/>
              </w:rPr>
            </w:pPr>
            <w:r w:rsidRPr="001F53E7">
              <w:rPr>
                <w:color w:val="000000"/>
                <w:sz w:val="18"/>
                <w:szCs w:val="18"/>
              </w:rPr>
              <w:t>96,3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98582" w14:textId="77777777" w:rsidR="000740F7" w:rsidRPr="001F53E7" w:rsidRDefault="000740F7" w:rsidP="006D0A51">
            <w:pPr>
              <w:jc w:val="center"/>
              <w:rPr>
                <w:color w:val="000000"/>
                <w:sz w:val="18"/>
                <w:szCs w:val="18"/>
              </w:rPr>
            </w:pPr>
            <w:r w:rsidRPr="001F53E7">
              <w:rPr>
                <w:color w:val="000000"/>
                <w:sz w:val="18"/>
                <w:szCs w:val="18"/>
              </w:rPr>
              <w:t>35,3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3A9E4" w14:textId="77777777" w:rsidR="000740F7" w:rsidRPr="001F53E7" w:rsidRDefault="000740F7" w:rsidP="006D0A51">
            <w:pPr>
              <w:jc w:val="center"/>
              <w:rPr>
                <w:color w:val="000000"/>
                <w:sz w:val="18"/>
                <w:szCs w:val="18"/>
              </w:rPr>
            </w:pPr>
            <w:r w:rsidRPr="001F53E7">
              <w:rPr>
                <w:color w:val="000000"/>
                <w:sz w:val="18"/>
                <w:szCs w:val="18"/>
              </w:rPr>
              <w:t>99,1</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950B8" w14:textId="77777777" w:rsidR="000740F7" w:rsidRPr="001F53E7" w:rsidRDefault="000740F7" w:rsidP="006D0A51">
            <w:pPr>
              <w:jc w:val="center"/>
              <w:rPr>
                <w:color w:val="000000"/>
                <w:sz w:val="18"/>
                <w:szCs w:val="18"/>
              </w:rPr>
            </w:pPr>
            <w:r w:rsidRPr="001F53E7">
              <w:rPr>
                <w:color w:val="000000"/>
                <w:sz w:val="18"/>
                <w:szCs w:val="18"/>
              </w:rPr>
              <w:t>93,8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61DC" w14:textId="77777777" w:rsidR="000740F7" w:rsidRPr="001F53E7" w:rsidRDefault="000740F7" w:rsidP="006D0A51">
            <w:pPr>
              <w:jc w:val="center"/>
              <w:rPr>
                <w:color w:val="000000"/>
                <w:sz w:val="18"/>
                <w:szCs w:val="18"/>
              </w:rPr>
            </w:pPr>
            <w:r w:rsidRPr="001F53E7">
              <w:rPr>
                <w:color w:val="000000"/>
                <w:sz w:val="18"/>
                <w:szCs w:val="18"/>
              </w:rPr>
              <w:t>24,7</w:t>
            </w:r>
          </w:p>
        </w:tc>
      </w:tr>
      <w:tr w:rsidR="000740F7" w:rsidRPr="001B4CA2" w14:paraId="66A64FC4" w14:textId="77777777" w:rsidTr="006D0A51">
        <w:trPr>
          <w:trHeight w:val="333"/>
        </w:trPr>
        <w:tc>
          <w:tcPr>
            <w:tcW w:w="18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D6906C"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DORH</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7C6F3A6D" w14:textId="77777777" w:rsidR="000740F7" w:rsidRPr="001F53E7" w:rsidRDefault="000740F7" w:rsidP="006D0A51">
            <w:pPr>
              <w:jc w:val="center"/>
              <w:rPr>
                <w:color w:val="000000"/>
                <w:sz w:val="18"/>
                <w:szCs w:val="18"/>
              </w:rPr>
            </w:pPr>
            <w:r w:rsidRPr="001F53E7">
              <w:rPr>
                <w:color w:val="000000"/>
                <w:sz w:val="18"/>
                <w:szCs w:val="18"/>
              </w:rPr>
              <w:t>2018.</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15478" w14:textId="77777777" w:rsidR="000740F7" w:rsidRPr="001F53E7" w:rsidRDefault="000740F7" w:rsidP="006D0A51">
            <w:pPr>
              <w:jc w:val="center"/>
              <w:rPr>
                <w:color w:val="000000"/>
                <w:sz w:val="18"/>
                <w:szCs w:val="18"/>
              </w:rPr>
            </w:pPr>
            <w:r w:rsidRPr="001F53E7">
              <w:rPr>
                <w:color w:val="000000"/>
                <w:sz w:val="18"/>
                <w:szCs w:val="18"/>
              </w:rPr>
              <w:t>104%</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26D83" w14:textId="77777777" w:rsidR="000740F7" w:rsidRPr="001F53E7" w:rsidRDefault="000740F7" w:rsidP="006D0A51">
            <w:pPr>
              <w:jc w:val="center"/>
              <w:rPr>
                <w:color w:val="000000"/>
                <w:sz w:val="18"/>
                <w:szCs w:val="18"/>
              </w:rPr>
            </w:pPr>
            <w:r w:rsidRPr="001F53E7">
              <w:rPr>
                <w:color w:val="000000"/>
                <w:sz w:val="18"/>
                <w:szCs w:val="18"/>
              </w:rPr>
              <w:t>154,9</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02656" w14:textId="77777777" w:rsidR="000740F7" w:rsidRPr="001F53E7" w:rsidRDefault="000740F7" w:rsidP="006D0A51">
            <w:pPr>
              <w:jc w:val="center"/>
              <w:rPr>
                <w:color w:val="000000"/>
                <w:sz w:val="18"/>
                <w:szCs w:val="18"/>
              </w:rPr>
            </w:pPr>
            <w:r w:rsidRPr="001F53E7">
              <w:rPr>
                <w:color w:val="000000"/>
                <w:sz w:val="18"/>
                <w:szCs w:val="18"/>
              </w:rPr>
              <w:t>24</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B92BA" w14:textId="77777777" w:rsidR="000740F7" w:rsidRPr="001F53E7" w:rsidRDefault="000740F7" w:rsidP="006D0A51">
            <w:pPr>
              <w:jc w:val="center"/>
              <w:rPr>
                <w:color w:val="000000"/>
                <w:sz w:val="18"/>
                <w:szCs w:val="18"/>
              </w:rPr>
            </w:pPr>
            <w:r w:rsidRPr="001F53E7">
              <w:rPr>
                <w:color w:val="000000"/>
                <w:sz w:val="18"/>
                <w:szCs w:val="18"/>
              </w:rPr>
              <w:t>210</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8A91B" w14:textId="77777777" w:rsidR="000740F7" w:rsidRPr="001F53E7" w:rsidRDefault="000740F7" w:rsidP="006D0A51">
            <w:pPr>
              <w:jc w:val="center"/>
              <w:rPr>
                <w:color w:val="000000"/>
                <w:sz w:val="18"/>
                <w:szCs w:val="18"/>
              </w:rPr>
            </w:pPr>
            <w:r w:rsidRPr="001F53E7">
              <w:rPr>
                <w:color w:val="000000"/>
                <w:sz w:val="18"/>
                <w:szCs w:val="18"/>
              </w:rPr>
              <w:t>218,4</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C7237" w14:textId="77777777" w:rsidR="000740F7" w:rsidRPr="001F53E7" w:rsidRDefault="000740F7" w:rsidP="006D0A51">
            <w:pPr>
              <w:jc w:val="center"/>
              <w:rPr>
                <w:color w:val="000000"/>
                <w:sz w:val="18"/>
                <w:szCs w:val="18"/>
              </w:rPr>
            </w:pPr>
            <w:r w:rsidRPr="001F53E7">
              <w:rPr>
                <w:color w:val="000000"/>
                <w:sz w:val="18"/>
                <w:szCs w:val="18"/>
              </w:rPr>
              <w:t>92,7</w:t>
            </w:r>
          </w:p>
        </w:tc>
      </w:tr>
      <w:tr w:rsidR="000740F7" w:rsidRPr="001B4CA2" w14:paraId="53157B0C"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154EFD5A"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125A35CC" w14:textId="77777777" w:rsidR="000740F7" w:rsidRPr="001F53E7" w:rsidRDefault="000740F7" w:rsidP="006D0A51">
            <w:pPr>
              <w:jc w:val="center"/>
              <w:rPr>
                <w:color w:val="000000"/>
                <w:sz w:val="18"/>
                <w:szCs w:val="18"/>
              </w:rPr>
            </w:pPr>
            <w:r w:rsidRPr="001F53E7">
              <w:rPr>
                <w:color w:val="000000"/>
                <w:sz w:val="18"/>
                <w:szCs w:val="18"/>
              </w:rPr>
              <w:t>2019.</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E8D41" w14:textId="77777777" w:rsidR="000740F7" w:rsidRPr="001F53E7" w:rsidRDefault="000740F7" w:rsidP="006D0A51">
            <w:pPr>
              <w:jc w:val="center"/>
              <w:rPr>
                <w:color w:val="000000"/>
                <w:sz w:val="18"/>
                <w:szCs w:val="18"/>
              </w:rPr>
            </w:pPr>
            <w:r w:rsidRPr="001F53E7">
              <w:rPr>
                <w:color w:val="000000"/>
                <w:sz w:val="18"/>
                <w:szCs w:val="18"/>
              </w:rPr>
              <w:t>111%</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DCEA7" w14:textId="77777777" w:rsidR="000740F7" w:rsidRPr="001F53E7" w:rsidRDefault="000740F7" w:rsidP="006D0A51">
            <w:pPr>
              <w:jc w:val="center"/>
              <w:rPr>
                <w:color w:val="000000"/>
                <w:sz w:val="18"/>
                <w:szCs w:val="18"/>
              </w:rPr>
            </w:pPr>
            <w:r w:rsidRPr="001F53E7">
              <w:rPr>
                <w:color w:val="000000"/>
                <w:sz w:val="18"/>
                <w:szCs w:val="18"/>
              </w:rPr>
              <w:t>105,5</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DC6EA" w14:textId="77777777" w:rsidR="000740F7" w:rsidRPr="001F53E7" w:rsidRDefault="000740F7" w:rsidP="006D0A51">
            <w:pPr>
              <w:jc w:val="center"/>
              <w:rPr>
                <w:color w:val="000000"/>
                <w:sz w:val="18"/>
                <w:szCs w:val="18"/>
              </w:rPr>
            </w:pPr>
            <w:r w:rsidRPr="001F53E7">
              <w:rPr>
                <w:color w:val="000000"/>
                <w:sz w:val="18"/>
                <w:szCs w:val="18"/>
              </w:rPr>
              <w:t>31,3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4EEBA" w14:textId="77777777" w:rsidR="000740F7" w:rsidRPr="001F53E7" w:rsidRDefault="000740F7" w:rsidP="006D0A51">
            <w:pPr>
              <w:jc w:val="center"/>
              <w:rPr>
                <w:color w:val="000000"/>
                <w:sz w:val="18"/>
                <w:szCs w:val="18"/>
              </w:rPr>
            </w:pPr>
            <w:r w:rsidRPr="001F53E7">
              <w:rPr>
                <w:color w:val="000000"/>
                <w:sz w:val="18"/>
                <w:szCs w:val="18"/>
              </w:rPr>
              <w:t>170,5</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728BD" w14:textId="77777777" w:rsidR="000740F7" w:rsidRPr="001F53E7" w:rsidRDefault="000740F7" w:rsidP="006D0A51">
            <w:pPr>
              <w:jc w:val="center"/>
              <w:rPr>
                <w:color w:val="000000"/>
                <w:sz w:val="18"/>
                <w:szCs w:val="18"/>
              </w:rPr>
            </w:pPr>
            <w:r w:rsidRPr="001F53E7">
              <w:rPr>
                <w:color w:val="000000"/>
                <w:sz w:val="18"/>
                <w:szCs w:val="18"/>
              </w:rPr>
              <w:t>188,8</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2CC53" w14:textId="77777777" w:rsidR="000740F7" w:rsidRPr="001F53E7" w:rsidRDefault="000740F7" w:rsidP="006D0A51">
            <w:pPr>
              <w:jc w:val="center"/>
              <w:rPr>
                <w:color w:val="000000"/>
                <w:sz w:val="18"/>
                <w:szCs w:val="18"/>
              </w:rPr>
            </w:pPr>
            <w:r w:rsidRPr="001F53E7">
              <w:rPr>
                <w:color w:val="000000"/>
                <w:sz w:val="18"/>
                <w:szCs w:val="18"/>
              </w:rPr>
              <w:t>54,6</w:t>
            </w:r>
          </w:p>
        </w:tc>
      </w:tr>
      <w:tr w:rsidR="000740F7" w:rsidRPr="001B4CA2" w14:paraId="7D5D2680"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7A1E4E9A"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77BA6294" w14:textId="77777777" w:rsidR="000740F7" w:rsidRPr="001F53E7" w:rsidRDefault="000740F7" w:rsidP="006D0A51">
            <w:pPr>
              <w:jc w:val="center"/>
              <w:rPr>
                <w:color w:val="000000"/>
                <w:sz w:val="18"/>
                <w:szCs w:val="18"/>
              </w:rPr>
            </w:pPr>
            <w:r w:rsidRPr="001F53E7">
              <w:rPr>
                <w:color w:val="000000"/>
                <w:sz w:val="18"/>
                <w:szCs w:val="18"/>
              </w:rPr>
              <w:t>2020.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4B2B0" w14:textId="77777777" w:rsidR="000740F7" w:rsidRPr="001F53E7" w:rsidRDefault="000740F7" w:rsidP="006D0A51">
            <w:pPr>
              <w:jc w:val="center"/>
              <w:rPr>
                <w:color w:val="000000"/>
                <w:sz w:val="18"/>
                <w:szCs w:val="18"/>
              </w:rPr>
            </w:pPr>
            <w:r w:rsidRPr="001F53E7">
              <w:rPr>
                <w:color w:val="000000"/>
                <w:sz w:val="18"/>
                <w:szCs w:val="18"/>
              </w:rPr>
              <w:t>100%</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7EB91" w14:textId="77777777" w:rsidR="000740F7" w:rsidRPr="001F53E7" w:rsidRDefault="000740F7" w:rsidP="006D0A51">
            <w:pPr>
              <w:jc w:val="center"/>
              <w:rPr>
                <w:color w:val="000000"/>
                <w:sz w:val="18"/>
                <w:szCs w:val="18"/>
              </w:rPr>
            </w:pPr>
            <w:r w:rsidRPr="001F53E7">
              <w:rPr>
                <w:color w:val="000000"/>
                <w:sz w:val="18"/>
                <w:szCs w:val="18"/>
              </w:rPr>
              <w:t>84,5</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50D84" w14:textId="77777777" w:rsidR="000740F7" w:rsidRPr="001F53E7" w:rsidRDefault="000740F7" w:rsidP="006D0A51">
            <w:pPr>
              <w:jc w:val="center"/>
              <w:rPr>
                <w:color w:val="000000"/>
                <w:sz w:val="18"/>
                <w:szCs w:val="18"/>
              </w:rPr>
            </w:pPr>
            <w:r w:rsidRPr="001F53E7">
              <w:rPr>
                <w:color w:val="000000"/>
                <w:sz w:val="18"/>
                <w:szCs w:val="18"/>
              </w:rPr>
              <w:t>33,5</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453C0" w14:textId="77777777" w:rsidR="000740F7" w:rsidRPr="001F53E7" w:rsidRDefault="000740F7" w:rsidP="006D0A51">
            <w:pPr>
              <w:jc w:val="center"/>
              <w:rPr>
                <w:color w:val="000000"/>
                <w:sz w:val="18"/>
                <w:szCs w:val="18"/>
              </w:rPr>
            </w:pPr>
            <w:r w:rsidRPr="001F53E7">
              <w:rPr>
                <w:color w:val="000000"/>
                <w:sz w:val="18"/>
                <w:szCs w:val="18"/>
              </w:rPr>
              <w:t>166,3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DBB93" w14:textId="77777777" w:rsidR="000740F7" w:rsidRPr="001F53E7" w:rsidRDefault="000740F7" w:rsidP="006D0A51">
            <w:pPr>
              <w:jc w:val="center"/>
              <w:rPr>
                <w:color w:val="000000"/>
                <w:sz w:val="18"/>
                <w:szCs w:val="18"/>
              </w:rPr>
            </w:pPr>
            <w:r w:rsidRPr="001F53E7">
              <w:rPr>
                <w:color w:val="000000"/>
                <w:sz w:val="18"/>
                <w:szCs w:val="18"/>
              </w:rPr>
              <w:t>166,7</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1D38A" w14:textId="77777777" w:rsidR="000740F7" w:rsidRPr="001F53E7" w:rsidRDefault="000740F7" w:rsidP="006D0A51">
            <w:pPr>
              <w:jc w:val="center"/>
              <w:rPr>
                <w:color w:val="000000"/>
                <w:sz w:val="18"/>
                <w:szCs w:val="18"/>
              </w:rPr>
            </w:pPr>
            <w:r w:rsidRPr="001F53E7">
              <w:rPr>
                <w:color w:val="000000"/>
                <w:sz w:val="18"/>
                <w:szCs w:val="18"/>
              </w:rPr>
              <w:t>38,6</w:t>
            </w:r>
          </w:p>
        </w:tc>
      </w:tr>
      <w:tr w:rsidR="000740F7" w:rsidRPr="001B4CA2" w14:paraId="37A11B8C"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799B06BD"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B5E85CF" w14:textId="77777777" w:rsidR="000740F7" w:rsidRPr="001F53E7" w:rsidRDefault="000740F7" w:rsidP="006D0A51">
            <w:pPr>
              <w:jc w:val="center"/>
              <w:rPr>
                <w:color w:val="000000"/>
                <w:sz w:val="18"/>
                <w:szCs w:val="18"/>
              </w:rPr>
            </w:pPr>
            <w:r w:rsidRPr="001F53E7">
              <w:rPr>
                <w:color w:val="000000"/>
                <w:sz w:val="18"/>
                <w:szCs w:val="18"/>
              </w:rPr>
              <w:t>2021.</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02780" w14:textId="77777777" w:rsidR="000740F7" w:rsidRPr="001F53E7" w:rsidRDefault="000740F7" w:rsidP="006D0A51">
            <w:pPr>
              <w:jc w:val="center"/>
              <w:rPr>
                <w:color w:val="000000"/>
                <w:sz w:val="18"/>
                <w:szCs w:val="18"/>
              </w:rPr>
            </w:pPr>
            <w:r w:rsidRPr="001F53E7">
              <w:rPr>
                <w:color w:val="000000"/>
                <w:sz w:val="18"/>
                <w:szCs w:val="18"/>
              </w:rPr>
              <w:t>103%</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8100D" w14:textId="77777777" w:rsidR="000740F7" w:rsidRPr="001F53E7" w:rsidRDefault="000740F7" w:rsidP="006D0A51">
            <w:pPr>
              <w:jc w:val="center"/>
              <w:rPr>
                <w:color w:val="000000"/>
                <w:sz w:val="18"/>
                <w:szCs w:val="18"/>
              </w:rPr>
            </w:pPr>
            <w:r w:rsidRPr="001F53E7">
              <w:rPr>
                <w:color w:val="000000"/>
                <w:sz w:val="18"/>
                <w:szCs w:val="18"/>
              </w:rPr>
              <w:t>58,9</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C7F30" w14:textId="77777777" w:rsidR="000740F7" w:rsidRPr="001F53E7" w:rsidRDefault="000740F7" w:rsidP="006D0A51">
            <w:pPr>
              <w:jc w:val="center"/>
              <w:rPr>
                <w:color w:val="000000"/>
                <w:sz w:val="18"/>
                <w:szCs w:val="18"/>
              </w:rPr>
            </w:pPr>
            <w:r w:rsidRPr="001F53E7">
              <w:rPr>
                <w:color w:val="000000"/>
                <w:sz w:val="18"/>
                <w:szCs w:val="18"/>
              </w:rPr>
              <w:t>29,7</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844AF" w14:textId="77777777" w:rsidR="000740F7" w:rsidRPr="001F53E7" w:rsidRDefault="000740F7" w:rsidP="006D0A51">
            <w:pPr>
              <w:jc w:val="center"/>
              <w:rPr>
                <w:color w:val="000000"/>
                <w:sz w:val="18"/>
                <w:szCs w:val="18"/>
              </w:rPr>
            </w:pPr>
            <w:r w:rsidRPr="001F53E7">
              <w:rPr>
                <w:color w:val="000000"/>
                <w:sz w:val="18"/>
                <w:szCs w:val="18"/>
              </w:rPr>
              <w:t>215,4</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FA4F2" w14:textId="77777777" w:rsidR="000740F7" w:rsidRPr="001F53E7" w:rsidRDefault="000740F7" w:rsidP="006D0A51">
            <w:pPr>
              <w:jc w:val="center"/>
              <w:rPr>
                <w:color w:val="000000"/>
                <w:sz w:val="18"/>
                <w:szCs w:val="18"/>
              </w:rPr>
            </w:pPr>
            <w:r w:rsidRPr="001F53E7">
              <w:rPr>
                <w:color w:val="000000"/>
                <w:sz w:val="18"/>
                <w:szCs w:val="18"/>
              </w:rPr>
              <w:t>221,3</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7BAAB" w14:textId="77777777" w:rsidR="000740F7" w:rsidRPr="001F53E7" w:rsidRDefault="000740F7" w:rsidP="006D0A51">
            <w:pPr>
              <w:jc w:val="center"/>
              <w:rPr>
                <w:color w:val="000000"/>
                <w:sz w:val="18"/>
                <w:szCs w:val="18"/>
              </w:rPr>
            </w:pPr>
            <w:r w:rsidRPr="001F53E7">
              <w:rPr>
                <w:color w:val="000000"/>
                <w:sz w:val="18"/>
                <w:szCs w:val="18"/>
              </w:rPr>
              <w:t>35,7</w:t>
            </w:r>
          </w:p>
        </w:tc>
      </w:tr>
      <w:tr w:rsidR="000740F7" w:rsidRPr="001B4CA2" w14:paraId="5B835EC0" w14:textId="77777777" w:rsidTr="006D0A51">
        <w:trPr>
          <w:trHeight w:val="333"/>
        </w:trPr>
        <w:tc>
          <w:tcPr>
            <w:tcW w:w="1866" w:type="dxa"/>
            <w:vMerge/>
            <w:tcBorders>
              <w:top w:val="nil"/>
              <w:left w:val="single" w:sz="4" w:space="0" w:color="auto"/>
              <w:bottom w:val="single" w:sz="4" w:space="0" w:color="auto"/>
              <w:right w:val="single" w:sz="4" w:space="0" w:color="auto"/>
            </w:tcBorders>
            <w:vAlign w:val="center"/>
            <w:hideMark/>
          </w:tcPr>
          <w:p w14:paraId="3AAA9324" w14:textId="77777777" w:rsidR="000740F7" w:rsidRPr="001B4CA2" w:rsidRDefault="000740F7" w:rsidP="006D0A51">
            <w:pPr>
              <w:jc w:val="left"/>
              <w:rPr>
                <w:rFonts w:eastAsia="Times New Roman"/>
                <w:sz w:val="18"/>
                <w:szCs w:val="18"/>
                <w:lang w:eastAsia="hr-HR"/>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CDB9848" w14:textId="77777777" w:rsidR="000740F7" w:rsidRPr="001F53E7" w:rsidRDefault="000740F7" w:rsidP="006D0A51">
            <w:pPr>
              <w:jc w:val="center"/>
              <w:rPr>
                <w:color w:val="000000"/>
                <w:sz w:val="18"/>
                <w:szCs w:val="18"/>
              </w:rPr>
            </w:pPr>
            <w:r w:rsidRPr="001F53E7">
              <w:rPr>
                <w:color w:val="000000"/>
                <w:sz w:val="18"/>
                <w:szCs w:val="18"/>
              </w:rPr>
              <w:t>2022.</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DD194" w14:textId="77777777" w:rsidR="000740F7" w:rsidRPr="001F53E7" w:rsidRDefault="000740F7" w:rsidP="006D0A51">
            <w:pPr>
              <w:jc w:val="center"/>
              <w:rPr>
                <w:color w:val="000000"/>
                <w:sz w:val="18"/>
                <w:szCs w:val="18"/>
              </w:rPr>
            </w:pPr>
            <w:r w:rsidRPr="001F53E7">
              <w:rPr>
                <w:color w:val="000000"/>
                <w:sz w:val="18"/>
                <w:szCs w:val="18"/>
              </w:rPr>
              <w:t>98%</w:t>
            </w:r>
          </w:p>
        </w:tc>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E0949" w14:textId="77777777" w:rsidR="000740F7" w:rsidRPr="001F53E7" w:rsidRDefault="000740F7" w:rsidP="006D0A51">
            <w:pPr>
              <w:jc w:val="center"/>
              <w:rPr>
                <w:color w:val="000000"/>
                <w:sz w:val="18"/>
                <w:szCs w:val="18"/>
              </w:rPr>
            </w:pPr>
            <w:r w:rsidRPr="001F53E7">
              <w:rPr>
                <w:color w:val="000000"/>
                <w:sz w:val="18"/>
                <w:szCs w:val="18"/>
              </w:rPr>
              <w:t>70,2</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70C4A" w14:textId="77777777" w:rsidR="000740F7" w:rsidRPr="001F53E7" w:rsidRDefault="000740F7" w:rsidP="006D0A51">
            <w:pPr>
              <w:jc w:val="center"/>
              <w:rPr>
                <w:color w:val="000000"/>
                <w:sz w:val="18"/>
                <w:szCs w:val="18"/>
              </w:rPr>
            </w:pPr>
            <w:r w:rsidRPr="001F53E7">
              <w:rPr>
                <w:color w:val="000000"/>
                <w:sz w:val="18"/>
                <w:szCs w:val="18"/>
              </w:rPr>
              <w:t>27,5</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F3366" w14:textId="77777777" w:rsidR="000740F7" w:rsidRPr="001F53E7" w:rsidRDefault="000740F7" w:rsidP="006D0A51">
            <w:pPr>
              <w:jc w:val="center"/>
              <w:rPr>
                <w:color w:val="000000"/>
                <w:sz w:val="18"/>
                <w:szCs w:val="18"/>
              </w:rPr>
            </w:pPr>
            <w:r w:rsidRPr="001F53E7">
              <w:rPr>
                <w:color w:val="000000"/>
                <w:sz w:val="18"/>
                <w:szCs w:val="18"/>
              </w:rPr>
              <w:t>212,7</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39296" w14:textId="77777777" w:rsidR="000740F7" w:rsidRPr="001F53E7" w:rsidRDefault="000740F7" w:rsidP="006D0A51">
            <w:pPr>
              <w:jc w:val="center"/>
              <w:rPr>
                <w:color w:val="000000"/>
                <w:sz w:val="18"/>
                <w:szCs w:val="18"/>
              </w:rPr>
            </w:pPr>
            <w:r w:rsidRPr="001F53E7">
              <w:rPr>
                <w:color w:val="000000"/>
                <w:sz w:val="18"/>
                <w:szCs w:val="18"/>
              </w:rPr>
              <w:t>207,5</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B9016" w14:textId="77777777" w:rsidR="000740F7" w:rsidRPr="001F53E7" w:rsidRDefault="000740F7" w:rsidP="006D0A51">
            <w:pPr>
              <w:jc w:val="center"/>
              <w:rPr>
                <w:color w:val="000000"/>
                <w:sz w:val="18"/>
                <w:szCs w:val="18"/>
              </w:rPr>
            </w:pPr>
            <w:r w:rsidRPr="001F53E7">
              <w:rPr>
                <w:color w:val="000000"/>
                <w:sz w:val="18"/>
                <w:szCs w:val="18"/>
              </w:rPr>
              <w:t>39,9</w:t>
            </w:r>
          </w:p>
        </w:tc>
      </w:tr>
    </w:tbl>
    <w:p w14:paraId="59D6E5E2" w14:textId="77777777" w:rsidR="000740F7" w:rsidRPr="001B4CA2" w:rsidRDefault="000740F7" w:rsidP="000740F7">
      <w:pPr>
        <w:rPr>
          <w:sz w:val="20"/>
          <w:szCs w:val="20"/>
        </w:rPr>
      </w:pPr>
      <w:r w:rsidRPr="001B4CA2">
        <w:rPr>
          <w:sz w:val="20"/>
          <w:szCs w:val="20"/>
        </w:rPr>
        <w:t>*procjena temeljem dostupnih podataka u informacijskom sustavu državnog odvjetništva</w:t>
      </w:r>
    </w:p>
    <w:p w14:paraId="243DEBCA" w14:textId="77777777" w:rsidR="000740F7" w:rsidRPr="001B4CA2" w:rsidRDefault="000740F7" w:rsidP="000740F7"/>
    <w:p w14:paraId="768B724E" w14:textId="1F0C525E" w:rsidR="000740F7" w:rsidRPr="001B4CA2" w:rsidRDefault="000740F7" w:rsidP="000740F7">
      <w:pPr>
        <w:ind w:firstLine="709"/>
      </w:pPr>
      <w:r w:rsidRPr="001B4CA2">
        <w:t>Analizom indikatora uspješnosti u proteklih pet godina zaključuje se da su državna odvjetništva na svim razinama zadržala visoku učinkovitost, jer je prosječna stopa ažurnosti (CR) 97,75</w:t>
      </w:r>
      <w:r w:rsidR="00BE61D2">
        <w:t> </w:t>
      </w:r>
      <w:r w:rsidRPr="001B4CA2">
        <w:t xml:space="preserve">%. Županijska državna odvjetništva povećala </w:t>
      </w:r>
      <w:r w:rsidR="00BE61D2" w:rsidRPr="001B4CA2">
        <w:t xml:space="preserve">su </w:t>
      </w:r>
      <w:r w:rsidRPr="001B4CA2">
        <w:t>stopu ažurnosti</w:t>
      </w:r>
      <w:r w:rsidR="001B4CA2">
        <w:t xml:space="preserve"> </w:t>
      </w:r>
      <w:r w:rsidRPr="001B4CA2">
        <w:t>sa 100</w:t>
      </w:r>
      <w:r w:rsidR="00BE61D2">
        <w:t> </w:t>
      </w:r>
      <w:r w:rsidRPr="001B4CA2">
        <w:t>% u 2021. na 101% u izvještajnom razdoblju, što znači da</w:t>
      </w:r>
      <w:r w:rsidR="001B4CA2">
        <w:t xml:space="preserve"> </w:t>
      </w:r>
      <w:r w:rsidRPr="001B4CA2">
        <w:t xml:space="preserve">su riješila veći broj predmeta od broja zaprimljenih predmeta u toj godini, dok se vrijeme potrebno za donošenje odluke (DT) skratilo. </w:t>
      </w:r>
    </w:p>
    <w:p w14:paraId="5EAD16F1" w14:textId="77777777" w:rsidR="000740F7" w:rsidRPr="001B4CA2" w:rsidRDefault="000740F7" w:rsidP="000740F7"/>
    <w:p w14:paraId="3155F817" w14:textId="77777777" w:rsidR="000740F7" w:rsidRPr="001B4CA2" w:rsidRDefault="000740F7" w:rsidP="000740F7">
      <w:r w:rsidRPr="001B4CA2">
        <w:rPr>
          <w:noProof/>
          <w:lang w:eastAsia="hr-HR"/>
        </w:rPr>
        <w:lastRenderedPageBreak/>
        <w:drawing>
          <wp:inline distT="0" distB="0" distL="0" distR="0" wp14:anchorId="5CB86DDA" wp14:editId="50B7665B">
            <wp:extent cx="5454595" cy="3379305"/>
            <wp:effectExtent l="0" t="0" r="13335" b="12065"/>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1B4A58" w14:textId="77777777" w:rsidR="000740F7" w:rsidRPr="001B4CA2" w:rsidRDefault="000740F7" w:rsidP="000740F7"/>
    <w:p w14:paraId="13FFF075" w14:textId="3565A05B" w:rsidR="000740F7" w:rsidRPr="001B4CA2" w:rsidRDefault="00727861" w:rsidP="000740F7">
      <w:pPr>
        <w:ind w:firstLine="708"/>
      </w:pPr>
      <w:r>
        <w:t xml:space="preserve">Dana </w:t>
      </w:r>
      <w:r w:rsidR="000740F7" w:rsidRPr="001B4CA2">
        <w:t>1. siječnja 2020. stupio je na snagu novi Poslovnik državnog odvjetništva, kojim su ustanovljene nove vrste predmeta, slijedom čega podatke iz ranijih godina nije moguće konzistentno uspoređivati.</w:t>
      </w:r>
      <w:r w:rsidR="001B4CA2">
        <w:t xml:space="preserve"> </w:t>
      </w:r>
      <w:r>
        <w:t>Valja</w:t>
      </w:r>
      <w:r w:rsidR="000740F7" w:rsidRPr="001B4CA2">
        <w:t xml:space="preserve"> ukazati i</w:t>
      </w:r>
      <w:r>
        <w:t xml:space="preserve"> na to</w:t>
      </w:r>
      <w:r w:rsidR="000740F7" w:rsidRPr="001B4CA2">
        <w:t xml:space="preserve"> da</w:t>
      </w:r>
      <w:r w:rsidR="001B4CA2">
        <w:t xml:space="preserve"> </w:t>
      </w:r>
      <w:r w:rsidR="000740F7" w:rsidRPr="001B4CA2">
        <w:t>su pandemija COVID-19 te potres u Zagrebu i na Banovini utjecali na rad svih državnih tijela, policije i sudova, što se neizbježno odrazilo i na rad državnog odvjetništva.</w:t>
      </w:r>
    </w:p>
    <w:p w14:paraId="7C017AED" w14:textId="77777777" w:rsidR="00321583" w:rsidRPr="001B4CA2" w:rsidRDefault="00321583" w:rsidP="00C85565"/>
    <w:p w14:paraId="6D56BD43" w14:textId="409462CD" w:rsidR="00BB4D48" w:rsidRPr="001B4CA2" w:rsidRDefault="00BB4D48" w:rsidP="00257FA8">
      <w:pPr>
        <w:pStyle w:val="Naslov3"/>
        <w:ind w:left="284" w:hanging="284"/>
        <w:rPr>
          <w:rFonts w:ascii="Arial" w:hAnsi="Arial" w:cs="Arial"/>
        </w:rPr>
      </w:pPr>
      <w:bookmarkStart w:id="8" w:name="_Toc133394272"/>
      <w:r w:rsidRPr="001B4CA2">
        <w:rPr>
          <w:rFonts w:ascii="Arial" w:hAnsi="Arial" w:cs="Arial"/>
        </w:rPr>
        <w:t>Pregled kretanja predmeta po godinama i po vrsti pr</w:t>
      </w:r>
      <w:r w:rsidR="00D80F32" w:rsidRPr="001B4CA2">
        <w:rPr>
          <w:rFonts w:ascii="Arial" w:hAnsi="Arial" w:cs="Arial"/>
        </w:rPr>
        <w:t xml:space="preserve">edmeta u državnom </w:t>
      </w:r>
      <w:r w:rsidR="00257FA8" w:rsidRPr="001B4CA2">
        <w:rPr>
          <w:rFonts w:ascii="Arial" w:hAnsi="Arial" w:cs="Arial"/>
        </w:rPr>
        <w:tab/>
      </w:r>
      <w:r w:rsidR="00D80F32" w:rsidRPr="001B4CA2">
        <w:rPr>
          <w:rFonts w:ascii="Arial" w:hAnsi="Arial" w:cs="Arial"/>
        </w:rPr>
        <w:t>odvjetništvu</w:t>
      </w:r>
      <w:bookmarkEnd w:id="8"/>
    </w:p>
    <w:p w14:paraId="176BED29" w14:textId="77777777" w:rsidR="00D1644F" w:rsidRPr="001B4CA2" w:rsidRDefault="00D1644F" w:rsidP="00D1644F"/>
    <w:p w14:paraId="05A38940" w14:textId="77777777" w:rsidR="000740F7" w:rsidRPr="001B4CA2" w:rsidRDefault="000740F7" w:rsidP="000740F7">
      <w:pPr>
        <w:ind w:firstLine="708"/>
      </w:pPr>
      <w:r w:rsidRPr="001B4CA2">
        <w:t>Prikazom rada kaznenog odjela obuhvaćeni su predmeti kaznenih prijava, predmeti istraga, istraživanja, optuženja, predmeti drugostupanjskog postupka, kao i predmeti zahtjeva za zaštitu zakonitosti u kaznenim postupcima, predmeti zahtjeva za zaštitu zakonitosti u prekršajnim postupcima te razni kazneni predmeti.</w:t>
      </w:r>
    </w:p>
    <w:p w14:paraId="6DD521DB" w14:textId="77777777" w:rsidR="000740F7" w:rsidRPr="001B4CA2" w:rsidRDefault="000740F7" w:rsidP="000740F7"/>
    <w:p w14:paraId="2480C4F3" w14:textId="77777777" w:rsidR="000740F7" w:rsidRPr="001B4CA2" w:rsidRDefault="000740F7" w:rsidP="000740F7">
      <w:pPr>
        <w:ind w:firstLine="708"/>
      </w:pPr>
      <w:r w:rsidRPr="001B4CA2">
        <w:t>U prikaz rada građansko-upravnih odjela uključeni su predmeti mirnog rješavanja spora, parnični, ovršni predmeti, stečaj potrošača, stečaj, izvanparnični predmeti, upravni predmeti, upravni sporovi, zahtjevi za preispitivanje pravomoćne presude i predmeti iz upisnika raznih predmeta.</w:t>
      </w:r>
    </w:p>
    <w:p w14:paraId="590B8236" w14:textId="179F23B3" w:rsidR="000740F7" w:rsidRPr="001B4CA2" w:rsidRDefault="000740F7" w:rsidP="000740F7"/>
    <w:p w14:paraId="4F29399B" w14:textId="7B93D642" w:rsidR="00257FA8" w:rsidRPr="001B4CA2" w:rsidRDefault="00257FA8" w:rsidP="000740F7"/>
    <w:p w14:paraId="718F91D8" w14:textId="2BDAECA7" w:rsidR="00257FA8" w:rsidRPr="001B4CA2" w:rsidRDefault="00257FA8" w:rsidP="000740F7"/>
    <w:p w14:paraId="08B58CC7" w14:textId="37E6540F" w:rsidR="00257FA8" w:rsidRPr="001B4CA2" w:rsidRDefault="00257FA8" w:rsidP="000740F7"/>
    <w:p w14:paraId="1A338BE8" w14:textId="468B0F8F" w:rsidR="00257FA8" w:rsidRPr="001B4CA2" w:rsidRDefault="00257FA8" w:rsidP="000740F7"/>
    <w:p w14:paraId="5FE0B757" w14:textId="4AE66F01" w:rsidR="00257FA8" w:rsidRPr="001B4CA2" w:rsidRDefault="00257FA8" w:rsidP="000740F7"/>
    <w:p w14:paraId="053D5082" w14:textId="1C464838" w:rsidR="00257FA8" w:rsidRPr="001B4CA2" w:rsidRDefault="00257FA8" w:rsidP="000740F7"/>
    <w:p w14:paraId="4F4D60A3" w14:textId="66813450" w:rsidR="00257FA8" w:rsidRPr="001B4CA2" w:rsidRDefault="00257FA8" w:rsidP="000740F7"/>
    <w:p w14:paraId="05C0DEDF" w14:textId="5332C383" w:rsidR="00257FA8" w:rsidRPr="001B4CA2" w:rsidRDefault="00257FA8" w:rsidP="000740F7"/>
    <w:p w14:paraId="5D8362C3" w14:textId="1470BB71" w:rsidR="00257FA8" w:rsidRPr="001B4CA2" w:rsidRDefault="00257FA8" w:rsidP="000740F7"/>
    <w:p w14:paraId="43D3A768" w14:textId="34F8C720" w:rsidR="00257FA8" w:rsidRDefault="00257FA8" w:rsidP="000740F7"/>
    <w:p w14:paraId="46FBE4C6" w14:textId="77777777" w:rsidR="00BA7382" w:rsidRPr="001B4CA2" w:rsidRDefault="00BA7382" w:rsidP="000740F7"/>
    <w:tbl>
      <w:tblPr>
        <w:tblW w:w="8647" w:type="dxa"/>
        <w:tblInd w:w="392" w:type="dxa"/>
        <w:tblLayout w:type="fixed"/>
        <w:tblLook w:val="04A0" w:firstRow="1" w:lastRow="0" w:firstColumn="1" w:lastColumn="0" w:noHBand="0" w:noVBand="1"/>
      </w:tblPr>
      <w:tblGrid>
        <w:gridCol w:w="1134"/>
        <w:gridCol w:w="850"/>
        <w:gridCol w:w="1205"/>
        <w:gridCol w:w="1205"/>
        <w:gridCol w:w="1205"/>
        <w:gridCol w:w="1205"/>
        <w:gridCol w:w="921"/>
        <w:gridCol w:w="922"/>
      </w:tblGrid>
      <w:tr w:rsidR="000740F7" w:rsidRPr="001B4CA2" w14:paraId="7817EFEB" w14:textId="77777777" w:rsidTr="001F53E7">
        <w:trPr>
          <w:trHeight w:val="346"/>
        </w:trPr>
        <w:tc>
          <w:tcPr>
            <w:tcW w:w="8647" w:type="dxa"/>
            <w:gridSpan w:val="8"/>
            <w:tcBorders>
              <w:top w:val="nil"/>
              <w:left w:val="nil"/>
              <w:bottom w:val="nil"/>
              <w:right w:val="nil"/>
            </w:tcBorders>
            <w:shd w:val="clear" w:color="auto" w:fill="auto"/>
            <w:noWrap/>
            <w:vAlign w:val="center"/>
            <w:hideMark/>
          </w:tcPr>
          <w:p w14:paraId="298F435C" w14:textId="77777777" w:rsidR="000740F7" w:rsidRPr="001B4CA2" w:rsidRDefault="000740F7" w:rsidP="006D0A51">
            <w:pPr>
              <w:ind w:left="176"/>
              <w:jc w:val="left"/>
              <w:rPr>
                <w:rFonts w:eastAsia="Times New Roman"/>
                <w:i/>
                <w:iCs/>
                <w:lang w:eastAsia="hr-HR"/>
              </w:rPr>
            </w:pPr>
            <w:r w:rsidRPr="001B4CA2">
              <w:rPr>
                <w:rFonts w:eastAsia="Times New Roman"/>
                <w:i/>
                <w:iCs/>
                <w:lang w:eastAsia="hr-HR"/>
              </w:rPr>
              <w:lastRenderedPageBreak/>
              <w:t>Pregled kretanja predmeta po vrsti s indikatorima</w:t>
            </w:r>
          </w:p>
        </w:tc>
      </w:tr>
      <w:tr w:rsidR="000740F7" w:rsidRPr="001B4CA2" w14:paraId="71205379" w14:textId="77777777" w:rsidTr="001F53E7">
        <w:trPr>
          <w:trHeight w:val="346"/>
        </w:trPr>
        <w:tc>
          <w:tcPr>
            <w:tcW w:w="1134" w:type="dxa"/>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495BFFDC"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Vrsta predmeta</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69736D91"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Godina</w:t>
            </w:r>
          </w:p>
        </w:tc>
        <w:tc>
          <w:tcPr>
            <w:tcW w:w="4820" w:type="dxa"/>
            <w:gridSpan w:val="4"/>
            <w:tcBorders>
              <w:top w:val="single" w:sz="4" w:space="0" w:color="auto"/>
              <w:left w:val="nil"/>
              <w:bottom w:val="single" w:sz="4" w:space="0" w:color="auto"/>
              <w:right w:val="single" w:sz="4" w:space="0" w:color="auto"/>
            </w:tcBorders>
            <w:shd w:val="clear" w:color="000000" w:fill="99CCFF"/>
            <w:noWrap/>
            <w:vAlign w:val="center"/>
            <w:hideMark/>
          </w:tcPr>
          <w:p w14:paraId="0C3F3AEE"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Kretanje predmeta</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70C47B79"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922" w:type="dxa"/>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3CC1C7F2"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DT</w:t>
            </w:r>
          </w:p>
        </w:tc>
      </w:tr>
      <w:tr w:rsidR="000740F7" w:rsidRPr="001B4CA2" w14:paraId="4E2F8385" w14:textId="77777777" w:rsidTr="001F53E7">
        <w:trPr>
          <w:trHeight w:val="34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2F2A85" w14:textId="77777777" w:rsidR="000740F7" w:rsidRPr="001B4CA2" w:rsidRDefault="000740F7" w:rsidP="006D0A51">
            <w:pPr>
              <w:jc w:val="left"/>
              <w:rPr>
                <w:rFonts w:eastAsia="Times New Roman"/>
                <w:b/>
                <w:bCs/>
                <w:sz w:val="18"/>
                <w:szCs w:val="18"/>
                <w:lang w:eastAsia="hr-H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C7ED09D" w14:textId="77777777" w:rsidR="000740F7" w:rsidRPr="001B4CA2" w:rsidRDefault="000740F7" w:rsidP="006D0A51">
            <w:pPr>
              <w:jc w:val="left"/>
              <w:rPr>
                <w:rFonts w:eastAsia="Times New Roman"/>
                <w:b/>
                <w:bCs/>
                <w:sz w:val="18"/>
                <w:szCs w:val="18"/>
                <w:lang w:eastAsia="hr-HR"/>
              </w:rPr>
            </w:pPr>
          </w:p>
        </w:tc>
        <w:tc>
          <w:tcPr>
            <w:tcW w:w="1205" w:type="dxa"/>
            <w:tcBorders>
              <w:top w:val="single" w:sz="4" w:space="0" w:color="auto"/>
              <w:left w:val="nil"/>
              <w:bottom w:val="single" w:sz="4" w:space="0" w:color="auto"/>
              <w:right w:val="single" w:sz="4" w:space="0" w:color="auto"/>
            </w:tcBorders>
            <w:shd w:val="clear" w:color="000000" w:fill="99CCFF"/>
            <w:noWrap/>
            <w:vAlign w:val="center"/>
            <w:hideMark/>
          </w:tcPr>
          <w:p w14:paraId="1815D588" w14:textId="77777777" w:rsidR="000740F7" w:rsidRPr="001F53E7" w:rsidRDefault="000740F7" w:rsidP="006D0A51">
            <w:pPr>
              <w:jc w:val="center"/>
              <w:rPr>
                <w:rFonts w:eastAsia="Times New Roman"/>
                <w:b/>
                <w:bCs/>
                <w:sz w:val="16"/>
                <w:szCs w:val="16"/>
                <w:lang w:eastAsia="hr-HR"/>
              </w:rPr>
            </w:pPr>
            <w:r w:rsidRPr="001F53E7">
              <w:rPr>
                <w:rFonts w:eastAsia="Times New Roman"/>
                <w:b/>
                <w:bCs/>
                <w:sz w:val="16"/>
                <w:szCs w:val="16"/>
                <w:lang w:eastAsia="hr-HR"/>
              </w:rPr>
              <w:t>Na početku</w:t>
            </w:r>
          </w:p>
        </w:tc>
        <w:tc>
          <w:tcPr>
            <w:tcW w:w="1205" w:type="dxa"/>
            <w:tcBorders>
              <w:top w:val="single" w:sz="4" w:space="0" w:color="auto"/>
              <w:left w:val="nil"/>
              <w:bottom w:val="single" w:sz="4" w:space="0" w:color="auto"/>
              <w:right w:val="single" w:sz="4" w:space="0" w:color="auto"/>
            </w:tcBorders>
            <w:shd w:val="clear" w:color="000000" w:fill="99CCFF"/>
            <w:noWrap/>
            <w:vAlign w:val="center"/>
            <w:hideMark/>
          </w:tcPr>
          <w:p w14:paraId="18AD70A4" w14:textId="77777777" w:rsidR="000740F7" w:rsidRPr="001F53E7" w:rsidRDefault="000740F7" w:rsidP="006D0A51">
            <w:pPr>
              <w:jc w:val="center"/>
              <w:rPr>
                <w:rFonts w:eastAsia="Times New Roman"/>
                <w:b/>
                <w:bCs/>
                <w:sz w:val="16"/>
                <w:szCs w:val="16"/>
                <w:lang w:eastAsia="hr-HR"/>
              </w:rPr>
            </w:pPr>
            <w:r w:rsidRPr="001F53E7">
              <w:rPr>
                <w:rFonts w:eastAsia="Times New Roman"/>
                <w:b/>
                <w:bCs/>
                <w:sz w:val="16"/>
                <w:szCs w:val="16"/>
                <w:lang w:eastAsia="hr-HR"/>
              </w:rPr>
              <w:t>Primljeno</w:t>
            </w:r>
          </w:p>
        </w:tc>
        <w:tc>
          <w:tcPr>
            <w:tcW w:w="1205" w:type="dxa"/>
            <w:tcBorders>
              <w:top w:val="single" w:sz="4" w:space="0" w:color="auto"/>
              <w:left w:val="nil"/>
              <w:bottom w:val="single" w:sz="4" w:space="0" w:color="auto"/>
              <w:right w:val="single" w:sz="4" w:space="0" w:color="auto"/>
            </w:tcBorders>
            <w:shd w:val="clear" w:color="000000" w:fill="99CCFF"/>
            <w:noWrap/>
            <w:vAlign w:val="center"/>
            <w:hideMark/>
          </w:tcPr>
          <w:p w14:paraId="50C6F9D3" w14:textId="77777777" w:rsidR="000740F7" w:rsidRPr="001F53E7" w:rsidRDefault="000740F7" w:rsidP="006D0A51">
            <w:pPr>
              <w:jc w:val="center"/>
              <w:rPr>
                <w:rFonts w:eastAsia="Times New Roman"/>
                <w:b/>
                <w:bCs/>
                <w:sz w:val="16"/>
                <w:szCs w:val="16"/>
                <w:lang w:eastAsia="hr-HR"/>
              </w:rPr>
            </w:pPr>
            <w:r w:rsidRPr="001F53E7">
              <w:rPr>
                <w:rFonts w:eastAsia="Times New Roman"/>
                <w:b/>
                <w:bCs/>
                <w:sz w:val="16"/>
                <w:szCs w:val="16"/>
                <w:lang w:eastAsia="hr-HR"/>
              </w:rPr>
              <w:t>Riješeno</w:t>
            </w:r>
          </w:p>
        </w:tc>
        <w:tc>
          <w:tcPr>
            <w:tcW w:w="1205" w:type="dxa"/>
            <w:tcBorders>
              <w:top w:val="single" w:sz="4" w:space="0" w:color="auto"/>
              <w:left w:val="nil"/>
              <w:bottom w:val="single" w:sz="4" w:space="0" w:color="auto"/>
              <w:right w:val="single" w:sz="4" w:space="0" w:color="auto"/>
            </w:tcBorders>
            <w:shd w:val="clear" w:color="000000" w:fill="99CCFF"/>
            <w:noWrap/>
            <w:vAlign w:val="center"/>
            <w:hideMark/>
          </w:tcPr>
          <w:p w14:paraId="7C6B00F8" w14:textId="77777777" w:rsidR="000740F7" w:rsidRPr="001F53E7" w:rsidRDefault="000740F7" w:rsidP="006D0A51">
            <w:pPr>
              <w:jc w:val="center"/>
              <w:rPr>
                <w:rFonts w:eastAsia="Times New Roman"/>
                <w:b/>
                <w:bCs/>
                <w:sz w:val="16"/>
                <w:szCs w:val="16"/>
                <w:lang w:eastAsia="hr-HR"/>
              </w:rPr>
            </w:pPr>
            <w:r w:rsidRPr="001F53E7">
              <w:rPr>
                <w:rFonts w:eastAsia="Times New Roman"/>
                <w:b/>
                <w:bCs/>
                <w:sz w:val="16"/>
                <w:szCs w:val="16"/>
                <w:lang w:eastAsia="hr-HR"/>
              </w:rPr>
              <w:t>Neriješeno</w:t>
            </w: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30112AD2" w14:textId="77777777" w:rsidR="000740F7" w:rsidRPr="001B4CA2" w:rsidRDefault="000740F7" w:rsidP="006D0A51">
            <w:pPr>
              <w:jc w:val="left"/>
              <w:rPr>
                <w:rFonts w:eastAsia="Times New Roman"/>
                <w:b/>
                <w:bCs/>
                <w:sz w:val="18"/>
                <w:szCs w:val="18"/>
                <w:lang w:eastAsia="hr-HR"/>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1DA49687" w14:textId="77777777" w:rsidR="000740F7" w:rsidRPr="001B4CA2" w:rsidRDefault="000740F7" w:rsidP="006D0A51">
            <w:pPr>
              <w:jc w:val="left"/>
              <w:rPr>
                <w:rFonts w:eastAsia="Times New Roman"/>
                <w:b/>
                <w:bCs/>
                <w:sz w:val="18"/>
                <w:szCs w:val="18"/>
                <w:lang w:eastAsia="hr-HR"/>
              </w:rPr>
            </w:pPr>
          </w:p>
        </w:tc>
      </w:tr>
      <w:tr w:rsidR="000740F7" w:rsidRPr="001B4CA2" w14:paraId="2EC27FB8" w14:textId="77777777" w:rsidTr="001F53E7">
        <w:trPr>
          <w:trHeight w:val="346"/>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D5744A"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Kazneni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DAEEBD" w14:textId="77777777" w:rsidR="000740F7" w:rsidRPr="001F53E7" w:rsidRDefault="000740F7" w:rsidP="006D0A51">
            <w:pPr>
              <w:jc w:val="center"/>
              <w:rPr>
                <w:color w:val="000000"/>
                <w:sz w:val="16"/>
                <w:szCs w:val="16"/>
              </w:rPr>
            </w:pPr>
            <w:r w:rsidRPr="001F53E7">
              <w:rPr>
                <w:color w:val="000000"/>
                <w:sz w:val="16"/>
                <w:szCs w:val="16"/>
              </w:rPr>
              <w:t>2018.</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57073" w14:textId="77777777" w:rsidR="000740F7" w:rsidRPr="001F53E7" w:rsidRDefault="000740F7" w:rsidP="006D0A51">
            <w:pPr>
              <w:jc w:val="center"/>
              <w:rPr>
                <w:color w:val="000000"/>
                <w:sz w:val="16"/>
                <w:szCs w:val="16"/>
              </w:rPr>
            </w:pPr>
            <w:r w:rsidRPr="001F53E7">
              <w:rPr>
                <w:color w:val="000000"/>
                <w:sz w:val="16"/>
                <w:szCs w:val="16"/>
              </w:rPr>
              <w:t>64.833</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7B090" w14:textId="77777777" w:rsidR="000740F7" w:rsidRPr="001F53E7" w:rsidRDefault="000740F7" w:rsidP="006D0A51">
            <w:pPr>
              <w:jc w:val="center"/>
              <w:rPr>
                <w:color w:val="000000"/>
                <w:sz w:val="16"/>
                <w:szCs w:val="16"/>
              </w:rPr>
            </w:pPr>
            <w:r w:rsidRPr="001F53E7">
              <w:rPr>
                <w:color w:val="000000"/>
                <w:sz w:val="16"/>
                <w:szCs w:val="16"/>
              </w:rPr>
              <w:t>109.559</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D5469" w14:textId="77777777" w:rsidR="000740F7" w:rsidRPr="001F53E7" w:rsidRDefault="000740F7" w:rsidP="006D0A51">
            <w:pPr>
              <w:jc w:val="center"/>
              <w:rPr>
                <w:color w:val="000000"/>
                <w:sz w:val="16"/>
                <w:szCs w:val="16"/>
              </w:rPr>
            </w:pPr>
            <w:r w:rsidRPr="001F53E7">
              <w:rPr>
                <w:color w:val="000000"/>
                <w:sz w:val="16"/>
                <w:szCs w:val="16"/>
              </w:rPr>
              <w:t>113.705</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C20A7" w14:textId="77777777" w:rsidR="000740F7" w:rsidRPr="001F53E7" w:rsidRDefault="000740F7" w:rsidP="006D0A51">
            <w:pPr>
              <w:jc w:val="center"/>
              <w:rPr>
                <w:color w:val="000000"/>
                <w:sz w:val="16"/>
                <w:szCs w:val="16"/>
              </w:rPr>
            </w:pPr>
            <w:r w:rsidRPr="001F53E7">
              <w:rPr>
                <w:color w:val="000000"/>
                <w:sz w:val="16"/>
                <w:szCs w:val="16"/>
              </w:rPr>
              <w:t>60.687</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D7EB5" w14:textId="77777777" w:rsidR="000740F7" w:rsidRPr="001F53E7" w:rsidRDefault="000740F7" w:rsidP="006D0A51">
            <w:pPr>
              <w:jc w:val="center"/>
              <w:rPr>
                <w:color w:val="000000"/>
                <w:sz w:val="16"/>
                <w:szCs w:val="16"/>
              </w:rPr>
            </w:pPr>
            <w:r w:rsidRPr="001F53E7">
              <w:rPr>
                <w:color w:val="000000"/>
                <w:sz w:val="16"/>
                <w:szCs w:val="16"/>
              </w:rPr>
              <w:t>104%</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2D001" w14:textId="77777777" w:rsidR="000740F7" w:rsidRPr="001F53E7" w:rsidRDefault="000740F7" w:rsidP="006D0A51">
            <w:pPr>
              <w:jc w:val="center"/>
              <w:rPr>
                <w:color w:val="000000"/>
                <w:sz w:val="16"/>
                <w:szCs w:val="16"/>
              </w:rPr>
            </w:pPr>
            <w:r w:rsidRPr="001F53E7">
              <w:rPr>
                <w:color w:val="000000"/>
                <w:sz w:val="16"/>
                <w:szCs w:val="16"/>
              </w:rPr>
              <w:t>194,8</w:t>
            </w:r>
          </w:p>
        </w:tc>
      </w:tr>
      <w:tr w:rsidR="000740F7" w:rsidRPr="001B4CA2" w14:paraId="7CB77969" w14:textId="77777777" w:rsidTr="001F53E7">
        <w:trPr>
          <w:trHeight w:val="346"/>
        </w:trPr>
        <w:tc>
          <w:tcPr>
            <w:tcW w:w="1134" w:type="dxa"/>
            <w:vMerge/>
            <w:tcBorders>
              <w:top w:val="nil"/>
              <w:left w:val="single" w:sz="4" w:space="0" w:color="auto"/>
              <w:bottom w:val="single" w:sz="4" w:space="0" w:color="auto"/>
              <w:right w:val="single" w:sz="4" w:space="0" w:color="auto"/>
            </w:tcBorders>
            <w:vAlign w:val="center"/>
            <w:hideMark/>
          </w:tcPr>
          <w:p w14:paraId="76AA8903" w14:textId="77777777" w:rsidR="000740F7" w:rsidRPr="001B4CA2" w:rsidRDefault="000740F7" w:rsidP="006D0A51">
            <w:pPr>
              <w:jc w:val="center"/>
              <w:rPr>
                <w:rFonts w:eastAsia="Times New Roman"/>
                <w:sz w:val="18"/>
                <w:szCs w:val="18"/>
                <w:lang w:eastAsia="hr-H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75729C3" w14:textId="77777777" w:rsidR="000740F7" w:rsidRPr="001F53E7" w:rsidRDefault="000740F7" w:rsidP="006D0A51">
            <w:pPr>
              <w:jc w:val="center"/>
              <w:rPr>
                <w:color w:val="000000"/>
                <w:sz w:val="16"/>
                <w:szCs w:val="16"/>
              </w:rPr>
            </w:pPr>
            <w:r w:rsidRPr="001F53E7">
              <w:rPr>
                <w:color w:val="000000"/>
                <w:sz w:val="16"/>
                <w:szCs w:val="16"/>
              </w:rPr>
              <w:t>2019.</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9C015" w14:textId="77777777" w:rsidR="000740F7" w:rsidRPr="001F53E7" w:rsidRDefault="000740F7" w:rsidP="006D0A51">
            <w:pPr>
              <w:jc w:val="center"/>
              <w:rPr>
                <w:color w:val="000000"/>
                <w:sz w:val="16"/>
                <w:szCs w:val="16"/>
              </w:rPr>
            </w:pPr>
            <w:r w:rsidRPr="001F53E7">
              <w:rPr>
                <w:color w:val="000000"/>
                <w:sz w:val="16"/>
                <w:szCs w:val="16"/>
              </w:rPr>
              <w:t>43.734</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ABFD7" w14:textId="77777777" w:rsidR="000740F7" w:rsidRPr="001F53E7" w:rsidRDefault="000740F7" w:rsidP="006D0A51">
            <w:pPr>
              <w:jc w:val="center"/>
              <w:rPr>
                <w:color w:val="000000"/>
                <w:sz w:val="16"/>
                <w:szCs w:val="16"/>
              </w:rPr>
            </w:pPr>
            <w:r w:rsidRPr="001F53E7">
              <w:rPr>
                <w:color w:val="000000"/>
                <w:sz w:val="16"/>
                <w:szCs w:val="16"/>
              </w:rPr>
              <w:t>128.851</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E8F9E" w14:textId="77777777" w:rsidR="000740F7" w:rsidRPr="001F53E7" w:rsidRDefault="000740F7" w:rsidP="006D0A51">
            <w:pPr>
              <w:jc w:val="center"/>
              <w:rPr>
                <w:color w:val="000000"/>
                <w:sz w:val="16"/>
                <w:szCs w:val="16"/>
              </w:rPr>
            </w:pPr>
            <w:r w:rsidRPr="001F53E7">
              <w:rPr>
                <w:color w:val="000000"/>
                <w:sz w:val="16"/>
                <w:szCs w:val="16"/>
              </w:rPr>
              <w:t>131.552</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88B8B" w14:textId="77777777" w:rsidR="000740F7" w:rsidRPr="001F53E7" w:rsidRDefault="000740F7" w:rsidP="006D0A51">
            <w:pPr>
              <w:jc w:val="center"/>
              <w:rPr>
                <w:color w:val="000000"/>
                <w:sz w:val="16"/>
                <w:szCs w:val="16"/>
              </w:rPr>
            </w:pPr>
            <w:r w:rsidRPr="001F53E7">
              <w:rPr>
                <w:color w:val="000000"/>
                <w:sz w:val="16"/>
                <w:szCs w:val="16"/>
              </w:rPr>
              <w:t>41.032</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E4A1C" w14:textId="77777777" w:rsidR="000740F7" w:rsidRPr="001F53E7" w:rsidRDefault="000740F7" w:rsidP="006D0A51">
            <w:pPr>
              <w:jc w:val="center"/>
              <w:rPr>
                <w:color w:val="000000"/>
                <w:sz w:val="16"/>
                <w:szCs w:val="16"/>
              </w:rPr>
            </w:pPr>
            <w:r w:rsidRPr="001F53E7">
              <w:rPr>
                <w:color w:val="000000"/>
                <w:sz w:val="16"/>
                <w:szCs w:val="16"/>
              </w:rPr>
              <w:t>102%</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DDC41" w14:textId="77777777" w:rsidR="000740F7" w:rsidRPr="001F53E7" w:rsidRDefault="000740F7" w:rsidP="006D0A51">
            <w:pPr>
              <w:jc w:val="center"/>
              <w:rPr>
                <w:color w:val="000000"/>
                <w:sz w:val="16"/>
                <w:szCs w:val="16"/>
              </w:rPr>
            </w:pPr>
            <w:r w:rsidRPr="001F53E7">
              <w:rPr>
                <w:color w:val="000000"/>
                <w:sz w:val="16"/>
                <w:szCs w:val="16"/>
              </w:rPr>
              <w:t>113,8</w:t>
            </w:r>
          </w:p>
        </w:tc>
      </w:tr>
      <w:tr w:rsidR="000740F7" w:rsidRPr="001B4CA2" w14:paraId="43FBC681" w14:textId="77777777" w:rsidTr="001F53E7">
        <w:trPr>
          <w:trHeight w:val="346"/>
        </w:trPr>
        <w:tc>
          <w:tcPr>
            <w:tcW w:w="1134" w:type="dxa"/>
            <w:vMerge/>
            <w:tcBorders>
              <w:top w:val="nil"/>
              <w:left w:val="single" w:sz="4" w:space="0" w:color="auto"/>
              <w:bottom w:val="single" w:sz="4" w:space="0" w:color="auto"/>
              <w:right w:val="single" w:sz="4" w:space="0" w:color="auto"/>
            </w:tcBorders>
            <w:vAlign w:val="center"/>
            <w:hideMark/>
          </w:tcPr>
          <w:p w14:paraId="25B99C25" w14:textId="77777777" w:rsidR="000740F7" w:rsidRPr="001B4CA2" w:rsidRDefault="000740F7" w:rsidP="006D0A51">
            <w:pPr>
              <w:jc w:val="center"/>
              <w:rPr>
                <w:rFonts w:eastAsia="Times New Roman"/>
                <w:sz w:val="18"/>
                <w:szCs w:val="18"/>
                <w:lang w:eastAsia="hr-H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CA7F99A" w14:textId="77777777" w:rsidR="000740F7" w:rsidRPr="001F53E7" w:rsidRDefault="000740F7" w:rsidP="006D0A51">
            <w:pPr>
              <w:jc w:val="center"/>
              <w:rPr>
                <w:color w:val="000000"/>
                <w:sz w:val="16"/>
                <w:szCs w:val="16"/>
              </w:rPr>
            </w:pPr>
            <w:r w:rsidRPr="001F53E7">
              <w:rPr>
                <w:color w:val="000000"/>
                <w:sz w:val="16"/>
                <w:szCs w:val="16"/>
              </w:rPr>
              <w:t xml:space="preserve">2020. </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F71B2" w14:textId="77777777" w:rsidR="000740F7" w:rsidRPr="001F53E7" w:rsidRDefault="000740F7" w:rsidP="006D0A51">
            <w:pPr>
              <w:jc w:val="center"/>
              <w:rPr>
                <w:color w:val="000000"/>
                <w:sz w:val="16"/>
                <w:szCs w:val="16"/>
              </w:rPr>
            </w:pPr>
            <w:r w:rsidRPr="001F53E7">
              <w:rPr>
                <w:color w:val="000000"/>
                <w:sz w:val="16"/>
                <w:szCs w:val="16"/>
              </w:rPr>
              <w:t>34.482</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990F4" w14:textId="77777777" w:rsidR="000740F7" w:rsidRPr="001F53E7" w:rsidRDefault="000740F7" w:rsidP="006D0A51">
            <w:pPr>
              <w:jc w:val="center"/>
              <w:rPr>
                <w:color w:val="000000"/>
                <w:sz w:val="16"/>
                <w:szCs w:val="16"/>
              </w:rPr>
            </w:pPr>
            <w:r w:rsidRPr="001F53E7">
              <w:rPr>
                <w:color w:val="000000"/>
                <w:sz w:val="16"/>
                <w:szCs w:val="16"/>
              </w:rPr>
              <w:t>137.268</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AD1EE" w14:textId="77777777" w:rsidR="000740F7" w:rsidRPr="001F53E7" w:rsidRDefault="000740F7" w:rsidP="006D0A51">
            <w:pPr>
              <w:jc w:val="center"/>
              <w:rPr>
                <w:color w:val="000000"/>
                <w:sz w:val="16"/>
                <w:szCs w:val="16"/>
              </w:rPr>
            </w:pPr>
            <w:r w:rsidRPr="001F53E7">
              <w:rPr>
                <w:color w:val="000000"/>
                <w:sz w:val="16"/>
                <w:szCs w:val="16"/>
              </w:rPr>
              <w:t>136.291</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489E0" w14:textId="77777777" w:rsidR="000740F7" w:rsidRPr="001F53E7" w:rsidRDefault="000740F7" w:rsidP="006D0A51">
            <w:pPr>
              <w:jc w:val="center"/>
              <w:rPr>
                <w:color w:val="000000"/>
                <w:sz w:val="16"/>
                <w:szCs w:val="16"/>
              </w:rPr>
            </w:pPr>
            <w:r w:rsidRPr="001F53E7">
              <w:rPr>
                <w:color w:val="000000"/>
                <w:sz w:val="16"/>
                <w:szCs w:val="16"/>
              </w:rPr>
              <w:t>35.458</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A3E4D" w14:textId="77777777" w:rsidR="000740F7" w:rsidRPr="001F53E7" w:rsidRDefault="000740F7" w:rsidP="006D0A51">
            <w:pPr>
              <w:jc w:val="center"/>
              <w:rPr>
                <w:color w:val="000000"/>
                <w:sz w:val="16"/>
                <w:szCs w:val="16"/>
              </w:rPr>
            </w:pPr>
            <w:r w:rsidRPr="001F53E7">
              <w:rPr>
                <w:color w:val="000000"/>
                <w:sz w:val="16"/>
                <w:szCs w:val="16"/>
              </w:rPr>
              <w:t>99%</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4E757" w14:textId="77777777" w:rsidR="000740F7" w:rsidRPr="001F53E7" w:rsidRDefault="000740F7" w:rsidP="006D0A51">
            <w:pPr>
              <w:jc w:val="center"/>
              <w:rPr>
                <w:color w:val="000000"/>
                <w:sz w:val="16"/>
                <w:szCs w:val="16"/>
              </w:rPr>
            </w:pPr>
            <w:r w:rsidRPr="001F53E7">
              <w:rPr>
                <w:color w:val="000000"/>
                <w:sz w:val="16"/>
                <w:szCs w:val="16"/>
              </w:rPr>
              <w:t>95</w:t>
            </w:r>
          </w:p>
        </w:tc>
      </w:tr>
      <w:tr w:rsidR="000740F7" w:rsidRPr="001B4CA2" w14:paraId="237B4443" w14:textId="77777777" w:rsidTr="001F53E7">
        <w:trPr>
          <w:trHeight w:val="346"/>
        </w:trPr>
        <w:tc>
          <w:tcPr>
            <w:tcW w:w="1134" w:type="dxa"/>
            <w:vMerge/>
            <w:tcBorders>
              <w:top w:val="nil"/>
              <w:left w:val="single" w:sz="4" w:space="0" w:color="auto"/>
              <w:bottom w:val="single" w:sz="4" w:space="0" w:color="auto"/>
              <w:right w:val="single" w:sz="4" w:space="0" w:color="auto"/>
            </w:tcBorders>
            <w:vAlign w:val="center"/>
            <w:hideMark/>
          </w:tcPr>
          <w:p w14:paraId="2CFB0ACC" w14:textId="77777777" w:rsidR="000740F7" w:rsidRPr="001B4CA2" w:rsidRDefault="000740F7" w:rsidP="006D0A51">
            <w:pPr>
              <w:jc w:val="center"/>
              <w:rPr>
                <w:rFonts w:eastAsia="Times New Roman"/>
                <w:sz w:val="18"/>
                <w:szCs w:val="18"/>
                <w:lang w:eastAsia="hr-H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5D9F5F9" w14:textId="77777777" w:rsidR="000740F7" w:rsidRPr="001F53E7" w:rsidRDefault="000740F7" w:rsidP="006D0A51">
            <w:pPr>
              <w:jc w:val="center"/>
              <w:rPr>
                <w:color w:val="000000"/>
                <w:sz w:val="16"/>
                <w:szCs w:val="16"/>
              </w:rPr>
            </w:pPr>
            <w:r w:rsidRPr="001F53E7">
              <w:rPr>
                <w:color w:val="000000"/>
                <w:sz w:val="16"/>
                <w:szCs w:val="16"/>
              </w:rPr>
              <w:t>2021.</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E1E56" w14:textId="77777777" w:rsidR="000740F7" w:rsidRPr="001F53E7" w:rsidRDefault="000740F7" w:rsidP="006D0A51">
            <w:pPr>
              <w:jc w:val="center"/>
              <w:rPr>
                <w:color w:val="000000"/>
                <w:sz w:val="16"/>
                <w:szCs w:val="16"/>
              </w:rPr>
            </w:pPr>
            <w:r w:rsidRPr="001F53E7">
              <w:rPr>
                <w:color w:val="000000"/>
                <w:sz w:val="16"/>
                <w:szCs w:val="16"/>
              </w:rPr>
              <w:t>35.602</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E8AA7" w14:textId="77777777" w:rsidR="000740F7" w:rsidRPr="001F53E7" w:rsidRDefault="000740F7" w:rsidP="006D0A51">
            <w:pPr>
              <w:jc w:val="center"/>
              <w:rPr>
                <w:color w:val="000000"/>
                <w:sz w:val="16"/>
                <w:szCs w:val="16"/>
              </w:rPr>
            </w:pPr>
            <w:r w:rsidRPr="001F53E7">
              <w:rPr>
                <w:color w:val="000000"/>
                <w:sz w:val="16"/>
                <w:szCs w:val="16"/>
              </w:rPr>
              <w:t>135.389</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A1877" w14:textId="77777777" w:rsidR="000740F7" w:rsidRPr="001F53E7" w:rsidRDefault="000740F7" w:rsidP="006D0A51">
            <w:pPr>
              <w:jc w:val="center"/>
              <w:rPr>
                <w:color w:val="000000"/>
                <w:sz w:val="16"/>
                <w:szCs w:val="16"/>
              </w:rPr>
            </w:pPr>
            <w:r w:rsidRPr="001F53E7">
              <w:rPr>
                <w:color w:val="000000"/>
                <w:sz w:val="16"/>
                <w:szCs w:val="16"/>
              </w:rPr>
              <w:t>135.059</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94102" w14:textId="77777777" w:rsidR="000740F7" w:rsidRPr="001F53E7" w:rsidRDefault="000740F7" w:rsidP="006D0A51">
            <w:pPr>
              <w:jc w:val="center"/>
              <w:rPr>
                <w:color w:val="000000"/>
                <w:sz w:val="16"/>
                <w:szCs w:val="16"/>
              </w:rPr>
            </w:pPr>
            <w:r w:rsidRPr="001F53E7">
              <w:rPr>
                <w:color w:val="000000"/>
                <w:sz w:val="16"/>
                <w:szCs w:val="16"/>
              </w:rPr>
              <w:t>35.932</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FB0EA" w14:textId="77777777" w:rsidR="000740F7" w:rsidRPr="001F53E7" w:rsidRDefault="000740F7" w:rsidP="006D0A51">
            <w:pPr>
              <w:jc w:val="center"/>
              <w:rPr>
                <w:color w:val="000000"/>
                <w:sz w:val="16"/>
                <w:szCs w:val="16"/>
              </w:rPr>
            </w:pPr>
            <w:r w:rsidRPr="001F53E7">
              <w:rPr>
                <w:color w:val="000000"/>
                <w:sz w:val="16"/>
                <w:szCs w:val="16"/>
              </w:rPr>
              <w:t>100%</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2BA8C" w14:textId="77777777" w:rsidR="000740F7" w:rsidRPr="001F53E7" w:rsidRDefault="000740F7" w:rsidP="006D0A51">
            <w:pPr>
              <w:jc w:val="center"/>
              <w:rPr>
                <w:color w:val="000000"/>
                <w:sz w:val="16"/>
                <w:szCs w:val="16"/>
              </w:rPr>
            </w:pPr>
            <w:r w:rsidRPr="001F53E7">
              <w:rPr>
                <w:color w:val="000000"/>
                <w:sz w:val="16"/>
                <w:szCs w:val="16"/>
              </w:rPr>
              <w:t>97,1</w:t>
            </w:r>
          </w:p>
        </w:tc>
      </w:tr>
      <w:tr w:rsidR="000740F7" w:rsidRPr="001B4CA2" w14:paraId="6B3BA3B2" w14:textId="77777777" w:rsidTr="001F53E7">
        <w:trPr>
          <w:trHeight w:val="346"/>
        </w:trPr>
        <w:tc>
          <w:tcPr>
            <w:tcW w:w="1134" w:type="dxa"/>
            <w:vMerge/>
            <w:tcBorders>
              <w:top w:val="nil"/>
              <w:left w:val="single" w:sz="4" w:space="0" w:color="auto"/>
              <w:bottom w:val="single" w:sz="4" w:space="0" w:color="auto"/>
              <w:right w:val="single" w:sz="4" w:space="0" w:color="auto"/>
            </w:tcBorders>
            <w:vAlign w:val="center"/>
            <w:hideMark/>
          </w:tcPr>
          <w:p w14:paraId="4AF68226" w14:textId="77777777" w:rsidR="000740F7" w:rsidRPr="001B4CA2" w:rsidRDefault="000740F7" w:rsidP="006D0A51">
            <w:pPr>
              <w:jc w:val="center"/>
              <w:rPr>
                <w:rFonts w:eastAsia="Times New Roman"/>
                <w:sz w:val="18"/>
                <w:szCs w:val="18"/>
                <w:lang w:eastAsia="hr-H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EBD467" w14:textId="77777777" w:rsidR="000740F7" w:rsidRPr="001F53E7" w:rsidRDefault="000740F7" w:rsidP="006D0A51">
            <w:pPr>
              <w:jc w:val="center"/>
              <w:rPr>
                <w:color w:val="000000"/>
                <w:sz w:val="16"/>
                <w:szCs w:val="16"/>
              </w:rPr>
            </w:pPr>
            <w:r w:rsidRPr="001F53E7">
              <w:rPr>
                <w:color w:val="000000"/>
                <w:sz w:val="16"/>
                <w:szCs w:val="16"/>
              </w:rPr>
              <w:t>2022.</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06324" w14:textId="77777777" w:rsidR="000740F7" w:rsidRPr="001F53E7" w:rsidRDefault="000740F7" w:rsidP="006D0A51">
            <w:pPr>
              <w:jc w:val="center"/>
              <w:rPr>
                <w:color w:val="000000"/>
                <w:sz w:val="16"/>
                <w:szCs w:val="16"/>
              </w:rPr>
            </w:pPr>
            <w:r w:rsidRPr="001F53E7">
              <w:rPr>
                <w:color w:val="000000"/>
                <w:sz w:val="16"/>
                <w:szCs w:val="16"/>
              </w:rPr>
              <w:t>36.226</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808F6" w14:textId="77777777" w:rsidR="000740F7" w:rsidRPr="001F53E7" w:rsidRDefault="000740F7" w:rsidP="006D0A51">
            <w:pPr>
              <w:jc w:val="center"/>
              <w:rPr>
                <w:color w:val="000000"/>
                <w:sz w:val="16"/>
                <w:szCs w:val="16"/>
              </w:rPr>
            </w:pPr>
            <w:r w:rsidRPr="001F53E7">
              <w:rPr>
                <w:color w:val="000000"/>
                <w:sz w:val="16"/>
                <w:szCs w:val="16"/>
              </w:rPr>
              <w:t>136.084</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C97A3" w14:textId="77777777" w:rsidR="000740F7" w:rsidRPr="001F53E7" w:rsidRDefault="000740F7" w:rsidP="006D0A51">
            <w:pPr>
              <w:jc w:val="center"/>
              <w:rPr>
                <w:color w:val="000000"/>
                <w:sz w:val="16"/>
                <w:szCs w:val="16"/>
              </w:rPr>
            </w:pPr>
            <w:r w:rsidRPr="001F53E7">
              <w:rPr>
                <w:color w:val="000000"/>
                <w:sz w:val="16"/>
                <w:szCs w:val="16"/>
              </w:rPr>
              <w:t>131.053</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232FD" w14:textId="77777777" w:rsidR="000740F7" w:rsidRPr="001F53E7" w:rsidRDefault="000740F7" w:rsidP="006D0A51">
            <w:pPr>
              <w:jc w:val="center"/>
              <w:rPr>
                <w:color w:val="000000"/>
                <w:sz w:val="16"/>
                <w:szCs w:val="16"/>
              </w:rPr>
            </w:pPr>
            <w:r w:rsidRPr="001F53E7">
              <w:rPr>
                <w:color w:val="000000"/>
                <w:sz w:val="16"/>
                <w:szCs w:val="16"/>
              </w:rPr>
              <w:t>41.251</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AE788" w14:textId="77777777" w:rsidR="000740F7" w:rsidRPr="001F53E7" w:rsidRDefault="000740F7" w:rsidP="006D0A51">
            <w:pPr>
              <w:jc w:val="center"/>
              <w:rPr>
                <w:color w:val="000000"/>
                <w:sz w:val="16"/>
                <w:szCs w:val="16"/>
              </w:rPr>
            </w:pPr>
            <w:r w:rsidRPr="001F53E7">
              <w:rPr>
                <w:color w:val="000000"/>
                <w:sz w:val="16"/>
                <w:szCs w:val="16"/>
              </w:rPr>
              <w:t>96%</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11B27" w14:textId="77777777" w:rsidR="000740F7" w:rsidRPr="001F53E7" w:rsidRDefault="000740F7" w:rsidP="006D0A51">
            <w:pPr>
              <w:jc w:val="center"/>
              <w:rPr>
                <w:color w:val="000000"/>
                <w:sz w:val="16"/>
                <w:szCs w:val="16"/>
              </w:rPr>
            </w:pPr>
            <w:r w:rsidRPr="001F53E7">
              <w:rPr>
                <w:color w:val="000000"/>
                <w:sz w:val="16"/>
                <w:szCs w:val="16"/>
              </w:rPr>
              <w:t>114,9</w:t>
            </w:r>
          </w:p>
        </w:tc>
      </w:tr>
      <w:tr w:rsidR="000740F7" w:rsidRPr="001B4CA2" w14:paraId="31386995" w14:textId="77777777" w:rsidTr="001F53E7">
        <w:trPr>
          <w:trHeight w:val="346"/>
        </w:trPr>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03DF85"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Građansko-upravni</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A2D4E6" w14:textId="77777777" w:rsidR="000740F7" w:rsidRPr="001F53E7" w:rsidRDefault="000740F7" w:rsidP="006D0A51">
            <w:pPr>
              <w:jc w:val="center"/>
              <w:rPr>
                <w:color w:val="000000"/>
                <w:sz w:val="16"/>
                <w:szCs w:val="16"/>
              </w:rPr>
            </w:pPr>
            <w:r w:rsidRPr="001F53E7">
              <w:rPr>
                <w:color w:val="000000"/>
                <w:sz w:val="16"/>
                <w:szCs w:val="16"/>
              </w:rPr>
              <w:t>2018.</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E3E64" w14:textId="77777777" w:rsidR="000740F7" w:rsidRPr="001F53E7" w:rsidRDefault="000740F7" w:rsidP="006D0A51">
            <w:pPr>
              <w:jc w:val="center"/>
              <w:rPr>
                <w:color w:val="000000"/>
                <w:sz w:val="16"/>
                <w:szCs w:val="16"/>
              </w:rPr>
            </w:pPr>
            <w:r w:rsidRPr="001F53E7">
              <w:rPr>
                <w:color w:val="000000"/>
                <w:sz w:val="16"/>
                <w:szCs w:val="16"/>
              </w:rPr>
              <w:t>8.603</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C5D11" w14:textId="77777777" w:rsidR="000740F7" w:rsidRPr="001F53E7" w:rsidRDefault="000740F7" w:rsidP="006D0A51">
            <w:pPr>
              <w:jc w:val="center"/>
              <w:rPr>
                <w:color w:val="000000"/>
                <w:sz w:val="16"/>
                <w:szCs w:val="16"/>
              </w:rPr>
            </w:pPr>
            <w:r w:rsidRPr="001F53E7">
              <w:rPr>
                <w:color w:val="000000"/>
                <w:sz w:val="16"/>
                <w:szCs w:val="16"/>
              </w:rPr>
              <w:t>70.951</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2DBD" w14:textId="77777777" w:rsidR="000740F7" w:rsidRPr="001F53E7" w:rsidRDefault="000740F7" w:rsidP="006D0A51">
            <w:pPr>
              <w:jc w:val="center"/>
              <w:rPr>
                <w:color w:val="000000"/>
                <w:sz w:val="16"/>
                <w:szCs w:val="16"/>
              </w:rPr>
            </w:pPr>
            <w:r w:rsidRPr="001F53E7">
              <w:rPr>
                <w:color w:val="000000"/>
                <w:sz w:val="16"/>
                <w:szCs w:val="16"/>
              </w:rPr>
              <w:t>74.273</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6A053" w14:textId="77777777" w:rsidR="000740F7" w:rsidRPr="001F53E7" w:rsidRDefault="000740F7" w:rsidP="006D0A51">
            <w:pPr>
              <w:jc w:val="center"/>
              <w:rPr>
                <w:color w:val="000000"/>
                <w:sz w:val="16"/>
                <w:szCs w:val="16"/>
              </w:rPr>
            </w:pPr>
            <w:r w:rsidRPr="001F53E7">
              <w:rPr>
                <w:color w:val="000000"/>
                <w:sz w:val="16"/>
                <w:szCs w:val="16"/>
              </w:rPr>
              <w:t>5.281</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162F2" w14:textId="77777777" w:rsidR="000740F7" w:rsidRPr="001F53E7" w:rsidRDefault="000740F7" w:rsidP="006D0A51">
            <w:pPr>
              <w:jc w:val="center"/>
              <w:rPr>
                <w:color w:val="000000"/>
                <w:sz w:val="16"/>
                <w:szCs w:val="16"/>
              </w:rPr>
            </w:pPr>
            <w:r w:rsidRPr="001F53E7">
              <w:rPr>
                <w:color w:val="000000"/>
                <w:sz w:val="16"/>
                <w:szCs w:val="16"/>
              </w:rPr>
              <w:t>105%</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DD31A" w14:textId="77777777" w:rsidR="000740F7" w:rsidRPr="001F53E7" w:rsidRDefault="000740F7" w:rsidP="006D0A51">
            <w:pPr>
              <w:jc w:val="center"/>
              <w:rPr>
                <w:color w:val="000000"/>
                <w:sz w:val="16"/>
                <w:szCs w:val="16"/>
              </w:rPr>
            </w:pPr>
            <w:r w:rsidRPr="001F53E7">
              <w:rPr>
                <w:color w:val="000000"/>
                <w:sz w:val="16"/>
                <w:szCs w:val="16"/>
              </w:rPr>
              <w:t>26</w:t>
            </w:r>
          </w:p>
        </w:tc>
      </w:tr>
      <w:tr w:rsidR="000740F7" w:rsidRPr="001B4CA2" w14:paraId="3A0DC33D" w14:textId="77777777" w:rsidTr="001F53E7">
        <w:trPr>
          <w:trHeight w:val="346"/>
        </w:trPr>
        <w:tc>
          <w:tcPr>
            <w:tcW w:w="1134" w:type="dxa"/>
            <w:vMerge/>
            <w:tcBorders>
              <w:top w:val="nil"/>
              <w:left w:val="single" w:sz="4" w:space="0" w:color="auto"/>
              <w:bottom w:val="single" w:sz="4" w:space="0" w:color="auto"/>
              <w:right w:val="single" w:sz="4" w:space="0" w:color="auto"/>
            </w:tcBorders>
            <w:vAlign w:val="center"/>
            <w:hideMark/>
          </w:tcPr>
          <w:p w14:paraId="5C374A80" w14:textId="77777777" w:rsidR="000740F7" w:rsidRPr="001B4CA2" w:rsidRDefault="000740F7" w:rsidP="006D0A51">
            <w:pPr>
              <w:jc w:val="center"/>
              <w:rPr>
                <w:rFonts w:eastAsia="Times New Roman"/>
                <w:sz w:val="18"/>
                <w:szCs w:val="18"/>
                <w:lang w:eastAsia="hr-H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31F461" w14:textId="77777777" w:rsidR="000740F7" w:rsidRPr="001F53E7" w:rsidRDefault="000740F7" w:rsidP="006D0A51">
            <w:pPr>
              <w:jc w:val="center"/>
              <w:rPr>
                <w:color w:val="000000"/>
                <w:sz w:val="16"/>
                <w:szCs w:val="16"/>
              </w:rPr>
            </w:pPr>
            <w:r w:rsidRPr="001F53E7">
              <w:rPr>
                <w:color w:val="000000"/>
                <w:sz w:val="16"/>
                <w:szCs w:val="16"/>
              </w:rPr>
              <w:t>2019.</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90BF3" w14:textId="77777777" w:rsidR="000740F7" w:rsidRPr="001F53E7" w:rsidRDefault="000740F7" w:rsidP="006D0A51">
            <w:pPr>
              <w:jc w:val="center"/>
              <w:rPr>
                <w:color w:val="000000"/>
                <w:sz w:val="16"/>
                <w:szCs w:val="16"/>
              </w:rPr>
            </w:pPr>
            <w:r w:rsidRPr="001F53E7">
              <w:rPr>
                <w:color w:val="000000"/>
                <w:sz w:val="16"/>
                <w:szCs w:val="16"/>
              </w:rPr>
              <w:t>7.056</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C3387" w14:textId="77777777" w:rsidR="000740F7" w:rsidRPr="001F53E7" w:rsidRDefault="000740F7" w:rsidP="006D0A51">
            <w:pPr>
              <w:jc w:val="center"/>
              <w:rPr>
                <w:color w:val="000000"/>
                <w:sz w:val="16"/>
                <w:szCs w:val="16"/>
              </w:rPr>
            </w:pPr>
            <w:r w:rsidRPr="001F53E7">
              <w:rPr>
                <w:color w:val="000000"/>
                <w:sz w:val="16"/>
                <w:szCs w:val="16"/>
              </w:rPr>
              <w:t>86.837</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1C278" w14:textId="77777777" w:rsidR="000740F7" w:rsidRPr="001F53E7" w:rsidRDefault="000740F7" w:rsidP="006D0A51">
            <w:pPr>
              <w:jc w:val="center"/>
              <w:rPr>
                <w:color w:val="000000"/>
                <w:sz w:val="16"/>
                <w:szCs w:val="16"/>
              </w:rPr>
            </w:pPr>
            <w:r w:rsidRPr="001F53E7">
              <w:rPr>
                <w:color w:val="000000"/>
                <w:sz w:val="16"/>
                <w:szCs w:val="16"/>
              </w:rPr>
              <w:t>87.946</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E5C2C" w14:textId="77777777" w:rsidR="000740F7" w:rsidRPr="001F53E7" w:rsidRDefault="000740F7" w:rsidP="006D0A51">
            <w:pPr>
              <w:jc w:val="center"/>
              <w:rPr>
                <w:color w:val="000000"/>
                <w:sz w:val="16"/>
                <w:szCs w:val="16"/>
              </w:rPr>
            </w:pPr>
            <w:r w:rsidRPr="001F53E7">
              <w:rPr>
                <w:color w:val="000000"/>
                <w:sz w:val="16"/>
                <w:szCs w:val="16"/>
              </w:rPr>
              <w:t>5.947</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2D104" w14:textId="77777777" w:rsidR="000740F7" w:rsidRPr="001F53E7" w:rsidRDefault="000740F7" w:rsidP="006D0A51">
            <w:pPr>
              <w:jc w:val="center"/>
              <w:rPr>
                <w:color w:val="000000"/>
                <w:sz w:val="16"/>
                <w:szCs w:val="16"/>
              </w:rPr>
            </w:pPr>
            <w:r w:rsidRPr="001F53E7">
              <w:rPr>
                <w:color w:val="000000"/>
                <w:sz w:val="16"/>
                <w:szCs w:val="16"/>
              </w:rPr>
              <w:t>101%</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92F71" w14:textId="77777777" w:rsidR="000740F7" w:rsidRPr="001F53E7" w:rsidRDefault="000740F7" w:rsidP="006D0A51">
            <w:pPr>
              <w:jc w:val="center"/>
              <w:rPr>
                <w:color w:val="000000"/>
                <w:sz w:val="16"/>
                <w:szCs w:val="16"/>
              </w:rPr>
            </w:pPr>
            <w:r w:rsidRPr="001F53E7">
              <w:rPr>
                <w:color w:val="000000"/>
                <w:sz w:val="16"/>
                <w:szCs w:val="16"/>
              </w:rPr>
              <w:t>24,7</w:t>
            </w:r>
          </w:p>
        </w:tc>
      </w:tr>
      <w:tr w:rsidR="000740F7" w:rsidRPr="001B4CA2" w14:paraId="1CCB64DF" w14:textId="77777777" w:rsidTr="001F53E7">
        <w:trPr>
          <w:trHeight w:val="346"/>
        </w:trPr>
        <w:tc>
          <w:tcPr>
            <w:tcW w:w="1134" w:type="dxa"/>
            <w:vMerge/>
            <w:tcBorders>
              <w:top w:val="nil"/>
              <w:left w:val="single" w:sz="4" w:space="0" w:color="auto"/>
              <w:bottom w:val="single" w:sz="4" w:space="0" w:color="auto"/>
              <w:right w:val="single" w:sz="4" w:space="0" w:color="auto"/>
            </w:tcBorders>
            <w:vAlign w:val="center"/>
            <w:hideMark/>
          </w:tcPr>
          <w:p w14:paraId="3D07D60C" w14:textId="77777777" w:rsidR="000740F7" w:rsidRPr="001B4CA2" w:rsidRDefault="000740F7" w:rsidP="006D0A51">
            <w:pPr>
              <w:jc w:val="center"/>
              <w:rPr>
                <w:rFonts w:eastAsia="Times New Roman"/>
                <w:sz w:val="18"/>
                <w:szCs w:val="18"/>
                <w:lang w:eastAsia="hr-H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0AB70DC" w14:textId="77777777" w:rsidR="000740F7" w:rsidRPr="001F53E7" w:rsidRDefault="000740F7" w:rsidP="006D0A51">
            <w:pPr>
              <w:jc w:val="center"/>
              <w:rPr>
                <w:color w:val="000000"/>
                <w:sz w:val="16"/>
                <w:szCs w:val="16"/>
              </w:rPr>
            </w:pPr>
            <w:r w:rsidRPr="001F53E7">
              <w:rPr>
                <w:color w:val="000000"/>
                <w:sz w:val="16"/>
                <w:szCs w:val="16"/>
              </w:rPr>
              <w:t>2020.</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59457" w14:textId="77777777" w:rsidR="000740F7" w:rsidRPr="001F53E7" w:rsidRDefault="000740F7" w:rsidP="006D0A51">
            <w:pPr>
              <w:jc w:val="center"/>
              <w:rPr>
                <w:color w:val="000000"/>
                <w:sz w:val="16"/>
                <w:szCs w:val="16"/>
              </w:rPr>
            </w:pPr>
            <w:r w:rsidRPr="001F53E7">
              <w:rPr>
                <w:color w:val="000000"/>
                <w:sz w:val="16"/>
                <w:szCs w:val="16"/>
              </w:rPr>
              <w:t>6.506</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8C783" w14:textId="77777777" w:rsidR="000740F7" w:rsidRPr="001F53E7" w:rsidRDefault="000740F7" w:rsidP="006D0A51">
            <w:pPr>
              <w:jc w:val="center"/>
              <w:rPr>
                <w:color w:val="000000"/>
                <w:sz w:val="16"/>
                <w:szCs w:val="16"/>
              </w:rPr>
            </w:pPr>
            <w:r w:rsidRPr="001F53E7">
              <w:rPr>
                <w:color w:val="000000"/>
                <w:sz w:val="16"/>
                <w:szCs w:val="16"/>
              </w:rPr>
              <w:t>75.981</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ADAD0" w14:textId="77777777" w:rsidR="000740F7" w:rsidRPr="001F53E7" w:rsidRDefault="000740F7" w:rsidP="006D0A51">
            <w:pPr>
              <w:jc w:val="center"/>
              <w:rPr>
                <w:color w:val="000000"/>
                <w:sz w:val="16"/>
                <w:szCs w:val="16"/>
              </w:rPr>
            </w:pPr>
            <w:r w:rsidRPr="001F53E7">
              <w:rPr>
                <w:color w:val="000000"/>
                <w:sz w:val="16"/>
                <w:szCs w:val="16"/>
              </w:rPr>
              <w:t>76.980</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91875" w14:textId="77777777" w:rsidR="000740F7" w:rsidRPr="001F53E7" w:rsidRDefault="000740F7" w:rsidP="006D0A51">
            <w:pPr>
              <w:jc w:val="center"/>
              <w:rPr>
                <w:color w:val="000000"/>
                <w:sz w:val="16"/>
                <w:szCs w:val="16"/>
              </w:rPr>
            </w:pPr>
            <w:r w:rsidRPr="001F53E7">
              <w:rPr>
                <w:color w:val="000000"/>
                <w:sz w:val="16"/>
                <w:szCs w:val="16"/>
              </w:rPr>
              <w:t>5.507</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C1180" w14:textId="77777777" w:rsidR="000740F7" w:rsidRPr="001F53E7" w:rsidRDefault="000740F7" w:rsidP="006D0A51">
            <w:pPr>
              <w:jc w:val="center"/>
              <w:rPr>
                <w:color w:val="000000"/>
                <w:sz w:val="16"/>
                <w:szCs w:val="16"/>
              </w:rPr>
            </w:pPr>
            <w:r w:rsidRPr="001F53E7">
              <w:rPr>
                <w:color w:val="000000"/>
                <w:sz w:val="16"/>
                <w:szCs w:val="16"/>
              </w:rPr>
              <w:t>101%</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842E6" w14:textId="77777777" w:rsidR="000740F7" w:rsidRPr="001F53E7" w:rsidRDefault="000740F7" w:rsidP="006D0A51">
            <w:pPr>
              <w:jc w:val="center"/>
              <w:rPr>
                <w:color w:val="000000"/>
                <w:sz w:val="16"/>
                <w:szCs w:val="16"/>
              </w:rPr>
            </w:pPr>
            <w:r w:rsidRPr="001F53E7">
              <w:rPr>
                <w:color w:val="000000"/>
                <w:sz w:val="16"/>
                <w:szCs w:val="16"/>
              </w:rPr>
              <w:t>26,1</w:t>
            </w:r>
          </w:p>
        </w:tc>
      </w:tr>
      <w:tr w:rsidR="000740F7" w:rsidRPr="001B4CA2" w14:paraId="7085946D" w14:textId="77777777" w:rsidTr="001F53E7">
        <w:trPr>
          <w:trHeight w:val="346"/>
        </w:trPr>
        <w:tc>
          <w:tcPr>
            <w:tcW w:w="1134" w:type="dxa"/>
            <w:vMerge/>
            <w:tcBorders>
              <w:top w:val="nil"/>
              <w:left w:val="single" w:sz="4" w:space="0" w:color="auto"/>
              <w:bottom w:val="single" w:sz="4" w:space="0" w:color="auto"/>
              <w:right w:val="single" w:sz="4" w:space="0" w:color="auto"/>
            </w:tcBorders>
            <w:vAlign w:val="center"/>
            <w:hideMark/>
          </w:tcPr>
          <w:p w14:paraId="41E98778" w14:textId="77777777" w:rsidR="000740F7" w:rsidRPr="001B4CA2" w:rsidRDefault="000740F7" w:rsidP="006D0A51">
            <w:pPr>
              <w:jc w:val="center"/>
              <w:rPr>
                <w:rFonts w:eastAsia="Times New Roman"/>
                <w:sz w:val="18"/>
                <w:szCs w:val="18"/>
                <w:lang w:eastAsia="hr-H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6FED2DF" w14:textId="77777777" w:rsidR="000740F7" w:rsidRPr="001F53E7" w:rsidRDefault="000740F7" w:rsidP="006D0A51">
            <w:pPr>
              <w:jc w:val="center"/>
              <w:rPr>
                <w:color w:val="000000"/>
                <w:sz w:val="16"/>
                <w:szCs w:val="16"/>
              </w:rPr>
            </w:pPr>
            <w:r w:rsidRPr="001F53E7">
              <w:rPr>
                <w:color w:val="000000"/>
                <w:sz w:val="16"/>
                <w:szCs w:val="16"/>
              </w:rPr>
              <w:t>2021.</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C8B67" w14:textId="77777777" w:rsidR="000740F7" w:rsidRPr="001F53E7" w:rsidRDefault="000740F7" w:rsidP="006D0A51">
            <w:pPr>
              <w:jc w:val="center"/>
              <w:rPr>
                <w:color w:val="000000"/>
                <w:sz w:val="16"/>
                <w:szCs w:val="16"/>
              </w:rPr>
            </w:pPr>
            <w:r w:rsidRPr="001F53E7">
              <w:rPr>
                <w:color w:val="000000"/>
                <w:sz w:val="16"/>
                <w:szCs w:val="16"/>
              </w:rPr>
              <w:t>5.402</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CD8D1" w14:textId="77777777" w:rsidR="000740F7" w:rsidRPr="001F53E7" w:rsidRDefault="000740F7" w:rsidP="006D0A51">
            <w:pPr>
              <w:jc w:val="center"/>
              <w:rPr>
                <w:color w:val="000000"/>
                <w:sz w:val="16"/>
                <w:szCs w:val="16"/>
              </w:rPr>
            </w:pPr>
            <w:r w:rsidRPr="001F53E7">
              <w:rPr>
                <w:color w:val="000000"/>
                <w:sz w:val="16"/>
                <w:szCs w:val="16"/>
              </w:rPr>
              <w:t>91.619</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6A111" w14:textId="77777777" w:rsidR="000740F7" w:rsidRPr="001F53E7" w:rsidRDefault="000740F7" w:rsidP="006D0A51">
            <w:pPr>
              <w:jc w:val="center"/>
              <w:rPr>
                <w:color w:val="000000"/>
                <w:sz w:val="16"/>
                <w:szCs w:val="16"/>
              </w:rPr>
            </w:pPr>
            <w:r w:rsidRPr="001F53E7">
              <w:rPr>
                <w:color w:val="000000"/>
                <w:sz w:val="16"/>
                <w:szCs w:val="16"/>
              </w:rPr>
              <w:t>92.691</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DEC89" w14:textId="77777777" w:rsidR="000740F7" w:rsidRPr="001F53E7" w:rsidRDefault="000740F7" w:rsidP="006D0A51">
            <w:pPr>
              <w:jc w:val="center"/>
              <w:rPr>
                <w:color w:val="000000"/>
                <w:sz w:val="16"/>
                <w:szCs w:val="16"/>
              </w:rPr>
            </w:pPr>
            <w:r w:rsidRPr="001F53E7">
              <w:rPr>
                <w:color w:val="000000"/>
                <w:sz w:val="16"/>
                <w:szCs w:val="16"/>
              </w:rPr>
              <w:t>4.330</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7F1B2" w14:textId="77777777" w:rsidR="000740F7" w:rsidRPr="001F53E7" w:rsidRDefault="000740F7" w:rsidP="006D0A51">
            <w:pPr>
              <w:jc w:val="center"/>
              <w:rPr>
                <w:color w:val="000000"/>
                <w:sz w:val="16"/>
                <w:szCs w:val="16"/>
              </w:rPr>
            </w:pPr>
            <w:r w:rsidRPr="001F53E7">
              <w:rPr>
                <w:color w:val="000000"/>
                <w:sz w:val="16"/>
                <w:szCs w:val="16"/>
              </w:rPr>
              <w:t>101%</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04721" w14:textId="77777777" w:rsidR="000740F7" w:rsidRPr="001F53E7" w:rsidRDefault="000740F7" w:rsidP="006D0A51">
            <w:pPr>
              <w:jc w:val="center"/>
              <w:rPr>
                <w:color w:val="000000"/>
                <w:sz w:val="16"/>
                <w:szCs w:val="16"/>
              </w:rPr>
            </w:pPr>
            <w:r w:rsidRPr="001F53E7">
              <w:rPr>
                <w:color w:val="000000"/>
                <w:sz w:val="16"/>
                <w:szCs w:val="16"/>
              </w:rPr>
              <w:t>17,1</w:t>
            </w:r>
          </w:p>
        </w:tc>
      </w:tr>
      <w:tr w:rsidR="000740F7" w:rsidRPr="001B4CA2" w14:paraId="47EF0EB7" w14:textId="77777777" w:rsidTr="001F53E7">
        <w:trPr>
          <w:trHeight w:val="346"/>
        </w:trPr>
        <w:tc>
          <w:tcPr>
            <w:tcW w:w="1134" w:type="dxa"/>
            <w:vMerge/>
            <w:tcBorders>
              <w:top w:val="nil"/>
              <w:left w:val="single" w:sz="4" w:space="0" w:color="auto"/>
              <w:bottom w:val="single" w:sz="4" w:space="0" w:color="auto"/>
              <w:right w:val="single" w:sz="4" w:space="0" w:color="auto"/>
            </w:tcBorders>
            <w:vAlign w:val="center"/>
            <w:hideMark/>
          </w:tcPr>
          <w:p w14:paraId="4F9C18D3" w14:textId="77777777" w:rsidR="000740F7" w:rsidRPr="001B4CA2" w:rsidRDefault="000740F7" w:rsidP="006D0A51">
            <w:pPr>
              <w:jc w:val="center"/>
              <w:rPr>
                <w:rFonts w:eastAsia="Times New Roman"/>
                <w:sz w:val="18"/>
                <w:szCs w:val="18"/>
                <w:lang w:eastAsia="hr-HR"/>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27140FA" w14:textId="77777777" w:rsidR="000740F7" w:rsidRPr="001F53E7" w:rsidRDefault="000740F7" w:rsidP="006D0A51">
            <w:pPr>
              <w:jc w:val="center"/>
              <w:rPr>
                <w:color w:val="000000"/>
                <w:sz w:val="16"/>
                <w:szCs w:val="16"/>
              </w:rPr>
            </w:pPr>
            <w:r w:rsidRPr="001F53E7">
              <w:rPr>
                <w:color w:val="000000"/>
                <w:sz w:val="16"/>
                <w:szCs w:val="16"/>
              </w:rPr>
              <w:t>2022.</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686FE" w14:textId="77777777" w:rsidR="000740F7" w:rsidRPr="001F53E7" w:rsidRDefault="000740F7" w:rsidP="006D0A51">
            <w:pPr>
              <w:jc w:val="center"/>
              <w:rPr>
                <w:color w:val="000000"/>
                <w:sz w:val="16"/>
                <w:szCs w:val="16"/>
              </w:rPr>
            </w:pPr>
            <w:r w:rsidRPr="001F53E7">
              <w:rPr>
                <w:color w:val="000000"/>
                <w:sz w:val="16"/>
                <w:szCs w:val="16"/>
              </w:rPr>
              <w:t>4.005</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5A5BF" w14:textId="77777777" w:rsidR="000740F7" w:rsidRPr="001F53E7" w:rsidRDefault="000740F7" w:rsidP="006D0A51">
            <w:pPr>
              <w:jc w:val="center"/>
              <w:rPr>
                <w:color w:val="000000"/>
                <w:sz w:val="16"/>
                <w:szCs w:val="16"/>
              </w:rPr>
            </w:pPr>
            <w:r w:rsidRPr="001F53E7">
              <w:rPr>
                <w:color w:val="000000"/>
                <w:sz w:val="16"/>
                <w:szCs w:val="16"/>
              </w:rPr>
              <w:t>75.077</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48AAB" w14:textId="77777777" w:rsidR="000740F7" w:rsidRPr="001F53E7" w:rsidRDefault="000740F7" w:rsidP="006D0A51">
            <w:pPr>
              <w:jc w:val="center"/>
              <w:rPr>
                <w:color w:val="000000"/>
                <w:sz w:val="16"/>
                <w:szCs w:val="16"/>
              </w:rPr>
            </w:pPr>
            <w:r w:rsidRPr="001F53E7">
              <w:rPr>
                <w:color w:val="000000"/>
                <w:sz w:val="16"/>
                <w:szCs w:val="16"/>
              </w:rPr>
              <w:t>75.608</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8ACBF" w14:textId="77777777" w:rsidR="000740F7" w:rsidRPr="001F53E7" w:rsidRDefault="000740F7" w:rsidP="006D0A51">
            <w:pPr>
              <w:jc w:val="center"/>
              <w:rPr>
                <w:color w:val="000000"/>
                <w:sz w:val="16"/>
                <w:szCs w:val="16"/>
              </w:rPr>
            </w:pPr>
            <w:r w:rsidRPr="001F53E7">
              <w:rPr>
                <w:color w:val="000000"/>
                <w:sz w:val="16"/>
                <w:szCs w:val="16"/>
              </w:rPr>
              <w:t>3.442</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7E125" w14:textId="77777777" w:rsidR="000740F7" w:rsidRPr="001F53E7" w:rsidRDefault="000740F7" w:rsidP="006D0A51">
            <w:pPr>
              <w:jc w:val="center"/>
              <w:rPr>
                <w:color w:val="000000"/>
                <w:sz w:val="16"/>
                <w:szCs w:val="16"/>
              </w:rPr>
            </w:pPr>
            <w:r w:rsidRPr="001F53E7">
              <w:rPr>
                <w:color w:val="000000"/>
                <w:sz w:val="16"/>
                <w:szCs w:val="16"/>
              </w:rPr>
              <w:t>101%</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52666" w14:textId="77777777" w:rsidR="000740F7" w:rsidRPr="001F53E7" w:rsidRDefault="000740F7" w:rsidP="006D0A51">
            <w:pPr>
              <w:jc w:val="center"/>
              <w:rPr>
                <w:color w:val="000000"/>
                <w:sz w:val="16"/>
                <w:szCs w:val="16"/>
              </w:rPr>
            </w:pPr>
            <w:r w:rsidRPr="001F53E7">
              <w:rPr>
                <w:color w:val="000000"/>
                <w:sz w:val="16"/>
                <w:szCs w:val="16"/>
              </w:rPr>
              <w:t>16,6</w:t>
            </w:r>
          </w:p>
        </w:tc>
      </w:tr>
    </w:tbl>
    <w:p w14:paraId="39145F78" w14:textId="230E5E53" w:rsidR="000740F7" w:rsidRPr="001B4CA2" w:rsidRDefault="001F53E7" w:rsidP="000740F7">
      <w:pPr>
        <w:rPr>
          <w:sz w:val="20"/>
          <w:szCs w:val="20"/>
        </w:rPr>
      </w:pPr>
      <w:r>
        <w:rPr>
          <w:sz w:val="20"/>
          <w:szCs w:val="20"/>
        </w:rPr>
        <w:t xml:space="preserve">      </w:t>
      </w:r>
      <w:r w:rsidR="000740F7" w:rsidRPr="001B4CA2">
        <w:rPr>
          <w:sz w:val="20"/>
          <w:szCs w:val="20"/>
        </w:rPr>
        <w:t>*procjena temeljem dostupnih podataka u informacijskom sustavu državnog odvjetništva</w:t>
      </w:r>
    </w:p>
    <w:p w14:paraId="5D9F4207" w14:textId="77777777" w:rsidR="000740F7" w:rsidRPr="001B4CA2" w:rsidRDefault="000740F7" w:rsidP="000740F7"/>
    <w:p w14:paraId="41B4F2AA" w14:textId="64D12356" w:rsidR="000740F7" w:rsidRPr="001B4CA2" w:rsidRDefault="000740F7" w:rsidP="000740F7">
      <w:pPr>
        <w:ind w:firstLine="708"/>
        <w:rPr>
          <w:color w:val="FF0000"/>
        </w:rPr>
      </w:pPr>
      <w:r w:rsidRPr="001B4CA2">
        <w:t xml:space="preserve">Podatci u gornjoj tablici pokazuju da je broj novih predmeta u kaznenim odjelima na razini prošlog izvještajnog razdoblja </w:t>
      </w:r>
      <w:r w:rsidR="00F47D60">
        <w:t>(</w:t>
      </w:r>
      <w:r w:rsidRPr="001B4CA2">
        <w:t>porast od 1 %)</w:t>
      </w:r>
      <w:r w:rsidR="00727861">
        <w:t>,</w:t>
      </w:r>
      <w:r w:rsidRPr="001B4CA2">
        <w:t xml:space="preserve"> dok građansko-upravni odjeli bilježe pad </w:t>
      </w:r>
      <w:proofErr w:type="spellStart"/>
      <w:r w:rsidRPr="001B4CA2">
        <w:t>novozaprimljenih</w:t>
      </w:r>
      <w:proofErr w:type="spellEnd"/>
      <w:r w:rsidRPr="001B4CA2">
        <w:t xml:space="preserve"> predmeta za 18,1 %. Tako je broj </w:t>
      </w:r>
      <w:proofErr w:type="spellStart"/>
      <w:r w:rsidRPr="001B4CA2">
        <w:t>novozaprimljenih</w:t>
      </w:r>
      <w:proofErr w:type="spellEnd"/>
      <w:r w:rsidRPr="001B4CA2">
        <w:t xml:space="preserve"> predmeta građansko-upravnih predmeta u 2022. na razini prethodnih izvještajnih razdoblja, s </w:t>
      </w:r>
      <w:r w:rsidR="00727861">
        <w:t>iznimkom</w:t>
      </w:r>
      <w:r w:rsidRPr="001B4CA2">
        <w:t xml:space="preserve"> 2021. godine</w:t>
      </w:r>
      <w:r w:rsidR="00727861">
        <w:t>,</w:t>
      </w:r>
      <w:r w:rsidRPr="001B4CA2">
        <w:t xml:space="preserve"> kada je zaprimljen velik broj zahtjeva za mirno rješenje spora radi povećanja plaća, što se detaljno obrazlaže u poglavlju 8.2.1.</w:t>
      </w:r>
    </w:p>
    <w:p w14:paraId="70FB1A57" w14:textId="77777777" w:rsidR="000740F7" w:rsidRPr="001B4CA2" w:rsidRDefault="000740F7" w:rsidP="000740F7">
      <w:pPr>
        <w:rPr>
          <w:rFonts w:eastAsia="Calibri"/>
        </w:rPr>
      </w:pPr>
    </w:p>
    <w:tbl>
      <w:tblPr>
        <w:tblW w:w="8647" w:type="dxa"/>
        <w:tblInd w:w="392" w:type="dxa"/>
        <w:tblLook w:val="04A0" w:firstRow="1" w:lastRow="0" w:firstColumn="1" w:lastColumn="0" w:noHBand="0" w:noVBand="1"/>
      </w:tblPr>
      <w:tblGrid>
        <w:gridCol w:w="1040"/>
        <w:gridCol w:w="1084"/>
        <w:gridCol w:w="1420"/>
        <w:gridCol w:w="1559"/>
        <w:gridCol w:w="1559"/>
        <w:gridCol w:w="992"/>
        <w:gridCol w:w="993"/>
      </w:tblGrid>
      <w:tr w:rsidR="000740F7" w:rsidRPr="001B4CA2" w14:paraId="4E5EE539" w14:textId="77777777" w:rsidTr="00100365">
        <w:trPr>
          <w:trHeight w:val="326"/>
        </w:trPr>
        <w:tc>
          <w:tcPr>
            <w:tcW w:w="8647" w:type="dxa"/>
            <w:gridSpan w:val="7"/>
            <w:tcBorders>
              <w:top w:val="nil"/>
              <w:left w:val="nil"/>
              <w:bottom w:val="single" w:sz="4" w:space="0" w:color="auto"/>
              <w:right w:val="nil"/>
            </w:tcBorders>
            <w:shd w:val="clear" w:color="auto" w:fill="auto"/>
            <w:noWrap/>
            <w:vAlign w:val="center"/>
            <w:hideMark/>
          </w:tcPr>
          <w:p w14:paraId="6C2E7C2E" w14:textId="77777777" w:rsidR="000740F7" w:rsidRPr="001B4CA2" w:rsidRDefault="000740F7" w:rsidP="006D0A51">
            <w:pPr>
              <w:jc w:val="left"/>
              <w:rPr>
                <w:rFonts w:eastAsia="Times New Roman"/>
                <w:i/>
                <w:iCs/>
                <w:lang w:eastAsia="hr-HR"/>
              </w:rPr>
            </w:pPr>
            <w:r w:rsidRPr="001B4CA2">
              <w:rPr>
                <w:rFonts w:eastAsia="Times New Roman"/>
                <w:i/>
                <w:iCs/>
                <w:lang w:eastAsia="hr-HR"/>
              </w:rPr>
              <w:t>Kretanje predmeta u općinskim državnim odvjetništvima po vrsti predmeta s indikatorima</w:t>
            </w:r>
          </w:p>
        </w:tc>
      </w:tr>
      <w:tr w:rsidR="000740F7" w:rsidRPr="001B4CA2" w14:paraId="5CD35C0C" w14:textId="77777777" w:rsidTr="00100365">
        <w:trPr>
          <w:trHeight w:val="635"/>
        </w:trPr>
        <w:tc>
          <w:tcPr>
            <w:tcW w:w="1040"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298CA6EE"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 xml:space="preserve">Godina </w:t>
            </w:r>
          </w:p>
        </w:tc>
        <w:tc>
          <w:tcPr>
            <w:tcW w:w="1084" w:type="dxa"/>
            <w:tcBorders>
              <w:top w:val="single" w:sz="4" w:space="0" w:color="auto"/>
              <w:left w:val="nil"/>
              <w:bottom w:val="single" w:sz="4" w:space="0" w:color="auto"/>
              <w:right w:val="single" w:sz="4" w:space="0" w:color="auto"/>
            </w:tcBorders>
            <w:shd w:val="clear" w:color="000000" w:fill="99CCFF"/>
            <w:vAlign w:val="center"/>
            <w:hideMark/>
          </w:tcPr>
          <w:p w14:paraId="13ECCF88"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ODO</w:t>
            </w:r>
          </w:p>
        </w:tc>
        <w:tc>
          <w:tcPr>
            <w:tcW w:w="1420" w:type="dxa"/>
            <w:tcBorders>
              <w:top w:val="single" w:sz="4" w:space="0" w:color="auto"/>
              <w:left w:val="nil"/>
              <w:bottom w:val="single" w:sz="4" w:space="0" w:color="auto"/>
              <w:right w:val="single" w:sz="4" w:space="0" w:color="auto"/>
            </w:tcBorders>
            <w:shd w:val="clear" w:color="000000" w:fill="99CCFF"/>
            <w:vAlign w:val="center"/>
            <w:hideMark/>
          </w:tcPr>
          <w:p w14:paraId="7EE24A6D"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 xml:space="preserve">Primljeno </w:t>
            </w:r>
          </w:p>
        </w:tc>
        <w:tc>
          <w:tcPr>
            <w:tcW w:w="1559" w:type="dxa"/>
            <w:tcBorders>
              <w:top w:val="single" w:sz="4" w:space="0" w:color="auto"/>
              <w:left w:val="nil"/>
              <w:bottom w:val="single" w:sz="4" w:space="0" w:color="auto"/>
              <w:right w:val="single" w:sz="4" w:space="0" w:color="auto"/>
            </w:tcBorders>
            <w:shd w:val="clear" w:color="000000" w:fill="99CCFF"/>
            <w:noWrap/>
            <w:vAlign w:val="center"/>
            <w:hideMark/>
          </w:tcPr>
          <w:p w14:paraId="4A4E3660"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 xml:space="preserve">Riješeno </w:t>
            </w:r>
          </w:p>
        </w:tc>
        <w:tc>
          <w:tcPr>
            <w:tcW w:w="1559" w:type="dxa"/>
            <w:tcBorders>
              <w:top w:val="single" w:sz="4" w:space="0" w:color="auto"/>
              <w:left w:val="nil"/>
              <w:bottom w:val="single" w:sz="4" w:space="0" w:color="auto"/>
              <w:right w:val="single" w:sz="4" w:space="0" w:color="auto"/>
            </w:tcBorders>
            <w:shd w:val="clear" w:color="000000" w:fill="99CCFF"/>
            <w:noWrap/>
            <w:vAlign w:val="center"/>
            <w:hideMark/>
          </w:tcPr>
          <w:p w14:paraId="3588E79A"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 xml:space="preserve">Neriješeno </w:t>
            </w:r>
          </w:p>
        </w:tc>
        <w:tc>
          <w:tcPr>
            <w:tcW w:w="992" w:type="dxa"/>
            <w:tcBorders>
              <w:top w:val="single" w:sz="4" w:space="0" w:color="auto"/>
              <w:left w:val="nil"/>
              <w:bottom w:val="single" w:sz="4" w:space="0" w:color="auto"/>
              <w:right w:val="single" w:sz="4" w:space="0" w:color="auto"/>
            </w:tcBorders>
            <w:shd w:val="clear" w:color="000000" w:fill="99CCFF"/>
            <w:noWrap/>
            <w:vAlign w:val="center"/>
            <w:hideMark/>
          </w:tcPr>
          <w:p w14:paraId="6029D9E8"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993" w:type="dxa"/>
            <w:tcBorders>
              <w:top w:val="single" w:sz="4" w:space="0" w:color="auto"/>
              <w:left w:val="nil"/>
              <w:bottom w:val="single" w:sz="4" w:space="0" w:color="auto"/>
              <w:right w:val="single" w:sz="4" w:space="0" w:color="auto"/>
            </w:tcBorders>
            <w:shd w:val="clear" w:color="000000" w:fill="99CCFF"/>
            <w:noWrap/>
            <w:vAlign w:val="center"/>
            <w:hideMark/>
          </w:tcPr>
          <w:p w14:paraId="409986C0"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DT</w:t>
            </w:r>
          </w:p>
        </w:tc>
      </w:tr>
      <w:tr w:rsidR="000740F7" w:rsidRPr="001B4CA2" w14:paraId="38EE375F" w14:textId="77777777" w:rsidTr="00100365">
        <w:trPr>
          <w:trHeight w:val="326"/>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F3292"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2018.</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31C3C855"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92EAF" w14:textId="77777777" w:rsidR="000740F7" w:rsidRPr="001B4CA2" w:rsidRDefault="000740F7" w:rsidP="006D0A51">
            <w:pPr>
              <w:jc w:val="center"/>
              <w:rPr>
                <w:color w:val="000000"/>
                <w:sz w:val="18"/>
                <w:szCs w:val="18"/>
              </w:rPr>
            </w:pPr>
            <w:r w:rsidRPr="001B4CA2">
              <w:rPr>
                <w:color w:val="000000"/>
                <w:sz w:val="18"/>
                <w:szCs w:val="18"/>
              </w:rPr>
              <w:t>85.125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2B0C632" w14:textId="77777777" w:rsidR="000740F7" w:rsidRPr="001B4CA2" w:rsidRDefault="000740F7" w:rsidP="006D0A51">
            <w:pPr>
              <w:jc w:val="center"/>
              <w:rPr>
                <w:color w:val="000000"/>
                <w:sz w:val="18"/>
                <w:szCs w:val="18"/>
              </w:rPr>
            </w:pPr>
            <w:r w:rsidRPr="001B4CA2">
              <w:rPr>
                <w:color w:val="000000"/>
                <w:sz w:val="18"/>
                <w:szCs w:val="18"/>
              </w:rPr>
              <w:t>88.737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B01EBE" w14:textId="77777777" w:rsidR="000740F7" w:rsidRPr="001B4CA2" w:rsidRDefault="000740F7" w:rsidP="006D0A51">
            <w:pPr>
              <w:jc w:val="center"/>
              <w:rPr>
                <w:color w:val="000000"/>
                <w:sz w:val="18"/>
                <w:szCs w:val="18"/>
              </w:rPr>
            </w:pPr>
            <w:r w:rsidRPr="001B4CA2">
              <w:rPr>
                <w:color w:val="000000"/>
                <w:sz w:val="18"/>
                <w:szCs w:val="18"/>
              </w:rPr>
              <w:t>54.097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9829CD" w14:textId="77777777" w:rsidR="000740F7" w:rsidRPr="001B4CA2" w:rsidRDefault="000740F7" w:rsidP="006D0A51">
            <w:pPr>
              <w:jc w:val="center"/>
              <w:rPr>
                <w:color w:val="000000"/>
                <w:sz w:val="18"/>
                <w:szCs w:val="18"/>
              </w:rPr>
            </w:pPr>
            <w:r w:rsidRPr="001B4CA2">
              <w:rPr>
                <w:color w:val="000000"/>
                <w:sz w:val="18"/>
                <w:szCs w:val="18"/>
              </w:rPr>
              <w:t>104%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D8881F4" w14:textId="77777777" w:rsidR="000740F7" w:rsidRPr="001B4CA2" w:rsidRDefault="000740F7" w:rsidP="006D0A51">
            <w:pPr>
              <w:jc w:val="center"/>
              <w:rPr>
                <w:color w:val="000000"/>
                <w:sz w:val="18"/>
                <w:szCs w:val="18"/>
              </w:rPr>
            </w:pPr>
            <w:r w:rsidRPr="001B4CA2">
              <w:rPr>
                <w:color w:val="000000"/>
                <w:sz w:val="18"/>
                <w:szCs w:val="18"/>
              </w:rPr>
              <w:t>222,5</w:t>
            </w:r>
          </w:p>
        </w:tc>
      </w:tr>
      <w:tr w:rsidR="000740F7" w:rsidRPr="001B4CA2" w14:paraId="10F38240" w14:textId="77777777" w:rsidTr="00100365">
        <w:trPr>
          <w:trHeight w:val="326"/>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25CF072A" w14:textId="77777777" w:rsidR="000740F7" w:rsidRPr="001B4CA2" w:rsidRDefault="000740F7" w:rsidP="006D0A51">
            <w:pPr>
              <w:jc w:val="center"/>
              <w:rPr>
                <w:rFonts w:eastAsia="Times New Roman"/>
                <w:sz w:val="18"/>
                <w:szCs w:val="18"/>
                <w:lang w:eastAsia="hr-HR"/>
              </w:rPr>
            </w:pP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12528CF5"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65D69" w14:textId="77777777" w:rsidR="000740F7" w:rsidRPr="001B4CA2" w:rsidRDefault="000740F7" w:rsidP="006D0A51">
            <w:pPr>
              <w:jc w:val="center"/>
              <w:rPr>
                <w:color w:val="000000"/>
                <w:sz w:val="18"/>
                <w:szCs w:val="18"/>
              </w:rPr>
            </w:pPr>
            <w:r w:rsidRPr="001B4CA2">
              <w:rPr>
                <w:color w:val="000000"/>
                <w:sz w:val="18"/>
                <w:szCs w:val="18"/>
              </w:rPr>
              <w:t>57.450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6A46C9" w14:textId="77777777" w:rsidR="000740F7" w:rsidRPr="001B4CA2" w:rsidRDefault="000740F7" w:rsidP="006D0A51">
            <w:pPr>
              <w:jc w:val="center"/>
              <w:rPr>
                <w:color w:val="000000"/>
                <w:sz w:val="18"/>
                <w:szCs w:val="18"/>
              </w:rPr>
            </w:pPr>
            <w:r w:rsidRPr="001B4CA2">
              <w:rPr>
                <w:color w:val="000000"/>
                <w:sz w:val="18"/>
                <w:szCs w:val="18"/>
              </w:rPr>
              <w:t>60.463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12A44FF" w14:textId="77777777" w:rsidR="000740F7" w:rsidRPr="001B4CA2" w:rsidRDefault="000740F7" w:rsidP="006D0A51">
            <w:pPr>
              <w:jc w:val="center"/>
              <w:rPr>
                <w:color w:val="000000"/>
                <w:sz w:val="18"/>
                <w:szCs w:val="18"/>
              </w:rPr>
            </w:pPr>
            <w:r w:rsidRPr="001B4CA2">
              <w:rPr>
                <w:color w:val="000000"/>
                <w:sz w:val="18"/>
                <w:szCs w:val="18"/>
              </w:rPr>
              <w:t>4.073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A5920D" w14:textId="77777777" w:rsidR="000740F7" w:rsidRPr="001B4CA2" w:rsidRDefault="000740F7" w:rsidP="006D0A51">
            <w:pPr>
              <w:jc w:val="center"/>
              <w:rPr>
                <w:color w:val="000000"/>
                <w:sz w:val="18"/>
                <w:szCs w:val="18"/>
              </w:rPr>
            </w:pPr>
            <w:r w:rsidRPr="001B4CA2">
              <w:rPr>
                <w:color w:val="000000"/>
                <w:sz w:val="18"/>
                <w:szCs w:val="18"/>
              </w:rPr>
              <w:t>105%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E0C507" w14:textId="77777777" w:rsidR="000740F7" w:rsidRPr="001B4CA2" w:rsidRDefault="000740F7" w:rsidP="006D0A51">
            <w:pPr>
              <w:jc w:val="center"/>
              <w:rPr>
                <w:color w:val="000000"/>
                <w:sz w:val="18"/>
                <w:szCs w:val="18"/>
              </w:rPr>
            </w:pPr>
            <w:r w:rsidRPr="001B4CA2">
              <w:rPr>
                <w:color w:val="000000"/>
                <w:sz w:val="18"/>
                <w:szCs w:val="18"/>
              </w:rPr>
              <w:t>24,6</w:t>
            </w:r>
          </w:p>
        </w:tc>
      </w:tr>
      <w:tr w:rsidR="000740F7" w:rsidRPr="001B4CA2" w14:paraId="1DDA1BC9" w14:textId="77777777" w:rsidTr="00100365">
        <w:trPr>
          <w:trHeight w:val="326"/>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8985"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2019.</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56209CF7"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28DEA" w14:textId="77777777" w:rsidR="000740F7" w:rsidRPr="001B4CA2" w:rsidRDefault="000740F7" w:rsidP="006D0A51">
            <w:pPr>
              <w:jc w:val="center"/>
              <w:rPr>
                <w:color w:val="000000"/>
                <w:sz w:val="18"/>
                <w:szCs w:val="18"/>
              </w:rPr>
            </w:pPr>
            <w:r w:rsidRPr="001B4CA2">
              <w:rPr>
                <w:color w:val="000000"/>
                <w:sz w:val="18"/>
                <w:szCs w:val="18"/>
              </w:rPr>
              <w:t>102.525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7B3035" w14:textId="77777777" w:rsidR="000740F7" w:rsidRPr="001B4CA2" w:rsidRDefault="000740F7" w:rsidP="006D0A51">
            <w:pPr>
              <w:jc w:val="center"/>
              <w:rPr>
                <w:color w:val="000000"/>
                <w:sz w:val="18"/>
                <w:szCs w:val="18"/>
              </w:rPr>
            </w:pPr>
            <w:r w:rsidRPr="001B4CA2">
              <w:rPr>
                <w:color w:val="000000"/>
                <w:sz w:val="18"/>
                <w:szCs w:val="18"/>
              </w:rPr>
              <w:t>104.357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2F5582A" w14:textId="77777777" w:rsidR="000740F7" w:rsidRPr="001B4CA2" w:rsidRDefault="000740F7" w:rsidP="006D0A51">
            <w:pPr>
              <w:jc w:val="center"/>
              <w:rPr>
                <w:color w:val="000000"/>
                <w:sz w:val="18"/>
                <w:szCs w:val="18"/>
              </w:rPr>
            </w:pPr>
            <w:r w:rsidRPr="001B4CA2">
              <w:rPr>
                <w:color w:val="000000"/>
                <w:sz w:val="18"/>
                <w:szCs w:val="18"/>
              </w:rPr>
              <w:t>35.807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442749" w14:textId="77777777" w:rsidR="000740F7" w:rsidRPr="001B4CA2" w:rsidRDefault="000740F7" w:rsidP="006D0A51">
            <w:pPr>
              <w:jc w:val="center"/>
              <w:rPr>
                <w:color w:val="000000"/>
                <w:sz w:val="18"/>
                <w:szCs w:val="18"/>
              </w:rPr>
            </w:pPr>
            <w:r w:rsidRPr="001B4CA2">
              <w:rPr>
                <w:color w:val="000000"/>
                <w:sz w:val="18"/>
                <w:szCs w:val="18"/>
              </w:rPr>
              <w:t>102%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6A4082A" w14:textId="77777777" w:rsidR="000740F7" w:rsidRPr="001B4CA2" w:rsidRDefault="000740F7" w:rsidP="006D0A51">
            <w:pPr>
              <w:jc w:val="center"/>
              <w:rPr>
                <w:color w:val="000000"/>
                <w:sz w:val="18"/>
                <w:szCs w:val="18"/>
              </w:rPr>
            </w:pPr>
            <w:r w:rsidRPr="001B4CA2">
              <w:rPr>
                <w:color w:val="000000"/>
                <w:sz w:val="18"/>
                <w:szCs w:val="18"/>
              </w:rPr>
              <w:t>125,2</w:t>
            </w:r>
          </w:p>
        </w:tc>
      </w:tr>
      <w:tr w:rsidR="000740F7" w:rsidRPr="001B4CA2" w14:paraId="6B0B0985" w14:textId="77777777" w:rsidTr="00100365">
        <w:trPr>
          <w:trHeight w:val="326"/>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5368B068" w14:textId="77777777" w:rsidR="000740F7" w:rsidRPr="001B4CA2" w:rsidRDefault="000740F7" w:rsidP="006D0A51">
            <w:pPr>
              <w:jc w:val="center"/>
              <w:rPr>
                <w:rFonts w:eastAsia="Times New Roman"/>
                <w:sz w:val="18"/>
                <w:szCs w:val="18"/>
                <w:lang w:eastAsia="hr-HR"/>
              </w:rPr>
            </w:pP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72445D12"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36CD5" w14:textId="77777777" w:rsidR="000740F7" w:rsidRPr="001B4CA2" w:rsidRDefault="000740F7" w:rsidP="006D0A51">
            <w:pPr>
              <w:jc w:val="center"/>
              <w:rPr>
                <w:color w:val="000000"/>
                <w:sz w:val="18"/>
                <w:szCs w:val="18"/>
              </w:rPr>
            </w:pPr>
            <w:r w:rsidRPr="001B4CA2">
              <w:rPr>
                <w:color w:val="000000"/>
                <w:sz w:val="18"/>
                <w:szCs w:val="18"/>
              </w:rPr>
              <w:t>74.704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62F36E" w14:textId="77777777" w:rsidR="000740F7" w:rsidRPr="001B4CA2" w:rsidRDefault="000740F7" w:rsidP="006D0A51">
            <w:pPr>
              <w:jc w:val="center"/>
              <w:rPr>
                <w:color w:val="000000"/>
                <w:sz w:val="18"/>
                <w:szCs w:val="18"/>
              </w:rPr>
            </w:pPr>
            <w:r w:rsidRPr="001B4CA2">
              <w:rPr>
                <w:color w:val="000000"/>
                <w:sz w:val="18"/>
                <w:szCs w:val="18"/>
              </w:rPr>
              <w:t>75.080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021AAD0" w14:textId="77777777" w:rsidR="000740F7" w:rsidRPr="001B4CA2" w:rsidRDefault="000740F7" w:rsidP="006D0A51">
            <w:pPr>
              <w:jc w:val="center"/>
              <w:rPr>
                <w:color w:val="000000"/>
                <w:sz w:val="18"/>
                <w:szCs w:val="18"/>
              </w:rPr>
            </w:pPr>
            <w:r w:rsidRPr="001B4CA2">
              <w:rPr>
                <w:color w:val="000000"/>
                <w:sz w:val="18"/>
                <w:szCs w:val="18"/>
              </w:rPr>
              <w:t>5.133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A2BDF6" w14:textId="77777777" w:rsidR="000740F7" w:rsidRPr="001B4CA2" w:rsidRDefault="000740F7" w:rsidP="006D0A51">
            <w:pPr>
              <w:jc w:val="center"/>
              <w:rPr>
                <w:color w:val="000000"/>
                <w:sz w:val="18"/>
                <w:szCs w:val="18"/>
              </w:rPr>
            </w:pPr>
            <w:r w:rsidRPr="001B4CA2">
              <w:rPr>
                <w:color w:val="000000"/>
                <w:sz w:val="18"/>
                <w:szCs w:val="18"/>
              </w:rPr>
              <w:t>101%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C5E5C63" w14:textId="77777777" w:rsidR="000740F7" w:rsidRPr="001B4CA2" w:rsidRDefault="000740F7" w:rsidP="006D0A51">
            <w:pPr>
              <w:jc w:val="center"/>
              <w:rPr>
                <w:color w:val="000000"/>
                <w:sz w:val="18"/>
                <w:szCs w:val="18"/>
              </w:rPr>
            </w:pPr>
            <w:r w:rsidRPr="001B4CA2">
              <w:rPr>
                <w:color w:val="000000"/>
                <w:sz w:val="18"/>
                <w:szCs w:val="18"/>
              </w:rPr>
              <w:t>25,0</w:t>
            </w:r>
          </w:p>
        </w:tc>
      </w:tr>
      <w:tr w:rsidR="000740F7" w:rsidRPr="001B4CA2" w14:paraId="79B98AC4" w14:textId="77777777" w:rsidTr="00100365">
        <w:trPr>
          <w:trHeight w:val="326"/>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91F11"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2020.</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3EA98A72"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104E5" w14:textId="77777777" w:rsidR="000740F7" w:rsidRPr="001B4CA2" w:rsidRDefault="000740F7" w:rsidP="006D0A51">
            <w:pPr>
              <w:jc w:val="center"/>
              <w:rPr>
                <w:color w:val="000000"/>
                <w:sz w:val="18"/>
                <w:szCs w:val="18"/>
              </w:rPr>
            </w:pPr>
            <w:r w:rsidRPr="001B4CA2">
              <w:rPr>
                <w:color w:val="000000"/>
                <w:sz w:val="18"/>
                <w:szCs w:val="18"/>
              </w:rPr>
              <w:t>137.268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89571A0" w14:textId="77777777" w:rsidR="000740F7" w:rsidRPr="001B4CA2" w:rsidRDefault="000740F7" w:rsidP="006D0A51">
            <w:pPr>
              <w:jc w:val="center"/>
              <w:rPr>
                <w:color w:val="000000"/>
                <w:sz w:val="18"/>
                <w:szCs w:val="18"/>
              </w:rPr>
            </w:pPr>
            <w:r w:rsidRPr="001B4CA2">
              <w:rPr>
                <w:color w:val="000000"/>
                <w:sz w:val="18"/>
                <w:szCs w:val="18"/>
              </w:rPr>
              <w:t>136.291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34D5F3" w14:textId="77777777" w:rsidR="000740F7" w:rsidRPr="001B4CA2" w:rsidRDefault="000740F7" w:rsidP="006D0A51">
            <w:pPr>
              <w:jc w:val="center"/>
              <w:rPr>
                <w:color w:val="000000"/>
                <w:sz w:val="18"/>
                <w:szCs w:val="18"/>
              </w:rPr>
            </w:pPr>
            <w:r w:rsidRPr="001B4CA2">
              <w:rPr>
                <w:color w:val="000000"/>
                <w:sz w:val="18"/>
                <w:szCs w:val="18"/>
              </w:rPr>
              <w:t>35.458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E00A869" w14:textId="77777777" w:rsidR="000740F7" w:rsidRPr="001B4CA2" w:rsidRDefault="000740F7" w:rsidP="006D0A51">
            <w:pPr>
              <w:jc w:val="center"/>
              <w:rPr>
                <w:color w:val="000000"/>
                <w:sz w:val="18"/>
                <w:szCs w:val="18"/>
              </w:rPr>
            </w:pPr>
            <w:r w:rsidRPr="001B4CA2">
              <w:rPr>
                <w:color w:val="000000"/>
                <w:sz w:val="18"/>
                <w:szCs w:val="18"/>
              </w:rPr>
              <w:t>99%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A49BBE0" w14:textId="77777777" w:rsidR="000740F7" w:rsidRPr="001B4CA2" w:rsidRDefault="000740F7" w:rsidP="006D0A51">
            <w:pPr>
              <w:jc w:val="center"/>
              <w:rPr>
                <w:color w:val="000000"/>
                <w:sz w:val="18"/>
                <w:szCs w:val="18"/>
              </w:rPr>
            </w:pPr>
            <w:r w:rsidRPr="001B4CA2">
              <w:rPr>
                <w:color w:val="000000"/>
                <w:sz w:val="18"/>
                <w:szCs w:val="18"/>
              </w:rPr>
              <w:t>95,0</w:t>
            </w:r>
          </w:p>
        </w:tc>
      </w:tr>
      <w:tr w:rsidR="000740F7" w:rsidRPr="001B4CA2" w14:paraId="57240315" w14:textId="77777777" w:rsidTr="00100365">
        <w:trPr>
          <w:trHeight w:val="326"/>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5E0D6DEC" w14:textId="77777777" w:rsidR="000740F7" w:rsidRPr="001B4CA2" w:rsidRDefault="000740F7" w:rsidP="006D0A51">
            <w:pPr>
              <w:jc w:val="center"/>
              <w:rPr>
                <w:rFonts w:eastAsia="Times New Roman"/>
                <w:sz w:val="18"/>
                <w:szCs w:val="18"/>
                <w:lang w:eastAsia="hr-HR"/>
              </w:rPr>
            </w:pP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443EE627"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043D4" w14:textId="77777777" w:rsidR="000740F7" w:rsidRPr="001B4CA2" w:rsidRDefault="000740F7" w:rsidP="006D0A51">
            <w:pPr>
              <w:jc w:val="center"/>
              <w:rPr>
                <w:color w:val="000000"/>
                <w:sz w:val="18"/>
                <w:szCs w:val="18"/>
              </w:rPr>
            </w:pPr>
            <w:r w:rsidRPr="001B4CA2">
              <w:rPr>
                <w:color w:val="000000"/>
                <w:sz w:val="18"/>
                <w:szCs w:val="18"/>
              </w:rPr>
              <w:t> 75.981</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06F7CD" w14:textId="77777777" w:rsidR="000740F7" w:rsidRPr="001B4CA2" w:rsidRDefault="000740F7" w:rsidP="006D0A51">
            <w:pPr>
              <w:jc w:val="center"/>
              <w:rPr>
                <w:color w:val="000000"/>
                <w:sz w:val="18"/>
                <w:szCs w:val="18"/>
              </w:rPr>
            </w:pPr>
            <w:r w:rsidRPr="001B4CA2">
              <w:rPr>
                <w:color w:val="000000"/>
                <w:sz w:val="18"/>
                <w:szCs w:val="18"/>
              </w:rPr>
              <w:t>76.980 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5D60DE" w14:textId="77777777" w:rsidR="000740F7" w:rsidRPr="001B4CA2" w:rsidRDefault="000740F7" w:rsidP="006D0A51">
            <w:pPr>
              <w:jc w:val="center"/>
              <w:rPr>
                <w:color w:val="000000"/>
                <w:sz w:val="18"/>
                <w:szCs w:val="18"/>
              </w:rPr>
            </w:pPr>
            <w:r w:rsidRPr="001B4CA2">
              <w:rPr>
                <w:color w:val="000000"/>
                <w:sz w:val="18"/>
                <w:szCs w:val="18"/>
              </w:rPr>
              <w:t>5.507 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5A05FB" w14:textId="77777777" w:rsidR="000740F7" w:rsidRPr="001B4CA2" w:rsidRDefault="000740F7" w:rsidP="006D0A51">
            <w:pPr>
              <w:jc w:val="center"/>
              <w:rPr>
                <w:color w:val="000000"/>
                <w:sz w:val="18"/>
                <w:szCs w:val="18"/>
              </w:rPr>
            </w:pPr>
            <w:r w:rsidRPr="001B4CA2">
              <w:rPr>
                <w:color w:val="000000"/>
                <w:sz w:val="18"/>
                <w:szCs w:val="18"/>
              </w:rPr>
              <w:t>101%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6A44626" w14:textId="77777777" w:rsidR="000740F7" w:rsidRPr="001B4CA2" w:rsidRDefault="000740F7" w:rsidP="006D0A51">
            <w:pPr>
              <w:jc w:val="center"/>
              <w:rPr>
                <w:color w:val="000000"/>
                <w:sz w:val="18"/>
                <w:szCs w:val="18"/>
              </w:rPr>
            </w:pPr>
            <w:r w:rsidRPr="001B4CA2">
              <w:rPr>
                <w:color w:val="000000"/>
                <w:sz w:val="18"/>
                <w:szCs w:val="18"/>
              </w:rPr>
              <w:t>26,1 </w:t>
            </w:r>
          </w:p>
        </w:tc>
      </w:tr>
      <w:tr w:rsidR="000740F7" w:rsidRPr="001B4CA2" w14:paraId="5B1D53DE" w14:textId="77777777" w:rsidTr="00100365">
        <w:trPr>
          <w:trHeight w:val="326"/>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73052"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2021.</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12257EA7"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87D5F" w14:textId="77777777" w:rsidR="000740F7" w:rsidRPr="001B4CA2" w:rsidRDefault="000740F7" w:rsidP="006D0A51">
            <w:pPr>
              <w:jc w:val="center"/>
              <w:rPr>
                <w:color w:val="000000"/>
                <w:sz w:val="18"/>
                <w:szCs w:val="18"/>
              </w:rPr>
            </w:pPr>
            <w:r w:rsidRPr="001B4CA2">
              <w:rPr>
                <w:color w:val="000000"/>
                <w:sz w:val="18"/>
                <w:szCs w:val="18"/>
              </w:rPr>
              <w:t>104.660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6E81E7" w14:textId="77777777" w:rsidR="000740F7" w:rsidRPr="001B4CA2" w:rsidRDefault="000740F7" w:rsidP="006D0A51">
            <w:pPr>
              <w:jc w:val="center"/>
              <w:rPr>
                <w:color w:val="000000"/>
                <w:sz w:val="18"/>
                <w:szCs w:val="18"/>
              </w:rPr>
            </w:pPr>
            <w:r w:rsidRPr="001B4CA2">
              <w:rPr>
                <w:color w:val="000000"/>
                <w:sz w:val="18"/>
                <w:szCs w:val="18"/>
              </w:rPr>
              <w:t>104.244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A7A2CF9" w14:textId="77777777" w:rsidR="000740F7" w:rsidRPr="001B4CA2" w:rsidRDefault="000740F7" w:rsidP="006D0A51">
            <w:pPr>
              <w:jc w:val="center"/>
              <w:rPr>
                <w:color w:val="000000"/>
                <w:sz w:val="18"/>
                <w:szCs w:val="18"/>
              </w:rPr>
            </w:pPr>
            <w:r w:rsidRPr="001B4CA2">
              <w:rPr>
                <w:color w:val="000000"/>
                <w:sz w:val="18"/>
                <w:szCs w:val="18"/>
              </w:rPr>
              <w:t>31.188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C1C0CD3" w14:textId="77777777" w:rsidR="000740F7" w:rsidRPr="001B4CA2" w:rsidRDefault="000740F7" w:rsidP="006D0A51">
            <w:pPr>
              <w:jc w:val="center"/>
              <w:rPr>
                <w:color w:val="000000"/>
                <w:sz w:val="18"/>
                <w:szCs w:val="18"/>
              </w:rPr>
            </w:pPr>
            <w:r w:rsidRPr="001B4CA2">
              <w:rPr>
                <w:color w:val="000000"/>
                <w:sz w:val="18"/>
                <w:szCs w:val="18"/>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B24BAC1" w14:textId="77777777" w:rsidR="000740F7" w:rsidRPr="001B4CA2" w:rsidRDefault="000740F7" w:rsidP="006D0A51">
            <w:pPr>
              <w:jc w:val="center"/>
              <w:rPr>
                <w:color w:val="000000"/>
                <w:sz w:val="18"/>
                <w:szCs w:val="18"/>
              </w:rPr>
            </w:pPr>
            <w:r w:rsidRPr="001B4CA2">
              <w:rPr>
                <w:color w:val="000000"/>
                <w:sz w:val="18"/>
                <w:szCs w:val="18"/>
              </w:rPr>
              <w:t>109,2</w:t>
            </w:r>
          </w:p>
        </w:tc>
      </w:tr>
      <w:tr w:rsidR="000740F7" w:rsidRPr="001B4CA2" w14:paraId="56BC57BA" w14:textId="77777777" w:rsidTr="00100365">
        <w:trPr>
          <w:trHeight w:val="326"/>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0F275467" w14:textId="77777777" w:rsidR="000740F7" w:rsidRPr="001B4CA2" w:rsidRDefault="000740F7" w:rsidP="006D0A51">
            <w:pPr>
              <w:jc w:val="center"/>
              <w:rPr>
                <w:rFonts w:eastAsia="Times New Roman"/>
                <w:sz w:val="18"/>
                <w:szCs w:val="18"/>
                <w:lang w:eastAsia="hr-HR"/>
              </w:rPr>
            </w:pP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72DDA458"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6B543" w14:textId="77777777" w:rsidR="000740F7" w:rsidRPr="001B4CA2" w:rsidRDefault="000740F7" w:rsidP="006D0A51">
            <w:pPr>
              <w:jc w:val="center"/>
              <w:rPr>
                <w:color w:val="000000"/>
                <w:sz w:val="18"/>
                <w:szCs w:val="18"/>
              </w:rPr>
            </w:pPr>
            <w:r w:rsidRPr="001B4CA2">
              <w:rPr>
                <w:color w:val="000000"/>
                <w:sz w:val="18"/>
                <w:szCs w:val="18"/>
              </w:rPr>
              <w:t>77.690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2949765" w14:textId="77777777" w:rsidR="000740F7" w:rsidRPr="001B4CA2" w:rsidRDefault="000740F7" w:rsidP="006D0A51">
            <w:pPr>
              <w:jc w:val="center"/>
              <w:rPr>
                <w:color w:val="000000"/>
                <w:sz w:val="18"/>
                <w:szCs w:val="18"/>
              </w:rPr>
            </w:pPr>
            <w:r w:rsidRPr="001B4CA2">
              <w:rPr>
                <w:color w:val="000000"/>
                <w:sz w:val="18"/>
                <w:szCs w:val="18"/>
              </w:rPr>
              <w:t>78.699</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980BF2E" w14:textId="77777777" w:rsidR="000740F7" w:rsidRPr="001B4CA2" w:rsidRDefault="000740F7" w:rsidP="006D0A51">
            <w:pPr>
              <w:jc w:val="center"/>
              <w:rPr>
                <w:color w:val="000000"/>
                <w:sz w:val="18"/>
                <w:szCs w:val="18"/>
              </w:rPr>
            </w:pPr>
            <w:r w:rsidRPr="001B4CA2">
              <w:rPr>
                <w:color w:val="000000"/>
                <w:sz w:val="18"/>
                <w:szCs w:val="18"/>
              </w:rPr>
              <w:t>3.549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B33181C" w14:textId="77777777" w:rsidR="000740F7" w:rsidRPr="001B4CA2" w:rsidRDefault="000740F7" w:rsidP="006D0A51">
            <w:pPr>
              <w:jc w:val="center"/>
              <w:rPr>
                <w:color w:val="000000"/>
                <w:sz w:val="18"/>
                <w:szCs w:val="18"/>
              </w:rPr>
            </w:pPr>
            <w:r w:rsidRPr="001B4CA2">
              <w:rPr>
                <w:color w:val="000000"/>
                <w:sz w:val="18"/>
                <w:szCs w:val="18"/>
              </w:rPr>
              <w:t>101%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230D731" w14:textId="77777777" w:rsidR="000740F7" w:rsidRPr="001B4CA2" w:rsidRDefault="000740F7" w:rsidP="006D0A51">
            <w:pPr>
              <w:jc w:val="center"/>
              <w:rPr>
                <w:color w:val="000000"/>
                <w:sz w:val="18"/>
                <w:szCs w:val="18"/>
              </w:rPr>
            </w:pPr>
            <w:r w:rsidRPr="001B4CA2">
              <w:rPr>
                <w:color w:val="000000"/>
                <w:sz w:val="18"/>
                <w:szCs w:val="18"/>
              </w:rPr>
              <w:t>16,5</w:t>
            </w:r>
          </w:p>
        </w:tc>
      </w:tr>
      <w:tr w:rsidR="000740F7" w:rsidRPr="001B4CA2" w14:paraId="3CE9DE91" w14:textId="77777777" w:rsidTr="00100365">
        <w:trPr>
          <w:trHeight w:val="326"/>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E6E30"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2022.</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1755E555"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BA2B4" w14:textId="77777777" w:rsidR="000740F7" w:rsidRPr="001B4CA2" w:rsidRDefault="000740F7" w:rsidP="006D0A51">
            <w:pPr>
              <w:jc w:val="center"/>
              <w:rPr>
                <w:color w:val="000000"/>
                <w:sz w:val="18"/>
                <w:szCs w:val="18"/>
              </w:rPr>
            </w:pPr>
            <w:r w:rsidRPr="001B4CA2">
              <w:rPr>
                <w:color w:val="000000"/>
                <w:sz w:val="18"/>
                <w:szCs w:val="18"/>
              </w:rPr>
              <w:t>105.526</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1ADAF67" w14:textId="77777777" w:rsidR="000740F7" w:rsidRPr="001B4CA2" w:rsidRDefault="000740F7" w:rsidP="006D0A51">
            <w:pPr>
              <w:jc w:val="center"/>
              <w:rPr>
                <w:color w:val="000000"/>
                <w:sz w:val="18"/>
                <w:szCs w:val="18"/>
              </w:rPr>
            </w:pPr>
            <w:r w:rsidRPr="001B4CA2">
              <w:rPr>
                <w:color w:val="000000"/>
                <w:sz w:val="18"/>
                <w:szCs w:val="18"/>
              </w:rPr>
              <w:t>100.633</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2EDE5C" w14:textId="77777777" w:rsidR="000740F7" w:rsidRPr="001B4CA2" w:rsidRDefault="000740F7" w:rsidP="006D0A51">
            <w:pPr>
              <w:jc w:val="center"/>
              <w:rPr>
                <w:color w:val="000000"/>
                <w:sz w:val="18"/>
                <w:szCs w:val="18"/>
              </w:rPr>
            </w:pPr>
            <w:r w:rsidRPr="001B4CA2">
              <w:rPr>
                <w:color w:val="000000"/>
                <w:sz w:val="18"/>
                <w:szCs w:val="18"/>
              </w:rPr>
              <w:t>36.418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151E08" w14:textId="77777777" w:rsidR="000740F7" w:rsidRPr="001B4CA2" w:rsidRDefault="000740F7" w:rsidP="006D0A51">
            <w:pPr>
              <w:jc w:val="center"/>
              <w:rPr>
                <w:color w:val="000000"/>
                <w:sz w:val="18"/>
                <w:szCs w:val="18"/>
              </w:rPr>
            </w:pPr>
            <w:r w:rsidRPr="001B4CA2">
              <w:rPr>
                <w:color w:val="000000"/>
                <w:sz w:val="18"/>
                <w:szCs w:val="18"/>
              </w:rPr>
              <w:t>95%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2DCBA3" w14:textId="77777777" w:rsidR="000740F7" w:rsidRPr="001B4CA2" w:rsidRDefault="000740F7" w:rsidP="006D0A51">
            <w:pPr>
              <w:jc w:val="center"/>
              <w:rPr>
                <w:color w:val="000000"/>
                <w:sz w:val="18"/>
                <w:szCs w:val="18"/>
              </w:rPr>
            </w:pPr>
            <w:r w:rsidRPr="001B4CA2">
              <w:rPr>
                <w:color w:val="000000"/>
                <w:sz w:val="18"/>
                <w:szCs w:val="18"/>
              </w:rPr>
              <w:t>132,1</w:t>
            </w:r>
          </w:p>
        </w:tc>
      </w:tr>
      <w:tr w:rsidR="000740F7" w:rsidRPr="001B4CA2" w14:paraId="5708437A" w14:textId="77777777" w:rsidTr="00100365">
        <w:trPr>
          <w:trHeight w:val="326"/>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730C3CE9" w14:textId="77777777" w:rsidR="000740F7" w:rsidRPr="001B4CA2" w:rsidRDefault="000740F7" w:rsidP="006D0A51">
            <w:pPr>
              <w:jc w:val="center"/>
              <w:rPr>
                <w:rFonts w:eastAsia="Times New Roman"/>
                <w:sz w:val="18"/>
                <w:szCs w:val="18"/>
                <w:lang w:eastAsia="hr-HR"/>
              </w:rPr>
            </w:pP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14:paraId="3789A77D"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B2F2B" w14:textId="77777777" w:rsidR="000740F7" w:rsidRPr="001B4CA2" w:rsidRDefault="000740F7" w:rsidP="006D0A51">
            <w:pPr>
              <w:jc w:val="center"/>
              <w:rPr>
                <w:color w:val="000000"/>
                <w:sz w:val="18"/>
                <w:szCs w:val="18"/>
              </w:rPr>
            </w:pPr>
            <w:r w:rsidRPr="001B4CA2">
              <w:rPr>
                <w:color w:val="000000"/>
                <w:sz w:val="18"/>
                <w:szCs w:val="18"/>
              </w:rPr>
              <w:t>62.074</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7D4668" w14:textId="77777777" w:rsidR="000740F7" w:rsidRPr="001B4CA2" w:rsidRDefault="000740F7" w:rsidP="006D0A51">
            <w:pPr>
              <w:jc w:val="center"/>
              <w:rPr>
                <w:color w:val="000000"/>
                <w:sz w:val="18"/>
                <w:szCs w:val="18"/>
              </w:rPr>
            </w:pPr>
            <w:r w:rsidRPr="001B4CA2">
              <w:rPr>
                <w:color w:val="000000"/>
                <w:sz w:val="18"/>
                <w:szCs w:val="18"/>
              </w:rPr>
              <w:t>62.560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02F00E" w14:textId="77777777" w:rsidR="000740F7" w:rsidRPr="001B4CA2" w:rsidRDefault="000740F7" w:rsidP="006D0A51">
            <w:pPr>
              <w:jc w:val="center"/>
              <w:rPr>
                <w:color w:val="000000"/>
                <w:sz w:val="18"/>
                <w:szCs w:val="18"/>
              </w:rPr>
            </w:pPr>
            <w:r w:rsidRPr="001B4CA2">
              <w:rPr>
                <w:color w:val="000000"/>
                <w:sz w:val="18"/>
                <w:szCs w:val="18"/>
              </w:rPr>
              <w:t>2.688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7C00EB2" w14:textId="77777777" w:rsidR="000740F7" w:rsidRPr="001B4CA2" w:rsidRDefault="000740F7" w:rsidP="006D0A51">
            <w:pPr>
              <w:jc w:val="center"/>
              <w:rPr>
                <w:color w:val="000000"/>
                <w:sz w:val="18"/>
                <w:szCs w:val="18"/>
              </w:rPr>
            </w:pPr>
            <w:r w:rsidRPr="001B4CA2">
              <w:rPr>
                <w:color w:val="000000"/>
                <w:sz w:val="18"/>
                <w:szCs w:val="18"/>
              </w:rPr>
              <w:t>101%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0092B0" w14:textId="77777777" w:rsidR="000740F7" w:rsidRPr="001B4CA2" w:rsidRDefault="000740F7" w:rsidP="006D0A51">
            <w:pPr>
              <w:jc w:val="center"/>
              <w:rPr>
                <w:color w:val="000000"/>
                <w:sz w:val="18"/>
                <w:szCs w:val="18"/>
              </w:rPr>
            </w:pPr>
            <w:r w:rsidRPr="001B4CA2">
              <w:rPr>
                <w:color w:val="000000"/>
                <w:sz w:val="18"/>
                <w:szCs w:val="18"/>
              </w:rPr>
              <w:t>15,7</w:t>
            </w:r>
          </w:p>
        </w:tc>
      </w:tr>
    </w:tbl>
    <w:p w14:paraId="73117B7B" w14:textId="77777777" w:rsidR="000740F7" w:rsidRPr="001B4CA2" w:rsidRDefault="000740F7" w:rsidP="000740F7">
      <w:pPr>
        <w:rPr>
          <w:rFonts w:eastAsia="Calibri"/>
        </w:rPr>
      </w:pPr>
    </w:p>
    <w:p w14:paraId="00BB0790" w14:textId="75F7C17D" w:rsidR="000740F7" w:rsidRPr="001B4CA2" w:rsidRDefault="000740F7" w:rsidP="000740F7">
      <w:pPr>
        <w:ind w:firstLine="709"/>
      </w:pPr>
      <w:r w:rsidRPr="001B4CA2">
        <w:t>Iz tabličnog prikaza vidljivo je da državna odvjetništva imaju u radu više kaznenih predmeta nego građanskih i upravnih predmeta</w:t>
      </w:r>
      <w:r w:rsidR="00727861">
        <w:t xml:space="preserve"> te</w:t>
      </w:r>
      <w:r w:rsidRPr="001B4CA2">
        <w:t xml:space="preserve"> da je s obzirom na broj predmeta u radu ažurnost kaznenih odjela 95 %, a građanskih odjela 101 %, dakle</w:t>
      </w:r>
      <w:r w:rsidR="00727861">
        <w:t>,</w:t>
      </w:r>
      <w:r w:rsidRPr="001B4CA2">
        <w:t xml:space="preserve"> zadržana je visoka ažurnost obaju odjela </w:t>
      </w:r>
      <w:r w:rsidR="00727861">
        <w:t>koja</w:t>
      </w:r>
      <w:r w:rsidRPr="001B4CA2">
        <w:t xml:space="preserve"> iznosi 97,5 %. </w:t>
      </w:r>
    </w:p>
    <w:p w14:paraId="45C8E286" w14:textId="29CA13F4" w:rsidR="000740F7" w:rsidRPr="001B4CA2" w:rsidRDefault="000740F7" w:rsidP="000740F7"/>
    <w:p w14:paraId="486C42F2" w14:textId="77777777" w:rsidR="00257FA8" w:rsidRPr="001B4CA2" w:rsidRDefault="00257FA8" w:rsidP="000740F7"/>
    <w:tbl>
      <w:tblPr>
        <w:tblW w:w="8564" w:type="dxa"/>
        <w:tblInd w:w="250" w:type="dxa"/>
        <w:tblLayout w:type="fixed"/>
        <w:tblLook w:val="04A0" w:firstRow="1" w:lastRow="0" w:firstColumn="1" w:lastColumn="0" w:noHBand="0" w:noVBand="1"/>
      </w:tblPr>
      <w:tblGrid>
        <w:gridCol w:w="836"/>
        <w:gridCol w:w="1073"/>
        <w:gridCol w:w="1557"/>
        <w:gridCol w:w="1558"/>
        <w:gridCol w:w="1558"/>
        <w:gridCol w:w="1073"/>
        <w:gridCol w:w="909"/>
      </w:tblGrid>
      <w:tr w:rsidR="000740F7" w:rsidRPr="001B4CA2" w14:paraId="133AAE41" w14:textId="77777777" w:rsidTr="000740F7">
        <w:trPr>
          <w:trHeight w:val="332"/>
        </w:trPr>
        <w:tc>
          <w:tcPr>
            <w:tcW w:w="8564" w:type="dxa"/>
            <w:gridSpan w:val="7"/>
            <w:tcBorders>
              <w:top w:val="nil"/>
              <w:left w:val="nil"/>
              <w:bottom w:val="single" w:sz="4" w:space="0" w:color="auto"/>
              <w:right w:val="nil"/>
            </w:tcBorders>
            <w:shd w:val="clear" w:color="auto" w:fill="auto"/>
            <w:noWrap/>
            <w:vAlign w:val="center"/>
            <w:hideMark/>
          </w:tcPr>
          <w:p w14:paraId="46A7176E" w14:textId="77777777" w:rsidR="000740F7" w:rsidRPr="001B4CA2" w:rsidRDefault="000740F7" w:rsidP="006D0A51">
            <w:pPr>
              <w:jc w:val="left"/>
              <w:rPr>
                <w:rFonts w:eastAsia="Times New Roman"/>
                <w:i/>
                <w:iCs/>
                <w:lang w:eastAsia="hr-HR"/>
              </w:rPr>
            </w:pPr>
            <w:r w:rsidRPr="001B4CA2">
              <w:rPr>
                <w:rFonts w:eastAsia="Times New Roman"/>
                <w:i/>
                <w:iCs/>
                <w:lang w:eastAsia="hr-HR"/>
              </w:rPr>
              <w:lastRenderedPageBreak/>
              <w:t>Kretanje predmeta u županijskim državnim odvjetništvima po vrsti predmeta s indikatorima</w:t>
            </w:r>
          </w:p>
        </w:tc>
      </w:tr>
      <w:tr w:rsidR="000740F7" w:rsidRPr="001B4CA2" w14:paraId="1C5BB86E" w14:textId="77777777" w:rsidTr="00100365">
        <w:trPr>
          <w:trHeight w:val="647"/>
        </w:trPr>
        <w:tc>
          <w:tcPr>
            <w:tcW w:w="836"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4D3BBE8B"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 xml:space="preserve">Godina </w:t>
            </w:r>
          </w:p>
        </w:tc>
        <w:tc>
          <w:tcPr>
            <w:tcW w:w="1073" w:type="dxa"/>
            <w:tcBorders>
              <w:top w:val="single" w:sz="4" w:space="0" w:color="auto"/>
              <w:left w:val="nil"/>
              <w:bottom w:val="single" w:sz="4" w:space="0" w:color="auto"/>
              <w:right w:val="single" w:sz="4" w:space="0" w:color="auto"/>
            </w:tcBorders>
            <w:shd w:val="clear" w:color="000000" w:fill="99CCFF"/>
            <w:vAlign w:val="center"/>
            <w:hideMark/>
          </w:tcPr>
          <w:p w14:paraId="0809A68D"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ŽDO</w:t>
            </w:r>
          </w:p>
        </w:tc>
        <w:tc>
          <w:tcPr>
            <w:tcW w:w="1557" w:type="dxa"/>
            <w:tcBorders>
              <w:top w:val="single" w:sz="4" w:space="0" w:color="auto"/>
              <w:left w:val="nil"/>
              <w:bottom w:val="single" w:sz="4" w:space="0" w:color="auto"/>
              <w:right w:val="single" w:sz="4" w:space="0" w:color="auto"/>
            </w:tcBorders>
            <w:shd w:val="clear" w:color="000000" w:fill="99CCFF"/>
            <w:vAlign w:val="center"/>
            <w:hideMark/>
          </w:tcPr>
          <w:p w14:paraId="754730B5"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 xml:space="preserve">Primljeno </w:t>
            </w:r>
          </w:p>
        </w:tc>
        <w:tc>
          <w:tcPr>
            <w:tcW w:w="1558" w:type="dxa"/>
            <w:tcBorders>
              <w:top w:val="single" w:sz="4" w:space="0" w:color="auto"/>
              <w:left w:val="nil"/>
              <w:bottom w:val="single" w:sz="4" w:space="0" w:color="auto"/>
              <w:right w:val="single" w:sz="4" w:space="0" w:color="auto"/>
            </w:tcBorders>
            <w:shd w:val="clear" w:color="000000" w:fill="99CCFF"/>
            <w:noWrap/>
            <w:vAlign w:val="center"/>
            <w:hideMark/>
          </w:tcPr>
          <w:p w14:paraId="47248684"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 xml:space="preserve">Riješeno </w:t>
            </w:r>
          </w:p>
        </w:tc>
        <w:tc>
          <w:tcPr>
            <w:tcW w:w="1558" w:type="dxa"/>
            <w:tcBorders>
              <w:top w:val="single" w:sz="4" w:space="0" w:color="auto"/>
              <w:left w:val="nil"/>
              <w:bottom w:val="single" w:sz="4" w:space="0" w:color="auto"/>
              <w:right w:val="single" w:sz="4" w:space="0" w:color="auto"/>
            </w:tcBorders>
            <w:shd w:val="clear" w:color="000000" w:fill="99CCFF"/>
            <w:noWrap/>
            <w:vAlign w:val="center"/>
            <w:hideMark/>
          </w:tcPr>
          <w:p w14:paraId="5F494C0B"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 xml:space="preserve">Neriješeno </w:t>
            </w:r>
          </w:p>
        </w:tc>
        <w:tc>
          <w:tcPr>
            <w:tcW w:w="1073" w:type="dxa"/>
            <w:tcBorders>
              <w:top w:val="single" w:sz="4" w:space="0" w:color="auto"/>
              <w:left w:val="nil"/>
              <w:bottom w:val="single" w:sz="4" w:space="0" w:color="auto"/>
              <w:right w:val="single" w:sz="4" w:space="0" w:color="auto"/>
            </w:tcBorders>
            <w:shd w:val="clear" w:color="000000" w:fill="99CCFF"/>
            <w:noWrap/>
            <w:vAlign w:val="center"/>
            <w:hideMark/>
          </w:tcPr>
          <w:p w14:paraId="19F736E3"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909" w:type="dxa"/>
            <w:tcBorders>
              <w:top w:val="single" w:sz="4" w:space="0" w:color="auto"/>
              <w:left w:val="nil"/>
              <w:bottom w:val="single" w:sz="4" w:space="0" w:color="auto"/>
              <w:right w:val="single" w:sz="4" w:space="0" w:color="auto"/>
            </w:tcBorders>
            <w:shd w:val="clear" w:color="000000" w:fill="99CCFF"/>
            <w:noWrap/>
            <w:vAlign w:val="center"/>
            <w:hideMark/>
          </w:tcPr>
          <w:p w14:paraId="3C0163BA"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DT</w:t>
            </w:r>
          </w:p>
        </w:tc>
      </w:tr>
      <w:tr w:rsidR="000740F7" w:rsidRPr="001B4CA2" w14:paraId="5AE25AD3" w14:textId="77777777" w:rsidTr="00100365">
        <w:trPr>
          <w:trHeight w:val="332"/>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F0FFB"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2018.</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DD4D69F"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A3B59" w14:textId="77777777" w:rsidR="000740F7" w:rsidRPr="001B4CA2" w:rsidRDefault="000740F7" w:rsidP="006D0A51">
            <w:pPr>
              <w:jc w:val="center"/>
              <w:rPr>
                <w:color w:val="000000"/>
                <w:sz w:val="18"/>
                <w:szCs w:val="18"/>
              </w:rPr>
            </w:pPr>
            <w:r w:rsidRPr="001B4CA2">
              <w:rPr>
                <w:color w:val="000000"/>
                <w:sz w:val="18"/>
                <w:szCs w:val="18"/>
              </w:rPr>
              <w:t>19.070</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0A0397E8" w14:textId="77777777" w:rsidR="000740F7" w:rsidRPr="001B4CA2" w:rsidRDefault="000740F7" w:rsidP="006D0A51">
            <w:pPr>
              <w:jc w:val="center"/>
              <w:rPr>
                <w:color w:val="000000"/>
                <w:sz w:val="18"/>
                <w:szCs w:val="18"/>
              </w:rPr>
            </w:pPr>
            <w:r w:rsidRPr="001B4CA2">
              <w:rPr>
                <w:color w:val="000000"/>
                <w:sz w:val="18"/>
                <w:szCs w:val="18"/>
              </w:rPr>
              <w:t>19.516</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46E75933" w14:textId="77777777" w:rsidR="000740F7" w:rsidRPr="001B4CA2" w:rsidRDefault="000740F7" w:rsidP="006D0A51">
            <w:pPr>
              <w:jc w:val="center"/>
              <w:rPr>
                <w:color w:val="000000"/>
                <w:sz w:val="18"/>
                <w:szCs w:val="18"/>
              </w:rPr>
            </w:pPr>
            <w:r w:rsidRPr="001B4CA2">
              <w:rPr>
                <w:color w:val="000000"/>
                <w:sz w:val="18"/>
                <w:szCs w:val="18"/>
              </w:rPr>
              <w:t>3.808</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3455E307" w14:textId="77777777" w:rsidR="000740F7" w:rsidRPr="001B4CA2" w:rsidRDefault="000740F7" w:rsidP="006D0A51">
            <w:pPr>
              <w:jc w:val="center"/>
              <w:rPr>
                <w:color w:val="000000"/>
                <w:sz w:val="18"/>
                <w:szCs w:val="18"/>
              </w:rPr>
            </w:pPr>
            <w:r w:rsidRPr="001B4CA2">
              <w:rPr>
                <w:color w:val="000000"/>
                <w:sz w:val="18"/>
                <w:szCs w:val="18"/>
              </w:rPr>
              <w:t>102%</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5DF353CA" w14:textId="77777777" w:rsidR="000740F7" w:rsidRPr="001B4CA2" w:rsidRDefault="000740F7" w:rsidP="006D0A51">
            <w:pPr>
              <w:jc w:val="center"/>
              <w:rPr>
                <w:color w:val="000000"/>
                <w:sz w:val="18"/>
                <w:szCs w:val="18"/>
              </w:rPr>
            </w:pPr>
            <w:r w:rsidRPr="001B4CA2">
              <w:rPr>
                <w:color w:val="000000"/>
                <w:sz w:val="18"/>
                <w:szCs w:val="18"/>
              </w:rPr>
              <w:t>71,2</w:t>
            </w:r>
          </w:p>
        </w:tc>
      </w:tr>
      <w:tr w:rsidR="000740F7" w:rsidRPr="001B4CA2" w14:paraId="04CD8116" w14:textId="77777777" w:rsidTr="00100365">
        <w:trPr>
          <w:trHeight w:val="332"/>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38C346D1" w14:textId="77777777" w:rsidR="000740F7" w:rsidRPr="001B4CA2" w:rsidRDefault="000740F7" w:rsidP="006D0A51">
            <w:pPr>
              <w:jc w:val="center"/>
              <w:rPr>
                <w:rFonts w:eastAsia="Times New Roman"/>
                <w:sz w:val="18"/>
                <w:szCs w:val="18"/>
                <w:lang w:eastAsia="hr-HR"/>
              </w:rPr>
            </w:pP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36808490"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A4A79" w14:textId="77777777" w:rsidR="000740F7" w:rsidRPr="001B4CA2" w:rsidRDefault="000740F7" w:rsidP="006D0A51">
            <w:pPr>
              <w:jc w:val="center"/>
              <w:rPr>
                <w:color w:val="000000"/>
                <w:sz w:val="18"/>
                <w:szCs w:val="18"/>
              </w:rPr>
            </w:pPr>
            <w:r w:rsidRPr="001B4CA2">
              <w:rPr>
                <w:color w:val="000000"/>
                <w:sz w:val="18"/>
                <w:szCs w:val="18"/>
              </w:rPr>
              <w:t>12.398</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7B7ECB5" w14:textId="77777777" w:rsidR="000740F7" w:rsidRPr="001B4CA2" w:rsidRDefault="000740F7" w:rsidP="006D0A51">
            <w:pPr>
              <w:jc w:val="center"/>
              <w:rPr>
                <w:color w:val="000000"/>
                <w:sz w:val="18"/>
                <w:szCs w:val="18"/>
              </w:rPr>
            </w:pPr>
            <w:r w:rsidRPr="001B4CA2">
              <w:rPr>
                <w:color w:val="000000"/>
                <w:sz w:val="18"/>
                <w:szCs w:val="18"/>
              </w:rPr>
              <w:t>12.528</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2600B332" w14:textId="77777777" w:rsidR="000740F7" w:rsidRPr="001B4CA2" w:rsidRDefault="000740F7" w:rsidP="006D0A51">
            <w:pPr>
              <w:jc w:val="center"/>
              <w:rPr>
                <w:color w:val="000000"/>
                <w:sz w:val="18"/>
                <w:szCs w:val="18"/>
              </w:rPr>
            </w:pPr>
            <w:r w:rsidRPr="001B4CA2">
              <w:rPr>
                <w:color w:val="000000"/>
                <w:sz w:val="18"/>
                <w:szCs w:val="18"/>
              </w:rPr>
              <w:t>1.055</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03E75E08" w14:textId="77777777" w:rsidR="000740F7" w:rsidRPr="001B4CA2" w:rsidRDefault="000740F7" w:rsidP="006D0A51">
            <w:pPr>
              <w:jc w:val="center"/>
              <w:rPr>
                <w:color w:val="000000"/>
                <w:sz w:val="18"/>
                <w:szCs w:val="18"/>
              </w:rPr>
            </w:pPr>
            <w:r w:rsidRPr="001B4CA2">
              <w:rPr>
                <w:color w:val="000000"/>
                <w:sz w:val="18"/>
                <w:szCs w:val="18"/>
              </w:rPr>
              <w:t>101%</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5E0F1CB7" w14:textId="77777777" w:rsidR="000740F7" w:rsidRPr="001B4CA2" w:rsidRDefault="000740F7" w:rsidP="006D0A51">
            <w:pPr>
              <w:jc w:val="center"/>
              <w:rPr>
                <w:color w:val="000000"/>
                <w:sz w:val="18"/>
                <w:szCs w:val="18"/>
              </w:rPr>
            </w:pPr>
            <w:r w:rsidRPr="001B4CA2">
              <w:rPr>
                <w:color w:val="000000"/>
                <w:sz w:val="18"/>
                <w:szCs w:val="18"/>
              </w:rPr>
              <w:t>30,7</w:t>
            </w:r>
          </w:p>
        </w:tc>
      </w:tr>
      <w:tr w:rsidR="000740F7" w:rsidRPr="001B4CA2" w14:paraId="25FCF9EE" w14:textId="77777777" w:rsidTr="00100365">
        <w:trPr>
          <w:trHeight w:val="332"/>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DCBFB"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2019.</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9E755B9"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03F26" w14:textId="77777777" w:rsidR="000740F7" w:rsidRPr="001B4CA2" w:rsidRDefault="000740F7" w:rsidP="006D0A51">
            <w:pPr>
              <w:jc w:val="center"/>
              <w:rPr>
                <w:color w:val="000000"/>
                <w:sz w:val="18"/>
                <w:szCs w:val="18"/>
              </w:rPr>
            </w:pPr>
            <w:r w:rsidRPr="001B4CA2">
              <w:rPr>
                <w:color w:val="000000"/>
                <w:sz w:val="18"/>
                <w:szCs w:val="18"/>
              </w:rPr>
              <w:t>20.754</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2135D55" w14:textId="77777777" w:rsidR="000740F7" w:rsidRPr="001B4CA2" w:rsidRDefault="000740F7" w:rsidP="006D0A51">
            <w:pPr>
              <w:jc w:val="center"/>
              <w:rPr>
                <w:color w:val="000000"/>
                <w:sz w:val="18"/>
                <w:szCs w:val="18"/>
              </w:rPr>
            </w:pPr>
            <w:r w:rsidRPr="001B4CA2">
              <w:rPr>
                <w:color w:val="000000"/>
                <w:sz w:val="18"/>
                <w:szCs w:val="18"/>
              </w:rPr>
              <w:t>20.876</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6BF07F7C" w14:textId="77777777" w:rsidR="000740F7" w:rsidRPr="001B4CA2" w:rsidRDefault="000740F7" w:rsidP="006D0A51">
            <w:pPr>
              <w:jc w:val="center"/>
              <w:rPr>
                <w:color w:val="000000"/>
                <w:sz w:val="18"/>
                <w:szCs w:val="18"/>
              </w:rPr>
            </w:pPr>
            <w:r w:rsidRPr="001B4CA2">
              <w:rPr>
                <w:color w:val="000000"/>
                <w:sz w:val="18"/>
                <w:szCs w:val="18"/>
              </w:rPr>
              <w:t>3.119</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0457B0C3" w14:textId="77777777" w:rsidR="000740F7" w:rsidRPr="001B4CA2" w:rsidRDefault="000740F7" w:rsidP="006D0A51">
            <w:pPr>
              <w:jc w:val="center"/>
              <w:rPr>
                <w:color w:val="000000"/>
                <w:sz w:val="18"/>
                <w:szCs w:val="18"/>
              </w:rPr>
            </w:pPr>
            <w:r w:rsidRPr="001B4CA2">
              <w:rPr>
                <w:color w:val="000000"/>
                <w:sz w:val="18"/>
                <w:szCs w:val="18"/>
              </w:rPr>
              <w:t>101%</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3324CDEE" w14:textId="77777777" w:rsidR="000740F7" w:rsidRPr="001B4CA2" w:rsidRDefault="000740F7" w:rsidP="006D0A51">
            <w:pPr>
              <w:jc w:val="center"/>
              <w:rPr>
                <w:color w:val="000000"/>
                <w:sz w:val="18"/>
                <w:szCs w:val="18"/>
              </w:rPr>
            </w:pPr>
            <w:r w:rsidRPr="001B4CA2">
              <w:rPr>
                <w:color w:val="000000"/>
                <w:sz w:val="18"/>
                <w:szCs w:val="18"/>
              </w:rPr>
              <w:t>54,5</w:t>
            </w:r>
          </w:p>
        </w:tc>
      </w:tr>
      <w:tr w:rsidR="000740F7" w:rsidRPr="001B4CA2" w14:paraId="624FA4F2" w14:textId="77777777" w:rsidTr="00100365">
        <w:trPr>
          <w:trHeight w:val="332"/>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750CEA76" w14:textId="77777777" w:rsidR="000740F7" w:rsidRPr="001B4CA2" w:rsidRDefault="000740F7" w:rsidP="006D0A51">
            <w:pPr>
              <w:jc w:val="center"/>
              <w:rPr>
                <w:rFonts w:eastAsia="Times New Roman"/>
                <w:sz w:val="18"/>
                <w:szCs w:val="18"/>
                <w:lang w:eastAsia="hr-HR"/>
              </w:rPr>
            </w:pP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B8BAA41"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F3CFC" w14:textId="77777777" w:rsidR="000740F7" w:rsidRPr="001B4CA2" w:rsidRDefault="000740F7" w:rsidP="006D0A51">
            <w:pPr>
              <w:jc w:val="center"/>
              <w:rPr>
                <w:color w:val="000000"/>
                <w:sz w:val="18"/>
                <w:szCs w:val="18"/>
              </w:rPr>
            </w:pPr>
            <w:r w:rsidRPr="001B4CA2">
              <w:rPr>
                <w:color w:val="000000"/>
                <w:sz w:val="18"/>
                <w:szCs w:val="18"/>
              </w:rPr>
              <w:t>10.825</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4BA339F5" w14:textId="77777777" w:rsidR="000740F7" w:rsidRPr="001B4CA2" w:rsidRDefault="000740F7" w:rsidP="006D0A51">
            <w:pPr>
              <w:jc w:val="center"/>
              <w:rPr>
                <w:color w:val="000000"/>
                <w:sz w:val="18"/>
                <w:szCs w:val="18"/>
              </w:rPr>
            </w:pPr>
            <w:r w:rsidRPr="001B4CA2">
              <w:rPr>
                <w:color w:val="000000"/>
                <w:sz w:val="18"/>
                <w:szCs w:val="18"/>
              </w:rPr>
              <w:t>11.660</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4FF33E80" w14:textId="77777777" w:rsidR="000740F7" w:rsidRPr="001B4CA2" w:rsidRDefault="000740F7" w:rsidP="006D0A51">
            <w:pPr>
              <w:jc w:val="center"/>
              <w:rPr>
                <w:color w:val="000000"/>
                <w:sz w:val="18"/>
                <w:szCs w:val="18"/>
              </w:rPr>
            </w:pPr>
            <w:r w:rsidRPr="001B4CA2">
              <w:rPr>
                <w:color w:val="000000"/>
                <w:sz w:val="18"/>
                <w:szCs w:val="18"/>
              </w:rPr>
              <w:t>563</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41B18DD1" w14:textId="77777777" w:rsidR="000740F7" w:rsidRPr="001B4CA2" w:rsidRDefault="000740F7" w:rsidP="006D0A51">
            <w:pPr>
              <w:jc w:val="center"/>
              <w:rPr>
                <w:color w:val="000000"/>
                <w:sz w:val="18"/>
                <w:szCs w:val="18"/>
              </w:rPr>
            </w:pPr>
            <w:r w:rsidRPr="001B4CA2">
              <w:rPr>
                <w:color w:val="000000"/>
                <w:sz w:val="18"/>
                <w:szCs w:val="18"/>
              </w:rPr>
              <w:t>108%</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539A522F" w14:textId="77777777" w:rsidR="000740F7" w:rsidRPr="001B4CA2" w:rsidRDefault="000740F7" w:rsidP="006D0A51">
            <w:pPr>
              <w:jc w:val="center"/>
              <w:rPr>
                <w:color w:val="000000"/>
                <w:sz w:val="18"/>
                <w:szCs w:val="18"/>
              </w:rPr>
            </w:pPr>
            <w:r w:rsidRPr="001B4CA2">
              <w:rPr>
                <w:color w:val="000000"/>
                <w:sz w:val="18"/>
                <w:szCs w:val="18"/>
              </w:rPr>
              <w:t>17,6</w:t>
            </w:r>
          </w:p>
        </w:tc>
      </w:tr>
      <w:tr w:rsidR="000740F7" w:rsidRPr="001B4CA2" w14:paraId="016C72E3" w14:textId="77777777" w:rsidTr="00100365">
        <w:trPr>
          <w:trHeight w:val="332"/>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7C9E2"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288A125"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ACB33" w14:textId="77777777" w:rsidR="000740F7" w:rsidRPr="001B4CA2" w:rsidRDefault="000740F7" w:rsidP="006D0A51">
            <w:pPr>
              <w:jc w:val="center"/>
              <w:rPr>
                <w:color w:val="000000"/>
                <w:sz w:val="18"/>
                <w:szCs w:val="18"/>
              </w:rPr>
            </w:pPr>
            <w:r w:rsidRPr="001B4CA2">
              <w:rPr>
                <w:color w:val="000000"/>
                <w:sz w:val="18"/>
                <w:szCs w:val="18"/>
              </w:rPr>
              <w:t>22.855 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43725DA9" w14:textId="77777777" w:rsidR="000740F7" w:rsidRPr="001B4CA2" w:rsidRDefault="000740F7" w:rsidP="006D0A51">
            <w:pPr>
              <w:jc w:val="center"/>
              <w:rPr>
                <w:color w:val="000000"/>
                <w:sz w:val="18"/>
                <w:szCs w:val="18"/>
              </w:rPr>
            </w:pPr>
            <w:r w:rsidRPr="001B4CA2">
              <w:rPr>
                <w:color w:val="000000"/>
                <w:sz w:val="18"/>
                <w:szCs w:val="18"/>
              </w:rPr>
              <w:t>22.577 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157FF93C" w14:textId="77777777" w:rsidR="000740F7" w:rsidRPr="001B4CA2" w:rsidRDefault="000740F7" w:rsidP="006D0A51">
            <w:pPr>
              <w:jc w:val="center"/>
              <w:rPr>
                <w:color w:val="000000"/>
                <w:sz w:val="18"/>
                <w:szCs w:val="18"/>
              </w:rPr>
            </w:pPr>
            <w:r w:rsidRPr="001B4CA2">
              <w:rPr>
                <w:color w:val="000000"/>
                <w:sz w:val="18"/>
                <w:szCs w:val="18"/>
              </w:rPr>
              <w:t>3.408 </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6989284B" w14:textId="77777777" w:rsidR="000740F7" w:rsidRPr="001B4CA2" w:rsidRDefault="000740F7" w:rsidP="006D0A51">
            <w:pPr>
              <w:jc w:val="center"/>
              <w:rPr>
                <w:color w:val="000000"/>
                <w:sz w:val="18"/>
                <w:szCs w:val="18"/>
              </w:rPr>
            </w:pPr>
            <w:r w:rsidRPr="001B4CA2">
              <w:rPr>
                <w:color w:val="000000"/>
                <w:sz w:val="18"/>
                <w:szCs w:val="18"/>
              </w:rPr>
              <w:t>99% </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4DDBB99C" w14:textId="77777777" w:rsidR="000740F7" w:rsidRPr="001B4CA2" w:rsidRDefault="000740F7" w:rsidP="006D0A51">
            <w:pPr>
              <w:jc w:val="center"/>
              <w:rPr>
                <w:color w:val="000000"/>
                <w:sz w:val="18"/>
                <w:szCs w:val="18"/>
              </w:rPr>
            </w:pPr>
            <w:r w:rsidRPr="001B4CA2">
              <w:rPr>
                <w:color w:val="000000"/>
                <w:sz w:val="18"/>
                <w:szCs w:val="18"/>
              </w:rPr>
              <w:t>55,1 </w:t>
            </w:r>
          </w:p>
        </w:tc>
      </w:tr>
      <w:tr w:rsidR="000740F7" w:rsidRPr="001B4CA2" w14:paraId="0050DADE" w14:textId="77777777" w:rsidTr="00100365">
        <w:trPr>
          <w:trHeight w:val="332"/>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38802071" w14:textId="77777777" w:rsidR="000740F7" w:rsidRPr="001B4CA2" w:rsidRDefault="000740F7" w:rsidP="006D0A51">
            <w:pPr>
              <w:jc w:val="center"/>
              <w:rPr>
                <w:rFonts w:eastAsia="Times New Roman"/>
                <w:sz w:val="18"/>
                <w:szCs w:val="18"/>
                <w:lang w:eastAsia="hr-HR"/>
              </w:rPr>
            </w:pP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26696ED0"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CE5C0" w14:textId="77777777" w:rsidR="000740F7" w:rsidRPr="001B4CA2" w:rsidRDefault="000740F7" w:rsidP="006D0A51">
            <w:pPr>
              <w:jc w:val="center"/>
              <w:rPr>
                <w:color w:val="000000"/>
                <w:sz w:val="18"/>
                <w:szCs w:val="18"/>
              </w:rPr>
            </w:pPr>
            <w:r w:rsidRPr="001B4CA2">
              <w:rPr>
                <w:color w:val="000000"/>
                <w:sz w:val="18"/>
                <w:szCs w:val="18"/>
              </w:rPr>
              <w:t> 9.140</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1096B578" w14:textId="77777777" w:rsidR="000740F7" w:rsidRPr="001B4CA2" w:rsidRDefault="000740F7" w:rsidP="006D0A51">
            <w:pPr>
              <w:jc w:val="center"/>
              <w:rPr>
                <w:color w:val="000000"/>
                <w:sz w:val="18"/>
                <w:szCs w:val="18"/>
              </w:rPr>
            </w:pPr>
            <w:r w:rsidRPr="001B4CA2">
              <w:rPr>
                <w:color w:val="000000"/>
                <w:sz w:val="18"/>
                <w:szCs w:val="18"/>
              </w:rPr>
              <w:t>9.181 </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00BC7159" w14:textId="77777777" w:rsidR="000740F7" w:rsidRPr="001B4CA2" w:rsidRDefault="000740F7" w:rsidP="006D0A51">
            <w:pPr>
              <w:jc w:val="center"/>
              <w:rPr>
                <w:color w:val="000000"/>
                <w:sz w:val="18"/>
                <w:szCs w:val="18"/>
              </w:rPr>
            </w:pPr>
            <w:r w:rsidRPr="001B4CA2">
              <w:rPr>
                <w:color w:val="000000"/>
                <w:sz w:val="18"/>
                <w:szCs w:val="18"/>
              </w:rPr>
              <w:t>546 </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58551203" w14:textId="77777777" w:rsidR="000740F7" w:rsidRPr="001B4CA2" w:rsidRDefault="000740F7" w:rsidP="006D0A51">
            <w:pPr>
              <w:jc w:val="center"/>
              <w:rPr>
                <w:color w:val="000000"/>
                <w:sz w:val="18"/>
                <w:szCs w:val="18"/>
              </w:rPr>
            </w:pPr>
            <w:r w:rsidRPr="001B4CA2">
              <w:rPr>
                <w:color w:val="000000"/>
                <w:sz w:val="18"/>
                <w:szCs w:val="18"/>
              </w:rPr>
              <w:t>100% </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52A0DD26" w14:textId="77777777" w:rsidR="000740F7" w:rsidRPr="001B4CA2" w:rsidRDefault="000740F7" w:rsidP="006D0A51">
            <w:pPr>
              <w:jc w:val="center"/>
              <w:rPr>
                <w:color w:val="000000"/>
                <w:sz w:val="18"/>
                <w:szCs w:val="18"/>
              </w:rPr>
            </w:pPr>
            <w:r w:rsidRPr="001B4CA2">
              <w:rPr>
                <w:color w:val="000000"/>
                <w:sz w:val="18"/>
                <w:szCs w:val="18"/>
              </w:rPr>
              <w:t>21,7 </w:t>
            </w:r>
          </w:p>
        </w:tc>
      </w:tr>
      <w:tr w:rsidR="000740F7" w:rsidRPr="001B4CA2" w14:paraId="5DBFD157" w14:textId="77777777" w:rsidTr="00100365">
        <w:trPr>
          <w:trHeight w:val="332"/>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924E1"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2021.</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338A859"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F5A0B" w14:textId="77777777" w:rsidR="000740F7" w:rsidRPr="001B4CA2" w:rsidRDefault="000740F7" w:rsidP="006D0A51">
            <w:pPr>
              <w:jc w:val="center"/>
              <w:rPr>
                <w:color w:val="000000"/>
                <w:sz w:val="18"/>
                <w:szCs w:val="18"/>
              </w:rPr>
            </w:pPr>
            <w:r w:rsidRPr="001B4CA2">
              <w:rPr>
                <w:color w:val="000000"/>
                <w:sz w:val="18"/>
                <w:szCs w:val="18"/>
              </w:rPr>
              <w:t>22.496</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6F4E0733" w14:textId="77777777" w:rsidR="000740F7" w:rsidRPr="001B4CA2" w:rsidRDefault="000740F7" w:rsidP="006D0A51">
            <w:pPr>
              <w:jc w:val="center"/>
              <w:rPr>
                <w:color w:val="000000"/>
                <w:sz w:val="18"/>
                <w:szCs w:val="18"/>
              </w:rPr>
            </w:pPr>
            <w:r w:rsidRPr="001B4CA2">
              <w:rPr>
                <w:color w:val="000000"/>
                <w:sz w:val="18"/>
                <w:szCs w:val="18"/>
              </w:rPr>
              <w:t>22.649</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1F771A01" w14:textId="77777777" w:rsidR="000740F7" w:rsidRPr="001B4CA2" w:rsidRDefault="000740F7" w:rsidP="006D0A51">
            <w:pPr>
              <w:jc w:val="center"/>
              <w:rPr>
                <w:color w:val="000000"/>
                <w:sz w:val="18"/>
                <w:szCs w:val="18"/>
              </w:rPr>
            </w:pPr>
            <w:r w:rsidRPr="001B4CA2">
              <w:rPr>
                <w:color w:val="000000"/>
                <w:sz w:val="18"/>
                <w:szCs w:val="18"/>
              </w:rPr>
              <w:t>3.209</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372D5030" w14:textId="77777777" w:rsidR="000740F7" w:rsidRPr="001B4CA2" w:rsidRDefault="000740F7" w:rsidP="006D0A51">
            <w:pPr>
              <w:jc w:val="center"/>
              <w:rPr>
                <w:color w:val="000000"/>
                <w:sz w:val="18"/>
                <w:szCs w:val="18"/>
              </w:rPr>
            </w:pPr>
            <w:r w:rsidRPr="001B4CA2">
              <w:rPr>
                <w:color w:val="000000"/>
                <w:sz w:val="18"/>
                <w:szCs w:val="18"/>
              </w:rPr>
              <w:t>101%</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606A0146" w14:textId="77777777" w:rsidR="000740F7" w:rsidRPr="001B4CA2" w:rsidRDefault="000740F7" w:rsidP="006D0A51">
            <w:pPr>
              <w:jc w:val="center"/>
              <w:rPr>
                <w:color w:val="000000"/>
                <w:sz w:val="18"/>
                <w:szCs w:val="18"/>
              </w:rPr>
            </w:pPr>
            <w:r w:rsidRPr="001B4CA2">
              <w:rPr>
                <w:color w:val="000000"/>
                <w:sz w:val="18"/>
                <w:szCs w:val="18"/>
              </w:rPr>
              <w:t>51,7</w:t>
            </w:r>
          </w:p>
        </w:tc>
      </w:tr>
      <w:tr w:rsidR="000740F7" w:rsidRPr="001B4CA2" w14:paraId="740B7928" w14:textId="77777777" w:rsidTr="00100365">
        <w:trPr>
          <w:trHeight w:val="332"/>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22CEDA90" w14:textId="77777777" w:rsidR="000740F7" w:rsidRPr="001B4CA2" w:rsidRDefault="000740F7" w:rsidP="006D0A51">
            <w:pPr>
              <w:jc w:val="center"/>
              <w:rPr>
                <w:rFonts w:eastAsia="Times New Roman"/>
                <w:sz w:val="18"/>
                <w:szCs w:val="18"/>
                <w:lang w:eastAsia="hr-HR"/>
              </w:rPr>
            </w:pP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74A385A0"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A379F" w14:textId="77777777" w:rsidR="000740F7" w:rsidRPr="001B4CA2" w:rsidRDefault="000740F7" w:rsidP="006D0A51">
            <w:pPr>
              <w:jc w:val="center"/>
              <w:rPr>
                <w:color w:val="000000"/>
                <w:sz w:val="18"/>
                <w:szCs w:val="18"/>
              </w:rPr>
            </w:pPr>
            <w:r w:rsidRPr="001B4CA2">
              <w:rPr>
                <w:color w:val="000000"/>
                <w:sz w:val="18"/>
                <w:szCs w:val="18"/>
              </w:rPr>
              <w:t>12.310</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7A44A932" w14:textId="77777777" w:rsidR="000740F7" w:rsidRPr="001B4CA2" w:rsidRDefault="000740F7" w:rsidP="006D0A51">
            <w:pPr>
              <w:jc w:val="center"/>
              <w:rPr>
                <w:color w:val="000000"/>
                <w:sz w:val="18"/>
                <w:szCs w:val="18"/>
              </w:rPr>
            </w:pPr>
            <w:r w:rsidRPr="001B4CA2">
              <w:rPr>
                <w:color w:val="000000"/>
                <w:sz w:val="18"/>
                <w:szCs w:val="18"/>
              </w:rPr>
              <w:t>12.276</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71BEC95" w14:textId="77777777" w:rsidR="000740F7" w:rsidRPr="001B4CA2" w:rsidRDefault="000740F7" w:rsidP="006D0A51">
            <w:pPr>
              <w:jc w:val="center"/>
              <w:rPr>
                <w:color w:val="000000"/>
                <w:sz w:val="18"/>
                <w:szCs w:val="18"/>
              </w:rPr>
            </w:pPr>
            <w:r w:rsidRPr="001B4CA2">
              <w:rPr>
                <w:color w:val="000000"/>
                <w:sz w:val="18"/>
                <w:szCs w:val="18"/>
              </w:rPr>
              <w:t>560</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454FEF10" w14:textId="77777777" w:rsidR="000740F7" w:rsidRPr="001B4CA2" w:rsidRDefault="000740F7" w:rsidP="006D0A51">
            <w:pPr>
              <w:jc w:val="center"/>
              <w:rPr>
                <w:color w:val="000000"/>
                <w:sz w:val="18"/>
                <w:szCs w:val="18"/>
              </w:rPr>
            </w:pPr>
            <w:r w:rsidRPr="001B4CA2">
              <w:rPr>
                <w:color w:val="000000"/>
                <w:sz w:val="18"/>
                <w:szCs w:val="18"/>
              </w:rPr>
              <w:t>100%</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269317F9" w14:textId="77777777" w:rsidR="000740F7" w:rsidRPr="001B4CA2" w:rsidRDefault="000740F7" w:rsidP="006D0A51">
            <w:pPr>
              <w:jc w:val="center"/>
              <w:rPr>
                <w:color w:val="000000"/>
                <w:sz w:val="18"/>
                <w:szCs w:val="18"/>
              </w:rPr>
            </w:pPr>
            <w:r w:rsidRPr="001B4CA2">
              <w:rPr>
                <w:color w:val="000000"/>
                <w:sz w:val="18"/>
                <w:szCs w:val="18"/>
              </w:rPr>
              <w:t>16,7</w:t>
            </w:r>
          </w:p>
        </w:tc>
      </w:tr>
      <w:tr w:rsidR="000740F7" w:rsidRPr="001B4CA2" w14:paraId="1163314A" w14:textId="77777777" w:rsidTr="00100365">
        <w:trPr>
          <w:trHeight w:val="332"/>
        </w:trPr>
        <w:tc>
          <w:tcPr>
            <w:tcW w:w="8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3DB3B"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2022.</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B6E4F43"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3754F" w14:textId="77777777" w:rsidR="000740F7" w:rsidRPr="001B4CA2" w:rsidRDefault="000740F7" w:rsidP="006D0A51">
            <w:pPr>
              <w:jc w:val="center"/>
              <w:rPr>
                <w:color w:val="000000"/>
                <w:sz w:val="18"/>
                <w:szCs w:val="18"/>
              </w:rPr>
            </w:pPr>
            <w:r w:rsidRPr="001B4CA2">
              <w:rPr>
                <w:color w:val="000000"/>
                <w:sz w:val="18"/>
                <w:szCs w:val="18"/>
              </w:rPr>
              <w:t>22.509</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E184BD7" w14:textId="77777777" w:rsidR="000740F7" w:rsidRPr="001B4CA2" w:rsidRDefault="000740F7" w:rsidP="006D0A51">
            <w:pPr>
              <w:jc w:val="center"/>
              <w:rPr>
                <w:color w:val="000000"/>
                <w:sz w:val="18"/>
                <w:szCs w:val="18"/>
              </w:rPr>
            </w:pPr>
            <w:r w:rsidRPr="001B4CA2">
              <w:rPr>
                <w:color w:val="000000"/>
                <w:sz w:val="18"/>
                <w:szCs w:val="18"/>
              </w:rPr>
              <w:t>22.651</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45223F90" w14:textId="77777777" w:rsidR="000740F7" w:rsidRPr="001B4CA2" w:rsidRDefault="000740F7" w:rsidP="006D0A51">
            <w:pPr>
              <w:jc w:val="center"/>
              <w:rPr>
                <w:color w:val="000000"/>
                <w:sz w:val="18"/>
                <w:szCs w:val="18"/>
              </w:rPr>
            </w:pPr>
            <w:r w:rsidRPr="001B4CA2">
              <w:rPr>
                <w:color w:val="000000"/>
                <w:sz w:val="18"/>
                <w:szCs w:val="18"/>
              </w:rPr>
              <w:t>3.133</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4DED4397" w14:textId="77777777" w:rsidR="000740F7" w:rsidRPr="001B4CA2" w:rsidRDefault="000740F7" w:rsidP="006D0A51">
            <w:pPr>
              <w:jc w:val="center"/>
              <w:rPr>
                <w:color w:val="000000"/>
                <w:sz w:val="18"/>
                <w:szCs w:val="18"/>
              </w:rPr>
            </w:pPr>
            <w:r w:rsidRPr="001B4CA2">
              <w:rPr>
                <w:color w:val="000000"/>
                <w:sz w:val="18"/>
                <w:szCs w:val="18"/>
              </w:rPr>
              <w:t>101%</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2246CE40" w14:textId="77777777" w:rsidR="000740F7" w:rsidRPr="001B4CA2" w:rsidRDefault="000740F7" w:rsidP="006D0A51">
            <w:pPr>
              <w:jc w:val="center"/>
              <w:rPr>
                <w:color w:val="000000"/>
                <w:sz w:val="18"/>
                <w:szCs w:val="18"/>
              </w:rPr>
            </w:pPr>
            <w:r w:rsidRPr="001B4CA2">
              <w:rPr>
                <w:color w:val="000000"/>
                <w:sz w:val="18"/>
                <w:szCs w:val="18"/>
              </w:rPr>
              <w:t>50,5</w:t>
            </w:r>
          </w:p>
        </w:tc>
      </w:tr>
      <w:tr w:rsidR="000740F7" w:rsidRPr="001B4CA2" w14:paraId="767C8216" w14:textId="77777777" w:rsidTr="00100365">
        <w:trPr>
          <w:trHeight w:val="332"/>
        </w:trPr>
        <w:tc>
          <w:tcPr>
            <w:tcW w:w="836" w:type="dxa"/>
            <w:vMerge/>
            <w:tcBorders>
              <w:top w:val="single" w:sz="4" w:space="0" w:color="auto"/>
              <w:left w:val="single" w:sz="4" w:space="0" w:color="auto"/>
              <w:bottom w:val="single" w:sz="4" w:space="0" w:color="auto"/>
              <w:right w:val="single" w:sz="4" w:space="0" w:color="auto"/>
            </w:tcBorders>
            <w:vAlign w:val="center"/>
            <w:hideMark/>
          </w:tcPr>
          <w:p w14:paraId="256694AA" w14:textId="77777777" w:rsidR="000740F7" w:rsidRPr="001B4CA2" w:rsidRDefault="000740F7" w:rsidP="006D0A51">
            <w:pPr>
              <w:jc w:val="center"/>
              <w:rPr>
                <w:rFonts w:eastAsia="Times New Roman"/>
                <w:sz w:val="18"/>
                <w:szCs w:val="18"/>
                <w:lang w:eastAsia="hr-HR"/>
              </w:rPr>
            </w:pP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6B61FABF"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55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D6C0C" w14:textId="77777777" w:rsidR="000740F7" w:rsidRPr="001B4CA2" w:rsidRDefault="000740F7" w:rsidP="006D0A51">
            <w:pPr>
              <w:jc w:val="center"/>
              <w:rPr>
                <w:color w:val="000000"/>
                <w:sz w:val="18"/>
                <w:szCs w:val="18"/>
              </w:rPr>
            </w:pPr>
            <w:r w:rsidRPr="001B4CA2">
              <w:rPr>
                <w:color w:val="000000"/>
                <w:sz w:val="18"/>
                <w:szCs w:val="18"/>
              </w:rPr>
              <w:t>11.711</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5186C92C" w14:textId="77777777" w:rsidR="000740F7" w:rsidRPr="001B4CA2" w:rsidRDefault="000740F7" w:rsidP="006D0A51">
            <w:pPr>
              <w:jc w:val="center"/>
              <w:rPr>
                <w:color w:val="000000"/>
                <w:sz w:val="18"/>
                <w:szCs w:val="18"/>
              </w:rPr>
            </w:pPr>
            <w:r w:rsidRPr="001B4CA2">
              <w:rPr>
                <w:color w:val="000000"/>
                <w:sz w:val="18"/>
                <w:szCs w:val="18"/>
              </w:rPr>
              <w:t>11.806</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3AE07B65" w14:textId="77777777" w:rsidR="000740F7" w:rsidRPr="001B4CA2" w:rsidRDefault="000740F7" w:rsidP="006D0A51">
            <w:pPr>
              <w:jc w:val="center"/>
              <w:rPr>
                <w:color w:val="000000"/>
                <w:sz w:val="18"/>
                <w:szCs w:val="18"/>
              </w:rPr>
            </w:pPr>
            <w:r w:rsidRPr="001B4CA2">
              <w:rPr>
                <w:color w:val="000000"/>
                <w:sz w:val="18"/>
                <w:szCs w:val="18"/>
              </w:rPr>
              <w:t>484</w:t>
            </w:r>
          </w:p>
        </w:tc>
        <w:tc>
          <w:tcPr>
            <w:tcW w:w="1073" w:type="dxa"/>
            <w:tcBorders>
              <w:top w:val="single" w:sz="4" w:space="0" w:color="auto"/>
              <w:left w:val="nil"/>
              <w:bottom w:val="single" w:sz="4" w:space="0" w:color="auto"/>
              <w:right w:val="single" w:sz="4" w:space="0" w:color="auto"/>
            </w:tcBorders>
            <w:shd w:val="clear" w:color="auto" w:fill="auto"/>
            <w:noWrap/>
            <w:vAlign w:val="center"/>
          </w:tcPr>
          <w:p w14:paraId="50EAA66F" w14:textId="77777777" w:rsidR="000740F7" w:rsidRPr="001B4CA2" w:rsidRDefault="000740F7" w:rsidP="006D0A51">
            <w:pPr>
              <w:jc w:val="center"/>
              <w:rPr>
                <w:color w:val="000000"/>
                <w:sz w:val="18"/>
                <w:szCs w:val="18"/>
              </w:rPr>
            </w:pPr>
            <w:r w:rsidRPr="001B4CA2">
              <w:rPr>
                <w:color w:val="000000"/>
                <w:sz w:val="18"/>
                <w:szCs w:val="18"/>
              </w:rPr>
              <w:t>101%</w:t>
            </w:r>
          </w:p>
        </w:tc>
        <w:tc>
          <w:tcPr>
            <w:tcW w:w="909" w:type="dxa"/>
            <w:tcBorders>
              <w:top w:val="single" w:sz="4" w:space="0" w:color="auto"/>
              <w:left w:val="nil"/>
              <w:bottom w:val="single" w:sz="4" w:space="0" w:color="auto"/>
              <w:right w:val="single" w:sz="4" w:space="0" w:color="auto"/>
            </w:tcBorders>
            <w:shd w:val="clear" w:color="auto" w:fill="auto"/>
            <w:noWrap/>
            <w:vAlign w:val="center"/>
          </w:tcPr>
          <w:p w14:paraId="54FFDADF" w14:textId="77777777" w:rsidR="000740F7" w:rsidRPr="001B4CA2" w:rsidRDefault="000740F7" w:rsidP="006D0A51">
            <w:pPr>
              <w:jc w:val="center"/>
              <w:rPr>
                <w:color w:val="000000"/>
                <w:sz w:val="18"/>
                <w:szCs w:val="18"/>
              </w:rPr>
            </w:pPr>
            <w:r w:rsidRPr="001B4CA2">
              <w:rPr>
                <w:color w:val="000000"/>
                <w:sz w:val="18"/>
                <w:szCs w:val="18"/>
              </w:rPr>
              <w:t>15,0</w:t>
            </w:r>
          </w:p>
        </w:tc>
      </w:tr>
    </w:tbl>
    <w:p w14:paraId="21978778" w14:textId="77777777" w:rsidR="000740F7" w:rsidRPr="001B4CA2" w:rsidRDefault="000740F7" w:rsidP="000740F7"/>
    <w:p w14:paraId="4D34DBA3" w14:textId="5D10C879" w:rsidR="000740F7" w:rsidRPr="001B4CA2" w:rsidRDefault="000740F7" w:rsidP="000740F7">
      <w:pPr>
        <w:ind w:firstLine="708"/>
      </w:pPr>
      <w:r w:rsidRPr="001B4CA2">
        <w:t>U gornjoj tablici da</w:t>
      </w:r>
      <w:r w:rsidR="00727861">
        <w:t>n</w:t>
      </w:r>
      <w:r w:rsidRPr="001B4CA2">
        <w:t xml:space="preserve"> je prikaz kretanja broja primljenih i riješenih predmeta iz nadležnosti županijskih državnih odvjetništava. Iz podataka je vidljivo</w:t>
      </w:r>
      <w:r w:rsidR="001B4CA2">
        <w:t xml:space="preserve"> </w:t>
      </w:r>
      <w:r w:rsidRPr="001B4CA2">
        <w:t>da je vrijeme potrebno za donošenje odluke skraćeno, tako da</w:t>
      </w:r>
      <w:r w:rsidR="001B4CA2">
        <w:t xml:space="preserve"> </w:t>
      </w:r>
      <w:r w:rsidRPr="001B4CA2">
        <w:t>vrijeme potrebno za rješavanje neriješenih kaznenih predmeta iznosi prosječno 50,5 dana, a za rješavanje neriješenih predmeta u građansko-upravnim odjelima 15 dana. Stopa ažurnosti je u oba odjela 101</w:t>
      </w:r>
      <w:r w:rsidR="00727861">
        <w:t> </w:t>
      </w:r>
      <w:r w:rsidRPr="001B4CA2">
        <w:t>%, što znači da je riješen veći broj predmeta od broja primljenih predmeta u izvještajnom razdoblju.</w:t>
      </w:r>
    </w:p>
    <w:p w14:paraId="0A413E07" w14:textId="77777777" w:rsidR="000740F7" w:rsidRPr="001B4CA2" w:rsidRDefault="000740F7" w:rsidP="000740F7"/>
    <w:tbl>
      <w:tblPr>
        <w:tblW w:w="8679" w:type="dxa"/>
        <w:tblInd w:w="250" w:type="dxa"/>
        <w:tblLook w:val="04A0" w:firstRow="1" w:lastRow="0" w:firstColumn="1" w:lastColumn="0" w:noHBand="0" w:noVBand="1"/>
      </w:tblPr>
      <w:tblGrid>
        <w:gridCol w:w="839"/>
        <w:gridCol w:w="1568"/>
        <w:gridCol w:w="1568"/>
        <w:gridCol w:w="1568"/>
        <w:gridCol w:w="1568"/>
        <w:gridCol w:w="1568"/>
      </w:tblGrid>
      <w:tr w:rsidR="000740F7" w:rsidRPr="001B4CA2" w14:paraId="73F93A92" w14:textId="77777777" w:rsidTr="006D0A51">
        <w:trPr>
          <w:trHeight w:val="329"/>
        </w:trPr>
        <w:tc>
          <w:tcPr>
            <w:tcW w:w="8679" w:type="dxa"/>
            <w:gridSpan w:val="6"/>
            <w:tcBorders>
              <w:top w:val="nil"/>
              <w:left w:val="nil"/>
              <w:bottom w:val="single" w:sz="4" w:space="0" w:color="auto"/>
              <w:right w:val="nil"/>
            </w:tcBorders>
            <w:shd w:val="clear" w:color="auto" w:fill="auto"/>
            <w:noWrap/>
            <w:vAlign w:val="center"/>
            <w:hideMark/>
          </w:tcPr>
          <w:p w14:paraId="03F548DF" w14:textId="26DE9311" w:rsidR="000740F7" w:rsidRPr="001B4CA2" w:rsidRDefault="00766A28" w:rsidP="006D0A51">
            <w:pPr>
              <w:spacing w:line="259" w:lineRule="auto"/>
              <w:jc w:val="left"/>
              <w:rPr>
                <w:rFonts w:eastAsia="Times New Roman"/>
                <w:i/>
                <w:iCs/>
                <w:lang w:eastAsia="hr-HR"/>
              </w:rPr>
            </w:pPr>
            <w:r>
              <w:rPr>
                <w:rFonts w:eastAsia="Times New Roman"/>
                <w:i/>
                <w:iCs/>
                <w:lang w:eastAsia="hr-HR"/>
              </w:rPr>
              <w:t xml:space="preserve"> </w:t>
            </w:r>
            <w:r w:rsidR="000740F7" w:rsidRPr="001B4CA2">
              <w:rPr>
                <w:rFonts w:eastAsia="Times New Roman"/>
                <w:i/>
                <w:iCs/>
                <w:lang w:eastAsia="hr-HR"/>
              </w:rPr>
              <w:t>Kretanje predmeta USKOK-a s indikatorima</w:t>
            </w:r>
          </w:p>
        </w:tc>
      </w:tr>
      <w:tr w:rsidR="000740F7" w:rsidRPr="001B4CA2" w14:paraId="3DE60546" w14:textId="77777777" w:rsidTr="00766A28">
        <w:trPr>
          <w:trHeight w:val="641"/>
        </w:trPr>
        <w:tc>
          <w:tcPr>
            <w:tcW w:w="839"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3B48EFA5"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Godina</w:t>
            </w:r>
          </w:p>
        </w:tc>
        <w:tc>
          <w:tcPr>
            <w:tcW w:w="1568" w:type="dxa"/>
            <w:tcBorders>
              <w:top w:val="single" w:sz="4" w:space="0" w:color="auto"/>
              <w:left w:val="nil"/>
              <w:bottom w:val="single" w:sz="4" w:space="0" w:color="auto"/>
              <w:right w:val="single" w:sz="4" w:space="0" w:color="auto"/>
            </w:tcBorders>
            <w:shd w:val="clear" w:color="auto" w:fill="99CCFF"/>
            <w:vAlign w:val="center"/>
            <w:hideMark/>
          </w:tcPr>
          <w:p w14:paraId="781E697A"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Primljeno</w:t>
            </w:r>
          </w:p>
        </w:tc>
        <w:tc>
          <w:tcPr>
            <w:tcW w:w="1568" w:type="dxa"/>
            <w:tcBorders>
              <w:top w:val="single" w:sz="4" w:space="0" w:color="auto"/>
              <w:left w:val="nil"/>
              <w:bottom w:val="single" w:sz="4" w:space="0" w:color="auto"/>
              <w:right w:val="single" w:sz="4" w:space="0" w:color="auto"/>
            </w:tcBorders>
            <w:shd w:val="clear" w:color="auto" w:fill="99CCFF"/>
            <w:vAlign w:val="center"/>
            <w:hideMark/>
          </w:tcPr>
          <w:p w14:paraId="41C153AC"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Riješeno</w:t>
            </w:r>
          </w:p>
        </w:tc>
        <w:tc>
          <w:tcPr>
            <w:tcW w:w="1568" w:type="dxa"/>
            <w:tcBorders>
              <w:top w:val="single" w:sz="4" w:space="0" w:color="auto"/>
              <w:left w:val="nil"/>
              <w:bottom w:val="single" w:sz="4" w:space="0" w:color="auto"/>
              <w:right w:val="single" w:sz="4" w:space="0" w:color="auto"/>
            </w:tcBorders>
            <w:shd w:val="clear" w:color="auto" w:fill="99CCFF"/>
            <w:vAlign w:val="center"/>
            <w:hideMark/>
          </w:tcPr>
          <w:p w14:paraId="30B3CC1F"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Neriješeno</w:t>
            </w:r>
          </w:p>
        </w:tc>
        <w:tc>
          <w:tcPr>
            <w:tcW w:w="1568" w:type="dxa"/>
            <w:tcBorders>
              <w:top w:val="single" w:sz="4" w:space="0" w:color="auto"/>
              <w:left w:val="nil"/>
              <w:bottom w:val="single" w:sz="4" w:space="0" w:color="auto"/>
              <w:right w:val="single" w:sz="4" w:space="0" w:color="auto"/>
            </w:tcBorders>
            <w:shd w:val="clear" w:color="auto" w:fill="99CCFF"/>
            <w:vAlign w:val="center"/>
            <w:hideMark/>
          </w:tcPr>
          <w:p w14:paraId="7CAA848B"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1568" w:type="dxa"/>
            <w:tcBorders>
              <w:top w:val="single" w:sz="4" w:space="0" w:color="auto"/>
              <w:left w:val="nil"/>
              <w:bottom w:val="single" w:sz="4" w:space="0" w:color="auto"/>
              <w:right w:val="single" w:sz="4" w:space="0" w:color="auto"/>
            </w:tcBorders>
            <w:shd w:val="clear" w:color="auto" w:fill="99CCFF"/>
            <w:vAlign w:val="center"/>
            <w:hideMark/>
          </w:tcPr>
          <w:p w14:paraId="34ABCD0C"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DT</w:t>
            </w:r>
          </w:p>
        </w:tc>
      </w:tr>
      <w:tr w:rsidR="000740F7" w:rsidRPr="001B4CA2" w14:paraId="31082C16" w14:textId="77777777" w:rsidTr="00766A28">
        <w:trPr>
          <w:trHeight w:val="329"/>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525F2"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2018.</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0F6D94C0" w14:textId="77777777" w:rsidR="000740F7" w:rsidRPr="001B4CA2" w:rsidRDefault="000740F7" w:rsidP="006D0A51">
            <w:pPr>
              <w:jc w:val="center"/>
              <w:rPr>
                <w:color w:val="000000"/>
                <w:sz w:val="18"/>
                <w:szCs w:val="18"/>
              </w:rPr>
            </w:pPr>
            <w:r w:rsidRPr="001B4CA2">
              <w:rPr>
                <w:color w:val="000000"/>
                <w:sz w:val="18"/>
                <w:szCs w:val="18"/>
              </w:rPr>
              <w:t>1.427</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79F04970" w14:textId="77777777" w:rsidR="000740F7" w:rsidRPr="001B4CA2" w:rsidRDefault="000740F7" w:rsidP="006D0A51">
            <w:pPr>
              <w:jc w:val="center"/>
              <w:rPr>
                <w:color w:val="000000"/>
                <w:sz w:val="18"/>
                <w:szCs w:val="18"/>
              </w:rPr>
            </w:pPr>
            <w:r w:rsidRPr="001B4CA2">
              <w:rPr>
                <w:color w:val="000000"/>
                <w:sz w:val="18"/>
                <w:szCs w:val="18"/>
              </w:rPr>
              <w:t>1.492</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23E36AA" w14:textId="77777777" w:rsidR="000740F7" w:rsidRPr="001B4CA2" w:rsidRDefault="000740F7" w:rsidP="006D0A51">
            <w:pPr>
              <w:jc w:val="center"/>
              <w:rPr>
                <w:color w:val="000000"/>
                <w:sz w:val="18"/>
                <w:szCs w:val="18"/>
              </w:rPr>
            </w:pPr>
            <w:r w:rsidRPr="001B4CA2">
              <w:rPr>
                <w:color w:val="000000"/>
                <w:sz w:val="18"/>
                <w:szCs w:val="18"/>
              </w:rPr>
              <w:t>710</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77C3DDAA" w14:textId="77777777" w:rsidR="000740F7" w:rsidRPr="001B4CA2" w:rsidRDefault="000740F7" w:rsidP="006D0A51">
            <w:pPr>
              <w:jc w:val="center"/>
              <w:rPr>
                <w:color w:val="000000"/>
                <w:sz w:val="18"/>
                <w:szCs w:val="18"/>
              </w:rPr>
            </w:pPr>
            <w:r w:rsidRPr="001B4CA2">
              <w:rPr>
                <w:color w:val="000000"/>
                <w:sz w:val="18"/>
                <w:szCs w:val="18"/>
              </w:rPr>
              <w:t>105%</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301BAEA8" w14:textId="77777777" w:rsidR="000740F7" w:rsidRPr="001B4CA2" w:rsidRDefault="000740F7" w:rsidP="006D0A51">
            <w:pPr>
              <w:jc w:val="center"/>
              <w:rPr>
                <w:color w:val="000000"/>
                <w:sz w:val="18"/>
                <w:szCs w:val="18"/>
              </w:rPr>
            </w:pPr>
            <w:r w:rsidRPr="001B4CA2">
              <w:rPr>
                <w:color w:val="000000"/>
                <w:sz w:val="18"/>
                <w:szCs w:val="18"/>
              </w:rPr>
              <w:t>173,7</w:t>
            </w:r>
          </w:p>
        </w:tc>
      </w:tr>
      <w:tr w:rsidR="000740F7" w:rsidRPr="001B4CA2" w14:paraId="517517F7" w14:textId="77777777" w:rsidTr="00766A28">
        <w:trPr>
          <w:trHeight w:val="329"/>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025A8"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2019.</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32015375" w14:textId="77777777" w:rsidR="000740F7" w:rsidRPr="001B4CA2" w:rsidRDefault="000740F7" w:rsidP="006D0A51">
            <w:pPr>
              <w:jc w:val="center"/>
              <w:rPr>
                <w:color w:val="000000"/>
                <w:sz w:val="18"/>
                <w:szCs w:val="18"/>
              </w:rPr>
            </w:pPr>
            <w:r w:rsidRPr="001B4CA2">
              <w:rPr>
                <w:color w:val="000000"/>
                <w:sz w:val="18"/>
                <w:szCs w:val="18"/>
              </w:rPr>
              <w:t>1.553</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77EB7688" w14:textId="77777777" w:rsidR="000740F7" w:rsidRPr="001B4CA2" w:rsidRDefault="000740F7" w:rsidP="006D0A51">
            <w:pPr>
              <w:jc w:val="center"/>
              <w:rPr>
                <w:color w:val="000000"/>
                <w:sz w:val="18"/>
                <w:szCs w:val="18"/>
              </w:rPr>
            </w:pPr>
            <w:r w:rsidRPr="001B4CA2">
              <w:rPr>
                <w:color w:val="000000"/>
                <w:sz w:val="18"/>
                <w:szCs w:val="18"/>
              </w:rPr>
              <w:t>1.626</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F2F471B" w14:textId="77777777" w:rsidR="000740F7" w:rsidRPr="001B4CA2" w:rsidRDefault="000740F7" w:rsidP="006D0A51">
            <w:pPr>
              <w:jc w:val="center"/>
              <w:rPr>
                <w:color w:val="000000"/>
                <w:sz w:val="18"/>
                <w:szCs w:val="18"/>
              </w:rPr>
            </w:pPr>
            <w:r w:rsidRPr="001B4CA2">
              <w:rPr>
                <w:color w:val="000000"/>
                <w:sz w:val="18"/>
                <w:szCs w:val="18"/>
              </w:rPr>
              <w:t>652</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73C7887C" w14:textId="77777777" w:rsidR="000740F7" w:rsidRPr="001B4CA2" w:rsidRDefault="000740F7" w:rsidP="006D0A51">
            <w:pPr>
              <w:jc w:val="center"/>
              <w:rPr>
                <w:color w:val="000000"/>
                <w:sz w:val="18"/>
                <w:szCs w:val="18"/>
              </w:rPr>
            </w:pPr>
            <w:r w:rsidRPr="001B4CA2">
              <w:rPr>
                <w:color w:val="000000"/>
                <w:sz w:val="18"/>
                <w:szCs w:val="18"/>
              </w:rPr>
              <w:t>105%</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48CBE74C" w14:textId="77777777" w:rsidR="000740F7" w:rsidRPr="001B4CA2" w:rsidRDefault="000740F7" w:rsidP="006D0A51">
            <w:pPr>
              <w:jc w:val="center"/>
              <w:rPr>
                <w:color w:val="000000"/>
                <w:sz w:val="18"/>
                <w:szCs w:val="18"/>
              </w:rPr>
            </w:pPr>
            <w:r w:rsidRPr="001B4CA2">
              <w:rPr>
                <w:color w:val="000000"/>
                <w:sz w:val="18"/>
                <w:szCs w:val="18"/>
              </w:rPr>
              <w:t>146,4</w:t>
            </w:r>
          </w:p>
        </w:tc>
      </w:tr>
      <w:tr w:rsidR="000740F7" w:rsidRPr="001B4CA2" w14:paraId="530F60C1" w14:textId="77777777" w:rsidTr="00766A28">
        <w:trPr>
          <w:trHeight w:val="329"/>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531E7"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2020.</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71F83638" w14:textId="67E7C476" w:rsidR="000740F7" w:rsidRPr="001B4CA2" w:rsidRDefault="000740F7" w:rsidP="006D0A51">
            <w:pPr>
              <w:jc w:val="center"/>
              <w:rPr>
                <w:color w:val="000000"/>
                <w:sz w:val="18"/>
                <w:szCs w:val="18"/>
              </w:rPr>
            </w:pPr>
            <w:r w:rsidRPr="001B4CA2">
              <w:rPr>
                <w:color w:val="000000"/>
                <w:sz w:val="18"/>
                <w:szCs w:val="18"/>
              </w:rPr>
              <w:t>3.338</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5A44F13D" w14:textId="77777777" w:rsidR="000740F7" w:rsidRPr="001B4CA2" w:rsidRDefault="000740F7" w:rsidP="006D0A51">
            <w:pPr>
              <w:jc w:val="center"/>
              <w:rPr>
                <w:color w:val="000000"/>
                <w:sz w:val="18"/>
                <w:szCs w:val="18"/>
              </w:rPr>
            </w:pPr>
            <w:r w:rsidRPr="001B4CA2">
              <w:rPr>
                <w:color w:val="000000"/>
                <w:sz w:val="18"/>
                <w:szCs w:val="18"/>
              </w:rPr>
              <w:t>3.473</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21E78468" w14:textId="77777777" w:rsidR="000740F7" w:rsidRPr="001B4CA2" w:rsidRDefault="000740F7" w:rsidP="006D0A51">
            <w:pPr>
              <w:jc w:val="center"/>
              <w:rPr>
                <w:color w:val="000000"/>
                <w:sz w:val="18"/>
                <w:szCs w:val="18"/>
              </w:rPr>
            </w:pPr>
            <w:r w:rsidRPr="001B4CA2">
              <w:rPr>
                <w:color w:val="000000"/>
                <w:sz w:val="18"/>
                <w:szCs w:val="18"/>
              </w:rPr>
              <w:t>607</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49CF5C0D" w14:textId="77777777" w:rsidR="000740F7" w:rsidRPr="001B4CA2" w:rsidRDefault="000740F7" w:rsidP="006D0A51">
            <w:pPr>
              <w:jc w:val="center"/>
              <w:rPr>
                <w:color w:val="000000"/>
                <w:sz w:val="18"/>
                <w:szCs w:val="18"/>
              </w:rPr>
            </w:pPr>
            <w:r w:rsidRPr="001B4CA2">
              <w:rPr>
                <w:color w:val="000000"/>
                <w:sz w:val="18"/>
                <w:szCs w:val="18"/>
              </w:rPr>
              <w:t>104%</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330B497F" w14:textId="77777777" w:rsidR="000740F7" w:rsidRPr="001B4CA2" w:rsidRDefault="000740F7" w:rsidP="006D0A51">
            <w:pPr>
              <w:jc w:val="center"/>
              <w:rPr>
                <w:color w:val="000000"/>
                <w:sz w:val="18"/>
                <w:szCs w:val="18"/>
              </w:rPr>
            </w:pPr>
            <w:r w:rsidRPr="001B4CA2">
              <w:rPr>
                <w:color w:val="000000"/>
                <w:sz w:val="18"/>
                <w:szCs w:val="18"/>
              </w:rPr>
              <w:t> 63,8</w:t>
            </w:r>
          </w:p>
        </w:tc>
      </w:tr>
      <w:tr w:rsidR="000740F7" w:rsidRPr="001B4CA2" w14:paraId="1BE5B54C" w14:textId="77777777" w:rsidTr="00766A28">
        <w:trPr>
          <w:trHeight w:val="329"/>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FC13B"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2021.</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61A4A43C" w14:textId="77777777" w:rsidR="000740F7" w:rsidRPr="001B4CA2" w:rsidRDefault="000740F7" w:rsidP="006D0A51">
            <w:pPr>
              <w:jc w:val="center"/>
              <w:rPr>
                <w:color w:val="000000"/>
                <w:sz w:val="18"/>
                <w:szCs w:val="18"/>
              </w:rPr>
            </w:pPr>
            <w:r w:rsidRPr="001B4CA2">
              <w:rPr>
                <w:color w:val="000000"/>
                <w:sz w:val="18"/>
                <w:szCs w:val="18"/>
              </w:rPr>
              <w:t>3.454</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043D8DA8" w14:textId="77777777" w:rsidR="000740F7" w:rsidRPr="001B4CA2" w:rsidRDefault="000740F7" w:rsidP="006D0A51">
            <w:pPr>
              <w:jc w:val="center"/>
              <w:rPr>
                <w:color w:val="000000"/>
                <w:sz w:val="18"/>
                <w:szCs w:val="18"/>
              </w:rPr>
            </w:pPr>
            <w:r w:rsidRPr="001B4CA2">
              <w:rPr>
                <w:color w:val="000000"/>
                <w:sz w:val="18"/>
                <w:szCs w:val="18"/>
              </w:rPr>
              <w:t>3.308</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4870232C" w14:textId="77777777" w:rsidR="000740F7" w:rsidRPr="001B4CA2" w:rsidRDefault="000740F7" w:rsidP="006D0A51">
            <w:pPr>
              <w:jc w:val="center"/>
              <w:rPr>
                <w:color w:val="000000"/>
                <w:sz w:val="18"/>
                <w:szCs w:val="18"/>
              </w:rPr>
            </w:pPr>
            <w:r w:rsidRPr="001B4CA2">
              <w:rPr>
                <w:color w:val="000000"/>
                <w:sz w:val="18"/>
                <w:szCs w:val="18"/>
              </w:rPr>
              <w:t>695</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1023138" w14:textId="77777777" w:rsidR="000740F7" w:rsidRPr="001B4CA2" w:rsidRDefault="000740F7" w:rsidP="006D0A51">
            <w:pPr>
              <w:jc w:val="center"/>
              <w:rPr>
                <w:color w:val="000000"/>
                <w:sz w:val="18"/>
                <w:szCs w:val="18"/>
              </w:rPr>
            </w:pPr>
            <w:r w:rsidRPr="001B4CA2">
              <w:rPr>
                <w:color w:val="000000"/>
                <w:sz w:val="18"/>
                <w:szCs w:val="18"/>
              </w:rPr>
              <w:t>96%</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C26E9D8" w14:textId="77777777" w:rsidR="000740F7" w:rsidRPr="001B4CA2" w:rsidRDefault="000740F7" w:rsidP="006D0A51">
            <w:pPr>
              <w:jc w:val="center"/>
              <w:rPr>
                <w:color w:val="000000"/>
                <w:sz w:val="18"/>
                <w:szCs w:val="18"/>
              </w:rPr>
            </w:pPr>
            <w:r w:rsidRPr="001B4CA2">
              <w:rPr>
                <w:color w:val="000000"/>
                <w:sz w:val="18"/>
                <w:szCs w:val="18"/>
              </w:rPr>
              <w:t>76,7</w:t>
            </w:r>
          </w:p>
        </w:tc>
      </w:tr>
      <w:tr w:rsidR="000740F7" w:rsidRPr="001B4CA2" w14:paraId="4EE40106" w14:textId="77777777" w:rsidTr="00766A28">
        <w:trPr>
          <w:trHeight w:val="329"/>
        </w:trPr>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8F66E"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2022.</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13C2C14A" w14:textId="77777777" w:rsidR="000740F7" w:rsidRPr="001B4CA2" w:rsidRDefault="000740F7" w:rsidP="006D0A51">
            <w:pPr>
              <w:jc w:val="center"/>
              <w:rPr>
                <w:color w:val="000000"/>
                <w:sz w:val="18"/>
                <w:szCs w:val="18"/>
              </w:rPr>
            </w:pPr>
            <w:r w:rsidRPr="001B4CA2">
              <w:rPr>
                <w:color w:val="000000"/>
                <w:sz w:val="18"/>
                <w:szCs w:val="18"/>
              </w:rPr>
              <w:t>3.493</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317DF9DE" w14:textId="77777777" w:rsidR="000740F7" w:rsidRPr="001B4CA2" w:rsidRDefault="000740F7" w:rsidP="006D0A51">
            <w:pPr>
              <w:jc w:val="center"/>
              <w:rPr>
                <w:color w:val="000000"/>
                <w:sz w:val="18"/>
                <w:szCs w:val="18"/>
              </w:rPr>
            </w:pPr>
            <w:r w:rsidRPr="001B4CA2">
              <w:rPr>
                <w:color w:val="000000"/>
                <w:sz w:val="18"/>
                <w:szCs w:val="18"/>
              </w:rPr>
              <w:t>3.306</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48E78626" w14:textId="77777777" w:rsidR="000740F7" w:rsidRPr="001B4CA2" w:rsidRDefault="000740F7" w:rsidP="006D0A51">
            <w:pPr>
              <w:jc w:val="center"/>
              <w:rPr>
                <w:color w:val="000000"/>
                <w:sz w:val="18"/>
                <w:szCs w:val="18"/>
              </w:rPr>
            </w:pPr>
            <w:r w:rsidRPr="001B4CA2">
              <w:rPr>
                <w:color w:val="000000"/>
                <w:sz w:val="18"/>
                <w:szCs w:val="18"/>
              </w:rPr>
              <w:t>872</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75124B19" w14:textId="77777777" w:rsidR="000740F7" w:rsidRPr="001B4CA2" w:rsidRDefault="000740F7" w:rsidP="006D0A51">
            <w:pPr>
              <w:jc w:val="center"/>
              <w:rPr>
                <w:color w:val="000000"/>
                <w:sz w:val="18"/>
                <w:szCs w:val="18"/>
              </w:rPr>
            </w:pPr>
            <w:r w:rsidRPr="001B4CA2">
              <w:rPr>
                <w:color w:val="000000"/>
                <w:sz w:val="18"/>
                <w:szCs w:val="18"/>
              </w:rPr>
              <w:t>95%</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59D8027B" w14:textId="77777777" w:rsidR="000740F7" w:rsidRPr="001B4CA2" w:rsidRDefault="000740F7" w:rsidP="006D0A51">
            <w:pPr>
              <w:jc w:val="center"/>
              <w:rPr>
                <w:color w:val="000000"/>
                <w:sz w:val="18"/>
                <w:szCs w:val="18"/>
              </w:rPr>
            </w:pPr>
            <w:r w:rsidRPr="001B4CA2">
              <w:rPr>
                <w:color w:val="000000"/>
                <w:sz w:val="18"/>
                <w:szCs w:val="18"/>
              </w:rPr>
              <w:t>96,3</w:t>
            </w:r>
          </w:p>
        </w:tc>
      </w:tr>
    </w:tbl>
    <w:p w14:paraId="1C0822F1" w14:textId="77777777" w:rsidR="000740F7" w:rsidRPr="001B4CA2" w:rsidRDefault="000740F7" w:rsidP="000740F7"/>
    <w:p w14:paraId="7F313045" w14:textId="4434D35B" w:rsidR="000740F7" w:rsidRPr="001B4CA2" w:rsidRDefault="000740F7" w:rsidP="000740F7">
      <w:pPr>
        <w:ind w:firstLine="709"/>
      </w:pPr>
      <w:r w:rsidRPr="001B4CA2">
        <w:t>Podatci o kretanju predmeta USKOK-a pokazuju da je broj primljenih i riješenih predmeta, kao i ažurnost</w:t>
      </w:r>
      <w:r w:rsidR="001B4CA2">
        <w:t xml:space="preserve"> </w:t>
      </w:r>
      <w:r w:rsidRPr="001B4CA2">
        <w:t>na razini prethodne godine,</w:t>
      </w:r>
      <w:r w:rsidR="001B4CA2">
        <w:t xml:space="preserve"> </w:t>
      </w:r>
      <w:r w:rsidRPr="001B4CA2">
        <w:t>dok je broj dana potrebnih za rješavanje predmeta prosječno na razini prethodne tri</w:t>
      </w:r>
      <w:r w:rsidR="00727861">
        <w:t>ju</w:t>
      </w:r>
      <w:r w:rsidRPr="001B4CA2">
        <w:t xml:space="preserve"> izvještajn</w:t>
      </w:r>
      <w:r w:rsidR="00727861">
        <w:t>ih</w:t>
      </w:r>
      <w:r w:rsidRPr="001B4CA2">
        <w:t xml:space="preserve"> godin</w:t>
      </w:r>
      <w:r w:rsidR="00727861">
        <w:t>a</w:t>
      </w:r>
      <w:r w:rsidRPr="001B4CA2">
        <w:t xml:space="preserve">. </w:t>
      </w:r>
    </w:p>
    <w:p w14:paraId="64AD74B7" w14:textId="79455371" w:rsidR="000740F7" w:rsidRDefault="000740F7" w:rsidP="000740F7"/>
    <w:p w14:paraId="739F0637" w14:textId="36BE6909" w:rsidR="001F53E7" w:rsidRDefault="001F53E7" w:rsidP="000740F7"/>
    <w:p w14:paraId="41D05E41" w14:textId="71BCB13C" w:rsidR="001F53E7" w:rsidRDefault="001F53E7" w:rsidP="000740F7"/>
    <w:p w14:paraId="6EE851E4" w14:textId="619A84D9" w:rsidR="001F53E7" w:rsidRDefault="001F53E7" w:rsidP="000740F7"/>
    <w:p w14:paraId="7FE75DC2" w14:textId="6A04CF04" w:rsidR="001F53E7" w:rsidRDefault="001F53E7" w:rsidP="000740F7"/>
    <w:p w14:paraId="5586A9E3" w14:textId="2A3056B6" w:rsidR="001F53E7" w:rsidRDefault="001F53E7" w:rsidP="000740F7"/>
    <w:p w14:paraId="1B7B5784" w14:textId="65D91CCC" w:rsidR="001F53E7" w:rsidRDefault="001F53E7" w:rsidP="000740F7"/>
    <w:p w14:paraId="5532A0A4" w14:textId="77777777" w:rsidR="001F53E7" w:rsidRPr="001B4CA2" w:rsidRDefault="001F53E7" w:rsidP="000740F7"/>
    <w:tbl>
      <w:tblPr>
        <w:tblW w:w="8755" w:type="dxa"/>
        <w:tblLayout w:type="fixed"/>
        <w:tblLook w:val="04A0" w:firstRow="1" w:lastRow="0" w:firstColumn="1" w:lastColumn="0" w:noHBand="0" w:noVBand="1"/>
      </w:tblPr>
      <w:tblGrid>
        <w:gridCol w:w="250"/>
        <w:gridCol w:w="1113"/>
        <w:gridCol w:w="1155"/>
        <w:gridCol w:w="1418"/>
        <w:gridCol w:w="1417"/>
        <w:gridCol w:w="1418"/>
        <w:gridCol w:w="992"/>
        <w:gridCol w:w="992"/>
      </w:tblGrid>
      <w:tr w:rsidR="000740F7" w:rsidRPr="001B4CA2" w14:paraId="1C23243F" w14:textId="77777777" w:rsidTr="006D0A51">
        <w:trPr>
          <w:trHeight w:val="615"/>
        </w:trPr>
        <w:tc>
          <w:tcPr>
            <w:tcW w:w="8755" w:type="dxa"/>
            <w:gridSpan w:val="8"/>
            <w:tcBorders>
              <w:top w:val="nil"/>
              <w:left w:val="nil"/>
              <w:bottom w:val="nil"/>
              <w:right w:val="nil"/>
            </w:tcBorders>
            <w:shd w:val="clear" w:color="auto" w:fill="auto"/>
            <w:vAlign w:val="center"/>
            <w:hideMark/>
          </w:tcPr>
          <w:p w14:paraId="6D6378EE" w14:textId="14D28764" w:rsidR="000740F7" w:rsidRPr="001B4CA2" w:rsidRDefault="001F53E7" w:rsidP="001F53E7">
            <w:pPr>
              <w:ind w:left="284"/>
              <w:jc w:val="left"/>
              <w:rPr>
                <w:rFonts w:eastAsia="Times New Roman"/>
                <w:i/>
                <w:iCs/>
                <w:lang w:eastAsia="hr-HR"/>
              </w:rPr>
            </w:pPr>
            <w:r>
              <w:rPr>
                <w:rFonts w:eastAsia="Times New Roman"/>
                <w:i/>
                <w:iCs/>
                <w:lang w:eastAsia="hr-HR"/>
              </w:rPr>
              <w:lastRenderedPageBreak/>
              <w:t xml:space="preserve"> </w:t>
            </w:r>
            <w:r w:rsidR="000740F7" w:rsidRPr="001B4CA2">
              <w:rPr>
                <w:rFonts w:eastAsia="Times New Roman"/>
                <w:i/>
                <w:iCs/>
                <w:lang w:eastAsia="hr-HR"/>
              </w:rPr>
              <w:t xml:space="preserve">Kretanje predmeta u Državnom odvjetništvu Republike Hrvatske po vrsti </w:t>
            </w:r>
            <w:r>
              <w:rPr>
                <w:rFonts w:eastAsia="Times New Roman"/>
                <w:i/>
                <w:iCs/>
                <w:lang w:eastAsia="hr-HR"/>
              </w:rPr>
              <w:t xml:space="preserve">    </w:t>
            </w:r>
            <w:r w:rsidR="000740F7" w:rsidRPr="001B4CA2">
              <w:rPr>
                <w:rFonts w:eastAsia="Times New Roman"/>
                <w:i/>
                <w:iCs/>
                <w:lang w:eastAsia="hr-HR"/>
              </w:rPr>
              <w:t>predmeta s indikatorima</w:t>
            </w:r>
          </w:p>
        </w:tc>
      </w:tr>
      <w:tr w:rsidR="000740F7" w:rsidRPr="001B4CA2" w14:paraId="4B4C5C58" w14:textId="77777777" w:rsidTr="001F53E7">
        <w:trPr>
          <w:gridBefore w:val="1"/>
          <w:wBefore w:w="250" w:type="dxa"/>
          <w:trHeight w:val="525"/>
        </w:trPr>
        <w:tc>
          <w:tcPr>
            <w:tcW w:w="1113"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0B323A04"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 xml:space="preserve">Godina </w:t>
            </w:r>
          </w:p>
        </w:tc>
        <w:tc>
          <w:tcPr>
            <w:tcW w:w="1155" w:type="dxa"/>
            <w:tcBorders>
              <w:top w:val="single" w:sz="4" w:space="0" w:color="auto"/>
              <w:left w:val="nil"/>
              <w:bottom w:val="single" w:sz="4" w:space="0" w:color="auto"/>
              <w:right w:val="single" w:sz="4" w:space="0" w:color="auto"/>
            </w:tcBorders>
            <w:shd w:val="clear" w:color="auto" w:fill="99CCFF"/>
            <w:vAlign w:val="center"/>
            <w:hideMark/>
          </w:tcPr>
          <w:p w14:paraId="20E8569D"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DORH</w:t>
            </w:r>
          </w:p>
        </w:tc>
        <w:tc>
          <w:tcPr>
            <w:tcW w:w="1418" w:type="dxa"/>
            <w:tcBorders>
              <w:top w:val="single" w:sz="4" w:space="0" w:color="auto"/>
              <w:left w:val="nil"/>
              <w:bottom w:val="single" w:sz="4" w:space="0" w:color="auto"/>
              <w:right w:val="single" w:sz="4" w:space="0" w:color="auto"/>
            </w:tcBorders>
            <w:shd w:val="clear" w:color="auto" w:fill="99CCFF"/>
            <w:vAlign w:val="center"/>
            <w:hideMark/>
          </w:tcPr>
          <w:p w14:paraId="0C4F907E"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 xml:space="preserve">Primljeno </w:t>
            </w:r>
          </w:p>
        </w:tc>
        <w:tc>
          <w:tcPr>
            <w:tcW w:w="1417" w:type="dxa"/>
            <w:tcBorders>
              <w:top w:val="single" w:sz="4" w:space="0" w:color="auto"/>
              <w:left w:val="nil"/>
              <w:bottom w:val="single" w:sz="4" w:space="0" w:color="auto"/>
              <w:right w:val="single" w:sz="4" w:space="0" w:color="auto"/>
            </w:tcBorders>
            <w:shd w:val="clear" w:color="auto" w:fill="99CCFF"/>
            <w:noWrap/>
            <w:vAlign w:val="center"/>
            <w:hideMark/>
          </w:tcPr>
          <w:p w14:paraId="6366E1E0"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 xml:space="preserve">Riješeno </w:t>
            </w:r>
          </w:p>
        </w:tc>
        <w:tc>
          <w:tcPr>
            <w:tcW w:w="1418" w:type="dxa"/>
            <w:tcBorders>
              <w:top w:val="single" w:sz="4" w:space="0" w:color="auto"/>
              <w:left w:val="nil"/>
              <w:bottom w:val="single" w:sz="4" w:space="0" w:color="auto"/>
              <w:right w:val="single" w:sz="4" w:space="0" w:color="auto"/>
            </w:tcBorders>
            <w:shd w:val="clear" w:color="auto" w:fill="99CCFF"/>
            <w:noWrap/>
            <w:vAlign w:val="center"/>
            <w:hideMark/>
          </w:tcPr>
          <w:p w14:paraId="7CF43FBD"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 xml:space="preserve">Neriješeno </w:t>
            </w:r>
          </w:p>
        </w:tc>
        <w:tc>
          <w:tcPr>
            <w:tcW w:w="992" w:type="dxa"/>
            <w:tcBorders>
              <w:top w:val="single" w:sz="4" w:space="0" w:color="auto"/>
              <w:left w:val="nil"/>
              <w:bottom w:val="single" w:sz="4" w:space="0" w:color="auto"/>
              <w:right w:val="single" w:sz="4" w:space="0" w:color="auto"/>
            </w:tcBorders>
            <w:shd w:val="clear" w:color="auto" w:fill="99CCFF"/>
            <w:noWrap/>
            <w:vAlign w:val="center"/>
            <w:hideMark/>
          </w:tcPr>
          <w:p w14:paraId="413E2F0B"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992" w:type="dxa"/>
            <w:tcBorders>
              <w:top w:val="single" w:sz="4" w:space="0" w:color="auto"/>
              <w:left w:val="nil"/>
              <w:bottom w:val="single" w:sz="4" w:space="0" w:color="auto"/>
              <w:right w:val="single" w:sz="4" w:space="0" w:color="auto"/>
            </w:tcBorders>
            <w:shd w:val="clear" w:color="auto" w:fill="99CCFF"/>
            <w:noWrap/>
            <w:vAlign w:val="center"/>
            <w:hideMark/>
          </w:tcPr>
          <w:p w14:paraId="099F9CBB"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DT</w:t>
            </w:r>
          </w:p>
        </w:tc>
      </w:tr>
      <w:tr w:rsidR="000740F7" w:rsidRPr="001B4CA2" w14:paraId="2B731763" w14:textId="77777777" w:rsidTr="001F53E7">
        <w:trPr>
          <w:gridBefore w:val="1"/>
          <w:wBefore w:w="250" w:type="dxa"/>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F6E77"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2018.</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72BDA48B"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E561D" w14:textId="77777777" w:rsidR="000740F7" w:rsidRPr="001B4CA2" w:rsidRDefault="000740F7" w:rsidP="006D0A51">
            <w:pPr>
              <w:jc w:val="center"/>
              <w:rPr>
                <w:color w:val="000000"/>
                <w:sz w:val="18"/>
                <w:szCs w:val="18"/>
              </w:rPr>
            </w:pPr>
            <w:r w:rsidRPr="001B4CA2">
              <w:rPr>
                <w:color w:val="000000"/>
                <w:sz w:val="18"/>
                <w:szCs w:val="18"/>
              </w:rPr>
              <w:t>3.937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E1A8CD8" w14:textId="77777777" w:rsidR="000740F7" w:rsidRPr="001B4CA2" w:rsidRDefault="000740F7" w:rsidP="006D0A51">
            <w:pPr>
              <w:jc w:val="center"/>
              <w:rPr>
                <w:color w:val="000000"/>
                <w:sz w:val="18"/>
                <w:szCs w:val="18"/>
              </w:rPr>
            </w:pPr>
            <w:r w:rsidRPr="001B4CA2">
              <w:rPr>
                <w:color w:val="000000"/>
                <w:sz w:val="18"/>
                <w:szCs w:val="18"/>
              </w:rPr>
              <w:t>3.960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B9A337B" w14:textId="77777777" w:rsidR="000740F7" w:rsidRPr="001B4CA2" w:rsidRDefault="000740F7" w:rsidP="006D0A51">
            <w:pPr>
              <w:jc w:val="center"/>
              <w:rPr>
                <w:color w:val="000000"/>
                <w:sz w:val="18"/>
                <w:szCs w:val="18"/>
              </w:rPr>
            </w:pPr>
            <w:r w:rsidRPr="001B4CA2">
              <w:rPr>
                <w:color w:val="000000"/>
                <w:sz w:val="18"/>
                <w:szCs w:val="18"/>
              </w:rPr>
              <w:t>2.072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B5B6A6" w14:textId="77777777" w:rsidR="000740F7" w:rsidRPr="001B4CA2" w:rsidRDefault="000740F7" w:rsidP="006D0A51">
            <w:pPr>
              <w:jc w:val="center"/>
              <w:rPr>
                <w:color w:val="000000"/>
                <w:sz w:val="18"/>
                <w:szCs w:val="18"/>
              </w:rPr>
            </w:pPr>
            <w:r w:rsidRPr="001B4CA2">
              <w:rPr>
                <w:color w:val="000000"/>
                <w:sz w:val="18"/>
                <w:szCs w:val="18"/>
              </w:rPr>
              <w:t>101%</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72CC44A" w14:textId="77777777" w:rsidR="000740F7" w:rsidRPr="001B4CA2" w:rsidRDefault="000740F7" w:rsidP="006D0A51">
            <w:pPr>
              <w:jc w:val="center"/>
              <w:rPr>
                <w:color w:val="000000"/>
                <w:sz w:val="18"/>
                <w:szCs w:val="18"/>
              </w:rPr>
            </w:pPr>
            <w:r w:rsidRPr="001B4CA2">
              <w:rPr>
                <w:color w:val="000000"/>
                <w:sz w:val="18"/>
                <w:szCs w:val="18"/>
              </w:rPr>
              <w:t>191</w:t>
            </w:r>
          </w:p>
        </w:tc>
      </w:tr>
      <w:tr w:rsidR="000740F7" w:rsidRPr="001B4CA2" w14:paraId="6B906FAA" w14:textId="77777777" w:rsidTr="001F53E7">
        <w:trPr>
          <w:gridBefore w:val="1"/>
          <w:wBefore w:w="250" w:type="dxa"/>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7954F5E5" w14:textId="77777777" w:rsidR="000740F7" w:rsidRPr="001B4CA2" w:rsidRDefault="000740F7" w:rsidP="006D0A51">
            <w:pPr>
              <w:jc w:val="center"/>
              <w:rPr>
                <w:rFonts w:eastAsia="Times New Roman"/>
                <w:sz w:val="18"/>
                <w:szCs w:val="18"/>
                <w:lang w:eastAsia="hr-HR"/>
              </w:rPr>
            </w:pP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4B6A5697"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8B732" w14:textId="77777777" w:rsidR="000740F7" w:rsidRPr="001B4CA2" w:rsidRDefault="000740F7" w:rsidP="006D0A51">
            <w:pPr>
              <w:jc w:val="center"/>
              <w:rPr>
                <w:color w:val="000000"/>
                <w:sz w:val="18"/>
                <w:szCs w:val="18"/>
              </w:rPr>
            </w:pPr>
            <w:r w:rsidRPr="001B4CA2">
              <w:rPr>
                <w:color w:val="000000"/>
                <w:sz w:val="18"/>
                <w:szCs w:val="18"/>
              </w:rPr>
              <w:t>1.103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CE8D8ED" w14:textId="77777777" w:rsidR="000740F7" w:rsidRPr="001B4CA2" w:rsidRDefault="000740F7" w:rsidP="006D0A51">
            <w:pPr>
              <w:jc w:val="center"/>
              <w:rPr>
                <w:color w:val="000000"/>
                <w:sz w:val="18"/>
                <w:szCs w:val="18"/>
              </w:rPr>
            </w:pPr>
            <w:r w:rsidRPr="001B4CA2">
              <w:rPr>
                <w:color w:val="000000"/>
                <w:sz w:val="18"/>
                <w:szCs w:val="18"/>
              </w:rPr>
              <w:t>1.282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BD6B4D2" w14:textId="77777777" w:rsidR="000740F7" w:rsidRPr="001B4CA2" w:rsidRDefault="000740F7" w:rsidP="006D0A51">
            <w:pPr>
              <w:jc w:val="center"/>
              <w:rPr>
                <w:color w:val="000000"/>
                <w:sz w:val="18"/>
                <w:szCs w:val="18"/>
              </w:rPr>
            </w:pPr>
            <w:r w:rsidRPr="001B4CA2">
              <w:rPr>
                <w:color w:val="000000"/>
                <w:sz w:val="18"/>
                <w:szCs w:val="18"/>
              </w:rPr>
              <w:t>153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E3A305" w14:textId="77777777" w:rsidR="000740F7" w:rsidRPr="001B4CA2" w:rsidRDefault="000740F7" w:rsidP="006D0A51">
            <w:pPr>
              <w:jc w:val="center"/>
              <w:rPr>
                <w:color w:val="000000"/>
                <w:sz w:val="18"/>
                <w:szCs w:val="18"/>
              </w:rPr>
            </w:pPr>
            <w:r w:rsidRPr="001B4CA2">
              <w:rPr>
                <w:color w:val="000000"/>
                <w:sz w:val="18"/>
                <w:szCs w:val="18"/>
              </w:rPr>
              <w:t>116%</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5F1E2A3" w14:textId="77777777" w:rsidR="000740F7" w:rsidRPr="001B4CA2" w:rsidRDefault="000740F7" w:rsidP="006D0A51">
            <w:pPr>
              <w:jc w:val="center"/>
              <w:rPr>
                <w:color w:val="000000"/>
                <w:sz w:val="18"/>
                <w:szCs w:val="18"/>
              </w:rPr>
            </w:pPr>
            <w:r w:rsidRPr="001B4CA2">
              <w:rPr>
                <w:color w:val="000000"/>
                <w:sz w:val="18"/>
                <w:szCs w:val="18"/>
              </w:rPr>
              <w:t>43,6</w:t>
            </w:r>
          </w:p>
        </w:tc>
      </w:tr>
      <w:tr w:rsidR="000740F7" w:rsidRPr="001B4CA2" w14:paraId="3BFE3CBE" w14:textId="77777777" w:rsidTr="001F53E7">
        <w:trPr>
          <w:gridBefore w:val="1"/>
          <w:wBefore w:w="250" w:type="dxa"/>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8AE8B"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2019.</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10ECBFA0"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00848" w14:textId="77777777" w:rsidR="000740F7" w:rsidRPr="001B4CA2" w:rsidRDefault="000740F7" w:rsidP="006D0A51">
            <w:pPr>
              <w:jc w:val="center"/>
              <w:rPr>
                <w:color w:val="000000"/>
                <w:sz w:val="18"/>
                <w:szCs w:val="18"/>
              </w:rPr>
            </w:pPr>
            <w:r w:rsidRPr="001B4CA2">
              <w:rPr>
                <w:color w:val="000000"/>
                <w:sz w:val="18"/>
                <w:szCs w:val="18"/>
              </w:rPr>
              <w:t>4.019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BCAA3F8" w14:textId="77777777" w:rsidR="000740F7" w:rsidRPr="001B4CA2" w:rsidRDefault="000740F7" w:rsidP="006D0A51">
            <w:pPr>
              <w:jc w:val="center"/>
              <w:rPr>
                <w:color w:val="000000"/>
                <w:sz w:val="18"/>
                <w:szCs w:val="18"/>
              </w:rPr>
            </w:pPr>
            <w:r w:rsidRPr="001B4CA2">
              <w:rPr>
                <w:color w:val="000000"/>
                <w:sz w:val="18"/>
                <w:szCs w:val="18"/>
              </w:rPr>
              <w:t>4.693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8015DED" w14:textId="77777777" w:rsidR="000740F7" w:rsidRPr="001B4CA2" w:rsidRDefault="000740F7" w:rsidP="006D0A51">
            <w:pPr>
              <w:jc w:val="center"/>
              <w:rPr>
                <w:color w:val="000000"/>
                <w:sz w:val="18"/>
                <w:szCs w:val="18"/>
              </w:rPr>
            </w:pPr>
            <w:r w:rsidRPr="001B4CA2">
              <w:rPr>
                <w:color w:val="000000"/>
                <w:sz w:val="18"/>
                <w:szCs w:val="18"/>
              </w:rPr>
              <w:t>1.454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7D1840" w14:textId="77777777" w:rsidR="000740F7" w:rsidRPr="001B4CA2" w:rsidRDefault="000740F7" w:rsidP="006D0A51">
            <w:pPr>
              <w:jc w:val="center"/>
              <w:rPr>
                <w:color w:val="000000"/>
                <w:sz w:val="18"/>
                <w:szCs w:val="18"/>
              </w:rPr>
            </w:pPr>
            <w:r w:rsidRPr="001B4CA2">
              <w:rPr>
                <w:color w:val="000000"/>
                <w:sz w:val="18"/>
                <w:szCs w:val="18"/>
              </w:rPr>
              <w:t>117%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183034" w14:textId="77777777" w:rsidR="000740F7" w:rsidRPr="001B4CA2" w:rsidRDefault="000740F7" w:rsidP="006D0A51">
            <w:pPr>
              <w:jc w:val="center"/>
              <w:rPr>
                <w:color w:val="000000"/>
                <w:sz w:val="18"/>
                <w:szCs w:val="18"/>
              </w:rPr>
            </w:pPr>
            <w:r w:rsidRPr="001B4CA2">
              <w:rPr>
                <w:color w:val="000000"/>
                <w:sz w:val="18"/>
                <w:szCs w:val="18"/>
              </w:rPr>
              <w:t>113,1</w:t>
            </w:r>
          </w:p>
        </w:tc>
      </w:tr>
      <w:tr w:rsidR="000740F7" w:rsidRPr="001B4CA2" w14:paraId="012D9AFF" w14:textId="77777777" w:rsidTr="001F53E7">
        <w:trPr>
          <w:gridBefore w:val="1"/>
          <w:wBefore w:w="250" w:type="dxa"/>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236D169F" w14:textId="77777777" w:rsidR="000740F7" w:rsidRPr="001B4CA2" w:rsidRDefault="000740F7" w:rsidP="006D0A51">
            <w:pPr>
              <w:jc w:val="center"/>
              <w:rPr>
                <w:rFonts w:eastAsia="Times New Roman"/>
                <w:sz w:val="18"/>
                <w:szCs w:val="18"/>
                <w:lang w:eastAsia="hr-HR"/>
              </w:rPr>
            </w:pP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2B09A42F"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C716C" w14:textId="77777777" w:rsidR="000740F7" w:rsidRPr="001B4CA2" w:rsidRDefault="000740F7" w:rsidP="006D0A51">
            <w:pPr>
              <w:jc w:val="center"/>
              <w:rPr>
                <w:color w:val="000000"/>
                <w:sz w:val="18"/>
                <w:szCs w:val="18"/>
              </w:rPr>
            </w:pPr>
            <w:r w:rsidRPr="001B4CA2">
              <w:rPr>
                <w:color w:val="000000"/>
                <w:sz w:val="18"/>
                <w:szCs w:val="18"/>
              </w:rPr>
              <w:t>1.308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8C8079D" w14:textId="77777777" w:rsidR="000740F7" w:rsidRPr="001B4CA2" w:rsidRDefault="000740F7" w:rsidP="006D0A51">
            <w:pPr>
              <w:jc w:val="center"/>
              <w:rPr>
                <w:color w:val="000000"/>
                <w:sz w:val="18"/>
                <w:szCs w:val="18"/>
              </w:rPr>
            </w:pPr>
            <w:r w:rsidRPr="001B4CA2">
              <w:rPr>
                <w:color w:val="000000"/>
                <w:sz w:val="18"/>
                <w:szCs w:val="18"/>
              </w:rPr>
              <w:t>1.203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CD8E189" w14:textId="77777777" w:rsidR="000740F7" w:rsidRPr="001B4CA2" w:rsidRDefault="000740F7" w:rsidP="006D0A51">
            <w:pPr>
              <w:jc w:val="center"/>
              <w:rPr>
                <w:color w:val="000000"/>
                <w:sz w:val="18"/>
                <w:szCs w:val="18"/>
              </w:rPr>
            </w:pPr>
            <w:r w:rsidRPr="001B4CA2">
              <w:rPr>
                <w:color w:val="000000"/>
                <w:sz w:val="18"/>
                <w:szCs w:val="18"/>
              </w:rPr>
              <w:t>254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75113E5" w14:textId="77777777" w:rsidR="000740F7" w:rsidRPr="001B4CA2" w:rsidRDefault="000740F7" w:rsidP="006D0A51">
            <w:pPr>
              <w:jc w:val="center"/>
              <w:rPr>
                <w:color w:val="000000"/>
                <w:sz w:val="18"/>
                <w:szCs w:val="18"/>
              </w:rPr>
            </w:pPr>
            <w:r w:rsidRPr="001B4CA2">
              <w:rPr>
                <w:color w:val="000000"/>
                <w:sz w:val="18"/>
                <w:szCs w:val="18"/>
              </w:rPr>
              <w:t>92%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750AD7" w14:textId="77777777" w:rsidR="000740F7" w:rsidRPr="001B4CA2" w:rsidRDefault="000740F7" w:rsidP="006D0A51">
            <w:pPr>
              <w:jc w:val="center"/>
              <w:rPr>
                <w:color w:val="000000"/>
                <w:sz w:val="18"/>
                <w:szCs w:val="18"/>
              </w:rPr>
            </w:pPr>
            <w:r w:rsidRPr="001B4CA2">
              <w:rPr>
                <w:color w:val="000000"/>
                <w:sz w:val="18"/>
                <w:szCs w:val="18"/>
              </w:rPr>
              <w:t>77,1</w:t>
            </w:r>
          </w:p>
        </w:tc>
      </w:tr>
      <w:tr w:rsidR="000740F7" w:rsidRPr="001B4CA2" w14:paraId="30529038" w14:textId="77777777" w:rsidTr="001F53E7">
        <w:trPr>
          <w:gridBefore w:val="1"/>
          <w:wBefore w:w="250" w:type="dxa"/>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FE7A7"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2020.</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0A86C24C"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88744" w14:textId="77777777" w:rsidR="000740F7" w:rsidRPr="001B4CA2" w:rsidRDefault="000740F7" w:rsidP="006D0A51">
            <w:pPr>
              <w:jc w:val="center"/>
              <w:rPr>
                <w:color w:val="000000"/>
                <w:sz w:val="18"/>
                <w:szCs w:val="18"/>
              </w:rPr>
            </w:pPr>
            <w:r w:rsidRPr="001B4CA2">
              <w:rPr>
                <w:color w:val="000000"/>
                <w:sz w:val="18"/>
                <w:szCs w:val="18"/>
              </w:rPr>
              <w:t>4.141 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3CA3B9C" w14:textId="77777777" w:rsidR="000740F7" w:rsidRPr="001B4CA2" w:rsidRDefault="000740F7" w:rsidP="006D0A51">
            <w:pPr>
              <w:jc w:val="center"/>
              <w:rPr>
                <w:color w:val="000000"/>
                <w:sz w:val="18"/>
                <w:szCs w:val="18"/>
              </w:rPr>
            </w:pPr>
            <w:r w:rsidRPr="001B4CA2">
              <w:rPr>
                <w:color w:val="000000"/>
                <w:sz w:val="18"/>
                <w:szCs w:val="18"/>
              </w:rPr>
              <w:t>4.226 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05D858D" w14:textId="77777777" w:rsidR="000740F7" w:rsidRPr="001B4CA2" w:rsidRDefault="000740F7" w:rsidP="006D0A51">
            <w:pPr>
              <w:jc w:val="center"/>
              <w:rPr>
                <w:color w:val="000000"/>
                <w:sz w:val="18"/>
                <w:szCs w:val="18"/>
              </w:rPr>
            </w:pPr>
            <w:r w:rsidRPr="001B4CA2">
              <w:rPr>
                <w:color w:val="000000"/>
                <w:sz w:val="18"/>
                <w:szCs w:val="18"/>
              </w:rPr>
              <w:t>975 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D91657" w14:textId="77777777" w:rsidR="000740F7" w:rsidRPr="001B4CA2" w:rsidRDefault="000740F7" w:rsidP="006D0A51">
            <w:pPr>
              <w:jc w:val="center"/>
              <w:rPr>
                <w:color w:val="000000"/>
                <w:sz w:val="18"/>
                <w:szCs w:val="18"/>
              </w:rPr>
            </w:pPr>
            <w:r w:rsidRPr="001B4CA2">
              <w:rPr>
                <w:color w:val="000000"/>
                <w:sz w:val="18"/>
                <w:szCs w:val="18"/>
              </w:rPr>
              <w:t>102%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3AD037" w14:textId="77777777" w:rsidR="000740F7" w:rsidRPr="001B4CA2" w:rsidRDefault="000740F7" w:rsidP="006D0A51">
            <w:pPr>
              <w:jc w:val="center"/>
              <w:rPr>
                <w:color w:val="000000"/>
                <w:sz w:val="18"/>
                <w:szCs w:val="18"/>
              </w:rPr>
            </w:pPr>
            <w:r w:rsidRPr="001B4CA2">
              <w:rPr>
                <w:color w:val="000000"/>
                <w:sz w:val="18"/>
                <w:szCs w:val="18"/>
              </w:rPr>
              <w:t>84,2 </w:t>
            </w:r>
          </w:p>
        </w:tc>
      </w:tr>
      <w:tr w:rsidR="000740F7" w:rsidRPr="001B4CA2" w14:paraId="653FE4C0" w14:textId="77777777" w:rsidTr="001F53E7">
        <w:trPr>
          <w:gridBefore w:val="1"/>
          <w:wBefore w:w="250" w:type="dxa"/>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6A737DB2" w14:textId="77777777" w:rsidR="000740F7" w:rsidRPr="001B4CA2" w:rsidRDefault="000740F7" w:rsidP="006D0A51">
            <w:pPr>
              <w:jc w:val="center"/>
              <w:rPr>
                <w:rFonts w:eastAsia="Times New Roman"/>
                <w:sz w:val="18"/>
                <w:szCs w:val="18"/>
                <w:lang w:eastAsia="hr-HR"/>
              </w:rPr>
            </w:pP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6BAA0F32"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5E2D4" w14:textId="77777777" w:rsidR="000740F7" w:rsidRPr="001B4CA2" w:rsidRDefault="000740F7" w:rsidP="006D0A51">
            <w:pPr>
              <w:jc w:val="center"/>
              <w:rPr>
                <w:color w:val="000000"/>
                <w:sz w:val="18"/>
                <w:szCs w:val="18"/>
              </w:rPr>
            </w:pPr>
            <w:r w:rsidRPr="001B4CA2">
              <w:rPr>
                <w:color w:val="000000"/>
                <w:sz w:val="18"/>
                <w:szCs w:val="18"/>
              </w:rPr>
              <w:t>1.387 </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0ABCDFC" w14:textId="77777777" w:rsidR="000740F7" w:rsidRPr="001B4CA2" w:rsidRDefault="000740F7" w:rsidP="006D0A51">
            <w:pPr>
              <w:jc w:val="center"/>
              <w:rPr>
                <w:color w:val="000000"/>
                <w:sz w:val="18"/>
                <w:szCs w:val="18"/>
              </w:rPr>
            </w:pPr>
            <w:r w:rsidRPr="001B4CA2">
              <w:rPr>
                <w:color w:val="000000"/>
                <w:sz w:val="18"/>
                <w:szCs w:val="18"/>
              </w:rPr>
              <w:t>1.351 </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A0A16D7" w14:textId="77777777" w:rsidR="000740F7" w:rsidRPr="001B4CA2" w:rsidRDefault="000740F7" w:rsidP="006D0A51">
            <w:pPr>
              <w:jc w:val="center"/>
              <w:rPr>
                <w:color w:val="000000"/>
                <w:sz w:val="18"/>
                <w:szCs w:val="18"/>
              </w:rPr>
            </w:pPr>
            <w:r w:rsidRPr="001B4CA2">
              <w:rPr>
                <w:color w:val="000000"/>
                <w:sz w:val="18"/>
                <w:szCs w:val="18"/>
              </w:rPr>
              <w:t>282 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1AE4DD" w14:textId="77777777" w:rsidR="000740F7" w:rsidRPr="001B4CA2" w:rsidRDefault="000740F7" w:rsidP="006D0A51">
            <w:pPr>
              <w:jc w:val="center"/>
              <w:rPr>
                <w:color w:val="000000"/>
                <w:sz w:val="18"/>
                <w:szCs w:val="18"/>
              </w:rPr>
            </w:pPr>
            <w:r w:rsidRPr="001B4CA2">
              <w:rPr>
                <w:color w:val="000000"/>
                <w:sz w:val="18"/>
                <w:szCs w:val="18"/>
              </w:rPr>
              <w:t>97%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CAB2F2" w14:textId="77777777" w:rsidR="000740F7" w:rsidRPr="001B4CA2" w:rsidRDefault="000740F7" w:rsidP="006D0A51">
            <w:pPr>
              <w:jc w:val="center"/>
              <w:rPr>
                <w:color w:val="000000"/>
                <w:sz w:val="18"/>
                <w:szCs w:val="18"/>
              </w:rPr>
            </w:pPr>
            <w:r w:rsidRPr="001B4CA2">
              <w:rPr>
                <w:color w:val="000000"/>
                <w:sz w:val="18"/>
                <w:szCs w:val="18"/>
              </w:rPr>
              <w:t>76,2 </w:t>
            </w:r>
          </w:p>
        </w:tc>
      </w:tr>
      <w:tr w:rsidR="000740F7" w:rsidRPr="001B4CA2" w14:paraId="2DFAD1C8" w14:textId="77777777" w:rsidTr="001F53E7">
        <w:trPr>
          <w:gridBefore w:val="1"/>
          <w:wBefore w:w="250" w:type="dxa"/>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3776E2"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2021.</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6DD8B3D6"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7FCA0" w14:textId="77777777" w:rsidR="000740F7" w:rsidRPr="001B4CA2" w:rsidRDefault="000740F7" w:rsidP="006D0A51">
            <w:pPr>
              <w:jc w:val="center"/>
              <w:rPr>
                <w:color w:val="000000"/>
                <w:sz w:val="18"/>
                <w:szCs w:val="18"/>
              </w:rPr>
            </w:pPr>
            <w:r w:rsidRPr="001B4CA2">
              <w:rPr>
                <w:color w:val="000000"/>
                <w:sz w:val="18"/>
                <w:szCs w:val="18"/>
              </w:rPr>
              <w:t>4.779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233E8B" w14:textId="77777777" w:rsidR="000740F7" w:rsidRPr="001B4CA2" w:rsidRDefault="000740F7" w:rsidP="006D0A51">
            <w:pPr>
              <w:jc w:val="center"/>
              <w:rPr>
                <w:color w:val="000000"/>
                <w:sz w:val="18"/>
                <w:szCs w:val="18"/>
              </w:rPr>
            </w:pPr>
            <w:r w:rsidRPr="001B4CA2">
              <w:rPr>
                <w:color w:val="000000"/>
                <w:sz w:val="18"/>
                <w:szCs w:val="18"/>
              </w:rPr>
              <w:t>4.858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6235215" w14:textId="77777777" w:rsidR="000740F7" w:rsidRPr="001B4CA2" w:rsidRDefault="000740F7" w:rsidP="006D0A51">
            <w:pPr>
              <w:jc w:val="center"/>
              <w:rPr>
                <w:color w:val="000000"/>
                <w:sz w:val="18"/>
                <w:szCs w:val="18"/>
              </w:rPr>
            </w:pPr>
            <w:r w:rsidRPr="001B4CA2">
              <w:rPr>
                <w:color w:val="000000"/>
                <w:sz w:val="18"/>
                <w:szCs w:val="18"/>
              </w:rPr>
              <w:t>840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410C593" w14:textId="77777777" w:rsidR="000740F7" w:rsidRPr="001B4CA2" w:rsidRDefault="000740F7" w:rsidP="006D0A51">
            <w:pPr>
              <w:jc w:val="center"/>
              <w:rPr>
                <w:color w:val="000000"/>
                <w:sz w:val="18"/>
                <w:szCs w:val="18"/>
              </w:rPr>
            </w:pPr>
            <w:r w:rsidRPr="001B4CA2">
              <w:rPr>
                <w:color w:val="000000"/>
                <w:sz w:val="18"/>
                <w:szCs w:val="18"/>
              </w:rPr>
              <w:t>102%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7858FE" w14:textId="77777777" w:rsidR="000740F7" w:rsidRPr="001B4CA2" w:rsidRDefault="000740F7" w:rsidP="006D0A51">
            <w:pPr>
              <w:jc w:val="center"/>
              <w:rPr>
                <w:color w:val="000000"/>
                <w:sz w:val="18"/>
                <w:szCs w:val="18"/>
              </w:rPr>
            </w:pPr>
            <w:r w:rsidRPr="001B4CA2">
              <w:rPr>
                <w:color w:val="000000"/>
                <w:sz w:val="18"/>
                <w:szCs w:val="18"/>
              </w:rPr>
              <w:t>63,1</w:t>
            </w:r>
          </w:p>
        </w:tc>
      </w:tr>
      <w:tr w:rsidR="000740F7" w:rsidRPr="001B4CA2" w14:paraId="69BBEFF4" w14:textId="77777777" w:rsidTr="001F53E7">
        <w:trPr>
          <w:gridBefore w:val="1"/>
          <w:wBefore w:w="250" w:type="dxa"/>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0A4EA067" w14:textId="77777777" w:rsidR="000740F7" w:rsidRPr="001B4CA2" w:rsidRDefault="000740F7" w:rsidP="006D0A51">
            <w:pPr>
              <w:jc w:val="center"/>
              <w:rPr>
                <w:rFonts w:eastAsia="Times New Roman"/>
                <w:sz w:val="18"/>
                <w:szCs w:val="18"/>
                <w:lang w:eastAsia="hr-HR"/>
              </w:rPr>
            </w:pP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056C527C"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501F7" w14:textId="77777777" w:rsidR="000740F7" w:rsidRPr="001B4CA2" w:rsidRDefault="000740F7" w:rsidP="006D0A51">
            <w:pPr>
              <w:jc w:val="center"/>
              <w:rPr>
                <w:color w:val="000000"/>
                <w:sz w:val="18"/>
                <w:szCs w:val="18"/>
              </w:rPr>
            </w:pPr>
            <w:r w:rsidRPr="001B4CA2">
              <w:rPr>
                <w:color w:val="000000"/>
                <w:sz w:val="18"/>
                <w:szCs w:val="18"/>
              </w:rPr>
              <w:t>1.551</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0492CF0" w14:textId="77777777" w:rsidR="000740F7" w:rsidRPr="001B4CA2" w:rsidRDefault="000740F7" w:rsidP="006D0A51">
            <w:pPr>
              <w:jc w:val="center"/>
              <w:rPr>
                <w:color w:val="000000"/>
                <w:sz w:val="18"/>
                <w:szCs w:val="18"/>
              </w:rPr>
            </w:pPr>
            <w:r w:rsidRPr="001B4CA2">
              <w:rPr>
                <w:color w:val="000000"/>
                <w:sz w:val="18"/>
                <w:szCs w:val="18"/>
              </w:rPr>
              <w:t>1.673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24D9C40" w14:textId="77777777" w:rsidR="000740F7" w:rsidRPr="001B4CA2" w:rsidRDefault="000740F7" w:rsidP="006D0A51">
            <w:pPr>
              <w:jc w:val="center"/>
              <w:rPr>
                <w:color w:val="000000"/>
                <w:sz w:val="18"/>
                <w:szCs w:val="18"/>
              </w:rPr>
            </w:pPr>
            <w:r w:rsidRPr="001B4CA2">
              <w:rPr>
                <w:color w:val="000000"/>
                <w:sz w:val="18"/>
                <w:szCs w:val="18"/>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700B68" w14:textId="77777777" w:rsidR="000740F7" w:rsidRPr="001B4CA2" w:rsidRDefault="000740F7" w:rsidP="006D0A51">
            <w:pPr>
              <w:jc w:val="center"/>
              <w:rPr>
                <w:color w:val="000000"/>
                <w:sz w:val="18"/>
                <w:szCs w:val="18"/>
              </w:rPr>
            </w:pPr>
            <w:r w:rsidRPr="001B4CA2">
              <w:rPr>
                <w:color w:val="000000"/>
                <w:sz w:val="18"/>
                <w:szCs w:val="18"/>
              </w:rPr>
              <w:t>108%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37279EA" w14:textId="77777777" w:rsidR="000740F7" w:rsidRPr="001B4CA2" w:rsidRDefault="000740F7" w:rsidP="006D0A51">
            <w:pPr>
              <w:jc w:val="center"/>
              <w:rPr>
                <w:color w:val="000000"/>
                <w:sz w:val="18"/>
                <w:szCs w:val="18"/>
              </w:rPr>
            </w:pPr>
            <w:r w:rsidRPr="001B4CA2">
              <w:rPr>
                <w:color w:val="000000"/>
                <w:sz w:val="18"/>
                <w:szCs w:val="18"/>
              </w:rPr>
              <w:t>34,9</w:t>
            </w:r>
          </w:p>
        </w:tc>
      </w:tr>
      <w:tr w:rsidR="000740F7" w:rsidRPr="001B4CA2" w14:paraId="082879CE" w14:textId="77777777" w:rsidTr="001F53E7">
        <w:trPr>
          <w:gridBefore w:val="1"/>
          <w:wBefore w:w="250" w:type="dxa"/>
          <w:trHeight w:val="300"/>
        </w:trPr>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15DB2"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2022.</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6BA471BE"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KO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C7E70" w14:textId="77777777" w:rsidR="000740F7" w:rsidRPr="001B4CA2" w:rsidRDefault="000740F7" w:rsidP="006D0A51">
            <w:pPr>
              <w:jc w:val="center"/>
              <w:rPr>
                <w:color w:val="000000"/>
                <w:sz w:val="18"/>
                <w:szCs w:val="18"/>
              </w:rPr>
            </w:pPr>
            <w:r w:rsidRPr="001B4CA2">
              <w:rPr>
                <w:color w:val="000000"/>
                <w:sz w:val="18"/>
                <w:szCs w:val="18"/>
              </w:rPr>
              <w:t>4.556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A7B3E44" w14:textId="77777777" w:rsidR="000740F7" w:rsidRPr="001B4CA2" w:rsidRDefault="000740F7" w:rsidP="006D0A51">
            <w:pPr>
              <w:jc w:val="center"/>
              <w:rPr>
                <w:color w:val="000000"/>
                <w:sz w:val="18"/>
                <w:szCs w:val="18"/>
              </w:rPr>
            </w:pPr>
            <w:r w:rsidRPr="001B4CA2">
              <w:rPr>
                <w:color w:val="000000"/>
                <w:sz w:val="18"/>
                <w:szCs w:val="18"/>
              </w:rPr>
              <w:t>4.463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5109DA8" w14:textId="77777777" w:rsidR="000740F7" w:rsidRPr="001B4CA2" w:rsidRDefault="000740F7" w:rsidP="006D0A51">
            <w:pPr>
              <w:jc w:val="center"/>
              <w:rPr>
                <w:color w:val="000000"/>
                <w:sz w:val="18"/>
                <w:szCs w:val="18"/>
              </w:rPr>
            </w:pPr>
            <w:r w:rsidRPr="001B4CA2">
              <w:rPr>
                <w:color w:val="000000"/>
                <w:sz w:val="18"/>
                <w:szCs w:val="18"/>
              </w:rPr>
              <w:t>828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7CFF8A" w14:textId="77777777" w:rsidR="000740F7" w:rsidRPr="001B4CA2" w:rsidRDefault="000740F7" w:rsidP="006D0A51">
            <w:pPr>
              <w:jc w:val="center"/>
              <w:rPr>
                <w:color w:val="000000"/>
                <w:sz w:val="18"/>
                <w:szCs w:val="18"/>
              </w:rPr>
            </w:pPr>
            <w:r w:rsidRPr="001B4CA2">
              <w:rPr>
                <w:color w:val="000000"/>
                <w:sz w:val="18"/>
                <w:szCs w:val="18"/>
              </w:rPr>
              <w:t>98%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B640BE1" w14:textId="77777777" w:rsidR="000740F7" w:rsidRPr="001B4CA2" w:rsidRDefault="000740F7" w:rsidP="006D0A51">
            <w:pPr>
              <w:jc w:val="center"/>
              <w:rPr>
                <w:color w:val="000000"/>
                <w:sz w:val="18"/>
                <w:szCs w:val="18"/>
              </w:rPr>
            </w:pPr>
            <w:r w:rsidRPr="001B4CA2">
              <w:rPr>
                <w:color w:val="000000"/>
                <w:sz w:val="18"/>
                <w:szCs w:val="18"/>
              </w:rPr>
              <w:t>67,7</w:t>
            </w:r>
          </w:p>
        </w:tc>
      </w:tr>
      <w:tr w:rsidR="000740F7" w:rsidRPr="001B4CA2" w14:paraId="673A82BE" w14:textId="77777777" w:rsidTr="001F53E7">
        <w:trPr>
          <w:gridBefore w:val="1"/>
          <w:wBefore w:w="250" w:type="dxa"/>
          <w:trHeight w:val="300"/>
        </w:trPr>
        <w:tc>
          <w:tcPr>
            <w:tcW w:w="1113" w:type="dxa"/>
            <w:vMerge/>
            <w:tcBorders>
              <w:top w:val="single" w:sz="4" w:space="0" w:color="auto"/>
              <w:left w:val="single" w:sz="4" w:space="0" w:color="auto"/>
              <w:bottom w:val="single" w:sz="4" w:space="0" w:color="auto"/>
              <w:right w:val="single" w:sz="4" w:space="0" w:color="auto"/>
            </w:tcBorders>
            <w:vAlign w:val="center"/>
            <w:hideMark/>
          </w:tcPr>
          <w:p w14:paraId="13D576C1" w14:textId="77777777" w:rsidR="000740F7" w:rsidRPr="001B4CA2" w:rsidRDefault="000740F7" w:rsidP="006D0A51">
            <w:pPr>
              <w:jc w:val="center"/>
              <w:rPr>
                <w:rFonts w:eastAsia="Times New Roman"/>
                <w:sz w:val="18"/>
                <w:szCs w:val="18"/>
                <w:lang w:eastAsia="hr-HR"/>
              </w:rPr>
            </w:pP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14:paraId="7F399650"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GUO</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870D9" w14:textId="77777777" w:rsidR="000740F7" w:rsidRPr="001B4CA2" w:rsidRDefault="000740F7" w:rsidP="006D0A51">
            <w:pPr>
              <w:jc w:val="center"/>
              <w:rPr>
                <w:color w:val="000000"/>
                <w:sz w:val="18"/>
                <w:szCs w:val="18"/>
              </w:rPr>
            </w:pPr>
            <w:r w:rsidRPr="001B4CA2">
              <w:rPr>
                <w:color w:val="000000"/>
                <w:sz w:val="18"/>
                <w:szCs w:val="18"/>
              </w:rPr>
              <w:t>1.202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1E2359" w14:textId="77777777" w:rsidR="000740F7" w:rsidRPr="001B4CA2" w:rsidRDefault="000740F7" w:rsidP="006D0A51">
            <w:pPr>
              <w:jc w:val="center"/>
              <w:rPr>
                <w:color w:val="000000"/>
                <w:sz w:val="18"/>
                <w:szCs w:val="18"/>
              </w:rPr>
            </w:pPr>
            <w:r w:rsidRPr="001B4CA2">
              <w:rPr>
                <w:color w:val="000000"/>
                <w:sz w:val="18"/>
                <w:szCs w:val="18"/>
              </w:rPr>
              <w:t>1.186</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43F0A77" w14:textId="77777777" w:rsidR="000740F7" w:rsidRPr="001B4CA2" w:rsidRDefault="000740F7" w:rsidP="006D0A51">
            <w:pPr>
              <w:jc w:val="center"/>
              <w:rPr>
                <w:color w:val="000000"/>
                <w:sz w:val="18"/>
                <w:szCs w:val="18"/>
              </w:rPr>
            </w:pPr>
            <w:r w:rsidRPr="001B4CA2">
              <w:rPr>
                <w:color w:val="000000"/>
                <w:sz w:val="18"/>
                <w:szCs w:val="18"/>
              </w:rPr>
              <w:t>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18137E5" w14:textId="77777777" w:rsidR="000740F7" w:rsidRPr="001B4CA2" w:rsidRDefault="000740F7" w:rsidP="006D0A51">
            <w:pPr>
              <w:jc w:val="center"/>
              <w:rPr>
                <w:color w:val="000000"/>
                <w:sz w:val="18"/>
                <w:szCs w:val="18"/>
              </w:rPr>
            </w:pPr>
            <w:r w:rsidRPr="001B4CA2">
              <w:rPr>
                <w:color w:val="000000"/>
                <w:sz w:val="18"/>
                <w:szCs w:val="18"/>
              </w:rPr>
              <w:t>99%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4A1CAA" w14:textId="77777777" w:rsidR="000740F7" w:rsidRPr="001B4CA2" w:rsidRDefault="000740F7" w:rsidP="006D0A51">
            <w:pPr>
              <w:jc w:val="center"/>
              <w:rPr>
                <w:color w:val="000000"/>
                <w:sz w:val="18"/>
                <w:szCs w:val="18"/>
              </w:rPr>
            </w:pPr>
            <w:r w:rsidRPr="001B4CA2">
              <w:rPr>
                <w:color w:val="000000"/>
                <w:sz w:val="18"/>
                <w:szCs w:val="18"/>
              </w:rPr>
              <w:t>53,9</w:t>
            </w:r>
          </w:p>
        </w:tc>
      </w:tr>
    </w:tbl>
    <w:p w14:paraId="4AB69CD2" w14:textId="77777777" w:rsidR="000740F7" w:rsidRPr="001B4CA2" w:rsidRDefault="000740F7" w:rsidP="000740F7"/>
    <w:p w14:paraId="5AAB1069" w14:textId="4BB4BB62" w:rsidR="000740F7" w:rsidRPr="001B4CA2" w:rsidRDefault="000740F7" w:rsidP="000740F7">
      <w:pPr>
        <w:ind w:firstLine="708"/>
      </w:pPr>
      <w:r w:rsidRPr="001B4CA2">
        <w:t>U gornjoj tablici dan je brojčani prikaz primljenih i riješenih predmeta u petogodišnjem razdoblju u kaznenom odjelu i građansko upravnom odjelu Državnog odvjetništva Republike Hrvatske. Usprkos nedovoljnom broju zamjenika, pojačanim zalaganjem zamjenika obaju odjela</w:t>
      </w:r>
      <w:r w:rsidR="001B4CA2">
        <w:t xml:space="preserve"> </w:t>
      </w:r>
      <w:r w:rsidRPr="001B4CA2">
        <w:t xml:space="preserve">zadržana je visoka stopa ažurnosti, koja iznosi 98 % u kaznenom odjelu, odnosno 99% u građansko-upravnom odjelu. </w:t>
      </w:r>
    </w:p>
    <w:p w14:paraId="3462B893" w14:textId="77777777" w:rsidR="000740F7" w:rsidRPr="001B4CA2" w:rsidRDefault="000740F7" w:rsidP="005F61EE"/>
    <w:p w14:paraId="33A7ACE1" w14:textId="77777777" w:rsidR="00BB4D48" w:rsidRPr="001B4CA2" w:rsidRDefault="00BB4D48" w:rsidP="00B45008">
      <w:pPr>
        <w:pStyle w:val="Naslov3"/>
        <w:rPr>
          <w:rFonts w:ascii="Arial" w:hAnsi="Arial" w:cs="Arial"/>
        </w:rPr>
      </w:pPr>
      <w:bookmarkStart w:id="9" w:name="_Toc133394273"/>
      <w:r w:rsidRPr="001B4CA2">
        <w:rPr>
          <w:rFonts w:ascii="Arial" w:hAnsi="Arial" w:cs="Arial"/>
        </w:rPr>
        <w:t>Pregled kretanja riješenih i ner</w:t>
      </w:r>
      <w:r w:rsidR="00D80F32" w:rsidRPr="001B4CA2">
        <w:rPr>
          <w:rFonts w:ascii="Arial" w:hAnsi="Arial" w:cs="Arial"/>
        </w:rPr>
        <w:t>iješenih predmeta po godinama</w:t>
      </w:r>
      <w:bookmarkEnd w:id="9"/>
    </w:p>
    <w:p w14:paraId="2B190BAD" w14:textId="3CCEF0BF" w:rsidR="00C85565" w:rsidRPr="001B4CA2" w:rsidRDefault="00C85565" w:rsidP="003A1BB1"/>
    <w:p w14:paraId="57E7FA29" w14:textId="77777777" w:rsidR="000740F7" w:rsidRPr="001B4CA2" w:rsidRDefault="000740F7" w:rsidP="000740F7">
      <w:r w:rsidRPr="001B4CA2">
        <w:rPr>
          <w:noProof/>
          <w:lang w:eastAsia="hr-HR"/>
        </w:rPr>
        <w:drawing>
          <wp:inline distT="0" distB="0" distL="0" distR="0" wp14:anchorId="4C912D51" wp14:editId="440A9909">
            <wp:extent cx="5621461" cy="3383915"/>
            <wp:effectExtent l="0" t="0" r="17780" b="6985"/>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74DCDE" w14:textId="77777777" w:rsidR="000740F7" w:rsidRPr="001B4CA2" w:rsidRDefault="000740F7" w:rsidP="000740F7"/>
    <w:p w14:paraId="134A3905" w14:textId="58246950" w:rsidR="000740F7" w:rsidRPr="001B4CA2" w:rsidRDefault="000740F7" w:rsidP="000740F7">
      <w:pPr>
        <w:ind w:firstLine="708"/>
      </w:pPr>
      <w:r w:rsidRPr="001B4CA2">
        <w:t>Broj riješenih predmeta na svim razinama državnog odvjetništva</w:t>
      </w:r>
      <w:r w:rsidR="001B4CA2">
        <w:t xml:space="preserve"> </w:t>
      </w:r>
      <w:r w:rsidRPr="001B4CA2">
        <w:t xml:space="preserve">na razini </w:t>
      </w:r>
      <w:r w:rsidR="00727861" w:rsidRPr="001B4CA2">
        <w:t>je</w:t>
      </w:r>
      <w:r w:rsidR="00727861">
        <w:t xml:space="preserve"> </w:t>
      </w:r>
      <w:r w:rsidRPr="001B4CA2">
        <w:t>prosjeka posljednjih pet godina.</w:t>
      </w:r>
    </w:p>
    <w:p w14:paraId="69C6F01E" w14:textId="77777777" w:rsidR="000740F7" w:rsidRPr="001B4CA2" w:rsidRDefault="000740F7" w:rsidP="000740F7"/>
    <w:p w14:paraId="0FF6A5F6" w14:textId="77777777" w:rsidR="000740F7" w:rsidRPr="001B4CA2" w:rsidRDefault="000740F7" w:rsidP="000740F7">
      <w:r w:rsidRPr="001B4CA2">
        <w:rPr>
          <w:noProof/>
          <w:lang w:eastAsia="hr-HR"/>
        </w:rPr>
        <w:lastRenderedPageBreak/>
        <w:drawing>
          <wp:inline distT="0" distB="0" distL="0" distR="0" wp14:anchorId="0716AA14" wp14:editId="013F522E">
            <wp:extent cx="5597276" cy="3355451"/>
            <wp:effectExtent l="0" t="0" r="3810" b="1651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4999E6" w14:textId="77777777" w:rsidR="000740F7" w:rsidRPr="001B4CA2" w:rsidRDefault="000740F7" w:rsidP="000740F7"/>
    <w:p w14:paraId="16A1C3A1" w14:textId="77777777" w:rsidR="000740F7" w:rsidRPr="001B4CA2" w:rsidRDefault="000740F7" w:rsidP="000740F7">
      <w:pPr>
        <w:ind w:firstLine="709"/>
      </w:pPr>
      <w:r w:rsidRPr="001B4CA2">
        <w:t>U promatranom razdoblju broj neriješenih predmeta na svim razinama državnog odvjetništva u pravilu se smanjio, dok je kod općinskih državnih odvjetništava na razini prosjeka u posljednjih pet godina.</w:t>
      </w:r>
    </w:p>
    <w:p w14:paraId="56DABE5F" w14:textId="77777777" w:rsidR="000740F7" w:rsidRPr="001B4CA2" w:rsidRDefault="000740F7" w:rsidP="000740F7"/>
    <w:p w14:paraId="20C615E9" w14:textId="77777777" w:rsidR="000740F7" w:rsidRPr="001B4CA2" w:rsidRDefault="000740F7" w:rsidP="000740F7">
      <w:pPr>
        <w:rPr>
          <w:b/>
        </w:rPr>
      </w:pPr>
      <w:r w:rsidRPr="001B4CA2">
        <w:rPr>
          <w:noProof/>
          <w:lang w:eastAsia="hr-HR"/>
        </w:rPr>
        <w:drawing>
          <wp:inline distT="0" distB="0" distL="0" distR="0" wp14:anchorId="66DB6B97" wp14:editId="75405286">
            <wp:extent cx="5677232" cy="2981325"/>
            <wp:effectExtent l="0" t="0" r="0" b="952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B15072" w14:textId="77777777" w:rsidR="000740F7" w:rsidRPr="001B4CA2" w:rsidRDefault="000740F7" w:rsidP="000740F7"/>
    <w:p w14:paraId="7E67D25E" w14:textId="4C6D37AD" w:rsidR="000740F7" w:rsidRPr="001B4CA2" w:rsidRDefault="000740F7" w:rsidP="000740F7">
      <w:pPr>
        <w:ind w:firstLine="709"/>
      </w:pPr>
      <w:r w:rsidRPr="001B4CA2">
        <w:t>Promatrajući rad državnih odvjetništava kroz stopu ažurnosti (CR), vidljivo je da je ažurnost na razini prethodnih godina</w:t>
      </w:r>
      <w:r w:rsidR="00727861">
        <w:t>: u</w:t>
      </w:r>
      <w:r w:rsidRPr="001B4CA2">
        <w:t xml:space="preserve"> općinskim državnim odvjetništvima 97</w:t>
      </w:r>
      <w:r w:rsidR="00727861">
        <w:t> </w:t>
      </w:r>
      <w:r w:rsidRPr="001B4CA2">
        <w:t xml:space="preserve">%, </w:t>
      </w:r>
      <w:r w:rsidR="00727861">
        <w:t xml:space="preserve">u </w:t>
      </w:r>
      <w:r w:rsidRPr="001B4CA2">
        <w:t xml:space="preserve">županijskim državnim odvjetništvima 101 %, tek </w:t>
      </w:r>
      <w:r w:rsidR="00727861" w:rsidRPr="001B4CA2">
        <w:t xml:space="preserve">je </w:t>
      </w:r>
      <w:r w:rsidRPr="001B4CA2">
        <w:t xml:space="preserve">nešto manja stopa ažurnosti u USKOK-u i iznosi 95 %, dok je u Državnom odvjetništvu Republike Hrvatske stopa ažurnosti 98 %. </w:t>
      </w:r>
    </w:p>
    <w:p w14:paraId="6FFE5FC0" w14:textId="77777777" w:rsidR="000740F7" w:rsidRPr="001B4CA2" w:rsidRDefault="000740F7" w:rsidP="000740F7">
      <w:pPr>
        <w:rPr>
          <w:lang w:eastAsia="hr-HR"/>
        </w:rPr>
      </w:pPr>
    </w:p>
    <w:p w14:paraId="0CAC2F7B" w14:textId="77777777" w:rsidR="000740F7" w:rsidRPr="001B4CA2" w:rsidRDefault="000740F7" w:rsidP="000740F7">
      <w:pPr>
        <w:rPr>
          <w:lang w:eastAsia="hr-HR"/>
        </w:rPr>
      </w:pPr>
      <w:r w:rsidRPr="001B4CA2">
        <w:rPr>
          <w:noProof/>
          <w:lang w:eastAsia="hr-HR"/>
        </w:rPr>
        <w:lastRenderedPageBreak/>
        <w:drawing>
          <wp:inline distT="0" distB="0" distL="0" distR="0" wp14:anchorId="52C8782D" wp14:editId="3FAAD824">
            <wp:extent cx="5760720" cy="2945765"/>
            <wp:effectExtent l="0" t="0" r="11430" b="6985"/>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A6365C" w14:textId="77777777" w:rsidR="000740F7" w:rsidRPr="001B4CA2" w:rsidRDefault="000740F7" w:rsidP="000740F7"/>
    <w:p w14:paraId="3780357F" w14:textId="0C23160E" w:rsidR="000740F7" w:rsidRPr="001B4CA2" w:rsidRDefault="000740F7" w:rsidP="000740F7">
      <w:pPr>
        <w:ind w:firstLine="708"/>
      </w:pPr>
      <w:r w:rsidRPr="001B4CA2">
        <w:t xml:space="preserve">U gornjoj </w:t>
      </w:r>
      <w:r w:rsidR="00727861" w:rsidRPr="001B4CA2">
        <w:t xml:space="preserve">su </w:t>
      </w:r>
      <w:r w:rsidRPr="001B4CA2">
        <w:t>tablici po</w:t>
      </w:r>
      <w:r w:rsidR="00FD08E9">
        <w:t>datci</w:t>
      </w:r>
      <w:r w:rsidRPr="001B4CA2">
        <w:t xml:space="preserve"> o kretanj</w:t>
      </w:r>
      <w:r w:rsidR="00727861">
        <w:t>u</w:t>
      </w:r>
      <w:r w:rsidRPr="001B4CA2">
        <w:t xml:space="preserve"> pokazatelja vremena rješavanja predmeta (DT) na svim razinama i u DORH-u</w:t>
      </w:r>
      <w:r w:rsidR="001B4CA2">
        <w:t xml:space="preserve"> </w:t>
      </w:r>
      <w:r w:rsidRPr="001B4CA2">
        <w:t xml:space="preserve">proteklih pet godina. </w:t>
      </w:r>
    </w:p>
    <w:p w14:paraId="720FF2CB" w14:textId="77777777" w:rsidR="004E2F3C" w:rsidRPr="001B4CA2" w:rsidRDefault="004E2F3C" w:rsidP="00886E1C"/>
    <w:p w14:paraId="68E251D3" w14:textId="4D6A0410" w:rsidR="004E2F3C" w:rsidRPr="001B4CA2" w:rsidRDefault="004E2F3C">
      <w:pPr>
        <w:spacing w:after="200" w:line="276" w:lineRule="auto"/>
        <w:jc w:val="left"/>
      </w:pPr>
      <w:r w:rsidRPr="001B4CA2">
        <w:br w:type="page"/>
      </w:r>
    </w:p>
    <w:p w14:paraId="0CBDABEA" w14:textId="3A99711B" w:rsidR="00BB4D48" w:rsidRPr="001B4CA2" w:rsidRDefault="00BB4D48" w:rsidP="00886E1C">
      <w:pPr>
        <w:pStyle w:val="Naslov2"/>
        <w:rPr>
          <w:rFonts w:ascii="Arial" w:hAnsi="Arial" w:cs="Arial"/>
        </w:rPr>
      </w:pPr>
      <w:bookmarkStart w:id="10" w:name="_Toc133394274"/>
      <w:r w:rsidRPr="001B4CA2">
        <w:rPr>
          <w:rFonts w:ascii="Arial" w:hAnsi="Arial" w:cs="Arial"/>
        </w:rPr>
        <w:lastRenderedPageBreak/>
        <w:t>Poda</w:t>
      </w:r>
      <w:r w:rsidR="00FC60D2" w:rsidRPr="001B4CA2">
        <w:rPr>
          <w:rFonts w:ascii="Arial" w:hAnsi="Arial" w:cs="Arial"/>
        </w:rPr>
        <w:t>t</w:t>
      </w:r>
      <w:r w:rsidRPr="001B4CA2">
        <w:rPr>
          <w:rFonts w:ascii="Arial" w:hAnsi="Arial" w:cs="Arial"/>
        </w:rPr>
        <w:t>ci o kretanju predmeta općinskih državnih odvjetništava</w:t>
      </w:r>
      <w:bookmarkEnd w:id="10"/>
    </w:p>
    <w:p w14:paraId="21DEDBFF" w14:textId="77777777" w:rsidR="00257B3A" w:rsidRPr="001B4CA2" w:rsidRDefault="00257B3A" w:rsidP="00803FDE"/>
    <w:p w14:paraId="6378D997" w14:textId="77777777" w:rsidR="00BB4D48" w:rsidRPr="001B4CA2" w:rsidRDefault="00BB4D48" w:rsidP="00B45008">
      <w:pPr>
        <w:pStyle w:val="Naslov3"/>
        <w:rPr>
          <w:rFonts w:ascii="Arial" w:hAnsi="Arial" w:cs="Arial"/>
        </w:rPr>
      </w:pPr>
      <w:bookmarkStart w:id="11" w:name="_Toc133394275"/>
      <w:r w:rsidRPr="001B4CA2">
        <w:rPr>
          <w:rFonts w:ascii="Arial" w:hAnsi="Arial" w:cs="Arial"/>
        </w:rPr>
        <w:t>O</w:t>
      </w:r>
      <w:r w:rsidR="00D80F32" w:rsidRPr="001B4CA2">
        <w:rPr>
          <w:rFonts w:ascii="Arial" w:hAnsi="Arial" w:cs="Arial"/>
        </w:rPr>
        <w:t>pći pregled kretanja predmeta</w:t>
      </w:r>
      <w:bookmarkEnd w:id="11"/>
    </w:p>
    <w:p w14:paraId="35CF80F7" w14:textId="77777777" w:rsidR="009C5083" w:rsidRPr="001B4CA2" w:rsidRDefault="009C5083" w:rsidP="009C5083"/>
    <w:tbl>
      <w:tblPr>
        <w:tblW w:w="8279" w:type="dxa"/>
        <w:tblInd w:w="422" w:type="dxa"/>
        <w:tblLayout w:type="fixed"/>
        <w:tblLook w:val="04A0" w:firstRow="1" w:lastRow="0" w:firstColumn="1" w:lastColumn="0" w:noHBand="0" w:noVBand="1"/>
      </w:tblPr>
      <w:tblGrid>
        <w:gridCol w:w="1564"/>
        <w:gridCol w:w="840"/>
        <w:gridCol w:w="1316"/>
        <w:gridCol w:w="1139"/>
        <w:gridCol w:w="1140"/>
        <w:gridCol w:w="1140"/>
        <w:gridCol w:w="1140"/>
      </w:tblGrid>
      <w:tr w:rsidR="000740F7" w:rsidRPr="001B4CA2" w14:paraId="416E54CE" w14:textId="77777777" w:rsidTr="00766A28">
        <w:trPr>
          <w:trHeight w:val="349"/>
        </w:trPr>
        <w:tc>
          <w:tcPr>
            <w:tcW w:w="8279" w:type="dxa"/>
            <w:gridSpan w:val="7"/>
            <w:tcBorders>
              <w:top w:val="nil"/>
              <w:left w:val="nil"/>
              <w:bottom w:val="single" w:sz="4" w:space="0" w:color="auto"/>
              <w:right w:val="nil"/>
            </w:tcBorders>
            <w:shd w:val="clear" w:color="auto" w:fill="auto"/>
            <w:noWrap/>
            <w:vAlign w:val="center"/>
            <w:hideMark/>
          </w:tcPr>
          <w:p w14:paraId="759071E5" w14:textId="1832AD08" w:rsidR="000740F7" w:rsidRPr="001B4CA2" w:rsidRDefault="00766A28" w:rsidP="006D0A51">
            <w:pPr>
              <w:jc w:val="left"/>
              <w:rPr>
                <w:rFonts w:eastAsia="Times New Roman"/>
                <w:i/>
                <w:iCs/>
                <w:lang w:eastAsia="hr-HR"/>
              </w:rPr>
            </w:pPr>
            <w:r>
              <w:rPr>
                <w:rFonts w:eastAsia="Times New Roman"/>
                <w:i/>
                <w:iCs/>
                <w:lang w:eastAsia="hr-HR"/>
              </w:rPr>
              <w:t xml:space="preserve"> </w:t>
            </w:r>
            <w:r w:rsidR="000740F7" w:rsidRPr="001B4CA2">
              <w:rPr>
                <w:rFonts w:eastAsia="Times New Roman"/>
                <w:i/>
                <w:iCs/>
                <w:lang w:eastAsia="hr-HR"/>
              </w:rPr>
              <w:t>Opći pregled kretanja predmeta općinskih državnih odvjetništava</w:t>
            </w:r>
          </w:p>
        </w:tc>
      </w:tr>
      <w:tr w:rsidR="000740F7" w:rsidRPr="001B4CA2" w14:paraId="1F03C7BA" w14:textId="77777777" w:rsidTr="00766A28">
        <w:trPr>
          <w:trHeight w:val="551"/>
        </w:trPr>
        <w:tc>
          <w:tcPr>
            <w:tcW w:w="1564"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14:paraId="40B82AFE"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Vrsta državnog odvjetništva</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7456290A"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Godina</w:t>
            </w:r>
          </w:p>
        </w:tc>
        <w:tc>
          <w:tcPr>
            <w:tcW w:w="1316"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14:paraId="28714B83"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Broj zamjenika/ savjetnika – stvarna prisutnost</w:t>
            </w:r>
          </w:p>
        </w:tc>
        <w:tc>
          <w:tcPr>
            <w:tcW w:w="4559" w:type="dxa"/>
            <w:gridSpan w:val="4"/>
            <w:tcBorders>
              <w:top w:val="single" w:sz="4" w:space="0" w:color="auto"/>
              <w:left w:val="nil"/>
              <w:bottom w:val="single" w:sz="4" w:space="0" w:color="auto"/>
              <w:right w:val="single" w:sz="4" w:space="0" w:color="auto"/>
            </w:tcBorders>
            <w:shd w:val="clear" w:color="000000" w:fill="99CCFF"/>
            <w:noWrap/>
            <w:vAlign w:val="center"/>
            <w:hideMark/>
          </w:tcPr>
          <w:p w14:paraId="1D6AA334"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Kretanje predmeta</w:t>
            </w:r>
          </w:p>
        </w:tc>
      </w:tr>
      <w:tr w:rsidR="000740F7" w:rsidRPr="001B4CA2" w14:paraId="501000B6" w14:textId="77777777" w:rsidTr="00766A28">
        <w:trPr>
          <w:trHeight w:val="1535"/>
        </w:trPr>
        <w:tc>
          <w:tcPr>
            <w:tcW w:w="1564" w:type="dxa"/>
            <w:vMerge/>
            <w:tcBorders>
              <w:top w:val="single" w:sz="4" w:space="0" w:color="auto"/>
              <w:left w:val="single" w:sz="4" w:space="0" w:color="auto"/>
              <w:bottom w:val="single" w:sz="4" w:space="0" w:color="auto"/>
              <w:right w:val="single" w:sz="4" w:space="0" w:color="auto"/>
            </w:tcBorders>
            <w:vAlign w:val="center"/>
            <w:hideMark/>
          </w:tcPr>
          <w:p w14:paraId="6F11E922" w14:textId="77777777" w:rsidR="000740F7" w:rsidRPr="001B4CA2" w:rsidRDefault="000740F7" w:rsidP="006D0A51">
            <w:pPr>
              <w:jc w:val="left"/>
              <w:rPr>
                <w:rFonts w:eastAsia="Times New Roman"/>
                <w:b/>
                <w:bCs/>
                <w:sz w:val="18"/>
                <w:szCs w:val="18"/>
                <w:lang w:eastAsia="hr-HR"/>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1D29B0E5" w14:textId="77777777" w:rsidR="000740F7" w:rsidRPr="001B4CA2" w:rsidRDefault="000740F7" w:rsidP="006D0A51">
            <w:pPr>
              <w:jc w:val="left"/>
              <w:rPr>
                <w:rFonts w:eastAsia="Times New Roman"/>
                <w:b/>
                <w:bCs/>
                <w:sz w:val="18"/>
                <w:szCs w:val="18"/>
                <w:lang w:eastAsia="hr-HR"/>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6373F843" w14:textId="77777777" w:rsidR="000740F7" w:rsidRPr="001B4CA2" w:rsidRDefault="000740F7" w:rsidP="006D0A51">
            <w:pPr>
              <w:jc w:val="left"/>
              <w:rPr>
                <w:rFonts w:eastAsia="Times New Roman"/>
                <w:b/>
                <w:bCs/>
                <w:sz w:val="18"/>
                <w:szCs w:val="18"/>
                <w:lang w:eastAsia="hr-HR"/>
              </w:rPr>
            </w:pPr>
          </w:p>
        </w:tc>
        <w:tc>
          <w:tcPr>
            <w:tcW w:w="1139" w:type="dxa"/>
            <w:tcBorders>
              <w:top w:val="single" w:sz="4" w:space="0" w:color="auto"/>
              <w:left w:val="nil"/>
              <w:bottom w:val="single" w:sz="4" w:space="0" w:color="auto"/>
              <w:right w:val="single" w:sz="4" w:space="0" w:color="auto"/>
            </w:tcBorders>
            <w:shd w:val="clear" w:color="000000" w:fill="99CCFF"/>
            <w:noWrap/>
            <w:vAlign w:val="center"/>
            <w:hideMark/>
          </w:tcPr>
          <w:p w14:paraId="73080F95"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Na početku</w:t>
            </w:r>
          </w:p>
        </w:tc>
        <w:tc>
          <w:tcPr>
            <w:tcW w:w="1140" w:type="dxa"/>
            <w:tcBorders>
              <w:top w:val="single" w:sz="4" w:space="0" w:color="auto"/>
              <w:left w:val="nil"/>
              <w:bottom w:val="single" w:sz="4" w:space="0" w:color="auto"/>
              <w:right w:val="single" w:sz="4" w:space="0" w:color="auto"/>
            </w:tcBorders>
            <w:shd w:val="clear" w:color="000000" w:fill="99CCFF"/>
            <w:noWrap/>
            <w:vAlign w:val="center"/>
            <w:hideMark/>
          </w:tcPr>
          <w:p w14:paraId="174AC0E4"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Primljeno</w:t>
            </w:r>
          </w:p>
        </w:tc>
        <w:tc>
          <w:tcPr>
            <w:tcW w:w="1140" w:type="dxa"/>
            <w:tcBorders>
              <w:top w:val="single" w:sz="4" w:space="0" w:color="auto"/>
              <w:left w:val="nil"/>
              <w:bottom w:val="single" w:sz="4" w:space="0" w:color="auto"/>
              <w:right w:val="single" w:sz="4" w:space="0" w:color="auto"/>
            </w:tcBorders>
            <w:shd w:val="clear" w:color="000000" w:fill="99CCFF"/>
            <w:noWrap/>
            <w:vAlign w:val="center"/>
            <w:hideMark/>
          </w:tcPr>
          <w:p w14:paraId="29D6A4C0"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Riješeno</w:t>
            </w:r>
          </w:p>
        </w:tc>
        <w:tc>
          <w:tcPr>
            <w:tcW w:w="1140" w:type="dxa"/>
            <w:tcBorders>
              <w:top w:val="single" w:sz="4" w:space="0" w:color="auto"/>
              <w:left w:val="nil"/>
              <w:bottom w:val="single" w:sz="4" w:space="0" w:color="auto"/>
              <w:right w:val="single" w:sz="4" w:space="0" w:color="auto"/>
            </w:tcBorders>
            <w:shd w:val="clear" w:color="000000" w:fill="99CCFF"/>
            <w:noWrap/>
            <w:vAlign w:val="center"/>
            <w:hideMark/>
          </w:tcPr>
          <w:p w14:paraId="2A7B1CE3"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Neriješeno</w:t>
            </w:r>
          </w:p>
        </w:tc>
      </w:tr>
      <w:tr w:rsidR="000740F7" w:rsidRPr="001B4CA2" w14:paraId="2CCA79A3" w14:textId="77777777" w:rsidTr="00766A28">
        <w:trPr>
          <w:trHeight w:val="349"/>
        </w:trPr>
        <w:tc>
          <w:tcPr>
            <w:tcW w:w="15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83491"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ODO</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5481D" w14:textId="77777777" w:rsidR="000740F7" w:rsidRPr="001B4CA2" w:rsidRDefault="000740F7" w:rsidP="006D0A51">
            <w:pPr>
              <w:jc w:val="center"/>
              <w:rPr>
                <w:color w:val="000000"/>
                <w:sz w:val="18"/>
                <w:szCs w:val="18"/>
              </w:rPr>
            </w:pPr>
            <w:r w:rsidRPr="001B4CA2">
              <w:rPr>
                <w:color w:val="000000"/>
                <w:sz w:val="18"/>
                <w:szCs w:val="18"/>
              </w:rPr>
              <w:t>2018.</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C452B" w14:textId="77777777" w:rsidR="000740F7" w:rsidRPr="001B4CA2" w:rsidRDefault="000740F7" w:rsidP="006D0A51">
            <w:pPr>
              <w:jc w:val="center"/>
              <w:rPr>
                <w:color w:val="000000"/>
                <w:sz w:val="18"/>
                <w:szCs w:val="18"/>
              </w:rPr>
            </w:pPr>
            <w:r w:rsidRPr="001B4CA2">
              <w:rPr>
                <w:color w:val="000000"/>
                <w:sz w:val="18"/>
                <w:szCs w:val="18"/>
              </w:rPr>
              <w:t>474</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66B25" w14:textId="77777777" w:rsidR="000740F7" w:rsidRPr="001B4CA2" w:rsidRDefault="000740F7" w:rsidP="006D0A51">
            <w:pPr>
              <w:jc w:val="center"/>
              <w:rPr>
                <w:color w:val="000000"/>
                <w:sz w:val="18"/>
                <w:szCs w:val="18"/>
              </w:rPr>
            </w:pPr>
            <w:r w:rsidRPr="001B4CA2">
              <w:rPr>
                <w:color w:val="000000"/>
                <w:sz w:val="18"/>
                <w:szCs w:val="18"/>
              </w:rPr>
              <w:t>64.795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95344" w14:textId="77777777" w:rsidR="000740F7" w:rsidRPr="001B4CA2" w:rsidRDefault="000740F7" w:rsidP="006D0A51">
            <w:pPr>
              <w:jc w:val="center"/>
              <w:rPr>
                <w:color w:val="000000"/>
                <w:sz w:val="18"/>
                <w:szCs w:val="18"/>
              </w:rPr>
            </w:pPr>
            <w:r w:rsidRPr="001B4CA2">
              <w:rPr>
                <w:color w:val="000000"/>
                <w:sz w:val="18"/>
                <w:szCs w:val="18"/>
              </w:rPr>
              <w:t>142.575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C35F6" w14:textId="77777777" w:rsidR="000740F7" w:rsidRPr="001B4CA2" w:rsidRDefault="000740F7" w:rsidP="006D0A51">
            <w:pPr>
              <w:jc w:val="center"/>
              <w:rPr>
                <w:color w:val="000000"/>
                <w:sz w:val="18"/>
                <w:szCs w:val="18"/>
              </w:rPr>
            </w:pPr>
            <w:r w:rsidRPr="001B4CA2">
              <w:rPr>
                <w:color w:val="000000"/>
                <w:sz w:val="18"/>
                <w:szCs w:val="18"/>
              </w:rPr>
              <w:t>149.200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F0B89" w14:textId="77777777" w:rsidR="000740F7" w:rsidRPr="001B4CA2" w:rsidRDefault="000740F7" w:rsidP="006D0A51">
            <w:pPr>
              <w:jc w:val="center"/>
              <w:rPr>
                <w:color w:val="000000"/>
                <w:sz w:val="18"/>
                <w:szCs w:val="18"/>
              </w:rPr>
            </w:pPr>
            <w:r w:rsidRPr="001B4CA2">
              <w:rPr>
                <w:color w:val="000000"/>
                <w:sz w:val="18"/>
                <w:szCs w:val="18"/>
              </w:rPr>
              <w:t>58.170</w:t>
            </w:r>
          </w:p>
        </w:tc>
      </w:tr>
      <w:tr w:rsidR="000740F7" w:rsidRPr="001B4CA2" w14:paraId="66AB39EA" w14:textId="77777777" w:rsidTr="00766A28">
        <w:trPr>
          <w:trHeight w:val="349"/>
        </w:trPr>
        <w:tc>
          <w:tcPr>
            <w:tcW w:w="1564" w:type="dxa"/>
            <w:vMerge/>
            <w:tcBorders>
              <w:top w:val="single" w:sz="4" w:space="0" w:color="auto"/>
              <w:left w:val="single" w:sz="4" w:space="0" w:color="auto"/>
              <w:bottom w:val="single" w:sz="4" w:space="0" w:color="auto"/>
              <w:right w:val="single" w:sz="4" w:space="0" w:color="auto"/>
            </w:tcBorders>
            <w:vAlign w:val="center"/>
            <w:hideMark/>
          </w:tcPr>
          <w:p w14:paraId="6EA92725" w14:textId="77777777" w:rsidR="000740F7" w:rsidRPr="001B4CA2" w:rsidRDefault="000740F7" w:rsidP="006D0A51">
            <w:pPr>
              <w:jc w:val="center"/>
              <w:rPr>
                <w:rFonts w:eastAsia="Times New Roman"/>
                <w:sz w:val="18"/>
                <w:szCs w:val="18"/>
                <w:lang w:eastAsia="hr-H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FBAD6" w14:textId="77777777" w:rsidR="000740F7" w:rsidRPr="001B4CA2" w:rsidRDefault="000740F7" w:rsidP="006D0A51">
            <w:pPr>
              <w:jc w:val="center"/>
              <w:rPr>
                <w:color w:val="000000"/>
                <w:sz w:val="18"/>
                <w:szCs w:val="18"/>
              </w:rPr>
            </w:pPr>
            <w:r w:rsidRPr="001B4CA2">
              <w:rPr>
                <w:color w:val="000000"/>
                <w:sz w:val="18"/>
                <w:szCs w:val="18"/>
              </w:rPr>
              <w:t>2019.</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FA273" w14:textId="77777777" w:rsidR="000740F7" w:rsidRPr="001B4CA2" w:rsidRDefault="000740F7" w:rsidP="006D0A51">
            <w:pPr>
              <w:jc w:val="center"/>
              <w:rPr>
                <w:color w:val="000000"/>
                <w:sz w:val="18"/>
                <w:szCs w:val="18"/>
              </w:rPr>
            </w:pPr>
            <w:r w:rsidRPr="001B4CA2">
              <w:rPr>
                <w:color w:val="000000"/>
                <w:sz w:val="18"/>
                <w:szCs w:val="18"/>
              </w:rPr>
              <w:t>416,6</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7CF2C" w14:textId="77777777" w:rsidR="000740F7" w:rsidRPr="001B4CA2" w:rsidRDefault="000740F7" w:rsidP="006D0A51">
            <w:pPr>
              <w:jc w:val="center"/>
              <w:rPr>
                <w:color w:val="000000"/>
                <w:sz w:val="18"/>
                <w:szCs w:val="18"/>
              </w:rPr>
            </w:pPr>
            <w:r w:rsidRPr="001B4CA2">
              <w:rPr>
                <w:color w:val="000000"/>
                <w:sz w:val="18"/>
                <w:szCs w:val="18"/>
              </w:rPr>
              <w:t>43.148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3AA12" w14:textId="77777777" w:rsidR="000740F7" w:rsidRPr="001B4CA2" w:rsidRDefault="000740F7" w:rsidP="006D0A51">
            <w:pPr>
              <w:jc w:val="center"/>
              <w:rPr>
                <w:color w:val="000000"/>
                <w:sz w:val="18"/>
                <w:szCs w:val="18"/>
              </w:rPr>
            </w:pPr>
            <w:r w:rsidRPr="001B4CA2">
              <w:rPr>
                <w:color w:val="000000"/>
                <w:sz w:val="18"/>
                <w:szCs w:val="18"/>
              </w:rPr>
              <w:t>177.229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03B46" w14:textId="77777777" w:rsidR="000740F7" w:rsidRPr="001B4CA2" w:rsidRDefault="000740F7" w:rsidP="006D0A51">
            <w:pPr>
              <w:jc w:val="center"/>
              <w:rPr>
                <w:color w:val="000000"/>
                <w:sz w:val="18"/>
                <w:szCs w:val="18"/>
              </w:rPr>
            </w:pPr>
            <w:r w:rsidRPr="001B4CA2">
              <w:rPr>
                <w:color w:val="000000"/>
                <w:sz w:val="18"/>
                <w:szCs w:val="18"/>
              </w:rPr>
              <w:t>179.437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EB1E4" w14:textId="77777777" w:rsidR="000740F7" w:rsidRPr="001B4CA2" w:rsidRDefault="000740F7" w:rsidP="006D0A51">
            <w:pPr>
              <w:jc w:val="center"/>
              <w:rPr>
                <w:color w:val="000000"/>
                <w:sz w:val="18"/>
                <w:szCs w:val="18"/>
              </w:rPr>
            </w:pPr>
            <w:r w:rsidRPr="001B4CA2">
              <w:rPr>
                <w:color w:val="000000"/>
                <w:sz w:val="18"/>
                <w:szCs w:val="18"/>
              </w:rPr>
              <w:t>40.940</w:t>
            </w:r>
          </w:p>
        </w:tc>
      </w:tr>
      <w:tr w:rsidR="000740F7" w:rsidRPr="001B4CA2" w14:paraId="01B486F7" w14:textId="77777777" w:rsidTr="00766A28">
        <w:trPr>
          <w:trHeight w:val="349"/>
        </w:trPr>
        <w:tc>
          <w:tcPr>
            <w:tcW w:w="1564" w:type="dxa"/>
            <w:vMerge/>
            <w:tcBorders>
              <w:top w:val="single" w:sz="4" w:space="0" w:color="auto"/>
              <w:left w:val="single" w:sz="4" w:space="0" w:color="auto"/>
              <w:bottom w:val="single" w:sz="4" w:space="0" w:color="auto"/>
              <w:right w:val="single" w:sz="4" w:space="0" w:color="auto"/>
            </w:tcBorders>
            <w:vAlign w:val="center"/>
            <w:hideMark/>
          </w:tcPr>
          <w:p w14:paraId="51D9A7CA" w14:textId="77777777" w:rsidR="000740F7" w:rsidRPr="001B4CA2" w:rsidRDefault="000740F7" w:rsidP="006D0A51">
            <w:pPr>
              <w:jc w:val="center"/>
              <w:rPr>
                <w:rFonts w:eastAsia="Times New Roman"/>
                <w:sz w:val="18"/>
                <w:szCs w:val="18"/>
                <w:lang w:eastAsia="hr-H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6CBCC" w14:textId="77777777" w:rsidR="000740F7" w:rsidRPr="001B4CA2" w:rsidRDefault="000740F7" w:rsidP="006D0A51">
            <w:pPr>
              <w:jc w:val="center"/>
              <w:rPr>
                <w:color w:val="000000"/>
                <w:sz w:val="18"/>
                <w:szCs w:val="18"/>
              </w:rPr>
            </w:pPr>
            <w:r w:rsidRPr="001B4CA2">
              <w:rPr>
                <w:color w:val="000000"/>
                <w:sz w:val="18"/>
                <w:szCs w:val="18"/>
              </w:rPr>
              <w:t>2020.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51BA9" w14:textId="77777777" w:rsidR="000740F7" w:rsidRPr="001B4CA2" w:rsidRDefault="000740F7" w:rsidP="006D0A51">
            <w:pPr>
              <w:jc w:val="center"/>
              <w:rPr>
                <w:color w:val="000000"/>
                <w:sz w:val="18"/>
                <w:szCs w:val="18"/>
              </w:rPr>
            </w:pPr>
            <w:r w:rsidRPr="001B4CA2">
              <w:rPr>
                <w:color w:val="000000"/>
                <w:sz w:val="18"/>
                <w:szCs w:val="18"/>
              </w:rPr>
              <w:t>415,7</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31855" w14:textId="77777777" w:rsidR="000740F7" w:rsidRPr="001B4CA2" w:rsidRDefault="000740F7" w:rsidP="006D0A51">
            <w:pPr>
              <w:jc w:val="center"/>
              <w:rPr>
                <w:color w:val="000000"/>
                <w:sz w:val="18"/>
                <w:szCs w:val="18"/>
              </w:rPr>
            </w:pPr>
            <w:r w:rsidRPr="001B4CA2">
              <w:rPr>
                <w:color w:val="000000"/>
                <w:sz w:val="18"/>
                <w:szCs w:val="18"/>
              </w:rPr>
              <w:t>35.768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94B20" w14:textId="77777777" w:rsidR="000740F7" w:rsidRPr="001B4CA2" w:rsidRDefault="000740F7" w:rsidP="006D0A51">
            <w:pPr>
              <w:jc w:val="center"/>
              <w:rPr>
                <w:color w:val="000000"/>
                <w:sz w:val="18"/>
                <w:szCs w:val="18"/>
              </w:rPr>
            </w:pPr>
            <w:r w:rsidRPr="001B4CA2">
              <w:rPr>
                <w:color w:val="000000"/>
                <w:sz w:val="18"/>
                <w:szCs w:val="18"/>
              </w:rPr>
              <w:t>172.348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3C0BA" w14:textId="77777777" w:rsidR="000740F7" w:rsidRPr="001B4CA2" w:rsidRDefault="000740F7" w:rsidP="006D0A51">
            <w:pPr>
              <w:jc w:val="center"/>
              <w:rPr>
                <w:color w:val="000000"/>
                <w:sz w:val="18"/>
                <w:szCs w:val="18"/>
              </w:rPr>
            </w:pPr>
            <w:r w:rsidRPr="001B4CA2">
              <w:rPr>
                <w:color w:val="000000"/>
                <w:sz w:val="18"/>
                <w:szCs w:val="18"/>
              </w:rPr>
              <w:t>172.904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55898" w14:textId="77777777" w:rsidR="000740F7" w:rsidRPr="001B4CA2" w:rsidRDefault="000740F7" w:rsidP="006D0A51">
            <w:pPr>
              <w:jc w:val="center"/>
              <w:rPr>
                <w:color w:val="000000"/>
                <w:sz w:val="18"/>
                <w:szCs w:val="18"/>
              </w:rPr>
            </w:pPr>
            <w:r w:rsidRPr="001B4CA2">
              <w:rPr>
                <w:color w:val="000000"/>
                <w:sz w:val="18"/>
                <w:szCs w:val="18"/>
              </w:rPr>
              <w:t>35.211</w:t>
            </w:r>
          </w:p>
        </w:tc>
      </w:tr>
      <w:tr w:rsidR="000740F7" w:rsidRPr="001B4CA2" w14:paraId="158A0ABE" w14:textId="77777777" w:rsidTr="00766A28">
        <w:trPr>
          <w:trHeight w:val="349"/>
        </w:trPr>
        <w:tc>
          <w:tcPr>
            <w:tcW w:w="1564" w:type="dxa"/>
            <w:vMerge/>
            <w:tcBorders>
              <w:top w:val="single" w:sz="4" w:space="0" w:color="auto"/>
              <w:left w:val="single" w:sz="4" w:space="0" w:color="auto"/>
              <w:bottom w:val="single" w:sz="4" w:space="0" w:color="auto"/>
              <w:right w:val="single" w:sz="4" w:space="0" w:color="auto"/>
            </w:tcBorders>
            <w:vAlign w:val="center"/>
            <w:hideMark/>
          </w:tcPr>
          <w:p w14:paraId="05AA7552" w14:textId="77777777" w:rsidR="000740F7" w:rsidRPr="001B4CA2" w:rsidRDefault="000740F7" w:rsidP="006D0A51">
            <w:pPr>
              <w:jc w:val="center"/>
              <w:rPr>
                <w:rFonts w:eastAsia="Times New Roman"/>
                <w:sz w:val="18"/>
                <w:szCs w:val="18"/>
                <w:lang w:eastAsia="hr-H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3781F" w14:textId="77777777" w:rsidR="000740F7" w:rsidRPr="001B4CA2" w:rsidRDefault="000740F7" w:rsidP="006D0A51">
            <w:pPr>
              <w:jc w:val="center"/>
              <w:rPr>
                <w:color w:val="000000"/>
                <w:sz w:val="18"/>
                <w:szCs w:val="18"/>
              </w:rPr>
            </w:pPr>
            <w:r w:rsidRPr="001B4CA2">
              <w:rPr>
                <w:color w:val="000000"/>
                <w:sz w:val="18"/>
                <w:szCs w:val="18"/>
              </w:rPr>
              <w:t>2021.</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429F9" w14:textId="77777777" w:rsidR="000740F7" w:rsidRPr="001B4CA2" w:rsidRDefault="000740F7" w:rsidP="006D0A51">
            <w:pPr>
              <w:jc w:val="center"/>
              <w:rPr>
                <w:color w:val="000000"/>
                <w:sz w:val="18"/>
                <w:szCs w:val="18"/>
              </w:rPr>
            </w:pPr>
            <w:r w:rsidRPr="001B4CA2">
              <w:rPr>
                <w:color w:val="000000"/>
                <w:sz w:val="18"/>
                <w:szCs w:val="18"/>
              </w:rPr>
              <w:t>467,2</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B1597" w14:textId="77777777" w:rsidR="000740F7" w:rsidRPr="001B4CA2" w:rsidRDefault="000740F7" w:rsidP="006D0A51">
            <w:pPr>
              <w:jc w:val="center"/>
              <w:rPr>
                <w:color w:val="000000"/>
                <w:sz w:val="18"/>
                <w:szCs w:val="18"/>
              </w:rPr>
            </w:pPr>
            <w:r w:rsidRPr="001B4CA2">
              <w:rPr>
                <w:color w:val="000000"/>
                <w:sz w:val="18"/>
                <w:szCs w:val="18"/>
              </w:rPr>
              <w:t>35.330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81D6B" w14:textId="77777777" w:rsidR="000740F7" w:rsidRPr="001B4CA2" w:rsidRDefault="000740F7" w:rsidP="006D0A51">
            <w:pPr>
              <w:jc w:val="center"/>
              <w:rPr>
                <w:color w:val="000000"/>
                <w:sz w:val="18"/>
                <w:szCs w:val="18"/>
              </w:rPr>
            </w:pPr>
            <w:r w:rsidRPr="001B4CA2">
              <w:rPr>
                <w:color w:val="000000"/>
                <w:sz w:val="18"/>
                <w:szCs w:val="18"/>
              </w:rPr>
              <w:t>182.350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D6A5D" w14:textId="77777777" w:rsidR="000740F7" w:rsidRPr="001B4CA2" w:rsidRDefault="000740F7" w:rsidP="006D0A51">
            <w:pPr>
              <w:jc w:val="center"/>
              <w:rPr>
                <w:color w:val="000000"/>
                <w:sz w:val="18"/>
                <w:szCs w:val="18"/>
              </w:rPr>
            </w:pPr>
            <w:r w:rsidRPr="001B4CA2">
              <w:rPr>
                <w:color w:val="000000"/>
                <w:sz w:val="18"/>
                <w:szCs w:val="18"/>
              </w:rPr>
              <w:t>182.943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6391D" w14:textId="77777777" w:rsidR="000740F7" w:rsidRPr="001B4CA2" w:rsidRDefault="000740F7" w:rsidP="006D0A51">
            <w:pPr>
              <w:jc w:val="center"/>
              <w:rPr>
                <w:color w:val="000000"/>
                <w:sz w:val="18"/>
                <w:szCs w:val="18"/>
              </w:rPr>
            </w:pPr>
            <w:r w:rsidRPr="001B4CA2">
              <w:rPr>
                <w:color w:val="000000"/>
                <w:sz w:val="18"/>
                <w:szCs w:val="18"/>
              </w:rPr>
              <w:t>34.737</w:t>
            </w:r>
          </w:p>
        </w:tc>
      </w:tr>
      <w:tr w:rsidR="000740F7" w:rsidRPr="001B4CA2" w14:paraId="2C822B1D" w14:textId="77777777" w:rsidTr="00766A28">
        <w:trPr>
          <w:trHeight w:val="349"/>
        </w:trPr>
        <w:tc>
          <w:tcPr>
            <w:tcW w:w="1564" w:type="dxa"/>
            <w:vMerge/>
            <w:tcBorders>
              <w:top w:val="single" w:sz="4" w:space="0" w:color="auto"/>
              <w:left w:val="single" w:sz="4" w:space="0" w:color="auto"/>
              <w:bottom w:val="single" w:sz="4" w:space="0" w:color="auto"/>
              <w:right w:val="single" w:sz="4" w:space="0" w:color="auto"/>
            </w:tcBorders>
            <w:vAlign w:val="center"/>
            <w:hideMark/>
          </w:tcPr>
          <w:p w14:paraId="6BCAE294" w14:textId="77777777" w:rsidR="000740F7" w:rsidRPr="001B4CA2" w:rsidRDefault="000740F7" w:rsidP="006D0A51">
            <w:pPr>
              <w:jc w:val="center"/>
              <w:rPr>
                <w:rFonts w:eastAsia="Times New Roman"/>
                <w:sz w:val="18"/>
                <w:szCs w:val="18"/>
                <w:lang w:eastAsia="hr-H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33383" w14:textId="77777777" w:rsidR="000740F7" w:rsidRPr="001B4CA2" w:rsidRDefault="000740F7" w:rsidP="006D0A51">
            <w:pPr>
              <w:jc w:val="center"/>
              <w:rPr>
                <w:color w:val="000000"/>
                <w:sz w:val="18"/>
                <w:szCs w:val="18"/>
              </w:rPr>
            </w:pPr>
            <w:r w:rsidRPr="001B4CA2">
              <w:rPr>
                <w:color w:val="000000"/>
                <w:sz w:val="18"/>
                <w:szCs w:val="18"/>
              </w:rPr>
              <w:t>2022.</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C0A39" w14:textId="77777777" w:rsidR="000740F7" w:rsidRPr="001B4CA2" w:rsidRDefault="000740F7" w:rsidP="006D0A51">
            <w:pPr>
              <w:jc w:val="center"/>
              <w:rPr>
                <w:color w:val="000000"/>
                <w:sz w:val="18"/>
                <w:szCs w:val="18"/>
              </w:rPr>
            </w:pPr>
            <w:r w:rsidRPr="001B4CA2">
              <w:rPr>
                <w:color w:val="000000"/>
                <w:sz w:val="18"/>
                <w:szCs w:val="18"/>
              </w:rPr>
              <w:t>467,2</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0FA30" w14:textId="77777777" w:rsidR="000740F7" w:rsidRPr="001B4CA2" w:rsidRDefault="000740F7" w:rsidP="006D0A51">
            <w:pPr>
              <w:jc w:val="center"/>
              <w:rPr>
                <w:color w:val="000000"/>
                <w:sz w:val="18"/>
                <w:szCs w:val="18"/>
              </w:rPr>
            </w:pPr>
            <w:r w:rsidRPr="001B4CA2">
              <w:rPr>
                <w:color w:val="000000"/>
                <w:sz w:val="18"/>
                <w:szCs w:val="18"/>
              </w:rPr>
              <w:t>34.734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AAFDF" w14:textId="77777777" w:rsidR="000740F7" w:rsidRPr="001B4CA2" w:rsidRDefault="000740F7" w:rsidP="006D0A51">
            <w:pPr>
              <w:jc w:val="center"/>
              <w:rPr>
                <w:color w:val="000000"/>
                <w:sz w:val="18"/>
                <w:szCs w:val="18"/>
              </w:rPr>
            </w:pPr>
            <w:r w:rsidRPr="001B4CA2">
              <w:rPr>
                <w:color w:val="000000"/>
                <w:sz w:val="18"/>
                <w:szCs w:val="18"/>
              </w:rPr>
              <w:t>167.600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9CCD6" w14:textId="77777777" w:rsidR="000740F7" w:rsidRPr="001B4CA2" w:rsidRDefault="000740F7" w:rsidP="006D0A51">
            <w:pPr>
              <w:jc w:val="center"/>
              <w:rPr>
                <w:color w:val="000000"/>
                <w:sz w:val="18"/>
                <w:szCs w:val="18"/>
              </w:rPr>
            </w:pPr>
            <w:r w:rsidRPr="001B4CA2">
              <w:rPr>
                <w:color w:val="000000"/>
                <w:sz w:val="18"/>
                <w:szCs w:val="18"/>
              </w:rPr>
              <w:t>163.193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40AE1" w14:textId="77777777" w:rsidR="000740F7" w:rsidRPr="001B4CA2" w:rsidRDefault="000740F7" w:rsidP="006D0A51">
            <w:pPr>
              <w:jc w:val="center"/>
              <w:rPr>
                <w:color w:val="000000"/>
                <w:sz w:val="18"/>
                <w:szCs w:val="18"/>
              </w:rPr>
            </w:pPr>
            <w:r w:rsidRPr="001B4CA2">
              <w:rPr>
                <w:color w:val="000000"/>
                <w:sz w:val="18"/>
                <w:szCs w:val="18"/>
              </w:rPr>
              <w:t>39.106</w:t>
            </w:r>
          </w:p>
        </w:tc>
      </w:tr>
    </w:tbl>
    <w:p w14:paraId="18BCB50E" w14:textId="77777777" w:rsidR="000740F7" w:rsidRPr="001B4CA2" w:rsidRDefault="000740F7" w:rsidP="000740F7"/>
    <w:p w14:paraId="6B507693" w14:textId="6E8FC104" w:rsidR="000740F7" w:rsidRPr="001B4CA2" w:rsidRDefault="000740F7" w:rsidP="004732EC">
      <w:pPr>
        <w:ind w:firstLine="708"/>
      </w:pPr>
      <w:r w:rsidRPr="001B4CA2">
        <w:t xml:space="preserve">Broj primljenih predmeta u općinskim državnim odvjetništvima u odnosu na prethodnu godinu smanjen </w:t>
      </w:r>
      <w:r w:rsidR="00727861" w:rsidRPr="001B4CA2">
        <w:t xml:space="preserve">je </w:t>
      </w:r>
      <w:r w:rsidRPr="001B4CA2">
        <w:t>za 8,1</w:t>
      </w:r>
      <w:r w:rsidR="00727861">
        <w:t xml:space="preserve"> </w:t>
      </w:r>
      <w:r w:rsidRPr="001B4CA2">
        <w:t>% Tako je u općinskim državnim odvjetništvima tijekom 2022. godine primljeno 167.600 predmeta, što je 19.750 predmeta</w:t>
      </w:r>
      <w:r w:rsidR="001B4CA2">
        <w:t xml:space="preserve"> </w:t>
      </w:r>
      <w:r w:rsidRPr="001B4CA2">
        <w:t xml:space="preserve">manje nego u prošlom izvještajnom razdoblju. Broj riješenih predmeta također </w:t>
      </w:r>
      <w:r w:rsidR="00727861" w:rsidRPr="001B4CA2">
        <w:t xml:space="preserve">je </w:t>
      </w:r>
      <w:r w:rsidRPr="001B4CA2">
        <w:t xml:space="preserve">smanjen zbog činjenice da je u općinskim državnim odvjetništvima tijekom 2022. stvarno na radu bilo 81 % zaposlenih </w:t>
      </w:r>
      <w:proofErr w:type="spellStart"/>
      <w:r w:rsidRPr="001B4CA2">
        <w:t>rješavatelja</w:t>
      </w:r>
      <w:proofErr w:type="spellEnd"/>
      <w:r w:rsidRPr="001B4CA2">
        <w:t xml:space="preserve">, dok je broj rasprava i ročišta pred sudom povećan za 5,70 % u odnosu na prethodnu godinu. Naime, općinska državna odvjetništva prisustvovala </w:t>
      </w:r>
      <w:r w:rsidR="00727861" w:rsidRPr="001B4CA2">
        <w:t xml:space="preserve">su </w:t>
      </w:r>
      <w:r w:rsidRPr="001B4CA2">
        <w:t>na 10.867 sudskih ročišta i 47.203 rasprave. Pored toga, općinska su državna odvjetništva naložila ili sama provela 42.719 dokaznih radnji</w:t>
      </w:r>
      <w:r w:rsidR="00FD08E9">
        <w:t xml:space="preserve">, </w:t>
      </w:r>
      <w:r w:rsidRPr="001B4CA2">
        <w:t>što je 9,75 % više dokaznih radnji nego prethodne godine.</w:t>
      </w:r>
      <w:r w:rsidR="001B4CA2">
        <w:t xml:space="preserve"> </w:t>
      </w:r>
    </w:p>
    <w:p w14:paraId="0D90F93F" w14:textId="77777777" w:rsidR="004732EC" w:rsidRPr="001B4CA2" w:rsidRDefault="004732EC" w:rsidP="004732EC">
      <w:pPr>
        <w:ind w:firstLine="708"/>
      </w:pPr>
    </w:p>
    <w:tbl>
      <w:tblPr>
        <w:tblpPr w:leftFromText="180" w:rightFromText="180" w:vertAnchor="text" w:horzAnchor="margin" w:tblpXSpec="center" w:tblpY="122"/>
        <w:tblW w:w="6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171"/>
        <w:gridCol w:w="2274"/>
      </w:tblGrid>
      <w:tr w:rsidR="000740F7" w:rsidRPr="001B4CA2" w14:paraId="672A9404" w14:textId="77777777" w:rsidTr="006D0A51">
        <w:trPr>
          <w:trHeight w:val="1898"/>
        </w:trPr>
        <w:tc>
          <w:tcPr>
            <w:tcW w:w="2305" w:type="dxa"/>
            <w:shd w:val="clear" w:color="000000" w:fill="99CCFF"/>
            <w:vAlign w:val="center"/>
            <w:hideMark/>
          </w:tcPr>
          <w:p w14:paraId="08E1E5D5" w14:textId="77777777" w:rsidR="000740F7" w:rsidRPr="001B4CA2" w:rsidRDefault="000740F7" w:rsidP="006D0A51">
            <w:pPr>
              <w:spacing w:line="259" w:lineRule="auto"/>
              <w:jc w:val="center"/>
              <w:rPr>
                <w:rFonts w:eastAsia="Times New Roman"/>
                <w:b/>
                <w:bCs/>
                <w:sz w:val="18"/>
                <w:szCs w:val="18"/>
                <w:lang w:eastAsia="hr-HR"/>
              </w:rPr>
            </w:pPr>
            <w:r w:rsidRPr="001B4CA2">
              <w:rPr>
                <w:rFonts w:eastAsia="Times New Roman"/>
                <w:b/>
                <w:bCs/>
                <w:sz w:val="18"/>
                <w:szCs w:val="18"/>
                <w:lang w:eastAsia="hr-HR"/>
              </w:rPr>
              <w:t>Godina</w:t>
            </w:r>
          </w:p>
        </w:tc>
        <w:tc>
          <w:tcPr>
            <w:tcW w:w="2171" w:type="dxa"/>
            <w:shd w:val="clear" w:color="000000" w:fill="99CCFF"/>
            <w:vAlign w:val="center"/>
            <w:hideMark/>
          </w:tcPr>
          <w:p w14:paraId="5D3ADCBE" w14:textId="5A228D3D"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Broj predmeta u postupku pred sudom i JPT</w:t>
            </w:r>
            <w:r w:rsidR="00727861">
              <w:rPr>
                <w:rFonts w:eastAsia="Times New Roman"/>
                <w:b/>
                <w:bCs/>
                <w:sz w:val="18"/>
                <w:szCs w:val="18"/>
                <w:lang w:eastAsia="hr-HR"/>
              </w:rPr>
              <w:t>-om</w:t>
            </w:r>
          </w:p>
        </w:tc>
        <w:tc>
          <w:tcPr>
            <w:tcW w:w="2274" w:type="dxa"/>
            <w:shd w:val="clear" w:color="000000" w:fill="99CCFF"/>
            <w:vAlign w:val="center"/>
            <w:hideMark/>
          </w:tcPr>
          <w:p w14:paraId="36333FFD"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Ukupan broj predmeta u kojima postupak vodi i u postupku sudjeluje državno odvjetništvo</w:t>
            </w:r>
          </w:p>
        </w:tc>
      </w:tr>
      <w:tr w:rsidR="000740F7" w:rsidRPr="001B4CA2" w14:paraId="422B5F33" w14:textId="77777777" w:rsidTr="006D0A51">
        <w:trPr>
          <w:trHeight w:val="342"/>
        </w:trPr>
        <w:tc>
          <w:tcPr>
            <w:tcW w:w="2305" w:type="dxa"/>
            <w:shd w:val="clear" w:color="auto" w:fill="auto"/>
            <w:noWrap/>
            <w:vAlign w:val="center"/>
            <w:hideMark/>
          </w:tcPr>
          <w:p w14:paraId="677D45C0"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2018.</w:t>
            </w:r>
          </w:p>
        </w:tc>
        <w:tc>
          <w:tcPr>
            <w:tcW w:w="2171" w:type="dxa"/>
            <w:shd w:val="clear" w:color="auto" w:fill="auto"/>
            <w:noWrap/>
            <w:vAlign w:val="center"/>
          </w:tcPr>
          <w:p w14:paraId="4BE9D0F5" w14:textId="77777777" w:rsidR="000740F7" w:rsidRPr="001B4CA2" w:rsidRDefault="000740F7" w:rsidP="006D0A51">
            <w:pPr>
              <w:jc w:val="center"/>
              <w:rPr>
                <w:color w:val="000000"/>
                <w:sz w:val="18"/>
                <w:szCs w:val="18"/>
              </w:rPr>
            </w:pPr>
            <w:r w:rsidRPr="001B4CA2">
              <w:rPr>
                <w:color w:val="000000"/>
                <w:sz w:val="18"/>
                <w:szCs w:val="18"/>
              </w:rPr>
              <w:t>196.658</w:t>
            </w:r>
          </w:p>
        </w:tc>
        <w:tc>
          <w:tcPr>
            <w:tcW w:w="2274" w:type="dxa"/>
            <w:shd w:val="clear" w:color="auto" w:fill="auto"/>
            <w:noWrap/>
            <w:vAlign w:val="center"/>
          </w:tcPr>
          <w:p w14:paraId="64022AA8" w14:textId="77777777" w:rsidR="000740F7" w:rsidRPr="001B4CA2" w:rsidRDefault="000740F7" w:rsidP="006D0A51">
            <w:pPr>
              <w:jc w:val="center"/>
              <w:rPr>
                <w:color w:val="000000"/>
                <w:sz w:val="18"/>
                <w:szCs w:val="18"/>
              </w:rPr>
            </w:pPr>
            <w:r w:rsidRPr="001B4CA2">
              <w:rPr>
                <w:color w:val="000000"/>
                <w:sz w:val="18"/>
                <w:szCs w:val="18"/>
              </w:rPr>
              <w:t>344.248</w:t>
            </w:r>
          </w:p>
        </w:tc>
      </w:tr>
      <w:tr w:rsidR="000740F7" w:rsidRPr="001B4CA2" w14:paraId="3A9739B8" w14:textId="77777777" w:rsidTr="006D0A51">
        <w:trPr>
          <w:trHeight w:val="342"/>
        </w:trPr>
        <w:tc>
          <w:tcPr>
            <w:tcW w:w="2305" w:type="dxa"/>
            <w:shd w:val="clear" w:color="auto" w:fill="auto"/>
            <w:noWrap/>
            <w:vAlign w:val="center"/>
            <w:hideMark/>
          </w:tcPr>
          <w:p w14:paraId="14EFFE26"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2019.</w:t>
            </w:r>
          </w:p>
        </w:tc>
        <w:tc>
          <w:tcPr>
            <w:tcW w:w="2171" w:type="dxa"/>
            <w:shd w:val="clear" w:color="auto" w:fill="auto"/>
            <w:noWrap/>
            <w:vAlign w:val="center"/>
          </w:tcPr>
          <w:p w14:paraId="55F5AA61" w14:textId="77777777" w:rsidR="000740F7" w:rsidRPr="001B4CA2" w:rsidRDefault="000740F7" w:rsidP="006D0A51">
            <w:pPr>
              <w:jc w:val="center"/>
              <w:rPr>
                <w:color w:val="000000"/>
                <w:sz w:val="18"/>
                <w:szCs w:val="18"/>
              </w:rPr>
            </w:pPr>
            <w:r w:rsidRPr="001B4CA2">
              <w:rPr>
                <w:color w:val="000000"/>
                <w:sz w:val="18"/>
                <w:szCs w:val="18"/>
              </w:rPr>
              <w:t>226.309</w:t>
            </w:r>
          </w:p>
        </w:tc>
        <w:tc>
          <w:tcPr>
            <w:tcW w:w="2274" w:type="dxa"/>
            <w:shd w:val="clear" w:color="auto" w:fill="auto"/>
            <w:noWrap/>
            <w:vAlign w:val="center"/>
          </w:tcPr>
          <w:p w14:paraId="4C963C61" w14:textId="77777777" w:rsidR="000740F7" w:rsidRPr="001B4CA2" w:rsidRDefault="000740F7" w:rsidP="006D0A51">
            <w:pPr>
              <w:jc w:val="center"/>
              <w:rPr>
                <w:color w:val="000000"/>
                <w:sz w:val="18"/>
                <w:szCs w:val="18"/>
              </w:rPr>
            </w:pPr>
            <w:r w:rsidRPr="001B4CA2">
              <w:rPr>
                <w:color w:val="000000"/>
                <w:sz w:val="18"/>
                <w:szCs w:val="18"/>
              </w:rPr>
              <w:t>371.535</w:t>
            </w:r>
          </w:p>
        </w:tc>
      </w:tr>
      <w:tr w:rsidR="000740F7" w:rsidRPr="001B4CA2" w14:paraId="436A406C" w14:textId="77777777" w:rsidTr="006D0A51">
        <w:trPr>
          <w:trHeight w:val="342"/>
        </w:trPr>
        <w:tc>
          <w:tcPr>
            <w:tcW w:w="2305" w:type="dxa"/>
            <w:shd w:val="clear" w:color="auto" w:fill="auto"/>
            <w:noWrap/>
            <w:vAlign w:val="center"/>
            <w:hideMark/>
          </w:tcPr>
          <w:p w14:paraId="568E1192"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2020.</w:t>
            </w:r>
          </w:p>
        </w:tc>
        <w:tc>
          <w:tcPr>
            <w:tcW w:w="2171" w:type="dxa"/>
            <w:shd w:val="clear" w:color="auto" w:fill="auto"/>
            <w:noWrap/>
            <w:vAlign w:val="center"/>
          </w:tcPr>
          <w:p w14:paraId="2345040E" w14:textId="77777777" w:rsidR="000740F7" w:rsidRPr="001B4CA2" w:rsidRDefault="000740F7" w:rsidP="006D0A51">
            <w:pPr>
              <w:jc w:val="center"/>
              <w:rPr>
                <w:color w:val="000000"/>
                <w:sz w:val="18"/>
                <w:szCs w:val="18"/>
              </w:rPr>
            </w:pPr>
            <w:r w:rsidRPr="001B4CA2">
              <w:rPr>
                <w:color w:val="000000"/>
                <w:sz w:val="18"/>
                <w:szCs w:val="18"/>
              </w:rPr>
              <w:t>261.122</w:t>
            </w:r>
          </w:p>
        </w:tc>
        <w:tc>
          <w:tcPr>
            <w:tcW w:w="2274" w:type="dxa"/>
            <w:shd w:val="clear" w:color="auto" w:fill="auto"/>
            <w:noWrap/>
            <w:vAlign w:val="center"/>
          </w:tcPr>
          <w:p w14:paraId="29B943C9" w14:textId="77777777" w:rsidR="000740F7" w:rsidRPr="001B4CA2" w:rsidRDefault="000740F7" w:rsidP="006D0A51">
            <w:pPr>
              <w:jc w:val="center"/>
              <w:rPr>
                <w:color w:val="000000"/>
                <w:sz w:val="18"/>
                <w:szCs w:val="18"/>
              </w:rPr>
            </w:pPr>
            <w:r w:rsidRPr="001B4CA2">
              <w:rPr>
                <w:color w:val="000000"/>
                <w:sz w:val="18"/>
                <w:szCs w:val="18"/>
              </w:rPr>
              <w:t> 404.008</w:t>
            </w:r>
          </w:p>
        </w:tc>
      </w:tr>
      <w:tr w:rsidR="000740F7" w:rsidRPr="001B4CA2" w14:paraId="2453B74C" w14:textId="77777777" w:rsidTr="006D0A51">
        <w:trPr>
          <w:trHeight w:val="342"/>
        </w:trPr>
        <w:tc>
          <w:tcPr>
            <w:tcW w:w="2305" w:type="dxa"/>
            <w:shd w:val="clear" w:color="auto" w:fill="auto"/>
            <w:noWrap/>
            <w:vAlign w:val="center"/>
            <w:hideMark/>
          </w:tcPr>
          <w:p w14:paraId="5E36573C"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2021.</w:t>
            </w:r>
          </w:p>
        </w:tc>
        <w:tc>
          <w:tcPr>
            <w:tcW w:w="2171" w:type="dxa"/>
            <w:shd w:val="clear" w:color="auto" w:fill="auto"/>
            <w:noWrap/>
            <w:vAlign w:val="center"/>
          </w:tcPr>
          <w:p w14:paraId="65BD7721" w14:textId="77777777" w:rsidR="000740F7" w:rsidRPr="001B4CA2" w:rsidRDefault="000740F7" w:rsidP="006D0A51">
            <w:pPr>
              <w:jc w:val="center"/>
              <w:rPr>
                <w:color w:val="000000"/>
                <w:sz w:val="18"/>
                <w:szCs w:val="18"/>
              </w:rPr>
            </w:pPr>
            <w:r w:rsidRPr="001B4CA2">
              <w:rPr>
                <w:color w:val="000000"/>
                <w:sz w:val="18"/>
                <w:szCs w:val="18"/>
              </w:rPr>
              <w:t>231.084</w:t>
            </w:r>
          </w:p>
        </w:tc>
        <w:tc>
          <w:tcPr>
            <w:tcW w:w="2274" w:type="dxa"/>
            <w:shd w:val="clear" w:color="auto" w:fill="auto"/>
            <w:noWrap/>
            <w:vAlign w:val="center"/>
          </w:tcPr>
          <w:p w14:paraId="30902121" w14:textId="77777777" w:rsidR="000740F7" w:rsidRPr="001B4CA2" w:rsidRDefault="000740F7" w:rsidP="006D0A51">
            <w:pPr>
              <w:jc w:val="center"/>
              <w:rPr>
                <w:color w:val="000000"/>
                <w:sz w:val="18"/>
                <w:szCs w:val="18"/>
              </w:rPr>
            </w:pPr>
            <w:r w:rsidRPr="001B4CA2">
              <w:rPr>
                <w:color w:val="000000"/>
                <w:sz w:val="18"/>
                <w:szCs w:val="18"/>
              </w:rPr>
              <w:t>388.483</w:t>
            </w:r>
          </w:p>
        </w:tc>
      </w:tr>
      <w:tr w:rsidR="000740F7" w:rsidRPr="001B4CA2" w14:paraId="5403B36E" w14:textId="77777777" w:rsidTr="006D0A51">
        <w:trPr>
          <w:trHeight w:val="342"/>
        </w:trPr>
        <w:tc>
          <w:tcPr>
            <w:tcW w:w="2305" w:type="dxa"/>
            <w:shd w:val="clear" w:color="auto" w:fill="auto"/>
            <w:noWrap/>
            <w:vAlign w:val="center"/>
            <w:hideMark/>
          </w:tcPr>
          <w:p w14:paraId="3AAB9CF3"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2022.</w:t>
            </w:r>
          </w:p>
        </w:tc>
        <w:tc>
          <w:tcPr>
            <w:tcW w:w="2171" w:type="dxa"/>
            <w:shd w:val="clear" w:color="auto" w:fill="auto"/>
            <w:noWrap/>
            <w:vAlign w:val="center"/>
          </w:tcPr>
          <w:p w14:paraId="64B0F4E9" w14:textId="77777777" w:rsidR="000740F7" w:rsidRPr="001B4CA2" w:rsidRDefault="000740F7" w:rsidP="006D0A51">
            <w:pPr>
              <w:jc w:val="center"/>
              <w:rPr>
                <w:color w:val="000000"/>
                <w:sz w:val="18"/>
                <w:szCs w:val="18"/>
              </w:rPr>
            </w:pPr>
            <w:r w:rsidRPr="001B4CA2">
              <w:rPr>
                <w:color w:val="000000"/>
                <w:sz w:val="18"/>
                <w:szCs w:val="18"/>
              </w:rPr>
              <w:t>231.886</w:t>
            </w:r>
          </w:p>
        </w:tc>
        <w:tc>
          <w:tcPr>
            <w:tcW w:w="2274" w:type="dxa"/>
            <w:shd w:val="clear" w:color="auto" w:fill="auto"/>
            <w:noWrap/>
            <w:vAlign w:val="center"/>
          </w:tcPr>
          <w:p w14:paraId="73B0784A" w14:textId="77777777" w:rsidR="000740F7" w:rsidRPr="001B4CA2" w:rsidRDefault="000740F7" w:rsidP="006D0A51">
            <w:pPr>
              <w:jc w:val="center"/>
              <w:rPr>
                <w:color w:val="000000"/>
                <w:sz w:val="18"/>
                <w:szCs w:val="18"/>
              </w:rPr>
            </w:pPr>
            <w:r w:rsidRPr="001B4CA2">
              <w:rPr>
                <w:color w:val="000000"/>
                <w:sz w:val="18"/>
                <w:szCs w:val="18"/>
              </w:rPr>
              <w:t>340.710</w:t>
            </w:r>
          </w:p>
        </w:tc>
      </w:tr>
    </w:tbl>
    <w:p w14:paraId="2D07693D" w14:textId="77777777" w:rsidR="000740F7" w:rsidRPr="001B4CA2" w:rsidRDefault="000740F7" w:rsidP="000740F7"/>
    <w:p w14:paraId="105D20AE" w14:textId="77777777" w:rsidR="000740F7" w:rsidRPr="001B4CA2" w:rsidRDefault="000740F7" w:rsidP="000740F7"/>
    <w:p w14:paraId="5FBB6CAE" w14:textId="77777777" w:rsidR="000740F7" w:rsidRPr="001B4CA2" w:rsidRDefault="000740F7" w:rsidP="000740F7"/>
    <w:p w14:paraId="34453544" w14:textId="77777777" w:rsidR="000740F7" w:rsidRPr="001B4CA2" w:rsidRDefault="000740F7" w:rsidP="000740F7"/>
    <w:p w14:paraId="5E193450" w14:textId="77777777" w:rsidR="000740F7" w:rsidRPr="001B4CA2" w:rsidRDefault="000740F7" w:rsidP="000740F7"/>
    <w:p w14:paraId="07F8CD43" w14:textId="77777777" w:rsidR="000740F7" w:rsidRPr="001B4CA2" w:rsidRDefault="000740F7" w:rsidP="000740F7"/>
    <w:p w14:paraId="6EE741E7" w14:textId="77777777" w:rsidR="000740F7" w:rsidRPr="001B4CA2" w:rsidRDefault="000740F7" w:rsidP="000740F7"/>
    <w:p w14:paraId="38D82E75" w14:textId="77777777" w:rsidR="000740F7" w:rsidRPr="001B4CA2" w:rsidRDefault="000740F7" w:rsidP="000740F7"/>
    <w:p w14:paraId="587B1BF0" w14:textId="77777777" w:rsidR="000740F7" w:rsidRPr="001B4CA2" w:rsidRDefault="000740F7" w:rsidP="000740F7"/>
    <w:p w14:paraId="05EBB370" w14:textId="77777777" w:rsidR="000740F7" w:rsidRPr="001B4CA2" w:rsidRDefault="000740F7" w:rsidP="000740F7"/>
    <w:p w14:paraId="3E4F7CB8" w14:textId="77777777" w:rsidR="000740F7" w:rsidRPr="001B4CA2" w:rsidRDefault="000740F7" w:rsidP="000740F7"/>
    <w:p w14:paraId="0A707F0E" w14:textId="77777777" w:rsidR="000740F7" w:rsidRPr="001B4CA2" w:rsidRDefault="000740F7" w:rsidP="000740F7"/>
    <w:p w14:paraId="18C6F842" w14:textId="77777777" w:rsidR="000740F7" w:rsidRPr="001B4CA2" w:rsidRDefault="000740F7" w:rsidP="000740F7"/>
    <w:p w14:paraId="242EA9FC" w14:textId="77777777" w:rsidR="000740F7" w:rsidRPr="001B4CA2" w:rsidRDefault="000740F7" w:rsidP="000740F7"/>
    <w:p w14:paraId="2D3BF041" w14:textId="77777777" w:rsidR="000740F7" w:rsidRPr="001B4CA2" w:rsidRDefault="000740F7" w:rsidP="000740F7"/>
    <w:p w14:paraId="32E84C82" w14:textId="549E0060" w:rsidR="000740F7" w:rsidRPr="001B4CA2" w:rsidRDefault="000740F7" w:rsidP="000740F7">
      <w:pPr>
        <w:ind w:firstLine="708"/>
      </w:pPr>
      <w:r w:rsidRPr="001B4CA2">
        <w:t xml:space="preserve">U gornjoj tablici prikazan je broj predmeta u kojima se nakon donošenja </w:t>
      </w:r>
      <w:proofErr w:type="spellStart"/>
      <w:r w:rsidRPr="001B4CA2">
        <w:t>državnoodvjetničke</w:t>
      </w:r>
      <w:proofErr w:type="spellEnd"/>
      <w:r w:rsidRPr="001B4CA2">
        <w:t xml:space="preserve"> odluke, a nakon čega se predmet iskazuje riješenim u državnom odvjetništvu, postupak nastavlja i vodi pred nadležnim sudom ili javnopravnim tijelom </w:t>
      </w:r>
      <w:r w:rsidRPr="001B4CA2">
        <w:lastRenderedPageBreak/>
        <w:t>kako bi se mogao sagledati sveukupan opseg rada i opterećenja općinskih državnih odvjetništava.</w:t>
      </w:r>
    </w:p>
    <w:p w14:paraId="4C814747" w14:textId="77777777" w:rsidR="000740F7" w:rsidRPr="001B4CA2" w:rsidRDefault="000740F7" w:rsidP="000740F7">
      <w:pPr>
        <w:ind w:firstLine="708"/>
      </w:pPr>
    </w:p>
    <w:tbl>
      <w:tblPr>
        <w:tblW w:w="8789" w:type="dxa"/>
        <w:tblInd w:w="250" w:type="dxa"/>
        <w:tblLayout w:type="fixed"/>
        <w:tblLook w:val="04A0" w:firstRow="1" w:lastRow="0" w:firstColumn="1" w:lastColumn="0" w:noHBand="0" w:noVBand="1"/>
      </w:tblPr>
      <w:tblGrid>
        <w:gridCol w:w="1364"/>
        <w:gridCol w:w="862"/>
        <w:gridCol w:w="728"/>
        <w:gridCol w:w="668"/>
        <w:gridCol w:w="1291"/>
        <w:gridCol w:w="1292"/>
        <w:gridCol w:w="1292"/>
        <w:gridCol w:w="1292"/>
      </w:tblGrid>
      <w:tr w:rsidR="000740F7" w:rsidRPr="001B4CA2" w14:paraId="6AA4BC1E" w14:textId="77777777" w:rsidTr="001F53E7">
        <w:trPr>
          <w:trHeight w:val="323"/>
        </w:trPr>
        <w:tc>
          <w:tcPr>
            <w:tcW w:w="8789" w:type="dxa"/>
            <w:gridSpan w:val="8"/>
            <w:tcBorders>
              <w:top w:val="nil"/>
              <w:left w:val="nil"/>
              <w:bottom w:val="single" w:sz="4" w:space="0" w:color="auto"/>
              <w:right w:val="nil"/>
            </w:tcBorders>
            <w:shd w:val="clear" w:color="auto" w:fill="auto"/>
            <w:noWrap/>
            <w:vAlign w:val="center"/>
            <w:hideMark/>
          </w:tcPr>
          <w:p w14:paraId="14CBD485" w14:textId="731F4109" w:rsidR="000740F7" w:rsidRPr="001B4CA2" w:rsidRDefault="000740F7" w:rsidP="006D0A51">
            <w:pPr>
              <w:jc w:val="left"/>
              <w:rPr>
                <w:rFonts w:eastAsia="Times New Roman"/>
                <w:i/>
                <w:iCs/>
                <w:lang w:eastAsia="hr-HR"/>
              </w:rPr>
            </w:pPr>
            <w:r w:rsidRPr="001B4CA2">
              <w:rPr>
                <w:rFonts w:eastAsia="Times New Roman"/>
                <w:i/>
                <w:iCs/>
                <w:lang w:eastAsia="hr-HR"/>
              </w:rPr>
              <w:t xml:space="preserve"> Opći pregled pokazatelja uspješnosti rada općinskih državnih odvjetništava</w:t>
            </w:r>
          </w:p>
        </w:tc>
      </w:tr>
      <w:tr w:rsidR="000740F7" w:rsidRPr="001B4CA2" w14:paraId="6BC8D678" w14:textId="77777777" w:rsidTr="001F53E7">
        <w:trPr>
          <w:trHeight w:val="1598"/>
        </w:trPr>
        <w:tc>
          <w:tcPr>
            <w:tcW w:w="1364"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4CD1C7E1"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Državna odvjetništva</w:t>
            </w:r>
          </w:p>
        </w:tc>
        <w:tc>
          <w:tcPr>
            <w:tcW w:w="862" w:type="dxa"/>
            <w:tcBorders>
              <w:top w:val="single" w:sz="4" w:space="0" w:color="auto"/>
              <w:left w:val="nil"/>
              <w:bottom w:val="single" w:sz="4" w:space="0" w:color="auto"/>
              <w:right w:val="single" w:sz="4" w:space="0" w:color="auto"/>
            </w:tcBorders>
            <w:shd w:val="clear" w:color="000000" w:fill="99CCFF"/>
            <w:noWrap/>
            <w:vAlign w:val="center"/>
            <w:hideMark/>
          </w:tcPr>
          <w:p w14:paraId="26EDDBAE"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Godina</w:t>
            </w:r>
          </w:p>
        </w:tc>
        <w:tc>
          <w:tcPr>
            <w:tcW w:w="728" w:type="dxa"/>
            <w:tcBorders>
              <w:top w:val="single" w:sz="4" w:space="0" w:color="auto"/>
              <w:left w:val="nil"/>
              <w:bottom w:val="single" w:sz="4" w:space="0" w:color="auto"/>
              <w:right w:val="single" w:sz="4" w:space="0" w:color="auto"/>
            </w:tcBorders>
            <w:shd w:val="clear" w:color="000000" w:fill="99CCFF"/>
            <w:noWrap/>
            <w:vAlign w:val="center"/>
            <w:hideMark/>
          </w:tcPr>
          <w:p w14:paraId="0E116CFE"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668" w:type="dxa"/>
            <w:tcBorders>
              <w:top w:val="single" w:sz="4" w:space="0" w:color="auto"/>
              <w:left w:val="nil"/>
              <w:bottom w:val="single" w:sz="4" w:space="0" w:color="auto"/>
              <w:right w:val="single" w:sz="4" w:space="0" w:color="auto"/>
            </w:tcBorders>
            <w:shd w:val="clear" w:color="000000" w:fill="99CCFF"/>
            <w:noWrap/>
            <w:vAlign w:val="center"/>
            <w:hideMark/>
          </w:tcPr>
          <w:p w14:paraId="4D8F0A63"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DT</w:t>
            </w:r>
          </w:p>
        </w:tc>
        <w:tc>
          <w:tcPr>
            <w:tcW w:w="1291" w:type="dxa"/>
            <w:tcBorders>
              <w:top w:val="single" w:sz="4" w:space="0" w:color="auto"/>
              <w:left w:val="nil"/>
              <w:bottom w:val="single" w:sz="4" w:space="0" w:color="auto"/>
              <w:right w:val="single" w:sz="4" w:space="0" w:color="auto"/>
            </w:tcBorders>
            <w:shd w:val="clear" w:color="000000" w:fill="99CCFF"/>
            <w:vAlign w:val="center"/>
            <w:hideMark/>
          </w:tcPr>
          <w:p w14:paraId="038E6810"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Broj zamjenika /savjetnika – stvarna prisutnost</w:t>
            </w:r>
          </w:p>
        </w:tc>
        <w:tc>
          <w:tcPr>
            <w:tcW w:w="1292" w:type="dxa"/>
            <w:tcBorders>
              <w:top w:val="single" w:sz="4" w:space="0" w:color="auto"/>
              <w:left w:val="nil"/>
              <w:bottom w:val="single" w:sz="4" w:space="0" w:color="auto"/>
              <w:right w:val="single" w:sz="4" w:space="0" w:color="auto"/>
            </w:tcBorders>
            <w:shd w:val="clear" w:color="000000" w:fill="99CCFF"/>
            <w:vAlign w:val="center"/>
            <w:hideMark/>
          </w:tcPr>
          <w:p w14:paraId="093AD71A"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Primljeno po zamjeniku/ savjetniku</w:t>
            </w:r>
          </w:p>
        </w:tc>
        <w:tc>
          <w:tcPr>
            <w:tcW w:w="1292" w:type="dxa"/>
            <w:tcBorders>
              <w:top w:val="single" w:sz="4" w:space="0" w:color="auto"/>
              <w:left w:val="nil"/>
              <w:bottom w:val="single" w:sz="4" w:space="0" w:color="auto"/>
              <w:right w:val="single" w:sz="4" w:space="0" w:color="auto"/>
            </w:tcBorders>
            <w:shd w:val="clear" w:color="000000" w:fill="99CCFF"/>
            <w:vAlign w:val="center"/>
            <w:hideMark/>
          </w:tcPr>
          <w:p w14:paraId="315AB725"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Broj riješenih predmeta po zamjeniku/ savjetniku</w:t>
            </w:r>
          </w:p>
        </w:tc>
        <w:tc>
          <w:tcPr>
            <w:tcW w:w="1292" w:type="dxa"/>
            <w:tcBorders>
              <w:top w:val="single" w:sz="4" w:space="0" w:color="auto"/>
              <w:left w:val="nil"/>
              <w:bottom w:val="single" w:sz="4" w:space="0" w:color="auto"/>
              <w:right w:val="single" w:sz="4" w:space="0" w:color="auto"/>
            </w:tcBorders>
            <w:shd w:val="clear" w:color="000000" w:fill="99CCFF"/>
            <w:vAlign w:val="center"/>
            <w:hideMark/>
          </w:tcPr>
          <w:p w14:paraId="0030D0D9"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Broj neriješenih predmeta po zamjeniku/ savjetniku</w:t>
            </w:r>
          </w:p>
        </w:tc>
      </w:tr>
      <w:tr w:rsidR="000740F7" w:rsidRPr="001B4CA2" w14:paraId="03D35F57" w14:textId="77777777" w:rsidTr="001F53E7">
        <w:trPr>
          <w:trHeight w:val="624"/>
        </w:trPr>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D897EF"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ODO</w:t>
            </w: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961B3"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2018.</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5DA82" w14:textId="77777777" w:rsidR="000740F7" w:rsidRPr="001B4CA2" w:rsidRDefault="000740F7" w:rsidP="006D0A51">
            <w:pPr>
              <w:jc w:val="center"/>
              <w:rPr>
                <w:color w:val="000000"/>
                <w:sz w:val="18"/>
                <w:szCs w:val="18"/>
              </w:rPr>
            </w:pPr>
            <w:r w:rsidRPr="001B4CA2">
              <w:rPr>
                <w:color w:val="000000"/>
                <w:sz w:val="18"/>
                <w:szCs w:val="18"/>
              </w:rPr>
              <w:t>105%</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C75D6" w14:textId="77777777" w:rsidR="000740F7" w:rsidRPr="001B4CA2" w:rsidRDefault="000740F7" w:rsidP="006D0A51">
            <w:pPr>
              <w:jc w:val="center"/>
              <w:rPr>
                <w:color w:val="000000"/>
                <w:sz w:val="18"/>
                <w:szCs w:val="18"/>
              </w:rPr>
            </w:pPr>
            <w:r w:rsidRPr="001B4CA2">
              <w:rPr>
                <w:color w:val="000000"/>
                <w:sz w:val="18"/>
                <w:szCs w:val="18"/>
              </w:rPr>
              <w:t>142,3</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14698" w14:textId="77777777" w:rsidR="000740F7" w:rsidRPr="001B4CA2" w:rsidRDefault="000740F7" w:rsidP="006D0A51">
            <w:pPr>
              <w:jc w:val="center"/>
              <w:rPr>
                <w:color w:val="000000"/>
                <w:sz w:val="18"/>
                <w:szCs w:val="18"/>
              </w:rPr>
            </w:pPr>
            <w:r w:rsidRPr="001B4CA2">
              <w:rPr>
                <w:color w:val="000000"/>
                <w:sz w:val="18"/>
                <w:szCs w:val="18"/>
              </w:rPr>
              <w:t>474</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E035F" w14:textId="77777777" w:rsidR="000740F7" w:rsidRPr="001B4CA2" w:rsidRDefault="000740F7" w:rsidP="006D0A51">
            <w:pPr>
              <w:jc w:val="center"/>
              <w:rPr>
                <w:color w:val="000000"/>
                <w:sz w:val="18"/>
                <w:szCs w:val="18"/>
              </w:rPr>
            </w:pPr>
            <w:r w:rsidRPr="001B4CA2">
              <w:rPr>
                <w:color w:val="000000"/>
                <w:sz w:val="18"/>
                <w:szCs w:val="18"/>
              </w:rPr>
              <w:t>300,8</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4184B" w14:textId="77777777" w:rsidR="000740F7" w:rsidRPr="001B4CA2" w:rsidRDefault="000740F7" w:rsidP="006D0A51">
            <w:pPr>
              <w:jc w:val="center"/>
              <w:rPr>
                <w:color w:val="000000"/>
                <w:sz w:val="18"/>
                <w:szCs w:val="18"/>
              </w:rPr>
            </w:pPr>
            <w:r w:rsidRPr="001B4CA2">
              <w:rPr>
                <w:color w:val="000000"/>
                <w:sz w:val="18"/>
                <w:szCs w:val="18"/>
              </w:rPr>
              <w:t>314,8</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4EBB6" w14:textId="77777777" w:rsidR="000740F7" w:rsidRPr="001B4CA2" w:rsidRDefault="000740F7" w:rsidP="006D0A51">
            <w:pPr>
              <w:jc w:val="center"/>
              <w:rPr>
                <w:color w:val="000000"/>
                <w:sz w:val="18"/>
                <w:szCs w:val="18"/>
              </w:rPr>
            </w:pPr>
            <w:r w:rsidRPr="001B4CA2">
              <w:rPr>
                <w:color w:val="000000"/>
                <w:sz w:val="18"/>
                <w:szCs w:val="18"/>
              </w:rPr>
              <w:t>122,7</w:t>
            </w:r>
          </w:p>
        </w:tc>
      </w:tr>
      <w:tr w:rsidR="000740F7" w:rsidRPr="001B4CA2" w14:paraId="3CB8B9AF" w14:textId="77777777" w:rsidTr="001F53E7">
        <w:trPr>
          <w:trHeight w:val="600"/>
        </w:trPr>
        <w:tc>
          <w:tcPr>
            <w:tcW w:w="1364" w:type="dxa"/>
            <w:vMerge/>
            <w:tcBorders>
              <w:top w:val="single" w:sz="4" w:space="0" w:color="auto"/>
              <w:left w:val="single" w:sz="4" w:space="0" w:color="auto"/>
              <w:bottom w:val="single" w:sz="4" w:space="0" w:color="auto"/>
              <w:right w:val="single" w:sz="4" w:space="0" w:color="auto"/>
            </w:tcBorders>
            <w:vAlign w:val="center"/>
            <w:hideMark/>
          </w:tcPr>
          <w:p w14:paraId="5EFD4540" w14:textId="77777777" w:rsidR="000740F7" w:rsidRPr="001B4CA2" w:rsidRDefault="000740F7" w:rsidP="006D0A51">
            <w:pPr>
              <w:jc w:val="center"/>
              <w:rPr>
                <w:rFonts w:eastAsia="Times New Roman"/>
                <w:sz w:val="18"/>
                <w:szCs w:val="18"/>
                <w:lang w:eastAsia="hr-HR"/>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68E61"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2019.</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0E8D1" w14:textId="77777777" w:rsidR="000740F7" w:rsidRPr="001B4CA2" w:rsidRDefault="000740F7" w:rsidP="006D0A51">
            <w:pPr>
              <w:jc w:val="center"/>
              <w:rPr>
                <w:color w:val="000000"/>
                <w:sz w:val="18"/>
                <w:szCs w:val="18"/>
              </w:rPr>
            </w:pPr>
            <w:r w:rsidRPr="001B4CA2">
              <w:rPr>
                <w:color w:val="000000"/>
                <w:sz w:val="18"/>
                <w:szCs w:val="18"/>
              </w:rPr>
              <w:t>101%</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08200" w14:textId="77777777" w:rsidR="000740F7" w:rsidRPr="001B4CA2" w:rsidRDefault="000740F7" w:rsidP="006D0A51">
            <w:pPr>
              <w:jc w:val="center"/>
              <w:rPr>
                <w:color w:val="000000"/>
                <w:sz w:val="18"/>
                <w:szCs w:val="18"/>
              </w:rPr>
            </w:pPr>
            <w:r w:rsidRPr="001B4CA2">
              <w:rPr>
                <w:color w:val="000000"/>
                <w:sz w:val="18"/>
                <w:szCs w:val="18"/>
              </w:rPr>
              <w:t>83,3</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81F4D" w14:textId="77777777" w:rsidR="000740F7" w:rsidRPr="001B4CA2" w:rsidRDefault="000740F7" w:rsidP="006D0A51">
            <w:pPr>
              <w:jc w:val="center"/>
              <w:rPr>
                <w:color w:val="000000"/>
                <w:sz w:val="18"/>
                <w:szCs w:val="18"/>
              </w:rPr>
            </w:pPr>
            <w:r w:rsidRPr="001B4CA2">
              <w:rPr>
                <w:color w:val="000000"/>
                <w:sz w:val="18"/>
                <w:szCs w:val="18"/>
              </w:rPr>
              <w:t>416,6</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5BCFE" w14:textId="77777777" w:rsidR="000740F7" w:rsidRPr="001B4CA2" w:rsidRDefault="000740F7" w:rsidP="006D0A51">
            <w:pPr>
              <w:jc w:val="center"/>
              <w:rPr>
                <w:color w:val="000000"/>
                <w:sz w:val="18"/>
                <w:szCs w:val="18"/>
              </w:rPr>
            </w:pPr>
            <w:r w:rsidRPr="001B4CA2">
              <w:rPr>
                <w:color w:val="000000"/>
                <w:sz w:val="18"/>
                <w:szCs w:val="18"/>
              </w:rPr>
              <w:t>425,4</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024F4" w14:textId="77777777" w:rsidR="000740F7" w:rsidRPr="001B4CA2" w:rsidRDefault="000740F7" w:rsidP="006D0A51">
            <w:pPr>
              <w:jc w:val="center"/>
              <w:rPr>
                <w:color w:val="000000"/>
                <w:sz w:val="18"/>
                <w:szCs w:val="18"/>
              </w:rPr>
            </w:pPr>
            <w:r w:rsidRPr="001B4CA2">
              <w:rPr>
                <w:color w:val="000000"/>
                <w:sz w:val="18"/>
                <w:szCs w:val="18"/>
              </w:rPr>
              <w:t>430,7</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685D2" w14:textId="77777777" w:rsidR="000740F7" w:rsidRPr="001B4CA2" w:rsidRDefault="000740F7" w:rsidP="006D0A51">
            <w:pPr>
              <w:jc w:val="center"/>
              <w:rPr>
                <w:color w:val="000000"/>
                <w:sz w:val="18"/>
                <w:szCs w:val="18"/>
              </w:rPr>
            </w:pPr>
            <w:r w:rsidRPr="001B4CA2">
              <w:rPr>
                <w:color w:val="000000"/>
                <w:sz w:val="18"/>
                <w:szCs w:val="18"/>
              </w:rPr>
              <w:t>98,3</w:t>
            </w:r>
          </w:p>
        </w:tc>
      </w:tr>
      <w:tr w:rsidR="000740F7" w:rsidRPr="001B4CA2" w14:paraId="52BBFEE3" w14:textId="77777777" w:rsidTr="001F53E7">
        <w:trPr>
          <w:trHeight w:val="573"/>
        </w:trPr>
        <w:tc>
          <w:tcPr>
            <w:tcW w:w="1364" w:type="dxa"/>
            <w:vMerge/>
            <w:tcBorders>
              <w:top w:val="single" w:sz="4" w:space="0" w:color="auto"/>
              <w:left w:val="single" w:sz="4" w:space="0" w:color="auto"/>
              <w:bottom w:val="single" w:sz="4" w:space="0" w:color="auto"/>
              <w:right w:val="single" w:sz="4" w:space="0" w:color="auto"/>
            </w:tcBorders>
            <w:vAlign w:val="center"/>
            <w:hideMark/>
          </w:tcPr>
          <w:p w14:paraId="15B833BC" w14:textId="77777777" w:rsidR="000740F7" w:rsidRPr="001B4CA2" w:rsidRDefault="000740F7" w:rsidP="006D0A51">
            <w:pPr>
              <w:jc w:val="center"/>
              <w:rPr>
                <w:rFonts w:eastAsia="Times New Roman"/>
                <w:sz w:val="18"/>
                <w:szCs w:val="18"/>
                <w:lang w:eastAsia="hr-HR"/>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57FDF"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78047" w14:textId="77777777" w:rsidR="000740F7" w:rsidRPr="001B4CA2" w:rsidRDefault="000740F7" w:rsidP="006D0A51">
            <w:pPr>
              <w:jc w:val="center"/>
              <w:rPr>
                <w:color w:val="000000"/>
                <w:sz w:val="18"/>
                <w:szCs w:val="18"/>
              </w:rPr>
            </w:pPr>
            <w:r w:rsidRPr="001B4CA2">
              <w:rPr>
                <w:color w:val="000000"/>
                <w:sz w:val="18"/>
                <w:szCs w:val="18"/>
              </w:rPr>
              <w:t> 100%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0FDB5" w14:textId="77777777" w:rsidR="000740F7" w:rsidRPr="001B4CA2" w:rsidRDefault="000740F7" w:rsidP="006D0A51">
            <w:pPr>
              <w:jc w:val="center"/>
              <w:rPr>
                <w:color w:val="000000"/>
                <w:sz w:val="18"/>
                <w:szCs w:val="18"/>
              </w:rPr>
            </w:pPr>
            <w:r w:rsidRPr="001B4CA2">
              <w:rPr>
                <w:color w:val="000000"/>
                <w:sz w:val="18"/>
                <w:szCs w:val="18"/>
              </w:rPr>
              <w:t>74,3 </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1E166" w14:textId="77777777" w:rsidR="000740F7" w:rsidRPr="001B4CA2" w:rsidRDefault="000740F7" w:rsidP="006D0A51">
            <w:pPr>
              <w:jc w:val="center"/>
              <w:rPr>
                <w:color w:val="000000"/>
                <w:sz w:val="18"/>
                <w:szCs w:val="18"/>
              </w:rPr>
            </w:pPr>
            <w:r w:rsidRPr="001B4CA2">
              <w:rPr>
                <w:color w:val="000000"/>
                <w:sz w:val="18"/>
                <w:szCs w:val="18"/>
              </w:rPr>
              <w:t>415,7</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0B4F5" w14:textId="77777777" w:rsidR="000740F7" w:rsidRPr="001B4CA2" w:rsidRDefault="000740F7" w:rsidP="006D0A51">
            <w:pPr>
              <w:jc w:val="center"/>
              <w:rPr>
                <w:color w:val="000000"/>
                <w:sz w:val="18"/>
                <w:szCs w:val="18"/>
              </w:rPr>
            </w:pPr>
            <w:r w:rsidRPr="001B4CA2">
              <w:rPr>
                <w:color w:val="000000"/>
                <w:sz w:val="18"/>
                <w:szCs w:val="18"/>
              </w:rPr>
              <w:t>414,6</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B0FF7" w14:textId="77777777" w:rsidR="000740F7" w:rsidRPr="001B4CA2" w:rsidRDefault="000740F7" w:rsidP="006D0A51">
            <w:pPr>
              <w:jc w:val="center"/>
              <w:rPr>
                <w:color w:val="000000"/>
                <w:sz w:val="18"/>
                <w:szCs w:val="18"/>
              </w:rPr>
            </w:pPr>
            <w:r w:rsidRPr="001B4CA2">
              <w:rPr>
                <w:color w:val="000000"/>
                <w:sz w:val="18"/>
                <w:szCs w:val="18"/>
              </w:rPr>
              <w:t>415,9</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06553" w14:textId="77777777" w:rsidR="000740F7" w:rsidRPr="001B4CA2" w:rsidRDefault="000740F7" w:rsidP="006D0A51">
            <w:pPr>
              <w:jc w:val="center"/>
              <w:rPr>
                <w:color w:val="000000"/>
                <w:sz w:val="18"/>
                <w:szCs w:val="18"/>
              </w:rPr>
            </w:pPr>
            <w:r w:rsidRPr="001B4CA2">
              <w:rPr>
                <w:color w:val="000000"/>
                <w:sz w:val="18"/>
                <w:szCs w:val="18"/>
              </w:rPr>
              <w:t>84,7</w:t>
            </w:r>
          </w:p>
        </w:tc>
      </w:tr>
      <w:tr w:rsidR="000740F7" w:rsidRPr="001B4CA2" w14:paraId="0EFE3B6D" w14:textId="77777777" w:rsidTr="001F53E7">
        <w:trPr>
          <w:trHeight w:val="547"/>
        </w:trPr>
        <w:tc>
          <w:tcPr>
            <w:tcW w:w="1364" w:type="dxa"/>
            <w:vMerge/>
            <w:tcBorders>
              <w:top w:val="single" w:sz="4" w:space="0" w:color="auto"/>
              <w:left w:val="single" w:sz="4" w:space="0" w:color="auto"/>
              <w:bottom w:val="single" w:sz="4" w:space="0" w:color="auto"/>
              <w:right w:val="single" w:sz="4" w:space="0" w:color="auto"/>
            </w:tcBorders>
            <w:vAlign w:val="center"/>
            <w:hideMark/>
          </w:tcPr>
          <w:p w14:paraId="112E2D39" w14:textId="77777777" w:rsidR="000740F7" w:rsidRPr="001B4CA2" w:rsidRDefault="000740F7" w:rsidP="006D0A51">
            <w:pPr>
              <w:jc w:val="center"/>
              <w:rPr>
                <w:rFonts w:eastAsia="Times New Roman"/>
                <w:sz w:val="18"/>
                <w:szCs w:val="18"/>
                <w:lang w:eastAsia="hr-HR"/>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9A69E"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2021.</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9DD1B" w14:textId="77777777" w:rsidR="000740F7" w:rsidRPr="001B4CA2" w:rsidRDefault="000740F7" w:rsidP="006D0A51">
            <w:pPr>
              <w:jc w:val="center"/>
              <w:rPr>
                <w:color w:val="000000"/>
                <w:sz w:val="18"/>
                <w:szCs w:val="18"/>
              </w:rPr>
            </w:pPr>
            <w:r w:rsidRPr="001B4CA2">
              <w:rPr>
                <w:color w:val="000000"/>
                <w:sz w:val="18"/>
                <w:szCs w:val="18"/>
              </w:rPr>
              <w:t>100%</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42940" w14:textId="77777777" w:rsidR="000740F7" w:rsidRPr="001B4CA2" w:rsidRDefault="000740F7" w:rsidP="006D0A51">
            <w:pPr>
              <w:jc w:val="center"/>
              <w:rPr>
                <w:color w:val="000000"/>
                <w:sz w:val="18"/>
                <w:szCs w:val="18"/>
              </w:rPr>
            </w:pPr>
            <w:r w:rsidRPr="001B4CA2">
              <w:rPr>
                <w:color w:val="000000"/>
                <w:sz w:val="18"/>
                <w:szCs w:val="18"/>
              </w:rPr>
              <w:t>69,3</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F714A" w14:textId="77777777" w:rsidR="000740F7" w:rsidRPr="001B4CA2" w:rsidRDefault="000740F7" w:rsidP="006D0A51">
            <w:pPr>
              <w:jc w:val="center"/>
              <w:rPr>
                <w:color w:val="000000"/>
                <w:sz w:val="18"/>
                <w:szCs w:val="18"/>
              </w:rPr>
            </w:pPr>
            <w:r w:rsidRPr="001B4CA2">
              <w:rPr>
                <w:color w:val="000000"/>
                <w:sz w:val="18"/>
                <w:szCs w:val="18"/>
              </w:rPr>
              <w:t>467,2</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9F315" w14:textId="77777777" w:rsidR="000740F7" w:rsidRPr="001B4CA2" w:rsidRDefault="000740F7" w:rsidP="006D0A51">
            <w:pPr>
              <w:jc w:val="center"/>
              <w:rPr>
                <w:color w:val="000000"/>
                <w:sz w:val="18"/>
                <w:szCs w:val="18"/>
              </w:rPr>
            </w:pPr>
            <w:r w:rsidRPr="001B4CA2">
              <w:rPr>
                <w:color w:val="000000"/>
                <w:sz w:val="18"/>
                <w:szCs w:val="18"/>
              </w:rPr>
              <w:t>390,3</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F463F" w14:textId="77777777" w:rsidR="000740F7" w:rsidRPr="001B4CA2" w:rsidRDefault="000740F7" w:rsidP="006D0A51">
            <w:pPr>
              <w:jc w:val="center"/>
              <w:rPr>
                <w:color w:val="000000"/>
                <w:sz w:val="18"/>
                <w:szCs w:val="18"/>
              </w:rPr>
            </w:pPr>
            <w:r w:rsidRPr="001B4CA2">
              <w:rPr>
                <w:color w:val="000000"/>
                <w:sz w:val="18"/>
                <w:szCs w:val="18"/>
              </w:rPr>
              <w:t>391,6</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69BA8" w14:textId="77777777" w:rsidR="000740F7" w:rsidRPr="001B4CA2" w:rsidRDefault="000740F7" w:rsidP="006D0A51">
            <w:pPr>
              <w:jc w:val="center"/>
              <w:rPr>
                <w:color w:val="000000"/>
                <w:sz w:val="18"/>
                <w:szCs w:val="18"/>
              </w:rPr>
            </w:pPr>
            <w:r w:rsidRPr="001B4CA2">
              <w:rPr>
                <w:color w:val="000000"/>
                <w:sz w:val="18"/>
                <w:szCs w:val="18"/>
              </w:rPr>
              <w:t>74,4</w:t>
            </w:r>
          </w:p>
        </w:tc>
      </w:tr>
      <w:tr w:rsidR="000740F7" w:rsidRPr="001B4CA2" w14:paraId="448EE4FE" w14:textId="77777777" w:rsidTr="001F53E7">
        <w:trPr>
          <w:trHeight w:val="659"/>
        </w:trPr>
        <w:tc>
          <w:tcPr>
            <w:tcW w:w="1364" w:type="dxa"/>
            <w:vMerge/>
            <w:tcBorders>
              <w:top w:val="single" w:sz="4" w:space="0" w:color="auto"/>
              <w:left w:val="single" w:sz="4" w:space="0" w:color="auto"/>
              <w:bottom w:val="single" w:sz="4" w:space="0" w:color="auto"/>
              <w:right w:val="single" w:sz="4" w:space="0" w:color="auto"/>
            </w:tcBorders>
            <w:vAlign w:val="center"/>
            <w:hideMark/>
          </w:tcPr>
          <w:p w14:paraId="4A3A6B56" w14:textId="77777777" w:rsidR="000740F7" w:rsidRPr="001B4CA2" w:rsidRDefault="000740F7" w:rsidP="006D0A51">
            <w:pPr>
              <w:jc w:val="center"/>
              <w:rPr>
                <w:rFonts w:eastAsia="Times New Roman"/>
                <w:sz w:val="18"/>
                <w:szCs w:val="18"/>
                <w:lang w:eastAsia="hr-HR"/>
              </w:rPr>
            </w:pPr>
          </w:p>
        </w:tc>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4988F"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2022.</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D8962" w14:textId="77777777" w:rsidR="000740F7" w:rsidRPr="001B4CA2" w:rsidRDefault="000740F7" w:rsidP="006D0A51">
            <w:pPr>
              <w:jc w:val="center"/>
              <w:rPr>
                <w:color w:val="000000"/>
                <w:sz w:val="18"/>
                <w:szCs w:val="18"/>
              </w:rPr>
            </w:pPr>
            <w:r w:rsidRPr="001B4CA2">
              <w:rPr>
                <w:color w:val="000000"/>
                <w:sz w:val="18"/>
                <w:szCs w:val="18"/>
              </w:rPr>
              <w:t>97%</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C2981" w14:textId="77777777" w:rsidR="000740F7" w:rsidRPr="001B4CA2" w:rsidRDefault="000740F7" w:rsidP="006D0A51">
            <w:pPr>
              <w:jc w:val="center"/>
              <w:rPr>
                <w:color w:val="000000"/>
                <w:sz w:val="18"/>
                <w:szCs w:val="18"/>
              </w:rPr>
            </w:pPr>
            <w:r w:rsidRPr="001B4CA2">
              <w:rPr>
                <w:color w:val="000000"/>
                <w:sz w:val="18"/>
                <w:szCs w:val="18"/>
              </w:rPr>
              <w:t>87,5</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0F67C" w14:textId="77777777" w:rsidR="000740F7" w:rsidRPr="001B4CA2" w:rsidRDefault="000740F7" w:rsidP="006D0A51">
            <w:pPr>
              <w:jc w:val="center"/>
              <w:rPr>
                <w:color w:val="000000"/>
                <w:sz w:val="18"/>
                <w:szCs w:val="18"/>
              </w:rPr>
            </w:pPr>
            <w:r w:rsidRPr="001B4CA2">
              <w:rPr>
                <w:color w:val="000000"/>
                <w:sz w:val="18"/>
                <w:szCs w:val="18"/>
              </w:rPr>
              <w:t>467,23</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CBB80" w14:textId="77777777" w:rsidR="000740F7" w:rsidRPr="001B4CA2" w:rsidRDefault="000740F7" w:rsidP="006D0A51">
            <w:pPr>
              <w:jc w:val="center"/>
              <w:rPr>
                <w:color w:val="000000"/>
                <w:sz w:val="18"/>
                <w:szCs w:val="18"/>
              </w:rPr>
            </w:pPr>
            <w:r w:rsidRPr="001B4CA2">
              <w:rPr>
                <w:color w:val="000000"/>
                <w:sz w:val="18"/>
                <w:szCs w:val="18"/>
              </w:rPr>
              <w:t>358,7</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21024" w14:textId="77777777" w:rsidR="000740F7" w:rsidRPr="001B4CA2" w:rsidRDefault="000740F7" w:rsidP="006D0A51">
            <w:pPr>
              <w:jc w:val="center"/>
              <w:rPr>
                <w:color w:val="000000"/>
                <w:sz w:val="18"/>
                <w:szCs w:val="18"/>
              </w:rPr>
            </w:pPr>
            <w:r w:rsidRPr="001B4CA2">
              <w:rPr>
                <w:color w:val="000000"/>
                <w:sz w:val="18"/>
                <w:szCs w:val="18"/>
              </w:rPr>
              <w:t>349,3</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20B78" w14:textId="77777777" w:rsidR="000740F7" w:rsidRPr="001B4CA2" w:rsidRDefault="000740F7" w:rsidP="006D0A51">
            <w:pPr>
              <w:jc w:val="center"/>
              <w:rPr>
                <w:color w:val="000000"/>
                <w:sz w:val="18"/>
                <w:szCs w:val="18"/>
              </w:rPr>
            </w:pPr>
            <w:r w:rsidRPr="001B4CA2">
              <w:rPr>
                <w:color w:val="000000"/>
                <w:sz w:val="18"/>
                <w:szCs w:val="18"/>
              </w:rPr>
              <w:t>83,7</w:t>
            </w:r>
          </w:p>
        </w:tc>
      </w:tr>
    </w:tbl>
    <w:p w14:paraId="38F3BB6A" w14:textId="77777777" w:rsidR="000740F7" w:rsidRPr="001B4CA2" w:rsidRDefault="000740F7" w:rsidP="000740F7"/>
    <w:p w14:paraId="7969B4DC" w14:textId="346717C8" w:rsidR="000740F7" w:rsidRPr="001B4CA2" w:rsidRDefault="000740F7" w:rsidP="000740F7">
      <w:pPr>
        <w:ind w:firstLine="708"/>
      </w:pPr>
      <w:r w:rsidRPr="001B4CA2">
        <w:t xml:space="preserve">Iako je broj stvarno prisutnih </w:t>
      </w:r>
      <w:proofErr w:type="spellStart"/>
      <w:r w:rsidRPr="001B4CA2">
        <w:t>rješavatelja</w:t>
      </w:r>
      <w:proofErr w:type="spellEnd"/>
      <w:r w:rsidRPr="001B4CA2">
        <w:t xml:space="preserve"> u općinskim državnim odvjetništvima tijekom 2021. godine iznosio 81</w:t>
      </w:r>
      <w:r w:rsidR="00727861">
        <w:t> </w:t>
      </w:r>
      <w:r w:rsidRPr="001B4CA2">
        <w:t xml:space="preserve">%, što znači da gotovo 20 % </w:t>
      </w:r>
      <w:proofErr w:type="spellStart"/>
      <w:r w:rsidRPr="001B4CA2">
        <w:t>rješavatelja</w:t>
      </w:r>
      <w:proofErr w:type="spellEnd"/>
      <w:r w:rsidRPr="001B4CA2">
        <w:t xml:space="preserve"> nije bilo prisutno na radu, zadržana je visoka</w:t>
      </w:r>
      <w:r w:rsidR="001B4CA2">
        <w:t xml:space="preserve"> </w:t>
      </w:r>
      <w:r w:rsidRPr="001B4CA2">
        <w:t>stopa ažurnosti</w:t>
      </w:r>
      <w:r w:rsidR="001B4CA2">
        <w:t xml:space="preserve"> </w:t>
      </w:r>
      <w:r w:rsidR="00727861">
        <w:t>koja</w:t>
      </w:r>
      <w:r w:rsidRPr="001B4CA2">
        <w:t xml:space="preserve"> iznosi</w:t>
      </w:r>
      <w:r w:rsidR="001B4CA2">
        <w:t xml:space="preserve"> </w:t>
      </w:r>
      <w:r w:rsidRPr="001B4CA2">
        <w:t>97 %.</w:t>
      </w:r>
    </w:p>
    <w:p w14:paraId="464E4B47" w14:textId="77777777" w:rsidR="002E7E3F" w:rsidRPr="001B4CA2" w:rsidRDefault="002E7E3F" w:rsidP="005762CD"/>
    <w:p w14:paraId="4791624E" w14:textId="77777777" w:rsidR="00B95C19" w:rsidRPr="001B4CA2" w:rsidRDefault="00B95C19" w:rsidP="005762CD"/>
    <w:p w14:paraId="2F7529DF" w14:textId="77777777" w:rsidR="00B95C19" w:rsidRPr="001B4CA2" w:rsidRDefault="00B95C19" w:rsidP="005762CD"/>
    <w:p w14:paraId="0AF28111" w14:textId="77777777" w:rsidR="00EA17CF" w:rsidRPr="001B4CA2" w:rsidRDefault="00EA17CF" w:rsidP="005762CD"/>
    <w:p w14:paraId="144E318F" w14:textId="77777777" w:rsidR="00EA17CF" w:rsidRPr="001B4CA2" w:rsidRDefault="00EA17CF" w:rsidP="005762CD"/>
    <w:p w14:paraId="16D00043" w14:textId="77777777" w:rsidR="00EA17CF" w:rsidRPr="001B4CA2" w:rsidRDefault="00EA17CF" w:rsidP="005762CD"/>
    <w:p w14:paraId="44A6BE7D" w14:textId="77777777" w:rsidR="00EA17CF" w:rsidRPr="001B4CA2" w:rsidRDefault="00EA17CF" w:rsidP="005762CD"/>
    <w:p w14:paraId="4BE6AB6F" w14:textId="77777777" w:rsidR="00EA17CF" w:rsidRPr="001B4CA2" w:rsidRDefault="00EA17CF" w:rsidP="005762CD"/>
    <w:p w14:paraId="6B4B9BFC" w14:textId="77777777" w:rsidR="00EA17CF" w:rsidRPr="001B4CA2" w:rsidRDefault="00EA17CF" w:rsidP="005762CD"/>
    <w:p w14:paraId="4EAC0A82" w14:textId="77777777" w:rsidR="00EA17CF" w:rsidRPr="001B4CA2" w:rsidRDefault="00EA17CF" w:rsidP="005762CD"/>
    <w:p w14:paraId="391BEFB9" w14:textId="77777777" w:rsidR="00EA17CF" w:rsidRPr="001B4CA2" w:rsidRDefault="00EA17CF" w:rsidP="005762CD"/>
    <w:p w14:paraId="7FC86585" w14:textId="77777777" w:rsidR="00EA17CF" w:rsidRPr="001B4CA2" w:rsidRDefault="00EA17CF" w:rsidP="005762CD"/>
    <w:p w14:paraId="45EB8CF0" w14:textId="77777777" w:rsidR="00EA17CF" w:rsidRPr="001B4CA2" w:rsidRDefault="00EA17CF" w:rsidP="005762CD"/>
    <w:p w14:paraId="788AA322" w14:textId="77777777" w:rsidR="00EA17CF" w:rsidRPr="001B4CA2" w:rsidRDefault="00EA17CF" w:rsidP="005762CD"/>
    <w:p w14:paraId="79A14848" w14:textId="77777777" w:rsidR="00EA17CF" w:rsidRPr="001B4CA2" w:rsidRDefault="00EA17CF" w:rsidP="005762CD"/>
    <w:p w14:paraId="3B5EF8CE" w14:textId="77777777" w:rsidR="00EA17CF" w:rsidRPr="001B4CA2" w:rsidRDefault="00EA17CF" w:rsidP="005762CD"/>
    <w:p w14:paraId="457BBA0C" w14:textId="77777777" w:rsidR="00EA17CF" w:rsidRPr="001B4CA2" w:rsidRDefault="00EA17CF" w:rsidP="005762CD"/>
    <w:p w14:paraId="369D3594" w14:textId="77777777" w:rsidR="00EA17CF" w:rsidRPr="001B4CA2" w:rsidRDefault="00EA17CF" w:rsidP="005762CD"/>
    <w:p w14:paraId="481D32BA" w14:textId="77777777" w:rsidR="00EA17CF" w:rsidRPr="001B4CA2" w:rsidRDefault="00EA17CF" w:rsidP="005762CD"/>
    <w:p w14:paraId="232FD9BF" w14:textId="77777777" w:rsidR="00EA17CF" w:rsidRPr="001B4CA2" w:rsidRDefault="00EA17CF" w:rsidP="005762CD"/>
    <w:p w14:paraId="7DC1357F" w14:textId="77777777" w:rsidR="00EA17CF" w:rsidRPr="001B4CA2" w:rsidRDefault="00EA17CF" w:rsidP="005762CD"/>
    <w:p w14:paraId="782E436B" w14:textId="77777777" w:rsidR="00EA17CF" w:rsidRPr="001B4CA2" w:rsidRDefault="00EA17CF" w:rsidP="005762CD"/>
    <w:p w14:paraId="21DD4A7F" w14:textId="77777777" w:rsidR="00EA17CF" w:rsidRPr="001B4CA2" w:rsidRDefault="00EA17CF" w:rsidP="005762CD"/>
    <w:p w14:paraId="3CD41A31" w14:textId="77777777" w:rsidR="00B95C19" w:rsidRPr="001B4CA2" w:rsidRDefault="00B95C19" w:rsidP="005762CD"/>
    <w:p w14:paraId="2F78E7E4" w14:textId="77777777" w:rsidR="00B95C19" w:rsidRPr="001B4CA2" w:rsidRDefault="00B95C19" w:rsidP="005762CD"/>
    <w:p w14:paraId="2E406ECB" w14:textId="0496E2C7" w:rsidR="00BB4D48" w:rsidRPr="001B4CA2" w:rsidRDefault="00BB4D48" w:rsidP="008B0222">
      <w:pPr>
        <w:pStyle w:val="Naslov3"/>
        <w:rPr>
          <w:rFonts w:ascii="Arial" w:hAnsi="Arial" w:cs="Arial"/>
        </w:rPr>
      </w:pPr>
      <w:bookmarkStart w:id="12" w:name="_Toc133394276"/>
      <w:r w:rsidRPr="001B4CA2">
        <w:rPr>
          <w:rFonts w:ascii="Arial" w:hAnsi="Arial" w:cs="Arial"/>
        </w:rPr>
        <w:lastRenderedPageBreak/>
        <w:t>P</w:t>
      </w:r>
      <w:r w:rsidR="00D80F32" w:rsidRPr="001B4CA2">
        <w:rPr>
          <w:rFonts w:ascii="Arial" w:hAnsi="Arial" w:cs="Arial"/>
        </w:rPr>
        <w:t xml:space="preserve">regled kretanja predmeta za </w:t>
      </w:r>
      <w:r w:rsidR="00AF2EE0" w:rsidRPr="001B4CA2">
        <w:rPr>
          <w:rFonts w:ascii="Arial" w:hAnsi="Arial" w:cs="Arial"/>
        </w:rPr>
        <w:t>202</w:t>
      </w:r>
      <w:r w:rsidR="000740F7" w:rsidRPr="001B4CA2">
        <w:rPr>
          <w:rFonts w:ascii="Arial" w:hAnsi="Arial" w:cs="Arial"/>
        </w:rPr>
        <w:t>2</w:t>
      </w:r>
      <w:r w:rsidRPr="001B4CA2">
        <w:rPr>
          <w:rFonts w:ascii="Arial" w:hAnsi="Arial" w:cs="Arial"/>
        </w:rPr>
        <w:t>. godinu s poka</w:t>
      </w:r>
      <w:r w:rsidR="00D80F32" w:rsidRPr="001B4CA2">
        <w:rPr>
          <w:rFonts w:ascii="Arial" w:hAnsi="Arial" w:cs="Arial"/>
        </w:rPr>
        <w:t>zateljima po vrstama predmeta</w:t>
      </w:r>
      <w:bookmarkEnd w:id="12"/>
    </w:p>
    <w:p w14:paraId="6A94A5CE" w14:textId="77777777" w:rsidR="002E0A97" w:rsidRPr="001B4CA2" w:rsidRDefault="002E0A97" w:rsidP="005762CD"/>
    <w:tbl>
      <w:tblPr>
        <w:tblW w:w="4807" w:type="pct"/>
        <w:tblInd w:w="250" w:type="dxa"/>
        <w:tblLayout w:type="fixed"/>
        <w:tblLook w:val="04A0" w:firstRow="1" w:lastRow="0" w:firstColumn="1" w:lastColumn="0" w:noHBand="0" w:noVBand="1"/>
      </w:tblPr>
      <w:tblGrid>
        <w:gridCol w:w="3766"/>
        <w:gridCol w:w="1152"/>
        <w:gridCol w:w="1125"/>
        <w:gridCol w:w="1186"/>
        <w:gridCol w:w="927"/>
        <w:gridCol w:w="773"/>
      </w:tblGrid>
      <w:tr w:rsidR="000740F7" w:rsidRPr="001B4CA2" w14:paraId="456395BE" w14:textId="77777777" w:rsidTr="00FB2B5D">
        <w:trPr>
          <w:trHeight w:val="347"/>
        </w:trPr>
        <w:tc>
          <w:tcPr>
            <w:tcW w:w="5000" w:type="pct"/>
            <w:gridSpan w:val="6"/>
            <w:tcBorders>
              <w:top w:val="nil"/>
              <w:left w:val="nil"/>
              <w:bottom w:val="nil"/>
              <w:right w:val="nil"/>
            </w:tcBorders>
            <w:shd w:val="clear" w:color="auto" w:fill="auto"/>
            <w:noWrap/>
            <w:vAlign w:val="bottom"/>
            <w:hideMark/>
          </w:tcPr>
          <w:p w14:paraId="0948B565" w14:textId="77777777" w:rsidR="000740F7" w:rsidRPr="001B4CA2" w:rsidRDefault="000740F7" w:rsidP="006D0A51">
            <w:pPr>
              <w:ind w:left="142"/>
              <w:jc w:val="left"/>
              <w:rPr>
                <w:rFonts w:eastAsia="Times New Roman"/>
                <w:bCs/>
                <w:i/>
                <w:lang w:eastAsia="hr-HR"/>
              </w:rPr>
            </w:pPr>
            <w:r w:rsidRPr="001B4CA2">
              <w:rPr>
                <w:rFonts w:eastAsia="Times New Roman"/>
                <w:bCs/>
                <w:i/>
                <w:lang w:eastAsia="hr-HR"/>
              </w:rPr>
              <w:t>Pregled kretanja predmeta općinskih državnih odvjetništava po vrstama predmeta s indikatorima</w:t>
            </w:r>
          </w:p>
        </w:tc>
      </w:tr>
      <w:tr w:rsidR="000740F7" w:rsidRPr="001B4CA2" w14:paraId="08358498" w14:textId="77777777" w:rsidTr="00766A28">
        <w:trPr>
          <w:trHeight w:val="347"/>
        </w:trPr>
        <w:tc>
          <w:tcPr>
            <w:tcW w:w="2109" w:type="pct"/>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87480C1" w14:textId="77777777" w:rsidR="000740F7" w:rsidRPr="001F53E7" w:rsidRDefault="000740F7" w:rsidP="006D0A51">
            <w:pPr>
              <w:jc w:val="center"/>
              <w:rPr>
                <w:rFonts w:eastAsia="Times New Roman"/>
                <w:b/>
                <w:bCs/>
                <w:sz w:val="18"/>
                <w:szCs w:val="18"/>
                <w:lang w:eastAsia="hr-HR"/>
              </w:rPr>
            </w:pPr>
            <w:r w:rsidRPr="001F53E7">
              <w:rPr>
                <w:rFonts w:eastAsia="Times New Roman"/>
                <w:b/>
                <w:bCs/>
                <w:sz w:val="18"/>
                <w:szCs w:val="18"/>
                <w:lang w:eastAsia="hr-HR"/>
              </w:rPr>
              <w:t>Vrsta predmeta</w:t>
            </w:r>
          </w:p>
        </w:tc>
        <w:tc>
          <w:tcPr>
            <w:tcW w:w="1939" w:type="pct"/>
            <w:gridSpan w:val="3"/>
            <w:tcBorders>
              <w:top w:val="single" w:sz="4" w:space="0" w:color="auto"/>
              <w:left w:val="nil"/>
              <w:bottom w:val="single" w:sz="4" w:space="0" w:color="auto"/>
              <w:right w:val="single" w:sz="4" w:space="0" w:color="auto"/>
            </w:tcBorders>
            <w:shd w:val="clear" w:color="auto" w:fill="99CCFF"/>
            <w:noWrap/>
            <w:vAlign w:val="center"/>
            <w:hideMark/>
          </w:tcPr>
          <w:p w14:paraId="487C20B6" w14:textId="77777777" w:rsidR="000740F7" w:rsidRPr="001F53E7" w:rsidRDefault="000740F7" w:rsidP="00766A28">
            <w:pPr>
              <w:jc w:val="center"/>
              <w:rPr>
                <w:rFonts w:eastAsia="Times New Roman"/>
                <w:b/>
                <w:bCs/>
                <w:sz w:val="18"/>
                <w:szCs w:val="18"/>
                <w:lang w:eastAsia="hr-HR"/>
              </w:rPr>
            </w:pPr>
            <w:r w:rsidRPr="001F53E7">
              <w:rPr>
                <w:rFonts w:eastAsia="Times New Roman"/>
                <w:b/>
                <w:bCs/>
                <w:sz w:val="18"/>
                <w:szCs w:val="18"/>
                <w:lang w:eastAsia="hr-HR"/>
              </w:rPr>
              <w:t>Kretanje predmeta u 2022. godini</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CFFD396" w14:textId="77777777" w:rsidR="000740F7" w:rsidRPr="001F53E7" w:rsidRDefault="000740F7" w:rsidP="006D0A51">
            <w:pPr>
              <w:jc w:val="center"/>
              <w:rPr>
                <w:rFonts w:eastAsia="Times New Roman"/>
                <w:b/>
                <w:bCs/>
                <w:sz w:val="18"/>
                <w:szCs w:val="18"/>
                <w:lang w:eastAsia="hr-HR"/>
              </w:rPr>
            </w:pPr>
            <w:r w:rsidRPr="001F53E7">
              <w:rPr>
                <w:rFonts w:eastAsia="Times New Roman"/>
                <w:b/>
                <w:bCs/>
                <w:sz w:val="18"/>
                <w:szCs w:val="18"/>
                <w:lang w:eastAsia="hr-HR"/>
              </w:rPr>
              <w:t>CR</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D6509CA" w14:textId="77777777" w:rsidR="000740F7" w:rsidRPr="001F53E7" w:rsidRDefault="000740F7" w:rsidP="006D0A51">
            <w:pPr>
              <w:jc w:val="center"/>
              <w:rPr>
                <w:rFonts w:eastAsia="Times New Roman"/>
                <w:b/>
                <w:bCs/>
                <w:sz w:val="18"/>
                <w:szCs w:val="18"/>
                <w:lang w:eastAsia="hr-HR"/>
              </w:rPr>
            </w:pPr>
            <w:r w:rsidRPr="001F53E7">
              <w:rPr>
                <w:rFonts w:eastAsia="Times New Roman"/>
                <w:b/>
                <w:bCs/>
                <w:sz w:val="18"/>
                <w:szCs w:val="18"/>
                <w:lang w:eastAsia="hr-HR"/>
              </w:rPr>
              <w:t>DT</w:t>
            </w:r>
          </w:p>
        </w:tc>
      </w:tr>
      <w:tr w:rsidR="000740F7" w:rsidRPr="001B4CA2" w14:paraId="68388BAD" w14:textId="77777777" w:rsidTr="00FB2B5D">
        <w:trPr>
          <w:trHeight w:val="347"/>
        </w:trPr>
        <w:tc>
          <w:tcPr>
            <w:tcW w:w="2109" w:type="pct"/>
            <w:vMerge/>
            <w:tcBorders>
              <w:top w:val="single" w:sz="4" w:space="0" w:color="auto"/>
              <w:left w:val="single" w:sz="4" w:space="0" w:color="auto"/>
              <w:bottom w:val="single" w:sz="4" w:space="0" w:color="auto"/>
              <w:right w:val="single" w:sz="4" w:space="0" w:color="auto"/>
            </w:tcBorders>
            <w:vAlign w:val="center"/>
            <w:hideMark/>
          </w:tcPr>
          <w:p w14:paraId="082C7884" w14:textId="77777777" w:rsidR="000740F7" w:rsidRPr="001B4CA2" w:rsidRDefault="000740F7" w:rsidP="006D0A51">
            <w:pPr>
              <w:jc w:val="left"/>
              <w:rPr>
                <w:rFonts w:eastAsia="Times New Roman"/>
                <w:b/>
                <w:bCs/>
                <w:sz w:val="22"/>
                <w:lang w:eastAsia="hr-HR"/>
              </w:rPr>
            </w:pPr>
          </w:p>
        </w:tc>
        <w:tc>
          <w:tcPr>
            <w:tcW w:w="645" w:type="pct"/>
            <w:tcBorders>
              <w:top w:val="nil"/>
              <w:left w:val="nil"/>
              <w:bottom w:val="single" w:sz="4" w:space="0" w:color="auto"/>
              <w:right w:val="single" w:sz="4" w:space="0" w:color="auto"/>
            </w:tcBorders>
            <w:shd w:val="clear" w:color="auto" w:fill="99CCFF"/>
            <w:noWrap/>
            <w:vAlign w:val="bottom"/>
            <w:hideMark/>
          </w:tcPr>
          <w:p w14:paraId="2D180365"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Primljeno</w:t>
            </w:r>
          </w:p>
        </w:tc>
        <w:tc>
          <w:tcPr>
            <w:tcW w:w="630" w:type="pct"/>
            <w:tcBorders>
              <w:top w:val="nil"/>
              <w:left w:val="nil"/>
              <w:bottom w:val="single" w:sz="4" w:space="0" w:color="auto"/>
              <w:right w:val="single" w:sz="4" w:space="0" w:color="auto"/>
            </w:tcBorders>
            <w:shd w:val="clear" w:color="auto" w:fill="99CCFF"/>
            <w:noWrap/>
            <w:vAlign w:val="bottom"/>
            <w:hideMark/>
          </w:tcPr>
          <w:p w14:paraId="0D471050"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Riješeno</w:t>
            </w:r>
          </w:p>
        </w:tc>
        <w:tc>
          <w:tcPr>
            <w:tcW w:w="664" w:type="pct"/>
            <w:tcBorders>
              <w:top w:val="nil"/>
              <w:left w:val="nil"/>
              <w:bottom w:val="single" w:sz="4" w:space="0" w:color="auto"/>
              <w:right w:val="single" w:sz="4" w:space="0" w:color="auto"/>
            </w:tcBorders>
            <w:shd w:val="clear" w:color="auto" w:fill="99CCFF"/>
            <w:noWrap/>
            <w:vAlign w:val="bottom"/>
            <w:hideMark/>
          </w:tcPr>
          <w:p w14:paraId="7A497FA3"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Neriješeno</w:t>
            </w:r>
          </w:p>
        </w:tc>
        <w:tc>
          <w:tcPr>
            <w:tcW w:w="519" w:type="pct"/>
            <w:vMerge/>
            <w:tcBorders>
              <w:top w:val="single" w:sz="4" w:space="0" w:color="auto"/>
              <w:left w:val="single" w:sz="4" w:space="0" w:color="auto"/>
              <w:bottom w:val="single" w:sz="4" w:space="0" w:color="auto"/>
              <w:right w:val="single" w:sz="4" w:space="0" w:color="auto"/>
            </w:tcBorders>
            <w:vAlign w:val="center"/>
            <w:hideMark/>
          </w:tcPr>
          <w:p w14:paraId="70B2815B" w14:textId="77777777" w:rsidR="000740F7" w:rsidRPr="001B4CA2" w:rsidRDefault="000740F7" w:rsidP="006D0A51">
            <w:pPr>
              <w:jc w:val="left"/>
              <w:rPr>
                <w:rFonts w:eastAsia="Times New Roman"/>
                <w:b/>
                <w:bCs/>
                <w:sz w:val="20"/>
                <w:szCs w:val="20"/>
                <w:lang w:eastAsia="hr-HR"/>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14:paraId="0B1964B1" w14:textId="77777777" w:rsidR="000740F7" w:rsidRPr="001B4CA2" w:rsidRDefault="000740F7" w:rsidP="006D0A51">
            <w:pPr>
              <w:jc w:val="left"/>
              <w:rPr>
                <w:rFonts w:eastAsia="Times New Roman"/>
                <w:b/>
                <w:bCs/>
                <w:sz w:val="20"/>
                <w:szCs w:val="20"/>
                <w:lang w:eastAsia="hr-HR"/>
              </w:rPr>
            </w:pPr>
          </w:p>
        </w:tc>
      </w:tr>
      <w:tr w:rsidR="000740F7" w:rsidRPr="001B4CA2" w14:paraId="05AD342F" w14:textId="77777777" w:rsidTr="00FB2B5D">
        <w:trPr>
          <w:trHeight w:val="34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36096" w14:textId="77777777" w:rsidR="000740F7" w:rsidRPr="001B4CA2" w:rsidRDefault="000740F7" w:rsidP="006D0A51">
            <w:pPr>
              <w:jc w:val="left"/>
              <w:rPr>
                <w:rFonts w:eastAsia="Times New Roman"/>
                <w:b/>
                <w:bCs/>
                <w:sz w:val="18"/>
                <w:szCs w:val="18"/>
                <w:lang w:eastAsia="hr-HR"/>
              </w:rPr>
            </w:pPr>
            <w:r w:rsidRPr="001B4CA2">
              <w:rPr>
                <w:rFonts w:eastAsia="Times New Roman"/>
                <w:b/>
                <w:bCs/>
                <w:sz w:val="18"/>
                <w:szCs w:val="18"/>
                <w:lang w:eastAsia="hr-HR"/>
              </w:rPr>
              <w:t>Kazneni predmeti</w:t>
            </w:r>
          </w:p>
        </w:tc>
      </w:tr>
      <w:tr w:rsidR="000740F7" w:rsidRPr="001B4CA2" w14:paraId="341D55F8" w14:textId="77777777" w:rsidTr="00FB2B5D">
        <w:trPr>
          <w:trHeight w:val="653"/>
        </w:trPr>
        <w:tc>
          <w:tcPr>
            <w:tcW w:w="2109" w:type="pct"/>
            <w:tcBorders>
              <w:top w:val="nil"/>
              <w:left w:val="single" w:sz="4" w:space="0" w:color="auto"/>
              <w:bottom w:val="single" w:sz="4" w:space="0" w:color="auto"/>
              <w:right w:val="single" w:sz="4" w:space="0" w:color="auto"/>
            </w:tcBorders>
            <w:shd w:val="clear" w:color="auto" w:fill="auto"/>
            <w:vAlign w:val="center"/>
            <w:hideMark/>
          </w:tcPr>
          <w:p w14:paraId="60B7B2CF" w14:textId="77777777" w:rsidR="000740F7" w:rsidRPr="001B4CA2" w:rsidRDefault="000740F7" w:rsidP="00766A28">
            <w:pPr>
              <w:jc w:val="left"/>
              <w:rPr>
                <w:rFonts w:eastAsia="Times New Roman"/>
                <w:sz w:val="18"/>
                <w:szCs w:val="18"/>
                <w:lang w:eastAsia="hr-HR"/>
              </w:rPr>
            </w:pPr>
            <w:r w:rsidRPr="001B4CA2">
              <w:rPr>
                <w:rFonts w:eastAsia="Times New Roman"/>
                <w:sz w:val="18"/>
                <w:szCs w:val="18"/>
                <w:lang w:eastAsia="hr-HR"/>
              </w:rPr>
              <w:t xml:space="preserve">Upisnici kaznenih prijava (KP-DO, </w:t>
            </w:r>
            <w:proofErr w:type="spellStart"/>
            <w:r w:rsidRPr="001B4CA2">
              <w:rPr>
                <w:rFonts w:eastAsia="Times New Roman"/>
                <w:sz w:val="18"/>
                <w:szCs w:val="18"/>
                <w:lang w:eastAsia="hr-HR"/>
              </w:rPr>
              <w:t>KPmp</w:t>
            </w:r>
            <w:proofErr w:type="spellEnd"/>
            <w:r w:rsidRPr="001B4CA2">
              <w:rPr>
                <w:rFonts w:eastAsia="Times New Roman"/>
                <w:sz w:val="18"/>
                <w:szCs w:val="18"/>
                <w:lang w:eastAsia="hr-HR"/>
              </w:rPr>
              <w:t xml:space="preserve">-DO, </w:t>
            </w:r>
            <w:proofErr w:type="spellStart"/>
            <w:r w:rsidRPr="001B4CA2">
              <w:rPr>
                <w:rFonts w:eastAsia="Times New Roman"/>
                <w:sz w:val="18"/>
                <w:szCs w:val="18"/>
                <w:lang w:eastAsia="hr-HR"/>
              </w:rPr>
              <w:t>KPm</w:t>
            </w:r>
            <w:proofErr w:type="spellEnd"/>
            <w:r w:rsidRPr="001B4CA2">
              <w:rPr>
                <w:rFonts w:eastAsia="Times New Roman"/>
                <w:sz w:val="18"/>
                <w:szCs w:val="18"/>
                <w:lang w:eastAsia="hr-HR"/>
              </w:rPr>
              <w:t xml:space="preserve">-DO, </w:t>
            </w:r>
            <w:proofErr w:type="spellStart"/>
            <w:r w:rsidRPr="001B4CA2">
              <w:rPr>
                <w:rFonts w:eastAsia="Times New Roman"/>
                <w:sz w:val="18"/>
                <w:szCs w:val="18"/>
                <w:lang w:eastAsia="hr-HR"/>
              </w:rPr>
              <w:t>KPz</w:t>
            </w:r>
            <w:proofErr w:type="spellEnd"/>
            <w:r w:rsidRPr="001B4CA2">
              <w:rPr>
                <w:rFonts w:eastAsia="Times New Roman"/>
                <w:sz w:val="18"/>
                <w:szCs w:val="18"/>
                <w:lang w:eastAsia="hr-HR"/>
              </w:rPr>
              <w:t xml:space="preserve">-DO, </w:t>
            </w:r>
            <w:proofErr w:type="spellStart"/>
            <w:r w:rsidRPr="001B4CA2">
              <w:rPr>
                <w:rFonts w:eastAsia="Times New Roman"/>
                <w:sz w:val="18"/>
                <w:szCs w:val="18"/>
                <w:lang w:eastAsia="hr-HR"/>
              </w:rPr>
              <w:t>KPn</w:t>
            </w:r>
            <w:proofErr w:type="spellEnd"/>
            <w:r w:rsidRPr="001B4CA2">
              <w:rPr>
                <w:rFonts w:eastAsia="Times New Roman"/>
                <w:sz w:val="18"/>
                <w:szCs w:val="18"/>
                <w:lang w:eastAsia="hr-HR"/>
              </w:rPr>
              <w:t>-DO, PP-DO)</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390D6" w14:textId="77777777" w:rsidR="000740F7" w:rsidRPr="001F53E7" w:rsidRDefault="000740F7" w:rsidP="006D0A51">
            <w:pPr>
              <w:jc w:val="center"/>
              <w:rPr>
                <w:color w:val="000000"/>
                <w:sz w:val="18"/>
                <w:szCs w:val="18"/>
              </w:rPr>
            </w:pPr>
            <w:r w:rsidRPr="001F53E7">
              <w:rPr>
                <w:color w:val="000000"/>
                <w:sz w:val="18"/>
                <w:szCs w:val="18"/>
              </w:rPr>
              <w:t>53.495</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5AE808DA" w14:textId="77777777" w:rsidR="000740F7" w:rsidRPr="001F53E7" w:rsidRDefault="000740F7" w:rsidP="006D0A51">
            <w:pPr>
              <w:jc w:val="center"/>
              <w:rPr>
                <w:color w:val="000000"/>
                <w:sz w:val="18"/>
                <w:szCs w:val="18"/>
              </w:rPr>
            </w:pPr>
            <w:r w:rsidRPr="001F53E7">
              <w:rPr>
                <w:color w:val="000000"/>
                <w:sz w:val="18"/>
                <w:szCs w:val="18"/>
              </w:rPr>
              <w:t>50.581</w:t>
            </w:r>
          </w:p>
        </w:tc>
        <w:tc>
          <w:tcPr>
            <w:tcW w:w="664" w:type="pct"/>
            <w:tcBorders>
              <w:top w:val="single" w:sz="4" w:space="0" w:color="auto"/>
              <w:left w:val="nil"/>
              <w:bottom w:val="single" w:sz="4" w:space="0" w:color="auto"/>
              <w:right w:val="single" w:sz="4" w:space="0" w:color="auto"/>
            </w:tcBorders>
            <w:shd w:val="clear" w:color="auto" w:fill="auto"/>
            <w:noWrap/>
            <w:vAlign w:val="center"/>
          </w:tcPr>
          <w:p w14:paraId="12A88C5C" w14:textId="77777777" w:rsidR="000740F7" w:rsidRPr="001F53E7" w:rsidRDefault="000740F7" w:rsidP="006D0A51">
            <w:pPr>
              <w:jc w:val="center"/>
              <w:rPr>
                <w:color w:val="000000"/>
                <w:sz w:val="18"/>
                <w:szCs w:val="18"/>
              </w:rPr>
            </w:pPr>
            <w:r w:rsidRPr="001F53E7">
              <w:rPr>
                <w:color w:val="000000"/>
                <w:sz w:val="18"/>
                <w:szCs w:val="18"/>
              </w:rPr>
              <w:t>21.312</w:t>
            </w:r>
          </w:p>
        </w:tc>
        <w:tc>
          <w:tcPr>
            <w:tcW w:w="519" w:type="pct"/>
            <w:tcBorders>
              <w:top w:val="single" w:sz="4" w:space="0" w:color="auto"/>
              <w:left w:val="nil"/>
              <w:bottom w:val="single" w:sz="4" w:space="0" w:color="auto"/>
              <w:right w:val="single" w:sz="4" w:space="0" w:color="auto"/>
            </w:tcBorders>
            <w:shd w:val="clear" w:color="auto" w:fill="auto"/>
            <w:noWrap/>
            <w:vAlign w:val="center"/>
          </w:tcPr>
          <w:p w14:paraId="671D64E2" w14:textId="77777777" w:rsidR="000740F7" w:rsidRPr="001F53E7" w:rsidRDefault="000740F7" w:rsidP="006D0A51">
            <w:pPr>
              <w:jc w:val="center"/>
              <w:rPr>
                <w:color w:val="000000"/>
                <w:sz w:val="18"/>
                <w:szCs w:val="18"/>
              </w:rPr>
            </w:pPr>
            <w:r w:rsidRPr="001F53E7">
              <w:rPr>
                <w:color w:val="000000"/>
                <w:sz w:val="18"/>
                <w:szCs w:val="18"/>
              </w:rPr>
              <w:t>95%</w:t>
            </w: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6DB42C88" w14:textId="77777777" w:rsidR="000740F7" w:rsidRPr="001F53E7" w:rsidRDefault="000740F7" w:rsidP="006D0A51">
            <w:pPr>
              <w:jc w:val="center"/>
              <w:rPr>
                <w:color w:val="000000"/>
                <w:sz w:val="18"/>
                <w:szCs w:val="18"/>
              </w:rPr>
            </w:pPr>
            <w:r w:rsidRPr="001F53E7">
              <w:rPr>
                <w:color w:val="000000"/>
                <w:sz w:val="18"/>
                <w:szCs w:val="18"/>
              </w:rPr>
              <w:t>153,8</w:t>
            </w:r>
          </w:p>
        </w:tc>
      </w:tr>
      <w:tr w:rsidR="000740F7" w:rsidRPr="001B4CA2" w14:paraId="0D14B913" w14:textId="77777777" w:rsidTr="00FB2B5D">
        <w:trPr>
          <w:trHeight w:val="653"/>
        </w:trPr>
        <w:tc>
          <w:tcPr>
            <w:tcW w:w="2109" w:type="pct"/>
            <w:tcBorders>
              <w:top w:val="nil"/>
              <w:left w:val="single" w:sz="4" w:space="0" w:color="auto"/>
              <w:bottom w:val="single" w:sz="4" w:space="0" w:color="auto"/>
              <w:right w:val="single" w:sz="4" w:space="0" w:color="auto"/>
            </w:tcBorders>
            <w:shd w:val="clear" w:color="auto" w:fill="auto"/>
            <w:vAlign w:val="center"/>
            <w:hideMark/>
          </w:tcPr>
          <w:p w14:paraId="6477C89C" w14:textId="77777777" w:rsidR="000740F7" w:rsidRPr="001B4CA2" w:rsidRDefault="000740F7" w:rsidP="00766A28">
            <w:pPr>
              <w:jc w:val="left"/>
              <w:rPr>
                <w:rFonts w:eastAsia="Times New Roman"/>
                <w:sz w:val="18"/>
                <w:szCs w:val="18"/>
                <w:lang w:eastAsia="hr-HR"/>
              </w:rPr>
            </w:pPr>
            <w:r w:rsidRPr="001B4CA2">
              <w:rPr>
                <w:rFonts w:eastAsia="Times New Roman"/>
                <w:sz w:val="18"/>
                <w:szCs w:val="18"/>
                <w:lang w:eastAsia="hr-HR"/>
              </w:rPr>
              <w:t xml:space="preserve">Upisnici istraga, pripremnih postupaka i istraživanja (Kis-DO, </w:t>
            </w:r>
            <w:proofErr w:type="spellStart"/>
            <w:r w:rsidRPr="001B4CA2">
              <w:rPr>
                <w:rFonts w:eastAsia="Times New Roman"/>
                <w:sz w:val="18"/>
                <w:szCs w:val="18"/>
                <w:lang w:eastAsia="hr-HR"/>
              </w:rPr>
              <w:t>Kpp</w:t>
            </w:r>
            <w:proofErr w:type="spellEnd"/>
            <w:r w:rsidRPr="001B4CA2">
              <w:rPr>
                <w:rFonts w:eastAsia="Times New Roman"/>
                <w:sz w:val="18"/>
                <w:szCs w:val="18"/>
                <w:lang w:eastAsia="hr-HR"/>
              </w:rPr>
              <w:t xml:space="preserve">-DO, Kir-DO, </w:t>
            </w:r>
            <w:proofErr w:type="spellStart"/>
            <w:r w:rsidRPr="001B4CA2">
              <w:rPr>
                <w:rFonts w:eastAsia="Times New Roman"/>
                <w:sz w:val="18"/>
                <w:szCs w:val="18"/>
                <w:lang w:eastAsia="hr-HR"/>
              </w:rPr>
              <w:t>Kdr</w:t>
            </w:r>
            <w:proofErr w:type="spellEnd"/>
            <w:r w:rsidRPr="001B4CA2">
              <w:rPr>
                <w:rFonts w:eastAsia="Times New Roman"/>
                <w:sz w:val="18"/>
                <w:szCs w:val="18"/>
                <w:lang w:eastAsia="hr-HR"/>
              </w:rPr>
              <w:t>-DO)</w:t>
            </w:r>
          </w:p>
        </w:tc>
        <w:tc>
          <w:tcPr>
            <w:tcW w:w="645" w:type="pct"/>
            <w:tcBorders>
              <w:top w:val="nil"/>
              <w:left w:val="single" w:sz="4" w:space="0" w:color="auto"/>
              <w:bottom w:val="single" w:sz="4" w:space="0" w:color="auto"/>
              <w:right w:val="single" w:sz="4" w:space="0" w:color="auto"/>
            </w:tcBorders>
            <w:shd w:val="clear" w:color="auto" w:fill="auto"/>
            <w:noWrap/>
            <w:vAlign w:val="center"/>
          </w:tcPr>
          <w:p w14:paraId="6257E761" w14:textId="77777777" w:rsidR="000740F7" w:rsidRPr="001F53E7" w:rsidRDefault="000740F7" w:rsidP="006D0A51">
            <w:pPr>
              <w:jc w:val="center"/>
              <w:rPr>
                <w:color w:val="000000"/>
                <w:sz w:val="18"/>
                <w:szCs w:val="18"/>
              </w:rPr>
            </w:pPr>
            <w:r w:rsidRPr="001F53E7">
              <w:rPr>
                <w:color w:val="000000"/>
                <w:sz w:val="18"/>
                <w:szCs w:val="18"/>
              </w:rPr>
              <w:t>15.902</w:t>
            </w:r>
          </w:p>
        </w:tc>
        <w:tc>
          <w:tcPr>
            <w:tcW w:w="630" w:type="pct"/>
            <w:tcBorders>
              <w:top w:val="nil"/>
              <w:left w:val="nil"/>
              <w:bottom w:val="single" w:sz="4" w:space="0" w:color="auto"/>
              <w:right w:val="single" w:sz="4" w:space="0" w:color="auto"/>
            </w:tcBorders>
            <w:shd w:val="clear" w:color="auto" w:fill="auto"/>
            <w:noWrap/>
            <w:vAlign w:val="center"/>
          </w:tcPr>
          <w:p w14:paraId="615464DB" w14:textId="77777777" w:rsidR="000740F7" w:rsidRPr="001F53E7" w:rsidRDefault="000740F7" w:rsidP="006D0A51">
            <w:pPr>
              <w:jc w:val="center"/>
              <w:rPr>
                <w:color w:val="000000"/>
                <w:sz w:val="18"/>
                <w:szCs w:val="18"/>
              </w:rPr>
            </w:pPr>
            <w:r w:rsidRPr="001F53E7">
              <w:rPr>
                <w:color w:val="000000"/>
                <w:sz w:val="18"/>
                <w:szCs w:val="18"/>
              </w:rPr>
              <w:t>15.259</w:t>
            </w:r>
          </w:p>
        </w:tc>
        <w:tc>
          <w:tcPr>
            <w:tcW w:w="664" w:type="pct"/>
            <w:tcBorders>
              <w:top w:val="nil"/>
              <w:left w:val="nil"/>
              <w:bottom w:val="single" w:sz="4" w:space="0" w:color="auto"/>
              <w:right w:val="single" w:sz="4" w:space="0" w:color="auto"/>
            </w:tcBorders>
            <w:shd w:val="clear" w:color="auto" w:fill="auto"/>
            <w:noWrap/>
            <w:vAlign w:val="center"/>
          </w:tcPr>
          <w:p w14:paraId="7DADFF9E" w14:textId="77777777" w:rsidR="000740F7" w:rsidRPr="001F53E7" w:rsidRDefault="000740F7" w:rsidP="006D0A51">
            <w:pPr>
              <w:jc w:val="center"/>
              <w:rPr>
                <w:color w:val="000000"/>
                <w:sz w:val="18"/>
                <w:szCs w:val="18"/>
              </w:rPr>
            </w:pPr>
            <w:r w:rsidRPr="001F53E7">
              <w:rPr>
                <w:color w:val="000000"/>
                <w:sz w:val="18"/>
                <w:szCs w:val="18"/>
              </w:rPr>
              <w:t>4.150</w:t>
            </w:r>
          </w:p>
        </w:tc>
        <w:tc>
          <w:tcPr>
            <w:tcW w:w="519" w:type="pct"/>
            <w:tcBorders>
              <w:top w:val="nil"/>
              <w:left w:val="nil"/>
              <w:bottom w:val="single" w:sz="4" w:space="0" w:color="auto"/>
              <w:right w:val="single" w:sz="4" w:space="0" w:color="auto"/>
            </w:tcBorders>
            <w:shd w:val="clear" w:color="auto" w:fill="auto"/>
            <w:noWrap/>
            <w:vAlign w:val="center"/>
          </w:tcPr>
          <w:p w14:paraId="17345D57" w14:textId="77777777" w:rsidR="000740F7" w:rsidRPr="001F53E7" w:rsidRDefault="000740F7" w:rsidP="006D0A51">
            <w:pPr>
              <w:jc w:val="center"/>
              <w:rPr>
                <w:color w:val="000000"/>
                <w:sz w:val="18"/>
                <w:szCs w:val="18"/>
              </w:rPr>
            </w:pPr>
            <w:r w:rsidRPr="001F53E7">
              <w:rPr>
                <w:color w:val="000000"/>
                <w:sz w:val="18"/>
                <w:szCs w:val="18"/>
              </w:rPr>
              <w:t>96%</w:t>
            </w:r>
          </w:p>
        </w:tc>
        <w:tc>
          <w:tcPr>
            <w:tcW w:w="433" w:type="pct"/>
            <w:tcBorders>
              <w:top w:val="nil"/>
              <w:left w:val="nil"/>
              <w:bottom w:val="single" w:sz="4" w:space="0" w:color="auto"/>
              <w:right w:val="single" w:sz="4" w:space="0" w:color="auto"/>
            </w:tcBorders>
            <w:shd w:val="clear" w:color="auto" w:fill="auto"/>
            <w:noWrap/>
            <w:vAlign w:val="center"/>
          </w:tcPr>
          <w:p w14:paraId="4EED9FB5" w14:textId="77777777" w:rsidR="000740F7" w:rsidRPr="001F53E7" w:rsidRDefault="000740F7" w:rsidP="006D0A51">
            <w:pPr>
              <w:jc w:val="center"/>
              <w:rPr>
                <w:color w:val="000000"/>
                <w:sz w:val="18"/>
                <w:szCs w:val="18"/>
              </w:rPr>
            </w:pPr>
            <w:r w:rsidRPr="001F53E7">
              <w:rPr>
                <w:color w:val="000000"/>
                <w:sz w:val="18"/>
                <w:szCs w:val="18"/>
              </w:rPr>
              <w:t>99,3</w:t>
            </w:r>
          </w:p>
        </w:tc>
      </w:tr>
      <w:tr w:rsidR="000740F7" w:rsidRPr="001B4CA2" w14:paraId="3C377D3A" w14:textId="77777777" w:rsidTr="00FB2B5D">
        <w:trPr>
          <w:trHeight w:val="653"/>
        </w:trPr>
        <w:tc>
          <w:tcPr>
            <w:tcW w:w="2109" w:type="pct"/>
            <w:tcBorders>
              <w:top w:val="nil"/>
              <w:left w:val="single" w:sz="4" w:space="0" w:color="auto"/>
              <w:bottom w:val="single" w:sz="4" w:space="0" w:color="auto"/>
              <w:right w:val="single" w:sz="4" w:space="0" w:color="auto"/>
            </w:tcBorders>
            <w:shd w:val="clear" w:color="auto" w:fill="auto"/>
            <w:vAlign w:val="center"/>
            <w:hideMark/>
          </w:tcPr>
          <w:p w14:paraId="6F0CCAF7" w14:textId="77777777" w:rsidR="000740F7" w:rsidRPr="001B4CA2" w:rsidRDefault="000740F7" w:rsidP="00766A28">
            <w:pPr>
              <w:jc w:val="left"/>
              <w:rPr>
                <w:rFonts w:eastAsia="Times New Roman"/>
                <w:sz w:val="18"/>
                <w:szCs w:val="18"/>
                <w:lang w:eastAsia="hr-HR"/>
              </w:rPr>
            </w:pPr>
            <w:r w:rsidRPr="001B4CA2">
              <w:rPr>
                <w:rFonts w:eastAsia="Times New Roman"/>
                <w:sz w:val="18"/>
                <w:szCs w:val="18"/>
                <w:lang w:eastAsia="hr-HR"/>
              </w:rPr>
              <w:t>Drugi kazneni upisnici (</w:t>
            </w:r>
            <w:proofErr w:type="spellStart"/>
            <w:r w:rsidRPr="001B4CA2">
              <w:rPr>
                <w:rFonts w:eastAsia="Times New Roman"/>
                <w:sz w:val="18"/>
                <w:szCs w:val="18"/>
                <w:lang w:eastAsia="hr-HR"/>
              </w:rPr>
              <w:t>Kid</w:t>
            </w:r>
            <w:proofErr w:type="spellEnd"/>
            <w:r w:rsidRPr="001B4CA2">
              <w:rPr>
                <w:rFonts w:eastAsia="Times New Roman"/>
                <w:sz w:val="18"/>
                <w:szCs w:val="18"/>
                <w:lang w:eastAsia="hr-HR"/>
              </w:rPr>
              <w:t xml:space="preserve">-DO, </w:t>
            </w:r>
            <w:proofErr w:type="spellStart"/>
            <w:r w:rsidRPr="001B4CA2">
              <w:rPr>
                <w:rFonts w:eastAsia="Times New Roman"/>
                <w:sz w:val="18"/>
                <w:szCs w:val="18"/>
                <w:lang w:eastAsia="hr-HR"/>
              </w:rPr>
              <w:t>KMp</w:t>
            </w:r>
            <w:proofErr w:type="spellEnd"/>
            <w:r w:rsidRPr="001B4CA2">
              <w:rPr>
                <w:rFonts w:eastAsia="Times New Roman"/>
                <w:sz w:val="18"/>
                <w:szCs w:val="18"/>
                <w:lang w:eastAsia="hr-HR"/>
              </w:rPr>
              <w:t xml:space="preserve">-DO, </w:t>
            </w:r>
            <w:proofErr w:type="spellStart"/>
            <w:r w:rsidRPr="001B4CA2">
              <w:rPr>
                <w:rFonts w:eastAsia="Times New Roman"/>
                <w:sz w:val="18"/>
                <w:szCs w:val="18"/>
                <w:lang w:eastAsia="hr-HR"/>
              </w:rPr>
              <w:t>Kuo</w:t>
            </w:r>
            <w:proofErr w:type="spellEnd"/>
            <w:r w:rsidRPr="001B4CA2">
              <w:rPr>
                <w:rFonts w:eastAsia="Times New Roman"/>
                <w:sz w:val="18"/>
                <w:szCs w:val="18"/>
                <w:lang w:eastAsia="hr-HR"/>
              </w:rPr>
              <w:t>-DO, KR-DO)</w:t>
            </w:r>
          </w:p>
        </w:tc>
        <w:tc>
          <w:tcPr>
            <w:tcW w:w="645" w:type="pct"/>
            <w:tcBorders>
              <w:top w:val="nil"/>
              <w:left w:val="single" w:sz="4" w:space="0" w:color="auto"/>
              <w:bottom w:val="single" w:sz="4" w:space="0" w:color="auto"/>
              <w:right w:val="single" w:sz="4" w:space="0" w:color="auto"/>
            </w:tcBorders>
            <w:shd w:val="clear" w:color="auto" w:fill="auto"/>
            <w:noWrap/>
            <w:vAlign w:val="center"/>
          </w:tcPr>
          <w:p w14:paraId="58D3675B" w14:textId="77777777" w:rsidR="000740F7" w:rsidRPr="001F53E7" w:rsidRDefault="000740F7" w:rsidP="006D0A51">
            <w:pPr>
              <w:jc w:val="center"/>
              <w:rPr>
                <w:color w:val="000000"/>
                <w:sz w:val="18"/>
                <w:szCs w:val="18"/>
              </w:rPr>
            </w:pPr>
            <w:r w:rsidRPr="001F53E7">
              <w:rPr>
                <w:color w:val="000000"/>
                <w:sz w:val="18"/>
                <w:szCs w:val="18"/>
              </w:rPr>
              <w:t>19.858</w:t>
            </w:r>
          </w:p>
        </w:tc>
        <w:tc>
          <w:tcPr>
            <w:tcW w:w="630" w:type="pct"/>
            <w:tcBorders>
              <w:top w:val="nil"/>
              <w:left w:val="nil"/>
              <w:bottom w:val="single" w:sz="4" w:space="0" w:color="auto"/>
              <w:right w:val="single" w:sz="4" w:space="0" w:color="auto"/>
            </w:tcBorders>
            <w:shd w:val="clear" w:color="auto" w:fill="auto"/>
            <w:noWrap/>
            <w:vAlign w:val="center"/>
          </w:tcPr>
          <w:p w14:paraId="4130F130" w14:textId="77777777" w:rsidR="000740F7" w:rsidRPr="001F53E7" w:rsidRDefault="000740F7" w:rsidP="006D0A51">
            <w:pPr>
              <w:jc w:val="center"/>
              <w:rPr>
                <w:color w:val="000000"/>
                <w:sz w:val="18"/>
                <w:szCs w:val="18"/>
              </w:rPr>
            </w:pPr>
            <w:r w:rsidRPr="001F53E7">
              <w:rPr>
                <w:color w:val="000000"/>
                <w:sz w:val="18"/>
                <w:szCs w:val="18"/>
              </w:rPr>
              <w:t>18.522</w:t>
            </w:r>
          </w:p>
        </w:tc>
        <w:tc>
          <w:tcPr>
            <w:tcW w:w="664" w:type="pct"/>
            <w:tcBorders>
              <w:top w:val="nil"/>
              <w:left w:val="nil"/>
              <w:bottom w:val="single" w:sz="4" w:space="0" w:color="auto"/>
              <w:right w:val="single" w:sz="4" w:space="0" w:color="auto"/>
            </w:tcBorders>
            <w:shd w:val="clear" w:color="auto" w:fill="auto"/>
            <w:noWrap/>
            <w:vAlign w:val="center"/>
          </w:tcPr>
          <w:p w14:paraId="0DA1A432" w14:textId="77777777" w:rsidR="000740F7" w:rsidRPr="001F53E7" w:rsidRDefault="000740F7" w:rsidP="006D0A51">
            <w:pPr>
              <w:jc w:val="center"/>
              <w:rPr>
                <w:color w:val="000000"/>
                <w:sz w:val="18"/>
                <w:szCs w:val="18"/>
              </w:rPr>
            </w:pPr>
            <w:r w:rsidRPr="001F53E7">
              <w:rPr>
                <w:color w:val="000000"/>
                <w:sz w:val="18"/>
                <w:szCs w:val="18"/>
              </w:rPr>
              <w:t>10.956</w:t>
            </w:r>
          </w:p>
        </w:tc>
        <w:tc>
          <w:tcPr>
            <w:tcW w:w="519" w:type="pct"/>
            <w:tcBorders>
              <w:top w:val="nil"/>
              <w:left w:val="nil"/>
              <w:bottom w:val="single" w:sz="4" w:space="0" w:color="auto"/>
              <w:right w:val="single" w:sz="4" w:space="0" w:color="auto"/>
            </w:tcBorders>
            <w:shd w:val="clear" w:color="auto" w:fill="auto"/>
            <w:noWrap/>
            <w:vAlign w:val="center"/>
          </w:tcPr>
          <w:p w14:paraId="0D24B8E8" w14:textId="77777777" w:rsidR="000740F7" w:rsidRPr="001F53E7" w:rsidRDefault="000740F7" w:rsidP="006D0A51">
            <w:pPr>
              <w:jc w:val="center"/>
              <w:rPr>
                <w:color w:val="000000"/>
                <w:sz w:val="18"/>
                <w:szCs w:val="18"/>
              </w:rPr>
            </w:pPr>
            <w:r w:rsidRPr="001F53E7">
              <w:rPr>
                <w:color w:val="000000"/>
                <w:sz w:val="18"/>
                <w:szCs w:val="18"/>
              </w:rPr>
              <w:t>93%</w:t>
            </w:r>
          </w:p>
        </w:tc>
        <w:tc>
          <w:tcPr>
            <w:tcW w:w="433" w:type="pct"/>
            <w:tcBorders>
              <w:top w:val="nil"/>
              <w:left w:val="nil"/>
              <w:bottom w:val="single" w:sz="4" w:space="0" w:color="auto"/>
              <w:right w:val="single" w:sz="4" w:space="0" w:color="auto"/>
            </w:tcBorders>
            <w:shd w:val="clear" w:color="auto" w:fill="auto"/>
            <w:noWrap/>
            <w:vAlign w:val="center"/>
          </w:tcPr>
          <w:p w14:paraId="54D64C3C" w14:textId="77777777" w:rsidR="000740F7" w:rsidRPr="001F53E7" w:rsidRDefault="000740F7" w:rsidP="006D0A51">
            <w:pPr>
              <w:jc w:val="center"/>
              <w:rPr>
                <w:color w:val="000000"/>
                <w:sz w:val="18"/>
                <w:szCs w:val="18"/>
              </w:rPr>
            </w:pPr>
            <w:r w:rsidRPr="001F53E7">
              <w:rPr>
                <w:color w:val="000000"/>
                <w:sz w:val="18"/>
                <w:szCs w:val="18"/>
              </w:rPr>
              <w:t>215,9</w:t>
            </w:r>
          </w:p>
        </w:tc>
      </w:tr>
      <w:tr w:rsidR="000740F7" w:rsidRPr="001B4CA2" w14:paraId="49CBB6B2" w14:textId="77777777" w:rsidTr="00FB2B5D">
        <w:trPr>
          <w:trHeight w:val="653"/>
        </w:trPr>
        <w:tc>
          <w:tcPr>
            <w:tcW w:w="2109" w:type="pct"/>
            <w:tcBorders>
              <w:top w:val="single" w:sz="4" w:space="0" w:color="auto"/>
              <w:left w:val="single" w:sz="4" w:space="0" w:color="auto"/>
              <w:bottom w:val="single" w:sz="4" w:space="0" w:color="auto"/>
              <w:right w:val="single" w:sz="4" w:space="0" w:color="auto"/>
            </w:tcBorders>
            <w:shd w:val="clear" w:color="auto" w:fill="auto"/>
            <w:vAlign w:val="center"/>
          </w:tcPr>
          <w:p w14:paraId="37CBF555"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 xml:space="preserve">Upisnici predmeta pred sudom (KO-DO, Komp-DO, Kom-DO, </w:t>
            </w:r>
            <w:proofErr w:type="spellStart"/>
            <w:r w:rsidRPr="001B4CA2">
              <w:rPr>
                <w:rFonts w:eastAsia="Times New Roman"/>
                <w:sz w:val="18"/>
                <w:szCs w:val="18"/>
                <w:lang w:eastAsia="hr-HR"/>
              </w:rPr>
              <w:t>KOz</w:t>
            </w:r>
            <w:proofErr w:type="spellEnd"/>
            <w:r w:rsidRPr="001B4CA2">
              <w:rPr>
                <w:rFonts w:eastAsia="Times New Roman"/>
                <w:sz w:val="18"/>
                <w:szCs w:val="18"/>
                <w:lang w:eastAsia="hr-HR"/>
              </w:rPr>
              <w:t>-DO)</w:t>
            </w:r>
          </w:p>
        </w:tc>
        <w:tc>
          <w:tcPr>
            <w:tcW w:w="645" w:type="pct"/>
            <w:tcBorders>
              <w:top w:val="nil"/>
              <w:left w:val="single" w:sz="4" w:space="0" w:color="auto"/>
              <w:bottom w:val="single" w:sz="4" w:space="0" w:color="auto"/>
              <w:right w:val="single" w:sz="4" w:space="0" w:color="auto"/>
            </w:tcBorders>
            <w:shd w:val="clear" w:color="auto" w:fill="auto"/>
            <w:noWrap/>
            <w:vAlign w:val="center"/>
          </w:tcPr>
          <w:p w14:paraId="268FA0DC" w14:textId="77777777" w:rsidR="000740F7" w:rsidRPr="001F53E7" w:rsidRDefault="000740F7" w:rsidP="006D0A51">
            <w:pPr>
              <w:jc w:val="center"/>
              <w:rPr>
                <w:color w:val="000000"/>
                <w:sz w:val="18"/>
                <w:szCs w:val="18"/>
              </w:rPr>
            </w:pPr>
            <w:r w:rsidRPr="001F53E7">
              <w:rPr>
                <w:color w:val="000000"/>
                <w:sz w:val="18"/>
                <w:szCs w:val="18"/>
              </w:rPr>
              <w:t>16.271</w:t>
            </w:r>
          </w:p>
        </w:tc>
        <w:tc>
          <w:tcPr>
            <w:tcW w:w="630" w:type="pct"/>
            <w:tcBorders>
              <w:top w:val="nil"/>
              <w:left w:val="nil"/>
              <w:bottom w:val="single" w:sz="4" w:space="0" w:color="auto"/>
              <w:right w:val="single" w:sz="4" w:space="0" w:color="auto"/>
            </w:tcBorders>
            <w:shd w:val="clear" w:color="auto" w:fill="auto"/>
            <w:noWrap/>
            <w:vAlign w:val="center"/>
          </w:tcPr>
          <w:p w14:paraId="6F1AEFBC" w14:textId="77777777" w:rsidR="000740F7" w:rsidRPr="001F53E7" w:rsidRDefault="000740F7" w:rsidP="006D0A51">
            <w:pPr>
              <w:jc w:val="center"/>
              <w:rPr>
                <w:color w:val="000000"/>
                <w:sz w:val="18"/>
                <w:szCs w:val="18"/>
              </w:rPr>
            </w:pPr>
            <w:r w:rsidRPr="001F53E7">
              <w:rPr>
                <w:color w:val="000000"/>
                <w:sz w:val="18"/>
                <w:szCs w:val="18"/>
              </w:rPr>
              <w:t>16.271</w:t>
            </w:r>
          </w:p>
        </w:tc>
        <w:tc>
          <w:tcPr>
            <w:tcW w:w="664" w:type="pct"/>
            <w:tcBorders>
              <w:top w:val="nil"/>
              <w:left w:val="nil"/>
              <w:bottom w:val="single" w:sz="4" w:space="0" w:color="auto"/>
              <w:right w:val="single" w:sz="4" w:space="0" w:color="auto"/>
            </w:tcBorders>
            <w:shd w:val="clear" w:color="auto" w:fill="auto"/>
            <w:noWrap/>
            <w:vAlign w:val="center"/>
          </w:tcPr>
          <w:p w14:paraId="776BFB00" w14:textId="77777777" w:rsidR="000740F7" w:rsidRPr="001F53E7" w:rsidRDefault="000740F7" w:rsidP="006D0A51">
            <w:pPr>
              <w:jc w:val="center"/>
              <w:rPr>
                <w:color w:val="000000"/>
                <w:sz w:val="18"/>
                <w:szCs w:val="18"/>
              </w:rPr>
            </w:pPr>
            <w:r w:rsidRPr="001F53E7">
              <w:rPr>
                <w:color w:val="000000"/>
                <w:sz w:val="18"/>
                <w:szCs w:val="18"/>
              </w:rPr>
              <w:t>0</w:t>
            </w:r>
          </w:p>
        </w:tc>
        <w:tc>
          <w:tcPr>
            <w:tcW w:w="519" w:type="pct"/>
            <w:tcBorders>
              <w:top w:val="nil"/>
              <w:left w:val="nil"/>
              <w:bottom w:val="single" w:sz="4" w:space="0" w:color="auto"/>
              <w:right w:val="single" w:sz="4" w:space="0" w:color="auto"/>
            </w:tcBorders>
            <w:shd w:val="clear" w:color="auto" w:fill="auto"/>
            <w:noWrap/>
            <w:vAlign w:val="center"/>
          </w:tcPr>
          <w:p w14:paraId="04892B03" w14:textId="77777777" w:rsidR="000740F7" w:rsidRPr="001F53E7" w:rsidRDefault="000740F7" w:rsidP="006D0A51">
            <w:pPr>
              <w:jc w:val="center"/>
              <w:rPr>
                <w:color w:val="000000"/>
                <w:sz w:val="18"/>
                <w:szCs w:val="18"/>
              </w:rPr>
            </w:pPr>
            <w:r w:rsidRPr="001F53E7">
              <w:rPr>
                <w:color w:val="000000"/>
                <w:sz w:val="18"/>
                <w:szCs w:val="18"/>
              </w:rPr>
              <w:t>100%</w:t>
            </w:r>
          </w:p>
        </w:tc>
        <w:tc>
          <w:tcPr>
            <w:tcW w:w="433" w:type="pct"/>
            <w:tcBorders>
              <w:top w:val="nil"/>
              <w:left w:val="nil"/>
              <w:bottom w:val="single" w:sz="4" w:space="0" w:color="auto"/>
              <w:right w:val="single" w:sz="4" w:space="0" w:color="auto"/>
            </w:tcBorders>
            <w:shd w:val="clear" w:color="auto" w:fill="auto"/>
            <w:noWrap/>
            <w:vAlign w:val="center"/>
          </w:tcPr>
          <w:p w14:paraId="1D43B6E2" w14:textId="77777777" w:rsidR="000740F7" w:rsidRPr="001F53E7" w:rsidRDefault="000740F7" w:rsidP="006D0A51">
            <w:pPr>
              <w:jc w:val="center"/>
              <w:rPr>
                <w:color w:val="000000"/>
                <w:sz w:val="18"/>
                <w:szCs w:val="18"/>
              </w:rPr>
            </w:pPr>
            <w:r w:rsidRPr="001F53E7">
              <w:rPr>
                <w:color w:val="000000"/>
                <w:sz w:val="18"/>
                <w:szCs w:val="18"/>
              </w:rPr>
              <w:t>0</w:t>
            </w:r>
          </w:p>
        </w:tc>
      </w:tr>
      <w:tr w:rsidR="000740F7" w:rsidRPr="001B4CA2" w14:paraId="1EF1BC72" w14:textId="77777777" w:rsidTr="00FB2B5D">
        <w:trPr>
          <w:trHeight w:val="347"/>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272CA627" w14:textId="77777777" w:rsidR="000740F7" w:rsidRPr="001B4CA2" w:rsidRDefault="000740F7" w:rsidP="006D0A51">
            <w:pPr>
              <w:jc w:val="left"/>
              <w:rPr>
                <w:rFonts w:eastAsia="Times New Roman"/>
                <w:b/>
                <w:bCs/>
                <w:sz w:val="18"/>
                <w:szCs w:val="18"/>
                <w:lang w:eastAsia="hr-HR"/>
              </w:rPr>
            </w:pPr>
            <w:r w:rsidRPr="001B4CA2">
              <w:rPr>
                <w:rFonts w:eastAsia="Times New Roman"/>
                <w:b/>
                <w:bCs/>
                <w:sz w:val="18"/>
                <w:szCs w:val="18"/>
                <w:lang w:eastAsia="hr-HR"/>
              </w:rPr>
              <w:t>Ukupno kazneni</w:t>
            </w:r>
          </w:p>
        </w:tc>
        <w:tc>
          <w:tcPr>
            <w:tcW w:w="645" w:type="pct"/>
            <w:tcBorders>
              <w:top w:val="nil"/>
              <w:left w:val="single" w:sz="4" w:space="0" w:color="auto"/>
              <w:bottom w:val="single" w:sz="4" w:space="0" w:color="auto"/>
              <w:right w:val="single" w:sz="4" w:space="0" w:color="auto"/>
            </w:tcBorders>
            <w:shd w:val="clear" w:color="auto" w:fill="auto"/>
            <w:noWrap/>
            <w:vAlign w:val="center"/>
          </w:tcPr>
          <w:p w14:paraId="76EEF7B0" w14:textId="77777777" w:rsidR="000740F7" w:rsidRPr="001F53E7" w:rsidRDefault="000740F7" w:rsidP="006D0A51">
            <w:pPr>
              <w:jc w:val="center"/>
              <w:rPr>
                <w:color w:val="000000"/>
                <w:sz w:val="18"/>
                <w:szCs w:val="18"/>
              </w:rPr>
            </w:pPr>
            <w:r w:rsidRPr="001F53E7">
              <w:rPr>
                <w:color w:val="000000"/>
                <w:sz w:val="18"/>
                <w:szCs w:val="18"/>
              </w:rPr>
              <w:t>105.526</w:t>
            </w:r>
          </w:p>
        </w:tc>
        <w:tc>
          <w:tcPr>
            <w:tcW w:w="630" w:type="pct"/>
            <w:tcBorders>
              <w:top w:val="nil"/>
              <w:left w:val="nil"/>
              <w:bottom w:val="single" w:sz="4" w:space="0" w:color="auto"/>
              <w:right w:val="single" w:sz="4" w:space="0" w:color="auto"/>
            </w:tcBorders>
            <w:shd w:val="clear" w:color="auto" w:fill="auto"/>
            <w:noWrap/>
            <w:vAlign w:val="center"/>
          </w:tcPr>
          <w:p w14:paraId="48A10CC1" w14:textId="77777777" w:rsidR="000740F7" w:rsidRPr="001F53E7" w:rsidRDefault="000740F7" w:rsidP="006D0A51">
            <w:pPr>
              <w:jc w:val="center"/>
              <w:rPr>
                <w:color w:val="000000"/>
                <w:sz w:val="18"/>
                <w:szCs w:val="18"/>
              </w:rPr>
            </w:pPr>
            <w:r w:rsidRPr="001F53E7">
              <w:rPr>
                <w:color w:val="000000"/>
                <w:sz w:val="18"/>
                <w:szCs w:val="18"/>
              </w:rPr>
              <w:t>100.633</w:t>
            </w:r>
          </w:p>
        </w:tc>
        <w:tc>
          <w:tcPr>
            <w:tcW w:w="664" w:type="pct"/>
            <w:tcBorders>
              <w:top w:val="nil"/>
              <w:left w:val="nil"/>
              <w:bottom w:val="single" w:sz="4" w:space="0" w:color="auto"/>
              <w:right w:val="single" w:sz="4" w:space="0" w:color="auto"/>
            </w:tcBorders>
            <w:shd w:val="clear" w:color="auto" w:fill="auto"/>
            <w:noWrap/>
            <w:vAlign w:val="center"/>
          </w:tcPr>
          <w:p w14:paraId="65731EA7" w14:textId="77777777" w:rsidR="000740F7" w:rsidRPr="001F53E7" w:rsidRDefault="000740F7" w:rsidP="006D0A51">
            <w:pPr>
              <w:jc w:val="center"/>
              <w:rPr>
                <w:color w:val="000000"/>
                <w:sz w:val="18"/>
                <w:szCs w:val="18"/>
              </w:rPr>
            </w:pPr>
            <w:r w:rsidRPr="001F53E7">
              <w:rPr>
                <w:color w:val="000000"/>
                <w:sz w:val="18"/>
                <w:szCs w:val="18"/>
              </w:rPr>
              <w:t>36.418</w:t>
            </w:r>
          </w:p>
        </w:tc>
        <w:tc>
          <w:tcPr>
            <w:tcW w:w="519" w:type="pct"/>
            <w:tcBorders>
              <w:top w:val="nil"/>
              <w:left w:val="nil"/>
              <w:bottom w:val="single" w:sz="4" w:space="0" w:color="auto"/>
              <w:right w:val="single" w:sz="4" w:space="0" w:color="auto"/>
            </w:tcBorders>
            <w:shd w:val="clear" w:color="auto" w:fill="auto"/>
            <w:noWrap/>
            <w:vAlign w:val="center"/>
          </w:tcPr>
          <w:p w14:paraId="0C6BE502" w14:textId="77777777" w:rsidR="000740F7" w:rsidRPr="001F53E7" w:rsidRDefault="000740F7" w:rsidP="006D0A51">
            <w:pPr>
              <w:jc w:val="center"/>
              <w:rPr>
                <w:color w:val="000000"/>
                <w:sz w:val="18"/>
                <w:szCs w:val="18"/>
              </w:rPr>
            </w:pPr>
            <w:r w:rsidRPr="001F53E7">
              <w:rPr>
                <w:color w:val="000000"/>
                <w:sz w:val="18"/>
                <w:szCs w:val="18"/>
              </w:rPr>
              <w:t>95%</w:t>
            </w:r>
          </w:p>
        </w:tc>
        <w:tc>
          <w:tcPr>
            <w:tcW w:w="433" w:type="pct"/>
            <w:tcBorders>
              <w:top w:val="nil"/>
              <w:left w:val="nil"/>
              <w:bottom w:val="single" w:sz="4" w:space="0" w:color="auto"/>
              <w:right w:val="single" w:sz="4" w:space="0" w:color="auto"/>
            </w:tcBorders>
            <w:shd w:val="clear" w:color="auto" w:fill="auto"/>
            <w:noWrap/>
            <w:vAlign w:val="center"/>
          </w:tcPr>
          <w:p w14:paraId="223D2644" w14:textId="77777777" w:rsidR="000740F7" w:rsidRPr="001F53E7" w:rsidRDefault="000740F7" w:rsidP="006D0A51">
            <w:pPr>
              <w:jc w:val="center"/>
              <w:rPr>
                <w:color w:val="000000"/>
                <w:sz w:val="18"/>
                <w:szCs w:val="18"/>
              </w:rPr>
            </w:pPr>
            <w:r w:rsidRPr="001F53E7">
              <w:rPr>
                <w:color w:val="000000"/>
                <w:sz w:val="18"/>
                <w:szCs w:val="18"/>
              </w:rPr>
              <w:t>132,1</w:t>
            </w:r>
          </w:p>
        </w:tc>
      </w:tr>
      <w:tr w:rsidR="000740F7" w:rsidRPr="001B4CA2" w14:paraId="6C261402" w14:textId="77777777" w:rsidTr="00FB2B5D">
        <w:trPr>
          <w:trHeight w:val="34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72EAA" w14:textId="77777777" w:rsidR="000740F7" w:rsidRPr="001F53E7" w:rsidRDefault="000740F7" w:rsidP="006D0A51">
            <w:pPr>
              <w:jc w:val="left"/>
              <w:rPr>
                <w:rFonts w:eastAsia="Times New Roman"/>
                <w:b/>
                <w:bCs/>
                <w:sz w:val="18"/>
                <w:szCs w:val="18"/>
                <w:lang w:eastAsia="hr-HR"/>
              </w:rPr>
            </w:pPr>
            <w:r w:rsidRPr="001F53E7">
              <w:rPr>
                <w:rFonts w:eastAsia="Times New Roman"/>
                <w:b/>
                <w:bCs/>
                <w:sz w:val="18"/>
                <w:szCs w:val="18"/>
                <w:lang w:eastAsia="hr-HR"/>
              </w:rPr>
              <w:t>Građansko-upravni predmeti</w:t>
            </w:r>
          </w:p>
        </w:tc>
      </w:tr>
      <w:tr w:rsidR="000740F7" w:rsidRPr="001B4CA2" w14:paraId="4D6E552D" w14:textId="77777777" w:rsidTr="00FB2B5D">
        <w:trPr>
          <w:trHeight w:val="347"/>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0BDA9248"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Parnični predmeti (P-DO)</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A89E1" w14:textId="77777777" w:rsidR="000740F7" w:rsidRPr="001F53E7" w:rsidRDefault="000740F7" w:rsidP="006D0A51">
            <w:pPr>
              <w:jc w:val="center"/>
              <w:rPr>
                <w:color w:val="000000"/>
                <w:sz w:val="18"/>
                <w:szCs w:val="18"/>
              </w:rPr>
            </w:pPr>
            <w:r w:rsidRPr="001F53E7">
              <w:rPr>
                <w:color w:val="000000"/>
                <w:sz w:val="18"/>
                <w:szCs w:val="18"/>
              </w:rPr>
              <w:t>4.051</w:t>
            </w:r>
          </w:p>
        </w:tc>
        <w:tc>
          <w:tcPr>
            <w:tcW w:w="630" w:type="pct"/>
            <w:tcBorders>
              <w:top w:val="single" w:sz="4" w:space="0" w:color="auto"/>
              <w:left w:val="nil"/>
              <w:bottom w:val="single" w:sz="4" w:space="0" w:color="auto"/>
              <w:right w:val="single" w:sz="4" w:space="0" w:color="auto"/>
            </w:tcBorders>
            <w:shd w:val="clear" w:color="auto" w:fill="auto"/>
            <w:noWrap/>
            <w:vAlign w:val="center"/>
          </w:tcPr>
          <w:p w14:paraId="09F85FA6" w14:textId="77777777" w:rsidR="000740F7" w:rsidRPr="001F53E7" w:rsidRDefault="000740F7" w:rsidP="006D0A51">
            <w:pPr>
              <w:jc w:val="center"/>
              <w:rPr>
                <w:color w:val="000000"/>
                <w:sz w:val="18"/>
                <w:szCs w:val="18"/>
              </w:rPr>
            </w:pPr>
            <w:r w:rsidRPr="001F53E7">
              <w:rPr>
                <w:color w:val="000000"/>
                <w:sz w:val="18"/>
                <w:szCs w:val="18"/>
              </w:rPr>
              <w:t>4.107</w:t>
            </w:r>
          </w:p>
        </w:tc>
        <w:tc>
          <w:tcPr>
            <w:tcW w:w="664" w:type="pct"/>
            <w:tcBorders>
              <w:top w:val="single" w:sz="4" w:space="0" w:color="auto"/>
              <w:left w:val="nil"/>
              <w:bottom w:val="single" w:sz="4" w:space="0" w:color="auto"/>
              <w:right w:val="single" w:sz="4" w:space="0" w:color="auto"/>
            </w:tcBorders>
            <w:shd w:val="clear" w:color="auto" w:fill="auto"/>
            <w:noWrap/>
            <w:vAlign w:val="center"/>
          </w:tcPr>
          <w:p w14:paraId="187A0DCB" w14:textId="77777777" w:rsidR="000740F7" w:rsidRPr="001F53E7" w:rsidRDefault="000740F7" w:rsidP="006D0A51">
            <w:pPr>
              <w:jc w:val="center"/>
              <w:rPr>
                <w:color w:val="000000"/>
                <w:sz w:val="18"/>
                <w:szCs w:val="18"/>
              </w:rPr>
            </w:pPr>
            <w:r w:rsidRPr="001F53E7">
              <w:rPr>
                <w:color w:val="000000"/>
                <w:sz w:val="18"/>
                <w:szCs w:val="18"/>
              </w:rPr>
              <w:t>75</w:t>
            </w:r>
          </w:p>
        </w:tc>
        <w:tc>
          <w:tcPr>
            <w:tcW w:w="519" w:type="pct"/>
            <w:tcBorders>
              <w:top w:val="single" w:sz="4" w:space="0" w:color="auto"/>
              <w:left w:val="nil"/>
              <w:bottom w:val="single" w:sz="4" w:space="0" w:color="auto"/>
              <w:right w:val="single" w:sz="4" w:space="0" w:color="auto"/>
            </w:tcBorders>
            <w:shd w:val="clear" w:color="auto" w:fill="auto"/>
            <w:noWrap/>
            <w:vAlign w:val="center"/>
          </w:tcPr>
          <w:p w14:paraId="1D6FD7DA" w14:textId="77777777" w:rsidR="000740F7" w:rsidRPr="001F53E7" w:rsidRDefault="000740F7" w:rsidP="006D0A51">
            <w:pPr>
              <w:jc w:val="center"/>
              <w:rPr>
                <w:color w:val="000000"/>
                <w:sz w:val="18"/>
                <w:szCs w:val="18"/>
              </w:rPr>
            </w:pPr>
            <w:r w:rsidRPr="001F53E7">
              <w:rPr>
                <w:color w:val="000000"/>
                <w:sz w:val="18"/>
                <w:szCs w:val="18"/>
              </w:rPr>
              <w:t>101%</w:t>
            </w: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66B87506" w14:textId="77777777" w:rsidR="000740F7" w:rsidRPr="001F53E7" w:rsidRDefault="000740F7" w:rsidP="006D0A51">
            <w:pPr>
              <w:jc w:val="center"/>
              <w:rPr>
                <w:color w:val="000000"/>
                <w:sz w:val="18"/>
                <w:szCs w:val="18"/>
              </w:rPr>
            </w:pPr>
            <w:r w:rsidRPr="001F53E7">
              <w:rPr>
                <w:color w:val="000000"/>
                <w:sz w:val="18"/>
                <w:szCs w:val="18"/>
              </w:rPr>
              <w:t>6,7</w:t>
            </w:r>
          </w:p>
        </w:tc>
      </w:tr>
      <w:tr w:rsidR="000740F7" w:rsidRPr="001B4CA2" w14:paraId="2775BE91" w14:textId="77777777" w:rsidTr="00FB2B5D">
        <w:trPr>
          <w:trHeight w:val="347"/>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1CC66BB4"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Predmeti prevencije (N-DO)</w:t>
            </w:r>
          </w:p>
        </w:tc>
        <w:tc>
          <w:tcPr>
            <w:tcW w:w="645" w:type="pct"/>
            <w:tcBorders>
              <w:top w:val="nil"/>
              <w:left w:val="single" w:sz="4" w:space="0" w:color="auto"/>
              <w:bottom w:val="single" w:sz="4" w:space="0" w:color="auto"/>
              <w:right w:val="single" w:sz="4" w:space="0" w:color="auto"/>
            </w:tcBorders>
            <w:shd w:val="clear" w:color="auto" w:fill="auto"/>
            <w:noWrap/>
            <w:vAlign w:val="center"/>
          </w:tcPr>
          <w:p w14:paraId="031E8F64" w14:textId="77777777" w:rsidR="000740F7" w:rsidRPr="001F53E7" w:rsidRDefault="000740F7" w:rsidP="006D0A51">
            <w:pPr>
              <w:jc w:val="center"/>
              <w:rPr>
                <w:color w:val="000000"/>
                <w:sz w:val="18"/>
                <w:szCs w:val="18"/>
              </w:rPr>
            </w:pPr>
            <w:r w:rsidRPr="001F53E7">
              <w:rPr>
                <w:color w:val="000000"/>
                <w:sz w:val="18"/>
                <w:szCs w:val="18"/>
              </w:rPr>
              <w:t>5.878</w:t>
            </w:r>
          </w:p>
        </w:tc>
        <w:tc>
          <w:tcPr>
            <w:tcW w:w="630" w:type="pct"/>
            <w:tcBorders>
              <w:top w:val="nil"/>
              <w:left w:val="nil"/>
              <w:bottom w:val="single" w:sz="4" w:space="0" w:color="auto"/>
              <w:right w:val="single" w:sz="4" w:space="0" w:color="auto"/>
            </w:tcBorders>
            <w:shd w:val="clear" w:color="auto" w:fill="auto"/>
            <w:noWrap/>
            <w:vAlign w:val="center"/>
          </w:tcPr>
          <w:p w14:paraId="466FAF3E" w14:textId="77777777" w:rsidR="000740F7" w:rsidRPr="001F53E7" w:rsidRDefault="000740F7" w:rsidP="006D0A51">
            <w:pPr>
              <w:jc w:val="center"/>
              <w:rPr>
                <w:color w:val="000000"/>
                <w:sz w:val="18"/>
                <w:szCs w:val="18"/>
              </w:rPr>
            </w:pPr>
            <w:r w:rsidRPr="001F53E7">
              <w:rPr>
                <w:color w:val="000000"/>
                <w:sz w:val="18"/>
                <w:szCs w:val="18"/>
              </w:rPr>
              <w:t>5.844</w:t>
            </w:r>
          </w:p>
        </w:tc>
        <w:tc>
          <w:tcPr>
            <w:tcW w:w="664" w:type="pct"/>
            <w:tcBorders>
              <w:top w:val="nil"/>
              <w:left w:val="nil"/>
              <w:bottom w:val="single" w:sz="4" w:space="0" w:color="auto"/>
              <w:right w:val="single" w:sz="4" w:space="0" w:color="auto"/>
            </w:tcBorders>
            <w:shd w:val="clear" w:color="auto" w:fill="auto"/>
            <w:noWrap/>
            <w:vAlign w:val="center"/>
          </w:tcPr>
          <w:p w14:paraId="45A2B50B" w14:textId="77777777" w:rsidR="000740F7" w:rsidRPr="001F53E7" w:rsidRDefault="000740F7" w:rsidP="006D0A51">
            <w:pPr>
              <w:jc w:val="center"/>
              <w:rPr>
                <w:color w:val="000000"/>
                <w:sz w:val="18"/>
                <w:szCs w:val="18"/>
              </w:rPr>
            </w:pPr>
            <w:r w:rsidRPr="001F53E7">
              <w:rPr>
                <w:color w:val="000000"/>
                <w:sz w:val="18"/>
                <w:szCs w:val="18"/>
              </w:rPr>
              <w:t>994</w:t>
            </w:r>
          </w:p>
        </w:tc>
        <w:tc>
          <w:tcPr>
            <w:tcW w:w="519" w:type="pct"/>
            <w:tcBorders>
              <w:top w:val="nil"/>
              <w:left w:val="nil"/>
              <w:bottom w:val="single" w:sz="4" w:space="0" w:color="auto"/>
              <w:right w:val="single" w:sz="4" w:space="0" w:color="auto"/>
            </w:tcBorders>
            <w:shd w:val="clear" w:color="auto" w:fill="auto"/>
            <w:noWrap/>
            <w:vAlign w:val="center"/>
          </w:tcPr>
          <w:p w14:paraId="0E083779" w14:textId="77777777" w:rsidR="000740F7" w:rsidRPr="001F53E7" w:rsidRDefault="000740F7" w:rsidP="006D0A51">
            <w:pPr>
              <w:jc w:val="center"/>
              <w:rPr>
                <w:color w:val="000000"/>
                <w:sz w:val="18"/>
                <w:szCs w:val="18"/>
              </w:rPr>
            </w:pPr>
            <w:r w:rsidRPr="001F53E7">
              <w:rPr>
                <w:color w:val="000000"/>
                <w:sz w:val="18"/>
                <w:szCs w:val="18"/>
              </w:rPr>
              <w:t>99%</w:t>
            </w:r>
          </w:p>
        </w:tc>
        <w:tc>
          <w:tcPr>
            <w:tcW w:w="433" w:type="pct"/>
            <w:tcBorders>
              <w:top w:val="nil"/>
              <w:left w:val="nil"/>
              <w:bottom w:val="single" w:sz="4" w:space="0" w:color="auto"/>
              <w:right w:val="single" w:sz="4" w:space="0" w:color="auto"/>
            </w:tcBorders>
            <w:shd w:val="clear" w:color="auto" w:fill="auto"/>
            <w:noWrap/>
            <w:vAlign w:val="center"/>
          </w:tcPr>
          <w:p w14:paraId="6C44D394" w14:textId="77777777" w:rsidR="000740F7" w:rsidRPr="001F53E7" w:rsidRDefault="000740F7" w:rsidP="006D0A51">
            <w:pPr>
              <w:jc w:val="center"/>
              <w:rPr>
                <w:color w:val="000000"/>
                <w:sz w:val="18"/>
                <w:szCs w:val="18"/>
              </w:rPr>
            </w:pPr>
            <w:r w:rsidRPr="001F53E7">
              <w:rPr>
                <w:color w:val="000000"/>
                <w:sz w:val="18"/>
                <w:szCs w:val="18"/>
              </w:rPr>
              <w:t>62,1</w:t>
            </w:r>
          </w:p>
        </w:tc>
      </w:tr>
      <w:tr w:rsidR="000740F7" w:rsidRPr="001B4CA2" w14:paraId="65D2B869" w14:textId="77777777" w:rsidTr="00FB2B5D">
        <w:trPr>
          <w:trHeight w:val="347"/>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6B1C866F"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Ovršni predmeti (O-DO)</w:t>
            </w:r>
          </w:p>
        </w:tc>
        <w:tc>
          <w:tcPr>
            <w:tcW w:w="645" w:type="pct"/>
            <w:tcBorders>
              <w:top w:val="nil"/>
              <w:left w:val="single" w:sz="4" w:space="0" w:color="auto"/>
              <w:bottom w:val="single" w:sz="4" w:space="0" w:color="auto"/>
              <w:right w:val="single" w:sz="4" w:space="0" w:color="auto"/>
            </w:tcBorders>
            <w:shd w:val="clear" w:color="auto" w:fill="auto"/>
            <w:noWrap/>
            <w:vAlign w:val="center"/>
          </w:tcPr>
          <w:p w14:paraId="405E2E49" w14:textId="77777777" w:rsidR="000740F7" w:rsidRPr="001F53E7" w:rsidRDefault="000740F7" w:rsidP="006D0A51">
            <w:pPr>
              <w:jc w:val="center"/>
              <w:rPr>
                <w:color w:val="000000"/>
                <w:sz w:val="18"/>
                <w:szCs w:val="18"/>
              </w:rPr>
            </w:pPr>
            <w:r w:rsidRPr="001F53E7">
              <w:rPr>
                <w:color w:val="000000"/>
                <w:sz w:val="18"/>
                <w:szCs w:val="18"/>
              </w:rPr>
              <w:t>20.570</w:t>
            </w:r>
          </w:p>
        </w:tc>
        <w:tc>
          <w:tcPr>
            <w:tcW w:w="630" w:type="pct"/>
            <w:tcBorders>
              <w:top w:val="nil"/>
              <w:left w:val="nil"/>
              <w:bottom w:val="single" w:sz="4" w:space="0" w:color="auto"/>
              <w:right w:val="single" w:sz="4" w:space="0" w:color="auto"/>
            </w:tcBorders>
            <w:shd w:val="clear" w:color="auto" w:fill="auto"/>
            <w:noWrap/>
            <w:vAlign w:val="center"/>
          </w:tcPr>
          <w:p w14:paraId="782277F7" w14:textId="77777777" w:rsidR="000740F7" w:rsidRPr="001F53E7" w:rsidRDefault="000740F7" w:rsidP="006D0A51">
            <w:pPr>
              <w:jc w:val="center"/>
              <w:rPr>
                <w:color w:val="000000"/>
                <w:sz w:val="18"/>
                <w:szCs w:val="18"/>
              </w:rPr>
            </w:pPr>
            <w:r w:rsidRPr="001F53E7">
              <w:rPr>
                <w:color w:val="000000"/>
                <w:sz w:val="18"/>
                <w:szCs w:val="18"/>
              </w:rPr>
              <w:t>20.850</w:t>
            </w:r>
          </w:p>
        </w:tc>
        <w:tc>
          <w:tcPr>
            <w:tcW w:w="664" w:type="pct"/>
            <w:tcBorders>
              <w:top w:val="nil"/>
              <w:left w:val="nil"/>
              <w:bottom w:val="single" w:sz="4" w:space="0" w:color="auto"/>
              <w:right w:val="single" w:sz="4" w:space="0" w:color="auto"/>
            </w:tcBorders>
            <w:shd w:val="clear" w:color="auto" w:fill="auto"/>
            <w:noWrap/>
            <w:vAlign w:val="center"/>
          </w:tcPr>
          <w:p w14:paraId="5D612994" w14:textId="77777777" w:rsidR="000740F7" w:rsidRPr="001F53E7" w:rsidRDefault="000740F7" w:rsidP="006D0A51">
            <w:pPr>
              <w:jc w:val="center"/>
              <w:rPr>
                <w:color w:val="000000"/>
                <w:sz w:val="18"/>
                <w:szCs w:val="18"/>
              </w:rPr>
            </w:pPr>
            <w:r w:rsidRPr="001F53E7">
              <w:rPr>
                <w:color w:val="000000"/>
                <w:sz w:val="18"/>
                <w:szCs w:val="18"/>
              </w:rPr>
              <w:t>534</w:t>
            </w:r>
          </w:p>
        </w:tc>
        <w:tc>
          <w:tcPr>
            <w:tcW w:w="519" w:type="pct"/>
            <w:tcBorders>
              <w:top w:val="nil"/>
              <w:left w:val="nil"/>
              <w:bottom w:val="single" w:sz="4" w:space="0" w:color="auto"/>
              <w:right w:val="single" w:sz="4" w:space="0" w:color="auto"/>
            </w:tcBorders>
            <w:shd w:val="clear" w:color="auto" w:fill="auto"/>
            <w:noWrap/>
            <w:vAlign w:val="center"/>
          </w:tcPr>
          <w:p w14:paraId="7384ED80" w14:textId="77777777" w:rsidR="000740F7" w:rsidRPr="001F53E7" w:rsidRDefault="000740F7" w:rsidP="006D0A51">
            <w:pPr>
              <w:jc w:val="center"/>
              <w:rPr>
                <w:color w:val="000000"/>
                <w:sz w:val="18"/>
                <w:szCs w:val="18"/>
              </w:rPr>
            </w:pPr>
            <w:r w:rsidRPr="001F53E7">
              <w:rPr>
                <w:color w:val="000000"/>
                <w:sz w:val="18"/>
                <w:szCs w:val="18"/>
              </w:rPr>
              <w:t>101%</w:t>
            </w:r>
          </w:p>
        </w:tc>
        <w:tc>
          <w:tcPr>
            <w:tcW w:w="433" w:type="pct"/>
            <w:tcBorders>
              <w:top w:val="nil"/>
              <w:left w:val="nil"/>
              <w:bottom w:val="single" w:sz="4" w:space="0" w:color="auto"/>
              <w:right w:val="single" w:sz="4" w:space="0" w:color="auto"/>
            </w:tcBorders>
            <w:shd w:val="clear" w:color="auto" w:fill="auto"/>
            <w:noWrap/>
            <w:vAlign w:val="center"/>
          </w:tcPr>
          <w:p w14:paraId="4D98466E" w14:textId="77777777" w:rsidR="000740F7" w:rsidRPr="001F53E7" w:rsidRDefault="000740F7" w:rsidP="006D0A51">
            <w:pPr>
              <w:jc w:val="center"/>
              <w:rPr>
                <w:color w:val="000000"/>
                <w:sz w:val="18"/>
                <w:szCs w:val="18"/>
              </w:rPr>
            </w:pPr>
            <w:r w:rsidRPr="001F53E7">
              <w:rPr>
                <w:color w:val="000000"/>
                <w:sz w:val="18"/>
                <w:szCs w:val="18"/>
              </w:rPr>
              <w:t>9,3</w:t>
            </w:r>
          </w:p>
        </w:tc>
      </w:tr>
      <w:tr w:rsidR="000740F7" w:rsidRPr="001B4CA2" w14:paraId="705F95FD" w14:textId="77777777" w:rsidTr="00FB2B5D">
        <w:trPr>
          <w:trHeight w:val="347"/>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5FF974CD"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Izvanparnični predmeti (</w:t>
            </w:r>
            <w:proofErr w:type="spellStart"/>
            <w:r w:rsidRPr="001B4CA2">
              <w:rPr>
                <w:rFonts w:eastAsia="Times New Roman"/>
                <w:sz w:val="18"/>
                <w:szCs w:val="18"/>
                <w:lang w:eastAsia="hr-HR"/>
              </w:rPr>
              <w:t>Ip</w:t>
            </w:r>
            <w:proofErr w:type="spellEnd"/>
            <w:r w:rsidRPr="001B4CA2">
              <w:rPr>
                <w:rFonts w:eastAsia="Times New Roman"/>
                <w:sz w:val="18"/>
                <w:szCs w:val="18"/>
                <w:lang w:eastAsia="hr-HR"/>
              </w:rPr>
              <w:t>-DO)</w:t>
            </w:r>
          </w:p>
        </w:tc>
        <w:tc>
          <w:tcPr>
            <w:tcW w:w="645" w:type="pct"/>
            <w:tcBorders>
              <w:top w:val="nil"/>
              <w:left w:val="single" w:sz="4" w:space="0" w:color="auto"/>
              <w:bottom w:val="single" w:sz="4" w:space="0" w:color="auto"/>
              <w:right w:val="single" w:sz="4" w:space="0" w:color="auto"/>
            </w:tcBorders>
            <w:shd w:val="clear" w:color="auto" w:fill="auto"/>
            <w:noWrap/>
            <w:vAlign w:val="center"/>
          </w:tcPr>
          <w:p w14:paraId="0002C274" w14:textId="77777777" w:rsidR="000740F7" w:rsidRPr="001F53E7" w:rsidRDefault="000740F7" w:rsidP="006D0A51">
            <w:pPr>
              <w:jc w:val="center"/>
              <w:rPr>
                <w:color w:val="000000"/>
                <w:sz w:val="18"/>
                <w:szCs w:val="18"/>
              </w:rPr>
            </w:pPr>
            <w:r w:rsidRPr="001F53E7">
              <w:rPr>
                <w:color w:val="000000"/>
                <w:sz w:val="18"/>
                <w:szCs w:val="18"/>
              </w:rPr>
              <w:t>20.441</w:t>
            </w:r>
          </w:p>
        </w:tc>
        <w:tc>
          <w:tcPr>
            <w:tcW w:w="630" w:type="pct"/>
            <w:tcBorders>
              <w:top w:val="nil"/>
              <w:left w:val="nil"/>
              <w:bottom w:val="single" w:sz="4" w:space="0" w:color="auto"/>
              <w:right w:val="single" w:sz="4" w:space="0" w:color="auto"/>
            </w:tcBorders>
            <w:shd w:val="clear" w:color="auto" w:fill="auto"/>
            <w:noWrap/>
            <w:vAlign w:val="center"/>
          </w:tcPr>
          <w:p w14:paraId="04EA97CA" w14:textId="77777777" w:rsidR="000740F7" w:rsidRPr="001F53E7" w:rsidRDefault="000740F7" w:rsidP="006D0A51">
            <w:pPr>
              <w:jc w:val="center"/>
              <w:rPr>
                <w:color w:val="000000"/>
                <w:sz w:val="18"/>
                <w:szCs w:val="18"/>
              </w:rPr>
            </w:pPr>
            <w:r w:rsidRPr="001F53E7">
              <w:rPr>
                <w:color w:val="000000"/>
                <w:sz w:val="18"/>
                <w:szCs w:val="18"/>
              </w:rPr>
              <w:t>20.575</w:t>
            </w:r>
          </w:p>
        </w:tc>
        <w:tc>
          <w:tcPr>
            <w:tcW w:w="664" w:type="pct"/>
            <w:tcBorders>
              <w:top w:val="nil"/>
              <w:left w:val="nil"/>
              <w:bottom w:val="single" w:sz="4" w:space="0" w:color="auto"/>
              <w:right w:val="single" w:sz="4" w:space="0" w:color="auto"/>
            </w:tcBorders>
            <w:shd w:val="clear" w:color="auto" w:fill="auto"/>
            <w:noWrap/>
            <w:vAlign w:val="center"/>
          </w:tcPr>
          <w:p w14:paraId="36CDC3FA" w14:textId="77777777" w:rsidR="000740F7" w:rsidRPr="001F53E7" w:rsidRDefault="000740F7" w:rsidP="006D0A51">
            <w:pPr>
              <w:jc w:val="center"/>
              <w:rPr>
                <w:color w:val="000000"/>
                <w:sz w:val="18"/>
                <w:szCs w:val="18"/>
              </w:rPr>
            </w:pPr>
            <w:r w:rsidRPr="001F53E7">
              <w:rPr>
                <w:color w:val="000000"/>
                <w:sz w:val="18"/>
                <w:szCs w:val="18"/>
              </w:rPr>
              <w:t>605</w:t>
            </w:r>
          </w:p>
        </w:tc>
        <w:tc>
          <w:tcPr>
            <w:tcW w:w="519" w:type="pct"/>
            <w:tcBorders>
              <w:top w:val="nil"/>
              <w:left w:val="nil"/>
              <w:bottom w:val="single" w:sz="4" w:space="0" w:color="auto"/>
              <w:right w:val="single" w:sz="4" w:space="0" w:color="auto"/>
            </w:tcBorders>
            <w:shd w:val="clear" w:color="auto" w:fill="auto"/>
            <w:noWrap/>
            <w:vAlign w:val="center"/>
          </w:tcPr>
          <w:p w14:paraId="0EE419D9" w14:textId="77777777" w:rsidR="000740F7" w:rsidRPr="001F53E7" w:rsidRDefault="000740F7" w:rsidP="006D0A51">
            <w:pPr>
              <w:jc w:val="center"/>
              <w:rPr>
                <w:color w:val="000000"/>
                <w:sz w:val="18"/>
                <w:szCs w:val="18"/>
              </w:rPr>
            </w:pPr>
            <w:r w:rsidRPr="001F53E7">
              <w:rPr>
                <w:color w:val="000000"/>
                <w:sz w:val="18"/>
                <w:szCs w:val="18"/>
              </w:rPr>
              <w:t>101%</w:t>
            </w:r>
          </w:p>
        </w:tc>
        <w:tc>
          <w:tcPr>
            <w:tcW w:w="433" w:type="pct"/>
            <w:tcBorders>
              <w:top w:val="nil"/>
              <w:left w:val="nil"/>
              <w:bottom w:val="single" w:sz="4" w:space="0" w:color="auto"/>
              <w:right w:val="single" w:sz="4" w:space="0" w:color="auto"/>
            </w:tcBorders>
            <w:shd w:val="clear" w:color="auto" w:fill="auto"/>
            <w:noWrap/>
            <w:vAlign w:val="center"/>
          </w:tcPr>
          <w:p w14:paraId="5FC053E6" w14:textId="77777777" w:rsidR="000740F7" w:rsidRPr="001F53E7" w:rsidRDefault="000740F7" w:rsidP="006D0A51">
            <w:pPr>
              <w:jc w:val="center"/>
              <w:rPr>
                <w:color w:val="000000"/>
                <w:sz w:val="18"/>
                <w:szCs w:val="18"/>
              </w:rPr>
            </w:pPr>
            <w:r w:rsidRPr="001F53E7">
              <w:rPr>
                <w:color w:val="000000"/>
                <w:sz w:val="18"/>
                <w:szCs w:val="18"/>
              </w:rPr>
              <w:t>10,7</w:t>
            </w:r>
          </w:p>
        </w:tc>
      </w:tr>
      <w:tr w:rsidR="000740F7" w:rsidRPr="001B4CA2" w14:paraId="01024C3A" w14:textId="77777777" w:rsidTr="00FB2B5D">
        <w:trPr>
          <w:trHeight w:val="347"/>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1E09F948"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Stečaj potrošača (</w:t>
            </w:r>
            <w:proofErr w:type="spellStart"/>
            <w:r w:rsidRPr="001B4CA2">
              <w:rPr>
                <w:rFonts w:eastAsia="Times New Roman"/>
                <w:sz w:val="18"/>
                <w:szCs w:val="18"/>
                <w:lang w:eastAsia="hr-HR"/>
              </w:rPr>
              <w:t>Sp</w:t>
            </w:r>
            <w:proofErr w:type="spellEnd"/>
            <w:r w:rsidRPr="001B4CA2">
              <w:rPr>
                <w:rFonts w:eastAsia="Times New Roman"/>
                <w:sz w:val="18"/>
                <w:szCs w:val="18"/>
                <w:lang w:eastAsia="hr-HR"/>
              </w:rPr>
              <w:t>-DO)</w:t>
            </w:r>
          </w:p>
        </w:tc>
        <w:tc>
          <w:tcPr>
            <w:tcW w:w="645" w:type="pct"/>
            <w:tcBorders>
              <w:top w:val="nil"/>
              <w:left w:val="single" w:sz="4" w:space="0" w:color="auto"/>
              <w:bottom w:val="single" w:sz="4" w:space="0" w:color="auto"/>
              <w:right w:val="single" w:sz="4" w:space="0" w:color="auto"/>
            </w:tcBorders>
            <w:shd w:val="clear" w:color="auto" w:fill="auto"/>
            <w:noWrap/>
            <w:vAlign w:val="center"/>
          </w:tcPr>
          <w:p w14:paraId="7FAD080F" w14:textId="77777777" w:rsidR="000740F7" w:rsidRPr="001F53E7" w:rsidRDefault="000740F7" w:rsidP="006D0A51">
            <w:pPr>
              <w:jc w:val="center"/>
              <w:rPr>
                <w:color w:val="000000"/>
                <w:sz w:val="18"/>
                <w:szCs w:val="18"/>
              </w:rPr>
            </w:pPr>
            <w:r w:rsidRPr="001F53E7">
              <w:rPr>
                <w:color w:val="000000"/>
                <w:sz w:val="18"/>
                <w:szCs w:val="18"/>
              </w:rPr>
              <w:t>1.851</w:t>
            </w:r>
          </w:p>
        </w:tc>
        <w:tc>
          <w:tcPr>
            <w:tcW w:w="630" w:type="pct"/>
            <w:tcBorders>
              <w:top w:val="nil"/>
              <w:left w:val="nil"/>
              <w:bottom w:val="single" w:sz="4" w:space="0" w:color="auto"/>
              <w:right w:val="single" w:sz="4" w:space="0" w:color="auto"/>
            </w:tcBorders>
            <w:shd w:val="clear" w:color="auto" w:fill="auto"/>
            <w:noWrap/>
            <w:vAlign w:val="center"/>
          </w:tcPr>
          <w:p w14:paraId="2C1B1D8A" w14:textId="77777777" w:rsidR="000740F7" w:rsidRPr="001F53E7" w:rsidRDefault="000740F7" w:rsidP="006D0A51">
            <w:pPr>
              <w:jc w:val="center"/>
              <w:rPr>
                <w:color w:val="000000"/>
                <w:sz w:val="18"/>
                <w:szCs w:val="18"/>
              </w:rPr>
            </w:pPr>
            <w:r w:rsidRPr="001F53E7">
              <w:rPr>
                <w:color w:val="000000"/>
                <w:sz w:val="18"/>
                <w:szCs w:val="18"/>
              </w:rPr>
              <w:t>1.855</w:t>
            </w:r>
          </w:p>
        </w:tc>
        <w:tc>
          <w:tcPr>
            <w:tcW w:w="664" w:type="pct"/>
            <w:tcBorders>
              <w:top w:val="nil"/>
              <w:left w:val="nil"/>
              <w:bottom w:val="single" w:sz="4" w:space="0" w:color="auto"/>
              <w:right w:val="single" w:sz="4" w:space="0" w:color="auto"/>
            </w:tcBorders>
            <w:shd w:val="clear" w:color="auto" w:fill="auto"/>
            <w:noWrap/>
            <w:vAlign w:val="center"/>
          </w:tcPr>
          <w:p w14:paraId="2748F4CD" w14:textId="77777777" w:rsidR="000740F7" w:rsidRPr="001F53E7" w:rsidRDefault="000740F7" w:rsidP="006D0A51">
            <w:pPr>
              <w:jc w:val="center"/>
              <w:rPr>
                <w:color w:val="000000"/>
                <w:sz w:val="18"/>
                <w:szCs w:val="18"/>
              </w:rPr>
            </w:pPr>
            <w:r w:rsidRPr="001F53E7">
              <w:rPr>
                <w:color w:val="000000"/>
                <w:sz w:val="18"/>
                <w:szCs w:val="18"/>
              </w:rPr>
              <w:t>25</w:t>
            </w:r>
          </w:p>
        </w:tc>
        <w:tc>
          <w:tcPr>
            <w:tcW w:w="519" w:type="pct"/>
            <w:tcBorders>
              <w:top w:val="nil"/>
              <w:left w:val="nil"/>
              <w:bottom w:val="single" w:sz="4" w:space="0" w:color="auto"/>
              <w:right w:val="single" w:sz="4" w:space="0" w:color="auto"/>
            </w:tcBorders>
            <w:shd w:val="clear" w:color="auto" w:fill="auto"/>
            <w:noWrap/>
            <w:vAlign w:val="center"/>
          </w:tcPr>
          <w:p w14:paraId="34E422C2" w14:textId="77777777" w:rsidR="000740F7" w:rsidRPr="001F53E7" w:rsidRDefault="000740F7" w:rsidP="006D0A51">
            <w:pPr>
              <w:jc w:val="center"/>
              <w:rPr>
                <w:color w:val="000000"/>
                <w:sz w:val="18"/>
                <w:szCs w:val="18"/>
              </w:rPr>
            </w:pPr>
            <w:r w:rsidRPr="001F53E7">
              <w:rPr>
                <w:color w:val="000000"/>
                <w:sz w:val="18"/>
                <w:szCs w:val="18"/>
              </w:rPr>
              <w:t>100%</w:t>
            </w:r>
          </w:p>
        </w:tc>
        <w:tc>
          <w:tcPr>
            <w:tcW w:w="433" w:type="pct"/>
            <w:tcBorders>
              <w:top w:val="nil"/>
              <w:left w:val="nil"/>
              <w:bottom w:val="single" w:sz="4" w:space="0" w:color="auto"/>
              <w:right w:val="single" w:sz="4" w:space="0" w:color="auto"/>
            </w:tcBorders>
            <w:shd w:val="clear" w:color="auto" w:fill="auto"/>
            <w:noWrap/>
            <w:vAlign w:val="center"/>
          </w:tcPr>
          <w:p w14:paraId="2F162E7D" w14:textId="77777777" w:rsidR="000740F7" w:rsidRPr="001F53E7" w:rsidRDefault="000740F7" w:rsidP="006D0A51">
            <w:pPr>
              <w:jc w:val="center"/>
              <w:rPr>
                <w:color w:val="000000"/>
                <w:sz w:val="18"/>
                <w:szCs w:val="18"/>
              </w:rPr>
            </w:pPr>
            <w:r w:rsidRPr="001F53E7">
              <w:rPr>
                <w:color w:val="000000"/>
                <w:sz w:val="18"/>
                <w:szCs w:val="18"/>
              </w:rPr>
              <w:t>4,9</w:t>
            </w:r>
          </w:p>
        </w:tc>
      </w:tr>
      <w:tr w:rsidR="000740F7" w:rsidRPr="001B4CA2" w14:paraId="4A459930" w14:textId="77777777" w:rsidTr="00FB2B5D">
        <w:trPr>
          <w:trHeight w:val="347"/>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5033063D"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Pravna mišljenja (M-DO)</w:t>
            </w:r>
          </w:p>
        </w:tc>
        <w:tc>
          <w:tcPr>
            <w:tcW w:w="645" w:type="pct"/>
            <w:tcBorders>
              <w:top w:val="nil"/>
              <w:left w:val="single" w:sz="4" w:space="0" w:color="auto"/>
              <w:bottom w:val="single" w:sz="4" w:space="0" w:color="auto"/>
              <w:right w:val="single" w:sz="4" w:space="0" w:color="auto"/>
            </w:tcBorders>
            <w:shd w:val="clear" w:color="auto" w:fill="auto"/>
            <w:noWrap/>
            <w:vAlign w:val="center"/>
          </w:tcPr>
          <w:p w14:paraId="508342B4" w14:textId="77777777" w:rsidR="000740F7" w:rsidRPr="001F53E7" w:rsidRDefault="000740F7" w:rsidP="006D0A51">
            <w:pPr>
              <w:jc w:val="center"/>
              <w:rPr>
                <w:color w:val="000000"/>
                <w:sz w:val="18"/>
                <w:szCs w:val="18"/>
              </w:rPr>
            </w:pPr>
            <w:r w:rsidRPr="001F53E7">
              <w:rPr>
                <w:color w:val="000000"/>
                <w:sz w:val="18"/>
                <w:szCs w:val="18"/>
              </w:rPr>
              <w:t>1.978</w:t>
            </w:r>
          </w:p>
        </w:tc>
        <w:tc>
          <w:tcPr>
            <w:tcW w:w="630" w:type="pct"/>
            <w:tcBorders>
              <w:top w:val="nil"/>
              <w:left w:val="nil"/>
              <w:bottom w:val="single" w:sz="4" w:space="0" w:color="auto"/>
              <w:right w:val="single" w:sz="4" w:space="0" w:color="auto"/>
            </w:tcBorders>
            <w:shd w:val="clear" w:color="auto" w:fill="auto"/>
            <w:noWrap/>
            <w:vAlign w:val="center"/>
          </w:tcPr>
          <w:p w14:paraId="56A2D1F3" w14:textId="77777777" w:rsidR="000740F7" w:rsidRPr="001F53E7" w:rsidRDefault="000740F7" w:rsidP="006D0A51">
            <w:pPr>
              <w:jc w:val="center"/>
              <w:rPr>
                <w:color w:val="000000"/>
                <w:sz w:val="18"/>
                <w:szCs w:val="18"/>
              </w:rPr>
            </w:pPr>
            <w:r w:rsidRPr="001F53E7">
              <w:rPr>
                <w:color w:val="000000"/>
                <w:sz w:val="18"/>
                <w:szCs w:val="18"/>
              </w:rPr>
              <w:t>1.965</w:t>
            </w:r>
          </w:p>
        </w:tc>
        <w:tc>
          <w:tcPr>
            <w:tcW w:w="664" w:type="pct"/>
            <w:tcBorders>
              <w:top w:val="nil"/>
              <w:left w:val="nil"/>
              <w:bottom w:val="single" w:sz="4" w:space="0" w:color="auto"/>
              <w:right w:val="single" w:sz="4" w:space="0" w:color="auto"/>
            </w:tcBorders>
            <w:shd w:val="clear" w:color="auto" w:fill="auto"/>
            <w:noWrap/>
            <w:vAlign w:val="center"/>
          </w:tcPr>
          <w:p w14:paraId="3F5D39F5" w14:textId="77777777" w:rsidR="000740F7" w:rsidRPr="001F53E7" w:rsidRDefault="000740F7" w:rsidP="006D0A51">
            <w:pPr>
              <w:jc w:val="center"/>
              <w:rPr>
                <w:color w:val="000000"/>
                <w:sz w:val="18"/>
                <w:szCs w:val="18"/>
              </w:rPr>
            </w:pPr>
            <w:r w:rsidRPr="001F53E7">
              <w:rPr>
                <w:color w:val="000000"/>
                <w:sz w:val="18"/>
                <w:szCs w:val="18"/>
              </w:rPr>
              <w:t>79</w:t>
            </w:r>
          </w:p>
        </w:tc>
        <w:tc>
          <w:tcPr>
            <w:tcW w:w="519" w:type="pct"/>
            <w:tcBorders>
              <w:top w:val="nil"/>
              <w:left w:val="nil"/>
              <w:bottom w:val="single" w:sz="4" w:space="0" w:color="auto"/>
              <w:right w:val="single" w:sz="4" w:space="0" w:color="auto"/>
            </w:tcBorders>
            <w:shd w:val="clear" w:color="auto" w:fill="auto"/>
            <w:noWrap/>
            <w:vAlign w:val="center"/>
          </w:tcPr>
          <w:p w14:paraId="76854E4F" w14:textId="77777777" w:rsidR="000740F7" w:rsidRPr="001F53E7" w:rsidRDefault="000740F7" w:rsidP="006D0A51">
            <w:pPr>
              <w:jc w:val="center"/>
              <w:rPr>
                <w:color w:val="000000"/>
                <w:sz w:val="18"/>
                <w:szCs w:val="18"/>
              </w:rPr>
            </w:pPr>
            <w:r w:rsidRPr="001F53E7">
              <w:rPr>
                <w:color w:val="000000"/>
                <w:sz w:val="18"/>
                <w:szCs w:val="18"/>
              </w:rPr>
              <w:t>99%</w:t>
            </w:r>
          </w:p>
        </w:tc>
        <w:tc>
          <w:tcPr>
            <w:tcW w:w="433" w:type="pct"/>
            <w:tcBorders>
              <w:top w:val="nil"/>
              <w:left w:val="nil"/>
              <w:bottom w:val="single" w:sz="4" w:space="0" w:color="auto"/>
              <w:right w:val="single" w:sz="4" w:space="0" w:color="auto"/>
            </w:tcBorders>
            <w:shd w:val="clear" w:color="auto" w:fill="auto"/>
            <w:noWrap/>
            <w:vAlign w:val="center"/>
          </w:tcPr>
          <w:p w14:paraId="731A1286" w14:textId="77777777" w:rsidR="000740F7" w:rsidRPr="001F53E7" w:rsidRDefault="000740F7" w:rsidP="006D0A51">
            <w:pPr>
              <w:jc w:val="center"/>
              <w:rPr>
                <w:color w:val="000000"/>
                <w:sz w:val="18"/>
                <w:szCs w:val="18"/>
              </w:rPr>
            </w:pPr>
            <w:r w:rsidRPr="001F53E7">
              <w:rPr>
                <w:color w:val="000000"/>
                <w:sz w:val="18"/>
                <w:szCs w:val="18"/>
              </w:rPr>
              <w:t>14,7</w:t>
            </w:r>
          </w:p>
        </w:tc>
      </w:tr>
      <w:tr w:rsidR="000740F7" w:rsidRPr="001B4CA2" w14:paraId="505D0CAE" w14:textId="77777777" w:rsidTr="00FB2B5D">
        <w:trPr>
          <w:trHeight w:val="347"/>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6B129FAD"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Upravni predmeti (U-DO)</w:t>
            </w:r>
          </w:p>
        </w:tc>
        <w:tc>
          <w:tcPr>
            <w:tcW w:w="645" w:type="pct"/>
            <w:tcBorders>
              <w:top w:val="nil"/>
              <w:left w:val="single" w:sz="4" w:space="0" w:color="auto"/>
              <w:bottom w:val="single" w:sz="4" w:space="0" w:color="auto"/>
              <w:right w:val="single" w:sz="4" w:space="0" w:color="auto"/>
            </w:tcBorders>
            <w:shd w:val="clear" w:color="auto" w:fill="auto"/>
            <w:noWrap/>
            <w:vAlign w:val="center"/>
          </w:tcPr>
          <w:p w14:paraId="44849680" w14:textId="77777777" w:rsidR="000740F7" w:rsidRPr="001F53E7" w:rsidRDefault="000740F7" w:rsidP="006D0A51">
            <w:pPr>
              <w:jc w:val="center"/>
              <w:rPr>
                <w:color w:val="000000"/>
                <w:sz w:val="18"/>
                <w:szCs w:val="18"/>
              </w:rPr>
            </w:pPr>
            <w:r w:rsidRPr="001F53E7">
              <w:rPr>
                <w:color w:val="000000"/>
                <w:sz w:val="18"/>
                <w:szCs w:val="18"/>
              </w:rPr>
              <w:t>3.088</w:t>
            </w:r>
          </w:p>
        </w:tc>
        <w:tc>
          <w:tcPr>
            <w:tcW w:w="630" w:type="pct"/>
            <w:tcBorders>
              <w:top w:val="nil"/>
              <w:left w:val="nil"/>
              <w:bottom w:val="single" w:sz="4" w:space="0" w:color="auto"/>
              <w:right w:val="single" w:sz="4" w:space="0" w:color="auto"/>
            </w:tcBorders>
            <w:shd w:val="clear" w:color="auto" w:fill="auto"/>
            <w:noWrap/>
            <w:vAlign w:val="center"/>
          </w:tcPr>
          <w:p w14:paraId="2D8E80A5" w14:textId="77777777" w:rsidR="000740F7" w:rsidRPr="001F53E7" w:rsidRDefault="000740F7" w:rsidP="006D0A51">
            <w:pPr>
              <w:jc w:val="center"/>
              <w:rPr>
                <w:color w:val="000000"/>
                <w:sz w:val="18"/>
                <w:szCs w:val="18"/>
              </w:rPr>
            </w:pPr>
            <w:r w:rsidRPr="001F53E7">
              <w:rPr>
                <w:color w:val="000000"/>
                <w:sz w:val="18"/>
                <w:szCs w:val="18"/>
              </w:rPr>
              <w:t>3.118</w:t>
            </w:r>
          </w:p>
        </w:tc>
        <w:tc>
          <w:tcPr>
            <w:tcW w:w="664" w:type="pct"/>
            <w:tcBorders>
              <w:top w:val="nil"/>
              <w:left w:val="nil"/>
              <w:bottom w:val="single" w:sz="4" w:space="0" w:color="auto"/>
              <w:right w:val="single" w:sz="4" w:space="0" w:color="auto"/>
            </w:tcBorders>
            <w:shd w:val="clear" w:color="auto" w:fill="auto"/>
            <w:noWrap/>
            <w:vAlign w:val="center"/>
          </w:tcPr>
          <w:p w14:paraId="4EEA131B" w14:textId="77777777" w:rsidR="000740F7" w:rsidRPr="001F53E7" w:rsidRDefault="000740F7" w:rsidP="006D0A51">
            <w:pPr>
              <w:jc w:val="center"/>
              <w:rPr>
                <w:color w:val="000000"/>
                <w:sz w:val="18"/>
                <w:szCs w:val="18"/>
              </w:rPr>
            </w:pPr>
            <w:r w:rsidRPr="001F53E7">
              <w:rPr>
                <w:color w:val="000000"/>
                <w:sz w:val="18"/>
                <w:szCs w:val="18"/>
              </w:rPr>
              <w:t>96</w:t>
            </w:r>
          </w:p>
        </w:tc>
        <w:tc>
          <w:tcPr>
            <w:tcW w:w="519" w:type="pct"/>
            <w:tcBorders>
              <w:top w:val="nil"/>
              <w:left w:val="nil"/>
              <w:bottom w:val="single" w:sz="4" w:space="0" w:color="auto"/>
              <w:right w:val="single" w:sz="4" w:space="0" w:color="auto"/>
            </w:tcBorders>
            <w:shd w:val="clear" w:color="auto" w:fill="auto"/>
            <w:noWrap/>
            <w:vAlign w:val="center"/>
          </w:tcPr>
          <w:p w14:paraId="04EBD27F" w14:textId="77777777" w:rsidR="000740F7" w:rsidRPr="001F53E7" w:rsidRDefault="000740F7" w:rsidP="006D0A51">
            <w:pPr>
              <w:jc w:val="center"/>
              <w:rPr>
                <w:color w:val="000000"/>
                <w:sz w:val="18"/>
                <w:szCs w:val="18"/>
              </w:rPr>
            </w:pPr>
            <w:r w:rsidRPr="001F53E7">
              <w:rPr>
                <w:color w:val="000000"/>
                <w:sz w:val="18"/>
                <w:szCs w:val="18"/>
              </w:rPr>
              <w:t>101%</w:t>
            </w:r>
          </w:p>
        </w:tc>
        <w:tc>
          <w:tcPr>
            <w:tcW w:w="433" w:type="pct"/>
            <w:tcBorders>
              <w:top w:val="nil"/>
              <w:left w:val="nil"/>
              <w:bottom w:val="single" w:sz="4" w:space="0" w:color="auto"/>
              <w:right w:val="single" w:sz="4" w:space="0" w:color="auto"/>
            </w:tcBorders>
            <w:shd w:val="clear" w:color="auto" w:fill="auto"/>
            <w:noWrap/>
            <w:vAlign w:val="center"/>
          </w:tcPr>
          <w:p w14:paraId="65F703E3" w14:textId="77777777" w:rsidR="000740F7" w:rsidRPr="001F53E7" w:rsidRDefault="000740F7" w:rsidP="006D0A51">
            <w:pPr>
              <w:jc w:val="center"/>
              <w:rPr>
                <w:color w:val="000000"/>
                <w:sz w:val="18"/>
                <w:szCs w:val="18"/>
              </w:rPr>
            </w:pPr>
            <w:r w:rsidRPr="001F53E7">
              <w:rPr>
                <w:color w:val="000000"/>
                <w:sz w:val="18"/>
                <w:szCs w:val="18"/>
              </w:rPr>
              <w:t>11,2</w:t>
            </w:r>
          </w:p>
        </w:tc>
      </w:tr>
      <w:tr w:rsidR="000740F7" w:rsidRPr="001B4CA2" w14:paraId="29736816" w14:textId="77777777" w:rsidTr="00FB2B5D">
        <w:trPr>
          <w:trHeight w:val="347"/>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1CBC5AA9"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Ostali predmeti</w:t>
            </w:r>
          </w:p>
        </w:tc>
        <w:tc>
          <w:tcPr>
            <w:tcW w:w="645" w:type="pct"/>
            <w:tcBorders>
              <w:top w:val="nil"/>
              <w:left w:val="single" w:sz="4" w:space="0" w:color="auto"/>
              <w:bottom w:val="single" w:sz="4" w:space="0" w:color="auto"/>
              <w:right w:val="single" w:sz="4" w:space="0" w:color="auto"/>
            </w:tcBorders>
            <w:shd w:val="clear" w:color="auto" w:fill="auto"/>
            <w:noWrap/>
            <w:vAlign w:val="center"/>
          </w:tcPr>
          <w:p w14:paraId="00EECB02" w14:textId="77777777" w:rsidR="000740F7" w:rsidRPr="001F53E7" w:rsidRDefault="000740F7" w:rsidP="006D0A51">
            <w:pPr>
              <w:jc w:val="center"/>
              <w:rPr>
                <w:color w:val="000000"/>
                <w:sz w:val="18"/>
                <w:szCs w:val="18"/>
              </w:rPr>
            </w:pPr>
            <w:r w:rsidRPr="001F53E7">
              <w:rPr>
                <w:color w:val="000000"/>
                <w:sz w:val="18"/>
                <w:szCs w:val="18"/>
              </w:rPr>
              <w:t>4.217</w:t>
            </w:r>
          </w:p>
        </w:tc>
        <w:tc>
          <w:tcPr>
            <w:tcW w:w="630" w:type="pct"/>
            <w:tcBorders>
              <w:top w:val="nil"/>
              <w:left w:val="nil"/>
              <w:bottom w:val="single" w:sz="4" w:space="0" w:color="auto"/>
              <w:right w:val="single" w:sz="4" w:space="0" w:color="auto"/>
            </w:tcBorders>
            <w:shd w:val="clear" w:color="auto" w:fill="auto"/>
            <w:noWrap/>
            <w:vAlign w:val="center"/>
          </w:tcPr>
          <w:p w14:paraId="63EEB563" w14:textId="77777777" w:rsidR="000740F7" w:rsidRPr="001F53E7" w:rsidRDefault="000740F7" w:rsidP="006D0A51">
            <w:pPr>
              <w:jc w:val="center"/>
              <w:rPr>
                <w:color w:val="000000"/>
                <w:sz w:val="18"/>
                <w:szCs w:val="18"/>
              </w:rPr>
            </w:pPr>
            <w:r w:rsidRPr="001F53E7">
              <w:rPr>
                <w:color w:val="000000"/>
                <w:sz w:val="18"/>
                <w:szCs w:val="18"/>
              </w:rPr>
              <w:t>4.246</w:t>
            </w:r>
          </w:p>
        </w:tc>
        <w:tc>
          <w:tcPr>
            <w:tcW w:w="664" w:type="pct"/>
            <w:tcBorders>
              <w:top w:val="nil"/>
              <w:left w:val="nil"/>
              <w:bottom w:val="single" w:sz="4" w:space="0" w:color="auto"/>
              <w:right w:val="single" w:sz="4" w:space="0" w:color="auto"/>
            </w:tcBorders>
            <w:shd w:val="clear" w:color="auto" w:fill="auto"/>
            <w:noWrap/>
            <w:vAlign w:val="center"/>
          </w:tcPr>
          <w:p w14:paraId="57B17081" w14:textId="77777777" w:rsidR="000740F7" w:rsidRPr="001F53E7" w:rsidRDefault="000740F7" w:rsidP="006D0A51">
            <w:pPr>
              <w:jc w:val="center"/>
              <w:rPr>
                <w:color w:val="000000"/>
                <w:sz w:val="18"/>
                <w:szCs w:val="18"/>
              </w:rPr>
            </w:pPr>
            <w:r w:rsidRPr="001F53E7">
              <w:rPr>
                <w:color w:val="000000"/>
                <w:sz w:val="18"/>
                <w:szCs w:val="18"/>
              </w:rPr>
              <w:t>280</w:t>
            </w:r>
          </w:p>
        </w:tc>
        <w:tc>
          <w:tcPr>
            <w:tcW w:w="519" w:type="pct"/>
            <w:tcBorders>
              <w:top w:val="nil"/>
              <w:left w:val="nil"/>
              <w:bottom w:val="single" w:sz="4" w:space="0" w:color="auto"/>
              <w:right w:val="single" w:sz="4" w:space="0" w:color="auto"/>
            </w:tcBorders>
            <w:shd w:val="clear" w:color="auto" w:fill="auto"/>
            <w:noWrap/>
            <w:vAlign w:val="center"/>
          </w:tcPr>
          <w:p w14:paraId="4D35EC7D" w14:textId="77777777" w:rsidR="000740F7" w:rsidRPr="001F53E7" w:rsidRDefault="000740F7" w:rsidP="006D0A51">
            <w:pPr>
              <w:jc w:val="center"/>
              <w:rPr>
                <w:color w:val="000000"/>
                <w:sz w:val="18"/>
                <w:szCs w:val="18"/>
              </w:rPr>
            </w:pPr>
            <w:r w:rsidRPr="001F53E7">
              <w:rPr>
                <w:color w:val="000000"/>
                <w:sz w:val="18"/>
                <w:szCs w:val="18"/>
              </w:rPr>
              <w:t>101%</w:t>
            </w:r>
          </w:p>
        </w:tc>
        <w:tc>
          <w:tcPr>
            <w:tcW w:w="433" w:type="pct"/>
            <w:tcBorders>
              <w:top w:val="nil"/>
              <w:left w:val="nil"/>
              <w:bottom w:val="single" w:sz="4" w:space="0" w:color="auto"/>
              <w:right w:val="single" w:sz="4" w:space="0" w:color="auto"/>
            </w:tcBorders>
            <w:shd w:val="clear" w:color="auto" w:fill="auto"/>
            <w:noWrap/>
            <w:vAlign w:val="center"/>
          </w:tcPr>
          <w:p w14:paraId="28BE5945" w14:textId="77777777" w:rsidR="000740F7" w:rsidRPr="001F53E7" w:rsidRDefault="000740F7" w:rsidP="006D0A51">
            <w:pPr>
              <w:jc w:val="center"/>
              <w:rPr>
                <w:color w:val="000000"/>
                <w:sz w:val="18"/>
                <w:szCs w:val="18"/>
              </w:rPr>
            </w:pPr>
            <w:r w:rsidRPr="001F53E7">
              <w:rPr>
                <w:color w:val="000000"/>
                <w:sz w:val="18"/>
                <w:szCs w:val="18"/>
              </w:rPr>
              <w:t>24,1</w:t>
            </w:r>
          </w:p>
        </w:tc>
      </w:tr>
      <w:tr w:rsidR="000740F7" w:rsidRPr="001B4CA2" w14:paraId="505DEA1E" w14:textId="77777777" w:rsidTr="00FB2B5D">
        <w:trPr>
          <w:trHeight w:val="347"/>
        </w:trPr>
        <w:tc>
          <w:tcPr>
            <w:tcW w:w="2109" w:type="pct"/>
            <w:tcBorders>
              <w:top w:val="nil"/>
              <w:left w:val="single" w:sz="4" w:space="0" w:color="auto"/>
              <w:bottom w:val="single" w:sz="4" w:space="0" w:color="auto"/>
              <w:right w:val="single" w:sz="4" w:space="0" w:color="auto"/>
            </w:tcBorders>
            <w:shd w:val="clear" w:color="auto" w:fill="auto"/>
            <w:noWrap/>
            <w:vAlign w:val="center"/>
            <w:hideMark/>
          </w:tcPr>
          <w:p w14:paraId="4B6CDA6D" w14:textId="77777777" w:rsidR="000740F7" w:rsidRPr="001B4CA2" w:rsidRDefault="000740F7" w:rsidP="006D0A51">
            <w:pPr>
              <w:jc w:val="left"/>
              <w:rPr>
                <w:rFonts w:eastAsia="Times New Roman"/>
                <w:b/>
                <w:bCs/>
                <w:sz w:val="18"/>
                <w:szCs w:val="18"/>
                <w:lang w:eastAsia="hr-HR"/>
              </w:rPr>
            </w:pPr>
            <w:r w:rsidRPr="001B4CA2">
              <w:rPr>
                <w:rFonts w:eastAsia="Times New Roman"/>
                <w:b/>
                <w:bCs/>
                <w:sz w:val="18"/>
                <w:szCs w:val="18"/>
                <w:lang w:eastAsia="hr-HR"/>
              </w:rPr>
              <w:t>Ukupno građansko-upravni</w:t>
            </w:r>
          </w:p>
        </w:tc>
        <w:tc>
          <w:tcPr>
            <w:tcW w:w="645" w:type="pct"/>
            <w:tcBorders>
              <w:top w:val="nil"/>
              <w:left w:val="single" w:sz="4" w:space="0" w:color="auto"/>
              <w:bottom w:val="single" w:sz="4" w:space="0" w:color="auto"/>
              <w:right w:val="single" w:sz="4" w:space="0" w:color="auto"/>
            </w:tcBorders>
            <w:shd w:val="clear" w:color="auto" w:fill="auto"/>
            <w:noWrap/>
            <w:vAlign w:val="center"/>
          </w:tcPr>
          <w:p w14:paraId="2A04578C" w14:textId="77777777" w:rsidR="000740F7" w:rsidRPr="001F53E7" w:rsidRDefault="000740F7" w:rsidP="006D0A51">
            <w:pPr>
              <w:jc w:val="center"/>
              <w:rPr>
                <w:color w:val="000000"/>
                <w:sz w:val="18"/>
                <w:szCs w:val="18"/>
              </w:rPr>
            </w:pPr>
            <w:r w:rsidRPr="001F53E7">
              <w:rPr>
                <w:color w:val="000000"/>
                <w:sz w:val="18"/>
                <w:szCs w:val="18"/>
              </w:rPr>
              <w:t>62.074</w:t>
            </w:r>
          </w:p>
        </w:tc>
        <w:tc>
          <w:tcPr>
            <w:tcW w:w="630" w:type="pct"/>
            <w:tcBorders>
              <w:top w:val="nil"/>
              <w:left w:val="nil"/>
              <w:bottom w:val="single" w:sz="4" w:space="0" w:color="auto"/>
              <w:right w:val="single" w:sz="4" w:space="0" w:color="auto"/>
            </w:tcBorders>
            <w:shd w:val="clear" w:color="auto" w:fill="auto"/>
            <w:noWrap/>
            <w:vAlign w:val="center"/>
          </w:tcPr>
          <w:p w14:paraId="039F686F" w14:textId="77777777" w:rsidR="000740F7" w:rsidRPr="001F53E7" w:rsidRDefault="000740F7" w:rsidP="006D0A51">
            <w:pPr>
              <w:jc w:val="center"/>
              <w:rPr>
                <w:color w:val="000000"/>
                <w:sz w:val="18"/>
                <w:szCs w:val="18"/>
              </w:rPr>
            </w:pPr>
            <w:r w:rsidRPr="001F53E7">
              <w:rPr>
                <w:color w:val="000000"/>
                <w:sz w:val="18"/>
                <w:szCs w:val="18"/>
              </w:rPr>
              <w:t>62.560</w:t>
            </w:r>
          </w:p>
        </w:tc>
        <w:tc>
          <w:tcPr>
            <w:tcW w:w="664" w:type="pct"/>
            <w:tcBorders>
              <w:top w:val="nil"/>
              <w:left w:val="nil"/>
              <w:bottom w:val="single" w:sz="4" w:space="0" w:color="auto"/>
              <w:right w:val="single" w:sz="4" w:space="0" w:color="auto"/>
            </w:tcBorders>
            <w:shd w:val="clear" w:color="auto" w:fill="auto"/>
            <w:noWrap/>
            <w:vAlign w:val="center"/>
          </w:tcPr>
          <w:p w14:paraId="1576243F" w14:textId="77777777" w:rsidR="000740F7" w:rsidRPr="001F53E7" w:rsidRDefault="000740F7" w:rsidP="006D0A51">
            <w:pPr>
              <w:jc w:val="center"/>
              <w:rPr>
                <w:color w:val="000000"/>
                <w:sz w:val="18"/>
                <w:szCs w:val="18"/>
              </w:rPr>
            </w:pPr>
            <w:r w:rsidRPr="001F53E7">
              <w:rPr>
                <w:color w:val="000000"/>
                <w:sz w:val="18"/>
                <w:szCs w:val="18"/>
              </w:rPr>
              <w:t>2.688</w:t>
            </w:r>
          </w:p>
        </w:tc>
        <w:tc>
          <w:tcPr>
            <w:tcW w:w="519" w:type="pct"/>
            <w:tcBorders>
              <w:top w:val="nil"/>
              <w:left w:val="nil"/>
              <w:bottom w:val="single" w:sz="4" w:space="0" w:color="auto"/>
              <w:right w:val="single" w:sz="4" w:space="0" w:color="auto"/>
            </w:tcBorders>
            <w:shd w:val="clear" w:color="auto" w:fill="auto"/>
            <w:noWrap/>
            <w:vAlign w:val="center"/>
          </w:tcPr>
          <w:p w14:paraId="70594805" w14:textId="77777777" w:rsidR="000740F7" w:rsidRPr="001F53E7" w:rsidRDefault="000740F7" w:rsidP="006D0A51">
            <w:pPr>
              <w:jc w:val="center"/>
              <w:rPr>
                <w:color w:val="000000"/>
                <w:sz w:val="18"/>
                <w:szCs w:val="18"/>
              </w:rPr>
            </w:pPr>
            <w:r w:rsidRPr="001F53E7">
              <w:rPr>
                <w:color w:val="000000"/>
                <w:sz w:val="18"/>
                <w:szCs w:val="18"/>
              </w:rPr>
              <w:t>101%</w:t>
            </w:r>
          </w:p>
        </w:tc>
        <w:tc>
          <w:tcPr>
            <w:tcW w:w="433" w:type="pct"/>
            <w:tcBorders>
              <w:top w:val="nil"/>
              <w:left w:val="nil"/>
              <w:bottom w:val="single" w:sz="4" w:space="0" w:color="auto"/>
              <w:right w:val="single" w:sz="4" w:space="0" w:color="auto"/>
            </w:tcBorders>
            <w:shd w:val="clear" w:color="auto" w:fill="auto"/>
            <w:noWrap/>
            <w:vAlign w:val="center"/>
          </w:tcPr>
          <w:p w14:paraId="2C2CDE6E" w14:textId="77777777" w:rsidR="000740F7" w:rsidRPr="001F53E7" w:rsidRDefault="000740F7" w:rsidP="006D0A51">
            <w:pPr>
              <w:jc w:val="center"/>
              <w:rPr>
                <w:color w:val="000000"/>
                <w:sz w:val="18"/>
                <w:szCs w:val="18"/>
              </w:rPr>
            </w:pPr>
            <w:r w:rsidRPr="001F53E7">
              <w:rPr>
                <w:color w:val="000000"/>
                <w:sz w:val="18"/>
                <w:szCs w:val="18"/>
              </w:rPr>
              <w:t>15,7</w:t>
            </w:r>
          </w:p>
        </w:tc>
      </w:tr>
    </w:tbl>
    <w:p w14:paraId="3DEB57AA" w14:textId="77777777" w:rsidR="000740F7" w:rsidRPr="001B4CA2" w:rsidRDefault="000740F7" w:rsidP="000740F7"/>
    <w:p w14:paraId="088EFBA3" w14:textId="77777777" w:rsidR="000740F7" w:rsidRPr="001B4CA2" w:rsidRDefault="000740F7" w:rsidP="000740F7">
      <w:pPr>
        <w:ind w:firstLine="708"/>
      </w:pPr>
      <w:r w:rsidRPr="001B4CA2">
        <w:t>Gornja tablica prikazuje predmete općinskih državnih odvjetništava po vrsti. Od kaznenih predmeta najzastupljeniji su predmeti kaznenih prijava protiv poznatih punoljetnih počinitelja. Među građanskim i upravnim predmetima najveći je broj izvanparničnih i ovršnih predmeta.</w:t>
      </w:r>
    </w:p>
    <w:p w14:paraId="70585EC0" w14:textId="77777777" w:rsidR="000740F7" w:rsidRPr="001B4CA2" w:rsidRDefault="000740F7" w:rsidP="000740F7"/>
    <w:p w14:paraId="17F9EAB0" w14:textId="1E30897A" w:rsidR="000740F7" w:rsidRPr="001B4CA2" w:rsidRDefault="000740F7" w:rsidP="000740F7">
      <w:pPr>
        <w:ind w:firstLine="708"/>
      </w:pPr>
      <w:r w:rsidRPr="001B4CA2">
        <w:t xml:space="preserve">Prosječna stopa ažurnosti kod kaznenih predmeta iznosi 95 %, dok je kod građanskih i upravnih predmeta prosječna stopa ažurnosti 101 %. </w:t>
      </w:r>
    </w:p>
    <w:p w14:paraId="179EE610" w14:textId="432E9C2A" w:rsidR="002E7E3F" w:rsidRDefault="002E7E3F" w:rsidP="005762CD"/>
    <w:p w14:paraId="6E29D118" w14:textId="55477DC1" w:rsidR="001F53E7" w:rsidRDefault="001F53E7" w:rsidP="005762CD"/>
    <w:p w14:paraId="32B02EA7" w14:textId="0E37858F" w:rsidR="001F53E7" w:rsidRDefault="001F53E7" w:rsidP="005762CD"/>
    <w:p w14:paraId="030B726E" w14:textId="42A2B6BB" w:rsidR="001F53E7" w:rsidRDefault="001F53E7" w:rsidP="005762CD"/>
    <w:p w14:paraId="77490CFB" w14:textId="40955980" w:rsidR="001F53E7" w:rsidRDefault="001F53E7" w:rsidP="005762CD"/>
    <w:p w14:paraId="3C975925" w14:textId="10117AF3" w:rsidR="001F53E7" w:rsidRDefault="001F53E7" w:rsidP="005762CD"/>
    <w:p w14:paraId="09A66711" w14:textId="77777777" w:rsidR="001F53E7" w:rsidRPr="001B4CA2" w:rsidRDefault="001F53E7" w:rsidP="005762CD"/>
    <w:p w14:paraId="78E71BAA" w14:textId="2F17EEB2" w:rsidR="00BB4D48" w:rsidRPr="001B4CA2" w:rsidRDefault="00BB4D48" w:rsidP="00B45008">
      <w:pPr>
        <w:pStyle w:val="Naslov3"/>
        <w:rPr>
          <w:rFonts w:ascii="Arial" w:hAnsi="Arial" w:cs="Arial"/>
        </w:rPr>
      </w:pPr>
      <w:bookmarkStart w:id="13" w:name="_Toc133394277"/>
      <w:r w:rsidRPr="001B4CA2">
        <w:rPr>
          <w:rFonts w:ascii="Arial" w:hAnsi="Arial" w:cs="Arial"/>
        </w:rPr>
        <w:lastRenderedPageBreak/>
        <w:t>Pregled kretanja predmeta na općinski</w:t>
      </w:r>
      <w:r w:rsidR="00D80F32" w:rsidRPr="001B4CA2">
        <w:rPr>
          <w:rFonts w:ascii="Arial" w:hAnsi="Arial" w:cs="Arial"/>
        </w:rPr>
        <w:t xml:space="preserve">m državnim odvjetništvima u </w:t>
      </w:r>
      <w:r w:rsidR="008B0222" w:rsidRPr="001B4CA2">
        <w:rPr>
          <w:rFonts w:ascii="Arial" w:hAnsi="Arial" w:cs="Arial"/>
        </w:rPr>
        <w:t>202</w:t>
      </w:r>
      <w:r w:rsidR="000740F7" w:rsidRPr="001B4CA2">
        <w:rPr>
          <w:rFonts w:ascii="Arial" w:hAnsi="Arial" w:cs="Arial"/>
        </w:rPr>
        <w:t>2</w:t>
      </w:r>
      <w:r w:rsidRPr="001B4CA2">
        <w:rPr>
          <w:rFonts w:ascii="Arial" w:hAnsi="Arial" w:cs="Arial"/>
        </w:rPr>
        <w:t>. godini – pojedinačno</w:t>
      </w:r>
      <w:bookmarkEnd w:id="13"/>
    </w:p>
    <w:p w14:paraId="0317CDC4" w14:textId="77777777" w:rsidR="006234AA" w:rsidRPr="001B4CA2" w:rsidRDefault="006234AA" w:rsidP="00886E1C"/>
    <w:p w14:paraId="0B581BB1" w14:textId="093E5128" w:rsidR="000740F7" w:rsidRPr="001B4CA2" w:rsidRDefault="00BA7382" w:rsidP="000740F7">
      <w:pPr>
        <w:ind w:left="142"/>
        <w:rPr>
          <w:i/>
        </w:rPr>
      </w:pPr>
      <w:r>
        <w:rPr>
          <w:i/>
        </w:rPr>
        <w:t xml:space="preserve">      </w:t>
      </w:r>
      <w:r w:rsidR="000740F7" w:rsidRPr="001B4CA2">
        <w:rPr>
          <w:i/>
        </w:rPr>
        <w:t>Pregled kretanja predmeta po pojedinom općinskom državnom odvjetništvu</w:t>
      </w:r>
    </w:p>
    <w:tbl>
      <w:tblPr>
        <w:tblW w:w="8446" w:type="dxa"/>
        <w:tblInd w:w="534" w:type="dxa"/>
        <w:tblLook w:val="04A0" w:firstRow="1" w:lastRow="0" w:firstColumn="1" w:lastColumn="0" w:noHBand="0" w:noVBand="1"/>
      </w:tblPr>
      <w:tblGrid>
        <w:gridCol w:w="4221"/>
        <w:gridCol w:w="1120"/>
        <w:gridCol w:w="1030"/>
        <w:gridCol w:w="951"/>
        <w:gridCol w:w="1124"/>
      </w:tblGrid>
      <w:tr w:rsidR="000740F7" w:rsidRPr="001B4CA2" w14:paraId="1FDD84C3" w14:textId="77777777" w:rsidTr="00BA7382">
        <w:trPr>
          <w:trHeight w:val="1236"/>
        </w:trPr>
        <w:tc>
          <w:tcPr>
            <w:tcW w:w="4221"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E2B0E05"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Državno odvjetništvo</w:t>
            </w:r>
          </w:p>
        </w:tc>
        <w:tc>
          <w:tcPr>
            <w:tcW w:w="1120" w:type="dxa"/>
            <w:tcBorders>
              <w:top w:val="single" w:sz="4" w:space="0" w:color="auto"/>
              <w:left w:val="nil"/>
              <w:bottom w:val="single" w:sz="4" w:space="0" w:color="auto"/>
              <w:right w:val="single" w:sz="4" w:space="0" w:color="auto"/>
            </w:tcBorders>
            <w:shd w:val="clear" w:color="auto" w:fill="99CCFF"/>
            <w:vAlign w:val="center"/>
            <w:hideMark/>
          </w:tcPr>
          <w:p w14:paraId="64C5C2E9" w14:textId="30CA9A62"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Ukupno neriješeno na 31.12. 2021.</w:t>
            </w:r>
          </w:p>
        </w:tc>
        <w:tc>
          <w:tcPr>
            <w:tcW w:w="1030" w:type="dxa"/>
            <w:tcBorders>
              <w:top w:val="single" w:sz="4" w:space="0" w:color="auto"/>
              <w:left w:val="nil"/>
              <w:bottom w:val="single" w:sz="4" w:space="0" w:color="auto"/>
              <w:right w:val="single" w:sz="4" w:space="0" w:color="auto"/>
            </w:tcBorders>
            <w:shd w:val="clear" w:color="auto" w:fill="99CCFF"/>
            <w:vAlign w:val="center"/>
            <w:hideMark/>
          </w:tcPr>
          <w:p w14:paraId="11D35078"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Ukupno primljeno</w:t>
            </w:r>
          </w:p>
        </w:tc>
        <w:tc>
          <w:tcPr>
            <w:tcW w:w="951" w:type="dxa"/>
            <w:tcBorders>
              <w:top w:val="single" w:sz="4" w:space="0" w:color="auto"/>
              <w:left w:val="nil"/>
              <w:bottom w:val="single" w:sz="4" w:space="0" w:color="auto"/>
              <w:right w:val="single" w:sz="4" w:space="0" w:color="auto"/>
            </w:tcBorders>
            <w:shd w:val="clear" w:color="auto" w:fill="99CCFF"/>
            <w:vAlign w:val="center"/>
            <w:hideMark/>
          </w:tcPr>
          <w:p w14:paraId="72C2CDAD"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Ukupno riješeno</w:t>
            </w:r>
          </w:p>
        </w:tc>
        <w:tc>
          <w:tcPr>
            <w:tcW w:w="1124" w:type="dxa"/>
            <w:tcBorders>
              <w:top w:val="single" w:sz="4" w:space="0" w:color="auto"/>
              <w:left w:val="nil"/>
              <w:bottom w:val="single" w:sz="4" w:space="0" w:color="auto"/>
              <w:right w:val="single" w:sz="4" w:space="0" w:color="auto"/>
            </w:tcBorders>
            <w:shd w:val="clear" w:color="auto" w:fill="99CCFF"/>
            <w:vAlign w:val="center"/>
            <w:hideMark/>
          </w:tcPr>
          <w:p w14:paraId="36596DFE" w14:textId="679166AF"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Ukupno neriješeno na 31.12. 2022.</w:t>
            </w:r>
          </w:p>
        </w:tc>
      </w:tr>
      <w:tr w:rsidR="000740F7" w:rsidRPr="009C5AEE" w14:paraId="10D5E97B"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103AFE5D"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Bjelovaru</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D013D" w14:textId="77777777" w:rsidR="000740F7" w:rsidRPr="009C5AEE" w:rsidRDefault="000740F7" w:rsidP="006D0A51">
            <w:pPr>
              <w:jc w:val="center"/>
              <w:rPr>
                <w:color w:val="000000"/>
                <w:sz w:val="16"/>
                <w:szCs w:val="16"/>
              </w:rPr>
            </w:pPr>
            <w:r w:rsidRPr="009C5AEE">
              <w:rPr>
                <w:color w:val="000000"/>
                <w:sz w:val="16"/>
                <w:szCs w:val="16"/>
              </w:rPr>
              <w:t>799</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557A1" w14:textId="7D9ABB3C" w:rsidR="000740F7" w:rsidRPr="009C5AEE" w:rsidRDefault="000740F7" w:rsidP="006D0A51">
            <w:pPr>
              <w:jc w:val="center"/>
              <w:rPr>
                <w:color w:val="000000"/>
                <w:sz w:val="16"/>
                <w:szCs w:val="16"/>
              </w:rPr>
            </w:pPr>
            <w:r w:rsidRPr="009C5AEE">
              <w:rPr>
                <w:color w:val="000000"/>
                <w:sz w:val="16"/>
                <w:szCs w:val="16"/>
              </w:rPr>
              <w:t>6727</w:t>
            </w:r>
          </w:p>
        </w:tc>
        <w:tc>
          <w:tcPr>
            <w:tcW w:w="951" w:type="dxa"/>
            <w:tcBorders>
              <w:top w:val="single" w:sz="4" w:space="0" w:color="auto"/>
              <w:left w:val="nil"/>
              <w:bottom w:val="single" w:sz="4" w:space="0" w:color="auto"/>
              <w:right w:val="single" w:sz="4" w:space="0" w:color="auto"/>
            </w:tcBorders>
            <w:shd w:val="clear" w:color="auto" w:fill="auto"/>
            <w:noWrap/>
            <w:vAlign w:val="bottom"/>
          </w:tcPr>
          <w:p w14:paraId="7FDF867D" w14:textId="77777777" w:rsidR="000740F7" w:rsidRPr="009C5AEE" w:rsidRDefault="000740F7" w:rsidP="006D0A51">
            <w:pPr>
              <w:jc w:val="center"/>
              <w:rPr>
                <w:color w:val="000000"/>
                <w:sz w:val="16"/>
                <w:szCs w:val="16"/>
              </w:rPr>
            </w:pPr>
            <w:r w:rsidRPr="009C5AEE">
              <w:rPr>
                <w:color w:val="000000"/>
                <w:sz w:val="16"/>
                <w:szCs w:val="16"/>
              </w:rPr>
              <w:t>6617</w:t>
            </w:r>
          </w:p>
        </w:tc>
        <w:tc>
          <w:tcPr>
            <w:tcW w:w="1124" w:type="dxa"/>
            <w:tcBorders>
              <w:top w:val="single" w:sz="4" w:space="0" w:color="auto"/>
              <w:left w:val="nil"/>
              <w:bottom w:val="single" w:sz="4" w:space="0" w:color="auto"/>
              <w:right w:val="single" w:sz="4" w:space="0" w:color="auto"/>
            </w:tcBorders>
            <w:shd w:val="clear" w:color="auto" w:fill="auto"/>
            <w:noWrap/>
            <w:vAlign w:val="bottom"/>
          </w:tcPr>
          <w:p w14:paraId="3D3762CB" w14:textId="77777777" w:rsidR="000740F7" w:rsidRPr="009C5AEE" w:rsidRDefault="000740F7" w:rsidP="006D0A51">
            <w:pPr>
              <w:jc w:val="center"/>
              <w:rPr>
                <w:color w:val="000000"/>
                <w:sz w:val="16"/>
                <w:szCs w:val="16"/>
              </w:rPr>
            </w:pPr>
            <w:r w:rsidRPr="009C5AEE">
              <w:rPr>
                <w:color w:val="000000"/>
                <w:sz w:val="16"/>
                <w:szCs w:val="16"/>
              </w:rPr>
              <w:t>909</w:t>
            </w:r>
          </w:p>
        </w:tc>
      </w:tr>
      <w:tr w:rsidR="000740F7" w:rsidRPr="009C5AEE" w14:paraId="414D227C"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796ABE17"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Čakovcu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0F0B7138" w14:textId="77777777" w:rsidR="000740F7" w:rsidRPr="009C5AEE" w:rsidRDefault="000740F7" w:rsidP="006D0A51">
            <w:pPr>
              <w:jc w:val="center"/>
              <w:rPr>
                <w:color w:val="000000"/>
                <w:sz w:val="16"/>
                <w:szCs w:val="16"/>
              </w:rPr>
            </w:pPr>
            <w:r w:rsidRPr="009C5AEE">
              <w:rPr>
                <w:color w:val="000000"/>
                <w:sz w:val="16"/>
                <w:szCs w:val="16"/>
              </w:rPr>
              <w:t>670</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4503245F" w14:textId="77777777" w:rsidR="000740F7" w:rsidRPr="009C5AEE" w:rsidRDefault="000740F7" w:rsidP="006D0A51">
            <w:pPr>
              <w:jc w:val="center"/>
              <w:rPr>
                <w:color w:val="000000"/>
                <w:sz w:val="16"/>
                <w:szCs w:val="16"/>
              </w:rPr>
            </w:pPr>
            <w:r w:rsidRPr="009C5AEE">
              <w:rPr>
                <w:color w:val="000000"/>
                <w:sz w:val="16"/>
                <w:szCs w:val="16"/>
              </w:rPr>
              <w:t>3946</w:t>
            </w:r>
          </w:p>
        </w:tc>
        <w:tc>
          <w:tcPr>
            <w:tcW w:w="951" w:type="dxa"/>
            <w:tcBorders>
              <w:top w:val="nil"/>
              <w:left w:val="nil"/>
              <w:bottom w:val="single" w:sz="4" w:space="0" w:color="auto"/>
              <w:right w:val="single" w:sz="4" w:space="0" w:color="auto"/>
            </w:tcBorders>
            <w:shd w:val="clear" w:color="auto" w:fill="auto"/>
            <w:noWrap/>
            <w:vAlign w:val="bottom"/>
          </w:tcPr>
          <w:p w14:paraId="24971EBD" w14:textId="77777777" w:rsidR="000740F7" w:rsidRPr="009C5AEE" w:rsidRDefault="000740F7" w:rsidP="006D0A51">
            <w:pPr>
              <w:jc w:val="center"/>
              <w:rPr>
                <w:color w:val="000000"/>
                <w:sz w:val="16"/>
                <w:szCs w:val="16"/>
              </w:rPr>
            </w:pPr>
            <w:r w:rsidRPr="009C5AEE">
              <w:rPr>
                <w:color w:val="000000"/>
                <w:sz w:val="16"/>
                <w:szCs w:val="16"/>
              </w:rPr>
              <w:t>4000</w:t>
            </w:r>
          </w:p>
        </w:tc>
        <w:tc>
          <w:tcPr>
            <w:tcW w:w="1124" w:type="dxa"/>
            <w:tcBorders>
              <w:top w:val="nil"/>
              <w:left w:val="nil"/>
              <w:bottom w:val="single" w:sz="4" w:space="0" w:color="auto"/>
              <w:right w:val="single" w:sz="4" w:space="0" w:color="auto"/>
            </w:tcBorders>
            <w:shd w:val="clear" w:color="auto" w:fill="auto"/>
            <w:noWrap/>
            <w:vAlign w:val="bottom"/>
          </w:tcPr>
          <w:p w14:paraId="54830469" w14:textId="77777777" w:rsidR="000740F7" w:rsidRPr="009C5AEE" w:rsidRDefault="000740F7" w:rsidP="006D0A51">
            <w:pPr>
              <w:jc w:val="center"/>
              <w:rPr>
                <w:color w:val="000000"/>
                <w:sz w:val="16"/>
                <w:szCs w:val="16"/>
              </w:rPr>
            </w:pPr>
            <w:r w:rsidRPr="009C5AEE">
              <w:rPr>
                <w:color w:val="000000"/>
                <w:sz w:val="16"/>
                <w:szCs w:val="16"/>
              </w:rPr>
              <w:t>616</w:t>
            </w:r>
          </w:p>
        </w:tc>
      </w:tr>
      <w:tr w:rsidR="000740F7" w:rsidRPr="009C5AEE" w14:paraId="5BE3345C"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4730CFEE"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Dubrovniku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36A5B1FB" w14:textId="77777777" w:rsidR="000740F7" w:rsidRPr="009C5AEE" w:rsidRDefault="000740F7" w:rsidP="006D0A51">
            <w:pPr>
              <w:jc w:val="center"/>
              <w:rPr>
                <w:color w:val="000000"/>
                <w:sz w:val="16"/>
                <w:szCs w:val="16"/>
              </w:rPr>
            </w:pPr>
            <w:r w:rsidRPr="009C5AEE">
              <w:rPr>
                <w:color w:val="000000"/>
                <w:sz w:val="16"/>
                <w:szCs w:val="16"/>
              </w:rPr>
              <w:t>775</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0DA9BFD4" w14:textId="77777777" w:rsidR="000740F7" w:rsidRPr="009C5AEE" w:rsidRDefault="000740F7" w:rsidP="006D0A51">
            <w:pPr>
              <w:jc w:val="center"/>
              <w:rPr>
                <w:color w:val="000000"/>
                <w:sz w:val="16"/>
                <w:szCs w:val="16"/>
              </w:rPr>
            </w:pPr>
            <w:r w:rsidRPr="009C5AEE">
              <w:rPr>
                <w:color w:val="000000"/>
                <w:sz w:val="16"/>
                <w:szCs w:val="16"/>
              </w:rPr>
              <w:t>3574</w:t>
            </w:r>
          </w:p>
        </w:tc>
        <w:tc>
          <w:tcPr>
            <w:tcW w:w="951" w:type="dxa"/>
            <w:tcBorders>
              <w:top w:val="nil"/>
              <w:left w:val="nil"/>
              <w:bottom w:val="single" w:sz="4" w:space="0" w:color="auto"/>
              <w:right w:val="single" w:sz="4" w:space="0" w:color="auto"/>
            </w:tcBorders>
            <w:shd w:val="clear" w:color="auto" w:fill="auto"/>
            <w:noWrap/>
            <w:vAlign w:val="bottom"/>
          </w:tcPr>
          <w:p w14:paraId="4430F318" w14:textId="77777777" w:rsidR="000740F7" w:rsidRPr="009C5AEE" w:rsidRDefault="000740F7" w:rsidP="006D0A51">
            <w:pPr>
              <w:jc w:val="center"/>
              <w:rPr>
                <w:color w:val="000000"/>
                <w:sz w:val="16"/>
                <w:szCs w:val="16"/>
              </w:rPr>
            </w:pPr>
            <w:r w:rsidRPr="009C5AEE">
              <w:rPr>
                <w:color w:val="000000"/>
                <w:sz w:val="16"/>
                <w:szCs w:val="16"/>
              </w:rPr>
              <w:t>3565</w:t>
            </w:r>
          </w:p>
        </w:tc>
        <w:tc>
          <w:tcPr>
            <w:tcW w:w="1124" w:type="dxa"/>
            <w:tcBorders>
              <w:top w:val="nil"/>
              <w:left w:val="nil"/>
              <w:bottom w:val="single" w:sz="4" w:space="0" w:color="auto"/>
              <w:right w:val="single" w:sz="4" w:space="0" w:color="auto"/>
            </w:tcBorders>
            <w:shd w:val="clear" w:color="auto" w:fill="auto"/>
            <w:noWrap/>
            <w:vAlign w:val="bottom"/>
          </w:tcPr>
          <w:p w14:paraId="24EAB9B6" w14:textId="77777777" w:rsidR="000740F7" w:rsidRPr="009C5AEE" w:rsidRDefault="000740F7" w:rsidP="006D0A51">
            <w:pPr>
              <w:jc w:val="center"/>
              <w:rPr>
                <w:color w:val="000000"/>
                <w:sz w:val="16"/>
                <w:szCs w:val="16"/>
              </w:rPr>
            </w:pPr>
            <w:r w:rsidRPr="009C5AEE">
              <w:rPr>
                <w:color w:val="000000"/>
                <w:sz w:val="16"/>
                <w:szCs w:val="16"/>
              </w:rPr>
              <w:t>782</w:t>
            </w:r>
          </w:p>
        </w:tc>
      </w:tr>
      <w:tr w:rsidR="000740F7" w:rsidRPr="009C5AEE" w14:paraId="1513E0FC"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365CA4EF"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Gospiću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1B3033CD" w14:textId="77777777" w:rsidR="000740F7" w:rsidRPr="009C5AEE" w:rsidRDefault="000740F7" w:rsidP="006D0A51">
            <w:pPr>
              <w:jc w:val="center"/>
              <w:rPr>
                <w:color w:val="000000"/>
                <w:sz w:val="16"/>
                <w:szCs w:val="16"/>
              </w:rPr>
            </w:pPr>
            <w:r w:rsidRPr="009C5AEE">
              <w:rPr>
                <w:color w:val="000000"/>
                <w:sz w:val="16"/>
                <w:szCs w:val="16"/>
              </w:rPr>
              <w:t>329</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2340042F" w14:textId="77777777" w:rsidR="000740F7" w:rsidRPr="009C5AEE" w:rsidRDefault="000740F7" w:rsidP="006D0A51">
            <w:pPr>
              <w:jc w:val="center"/>
              <w:rPr>
                <w:color w:val="000000"/>
                <w:sz w:val="16"/>
                <w:szCs w:val="16"/>
              </w:rPr>
            </w:pPr>
            <w:r w:rsidRPr="009C5AEE">
              <w:rPr>
                <w:color w:val="000000"/>
                <w:sz w:val="16"/>
                <w:szCs w:val="16"/>
              </w:rPr>
              <w:t>2672</w:t>
            </w:r>
          </w:p>
        </w:tc>
        <w:tc>
          <w:tcPr>
            <w:tcW w:w="951" w:type="dxa"/>
            <w:tcBorders>
              <w:top w:val="nil"/>
              <w:left w:val="nil"/>
              <w:bottom w:val="single" w:sz="4" w:space="0" w:color="auto"/>
              <w:right w:val="single" w:sz="4" w:space="0" w:color="auto"/>
            </w:tcBorders>
            <w:shd w:val="clear" w:color="auto" w:fill="auto"/>
            <w:noWrap/>
            <w:vAlign w:val="bottom"/>
          </w:tcPr>
          <w:p w14:paraId="69ED4834" w14:textId="77777777" w:rsidR="000740F7" w:rsidRPr="009C5AEE" w:rsidRDefault="000740F7" w:rsidP="006D0A51">
            <w:pPr>
              <w:jc w:val="center"/>
              <w:rPr>
                <w:color w:val="000000"/>
                <w:sz w:val="16"/>
                <w:szCs w:val="16"/>
              </w:rPr>
            </w:pPr>
            <w:r w:rsidRPr="009C5AEE">
              <w:rPr>
                <w:color w:val="000000"/>
                <w:sz w:val="16"/>
                <w:szCs w:val="16"/>
              </w:rPr>
              <w:t>2536</w:t>
            </w:r>
          </w:p>
        </w:tc>
        <w:tc>
          <w:tcPr>
            <w:tcW w:w="1124" w:type="dxa"/>
            <w:tcBorders>
              <w:top w:val="nil"/>
              <w:left w:val="nil"/>
              <w:bottom w:val="single" w:sz="4" w:space="0" w:color="auto"/>
              <w:right w:val="single" w:sz="4" w:space="0" w:color="auto"/>
            </w:tcBorders>
            <w:shd w:val="clear" w:color="auto" w:fill="auto"/>
            <w:noWrap/>
            <w:vAlign w:val="bottom"/>
          </w:tcPr>
          <w:p w14:paraId="4EF7D785" w14:textId="77777777" w:rsidR="000740F7" w:rsidRPr="009C5AEE" w:rsidRDefault="000740F7" w:rsidP="006D0A51">
            <w:pPr>
              <w:jc w:val="center"/>
              <w:rPr>
                <w:color w:val="000000"/>
                <w:sz w:val="16"/>
                <w:szCs w:val="16"/>
              </w:rPr>
            </w:pPr>
            <w:r w:rsidRPr="009C5AEE">
              <w:rPr>
                <w:color w:val="000000"/>
                <w:sz w:val="16"/>
                <w:szCs w:val="16"/>
              </w:rPr>
              <w:t>465</w:t>
            </w:r>
          </w:p>
        </w:tc>
      </w:tr>
      <w:tr w:rsidR="000740F7" w:rsidRPr="009C5AEE" w14:paraId="55C2F2AC"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36AAEAF4"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Karlovcu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56047073" w14:textId="77777777" w:rsidR="000740F7" w:rsidRPr="009C5AEE" w:rsidRDefault="000740F7" w:rsidP="006D0A51">
            <w:pPr>
              <w:jc w:val="center"/>
              <w:rPr>
                <w:color w:val="000000"/>
                <w:sz w:val="16"/>
                <w:szCs w:val="16"/>
              </w:rPr>
            </w:pPr>
            <w:r w:rsidRPr="009C5AEE">
              <w:rPr>
                <w:color w:val="000000"/>
                <w:sz w:val="16"/>
                <w:szCs w:val="16"/>
              </w:rPr>
              <w:t>786</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035AD581" w14:textId="77777777" w:rsidR="000740F7" w:rsidRPr="009C5AEE" w:rsidRDefault="000740F7" w:rsidP="006D0A51">
            <w:pPr>
              <w:jc w:val="center"/>
              <w:rPr>
                <w:color w:val="000000"/>
                <w:sz w:val="16"/>
                <w:szCs w:val="16"/>
              </w:rPr>
            </w:pPr>
            <w:r w:rsidRPr="009C5AEE">
              <w:rPr>
                <w:color w:val="000000"/>
                <w:sz w:val="16"/>
                <w:szCs w:val="16"/>
              </w:rPr>
              <w:t>6892</w:t>
            </w:r>
          </w:p>
        </w:tc>
        <w:tc>
          <w:tcPr>
            <w:tcW w:w="951" w:type="dxa"/>
            <w:tcBorders>
              <w:top w:val="nil"/>
              <w:left w:val="nil"/>
              <w:bottom w:val="single" w:sz="4" w:space="0" w:color="auto"/>
              <w:right w:val="single" w:sz="4" w:space="0" w:color="auto"/>
            </w:tcBorders>
            <w:shd w:val="clear" w:color="auto" w:fill="auto"/>
            <w:noWrap/>
            <w:vAlign w:val="bottom"/>
          </w:tcPr>
          <w:p w14:paraId="4EBD74A7" w14:textId="77777777" w:rsidR="000740F7" w:rsidRPr="009C5AEE" w:rsidRDefault="000740F7" w:rsidP="006D0A51">
            <w:pPr>
              <w:jc w:val="center"/>
              <w:rPr>
                <w:color w:val="000000"/>
                <w:sz w:val="16"/>
                <w:szCs w:val="16"/>
              </w:rPr>
            </w:pPr>
            <w:r w:rsidRPr="009C5AEE">
              <w:rPr>
                <w:color w:val="000000"/>
                <w:sz w:val="16"/>
                <w:szCs w:val="16"/>
              </w:rPr>
              <w:t>6735</w:t>
            </w:r>
          </w:p>
        </w:tc>
        <w:tc>
          <w:tcPr>
            <w:tcW w:w="1124" w:type="dxa"/>
            <w:tcBorders>
              <w:top w:val="nil"/>
              <w:left w:val="nil"/>
              <w:bottom w:val="single" w:sz="4" w:space="0" w:color="auto"/>
              <w:right w:val="single" w:sz="4" w:space="0" w:color="auto"/>
            </w:tcBorders>
            <w:shd w:val="clear" w:color="auto" w:fill="auto"/>
            <w:noWrap/>
            <w:vAlign w:val="bottom"/>
          </w:tcPr>
          <w:p w14:paraId="55310CC0" w14:textId="77777777" w:rsidR="000740F7" w:rsidRPr="009C5AEE" w:rsidRDefault="000740F7" w:rsidP="006D0A51">
            <w:pPr>
              <w:jc w:val="center"/>
              <w:rPr>
                <w:color w:val="000000"/>
                <w:sz w:val="16"/>
                <w:szCs w:val="16"/>
              </w:rPr>
            </w:pPr>
            <w:r w:rsidRPr="009C5AEE">
              <w:rPr>
                <w:color w:val="000000"/>
                <w:sz w:val="16"/>
                <w:szCs w:val="16"/>
              </w:rPr>
              <w:t>942</w:t>
            </w:r>
          </w:p>
        </w:tc>
      </w:tr>
      <w:tr w:rsidR="000740F7" w:rsidRPr="009C5AEE" w14:paraId="4B15F79C"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32E490EB"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Koprivnici</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05985873" w14:textId="77777777" w:rsidR="000740F7" w:rsidRPr="009C5AEE" w:rsidRDefault="000740F7" w:rsidP="006D0A51">
            <w:pPr>
              <w:jc w:val="center"/>
              <w:rPr>
                <w:color w:val="000000"/>
                <w:sz w:val="16"/>
                <w:szCs w:val="16"/>
              </w:rPr>
            </w:pPr>
            <w:r w:rsidRPr="009C5AEE">
              <w:rPr>
                <w:color w:val="000000"/>
                <w:sz w:val="16"/>
                <w:szCs w:val="16"/>
              </w:rPr>
              <w:t>498</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4085D56C" w14:textId="77777777" w:rsidR="000740F7" w:rsidRPr="009C5AEE" w:rsidRDefault="000740F7" w:rsidP="006D0A51">
            <w:pPr>
              <w:jc w:val="center"/>
              <w:rPr>
                <w:color w:val="000000"/>
                <w:sz w:val="16"/>
                <w:szCs w:val="16"/>
              </w:rPr>
            </w:pPr>
            <w:r w:rsidRPr="009C5AEE">
              <w:rPr>
                <w:color w:val="000000"/>
                <w:sz w:val="16"/>
                <w:szCs w:val="16"/>
              </w:rPr>
              <w:t>3170</w:t>
            </w:r>
          </w:p>
        </w:tc>
        <w:tc>
          <w:tcPr>
            <w:tcW w:w="951" w:type="dxa"/>
            <w:tcBorders>
              <w:top w:val="nil"/>
              <w:left w:val="nil"/>
              <w:bottom w:val="single" w:sz="4" w:space="0" w:color="auto"/>
              <w:right w:val="single" w:sz="4" w:space="0" w:color="auto"/>
            </w:tcBorders>
            <w:shd w:val="clear" w:color="auto" w:fill="auto"/>
            <w:noWrap/>
            <w:vAlign w:val="bottom"/>
          </w:tcPr>
          <w:p w14:paraId="69595910" w14:textId="77777777" w:rsidR="000740F7" w:rsidRPr="009C5AEE" w:rsidRDefault="000740F7" w:rsidP="006D0A51">
            <w:pPr>
              <w:jc w:val="center"/>
              <w:rPr>
                <w:color w:val="000000"/>
                <w:sz w:val="16"/>
                <w:szCs w:val="16"/>
              </w:rPr>
            </w:pPr>
            <w:r w:rsidRPr="009C5AEE">
              <w:rPr>
                <w:color w:val="000000"/>
                <w:sz w:val="16"/>
                <w:szCs w:val="16"/>
              </w:rPr>
              <w:t>3033</w:t>
            </w:r>
          </w:p>
        </w:tc>
        <w:tc>
          <w:tcPr>
            <w:tcW w:w="1124" w:type="dxa"/>
            <w:tcBorders>
              <w:top w:val="nil"/>
              <w:left w:val="nil"/>
              <w:bottom w:val="single" w:sz="4" w:space="0" w:color="auto"/>
              <w:right w:val="single" w:sz="4" w:space="0" w:color="auto"/>
            </w:tcBorders>
            <w:shd w:val="clear" w:color="auto" w:fill="auto"/>
            <w:noWrap/>
            <w:vAlign w:val="bottom"/>
          </w:tcPr>
          <w:p w14:paraId="23BAA9EF" w14:textId="77777777" w:rsidR="000740F7" w:rsidRPr="009C5AEE" w:rsidRDefault="000740F7" w:rsidP="006D0A51">
            <w:pPr>
              <w:jc w:val="center"/>
              <w:rPr>
                <w:color w:val="000000"/>
                <w:sz w:val="16"/>
                <w:szCs w:val="16"/>
              </w:rPr>
            </w:pPr>
            <w:r w:rsidRPr="009C5AEE">
              <w:rPr>
                <w:color w:val="000000"/>
                <w:sz w:val="16"/>
                <w:szCs w:val="16"/>
              </w:rPr>
              <w:t>635</w:t>
            </w:r>
          </w:p>
        </w:tc>
      </w:tr>
      <w:tr w:rsidR="000740F7" w:rsidRPr="009C5AEE" w14:paraId="3401BE44"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24C907F2"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Metkoviću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4F429472" w14:textId="77777777" w:rsidR="000740F7" w:rsidRPr="009C5AEE" w:rsidRDefault="000740F7" w:rsidP="006D0A51">
            <w:pPr>
              <w:jc w:val="center"/>
              <w:rPr>
                <w:color w:val="000000"/>
                <w:sz w:val="16"/>
                <w:szCs w:val="16"/>
              </w:rPr>
            </w:pPr>
            <w:r w:rsidRPr="009C5AEE">
              <w:rPr>
                <w:color w:val="000000"/>
                <w:sz w:val="16"/>
                <w:szCs w:val="16"/>
              </w:rPr>
              <w:t>263</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4845C8D5" w14:textId="77777777" w:rsidR="000740F7" w:rsidRPr="009C5AEE" w:rsidRDefault="000740F7" w:rsidP="006D0A51">
            <w:pPr>
              <w:jc w:val="center"/>
              <w:rPr>
                <w:color w:val="000000"/>
                <w:sz w:val="16"/>
                <w:szCs w:val="16"/>
              </w:rPr>
            </w:pPr>
            <w:r w:rsidRPr="009C5AEE">
              <w:rPr>
                <w:color w:val="000000"/>
                <w:sz w:val="16"/>
                <w:szCs w:val="16"/>
              </w:rPr>
              <w:t>1878</w:t>
            </w:r>
          </w:p>
        </w:tc>
        <w:tc>
          <w:tcPr>
            <w:tcW w:w="951" w:type="dxa"/>
            <w:tcBorders>
              <w:top w:val="nil"/>
              <w:left w:val="nil"/>
              <w:bottom w:val="single" w:sz="4" w:space="0" w:color="auto"/>
              <w:right w:val="single" w:sz="4" w:space="0" w:color="auto"/>
            </w:tcBorders>
            <w:shd w:val="clear" w:color="auto" w:fill="auto"/>
            <w:noWrap/>
            <w:vAlign w:val="bottom"/>
          </w:tcPr>
          <w:p w14:paraId="3836710A" w14:textId="77777777" w:rsidR="000740F7" w:rsidRPr="009C5AEE" w:rsidRDefault="000740F7" w:rsidP="006D0A51">
            <w:pPr>
              <w:jc w:val="center"/>
              <w:rPr>
                <w:color w:val="000000"/>
                <w:sz w:val="16"/>
                <w:szCs w:val="16"/>
              </w:rPr>
            </w:pPr>
            <w:r w:rsidRPr="009C5AEE">
              <w:rPr>
                <w:color w:val="000000"/>
                <w:sz w:val="16"/>
                <w:szCs w:val="16"/>
              </w:rPr>
              <w:t>1909</w:t>
            </w:r>
          </w:p>
        </w:tc>
        <w:tc>
          <w:tcPr>
            <w:tcW w:w="1124" w:type="dxa"/>
            <w:tcBorders>
              <w:top w:val="nil"/>
              <w:left w:val="nil"/>
              <w:bottom w:val="single" w:sz="4" w:space="0" w:color="auto"/>
              <w:right w:val="single" w:sz="4" w:space="0" w:color="auto"/>
            </w:tcBorders>
            <w:shd w:val="clear" w:color="auto" w:fill="auto"/>
            <w:noWrap/>
            <w:vAlign w:val="bottom"/>
          </w:tcPr>
          <w:p w14:paraId="1B9B686C" w14:textId="77777777" w:rsidR="000740F7" w:rsidRPr="009C5AEE" w:rsidRDefault="000740F7" w:rsidP="006D0A51">
            <w:pPr>
              <w:jc w:val="center"/>
              <w:rPr>
                <w:color w:val="000000"/>
                <w:sz w:val="16"/>
                <w:szCs w:val="16"/>
              </w:rPr>
            </w:pPr>
            <w:r w:rsidRPr="009C5AEE">
              <w:rPr>
                <w:color w:val="000000"/>
                <w:sz w:val="16"/>
                <w:szCs w:val="16"/>
              </w:rPr>
              <w:t>232</w:t>
            </w:r>
          </w:p>
        </w:tc>
      </w:tr>
      <w:tr w:rsidR="000740F7" w:rsidRPr="009C5AEE" w14:paraId="4F667C55"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41ED1809"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Novom Zagrebu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3FBFE93C" w14:textId="77777777" w:rsidR="000740F7" w:rsidRPr="009C5AEE" w:rsidRDefault="000740F7" w:rsidP="006D0A51">
            <w:pPr>
              <w:jc w:val="center"/>
              <w:rPr>
                <w:color w:val="000000"/>
                <w:sz w:val="16"/>
                <w:szCs w:val="16"/>
              </w:rPr>
            </w:pPr>
            <w:r w:rsidRPr="009C5AEE">
              <w:rPr>
                <w:color w:val="000000"/>
                <w:sz w:val="16"/>
                <w:szCs w:val="16"/>
              </w:rPr>
              <w:t>2334</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40638614" w14:textId="77777777" w:rsidR="000740F7" w:rsidRPr="009C5AEE" w:rsidRDefault="000740F7" w:rsidP="006D0A51">
            <w:pPr>
              <w:jc w:val="center"/>
              <w:rPr>
                <w:color w:val="000000"/>
                <w:sz w:val="16"/>
                <w:szCs w:val="16"/>
              </w:rPr>
            </w:pPr>
            <w:r w:rsidRPr="009C5AEE">
              <w:rPr>
                <w:color w:val="000000"/>
                <w:sz w:val="16"/>
                <w:szCs w:val="16"/>
              </w:rPr>
              <w:t>6541</w:t>
            </w:r>
          </w:p>
        </w:tc>
        <w:tc>
          <w:tcPr>
            <w:tcW w:w="951" w:type="dxa"/>
            <w:tcBorders>
              <w:top w:val="nil"/>
              <w:left w:val="nil"/>
              <w:bottom w:val="single" w:sz="4" w:space="0" w:color="auto"/>
              <w:right w:val="single" w:sz="4" w:space="0" w:color="auto"/>
            </w:tcBorders>
            <w:shd w:val="clear" w:color="auto" w:fill="auto"/>
            <w:noWrap/>
            <w:vAlign w:val="bottom"/>
          </w:tcPr>
          <w:p w14:paraId="451B7A97" w14:textId="77777777" w:rsidR="000740F7" w:rsidRPr="009C5AEE" w:rsidRDefault="000740F7" w:rsidP="006D0A51">
            <w:pPr>
              <w:jc w:val="center"/>
              <w:rPr>
                <w:color w:val="000000"/>
                <w:sz w:val="16"/>
                <w:szCs w:val="16"/>
              </w:rPr>
            </w:pPr>
            <w:r w:rsidRPr="009C5AEE">
              <w:rPr>
                <w:color w:val="000000"/>
                <w:sz w:val="16"/>
                <w:szCs w:val="16"/>
              </w:rPr>
              <w:t>6030</w:t>
            </w:r>
          </w:p>
        </w:tc>
        <w:tc>
          <w:tcPr>
            <w:tcW w:w="1124" w:type="dxa"/>
            <w:tcBorders>
              <w:top w:val="nil"/>
              <w:left w:val="nil"/>
              <w:bottom w:val="single" w:sz="4" w:space="0" w:color="auto"/>
              <w:right w:val="single" w:sz="4" w:space="0" w:color="auto"/>
            </w:tcBorders>
            <w:shd w:val="clear" w:color="auto" w:fill="auto"/>
            <w:noWrap/>
            <w:vAlign w:val="bottom"/>
          </w:tcPr>
          <w:p w14:paraId="4A3ADE14" w14:textId="77777777" w:rsidR="000740F7" w:rsidRPr="009C5AEE" w:rsidRDefault="000740F7" w:rsidP="006D0A51">
            <w:pPr>
              <w:jc w:val="center"/>
              <w:rPr>
                <w:color w:val="000000"/>
                <w:sz w:val="16"/>
                <w:szCs w:val="16"/>
              </w:rPr>
            </w:pPr>
            <w:r w:rsidRPr="009C5AEE">
              <w:rPr>
                <w:color w:val="000000"/>
                <w:sz w:val="16"/>
                <w:szCs w:val="16"/>
              </w:rPr>
              <w:t>2844</w:t>
            </w:r>
          </w:p>
        </w:tc>
      </w:tr>
      <w:tr w:rsidR="000740F7" w:rsidRPr="009C5AEE" w14:paraId="77229C2A"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29BCA544"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Osijeku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451CFA1E" w14:textId="77777777" w:rsidR="000740F7" w:rsidRPr="009C5AEE" w:rsidRDefault="000740F7" w:rsidP="006D0A51">
            <w:pPr>
              <w:jc w:val="center"/>
              <w:rPr>
                <w:color w:val="000000"/>
                <w:sz w:val="16"/>
                <w:szCs w:val="16"/>
              </w:rPr>
            </w:pPr>
            <w:r w:rsidRPr="009C5AEE">
              <w:rPr>
                <w:color w:val="000000"/>
                <w:sz w:val="16"/>
                <w:szCs w:val="16"/>
              </w:rPr>
              <w:t>1084</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03B437A1" w14:textId="63013A41" w:rsidR="000740F7" w:rsidRPr="009C5AEE" w:rsidRDefault="000740F7" w:rsidP="006D0A51">
            <w:pPr>
              <w:jc w:val="center"/>
              <w:rPr>
                <w:color w:val="000000"/>
                <w:sz w:val="16"/>
                <w:szCs w:val="16"/>
              </w:rPr>
            </w:pPr>
            <w:r w:rsidRPr="009C5AEE">
              <w:rPr>
                <w:color w:val="000000"/>
                <w:sz w:val="16"/>
                <w:szCs w:val="16"/>
              </w:rPr>
              <w:t>10</w:t>
            </w:r>
            <w:r w:rsidR="00727861" w:rsidRPr="009C5AEE">
              <w:rPr>
                <w:color w:val="000000"/>
                <w:sz w:val="16"/>
                <w:szCs w:val="16"/>
              </w:rPr>
              <w:t>.</w:t>
            </w:r>
            <w:r w:rsidRPr="009C5AEE">
              <w:rPr>
                <w:color w:val="000000"/>
                <w:sz w:val="16"/>
                <w:szCs w:val="16"/>
              </w:rPr>
              <w:t>442</w:t>
            </w:r>
          </w:p>
        </w:tc>
        <w:tc>
          <w:tcPr>
            <w:tcW w:w="951" w:type="dxa"/>
            <w:tcBorders>
              <w:top w:val="nil"/>
              <w:left w:val="nil"/>
              <w:bottom w:val="single" w:sz="4" w:space="0" w:color="auto"/>
              <w:right w:val="single" w:sz="4" w:space="0" w:color="auto"/>
            </w:tcBorders>
            <w:shd w:val="clear" w:color="auto" w:fill="auto"/>
            <w:noWrap/>
            <w:vAlign w:val="bottom"/>
          </w:tcPr>
          <w:p w14:paraId="33C6D017" w14:textId="0696D1F4" w:rsidR="000740F7" w:rsidRPr="009C5AEE" w:rsidRDefault="000740F7" w:rsidP="006D0A51">
            <w:pPr>
              <w:jc w:val="center"/>
              <w:rPr>
                <w:color w:val="000000"/>
                <w:sz w:val="16"/>
                <w:szCs w:val="16"/>
              </w:rPr>
            </w:pPr>
            <w:r w:rsidRPr="009C5AEE">
              <w:rPr>
                <w:color w:val="000000"/>
                <w:sz w:val="16"/>
                <w:szCs w:val="16"/>
              </w:rPr>
              <w:t>10</w:t>
            </w:r>
            <w:r w:rsidR="00727861" w:rsidRPr="009C5AEE">
              <w:rPr>
                <w:color w:val="000000"/>
                <w:sz w:val="16"/>
                <w:szCs w:val="16"/>
              </w:rPr>
              <w:t>.</w:t>
            </w:r>
            <w:r w:rsidRPr="009C5AEE">
              <w:rPr>
                <w:color w:val="000000"/>
                <w:sz w:val="16"/>
                <w:szCs w:val="16"/>
              </w:rPr>
              <w:t>028</w:t>
            </w:r>
          </w:p>
        </w:tc>
        <w:tc>
          <w:tcPr>
            <w:tcW w:w="1124" w:type="dxa"/>
            <w:tcBorders>
              <w:top w:val="nil"/>
              <w:left w:val="nil"/>
              <w:bottom w:val="single" w:sz="4" w:space="0" w:color="auto"/>
              <w:right w:val="single" w:sz="4" w:space="0" w:color="auto"/>
            </w:tcBorders>
            <w:shd w:val="clear" w:color="auto" w:fill="auto"/>
            <w:noWrap/>
            <w:vAlign w:val="bottom"/>
          </w:tcPr>
          <w:p w14:paraId="6D29C976" w14:textId="77777777" w:rsidR="000740F7" w:rsidRPr="009C5AEE" w:rsidRDefault="000740F7" w:rsidP="006D0A51">
            <w:pPr>
              <w:jc w:val="center"/>
              <w:rPr>
                <w:color w:val="000000"/>
                <w:sz w:val="16"/>
                <w:szCs w:val="16"/>
              </w:rPr>
            </w:pPr>
            <w:r w:rsidRPr="009C5AEE">
              <w:rPr>
                <w:color w:val="000000"/>
                <w:sz w:val="16"/>
                <w:szCs w:val="16"/>
              </w:rPr>
              <w:t>1497</w:t>
            </w:r>
          </w:p>
        </w:tc>
      </w:tr>
      <w:tr w:rsidR="000740F7" w:rsidRPr="009C5AEE" w14:paraId="0DA783FA"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05CDF178"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Pazinu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48B545F6" w14:textId="77777777" w:rsidR="000740F7" w:rsidRPr="009C5AEE" w:rsidRDefault="000740F7" w:rsidP="006D0A51">
            <w:pPr>
              <w:jc w:val="center"/>
              <w:rPr>
                <w:color w:val="000000"/>
                <w:sz w:val="16"/>
                <w:szCs w:val="16"/>
              </w:rPr>
            </w:pPr>
            <w:r w:rsidRPr="009C5AEE">
              <w:rPr>
                <w:color w:val="000000"/>
                <w:sz w:val="16"/>
                <w:szCs w:val="16"/>
              </w:rPr>
              <w:t>1014</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6D49BF23" w14:textId="77777777" w:rsidR="000740F7" w:rsidRPr="009C5AEE" w:rsidRDefault="000740F7" w:rsidP="006D0A51">
            <w:pPr>
              <w:jc w:val="center"/>
              <w:rPr>
                <w:color w:val="000000"/>
                <w:sz w:val="16"/>
                <w:szCs w:val="16"/>
              </w:rPr>
            </w:pPr>
            <w:r w:rsidRPr="009C5AEE">
              <w:rPr>
                <w:color w:val="000000"/>
                <w:sz w:val="16"/>
                <w:szCs w:val="16"/>
              </w:rPr>
              <w:t>4951</w:t>
            </w:r>
          </w:p>
        </w:tc>
        <w:tc>
          <w:tcPr>
            <w:tcW w:w="951" w:type="dxa"/>
            <w:tcBorders>
              <w:top w:val="nil"/>
              <w:left w:val="nil"/>
              <w:bottom w:val="single" w:sz="4" w:space="0" w:color="auto"/>
              <w:right w:val="single" w:sz="4" w:space="0" w:color="auto"/>
            </w:tcBorders>
            <w:shd w:val="clear" w:color="auto" w:fill="auto"/>
            <w:noWrap/>
            <w:vAlign w:val="bottom"/>
          </w:tcPr>
          <w:p w14:paraId="41369A93" w14:textId="77777777" w:rsidR="000740F7" w:rsidRPr="009C5AEE" w:rsidRDefault="000740F7" w:rsidP="006D0A51">
            <w:pPr>
              <w:jc w:val="center"/>
              <w:rPr>
                <w:color w:val="000000"/>
                <w:sz w:val="16"/>
                <w:szCs w:val="16"/>
              </w:rPr>
            </w:pPr>
            <w:r w:rsidRPr="009C5AEE">
              <w:rPr>
                <w:color w:val="000000"/>
                <w:sz w:val="16"/>
                <w:szCs w:val="16"/>
              </w:rPr>
              <w:t>4994</w:t>
            </w:r>
          </w:p>
        </w:tc>
        <w:tc>
          <w:tcPr>
            <w:tcW w:w="1124" w:type="dxa"/>
            <w:tcBorders>
              <w:top w:val="nil"/>
              <w:left w:val="nil"/>
              <w:bottom w:val="single" w:sz="4" w:space="0" w:color="auto"/>
              <w:right w:val="single" w:sz="4" w:space="0" w:color="auto"/>
            </w:tcBorders>
            <w:shd w:val="clear" w:color="auto" w:fill="auto"/>
            <w:noWrap/>
            <w:vAlign w:val="bottom"/>
          </w:tcPr>
          <w:p w14:paraId="66D4D2CA" w14:textId="77777777" w:rsidR="000740F7" w:rsidRPr="009C5AEE" w:rsidRDefault="000740F7" w:rsidP="006D0A51">
            <w:pPr>
              <w:jc w:val="center"/>
              <w:rPr>
                <w:color w:val="000000"/>
                <w:sz w:val="16"/>
                <w:szCs w:val="16"/>
              </w:rPr>
            </w:pPr>
            <w:r w:rsidRPr="009C5AEE">
              <w:rPr>
                <w:color w:val="000000"/>
                <w:sz w:val="16"/>
                <w:szCs w:val="16"/>
              </w:rPr>
              <w:t>971</w:t>
            </w:r>
          </w:p>
        </w:tc>
      </w:tr>
      <w:tr w:rsidR="000740F7" w:rsidRPr="009C5AEE" w14:paraId="47D0366F"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6E7EB335"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Požegi</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0DADEA99" w14:textId="77777777" w:rsidR="000740F7" w:rsidRPr="009C5AEE" w:rsidRDefault="000740F7" w:rsidP="006D0A51">
            <w:pPr>
              <w:jc w:val="center"/>
              <w:rPr>
                <w:color w:val="000000"/>
                <w:sz w:val="16"/>
                <w:szCs w:val="16"/>
              </w:rPr>
            </w:pPr>
            <w:r w:rsidRPr="009C5AEE">
              <w:rPr>
                <w:color w:val="000000"/>
                <w:sz w:val="16"/>
                <w:szCs w:val="16"/>
              </w:rPr>
              <w:t>236</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640DAA40" w14:textId="77777777" w:rsidR="000740F7" w:rsidRPr="009C5AEE" w:rsidRDefault="000740F7" w:rsidP="006D0A51">
            <w:pPr>
              <w:jc w:val="center"/>
              <w:rPr>
                <w:color w:val="000000"/>
                <w:sz w:val="16"/>
                <w:szCs w:val="16"/>
              </w:rPr>
            </w:pPr>
            <w:r w:rsidRPr="009C5AEE">
              <w:rPr>
                <w:color w:val="000000"/>
                <w:sz w:val="16"/>
                <w:szCs w:val="16"/>
              </w:rPr>
              <w:t>2243</w:t>
            </w:r>
          </w:p>
        </w:tc>
        <w:tc>
          <w:tcPr>
            <w:tcW w:w="951" w:type="dxa"/>
            <w:tcBorders>
              <w:top w:val="nil"/>
              <w:left w:val="nil"/>
              <w:bottom w:val="single" w:sz="4" w:space="0" w:color="auto"/>
              <w:right w:val="single" w:sz="4" w:space="0" w:color="auto"/>
            </w:tcBorders>
            <w:shd w:val="clear" w:color="auto" w:fill="auto"/>
            <w:noWrap/>
            <w:vAlign w:val="bottom"/>
          </w:tcPr>
          <w:p w14:paraId="7B493BB4" w14:textId="77777777" w:rsidR="000740F7" w:rsidRPr="009C5AEE" w:rsidRDefault="000740F7" w:rsidP="006D0A51">
            <w:pPr>
              <w:jc w:val="center"/>
              <w:rPr>
                <w:color w:val="000000"/>
                <w:sz w:val="16"/>
                <w:szCs w:val="16"/>
              </w:rPr>
            </w:pPr>
            <w:r w:rsidRPr="009C5AEE">
              <w:rPr>
                <w:color w:val="000000"/>
                <w:sz w:val="16"/>
                <w:szCs w:val="16"/>
              </w:rPr>
              <w:t>2075</w:t>
            </w:r>
          </w:p>
        </w:tc>
        <w:tc>
          <w:tcPr>
            <w:tcW w:w="1124" w:type="dxa"/>
            <w:tcBorders>
              <w:top w:val="nil"/>
              <w:left w:val="nil"/>
              <w:bottom w:val="single" w:sz="4" w:space="0" w:color="auto"/>
              <w:right w:val="single" w:sz="4" w:space="0" w:color="auto"/>
            </w:tcBorders>
            <w:shd w:val="clear" w:color="auto" w:fill="auto"/>
            <w:noWrap/>
            <w:vAlign w:val="bottom"/>
          </w:tcPr>
          <w:p w14:paraId="43845C28" w14:textId="77777777" w:rsidR="000740F7" w:rsidRPr="009C5AEE" w:rsidRDefault="000740F7" w:rsidP="006D0A51">
            <w:pPr>
              <w:jc w:val="center"/>
              <w:rPr>
                <w:color w:val="000000"/>
                <w:sz w:val="16"/>
                <w:szCs w:val="16"/>
              </w:rPr>
            </w:pPr>
            <w:r w:rsidRPr="009C5AEE">
              <w:rPr>
                <w:color w:val="000000"/>
                <w:sz w:val="16"/>
                <w:szCs w:val="16"/>
              </w:rPr>
              <w:t>404</w:t>
            </w:r>
          </w:p>
        </w:tc>
      </w:tr>
      <w:tr w:rsidR="000740F7" w:rsidRPr="009C5AEE" w14:paraId="32FE48CC"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19C51A3E"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Puli-Pola</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398C6ECD" w14:textId="77777777" w:rsidR="000740F7" w:rsidRPr="009C5AEE" w:rsidRDefault="000740F7" w:rsidP="006D0A51">
            <w:pPr>
              <w:jc w:val="center"/>
              <w:rPr>
                <w:color w:val="000000"/>
                <w:sz w:val="16"/>
                <w:szCs w:val="16"/>
              </w:rPr>
            </w:pPr>
            <w:r w:rsidRPr="009C5AEE">
              <w:rPr>
                <w:color w:val="000000"/>
                <w:sz w:val="16"/>
                <w:szCs w:val="16"/>
              </w:rPr>
              <w:t>1478</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5B8383BD" w14:textId="77777777" w:rsidR="000740F7" w:rsidRPr="009C5AEE" w:rsidRDefault="000740F7" w:rsidP="006D0A51">
            <w:pPr>
              <w:jc w:val="center"/>
              <w:rPr>
                <w:color w:val="000000"/>
                <w:sz w:val="16"/>
                <w:szCs w:val="16"/>
              </w:rPr>
            </w:pPr>
            <w:r w:rsidRPr="009C5AEE">
              <w:rPr>
                <w:color w:val="000000"/>
                <w:sz w:val="16"/>
                <w:szCs w:val="16"/>
              </w:rPr>
              <w:t>7102</w:t>
            </w:r>
          </w:p>
        </w:tc>
        <w:tc>
          <w:tcPr>
            <w:tcW w:w="951" w:type="dxa"/>
            <w:tcBorders>
              <w:top w:val="nil"/>
              <w:left w:val="nil"/>
              <w:bottom w:val="single" w:sz="4" w:space="0" w:color="auto"/>
              <w:right w:val="single" w:sz="4" w:space="0" w:color="auto"/>
            </w:tcBorders>
            <w:shd w:val="clear" w:color="auto" w:fill="auto"/>
            <w:noWrap/>
            <w:vAlign w:val="bottom"/>
          </w:tcPr>
          <w:p w14:paraId="5F61DE9F" w14:textId="77777777" w:rsidR="000740F7" w:rsidRPr="009C5AEE" w:rsidRDefault="000740F7" w:rsidP="006D0A51">
            <w:pPr>
              <w:jc w:val="center"/>
              <w:rPr>
                <w:color w:val="000000"/>
                <w:sz w:val="16"/>
                <w:szCs w:val="16"/>
              </w:rPr>
            </w:pPr>
            <w:r w:rsidRPr="009C5AEE">
              <w:rPr>
                <w:color w:val="000000"/>
                <w:sz w:val="16"/>
                <w:szCs w:val="16"/>
              </w:rPr>
              <w:t>7006</w:t>
            </w:r>
          </w:p>
        </w:tc>
        <w:tc>
          <w:tcPr>
            <w:tcW w:w="1124" w:type="dxa"/>
            <w:tcBorders>
              <w:top w:val="nil"/>
              <w:left w:val="nil"/>
              <w:bottom w:val="single" w:sz="4" w:space="0" w:color="auto"/>
              <w:right w:val="single" w:sz="4" w:space="0" w:color="auto"/>
            </w:tcBorders>
            <w:shd w:val="clear" w:color="auto" w:fill="auto"/>
            <w:noWrap/>
            <w:vAlign w:val="bottom"/>
          </w:tcPr>
          <w:p w14:paraId="48A6685B" w14:textId="77777777" w:rsidR="000740F7" w:rsidRPr="009C5AEE" w:rsidRDefault="000740F7" w:rsidP="006D0A51">
            <w:pPr>
              <w:jc w:val="center"/>
              <w:rPr>
                <w:color w:val="000000"/>
                <w:sz w:val="16"/>
                <w:szCs w:val="16"/>
              </w:rPr>
            </w:pPr>
            <w:r w:rsidRPr="009C5AEE">
              <w:rPr>
                <w:color w:val="000000"/>
                <w:sz w:val="16"/>
                <w:szCs w:val="16"/>
              </w:rPr>
              <w:t>1574</w:t>
            </w:r>
          </w:p>
        </w:tc>
      </w:tr>
      <w:tr w:rsidR="000740F7" w:rsidRPr="009C5AEE" w14:paraId="5257AABD"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603B7680"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Rijeci</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643DF5C6" w14:textId="77777777" w:rsidR="000740F7" w:rsidRPr="009C5AEE" w:rsidRDefault="000740F7" w:rsidP="006D0A51">
            <w:pPr>
              <w:jc w:val="center"/>
              <w:rPr>
                <w:color w:val="000000"/>
                <w:sz w:val="16"/>
                <w:szCs w:val="16"/>
              </w:rPr>
            </w:pPr>
            <w:r w:rsidRPr="009C5AEE">
              <w:rPr>
                <w:color w:val="000000"/>
                <w:sz w:val="16"/>
                <w:szCs w:val="16"/>
              </w:rPr>
              <w:t>2428</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380A8EA3" w14:textId="65AF0670" w:rsidR="000740F7" w:rsidRPr="009C5AEE" w:rsidRDefault="000740F7" w:rsidP="006D0A51">
            <w:pPr>
              <w:jc w:val="center"/>
              <w:rPr>
                <w:color w:val="000000"/>
                <w:sz w:val="16"/>
                <w:szCs w:val="16"/>
              </w:rPr>
            </w:pPr>
            <w:r w:rsidRPr="009C5AEE">
              <w:rPr>
                <w:color w:val="000000"/>
                <w:sz w:val="16"/>
                <w:szCs w:val="16"/>
              </w:rPr>
              <w:t>12</w:t>
            </w:r>
            <w:r w:rsidR="00727861" w:rsidRPr="009C5AEE">
              <w:rPr>
                <w:color w:val="000000"/>
                <w:sz w:val="16"/>
                <w:szCs w:val="16"/>
              </w:rPr>
              <w:t>.</w:t>
            </w:r>
            <w:r w:rsidRPr="009C5AEE">
              <w:rPr>
                <w:color w:val="000000"/>
                <w:sz w:val="16"/>
                <w:szCs w:val="16"/>
              </w:rPr>
              <w:t>537</w:t>
            </w:r>
          </w:p>
        </w:tc>
        <w:tc>
          <w:tcPr>
            <w:tcW w:w="951" w:type="dxa"/>
            <w:tcBorders>
              <w:top w:val="nil"/>
              <w:left w:val="nil"/>
              <w:bottom w:val="single" w:sz="4" w:space="0" w:color="auto"/>
              <w:right w:val="single" w:sz="4" w:space="0" w:color="auto"/>
            </w:tcBorders>
            <w:shd w:val="clear" w:color="auto" w:fill="auto"/>
            <w:noWrap/>
            <w:vAlign w:val="bottom"/>
          </w:tcPr>
          <w:p w14:paraId="080ED7AA" w14:textId="50263AEA" w:rsidR="000740F7" w:rsidRPr="009C5AEE" w:rsidRDefault="000740F7" w:rsidP="006D0A51">
            <w:pPr>
              <w:jc w:val="center"/>
              <w:rPr>
                <w:color w:val="000000"/>
                <w:sz w:val="16"/>
                <w:szCs w:val="16"/>
              </w:rPr>
            </w:pPr>
            <w:r w:rsidRPr="009C5AEE">
              <w:rPr>
                <w:color w:val="000000"/>
                <w:sz w:val="16"/>
                <w:szCs w:val="16"/>
              </w:rPr>
              <w:t>12</w:t>
            </w:r>
            <w:r w:rsidR="00727861" w:rsidRPr="009C5AEE">
              <w:rPr>
                <w:color w:val="000000"/>
                <w:sz w:val="16"/>
                <w:szCs w:val="16"/>
              </w:rPr>
              <w:t>.</w:t>
            </w:r>
            <w:r w:rsidRPr="009C5AEE">
              <w:rPr>
                <w:color w:val="000000"/>
                <w:sz w:val="16"/>
                <w:szCs w:val="16"/>
              </w:rPr>
              <w:t>499</w:t>
            </w:r>
          </w:p>
        </w:tc>
        <w:tc>
          <w:tcPr>
            <w:tcW w:w="1124" w:type="dxa"/>
            <w:tcBorders>
              <w:top w:val="nil"/>
              <w:left w:val="nil"/>
              <w:bottom w:val="single" w:sz="4" w:space="0" w:color="auto"/>
              <w:right w:val="single" w:sz="4" w:space="0" w:color="auto"/>
            </w:tcBorders>
            <w:shd w:val="clear" w:color="auto" w:fill="auto"/>
            <w:noWrap/>
            <w:vAlign w:val="bottom"/>
          </w:tcPr>
          <w:p w14:paraId="3C743D12" w14:textId="77777777" w:rsidR="000740F7" w:rsidRPr="009C5AEE" w:rsidRDefault="000740F7" w:rsidP="006D0A51">
            <w:pPr>
              <w:jc w:val="center"/>
              <w:rPr>
                <w:color w:val="000000"/>
                <w:sz w:val="16"/>
                <w:szCs w:val="16"/>
              </w:rPr>
            </w:pPr>
            <w:r w:rsidRPr="009C5AEE">
              <w:rPr>
                <w:color w:val="000000"/>
                <w:sz w:val="16"/>
                <w:szCs w:val="16"/>
              </w:rPr>
              <w:t>2465</w:t>
            </w:r>
          </w:p>
        </w:tc>
      </w:tr>
      <w:tr w:rsidR="000740F7" w:rsidRPr="009C5AEE" w14:paraId="3BA4F8C9"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083DEE47"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Slavonskom Brodu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4AEAD68F" w14:textId="77777777" w:rsidR="000740F7" w:rsidRPr="009C5AEE" w:rsidRDefault="000740F7" w:rsidP="006D0A51">
            <w:pPr>
              <w:jc w:val="center"/>
              <w:rPr>
                <w:color w:val="000000"/>
                <w:sz w:val="16"/>
                <w:szCs w:val="16"/>
              </w:rPr>
            </w:pPr>
            <w:r w:rsidRPr="009C5AEE">
              <w:rPr>
                <w:color w:val="000000"/>
                <w:sz w:val="16"/>
                <w:szCs w:val="16"/>
              </w:rPr>
              <w:t>727</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2E3611B4" w14:textId="77777777" w:rsidR="000740F7" w:rsidRPr="009C5AEE" w:rsidRDefault="000740F7" w:rsidP="006D0A51">
            <w:pPr>
              <w:jc w:val="center"/>
              <w:rPr>
                <w:color w:val="000000"/>
                <w:sz w:val="16"/>
                <w:szCs w:val="16"/>
              </w:rPr>
            </w:pPr>
            <w:r w:rsidRPr="009C5AEE">
              <w:rPr>
                <w:color w:val="000000"/>
                <w:sz w:val="16"/>
                <w:szCs w:val="16"/>
              </w:rPr>
              <w:t>5515</w:t>
            </w:r>
          </w:p>
        </w:tc>
        <w:tc>
          <w:tcPr>
            <w:tcW w:w="951" w:type="dxa"/>
            <w:tcBorders>
              <w:top w:val="nil"/>
              <w:left w:val="nil"/>
              <w:bottom w:val="single" w:sz="4" w:space="0" w:color="auto"/>
              <w:right w:val="single" w:sz="4" w:space="0" w:color="auto"/>
            </w:tcBorders>
            <w:shd w:val="clear" w:color="auto" w:fill="auto"/>
            <w:noWrap/>
            <w:vAlign w:val="bottom"/>
          </w:tcPr>
          <w:p w14:paraId="6B51F37D" w14:textId="77777777" w:rsidR="000740F7" w:rsidRPr="009C5AEE" w:rsidRDefault="000740F7" w:rsidP="006D0A51">
            <w:pPr>
              <w:jc w:val="center"/>
              <w:rPr>
                <w:color w:val="000000"/>
                <w:sz w:val="16"/>
                <w:szCs w:val="16"/>
              </w:rPr>
            </w:pPr>
            <w:r w:rsidRPr="009C5AEE">
              <w:rPr>
                <w:color w:val="000000"/>
                <w:sz w:val="16"/>
                <w:szCs w:val="16"/>
              </w:rPr>
              <w:t>5482</w:t>
            </w:r>
          </w:p>
        </w:tc>
        <w:tc>
          <w:tcPr>
            <w:tcW w:w="1124" w:type="dxa"/>
            <w:tcBorders>
              <w:top w:val="nil"/>
              <w:left w:val="nil"/>
              <w:bottom w:val="single" w:sz="4" w:space="0" w:color="auto"/>
              <w:right w:val="single" w:sz="4" w:space="0" w:color="auto"/>
            </w:tcBorders>
            <w:shd w:val="clear" w:color="auto" w:fill="auto"/>
            <w:noWrap/>
            <w:vAlign w:val="bottom"/>
          </w:tcPr>
          <w:p w14:paraId="41F6FF17" w14:textId="77777777" w:rsidR="000740F7" w:rsidRPr="009C5AEE" w:rsidRDefault="000740F7" w:rsidP="006D0A51">
            <w:pPr>
              <w:jc w:val="center"/>
              <w:rPr>
                <w:color w:val="000000"/>
                <w:sz w:val="16"/>
                <w:szCs w:val="16"/>
              </w:rPr>
            </w:pPr>
            <w:r w:rsidRPr="009C5AEE">
              <w:rPr>
                <w:color w:val="000000"/>
                <w:sz w:val="16"/>
                <w:szCs w:val="16"/>
              </w:rPr>
              <w:t>760</w:t>
            </w:r>
          </w:p>
        </w:tc>
      </w:tr>
      <w:tr w:rsidR="000740F7" w:rsidRPr="009C5AEE" w14:paraId="2C139033"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42E91248"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Sisku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026F3724" w14:textId="77777777" w:rsidR="000740F7" w:rsidRPr="009C5AEE" w:rsidRDefault="000740F7" w:rsidP="006D0A51">
            <w:pPr>
              <w:jc w:val="center"/>
              <w:rPr>
                <w:color w:val="000000"/>
                <w:sz w:val="16"/>
                <w:szCs w:val="16"/>
              </w:rPr>
            </w:pPr>
            <w:r w:rsidRPr="009C5AEE">
              <w:rPr>
                <w:color w:val="000000"/>
                <w:sz w:val="16"/>
                <w:szCs w:val="16"/>
              </w:rPr>
              <w:t>1732</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7FA31187" w14:textId="77777777" w:rsidR="000740F7" w:rsidRPr="009C5AEE" w:rsidRDefault="000740F7" w:rsidP="006D0A51">
            <w:pPr>
              <w:jc w:val="center"/>
              <w:rPr>
                <w:color w:val="000000"/>
                <w:sz w:val="16"/>
                <w:szCs w:val="16"/>
              </w:rPr>
            </w:pPr>
            <w:r w:rsidRPr="009C5AEE">
              <w:rPr>
                <w:color w:val="000000"/>
                <w:sz w:val="16"/>
                <w:szCs w:val="16"/>
              </w:rPr>
              <w:t>6678</w:t>
            </w:r>
          </w:p>
        </w:tc>
        <w:tc>
          <w:tcPr>
            <w:tcW w:w="951" w:type="dxa"/>
            <w:tcBorders>
              <w:top w:val="nil"/>
              <w:left w:val="nil"/>
              <w:bottom w:val="single" w:sz="4" w:space="0" w:color="auto"/>
              <w:right w:val="single" w:sz="4" w:space="0" w:color="auto"/>
            </w:tcBorders>
            <w:shd w:val="clear" w:color="auto" w:fill="auto"/>
            <w:noWrap/>
            <w:vAlign w:val="bottom"/>
          </w:tcPr>
          <w:p w14:paraId="2DE463C1" w14:textId="77777777" w:rsidR="000740F7" w:rsidRPr="009C5AEE" w:rsidRDefault="000740F7" w:rsidP="006D0A51">
            <w:pPr>
              <w:jc w:val="center"/>
              <w:rPr>
                <w:color w:val="000000"/>
                <w:sz w:val="16"/>
                <w:szCs w:val="16"/>
              </w:rPr>
            </w:pPr>
            <w:r w:rsidRPr="009C5AEE">
              <w:rPr>
                <w:color w:val="000000"/>
                <w:sz w:val="16"/>
                <w:szCs w:val="16"/>
              </w:rPr>
              <w:t>6368</w:t>
            </w:r>
          </w:p>
        </w:tc>
        <w:tc>
          <w:tcPr>
            <w:tcW w:w="1124" w:type="dxa"/>
            <w:tcBorders>
              <w:top w:val="nil"/>
              <w:left w:val="nil"/>
              <w:bottom w:val="single" w:sz="4" w:space="0" w:color="auto"/>
              <w:right w:val="single" w:sz="4" w:space="0" w:color="auto"/>
            </w:tcBorders>
            <w:shd w:val="clear" w:color="auto" w:fill="auto"/>
            <w:noWrap/>
            <w:vAlign w:val="bottom"/>
          </w:tcPr>
          <w:p w14:paraId="2DD3A953" w14:textId="77777777" w:rsidR="000740F7" w:rsidRPr="009C5AEE" w:rsidRDefault="000740F7" w:rsidP="006D0A51">
            <w:pPr>
              <w:jc w:val="center"/>
              <w:rPr>
                <w:color w:val="000000"/>
                <w:sz w:val="16"/>
                <w:szCs w:val="16"/>
              </w:rPr>
            </w:pPr>
            <w:r w:rsidRPr="009C5AEE">
              <w:rPr>
                <w:color w:val="000000"/>
                <w:sz w:val="16"/>
                <w:szCs w:val="16"/>
              </w:rPr>
              <w:t>2041</w:t>
            </w:r>
          </w:p>
        </w:tc>
      </w:tr>
      <w:tr w:rsidR="000740F7" w:rsidRPr="009C5AEE" w14:paraId="1DDC4955"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058FAD1A"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Splitu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73F0773D" w14:textId="77777777" w:rsidR="000740F7" w:rsidRPr="009C5AEE" w:rsidRDefault="000740F7" w:rsidP="006D0A51">
            <w:pPr>
              <w:jc w:val="center"/>
              <w:rPr>
                <w:color w:val="000000"/>
                <w:sz w:val="16"/>
                <w:szCs w:val="16"/>
              </w:rPr>
            </w:pPr>
            <w:r w:rsidRPr="009C5AEE">
              <w:rPr>
                <w:color w:val="000000"/>
                <w:sz w:val="16"/>
                <w:szCs w:val="16"/>
              </w:rPr>
              <w:t>3474</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6B1B5339" w14:textId="7C4A798E" w:rsidR="000740F7" w:rsidRPr="009C5AEE" w:rsidRDefault="000740F7" w:rsidP="006D0A51">
            <w:pPr>
              <w:jc w:val="center"/>
              <w:rPr>
                <w:color w:val="000000"/>
                <w:sz w:val="16"/>
                <w:szCs w:val="16"/>
              </w:rPr>
            </w:pPr>
            <w:r w:rsidRPr="009C5AEE">
              <w:rPr>
                <w:color w:val="000000"/>
                <w:sz w:val="16"/>
                <w:szCs w:val="16"/>
              </w:rPr>
              <w:t>16</w:t>
            </w:r>
            <w:r w:rsidR="00727861" w:rsidRPr="009C5AEE">
              <w:rPr>
                <w:color w:val="000000"/>
                <w:sz w:val="16"/>
                <w:szCs w:val="16"/>
              </w:rPr>
              <w:t>.</w:t>
            </w:r>
            <w:r w:rsidRPr="009C5AEE">
              <w:rPr>
                <w:color w:val="000000"/>
                <w:sz w:val="16"/>
                <w:szCs w:val="16"/>
              </w:rPr>
              <w:t>538</w:t>
            </w:r>
          </w:p>
        </w:tc>
        <w:tc>
          <w:tcPr>
            <w:tcW w:w="951" w:type="dxa"/>
            <w:tcBorders>
              <w:top w:val="nil"/>
              <w:left w:val="nil"/>
              <w:bottom w:val="single" w:sz="4" w:space="0" w:color="auto"/>
              <w:right w:val="single" w:sz="4" w:space="0" w:color="auto"/>
            </w:tcBorders>
            <w:shd w:val="clear" w:color="auto" w:fill="auto"/>
            <w:noWrap/>
            <w:vAlign w:val="bottom"/>
          </w:tcPr>
          <w:p w14:paraId="1254997C" w14:textId="5556C182" w:rsidR="000740F7" w:rsidRPr="009C5AEE" w:rsidRDefault="000740F7" w:rsidP="006D0A51">
            <w:pPr>
              <w:jc w:val="center"/>
              <w:rPr>
                <w:color w:val="000000"/>
                <w:sz w:val="16"/>
                <w:szCs w:val="16"/>
              </w:rPr>
            </w:pPr>
            <w:r w:rsidRPr="009C5AEE">
              <w:rPr>
                <w:color w:val="000000"/>
                <w:sz w:val="16"/>
                <w:szCs w:val="16"/>
              </w:rPr>
              <w:t>15</w:t>
            </w:r>
            <w:r w:rsidR="00727861" w:rsidRPr="009C5AEE">
              <w:rPr>
                <w:color w:val="000000"/>
                <w:sz w:val="16"/>
                <w:szCs w:val="16"/>
              </w:rPr>
              <w:t>.</w:t>
            </w:r>
            <w:r w:rsidRPr="009C5AEE">
              <w:rPr>
                <w:color w:val="000000"/>
                <w:sz w:val="16"/>
                <w:szCs w:val="16"/>
              </w:rPr>
              <w:t>842</w:t>
            </w:r>
          </w:p>
        </w:tc>
        <w:tc>
          <w:tcPr>
            <w:tcW w:w="1124" w:type="dxa"/>
            <w:tcBorders>
              <w:top w:val="nil"/>
              <w:left w:val="nil"/>
              <w:bottom w:val="single" w:sz="4" w:space="0" w:color="auto"/>
              <w:right w:val="single" w:sz="4" w:space="0" w:color="auto"/>
            </w:tcBorders>
            <w:shd w:val="clear" w:color="auto" w:fill="auto"/>
            <w:noWrap/>
            <w:vAlign w:val="bottom"/>
          </w:tcPr>
          <w:p w14:paraId="5290F38D" w14:textId="77777777" w:rsidR="000740F7" w:rsidRPr="009C5AEE" w:rsidRDefault="000740F7" w:rsidP="006D0A51">
            <w:pPr>
              <w:jc w:val="center"/>
              <w:rPr>
                <w:color w:val="000000"/>
                <w:sz w:val="16"/>
                <w:szCs w:val="16"/>
              </w:rPr>
            </w:pPr>
            <w:r w:rsidRPr="009C5AEE">
              <w:rPr>
                <w:color w:val="000000"/>
                <w:sz w:val="16"/>
                <w:szCs w:val="16"/>
              </w:rPr>
              <w:t>4170</w:t>
            </w:r>
          </w:p>
        </w:tc>
      </w:tr>
      <w:tr w:rsidR="000740F7" w:rsidRPr="009C5AEE" w14:paraId="412F4ADE"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26F604F1"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Šibeniku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47285AD5" w14:textId="77777777" w:rsidR="000740F7" w:rsidRPr="009C5AEE" w:rsidRDefault="000740F7" w:rsidP="006D0A51">
            <w:pPr>
              <w:jc w:val="center"/>
              <w:rPr>
                <w:color w:val="000000"/>
                <w:sz w:val="16"/>
                <w:szCs w:val="16"/>
              </w:rPr>
            </w:pPr>
            <w:r w:rsidRPr="009C5AEE">
              <w:rPr>
                <w:color w:val="000000"/>
                <w:sz w:val="16"/>
                <w:szCs w:val="16"/>
              </w:rPr>
              <w:t>1148</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72316994" w14:textId="77777777" w:rsidR="000740F7" w:rsidRPr="009C5AEE" w:rsidRDefault="000740F7" w:rsidP="006D0A51">
            <w:pPr>
              <w:jc w:val="center"/>
              <w:rPr>
                <w:color w:val="000000"/>
                <w:sz w:val="16"/>
                <w:szCs w:val="16"/>
              </w:rPr>
            </w:pPr>
            <w:r w:rsidRPr="009C5AEE">
              <w:rPr>
                <w:color w:val="000000"/>
                <w:sz w:val="16"/>
                <w:szCs w:val="16"/>
              </w:rPr>
              <w:t>5952</w:t>
            </w:r>
          </w:p>
        </w:tc>
        <w:tc>
          <w:tcPr>
            <w:tcW w:w="951" w:type="dxa"/>
            <w:tcBorders>
              <w:top w:val="nil"/>
              <w:left w:val="nil"/>
              <w:bottom w:val="single" w:sz="4" w:space="0" w:color="auto"/>
              <w:right w:val="single" w:sz="4" w:space="0" w:color="auto"/>
            </w:tcBorders>
            <w:shd w:val="clear" w:color="auto" w:fill="auto"/>
            <w:noWrap/>
            <w:vAlign w:val="bottom"/>
          </w:tcPr>
          <w:p w14:paraId="6CAC488D" w14:textId="77777777" w:rsidR="000740F7" w:rsidRPr="009C5AEE" w:rsidRDefault="000740F7" w:rsidP="006D0A51">
            <w:pPr>
              <w:jc w:val="center"/>
              <w:rPr>
                <w:color w:val="000000"/>
                <w:sz w:val="16"/>
                <w:szCs w:val="16"/>
              </w:rPr>
            </w:pPr>
            <w:r w:rsidRPr="009C5AEE">
              <w:rPr>
                <w:color w:val="000000"/>
                <w:sz w:val="16"/>
                <w:szCs w:val="16"/>
              </w:rPr>
              <w:t>6066</w:t>
            </w:r>
          </w:p>
        </w:tc>
        <w:tc>
          <w:tcPr>
            <w:tcW w:w="1124" w:type="dxa"/>
            <w:tcBorders>
              <w:top w:val="nil"/>
              <w:left w:val="nil"/>
              <w:bottom w:val="single" w:sz="4" w:space="0" w:color="auto"/>
              <w:right w:val="single" w:sz="4" w:space="0" w:color="auto"/>
            </w:tcBorders>
            <w:shd w:val="clear" w:color="auto" w:fill="auto"/>
            <w:noWrap/>
            <w:vAlign w:val="bottom"/>
          </w:tcPr>
          <w:p w14:paraId="286837BE" w14:textId="77777777" w:rsidR="000740F7" w:rsidRPr="009C5AEE" w:rsidRDefault="000740F7" w:rsidP="006D0A51">
            <w:pPr>
              <w:jc w:val="center"/>
              <w:rPr>
                <w:color w:val="000000"/>
                <w:sz w:val="16"/>
                <w:szCs w:val="16"/>
              </w:rPr>
            </w:pPr>
            <w:r w:rsidRPr="009C5AEE">
              <w:rPr>
                <w:color w:val="000000"/>
                <w:sz w:val="16"/>
                <w:szCs w:val="16"/>
              </w:rPr>
              <w:t>1031</w:t>
            </w:r>
          </w:p>
        </w:tc>
      </w:tr>
      <w:tr w:rsidR="000740F7" w:rsidRPr="009C5AEE" w14:paraId="4D482CA6"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4E57EE21"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Varaždinu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1E574CC5" w14:textId="77777777" w:rsidR="000740F7" w:rsidRPr="009C5AEE" w:rsidRDefault="000740F7" w:rsidP="006D0A51">
            <w:pPr>
              <w:jc w:val="center"/>
              <w:rPr>
                <w:color w:val="000000"/>
                <w:sz w:val="16"/>
                <w:szCs w:val="16"/>
              </w:rPr>
            </w:pPr>
            <w:r w:rsidRPr="009C5AEE">
              <w:rPr>
                <w:color w:val="000000"/>
                <w:sz w:val="16"/>
                <w:szCs w:val="16"/>
              </w:rPr>
              <w:t>851</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1628E0CF" w14:textId="77777777" w:rsidR="000740F7" w:rsidRPr="009C5AEE" w:rsidRDefault="000740F7" w:rsidP="006D0A51">
            <w:pPr>
              <w:jc w:val="center"/>
              <w:rPr>
                <w:color w:val="000000"/>
                <w:sz w:val="16"/>
                <w:szCs w:val="16"/>
              </w:rPr>
            </w:pPr>
            <w:r w:rsidRPr="009C5AEE">
              <w:rPr>
                <w:color w:val="000000"/>
                <w:sz w:val="16"/>
                <w:szCs w:val="16"/>
              </w:rPr>
              <w:t>5546</w:t>
            </w:r>
          </w:p>
        </w:tc>
        <w:tc>
          <w:tcPr>
            <w:tcW w:w="951" w:type="dxa"/>
            <w:tcBorders>
              <w:top w:val="nil"/>
              <w:left w:val="nil"/>
              <w:bottom w:val="single" w:sz="4" w:space="0" w:color="auto"/>
              <w:right w:val="single" w:sz="4" w:space="0" w:color="auto"/>
            </w:tcBorders>
            <w:shd w:val="clear" w:color="auto" w:fill="auto"/>
            <w:noWrap/>
            <w:vAlign w:val="bottom"/>
          </w:tcPr>
          <w:p w14:paraId="3945245D" w14:textId="77777777" w:rsidR="000740F7" w:rsidRPr="009C5AEE" w:rsidRDefault="000740F7" w:rsidP="006D0A51">
            <w:pPr>
              <w:jc w:val="center"/>
              <w:rPr>
                <w:color w:val="000000"/>
                <w:sz w:val="16"/>
                <w:szCs w:val="16"/>
              </w:rPr>
            </w:pPr>
            <w:r w:rsidRPr="009C5AEE">
              <w:rPr>
                <w:color w:val="000000"/>
                <w:sz w:val="16"/>
                <w:szCs w:val="16"/>
              </w:rPr>
              <w:t>5347</w:t>
            </w:r>
          </w:p>
        </w:tc>
        <w:tc>
          <w:tcPr>
            <w:tcW w:w="1124" w:type="dxa"/>
            <w:tcBorders>
              <w:top w:val="nil"/>
              <w:left w:val="nil"/>
              <w:bottom w:val="single" w:sz="4" w:space="0" w:color="auto"/>
              <w:right w:val="single" w:sz="4" w:space="0" w:color="auto"/>
            </w:tcBorders>
            <w:shd w:val="clear" w:color="auto" w:fill="auto"/>
            <w:noWrap/>
            <w:vAlign w:val="bottom"/>
          </w:tcPr>
          <w:p w14:paraId="2C90E259" w14:textId="77777777" w:rsidR="000740F7" w:rsidRPr="009C5AEE" w:rsidRDefault="000740F7" w:rsidP="006D0A51">
            <w:pPr>
              <w:jc w:val="center"/>
              <w:rPr>
                <w:color w:val="000000"/>
                <w:sz w:val="16"/>
                <w:szCs w:val="16"/>
              </w:rPr>
            </w:pPr>
            <w:r w:rsidRPr="009C5AEE">
              <w:rPr>
                <w:color w:val="000000"/>
                <w:sz w:val="16"/>
                <w:szCs w:val="16"/>
              </w:rPr>
              <w:t>1049</w:t>
            </w:r>
          </w:p>
        </w:tc>
      </w:tr>
      <w:tr w:rsidR="000740F7" w:rsidRPr="009C5AEE" w14:paraId="1F15298F"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64E5BE9C"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Velikoj Gorici</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5CCE4C7F" w14:textId="77777777" w:rsidR="000740F7" w:rsidRPr="009C5AEE" w:rsidRDefault="000740F7" w:rsidP="006D0A51">
            <w:pPr>
              <w:jc w:val="center"/>
              <w:rPr>
                <w:color w:val="000000"/>
                <w:sz w:val="16"/>
                <w:szCs w:val="16"/>
              </w:rPr>
            </w:pPr>
            <w:r w:rsidRPr="009C5AEE">
              <w:rPr>
                <w:color w:val="000000"/>
                <w:sz w:val="16"/>
                <w:szCs w:val="16"/>
              </w:rPr>
              <w:t>927</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71599E91" w14:textId="77777777" w:rsidR="000740F7" w:rsidRPr="009C5AEE" w:rsidRDefault="000740F7" w:rsidP="006D0A51">
            <w:pPr>
              <w:jc w:val="center"/>
              <w:rPr>
                <w:color w:val="000000"/>
                <w:sz w:val="16"/>
                <w:szCs w:val="16"/>
              </w:rPr>
            </w:pPr>
            <w:r w:rsidRPr="009C5AEE">
              <w:rPr>
                <w:color w:val="000000"/>
                <w:sz w:val="16"/>
                <w:szCs w:val="16"/>
              </w:rPr>
              <w:t>3735</w:t>
            </w:r>
          </w:p>
        </w:tc>
        <w:tc>
          <w:tcPr>
            <w:tcW w:w="951" w:type="dxa"/>
            <w:tcBorders>
              <w:top w:val="nil"/>
              <w:left w:val="nil"/>
              <w:bottom w:val="single" w:sz="4" w:space="0" w:color="auto"/>
              <w:right w:val="single" w:sz="4" w:space="0" w:color="auto"/>
            </w:tcBorders>
            <w:shd w:val="clear" w:color="auto" w:fill="auto"/>
            <w:noWrap/>
            <w:vAlign w:val="bottom"/>
          </w:tcPr>
          <w:p w14:paraId="1625193D" w14:textId="77777777" w:rsidR="000740F7" w:rsidRPr="009C5AEE" w:rsidRDefault="000740F7" w:rsidP="006D0A51">
            <w:pPr>
              <w:jc w:val="center"/>
              <w:rPr>
                <w:color w:val="000000"/>
                <w:sz w:val="16"/>
                <w:szCs w:val="16"/>
              </w:rPr>
            </w:pPr>
            <w:r w:rsidRPr="009C5AEE">
              <w:rPr>
                <w:color w:val="000000"/>
                <w:sz w:val="16"/>
                <w:szCs w:val="16"/>
              </w:rPr>
              <w:t>3622</w:t>
            </w:r>
          </w:p>
        </w:tc>
        <w:tc>
          <w:tcPr>
            <w:tcW w:w="1124" w:type="dxa"/>
            <w:tcBorders>
              <w:top w:val="nil"/>
              <w:left w:val="nil"/>
              <w:bottom w:val="single" w:sz="4" w:space="0" w:color="auto"/>
              <w:right w:val="single" w:sz="4" w:space="0" w:color="auto"/>
            </w:tcBorders>
            <w:shd w:val="clear" w:color="auto" w:fill="auto"/>
            <w:noWrap/>
            <w:vAlign w:val="bottom"/>
          </w:tcPr>
          <w:p w14:paraId="2845F6AE" w14:textId="77777777" w:rsidR="000740F7" w:rsidRPr="009C5AEE" w:rsidRDefault="000740F7" w:rsidP="006D0A51">
            <w:pPr>
              <w:jc w:val="center"/>
              <w:rPr>
                <w:color w:val="000000"/>
                <w:sz w:val="16"/>
                <w:szCs w:val="16"/>
              </w:rPr>
            </w:pPr>
            <w:r w:rsidRPr="009C5AEE">
              <w:rPr>
                <w:color w:val="000000"/>
                <w:sz w:val="16"/>
                <w:szCs w:val="16"/>
              </w:rPr>
              <w:t>1040</w:t>
            </w:r>
          </w:p>
        </w:tc>
      </w:tr>
      <w:tr w:rsidR="000740F7" w:rsidRPr="009C5AEE" w14:paraId="72676778"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09E81D35"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Vinkovcima</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28B52DF5" w14:textId="77777777" w:rsidR="000740F7" w:rsidRPr="009C5AEE" w:rsidRDefault="000740F7" w:rsidP="006D0A51">
            <w:pPr>
              <w:jc w:val="center"/>
              <w:rPr>
                <w:color w:val="000000"/>
                <w:sz w:val="16"/>
                <w:szCs w:val="16"/>
              </w:rPr>
            </w:pPr>
            <w:r w:rsidRPr="009C5AEE">
              <w:rPr>
                <w:color w:val="000000"/>
                <w:sz w:val="16"/>
                <w:szCs w:val="16"/>
              </w:rPr>
              <w:t>578</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49B0D038" w14:textId="77777777" w:rsidR="000740F7" w:rsidRPr="009C5AEE" w:rsidRDefault="000740F7" w:rsidP="006D0A51">
            <w:pPr>
              <w:jc w:val="center"/>
              <w:rPr>
                <w:color w:val="000000"/>
                <w:sz w:val="16"/>
                <w:szCs w:val="16"/>
              </w:rPr>
            </w:pPr>
            <w:r w:rsidRPr="009C5AEE">
              <w:rPr>
                <w:color w:val="000000"/>
                <w:sz w:val="16"/>
                <w:szCs w:val="16"/>
              </w:rPr>
              <w:t>4008</w:t>
            </w:r>
          </w:p>
        </w:tc>
        <w:tc>
          <w:tcPr>
            <w:tcW w:w="951" w:type="dxa"/>
            <w:tcBorders>
              <w:top w:val="nil"/>
              <w:left w:val="nil"/>
              <w:bottom w:val="single" w:sz="4" w:space="0" w:color="auto"/>
              <w:right w:val="single" w:sz="4" w:space="0" w:color="auto"/>
            </w:tcBorders>
            <w:shd w:val="clear" w:color="auto" w:fill="auto"/>
            <w:noWrap/>
            <w:vAlign w:val="bottom"/>
          </w:tcPr>
          <w:p w14:paraId="1F30C15F" w14:textId="77777777" w:rsidR="000740F7" w:rsidRPr="009C5AEE" w:rsidRDefault="000740F7" w:rsidP="006D0A51">
            <w:pPr>
              <w:jc w:val="center"/>
              <w:rPr>
                <w:color w:val="000000"/>
                <w:sz w:val="16"/>
                <w:szCs w:val="16"/>
              </w:rPr>
            </w:pPr>
            <w:r w:rsidRPr="009C5AEE">
              <w:rPr>
                <w:color w:val="000000"/>
                <w:sz w:val="16"/>
                <w:szCs w:val="16"/>
              </w:rPr>
              <w:t>4021</w:t>
            </w:r>
          </w:p>
        </w:tc>
        <w:tc>
          <w:tcPr>
            <w:tcW w:w="1124" w:type="dxa"/>
            <w:tcBorders>
              <w:top w:val="nil"/>
              <w:left w:val="nil"/>
              <w:bottom w:val="single" w:sz="4" w:space="0" w:color="auto"/>
              <w:right w:val="single" w:sz="4" w:space="0" w:color="auto"/>
            </w:tcBorders>
            <w:shd w:val="clear" w:color="auto" w:fill="auto"/>
            <w:noWrap/>
            <w:vAlign w:val="bottom"/>
          </w:tcPr>
          <w:p w14:paraId="2C7728DD" w14:textId="77777777" w:rsidR="000740F7" w:rsidRPr="009C5AEE" w:rsidRDefault="000740F7" w:rsidP="006D0A51">
            <w:pPr>
              <w:jc w:val="center"/>
              <w:rPr>
                <w:color w:val="000000"/>
                <w:sz w:val="16"/>
                <w:szCs w:val="16"/>
              </w:rPr>
            </w:pPr>
            <w:r w:rsidRPr="009C5AEE">
              <w:rPr>
                <w:color w:val="000000"/>
                <w:sz w:val="16"/>
                <w:szCs w:val="16"/>
              </w:rPr>
              <w:t>565</w:t>
            </w:r>
          </w:p>
        </w:tc>
      </w:tr>
      <w:tr w:rsidR="000740F7" w:rsidRPr="009C5AEE" w14:paraId="599E6FEC"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03F967D9"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Virovitici</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1211B00C" w14:textId="77777777" w:rsidR="000740F7" w:rsidRPr="009C5AEE" w:rsidRDefault="000740F7" w:rsidP="006D0A51">
            <w:pPr>
              <w:jc w:val="center"/>
              <w:rPr>
                <w:color w:val="000000"/>
                <w:sz w:val="16"/>
                <w:szCs w:val="16"/>
              </w:rPr>
            </w:pPr>
            <w:r w:rsidRPr="009C5AEE">
              <w:rPr>
                <w:color w:val="000000"/>
                <w:sz w:val="16"/>
                <w:szCs w:val="16"/>
              </w:rPr>
              <w:t>146</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4B9B8963" w14:textId="77777777" w:rsidR="000740F7" w:rsidRPr="009C5AEE" w:rsidRDefault="000740F7" w:rsidP="006D0A51">
            <w:pPr>
              <w:jc w:val="center"/>
              <w:rPr>
                <w:color w:val="000000"/>
                <w:sz w:val="16"/>
                <w:szCs w:val="16"/>
              </w:rPr>
            </w:pPr>
            <w:r w:rsidRPr="009C5AEE">
              <w:rPr>
                <w:color w:val="000000"/>
                <w:sz w:val="16"/>
                <w:szCs w:val="16"/>
              </w:rPr>
              <w:t>4267</w:t>
            </w:r>
          </w:p>
        </w:tc>
        <w:tc>
          <w:tcPr>
            <w:tcW w:w="951" w:type="dxa"/>
            <w:tcBorders>
              <w:top w:val="nil"/>
              <w:left w:val="nil"/>
              <w:bottom w:val="single" w:sz="4" w:space="0" w:color="auto"/>
              <w:right w:val="single" w:sz="4" w:space="0" w:color="auto"/>
            </w:tcBorders>
            <w:shd w:val="clear" w:color="auto" w:fill="auto"/>
            <w:noWrap/>
            <w:vAlign w:val="bottom"/>
          </w:tcPr>
          <w:p w14:paraId="28F26A51" w14:textId="77777777" w:rsidR="000740F7" w:rsidRPr="009C5AEE" w:rsidRDefault="000740F7" w:rsidP="006D0A51">
            <w:pPr>
              <w:jc w:val="center"/>
              <w:rPr>
                <w:color w:val="000000"/>
                <w:sz w:val="16"/>
                <w:szCs w:val="16"/>
              </w:rPr>
            </w:pPr>
            <w:r w:rsidRPr="009C5AEE">
              <w:rPr>
                <w:color w:val="000000"/>
                <w:sz w:val="16"/>
                <w:szCs w:val="16"/>
              </w:rPr>
              <w:t>4066</w:t>
            </w:r>
          </w:p>
        </w:tc>
        <w:tc>
          <w:tcPr>
            <w:tcW w:w="1124" w:type="dxa"/>
            <w:tcBorders>
              <w:top w:val="nil"/>
              <w:left w:val="nil"/>
              <w:bottom w:val="single" w:sz="4" w:space="0" w:color="auto"/>
              <w:right w:val="single" w:sz="4" w:space="0" w:color="auto"/>
            </w:tcBorders>
            <w:shd w:val="clear" w:color="auto" w:fill="auto"/>
            <w:noWrap/>
            <w:vAlign w:val="bottom"/>
          </w:tcPr>
          <w:p w14:paraId="76E5669C" w14:textId="77777777" w:rsidR="000740F7" w:rsidRPr="009C5AEE" w:rsidRDefault="000740F7" w:rsidP="006D0A51">
            <w:pPr>
              <w:jc w:val="center"/>
              <w:rPr>
                <w:color w:val="000000"/>
                <w:sz w:val="16"/>
                <w:szCs w:val="16"/>
              </w:rPr>
            </w:pPr>
            <w:r w:rsidRPr="009C5AEE">
              <w:rPr>
                <w:color w:val="000000"/>
                <w:sz w:val="16"/>
                <w:szCs w:val="16"/>
              </w:rPr>
              <w:t>346</w:t>
            </w:r>
          </w:p>
        </w:tc>
      </w:tr>
      <w:tr w:rsidR="000740F7" w:rsidRPr="009C5AEE" w14:paraId="444AA131"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2E389750"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Vukovaru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4C11A517" w14:textId="77777777" w:rsidR="000740F7" w:rsidRPr="009C5AEE" w:rsidRDefault="000740F7" w:rsidP="006D0A51">
            <w:pPr>
              <w:jc w:val="center"/>
              <w:rPr>
                <w:color w:val="000000"/>
                <w:sz w:val="16"/>
                <w:szCs w:val="16"/>
              </w:rPr>
            </w:pPr>
            <w:r w:rsidRPr="009C5AEE">
              <w:rPr>
                <w:color w:val="000000"/>
                <w:sz w:val="16"/>
                <w:szCs w:val="16"/>
              </w:rPr>
              <w:t>366</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5BF732B4" w14:textId="77777777" w:rsidR="000740F7" w:rsidRPr="009C5AEE" w:rsidRDefault="000740F7" w:rsidP="006D0A51">
            <w:pPr>
              <w:jc w:val="center"/>
              <w:rPr>
                <w:color w:val="000000"/>
                <w:sz w:val="16"/>
                <w:szCs w:val="16"/>
              </w:rPr>
            </w:pPr>
            <w:r w:rsidRPr="009C5AEE">
              <w:rPr>
                <w:color w:val="000000"/>
                <w:sz w:val="16"/>
                <w:szCs w:val="16"/>
              </w:rPr>
              <w:t>3494</w:t>
            </w:r>
          </w:p>
        </w:tc>
        <w:tc>
          <w:tcPr>
            <w:tcW w:w="951" w:type="dxa"/>
            <w:tcBorders>
              <w:top w:val="nil"/>
              <w:left w:val="nil"/>
              <w:bottom w:val="single" w:sz="4" w:space="0" w:color="auto"/>
              <w:right w:val="single" w:sz="4" w:space="0" w:color="auto"/>
            </w:tcBorders>
            <w:shd w:val="clear" w:color="auto" w:fill="auto"/>
            <w:noWrap/>
            <w:vAlign w:val="bottom"/>
          </w:tcPr>
          <w:p w14:paraId="35610AF1" w14:textId="77777777" w:rsidR="000740F7" w:rsidRPr="009C5AEE" w:rsidRDefault="000740F7" w:rsidP="006D0A51">
            <w:pPr>
              <w:jc w:val="center"/>
              <w:rPr>
                <w:color w:val="000000"/>
                <w:sz w:val="16"/>
                <w:szCs w:val="16"/>
              </w:rPr>
            </w:pPr>
            <w:r w:rsidRPr="009C5AEE">
              <w:rPr>
                <w:color w:val="000000"/>
                <w:sz w:val="16"/>
                <w:szCs w:val="16"/>
              </w:rPr>
              <w:t>3320</w:t>
            </w:r>
          </w:p>
        </w:tc>
        <w:tc>
          <w:tcPr>
            <w:tcW w:w="1124" w:type="dxa"/>
            <w:tcBorders>
              <w:top w:val="nil"/>
              <w:left w:val="nil"/>
              <w:bottom w:val="single" w:sz="4" w:space="0" w:color="auto"/>
              <w:right w:val="single" w:sz="4" w:space="0" w:color="auto"/>
            </w:tcBorders>
            <w:shd w:val="clear" w:color="auto" w:fill="auto"/>
            <w:noWrap/>
            <w:vAlign w:val="bottom"/>
          </w:tcPr>
          <w:p w14:paraId="66ED9A70" w14:textId="77777777" w:rsidR="000740F7" w:rsidRPr="009C5AEE" w:rsidRDefault="000740F7" w:rsidP="006D0A51">
            <w:pPr>
              <w:jc w:val="center"/>
              <w:rPr>
                <w:color w:val="000000"/>
                <w:sz w:val="16"/>
                <w:szCs w:val="16"/>
              </w:rPr>
            </w:pPr>
            <w:r w:rsidRPr="009C5AEE">
              <w:rPr>
                <w:color w:val="000000"/>
                <w:sz w:val="16"/>
                <w:szCs w:val="16"/>
              </w:rPr>
              <w:t>540</w:t>
            </w:r>
          </w:p>
        </w:tc>
      </w:tr>
      <w:tr w:rsidR="000740F7" w:rsidRPr="009C5AEE" w14:paraId="7537B3EF"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7E169ADB"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Zadru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443FBD64" w14:textId="77777777" w:rsidR="000740F7" w:rsidRPr="009C5AEE" w:rsidRDefault="000740F7" w:rsidP="006D0A51">
            <w:pPr>
              <w:jc w:val="center"/>
              <w:rPr>
                <w:color w:val="000000"/>
                <w:sz w:val="16"/>
                <w:szCs w:val="16"/>
              </w:rPr>
            </w:pPr>
            <w:r w:rsidRPr="009C5AEE">
              <w:rPr>
                <w:color w:val="000000"/>
                <w:sz w:val="16"/>
                <w:szCs w:val="16"/>
              </w:rPr>
              <w:t>2378</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5C518CA7" w14:textId="77777777" w:rsidR="000740F7" w:rsidRPr="009C5AEE" w:rsidRDefault="000740F7" w:rsidP="006D0A51">
            <w:pPr>
              <w:jc w:val="center"/>
              <w:rPr>
                <w:color w:val="000000"/>
                <w:sz w:val="16"/>
                <w:szCs w:val="16"/>
              </w:rPr>
            </w:pPr>
            <w:r w:rsidRPr="009C5AEE">
              <w:rPr>
                <w:color w:val="000000"/>
                <w:sz w:val="16"/>
                <w:szCs w:val="16"/>
              </w:rPr>
              <w:t>8019</w:t>
            </w:r>
          </w:p>
        </w:tc>
        <w:tc>
          <w:tcPr>
            <w:tcW w:w="951" w:type="dxa"/>
            <w:tcBorders>
              <w:top w:val="nil"/>
              <w:left w:val="nil"/>
              <w:bottom w:val="single" w:sz="4" w:space="0" w:color="auto"/>
              <w:right w:val="single" w:sz="4" w:space="0" w:color="auto"/>
            </w:tcBorders>
            <w:shd w:val="clear" w:color="auto" w:fill="auto"/>
            <w:noWrap/>
            <w:vAlign w:val="bottom"/>
          </w:tcPr>
          <w:p w14:paraId="3F8DCF04" w14:textId="77777777" w:rsidR="000740F7" w:rsidRPr="009C5AEE" w:rsidRDefault="000740F7" w:rsidP="006D0A51">
            <w:pPr>
              <w:jc w:val="center"/>
              <w:rPr>
                <w:color w:val="000000"/>
                <w:sz w:val="16"/>
                <w:szCs w:val="16"/>
              </w:rPr>
            </w:pPr>
            <w:r w:rsidRPr="009C5AEE">
              <w:rPr>
                <w:color w:val="000000"/>
                <w:sz w:val="16"/>
                <w:szCs w:val="16"/>
              </w:rPr>
              <w:t>7812</w:t>
            </w:r>
          </w:p>
        </w:tc>
        <w:tc>
          <w:tcPr>
            <w:tcW w:w="1124" w:type="dxa"/>
            <w:tcBorders>
              <w:top w:val="nil"/>
              <w:left w:val="nil"/>
              <w:bottom w:val="single" w:sz="4" w:space="0" w:color="auto"/>
              <w:right w:val="single" w:sz="4" w:space="0" w:color="auto"/>
            </w:tcBorders>
            <w:shd w:val="clear" w:color="auto" w:fill="auto"/>
            <w:noWrap/>
            <w:vAlign w:val="bottom"/>
          </w:tcPr>
          <w:p w14:paraId="3E4B98F5" w14:textId="77777777" w:rsidR="000740F7" w:rsidRPr="009C5AEE" w:rsidRDefault="000740F7" w:rsidP="006D0A51">
            <w:pPr>
              <w:jc w:val="center"/>
              <w:rPr>
                <w:color w:val="000000"/>
                <w:sz w:val="16"/>
                <w:szCs w:val="16"/>
              </w:rPr>
            </w:pPr>
            <w:r w:rsidRPr="009C5AEE">
              <w:rPr>
                <w:color w:val="000000"/>
                <w:sz w:val="16"/>
                <w:szCs w:val="16"/>
              </w:rPr>
              <w:t>2585</w:t>
            </w:r>
          </w:p>
        </w:tc>
      </w:tr>
      <w:tr w:rsidR="000740F7" w:rsidRPr="009C5AEE" w14:paraId="3E434BB5"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74FEDC38"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ODO u Zlataru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70534F0B" w14:textId="77777777" w:rsidR="000740F7" w:rsidRPr="009C5AEE" w:rsidRDefault="000740F7" w:rsidP="006D0A51">
            <w:pPr>
              <w:jc w:val="center"/>
              <w:rPr>
                <w:color w:val="000000"/>
                <w:sz w:val="16"/>
                <w:szCs w:val="16"/>
              </w:rPr>
            </w:pPr>
            <w:r w:rsidRPr="009C5AEE">
              <w:rPr>
                <w:color w:val="000000"/>
                <w:sz w:val="16"/>
                <w:szCs w:val="16"/>
              </w:rPr>
              <w:t>799</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470C5F31" w14:textId="77777777" w:rsidR="000740F7" w:rsidRPr="009C5AEE" w:rsidRDefault="000740F7" w:rsidP="006D0A51">
            <w:pPr>
              <w:jc w:val="center"/>
              <w:rPr>
                <w:color w:val="000000"/>
                <w:sz w:val="16"/>
                <w:szCs w:val="16"/>
              </w:rPr>
            </w:pPr>
            <w:r w:rsidRPr="009C5AEE">
              <w:rPr>
                <w:color w:val="000000"/>
                <w:sz w:val="16"/>
                <w:szCs w:val="16"/>
              </w:rPr>
              <w:t>3278</w:t>
            </w:r>
          </w:p>
        </w:tc>
        <w:tc>
          <w:tcPr>
            <w:tcW w:w="951" w:type="dxa"/>
            <w:tcBorders>
              <w:top w:val="nil"/>
              <w:left w:val="nil"/>
              <w:bottom w:val="single" w:sz="4" w:space="0" w:color="auto"/>
              <w:right w:val="single" w:sz="4" w:space="0" w:color="auto"/>
            </w:tcBorders>
            <w:shd w:val="clear" w:color="auto" w:fill="auto"/>
            <w:noWrap/>
            <w:vAlign w:val="bottom"/>
          </w:tcPr>
          <w:p w14:paraId="40ACC0EE" w14:textId="77777777" w:rsidR="000740F7" w:rsidRPr="009C5AEE" w:rsidRDefault="000740F7" w:rsidP="006D0A51">
            <w:pPr>
              <w:jc w:val="center"/>
              <w:rPr>
                <w:color w:val="000000"/>
                <w:sz w:val="16"/>
                <w:szCs w:val="16"/>
              </w:rPr>
            </w:pPr>
            <w:r w:rsidRPr="009C5AEE">
              <w:rPr>
                <w:color w:val="000000"/>
                <w:sz w:val="16"/>
                <w:szCs w:val="16"/>
              </w:rPr>
              <w:t>3281</w:t>
            </w:r>
          </w:p>
        </w:tc>
        <w:tc>
          <w:tcPr>
            <w:tcW w:w="1124" w:type="dxa"/>
            <w:tcBorders>
              <w:top w:val="nil"/>
              <w:left w:val="nil"/>
              <w:bottom w:val="single" w:sz="4" w:space="0" w:color="auto"/>
              <w:right w:val="single" w:sz="4" w:space="0" w:color="auto"/>
            </w:tcBorders>
            <w:shd w:val="clear" w:color="auto" w:fill="auto"/>
            <w:noWrap/>
            <w:vAlign w:val="bottom"/>
          </w:tcPr>
          <w:p w14:paraId="3E72340A" w14:textId="77777777" w:rsidR="000740F7" w:rsidRPr="009C5AEE" w:rsidRDefault="000740F7" w:rsidP="006D0A51">
            <w:pPr>
              <w:jc w:val="center"/>
              <w:rPr>
                <w:color w:val="000000"/>
                <w:sz w:val="16"/>
                <w:szCs w:val="16"/>
              </w:rPr>
            </w:pPr>
            <w:r w:rsidRPr="009C5AEE">
              <w:rPr>
                <w:color w:val="000000"/>
                <w:sz w:val="16"/>
                <w:szCs w:val="16"/>
              </w:rPr>
              <w:t>796</w:t>
            </w:r>
          </w:p>
        </w:tc>
      </w:tr>
      <w:tr w:rsidR="000740F7" w:rsidRPr="009C5AEE" w14:paraId="7426CA30" w14:textId="77777777" w:rsidTr="00BA7382">
        <w:trPr>
          <w:trHeight w:val="281"/>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36BC440F"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OGDO u Zagrebu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6F8BBD1A" w14:textId="77777777" w:rsidR="000740F7" w:rsidRPr="009C5AEE" w:rsidRDefault="000740F7" w:rsidP="006D0A51">
            <w:pPr>
              <w:jc w:val="center"/>
              <w:rPr>
                <w:color w:val="000000"/>
                <w:sz w:val="16"/>
                <w:szCs w:val="16"/>
              </w:rPr>
            </w:pPr>
            <w:r w:rsidRPr="009C5AEE">
              <w:rPr>
                <w:color w:val="000000"/>
                <w:sz w:val="16"/>
                <w:szCs w:val="16"/>
              </w:rPr>
              <w:t>662</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5EE27D7D" w14:textId="5EAE2158" w:rsidR="000740F7" w:rsidRPr="009C5AEE" w:rsidRDefault="000740F7" w:rsidP="006D0A51">
            <w:pPr>
              <w:jc w:val="center"/>
              <w:rPr>
                <w:color w:val="000000"/>
                <w:sz w:val="16"/>
                <w:szCs w:val="16"/>
              </w:rPr>
            </w:pPr>
            <w:r w:rsidRPr="009C5AEE">
              <w:rPr>
                <w:color w:val="000000"/>
                <w:sz w:val="16"/>
                <w:szCs w:val="16"/>
              </w:rPr>
              <w:t>10</w:t>
            </w:r>
            <w:r w:rsidR="00727861" w:rsidRPr="009C5AEE">
              <w:rPr>
                <w:color w:val="000000"/>
                <w:sz w:val="16"/>
                <w:szCs w:val="16"/>
              </w:rPr>
              <w:t>.</w:t>
            </w:r>
            <w:r w:rsidRPr="009C5AEE">
              <w:rPr>
                <w:color w:val="000000"/>
                <w:sz w:val="16"/>
                <w:szCs w:val="16"/>
              </w:rPr>
              <w:t>033</w:t>
            </w:r>
          </w:p>
        </w:tc>
        <w:tc>
          <w:tcPr>
            <w:tcW w:w="951" w:type="dxa"/>
            <w:tcBorders>
              <w:top w:val="nil"/>
              <w:left w:val="nil"/>
              <w:bottom w:val="single" w:sz="4" w:space="0" w:color="auto"/>
              <w:right w:val="single" w:sz="4" w:space="0" w:color="auto"/>
            </w:tcBorders>
            <w:shd w:val="clear" w:color="auto" w:fill="auto"/>
            <w:noWrap/>
            <w:vAlign w:val="bottom"/>
          </w:tcPr>
          <w:p w14:paraId="31F505BE" w14:textId="594208C1" w:rsidR="000740F7" w:rsidRPr="009C5AEE" w:rsidRDefault="000740F7" w:rsidP="006D0A51">
            <w:pPr>
              <w:jc w:val="center"/>
              <w:rPr>
                <w:color w:val="000000"/>
                <w:sz w:val="16"/>
                <w:szCs w:val="16"/>
              </w:rPr>
            </w:pPr>
            <w:r w:rsidRPr="009C5AEE">
              <w:rPr>
                <w:color w:val="000000"/>
                <w:sz w:val="16"/>
                <w:szCs w:val="16"/>
              </w:rPr>
              <w:t>10</w:t>
            </w:r>
            <w:r w:rsidR="00727861" w:rsidRPr="009C5AEE">
              <w:rPr>
                <w:color w:val="000000"/>
                <w:sz w:val="16"/>
                <w:szCs w:val="16"/>
              </w:rPr>
              <w:t>.</w:t>
            </w:r>
            <w:r w:rsidRPr="009C5AEE">
              <w:rPr>
                <w:color w:val="000000"/>
                <w:sz w:val="16"/>
                <w:szCs w:val="16"/>
              </w:rPr>
              <w:t>309</w:t>
            </w:r>
          </w:p>
        </w:tc>
        <w:tc>
          <w:tcPr>
            <w:tcW w:w="1124" w:type="dxa"/>
            <w:tcBorders>
              <w:top w:val="nil"/>
              <w:left w:val="nil"/>
              <w:bottom w:val="single" w:sz="4" w:space="0" w:color="auto"/>
              <w:right w:val="single" w:sz="4" w:space="0" w:color="auto"/>
            </w:tcBorders>
            <w:shd w:val="clear" w:color="auto" w:fill="auto"/>
            <w:noWrap/>
            <w:vAlign w:val="bottom"/>
          </w:tcPr>
          <w:p w14:paraId="1FEA21FE" w14:textId="77777777" w:rsidR="000740F7" w:rsidRPr="009C5AEE" w:rsidRDefault="000740F7" w:rsidP="006D0A51">
            <w:pPr>
              <w:jc w:val="center"/>
              <w:rPr>
                <w:color w:val="000000"/>
                <w:sz w:val="16"/>
                <w:szCs w:val="16"/>
              </w:rPr>
            </w:pPr>
            <w:r w:rsidRPr="009C5AEE">
              <w:rPr>
                <w:color w:val="000000"/>
                <w:sz w:val="16"/>
                <w:szCs w:val="16"/>
              </w:rPr>
              <w:t>363</w:t>
            </w:r>
          </w:p>
        </w:tc>
      </w:tr>
      <w:tr w:rsidR="000740F7" w:rsidRPr="009C5AEE" w14:paraId="14BB423E" w14:textId="77777777" w:rsidTr="00BA7382">
        <w:trPr>
          <w:trHeight w:val="316"/>
        </w:trPr>
        <w:tc>
          <w:tcPr>
            <w:tcW w:w="42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78721" w14:textId="77777777" w:rsidR="000740F7" w:rsidRPr="00BA7382" w:rsidRDefault="000740F7" w:rsidP="006D0A51">
            <w:pPr>
              <w:jc w:val="left"/>
              <w:rPr>
                <w:rFonts w:eastAsia="Times New Roman"/>
                <w:sz w:val="18"/>
                <w:szCs w:val="18"/>
                <w:lang w:eastAsia="hr-HR"/>
              </w:rPr>
            </w:pPr>
            <w:r w:rsidRPr="00BA7382">
              <w:rPr>
                <w:rFonts w:eastAsia="Times New Roman"/>
                <w:sz w:val="18"/>
                <w:szCs w:val="18"/>
                <w:lang w:eastAsia="hr-HR"/>
              </w:rPr>
              <w:t>OKDO u Zagrebu</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7A77C1D8" w14:textId="3BF7BA17" w:rsidR="000740F7" w:rsidRPr="009C5AEE" w:rsidRDefault="000740F7" w:rsidP="006D0A51">
            <w:pPr>
              <w:jc w:val="center"/>
              <w:rPr>
                <w:color w:val="000000"/>
                <w:sz w:val="16"/>
                <w:szCs w:val="16"/>
              </w:rPr>
            </w:pPr>
            <w:r w:rsidRPr="009C5AEE">
              <w:rPr>
                <w:color w:val="000000"/>
                <w:sz w:val="16"/>
                <w:szCs w:val="16"/>
              </w:rPr>
              <w:t>8247</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5F5478E6" w14:textId="5E48D150" w:rsidR="000740F7" w:rsidRPr="009C5AEE" w:rsidRDefault="000740F7" w:rsidP="006D0A51">
            <w:pPr>
              <w:jc w:val="center"/>
              <w:rPr>
                <w:color w:val="000000"/>
                <w:sz w:val="16"/>
                <w:szCs w:val="16"/>
              </w:rPr>
            </w:pPr>
            <w:r w:rsidRPr="009C5AEE">
              <w:rPr>
                <w:color w:val="000000"/>
                <w:sz w:val="16"/>
                <w:szCs w:val="16"/>
              </w:rPr>
              <w:t>17</w:t>
            </w:r>
            <w:r w:rsidR="00727861" w:rsidRPr="009C5AEE">
              <w:rPr>
                <w:color w:val="000000"/>
                <w:sz w:val="16"/>
                <w:szCs w:val="16"/>
              </w:rPr>
              <w:t>.</w:t>
            </w:r>
            <w:r w:rsidRPr="009C5AEE">
              <w:rPr>
                <w:color w:val="000000"/>
                <w:sz w:val="16"/>
                <w:szCs w:val="16"/>
              </w:rPr>
              <w:t>858</w:t>
            </w:r>
          </w:p>
        </w:tc>
        <w:tc>
          <w:tcPr>
            <w:tcW w:w="951" w:type="dxa"/>
            <w:tcBorders>
              <w:top w:val="nil"/>
              <w:left w:val="nil"/>
              <w:bottom w:val="single" w:sz="4" w:space="0" w:color="auto"/>
              <w:right w:val="single" w:sz="4" w:space="0" w:color="auto"/>
            </w:tcBorders>
            <w:shd w:val="clear" w:color="auto" w:fill="auto"/>
            <w:noWrap/>
            <w:vAlign w:val="bottom"/>
          </w:tcPr>
          <w:p w14:paraId="46AEEC17" w14:textId="616AEE67" w:rsidR="000740F7" w:rsidRPr="009C5AEE" w:rsidRDefault="000740F7" w:rsidP="006D0A51">
            <w:pPr>
              <w:jc w:val="center"/>
              <w:rPr>
                <w:color w:val="000000"/>
                <w:sz w:val="16"/>
                <w:szCs w:val="16"/>
              </w:rPr>
            </w:pPr>
            <w:r w:rsidRPr="009C5AEE">
              <w:rPr>
                <w:color w:val="000000"/>
                <w:sz w:val="16"/>
                <w:szCs w:val="16"/>
              </w:rPr>
              <w:t>16</w:t>
            </w:r>
            <w:r w:rsidR="00727861" w:rsidRPr="009C5AEE">
              <w:rPr>
                <w:color w:val="000000"/>
                <w:sz w:val="16"/>
                <w:szCs w:val="16"/>
              </w:rPr>
              <w:t>.</w:t>
            </w:r>
            <w:r w:rsidRPr="009C5AEE">
              <w:rPr>
                <w:color w:val="000000"/>
                <w:sz w:val="16"/>
                <w:szCs w:val="16"/>
              </w:rPr>
              <w:t>627</w:t>
            </w:r>
          </w:p>
        </w:tc>
        <w:tc>
          <w:tcPr>
            <w:tcW w:w="1124" w:type="dxa"/>
            <w:tcBorders>
              <w:top w:val="nil"/>
              <w:left w:val="nil"/>
              <w:bottom w:val="single" w:sz="4" w:space="0" w:color="auto"/>
              <w:right w:val="single" w:sz="4" w:space="0" w:color="auto"/>
            </w:tcBorders>
            <w:shd w:val="clear" w:color="auto" w:fill="auto"/>
            <w:noWrap/>
            <w:vAlign w:val="bottom"/>
          </w:tcPr>
          <w:p w14:paraId="3FA414B5" w14:textId="4124CDCB" w:rsidR="000740F7" w:rsidRPr="009C5AEE" w:rsidRDefault="000740F7" w:rsidP="006D0A51">
            <w:pPr>
              <w:jc w:val="center"/>
              <w:rPr>
                <w:color w:val="000000"/>
                <w:sz w:val="16"/>
                <w:szCs w:val="16"/>
              </w:rPr>
            </w:pPr>
            <w:r w:rsidRPr="009C5AEE">
              <w:rPr>
                <w:color w:val="000000"/>
                <w:sz w:val="16"/>
                <w:szCs w:val="16"/>
              </w:rPr>
              <w:t>9478</w:t>
            </w:r>
          </w:p>
        </w:tc>
      </w:tr>
      <w:tr w:rsidR="000740F7" w:rsidRPr="009C5AEE" w14:paraId="34B8CFC3"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6EE8F9DF" w14:textId="77777777" w:rsidR="000740F7" w:rsidRPr="00BA7382" w:rsidRDefault="000740F7" w:rsidP="006D0A51">
            <w:pPr>
              <w:jc w:val="left"/>
              <w:rPr>
                <w:rFonts w:eastAsia="Times New Roman"/>
                <w:b/>
                <w:bCs/>
                <w:sz w:val="18"/>
                <w:szCs w:val="18"/>
                <w:lang w:eastAsia="hr-HR"/>
              </w:rPr>
            </w:pPr>
            <w:r w:rsidRPr="00BA7382">
              <w:rPr>
                <w:rFonts w:eastAsia="Times New Roman"/>
                <w:b/>
                <w:bCs/>
                <w:sz w:val="18"/>
                <w:szCs w:val="18"/>
                <w:lang w:eastAsia="hr-HR"/>
              </w:rPr>
              <w:t>Ukupno općinska državna odvjetništva</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7AC6C66F" w14:textId="4ED26513" w:rsidR="000740F7" w:rsidRPr="009C5AEE" w:rsidRDefault="000740F7" w:rsidP="006D0A51">
            <w:pPr>
              <w:jc w:val="center"/>
              <w:rPr>
                <w:color w:val="000000"/>
                <w:sz w:val="16"/>
                <w:szCs w:val="16"/>
              </w:rPr>
            </w:pPr>
            <w:r w:rsidRPr="009C5AEE">
              <w:rPr>
                <w:color w:val="000000"/>
                <w:sz w:val="16"/>
                <w:szCs w:val="16"/>
              </w:rPr>
              <w:t>34</w:t>
            </w:r>
            <w:r w:rsidR="00727861" w:rsidRPr="009C5AEE">
              <w:rPr>
                <w:color w:val="000000"/>
                <w:sz w:val="16"/>
                <w:szCs w:val="16"/>
              </w:rPr>
              <w:t>.</w:t>
            </w:r>
            <w:r w:rsidRPr="009C5AEE">
              <w:rPr>
                <w:color w:val="000000"/>
                <w:sz w:val="16"/>
                <w:szCs w:val="16"/>
              </w:rPr>
              <w:t>729</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36B79C37" w14:textId="787C6623" w:rsidR="000740F7" w:rsidRPr="009C5AEE" w:rsidRDefault="000740F7" w:rsidP="006D0A51">
            <w:pPr>
              <w:jc w:val="center"/>
              <w:rPr>
                <w:color w:val="000000"/>
                <w:sz w:val="16"/>
                <w:szCs w:val="16"/>
              </w:rPr>
            </w:pPr>
            <w:r w:rsidRPr="009C5AEE">
              <w:rPr>
                <w:color w:val="000000"/>
                <w:sz w:val="16"/>
                <w:szCs w:val="16"/>
              </w:rPr>
              <w:t>167</w:t>
            </w:r>
            <w:r w:rsidR="00727861" w:rsidRPr="009C5AEE">
              <w:rPr>
                <w:color w:val="000000"/>
                <w:sz w:val="16"/>
                <w:szCs w:val="16"/>
              </w:rPr>
              <w:t>.</w:t>
            </w:r>
            <w:r w:rsidRPr="009C5AEE">
              <w:rPr>
                <w:color w:val="000000"/>
                <w:sz w:val="16"/>
                <w:szCs w:val="16"/>
              </w:rPr>
              <w:t>596</w:t>
            </w:r>
          </w:p>
        </w:tc>
        <w:tc>
          <w:tcPr>
            <w:tcW w:w="951" w:type="dxa"/>
            <w:tcBorders>
              <w:top w:val="nil"/>
              <w:left w:val="nil"/>
              <w:bottom w:val="single" w:sz="4" w:space="0" w:color="auto"/>
              <w:right w:val="single" w:sz="4" w:space="0" w:color="auto"/>
            </w:tcBorders>
            <w:shd w:val="clear" w:color="auto" w:fill="auto"/>
            <w:noWrap/>
            <w:vAlign w:val="bottom"/>
          </w:tcPr>
          <w:p w14:paraId="3CF0C89E" w14:textId="57673D8E" w:rsidR="000740F7" w:rsidRPr="009C5AEE" w:rsidRDefault="000740F7" w:rsidP="006D0A51">
            <w:pPr>
              <w:jc w:val="center"/>
              <w:rPr>
                <w:color w:val="000000"/>
                <w:sz w:val="16"/>
                <w:szCs w:val="16"/>
              </w:rPr>
            </w:pPr>
            <w:r w:rsidRPr="009C5AEE">
              <w:rPr>
                <w:color w:val="000000"/>
                <w:sz w:val="16"/>
                <w:szCs w:val="16"/>
              </w:rPr>
              <w:t>163</w:t>
            </w:r>
            <w:r w:rsidR="00727861" w:rsidRPr="009C5AEE">
              <w:rPr>
                <w:color w:val="000000"/>
                <w:sz w:val="16"/>
                <w:szCs w:val="16"/>
              </w:rPr>
              <w:t>.</w:t>
            </w:r>
            <w:r w:rsidRPr="009C5AEE">
              <w:rPr>
                <w:color w:val="000000"/>
                <w:sz w:val="16"/>
                <w:szCs w:val="16"/>
              </w:rPr>
              <w:t>190</w:t>
            </w:r>
          </w:p>
        </w:tc>
        <w:tc>
          <w:tcPr>
            <w:tcW w:w="1124" w:type="dxa"/>
            <w:tcBorders>
              <w:top w:val="nil"/>
              <w:left w:val="nil"/>
              <w:bottom w:val="single" w:sz="4" w:space="0" w:color="auto"/>
              <w:right w:val="single" w:sz="4" w:space="0" w:color="auto"/>
            </w:tcBorders>
            <w:shd w:val="clear" w:color="auto" w:fill="auto"/>
            <w:noWrap/>
            <w:vAlign w:val="bottom"/>
          </w:tcPr>
          <w:p w14:paraId="7C4D18AE" w14:textId="2EB15FB5" w:rsidR="000740F7" w:rsidRPr="009C5AEE" w:rsidRDefault="000740F7" w:rsidP="006D0A51">
            <w:pPr>
              <w:jc w:val="center"/>
              <w:rPr>
                <w:color w:val="000000"/>
                <w:sz w:val="16"/>
                <w:szCs w:val="16"/>
              </w:rPr>
            </w:pPr>
            <w:r w:rsidRPr="009C5AEE">
              <w:rPr>
                <w:color w:val="000000"/>
                <w:sz w:val="16"/>
                <w:szCs w:val="16"/>
              </w:rPr>
              <w:t>39</w:t>
            </w:r>
            <w:r w:rsidR="00727861" w:rsidRPr="009C5AEE">
              <w:rPr>
                <w:color w:val="000000"/>
                <w:sz w:val="16"/>
                <w:szCs w:val="16"/>
              </w:rPr>
              <w:t>.</w:t>
            </w:r>
            <w:r w:rsidRPr="009C5AEE">
              <w:rPr>
                <w:color w:val="000000"/>
                <w:sz w:val="16"/>
                <w:szCs w:val="16"/>
              </w:rPr>
              <w:t>100</w:t>
            </w:r>
          </w:p>
        </w:tc>
      </w:tr>
      <w:tr w:rsidR="000740F7" w:rsidRPr="009C5AEE" w14:paraId="36973B5B" w14:textId="77777777" w:rsidTr="00BA7382">
        <w:trPr>
          <w:trHeight w:val="309"/>
        </w:trPr>
        <w:tc>
          <w:tcPr>
            <w:tcW w:w="4221" w:type="dxa"/>
            <w:tcBorders>
              <w:top w:val="nil"/>
              <w:left w:val="single" w:sz="4" w:space="0" w:color="auto"/>
              <w:bottom w:val="single" w:sz="4" w:space="0" w:color="auto"/>
              <w:right w:val="single" w:sz="4" w:space="0" w:color="auto"/>
            </w:tcBorders>
            <w:shd w:val="clear" w:color="auto" w:fill="auto"/>
            <w:noWrap/>
            <w:vAlign w:val="center"/>
            <w:hideMark/>
          </w:tcPr>
          <w:p w14:paraId="31072BC1" w14:textId="77777777" w:rsidR="000740F7" w:rsidRPr="00BA7382" w:rsidRDefault="000740F7" w:rsidP="006D0A51">
            <w:pPr>
              <w:jc w:val="left"/>
              <w:rPr>
                <w:rFonts w:eastAsia="Times New Roman"/>
                <w:b/>
                <w:bCs/>
                <w:sz w:val="18"/>
                <w:szCs w:val="18"/>
                <w:lang w:eastAsia="hr-HR"/>
              </w:rPr>
            </w:pPr>
            <w:r w:rsidRPr="00BA7382">
              <w:rPr>
                <w:rFonts w:eastAsia="Times New Roman"/>
                <w:b/>
                <w:bCs/>
                <w:sz w:val="18"/>
                <w:szCs w:val="18"/>
                <w:lang w:eastAsia="hr-HR"/>
              </w:rPr>
              <w:t>Prosjek</w:t>
            </w:r>
          </w:p>
        </w:tc>
        <w:tc>
          <w:tcPr>
            <w:tcW w:w="1120" w:type="dxa"/>
            <w:tcBorders>
              <w:top w:val="nil"/>
              <w:left w:val="single" w:sz="4" w:space="0" w:color="auto"/>
              <w:bottom w:val="single" w:sz="4" w:space="0" w:color="auto"/>
              <w:right w:val="single" w:sz="4" w:space="0" w:color="auto"/>
            </w:tcBorders>
            <w:shd w:val="clear" w:color="auto" w:fill="auto"/>
            <w:noWrap/>
            <w:vAlign w:val="bottom"/>
          </w:tcPr>
          <w:p w14:paraId="7B2662A0" w14:textId="340DE4C2" w:rsidR="000740F7" w:rsidRPr="009C5AEE" w:rsidRDefault="000740F7" w:rsidP="006D0A51">
            <w:pPr>
              <w:jc w:val="center"/>
              <w:rPr>
                <w:color w:val="000000"/>
                <w:sz w:val="16"/>
                <w:szCs w:val="16"/>
              </w:rPr>
            </w:pPr>
            <w:r w:rsidRPr="009C5AEE">
              <w:rPr>
                <w:color w:val="000000"/>
                <w:sz w:val="16"/>
                <w:szCs w:val="16"/>
              </w:rPr>
              <w:t>1335,7</w:t>
            </w:r>
          </w:p>
        </w:tc>
        <w:tc>
          <w:tcPr>
            <w:tcW w:w="1030" w:type="dxa"/>
            <w:tcBorders>
              <w:top w:val="nil"/>
              <w:left w:val="single" w:sz="4" w:space="0" w:color="auto"/>
              <w:bottom w:val="single" w:sz="4" w:space="0" w:color="auto"/>
              <w:right w:val="single" w:sz="4" w:space="0" w:color="auto"/>
            </w:tcBorders>
            <w:shd w:val="clear" w:color="auto" w:fill="auto"/>
            <w:noWrap/>
            <w:vAlign w:val="bottom"/>
          </w:tcPr>
          <w:p w14:paraId="0AA29A53" w14:textId="140DB8FA" w:rsidR="000740F7" w:rsidRPr="009C5AEE" w:rsidRDefault="000740F7" w:rsidP="006D0A51">
            <w:pPr>
              <w:jc w:val="center"/>
              <w:rPr>
                <w:color w:val="000000"/>
                <w:sz w:val="16"/>
                <w:szCs w:val="16"/>
              </w:rPr>
            </w:pPr>
            <w:r w:rsidRPr="009C5AEE">
              <w:rPr>
                <w:color w:val="000000"/>
                <w:sz w:val="16"/>
                <w:szCs w:val="16"/>
              </w:rPr>
              <w:t>6446,0</w:t>
            </w:r>
          </w:p>
        </w:tc>
        <w:tc>
          <w:tcPr>
            <w:tcW w:w="951" w:type="dxa"/>
            <w:tcBorders>
              <w:top w:val="nil"/>
              <w:left w:val="nil"/>
              <w:bottom w:val="single" w:sz="4" w:space="0" w:color="auto"/>
              <w:right w:val="single" w:sz="4" w:space="0" w:color="auto"/>
            </w:tcBorders>
            <w:shd w:val="clear" w:color="auto" w:fill="auto"/>
            <w:noWrap/>
            <w:vAlign w:val="bottom"/>
          </w:tcPr>
          <w:p w14:paraId="1B0721EB" w14:textId="6D7E01C5" w:rsidR="000740F7" w:rsidRPr="009C5AEE" w:rsidRDefault="000740F7" w:rsidP="006D0A51">
            <w:pPr>
              <w:jc w:val="center"/>
              <w:rPr>
                <w:color w:val="000000"/>
                <w:sz w:val="16"/>
                <w:szCs w:val="16"/>
              </w:rPr>
            </w:pPr>
            <w:r w:rsidRPr="009C5AEE">
              <w:rPr>
                <w:color w:val="000000"/>
                <w:sz w:val="16"/>
                <w:szCs w:val="16"/>
              </w:rPr>
              <w:t>6276,5</w:t>
            </w:r>
          </w:p>
        </w:tc>
        <w:tc>
          <w:tcPr>
            <w:tcW w:w="1124" w:type="dxa"/>
            <w:tcBorders>
              <w:top w:val="nil"/>
              <w:left w:val="nil"/>
              <w:bottom w:val="single" w:sz="4" w:space="0" w:color="auto"/>
              <w:right w:val="single" w:sz="4" w:space="0" w:color="auto"/>
            </w:tcBorders>
            <w:shd w:val="clear" w:color="auto" w:fill="auto"/>
            <w:noWrap/>
            <w:vAlign w:val="bottom"/>
          </w:tcPr>
          <w:p w14:paraId="7BACFDF3" w14:textId="1616D030" w:rsidR="000740F7" w:rsidRPr="009C5AEE" w:rsidRDefault="000740F7" w:rsidP="006D0A51">
            <w:pPr>
              <w:jc w:val="center"/>
              <w:rPr>
                <w:color w:val="000000"/>
                <w:sz w:val="16"/>
                <w:szCs w:val="16"/>
              </w:rPr>
            </w:pPr>
            <w:r w:rsidRPr="009C5AEE">
              <w:rPr>
                <w:color w:val="000000"/>
                <w:sz w:val="16"/>
                <w:szCs w:val="16"/>
              </w:rPr>
              <w:t>1503,8</w:t>
            </w:r>
          </w:p>
        </w:tc>
      </w:tr>
    </w:tbl>
    <w:p w14:paraId="62CCD112" w14:textId="77777777" w:rsidR="000740F7" w:rsidRPr="009C5AEE" w:rsidRDefault="000740F7" w:rsidP="000740F7">
      <w:pPr>
        <w:rPr>
          <w:sz w:val="16"/>
          <w:szCs w:val="16"/>
        </w:rPr>
      </w:pPr>
    </w:p>
    <w:p w14:paraId="667D9686" w14:textId="77777777" w:rsidR="000740F7" w:rsidRPr="001B4CA2" w:rsidRDefault="000740F7" w:rsidP="000740F7">
      <w:pPr>
        <w:ind w:firstLine="708"/>
      </w:pPr>
      <w:r w:rsidRPr="001B4CA2">
        <w:t xml:space="preserve">U gornjoj je tablici prikazano kretanje predmeta u 2022. godini za svako općinsko državno odvjetništvo. </w:t>
      </w:r>
    </w:p>
    <w:p w14:paraId="7B047D99" w14:textId="77777777" w:rsidR="000740F7" w:rsidRPr="001B4CA2" w:rsidRDefault="000740F7" w:rsidP="000740F7"/>
    <w:p w14:paraId="76535E80" w14:textId="77777777" w:rsidR="000740F7" w:rsidRPr="001B4CA2" w:rsidRDefault="000740F7" w:rsidP="000740F7"/>
    <w:p w14:paraId="775D4185" w14:textId="77777777" w:rsidR="000740F7" w:rsidRPr="001B4CA2" w:rsidRDefault="000740F7" w:rsidP="000740F7"/>
    <w:p w14:paraId="4FA7703F" w14:textId="77777777" w:rsidR="000740F7" w:rsidRPr="001B4CA2" w:rsidRDefault="000740F7" w:rsidP="000740F7"/>
    <w:p w14:paraId="7DFFDAD6" w14:textId="5B7B33FC" w:rsidR="00373B2A" w:rsidRPr="001B4CA2" w:rsidRDefault="00373B2A" w:rsidP="000740F7"/>
    <w:p w14:paraId="20862849" w14:textId="77777777" w:rsidR="00373B2A" w:rsidRPr="001B4CA2" w:rsidRDefault="00373B2A" w:rsidP="000740F7"/>
    <w:p w14:paraId="778198F7" w14:textId="06D8223E" w:rsidR="000740F7" w:rsidRPr="001B4CA2" w:rsidRDefault="00766A28" w:rsidP="000740F7">
      <w:pPr>
        <w:ind w:left="142"/>
        <w:rPr>
          <w:i/>
        </w:rPr>
      </w:pPr>
      <w:r>
        <w:rPr>
          <w:i/>
        </w:rPr>
        <w:lastRenderedPageBreak/>
        <w:t xml:space="preserve"> </w:t>
      </w:r>
      <w:r w:rsidR="000740F7" w:rsidRPr="001B4CA2">
        <w:rPr>
          <w:i/>
        </w:rPr>
        <w:t>Pregled pokazatelja uspješnosti rada općinskih državnih odvjetništava pojedinačno po državnim odvjetništvima</w:t>
      </w:r>
    </w:p>
    <w:tbl>
      <w:tblPr>
        <w:tblW w:w="4655" w:type="pct"/>
        <w:tblInd w:w="250" w:type="dxa"/>
        <w:tblLayout w:type="fixed"/>
        <w:tblLook w:val="04A0" w:firstRow="1" w:lastRow="0" w:firstColumn="1" w:lastColumn="0" w:noHBand="0" w:noVBand="1"/>
      </w:tblPr>
      <w:tblGrid>
        <w:gridCol w:w="2693"/>
        <w:gridCol w:w="993"/>
        <w:gridCol w:w="993"/>
        <w:gridCol w:w="993"/>
        <w:gridCol w:w="993"/>
        <w:gridCol w:w="993"/>
        <w:gridCol w:w="989"/>
      </w:tblGrid>
      <w:tr w:rsidR="001F53E7" w:rsidRPr="001B4CA2" w14:paraId="5DB0C1C8" w14:textId="77777777" w:rsidTr="001F53E7">
        <w:trPr>
          <w:cantSplit/>
          <w:trHeight w:val="2330"/>
        </w:trPr>
        <w:tc>
          <w:tcPr>
            <w:tcW w:w="1558"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41D63D48"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Državno odvjetništvo</w:t>
            </w:r>
          </w:p>
        </w:tc>
        <w:tc>
          <w:tcPr>
            <w:tcW w:w="574"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52F9CF3E" w14:textId="640B34C2" w:rsidR="000740F7" w:rsidRPr="001B4CA2" w:rsidRDefault="000740F7" w:rsidP="006D0A51">
            <w:pPr>
              <w:ind w:left="113" w:right="113"/>
              <w:jc w:val="left"/>
              <w:rPr>
                <w:rFonts w:eastAsia="Times New Roman"/>
                <w:b/>
                <w:bCs/>
                <w:sz w:val="18"/>
                <w:szCs w:val="18"/>
                <w:lang w:eastAsia="hr-HR"/>
              </w:rPr>
            </w:pPr>
            <w:r w:rsidRPr="001B4CA2">
              <w:rPr>
                <w:rFonts w:eastAsia="Times New Roman"/>
                <w:b/>
                <w:bCs/>
                <w:sz w:val="18"/>
                <w:szCs w:val="18"/>
                <w:lang w:eastAsia="hr-HR"/>
              </w:rPr>
              <w:t>Broj zamjenika i savjetnika u DO</w:t>
            </w:r>
            <w:r w:rsidR="00A804EF">
              <w:rPr>
                <w:rFonts w:eastAsia="Times New Roman"/>
                <w:b/>
                <w:bCs/>
                <w:sz w:val="18"/>
                <w:szCs w:val="18"/>
                <w:lang w:eastAsia="hr-HR"/>
              </w:rPr>
              <w:t>-u</w:t>
            </w:r>
          </w:p>
        </w:tc>
        <w:tc>
          <w:tcPr>
            <w:tcW w:w="574"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5490606E" w14:textId="77777777" w:rsidR="000740F7" w:rsidRPr="001B4CA2" w:rsidRDefault="000740F7" w:rsidP="006D0A51">
            <w:pPr>
              <w:ind w:left="113" w:right="113"/>
              <w:jc w:val="left"/>
              <w:rPr>
                <w:rFonts w:eastAsia="Times New Roman"/>
                <w:b/>
                <w:bCs/>
                <w:sz w:val="18"/>
                <w:szCs w:val="18"/>
                <w:lang w:eastAsia="hr-HR"/>
              </w:rPr>
            </w:pPr>
            <w:r w:rsidRPr="001B4CA2">
              <w:rPr>
                <w:rFonts w:eastAsia="Times New Roman"/>
                <w:b/>
                <w:bCs/>
                <w:sz w:val="18"/>
                <w:szCs w:val="18"/>
                <w:lang w:eastAsia="hr-HR"/>
              </w:rPr>
              <w:t xml:space="preserve">Stvarna prisutnost </w:t>
            </w:r>
            <w:proofErr w:type="spellStart"/>
            <w:r w:rsidRPr="001B4CA2">
              <w:rPr>
                <w:rFonts w:eastAsia="Times New Roman"/>
                <w:b/>
                <w:bCs/>
                <w:sz w:val="18"/>
                <w:szCs w:val="18"/>
                <w:lang w:eastAsia="hr-HR"/>
              </w:rPr>
              <w:t>rješavatelja</w:t>
            </w:r>
            <w:proofErr w:type="spellEnd"/>
          </w:p>
        </w:tc>
        <w:tc>
          <w:tcPr>
            <w:tcW w:w="574"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41D02CCF" w14:textId="77777777" w:rsidR="000740F7" w:rsidRPr="001B4CA2" w:rsidRDefault="000740F7" w:rsidP="006D0A51">
            <w:pPr>
              <w:ind w:left="113" w:right="113"/>
              <w:jc w:val="left"/>
              <w:rPr>
                <w:rFonts w:eastAsia="Times New Roman"/>
                <w:b/>
                <w:bCs/>
                <w:sz w:val="18"/>
                <w:szCs w:val="18"/>
                <w:lang w:eastAsia="hr-HR"/>
              </w:rPr>
            </w:pPr>
            <w:r w:rsidRPr="001B4CA2">
              <w:rPr>
                <w:rFonts w:eastAsia="Times New Roman"/>
                <w:b/>
                <w:bCs/>
                <w:sz w:val="18"/>
                <w:szCs w:val="18"/>
                <w:lang w:eastAsia="hr-HR"/>
              </w:rPr>
              <w:t>Riješeno po zamjeniku/ savjetniku</w:t>
            </w:r>
          </w:p>
        </w:tc>
        <w:tc>
          <w:tcPr>
            <w:tcW w:w="574"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6A53DAA9" w14:textId="77777777" w:rsidR="000740F7" w:rsidRPr="001B4CA2" w:rsidRDefault="000740F7" w:rsidP="006D0A51">
            <w:pPr>
              <w:ind w:left="113" w:right="113"/>
              <w:jc w:val="left"/>
              <w:rPr>
                <w:rFonts w:eastAsia="Times New Roman"/>
                <w:b/>
                <w:bCs/>
                <w:sz w:val="18"/>
                <w:szCs w:val="18"/>
                <w:lang w:eastAsia="hr-HR"/>
              </w:rPr>
            </w:pPr>
            <w:r w:rsidRPr="001B4CA2">
              <w:rPr>
                <w:rFonts w:eastAsia="Times New Roman"/>
                <w:b/>
                <w:bCs/>
                <w:sz w:val="18"/>
                <w:szCs w:val="18"/>
                <w:lang w:eastAsia="hr-HR"/>
              </w:rPr>
              <w:t>Neriješeno po zamjeniku/savjetniku</w:t>
            </w:r>
          </w:p>
        </w:tc>
        <w:tc>
          <w:tcPr>
            <w:tcW w:w="574" w:type="pct"/>
            <w:tcBorders>
              <w:top w:val="single" w:sz="4" w:space="0" w:color="auto"/>
              <w:left w:val="nil"/>
              <w:bottom w:val="nil"/>
              <w:right w:val="single" w:sz="4" w:space="0" w:color="auto"/>
            </w:tcBorders>
            <w:shd w:val="clear" w:color="auto" w:fill="99CCFF"/>
            <w:noWrap/>
            <w:vAlign w:val="center"/>
            <w:hideMark/>
          </w:tcPr>
          <w:p w14:paraId="2DF880F4"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574" w:type="pct"/>
            <w:tcBorders>
              <w:top w:val="single" w:sz="4" w:space="0" w:color="auto"/>
              <w:left w:val="nil"/>
              <w:bottom w:val="nil"/>
              <w:right w:val="single" w:sz="4" w:space="0" w:color="auto"/>
            </w:tcBorders>
            <w:shd w:val="clear" w:color="auto" w:fill="99CCFF"/>
            <w:noWrap/>
            <w:vAlign w:val="center"/>
            <w:hideMark/>
          </w:tcPr>
          <w:p w14:paraId="3177D846"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DT</w:t>
            </w:r>
          </w:p>
        </w:tc>
      </w:tr>
      <w:tr w:rsidR="001F53E7" w:rsidRPr="001B4CA2" w14:paraId="51CDA314"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6106F304"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Bjelovaru</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A5C6BA" w14:textId="77777777" w:rsidR="000740F7" w:rsidRPr="001F53E7" w:rsidRDefault="000740F7" w:rsidP="006D0A51">
            <w:pPr>
              <w:jc w:val="center"/>
              <w:rPr>
                <w:color w:val="000000"/>
                <w:sz w:val="18"/>
                <w:szCs w:val="18"/>
              </w:rPr>
            </w:pPr>
            <w:r w:rsidRPr="001F53E7">
              <w:rPr>
                <w:color w:val="000000"/>
                <w:sz w:val="18"/>
                <w:szCs w:val="18"/>
              </w:rPr>
              <w:t>17</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5CB74" w14:textId="77777777" w:rsidR="000740F7" w:rsidRPr="001F53E7" w:rsidRDefault="000740F7" w:rsidP="006D0A51">
            <w:pPr>
              <w:jc w:val="center"/>
              <w:rPr>
                <w:color w:val="000000"/>
                <w:sz w:val="18"/>
                <w:szCs w:val="18"/>
              </w:rPr>
            </w:pPr>
            <w:r w:rsidRPr="001F53E7">
              <w:rPr>
                <w:color w:val="000000"/>
                <w:sz w:val="18"/>
                <w:szCs w:val="18"/>
              </w:rPr>
              <w:t>16,3</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ADA9D" w14:textId="77777777" w:rsidR="000740F7" w:rsidRPr="001F53E7" w:rsidRDefault="000740F7" w:rsidP="006D0A51">
            <w:pPr>
              <w:jc w:val="center"/>
              <w:rPr>
                <w:color w:val="000000"/>
                <w:sz w:val="18"/>
                <w:szCs w:val="18"/>
              </w:rPr>
            </w:pPr>
            <w:r w:rsidRPr="001F53E7">
              <w:rPr>
                <w:color w:val="000000"/>
                <w:sz w:val="18"/>
                <w:szCs w:val="18"/>
              </w:rPr>
              <w:t>406,0</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704178B9" w14:textId="77777777" w:rsidR="000740F7" w:rsidRPr="001F53E7" w:rsidRDefault="000740F7" w:rsidP="006D0A51">
            <w:pPr>
              <w:jc w:val="center"/>
              <w:rPr>
                <w:color w:val="000000"/>
                <w:sz w:val="18"/>
                <w:szCs w:val="18"/>
              </w:rPr>
            </w:pPr>
            <w:r w:rsidRPr="001F53E7">
              <w:rPr>
                <w:color w:val="000000"/>
                <w:sz w:val="18"/>
                <w:szCs w:val="18"/>
              </w:rPr>
              <w:t>55,8</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1AC13A2F" w14:textId="77777777" w:rsidR="000740F7" w:rsidRPr="001F53E7" w:rsidRDefault="000740F7" w:rsidP="006D0A51">
            <w:pPr>
              <w:jc w:val="center"/>
              <w:rPr>
                <w:color w:val="000000"/>
                <w:sz w:val="18"/>
                <w:szCs w:val="18"/>
              </w:rPr>
            </w:pPr>
            <w:r w:rsidRPr="001F53E7">
              <w:rPr>
                <w:color w:val="000000"/>
                <w:sz w:val="18"/>
                <w:szCs w:val="18"/>
              </w:rPr>
              <w:t>98%</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01E1E2FD" w14:textId="77777777" w:rsidR="000740F7" w:rsidRPr="001F53E7" w:rsidRDefault="000740F7" w:rsidP="006D0A51">
            <w:pPr>
              <w:jc w:val="center"/>
              <w:rPr>
                <w:color w:val="000000"/>
                <w:sz w:val="18"/>
                <w:szCs w:val="18"/>
              </w:rPr>
            </w:pPr>
            <w:r w:rsidRPr="001F53E7">
              <w:rPr>
                <w:color w:val="000000"/>
                <w:sz w:val="18"/>
                <w:szCs w:val="18"/>
              </w:rPr>
              <w:t>50,1</w:t>
            </w:r>
          </w:p>
        </w:tc>
      </w:tr>
      <w:tr w:rsidR="001F53E7" w:rsidRPr="001B4CA2" w14:paraId="04691E19"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58F625AF"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Čakovcu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6109F3C" w14:textId="77777777" w:rsidR="000740F7" w:rsidRPr="001F53E7" w:rsidRDefault="000740F7" w:rsidP="006D0A51">
            <w:pPr>
              <w:jc w:val="center"/>
              <w:rPr>
                <w:color w:val="000000"/>
                <w:sz w:val="18"/>
                <w:szCs w:val="18"/>
              </w:rPr>
            </w:pPr>
            <w:r w:rsidRPr="001F53E7">
              <w:rPr>
                <w:color w:val="000000"/>
                <w:sz w:val="18"/>
                <w:szCs w:val="18"/>
              </w:rPr>
              <w:t>12</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6B9B9E1" w14:textId="77777777" w:rsidR="000740F7" w:rsidRPr="001F53E7" w:rsidRDefault="000740F7" w:rsidP="006D0A51">
            <w:pPr>
              <w:jc w:val="center"/>
              <w:rPr>
                <w:color w:val="000000"/>
                <w:sz w:val="18"/>
                <w:szCs w:val="18"/>
              </w:rPr>
            </w:pPr>
            <w:r w:rsidRPr="001F53E7">
              <w:rPr>
                <w:color w:val="000000"/>
                <w:sz w:val="18"/>
                <w:szCs w:val="18"/>
              </w:rPr>
              <w:t>10,5</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4E1CDAF5" w14:textId="77777777" w:rsidR="000740F7" w:rsidRPr="001F53E7" w:rsidRDefault="000740F7" w:rsidP="006D0A51">
            <w:pPr>
              <w:jc w:val="center"/>
              <w:rPr>
                <w:color w:val="000000"/>
                <w:sz w:val="18"/>
                <w:szCs w:val="18"/>
              </w:rPr>
            </w:pPr>
            <w:r w:rsidRPr="001F53E7">
              <w:rPr>
                <w:color w:val="000000"/>
                <w:sz w:val="18"/>
                <w:szCs w:val="18"/>
              </w:rPr>
              <w:t>381,0</w:t>
            </w:r>
          </w:p>
        </w:tc>
        <w:tc>
          <w:tcPr>
            <w:tcW w:w="574" w:type="pct"/>
            <w:tcBorders>
              <w:top w:val="nil"/>
              <w:left w:val="nil"/>
              <w:bottom w:val="single" w:sz="4" w:space="0" w:color="auto"/>
              <w:right w:val="single" w:sz="4" w:space="0" w:color="auto"/>
            </w:tcBorders>
            <w:shd w:val="clear" w:color="auto" w:fill="auto"/>
            <w:noWrap/>
            <w:vAlign w:val="center"/>
          </w:tcPr>
          <w:p w14:paraId="4408CA56" w14:textId="77777777" w:rsidR="000740F7" w:rsidRPr="001F53E7" w:rsidRDefault="000740F7" w:rsidP="006D0A51">
            <w:pPr>
              <w:jc w:val="center"/>
              <w:rPr>
                <w:color w:val="000000"/>
                <w:sz w:val="18"/>
                <w:szCs w:val="18"/>
              </w:rPr>
            </w:pPr>
            <w:r w:rsidRPr="001F53E7">
              <w:rPr>
                <w:color w:val="000000"/>
                <w:sz w:val="18"/>
                <w:szCs w:val="18"/>
              </w:rPr>
              <w:t>58,7</w:t>
            </w:r>
          </w:p>
        </w:tc>
        <w:tc>
          <w:tcPr>
            <w:tcW w:w="574" w:type="pct"/>
            <w:tcBorders>
              <w:top w:val="nil"/>
              <w:left w:val="nil"/>
              <w:bottom w:val="single" w:sz="4" w:space="0" w:color="auto"/>
              <w:right w:val="single" w:sz="4" w:space="0" w:color="auto"/>
            </w:tcBorders>
            <w:shd w:val="clear" w:color="auto" w:fill="auto"/>
            <w:noWrap/>
            <w:vAlign w:val="center"/>
          </w:tcPr>
          <w:p w14:paraId="20471D36" w14:textId="77777777" w:rsidR="000740F7" w:rsidRPr="001F53E7" w:rsidRDefault="000740F7" w:rsidP="006D0A51">
            <w:pPr>
              <w:jc w:val="center"/>
              <w:rPr>
                <w:color w:val="000000"/>
                <w:sz w:val="18"/>
                <w:szCs w:val="18"/>
              </w:rPr>
            </w:pPr>
            <w:r w:rsidRPr="001F53E7">
              <w:rPr>
                <w:color w:val="000000"/>
                <w:sz w:val="18"/>
                <w:szCs w:val="18"/>
              </w:rPr>
              <w:t>101%</w:t>
            </w:r>
          </w:p>
        </w:tc>
        <w:tc>
          <w:tcPr>
            <w:tcW w:w="574" w:type="pct"/>
            <w:tcBorders>
              <w:top w:val="nil"/>
              <w:left w:val="nil"/>
              <w:bottom w:val="single" w:sz="4" w:space="0" w:color="auto"/>
              <w:right w:val="single" w:sz="4" w:space="0" w:color="auto"/>
            </w:tcBorders>
            <w:shd w:val="clear" w:color="auto" w:fill="auto"/>
            <w:noWrap/>
            <w:vAlign w:val="center"/>
          </w:tcPr>
          <w:p w14:paraId="63385D88" w14:textId="77777777" w:rsidR="000740F7" w:rsidRPr="001F53E7" w:rsidRDefault="000740F7" w:rsidP="006D0A51">
            <w:pPr>
              <w:jc w:val="center"/>
              <w:rPr>
                <w:color w:val="000000"/>
                <w:sz w:val="18"/>
                <w:szCs w:val="18"/>
              </w:rPr>
            </w:pPr>
            <w:r w:rsidRPr="001F53E7">
              <w:rPr>
                <w:color w:val="000000"/>
                <w:sz w:val="18"/>
                <w:szCs w:val="18"/>
              </w:rPr>
              <w:t>56,2</w:t>
            </w:r>
          </w:p>
        </w:tc>
      </w:tr>
      <w:tr w:rsidR="001F53E7" w:rsidRPr="001B4CA2" w14:paraId="2E0AB230"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4FB469F1"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Dubrovniku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5751199E" w14:textId="77777777" w:rsidR="000740F7" w:rsidRPr="001F53E7" w:rsidRDefault="000740F7" w:rsidP="006D0A51">
            <w:pPr>
              <w:jc w:val="center"/>
              <w:rPr>
                <w:color w:val="000000"/>
                <w:sz w:val="18"/>
                <w:szCs w:val="18"/>
              </w:rPr>
            </w:pPr>
            <w:r w:rsidRPr="001F53E7">
              <w:rPr>
                <w:color w:val="000000"/>
                <w:sz w:val="18"/>
                <w:szCs w:val="18"/>
              </w:rPr>
              <w:t>11</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5D509EC9" w14:textId="77777777" w:rsidR="000740F7" w:rsidRPr="001F53E7" w:rsidRDefault="000740F7" w:rsidP="006D0A51">
            <w:pPr>
              <w:jc w:val="center"/>
              <w:rPr>
                <w:color w:val="000000"/>
                <w:sz w:val="18"/>
                <w:szCs w:val="18"/>
              </w:rPr>
            </w:pPr>
            <w:r w:rsidRPr="001F53E7">
              <w:rPr>
                <w:color w:val="000000"/>
                <w:sz w:val="18"/>
                <w:szCs w:val="18"/>
              </w:rPr>
              <w:t>9,3</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8E85D6F" w14:textId="77777777" w:rsidR="000740F7" w:rsidRPr="001F53E7" w:rsidRDefault="000740F7" w:rsidP="006D0A51">
            <w:pPr>
              <w:jc w:val="center"/>
              <w:rPr>
                <w:color w:val="000000"/>
                <w:sz w:val="18"/>
                <w:szCs w:val="18"/>
              </w:rPr>
            </w:pPr>
            <w:r w:rsidRPr="001F53E7">
              <w:rPr>
                <w:color w:val="000000"/>
                <w:sz w:val="18"/>
                <w:szCs w:val="18"/>
              </w:rPr>
              <w:t>383,3</w:t>
            </w:r>
          </w:p>
        </w:tc>
        <w:tc>
          <w:tcPr>
            <w:tcW w:w="574" w:type="pct"/>
            <w:tcBorders>
              <w:top w:val="nil"/>
              <w:left w:val="nil"/>
              <w:bottom w:val="single" w:sz="4" w:space="0" w:color="auto"/>
              <w:right w:val="single" w:sz="4" w:space="0" w:color="auto"/>
            </w:tcBorders>
            <w:shd w:val="clear" w:color="auto" w:fill="auto"/>
            <w:noWrap/>
            <w:vAlign w:val="center"/>
          </w:tcPr>
          <w:p w14:paraId="0555520E" w14:textId="77777777" w:rsidR="000740F7" w:rsidRPr="001F53E7" w:rsidRDefault="000740F7" w:rsidP="006D0A51">
            <w:pPr>
              <w:jc w:val="center"/>
              <w:rPr>
                <w:color w:val="000000"/>
                <w:sz w:val="18"/>
                <w:szCs w:val="18"/>
              </w:rPr>
            </w:pPr>
            <w:r w:rsidRPr="001F53E7">
              <w:rPr>
                <w:color w:val="000000"/>
                <w:sz w:val="18"/>
                <w:szCs w:val="18"/>
              </w:rPr>
              <w:t>84,1</w:t>
            </w:r>
          </w:p>
        </w:tc>
        <w:tc>
          <w:tcPr>
            <w:tcW w:w="574" w:type="pct"/>
            <w:tcBorders>
              <w:top w:val="nil"/>
              <w:left w:val="nil"/>
              <w:bottom w:val="single" w:sz="4" w:space="0" w:color="auto"/>
              <w:right w:val="single" w:sz="4" w:space="0" w:color="auto"/>
            </w:tcBorders>
            <w:shd w:val="clear" w:color="auto" w:fill="auto"/>
            <w:noWrap/>
            <w:vAlign w:val="center"/>
          </w:tcPr>
          <w:p w14:paraId="353997C3" w14:textId="77777777" w:rsidR="000740F7" w:rsidRPr="001F53E7" w:rsidRDefault="000740F7" w:rsidP="006D0A51">
            <w:pPr>
              <w:jc w:val="center"/>
              <w:rPr>
                <w:color w:val="000000"/>
                <w:sz w:val="18"/>
                <w:szCs w:val="18"/>
              </w:rPr>
            </w:pPr>
            <w:r w:rsidRPr="001F53E7">
              <w:rPr>
                <w:color w:val="000000"/>
                <w:sz w:val="18"/>
                <w:szCs w:val="18"/>
              </w:rPr>
              <w:t>100%</w:t>
            </w:r>
          </w:p>
        </w:tc>
        <w:tc>
          <w:tcPr>
            <w:tcW w:w="574" w:type="pct"/>
            <w:tcBorders>
              <w:top w:val="nil"/>
              <w:left w:val="nil"/>
              <w:bottom w:val="single" w:sz="4" w:space="0" w:color="auto"/>
              <w:right w:val="single" w:sz="4" w:space="0" w:color="auto"/>
            </w:tcBorders>
            <w:shd w:val="clear" w:color="auto" w:fill="auto"/>
            <w:noWrap/>
            <w:vAlign w:val="center"/>
          </w:tcPr>
          <w:p w14:paraId="7D7FE1E9" w14:textId="77777777" w:rsidR="000740F7" w:rsidRPr="001F53E7" w:rsidRDefault="000740F7" w:rsidP="006D0A51">
            <w:pPr>
              <w:jc w:val="center"/>
              <w:rPr>
                <w:color w:val="000000"/>
                <w:sz w:val="18"/>
                <w:szCs w:val="18"/>
              </w:rPr>
            </w:pPr>
            <w:r w:rsidRPr="001F53E7">
              <w:rPr>
                <w:color w:val="000000"/>
                <w:sz w:val="18"/>
                <w:szCs w:val="18"/>
              </w:rPr>
              <w:t>80,1</w:t>
            </w:r>
          </w:p>
        </w:tc>
      </w:tr>
      <w:tr w:rsidR="001F53E7" w:rsidRPr="001B4CA2" w14:paraId="6EF1F8EB"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6B62AFBB"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Gospiću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43FC8009" w14:textId="77777777" w:rsidR="000740F7" w:rsidRPr="001F53E7" w:rsidRDefault="000740F7" w:rsidP="006D0A51">
            <w:pPr>
              <w:jc w:val="center"/>
              <w:rPr>
                <w:color w:val="000000"/>
                <w:sz w:val="18"/>
                <w:szCs w:val="18"/>
              </w:rPr>
            </w:pPr>
            <w:r w:rsidRPr="001F53E7">
              <w:rPr>
                <w:color w:val="000000"/>
                <w:sz w:val="18"/>
                <w:szCs w:val="18"/>
              </w:rPr>
              <w:t>8</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48C8B0B6" w14:textId="77777777" w:rsidR="000740F7" w:rsidRPr="001F53E7" w:rsidRDefault="000740F7" w:rsidP="006D0A51">
            <w:pPr>
              <w:jc w:val="center"/>
              <w:rPr>
                <w:color w:val="000000"/>
                <w:sz w:val="18"/>
                <w:szCs w:val="18"/>
              </w:rPr>
            </w:pPr>
            <w:r w:rsidRPr="001F53E7">
              <w:rPr>
                <w:color w:val="000000"/>
                <w:sz w:val="18"/>
                <w:szCs w:val="18"/>
              </w:rPr>
              <w:t>5,6</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56300EFB" w14:textId="77777777" w:rsidR="000740F7" w:rsidRPr="001F53E7" w:rsidRDefault="000740F7" w:rsidP="006D0A51">
            <w:pPr>
              <w:jc w:val="center"/>
              <w:rPr>
                <w:color w:val="000000"/>
                <w:sz w:val="18"/>
                <w:szCs w:val="18"/>
              </w:rPr>
            </w:pPr>
            <w:r w:rsidRPr="001F53E7">
              <w:rPr>
                <w:color w:val="000000"/>
                <w:sz w:val="18"/>
                <w:szCs w:val="18"/>
              </w:rPr>
              <w:t>452,9</w:t>
            </w:r>
          </w:p>
        </w:tc>
        <w:tc>
          <w:tcPr>
            <w:tcW w:w="574" w:type="pct"/>
            <w:tcBorders>
              <w:top w:val="nil"/>
              <w:left w:val="nil"/>
              <w:bottom w:val="single" w:sz="4" w:space="0" w:color="auto"/>
              <w:right w:val="single" w:sz="4" w:space="0" w:color="auto"/>
            </w:tcBorders>
            <w:shd w:val="clear" w:color="auto" w:fill="auto"/>
            <w:noWrap/>
            <w:vAlign w:val="center"/>
          </w:tcPr>
          <w:p w14:paraId="0CBB9D5C" w14:textId="77777777" w:rsidR="000740F7" w:rsidRPr="001F53E7" w:rsidRDefault="000740F7" w:rsidP="006D0A51">
            <w:pPr>
              <w:jc w:val="center"/>
              <w:rPr>
                <w:color w:val="000000"/>
                <w:sz w:val="18"/>
                <w:szCs w:val="18"/>
              </w:rPr>
            </w:pPr>
            <w:r w:rsidRPr="001F53E7">
              <w:rPr>
                <w:color w:val="000000"/>
                <w:sz w:val="18"/>
                <w:szCs w:val="18"/>
              </w:rPr>
              <w:t>83,0</w:t>
            </w:r>
          </w:p>
        </w:tc>
        <w:tc>
          <w:tcPr>
            <w:tcW w:w="574" w:type="pct"/>
            <w:tcBorders>
              <w:top w:val="nil"/>
              <w:left w:val="nil"/>
              <w:bottom w:val="single" w:sz="4" w:space="0" w:color="auto"/>
              <w:right w:val="single" w:sz="4" w:space="0" w:color="auto"/>
            </w:tcBorders>
            <w:shd w:val="clear" w:color="auto" w:fill="auto"/>
            <w:noWrap/>
            <w:vAlign w:val="center"/>
          </w:tcPr>
          <w:p w14:paraId="149094A9" w14:textId="77777777" w:rsidR="000740F7" w:rsidRPr="001F53E7" w:rsidRDefault="000740F7" w:rsidP="006D0A51">
            <w:pPr>
              <w:jc w:val="center"/>
              <w:rPr>
                <w:color w:val="000000"/>
                <w:sz w:val="18"/>
                <w:szCs w:val="18"/>
              </w:rPr>
            </w:pPr>
            <w:r w:rsidRPr="001F53E7">
              <w:rPr>
                <w:color w:val="000000"/>
                <w:sz w:val="18"/>
                <w:szCs w:val="18"/>
              </w:rPr>
              <w:t>95%</w:t>
            </w:r>
          </w:p>
        </w:tc>
        <w:tc>
          <w:tcPr>
            <w:tcW w:w="574" w:type="pct"/>
            <w:tcBorders>
              <w:top w:val="nil"/>
              <w:left w:val="nil"/>
              <w:bottom w:val="single" w:sz="4" w:space="0" w:color="auto"/>
              <w:right w:val="single" w:sz="4" w:space="0" w:color="auto"/>
            </w:tcBorders>
            <w:shd w:val="clear" w:color="auto" w:fill="auto"/>
            <w:noWrap/>
            <w:vAlign w:val="center"/>
          </w:tcPr>
          <w:p w14:paraId="09A3E0C1" w14:textId="77777777" w:rsidR="000740F7" w:rsidRPr="001F53E7" w:rsidRDefault="000740F7" w:rsidP="006D0A51">
            <w:pPr>
              <w:jc w:val="center"/>
              <w:rPr>
                <w:color w:val="000000"/>
                <w:sz w:val="18"/>
                <w:szCs w:val="18"/>
              </w:rPr>
            </w:pPr>
            <w:r w:rsidRPr="001F53E7">
              <w:rPr>
                <w:color w:val="000000"/>
                <w:sz w:val="18"/>
                <w:szCs w:val="18"/>
              </w:rPr>
              <w:t>66,9</w:t>
            </w:r>
          </w:p>
        </w:tc>
      </w:tr>
      <w:tr w:rsidR="001F53E7" w:rsidRPr="001B4CA2" w14:paraId="0B2BC68A"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53E74109"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Karlovcu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69B6E53C" w14:textId="77777777" w:rsidR="000740F7" w:rsidRPr="001F53E7" w:rsidRDefault="000740F7" w:rsidP="006D0A51">
            <w:pPr>
              <w:jc w:val="center"/>
              <w:rPr>
                <w:color w:val="000000"/>
                <w:sz w:val="18"/>
                <w:szCs w:val="18"/>
              </w:rPr>
            </w:pPr>
            <w:r w:rsidRPr="001F53E7">
              <w:rPr>
                <w:color w:val="000000"/>
                <w:sz w:val="18"/>
                <w:szCs w:val="18"/>
              </w:rPr>
              <w:t>21</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28852F60" w14:textId="77777777" w:rsidR="000740F7" w:rsidRPr="001F53E7" w:rsidRDefault="000740F7" w:rsidP="006D0A51">
            <w:pPr>
              <w:jc w:val="center"/>
              <w:rPr>
                <w:color w:val="000000"/>
                <w:sz w:val="18"/>
                <w:szCs w:val="18"/>
              </w:rPr>
            </w:pPr>
            <w:r w:rsidRPr="001F53E7">
              <w:rPr>
                <w:color w:val="000000"/>
                <w:sz w:val="18"/>
                <w:szCs w:val="18"/>
              </w:rPr>
              <w:t>19,8</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18774407" w14:textId="77777777" w:rsidR="000740F7" w:rsidRPr="001F53E7" w:rsidRDefault="000740F7" w:rsidP="006D0A51">
            <w:pPr>
              <w:jc w:val="center"/>
              <w:rPr>
                <w:color w:val="000000"/>
                <w:sz w:val="18"/>
                <w:szCs w:val="18"/>
              </w:rPr>
            </w:pPr>
            <w:r w:rsidRPr="001F53E7">
              <w:rPr>
                <w:color w:val="000000"/>
                <w:sz w:val="18"/>
                <w:szCs w:val="18"/>
              </w:rPr>
              <w:t>340,2</w:t>
            </w:r>
          </w:p>
        </w:tc>
        <w:tc>
          <w:tcPr>
            <w:tcW w:w="574" w:type="pct"/>
            <w:tcBorders>
              <w:top w:val="nil"/>
              <w:left w:val="nil"/>
              <w:bottom w:val="single" w:sz="4" w:space="0" w:color="auto"/>
              <w:right w:val="single" w:sz="4" w:space="0" w:color="auto"/>
            </w:tcBorders>
            <w:shd w:val="clear" w:color="auto" w:fill="auto"/>
            <w:noWrap/>
            <w:vAlign w:val="center"/>
          </w:tcPr>
          <w:p w14:paraId="32798554" w14:textId="77777777" w:rsidR="000740F7" w:rsidRPr="001F53E7" w:rsidRDefault="000740F7" w:rsidP="006D0A51">
            <w:pPr>
              <w:jc w:val="center"/>
              <w:rPr>
                <w:color w:val="000000"/>
                <w:sz w:val="18"/>
                <w:szCs w:val="18"/>
              </w:rPr>
            </w:pPr>
            <w:r w:rsidRPr="001F53E7">
              <w:rPr>
                <w:color w:val="000000"/>
                <w:sz w:val="18"/>
                <w:szCs w:val="18"/>
              </w:rPr>
              <w:t>47,6</w:t>
            </w:r>
          </w:p>
        </w:tc>
        <w:tc>
          <w:tcPr>
            <w:tcW w:w="574" w:type="pct"/>
            <w:tcBorders>
              <w:top w:val="nil"/>
              <w:left w:val="nil"/>
              <w:bottom w:val="single" w:sz="4" w:space="0" w:color="auto"/>
              <w:right w:val="single" w:sz="4" w:space="0" w:color="auto"/>
            </w:tcBorders>
            <w:shd w:val="clear" w:color="auto" w:fill="auto"/>
            <w:noWrap/>
            <w:vAlign w:val="center"/>
          </w:tcPr>
          <w:p w14:paraId="7AFCB79C" w14:textId="77777777" w:rsidR="000740F7" w:rsidRPr="001F53E7" w:rsidRDefault="000740F7" w:rsidP="006D0A51">
            <w:pPr>
              <w:jc w:val="center"/>
              <w:rPr>
                <w:color w:val="000000"/>
                <w:sz w:val="18"/>
                <w:szCs w:val="18"/>
              </w:rPr>
            </w:pPr>
            <w:r w:rsidRPr="001F53E7">
              <w:rPr>
                <w:color w:val="000000"/>
                <w:sz w:val="18"/>
                <w:szCs w:val="18"/>
              </w:rPr>
              <w:t>98%</w:t>
            </w:r>
          </w:p>
        </w:tc>
        <w:tc>
          <w:tcPr>
            <w:tcW w:w="574" w:type="pct"/>
            <w:tcBorders>
              <w:top w:val="nil"/>
              <w:left w:val="nil"/>
              <w:bottom w:val="single" w:sz="4" w:space="0" w:color="auto"/>
              <w:right w:val="single" w:sz="4" w:space="0" w:color="auto"/>
            </w:tcBorders>
            <w:shd w:val="clear" w:color="auto" w:fill="auto"/>
            <w:noWrap/>
            <w:vAlign w:val="center"/>
          </w:tcPr>
          <w:p w14:paraId="4C1CE28B" w14:textId="77777777" w:rsidR="000740F7" w:rsidRPr="001F53E7" w:rsidRDefault="000740F7" w:rsidP="006D0A51">
            <w:pPr>
              <w:jc w:val="center"/>
              <w:rPr>
                <w:color w:val="000000"/>
                <w:sz w:val="18"/>
                <w:szCs w:val="18"/>
              </w:rPr>
            </w:pPr>
            <w:r w:rsidRPr="001F53E7">
              <w:rPr>
                <w:color w:val="000000"/>
                <w:sz w:val="18"/>
                <w:szCs w:val="18"/>
              </w:rPr>
              <w:t>51,1</w:t>
            </w:r>
          </w:p>
        </w:tc>
      </w:tr>
      <w:tr w:rsidR="001F53E7" w:rsidRPr="001B4CA2" w14:paraId="2CCCC75D"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296C6005"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Koprivnici</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3DAC6906" w14:textId="77777777" w:rsidR="000740F7" w:rsidRPr="001F53E7" w:rsidRDefault="000740F7" w:rsidP="006D0A51">
            <w:pPr>
              <w:jc w:val="center"/>
              <w:rPr>
                <w:color w:val="000000"/>
                <w:sz w:val="18"/>
                <w:szCs w:val="18"/>
              </w:rPr>
            </w:pPr>
            <w:r w:rsidRPr="001F53E7">
              <w:rPr>
                <w:color w:val="000000"/>
                <w:sz w:val="18"/>
                <w:szCs w:val="18"/>
              </w:rPr>
              <w:t>11</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1A45D06B" w14:textId="77777777" w:rsidR="000740F7" w:rsidRPr="001F53E7" w:rsidRDefault="000740F7" w:rsidP="006D0A51">
            <w:pPr>
              <w:jc w:val="center"/>
              <w:rPr>
                <w:color w:val="000000"/>
                <w:sz w:val="18"/>
                <w:szCs w:val="18"/>
              </w:rPr>
            </w:pPr>
            <w:r w:rsidRPr="001F53E7">
              <w:rPr>
                <w:color w:val="000000"/>
                <w:sz w:val="18"/>
                <w:szCs w:val="18"/>
              </w:rPr>
              <w:t>10,5</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0359460F" w14:textId="77777777" w:rsidR="000740F7" w:rsidRPr="001F53E7" w:rsidRDefault="000740F7" w:rsidP="006D0A51">
            <w:pPr>
              <w:jc w:val="center"/>
              <w:rPr>
                <w:color w:val="000000"/>
                <w:sz w:val="18"/>
                <w:szCs w:val="18"/>
              </w:rPr>
            </w:pPr>
            <w:r w:rsidRPr="001F53E7">
              <w:rPr>
                <w:color w:val="000000"/>
                <w:sz w:val="18"/>
                <w:szCs w:val="18"/>
              </w:rPr>
              <w:t>288,9</w:t>
            </w:r>
          </w:p>
        </w:tc>
        <w:tc>
          <w:tcPr>
            <w:tcW w:w="574" w:type="pct"/>
            <w:tcBorders>
              <w:top w:val="nil"/>
              <w:left w:val="nil"/>
              <w:bottom w:val="single" w:sz="4" w:space="0" w:color="auto"/>
              <w:right w:val="single" w:sz="4" w:space="0" w:color="auto"/>
            </w:tcBorders>
            <w:shd w:val="clear" w:color="auto" w:fill="auto"/>
            <w:noWrap/>
            <w:vAlign w:val="center"/>
          </w:tcPr>
          <w:p w14:paraId="12E14EDF" w14:textId="77777777" w:rsidR="000740F7" w:rsidRPr="001F53E7" w:rsidRDefault="000740F7" w:rsidP="006D0A51">
            <w:pPr>
              <w:jc w:val="center"/>
              <w:rPr>
                <w:color w:val="000000"/>
                <w:sz w:val="18"/>
                <w:szCs w:val="18"/>
              </w:rPr>
            </w:pPr>
            <w:r w:rsidRPr="001F53E7">
              <w:rPr>
                <w:color w:val="000000"/>
                <w:sz w:val="18"/>
                <w:szCs w:val="18"/>
              </w:rPr>
              <w:t>60,5</w:t>
            </w:r>
          </w:p>
        </w:tc>
        <w:tc>
          <w:tcPr>
            <w:tcW w:w="574" w:type="pct"/>
            <w:tcBorders>
              <w:top w:val="nil"/>
              <w:left w:val="nil"/>
              <w:bottom w:val="single" w:sz="4" w:space="0" w:color="auto"/>
              <w:right w:val="single" w:sz="4" w:space="0" w:color="auto"/>
            </w:tcBorders>
            <w:shd w:val="clear" w:color="auto" w:fill="auto"/>
            <w:noWrap/>
            <w:vAlign w:val="center"/>
          </w:tcPr>
          <w:p w14:paraId="689B74EF" w14:textId="77777777" w:rsidR="000740F7" w:rsidRPr="001F53E7" w:rsidRDefault="000740F7" w:rsidP="006D0A51">
            <w:pPr>
              <w:jc w:val="center"/>
              <w:rPr>
                <w:color w:val="000000"/>
                <w:sz w:val="18"/>
                <w:szCs w:val="18"/>
              </w:rPr>
            </w:pPr>
            <w:r w:rsidRPr="001F53E7">
              <w:rPr>
                <w:color w:val="000000"/>
                <w:sz w:val="18"/>
                <w:szCs w:val="18"/>
              </w:rPr>
              <w:t>96%</w:t>
            </w:r>
          </w:p>
        </w:tc>
        <w:tc>
          <w:tcPr>
            <w:tcW w:w="574" w:type="pct"/>
            <w:tcBorders>
              <w:top w:val="nil"/>
              <w:left w:val="nil"/>
              <w:bottom w:val="single" w:sz="4" w:space="0" w:color="auto"/>
              <w:right w:val="single" w:sz="4" w:space="0" w:color="auto"/>
            </w:tcBorders>
            <w:shd w:val="clear" w:color="auto" w:fill="auto"/>
            <w:noWrap/>
            <w:vAlign w:val="center"/>
          </w:tcPr>
          <w:p w14:paraId="2EE1F04F" w14:textId="77777777" w:rsidR="000740F7" w:rsidRPr="001F53E7" w:rsidRDefault="000740F7" w:rsidP="006D0A51">
            <w:pPr>
              <w:jc w:val="center"/>
              <w:rPr>
                <w:color w:val="000000"/>
                <w:sz w:val="18"/>
                <w:szCs w:val="18"/>
              </w:rPr>
            </w:pPr>
            <w:r w:rsidRPr="001F53E7">
              <w:rPr>
                <w:color w:val="000000"/>
                <w:sz w:val="18"/>
                <w:szCs w:val="18"/>
              </w:rPr>
              <w:t>76,4</w:t>
            </w:r>
          </w:p>
        </w:tc>
      </w:tr>
      <w:tr w:rsidR="001F53E7" w:rsidRPr="001B4CA2" w14:paraId="47B6DF16"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47090B42"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Metkoviću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4101BFF6" w14:textId="77777777" w:rsidR="000740F7" w:rsidRPr="001F53E7" w:rsidRDefault="000740F7" w:rsidP="006D0A51">
            <w:pPr>
              <w:jc w:val="center"/>
              <w:rPr>
                <w:color w:val="000000"/>
                <w:sz w:val="18"/>
                <w:szCs w:val="18"/>
              </w:rPr>
            </w:pPr>
            <w:r w:rsidRPr="001F53E7">
              <w:rPr>
                <w:color w:val="000000"/>
                <w:sz w:val="18"/>
                <w:szCs w:val="18"/>
              </w:rPr>
              <w:t>6</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B2E2A2A" w14:textId="77777777" w:rsidR="000740F7" w:rsidRPr="001F53E7" w:rsidRDefault="000740F7" w:rsidP="006D0A51">
            <w:pPr>
              <w:jc w:val="center"/>
              <w:rPr>
                <w:color w:val="000000"/>
                <w:sz w:val="18"/>
                <w:szCs w:val="18"/>
              </w:rPr>
            </w:pPr>
            <w:r w:rsidRPr="001F53E7">
              <w:rPr>
                <w:color w:val="000000"/>
                <w:sz w:val="18"/>
                <w:szCs w:val="18"/>
              </w:rPr>
              <w:t>6</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35147961" w14:textId="77777777" w:rsidR="000740F7" w:rsidRPr="001F53E7" w:rsidRDefault="000740F7" w:rsidP="006D0A51">
            <w:pPr>
              <w:jc w:val="center"/>
              <w:rPr>
                <w:color w:val="000000"/>
                <w:sz w:val="18"/>
                <w:szCs w:val="18"/>
              </w:rPr>
            </w:pPr>
            <w:r w:rsidRPr="001F53E7">
              <w:rPr>
                <w:color w:val="000000"/>
                <w:sz w:val="18"/>
                <w:szCs w:val="18"/>
              </w:rPr>
              <w:t>318,2</w:t>
            </w:r>
          </w:p>
        </w:tc>
        <w:tc>
          <w:tcPr>
            <w:tcW w:w="574" w:type="pct"/>
            <w:tcBorders>
              <w:top w:val="nil"/>
              <w:left w:val="nil"/>
              <w:bottom w:val="single" w:sz="4" w:space="0" w:color="auto"/>
              <w:right w:val="single" w:sz="4" w:space="0" w:color="auto"/>
            </w:tcBorders>
            <w:shd w:val="clear" w:color="auto" w:fill="auto"/>
            <w:noWrap/>
            <w:vAlign w:val="center"/>
          </w:tcPr>
          <w:p w14:paraId="6D815C45" w14:textId="77777777" w:rsidR="000740F7" w:rsidRPr="001F53E7" w:rsidRDefault="000740F7" w:rsidP="006D0A51">
            <w:pPr>
              <w:jc w:val="center"/>
              <w:rPr>
                <w:color w:val="000000"/>
                <w:sz w:val="18"/>
                <w:szCs w:val="18"/>
              </w:rPr>
            </w:pPr>
            <w:r w:rsidRPr="001F53E7">
              <w:rPr>
                <w:color w:val="000000"/>
                <w:sz w:val="18"/>
                <w:szCs w:val="18"/>
              </w:rPr>
              <w:t>38,7</w:t>
            </w:r>
          </w:p>
        </w:tc>
        <w:tc>
          <w:tcPr>
            <w:tcW w:w="574" w:type="pct"/>
            <w:tcBorders>
              <w:top w:val="nil"/>
              <w:left w:val="nil"/>
              <w:bottom w:val="single" w:sz="4" w:space="0" w:color="auto"/>
              <w:right w:val="single" w:sz="4" w:space="0" w:color="auto"/>
            </w:tcBorders>
            <w:shd w:val="clear" w:color="auto" w:fill="auto"/>
            <w:noWrap/>
            <w:vAlign w:val="center"/>
          </w:tcPr>
          <w:p w14:paraId="16BDC1B3" w14:textId="77777777" w:rsidR="000740F7" w:rsidRPr="001F53E7" w:rsidRDefault="000740F7" w:rsidP="006D0A51">
            <w:pPr>
              <w:jc w:val="center"/>
              <w:rPr>
                <w:color w:val="000000"/>
                <w:sz w:val="18"/>
                <w:szCs w:val="18"/>
              </w:rPr>
            </w:pPr>
            <w:r w:rsidRPr="001F53E7">
              <w:rPr>
                <w:color w:val="000000"/>
                <w:sz w:val="18"/>
                <w:szCs w:val="18"/>
              </w:rPr>
              <w:t>102%</w:t>
            </w:r>
          </w:p>
        </w:tc>
        <w:tc>
          <w:tcPr>
            <w:tcW w:w="574" w:type="pct"/>
            <w:tcBorders>
              <w:top w:val="nil"/>
              <w:left w:val="nil"/>
              <w:bottom w:val="single" w:sz="4" w:space="0" w:color="auto"/>
              <w:right w:val="single" w:sz="4" w:space="0" w:color="auto"/>
            </w:tcBorders>
            <w:shd w:val="clear" w:color="auto" w:fill="auto"/>
            <w:noWrap/>
            <w:vAlign w:val="center"/>
          </w:tcPr>
          <w:p w14:paraId="08BCA29C" w14:textId="77777777" w:rsidR="000740F7" w:rsidRPr="001F53E7" w:rsidRDefault="000740F7" w:rsidP="006D0A51">
            <w:pPr>
              <w:jc w:val="center"/>
              <w:rPr>
                <w:color w:val="000000"/>
                <w:sz w:val="18"/>
                <w:szCs w:val="18"/>
              </w:rPr>
            </w:pPr>
            <w:r w:rsidRPr="001F53E7">
              <w:rPr>
                <w:color w:val="000000"/>
                <w:sz w:val="18"/>
                <w:szCs w:val="18"/>
              </w:rPr>
              <w:t>44,4</w:t>
            </w:r>
          </w:p>
        </w:tc>
      </w:tr>
      <w:tr w:rsidR="001F53E7" w:rsidRPr="001B4CA2" w14:paraId="139296DA"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4D993378"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Novom Zagrebu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095872B1" w14:textId="77777777" w:rsidR="000740F7" w:rsidRPr="001F53E7" w:rsidRDefault="000740F7" w:rsidP="006D0A51">
            <w:pPr>
              <w:jc w:val="center"/>
              <w:rPr>
                <w:color w:val="000000"/>
                <w:sz w:val="18"/>
                <w:szCs w:val="18"/>
              </w:rPr>
            </w:pPr>
            <w:r w:rsidRPr="001F53E7">
              <w:rPr>
                <w:color w:val="000000"/>
                <w:sz w:val="18"/>
                <w:szCs w:val="18"/>
              </w:rPr>
              <w:t>21</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21349997" w14:textId="77777777" w:rsidR="000740F7" w:rsidRPr="001F53E7" w:rsidRDefault="000740F7" w:rsidP="006D0A51">
            <w:pPr>
              <w:jc w:val="center"/>
              <w:rPr>
                <w:color w:val="000000"/>
                <w:sz w:val="18"/>
                <w:szCs w:val="18"/>
              </w:rPr>
            </w:pPr>
            <w:r w:rsidRPr="001F53E7">
              <w:rPr>
                <w:color w:val="000000"/>
                <w:sz w:val="18"/>
                <w:szCs w:val="18"/>
              </w:rPr>
              <w:t>15,31</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9F4EC8D" w14:textId="77777777" w:rsidR="000740F7" w:rsidRPr="001F53E7" w:rsidRDefault="000740F7" w:rsidP="006D0A51">
            <w:pPr>
              <w:jc w:val="center"/>
              <w:rPr>
                <w:color w:val="000000"/>
                <w:sz w:val="18"/>
                <w:szCs w:val="18"/>
              </w:rPr>
            </w:pPr>
            <w:r w:rsidRPr="001F53E7">
              <w:rPr>
                <w:color w:val="000000"/>
                <w:sz w:val="18"/>
                <w:szCs w:val="18"/>
              </w:rPr>
              <w:t>393,9</w:t>
            </w:r>
          </w:p>
        </w:tc>
        <w:tc>
          <w:tcPr>
            <w:tcW w:w="574" w:type="pct"/>
            <w:tcBorders>
              <w:top w:val="nil"/>
              <w:left w:val="nil"/>
              <w:bottom w:val="single" w:sz="4" w:space="0" w:color="auto"/>
              <w:right w:val="single" w:sz="4" w:space="0" w:color="auto"/>
            </w:tcBorders>
            <w:shd w:val="clear" w:color="auto" w:fill="auto"/>
            <w:noWrap/>
            <w:vAlign w:val="center"/>
          </w:tcPr>
          <w:p w14:paraId="4423CDFD" w14:textId="77777777" w:rsidR="000740F7" w:rsidRPr="001F53E7" w:rsidRDefault="000740F7" w:rsidP="006D0A51">
            <w:pPr>
              <w:jc w:val="center"/>
              <w:rPr>
                <w:color w:val="000000"/>
                <w:sz w:val="18"/>
                <w:szCs w:val="18"/>
              </w:rPr>
            </w:pPr>
            <w:r w:rsidRPr="001F53E7">
              <w:rPr>
                <w:color w:val="000000"/>
                <w:sz w:val="18"/>
                <w:szCs w:val="18"/>
              </w:rPr>
              <w:t>185,8</w:t>
            </w:r>
          </w:p>
        </w:tc>
        <w:tc>
          <w:tcPr>
            <w:tcW w:w="574" w:type="pct"/>
            <w:tcBorders>
              <w:top w:val="nil"/>
              <w:left w:val="nil"/>
              <w:bottom w:val="single" w:sz="4" w:space="0" w:color="auto"/>
              <w:right w:val="single" w:sz="4" w:space="0" w:color="auto"/>
            </w:tcBorders>
            <w:shd w:val="clear" w:color="auto" w:fill="auto"/>
            <w:noWrap/>
            <w:vAlign w:val="center"/>
          </w:tcPr>
          <w:p w14:paraId="2CA24AFD" w14:textId="77777777" w:rsidR="000740F7" w:rsidRPr="001F53E7" w:rsidRDefault="000740F7" w:rsidP="006D0A51">
            <w:pPr>
              <w:jc w:val="center"/>
              <w:rPr>
                <w:color w:val="000000"/>
                <w:sz w:val="18"/>
                <w:szCs w:val="18"/>
              </w:rPr>
            </w:pPr>
            <w:r w:rsidRPr="001F53E7">
              <w:rPr>
                <w:color w:val="000000"/>
                <w:sz w:val="18"/>
                <w:szCs w:val="18"/>
              </w:rPr>
              <w:t>92%</w:t>
            </w:r>
          </w:p>
        </w:tc>
        <w:tc>
          <w:tcPr>
            <w:tcW w:w="574" w:type="pct"/>
            <w:tcBorders>
              <w:top w:val="nil"/>
              <w:left w:val="nil"/>
              <w:bottom w:val="single" w:sz="4" w:space="0" w:color="auto"/>
              <w:right w:val="single" w:sz="4" w:space="0" w:color="auto"/>
            </w:tcBorders>
            <w:shd w:val="clear" w:color="auto" w:fill="auto"/>
            <w:noWrap/>
            <w:vAlign w:val="center"/>
          </w:tcPr>
          <w:p w14:paraId="69238AD9" w14:textId="77777777" w:rsidR="000740F7" w:rsidRPr="001F53E7" w:rsidRDefault="000740F7" w:rsidP="006D0A51">
            <w:pPr>
              <w:jc w:val="center"/>
              <w:rPr>
                <w:color w:val="000000"/>
                <w:sz w:val="18"/>
                <w:szCs w:val="18"/>
              </w:rPr>
            </w:pPr>
            <w:r w:rsidRPr="001F53E7">
              <w:rPr>
                <w:color w:val="000000"/>
                <w:sz w:val="18"/>
                <w:szCs w:val="18"/>
              </w:rPr>
              <w:t>172,1</w:t>
            </w:r>
          </w:p>
        </w:tc>
      </w:tr>
      <w:tr w:rsidR="001F53E7" w:rsidRPr="001B4CA2" w14:paraId="5D5AC7A9"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79B1F1DF"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Osijeku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3A98FF8F" w14:textId="77777777" w:rsidR="000740F7" w:rsidRPr="001F53E7" w:rsidRDefault="000740F7" w:rsidP="006D0A51">
            <w:pPr>
              <w:jc w:val="center"/>
              <w:rPr>
                <w:color w:val="000000"/>
                <w:sz w:val="18"/>
                <w:szCs w:val="18"/>
              </w:rPr>
            </w:pPr>
            <w:r w:rsidRPr="001F53E7">
              <w:rPr>
                <w:color w:val="000000"/>
                <w:sz w:val="18"/>
                <w:szCs w:val="18"/>
              </w:rPr>
              <w:t>37</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1A90DB0E" w14:textId="77777777" w:rsidR="000740F7" w:rsidRPr="001F53E7" w:rsidRDefault="000740F7" w:rsidP="006D0A51">
            <w:pPr>
              <w:jc w:val="center"/>
              <w:rPr>
                <w:color w:val="000000"/>
                <w:sz w:val="18"/>
                <w:szCs w:val="18"/>
              </w:rPr>
            </w:pPr>
            <w:r w:rsidRPr="001F53E7">
              <w:rPr>
                <w:color w:val="000000"/>
                <w:sz w:val="18"/>
                <w:szCs w:val="18"/>
              </w:rPr>
              <w:t>29,9</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42307437" w14:textId="77777777" w:rsidR="000740F7" w:rsidRPr="001F53E7" w:rsidRDefault="000740F7" w:rsidP="006D0A51">
            <w:pPr>
              <w:jc w:val="center"/>
              <w:rPr>
                <w:color w:val="000000"/>
                <w:sz w:val="18"/>
                <w:szCs w:val="18"/>
              </w:rPr>
            </w:pPr>
            <w:r w:rsidRPr="001F53E7">
              <w:rPr>
                <w:color w:val="000000"/>
                <w:sz w:val="18"/>
                <w:szCs w:val="18"/>
              </w:rPr>
              <w:t>335,4</w:t>
            </w:r>
          </w:p>
        </w:tc>
        <w:tc>
          <w:tcPr>
            <w:tcW w:w="574" w:type="pct"/>
            <w:tcBorders>
              <w:top w:val="nil"/>
              <w:left w:val="nil"/>
              <w:bottom w:val="single" w:sz="4" w:space="0" w:color="auto"/>
              <w:right w:val="single" w:sz="4" w:space="0" w:color="auto"/>
            </w:tcBorders>
            <w:shd w:val="clear" w:color="auto" w:fill="auto"/>
            <w:noWrap/>
            <w:vAlign w:val="center"/>
          </w:tcPr>
          <w:p w14:paraId="57E72A6F" w14:textId="77777777" w:rsidR="000740F7" w:rsidRPr="001F53E7" w:rsidRDefault="000740F7" w:rsidP="006D0A51">
            <w:pPr>
              <w:jc w:val="center"/>
              <w:rPr>
                <w:color w:val="000000"/>
                <w:sz w:val="18"/>
                <w:szCs w:val="18"/>
              </w:rPr>
            </w:pPr>
            <w:r w:rsidRPr="001F53E7">
              <w:rPr>
                <w:color w:val="000000"/>
                <w:sz w:val="18"/>
                <w:szCs w:val="18"/>
              </w:rPr>
              <w:t>50,1</w:t>
            </w:r>
          </w:p>
        </w:tc>
        <w:tc>
          <w:tcPr>
            <w:tcW w:w="574" w:type="pct"/>
            <w:tcBorders>
              <w:top w:val="nil"/>
              <w:left w:val="nil"/>
              <w:bottom w:val="single" w:sz="4" w:space="0" w:color="auto"/>
              <w:right w:val="single" w:sz="4" w:space="0" w:color="auto"/>
            </w:tcBorders>
            <w:shd w:val="clear" w:color="auto" w:fill="auto"/>
            <w:noWrap/>
            <w:vAlign w:val="center"/>
          </w:tcPr>
          <w:p w14:paraId="5A53D6F7" w14:textId="77777777" w:rsidR="000740F7" w:rsidRPr="001F53E7" w:rsidRDefault="000740F7" w:rsidP="006D0A51">
            <w:pPr>
              <w:jc w:val="center"/>
              <w:rPr>
                <w:color w:val="000000"/>
                <w:sz w:val="18"/>
                <w:szCs w:val="18"/>
              </w:rPr>
            </w:pPr>
            <w:r w:rsidRPr="001F53E7">
              <w:rPr>
                <w:color w:val="000000"/>
                <w:sz w:val="18"/>
                <w:szCs w:val="18"/>
              </w:rPr>
              <w:t>96%</w:t>
            </w:r>
          </w:p>
        </w:tc>
        <w:tc>
          <w:tcPr>
            <w:tcW w:w="574" w:type="pct"/>
            <w:tcBorders>
              <w:top w:val="nil"/>
              <w:left w:val="nil"/>
              <w:bottom w:val="single" w:sz="4" w:space="0" w:color="auto"/>
              <w:right w:val="single" w:sz="4" w:space="0" w:color="auto"/>
            </w:tcBorders>
            <w:shd w:val="clear" w:color="auto" w:fill="auto"/>
            <w:noWrap/>
            <w:vAlign w:val="center"/>
          </w:tcPr>
          <w:p w14:paraId="5D6A981F" w14:textId="77777777" w:rsidR="000740F7" w:rsidRPr="001F53E7" w:rsidRDefault="000740F7" w:rsidP="006D0A51">
            <w:pPr>
              <w:jc w:val="center"/>
              <w:rPr>
                <w:color w:val="000000"/>
                <w:sz w:val="18"/>
                <w:szCs w:val="18"/>
              </w:rPr>
            </w:pPr>
            <w:r w:rsidRPr="001F53E7">
              <w:rPr>
                <w:color w:val="000000"/>
                <w:sz w:val="18"/>
                <w:szCs w:val="18"/>
              </w:rPr>
              <w:t>54,5</w:t>
            </w:r>
          </w:p>
        </w:tc>
      </w:tr>
      <w:tr w:rsidR="001F53E7" w:rsidRPr="001B4CA2" w14:paraId="48F7009A"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7EAA7588"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Pazinu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6C6BEC1F" w14:textId="77777777" w:rsidR="000740F7" w:rsidRPr="001F53E7" w:rsidRDefault="000740F7" w:rsidP="006D0A51">
            <w:pPr>
              <w:jc w:val="center"/>
              <w:rPr>
                <w:color w:val="000000"/>
                <w:sz w:val="18"/>
                <w:szCs w:val="18"/>
              </w:rPr>
            </w:pPr>
            <w:r w:rsidRPr="001F53E7">
              <w:rPr>
                <w:color w:val="000000"/>
                <w:sz w:val="18"/>
                <w:szCs w:val="18"/>
              </w:rPr>
              <w:t>17</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034E5C13" w14:textId="77777777" w:rsidR="000740F7" w:rsidRPr="001F53E7" w:rsidRDefault="000740F7" w:rsidP="006D0A51">
            <w:pPr>
              <w:jc w:val="center"/>
              <w:rPr>
                <w:color w:val="000000"/>
                <w:sz w:val="18"/>
                <w:szCs w:val="18"/>
              </w:rPr>
            </w:pPr>
            <w:r w:rsidRPr="001F53E7">
              <w:rPr>
                <w:color w:val="000000"/>
                <w:sz w:val="18"/>
                <w:szCs w:val="18"/>
              </w:rPr>
              <w:t>14,7</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02EED49" w14:textId="77777777" w:rsidR="000740F7" w:rsidRPr="001F53E7" w:rsidRDefault="000740F7" w:rsidP="006D0A51">
            <w:pPr>
              <w:jc w:val="center"/>
              <w:rPr>
                <w:color w:val="000000"/>
                <w:sz w:val="18"/>
                <w:szCs w:val="18"/>
              </w:rPr>
            </w:pPr>
            <w:r w:rsidRPr="001F53E7">
              <w:rPr>
                <w:color w:val="000000"/>
                <w:sz w:val="18"/>
                <w:szCs w:val="18"/>
              </w:rPr>
              <w:t>339,7</w:t>
            </w:r>
          </w:p>
        </w:tc>
        <w:tc>
          <w:tcPr>
            <w:tcW w:w="574" w:type="pct"/>
            <w:tcBorders>
              <w:top w:val="nil"/>
              <w:left w:val="nil"/>
              <w:bottom w:val="single" w:sz="4" w:space="0" w:color="auto"/>
              <w:right w:val="single" w:sz="4" w:space="0" w:color="auto"/>
            </w:tcBorders>
            <w:shd w:val="clear" w:color="auto" w:fill="auto"/>
            <w:noWrap/>
            <w:vAlign w:val="center"/>
          </w:tcPr>
          <w:p w14:paraId="5352060D" w14:textId="77777777" w:rsidR="000740F7" w:rsidRPr="001F53E7" w:rsidRDefault="000740F7" w:rsidP="006D0A51">
            <w:pPr>
              <w:jc w:val="center"/>
              <w:rPr>
                <w:color w:val="000000"/>
                <w:sz w:val="18"/>
                <w:szCs w:val="18"/>
              </w:rPr>
            </w:pPr>
            <w:r w:rsidRPr="001F53E7">
              <w:rPr>
                <w:color w:val="000000"/>
                <w:sz w:val="18"/>
                <w:szCs w:val="18"/>
              </w:rPr>
              <w:t>66,1</w:t>
            </w:r>
          </w:p>
        </w:tc>
        <w:tc>
          <w:tcPr>
            <w:tcW w:w="574" w:type="pct"/>
            <w:tcBorders>
              <w:top w:val="nil"/>
              <w:left w:val="nil"/>
              <w:bottom w:val="single" w:sz="4" w:space="0" w:color="auto"/>
              <w:right w:val="single" w:sz="4" w:space="0" w:color="auto"/>
            </w:tcBorders>
            <w:shd w:val="clear" w:color="auto" w:fill="auto"/>
            <w:noWrap/>
            <w:vAlign w:val="center"/>
          </w:tcPr>
          <w:p w14:paraId="0CBF0D4C" w14:textId="77777777" w:rsidR="000740F7" w:rsidRPr="001F53E7" w:rsidRDefault="000740F7" w:rsidP="006D0A51">
            <w:pPr>
              <w:jc w:val="center"/>
              <w:rPr>
                <w:color w:val="000000"/>
                <w:sz w:val="18"/>
                <w:szCs w:val="18"/>
              </w:rPr>
            </w:pPr>
            <w:r w:rsidRPr="001F53E7">
              <w:rPr>
                <w:color w:val="000000"/>
                <w:sz w:val="18"/>
                <w:szCs w:val="18"/>
              </w:rPr>
              <w:t>101%</w:t>
            </w:r>
          </w:p>
        </w:tc>
        <w:tc>
          <w:tcPr>
            <w:tcW w:w="574" w:type="pct"/>
            <w:tcBorders>
              <w:top w:val="nil"/>
              <w:left w:val="nil"/>
              <w:bottom w:val="single" w:sz="4" w:space="0" w:color="auto"/>
              <w:right w:val="single" w:sz="4" w:space="0" w:color="auto"/>
            </w:tcBorders>
            <w:shd w:val="clear" w:color="auto" w:fill="auto"/>
            <w:noWrap/>
            <w:vAlign w:val="center"/>
          </w:tcPr>
          <w:p w14:paraId="186DD7A8" w14:textId="77777777" w:rsidR="000740F7" w:rsidRPr="001F53E7" w:rsidRDefault="000740F7" w:rsidP="006D0A51">
            <w:pPr>
              <w:jc w:val="center"/>
              <w:rPr>
                <w:color w:val="000000"/>
                <w:sz w:val="18"/>
                <w:szCs w:val="18"/>
              </w:rPr>
            </w:pPr>
            <w:r w:rsidRPr="001F53E7">
              <w:rPr>
                <w:color w:val="000000"/>
                <w:sz w:val="18"/>
                <w:szCs w:val="18"/>
              </w:rPr>
              <w:t>71,0</w:t>
            </w:r>
          </w:p>
        </w:tc>
      </w:tr>
      <w:tr w:rsidR="001F53E7" w:rsidRPr="001B4CA2" w14:paraId="5FC5BB74"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46DEF31B"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Požegi</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2212082" w14:textId="77777777" w:rsidR="000740F7" w:rsidRPr="001F53E7" w:rsidRDefault="000740F7" w:rsidP="006D0A51">
            <w:pPr>
              <w:jc w:val="center"/>
              <w:rPr>
                <w:color w:val="000000"/>
                <w:sz w:val="18"/>
                <w:szCs w:val="18"/>
              </w:rPr>
            </w:pPr>
            <w:r w:rsidRPr="001F53E7">
              <w:rPr>
                <w:color w:val="000000"/>
                <w:sz w:val="18"/>
                <w:szCs w:val="18"/>
              </w:rPr>
              <w:t>7</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BE902ED" w14:textId="77777777" w:rsidR="000740F7" w:rsidRPr="001F53E7" w:rsidRDefault="000740F7" w:rsidP="006D0A51">
            <w:pPr>
              <w:jc w:val="center"/>
              <w:rPr>
                <w:color w:val="000000"/>
                <w:sz w:val="18"/>
                <w:szCs w:val="18"/>
              </w:rPr>
            </w:pPr>
            <w:r w:rsidRPr="001F53E7">
              <w:rPr>
                <w:color w:val="000000"/>
                <w:sz w:val="18"/>
                <w:szCs w:val="18"/>
              </w:rPr>
              <w:t>5,95</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352226EC" w14:textId="77777777" w:rsidR="000740F7" w:rsidRPr="001F53E7" w:rsidRDefault="000740F7" w:rsidP="006D0A51">
            <w:pPr>
              <w:jc w:val="center"/>
              <w:rPr>
                <w:color w:val="000000"/>
                <w:sz w:val="18"/>
                <w:szCs w:val="18"/>
              </w:rPr>
            </w:pPr>
            <w:r w:rsidRPr="001F53E7">
              <w:rPr>
                <w:color w:val="000000"/>
                <w:sz w:val="18"/>
                <w:szCs w:val="18"/>
              </w:rPr>
              <w:t>348,7</w:t>
            </w:r>
          </w:p>
        </w:tc>
        <w:tc>
          <w:tcPr>
            <w:tcW w:w="574" w:type="pct"/>
            <w:tcBorders>
              <w:top w:val="nil"/>
              <w:left w:val="nil"/>
              <w:bottom w:val="single" w:sz="4" w:space="0" w:color="auto"/>
              <w:right w:val="single" w:sz="4" w:space="0" w:color="auto"/>
            </w:tcBorders>
            <w:shd w:val="clear" w:color="auto" w:fill="auto"/>
            <w:noWrap/>
            <w:vAlign w:val="center"/>
          </w:tcPr>
          <w:p w14:paraId="7A3C0A11" w14:textId="77777777" w:rsidR="000740F7" w:rsidRPr="001F53E7" w:rsidRDefault="000740F7" w:rsidP="006D0A51">
            <w:pPr>
              <w:jc w:val="center"/>
              <w:rPr>
                <w:color w:val="000000"/>
                <w:sz w:val="18"/>
                <w:szCs w:val="18"/>
              </w:rPr>
            </w:pPr>
            <w:r w:rsidRPr="001F53E7">
              <w:rPr>
                <w:color w:val="000000"/>
                <w:sz w:val="18"/>
                <w:szCs w:val="18"/>
              </w:rPr>
              <w:t>67,9</w:t>
            </w:r>
          </w:p>
        </w:tc>
        <w:tc>
          <w:tcPr>
            <w:tcW w:w="574" w:type="pct"/>
            <w:tcBorders>
              <w:top w:val="nil"/>
              <w:left w:val="nil"/>
              <w:bottom w:val="single" w:sz="4" w:space="0" w:color="auto"/>
              <w:right w:val="single" w:sz="4" w:space="0" w:color="auto"/>
            </w:tcBorders>
            <w:shd w:val="clear" w:color="auto" w:fill="auto"/>
            <w:noWrap/>
            <w:vAlign w:val="center"/>
          </w:tcPr>
          <w:p w14:paraId="6C5B2250" w14:textId="77777777" w:rsidR="000740F7" w:rsidRPr="001F53E7" w:rsidRDefault="000740F7" w:rsidP="006D0A51">
            <w:pPr>
              <w:jc w:val="center"/>
              <w:rPr>
                <w:color w:val="000000"/>
                <w:sz w:val="18"/>
                <w:szCs w:val="18"/>
              </w:rPr>
            </w:pPr>
            <w:r w:rsidRPr="001F53E7">
              <w:rPr>
                <w:color w:val="000000"/>
                <w:sz w:val="18"/>
                <w:szCs w:val="18"/>
              </w:rPr>
              <w:t>93%</w:t>
            </w:r>
          </w:p>
        </w:tc>
        <w:tc>
          <w:tcPr>
            <w:tcW w:w="574" w:type="pct"/>
            <w:tcBorders>
              <w:top w:val="nil"/>
              <w:left w:val="nil"/>
              <w:bottom w:val="single" w:sz="4" w:space="0" w:color="auto"/>
              <w:right w:val="single" w:sz="4" w:space="0" w:color="auto"/>
            </w:tcBorders>
            <w:shd w:val="clear" w:color="auto" w:fill="auto"/>
            <w:noWrap/>
            <w:vAlign w:val="center"/>
          </w:tcPr>
          <w:p w14:paraId="7F4045E1" w14:textId="77777777" w:rsidR="000740F7" w:rsidRPr="001F53E7" w:rsidRDefault="000740F7" w:rsidP="006D0A51">
            <w:pPr>
              <w:jc w:val="center"/>
              <w:rPr>
                <w:color w:val="000000"/>
                <w:sz w:val="18"/>
                <w:szCs w:val="18"/>
              </w:rPr>
            </w:pPr>
            <w:r w:rsidRPr="001F53E7">
              <w:rPr>
                <w:color w:val="000000"/>
                <w:sz w:val="18"/>
                <w:szCs w:val="18"/>
              </w:rPr>
              <w:t>71,1</w:t>
            </w:r>
          </w:p>
        </w:tc>
      </w:tr>
      <w:tr w:rsidR="001F53E7" w:rsidRPr="001B4CA2" w14:paraId="2DC6FF32"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3FB52E94"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Puli-Pola</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24C8AAA6" w14:textId="77777777" w:rsidR="000740F7" w:rsidRPr="001F53E7" w:rsidRDefault="000740F7" w:rsidP="006D0A51">
            <w:pPr>
              <w:jc w:val="center"/>
              <w:rPr>
                <w:color w:val="000000"/>
                <w:sz w:val="18"/>
                <w:szCs w:val="18"/>
              </w:rPr>
            </w:pPr>
            <w:r w:rsidRPr="001F53E7">
              <w:rPr>
                <w:color w:val="000000"/>
                <w:sz w:val="18"/>
                <w:szCs w:val="18"/>
              </w:rPr>
              <w:t>19</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414775B3" w14:textId="77777777" w:rsidR="000740F7" w:rsidRPr="001F53E7" w:rsidRDefault="000740F7" w:rsidP="006D0A51">
            <w:pPr>
              <w:jc w:val="center"/>
              <w:rPr>
                <w:color w:val="000000"/>
                <w:sz w:val="18"/>
                <w:szCs w:val="18"/>
              </w:rPr>
            </w:pPr>
            <w:r w:rsidRPr="001F53E7">
              <w:rPr>
                <w:color w:val="000000"/>
                <w:sz w:val="18"/>
                <w:szCs w:val="18"/>
              </w:rPr>
              <w:t>18,7</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6D7B343C" w14:textId="77777777" w:rsidR="000740F7" w:rsidRPr="001F53E7" w:rsidRDefault="000740F7" w:rsidP="006D0A51">
            <w:pPr>
              <w:jc w:val="center"/>
              <w:rPr>
                <w:color w:val="000000"/>
                <w:sz w:val="18"/>
                <w:szCs w:val="18"/>
              </w:rPr>
            </w:pPr>
            <w:r w:rsidRPr="001F53E7">
              <w:rPr>
                <w:color w:val="000000"/>
                <w:sz w:val="18"/>
                <w:szCs w:val="18"/>
              </w:rPr>
              <w:t>374,7</w:t>
            </w:r>
          </w:p>
        </w:tc>
        <w:tc>
          <w:tcPr>
            <w:tcW w:w="574" w:type="pct"/>
            <w:tcBorders>
              <w:top w:val="nil"/>
              <w:left w:val="nil"/>
              <w:bottom w:val="single" w:sz="4" w:space="0" w:color="auto"/>
              <w:right w:val="single" w:sz="4" w:space="0" w:color="auto"/>
            </w:tcBorders>
            <w:shd w:val="clear" w:color="auto" w:fill="auto"/>
            <w:noWrap/>
            <w:vAlign w:val="center"/>
          </w:tcPr>
          <w:p w14:paraId="2A8FC454" w14:textId="77777777" w:rsidR="000740F7" w:rsidRPr="001F53E7" w:rsidRDefault="000740F7" w:rsidP="006D0A51">
            <w:pPr>
              <w:jc w:val="center"/>
              <w:rPr>
                <w:color w:val="000000"/>
                <w:sz w:val="18"/>
                <w:szCs w:val="18"/>
              </w:rPr>
            </w:pPr>
            <w:r w:rsidRPr="001F53E7">
              <w:rPr>
                <w:color w:val="000000"/>
                <w:sz w:val="18"/>
                <w:szCs w:val="18"/>
              </w:rPr>
              <w:t>84,2</w:t>
            </w:r>
          </w:p>
        </w:tc>
        <w:tc>
          <w:tcPr>
            <w:tcW w:w="574" w:type="pct"/>
            <w:tcBorders>
              <w:top w:val="nil"/>
              <w:left w:val="nil"/>
              <w:bottom w:val="single" w:sz="4" w:space="0" w:color="auto"/>
              <w:right w:val="single" w:sz="4" w:space="0" w:color="auto"/>
            </w:tcBorders>
            <w:shd w:val="clear" w:color="auto" w:fill="auto"/>
            <w:noWrap/>
            <w:vAlign w:val="center"/>
          </w:tcPr>
          <w:p w14:paraId="686B9EF5" w14:textId="77777777" w:rsidR="000740F7" w:rsidRPr="001F53E7" w:rsidRDefault="000740F7" w:rsidP="006D0A51">
            <w:pPr>
              <w:jc w:val="center"/>
              <w:rPr>
                <w:color w:val="000000"/>
                <w:sz w:val="18"/>
                <w:szCs w:val="18"/>
              </w:rPr>
            </w:pPr>
            <w:r w:rsidRPr="001F53E7">
              <w:rPr>
                <w:color w:val="000000"/>
                <w:sz w:val="18"/>
                <w:szCs w:val="18"/>
              </w:rPr>
              <w:t>99%</w:t>
            </w:r>
          </w:p>
        </w:tc>
        <w:tc>
          <w:tcPr>
            <w:tcW w:w="574" w:type="pct"/>
            <w:tcBorders>
              <w:top w:val="nil"/>
              <w:left w:val="nil"/>
              <w:bottom w:val="single" w:sz="4" w:space="0" w:color="auto"/>
              <w:right w:val="single" w:sz="4" w:space="0" w:color="auto"/>
            </w:tcBorders>
            <w:shd w:val="clear" w:color="auto" w:fill="auto"/>
            <w:noWrap/>
            <w:vAlign w:val="center"/>
          </w:tcPr>
          <w:p w14:paraId="03BE120C" w14:textId="77777777" w:rsidR="000740F7" w:rsidRPr="001F53E7" w:rsidRDefault="000740F7" w:rsidP="006D0A51">
            <w:pPr>
              <w:jc w:val="center"/>
              <w:rPr>
                <w:color w:val="000000"/>
                <w:sz w:val="18"/>
                <w:szCs w:val="18"/>
              </w:rPr>
            </w:pPr>
            <w:r w:rsidRPr="001F53E7">
              <w:rPr>
                <w:color w:val="000000"/>
                <w:sz w:val="18"/>
                <w:szCs w:val="18"/>
              </w:rPr>
              <w:t>82,0</w:t>
            </w:r>
          </w:p>
        </w:tc>
      </w:tr>
      <w:tr w:rsidR="001F53E7" w:rsidRPr="001B4CA2" w14:paraId="7A630CB7"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4638FAC7"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Rijeci</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12F9876D" w14:textId="77777777" w:rsidR="000740F7" w:rsidRPr="001F53E7" w:rsidRDefault="000740F7" w:rsidP="006D0A51">
            <w:pPr>
              <w:jc w:val="center"/>
              <w:rPr>
                <w:color w:val="000000"/>
                <w:sz w:val="18"/>
                <w:szCs w:val="18"/>
              </w:rPr>
            </w:pPr>
            <w:r w:rsidRPr="001F53E7">
              <w:rPr>
                <w:color w:val="000000"/>
                <w:sz w:val="18"/>
                <w:szCs w:val="18"/>
              </w:rPr>
              <w:t>46</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09CD1FFE" w14:textId="77777777" w:rsidR="000740F7" w:rsidRPr="001F53E7" w:rsidRDefault="000740F7" w:rsidP="006D0A51">
            <w:pPr>
              <w:jc w:val="center"/>
              <w:rPr>
                <w:color w:val="000000"/>
                <w:sz w:val="18"/>
                <w:szCs w:val="18"/>
              </w:rPr>
            </w:pPr>
            <w:r w:rsidRPr="001F53E7">
              <w:rPr>
                <w:color w:val="000000"/>
                <w:sz w:val="18"/>
                <w:szCs w:val="18"/>
              </w:rPr>
              <w:t>39,83</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1D50FA04" w14:textId="77777777" w:rsidR="000740F7" w:rsidRPr="001F53E7" w:rsidRDefault="000740F7" w:rsidP="006D0A51">
            <w:pPr>
              <w:jc w:val="center"/>
              <w:rPr>
                <w:color w:val="000000"/>
                <w:sz w:val="18"/>
                <w:szCs w:val="18"/>
              </w:rPr>
            </w:pPr>
            <w:r w:rsidRPr="001F53E7">
              <w:rPr>
                <w:color w:val="000000"/>
                <w:sz w:val="18"/>
                <w:szCs w:val="18"/>
              </w:rPr>
              <w:t>313,8</w:t>
            </w:r>
          </w:p>
        </w:tc>
        <w:tc>
          <w:tcPr>
            <w:tcW w:w="574" w:type="pct"/>
            <w:tcBorders>
              <w:top w:val="nil"/>
              <w:left w:val="nil"/>
              <w:bottom w:val="single" w:sz="4" w:space="0" w:color="auto"/>
              <w:right w:val="single" w:sz="4" w:space="0" w:color="auto"/>
            </w:tcBorders>
            <w:shd w:val="clear" w:color="auto" w:fill="auto"/>
            <w:noWrap/>
            <w:vAlign w:val="center"/>
          </w:tcPr>
          <w:p w14:paraId="46941B68" w14:textId="77777777" w:rsidR="000740F7" w:rsidRPr="001F53E7" w:rsidRDefault="000740F7" w:rsidP="006D0A51">
            <w:pPr>
              <w:jc w:val="center"/>
              <w:rPr>
                <w:color w:val="000000"/>
                <w:sz w:val="18"/>
                <w:szCs w:val="18"/>
              </w:rPr>
            </w:pPr>
            <w:r w:rsidRPr="001F53E7">
              <w:rPr>
                <w:color w:val="000000"/>
                <w:sz w:val="18"/>
                <w:szCs w:val="18"/>
              </w:rPr>
              <w:t>61,9</w:t>
            </w:r>
          </w:p>
        </w:tc>
        <w:tc>
          <w:tcPr>
            <w:tcW w:w="574" w:type="pct"/>
            <w:tcBorders>
              <w:top w:val="nil"/>
              <w:left w:val="nil"/>
              <w:bottom w:val="single" w:sz="4" w:space="0" w:color="auto"/>
              <w:right w:val="single" w:sz="4" w:space="0" w:color="auto"/>
            </w:tcBorders>
            <w:shd w:val="clear" w:color="auto" w:fill="auto"/>
            <w:noWrap/>
            <w:vAlign w:val="center"/>
          </w:tcPr>
          <w:p w14:paraId="3AEC4836" w14:textId="77777777" w:rsidR="000740F7" w:rsidRPr="001F53E7" w:rsidRDefault="000740F7" w:rsidP="006D0A51">
            <w:pPr>
              <w:jc w:val="center"/>
              <w:rPr>
                <w:color w:val="000000"/>
                <w:sz w:val="18"/>
                <w:szCs w:val="18"/>
              </w:rPr>
            </w:pPr>
            <w:r w:rsidRPr="001F53E7">
              <w:rPr>
                <w:color w:val="000000"/>
                <w:sz w:val="18"/>
                <w:szCs w:val="18"/>
              </w:rPr>
              <w:t>100%</w:t>
            </w:r>
          </w:p>
        </w:tc>
        <w:tc>
          <w:tcPr>
            <w:tcW w:w="574" w:type="pct"/>
            <w:tcBorders>
              <w:top w:val="nil"/>
              <w:left w:val="nil"/>
              <w:bottom w:val="single" w:sz="4" w:space="0" w:color="auto"/>
              <w:right w:val="single" w:sz="4" w:space="0" w:color="auto"/>
            </w:tcBorders>
            <w:shd w:val="clear" w:color="auto" w:fill="auto"/>
            <w:noWrap/>
            <w:vAlign w:val="center"/>
          </w:tcPr>
          <w:p w14:paraId="159B1AE2" w14:textId="77777777" w:rsidR="000740F7" w:rsidRPr="001F53E7" w:rsidRDefault="000740F7" w:rsidP="006D0A51">
            <w:pPr>
              <w:jc w:val="center"/>
              <w:rPr>
                <w:color w:val="000000"/>
                <w:sz w:val="18"/>
                <w:szCs w:val="18"/>
              </w:rPr>
            </w:pPr>
            <w:r w:rsidRPr="001F53E7">
              <w:rPr>
                <w:color w:val="000000"/>
                <w:sz w:val="18"/>
                <w:szCs w:val="18"/>
              </w:rPr>
              <w:t>72,0</w:t>
            </w:r>
          </w:p>
        </w:tc>
      </w:tr>
      <w:tr w:rsidR="001F53E7" w:rsidRPr="001B4CA2" w14:paraId="380E67D7"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44EBC6A9"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Slavonskom Brodu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243116BD" w14:textId="77777777" w:rsidR="000740F7" w:rsidRPr="001F53E7" w:rsidRDefault="000740F7" w:rsidP="006D0A51">
            <w:pPr>
              <w:jc w:val="center"/>
              <w:rPr>
                <w:color w:val="000000"/>
                <w:sz w:val="18"/>
                <w:szCs w:val="18"/>
              </w:rPr>
            </w:pPr>
            <w:r w:rsidRPr="001F53E7">
              <w:rPr>
                <w:color w:val="000000"/>
                <w:sz w:val="18"/>
                <w:szCs w:val="18"/>
              </w:rPr>
              <w:t>19</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0A42263B" w14:textId="77777777" w:rsidR="000740F7" w:rsidRPr="001F53E7" w:rsidRDefault="000740F7" w:rsidP="006D0A51">
            <w:pPr>
              <w:jc w:val="center"/>
              <w:rPr>
                <w:color w:val="000000"/>
                <w:sz w:val="18"/>
                <w:szCs w:val="18"/>
              </w:rPr>
            </w:pPr>
            <w:r w:rsidRPr="001F53E7">
              <w:rPr>
                <w:color w:val="000000"/>
                <w:sz w:val="18"/>
                <w:szCs w:val="18"/>
              </w:rPr>
              <w:t>14,2</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26C1698C" w14:textId="77777777" w:rsidR="000740F7" w:rsidRPr="001F53E7" w:rsidRDefault="000740F7" w:rsidP="006D0A51">
            <w:pPr>
              <w:jc w:val="center"/>
              <w:rPr>
                <w:color w:val="000000"/>
                <w:sz w:val="18"/>
                <w:szCs w:val="18"/>
              </w:rPr>
            </w:pPr>
            <w:r w:rsidRPr="001F53E7">
              <w:rPr>
                <w:color w:val="000000"/>
                <w:sz w:val="18"/>
                <w:szCs w:val="18"/>
              </w:rPr>
              <w:t>386,1</w:t>
            </w:r>
          </w:p>
        </w:tc>
        <w:tc>
          <w:tcPr>
            <w:tcW w:w="574" w:type="pct"/>
            <w:tcBorders>
              <w:top w:val="nil"/>
              <w:left w:val="nil"/>
              <w:bottom w:val="single" w:sz="4" w:space="0" w:color="auto"/>
              <w:right w:val="single" w:sz="4" w:space="0" w:color="auto"/>
            </w:tcBorders>
            <w:shd w:val="clear" w:color="auto" w:fill="auto"/>
            <w:noWrap/>
            <w:vAlign w:val="center"/>
          </w:tcPr>
          <w:p w14:paraId="64FAD79B" w14:textId="77777777" w:rsidR="000740F7" w:rsidRPr="001F53E7" w:rsidRDefault="000740F7" w:rsidP="006D0A51">
            <w:pPr>
              <w:jc w:val="center"/>
              <w:rPr>
                <w:color w:val="000000"/>
                <w:sz w:val="18"/>
                <w:szCs w:val="18"/>
              </w:rPr>
            </w:pPr>
            <w:r w:rsidRPr="001F53E7">
              <w:rPr>
                <w:color w:val="000000"/>
                <w:sz w:val="18"/>
                <w:szCs w:val="18"/>
              </w:rPr>
              <w:t>53,5</w:t>
            </w:r>
          </w:p>
        </w:tc>
        <w:tc>
          <w:tcPr>
            <w:tcW w:w="574" w:type="pct"/>
            <w:tcBorders>
              <w:top w:val="nil"/>
              <w:left w:val="nil"/>
              <w:bottom w:val="single" w:sz="4" w:space="0" w:color="auto"/>
              <w:right w:val="single" w:sz="4" w:space="0" w:color="auto"/>
            </w:tcBorders>
            <w:shd w:val="clear" w:color="auto" w:fill="auto"/>
            <w:noWrap/>
            <w:vAlign w:val="center"/>
          </w:tcPr>
          <w:p w14:paraId="062E348C" w14:textId="77777777" w:rsidR="000740F7" w:rsidRPr="001F53E7" w:rsidRDefault="000740F7" w:rsidP="006D0A51">
            <w:pPr>
              <w:jc w:val="center"/>
              <w:rPr>
                <w:color w:val="000000"/>
                <w:sz w:val="18"/>
                <w:szCs w:val="18"/>
              </w:rPr>
            </w:pPr>
            <w:r w:rsidRPr="001F53E7">
              <w:rPr>
                <w:color w:val="000000"/>
                <w:sz w:val="18"/>
                <w:szCs w:val="18"/>
              </w:rPr>
              <w:t>99%</w:t>
            </w:r>
          </w:p>
        </w:tc>
        <w:tc>
          <w:tcPr>
            <w:tcW w:w="574" w:type="pct"/>
            <w:tcBorders>
              <w:top w:val="nil"/>
              <w:left w:val="nil"/>
              <w:bottom w:val="single" w:sz="4" w:space="0" w:color="auto"/>
              <w:right w:val="single" w:sz="4" w:space="0" w:color="auto"/>
            </w:tcBorders>
            <w:shd w:val="clear" w:color="auto" w:fill="auto"/>
            <w:noWrap/>
            <w:vAlign w:val="center"/>
          </w:tcPr>
          <w:p w14:paraId="35A28D2B" w14:textId="77777777" w:rsidR="000740F7" w:rsidRPr="001F53E7" w:rsidRDefault="000740F7" w:rsidP="006D0A51">
            <w:pPr>
              <w:jc w:val="center"/>
              <w:rPr>
                <w:color w:val="000000"/>
                <w:sz w:val="18"/>
                <w:szCs w:val="18"/>
              </w:rPr>
            </w:pPr>
            <w:r w:rsidRPr="001F53E7">
              <w:rPr>
                <w:color w:val="000000"/>
                <w:sz w:val="18"/>
                <w:szCs w:val="18"/>
              </w:rPr>
              <w:t>50,6</w:t>
            </w:r>
          </w:p>
        </w:tc>
      </w:tr>
      <w:tr w:rsidR="001F53E7" w:rsidRPr="001B4CA2" w14:paraId="6B56BBDD"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1BB265F2"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Sisku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25FDA94A" w14:textId="77777777" w:rsidR="000740F7" w:rsidRPr="001F53E7" w:rsidRDefault="000740F7" w:rsidP="006D0A51">
            <w:pPr>
              <w:jc w:val="center"/>
              <w:rPr>
                <w:color w:val="000000"/>
                <w:sz w:val="18"/>
                <w:szCs w:val="18"/>
              </w:rPr>
            </w:pPr>
            <w:r w:rsidRPr="001F53E7">
              <w:rPr>
                <w:color w:val="000000"/>
                <w:sz w:val="18"/>
                <w:szCs w:val="18"/>
              </w:rPr>
              <w:t>20</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0F545474" w14:textId="77777777" w:rsidR="000740F7" w:rsidRPr="001F53E7" w:rsidRDefault="000740F7" w:rsidP="006D0A51">
            <w:pPr>
              <w:jc w:val="center"/>
              <w:rPr>
                <w:color w:val="000000"/>
                <w:sz w:val="18"/>
                <w:szCs w:val="18"/>
              </w:rPr>
            </w:pPr>
            <w:r w:rsidRPr="001F53E7">
              <w:rPr>
                <w:color w:val="000000"/>
                <w:sz w:val="18"/>
                <w:szCs w:val="18"/>
              </w:rPr>
              <w:t>16,59</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31388E14" w14:textId="77777777" w:rsidR="000740F7" w:rsidRPr="001F53E7" w:rsidRDefault="000740F7" w:rsidP="006D0A51">
            <w:pPr>
              <w:jc w:val="center"/>
              <w:rPr>
                <w:color w:val="000000"/>
                <w:sz w:val="18"/>
                <w:szCs w:val="18"/>
              </w:rPr>
            </w:pPr>
            <w:r w:rsidRPr="001F53E7">
              <w:rPr>
                <w:color w:val="000000"/>
                <w:sz w:val="18"/>
                <w:szCs w:val="18"/>
              </w:rPr>
              <w:t>383,8</w:t>
            </w:r>
          </w:p>
        </w:tc>
        <w:tc>
          <w:tcPr>
            <w:tcW w:w="574" w:type="pct"/>
            <w:tcBorders>
              <w:top w:val="nil"/>
              <w:left w:val="nil"/>
              <w:bottom w:val="single" w:sz="4" w:space="0" w:color="auto"/>
              <w:right w:val="single" w:sz="4" w:space="0" w:color="auto"/>
            </w:tcBorders>
            <w:shd w:val="clear" w:color="auto" w:fill="auto"/>
            <w:noWrap/>
            <w:vAlign w:val="center"/>
          </w:tcPr>
          <w:p w14:paraId="61AF67FC" w14:textId="77777777" w:rsidR="000740F7" w:rsidRPr="001F53E7" w:rsidRDefault="000740F7" w:rsidP="006D0A51">
            <w:pPr>
              <w:jc w:val="center"/>
              <w:rPr>
                <w:color w:val="000000"/>
                <w:sz w:val="18"/>
                <w:szCs w:val="18"/>
              </w:rPr>
            </w:pPr>
            <w:r w:rsidRPr="001F53E7">
              <w:rPr>
                <w:color w:val="000000"/>
                <w:sz w:val="18"/>
                <w:szCs w:val="18"/>
              </w:rPr>
              <w:t>123,0</w:t>
            </w:r>
          </w:p>
        </w:tc>
        <w:tc>
          <w:tcPr>
            <w:tcW w:w="574" w:type="pct"/>
            <w:tcBorders>
              <w:top w:val="nil"/>
              <w:left w:val="nil"/>
              <w:bottom w:val="single" w:sz="4" w:space="0" w:color="auto"/>
              <w:right w:val="single" w:sz="4" w:space="0" w:color="auto"/>
            </w:tcBorders>
            <w:shd w:val="clear" w:color="auto" w:fill="auto"/>
            <w:noWrap/>
            <w:vAlign w:val="center"/>
          </w:tcPr>
          <w:p w14:paraId="21351CC5" w14:textId="77777777" w:rsidR="000740F7" w:rsidRPr="001F53E7" w:rsidRDefault="000740F7" w:rsidP="006D0A51">
            <w:pPr>
              <w:jc w:val="center"/>
              <w:rPr>
                <w:color w:val="000000"/>
                <w:sz w:val="18"/>
                <w:szCs w:val="18"/>
              </w:rPr>
            </w:pPr>
            <w:r w:rsidRPr="001F53E7">
              <w:rPr>
                <w:color w:val="000000"/>
                <w:sz w:val="18"/>
                <w:szCs w:val="18"/>
              </w:rPr>
              <w:t>95%</w:t>
            </w:r>
          </w:p>
        </w:tc>
        <w:tc>
          <w:tcPr>
            <w:tcW w:w="574" w:type="pct"/>
            <w:tcBorders>
              <w:top w:val="nil"/>
              <w:left w:val="nil"/>
              <w:bottom w:val="single" w:sz="4" w:space="0" w:color="auto"/>
              <w:right w:val="single" w:sz="4" w:space="0" w:color="auto"/>
            </w:tcBorders>
            <w:shd w:val="clear" w:color="auto" w:fill="auto"/>
            <w:noWrap/>
            <w:vAlign w:val="center"/>
          </w:tcPr>
          <w:p w14:paraId="0D9D6C77" w14:textId="77777777" w:rsidR="000740F7" w:rsidRPr="001F53E7" w:rsidRDefault="000740F7" w:rsidP="006D0A51">
            <w:pPr>
              <w:jc w:val="center"/>
              <w:rPr>
                <w:color w:val="000000"/>
                <w:sz w:val="18"/>
                <w:szCs w:val="18"/>
              </w:rPr>
            </w:pPr>
            <w:r w:rsidRPr="001F53E7">
              <w:rPr>
                <w:color w:val="000000"/>
                <w:sz w:val="18"/>
                <w:szCs w:val="18"/>
              </w:rPr>
              <w:t>117,0</w:t>
            </w:r>
          </w:p>
        </w:tc>
      </w:tr>
      <w:tr w:rsidR="001F53E7" w:rsidRPr="001B4CA2" w14:paraId="01168906"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7971F4AF"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Splitu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23C4D0E4" w14:textId="77777777" w:rsidR="000740F7" w:rsidRPr="001F53E7" w:rsidRDefault="000740F7" w:rsidP="006D0A51">
            <w:pPr>
              <w:jc w:val="center"/>
              <w:rPr>
                <w:color w:val="000000"/>
                <w:sz w:val="18"/>
                <w:szCs w:val="18"/>
              </w:rPr>
            </w:pPr>
            <w:r w:rsidRPr="001F53E7">
              <w:rPr>
                <w:color w:val="000000"/>
                <w:sz w:val="18"/>
                <w:szCs w:val="18"/>
              </w:rPr>
              <w:t>65</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508E8348" w14:textId="77777777" w:rsidR="000740F7" w:rsidRPr="001F53E7" w:rsidRDefault="000740F7" w:rsidP="006D0A51">
            <w:pPr>
              <w:jc w:val="center"/>
              <w:rPr>
                <w:color w:val="000000"/>
                <w:sz w:val="18"/>
                <w:szCs w:val="18"/>
              </w:rPr>
            </w:pPr>
            <w:r w:rsidRPr="001F53E7">
              <w:rPr>
                <w:color w:val="000000"/>
                <w:sz w:val="18"/>
                <w:szCs w:val="18"/>
              </w:rPr>
              <w:t>50,4</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064F53CD" w14:textId="77777777" w:rsidR="000740F7" w:rsidRPr="001F53E7" w:rsidRDefault="000740F7" w:rsidP="006D0A51">
            <w:pPr>
              <w:jc w:val="center"/>
              <w:rPr>
                <w:color w:val="000000"/>
                <w:sz w:val="18"/>
                <w:szCs w:val="18"/>
              </w:rPr>
            </w:pPr>
            <w:r w:rsidRPr="001F53E7">
              <w:rPr>
                <w:color w:val="000000"/>
                <w:sz w:val="18"/>
                <w:szCs w:val="18"/>
              </w:rPr>
              <w:t>314,3</w:t>
            </w:r>
          </w:p>
        </w:tc>
        <w:tc>
          <w:tcPr>
            <w:tcW w:w="574" w:type="pct"/>
            <w:tcBorders>
              <w:top w:val="nil"/>
              <w:left w:val="nil"/>
              <w:bottom w:val="single" w:sz="4" w:space="0" w:color="auto"/>
              <w:right w:val="single" w:sz="4" w:space="0" w:color="auto"/>
            </w:tcBorders>
            <w:shd w:val="clear" w:color="auto" w:fill="auto"/>
            <w:noWrap/>
            <w:vAlign w:val="center"/>
          </w:tcPr>
          <w:p w14:paraId="2C4E8F81" w14:textId="77777777" w:rsidR="000740F7" w:rsidRPr="001F53E7" w:rsidRDefault="000740F7" w:rsidP="006D0A51">
            <w:pPr>
              <w:jc w:val="center"/>
              <w:rPr>
                <w:color w:val="000000"/>
                <w:sz w:val="18"/>
                <w:szCs w:val="18"/>
              </w:rPr>
            </w:pPr>
            <w:r w:rsidRPr="001F53E7">
              <w:rPr>
                <w:color w:val="000000"/>
                <w:sz w:val="18"/>
                <w:szCs w:val="18"/>
              </w:rPr>
              <w:t>82,7</w:t>
            </w:r>
          </w:p>
        </w:tc>
        <w:tc>
          <w:tcPr>
            <w:tcW w:w="574" w:type="pct"/>
            <w:tcBorders>
              <w:top w:val="nil"/>
              <w:left w:val="nil"/>
              <w:bottom w:val="single" w:sz="4" w:space="0" w:color="auto"/>
              <w:right w:val="single" w:sz="4" w:space="0" w:color="auto"/>
            </w:tcBorders>
            <w:shd w:val="clear" w:color="auto" w:fill="auto"/>
            <w:noWrap/>
            <w:vAlign w:val="center"/>
          </w:tcPr>
          <w:p w14:paraId="5CE40BE6" w14:textId="77777777" w:rsidR="000740F7" w:rsidRPr="001F53E7" w:rsidRDefault="000740F7" w:rsidP="006D0A51">
            <w:pPr>
              <w:jc w:val="center"/>
              <w:rPr>
                <w:color w:val="000000"/>
                <w:sz w:val="18"/>
                <w:szCs w:val="18"/>
              </w:rPr>
            </w:pPr>
            <w:r w:rsidRPr="001F53E7">
              <w:rPr>
                <w:color w:val="000000"/>
                <w:sz w:val="18"/>
                <w:szCs w:val="18"/>
              </w:rPr>
              <w:t>96%</w:t>
            </w:r>
          </w:p>
        </w:tc>
        <w:tc>
          <w:tcPr>
            <w:tcW w:w="574" w:type="pct"/>
            <w:tcBorders>
              <w:top w:val="nil"/>
              <w:left w:val="nil"/>
              <w:bottom w:val="single" w:sz="4" w:space="0" w:color="auto"/>
              <w:right w:val="single" w:sz="4" w:space="0" w:color="auto"/>
            </w:tcBorders>
            <w:shd w:val="clear" w:color="auto" w:fill="auto"/>
            <w:noWrap/>
            <w:vAlign w:val="center"/>
          </w:tcPr>
          <w:p w14:paraId="33A94DB3" w14:textId="77777777" w:rsidR="000740F7" w:rsidRPr="001F53E7" w:rsidRDefault="000740F7" w:rsidP="006D0A51">
            <w:pPr>
              <w:jc w:val="center"/>
              <w:rPr>
                <w:color w:val="000000"/>
                <w:sz w:val="18"/>
                <w:szCs w:val="18"/>
              </w:rPr>
            </w:pPr>
            <w:r w:rsidRPr="001F53E7">
              <w:rPr>
                <w:color w:val="000000"/>
                <w:sz w:val="18"/>
                <w:szCs w:val="18"/>
              </w:rPr>
              <w:t>96,1</w:t>
            </w:r>
          </w:p>
        </w:tc>
      </w:tr>
      <w:tr w:rsidR="001F53E7" w:rsidRPr="001B4CA2" w14:paraId="66D2C990"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5893591C"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Šibeniku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27CE6E47" w14:textId="77777777" w:rsidR="000740F7" w:rsidRPr="001F53E7" w:rsidRDefault="000740F7" w:rsidP="006D0A51">
            <w:pPr>
              <w:jc w:val="center"/>
              <w:rPr>
                <w:color w:val="000000"/>
                <w:sz w:val="18"/>
                <w:szCs w:val="18"/>
              </w:rPr>
            </w:pPr>
            <w:r w:rsidRPr="001F53E7">
              <w:rPr>
                <w:color w:val="000000"/>
                <w:sz w:val="18"/>
                <w:szCs w:val="18"/>
              </w:rPr>
              <w:t>18</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35695656" w14:textId="77777777" w:rsidR="000740F7" w:rsidRPr="001F53E7" w:rsidRDefault="000740F7" w:rsidP="006D0A51">
            <w:pPr>
              <w:jc w:val="center"/>
              <w:rPr>
                <w:color w:val="000000"/>
                <w:sz w:val="18"/>
                <w:szCs w:val="18"/>
              </w:rPr>
            </w:pPr>
            <w:r w:rsidRPr="001F53E7">
              <w:rPr>
                <w:color w:val="000000"/>
                <w:sz w:val="18"/>
                <w:szCs w:val="18"/>
              </w:rPr>
              <w:t>15,6</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2521F217" w14:textId="77777777" w:rsidR="000740F7" w:rsidRPr="001F53E7" w:rsidRDefault="000740F7" w:rsidP="006D0A51">
            <w:pPr>
              <w:jc w:val="center"/>
              <w:rPr>
                <w:color w:val="000000"/>
                <w:sz w:val="18"/>
                <w:szCs w:val="18"/>
              </w:rPr>
            </w:pPr>
            <w:r w:rsidRPr="001F53E7">
              <w:rPr>
                <w:color w:val="000000"/>
                <w:sz w:val="18"/>
                <w:szCs w:val="18"/>
              </w:rPr>
              <w:t>388,8</w:t>
            </w:r>
          </w:p>
        </w:tc>
        <w:tc>
          <w:tcPr>
            <w:tcW w:w="574" w:type="pct"/>
            <w:tcBorders>
              <w:top w:val="nil"/>
              <w:left w:val="nil"/>
              <w:bottom w:val="single" w:sz="4" w:space="0" w:color="auto"/>
              <w:right w:val="single" w:sz="4" w:space="0" w:color="auto"/>
            </w:tcBorders>
            <w:shd w:val="clear" w:color="auto" w:fill="auto"/>
            <w:noWrap/>
            <w:vAlign w:val="center"/>
          </w:tcPr>
          <w:p w14:paraId="225135D2" w14:textId="77777777" w:rsidR="000740F7" w:rsidRPr="001F53E7" w:rsidRDefault="000740F7" w:rsidP="006D0A51">
            <w:pPr>
              <w:jc w:val="center"/>
              <w:rPr>
                <w:color w:val="000000"/>
                <w:sz w:val="18"/>
                <w:szCs w:val="18"/>
              </w:rPr>
            </w:pPr>
            <w:r w:rsidRPr="001F53E7">
              <w:rPr>
                <w:color w:val="000000"/>
                <w:sz w:val="18"/>
                <w:szCs w:val="18"/>
              </w:rPr>
              <w:t>66,1</w:t>
            </w:r>
          </w:p>
        </w:tc>
        <w:tc>
          <w:tcPr>
            <w:tcW w:w="574" w:type="pct"/>
            <w:tcBorders>
              <w:top w:val="nil"/>
              <w:left w:val="nil"/>
              <w:bottom w:val="single" w:sz="4" w:space="0" w:color="auto"/>
              <w:right w:val="single" w:sz="4" w:space="0" w:color="auto"/>
            </w:tcBorders>
            <w:shd w:val="clear" w:color="auto" w:fill="auto"/>
            <w:noWrap/>
            <w:vAlign w:val="center"/>
          </w:tcPr>
          <w:p w14:paraId="208A8E7C" w14:textId="77777777" w:rsidR="000740F7" w:rsidRPr="001F53E7" w:rsidRDefault="000740F7" w:rsidP="006D0A51">
            <w:pPr>
              <w:jc w:val="center"/>
              <w:rPr>
                <w:color w:val="000000"/>
                <w:sz w:val="18"/>
                <w:szCs w:val="18"/>
              </w:rPr>
            </w:pPr>
            <w:r w:rsidRPr="001F53E7">
              <w:rPr>
                <w:color w:val="000000"/>
                <w:sz w:val="18"/>
                <w:szCs w:val="18"/>
              </w:rPr>
              <w:t>102%</w:t>
            </w:r>
          </w:p>
        </w:tc>
        <w:tc>
          <w:tcPr>
            <w:tcW w:w="574" w:type="pct"/>
            <w:tcBorders>
              <w:top w:val="nil"/>
              <w:left w:val="nil"/>
              <w:bottom w:val="single" w:sz="4" w:space="0" w:color="auto"/>
              <w:right w:val="single" w:sz="4" w:space="0" w:color="auto"/>
            </w:tcBorders>
            <w:shd w:val="clear" w:color="auto" w:fill="auto"/>
            <w:noWrap/>
            <w:vAlign w:val="center"/>
          </w:tcPr>
          <w:p w14:paraId="7E88F2AD" w14:textId="77777777" w:rsidR="000740F7" w:rsidRPr="001F53E7" w:rsidRDefault="000740F7" w:rsidP="006D0A51">
            <w:pPr>
              <w:jc w:val="center"/>
              <w:rPr>
                <w:color w:val="000000"/>
                <w:sz w:val="18"/>
                <w:szCs w:val="18"/>
              </w:rPr>
            </w:pPr>
            <w:r w:rsidRPr="001F53E7">
              <w:rPr>
                <w:color w:val="000000"/>
                <w:sz w:val="18"/>
                <w:szCs w:val="18"/>
              </w:rPr>
              <w:t>62,0</w:t>
            </w:r>
          </w:p>
        </w:tc>
      </w:tr>
      <w:tr w:rsidR="001F53E7" w:rsidRPr="001B4CA2" w14:paraId="7E5FD4A7"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3F8B76C0"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Varaždinu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64576AA1" w14:textId="77777777" w:rsidR="000740F7" w:rsidRPr="001F53E7" w:rsidRDefault="000740F7" w:rsidP="006D0A51">
            <w:pPr>
              <w:jc w:val="center"/>
              <w:rPr>
                <w:color w:val="000000"/>
                <w:sz w:val="18"/>
                <w:szCs w:val="18"/>
              </w:rPr>
            </w:pPr>
            <w:r w:rsidRPr="001F53E7">
              <w:rPr>
                <w:color w:val="000000"/>
                <w:sz w:val="18"/>
                <w:szCs w:val="18"/>
              </w:rPr>
              <w:t>17</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08A29C40" w14:textId="77777777" w:rsidR="000740F7" w:rsidRPr="001F53E7" w:rsidRDefault="000740F7" w:rsidP="006D0A51">
            <w:pPr>
              <w:jc w:val="center"/>
              <w:rPr>
                <w:color w:val="000000"/>
                <w:sz w:val="18"/>
                <w:szCs w:val="18"/>
              </w:rPr>
            </w:pPr>
            <w:r w:rsidRPr="001F53E7">
              <w:rPr>
                <w:color w:val="000000"/>
                <w:sz w:val="18"/>
                <w:szCs w:val="18"/>
              </w:rPr>
              <w:t>16,5</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6150FD18" w14:textId="77777777" w:rsidR="000740F7" w:rsidRPr="001F53E7" w:rsidRDefault="000740F7" w:rsidP="006D0A51">
            <w:pPr>
              <w:jc w:val="center"/>
              <w:rPr>
                <w:color w:val="000000"/>
                <w:sz w:val="18"/>
                <w:szCs w:val="18"/>
              </w:rPr>
            </w:pPr>
            <w:r w:rsidRPr="001F53E7">
              <w:rPr>
                <w:color w:val="000000"/>
                <w:sz w:val="18"/>
                <w:szCs w:val="18"/>
              </w:rPr>
              <w:t>324,1</w:t>
            </w:r>
          </w:p>
        </w:tc>
        <w:tc>
          <w:tcPr>
            <w:tcW w:w="574" w:type="pct"/>
            <w:tcBorders>
              <w:top w:val="nil"/>
              <w:left w:val="nil"/>
              <w:bottom w:val="single" w:sz="4" w:space="0" w:color="auto"/>
              <w:right w:val="single" w:sz="4" w:space="0" w:color="auto"/>
            </w:tcBorders>
            <w:shd w:val="clear" w:color="auto" w:fill="auto"/>
            <w:noWrap/>
            <w:vAlign w:val="center"/>
          </w:tcPr>
          <w:p w14:paraId="7B0A643F" w14:textId="77777777" w:rsidR="000740F7" w:rsidRPr="001F53E7" w:rsidRDefault="000740F7" w:rsidP="006D0A51">
            <w:pPr>
              <w:jc w:val="center"/>
              <w:rPr>
                <w:color w:val="000000"/>
                <w:sz w:val="18"/>
                <w:szCs w:val="18"/>
              </w:rPr>
            </w:pPr>
            <w:r w:rsidRPr="001F53E7">
              <w:rPr>
                <w:color w:val="000000"/>
                <w:sz w:val="18"/>
                <w:szCs w:val="18"/>
              </w:rPr>
              <w:t>63,6</w:t>
            </w:r>
          </w:p>
        </w:tc>
        <w:tc>
          <w:tcPr>
            <w:tcW w:w="574" w:type="pct"/>
            <w:tcBorders>
              <w:top w:val="nil"/>
              <w:left w:val="nil"/>
              <w:bottom w:val="single" w:sz="4" w:space="0" w:color="auto"/>
              <w:right w:val="single" w:sz="4" w:space="0" w:color="auto"/>
            </w:tcBorders>
            <w:shd w:val="clear" w:color="auto" w:fill="auto"/>
            <w:noWrap/>
            <w:vAlign w:val="center"/>
          </w:tcPr>
          <w:p w14:paraId="58B4BF9E" w14:textId="77777777" w:rsidR="000740F7" w:rsidRPr="001F53E7" w:rsidRDefault="000740F7" w:rsidP="006D0A51">
            <w:pPr>
              <w:jc w:val="center"/>
              <w:rPr>
                <w:color w:val="000000"/>
                <w:sz w:val="18"/>
                <w:szCs w:val="18"/>
              </w:rPr>
            </w:pPr>
            <w:r w:rsidRPr="001F53E7">
              <w:rPr>
                <w:color w:val="000000"/>
                <w:sz w:val="18"/>
                <w:szCs w:val="18"/>
              </w:rPr>
              <w:t>96%</w:t>
            </w:r>
          </w:p>
        </w:tc>
        <w:tc>
          <w:tcPr>
            <w:tcW w:w="574" w:type="pct"/>
            <w:tcBorders>
              <w:top w:val="nil"/>
              <w:left w:val="nil"/>
              <w:bottom w:val="single" w:sz="4" w:space="0" w:color="auto"/>
              <w:right w:val="single" w:sz="4" w:space="0" w:color="auto"/>
            </w:tcBorders>
            <w:shd w:val="clear" w:color="auto" w:fill="auto"/>
            <w:noWrap/>
            <w:vAlign w:val="center"/>
          </w:tcPr>
          <w:p w14:paraId="2927FE9F" w14:textId="77777777" w:rsidR="000740F7" w:rsidRPr="001F53E7" w:rsidRDefault="000740F7" w:rsidP="006D0A51">
            <w:pPr>
              <w:jc w:val="center"/>
              <w:rPr>
                <w:color w:val="000000"/>
                <w:sz w:val="18"/>
                <w:szCs w:val="18"/>
              </w:rPr>
            </w:pPr>
            <w:r w:rsidRPr="001F53E7">
              <w:rPr>
                <w:color w:val="000000"/>
                <w:sz w:val="18"/>
                <w:szCs w:val="18"/>
              </w:rPr>
              <w:t>71,6</w:t>
            </w:r>
          </w:p>
        </w:tc>
      </w:tr>
      <w:tr w:rsidR="001F53E7" w:rsidRPr="001B4CA2" w14:paraId="64F93E21"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3D6E0207"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Velikoj Gorici</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4050AE05" w14:textId="77777777" w:rsidR="000740F7" w:rsidRPr="001F53E7" w:rsidRDefault="000740F7" w:rsidP="006D0A51">
            <w:pPr>
              <w:jc w:val="center"/>
              <w:rPr>
                <w:color w:val="000000"/>
                <w:sz w:val="18"/>
                <w:szCs w:val="18"/>
              </w:rPr>
            </w:pPr>
            <w:r w:rsidRPr="001F53E7">
              <w:rPr>
                <w:color w:val="000000"/>
                <w:sz w:val="18"/>
                <w:szCs w:val="18"/>
              </w:rPr>
              <w:t>15</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230C9BC" w14:textId="77777777" w:rsidR="000740F7" w:rsidRPr="001F53E7" w:rsidRDefault="000740F7" w:rsidP="006D0A51">
            <w:pPr>
              <w:jc w:val="center"/>
              <w:rPr>
                <w:color w:val="000000"/>
                <w:sz w:val="18"/>
                <w:szCs w:val="18"/>
              </w:rPr>
            </w:pPr>
            <w:r w:rsidRPr="001F53E7">
              <w:rPr>
                <w:color w:val="000000"/>
                <w:sz w:val="18"/>
                <w:szCs w:val="18"/>
              </w:rPr>
              <w:t>12</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54B81BEB" w14:textId="77777777" w:rsidR="000740F7" w:rsidRPr="001F53E7" w:rsidRDefault="000740F7" w:rsidP="006D0A51">
            <w:pPr>
              <w:jc w:val="center"/>
              <w:rPr>
                <w:color w:val="000000"/>
                <w:sz w:val="18"/>
                <w:szCs w:val="18"/>
              </w:rPr>
            </w:pPr>
            <w:r w:rsidRPr="001F53E7">
              <w:rPr>
                <w:color w:val="000000"/>
                <w:sz w:val="18"/>
                <w:szCs w:val="18"/>
              </w:rPr>
              <w:t>301,8</w:t>
            </w:r>
          </w:p>
        </w:tc>
        <w:tc>
          <w:tcPr>
            <w:tcW w:w="574" w:type="pct"/>
            <w:tcBorders>
              <w:top w:val="nil"/>
              <w:left w:val="nil"/>
              <w:bottom w:val="single" w:sz="4" w:space="0" w:color="auto"/>
              <w:right w:val="single" w:sz="4" w:space="0" w:color="auto"/>
            </w:tcBorders>
            <w:shd w:val="clear" w:color="auto" w:fill="auto"/>
            <w:noWrap/>
            <w:vAlign w:val="center"/>
          </w:tcPr>
          <w:p w14:paraId="3613F27E" w14:textId="77777777" w:rsidR="000740F7" w:rsidRPr="001F53E7" w:rsidRDefault="000740F7" w:rsidP="006D0A51">
            <w:pPr>
              <w:jc w:val="center"/>
              <w:rPr>
                <w:color w:val="000000"/>
                <w:sz w:val="18"/>
                <w:szCs w:val="18"/>
              </w:rPr>
            </w:pPr>
            <w:r w:rsidRPr="001F53E7">
              <w:rPr>
                <w:color w:val="000000"/>
                <w:sz w:val="18"/>
                <w:szCs w:val="18"/>
              </w:rPr>
              <w:t>86,7</w:t>
            </w:r>
          </w:p>
        </w:tc>
        <w:tc>
          <w:tcPr>
            <w:tcW w:w="574" w:type="pct"/>
            <w:tcBorders>
              <w:top w:val="nil"/>
              <w:left w:val="nil"/>
              <w:bottom w:val="single" w:sz="4" w:space="0" w:color="auto"/>
              <w:right w:val="single" w:sz="4" w:space="0" w:color="auto"/>
            </w:tcBorders>
            <w:shd w:val="clear" w:color="auto" w:fill="auto"/>
            <w:noWrap/>
            <w:vAlign w:val="center"/>
          </w:tcPr>
          <w:p w14:paraId="364AA9BC" w14:textId="77777777" w:rsidR="000740F7" w:rsidRPr="001F53E7" w:rsidRDefault="000740F7" w:rsidP="006D0A51">
            <w:pPr>
              <w:jc w:val="center"/>
              <w:rPr>
                <w:color w:val="000000"/>
                <w:sz w:val="18"/>
                <w:szCs w:val="18"/>
              </w:rPr>
            </w:pPr>
            <w:r w:rsidRPr="001F53E7">
              <w:rPr>
                <w:color w:val="000000"/>
                <w:sz w:val="18"/>
                <w:szCs w:val="18"/>
              </w:rPr>
              <w:t>97%</w:t>
            </w:r>
          </w:p>
        </w:tc>
        <w:tc>
          <w:tcPr>
            <w:tcW w:w="574" w:type="pct"/>
            <w:tcBorders>
              <w:top w:val="nil"/>
              <w:left w:val="nil"/>
              <w:bottom w:val="single" w:sz="4" w:space="0" w:color="auto"/>
              <w:right w:val="single" w:sz="4" w:space="0" w:color="auto"/>
            </w:tcBorders>
            <w:shd w:val="clear" w:color="auto" w:fill="auto"/>
            <w:noWrap/>
            <w:vAlign w:val="center"/>
          </w:tcPr>
          <w:p w14:paraId="695E6298" w14:textId="77777777" w:rsidR="000740F7" w:rsidRPr="001F53E7" w:rsidRDefault="000740F7" w:rsidP="006D0A51">
            <w:pPr>
              <w:jc w:val="center"/>
              <w:rPr>
                <w:color w:val="000000"/>
                <w:sz w:val="18"/>
                <w:szCs w:val="18"/>
              </w:rPr>
            </w:pPr>
            <w:r w:rsidRPr="001F53E7">
              <w:rPr>
                <w:color w:val="000000"/>
                <w:sz w:val="18"/>
                <w:szCs w:val="18"/>
              </w:rPr>
              <w:t>104,8</w:t>
            </w:r>
          </w:p>
        </w:tc>
      </w:tr>
      <w:tr w:rsidR="001F53E7" w:rsidRPr="001B4CA2" w14:paraId="78BB1E4F"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48D15AD2"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Vinkovcima</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2295F42C" w14:textId="77777777" w:rsidR="000740F7" w:rsidRPr="001F53E7" w:rsidRDefault="000740F7" w:rsidP="006D0A51">
            <w:pPr>
              <w:jc w:val="center"/>
              <w:rPr>
                <w:color w:val="000000"/>
                <w:sz w:val="18"/>
                <w:szCs w:val="18"/>
              </w:rPr>
            </w:pPr>
            <w:r w:rsidRPr="001F53E7">
              <w:rPr>
                <w:color w:val="000000"/>
                <w:sz w:val="18"/>
                <w:szCs w:val="18"/>
              </w:rPr>
              <w:t>12</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6DC4F334" w14:textId="77777777" w:rsidR="000740F7" w:rsidRPr="001F53E7" w:rsidRDefault="000740F7" w:rsidP="006D0A51">
            <w:pPr>
              <w:jc w:val="center"/>
              <w:rPr>
                <w:color w:val="000000"/>
                <w:sz w:val="18"/>
                <w:szCs w:val="18"/>
              </w:rPr>
            </w:pPr>
            <w:r w:rsidRPr="001F53E7">
              <w:rPr>
                <w:color w:val="000000"/>
                <w:sz w:val="18"/>
                <w:szCs w:val="18"/>
              </w:rPr>
              <w:t>12</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37B30D13" w14:textId="77777777" w:rsidR="000740F7" w:rsidRPr="001F53E7" w:rsidRDefault="000740F7" w:rsidP="006D0A51">
            <w:pPr>
              <w:jc w:val="center"/>
              <w:rPr>
                <w:color w:val="000000"/>
                <w:sz w:val="18"/>
                <w:szCs w:val="18"/>
              </w:rPr>
            </w:pPr>
            <w:r w:rsidRPr="001F53E7">
              <w:rPr>
                <w:color w:val="000000"/>
                <w:sz w:val="18"/>
                <w:szCs w:val="18"/>
              </w:rPr>
              <w:t>335,1</w:t>
            </w:r>
          </w:p>
        </w:tc>
        <w:tc>
          <w:tcPr>
            <w:tcW w:w="574" w:type="pct"/>
            <w:tcBorders>
              <w:top w:val="nil"/>
              <w:left w:val="nil"/>
              <w:bottom w:val="single" w:sz="4" w:space="0" w:color="auto"/>
              <w:right w:val="single" w:sz="4" w:space="0" w:color="auto"/>
            </w:tcBorders>
            <w:shd w:val="clear" w:color="auto" w:fill="auto"/>
            <w:noWrap/>
            <w:vAlign w:val="center"/>
          </w:tcPr>
          <w:p w14:paraId="6B095D0E" w14:textId="77777777" w:rsidR="000740F7" w:rsidRPr="001F53E7" w:rsidRDefault="000740F7" w:rsidP="006D0A51">
            <w:pPr>
              <w:jc w:val="center"/>
              <w:rPr>
                <w:color w:val="000000"/>
                <w:sz w:val="18"/>
                <w:szCs w:val="18"/>
              </w:rPr>
            </w:pPr>
            <w:r w:rsidRPr="001F53E7">
              <w:rPr>
                <w:color w:val="000000"/>
                <w:sz w:val="18"/>
                <w:szCs w:val="18"/>
              </w:rPr>
              <w:t>47,1</w:t>
            </w:r>
          </w:p>
        </w:tc>
        <w:tc>
          <w:tcPr>
            <w:tcW w:w="574" w:type="pct"/>
            <w:tcBorders>
              <w:top w:val="nil"/>
              <w:left w:val="nil"/>
              <w:bottom w:val="single" w:sz="4" w:space="0" w:color="auto"/>
              <w:right w:val="single" w:sz="4" w:space="0" w:color="auto"/>
            </w:tcBorders>
            <w:shd w:val="clear" w:color="auto" w:fill="auto"/>
            <w:noWrap/>
            <w:vAlign w:val="center"/>
          </w:tcPr>
          <w:p w14:paraId="6143C30B" w14:textId="77777777" w:rsidR="000740F7" w:rsidRPr="001F53E7" w:rsidRDefault="000740F7" w:rsidP="006D0A51">
            <w:pPr>
              <w:jc w:val="center"/>
              <w:rPr>
                <w:color w:val="000000"/>
                <w:sz w:val="18"/>
                <w:szCs w:val="18"/>
              </w:rPr>
            </w:pPr>
            <w:r w:rsidRPr="001F53E7">
              <w:rPr>
                <w:color w:val="000000"/>
                <w:sz w:val="18"/>
                <w:szCs w:val="18"/>
              </w:rPr>
              <w:t>100%</w:t>
            </w:r>
          </w:p>
        </w:tc>
        <w:tc>
          <w:tcPr>
            <w:tcW w:w="574" w:type="pct"/>
            <w:tcBorders>
              <w:top w:val="nil"/>
              <w:left w:val="nil"/>
              <w:bottom w:val="single" w:sz="4" w:space="0" w:color="auto"/>
              <w:right w:val="single" w:sz="4" w:space="0" w:color="auto"/>
            </w:tcBorders>
            <w:shd w:val="clear" w:color="auto" w:fill="auto"/>
            <w:noWrap/>
            <w:vAlign w:val="center"/>
          </w:tcPr>
          <w:p w14:paraId="7F9E58A1" w14:textId="77777777" w:rsidR="000740F7" w:rsidRPr="001F53E7" w:rsidRDefault="000740F7" w:rsidP="006D0A51">
            <w:pPr>
              <w:jc w:val="center"/>
              <w:rPr>
                <w:color w:val="000000"/>
                <w:sz w:val="18"/>
                <w:szCs w:val="18"/>
              </w:rPr>
            </w:pPr>
            <w:r w:rsidRPr="001F53E7">
              <w:rPr>
                <w:color w:val="000000"/>
                <w:sz w:val="18"/>
                <w:szCs w:val="18"/>
              </w:rPr>
              <w:t>51,3</w:t>
            </w:r>
          </w:p>
        </w:tc>
      </w:tr>
      <w:tr w:rsidR="001F53E7" w:rsidRPr="001B4CA2" w14:paraId="7EC0BF50"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3D86A66C"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Virovitici</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1AB6276" w14:textId="77777777" w:rsidR="000740F7" w:rsidRPr="001F53E7" w:rsidRDefault="000740F7" w:rsidP="006D0A51">
            <w:pPr>
              <w:jc w:val="center"/>
              <w:rPr>
                <w:color w:val="000000"/>
                <w:sz w:val="18"/>
                <w:szCs w:val="18"/>
              </w:rPr>
            </w:pPr>
            <w:r w:rsidRPr="001F53E7">
              <w:rPr>
                <w:color w:val="000000"/>
                <w:sz w:val="18"/>
                <w:szCs w:val="18"/>
              </w:rPr>
              <w:t>12</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56ED31EA" w14:textId="77777777" w:rsidR="000740F7" w:rsidRPr="001F53E7" w:rsidRDefault="000740F7" w:rsidP="006D0A51">
            <w:pPr>
              <w:jc w:val="center"/>
              <w:rPr>
                <w:color w:val="000000"/>
                <w:sz w:val="18"/>
                <w:szCs w:val="18"/>
              </w:rPr>
            </w:pPr>
            <w:r w:rsidRPr="001F53E7">
              <w:rPr>
                <w:color w:val="000000"/>
                <w:sz w:val="18"/>
                <w:szCs w:val="18"/>
              </w:rPr>
              <w:t>11,75</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64A0D152" w14:textId="77777777" w:rsidR="000740F7" w:rsidRPr="001F53E7" w:rsidRDefault="000740F7" w:rsidP="006D0A51">
            <w:pPr>
              <w:jc w:val="center"/>
              <w:rPr>
                <w:color w:val="000000"/>
                <w:sz w:val="18"/>
                <w:szCs w:val="18"/>
              </w:rPr>
            </w:pPr>
            <w:r w:rsidRPr="001F53E7">
              <w:rPr>
                <w:color w:val="000000"/>
                <w:sz w:val="18"/>
                <w:szCs w:val="18"/>
              </w:rPr>
              <w:t>346,0</w:t>
            </w:r>
          </w:p>
        </w:tc>
        <w:tc>
          <w:tcPr>
            <w:tcW w:w="574" w:type="pct"/>
            <w:tcBorders>
              <w:top w:val="nil"/>
              <w:left w:val="nil"/>
              <w:bottom w:val="single" w:sz="4" w:space="0" w:color="auto"/>
              <w:right w:val="single" w:sz="4" w:space="0" w:color="auto"/>
            </w:tcBorders>
            <w:shd w:val="clear" w:color="auto" w:fill="auto"/>
            <w:noWrap/>
            <w:vAlign w:val="center"/>
          </w:tcPr>
          <w:p w14:paraId="088B2589" w14:textId="77777777" w:rsidR="000740F7" w:rsidRPr="001F53E7" w:rsidRDefault="000740F7" w:rsidP="006D0A51">
            <w:pPr>
              <w:jc w:val="center"/>
              <w:rPr>
                <w:color w:val="000000"/>
                <w:sz w:val="18"/>
                <w:szCs w:val="18"/>
              </w:rPr>
            </w:pPr>
            <w:r w:rsidRPr="001F53E7">
              <w:rPr>
                <w:color w:val="000000"/>
                <w:sz w:val="18"/>
                <w:szCs w:val="18"/>
              </w:rPr>
              <w:t>29,4</w:t>
            </w:r>
          </w:p>
        </w:tc>
        <w:tc>
          <w:tcPr>
            <w:tcW w:w="574" w:type="pct"/>
            <w:tcBorders>
              <w:top w:val="nil"/>
              <w:left w:val="nil"/>
              <w:bottom w:val="single" w:sz="4" w:space="0" w:color="auto"/>
              <w:right w:val="single" w:sz="4" w:space="0" w:color="auto"/>
            </w:tcBorders>
            <w:shd w:val="clear" w:color="auto" w:fill="auto"/>
            <w:noWrap/>
            <w:vAlign w:val="center"/>
          </w:tcPr>
          <w:p w14:paraId="5D2BBE14" w14:textId="77777777" w:rsidR="000740F7" w:rsidRPr="001F53E7" w:rsidRDefault="000740F7" w:rsidP="006D0A51">
            <w:pPr>
              <w:jc w:val="center"/>
              <w:rPr>
                <w:color w:val="000000"/>
                <w:sz w:val="18"/>
                <w:szCs w:val="18"/>
              </w:rPr>
            </w:pPr>
            <w:r w:rsidRPr="001F53E7">
              <w:rPr>
                <w:color w:val="000000"/>
                <w:sz w:val="18"/>
                <w:szCs w:val="18"/>
              </w:rPr>
              <w:t>95%</w:t>
            </w:r>
          </w:p>
        </w:tc>
        <w:tc>
          <w:tcPr>
            <w:tcW w:w="574" w:type="pct"/>
            <w:tcBorders>
              <w:top w:val="nil"/>
              <w:left w:val="nil"/>
              <w:bottom w:val="single" w:sz="4" w:space="0" w:color="auto"/>
              <w:right w:val="single" w:sz="4" w:space="0" w:color="auto"/>
            </w:tcBorders>
            <w:shd w:val="clear" w:color="auto" w:fill="auto"/>
            <w:noWrap/>
            <w:vAlign w:val="center"/>
          </w:tcPr>
          <w:p w14:paraId="7227DFC7" w14:textId="77777777" w:rsidR="000740F7" w:rsidRPr="001F53E7" w:rsidRDefault="000740F7" w:rsidP="006D0A51">
            <w:pPr>
              <w:jc w:val="center"/>
              <w:rPr>
                <w:color w:val="000000"/>
                <w:sz w:val="18"/>
                <w:szCs w:val="18"/>
              </w:rPr>
            </w:pPr>
            <w:r w:rsidRPr="001F53E7">
              <w:rPr>
                <w:color w:val="000000"/>
                <w:sz w:val="18"/>
                <w:szCs w:val="18"/>
              </w:rPr>
              <w:t>31,1</w:t>
            </w:r>
          </w:p>
        </w:tc>
      </w:tr>
      <w:tr w:rsidR="001F53E7" w:rsidRPr="001B4CA2" w14:paraId="03ACF93B"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4378612A"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Vukovaru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C3460E5" w14:textId="77777777" w:rsidR="000740F7" w:rsidRPr="001F53E7" w:rsidRDefault="000740F7" w:rsidP="006D0A51">
            <w:pPr>
              <w:jc w:val="center"/>
              <w:rPr>
                <w:color w:val="000000"/>
                <w:sz w:val="18"/>
                <w:szCs w:val="18"/>
              </w:rPr>
            </w:pPr>
            <w:r w:rsidRPr="001F53E7">
              <w:rPr>
                <w:color w:val="000000"/>
                <w:sz w:val="18"/>
                <w:szCs w:val="18"/>
              </w:rPr>
              <w:t>12</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00762CD4" w14:textId="77777777" w:rsidR="000740F7" w:rsidRPr="001F53E7" w:rsidRDefault="000740F7" w:rsidP="006D0A51">
            <w:pPr>
              <w:jc w:val="center"/>
              <w:rPr>
                <w:color w:val="000000"/>
                <w:sz w:val="18"/>
                <w:szCs w:val="18"/>
              </w:rPr>
            </w:pPr>
            <w:r w:rsidRPr="001F53E7">
              <w:rPr>
                <w:color w:val="000000"/>
                <w:sz w:val="18"/>
                <w:szCs w:val="18"/>
              </w:rPr>
              <w:t>11,3</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50A26967" w14:textId="77777777" w:rsidR="000740F7" w:rsidRPr="001F53E7" w:rsidRDefault="000740F7" w:rsidP="006D0A51">
            <w:pPr>
              <w:jc w:val="center"/>
              <w:rPr>
                <w:color w:val="000000"/>
                <w:sz w:val="18"/>
                <w:szCs w:val="18"/>
              </w:rPr>
            </w:pPr>
            <w:r w:rsidRPr="001F53E7">
              <w:rPr>
                <w:color w:val="000000"/>
                <w:sz w:val="18"/>
                <w:szCs w:val="18"/>
              </w:rPr>
              <w:t>293,8</w:t>
            </w:r>
          </w:p>
        </w:tc>
        <w:tc>
          <w:tcPr>
            <w:tcW w:w="574" w:type="pct"/>
            <w:tcBorders>
              <w:top w:val="nil"/>
              <w:left w:val="nil"/>
              <w:bottom w:val="single" w:sz="4" w:space="0" w:color="auto"/>
              <w:right w:val="single" w:sz="4" w:space="0" w:color="auto"/>
            </w:tcBorders>
            <w:shd w:val="clear" w:color="auto" w:fill="auto"/>
            <w:noWrap/>
            <w:vAlign w:val="center"/>
          </w:tcPr>
          <w:p w14:paraId="01B26A97" w14:textId="77777777" w:rsidR="000740F7" w:rsidRPr="001F53E7" w:rsidRDefault="000740F7" w:rsidP="006D0A51">
            <w:pPr>
              <w:jc w:val="center"/>
              <w:rPr>
                <w:color w:val="000000"/>
                <w:sz w:val="18"/>
                <w:szCs w:val="18"/>
              </w:rPr>
            </w:pPr>
            <w:r w:rsidRPr="001F53E7">
              <w:rPr>
                <w:color w:val="000000"/>
                <w:sz w:val="18"/>
                <w:szCs w:val="18"/>
              </w:rPr>
              <w:t>47,8</w:t>
            </w:r>
          </w:p>
        </w:tc>
        <w:tc>
          <w:tcPr>
            <w:tcW w:w="574" w:type="pct"/>
            <w:tcBorders>
              <w:top w:val="nil"/>
              <w:left w:val="nil"/>
              <w:bottom w:val="single" w:sz="4" w:space="0" w:color="auto"/>
              <w:right w:val="single" w:sz="4" w:space="0" w:color="auto"/>
            </w:tcBorders>
            <w:shd w:val="clear" w:color="auto" w:fill="auto"/>
            <w:noWrap/>
            <w:vAlign w:val="center"/>
          </w:tcPr>
          <w:p w14:paraId="34AFDD73" w14:textId="77777777" w:rsidR="000740F7" w:rsidRPr="001F53E7" w:rsidRDefault="000740F7" w:rsidP="006D0A51">
            <w:pPr>
              <w:jc w:val="center"/>
              <w:rPr>
                <w:color w:val="000000"/>
                <w:sz w:val="18"/>
                <w:szCs w:val="18"/>
              </w:rPr>
            </w:pPr>
            <w:r w:rsidRPr="001F53E7">
              <w:rPr>
                <w:color w:val="000000"/>
                <w:sz w:val="18"/>
                <w:szCs w:val="18"/>
              </w:rPr>
              <w:t>95%</w:t>
            </w:r>
          </w:p>
        </w:tc>
        <w:tc>
          <w:tcPr>
            <w:tcW w:w="574" w:type="pct"/>
            <w:tcBorders>
              <w:top w:val="nil"/>
              <w:left w:val="nil"/>
              <w:bottom w:val="single" w:sz="4" w:space="0" w:color="auto"/>
              <w:right w:val="single" w:sz="4" w:space="0" w:color="auto"/>
            </w:tcBorders>
            <w:shd w:val="clear" w:color="auto" w:fill="auto"/>
            <w:noWrap/>
            <w:vAlign w:val="center"/>
          </w:tcPr>
          <w:p w14:paraId="59CF6044" w14:textId="77777777" w:rsidR="000740F7" w:rsidRPr="001F53E7" w:rsidRDefault="000740F7" w:rsidP="006D0A51">
            <w:pPr>
              <w:jc w:val="center"/>
              <w:rPr>
                <w:color w:val="000000"/>
                <w:sz w:val="18"/>
                <w:szCs w:val="18"/>
              </w:rPr>
            </w:pPr>
            <w:r w:rsidRPr="001F53E7">
              <w:rPr>
                <w:color w:val="000000"/>
                <w:sz w:val="18"/>
                <w:szCs w:val="18"/>
              </w:rPr>
              <w:t>59,4</w:t>
            </w:r>
          </w:p>
        </w:tc>
      </w:tr>
      <w:tr w:rsidR="001F53E7" w:rsidRPr="001B4CA2" w14:paraId="2A227E38"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1DE20ED3"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Zadru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045F6596" w14:textId="77777777" w:rsidR="000740F7" w:rsidRPr="001F53E7" w:rsidRDefault="000740F7" w:rsidP="006D0A51">
            <w:pPr>
              <w:jc w:val="center"/>
              <w:rPr>
                <w:color w:val="000000"/>
                <w:sz w:val="18"/>
                <w:szCs w:val="18"/>
              </w:rPr>
            </w:pPr>
            <w:r w:rsidRPr="001F53E7">
              <w:rPr>
                <w:color w:val="000000"/>
                <w:sz w:val="18"/>
                <w:szCs w:val="18"/>
              </w:rPr>
              <w:t>24</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5AC8D00E" w14:textId="77777777" w:rsidR="000740F7" w:rsidRPr="001F53E7" w:rsidRDefault="000740F7" w:rsidP="006D0A51">
            <w:pPr>
              <w:jc w:val="center"/>
              <w:rPr>
                <w:color w:val="000000"/>
                <w:sz w:val="18"/>
                <w:szCs w:val="18"/>
              </w:rPr>
            </w:pPr>
            <w:r w:rsidRPr="001F53E7">
              <w:rPr>
                <w:color w:val="000000"/>
                <w:sz w:val="18"/>
                <w:szCs w:val="18"/>
              </w:rPr>
              <w:t>16,8</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64E29B80" w14:textId="77777777" w:rsidR="000740F7" w:rsidRPr="001F53E7" w:rsidRDefault="000740F7" w:rsidP="006D0A51">
            <w:pPr>
              <w:jc w:val="center"/>
              <w:rPr>
                <w:color w:val="000000"/>
                <w:sz w:val="18"/>
                <w:szCs w:val="18"/>
              </w:rPr>
            </w:pPr>
            <w:r w:rsidRPr="001F53E7">
              <w:rPr>
                <w:color w:val="000000"/>
                <w:sz w:val="18"/>
                <w:szCs w:val="18"/>
              </w:rPr>
              <w:t>465,0</w:t>
            </w:r>
          </w:p>
        </w:tc>
        <w:tc>
          <w:tcPr>
            <w:tcW w:w="574" w:type="pct"/>
            <w:tcBorders>
              <w:top w:val="nil"/>
              <w:left w:val="nil"/>
              <w:bottom w:val="single" w:sz="4" w:space="0" w:color="auto"/>
              <w:right w:val="single" w:sz="4" w:space="0" w:color="auto"/>
            </w:tcBorders>
            <w:shd w:val="clear" w:color="auto" w:fill="auto"/>
            <w:noWrap/>
            <w:vAlign w:val="center"/>
          </w:tcPr>
          <w:p w14:paraId="64746559" w14:textId="77777777" w:rsidR="000740F7" w:rsidRPr="001F53E7" w:rsidRDefault="000740F7" w:rsidP="006D0A51">
            <w:pPr>
              <w:jc w:val="center"/>
              <w:rPr>
                <w:color w:val="000000"/>
                <w:sz w:val="18"/>
                <w:szCs w:val="18"/>
              </w:rPr>
            </w:pPr>
            <w:r w:rsidRPr="001F53E7">
              <w:rPr>
                <w:color w:val="000000"/>
                <w:sz w:val="18"/>
                <w:szCs w:val="18"/>
              </w:rPr>
              <w:t>153,9</w:t>
            </w:r>
          </w:p>
        </w:tc>
        <w:tc>
          <w:tcPr>
            <w:tcW w:w="574" w:type="pct"/>
            <w:tcBorders>
              <w:top w:val="nil"/>
              <w:left w:val="nil"/>
              <w:bottom w:val="single" w:sz="4" w:space="0" w:color="auto"/>
              <w:right w:val="single" w:sz="4" w:space="0" w:color="auto"/>
            </w:tcBorders>
            <w:shd w:val="clear" w:color="auto" w:fill="auto"/>
            <w:noWrap/>
            <w:vAlign w:val="center"/>
          </w:tcPr>
          <w:p w14:paraId="6060FE17" w14:textId="77777777" w:rsidR="000740F7" w:rsidRPr="001F53E7" w:rsidRDefault="000740F7" w:rsidP="006D0A51">
            <w:pPr>
              <w:jc w:val="center"/>
              <w:rPr>
                <w:color w:val="000000"/>
                <w:sz w:val="18"/>
                <w:szCs w:val="18"/>
              </w:rPr>
            </w:pPr>
            <w:r w:rsidRPr="001F53E7">
              <w:rPr>
                <w:color w:val="000000"/>
                <w:sz w:val="18"/>
                <w:szCs w:val="18"/>
              </w:rPr>
              <w:t>97%</w:t>
            </w:r>
          </w:p>
        </w:tc>
        <w:tc>
          <w:tcPr>
            <w:tcW w:w="574" w:type="pct"/>
            <w:tcBorders>
              <w:top w:val="nil"/>
              <w:left w:val="nil"/>
              <w:bottom w:val="single" w:sz="4" w:space="0" w:color="auto"/>
              <w:right w:val="single" w:sz="4" w:space="0" w:color="auto"/>
            </w:tcBorders>
            <w:shd w:val="clear" w:color="auto" w:fill="auto"/>
            <w:noWrap/>
            <w:vAlign w:val="center"/>
          </w:tcPr>
          <w:p w14:paraId="0400B4BE" w14:textId="77777777" w:rsidR="000740F7" w:rsidRPr="001F53E7" w:rsidRDefault="000740F7" w:rsidP="006D0A51">
            <w:pPr>
              <w:jc w:val="center"/>
              <w:rPr>
                <w:color w:val="000000"/>
                <w:sz w:val="18"/>
                <w:szCs w:val="18"/>
              </w:rPr>
            </w:pPr>
            <w:r w:rsidRPr="001F53E7">
              <w:rPr>
                <w:color w:val="000000"/>
                <w:sz w:val="18"/>
                <w:szCs w:val="18"/>
              </w:rPr>
              <w:t>120,8</w:t>
            </w:r>
          </w:p>
        </w:tc>
      </w:tr>
      <w:tr w:rsidR="001F53E7" w:rsidRPr="001B4CA2" w14:paraId="783851E7"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0850EFBB"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ODO u Zlataru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2409940E" w14:textId="77777777" w:rsidR="000740F7" w:rsidRPr="001F53E7" w:rsidRDefault="000740F7" w:rsidP="006D0A51">
            <w:pPr>
              <w:jc w:val="center"/>
              <w:rPr>
                <w:color w:val="000000"/>
                <w:sz w:val="18"/>
                <w:szCs w:val="18"/>
              </w:rPr>
            </w:pPr>
            <w:r w:rsidRPr="001F53E7">
              <w:rPr>
                <w:color w:val="000000"/>
                <w:sz w:val="18"/>
                <w:szCs w:val="18"/>
              </w:rPr>
              <w:t>9</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1E819CA1" w14:textId="77777777" w:rsidR="000740F7" w:rsidRPr="001F53E7" w:rsidRDefault="000740F7" w:rsidP="006D0A51">
            <w:pPr>
              <w:jc w:val="center"/>
              <w:rPr>
                <w:color w:val="000000"/>
                <w:sz w:val="18"/>
                <w:szCs w:val="18"/>
              </w:rPr>
            </w:pPr>
            <w:r w:rsidRPr="001F53E7">
              <w:rPr>
                <w:color w:val="000000"/>
                <w:sz w:val="18"/>
                <w:szCs w:val="18"/>
              </w:rPr>
              <w:t>7,7</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6D628129" w14:textId="77777777" w:rsidR="000740F7" w:rsidRPr="001F53E7" w:rsidRDefault="000740F7" w:rsidP="006D0A51">
            <w:pPr>
              <w:jc w:val="center"/>
              <w:rPr>
                <w:color w:val="000000"/>
                <w:sz w:val="18"/>
                <w:szCs w:val="18"/>
              </w:rPr>
            </w:pPr>
            <w:r w:rsidRPr="001F53E7">
              <w:rPr>
                <w:color w:val="000000"/>
                <w:sz w:val="18"/>
                <w:szCs w:val="18"/>
              </w:rPr>
              <w:t>426,1</w:t>
            </w:r>
          </w:p>
        </w:tc>
        <w:tc>
          <w:tcPr>
            <w:tcW w:w="574" w:type="pct"/>
            <w:tcBorders>
              <w:top w:val="nil"/>
              <w:left w:val="nil"/>
              <w:bottom w:val="single" w:sz="4" w:space="0" w:color="auto"/>
              <w:right w:val="single" w:sz="4" w:space="0" w:color="auto"/>
            </w:tcBorders>
            <w:shd w:val="clear" w:color="auto" w:fill="auto"/>
            <w:noWrap/>
            <w:vAlign w:val="center"/>
          </w:tcPr>
          <w:p w14:paraId="7701F654" w14:textId="77777777" w:rsidR="000740F7" w:rsidRPr="001F53E7" w:rsidRDefault="000740F7" w:rsidP="006D0A51">
            <w:pPr>
              <w:jc w:val="center"/>
              <w:rPr>
                <w:color w:val="000000"/>
                <w:sz w:val="18"/>
                <w:szCs w:val="18"/>
              </w:rPr>
            </w:pPr>
            <w:r w:rsidRPr="001F53E7">
              <w:rPr>
                <w:color w:val="000000"/>
                <w:sz w:val="18"/>
                <w:szCs w:val="18"/>
              </w:rPr>
              <w:t>103,4</w:t>
            </w:r>
          </w:p>
        </w:tc>
        <w:tc>
          <w:tcPr>
            <w:tcW w:w="574" w:type="pct"/>
            <w:tcBorders>
              <w:top w:val="nil"/>
              <w:left w:val="nil"/>
              <w:bottom w:val="single" w:sz="4" w:space="0" w:color="auto"/>
              <w:right w:val="single" w:sz="4" w:space="0" w:color="auto"/>
            </w:tcBorders>
            <w:shd w:val="clear" w:color="auto" w:fill="auto"/>
            <w:noWrap/>
            <w:vAlign w:val="center"/>
          </w:tcPr>
          <w:p w14:paraId="2153FF36" w14:textId="77777777" w:rsidR="000740F7" w:rsidRPr="001F53E7" w:rsidRDefault="000740F7" w:rsidP="006D0A51">
            <w:pPr>
              <w:jc w:val="center"/>
              <w:rPr>
                <w:color w:val="000000"/>
                <w:sz w:val="18"/>
                <w:szCs w:val="18"/>
              </w:rPr>
            </w:pPr>
            <w:r w:rsidRPr="001F53E7">
              <w:rPr>
                <w:color w:val="000000"/>
                <w:sz w:val="18"/>
                <w:szCs w:val="18"/>
              </w:rPr>
              <w:t>100%</w:t>
            </w:r>
          </w:p>
        </w:tc>
        <w:tc>
          <w:tcPr>
            <w:tcW w:w="574" w:type="pct"/>
            <w:tcBorders>
              <w:top w:val="nil"/>
              <w:left w:val="nil"/>
              <w:bottom w:val="single" w:sz="4" w:space="0" w:color="auto"/>
              <w:right w:val="single" w:sz="4" w:space="0" w:color="auto"/>
            </w:tcBorders>
            <w:shd w:val="clear" w:color="auto" w:fill="auto"/>
            <w:noWrap/>
            <w:vAlign w:val="center"/>
          </w:tcPr>
          <w:p w14:paraId="2E72767C" w14:textId="77777777" w:rsidR="000740F7" w:rsidRPr="001F53E7" w:rsidRDefault="000740F7" w:rsidP="006D0A51">
            <w:pPr>
              <w:jc w:val="center"/>
              <w:rPr>
                <w:color w:val="000000"/>
                <w:sz w:val="18"/>
                <w:szCs w:val="18"/>
              </w:rPr>
            </w:pPr>
            <w:r w:rsidRPr="001F53E7">
              <w:rPr>
                <w:color w:val="000000"/>
                <w:sz w:val="18"/>
                <w:szCs w:val="18"/>
              </w:rPr>
              <w:t>88,6</w:t>
            </w:r>
          </w:p>
        </w:tc>
      </w:tr>
      <w:tr w:rsidR="001F53E7" w:rsidRPr="001B4CA2" w14:paraId="7A2F5F93" w14:textId="77777777" w:rsidTr="001F53E7">
        <w:trPr>
          <w:trHeight w:val="292"/>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23AB0979"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ODGO u Zagrebu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39738DA" w14:textId="77777777" w:rsidR="000740F7" w:rsidRPr="001F53E7" w:rsidRDefault="000740F7" w:rsidP="006D0A51">
            <w:pPr>
              <w:jc w:val="center"/>
              <w:rPr>
                <w:color w:val="000000"/>
                <w:sz w:val="18"/>
                <w:szCs w:val="18"/>
              </w:rPr>
            </w:pPr>
            <w:r w:rsidRPr="001F53E7">
              <w:rPr>
                <w:color w:val="000000"/>
                <w:sz w:val="18"/>
                <w:szCs w:val="18"/>
              </w:rPr>
              <w:t>44</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0B6CF17E" w14:textId="77777777" w:rsidR="000740F7" w:rsidRPr="001F53E7" w:rsidRDefault="000740F7" w:rsidP="006D0A51">
            <w:pPr>
              <w:jc w:val="center"/>
              <w:rPr>
                <w:color w:val="000000"/>
                <w:sz w:val="18"/>
                <w:szCs w:val="18"/>
              </w:rPr>
            </w:pPr>
            <w:r w:rsidRPr="001F53E7">
              <w:rPr>
                <w:color w:val="000000"/>
                <w:sz w:val="18"/>
                <w:szCs w:val="18"/>
              </w:rPr>
              <w:t>33,8</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6D7930A2" w14:textId="77777777" w:rsidR="000740F7" w:rsidRPr="001F53E7" w:rsidRDefault="000740F7" w:rsidP="006D0A51">
            <w:pPr>
              <w:jc w:val="center"/>
              <w:rPr>
                <w:color w:val="000000"/>
                <w:sz w:val="18"/>
                <w:szCs w:val="18"/>
              </w:rPr>
            </w:pPr>
            <w:r w:rsidRPr="001F53E7">
              <w:rPr>
                <w:color w:val="000000"/>
                <w:sz w:val="18"/>
                <w:szCs w:val="18"/>
              </w:rPr>
              <w:t>305,0</w:t>
            </w:r>
          </w:p>
        </w:tc>
        <w:tc>
          <w:tcPr>
            <w:tcW w:w="574" w:type="pct"/>
            <w:tcBorders>
              <w:top w:val="nil"/>
              <w:left w:val="nil"/>
              <w:bottom w:val="single" w:sz="4" w:space="0" w:color="auto"/>
              <w:right w:val="single" w:sz="4" w:space="0" w:color="auto"/>
            </w:tcBorders>
            <w:shd w:val="clear" w:color="auto" w:fill="auto"/>
            <w:noWrap/>
            <w:vAlign w:val="center"/>
          </w:tcPr>
          <w:p w14:paraId="5D4BAA17" w14:textId="77777777" w:rsidR="000740F7" w:rsidRPr="001F53E7" w:rsidRDefault="000740F7" w:rsidP="006D0A51">
            <w:pPr>
              <w:jc w:val="center"/>
              <w:rPr>
                <w:color w:val="000000"/>
                <w:sz w:val="18"/>
                <w:szCs w:val="18"/>
              </w:rPr>
            </w:pPr>
            <w:r w:rsidRPr="001F53E7">
              <w:rPr>
                <w:color w:val="000000"/>
                <w:sz w:val="18"/>
                <w:szCs w:val="18"/>
              </w:rPr>
              <w:t>10,7</w:t>
            </w:r>
          </w:p>
        </w:tc>
        <w:tc>
          <w:tcPr>
            <w:tcW w:w="574" w:type="pct"/>
            <w:tcBorders>
              <w:top w:val="nil"/>
              <w:left w:val="nil"/>
              <w:bottom w:val="single" w:sz="4" w:space="0" w:color="auto"/>
              <w:right w:val="single" w:sz="4" w:space="0" w:color="auto"/>
            </w:tcBorders>
            <w:shd w:val="clear" w:color="auto" w:fill="auto"/>
            <w:noWrap/>
            <w:vAlign w:val="center"/>
          </w:tcPr>
          <w:p w14:paraId="3AC91C48" w14:textId="77777777" w:rsidR="000740F7" w:rsidRPr="001F53E7" w:rsidRDefault="000740F7" w:rsidP="006D0A51">
            <w:pPr>
              <w:jc w:val="center"/>
              <w:rPr>
                <w:color w:val="000000"/>
                <w:sz w:val="18"/>
                <w:szCs w:val="18"/>
              </w:rPr>
            </w:pPr>
            <w:r w:rsidRPr="001F53E7">
              <w:rPr>
                <w:color w:val="000000"/>
                <w:sz w:val="18"/>
                <w:szCs w:val="18"/>
              </w:rPr>
              <w:t>103%</w:t>
            </w:r>
          </w:p>
        </w:tc>
        <w:tc>
          <w:tcPr>
            <w:tcW w:w="574" w:type="pct"/>
            <w:tcBorders>
              <w:top w:val="nil"/>
              <w:left w:val="nil"/>
              <w:bottom w:val="single" w:sz="4" w:space="0" w:color="auto"/>
              <w:right w:val="single" w:sz="4" w:space="0" w:color="auto"/>
            </w:tcBorders>
            <w:shd w:val="clear" w:color="auto" w:fill="auto"/>
            <w:noWrap/>
            <w:vAlign w:val="center"/>
          </w:tcPr>
          <w:p w14:paraId="504ECD86" w14:textId="77777777" w:rsidR="000740F7" w:rsidRPr="001F53E7" w:rsidRDefault="000740F7" w:rsidP="006D0A51">
            <w:pPr>
              <w:jc w:val="center"/>
              <w:rPr>
                <w:color w:val="000000"/>
                <w:sz w:val="18"/>
                <w:szCs w:val="18"/>
              </w:rPr>
            </w:pPr>
            <w:r w:rsidRPr="001F53E7">
              <w:rPr>
                <w:color w:val="000000"/>
                <w:sz w:val="18"/>
                <w:szCs w:val="18"/>
              </w:rPr>
              <w:t>12,9</w:t>
            </w:r>
          </w:p>
        </w:tc>
      </w:tr>
      <w:tr w:rsidR="001F53E7" w:rsidRPr="001B4CA2" w14:paraId="578CAF2E" w14:textId="77777777" w:rsidTr="001F53E7">
        <w:trPr>
          <w:trHeight w:val="282"/>
        </w:trPr>
        <w:tc>
          <w:tcPr>
            <w:tcW w:w="15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7278B3"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ODKO u Zagrebu</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08D2CE3" w14:textId="77777777" w:rsidR="000740F7" w:rsidRPr="001F53E7" w:rsidRDefault="000740F7" w:rsidP="006D0A51">
            <w:pPr>
              <w:jc w:val="center"/>
              <w:rPr>
                <w:color w:val="000000"/>
                <w:sz w:val="18"/>
                <w:szCs w:val="18"/>
              </w:rPr>
            </w:pPr>
            <w:r w:rsidRPr="001F53E7">
              <w:rPr>
                <w:color w:val="000000"/>
                <w:sz w:val="18"/>
                <w:szCs w:val="18"/>
              </w:rPr>
              <w:t>76</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72FFF3B4" w14:textId="77777777" w:rsidR="000740F7" w:rsidRPr="001F53E7" w:rsidRDefault="000740F7" w:rsidP="006D0A51">
            <w:pPr>
              <w:jc w:val="center"/>
              <w:rPr>
                <w:color w:val="000000"/>
                <w:sz w:val="18"/>
                <w:szCs w:val="18"/>
              </w:rPr>
            </w:pPr>
            <w:r w:rsidRPr="001F53E7">
              <w:rPr>
                <w:color w:val="000000"/>
                <w:sz w:val="18"/>
                <w:szCs w:val="18"/>
              </w:rPr>
              <w:t>46,2</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60352851" w14:textId="77777777" w:rsidR="000740F7" w:rsidRPr="001F53E7" w:rsidRDefault="000740F7" w:rsidP="006D0A51">
            <w:pPr>
              <w:jc w:val="center"/>
              <w:rPr>
                <w:color w:val="000000"/>
                <w:sz w:val="18"/>
                <w:szCs w:val="18"/>
              </w:rPr>
            </w:pPr>
            <w:r w:rsidRPr="001F53E7">
              <w:rPr>
                <w:color w:val="000000"/>
                <w:sz w:val="18"/>
                <w:szCs w:val="18"/>
              </w:rPr>
              <w:t>359,9</w:t>
            </w:r>
          </w:p>
        </w:tc>
        <w:tc>
          <w:tcPr>
            <w:tcW w:w="574" w:type="pct"/>
            <w:tcBorders>
              <w:top w:val="nil"/>
              <w:left w:val="nil"/>
              <w:bottom w:val="single" w:sz="4" w:space="0" w:color="auto"/>
              <w:right w:val="single" w:sz="4" w:space="0" w:color="auto"/>
            </w:tcBorders>
            <w:shd w:val="clear" w:color="auto" w:fill="auto"/>
            <w:noWrap/>
            <w:vAlign w:val="center"/>
          </w:tcPr>
          <w:p w14:paraId="725882DD" w14:textId="77777777" w:rsidR="000740F7" w:rsidRPr="001F53E7" w:rsidRDefault="000740F7" w:rsidP="006D0A51">
            <w:pPr>
              <w:jc w:val="center"/>
              <w:rPr>
                <w:color w:val="000000"/>
                <w:sz w:val="18"/>
                <w:szCs w:val="18"/>
              </w:rPr>
            </w:pPr>
            <w:r w:rsidRPr="001F53E7">
              <w:rPr>
                <w:color w:val="000000"/>
                <w:sz w:val="18"/>
                <w:szCs w:val="18"/>
              </w:rPr>
              <w:t>205,2</w:t>
            </w:r>
          </w:p>
        </w:tc>
        <w:tc>
          <w:tcPr>
            <w:tcW w:w="574" w:type="pct"/>
            <w:tcBorders>
              <w:top w:val="nil"/>
              <w:left w:val="nil"/>
              <w:bottom w:val="single" w:sz="4" w:space="0" w:color="auto"/>
              <w:right w:val="single" w:sz="4" w:space="0" w:color="auto"/>
            </w:tcBorders>
            <w:shd w:val="clear" w:color="auto" w:fill="auto"/>
            <w:noWrap/>
            <w:vAlign w:val="center"/>
          </w:tcPr>
          <w:p w14:paraId="48A15783" w14:textId="77777777" w:rsidR="000740F7" w:rsidRPr="001F53E7" w:rsidRDefault="000740F7" w:rsidP="006D0A51">
            <w:pPr>
              <w:jc w:val="center"/>
              <w:rPr>
                <w:color w:val="000000"/>
                <w:sz w:val="18"/>
                <w:szCs w:val="18"/>
              </w:rPr>
            </w:pPr>
            <w:r w:rsidRPr="001F53E7">
              <w:rPr>
                <w:color w:val="000000"/>
                <w:sz w:val="18"/>
                <w:szCs w:val="18"/>
              </w:rPr>
              <w:t>93%</w:t>
            </w:r>
          </w:p>
        </w:tc>
        <w:tc>
          <w:tcPr>
            <w:tcW w:w="574" w:type="pct"/>
            <w:tcBorders>
              <w:top w:val="nil"/>
              <w:left w:val="nil"/>
              <w:bottom w:val="single" w:sz="4" w:space="0" w:color="auto"/>
              <w:right w:val="single" w:sz="4" w:space="0" w:color="auto"/>
            </w:tcBorders>
            <w:shd w:val="clear" w:color="auto" w:fill="auto"/>
            <w:noWrap/>
            <w:vAlign w:val="center"/>
          </w:tcPr>
          <w:p w14:paraId="70A726E9" w14:textId="77777777" w:rsidR="000740F7" w:rsidRPr="001F53E7" w:rsidRDefault="000740F7" w:rsidP="006D0A51">
            <w:pPr>
              <w:jc w:val="center"/>
              <w:rPr>
                <w:color w:val="000000"/>
                <w:sz w:val="18"/>
                <w:szCs w:val="18"/>
              </w:rPr>
            </w:pPr>
            <w:r w:rsidRPr="001F53E7">
              <w:rPr>
                <w:color w:val="000000"/>
                <w:sz w:val="18"/>
                <w:szCs w:val="18"/>
              </w:rPr>
              <w:t>208,1</w:t>
            </w:r>
          </w:p>
        </w:tc>
      </w:tr>
      <w:tr w:rsidR="001F53E7" w:rsidRPr="001B4CA2" w14:paraId="1342AAD4"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4B295F56" w14:textId="77777777" w:rsidR="000740F7" w:rsidRPr="001B4CA2" w:rsidRDefault="000740F7" w:rsidP="006D0A51">
            <w:pPr>
              <w:jc w:val="left"/>
              <w:rPr>
                <w:rFonts w:eastAsia="Times New Roman"/>
                <w:b/>
                <w:bCs/>
                <w:sz w:val="18"/>
                <w:szCs w:val="18"/>
                <w:lang w:eastAsia="hr-HR"/>
              </w:rPr>
            </w:pPr>
            <w:r w:rsidRPr="001B4CA2">
              <w:rPr>
                <w:rFonts w:eastAsia="Times New Roman"/>
                <w:b/>
                <w:bCs/>
                <w:sz w:val="18"/>
                <w:szCs w:val="18"/>
                <w:lang w:eastAsia="hr-HR"/>
              </w:rPr>
              <w:t>Ukupno općinska državna odvjetništva</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0D3B481A" w14:textId="77777777" w:rsidR="000740F7" w:rsidRPr="001F53E7" w:rsidRDefault="000740F7" w:rsidP="006D0A51">
            <w:pPr>
              <w:jc w:val="center"/>
              <w:rPr>
                <w:color w:val="000000"/>
                <w:sz w:val="18"/>
                <w:szCs w:val="18"/>
              </w:rPr>
            </w:pPr>
            <w:r w:rsidRPr="001F53E7">
              <w:rPr>
                <w:color w:val="000000"/>
                <w:sz w:val="18"/>
                <w:szCs w:val="18"/>
              </w:rPr>
              <w:t>576</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3649C977" w14:textId="77777777" w:rsidR="000740F7" w:rsidRPr="001F53E7" w:rsidRDefault="000740F7" w:rsidP="006D0A51">
            <w:pPr>
              <w:jc w:val="center"/>
              <w:rPr>
                <w:color w:val="000000"/>
                <w:sz w:val="18"/>
                <w:szCs w:val="18"/>
              </w:rPr>
            </w:pPr>
            <w:r w:rsidRPr="001F53E7">
              <w:rPr>
                <w:color w:val="000000"/>
                <w:sz w:val="18"/>
                <w:szCs w:val="18"/>
              </w:rPr>
              <w:t>467,2</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47C2A0AA" w14:textId="77777777" w:rsidR="000740F7" w:rsidRPr="001F53E7" w:rsidRDefault="000740F7" w:rsidP="006D0A51">
            <w:pPr>
              <w:jc w:val="center"/>
              <w:rPr>
                <w:color w:val="000000"/>
                <w:sz w:val="18"/>
                <w:szCs w:val="18"/>
              </w:rPr>
            </w:pPr>
            <w:r w:rsidRPr="001F53E7">
              <w:rPr>
                <w:color w:val="000000"/>
                <w:sz w:val="18"/>
                <w:szCs w:val="18"/>
              </w:rPr>
              <w:t>349,3</w:t>
            </w:r>
          </w:p>
        </w:tc>
        <w:tc>
          <w:tcPr>
            <w:tcW w:w="574" w:type="pct"/>
            <w:tcBorders>
              <w:top w:val="nil"/>
              <w:left w:val="nil"/>
              <w:bottom w:val="single" w:sz="4" w:space="0" w:color="auto"/>
              <w:right w:val="single" w:sz="4" w:space="0" w:color="auto"/>
            </w:tcBorders>
            <w:shd w:val="clear" w:color="auto" w:fill="auto"/>
            <w:noWrap/>
            <w:vAlign w:val="center"/>
          </w:tcPr>
          <w:p w14:paraId="109A69B6" w14:textId="77777777" w:rsidR="000740F7" w:rsidRPr="001F53E7" w:rsidRDefault="000740F7" w:rsidP="006D0A51">
            <w:pPr>
              <w:jc w:val="center"/>
              <w:rPr>
                <w:color w:val="000000"/>
                <w:sz w:val="18"/>
                <w:szCs w:val="18"/>
              </w:rPr>
            </w:pPr>
            <w:r w:rsidRPr="001F53E7">
              <w:rPr>
                <w:color w:val="000000"/>
                <w:sz w:val="18"/>
                <w:szCs w:val="18"/>
              </w:rPr>
              <w:t>83,7</w:t>
            </w:r>
          </w:p>
        </w:tc>
        <w:tc>
          <w:tcPr>
            <w:tcW w:w="574" w:type="pct"/>
            <w:tcBorders>
              <w:top w:val="nil"/>
              <w:left w:val="nil"/>
              <w:bottom w:val="single" w:sz="4" w:space="0" w:color="auto"/>
              <w:right w:val="single" w:sz="4" w:space="0" w:color="auto"/>
            </w:tcBorders>
            <w:shd w:val="clear" w:color="auto" w:fill="auto"/>
            <w:noWrap/>
            <w:vAlign w:val="center"/>
          </w:tcPr>
          <w:p w14:paraId="0ED61754" w14:textId="77777777" w:rsidR="000740F7" w:rsidRPr="001F53E7" w:rsidRDefault="000740F7" w:rsidP="006D0A51">
            <w:pPr>
              <w:jc w:val="center"/>
              <w:rPr>
                <w:color w:val="000000"/>
                <w:sz w:val="18"/>
                <w:szCs w:val="18"/>
              </w:rPr>
            </w:pPr>
            <w:r w:rsidRPr="001F53E7">
              <w:rPr>
                <w:color w:val="000000"/>
                <w:sz w:val="18"/>
                <w:szCs w:val="18"/>
              </w:rPr>
              <w:t>97%</w:t>
            </w:r>
          </w:p>
        </w:tc>
        <w:tc>
          <w:tcPr>
            <w:tcW w:w="574" w:type="pct"/>
            <w:tcBorders>
              <w:top w:val="nil"/>
              <w:left w:val="nil"/>
              <w:bottom w:val="single" w:sz="4" w:space="0" w:color="auto"/>
              <w:right w:val="single" w:sz="4" w:space="0" w:color="auto"/>
            </w:tcBorders>
            <w:shd w:val="clear" w:color="auto" w:fill="auto"/>
            <w:noWrap/>
            <w:vAlign w:val="center"/>
          </w:tcPr>
          <w:p w14:paraId="4649AB6F" w14:textId="77777777" w:rsidR="000740F7" w:rsidRPr="001F53E7" w:rsidRDefault="000740F7" w:rsidP="006D0A51">
            <w:pPr>
              <w:jc w:val="center"/>
              <w:rPr>
                <w:color w:val="000000"/>
                <w:sz w:val="18"/>
                <w:szCs w:val="18"/>
              </w:rPr>
            </w:pPr>
            <w:r w:rsidRPr="001F53E7">
              <w:rPr>
                <w:color w:val="000000"/>
                <w:sz w:val="18"/>
                <w:szCs w:val="18"/>
              </w:rPr>
              <w:t>87,5</w:t>
            </w:r>
          </w:p>
        </w:tc>
      </w:tr>
      <w:tr w:rsidR="001F53E7" w:rsidRPr="001B4CA2" w14:paraId="285E554A" w14:textId="77777777" w:rsidTr="001F53E7">
        <w:trPr>
          <w:trHeight w:val="300"/>
        </w:trPr>
        <w:tc>
          <w:tcPr>
            <w:tcW w:w="1558" w:type="pct"/>
            <w:tcBorders>
              <w:top w:val="nil"/>
              <w:left w:val="single" w:sz="4" w:space="0" w:color="auto"/>
              <w:bottom w:val="single" w:sz="4" w:space="0" w:color="auto"/>
              <w:right w:val="single" w:sz="4" w:space="0" w:color="auto"/>
            </w:tcBorders>
            <w:shd w:val="clear" w:color="auto" w:fill="auto"/>
            <w:noWrap/>
            <w:vAlign w:val="center"/>
            <w:hideMark/>
          </w:tcPr>
          <w:p w14:paraId="7FA030E6" w14:textId="77777777" w:rsidR="000740F7" w:rsidRPr="001B4CA2" w:rsidRDefault="000740F7" w:rsidP="006D0A51">
            <w:pPr>
              <w:jc w:val="left"/>
              <w:rPr>
                <w:rFonts w:eastAsia="Times New Roman"/>
                <w:b/>
                <w:bCs/>
                <w:sz w:val="18"/>
                <w:szCs w:val="18"/>
                <w:lang w:eastAsia="hr-HR"/>
              </w:rPr>
            </w:pPr>
            <w:r w:rsidRPr="001B4CA2">
              <w:rPr>
                <w:rFonts w:eastAsia="Times New Roman"/>
                <w:b/>
                <w:bCs/>
                <w:sz w:val="18"/>
                <w:szCs w:val="18"/>
                <w:lang w:eastAsia="hr-HR"/>
              </w:rPr>
              <w:t>Prosjek</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3F80D600" w14:textId="77777777" w:rsidR="000740F7" w:rsidRPr="001F53E7" w:rsidRDefault="000740F7" w:rsidP="006D0A51">
            <w:pPr>
              <w:jc w:val="center"/>
              <w:rPr>
                <w:color w:val="000000"/>
                <w:sz w:val="18"/>
                <w:szCs w:val="18"/>
              </w:rPr>
            </w:pPr>
            <w:r w:rsidRPr="001F53E7">
              <w:rPr>
                <w:color w:val="000000"/>
                <w:sz w:val="18"/>
                <w:szCs w:val="18"/>
              </w:rPr>
              <w:t>22,2</w:t>
            </w:r>
          </w:p>
        </w:tc>
        <w:tc>
          <w:tcPr>
            <w:tcW w:w="574" w:type="pct"/>
            <w:tcBorders>
              <w:top w:val="nil"/>
              <w:left w:val="single" w:sz="4" w:space="0" w:color="auto"/>
              <w:bottom w:val="single" w:sz="4" w:space="0" w:color="auto"/>
              <w:right w:val="single" w:sz="4" w:space="0" w:color="auto"/>
            </w:tcBorders>
            <w:shd w:val="clear" w:color="auto" w:fill="auto"/>
            <w:noWrap/>
            <w:vAlign w:val="center"/>
          </w:tcPr>
          <w:p w14:paraId="4C9E8DF3" w14:textId="77777777" w:rsidR="000740F7" w:rsidRPr="001F53E7" w:rsidRDefault="000740F7" w:rsidP="006D0A51">
            <w:pPr>
              <w:jc w:val="center"/>
              <w:rPr>
                <w:color w:val="000000"/>
                <w:sz w:val="18"/>
                <w:szCs w:val="18"/>
              </w:rPr>
            </w:pPr>
            <w:r w:rsidRPr="001F53E7">
              <w:rPr>
                <w:color w:val="000000"/>
                <w:sz w:val="18"/>
                <w:szCs w:val="18"/>
              </w:rPr>
              <w:t>18,0</w:t>
            </w: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875D8" w14:textId="77777777" w:rsidR="000740F7" w:rsidRPr="001F53E7" w:rsidRDefault="000740F7" w:rsidP="006D0A51">
            <w:pPr>
              <w:jc w:val="center"/>
              <w:rPr>
                <w:rFonts w:eastAsia="Times New Roman"/>
                <w:sz w:val="18"/>
                <w:szCs w:val="18"/>
                <w:lang w:eastAsia="hr-HR"/>
              </w:rPr>
            </w:pP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DE61E" w14:textId="77777777" w:rsidR="000740F7" w:rsidRPr="001F53E7" w:rsidRDefault="000740F7" w:rsidP="006D0A51">
            <w:pPr>
              <w:jc w:val="center"/>
              <w:rPr>
                <w:rFonts w:eastAsia="Times New Roman"/>
                <w:sz w:val="18"/>
                <w:szCs w:val="18"/>
                <w:lang w:eastAsia="hr-HR"/>
              </w:rPr>
            </w:pP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1D01C" w14:textId="77777777" w:rsidR="000740F7" w:rsidRPr="001F53E7" w:rsidRDefault="000740F7" w:rsidP="006D0A51">
            <w:pPr>
              <w:jc w:val="center"/>
              <w:rPr>
                <w:rFonts w:eastAsia="Times New Roman"/>
                <w:sz w:val="18"/>
                <w:szCs w:val="18"/>
                <w:lang w:eastAsia="hr-HR"/>
              </w:rPr>
            </w:pPr>
          </w:p>
        </w:tc>
        <w:tc>
          <w:tcPr>
            <w:tcW w:w="5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99964" w14:textId="77777777" w:rsidR="000740F7" w:rsidRPr="001F53E7" w:rsidRDefault="000740F7" w:rsidP="006D0A51">
            <w:pPr>
              <w:jc w:val="center"/>
              <w:rPr>
                <w:rFonts w:eastAsia="Times New Roman"/>
                <w:sz w:val="18"/>
                <w:szCs w:val="18"/>
                <w:lang w:eastAsia="hr-HR"/>
              </w:rPr>
            </w:pPr>
          </w:p>
        </w:tc>
      </w:tr>
    </w:tbl>
    <w:p w14:paraId="45FAC80E" w14:textId="77777777" w:rsidR="000740F7" w:rsidRPr="001B4CA2" w:rsidRDefault="000740F7" w:rsidP="000740F7"/>
    <w:p w14:paraId="40D9A890" w14:textId="1CF3F149" w:rsidR="000740F7" w:rsidRPr="001B4CA2" w:rsidRDefault="000740F7" w:rsidP="000740F7">
      <w:pPr>
        <w:ind w:firstLine="708"/>
      </w:pPr>
      <w:r w:rsidRPr="001B4CA2">
        <w:t xml:space="preserve">U ovoj tablici prikazani su indikatori uspješnosti (CR i DT) u radu pojedinih općinskih državnih odvjetništava za izvještajnu godinu prema broju riješenih predmeta po </w:t>
      </w:r>
      <w:proofErr w:type="spellStart"/>
      <w:r w:rsidRPr="001B4CA2">
        <w:t>rješavatelju</w:t>
      </w:r>
      <w:proofErr w:type="spellEnd"/>
      <w:r w:rsidRPr="001B4CA2">
        <w:t xml:space="preserve"> (zamjeniku državnog odvjetnika/</w:t>
      </w:r>
      <w:proofErr w:type="spellStart"/>
      <w:r w:rsidRPr="001B4CA2">
        <w:t>državnoodvjetničkom</w:t>
      </w:r>
      <w:proofErr w:type="spellEnd"/>
      <w:r w:rsidRPr="001B4CA2">
        <w:t xml:space="preserve"> savjetniku). Usprkos otežanim uvjetima rada državna odvjetništva zadržala su visoku stopu ažurnosti koja prosječno iznosi</w:t>
      </w:r>
      <w:r w:rsidR="001B4CA2">
        <w:t xml:space="preserve"> </w:t>
      </w:r>
      <w:r w:rsidRPr="001B4CA2">
        <w:t>97</w:t>
      </w:r>
      <w:r w:rsidR="00A804EF">
        <w:t> </w:t>
      </w:r>
      <w:r w:rsidRPr="001B4CA2">
        <w:t xml:space="preserve">%. </w:t>
      </w:r>
    </w:p>
    <w:p w14:paraId="5734A2F9" w14:textId="77777777" w:rsidR="00186E00" w:rsidRPr="001B4CA2" w:rsidRDefault="00186E00" w:rsidP="00886E1C"/>
    <w:p w14:paraId="5C1DDE39" w14:textId="4C18735E" w:rsidR="00BB4D48" w:rsidRPr="001B4CA2" w:rsidRDefault="00BB4D48" w:rsidP="00886E1C">
      <w:pPr>
        <w:pStyle w:val="Naslov2"/>
        <w:rPr>
          <w:rFonts w:ascii="Arial" w:hAnsi="Arial" w:cs="Arial"/>
        </w:rPr>
      </w:pPr>
      <w:bookmarkStart w:id="14" w:name="_Toc133394278"/>
      <w:r w:rsidRPr="001B4CA2">
        <w:rPr>
          <w:rFonts w:ascii="Arial" w:hAnsi="Arial" w:cs="Arial"/>
        </w:rPr>
        <w:lastRenderedPageBreak/>
        <w:t>Poda</w:t>
      </w:r>
      <w:r w:rsidR="00FC60D2" w:rsidRPr="001B4CA2">
        <w:rPr>
          <w:rFonts w:ascii="Arial" w:hAnsi="Arial" w:cs="Arial"/>
        </w:rPr>
        <w:t>t</w:t>
      </w:r>
      <w:r w:rsidRPr="001B4CA2">
        <w:rPr>
          <w:rFonts w:ascii="Arial" w:hAnsi="Arial" w:cs="Arial"/>
        </w:rPr>
        <w:t>ci o kretanju predmeta na županijskim državnim odvjetništvima</w:t>
      </w:r>
      <w:bookmarkEnd w:id="14"/>
    </w:p>
    <w:p w14:paraId="375861FD" w14:textId="77777777" w:rsidR="00186E00" w:rsidRPr="001B4CA2" w:rsidRDefault="00186E00" w:rsidP="00B66A64"/>
    <w:p w14:paraId="00E31F28" w14:textId="77777777" w:rsidR="00BB4D48" w:rsidRPr="001B4CA2" w:rsidRDefault="00BB4D48" w:rsidP="00B45008">
      <w:pPr>
        <w:pStyle w:val="Naslov3"/>
        <w:rPr>
          <w:rFonts w:ascii="Arial" w:hAnsi="Arial" w:cs="Arial"/>
        </w:rPr>
      </w:pPr>
      <w:bookmarkStart w:id="15" w:name="_Toc133394279"/>
      <w:r w:rsidRPr="001B4CA2">
        <w:rPr>
          <w:rFonts w:ascii="Arial" w:hAnsi="Arial" w:cs="Arial"/>
        </w:rPr>
        <w:t>O</w:t>
      </w:r>
      <w:r w:rsidR="00197521" w:rsidRPr="001B4CA2">
        <w:rPr>
          <w:rFonts w:ascii="Arial" w:hAnsi="Arial" w:cs="Arial"/>
        </w:rPr>
        <w:t>pći pregled kretanja predmeta</w:t>
      </w:r>
      <w:bookmarkEnd w:id="15"/>
    </w:p>
    <w:p w14:paraId="1388547F" w14:textId="7209D206" w:rsidR="00837BBA" w:rsidRPr="001B4CA2" w:rsidRDefault="00837BBA" w:rsidP="006234AA"/>
    <w:tbl>
      <w:tblPr>
        <w:tblW w:w="8792" w:type="dxa"/>
        <w:tblInd w:w="250" w:type="dxa"/>
        <w:tblLayout w:type="fixed"/>
        <w:tblLook w:val="04A0" w:firstRow="1" w:lastRow="0" w:firstColumn="1" w:lastColumn="0" w:noHBand="0" w:noVBand="1"/>
      </w:tblPr>
      <w:tblGrid>
        <w:gridCol w:w="1267"/>
        <w:gridCol w:w="905"/>
        <w:gridCol w:w="1998"/>
        <w:gridCol w:w="1155"/>
        <w:gridCol w:w="1156"/>
        <w:gridCol w:w="1155"/>
        <w:gridCol w:w="1156"/>
      </w:tblGrid>
      <w:tr w:rsidR="000740F7" w:rsidRPr="001B4CA2" w14:paraId="1DE7ACE9" w14:textId="77777777" w:rsidTr="00766A28">
        <w:trPr>
          <w:trHeight w:val="324"/>
        </w:trPr>
        <w:tc>
          <w:tcPr>
            <w:tcW w:w="8792" w:type="dxa"/>
            <w:gridSpan w:val="7"/>
            <w:tcBorders>
              <w:top w:val="nil"/>
              <w:left w:val="nil"/>
              <w:bottom w:val="single" w:sz="4" w:space="0" w:color="auto"/>
              <w:right w:val="nil"/>
            </w:tcBorders>
            <w:shd w:val="clear" w:color="auto" w:fill="auto"/>
            <w:noWrap/>
            <w:vAlign w:val="center"/>
            <w:hideMark/>
          </w:tcPr>
          <w:p w14:paraId="18D77D1E" w14:textId="77777777" w:rsidR="000740F7" w:rsidRPr="001B4CA2" w:rsidRDefault="000740F7" w:rsidP="006D0A51">
            <w:pPr>
              <w:jc w:val="left"/>
              <w:rPr>
                <w:rFonts w:eastAsia="Times New Roman"/>
                <w:i/>
                <w:iCs/>
                <w:lang w:eastAsia="hr-HR"/>
              </w:rPr>
            </w:pPr>
            <w:r w:rsidRPr="001B4CA2">
              <w:rPr>
                <w:rFonts w:eastAsia="Times New Roman"/>
                <w:i/>
                <w:iCs/>
                <w:lang w:eastAsia="hr-HR"/>
              </w:rPr>
              <w:t>Opći pregled kretanja predmeta županijskih državnih odvjetništava</w:t>
            </w:r>
          </w:p>
        </w:tc>
      </w:tr>
      <w:tr w:rsidR="000740F7" w:rsidRPr="001B4CA2" w14:paraId="4B9A7510" w14:textId="77777777" w:rsidTr="00766A28">
        <w:trPr>
          <w:trHeight w:val="308"/>
        </w:trPr>
        <w:tc>
          <w:tcPr>
            <w:tcW w:w="1267"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14:paraId="5BE12549" w14:textId="77777777" w:rsidR="000740F7" w:rsidRPr="000169EF" w:rsidRDefault="000740F7" w:rsidP="006D0A51">
            <w:pPr>
              <w:jc w:val="center"/>
              <w:rPr>
                <w:rFonts w:eastAsia="Times New Roman"/>
                <w:b/>
                <w:bCs/>
                <w:sz w:val="18"/>
                <w:szCs w:val="18"/>
                <w:lang w:eastAsia="hr-HR"/>
              </w:rPr>
            </w:pPr>
            <w:r w:rsidRPr="000169EF">
              <w:rPr>
                <w:rFonts w:eastAsia="Times New Roman"/>
                <w:b/>
                <w:bCs/>
                <w:sz w:val="18"/>
                <w:szCs w:val="18"/>
                <w:lang w:eastAsia="hr-HR"/>
              </w:rPr>
              <w:t>Vrsta državnog odvjetništva</w:t>
            </w:r>
          </w:p>
        </w:tc>
        <w:tc>
          <w:tcPr>
            <w:tcW w:w="905" w:type="dxa"/>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676035A9" w14:textId="77777777" w:rsidR="000740F7" w:rsidRPr="000169EF" w:rsidRDefault="000740F7" w:rsidP="006D0A51">
            <w:pPr>
              <w:jc w:val="center"/>
              <w:rPr>
                <w:rFonts w:eastAsia="Times New Roman"/>
                <w:b/>
                <w:bCs/>
                <w:sz w:val="18"/>
                <w:szCs w:val="18"/>
                <w:lang w:eastAsia="hr-HR"/>
              </w:rPr>
            </w:pPr>
            <w:r w:rsidRPr="000169EF">
              <w:rPr>
                <w:rFonts w:eastAsia="Times New Roman"/>
                <w:b/>
                <w:bCs/>
                <w:sz w:val="18"/>
                <w:szCs w:val="18"/>
                <w:lang w:eastAsia="hr-HR"/>
              </w:rPr>
              <w:t>Godina</w:t>
            </w:r>
          </w:p>
        </w:tc>
        <w:tc>
          <w:tcPr>
            <w:tcW w:w="1998"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14:paraId="70F793EB" w14:textId="77777777" w:rsidR="000740F7" w:rsidRPr="000169EF" w:rsidRDefault="000740F7" w:rsidP="006D0A51">
            <w:pPr>
              <w:jc w:val="center"/>
              <w:rPr>
                <w:rFonts w:eastAsia="Times New Roman"/>
                <w:b/>
                <w:bCs/>
                <w:sz w:val="18"/>
                <w:szCs w:val="18"/>
                <w:lang w:eastAsia="hr-HR"/>
              </w:rPr>
            </w:pPr>
            <w:r w:rsidRPr="000169EF">
              <w:rPr>
                <w:rFonts w:eastAsia="Times New Roman"/>
                <w:b/>
                <w:bCs/>
                <w:sz w:val="18"/>
                <w:szCs w:val="18"/>
                <w:lang w:eastAsia="hr-HR"/>
              </w:rPr>
              <w:t>Broj zamjenika/savjetnika – stvarna prisutnost</w:t>
            </w:r>
          </w:p>
        </w:tc>
        <w:tc>
          <w:tcPr>
            <w:tcW w:w="4622" w:type="dxa"/>
            <w:gridSpan w:val="4"/>
            <w:tcBorders>
              <w:top w:val="single" w:sz="4" w:space="0" w:color="auto"/>
              <w:left w:val="nil"/>
              <w:bottom w:val="single" w:sz="4" w:space="0" w:color="auto"/>
              <w:right w:val="single" w:sz="4" w:space="0" w:color="auto"/>
            </w:tcBorders>
            <w:shd w:val="clear" w:color="000000" w:fill="99CCFF"/>
            <w:noWrap/>
            <w:vAlign w:val="center"/>
            <w:hideMark/>
          </w:tcPr>
          <w:p w14:paraId="64F2A46A" w14:textId="77777777" w:rsidR="000740F7" w:rsidRPr="000169EF" w:rsidRDefault="000740F7" w:rsidP="006D0A51">
            <w:pPr>
              <w:jc w:val="center"/>
              <w:rPr>
                <w:rFonts w:eastAsia="Times New Roman"/>
                <w:b/>
                <w:bCs/>
                <w:sz w:val="18"/>
                <w:szCs w:val="18"/>
                <w:lang w:eastAsia="hr-HR"/>
              </w:rPr>
            </w:pPr>
            <w:r w:rsidRPr="000169EF">
              <w:rPr>
                <w:rFonts w:eastAsia="Times New Roman"/>
                <w:b/>
                <w:bCs/>
                <w:sz w:val="18"/>
                <w:szCs w:val="18"/>
                <w:lang w:eastAsia="hr-HR"/>
              </w:rPr>
              <w:t>Kretanje predmeta</w:t>
            </w:r>
          </w:p>
        </w:tc>
      </w:tr>
      <w:tr w:rsidR="000740F7" w:rsidRPr="001B4CA2" w14:paraId="4E09803D" w14:textId="77777777" w:rsidTr="00766A28">
        <w:trPr>
          <w:trHeight w:val="1200"/>
        </w:trPr>
        <w:tc>
          <w:tcPr>
            <w:tcW w:w="1267" w:type="dxa"/>
            <w:vMerge/>
            <w:tcBorders>
              <w:top w:val="single" w:sz="4" w:space="0" w:color="auto"/>
              <w:left w:val="single" w:sz="4" w:space="0" w:color="auto"/>
              <w:bottom w:val="single" w:sz="4" w:space="0" w:color="auto"/>
              <w:right w:val="single" w:sz="4" w:space="0" w:color="auto"/>
            </w:tcBorders>
            <w:vAlign w:val="center"/>
            <w:hideMark/>
          </w:tcPr>
          <w:p w14:paraId="7F89B8A1" w14:textId="77777777" w:rsidR="000740F7" w:rsidRPr="000169EF" w:rsidRDefault="000740F7" w:rsidP="006D0A51">
            <w:pPr>
              <w:jc w:val="left"/>
              <w:rPr>
                <w:rFonts w:eastAsia="Times New Roman"/>
                <w:b/>
                <w:bCs/>
                <w:sz w:val="18"/>
                <w:szCs w:val="18"/>
                <w:lang w:eastAsia="hr-HR"/>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617D062D" w14:textId="77777777" w:rsidR="000740F7" w:rsidRPr="000169EF" w:rsidRDefault="000740F7" w:rsidP="006D0A51">
            <w:pPr>
              <w:jc w:val="left"/>
              <w:rPr>
                <w:rFonts w:eastAsia="Times New Roman"/>
                <w:b/>
                <w:bCs/>
                <w:sz w:val="18"/>
                <w:szCs w:val="18"/>
                <w:lang w:eastAsia="hr-HR"/>
              </w:rPr>
            </w:pPr>
          </w:p>
        </w:tc>
        <w:tc>
          <w:tcPr>
            <w:tcW w:w="1998" w:type="dxa"/>
            <w:vMerge/>
            <w:tcBorders>
              <w:top w:val="single" w:sz="4" w:space="0" w:color="auto"/>
              <w:left w:val="single" w:sz="4" w:space="0" w:color="auto"/>
              <w:bottom w:val="single" w:sz="4" w:space="0" w:color="auto"/>
              <w:right w:val="single" w:sz="4" w:space="0" w:color="auto"/>
            </w:tcBorders>
            <w:vAlign w:val="center"/>
            <w:hideMark/>
          </w:tcPr>
          <w:p w14:paraId="1462D8C6" w14:textId="77777777" w:rsidR="000740F7" w:rsidRPr="000169EF" w:rsidRDefault="000740F7" w:rsidP="006D0A51">
            <w:pPr>
              <w:jc w:val="left"/>
              <w:rPr>
                <w:rFonts w:eastAsia="Times New Roman"/>
                <w:b/>
                <w:bCs/>
                <w:sz w:val="18"/>
                <w:szCs w:val="18"/>
                <w:lang w:eastAsia="hr-HR"/>
              </w:rPr>
            </w:pPr>
          </w:p>
        </w:tc>
        <w:tc>
          <w:tcPr>
            <w:tcW w:w="1155" w:type="dxa"/>
            <w:tcBorders>
              <w:top w:val="single" w:sz="4" w:space="0" w:color="auto"/>
              <w:left w:val="nil"/>
              <w:bottom w:val="single" w:sz="4" w:space="0" w:color="auto"/>
              <w:right w:val="single" w:sz="4" w:space="0" w:color="auto"/>
            </w:tcBorders>
            <w:shd w:val="clear" w:color="000000" w:fill="99CCFF"/>
            <w:noWrap/>
            <w:vAlign w:val="center"/>
            <w:hideMark/>
          </w:tcPr>
          <w:p w14:paraId="2F22D10A" w14:textId="77777777" w:rsidR="000740F7" w:rsidRPr="000169EF" w:rsidRDefault="000740F7" w:rsidP="006D0A51">
            <w:pPr>
              <w:jc w:val="center"/>
              <w:rPr>
                <w:rFonts w:eastAsia="Times New Roman"/>
                <w:b/>
                <w:bCs/>
                <w:sz w:val="18"/>
                <w:szCs w:val="18"/>
                <w:lang w:eastAsia="hr-HR"/>
              </w:rPr>
            </w:pPr>
            <w:r w:rsidRPr="000169EF">
              <w:rPr>
                <w:rFonts w:eastAsia="Times New Roman"/>
                <w:b/>
                <w:bCs/>
                <w:sz w:val="18"/>
                <w:szCs w:val="18"/>
                <w:lang w:eastAsia="hr-HR"/>
              </w:rPr>
              <w:t>Na početku</w:t>
            </w:r>
          </w:p>
        </w:tc>
        <w:tc>
          <w:tcPr>
            <w:tcW w:w="1156" w:type="dxa"/>
            <w:tcBorders>
              <w:top w:val="single" w:sz="4" w:space="0" w:color="auto"/>
              <w:left w:val="nil"/>
              <w:bottom w:val="single" w:sz="4" w:space="0" w:color="auto"/>
              <w:right w:val="single" w:sz="4" w:space="0" w:color="auto"/>
            </w:tcBorders>
            <w:shd w:val="clear" w:color="000000" w:fill="99CCFF"/>
            <w:noWrap/>
            <w:vAlign w:val="center"/>
            <w:hideMark/>
          </w:tcPr>
          <w:p w14:paraId="65BA2D72" w14:textId="77777777" w:rsidR="000740F7" w:rsidRPr="000169EF" w:rsidRDefault="000740F7" w:rsidP="006D0A51">
            <w:pPr>
              <w:jc w:val="center"/>
              <w:rPr>
                <w:rFonts w:eastAsia="Times New Roman"/>
                <w:b/>
                <w:bCs/>
                <w:sz w:val="18"/>
                <w:szCs w:val="18"/>
                <w:lang w:eastAsia="hr-HR"/>
              </w:rPr>
            </w:pPr>
            <w:r w:rsidRPr="000169EF">
              <w:rPr>
                <w:rFonts w:eastAsia="Times New Roman"/>
                <w:b/>
                <w:bCs/>
                <w:sz w:val="18"/>
                <w:szCs w:val="18"/>
                <w:lang w:eastAsia="hr-HR"/>
              </w:rPr>
              <w:t>Primljeno</w:t>
            </w:r>
          </w:p>
        </w:tc>
        <w:tc>
          <w:tcPr>
            <w:tcW w:w="1155" w:type="dxa"/>
            <w:tcBorders>
              <w:top w:val="single" w:sz="4" w:space="0" w:color="auto"/>
              <w:left w:val="nil"/>
              <w:bottom w:val="single" w:sz="4" w:space="0" w:color="auto"/>
              <w:right w:val="single" w:sz="4" w:space="0" w:color="auto"/>
            </w:tcBorders>
            <w:shd w:val="clear" w:color="000000" w:fill="99CCFF"/>
            <w:noWrap/>
            <w:vAlign w:val="center"/>
            <w:hideMark/>
          </w:tcPr>
          <w:p w14:paraId="326E4CD3" w14:textId="77777777" w:rsidR="000740F7" w:rsidRPr="000169EF" w:rsidRDefault="000740F7" w:rsidP="006D0A51">
            <w:pPr>
              <w:jc w:val="center"/>
              <w:rPr>
                <w:rFonts w:eastAsia="Times New Roman"/>
                <w:b/>
                <w:bCs/>
                <w:sz w:val="18"/>
                <w:szCs w:val="18"/>
                <w:lang w:eastAsia="hr-HR"/>
              </w:rPr>
            </w:pPr>
            <w:r w:rsidRPr="000169EF">
              <w:rPr>
                <w:rFonts w:eastAsia="Times New Roman"/>
                <w:b/>
                <w:bCs/>
                <w:sz w:val="18"/>
                <w:szCs w:val="18"/>
                <w:lang w:eastAsia="hr-HR"/>
              </w:rPr>
              <w:t>Riješeno</w:t>
            </w:r>
          </w:p>
        </w:tc>
        <w:tc>
          <w:tcPr>
            <w:tcW w:w="1156" w:type="dxa"/>
            <w:tcBorders>
              <w:top w:val="single" w:sz="4" w:space="0" w:color="auto"/>
              <w:left w:val="nil"/>
              <w:bottom w:val="single" w:sz="4" w:space="0" w:color="auto"/>
              <w:right w:val="single" w:sz="4" w:space="0" w:color="auto"/>
            </w:tcBorders>
            <w:shd w:val="clear" w:color="000000" w:fill="99CCFF"/>
            <w:noWrap/>
            <w:vAlign w:val="center"/>
            <w:hideMark/>
          </w:tcPr>
          <w:p w14:paraId="4C860F65" w14:textId="77777777" w:rsidR="000740F7" w:rsidRPr="000169EF" w:rsidRDefault="000740F7" w:rsidP="006D0A51">
            <w:pPr>
              <w:jc w:val="center"/>
              <w:rPr>
                <w:rFonts w:eastAsia="Times New Roman"/>
                <w:b/>
                <w:bCs/>
                <w:sz w:val="18"/>
                <w:szCs w:val="18"/>
                <w:lang w:eastAsia="hr-HR"/>
              </w:rPr>
            </w:pPr>
            <w:r w:rsidRPr="000169EF">
              <w:rPr>
                <w:rFonts w:eastAsia="Times New Roman"/>
                <w:b/>
                <w:bCs/>
                <w:sz w:val="18"/>
                <w:szCs w:val="18"/>
                <w:lang w:eastAsia="hr-HR"/>
              </w:rPr>
              <w:t>Neriješeno</w:t>
            </w:r>
          </w:p>
        </w:tc>
      </w:tr>
      <w:tr w:rsidR="000740F7" w:rsidRPr="001B4CA2" w14:paraId="6884FCCD" w14:textId="77777777" w:rsidTr="00766A28">
        <w:trPr>
          <w:trHeight w:val="324"/>
        </w:trPr>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9893D" w14:textId="77777777" w:rsidR="000740F7" w:rsidRPr="000169EF" w:rsidRDefault="000740F7" w:rsidP="006D0A51">
            <w:pPr>
              <w:jc w:val="center"/>
              <w:rPr>
                <w:rFonts w:eastAsia="Times New Roman"/>
                <w:sz w:val="18"/>
                <w:szCs w:val="18"/>
                <w:lang w:eastAsia="hr-HR"/>
              </w:rPr>
            </w:pPr>
            <w:r w:rsidRPr="000169EF">
              <w:rPr>
                <w:rFonts w:eastAsia="Times New Roman"/>
                <w:sz w:val="18"/>
                <w:szCs w:val="18"/>
                <w:lang w:eastAsia="hr-HR"/>
              </w:rPr>
              <w:t>Županijska državna odvjetništva</w:t>
            </w: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2C447" w14:textId="77777777" w:rsidR="000740F7" w:rsidRPr="000169EF" w:rsidRDefault="000740F7" w:rsidP="006D0A51">
            <w:pPr>
              <w:jc w:val="center"/>
              <w:rPr>
                <w:rFonts w:eastAsia="Times New Roman"/>
                <w:sz w:val="18"/>
                <w:szCs w:val="18"/>
                <w:lang w:eastAsia="hr-HR"/>
              </w:rPr>
            </w:pPr>
            <w:r w:rsidRPr="000169EF">
              <w:rPr>
                <w:rFonts w:eastAsia="Times New Roman"/>
                <w:sz w:val="18"/>
                <w:szCs w:val="18"/>
                <w:lang w:eastAsia="hr-HR"/>
              </w:rPr>
              <w:t>2018.</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08679" w14:textId="77777777" w:rsidR="000740F7" w:rsidRPr="000169EF" w:rsidRDefault="000740F7" w:rsidP="006D0A51">
            <w:pPr>
              <w:jc w:val="center"/>
              <w:rPr>
                <w:color w:val="000000"/>
                <w:sz w:val="18"/>
                <w:szCs w:val="18"/>
              </w:rPr>
            </w:pPr>
            <w:r w:rsidRPr="000169EF">
              <w:rPr>
                <w:color w:val="000000"/>
                <w:sz w:val="18"/>
                <w:szCs w:val="18"/>
              </w:rPr>
              <w:t>170</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3B004" w14:textId="77777777" w:rsidR="000740F7" w:rsidRPr="000169EF" w:rsidRDefault="000740F7" w:rsidP="006D0A51">
            <w:pPr>
              <w:jc w:val="center"/>
              <w:rPr>
                <w:color w:val="000000"/>
                <w:sz w:val="18"/>
                <w:szCs w:val="18"/>
              </w:rPr>
            </w:pPr>
            <w:r w:rsidRPr="000169EF">
              <w:rPr>
                <w:color w:val="000000"/>
                <w:sz w:val="18"/>
                <w:szCs w:val="18"/>
              </w:rPr>
              <w:t>5.439</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46C6E" w14:textId="77777777" w:rsidR="000740F7" w:rsidRPr="000169EF" w:rsidRDefault="000740F7" w:rsidP="006D0A51">
            <w:pPr>
              <w:jc w:val="center"/>
              <w:rPr>
                <w:color w:val="000000"/>
                <w:sz w:val="18"/>
                <w:szCs w:val="18"/>
              </w:rPr>
            </w:pPr>
            <w:r w:rsidRPr="000169EF">
              <w:rPr>
                <w:color w:val="000000"/>
                <w:sz w:val="18"/>
                <w:szCs w:val="18"/>
              </w:rPr>
              <w:t>31.468</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0B625" w14:textId="77777777" w:rsidR="000740F7" w:rsidRPr="000169EF" w:rsidRDefault="000740F7" w:rsidP="006D0A51">
            <w:pPr>
              <w:jc w:val="center"/>
              <w:rPr>
                <w:color w:val="000000"/>
                <w:sz w:val="18"/>
                <w:szCs w:val="18"/>
              </w:rPr>
            </w:pPr>
            <w:r w:rsidRPr="000169EF">
              <w:rPr>
                <w:color w:val="000000"/>
                <w:sz w:val="18"/>
                <w:szCs w:val="18"/>
              </w:rPr>
              <w:t>32.044</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8586C" w14:textId="77777777" w:rsidR="000740F7" w:rsidRPr="000169EF" w:rsidRDefault="000740F7" w:rsidP="006D0A51">
            <w:pPr>
              <w:jc w:val="center"/>
              <w:rPr>
                <w:color w:val="000000"/>
                <w:sz w:val="18"/>
                <w:szCs w:val="18"/>
              </w:rPr>
            </w:pPr>
            <w:r w:rsidRPr="000169EF">
              <w:rPr>
                <w:color w:val="000000"/>
                <w:sz w:val="18"/>
                <w:szCs w:val="18"/>
              </w:rPr>
              <w:t>4.863</w:t>
            </w:r>
          </w:p>
        </w:tc>
      </w:tr>
      <w:tr w:rsidR="000740F7" w:rsidRPr="001B4CA2" w14:paraId="5C8C6A06" w14:textId="77777777" w:rsidTr="00766A28">
        <w:trPr>
          <w:trHeight w:val="324"/>
        </w:trPr>
        <w:tc>
          <w:tcPr>
            <w:tcW w:w="1267" w:type="dxa"/>
            <w:vMerge/>
            <w:tcBorders>
              <w:top w:val="single" w:sz="4" w:space="0" w:color="auto"/>
              <w:left w:val="single" w:sz="4" w:space="0" w:color="auto"/>
              <w:bottom w:val="single" w:sz="4" w:space="0" w:color="auto"/>
              <w:right w:val="single" w:sz="4" w:space="0" w:color="auto"/>
            </w:tcBorders>
            <w:vAlign w:val="center"/>
            <w:hideMark/>
          </w:tcPr>
          <w:p w14:paraId="50E33D55" w14:textId="77777777" w:rsidR="000740F7" w:rsidRPr="000169EF" w:rsidRDefault="000740F7" w:rsidP="006D0A51">
            <w:pPr>
              <w:jc w:val="left"/>
              <w:rPr>
                <w:rFonts w:eastAsia="Times New Roman"/>
                <w:sz w:val="18"/>
                <w:szCs w:val="18"/>
                <w:lang w:eastAsia="hr-HR"/>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4BF32" w14:textId="77777777" w:rsidR="000740F7" w:rsidRPr="000169EF" w:rsidRDefault="000740F7" w:rsidP="006D0A51">
            <w:pPr>
              <w:jc w:val="center"/>
              <w:rPr>
                <w:rFonts w:eastAsia="Times New Roman"/>
                <w:sz w:val="18"/>
                <w:szCs w:val="18"/>
                <w:lang w:eastAsia="hr-HR"/>
              </w:rPr>
            </w:pPr>
            <w:r w:rsidRPr="000169EF">
              <w:rPr>
                <w:rFonts w:eastAsia="Times New Roman"/>
                <w:sz w:val="18"/>
                <w:szCs w:val="18"/>
                <w:lang w:eastAsia="hr-HR"/>
              </w:rPr>
              <w:t>2019.</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7A86D" w14:textId="77777777" w:rsidR="000740F7" w:rsidRPr="000169EF" w:rsidRDefault="000740F7" w:rsidP="006D0A51">
            <w:pPr>
              <w:jc w:val="center"/>
              <w:rPr>
                <w:color w:val="000000"/>
                <w:sz w:val="18"/>
                <w:szCs w:val="18"/>
              </w:rPr>
            </w:pPr>
            <w:r w:rsidRPr="000169EF">
              <w:rPr>
                <w:color w:val="000000"/>
                <w:sz w:val="18"/>
                <w:szCs w:val="18"/>
              </w:rPr>
              <w:t>163</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5071B" w14:textId="77777777" w:rsidR="000740F7" w:rsidRPr="000169EF" w:rsidRDefault="000740F7" w:rsidP="006D0A51">
            <w:pPr>
              <w:jc w:val="center"/>
              <w:rPr>
                <w:color w:val="000000"/>
                <w:sz w:val="18"/>
                <w:szCs w:val="18"/>
              </w:rPr>
            </w:pPr>
            <w:r w:rsidRPr="000169EF">
              <w:rPr>
                <w:color w:val="000000"/>
                <w:sz w:val="18"/>
                <w:szCs w:val="18"/>
              </w:rPr>
              <w:t>4.640</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E88C7" w14:textId="77777777" w:rsidR="000740F7" w:rsidRPr="000169EF" w:rsidRDefault="000740F7" w:rsidP="006D0A51">
            <w:pPr>
              <w:jc w:val="center"/>
              <w:rPr>
                <w:color w:val="000000"/>
                <w:sz w:val="18"/>
                <w:szCs w:val="18"/>
              </w:rPr>
            </w:pPr>
            <w:r w:rsidRPr="000169EF">
              <w:rPr>
                <w:color w:val="000000"/>
                <w:sz w:val="18"/>
                <w:szCs w:val="18"/>
              </w:rPr>
              <w:t>31.579</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1F86A" w14:textId="77777777" w:rsidR="000740F7" w:rsidRPr="000169EF" w:rsidRDefault="000740F7" w:rsidP="006D0A51">
            <w:pPr>
              <w:jc w:val="center"/>
              <w:rPr>
                <w:color w:val="000000"/>
                <w:sz w:val="18"/>
                <w:szCs w:val="18"/>
              </w:rPr>
            </w:pPr>
            <w:r w:rsidRPr="000169EF">
              <w:rPr>
                <w:color w:val="000000"/>
                <w:sz w:val="18"/>
                <w:szCs w:val="18"/>
              </w:rPr>
              <w:t>32.536</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39DE0" w14:textId="77777777" w:rsidR="000740F7" w:rsidRPr="000169EF" w:rsidRDefault="000740F7" w:rsidP="006D0A51">
            <w:pPr>
              <w:jc w:val="center"/>
              <w:rPr>
                <w:color w:val="000000"/>
                <w:sz w:val="18"/>
                <w:szCs w:val="18"/>
              </w:rPr>
            </w:pPr>
            <w:r w:rsidRPr="000169EF">
              <w:rPr>
                <w:color w:val="000000"/>
                <w:sz w:val="18"/>
                <w:szCs w:val="18"/>
              </w:rPr>
              <w:t>3.682</w:t>
            </w:r>
          </w:p>
        </w:tc>
      </w:tr>
      <w:tr w:rsidR="000740F7" w:rsidRPr="001B4CA2" w14:paraId="34C5E89B" w14:textId="77777777" w:rsidTr="00766A28">
        <w:trPr>
          <w:trHeight w:val="324"/>
        </w:trPr>
        <w:tc>
          <w:tcPr>
            <w:tcW w:w="1267" w:type="dxa"/>
            <w:vMerge/>
            <w:tcBorders>
              <w:top w:val="single" w:sz="4" w:space="0" w:color="auto"/>
              <w:left w:val="single" w:sz="4" w:space="0" w:color="auto"/>
              <w:bottom w:val="single" w:sz="4" w:space="0" w:color="auto"/>
              <w:right w:val="single" w:sz="4" w:space="0" w:color="auto"/>
            </w:tcBorders>
            <w:vAlign w:val="center"/>
            <w:hideMark/>
          </w:tcPr>
          <w:p w14:paraId="11CC453E" w14:textId="77777777" w:rsidR="000740F7" w:rsidRPr="000169EF" w:rsidRDefault="000740F7" w:rsidP="006D0A51">
            <w:pPr>
              <w:jc w:val="left"/>
              <w:rPr>
                <w:rFonts w:eastAsia="Times New Roman"/>
                <w:sz w:val="18"/>
                <w:szCs w:val="18"/>
                <w:lang w:eastAsia="hr-HR"/>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925ED" w14:textId="77777777" w:rsidR="000740F7" w:rsidRPr="000169EF" w:rsidRDefault="000740F7" w:rsidP="006D0A51">
            <w:pPr>
              <w:jc w:val="center"/>
              <w:rPr>
                <w:rFonts w:eastAsia="Times New Roman"/>
                <w:sz w:val="18"/>
                <w:szCs w:val="18"/>
                <w:lang w:eastAsia="hr-HR"/>
              </w:rPr>
            </w:pPr>
            <w:r w:rsidRPr="000169EF">
              <w:rPr>
                <w:rFonts w:eastAsia="Times New Roman"/>
                <w:sz w:val="18"/>
                <w:szCs w:val="18"/>
                <w:lang w:eastAsia="hr-HR"/>
              </w:rPr>
              <w:t>2020.</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0DD18" w14:textId="77777777" w:rsidR="000740F7" w:rsidRPr="000169EF" w:rsidRDefault="000740F7" w:rsidP="006D0A51">
            <w:pPr>
              <w:jc w:val="center"/>
              <w:rPr>
                <w:color w:val="000000"/>
                <w:sz w:val="18"/>
                <w:szCs w:val="18"/>
              </w:rPr>
            </w:pPr>
            <w:r w:rsidRPr="000169EF">
              <w:rPr>
                <w:color w:val="000000"/>
                <w:sz w:val="18"/>
                <w:szCs w:val="18"/>
              </w:rPr>
              <w:t>159</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EE66A" w14:textId="77777777" w:rsidR="000740F7" w:rsidRPr="000169EF" w:rsidRDefault="000740F7" w:rsidP="006D0A51">
            <w:pPr>
              <w:jc w:val="center"/>
              <w:rPr>
                <w:color w:val="000000"/>
                <w:sz w:val="18"/>
                <w:szCs w:val="18"/>
              </w:rPr>
            </w:pPr>
            <w:r w:rsidRPr="000169EF">
              <w:rPr>
                <w:color w:val="000000"/>
                <w:sz w:val="18"/>
                <w:szCs w:val="18"/>
              </w:rPr>
              <w:t>3.717</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A64B9" w14:textId="77777777" w:rsidR="000740F7" w:rsidRPr="000169EF" w:rsidRDefault="000740F7" w:rsidP="006D0A51">
            <w:pPr>
              <w:jc w:val="center"/>
              <w:rPr>
                <w:color w:val="000000"/>
                <w:sz w:val="18"/>
                <w:szCs w:val="18"/>
              </w:rPr>
            </w:pPr>
            <w:r w:rsidRPr="000169EF">
              <w:rPr>
                <w:color w:val="000000"/>
                <w:sz w:val="18"/>
                <w:szCs w:val="18"/>
              </w:rPr>
              <w:t>31.995</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6DC8F" w14:textId="77777777" w:rsidR="000740F7" w:rsidRPr="000169EF" w:rsidRDefault="000740F7" w:rsidP="006D0A51">
            <w:pPr>
              <w:jc w:val="center"/>
              <w:rPr>
                <w:color w:val="000000"/>
                <w:sz w:val="18"/>
                <w:szCs w:val="18"/>
              </w:rPr>
            </w:pPr>
            <w:r w:rsidRPr="000169EF">
              <w:rPr>
                <w:color w:val="000000"/>
                <w:sz w:val="18"/>
                <w:szCs w:val="18"/>
              </w:rPr>
              <w:t>31.758</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81B23" w14:textId="77777777" w:rsidR="000740F7" w:rsidRPr="000169EF" w:rsidRDefault="000740F7" w:rsidP="006D0A51">
            <w:pPr>
              <w:jc w:val="center"/>
              <w:rPr>
                <w:color w:val="000000"/>
                <w:sz w:val="18"/>
                <w:szCs w:val="18"/>
              </w:rPr>
            </w:pPr>
            <w:r w:rsidRPr="000169EF">
              <w:rPr>
                <w:color w:val="000000"/>
                <w:sz w:val="18"/>
                <w:szCs w:val="18"/>
              </w:rPr>
              <w:t>3.954</w:t>
            </w:r>
          </w:p>
        </w:tc>
      </w:tr>
      <w:tr w:rsidR="000740F7" w:rsidRPr="001B4CA2" w14:paraId="2E985482" w14:textId="77777777" w:rsidTr="00766A28">
        <w:trPr>
          <w:trHeight w:val="324"/>
        </w:trPr>
        <w:tc>
          <w:tcPr>
            <w:tcW w:w="1267" w:type="dxa"/>
            <w:vMerge/>
            <w:tcBorders>
              <w:top w:val="single" w:sz="4" w:space="0" w:color="auto"/>
              <w:left w:val="single" w:sz="4" w:space="0" w:color="auto"/>
              <w:bottom w:val="single" w:sz="4" w:space="0" w:color="auto"/>
              <w:right w:val="single" w:sz="4" w:space="0" w:color="auto"/>
            </w:tcBorders>
            <w:vAlign w:val="center"/>
            <w:hideMark/>
          </w:tcPr>
          <w:p w14:paraId="27794273" w14:textId="77777777" w:rsidR="000740F7" w:rsidRPr="000169EF" w:rsidRDefault="000740F7" w:rsidP="006D0A51">
            <w:pPr>
              <w:jc w:val="left"/>
              <w:rPr>
                <w:rFonts w:eastAsia="Times New Roman"/>
                <w:sz w:val="18"/>
                <w:szCs w:val="18"/>
                <w:lang w:eastAsia="hr-HR"/>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6FBD5" w14:textId="77777777" w:rsidR="000740F7" w:rsidRPr="000169EF" w:rsidRDefault="000740F7" w:rsidP="006D0A51">
            <w:pPr>
              <w:jc w:val="center"/>
              <w:rPr>
                <w:rFonts w:eastAsia="Times New Roman"/>
                <w:sz w:val="18"/>
                <w:szCs w:val="18"/>
                <w:lang w:eastAsia="hr-HR"/>
              </w:rPr>
            </w:pPr>
            <w:r w:rsidRPr="000169EF">
              <w:rPr>
                <w:rFonts w:eastAsia="Times New Roman"/>
                <w:sz w:val="18"/>
                <w:szCs w:val="18"/>
                <w:lang w:eastAsia="hr-HR"/>
              </w:rPr>
              <w:t>2021.</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81437" w14:textId="77777777" w:rsidR="000740F7" w:rsidRPr="000169EF" w:rsidRDefault="000740F7" w:rsidP="006D0A51">
            <w:pPr>
              <w:jc w:val="center"/>
              <w:rPr>
                <w:color w:val="000000"/>
                <w:sz w:val="18"/>
                <w:szCs w:val="18"/>
              </w:rPr>
            </w:pPr>
            <w:r w:rsidRPr="000169EF">
              <w:rPr>
                <w:color w:val="000000"/>
                <w:sz w:val="18"/>
                <w:szCs w:val="18"/>
              </w:rPr>
              <w:t>165</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C42F2" w14:textId="77777777" w:rsidR="000740F7" w:rsidRPr="000169EF" w:rsidRDefault="000740F7" w:rsidP="006D0A51">
            <w:pPr>
              <w:jc w:val="center"/>
              <w:rPr>
                <w:color w:val="000000"/>
                <w:sz w:val="18"/>
                <w:szCs w:val="18"/>
              </w:rPr>
            </w:pPr>
            <w:r w:rsidRPr="000169EF">
              <w:rPr>
                <w:color w:val="000000"/>
                <w:sz w:val="18"/>
                <w:szCs w:val="18"/>
              </w:rPr>
              <w:t>3.888</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103E5" w14:textId="77777777" w:rsidR="000740F7" w:rsidRPr="000169EF" w:rsidRDefault="000740F7" w:rsidP="006D0A51">
            <w:pPr>
              <w:jc w:val="center"/>
              <w:rPr>
                <w:color w:val="000000"/>
                <w:sz w:val="18"/>
                <w:szCs w:val="18"/>
              </w:rPr>
            </w:pPr>
            <w:r w:rsidRPr="000169EF">
              <w:rPr>
                <w:color w:val="000000"/>
                <w:sz w:val="18"/>
                <w:szCs w:val="18"/>
              </w:rPr>
              <w:t>34.806</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F5B0F" w14:textId="77777777" w:rsidR="000740F7" w:rsidRPr="000169EF" w:rsidRDefault="000740F7" w:rsidP="006D0A51">
            <w:pPr>
              <w:jc w:val="center"/>
              <w:rPr>
                <w:color w:val="000000"/>
                <w:sz w:val="18"/>
                <w:szCs w:val="18"/>
              </w:rPr>
            </w:pPr>
            <w:r w:rsidRPr="000169EF">
              <w:rPr>
                <w:color w:val="000000"/>
                <w:sz w:val="18"/>
                <w:szCs w:val="18"/>
              </w:rPr>
              <w:t>34.925</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51375" w14:textId="77777777" w:rsidR="000740F7" w:rsidRPr="000169EF" w:rsidRDefault="000740F7" w:rsidP="006D0A51">
            <w:pPr>
              <w:jc w:val="center"/>
              <w:rPr>
                <w:color w:val="000000"/>
                <w:sz w:val="18"/>
                <w:szCs w:val="18"/>
              </w:rPr>
            </w:pPr>
            <w:r w:rsidRPr="000169EF">
              <w:rPr>
                <w:color w:val="000000"/>
                <w:sz w:val="18"/>
                <w:szCs w:val="18"/>
              </w:rPr>
              <w:t>3.769</w:t>
            </w:r>
          </w:p>
        </w:tc>
      </w:tr>
      <w:tr w:rsidR="000740F7" w:rsidRPr="001B4CA2" w14:paraId="15FDBC04" w14:textId="77777777" w:rsidTr="00766A28">
        <w:trPr>
          <w:trHeight w:val="324"/>
        </w:trPr>
        <w:tc>
          <w:tcPr>
            <w:tcW w:w="1267" w:type="dxa"/>
            <w:vMerge/>
            <w:tcBorders>
              <w:top w:val="single" w:sz="4" w:space="0" w:color="auto"/>
              <w:left w:val="single" w:sz="4" w:space="0" w:color="auto"/>
              <w:bottom w:val="single" w:sz="4" w:space="0" w:color="auto"/>
              <w:right w:val="single" w:sz="4" w:space="0" w:color="auto"/>
            </w:tcBorders>
            <w:vAlign w:val="center"/>
            <w:hideMark/>
          </w:tcPr>
          <w:p w14:paraId="24EED35F" w14:textId="77777777" w:rsidR="000740F7" w:rsidRPr="000169EF" w:rsidRDefault="000740F7" w:rsidP="006D0A51">
            <w:pPr>
              <w:jc w:val="left"/>
              <w:rPr>
                <w:rFonts w:eastAsia="Times New Roman"/>
                <w:sz w:val="18"/>
                <w:szCs w:val="18"/>
                <w:lang w:eastAsia="hr-HR"/>
              </w:rPr>
            </w:pPr>
          </w:p>
        </w:tc>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FBCAC" w14:textId="77777777" w:rsidR="000740F7" w:rsidRPr="000169EF" w:rsidRDefault="000740F7" w:rsidP="006D0A51">
            <w:pPr>
              <w:jc w:val="center"/>
              <w:rPr>
                <w:rFonts w:eastAsia="Times New Roman"/>
                <w:sz w:val="18"/>
                <w:szCs w:val="18"/>
                <w:lang w:eastAsia="hr-HR"/>
              </w:rPr>
            </w:pPr>
            <w:r w:rsidRPr="000169EF">
              <w:rPr>
                <w:rFonts w:eastAsia="Times New Roman"/>
                <w:sz w:val="18"/>
                <w:szCs w:val="18"/>
                <w:lang w:eastAsia="hr-HR"/>
              </w:rPr>
              <w:t>2022.</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61888" w14:textId="77777777" w:rsidR="000740F7" w:rsidRPr="000169EF" w:rsidRDefault="000740F7" w:rsidP="006D0A51">
            <w:pPr>
              <w:jc w:val="center"/>
              <w:rPr>
                <w:color w:val="000000"/>
                <w:sz w:val="18"/>
                <w:szCs w:val="18"/>
              </w:rPr>
            </w:pPr>
            <w:r w:rsidRPr="000169EF">
              <w:rPr>
                <w:color w:val="000000"/>
                <w:sz w:val="18"/>
                <w:szCs w:val="18"/>
              </w:rPr>
              <w:t>174</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7F198" w14:textId="77777777" w:rsidR="000740F7" w:rsidRPr="000169EF" w:rsidRDefault="000740F7" w:rsidP="006D0A51">
            <w:pPr>
              <w:jc w:val="center"/>
              <w:rPr>
                <w:color w:val="000000"/>
                <w:sz w:val="18"/>
                <w:szCs w:val="18"/>
              </w:rPr>
            </w:pPr>
            <w:r w:rsidRPr="000169EF">
              <w:rPr>
                <w:color w:val="000000"/>
                <w:sz w:val="18"/>
                <w:szCs w:val="18"/>
              </w:rPr>
              <w:t>3.857</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C4C68" w14:textId="77777777" w:rsidR="000740F7" w:rsidRPr="000169EF" w:rsidRDefault="000740F7" w:rsidP="006D0A51">
            <w:pPr>
              <w:jc w:val="center"/>
              <w:rPr>
                <w:color w:val="000000"/>
                <w:sz w:val="18"/>
                <w:szCs w:val="18"/>
              </w:rPr>
            </w:pPr>
            <w:r w:rsidRPr="000169EF">
              <w:rPr>
                <w:color w:val="000000"/>
                <w:sz w:val="18"/>
                <w:szCs w:val="18"/>
              </w:rPr>
              <w:t>34.220</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BF2BF" w14:textId="77777777" w:rsidR="000740F7" w:rsidRPr="000169EF" w:rsidRDefault="000740F7" w:rsidP="006D0A51">
            <w:pPr>
              <w:jc w:val="center"/>
              <w:rPr>
                <w:color w:val="000000"/>
                <w:sz w:val="18"/>
                <w:szCs w:val="18"/>
              </w:rPr>
            </w:pPr>
            <w:r w:rsidRPr="000169EF">
              <w:rPr>
                <w:color w:val="000000"/>
                <w:sz w:val="18"/>
                <w:szCs w:val="18"/>
              </w:rPr>
              <w:t>34.457</w:t>
            </w:r>
          </w:p>
        </w:tc>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C4F5F" w14:textId="77777777" w:rsidR="000740F7" w:rsidRPr="000169EF" w:rsidRDefault="000740F7" w:rsidP="006D0A51">
            <w:pPr>
              <w:jc w:val="center"/>
              <w:rPr>
                <w:color w:val="000000"/>
                <w:sz w:val="18"/>
                <w:szCs w:val="18"/>
              </w:rPr>
            </w:pPr>
            <w:r w:rsidRPr="000169EF">
              <w:rPr>
                <w:color w:val="000000"/>
                <w:sz w:val="18"/>
                <w:szCs w:val="18"/>
              </w:rPr>
              <w:t>3.617</w:t>
            </w:r>
          </w:p>
        </w:tc>
      </w:tr>
    </w:tbl>
    <w:p w14:paraId="4222AA63" w14:textId="77777777" w:rsidR="000740F7" w:rsidRPr="001B4CA2" w:rsidRDefault="000740F7" w:rsidP="000740F7"/>
    <w:p w14:paraId="46EF7600" w14:textId="77777777" w:rsidR="000740F7" w:rsidRPr="001B4CA2" w:rsidRDefault="000740F7" w:rsidP="000740F7">
      <w:pPr>
        <w:ind w:firstLine="708"/>
      </w:pPr>
      <w:r w:rsidRPr="001B4CA2">
        <w:t xml:space="preserve">Iz podataka u gornjoj tablici vidljivo je da županijska državna odvjetništva kontinuirano u proteklih pet godina rješavaju veći broj predmeta od broja </w:t>
      </w:r>
      <w:proofErr w:type="spellStart"/>
      <w:r w:rsidRPr="001B4CA2">
        <w:t>novozaprimljenih</w:t>
      </w:r>
      <w:proofErr w:type="spellEnd"/>
      <w:r w:rsidRPr="001B4CA2">
        <w:t xml:space="preserve"> predmeta u toj godini, tako da se ukupan broj neriješenih predmeta kontinuirano smanjuje. </w:t>
      </w:r>
    </w:p>
    <w:p w14:paraId="6B8EB643" w14:textId="77777777" w:rsidR="000740F7" w:rsidRPr="001B4CA2" w:rsidRDefault="000740F7" w:rsidP="000740F7"/>
    <w:tbl>
      <w:tblPr>
        <w:tblW w:w="6730"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2165"/>
        <w:gridCol w:w="2267"/>
      </w:tblGrid>
      <w:tr w:rsidR="000740F7" w:rsidRPr="001B4CA2" w14:paraId="4D44A55E" w14:textId="77777777" w:rsidTr="00766A28">
        <w:trPr>
          <w:trHeight w:val="1350"/>
        </w:trPr>
        <w:tc>
          <w:tcPr>
            <w:tcW w:w="2298" w:type="dxa"/>
            <w:shd w:val="clear" w:color="000000" w:fill="99CCFF"/>
            <w:vAlign w:val="center"/>
            <w:hideMark/>
          </w:tcPr>
          <w:p w14:paraId="5CF3277E" w14:textId="77777777" w:rsidR="000740F7" w:rsidRPr="001B4CA2" w:rsidRDefault="000740F7" w:rsidP="006D0A51">
            <w:pPr>
              <w:spacing w:line="259" w:lineRule="auto"/>
              <w:jc w:val="center"/>
              <w:rPr>
                <w:rFonts w:eastAsia="Times New Roman"/>
                <w:b/>
                <w:bCs/>
                <w:sz w:val="18"/>
                <w:szCs w:val="18"/>
                <w:lang w:eastAsia="hr-HR"/>
              </w:rPr>
            </w:pPr>
            <w:r w:rsidRPr="001B4CA2">
              <w:rPr>
                <w:rFonts w:eastAsia="Times New Roman"/>
                <w:b/>
                <w:bCs/>
                <w:sz w:val="18"/>
                <w:szCs w:val="18"/>
                <w:lang w:eastAsia="hr-HR"/>
              </w:rPr>
              <w:t>Godina</w:t>
            </w:r>
          </w:p>
        </w:tc>
        <w:tc>
          <w:tcPr>
            <w:tcW w:w="2165" w:type="dxa"/>
            <w:shd w:val="clear" w:color="000000" w:fill="99CCFF"/>
            <w:vAlign w:val="center"/>
            <w:hideMark/>
          </w:tcPr>
          <w:p w14:paraId="773EF00D" w14:textId="0B9C6E6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Broj predmeta u postupku pred sudom i JPT</w:t>
            </w:r>
            <w:r w:rsidR="00A804EF">
              <w:rPr>
                <w:rFonts w:eastAsia="Times New Roman"/>
                <w:b/>
                <w:bCs/>
                <w:sz w:val="18"/>
                <w:szCs w:val="18"/>
                <w:lang w:eastAsia="hr-HR"/>
              </w:rPr>
              <w:t>-om</w:t>
            </w:r>
          </w:p>
        </w:tc>
        <w:tc>
          <w:tcPr>
            <w:tcW w:w="2267" w:type="dxa"/>
            <w:shd w:val="clear" w:color="000000" w:fill="99CCFF"/>
            <w:vAlign w:val="center"/>
            <w:hideMark/>
          </w:tcPr>
          <w:p w14:paraId="448C1669"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Ukupan broj predmeta u kojima postupak vodi i u postupku sudjeluje državno odvjetništvo</w:t>
            </w:r>
          </w:p>
        </w:tc>
      </w:tr>
      <w:tr w:rsidR="000740F7" w:rsidRPr="001B4CA2" w14:paraId="6C1EB109" w14:textId="77777777" w:rsidTr="006D0A51">
        <w:trPr>
          <w:trHeight w:val="323"/>
        </w:trPr>
        <w:tc>
          <w:tcPr>
            <w:tcW w:w="2298" w:type="dxa"/>
            <w:shd w:val="clear" w:color="auto" w:fill="auto"/>
            <w:noWrap/>
            <w:vAlign w:val="bottom"/>
          </w:tcPr>
          <w:p w14:paraId="5D88DE37"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2018.</w:t>
            </w:r>
          </w:p>
        </w:tc>
        <w:tc>
          <w:tcPr>
            <w:tcW w:w="2165" w:type="dxa"/>
            <w:shd w:val="clear" w:color="auto" w:fill="auto"/>
            <w:noWrap/>
            <w:vAlign w:val="center"/>
          </w:tcPr>
          <w:p w14:paraId="66C1C05D" w14:textId="77777777" w:rsidR="000740F7" w:rsidRPr="000169EF" w:rsidRDefault="000740F7" w:rsidP="006D0A51">
            <w:pPr>
              <w:jc w:val="center"/>
              <w:rPr>
                <w:color w:val="000000"/>
                <w:sz w:val="18"/>
                <w:szCs w:val="18"/>
              </w:rPr>
            </w:pPr>
            <w:r w:rsidRPr="000169EF">
              <w:rPr>
                <w:color w:val="000000"/>
                <w:sz w:val="18"/>
                <w:szCs w:val="18"/>
              </w:rPr>
              <w:t>18.475</w:t>
            </w:r>
          </w:p>
        </w:tc>
        <w:tc>
          <w:tcPr>
            <w:tcW w:w="2267" w:type="dxa"/>
            <w:shd w:val="clear" w:color="auto" w:fill="auto"/>
            <w:noWrap/>
            <w:vAlign w:val="center"/>
          </w:tcPr>
          <w:p w14:paraId="31FDAE91" w14:textId="77777777" w:rsidR="000740F7" w:rsidRPr="000169EF" w:rsidRDefault="000740F7" w:rsidP="006D0A51">
            <w:pPr>
              <w:jc w:val="center"/>
              <w:rPr>
                <w:color w:val="000000"/>
                <w:sz w:val="18"/>
                <w:szCs w:val="18"/>
              </w:rPr>
            </w:pPr>
            <w:r w:rsidRPr="000169EF">
              <w:rPr>
                <w:color w:val="000000"/>
                <w:sz w:val="18"/>
                <w:szCs w:val="18"/>
              </w:rPr>
              <w:t>60.491</w:t>
            </w:r>
          </w:p>
        </w:tc>
      </w:tr>
      <w:tr w:rsidR="000740F7" w:rsidRPr="001B4CA2" w14:paraId="4A646AA8" w14:textId="77777777" w:rsidTr="006D0A51">
        <w:trPr>
          <w:trHeight w:val="323"/>
        </w:trPr>
        <w:tc>
          <w:tcPr>
            <w:tcW w:w="2298" w:type="dxa"/>
            <w:shd w:val="clear" w:color="auto" w:fill="auto"/>
            <w:noWrap/>
            <w:vAlign w:val="bottom"/>
            <w:hideMark/>
          </w:tcPr>
          <w:p w14:paraId="707AA798"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2019.</w:t>
            </w:r>
          </w:p>
        </w:tc>
        <w:tc>
          <w:tcPr>
            <w:tcW w:w="2165" w:type="dxa"/>
            <w:shd w:val="clear" w:color="auto" w:fill="auto"/>
            <w:noWrap/>
            <w:vAlign w:val="center"/>
          </w:tcPr>
          <w:p w14:paraId="2C7C5FD7" w14:textId="77777777" w:rsidR="000740F7" w:rsidRPr="000169EF" w:rsidRDefault="000740F7" w:rsidP="006D0A51">
            <w:pPr>
              <w:jc w:val="center"/>
              <w:rPr>
                <w:color w:val="000000"/>
                <w:sz w:val="18"/>
                <w:szCs w:val="18"/>
              </w:rPr>
            </w:pPr>
            <w:r w:rsidRPr="000169EF">
              <w:rPr>
                <w:color w:val="000000"/>
                <w:sz w:val="18"/>
                <w:szCs w:val="18"/>
              </w:rPr>
              <w:t>19.504</w:t>
            </w:r>
          </w:p>
        </w:tc>
        <w:tc>
          <w:tcPr>
            <w:tcW w:w="2267" w:type="dxa"/>
            <w:shd w:val="clear" w:color="auto" w:fill="auto"/>
            <w:noWrap/>
            <w:vAlign w:val="center"/>
          </w:tcPr>
          <w:p w14:paraId="3A758B0E" w14:textId="77777777" w:rsidR="000740F7" w:rsidRPr="000169EF" w:rsidRDefault="000740F7" w:rsidP="006D0A51">
            <w:pPr>
              <w:jc w:val="center"/>
              <w:rPr>
                <w:color w:val="000000"/>
                <w:sz w:val="18"/>
                <w:szCs w:val="18"/>
              </w:rPr>
            </w:pPr>
            <w:r w:rsidRPr="000169EF">
              <w:rPr>
                <w:color w:val="000000"/>
                <w:sz w:val="18"/>
                <w:szCs w:val="18"/>
              </w:rPr>
              <w:t>63.470</w:t>
            </w:r>
          </w:p>
        </w:tc>
      </w:tr>
      <w:tr w:rsidR="000740F7" w:rsidRPr="001B4CA2" w14:paraId="2F5A1165" w14:textId="77777777" w:rsidTr="006D0A51">
        <w:trPr>
          <w:trHeight w:val="323"/>
        </w:trPr>
        <w:tc>
          <w:tcPr>
            <w:tcW w:w="2298" w:type="dxa"/>
            <w:shd w:val="clear" w:color="auto" w:fill="auto"/>
            <w:noWrap/>
            <w:vAlign w:val="bottom"/>
            <w:hideMark/>
          </w:tcPr>
          <w:p w14:paraId="095C8F51"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2020.</w:t>
            </w:r>
          </w:p>
        </w:tc>
        <w:tc>
          <w:tcPr>
            <w:tcW w:w="2165" w:type="dxa"/>
            <w:shd w:val="clear" w:color="auto" w:fill="auto"/>
            <w:noWrap/>
            <w:vAlign w:val="center"/>
          </w:tcPr>
          <w:p w14:paraId="3EF2D990" w14:textId="77777777" w:rsidR="000740F7" w:rsidRPr="000169EF" w:rsidRDefault="000740F7" w:rsidP="006D0A51">
            <w:pPr>
              <w:jc w:val="center"/>
              <w:rPr>
                <w:color w:val="000000"/>
                <w:sz w:val="18"/>
                <w:szCs w:val="18"/>
              </w:rPr>
            </w:pPr>
            <w:r w:rsidRPr="000169EF">
              <w:rPr>
                <w:color w:val="000000"/>
                <w:sz w:val="18"/>
                <w:szCs w:val="18"/>
              </w:rPr>
              <w:t>21.951</w:t>
            </w:r>
          </w:p>
        </w:tc>
        <w:tc>
          <w:tcPr>
            <w:tcW w:w="2267" w:type="dxa"/>
            <w:shd w:val="clear" w:color="auto" w:fill="auto"/>
            <w:noWrap/>
            <w:vAlign w:val="center"/>
          </w:tcPr>
          <w:p w14:paraId="05913991" w14:textId="77777777" w:rsidR="000740F7" w:rsidRPr="000169EF" w:rsidRDefault="000740F7" w:rsidP="006D0A51">
            <w:pPr>
              <w:jc w:val="center"/>
              <w:rPr>
                <w:color w:val="000000"/>
                <w:sz w:val="18"/>
                <w:szCs w:val="18"/>
              </w:rPr>
            </w:pPr>
            <w:r w:rsidRPr="000169EF">
              <w:rPr>
                <w:color w:val="000000"/>
                <w:sz w:val="18"/>
                <w:szCs w:val="18"/>
              </w:rPr>
              <w:t>54.191</w:t>
            </w:r>
          </w:p>
        </w:tc>
      </w:tr>
      <w:tr w:rsidR="000740F7" w:rsidRPr="001B4CA2" w14:paraId="0A88502A" w14:textId="77777777" w:rsidTr="006D0A51">
        <w:trPr>
          <w:trHeight w:val="323"/>
        </w:trPr>
        <w:tc>
          <w:tcPr>
            <w:tcW w:w="2298" w:type="dxa"/>
            <w:shd w:val="clear" w:color="auto" w:fill="auto"/>
            <w:noWrap/>
            <w:vAlign w:val="bottom"/>
            <w:hideMark/>
          </w:tcPr>
          <w:p w14:paraId="2D5A1F7E"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2021.</w:t>
            </w:r>
          </w:p>
        </w:tc>
        <w:tc>
          <w:tcPr>
            <w:tcW w:w="2165" w:type="dxa"/>
            <w:shd w:val="clear" w:color="auto" w:fill="auto"/>
            <w:noWrap/>
            <w:vAlign w:val="center"/>
          </w:tcPr>
          <w:p w14:paraId="7576E968" w14:textId="77777777" w:rsidR="000740F7" w:rsidRPr="000169EF" w:rsidRDefault="000740F7" w:rsidP="006D0A51">
            <w:pPr>
              <w:jc w:val="center"/>
              <w:rPr>
                <w:color w:val="000000"/>
                <w:sz w:val="18"/>
                <w:szCs w:val="18"/>
              </w:rPr>
            </w:pPr>
            <w:r w:rsidRPr="000169EF">
              <w:rPr>
                <w:color w:val="000000"/>
                <w:sz w:val="18"/>
                <w:szCs w:val="18"/>
              </w:rPr>
              <w:t>21.648</w:t>
            </w:r>
          </w:p>
        </w:tc>
        <w:tc>
          <w:tcPr>
            <w:tcW w:w="2267" w:type="dxa"/>
            <w:shd w:val="clear" w:color="auto" w:fill="auto"/>
            <w:noWrap/>
            <w:vAlign w:val="center"/>
          </w:tcPr>
          <w:p w14:paraId="6DE5234E" w14:textId="77777777" w:rsidR="000740F7" w:rsidRPr="000169EF" w:rsidRDefault="000740F7" w:rsidP="006D0A51">
            <w:pPr>
              <w:jc w:val="center"/>
              <w:rPr>
                <w:color w:val="000000"/>
                <w:sz w:val="18"/>
                <w:szCs w:val="18"/>
              </w:rPr>
            </w:pPr>
            <w:r w:rsidRPr="000169EF">
              <w:rPr>
                <w:color w:val="000000"/>
                <w:sz w:val="18"/>
                <w:szCs w:val="18"/>
              </w:rPr>
              <w:t>54.083</w:t>
            </w:r>
          </w:p>
        </w:tc>
      </w:tr>
      <w:tr w:rsidR="000740F7" w:rsidRPr="001B4CA2" w14:paraId="30DF3170" w14:textId="77777777" w:rsidTr="006D0A51">
        <w:trPr>
          <w:trHeight w:val="323"/>
        </w:trPr>
        <w:tc>
          <w:tcPr>
            <w:tcW w:w="2298" w:type="dxa"/>
            <w:shd w:val="clear" w:color="auto" w:fill="auto"/>
            <w:noWrap/>
            <w:vAlign w:val="bottom"/>
          </w:tcPr>
          <w:p w14:paraId="2A78133B"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2022.</w:t>
            </w:r>
          </w:p>
        </w:tc>
        <w:tc>
          <w:tcPr>
            <w:tcW w:w="2165" w:type="dxa"/>
            <w:shd w:val="clear" w:color="auto" w:fill="auto"/>
            <w:noWrap/>
            <w:vAlign w:val="center"/>
          </w:tcPr>
          <w:p w14:paraId="5B868C35" w14:textId="77777777" w:rsidR="000740F7" w:rsidRPr="000169EF" w:rsidRDefault="000740F7" w:rsidP="006D0A51">
            <w:pPr>
              <w:jc w:val="center"/>
              <w:rPr>
                <w:color w:val="000000"/>
                <w:sz w:val="18"/>
                <w:szCs w:val="18"/>
              </w:rPr>
            </w:pPr>
            <w:r w:rsidRPr="000169EF">
              <w:rPr>
                <w:color w:val="000000"/>
                <w:sz w:val="18"/>
                <w:szCs w:val="18"/>
              </w:rPr>
              <w:t>8.136</w:t>
            </w:r>
          </w:p>
        </w:tc>
        <w:tc>
          <w:tcPr>
            <w:tcW w:w="2267" w:type="dxa"/>
            <w:shd w:val="clear" w:color="auto" w:fill="auto"/>
            <w:noWrap/>
            <w:vAlign w:val="center"/>
          </w:tcPr>
          <w:p w14:paraId="53BDBBEC" w14:textId="77777777" w:rsidR="000740F7" w:rsidRPr="000169EF" w:rsidRDefault="000740F7" w:rsidP="006D0A51">
            <w:pPr>
              <w:jc w:val="center"/>
              <w:rPr>
                <w:color w:val="000000"/>
                <w:sz w:val="18"/>
                <w:szCs w:val="18"/>
              </w:rPr>
            </w:pPr>
            <w:r w:rsidRPr="000169EF">
              <w:rPr>
                <w:color w:val="000000"/>
                <w:sz w:val="18"/>
                <w:szCs w:val="18"/>
              </w:rPr>
              <w:t>43.009</w:t>
            </w:r>
          </w:p>
        </w:tc>
      </w:tr>
    </w:tbl>
    <w:p w14:paraId="7D787452" w14:textId="77777777" w:rsidR="000740F7" w:rsidRPr="001B4CA2" w:rsidRDefault="000740F7" w:rsidP="000740F7"/>
    <w:p w14:paraId="11135771" w14:textId="6AA3741D" w:rsidR="000740F7" w:rsidRPr="001B4CA2" w:rsidRDefault="000740F7" w:rsidP="000740F7">
      <w:pPr>
        <w:ind w:firstLine="708"/>
      </w:pPr>
      <w:r w:rsidRPr="001B4CA2">
        <w:t xml:space="preserve">U gornjoj tablici prikazan je broj predmeta u kojima se nakon donošenja </w:t>
      </w:r>
      <w:proofErr w:type="spellStart"/>
      <w:r w:rsidRPr="001B4CA2">
        <w:t>državnoodvjetničke</w:t>
      </w:r>
      <w:proofErr w:type="spellEnd"/>
      <w:r w:rsidRPr="001B4CA2">
        <w:t xml:space="preserve"> odluke, a nakon čega se predmet iskazuje riješenim u državnom odvjetništvu, postupak dalje vodi pred nadležnim sudom ili javnopravnim tijelom, pred kojima državna odvjetništva poduzimaju </w:t>
      </w:r>
      <w:proofErr w:type="spellStart"/>
      <w:r w:rsidRPr="001B4CA2">
        <w:t>državnoodvjetničke</w:t>
      </w:r>
      <w:proofErr w:type="spellEnd"/>
      <w:r w:rsidRPr="001B4CA2">
        <w:t xml:space="preserve"> radnje kako bi se mogao sagledati sveukupan opseg rada i opterećenja županijskih državnih odvjetništava.</w:t>
      </w:r>
    </w:p>
    <w:p w14:paraId="2E0E4206" w14:textId="77777777" w:rsidR="000740F7" w:rsidRPr="001B4CA2" w:rsidRDefault="000740F7" w:rsidP="000740F7"/>
    <w:p w14:paraId="7407ADF4" w14:textId="77777777" w:rsidR="000740F7" w:rsidRPr="001B4CA2" w:rsidRDefault="000740F7" w:rsidP="000740F7"/>
    <w:p w14:paraId="65A9584F" w14:textId="77777777" w:rsidR="000740F7" w:rsidRPr="001B4CA2" w:rsidRDefault="000740F7" w:rsidP="000740F7"/>
    <w:p w14:paraId="2CADB37B" w14:textId="77777777" w:rsidR="000740F7" w:rsidRPr="001B4CA2" w:rsidRDefault="000740F7" w:rsidP="000740F7"/>
    <w:p w14:paraId="1ECB34ED" w14:textId="27F38C66" w:rsidR="000740F7" w:rsidRPr="001B4CA2" w:rsidRDefault="000740F7" w:rsidP="000740F7"/>
    <w:p w14:paraId="455DDEAD" w14:textId="3D346079" w:rsidR="000740F7" w:rsidRPr="001B4CA2" w:rsidRDefault="000740F7" w:rsidP="000740F7"/>
    <w:p w14:paraId="1D65E2B1" w14:textId="1180894F" w:rsidR="000740F7" w:rsidRDefault="000740F7" w:rsidP="000740F7"/>
    <w:p w14:paraId="0B206223" w14:textId="77777777" w:rsidR="000169EF" w:rsidRPr="001B4CA2" w:rsidRDefault="000169EF" w:rsidP="000740F7"/>
    <w:p w14:paraId="3895C9FD" w14:textId="230D8A53" w:rsidR="000740F7" w:rsidRDefault="000740F7" w:rsidP="000740F7"/>
    <w:p w14:paraId="59806805" w14:textId="77777777" w:rsidR="00766A28" w:rsidRPr="001B4CA2" w:rsidRDefault="00766A28" w:rsidP="000740F7"/>
    <w:tbl>
      <w:tblPr>
        <w:tblW w:w="8789" w:type="dxa"/>
        <w:tblInd w:w="250" w:type="dxa"/>
        <w:tblLook w:val="04A0" w:firstRow="1" w:lastRow="0" w:firstColumn="1" w:lastColumn="0" w:noHBand="0" w:noVBand="1"/>
      </w:tblPr>
      <w:tblGrid>
        <w:gridCol w:w="1267"/>
        <w:gridCol w:w="854"/>
        <w:gridCol w:w="711"/>
        <w:gridCol w:w="711"/>
        <w:gridCol w:w="1278"/>
        <w:gridCol w:w="1278"/>
        <w:gridCol w:w="1420"/>
        <w:gridCol w:w="1270"/>
      </w:tblGrid>
      <w:tr w:rsidR="000740F7" w:rsidRPr="001B4CA2" w14:paraId="248113E7" w14:textId="77777777" w:rsidTr="000169EF">
        <w:trPr>
          <w:trHeight w:val="323"/>
        </w:trPr>
        <w:tc>
          <w:tcPr>
            <w:tcW w:w="8789" w:type="dxa"/>
            <w:gridSpan w:val="8"/>
            <w:tcBorders>
              <w:top w:val="nil"/>
              <w:left w:val="nil"/>
              <w:bottom w:val="single" w:sz="4" w:space="0" w:color="auto"/>
              <w:right w:val="nil"/>
            </w:tcBorders>
            <w:shd w:val="clear" w:color="auto" w:fill="auto"/>
            <w:noWrap/>
            <w:vAlign w:val="center"/>
            <w:hideMark/>
          </w:tcPr>
          <w:p w14:paraId="74BA2742" w14:textId="77777777" w:rsidR="000740F7" w:rsidRPr="001B4CA2" w:rsidRDefault="000740F7" w:rsidP="006D0A51">
            <w:pPr>
              <w:jc w:val="left"/>
              <w:rPr>
                <w:rFonts w:eastAsia="Times New Roman"/>
                <w:i/>
                <w:iCs/>
                <w:lang w:eastAsia="hr-HR"/>
              </w:rPr>
            </w:pPr>
            <w:r w:rsidRPr="001B4CA2">
              <w:rPr>
                <w:rFonts w:eastAsia="Times New Roman"/>
                <w:i/>
                <w:iCs/>
                <w:lang w:eastAsia="hr-HR"/>
              </w:rPr>
              <w:lastRenderedPageBreak/>
              <w:t>Opći pregled pokazatelja uspješnosti rada županijskih državnih odvjetništava</w:t>
            </w:r>
          </w:p>
        </w:tc>
      </w:tr>
      <w:tr w:rsidR="000740F7" w:rsidRPr="001B4CA2" w14:paraId="6D740B8D" w14:textId="77777777" w:rsidTr="000169EF">
        <w:trPr>
          <w:trHeight w:val="1291"/>
        </w:trPr>
        <w:tc>
          <w:tcPr>
            <w:tcW w:w="1267"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06E54164"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Državna odvjetništva</w:t>
            </w:r>
          </w:p>
        </w:tc>
        <w:tc>
          <w:tcPr>
            <w:tcW w:w="854" w:type="dxa"/>
            <w:tcBorders>
              <w:top w:val="single" w:sz="4" w:space="0" w:color="auto"/>
              <w:left w:val="nil"/>
              <w:bottom w:val="single" w:sz="4" w:space="0" w:color="auto"/>
              <w:right w:val="single" w:sz="4" w:space="0" w:color="auto"/>
            </w:tcBorders>
            <w:shd w:val="clear" w:color="000000" w:fill="99CCFF"/>
            <w:noWrap/>
            <w:vAlign w:val="center"/>
            <w:hideMark/>
          </w:tcPr>
          <w:p w14:paraId="240A3CD9"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Godina</w:t>
            </w:r>
          </w:p>
        </w:tc>
        <w:tc>
          <w:tcPr>
            <w:tcW w:w="711" w:type="dxa"/>
            <w:tcBorders>
              <w:top w:val="single" w:sz="4" w:space="0" w:color="auto"/>
              <w:left w:val="nil"/>
              <w:bottom w:val="single" w:sz="4" w:space="0" w:color="auto"/>
              <w:right w:val="single" w:sz="4" w:space="0" w:color="auto"/>
            </w:tcBorders>
            <w:shd w:val="clear" w:color="000000" w:fill="99CCFF"/>
            <w:noWrap/>
            <w:vAlign w:val="center"/>
            <w:hideMark/>
          </w:tcPr>
          <w:p w14:paraId="37CD080E"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711" w:type="dxa"/>
            <w:tcBorders>
              <w:top w:val="single" w:sz="4" w:space="0" w:color="auto"/>
              <w:left w:val="nil"/>
              <w:bottom w:val="single" w:sz="4" w:space="0" w:color="auto"/>
              <w:right w:val="single" w:sz="4" w:space="0" w:color="auto"/>
            </w:tcBorders>
            <w:shd w:val="clear" w:color="000000" w:fill="99CCFF"/>
            <w:noWrap/>
            <w:vAlign w:val="center"/>
            <w:hideMark/>
          </w:tcPr>
          <w:p w14:paraId="4FBAD5E7"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DT</w:t>
            </w:r>
          </w:p>
        </w:tc>
        <w:tc>
          <w:tcPr>
            <w:tcW w:w="1278" w:type="dxa"/>
            <w:tcBorders>
              <w:top w:val="single" w:sz="4" w:space="0" w:color="auto"/>
              <w:left w:val="nil"/>
              <w:bottom w:val="single" w:sz="4" w:space="0" w:color="auto"/>
              <w:right w:val="single" w:sz="4" w:space="0" w:color="auto"/>
            </w:tcBorders>
            <w:shd w:val="clear" w:color="000000" w:fill="99CCFF"/>
            <w:vAlign w:val="center"/>
            <w:hideMark/>
          </w:tcPr>
          <w:p w14:paraId="4DACF06F"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Broj zamjenika/ savjetnika – stvarna prisutnost</w:t>
            </w:r>
          </w:p>
        </w:tc>
        <w:tc>
          <w:tcPr>
            <w:tcW w:w="1278" w:type="dxa"/>
            <w:tcBorders>
              <w:top w:val="single" w:sz="4" w:space="0" w:color="auto"/>
              <w:left w:val="nil"/>
              <w:bottom w:val="single" w:sz="4" w:space="0" w:color="auto"/>
              <w:right w:val="single" w:sz="4" w:space="0" w:color="auto"/>
            </w:tcBorders>
            <w:shd w:val="clear" w:color="000000" w:fill="99CCFF"/>
            <w:vAlign w:val="center"/>
            <w:hideMark/>
          </w:tcPr>
          <w:p w14:paraId="7E90B347"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Primljeno po zamjeniku/ savjetniku</w:t>
            </w:r>
          </w:p>
        </w:tc>
        <w:tc>
          <w:tcPr>
            <w:tcW w:w="1420" w:type="dxa"/>
            <w:tcBorders>
              <w:top w:val="single" w:sz="4" w:space="0" w:color="auto"/>
              <w:left w:val="nil"/>
              <w:bottom w:val="single" w:sz="4" w:space="0" w:color="auto"/>
              <w:right w:val="single" w:sz="4" w:space="0" w:color="auto"/>
            </w:tcBorders>
            <w:shd w:val="clear" w:color="000000" w:fill="99CCFF"/>
            <w:vAlign w:val="center"/>
            <w:hideMark/>
          </w:tcPr>
          <w:p w14:paraId="103AACA6"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Broj riješenih predmeta po zamjeniku/ savjetniku</w:t>
            </w:r>
          </w:p>
        </w:tc>
        <w:tc>
          <w:tcPr>
            <w:tcW w:w="1270" w:type="dxa"/>
            <w:tcBorders>
              <w:top w:val="single" w:sz="4" w:space="0" w:color="auto"/>
              <w:left w:val="nil"/>
              <w:bottom w:val="single" w:sz="4" w:space="0" w:color="auto"/>
              <w:right w:val="single" w:sz="4" w:space="0" w:color="auto"/>
            </w:tcBorders>
            <w:shd w:val="clear" w:color="000000" w:fill="99CCFF"/>
            <w:vAlign w:val="center"/>
            <w:hideMark/>
          </w:tcPr>
          <w:p w14:paraId="35FE078A"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Broj neriješenih predmeta po zamjeniku/ savjetniku</w:t>
            </w:r>
          </w:p>
        </w:tc>
      </w:tr>
      <w:tr w:rsidR="000740F7" w:rsidRPr="001B4CA2" w14:paraId="74920A1D" w14:textId="77777777" w:rsidTr="000169EF">
        <w:trPr>
          <w:trHeight w:val="244"/>
        </w:trPr>
        <w:tc>
          <w:tcPr>
            <w:tcW w:w="12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18EF"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ŽDO</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55447"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EFE43" w14:textId="77777777" w:rsidR="000740F7" w:rsidRPr="001B4CA2" w:rsidRDefault="000740F7" w:rsidP="006D0A51">
            <w:pPr>
              <w:jc w:val="center"/>
              <w:rPr>
                <w:color w:val="000000"/>
                <w:sz w:val="18"/>
                <w:szCs w:val="18"/>
              </w:rPr>
            </w:pPr>
            <w:r w:rsidRPr="001B4CA2">
              <w:rPr>
                <w:color w:val="000000"/>
                <w:sz w:val="18"/>
                <w:szCs w:val="18"/>
              </w:rPr>
              <w:t>102%</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D1B58" w14:textId="77777777" w:rsidR="000740F7" w:rsidRPr="001B4CA2" w:rsidRDefault="000740F7" w:rsidP="006D0A51">
            <w:pPr>
              <w:jc w:val="center"/>
              <w:rPr>
                <w:color w:val="000000"/>
                <w:sz w:val="18"/>
                <w:szCs w:val="18"/>
              </w:rPr>
            </w:pPr>
            <w:r w:rsidRPr="001B4CA2">
              <w:rPr>
                <w:color w:val="000000"/>
                <w:sz w:val="18"/>
                <w:szCs w:val="18"/>
              </w:rPr>
              <w:t>55,4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ED1FE" w14:textId="77777777" w:rsidR="000740F7" w:rsidRPr="001B4CA2" w:rsidRDefault="000740F7" w:rsidP="006D0A51">
            <w:pPr>
              <w:jc w:val="center"/>
              <w:rPr>
                <w:color w:val="000000"/>
                <w:sz w:val="18"/>
                <w:szCs w:val="18"/>
              </w:rPr>
            </w:pPr>
            <w:r w:rsidRPr="001B4CA2">
              <w:rPr>
                <w:color w:val="000000"/>
                <w:sz w:val="18"/>
                <w:szCs w:val="18"/>
              </w:rPr>
              <w:t>170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ABAA3" w14:textId="77777777" w:rsidR="000740F7" w:rsidRPr="001B4CA2" w:rsidRDefault="000740F7" w:rsidP="006D0A51">
            <w:pPr>
              <w:jc w:val="center"/>
              <w:rPr>
                <w:color w:val="000000"/>
                <w:sz w:val="18"/>
                <w:szCs w:val="18"/>
              </w:rPr>
            </w:pPr>
            <w:r w:rsidRPr="001B4CA2">
              <w:rPr>
                <w:color w:val="000000"/>
                <w:sz w:val="18"/>
                <w:szCs w:val="18"/>
              </w:rPr>
              <w:t>185,1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6F65A" w14:textId="77777777" w:rsidR="000740F7" w:rsidRPr="001B4CA2" w:rsidRDefault="000740F7" w:rsidP="006D0A51">
            <w:pPr>
              <w:jc w:val="center"/>
              <w:rPr>
                <w:color w:val="000000"/>
                <w:sz w:val="18"/>
                <w:szCs w:val="18"/>
              </w:rPr>
            </w:pPr>
            <w:r w:rsidRPr="001B4CA2">
              <w:rPr>
                <w:color w:val="000000"/>
                <w:sz w:val="18"/>
                <w:szCs w:val="18"/>
              </w:rPr>
              <w:t>188,5</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5AD32" w14:textId="77777777" w:rsidR="000740F7" w:rsidRPr="001B4CA2" w:rsidRDefault="000740F7" w:rsidP="006D0A51">
            <w:pPr>
              <w:jc w:val="center"/>
              <w:rPr>
                <w:color w:val="000000"/>
                <w:sz w:val="18"/>
                <w:szCs w:val="18"/>
              </w:rPr>
            </w:pPr>
            <w:r w:rsidRPr="001B4CA2">
              <w:rPr>
                <w:color w:val="000000"/>
                <w:sz w:val="18"/>
                <w:szCs w:val="18"/>
              </w:rPr>
              <w:t>28,6</w:t>
            </w:r>
          </w:p>
        </w:tc>
      </w:tr>
      <w:tr w:rsidR="000740F7" w:rsidRPr="001B4CA2" w14:paraId="4C94C5D2" w14:textId="77777777" w:rsidTr="000169EF">
        <w:trPr>
          <w:trHeight w:val="244"/>
        </w:trPr>
        <w:tc>
          <w:tcPr>
            <w:tcW w:w="1267" w:type="dxa"/>
            <w:vMerge/>
            <w:tcBorders>
              <w:top w:val="single" w:sz="4" w:space="0" w:color="auto"/>
              <w:left w:val="single" w:sz="4" w:space="0" w:color="auto"/>
              <w:bottom w:val="single" w:sz="4" w:space="0" w:color="auto"/>
              <w:right w:val="single" w:sz="4" w:space="0" w:color="auto"/>
            </w:tcBorders>
            <w:vAlign w:val="center"/>
            <w:hideMark/>
          </w:tcPr>
          <w:p w14:paraId="219AE829" w14:textId="77777777" w:rsidR="000740F7" w:rsidRPr="001B4CA2" w:rsidRDefault="000740F7" w:rsidP="006D0A51">
            <w:pPr>
              <w:jc w:val="left"/>
              <w:rPr>
                <w:rFonts w:eastAsia="Times New Roman"/>
                <w:sz w:val="18"/>
                <w:szCs w:val="18"/>
                <w:lang w:eastAsia="hr-HR"/>
              </w:rPr>
            </w:pP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92D68"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2019.</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FD7AF" w14:textId="77777777" w:rsidR="000740F7" w:rsidRPr="001B4CA2" w:rsidRDefault="000740F7" w:rsidP="006D0A51">
            <w:pPr>
              <w:jc w:val="center"/>
              <w:rPr>
                <w:color w:val="000000"/>
                <w:sz w:val="18"/>
                <w:szCs w:val="18"/>
              </w:rPr>
            </w:pPr>
            <w:r w:rsidRPr="001B4CA2">
              <w:rPr>
                <w:color w:val="000000"/>
                <w:sz w:val="18"/>
                <w:szCs w:val="18"/>
              </w:rPr>
              <w:t>103%</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21371" w14:textId="77777777" w:rsidR="000740F7" w:rsidRPr="001B4CA2" w:rsidRDefault="000740F7" w:rsidP="006D0A51">
            <w:pPr>
              <w:jc w:val="center"/>
              <w:rPr>
                <w:color w:val="000000"/>
                <w:sz w:val="18"/>
                <w:szCs w:val="18"/>
              </w:rPr>
            </w:pPr>
            <w:r w:rsidRPr="001B4CA2">
              <w:rPr>
                <w:color w:val="000000"/>
                <w:sz w:val="18"/>
                <w:szCs w:val="18"/>
              </w:rPr>
              <w:t>41,3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098BC" w14:textId="77777777" w:rsidR="000740F7" w:rsidRPr="001B4CA2" w:rsidRDefault="000740F7" w:rsidP="006D0A51">
            <w:pPr>
              <w:jc w:val="center"/>
              <w:rPr>
                <w:color w:val="000000"/>
                <w:sz w:val="18"/>
                <w:szCs w:val="18"/>
              </w:rPr>
            </w:pPr>
            <w:r w:rsidRPr="001B4CA2">
              <w:rPr>
                <w:color w:val="000000"/>
                <w:sz w:val="18"/>
                <w:szCs w:val="18"/>
              </w:rPr>
              <w:t>163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05777" w14:textId="77777777" w:rsidR="000740F7" w:rsidRPr="001B4CA2" w:rsidRDefault="000740F7" w:rsidP="006D0A51">
            <w:pPr>
              <w:jc w:val="center"/>
              <w:rPr>
                <w:color w:val="000000"/>
                <w:sz w:val="18"/>
                <w:szCs w:val="18"/>
              </w:rPr>
            </w:pPr>
            <w:r w:rsidRPr="001B4CA2">
              <w:rPr>
                <w:color w:val="000000"/>
                <w:sz w:val="18"/>
                <w:szCs w:val="18"/>
              </w:rPr>
              <w:t>193,7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82AAC" w14:textId="77777777" w:rsidR="000740F7" w:rsidRPr="001B4CA2" w:rsidRDefault="000740F7" w:rsidP="006D0A51">
            <w:pPr>
              <w:jc w:val="center"/>
              <w:rPr>
                <w:color w:val="000000"/>
                <w:sz w:val="18"/>
                <w:szCs w:val="18"/>
              </w:rPr>
            </w:pPr>
            <w:r w:rsidRPr="001B4CA2">
              <w:rPr>
                <w:color w:val="000000"/>
                <w:sz w:val="18"/>
                <w:szCs w:val="18"/>
              </w:rPr>
              <w:t>199,6</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9FC66" w14:textId="77777777" w:rsidR="000740F7" w:rsidRPr="001B4CA2" w:rsidRDefault="000740F7" w:rsidP="006D0A51">
            <w:pPr>
              <w:jc w:val="center"/>
              <w:rPr>
                <w:color w:val="000000"/>
                <w:sz w:val="18"/>
                <w:szCs w:val="18"/>
              </w:rPr>
            </w:pPr>
            <w:r w:rsidRPr="001B4CA2">
              <w:rPr>
                <w:color w:val="000000"/>
                <w:sz w:val="18"/>
                <w:szCs w:val="18"/>
              </w:rPr>
              <w:t>22,6</w:t>
            </w:r>
          </w:p>
        </w:tc>
      </w:tr>
      <w:tr w:rsidR="000740F7" w:rsidRPr="001B4CA2" w14:paraId="691BB17A" w14:textId="77777777" w:rsidTr="000169EF">
        <w:trPr>
          <w:trHeight w:val="244"/>
        </w:trPr>
        <w:tc>
          <w:tcPr>
            <w:tcW w:w="1267" w:type="dxa"/>
            <w:vMerge/>
            <w:tcBorders>
              <w:top w:val="single" w:sz="4" w:space="0" w:color="auto"/>
              <w:left w:val="single" w:sz="4" w:space="0" w:color="auto"/>
              <w:bottom w:val="single" w:sz="4" w:space="0" w:color="auto"/>
              <w:right w:val="single" w:sz="4" w:space="0" w:color="auto"/>
            </w:tcBorders>
            <w:vAlign w:val="center"/>
            <w:hideMark/>
          </w:tcPr>
          <w:p w14:paraId="0275F15E" w14:textId="77777777" w:rsidR="000740F7" w:rsidRPr="001B4CA2" w:rsidRDefault="000740F7" w:rsidP="006D0A51">
            <w:pPr>
              <w:jc w:val="left"/>
              <w:rPr>
                <w:rFonts w:eastAsia="Times New Roman"/>
                <w:sz w:val="18"/>
                <w:szCs w:val="18"/>
                <w:lang w:eastAsia="hr-HR"/>
              </w:rPr>
            </w:pP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96218"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4D603" w14:textId="77777777" w:rsidR="000740F7" w:rsidRPr="001B4CA2" w:rsidRDefault="000740F7" w:rsidP="006D0A51">
            <w:pPr>
              <w:jc w:val="center"/>
              <w:rPr>
                <w:color w:val="000000"/>
                <w:sz w:val="18"/>
                <w:szCs w:val="18"/>
              </w:rPr>
            </w:pPr>
            <w:r w:rsidRPr="001B4CA2">
              <w:rPr>
                <w:color w:val="000000"/>
                <w:sz w:val="18"/>
                <w:szCs w:val="18"/>
              </w:rPr>
              <w:t>99% </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310C5" w14:textId="77777777" w:rsidR="000740F7" w:rsidRPr="001B4CA2" w:rsidRDefault="000740F7" w:rsidP="006D0A51">
            <w:pPr>
              <w:jc w:val="center"/>
              <w:rPr>
                <w:color w:val="000000"/>
                <w:sz w:val="18"/>
                <w:szCs w:val="18"/>
              </w:rPr>
            </w:pPr>
            <w:r w:rsidRPr="001B4CA2">
              <w:rPr>
                <w:color w:val="000000"/>
                <w:sz w:val="18"/>
                <w:szCs w:val="18"/>
              </w:rPr>
              <w:t>45,4 </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7260B" w14:textId="77777777" w:rsidR="000740F7" w:rsidRPr="001B4CA2" w:rsidRDefault="000740F7" w:rsidP="006D0A51">
            <w:pPr>
              <w:jc w:val="center"/>
              <w:rPr>
                <w:color w:val="000000"/>
                <w:sz w:val="18"/>
                <w:szCs w:val="18"/>
              </w:rPr>
            </w:pPr>
            <w:r w:rsidRPr="001B4CA2">
              <w:rPr>
                <w:color w:val="000000"/>
                <w:sz w:val="18"/>
                <w:szCs w:val="18"/>
              </w:rPr>
              <w:t>159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B2A9E" w14:textId="77777777" w:rsidR="000740F7" w:rsidRPr="001B4CA2" w:rsidRDefault="000740F7" w:rsidP="006D0A51">
            <w:pPr>
              <w:jc w:val="center"/>
              <w:rPr>
                <w:color w:val="000000"/>
                <w:sz w:val="18"/>
                <w:szCs w:val="18"/>
              </w:rPr>
            </w:pPr>
            <w:r w:rsidRPr="001B4CA2">
              <w:rPr>
                <w:color w:val="000000"/>
                <w:sz w:val="18"/>
                <w:szCs w:val="18"/>
              </w:rPr>
              <w:t>201,1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ED932" w14:textId="77777777" w:rsidR="000740F7" w:rsidRPr="001B4CA2" w:rsidRDefault="000740F7" w:rsidP="006D0A51">
            <w:pPr>
              <w:jc w:val="center"/>
              <w:rPr>
                <w:color w:val="000000"/>
                <w:sz w:val="18"/>
                <w:szCs w:val="18"/>
              </w:rPr>
            </w:pPr>
            <w:r w:rsidRPr="001B4CA2">
              <w:rPr>
                <w:color w:val="000000"/>
                <w:sz w:val="18"/>
                <w:szCs w:val="18"/>
              </w:rPr>
              <w:t>199,6</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F3F4A" w14:textId="77777777" w:rsidR="000740F7" w:rsidRPr="001B4CA2" w:rsidRDefault="000740F7" w:rsidP="006D0A51">
            <w:pPr>
              <w:jc w:val="center"/>
              <w:rPr>
                <w:color w:val="000000"/>
                <w:sz w:val="18"/>
                <w:szCs w:val="18"/>
              </w:rPr>
            </w:pPr>
            <w:r w:rsidRPr="001B4CA2">
              <w:rPr>
                <w:color w:val="000000"/>
                <w:sz w:val="18"/>
                <w:szCs w:val="18"/>
              </w:rPr>
              <w:t>24,8</w:t>
            </w:r>
          </w:p>
        </w:tc>
      </w:tr>
      <w:tr w:rsidR="000740F7" w:rsidRPr="001B4CA2" w14:paraId="284B87B0" w14:textId="77777777" w:rsidTr="000169EF">
        <w:trPr>
          <w:trHeight w:val="244"/>
        </w:trPr>
        <w:tc>
          <w:tcPr>
            <w:tcW w:w="1267" w:type="dxa"/>
            <w:vMerge/>
            <w:tcBorders>
              <w:top w:val="single" w:sz="4" w:space="0" w:color="auto"/>
              <w:left w:val="single" w:sz="4" w:space="0" w:color="auto"/>
              <w:bottom w:val="single" w:sz="4" w:space="0" w:color="auto"/>
              <w:right w:val="single" w:sz="4" w:space="0" w:color="auto"/>
            </w:tcBorders>
            <w:vAlign w:val="center"/>
            <w:hideMark/>
          </w:tcPr>
          <w:p w14:paraId="66748CFB" w14:textId="77777777" w:rsidR="000740F7" w:rsidRPr="001B4CA2" w:rsidRDefault="000740F7" w:rsidP="006D0A51">
            <w:pPr>
              <w:jc w:val="left"/>
              <w:rPr>
                <w:rFonts w:eastAsia="Times New Roman"/>
                <w:sz w:val="18"/>
                <w:szCs w:val="18"/>
                <w:lang w:eastAsia="hr-HR"/>
              </w:rPr>
            </w:pP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15619"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0B98C" w14:textId="77777777" w:rsidR="000740F7" w:rsidRPr="001B4CA2" w:rsidRDefault="000740F7" w:rsidP="006D0A51">
            <w:pPr>
              <w:jc w:val="center"/>
              <w:rPr>
                <w:color w:val="000000"/>
                <w:sz w:val="18"/>
                <w:szCs w:val="18"/>
              </w:rPr>
            </w:pPr>
            <w:r w:rsidRPr="001B4CA2">
              <w:rPr>
                <w:color w:val="000000"/>
                <w:sz w:val="18"/>
                <w:szCs w:val="18"/>
              </w:rPr>
              <w:t>100%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B2019" w14:textId="77777777" w:rsidR="000740F7" w:rsidRPr="001B4CA2" w:rsidRDefault="000740F7" w:rsidP="006D0A51">
            <w:pPr>
              <w:jc w:val="center"/>
              <w:rPr>
                <w:color w:val="000000"/>
                <w:sz w:val="18"/>
                <w:szCs w:val="18"/>
              </w:rPr>
            </w:pPr>
            <w:r w:rsidRPr="001B4CA2">
              <w:rPr>
                <w:color w:val="000000"/>
                <w:sz w:val="18"/>
                <w:szCs w:val="18"/>
              </w:rPr>
              <w:t>39,4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B632E" w14:textId="77777777" w:rsidR="000740F7" w:rsidRPr="001B4CA2" w:rsidRDefault="000740F7" w:rsidP="006D0A51">
            <w:pPr>
              <w:jc w:val="center"/>
              <w:rPr>
                <w:color w:val="000000"/>
                <w:sz w:val="18"/>
                <w:szCs w:val="18"/>
              </w:rPr>
            </w:pPr>
            <w:r w:rsidRPr="001B4CA2">
              <w:rPr>
                <w:color w:val="000000"/>
                <w:sz w:val="18"/>
                <w:szCs w:val="18"/>
              </w:rPr>
              <w:t>164,7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8BE8B" w14:textId="77777777" w:rsidR="000740F7" w:rsidRPr="001B4CA2" w:rsidRDefault="000740F7" w:rsidP="006D0A51">
            <w:pPr>
              <w:jc w:val="center"/>
              <w:rPr>
                <w:color w:val="000000"/>
                <w:sz w:val="18"/>
                <w:szCs w:val="18"/>
              </w:rPr>
            </w:pPr>
            <w:r w:rsidRPr="001B4CA2">
              <w:rPr>
                <w:color w:val="000000"/>
                <w:sz w:val="18"/>
                <w:szCs w:val="18"/>
              </w:rPr>
              <w:t>211,3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2A460" w14:textId="77777777" w:rsidR="000740F7" w:rsidRPr="001B4CA2" w:rsidRDefault="000740F7" w:rsidP="006D0A51">
            <w:pPr>
              <w:jc w:val="center"/>
              <w:rPr>
                <w:color w:val="000000"/>
                <w:sz w:val="18"/>
                <w:szCs w:val="18"/>
              </w:rPr>
            </w:pPr>
            <w:r w:rsidRPr="001B4CA2">
              <w:rPr>
                <w:color w:val="000000"/>
                <w:sz w:val="18"/>
                <w:szCs w:val="18"/>
              </w:rPr>
              <w:t>212,0</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8D475" w14:textId="77777777" w:rsidR="000740F7" w:rsidRPr="001B4CA2" w:rsidRDefault="000740F7" w:rsidP="006D0A51">
            <w:pPr>
              <w:jc w:val="center"/>
              <w:rPr>
                <w:color w:val="000000"/>
                <w:sz w:val="18"/>
                <w:szCs w:val="18"/>
              </w:rPr>
            </w:pPr>
            <w:r w:rsidRPr="001B4CA2">
              <w:rPr>
                <w:color w:val="000000"/>
                <w:sz w:val="18"/>
                <w:szCs w:val="18"/>
              </w:rPr>
              <w:t>22,9</w:t>
            </w:r>
          </w:p>
        </w:tc>
      </w:tr>
      <w:tr w:rsidR="000740F7" w:rsidRPr="001B4CA2" w14:paraId="2AB77D83" w14:textId="77777777" w:rsidTr="000169EF">
        <w:trPr>
          <w:trHeight w:val="244"/>
        </w:trPr>
        <w:tc>
          <w:tcPr>
            <w:tcW w:w="1267" w:type="dxa"/>
            <w:vMerge/>
            <w:tcBorders>
              <w:top w:val="single" w:sz="4" w:space="0" w:color="auto"/>
              <w:left w:val="single" w:sz="4" w:space="0" w:color="auto"/>
              <w:bottom w:val="single" w:sz="4" w:space="0" w:color="auto"/>
              <w:right w:val="single" w:sz="4" w:space="0" w:color="auto"/>
            </w:tcBorders>
            <w:vAlign w:val="center"/>
            <w:hideMark/>
          </w:tcPr>
          <w:p w14:paraId="74A13616" w14:textId="77777777" w:rsidR="000740F7" w:rsidRPr="001B4CA2" w:rsidRDefault="000740F7" w:rsidP="006D0A51">
            <w:pPr>
              <w:jc w:val="left"/>
              <w:rPr>
                <w:rFonts w:eastAsia="Times New Roman"/>
                <w:sz w:val="18"/>
                <w:szCs w:val="18"/>
                <w:lang w:eastAsia="hr-HR"/>
              </w:rPr>
            </w:pP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4F150" w14:textId="77777777" w:rsidR="000740F7" w:rsidRPr="001B4CA2" w:rsidRDefault="000740F7" w:rsidP="006D0A51">
            <w:pPr>
              <w:jc w:val="center"/>
              <w:rPr>
                <w:rFonts w:eastAsia="Times New Roman"/>
                <w:sz w:val="18"/>
                <w:szCs w:val="18"/>
                <w:lang w:eastAsia="hr-HR"/>
              </w:rPr>
            </w:pPr>
            <w:r w:rsidRPr="001B4CA2">
              <w:rPr>
                <w:rFonts w:eastAsia="Times New Roman"/>
                <w:sz w:val="18"/>
                <w:szCs w:val="18"/>
                <w:lang w:eastAsia="hr-HR"/>
              </w:rPr>
              <w:t>2022.</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A65B3" w14:textId="77777777" w:rsidR="000740F7" w:rsidRPr="001B4CA2" w:rsidRDefault="000740F7" w:rsidP="006D0A51">
            <w:pPr>
              <w:jc w:val="center"/>
              <w:rPr>
                <w:color w:val="000000"/>
                <w:sz w:val="18"/>
                <w:szCs w:val="18"/>
              </w:rPr>
            </w:pPr>
            <w:r w:rsidRPr="001B4CA2">
              <w:rPr>
                <w:color w:val="000000"/>
                <w:sz w:val="18"/>
                <w:szCs w:val="18"/>
              </w:rPr>
              <w:t>101%</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C637D" w14:textId="77777777" w:rsidR="000740F7" w:rsidRPr="001B4CA2" w:rsidRDefault="000740F7" w:rsidP="006D0A51">
            <w:pPr>
              <w:jc w:val="center"/>
              <w:rPr>
                <w:color w:val="000000"/>
                <w:sz w:val="18"/>
                <w:szCs w:val="18"/>
              </w:rPr>
            </w:pPr>
            <w:r w:rsidRPr="001B4CA2">
              <w:rPr>
                <w:color w:val="000000"/>
                <w:sz w:val="18"/>
                <w:szCs w:val="18"/>
              </w:rPr>
              <w:t>38,3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759F" w14:textId="77777777" w:rsidR="000740F7" w:rsidRPr="001B4CA2" w:rsidRDefault="000740F7" w:rsidP="006D0A51">
            <w:pPr>
              <w:jc w:val="center"/>
              <w:rPr>
                <w:color w:val="000000"/>
                <w:sz w:val="18"/>
                <w:szCs w:val="18"/>
              </w:rPr>
            </w:pPr>
            <w:r w:rsidRPr="001B4CA2">
              <w:rPr>
                <w:color w:val="000000"/>
                <w:sz w:val="18"/>
                <w:szCs w:val="18"/>
              </w:rPr>
              <w:t>173,8</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A2BFB" w14:textId="77777777" w:rsidR="000740F7" w:rsidRPr="001B4CA2" w:rsidRDefault="000740F7" w:rsidP="006D0A51">
            <w:pPr>
              <w:jc w:val="center"/>
              <w:rPr>
                <w:color w:val="000000"/>
                <w:sz w:val="18"/>
                <w:szCs w:val="18"/>
              </w:rPr>
            </w:pPr>
            <w:r w:rsidRPr="001B4CA2">
              <w:rPr>
                <w:color w:val="000000"/>
                <w:sz w:val="18"/>
                <w:szCs w:val="18"/>
              </w:rPr>
              <w:t>196,9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60025" w14:textId="77777777" w:rsidR="000740F7" w:rsidRPr="001B4CA2" w:rsidRDefault="000740F7" w:rsidP="006D0A51">
            <w:pPr>
              <w:jc w:val="center"/>
              <w:rPr>
                <w:color w:val="000000"/>
                <w:sz w:val="18"/>
                <w:szCs w:val="18"/>
              </w:rPr>
            </w:pPr>
            <w:r w:rsidRPr="001B4CA2">
              <w:rPr>
                <w:color w:val="000000"/>
                <w:sz w:val="18"/>
                <w:szCs w:val="18"/>
              </w:rPr>
              <w:t>198,3</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05B9E" w14:textId="77777777" w:rsidR="000740F7" w:rsidRPr="001B4CA2" w:rsidRDefault="000740F7" w:rsidP="006D0A51">
            <w:pPr>
              <w:jc w:val="center"/>
              <w:rPr>
                <w:color w:val="000000"/>
                <w:sz w:val="18"/>
                <w:szCs w:val="18"/>
              </w:rPr>
            </w:pPr>
            <w:r w:rsidRPr="001B4CA2">
              <w:rPr>
                <w:color w:val="000000"/>
                <w:sz w:val="18"/>
                <w:szCs w:val="18"/>
              </w:rPr>
              <w:t>20,8</w:t>
            </w:r>
          </w:p>
        </w:tc>
      </w:tr>
    </w:tbl>
    <w:p w14:paraId="5C56DE82" w14:textId="77777777" w:rsidR="000740F7" w:rsidRPr="001B4CA2" w:rsidRDefault="000740F7" w:rsidP="000740F7"/>
    <w:p w14:paraId="0BA30BDA" w14:textId="1592A5FE" w:rsidR="000740F7" w:rsidRPr="001B4CA2" w:rsidRDefault="000740F7" w:rsidP="000740F7">
      <w:pPr>
        <w:ind w:firstLine="708"/>
      </w:pPr>
      <w:r w:rsidRPr="001B4CA2">
        <w:t>U 2022. godini stopa ažurnosti na razini županijskih državnih odvjetništava s prošlogodišnjih je 100 % poboljšana i iznosi 101 %. Broj neriješenih predmeta dodatno</w:t>
      </w:r>
      <w:r w:rsidR="001B4CA2">
        <w:t xml:space="preserve"> </w:t>
      </w:r>
      <w:r w:rsidRPr="001B4CA2">
        <w:t>se smanjio.</w:t>
      </w:r>
    </w:p>
    <w:p w14:paraId="22445294" w14:textId="77777777" w:rsidR="003F312F" w:rsidRPr="001B4CA2" w:rsidRDefault="003F312F" w:rsidP="00837BBA"/>
    <w:p w14:paraId="242EEAF8" w14:textId="7D393A30" w:rsidR="00BB4D48" w:rsidRPr="001B4CA2" w:rsidRDefault="00BB4D48" w:rsidP="00095F08">
      <w:pPr>
        <w:pStyle w:val="Naslov3"/>
        <w:rPr>
          <w:rFonts w:ascii="Arial" w:hAnsi="Arial" w:cs="Arial"/>
        </w:rPr>
      </w:pPr>
      <w:bookmarkStart w:id="16" w:name="_Toc133394280"/>
      <w:r w:rsidRPr="001B4CA2">
        <w:rPr>
          <w:rFonts w:ascii="Arial" w:hAnsi="Arial" w:cs="Arial"/>
        </w:rPr>
        <w:t>P</w:t>
      </w:r>
      <w:r w:rsidR="00D80F32" w:rsidRPr="001B4CA2">
        <w:rPr>
          <w:rFonts w:ascii="Arial" w:hAnsi="Arial" w:cs="Arial"/>
        </w:rPr>
        <w:t xml:space="preserve">regled kretanja predmeta za </w:t>
      </w:r>
      <w:r w:rsidR="00095F08" w:rsidRPr="001B4CA2">
        <w:rPr>
          <w:rFonts w:ascii="Arial" w:hAnsi="Arial" w:cs="Arial"/>
        </w:rPr>
        <w:t>202</w:t>
      </w:r>
      <w:r w:rsidR="000740F7" w:rsidRPr="001B4CA2">
        <w:rPr>
          <w:rFonts w:ascii="Arial" w:hAnsi="Arial" w:cs="Arial"/>
        </w:rPr>
        <w:t>2</w:t>
      </w:r>
      <w:r w:rsidRPr="001B4CA2">
        <w:rPr>
          <w:rFonts w:ascii="Arial" w:hAnsi="Arial" w:cs="Arial"/>
        </w:rPr>
        <w:t>. godinu s pokazateljima po vrstama pred</w:t>
      </w:r>
      <w:r w:rsidR="00197521" w:rsidRPr="001B4CA2">
        <w:rPr>
          <w:rFonts w:ascii="Arial" w:hAnsi="Arial" w:cs="Arial"/>
        </w:rPr>
        <w:t>meta</w:t>
      </w:r>
      <w:bookmarkEnd w:id="16"/>
    </w:p>
    <w:p w14:paraId="277004CA" w14:textId="77777777" w:rsidR="002E0A97" w:rsidRPr="001B4CA2" w:rsidRDefault="002E0A97" w:rsidP="00837BBA"/>
    <w:p w14:paraId="35361DC9" w14:textId="77777777" w:rsidR="000740F7" w:rsidRPr="001B4CA2" w:rsidRDefault="000740F7" w:rsidP="000740F7">
      <w:pPr>
        <w:ind w:left="142"/>
        <w:rPr>
          <w:i/>
        </w:rPr>
      </w:pPr>
      <w:r w:rsidRPr="001B4CA2">
        <w:rPr>
          <w:i/>
        </w:rPr>
        <w:t>Pregled kretanja predmeta županijskih državnih odvjetništava po vrstama predmeta s indikatorima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9"/>
        <w:gridCol w:w="992"/>
        <w:gridCol w:w="908"/>
        <w:gridCol w:w="873"/>
        <w:gridCol w:w="724"/>
        <w:gridCol w:w="862"/>
      </w:tblGrid>
      <w:tr w:rsidR="000740F7" w:rsidRPr="001B4CA2" w14:paraId="620B81F5" w14:textId="77777777" w:rsidTr="006D0A51">
        <w:trPr>
          <w:trHeight w:val="577"/>
        </w:trPr>
        <w:tc>
          <w:tcPr>
            <w:tcW w:w="2653" w:type="pct"/>
            <w:vMerge w:val="restart"/>
            <w:shd w:val="clear" w:color="auto" w:fill="99CCFF"/>
            <w:noWrap/>
            <w:vAlign w:val="center"/>
            <w:hideMark/>
          </w:tcPr>
          <w:p w14:paraId="78217EB5"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Vrsta predmeta</w:t>
            </w:r>
          </w:p>
        </w:tc>
        <w:tc>
          <w:tcPr>
            <w:tcW w:w="1493" w:type="pct"/>
            <w:gridSpan w:val="3"/>
            <w:shd w:val="clear" w:color="auto" w:fill="99CCFF"/>
            <w:noWrap/>
            <w:vAlign w:val="center"/>
            <w:hideMark/>
          </w:tcPr>
          <w:p w14:paraId="3806EC07"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Kretanje predmeta u 2022. godini</w:t>
            </w:r>
          </w:p>
        </w:tc>
        <w:tc>
          <w:tcPr>
            <w:tcW w:w="390" w:type="pct"/>
            <w:vMerge w:val="restart"/>
            <w:shd w:val="clear" w:color="auto" w:fill="99CCFF"/>
            <w:noWrap/>
            <w:vAlign w:val="center"/>
            <w:hideMark/>
          </w:tcPr>
          <w:p w14:paraId="7C998F32"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464" w:type="pct"/>
            <w:vMerge w:val="restart"/>
            <w:shd w:val="clear" w:color="auto" w:fill="99CCFF"/>
            <w:noWrap/>
            <w:vAlign w:val="center"/>
            <w:hideMark/>
          </w:tcPr>
          <w:p w14:paraId="2A177C62" w14:textId="77777777" w:rsidR="000740F7" w:rsidRPr="001B4CA2" w:rsidRDefault="000740F7" w:rsidP="006D0A51">
            <w:pPr>
              <w:jc w:val="center"/>
              <w:rPr>
                <w:rFonts w:eastAsia="Times New Roman"/>
                <w:b/>
                <w:bCs/>
                <w:sz w:val="18"/>
                <w:szCs w:val="18"/>
                <w:lang w:eastAsia="hr-HR"/>
              </w:rPr>
            </w:pPr>
            <w:r w:rsidRPr="001B4CA2">
              <w:rPr>
                <w:rFonts w:eastAsia="Times New Roman"/>
                <w:b/>
                <w:bCs/>
                <w:sz w:val="18"/>
                <w:szCs w:val="18"/>
                <w:lang w:eastAsia="hr-HR"/>
              </w:rPr>
              <w:t>DT</w:t>
            </w:r>
          </w:p>
        </w:tc>
      </w:tr>
      <w:tr w:rsidR="000740F7" w:rsidRPr="001B4CA2" w14:paraId="1436860A" w14:textId="77777777" w:rsidTr="000169EF">
        <w:trPr>
          <w:cantSplit/>
          <w:trHeight w:val="1250"/>
        </w:trPr>
        <w:tc>
          <w:tcPr>
            <w:tcW w:w="2653" w:type="pct"/>
            <w:vMerge/>
            <w:vAlign w:val="center"/>
            <w:hideMark/>
          </w:tcPr>
          <w:p w14:paraId="6E858358" w14:textId="77777777" w:rsidR="000740F7" w:rsidRPr="001B4CA2" w:rsidRDefault="000740F7" w:rsidP="006D0A51">
            <w:pPr>
              <w:jc w:val="left"/>
              <w:rPr>
                <w:rFonts w:eastAsia="Times New Roman"/>
                <w:b/>
                <w:bCs/>
                <w:sz w:val="18"/>
                <w:szCs w:val="18"/>
                <w:lang w:eastAsia="hr-HR"/>
              </w:rPr>
            </w:pPr>
          </w:p>
        </w:tc>
        <w:tc>
          <w:tcPr>
            <w:tcW w:w="534" w:type="pct"/>
            <w:shd w:val="clear" w:color="auto" w:fill="99CCFF"/>
            <w:noWrap/>
            <w:textDirection w:val="btLr"/>
            <w:vAlign w:val="center"/>
            <w:hideMark/>
          </w:tcPr>
          <w:p w14:paraId="130CC407" w14:textId="77777777" w:rsidR="000740F7" w:rsidRPr="000169EF" w:rsidRDefault="000740F7" w:rsidP="006D0A51">
            <w:pPr>
              <w:ind w:left="113" w:right="113"/>
              <w:jc w:val="left"/>
              <w:rPr>
                <w:rFonts w:eastAsia="Times New Roman"/>
                <w:b/>
                <w:bCs/>
                <w:sz w:val="18"/>
                <w:szCs w:val="18"/>
                <w:lang w:eastAsia="hr-HR"/>
              </w:rPr>
            </w:pPr>
            <w:r w:rsidRPr="000169EF">
              <w:rPr>
                <w:rFonts w:eastAsia="Times New Roman"/>
                <w:b/>
                <w:bCs/>
                <w:sz w:val="18"/>
                <w:szCs w:val="18"/>
                <w:lang w:eastAsia="hr-HR"/>
              </w:rPr>
              <w:t>Primljeno</w:t>
            </w:r>
          </w:p>
        </w:tc>
        <w:tc>
          <w:tcPr>
            <w:tcW w:w="489" w:type="pct"/>
            <w:shd w:val="clear" w:color="auto" w:fill="99CCFF"/>
            <w:noWrap/>
            <w:textDirection w:val="btLr"/>
            <w:vAlign w:val="center"/>
            <w:hideMark/>
          </w:tcPr>
          <w:p w14:paraId="6BC8FA29" w14:textId="77777777" w:rsidR="000740F7" w:rsidRPr="000169EF" w:rsidRDefault="000740F7" w:rsidP="006D0A51">
            <w:pPr>
              <w:ind w:left="113" w:right="113"/>
              <w:jc w:val="left"/>
              <w:rPr>
                <w:rFonts w:eastAsia="Times New Roman"/>
                <w:b/>
                <w:bCs/>
                <w:sz w:val="18"/>
                <w:szCs w:val="18"/>
                <w:lang w:eastAsia="hr-HR"/>
              </w:rPr>
            </w:pPr>
            <w:r w:rsidRPr="000169EF">
              <w:rPr>
                <w:rFonts w:eastAsia="Times New Roman"/>
                <w:b/>
                <w:bCs/>
                <w:sz w:val="18"/>
                <w:szCs w:val="18"/>
                <w:lang w:eastAsia="hr-HR"/>
              </w:rPr>
              <w:t>Riješeno</w:t>
            </w:r>
          </w:p>
        </w:tc>
        <w:tc>
          <w:tcPr>
            <w:tcW w:w="470" w:type="pct"/>
            <w:shd w:val="clear" w:color="auto" w:fill="99CCFF"/>
            <w:noWrap/>
            <w:textDirection w:val="btLr"/>
            <w:vAlign w:val="center"/>
            <w:hideMark/>
          </w:tcPr>
          <w:p w14:paraId="1831EAE3" w14:textId="77777777" w:rsidR="000740F7" w:rsidRPr="000169EF" w:rsidRDefault="000740F7" w:rsidP="006D0A51">
            <w:pPr>
              <w:ind w:left="113" w:right="113"/>
              <w:jc w:val="left"/>
              <w:rPr>
                <w:rFonts w:eastAsia="Times New Roman"/>
                <w:b/>
                <w:bCs/>
                <w:sz w:val="18"/>
                <w:szCs w:val="18"/>
                <w:lang w:eastAsia="hr-HR"/>
              </w:rPr>
            </w:pPr>
            <w:r w:rsidRPr="000169EF">
              <w:rPr>
                <w:rFonts w:eastAsia="Times New Roman"/>
                <w:b/>
                <w:bCs/>
                <w:sz w:val="18"/>
                <w:szCs w:val="18"/>
                <w:lang w:eastAsia="hr-HR"/>
              </w:rPr>
              <w:t>Neriješeno</w:t>
            </w:r>
          </w:p>
        </w:tc>
        <w:tc>
          <w:tcPr>
            <w:tcW w:w="390" w:type="pct"/>
            <w:vMerge/>
            <w:vAlign w:val="center"/>
            <w:hideMark/>
          </w:tcPr>
          <w:p w14:paraId="4E0CC0D5" w14:textId="77777777" w:rsidR="000740F7" w:rsidRPr="001B4CA2" w:rsidRDefault="000740F7" w:rsidP="006D0A51">
            <w:pPr>
              <w:jc w:val="left"/>
              <w:rPr>
                <w:rFonts w:eastAsia="Times New Roman"/>
                <w:b/>
                <w:bCs/>
                <w:sz w:val="20"/>
                <w:szCs w:val="20"/>
                <w:lang w:eastAsia="hr-HR"/>
              </w:rPr>
            </w:pPr>
          </w:p>
        </w:tc>
        <w:tc>
          <w:tcPr>
            <w:tcW w:w="464" w:type="pct"/>
            <w:vMerge/>
            <w:vAlign w:val="center"/>
            <w:hideMark/>
          </w:tcPr>
          <w:p w14:paraId="5A4E9853" w14:textId="77777777" w:rsidR="000740F7" w:rsidRPr="001B4CA2" w:rsidRDefault="000740F7" w:rsidP="006D0A51">
            <w:pPr>
              <w:jc w:val="left"/>
              <w:rPr>
                <w:rFonts w:eastAsia="Times New Roman"/>
                <w:b/>
                <w:bCs/>
                <w:sz w:val="20"/>
                <w:szCs w:val="20"/>
                <w:lang w:eastAsia="hr-HR"/>
              </w:rPr>
            </w:pPr>
          </w:p>
        </w:tc>
      </w:tr>
      <w:tr w:rsidR="000740F7" w:rsidRPr="001B4CA2" w14:paraId="27F57967" w14:textId="77777777" w:rsidTr="006D0A51">
        <w:trPr>
          <w:trHeight w:val="291"/>
        </w:trPr>
        <w:tc>
          <w:tcPr>
            <w:tcW w:w="5000" w:type="pct"/>
            <w:gridSpan w:val="6"/>
            <w:shd w:val="clear" w:color="auto" w:fill="auto"/>
            <w:noWrap/>
            <w:vAlign w:val="center"/>
            <w:hideMark/>
          </w:tcPr>
          <w:p w14:paraId="0AC0F7F7" w14:textId="77777777" w:rsidR="000740F7" w:rsidRPr="001B4CA2" w:rsidRDefault="000740F7" w:rsidP="006D0A51">
            <w:pPr>
              <w:jc w:val="left"/>
              <w:rPr>
                <w:rFonts w:eastAsia="Times New Roman"/>
                <w:b/>
                <w:bCs/>
                <w:sz w:val="18"/>
                <w:szCs w:val="18"/>
                <w:lang w:eastAsia="hr-HR"/>
              </w:rPr>
            </w:pPr>
            <w:r w:rsidRPr="001B4CA2">
              <w:rPr>
                <w:rFonts w:eastAsia="Times New Roman"/>
                <w:b/>
                <w:bCs/>
                <w:sz w:val="18"/>
                <w:szCs w:val="18"/>
                <w:lang w:eastAsia="hr-HR"/>
              </w:rPr>
              <w:t>Kazneni predmeti</w:t>
            </w:r>
          </w:p>
        </w:tc>
      </w:tr>
      <w:tr w:rsidR="000740F7" w:rsidRPr="001B4CA2" w14:paraId="1CB1BF60" w14:textId="77777777" w:rsidTr="006D0A51">
        <w:trPr>
          <w:trHeight w:val="560"/>
        </w:trPr>
        <w:tc>
          <w:tcPr>
            <w:tcW w:w="2653" w:type="pct"/>
            <w:shd w:val="clear" w:color="auto" w:fill="auto"/>
            <w:noWrap/>
            <w:vAlign w:val="center"/>
            <w:hideMark/>
          </w:tcPr>
          <w:p w14:paraId="0F3F2084"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 xml:space="preserve">Upisnici kaznenih prijava (KP-DO, </w:t>
            </w:r>
            <w:proofErr w:type="spellStart"/>
            <w:r w:rsidRPr="001B4CA2">
              <w:rPr>
                <w:rFonts w:eastAsia="Times New Roman"/>
                <w:sz w:val="18"/>
                <w:szCs w:val="18"/>
                <w:lang w:eastAsia="hr-HR"/>
              </w:rPr>
              <w:t>KPmp</w:t>
            </w:r>
            <w:proofErr w:type="spellEnd"/>
            <w:r w:rsidRPr="001B4CA2">
              <w:rPr>
                <w:rFonts w:eastAsia="Times New Roman"/>
                <w:sz w:val="18"/>
                <w:szCs w:val="18"/>
                <w:lang w:eastAsia="hr-HR"/>
              </w:rPr>
              <w:t xml:space="preserve">-DO, </w:t>
            </w:r>
            <w:proofErr w:type="spellStart"/>
            <w:r w:rsidRPr="001B4CA2">
              <w:rPr>
                <w:rFonts w:eastAsia="Times New Roman"/>
                <w:sz w:val="18"/>
                <w:szCs w:val="18"/>
                <w:lang w:eastAsia="hr-HR"/>
              </w:rPr>
              <w:t>KPm</w:t>
            </w:r>
            <w:proofErr w:type="spellEnd"/>
            <w:r w:rsidRPr="001B4CA2">
              <w:rPr>
                <w:rFonts w:eastAsia="Times New Roman"/>
                <w:sz w:val="18"/>
                <w:szCs w:val="18"/>
                <w:lang w:eastAsia="hr-HR"/>
              </w:rPr>
              <w:t xml:space="preserve">-DO, </w:t>
            </w:r>
            <w:proofErr w:type="spellStart"/>
            <w:r w:rsidRPr="001B4CA2">
              <w:rPr>
                <w:rFonts w:eastAsia="Times New Roman"/>
                <w:sz w:val="18"/>
                <w:szCs w:val="18"/>
                <w:lang w:eastAsia="hr-HR"/>
              </w:rPr>
              <w:t>KPz</w:t>
            </w:r>
            <w:proofErr w:type="spellEnd"/>
            <w:r w:rsidRPr="001B4CA2">
              <w:rPr>
                <w:rFonts w:eastAsia="Times New Roman"/>
                <w:sz w:val="18"/>
                <w:szCs w:val="18"/>
                <w:lang w:eastAsia="hr-HR"/>
              </w:rPr>
              <w:t xml:space="preserve">-DO, </w:t>
            </w:r>
            <w:proofErr w:type="spellStart"/>
            <w:r w:rsidRPr="001B4CA2">
              <w:rPr>
                <w:rFonts w:eastAsia="Times New Roman"/>
                <w:sz w:val="18"/>
                <w:szCs w:val="18"/>
                <w:lang w:eastAsia="hr-HR"/>
              </w:rPr>
              <w:t>KPn</w:t>
            </w:r>
            <w:proofErr w:type="spellEnd"/>
            <w:r w:rsidRPr="001B4CA2">
              <w:rPr>
                <w:rFonts w:eastAsia="Times New Roman"/>
                <w:sz w:val="18"/>
                <w:szCs w:val="18"/>
                <w:lang w:eastAsia="hr-HR"/>
              </w:rPr>
              <w:t>-DO)</w:t>
            </w:r>
          </w:p>
        </w:tc>
        <w:tc>
          <w:tcPr>
            <w:tcW w:w="534" w:type="pct"/>
            <w:shd w:val="clear" w:color="auto" w:fill="auto"/>
            <w:noWrap/>
            <w:vAlign w:val="center"/>
          </w:tcPr>
          <w:p w14:paraId="03CF0EFF" w14:textId="77777777" w:rsidR="000740F7" w:rsidRPr="000169EF" w:rsidRDefault="000740F7" w:rsidP="006D0A51">
            <w:pPr>
              <w:jc w:val="center"/>
              <w:rPr>
                <w:color w:val="000000"/>
                <w:sz w:val="18"/>
                <w:szCs w:val="18"/>
              </w:rPr>
            </w:pPr>
            <w:r w:rsidRPr="000169EF">
              <w:rPr>
                <w:color w:val="000000"/>
                <w:sz w:val="18"/>
                <w:szCs w:val="18"/>
              </w:rPr>
              <w:t>1.355</w:t>
            </w:r>
          </w:p>
        </w:tc>
        <w:tc>
          <w:tcPr>
            <w:tcW w:w="489" w:type="pct"/>
            <w:shd w:val="clear" w:color="auto" w:fill="auto"/>
            <w:noWrap/>
            <w:vAlign w:val="center"/>
          </w:tcPr>
          <w:p w14:paraId="397EF21A" w14:textId="77777777" w:rsidR="000740F7" w:rsidRPr="000169EF" w:rsidRDefault="000740F7" w:rsidP="006D0A51">
            <w:pPr>
              <w:jc w:val="center"/>
              <w:rPr>
                <w:color w:val="000000"/>
                <w:sz w:val="18"/>
                <w:szCs w:val="18"/>
              </w:rPr>
            </w:pPr>
            <w:r w:rsidRPr="000169EF">
              <w:rPr>
                <w:color w:val="000000"/>
                <w:sz w:val="18"/>
                <w:szCs w:val="18"/>
              </w:rPr>
              <w:t>1.346</w:t>
            </w:r>
          </w:p>
        </w:tc>
        <w:tc>
          <w:tcPr>
            <w:tcW w:w="470" w:type="pct"/>
            <w:shd w:val="clear" w:color="auto" w:fill="auto"/>
            <w:noWrap/>
            <w:vAlign w:val="center"/>
          </w:tcPr>
          <w:p w14:paraId="561AA264" w14:textId="77777777" w:rsidR="000740F7" w:rsidRPr="000169EF" w:rsidRDefault="000740F7" w:rsidP="006D0A51">
            <w:pPr>
              <w:jc w:val="center"/>
              <w:rPr>
                <w:color w:val="000000"/>
                <w:sz w:val="18"/>
                <w:szCs w:val="18"/>
              </w:rPr>
            </w:pPr>
            <w:r w:rsidRPr="000169EF">
              <w:rPr>
                <w:color w:val="000000"/>
                <w:sz w:val="18"/>
                <w:szCs w:val="18"/>
              </w:rPr>
              <w:t>1.080</w:t>
            </w:r>
          </w:p>
        </w:tc>
        <w:tc>
          <w:tcPr>
            <w:tcW w:w="390" w:type="pct"/>
            <w:shd w:val="clear" w:color="auto" w:fill="auto"/>
            <w:noWrap/>
            <w:vAlign w:val="center"/>
          </w:tcPr>
          <w:p w14:paraId="56D4B317" w14:textId="77777777" w:rsidR="000740F7" w:rsidRPr="000169EF" w:rsidRDefault="000740F7" w:rsidP="006D0A51">
            <w:pPr>
              <w:jc w:val="center"/>
              <w:rPr>
                <w:color w:val="000000"/>
                <w:sz w:val="18"/>
                <w:szCs w:val="18"/>
              </w:rPr>
            </w:pPr>
            <w:r w:rsidRPr="000169EF">
              <w:rPr>
                <w:color w:val="000000"/>
                <w:sz w:val="18"/>
                <w:szCs w:val="18"/>
              </w:rPr>
              <w:t>99%</w:t>
            </w:r>
          </w:p>
        </w:tc>
        <w:tc>
          <w:tcPr>
            <w:tcW w:w="464" w:type="pct"/>
            <w:shd w:val="clear" w:color="auto" w:fill="auto"/>
            <w:noWrap/>
            <w:vAlign w:val="center"/>
          </w:tcPr>
          <w:p w14:paraId="38E74E40" w14:textId="77777777" w:rsidR="000740F7" w:rsidRPr="000169EF" w:rsidRDefault="000740F7" w:rsidP="006D0A51">
            <w:pPr>
              <w:jc w:val="center"/>
              <w:rPr>
                <w:color w:val="000000"/>
                <w:sz w:val="18"/>
                <w:szCs w:val="18"/>
              </w:rPr>
            </w:pPr>
            <w:r w:rsidRPr="000169EF">
              <w:rPr>
                <w:color w:val="000000"/>
                <w:sz w:val="18"/>
                <w:szCs w:val="18"/>
              </w:rPr>
              <w:t>292,9</w:t>
            </w:r>
          </w:p>
        </w:tc>
      </w:tr>
      <w:tr w:rsidR="000740F7" w:rsidRPr="001B4CA2" w14:paraId="18271696" w14:textId="77777777" w:rsidTr="006D0A51">
        <w:trPr>
          <w:trHeight w:val="566"/>
        </w:trPr>
        <w:tc>
          <w:tcPr>
            <w:tcW w:w="2653" w:type="pct"/>
            <w:shd w:val="clear" w:color="auto" w:fill="auto"/>
            <w:noWrap/>
            <w:vAlign w:val="center"/>
            <w:hideMark/>
          </w:tcPr>
          <w:p w14:paraId="6A077C58"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 xml:space="preserve">Upisnici istraga, pripremnih postupaka i istraživanja (Kis-DO, </w:t>
            </w:r>
            <w:proofErr w:type="spellStart"/>
            <w:r w:rsidRPr="001B4CA2">
              <w:rPr>
                <w:rFonts w:eastAsia="Times New Roman"/>
                <w:sz w:val="18"/>
                <w:szCs w:val="18"/>
                <w:lang w:eastAsia="hr-HR"/>
              </w:rPr>
              <w:t>Kpp</w:t>
            </w:r>
            <w:proofErr w:type="spellEnd"/>
            <w:r w:rsidRPr="001B4CA2">
              <w:rPr>
                <w:rFonts w:eastAsia="Times New Roman"/>
                <w:sz w:val="18"/>
                <w:szCs w:val="18"/>
                <w:lang w:eastAsia="hr-HR"/>
              </w:rPr>
              <w:t xml:space="preserve">-DO, </w:t>
            </w:r>
            <w:proofErr w:type="spellStart"/>
            <w:r w:rsidRPr="001B4CA2">
              <w:rPr>
                <w:rFonts w:eastAsia="Times New Roman"/>
                <w:sz w:val="18"/>
                <w:szCs w:val="18"/>
                <w:lang w:eastAsia="hr-HR"/>
              </w:rPr>
              <w:t>Kdr</w:t>
            </w:r>
            <w:proofErr w:type="spellEnd"/>
            <w:r w:rsidRPr="001B4CA2">
              <w:rPr>
                <w:rFonts w:eastAsia="Times New Roman"/>
                <w:sz w:val="18"/>
                <w:szCs w:val="18"/>
                <w:lang w:eastAsia="hr-HR"/>
              </w:rPr>
              <w:t>-DO)</w:t>
            </w:r>
          </w:p>
        </w:tc>
        <w:tc>
          <w:tcPr>
            <w:tcW w:w="534" w:type="pct"/>
            <w:shd w:val="clear" w:color="auto" w:fill="auto"/>
            <w:noWrap/>
            <w:vAlign w:val="center"/>
          </w:tcPr>
          <w:p w14:paraId="3C3A3E32" w14:textId="77777777" w:rsidR="000740F7" w:rsidRPr="000169EF" w:rsidRDefault="000740F7" w:rsidP="006D0A51">
            <w:pPr>
              <w:jc w:val="center"/>
              <w:rPr>
                <w:color w:val="000000"/>
                <w:sz w:val="18"/>
                <w:szCs w:val="18"/>
              </w:rPr>
            </w:pPr>
            <w:r w:rsidRPr="000169EF">
              <w:rPr>
                <w:color w:val="000000"/>
                <w:sz w:val="18"/>
                <w:szCs w:val="18"/>
              </w:rPr>
              <w:t>2.397</w:t>
            </w:r>
          </w:p>
        </w:tc>
        <w:tc>
          <w:tcPr>
            <w:tcW w:w="489" w:type="pct"/>
            <w:shd w:val="clear" w:color="auto" w:fill="auto"/>
            <w:noWrap/>
            <w:vAlign w:val="center"/>
          </w:tcPr>
          <w:p w14:paraId="2170D22B" w14:textId="77777777" w:rsidR="000740F7" w:rsidRPr="000169EF" w:rsidRDefault="000740F7" w:rsidP="006D0A51">
            <w:pPr>
              <w:jc w:val="center"/>
              <w:rPr>
                <w:color w:val="000000"/>
                <w:sz w:val="18"/>
                <w:szCs w:val="18"/>
              </w:rPr>
            </w:pPr>
            <w:r w:rsidRPr="000169EF">
              <w:rPr>
                <w:color w:val="000000"/>
                <w:sz w:val="18"/>
                <w:szCs w:val="18"/>
              </w:rPr>
              <w:t>2.408</w:t>
            </w:r>
          </w:p>
        </w:tc>
        <w:tc>
          <w:tcPr>
            <w:tcW w:w="470" w:type="pct"/>
            <w:shd w:val="clear" w:color="auto" w:fill="auto"/>
            <w:noWrap/>
            <w:vAlign w:val="center"/>
          </w:tcPr>
          <w:p w14:paraId="003B7279" w14:textId="77777777" w:rsidR="000740F7" w:rsidRPr="000169EF" w:rsidRDefault="000740F7" w:rsidP="006D0A51">
            <w:pPr>
              <w:jc w:val="center"/>
              <w:rPr>
                <w:color w:val="000000"/>
                <w:sz w:val="18"/>
                <w:szCs w:val="18"/>
              </w:rPr>
            </w:pPr>
            <w:r w:rsidRPr="000169EF">
              <w:rPr>
                <w:color w:val="000000"/>
                <w:sz w:val="18"/>
                <w:szCs w:val="18"/>
              </w:rPr>
              <w:t>351</w:t>
            </w:r>
          </w:p>
        </w:tc>
        <w:tc>
          <w:tcPr>
            <w:tcW w:w="390" w:type="pct"/>
            <w:shd w:val="clear" w:color="auto" w:fill="auto"/>
            <w:noWrap/>
            <w:vAlign w:val="center"/>
          </w:tcPr>
          <w:p w14:paraId="03A33DF0" w14:textId="77777777" w:rsidR="000740F7" w:rsidRPr="000169EF" w:rsidRDefault="000740F7" w:rsidP="006D0A51">
            <w:pPr>
              <w:jc w:val="center"/>
              <w:rPr>
                <w:color w:val="000000"/>
                <w:sz w:val="18"/>
                <w:szCs w:val="18"/>
              </w:rPr>
            </w:pPr>
            <w:r w:rsidRPr="000169EF">
              <w:rPr>
                <w:color w:val="000000"/>
                <w:sz w:val="18"/>
                <w:szCs w:val="18"/>
              </w:rPr>
              <w:t>100%</w:t>
            </w:r>
          </w:p>
        </w:tc>
        <w:tc>
          <w:tcPr>
            <w:tcW w:w="464" w:type="pct"/>
            <w:shd w:val="clear" w:color="auto" w:fill="auto"/>
            <w:noWrap/>
            <w:vAlign w:val="center"/>
          </w:tcPr>
          <w:p w14:paraId="288BD996" w14:textId="77777777" w:rsidR="000740F7" w:rsidRPr="000169EF" w:rsidRDefault="000740F7" w:rsidP="006D0A51">
            <w:pPr>
              <w:jc w:val="center"/>
              <w:rPr>
                <w:color w:val="000000"/>
                <w:sz w:val="18"/>
                <w:szCs w:val="18"/>
              </w:rPr>
            </w:pPr>
            <w:r w:rsidRPr="000169EF">
              <w:rPr>
                <w:color w:val="000000"/>
                <w:sz w:val="18"/>
                <w:szCs w:val="18"/>
              </w:rPr>
              <w:t>53,2</w:t>
            </w:r>
          </w:p>
        </w:tc>
      </w:tr>
      <w:tr w:rsidR="000740F7" w:rsidRPr="001B4CA2" w14:paraId="3A90733C" w14:textId="77777777" w:rsidTr="006D0A51">
        <w:trPr>
          <w:trHeight w:val="420"/>
        </w:trPr>
        <w:tc>
          <w:tcPr>
            <w:tcW w:w="2653" w:type="pct"/>
            <w:shd w:val="clear" w:color="auto" w:fill="auto"/>
            <w:noWrap/>
            <w:vAlign w:val="center"/>
            <w:hideMark/>
          </w:tcPr>
          <w:p w14:paraId="2E9A49E7"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Upisnik pravnih lijekova (KŽ-DO)</w:t>
            </w:r>
          </w:p>
        </w:tc>
        <w:tc>
          <w:tcPr>
            <w:tcW w:w="534" w:type="pct"/>
            <w:shd w:val="clear" w:color="auto" w:fill="auto"/>
            <w:noWrap/>
            <w:vAlign w:val="center"/>
          </w:tcPr>
          <w:p w14:paraId="7011F719" w14:textId="77777777" w:rsidR="000740F7" w:rsidRPr="000169EF" w:rsidRDefault="000740F7" w:rsidP="006D0A51">
            <w:pPr>
              <w:jc w:val="center"/>
              <w:rPr>
                <w:color w:val="000000"/>
                <w:sz w:val="18"/>
                <w:szCs w:val="18"/>
              </w:rPr>
            </w:pPr>
            <w:r w:rsidRPr="000169EF">
              <w:rPr>
                <w:color w:val="000000"/>
                <w:sz w:val="18"/>
                <w:szCs w:val="18"/>
              </w:rPr>
              <w:t>7.941</w:t>
            </w:r>
          </w:p>
        </w:tc>
        <w:tc>
          <w:tcPr>
            <w:tcW w:w="489" w:type="pct"/>
            <w:shd w:val="clear" w:color="auto" w:fill="auto"/>
            <w:noWrap/>
            <w:vAlign w:val="center"/>
          </w:tcPr>
          <w:p w14:paraId="7C4169E9" w14:textId="77777777" w:rsidR="000740F7" w:rsidRPr="000169EF" w:rsidRDefault="000740F7" w:rsidP="006D0A51">
            <w:pPr>
              <w:jc w:val="center"/>
              <w:rPr>
                <w:color w:val="000000"/>
                <w:sz w:val="18"/>
                <w:szCs w:val="18"/>
              </w:rPr>
            </w:pPr>
            <w:r w:rsidRPr="000169EF">
              <w:rPr>
                <w:color w:val="000000"/>
                <w:sz w:val="18"/>
                <w:szCs w:val="18"/>
              </w:rPr>
              <w:t>7.978</w:t>
            </w:r>
          </w:p>
        </w:tc>
        <w:tc>
          <w:tcPr>
            <w:tcW w:w="470" w:type="pct"/>
            <w:shd w:val="clear" w:color="auto" w:fill="auto"/>
            <w:noWrap/>
            <w:vAlign w:val="center"/>
          </w:tcPr>
          <w:p w14:paraId="7489008F" w14:textId="77777777" w:rsidR="000740F7" w:rsidRPr="000169EF" w:rsidRDefault="000740F7" w:rsidP="006D0A51">
            <w:pPr>
              <w:jc w:val="center"/>
              <w:rPr>
                <w:color w:val="000000"/>
                <w:sz w:val="18"/>
                <w:szCs w:val="18"/>
              </w:rPr>
            </w:pPr>
            <w:r w:rsidRPr="000169EF">
              <w:rPr>
                <w:color w:val="000000"/>
                <w:sz w:val="18"/>
                <w:szCs w:val="18"/>
              </w:rPr>
              <w:t>41</w:t>
            </w:r>
          </w:p>
        </w:tc>
        <w:tc>
          <w:tcPr>
            <w:tcW w:w="390" w:type="pct"/>
            <w:shd w:val="clear" w:color="auto" w:fill="auto"/>
            <w:noWrap/>
            <w:vAlign w:val="center"/>
          </w:tcPr>
          <w:p w14:paraId="46E763F6" w14:textId="77777777" w:rsidR="000740F7" w:rsidRPr="000169EF" w:rsidRDefault="000740F7" w:rsidP="006D0A51">
            <w:pPr>
              <w:jc w:val="center"/>
              <w:rPr>
                <w:color w:val="000000"/>
                <w:sz w:val="18"/>
                <w:szCs w:val="18"/>
              </w:rPr>
            </w:pPr>
            <w:r w:rsidRPr="000169EF">
              <w:rPr>
                <w:color w:val="000000"/>
                <w:sz w:val="18"/>
                <w:szCs w:val="18"/>
              </w:rPr>
              <w:t>100%</w:t>
            </w:r>
          </w:p>
        </w:tc>
        <w:tc>
          <w:tcPr>
            <w:tcW w:w="464" w:type="pct"/>
            <w:shd w:val="clear" w:color="auto" w:fill="auto"/>
            <w:noWrap/>
            <w:vAlign w:val="center"/>
          </w:tcPr>
          <w:p w14:paraId="35F2B181" w14:textId="77777777" w:rsidR="000740F7" w:rsidRPr="000169EF" w:rsidRDefault="000740F7" w:rsidP="006D0A51">
            <w:pPr>
              <w:jc w:val="center"/>
              <w:rPr>
                <w:color w:val="000000"/>
                <w:sz w:val="18"/>
                <w:szCs w:val="18"/>
              </w:rPr>
            </w:pPr>
            <w:r w:rsidRPr="000169EF">
              <w:rPr>
                <w:color w:val="000000"/>
                <w:sz w:val="18"/>
                <w:szCs w:val="18"/>
              </w:rPr>
              <w:t>1,9</w:t>
            </w:r>
          </w:p>
        </w:tc>
      </w:tr>
      <w:tr w:rsidR="000740F7" w:rsidRPr="001B4CA2" w14:paraId="4A0B8ADD" w14:textId="77777777" w:rsidTr="006D0A51">
        <w:trPr>
          <w:trHeight w:val="470"/>
        </w:trPr>
        <w:tc>
          <w:tcPr>
            <w:tcW w:w="2653" w:type="pct"/>
            <w:shd w:val="clear" w:color="auto" w:fill="auto"/>
            <w:noWrap/>
            <w:vAlign w:val="center"/>
            <w:hideMark/>
          </w:tcPr>
          <w:p w14:paraId="52A1A8AD"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Drugi kazneni upisnici (</w:t>
            </w:r>
            <w:proofErr w:type="spellStart"/>
            <w:r w:rsidRPr="001B4CA2">
              <w:rPr>
                <w:rFonts w:eastAsia="Times New Roman"/>
                <w:sz w:val="18"/>
                <w:szCs w:val="18"/>
                <w:lang w:eastAsia="hr-HR"/>
              </w:rPr>
              <w:t>Kid</w:t>
            </w:r>
            <w:proofErr w:type="spellEnd"/>
            <w:r w:rsidRPr="001B4CA2">
              <w:rPr>
                <w:rFonts w:eastAsia="Times New Roman"/>
                <w:sz w:val="18"/>
                <w:szCs w:val="18"/>
                <w:lang w:eastAsia="hr-HR"/>
              </w:rPr>
              <w:t xml:space="preserve">-DO, </w:t>
            </w:r>
            <w:proofErr w:type="spellStart"/>
            <w:r w:rsidRPr="001B4CA2">
              <w:rPr>
                <w:rFonts w:eastAsia="Times New Roman"/>
                <w:sz w:val="18"/>
                <w:szCs w:val="18"/>
                <w:lang w:eastAsia="hr-HR"/>
              </w:rPr>
              <w:t>KMp</w:t>
            </w:r>
            <w:proofErr w:type="spellEnd"/>
            <w:r w:rsidRPr="001B4CA2">
              <w:rPr>
                <w:rFonts w:eastAsia="Times New Roman"/>
                <w:sz w:val="18"/>
                <w:szCs w:val="18"/>
                <w:lang w:eastAsia="hr-HR"/>
              </w:rPr>
              <w:t xml:space="preserve">-DO, </w:t>
            </w:r>
            <w:proofErr w:type="spellStart"/>
            <w:r w:rsidRPr="001B4CA2">
              <w:rPr>
                <w:rFonts w:eastAsia="Times New Roman"/>
                <w:sz w:val="18"/>
                <w:szCs w:val="18"/>
                <w:lang w:eastAsia="hr-HR"/>
              </w:rPr>
              <w:t>Kuo</w:t>
            </w:r>
            <w:proofErr w:type="spellEnd"/>
            <w:r w:rsidRPr="001B4CA2">
              <w:rPr>
                <w:rFonts w:eastAsia="Times New Roman"/>
                <w:sz w:val="18"/>
                <w:szCs w:val="18"/>
                <w:lang w:eastAsia="hr-HR"/>
              </w:rPr>
              <w:t xml:space="preserve">-DO, </w:t>
            </w:r>
            <w:proofErr w:type="spellStart"/>
            <w:r w:rsidRPr="001B4CA2">
              <w:rPr>
                <w:rFonts w:eastAsia="Times New Roman"/>
                <w:sz w:val="18"/>
                <w:szCs w:val="18"/>
                <w:lang w:eastAsia="hr-HR"/>
              </w:rPr>
              <w:t>Ksm</w:t>
            </w:r>
            <w:proofErr w:type="spellEnd"/>
            <w:r w:rsidRPr="001B4CA2">
              <w:rPr>
                <w:rFonts w:eastAsia="Times New Roman"/>
                <w:sz w:val="18"/>
                <w:szCs w:val="18"/>
                <w:lang w:eastAsia="hr-HR"/>
              </w:rPr>
              <w:t>-DO, KR-DO)</w:t>
            </w:r>
          </w:p>
        </w:tc>
        <w:tc>
          <w:tcPr>
            <w:tcW w:w="534" w:type="pct"/>
            <w:shd w:val="clear" w:color="auto" w:fill="auto"/>
            <w:noWrap/>
            <w:vAlign w:val="center"/>
          </w:tcPr>
          <w:p w14:paraId="1ED0D38F" w14:textId="77777777" w:rsidR="000740F7" w:rsidRPr="000169EF" w:rsidRDefault="000740F7" w:rsidP="006D0A51">
            <w:pPr>
              <w:jc w:val="center"/>
              <w:rPr>
                <w:color w:val="000000"/>
                <w:sz w:val="18"/>
                <w:szCs w:val="18"/>
              </w:rPr>
            </w:pPr>
            <w:r w:rsidRPr="000169EF">
              <w:rPr>
                <w:color w:val="000000"/>
                <w:sz w:val="18"/>
                <w:szCs w:val="18"/>
              </w:rPr>
              <w:t>10.201</w:t>
            </w:r>
          </w:p>
        </w:tc>
        <w:tc>
          <w:tcPr>
            <w:tcW w:w="489" w:type="pct"/>
            <w:shd w:val="clear" w:color="auto" w:fill="auto"/>
            <w:noWrap/>
            <w:vAlign w:val="center"/>
          </w:tcPr>
          <w:p w14:paraId="4C50DF34" w14:textId="77777777" w:rsidR="000740F7" w:rsidRPr="000169EF" w:rsidRDefault="000740F7" w:rsidP="006D0A51">
            <w:pPr>
              <w:jc w:val="center"/>
              <w:rPr>
                <w:color w:val="000000"/>
                <w:sz w:val="18"/>
                <w:szCs w:val="18"/>
              </w:rPr>
            </w:pPr>
            <w:r w:rsidRPr="000169EF">
              <w:rPr>
                <w:color w:val="000000"/>
                <w:sz w:val="18"/>
                <w:szCs w:val="18"/>
              </w:rPr>
              <w:t>10.304</w:t>
            </w:r>
          </w:p>
        </w:tc>
        <w:tc>
          <w:tcPr>
            <w:tcW w:w="470" w:type="pct"/>
            <w:shd w:val="clear" w:color="auto" w:fill="auto"/>
            <w:noWrap/>
            <w:vAlign w:val="center"/>
          </w:tcPr>
          <w:p w14:paraId="558FA7F4" w14:textId="77777777" w:rsidR="000740F7" w:rsidRPr="000169EF" w:rsidRDefault="000740F7" w:rsidP="006D0A51">
            <w:pPr>
              <w:jc w:val="center"/>
              <w:rPr>
                <w:color w:val="000000"/>
                <w:sz w:val="18"/>
                <w:szCs w:val="18"/>
              </w:rPr>
            </w:pPr>
            <w:r w:rsidRPr="000169EF">
              <w:rPr>
                <w:color w:val="000000"/>
                <w:sz w:val="18"/>
                <w:szCs w:val="18"/>
              </w:rPr>
              <w:t>1.661</w:t>
            </w:r>
          </w:p>
        </w:tc>
        <w:tc>
          <w:tcPr>
            <w:tcW w:w="390" w:type="pct"/>
            <w:shd w:val="clear" w:color="auto" w:fill="auto"/>
            <w:noWrap/>
            <w:vAlign w:val="center"/>
          </w:tcPr>
          <w:p w14:paraId="032B2239" w14:textId="77777777" w:rsidR="000740F7" w:rsidRPr="000169EF" w:rsidRDefault="000740F7" w:rsidP="006D0A51">
            <w:pPr>
              <w:jc w:val="center"/>
              <w:rPr>
                <w:color w:val="000000"/>
                <w:sz w:val="18"/>
                <w:szCs w:val="18"/>
              </w:rPr>
            </w:pPr>
            <w:r w:rsidRPr="000169EF">
              <w:rPr>
                <w:color w:val="000000"/>
                <w:sz w:val="18"/>
                <w:szCs w:val="18"/>
              </w:rPr>
              <w:t>101%</w:t>
            </w:r>
          </w:p>
        </w:tc>
        <w:tc>
          <w:tcPr>
            <w:tcW w:w="464" w:type="pct"/>
            <w:shd w:val="clear" w:color="auto" w:fill="auto"/>
            <w:noWrap/>
            <w:vAlign w:val="center"/>
          </w:tcPr>
          <w:p w14:paraId="28CC8B5F" w14:textId="77777777" w:rsidR="000740F7" w:rsidRPr="000169EF" w:rsidRDefault="000740F7" w:rsidP="006D0A51">
            <w:pPr>
              <w:jc w:val="center"/>
              <w:rPr>
                <w:color w:val="000000"/>
                <w:sz w:val="18"/>
                <w:szCs w:val="18"/>
              </w:rPr>
            </w:pPr>
            <w:r w:rsidRPr="000169EF">
              <w:rPr>
                <w:color w:val="000000"/>
                <w:sz w:val="18"/>
                <w:szCs w:val="18"/>
              </w:rPr>
              <w:t>58,8</w:t>
            </w:r>
          </w:p>
        </w:tc>
      </w:tr>
      <w:tr w:rsidR="000740F7" w:rsidRPr="001B4CA2" w14:paraId="2796622D" w14:textId="77777777" w:rsidTr="006D0A51">
        <w:trPr>
          <w:trHeight w:val="534"/>
        </w:trPr>
        <w:tc>
          <w:tcPr>
            <w:tcW w:w="2653" w:type="pct"/>
            <w:shd w:val="clear" w:color="auto" w:fill="auto"/>
            <w:noWrap/>
            <w:vAlign w:val="center"/>
          </w:tcPr>
          <w:p w14:paraId="37DB187A"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 xml:space="preserve">Upisnici predmeta pred sudom (KO-DO, Komp-DO, Kom-DO, </w:t>
            </w:r>
            <w:proofErr w:type="spellStart"/>
            <w:r w:rsidRPr="001B4CA2">
              <w:rPr>
                <w:rFonts w:eastAsia="Times New Roman"/>
                <w:sz w:val="18"/>
                <w:szCs w:val="18"/>
                <w:lang w:eastAsia="hr-HR"/>
              </w:rPr>
              <w:t>KOz</w:t>
            </w:r>
            <w:proofErr w:type="spellEnd"/>
            <w:r w:rsidRPr="001B4CA2">
              <w:rPr>
                <w:rFonts w:eastAsia="Times New Roman"/>
                <w:sz w:val="18"/>
                <w:szCs w:val="18"/>
                <w:lang w:eastAsia="hr-HR"/>
              </w:rPr>
              <w:t>-DO)</w:t>
            </w:r>
          </w:p>
        </w:tc>
        <w:tc>
          <w:tcPr>
            <w:tcW w:w="534" w:type="pct"/>
            <w:shd w:val="clear" w:color="auto" w:fill="auto"/>
            <w:noWrap/>
            <w:vAlign w:val="center"/>
          </w:tcPr>
          <w:p w14:paraId="6B46D224" w14:textId="77777777" w:rsidR="000740F7" w:rsidRPr="000169EF" w:rsidRDefault="000740F7" w:rsidP="006D0A51">
            <w:pPr>
              <w:jc w:val="center"/>
              <w:rPr>
                <w:color w:val="000000"/>
                <w:sz w:val="18"/>
                <w:szCs w:val="18"/>
              </w:rPr>
            </w:pPr>
            <w:r w:rsidRPr="000169EF">
              <w:rPr>
                <w:color w:val="000000"/>
                <w:sz w:val="18"/>
                <w:szCs w:val="18"/>
              </w:rPr>
              <w:t>615</w:t>
            </w:r>
          </w:p>
        </w:tc>
        <w:tc>
          <w:tcPr>
            <w:tcW w:w="489" w:type="pct"/>
            <w:shd w:val="clear" w:color="auto" w:fill="auto"/>
            <w:noWrap/>
            <w:vAlign w:val="center"/>
          </w:tcPr>
          <w:p w14:paraId="16F89668" w14:textId="77777777" w:rsidR="000740F7" w:rsidRPr="000169EF" w:rsidRDefault="000740F7" w:rsidP="006D0A51">
            <w:pPr>
              <w:jc w:val="center"/>
              <w:rPr>
                <w:color w:val="000000"/>
                <w:sz w:val="18"/>
                <w:szCs w:val="18"/>
              </w:rPr>
            </w:pPr>
            <w:r w:rsidRPr="000169EF">
              <w:rPr>
                <w:color w:val="000000"/>
                <w:sz w:val="18"/>
                <w:szCs w:val="18"/>
              </w:rPr>
              <w:t>615</w:t>
            </w:r>
          </w:p>
        </w:tc>
        <w:tc>
          <w:tcPr>
            <w:tcW w:w="470" w:type="pct"/>
            <w:shd w:val="clear" w:color="auto" w:fill="auto"/>
            <w:noWrap/>
            <w:vAlign w:val="center"/>
          </w:tcPr>
          <w:p w14:paraId="59AED9D7" w14:textId="77777777" w:rsidR="000740F7" w:rsidRPr="000169EF" w:rsidRDefault="000740F7" w:rsidP="006D0A51">
            <w:pPr>
              <w:jc w:val="center"/>
              <w:rPr>
                <w:color w:val="000000"/>
                <w:sz w:val="18"/>
                <w:szCs w:val="18"/>
              </w:rPr>
            </w:pPr>
            <w:r w:rsidRPr="000169EF">
              <w:rPr>
                <w:color w:val="000000"/>
                <w:sz w:val="18"/>
                <w:szCs w:val="18"/>
              </w:rPr>
              <w:t>0</w:t>
            </w:r>
          </w:p>
        </w:tc>
        <w:tc>
          <w:tcPr>
            <w:tcW w:w="390" w:type="pct"/>
            <w:shd w:val="clear" w:color="auto" w:fill="auto"/>
            <w:noWrap/>
            <w:vAlign w:val="center"/>
          </w:tcPr>
          <w:p w14:paraId="23E7E094" w14:textId="77777777" w:rsidR="000740F7" w:rsidRPr="000169EF" w:rsidRDefault="000740F7" w:rsidP="006D0A51">
            <w:pPr>
              <w:jc w:val="center"/>
              <w:rPr>
                <w:color w:val="000000"/>
                <w:sz w:val="18"/>
                <w:szCs w:val="18"/>
              </w:rPr>
            </w:pPr>
            <w:r w:rsidRPr="000169EF">
              <w:rPr>
                <w:color w:val="000000"/>
                <w:sz w:val="18"/>
                <w:szCs w:val="18"/>
              </w:rPr>
              <w:t>100%</w:t>
            </w:r>
          </w:p>
        </w:tc>
        <w:tc>
          <w:tcPr>
            <w:tcW w:w="464" w:type="pct"/>
            <w:shd w:val="clear" w:color="auto" w:fill="auto"/>
            <w:noWrap/>
            <w:vAlign w:val="center"/>
          </w:tcPr>
          <w:p w14:paraId="119F4E95" w14:textId="77777777" w:rsidR="000740F7" w:rsidRPr="000169EF" w:rsidRDefault="000740F7" w:rsidP="006D0A51">
            <w:pPr>
              <w:jc w:val="center"/>
              <w:rPr>
                <w:color w:val="000000"/>
                <w:sz w:val="18"/>
                <w:szCs w:val="18"/>
              </w:rPr>
            </w:pPr>
            <w:r w:rsidRPr="000169EF">
              <w:rPr>
                <w:color w:val="000000"/>
                <w:sz w:val="18"/>
                <w:szCs w:val="18"/>
              </w:rPr>
              <w:t>0</w:t>
            </w:r>
          </w:p>
        </w:tc>
      </w:tr>
      <w:tr w:rsidR="000740F7" w:rsidRPr="001B4CA2" w14:paraId="0364E46F" w14:textId="77777777" w:rsidTr="006D0A51">
        <w:trPr>
          <w:trHeight w:val="291"/>
        </w:trPr>
        <w:tc>
          <w:tcPr>
            <w:tcW w:w="2653" w:type="pct"/>
            <w:shd w:val="clear" w:color="auto" w:fill="auto"/>
            <w:noWrap/>
            <w:vAlign w:val="center"/>
            <w:hideMark/>
          </w:tcPr>
          <w:p w14:paraId="4F412D17" w14:textId="77777777" w:rsidR="000740F7" w:rsidRPr="001B4CA2" w:rsidRDefault="000740F7" w:rsidP="006D0A51">
            <w:pPr>
              <w:jc w:val="left"/>
              <w:rPr>
                <w:rFonts w:eastAsia="Times New Roman"/>
                <w:b/>
                <w:bCs/>
                <w:sz w:val="18"/>
                <w:szCs w:val="18"/>
                <w:lang w:eastAsia="hr-HR"/>
              </w:rPr>
            </w:pPr>
            <w:r w:rsidRPr="001B4CA2">
              <w:rPr>
                <w:rFonts w:eastAsia="Times New Roman"/>
                <w:b/>
                <w:bCs/>
                <w:sz w:val="18"/>
                <w:szCs w:val="18"/>
                <w:lang w:eastAsia="hr-HR"/>
              </w:rPr>
              <w:t xml:space="preserve">Ukupno kazneni </w:t>
            </w:r>
          </w:p>
        </w:tc>
        <w:tc>
          <w:tcPr>
            <w:tcW w:w="534" w:type="pct"/>
            <w:shd w:val="clear" w:color="auto" w:fill="auto"/>
            <w:noWrap/>
            <w:vAlign w:val="center"/>
          </w:tcPr>
          <w:p w14:paraId="126BB5E8" w14:textId="77777777" w:rsidR="000740F7" w:rsidRPr="000169EF" w:rsidRDefault="000740F7" w:rsidP="006D0A51">
            <w:pPr>
              <w:jc w:val="center"/>
              <w:rPr>
                <w:color w:val="000000"/>
                <w:sz w:val="18"/>
                <w:szCs w:val="18"/>
              </w:rPr>
            </w:pPr>
            <w:r w:rsidRPr="000169EF">
              <w:rPr>
                <w:color w:val="000000"/>
                <w:sz w:val="18"/>
                <w:szCs w:val="18"/>
              </w:rPr>
              <w:t>22.509</w:t>
            </w:r>
          </w:p>
        </w:tc>
        <w:tc>
          <w:tcPr>
            <w:tcW w:w="489" w:type="pct"/>
            <w:shd w:val="clear" w:color="auto" w:fill="auto"/>
            <w:noWrap/>
            <w:vAlign w:val="center"/>
          </w:tcPr>
          <w:p w14:paraId="492E43FF" w14:textId="77777777" w:rsidR="000740F7" w:rsidRPr="000169EF" w:rsidRDefault="000740F7" w:rsidP="006D0A51">
            <w:pPr>
              <w:jc w:val="center"/>
              <w:rPr>
                <w:color w:val="000000"/>
                <w:sz w:val="18"/>
                <w:szCs w:val="18"/>
              </w:rPr>
            </w:pPr>
            <w:r w:rsidRPr="000169EF">
              <w:rPr>
                <w:color w:val="000000"/>
                <w:sz w:val="18"/>
                <w:szCs w:val="18"/>
              </w:rPr>
              <w:t>22.651</w:t>
            </w:r>
          </w:p>
        </w:tc>
        <w:tc>
          <w:tcPr>
            <w:tcW w:w="470" w:type="pct"/>
            <w:shd w:val="clear" w:color="auto" w:fill="auto"/>
            <w:noWrap/>
            <w:vAlign w:val="center"/>
          </w:tcPr>
          <w:p w14:paraId="0EF368C1" w14:textId="77777777" w:rsidR="000740F7" w:rsidRPr="000169EF" w:rsidRDefault="000740F7" w:rsidP="006D0A51">
            <w:pPr>
              <w:jc w:val="center"/>
              <w:rPr>
                <w:color w:val="000000"/>
                <w:sz w:val="18"/>
                <w:szCs w:val="18"/>
              </w:rPr>
            </w:pPr>
            <w:r w:rsidRPr="000169EF">
              <w:rPr>
                <w:color w:val="000000"/>
                <w:sz w:val="18"/>
                <w:szCs w:val="18"/>
              </w:rPr>
              <w:t>3.133</w:t>
            </w:r>
          </w:p>
        </w:tc>
        <w:tc>
          <w:tcPr>
            <w:tcW w:w="390" w:type="pct"/>
            <w:shd w:val="clear" w:color="auto" w:fill="auto"/>
            <w:noWrap/>
            <w:vAlign w:val="center"/>
          </w:tcPr>
          <w:p w14:paraId="2B0662CC" w14:textId="77777777" w:rsidR="000740F7" w:rsidRPr="000169EF" w:rsidRDefault="000740F7" w:rsidP="006D0A51">
            <w:pPr>
              <w:jc w:val="center"/>
              <w:rPr>
                <w:color w:val="000000"/>
                <w:sz w:val="18"/>
                <w:szCs w:val="18"/>
              </w:rPr>
            </w:pPr>
            <w:r w:rsidRPr="000169EF">
              <w:rPr>
                <w:color w:val="000000"/>
                <w:sz w:val="18"/>
                <w:szCs w:val="18"/>
              </w:rPr>
              <w:t>101%</w:t>
            </w:r>
          </w:p>
        </w:tc>
        <w:tc>
          <w:tcPr>
            <w:tcW w:w="464" w:type="pct"/>
            <w:shd w:val="clear" w:color="auto" w:fill="auto"/>
            <w:noWrap/>
            <w:vAlign w:val="center"/>
          </w:tcPr>
          <w:p w14:paraId="2F08E5CE" w14:textId="77777777" w:rsidR="000740F7" w:rsidRPr="000169EF" w:rsidRDefault="000740F7" w:rsidP="006D0A51">
            <w:pPr>
              <w:jc w:val="center"/>
              <w:rPr>
                <w:color w:val="000000"/>
                <w:sz w:val="18"/>
                <w:szCs w:val="18"/>
              </w:rPr>
            </w:pPr>
            <w:r w:rsidRPr="000169EF">
              <w:rPr>
                <w:color w:val="000000"/>
                <w:sz w:val="18"/>
                <w:szCs w:val="18"/>
              </w:rPr>
              <w:t>50,5</w:t>
            </w:r>
          </w:p>
        </w:tc>
      </w:tr>
      <w:tr w:rsidR="000740F7" w:rsidRPr="001B4CA2" w14:paraId="1266CA5D" w14:textId="77777777" w:rsidTr="006D0A51">
        <w:trPr>
          <w:trHeight w:val="291"/>
        </w:trPr>
        <w:tc>
          <w:tcPr>
            <w:tcW w:w="5000" w:type="pct"/>
            <w:gridSpan w:val="6"/>
            <w:shd w:val="clear" w:color="auto" w:fill="auto"/>
            <w:noWrap/>
            <w:vAlign w:val="center"/>
            <w:hideMark/>
          </w:tcPr>
          <w:p w14:paraId="509C2C92" w14:textId="77777777" w:rsidR="000740F7" w:rsidRPr="000169EF" w:rsidRDefault="000740F7" w:rsidP="006D0A51">
            <w:pPr>
              <w:jc w:val="left"/>
              <w:rPr>
                <w:rFonts w:eastAsia="Times New Roman"/>
                <w:b/>
                <w:bCs/>
                <w:sz w:val="18"/>
                <w:szCs w:val="18"/>
                <w:lang w:eastAsia="hr-HR"/>
              </w:rPr>
            </w:pPr>
            <w:r w:rsidRPr="000169EF">
              <w:rPr>
                <w:rFonts w:eastAsia="Times New Roman"/>
                <w:b/>
                <w:bCs/>
                <w:sz w:val="18"/>
                <w:szCs w:val="18"/>
                <w:lang w:eastAsia="hr-HR"/>
              </w:rPr>
              <w:t>Građansko-upravni predmeti</w:t>
            </w:r>
          </w:p>
        </w:tc>
      </w:tr>
      <w:tr w:rsidR="000740F7" w:rsidRPr="001B4CA2" w14:paraId="44383CDF" w14:textId="77777777" w:rsidTr="006D0A51">
        <w:trPr>
          <w:trHeight w:val="291"/>
        </w:trPr>
        <w:tc>
          <w:tcPr>
            <w:tcW w:w="2653" w:type="pct"/>
            <w:shd w:val="clear" w:color="auto" w:fill="auto"/>
            <w:noWrap/>
            <w:vAlign w:val="center"/>
            <w:hideMark/>
          </w:tcPr>
          <w:p w14:paraId="0C6E05CA"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Parnični predmeti (P-DO)</w:t>
            </w:r>
          </w:p>
        </w:tc>
        <w:tc>
          <w:tcPr>
            <w:tcW w:w="534" w:type="pct"/>
            <w:shd w:val="clear" w:color="auto" w:fill="auto"/>
            <w:noWrap/>
            <w:vAlign w:val="center"/>
          </w:tcPr>
          <w:p w14:paraId="73E0CC1B" w14:textId="77777777" w:rsidR="000740F7" w:rsidRPr="000169EF" w:rsidRDefault="000740F7" w:rsidP="006D0A51">
            <w:pPr>
              <w:jc w:val="center"/>
              <w:rPr>
                <w:color w:val="000000"/>
                <w:sz w:val="18"/>
                <w:szCs w:val="18"/>
              </w:rPr>
            </w:pPr>
            <w:r w:rsidRPr="000169EF">
              <w:rPr>
                <w:color w:val="000000"/>
                <w:sz w:val="18"/>
                <w:szCs w:val="18"/>
              </w:rPr>
              <w:t>523</w:t>
            </w:r>
          </w:p>
        </w:tc>
        <w:tc>
          <w:tcPr>
            <w:tcW w:w="489" w:type="pct"/>
            <w:shd w:val="clear" w:color="auto" w:fill="auto"/>
            <w:noWrap/>
            <w:vAlign w:val="center"/>
          </w:tcPr>
          <w:p w14:paraId="12030AB8" w14:textId="77777777" w:rsidR="000740F7" w:rsidRPr="000169EF" w:rsidRDefault="000740F7" w:rsidP="006D0A51">
            <w:pPr>
              <w:jc w:val="center"/>
              <w:rPr>
                <w:color w:val="000000"/>
                <w:sz w:val="18"/>
                <w:szCs w:val="18"/>
              </w:rPr>
            </w:pPr>
            <w:r w:rsidRPr="000169EF">
              <w:rPr>
                <w:color w:val="000000"/>
                <w:sz w:val="18"/>
                <w:szCs w:val="18"/>
              </w:rPr>
              <w:t>525</w:t>
            </w:r>
          </w:p>
        </w:tc>
        <w:tc>
          <w:tcPr>
            <w:tcW w:w="470" w:type="pct"/>
            <w:shd w:val="clear" w:color="auto" w:fill="auto"/>
            <w:noWrap/>
            <w:vAlign w:val="center"/>
          </w:tcPr>
          <w:p w14:paraId="19BEDF55" w14:textId="77777777" w:rsidR="000740F7" w:rsidRPr="000169EF" w:rsidRDefault="000740F7" w:rsidP="006D0A51">
            <w:pPr>
              <w:jc w:val="center"/>
              <w:rPr>
                <w:color w:val="000000"/>
                <w:sz w:val="18"/>
                <w:szCs w:val="18"/>
              </w:rPr>
            </w:pPr>
            <w:r w:rsidRPr="000169EF">
              <w:rPr>
                <w:color w:val="000000"/>
                <w:sz w:val="18"/>
                <w:szCs w:val="18"/>
              </w:rPr>
              <w:t>20</w:t>
            </w:r>
          </w:p>
        </w:tc>
        <w:tc>
          <w:tcPr>
            <w:tcW w:w="390" w:type="pct"/>
            <w:shd w:val="clear" w:color="auto" w:fill="auto"/>
            <w:noWrap/>
            <w:vAlign w:val="center"/>
          </w:tcPr>
          <w:p w14:paraId="4A8A72FB" w14:textId="77777777" w:rsidR="000740F7" w:rsidRPr="000169EF" w:rsidRDefault="000740F7" w:rsidP="006D0A51">
            <w:pPr>
              <w:jc w:val="center"/>
              <w:rPr>
                <w:color w:val="000000"/>
                <w:sz w:val="18"/>
                <w:szCs w:val="18"/>
              </w:rPr>
            </w:pPr>
            <w:r w:rsidRPr="000169EF">
              <w:rPr>
                <w:color w:val="000000"/>
                <w:sz w:val="18"/>
                <w:szCs w:val="18"/>
              </w:rPr>
              <w:t>100%</w:t>
            </w:r>
          </w:p>
        </w:tc>
        <w:tc>
          <w:tcPr>
            <w:tcW w:w="464" w:type="pct"/>
            <w:shd w:val="clear" w:color="auto" w:fill="auto"/>
            <w:noWrap/>
            <w:vAlign w:val="center"/>
          </w:tcPr>
          <w:p w14:paraId="3C69DC61" w14:textId="77777777" w:rsidR="000740F7" w:rsidRPr="000169EF" w:rsidRDefault="000740F7" w:rsidP="006D0A51">
            <w:pPr>
              <w:jc w:val="center"/>
              <w:rPr>
                <w:color w:val="000000"/>
                <w:sz w:val="18"/>
                <w:szCs w:val="18"/>
              </w:rPr>
            </w:pPr>
            <w:r w:rsidRPr="000169EF">
              <w:rPr>
                <w:color w:val="000000"/>
                <w:sz w:val="18"/>
                <w:szCs w:val="18"/>
              </w:rPr>
              <w:t>13,9</w:t>
            </w:r>
          </w:p>
        </w:tc>
      </w:tr>
      <w:tr w:rsidR="000740F7" w:rsidRPr="001B4CA2" w14:paraId="511791AD" w14:textId="77777777" w:rsidTr="006D0A51">
        <w:trPr>
          <w:trHeight w:val="291"/>
        </w:trPr>
        <w:tc>
          <w:tcPr>
            <w:tcW w:w="2653" w:type="pct"/>
            <w:shd w:val="clear" w:color="auto" w:fill="auto"/>
            <w:noWrap/>
            <w:vAlign w:val="center"/>
            <w:hideMark/>
          </w:tcPr>
          <w:p w14:paraId="3C84035D"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Predmeti prevencije (N-DO)</w:t>
            </w:r>
          </w:p>
        </w:tc>
        <w:tc>
          <w:tcPr>
            <w:tcW w:w="534" w:type="pct"/>
            <w:shd w:val="clear" w:color="auto" w:fill="auto"/>
            <w:noWrap/>
            <w:vAlign w:val="center"/>
          </w:tcPr>
          <w:p w14:paraId="2F81E426" w14:textId="77777777" w:rsidR="000740F7" w:rsidRPr="000169EF" w:rsidRDefault="000740F7" w:rsidP="006D0A51">
            <w:pPr>
              <w:jc w:val="center"/>
              <w:rPr>
                <w:color w:val="000000"/>
                <w:sz w:val="18"/>
                <w:szCs w:val="18"/>
              </w:rPr>
            </w:pPr>
            <w:r w:rsidRPr="000169EF">
              <w:rPr>
                <w:color w:val="000000"/>
                <w:sz w:val="18"/>
                <w:szCs w:val="18"/>
              </w:rPr>
              <w:t>861</w:t>
            </w:r>
          </w:p>
        </w:tc>
        <w:tc>
          <w:tcPr>
            <w:tcW w:w="489" w:type="pct"/>
            <w:shd w:val="clear" w:color="auto" w:fill="auto"/>
            <w:noWrap/>
            <w:vAlign w:val="center"/>
          </w:tcPr>
          <w:p w14:paraId="251A45B8" w14:textId="77777777" w:rsidR="000740F7" w:rsidRPr="000169EF" w:rsidRDefault="000740F7" w:rsidP="006D0A51">
            <w:pPr>
              <w:jc w:val="center"/>
              <w:rPr>
                <w:color w:val="000000"/>
                <w:sz w:val="18"/>
                <w:szCs w:val="18"/>
              </w:rPr>
            </w:pPr>
            <w:r w:rsidRPr="000169EF">
              <w:rPr>
                <w:color w:val="000000"/>
                <w:sz w:val="18"/>
                <w:szCs w:val="18"/>
              </w:rPr>
              <w:t>880</w:t>
            </w:r>
          </w:p>
        </w:tc>
        <w:tc>
          <w:tcPr>
            <w:tcW w:w="470" w:type="pct"/>
            <w:shd w:val="clear" w:color="auto" w:fill="auto"/>
            <w:noWrap/>
            <w:vAlign w:val="center"/>
          </w:tcPr>
          <w:p w14:paraId="7BF17B5B" w14:textId="77777777" w:rsidR="000740F7" w:rsidRPr="000169EF" w:rsidRDefault="000740F7" w:rsidP="006D0A51">
            <w:pPr>
              <w:jc w:val="center"/>
              <w:rPr>
                <w:color w:val="000000"/>
                <w:sz w:val="18"/>
                <w:szCs w:val="18"/>
              </w:rPr>
            </w:pPr>
            <w:r w:rsidRPr="000169EF">
              <w:rPr>
                <w:color w:val="000000"/>
                <w:sz w:val="18"/>
                <w:szCs w:val="18"/>
              </w:rPr>
              <w:t>123</w:t>
            </w:r>
          </w:p>
        </w:tc>
        <w:tc>
          <w:tcPr>
            <w:tcW w:w="390" w:type="pct"/>
            <w:shd w:val="clear" w:color="auto" w:fill="auto"/>
            <w:noWrap/>
            <w:vAlign w:val="center"/>
          </w:tcPr>
          <w:p w14:paraId="7A165840" w14:textId="77777777" w:rsidR="000740F7" w:rsidRPr="000169EF" w:rsidRDefault="000740F7" w:rsidP="006D0A51">
            <w:pPr>
              <w:jc w:val="center"/>
              <w:rPr>
                <w:color w:val="000000"/>
                <w:sz w:val="18"/>
                <w:szCs w:val="18"/>
              </w:rPr>
            </w:pPr>
            <w:r w:rsidRPr="000169EF">
              <w:rPr>
                <w:color w:val="000000"/>
                <w:sz w:val="18"/>
                <w:szCs w:val="18"/>
              </w:rPr>
              <w:t>102%</w:t>
            </w:r>
          </w:p>
        </w:tc>
        <w:tc>
          <w:tcPr>
            <w:tcW w:w="464" w:type="pct"/>
            <w:shd w:val="clear" w:color="auto" w:fill="auto"/>
            <w:noWrap/>
            <w:vAlign w:val="center"/>
          </w:tcPr>
          <w:p w14:paraId="46449BBE" w14:textId="77777777" w:rsidR="000740F7" w:rsidRPr="000169EF" w:rsidRDefault="000740F7" w:rsidP="006D0A51">
            <w:pPr>
              <w:jc w:val="center"/>
              <w:rPr>
                <w:color w:val="000000"/>
                <w:sz w:val="18"/>
                <w:szCs w:val="18"/>
              </w:rPr>
            </w:pPr>
            <w:r w:rsidRPr="000169EF">
              <w:rPr>
                <w:color w:val="000000"/>
                <w:sz w:val="18"/>
                <w:szCs w:val="18"/>
              </w:rPr>
              <w:t>51,0</w:t>
            </w:r>
          </w:p>
        </w:tc>
      </w:tr>
      <w:tr w:rsidR="000740F7" w:rsidRPr="001B4CA2" w14:paraId="4A19C025" w14:textId="77777777" w:rsidTr="006D0A51">
        <w:trPr>
          <w:trHeight w:val="291"/>
        </w:trPr>
        <w:tc>
          <w:tcPr>
            <w:tcW w:w="2653" w:type="pct"/>
            <w:shd w:val="clear" w:color="auto" w:fill="auto"/>
            <w:noWrap/>
            <w:vAlign w:val="center"/>
            <w:hideMark/>
          </w:tcPr>
          <w:p w14:paraId="103C88E5"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Ovršni predmeti (O-DO)</w:t>
            </w:r>
          </w:p>
        </w:tc>
        <w:tc>
          <w:tcPr>
            <w:tcW w:w="534" w:type="pct"/>
            <w:shd w:val="clear" w:color="auto" w:fill="auto"/>
            <w:noWrap/>
            <w:vAlign w:val="center"/>
          </w:tcPr>
          <w:p w14:paraId="7D5C7402" w14:textId="77777777" w:rsidR="000740F7" w:rsidRPr="000169EF" w:rsidRDefault="000740F7" w:rsidP="006D0A51">
            <w:pPr>
              <w:jc w:val="center"/>
              <w:rPr>
                <w:color w:val="000000"/>
                <w:sz w:val="18"/>
                <w:szCs w:val="18"/>
              </w:rPr>
            </w:pPr>
            <w:r w:rsidRPr="000169EF">
              <w:rPr>
                <w:color w:val="000000"/>
                <w:sz w:val="18"/>
                <w:szCs w:val="18"/>
              </w:rPr>
              <w:t>90</w:t>
            </w:r>
          </w:p>
        </w:tc>
        <w:tc>
          <w:tcPr>
            <w:tcW w:w="489" w:type="pct"/>
            <w:shd w:val="clear" w:color="auto" w:fill="auto"/>
            <w:noWrap/>
            <w:vAlign w:val="center"/>
          </w:tcPr>
          <w:p w14:paraId="5EDB611E" w14:textId="77777777" w:rsidR="000740F7" w:rsidRPr="000169EF" w:rsidRDefault="000740F7" w:rsidP="006D0A51">
            <w:pPr>
              <w:jc w:val="center"/>
              <w:rPr>
                <w:color w:val="000000"/>
                <w:sz w:val="18"/>
                <w:szCs w:val="18"/>
              </w:rPr>
            </w:pPr>
            <w:r w:rsidRPr="000169EF">
              <w:rPr>
                <w:color w:val="000000"/>
                <w:sz w:val="18"/>
                <w:szCs w:val="18"/>
              </w:rPr>
              <w:t>90</w:t>
            </w:r>
          </w:p>
        </w:tc>
        <w:tc>
          <w:tcPr>
            <w:tcW w:w="470" w:type="pct"/>
            <w:shd w:val="clear" w:color="auto" w:fill="auto"/>
            <w:noWrap/>
            <w:vAlign w:val="center"/>
          </w:tcPr>
          <w:p w14:paraId="2129A76C" w14:textId="77777777" w:rsidR="000740F7" w:rsidRPr="000169EF" w:rsidRDefault="000740F7" w:rsidP="006D0A51">
            <w:pPr>
              <w:jc w:val="center"/>
              <w:rPr>
                <w:color w:val="000000"/>
                <w:sz w:val="18"/>
                <w:szCs w:val="18"/>
              </w:rPr>
            </w:pPr>
            <w:r w:rsidRPr="000169EF">
              <w:rPr>
                <w:color w:val="000000"/>
                <w:sz w:val="18"/>
                <w:szCs w:val="18"/>
              </w:rPr>
              <w:t>3</w:t>
            </w:r>
          </w:p>
        </w:tc>
        <w:tc>
          <w:tcPr>
            <w:tcW w:w="390" w:type="pct"/>
            <w:shd w:val="clear" w:color="auto" w:fill="auto"/>
            <w:noWrap/>
            <w:vAlign w:val="center"/>
          </w:tcPr>
          <w:p w14:paraId="5608A6CF" w14:textId="77777777" w:rsidR="000740F7" w:rsidRPr="000169EF" w:rsidRDefault="000740F7" w:rsidP="006D0A51">
            <w:pPr>
              <w:jc w:val="center"/>
              <w:rPr>
                <w:color w:val="000000"/>
                <w:sz w:val="18"/>
                <w:szCs w:val="18"/>
              </w:rPr>
            </w:pPr>
            <w:r w:rsidRPr="000169EF">
              <w:rPr>
                <w:color w:val="000000"/>
                <w:sz w:val="18"/>
                <w:szCs w:val="18"/>
              </w:rPr>
              <w:t>100%</w:t>
            </w:r>
          </w:p>
        </w:tc>
        <w:tc>
          <w:tcPr>
            <w:tcW w:w="464" w:type="pct"/>
            <w:shd w:val="clear" w:color="auto" w:fill="auto"/>
            <w:noWrap/>
            <w:vAlign w:val="center"/>
          </w:tcPr>
          <w:p w14:paraId="24F44578" w14:textId="77777777" w:rsidR="000740F7" w:rsidRPr="000169EF" w:rsidRDefault="000740F7" w:rsidP="006D0A51">
            <w:pPr>
              <w:jc w:val="center"/>
              <w:rPr>
                <w:color w:val="000000"/>
                <w:sz w:val="18"/>
                <w:szCs w:val="18"/>
              </w:rPr>
            </w:pPr>
            <w:r w:rsidRPr="000169EF">
              <w:rPr>
                <w:color w:val="000000"/>
                <w:sz w:val="18"/>
                <w:szCs w:val="18"/>
              </w:rPr>
              <w:t>12,2</w:t>
            </w:r>
          </w:p>
        </w:tc>
      </w:tr>
      <w:tr w:rsidR="000740F7" w:rsidRPr="001B4CA2" w14:paraId="166229CF" w14:textId="77777777" w:rsidTr="006D0A51">
        <w:trPr>
          <w:trHeight w:val="291"/>
        </w:trPr>
        <w:tc>
          <w:tcPr>
            <w:tcW w:w="2653" w:type="pct"/>
            <w:shd w:val="clear" w:color="auto" w:fill="auto"/>
            <w:noWrap/>
            <w:vAlign w:val="center"/>
            <w:hideMark/>
          </w:tcPr>
          <w:p w14:paraId="58ED2415"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Stečajni predmeti (S-DO)</w:t>
            </w:r>
          </w:p>
        </w:tc>
        <w:tc>
          <w:tcPr>
            <w:tcW w:w="534" w:type="pct"/>
            <w:shd w:val="clear" w:color="auto" w:fill="auto"/>
            <w:noWrap/>
            <w:vAlign w:val="center"/>
          </w:tcPr>
          <w:p w14:paraId="1C8E0EE6" w14:textId="77777777" w:rsidR="000740F7" w:rsidRPr="000169EF" w:rsidRDefault="000740F7" w:rsidP="006D0A51">
            <w:pPr>
              <w:jc w:val="center"/>
              <w:rPr>
                <w:color w:val="000000"/>
                <w:sz w:val="18"/>
                <w:szCs w:val="18"/>
              </w:rPr>
            </w:pPr>
            <w:r w:rsidRPr="000169EF">
              <w:rPr>
                <w:color w:val="000000"/>
                <w:sz w:val="18"/>
                <w:szCs w:val="18"/>
              </w:rPr>
              <w:t>5.805</w:t>
            </w:r>
          </w:p>
        </w:tc>
        <w:tc>
          <w:tcPr>
            <w:tcW w:w="489" w:type="pct"/>
            <w:shd w:val="clear" w:color="auto" w:fill="auto"/>
            <w:noWrap/>
            <w:vAlign w:val="center"/>
          </w:tcPr>
          <w:p w14:paraId="10DE5C28" w14:textId="77777777" w:rsidR="000740F7" w:rsidRPr="000169EF" w:rsidRDefault="000740F7" w:rsidP="006D0A51">
            <w:pPr>
              <w:jc w:val="center"/>
              <w:rPr>
                <w:color w:val="000000"/>
                <w:sz w:val="18"/>
                <w:szCs w:val="18"/>
              </w:rPr>
            </w:pPr>
            <w:r w:rsidRPr="000169EF">
              <w:rPr>
                <w:color w:val="000000"/>
                <w:sz w:val="18"/>
                <w:szCs w:val="18"/>
              </w:rPr>
              <w:t>5.874</w:t>
            </w:r>
          </w:p>
        </w:tc>
        <w:tc>
          <w:tcPr>
            <w:tcW w:w="470" w:type="pct"/>
            <w:shd w:val="clear" w:color="auto" w:fill="auto"/>
            <w:noWrap/>
            <w:vAlign w:val="center"/>
          </w:tcPr>
          <w:p w14:paraId="3D8232C3" w14:textId="77777777" w:rsidR="000740F7" w:rsidRPr="000169EF" w:rsidRDefault="000740F7" w:rsidP="006D0A51">
            <w:pPr>
              <w:jc w:val="center"/>
              <w:rPr>
                <w:color w:val="000000"/>
                <w:sz w:val="18"/>
                <w:szCs w:val="18"/>
              </w:rPr>
            </w:pPr>
            <w:r w:rsidRPr="000169EF">
              <w:rPr>
                <w:color w:val="000000"/>
                <w:sz w:val="18"/>
                <w:szCs w:val="18"/>
              </w:rPr>
              <w:t>147</w:t>
            </w:r>
          </w:p>
        </w:tc>
        <w:tc>
          <w:tcPr>
            <w:tcW w:w="390" w:type="pct"/>
            <w:shd w:val="clear" w:color="auto" w:fill="auto"/>
            <w:noWrap/>
            <w:vAlign w:val="center"/>
          </w:tcPr>
          <w:p w14:paraId="46E24093" w14:textId="77777777" w:rsidR="000740F7" w:rsidRPr="000169EF" w:rsidRDefault="000740F7" w:rsidP="006D0A51">
            <w:pPr>
              <w:jc w:val="center"/>
              <w:rPr>
                <w:color w:val="000000"/>
                <w:sz w:val="18"/>
                <w:szCs w:val="18"/>
              </w:rPr>
            </w:pPr>
            <w:r w:rsidRPr="000169EF">
              <w:rPr>
                <w:color w:val="000000"/>
                <w:sz w:val="18"/>
                <w:szCs w:val="18"/>
              </w:rPr>
              <w:t>101%</w:t>
            </w:r>
          </w:p>
        </w:tc>
        <w:tc>
          <w:tcPr>
            <w:tcW w:w="464" w:type="pct"/>
            <w:shd w:val="clear" w:color="auto" w:fill="auto"/>
            <w:noWrap/>
            <w:vAlign w:val="center"/>
          </w:tcPr>
          <w:p w14:paraId="70D42A28" w14:textId="77777777" w:rsidR="000740F7" w:rsidRPr="000169EF" w:rsidRDefault="000740F7" w:rsidP="006D0A51">
            <w:pPr>
              <w:jc w:val="center"/>
              <w:rPr>
                <w:color w:val="000000"/>
                <w:sz w:val="18"/>
                <w:szCs w:val="18"/>
              </w:rPr>
            </w:pPr>
            <w:r w:rsidRPr="000169EF">
              <w:rPr>
                <w:color w:val="000000"/>
                <w:sz w:val="18"/>
                <w:szCs w:val="18"/>
              </w:rPr>
              <w:t>9,1</w:t>
            </w:r>
          </w:p>
        </w:tc>
      </w:tr>
      <w:tr w:rsidR="000740F7" w:rsidRPr="001B4CA2" w14:paraId="3E518E83" w14:textId="77777777" w:rsidTr="006D0A51">
        <w:trPr>
          <w:trHeight w:val="291"/>
        </w:trPr>
        <w:tc>
          <w:tcPr>
            <w:tcW w:w="2653" w:type="pct"/>
            <w:shd w:val="clear" w:color="auto" w:fill="auto"/>
            <w:noWrap/>
            <w:vAlign w:val="center"/>
            <w:hideMark/>
          </w:tcPr>
          <w:p w14:paraId="4EEAA59E"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Izvanparnični predmeti (</w:t>
            </w:r>
            <w:proofErr w:type="spellStart"/>
            <w:r w:rsidRPr="001B4CA2">
              <w:rPr>
                <w:rFonts w:eastAsia="Times New Roman"/>
                <w:sz w:val="18"/>
                <w:szCs w:val="18"/>
                <w:lang w:eastAsia="hr-HR"/>
              </w:rPr>
              <w:t>Ip</w:t>
            </w:r>
            <w:proofErr w:type="spellEnd"/>
            <w:r w:rsidRPr="001B4CA2">
              <w:rPr>
                <w:rFonts w:eastAsia="Times New Roman"/>
                <w:sz w:val="18"/>
                <w:szCs w:val="18"/>
                <w:lang w:eastAsia="hr-HR"/>
              </w:rPr>
              <w:t>-DO)</w:t>
            </w:r>
          </w:p>
        </w:tc>
        <w:tc>
          <w:tcPr>
            <w:tcW w:w="534" w:type="pct"/>
            <w:shd w:val="clear" w:color="auto" w:fill="auto"/>
            <w:noWrap/>
            <w:vAlign w:val="center"/>
          </w:tcPr>
          <w:p w14:paraId="1AE079D0" w14:textId="77777777" w:rsidR="000740F7" w:rsidRPr="000169EF" w:rsidRDefault="000740F7" w:rsidP="006D0A51">
            <w:pPr>
              <w:jc w:val="center"/>
              <w:rPr>
                <w:color w:val="000000"/>
                <w:sz w:val="18"/>
                <w:szCs w:val="18"/>
              </w:rPr>
            </w:pPr>
            <w:r w:rsidRPr="000169EF">
              <w:rPr>
                <w:color w:val="000000"/>
                <w:sz w:val="18"/>
                <w:szCs w:val="18"/>
              </w:rPr>
              <w:t>380</w:t>
            </w:r>
          </w:p>
        </w:tc>
        <w:tc>
          <w:tcPr>
            <w:tcW w:w="489" w:type="pct"/>
            <w:shd w:val="clear" w:color="auto" w:fill="auto"/>
            <w:noWrap/>
            <w:vAlign w:val="center"/>
          </w:tcPr>
          <w:p w14:paraId="30ADEB1E" w14:textId="77777777" w:rsidR="000740F7" w:rsidRPr="000169EF" w:rsidRDefault="000740F7" w:rsidP="006D0A51">
            <w:pPr>
              <w:jc w:val="center"/>
              <w:rPr>
                <w:color w:val="000000"/>
                <w:sz w:val="18"/>
                <w:szCs w:val="18"/>
              </w:rPr>
            </w:pPr>
            <w:r w:rsidRPr="000169EF">
              <w:rPr>
                <w:color w:val="000000"/>
                <w:sz w:val="18"/>
                <w:szCs w:val="18"/>
              </w:rPr>
              <w:t>377</w:t>
            </w:r>
          </w:p>
        </w:tc>
        <w:tc>
          <w:tcPr>
            <w:tcW w:w="470" w:type="pct"/>
            <w:shd w:val="clear" w:color="auto" w:fill="auto"/>
            <w:noWrap/>
            <w:vAlign w:val="center"/>
          </w:tcPr>
          <w:p w14:paraId="1B21AD7A" w14:textId="77777777" w:rsidR="000740F7" w:rsidRPr="000169EF" w:rsidRDefault="000740F7" w:rsidP="006D0A51">
            <w:pPr>
              <w:jc w:val="center"/>
              <w:rPr>
                <w:color w:val="000000"/>
                <w:sz w:val="18"/>
                <w:szCs w:val="18"/>
              </w:rPr>
            </w:pPr>
            <w:r w:rsidRPr="000169EF">
              <w:rPr>
                <w:color w:val="000000"/>
                <w:sz w:val="18"/>
                <w:szCs w:val="18"/>
              </w:rPr>
              <w:t>4</w:t>
            </w:r>
          </w:p>
        </w:tc>
        <w:tc>
          <w:tcPr>
            <w:tcW w:w="390" w:type="pct"/>
            <w:shd w:val="clear" w:color="auto" w:fill="auto"/>
            <w:noWrap/>
            <w:vAlign w:val="center"/>
          </w:tcPr>
          <w:p w14:paraId="7608D10C" w14:textId="77777777" w:rsidR="000740F7" w:rsidRPr="000169EF" w:rsidRDefault="000740F7" w:rsidP="006D0A51">
            <w:pPr>
              <w:jc w:val="center"/>
              <w:rPr>
                <w:color w:val="000000"/>
                <w:sz w:val="18"/>
                <w:szCs w:val="18"/>
              </w:rPr>
            </w:pPr>
            <w:r w:rsidRPr="000169EF">
              <w:rPr>
                <w:color w:val="000000"/>
                <w:sz w:val="18"/>
                <w:szCs w:val="18"/>
              </w:rPr>
              <w:t>99%</w:t>
            </w:r>
          </w:p>
        </w:tc>
        <w:tc>
          <w:tcPr>
            <w:tcW w:w="464" w:type="pct"/>
            <w:shd w:val="clear" w:color="auto" w:fill="auto"/>
            <w:noWrap/>
            <w:vAlign w:val="center"/>
          </w:tcPr>
          <w:p w14:paraId="4B48AE3F" w14:textId="77777777" w:rsidR="000740F7" w:rsidRPr="000169EF" w:rsidRDefault="000740F7" w:rsidP="006D0A51">
            <w:pPr>
              <w:jc w:val="center"/>
              <w:rPr>
                <w:color w:val="000000"/>
                <w:sz w:val="18"/>
                <w:szCs w:val="18"/>
              </w:rPr>
            </w:pPr>
            <w:r w:rsidRPr="000169EF">
              <w:rPr>
                <w:color w:val="000000"/>
                <w:sz w:val="18"/>
                <w:szCs w:val="18"/>
              </w:rPr>
              <w:t>3,9</w:t>
            </w:r>
          </w:p>
        </w:tc>
      </w:tr>
      <w:tr w:rsidR="000740F7" w:rsidRPr="001B4CA2" w14:paraId="37A32C42" w14:textId="77777777" w:rsidTr="006D0A51">
        <w:trPr>
          <w:trHeight w:val="291"/>
        </w:trPr>
        <w:tc>
          <w:tcPr>
            <w:tcW w:w="2653" w:type="pct"/>
            <w:shd w:val="clear" w:color="auto" w:fill="auto"/>
            <w:noWrap/>
            <w:vAlign w:val="center"/>
            <w:hideMark/>
          </w:tcPr>
          <w:p w14:paraId="59D51972"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Pravna mišljenja (M-DO)</w:t>
            </w:r>
          </w:p>
        </w:tc>
        <w:tc>
          <w:tcPr>
            <w:tcW w:w="534" w:type="pct"/>
            <w:shd w:val="clear" w:color="auto" w:fill="auto"/>
            <w:noWrap/>
            <w:vAlign w:val="center"/>
          </w:tcPr>
          <w:p w14:paraId="5F3E0CCB" w14:textId="77777777" w:rsidR="000740F7" w:rsidRPr="000169EF" w:rsidRDefault="000740F7" w:rsidP="006D0A51">
            <w:pPr>
              <w:jc w:val="center"/>
              <w:rPr>
                <w:color w:val="000000"/>
                <w:sz w:val="18"/>
                <w:szCs w:val="18"/>
              </w:rPr>
            </w:pPr>
            <w:r w:rsidRPr="000169EF">
              <w:rPr>
                <w:color w:val="000000"/>
                <w:sz w:val="18"/>
                <w:szCs w:val="18"/>
              </w:rPr>
              <w:t>1.684</w:t>
            </w:r>
          </w:p>
        </w:tc>
        <w:tc>
          <w:tcPr>
            <w:tcW w:w="489" w:type="pct"/>
            <w:shd w:val="clear" w:color="auto" w:fill="auto"/>
            <w:noWrap/>
            <w:vAlign w:val="center"/>
          </w:tcPr>
          <w:p w14:paraId="6A7DB48A" w14:textId="77777777" w:rsidR="000740F7" w:rsidRPr="000169EF" w:rsidRDefault="000740F7" w:rsidP="006D0A51">
            <w:pPr>
              <w:jc w:val="center"/>
              <w:rPr>
                <w:color w:val="000000"/>
                <w:sz w:val="18"/>
                <w:szCs w:val="18"/>
              </w:rPr>
            </w:pPr>
            <w:r w:rsidRPr="000169EF">
              <w:rPr>
                <w:color w:val="000000"/>
                <w:sz w:val="18"/>
                <w:szCs w:val="18"/>
              </w:rPr>
              <w:t>1.661</w:t>
            </w:r>
          </w:p>
        </w:tc>
        <w:tc>
          <w:tcPr>
            <w:tcW w:w="470" w:type="pct"/>
            <w:shd w:val="clear" w:color="auto" w:fill="auto"/>
            <w:noWrap/>
            <w:vAlign w:val="center"/>
          </w:tcPr>
          <w:p w14:paraId="73840871" w14:textId="77777777" w:rsidR="000740F7" w:rsidRPr="000169EF" w:rsidRDefault="000740F7" w:rsidP="006D0A51">
            <w:pPr>
              <w:jc w:val="center"/>
              <w:rPr>
                <w:color w:val="000000"/>
                <w:sz w:val="18"/>
                <w:szCs w:val="18"/>
              </w:rPr>
            </w:pPr>
            <w:r w:rsidRPr="000169EF">
              <w:rPr>
                <w:color w:val="000000"/>
                <w:sz w:val="18"/>
                <w:szCs w:val="18"/>
              </w:rPr>
              <w:t>58</w:t>
            </w:r>
          </w:p>
        </w:tc>
        <w:tc>
          <w:tcPr>
            <w:tcW w:w="390" w:type="pct"/>
            <w:shd w:val="clear" w:color="auto" w:fill="auto"/>
            <w:noWrap/>
            <w:vAlign w:val="center"/>
          </w:tcPr>
          <w:p w14:paraId="2B44CFFD" w14:textId="77777777" w:rsidR="000740F7" w:rsidRPr="000169EF" w:rsidRDefault="000740F7" w:rsidP="006D0A51">
            <w:pPr>
              <w:jc w:val="center"/>
              <w:rPr>
                <w:color w:val="000000"/>
                <w:sz w:val="18"/>
                <w:szCs w:val="18"/>
              </w:rPr>
            </w:pPr>
            <w:r w:rsidRPr="000169EF">
              <w:rPr>
                <w:color w:val="000000"/>
                <w:sz w:val="18"/>
                <w:szCs w:val="18"/>
              </w:rPr>
              <w:t>99%</w:t>
            </w:r>
          </w:p>
        </w:tc>
        <w:tc>
          <w:tcPr>
            <w:tcW w:w="464" w:type="pct"/>
            <w:shd w:val="clear" w:color="auto" w:fill="auto"/>
            <w:noWrap/>
            <w:vAlign w:val="center"/>
          </w:tcPr>
          <w:p w14:paraId="09EBD6FC" w14:textId="77777777" w:rsidR="000740F7" w:rsidRPr="000169EF" w:rsidRDefault="000740F7" w:rsidP="006D0A51">
            <w:pPr>
              <w:jc w:val="center"/>
              <w:rPr>
                <w:color w:val="000000"/>
                <w:sz w:val="18"/>
                <w:szCs w:val="18"/>
              </w:rPr>
            </w:pPr>
            <w:r w:rsidRPr="000169EF">
              <w:rPr>
                <w:color w:val="000000"/>
                <w:sz w:val="18"/>
                <w:szCs w:val="18"/>
              </w:rPr>
              <w:t>12,7</w:t>
            </w:r>
          </w:p>
        </w:tc>
      </w:tr>
      <w:tr w:rsidR="000740F7" w:rsidRPr="001B4CA2" w14:paraId="728658E4" w14:textId="77777777" w:rsidTr="006D0A51">
        <w:trPr>
          <w:trHeight w:val="291"/>
        </w:trPr>
        <w:tc>
          <w:tcPr>
            <w:tcW w:w="2653" w:type="pct"/>
            <w:shd w:val="clear" w:color="auto" w:fill="auto"/>
            <w:noWrap/>
            <w:vAlign w:val="center"/>
            <w:hideMark/>
          </w:tcPr>
          <w:p w14:paraId="09E5A7FC"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Upravni sporovi (Us-DO)</w:t>
            </w:r>
          </w:p>
        </w:tc>
        <w:tc>
          <w:tcPr>
            <w:tcW w:w="534" w:type="pct"/>
            <w:shd w:val="clear" w:color="auto" w:fill="auto"/>
            <w:noWrap/>
            <w:vAlign w:val="center"/>
          </w:tcPr>
          <w:p w14:paraId="4A6A3760" w14:textId="77777777" w:rsidR="000740F7" w:rsidRPr="000169EF" w:rsidRDefault="000740F7" w:rsidP="006D0A51">
            <w:pPr>
              <w:jc w:val="center"/>
              <w:rPr>
                <w:color w:val="000000"/>
                <w:sz w:val="18"/>
                <w:szCs w:val="18"/>
              </w:rPr>
            </w:pPr>
            <w:r w:rsidRPr="000169EF">
              <w:rPr>
                <w:color w:val="000000"/>
                <w:sz w:val="18"/>
                <w:szCs w:val="18"/>
              </w:rPr>
              <w:t>547</w:t>
            </w:r>
          </w:p>
        </w:tc>
        <w:tc>
          <w:tcPr>
            <w:tcW w:w="489" w:type="pct"/>
            <w:shd w:val="clear" w:color="auto" w:fill="auto"/>
            <w:noWrap/>
            <w:vAlign w:val="center"/>
          </w:tcPr>
          <w:p w14:paraId="67DB4CFE" w14:textId="77777777" w:rsidR="000740F7" w:rsidRPr="000169EF" w:rsidRDefault="000740F7" w:rsidP="006D0A51">
            <w:pPr>
              <w:jc w:val="center"/>
              <w:rPr>
                <w:color w:val="000000"/>
                <w:sz w:val="18"/>
                <w:szCs w:val="18"/>
              </w:rPr>
            </w:pPr>
            <w:r w:rsidRPr="000169EF">
              <w:rPr>
                <w:color w:val="000000"/>
                <w:sz w:val="18"/>
                <w:szCs w:val="18"/>
              </w:rPr>
              <w:t>555</w:t>
            </w:r>
          </w:p>
        </w:tc>
        <w:tc>
          <w:tcPr>
            <w:tcW w:w="470" w:type="pct"/>
            <w:shd w:val="clear" w:color="auto" w:fill="auto"/>
            <w:noWrap/>
            <w:vAlign w:val="center"/>
          </w:tcPr>
          <w:p w14:paraId="6325946C" w14:textId="77777777" w:rsidR="000740F7" w:rsidRPr="000169EF" w:rsidRDefault="000740F7" w:rsidP="006D0A51">
            <w:pPr>
              <w:jc w:val="center"/>
              <w:rPr>
                <w:color w:val="000000"/>
                <w:sz w:val="18"/>
                <w:szCs w:val="18"/>
              </w:rPr>
            </w:pPr>
            <w:r w:rsidRPr="000169EF">
              <w:rPr>
                <w:color w:val="000000"/>
                <w:sz w:val="18"/>
                <w:szCs w:val="18"/>
              </w:rPr>
              <w:t>21</w:t>
            </w:r>
          </w:p>
        </w:tc>
        <w:tc>
          <w:tcPr>
            <w:tcW w:w="390" w:type="pct"/>
            <w:shd w:val="clear" w:color="auto" w:fill="auto"/>
            <w:noWrap/>
            <w:vAlign w:val="center"/>
          </w:tcPr>
          <w:p w14:paraId="33BBDF82" w14:textId="77777777" w:rsidR="000740F7" w:rsidRPr="000169EF" w:rsidRDefault="000740F7" w:rsidP="006D0A51">
            <w:pPr>
              <w:jc w:val="center"/>
              <w:rPr>
                <w:color w:val="000000"/>
                <w:sz w:val="18"/>
                <w:szCs w:val="18"/>
              </w:rPr>
            </w:pPr>
            <w:r w:rsidRPr="000169EF">
              <w:rPr>
                <w:color w:val="000000"/>
                <w:sz w:val="18"/>
                <w:szCs w:val="18"/>
              </w:rPr>
              <w:t>101%</w:t>
            </w:r>
          </w:p>
        </w:tc>
        <w:tc>
          <w:tcPr>
            <w:tcW w:w="464" w:type="pct"/>
            <w:shd w:val="clear" w:color="auto" w:fill="auto"/>
            <w:noWrap/>
            <w:vAlign w:val="center"/>
          </w:tcPr>
          <w:p w14:paraId="497A43C3" w14:textId="77777777" w:rsidR="000740F7" w:rsidRPr="000169EF" w:rsidRDefault="000740F7" w:rsidP="006D0A51">
            <w:pPr>
              <w:jc w:val="center"/>
              <w:rPr>
                <w:color w:val="000000"/>
                <w:sz w:val="18"/>
                <w:szCs w:val="18"/>
              </w:rPr>
            </w:pPr>
            <w:r w:rsidRPr="000169EF">
              <w:rPr>
                <w:color w:val="000000"/>
                <w:sz w:val="18"/>
                <w:szCs w:val="18"/>
              </w:rPr>
              <w:t>13,8</w:t>
            </w:r>
          </w:p>
        </w:tc>
      </w:tr>
      <w:tr w:rsidR="000740F7" w:rsidRPr="001B4CA2" w14:paraId="3FEF2B9C" w14:textId="77777777" w:rsidTr="006D0A51">
        <w:trPr>
          <w:trHeight w:val="291"/>
        </w:trPr>
        <w:tc>
          <w:tcPr>
            <w:tcW w:w="2653" w:type="pct"/>
            <w:shd w:val="clear" w:color="auto" w:fill="auto"/>
            <w:noWrap/>
            <w:vAlign w:val="center"/>
            <w:hideMark/>
          </w:tcPr>
          <w:p w14:paraId="270D26DB" w14:textId="77777777" w:rsidR="000740F7" w:rsidRPr="001B4CA2" w:rsidRDefault="000740F7" w:rsidP="006D0A51">
            <w:pPr>
              <w:jc w:val="left"/>
              <w:rPr>
                <w:rFonts w:eastAsia="Times New Roman"/>
                <w:sz w:val="18"/>
                <w:szCs w:val="18"/>
                <w:lang w:eastAsia="hr-HR"/>
              </w:rPr>
            </w:pPr>
            <w:r w:rsidRPr="001B4CA2">
              <w:rPr>
                <w:rFonts w:eastAsia="Times New Roman"/>
                <w:sz w:val="18"/>
                <w:szCs w:val="18"/>
                <w:lang w:eastAsia="hr-HR"/>
              </w:rPr>
              <w:t>Ostali predmeti</w:t>
            </w:r>
          </w:p>
        </w:tc>
        <w:tc>
          <w:tcPr>
            <w:tcW w:w="534" w:type="pct"/>
            <w:shd w:val="clear" w:color="auto" w:fill="auto"/>
            <w:noWrap/>
            <w:vAlign w:val="center"/>
          </w:tcPr>
          <w:p w14:paraId="3E985522" w14:textId="77777777" w:rsidR="000740F7" w:rsidRPr="000169EF" w:rsidRDefault="000740F7" w:rsidP="006D0A51">
            <w:pPr>
              <w:jc w:val="center"/>
              <w:rPr>
                <w:color w:val="000000"/>
                <w:sz w:val="18"/>
                <w:szCs w:val="18"/>
              </w:rPr>
            </w:pPr>
            <w:r w:rsidRPr="000169EF">
              <w:rPr>
                <w:color w:val="000000"/>
                <w:sz w:val="18"/>
                <w:szCs w:val="18"/>
              </w:rPr>
              <w:t>1.821</w:t>
            </w:r>
          </w:p>
        </w:tc>
        <w:tc>
          <w:tcPr>
            <w:tcW w:w="489" w:type="pct"/>
            <w:shd w:val="clear" w:color="auto" w:fill="auto"/>
            <w:noWrap/>
            <w:vAlign w:val="center"/>
          </w:tcPr>
          <w:p w14:paraId="7506CE51" w14:textId="77777777" w:rsidR="000740F7" w:rsidRPr="000169EF" w:rsidRDefault="000740F7" w:rsidP="006D0A51">
            <w:pPr>
              <w:jc w:val="center"/>
              <w:rPr>
                <w:color w:val="000000"/>
                <w:sz w:val="18"/>
                <w:szCs w:val="18"/>
              </w:rPr>
            </w:pPr>
            <w:r w:rsidRPr="000169EF">
              <w:rPr>
                <w:color w:val="000000"/>
                <w:sz w:val="18"/>
                <w:szCs w:val="18"/>
              </w:rPr>
              <w:t>1.844</w:t>
            </w:r>
          </w:p>
        </w:tc>
        <w:tc>
          <w:tcPr>
            <w:tcW w:w="470" w:type="pct"/>
            <w:shd w:val="clear" w:color="auto" w:fill="auto"/>
            <w:noWrap/>
            <w:vAlign w:val="center"/>
          </w:tcPr>
          <w:p w14:paraId="2125F8E2" w14:textId="77777777" w:rsidR="000740F7" w:rsidRPr="000169EF" w:rsidRDefault="000740F7" w:rsidP="006D0A51">
            <w:pPr>
              <w:jc w:val="center"/>
              <w:rPr>
                <w:color w:val="000000"/>
                <w:sz w:val="18"/>
                <w:szCs w:val="18"/>
              </w:rPr>
            </w:pPr>
            <w:r w:rsidRPr="000169EF">
              <w:rPr>
                <w:color w:val="000000"/>
                <w:sz w:val="18"/>
                <w:szCs w:val="18"/>
              </w:rPr>
              <w:t>108</w:t>
            </w:r>
          </w:p>
        </w:tc>
        <w:tc>
          <w:tcPr>
            <w:tcW w:w="390" w:type="pct"/>
            <w:shd w:val="clear" w:color="auto" w:fill="auto"/>
            <w:noWrap/>
            <w:vAlign w:val="center"/>
          </w:tcPr>
          <w:p w14:paraId="48C9A887" w14:textId="77777777" w:rsidR="000740F7" w:rsidRPr="000169EF" w:rsidRDefault="000740F7" w:rsidP="006D0A51">
            <w:pPr>
              <w:jc w:val="center"/>
              <w:rPr>
                <w:color w:val="000000"/>
                <w:sz w:val="18"/>
                <w:szCs w:val="18"/>
              </w:rPr>
            </w:pPr>
            <w:r w:rsidRPr="000169EF">
              <w:rPr>
                <w:color w:val="000000"/>
                <w:sz w:val="18"/>
                <w:szCs w:val="18"/>
              </w:rPr>
              <w:t>101%</w:t>
            </w:r>
          </w:p>
        </w:tc>
        <w:tc>
          <w:tcPr>
            <w:tcW w:w="464" w:type="pct"/>
            <w:shd w:val="clear" w:color="auto" w:fill="auto"/>
            <w:noWrap/>
            <w:vAlign w:val="center"/>
          </w:tcPr>
          <w:p w14:paraId="7B53263F" w14:textId="77777777" w:rsidR="000740F7" w:rsidRPr="000169EF" w:rsidRDefault="000740F7" w:rsidP="006D0A51">
            <w:pPr>
              <w:jc w:val="center"/>
              <w:rPr>
                <w:color w:val="000000"/>
                <w:sz w:val="18"/>
                <w:szCs w:val="18"/>
              </w:rPr>
            </w:pPr>
            <w:r w:rsidRPr="000169EF">
              <w:rPr>
                <w:color w:val="000000"/>
                <w:sz w:val="18"/>
                <w:szCs w:val="18"/>
              </w:rPr>
              <w:t>21,4</w:t>
            </w:r>
          </w:p>
        </w:tc>
      </w:tr>
      <w:tr w:rsidR="000740F7" w:rsidRPr="001B4CA2" w14:paraId="66B47362" w14:textId="77777777" w:rsidTr="006D0A51">
        <w:trPr>
          <w:trHeight w:val="291"/>
        </w:trPr>
        <w:tc>
          <w:tcPr>
            <w:tcW w:w="2653" w:type="pct"/>
            <w:shd w:val="clear" w:color="auto" w:fill="auto"/>
            <w:noWrap/>
            <w:vAlign w:val="center"/>
            <w:hideMark/>
          </w:tcPr>
          <w:p w14:paraId="5568C8BA" w14:textId="77777777" w:rsidR="000740F7" w:rsidRPr="001B4CA2" w:rsidRDefault="000740F7" w:rsidP="006D0A51">
            <w:pPr>
              <w:jc w:val="left"/>
              <w:rPr>
                <w:rFonts w:eastAsia="Times New Roman"/>
                <w:b/>
                <w:bCs/>
                <w:sz w:val="18"/>
                <w:szCs w:val="18"/>
                <w:lang w:eastAsia="hr-HR"/>
              </w:rPr>
            </w:pPr>
            <w:r w:rsidRPr="001B4CA2">
              <w:rPr>
                <w:rFonts w:eastAsia="Times New Roman"/>
                <w:b/>
                <w:bCs/>
                <w:sz w:val="18"/>
                <w:szCs w:val="18"/>
                <w:lang w:eastAsia="hr-HR"/>
              </w:rPr>
              <w:t>Ukupno građansko-upravni</w:t>
            </w:r>
          </w:p>
        </w:tc>
        <w:tc>
          <w:tcPr>
            <w:tcW w:w="534" w:type="pct"/>
            <w:shd w:val="clear" w:color="auto" w:fill="auto"/>
            <w:noWrap/>
            <w:vAlign w:val="center"/>
          </w:tcPr>
          <w:p w14:paraId="2FE9653B" w14:textId="77777777" w:rsidR="000740F7" w:rsidRPr="000169EF" w:rsidRDefault="000740F7" w:rsidP="006D0A51">
            <w:pPr>
              <w:jc w:val="center"/>
              <w:rPr>
                <w:color w:val="000000"/>
                <w:sz w:val="18"/>
                <w:szCs w:val="18"/>
              </w:rPr>
            </w:pPr>
            <w:r w:rsidRPr="000169EF">
              <w:rPr>
                <w:color w:val="000000"/>
                <w:sz w:val="18"/>
                <w:szCs w:val="18"/>
              </w:rPr>
              <w:t>11.711</w:t>
            </w:r>
          </w:p>
        </w:tc>
        <w:tc>
          <w:tcPr>
            <w:tcW w:w="489" w:type="pct"/>
            <w:shd w:val="clear" w:color="auto" w:fill="auto"/>
            <w:noWrap/>
            <w:vAlign w:val="center"/>
          </w:tcPr>
          <w:p w14:paraId="27DD6439" w14:textId="77777777" w:rsidR="000740F7" w:rsidRPr="000169EF" w:rsidRDefault="000740F7" w:rsidP="006D0A51">
            <w:pPr>
              <w:jc w:val="center"/>
              <w:rPr>
                <w:color w:val="000000"/>
                <w:sz w:val="18"/>
                <w:szCs w:val="18"/>
              </w:rPr>
            </w:pPr>
            <w:r w:rsidRPr="000169EF">
              <w:rPr>
                <w:color w:val="000000"/>
                <w:sz w:val="18"/>
                <w:szCs w:val="18"/>
              </w:rPr>
              <w:t>11.806</w:t>
            </w:r>
          </w:p>
        </w:tc>
        <w:tc>
          <w:tcPr>
            <w:tcW w:w="470" w:type="pct"/>
            <w:shd w:val="clear" w:color="auto" w:fill="auto"/>
            <w:noWrap/>
            <w:vAlign w:val="center"/>
          </w:tcPr>
          <w:p w14:paraId="735AA5BC" w14:textId="77777777" w:rsidR="000740F7" w:rsidRPr="000169EF" w:rsidRDefault="000740F7" w:rsidP="006D0A51">
            <w:pPr>
              <w:jc w:val="center"/>
              <w:rPr>
                <w:color w:val="000000"/>
                <w:sz w:val="18"/>
                <w:szCs w:val="18"/>
              </w:rPr>
            </w:pPr>
            <w:r w:rsidRPr="000169EF">
              <w:rPr>
                <w:color w:val="000000"/>
                <w:sz w:val="18"/>
                <w:szCs w:val="18"/>
              </w:rPr>
              <w:t>484</w:t>
            </w:r>
          </w:p>
        </w:tc>
        <w:tc>
          <w:tcPr>
            <w:tcW w:w="390" w:type="pct"/>
            <w:shd w:val="clear" w:color="auto" w:fill="auto"/>
            <w:noWrap/>
            <w:vAlign w:val="center"/>
          </w:tcPr>
          <w:p w14:paraId="779524FD" w14:textId="77777777" w:rsidR="000740F7" w:rsidRPr="000169EF" w:rsidRDefault="000740F7" w:rsidP="006D0A51">
            <w:pPr>
              <w:jc w:val="center"/>
              <w:rPr>
                <w:color w:val="000000"/>
                <w:sz w:val="18"/>
                <w:szCs w:val="18"/>
              </w:rPr>
            </w:pPr>
            <w:r w:rsidRPr="000169EF">
              <w:rPr>
                <w:color w:val="000000"/>
                <w:sz w:val="18"/>
                <w:szCs w:val="18"/>
              </w:rPr>
              <w:t>101%</w:t>
            </w:r>
          </w:p>
        </w:tc>
        <w:tc>
          <w:tcPr>
            <w:tcW w:w="464" w:type="pct"/>
            <w:shd w:val="clear" w:color="auto" w:fill="auto"/>
            <w:noWrap/>
            <w:vAlign w:val="center"/>
          </w:tcPr>
          <w:p w14:paraId="2FB8FC51" w14:textId="77777777" w:rsidR="000740F7" w:rsidRPr="000169EF" w:rsidRDefault="000740F7" w:rsidP="006D0A51">
            <w:pPr>
              <w:jc w:val="center"/>
              <w:rPr>
                <w:color w:val="000000"/>
                <w:sz w:val="18"/>
                <w:szCs w:val="18"/>
              </w:rPr>
            </w:pPr>
            <w:r w:rsidRPr="000169EF">
              <w:rPr>
                <w:color w:val="000000"/>
                <w:sz w:val="18"/>
                <w:szCs w:val="18"/>
              </w:rPr>
              <w:t>15,0</w:t>
            </w:r>
          </w:p>
        </w:tc>
      </w:tr>
    </w:tbl>
    <w:p w14:paraId="3856BF31" w14:textId="77777777" w:rsidR="000740F7" w:rsidRPr="001B4CA2" w:rsidRDefault="000740F7" w:rsidP="000740F7">
      <w:pPr>
        <w:ind w:firstLine="708"/>
      </w:pPr>
      <w:r w:rsidRPr="001B4CA2">
        <w:lastRenderedPageBreak/>
        <w:t>U radu županijskih državnih odvjetništava od kaznenih predmeta najveći je broj tzv. drugih kaznenih predmeta i predmeta pravnih lijekova, dok je od građanskih i upravnih predmeta najveći broj stečajnih predmeta, predmeta pravnih mišljenja i predmeta prevencije.</w:t>
      </w:r>
    </w:p>
    <w:p w14:paraId="72F18EB8" w14:textId="77777777" w:rsidR="000740F7" w:rsidRPr="001B4CA2" w:rsidRDefault="000740F7" w:rsidP="000740F7"/>
    <w:p w14:paraId="37FD1378" w14:textId="45526579" w:rsidR="000740F7" w:rsidRPr="001B4CA2" w:rsidRDefault="000740F7" w:rsidP="000740F7">
      <w:pPr>
        <w:ind w:firstLine="708"/>
      </w:pPr>
      <w:r w:rsidRPr="001B4CA2">
        <w:t>Prosječna stopa ažurnosti za kaznene</w:t>
      </w:r>
      <w:r w:rsidR="001B4CA2">
        <w:t xml:space="preserve"> </w:t>
      </w:r>
      <w:r w:rsidRPr="001B4CA2">
        <w:t>se predmete kontinuirano povećava s prosječne stope od 95 %, koliko je iznosila u 2020. godini, na prosječnu stopu od 100 %, u 2021. godini, dok u izvještajnoj godini prosječna stopa ažurnosti iznosi 101</w:t>
      </w:r>
      <w:r w:rsidR="00A804EF">
        <w:t> </w:t>
      </w:r>
      <w:r w:rsidRPr="001B4CA2">
        <w:t>%. Prosječna stopa ažurnosti za građanske i upravne predmete povećana je s prošlogodišnjih 100</w:t>
      </w:r>
      <w:r w:rsidR="00A804EF">
        <w:t> </w:t>
      </w:r>
      <w:r w:rsidRPr="001B4CA2">
        <w:t>% na 101</w:t>
      </w:r>
      <w:r w:rsidR="00A804EF">
        <w:t> </w:t>
      </w:r>
      <w:r w:rsidRPr="001B4CA2">
        <w:t xml:space="preserve">% u izvještajnom razdoblju. </w:t>
      </w:r>
    </w:p>
    <w:p w14:paraId="45777EF4" w14:textId="77777777" w:rsidR="00186E00" w:rsidRPr="001B4CA2" w:rsidRDefault="00186E00" w:rsidP="006A3132"/>
    <w:p w14:paraId="36F8F0BB" w14:textId="11B0AD57" w:rsidR="00BB4D48" w:rsidRPr="001B4CA2" w:rsidRDefault="00BB4D48" w:rsidP="00AE3F57">
      <w:pPr>
        <w:pStyle w:val="Naslov3"/>
        <w:rPr>
          <w:rFonts w:ascii="Arial" w:hAnsi="Arial" w:cs="Arial"/>
        </w:rPr>
      </w:pPr>
      <w:bookmarkStart w:id="17" w:name="_Toc133394281"/>
      <w:r w:rsidRPr="001B4CA2">
        <w:rPr>
          <w:rFonts w:ascii="Arial" w:hAnsi="Arial" w:cs="Arial"/>
        </w:rPr>
        <w:t>Pregled kretanja predmeta županijsk</w:t>
      </w:r>
      <w:r w:rsidR="00D80F32" w:rsidRPr="001B4CA2">
        <w:rPr>
          <w:rFonts w:ascii="Arial" w:hAnsi="Arial" w:cs="Arial"/>
        </w:rPr>
        <w:t xml:space="preserve">ih državnih odvjetništava u </w:t>
      </w:r>
      <w:r w:rsidR="00015BAB" w:rsidRPr="001B4CA2">
        <w:rPr>
          <w:rFonts w:ascii="Arial" w:hAnsi="Arial" w:cs="Arial"/>
        </w:rPr>
        <w:t>202</w:t>
      </w:r>
      <w:r w:rsidR="000740F7" w:rsidRPr="001B4CA2">
        <w:rPr>
          <w:rFonts w:ascii="Arial" w:hAnsi="Arial" w:cs="Arial"/>
        </w:rPr>
        <w:t>2</w:t>
      </w:r>
      <w:r w:rsidR="00197521" w:rsidRPr="001B4CA2">
        <w:rPr>
          <w:rFonts w:ascii="Arial" w:hAnsi="Arial" w:cs="Arial"/>
        </w:rPr>
        <w:t xml:space="preserve">. godini – </w:t>
      </w:r>
      <w:r w:rsidRPr="001B4CA2">
        <w:rPr>
          <w:rFonts w:ascii="Arial" w:hAnsi="Arial" w:cs="Arial"/>
        </w:rPr>
        <w:t>pojedinačno</w:t>
      </w:r>
      <w:bookmarkEnd w:id="17"/>
    </w:p>
    <w:p w14:paraId="222C10CA" w14:textId="77777777" w:rsidR="00590AB1" w:rsidRPr="001B4CA2" w:rsidRDefault="00590AB1" w:rsidP="00886E1C"/>
    <w:p w14:paraId="1DF81713" w14:textId="747B2182" w:rsidR="004E6471" w:rsidRPr="001B4CA2" w:rsidRDefault="000169EF" w:rsidP="004E6471">
      <w:pPr>
        <w:ind w:left="142"/>
        <w:rPr>
          <w:i/>
        </w:rPr>
      </w:pPr>
      <w:r>
        <w:rPr>
          <w:i/>
        </w:rPr>
        <w:t xml:space="preserve"> </w:t>
      </w:r>
      <w:r w:rsidR="004E6471" w:rsidRPr="001B4CA2">
        <w:rPr>
          <w:i/>
        </w:rPr>
        <w:t>Pregled kretanja predmeta po pojedinom županijskom državnom odvjetništvu</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560"/>
        <w:gridCol w:w="1559"/>
        <w:gridCol w:w="1559"/>
        <w:gridCol w:w="1559"/>
      </w:tblGrid>
      <w:tr w:rsidR="004E6471" w:rsidRPr="001B4CA2" w14:paraId="77A97720" w14:textId="77777777" w:rsidTr="000169EF">
        <w:trPr>
          <w:trHeight w:val="1355"/>
        </w:trPr>
        <w:tc>
          <w:tcPr>
            <w:tcW w:w="2126" w:type="dxa"/>
            <w:shd w:val="clear" w:color="auto" w:fill="99CCFF"/>
            <w:vAlign w:val="center"/>
            <w:hideMark/>
          </w:tcPr>
          <w:p w14:paraId="5199EB20" w14:textId="77777777" w:rsidR="004E6471" w:rsidRPr="001B4CA2" w:rsidRDefault="004E6471" w:rsidP="006D0A51">
            <w:pPr>
              <w:jc w:val="center"/>
              <w:rPr>
                <w:rFonts w:eastAsia="Times New Roman"/>
                <w:b/>
                <w:bCs/>
                <w:sz w:val="18"/>
                <w:szCs w:val="18"/>
                <w:lang w:eastAsia="hr-HR"/>
              </w:rPr>
            </w:pPr>
            <w:r w:rsidRPr="001B4CA2">
              <w:rPr>
                <w:rFonts w:eastAsia="Times New Roman"/>
                <w:b/>
                <w:bCs/>
                <w:sz w:val="18"/>
                <w:szCs w:val="18"/>
                <w:lang w:eastAsia="hr-HR"/>
              </w:rPr>
              <w:t>Državno odvjetništvo</w:t>
            </w:r>
          </w:p>
        </w:tc>
        <w:tc>
          <w:tcPr>
            <w:tcW w:w="1560" w:type="dxa"/>
            <w:shd w:val="clear" w:color="auto" w:fill="99CCFF"/>
            <w:vAlign w:val="center"/>
            <w:hideMark/>
          </w:tcPr>
          <w:p w14:paraId="18DDFF72" w14:textId="77777777" w:rsidR="004E6471" w:rsidRPr="001B4CA2" w:rsidRDefault="004E6471" w:rsidP="006D0A51">
            <w:pPr>
              <w:jc w:val="center"/>
              <w:rPr>
                <w:rFonts w:eastAsia="Times New Roman"/>
                <w:b/>
                <w:bCs/>
                <w:sz w:val="18"/>
                <w:szCs w:val="18"/>
                <w:lang w:eastAsia="hr-HR"/>
              </w:rPr>
            </w:pPr>
            <w:r w:rsidRPr="001B4CA2">
              <w:rPr>
                <w:rFonts w:eastAsia="Times New Roman"/>
                <w:b/>
                <w:bCs/>
                <w:sz w:val="18"/>
                <w:szCs w:val="18"/>
                <w:lang w:eastAsia="hr-HR"/>
              </w:rPr>
              <w:t>Ukupno neriješeno na 31. 12. 2021.</w:t>
            </w:r>
          </w:p>
        </w:tc>
        <w:tc>
          <w:tcPr>
            <w:tcW w:w="1559" w:type="dxa"/>
            <w:shd w:val="clear" w:color="auto" w:fill="99CCFF"/>
            <w:vAlign w:val="center"/>
            <w:hideMark/>
          </w:tcPr>
          <w:p w14:paraId="179D8392" w14:textId="77777777" w:rsidR="004E6471" w:rsidRPr="001B4CA2" w:rsidRDefault="004E6471" w:rsidP="006D0A51">
            <w:pPr>
              <w:jc w:val="center"/>
              <w:rPr>
                <w:rFonts w:eastAsia="Times New Roman"/>
                <w:b/>
                <w:bCs/>
                <w:sz w:val="18"/>
                <w:szCs w:val="18"/>
                <w:lang w:eastAsia="hr-HR"/>
              </w:rPr>
            </w:pPr>
            <w:r w:rsidRPr="001B4CA2">
              <w:rPr>
                <w:rFonts w:eastAsia="Times New Roman"/>
                <w:b/>
                <w:bCs/>
                <w:sz w:val="18"/>
                <w:szCs w:val="18"/>
                <w:lang w:eastAsia="hr-HR"/>
              </w:rPr>
              <w:t>Ukupno primljeno</w:t>
            </w:r>
          </w:p>
        </w:tc>
        <w:tc>
          <w:tcPr>
            <w:tcW w:w="1559" w:type="dxa"/>
            <w:shd w:val="clear" w:color="auto" w:fill="99CCFF"/>
            <w:vAlign w:val="center"/>
            <w:hideMark/>
          </w:tcPr>
          <w:p w14:paraId="10CD32A3" w14:textId="77777777" w:rsidR="004E6471" w:rsidRPr="001B4CA2" w:rsidRDefault="004E6471" w:rsidP="006D0A51">
            <w:pPr>
              <w:jc w:val="center"/>
              <w:rPr>
                <w:rFonts w:eastAsia="Times New Roman"/>
                <w:b/>
                <w:bCs/>
                <w:sz w:val="18"/>
                <w:szCs w:val="18"/>
                <w:lang w:eastAsia="hr-HR"/>
              </w:rPr>
            </w:pPr>
            <w:r w:rsidRPr="001B4CA2">
              <w:rPr>
                <w:rFonts w:eastAsia="Times New Roman"/>
                <w:b/>
                <w:bCs/>
                <w:sz w:val="18"/>
                <w:szCs w:val="18"/>
                <w:lang w:eastAsia="hr-HR"/>
              </w:rPr>
              <w:t>Ukupno riješeno</w:t>
            </w:r>
          </w:p>
        </w:tc>
        <w:tc>
          <w:tcPr>
            <w:tcW w:w="1559" w:type="dxa"/>
            <w:shd w:val="clear" w:color="auto" w:fill="99CCFF"/>
            <w:vAlign w:val="center"/>
            <w:hideMark/>
          </w:tcPr>
          <w:p w14:paraId="2B1C4C57" w14:textId="77777777" w:rsidR="004E6471" w:rsidRPr="001B4CA2" w:rsidRDefault="004E6471" w:rsidP="006D0A51">
            <w:pPr>
              <w:jc w:val="center"/>
              <w:rPr>
                <w:rFonts w:eastAsia="Times New Roman"/>
                <w:b/>
                <w:bCs/>
                <w:sz w:val="18"/>
                <w:szCs w:val="18"/>
                <w:lang w:eastAsia="hr-HR"/>
              </w:rPr>
            </w:pPr>
            <w:r w:rsidRPr="001B4CA2">
              <w:rPr>
                <w:rFonts w:eastAsia="Times New Roman"/>
                <w:b/>
                <w:bCs/>
                <w:sz w:val="18"/>
                <w:szCs w:val="18"/>
                <w:lang w:eastAsia="hr-HR"/>
              </w:rPr>
              <w:t>Ukupno neriješeno na 31. 12. 2022.</w:t>
            </w:r>
          </w:p>
        </w:tc>
      </w:tr>
      <w:tr w:rsidR="004E6471" w:rsidRPr="001B4CA2" w14:paraId="26557463" w14:textId="77777777" w:rsidTr="000169EF">
        <w:trPr>
          <w:trHeight w:val="306"/>
        </w:trPr>
        <w:tc>
          <w:tcPr>
            <w:tcW w:w="2126" w:type="dxa"/>
            <w:shd w:val="clear" w:color="auto" w:fill="auto"/>
            <w:noWrap/>
            <w:vAlign w:val="center"/>
            <w:hideMark/>
          </w:tcPr>
          <w:p w14:paraId="3B4BF871"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Bjelovaru</w:t>
            </w:r>
          </w:p>
        </w:tc>
        <w:tc>
          <w:tcPr>
            <w:tcW w:w="1560" w:type="dxa"/>
            <w:shd w:val="clear" w:color="auto" w:fill="auto"/>
            <w:noWrap/>
            <w:vAlign w:val="center"/>
          </w:tcPr>
          <w:p w14:paraId="6C86DD97" w14:textId="77777777" w:rsidR="004E6471" w:rsidRPr="000169EF" w:rsidRDefault="004E6471" w:rsidP="006D0A51">
            <w:pPr>
              <w:jc w:val="center"/>
              <w:rPr>
                <w:color w:val="000000"/>
                <w:sz w:val="18"/>
                <w:szCs w:val="18"/>
              </w:rPr>
            </w:pPr>
            <w:r w:rsidRPr="000169EF">
              <w:rPr>
                <w:color w:val="000000"/>
                <w:sz w:val="18"/>
                <w:szCs w:val="18"/>
              </w:rPr>
              <w:t>118</w:t>
            </w:r>
          </w:p>
        </w:tc>
        <w:tc>
          <w:tcPr>
            <w:tcW w:w="1559" w:type="dxa"/>
            <w:shd w:val="clear" w:color="auto" w:fill="auto"/>
            <w:noWrap/>
            <w:vAlign w:val="center"/>
          </w:tcPr>
          <w:p w14:paraId="0CEFE232" w14:textId="77777777" w:rsidR="004E6471" w:rsidRPr="000169EF" w:rsidRDefault="004E6471" w:rsidP="006D0A51">
            <w:pPr>
              <w:jc w:val="center"/>
              <w:rPr>
                <w:color w:val="000000"/>
                <w:sz w:val="18"/>
                <w:szCs w:val="18"/>
              </w:rPr>
            </w:pPr>
            <w:r w:rsidRPr="000169EF">
              <w:rPr>
                <w:color w:val="000000"/>
                <w:sz w:val="18"/>
                <w:szCs w:val="18"/>
              </w:rPr>
              <w:t>2.071</w:t>
            </w:r>
          </w:p>
        </w:tc>
        <w:tc>
          <w:tcPr>
            <w:tcW w:w="1559" w:type="dxa"/>
            <w:shd w:val="clear" w:color="auto" w:fill="auto"/>
            <w:noWrap/>
            <w:vAlign w:val="center"/>
          </w:tcPr>
          <w:p w14:paraId="69C540D9" w14:textId="77777777" w:rsidR="004E6471" w:rsidRPr="000169EF" w:rsidRDefault="004E6471" w:rsidP="006D0A51">
            <w:pPr>
              <w:jc w:val="center"/>
              <w:rPr>
                <w:color w:val="000000"/>
                <w:sz w:val="18"/>
                <w:szCs w:val="18"/>
              </w:rPr>
            </w:pPr>
            <w:r w:rsidRPr="000169EF">
              <w:rPr>
                <w:color w:val="000000"/>
                <w:sz w:val="18"/>
                <w:szCs w:val="18"/>
              </w:rPr>
              <w:t>2.081</w:t>
            </w:r>
          </w:p>
        </w:tc>
        <w:tc>
          <w:tcPr>
            <w:tcW w:w="1559" w:type="dxa"/>
            <w:shd w:val="clear" w:color="auto" w:fill="auto"/>
            <w:noWrap/>
            <w:vAlign w:val="center"/>
          </w:tcPr>
          <w:p w14:paraId="4F55B6DF" w14:textId="77777777" w:rsidR="004E6471" w:rsidRPr="000169EF" w:rsidRDefault="004E6471" w:rsidP="006D0A51">
            <w:pPr>
              <w:jc w:val="center"/>
              <w:rPr>
                <w:color w:val="000000"/>
                <w:sz w:val="18"/>
                <w:szCs w:val="18"/>
              </w:rPr>
            </w:pPr>
            <w:r w:rsidRPr="000169EF">
              <w:rPr>
                <w:color w:val="000000"/>
                <w:sz w:val="18"/>
                <w:szCs w:val="18"/>
              </w:rPr>
              <w:t>108</w:t>
            </w:r>
          </w:p>
        </w:tc>
      </w:tr>
      <w:tr w:rsidR="004E6471" w:rsidRPr="001B4CA2" w14:paraId="5EB47F2D" w14:textId="77777777" w:rsidTr="000169EF">
        <w:trPr>
          <w:trHeight w:val="306"/>
        </w:trPr>
        <w:tc>
          <w:tcPr>
            <w:tcW w:w="2126" w:type="dxa"/>
            <w:shd w:val="clear" w:color="auto" w:fill="auto"/>
            <w:noWrap/>
            <w:vAlign w:val="center"/>
            <w:hideMark/>
          </w:tcPr>
          <w:p w14:paraId="375EB89B"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Dubrovniku</w:t>
            </w:r>
          </w:p>
        </w:tc>
        <w:tc>
          <w:tcPr>
            <w:tcW w:w="1560" w:type="dxa"/>
            <w:shd w:val="clear" w:color="auto" w:fill="auto"/>
            <w:noWrap/>
            <w:vAlign w:val="center"/>
          </w:tcPr>
          <w:p w14:paraId="47DCE674" w14:textId="77777777" w:rsidR="004E6471" w:rsidRPr="000169EF" w:rsidRDefault="004E6471" w:rsidP="006D0A51">
            <w:pPr>
              <w:jc w:val="center"/>
              <w:rPr>
                <w:color w:val="000000"/>
                <w:sz w:val="18"/>
                <w:szCs w:val="18"/>
              </w:rPr>
            </w:pPr>
            <w:r w:rsidRPr="000169EF">
              <w:rPr>
                <w:color w:val="000000"/>
                <w:sz w:val="18"/>
                <w:szCs w:val="18"/>
              </w:rPr>
              <w:t>124</w:t>
            </w:r>
          </w:p>
        </w:tc>
        <w:tc>
          <w:tcPr>
            <w:tcW w:w="1559" w:type="dxa"/>
            <w:shd w:val="clear" w:color="auto" w:fill="auto"/>
            <w:noWrap/>
            <w:vAlign w:val="center"/>
          </w:tcPr>
          <w:p w14:paraId="0081C94F" w14:textId="77777777" w:rsidR="004E6471" w:rsidRPr="000169EF" w:rsidRDefault="004E6471" w:rsidP="006D0A51">
            <w:pPr>
              <w:jc w:val="center"/>
              <w:rPr>
                <w:color w:val="000000"/>
                <w:sz w:val="18"/>
                <w:szCs w:val="18"/>
              </w:rPr>
            </w:pPr>
            <w:r w:rsidRPr="000169EF">
              <w:rPr>
                <w:color w:val="000000"/>
                <w:sz w:val="18"/>
                <w:szCs w:val="18"/>
              </w:rPr>
              <w:t>1.052</w:t>
            </w:r>
          </w:p>
        </w:tc>
        <w:tc>
          <w:tcPr>
            <w:tcW w:w="1559" w:type="dxa"/>
            <w:shd w:val="clear" w:color="auto" w:fill="auto"/>
            <w:noWrap/>
            <w:vAlign w:val="center"/>
          </w:tcPr>
          <w:p w14:paraId="0E149506" w14:textId="77777777" w:rsidR="004E6471" w:rsidRPr="000169EF" w:rsidRDefault="004E6471" w:rsidP="006D0A51">
            <w:pPr>
              <w:jc w:val="center"/>
              <w:rPr>
                <w:color w:val="000000"/>
                <w:sz w:val="18"/>
                <w:szCs w:val="18"/>
              </w:rPr>
            </w:pPr>
            <w:r w:rsidRPr="000169EF">
              <w:rPr>
                <w:color w:val="000000"/>
                <w:sz w:val="18"/>
                <w:szCs w:val="18"/>
              </w:rPr>
              <w:t>1.056</w:t>
            </w:r>
          </w:p>
        </w:tc>
        <w:tc>
          <w:tcPr>
            <w:tcW w:w="1559" w:type="dxa"/>
            <w:shd w:val="clear" w:color="auto" w:fill="auto"/>
            <w:noWrap/>
            <w:vAlign w:val="center"/>
          </w:tcPr>
          <w:p w14:paraId="46A5B8EF" w14:textId="77777777" w:rsidR="004E6471" w:rsidRPr="000169EF" w:rsidRDefault="004E6471" w:rsidP="006D0A51">
            <w:pPr>
              <w:jc w:val="center"/>
              <w:rPr>
                <w:color w:val="000000"/>
                <w:sz w:val="18"/>
                <w:szCs w:val="18"/>
              </w:rPr>
            </w:pPr>
            <w:r w:rsidRPr="000169EF">
              <w:rPr>
                <w:color w:val="000000"/>
                <w:sz w:val="18"/>
                <w:szCs w:val="18"/>
              </w:rPr>
              <w:t>120</w:t>
            </w:r>
          </w:p>
        </w:tc>
      </w:tr>
      <w:tr w:rsidR="004E6471" w:rsidRPr="001B4CA2" w14:paraId="38DE251E" w14:textId="77777777" w:rsidTr="000169EF">
        <w:trPr>
          <w:trHeight w:val="306"/>
        </w:trPr>
        <w:tc>
          <w:tcPr>
            <w:tcW w:w="2126" w:type="dxa"/>
            <w:shd w:val="clear" w:color="auto" w:fill="auto"/>
            <w:noWrap/>
            <w:vAlign w:val="center"/>
            <w:hideMark/>
          </w:tcPr>
          <w:p w14:paraId="4D7FDB7B"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Karlovcu</w:t>
            </w:r>
          </w:p>
        </w:tc>
        <w:tc>
          <w:tcPr>
            <w:tcW w:w="1560" w:type="dxa"/>
            <w:shd w:val="clear" w:color="auto" w:fill="auto"/>
            <w:noWrap/>
            <w:vAlign w:val="center"/>
          </w:tcPr>
          <w:p w14:paraId="3D13DA5F" w14:textId="77777777" w:rsidR="004E6471" w:rsidRPr="000169EF" w:rsidRDefault="004E6471" w:rsidP="006D0A51">
            <w:pPr>
              <w:jc w:val="center"/>
              <w:rPr>
                <w:color w:val="000000"/>
                <w:sz w:val="18"/>
                <w:szCs w:val="18"/>
              </w:rPr>
            </w:pPr>
            <w:r w:rsidRPr="000169EF">
              <w:rPr>
                <w:color w:val="000000"/>
                <w:sz w:val="18"/>
                <w:szCs w:val="18"/>
              </w:rPr>
              <w:t>115</w:t>
            </w:r>
          </w:p>
        </w:tc>
        <w:tc>
          <w:tcPr>
            <w:tcW w:w="1559" w:type="dxa"/>
            <w:shd w:val="clear" w:color="auto" w:fill="auto"/>
            <w:noWrap/>
            <w:vAlign w:val="center"/>
          </w:tcPr>
          <w:p w14:paraId="3DAD3C70" w14:textId="77777777" w:rsidR="004E6471" w:rsidRPr="000169EF" w:rsidRDefault="004E6471" w:rsidP="006D0A51">
            <w:pPr>
              <w:jc w:val="center"/>
              <w:rPr>
                <w:color w:val="000000"/>
                <w:sz w:val="18"/>
                <w:szCs w:val="18"/>
              </w:rPr>
            </w:pPr>
            <w:r w:rsidRPr="000169EF">
              <w:rPr>
                <w:color w:val="000000"/>
                <w:sz w:val="18"/>
                <w:szCs w:val="18"/>
              </w:rPr>
              <w:t>1.658</w:t>
            </w:r>
          </w:p>
        </w:tc>
        <w:tc>
          <w:tcPr>
            <w:tcW w:w="1559" w:type="dxa"/>
            <w:shd w:val="clear" w:color="auto" w:fill="auto"/>
            <w:noWrap/>
            <w:vAlign w:val="center"/>
          </w:tcPr>
          <w:p w14:paraId="39F46AEE" w14:textId="77777777" w:rsidR="004E6471" w:rsidRPr="000169EF" w:rsidRDefault="004E6471" w:rsidP="006D0A51">
            <w:pPr>
              <w:jc w:val="center"/>
              <w:rPr>
                <w:color w:val="000000"/>
                <w:sz w:val="18"/>
                <w:szCs w:val="18"/>
              </w:rPr>
            </w:pPr>
            <w:r w:rsidRPr="000169EF">
              <w:rPr>
                <w:color w:val="000000"/>
                <w:sz w:val="18"/>
                <w:szCs w:val="18"/>
              </w:rPr>
              <w:t>1.621</w:t>
            </w:r>
          </w:p>
        </w:tc>
        <w:tc>
          <w:tcPr>
            <w:tcW w:w="1559" w:type="dxa"/>
            <w:shd w:val="clear" w:color="auto" w:fill="auto"/>
            <w:noWrap/>
            <w:vAlign w:val="center"/>
          </w:tcPr>
          <w:p w14:paraId="70B708EB" w14:textId="77777777" w:rsidR="004E6471" w:rsidRPr="000169EF" w:rsidRDefault="004E6471" w:rsidP="006D0A51">
            <w:pPr>
              <w:jc w:val="center"/>
              <w:rPr>
                <w:color w:val="000000"/>
                <w:sz w:val="18"/>
                <w:szCs w:val="18"/>
              </w:rPr>
            </w:pPr>
            <w:r w:rsidRPr="000169EF">
              <w:rPr>
                <w:color w:val="000000"/>
                <w:sz w:val="18"/>
                <w:szCs w:val="18"/>
              </w:rPr>
              <w:t>152</w:t>
            </w:r>
          </w:p>
        </w:tc>
      </w:tr>
      <w:tr w:rsidR="004E6471" w:rsidRPr="001B4CA2" w14:paraId="1AF05BF1" w14:textId="77777777" w:rsidTr="000169EF">
        <w:trPr>
          <w:trHeight w:val="306"/>
        </w:trPr>
        <w:tc>
          <w:tcPr>
            <w:tcW w:w="2126" w:type="dxa"/>
            <w:shd w:val="clear" w:color="auto" w:fill="auto"/>
            <w:noWrap/>
            <w:vAlign w:val="center"/>
            <w:hideMark/>
          </w:tcPr>
          <w:p w14:paraId="3D42D294"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Osijeku</w:t>
            </w:r>
          </w:p>
        </w:tc>
        <w:tc>
          <w:tcPr>
            <w:tcW w:w="1560" w:type="dxa"/>
            <w:shd w:val="clear" w:color="auto" w:fill="auto"/>
            <w:noWrap/>
            <w:vAlign w:val="center"/>
          </w:tcPr>
          <w:p w14:paraId="47955A12" w14:textId="77777777" w:rsidR="004E6471" w:rsidRPr="000169EF" w:rsidRDefault="004E6471" w:rsidP="006D0A51">
            <w:pPr>
              <w:jc w:val="center"/>
              <w:rPr>
                <w:color w:val="000000"/>
                <w:sz w:val="18"/>
                <w:szCs w:val="18"/>
              </w:rPr>
            </w:pPr>
            <w:r w:rsidRPr="000169EF">
              <w:rPr>
                <w:color w:val="000000"/>
                <w:sz w:val="18"/>
                <w:szCs w:val="18"/>
              </w:rPr>
              <w:t>422</w:t>
            </w:r>
          </w:p>
        </w:tc>
        <w:tc>
          <w:tcPr>
            <w:tcW w:w="1559" w:type="dxa"/>
            <w:shd w:val="clear" w:color="auto" w:fill="auto"/>
            <w:noWrap/>
            <w:vAlign w:val="center"/>
          </w:tcPr>
          <w:p w14:paraId="47AD4A5E" w14:textId="77777777" w:rsidR="004E6471" w:rsidRPr="000169EF" w:rsidRDefault="004E6471" w:rsidP="006D0A51">
            <w:pPr>
              <w:jc w:val="center"/>
              <w:rPr>
                <w:color w:val="000000"/>
                <w:sz w:val="18"/>
                <w:szCs w:val="18"/>
              </w:rPr>
            </w:pPr>
            <w:r w:rsidRPr="000169EF">
              <w:rPr>
                <w:color w:val="000000"/>
                <w:sz w:val="18"/>
                <w:szCs w:val="18"/>
              </w:rPr>
              <w:t>2.340</w:t>
            </w:r>
          </w:p>
        </w:tc>
        <w:tc>
          <w:tcPr>
            <w:tcW w:w="1559" w:type="dxa"/>
            <w:shd w:val="clear" w:color="auto" w:fill="auto"/>
            <w:noWrap/>
            <w:vAlign w:val="center"/>
          </w:tcPr>
          <w:p w14:paraId="5E0ACC37" w14:textId="77777777" w:rsidR="004E6471" w:rsidRPr="000169EF" w:rsidRDefault="004E6471" w:rsidP="006D0A51">
            <w:pPr>
              <w:jc w:val="center"/>
              <w:rPr>
                <w:color w:val="000000"/>
                <w:sz w:val="18"/>
                <w:szCs w:val="18"/>
              </w:rPr>
            </w:pPr>
            <w:r w:rsidRPr="000169EF">
              <w:rPr>
                <w:color w:val="000000"/>
                <w:sz w:val="18"/>
                <w:szCs w:val="18"/>
              </w:rPr>
              <w:t>2.342</w:t>
            </w:r>
          </w:p>
        </w:tc>
        <w:tc>
          <w:tcPr>
            <w:tcW w:w="1559" w:type="dxa"/>
            <w:shd w:val="clear" w:color="auto" w:fill="auto"/>
            <w:noWrap/>
            <w:vAlign w:val="center"/>
          </w:tcPr>
          <w:p w14:paraId="5F49528A" w14:textId="77777777" w:rsidR="004E6471" w:rsidRPr="000169EF" w:rsidRDefault="004E6471" w:rsidP="006D0A51">
            <w:pPr>
              <w:jc w:val="center"/>
              <w:rPr>
                <w:color w:val="000000"/>
                <w:sz w:val="18"/>
                <w:szCs w:val="18"/>
              </w:rPr>
            </w:pPr>
            <w:r w:rsidRPr="000169EF">
              <w:rPr>
                <w:color w:val="000000"/>
                <w:sz w:val="18"/>
                <w:szCs w:val="18"/>
              </w:rPr>
              <w:t>420</w:t>
            </w:r>
          </w:p>
        </w:tc>
      </w:tr>
      <w:tr w:rsidR="004E6471" w:rsidRPr="001B4CA2" w14:paraId="040A2E1C" w14:textId="77777777" w:rsidTr="000169EF">
        <w:trPr>
          <w:trHeight w:val="306"/>
        </w:trPr>
        <w:tc>
          <w:tcPr>
            <w:tcW w:w="2126" w:type="dxa"/>
            <w:shd w:val="clear" w:color="auto" w:fill="auto"/>
            <w:noWrap/>
            <w:vAlign w:val="center"/>
            <w:hideMark/>
          </w:tcPr>
          <w:p w14:paraId="1203DDEF"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Puli-Pola</w:t>
            </w:r>
          </w:p>
        </w:tc>
        <w:tc>
          <w:tcPr>
            <w:tcW w:w="1560" w:type="dxa"/>
            <w:shd w:val="clear" w:color="auto" w:fill="auto"/>
            <w:noWrap/>
            <w:vAlign w:val="center"/>
          </w:tcPr>
          <w:p w14:paraId="3965C1D6" w14:textId="77777777" w:rsidR="004E6471" w:rsidRPr="000169EF" w:rsidRDefault="004E6471" w:rsidP="006D0A51">
            <w:pPr>
              <w:jc w:val="center"/>
              <w:rPr>
                <w:color w:val="000000"/>
                <w:sz w:val="18"/>
                <w:szCs w:val="18"/>
              </w:rPr>
            </w:pPr>
            <w:r w:rsidRPr="000169EF">
              <w:rPr>
                <w:color w:val="000000"/>
                <w:sz w:val="18"/>
                <w:szCs w:val="18"/>
              </w:rPr>
              <w:t>126</w:t>
            </w:r>
          </w:p>
        </w:tc>
        <w:tc>
          <w:tcPr>
            <w:tcW w:w="1559" w:type="dxa"/>
            <w:shd w:val="clear" w:color="auto" w:fill="auto"/>
            <w:noWrap/>
            <w:vAlign w:val="center"/>
          </w:tcPr>
          <w:p w14:paraId="0FCA086F" w14:textId="77777777" w:rsidR="004E6471" w:rsidRPr="000169EF" w:rsidRDefault="004E6471" w:rsidP="006D0A51">
            <w:pPr>
              <w:jc w:val="center"/>
              <w:rPr>
                <w:color w:val="000000"/>
                <w:sz w:val="18"/>
                <w:szCs w:val="18"/>
              </w:rPr>
            </w:pPr>
            <w:r w:rsidRPr="000169EF">
              <w:rPr>
                <w:color w:val="000000"/>
                <w:sz w:val="18"/>
                <w:szCs w:val="18"/>
              </w:rPr>
              <w:t>2.890</w:t>
            </w:r>
          </w:p>
        </w:tc>
        <w:tc>
          <w:tcPr>
            <w:tcW w:w="1559" w:type="dxa"/>
            <w:shd w:val="clear" w:color="auto" w:fill="auto"/>
            <w:noWrap/>
            <w:vAlign w:val="center"/>
          </w:tcPr>
          <w:p w14:paraId="54B24E0F" w14:textId="77777777" w:rsidR="004E6471" w:rsidRPr="000169EF" w:rsidRDefault="004E6471" w:rsidP="006D0A51">
            <w:pPr>
              <w:jc w:val="center"/>
              <w:rPr>
                <w:color w:val="000000"/>
                <w:sz w:val="18"/>
                <w:szCs w:val="18"/>
              </w:rPr>
            </w:pPr>
            <w:r w:rsidRPr="000169EF">
              <w:rPr>
                <w:color w:val="000000"/>
                <w:sz w:val="18"/>
                <w:szCs w:val="18"/>
              </w:rPr>
              <w:t>2.897</w:t>
            </w:r>
          </w:p>
        </w:tc>
        <w:tc>
          <w:tcPr>
            <w:tcW w:w="1559" w:type="dxa"/>
            <w:shd w:val="clear" w:color="auto" w:fill="auto"/>
            <w:noWrap/>
            <w:vAlign w:val="center"/>
          </w:tcPr>
          <w:p w14:paraId="57697714" w14:textId="77777777" w:rsidR="004E6471" w:rsidRPr="000169EF" w:rsidRDefault="004E6471" w:rsidP="006D0A51">
            <w:pPr>
              <w:jc w:val="center"/>
              <w:rPr>
                <w:color w:val="000000"/>
                <w:sz w:val="18"/>
                <w:szCs w:val="18"/>
              </w:rPr>
            </w:pPr>
            <w:r w:rsidRPr="000169EF">
              <w:rPr>
                <w:color w:val="000000"/>
                <w:sz w:val="18"/>
                <w:szCs w:val="18"/>
              </w:rPr>
              <w:t>119</w:t>
            </w:r>
          </w:p>
        </w:tc>
      </w:tr>
      <w:tr w:rsidR="004E6471" w:rsidRPr="001B4CA2" w14:paraId="7A92CE5E" w14:textId="77777777" w:rsidTr="000169EF">
        <w:trPr>
          <w:trHeight w:val="306"/>
        </w:trPr>
        <w:tc>
          <w:tcPr>
            <w:tcW w:w="2126" w:type="dxa"/>
            <w:shd w:val="clear" w:color="auto" w:fill="auto"/>
            <w:noWrap/>
            <w:vAlign w:val="center"/>
            <w:hideMark/>
          </w:tcPr>
          <w:p w14:paraId="1597949B"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Rijeci</w:t>
            </w:r>
          </w:p>
        </w:tc>
        <w:tc>
          <w:tcPr>
            <w:tcW w:w="1560" w:type="dxa"/>
            <w:shd w:val="clear" w:color="auto" w:fill="auto"/>
            <w:noWrap/>
            <w:vAlign w:val="center"/>
          </w:tcPr>
          <w:p w14:paraId="732CCD21" w14:textId="77777777" w:rsidR="004E6471" w:rsidRPr="000169EF" w:rsidRDefault="004E6471" w:rsidP="006D0A51">
            <w:pPr>
              <w:jc w:val="center"/>
              <w:rPr>
                <w:color w:val="000000"/>
                <w:sz w:val="18"/>
                <w:szCs w:val="18"/>
              </w:rPr>
            </w:pPr>
            <w:r w:rsidRPr="000169EF">
              <w:rPr>
                <w:color w:val="000000"/>
                <w:sz w:val="18"/>
                <w:szCs w:val="18"/>
              </w:rPr>
              <w:t>191</w:t>
            </w:r>
          </w:p>
        </w:tc>
        <w:tc>
          <w:tcPr>
            <w:tcW w:w="1559" w:type="dxa"/>
            <w:shd w:val="clear" w:color="auto" w:fill="auto"/>
            <w:noWrap/>
            <w:vAlign w:val="center"/>
          </w:tcPr>
          <w:p w14:paraId="18C66E7D" w14:textId="77777777" w:rsidR="004E6471" w:rsidRPr="000169EF" w:rsidRDefault="004E6471" w:rsidP="006D0A51">
            <w:pPr>
              <w:jc w:val="center"/>
              <w:rPr>
                <w:color w:val="000000"/>
                <w:sz w:val="18"/>
                <w:szCs w:val="18"/>
              </w:rPr>
            </w:pPr>
            <w:r w:rsidRPr="000169EF">
              <w:rPr>
                <w:color w:val="000000"/>
                <w:sz w:val="18"/>
                <w:szCs w:val="18"/>
              </w:rPr>
              <w:t>2.224</w:t>
            </w:r>
          </w:p>
        </w:tc>
        <w:tc>
          <w:tcPr>
            <w:tcW w:w="1559" w:type="dxa"/>
            <w:shd w:val="clear" w:color="auto" w:fill="auto"/>
            <w:noWrap/>
            <w:vAlign w:val="center"/>
          </w:tcPr>
          <w:p w14:paraId="0F8982DC" w14:textId="77777777" w:rsidR="004E6471" w:rsidRPr="000169EF" w:rsidRDefault="004E6471" w:rsidP="006D0A51">
            <w:pPr>
              <w:jc w:val="center"/>
              <w:rPr>
                <w:color w:val="000000"/>
                <w:sz w:val="18"/>
                <w:szCs w:val="18"/>
              </w:rPr>
            </w:pPr>
            <w:r w:rsidRPr="000169EF">
              <w:rPr>
                <w:color w:val="000000"/>
                <w:sz w:val="18"/>
                <w:szCs w:val="18"/>
              </w:rPr>
              <w:t>2.244</w:t>
            </w:r>
          </w:p>
        </w:tc>
        <w:tc>
          <w:tcPr>
            <w:tcW w:w="1559" w:type="dxa"/>
            <w:shd w:val="clear" w:color="auto" w:fill="auto"/>
            <w:noWrap/>
            <w:vAlign w:val="center"/>
          </w:tcPr>
          <w:p w14:paraId="296DF668" w14:textId="77777777" w:rsidR="004E6471" w:rsidRPr="000169EF" w:rsidRDefault="004E6471" w:rsidP="006D0A51">
            <w:pPr>
              <w:jc w:val="center"/>
              <w:rPr>
                <w:color w:val="000000"/>
                <w:sz w:val="18"/>
                <w:szCs w:val="18"/>
              </w:rPr>
            </w:pPr>
            <w:r w:rsidRPr="000169EF">
              <w:rPr>
                <w:color w:val="000000"/>
                <w:sz w:val="18"/>
                <w:szCs w:val="18"/>
              </w:rPr>
              <w:t>171</w:t>
            </w:r>
          </w:p>
        </w:tc>
      </w:tr>
      <w:tr w:rsidR="004E6471" w:rsidRPr="001B4CA2" w14:paraId="44F6DE56" w14:textId="77777777" w:rsidTr="000169EF">
        <w:trPr>
          <w:trHeight w:val="306"/>
        </w:trPr>
        <w:tc>
          <w:tcPr>
            <w:tcW w:w="2126" w:type="dxa"/>
            <w:shd w:val="clear" w:color="auto" w:fill="auto"/>
            <w:noWrap/>
            <w:vAlign w:val="center"/>
            <w:hideMark/>
          </w:tcPr>
          <w:p w14:paraId="6D03DD23"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Sisku</w:t>
            </w:r>
          </w:p>
        </w:tc>
        <w:tc>
          <w:tcPr>
            <w:tcW w:w="1560" w:type="dxa"/>
            <w:shd w:val="clear" w:color="auto" w:fill="auto"/>
            <w:noWrap/>
            <w:vAlign w:val="center"/>
          </w:tcPr>
          <w:p w14:paraId="4847849F" w14:textId="77777777" w:rsidR="004E6471" w:rsidRPr="000169EF" w:rsidRDefault="004E6471" w:rsidP="006D0A51">
            <w:pPr>
              <w:jc w:val="center"/>
              <w:rPr>
                <w:color w:val="000000"/>
                <w:sz w:val="18"/>
                <w:szCs w:val="18"/>
              </w:rPr>
            </w:pPr>
            <w:r w:rsidRPr="000169EF">
              <w:rPr>
                <w:color w:val="000000"/>
                <w:sz w:val="18"/>
                <w:szCs w:val="18"/>
              </w:rPr>
              <w:t>75</w:t>
            </w:r>
          </w:p>
        </w:tc>
        <w:tc>
          <w:tcPr>
            <w:tcW w:w="1559" w:type="dxa"/>
            <w:shd w:val="clear" w:color="auto" w:fill="auto"/>
            <w:noWrap/>
            <w:vAlign w:val="center"/>
          </w:tcPr>
          <w:p w14:paraId="7AB799CE" w14:textId="77777777" w:rsidR="004E6471" w:rsidRPr="000169EF" w:rsidRDefault="004E6471" w:rsidP="006D0A51">
            <w:pPr>
              <w:jc w:val="center"/>
              <w:rPr>
                <w:color w:val="000000"/>
                <w:sz w:val="18"/>
                <w:szCs w:val="18"/>
              </w:rPr>
            </w:pPr>
            <w:r w:rsidRPr="000169EF">
              <w:rPr>
                <w:color w:val="000000"/>
                <w:sz w:val="18"/>
                <w:szCs w:val="18"/>
              </w:rPr>
              <w:t>1.333</w:t>
            </w:r>
          </w:p>
        </w:tc>
        <w:tc>
          <w:tcPr>
            <w:tcW w:w="1559" w:type="dxa"/>
            <w:shd w:val="clear" w:color="auto" w:fill="auto"/>
            <w:noWrap/>
            <w:vAlign w:val="center"/>
          </w:tcPr>
          <w:p w14:paraId="70947010" w14:textId="77777777" w:rsidR="004E6471" w:rsidRPr="000169EF" w:rsidRDefault="004E6471" w:rsidP="006D0A51">
            <w:pPr>
              <w:jc w:val="center"/>
              <w:rPr>
                <w:color w:val="000000"/>
                <w:sz w:val="18"/>
                <w:szCs w:val="18"/>
              </w:rPr>
            </w:pPr>
            <w:r w:rsidRPr="000169EF">
              <w:rPr>
                <w:color w:val="000000"/>
                <w:sz w:val="18"/>
                <w:szCs w:val="18"/>
              </w:rPr>
              <w:t>1.340</w:t>
            </w:r>
          </w:p>
        </w:tc>
        <w:tc>
          <w:tcPr>
            <w:tcW w:w="1559" w:type="dxa"/>
            <w:shd w:val="clear" w:color="auto" w:fill="auto"/>
            <w:noWrap/>
            <w:vAlign w:val="center"/>
          </w:tcPr>
          <w:p w14:paraId="099C1C50" w14:textId="77777777" w:rsidR="004E6471" w:rsidRPr="000169EF" w:rsidRDefault="004E6471" w:rsidP="006D0A51">
            <w:pPr>
              <w:jc w:val="center"/>
              <w:rPr>
                <w:color w:val="000000"/>
                <w:sz w:val="18"/>
                <w:szCs w:val="18"/>
              </w:rPr>
            </w:pPr>
            <w:r w:rsidRPr="000169EF">
              <w:rPr>
                <w:color w:val="000000"/>
                <w:sz w:val="18"/>
                <w:szCs w:val="18"/>
              </w:rPr>
              <w:t>68</w:t>
            </w:r>
          </w:p>
        </w:tc>
      </w:tr>
      <w:tr w:rsidR="004E6471" w:rsidRPr="001B4CA2" w14:paraId="10C2B56F" w14:textId="77777777" w:rsidTr="000169EF">
        <w:trPr>
          <w:trHeight w:val="306"/>
        </w:trPr>
        <w:tc>
          <w:tcPr>
            <w:tcW w:w="2126" w:type="dxa"/>
            <w:shd w:val="clear" w:color="auto" w:fill="auto"/>
            <w:noWrap/>
            <w:vAlign w:val="center"/>
            <w:hideMark/>
          </w:tcPr>
          <w:p w14:paraId="4DBC68B3"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Slavonskom Brodu</w:t>
            </w:r>
          </w:p>
        </w:tc>
        <w:tc>
          <w:tcPr>
            <w:tcW w:w="1560" w:type="dxa"/>
            <w:shd w:val="clear" w:color="auto" w:fill="auto"/>
            <w:noWrap/>
            <w:vAlign w:val="center"/>
          </w:tcPr>
          <w:p w14:paraId="5009849A" w14:textId="77777777" w:rsidR="004E6471" w:rsidRPr="000169EF" w:rsidRDefault="004E6471" w:rsidP="006D0A51">
            <w:pPr>
              <w:jc w:val="center"/>
              <w:rPr>
                <w:color w:val="000000"/>
                <w:sz w:val="18"/>
                <w:szCs w:val="18"/>
              </w:rPr>
            </w:pPr>
            <w:r w:rsidRPr="000169EF">
              <w:rPr>
                <w:color w:val="000000"/>
                <w:sz w:val="18"/>
                <w:szCs w:val="18"/>
              </w:rPr>
              <w:t>82</w:t>
            </w:r>
          </w:p>
        </w:tc>
        <w:tc>
          <w:tcPr>
            <w:tcW w:w="1559" w:type="dxa"/>
            <w:shd w:val="clear" w:color="auto" w:fill="auto"/>
            <w:noWrap/>
            <w:vAlign w:val="center"/>
          </w:tcPr>
          <w:p w14:paraId="1830DF2A" w14:textId="77777777" w:rsidR="004E6471" w:rsidRPr="000169EF" w:rsidRDefault="004E6471" w:rsidP="006D0A51">
            <w:pPr>
              <w:jc w:val="center"/>
              <w:rPr>
                <w:color w:val="000000"/>
                <w:sz w:val="18"/>
                <w:szCs w:val="18"/>
              </w:rPr>
            </w:pPr>
            <w:r w:rsidRPr="000169EF">
              <w:rPr>
                <w:color w:val="000000"/>
                <w:sz w:val="18"/>
                <w:szCs w:val="18"/>
              </w:rPr>
              <w:t>1.391</w:t>
            </w:r>
          </w:p>
        </w:tc>
        <w:tc>
          <w:tcPr>
            <w:tcW w:w="1559" w:type="dxa"/>
            <w:shd w:val="clear" w:color="auto" w:fill="auto"/>
            <w:noWrap/>
            <w:vAlign w:val="center"/>
          </w:tcPr>
          <w:p w14:paraId="25EE1238" w14:textId="77777777" w:rsidR="004E6471" w:rsidRPr="000169EF" w:rsidRDefault="004E6471" w:rsidP="006D0A51">
            <w:pPr>
              <w:jc w:val="center"/>
              <w:rPr>
                <w:color w:val="000000"/>
                <w:sz w:val="18"/>
                <w:szCs w:val="18"/>
              </w:rPr>
            </w:pPr>
            <w:r w:rsidRPr="000169EF">
              <w:rPr>
                <w:color w:val="000000"/>
                <w:sz w:val="18"/>
                <w:szCs w:val="18"/>
              </w:rPr>
              <w:t>1.419</w:t>
            </w:r>
          </w:p>
        </w:tc>
        <w:tc>
          <w:tcPr>
            <w:tcW w:w="1559" w:type="dxa"/>
            <w:shd w:val="clear" w:color="auto" w:fill="auto"/>
            <w:noWrap/>
            <w:vAlign w:val="center"/>
          </w:tcPr>
          <w:p w14:paraId="393DBE85" w14:textId="77777777" w:rsidR="004E6471" w:rsidRPr="000169EF" w:rsidRDefault="004E6471" w:rsidP="006D0A51">
            <w:pPr>
              <w:jc w:val="center"/>
              <w:rPr>
                <w:color w:val="000000"/>
                <w:sz w:val="18"/>
                <w:szCs w:val="18"/>
              </w:rPr>
            </w:pPr>
            <w:r w:rsidRPr="000169EF">
              <w:rPr>
                <w:color w:val="000000"/>
                <w:sz w:val="18"/>
                <w:szCs w:val="18"/>
              </w:rPr>
              <w:t>54</w:t>
            </w:r>
          </w:p>
        </w:tc>
      </w:tr>
      <w:tr w:rsidR="004E6471" w:rsidRPr="001B4CA2" w14:paraId="6861F72E" w14:textId="77777777" w:rsidTr="000169EF">
        <w:trPr>
          <w:trHeight w:val="306"/>
        </w:trPr>
        <w:tc>
          <w:tcPr>
            <w:tcW w:w="2126" w:type="dxa"/>
            <w:shd w:val="clear" w:color="auto" w:fill="auto"/>
            <w:noWrap/>
            <w:vAlign w:val="center"/>
            <w:hideMark/>
          </w:tcPr>
          <w:p w14:paraId="18B710E2"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Splitu</w:t>
            </w:r>
          </w:p>
        </w:tc>
        <w:tc>
          <w:tcPr>
            <w:tcW w:w="1560" w:type="dxa"/>
            <w:shd w:val="clear" w:color="auto" w:fill="auto"/>
            <w:noWrap/>
            <w:vAlign w:val="center"/>
          </w:tcPr>
          <w:p w14:paraId="420F725D" w14:textId="77777777" w:rsidR="004E6471" w:rsidRPr="000169EF" w:rsidRDefault="004E6471" w:rsidP="006D0A51">
            <w:pPr>
              <w:jc w:val="center"/>
              <w:rPr>
                <w:color w:val="000000"/>
                <w:sz w:val="18"/>
                <w:szCs w:val="18"/>
              </w:rPr>
            </w:pPr>
            <w:r w:rsidRPr="000169EF">
              <w:rPr>
                <w:color w:val="000000"/>
                <w:sz w:val="18"/>
                <w:szCs w:val="18"/>
              </w:rPr>
              <w:t>405</w:t>
            </w:r>
          </w:p>
        </w:tc>
        <w:tc>
          <w:tcPr>
            <w:tcW w:w="1559" w:type="dxa"/>
            <w:shd w:val="clear" w:color="auto" w:fill="auto"/>
            <w:noWrap/>
            <w:vAlign w:val="center"/>
          </w:tcPr>
          <w:p w14:paraId="65A31F77" w14:textId="77777777" w:rsidR="004E6471" w:rsidRPr="000169EF" w:rsidRDefault="004E6471" w:rsidP="006D0A51">
            <w:pPr>
              <w:jc w:val="center"/>
              <w:rPr>
                <w:color w:val="000000"/>
                <w:sz w:val="18"/>
                <w:szCs w:val="18"/>
              </w:rPr>
            </w:pPr>
            <w:r w:rsidRPr="000169EF">
              <w:rPr>
                <w:color w:val="000000"/>
                <w:sz w:val="18"/>
                <w:szCs w:val="18"/>
              </w:rPr>
              <w:t>3.459</w:t>
            </w:r>
          </w:p>
        </w:tc>
        <w:tc>
          <w:tcPr>
            <w:tcW w:w="1559" w:type="dxa"/>
            <w:shd w:val="clear" w:color="auto" w:fill="auto"/>
            <w:noWrap/>
            <w:vAlign w:val="center"/>
          </w:tcPr>
          <w:p w14:paraId="3DFB1596" w14:textId="77777777" w:rsidR="004E6471" w:rsidRPr="000169EF" w:rsidRDefault="004E6471" w:rsidP="006D0A51">
            <w:pPr>
              <w:jc w:val="center"/>
              <w:rPr>
                <w:color w:val="000000"/>
                <w:sz w:val="18"/>
                <w:szCs w:val="18"/>
              </w:rPr>
            </w:pPr>
            <w:r w:rsidRPr="000169EF">
              <w:rPr>
                <w:color w:val="000000"/>
                <w:sz w:val="18"/>
                <w:szCs w:val="18"/>
              </w:rPr>
              <w:t>3.519</w:t>
            </w:r>
          </w:p>
        </w:tc>
        <w:tc>
          <w:tcPr>
            <w:tcW w:w="1559" w:type="dxa"/>
            <w:shd w:val="clear" w:color="auto" w:fill="auto"/>
            <w:noWrap/>
            <w:vAlign w:val="center"/>
          </w:tcPr>
          <w:p w14:paraId="6477F0E9" w14:textId="77777777" w:rsidR="004E6471" w:rsidRPr="000169EF" w:rsidRDefault="004E6471" w:rsidP="006D0A51">
            <w:pPr>
              <w:jc w:val="center"/>
              <w:rPr>
                <w:color w:val="000000"/>
                <w:sz w:val="18"/>
                <w:szCs w:val="18"/>
              </w:rPr>
            </w:pPr>
            <w:r w:rsidRPr="000169EF">
              <w:rPr>
                <w:color w:val="000000"/>
                <w:sz w:val="18"/>
                <w:szCs w:val="18"/>
              </w:rPr>
              <w:t>345</w:t>
            </w:r>
          </w:p>
        </w:tc>
      </w:tr>
      <w:tr w:rsidR="004E6471" w:rsidRPr="001B4CA2" w14:paraId="175FADEB" w14:textId="77777777" w:rsidTr="000169EF">
        <w:trPr>
          <w:trHeight w:val="306"/>
        </w:trPr>
        <w:tc>
          <w:tcPr>
            <w:tcW w:w="2126" w:type="dxa"/>
            <w:shd w:val="clear" w:color="auto" w:fill="auto"/>
            <w:noWrap/>
            <w:vAlign w:val="center"/>
            <w:hideMark/>
          </w:tcPr>
          <w:p w14:paraId="11548611"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Šibeniku</w:t>
            </w:r>
          </w:p>
        </w:tc>
        <w:tc>
          <w:tcPr>
            <w:tcW w:w="1560" w:type="dxa"/>
            <w:shd w:val="clear" w:color="auto" w:fill="auto"/>
            <w:noWrap/>
            <w:vAlign w:val="center"/>
          </w:tcPr>
          <w:p w14:paraId="72A7F24B" w14:textId="77777777" w:rsidR="004E6471" w:rsidRPr="000169EF" w:rsidRDefault="004E6471" w:rsidP="006D0A51">
            <w:pPr>
              <w:jc w:val="center"/>
              <w:rPr>
                <w:color w:val="000000"/>
                <w:sz w:val="18"/>
                <w:szCs w:val="18"/>
              </w:rPr>
            </w:pPr>
            <w:r w:rsidRPr="000169EF">
              <w:rPr>
                <w:color w:val="000000"/>
                <w:sz w:val="18"/>
                <w:szCs w:val="18"/>
              </w:rPr>
              <w:t>110</w:t>
            </w:r>
          </w:p>
        </w:tc>
        <w:tc>
          <w:tcPr>
            <w:tcW w:w="1559" w:type="dxa"/>
            <w:shd w:val="clear" w:color="auto" w:fill="auto"/>
            <w:noWrap/>
            <w:vAlign w:val="center"/>
          </w:tcPr>
          <w:p w14:paraId="30072953" w14:textId="77777777" w:rsidR="004E6471" w:rsidRPr="000169EF" w:rsidRDefault="004E6471" w:rsidP="006D0A51">
            <w:pPr>
              <w:jc w:val="center"/>
              <w:rPr>
                <w:color w:val="000000"/>
                <w:sz w:val="18"/>
                <w:szCs w:val="18"/>
              </w:rPr>
            </w:pPr>
            <w:r w:rsidRPr="000169EF">
              <w:rPr>
                <w:color w:val="000000"/>
                <w:sz w:val="18"/>
                <w:szCs w:val="18"/>
              </w:rPr>
              <w:t>1.411</w:t>
            </w:r>
          </w:p>
        </w:tc>
        <w:tc>
          <w:tcPr>
            <w:tcW w:w="1559" w:type="dxa"/>
            <w:shd w:val="clear" w:color="auto" w:fill="auto"/>
            <w:noWrap/>
            <w:vAlign w:val="center"/>
          </w:tcPr>
          <w:p w14:paraId="1DC91538" w14:textId="77777777" w:rsidR="004E6471" w:rsidRPr="000169EF" w:rsidRDefault="004E6471" w:rsidP="006D0A51">
            <w:pPr>
              <w:jc w:val="center"/>
              <w:rPr>
                <w:color w:val="000000"/>
                <w:sz w:val="18"/>
                <w:szCs w:val="18"/>
              </w:rPr>
            </w:pPr>
            <w:r w:rsidRPr="000169EF">
              <w:rPr>
                <w:color w:val="000000"/>
                <w:sz w:val="18"/>
                <w:szCs w:val="18"/>
              </w:rPr>
              <w:t>1.393</w:t>
            </w:r>
          </w:p>
        </w:tc>
        <w:tc>
          <w:tcPr>
            <w:tcW w:w="1559" w:type="dxa"/>
            <w:shd w:val="clear" w:color="auto" w:fill="auto"/>
            <w:noWrap/>
            <w:vAlign w:val="center"/>
          </w:tcPr>
          <w:p w14:paraId="463FC46F" w14:textId="77777777" w:rsidR="004E6471" w:rsidRPr="000169EF" w:rsidRDefault="004E6471" w:rsidP="006D0A51">
            <w:pPr>
              <w:jc w:val="center"/>
              <w:rPr>
                <w:color w:val="000000"/>
                <w:sz w:val="18"/>
                <w:szCs w:val="18"/>
              </w:rPr>
            </w:pPr>
            <w:r w:rsidRPr="000169EF">
              <w:rPr>
                <w:color w:val="000000"/>
                <w:sz w:val="18"/>
                <w:szCs w:val="18"/>
              </w:rPr>
              <w:t>128</w:t>
            </w:r>
          </w:p>
        </w:tc>
      </w:tr>
      <w:tr w:rsidR="004E6471" w:rsidRPr="001B4CA2" w14:paraId="44B0D7B7" w14:textId="77777777" w:rsidTr="000169EF">
        <w:trPr>
          <w:trHeight w:val="306"/>
        </w:trPr>
        <w:tc>
          <w:tcPr>
            <w:tcW w:w="2126" w:type="dxa"/>
            <w:shd w:val="clear" w:color="auto" w:fill="auto"/>
            <w:noWrap/>
            <w:vAlign w:val="center"/>
            <w:hideMark/>
          </w:tcPr>
          <w:p w14:paraId="4C9FD0CF"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Varaždinu</w:t>
            </w:r>
          </w:p>
        </w:tc>
        <w:tc>
          <w:tcPr>
            <w:tcW w:w="1560" w:type="dxa"/>
            <w:shd w:val="clear" w:color="auto" w:fill="auto"/>
            <w:noWrap/>
            <w:vAlign w:val="center"/>
          </w:tcPr>
          <w:p w14:paraId="2A1A7722" w14:textId="77777777" w:rsidR="004E6471" w:rsidRPr="000169EF" w:rsidRDefault="004E6471" w:rsidP="006D0A51">
            <w:pPr>
              <w:jc w:val="center"/>
              <w:rPr>
                <w:color w:val="000000"/>
                <w:sz w:val="18"/>
                <w:szCs w:val="18"/>
              </w:rPr>
            </w:pPr>
            <w:r w:rsidRPr="000169EF">
              <w:rPr>
                <w:color w:val="000000"/>
                <w:sz w:val="18"/>
                <w:szCs w:val="18"/>
              </w:rPr>
              <w:t>163</w:t>
            </w:r>
          </w:p>
        </w:tc>
        <w:tc>
          <w:tcPr>
            <w:tcW w:w="1559" w:type="dxa"/>
            <w:shd w:val="clear" w:color="auto" w:fill="auto"/>
            <w:noWrap/>
            <w:vAlign w:val="center"/>
          </w:tcPr>
          <w:p w14:paraId="54591656" w14:textId="77777777" w:rsidR="004E6471" w:rsidRPr="000169EF" w:rsidRDefault="004E6471" w:rsidP="006D0A51">
            <w:pPr>
              <w:jc w:val="center"/>
              <w:rPr>
                <w:color w:val="000000"/>
                <w:sz w:val="18"/>
                <w:szCs w:val="18"/>
              </w:rPr>
            </w:pPr>
            <w:r w:rsidRPr="000169EF">
              <w:rPr>
                <w:color w:val="000000"/>
                <w:sz w:val="18"/>
                <w:szCs w:val="18"/>
              </w:rPr>
              <w:t>2.562</w:t>
            </w:r>
          </w:p>
        </w:tc>
        <w:tc>
          <w:tcPr>
            <w:tcW w:w="1559" w:type="dxa"/>
            <w:shd w:val="clear" w:color="auto" w:fill="auto"/>
            <w:noWrap/>
            <w:vAlign w:val="center"/>
          </w:tcPr>
          <w:p w14:paraId="78BAC9EA" w14:textId="77777777" w:rsidR="004E6471" w:rsidRPr="000169EF" w:rsidRDefault="004E6471" w:rsidP="006D0A51">
            <w:pPr>
              <w:jc w:val="center"/>
              <w:rPr>
                <w:color w:val="000000"/>
                <w:sz w:val="18"/>
                <w:szCs w:val="18"/>
              </w:rPr>
            </w:pPr>
            <w:r w:rsidRPr="000169EF">
              <w:rPr>
                <w:color w:val="000000"/>
                <w:sz w:val="18"/>
                <w:szCs w:val="18"/>
              </w:rPr>
              <w:t>2.609</w:t>
            </w:r>
          </w:p>
        </w:tc>
        <w:tc>
          <w:tcPr>
            <w:tcW w:w="1559" w:type="dxa"/>
            <w:shd w:val="clear" w:color="auto" w:fill="auto"/>
            <w:noWrap/>
            <w:vAlign w:val="center"/>
          </w:tcPr>
          <w:p w14:paraId="30E10CB2" w14:textId="77777777" w:rsidR="004E6471" w:rsidRPr="000169EF" w:rsidRDefault="004E6471" w:rsidP="006D0A51">
            <w:pPr>
              <w:jc w:val="center"/>
              <w:rPr>
                <w:color w:val="000000"/>
                <w:sz w:val="18"/>
                <w:szCs w:val="18"/>
              </w:rPr>
            </w:pPr>
            <w:r w:rsidRPr="000169EF">
              <w:rPr>
                <w:color w:val="000000"/>
                <w:sz w:val="18"/>
                <w:szCs w:val="18"/>
              </w:rPr>
              <w:t>116</w:t>
            </w:r>
          </w:p>
        </w:tc>
      </w:tr>
      <w:tr w:rsidR="004E6471" w:rsidRPr="001B4CA2" w14:paraId="567AE09A" w14:textId="77777777" w:rsidTr="000169EF">
        <w:trPr>
          <w:trHeight w:val="306"/>
        </w:trPr>
        <w:tc>
          <w:tcPr>
            <w:tcW w:w="2126" w:type="dxa"/>
            <w:shd w:val="clear" w:color="auto" w:fill="auto"/>
            <w:noWrap/>
            <w:vAlign w:val="center"/>
            <w:hideMark/>
          </w:tcPr>
          <w:p w14:paraId="4F505328"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Velikoj Gorici</w:t>
            </w:r>
          </w:p>
        </w:tc>
        <w:tc>
          <w:tcPr>
            <w:tcW w:w="1560" w:type="dxa"/>
            <w:shd w:val="clear" w:color="auto" w:fill="auto"/>
            <w:noWrap/>
            <w:vAlign w:val="center"/>
          </w:tcPr>
          <w:p w14:paraId="579310E7" w14:textId="77777777" w:rsidR="004E6471" w:rsidRPr="000169EF" w:rsidRDefault="004E6471" w:rsidP="006D0A51">
            <w:pPr>
              <w:jc w:val="center"/>
              <w:rPr>
                <w:color w:val="000000"/>
                <w:sz w:val="18"/>
                <w:szCs w:val="18"/>
              </w:rPr>
            </w:pPr>
            <w:r w:rsidRPr="000169EF">
              <w:rPr>
                <w:color w:val="000000"/>
                <w:sz w:val="18"/>
                <w:szCs w:val="18"/>
              </w:rPr>
              <w:t>219</w:t>
            </w:r>
          </w:p>
        </w:tc>
        <w:tc>
          <w:tcPr>
            <w:tcW w:w="1559" w:type="dxa"/>
            <w:shd w:val="clear" w:color="auto" w:fill="auto"/>
            <w:noWrap/>
            <w:vAlign w:val="center"/>
          </w:tcPr>
          <w:p w14:paraId="3FFC52EC" w14:textId="77777777" w:rsidR="004E6471" w:rsidRPr="000169EF" w:rsidRDefault="004E6471" w:rsidP="006D0A51">
            <w:pPr>
              <w:jc w:val="center"/>
              <w:rPr>
                <w:color w:val="000000"/>
                <w:sz w:val="18"/>
                <w:szCs w:val="18"/>
              </w:rPr>
            </w:pPr>
            <w:r w:rsidRPr="000169EF">
              <w:rPr>
                <w:color w:val="000000"/>
                <w:sz w:val="18"/>
                <w:szCs w:val="18"/>
              </w:rPr>
              <w:t>2.159</w:t>
            </w:r>
          </w:p>
        </w:tc>
        <w:tc>
          <w:tcPr>
            <w:tcW w:w="1559" w:type="dxa"/>
            <w:shd w:val="clear" w:color="auto" w:fill="auto"/>
            <w:noWrap/>
            <w:vAlign w:val="center"/>
          </w:tcPr>
          <w:p w14:paraId="4E05FBE1" w14:textId="77777777" w:rsidR="004E6471" w:rsidRPr="000169EF" w:rsidRDefault="004E6471" w:rsidP="006D0A51">
            <w:pPr>
              <w:jc w:val="center"/>
              <w:rPr>
                <w:color w:val="000000"/>
                <w:sz w:val="18"/>
                <w:szCs w:val="18"/>
              </w:rPr>
            </w:pPr>
            <w:r w:rsidRPr="000169EF">
              <w:rPr>
                <w:color w:val="000000"/>
                <w:sz w:val="18"/>
                <w:szCs w:val="18"/>
              </w:rPr>
              <w:t>2.158</w:t>
            </w:r>
          </w:p>
        </w:tc>
        <w:tc>
          <w:tcPr>
            <w:tcW w:w="1559" w:type="dxa"/>
            <w:shd w:val="clear" w:color="auto" w:fill="auto"/>
            <w:noWrap/>
            <w:vAlign w:val="center"/>
          </w:tcPr>
          <w:p w14:paraId="569CBFE7" w14:textId="77777777" w:rsidR="004E6471" w:rsidRPr="000169EF" w:rsidRDefault="004E6471" w:rsidP="006D0A51">
            <w:pPr>
              <w:jc w:val="center"/>
              <w:rPr>
                <w:color w:val="000000"/>
                <w:sz w:val="18"/>
                <w:szCs w:val="18"/>
              </w:rPr>
            </w:pPr>
            <w:r w:rsidRPr="000169EF">
              <w:rPr>
                <w:color w:val="000000"/>
                <w:sz w:val="18"/>
                <w:szCs w:val="18"/>
              </w:rPr>
              <w:t>220</w:t>
            </w:r>
          </w:p>
        </w:tc>
      </w:tr>
      <w:tr w:rsidR="004E6471" w:rsidRPr="001B4CA2" w14:paraId="2EAC913D" w14:textId="77777777" w:rsidTr="000169EF">
        <w:trPr>
          <w:trHeight w:val="306"/>
        </w:trPr>
        <w:tc>
          <w:tcPr>
            <w:tcW w:w="2126" w:type="dxa"/>
            <w:shd w:val="clear" w:color="auto" w:fill="auto"/>
            <w:noWrap/>
            <w:vAlign w:val="center"/>
            <w:hideMark/>
          </w:tcPr>
          <w:p w14:paraId="43074C10"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Vukovaru</w:t>
            </w:r>
          </w:p>
        </w:tc>
        <w:tc>
          <w:tcPr>
            <w:tcW w:w="1560" w:type="dxa"/>
            <w:shd w:val="clear" w:color="auto" w:fill="auto"/>
            <w:noWrap/>
            <w:vAlign w:val="center"/>
          </w:tcPr>
          <w:p w14:paraId="09FDCCAB" w14:textId="77777777" w:rsidR="004E6471" w:rsidRPr="000169EF" w:rsidRDefault="004E6471" w:rsidP="006D0A51">
            <w:pPr>
              <w:jc w:val="center"/>
              <w:rPr>
                <w:color w:val="000000"/>
                <w:sz w:val="18"/>
                <w:szCs w:val="18"/>
              </w:rPr>
            </w:pPr>
            <w:r w:rsidRPr="000169EF">
              <w:rPr>
                <w:color w:val="000000"/>
                <w:sz w:val="18"/>
                <w:szCs w:val="18"/>
              </w:rPr>
              <w:t>116</w:t>
            </w:r>
          </w:p>
        </w:tc>
        <w:tc>
          <w:tcPr>
            <w:tcW w:w="1559" w:type="dxa"/>
            <w:shd w:val="clear" w:color="auto" w:fill="auto"/>
            <w:noWrap/>
            <w:vAlign w:val="center"/>
          </w:tcPr>
          <w:p w14:paraId="68A18134" w14:textId="77777777" w:rsidR="004E6471" w:rsidRPr="000169EF" w:rsidRDefault="004E6471" w:rsidP="006D0A51">
            <w:pPr>
              <w:jc w:val="center"/>
              <w:rPr>
                <w:color w:val="000000"/>
                <w:sz w:val="18"/>
                <w:szCs w:val="18"/>
              </w:rPr>
            </w:pPr>
            <w:r w:rsidRPr="000169EF">
              <w:rPr>
                <w:color w:val="000000"/>
                <w:sz w:val="18"/>
                <w:szCs w:val="18"/>
              </w:rPr>
              <w:t>1.307</w:t>
            </w:r>
          </w:p>
        </w:tc>
        <w:tc>
          <w:tcPr>
            <w:tcW w:w="1559" w:type="dxa"/>
            <w:shd w:val="clear" w:color="auto" w:fill="auto"/>
            <w:noWrap/>
            <w:vAlign w:val="center"/>
          </w:tcPr>
          <w:p w14:paraId="16E693DD" w14:textId="77777777" w:rsidR="004E6471" w:rsidRPr="000169EF" w:rsidRDefault="004E6471" w:rsidP="006D0A51">
            <w:pPr>
              <w:jc w:val="center"/>
              <w:rPr>
                <w:color w:val="000000"/>
                <w:sz w:val="18"/>
                <w:szCs w:val="18"/>
              </w:rPr>
            </w:pPr>
            <w:r w:rsidRPr="000169EF">
              <w:rPr>
                <w:color w:val="000000"/>
                <w:sz w:val="18"/>
                <w:szCs w:val="18"/>
              </w:rPr>
              <w:t>1.318</w:t>
            </w:r>
          </w:p>
        </w:tc>
        <w:tc>
          <w:tcPr>
            <w:tcW w:w="1559" w:type="dxa"/>
            <w:shd w:val="clear" w:color="auto" w:fill="auto"/>
            <w:noWrap/>
            <w:vAlign w:val="center"/>
          </w:tcPr>
          <w:p w14:paraId="26C3554F" w14:textId="77777777" w:rsidR="004E6471" w:rsidRPr="000169EF" w:rsidRDefault="004E6471" w:rsidP="006D0A51">
            <w:pPr>
              <w:jc w:val="center"/>
              <w:rPr>
                <w:color w:val="000000"/>
                <w:sz w:val="18"/>
                <w:szCs w:val="18"/>
              </w:rPr>
            </w:pPr>
            <w:r w:rsidRPr="000169EF">
              <w:rPr>
                <w:color w:val="000000"/>
                <w:sz w:val="18"/>
                <w:szCs w:val="18"/>
              </w:rPr>
              <w:t>105</w:t>
            </w:r>
          </w:p>
        </w:tc>
      </w:tr>
      <w:tr w:rsidR="004E6471" w:rsidRPr="001B4CA2" w14:paraId="194F3E0D" w14:textId="77777777" w:rsidTr="000169EF">
        <w:trPr>
          <w:trHeight w:val="306"/>
        </w:trPr>
        <w:tc>
          <w:tcPr>
            <w:tcW w:w="2126" w:type="dxa"/>
            <w:shd w:val="clear" w:color="auto" w:fill="auto"/>
            <w:noWrap/>
            <w:vAlign w:val="center"/>
            <w:hideMark/>
          </w:tcPr>
          <w:p w14:paraId="2D4CAD53"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Zadru</w:t>
            </w:r>
          </w:p>
        </w:tc>
        <w:tc>
          <w:tcPr>
            <w:tcW w:w="1560" w:type="dxa"/>
            <w:shd w:val="clear" w:color="auto" w:fill="auto"/>
            <w:noWrap/>
            <w:vAlign w:val="center"/>
          </w:tcPr>
          <w:p w14:paraId="71A20CA9" w14:textId="77777777" w:rsidR="004E6471" w:rsidRPr="000169EF" w:rsidRDefault="004E6471" w:rsidP="006D0A51">
            <w:pPr>
              <w:jc w:val="center"/>
              <w:rPr>
                <w:color w:val="000000"/>
                <w:sz w:val="18"/>
                <w:szCs w:val="18"/>
              </w:rPr>
            </w:pPr>
            <w:r w:rsidRPr="000169EF">
              <w:rPr>
                <w:color w:val="000000"/>
                <w:sz w:val="18"/>
                <w:szCs w:val="18"/>
              </w:rPr>
              <w:t>132</w:t>
            </w:r>
          </w:p>
        </w:tc>
        <w:tc>
          <w:tcPr>
            <w:tcW w:w="1559" w:type="dxa"/>
            <w:shd w:val="clear" w:color="auto" w:fill="auto"/>
            <w:noWrap/>
            <w:vAlign w:val="center"/>
          </w:tcPr>
          <w:p w14:paraId="70CCA27B" w14:textId="77777777" w:rsidR="004E6471" w:rsidRPr="000169EF" w:rsidRDefault="004E6471" w:rsidP="006D0A51">
            <w:pPr>
              <w:jc w:val="center"/>
              <w:rPr>
                <w:color w:val="000000"/>
                <w:sz w:val="18"/>
                <w:szCs w:val="18"/>
              </w:rPr>
            </w:pPr>
            <w:r w:rsidRPr="000169EF">
              <w:rPr>
                <w:color w:val="000000"/>
                <w:sz w:val="18"/>
                <w:szCs w:val="18"/>
              </w:rPr>
              <w:t>1.437</w:t>
            </w:r>
          </w:p>
        </w:tc>
        <w:tc>
          <w:tcPr>
            <w:tcW w:w="1559" w:type="dxa"/>
            <w:shd w:val="clear" w:color="auto" w:fill="auto"/>
            <w:noWrap/>
            <w:vAlign w:val="center"/>
          </w:tcPr>
          <w:p w14:paraId="758248E2" w14:textId="77777777" w:rsidR="004E6471" w:rsidRPr="000169EF" w:rsidRDefault="004E6471" w:rsidP="006D0A51">
            <w:pPr>
              <w:jc w:val="center"/>
              <w:rPr>
                <w:color w:val="000000"/>
                <w:sz w:val="18"/>
                <w:szCs w:val="18"/>
              </w:rPr>
            </w:pPr>
            <w:r w:rsidRPr="000169EF">
              <w:rPr>
                <w:color w:val="000000"/>
                <w:sz w:val="18"/>
                <w:szCs w:val="18"/>
              </w:rPr>
              <w:t>1.497</w:t>
            </w:r>
          </w:p>
        </w:tc>
        <w:tc>
          <w:tcPr>
            <w:tcW w:w="1559" w:type="dxa"/>
            <w:shd w:val="clear" w:color="auto" w:fill="auto"/>
            <w:noWrap/>
            <w:vAlign w:val="center"/>
          </w:tcPr>
          <w:p w14:paraId="2232FE37" w14:textId="77777777" w:rsidR="004E6471" w:rsidRPr="000169EF" w:rsidRDefault="004E6471" w:rsidP="006D0A51">
            <w:pPr>
              <w:jc w:val="center"/>
              <w:rPr>
                <w:color w:val="000000"/>
                <w:sz w:val="18"/>
                <w:szCs w:val="18"/>
              </w:rPr>
            </w:pPr>
            <w:r w:rsidRPr="000169EF">
              <w:rPr>
                <w:color w:val="000000"/>
                <w:sz w:val="18"/>
                <w:szCs w:val="18"/>
              </w:rPr>
              <w:t>72</w:t>
            </w:r>
          </w:p>
        </w:tc>
      </w:tr>
      <w:tr w:rsidR="004E6471" w:rsidRPr="001B4CA2" w14:paraId="5C899043" w14:textId="77777777" w:rsidTr="000169EF">
        <w:trPr>
          <w:trHeight w:val="306"/>
        </w:trPr>
        <w:tc>
          <w:tcPr>
            <w:tcW w:w="2126" w:type="dxa"/>
            <w:shd w:val="clear" w:color="auto" w:fill="auto"/>
            <w:noWrap/>
            <w:vAlign w:val="center"/>
            <w:hideMark/>
          </w:tcPr>
          <w:p w14:paraId="100C49CC" w14:textId="77777777" w:rsidR="004E6471" w:rsidRPr="000169EF" w:rsidRDefault="004E6471" w:rsidP="006D0A51">
            <w:pPr>
              <w:jc w:val="left"/>
              <w:rPr>
                <w:rFonts w:eastAsia="Times New Roman"/>
                <w:sz w:val="18"/>
                <w:szCs w:val="18"/>
                <w:lang w:eastAsia="hr-HR"/>
              </w:rPr>
            </w:pPr>
            <w:r w:rsidRPr="000169EF">
              <w:rPr>
                <w:rFonts w:eastAsia="Times New Roman"/>
                <w:sz w:val="18"/>
                <w:szCs w:val="18"/>
                <w:lang w:eastAsia="hr-HR"/>
              </w:rPr>
              <w:t>ŽDO u Zagrebu</w:t>
            </w:r>
          </w:p>
        </w:tc>
        <w:tc>
          <w:tcPr>
            <w:tcW w:w="1560" w:type="dxa"/>
            <w:shd w:val="clear" w:color="auto" w:fill="auto"/>
            <w:noWrap/>
            <w:vAlign w:val="center"/>
          </w:tcPr>
          <w:p w14:paraId="4277DF1E" w14:textId="77777777" w:rsidR="004E6471" w:rsidRPr="000169EF" w:rsidRDefault="004E6471" w:rsidP="006D0A51">
            <w:pPr>
              <w:jc w:val="center"/>
              <w:rPr>
                <w:color w:val="000000"/>
                <w:sz w:val="18"/>
                <w:szCs w:val="18"/>
              </w:rPr>
            </w:pPr>
            <w:r w:rsidRPr="000169EF">
              <w:rPr>
                <w:color w:val="000000"/>
                <w:sz w:val="18"/>
                <w:szCs w:val="18"/>
              </w:rPr>
              <w:t>1.459</w:t>
            </w:r>
          </w:p>
        </w:tc>
        <w:tc>
          <w:tcPr>
            <w:tcW w:w="1559" w:type="dxa"/>
            <w:shd w:val="clear" w:color="auto" w:fill="auto"/>
            <w:noWrap/>
            <w:vAlign w:val="center"/>
          </w:tcPr>
          <w:p w14:paraId="0BB74ABB" w14:textId="77777777" w:rsidR="004E6471" w:rsidRPr="000169EF" w:rsidRDefault="004E6471" w:rsidP="006D0A51">
            <w:pPr>
              <w:jc w:val="center"/>
              <w:rPr>
                <w:color w:val="000000"/>
                <w:sz w:val="18"/>
                <w:szCs w:val="18"/>
              </w:rPr>
            </w:pPr>
            <w:r w:rsidRPr="000169EF">
              <w:rPr>
                <w:color w:val="000000"/>
                <w:sz w:val="18"/>
                <w:szCs w:val="18"/>
              </w:rPr>
              <w:t>6.926</w:t>
            </w:r>
          </w:p>
        </w:tc>
        <w:tc>
          <w:tcPr>
            <w:tcW w:w="1559" w:type="dxa"/>
            <w:shd w:val="clear" w:color="auto" w:fill="auto"/>
            <w:noWrap/>
            <w:vAlign w:val="center"/>
          </w:tcPr>
          <w:p w14:paraId="11BAB0B1" w14:textId="77777777" w:rsidR="004E6471" w:rsidRPr="000169EF" w:rsidRDefault="004E6471" w:rsidP="006D0A51">
            <w:pPr>
              <w:jc w:val="center"/>
              <w:rPr>
                <w:color w:val="000000"/>
                <w:sz w:val="18"/>
                <w:szCs w:val="18"/>
              </w:rPr>
            </w:pPr>
            <w:r w:rsidRPr="000169EF">
              <w:rPr>
                <w:color w:val="000000"/>
                <w:sz w:val="18"/>
                <w:szCs w:val="18"/>
              </w:rPr>
              <w:t>6.963</w:t>
            </w:r>
          </w:p>
        </w:tc>
        <w:tc>
          <w:tcPr>
            <w:tcW w:w="1559" w:type="dxa"/>
            <w:shd w:val="clear" w:color="auto" w:fill="auto"/>
            <w:noWrap/>
            <w:vAlign w:val="center"/>
          </w:tcPr>
          <w:p w14:paraId="42193817" w14:textId="77777777" w:rsidR="004E6471" w:rsidRPr="000169EF" w:rsidRDefault="004E6471" w:rsidP="006D0A51">
            <w:pPr>
              <w:jc w:val="center"/>
              <w:rPr>
                <w:color w:val="000000"/>
                <w:sz w:val="18"/>
                <w:szCs w:val="18"/>
              </w:rPr>
            </w:pPr>
            <w:r w:rsidRPr="000169EF">
              <w:rPr>
                <w:color w:val="000000"/>
                <w:sz w:val="18"/>
                <w:szCs w:val="18"/>
              </w:rPr>
              <w:t>1.419</w:t>
            </w:r>
          </w:p>
        </w:tc>
      </w:tr>
      <w:tr w:rsidR="004E6471" w:rsidRPr="001B4CA2" w14:paraId="5089806A" w14:textId="77777777" w:rsidTr="000169EF">
        <w:trPr>
          <w:trHeight w:val="306"/>
        </w:trPr>
        <w:tc>
          <w:tcPr>
            <w:tcW w:w="2126" w:type="dxa"/>
            <w:shd w:val="clear" w:color="auto" w:fill="auto"/>
            <w:noWrap/>
            <w:vAlign w:val="center"/>
            <w:hideMark/>
          </w:tcPr>
          <w:p w14:paraId="2470463D" w14:textId="77777777" w:rsidR="004E6471" w:rsidRPr="000169EF" w:rsidRDefault="004E6471" w:rsidP="006D0A51">
            <w:pPr>
              <w:jc w:val="left"/>
              <w:rPr>
                <w:rFonts w:eastAsia="Times New Roman"/>
                <w:b/>
                <w:bCs/>
                <w:sz w:val="18"/>
                <w:szCs w:val="18"/>
                <w:lang w:eastAsia="hr-HR"/>
              </w:rPr>
            </w:pPr>
            <w:r w:rsidRPr="000169EF">
              <w:rPr>
                <w:rFonts w:eastAsia="Times New Roman"/>
                <w:b/>
                <w:bCs/>
                <w:sz w:val="18"/>
                <w:szCs w:val="18"/>
                <w:lang w:eastAsia="hr-HR"/>
              </w:rPr>
              <w:t>Ukupno županijska državna odvjetništva</w:t>
            </w:r>
          </w:p>
        </w:tc>
        <w:tc>
          <w:tcPr>
            <w:tcW w:w="1560" w:type="dxa"/>
            <w:shd w:val="clear" w:color="auto" w:fill="auto"/>
            <w:noWrap/>
            <w:vAlign w:val="center"/>
          </w:tcPr>
          <w:p w14:paraId="02435B38" w14:textId="77777777" w:rsidR="004E6471" w:rsidRPr="000169EF" w:rsidRDefault="004E6471" w:rsidP="006D0A51">
            <w:pPr>
              <w:jc w:val="center"/>
              <w:rPr>
                <w:color w:val="000000"/>
                <w:sz w:val="18"/>
                <w:szCs w:val="18"/>
              </w:rPr>
            </w:pPr>
            <w:r w:rsidRPr="000169EF">
              <w:rPr>
                <w:color w:val="000000"/>
                <w:sz w:val="18"/>
                <w:szCs w:val="18"/>
              </w:rPr>
              <w:t>3.857</w:t>
            </w:r>
          </w:p>
        </w:tc>
        <w:tc>
          <w:tcPr>
            <w:tcW w:w="1559" w:type="dxa"/>
            <w:shd w:val="clear" w:color="auto" w:fill="auto"/>
            <w:noWrap/>
            <w:vAlign w:val="center"/>
          </w:tcPr>
          <w:p w14:paraId="6D0F2AA3" w14:textId="77777777" w:rsidR="004E6471" w:rsidRPr="000169EF" w:rsidRDefault="004E6471" w:rsidP="006D0A51">
            <w:pPr>
              <w:jc w:val="center"/>
              <w:rPr>
                <w:color w:val="000000"/>
                <w:sz w:val="18"/>
                <w:szCs w:val="18"/>
              </w:rPr>
            </w:pPr>
            <w:r w:rsidRPr="000169EF">
              <w:rPr>
                <w:color w:val="000000"/>
                <w:sz w:val="18"/>
                <w:szCs w:val="18"/>
              </w:rPr>
              <w:t>34.220</w:t>
            </w:r>
          </w:p>
        </w:tc>
        <w:tc>
          <w:tcPr>
            <w:tcW w:w="1559" w:type="dxa"/>
            <w:shd w:val="clear" w:color="auto" w:fill="auto"/>
            <w:noWrap/>
            <w:vAlign w:val="center"/>
          </w:tcPr>
          <w:p w14:paraId="79E3B15D" w14:textId="77777777" w:rsidR="004E6471" w:rsidRPr="000169EF" w:rsidRDefault="004E6471" w:rsidP="006D0A51">
            <w:pPr>
              <w:jc w:val="center"/>
              <w:rPr>
                <w:color w:val="000000"/>
                <w:sz w:val="18"/>
                <w:szCs w:val="18"/>
              </w:rPr>
            </w:pPr>
            <w:r w:rsidRPr="000169EF">
              <w:rPr>
                <w:color w:val="000000"/>
                <w:sz w:val="18"/>
                <w:szCs w:val="18"/>
              </w:rPr>
              <w:t>34.457</w:t>
            </w:r>
          </w:p>
        </w:tc>
        <w:tc>
          <w:tcPr>
            <w:tcW w:w="1559" w:type="dxa"/>
            <w:shd w:val="clear" w:color="auto" w:fill="auto"/>
            <w:noWrap/>
            <w:vAlign w:val="center"/>
          </w:tcPr>
          <w:p w14:paraId="2F18412F" w14:textId="77777777" w:rsidR="004E6471" w:rsidRPr="000169EF" w:rsidRDefault="004E6471" w:rsidP="006D0A51">
            <w:pPr>
              <w:jc w:val="center"/>
              <w:rPr>
                <w:color w:val="000000"/>
                <w:sz w:val="18"/>
                <w:szCs w:val="18"/>
              </w:rPr>
            </w:pPr>
            <w:r w:rsidRPr="000169EF">
              <w:rPr>
                <w:color w:val="000000"/>
                <w:sz w:val="18"/>
                <w:szCs w:val="18"/>
              </w:rPr>
              <w:t>3.617</w:t>
            </w:r>
          </w:p>
        </w:tc>
      </w:tr>
      <w:tr w:rsidR="004E6471" w:rsidRPr="001B4CA2" w14:paraId="1BC1D503" w14:textId="77777777" w:rsidTr="000169EF">
        <w:trPr>
          <w:trHeight w:val="306"/>
        </w:trPr>
        <w:tc>
          <w:tcPr>
            <w:tcW w:w="2126" w:type="dxa"/>
            <w:shd w:val="clear" w:color="auto" w:fill="auto"/>
            <w:noWrap/>
            <w:vAlign w:val="center"/>
            <w:hideMark/>
          </w:tcPr>
          <w:p w14:paraId="46104244" w14:textId="77777777" w:rsidR="004E6471" w:rsidRPr="000169EF" w:rsidRDefault="004E6471" w:rsidP="006D0A51">
            <w:pPr>
              <w:jc w:val="left"/>
              <w:rPr>
                <w:rFonts w:eastAsia="Times New Roman"/>
                <w:b/>
                <w:bCs/>
                <w:sz w:val="18"/>
                <w:szCs w:val="18"/>
                <w:lang w:eastAsia="hr-HR"/>
              </w:rPr>
            </w:pPr>
            <w:r w:rsidRPr="000169EF">
              <w:rPr>
                <w:rFonts w:eastAsia="Times New Roman"/>
                <w:b/>
                <w:bCs/>
                <w:sz w:val="18"/>
                <w:szCs w:val="18"/>
                <w:lang w:eastAsia="hr-HR"/>
              </w:rPr>
              <w:t>Prosjek</w:t>
            </w:r>
          </w:p>
        </w:tc>
        <w:tc>
          <w:tcPr>
            <w:tcW w:w="1560" w:type="dxa"/>
            <w:shd w:val="clear" w:color="auto" w:fill="auto"/>
            <w:noWrap/>
            <w:vAlign w:val="center"/>
          </w:tcPr>
          <w:p w14:paraId="78CB09C9" w14:textId="77777777" w:rsidR="004E6471" w:rsidRPr="000169EF" w:rsidRDefault="004E6471" w:rsidP="006D0A51">
            <w:pPr>
              <w:jc w:val="center"/>
              <w:rPr>
                <w:color w:val="000000"/>
                <w:sz w:val="18"/>
                <w:szCs w:val="18"/>
              </w:rPr>
            </w:pPr>
            <w:r w:rsidRPr="000169EF">
              <w:rPr>
                <w:color w:val="000000"/>
                <w:sz w:val="18"/>
                <w:szCs w:val="18"/>
              </w:rPr>
              <w:t>257,13</w:t>
            </w:r>
          </w:p>
        </w:tc>
        <w:tc>
          <w:tcPr>
            <w:tcW w:w="1559" w:type="dxa"/>
            <w:shd w:val="clear" w:color="auto" w:fill="auto"/>
            <w:noWrap/>
            <w:vAlign w:val="center"/>
          </w:tcPr>
          <w:p w14:paraId="2043511E" w14:textId="77777777" w:rsidR="004E6471" w:rsidRPr="000169EF" w:rsidRDefault="004E6471" w:rsidP="006D0A51">
            <w:pPr>
              <w:jc w:val="center"/>
              <w:rPr>
                <w:color w:val="000000"/>
                <w:sz w:val="18"/>
                <w:szCs w:val="18"/>
              </w:rPr>
            </w:pPr>
            <w:r w:rsidRPr="000169EF">
              <w:rPr>
                <w:color w:val="000000"/>
                <w:sz w:val="18"/>
                <w:szCs w:val="18"/>
              </w:rPr>
              <w:t>2.281,33</w:t>
            </w:r>
          </w:p>
        </w:tc>
        <w:tc>
          <w:tcPr>
            <w:tcW w:w="1559" w:type="dxa"/>
            <w:shd w:val="clear" w:color="auto" w:fill="auto"/>
            <w:noWrap/>
            <w:vAlign w:val="center"/>
          </w:tcPr>
          <w:p w14:paraId="518BB15B" w14:textId="77777777" w:rsidR="004E6471" w:rsidRPr="000169EF" w:rsidRDefault="004E6471" w:rsidP="006D0A51">
            <w:pPr>
              <w:jc w:val="center"/>
              <w:rPr>
                <w:color w:val="000000"/>
                <w:sz w:val="18"/>
                <w:szCs w:val="18"/>
              </w:rPr>
            </w:pPr>
            <w:r w:rsidRPr="000169EF">
              <w:rPr>
                <w:color w:val="000000"/>
                <w:sz w:val="18"/>
                <w:szCs w:val="18"/>
              </w:rPr>
              <w:t>2.297,13</w:t>
            </w:r>
          </w:p>
        </w:tc>
        <w:tc>
          <w:tcPr>
            <w:tcW w:w="1559" w:type="dxa"/>
            <w:shd w:val="clear" w:color="auto" w:fill="auto"/>
            <w:noWrap/>
            <w:vAlign w:val="center"/>
          </w:tcPr>
          <w:p w14:paraId="771FD881" w14:textId="77777777" w:rsidR="004E6471" w:rsidRPr="000169EF" w:rsidRDefault="004E6471" w:rsidP="006D0A51">
            <w:pPr>
              <w:jc w:val="center"/>
              <w:rPr>
                <w:color w:val="000000"/>
                <w:sz w:val="18"/>
                <w:szCs w:val="18"/>
              </w:rPr>
            </w:pPr>
            <w:r w:rsidRPr="000169EF">
              <w:rPr>
                <w:color w:val="000000"/>
                <w:sz w:val="18"/>
                <w:szCs w:val="18"/>
              </w:rPr>
              <w:t>241,13</w:t>
            </w:r>
          </w:p>
        </w:tc>
      </w:tr>
    </w:tbl>
    <w:p w14:paraId="76158936" w14:textId="77777777" w:rsidR="004E6471" w:rsidRPr="001B4CA2" w:rsidRDefault="004E6471" w:rsidP="004E6471"/>
    <w:p w14:paraId="333DD481" w14:textId="2B1389BE" w:rsidR="004E6471" w:rsidRPr="001B4CA2" w:rsidRDefault="004E6471" w:rsidP="004E6471">
      <w:pPr>
        <w:ind w:firstLine="708"/>
      </w:pPr>
      <w:r w:rsidRPr="001B4CA2">
        <w:t xml:space="preserve">U gornjoj tablici dan je pojedinačni pregled kretanja predmeta županijskih državnih odvjetništava. Iz podataka je vidljivo da su županijska državna odvjetništva riješila veći broj predmeta od broja </w:t>
      </w:r>
      <w:proofErr w:type="spellStart"/>
      <w:r w:rsidRPr="001B4CA2">
        <w:t>novozaprimljenih</w:t>
      </w:r>
      <w:proofErr w:type="spellEnd"/>
      <w:r w:rsidRPr="001B4CA2">
        <w:t xml:space="preserve"> predmeta u izvještajnom razdoblju te da su smanjila ukupan broj neriješenih predmeta u odnosu na prethodno razdoblje. </w:t>
      </w:r>
    </w:p>
    <w:p w14:paraId="660E2450" w14:textId="77777777" w:rsidR="004E6471" w:rsidRPr="001B4CA2" w:rsidRDefault="004E6471" w:rsidP="004E6471"/>
    <w:p w14:paraId="47940DE5" w14:textId="77777777" w:rsidR="004E6471" w:rsidRPr="001B4CA2" w:rsidRDefault="004E6471" w:rsidP="004E6471"/>
    <w:p w14:paraId="15E5D533" w14:textId="55C434E9" w:rsidR="004E6471" w:rsidRPr="001B4CA2" w:rsidRDefault="004E6471" w:rsidP="004E6471"/>
    <w:p w14:paraId="632EB7EB" w14:textId="12529415" w:rsidR="00373B2A" w:rsidRPr="001B4CA2" w:rsidRDefault="00373B2A" w:rsidP="004E6471"/>
    <w:p w14:paraId="050797B7" w14:textId="77777777" w:rsidR="00373B2A" w:rsidRPr="001B4CA2" w:rsidRDefault="00373B2A" w:rsidP="004E6471"/>
    <w:tbl>
      <w:tblPr>
        <w:tblW w:w="4655" w:type="pct"/>
        <w:tblInd w:w="250" w:type="dxa"/>
        <w:tblLayout w:type="fixed"/>
        <w:tblLook w:val="04A0" w:firstRow="1" w:lastRow="0" w:firstColumn="1" w:lastColumn="0" w:noHBand="0" w:noVBand="1"/>
      </w:tblPr>
      <w:tblGrid>
        <w:gridCol w:w="2837"/>
        <w:gridCol w:w="969"/>
        <w:gridCol w:w="969"/>
        <w:gridCol w:w="968"/>
        <w:gridCol w:w="968"/>
        <w:gridCol w:w="968"/>
        <w:gridCol w:w="968"/>
      </w:tblGrid>
      <w:tr w:rsidR="004E6471" w:rsidRPr="001B4CA2" w14:paraId="403098CE" w14:textId="77777777" w:rsidTr="000169EF">
        <w:trPr>
          <w:trHeight w:val="352"/>
        </w:trPr>
        <w:tc>
          <w:tcPr>
            <w:tcW w:w="5000" w:type="pct"/>
            <w:gridSpan w:val="7"/>
            <w:tcBorders>
              <w:top w:val="nil"/>
              <w:left w:val="nil"/>
              <w:bottom w:val="nil"/>
              <w:right w:val="nil"/>
            </w:tcBorders>
            <w:shd w:val="clear" w:color="auto" w:fill="auto"/>
            <w:noWrap/>
            <w:vAlign w:val="bottom"/>
            <w:hideMark/>
          </w:tcPr>
          <w:p w14:paraId="2D30B230" w14:textId="77777777" w:rsidR="004E6471" w:rsidRPr="001B4CA2" w:rsidRDefault="004E6471" w:rsidP="006D0A51">
            <w:pPr>
              <w:ind w:left="142"/>
              <w:jc w:val="left"/>
              <w:rPr>
                <w:rFonts w:eastAsia="Times New Roman"/>
                <w:bCs/>
                <w:i/>
                <w:lang w:eastAsia="hr-HR"/>
              </w:rPr>
            </w:pPr>
            <w:r w:rsidRPr="001B4CA2">
              <w:rPr>
                <w:rFonts w:eastAsia="Times New Roman"/>
                <w:bCs/>
                <w:i/>
                <w:lang w:eastAsia="hr-HR"/>
              </w:rPr>
              <w:t>Pregled pokazatelja uspješnosti rada županijskih državnih odvjetništava pojedinačno po državnim odvjetništvima</w:t>
            </w:r>
          </w:p>
        </w:tc>
      </w:tr>
      <w:tr w:rsidR="000169EF" w:rsidRPr="001B4CA2" w14:paraId="5DB6E31A" w14:textId="77777777" w:rsidTr="000169EF">
        <w:trPr>
          <w:cantSplit/>
          <w:trHeight w:val="2133"/>
        </w:trPr>
        <w:tc>
          <w:tcPr>
            <w:tcW w:w="1640"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2362E79C" w14:textId="77777777" w:rsidR="004E6471" w:rsidRPr="001B4CA2" w:rsidRDefault="004E6471" w:rsidP="006D0A51">
            <w:pPr>
              <w:jc w:val="center"/>
              <w:rPr>
                <w:rFonts w:eastAsia="Times New Roman"/>
                <w:b/>
                <w:bCs/>
                <w:sz w:val="18"/>
                <w:szCs w:val="18"/>
                <w:lang w:eastAsia="hr-HR"/>
              </w:rPr>
            </w:pPr>
            <w:r w:rsidRPr="001B4CA2">
              <w:rPr>
                <w:rFonts w:eastAsia="Times New Roman"/>
                <w:b/>
                <w:bCs/>
                <w:sz w:val="18"/>
                <w:szCs w:val="18"/>
                <w:lang w:eastAsia="hr-HR"/>
              </w:rPr>
              <w:t>Državno odvjetništvo</w:t>
            </w:r>
          </w:p>
        </w:tc>
        <w:tc>
          <w:tcPr>
            <w:tcW w:w="560"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245C1E2C" w14:textId="0C96DBFA" w:rsidR="004E6471" w:rsidRPr="001B4CA2" w:rsidRDefault="004E6471" w:rsidP="006D0A51">
            <w:pPr>
              <w:ind w:left="113" w:right="113"/>
              <w:jc w:val="left"/>
              <w:rPr>
                <w:rFonts w:eastAsia="Times New Roman"/>
                <w:b/>
                <w:bCs/>
                <w:sz w:val="18"/>
                <w:szCs w:val="18"/>
                <w:lang w:eastAsia="hr-HR"/>
              </w:rPr>
            </w:pPr>
            <w:r w:rsidRPr="001B4CA2">
              <w:rPr>
                <w:rFonts w:eastAsia="Times New Roman"/>
                <w:b/>
                <w:bCs/>
                <w:sz w:val="18"/>
                <w:szCs w:val="18"/>
                <w:lang w:eastAsia="hr-HR"/>
              </w:rPr>
              <w:t>Broj zamjenika i savjetnika u DO</w:t>
            </w:r>
            <w:r w:rsidR="00A804EF">
              <w:rPr>
                <w:rFonts w:eastAsia="Times New Roman"/>
                <w:b/>
                <w:bCs/>
                <w:sz w:val="18"/>
                <w:szCs w:val="18"/>
                <w:lang w:eastAsia="hr-HR"/>
              </w:rPr>
              <w:t>-u</w:t>
            </w:r>
          </w:p>
        </w:tc>
        <w:tc>
          <w:tcPr>
            <w:tcW w:w="560"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7CFE30EF" w14:textId="77777777" w:rsidR="004E6471" w:rsidRPr="001B4CA2" w:rsidRDefault="004E6471" w:rsidP="006D0A51">
            <w:pPr>
              <w:ind w:left="113" w:right="113"/>
              <w:jc w:val="left"/>
              <w:rPr>
                <w:rFonts w:eastAsia="Times New Roman"/>
                <w:b/>
                <w:bCs/>
                <w:sz w:val="18"/>
                <w:szCs w:val="18"/>
                <w:lang w:eastAsia="hr-HR"/>
              </w:rPr>
            </w:pPr>
            <w:r w:rsidRPr="001B4CA2">
              <w:rPr>
                <w:rFonts w:eastAsia="Times New Roman"/>
                <w:b/>
                <w:bCs/>
                <w:sz w:val="18"/>
                <w:szCs w:val="18"/>
                <w:lang w:eastAsia="hr-HR"/>
              </w:rPr>
              <w:t xml:space="preserve">Stvarna prisutnost </w:t>
            </w:r>
            <w:proofErr w:type="spellStart"/>
            <w:r w:rsidRPr="001B4CA2">
              <w:rPr>
                <w:rFonts w:eastAsia="Times New Roman"/>
                <w:b/>
                <w:bCs/>
                <w:sz w:val="18"/>
                <w:szCs w:val="18"/>
                <w:lang w:eastAsia="hr-HR"/>
              </w:rPr>
              <w:t>rješavatelja</w:t>
            </w:r>
            <w:proofErr w:type="spellEnd"/>
          </w:p>
        </w:tc>
        <w:tc>
          <w:tcPr>
            <w:tcW w:w="560"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3EA82E72" w14:textId="77777777" w:rsidR="004E6471" w:rsidRPr="001B4CA2" w:rsidRDefault="004E6471" w:rsidP="006D0A51">
            <w:pPr>
              <w:ind w:left="113" w:right="113"/>
              <w:jc w:val="left"/>
              <w:rPr>
                <w:rFonts w:eastAsia="Times New Roman"/>
                <w:b/>
                <w:bCs/>
                <w:sz w:val="18"/>
                <w:szCs w:val="18"/>
                <w:lang w:eastAsia="hr-HR"/>
              </w:rPr>
            </w:pPr>
            <w:r w:rsidRPr="001B4CA2">
              <w:rPr>
                <w:rFonts w:eastAsia="Times New Roman"/>
                <w:b/>
                <w:bCs/>
                <w:sz w:val="18"/>
                <w:szCs w:val="18"/>
                <w:lang w:eastAsia="hr-HR"/>
              </w:rPr>
              <w:t>Riješeno po zamjeniku/ savjetniku</w:t>
            </w:r>
          </w:p>
        </w:tc>
        <w:tc>
          <w:tcPr>
            <w:tcW w:w="560"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550A9B5D" w14:textId="77777777" w:rsidR="004E6471" w:rsidRPr="001B4CA2" w:rsidRDefault="004E6471" w:rsidP="006D0A51">
            <w:pPr>
              <w:ind w:left="113" w:right="113"/>
              <w:jc w:val="left"/>
              <w:rPr>
                <w:rFonts w:eastAsia="Times New Roman"/>
                <w:b/>
                <w:bCs/>
                <w:sz w:val="18"/>
                <w:szCs w:val="18"/>
                <w:lang w:eastAsia="hr-HR"/>
              </w:rPr>
            </w:pPr>
            <w:r w:rsidRPr="001B4CA2">
              <w:rPr>
                <w:rFonts w:eastAsia="Times New Roman"/>
                <w:b/>
                <w:bCs/>
                <w:sz w:val="18"/>
                <w:szCs w:val="18"/>
                <w:lang w:eastAsia="hr-HR"/>
              </w:rPr>
              <w:t>Neriješeno po zamjeniku/ savjetniku</w:t>
            </w:r>
          </w:p>
        </w:tc>
        <w:tc>
          <w:tcPr>
            <w:tcW w:w="560" w:type="pct"/>
            <w:tcBorders>
              <w:top w:val="single" w:sz="4" w:space="0" w:color="auto"/>
              <w:left w:val="nil"/>
              <w:bottom w:val="nil"/>
              <w:right w:val="single" w:sz="4" w:space="0" w:color="auto"/>
            </w:tcBorders>
            <w:shd w:val="clear" w:color="auto" w:fill="99CCFF"/>
            <w:noWrap/>
            <w:vAlign w:val="center"/>
            <w:hideMark/>
          </w:tcPr>
          <w:p w14:paraId="12F7115C" w14:textId="77777777" w:rsidR="004E6471" w:rsidRPr="001B4CA2" w:rsidRDefault="004E6471"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560" w:type="pct"/>
            <w:tcBorders>
              <w:top w:val="single" w:sz="4" w:space="0" w:color="auto"/>
              <w:left w:val="nil"/>
              <w:bottom w:val="nil"/>
              <w:right w:val="single" w:sz="4" w:space="0" w:color="auto"/>
            </w:tcBorders>
            <w:shd w:val="clear" w:color="auto" w:fill="99CCFF"/>
            <w:noWrap/>
            <w:vAlign w:val="center"/>
            <w:hideMark/>
          </w:tcPr>
          <w:p w14:paraId="2B61B058" w14:textId="77777777" w:rsidR="004E6471" w:rsidRPr="001B4CA2" w:rsidRDefault="004E6471" w:rsidP="006D0A51">
            <w:pPr>
              <w:jc w:val="center"/>
              <w:rPr>
                <w:rFonts w:eastAsia="Times New Roman"/>
                <w:b/>
                <w:bCs/>
                <w:sz w:val="18"/>
                <w:szCs w:val="18"/>
                <w:lang w:eastAsia="hr-HR"/>
              </w:rPr>
            </w:pPr>
            <w:r w:rsidRPr="001B4CA2">
              <w:rPr>
                <w:rFonts w:eastAsia="Times New Roman"/>
                <w:b/>
                <w:bCs/>
                <w:sz w:val="18"/>
                <w:szCs w:val="18"/>
                <w:lang w:eastAsia="hr-HR"/>
              </w:rPr>
              <w:t>DT</w:t>
            </w:r>
          </w:p>
        </w:tc>
      </w:tr>
      <w:tr w:rsidR="000169EF" w:rsidRPr="001B4CA2" w14:paraId="432DF4C2"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4C33530E"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Bjelovaru</w:t>
            </w: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62E87" w14:textId="77777777" w:rsidR="004E6471" w:rsidRPr="000169EF" w:rsidRDefault="004E6471" w:rsidP="006D0A51">
            <w:pPr>
              <w:jc w:val="center"/>
              <w:rPr>
                <w:color w:val="000000"/>
                <w:sz w:val="18"/>
                <w:szCs w:val="18"/>
              </w:rPr>
            </w:pPr>
            <w:r w:rsidRPr="000169EF">
              <w:rPr>
                <w:color w:val="000000"/>
                <w:sz w:val="18"/>
                <w:szCs w:val="18"/>
              </w:rPr>
              <w:t>10</w:t>
            </w:r>
          </w:p>
        </w:tc>
        <w:tc>
          <w:tcPr>
            <w:tcW w:w="560" w:type="pct"/>
            <w:tcBorders>
              <w:top w:val="single" w:sz="4" w:space="0" w:color="auto"/>
              <w:left w:val="nil"/>
              <w:bottom w:val="single" w:sz="4" w:space="0" w:color="auto"/>
              <w:right w:val="single" w:sz="4" w:space="0" w:color="auto"/>
            </w:tcBorders>
            <w:shd w:val="clear" w:color="auto" w:fill="auto"/>
            <w:noWrap/>
            <w:vAlign w:val="center"/>
          </w:tcPr>
          <w:p w14:paraId="5033E734" w14:textId="77777777" w:rsidR="004E6471" w:rsidRPr="000169EF" w:rsidRDefault="004E6471" w:rsidP="006D0A51">
            <w:pPr>
              <w:jc w:val="center"/>
              <w:rPr>
                <w:color w:val="000000"/>
                <w:sz w:val="18"/>
                <w:szCs w:val="18"/>
              </w:rPr>
            </w:pPr>
            <w:r w:rsidRPr="000169EF">
              <w:rPr>
                <w:color w:val="000000"/>
                <w:sz w:val="18"/>
                <w:szCs w:val="18"/>
              </w:rPr>
              <w:t>9</w:t>
            </w:r>
          </w:p>
        </w:tc>
        <w:tc>
          <w:tcPr>
            <w:tcW w:w="560" w:type="pct"/>
            <w:tcBorders>
              <w:top w:val="single" w:sz="4" w:space="0" w:color="auto"/>
              <w:left w:val="nil"/>
              <w:bottom w:val="single" w:sz="4" w:space="0" w:color="auto"/>
              <w:right w:val="single" w:sz="4" w:space="0" w:color="auto"/>
            </w:tcBorders>
            <w:shd w:val="clear" w:color="auto" w:fill="auto"/>
            <w:noWrap/>
            <w:vAlign w:val="center"/>
          </w:tcPr>
          <w:p w14:paraId="7239A0E3" w14:textId="77777777" w:rsidR="004E6471" w:rsidRPr="000169EF" w:rsidRDefault="004E6471" w:rsidP="006D0A51">
            <w:pPr>
              <w:jc w:val="center"/>
              <w:rPr>
                <w:color w:val="000000"/>
                <w:sz w:val="18"/>
                <w:szCs w:val="18"/>
              </w:rPr>
            </w:pPr>
            <w:r w:rsidRPr="000169EF">
              <w:rPr>
                <w:color w:val="000000"/>
                <w:sz w:val="18"/>
                <w:szCs w:val="18"/>
              </w:rPr>
              <w:t>231,2</w:t>
            </w:r>
          </w:p>
        </w:tc>
        <w:tc>
          <w:tcPr>
            <w:tcW w:w="560" w:type="pct"/>
            <w:tcBorders>
              <w:top w:val="single" w:sz="4" w:space="0" w:color="auto"/>
              <w:left w:val="nil"/>
              <w:bottom w:val="single" w:sz="4" w:space="0" w:color="auto"/>
              <w:right w:val="single" w:sz="4" w:space="0" w:color="auto"/>
            </w:tcBorders>
            <w:shd w:val="clear" w:color="auto" w:fill="auto"/>
            <w:noWrap/>
            <w:vAlign w:val="center"/>
          </w:tcPr>
          <w:p w14:paraId="27DE0CFE" w14:textId="77777777" w:rsidR="004E6471" w:rsidRPr="000169EF" w:rsidRDefault="004E6471" w:rsidP="006D0A51">
            <w:pPr>
              <w:jc w:val="center"/>
              <w:rPr>
                <w:color w:val="000000"/>
                <w:sz w:val="18"/>
                <w:szCs w:val="18"/>
              </w:rPr>
            </w:pPr>
            <w:r w:rsidRPr="000169EF">
              <w:rPr>
                <w:color w:val="000000"/>
                <w:sz w:val="18"/>
                <w:szCs w:val="18"/>
              </w:rPr>
              <w:t>12,0</w:t>
            </w:r>
          </w:p>
        </w:tc>
        <w:tc>
          <w:tcPr>
            <w:tcW w:w="560" w:type="pct"/>
            <w:tcBorders>
              <w:top w:val="single" w:sz="4" w:space="0" w:color="auto"/>
              <w:left w:val="nil"/>
              <w:bottom w:val="single" w:sz="4" w:space="0" w:color="auto"/>
              <w:right w:val="single" w:sz="4" w:space="0" w:color="auto"/>
            </w:tcBorders>
            <w:shd w:val="clear" w:color="auto" w:fill="auto"/>
            <w:noWrap/>
            <w:vAlign w:val="center"/>
          </w:tcPr>
          <w:p w14:paraId="0CA52EBD" w14:textId="77777777" w:rsidR="004E6471" w:rsidRPr="000169EF" w:rsidRDefault="004E6471" w:rsidP="006D0A51">
            <w:pPr>
              <w:jc w:val="center"/>
              <w:rPr>
                <w:color w:val="000000"/>
                <w:sz w:val="18"/>
                <w:szCs w:val="18"/>
              </w:rPr>
            </w:pPr>
            <w:r w:rsidRPr="000169EF">
              <w:rPr>
                <w:color w:val="000000"/>
                <w:sz w:val="18"/>
                <w:szCs w:val="18"/>
              </w:rPr>
              <w:t>100%</w:t>
            </w:r>
          </w:p>
        </w:tc>
        <w:tc>
          <w:tcPr>
            <w:tcW w:w="560" w:type="pct"/>
            <w:tcBorders>
              <w:top w:val="single" w:sz="4" w:space="0" w:color="auto"/>
              <w:left w:val="nil"/>
              <w:bottom w:val="single" w:sz="4" w:space="0" w:color="auto"/>
              <w:right w:val="single" w:sz="4" w:space="0" w:color="auto"/>
            </w:tcBorders>
            <w:shd w:val="clear" w:color="auto" w:fill="auto"/>
            <w:noWrap/>
            <w:vAlign w:val="center"/>
          </w:tcPr>
          <w:p w14:paraId="37FEC08F" w14:textId="77777777" w:rsidR="004E6471" w:rsidRPr="000169EF" w:rsidRDefault="004E6471" w:rsidP="006D0A51">
            <w:pPr>
              <w:jc w:val="center"/>
              <w:rPr>
                <w:color w:val="000000"/>
                <w:sz w:val="18"/>
                <w:szCs w:val="18"/>
              </w:rPr>
            </w:pPr>
            <w:r w:rsidRPr="000169EF">
              <w:rPr>
                <w:color w:val="000000"/>
                <w:sz w:val="18"/>
                <w:szCs w:val="18"/>
              </w:rPr>
              <w:t>18,9</w:t>
            </w:r>
          </w:p>
        </w:tc>
      </w:tr>
      <w:tr w:rsidR="000169EF" w:rsidRPr="001B4CA2" w14:paraId="039E19D2"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551382E7"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Dubrovniku</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6891BC3F" w14:textId="77777777" w:rsidR="004E6471" w:rsidRPr="000169EF" w:rsidRDefault="004E6471" w:rsidP="006D0A51">
            <w:pPr>
              <w:jc w:val="center"/>
              <w:rPr>
                <w:color w:val="000000"/>
                <w:sz w:val="18"/>
                <w:szCs w:val="18"/>
              </w:rPr>
            </w:pPr>
            <w:r w:rsidRPr="000169EF">
              <w:rPr>
                <w:color w:val="000000"/>
                <w:sz w:val="18"/>
                <w:szCs w:val="18"/>
              </w:rPr>
              <w:t>5</w:t>
            </w:r>
          </w:p>
        </w:tc>
        <w:tc>
          <w:tcPr>
            <w:tcW w:w="560" w:type="pct"/>
            <w:tcBorders>
              <w:top w:val="nil"/>
              <w:left w:val="nil"/>
              <w:bottom w:val="single" w:sz="4" w:space="0" w:color="auto"/>
              <w:right w:val="single" w:sz="4" w:space="0" w:color="auto"/>
            </w:tcBorders>
            <w:shd w:val="clear" w:color="auto" w:fill="auto"/>
            <w:noWrap/>
            <w:vAlign w:val="center"/>
          </w:tcPr>
          <w:p w14:paraId="39EF9F0B" w14:textId="77777777" w:rsidR="004E6471" w:rsidRPr="000169EF" w:rsidRDefault="004E6471" w:rsidP="006D0A51">
            <w:pPr>
              <w:jc w:val="center"/>
              <w:rPr>
                <w:color w:val="000000"/>
                <w:sz w:val="18"/>
                <w:szCs w:val="18"/>
              </w:rPr>
            </w:pPr>
            <w:r w:rsidRPr="000169EF">
              <w:rPr>
                <w:color w:val="000000"/>
                <w:sz w:val="18"/>
                <w:szCs w:val="18"/>
              </w:rPr>
              <w:t>5</w:t>
            </w:r>
          </w:p>
        </w:tc>
        <w:tc>
          <w:tcPr>
            <w:tcW w:w="560" w:type="pct"/>
            <w:tcBorders>
              <w:top w:val="nil"/>
              <w:left w:val="nil"/>
              <w:bottom w:val="single" w:sz="4" w:space="0" w:color="auto"/>
              <w:right w:val="single" w:sz="4" w:space="0" w:color="auto"/>
            </w:tcBorders>
            <w:shd w:val="clear" w:color="auto" w:fill="auto"/>
            <w:noWrap/>
            <w:vAlign w:val="center"/>
          </w:tcPr>
          <w:p w14:paraId="38B540E3" w14:textId="77777777" w:rsidR="004E6471" w:rsidRPr="000169EF" w:rsidRDefault="004E6471" w:rsidP="006D0A51">
            <w:pPr>
              <w:jc w:val="center"/>
              <w:rPr>
                <w:color w:val="000000"/>
                <w:sz w:val="18"/>
                <w:szCs w:val="18"/>
              </w:rPr>
            </w:pPr>
            <w:r w:rsidRPr="000169EF">
              <w:rPr>
                <w:color w:val="000000"/>
                <w:sz w:val="18"/>
                <w:szCs w:val="18"/>
              </w:rPr>
              <w:t>211,2</w:t>
            </w:r>
          </w:p>
        </w:tc>
        <w:tc>
          <w:tcPr>
            <w:tcW w:w="560" w:type="pct"/>
            <w:tcBorders>
              <w:top w:val="nil"/>
              <w:left w:val="nil"/>
              <w:bottom w:val="single" w:sz="4" w:space="0" w:color="auto"/>
              <w:right w:val="single" w:sz="4" w:space="0" w:color="auto"/>
            </w:tcBorders>
            <w:shd w:val="clear" w:color="auto" w:fill="auto"/>
            <w:noWrap/>
            <w:vAlign w:val="center"/>
          </w:tcPr>
          <w:p w14:paraId="1C8720C7" w14:textId="77777777" w:rsidR="004E6471" w:rsidRPr="000169EF" w:rsidRDefault="004E6471" w:rsidP="006D0A51">
            <w:pPr>
              <w:jc w:val="center"/>
              <w:rPr>
                <w:color w:val="000000"/>
                <w:sz w:val="18"/>
                <w:szCs w:val="18"/>
              </w:rPr>
            </w:pPr>
            <w:r w:rsidRPr="000169EF">
              <w:rPr>
                <w:color w:val="000000"/>
                <w:sz w:val="18"/>
                <w:szCs w:val="18"/>
              </w:rPr>
              <w:t>24,0</w:t>
            </w:r>
          </w:p>
        </w:tc>
        <w:tc>
          <w:tcPr>
            <w:tcW w:w="560" w:type="pct"/>
            <w:tcBorders>
              <w:top w:val="nil"/>
              <w:left w:val="nil"/>
              <w:bottom w:val="single" w:sz="4" w:space="0" w:color="auto"/>
              <w:right w:val="single" w:sz="4" w:space="0" w:color="auto"/>
            </w:tcBorders>
            <w:shd w:val="clear" w:color="auto" w:fill="auto"/>
            <w:noWrap/>
            <w:vAlign w:val="center"/>
          </w:tcPr>
          <w:p w14:paraId="070143BE" w14:textId="77777777" w:rsidR="004E6471" w:rsidRPr="000169EF" w:rsidRDefault="004E6471" w:rsidP="006D0A51">
            <w:pPr>
              <w:jc w:val="center"/>
              <w:rPr>
                <w:color w:val="000000"/>
                <w:sz w:val="18"/>
                <w:szCs w:val="18"/>
              </w:rPr>
            </w:pPr>
            <w:r w:rsidRPr="000169EF">
              <w:rPr>
                <w:color w:val="000000"/>
                <w:sz w:val="18"/>
                <w:szCs w:val="18"/>
              </w:rPr>
              <w:t>100%</w:t>
            </w:r>
          </w:p>
        </w:tc>
        <w:tc>
          <w:tcPr>
            <w:tcW w:w="560" w:type="pct"/>
            <w:tcBorders>
              <w:top w:val="nil"/>
              <w:left w:val="nil"/>
              <w:bottom w:val="single" w:sz="4" w:space="0" w:color="auto"/>
              <w:right w:val="single" w:sz="4" w:space="0" w:color="auto"/>
            </w:tcBorders>
            <w:shd w:val="clear" w:color="auto" w:fill="auto"/>
            <w:noWrap/>
            <w:vAlign w:val="center"/>
          </w:tcPr>
          <w:p w14:paraId="56909482" w14:textId="77777777" w:rsidR="004E6471" w:rsidRPr="000169EF" w:rsidRDefault="004E6471" w:rsidP="006D0A51">
            <w:pPr>
              <w:jc w:val="center"/>
              <w:rPr>
                <w:color w:val="000000"/>
                <w:sz w:val="18"/>
                <w:szCs w:val="18"/>
              </w:rPr>
            </w:pPr>
            <w:r w:rsidRPr="000169EF">
              <w:rPr>
                <w:color w:val="000000"/>
                <w:sz w:val="18"/>
                <w:szCs w:val="18"/>
              </w:rPr>
              <w:t>41,5</w:t>
            </w:r>
          </w:p>
        </w:tc>
      </w:tr>
      <w:tr w:rsidR="000169EF" w:rsidRPr="001B4CA2" w14:paraId="119F9646"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6351318D"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Karlovcu</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3CE6EB21" w14:textId="77777777" w:rsidR="004E6471" w:rsidRPr="000169EF" w:rsidRDefault="004E6471" w:rsidP="006D0A51">
            <w:pPr>
              <w:jc w:val="center"/>
              <w:rPr>
                <w:color w:val="000000"/>
                <w:sz w:val="18"/>
                <w:szCs w:val="18"/>
              </w:rPr>
            </w:pPr>
            <w:r w:rsidRPr="000169EF">
              <w:rPr>
                <w:color w:val="000000"/>
                <w:sz w:val="18"/>
                <w:szCs w:val="18"/>
              </w:rPr>
              <w:t>7</w:t>
            </w:r>
          </w:p>
        </w:tc>
        <w:tc>
          <w:tcPr>
            <w:tcW w:w="560" w:type="pct"/>
            <w:tcBorders>
              <w:top w:val="nil"/>
              <w:left w:val="nil"/>
              <w:bottom w:val="single" w:sz="4" w:space="0" w:color="auto"/>
              <w:right w:val="single" w:sz="4" w:space="0" w:color="auto"/>
            </w:tcBorders>
            <w:shd w:val="clear" w:color="auto" w:fill="auto"/>
            <w:noWrap/>
            <w:vAlign w:val="center"/>
          </w:tcPr>
          <w:p w14:paraId="01D722F7" w14:textId="77777777" w:rsidR="004E6471" w:rsidRPr="000169EF" w:rsidRDefault="004E6471" w:rsidP="006D0A51">
            <w:pPr>
              <w:jc w:val="center"/>
              <w:rPr>
                <w:color w:val="000000"/>
                <w:sz w:val="18"/>
                <w:szCs w:val="18"/>
              </w:rPr>
            </w:pPr>
            <w:r w:rsidRPr="000169EF">
              <w:rPr>
                <w:color w:val="000000"/>
                <w:sz w:val="18"/>
                <w:szCs w:val="18"/>
              </w:rPr>
              <w:t>6,2</w:t>
            </w:r>
          </w:p>
        </w:tc>
        <w:tc>
          <w:tcPr>
            <w:tcW w:w="560" w:type="pct"/>
            <w:tcBorders>
              <w:top w:val="nil"/>
              <w:left w:val="nil"/>
              <w:bottom w:val="single" w:sz="4" w:space="0" w:color="auto"/>
              <w:right w:val="single" w:sz="4" w:space="0" w:color="auto"/>
            </w:tcBorders>
            <w:shd w:val="clear" w:color="auto" w:fill="auto"/>
            <w:noWrap/>
            <w:vAlign w:val="center"/>
          </w:tcPr>
          <w:p w14:paraId="35650645" w14:textId="77777777" w:rsidR="004E6471" w:rsidRPr="000169EF" w:rsidRDefault="004E6471" w:rsidP="006D0A51">
            <w:pPr>
              <w:jc w:val="center"/>
              <w:rPr>
                <w:color w:val="000000"/>
                <w:sz w:val="18"/>
                <w:szCs w:val="18"/>
              </w:rPr>
            </w:pPr>
            <w:r w:rsidRPr="000169EF">
              <w:rPr>
                <w:color w:val="000000"/>
                <w:sz w:val="18"/>
                <w:szCs w:val="18"/>
              </w:rPr>
              <w:t>261,5</w:t>
            </w:r>
          </w:p>
        </w:tc>
        <w:tc>
          <w:tcPr>
            <w:tcW w:w="560" w:type="pct"/>
            <w:tcBorders>
              <w:top w:val="nil"/>
              <w:left w:val="nil"/>
              <w:bottom w:val="single" w:sz="4" w:space="0" w:color="auto"/>
              <w:right w:val="single" w:sz="4" w:space="0" w:color="auto"/>
            </w:tcBorders>
            <w:shd w:val="clear" w:color="auto" w:fill="auto"/>
            <w:noWrap/>
            <w:vAlign w:val="center"/>
          </w:tcPr>
          <w:p w14:paraId="7FAE42CE" w14:textId="77777777" w:rsidR="004E6471" w:rsidRPr="000169EF" w:rsidRDefault="004E6471" w:rsidP="006D0A51">
            <w:pPr>
              <w:jc w:val="center"/>
              <w:rPr>
                <w:color w:val="000000"/>
                <w:sz w:val="18"/>
                <w:szCs w:val="18"/>
              </w:rPr>
            </w:pPr>
            <w:r w:rsidRPr="000169EF">
              <w:rPr>
                <w:color w:val="000000"/>
                <w:sz w:val="18"/>
                <w:szCs w:val="18"/>
              </w:rPr>
              <w:t>24,5</w:t>
            </w:r>
          </w:p>
        </w:tc>
        <w:tc>
          <w:tcPr>
            <w:tcW w:w="560" w:type="pct"/>
            <w:tcBorders>
              <w:top w:val="nil"/>
              <w:left w:val="nil"/>
              <w:bottom w:val="single" w:sz="4" w:space="0" w:color="auto"/>
              <w:right w:val="single" w:sz="4" w:space="0" w:color="auto"/>
            </w:tcBorders>
            <w:shd w:val="clear" w:color="auto" w:fill="auto"/>
            <w:noWrap/>
            <w:vAlign w:val="center"/>
          </w:tcPr>
          <w:p w14:paraId="5B45E374" w14:textId="77777777" w:rsidR="004E6471" w:rsidRPr="000169EF" w:rsidRDefault="004E6471" w:rsidP="006D0A51">
            <w:pPr>
              <w:jc w:val="center"/>
              <w:rPr>
                <w:color w:val="000000"/>
                <w:sz w:val="18"/>
                <w:szCs w:val="18"/>
              </w:rPr>
            </w:pPr>
            <w:r w:rsidRPr="000169EF">
              <w:rPr>
                <w:color w:val="000000"/>
                <w:sz w:val="18"/>
                <w:szCs w:val="18"/>
              </w:rPr>
              <w:t>98%</w:t>
            </w:r>
          </w:p>
        </w:tc>
        <w:tc>
          <w:tcPr>
            <w:tcW w:w="560" w:type="pct"/>
            <w:tcBorders>
              <w:top w:val="nil"/>
              <w:left w:val="nil"/>
              <w:bottom w:val="single" w:sz="4" w:space="0" w:color="auto"/>
              <w:right w:val="single" w:sz="4" w:space="0" w:color="auto"/>
            </w:tcBorders>
            <w:shd w:val="clear" w:color="auto" w:fill="auto"/>
            <w:noWrap/>
            <w:vAlign w:val="center"/>
          </w:tcPr>
          <w:p w14:paraId="2333B47B" w14:textId="77777777" w:rsidR="004E6471" w:rsidRPr="000169EF" w:rsidRDefault="004E6471" w:rsidP="006D0A51">
            <w:pPr>
              <w:jc w:val="center"/>
              <w:rPr>
                <w:color w:val="000000"/>
                <w:sz w:val="18"/>
                <w:szCs w:val="18"/>
              </w:rPr>
            </w:pPr>
            <w:r w:rsidRPr="000169EF">
              <w:rPr>
                <w:color w:val="000000"/>
                <w:sz w:val="18"/>
                <w:szCs w:val="18"/>
              </w:rPr>
              <w:t>34,2</w:t>
            </w:r>
          </w:p>
        </w:tc>
      </w:tr>
      <w:tr w:rsidR="000169EF" w:rsidRPr="001B4CA2" w14:paraId="110465E5"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3254A8C3"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Osijeku</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74DB168E" w14:textId="77777777" w:rsidR="004E6471" w:rsidRPr="000169EF" w:rsidRDefault="004E6471" w:rsidP="006D0A51">
            <w:pPr>
              <w:jc w:val="center"/>
              <w:rPr>
                <w:color w:val="000000"/>
                <w:sz w:val="18"/>
                <w:szCs w:val="18"/>
              </w:rPr>
            </w:pPr>
            <w:r w:rsidRPr="000169EF">
              <w:rPr>
                <w:color w:val="000000"/>
                <w:sz w:val="18"/>
                <w:szCs w:val="18"/>
              </w:rPr>
              <w:t>23</w:t>
            </w:r>
          </w:p>
        </w:tc>
        <w:tc>
          <w:tcPr>
            <w:tcW w:w="560" w:type="pct"/>
            <w:tcBorders>
              <w:top w:val="nil"/>
              <w:left w:val="nil"/>
              <w:bottom w:val="single" w:sz="4" w:space="0" w:color="auto"/>
              <w:right w:val="single" w:sz="4" w:space="0" w:color="auto"/>
            </w:tcBorders>
            <w:shd w:val="clear" w:color="auto" w:fill="auto"/>
            <w:noWrap/>
            <w:vAlign w:val="center"/>
          </w:tcPr>
          <w:p w14:paraId="13FD3E00" w14:textId="77777777" w:rsidR="004E6471" w:rsidRPr="000169EF" w:rsidRDefault="004E6471" w:rsidP="006D0A51">
            <w:pPr>
              <w:jc w:val="center"/>
              <w:rPr>
                <w:color w:val="000000"/>
                <w:sz w:val="18"/>
                <w:szCs w:val="18"/>
              </w:rPr>
            </w:pPr>
            <w:r w:rsidRPr="000169EF">
              <w:rPr>
                <w:color w:val="000000"/>
                <w:sz w:val="18"/>
                <w:szCs w:val="18"/>
              </w:rPr>
              <w:t>19,3</w:t>
            </w:r>
          </w:p>
        </w:tc>
        <w:tc>
          <w:tcPr>
            <w:tcW w:w="560" w:type="pct"/>
            <w:tcBorders>
              <w:top w:val="nil"/>
              <w:left w:val="nil"/>
              <w:bottom w:val="single" w:sz="4" w:space="0" w:color="auto"/>
              <w:right w:val="single" w:sz="4" w:space="0" w:color="auto"/>
            </w:tcBorders>
            <w:shd w:val="clear" w:color="auto" w:fill="auto"/>
            <w:noWrap/>
            <w:vAlign w:val="center"/>
          </w:tcPr>
          <w:p w14:paraId="75403594" w14:textId="77777777" w:rsidR="004E6471" w:rsidRPr="000169EF" w:rsidRDefault="004E6471" w:rsidP="006D0A51">
            <w:pPr>
              <w:jc w:val="center"/>
              <w:rPr>
                <w:color w:val="000000"/>
                <w:sz w:val="18"/>
                <w:szCs w:val="18"/>
              </w:rPr>
            </w:pPr>
            <w:r w:rsidRPr="000169EF">
              <w:rPr>
                <w:color w:val="000000"/>
                <w:sz w:val="18"/>
                <w:szCs w:val="18"/>
              </w:rPr>
              <w:t>121,3</w:t>
            </w:r>
          </w:p>
        </w:tc>
        <w:tc>
          <w:tcPr>
            <w:tcW w:w="560" w:type="pct"/>
            <w:tcBorders>
              <w:top w:val="nil"/>
              <w:left w:val="nil"/>
              <w:bottom w:val="single" w:sz="4" w:space="0" w:color="auto"/>
              <w:right w:val="single" w:sz="4" w:space="0" w:color="auto"/>
            </w:tcBorders>
            <w:shd w:val="clear" w:color="auto" w:fill="auto"/>
            <w:noWrap/>
            <w:vAlign w:val="center"/>
          </w:tcPr>
          <w:p w14:paraId="3B5455B8" w14:textId="77777777" w:rsidR="004E6471" w:rsidRPr="000169EF" w:rsidRDefault="004E6471" w:rsidP="006D0A51">
            <w:pPr>
              <w:jc w:val="center"/>
              <w:rPr>
                <w:color w:val="000000"/>
                <w:sz w:val="18"/>
                <w:szCs w:val="18"/>
              </w:rPr>
            </w:pPr>
            <w:r w:rsidRPr="000169EF">
              <w:rPr>
                <w:color w:val="000000"/>
                <w:sz w:val="18"/>
                <w:szCs w:val="18"/>
              </w:rPr>
              <w:t>21,8</w:t>
            </w:r>
          </w:p>
        </w:tc>
        <w:tc>
          <w:tcPr>
            <w:tcW w:w="560" w:type="pct"/>
            <w:tcBorders>
              <w:top w:val="nil"/>
              <w:left w:val="nil"/>
              <w:bottom w:val="single" w:sz="4" w:space="0" w:color="auto"/>
              <w:right w:val="single" w:sz="4" w:space="0" w:color="auto"/>
            </w:tcBorders>
            <w:shd w:val="clear" w:color="auto" w:fill="auto"/>
            <w:noWrap/>
            <w:vAlign w:val="center"/>
          </w:tcPr>
          <w:p w14:paraId="2D693D80" w14:textId="77777777" w:rsidR="004E6471" w:rsidRPr="000169EF" w:rsidRDefault="004E6471" w:rsidP="006D0A51">
            <w:pPr>
              <w:jc w:val="center"/>
              <w:rPr>
                <w:color w:val="000000"/>
                <w:sz w:val="18"/>
                <w:szCs w:val="18"/>
              </w:rPr>
            </w:pPr>
            <w:r w:rsidRPr="000169EF">
              <w:rPr>
                <w:color w:val="000000"/>
                <w:sz w:val="18"/>
                <w:szCs w:val="18"/>
              </w:rPr>
              <w:t>100%</w:t>
            </w:r>
          </w:p>
        </w:tc>
        <w:tc>
          <w:tcPr>
            <w:tcW w:w="560" w:type="pct"/>
            <w:tcBorders>
              <w:top w:val="nil"/>
              <w:left w:val="nil"/>
              <w:bottom w:val="single" w:sz="4" w:space="0" w:color="auto"/>
              <w:right w:val="single" w:sz="4" w:space="0" w:color="auto"/>
            </w:tcBorders>
            <w:shd w:val="clear" w:color="auto" w:fill="auto"/>
            <w:noWrap/>
            <w:vAlign w:val="center"/>
          </w:tcPr>
          <w:p w14:paraId="3969202E" w14:textId="77777777" w:rsidR="004E6471" w:rsidRPr="000169EF" w:rsidRDefault="004E6471" w:rsidP="006D0A51">
            <w:pPr>
              <w:jc w:val="center"/>
              <w:rPr>
                <w:color w:val="000000"/>
                <w:sz w:val="18"/>
                <w:szCs w:val="18"/>
              </w:rPr>
            </w:pPr>
            <w:r w:rsidRPr="000169EF">
              <w:rPr>
                <w:color w:val="000000"/>
                <w:sz w:val="18"/>
                <w:szCs w:val="18"/>
              </w:rPr>
              <w:t>65,5</w:t>
            </w:r>
          </w:p>
        </w:tc>
      </w:tr>
      <w:tr w:rsidR="000169EF" w:rsidRPr="001B4CA2" w14:paraId="662D4590"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70C5CC38"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Puli-Pola</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6F386BDD" w14:textId="77777777" w:rsidR="004E6471" w:rsidRPr="000169EF" w:rsidRDefault="004E6471" w:rsidP="006D0A51">
            <w:pPr>
              <w:jc w:val="center"/>
              <w:rPr>
                <w:color w:val="000000"/>
                <w:sz w:val="18"/>
                <w:szCs w:val="18"/>
              </w:rPr>
            </w:pPr>
            <w:r w:rsidRPr="000169EF">
              <w:rPr>
                <w:color w:val="000000"/>
                <w:sz w:val="18"/>
                <w:szCs w:val="18"/>
              </w:rPr>
              <w:t>11</w:t>
            </w:r>
          </w:p>
        </w:tc>
        <w:tc>
          <w:tcPr>
            <w:tcW w:w="560" w:type="pct"/>
            <w:tcBorders>
              <w:top w:val="nil"/>
              <w:left w:val="nil"/>
              <w:bottom w:val="single" w:sz="4" w:space="0" w:color="auto"/>
              <w:right w:val="single" w:sz="4" w:space="0" w:color="auto"/>
            </w:tcBorders>
            <w:shd w:val="clear" w:color="auto" w:fill="auto"/>
            <w:noWrap/>
            <w:vAlign w:val="center"/>
          </w:tcPr>
          <w:p w14:paraId="628EF04C" w14:textId="77777777" w:rsidR="004E6471" w:rsidRPr="000169EF" w:rsidRDefault="004E6471" w:rsidP="006D0A51">
            <w:pPr>
              <w:jc w:val="center"/>
              <w:rPr>
                <w:color w:val="000000"/>
                <w:sz w:val="18"/>
                <w:szCs w:val="18"/>
              </w:rPr>
            </w:pPr>
            <w:r w:rsidRPr="000169EF">
              <w:rPr>
                <w:color w:val="000000"/>
                <w:sz w:val="18"/>
                <w:szCs w:val="18"/>
              </w:rPr>
              <w:t>9,1</w:t>
            </w:r>
          </w:p>
        </w:tc>
        <w:tc>
          <w:tcPr>
            <w:tcW w:w="560" w:type="pct"/>
            <w:tcBorders>
              <w:top w:val="nil"/>
              <w:left w:val="nil"/>
              <w:bottom w:val="single" w:sz="4" w:space="0" w:color="auto"/>
              <w:right w:val="single" w:sz="4" w:space="0" w:color="auto"/>
            </w:tcBorders>
            <w:shd w:val="clear" w:color="auto" w:fill="auto"/>
            <w:noWrap/>
            <w:vAlign w:val="center"/>
          </w:tcPr>
          <w:p w14:paraId="20A58CEC" w14:textId="77777777" w:rsidR="004E6471" w:rsidRPr="000169EF" w:rsidRDefault="004E6471" w:rsidP="006D0A51">
            <w:pPr>
              <w:jc w:val="center"/>
              <w:rPr>
                <w:color w:val="000000"/>
                <w:sz w:val="18"/>
                <w:szCs w:val="18"/>
              </w:rPr>
            </w:pPr>
            <w:r w:rsidRPr="000169EF">
              <w:rPr>
                <w:color w:val="000000"/>
                <w:sz w:val="18"/>
                <w:szCs w:val="18"/>
              </w:rPr>
              <w:t>319,8</w:t>
            </w:r>
          </w:p>
        </w:tc>
        <w:tc>
          <w:tcPr>
            <w:tcW w:w="560" w:type="pct"/>
            <w:tcBorders>
              <w:top w:val="nil"/>
              <w:left w:val="nil"/>
              <w:bottom w:val="single" w:sz="4" w:space="0" w:color="auto"/>
              <w:right w:val="single" w:sz="4" w:space="0" w:color="auto"/>
            </w:tcBorders>
            <w:shd w:val="clear" w:color="auto" w:fill="auto"/>
            <w:noWrap/>
            <w:vAlign w:val="center"/>
          </w:tcPr>
          <w:p w14:paraId="0A1BF023" w14:textId="77777777" w:rsidR="004E6471" w:rsidRPr="000169EF" w:rsidRDefault="004E6471" w:rsidP="006D0A51">
            <w:pPr>
              <w:jc w:val="center"/>
              <w:rPr>
                <w:color w:val="000000"/>
                <w:sz w:val="18"/>
                <w:szCs w:val="18"/>
              </w:rPr>
            </w:pPr>
            <w:r w:rsidRPr="000169EF">
              <w:rPr>
                <w:color w:val="000000"/>
                <w:sz w:val="18"/>
                <w:szCs w:val="18"/>
              </w:rPr>
              <w:t>13,1</w:t>
            </w:r>
          </w:p>
        </w:tc>
        <w:tc>
          <w:tcPr>
            <w:tcW w:w="560" w:type="pct"/>
            <w:tcBorders>
              <w:top w:val="nil"/>
              <w:left w:val="nil"/>
              <w:bottom w:val="single" w:sz="4" w:space="0" w:color="auto"/>
              <w:right w:val="single" w:sz="4" w:space="0" w:color="auto"/>
            </w:tcBorders>
            <w:shd w:val="clear" w:color="auto" w:fill="auto"/>
            <w:noWrap/>
            <w:vAlign w:val="center"/>
          </w:tcPr>
          <w:p w14:paraId="6CD81D3E" w14:textId="77777777" w:rsidR="004E6471" w:rsidRPr="000169EF" w:rsidRDefault="004E6471" w:rsidP="006D0A51">
            <w:pPr>
              <w:jc w:val="center"/>
              <w:rPr>
                <w:color w:val="000000"/>
                <w:sz w:val="18"/>
                <w:szCs w:val="18"/>
              </w:rPr>
            </w:pPr>
            <w:r w:rsidRPr="000169EF">
              <w:rPr>
                <w:color w:val="000000"/>
                <w:sz w:val="18"/>
                <w:szCs w:val="18"/>
              </w:rPr>
              <w:t>100%</w:t>
            </w:r>
          </w:p>
        </w:tc>
        <w:tc>
          <w:tcPr>
            <w:tcW w:w="560" w:type="pct"/>
            <w:tcBorders>
              <w:top w:val="nil"/>
              <w:left w:val="nil"/>
              <w:bottom w:val="single" w:sz="4" w:space="0" w:color="auto"/>
              <w:right w:val="single" w:sz="4" w:space="0" w:color="auto"/>
            </w:tcBorders>
            <w:shd w:val="clear" w:color="auto" w:fill="auto"/>
            <w:noWrap/>
            <w:vAlign w:val="center"/>
          </w:tcPr>
          <w:p w14:paraId="39E6CC02" w14:textId="77777777" w:rsidR="004E6471" w:rsidRPr="000169EF" w:rsidRDefault="004E6471" w:rsidP="006D0A51">
            <w:pPr>
              <w:jc w:val="center"/>
              <w:rPr>
                <w:color w:val="000000"/>
                <w:sz w:val="18"/>
                <w:szCs w:val="18"/>
              </w:rPr>
            </w:pPr>
            <w:r w:rsidRPr="000169EF">
              <w:rPr>
                <w:color w:val="000000"/>
                <w:sz w:val="18"/>
                <w:szCs w:val="18"/>
              </w:rPr>
              <w:t>15,0</w:t>
            </w:r>
          </w:p>
        </w:tc>
      </w:tr>
      <w:tr w:rsidR="000169EF" w:rsidRPr="001B4CA2" w14:paraId="19486E33"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71D2812C"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Rijeci</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33B26959" w14:textId="77777777" w:rsidR="004E6471" w:rsidRPr="000169EF" w:rsidRDefault="004E6471" w:rsidP="006D0A51">
            <w:pPr>
              <w:jc w:val="center"/>
              <w:rPr>
                <w:color w:val="000000"/>
                <w:sz w:val="18"/>
                <w:szCs w:val="18"/>
              </w:rPr>
            </w:pPr>
            <w:r w:rsidRPr="000169EF">
              <w:rPr>
                <w:color w:val="000000"/>
                <w:sz w:val="18"/>
                <w:szCs w:val="18"/>
              </w:rPr>
              <w:t>21</w:t>
            </w:r>
          </w:p>
        </w:tc>
        <w:tc>
          <w:tcPr>
            <w:tcW w:w="560" w:type="pct"/>
            <w:tcBorders>
              <w:top w:val="nil"/>
              <w:left w:val="nil"/>
              <w:bottom w:val="single" w:sz="4" w:space="0" w:color="auto"/>
              <w:right w:val="single" w:sz="4" w:space="0" w:color="auto"/>
            </w:tcBorders>
            <w:shd w:val="clear" w:color="auto" w:fill="auto"/>
            <w:noWrap/>
            <w:vAlign w:val="center"/>
          </w:tcPr>
          <w:p w14:paraId="5E80589E" w14:textId="77777777" w:rsidR="004E6471" w:rsidRPr="000169EF" w:rsidRDefault="004E6471" w:rsidP="006D0A51">
            <w:pPr>
              <w:jc w:val="center"/>
              <w:rPr>
                <w:color w:val="000000"/>
                <w:sz w:val="18"/>
                <w:szCs w:val="18"/>
              </w:rPr>
            </w:pPr>
            <w:r w:rsidRPr="000169EF">
              <w:rPr>
                <w:color w:val="000000"/>
                <w:sz w:val="18"/>
                <w:szCs w:val="18"/>
              </w:rPr>
              <w:t>12,96</w:t>
            </w:r>
          </w:p>
        </w:tc>
        <w:tc>
          <w:tcPr>
            <w:tcW w:w="560" w:type="pct"/>
            <w:tcBorders>
              <w:top w:val="nil"/>
              <w:left w:val="nil"/>
              <w:bottom w:val="single" w:sz="4" w:space="0" w:color="auto"/>
              <w:right w:val="single" w:sz="4" w:space="0" w:color="auto"/>
            </w:tcBorders>
            <w:shd w:val="clear" w:color="auto" w:fill="auto"/>
            <w:noWrap/>
            <w:vAlign w:val="center"/>
          </w:tcPr>
          <w:p w14:paraId="7CD484B4" w14:textId="77777777" w:rsidR="004E6471" w:rsidRPr="000169EF" w:rsidRDefault="004E6471" w:rsidP="006D0A51">
            <w:pPr>
              <w:jc w:val="center"/>
              <w:rPr>
                <w:color w:val="000000"/>
                <w:sz w:val="18"/>
                <w:szCs w:val="18"/>
              </w:rPr>
            </w:pPr>
            <w:r w:rsidRPr="000169EF">
              <w:rPr>
                <w:color w:val="000000"/>
                <w:sz w:val="18"/>
                <w:szCs w:val="18"/>
              </w:rPr>
              <w:t>173,1</w:t>
            </w:r>
          </w:p>
        </w:tc>
        <w:tc>
          <w:tcPr>
            <w:tcW w:w="560" w:type="pct"/>
            <w:tcBorders>
              <w:top w:val="nil"/>
              <w:left w:val="nil"/>
              <w:bottom w:val="single" w:sz="4" w:space="0" w:color="auto"/>
              <w:right w:val="single" w:sz="4" w:space="0" w:color="auto"/>
            </w:tcBorders>
            <w:shd w:val="clear" w:color="auto" w:fill="auto"/>
            <w:noWrap/>
            <w:vAlign w:val="center"/>
          </w:tcPr>
          <w:p w14:paraId="7FF3EF63" w14:textId="77777777" w:rsidR="004E6471" w:rsidRPr="000169EF" w:rsidRDefault="004E6471" w:rsidP="006D0A51">
            <w:pPr>
              <w:jc w:val="center"/>
              <w:rPr>
                <w:color w:val="000000"/>
                <w:sz w:val="18"/>
                <w:szCs w:val="18"/>
              </w:rPr>
            </w:pPr>
            <w:r w:rsidRPr="000169EF">
              <w:rPr>
                <w:color w:val="000000"/>
                <w:sz w:val="18"/>
                <w:szCs w:val="18"/>
              </w:rPr>
              <w:t>13,2</w:t>
            </w:r>
          </w:p>
        </w:tc>
        <w:tc>
          <w:tcPr>
            <w:tcW w:w="560" w:type="pct"/>
            <w:tcBorders>
              <w:top w:val="nil"/>
              <w:left w:val="nil"/>
              <w:bottom w:val="single" w:sz="4" w:space="0" w:color="auto"/>
              <w:right w:val="single" w:sz="4" w:space="0" w:color="auto"/>
            </w:tcBorders>
            <w:shd w:val="clear" w:color="auto" w:fill="auto"/>
            <w:noWrap/>
            <w:vAlign w:val="center"/>
          </w:tcPr>
          <w:p w14:paraId="4C33AEDC" w14:textId="77777777" w:rsidR="004E6471" w:rsidRPr="000169EF" w:rsidRDefault="004E6471" w:rsidP="006D0A51">
            <w:pPr>
              <w:jc w:val="center"/>
              <w:rPr>
                <w:color w:val="000000"/>
                <w:sz w:val="18"/>
                <w:szCs w:val="18"/>
              </w:rPr>
            </w:pPr>
            <w:r w:rsidRPr="000169EF">
              <w:rPr>
                <w:color w:val="000000"/>
                <w:sz w:val="18"/>
                <w:szCs w:val="18"/>
              </w:rPr>
              <w:t>101%</w:t>
            </w:r>
          </w:p>
        </w:tc>
        <w:tc>
          <w:tcPr>
            <w:tcW w:w="560" w:type="pct"/>
            <w:tcBorders>
              <w:top w:val="nil"/>
              <w:left w:val="nil"/>
              <w:bottom w:val="single" w:sz="4" w:space="0" w:color="auto"/>
              <w:right w:val="single" w:sz="4" w:space="0" w:color="auto"/>
            </w:tcBorders>
            <w:shd w:val="clear" w:color="auto" w:fill="auto"/>
            <w:noWrap/>
            <w:vAlign w:val="center"/>
          </w:tcPr>
          <w:p w14:paraId="75C81E89" w14:textId="77777777" w:rsidR="004E6471" w:rsidRPr="000169EF" w:rsidRDefault="004E6471" w:rsidP="006D0A51">
            <w:pPr>
              <w:jc w:val="center"/>
              <w:rPr>
                <w:color w:val="000000"/>
                <w:sz w:val="18"/>
                <w:szCs w:val="18"/>
              </w:rPr>
            </w:pPr>
            <w:r w:rsidRPr="000169EF">
              <w:rPr>
                <w:color w:val="000000"/>
                <w:sz w:val="18"/>
                <w:szCs w:val="18"/>
              </w:rPr>
              <w:t>27,8</w:t>
            </w:r>
          </w:p>
        </w:tc>
      </w:tr>
      <w:tr w:rsidR="000169EF" w:rsidRPr="001B4CA2" w14:paraId="33291143"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0AB85AE5"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Sisku</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5D83B7CA" w14:textId="77777777" w:rsidR="004E6471" w:rsidRPr="000169EF" w:rsidRDefault="004E6471" w:rsidP="006D0A51">
            <w:pPr>
              <w:jc w:val="center"/>
              <w:rPr>
                <w:color w:val="000000"/>
                <w:sz w:val="18"/>
                <w:szCs w:val="18"/>
              </w:rPr>
            </w:pPr>
            <w:r w:rsidRPr="000169EF">
              <w:rPr>
                <w:color w:val="000000"/>
                <w:sz w:val="18"/>
                <w:szCs w:val="18"/>
              </w:rPr>
              <w:t>9</w:t>
            </w:r>
          </w:p>
        </w:tc>
        <w:tc>
          <w:tcPr>
            <w:tcW w:w="560" w:type="pct"/>
            <w:tcBorders>
              <w:top w:val="nil"/>
              <w:left w:val="nil"/>
              <w:bottom w:val="single" w:sz="4" w:space="0" w:color="auto"/>
              <w:right w:val="single" w:sz="4" w:space="0" w:color="auto"/>
            </w:tcBorders>
            <w:shd w:val="clear" w:color="auto" w:fill="auto"/>
            <w:noWrap/>
            <w:vAlign w:val="center"/>
          </w:tcPr>
          <w:p w14:paraId="212EADDB" w14:textId="77777777" w:rsidR="004E6471" w:rsidRPr="000169EF" w:rsidRDefault="004E6471" w:rsidP="006D0A51">
            <w:pPr>
              <w:jc w:val="center"/>
              <w:rPr>
                <w:color w:val="000000"/>
                <w:sz w:val="18"/>
                <w:szCs w:val="18"/>
              </w:rPr>
            </w:pPr>
            <w:r w:rsidRPr="000169EF">
              <w:rPr>
                <w:color w:val="000000"/>
                <w:sz w:val="18"/>
                <w:szCs w:val="18"/>
              </w:rPr>
              <w:t>7</w:t>
            </w:r>
          </w:p>
        </w:tc>
        <w:tc>
          <w:tcPr>
            <w:tcW w:w="560" w:type="pct"/>
            <w:tcBorders>
              <w:top w:val="nil"/>
              <w:left w:val="nil"/>
              <w:bottom w:val="single" w:sz="4" w:space="0" w:color="auto"/>
              <w:right w:val="single" w:sz="4" w:space="0" w:color="auto"/>
            </w:tcBorders>
            <w:shd w:val="clear" w:color="auto" w:fill="auto"/>
            <w:noWrap/>
            <w:vAlign w:val="center"/>
          </w:tcPr>
          <w:p w14:paraId="16D06C80" w14:textId="77777777" w:rsidR="004E6471" w:rsidRPr="000169EF" w:rsidRDefault="004E6471" w:rsidP="006D0A51">
            <w:pPr>
              <w:jc w:val="center"/>
              <w:rPr>
                <w:color w:val="000000"/>
                <w:sz w:val="18"/>
                <w:szCs w:val="18"/>
              </w:rPr>
            </w:pPr>
            <w:r w:rsidRPr="000169EF">
              <w:rPr>
                <w:color w:val="000000"/>
                <w:sz w:val="18"/>
                <w:szCs w:val="18"/>
              </w:rPr>
              <w:t>191,4</w:t>
            </w:r>
          </w:p>
        </w:tc>
        <w:tc>
          <w:tcPr>
            <w:tcW w:w="560" w:type="pct"/>
            <w:tcBorders>
              <w:top w:val="nil"/>
              <w:left w:val="nil"/>
              <w:bottom w:val="single" w:sz="4" w:space="0" w:color="auto"/>
              <w:right w:val="single" w:sz="4" w:space="0" w:color="auto"/>
            </w:tcBorders>
            <w:shd w:val="clear" w:color="auto" w:fill="auto"/>
            <w:noWrap/>
            <w:vAlign w:val="center"/>
          </w:tcPr>
          <w:p w14:paraId="54DF17FB" w14:textId="77777777" w:rsidR="004E6471" w:rsidRPr="000169EF" w:rsidRDefault="004E6471" w:rsidP="006D0A51">
            <w:pPr>
              <w:jc w:val="center"/>
              <w:rPr>
                <w:color w:val="000000"/>
                <w:sz w:val="18"/>
                <w:szCs w:val="18"/>
              </w:rPr>
            </w:pPr>
            <w:r w:rsidRPr="000169EF">
              <w:rPr>
                <w:color w:val="000000"/>
                <w:sz w:val="18"/>
                <w:szCs w:val="18"/>
              </w:rPr>
              <w:t>9,7</w:t>
            </w:r>
          </w:p>
        </w:tc>
        <w:tc>
          <w:tcPr>
            <w:tcW w:w="560" w:type="pct"/>
            <w:tcBorders>
              <w:top w:val="nil"/>
              <w:left w:val="nil"/>
              <w:bottom w:val="single" w:sz="4" w:space="0" w:color="auto"/>
              <w:right w:val="single" w:sz="4" w:space="0" w:color="auto"/>
            </w:tcBorders>
            <w:shd w:val="clear" w:color="auto" w:fill="auto"/>
            <w:noWrap/>
            <w:vAlign w:val="center"/>
          </w:tcPr>
          <w:p w14:paraId="0DA7DBD7" w14:textId="77777777" w:rsidR="004E6471" w:rsidRPr="000169EF" w:rsidRDefault="004E6471" w:rsidP="006D0A51">
            <w:pPr>
              <w:jc w:val="center"/>
              <w:rPr>
                <w:color w:val="000000"/>
                <w:sz w:val="18"/>
                <w:szCs w:val="18"/>
              </w:rPr>
            </w:pPr>
            <w:r w:rsidRPr="000169EF">
              <w:rPr>
                <w:color w:val="000000"/>
                <w:sz w:val="18"/>
                <w:szCs w:val="18"/>
              </w:rPr>
              <w:t>101%</w:t>
            </w:r>
          </w:p>
        </w:tc>
        <w:tc>
          <w:tcPr>
            <w:tcW w:w="560" w:type="pct"/>
            <w:tcBorders>
              <w:top w:val="nil"/>
              <w:left w:val="nil"/>
              <w:bottom w:val="single" w:sz="4" w:space="0" w:color="auto"/>
              <w:right w:val="single" w:sz="4" w:space="0" w:color="auto"/>
            </w:tcBorders>
            <w:shd w:val="clear" w:color="auto" w:fill="auto"/>
            <w:noWrap/>
            <w:vAlign w:val="center"/>
          </w:tcPr>
          <w:p w14:paraId="7BA990E8" w14:textId="77777777" w:rsidR="004E6471" w:rsidRPr="000169EF" w:rsidRDefault="004E6471" w:rsidP="006D0A51">
            <w:pPr>
              <w:jc w:val="center"/>
              <w:rPr>
                <w:color w:val="000000"/>
                <w:sz w:val="18"/>
                <w:szCs w:val="18"/>
              </w:rPr>
            </w:pPr>
            <w:r w:rsidRPr="000169EF">
              <w:rPr>
                <w:color w:val="000000"/>
                <w:sz w:val="18"/>
                <w:szCs w:val="18"/>
              </w:rPr>
              <w:t>18,5</w:t>
            </w:r>
          </w:p>
        </w:tc>
      </w:tr>
      <w:tr w:rsidR="000169EF" w:rsidRPr="001B4CA2" w14:paraId="4FAAAD1A"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49881048"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Slavonskom Brodu</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03E564F0" w14:textId="77777777" w:rsidR="004E6471" w:rsidRPr="000169EF" w:rsidRDefault="004E6471" w:rsidP="006D0A51">
            <w:pPr>
              <w:jc w:val="center"/>
              <w:rPr>
                <w:color w:val="000000"/>
                <w:sz w:val="18"/>
                <w:szCs w:val="18"/>
              </w:rPr>
            </w:pPr>
            <w:r w:rsidRPr="000169EF">
              <w:rPr>
                <w:color w:val="000000"/>
                <w:sz w:val="18"/>
                <w:szCs w:val="18"/>
              </w:rPr>
              <w:t>11</w:t>
            </w:r>
          </w:p>
        </w:tc>
        <w:tc>
          <w:tcPr>
            <w:tcW w:w="560" w:type="pct"/>
            <w:tcBorders>
              <w:top w:val="nil"/>
              <w:left w:val="nil"/>
              <w:bottom w:val="single" w:sz="4" w:space="0" w:color="auto"/>
              <w:right w:val="single" w:sz="4" w:space="0" w:color="auto"/>
            </w:tcBorders>
            <w:shd w:val="clear" w:color="auto" w:fill="auto"/>
            <w:noWrap/>
            <w:vAlign w:val="center"/>
          </w:tcPr>
          <w:p w14:paraId="125E094E" w14:textId="77777777" w:rsidR="004E6471" w:rsidRPr="000169EF" w:rsidRDefault="004E6471" w:rsidP="006D0A51">
            <w:pPr>
              <w:jc w:val="center"/>
              <w:rPr>
                <w:color w:val="000000"/>
                <w:sz w:val="18"/>
                <w:szCs w:val="18"/>
              </w:rPr>
            </w:pPr>
            <w:r w:rsidRPr="000169EF">
              <w:rPr>
                <w:color w:val="000000"/>
                <w:sz w:val="18"/>
                <w:szCs w:val="18"/>
              </w:rPr>
              <w:t>5,0</w:t>
            </w:r>
          </w:p>
        </w:tc>
        <w:tc>
          <w:tcPr>
            <w:tcW w:w="560" w:type="pct"/>
            <w:tcBorders>
              <w:top w:val="nil"/>
              <w:left w:val="nil"/>
              <w:bottom w:val="single" w:sz="4" w:space="0" w:color="auto"/>
              <w:right w:val="single" w:sz="4" w:space="0" w:color="auto"/>
            </w:tcBorders>
            <w:shd w:val="clear" w:color="auto" w:fill="auto"/>
            <w:noWrap/>
            <w:vAlign w:val="center"/>
          </w:tcPr>
          <w:p w14:paraId="3C97BF11" w14:textId="77777777" w:rsidR="004E6471" w:rsidRPr="000169EF" w:rsidRDefault="004E6471" w:rsidP="006D0A51">
            <w:pPr>
              <w:jc w:val="center"/>
              <w:rPr>
                <w:color w:val="000000"/>
                <w:sz w:val="18"/>
                <w:szCs w:val="18"/>
              </w:rPr>
            </w:pPr>
            <w:r w:rsidRPr="000169EF">
              <w:rPr>
                <w:color w:val="000000"/>
                <w:sz w:val="18"/>
                <w:szCs w:val="18"/>
              </w:rPr>
              <w:t>286,7</w:t>
            </w:r>
          </w:p>
        </w:tc>
        <w:tc>
          <w:tcPr>
            <w:tcW w:w="560" w:type="pct"/>
            <w:tcBorders>
              <w:top w:val="nil"/>
              <w:left w:val="nil"/>
              <w:bottom w:val="single" w:sz="4" w:space="0" w:color="auto"/>
              <w:right w:val="single" w:sz="4" w:space="0" w:color="auto"/>
            </w:tcBorders>
            <w:shd w:val="clear" w:color="auto" w:fill="auto"/>
            <w:noWrap/>
            <w:vAlign w:val="center"/>
          </w:tcPr>
          <w:p w14:paraId="2489BED4" w14:textId="77777777" w:rsidR="004E6471" w:rsidRPr="000169EF" w:rsidRDefault="004E6471" w:rsidP="006D0A51">
            <w:pPr>
              <w:jc w:val="center"/>
              <w:rPr>
                <w:color w:val="000000"/>
                <w:sz w:val="18"/>
                <w:szCs w:val="18"/>
              </w:rPr>
            </w:pPr>
            <w:r w:rsidRPr="000169EF">
              <w:rPr>
                <w:color w:val="000000"/>
                <w:sz w:val="18"/>
                <w:szCs w:val="18"/>
              </w:rPr>
              <w:t>10,9</w:t>
            </w:r>
          </w:p>
        </w:tc>
        <w:tc>
          <w:tcPr>
            <w:tcW w:w="560" w:type="pct"/>
            <w:tcBorders>
              <w:top w:val="nil"/>
              <w:left w:val="nil"/>
              <w:bottom w:val="single" w:sz="4" w:space="0" w:color="auto"/>
              <w:right w:val="single" w:sz="4" w:space="0" w:color="auto"/>
            </w:tcBorders>
            <w:shd w:val="clear" w:color="auto" w:fill="auto"/>
            <w:noWrap/>
            <w:vAlign w:val="center"/>
          </w:tcPr>
          <w:p w14:paraId="536A81B6" w14:textId="77777777" w:rsidR="004E6471" w:rsidRPr="000169EF" w:rsidRDefault="004E6471" w:rsidP="006D0A51">
            <w:pPr>
              <w:jc w:val="center"/>
              <w:rPr>
                <w:color w:val="000000"/>
                <w:sz w:val="18"/>
                <w:szCs w:val="18"/>
              </w:rPr>
            </w:pPr>
            <w:r w:rsidRPr="000169EF">
              <w:rPr>
                <w:color w:val="000000"/>
                <w:sz w:val="18"/>
                <w:szCs w:val="18"/>
              </w:rPr>
              <w:t>102%</w:t>
            </w:r>
          </w:p>
        </w:tc>
        <w:tc>
          <w:tcPr>
            <w:tcW w:w="560" w:type="pct"/>
            <w:tcBorders>
              <w:top w:val="nil"/>
              <w:left w:val="nil"/>
              <w:bottom w:val="single" w:sz="4" w:space="0" w:color="auto"/>
              <w:right w:val="single" w:sz="4" w:space="0" w:color="auto"/>
            </w:tcBorders>
            <w:shd w:val="clear" w:color="auto" w:fill="auto"/>
            <w:noWrap/>
            <w:vAlign w:val="center"/>
          </w:tcPr>
          <w:p w14:paraId="37FF13E3" w14:textId="77777777" w:rsidR="004E6471" w:rsidRPr="000169EF" w:rsidRDefault="004E6471" w:rsidP="006D0A51">
            <w:pPr>
              <w:jc w:val="center"/>
              <w:rPr>
                <w:color w:val="000000"/>
                <w:sz w:val="18"/>
                <w:szCs w:val="18"/>
              </w:rPr>
            </w:pPr>
            <w:r w:rsidRPr="000169EF">
              <w:rPr>
                <w:color w:val="000000"/>
                <w:sz w:val="18"/>
                <w:szCs w:val="18"/>
              </w:rPr>
              <w:t>13,9</w:t>
            </w:r>
          </w:p>
        </w:tc>
      </w:tr>
      <w:tr w:rsidR="000169EF" w:rsidRPr="001B4CA2" w14:paraId="6BD2B9C7"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61BF9CC7"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Splitu</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0EEE726F" w14:textId="77777777" w:rsidR="004E6471" w:rsidRPr="000169EF" w:rsidRDefault="004E6471" w:rsidP="006D0A51">
            <w:pPr>
              <w:jc w:val="center"/>
              <w:rPr>
                <w:color w:val="000000"/>
                <w:sz w:val="18"/>
                <w:szCs w:val="18"/>
              </w:rPr>
            </w:pPr>
            <w:r w:rsidRPr="000169EF">
              <w:rPr>
                <w:color w:val="000000"/>
                <w:sz w:val="18"/>
                <w:szCs w:val="18"/>
              </w:rPr>
              <w:t>24</w:t>
            </w:r>
          </w:p>
        </w:tc>
        <w:tc>
          <w:tcPr>
            <w:tcW w:w="560" w:type="pct"/>
            <w:tcBorders>
              <w:top w:val="nil"/>
              <w:left w:val="nil"/>
              <w:bottom w:val="single" w:sz="4" w:space="0" w:color="auto"/>
              <w:right w:val="single" w:sz="4" w:space="0" w:color="auto"/>
            </w:tcBorders>
            <w:shd w:val="clear" w:color="auto" w:fill="auto"/>
            <w:noWrap/>
            <w:vAlign w:val="center"/>
          </w:tcPr>
          <w:p w14:paraId="6CA8D4A1" w14:textId="77777777" w:rsidR="004E6471" w:rsidRPr="000169EF" w:rsidRDefault="004E6471" w:rsidP="006D0A51">
            <w:pPr>
              <w:jc w:val="center"/>
              <w:rPr>
                <w:color w:val="000000"/>
                <w:sz w:val="18"/>
                <w:szCs w:val="18"/>
              </w:rPr>
            </w:pPr>
            <w:r w:rsidRPr="000169EF">
              <w:rPr>
                <w:color w:val="000000"/>
                <w:sz w:val="18"/>
                <w:szCs w:val="18"/>
              </w:rPr>
              <w:t>14,2</w:t>
            </w:r>
          </w:p>
        </w:tc>
        <w:tc>
          <w:tcPr>
            <w:tcW w:w="560" w:type="pct"/>
            <w:tcBorders>
              <w:top w:val="nil"/>
              <w:left w:val="nil"/>
              <w:bottom w:val="single" w:sz="4" w:space="0" w:color="auto"/>
              <w:right w:val="single" w:sz="4" w:space="0" w:color="auto"/>
            </w:tcBorders>
            <w:shd w:val="clear" w:color="auto" w:fill="auto"/>
            <w:noWrap/>
            <w:vAlign w:val="center"/>
          </w:tcPr>
          <w:p w14:paraId="23F20932" w14:textId="77777777" w:rsidR="004E6471" w:rsidRPr="000169EF" w:rsidRDefault="004E6471" w:rsidP="006D0A51">
            <w:pPr>
              <w:jc w:val="center"/>
              <w:rPr>
                <w:color w:val="000000"/>
                <w:sz w:val="18"/>
                <w:szCs w:val="18"/>
              </w:rPr>
            </w:pPr>
            <w:r w:rsidRPr="000169EF">
              <w:rPr>
                <w:color w:val="000000"/>
                <w:sz w:val="18"/>
                <w:szCs w:val="18"/>
              </w:rPr>
              <w:t>248,7</w:t>
            </w:r>
          </w:p>
        </w:tc>
        <w:tc>
          <w:tcPr>
            <w:tcW w:w="560" w:type="pct"/>
            <w:tcBorders>
              <w:top w:val="nil"/>
              <w:left w:val="nil"/>
              <w:bottom w:val="single" w:sz="4" w:space="0" w:color="auto"/>
              <w:right w:val="single" w:sz="4" w:space="0" w:color="auto"/>
            </w:tcBorders>
            <w:shd w:val="clear" w:color="auto" w:fill="auto"/>
            <w:noWrap/>
            <w:vAlign w:val="center"/>
          </w:tcPr>
          <w:p w14:paraId="17577B70" w14:textId="77777777" w:rsidR="004E6471" w:rsidRPr="000169EF" w:rsidRDefault="004E6471" w:rsidP="006D0A51">
            <w:pPr>
              <w:jc w:val="center"/>
              <w:rPr>
                <w:color w:val="000000"/>
                <w:sz w:val="18"/>
                <w:szCs w:val="18"/>
              </w:rPr>
            </w:pPr>
            <w:r w:rsidRPr="000169EF">
              <w:rPr>
                <w:color w:val="000000"/>
                <w:sz w:val="18"/>
                <w:szCs w:val="18"/>
              </w:rPr>
              <w:t>24,4</w:t>
            </w:r>
          </w:p>
        </w:tc>
        <w:tc>
          <w:tcPr>
            <w:tcW w:w="560" w:type="pct"/>
            <w:tcBorders>
              <w:top w:val="nil"/>
              <w:left w:val="nil"/>
              <w:bottom w:val="single" w:sz="4" w:space="0" w:color="auto"/>
              <w:right w:val="single" w:sz="4" w:space="0" w:color="auto"/>
            </w:tcBorders>
            <w:shd w:val="clear" w:color="auto" w:fill="auto"/>
            <w:noWrap/>
            <w:vAlign w:val="center"/>
          </w:tcPr>
          <w:p w14:paraId="12273AFA" w14:textId="77777777" w:rsidR="004E6471" w:rsidRPr="000169EF" w:rsidRDefault="004E6471" w:rsidP="006D0A51">
            <w:pPr>
              <w:jc w:val="center"/>
              <w:rPr>
                <w:color w:val="000000"/>
                <w:sz w:val="18"/>
                <w:szCs w:val="18"/>
              </w:rPr>
            </w:pPr>
            <w:r w:rsidRPr="000169EF">
              <w:rPr>
                <w:color w:val="000000"/>
                <w:sz w:val="18"/>
                <w:szCs w:val="18"/>
              </w:rPr>
              <w:t>102%</w:t>
            </w:r>
          </w:p>
        </w:tc>
        <w:tc>
          <w:tcPr>
            <w:tcW w:w="560" w:type="pct"/>
            <w:tcBorders>
              <w:top w:val="nil"/>
              <w:left w:val="nil"/>
              <w:bottom w:val="single" w:sz="4" w:space="0" w:color="auto"/>
              <w:right w:val="single" w:sz="4" w:space="0" w:color="auto"/>
            </w:tcBorders>
            <w:shd w:val="clear" w:color="auto" w:fill="auto"/>
            <w:noWrap/>
            <w:vAlign w:val="center"/>
          </w:tcPr>
          <w:p w14:paraId="060E40A5" w14:textId="77777777" w:rsidR="004E6471" w:rsidRPr="000169EF" w:rsidRDefault="004E6471" w:rsidP="006D0A51">
            <w:pPr>
              <w:jc w:val="center"/>
              <w:rPr>
                <w:color w:val="000000"/>
                <w:sz w:val="18"/>
                <w:szCs w:val="18"/>
              </w:rPr>
            </w:pPr>
            <w:r w:rsidRPr="000169EF">
              <w:rPr>
                <w:color w:val="000000"/>
                <w:sz w:val="18"/>
                <w:szCs w:val="18"/>
              </w:rPr>
              <w:t>35,8</w:t>
            </w:r>
          </w:p>
        </w:tc>
      </w:tr>
      <w:tr w:rsidR="000169EF" w:rsidRPr="001B4CA2" w14:paraId="6E03F983"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0E2DFE35"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Šibeniku</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157DF4EC" w14:textId="77777777" w:rsidR="004E6471" w:rsidRPr="000169EF" w:rsidRDefault="004E6471" w:rsidP="006D0A51">
            <w:pPr>
              <w:jc w:val="center"/>
              <w:rPr>
                <w:color w:val="000000"/>
                <w:sz w:val="18"/>
                <w:szCs w:val="18"/>
              </w:rPr>
            </w:pPr>
            <w:r w:rsidRPr="000169EF">
              <w:rPr>
                <w:color w:val="000000"/>
                <w:sz w:val="18"/>
                <w:szCs w:val="18"/>
              </w:rPr>
              <w:t>7</w:t>
            </w:r>
          </w:p>
        </w:tc>
        <w:tc>
          <w:tcPr>
            <w:tcW w:w="560" w:type="pct"/>
            <w:tcBorders>
              <w:top w:val="nil"/>
              <w:left w:val="nil"/>
              <w:bottom w:val="single" w:sz="4" w:space="0" w:color="auto"/>
              <w:right w:val="single" w:sz="4" w:space="0" w:color="auto"/>
            </w:tcBorders>
            <w:shd w:val="clear" w:color="auto" w:fill="auto"/>
            <w:noWrap/>
            <w:vAlign w:val="center"/>
          </w:tcPr>
          <w:p w14:paraId="1C29C805" w14:textId="77777777" w:rsidR="004E6471" w:rsidRPr="000169EF" w:rsidRDefault="004E6471" w:rsidP="006D0A51">
            <w:pPr>
              <w:jc w:val="center"/>
              <w:rPr>
                <w:color w:val="000000"/>
                <w:sz w:val="18"/>
                <w:szCs w:val="18"/>
              </w:rPr>
            </w:pPr>
            <w:r w:rsidRPr="000169EF">
              <w:rPr>
                <w:color w:val="000000"/>
                <w:sz w:val="18"/>
                <w:szCs w:val="18"/>
              </w:rPr>
              <w:t>7,0</w:t>
            </w:r>
          </w:p>
        </w:tc>
        <w:tc>
          <w:tcPr>
            <w:tcW w:w="560" w:type="pct"/>
            <w:tcBorders>
              <w:top w:val="nil"/>
              <w:left w:val="nil"/>
              <w:bottom w:val="single" w:sz="4" w:space="0" w:color="auto"/>
              <w:right w:val="single" w:sz="4" w:space="0" w:color="auto"/>
            </w:tcBorders>
            <w:shd w:val="clear" w:color="auto" w:fill="auto"/>
            <w:noWrap/>
            <w:vAlign w:val="center"/>
          </w:tcPr>
          <w:p w14:paraId="09EB29D5" w14:textId="77777777" w:rsidR="004E6471" w:rsidRPr="000169EF" w:rsidRDefault="004E6471" w:rsidP="006D0A51">
            <w:pPr>
              <w:jc w:val="center"/>
              <w:rPr>
                <w:color w:val="000000"/>
                <w:sz w:val="18"/>
                <w:szCs w:val="18"/>
              </w:rPr>
            </w:pPr>
            <w:r w:rsidRPr="000169EF">
              <w:rPr>
                <w:color w:val="000000"/>
                <w:sz w:val="18"/>
                <w:szCs w:val="18"/>
              </w:rPr>
              <w:t>199,0</w:t>
            </w:r>
          </w:p>
        </w:tc>
        <w:tc>
          <w:tcPr>
            <w:tcW w:w="560" w:type="pct"/>
            <w:tcBorders>
              <w:top w:val="nil"/>
              <w:left w:val="nil"/>
              <w:bottom w:val="single" w:sz="4" w:space="0" w:color="auto"/>
              <w:right w:val="single" w:sz="4" w:space="0" w:color="auto"/>
            </w:tcBorders>
            <w:shd w:val="clear" w:color="auto" w:fill="auto"/>
            <w:noWrap/>
            <w:vAlign w:val="center"/>
          </w:tcPr>
          <w:p w14:paraId="1DB084D5" w14:textId="77777777" w:rsidR="004E6471" w:rsidRPr="000169EF" w:rsidRDefault="004E6471" w:rsidP="006D0A51">
            <w:pPr>
              <w:jc w:val="center"/>
              <w:rPr>
                <w:color w:val="000000"/>
                <w:sz w:val="18"/>
                <w:szCs w:val="18"/>
              </w:rPr>
            </w:pPr>
            <w:r w:rsidRPr="000169EF">
              <w:rPr>
                <w:color w:val="000000"/>
                <w:sz w:val="18"/>
                <w:szCs w:val="18"/>
              </w:rPr>
              <w:t>18,3</w:t>
            </w:r>
          </w:p>
        </w:tc>
        <w:tc>
          <w:tcPr>
            <w:tcW w:w="560" w:type="pct"/>
            <w:tcBorders>
              <w:top w:val="nil"/>
              <w:left w:val="nil"/>
              <w:bottom w:val="single" w:sz="4" w:space="0" w:color="auto"/>
              <w:right w:val="single" w:sz="4" w:space="0" w:color="auto"/>
            </w:tcBorders>
            <w:shd w:val="clear" w:color="auto" w:fill="auto"/>
            <w:noWrap/>
            <w:vAlign w:val="center"/>
          </w:tcPr>
          <w:p w14:paraId="17E4988D" w14:textId="77777777" w:rsidR="004E6471" w:rsidRPr="000169EF" w:rsidRDefault="004E6471" w:rsidP="006D0A51">
            <w:pPr>
              <w:jc w:val="center"/>
              <w:rPr>
                <w:color w:val="000000"/>
                <w:sz w:val="18"/>
                <w:szCs w:val="18"/>
              </w:rPr>
            </w:pPr>
            <w:r w:rsidRPr="000169EF">
              <w:rPr>
                <w:color w:val="000000"/>
                <w:sz w:val="18"/>
                <w:szCs w:val="18"/>
              </w:rPr>
              <w:t>99%</w:t>
            </w:r>
          </w:p>
        </w:tc>
        <w:tc>
          <w:tcPr>
            <w:tcW w:w="560" w:type="pct"/>
            <w:tcBorders>
              <w:top w:val="nil"/>
              <w:left w:val="nil"/>
              <w:bottom w:val="single" w:sz="4" w:space="0" w:color="auto"/>
              <w:right w:val="single" w:sz="4" w:space="0" w:color="auto"/>
            </w:tcBorders>
            <w:shd w:val="clear" w:color="auto" w:fill="auto"/>
            <w:noWrap/>
            <w:vAlign w:val="center"/>
          </w:tcPr>
          <w:p w14:paraId="37BD2367" w14:textId="77777777" w:rsidR="004E6471" w:rsidRPr="000169EF" w:rsidRDefault="004E6471" w:rsidP="006D0A51">
            <w:pPr>
              <w:jc w:val="center"/>
              <w:rPr>
                <w:color w:val="000000"/>
                <w:sz w:val="18"/>
                <w:szCs w:val="18"/>
              </w:rPr>
            </w:pPr>
            <w:r w:rsidRPr="000169EF">
              <w:rPr>
                <w:color w:val="000000"/>
                <w:sz w:val="18"/>
                <w:szCs w:val="18"/>
              </w:rPr>
              <w:t>33,5</w:t>
            </w:r>
          </w:p>
        </w:tc>
      </w:tr>
      <w:tr w:rsidR="000169EF" w:rsidRPr="001B4CA2" w14:paraId="030FD422"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2988014A"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Varaždinu</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61A64088" w14:textId="77777777" w:rsidR="004E6471" w:rsidRPr="000169EF" w:rsidRDefault="004E6471" w:rsidP="006D0A51">
            <w:pPr>
              <w:jc w:val="center"/>
              <w:rPr>
                <w:color w:val="000000"/>
                <w:sz w:val="18"/>
                <w:szCs w:val="18"/>
              </w:rPr>
            </w:pPr>
            <w:r w:rsidRPr="000169EF">
              <w:rPr>
                <w:color w:val="000000"/>
                <w:sz w:val="18"/>
                <w:szCs w:val="18"/>
              </w:rPr>
              <w:t>17</w:t>
            </w:r>
          </w:p>
        </w:tc>
        <w:tc>
          <w:tcPr>
            <w:tcW w:w="560" w:type="pct"/>
            <w:tcBorders>
              <w:top w:val="nil"/>
              <w:left w:val="nil"/>
              <w:bottom w:val="single" w:sz="4" w:space="0" w:color="auto"/>
              <w:right w:val="single" w:sz="4" w:space="0" w:color="auto"/>
            </w:tcBorders>
            <w:shd w:val="clear" w:color="auto" w:fill="auto"/>
            <w:noWrap/>
            <w:vAlign w:val="center"/>
          </w:tcPr>
          <w:p w14:paraId="42069AA4" w14:textId="77777777" w:rsidR="004E6471" w:rsidRPr="000169EF" w:rsidRDefault="004E6471" w:rsidP="006D0A51">
            <w:pPr>
              <w:jc w:val="center"/>
              <w:rPr>
                <w:color w:val="000000"/>
                <w:sz w:val="18"/>
                <w:szCs w:val="18"/>
              </w:rPr>
            </w:pPr>
            <w:r w:rsidRPr="000169EF">
              <w:rPr>
                <w:color w:val="000000"/>
                <w:sz w:val="18"/>
                <w:szCs w:val="18"/>
              </w:rPr>
              <w:t>14</w:t>
            </w:r>
          </w:p>
        </w:tc>
        <w:tc>
          <w:tcPr>
            <w:tcW w:w="560" w:type="pct"/>
            <w:tcBorders>
              <w:top w:val="nil"/>
              <w:left w:val="nil"/>
              <w:bottom w:val="single" w:sz="4" w:space="0" w:color="auto"/>
              <w:right w:val="single" w:sz="4" w:space="0" w:color="auto"/>
            </w:tcBorders>
            <w:shd w:val="clear" w:color="auto" w:fill="auto"/>
            <w:noWrap/>
            <w:vAlign w:val="center"/>
          </w:tcPr>
          <w:p w14:paraId="12675B60" w14:textId="77777777" w:rsidR="004E6471" w:rsidRPr="000169EF" w:rsidRDefault="004E6471" w:rsidP="006D0A51">
            <w:pPr>
              <w:jc w:val="center"/>
              <w:rPr>
                <w:color w:val="000000"/>
                <w:sz w:val="18"/>
                <w:szCs w:val="18"/>
              </w:rPr>
            </w:pPr>
            <w:r w:rsidRPr="000169EF">
              <w:rPr>
                <w:color w:val="000000"/>
                <w:sz w:val="18"/>
                <w:szCs w:val="18"/>
              </w:rPr>
              <w:t>186,4</w:t>
            </w:r>
          </w:p>
        </w:tc>
        <w:tc>
          <w:tcPr>
            <w:tcW w:w="560" w:type="pct"/>
            <w:tcBorders>
              <w:top w:val="nil"/>
              <w:left w:val="nil"/>
              <w:bottom w:val="single" w:sz="4" w:space="0" w:color="auto"/>
              <w:right w:val="single" w:sz="4" w:space="0" w:color="auto"/>
            </w:tcBorders>
            <w:shd w:val="clear" w:color="auto" w:fill="auto"/>
            <w:noWrap/>
            <w:vAlign w:val="center"/>
          </w:tcPr>
          <w:p w14:paraId="22292487" w14:textId="77777777" w:rsidR="004E6471" w:rsidRPr="000169EF" w:rsidRDefault="004E6471" w:rsidP="006D0A51">
            <w:pPr>
              <w:jc w:val="center"/>
              <w:rPr>
                <w:color w:val="000000"/>
                <w:sz w:val="18"/>
                <w:szCs w:val="18"/>
              </w:rPr>
            </w:pPr>
            <w:r w:rsidRPr="000169EF">
              <w:rPr>
                <w:color w:val="000000"/>
                <w:sz w:val="18"/>
                <w:szCs w:val="18"/>
              </w:rPr>
              <w:t>8,3</w:t>
            </w:r>
          </w:p>
        </w:tc>
        <w:tc>
          <w:tcPr>
            <w:tcW w:w="560" w:type="pct"/>
            <w:tcBorders>
              <w:top w:val="nil"/>
              <w:left w:val="nil"/>
              <w:bottom w:val="single" w:sz="4" w:space="0" w:color="auto"/>
              <w:right w:val="single" w:sz="4" w:space="0" w:color="auto"/>
            </w:tcBorders>
            <w:shd w:val="clear" w:color="auto" w:fill="auto"/>
            <w:noWrap/>
            <w:vAlign w:val="center"/>
          </w:tcPr>
          <w:p w14:paraId="1F6B20CB" w14:textId="77777777" w:rsidR="004E6471" w:rsidRPr="000169EF" w:rsidRDefault="004E6471" w:rsidP="006D0A51">
            <w:pPr>
              <w:jc w:val="center"/>
              <w:rPr>
                <w:color w:val="000000"/>
                <w:sz w:val="18"/>
                <w:szCs w:val="18"/>
              </w:rPr>
            </w:pPr>
            <w:r w:rsidRPr="000169EF">
              <w:rPr>
                <w:color w:val="000000"/>
                <w:sz w:val="18"/>
                <w:szCs w:val="18"/>
              </w:rPr>
              <w:t>102%</w:t>
            </w:r>
          </w:p>
        </w:tc>
        <w:tc>
          <w:tcPr>
            <w:tcW w:w="560" w:type="pct"/>
            <w:tcBorders>
              <w:top w:val="nil"/>
              <w:left w:val="nil"/>
              <w:bottom w:val="single" w:sz="4" w:space="0" w:color="auto"/>
              <w:right w:val="single" w:sz="4" w:space="0" w:color="auto"/>
            </w:tcBorders>
            <w:shd w:val="clear" w:color="auto" w:fill="auto"/>
            <w:noWrap/>
            <w:vAlign w:val="center"/>
          </w:tcPr>
          <w:p w14:paraId="6BD5C5BD" w14:textId="77777777" w:rsidR="004E6471" w:rsidRPr="000169EF" w:rsidRDefault="004E6471" w:rsidP="006D0A51">
            <w:pPr>
              <w:jc w:val="center"/>
              <w:rPr>
                <w:color w:val="000000"/>
                <w:sz w:val="18"/>
                <w:szCs w:val="18"/>
              </w:rPr>
            </w:pPr>
            <w:r w:rsidRPr="000169EF">
              <w:rPr>
                <w:color w:val="000000"/>
                <w:sz w:val="18"/>
                <w:szCs w:val="18"/>
              </w:rPr>
              <w:t>16,2</w:t>
            </w:r>
          </w:p>
        </w:tc>
      </w:tr>
      <w:tr w:rsidR="000169EF" w:rsidRPr="001B4CA2" w14:paraId="5F9DF211"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1149C232"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Velikoj Gorici</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55ABA13A" w14:textId="77777777" w:rsidR="004E6471" w:rsidRPr="000169EF" w:rsidRDefault="004E6471" w:rsidP="006D0A51">
            <w:pPr>
              <w:jc w:val="center"/>
              <w:rPr>
                <w:color w:val="000000"/>
                <w:sz w:val="18"/>
                <w:szCs w:val="18"/>
              </w:rPr>
            </w:pPr>
            <w:r w:rsidRPr="000169EF">
              <w:rPr>
                <w:color w:val="000000"/>
                <w:sz w:val="18"/>
                <w:szCs w:val="18"/>
              </w:rPr>
              <w:t>10</w:t>
            </w:r>
          </w:p>
        </w:tc>
        <w:tc>
          <w:tcPr>
            <w:tcW w:w="560" w:type="pct"/>
            <w:tcBorders>
              <w:top w:val="nil"/>
              <w:left w:val="nil"/>
              <w:bottom w:val="single" w:sz="4" w:space="0" w:color="auto"/>
              <w:right w:val="single" w:sz="4" w:space="0" w:color="auto"/>
            </w:tcBorders>
            <w:shd w:val="clear" w:color="auto" w:fill="auto"/>
            <w:noWrap/>
            <w:vAlign w:val="center"/>
          </w:tcPr>
          <w:p w14:paraId="34550D3B" w14:textId="77777777" w:rsidR="004E6471" w:rsidRPr="000169EF" w:rsidRDefault="004E6471" w:rsidP="006D0A51">
            <w:pPr>
              <w:jc w:val="center"/>
              <w:rPr>
                <w:color w:val="000000"/>
                <w:sz w:val="18"/>
                <w:szCs w:val="18"/>
              </w:rPr>
            </w:pPr>
            <w:r w:rsidRPr="000169EF">
              <w:rPr>
                <w:color w:val="000000"/>
                <w:sz w:val="18"/>
                <w:szCs w:val="18"/>
              </w:rPr>
              <w:t>7,1</w:t>
            </w:r>
          </w:p>
        </w:tc>
        <w:tc>
          <w:tcPr>
            <w:tcW w:w="560" w:type="pct"/>
            <w:tcBorders>
              <w:top w:val="nil"/>
              <w:left w:val="nil"/>
              <w:bottom w:val="single" w:sz="4" w:space="0" w:color="auto"/>
              <w:right w:val="single" w:sz="4" w:space="0" w:color="auto"/>
            </w:tcBorders>
            <w:shd w:val="clear" w:color="auto" w:fill="auto"/>
            <w:noWrap/>
            <w:vAlign w:val="center"/>
          </w:tcPr>
          <w:p w14:paraId="3DE95E22" w14:textId="77777777" w:rsidR="004E6471" w:rsidRPr="000169EF" w:rsidRDefault="004E6471" w:rsidP="006D0A51">
            <w:pPr>
              <w:jc w:val="center"/>
              <w:rPr>
                <w:color w:val="000000"/>
                <w:sz w:val="18"/>
                <w:szCs w:val="18"/>
              </w:rPr>
            </w:pPr>
            <w:r w:rsidRPr="000169EF">
              <w:rPr>
                <w:color w:val="000000"/>
                <w:sz w:val="18"/>
                <w:szCs w:val="18"/>
              </w:rPr>
              <w:t>306,1</w:t>
            </w:r>
          </w:p>
        </w:tc>
        <w:tc>
          <w:tcPr>
            <w:tcW w:w="560" w:type="pct"/>
            <w:tcBorders>
              <w:top w:val="nil"/>
              <w:left w:val="nil"/>
              <w:bottom w:val="single" w:sz="4" w:space="0" w:color="auto"/>
              <w:right w:val="single" w:sz="4" w:space="0" w:color="auto"/>
            </w:tcBorders>
            <w:shd w:val="clear" w:color="auto" w:fill="auto"/>
            <w:noWrap/>
            <w:vAlign w:val="center"/>
          </w:tcPr>
          <w:p w14:paraId="3CCD260E" w14:textId="77777777" w:rsidR="004E6471" w:rsidRPr="000169EF" w:rsidRDefault="004E6471" w:rsidP="006D0A51">
            <w:pPr>
              <w:jc w:val="center"/>
              <w:rPr>
                <w:color w:val="000000"/>
                <w:sz w:val="18"/>
                <w:szCs w:val="18"/>
              </w:rPr>
            </w:pPr>
            <w:r w:rsidRPr="000169EF">
              <w:rPr>
                <w:color w:val="000000"/>
                <w:sz w:val="18"/>
                <w:szCs w:val="18"/>
              </w:rPr>
              <w:t>31,2</w:t>
            </w:r>
          </w:p>
        </w:tc>
        <w:tc>
          <w:tcPr>
            <w:tcW w:w="560" w:type="pct"/>
            <w:tcBorders>
              <w:top w:val="nil"/>
              <w:left w:val="nil"/>
              <w:bottom w:val="single" w:sz="4" w:space="0" w:color="auto"/>
              <w:right w:val="single" w:sz="4" w:space="0" w:color="auto"/>
            </w:tcBorders>
            <w:shd w:val="clear" w:color="auto" w:fill="auto"/>
            <w:noWrap/>
            <w:vAlign w:val="center"/>
          </w:tcPr>
          <w:p w14:paraId="2539A98D" w14:textId="77777777" w:rsidR="004E6471" w:rsidRPr="000169EF" w:rsidRDefault="004E6471" w:rsidP="006D0A51">
            <w:pPr>
              <w:jc w:val="center"/>
              <w:rPr>
                <w:color w:val="000000"/>
                <w:sz w:val="18"/>
                <w:szCs w:val="18"/>
              </w:rPr>
            </w:pPr>
            <w:r w:rsidRPr="000169EF">
              <w:rPr>
                <w:color w:val="000000"/>
                <w:sz w:val="18"/>
                <w:szCs w:val="18"/>
              </w:rPr>
              <w:t>100%</w:t>
            </w:r>
          </w:p>
        </w:tc>
        <w:tc>
          <w:tcPr>
            <w:tcW w:w="560" w:type="pct"/>
            <w:tcBorders>
              <w:top w:val="nil"/>
              <w:left w:val="nil"/>
              <w:bottom w:val="single" w:sz="4" w:space="0" w:color="auto"/>
              <w:right w:val="single" w:sz="4" w:space="0" w:color="auto"/>
            </w:tcBorders>
            <w:shd w:val="clear" w:color="auto" w:fill="auto"/>
            <w:noWrap/>
            <w:vAlign w:val="center"/>
          </w:tcPr>
          <w:p w14:paraId="302A3E1F" w14:textId="77777777" w:rsidR="004E6471" w:rsidRPr="000169EF" w:rsidRDefault="004E6471" w:rsidP="006D0A51">
            <w:pPr>
              <w:jc w:val="center"/>
              <w:rPr>
                <w:color w:val="000000"/>
                <w:sz w:val="18"/>
                <w:szCs w:val="18"/>
              </w:rPr>
            </w:pPr>
            <w:r w:rsidRPr="000169EF">
              <w:rPr>
                <w:color w:val="000000"/>
                <w:sz w:val="18"/>
                <w:szCs w:val="18"/>
              </w:rPr>
              <w:t>37,2</w:t>
            </w:r>
          </w:p>
        </w:tc>
      </w:tr>
      <w:tr w:rsidR="000169EF" w:rsidRPr="001B4CA2" w14:paraId="31D997DE"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495C68F7"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Vukovaru</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7933B00E" w14:textId="77777777" w:rsidR="004E6471" w:rsidRPr="000169EF" w:rsidRDefault="004E6471" w:rsidP="006D0A51">
            <w:pPr>
              <w:jc w:val="center"/>
              <w:rPr>
                <w:color w:val="000000"/>
                <w:sz w:val="18"/>
                <w:szCs w:val="18"/>
              </w:rPr>
            </w:pPr>
            <w:r w:rsidRPr="000169EF">
              <w:rPr>
                <w:color w:val="000000"/>
                <w:sz w:val="18"/>
                <w:szCs w:val="18"/>
              </w:rPr>
              <w:t>7</w:t>
            </w:r>
          </w:p>
        </w:tc>
        <w:tc>
          <w:tcPr>
            <w:tcW w:w="560" w:type="pct"/>
            <w:tcBorders>
              <w:top w:val="nil"/>
              <w:left w:val="nil"/>
              <w:bottom w:val="single" w:sz="4" w:space="0" w:color="auto"/>
              <w:right w:val="single" w:sz="4" w:space="0" w:color="auto"/>
            </w:tcBorders>
            <w:shd w:val="clear" w:color="auto" w:fill="auto"/>
            <w:noWrap/>
            <w:vAlign w:val="center"/>
          </w:tcPr>
          <w:p w14:paraId="4EF6119B" w14:textId="77777777" w:rsidR="004E6471" w:rsidRPr="000169EF" w:rsidRDefault="004E6471" w:rsidP="006D0A51">
            <w:pPr>
              <w:jc w:val="center"/>
              <w:rPr>
                <w:color w:val="000000"/>
                <w:sz w:val="18"/>
                <w:szCs w:val="18"/>
              </w:rPr>
            </w:pPr>
            <w:r w:rsidRPr="000169EF">
              <w:rPr>
                <w:color w:val="000000"/>
                <w:sz w:val="18"/>
                <w:szCs w:val="18"/>
              </w:rPr>
              <w:t>7,3</w:t>
            </w:r>
          </w:p>
        </w:tc>
        <w:tc>
          <w:tcPr>
            <w:tcW w:w="560" w:type="pct"/>
            <w:tcBorders>
              <w:top w:val="nil"/>
              <w:left w:val="nil"/>
              <w:bottom w:val="single" w:sz="4" w:space="0" w:color="auto"/>
              <w:right w:val="single" w:sz="4" w:space="0" w:color="auto"/>
            </w:tcBorders>
            <w:shd w:val="clear" w:color="auto" w:fill="auto"/>
            <w:noWrap/>
            <w:vAlign w:val="center"/>
          </w:tcPr>
          <w:p w14:paraId="510E3F59" w14:textId="77777777" w:rsidR="004E6471" w:rsidRPr="000169EF" w:rsidRDefault="004E6471" w:rsidP="006D0A51">
            <w:pPr>
              <w:jc w:val="center"/>
              <w:rPr>
                <w:color w:val="000000"/>
                <w:sz w:val="18"/>
                <w:szCs w:val="18"/>
              </w:rPr>
            </w:pPr>
            <w:r w:rsidRPr="000169EF">
              <w:rPr>
                <w:color w:val="000000"/>
                <w:sz w:val="18"/>
                <w:szCs w:val="18"/>
              </w:rPr>
              <w:t>181,8</w:t>
            </w:r>
          </w:p>
        </w:tc>
        <w:tc>
          <w:tcPr>
            <w:tcW w:w="560" w:type="pct"/>
            <w:tcBorders>
              <w:top w:val="nil"/>
              <w:left w:val="nil"/>
              <w:bottom w:val="single" w:sz="4" w:space="0" w:color="auto"/>
              <w:right w:val="single" w:sz="4" w:space="0" w:color="auto"/>
            </w:tcBorders>
            <w:shd w:val="clear" w:color="auto" w:fill="auto"/>
            <w:noWrap/>
            <w:vAlign w:val="center"/>
          </w:tcPr>
          <w:p w14:paraId="2AA12395" w14:textId="77777777" w:rsidR="004E6471" w:rsidRPr="000169EF" w:rsidRDefault="004E6471" w:rsidP="006D0A51">
            <w:pPr>
              <w:jc w:val="center"/>
              <w:rPr>
                <w:color w:val="000000"/>
                <w:sz w:val="18"/>
                <w:szCs w:val="18"/>
              </w:rPr>
            </w:pPr>
            <w:r w:rsidRPr="000169EF">
              <w:rPr>
                <w:color w:val="000000"/>
                <w:sz w:val="18"/>
                <w:szCs w:val="18"/>
              </w:rPr>
              <w:t>14,5</w:t>
            </w:r>
          </w:p>
        </w:tc>
        <w:tc>
          <w:tcPr>
            <w:tcW w:w="560" w:type="pct"/>
            <w:tcBorders>
              <w:top w:val="nil"/>
              <w:left w:val="nil"/>
              <w:bottom w:val="single" w:sz="4" w:space="0" w:color="auto"/>
              <w:right w:val="single" w:sz="4" w:space="0" w:color="auto"/>
            </w:tcBorders>
            <w:shd w:val="clear" w:color="auto" w:fill="auto"/>
            <w:noWrap/>
            <w:vAlign w:val="center"/>
          </w:tcPr>
          <w:p w14:paraId="02DED457" w14:textId="77777777" w:rsidR="004E6471" w:rsidRPr="000169EF" w:rsidRDefault="004E6471" w:rsidP="006D0A51">
            <w:pPr>
              <w:jc w:val="center"/>
              <w:rPr>
                <w:color w:val="000000"/>
                <w:sz w:val="18"/>
                <w:szCs w:val="18"/>
              </w:rPr>
            </w:pPr>
            <w:r w:rsidRPr="000169EF">
              <w:rPr>
                <w:color w:val="000000"/>
                <w:sz w:val="18"/>
                <w:szCs w:val="18"/>
              </w:rPr>
              <w:t>101%</w:t>
            </w:r>
          </w:p>
        </w:tc>
        <w:tc>
          <w:tcPr>
            <w:tcW w:w="560" w:type="pct"/>
            <w:tcBorders>
              <w:top w:val="nil"/>
              <w:left w:val="nil"/>
              <w:bottom w:val="single" w:sz="4" w:space="0" w:color="auto"/>
              <w:right w:val="single" w:sz="4" w:space="0" w:color="auto"/>
            </w:tcBorders>
            <w:shd w:val="clear" w:color="auto" w:fill="auto"/>
            <w:noWrap/>
            <w:vAlign w:val="center"/>
          </w:tcPr>
          <w:p w14:paraId="3984AC7A" w14:textId="77777777" w:rsidR="004E6471" w:rsidRPr="000169EF" w:rsidRDefault="004E6471" w:rsidP="006D0A51">
            <w:pPr>
              <w:jc w:val="center"/>
              <w:rPr>
                <w:color w:val="000000"/>
                <w:sz w:val="18"/>
                <w:szCs w:val="18"/>
              </w:rPr>
            </w:pPr>
            <w:r w:rsidRPr="000169EF">
              <w:rPr>
                <w:color w:val="000000"/>
                <w:sz w:val="18"/>
                <w:szCs w:val="18"/>
              </w:rPr>
              <w:t>29,1</w:t>
            </w:r>
          </w:p>
        </w:tc>
      </w:tr>
      <w:tr w:rsidR="000169EF" w:rsidRPr="001B4CA2" w14:paraId="5DEBCC95"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03A3FE70"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Zadru</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4564B98C" w14:textId="77777777" w:rsidR="004E6471" w:rsidRPr="000169EF" w:rsidRDefault="004E6471" w:rsidP="006D0A51">
            <w:pPr>
              <w:jc w:val="center"/>
              <w:rPr>
                <w:color w:val="000000"/>
                <w:sz w:val="18"/>
                <w:szCs w:val="18"/>
              </w:rPr>
            </w:pPr>
            <w:r w:rsidRPr="000169EF">
              <w:rPr>
                <w:color w:val="000000"/>
                <w:sz w:val="18"/>
                <w:szCs w:val="18"/>
              </w:rPr>
              <w:t>8</w:t>
            </w:r>
          </w:p>
        </w:tc>
        <w:tc>
          <w:tcPr>
            <w:tcW w:w="560" w:type="pct"/>
            <w:tcBorders>
              <w:top w:val="nil"/>
              <w:left w:val="nil"/>
              <w:bottom w:val="single" w:sz="4" w:space="0" w:color="auto"/>
              <w:right w:val="single" w:sz="4" w:space="0" w:color="auto"/>
            </w:tcBorders>
            <w:shd w:val="clear" w:color="auto" w:fill="auto"/>
            <w:noWrap/>
            <w:vAlign w:val="center"/>
          </w:tcPr>
          <w:p w14:paraId="442F05CD" w14:textId="77777777" w:rsidR="004E6471" w:rsidRPr="000169EF" w:rsidRDefault="004E6471" w:rsidP="006D0A51">
            <w:pPr>
              <w:jc w:val="center"/>
              <w:rPr>
                <w:color w:val="000000"/>
                <w:sz w:val="18"/>
                <w:szCs w:val="18"/>
              </w:rPr>
            </w:pPr>
            <w:r w:rsidRPr="000169EF">
              <w:rPr>
                <w:color w:val="000000"/>
                <w:sz w:val="18"/>
                <w:szCs w:val="18"/>
              </w:rPr>
              <w:t>8</w:t>
            </w:r>
          </w:p>
        </w:tc>
        <w:tc>
          <w:tcPr>
            <w:tcW w:w="560" w:type="pct"/>
            <w:tcBorders>
              <w:top w:val="nil"/>
              <w:left w:val="nil"/>
              <w:bottom w:val="single" w:sz="4" w:space="0" w:color="auto"/>
              <w:right w:val="single" w:sz="4" w:space="0" w:color="auto"/>
            </w:tcBorders>
            <w:shd w:val="clear" w:color="auto" w:fill="auto"/>
            <w:noWrap/>
            <w:vAlign w:val="center"/>
          </w:tcPr>
          <w:p w14:paraId="5AFE706C" w14:textId="77777777" w:rsidR="004E6471" w:rsidRPr="000169EF" w:rsidRDefault="004E6471" w:rsidP="006D0A51">
            <w:pPr>
              <w:jc w:val="center"/>
              <w:rPr>
                <w:color w:val="000000"/>
                <w:sz w:val="18"/>
                <w:szCs w:val="18"/>
              </w:rPr>
            </w:pPr>
            <w:r w:rsidRPr="000169EF">
              <w:rPr>
                <w:color w:val="000000"/>
                <w:sz w:val="18"/>
                <w:szCs w:val="18"/>
              </w:rPr>
              <w:t>187,1</w:t>
            </w:r>
          </w:p>
        </w:tc>
        <w:tc>
          <w:tcPr>
            <w:tcW w:w="560" w:type="pct"/>
            <w:tcBorders>
              <w:top w:val="nil"/>
              <w:left w:val="nil"/>
              <w:bottom w:val="single" w:sz="4" w:space="0" w:color="auto"/>
              <w:right w:val="single" w:sz="4" w:space="0" w:color="auto"/>
            </w:tcBorders>
            <w:shd w:val="clear" w:color="auto" w:fill="auto"/>
            <w:noWrap/>
            <w:vAlign w:val="center"/>
          </w:tcPr>
          <w:p w14:paraId="6E2BCF1A" w14:textId="77777777" w:rsidR="004E6471" w:rsidRPr="000169EF" w:rsidRDefault="004E6471" w:rsidP="006D0A51">
            <w:pPr>
              <w:jc w:val="center"/>
              <w:rPr>
                <w:color w:val="000000"/>
                <w:sz w:val="18"/>
                <w:szCs w:val="18"/>
              </w:rPr>
            </w:pPr>
            <w:r w:rsidRPr="000169EF">
              <w:rPr>
                <w:color w:val="000000"/>
                <w:sz w:val="18"/>
                <w:szCs w:val="18"/>
              </w:rPr>
              <w:t>9,0</w:t>
            </w:r>
          </w:p>
        </w:tc>
        <w:tc>
          <w:tcPr>
            <w:tcW w:w="560" w:type="pct"/>
            <w:tcBorders>
              <w:top w:val="nil"/>
              <w:left w:val="nil"/>
              <w:bottom w:val="single" w:sz="4" w:space="0" w:color="auto"/>
              <w:right w:val="single" w:sz="4" w:space="0" w:color="auto"/>
            </w:tcBorders>
            <w:shd w:val="clear" w:color="auto" w:fill="auto"/>
            <w:noWrap/>
            <w:vAlign w:val="center"/>
          </w:tcPr>
          <w:p w14:paraId="21B4F98E" w14:textId="77777777" w:rsidR="004E6471" w:rsidRPr="000169EF" w:rsidRDefault="004E6471" w:rsidP="006D0A51">
            <w:pPr>
              <w:jc w:val="center"/>
              <w:rPr>
                <w:color w:val="000000"/>
                <w:sz w:val="18"/>
                <w:szCs w:val="18"/>
              </w:rPr>
            </w:pPr>
            <w:r w:rsidRPr="000169EF">
              <w:rPr>
                <w:color w:val="000000"/>
                <w:sz w:val="18"/>
                <w:szCs w:val="18"/>
              </w:rPr>
              <w:t>104%</w:t>
            </w:r>
          </w:p>
        </w:tc>
        <w:tc>
          <w:tcPr>
            <w:tcW w:w="560" w:type="pct"/>
            <w:tcBorders>
              <w:top w:val="nil"/>
              <w:left w:val="nil"/>
              <w:bottom w:val="single" w:sz="4" w:space="0" w:color="auto"/>
              <w:right w:val="single" w:sz="4" w:space="0" w:color="auto"/>
            </w:tcBorders>
            <w:shd w:val="clear" w:color="auto" w:fill="auto"/>
            <w:noWrap/>
            <w:vAlign w:val="center"/>
          </w:tcPr>
          <w:p w14:paraId="36D67FA6" w14:textId="77777777" w:rsidR="004E6471" w:rsidRPr="000169EF" w:rsidRDefault="004E6471" w:rsidP="006D0A51">
            <w:pPr>
              <w:jc w:val="center"/>
              <w:rPr>
                <w:color w:val="000000"/>
                <w:sz w:val="18"/>
                <w:szCs w:val="18"/>
              </w:rPr>
            </w:pPr>
            <w:r w:rsidRPr="000169EF">
              <w:rPr>
                <w:color w:val="000000"/>
                <w:sz w:val="18"/>
                <w:szCs w:val="18"/>
              </w:rPr>
              <w:t>17,6</w:t>
            </w:r>
          </w:p>
        </w:tc>
      </w:tr>
      <w:tr w:rsidR="000169EF" w:rsidRPr="001B4CA2" w14:paraId="56A2AF5F"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3A1462B2" w14:textId="77777777" w:rsidR="004E6471" w:rsidRPr="001B4CA2" w:rsidRDefault="004E6471" w:rsidP="006D0A51">
            <w:pPr>
              <w:jc w:val="left"/>
              <w:rPr>
                <w:rFonts w:eastAsia="Times New Roman"/>
                <w:sz w:val="18"/>
                <w:szCs w:val="18"/>
                <w:lang w:eastAsia="hr-HR"/>
              </w:rPr>
            </w:pPr>
            <w:r w:rsidRPr="001B4CA2">
              <w:rPr>
                <w:rFonts w:eastAsia="Times New Roman"/>
                <w:sz w:val="18"/>
                <w:szCs w:val="18"/>
                <w:lang w:eastAsia="hr-HR"/>
              </w:rPr>
              <w:t>ŽDO u Zagrebu</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3B1B1617" w14:textId="77777777" w:rsidR="004E6471" w:rsidRPr="000169EF" w:rsidRDefault="004E6471" w:rsidP="006D0A51">
            <w:pPr>
              <w:jc w:val="center"/>
              <w:rPr>
                <w:color w:val="000000"/>
                <w:sz w:val="18"/>
                <w:szCs w:val="18"/>
              </w:rPr>
            </w:pPr>
            <w:r w:rsidRPr="000169EF">
              <w:rPr>
                <w:color w:val="000000"/>
                <w:sz w:val="18"/>
                <w:szCs w:val="18"/>
              </w:rPr>
              <w:t>50</w:t>
            </w:r>
          </w:p>
        </w:tc>
        <w:tc>
          <w:tcPr>
            <w:tcW w:w="560" w:type="pct"/>
            <w:tcBorders>
              <w:top w:val="nil"/>
              <w:left w:val="nil"/>
              <w:bottom w:val="single" w:sz="4" w:space="0" w:color="auto"/>
              <w:right w:val="single" w:sz="4" w:space="0" w:color="auto"/>
            </w:tcBorders>
            <w:shd w:val="clear" w:color="auto" w:fill="auto"/>
            <w:noWrap/>
            <w:vAlign w:val="center"/>
          </w:tcPr>
          <w:p w14:paraId="192B3884" w14:textId="77777777" w:rsidR="004E6471" w:rsidRPr="000169EF" w:rsidRDefault="004E6471" w:rsidP="006D0A51">
            <w:pPr>
              <w:jc w:val="center"/>
              <w:rPr>
                <w:color w:val="000000"/>
                <w:sz w:val="18"/>
                <w:szCs w:val="18"/>
              </w:rPr>
            </w:pPr>
            <w:r w:rsidRPr="000169EF">
              <w:rPr>
                <w:color w:val="000000"/>
                <w:sz w:val="18"/>
                <w:szCs w:val="18"/>
              </w:rPr>
              <w:t>42,9</w:t>
            </w:r>
          </w:p>
        </w:tc>
        <w:tc>
          <w:tcPr>
            <w:tcW w:w="560" w:type="pct"/>
            <w:tcBorders>
              <w:top w:val="nil"/>
              <w:left w:val="nil"/>
              <w:bottom w:val="single" w:sz="4" w:space="0" w:color="auto"/>
              <w:right w:val="single" w:sz="4" w:space="0" w:color="auto"/>
            </w:tcBorders>
            <w:shd w:val="clear" w:color="auto" w:fill="auto"/>
            <w:noWrap/>
            <w:vAlign w:val="center"/>
          </w:tcPr>
          <w:p w14:paraId="2A23D05C" w14:textId="77777777" w:rsidR="004E6471" w:rsidRPr="000169EF" w:rsidRDefault="004E6471" w:rsidP="006D0A51">
            <w:pPr>
              <w:jc w:val="center"/>
              <w:rPr>
                <w:color w:val="000000"/>
                <w:sz w:val="18"/>
                <w:szCs w:val="18"/>
              </w:rPr>
            </w:pPr>
            <w:r w:rsidRPr="000169EF">
              <w:rPr>
                <w:color w:val="000000"/>
                <w:sz w:val="18"/>
                <w:szCs w:val="18"/>
              </w:rPr>
              <w:t>162,4</w:t>
            </w:r>
          </w:p>
        </w:tc>
        <w:tc>
          <w:tcPr>
            <w:tcW w:w="560" w:type="pct"/>
            <w:tcBorders>
              <w:top w:val="nil"/>
              <w:left w:val="nil"/>
              <w:bottom w:val="single" w:sz="4" w:space="0" w:color="auto"/>
              <w:right w:val="single" w:sz="4" w:space="0" w:color="auto"/>
            </w:tcBorders>
            <w:shd w:val="clear" w:color="auto" w:fill="auto"/>
            <w:noWrap/>
            <w:vAlign w:val="center"/>
          </w:tcPr>
          <w:p w14:paraId="3AFD19F0" w14:textId="77777777" w:rsidR="004E6471" w:rsidRPr="000169EF" w:rsidRDefault="004E6471" w:rsidP="006D0A51">
            <w:pPr>
              <w:jc w:val="center"/>
              <w:rPr>
                <w:color w:val="000000"/>
                <w:sz w:val="18"/>
                <w:szCs w:val="18"/>
              </w:rPr>
            </w:pPr>
            <w:r w:rsidRPr="000169EF">
              <w:rPr>
                <w:color w:val="000000"/>
                <w:sz w:val="18"/>
                <w:szCs w:val="18"/>
              </w:rPr>
              <w:t>33,1</w:t>
            </w:r>
          </w:p>
        </w:tc>
        <w:tc>
          <w:tcPr>
            <w:tcW w:w="560" w:type="pct"/>
            <w:tcBorders>
              <w:top w:val="nil"/>
              <w:left w:val="nil"/>
              <w:bottom w:val="single" w:sz="4" w:space="0" w:color="auto"/>
              <w:right w:val="single" w:sz="4" w:space="0" w:color="auto"/>
            </w:tcBorders>
            <w:shd w:val="clear" w:color="auto" w:fill="auto"/>
            <w:noWrap/>
            <w:vAlign w:val="center"/>
          </w:tcPr>
          <w:p w14:paraId="1AD8CEBA" w14:textId="77777777" w:rsidR="004E6471" w:rsidRPr="000169EF" w:rsidRDefault="004E6471" w:rsidP="006D0A51">
            <w:pPr>
              <w:jc w:val="center"/>
              <w:rPr>
                <w:color w:val="000000"/>
                <w:sz w:val="18"/>
                <w:szCs w:val="18"/>
              </w:rPr>
            </w:pPr>
            <w:r w:rsidRPr="000169EF">
              <w:rPr>
                <w:color w:val="000000"/>
                <w:sz w:val="18"/>
                <w:szCs w:val="18"/>
              </w:rPr>
              <w:t>101%</w:t>
            </w:r>
          </w:p>
        </w:tc>
        <w:tc>
          <w:tcPr>
            <w:tcW w:w="560" w:type="pct"/>
            <w:tcBorders>
              <w:top w:val="nil"/>
              <w:left w:val="nil"/>
              <w:bottom w:val="single" w:sz="4" w:space="0" w:color="auto"/>
              <w:right w:val="single" w:sz="4" w:space="0" w:color="auto"/>
            </w:tcBorders>
            <w:shd w:val="clear" w:color="auto" w:fill="auto"/>
            <w:noWrap/>
            <w:vAlign w:val="center"/>
          </w:tcPr>
          <w:p w14:paraId="0A7F7470" w14:textId="77777777" w:rsidR="004E6471" w:rsidRPr="000169EF" w:rsidRDefault="004E6471" w:rsidP="006D0A51">
            <w:pPr>
              <w:jc w:val="center"/>
              <w:rPr>
                <w:color w:val="000000"/>
                <w:sz w:val="18"/>
                <w:szCs w:val="18"/>
              </w:rPr>
            </w:pPr>
            <w:r w:rsidRPr="000169EF">
              <w:rPr>
                <w:color w:val="000000"/>
                <w:sz w:val="18"/>
                <w:szCs w:val="18"/>
              </w:rPr>
              <w:t>74,4</w:t>
            </w:r>
          </w:p>
        </w:tc>
      </w:tr>
      <w:tr w:rsidR="000169EF" w:rsidRPr="001B4CA2" w14:paraId="37B927CC"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3A2EC2AD" w14:textId="77777777" w:rsidR="004E6471" w:rsidRPr="001B4CA2" w:rsidRDefault="004E6471" w:rsidP="006D0A51">
            <w:pPr>
              <w:jc w:val="left"/>
              <w:rPr>
                <w:rFonts w:eastAsia="Times New Roman"/>
                <w:b/>
                <w:bCs/>
                <w:sz w:val="18"/>
                <w:szCs w:val="18"/>
                <w:lang w:eastAsia="hr-HR"/>
              </w:rPr>
            </w:pPr>
            <w:r w:rsidRPr="001B4CA2">
              <w:rPr>
                <w:rFonts w:eastAsia="Times New Roman"/>
                <w:b/>
                <w:bCs/>
                <w:sz w:val="18"/>
                <w:szCs w:val="18"/>
                <w:lang w:eastAsia="hr-HR"/>
              </w:rPr>
              <w:t>Ukupno županijska državna odvjetništva</w:t>
            </w:r>
          </w:p>
        </w:tc>
        <w:tc>
          <w:tcPr>
            <w:tcW w:w="560" w:type="pct"/>
            <w:tcBorders>
              <w:top w:val="nil"/>
              <w:left w:val="single" w:sz="4" w:space="0" w:color="auto"/>
              <w:bottom w:val="single" w:sz="4" w:space="0" w:color="auto"/>
              <w:right w:val="single" w:sz="4" w:space="0" w:color="auto"/>
            </w:tcBorders>
            <w:shd w:val="clear" w:color="auto" w:fill="auto"/>
            <w:noWrap/>
            <w:vAlign w:val="center"/>
          </w:tcPr>
          <w:p w14:paraId="2EEF47A8" w14:textId="77777777" w:rsidR="004E6471" w:rsidRPr="000169EF" w:rsidRDefault="004E6471" w:rsidP="006D0A51">
            <w:pPr>
              <w:jc w:val="center"/>
              <w:rPr>
                <w:color w:val="000000"/>
                <w:sz w:val="18"/>
                <w:szCs w:val="18"/>
              </w:rPr>
            </w:pPr>
            <w:r w:rsidRPr="000169EF">
              <w:rPr>
                <w:color w:val="000000"/>
                <w:sz w:val="18"/>
                <w:szCs w:val="18"/>
              </w:rPr>
              <w:t>220</w:t>
            </w:r>
          </w:p>
        </w:tc>
        <w:tc>
          <w:tcPr>
            <w:tcW w:w="560" w:type="pct"/>
            <w:tcBorders>
              <w:top w:val="nil"/>
              <w:left w:val="nil"/>
              <w:bottom w:val="single" w:sz="4" w:space="0" w:color="auto"/>
              <w:right w:val="single" w:sz="4" w:space="0" w:color="auto"/>
            </w:tcBorders>
            <w:shd w:val="clear" w:color="auto" w:fill="auto"/>
            <w:noWrap/>
            <w:vAlign w:val="center"/>
          </w:tcPr>
          <w:p w14:paraId="2C9CC595" w14:textId="77777777" w:rsidR="004E6471" w:rsidRPr="000169EF" w:rsidRDefault="004E6471" w:rsidP="006D0A51">
            <w:pPr>
              <w:jc w:val="center"/>
              <w:rPr>
                <w:color w:val="000000"/>
                <w:sz w:val="18"/>
                <w:szCs w:val="18"/>
              </w:rPr>
            </w:pPr>
            <w:r w:rsidRPr="000169EF">
              <w:rPr>
                <w:color w:val="000000"/>
                <w:sz w:val="18"/>
                <w:szCs w:val="18"/>
              </w:rPr>
              <w:t>173,8</w:t>
            </w:r>
          </w:p>
        </w:tc>
        <w:tc>
          <w:tcPr>
            <w:tcW w:w="560" w:type="pct"/>
            <w:tcBorders>
              <w:top w:val="nil"/>
              <w:left w:val="nil"/>
              <w:bottom w:val="single" w:sz="4" w:space="0" w:color="auto"/>
              <w:right w:val="single" w:sz="4" w:space="0" w:color="auto"/>
            </w:tcBorders>
            <w:shd w:val="clear" w:color="auto" w:fill="auto"/>
            <w:noWrap/>
            <w:vAlign w:val="center"/>
          </w:tcPr>
          <w:p w14:paraId="1554BEE5" w14:textId="77777777" w:rsidR="004E6471" w:rsidRPr="000169EF" w:rsidRDefault="004E6471" w:rsidP="006D0A51">
            <w:pPr>
              <w:jc w:val="center"/>
              <w:rPr>
                <w:color w:val="000000"/>
                <w:sz w:val="18"/>
                <w:szCs w:val="18"/>
              </w:rPr>
            </w:pPr>
            <w:r w:rsidRPr="000169EF">
              <w:rPr>
                <w:color w:val="000000"/>
                <w:sz w:val="18"/>
                <w:szCs w:val="18"/>
              </w:rPr>
              <w:t>198,3</w:t>
            </w:r>
          </w:p>
        </w:tc>
        <w:tc>
          <w:tcPr>
            <w:tcW w:w="560" w:type="pct"/>
            <w:tcBorders>
              <w:top w:val="nil"/>
              <w:left w:val="nil"/>
              <w:bottom w:val="single" w:sz="4" w:space="0" w:color="auto"/>
              <w:right w:val="single" w:sz="4" w:space="0" w:color="auto"/>
            </w:tcBorders>
            <w:shd w:val="clear" w:color="auto" w:fill="auto"/>
            <w:noWrap/>
            <w:vAlign w:val="center"/>
          </w:tcPr>
          <w:p w14:paraId="6F2C21E4" w14:textId="77777777" w:rsidR="004E6471" w:rsidRPr="000169EF" w:rsidRDefault="004E6471" w:rsidP="006D0A51">
            <w:pPr>
              <w:jc w:val="center"/>
              <w:rPr>
                <w:color w:val="000000"/>
                <w:sz w:val="18"/>
                <w:szCs w:val="18"/>
              </w:rPr>
            </w:pPr>
            <w:r w:rsidRPr="000169EF">
              <w:rPr>
                <w:color w:val="000000"/>
                <w:sz w:val="18"/>
                <w:szCs w:val="18"/>
              </w:rPr>
              <w:t>20,8</w:t>
            </w:r>
          </w:p>
        </w:tc>
        <w:tc>
          <w:tcPr>
            <w:tcW w:w="560" w:type="pct"/>
            <w:tcBorders>
              <w:top w:val="nil"/>
              <w:left w:val="nil"/>
              <w:bottom w:val="single" w:sz="4" w:space="0" w:color="auto"/>
              <w:right w:val="single" w:sz="4" w:space="0" w:color="auto"/>
            </w:tcBorders>
            <w:shd w:val="clear" w:color="auto" w:fill="auto"/>
            <w:noWrap/>
            <w:vAlign w:val="center"/>
          </w:tcPr>
          <w:p w14:paraId="0B1D2BB5" w14:textId="77777777" w:rsidR="004E6471" w:rsidRPr="000169EF" w:rsidRDefault="004E6471" w:rsidP="006D0A51">
            <w:pPr>
              <w:jc w:val="center"/>
              <w:rPr>
                <w:color w:val="000000"/>
                <w:sz w:val="18"/>
                <w:szCs w:val="18"/>
              </w:rPr>
            </w:pPr>
            <w:r w:rsidRPr="000169EF">
              <w:rPr>
                <w:color w:val="000000"/>
                <w:sz w:val="18"/>
                <w:szCs w:val="18"/>
              </w:rPr>
              <w:t>101%</w:t>
            </w:r>
          </w:p>
        </w:tc>
        <w:tc>
          <w:tcPr>
            <w:tcW w:w="560" w:type="pct"/>
            <w:tcBorders>
              <w:top w:val="nil"/>
              <w:left w:val="nil"/>
              <w:bottom w:val="single" w:sz="4" w:space="0" w:color="auto"/>
              <w:right w:val="single" w:sz="4" w:space="0" w:color="auto"/>
            </w:tcBorders>
            <w:shd w:val="clear" w:color="auto" w:fill="auto"/>
            <w:noWrap/>
            <w:vAlign w:val="center"/>
          </w:tcPr>
          <w:p w14:paraId="7922663D" w14:textId="77777777" w:rsidR="004E6471" w:rsidRPr="000169EF" w:rsidRDefault="004E6471" w:rsidP="006D0A51">
            <w:pPr>
              <w:jc w:val="center"/>
              <w:rPr>
                <w:color w:val="000000"/>
                <w:sz w:val="18"/>
                <w:szCs w:val="18"/>
              </w:rPr>
            </w:pPr>
            <w:r w:rsidRPr="000169EF">
              <w:rPr>
                <w:color w:val="000000"/>
                <w:sz w:val="18"/>
                <w:szCs w:val="18"/>
              </w:rPr>
              <w:t>38,3</w:t>
            </w:r>
          </w:p>
        </w:tc>
      </w:tr>
      <w:tr w:rsidR="000169EF" w:rsidRPr="001B4CA2" w14:paraId="32EF6881" w14:textId="77777777" w:rsidTr="000169EF">
        <w:trPr>
          <w:trHeight w:val="267"/>
        </w:trPr>
        <w:tc>
          <w:tcPr>
            <w:tcW w:w="1640" w:type="pct"/>
            <w:tcBorders>
              <w:top w:val="nil"/>
              <w:left w:val="single" w:sz="4" w:space="0" w:color="auto"/>
              <w:bottom w:val="single" w:sz="4" w:space="0" w:color="auto"/>
              <w:right w:val="single" w:sz="4" w:space="0" w:color="auto"/>
            </w:tcBorders>
            <w:shd w:val="clear" w:color="auto" w:fill="auto"/>
            <w:noWrap/>
            <w:vAlign w:val="center"/>
            <w:hideMark/>
          </w:tcPr>
          <w:p w14:paraId="55389DD7" w14:textId="77777777" w:rsidR="004E6471" w:rsidRPr="001B4CA2" w:rsidRDefault="004E6471" w:rsidP="006D0A51">
            <w:pPr>
              <w:jc w:val="left"/>
              <w:rPr>
                <w:rFonts w:eastAsia="Times New Roman"/>
                <w:b/>
                <w:bCs/>
                <w:sz w:val="18"/>
                <w:szCs w:val="18"/>
                <w:lang w:eastAsia="hr-HR"/>
              </w:rPr>
            </w:pPr>
            <w:r w:rsidRPr="001B4CA2">
              <w:rPr>
                <w:rFonts w:eastAsia="Times New Roman"/>
                <w:b/>
                <w:bCs/>
                <w:sz w:val="18"/>
                <w:szCs w:val="18"/>
                <w:lang w:eastAsia="hr-HR"/>
              </w:rPr>
              <w:t>Prosjek</w:t>
            </w:r>
          </w:p>
        </w:tc>
        <w:tc>
          <w:tcPr>
            <w:tcW w:w="560" w:type="pct"/>
            <w:tcBorders>
              <w:top w:val="nil"/>
              <w:left w:val="nil"/>
              <w:bottom w:val="single" w:sz="4" w:space="0" w:color="auto"/>
              <w:right w:val="single" w:sz="4" w:space="0" w:color="auto"/>
            </w:tcBorders>
            <w:shd w:val="clear" w:color="auto" w:fill="auto"/>
            <w:noWrap/>
            <w:vAlign w:val="center"/>
          </w:tcPr>
          <w:p w14:paraId="780C2E0C" w14:textId="77777777" w:rsidR="004E6471" w:rsidRPr="000169EF" w:rsidRDefault="004E6471" w:rsidP="006D0A51">
            <w:pPr>
              <w:jc w:val="center"/>
              <w:rPr>
                <w:rFonts w:eastAsia="Times New Roman"/>
                <w:b/>
                <w:sz w:val="18"/>
                <w:szCs w:val="18"/>
                <w:lang w:eastAsia="hr-HR"/>
              </w:rPr>
            </w:pPr>
            <w:r w:rsidRPr="000169EF">
              <w:rPr>
                <w:rFonts w:eastAsia="Times New Roman"/>
                <w:b/>
                <w:sz w:val="18"/>
                <w:szCs w:val="18"/>
                <w:lang w:eastAsia="hr-HR"/>
              </w:rPr>
              <w:t>14,7</w:t>
            </w:r>
          </w:p>
        </w:tc>
        <w:tc>
          <w:tcPr>
            <w:tcW w:w="560" w:type="pct"/>
            <w:tcBorders>
              <w:top w:val="nil"/>
              <w:left w:val="nil"/>
              <w:bottom w:val="single" w:sz="4" w:space="0" w:color="auto"/>
              <w:right w:val="single" w:sz="4" w:space="0" w:color="auto"/>
            </w:tcBorders>
            <w:shd w:val="clear" w:color="auto" w:fill="auto"/>
            <w:noWrap/>
            <w:vAlign w:val="center"/>
          </w:tcPr>
          <w:p w14:paraId="064F869D" w14:textId="77777777" w:rsidR="004E6471" w:rsidRPr="000169EF" w:rsidRDefault="004E6471" w:rsidP="006D0A51">
            <w:pPr>
              <w:jc w:val="center"/>
              <w:rPr>
                <w:rFonts w:eastAsia="Times New Roman"/>
                <w:b/>
                <w:sz w:val="18"/>
                <w:szCs w:val="18"/>
                <w:lang w:eastAsia="hr-HR"/>
              </w:rPr>
            </w:pPr>
            <w:r w:rsidRPr="000169EF">
              <w:rPr>
                <w:rFonts w:eastAsia="Times New Roman"/>
                <w:b/>
                <w:sz w:val="18"/>
                <w:szCs w:val="18"/>
                <w:lang w:eastAsia="hr-HR"/>
              </w:rPr>
              <w:t>11,6</w:t>
            </w:r>
          </w:p>
        </w:tc>
        <w:tc>
          <w:tcPr>
            <w:tcW w:w="560" w:type="pct"/>
            <w:tcBorders>
              <w:top w:val="single" w:sz="4" w:space="0" w:color="auto"/>
              <w:left w:val="nil"/>
              <w:bottom w:val="single" w:sz="4" w:space="0" w:color="auto"/>
              <w:right w:val="single" w:sz="4" w:space="0" w:color="auto"/>
            </w:tcBorders>
            <w:shd w:val="clear" w:color="auto" w:fill="auto"/>
            <w:noWrap/>
            <w:vAlign w:val="center"/>
          </w:tcPr>
          <w:p w14:paraId="33EBD914" w14:textId="77777777" w:rsidR="004E6471" w:rsidRPr="000169EF" w:rsidRDefault="004E6471" w:rsidP="006D0A51">
            <w:pPr>
              <w:jc w:val="center"/>
              <w:rPr>
                <w:rFonts w:eastAsia="Times New Roman"/>
                <w:b/>
                <w:sz w:val="18"/>
                <w:szCs w:val="18"/>
                <w:lang w:eastAsia="hr-HR"/>
              </w:rPr>
            </w:pP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395E6" w14:textId="77777777" w:rsidR="004E6471" w:rsidRPr="000169EF" w:rsidRDefault="004E6471" w:rsidP="006D0A51">
            <w:pPr>
              <w:jc w:val="center"/>
              <w:rPr>
                <w:rFonts w:eastAsia="Times New Roman"/>
                <w:b/>
                <w:sz w:val="18"/>
                <w:szCs w:val="18"/>
                <w:lang w:eastAsia="hr-HR"/>
              </w:rPr>
            </w:pP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CA9D42" w14:textId="77777777" w:rsidR="004E6471" w:rsidRPr="000169EF" w:rsidRDefault="004E6471" w:rsidP="006D0A51">
            <w:pPr>
              <w:jc w:val="center"/>
              <w:rPr>
                <w:rFonts w:eastAsia="Times New Roman"/>
                <w:b/>
                <w:sz w:val="18"/>
                <w:szCs w:val="18"/>
                <w:lang w:eastAsia="hr-HR"/>
              </w:rPr>
            </w:pPr>
          </w:p>
        </w:tc>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F9477" w14:textId="77777777" w:rsidR="004E6471" w:rsidRPr="000169EF" w:rsidRDefault="004E6471" w:rsidP="006D0A51">
            <w:pPr>
              <w:jc w:val="center"/>
              <w:rPr>
                <w:rFonts w:eastAsia="Times New Roman"/>
                <w:b/>
                <w:sz w:val="18"/>
                <w:szCs w:val="18"/>
                <w:lang w:eastAsia="hr-HR"/>
              </w:rPr>
            </w:pPr>
          </w:p>
        </w:tc>
      </w:tr>
    </w:tbl>
    <w:p w14:paraId="2588FD73" w14:textId="77777777" w:rsidR="004E6471" w:rsidRPr="001B4CA2" w:rsidRDefault="004E6471" w:rsidP="004E6471"/>
    <w:p w14:paraId="136FDD6D" w14:textId="778EFC8D" w:rsidR="004E6471" w:rsidRPr="001B4CA2" w:rsidRDefault="004E6471" w:rsidP="004E6471">
      <w:pPr>
        <w:ind w:firstLine="708"/>
      </w:pPr>
      <w:bookmarkStart w:id="18" w:name="_Toc100313998"/>
      <w:r w:rsidRPr="001B4CA2">
        <w:t>U</w:t>
      </w:r>
      <w:r w:rsidR="001B4CA2">
        <w:t xml:space="preserve"> </w:t>
      </w:r>
      <w:r w:rsidRPr="001B4CA2">
        <w:t>ovoj tablici prikazani su indikatori uspješnosti (CR i DT) u radu pojedinih županijskih državnih odvjetništava za 2022. godinu. Prosječna stopa ažurnosti je 101 % i povećana je u odnosu na 2021. godinu</w:t>
      </w:r>
      <w:r w:rsidR="00A804EF">
        <w:t>,</w:t>
      </w:r>
      <w:r w:rsidRPr="001B4CA2">
        <w:t xml:space="preserve"> kada je prosječna stopa ažurnosti iznosila 100 %. Prosječno vrijeme potrebno za rješavanje neriješenih predmeta </w:t>
      </w:r>
      <w:r w:rsidR="00A804EF" w:rsidRPr="001B4CA2">
        <w:t xml:space="preserve">dodatno </w:t>
      </w:r>
      <w:r w:rsidRPr="001B4CA2">
        <w:t xml:space="preserve">je smanjeno. </w:t>
      </w:r>
      <w:bookmarkEnd w:id="18"/>
    </w:p>
    <w:p w14:paraId="458E5E5D" w14:textId="77777777" w:rsidR="004E6471" w:rsidRPr="001B4CA2" w:rsidRDefault="004E6471" w:rsidP="004E6471"/>
    <w:p w14:paraId="0C6FA47F" w14:textId="77777777" w:rsidR="00DB6D83" w:rsidRPr="001B4CA2" w:rsidRDefault="00DB6D83" w:rsidP="002266CF"/>
    <w:p w14:paraId="340B6D6B" w14:textId="77777777" w:rsidR="00625610" w:rsidRPr="001B4CA2" w:rsidRDefault="00625610" w:rsidP="002266CF"/>
    <w:p w14:paraId="3571830E" w14:textId="2602960F" w:rsidR="00625610" w:rsidRPr="001B4CA2" w:rsidRDefault="00625610">
      <w:pPr>
        <w:spacing w:after="200" w:line="276" w:lineRule="auto"/>
        <w:jc w:val="left"/>
      </w:pPr>
      <w:r w:rsidRPr="001B4CA2">
        <w:br w:type="page"/>
      </w:r>
    </w:p>
    <w:p w14:paraId="0AEED5A8" w14:textId="7A2C3B9B" w:rsidR="00BB4D48" w:rsidRPr="001B4CA2" w:rsidRDefault="00BB4D48" w:rsidP="00886E1C">
      <w:pPr>
        <w:pStyle w:val="Naslov2"/>
        <w:rPr>
          <w:rFonts w:ascii="Arial" w:hAnsi="Arial" w:cs="Arial"/>
        </w:rPr>
      </w:pPr>
      <w:bookmarkStart w:id="19" w:name="_Toc133394282"/>
      <w:r w:rsidRPr="001B4CA2">
        <w:rPr>
          <w:rFonts w:ascii="Arial" w:hAnsi="Arial" w:cs="Arial"/>
        </w:rPr>
        <w:lastRenderedPageBreak/>
        <w:t>Poda</w:t>
      </w:r>
      <w:r w:rsidR="00FC60D2" w:rsidRPr="001B4CA2">
        <w:rPr>
          <w:rFonts w:ascii="Arial" w:hAnsi="Arial" w:cs="Arial"/>
        </w:rPr>
        <w:t>t</w:t>
      </w:r>
      <w:r w:rsidRPr="001B4CA2">
        <w:rPr>
          <w:rFonts w:ascii="Arial" w:hAnsi="Arial" w:cs="Arial"/>
        </w:rPr>
        <w:t>ci o kretanju predmeta u Uredu za suzbijanje korupcije i organiziranog</w:t>
      </w:r>
      <w:r w:rsidR="00250B92" w:rsidRPr="001B4CA2">
        <w:rPr>
          <w:rFonts w:ascii="Arial" w:hAnsi="Arial" w:cs="Arial"/>
        </w:rPr>
        <w:t>a</w:t>
      </w:r>
      <w:r w:rsidRPr="001B4CA2">
        <w:rPr>
          <w:rFonts w:ascii="Arial" w:hAnsi="Arial" w:cs="Arial"/>
        </w:rPr>
        <w:t xml:space="preserve"> kriminaliteta (USKOK)</w:t>
      </w:r>
      <w:bookmarkEnd w:id="19"/>
    </w:p>
    <w:p w14:paraId="60065D1E" w14:textId="77777777" w:rsidR="00186E00" w:rsidRPr="001B4CA2" w:rsidRDefault="00186E00" w:rsidP="00B66A64"/>
    <w:p w14:paraId="18DAA874" w14:textId="4C423E78" w:rsidR="004E460D" w:rsidRPr="001B4CA2" w:rsidRDefault="00BB4D48" w:rsidP="00C7524F">
      <w:pPr>
        <w:pStyle w:val="Naslov3"/>
        <w:rPr>
          <w:rFonts w:ascii="Arial" w:hAnsi="Arial" w:cs="Arial"/>
        </w:rPr>
      </w:pPr>
      <w:bookmarkStart w:id="20" w:name="_Toc133394283"/>
      <w:r w:rsidRPr="001B4CA2">
        <w:rPr>
          <w:rFonts w:ascii="Arial" w:hAnsi="Arial" w:cs="Arial"/>
        </w:rPr>
        <w:t>O</w:t>
      </w:r>
      <w:r w:rsidR="00197521" w:rsidRPr="001B4CA2">
        <w:rPr>
          <w:rFonts w:ascii="Arial" w:hAnsi="Arial" w:cs="Arial"/>
        </w:rPr>
        <w:t>pći pregled kretanja predmeta</w:t>
      </w:r>
      <w:bookmarkEnd w:id="20"/>
    </w:p>
    <w:p w14:paraId="5EEEEDCB" w14:textId="77777777" w:rsidR="00A03F42" w:rsidRPr="001B4CA2" w:rsidRDefault="00A03F42" w:rsidP="00590AB1"/>
    <w:p w14:paraId="434448F0" w14:textId="51F76C7D" w:rsidR="00DF7F38" w:rsidRPr="001B4CA2" w:rsidRDefault="00FD08E9" w:rsidP="00DF7F38">
      <w:pPr>
        <w:spacing w:line="259" w:lineRule="auto"/>
        <w:jc w:val="left"/>
        <w:rPr>
          <w:rFonts w:eastAsia="Calibri"/>
          <w:i/>
        </w:rPr>
      </w:pPr>
      <w:r>
        <w:rPr>
          <w:rFonts w:eastAsia="Calibri"/>
          <w:i/>
        </w:rPr>
        <w:t xml:space="preserve"> </w:t>
      </w:r>
      <w:r w:rsidR="000169EF">
        <w:rPr>
          <w:rFonts w:eastAsia="Calibri"/>
          <w:i/>
        </w:rPr>
        <w:t xml:space="preserve">      </w:t>
      </w:r>
      <w:r w:rsidR="00DF7F38" w:rsidRPr="001B4CA2">
        <w:rPr>
          <w:rFonts w:eastAsia="Calibri"/>
          <w:i/>
        </w:rPr>
        <w:t>Opći pregled kretanja predmeta USKOK-a</w:t>
      </w:r>
    </w:p>
    <w:tbl>
      <w:tblPr>
        <w:tblW w:w="8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1"/>
        <w:gridCol w:w="836"/>
        <w:gridCol w:w="1127"/>
        <w:gridCol w:w="682"/>
        <w:gridCol w:w="682"/>
        <w:gridCol w:w="682"/>
        <w:gridCol w:w="682"/>
        <w:gridCol w:w="983"/>
        <w:gridCol w:w="993"/>
      </w:tblGrid>
      <w:tr w:rsidR="00DF7F38" w:rsidRPr="001B4CA2" w14:paraId="59434120" w14:textId="77777777" w:rsidTr="000169EF">
        <w:trPr>
          <w:trHeight w:val="1138"/>
        </w:trPr>
        <w:tc>
          <w:tcPr>
            <w:tcW w:w="2011" w:type="dxa"/>
            <w:vMerge w:val="restart"/>
            <w:shd w:val="clear" w:color="000000" w:fill="99CCFF"/>
            <w:vAlign w:val="center"/>
            <w:hideMark/>
          </w:tcPr>
          <w:p w14:paraId="2DAEF4C2"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Vrsta državnog odvjetništva</w:t>
            </w:r>
          </w:p>
        </w:tc>
        <w:tc>
          <w:tcPr>
            <w:tcW w:w="836" w:type="dxa"/>
            <w:vMerge w:val="restart"/>
            <w:shd w:val="clear" w:color="000000" w:fill="99CCFF"/>
            <w:noWrap/>
            <w:vAlign w:val="center"/>
            <w:hideMark/>
          </w:tcPr>
          <w:p w14:paraId="2BF07A97"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Godina</w:t>
            </w:r>
          </w:p>
        </w:tc>
        <w:tc>
          <w:tcPr>
            <w:tcW w:w="1127" w:type="dxa"/>
            <w:vMerge w:val="restart"/>
            <w:shd w:val="clear" w:color="000000" w:fill="99CCFF"/>
            <w:textDirection w:val="btLr"/>
            <w:vAlign w:val="center"/>
            <w:hideMark/>
          </w:tcPr>
          <w:p w14:paraId="439BAA9A"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Broj zamjenika/savjetnika – stvarna prisutnost</w:t>
            </w:r>
          </w:p>
        </w:tc>
        <w:tc>
          <w:tcPr>
            <w:tcW w:w="2728" w:type="dxa"/>
            <w:gridSpan w:val="4"/>
            <w:shd w:val="clear" w:color="000000" w:fill="99CCFF"/>
            <w:noWrap/>
            <w:vAlign w:val="center"/>
            <w:hideMark/>
          </w:tcPr>
          <w:p w14:paraId="45ECB52E"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Kretanje predmeta</w:t>
            </w:r>
          </w:p>
        </w:tc>
        <w:tc>
          <w:tcPr>
            <w:tcW w:w="983" w:type="dxa"/>
            <w:vMerge w:val="restart"/>
            <w:shd w:val="clear" w:color="000000" w:fill="99CCFF"/>
            <w:textDirection w:val="btLr"/>
            <w:vAlign w:val="center"/>
          </w:tcPr>
          <w:p w14:paraId="24EF7A62"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 xml:space="preserve">Broj predmeta u postupku pred sudom ili upravnim tijelima </w:t>
            </w:r>
          </w:p>
        </w:tc>
        <w:tc>
          <w:tcPr>
            <w:tcW w:w="993" w:type="dxa"/>
            <w:vMerge w:val="restart"/>
            <w:shd w:val="clear" w:color="000000" w:fill="99CCFF"/>
            <w:textDirection w:val="btLr"/>
            <w:vAlign w:val="center"/>
            <w:hideMark/>
          </w:tcPr>
          <w:p w14:paraId="1236BED2"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Ukupan broj predmeta u kojima postupak vodi ili u postupku sudjeluje državno odvjetništvo</w:t>
            </w:r>
          </w:p>
        </w:tc>
      </w:tr>
      <w:tr w:rsidR="00DF7F38" w:rsidRPr="001B4CA2" w14:paraId="4DEE067C" w14:textId="77777777" w:rsidTr="000169EF">
        <w:trPr>
          <w:trHeight w:val="2445"/>
        </w:trPr>
        <w:tc>
          <w:tcPr>
            <w:tcW w:w="2011" w:type="dxa"/>
            <w:vMerge/>
            <w:vAlign w:val="center"/>
            <w:hideMark/>
          </w:tcPr>
          <w:p w14:paraId="0426435E" w14:textId="77777777" w:rsidR="00DF7F38" w:rsidRPr="001B4CA2" w:rsidRDefault="00DF7F38" w:rsidP="006D0A51">
            <w:pPr>
              <w:jc w:val="left"/>
              <w:rPr>
                <w:rFonts w:eastAsia="Times New Roman"/>
                <w:b/>
                <w:bCs/>
                <w:sz w:val="18"/>
                <w:szCs w:val="18"/>
                <w:lang w:eastAsia="hr-HR"/>
              </w:rPr>
            </w:pPr>
          </w:p>
        </w:tc>
        <w:tc>
          <w:tcPr>
            <w:tcW w:w="836" w:type="dxa"/>
            <w:vMerge/>
            <w:vAlign w:val="center"/>
            <w:hideMark/>
          </w:tcPr>
          <w:p w14:paraId="4AF31F5A" w14:textId="77777777" w:rsidR="00DF7F38" w:rsidRPr="001B4CA2" w:rsidRDefault="00DF7F38" w:rsidP="006D0A51">
            <w:pPr>
              <w:jc w:val="left"/>
              <w:rPr>
                <w:rFonts w:eastAsia="Times New Roman"/>
                <w:b/>
                <w:bCs/>
                <w:sz w:val="18"/>
                <w:szCs w:val="18"/>
                <w:lang w:eastAsia="hr-HR"/>
              </w:rPr>
            </w:pPr>
          </w:p>
        </w:tc>
        <w:tc>
          <w:tcPr>
            <w:tcW w:w="1127" w:type="dxa"/>
            <w:vMerge/>
            <w:vAlign w:val="center"/>
            <w:hideMark/>
          </w:tcPr>
          <w:p w14:paraId="6C068DFE" w14:textId="77777777" w:rsidR="00DF7F38" w:rsidRPr="001B4CA2" w:rsidRDefault="00DF7F38" w:rsidP="006D0A51">
            <w:pPr>
              <w:jc w:val="left"/>
              <w:rPr>
                <w:rFonts w:eastAsia="Times New Roman"/>
                <w:b/>
                <w:bCs/>
                <w:sz w:val="18"/>
                <w:szCs w:val="18"/>
                <w:lang w:eastAsia="hr-HR"/>
              </w:rPr>
            </w:pPr>
          </w:p>
        </w:tc>
        <w:tc>
          <w:tcPr>
            <w:tcW w:w="682" w:type="dxa"/>
            <w:shd w:val="clear" w:color="000000" w:fill="99CCFF"/>
            <w:noWrap/>
            <w:textDirection w:val="btLr"/>
            <w:vAlign w:val="center"/>
            <w:hideMark/>
          </w:tcPr>
          <w:p w14:paraId="5282425B"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Na početku</w:t>
            </w:r>
          </w:p>
        </w:tc>
        <w:tc>
          <w:tcPr>
            <w:tcW w:w="682" w:type="dxa"/>
            <w:shd w:val="clear" w:color="000000" w:fill="99CCFF"/>
            <w:noWrap/>
            <w:textDirection w:val="btLr"/>
            <w:vAlign w:val="center"/>
            <w:hideMark/>
          </w:tcPr>
          <w:p w14:paraId="6A388B47"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Primljeno</w:t>
            </w:r>
          </w:p>
        </w:tc>
        <w:tc>
          <w:tcPr>
            <w:tcW w:w="682" w:type="dxa"/>
            <w:shd w:val="clear" w:color="000000" w:fill="99CCFF"/>
            <w:noWrap/>
            <w:textDirection w:val="btLr"/>
            <w:vAlign w:val="center"/>
            <w:hideMark/>
          </w:tcPr>
          <w:p w14:paraId="1644040E"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Riješeno</w:t>
            </w:r>
          </w:p>
        </w:tc>
        <w:tc>
          <w:tcPr>
            <w:tcW w:w="682" w:type="dxa"/>
            <w:shd w:val="clear" w:color="000000" w:fill="99CCFF"/>
            <w:noWrap/>
            <w:textDirection w:val="btLr"/>
            <w:vAlign w:val="center"/>
            <w:hideMark/>
          </w:tcPr>
          <w:p w14:paraId="4A5C37B8"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Neriješeno</w:t>
            </w:r>
          </w:p>
        </w:tc>
        <w:tc>
          <w:tcPr>
            <w:tcW w:w="983" w:type="dxa"/>
            <w:vMerge/>
          </w:tcPr>
          <w:p w14:paraId="4ED2753F" w14:textId="77777777" w:rsidR="00DF7F38" w:rsidRPr="001B4CA2" w:rsidRDefault="00DF7F38" w:rsidP="006D0A51">
            <w:pPr>
              <w:jc w:val="left"/>
              <w:rPr>
                <w:rFonts w:eastAsia="Times New Roman"/>
                <w:b/>
                <w:bCs/>
                <w:sz w:val="18"/>
                <w:szCs w:val="18"/>
                <w:lang w:eastAsia="hr-HR"/>
              </w:rPr>
            </w:pPr>
          </w:p>
        </w:tc>
        <w:tc>
          <w:tcPr>
            <w:tcW w:w="993" w:type="dxa"/>
            <w:vMerge/>
            <w:vAlign w:val="center"/>
            <w:hideMark/>
          </w:tcPr>
          <w:p w14:paraId="7AE8BED6" w14:textId="77777777" w:rsidR="00DF7F38" w:rsidRPr="001B4CA2" w:rsidRDefault="00DF7F38" w:rsidP="006D0A51">
            <w:pPr>
              <w:jc w:val="left"/>
              <w:rPr>
                <w:rFonts w:eastAsia="Times New Roman"/>
                <w:b/>
                <w:bCs/>
                <w:sz w:val="18"/>
                <w:szCs w:val="18"/>
                <w:lang w:eastAsia="hr-HR"/>
              </w:rPr>
            </w:pPr>
          </w:p>
        </w:tc>
      </w:tr>
      <w:tr w:rsidR="00DF7F38" w:rsidRPr="001B4CA2" w14:paraId="23B1699E" w14:textId="77777777" w:rsidTr="000169EF">
        <w:trPr>
          <w:trHeight w:val="300"/>
        </w:trPr>
        <w:tc>
          <w:tcPr>
            <w:tcW w:w="2011" w:type="dxa"/>
            <w:vMerge w:val="restart"/>
            <w:shd w:val="clear" w:color="auto" w:fill="auto"/>
            <w:vAlign w:val="center"/>
            <w:hideMark/>
          </w:tcPr>
          <w:p w14:paraId="3F7BAEDE"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USKOK</w:t>
            </w:r>
          </w:p>
        </w:tc>
        <w:tc>
          <w:tcPr>
            <w:tcW w:w="836" w:type="dxa"/>
            <w:shd w:val="clear" w:color="auto" w:fill="auto"/>
            <w:noWrap/>
            <w:vAlign w:val="center"/>
          </w:tcPr>
          <w:p w14:paraId="06F0631A"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2018.</w:t>
            </w:r>
          </w:p>
        </w:tc>
        <w:tc>
          <w:tcPr>
            <w:tcW w:w="1127" w:type="dxa"/>
            <w:shd w:val="clear" w:color="auto" w:fill="auto"/>
            <w:noWrap/>
            <w:vAlign w:val="center"/>
          </w:tcPr>
          <w:p w14:paraId="4F1697DD" w14:textId="77777777" w:rsidR="00DF7F38" w:rsidRPr="001B4CA2" w:rsidRDefault="00DF7F38" w:rsidP="006D0A51">
            <w:pPr>
              <w:jc w:val="center"/>
              <w:rPr>
                <w:color w:val="000000"/>
                <w:sz w:val="18"/>
                <w:szCs w:val="18"/>
              </w:rPr>
            </w:pPr>
            <w:r w:rsidRPr="001B4CA2">
              <w:rPr>
                <w:color w:val="000000"/>
                <w:sz w:val="18"/>
                <w:szCs w:val="18"/>
              </w:rPr>
              <w:t>33,5</w:t>
            </w:r>
          </w:p>
        </w:tc>
        <w:tc>
          <w:tcPr>
            <w:tcW w:w="682" w:type="dxa"/>
            <w:shd w:val="clear" w:color="auto" w:fill="auto"/>
            <w:noWrap/>
            <w:vAlign w:val="center"/>
          </w:tcPr>
          <w:p w14:paraId="30CCD4B3" w14:textId="77777777" w:rsidR="00DF7F38" w:rsidRPr="001B4CA2" w:rsidRDefault="00DF7F38" w:rsidP="006D0A51">
            <w:pPr>
              <w:jc w:val="center"/>
              <w:rPr>
                <w:color w:val="000000"/>
                <w:sz w:val="18"/>
                <w:szCs w:val="18"/>
              </w:rPr>
            </w:pPr>
            <w:r w:rsidRPr="001B4CA2">
              <w:rPr>
                <w:color w:val="000000"/>
                <w:sz w:val="18"/>
                <w:szCs w:val="18"/>
              </w:rPr>
              <w:t>775</w:t>
            </w:r>
          </w:p>
        </w:tc>
        <w:tc>
          <w:tcPr>
            <w:tcW w:w="682" w:type="dxa"/>
            <w:shd w:val="clear" w:color="auto" w:fill="auto"/>
            <w:noWrap/>
            <w:vAlign w:val="center"/>
          </w:tcPr>
          <w:p w14:paraId="3D08A195" w14:textId="77777777" w:rsidR="00DF7F38" w:rsidRPr="001B4CA2" w:rsidRDefault="00DF7F38" w:rsidP="006D0A51">
            <w:pPr>
              <w:jc w:val="center"/>
              <w:rPr>
                <w:color w:val="000000"/>
                <w:sz w:val="18"/>
                <w:szCs w:val="18"/>
              </w:rPr>
            </w:pPr>
            <w:r w:rsidRPr="001B4CA2">
              <w:rPr>
                <w:color w:val="000000"/>
                <w:sz w:val="18"/>
                <w:szCs w:val="18"/>
              </w:rPr>
              <w:t>1.427</w:t>
            </w:r>
          </w:p>
        </w:tc>
        <w:tc>
          <w:tcPr>
            <w:tcW w:w="682" w:type="dxa"/>
            <w:shd w:val="clear" w:color="auto" w:fill="auto"/>
            <w:noWrap/>
            <w:vAlign w:val="center"/>
          </w:tcPr>
          <w:p w14:paraId="0F2BA0B5" w14:textId="77777777" w:rsidR="00DF7F38" w:rsidRPr="001B4CA2" w:rsidRDefault="00DF7F38" w:rsidP="006D0A51">
            <w:pPr>
              <w:jc w:val="center"/>
              <w:rPr>
                <w:color w:val="000000"/>
                <w:sz w:val="18"/>
                <w:szCs w:val="18"/>
              </w:rPr>
            </w:pPr>
            <w:r w:rsidRPr="001B4CA2">
              <w:rPr>
                <w:color w:val="000000"/>
                <w:sz w:val="18"/>
                <w:szCs w:val="18"/>
              </w:rPr>
              <w:t>1.492</w:t>
            </w:r>
          </w:p>
        </w:tc>
        <w:tc>
          <w:tcPr>
            <w:tcW w:w="682" w:type="dxa"/>
            <w:shd w:val="clear" w:color="auto" w:fill="auto"/>
            <w:noWrap/>
            <w:vAlign w:val="center"/>
          </w:tcPr>
          <w:p w14:paraId="17C0EF7C" w14:textId="77777777" w:rsidR="00DF7F38" w:rsidRPr="001B4CA2" w:rsidRDefault="00DF7F38" w:rsidP="006D0A51">
            <w:pPr>
              <w:jc w:val="center"/>
              <w:rPr>
                <w:color w:val="000000"/>
                <w:sz w:val="18"/>
                <w:szCs w:val="18"/>
              </w:rPr>
            </w:pPr>
            <w:r w:rsidRPr="001B4CA2">
              <w:rPr>
                <w:color w:val="000000"/>
                <w:sz w:val="18"/>
                <w:szCs w:val="18"/>
              </w:rPr>
              <w:t>710</w:t>
            </w:r>
          </w:p>
        </w:tc>
        <w:tc>
          <w:tcPr>
            <w:tcW w:w="983" w:type="dxa"/>
            <w:shd w:val="clear" w:color="auto" w:fill="auto"/>
            <w:vAlign w:val="center"/>
          </w:tcPr>
          <w:p w14:paraId="5FB03692" w14:textId="77777777" w:rsidR="00DF7F38" w:rsidRPr="001B4CA2" w:rsidRDefault="00DF7F38" w:rsidP="006D0A51">
            <w:pPr>
              <w:jc w:val="center"/>
              <w:rPr>
                <w:color w:val="000000"/>
                <w:sz w:val="18"/>
                <w:szCs w:val="18"/>
              </w:rPr>
            </w:pPr>
            <w:r w:rsidRPr="001B4CA2">
              <w:rPr>
                <w:color w:val="000000"/>
                <w:sz w:val="18"/>
                <w:szCs w:val="18"/>
              </w:rPr>
              <w:t>352</w:t>
            </w:r>
          </w:p>
        </w:tc>
        <w:tc>
          <w:tcPr>
            <w:tcW w:w="993" w:type="dxa"/>
            <w:shd w:val="clear" w:color="auto" w:fill="auto"/>
            <w:noWrap/>
            <w:vAlign w:val="center"/>
          </w:tcPr>
          <w:p w14:paraId="062A66AB" w14:textId="77777777" w:rsidR="00DF7F38" w:rsidRPr="001B4CA2" w:rsidRDefault="00DF7F38" w:rsidP="006D0A51">
            <w:pPr>
              <w:jc w:val="center"/>
              <w:rPr>
                <w:color w:val="000000"/>
                <w:sz w:val="18"/>
                <w:szCs w:val="18"/>
              </w:rPr>
            </w:pPr>
            <w:r w:rsidRPr="001B4CA2">
              <w:rPr>
                <w:color w:val="000000"/>
                <w:sz w:val="18"/>
                <w:szCs w:val="18"/>
              </w:rPr>
              <w:t>2.610</w:t>
            </w:r>
          </w:p>
        </w:tc>
      </w:tr>
      <w:tr w:rsidR="00DF7F38" w:rsidRPr="001B4CA2" w14:paraId="1456C140" w14:textId="77777777" w:rsidTr="000169EF">
        <w:trPr>
          <w:trHeight w:val="300"/>
        </w:trPr>
        <w:tc>
          <w:tcPr>
            <w:tcW w:w="2011" w:type="dxa"/>
            <w:vMerge/>
            <w:vAlign w:val="center"/>
            <w:hideMark/>
          </w:tcPr>
          <w:p w14:paraId="682D8E6A" w14:textId="77777777" w:rsidR="00DF7F38" w:rsidRPr="001B4CA2" w:rsidRDefault="00DF7F38" w:rsidP="006D0A51">
            <w:pPr>
              <w:jc w:val="left"/>
              <w:rPr>
                <w:rFonts w:eastAsia="Times New Roman"/>
                <w:sz w:val="18"/>
                <w:szCs w:val="18"/>
                <w:lang w:eastAsia="hr-HR"/>
              </w:rPr>
            </w:pPr>
          </w:p>
        </w:tc>
        <w:tc>
          <w:tcPr>
            <w:tcW w:w="836" w:type="dxa"/>
            <w:shd w:val="clear" w:color="auto" w:fill="auto"/>
            <w:noWrap/>
            <w:vAlign w:val="center"/>
            <w:hideMark/>
          </w:tcPr>
          <w:p w14:paraId="36BD654E"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2019.</w:t>
            </w:r>
          </w:p>
        </w:tc>
        <w:tc>
          <w:tcPr>
            <w:tcW w:w="1127" w:type="dxa"/>
            <w:shd w:val="clear" w:color="auto" w:fill="auto"/>
            <w:noWrap/>
            <w:vAlign w:val="center"/>
          </w:tcPr>
          <w:p w14:paraId="1AE43149" w14:textId="77777777" w:rsidR="00DF7F38" w:rsidRPr="001B4CA2" w:rsidRDefault="00DF7F38" w:rsidP="006D0A51">
            <w:pPr>
              <w:jc w:val="center"/>
              <w:rPr>
                <w:color w:val="000000"/>
                <w:sz w:val="18"/>
                <w:szCs w:val="18"/>
              </w:rPr>
            </w:pPr>
            <w:r w:rsidRPr="001B4CA2">
              <w:rPr>
                <w:color w:val="000000"/>
                <w:sz w:val="18"/>
                <w:szCs w:val="18"/>
              </w:rPr>
              <w:t>35</w:t>
            </w:r>
          </w:p>
        </w:tc>
        <w:tc>
          <w:tcPr>
            <w:tcW w:w="682" w:type="dxa"/>
            <w:shd w:val="clear" w:color="auto" w:fill="auto"/>
            <w:noWrap/>
            <w:vAlign w:val="center"/>
          </w:tcPr>
          <w:p w14:paraId="3F439017" w14:textId="77777777" w:rsidR="00DF7F38" w:rsidRPr="001B4CA2" w:rsidRDefault="00DF7F38" w:rsidP="006D0A51">
            <w:pPr>
              <w:jc w:val="center"/>
              <w:rPr>
                <w:color w:val="000000"/>
                <w:sz w:val="18"/>
                <w:szCs w:val="18"/>
              </w:rPr>
            </w:pPr>
            <w:r w:rsidRPr="001B4CA2">
              <w:rPr>
                <w:color w:val="000000"/>
                <w:sz w:val="18"/>
                <w:szCs w:val="18"/>
              </w:rPr>
              <w:t>725</w:t>
            </w:r>
          </w:p>
        </w:tc>
        <w:tc>
          <w:tcPr>
            <w:tcW w:w="682" w:type="dxa"/>
            <w:shd w:val="clear" w:color="auto" w:fill="auto"/>
            <w:noWrap/>
            <w:vAlign w:val="center"/>
          </w:tcPr>
          <w:p w14:paraId="1DFBA2A4" w14:textId="77777777" w:rsidR="00DF7F38" w:rsidRPr="001B4CA2" w:rsidRDefault="00DF7F38" w:rsidP="006D0A51">
            <w:pPr>
              <w:jc w:val="center"/>
              <w:rPr>
                <w:color w:val="000000"/>
                <w:sz w:val="18"/>
                <w:szCs w:val="18"/>
              </w:rPr>
            </w:pPr>
            <w:r w:rsidRPr="001B4CA2">
              <w:rPr>
                <w:color w:val="000000"/>
                <w:sz w:val="18"/>
                <w:szCs w:val="18"/>
              </w:rPr>
              <w:t>1.553</w:t>
            </w:r>
          </w:p>
        </w:tc>
        <w:tc>
          <w:tcPr>
            <w:tcW w:w="682" w:type="dxa"/>
            <w:shd w:val="clear" w:color="auto" w:fill="auto"/>
            <w:noWrap/>
            <w:vAlign w:val="center"/>
          </w:tcPr>
          <w:p w14:paraId="599B30B6" w14:textId="77777777" w:rsidR="00DF7F38" w:rsidRPr="001B4CA2" w:rsidRDefault="00DF7F38" w:rsidP="006D0A51">
            <w:pPr>
              <w:jc w:val="center"/>
              <w:rPr>
                <w:color w:val="000000"/>
                <w:sz w:val="18"/>
                <w:szCs w:val="18"/>
              </w:rPr>
            </w:pPr>
            <w:r w:rsidRPr="001B4CA2">
              <w:rPr>
                <w:color w:val="000000"/>
                <w:sz w:val="18"/>
                <w:szCs w:val="18"/>
              </w:rPr>
              <w:t>1.626</w:t>
            </w:r>
          </w:p>
        </w:tc>
        <w:tc>
          <w:tcPr>
            <w:tcW w:w="682" w:type="dxa"/>
            <w:shd w:val="clear" w:color="auto" w:fill="auto"/>
            <w:noWrap/>
            <w:vAlign w:val="center"/>
          </w:tcPr>
          <w:p w14:paraId="31A8ACBB" w14:textId="77777777" w:rsidR="00DF7F38" w:rsidRPr="001B4CA2" w:rsidRDefault="00DF7F38" w:rsidP="006D0A51">
            <w:pPr>
              <w:jc w:val="center"/>
              <w:rPr>
                <w:color w:val="000000"/>
                <w:sz w:val="18"/>
                <w:szCs w:val="18"/>
              </w:rPr>
            </w:pPr>
            <w:r w:rsidRPr="001B4CA2">
              <w:rPr>
                <w:color w:val="000000"/>
                <w:sz w:val="18"/>
                <w:szCs w:val="18"/>
              </w:rPr>
              <w:t>652</w:t>
            </w:r>
          </w:p>
        </w:tc>
        <w:tc>
          <w:tcPr>
            <w:tcW w:w="983" w:type="dxa"/>
            <w:shd w:val="clear" w:color="auto" w:fill="auto"/>
            <w:vAlign w:val="center"/>
          </w:tcPr>
          <w:p w14:paraId="2EF74A04" w14:textId="77777777" w:rsidR="00DF7F38" w:rsidRPr="001B4CA2" w:rsidRDefault="00DF7F38" w:rsidP="006D0A51">
            <w:pPr>
              <w:jc w:val="center"/>
              <w:rPr>
                <w:color w:val="000000"/>
                <w:sz w:val="18"/>
                <w:szCs w:val="18"/>
              </w:rPr>
            </w:pPr>
            <w:r w:rsidRPr="001B4CA2">
              <w:rPr>
                <w:color w:val="000000"/>
                <w:sz w:val="18"/>
                <w:szCs w:val="18"/>
              </w:rPr>
              <w:t>371</w:t>
            </w:r>
          </w:p>
        </w:tc>
        <w:tc>
          <w:tcPr>
            <w:tcW w:w="993" w:type="dxa"/>
            <w:shd w:val="clear" w:color="auto" w:fill="auto"/>
            <w:noWrap/>
            <w:vAlign w:val="center"/>
          </w:tcPr>
          <w:p w14:paraId="5FDF4B40" w14:textId="77777777" w:rsidR="00DF7F38" w:rsidRPr="001B4CA2" w:rsidRDefault="00DF7F38" w:rsidP="006D0A51">
            <w:pPr>
              <w:jc w:val="center"/>
              <w:rPr>
                <w:color w:val="000000"/>
                <w:sz w:val="18"/>
                <w:szCs w:val="18"/>
              </w:rPr>
            </w:pPr>
            <w:r w:rsidRPr="001B4CA2">
              <w:rPr>
                <w:color w:val="000000"/>
                <w:sz w:val="18"/>
                <w:szCs w:val="18"/>
              </w:rPr>
              <w:t>2.635</w:t>
            </w:r>
          </w:p>
        </w:tc>
      </w:tr>
      <w:tr w:rsidR="00DF7F38" w:rsidRPr="001B4CA2" w14:paraId="0EA733D4" w14:textId="77777777" w:rsidTr="000169EF">
        <w:trPr>
          <w:trHeight w:val="300"/>
        </w:trPr>
        <w:tc>
          <w:tcPr>
            <w:tcW w:w="2011" w:type="dxa"/>
            <w:vMerge/>
            <w:vAlign w:val="center"/>
            <w:hideMark/>
          </w:tcPr>
          <w:p w14:paraId="5F407669" w14:textId="77777777" w:rsidR="00DF7F38" w:rsidRPr="001B4CA2" w:rsidRDefault="00DF7F38" w:rsidP="006D0A51">
            <w:pPr>
              <w:jc w:val="left"/>
              <w:rPr>
                <w:rFonts w:eastAsia="Times New Roman"/>
                <w:sz w:val="18"/>
                <w:szCs w:val="18"/>
                <w:lang w:eastAsia="hr-HR"/>
              </w:rPr>
            </w:pPr>
          </w:p>
        </w:tc>
        <w:tc>
          <w:tcPr>
            <w:tcW w:w="836" w:type="dxa"/>
            <w:shd w:val="clear" w:color="auto" w:fill="auto"/>
            <w:noWrap/>
            <w:vAlign w:val="center"/>
            <w:hideMark/>
          </w:tcPr>
          <w:p w14:paraId="470B82E5"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2020.</w:t>
            </w:r>
          </w:p>
        </w:tc>
        <w:tc>
          <w:tcPr>
            <w:tcW w:w="1127" w:type="dxa"/>
            <w:shd w:val="clear" w:color="auto" w:fill="auto"/>
            <w:noWrap/>
            <w:vAlign w:val="center"/>
          </w:tcPr>
          <w:p w14:paraId="1FA9627C" w14:textId="77777777" w:rsidR="00DF7F38" w:rsidRPr="001B4CA2" w:rsidRDefault="00DF7F38" w:rsidP="006D0A51">
            <w:pPr>
              <w:jc w:val="center"/>
              <w:rPr>
                <w:color w:val="000000"/>
                <w:sz w:val="18"/>
                <w:szCs w:val="18"/>
              </w:rPr>
            </w:pPr>
            <w:r w:rsidRPr="001B4CA2">
              <w:rPr>
                <w:color w:val="000000"/>
                <w:sz w:val="18"/>
                <w:szCs w:val="18"/>
              </w:rPr>
              <w:t>32,3</w:t>
            </w:r>
          </w:p>
        </w:tc>
        <w:tc>
          <w:tcPr>
            <w:tcW w:w="682" w:type="dxa"/>
            <w:shd w:val="clear" w:color="auto" w:fill="auto"/>
            <w:noWrap/>
            <w:vAlign w:val="center"/>
          </w:tcPr>
          <w:p w14:paraId="4033F9FA" w14:textId="77777777" w:rsidR="00DF7F38" w:rsidRPr="001B4CA2" w:rsidRDefault="00DF7F38" w:rsidP="006D0A51">
            <w:pPr>
              <w:jc w:val="center"/>
              <w:rPr>
                <w:color w:val="000000"/>
                <w:sz w:val="18"/>
                <w:szCs w:val="18"/>
              </w:rPr>
            </w:pPr>
            <w:r w:rsidRPr="001B4CA2">
              <w:rPr>
                <w:color w:val="000000"/>
                <w:sz w:val="18"/>
                <w:szCs w:val="18"/>
              </w:rPr>
              <w:t>727</w:t>
            </w:r>
          </w:p>
        </w:tc>
        <w:tc>
          <w:tcPr>
            <w:tcW w:w="682" w:type="dxa"/>
            <w:shd w:val="clear" w:color="auto" w:fill="auto"/>
            <w:noWrap/>
            <w:vAlign w:val="center"/>
          </w:tcPr>
          <w:p w14:paraId="2509B7E0" w14:textId="77777777" w:rsidR="00DF7F38" w:rsidRPr="001B4CA2" w:rsidRDefault="00DF7F38" w:rsidP="006D0A51">
            <w:pPr>
              <w:jc w:val="center"/>
              <w:rPr>
                <w:color w:val="000000"/>
                <w:sz w:val="18"/>
                <w:szCs w:val="18"/>
              </w:rPr>
            </w:pPr>
            <w:r w:rsidRPr="001B4CA2">
              <w:rPr>
                <w:color w:val="000000"/>
                <w:sz w:val="18"/>
                <w:szCs w:val="18"/>
              </w:rPr>
              <w:t>3.338</w:t>
            </w:r>
          </w:p>
        </w:tc>
        <w:tc>
          <w:tcPr>
            <w:tcW w:w="682" w:type="dxa"/>
            <w:shd w:val="clear" w:color="auto" w:fill="auto"/>
            <w:noWrap/>
            <w:vAlign w:val="center"/>
          </w:tcPr>
          <w:p w14:paraId="00DFCDDE" w14:textId="77777777" w:rsidR="00DF7F38" w:rsidRPr="001B4CA2" w:rsidRDefault="00DF7F38" w:rsidP="006D0A51">
            <w:pPr>
              <w:jc w:val="center"/>
              <w:rPr>
                <w:color w:val="000000"/>
                <w:sz w:val="18"/>
                <w:szCs w:val="18"/>
              </w:rPr>
            </w:pPr>
            <w:r w:rsidRPr="001B4CA2">
              <w:rPr>
                <w:color w:val="000000"/>
                <w:sz w:val="18"/>
                <w:szCs w:val="18"/>
              </w:rPr>
              <w:t>3.473</w:t>
            </w:r>
          </w:p>
        </w:tc>
        <w:tc>
          <w:tcPr>
            <w:tcW w:w="682" w:type="dxa"/>
            <w:shd w:val="clear" w:color="auto" w:fill="auto"/>
            <w:noWrap/>
            <w:vAlign w:val="center"/>
          </w:tcPr>
          <w:p w14:paraId="24E967AF" w14:textId="77777777" w:rsidR="00DF7F38" w:rsidRPr="001B4CA2" w:rsidRDefault="00DF7F38" w:rsidP="006D0A51">
            <w:pPr>
              <w:jc w:val="center"/>
              <w:rPr>
                <w:color w:val="000000"/>
                <w:sz w:val="18"/>
                <w:szCs w:val="18"/>
              </w:rPr>
            </w:pPr>
            <w:r w:rsidRPr="001B4CA2">
              <w:rPr>
                <w:color w:val="000000"/>
                <w:sz w:val="18"/>
                <w:szCs w:val="18"/>
              </w:rPr>
              <w:t>607</w:t>
            </w:r>
          </w:p>
        </w:tc>
        <w:tc>
          <w:tcPr>
            <w:tcW w:w="983" w:type="dxa"/>
            <w:shd w:val="clear" w:color="auto" w:fill="auto"/>
            <w:vAlign w:val="center"/>
          </w:tcPr>
          <w:p w14:paraId="293B7A98" w14:textId="77777777" w:rsidR="00DF7F38" w:rsidRPr="001B4CA2" w:rsidRDefault="00DF7F38" w:rsidP="006D0A51">
            <w:pPr>
              <w:jc w:val="center"/>
              <w:rPr>
                <w:color w:val="000000"/>
                <w:sz w:val="18"/>
                <w:szCs w:val="18"/>
              </w:rPr>
            </w:pPr>
            <w:r w:rsidRPr="001B4CA2">
              <w:rPr>
                <w:color w:val="000000"/>
                <w:sz w:val="18"/>
                <w:szCs w:val="18"/>
              </w:rPr>
              <w:t>649</w:t>
            </w:r>
          </w:p>
        </w:tc>
        <w:tc>
          <w:tcPr>
            <w:tcW w:w="993" w:type="dxa"/>
            <w:shd w:val="clear" w:color="auto" w:fill="auto"/>
            <w:noWrap/>
            <w:vAlign w:val="center"/>
          </w:tcPr>
          <w:p w14:paraId="69DAEC46" w14:textId="77777777" w:rsidR="00DF7F38" w:rsidRPr="001B4CA2" w:rsidRDefault="00DF7F38" w:rsidP="006D0A51">
            <w:pPr>
              <w:jc w:val="center"/>
              <w:rPr>
                <w:color w:val="000000"/>
                <w:sz w:val="18"/>
                <w:szCs w:val="18"/>
              </w:rPr>
            </w:pPr>
            <w:r w:rsidRPr="001B4CA2">
              <w:rPr>
                <w:color w:val="000000"/>
                <w:sz w:val="18"/>
                <w:szCs w:val="18"/>
              </w:rPr>
              <w:t>3.695</w:t>
            </w:r>
          </w:p>
        </w:tc>
      </w:tr>
      <w:tr w:rsidR="00DF7F38" w:rsidRPr="001B4CA2" w14:paraId="71255C11" w14:textId="77777777" w:rsidTr="000169EF">
        <w:trPr>
          <w:trHeight w:val="300"/>
        </w:trPr>
        <w:tc>
          <w:tcPr>
            <w:tcW w:w="2011" w:type="dxa"/>
            <w:vMerge/>
            <w:vAlign w:val="center"/>
            <w:hideMark/>
          </w:tcPr>
          <w:p w14:paraId="3F7C0782" w14:textId="77777777" w:rsidR="00DF7F38" w:rsidRPr="001B4CA2" w:rsidRDefault="00DF7F38" w:rsidP="006D0A51">
            <w:pPr>
              <w:jc w:val="left"/>
              <w:rPr>
                <w:rFonts w:eastAsia="Times New Roman"/>
                <w:sz w:val="18"/>
                <w:szCs w:val="18"/>
                <w:lang w:eastAsia="hr-HR"/>
              </w:rPr>
            </w:pPr>
          </w:p>
        </w:tc>
        <w:tc>
          <w:tcPr>
            <w:tcW w:w="836" w:type="dxa"/>
            <w:shd w:val="clear" w:color="auto" w:fill="auto"/>
            <w:noWrap/>
            <w:vAlign w:val="center"/>
            <w:hideMark/>
          </w:tcPr>
          <w:p w14:paraId="1438E89C"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2021.</w:t>
            </w:r>
          </w:p>
        </w:tc>
        <w:tc>
          <w:tcPr>
            <w:tcW w:w="1127" w:type="dxa"/>
            <w:shd w:val="clear" w:color="auto" w:fill="auto"/>
            <w:noWrap/>
            <w:vAlign w:val="center"/>
          </w:tcPr>
          <w:p w14:paraId="66406F1A" w14:textId="77777777" w:rsidR="00DF7F38" w:rsidRPr="001B4CA2" w:rsidRDefault="00DF7F38" w:rsidP="006D0A51">
            <w:pPr>
              <w:jc w:val="center"/>
              <w:rPr>
                <w:color w:val="000000"/>
                <w:sz w:val="18"/>
                <w:szCs w:val="18"/>
              </w:rPr>
            </w:pPr>
            <w:r w:rsidRPr="001B4CA2">
              <w:rPr>
                <w:color w:val="000000"/>
                <w:sz w:val="18"/>
                <w:szCs w:val="18"/>
              </w:rPr>
              <w:t>36,5</w:t>
            </w:r>
          </w:p>
        </w:tc>
        <w:tc>
          <w:tcPr>
            <w:tcW w:w="682" w:type="dxa"/>
            <w:shd w:val="clear" w:color="auto" w:fill="auto"/>
            <w:noWrap/>
            <w:vAlign w:val="center"/>
          </w:tcPr>
          <w:p w14:paraId="50F32EC2" w14:textId="77777777" w:rsidR="00DF7F38" w:rsidRPr="001B4CA2" w:rsidRDefault="00DF7F38" w:rsidP="006D0A51">
            <w:pPr>
              <w:jc w:val="center"/>
              <w:rPr>
                <w:color w:val="000000"/>
                <w:sz w:val="18"/>
                <w:szCs w:val="18"/>
              </w:rPr>
            </w:pPr>
            <w:r w:rsidRPr="001B4CA2">
              <w:rPr>
                <w:color w:val="000000"/>
                <w:sz w:val="18"/>
                <w:szCs w:val="18"/>
              </w:rPr>
              <w:t>549</w:t>
            </w:r>
          </w:p>
        </w:tc>
        <w:tc>
          <w:tcPr>
            <w:tcW w:w="682" w:type="dxa"/>
            <w:shd w:val="clear" w:color="auto" w:fill="auto"/>
            <w:noWrap/>
            <w:vAlign w:val="center"/>
          </w:tcPr>
          <w:p w14:paraId="1C559B0D" w14:textId="77777777" w:rsidR="00DF7F38" w:rsidRPr="001B4CA2" w:rsidRDefault="00DF7F38" w:rsidP="006D0A51">
            <w:pPr>
              <w:jc w:val="center"/>
              <w:rPr>
                <w:color w:val="000000"/>
                <w:sz w:val="18"/>
                <w:szCs w:val="18"/>
              </w:rPr>
            </w:pPr>
            <w:r w:rsidRPr="001B4CA2">
              <w:rPr>
                <w:color w:val="000000"/>
                <w:sz w:val="18"/>
                <w:szCs w:val="18"/>
              </w:rPr>
              <w:t>3.454</w:t>
            </w:r>
          </w:p>
        </w:tc>
        <w:tc>
          <w:tcPr>
            <w:tcW w:w="682" w:type="dxa"/>
            <w:shd w:val="clear" w:color="auto" w:fill="auto"/>
            <w:noWrap/>
            <w:vAlign w:val="center"/>
          </w:tcPr>
          <w:p w14:paraId="1B29FBA5" w14:textId="77777777" w:rsidR="00DF7F38" w:rsidRPr="001B4CA2" w:rsidRDefault="00DF7F38" w:rsidP="006D0A51">
            <w:pPr>
              <w:jc w:val="center"/>
              <w:rPr>
                <w:color w:val="000000"/>
                <w:sz w:val="18"/>
                <w:szCs w:val="18"/>
              </w:rPr>
            </w:pPr>
            <w:r w:rsidRPr="001B4CA2">
              <w:rPr>
                <w:color w:val="000000"/>
                <w:sz w:val="18"/>
                <w:szCs w:val="18"/>
              </w:rPr>
              <w:t>3.308</w:t>
            </w:r>
          </w:p>
        </w:tc>
        <w:tc>
          <w:tcPr>
            <w:tcW w:w="682" w:type="dxa"/>
            <w:shd w:val="clear" w:color="auto" w:fill="auto"/>
            <w:noWrap/>
            <w:vAlign w:val="center"/>
          </w:tcPr>
          <w:p w14:paraId="34A7AC14" w14:textId="77777777" w:rsidR="00DF7F38" w:rsidRPr="001B4CA2" w:rsidRDefault="00DF7F38" w:rsidP="006D0A51">
            <w:pPr>
              <w:jc w:val="center"/>
              <w:rPr>
                <w:color w:val="000000"/>
                <w:sz w:val="18"/>
                <w:szCs w:val="18"/>
              </w:rPr>
            </w:pPr>
            <w:r w:rsidRPr="001B4CA2">
              <w:rPr>
                <w:color w:val="000000"/>
                <w:sz w:val="18"/>
                <w:szCs w:val="18"/>
              </w:rPr>
              <w:t>695</w:t>
            </w:r>
          </w:p>
        </w:tc>
        <w:tc>
          <w:tcPr>
            <w:tcW w:w="983" w:type="dxa"/>
            <w:shd w:val="clear" w:color="auto" w:fill="auto"/>
            <w:vAlign w:val="center"/>
          </w:tcPr>
          <w:p w14:paraId="1F814B84" w14:textId="77777777" w:rsidR="00DF7F38" w:rsidRPr="001B4CA2" w:rsidRDefault="00DF7F38" w:rsidP="006D0A51">
            <w:pPr>
              <w:jc w:val="center"/>
              <w:rPr>
                <w:color w:val="000000"/>
                <w:sz w:val="18"/>
                <w:szCs w:val="18"/>
              </w:rPr>
            </w:pPr>
            <w:r w:rsidRPr="001B4CA2">
              <w:rPr>
                <w:color w:val="000000"/>
                <w:sz w:val="18"/>
                <w:szCs w:val="18"/>
              </w:rPr>
              <w:t>527</w:t>
            </w:r>
          </w:p>
        </w:tc>
        <w:tc>
          <w:tcPr>
            <w:tcW w:w="993" w:type="dxa"/>
            <w:shd w:val="clear" w:color="auto" w:fill="auto"/>
            <w:noWrap/>
            <w:vAlign w:val="center"/>
          </w:tcPr>
          <w:p w14:paraId="3E3ACF09" w14:textId="77777777" w:rsidR="00DF7F38" w:rsidRPr="001B4CA2" w:rsidRDefault="00DF7F38" w:rsidP="006D0A51">
            <w:pPr>
              <w:jc w:val="center"/>
              <w:rPr>
                <w:color w:val="000000"/>
                <w:sz w:val="18"/>
                <w:szCs w:val="18"/>
              </w:rPr>
            </w:pPr>
            <w:r w:rsidRPr="001B4CA2">
              <w:rPr>
                <w:color w:val="000000"/>
                <w:sz w:val="18"/>
                <w:szCs w:val="18"/>
              </w:rPr>
              <w:t>4.611</w:t>
            </w:r>
          </w:p>
        </w:tc>
      </w:tr>
      <w:tr w:rsidR="00DF7F38" w:rsidRPr="001B4CA2" w14:paraId="47222EC4" w14:textId="77777777" w:rsidTr="000169EF">
        <w:trPr>
          <w:trHeight w:val="300"/>
        </w:trPr>
        <w:tc>
          <w:tcPr>
            <w:tcW w:w="2011" w:type="dxa"/>
            <w:vMerge/>
            <w:vAlign w:val="center"/>
            <w:hideMark/>
          </w:tcPr>
          <w:p w14:paraId="4149E32C" w14:textId="77777777" w:rsidR="00DF7F38" w:rsidRPr="001B4CA2" w:rsidRDefault="00DF7F38" w:rsidP="006D0A51">
            <w:pPr>
              <w:jc w:val="left"/>
              <w:rPr>
                <w:rFonts w:eastAsia="Times New Roman"/>
                <w:sz w:val="18"/>
                <w:szCs w:val="18"/>
                <w:lang w:eastAsia="hr-HR"/>
              </w:rPr>
            </w:pPr>
          </w:p>
        </w:tc>
        <w:tc>
          <w:tcPr>
            <w:tcW w:w="836" w:type="dxa"/>
            <w:shd w:val="clear" w:color="auto" w:fill="auto"/>
            <w:noWrap/>
            <w:vAlign w:val="center"/>
          </w:tcPr>
          <w:p w14:paraId="4A9CF782"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2022.</w:t>
            </w:r>
          </w:p>
        </w:tc>
        <w:tc>
          <w:tcPr>
            <w:tcW w:w="1127" w:type="dxa"/>
            <w:shd w:val="clear" w:color="auto" w:fill="auto"/>
            <w:noWrap/>
            <w:vAlign w:val="center"/>
          </w:tcPr>
          <w:p w14:paraId="02D01EFB" w14:textId="77777777" w:rsidR="00DF7F38" w:rsidRPr="001B4CA2" w:rsidRDefault="00DF7F38" w:rsidP="006D0A51">
            <w:pPr>
              <w:jc w:val="center"/>
              <w:rPr>
                <w:color w:val="000000"/>
                <w:sz w:val="18"/>
                <w:szCs w:val="18"/>
              </w:rPr>
            </w:pPr>
            <w:r w:rsidRPr="001B4CA2">
              <w:rPr>
                <w:color w:val="000000"/>
                <w:sz w:val="18"/>
                <w:szCs w:val="18"/>
              </w:rPr>
              <w:t>35,25</w:t>
            </w:r>
          </w:p>
        </w:tc>
        <w:tc>
          <w:tcPr>
            <w:tcW w:w="682" w:type="dxa"/>
            <w:shd w:val="clear" w:color="auto" w:fill="auto"/>
            <w:noWrap/>
            <w:vAlign w:val="center"/>
          </w:tcPr>
          <w:p w14:paraId="0541341E" w14:textId="77777777" w:rsidR="00DF7F38" w:rsidRPr="001B4CA2" w:rsidRDefault="00DF7F38" w:rsidP="006D0A51">
            <w:pPr>
              <w:jc w:val="center"/>
              <w:rPr>
                <w:color w:val="000000"/>
                <w:sz w:val="18"/>
                <w:szCs w:val="18"/>
              </w:rPr>
            </w:pPr>
            <w:r w:rsidRPr="001B4CA2">
              <w:rPr>
                <w:color w:val="000000"/>
                <w:sz w:val="18"/>
                <w:szCs w:val="18"/>
              </w:rPr>
              <w:t>685</w:t>
            </w:r>
          </w:p>
        </w:tc>
        <w:tc>
          <w:tcPr>
            <w:tcW w:w="682" w:type="dxa"/>
            <w:shd w:val="clear" w:color="auto" w:fill="auto"/>
            <w:noWrap/>
            <w:vAlign w:val="center"/>
          </w:tcPr>
          <w:p w14:paraId="31790778" w14:textId="77777777" w:rsidR="00DF7F38" w:rsidRPr="001B4CA2" w:rsidRDefault="00DF7F38" w:rsidP="006D0A51">
            <w:pPr>
              <w:jc w:val="center"/>
              <w:rPr>
                <w:color w:val="000000"/>
                <w:sz w:val="18"/>
                <w:szCs w:val="18"/>
              </w:rPr>
            </w:pPr>
            <w:r w:rsidRPr="001B4CA2">
              <w:rPr>
                <w:color w:val="000000"/>
                <w:sz w:val="18"/>
                <w:szCs w:val="18"/>
              </w:rPr>
              <w:t>3.493</w:t>
            </w:r>
          </w:p>
        </w:tc>
        <w:tc>
          <w:tcPr>
            <w:tcW w:w="682" w:type="dxa"/>
            <w:shd w:val="clear" w:color="auto" w:fill="auto"/>
            <w:noWrap/>
            <w:vAlign w:val="center"/>
          </w:tcPr>
          <w:p w14:paraId="0B204348" w14:textId="77777777" w:rsidR="00DF7F38" w:rsidRPr="001B4CA2" w:rsidRDefault="00DF7F38" w:rsidP="006D0A51">
            <w:pPr>
              <w:jc w:val="center"/>
              <w:rPr>
                <w:color w:val="000000"/>
                <w:sz w:val="18"/>
                <w:szCs w:val="18"/>
              </w:rPr>
            </w:pPr>
            <w:r w:rsidRPr="001B4CA2">
              <w:rPr>
                <w:color w:val="000000"/>
                <w:sz w:val="18"/>
                <w:szCs w:val="18"/>
              </w:rPr>
              <w:t>3.306</w:t>
            </w:r>
          </w:p>
        </w:tc>
        <w:tc>
          <w:tcPr>
            <w:tcW w:w="682" w:type="dxa"/>
            <w:shd w:val="clear" w:color="auto" w:fill="auto"/>
            <w:noWrap/>
            <w:vAlign w:val="center"/>
          </w:tcPr>
          <w:p w14:paraId="6FC1CA54" w14:textId="77777777" w:rsidR="00DF7F38" w:rsidRPr="001B4CA2" w:rsidRDefault="00DF7F38" w:rsidP="006D0A51">
            <w:pPr>
              <w:jc w:val="center"/>
              <w:rPr>
                <w:color w:val="000000"/>
                <w:sz w:val="18"/>
                <w:szCs w:val="18"/>
              </w:rPr>
            </w:pPr>
            <w:r w:rsidRPr="001B4CA2">
              <w:rPr>
                <w:color w:val="000000"/>
                <w:sz w:val="18"/>
                <w:szCs w:val="18"/>
              </w:rPr>
              <w:t>872</w:t>
            </w:r>
          </w:p>
        </w:tc>
        <w:tc>
          <w:tcPr>
            <w:tcW w:w="983" w:type="dxa"/>
            <w:shd w:val="clear" w:color="auto" w:fill="auto"/>
            <w:vAlign w:val="center"/>
          </w:tcPr>
          <w:p w14:paraId="787BDE4D" w14:textId="77777777" w:rsidR="00DF7F38" w:rsidRPr="001B4CA2" w:rsidRDefault="00DF7F38" w:rsidP="006D0A51">
            <w:pPr>
              <w:jc w:val="center"/>
              <w:rPr>
                <w:color w:val="000000"/>
                <w:sz w:val="18"/>
                <w:szCs w:val="18"/>
              </w:rPr>
            </w:pPr>
            <w:r w:rsidRPr="001B4CA2">
              <w:rPr>
                <w:color w:val="000000"/>
                <w:sz w:val="18"/>
                <w:szCs w:val="18"/>
              </w:rPr>
              <w:t>349</w:t>
            </w:r>
          </w:p>
        </w:tc>
        <w:tc>
          <w:tcPr>
            <w:tcW w:w="993" w:type="dxa"/>
            <w:shd w:val="clear" w:color="auto" w:fill="auto"/>
            <w:noWrap/>
            <w:vAlign w:val="center"/>
          </w:tcPr>
          <w:p w14:paraId="430C3A37" w14:textId="77777777" w:rsidR="00DF7F38" w:rsidRPr="001B4CA2" w:rsidRDefault="00DF7F38" w:rsidP="006D0A51">
            <w:pPr>
              <w:jc w:val="center"/>
              <w:rPr>
                <w:color w:val="000000"/>
                <w:sz w:val="18"/>
                <w:szCs w:val="18"/>
              </w:rPr>
            </w:pPr>
            <w:r w:rsidRPr="001B4CA2">
              <w:rPr>
                <w:color w:val="000000"/>
                <w:sz w:val="18"/>
                <w:szCs w:val="18"/>
              </w:rPr>
              <w:t>4.408</w:t>
            </w:r>
          </w:p>
        </w:tc>
      </w:tr>
    </w:tbl>
    <w:p w14:paraId="0568E66E" w14:textId="77777777" w:rsidR="00DF7F38" w:rsidRPr="001B4CA2" w:rsidRDefault="00DF7F38" w:rsidP="00DF7F38"/>
    <w:p w14:paraId="245CB98B" w14:textId="7C07070B" w:rsidR="00DF7F38" w:rsidRPr="001B4CA2" w:rsidRDefault="00DF7F38" w:rsidP="00DF7F38">
      <w:pPr>
        <w:ind w:firstLine="708"/>
      </w:pPr>
      <w:r w:rsidRPr="001B4CA2">
        <w:t>Budući da je USKOK tek 2020. godine počeo koristiti i raditi u informatičkom sustavu CTS</w:t>
      </w:r>
      <w:r w:rsidR="00A804EF">
        <w:t>,</w:t>
      </w:r>
      <w:r w:rsidRPr="001B4CA2">
        <w:t xml:space="preserve"> kad je stupanjem na snagu novog Poslovnika uveden nov način praćenja rada na predmetima, nije moguće dati precizan komparativni prikaz. Međutim, za sagledavanje stvarne opterećenosti zamjenika ravnatelja valja uzeti u obzir prikazani podatak o</w:t>
      </w:r>
      <w:r w:rsidR="001B4CA2">
        <w:t xml:space="preserve"> </w:t>
      </w:r>
      <w:r w:rsidRPr="001B4CA2">
        <w:t>4416 predmeta u kojima se postupak vodi pred sudom, što je više od jednogodišnjeg priljeva novih predmeta Ureda. Zastupanje optužbe pred sudom u ovim predmetima iziskuje vrlo velik angažman i vrijeme.</w:t>
      </w:r>
      <w:r w:rsidR="001B4CA2">
        <w:t xml:space="preserve"> </w:t>
      </w:r>
      <w:r w:rsidR="00A804EF">
        <w:t xml:space="preserve">Valja </w:t>
      </w:r>
      <w:r w:rsidRPr="001B4CA2">
        <w:t xml:space="preserve">ukazati </w:t>
      </w:r>
      <w:r w:rsidR="00A804EF">
        <w:t xml:space="preserve">na to </w:t>
      </w:r>
      <w:r w:rsidRPr="001B4CA2">
        <w:t>da su zamjenici ravnatelja USKOK-a</w:t>
      </w:r>
      <w:r w:rsidR="001B4CA2">
        <w:t xml:space="preserve"> </w:t>
      </w:r>
      <w:r w:rsidRPr="001B4CA2">
        <w:t>u 2022.</w:t>
      </w:r>
      <w:r w:rsidR="001B4CA2">
        <w:t xml:space="preserve"> </w:t>
      </w:r>
      <w:r w:rsidRPr="001B4CA2">
        <w:t>prisustvovali</w:t>
      </w:r>
      <w:r w:rsidR="001B4CA2">
        <w:t xml:space="preserve"> </w:t>
      </w:r>
      <w:r w:rsidRPr="001B4CA2">
        <w:t>na ukupno 1921 ročišt</w:t>
      </w:r>
      <w:r w:rsidR="00A804EF">
        <w:t>u</w:t>
      </w:r>
      <w:r w:rsidRPr="001B4CA2">
        <w:t xml:space="preserve"> i rasprav</w:t>
      </w:r>
      <w:r w:rsidR="00A804EF">
        <w:t>i</w:t>
      </w:r>
      <w:r w:rsidRPr="001B4CA2">
        <w:t>, što je za 17,7 % više nego prethodne godine.</w:t>
      </w:r>
    </w:p>
    <w:p w14:paraId="7AC3777E" w14:textId="77777777" w:rsidR="00DF7F38" w:rsidRPr="001B4CA2" w:rsidRDefault="00DF7F38" w:rsidP="00DF7F38"/>
    <w:tbl>
      <w:tblPr>
        <w:tblW w:w="8081" w:type="dxa"/>
        <w:tblInd w:w="497" w:type="dxa"/>
        <w:tblLayout w:type="fixed"/>
        <w:tblLook w:val="04A0" w:firstRow="1" w:lastRow="0" w:firstColumn="1" w:lastColumn="0" w:noHBand="0" w:noVBand="1"/>
      </w:tblPr>
      <w:tblGrid>
        <w:gridCol w:w="1785"/>
        <w:gridCol w:w="899"/>
        <w:gridCol w:w="899"/>
        <w:gridCol w:w="900"/>
        <w:gridCol w:w="899"/>
        <w:gridCol w:w="900"/>
        <w:gridCol w:w="899"/>
        <w:gridCol w:w="900"/>
      </w:tblGrid>
      <w:tr w:rsidR="00DF7F38" w:rsidRPr="001B4CA2" w14:paraId="2D9747F3" w14:textId="77777777" w:rsidTr="006D0A51">
        <w:trPr>
          <w:trHeight w:val="300"/>
        </w:trPr>
        <w:tc>
          <w:tcPr>
            <w:tcW w:w="8081" w:type="dxa"/>
            <w:gridSpan w:val="8"/>
            <w:tcBorders>
              <w:top w:val="nil"/>
              <w:left w:val="nil"/>
              <w:bottom w:val="single" w:sz="4" w:space="0" w:color="auto"/>
              <w:right w:val="nil"/>
            </w:tcBorders>
            <w:shd w:val="clear" w:color="auto" w:fill="auto"/>
            <w:noWrap/>
            <w:vAlign w:val="center"/>
            <w:hideMark/>
          </w:tcPr>
          <w:p w14:paraId="37CC243F" w14:textId="77777777" w:rsidR="00DF7F38" w:rsidRPr="001B4CA2" w:rsidRDefault="00DF7F38" w:rsidP="006D0A51">
            <w:pPr>
              <w:jc w:val="left"/>
              <w:rPr>
                <w:rFonts w:eastAsia="Times New Roman"/>
                <w:i/>
                <w:iCs/>
                <w:lang w:eastAsia="hr-HR"/>
              </w:rPr>
            </w:pPr>
            <w:r w:rsidRPr="001B4CA2">
              <w:rPr>
                <w:rFonts w:eastAsia="Times New Roman"/>
                <w:i/>
                <w:iCs/>
                <w:lang w:eastAsia="hr-HR"/>
              </w:rPr>
              <w:t>Opći pregled pokazatelja uspješnosti rada USKOK-a</w:t>
            </w:r>
          </w:p>
        </w:tc>
      </w:tr>
      <w:tr w:rsidR="00DF7F38" w:rsidRPr="001B4CA2" w14:paraId="43C134F9" w14:textId="77777777" w:rsidTr="006D0A51">
        <w:trPr>
          <w:trHeight w:val="2010"/>
        </w:trPr>
        <w:tc>
          <w:tcPr>
            <w:tcW w:w="1785"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1FAFFE8F"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Državna odvjetništva</w:t>
            </w:r>
          </w:p>
        </w:tc>
        <w:tc>
          <w:tcPr>
            <w:tcW w:w="899" w:type="dxa"/>
            <w:tcBorders>
              <w:top w:val="single" w:sz="4" w:space="0" w:color="auto"/>
              <w:left w:val="nil"/>
              <w:bottom w:val="single" w:sz="4" w:space="0" w:color="auto"/>
              <w:right w:val="single" w:sz="4" w:space="0" w:color="auto"/>
            </w:tcBorders>
            <w:shd w:val="clear" w:color="000000" w:fill="99CCFF"/>
            <w:noWrap/>
            <w:vAlign w:val="center"/>
            <w:hideMark/>
          </w:tcPr>
          <w:p w14:paraId="3DC58027"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Godina</w:t>
            </w:r>
          </w:p>
        </w:tc>
        <w:tc>
          <w:tcPr>
            <w:tcW w:w="899" w:type="dxa"/>
            <w:tcBorders>
              <w:top w:val="single" w:sz="4" w:space="0" w:color="auto"/>
              <w:left w:val="nil"/>
              <w:bottom w:val="single" w:sz="4" w:space="0" w:color="auto"/>
              <w:right w:val="single" w:sz="4" w:space="0" w:color="auto"/>
            </w:tcBorders>
            <w:shd w:val="clear" w:color="000000" w:fill="99CCFF"/>
            <w:noWrap/>
            <w:vAlign w:val="center"/>
            <w:hideMark/>
          </w:tcPr>
          <w:p w14:paraId="5CD22797"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900" w:type="dxa"/>
            <w:tcBorders>
              <w:top w:val="single" w:sz="4" w:space="0" w:color="auto"/>
              <w:left w:val="nil"/>
              <w:bottom w:val="single" w:sz="4" w:space="0" w:color="auto"/>
              <w:right w:val="single" w:sz="4" w:space="0" w:color="auto"/>
            </w:tcBorders>
            <w:shd w:val="clear" w:color="000000" w:fill="99CCFF"/>
            <w:noWrap/>
            <w:vAlign w:val="center"/>
            <w:hideMark/>
          </w:tcPr>
          <w:p w14:paraId="0545BA61"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DT</w:t>
            </w:r>
          </w:p>
        </w:tc>
        <w:tc>
          <w:tcPr>
            <w:tcW w:w="899" w:type="dxa"/>
            <w:tcBorders>
              <w:top w:val="single" w:sz="4" w:space="0" w:color="auto"/>
              <w:left w:val="nil"/>
              <w:bottom w:val="single" w:sz="4" w:space="0" w:color="auto"/>
              <w:right w:val="single" w:sz="4" w:space="0" w:color="auto"/>
            </w:tcBorders>
            <w:shd w:val="clear" w:color="000000" w:fill="99CCFF"/>
            <w:textDirection w:val="btLr"/>
            <w:vAlign w:val="bottom"/>
            <w:hideMark/>
          </w:tcPr>
          <w:p w14:paraId="5F0BCBA4"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Broj zamjenika/ savjetnika – stvarna prisutnost</w:t>
            </w:r>
          </w:p>
        </w:tc>
        <w:tc>
          <w:tcPr>
            <w:tcW w:w="900" w:type="dxa"/>
            <w:tcBorders>
              <w:top w:val="single" w:sz="4" w:space="0" w:color="auto"/>
              <w:left w:val="nil"/>
              <w:bottom w:val="single" w:sz="4" w:space="0" w:color="auto"/>
              <w:right w:val="single" w:sz="4" w:space="0" w:color="auto"/>
            </w:tcBorders>
            <w:shd w:val="clear" w:color="000000" w:fill="99CCFF"/>
            <w:textDirection w:val="btLr"/>
            <w:vAlign w:val="bottom"/>
            <w:hideMark/>
          </w:tcPr>
          <w:p w14:paraId="62903974"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Primljeno po zamjeniku/savjetniku</w:t>
            </w:r>
          </w:p>
        </w:tc>
        <w:tc>
          <w:tcPr>
            <w:tcW w:w="899" w:type="dxa"/>
            <w:tcBorders>
              <w:top w:val="single" w:sz="4" w:space="0" w:color="auto"/>
              <w:left w:val="nil"/>
              <w:bottom w:val="single" w:sz="4" w:space="0" w:color="auto"/>
              <w:right w:val="single" w:sz="4" w:space="0" w:color="auto"/>
            </w:tcBorders>
            <w:shd w:val="clear" w:color="000000" w:fill="99CCFF"/>
            <w:textDirection w:val="btLr"/>
            <w:vAlign w:val="bottom"/>
            <w:hideMark/>
          </w:tcPr>
          <w:p w14:paraId="51F9000A"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Broj riješenih predmeta po zamjeniku /savjetniku</w:t>
            </w:r>
          </w:p>
        </w:tc>
        <w:tc>
          <w:tcPr>
            <w:tcW w:w="900" w:type="dxa"/>
            <w:tcBorders>
              <w:top w:val="single" w:sz="4" w:space="0" w:color="auto"/>
              <w:left w:val="nil"/>
              <w:bottom w:val="single" w:sz="4" w:space="0" w:color="auto"/>
              <w:right w:val="single" w:sz="4" w:space="0" w:color="auto"/>
            </w:tcBorders>
            <w:shd w:val="clear" w:color="000000" w:fill="99CCFF"/>
            <w:textDirection w:val="btLr"/>
            <w:vAlign w:val="bottom"/>
            <w:hideMark/>
          </w:tcPr>
          <w:p w14:paraId="588364DC"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Broj neriješenih predmeta po zamjeniku /savjetniku</w:t>
            </w:r>
          </w:p>
        </w:tc>
      </w:tr>
      <w:tr w:rsidR="00DF7F38" w:rsidRPr="001B4CA2" w14:paraId="4B076024" w14:textId="77777777" w:rsidTr="006D0A51">
        <w:trPr>
          <w:trHeight w:val="300"/>
        </w:trPr>
        <w:tc>
          <w:tcPr>
            <w:tcW w:w="1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A0142"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USKOK</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F21CA"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2018.</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FE991" w14:textId="77777777" w:rsidR="00DF7F38" w:rsidRPr="001B4CA2" w:rsidRDefault="00DF7F38" w:rsidP="006D0A51">
            <w:pPr>
              <w:jc w:val="center"/>
              <w:rPr>
                <w:color w:val="000000"/>
                <w:sz w:val="18"/>
                <w:szCs w:val="18"/>
              </w:rPr>
            </w:pPr>
            <w:r w:rsidRPr="001B4CA2">
              <w:rPr>
                <w:color w:val="000000"/>
                <w:sz w:val="18"/>
                <w:szCs w:val="18"/>
              </w:rPr>
              <w:t>105%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05FCE" w14:textId="77777777" w:rsidR="00DF7F38" w:rsidRPr="001B4CA2" w:rsidRDefault="00DF7F38" w:rsidP="006D0A51">
            <w:pPr>
              <w:jc w:val="center"/>
              <w:rPr>
                <w:color w:val="000000"/>
                <w:sz w:val="18"/>
                <w:szCs w:val="18"/>
              </w:rPr>
            </w:pPr>
            <w:r w:rsidRPr="001B4CA2">
              <w:rPr>
                <w:color w:val="000000"/>
                <w:sz w:val="18"/>
                <w:szCs w:val="18"/>
              </w:rPr>
              <w:t>173,7</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82CB1" w14:textId="77777777" w:rsidR="00DF7F38" w:rsidRPr="001B4CA2" w:rsidRDefault="00DF7F38" w:rsidP="006D0A51">
            <w:pPr>
              <w:jc w:val="center"/>
              <w:rPr>
                <w:color w:val="000000"/>
                <w:sz w:val="18"/>
                <w:szCs w:val="18"/>
              </w:rPr>
            </w:pPr>
            <w:r w:rsidRPr="001B4CA2">
              <w:rPr>
                <w:color w:val="000000"/>
                <w:sz w:val="18"/>
                <w:szCs w:val="18"/>
              </w:rPr>
              <w:t>33,5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74762" w14:textId="77777777" w:rsidR="00DF7F38" w:rsidRPr="001B4CA2" w:rsidRDefault="00DF7F38" w:rsidP="006D0A51">
            <w:pPr>
              <w:jc w:val="center"/>
              <w:rPr>
                <w:color w:val="000000"/>
                <w:sz w:val="18"/>
                <w:szCs w:val="18"/>
              </w:rPr>
            </w:pPr>
            <w:r w:rsidRPr="001B4CA2">
              <w:rPr>
                <w:color w:val="000000"/>
                <w:sz w:val="18"/>
                <w:szCs w:val="18"/>
              </w:rPr>
              <w:t>42,6</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A6694" w14:textId="77777777" w:rsidR="00DF7F38" w:rsidRPr="001B4CA2" w:rsidRDefault="00DF7F38" w:rsidP="006D0A51">
            <w:pPr>
              <w:jc w:val="center"/>
              <w:rPr>
                <w:color w:val="000000"/>
                <w:sz w:val="18"/>
                <w:szCs w:val="18"/>
              </w:rPr>
            </w:pPr>
            <w:r w:rsidRPr="001B4CA2">
              <w:rPr>
                <w:color w:val="000000"/>
                <w:sz w:val="18"/>
                <w:szCs w:val="18"/>
              </w:rPr>
              <w:t>44,5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DE56E" w14:textId="77777777" w:rsidR="00DF7F38" w:rsidRPr="001B4CA2" w:rsidRDefault="00DF7F38" w:rsidP="006D0A51">
            <w:pPr>
              <w:jc w:val="center"/>
              <w:rPr>
                <w:color w:val="000000"/>
                <w:sz w:val="18"/>
                <w:szCs w:val="18"/>
              </w:rPr>
            </w:pPr>
            <w:r w:rsidRPr="001B4CA2">
              <w:rPr>
                <w:color w:val="000000"/>
                <w:sz w:val="18"/>
                <w:szCs w:val="18"/>
              </w:rPr>
              <w:t>21,2</w:t>
            </w:r>
          </w:p>
        </w:tc>
      </w:tr>
      <w:tr w:rsidR="00DF7F38" w:rsidRPr="001B4CA2" w14:paraId="53514C56" w14:textId="77777777" w:rsidTr="006D0A51">
        <w:trPr>
          <w:trHeight w:val="300"/>
        </w:trPr>
        <w:tc>
          <w:tcPr>
            <w:tcW w:w="1785" w:type="dxa"/>
            <w:vMerge/>
            <w:tcBorders>
              <w:top w:val="single" w:sz="4" w:space="0" w:color="auto"/>
              <w:left w:val="single" w:sz="4" w:space="0" w:color="auto"/>
              <w:bottom w:val="single" w:sz="4" w:space="0" w:color="auto"/>
              <w:right w:val="single" w:sz="4" w:space="0" w:color="auto"/>
            </w:tcBorders>
            <w:vAlign w:val="center"/>
            <w:hideMark/>
          </w:tcPr>
          <w:p w14:paraId="750011E0" w14:textId="77777777" w:rsidR="00DF7F38" w:rsidRPr="001B4CA2" w:rsidRDefault="00DF7F38" w:rsidP="006D0A51">
            <w:pPr>
              <w:jc w:val="left"/>
              <w:rPr>
                <w:rFonts w:eastAsia="Times New Roman"/>
                <w:sz w:val="18"/>
                <w:szCs w:val="18"/>
                <w:lang w:eastAsia="hr-HR"/>
              </w:rPr>
            </w:pP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AC58C"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2019.</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95968" w14:textId="77777777" w:rsidR="00DF7F38" w:rsidRPr="001B4CA2" w:rsidRDefault="00DF7F38" w:rsidP="006D0A51">
            <w:pPr>
              <w:jc w:val="center"/>
              <w:rPr>
                <w:color w:val="000000"/>
                <w:sz w:val="18"/>
                <w:szCs w:val="18"/>
              </w:rPr>
            </w:pPr>
            <w:r w:rsidRPr="001B4CA2">
              <w:rPr>
                <w:color w:val="000000"/>
                <w:sz w:val="18"/>
                <w:szCs w:val="18"/>
              </w:rPr>
              <w:t>105%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7EAE8" w14:textId="77777777" w:rsidR="00DF7F38" w:rsidRPr="001B4CA2" w:rsidRDefault="00DF7F38" w:rsidP="006D0A51">
            <w:pPr>
              <w:jc w:val="center"/>
              <w:rPr>
                <w:color w:val="000000"/>
                <w:sz w:val="18"/>
                <w:szCs w:val="18"/>
              </w:rPr>
            </w:pPr>
            <w:r w:rsidRPr="001B4CA2">
              <w:rPr>
                <w:color w:val="000000"/>
                <w:sz w:val="18"/>
                <w:szCs w:val="18"/>
              </w:rPr>
              <w:t>146,4</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BB780" w14:textId="77777777" w:rsidR="00DF7F38" w:rsidRPr="001B4CA2" w:rsidRDefault="00DF7F38" w:rsidP="006D0A51">
            <w:pPr>
              <w:jc w:val="center"/>
              <w:rPr>
                <w:color w:val="000000"/>
                <w:sz w:val="18"/>
                <w:szCs w:val="18"/>
              </w:rPr>
            </w:pPr>
            <w:r w:rsidRPr="001B4CA2">
              <w:rPr>
                <w:color w:val="000000"/>
                <w:sz w:val="18"/>
                <w:szCs w:val="18"/>
              </w:rPr>
              <w:t>35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B6EA9" w14:textId="77777777" w:rsidR="00DF7F38" w:rsidRPr="001B4CA2" w:rsidRDefault="00DF7F38" w:rsidP="006D0A51">
            <w:pPr>
              <w:jc w:val="center"/>
              <w:rPr>
                <w:color w:val="000000"/>
                <w:sz w:val="18"/>
                <w:szCs w:val="18"/>
              </w:rPr>
            </w:pPr>
            <w:r w:rsidRPr="001B4CA2">
              <w:rPr>
                <w:color w:val="000000"/>
                <w:sz w:val="18"/>
                <w:szCs w:val="18"/>
              </w:rPr>
              <w:t>44,4</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115F9" w14:textId="77777777" w:rsidR="00DF7F38" w:rsidRPr="001B4CA2" w:rsidRDefault="00DF7F38" w:rsidP="006D0A51">
            <w:pPr>
              <w:jc w:val="center"/>
              <w:rPr>
                <w:color w:val="000000"/>
                <w:sz w:val="18"/>
                <w:szCs w:val="18"/>
              </w:rPr>
            </w:pPr>
            <w:r w:rsidRPr="001B4CA2">
              <w:rPr>
                <w:color w:val="000000"/>
                <w:sz w:val="18"/>
                <w:szCs w:val="18"/>
              </w:rPr>
              <w:t>46,5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4BD5D" w14:textId="77777777" w:rsidR="00DF7F38" w:rsidRPr="001B4CA2" w:rsidRDefault="00DF7F38" w:rsidP="006D0A51">
            <w:pPr>
              <w:jc w:val="center"/>
              <w:rPr>
                <w:color w:val="000000"/>
                <w:sz w:val="18"/>
                <w:szCs w:val="18"/>
              </w:rPr>
            </w:pPr>
            <w:r w:rsidRPr="001B4CA2">
              <w:rPr>
                <w:color w:val="000000"/>
                <w:sz w:val="18"/>
                <w:szCs w:val="18"/>
              </w:rPr>
              <w:t>18,6</w:t>
            </w:r>
          </w:p>
        </w:tc>
      </w:tr>
      <w:tr w:rsidR="00DF7F38" w:rsidRPr="001B4CA2" w14:paraId="2D8054EA" w14:textId="77777777" w:rsidTr="006D0A51">
        <w:trPr>
          <w:trHeight w:val="300"/>
        </w:trPr>
        <w:tc>
          <w:tcPr>
            <w:tcW w:w="1785" w:type="dxa"/>
            <w:vMerge/>
            <w:tcBorders>
              <w:top w:val="single" w:sz="4" w:space="0" w:color="auto"/>
              <w:left w:val="single" w:sz="4" w:space="0" w:color="auto"/>
              <w:bottom w:val="single" w:sz="4" w:space="0" w:color="auto"/>
              <w:right w:val="single" w:sz="4" w:space="0" w:color="auto"/>
            </w:tcBorders>
            <w:vAlign w:val="center"/>
            <w:hideMark/>
          </w:tcPr>
          <w:p w14:paraId="70EA57E1" w14:textId="77777777" w:rsidR="00DF7F38" w:rsidRPr="001B4CA2" w:rsidRDefault="00DF7F38" w:rsidP="006D0A51">
            <w:pPr>
              <w:jc w:val="left"/>
              <w:rPr>
                <w:rFonts w:eastAsia="Times New Roman"/>
                <w:sz w:val="18"/>
                <w:szCs w:val="18"/>
                <w:lang w:eastAsia="hr-HR"/>
              </w:rPr>
            </w:pP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A4E5E"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2020.</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D6142" w14:textId="77777777" w:rsidR="00DF7F38" w:rsidRPr="001B4CA2" w:rsidRDefault="00DF7F38" w:rsidP="006D0A51">
            <w:pPr>
              <w:jc w:val="center"/>
              <w:rPr>
                <w:color w:val="000000"/>
                <w:sz w:val="18"/>
                <w:szCs w:val="18"/>
              </w:rPr>
            </w:pPr>
            <w:r w:rsidRPr="001B4CA2">
              <w:rPr>
                <w:color w:val="000000"/>
                <w:sz w:val="18"/>
                <w:szCs w:val="18"/>
              </w:rPr>
              <w:t>104%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91D82" w14:textId="77777777" w:rsidR="00DF7F38" w:rsidRPr="001B4CA2" w:rsidRDefault="00DF7F38" w:rsidP="006D0A51">
            <w:pPr>
              <w:jc w:val="center"/>
              <w:rPr>
                <w:color w:val="000000"/>
                <w:sz w:val="18"/>
                <w:szCs w:val="18"/>
              </w:rPr>
            </w:pPr>
            <w:r w:rsidRPr="001B4CA2">
              <w:rPr>
                <w:color w:val="000000"/>
                <w:sz w:val="18"/>
                <w:szCs w:val="18"/>
              </w:rPr>
              <w:t>63,8</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DD9DF" w14:textId="77777777" w:rsidR="00DF7F38" w:rsidRPr="001B4CA2" w:rsidRDefault="00DF7F38" w:rsidP="006D0A51">
            <w:pPr>
              <w:jc w:val="center"/>
              <w:rPr>
                <w:color w:val="000000"/>
                <w:sz w:val="18"/>
                <w:szCs w:val="18"/>
              </w:rPr>
            </w:pPr>
            <w:r w:rsidRPr="001B4CA2">
              <w:rPr>
                <w:color w:val="000000"/>
                <w:sz w:val="18"/>
                <w:szCs w:val="18"/>
              </w:rPr>
              <w:t>32,3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C0B17" w14:textId="77777777" w:rsidR="00DF7F38" w:rsidRPr="001B4CA2" w:rsidRDefault="00DF7F38" w:rsidP="006D0A51">
            <w:pPr>
              <w:jc w:val="center"/>
              <w:rPr>
                <w:color w:val="000000"/>
                <w:sz w:val="18"/>
                <w:szCs w:val="18"/>
              </w:rPr>
            </w:pPr>
            <w:r w:rsidRPr="001B4CA2">
              <w:rPr>
                <w:color w:val="000000"/>
                <w:sz w:val="18"/>
                <w:szCs w:val="18"/>
              </w:rPr>
              <w:t>103,5</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24B58" w14:textId="77777777" w:rsidR="00DF7F38" w:rsidRPr="001B4CA2" w:rsidRDefault="00DF7F38" w:rsidP="006D0A51">
            <w:pPr>
              <w:jc w:val="center"/>
              <w:rPr>
                <w:color w:val="000000"/>
                <w:sz w:val="18"/>
                <w:szCs w:val="18"/>
              </w:rPr>
            </w:pPr>
            <w:r w:rsidRPr="001B4CA2">
              <w:rPr>
                <w:color w:val="000000"/>
                <w:sz w:val="18"/>
                <w:szCs w:val="18"/>
              </w:rPr>
              <w:t>107,7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14E94" w14:textId="77777777" w:rsidR="00DF7F38" w:rsidRPr="001B4CA2" w:rsidRDefault="00DF7F38" w:rsidP="006D0A51">
            <w:pPr>
              <w:jc w:val="center"/>
              <w:rPr>
                <w:color w:val="000000"/>
                <w:sz w:val="18"/>
                <w:szCs w:val="18"/>
              </w:rPr>
            </w:pPr>
            <w:r w:rsidRPr="001B4CA2">
              <w:rPr>
                <w:color w:val="000000"/>
                <w:sz w:val="18"/>
                <w:szCs w:val="18"/>
              </w:rPr>
              <w:t>18,8</w:t>
            </w:r>
          </w:p>
        </w:tc>
      </w:tr>
      <w:tr w:rsidR="00DF7F38" w:rsidRPr="001B4CA2" w14:paraId="12E3FBAD" w14:textId="77777777" w:rsidTr="006D0A51">
        <w:trPr>
          <w:trHeight w:val="300"/>
        </w:trPr>
        <w:tc>
          <w:tcPr>
            <w:tcW w:w="1785" w:type="dxa"/>
            <w:vMerge/>
            <w:tcBorders>
              <w:top w:val="single" w:sz="4" w:space="0" w:color="auto"/>
              <w:left w:val="single" w:sz="4" w:space="0" w:color="auto"/>
              <w:bottom w:val="single" w:sz="4" w:space="0" w:color="auto"/>
              <w:right w:val="single" w:sz="4" w:space="0" w:color="auto"/>
            </w:tcBorders>
            <w:vAlign w:val="center"/>
            <w:hideMark/>
          </w:tcPr>
          <w:p w14:paraId="2F4663FC" w14:textId="77777777" w:rsidR="00DF7F38" w:rsidRPr="001B4CA2" w:rsidRDefault="00DF7F38" w:rsidP="006D0A51">
            <w:pPr>
              <w:jc w:val="left"/>
              <w:rPr>
                <w:rFonts w:eastAsia="Times New Roman"/>
                <w:sz w:val="18"/>
                <w:szCs w:val="18"/>
                <w:lang w:eastAsia="hr-HR"/>
              </w:rPr>
            </w:pP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67F42"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2021.</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CD01B" w14:textId="77777777" w:rsidR="00DF7F38" w:rsidRPr="001B4CA2" w:rsidRDefault="00DF7F38" w:rsidP="006D0A51">
            <w:pPr>
              <w:jc w:val="center"/>
              <w:rPr>
                <w:color w:val="000000"/>
                <w:sz w:val="18"/>
                <w:szCs w:val="18"/>
              </w:rPr>
            </w:pPr>
            <w:r w:rsidRPr="001B4CA2">
              <w:rPr>
                <w:color w:val="000000"/>
                <w:sz w:val="18"/>
                <w:szCs w:val="18"/>
              </w:rPr>
              <w:t>96%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8806F" w14:textId="77777777" w:rsidR="00DF7F38" w:rsidRPr="001B4CA2" w:rsidRDefault="00DF7F38" w:rsidP="006D0A51">
            <w:pPr>
              <w:jc w:val="center"/>
              <w:rPr>
                <w:color w:val="000000"/>
                <w:sz w:val="18"/>
                <w:szCs w:val="18"/>
              </w:rPr>
            </w:pPr>
            <w:r w:rsidRPr="001B4CA2">
              <w:rPr>
                <w:color w:val="000000"/>
                <w:sz w:val="18"/>
                <w:szCs w:val="18"/>
              </w:rPr>
              <w:t>76,7</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4206D" w14:textId="77777777" w:rsidR="00DF7F38" w:rsidRPr="001B4CA2" w:rsidRDefault="00DF7F38" w:rsidP="006D0A51">
            <w:pPr>
              <w:jc w:val="center"/>
              <w:rPr>
                <w:color w:val="000000"/>
                <w:sz w:val="18"/>
                <w:szCs w:val="18"/>
              </w:rPr>
            </w:pPr>
            <w:r w:rsidRPr="001B4CA2">
              <w:rPr>
                <w:color w:val="000000"/>
                <w:sz w:val="18"/>
                <w:szCs w:val="18"/>
              </w:rPr>
              <w:t>36,5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CEA69" w14:textId="77777777" w:rsidR="00DF7F38" w:rsidRPr="001B4CA2" w:rsidRDefault="00DF7F38" w:rsidP="006D0A51">
            <w:pPr>
              <w:jc w:val="center"/>
              <w:rPr>
                <w:color w:val="000000"/>
                <w:sz w:val="18"/>
                <w:szCs w:val="18"/>
              </w:rPr>
            </w:pPr>
            <w:r w:rsidRPr="001B4CA2">
              <w:rPr>
                <w:color w:val="000000"/>
                <w:sz w:val="18"/>
                <w:szCs w:val="18"/>
              </w:rPr>
              <w:t>94,6</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99EE1" w14:textId="77777777" w:rsidR="00DF7F38" w:rsidRPr="001B4CA2" w:rsidRDefault="00DF7F38" w:rsidP="006D0A51">
            <w:pPr>
              <w:jc w:val="center"/>
              <w:rPr>
                <w:color w:val="000000"/>
                <w:sz w:val="18"/>
                <w:szCs w:val="18"/>
              </w:rPr>
            </w:pPr>
            <w:r w:rsidRPr="001B4CA2">
              <w:rPr>
                <w:color w:val="000000"/>
                <w:sz w:val="18"/>
                <w:szCs w:val="18"/>
              </w:rPr>
              <w:t>90,6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0E453" w14:textId="77777777" w:rsidR="00DF7F38" w:rsidRPr="001B4CA2" w:rsidRDefault="00DF7F38" w:rsidP="006D0A51">
            <w:pPr>
              <w:jc w:val="center"/>
              <w:rPr>
                <w:color w:val="000000"/>
                <w:sz w:val="18"/>
                <w:szCs w:val="18"/>
              </w:rPr>
            </w:pPr>
            <w:r w:rsidRPr="001B4CA2">
              <w:rPr>
                <w:color w:val="000000"/>
                <w:sz w:val="18"/>
                <w:szCs w:val="18"/>
              </w:rPr>
              <w:t>19,0</w:t>
            </w:r>
          </w:p>
        </w:tc>
      </w:tr>
      <w:tr w:rsidR="00DF7F38" w:rsidRPr="001B4CA2" w14:paraId="087DF7F7" w14:textId="77777777" w:rsidTr="006D0A51">
        <w:trPr>
          <w:trHeight w:val="300"/>
        </w:trPr>
        <w:tc>
          <w:tcPr>
            <w:tcW w:w="1785" w:type="dxa"/>
            <w:vMerge/>
            <w:tcBorders>
              <w:top w:val="single" w:sz="4" w:space="0" w:color="auto"/>
              <w:left w:val="single" w:sz="4" w:space="0" w:color="auto"/>
              <w:bottom w:val="single" w:sz="4" w:space="0" w:color="auto"/>
              <w:right w:val="single" w:sz="4" w:space="0" w:color="auto"/>
            </w:tcBorders>
            <w:vAlign w:val="center"/>
            <w:hideMark/>
          </w:tcPr>
          <w:p w14:paraId="4F3AE62D" w14:textId="77777777" w:rsidR="00DF7F38" w:rsidRPr="001B4CA2" w:rsidRDefault="00DF7F38" w:rsidP="006D0A51">
            <w:pPr>
              <w:jc w:val="left"/>
              <w:rPr>
                <w:rFonts w:eastAsia="Times New Roman"/>
                <w:sz w:val="18"/>
                <w:szCs w:val="18"/>
                <w:lang w:eastAsia="hr-HR"/>
              </w:rPr>
            </w:pP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D2D62"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2022.</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2C4B2" w14:textId="77777777" w:rsidR="00DF7F38" w:rsidRPr="001B4CA2" w:rsidRDefault="00DF7F38" w:rsidP="006D0A51">
            <w:pPr>
              <w:jc w:val="center"/>
              <w:rPr>
                <w:color w:val="000000"/>
                <w:sz w:val="18"/>
                <w:szCs w:val="18"/>
              </w:rPr>
            </w:pPr>
            <w:r w:rsidRPr="001B4CA2">
              <w:rPr>
                <w:color w:val="000000"/>
                <w:sz w:val="18"/>
                <w:szCs w:val="18"/>
              </w:rPr>
              <w:t>95%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0AE12" w14:textId="77777777" w:rsidR="00DF7F38" w:rsidRPr="001B4CA2" w:rsidRDefault="00DF7F38" w:rsidP="006D0A51">
            <w:pPr>
              <w:jc w:val="center"/>
              <w:rPr>
                <w:color w:val="000000"/>
                <w:sz w:val="18"/>
                <w:szCs w:val="18"/>
              </w:rPr>
            </w:pPr>
            <w:r w:rsidRPr="001B4CA2">
              <w:rPr>
                <w:color w:val="000000"/>
                <w:sz w:val="18"/>
                <w:szCs w:val="18"/>
              </w:rPr>
              <w:t>96,3</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28E01" w14:textId="77777777" w:rsidR="00DF7F38" w:rsidRPr="001B4CA2" w:rsidRDefault="00DF7F38" w:rsidP="006D0A51">
            <w:pPr>
              <w:jc w:val="center"/>
              <w:rPr>
                <w:color w:val="000000"/>
                <w:sz w:val="18"/>
                <w:szCs w:val="18"/>
              </w:rPr>
            </w:pPr>
            <w:r w:rsidRPr="001B4CA2">
              <w:rPr>
                <w:color w:val="000000"/>
                <w:sz w:val="18"/>
                <w:szCs w:val="18"/>
              </w:rPr>
              <w:t>35,25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E8F50" w14:textId="77777777" w:rsidR="00DF7F38" w:rsidRPr="001B4CA2" w:rsidRDefault="00DF7F38" w:rsidP="006D0A51">
            <w:pPr>
              <w:jc w:val="center"/>
              <w:rPr>
                <w:color w:val="000000"/>
                <w:sz w:val="18"/>
                <w:szCs w:val="18"/>
              </w:rPr>
            </w:pPr>
            <w:r w:rsidRPr="001B4CA2">
              <w:rPr>
                <w:color w:val="000000"/>
                <w:sz w:val="18"/>
                <w:szCs w:val="18"/>
              </w:rPr>
              <w:t>99,1</w:t>
            </w:r>
          </w:p>
        </w:tc>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CA676" w14:textId="77777777" w:rsidR="00DF7F38" w:rsidRPr="001B4CA2" w:rsidRDefault="00DF7F38" w:rsidP="006D0A51">
            <w:pPr>
              <w:jc w:val="center"/>
              <w:rPr>
                <w:color w:val="000000"/>
                <w:sz w:val="18"/>
                <w:szCs w:val="18"/>
              </w:rPr>
            </w:pPr>
            <w:r w:rsidRPr="001B4CA2">
              <w:rPr>
                <w:color w:val="000000"/>
                <w:sz w:val="18"/>
                <w:szCs w:val="18"/>
              </w:rPr>
              <w:t>93,8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AD1C2" w14:textId="77777777" w:rsidR="00DF7F38" w:rsidRPr="001B4CA2" w:rsidRDefault="00DF7F38" w:rsidP="006D0A51">
            <w:pPr>
              <w:jc w:val="center"/>
              <w:rPr>
                <w:color w:val="000000"/>
                <w:sz w:val="18"/>
                <w:szCs w:val="18"/>
              </w:rPr>
            </w:pPr>
            <w:r w:rsidRPr="001B4CA2">
              <w:rPr>
                <w:color w:val="000000"/>
                <w:sz w:val="18"/>
                <w:szCs w:val="18"/>
              </w:rPr>
              <w:t>24,7</w:t>
            </w:r>
          </w:p>
        </w:tc>
      </w:tr>
    </w:tbl>
    <w:p w14:paraId="510327C1" w14:textId="3DD52273" w:rsidR="00DF7F38" w:rsidRPr="001B4CA2" w:rsidRDefault="00DF7F38" w:rsidP="00DF7F38">
      <w:pPr>
        <w:ind w:firstLine="708"/>
      </w:pPr>
      <w:r w:rsidRPr="001B4CA2">
        <w:lastRenderedPageBreak/>
        <w:t>Podatci iz tablice pokazuju da je stopa ažurnosti u 2022. usprkos specifičnostima i složenosti predmeta iz nadležnosti USKOK-a</w:t>
      </w:r>
      <w:r w:rsidR="001B4CA2">
        <w:t xml:space="preserve"> </w:t>
      </w:r>
      <w:r w:rsidRPr="001B4CA2">
        <w:t>te usprkos značajnom povećanju broja rasprava i ročišta i dalje na visokoj razini od 95 %.</w:t>
      </w:r>
    </w:p>
    <w:p w14:paraId="7A14B947" w14:textId="77777777" w:rsidR="009B6B3E" w:rsidRPr="001B4CA2" w:rsidRDefault="009B6B3E" w:rsidP="00C7524F"/>
    <w:p w14:paraId="6DFC8676" w14:textId="1C6A332A" w:rsidR="00BB4D48" w:rsidRPr="001B4CA2" w:rsidRDefault="00BB4D48" w:rsidP="003D6B39">
      <w:pPr>
        <w:pStyle w:val="Naslov3"/>
        <w:rPr>
          <w:rFonts w:ascii="Arial" w:hAnsi="Arial" w:cs="Arial"/>
        </w:rPr>
      </w:pPr>
      <w:bookmarkStart w:id="21" w:name="_Toc133394284"/>
      <w:r w:rsidRPr="001B4CA2">
        <w:rPr>
          <w:rFonts w:ascii="Arial" w:hAnsi="Arial" w:cs="Arial"/>
        </w:rPr>
        <w:t>Pregled</w:t>
      </w:r>
      <w:r w:rsidR="00D80F32" w:rsidRPr="001B4CA2">
        <w:rPr>
          <w:rFonts w:ascii="Arial" w:hAnsi="Arial" w:cs="Arial"/>
        </w:rPr>
        <w:t xml:space="preserve"> kretanja predmeta za </w:t>
      </w:r>
      <w:r w:rsidR="00AF2EE0" w:rsidRPr="001B4CA2">
        <w:rPr>
          <w:rFonts w:ascii="Arial" w:hAnsi="Arial" w:cs="Arial"/>
        </w:rPr>
        <w:t>202</w:t>
      </w:r>
      <w:r w:rsidR="00DF7F38" w:rsidRPr="001B4CA2">
        <w:rPr>
          <w:rFonts w:ascii="Arial" w:hAnsi="Arial" w:cs="Arial"/>
        </w:rPr>
        <w:t>2</w:t>
      </w:r>
      <w:r w:rsidRPr="001B4CA2">
        <w:rPr>
          <w:rFonts w:ascii="Arial" w:hAnsi="Arial" w:cs="Arial"/>
        </w:rPr>
        <w:t>. godinu s poka</w:t>
      </w:r>
      <w:r w:rsidR="00197521" w:rsidRPr="001B4CA2">
        <w:rPr>
          <w:rFonts w:ascii="Arial" w:hAnsi="Arial" w:cs="Arial"/>
        </w:rPr>
        <w:t>zateljima po vrstama predmeta</w:t>
      </w:r>
      <w:bookmarkEnd w:id="21"/>
    </w:p>
    <w:p w14:paraId="5883B32D" w14:textId="77777777" w:rsidR="00C7524F" w:rsidRPr="001B4CA2" w:rsidRDefault="00C7524F" w:rsidP="00886E1C"/>
    <w:p w14:paraId="08B195E3" w14:textId="10FC2163" w:rsidR="00DF7F38" w:rsidRPr="001B4CA2" w:rsidRDefault="000169EF" w:rsidP="00DF7F38">
      <w:pPr>
        <w:rPr>
          <w:i/>
        </w:rPr>
      </w:pPr>
      <w:r>
        <w:rPr>
          <w:i/>
        </w:rPr>
        <w:t xml:space="preserve">   </w:t>
      </w:r>
      <w:r w:rsidR="00FD08E9">
        <w:rPr>
          <w:i/>
        </w:rPr>
        <w:t xml:space="preserve"> </w:t>
      </w:r>
      <w:r w:rsidR="00DF7F38" w:rsidRPr="001B4CA2">
        <w:rPr>
          <w:i/>
        </w:rPr>
        <w:t>Pregled kretanja uskočkih predmeta po vrstama predmeta s indikatorima</w:t>
      </w:r>
    </w:p>
    <w:tbl>
      <w:tblPr>
        <w:tblW w:w="473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1099"/>
        <w:gridCol w:w="991"/>
        <w:gridCol w:w="1206"/>
        <w:gridCol w:w="831"/>
        <w:gridCol w:w="993"/>
      </w:tblGrid>
      <w:tr w:rsidR="00DF7F38" w:rsidRPr="001B4CA2" w14:paraId="41C7A5D4" w14:textId="77777777" w:rsidTr="000169EF">
        <w:trPr>
          <w:trHeight w:val="300"/>
        </w:trPr>
        <w:tc>
          <w:tcPr>
            <w:tcW w:w="2087" w:type="pct"/>
            <w:vMerge w:val="restart"/>
            <w:shd w:val="clear" w:color="auto" w:fill="99CCFF"/>
            <w:noWrap/>
            <w:vAlign w:val="center"/>
            <w:hideMark/>
          </w:tcPr>
          <w:p w14:paraId="1FCFD2B9"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Vrsta predmeta</w:t>
            </w:r>
          </w:p>
        </w:tc>
        <w:tc>
          <w:tcPr>
            <w:tcW w:w="1875" w:type="pct"/>
            <w:gridSpan w:val="3"/>
            <w:shd w:val="clear" w:color="auto" w:fill="99CCFF"/>
            <w:noWrap/>
            <w:vAlign w:val="center"/>
            <w:hideMark/>
          </w:tcPr>
          <w:p w14:paraId="02D3D1F6"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Kretanje predmeta u 2022. godini</w:t>
            </w:r>
          </w:p>
        </w:tc>
        <w:tc>
          <w:tcPr>
            <w:tcW w:w="473" w:type="pct"/>
            <w:vMerge w:val="restart"/>
            <w:shd w:val="clear" w:color="auto" w:fill="99CCFF"/>
            <w:noWrap/>
            <w:vAlign w:val="center"/>
            <w:hideMark/>
          </w:tcPr>
          <w:p w14:paraId="132A7A2D"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564" w:type="pct"/>
            <w:vMerge w:val="restart"/>
            <w:shd w:val="clear" w:color="auto" w:fill="99CCFF"/>
            <w:noWrap/>
            <w:vAlign w:val="center"/>
            <w:hideMark/>
          </w:tcPr>
          <w:p w14:paraId="5F9DBF7A"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DT</w:t>
            </w:r>
          </w:p>
        </w:tc>
      </w:tr>
      <w:tr w:rsidR="00DF7F38" w:rsidRPr="001B4CA2" w14:paraId="4D9E02FC" w14:textId="77777777" w:rsidTr="000169EF">
        <w:trPr>
          <w:trHeight w:val="300"/>
        </w:trPr>
        <w:tc>
          <w:tcPr>
            <w:tcW w:w="2087" w:type="pct"/>
            <w:vMerge/>
            <w:vAlign w:val="center"/>
            <w:hideMark/>
          </w:tcPr>
          <w:p w14:paraId="23318F2F" w14:textId="77777777" w:rsidR="00DF7F38" w:rsidRPr="001B4CA2" w:rsidRDefault="00DF7F38" w:rsidP="006D0A51">
            <w:pPr>
              <w:jc w:val="left"/>
              <w:rPr>
                <w:rFonts w:eastAsia="Times New Roman"/>
                <w:b/>
                <w:bCs/>
                <w:sz w:val="18"/>
                <w:szCs w:val="18"/>
                <w:lang w:eastAsia="hr-HR"/>
              </w:rPr>
            </w:pPr>
          </w:p>
        </w:tc>
        <w:tc>
          <w:tcPr>
            <w:tcW w:w="625" w:type="pct"/>
            <w:shd w:val="clear" w:color="auto" w:fill="99CCFF"/>
            <w:noWrap/>
            <w:vAlign w:val="center"/>
            <w:hideMark/>
          </w:tcPr>
          <w:p w14:paraId="3F4EB765"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Primljeno</w:t>
            </w:r>
          </w:p>
        </w:tc>
        <w:tc>
          <w:tcPr>
            <w:tcW w:w="564" w:type="pct"/>
            <w:shd w:val="clear" w:color="auto" w:fill="99CCFF"/>
            <w:noWrap/>
            <w:vAlign w:val="center"/>
            <w:hideMark/>
          </w:tcPr>
          <w:p w14:paraId="49DE75CF"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Riješeno</w:t>
            </w:r>
          </w:p>
        </w:tc>
        <w:tc>
          <w:tcPr>
            <w:tcW w:w="686" w:type="pct"/>
            <w:shd w:val="clear" w:color="auto" w:fill="99CCFF"/>
            <w:noWrap/>
            <w:vAlign w:val="center"/>
            <w:hideMark/>
          </w:tcPr>
          <w:p w14:paraId="765A510D"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Neriješeno</w:t>
            </w:r>
          </w:p>
        </w:tc>
        <w:tc>
          <w:tcPr>
            <w:tcW w:w="473" w:type="pct"/>
            <w:vMerge/>
            <w:vAlign w:val="center"/>
            <w:hideMark/>
          </w:tcPr>
          <w:p w14:paraId="01E44B2D" w14:textId="77777777" w:rsidR="00DF7F38" w:rsidRPr="001B4CA2" w:rsidRDefault="00DF7F38" w:rsidP="006D0A51">
            <w:pPr>
              <w:jc w:val="left"/>
              <w:rPr>
                <w:rFonts w:eastAsia="Times New Roman"/>
                <w:b/>
                <w:bCs/>
                <w:sz w:val="18"/>
                <w:szCs w:val="18"/>
                <w:lang w:eastAsia="hr-HR"/>
              </w:rPr>
            </w:pPr>
          </w:p>
        </w:tc>
        <w:tc>
          <w:tcPr>
            <w:tcW w:w="564" w:type="pct"/>
            <w:vMerge/>
            <w:vAlign w:val="center"/>
            <w:hideMark/>
          </w:tcPr>
          <w:p w14:paraId="2E249CBE" w14:textId="77777777" w:rsidR="00DF7F38" w:rsidRPr="001B4CA2" w:rsidRDefault="00DF7F38" w:rsidP="006D0A51">
            <w:pPr>
              <w:jc w:val="left"/>
              <w:rPr>
                <w:rFonts w:eastAsia="Times New Roman"/>
                <w:b/>
                <w:bCs/>
                <w:sz w:val="18"/>
                <w:szCs w:val="18"/>
                <w:lang w:eastAsia="hr-HR"/>
              </w:rPr>
            </w:pPr>
          </w:p>
        </w:tc>
      </w:tr>
      <w:tr w:rsidR="00DF7F38" w:rsidRPr="001B4CA2" w14:paraId="188109AE" w14:textId="77777777" w:rsidTr="000169EF">
        <w:trPr>
          <w:trHeight w:val="300"/>
        </w:trPr>
        <w:tc>
          <w:tcPr>
            <w:tcW w:w="5000" w:type="pct"/>
            <w:gridSpan w:val="6"/>
            <w:shd w:val="clear" w:color="auto" w:fill="auto"/>
            <w:noWrap/>
            <w:vAlign w:val="center"/>
            <w:hideMark/>
          </w:tcPr>
          <w:p w14:paraId="41E565D9"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Kazneni predmeti</w:t>
            </w:r>
          </w:p>
        </w:tc>
      </w:tr>
      <w:tr w:rsidR="00DF7F38" w:rsidRPr="001B4CA2" w14:paraId="1D7680AB" w14:textId="77777777" w:rsidTr="000169EF">
        <w:trPr>
          <w:trHeight w:val="300"/>
        </w:trPr>
        <w:tc>
          <w:tcPr>
            <w:tcW w:w="2087" w:type="pct"/>
            <w:shd w:val="clear" w:color="auto" w:fill="auto"/>
            <w:noWrap/>
            <w:vAlign w:val="center"/>
            <w:hideMark/>
          </w:tcPr>
          <w:p w14:paraId="295D1581" w14:textId="77777777" w:rsidR="00DF7F38" w:rsidRPr="001B4CA2" w:rsidRDefault="00DF7F38" w:rsidP="006D0A51">
            <w:pPr>
              <w:jc w:val="left"/>
              <w:rPr>
                <w:rFonts w:eastAsia="Times New Roman"/>
                <w:sz w:val="18"/>
                <w:szCs w:val="18"/>
                <w:lang w:eastAsia="hr-HR"/>
              </w:rPr>
            </w:pPr>
            <w:r w:rsidRPr="001B4CA2">
              <w:rPr>
                <w:rFonts w:eastAsia="Times New Roman"/>
                <w:sz w:val="18"/>
                <w:szCs w:val="18"/>
                <w:lang w:eastAsia="hr-HR"/>
              </w:rPr>
              <w:t xml:space="preserve">Upisnici kaznenih prijava (KP-US, </w:t>
            </w:r>
            <w:proofErr w:type="spellStart"/>
            <w:r w:rsidRPr="001B4CA2">
              <w:rPr>
                <w:rFonts w:eastAsia="Times New Roman"/>
                <w:sz w:val="18"/>
                <w:szCs w:val="18"/>
                <w:lang w:eastAsia="hr-HR"/>
              </w:rPr>
              <w:t>KPn</w:t>
            </w:r>
            <w:proofErr w:type="spellEnd"/>
            <w:r w:rsidRPr="001B4CA2">
              <w:rPr>
                <w:rFonts w:eastAsia="Times New Roman"/>
                <w:sz w:val="18"/>
                <w:szCs w:val="18"/>
                <w:lang w:eastAsia="hr-HR"/>
              </w:rPr>
              <w:t>-US)</w:t>
            </w:r>
          </w:p>
        </w:tc>
        <w:tc>
          <w:tcPr>
            <w:tcW w:w="625" w:type="pct"/>
            <w:shd w:val="clear" w:color="auto" w:fill="auto"/>
            <w:noWrap/>
            <w:vAlign w:val="center"/>
          </w:tcPr>
          <w:p w14:paraId="730EBFAA" w14:textId="77777777" w:rsidR="00DF7F38" w:rsidRPr="001B4CA2" w:rsidRDefault="00DF7F38" w:rsidP="006D0A51">
            <w:pPr>
              <w:jc w:val="center"/>
              <w:rPr>
                <w:color w:val="000000"/>
                <w:sz w:val="18"/>
                <w:szCs w:val="18"/>
              </w:rPr>
            </w:pPr>
            <w:r w:rsidRPr="001B4CA2">
              <w:rPr>
                <w:color w:val="000000"/>
                <w:sz w:val="18"/>
                <w:szCs w:val="18"/>
              </w:rPr>
              <w:t>486</w:t>
            </w:r>
          </w:p>
        </w:tc>
        <w:tc>
          <w:tcPr>
            <w:tcW w:w="564" w:type="pct"/>
            <w:shd w:val="clear" w:color="auto" w:fill="auto"/>
            <w:noWrap/>
            <w:vAlign w:val="center"/>
          </w:tcPr>
          <w:p w14:paraId="17DBD9BE" w14:textId="77777777" w:rsidR="00DF7F38" w:rsidRPr="001B4CA2" w:rsidRDefault="00DF7F38" w:rsidP="006D0A51">
            <w:pPr>
              <w:jc w:val="center"/>
              <w:rPr>
                <w:color w:val="000000"/>
                <w:sz w:val="18"/>
                <w:szCs w:val="18"/>
              </w:rPr>
            </w:pPr>
            <w:r w:rsidRPr="001B4CA2">
              <w:rPr>
                <w:color w:val="000000"/>
                <w:sz w:val="18"/>
                <w:szCs w:val="18"/>
              </w:rPr>
              <w:t>483</w:t>
            </w:r>
          </w:p>
        </w:tc>
        <w:tc>
          <w:tcPr>
            <w:tcW w:w="686" w:type="pct"/>
            <w:shd w:val="clear" w:color="auto" w:fill="auto"/>
            <w:noWrap/>
            <w:vAlign w:val="center"/>
          </w:tcPr>
          <w:p w14:paraId="683D0099" w14:textId="77777777" w:rsidR="00DF7F38" w:rsidRPr="001B4CA2" w:rsidRDefault="00DF7F38" w:rsidP="006D0A51">
            <w:pPr>
              <w:jc w:val="center"/>
              <w:rPr>
                <w:color w:val="000000"/>
                <w:sz w:val="18"/>
                <w:szCs w:val="18"/>
              </w:rPr>
            </w:pPr>
            <w:r w:rsidRPr="001B4CA2">
              <w:rPr>
                <w:color w:val="000000"/>
                <w:sz w:val="18"/>
                <w:szCs w:val="18"/>
              </w:rPr>
              <w:t>5</w:t>
            </w:r>
          </w:p>
        </w:tc>
        <w:tc>
          <w:tcPr>
            <w:tcW w:w="473" w:type="pct"/>
            <w:shd w:val="clear" w:color="auto" w:fill="auto"/>
            <w:noWrap/>
            <w:vAlign w:val="center"/>
          </w:tcPr>
          <w:p w14:paraId="074CDEBA" w14:textId="77777777" w:rsidR="00DF7F38" w:rsidRPr="001B4CA2" w:rsidRDefault="00DF7F38" w:rsidP="006D0A51">
            <w:pPr>
              <w:jc w:val="center"/>
              <w:rPr>
                <w:color w:val="000000"/>
                <w:sz w:val="18"/>
                <w:szCs w:val="18"/>
              </w:rPr>
            </w:pPr>
            <w:r w:rsidRPr="001B4CA2">
              <w:rPr>
                <w:color w:val="000000"/>
                <w:sz w:val="18"/>
                <w:szCs w:val="18"/>
              </w:rPr>
              <w:t>99%</w:t>
            </w:r>
          </w:p>
        </w:tc>
        <w:tc>
          <w:tcPr>
            <w:tcW w:w="564" w:type="pct"/>
            <w:shd w:val="clear" w:color="auto" w:fill="auto"/>
            <w:noWrap/>
            <w:vAlign w:val="center"/>
          </w:tcPr>
          <w:p w14:paraId="2B0943B0" w14:textId="77777777" w:rsidR="00DF7F38" w:rsidRPr="001B4CA2" w:rsidRDefault="00DF7F38" w:rsidP="006D0A51">
            <w:pPr>
              <w:jc w:val="center"/>
              <w:rPr>
                <w:color w:val="000000"/>
                <w:sz w:val="18"/>
                <w:szCs w:val="18"/>
              </w:rPr>
            </w:pPr>
            <w:r w:rsidRPr="001B4CA2">
              <w:rPr>
                <w:color w:val="000000"/>
                <w:sz w:val="18"/>
                <w:szCs w:val="18"/>
              </w:rPr>
              <w:t>3,8</w:t>
            </w:r>
          </w:p>
        </w:tc>
      </w:tr>
      <w:tr w:rsidR="00DF7F38" w:rsidRPr="001B4CA2" w14:paraId="13B01C23" w14:textId="77777777" w:rsidTr="000169EF">
        <w:trPr>
          <w:trHeight w:val="300"/>
        </w:trPr>
        <w:tc>
          <w:tcPr>
            <w:tcW w:w="2087" w:type="pct"/>
            <w:shd w:val="clear" w:color="auto" w:fill="auto"/>
            <w:noWrap/>
            <w:vAlign w:val="center"/>
            <w:hideMark/>
          </w:tcPr>
          <w:p w14:paraId="6632EFC5" w14:textId="77777777" w:rsidR="00DF7F38" w:rsidRPr="001B4CA2" w:rsidRDefault="00DF7F38" w:rsidP="006D0A51">
            <w:pPr>
              <w:jc w:val="left"/>
              <w:rPr>
                <w:rFonts w:eastAsia="Times New Roman"/>
                <w:sz w:val="18"/>
                <w:szCs w:val="18"/>
                <w:lang w:eastAsia="hr-HR"/>
              </w:rPr>
            </w:pPr>
            <w:r w:rsidRPr="001B4CA2">
              <w:rPr>
                <w:rFonts w:eastAsia="Times New Roman"/>
                <w:sz w:val="18"/>
                <w:szCs w:val="18"/>
                <w:lang w:eastAsia="hr-HR"/>
              </w:rPr>
              <w:t xml:space="preserve">Upisnici istraga (Kis-US, </w:t>
            </w:r>
            <w:proofErr w:type="spellStart"/>
            <w:r w:rsidRPr="001B4CA2">
              <w:rPr>
                <w:rFonts w:eastAsia="Times New Roman"/>
                <w:sz w:val="18"/>
                <w:szCs w:val="18"/>
                <w:lang w:eastAsia="hr-HR"/>
              </w:rPr>
              <w:t>Kdr</w:t>
            </w:r>
            <w:proofErr w:type="spellEnd"/>
            <w:r w:rsidRPr="001B4CA2">
              <w:rPr>
                <w:rFonts w:eastAsia="Times New Roman"/>
                <w:sz w:val="18"/>
                <w:szCs w:val="18"/>
                <w:lang w:eastAsia="hr-HR"/>
              </w:rPr>
              <w:t>-US)</w:t>
            </w:r>
          </w:p>
        </w:tc>
        <w:tc>
          <w:tcPr>
            <w:tcW w:w="625" w:type="pct"/>
            <w:shd w:val="clear" w:color="auto" w:fill="auto"/>
            <w:noWrap/>
            <w:vAlign w:val="center"/>
          </w:tcPr>
          <w:p w14:paraId="4B2535A1" w14:textId="77777777" w:rsidR="00DF7F38" w:rsidRPr="001B4CA2" w:rsidRDefault="00DF7F38" w:rsidP="006D0A51">
            <w:pPr>
              <w:jc w:val="center"/>
              <w:rPr>
                <w:color w:val="000000"/>
                <w:sz w:val="18"/>
                <w:szCs w:val="18"/>
              </w:rPr>
            </w:pPr>
            <w:r w:rsidRPr="001B4CA2">
              <w:rPr>
                <w:color w:val="000000"/>
                <w:sz w:val="18"/>
                <w:szCs w:val="18"/>
              </w:rPr>
              <w:t>521</w:t>
            </w:r>
          </w:p>
        </w:tc>
        <w:tc>
          <w:tcPr>
            <w:tcW w:w="564" w:type="pct"/>
            <w:shd w:val="clear" w:color="auto" w:fill="auto"/>
            <w:noWrap/>
            <w:vAlign w:val="center"/>
          </w:tcPr>
          <w:p w14:paraId="6D872BE4" w14:textId="77777777" w:rsidR="00DF7F38" w:rsidRPr="001B4CA2" w:rsidRDefault="00DF7F38" w:rsidP="006D0A51">
            <w:pPr>
              <w:jc w:val="center"/>
              <w:rPr>
                <w:color w:val="000000"/>
                <w:sz w:val="18"/>
                <w:szCs w:val="18"/>
              </w:rPr>
            </w:pPr>
            <w:r w:rsidRPr="001B4CA2">
              <w:rPr>
                <w:color w:val="000000"/>
                <w:sz w:val="18"/>
                <w:szCs w:val="18"/>
              </w:rPr>
              <w:t>523</w:t>
            </w:r>
          </w:p>
        </w:tc>
        <w:tc>
          <w:tcPr>
            <w:tcW w:w="686" w:type="pct"/>
            <w:shd w:val="clear" w:color="auto" w:fill="auto"/>
            <w:noWrap/>
            <w:vAlign w:val="center"/>
          </w:tcPr>
          <w:p w14:paraId="75ABB1D3" w14:textId="77777777" w:rsidR="00DF7F38" w:rsidRPr="001B4CA2" w:rsidRDefault="00DF7F38" w:rsidP="006D0A51">
            <w:pPr>
              <w:jc w:val="center"/>
              <w:rPr>
                <w:color w:val="000000"/>
                <w:sz w:val="18"/>
                <w:szCs w:val="18"/>
              </w:rPr>
            </w:pPr>
            <w:r w:rsidRPr="001B4CA2">
              <w:rPr>
                <w:color w:val="000000"/>
                <w:sz w:val="18"/>
                <w:szCs w:val="18"/>
              </w:rPr>
              <w:t>53</w:t>
            </w:r>
          </w:p>
        </w:tc>
        <w:tc>
          <w:tcPr>
            <w:tcW w:w="473" w:type="pct"/>
            <w:shd w:val="clear" w:color="auto" w:fill="auto"/>
            <w:noWrap/>
            <w:vAlign w:val="center"/>
          </w:tcPr>
          <w:p w14:paraId="56D1F059" w14:textId="77777777" w:rsidR="00DF7F38" w:rsidRPr="001B4CA2" w:rsidRDefault="00DF7F38" w:rsidP="006D0A51">
            <w:pPr>
              <w:jc w:val="center"/>
              <w:rPr>
                <w:color w:val="000000"/>
                <w:sz w:val="18"/>
                <w:szCs w:val="18"/>
              </w:rPr>
            </w:pPr>
            <w:r w:rsidRPr="001B4CA2">
              <w:rPr>
                <w:color w:val="000000"/>
                <w:sz w:val="18"/>
                <w:szCs w:val="18"/>
              </w:rPr>
              <w:t>100%</w:t>
            </w:r>
          </w:p>
        </w:tc>
        <w:tc>
          <w:tcPr>
            <w:tcW w:w="564" w:type="pct"/>
            <w:shd w:val="clear" w:color="auto" w:fill="auto"/>
            <w:noWrap/>
            <w:vAlign w:val="center"/>
          </w:tcPr>
          <w:p w14:paraId="4EFE7A8C" w14:textId="77777777" w:rsidR="00DF7F38" w:rsidRPr="001B4CA2" w:rsidRDefault="00DF7F38" w:rsidP="006D0A51">
            <w:pPr>
              <w:jc w:val="center"/>
              <w:rPr>
                <w:color w:val="000000"/>
                <w:sz w:val="18"/>
                <w:szCs w:val="18"/>
              </w:rPr>
            </w:pPr>
            <w:r w:rsidRPr="001B4CA2">
              <w:rPr>
                <w:color w:val="000000"/>
                <w:sz w:val="18"/>
                <w:szCs w:val="18"/>
              </w:rPr>
              <w:t>37,0</w:t>
            </w:r>
          </w:p>
        </w:tc>
      </w:tr>
      <w:tr w:rsidR="00DF7F38" w:rsidRPr="001B4CA2" w14:paraId="037EA923" w14:textId="77777777" w:rsidTr="000169EF">
        <w:trPr>
          <w:trHeight w:val="300"/>
        </w:trPr>
        <w:tc>
          <w:tcPr>
            <w:tcW w:w="2087" w:type="pct"/>
            <w:shd w:val="clear" w:color="auto" w:fill="auto"/>
            <w:noWrap/>
            <w:vAlign w:val="center"/>
            <w:hideMark/>
          </w:tcPr>
          <w:p w14:paraId="663424EF" w14:textId="77777777" w:rsidR="00DF7F38" w:rsidRPr="001B4CA2" w:rsidRDefault="00DF7F38" w:rsidP="006D0A51">
            <w:pPr>
              <w:jc w:val="left"/>
              <w:rPr>
                <w:rFonts w:eastAsia="Times New Roman"/>
                <w:sz w:val="18"/>
                <w:szCs w:val="18"/>
                <w:lang w:eastAsia="hr-HR"/>
              </w:rPr>
            </w:pPr>
            <w:r w:rsidRPr="001B4CA2">
              <w:rPr>
                <w:rFonts w:eastAsia="Times New Roman"/>
                <w:sz w:val="18"/>
                <w:szCs w:val="18"/>
                <w:lang w:eastAsia="hr-HR"/>
              </w:rPr>
              <w:t>Drugi kazneni upisnici (</w:t>
            </w:r>
            <w:proofErr w:type="spellStart"/>
            <w:r w:rsidRPr="001B4CA2">
              <w:rPr>
                <w:rFonts w:eastAsia="Times New Roman"/>
                <w:sz w:val="18"/>
                <w:szCs w:val="18"/>
                <w:lang w:eastAsia="hr-HR"/>
              </w:rPr>
              <w:t>KMp</w:t>
            </w:r>
            <w:proofErr w:type="spellEnd"/>
            <w:r w:rsidRPr="001B4CA2">
              <w:rPr>
                <w:rFonts w:eastAsia="Times New Roman"/>
                <w:sz w:val="18"/>
                <w:szCs w:val="18"/>
                <w:lang w:eastAsia="hr-HR"/>
              </w:rPr>
              <w:t>-US, KR-US)</w:t>
            </w:r>
          </w:p>
        </w:tc>
        <w:tc>
          <w:tcPr>
            <w:tcW w:w="625" w:type="pct"/>
            <w:shd w:val="clear" w:color="auto" w:fill="auto"/>
            <w:noWrap/>
            <w:vAlign w:val="center"/>
          </w:tcPr>
          <w:p w14:paraId="7979C3D5" w14:textId="77777777" w:rsidR="00DF7F38" w:rsidRPr="001B4CA2" w:rsidRDefault="00DF7F38" w:rsidP="006D0A51">
            <w:pPr>
              <w:jc w:val="center"/>
              <w:rPr>
                <w:color w:val="000000"/>
                <w:sz w:val="18"/>
                <w:szCs w:val="18"/>
              </w:rPr>
            </w:pPr>
            <w:r w:rsidRPr="001B4CA2">
              <w:rPr>
                <w:color w:val="000000"/>
                <w:sz w:val="18"/>
                <w:szCs w:val="18"/>
              </w:rPr>
              <w:t>2.377</w:t>
            </w:r>
          </w:p>
        </w:tc>
        <w:tc>
          <w:tcPr>
            <w:tcW w:w="564" w:type="pct"/>
            <w:shd w:val="clear" w:color="auto" w:fill="auto"/>
            <w:noWrap/>
            <w:vAlign w:val="center"/>
          </w:tcPr>
          <w:p w14:paraId="4F5AA881" w14:textId="77777777" w:rsidR="00DF7F38" w:rsidRPr="001B4CA2" w:rsidRDefault="00DF7F38" w:rsidP="006D0A51">
            <w:pPr>
              <w:jc w:val="center"/>
              <w:rPr>
                <w:color w:val="000000"/>
                <w:sz w:val="18"/>
                <w:szCs w:val="18"/>
              </w:rPr>
            </w:pPr>
            <w:r w:rsidRPr="001B4CA2">
              <w:rPr>
                <w:color w:val="000000"/>
                <w:sz w:val="18"/>
                <w:szCs w:val="18"/>
              </w:rPr>
              <w:t>2.191</w:t>
            </w:r>
          </w:p>
        </w:tc>
        <w:tc>
          <w:tcPr>
            <w:tcW w:w="686" w:type="pct"/>
            <w:shd w:val="clear" w:color="auto" w:fill="auto"/>
            <w:noWrap/>
            <w:vAlign w:val="center"/>
          </w:tcPr>
          <w:p w14:paraId="63FF4CE1" w14:textId="77777777" w:rsidR="00DF7F38" w:rsidRPr="001B4CA2" w:rsidRDefault="00DF7F38" w:rsidP="006D0A51">
            <w:pPr>
              <w:jc w:val="center"/>
              <w:rPr>
                <w:color w:val="000000"/>
                <w:sz w:val="18"/>
                <w:szCs w:val="18"/>
              </w:rPr>
            </w:pPr>
            <w:r w:rsidRPr="001B4CA2">
              <w:rPr>
                <w:color w:val="000000"/>
                <w:sz w:val="18"/>
                <w:szCs w:val="18"/>
              </w:rPr>
              <w:t>814</w:t>
            </w:r>
          </w:p>
        </w:tc>
        <w:tc>
          <w:tcPr>
            <w:tcW w:w="473" w:type="pct"/>
            <w:shd w:val="clear" w:color="auto" w:fill="auto"/>
            <w:noWrap/>
            <w:vAlign w:val="center"/>
          </w:tcPr>
          <w:p w14:paraId="543542C8" w14:textId="77777777" w:rsidR="00DF7F38" w:rsidRPr="001B4CA2" w:rsidRDefault="00DF7F38" w:rsidP="006D0A51">
            <w:pPr>
              <w:jc w:val="center"/>
              <w:rPr>
                <w:color w:val="000000"/>
                <w:sz w:val="18"/>
                <w:szCs w:val="18"/>
              </w:rPr>
            </w:pPr>
            <w:r w:rsidRPr="001B4CA2">
              <w:rPr>
                <w:color w:val="000000"/>
                <w:sz w:val="18"/>
                <w:szCs w:val="18"/>
              </w:rPr>
              <w:t>92%</w:t>
            </w:r>
          </w:p>
        </w:tc>
        <w:tc>
          <w:tcPr>
            <w:tcW w:w="564" w:type="pct"/>
            <w:shd w:val="clear" w:color="auto" w:fill="auto"/>
            <w:noWrap/>
            <w:vAlign w:val="center"/>
          </w:tcPr>
          <w:p w14:paraId="1A4FD3D7" w14:textId="77777777" w:rsidR="00DF7F38" w:rsidRPr="001B4CA2" w:rsidRDefault="00DF7F38" w:rsidP="006D0A51">
            <w:pPr>
              <w:jc w:val="center"/>
              <w:rPr>
                <w:color w:val="000000"/>
                <w:sz w:val="18"/>
                <w:szCs w:val="18"/>
              </w:rPr>
            </w:pPr>
            <w:r w:rsidRPr="001B4CA2">
              <w:rPr>
                <w:color w:val="000000"/>
                <w:sz w:val="18"/>
                <w:szCs w:val="18"/>
              </w:rPr>
              <w:t>135,6</w:t>
            </w:r>
          </w:p>
        </w:tc>
      </w:tr>
      <w:tr w:rsidR="00DF7F38" w:rsidRPr="001B4CA2" w14:paraId="0D0F3A94" w14:textId="77777777" w:rsidTr="000169EF">
        <w:trPr>
          <w:trHeight w:val="300"/>
        </w:trPr>
        <w:tc>
          <w:tcPr>
            <w:tcW w:w="2087" w:type="pct"/>
            <w:shd w:val="clear" w:color="auto" w:fill="auto"/>
            <w:noWrap/>
            <w:vAlign w:val="center"/>
            <w:hideMark/>
          </w:tcPr>
          <w:p w14:paraId="2D2B68E0" w14:textId="77777777" w:rsidR="00DF7F38" w:rsidRPr="001B4CA2" w:rsidRDefault="00DF7F38" w:rsidP="006D0A51">
            <w:pPr>
              <w:jc w:val="left"/>
              <w:rPr>
                <w:rFonts w:eastAsia="Times New Roman"/>
                <w:sz w:val="18"/>
                <w:szCs w:val="18"/>
                <w:lang w:eastAsia="hr-HR"/>
              </w:rPr>
            </w:pPr>
            <w:r w:rsidRPr="001B4CA2">
              <w:rPr>
                <w:rFonts w:eastAsia="Times New Roman"/>
                <w:sz w:val="18"/>
                <w:szCs w:val="18"/>
                <w:lang w:eastAsia="hr-HR"/>
              </w:rPr>
              <w:t>Upisnici predmeta pred sudom (KO-US)</w:t>
            </w:r>
          </w:p>
        </w:tc>
        <w:tc>
          <w:tcPr>
            <w:tcW w:w="625" w:type="pct"/>
            <w:shd w:val="clear" w:color="auto" w:fill="auto"/>
            <w:noWrap/>
            <w:vAlign w:val="center"/>
          </w:tcPr>
          <w:p w14:paraId="756325F3" w14:textId="77777777" w:rsidR="00DF7F38" w:rsidRPr="001B4CA2" w:rsidRDefault="00DF7F38" w:rsidP="006D0A51">
            <w:pPr>
              <w:jc w:val="center"/>
              <w:rPr>
                <w:color w:val="000000"/>
                <w:sz w:val="18"/>
                <w:szCs w:val="18"/>
              </w:rPr>
            </w:pPr>
            <w:r w:rsidRPr="001B4CA2">
              <w:rPr>
                <w:color w:val="000000"/>
                <w:sz w:val="18"/>
                <w:szCs w:val="18"/>
              </w:rPr>
              <w:t>109</w:t>
            </w:r>
          </w:p>
        </w:tc>
        <w:tc>
          <w:tcPr>
            <w:tcW w:w="564" w:type="pct"/>
            <w:shd w:val="clear" w:color="auto" w:fill="auto"/>
            <w:noWrap/>
            <w:vAlign w:val="center"/>
          </w:tcPr>
          <w:p w14:paraId="77B3CD8A" w14:textId="77777777" w:rsidR="00DF7F38" w:rsidRPr="001B4CA2" w:rsidRDefault="00DF7F38" w:rsidP="006D0A51">
            <w:pPr>
              <w:jc w:val="center"/>
              <w:rPr>
                <w:color w:val="000000"/>
                <w:sz w:val="18"/>
                <w:szCs w:val="18"/>
              </w:rPr>
            </w:pPr>
            <w:r w:rsidRPr="001B4CA2">
              <w:rPr>
                <w:color w:val="000000"/>
                <w:sz w:val="18"/>
                <w:szCs w:val="18"/>
              </w:rPr>
              <w:t>109</w:t>
            </w:r>
          </w:p>
        </w:tc>
        <w:tc>
          <w:tcPr>
            <w:tcW w:w="686" w:type="pct"/>
            <w:shd w:val="clear" w:color="auto" w:fill="auto"/>
            <w:noWrap/>
            <w:vAlign w:val="center"/>
          </w:tcPr>
          <w:p w14:paraId="47E1277C" w14:textId="77777777" w:rsidR="00DF7F38" w:rsidRPr="001B4CA2" w:rsidRDefault="00DF7F38" w:rsidP="006D0A51">
            <w:pPr>
              <w:jc w:val="center"/>
              <w:rPr>
                <w:color w:val="000000"/>
                <w:sz w:val="18"/>
                <w:szCs w:val="18"/>
              </w:rPr>
            </w:pPr>
            <w:r w:rsidRPr="001B4CA2">
              <w:rPr>
                <w:color w:val="000000"/>
                <w:sz w:val="18"/>
                <w:szCs w:val="18"/>
              </w:rPr>
              <w:t>0</w:t>
            </w:r>
          </w:p>
        </w:tc>
        <w:tc>
          <w:tcPr>
            <w:tcW w:w="473" w:type="pct"/>
            <w:shd w:val="clear" w:color="auto" w:fill="auto"/>
            <w:noWrap/>
            <w:vAlign w:val="center"/>
          </w:tcPr>
          <w:p w14:paraId="23B49FBB" w14:textId="77777777" w:rsidR="00DF7F38" w:rsidRPr="001B4CA2" w:rsidRDefault="00DF7F38" w:rsidP="006D0A51">
            <w:pPr>
              <w:jc w:val="center"/>
              <w:rPr>
                <w:color w:val="000000"/>
                <w:sz w:val="18"/>
                <w:szCs w:val="18"/>
              </w:rPr>
            </w:pPr>
            <w:r w:rsidRPr="001B4CA2">
              <w:rPr>
                <w:color w:val="000000"/>
                <w:sz w:val="18"/>
                <w:szCs w:val="18"/>
              </w:rPr>
              <w:t> </w:t>
            </w:r>
          </w:p>
        </w:tc>
        <w:tc>
          <w:tcPr>
            <w:tcW w:w="564" w:type="pct"/>
            <w:shd w:val="clear" w:color="auto" w:fill="auto"/>
            <w:noWrap/>
            <w:vAlign w:val="center"/>
          </w:tcPr>
          <w:p w14:paraId="6360A10C" w14:textId="77777777" w:rsidR="00DF7F38" w:rsidRPr="001B4CA2" w:rsidRDefault="00DF7F38" w:rsidP="006D0A51">
            <w:pPr>
              <w:jc w:val="center"/>
              <w:rPr>
                <w:color w:val="000000"/>
                <w:sz w:val="18"/>
                <w:szCs w:val="18"/>
              </w:rPr>
            </w:pPr>
            <w:r w:rsidRPr="001B4CA2">
              <w:rPr>
                <w:color w:val="000000"/>
                <w:sz w:val="18"/>
                <w:szCs w:val="18"/>
              </w:rPr>
              <w:t> </w:t>
            </w:r>
          </w:p>
        </w:tc>
      </w:tr>
      <w:tr w:rsidR="00DF7F38" w:rsidRPr="001B4CA2" w14:paraId="57A58D99" w14:textId="77777777" w:rsidTr="000169EF">
        <w:trPr>
          <w:trHeight w:val="300"/>
        </w:trPr>
        <w:tc>
          <w:tcPr>
            <w:tcW w:w="2087" w:type="pct"/>
            <w:shd w:val="clear" w:color="auto" w:fill="auto"/>
            <w:noWrap/>
            <w:vAlign w:val="center"/>
            <w:hideMark/>
          </w:tcPr>
          <w:p w14:paraId="1C4704DA" w14:textId="77777777" w:rsidR="00DF7F38" w:rsidRPr="001B4CA2" w:rsidRDefault="00DF7F38" w:rsidP="006D0A51">
            <w:pPr>
              <w:jc w:val="left"/>
              <w:rPr>
                <w:rFonts w:eastAsia="Times New Roman"/>
                <w:b/>
                <w:bCs/>
                <w:sz w:val="18"/>
                <w:szCs w:val="18"/>
                <w:lang w:eastAsia="hr-HR"/>
              </w:rPr>
            </w:pPr>
            <w:r w:rsidRPr="001B4CA2">
              <w:rPr>
                <w:rFonts w:eastAsia="Times New Roman"/>
                <w:b/>
                <w:bCs/>
                <w:sz w:val="18"/>
                <w:szCs w:val="18"/>
                <w:lang w:eastAsia="hr-HR"/>
              </w:rPr>
              <w:t>UKUPNO</w:t>
            </w:r>
          </w:p>
        </w:tc>
        <w:tc>
          <w:tcPr>
            <w:tcW w:w="625" w:type="pct"/>
            <w:shd w:val="clear" w:color="auto" w:fill="auto"/>
            <w:noWrap/>
            <w:vAlign w:val="center"/>
          </w:tcPr>
          <w:p w14:paraId="6B91E4CD" w14:textId="77777777" w:rsidR="00DF7F38" w:rsidRPr="001B4CA2" w:rsidRDefault="00DF7F38" w:rsidP="006D0A51">
            <w:pPr>
              <w:jc w:val="center"/>
              <w:rPr>
                <w:color w:val="000000"/>
                <w:sz w:val="18"/>
                <w:szCs w:val="18"/>
              </w:rPr>
            </w:pPr>
            <w:r w:rsidRPr="001B4CA2">
              <w:rPr>
                <w:color w:val="000000"/>
                <w:sz w:val="18"/>
                <w:szCs w:val="18"/>
              </w:rPr>
              <w:t>3.493</w:t>
            </w:r>
          </w:p>
        </w:tc>
        <w:tc>
          <w:tcPr>
            <w:tcW w:w="564" w:type="pct"/>
            <w:shd w:val="clear" w:color="auto" w:fill="auto"/>
            <w:noWrap/>
            <w:vAlign w:val="center"/>
          </w:tcPr>
          <w:p w14:paraId="570382DC" w14:textId="77777777" w:rsidR="00DF7F38" w:rsidRPr="001B4CA2" w:rsidRDefault="00DF7F38" w:rsidP="006D0A51">
            <w:pPr>
              <w:jc w:val="center"/>
              <w:rPr>
                <w:color w:val="000000"/>
                <w:sz w:val="18"/>
                <w:szCs w:val="18"/>
              </w:rPr>
            </w:pPr>
            <w:r w:rsidRPr="001B4CA2">
              <w:rPr>
                <w:color w:val="000000"/>
                <w:sz w:val="18"/>
                <w:szCs w:val="18"/>
              </w:rPr>
              <w:t>3.306</w:t>
            </w:r>
          </w:p>
        </w:tc>
        <w:tc>
          <w:tcPr>
            <w:tcW w:w="686" w:type="pct"/>
            <w:shd w:val="clear" w:color="auto" w:fill="auto"/>
            <w:noWrap/>
            <w:vAlign w:val="center"/>
          </w:tcPr>
          <w:p w14:paraId="3CC00B76" w14:textId="77777777" w:rsidR="00DF7F38" w:rsidRPr="001B4CA2" w:rsidRDefault="00DF7F38" w:rsidP="006D0A51">
            <w:pPr>
              <w:jc w:val="center"/>
              <w:rPr>
                <w:color w:val="000000"/>
                <w:sz w:val="18"/>
                <w:szCs w:val="18"/>
              </w:rPr>
            </w:pPr>
            <w:r w:rsidRPr="001B4CA2">
              <w:rPr>
                <w:color w:val="000000"/>
                <w:sz w:val="18"/>
                <w:szCs w:val="18"/>
              </w:rPr>
              <w:t>872</w:t>
            </w:r>
          </w:p>
        </w:tc>
        <w:tc>
          <w:tcPr>
            <w:tcW w:w="473" w:type="pct"/>
            <w:shd w:val="clear" w:color="auto" w:fill="auto"/>
            <w:noWrap/>
            <w:vAlign w:val="center"/>
          </w:tcPr>
          <w:p w14:paraId="2E848A08" w14:textId="77777777" w:rsidR="00DF7F38" w:rsidRPr="001B4CA2" w:rsidRDefault="00DF7F38" w:rsidP="006D0A51">
            <w:pPr>
              <w:jc w:val="center"/>
              <w:rPr>
                <w:color w:val="000000"/>
                <w:sz w:val="18"/>
                <w:szCs w:val="18"/>
              </w:rPr>
            </w:pPr>
            <w:r w:rsidRPr="001B4CA2">
              <w:rPr>
                <w:color w:val="000000"/>
                <w:sz w:val="18"/>
                <w:szCs w:val="18"/>
              </w:rPr>
              <w:t>95%</w:t>
            </w:r>
          </w:p>
        </w:tc>
        <w:tc>
          <w:tcPr>
            <w:tcW w:w="564" w:type="pct"/>
            <w:shd w:val="clear" w:color="auto" w:fill="auto"/>
            <w:noWrap/>
            <w:vAlign w:val="center"/>
          </w:tcPr>
          <w:p w14:paraId="2DB0186B" w14:textId="77777777" w:rsidR="00DF7F38" w:rsidRPr="001B4CA2" w:rsidRDefault="00DF7F38" w:rsidP="006D0A51">
            <w:pPr>
              <w:jc w:val="center"/>
              <w:rPr>
                <w:color w:val="000000"/>
                <w:sz w:val="18"/>
                <w:szCs w:val="18"/>
              </w:rPr>
            </w:pPr>
            <w:r w:rsidRPr="001B4CA2">
              <w:rPr>
                <w:color w:val="000000"/>
                <w:sz w:val="18"/>
                <w:szCs w:val="18"/>
              </w:rPr>
              <w:t>96,3</w:t>
            </w:r>
          </w:p>
        </w:tc>
      </w:tr>
    </w:tbl>
    <w:p w14:paraId="0536006D" w14:textId="77777777" w:rsidR="00DF7F38" w:rsidRPr="001B4CA2" w:rsidRDefault="00DF7F38" w:rsidP="00DF7F38"/>
    <w:p w14:paraId="35622147" w14:textId="75239D97" w:rsidR="003B5BDB" w:rsidRPr="001B4CA2" w:rsidRDefault="00DF7F38" w:rsidP="00DF7F38">
      <w:r w:rsidRPr="001B4CA2">
        <w:tab/>
        <w:t>U radu USKOK-a najveći je broj raznih kaznenih predmeta i predmeta kaznenih prijava protiv poznatih punoljetnih i pravnih osoba.</w:t>
      </w:r>
      <w:r w:rsidR="001B4CA2">
        <w:t xml:space="preserve"> </w:t>
      </w:r>
      <w:r w:rsidRPr="001B4CA2">
        <w:t>Stopu ažurnosti od 92</w:t>
      </w:r>
      <w:r w:rsidR="00A804EF">
        <w:t> </w:t>
      </w:r>
      <w:r w:rsidRPr="001B4CA2">
        <w:t xml:space="preserve">% u predmetima iz upisnika KR-US i </w:t>
      </w:r>
      <w:proofErr w:type="spellStart"/>
      <w:r w:rsidRPr="001B4CA2">
        <w:t>KMp</w:t>
      </w:r>
      <w:proofErr w:type="spellEnd"/>
      <w:r w:rsidRPr="001B4CA2">
        <w:t>-US</w:t>
      </w:r>
      <w:r w:rsidR="001B4CA2">
        <w:t xml:space="preserve"> </w:t>
      </w:r>
      <w:r w:rsidRPr="001B4CA2">
        <w:t xml:space="preserve">valja sagledavati u povezanosti s činjenicom da se predmeti iz </w:t>
      </w:r>
      <w:proofErr w:type="spellStart"/>
      <w:r w:rsidRPr="001B4CA2">
        <w:t>KMp</w:t>
      </w:r>
      <w:proofErr w:type="spellEnd"/>
      <w:r w:rsidRPr="001B4CA2">
        <w:t>-US upisnika</w:t>
      </w:r>
      <w:r w:rsidR="001B4CA2">
        <w:t xml:space="preserve"> </w:t>
      </w:r>
      <w:r w:rsidRPr="001B4CA2">
        <w:t>odnose</w:t>
      </w:r>
      <w:r w:rsidR="001B4CA2">
        <w:t xml:space="preserve"> </w:t>
      </w:r>
      <w:r w:rsidRPr="001B4CA2">
        <w:t xml:space="preserve">na međunarodnu pravnu pomoć, </w:t>
      </w:r>
      <w:r w:rsidR="00A804EF">
        <w:t>pri čemu</w:t>
      </w:r>
      <w:r w:rsidRPr="001B4CA2">
        <w:t xml:space="preserve"> USKOK ne može utjecati na brzinu dostavljanja traženih podataka potrebnih za donošenje odluke od drugih nadležnih tijela izvan Republike Hrvatske.</w:t>
      </w:r>
    </w:p>
    <w:p w14:paraId="36FC6819" w14:textId="77777777" w:rsidR="00DF7F38" w:rsidRPr="001B4CA2" w:rsidRDefault="00DF7F38" w:rsidP="00DF7F38"/>
    <w:p w14:paraId="44D2EAC6" w14:textId="4776527B" w:rsidR="00BB4D48" w:rsidRPr="001B4CA2" w:rsidRDefault="00BB4D48" w:rsidP="00886E1C">
      <w:pPr>
        <w:pStyle w:val="Naslov2"/>
        <w:rPr>
          <w:rFonts w:ascii="Arial" w:hAnsi="Arial" w:cs="Arial"/>
        </w:rPr>
      </w:pPr>
      <w:bookmarkStart w:id="22" w:name="_Toc133394285"/>
      <w:r w:rsidRPr="001B4CA2">
        <w:rPr>
          <w:rFonts w:ascii="Arial" w:hAnsi="Arial" w:cs="Arial"/>
        </w:rPr>
        <w:t>Poda</w:t>
      </w:r>
      <w:r w:rsidR="00FC60D2" w:rsidRPr="001B4CA2">
        <w:rPr>
          <w:rFonts w:ascii="Arial" w:hAnsi="Arial" w:cs="Arial"/>
        </w:rPr>
        <w:t>t</w:t>
      </w:r>
      <w:r w:rsidRPr="001B4CA2">
        <w:rPr>
          <w:rFonts w:ascii="Arial" w:hAnsi="Arial" w:cs="Arial"/>
        </w:rPr>
        <w:t>ci o kretanju predmeta Državnog odvjetništva Republike Hrvatske</w:t>
      </w:r>
      <w:r w:rsidR="00197521" w:rsidRPr="001B4CA2">
        <w:rPr>
          <w:rFonts w:ascii="Arial" w:hAnsi="Arial" w:cs="Arial"/>
        </w:rPr>
        <w:t xml:space="preserve"> (DORH)</w:t>
      </w:r>
      <w:bookmarkEnd w:id="22"/>
    </w:p>
    <w:p w14:paraId="32E7585F" w14:textId="77777777" w:rsidR="00000631" w:rsidRPr="001B4CA2" w:rsidRDefault="00000631" w:rsidP="00000631"/>
    <w:p w14:paraId="6B28D08A" w14:textId="7261AC61" w:rsidR="00DF7F38" w:rsidRPr="001B4CA2" w:rsidRDefault="00DF7F38" w:rsidP="00DF7F38">
      <w:pPr>
        <w:ind w:firstLine="708"/>
      </w:pPr>
      <w:r w:rsidRPr="001B4CA2">
        <w:t>Državno odvjetništvo Republike Hrvatske na temelju odredbe članka 29. stavaka 4. i 5. Ustava Republike Hrvatske i članka 29. Zakona o državnom odvjetništvu poduzima pravne radnje radi zaštite Ustava Republike Hrvatske i zakonitosti pred Ustavnim sudom Republike Hrvatske, Vrhovnim sudom Republike Hrvatske, Visokim trgovačkim sudom Republike Hrvatske, Visokim prekršajnim sudom Republike Hrvatske, Visokim upravnim sudom Republike Hrvatske te stranim sudovima i drugim tijelima, osim kad je posebnim zakonom drukčije određeno.</w:t>
      </w:r>
    </w:p>
    <w:p w14:paraId="17D51FFE" w14:textId="77777777" w:rsidR="00DF7F38" w:rsidRPr="001B4CA2" w:rsidRDefault="00DF7F38" w:rsidP="00DF7F38"/>
    <w:p w14:paraId="66390F70" w14:textId="7253F68E" w:rsidR="00DF7F38" w:rsidRPr="001B4CA2" w:rsidRDefault="00A804EF" w:rsidP="00DF7F38">
      <w:pPr>
        <w:ind w:firstLine="708"/>
      </w:pPr>
      <w:r>
        <w:t>Usto</w:t>
      </w:r>
      <w:r w:rsidR="00DF7F38" w:rsidRPr="001B4CA2">
        <w:t xml:space="preserve">, Državno odvjetništvo Republike Hrvatske daje mišljenja o nacrtima prijedloga zakona i drugih propisa važnih za ustrojstvo i rad državnog odvjetništva i obnašanje </w:t>
      </w:r>
      <w:proofErr w:type="spellStart"/>
      <w:r w:rsidR="00DF7F38" w:rsidRPr="001B4CA2">
        <w:t>državnoodvjetničke</w:t>
      </w:r>
      <w:proofErr w:type="spellEnd"/>
      <w:r w:rsidR="00DF7F38" w:rsidRPr="001B4CA2">
        <w:t xml:space="preserve"> dužnosti.</w:t>
      </w:r>
    </w:p>
    <w:p w14:paraId="3612366C" w14:textId="77777777" w:rsidR="00DF7F38" w:rsidRPr="001B4CA2" w:rsidRDefault="00DF7F38" w:rsidP="00DF7F38"/>
    <w:p w14:paraId="73BE94F0" w14:textId="562C19B8" w:rsidR="00DF7F38" w:rsidRPr="001B4CA2" w:rsidRDefault="00DF7F38" w:rsidP="00DF7F38">
      <w:pPr>
        <w:ind w:firstLine="708"/>
      </w:pPr>
      <w:r w:rsidRPr="001B4CA2">
        <w:t>U Državnom odvjetništvu Republike Hrvatske (DORH) ustrojena su dva odjela: Kazneni odjel i Građansko-upravni odjel te Ured Glavnog državnog odvjetnika Republike Hrvatske (u nastavku: Ured Glavnog državnog odvjetnika) kao posebna ustrojstvena jedinica.</w:t>
      </w:r>
    </w:p>
    <w:p w14:paraId="7164B4DE" w14:textId="77777777" w:rsidR="00DF7F38" w:rsidRPr="001B4CA2" w:rsidRDefault="00DF7F38" w:rsidP="00DF7F38"/>
    <w:p w14:paraId="3F7BA840" w14:textId="77777777" w:rsidR="00DF7F38" w:rsidRPr="001B4CA2" w:rsidRDefault="00DF7F38" w:rsidP="00DF7F38">
      <w:pPr>
        <w:ind w:firstLine="708"/>
      </w:pPr>
      <w:r w:rsidRPr="001B4CA2">
        <w:t xml:space="preserve">Kazneni odjel nadležan je za postupanje u predmetima izvanrednog preispitivanja pravomoćne presude, sukoba nadležnosti sudova, preispitivanja sudskih odluka i sukoba nadležnosti, predmetima u drugostupanjskom postupku pred Vrhovnim sudom Republike Hrvatske, predmetima podizanja zahtjeva za zaštitu </w:t>
      </w:r>
      <w:r w:rsidRPr="001B4CA2">
        <w:lastRenderedPageBreak/>
        <w:t>zakonitosti u kaznenim i u prekršajnim postupcima, u drugostupanjskim predmetima te drugih raznih kaznenopravnih stvari.</w:t>
      </w:r>
    </w:p>
    <w:p w14:paraId="05F285FB" w14:textId="77777777" w:rsidR="00DF7F38" w:rsidRPr="001B4CA2" w:rsidRDefault="00DF7F38" w:rsidP="00DF7F38"/>
    <w:p w14:paraId="440AA2C9" w14:textId="5AB21007" w:rsidR="00DF7F38" w:rsidRPr="001B4CA2" w:rsidRDefault="00DF7F38" w:rsidP="00DF7F38">
      <w:pPr>
        <w:ind w:firstLine="708"/>
      </w:pPr>
      <w:r w:rsidRPr="001B4CA2">
        <w:t>Građansko-upravni odjel nadležan je za zastupanje Republike Hrvatske u imovinskim sporovima i drugim postupcima koji se vode pred stranim sudovima, međunarodnim i drugim tijelima kao što su međunarodne investicijske arbitraže, likvidacije stranih banaka i dr. te predmetima davanja pravnih mišljenja o pitanjima koja se odnose na imovinskopravne poslove, zaštitu imovine, prirodnih bogatstava, dijelova prirode, nekretnina, stvari i prava od osobitog značenja za Republiku Hrvatsku, daje mišljenja o pravnoj valjanosti određenih pravnih poslova na temelju posebnih propisa, daje mišljenja kojima izražava pravne stavove o primjeni pojedinih propisa kako bi se osigurala jedinstvena primjena zakona na cijelom teritoriju Republike Hrvatske te je nadležan za postupanje u predmetima podizanja prijedloga za izvanredno preispitivanje zakonitosti pravomoćne presude Visokog upravnog suda Republike Hrvatske te predmetima prevencije i izvansudskog rješavanja sporova.</w:t>
      </w:r>
    </w:p>
    <w:p w14:paraId="6713C020" w14:textId="77777777" w:rsidR="00DF7F38" w:rsidRPr="001B4CA2" w:rsidRDefault="00DF7F38" w:rsidP="00DF7F38"/>
    <w:p w14:paraId="7BBE73EC" w14:textId="39BA4B1C" w:rsidR="00DF7F38" w:rsidRPr="001B4CA2" w:rsidRDefault="00DF7F38" w:rsidP="00DF7F38">
      <w:pPr>
        <w:ind w:firstLine="708"/>
      </w:pPr>
      <w:r w:rsidRPr="001B4CA2">
        <w:t xml:space="preserve">U Uredu Glavnog državnog odvjetnika osim poslova </w:t>
      </w:r>
      <w:proofErr w:type="spellStart"/>
      <w:r w:rsidRPr="001B4CA2">
        <w:t>državnoodvjetničke</w:t>
      </w:r>
      <w:proofErr w:type="spellEnd"/>
      <w:r w:rsidRPr="001B4CA2">
        <w:t xml:space="preserve"> uprave obavljaju se i poslovi međunarodne pravne pomoći i suradnje, zamolnica, pritužbi na rad te se prate europski propisi, prati </w:t>
      </w:r>
      <w:r w:rsidR="00313B5F">
        <w:t xml:space="preserve">se </w:t>
      </w:r>
      <w:r w:rsidRPr="001B4CA2">
        <w:t>i analizira praksa Europskog suda za ljudska prava i sudova Europske unije.</w:t>
      </w:r>
    </w:p>
    <w:p w14:paraId="54721EF1" w14:textId="77777777" w:rsidR="00DF7F38" w:rsidRPr="001B4CA2" w:rsidRDefault="00DF7F38" w:rsidP="00DF7F38"/>
    <w:p w14:paraId="3919E748" w14:textId="77777777" w:rsidR="00DF7F38" w:rsidRPr="001B4CA2" w:rsidRDefault="00DF7F38" w:rsidP="00DF7F38">
      <w:pPr>
        <w:ind w:firstLine="708"/>
      </w:pPr>
      <w:r w:rsidRPr="001B4CA2">
        <w:t xml:space="preserve">Predmeti </w:t>
      </w:r>
      <w:proofErr w:type="spellStart"/>
      <w:r w:rsidRPr="001B4CA2">
        <w:t>državnoodvjetničke</w:t>
      </w:r>
      <w:proofErr w:type="spellEnd"/>
      <w:r w:rsidRPr="001B4CA2">
        <w:t xml:space="preserve"> uprave nisu obuhvaćeni ovim izvješćem. Međutim, treba istaknuti da je državno odvjetništvo hijerarhijski ustrojeno, zbog čega je vrlo velik broj ovih predmeta u radu Državnog odvjetništva Republike Hrvatske, što zahtijeva značajan angažman i vrijeme.</w:t>
      </w:r>
    </w:p>
    <w:p w14:paraId="5963EE79" w14:textId="77777777" w:rsidR="003B5BDB" w:rsidRPr="001B4CA2" w:rsidRDefault="003B5BDB" w:rsidP="009705EE"/>
    <w:p w14:paraId="6A857ACE" w14:textId="77777777" w:rsidR="00BB4D48" w:rsidRPr="001B4CA2" w:rsidRDefault="00BB4D48" w:rsidP="00B45008">
      <w:pPr>
        <w:pStyle w:val="Naslov3"/>
        <w:rPr>
          <w:rFonts w:ascii="Arial" w:hAnsi="Arial" w:cs="Arial"/>
        </w:rPr>
      </w:pPr>
      <w:bookmarkStart w:id="23" w:name="_Toc133394286"/>
      <w:r w:rsidRPr="001B4CA2">
        <w:rPr>
          <w:rFonts w:ascii="Arial" w:hAnsi="Arial" w:cs="Arial"/>
        </w:rPr>
        <w:t>O</w:t>
      </w:r>
      <w:r w:rsidR="00197521" w:rsidRPr="001B4CA2">
        <w:rPr>
          <w:rFonts w:ascii="Arial" w:hAnsi="Arial" w:cs="Arial"/>
        </w:rPr>
        <w:t>pći pregled kretanja predmeta</w:t>
      </w:r>
      <w:bookmarkEnd w:id="23"/>
    </w:p>
    <w:p w14:paraId="731BAC27" w14:textId="385FE6A8" w:rsidR="009705EE" w:rsidRPr="001B4CA2" w:rsidRDefault="009705EE" w:rsidP="009705EE"/>
    <w:tbl>
      <w:tblPr>
        <w:tblW w:w="8339" w:type="dxa"/>
        <w:tblInd w:w="416" w:type="dxa"/>
        <w:tblLayout w:type="fixed"/>
        <w:tblLook w:val="04A0" w:firstRow="1" w:lastRow="0" w:firstColumn="1" w:lastColumn="0" w:noHBand="0" w:noVBand="1"/>
      </w:tblPr>
      <w:tblGrid>
        <w:gridCol w:w="1726"/>
        <w:gridCol w:w="840"/>
        <w:gridCol w:w="1181"/>
        <w:gridCol w:w="1132"/>
        <w:gridCol w:w="1132"/>
        <w:gridCol w:w="1132"/>
        <w:gridCol w:w="1196"/>
      </w:tblGrid>
      <w:tr w:rsidR="00DF7F38" w:rsidRPr="001B4CA2" w14:paraId="5E36A588" w14:textId="77777777" w:rsidTr="000169EF">
        <w:trPr>
          <w:trHeight w:val="317"/>
        </w:trPr>
        <w:tc>
          <w:tcPr>
            <w:tcW w:w="8339" w:type="dxa"/>
            <w:gridSpan w:val="7"/>
            <w:tcBorders>
              <w:top w:val="nil"/>
              <w:left w:val="nil"/>
              <w:bottom w:val="single" w:sz="4" w:space="0" w:color="auto"/>
              <w:right w:val="nil"/>
            </w:tcBorders>
            <w:shd w:val="clear" w:color="auto" w:fill="auto"/>
            <w:noWrap/>
            <w:vAlign w:val="center"/>
            <w:hideMark/>
          </w:tcPr>
          <w:p w14:paraId="7399614C" w14:textId="77777777" w:rsidR="00DF7F38" w:rsidRPr="001B4CA2" w:rsidRDefault="00DF7F38" w:rsidP="006D0A51">
            <w:pPr>
              <w:jc w:val="left"/>
              <w:rPr>
                <w:rFonts w:eastAsia="Times New Roman"/>
                <w:i/>
                <w:iCs/>
                <w:lang w:eastAsia="hr-HR"/>
              </w:rPr>
            </w:pPr>
            <w:r w:rsidRPr="001B4CA2">
              <w:rPr>
                <w:rFonts w:eastAsia="Times New Roman"/>
                <w:i/>
                <w:iCs/>
                <w:lang w:eastAsia="hr-HR"/>
              </w:rPr>
              <w:t>Opći pregled kretanja predmeta Državnog odvjetništva Republike Hrvatske</w:t>
            </w:r>
          </w:p>
        </w:tc>
      </w:tr>
      <w:tr w:rsidR="00DF7F38" w:rsidRPr="001B4CA2" w14:paraId="1B339386" w14:textId="77777777" w:rsidTr="000169EF">
        <w:trPr>
          <w:trHeight w:val="443"/>
        </w:trPr>
        <w:tc>
          <w:tcPr>
            <w:tcW w:w="1726"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14:paraId="71794378"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Vrsta državnog odvjetništva</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541E5677"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Godina</w:t>
            </w:r>
          </w:p>
        </w:tc>
        <w:tc>
          <w:tcPr>
            <w:tcW w:w="1181" w:type="dxa"/>
            <w:vMerge w:val="restart"/>
            <w:tcBorders>
              <w:top w:val="single" w:sz="4" w:space="0" w:color="auto"/>
              <w:left w:val="single" w:sz="4" w:space="0" w:color="auto"/>
              <w:bottom w:val="single" w:sz="4" w:space="0" w:color="auto"/>
              <w:right w:val="single" w:sz="4" w:space="0" w:color="auto"/>
            </w:tcBorders>
            <w:shd w:val="clear" w:color="000000" w:fill="99CCFF"/>
            <w:vAlign w:val="center"/>
            <w:hideMark/>
          </w:tcPr>
          <w:p w14:paraId="2AE80772"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Broj zamjenika/ savjetnika – stvarna prisutnost</w:t>
            </w:r>
          </w:p>
        </w:tc>
        <w:tc>
          <w:tcPr>
            <w:tcW w:w="4592" w:type="dxa"/>
            <w:gridSpan w:val="4"/>
            <w:tcBorders>
              <w:top w:val="single" w:sz="4" w:space="0" w:color="auto"/>
              <w:left w:val="nil"/>
              <w:bottom w:val="single" w:sz="4" w:space="0" w:color="auto"/>
              <w:right w:val="single" w:sz="4" w:space="0" w:color="auto"/>
            </w:tcBorders>
            <w:shd w:val="clear" w:color="000000" w:fill="99CCFF"/>
            <w:noWrap/>
            <w:vAlign w:val="center"/>
            <w:hideMark/>
          </w:tcPr>
          <w:p w14:paraId="22726FB1"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Kretanje predmeta</w:t>
            </w:r>
          </w:p>
        </w:tc>
      </w:tr>
      <w:tr w:rsidR="00DF7F38" w:rsidRPr="001B4CA2" w14:paraId="3057AE1F" w14:textId="77777777" w:rsidTr="000169EF">
        <w:trPr>
          <w:trHeight w:val="1171"/>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24AF3454" w14:textId="77777777" w:rsidR="00DF7F38" w:rsidRPr="001B4CA2" w:rsidRDefault="00DF7F38" w:rsidP="006D0A51">
            <w:pPr>
              <w:jc w:val="left"/>
              <w:rPr>
                <w:rFonts w:eastAsia="Times New Roman"/>
                <w:b/>
                <w:bCs/>
                <w:sz w:val="18"/>
                <w:szCs w:val="18"/>
                <w:lang w:eastAsia="hr-HR"/>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70773A47" w14:textId="77777777" w:rsidR="00DF7F38" w:rsidRPr="001B4CA2" w:rsidRDefault="00DF7F38" w:rsidP="006D0A51">
            <w:pPr>
              <w:jc w:val="left"/>
              <w:rPr>
                <w:rFonts w:eastAsia="Times New Roman"/>
                <w:b/>
                <w:bCs/>
                <w:sz w:val="18"/>
                <w:szCs w:val="18"/>
                <w:lang w:eastAsia="hr-HR"/>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14:paraId="2903A5BD" w14:textId="77777777" w:rsidR="00DF7F38" w:rsidRPr="001B4CA2" w:rsidRDefault="00DF7F38" w:rsidP="006D0A51">
            <w:pPr>
              <w:jc w:val="left"/>
              <w:rPr>
                <w:rFonts w:eastAsia="Times New Roman"/>
                <w:b/>
                <w:bCs/>
                <w:sz w:val="18"/>
                <w:szCs w:val="18"/>
                <w:lang w:eastAsia="hr-HR"/>
              </w:rPr>
            </w:pPr>
          </w:p>
        </w:tc>
        <w:tc>
          <w:tcPr>
            <w:tcW w:w="1132" w:type="dxa"/>
            <w:tcBorders>
              <w:top w:val="single" w:sz="4" w:space="0" w:color="auto"/>
              <w:left w:val="nil"/>
              <w:bottom w:val="single" w:sz="4" w:space="0" w:color="auto"/>
              <w:right w:val="single" w:sz="4" w:space="0" w:color="auto"/>
            </w:tcBorders>
            <w:shd w:val="clear" w:color="000000" w:fill="99CCFF"/>
            <w:noWrap/>
            <w:vAlign w:val="center"/>
            <w:hideMark/>
          </w:tcPr>
          <w:p w14:paraId="0BFA0587"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Na početku</w:t>
            </w:r>
          </w:p>
        </w:tc>
        <w:tc>
          <w:tcPr>
            <w:tcW w:w="1132" w:type="dxa"/>
            <w:tcBorders>
              <w:top w:val="single" w:sz="4" w:space="0" w:color="auto"/>
              <w:left w:val="nil"/>
              <w:bottom w:val="single" w:sz="4" w:space="0" w:color="auto"/>
              <w:right w:val="single" w:sz="4" w:space="0" w:color="auto"/>
            </w:tcBorders>
            <w:shd w:val="clear" w:color="000000" w:fill="99CCFF"/>
            <w:noWrap/>
            <w:vAlign w:val="center"/>
            <w:hideMark/>
          </w:tcPr>
          <w:p w14:paraId="11B2B28F"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Primljeno</w:t>
            </w:r>
          </w:p>
        </w:tc>
        <w:tc>
          <w:tcPr>
            <w:tcW w:w="1132" w:type="dxa"/>
            <w:tcBorders>
              <w:top w:val="single" w:sz="4" w:space="0" w:color="auto"/>
              <w:left w:val="nil"/>
              <w:bottom w:val="single" w:sz="4" w:space="0" w:color="auto"/>
              <w:right w:val="single" w:sz="4" w:space="0" w:color="auto"/>
            </w:tcBorders>
            <w:shd w:val="clear" w:color="000000" w:fill="99CCFF"/>
            <w:noWrap/>
            <w:vAlign w:val="center"/>
            <w:hideMark/>
          </w:tcPr>
          <w:p w14:paraId="0F78D95D"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Riješeno</w:t>
            </w:r>
          </w:p>
        </w:tc>
        <w:tc>
          <w:tcPr>
            <w:tcW w:w="1196" w:type="dxa"/>
            <w:tcBorders>
              <w:top w:val="single" w:sz="4" w:space="0" w:color="auto"/>
              <w:left w:val="nil"/>
              <w:bottom w:val="single" w:sz="4" w:space="0" w:color="auto"/>
              <w:right w:val="single" w:sz="4" w:space="0" w:color="auto"/>
            </w:tcBorders>
            <w:shd w:val="clear" w:color="000000" w:fill="99CCFF"/>
            <w:noWrap/>
            <w:vAlign w:val="center"/>
            <w:hideMark/>
          </w:tcPr>
          <w:p w14:paraId="2A378E37"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Neriješeno</w:t>
            </w:r>
          </w:p>
        </w:tc>
      </w:tr>
      <w:tr w:rsidR="00DF7F38" w:rsidRPr="001B4CA2" w14:paraId="109A2CE4" w14:textId="77777777" w:rsidTr="000169EF">
        <w:trPr>
          <w:trHeight w:val="299"/>
        </w:trPr>
        <w:tc>
          <w:tcPr>
            <w:tcW w:w="1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FA272"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DORH</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7B853"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2018.</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6F183" w14:textId="77777777" w:rsidR="00DF7F38" w:rsidRPr="001B4CA2" w:rsidRDefault="00DF7F38" w:rsidP="006D0A51">
            <w:pPr>
              <w:jc w:val="center"/>
              <w:rPr>
                <w:color w:val="000000"/>
                <w:sz w:val="18"/>
                <w:szCs w:val="18"/>
              </w:rPr>
            </w:pPr>
            <w:r w:rsidRPr="001B4CA2">
              <w:rPr>
                <w:color w:val="000000"/>
                <w:sz w:val="18"/>
                <w:szCs w:val="18"/>
              </w:rPr>
              <w:t>24</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C129E" w14:textId="77777777" w:rsidR="00DF7F38" w:rsidRPr="001B4CA2" w:rsidRDefault="00DF7F38" w:rsidP="006D0A51">
            <w:pPr>
              <w:jc w:val="center"/>
              <w:rPr>
                <w:color w:val="000000"/>
                <w:sz w:val="18"/>
                <w:szCs w:val="18"/>
              </w:rPr>
            </w:pPr>
            <w:r w:rsidRPr="001B4CA2">
              <w:rPr>
                <w:color w:val="000000"/>
                <w:sz w:val="18"/>
                <w:szCs w:val="18"/>
              </w:rPr>
              <w:t>2.427</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3241F" w14:textId="77777777" w:rsidR="00DF7F38" w:rsidRPr="001B4CA2" w:rsidRDefault="00DF7F38" w:rsidP="006D0A51">
            <w:pPr>
              <w:jc w:val="center"/>
              <w:rPr>
                <w:color w:val="000000"/>
                <w:sz w:val="18"/>
                <w:szCs w:val="18"/>
              </w:rPr>
            </w:pPr>
            <w:r w:rsidRPr="001B4CA2">
              <w:rPr>
                <w:color w:val="000000"/>
                <w:sz w:val="18"/>
                <w:szCs w:val="18"/>
              </w:rPr>
              <w:t>5.040</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D823E" w14:textId="77777777" w:rsidR="00DF7F38" w:rsidRPr="001B4CA2" w:rsidRDefault="00DF7F38" w:rsidP="006D0A51">
            <w:pPr>
              <w:jc w:val="center"/>
              <w:rPr>
                <w:color w:val="000000"/>
                <w:sz w:val="18"/>
                <w:szCs w:val="18"/>
              </w:rPr>
            </w:pPr>
            <w:r w:rsidRPr="001B4CA2">
              <w:rPr>
                <w:color w:val="000000"/>
                <w:sz w:val="18"/>
                <w:szCs w:val="18"/>
              </w:rPr>
              <w:t>5.242</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A5B38" w14:textId="77777777" w:rsidR="00DF7F38" w:rsidRPr="001B4CA2" w:rsidRDefault="00DF7F38" w:rsidP="006D0A51">
            <w:pPr>
              <w:jc w:val="center"/>
              <w:rPr>
                <w:color w:val="000000"/>
                <w:sz w:val="18"/>
                <w:szCs w:val="18"/>
              </w:rPr>
            </w:pPr>
            <w:r w:rsidRPr="001B4CA2">
              <w:rPr>
                <w:color w:val="000000"/>
                <w:sz w:val="18"/>
                <w:szCs w:val="18"/>
              </w:rPr>
              <w:t>2.225</w:t>
            </w:r>
          </w:p>
        </w:tc>
      </w:tr>
      <w:tr w:rsidR="00DF7F38" w:rsidRPr="001B4CA2" w14:paraId="12251432" w14:textId="77777777" w:rsidTr="000169EF">
        <w:trPr>
          <w:trHeight w:val="299"/>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05B8ED7D" w14:textId="77777777" w:rsidR="00DF7F38" w:rsidRPr="001B4CA2" w:rsidRDefault="00DF7F38" w:rsidP="006D0A51">
            <w:pPr>
              <w:jc w:val="left"/>
              <w:rPr>
                <w:rFonts w:eastAsia="Times New Roman"/>
                <w:sz w:val="18"/>
                <w:szCs w:val="18"/>
                <w:lang w:eastAsia="hr-H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B92E7"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2019.</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F6E1F" w14:textId="77777777" w:rsidR="00DF7F38" w:rsidRPr="001B4CA2" w:rsidRDefault="00DF7F38" w:rsidP="006D0A51">
            <w:pPr>
              <w:jc w:val="center"/>
              <w:rPr>
                <w:color w:val="000000"/>
                <w:sz w:val="18"/>
                <w:szCs w:val="18"/>
              </w:rPr>
            </w:pPr>
            <w:r w:rsidRPr="001B4CA2">
              <w:rPr>
                <w:color w:val="000000"/>
                <w:sz w:val="18"/>
                <w:szCs w:val="18"/>
              </w:rPr>
              <w:t>31,3</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0A308" w14:textId="77777777" w:rsidR="00DF7F38" w:rsidRPr="001B4CA2" w:rsidRDefault="00DF7F38" w:rsidP="006D0A51">
            <w:pPr>
              <w:jc w:val="center"/>
              <w:rPr>
                <w:color w:val="000000"/>
                <w:sz w:val="18"/>
                <w:szCs w:val="18"/>
              </w:rPr>
            </w:pPr>
            <w:r w:rsidRPr="001B4CA2">
              <w:rPr>
                <w:color w:val="000000"/>
                <w:sz w:val="18"/>
                <w:szCs w:val="18"/>
              </w:rPr>
              <w:t>2.277</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B48D8" w14:textId="77777777" w:rsidR="00DF7F38" w:rsidRPr="001B4CA2" w:rsidRDefault="00DF7F38" w:rsidP="006D0A51">
            <w:pPr>
              <w:jc w:val="center"/>
              <w:rPr>
                <w:color w:val="000000"/>
                <w:sz w:val="18"/>
                <w:szCs w:val="18"/>
              </w:rPr>
            </w:pPr>
            <w:r w:rsidRPr="001B4CA2">
              <w:rPr>
                <w:color w:val="000000"/>
                <w:sz w:val="18"/>
                <w:szCs w:val="18"/>
              </w:rPr>
              <w:t>5.327</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63F43" w14:textId="77777777" w:rsidR="00DF7F38" w:rsidRPr="001B4CA2" w:rsidRDefault="00DF7F38" w:rsidP="006D0A51">
            <w:pPr>
              <w:jc w:val="center"/>
              <w:rPr>
                <w:color w:val="000000"/>
                <w:sz w:val="18"/>
                <w:szCs w:val="18"/>
              </w:rPr>
            </w:pPr>
            <w:r w:rsidRPr="001B4CA2">
              <w:rPr>
                <w:color w:val="000000"/>
                <w:sz w:val="18"/>
                <w:szCs w:val="18"/>
              </w:rPr>
              <w:t>5.896</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5E168" w14:textId="77777777" w:rsidR="00DF7F38" w:rsidRPr="001B4CA2" w:rsidRDefault="00DF7F38" w:rsidP="006D0A51">
            <w:pPr>
              <w:jc w:val="center"/>
              <w:rPr>
                <w:color w:val="000000"/>
                <w:sz w:val="18"/>
                <w:szCs w:val="18"/>
              </w:rPr>
            </w:pPr>
            <w:r w:rsidRPr="001B4CA2">
              <w:rPr>
                <w:color w:val="000000"/>
                <w:sz w:val="18"/>
                <w:szCs w:val="18"/>
              </w:rPr>
              <w:t>1.708</w:t>
            </w:r>
          </w:p>
        </w:tc>
      </w:tr>
      <w:tr w:rsidR="00DF7F38" w:rsidRPr="001B4CA2" w14:paraId="0050E8F1" w14:textId="77777777" w:rsidTr="000169EF">
        <w:trPr>
          <w:trHeight w:val="299"/>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33848B98" w14:textId="77777777" w:rsidR="00DF7F38" w:rsidRPr="001B4CA2" w:rsidRDefault="00DF7F38" w:rsidP="006D0A51">
            <w:pPr>
              <w:jc w:val="left"/>
              <w:rPr>
                <w:rFonts w:eastAsia="Times New Roman"/>
                <w:sz w:val="18"/>
                <w:szCs w:val="18"/>
                <w:lang w:eastAsia="hr-H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C205B"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2020.</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2309B" w14:textId="77777777" w:rsidR="00DF7F38" w:rsidRPr="001B4CA2" w:rsidRDefault="00DF7F38" w:rsidP="006D0A51">
            <w:pPr>
              <w:jc w:val="center"/>
              <w:rPr>
                <w:color w:val="000000"/>
                <w:sz w:val="18"/>
                <w:szCs w:val="18"/>
              </w:rPr>
            </w:pPr>
            <w:r w:rsidRPr="001B4CA2">
              <w:rPr>
                <w:color w:val="000000"/>
                <w:sz w:val="18"/>
                <w:szCs w:val="18"/>
              </w:rPr>
              <w:t>33,5</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F735D" w14:textId="77777777" w:rsidR="00DF7F38" w:rsidRPr="001B4CA2" w:rsidRDefault="00DF7F38" w:rsidP="006D0A51">
            <w:pPr>
              <w:jc w:val="center"/>
              <w:rPr>
                <w:color w:val="000000"/>
                <w:sz w:val="18"/>
                <w:szCs w:val="18"/>
              </w:rPr>
            </w:pPr>
            <w:r w:rsidRPr="001B4CA2">
              <w:rPr>
                <w:color w:val="000000"/>
                <w:sz w:val="18"/>
                <w:szCs w:val="18"/>
              </w:rPr>
              <w:t>1.306</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99471" w14:textId="77777777" w:rsidR="00DF7F38" w:rsidRPr="001B4CA2" w:rsidRDefault="00DF7F38" w:rsidP="006D0A51">
            <w:pPr>
              <w:jc w:val="center"/>
              <w:rPr>
                <w:color w:val="000000"/>
                <w:sz w:val="18"/>
                <w:szCs w:val="18"/>
              </w:rPr>
            </w:pPr>
            <w:r w:rsidRPr="001B4CA2">
              <w:rPr>
                <w:color w:val="000000"/>
                <w:sz w:val="18"/>
                <w:szCs w:val="18"/>
              </w:rPr>
              <w:t>5.571</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0B534" w14:textId="77777777" w:rsidR="00DF7F38" w:rsidRPr="001B4CA2" w:rsidRDefault="00DF7F38" w:rsidP="006D0A51">
            <w:pPr>
              <w:jc w:val="center"/>
              <w:rPr>
                <w:color w:val="000000"/>
                <w:sz w:val="18"/>
                <w:szCs w:val="18"/>
              </w:rPr>
            </w:pPr>
            <w:r w:rsidRPr="001B4CA2">
              <w:rPr>
                <w:color w:val="000000"/>
                <w:sz w:val="18"/>
                <w:szCs w:val="18"/>
              </w:rPr>
              <w:t>5.584</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45300" w14:textId="77777777" w:rsidR="00DF7F38" w:rsidRPr="001B4CA2" w:rsidRDefault="00DF7F38" w:rsidP="006D0A51">
            <w:pPr>
              <w:jc w:val="center"/>
              <w:rPr>
                <w:color w:val="000000"/>
                <w:sz w:val="18"/>
                <w:szCs w:val="18"/>
              </w:rPr>
            </w:pPr>
            <w:r w:rsidRPr="001B4CA2">
              <w:rPr>
                <w:color w:val="000000"/>
                <w:sz w:val="18"/>
                <w:szCs w:val="18"/>
              </w:rPr>
              <w:t>1.293</w:t>
            </w:r>
          </w:p>
        </w:tc>
      </w:tr>
      <w:tr w:rsidR="00DF7F38" w:rsidRPr="001B4CA2" w14:paraId="3E60882B" w14:textId="77777777" w:rsidTr="000169EF">
        <w:trPr>
          <w:trHeight w:val="299"/>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3B051308" w14:textId="77777777" w:rsidR="00DF7F38" w:rsidRPr="001B4CA2" w:rsidRDefault="00DF7F38" w:rsidP="006D0A51">
            <w:pPr>
              <w:jc w:val="left"/>
              <w:rPr>
                <w:rFonts w:eastAsia="Times New Roman"/>
                <w:sz w:val="18"/>
                <w:szCs w:val="18"/>
                <w:lang w:eastAsia="hr-H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7FD90"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2021.</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75581" w14:textId="77777777" w:rsidR="00DF7F38" w:rsidRPr="001B4CA2" w:rsidRDefault="00DF7F38" w:rsidP="006D0A51">
            <w:pPr>
              <w:jc w:val="center"/>
              <w:rPr>
                <w:color w:val="000000"/>
                <w:sz w:val="18"/>
                <w:szCs w:val="18"/>
              </w:rPr>
            </w:pPr>
            <w:r w:rsidRPr="001B4CA2">
              <w:rPr>
                <w:color w:val="000000"/>
                <w:sz w:val="18"/>
                <w:szCs w:val="18"/>
              </w:rPr>
              <w:t>29,7</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807AF" w14:textId="77777777" w:rsidR="00DF7F38" w:rsidRPr="001B4CA2" w:rsidRDefault="00DF7F38" w:rsidP="006D0A51">
            <w:pPr>
              <w:jc w:val="center"/>
              <w:rPr>
                <w:color w:val="000000"/>
                <w:sz w:val="18"/>
                <w:szCs w:val="18"/>
              </w:rPr>
            </w:pPr>
            <w:r w:rsidRPr="001B4CA2">
              <w:rPr>
                <w:color w:val="000000"/>
                <w:sz w:val="18"/>
                <w:szCs w:val="18"/>
              </w:rPr>
              <w:t>1.237</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BABE6" w14:textId="77777777" w:rsidR="00DF7F38" w:rsidRPr="001B4CA2" w:rsidRDefault="00DF7F38" w:rsidP="006D0A51">
            <w:pPr>
              <w:jc w:val="center"/>
              <w:rPr>
                <w:color w:val="000000"/>
                <w:sz w:val="18"/>
                <w:szCs w:val="18"/>
              </w:rPr>
            </w:pPr>
            <w:r w:rsidRPr="001B4CA2">
              <w:rPr>
                <w:color w:val="000000"/>
                <w:sz w:val="18"/>
                <w:szCs w:val="18"/>
              </w:rPr>
              <w:t>6.398</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E82E6" w14:textId="77777777" w:rsidR="00DF7F38" w:rsidRPr="001B4CA2" w:rsidRDefault="00DF7F38" w:rsidP="006D0A51">
            <w:pPr>
              <w:jc w:val="center"/>
              <w:rPr>
                <w:color w:val="000000"/>
                <w:sz w:val="18"/>
                <w:szCs w:val="18"/>
              </w:rPr>
            </w:pPr>
            <w:r w:rsidRPr="001B4CA2">
              <w:rPr>
                <w:color w:val="000000"/>
                <w:sz w:val="18"/>
                <w:szCs w:val="18"/>
              </w:rPr>
              <w:t>6.574</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0A46C" w14:textId="77777777" w:rsidR="00DF7F38" w:rsidRPr="001B4CA2" w:rsidRDefault="00DF7F38" w:rsidP="006D0A51">
            <w:pPr>
              <w:jc w:val="center"/>
              <w:rPr>
                <w:color w:val="000000"/>
                <w:sz w:val="18"/>
                <w:szCs w:val="18"/>
              </w:rPr>
            </w:pPr>
            <w:r w:rsidRPr="001B4CA2">
              <w:rPr>
                <w:color w:val="000000"/>
                <w:sz w:val="18"/>
                <w:szCs w:val="18"/>
              </w:rPr>
              <w:t>1.061</w:t>
            </w:r>
          </w:p>
        </w:tc>
      </w:tr>
      <w:tr w:rsidR="00DF7F38" w:rsidRPr="001B4CA2" w14:paraId="08B223C8" w14:textId="77777777" w:rsidTr="000169EF">
        <w:trPr>
          <w:trHeight w:val="299"/>
        </w:trPr>
        <w:tc>
          <w:tcPr>
            <w:tcW w:w="1726" w:type="dxa"/>
            <w:vMerge/>
            <w:tcBorders>
              <w:top w:val="single" w:sz="4" w:space="0" w:color="auto"/>
              <w:left w:val="single" w:sz="4" w:space="0" w:color="auto"/>
              <w:bottom w:val="single" w:sz="4" w:space="0" w:color="auto"/>
              <w:right w:val="single" w:sz="4" w:space="0" w:color="auto"/>
            </w:tcBorders>
            <w:vAlign w:val="center"/>
            <w:hideMark/>
          </w:tcPr>
          <w:p w14:paraId="1854B7A9" w14:textId="77777777" w:rsidR="00DF7F38" w:rsidRPr="001B4CA2" w:rsidRDefault="00DF7F38" w:rsidP="006D0A51">
            <w:pPr>
              <w:jc w:val="left"/>
              <w:rPr>
                <w:rFonts w:eastAsia="Times New Roman"/>
                <w:sz w:val="18"/>
                <w:szCs w:val="18"/>
                <w:lang w:eastAsia="hr-HR"/>
              </w:rPr>
            </w:pP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6804D"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2022.</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4BC66" w14:textId="77777777" w:rsidR="00DF7F38" w:rsidRPr="001B4CA2" w:rsidRDefault="00DF7F38" w:rsidP="006D0A51">
            <w:pPr>
              <w:jc w:val="center"/>
              <w:rPr>
                <w:color w:val="000000"/>
                <w:sz w:val="18"/>
                <w:szCs w:val="18"/>
              </w:rPr>
            </w:pPr>
            <w:r w:rsidRPr="001B4CA2">
              <w:rPr>
                <w:color w:val="000000"/>
                <w:sz w:val="18"/>
                <w:szCs w:val="18"/>
              </w:rPr>
              <w:t>27,5</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C7843" w14:textId="77777777" w:rsidR="00DF7F38" w:rsidRPr="001B4CA2" w:rsidRDefault="00DF7F38" w:rsidP="006D0A51">
            <w:pPr>
              <w:jc w:val="center"/>
              <w:rPr>
                <w:color w:val="000000"/>
                <w:sz w:val="18"/>
                <w:szCs w:val="18"/>
              </w:rPr>
            </w:pPr>
            <w:r w:rsidRPr="001B4CA2">
              <w:rPr>
                <w:color w:val="000000"/>
                <w:sz w:val="18"/>
                <w:szCs w:val="18"/>
              </w:rPr>
              <w:t>955</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E68B3" w14:textId="77777777" w:rsidR="00DF7F38" w:rsidRPr="001B4CA2" w:rsidRDefault="00DF7F38" w:rsidP="006D0A51">
            <w:pPr>
              <w:jc w:val="center"/>
              <w:rPr>
                <w:color w:val="000000"/>
                <w:sz w:val="18"/>
                <w:szCs w:val="18"/>
              </w:rPr>
            </w:pPr>
            <w:r w:rsidRPr="001B4CA2">
              <w:rPr>
                <w:color w:val="000000"/>
                <w:sz w:val="18"/>
                <w:szCs w:val="18"/>
              </w:rPr>
              <w:t>5.848</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36402" w14:textId="77777777" w:rsidR="00DF7F38" w:rsidRPr="001B4CA2" w:rsidRDefault="00DF7F38" w:rsidP="006D0A51">
            <w:pPr>
              <w:jc w:val="center"/>
              <w:rPr>
                <w:color w:val="000000"/>
                <w:sz w:val="18"/>
                <w:szCs w:val="18"/>
              </w:rPr>
            </w:pPr>
            <w:r w:rsidRPr="001B4CA2">
              <w:rPr>
                <w:color w:val="000000"/>
                <w:sz w:val="18"/>
                <w:szCs w:val="18"/>
              </w:rPr>
              <w:t>5.705</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0776C" w14:textId="77777777" w:rsidR="00DF7F38" w:rsidRPr="001B4CA2" w:rsidRDefault="00DF7F38" w:rsidP="006D0A51">
            <w:pPr>
              <w:jc w:val="center"/>
              <w:rPr>
                <w:color w:val="000000"/>
                <w:sz w:val="18"/>
                <w:szCs w:val="18"/>
              </w:rPr>
            </w:pPr>
            <w:r w:rsidRPr="001B4CA2">
              <w:rPr>
                <w:color w:val="000000"/>
                <w:sz w:val="18"/>
                <w:szCs w:val="18"/>
              </w:rPr>
              <w:t>1.098</w:t>
            </w:r>
          </w:p>
        </w:tc>
      </w:tr>
    </w:tbl>
    <w:p w14:paraId="35137651" w14:textId="77777777" w:rsidR="00DF7F38" w:rsidRPr="001B4CA2" w:rsidRDefault="00DF7F38" w:rsidP="00DF7F38">
      <w:pPr>
        <w:ind w:left="284"/>
        <w:jc w:val="left"/>
        <w:rPr>
          <w:rFonts w:eastAsia="Times New Roman"/>
          <w:sz w:val="22"/>
          <w:lang w:eastAsia="hr-HR"/>
        </w:rPr>
      </w:pPr>
      <w:r w:rsidRPr="001B4CA2">
        <w:rPr>
          <w:rFonts w:eastAsia="Times New Roman"/>
          <w:sz w:val="22"/>
          <w:lang w:eastAsia="hr-HR"/>
        </w:rPr>
        <w:t>*procjena temeljem dostupnih podataka u informacijskom sustavu državnog odvjetništva</w:t>
      </w:r>
    </w:p>
    <w:p w14:paraId="46AEBFEA" w14:textId="77777777" w:rsidR="00DF7F38" w:rsidRPr="001B4CA2" w:rsidRDefault="00DF7F38" w:rsidP="00DF7F38"/>
    <w:p w14:paraId="39056094" w14:textId="77777777" w:rsidR="00DF7F38" w:rsidRPr="001B4CA2" w:rsidRDefault="00DF7F38" w:rsidP="00DF7F38">
      <w:pPr>
        <w:ind w:firstLine="708"/>
      </w:pPr>
      <w:r w:rsidRPr="001B4CA2">
        <w:t xml:space="preserve">U gornjoj tablici dan je prikaz broja predmeta u radu Državnog odvjetništva Republike Hrvatske od 2018. do 2022. godine. </w:t>
      </w:r>
    </w:p>
    <w:p w14:paraId="1E56EF2D" w14:textId="77777777" w:rsidR="00DF7F38" w:rsidRPr="001B4CA2" w:rsidRDefault="00DF7F38" w:rsidP="00DF7F38">
      <w:pPr>
        <w:rPr>
          <w:rFonts w:eastAsia="Calibri"/>
          <w:sz w:val="22"/>
        </w:rPr>
      </w:pPr>
    </w:p>
    <w:tbl>
      <w:tblPr>
        <w:tblW w:w="6788"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183"/>
        <w:gridCol w:w="2287"/>
      </w:tblGrid>
      <w:tr w:rsidR="00DF7F38" w:rsidRPr="001B4CA2" w14:paraId="42CBB982" w14:textId="77777777" w:rsidTr="006D0A51">
        <w:trPr>
          <w:trHeight w:val="1713"/>
        </w:trPr>
        <w:tc>
          <w:tcPr>
            <w:tcW w:w="2318" w:type="dxa"/>
            <w:shd w:val="clear" w:color="000000" w:fill="99CCFF"/>
            <w:vAlign w:val="center"/>
            <w:hideMark/>
          </w:tcPr>
          <w:p w14:paraId="082249EC" w14:textId="77777777" w:rsidR="00DF7F38" w:rsidRPr="001B4CA2" w:rsidRDefault="00DF7F38" w:rsidP="006D0A51">
            <w:pPr>
              <w:spacing w:line="259" w:lineRule="auto"/>
              <w:jc w:val="center"/>
              <w:rPr>
                <w:rFonts w:eastAsia="Times New Roman"/>
                <w:b/>
                <w:bCs/>
                <w:sz w:val="18"/>
                <w:szCs w:val="18"/>
                <w:lang w:eastAsia="hr-HR"/>
              </w:rPr>
            </w:pPr>
            <w:r w:rsidRPr="001B4CA2">
              <w:rPr>
                <w:rFonts w:eastAsia="Times New Roman"/>
                <w:b/>
                <w:bCs/>
                <w:sz w:val="18"/>
                <w:szCs w:val="18"/>
                <w:lang w:eastAsia="hr-HR"/>
              </w:rPr>
              <w:lastRenderedPageBreak/>
              <w:t>Godina</w:t>
            </w:r>
          </w:p>
        </w:tc>
        <w:tc>
          <w:tcPr>
            <w:tcW w:w="2183" w:type="dxa"/>
            <w:shd w:val="clear" w:color="000000" w:fill="99CCFF"/>
            <w:vAlign w:val="center"/>
            <w:hideMark/>
          </w:tcPr>
          <w:p w14:paraId="267A9B88" w14:textId="3B6964B9"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Broj predmeta u postupku pred sudom i JPT</w:t>
            </w:r>
            <w:r w:rsidR="00313B5F">
              <w:rPr>
                <w:rFonts w:eastAsia="Times New Roman"/>
                <w:b/>
                <w:bCs/>
                <w:sz w:val="18"/>
                <w:szCs w:val="18"/>
                <w:lang w:eastAsia="hr-HR"/>
              </w:rPr>
              <w:t>-om</w:t>
            </w:r>
          </w:p>
        </w:tc>
        <w:tc>
          <w:tcPr>
            <w:tcW w:w="2287" w:type="dxa"/>
            <w:shd w:val="clear" w:color="000000" w:fill="99CCFF"/>
            <w:vAlign w:val="center"/>
            <w:hideMark/>
          </w:tcPr>
          <w:p w14:paraId="48AD7E1B"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Ukupan broj predmeta u kojima postupak vodi i u postupku sudjeluje državno odvjetništvo</w:t>
            </w:r>
          </w:p>
        </w:tc>
      </w:tr>
      <w:tr w:rsidR="00DF7F38" w:rsidRPr="001B4CA2" w14:paraId="3CA6DE7C" w14:textId="77777777" w:rsidTr="006D0A51">
        <w:trPr>
          <w:trHeight w:val="270"/>
        </w:trPr>
        <w:tc>
          <w:tcPr>
            <w:tcW w:w="2318" w:type="dxa"/>
            <w:shd w:val="clear" w:color="auto" w:fill="auto"/>
            <w:noWrap/>
            <w:vAlign w:val="center"/>
          </w:tcPr>
          <w:p w14:paraId="1C98990E"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2018.</w:t>
            </w:r>
          </w:p>
        </w:tc>
        <w:tc>
          <w:tcPr>
            <w:tcW w:w="2183" w:type="dxa"/>
            <w:shd w:val="clear" w:color="auto" w:fill="auto"/>
            <w:noWrap/>
            <w:vAlign w:val="center"/>
          </w:tcPr>
          <w:p w14:paraId="253465FC"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44</w:t>
            </w:r>
          </w:p>
        </w:tc>
        <w:tc>
          <w:tcPr>
            <w:tcW w:w="2287" w:type="dxa"/>
            <w:shd w:val="clear" w:color="auto" w:fill="auto"/>
            <w:noWrap/>
            <w:vAlign w:val="center"/>
          </w:tcPr>
          <w:p w14:paraId="66393B5A"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10.483</w:t>
            </w:r>
          </w:p>
        </w:tc>
      </w:tr>
      <w:tr w:rsidR="00DF7F38" w:rsidRPr="001B4CA2" w14:paraId="2ACDD86C" w14:textId="77777777" w:rsidTr="006D0A51">
        <w:trPr>
          <w:trHeight w:val="270"/>
        </w:trPr>
        <w:tc>
          <w:tcPr>
            <w:tcW w:w="2318" w:type="dxa"/>
            <w:shd w:val="clear" w:color="auto" w:fill="auto"/>
            <w:noWrap/>
            <w:vAlign w:val="center"/>
            <w:hideMark/>
          </w:tcPr>
          <w:p w14:paraId="68B21F60"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2019.</w:t>
            </w:r>
          </w:p>
        </w:tc>
        <w:tc>
          <w:tcPr>
            <w:tcW w:w="2183" w:type="dxa"/>
            <w:shd w:val="clear" w:color="auto" w:fill="auto"/>
            <w:noWrap/>
            <w:vAlign w:val="center"/>
          </w:tcPr>
          <w:p w14:paraId="146A8809"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38</w:t>
            </w:r>
          </w:p>
        </w:tc>
        <w:tc>
          <w:tcPr>
            <w:tcW w:w="2287" w:type="dxa"/>
            <w:shd w:val="clear" w:color="auto" w:fill="auto"/>
            <w:noWrap/>
            <w:vAlign w:val="center"/>
          </w:tcPr>
          <w:p w14:paraId="55F172CC"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9.001</w:t>
            </w:r>
          </w:p>
        </w:tc>
      </w:tr>
      <w:tr w:rsidR="00DF7F38" w:rsidRPr="001B4CA2" w14:paraId="3E108256" w14:textId="77777777" w:rsidTr="006D0A51">
        <w:trPr>
          <w:trHeight w:val="270"/>
        </w:trPr>
        <w:tc>
          <w:tcPr>
            <w:tcW w:w="2318" w:type="dxa"/>
            <w:shd w:val="clear" w:color="auto" w:fill="auto"/>
            <w:noWrap/>
            <w:vAlign w:val="center"/>
            <w:hideMark/>
          </w:tcPr>
          <w:p w14:paraId="35F478AF"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2020.</w:t>
            </w:r>
          </w:p>
        </w:tc>
        <w:tc>
          <w:tcPr>
            <w:tcW w:w="2183" w:type="dxa"/>
            <w:shd w:val="clear" w:color="auto" w:fill="auto"/>
            <w:noWrap/>
            <w:vAlign w:val="center"/>
          </w:tcPr>
          <w:p w14:paraId="7EC6960E"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52</w:t>
            </w:r>
          </w:p>
        </w:tc>
        <w:tc>
          <w:tcPr>
            <w:tcW w:w="2287" w:type="dxa"/>
            <w:shd w:val="clear" w:color="auto" w:fill="auto"/>
            <w:noWrap/>
            <w:vAlign w:val="center"/>
          </w:tcPr>
          <w:p w14:paraId="2377980A"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9.642</w:t>
            </w:r>
          </w:p>
        </w:tc>
      </w:tr>
      <w:tr w:rsidR="00DF7F38" w:rsidRPr="001B4CA2" w14:paraId="7F18D0F1" w14:textId="77777777" w:rsidTr="006D0A51">
        <w:trPr>
          <w:trHeight w:val="270"/>
        </w:trPr>
        <w:tc>
          <w:tcPr>
            <w:tcW w:w="2318" w:type="dxa"/>
            <w:shd w:val="clear" w:color="auto" w:fill="auto"/>
            <w:noWrap/>
            <w:vAlign w:val="center"/>
            <w:hideMark/>
          </w:tcPr>
          <w:p w14:paraId="1A64FAC1"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2021.</w:t>
            </w:r>
          </w:p>
        </w:tc>
        <w:tc>
          <w:tcPr>
            <w:tcW w:w="2183" w:type="dxa"/>
            <w:shd w:val="clear" w:color="auto" w:fill="auto"/>
            <w:noWrap/>
            <w:vAlign w:val="center"/>
          </w:tcPr>
          <w:p w14:paraId="2EF48BF7"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1.177</w:t>
            </w:r>
          </w:p>
        </w:tc>
        <w:tc>
          <w:tcPr>
            <w:tcW w:w="2287" w:type="dxa"/>
            <w:shd w:val="clear" w:color="auto" w:fill="auto"/>
            <w:noWrap/>
            <w:vAlign w:val="center"/>
          </w:tcPr>
          <w:p w14:paraId="76AA5200"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10.455</w:t>
            </w:r>
          </w:p>
        </w:tc>
      </w:tr>
      <w:tr w:rsidR="00DF7F38" w:rsidRPr="001B4CA2" w14:paraId="638DA053" w14:textId="77777777" w:rsidTr="006D0A51">
        <w:trPr>
          <w:trHeight w:val="270"/>
        </w:trPr>
        <w:tc>
          <w:tcPr>
            <w:tcW w:w="2318" w:type="dxa"/>
            <w:shd w:val="clear" w:color="auto" w:fill="auto"/>
            <w:noWrap/>
            <w:vAlign w:val="center"/>
          </w:tcPr>
          <w:p w14:paraId="7614B2FF"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2022.</w:t>
            </w:r>
          </w:p>
        </w:tc>
        <w:tc>
          <w:tcPr>
            <w:tcW w:w="2183" w:type="dxa"/>
            <w:shd w:val="clear" w:color="auto" w:fill="auto"/>
            <w:noWrap/>
            <w:vAlign w:val="center"/>
          </w:tcPr>
          <w:p w14:paraId="1323CDCF" w14:textId="77777777" w:rsidR="00DF7F38" w:rsidRPr="001B4CA2" w:rsidRDefault="00DF7F38" w:rsidP="006D0A51">
            <w:pPr>
              <w:jc w:val="center"/>
              <w:rPr>
                <w:rFonts w:eastAsia="Calibri"/>
                <w:sz w:val="18"/>
                <w:szCs w:val="18"/>
              </w:rPr>
            </w:pPr>
            <w:r w:rsidRPr="001B4CA2">
              <w:rPr>
                <w:rFonts w:eastAsia="Calibri"/>
                <w:sz w:val="18"/>
                <w:szCs w:val="18"/>
              </w:rPr>
              <w:t>445</w:t>
            </w:r>
          </w:p>
        </w:tc>
        <w:tc>
          <w:tcPr>
            <w:tcW w:w="2287" w:type="dxa"/>
            <w:shd w:val="clear" w:color="auto" w:fill="auto"/>
            <w:noWrap/>
            <w:vAlign w:val="center"/>
          </w:tcPr>
          <w:p w14:paraId="5F9B4AB3" w14:textId="77777777" w:rsidR="00DF7F38" w:rsidRPr="001B4CA2" w:rsidRDefault="00DF7F38" w:rsidP="006D0A51">
            <w:pPr>
              <w:jc w:val="center"/>
              <w:rPr>
                <w:rFonts w:eastAsia="Calibri"/>
                <w:sz w:val="18"/>
                <w:szCs w:val="18"/>
              </w:rPr>
            </w:pPr>
            <w:r w:rsidRPr="001B4CA2">
              <w:rPr>
                <w:rFonts w:eastAsia="Calibri"/>
                <w:sz w:val="18"/>
                <w:szCs w:val="18"/>
              </w:rPr>
              <w:t>7.078</w:t>
            </w:r>
          </w:p>
        </w:tc>
      </w:tr>
    </w:tbl>
    <w:p w14:paraId="4B4C6E30" w14:textId="77777777" w:rsidR="00DF7F38" w:rsidRPr="001B4CA2" w:rsidRDefault="00DF7F38" w:rsidP="00DF7F38">
      <w:pPr>
        <w:tabs>
          <w:tab w:val="center" w:pos="1697"/>
        </w:tabs>
        <w:ind w:left="1134"/>
        <w:rPr>
          <w:rFonts w:eastAsia="Calibri"/>
          <w:sz w:val="22"/>
        </w:rPr>
      </w:pPr>
      <w:r w:rsidRPr="001B4CA2">
        <w:rPr>
          <w:rFonts w:eastAsia="Calibri"/>
          <w:sz w:val="22"/>
        </w:rPr>
        <w:t xml:space="preserve">*procjena temeljem dostupnih podataka u informacijskom sustavu </w:t>
      </w:r>
    </w:p>
    <w:p w14:paraId="4E2BFFB4" w14:textId="77777777" w:rsidR="00DF7F38" w:rsidRPr="001B4CA2" w:rsidRDefault="00DF7F38" w:rsidP="00DF7F38">
      <w:pPr>
        <w:tabs>
          <w:tab w:val="center" w:pos="1697"/>
        </w:tabs>
        <w:ind w:left="1134"/>
        <w:rPr>
          <w:rFonts w:eastAsia="Calibri"/>
          <w:sz w:val="22"/>
        </w:rPr>
      </w:pPr>
      <w:r w:rsidRPr="001B4CA2">
        <w:rPr>
          <w:rFonts w:eastAsia="Calibri"/>
          <w:sz w:val="22"/>
        </w:rPr>
        <w:t>državnog odvjetništva</w:t>
      </w:r>
    </w:p>
    <w:p w14:paraId="08FD752F" w14:textId="77777777" w:rsidR="00DF7F38" w:rsidRPr="001B4CA2" w:rsidRDefault="00DF7F38" w:rsidP="00DF7F38"/>
    <w:p w14:paraId="7E8548EA" w14:textId="77777777" w:rsidR="00DF7F38" w:rsidRPr="001B4CA2" w:rsidRDefault="00DF7F38" w:rsidP="00DF7F38">
      <w:pPr>
        <w:ind w:firstLine="708"/>
      </w:pPr>
      <w:r w:rsidRPr="001B4CA2">
        <w:t xml:space="preserve">U ovoj tablici prikazan je broj predmeta u kojima se nakon donošenja </w:t>
      </w:r>
      <w:proofErr w:type="spellStart"/>
      <w:r w:rsidRPr="001B4CA2">
        <w:t>državnoodvjetničke</w:t>
      </w:r>
      <w:proofErr w:type="spellEnd"/>
      <w:r w:rsidRPr="001B4CA2">
        <w:t xml:space="preserve"> odluke, dakle, nakon što je predmet riješen u DORH-u, postupak nastavlja i vodi pred nadležnim sudom, jer je samo na taj način moguće sagledati stvarnu opterećenost zamjenika.</w:t>
      </w:r>
    </w:p>
    <w:p w14:paraId="5A4B25BA" w14:textId="77777777" w:rsidR="00DF7F38" w:rsidRPr="001B4CA2" w:rsidRDefault="00DF7F38" w:rsidP="00DF7F38"/>
    <w:tbl>
      <w:tblPr>
        <w:tblW w:w="8931" w:type="dxa"/>
        <w:tblInd w:w="108" w:type="dxa"/>
        <w:tblLayout w:type="fixed"/>
        <w:tblLook w:val="04A0" w:firstRow="1" w:lastRow="0" w:firstColumn="1" w:lastColumn="0" w:noHBand="0" w:noVBand="1"/>
      </w:tblPr>
      <w:tblGrid>
        <w:gridCol w:w="1276"/>
        <w:gridCol w:w="851"/>
        <w:gridCol w:w="752"/>
        <w:gridCol w:w="807"/>
        <w:gridCol w:w="1311"/>
        <w:gridCol w:w="1311"/>
        <w:gridCol w:w="1311"/>
        <w:gridCol w:w="1312"/>
      </w:tblGrid>
      <w:tr w:rsidR="00DF7F38" w:rsidRPr="001B4CA2" w14:paraId="01EAAA93" w14:textId="77777777" w:rsidTr="00766A28">
        <w:trPr>
          <w:trHeight w:val="326"/>
        </w:trPr>
        <w:tc>
          <w:tcPr>
            <w:tcW w:w="8931" w:type="dxa"/>
            <w:gridSpan w:val="8"/>
            <w:tcBorders>
              <w:top w:val="nil"/>
              <w:left w:val="nil"/>
              <w:bottom w:val="single" w:sz="4" w:space="0" w:color="auto"/>
              <w:right w:val="nil"/>
            </w:tcBorders>
            <w:shd w:val="clear" w:color="auto" w:fill="auto"/>
            <w:noWrap/>
            <w:vAlign w:val="center"/>
            <w:hideMark/>
          </w:tcPr>
          <w:p w14:paraId="0FF33FFE" w14:textId="665B003F" w:rsidR="00DF7F38" w:rsidRPr="001B4CA2" w:rsidRDefault="000169EF" w:rsidP="006D0A51">
            <w:pPr>
              <w:spacing w:line="259" w:lineRule="auto"/>
              <w:jc w:val="left"/>
              <w:rPr>
                <w:rFonts w:eastAsia="Times New Roman"/>
                <w:i/>
                <w:iCs/>
                <w:lang w:eastAsia="hr-HR"/>
              </w:rPr>
            </w:pPr>
            <w:r>
              <w:rPr>
                <w:rFonts w:eastAsia="Times New Roman"/>
                <w:i/>
                <w:iCs/>
                <w:lang w:eastAsia="hr-HR"/>
              </w:rPr>
              <w:t xml:space="preserve"> </w:t>
            </w:r>
            <w:r w:rsidR="00DF7F38" w:rsidRPr="001B4CA2">
              <w:rPr>
                <w:rFonts w:eastAsia="Times New Roman"/>
                <w:i/>
                <w:iCs/>
                <w:lang w:eastAsia="hr-HR"/>
              </w:rPr>
              <w:t xml:space="preserve">Opći pregled pokazatelja uspješnosti rada Državnog odvjetništva Republike </w:t>
            </w:r>
            <w:r>
              <w:rPr>
                <w:rFonts w:eastAsia="Times New Roman"/>
                <w:i/>
                <w:iCs/>
                <w:lang w:eastAsia="hr-HR"/>
              </w:rPr>
              <w:t xml:space="preserve">  </w:t>
            </w:r>
            <w:r w:rsidR="00DF7F38" w:rsidRPr="001B4CA2">
              <w:rPr>
                <w:rFonts w:eastAsia="Times New Roman"/>
                <w:i/>
                <w:iCs/>
                <w:lang w:eastAsia="hr-HR"/>
              </w:rPr>
              <w:t>Hrvatske</w:t>
            </w:r>
          </w:p>
        </w:tc>
      </w:tr>
      <w:tr w:rsidR="00DF7F38" w:rsidRPr="001B4CA2" w14:paraId="299FEC2B" w14:textId="77777777" w:rsidTr="00766A28">
        <w:trPr>
          <w:cantSplit/>
          <w:trHeight w:val="1550"/>
        </w:trPr>
        <w:tc>
          <w:tcPr>
            <w:tcW w:w="1276" w:type="dxa"/>
            <w:tcBorders>
              <w:top w:val="single" w:sz="4" w:space="0" w:color="auto"/>
              <w:left w:val="single" w:sz="4" w:space="0" w:color="auto"/>
              <w:bottom w:val="single" w:sz="4" w:space="0" w:color="auto"/>
              <w:right w:val="single" w:sz="4" w:space="0" w:color="auto"/>
            </w:tcBorders>
            <w:shd w:val="clear" w:color="000000" w:fill="99CCFF"/>
            <w:vAlign w:val="center"/>
            <w:hideMark/>
          </w:tcPr>
          <w:p w14:paraId="229E7ED4" w14:textId="77777777" w:rsidR="00DF7F38" w:rsidRPr="001B4CA2" w:rsidRDefault="00DF7F38" w:rsidP="00DF7F38">
            <w:pPr>
              <w:jc w:val="center"/>
              <w:rPr>
                <w:rFonts w:eastAsia="Times New Roman"/>
                <w:b/>
                <w:bCs/>
                <w:sz w:val="18"/>
                <w:szCs w:val="18"/>
                <w:lang w:eastAsia="hr-HR"/>
              </w:rPr>
            </w:pPr>
            <w:r w:rsidRPr="001B4CA2">
              <w:rPr>
                <w:rFonts w:eastAsia="Times New Roman"/>
                <w:b/>
                <w:bCs/>
                <w:sz w:val="18"/>
                <w:szCs w:val="18"/>
                <w:lang w:eastAsia="hr-HR"/>
              </w:rPr>
              <w:t>Državna odvjetništva</w:t>
            </w:r>
          </w:p>
        </w:tc>
        <w:tc>
          <w:tcPr>
            <w:tcW w:w="851" w:type="dxa"/>
            <w:tcBorders>
              <w:top w:val="single" w:sz="4" w:space="0" w:color="auto"/>
              <w:left w:val="nil"/>
              <w:bottom w:val="single" w:sz="4" w:space="0" w:color="auto"/>
              <w:right w:val="single" w:sz="4" w:space="0" w:color="auto"/>
            </w:tcBorders>
            <w:shd w:val="clear" w:color="000000" w:fill="99CCFF"/>
            <w:noWrap/>
            <w:vAlign w:val="center"/>
            <w:hideMark/>
          </w:tcPr>
          <w:p w14:paraId="3574520D"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Godina</w:t>
            </w:r>
          </w:p>
        </w:tc>
        <w:tc>
          <w:tcPr>
            <w:tcW w:w="752" w:type="dxa"/>
            <w:tcBorders>
              <w:top w:val="single" w:sz="4" w:space="0" w:color="auto"/>
              <w:left w:val="nil"/>
              <w:bottom w:val="single" w:sz="4" w:space="0" w:color="auto"/>
              <w:right w:val="single" w:sz="4" w:space="0" w:color="auto"/>
            </w:tcBorders>
            <w:shd w:val="clear" w:color="000000" w:fill="99CCFF"/>
            <w:noWrap/>
            <w:vAlign w:val="center"/>
            <w:hideMark/>
          </w:tcPr>
          <w:p w14:paraId="4A7C8EB2"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CR</w:t>
            </w:r>
          </w:p>
        </w:tc>
        <w:tc>
          <w:tcPr>
            <w:tcW w:w="807" w:type="dxa"/>
            <w:tcBorders>
              <w:top w:val="single" w:sz="4" w:space="0" w:color="auto"/>
              <w:left w:val="nil"/>
              <w:bottom w:val="single" w:sz="4" w:space="0" w:color="auto"/>
              <w:right w:val="single" w:sz="4" w:space="0" w:color="auto"/>
            </w:tcBorders>
            <w:shd w:val="clear" w:color="000000" w:fill="99CCFF"/>
            <w:noWrap/>
            <w:vAlign w:val="center"/>
            <w:hideMark/>
          </w:tcPr>
          <w:p w14:paraId="277B1191"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DT</w:t>
            </w:r>
          </w:p>
        </w:tc>
        <w:tc>
          <w:tcPr>
            <w:tcW w:w="1311" w:type="dxa"/>
            <w:tcBorders>
              <w:top w:val="single" w:sz="4" w:space="0" w:color="auto"/>
              <w:left w:val="nil"/>
              <w:bottom w:val="single" w:sz="4" w:space="0" w:color="auto"/>
              <w:right w:val="single" w:sz="4" w:space="0" w:color="auto"/>
            </w:tcBorders>
            <w:shd w:val="clear" w:color="000000" w:fill="99CCFF"/>
            <w:vAlign w:val="center"/>
            <w:hideMark/>
          </w:tcPr>
          <w:p w14:paraId="375DA56B"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Broj zamjenika/ savjetnika – stvarna prisutnost</w:t>
            </w:r>
          </w:p>
        </w:tc>
        <w:tc>
          <w:tcPr>
            <w:tcW w:w="1311" w:type="dxa"/>
            <w:tcBorders>
              <w:top w:val="single" w:sz="4" w:space="0" w:color="auto"/>
              <w:left w:val="nil"/>
              <w:bottom w:val="single" w:sz="4" w:space="0" w:color="auto"/>
              <w:right w:val="single" w:sz="4" w:space="0" w:color="auto"/>
            </w:tcBorders>
            <w:shd w:val="clear" w:color="000000" w:fill="99CCFF"/>
            <w:vAlign w:val="center"/>
            <w:hideMark/>
          </w:tcPr>
          <w:p w14:paraId="1E9FC720"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Primljeno po zamjeniku/ savjetniku</w:t>
            </w:r>
          </w:p>
        </w:tc>
        <w:tc>
          <w:tcPr>
            <w:tcW w:w="1311" w:type="dxa"/>
            <w:tcBorders>
              <w:top w:val="single" w:sz="4" w:space="0" w:color="auto"/>
              <w:left w:val="nil"/>
              <w:bottom w:val="single" w:sz="4" w:space="0" w:color="auto"/>
              <w:right w:val="single" w:sz="4" w:space="0" w:color="auto"/>
            </w:tcBorders>
            <w:shd w:val="clear" w:color="000000" w:fill="99CCFF"/>
            <w:vAlign w:val="center"/>
            <w:hideMark/>
          </w:tcPr>
          <w:p w14:paraId="72A6D483"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Broj riješenih predmeta po zamjeniku/ savjetniku</w:t>
            </w:r>
          </w:p>
        </w:tc>
        <w:tc>
          <w:tcPr>
            <w:tcW w:w="1312" w:type="dxa"/>
            <w:tcBorders>
              <w:top w:val="single" w:sz="4" w:space="0" w:color="auto"/>
              <w:left w:val="nil"/>
              <w:bottom w:val="single" w:sz="4" w:space="0" w:color="auto"/>
              <w:right w:val="single" w:sz="4" w:space="0" w:color="auto"/>
            </w:tcBorders>
            <w:shd w:val="clear" w:color="000000" w:fill="99CCFF"/>
            <w:vAlign w:val="center"/>
            <w:hideMark/>
          </w:tcPr>
          <w:p w14:paraId="0533A725" w14:textId="77777777" w:rsidR="00DF7F38" w:rsidRPr="001B4CA2" w:rsidRDefault="00DF7F38" w:rsidP="006D0A51">
            <w:pPr>
              <w:jc w:val="center"/>
              <w:rPr>
                <w:rFonts w:eastAsia="Times New Roman"/>
                <w:b/>
                <w:bCs/>
                <w:sz w:val="18"/>
                <w:szCs w:val="18"/>
                <w:lang w:eastAsia="hr-HR"/>
              </w:rPr>
            </w:pPr>
            <w:r w:rsidRPr="001B4CA2">
              <w:rPr>
                <w:rFonts w:eastAsia="Times New Roman"/>
                <w:b/>
                <w:bCs/>
                <w:sz w:val="18"/>
                <w:szCs w:val="18"/>
                <w:lang w:eastAsia="hr-HR"/>
              </w:rPr>
              <w:t>Broj neriješenih predmeta po zamjeniku/ savjetniku</w:t>
            </w:r>
          </w:p>
        </w:tc>
      </w:tr>
      <w:tr w:rsidR="00DF7F38" w:rsidRPr="001B4CA2" w14:paraId="76931B0A" w14:textId="77777777" w:rsidTr="00766A28">
        <w:trPr>
          <w:trHeight w:val="326"/>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3EA29"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DORH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B1E1C"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2018.</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ECB59" w14:textId="77777777" w:rsidR="00DF7F38" w:rsidRPr="001B4CA2" w:rsidRDefault="00DF7F38" w:rsidP="006D0A51">
            <w:pPr>
              <w:jc w:val="center"/>
              <w:rPr>
                <w:color w:val="000000"/>
                <w:sz w:val="18"/>
                <w:szCs w:val="18"/>
              </w:rPr>
            </w:pPr>
            <w:r w:rsidRPr="001B4CA2">
              <w:rPr>
                <w:color w:val="000000"/>
                <w:sz w:val="18"/>
                <w:szCs w:val="18"/>
              </w:rPr>
              <w:t>104%</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BF17E" w14:textId="77777777" w:rsidR="00DF7F38" w:rsidRPr="001B4CA2" w:rsidRDefault="00DF7F38" w:rsidP="006D0A51">
            <w:pPr>
              <w:jc w:val="center"/>
              <w:rPr>
                <w:color w:val="000000"/>
                <w:sz w:val="18"/>
                <w:szCs w:val="18"/>
              </w:rPr>
            </w:pPr>
            <w:r w:rsidRPr="001B4CA2">
              <w:rPr>
                <w:color w:val="000000"/>
                <w:sz w:val="18"/>
                <w:szCs w:val="18"/>
              </w:rPr>
              <w:t>154,9</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C58A5" w14:textId="77777777" w:rsidR="00DF7F38" w:rsidRPr="001B4CA2" w:rsidRDefault="00DF7F38" w:rsidP="006D0A51">
            <w:pPr>
              <w:jc w:val="center"/>
              <w:rPr>
                <w:color w:val="000000"/>
                <w:sz w:val="18"/>
                <w:szCs w:val="18"/>
              </w:rPr>
            </w:pPr>
            <w:r w:rsidRPr="001B4CA2">
              <w:rPr>
                <w:color w:val="000000"/>
                <w:sz w:val="18"/>
                <w:szCs w:val="18"/>
              </w:rPr>
              <w:t>24</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1A51B" w14:textId="77777777" w:rsidR="00DF7F38" w:rsidRPr="001B4CA2" w:rsidRDefault="00DF7F38" w:rsidP="006D0A51">
            <w:pPr>
              <w:jc w:val="center"/>
              <w:rPr>
                <w:color w:val="000000"/>
                <w:sz w:val="18"/>
                <w:szCs w:val="18"/>
              </w:rPr>
            </w:pPr>
            <w:r w:rsidRPr="001B4CA2">
              <w:rPr>
                <w:color w:val="000000"/>
                <w:sz w:val="18"/>
                <w:szCs w:val="18"/>
              </w:rPr>
              <w:t>210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7DD9F" w14:textId="77777777" w:rsidR="00DF7F38" w:rsidRPr="001B4CA2" w:rsidRDefault="00DF7F38" w:rsidP="006D0A51">
            <w:pPr>
              <w:jc w:val="center"/>
              <w:rPr>
                <w:color w:val="000000"/>
                <w:sz w:val="18"/>
                <w:szCs w:val="18"/>
              </w:rPr>
            </w:pPr>
            <w:r w:rsidRPr="001B4CA2">
              <w:rPr>
                <w:color w:val="000000"/>
                <w:sz w:val="18"/>
                <w:szCs w:val="18"/>
              </w:rPr>
              <w:t>218,4</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DC3F3" w14:textId="77777777" w:rsidR="00DF7F38" w:rsidRPr="001B4CA2" w:rsidRDefault="00DF7F38" w:rsidP="006D0A51">
            <w:pPr>
              <w:jc w:val="center"/>
              <w:rPr>
                <w:color w:val="000000"/>
                <w:sz w:val="18"/>
                <w:szCs w:val="18"/>
              </w:rPr>
            </w:pPr>
            <w:r w:rsidRPr="001B4CA2">
              <w:rPr>
                <w:color w:val="000000"/>
                <w:sz w:val="18"/>
                <w:szCs w:val="18"/>
              </w:rPr>
              <w:t>92,7</w:t>
            </w:r>
          </w:p>
        </w:tc>
      </w:tr>
      <w:tr w:rsidR="00DF7F38" w:rsidRPr="001B4CA2" w14:paraId="3050ACAA" w14:textId="77777777" w:rsidTr="00766A28">
        <w:trPr>
          <w:trHeight w:val="326"/>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4813FB4" w14:textId="77777777" w:rsidR="00DF7F38" w:rsidRPr="001B4CA2" w:rsidRDefault="00DF7F38" w:rsidP="006D0A51">
            <w:pPr>
              <w:jc w:val="center"/>
              <w:rPr>
                <w:rFonts w:eastAsia="Times New Roman"/>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5939C"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2019.</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CC2DA" w14:textId="77777777" w:rsidR="00DF7F38" w:rsidRPr="001B4CA2" w:rsidRDefault="00DF7F38" w:rsidP="006D0A51">
            <w:pPr>
              <w:jc w:val="center"/>
              <w:rPr>
                <w:color w:val="000000"/>
                <w:sz w:val="18"/>
                <w:szCs w:val="18"/>
              </w:rPr>
            </w:pPr>
            <w:r w:rsidRPr="001B4CA2">
              <w:rPr>
                <w:color w:val="000000"/>
                <w:sz w:val="18"/>
                <w:szCs w:val="18"/>
              </w:rPr>
              <w:t>111%</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C16B6" w14:textId="77777777" w:rsidR="00DF7F38" w:rsidRPr="001B4CA2" w:rsidRDefault="00DF7F38" w:rsidP="006D0A51">
            <w:pPr>
              <w:jc w:val="center"/>
              <w:rPr>
                <w:color w:val="000000"/>
                <w:sz w:val="18"/>
                <w:szCs w:val="18"/>
              </w:rPr>
            </w:pPr>
            <w:r w:rsidRPr="001B4CA2">
              <w:rPr>
                <w:color w:val="000000"/>
                <w:sz w:val="18"/>
                <w:szCs w:val="18"/>
              </w:rPr>
              <w:t>105,7</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02512" w14:textId="77777777" w:rsidR="00DF7F38" w:rsidRPr="001B4CA2" w:rsidRDefault="00DF7F38" w:rsidP="006D0A51">
            <w:pPr>
              <w:jc w:val="center"/>
              <w:rPr>
                <w:color w:val="000000"/>
                <w:sz w:val="18"/>
                <w:szCs w:val="18"/>
              </w:rPr>
            </w:pPr>
            <w:r w:rsidRPr="001B4CA2">
              <w:rPr>
                <w:color w:val="000000"/>
                <w:sz w:val="18"/>
                <w:szCs w:val="18"/>
              </w:rPr>
              <w:t>31,3</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B2564" w14:textId="77777777" w:rsidR="00DF7F38" w:rsidRPr="001B4CA2" w:rsidRDefault="00DF7F38" w:rsidP="006D0A51">
            <w:pPr>
              <w:jc w:val="center"/>
              <w:rPr>
                <w:color w:val="000000"/>
                <w:sz w:val="18"/>
                <w:szCs w:val="18"/>
              </w:rPr>
            </w:pPr>
            <w:r w:rsidRPr="001B4CA2">
              <w:rPr>
                <w:color w:val="000000"/>
                <w:sz w:val="18"/>
                <w:szCs w:val="18"/>
              </w:rPr>
              <w:t>170,5</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63EED" w14:textId="77777777" w:rsidR="00DF7F38" w:rsidRPr="001B4CA2" w:rsidRDefault="00DF7F38" w:rsidP="006D0A51">
            <w:pPr>
              <w:jc w:val="center"/>
              <w:rPr>
                <w:color w:val="000000"/>
                <w:sz w:val="18"/>
                <w:szCs w:val="18"/>
              </w:rPr>
            </w:pPr>
            <w:r w:rsidRPr="001B4CA2">
              <w:rPr>
                <w:color w:val="000000"/>
                <w:sz w:val="18"/>
                <w:szCs w:val="18"/>
              </w:rPr>
              <w:t>188,7</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8DC86" w14:textId="77777777" w:rsidR="00DF7F38" w:rsidRPr="001B4CA2" w:rsidRDefault="00DF7F38" w:rsidP="006D0A51">
            <w:pPr>
              <w:jc w:val="center"/>
              <w:rPr>
                <w:color w:val="000000"/>
                <w:sz w:val="18"/>
                <w:szCs w:val="18"/>
              </w:rPr>
            </w:pPr>
            <w:r w:rsidRPr="001B4CA2">
              <w:rPr>
                <w:color w:val="000000"/>
                <w:sz w:val="18"/>
                <w:szCs w:val="18"/>
              </w:rPr>
              <w:t>54,7</w:t>
            </w:r>
          </w:p>
        </w:tc>
      </w:tr>
      <w:tr w:rsidR="00DF7F38" w:rsidRPr="001B4CA2" w14:paraId="725A2CAA" w14:textId="77777777" w:rsidTr="00766A28">
        <w:trPr>
          <w:trHeight w:val="326"/>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1FCC123" w14:textId="77777777" w:rsidR="00DF7F38" w:rsidRPr="001B4CA2" w:rsidRDefault="00DF7F38" w:rsidP="006D0A51">
            <w:pPr>
              <w:jc w:val="center"/>
              <w:rPr>
                <w:rFonts w:eastAsia="Times New Roman"/>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A2B36"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2020.</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8AC1A" w14:textId="77777777" w:rsidR="00DF7F38" w:rsidRPr="001B4CA2" w:rsidRDefault="00DF7F38" w:rsidP="006D0A51">
            <w:pPr>
              <w:jc w:val="center"/>
              <w:rPr>
                <w:color w:val="000000"/>
                <w:sz w:val="18"/>
                <w:szCs w:val="18"/>
              </w:rPr>
            </w:pPr>
            <w:r w:rsidRPr="001B4CA2">
              <w:rPr>
                <w:color w:val="000000"/>
                <w:sz w:val="18"/>
                <w:szCs w:val="18"/>
              </w:rPr>
              <w:t>100%</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F5A74" w14:textId="77777777" w:rsidR="00DF7F38" w:rsidRPr="001B4CA2" w:rsidRDefault="00DF7F38" w:rsidP="006D0A51">
            <w:pPr>
              <w:jc w:val="center"/>
              <w:rPr>
                <w:color w:val="000000"/>
                <w:sz w:val="18"/>
                <w:szCs w:val="18"/>
              </w:rPr>
            </w:pPr>
            <w:r w:rsidRPr="001B4CA2">
              <w:rPr>
                <w:color w:val="000000"/>
                <w:sz w:val="18"/>
                <w:szCs w:val="18"/>
              </w:rPr>
              <w:t>84,5 </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DFB65" w14:textId="77777777" w:rsidR="00DF7F38" w:rsidRPr="001B4CA2" w:rsidRDefault="00DF7F38" w:rsidP="006D0A51">
            <w:pPr>
              <w:jc w:val="center"/>
              <w:rPr>
                <w:color w:val="000000"/>
                <w:sz w:val="18"/>
                <w:szCs w:val="18"/>
              </w:rPr>
            </w:pPr>
            <w:r w:rsidRPr="001B4CA2">
              <w:rPr>
                <w:color w:val="000000"/>
                <w:sz w:val="18"/>
                <w:szCs w:val="18"/>
              </w:rPr>
              <w:t>33,5</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210B4" w14:textId="77777777" w:rsidR="00DF7F38" w:rsidRPr="001B4CA2" w:rsidRDefault="00DF7F38" w:rsidP="006D0A51">
            <w:pPr>
              <w:jc w:val="center"/>
              <w:rPr>
                <w:color w:val="000000"/>
                <w:sz w:val="18"/>
                <w:szCs w:val="18"/>
              </w:rPr>
            </w:pPr>
            <w:r w:rsidRPr="001B4CA2">
              <w:rPr>
                <w:color w:val="000000"/>
                <w:sz w:val="18"/>
                <w:szCs w:val="18"/>
              </w:rPr>
              <w:t>166,3</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7C060" w14:textId="77777777" w:rsidR="00DF7F38" w:rsidRPr="001B4CA2" w:rsidRDefault="00DF7F38" w:rsidP="006D0A51">
            <w:pPr>
              <w:jc w:val="center"/>
              <w:rPr>
                <w:color w:val="000000"/>
                <w:sz w:val="18"/>
                <w:szCs w:val="18"/>
              </w:rPr>
            </w:pPr>
            <w:r w:rsidRPr="001B4CA2">
              <w:rPr>
                <w:color w:val="000000"/>
                <w:sz w:val="18"/>
                <w:szCs w:val="18"/>
              </w:rPr>
              <w:t>166,7</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C0DCC" w14:textId="77777777" w:rsidR="00DF7F38" w:rsidRPr="001B4CA2" w:rsidRDefault="00DF7F38" w:rsidP="006D0A51">
            <w:pPr>
              <w:jc w:val="center"/>
              <w:rPr>
                <w:color w:val="000000"/>
                <w:sz w:val="18"/>
                <w:szCs w:val="18"/>
              </w:rPr>
            </w:pPr>
            <w:r w:rsidRPr="001B4CA2">
              <w:rPr>
                <w:color w:val="000000"/>
                <w:sz w:val="18"/>
                <w:szCs w:val="18"/>
              </w:rPr>
              <w:t>38,6</w:t>
            </w:r>
          </w:p>
        </w:tc>
      </w:tr>
      <w:tr w:rsidR="00DF7F38" w:rsidRPr="001B4CA2" w14:paraId="2A42994C" w14:textId="77777777" w:rsidTr="00766A28">
        <w:trPr>
          <w:trHeight w:val="326"/>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87062A2" w14:textId="77777777" w:rsidR="00DF7F38" w:rsidRPr="001B4CA2" w:rsidRDefault="00DF7F38" w:rsidP="006D0A51">
            <w:pPr>
              <w:jc w:val="center"/>
              <w:rPr>
                <w:rFonts w:eastAsia="Times New Roman"/>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4917B"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2021.</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DF11A" w14:textId="77777777" w:rsidR="00DF7F38" w:rsidRPr="001B4CA2" w:rsidRDefault="00DF7F38" w:rsidP="006D0A51">
            <w:pPr>
              <w:jc w:val="center"/>
              <w:rPr>
                <w:color w:val="000000"/>
                <w:sz w:val="18"/>
                <w:szCs w:val="18"/>
              </w:rPr>
            </w:pPr>
            <w:r w:rsidRPr="001B4CA2">
              <w:rPr>
                <w:color w:val="000000"/>
                <w:sz w:val="18"/>
                <w:szCs w:val="18"/>
              </w:rPr>
              <w:t>103%</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74EFC" w14:textId="77777777" w:rsidR="00DF7F38" w:rsidRPr="001B4CA2" w:rsidRDefault="00DF7F38" w:rsidP="006D0A51">
            <w:pPr>
              <w:jc w:val="center"/>
              <w:rPr>
                <w:color w:val="000000"/>
                <w:sz w:val="18"/>
                <w:szCs w:val="18"/>
              </w:rPr>
            </w:pPr>
            <w:r w:rsidRPr="001B4CA2">
              <w:rPr>
                <w:color w:val="000000"/>
                <w:sz w:val="18"/>
                <w:szCs w:val="18"/>
              </w:rPr>
              <w:t>58,9</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DD989" w14:textId="77777777" w:rsidR="00DF7F38" w:rsidRPr="001B4CA2" w:rsidRDefault="00DF7F38" w:rsidP="006D0A51">
            <w:pPr>
              <w:jc w:val="center"/>
              <w:rPr>
                <w:color w:val="000000"/>
                <w:sz w:val="18"/>
                <w:szCs w:val="18"/>
              </w:rPr>
            </w:pPr>
            <w:r w:rsidRPr="001B4CA2">
              <w:rPr>
                <w:color w:val="000000"/>
                <w:sz w:val="18"/>
                <w:szCs w:val="18"/>
              </w:rPr>
              <w:t>29,7</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F3B40" w14:textId="77777777" w:rsidR="00DF7F38" w:rsidRPr="001B4CA2" w:rsidRDefault="00DF7F38" w:rsidP="006D0A51">
            <w:pPr>
              <w:jc w:val="center"/>
              <w:rPr>
                <w:color w:val="000000"/>
                <w:sz w:val="18"/>
                <w:szCs w:val="18"/>
              </w:rPr>
            </w:pPr>
            <w:r w:rsidRPr="001B4CA2">
              <w:rPr>
                <w:color w:val="000000"/>
                <w:sz w:val="18"/>
                <w:szCs w:val="18"/>
              </w:rPr>
              <w:t>215,4</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10853" w14:textId="77777777" w:rsidR="00DF7F38" w:rsidRPr="001B4CA2" w:rsidRDefault="00DF7F38" w:rsidP="006D0A51">
            <w:pPr>
              <w:jc w:val="center"/>
              <w:rPr>
                <w:color w:val="000000"/>
                <w:sz w:val="18"/>
                <w:szCs w:val="18"/>
              </w:rPr>
            </w:pPr>
            <w:r w:rsidRPr="001B4CA2">
              <w:rPr>
                <w:color w:val="000000"/>
                <w:sz w:val="18"/>
                <w:szCs w:val="18"/>
              </w:rPr>
              <w:t>221,3</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93E94" w14:textId="77777777" w:rsidR="00DF7F38" w:rsidRPr="001B4CA2" w:rsidRDefault="00DF7F38" w:rsidP="006D0A51">
            <w:pPr>
              <w:jc w:val="center"/>
              <w:rPr>
                <w:color w:val="000000"/>
                <w:sz w:val="18"/>
                <w:szCs w:val="18"/>
              </w:rPr>
            </w:pPr>
            <w:r w:rsidRPr="001B4CA2">
              <w:rPr>
                <w:color w:val="000000"/>
                <w:sz w:val="18"/>
                <w:szCs w:val="18"/>
              </w:rPr>
              <w:t>35,7</w:t>
            </w:r>
          </w:p>
        </w:tc>
      </w:tr>
      <w:tr w:rsidR="00DF7F38" w:rsidRPr="001B4CA2" w14:paraId="17345187" w14:textId="77777777" w:rsidTr="00766A28">
        <w:trPr>
          <w:trHeight w:val="326"/>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57FFB0E1" w14:textId="77777777" w:rsidR="00DF7F38" w:rsidRPr="001B4CA2" w:rsidRDefault="00DF7F38" w:rsidP="006D0A51">
            <w:pPr>
              <w:jc w:val="center"/>
              <w:rPr>
                <w:rFonts w:eastAsia="Times New Roman"/>
                <w:sz w:val="18"/>
                <w:szCs w:val="18"/>
                <w:lang w:eastAsia="hr-H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19164" w14:textId="77777777" w:rsidR="00DF7F38" w:rsidRPr="001B4CA2" w:rsidRDefault="00DF7F38" w:rsidP="006D0A51">
            <w:pPr>
              <w:jc w:val="center"/>
              <w:rPr>
                <w:rFonts w:eastAsia="Times New Roman"/>
                <w:sz w:val="18"/>
                <w:szCs w:val="18"/>
                <w:lang w:eastAsia="hr-HR"/>
              </w:rPr>
            </w:pPr>
            <w:r w:rsidRPr="001B4CA2">
              <w:rPr>
                <w:rFonts w:eastAsia="Times New Roman"/>
                <w:sz w:val="18"/>
                <w:szCs w:val="18"/>
                <w:lang w:eastAsia="hr-HR"/>
              </w:rPr>
              <w:t>2022.</w:t>
            </w:r>
          </w:p>
        </w:tc>
        <w:tc>
          <w:tcPr>
            <w:tcW w:w="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36127" w14:textId="77777777" w:rsidR="00DF7F38" w:rsidRPr="001B4CA2" w:rsidRDefault="00DF7F38" w:rsidP="006D0A51">
            <w:pPr>
              <w:jc w:val="center"/>
              <w:rPr>
                <w:color w:val="000000"/>
                <w:sz w:val="18"/>
                <w:szCs w:val="18"/>
              </w:rPr>
            </w:pPr>
            <w:r w:rsidRPr="001B4CA2">
              <w:rPr>
                <w:color w:val="000000"/>
                <w:sz w:val="18"/>
                <w:szCs w:val="18"/>
              </w:rPr>
              <w:t>98%</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2D501" w14:textId="77777777" w:rsidR="00DF7F38" w:rsidRPr="001B4CA2" w:rsidRDefault="00DF7F38" w:rsidP="006D0A51">
            <w:pPr>
              <w:jc w:val="center"/>
              <w:rPr>
                <w:color w:val="000000"/>
                <w:sz w:val="18"/>
                <w:szCs w:val="18"/>
              </w:rPr>
            </w:pPr>
            <w:r w:rsidRPr="001B4CA2">
              <w:rPr>
                <w:color w:val="000000"/>
                <w:sz w:val="18"/>
                <w:szCs w:val="18"/>
              </w:rPr>
              <w:t>70,2</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27E47" w14:textId="77777777" w:rsidR="00DF7F38" w:rsidRPr="001B4CA2" w:rsidRDefault="00DF7F38" w:rsidP="006D0A51">
            <w:pPr>
              <w:jc w:val="center"/>
              <w:rPr>
                <w:color w:val="000000"/>
                <w:sz w:val="18"/>
                <w:szCs w:val="18"/>
              </w:rPr>
            </w:pPr>
            <w:r w:rsidRPr="001B4CA2">
              <w:rPr>
                <w:color w:val="000000"/>
                <w:sz w:val="18"/>
                <w:szCs w:val="18"/>
              </w:rPr>
              <w:t>27,5</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32776" w14:textId="77777777" w:rsidR="00DF7F38" w:rsidRPr="001B4CA2" w:rsidRDefault="00DF7F38" w:rsidP="006D0A51">
            <w:pPr>
              <w:jc w:val="center"/>
              <w:rPr>
                <w:color w:val="000000"/>
                <w:sz w:val="18"/>
                <w:szCs w:val="18"/>
              </w:rPr>
            </w:pPr>
            <w:r w:rsidRPr="001B4CA2">
              <w:rPr>
                <w:color w:val="000000"/>
                <w:sz w:val="18"/>
                <w:szCs w:val="18"/>
              </w:rPr>
              <w:t>212,7</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DA027" w14:textId="77777777" w:rsidR="00DF7F38" w:rsidRPr="001B4CA2" w:rsidRDefault="00DF7F38" w:rsidP="006D0A51">
            <w:pPr>
              <w:jc w:val="center"/>
              <w:rPr>
                <w:color w:val="000000"/>
                <w:sz w:val="18"/>
                <w:szCs w:val="18"/>
              </w:rPr>
            </w:pPr>
            <w:r w:rsidRPr="001B4CA2">
              <w:rPr>
                <w:color w:val="000000"/>
                <w:sz w:val="18"/>
                <w:szCs w:val="18"/>
              </w:rPr>
              <w:t>207,5</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5BA2E" w14:textId="77777777" w:rsidR="00DF7F38" w:rsidRPr="001B4CA2" w:rsidRDefault="00DF7F38" w:rsidP="006D0A51">
            <w:pPr>
              <w:jc w:val="center"/>
              <w:rPr>
                <w:color w:val="000000"/>
                <w:sz w:val="18"/>
                <w:szCs w:val="18"/>
              </w:rPr>
            </w:pPr>
            <w:r w:rsidRPr="001B4CA2">
              <w:rPr>
                <w:color w:val="000000"/>
                <w:sz w:val="18"/>
                <w:szCs w:val="18"/>
              </w:rPr>
              <w:t>39,9</w:t>
            </w:r>
          </w:p>
        </w:tc>
      </w:tr>
    </w:tbl>
    <w:p w14:paraId="4D286136" w14:textId="77777777" w:rsidR="00DF7F38" w:rsidRPr="001B4CA2" w:rsidRDefault="00DF7F38" w:rsidP="00DF7F38"/>
    <w:p w14:paraId="21264529" w14:textId="6373C4EB" w:rsidR="00DF7F38" w:rsidRPr="001B4CA2" w:rsidRDefault="00DF7F38" w:rsidP="00DF7F38">
      <w:pPr>
        <w:ind w:firstLine="708"/>
      </w:pPr>
      <w:r w:rsidRPr="001B4CA2">
        <w:t>Usprkos nedovoljnom broju zamjenika, njihovom angažmanu</w:t>
      </w:r>
      <w:r w:rsidR="001B4CA2">
        <w:t xml:space="preserve"> </w:t>
      </w:r>
      <w:r w:rsidRPr="001B4CA2">
        <w:t>u brojnim radnim skupinama za izradu nacrta prijedloga zakona te angažmanu zamjenika</w:t>
      </w:r>
      <w:r w:rsidR="001B4CA2">
        <w:t xml:space="preserve"> </w:t>
      </w:r>
      <w:r w:rsidRPr="001B4CA2">
        <w:t>na edukacijama organiziranim</w:t>
      </w:r>
      <w:r w:rsidR="00313B5F">
        <w:t>a</w:t>
      </w:r>
      <w:r w:rsidRPr="001B4CA2">
        <w:t xml:space="preserve"> od strane Pravosudne akademije, u 2022. godini zadržana </w:t>
      </w:r>
      <w:r w:rsidR="00313B5F" w:rsidRPr="001B4CA2">
        <w:t xml:space="preserve">je </w:t>
      </w:r>
      <w:r w:rsidRPr="001B4CA2">
        <w:t>visoka stopa ažurnosti</w:t>
      </w:r>
      <w:r w:rsidR="001B4CA2">
        <w:t xml:space="preserve"> </w:t>
      </w:r>
      <w:r w:rsidRPr="001B4CA2">
        <w:t>koja</w:t>
      </w:r>
      <w:r w:rsidR="001B4CA2">
        <w:t xml:space="preserve"> </w:t>
      </w:r>
      <w:r w:rsidRPr="001B4CA2">
        <w:t>iznosi</w:t>
      </w:r>
      <w:r w:rsidR="001B4CA2">
        <w:t xml:space="preserve"> </w:t>
      </w:r>
      <w:r w:rsidRPr="001B4CA2">
        <w:t xml:space="preserve">98 %, dok je broj riješenih predmeta po </w:t>
      </w:r>
      <w:proofErr w:type="spellStart"/>
      <w:r w:rsidRPr="001B4CA2">
        <w:t>rješavatelju</w:t>
      </w:r>
      <w:proofErr w:type="spellEnd"/>
      <w:r w:rsidRPr="001B4CA2">
        <w:t xml:space="preserve"> kao i vrijeme potrebno za donošenje odluke na razini prethodnih godina. </w:t>
      </w:r>
    </w:p>
    <w:p w14:paraId="578D4DCF" w14:textId="77777777" w:rsidR="003B5BDB" w:rsidRPr="001B4CA2" w:rsidRDefault="003B5BDB" w:rsidP="00FB1C62"/>
    <w:p w14:paraId="04ED7BF8" w14:textId="77777777" w:rsidR="006A1F25" w:rsidRPr="001B4CA2" w:rsidRDefault="006A1F25" w:rsidP="00FB1C62"/>
    <w:p w14:paraId="25B99CAE" w14:textId="77777777" w:rsidR="006A1F25" w:rsidRPr="001B4CA2" w:rsidRDefault="006A1F25" w:rsidP="00FB1C62"/>
    <w:p w14:paraId="5CBC92E8" w14:textId="77777777" w:rsidR="006A1F25" w:rsidRPr="001B4CA2" w:rsidRDefault="006A1F25" w:rsidP="00FB1C62"/>
    <w:p w14:paraId="495CA400" w14:textId="77777777" w:rsidR="006A1F25" w:rsidRPr="001B4CA2" w:rsidRDefault="006A1F25" w:rsidP="00FB1C62"/>
    <w:p w14:paraId="020C660D" w14:textId="5B614F41" w:rsidR="006A1F25" w:rsidRPr="001B4CA2" w:rsidRDefault="006A1F25" w:rsidP="00FB1C62"/>
    <w:p w14:paraId="3F2A52FF" w14:textId="55BEC711" w:rsidR="00DF7F38" w:rsidRPr="001B4CA2" w:rsidRDefault="00DF7F38" w:rsidP="00FB1C62"/>
    <w:p w14:paraId="12E7CD7E" w14:textId="61C306FB" w:rsidR="00DF7F38" w:rsidRPr="001B4CA2" w:rsidRDefault="00DF7F38" w:rsidP="00FB1C62"/>
    <w:p w14:paraId="11EFAB78" w14:textId="77777777" w:rsidR="00DF7F38" w:rsidRPr="001B4CA2" w:rsidRDefault="00DF7F38" w:rsidP="00FB1C62"/>
    <w:p w14:paraId="30B3B03A" w14:textId="77777777" w:rsidR="006A1F25" w:rsidRPr="001B4CA2" w:rsidRDefault="006A1F25" w:rsidP="00FB1C62"/>
    <w:p w14:paraId="1DC5189D" w14:textId="5CBC96D3" w:rsidR="007326B9" w:rsidRPr="001B4CA2" w:rsidRDefault="00BB4D48" w:rsidP="00B45008">
      <w:pPr>
        <w:pStyle w:val="Naslov3"/>
        <w:rPr>
          <w:rFonts w:ascii="Arial" w:hAnsi="Arial" w:cs="Arial"/>
        </w:rPr>
      </w:pPr>
      <w:bookmarkStart w:id="24" w:name="_Toc133394287"/>
      <w:r w:rsidRPr="001B4CA2">
        <w:rPr>
          <w:rFonts w:ascii="Arial" w:hAnsi="Arial" w:cs="Arial"/>
        </w:rPr>
        <w:lastRenderedPageBreak/>
        <w:t>P</w:t>
      </w:r>
      <w:r w:rsidR="00D80F32" w:rsidRPr="001B4CA2">
        <w:rPr>
          <w:rFonts w:ascii="Arial" w:hAnsi="Arial" w:cs="Arial"/>
        </w:rPr>
        <w:t xml:space="preserve">regled kretanja predmeta za </w:t>
      </w:r>
      <w:r w:rsidR="00AF2EE0" w:rsidRPr="001B4CA2">
        <w:rPr>
          <w:rFonts w:ascii="Arial" w:hAnsi="Arial" w:cs="Arial"/>
        </w:rPr>
        <w:t>202</w:t>
      </w:r>
      <w:r w:rsidR="00DF7F38" w:rsidRPr="001B4CA2">
        <w:rPr>
          <w:rFonts w:ascii="Arial" w:hAnsi="Arial" w:cs="Arial"/>
        </w:rPr>
        <w:t>2</w:t>
      </w:r>
      <w:r w:rsidRPr="001B4CA2">
        <w:rPr>
          <w:rFonts w:ascii="Arial" w:hAnsi="Arial" w:cs="Arial"/>
        </w:rPr>
        <w:t>. godinu s pokazateljim</w:t>
      </w:r>
      <w:r w:rsidR="00D80F32" w:rsidRPr="001B4CA2">
        <w:rPr>
          <w:rFonts w:ascii="Arial" w:hAnsi="Arial" w:cs="Arial"/>
        </w:rPr>
        <w:t>a po vrstama predmeta</w:t>
      </w:r>
      <w:bookmarkEnd w:id="24"/>
    </w:p>
    <w:p w14:paraId="49F2F511" w14:textId="77777777" w:rsidR="00FC1474" w:rsidRPr="001B4CA2" w:rsidRDefault="00FC1474" w:rsidP="00FC1474"/>
    <w:p w14:paraId="7A80E069" w14:textId="06285EB4" w:rsidR="005B29A5" w:rsidRPr="001B4CA2" w:rsidRDefault="00FC1474" w:rsidP="00886E1C">
      <w:pPr>
        <w:rPr>
          <w:i/>
          <w:iCs/>
        </w:rPr>
      </w:pPr>
      <w:r w:rsidRPr="001B4CA2">
        <w:rPr>
          <w:i/>
          <w:iCs/>
        </w:rPr>
        <w:t xml:space="preserve"> </w:t>
      </w:r>
      <w:r w:rsidR="000169EF">
        <w:rPr>
          <w:i/>
          <w:iCs/>
        </w:rPr>
        <w:t xml:space="preserve">   </w:t>
      </w:r>
      <w:r w:rsidRPr="001B4CA2">
        <w:rPr>
          <w:i/>
          <w:iCs/>
        </w:rPr>
        <w:t>Pregled kretanja predmeta po vrstama predmeta s indikatorima</w:t>
      </w:r>
    </w:p>
    <w:tbl>
      <w:tblPr>
        <w:tblW w:w="4654" w:type="pct"/>
        <w:tblInd w:w="250" w:type="dxa"/>
        <w:tblLayout w:type="fixed"/>
        <w:tblLook w:val="04A0" w:firstRow="1" w:lastRow="0" w:firstColumn="1" w:lastColumn="0" w:noHBand="0" w:noVBand="1"/>
      </w:tblPr>
      <w:tblGrid>
        <w:gridCol w:w="4257"/>
        <w:gridCol w:w="845"/>
        <w:gridCol w:w="851"/>
        <w:gridCol w:w="992"/>
        <w:gridCol w:w="851"/>
        <w:gridCol w:w="849"/>
      </w:tblGrid>
      <w:tr w:rsidR="000169EF" w:rsidRPr="001B4CA2" w14:paraId="6DA0CE0E" w14:textId="77777777" w:rsidTr="000169EF">
        <w:trPr>
          <w:trHeight w:val="327"/>
        </w:trPr>
        <w:tc>
          <w:tcPr>
            <w:tcW w:w="2462" w:type="pct"/>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7C1A1AD" w14:textId="77777777" w:rsidR="00DF7F38" w:rsidRPr="000169EF" w:rsidRDefault="00DF7F38" w:rsidP="006D0A51">
            <w:pPr>
              <w:jc w:val="center"/>
              <w:rPr>
                <w:rFonts w:eastAsia="Times New Roman"/>
                <w:b/>
                <w:bCs/>
                <w:sz w:val="18"/>
                <w:szCs w:val="18"/>
                <w:lang w:eastAsia="hr-HR"/>
              </w:rPr>
            </w:pPr>
            <w:r w:rsidRPr="000169EF">
              <w:rPr>
                <w:rFonts w:eastAsia="Times New Roman"/>
                <w:b/>
                <w:bCs/>
                <w:sz w:val="18"/>
                <w:szCs w:val="18"/>
                <w:lang w:eastAsia="hr-HR"/>
              </w:rPr>
              <w:t>Vrsta predmeta</w:t>
            </w:r>
          </w:p>
        </w:tc>
        <w:tc>
          <w:tcPr>
            <w:tcW w:w="1555" w:type="pct"/>
            <w:gridSpan w:val="3"/>
            <w:tcBorders>
              <w:top w:val="single" w:sz="4" w:space="0" w:color="auto"/>
              <w:left w:val="nil"/>
              <w:bottom w:val="single" w:sz="4" w:space="0" w:color="auto"/>
              <w:right w:val="single" w:sz="4" w:space="0" w:color="auto"/>
            </w:tcBorders>
            <w:shd w:val="clear" w:color="auto" w:fill="99CCFF"/>
            <w:noWrap/>
            <w:vAlign w:val="bottom"/>
            <w:hideMark/>
          </w:tcPr>
          <w:p w14:paraId="0A64499C" w14:textId="77777777" w:rsidR="00DF7F38" w:rsidRPr="000169EF" w:rsidRDefault="00DF7F38" w:rsidP="006D0A51">
            <w:pPr>
              <w:jc w:val="center"/>
              <w:rPr>
                <w:rFonts w:eastAsia="Times New Roman"/>
                <w:b/>
                <w:bCs/>
                <w:sz w:val="18"/>
                <w:szCs w:val="18"/>
                <w:lang w:eastAsia="hr-HR"/>
              </w:rPr>
            </w:pPr>
            <w:r w:rsidRPr="000169EF">
              <w:rPr>
                <w:rFonts w:eastAsia="Times New Roman"/>
                <w:b/>
                <w:bCs/>
                <w:sz w:val="18"/>
                <w:szCs w:val="18"/>
                <w:lang w:eastAsia="hr-HR"/>
              </w:rPr>
              <w:t>Kretanje predmeta u 2022. godini</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4689E65" w14:textId="77777777" w:rsidR="00DF7F38" w:rsidRPr="000169EF" w:rsidRDefault="00DF7F38" w:rsidP="006D0A51">
            <w:pPr>
              <w:jc w:val="center"/>
              <w:rPr>
                <w:rFonts w:eastAsia="Times New Roman"/>
                <w:b/>
                <w:bCs/>
                <w:sz w:val="18"/>
                <w:szCs w:val="18"/>
                <w:lang w:eastAsia="hr-HR"/>
              </w:rPr>
            </w:pPr>
            <w:r w:rsidRPr="000169EF">
              <w:rPr>
                <w:rFonts w:eastAsia="Times New Roman"/>
                <w:b/>
                <w:bCs/>
                <w:sz w:val="18"/>
                <w:szCs w:val="18"/>
                <w:lang w:eastAsia="hr-HR"/>
              </w:rPr>
              <w:t>CR</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7C914F6C" w14:textId="77777777" w:rsidR="00DF7F38" w:rsidRPr="000169EF" w:rsidRDefault="00DF7F38" w:rsidP="006D0A51">
            <w:pPr>
              <w:jc w:val="center"/>
              <w:rPr>
                <w:rFonts w:eastAsia="Times New Roman"/>
                <w:b/>
                <w:bCs/>
                <w:sz w:val="18"/>
                <w:szCs w:val="18"/>
                <w:lang w:eastAsia="hr-HR"/>
              </w:rPr>
            </w:pPr>
            <w:r w:rsidRPr="000169EF">
              <w:rPr>
                <w:rFonts w:eastAsia="Times New Roman"/>
                <w:b/>
                <w:bCs/>
                <w:sz w:val="18"/>
                <w:szCs w:val="18"/>
                <w:lang w:eastAsia="hr-HR"/>
              </w:rPr>
              <w:t>DT</w:t>
            </w:r>
          </w:p>
        </w:tc>
      </w:tr>
      <w:tr w:rsidR="000169EF" w:rsidRPr="001B4CA2" w14:paraId="171D0277" w14:textId="77777777" w:rsidTr="000169EF">
        <w:trPr>
          <w:cantSplit/>
          <w:trHeight w:val="1518"/>
        </w:trPr>
        <w:tc>
          <w:tcPr>
            <w:tcW w:w="2462" w:type="pct"/>
            <w:vMerge/>
            <w:tcBorders>
              <w:top w:val="single" w:sz="4" w:space="0" w:color="auto"/>
              <w:left w:val="single" w:sz="4" w:space="0" w:color="auto"/>
              <w:bottom w:val="single" w:sz="4" w:space="0" w:color="auto"/>
              <w:right w:val="single" w:sz="4" w:space="0" w:color="auto"/>
            </w:tcBorders>
            <w:vAlign w:val="center"/>
            <w:hideMark/>
          </w:tcPr>
          <w:p w14:paraId="4D0DD79C" w14:textId="77777777" w:rsidR="00DF7F38" w:rsidRPr="001B4CA2" w:rsidRDefault="00DF7F38" w:rsidP="006D0A51">
            <w:pPr>
              <w:jc w:val="left"/>
              <w:rPr>
                <w:rFonts w:eastAsia="Times New Roman"/>
                <w:b/>
                <w:bCs/>
                <w:sz w:val="18"/>
                <w:szCs w:val="18"/>
                <w:lang w:eastAsia="hr-HR"/>
              </w:rPr>
            </w:pPr>
          </w:p>
        </w:tc>
        <w:tc>
          <w:tcPr>
            <w:tcW w:w="489" w:type="pct"/>
            <w:tcBorders>
              <w:top w:val="single" w:sz="4" w:space="0" w:color="auto"/>
              <w:left w:val="nil"/>
              <w:bottom w:val="single" w:sz="4" w:space="0" w:color="auto"/>
              <w:right w:val="single" w:sz="4" w:space="0" w:color="auto"/>
            </w:tcBorders>
            <w:shd w:val="clear" w:color="auto" w:fill="99CCFF"/>
            <w:noWrap/>
            <w:textDirection w:val="btLr"/>
            <w:vAlign w:val="center"/>
            <w:hideMark/>
          </w:tcPr>
          <w:p w14:paraId="27156480" w14:textId="77777777" w:rsidR="00DF7F38" w:rsidRPr="000169EF" w:rsidRDefault="00DF7F38" w:rsidP="006D0A51">
            <w:pPr>
              <w:ind w:left="113" w:right="113"/>
              <w:jc w:val="left"/>
              <w:rPr>
                <w:rFonts w:eastAsia="Times New Roman"/>
                <w:b/>
                <w:bCs/>
                <w:sz w:val="18"/>
                <w:szCs w:val="18"/>
                <w:lang w:eastAsia="hr-HR"/>
              </w:rPr>
            </w:pPr>
            <w:r w:rsidRPr="000169EF">
              <w:rPr>
                <w:rFonts w:eastAsia="Times New Roman"/>
                <w:b/>
                <w:bCs/>
                <w:sz w:val="18"/>
                <w:szCs w:val="18"/>
                <w:lang w:eastAsia="hr-HR"/>
              </w:rPr>
              <w:t>Primljeno</w:t>
            </w:r>
          </w:p>
        </w:tc>
        <w:tc>
          <w:tcPr>
            <w:tcW w:w="492" w:type="pct"/>
            <w:tcBorders>
              <w:top w:val="single" w:sz="4" w:space="0" w:color="auto"/>
              <w:left w:val="nil"/>
              <w:bottom w:val="single" w:sz="4" w:space="0" w:color="auto"/>
              <w:right w:val="single" w:sz="4" w:space="0" w:color="auto"/>
            </w:tcBorders>
            <w:shd w:val="clear" w:color="auto" w:fill="99CCFF"/>
            <w:noWrap/>
            <w:textDirection w:val="btLr"/>
            <w:vAlign w:val="center"/>
            <w:hideMark/>
          </w:tcPr>
          <w:p w14:paraId="7ABD3A65" w14:textId="77777777" w:rsidR="00DF7F38" w:rsidRPr="000169EF" w:rsidRDefault="00DF7F38" w:rsidP="006D0A51">
            <w:pPr>
              <w:ind w:left="113" w:right="113"/>
              <w:jc w:val="left"/>
              <w:rPr>
                <w:rFonts w:eastAsia="Times New Roman"/>
                <w:b/>
                <w:bCs/>
                <w:sz w:val="18"/>
                <w:szCs w:val="18"/>
                <w:lang w:eastAsia="hr-HR"/>
              </w:rPr>
            </w:pPr>
            <w:r w:rsidRPr="000169EF">
              <w:rPr>
                <w:rFonts w:eastAsia="Times New Roman"/>
                <w:b/>
                <w:bCs/>
                <w:sz w:val="18"/>
                <w:szCs w:val="18"/>
                <w:lang w:eastAsia="hr-HR"/>
              </w:rPr>
              <w:t>Riješeno</w:t>
            </w:r>
          </w:p>
        </w:tc>
        <w:tc>
          <w:tcPr>
            <w:tcW w:w="574" w:type="pct"/>
            <w:tcBorders>
              <w:top w:val="single" w:sz="4" w:space="0" w:color="auto"/>
              <w:left w:val="nil"/>
              <w:bottom w:val="single" w:sz="4" w:space="0" w:color="auto"/>
              <w:right w:val="single" w:sz="4" w:space="0" w:color="auto"/>
            </w:tcBorders>
            <w:shd w:val="clear" w:color="auto" w:fill="99CCFF"/>
            <w:noWrap/>
            <w:textDirection w:val="btLr"/>
            <w:vAlign w:val="center"/>
            <w:hideMark/>
          </w:tcPr>
          <w:p w14:paraId="487621DD" w14:textId="77777777" w:rsidR="00DF7F38" w:rsidRPr="000169EF" w:rsidRDefault="00DF7F38" w:rsidP="006D0A51">
            <w:pPr>
              <w:ind w:left="113" w:right="113"/>
              <w:jc w:val="left"/>
              <w:rPr>
                <w:rFonts w:eastAsia="Times New Roman"/>
                <w:b/>
                <w:bCs/>
                <w:sz w:val="18"/>
                <w:szCs w:val="18"/>
                <w:lang w:eastAsia="hr-HR"/>
              </w:rPr>
            </w:pPr>
            <w:r w:rsidRPr="000169EF">
              <w:rPr>
                <w:rFonts w:eastAsia="Times New Roman"/>
                <w:b/>
                <w:bCs/>
                <w:sz w:val="18"/>
                <w:szCs w:val="18"/>
                <w:lang w:eastAsia="hr-HR"/>
              </w:rPr>
              <w:t>Neriješeno</w:t>
            </w: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76FDE7C9" w14:textId="77777777" w:rsidR="00DF7F38" w:rsidRPr="001B4CA2" w:rsidRDefault="00DF7F38" w:rsidP="006D0A51">
            <w:pPr>
              <w:jc w:val="left"/>
              <w:rPr>
                <w:rFonts w:eastAsia="Times New Roman"/>
                <w:b/>
                <w:bCs/>
                <w:sz w:val="18"/>
                <w:szCs w:val="18"/>
                <w:lang w:eastAsia="hr-HR"/>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05B1F552" w14:textId="77777777" w:rsidR="00DF7F38" w:rsidRPr="001B4CA2" w:rsidRDefault="00DF7F38" w:rsidP="006D0A51">
            <w:pPr>
              <w:jc w:val="left"/>
              <w:rPr>
                <w:rFonts w:eastAsia="Times New Roman"/>
                <w:b/>
                <w:bCs/>
                <w:sz w:val="18"/>
                <w:szCs w:val="18"/>
                <w:lang w:eastAsia="hr-HR"/>
              </w:rPr>
            </w:pPr>
          </w:p>
        </w:tc>
      </w:tr>
      <w:tr w:rsidR="00DF7F38" w:rsidRPr="001B4CA2" w14:paraId="0B738E25" w14:textId="77777777" w:rsidTr="000169EF">
        <w:trPr>
          <w:trHeight w:val="3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44122" w14:textId="77777777" w:rsidR="00DF7F38" w:rsidRPr="000169EF" w:rsidRDefault="00DF7F38" w:rsidP="006D0A51">
            <w:pPr>
              <w:jc w:val="left"/>
              <w:rPr>
                <w:rFonts w:eastAsia="Times New Roman"/>
                <w:sz w:val="18"/>
                <w:szCs w:val="18"/>
                <w:lang w:eastAsia="hr-HR"/>
              </w:rPr>
            </w:pPr>
            <w:r w:rsidRPr="000169EF">
              <w:rPr>
                <w:rFonts w:eastAsia="Times New Roman"/>
                <w:b/>
                <w:sz w:val="18"/>
                <w:szCs w:val="18"/>
                <w:lang w:eastAsia="hr-HR"/>
              </w:rPr>
              <w:t>Kazneni predmeti</w:t>
            </w:r>
          </w:p>
        </w:tc>
      </w:tr>
      <w:tr w:rsidR="000169EF" w:rsidRPr="001B4CA2" w14:paraId="2D6D41A7" w14:textId="77777777" w:rsidTr="000169EF">
        <w:trPr>
          <w:trHeight w:val="504"/>
        </w:trPr>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20DE48" w14:textId="77777777" w:rsidR="00DF7F38" w:rsidRPr="000169EF" w:rsidRDefault="00DF7F38" w:rsidP="006D0A51">
            <w:pPr>
              <w:jc w:val="left"/>
              <w:rPr>
                <w:rFonts w:eastAsia="Times New Roman"/>
                <w:sz w:val="18"/>
                <w:szCs w:val="18"/>
                <w:lang w:eastAsia="hr-HR"/>
              </w:rPr>
            </w:pPr>
            <w:r w:rsidRPr="000169EF">
              <w:rPr>
                <w:rFonts w:eastAsia="Times New Roman"/>
                <w:sz w:val="18"/>
                <w:szCs w:val="18"/>
                <w:lang w:eastAsia="hr-HR"/>
              </w:rPr>
              <w:t>Upisnik kaznenih predmeta u drugostupanjskom postupku (KŽ-DO)</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C5CE0" w14:textId="77777777" w:rsidR="00DF7F38" w:rsidRPr="000169EF" w:rsidRDefault="00DF7F38" w:rsidP="006D0A51">
            <w:pPr>
              <w:jc w:val="center"/>
              <w:rPr>
                <w:color w:val="000000"/>
                <w:sz w:val="18"/>
                <w:szCs w:val="18"/>
              </w:rPr>
            </w:pPr>
            <w:r w:rsidRPr="000169EF">
              <w:rPr>
                <w:color w:val="000000"/>
                <w:sz w:val="18"/>
                <w:szCs w:val="18"/>
              </w:rPr>
              <w:t>1.564</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7A83ECCA" w14:textId="77777777" w:rsidR="00DF7F38" w:rsidRPr="000169EF" w:rsidRDefault="00DF7F38" w:rsidP="006D0A51">
            <w:pPr>
              <w:jc w:val="center"/>
              <w:rPr>
                <w:color w:val="000000"/>
                <w:sz w:val="18"/>
                <w:szCs w:val="18"/>
              </w:rPr>
            </w:pPr>
            <w:r w:rsidRPr="000169EF">
              <w:rPr>
                <w:color w:val="000000"/>
                <w:sz w:val="18"/>
                <w:szCs w:val="18"/>
              </w:rPr>
              <w:t>1.563</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32200568" w14:textId="77777777" w:rsidR="00DF7F38" w:rsidRPr="000169EF" w:rsidRDefault="00DF7F38" w:rsidP="006D0A51">
            <w:pPr>
              <w:jc w:val="center"/>
              <w:rPr>
                <w:color w:val="000000"/>
                <w:sz w:val="18"/>
                <w:szCs w:val="18"/>
              </w:rPr>
            </w:pPr>
            <w:r w:rsidRPr="000169EF">
              <w:rPr>
                <w:color w:val="000000"/>
                <w:sz w:val="18"/>
                <w:szCs w:val="18"/>
              </w:rPr>
              <w:t>9</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117C42B9" w14:textId="77777777" w:rsidR="00DF7F38" w:rsidRPr="000169EF" w:rsidRDefault="00DF7F38" w:rsidP="006D0A51">
            <w:pPr>
              <w:jc w:val="center"/>
              <w:rPr>
                <w:color w:val="000000"/>
                <w:sz w:val="18"/>
                <w:szCs w:val="18"/>
              </w:rPr>
            </w:pPr>
            <w:r w:rsidRPr="000169EF">
              <w:rPr>
                <w:color w:val="000000"/>
                <w:sz w:val="18"/>
                <w:szCs w:val="18"/>
              </w:rPr>
              <w:t>100%</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71861CF" w14:textId="77777777" w:rsidR="00DF7F38" w:rsidRPr="000169EF" w:rsidRDefault="00DF7F38" w:rsidP="006D0A51">
            <w:pPr>
              <w:jc w:val="center"/>
              <w:rPr>
                <w:color w:val="000000"/>
                <w:sz w:val="18"/>
                <w:szCs w:val="18"/>
              </w:rPr>
            </w:pPr>
            <w:r w:rsidRPr="000169EF">
              <w:rPr>
                <w:color w:val="000000"/>
                <w:sz w:val="18"/>
                <w:szCs w:val="18"/>
              </w:rPr>
              <w:t>2,1</w:t>
            </w:r>
          </w:p>
        </w:tc>
      </w:tr>
      <w:tr w:rsidR="000169EF" w:rsidRPr="001B4CA2" w14:paraId="12BA1FED" w14:textId="77777777" w:rsidTr="000169EF">
        <w:trPr>
          <w:trHeight w:val="327"/>
        </w:trPr>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C7C62" w14:textId="77777777" w:rsidR="00DF7F38" w:rsidRPr="000169EF" w:rsidRDefault="00DF7F38" w:rsidP="006D0A51">
            <w:pPr>
              <w:jc w:val="left"/>
              <w:rPr>
                <w:rFonts w:eastAsia="Times New Roman"/>
                <w:sz w:val="18"/>
                <w:szCs w:val="18"/>
                <w:lang w:eastAsia="hr-HR"/>
              </w:rPr>
            </w:pPr>
            <w:r w:rsidRPr="000169EF">
              <w:rPr>
                <w:rFonts w:eastAsia="Times New Roman"/>
                <w:sz w:val="18"/>
                <w:szCs w:val="18"/>
                <w:lang w:eastAsia="hr-HR"/>
              </w:rPr>
              <w:t>Upisnici zahtjeva za zaštitu zakonitosti (KZZ-DO, ZPP-DO)</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C97D6" w14:textId="77777777" w:rsidR="00DF7F38" w:rsidRPr="000169EF" w:rsidRDefault="00DF7F38" w:rsidP="006D0A51">
            <w:pPr>
              <w:jc w:val="center"/>
              <w:rPr>
                <w:color w:val="000000"/>
                <w:sz w:val="18"/>
                <w:szCs w:val="18"/>
              </w:rPr>
            </w:pPr>
            <w:r w:rsidRPr="000169EF">
              <w:rPr>
                <w:color w:val="000000"/>
                <w:sz w:val="18"/>
                <w:szCs w:val="18"/>
              </w:rPr>
              <w:t>180</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0319DD97" w14:textId="77777777" w:rsidR="00DF7F38" w:rsidRPr="000169EF" w:rsidRDefault="00DF7F38" w:rsidP="006D0A51">
            <w:pPr>
              <w:jc w:val="center"/>
              <w:rPr>
                <w:color w:val="000000"/>
                <w:sz w:val="18"/>
                <w:szCs w:val="18"/>
              </w:rPr>
            </w:pPr>
            <w:r w:rsidRPr="000169EF">
              <w:rPr>
                <w:color w:val="000000"/>
                <w:sz w:val="18"/>
                <w:szCs w:val="18"/>
              </w:rPr>
              <w:t>176</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12568C1A" w14:textId="77777777" w:rsidR="00DF7F38" w:rsidRPr="000169EF" w:rsidRDefault="00DF7F38" w:rsidP="006D0A51">
            <w:pPr>
              <w:jc w:val="center"/>
              <w:rPr>
                <w:color w:val="000000"/>
                <w:sz w:val="18"/>
                <w:szCs w:val="18"/>
              </w:rPr>
            </w:pPr>
            <w:r w:rsidRPr="000169EF">
              <w:rPr>
                <w:color w:val="000000"/>
                <w:sz w:val="18"/>
                <w:szCs w:val="18"/>
              </w:rPr>
              <w:t>159</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1D49754D" w14:textId="77777777" w:rsidR="00DF7F38" w:rsidRPr="000169EF" w:rsidRDefault="00DF7F38" w:rsidP="006D0A51">
            <w:pPr>
              <w:jc w:val="center"/>
              <w:rPr>
                <w:color w:val="000000"/>
                <w:sz w:val="18"/>
                <w:szCs w:val="18"/>
              </w:rPr>
            </w:pPr>
            <w:r w:rsidRPr="000169EF">
              <w:rPr>
                <w:color w:val="000000"/>
                <w:sz w:val="18"/>
                <w:szCs w:val="18"/>
              </w:rPr>
              <w:t>98%</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625C9C4" w14:textId="77777777" w:rsidR="00DF7F38" w:rsidRPr="000169EF" w:rsidRDefault="00DF7F38" w:rsidP="006D0A51">
            <w:pPr>
              <w:jc w:val="center"/>
              <w:rPr>
                <w:color w:val="000000"/>
                <w:sz w:val="18"/>
                <w:szCs w:val="18"/>
              </w:rPr>
            </w:pPr>
            <w:r w:rsidRPr="000169EF">
              <w:rPr>
                <w:color w:val="000000"/>
                <w:sz w:val="18"/>
                <w:szCs w:val="18"/>
              </w:rPr>
              <w:t>329,7</w:t>
            </w:r>
          </w:p>
        </w:tc>
      </w:tr>
      <w:tr w:rsidR="000169EF" w:rsidRPr="001B4CA2" w14:paraId="463F1E38" w14:textId="77777777" w:rsidTr="000169EF">
        <w:trPr>
          <w:trHeight w:val="327"/>
        </w:trPr>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771A9" w14:textId="77777777" w:rsidR="00DF7F38" w:rsidRPr="000169EF" w:rsidRDefault="00DF7F38" w:rsidP="006D0A51">
            <w:pPr>
              <w:jc w:val="left"/>
              <w:rPr>
                <w:rFonts w:eastAsia="Times New Roman"/>
                <w:sz w:val="18"/>
                <w:szCs w:val="18"/>
                <w:lang w:eastAsia="hr-HR"/>
              </w:rPr>
            </w:pPr>
            <w:r w:rsidRPr="000169EF">
              <w:rPr>
                <w:rFonts w:eastAsia="Times New Roman"/>
                <w:sz w:val="18"/>
                <w:szCs w:val="18"/>
                <w:lang w:eastAsia="hr-HR"/>
              </w:rPr>
              <w:t>Drugi kazneni upisnici (</w:t>
            </w:r>
            <w:proofErr w:type="spellStart"/>
            <w:r w:rsidRPr="000169EF">
              <w:rPr>
                <w:rFonts w:eastAsia="Times New Roman"/>
                <w:sz w:val="18"/>
                <w:szCs w:val="18"/>
                <w:lang w:eastAsia="hr-HR"/>
              </w:rPr>
              <w:t>KMp</w:t>
            </w:r>
            <w:proofErr w:type="spellEnd"/>
            <w:r w:rsidRPr="000169EF">
              <w:rPr>
                <w:rFonts w:eastAsia="Times New Roman"/>
                <w:sz w:val="18"/>
                <w:szCs w:val="18"/>
                <w:lang w:eastAsia="hr-HR"/>
              </w:rPr>
              <w:t xml:space="preserve">-DO, </w:t>
            </w:r>
            <w:proofErr w:type="spellStart"/>
            <w:r w:rsidRPr="000169EF">
              <w:rPr>
                <w:rFonts w:eastAsia="Times New Roman"/>
                <w:sz w:val="18"/>
                <w:szCs w:val="18"/>
                <w:lang w:eastAsia="hr-HR"/>
              </w:rPr>
              <w:t>Kuo</w:t>
            </w:r>
            <w:proofErr w:type="spellEnd"/>
            <w:r w:rsidRPr="000169EF">
              <w:rPr>
                <w:rFonts w:eastAsia="Times New Roman"/>
                <w:sz w:val="18"/>
                <w:szCs w:val="18"/>
                <w:lang w:eastAsia="hr-HR"/>
              </w:rPr>
              <w:t xml:space="preserve">-DO, </w:t>
            </w:r>
            <w:proofErr w:type="spellStart"/>
            <w:r w:rsidRPr="000169EF">
              <w:rPr>
                <w:rFonts w:eastAsia="Times New Roman"/>
                <w:sz w:val="18"/>
                <w:szCs w:val="18"/>
                <w:lang w:eastAsia="hr-HR"/>
              </w:rPr>
              <w:t>Ksm</w:t>
            </w:r>
            <w:proofErr w:type="spellEnd"/>
            <w:r w:rsidRPr="000169EF">
              <w:rPr>
                <w:rFonts w:eastAsia="Times New Roman"/>
                <w:sz w:val="18"/>
                <w:szCs w:val="18"/>
                <w:lang w:eastAsia="hr-HR"/>
              </w:rPr>
              <w:t>-DO, KR-DO)</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01A76" w14:textId="77777777" w:rsidR="00DF7F38" w:rsidRPr="000169EF" w:rsidRDefault="00DF7F38" w:rsidP="006D0A51">
            <w:pPr>
              <w:jc w:val="center"/>
              <w:rPr>
                <w:color w:val="000000"/>
                <w:sz w:val="18"/>
                <w:szCs w:val="18"/>
              </w:rPr>
            </w:pPr>
            <w:r w:rsidRPr="000169EF">
              <w:rPr>
                <w:color w:val="000000"/>
                <w:sz w:val="18"/>
                <w:szCs w:val="18"/>
              </w:rPr>
              <w:t>2.812</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2D84184E" w14:textId="77777777" w:rsidR="00DF7F38" w:rsidRPr="000169EF" w:rsidRDefault="00DF7F38" w:rsidP="006D0A51">
            <w:pPr>
              <w:jc w:val="center"/>
              <w:rPr>
                <w:color w:val="000000"/>
                <w:sz w:val="18"/>
                <w:szCs w:val="18"/>
              </w:rPr>
            </w:pPr>
            <w:r w:rsidRPr="000169EF">
              <w:rPr>
                <w:color w:val="000000"/>
                <w:sz w:val="18"/>
                <w:szCs w:val="18"/>
              </w:rPr>
              <w:t>2.724</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3FA53058" w14:textId="77777777" w:rsidR="00DF7F38" w:rsidRPr="000169EF" w:rsidRDefault="00DF7F38" w:rsidP="006D0A51">
            <w:pPr>
              <w:jc w:val="center"/>
              <w:rPr>
                <w:color w:val="000000"/>
                <w:sz w:val="18"/>
                <w:szCs w:val="18"/>
              </w:rPr>
            </w:pPr>
            <w:r w:rsidRPr="000169EF">
              <w:rPr>
                <w:color w:val="000000"/>
                <w:sz w:val="18"/>
                <w:szCs w:val="18"/>
              </w:rPr>
              <w:t>660</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3F3C68CD" w14:textId="77777777" w:rsidR="00DF7F38" w:rsidRPr="000169EF" w:rsidRDefault="00DF7F38" w:rsidP="006D0A51">
            <w:pPr>
              <w:jc w:val="center"/>
              <w:rPr>
                <w:color w:val="000000"/>
                <w:sz w:val="18"/>
                <w:szCs w:val="18"/>
              </w:rPr>
            </w:pPr>
            <w:r w:rsidRPr="000169EF">
              <w:rPr>
                <w:color w:val="000000"/>
                <w:sz w:val="18"/>
                <w:szCs w:val="18"/>
              </w:rPr>
              <w:t>97%</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0B8D493B" w14:textId="77777777" w:rsidR="00DF7F38" w:rsidRPr="000169EF" w:rsidRDefault="00DF7F38" w:rsidP="006D0A51">
            <w:pPr>
              <w:jc w:val="center"/>
              <w:rPr>
                <w:color w:val="000000"/>
                <w:sz w:val="18"/>
                <w:szCs w:val="18"/>
              </w:rPr>
            </w:pPr>
            <w:r w:rsidRPr="000169EF">
              <w:rPr>
                <w:color w:val="000000"/>
                <w:sz w:val="18"/>
                <w:szCs w:val="18"/>
              </w:rPr>
              <w:t>88,4</w:t>
            </w:r>
          </w:p>
        </w:tc>
      </w:tr>
      <w:tr w:rsidR="000169EF" w:rsidRPr="001B4CA2" w14:paraId="35C43A9D" w14:textId="77777777" w:rsidTr="000169EF">
        <w:trPr>
          <w:trHeight w:val="327"/>
        </w:trPr>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7369D" w14:textId="77777777" w:rsidR="00DF7F38" w:rsidRPr="000169EF" w:rsidRDefault="00DF7F38" w:rsidP="006D0A51">
            <w:pPr>
              <w:jc w:val="left"/>
              <w:rPr>
                <w:rFonts w:eastAsia="Times New Roman"/>
                <w:b/>
                <w:bCs/>
                <w:sz w:val="18"/>
                <w:szCs w:val="18"/>
                <w:lang w:eastAsia="hr-HR"/>
              </w:rPr>
            </w:pPr>
            <w:r w:rsidRPr="000169EF">
              <w:rPr>
                <w:rFonts w:eastAsia="Times New Roman"/>
                <w:b/>
                <w:bCs/>
                <w:sz w:val="18"/>
                <w:szCs w:val="18"/>
                <w:lang w:eastAsia="hr-HR"/>
              </w:rPr>
              <w:t>Ukupno kazneni</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710EF" w14:textId="77777777" w:rsidR="00DF7F38" w:rsidRPr="000169EF" w:rsidRDefault="00DF7F38" w:rsidP="006D0A51">
            <w:pPr>
              <w:jc w:val="center"/>
              <w:rPr>
                <w:color w:val="000000"/>
                <w:sz w:val="18"/>
                <w:szCs w:val="18"/>
              </w:rPr>
            </w:pPr>
            <w:r w:rsidRPr="000169EF">
              <w:rPr>
                <w:color w:val="000000"/>
                <w:sz w:val="18"/>
                <w:szCs w:val="18"/>
              </w:rPr>
              <w:t>4.556</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78D169E0" w14:textId="77777777" w:rsidR="00DF7F38" w:rsidRPr="000169EF" w:rsidRDefault="00DF7F38" w:rsidP="006D0A51">
            <w:pPr>
              <w:jc w:val="center"/>
              <w:rPr>
                <w:color w:val="000000"/>
                <w:sz w:val="18"/>
                <w:szCs w:val="18"/>
              </w:rPr>
            </w:pPr>
            <w:r w:rsidRPr="000169EF">
              <w:rPr>
                <w:color w:val="000000"/>
                <w:sz w:val="18"/>
                <w:szCs w:val="18"/>
              </w:rPr>
              <w:t>4.463</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14D7BA67" w14:textId="77777777" w:rsidR="00DF7F38" w:rsidRPr="000169EF" w:rsidRDefault="00DF7F38" w:rsidP="006D0A51">
            <w:pPr>
              <w:jc w:val="center"/>
              <w:rPr>
                <w:color w:val="000000"/>
                <w:sz w:val="18"/>
                <w:szCs w:val="18"/>
              </w:rPr>
            </w:pPr>
            <w:r w:rsidRPr="000169EF">
              <w:rPr>
                <w:color w:val="000000"/>
                <w:sz w:val="18"/>
                <w:szCs w:val="18"/>
              </w:rPr>
              <w:t>828</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3316B6FE" w14:textId="77777777" w:rsidR="00DF7F38" w:rsidRPr="000169EF" w:rsidRDefault="00DF7F38" w:rsidP="006D0A51">
            <w:pPr>
              <w:jc w:val="center"/>
              <w:rPr>
                <w:color w:val="000000"/>
                <w:sz w:val="18"/>
                <w:szCs w:val="18"/>
              </w:rPr>
            </w:pPr>
            <w:r w:rsidRPr="000169EF">
              <w:rPr>
                <w:color w:val="000000"/>
                <w:sz w:val="18"/>
                <w:szCs w:val="18"/>
              </w:rPr>
              <w:t>98%</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0977033F" w14:textId="77777777" w:rsidR="00DF7F38" w:rsidRPr="000169EF" w:rsidRDefault="00DF7F38" w:rsidP="006D0A51">
            <w:pPr>
              <w:jc w:val="center"/>
              <w:rPr>
                <w:color w:val="000000"/>
                <w:sz w:val="18"/>
                <w:szCs w:val="18"/>
              </w:rPr>
            </w:pPr>
            <w:r w:rsidRPr="000169EF">
              <w:rPr>
                <w:color w:val="000000"/>
                <w:sz w:val="18"/>
                <w:szCs w:val="18"/>
              </w:rPr>
              <w:t>67,7</w:t>
            </w:r>
          </w:p>
        </w:tc>
      </w:tr>
      <w:tr w:rsidR="00DF7F38" w:rsidRPr="001B4CA2" w14:paraId="395DAEFD" w14:textId="77777777" w:rsidTr="000169EF">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971C0" w14:textId="77777777" w:rsidR="00DF7F38" w:rsidRPr="000169EF" w:rsidRDefault="00DF7F38" w:rsidP="006D0A51">
            <w:pPr>
              <w:jc w:val="left"/>
              <w:rPr>
                <w:b/>
                <w:bCs/>
                <w:sz w:val="18"/>
                <w:szCs w:val="18"/>
              </w:rPr>
            </w:pPr>
            <w:r w:rsidRPr="000169EF">
              <w:rPr>
                <w:b/>
                <w:bCs/>
                <w:sz w:val="18"/>
                <w:szCs w:val="18"/>
              </w:rPr>
              <w:t>Građansko-upravni predmeti</w:t>
            </w:r>
          </w:p>
        </w:tc>
      </w:tr>
      <w:tr w:rsidR="000169EF" w:rsidRPr="001B4CA2" w14:paraId="535797F2" w14:textId="77777777" w:rsidTr="000169EF">
        <w:trPr>
          <w:trHeight w:val="329"/>
        </w:trPr>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EEA63" w14:textId="77777777" w:rsidR="00DF7F38" w:rsidRPr="000169EF" w:rsidRDefault="00DF7F38" w:rsidP="006D0A51">
            <w:pPr>
              <w:jc w:val="left"/>
              <w:rPr>
                <w:b/>
                <w:bCs/>
                <w:sz w:val="18"/>
                <w:szCs w:val="18"/>
              </w:rPr>
            </w:pPr>
            <w:r w:rsidRPr="000169EF">
              <w:rPr>
                <w:rFonts w:eastAsia="Times New Roman"/>
                <w:sz w:val="18"/>
                <w:szCs w:val="18"/>
                <w:lang w:eastAsia="hr-HR"/>
              </w:rPr>
              <w:t>Parnični predmeti/arbitraže (P-DO)</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2C6F0" w14:textId="77777777" w:rsidR="00DF7F38" w:rsidRPr="000169EF" w:rsidRDefault="00DF7F38" w:rsidP="006D0A51">
            <w:pPr>
              <w:jc w:val="center"/>
              <w:rPr>
                <w:color w:val="000000"/>
                <w:sz w:val="18"/>
                <w:szCs w:val="18"/>
              </w:rPr>
            </w:pPr>
            <w:r w:rsidRPr="000169EF">
              <w:rPr>
                <w:color w:val="000000"/>
                <w:sz w:val="18"/>
                <w:szCs w:val="18"/>
              </w:rPr>
              <w:t>3</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61D69909" w14:textId="77777777" w:rsidR="00DF7F38" w:rsidRPr="000169EF" w:rsidRDefault="00DF7F38" w:rsidP="006D0A51">
            <w:pPr>
              <w:jc w:val="center"/>
              <w:rPr>
                <w:color w:val="000000"/>
                <w:sz w:val="18"/>
                <w:szCs w:val="18"/>
              </w:rPr>
            </w:pPr>
            <w:r w:rsidRPr="000169EF">
              <w:rPr>
                <w:color w:val="000000"/>
                <w:sz w:val="18"/>
                <w:szCs w:val="18"/>
              </w:rPr>
              <w:t>2</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00B9E2CA" w14:textId="77777777" w:rsidR="00DF7F38" w:rsidRPr="000169EF" w:rsidRDefault="00DF7F38" w:rsidP="006D0A51">
            <w:pPr>
              <w:jc w:val="center"/>
              <w:rPr>
                <w:color w:val="000000"/>
                <w:sz w:val="18"/>
                <w:szCs w:val="18"/>
              </w:rPr>
            </w:pPr>
            <w:r w:rsidRPr="000169EF">
              <w:rPr>
                <w:color w:val="000000"/>
                <w:sz w:val="18"/>
                <w:szCs w:val="18"/>
              </w:rPr>
              <w:t>2</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763DFDCD" w14:textId="77777777" w:rsidR="00DF7F38" w:rsidRPr="000169EF" w:rsidRDefault="00DF7F38" w:rsidP="006D0A51">
            <w:pPr>
              <w:jc w:val="center"/>
              <w:rPr>
                <w:color w:val="000000"/>
                <w:sz w:val="18"/>
                <w:szCs w:val="18"/>
              </w:rPr>
            </w:pPr>
            <w:r w:rsidRPr="000169EF">
              <w:rPr>
                <w:color w:val="000000"/>
                <w:sz w:val="18"/>
                <w:szCs w:val="18"/>
              </w:rPr>
              <w:t>67%</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433E97F0" w14:textId="77777777" w:rsidR="00DF7F38" w:rsidRPr="000169EF" w:rsidRDefault="00DF7F38" w:rsidP="006D0A51">
            <w:pPr>
              <w:jc w:val="center"/>
              <w:rPr>
                <w:color w:val="000000"/>
                <w:sz w:val="18"/>
                <w:szCs w:val="18"/>
              </w:rPr>
            </w:pPr>
            <w:r w:rsidRPr="000169EF">
              <w:rPr>
                <w:color w:val="000000"/>
                <w:sz w:val="18"/>
                <w:szCs w:val="18"/>
              </w:rPr>
              <w:t>365</w:t>
            </w:r>
          </w:p>
        </w:tc>
      </w:tr>
      <w:tr w:rsidR="000169EF" w:rsidRPr="001B4CA2" w14:paraId="4C4E6B97" w14:textId="77777777" w:rsidTr="000169EF">
        <w:trPr>
          <w:trHeight w:val="327"/>
        </w:trPr>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CFCDF" w14:textId="77777777" w:rsidR="00DF7F38" w:rsidRPr="000169EF" w:rsidRDefault="00DF7F38" w:rsidP="006D0A51">
            <w:pPr>
              <w:jc w:val="left"/>
              <w:rPr>
                <w:rFonts w:eastAsia="Times New Roman"/>
                <w:sz w:val="18"/>
                <w:szCs w:val="18"/>
                <w:lang w:eastAsia="hr-HR"/>
              </w:rPr>
            </w:pPr>
            <w:r w:rsidRPr="000169EF">
              <w:rPr>
                <w:rFonts w:eastAsia="Times New Roman"/>
                <w:sz w:val="18"/>
                <w:szCs w:val="18"/>
                <w:lang w:eastAsia="hr-HR"/>
              </w:rPr>
              <w:t>Pravna mišljenja (M-DO)</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2DEEAD" w14:textId="77777777" w:rsidR="00DF7F38" w:rsidRPr="000169EF" w:rsidRDefault="00DF7F38" w:rsidP="006D0A51">
            <w:pPr>
              <w:jc w:val="center"/>
              <w:rPr>
                <w:color w:val="000000"/>
                <w:sz w:val="18"/>
                <w:szCs w:val="18"/>
              </w:rPr>
            </w:pPr>
            <w:r w:rsidRPr="000169EF">
              <w:rPr>
                <w:color w:val="000000"/>
                <w:sz w:val="18"/>
                <w:szCs w:val="18"/>
              </w:rPr>
              <w:t>167</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1F2A1966" w14:textId="77777777" w:rsidR="00DF7F38" w:rsidRPr="000169EF" w:rsidRDefault="00DF7F38" w:rsidP="006D0A51">
            <w:pPr>
              <w:jc w:val="center"/>
              <w:rPr>
                <w:color w:val="000000"/>
                <w:sz w:val="18"/>
                <w:szCs w:val="18"/>
              </w:rPr>
            </w:pPr>
            <w:r w:rsidRPr="000169EF">
              <w:rPr>
                <w:color w:val="000000"/>
                <w:sz w:val="18"/>
                <w:szCs w:val="18"/>
              </w:rPr>
              <w:t>160</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2D1D1A86" w14:textId="77777777" w:rsidR="00DF7F38" w:rsidRPr="000169EF" w:rsidRDefault="00DF7F38" w:rsidP="006D0A51">
            <w:pPr>
              <w:jc w:val="center"/>
              <w:rPr>
                <w:color w:val="000000"/>
                <w:sz w:val="18"/>
                <w:szCs w:val="18"/>
              </w:rPr>
            </w:pPr>
            <w:r w:rsidRPr="000169EF">
              <w:rPr>
                <w:color w:val="000000"/>
                <w:sz w:val="18"/>
                <w:szCs w:val="18"/>
              </w:rPr>
              <w:t>26</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508F508F" w14:textId="77777777" w:rsidR="00DF7F38" w:rsidRPr="000169EF" w:rsidRDefault="00DF7F38" w:rsidP="006D0A51">
            <w:pPr>
              <w:jc w:val="center"/>
              <w:rPr>
                <w:color w:val="000000"/>
                <w:sz w:val="18"/>
                <w:szCs w:val="18"/>
              </w:rPr>
            </w:pPr>
            <w:r w:rsidRPr="000169EF">
              <w:rPr>
                <w:color w:val="000000"/>
                <w:sz w:val="18"/>
                <w:szCs w:val="18"/>
              </w:rPr>
              <w:t>96%</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5125B89" w14:textId="77777777" w:rsidR="00DF7F38" w:rsidRPr="000169EF" w:rsidRDefault="00DF7F38" w:rsidP="006D0A51">
            <w:pPr>
              <w:jc w:val="center"/>
              <w:rPr>
                <w:color w:val="000000"/>
                <w:sz w:val="18"/>
                <w:szCs w:val="18"/>
              </w:rPr>
            </w:pPr>
            <w:r w:rsidRPr="000169EF">
              <w:rPr>
                <w:color w:val="000000"/>
                <w:sz w:val="18"/>
                <w:szCs w:val="18"/>
              </w:rPr>
              <w:t>59,3</w:t>
            </w:r>
          </w:p>
        </w:tc>
      </w:tr>
      <w:tr w:rsidR="000169EF" w:rsidRPr="001B4CA2" w14:paraId="0346FB19" w14:textId="77777777" w:rsidTr="000169EF">
        <w:trPr>
          <w:trHeight w:val="655"/>
        </w:trPr>
        <w:tc>
          <w:tcPr>
            <w:tcW w:w="2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24B01" w14:textId="77777777" w:rsidR="00DF7F38" w:rsidRPr="000169EF" w:rsidRDefault="00DF7F38" w:rsidP="006D0A51">
            <w:pPr>
              <w:jc w:val="left"/>
              <w:rPr>
                <w:rFonts w:eastAsia="Times New Roman"/>
                <w:sz w:val="18"/>
                <w:szCs w:val="18"/>
                <w:lang w:eastAsia="hr-HR"/>
              </w:rPr>
            </w:pPr>
            <w:r w:rsidRPr="000169EF">
              <w:rPr>
                <w:rFonts w:eastAsia="Times New Roman"/>
                <w:sz w:val="18"/>
                <w:szCs w:val="18"/>
                <w:lang w:eastAsia="hr-HR"/>
              </w:rPr>
              <w:t>Zahtjevi za izvanredno preispitivanje pravomoćne presude (GZ-DO)</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846CAF" w14:textId="77777777" w:rsidR="00DF7F38" w:rsidRPr="000169EF" w:rsidRDefault="00DF7F38" w:rsidP="006D0A51">
            <w:pPr>
              <w:jc w:val="center"/>
              <w:rPr>
                <w:color w:val="000000"/>
                <w:sz w:val="18"/>
                <w:szCs w:val="18"/>
              </w:rPr>
            </w:pPr>
            <w:r w:rsidRPr="000169EF">
              <w:rPr>
                <w:color w:val="000000"/>
                <w:sz w:val="18"/>
                <w:szCs w:val="18"/>
              </w:rPr>
              <w:t>179</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5F4A5136" w14:textId="77777777" w:rsidR="00DF7F38" w:rsidRPr="000169EF" w:rsidRDefault="00DF7F38" w:rsidP="006D0A51">
            <w:pPr>
              <w:jc w:val="center"/>
              <w:rPr>
                <w:color w:val="000000"/>
                <w:sz w:val="18"/>
                <w:szCs w:val="18"/>
              </w:rPr>
            </w:pPr>
            <w:r w:rsidRPr="000169EF">
              <w:rPr>
                <w:color w:val="000000"/>
                <w:sz w:val="18"/>
                <w:szCs w:val="18"/>
              </w:rPr>
              <w:t>187</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411A6413" w14:textId="77777777" w:rsidR="00DF7F38" w:rsidRPr="000169EF" w:rsidRDefault="00DF7F38" w:rsidP="006D0A51">
            <w:pPr>
              <w:jc w:val="center"/>
              <w:rPr>
                <w:color w:val="000000"/>
                <w:sz w:val="18"/>
                <w:szCs w:val="18"/>
              </w:rPr>
            </w:pPr>
            <w:r w:rsidRPr="000169EF">
              <w:rPr>
                <w:color w:val="000000"/>
                <w:sz w:val="18"/>
                <w:szCs w:val="18"/>
              </w:rPr>
              <w:t>36</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2C7E167A" w14:textId="77777777" w:rsidR="00DF7F38" w:rsidRPr="000169EF" w:rsidRDefault="00DF7F38" w:rsidP="006D0A51">
            <w:pPr>
              <w:jc w:val="center"/>
              <w:rPr>
                <w:color w:val="000000"/>
                <w:sz w:val="18"/>
                <w:szCs w:val="18"/>
              </w:rPr>
            </w:pPr>
            <w:r w:rsidRPr="000169EF">
              <w:rPr>
                <w:color w:val="000000"/>
                <w:sz w:val="18"/>
                <w:szCs w:val="18"/>
              </w:rPr>
              <w:t>104%</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C311D89" w14:textId="77777777" w:rsidR="00DF7F38" w:rsidRPr="000169EF" w:rsidRDefault="00DF7F38" w:rsidP="006D0A51">
            <w:pPr>
              <w:jc w:val="center"/>
              <w:rPr>
                <w:color w:val="000000"/>
                <w:sz w:val="18"/>
                <w:szCs w:val="18"/>
              </w:rPr>
            </w:pPr>
            <w:r w:rsidRPr="000169EF">
              <w:rPr>
                <w:color w:val="000000"/>
                <w:sz w:val="18"/>
                <w:szCs w:val="18"/>
              </w:rPr>
              <w:t>70,3</w:t>
            </w:r>
          </w:p>
        </w:tc>
      </w:tr>
      <w:tr w:rsidR="000169EF" w:rsidRPr="001B4CA2" w14:paraId="3A9731B9" w14:textId="77777777" w:rsidTr="000169EF">
        <w:trPr>
          <w:trHeight w:val="327"/>
        </w:trPr>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B97F7" w14:textId="77777777" w:rsidR="00DF7F38" w:rsidRPr="000169EF" w:rsidRDefault="00DF7F38" w:rsidP="006D0A51">
            <w:pPr>
              <w:jc w:val="left"/>
              <w:rPr>
                <w:rFonts w:eastAsia="Times New Roman"/>
                <w:sz w:val="18"/>
                <w:szCs w:val="18"/>
                <w:lang w:eastAsia="hr-HR"/>
              </w:rPr>
            </w:pPr>
            <w:r w:rsidRPr="000169EF">
              <w:rPr>
                <w:rFonts w:eastAsia="Times New Roman"/>
                <w:sz w:val="18"/>
                <w:szCs w:val="18"/>
                <w:lang w:eastAsia="hr-HR"/>
              </w:rPr>
              <w:t>Ostali predmeti</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1CD2E" w14:textId="77777777" w:rsidR="00DF7F38" w:rsidRPr="000169EF" w:rsidRDefault="00DF7F38" w:rsidP="006D0A51">
            <w:pPr>
              <w:jc w:val="center"/>
              <w:rPr>
                <w:color w:val="000000"/>
                <w:sz w:val="18"/>
                <w:szCs w:val="18"/>
              </w:rPr>
            </w:pPr>
            <w:r w:rsidRPr="000169EF">
              <w:rPr>
                <w:color w:val="000000"/>
                <w:sz w:val="18"/>
                <w:szCs w:val="18"/>
              </w:rPr>
              <w:t>853</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40491E26" w14:textId="77777777" w:rsidR="00DF7F38" w:rsidRPr="000169EF" w:rsidRDefault="00DF7F38" w:rsidP="006D0A51">
            <w:pPr>
              <w:jc w:val="center"/>
              <w:rPr>
                <w:color w:val="000000"/>
                <w:sz w:val="18"/>
                <w:szCs w:val="18"/>
              </w:rPr>
            </w:pPr>
            <w:r w:rsidRPr="000169EF">
              <w:rPr>
                <w:color w:val="000000"/>
                <w:sz w:val="18"/>
                <w:szCs w:val="18"/>
              </w:rPr>
              <w:t>837</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501679BC" w14:textId="77777777" w:rsidR="00DF7F38" w:rsidRPr="000169EF" w:rsidRDefault="00DF7F38" w:rsidP="006D0A51">
            <w:pPr>
              <w:jc w:val="center"/>
              <w:rPr>
                <w:color w:val="000000"/>
                <w:sz w:val="18"/>
                <w:szCs w:val="18"/>
              </w:rPr>
            </w:pPr>
            <w:r w:rsidRPr="000169EF">
              <w:rPr>
                <w:color w:val="000000"/>
                <w:sz w:val="18"/>
                <w:szCs w:val="18"/>
              </w:rPr>
              <w:t>111</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09490AA6" w14:textId="77777777" w:rsidR="00DF7F38" w:rsidRPr="000169EF" w:rsidRDefault="00DF7F38" w:rsidP="006D0A51">
            <w:pPr>
              <w:jc w:val="center"/>
              <w:rPr>
                <w:color w:val="000000"/>
                <w:sz w:val="18"/>
                <w:szCs w:val="18"/>
              </w:rPr>
            </w:pPr>
            <w:r w:rsidRPr="000169EF">
              <w:rPr>
                <w:color w:val="000000"/>
                <w:sz w:val="18"/>
                <w:szCs w:val="18"/>
              </w:rPr>
              <w:t>98%</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522A449E" w14:textId="77777777" w:rsidR="00DF7F38" w:rsidRPr="000169EF" w:rsidRDefault="00DF7F38" w:rsidP="006D0A51">
            <w:pPr>
              <w:jc w:val="center"/>
              <w:rPr>
                <w:color w:val="000000"/>
                <w:sz w:val="18"/>
                <w:szCs w:val="18"/>
              </w:rPr>
            </w:pPr>
            <w:r w:rsidRPr="000169EF">
              <w:rPr>
                <w:color w:val="000000"/>
                <w:sz w:val="18"/>
                <w:szCs w:val="18"/>
              </w:rPr>
              <w:t>48,4</w:t>
            </w:r>
          </w:p>
        </w:tc>
      </w:tr>
      <w:tr w:rsidR="000169EF" w:rsidRPr="001B4CA2" w14:paraId="7A59132C" w14:textId="77777777" w:rsidTr="000169EF">
        <w:trPr>
          <w:trHeight w:val="327"/>
        </w:trPr>
        <w:tc>
          <w:tcPr>
            <w:tcW w:w="24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B5541" w14:textId="77777777" w:rsidR="00DF7F38" w:rsidRPr="000169EF" w:rsidRDefault="00DF7F38" w:rsidP="006D0A51">
            <w:pPr>
              <w:jc w:val="left"/>
              <w:rPr>
                <w:rFonts w:eastAsia="Times New Roman"/>
                <w:b/>
                <w:bCs/>
                <w:sz w:val="18"/>
                <w:szCs w:val="18"/>
                <w:lang w:eastAsia="hr-HR"/>
              </w:rPr>
            </w:pPr>
            <w:r w:rsidRPr="000169EF">
              <w:rPr>
                <w:rFonts w:eastAsia="Times New Roman"/>
                <w:b/>
                <w:bCs/>
                <w:sz w:val="18"/>
                <w:szCs w:val="18"/>
                <w:lang w:eastAsia="hr-HR"/>
              </w:rPr>
              <w:t>Ukupno građansko-upravni</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290A8" w14:textId="77777777" w:rsidR="00DF7F38" w:rsidRPr="000169EF" w:rsidRDefault="00DF7F38" w:rsidP="006D0A51">
            <w:pPr>
              <w:jc w:val="center"/>
              <w:rPr>
                <w:color w:val="000000"/>
                <w:sz w:val="18"/>
                <w:szCs w:val="18"/>
              </w:rPr>
            </w:pPr>
            <w:r w:rsidRPr="000169EF">
              <w:rPr>
                <w:color w:val="000000"/>
                <w:sz w:val="18"/>
                <w:szCs w:val="18"/>
              </w:rPr>
              <w:t>1.202</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2DD4420B" w14:textId="77777777" w:rsidR="00DF7F38" w:rsidRPr="000169EF" w:rsidRDefault="00DF7F38" w:rsidP="006D0A51">
            <w:pPr>
              <w:jc w:val="center"/>
              <w:rPr>
                <w:color w:val="000000"/>
                <w:sz w:val="18"/>
                <w:szCs w:val="18"/>
              </w:rPr>
            </w:pPr>
            <w:r w:rsidRPr="000169EF">
              <w:rPr>
                <w:color w:val="000000"/>
                <w:sz w:val="18"/>
                <w:szCs w:val="18"/>
              </w:rPr>
              <w:t>1.186</w:t>
            </w:r>
          </w:p>
        </w:tc>
        <w:tc>
          <w:tcPr>
            <w:tcW w:w="574" w:type="pct"/>
            <w:tcBorders>
              <w:top w:val="single" w:sz="4" w:space="0" w:color="auto"/>
              <w:left w:val="nil"/>
              <w:bottom w:val="single" w:sz="4" w:space="0" w:color="auto"/>
              <w:right w:val="single" w:sz="4" w:space="0" w:color="auto"/>
            </w:tcBorders>
            <w:shd w:val="clear" w:color="auto" w:fill="auto"/>
            <w:noWrap/>
            <w:vAlign w:val="center"/>
          </w:tcPr>
          <w:p w14:paraId="42F65EA3" w14:textId="77777777" w:rsidR="00DF7F38" w:rsidRPr="000169EF" w:rsidRDefault="00DF7F38" w:rsidP="006D0A51">
            <w:pPr>
              <w:jc w:val="center"/>
              <w:rPr>
                <w:color w:val="000000"/>
                <w:sz w:val="18"/>
                <w:szCs w:val="18"/>
              </w:rPr>
            </w:pPr>
            <w:r w:rsidRPr="000169EF">
              <w:rPr>
                <w:color w:val="000000"/>
                <w:sz w:val="18"/>
                <w:szCs w:val="18"/>
              </w:rPr>
              <w:t>175</w:t>
            </w:r>
          </w:p>
        </w:tc>
        <w:tc>
          <w:tcPr>
            <w:tcW w:w="492" w:type="pct"/>
            <w:tcBorders>
              <w:top w:val="single" w:sz="4" w:space="0" w:color="auto"/>
              <w:left w:val="nil"/>
              <w:bottom w:val="single" w:sz="4" w:space="0" w:color="auto"/>
              <w:right w:val="single" w:sz="4" w:space="0" w:color="auto"/>
            </w:tcBorders>
            <w:shd w:val="clear" w:color="auto" w:fill="auto"/>
            <w:noWrap/>
            <w:vAlign w:val="center"/>
          </w:tcPr>
          <w:p w14:paraId="0099675D" w14:textId="77777777" w:rsidR="00DF7F38" w:rsidRPr="000169EF" w:rsidRDefault="00DF7F38" w:rsidP="006D0A51">
            <w:pPr>
              <w:jc w:val="center"/>
              <w:rPr>
                <w:color w:val="000000"/>
                <w:sz w:val="18"/>
                <w:szCs w:val="18"/>
              </w:rPr>
            </w:pPr>
            <w:r w:rsidRPr="000169EF">
              <w:rPr>
                <w:color w:val="000000"/>
                <w:sz w:val="18"/>
                <w:szCs w:val="18"/>
              </w:rPr>
              <w:t>99%</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181F0D97" w14:textId="77777777" w:rsidR="00DF7F38" w:rsidRPr="000169EF" w:rsidRDefault="00DF7F38" w:rsidP="006D0A51">
            <w:pPr>
              <w:jc w:val="center"/>
              <w:rPr>
                <w:color w:val="000000"/>
                <w:sz w:val="18"/>
                <w:szCs w:val="18"/>
              </w:rPr>
            </w:pPr>
            <w:r w:rsidRPr="000169EF">
              <w:rPr>
                <w:color w:val="000000"/>
                <w:sz w:val="18"/>
                <w:szCs w:val="18"/>
              </w:rPr>
              <w:t>53,9</w:t>
            </w:r>
          </w:p>
        </w:tc>
      </w:tr>
    </w:tbl>
    <w:p w14:paraId="464188F7" w14:textId="77777777" w:rsidR="00DF7F38" w:rsidRPr="001B4CA2" w:rsidRDefault="00DF7F38" w:rsidP="00DF7F38"/>
    <w:p w14:paraId="5B304545" w14:textId="4AF1D603" w:rsidR="00DF7F38" w:rsidRPr="001B4CA2" w:rsidRDefault="00DF7F38" w:rsidP="00DF7F38">
      <w:pPr>
        <w:ind w:firstLine="708"/>
      </w:pPr>
      <w:r w:rsidRPr="001B4CA2">
        <w:t>Iz podataka u gornjoj tablici vidljivo je da je kazneni odjel usprkos nedovoljnom broju zamjenika zadržao visoku</w:t>
      </w:r>
      <w:r w:rsidR="001B4CA2">
        <w:t xml:space="preserve"> </w:t>
      </w:r>
      <w:r w:rsidRPr="001B4CA2">
        <w:t>stopu ažurnosti koja u 2022. iznosi 98 %.</w:t>
      </w:r>
    </w:p>
    <w:p w14:paraId="65DE443A" w14:textId="77777777" w:rsidR="00DF7F38" w:rsidRPr="001B4CA2" w:rsidRDefault="00DF7F38" w:rsidP="00DF7F38"/>
    <w:p w14:paraId="1AEC4EF2" w14:textId="77C42041" w:rsidR="00DF7F38" w:rsidRPr="001B4CA2" w:rsidRDefault="00DF7F38" w:rsidP="00DF7F38">
      <w:pPr>
        <w:ind w:firstLine="708"/>
      </w:pPr>
      <w:r w:rsidRPr="001B4CA2">
        <w:t>I nadalje je vrijeme rješavanja najduže u predmetima</w:t>
      </w:r>
      <w:r w:rsidR="001B4CA2">
        <w:t xml:space="preserve"> </w:t>
      </w:r>
      <w:r w:rsidRPr="001B4CA2">
        <w:t xml:space="preserve">povodom inicijativa za podizanje zahtjeva za zaštitu zakonitosti u kaznenim i prekršajnim predmetima, budući da su to pravno najsloženiji predmeti s jedne strane, ali i zbog činjenice da okrivljenici nerijetko predlažu podizanje zahtjeva za zaštitu zakonitosti te istodobno podnose i druge izvanredne pravne lijekove ili ustavne tužbe, pa spisi predmeta na temelju kojih se donosi </w:t>
      </w:r>
      <w:proofErr w:type="spellStart"/>
      <w:r w:rsidRPr="001B4CA2">
        <w:t>državnoodvjetnička</w:t>
      </w:r>
      <w:proofErr w:type="spellEnd"/>
      <w:r w:rsidRPr="001B4CA2">
        <w:t xml:space="preserve"> odluka određeno vrijeme nisu dostupni državnom odvjetništvu, jer se nalaze na rješavanju u sudovima.</w:t>
      </w:r>
    </w:p>
    <w:p w14:paraId="769D66A3" w14:textId="77777777" w:rsidR="00DF7F38" w:rsidRPr="001B4CA2" w:rsidRDefault="00DF7F38" w:rsidP="00DF7F38"/>
    <w:p w14:paraId="0F777B6C" w14:textId="69A9A344" w:rsidR="00DF7F38" w:rsidRPr="001B4CA2" w:rsidRDefault="00DF7F38" w:rsidP="00DF7F38">
      <w:pPr>
        <w:ind w:firstLine="567"/>
      </w:pPr>
      <w:r w:rsidRPr="001B4CA2">
        <w:t>Građansko</w:t>
      </w:r>
      <w:r w:rsidR="00313B5F">
        <w:t>-</w:t>
      </w:r>
      <w:r w:rsidRPr="001B4CA2">
        <w:t>upravni odjel je i u izvještajnom razdoblju zadržao visoku stopu ažurnosti</w:t>
      </w:r>
      <w:r w:rsidR="00FD08E9">
        <w:t xml:space="preserve">, </w:t>
      </w:r>
      <w:r w:rsidRPr="001B4CA2">
        <w:t>koja</w:t>
      </w:r>
      <w:r w:rsidR="001B4CA2">
        <w:t xml:space="preserve"> </w:t>
      </w:r>
      <w:r w:rsidRPr="001B4CA2">
        <w:t xml:space="preserve">iznosi 99 % usprkos radu na predmetima investicijskih arbitraža, na kojima rade svi zamjenici građansko-upravnog odjela, a kod kojih je zbog njihove iznimne činjenične i pravne složenosti vrijeme rješavanja najduže. </w:t>
      </w:r>
    </w:p>
    <w:p w14:paraId="75C6899D" w14:textId="77777777" w:rsidR="00DF7F38" w:rsidRPr="001B4CA2" w:rsidRDefault="00DF7F38" w:rsidP="00DF7F38"/>
    <w:p w14:paraId="5C9A52C1" w14:textId="77777777" w:rsidR="00DF7F38" w:rsidRPr="001B4CA2" w:rsidRDefault="00DF7F38" w:rsidP="00DF7F38"/>
    <w:p w14:paraId="48C617DD" w14:textId="77777777" w:rsidR="00CA2221" w:rsidRPr="001B4CA2" w:rsidRDefault="00CA2221" w:rsidP="00CA2221"/>
    <w:p w14:paraId="134B4D6F" w14:textId="77777777" w:rsidR="002028CB" w:rsidRPr="001B4CA2" w:rsidRDefault="002028CB" w:rsidP="00CA2221"/>
    <w:p w14:paraId="2D4E0877" w14:textId="1B82BA98" w:rsidR="00CD16DE" w:rsidRPr="001B4CA2" w:rsidRDefault="00CD16DE" w:rsidP="00886E1C">
      <w:r w:rsidRPr="001B4CA2">
        <w:br w:type="page"/>
      </w:r>
    </w:p>
    <w:p w14:paraId="25A7975F" w14:textId="4C3245AF" w:rsidR="00BB4D48" w:rsidRPr="001B4CA2" w:rsidRDefault="00BB4D48" w:rsidP="00570BA4">
      <w:pPr>
        <w:pStyle w:val="Naslov1"/>
      </w:pPr>
      <w:bookmarkStart w:id="25" w:name="_Toc133394288"/>
      <w:r w:rsidRPr="001B4CA2">
        <w:lastRenderedPageBreak/>
        <w:t xml:space="preserve">REZULTATI RADA DRŽAVNIH ODVJETNIŠTAVA ZA </w:t>
      </w:r>
      <w:r w:rsidR="00AF2EE0" w:rsidRPr="001B4CA2">
        <w:t>202</w:t>
      </w:r>
      <w:r w:rsidR="00154294" w:rsidRPr="001B4CA2">
        <w:t>2</w:t>
      </w:r>
      <w:r w:rsidRPr="001B4CA2">
        <w:t>. GODINU</w:t>
      </w:r>
      <w:bookmarkEnd w:id="25"/>
    </w:p>
    <w:p w14:paraId="2966DEB2" w14:textId="77777777" w:rsidR="00BB4D48" w:rsidRPr="001B4CA2" w:rsidRDefault="00BB4D48" w:rsidP="00886E1C"/>
    <w:p w14:paraId="224B6566" w14:textId="77777777" w:rsidR="00716A9C" w:rsidRPr="001B4CA2" w:rsidRDefault="00716A9C" w:rsidP="002745D3"/>
    <w:p w14:paraId="6A7A1B91" w14:textId="32EB2CC4" w:rsidR="00BB4D48" w:rsidRPr="001B4CA2" w:rsidRDefault="00BB4D48" w:rsidP="002745D3">
      <w:pPr>
        <w:pStyle w:val="Naslov2"/>
        <w:rPr>
          <w:rFonts w:ascii="Arial" w:hAnsi="Arial" w:cs="Arial"/>
        </w:rPr>
      </w:pPr>
      <w:bookmarkStart w:id="26" w:name="_Toc133394289"/>
      <w:r w:rsidRPr="001B4CA2">
        <w:rPr>
          <w:rFonts w:ascii="Arial" w:hAnsi="Arial" w:cs="Arial"/>
        </w:rPr>
        <w:t>Zbirni prikaz načina rješavanja kaznenih, građa</w:t>
      </w:r>
      <w:r w:rsidR="00CE234E" w:rsidRPr="001B4CA2">
        <w:rPr>
          <w:rFonts w:ascii="Arial" w:hAnsi="Arial" w:cs="Arial"/>
        </w:rPr>
        <w:t xml:space="preserve">nskih i upravnih predmeta u </w:t>
      </w:r>
      <w:r w:rsidR="001F72F0" w:rsidRPr="001B4CA2">
        <w:rPr>
          <w:rFonts w:ascii="Arial" w:hAnsi="Arial" w:cs="Arial"/>
        </w:rPr>
        <w:t>202</w:t>
      </w:r>
      <w:r w:rsidR="00154294" w:rsidRPr="001B4CA2">
        <w:rPr>
          <w:rFonts w:ascii="Arial" w:hAnsi="Arial" w:cs="Arial"/>
        </w:rPr>
        <w:t>2</w:t>
      </w:r>
      <w:r w:rsidRPr="001B4CA2">
        <w:rPr>
          <w:rFonts w:ascii="Arial" w:hAnsi="Arial" w:cs="Arial"/>
        </w:rPr>
        <w:t>. godini</w:t>
      </w:r>
      <w:r w:rsidR="00CE234E" w:rsidRPr="001B4CA2">
        <w:rPr>
          <w:rFonts w:ascii="Arial" w:hAnsi="Arial" w:cs="Arial"/>
        </w:rPr>
        <w:t xml:space="preserve"> za raz</w:t>
      </w:r>
      <w:r w:rsidR="007326B9" w:rsidRPr="001B4CA2">
        <w:rPr>
          <w:rFonts w:ascii="Arial" w:hAnsi="Arial" w:cs="Arial"/>
        </w:rPr>
        <w:t>doblje od 201</w:t>
      </w:r>
      <w:r w:rsidR="0040191F" w:rsidRPr="001B4CA2">
        <w:rPr>
          <w:rFonts w:ascii="Arial" w:hAnsi="Arial" w:cs="Arial"/>
        </w:rPr>
        <w:t>8</w:t>
      </w:r>
      <w:r w:rsidR="007326B9" w:rsidRPr="001B4CA2">
        <w:rPr>
          <w:rFonts w:ascii="Arial" w:hAnsi="Arial" w:cs="Arial"/>
        </w:rPr>
        <w:t xml:space="preserve">. do </w:t>
      </w:r>
      <w:r w:rsidR="005C0541" w:rsidRPr="001B4CA2">
        <w:rPr>
          <w:rFonts w:ascii="Arial" w:hAnsi="Arial" w:cs="Arial"/>
        </w:rPr>
        <w:t>202</w:t>
      </w:r>
      <w:r w:rsidR="0040191F" w:rsidRPr="001B4CA2">
        <w:rPr>
          <w:rFonts w:ascii="Arial" w:hAnsi="Arial" w:cs="Arial"/>
        </w:rPr>
        <w:t>2</w:t>
      </w:r>
      <w:r w:rsidR="007326B9" w:rsidRPr="001B4CA2">
        <w:rPr>
          <w:rFonts w:ascii="Arial" w:hAnsi="Arial" w:cs="Arial"/>
        </w:rPr>
        <w:t>. godine</w:t>
      </w:r>
      <w:bookmarkEnd w:id="26"/>
    </w:p>
    <w:p w14:paraId="3E8AF8F3" w14:textId="77777777" w:rsidR="00D91600" w:rsidRPr="001B4CA2" w:rsidRDefault="00D91600" w:rsidP="002745D3"/>
    <w:p w14:paraId="69807FC3" w14:textId="77777777" w:rsidR="007326B9" w:rsidRPr="001B4CA2" w:rsidRDefault="00BB4D48" w:rsidP="002745D3">
      <w:pPr>
        <w:pStyle w:val="Naslov3"/>
        <w:rPr>
          <w:rFonts w:ascii="Arial" w:hAnsi="Arial" w:cs="Arial"/>
        </w:rPr>
      </w:pPr>
      <w:bookmarkStart w:id="27" w:name="_Toc133394290"/>
      <w:r w:rsidRPr="001B4CA2">
        <w:rPr>
          <w:rFonts w:ascii="Arial" w:hAnsi="Arial" w:cs="Arial"/>
        </w:rPr>
        <w:t>Zbirni prikaz rada i odluka u kazn</w:t>
      </w:r>
      <w:r w:rsidR="00CE234E" w:rsidRPr="001B4CA2">
        <w:rPr>
          <w:rFonts w:ascii="Arial" w:hAnsi="Arial" w:cs="Arial"/>
        </w:rPr>
        <w:t xml:space="preserve">enim i prekršajnim </w:t>
      </w:r>
      <w:r w:rsidR="007326B9" w:rsidRPr="001B4CA2">
        <w:rPr>
          <w:rFonts w:ascii="Arial" w:hAnsi="Arial" w:cs="Arial"/>
        </w:rPr>
        <w:t>predmetima</w:t>
      </w:r>
      <w:bookmarkEnd w:id="27"/>
    </w:p>
    <w:p w14:paraId="4D86047F" w14:textId="77777777" w:rsidR="00B119EA" w:rsidRPr="001B4CA2" w:rsidRDefault="00B119EA" w:rsidP="00982D15">
      <w:pPr>
        <w:rPr>
          <w:rFonts w:eastAsia="Times New Roman"/>
          <w:i/>
          <w:iCs/>
          <w:lang w:eastAsia="hr-HR"/>
        </w:rPr>
      </w:pPr>
    </w:p>
    <w:p w14:paraId="1B55CCEB" w14:textId="61F7FCA5" w:rsidR="00D87CAC" w:rsidRPr="001B4CA2" w:rsidRDefault="000169EF" w:rsidP="00982D15">
      <w:r>
        <w:rPr>
          <w:rFonts w:eastAsia="Times New Roman"/>
          <w:i/>
          <w:iCs/>
          <w:lang w:eastAsia="hr-HR"/>
        </w:rPr>
        <w:t xml:space="preserve">     </w:t>
      </w:r>
      <w:r w:rsidR="00C814A1" w:rsidRPr="001B4CA2">
        <w:rPr>
          <w:rFonts w:eastAsia="Times New Roman"/>
          <w:i/>
          <w:iCs/>
          <w:lang w:eastAsia="hr-HR"/>
        </w:rPr>
        <w:t>Struktura prijavljenih poznatih osoba – sve osobe</w:t>
      </w:r>
    </w:p>
    <w:tbl>
      <w:tblPr>
        <w:tblW w:w="883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8"/>
        <w:gridCol w:w="777"/>
        <w:gridCol w:w="777"/>
        <w:gridCol w:w="781"/>
        <w:gridCol w:w="781"/>
        <w:gridCol w:w="767"/>
        <w:gridCol w:w="767"/>
        <w:gridCol w:w="767"/>
        <w:gridCol w:w="767"/>
        <w:gridCol w:w="767"/>
        <w:gridCol w:w="767"/>
      </w:tblGrid>
      <w:tr w:rsidR="00C814A1" w:rsidRPr="001B4CA2" w14:paraId="656416EE" w14:textId="77777777" w:rsidTr="000169EF">
        <w:trPr>
          <w:trHeight w:val="399"/>
        </w:trPr>
        <w:tc>
          <w:tcPr>
            <w:tcW w:w="1079" w:type="dxa"/>
            <w:vMerge w:val="restart"/>
            <w:shd w:val="clear" w:color="auto" w:fill="99CCFF"/>
            <w:noWrap/>
            <w:vAlign w:val="center"/>
            <w:hideMark/>
          </w:tcPr>
          <w:p w14:paraId="70249765" w14:textId="584745E1" w:rsidR="00C814A1" w:rsidRPr="001B4CA2" w:rsidRDefault="00C814A1" w:rsidP="00C814A1">
            <w:pPr>
              <w:jc w:val="center"/>
              <w:rPr>
                <w:rFonts w:eastAsia="Times New Roman"/>
                <w:i/>
                <w:iCs/>
                <w:lang w:eastAsia="hr-HR"/>
              </w:rPr>
            </w:pPr>
            <w:r w:rsidRPr="001B4CA2">
              <w:rPr>
                <w:rFonts w:eastAsia="Times New Roman"/>
                <w:b/>
                <w:sz w:val="18"/>
                <w:szCs w:val="18"/>
                <w:lang w:eastAsia="hr-HR"/>
              </w:rPr>
              <w:t>Prijavljene osobe</w:t>
            </w:r>
          </w:p>
        </w:tc>
        <w:tc>
          <w:tcPr>
            <w:tcW w:w="1569" w:type="dxa"/>
            <w:gridSpan w:val="2"/>
            <w:shd w:val="clear" w:color="auto" w:fill="99CCFF"/>
            <w:vAlign w:val="center"/>
          </w:tcPr>
          <w:p w14:paraId="0DFD867E" w14:textId="566121A6" w:rsidR="00C814A1" w:rsidRPr="001B4CA2" w:rsidRDefault="00C814A1" w:rsidP="00C814A1">
            <w:pPr>
              <w:jc w:val="center"/>
              <w:rPr>
                <w:rFonts w:eastAsia="Times New Roman"/>
                <w:i/>
                <w:iCs/>
                <w:lang w:eastAsia="hr-HR"/>
              </w:rPr>
            </w:pPr>
            <w:r w:rsidRPr="001B4CA2">
              <w:rPr>
                <w:rFonts w:eastAsia="Times New Roman"/>
                <w:b/>
                <w:bCs/>
                <w:sz w:val="18"/>
                <w:szCs w:val="18"/>
                <w:lang w:eastAsia="hr-HR"/>
              </w:rPr>
              <w:t>201</w:t>
            </w:r>
            <w:r w:rsidR="0040191F" w:rsidRPr="001B4CA2">
              <w:rPr>
                <w:rFonts w:eastAsia="Times New Roman"/>
                <w:b/>
                <w:bCs/>
                <w:sz w:val="18"/>
                <w:szCs w:val="18"/>
                <w:lang w:eastAsia="hr-HR"/>
              </w:rPr>
              <w:t>8</w:t>
            </w:r>
            <w:r w:rsidRPr="001B4CA2">
              <w:rPr>
                <w:rFonts w:eastAsia="Times New Roman"/>
                <w:b/>
                <w:bCs/>
                <w:sz w:val="18"/>
                <w:szCs w:val="18"/>
                <w:lang w:eastAsia="hr-HR"/>
              </w:rPr>
              <w:t>.</w:t>
            </w:r>
          </w:p>
        </w:tc>
        <w:tc>
          <w:tcPr>
            <w:tcW w:w="1586" w:type="dxa"/>
            <w:gridSpan w:val="2"/>
            <w:shd w:val="clear" w:color="auto" w:fill="99CCFF"/>
            <w:vAlign w:val="center"/>
          </w:tcPr>
          <w:p w14:paraId="68AFE7BB" w14:textId="3A5E7CF5" w:rsidR="00C814A1" w:rsidRPr="001B4CA2" w:rsidRDefault="00C814A1" w:rsidP="00C814A1">
            <w:pPr>
              <w:jc w:val="center"/>
              <w:rPr>
                <w:rFonts w:eastAsia="Times New Roman"/>
                <w:i/>
                <w:iCs/>
                <w:lang w:eastAsia="hr-HR"/>
              </w:rPr>
            </w:pPr>
            <w:r w:rsidRPr="001B4CA2">
              <w:rPr>
                <w:rFonts w:eastAsia="Times New Roman"/>
                <w:b/>
                <w:bCs/>
                <w:sz w:val="18"/>
                <w:szCs w:val="18"/>
                <w:lang w:eastAsia="hr-HR"/>
              </w:rPr>
              <w:t>201</w:t>
            </w:r>
            <w:r w:rsidR="0040191F" w:rsidRPr="001B4CA2">
              <w:rPr>
                <w:rFonts w:eastAsia="Times New Roman"/>
                <w:b/>
                <w:bCs/>
                <w:sz w:val="18"/>
                <w:szCs w:val="18"/>
                <w:lang w:eastAsia="hr-HR"/>
              </w:rPr>
              <w:t>9</w:t>
            </w:r>
            <w:r w:rsidRPr="001B4CA2">
              <w:rPr>
                <w:rFonts w:eastAsia="Times New Roman"/>
                <w:b/>
                <w:bCs/>
                <w:sz w:val="18"/>
                <w:szCs w:val="18"/>
                <w:lang w:eastAsia="hr-HR"/>
              </w:rPr>
              <w:t>.</w:t>
            </w:r>
          </w:p>
        </w:tc>
        <w:tc>
          <w:tcPr>
            <w:tcW w:w="1534" w:type="dxa"/>
            <w:gridSpan w:val="2"/>
            <w:shd w:val="clear" w:color="auto" w:fill="99CCFF"/>
            <w:vAlign w:val="center"/>
          </w:tcPr>
          <w:p w14:paraId="46D0FB0C" w14:textId="015190B1" w:rsidR="00C814A1" w:rsidRPr="001B4CA2" w:rsidRDefault="00C814A1" w:rsidP="00C814A1">
            <w:pPr>
              <w:jc w:val="center"/>
              <w:rPr>
                <w:rFonts w:eastAsia="Times New Roman"/>
                <w:sz w:val="22"/>
                <w:lang w:eastAsia="hr-HR"/>
              </w:rPr>
            </w:pPr>
            <w:r w:rsidRPr="001B4CA2">
              <w:rPr>
                <w:rFonts w:eastAsia="Times New Roman"/>
                <w:b/>
                <w:bCs/>
                <w:sz w:val="18"/>
                <w:szCs w:val="18"/>
                <w:lang w:eastAsia="hr-HR"/>
              </w:rPr>
              <w:t>20</w:t>
            </w:r>
            <w:r w:rsidR="0040191F" w:rsidRPr="001B4CA2">
              <w:rPr>
                <w:rFonts w:eastAsia="Times New Roman"/>
                <w:b/>
                <w:bCs/>
                <w:sz w:val="18"/>
                <w:szCs w:val="18"/>
                <w:lang w:eastAsia="hr-HR"/>
              </w:rPr>
              <w:t>20</w:t>
            </w:r>
            <w:r w:rsidRPr="001B4CA2">
              <w:rPr>
                <w:rFonts w:eastAsia="Times New Roman"/>
                <w:b/>
                <w:bCs/>
                <w:sz w:val="18"/>
                <w:szCs w:val="18"/>
                <w:lang w:eastAsia="hr-HR"/>
              </w:rPr>
              <w:t>.</w:t>
            </w:r>
          </w:p>
        </w:tc>
        <w:tc>
          <w:tcPr>
            <w:tcW w:w="0" w:type="auto"/>
            <w:gridSpan w:val="2"/>
            <w:shd w:val="clear" w:color="auto" w:fill="99CCFF"/>
            <w:noWrap/>
            <w:vAlign w:val="center"/>
            <w:hideMark/>
          </w:tcPr>
          <w:p w14:paraId="43C81EB3" w14:textId="790CC20D" w:rsidR="00C814A1" w:rsidRPr="001B4CA2" w:rsidRDefault="00C814A1" w:rsidP="00C814A1">
            <w:pPr>
              <w:jc w:val="center"/>
              <w:rPr>
                <w:rFonts w:eastAsia="Times New Roman"/>
                <w:sz w:val="22"/>
                <w:lang w:eastAsia="hr-HR"/>
              </w:rPr>
            </w:pPr>
            <w:r w:rsidRPr="001B4CA2">
              <w:rPr>
                <w:rFonts w:eastAsia="Times New Roman"/>
                <w:b/>
                <w:bCs/>
                <w:sz w:val="18"/>
                <w:szCs w:val="18"/>
                <w:lang w:eastAsia="hr-HR"/>
              </w:rPr>
              <w:t>202</w:t>
            </w:r>
            <w:r w:rsidR="0040191F" w:rsidRPr="001B4CA2">
              <w:rPr>
                <w:rFonts w:eastAsia="Times New Roman"/>
                <w:b/>
                <w:bCs/>
                <w:sz w:val="18"/>
                <w:szCs w:val="18"/>
                <w:lang w:eastAsia="hr-HR"/>
              </w:rPr>
              <w:t>1</w:t>
            </w:r>
            <w:r w:rsidRPr="001B4CA2">
              <w:rPr>
                <w:rFonts w:eastAsia="Times New Roman"/>
                <w:b/>
                <w:bCs/>
                <w:sz w:val="18"/>
                <w:szCs w:val="18"/>
                <w:lang w:eastAsia="hr-HR"/>
              </w:rPr>
              <w:t>.</w:t>
            </w:r>
          </w:p>
        </w:tc>
        <w:tc>
          <w:tcPr>
            <w:tcW w:w="1534" w:type="dxa"/>
            <w:gridSpan w:val="2"/>
            <w:shd w:val="clear" w:color="auto" w:fill="99CCFF"/>
            <w:noWrap/>
            <w:vAlign w:val="center"/>
            <w:hideMark/>
          </w:tcPr>
          <w:p w14:paraId="35A711D6" w14:textId="5C84D969" w:rsidR="00C814A1" w:rsidRPr="001B4CA2" w:rsidRDefault="00C814A1" w:rsidP="00C814A1">
            <w:pPr>
              <w:jc w:val="center"/>
              <w:rPr>
                <w:rFonts w:eastAsia="Times New Roman"/>
                <w:sz w:val="22"/>
                <w:lang w:eastAsia="hr-HR"/>
              </w:rPr>
            </w:pPr>
            <w:r w:rsidRPr="001B4CA2">
              <w:rPr>
                <w:rFonts w:eastAsia="Times New Roman"/>
                <w:b/>
                <w:bCs/>
                <w:sz w:val="18"/>
                <w:szCs w:val="18"/>
                <w:lang w:eastAsia="hr-HR"/>
              </w:rPr>
              <w:t>202</w:t>
            </w:r>
            <w:r w:rsidR="0040191F" w:rsidRPr="001B4CA2">
              <w:rPr>
                <w:rFonts w:eastAsia="Times New Roman"/>
                <w:b/>
                <w:bCs/>
                <w:sz w:val="18"/>
                <w:szCs w:val="18"/>
                <w:lang w:eastAsia="hr-HR"/>
              </w:rPr>
              <w:t>2</w:t>
            </w:r>
            <w:r w:rsidRPr="001B4CA2">
              <w:rPr>
                <w:rFonts w:eastAsia="Times New Roman"/>
                <w:b/>
                <w:bCs/>
                <w:sz w:val="18"/>
                <w:szCs w:val="18"/>
                <w:lang w:eastAsia="hr-HR"/>
              </w:rPr>
              <w:t>.</w:t>
            </w:r>
          </w:p>
        </w:tc>
      </w:tr>
      <w:tr w:rsidR="00C814A1" w:rsidRPr="001B4CA2" w14:paraId="4EDB3CCF" w14:textId="77777777" w:rsidTr="000169EF">
        <w:trPr>
          <w:cantSplit/>
          <w:trHeight w:val="1434"/>
        </w:trPr>
        <w:tc>
          <w:tcPr>
            <w:tcW w:w="1079" w:type="dxa"/>
            <w:vMerge/>
            <w:shd w:val="clear" w:color="auto" w:fill="99CCFF"/>
            <w:vAlign w:val="center"/>
            <w:hideMark/>
          </w:tcPr>
          <w:p w14:paraId="171FECAD" w14:textId="77777777" w:rsidR="00C814A1" w:rsidRPr="001B4CA2" w:rsidRDefault="00C814A1" w:rsidP="00627517">
            <w:pPr>
              <w:jc w:val="left"/>
              <w:rPr>
                <w:rFonts w:eastAsia="Times New Roman"/>
                <w:sz w:val="18"/>
                <w:szCs w:val="18"/>
                <w:lang w:eastAsia="hr-HR"/>
              </w:rPr>
            </w:pPr>
          </w:p>
        </w:tc>
        <w:tc>
          <w:tcPr>
            <w:tcW w:w="0" w:type="auto"/>
            <w:shd w:val="clear" w:color="auto" w:fill="99CCFF"/>
            <w:textDirection w:val="btLr"/>
            <w:vAlign w:val="center"/>
            <w:hideMark/>
          </w:tcPr>
          <w:p w14:paraId="3EC7628B" w14:textId="77777777" w:rsidR="00C814A1" w:rsidRPr="001B4CA2" w:rsidRDefault="00C814A1" w:rsidP="00042B73">
            <w:pPr>
              <w:ind w:left="113" w:right="113"/>
              <w:jc w:val="left"/>
              <w:rPr>
                <w:rFonts w:eastAsia="Times New Roman"/>
                <w:b/>
                <w:sz w:val="18"/>
                <w:szCs w:val="18"/>
                <w:lang w:eastAsia="hr-HR"/>
              </w:rPr>
            </w:pPr>
            <w:r w:rsidRPr="001B4CA2">
              <w:rPr>
                <w:rFonts w:eastAsia="Times New Roman"/>
                <w:b/>
                <w:sz w:val="18"/>
                <w:szCs w:val="18"/>
                <w:lang w:eastAsia="hr-HR"/>
              </w:rPr>
              <w:t>Prijavljeno u izvještajnom razdoblju</w:t>
            </w:r>
          </w:p>
        </w:tc>
        <w:tc>
          <w:tcPr>
            <w:tcW w:w="0" w:type="auto"/>
            <w:shd w:val="clear" w:color="auto" w:fill="99CCFF"/>
            <w:textDirection w:val="btLr"/>
            <w:vAlign w:val="center"/>
            <w:hideMark/>
          </w:tcPr>
          <w:p w14:paraId="021C4318" w14:textId="77777777" w:rsidR="00C814A1" w:rsidRPr="001B4CA2" w:rsidRDefault="00C814A1" w:rsidP="00042B73">
            <w:pPr>
              <w:ind w:left="113" w:right="113"/>
              <w:jc w:val="left"/>
              <w:rPr>
                <w:rFonts w:eastAsia="Times New Roman"/>
                <w:b/>
                <w:sz w:val="18"/>
                <w:szCs w:val="18"/>
                <w:lang w:eastAsia="hr-HR"/>
              </w:rPr>
            </w:pPr>
            <w:r w:rsidRPr="001B4CA2">
              <w:rPr>
                <w:rFonts w:eastAsia="Times New Roman"/>
                <w:b/>
                <w:sz w:val="18"/>
                <w:szCs w:val="18"/>
                <w:lang w:eastAsia="hr-HR"/>
              </w:rPr>
              <w:t>Ukupno u radu</w:t>
            </w:r>
          </w:p>
        </w:tc>
        <w:tc>
          <w:tcPr>
            <w:tcW w:w="0" w:type="auto"/>
            <w:shd w:val="clear" w:color="auto" w:fill="99CCFF"/>
            <w:textDirection w:val="btLr"/>
            <w:vAlign w:val="center"/>
            <w:hideMark/>
          </w:tcPr>
          <w:p w14:paraId="1146A5F8" w14:textId="77777777" w:rsidR="00C814A1" w:rsidRPr="001B4CA2" w:rsidRDefault="00C814A1" w:rsidP="00042B73">
            <w:pPr>
              <w:ind w:left="113" w:right="113"/>
              <w:jc w:val="left"/>
              <w:rPr>
                <w:rFonts w:eastAsia="Times New Roman"/>
                <w:b/>
                <w:sz w:val="18"/>
                <w:szCs w:val="18"/>
                <w:lang w:eastAsia="hr-HR"/>
              </w:rPr>
            </w:pPr>
            <w:r w:rsidRPr="001B4CA2">
              <w:rPr>
                <w:rFonts w:eastAsia="Times New Roman"/>
                <w:b/>
                <w:sz w:val="18"/>
                <w:szCs w:val="18"/>
                <w:lang w:eastAsia="hr-HR"/>
              </w:rPr>
              <w:t>Prijavljeno u izvještajnom razdoblju</w:t>
            </w:r>
          </w:p>
        </w:tc>
        <w:tc>
          <w:tcPr>
            <w:tcW w:w="0" w:type="auto"/>
            <w:shd w:val="clear" w:color="auto" w:fill="99CCFF"/>
            <w:textDirection w:val="btLr"/>
            <w:vAlign w:val="center"/>
            <w:hideMark/>
          </w:tcPr>
          <w:p w14:paraId="5E59E20D" w14:textId="77777777" w:rsidR="00C814A1" w:rsidRPr="001B4CA2" w:rsidRDefault="00C814A1" w:rsidP="00042B73">
            <w:pPr>
              <w:ind w:left="113" w:right="113"/>
              <w:jc w:val="left"/>
              <w:rPr>
                <w:rFonts w:eastAsia="Times New Roman"/>
                <w:b/>
                <w:sz w:val="18"/>
                <w:szCs w:val="18"/>
                <w:lang w:eastAsia="hr-HR"/>
              </w:rPr>
            </w:pPr>
            <w:r w:rsidRPr="001B4CA2">
              <w:rPr>
                <w:rFonts w:eastAsia="Times New Roman"/>
                <w:b/>
                <w:sz w:val="18"/>
                <w:szCs w:val="18"/>
                <w:lang w:eastAsia="hr-HR"/>
              </w:rPr>
              <w:t>Ukupno u radu</w:t>
            </w:r>
          </w:p>
        </w:tc>
        <w:tc>
          <w:tcPr>
            <w:tcW w:w="0" w:type="auto"/>
            <w:shd w:val="clear" w:color="auto" w:fill="99CCFF"/>
            <w:textDirection w:val="btLr"/>
            <w:vAlign w:val="center"/>
            <w:hideMark/>
          </w:tcPr>
          <w:p w14:paraId="3941FE17" w14:textId="77777777" w:rsidR="00C814A1" w:rsidRPr="001B4CA2" w:rsidRDefault="00C814A1" w:rsidP="00042B73">
            <w:pPr>
              <w:ind w:left="113" w:right="113"/>
              <w:jc w:val="left"/>
              <w:rPr>
                <w:rFonts w:eastAsia="Times New Roman"/>
                <w:b/>
                <w:sz w:val="18"/>
                <w:szCs w:val="18"/>
                <w:lang w:eastAsia="hr-HR"/>
              </w:rPr>
            </w:pPr>
            <w:r w:rsidRPr="001B4CA2">
              <w:rPr>
                <w:rFonts w:eastAsia="Times New Roman"/>
                <w:b/>
                <w:sz w:val="18"/>
                <w:szCs w:val="18"/>
                <w:lang w:eastAsia="hr-HR"/>
              </w:rPr>
              <w:t>Prijavljeno u izvještajnom razdoblju</w:t>
            </w:r>
          </w:p>
        </w:tc>
        <w:tc>
          <w:tcPr>
            <w:tcW w:w="0" w:type="auto"/>
            <w:shd w:val="clear" w:color="auto" w:fill="99CCFF"/>
            <w:textDirection w:val="btLr"/>
            <w:vAlign w:val="center"/>
            <w:hideMark/>
          </w:tcPr>
          <w:p w14:paraId="33BD8B61" w14:textId="77777777" w:rsidR="00C814A1" w:rsidRPr="001B4CA2" w:rsidRDefault="00C814A1" w:rsidP="00042B73">
            <w:pPr>
              <w:ind w:left="113" w:right="113"/>
              <w:jc w:val="left"/>
              <w:rPr>
                <w:rFonts w:eastAsia="Times New Roman"/>
                <w:b/>
                <w:sz w:val="18"/>
                <w:szCs w:val="18"/>
                <w:lang w:eastAsia="hr-HR"/>
              </w:rPr>
            </w:pPr>
            <w:r w:rsidRPr="001B4CA2">
              <w:rPr>
                <w:rFonts w:eastAsia="Times New Roman"/>
                <w:b/>
                <w:sz w:val="18"/>
                <w:szCs w:val="18"/>
                <w:lang w:eastAsia="hr-HR"/>
              </w:rPr>
              <w:t>Ukupno u radu</w:t>
            </w:r>
          </w:p>
        </w:tc>
        <w:tc>
          <w:tcPr>
            <w:tcW w:w="0" w:type="auto"/>
            <w:shd w:val="clear" w:color="auto" w:fill="99CCFF"/>
            <w:textDirection w:val="btLr"/>
            <w:vAlign w:val="center"/>
            <w:hideMark/>
          </w:tcPr>
          <w:p w14:paraId="0998C59C" w14:textId="77777777" w:rsidR="00C814A1" w:rsidRPr="001B4CA2" w:rsidRDefault="00C814A1" w:rsidP="00042B73">
            <w:pPr>
              <w:ind w:left="113" w:right="113"/>
              <w:jc w:val="left"/>
              <w:rPr>
                <w:rFonts w:eastAsia="Times New Roman"/>
                <w:b/>
                <w:sz w:val="18"/>
                <w:szCs w:val="18"/>
                <w:lang w:eastAsia="hr-HR"/>
              </w:rPr>
            </w:pPr>
            <w:r w:rsidRPr="001B4CA2">
              <w:rPr>
                <w:rFonts w:eastAsia="Times New Roman"/>
                <w:b/>
                <w:sz w:val="18"/>
                <w:szCs w:val="18"/>
                <w:lang w:eastAsia="hr-HR"/>
              </w:rPr>
              <w:t>Prijavljeno u izvještajnom razdoblju</w:t>
            </w:r>
          </w:p>
        </w:tc>
        <w:tc>
          <w:tcPr>
            <w:tcW w:w="0" w:type="auto"/>
            <w:shd w:val="clear" w:color="auto" w:fill="99CCFF"/>
            <w:textDirection w:val="btLr"/>
            <w:vAlign w:val="center"/>
            <w:hideMark/>
          </w:tcPr>
          <w:p w14:paraId="44E19C15" w14:textId="77777777" w:rsidR="00C814A1" w:rsidRPr="001B4CA2" w:rsidRDefault="00C814A1" w:rsidP="00042B73">
            <w:pPr>
              <w:ind w:left="113" w:right="113"/>
              <w:jc w:val="left"/>
              <w:rPr>
                <w:rFonts w:eastAsia="Times New Roman"/>
                <w:b/>
                <w:sz w:val="18"/>
                <w:szCs w:val="18"/>
                <w:lang w:eastAsia="hr-HR"/>
              </w:rPr>
            </w:pPr>
            <w:r w:rsidRPr="001B4CA2">
              <w:rPr>
                <w:rFonts w:eastAsia="Times New Roman"/>
                <w:b/>
                <w:sz w:val="18"/>
                <w:szCs w:val="18"/>
                <w:lang w:eastAsia="hr-HR"/>
              </w:rPr>
              <w:t>Ukupno u radu</w:t>
            </w:r>
          </w:p>
        </w:tc>
        <w:tc>
          <w:tcPr>
            <w:tcW w:w="0" w:type="auto"/>
            <w:shd w:val="clear" w:color="auto" w:fill="99CCFF"/>
            <w:textDirection w:val="btLr"/>
            <w:vAlign w:val="center"/>
            <w:hideMark/>
          </w:tcPr>
          <w:p w14:paraId="1E2DA421" w14:textId="77777777" w:rsidR="00C814A1" w:rsidRPr="001B4CA2" w:rsidRDefault="00C814A1" w:rsidP="00042B73">
            <w:pPr>
              <w:ind w:left="113" w:right="113"/>
              <w:jc w:val="left"/>
              <w:rPr>
                <w:rFonts w:eastAsia="Times New Roman"/>
                <w:b/>
                <w:sz w:val="18"/>
                <w:szCs w:val="18"/>
                <w:lang w:eastAsia="hr-HR"/>
              </w:rPr>
            </w:pPr>
            <w:r w:rsidRPr="001B4CA2">
              <w:rPr>
                <w:rFonts w:eastAsia="Times New Roman"/>
                <w:b/>
                <w:sz w:val="18"/>
                <w:szCs w:val="18"/>
                <w:lang w:eastAsia="hr-HR"/>
              </w:rPr>
              <w:t>Prijavljeno u izvještajnom razdoblju</w:t>
            </w:r>
          </w:p>
        </w:tc>
        <w:tc>
          <w:tcPr>
            <w:tcW w:w="767" w:type="dxa"/>
            <w:shd w:val="clear" w:color="auto" w:fill="99CCFF"/>
            <w:textDirection w:val="btLr"/>
            <w:vAlign w:val="center"/>
            <w:hideMark/>
          </w:tcPr>
          <w:p w14:paraId="57FE38F0" w14:textId="77777777" w:rsidR="00C814A1" w:rsidRPr="001B4CA2" w:rsidRDefault="00C814A1" w:rsidP="00042B73">
            <w:pPr>
              <w:ind w:left="113" w:right="113"/>
              <w:jc w:val="left"/>
              <w:rPr>
                <w:rFonts w:eastAsia="Times New Roman"/>
                <w:b/>
                <w:sz w:val="18"/>
                <w:szCs w:val="18"/>
                <w:lang w:eastAsia="hr-HR"/>
              </w:rPr>
            </w:pPr>
            <w:r w:rsidRPr="001B4CA2">
              <w:rPr>
                <w:rFonts w:eastAsia="Times New Roman"/>
                <w:b/>
                <w:sz w:val="18"/>
                <w:szCs w:val="18"/>
                <w:lang w:eastAsia="hr-HR"/>
              </w:rPr>
              <w:t>Ukupno u radu</w:t>
            </w:r>
          </w:p>
        </w:tc>
      </w:tr>
      <w:tr w:rsidR="00925867" w:rsidRPr="001B4CA2" w14:paraId="48507ACD" w14:textId="77777777" w:rsidTr="000169EF">
        <w:trPr>
          <w:trHeight w:val="414"/>
        </w:trPr>
        <w:tc>
          <w:tcPr>
            <w:tcW w:w="1079" w:type="dxa"/>
            <w:shd w:val="clear" w:color="auto" w:fill="auto"/>
            <w:noWrap/>
            <w:vAlign w:val="center"/>
            <w:hideMark/>
          </w:tcPr>
          <w:p w14:paraId="4BB8A113" w14:textId="77777777" w:rsidR="00925867" w:rsidRPr="001B4CA2" w:rsidRDefault="00925867" w:rsidP="00627517">
            <w:pPr>
              <w:jc w:val="left"/>
              <w:rPr>
                <w:rFonts w:eastAsia="Times New Roman"/>
                <w:sz w:val="18"/>
                <w:szCs w:val="18"/>
                <w:lang w:eastAsia="hr-HR"/>
              </w:rPr>
            </w:pPr>
            <w:r w:rsidRPr="001B4CA2">
              <w:rPr>
                <w:rFonts w:eastAsia="Times New Roman"/>
                <w:sz w:val="18"/>
                <w:szCs w:val="18"/>
                <w:lang w:eastAsia="hr-HR"/>
              </w:rPr>
              <w:t>Odrasle osobe</w:t>
            </w:r>
          </w:p>
        </w:tc>
        <w:tc>
          <w:tcPr>
            <w:tcW w:w="0" w:type="auto"/>
            <w:shd w:val="clear" w:color="auto" w:fill="auto"/>
            <w:noWrap/>
            <w:vAlign w:val="center"/>
          </w:tcPr>
          <w:p w14:paraId="05082182" w14:textId="0C78CF4B" w:rsidR="00925867" w:rsidRPr="001B4CA2" w:rsidRDefault="0040191F" w:rsidP="00627517">
            <w:pPr>
              <w:jc w:val="center"/>
              <w:rPr>
                <w:rFonts w:eastAsia="Times New Roman"/>
                <w:sz w:val="18"/>
                <w:szCs w:val="18"/>
                <w:lang w:eastAsia="hr-HR"/>
              </w:rPr>
            </w:pPr>
            <w:r w:rsidRPr="001B4CA2">
              <w:rPr>
                <w:rFonts w:eastAsia="Times New Roman"/>
                <w:sz w:val="18"/>
                <w:szCs w:val="18"/>
                <w:lang w:eastAsia="hr-HR"/>
              </w:rPr>
              <w:t>30.595</w:t>
            </w:r>
          </w:p>
        </w:tc>
        <w:tc>
          <w:tcPr>
            <w:tcW w:w="0" w:type="auto"/>
            <w:shd w:val="clear" w:color="auto" w:fill="auto"/>
            <w:noWrap/>
            <w:vAlign w:val="center"/>
          </w:tcPr>
          <w:p w14:paraId="23FA3645" w14:textId="39CC3E30" w:rsidR="00925867" w:rsidRPr="001B4CA2" w:rsidRDefault="0040191F" w:rsidP="00627517">
            <w:pPr>
              <w:jc w:val="center"/>
              <w:rPr>
                <w:rFonts w:eastAsia="Times New Roman"/>
                <w:sz w:val="18"/>
                <w:szCs w:val="18"/>
                <w:lang w:eastAsia="hr-HR"/>
              </w:rPr>
            </w:pPr>
            <w:r w:rsidRPr="001B4CA2">
              <w:rPr>
                <w:rFonts w:eastAsia="Times New Roman"/>
                <w:sz w:val="18"/>
                <w:szCs w:val="18"/>
                <w:lang w:eastAsia="hr-HR"/>
              </w:rPr>
              <w:t>40.966</w:t>
            </w:r>
          </w:p>
        </w:tc>
        <w:tc>
          <w:tcPr>
            <w:tcW w:w="0" w:type="auto"/>
            <w:shd w:val="clear" w:color="auto" w:fill="auto"/>
            <w:noWrap/>
            <w:vAlign w:val="center"/>
            <w:hideMark/>
          </w:tcPr>
          <w:p w14:paraId="5100B7D4" w14:textId="366E3C1D" w:rsidR="00925867" w:rsidRPr="001B4CA2" w:rsidRDefault="006B5925" w:rsidP="00627517">
            <w:pPr>
              <w:jc w:val="center"/>
              <w:rPr>
                <w:rFonts w:eastAsia="Times New Roman"/>
                <w:sz w:val="18"/>
                <w:szCs w:val="18"/>
                <w:lang w:eastAsia="hr-HR"/>
              </w:rPr>
            </w:pPr>
            <w:r w:rsidRPr="001B4CA2">
              <w:rPr>
                <w:rFonts w:eastAsia="Times New Roman"/>
                <w:sz w:val="18"/>
                <w:szCs w:val="18"/>
                <w:lang w:eastAsia="hr-HR"/>
              </w:rPr>
              <w:t>31.287</w:t>
            </w:r>
          </w:p>
        </w:tc>
        <w:tc>
          <w:tcPr>
            <w:tcW w:w="0" w:type="auto"/>
            <w:shd w:val="clear" w:color="auto" w:fill="auto"/>
            <w:noWrap/>
            <w:vAlign w:val="center"/>
            <w:hideMark/>
          </w:tcPr>
          <w:p w14:paraId="239913CA" w14:textId="3EE227D7" w:rsidR="00925867" w:rsidRPr="001B4CA2" w:rsidRDefault="006B5925" w:rsidP="00627517">
            <w:pPr>
              <w:jc w:val="center"/>
              <w:rPr>
                <w:rFonts w:eastAsia="Times New Roman"/>
                <w:sz w:val="18"/>
                <w:szCs w:val="18"/>
                <w:lang w:eastAsia="hr-HR"/>
              </w:rPr>
            </w:pPr>
            <w:r w:rsidRPr="001B4CA2">
              <w:rPr>
                <w:rFonts w:eastAsia="Times New Roman"/>
                <w:sz w:val="18"/>
                <w:szCs w:val="18"/>
                <w:lang w:eastAsia="hr-HR"/>
              </w:rPr>
              <w:t>42.008</w:t>
            </w:r>
          </w:p>
        </w:tc>
        <w:tc>
          <w:tcPr>
            <w:tcW w:w="0" w:type="auto"/>
            <w:shd w:val="clear" w:color="auto" w:fill="auto"/>
            <w:noWrap/>
            <w:vAlign w:val="center"/>
            <w:hideMark/>
          </w:tcPr>
          <w:p w14:paraId="4298E2B5" w14:textId="26755FD2" w:rsidR="00925867" w:rsidRPr="001B4CA2" w:rsidRDefault="006B5925" w:rsidP="00627517">
            <w:pPr>
              <w:jc w:val="center"/>
              <w:rPr>
                <w:rFonts w:eastAsia="Times New Roman"/>
                <w:sz w:val="18"/>
                <w:szCs w:val="18"/>
                <w:lang w:eastAsia="hr-HR"/>
              </w:rPr>
            </w:pPr>
            <w:r w:rsidRPr="001B4CA2">
              <w:rPr>
                <w:rFonts w:eastAsia="Times New Roman"/>
                <w:sz w:val="18"/>
                <w:szCs w:val="18"/>
                <w:lang w:eastAsia="hr-HR"/>
              </w:rPr>
              <w:t>34.213</w:t>
            </w:r>
          </w:p>
        </w:tc>
        <w:tc>
          <w:tcPr>
            <w:tcW w:w="0" w:type="auto"/>
            <w:shd w:val="clear" w:color="auto" w:fill="auto"/>
            <w:noWrap/>
            <w:vAlign w:val="center"/>
            <w:hideMark/>
          </w:tcPr>
          <w:p w14:paraId="7E3E07AD" w14:textId="7168EBF6" w:rsidR="00925867" w:rsidRPr="001B4CA2" w:rsidRDefault="00925867" w:rsidP="00627517">
            <w:pPr>
              <w:jc w:val="center"/>
              <w:rPr>
                <w:rFonts w:eastAsia="Times New Roman"/>
                <w:sz w:val="18"/>
                <w:szCs w:val="18"/>
                <w:lang w:eastAsia="hr-HR"/>
              </w:rPr>
            </w:pPr>
            <w:r w:rsidRPr="001B4CA2">
              <w:rPr>
                <w:rFonts w:eastAsia="Times New Roman"/>
                <w:sz w:val="18"/>
                <w:szCs w:val="18"/>
                <w:lang w:eastAsia="hr-HR"/>
              </w:rPr>
              <w:t>4</w:t>
            </w:r>
            <w:r w:rsidR="006B5925" w:rsidRPr="001B4CA2">
              <w:rPr>
                <w:rFonts w:eastAsia="Times New Roman"/>
                <w:sz w:val="18"/>
                <w:szCs w:val="18"/>
                <w:lang w:eastAsia="hr-HR"/>
              </w:rPr>
              <w:t>3.903</w:t>
            </w:r>
          </w:p>
        </w:tc>
        <w:tc>
          <w:tcPr>
            <w:tcW w:w="0" w:type="auto"/>
            <w:shd w:val="clear" w:color="auto" w:fill="auto"/>
            <w:noWrap/>
            <w:vAlign w:val="center"/>
            <w:hideMark/>
          </w:tcPr>
          <w:p w14:paraId="2CB97474" w14:textId="2267ABFF" w:rsidR="00925867" w:rsidRPr="001B4CA2" w:rsidRDefault="006B5925" w:rsidP="00627517">
            <w:pPr>
              <w:jc w:val="center"/>
              <w:rPr>
                <w:rFonts w:eastAsia="Times New Roman"/>
                <w:sz w:val="18"/>
                <w:szCs w:val="18"/>
                <w:lang w:eastAsia="hr-HR"/>
              </w:rPr>
            </w:pPr>
            <w:r w:rsidRPr="001B4CA2">
              <w:rPr>
                <w:rFonts w:eastAsia="Times New Roman"/>
                <w:sz w:val="18"/>
                <w:szCs w:val="18"/>
                <w:lang w:eastAsia="hr-HR"/>
              </w:rPr>
              <w:t>35.666</w:t>
            </w:r>
          </w:p>
        </w:tc>
        <w:tc>
          <w:tcPr>
            <w:tcW w:w="0" w:type="auto"/>
            <w:shd w:val="clear" w:color="auto" w:fill="auto"/>
            <w:noWrap/>
            <w:vAlign w:val="center"/>
            <w:hideMark/>
          </w:tcPr>
          <w:p w14:paraId="61B562AD" w14:textId="72FCBF81" w:rsidR="00925867" w:rsidRPr="001B4CA2" w:rsidRDefault="004C4CD9" w:rsidP="00627517">
            <w:pPr>
              <w:jc w:val="center"/>
              <w:rPr>
                <w:rFonts w:eastAsia="Times New Roman"/>
                <w:sz w:val="18"/>
                <w:szCs w:val="18"/>
                <w:lang w:eastAsia="hr-HR"/>
              </w:rPr>
            </w:pPr>
            <w:r w:rsidRPr="001B4CA2">
              <w:rPr>
                <w:rFonts w:eastAsia="Times New Roman"/>
                <w:sz w:val="18"/>
                <w:szCs w:val="18"/>
                <w:lang w:eastAsia="hr-HR"/>
              </w:rPr>
              <w:t>45.605</w:t>
            </w:r>
          </w:p>
        </w:tc>
        <w:tc>
          <w:tcPr>
            <w:tcW w:w="0" w:type="auto"/>
            <w:shd w:val="clear" w:color="auto" w:fill="auto"/>
            <w:noWrap/>
            <w:vAlign w:val="center"/>
          </w:tcPr>
          <w:p w14:paraId="06976D34" w14:textId="41EEF038" w:rsidR="00925867" w:rsidRPr="001B4CA2" w:rsidRDefault="004C4CD9" w:rsidP="00627517">
            <w:pPr>
              <w:jc w:val="center"/>
              <w:rPr>
                <w:rFonts w:eastAsia="Times New Roman"/>
                <w:sz w:val="18"/>
                <w:szCs w:val="18"/>
                <w:lang w:eastAsia="hr-HR"/>
              </w:rPr>
            </w:pPr>
            <w:r w:rsidRPr="001B4CA2">
              <w:rPr>
                <w:color w:val="000000"/>
                <w:sz w:val="18"/>
                <w:szCs w:val="18"/>
              </w:rPr>
              <w:t>36.053</w:t>
            </w:r>
          </w:p>
        </w:tc>
        <w:tc>
          <w:tcPr>
            <w:tcW w:w="767" w:type="dxa"/>
            <w:shd w:val="clear" w:color="auto" w:fill="auto"/>
            <w:noWrap/>
            <w:vAlign w:val="center"/>
          </w:tcPr>
          <w:p w14:paraId="7A451C02" w14:textId="235C48E1" w:rsidR="00925867" w:rsidRPr="001B4CA2" w:rsidRDefault="004C4CD9" w:rsidP="00627517">
            <w:pPr>
              <w:jc w:val="center"/>
              <w:rPr>
                <w:rFonts w:eastAsia="Times New Roman"/>
                <w:sz w:val="18"/>
                <w:szCs w:val="18"/>
                <w:lang w:eastAsia="hr-HR"/>
              </w:rPr>
            </w:pPr>
            <w:r w:rsidRPr="001B4CA2">
              <w:rPr>
                <w:color w:val="000000"/>
                <w:sz w:val="18"/>
                <w:szCs w:val="18"/>
              </w:rPr>
              <w:t>47.188</w:t>
            </w:r>
          </w:p>
        </w:tc>
      </w:tr>
      <w:tr w:rsidR="00925867" w:rsidRPr="001B4CA2" w14:paraId="093F2038" w14:textId="77777777" w:rsidTr="000169EF">
        <w:trPr>
          <w:trHeight w:val="414"/>
        </w:trPr>
        <w:tc>
          <w:tcPr>
            <w:tcW w:w="1079" w:type="dxa"/>
            <w:shd w:val="clear" w:color="auto" w:fill="auto"/>
            <w:noWrap/>
            <w:vAlign w:val="center"/>
            <w:hideMark/>
          </w:tcPr>
          <w:p w14:paraId="5283F0E6" w14:textId="77777777" w:rsidR="00925867" w:rsidRPr="001B4CA2" w:rsidRDefault="00925867" w:rsidP="00627517">
            <w:pPr>
              <w:jc w:val="left"/>
              <w:rPr>
                <w:rFonts w:eastAsia="Times New Roman"/>
                <w:sz w:val="18"/>
                <w:szCs w:val="18"/>
                <w:lang w:eastAsia="hr-HR"/>
              </w:rPr>
            </w:pPr>
            <w:r w:rsidRPr="001B4CA2">
              <w:rPr>
                <w:rFonts w:eastAsia="Times New Roman"/>
                <w:sz w:val="18"/>
                <w:szCs w:val="18"/>
                <w:lang w:eastAsia="hr-HR"/>
              </w:rPr>
              <w:t>Mlađi punoljetnici</w:t>
            </w:r>
          </w:p>
        </w:tc>
        <w:tc>
          <w:tcPr>
            <w:tcW w:w="0" w:type="auto"/>
            <w:shd w:val="clear" w:color="auto" w:fill="auto"/>
            <w:noWrap/>
            <w:vAlign w:val="center"/>
          </w:tcPr>
          <w:p w14:paraId="2ABD8D02" w14:textId="7B261808" w:rsidR="00925867" w:rsidRPr="001B4CA2" w:rsidRDefault="0040191F" w:rsidP="00627517">
            <w:pPr>
              <w:jc w:val="center"/>
              <w:rPr>
                <w:rFonts w:eastAsia="Times New Roman"/>
                <w:sz w:val="18"/>
                <w:szCs w:val="18"/>
                <w:lang w:eastAsia="hr-HR"/>
              </w:rPr>
            </w:pPr>
            <w:r w:rsidRPr="001B4CA2">
              <w:rPr>
                <w:rFonts w:eastAsia="Times New Roman"/>
                <w:sz w:val="18"/>
                <w:szCs w:val="18"/>
                <w:lang w:eastAsia="hr-HR"/>
              </w:rPr>
              <w:t>1.955</w:t>
            </w:r>
          </w:p>
        </w:tc>
        <w:tc>
          <w:tcPr>
            <w:tcW w:w="0" w:type="auto"/>
            <w:shd w:val="clear" w:color="auto" w:fill="auto"/>
            <w:noWrap/>
            <w:vAlign w:val="center"/>
          </w:tcPr>
          <w:p w14:paraId="44D75D51" w14:textId="3F3FF758" w:rsidR="00925867" w:rsidRPr="001B4CA2" w:rsidRDefault="0040191F" w:rsidP="00627517">
            <w:pPr>
              <w:jc w:val="center"/>
              <w:rPr>
                <w:rFonts w:eastAsia="Times New Roman"/>
                <w:sz w:val="18"/>
                <w:szCs w:val="18"/>
                <w:lang w:eastAsia="hr-HR"/>
              </w:rPr>
            </w:pPr>
            <w:r w:rsidRPr="001B4CA2">
              <w:rPr>
                <w:rFonts w:eastAsia="Times New Roman"/>
                <w:sz w:val="18"/>
                <w:szCs w:val="18"/>
                <w:lang w:eastAsia="hr-HR"/>
              </w:rPr>
              <w:t>2.654</w:t>
            </w:r>
          </w:p>
        </w:tc>
        <w:tc>
          <w:tcPr>
            <w:tcW w:w="0" w:type="auto"/>
            <w:shd w:val="clear" w:color="auto" w:fill="auto"/>
            <w:noWrap/>
            <w:vAlign w:val="center"/>
            <w:hideMark/>
          </w:tcPr>
          <w:p w14:paraId="1523D33B" w14:textId="1AE0C3A9" w:rsidR="00925867" w:rsidRPr="001B4CA2" w:rsidRDefault="00925867" w:rsidP="00627517">
            <w:pPr>
              <w:jc w:val="center"/>
              <w:rPr>
                <w:rFonts w:eastAsia="Times New Roman"/>
                <w:sz w:val="18"/>
                <w:szCs w:val="18"/>
                <w:lang w:eastAsia="hr-HR"/>
              </w:rPr>
            </w:pPr>
            <w:r w:rsidRPr="001B4CA2">
              <w:rPr>
                <w:rFonts w:eastAsia="Times New Roman"/>
                <w:sz w:val="18"/>
                <w:szCs w:val="18"/>
                <w:lang w:eastAsia="hr-HR"/>
              </w:rPr>
              <w:t>1.9</w:t>
            </w:r>
            <w:r w:rsidR="006B5925" w:rsidRPr="001B4CA2">
              <w:rPr>
                <w:rFonts w:eastAsia="Times New Roman"/>
                <w:sz w:val="18"/>
                <w:szCs w:val="18"/>
                <w:lang w:eastAsia="hr-HR"/>
              </w:rPr>
              <w:t>84</w:t>
            </w:r>
          </w:p>
        </w:tc>
        <w:tc>
          <w:tcPr>
            <w:tcW w:w="0" w:type="auto"/>
            <w:shd w:val="clear" w:color="auto" w:fill="auto"/>
            <w:noWrap/>
            <w:vAlign w:val="center"/>
            <w:hideMark/>
          </w:tcPr>
          <w:p w14:paraId="1A6B3A01" w14:textId="0DD51036" w:rsidR="00925867" w:rsidRPr="001B4CA2" w:rsidRDefault="006B5925" w:rsidP="00627517">
            <w:pPr>
              <w:jc w:val="center"/>
              <w:rPr>
                <w:rFonts w:eastAsia="Times New Roman"/>
                <w:sz w:val="18"/>
                <w:szCs w:val="18"/>
                <w:lang w:eastAsia="hr-HR"/>
              </w:rPr>
            </w:pPr>
            <w:r w:rsidRPr="001B4CA2">
              <w:rPr>
                <w:rFonts w:eastAsia="Times New Roman"/>
                <w:sz w:val="18"/>
                <w:szCs w:val="18"/>
                <w:lang w:eastAsia="hr-HR"/>
              </w:rPr>
              <w:t>2.567</w:t>
            </w:r>
          </w:p>
        </w:tc>
        <w:tc>
          <w:tcPr>
            <w:tcW w:w="0" w:type="auto"/>
            <w:shd w:val="clear" w:color="auto" w:fill="auto"/>
            <w:noWrap/>
            <w:vAlign w:val="center"/>
            <w:hideMark/>
          </w:tcPr>
          <w:p w14:paraId="1E9CFB5A" w14:textId="38C3BD04" w:rsidR="00925867" w:rsidRPr="001B4CA2" w:rsidRDefault="006B5925" w:rsidP="00627517">
            <w:pPr>
              <w:jc w:val="center"/>
              <w:rPr>
                <w:rFonts w:eastAsia="Times New Roman"/>
                <w:sz w:val="18"/>
                <w:szCs w:val="18"/>
                <w:lang w:eastAsia="hr-HR"/>
              </w:rPr>
            </w:pPr>
            <w:r w:rsidRPr="001B4CA2">
              <w:rPr>
                <w:rFonts w:eastAsia="Times New Roman"/>
                <w:sz w:val="18"/>
                <w:szCs w:val="18"/>
                <w:lang w:eastAsia="hr-HR"/>
              </w:rPr>
              <w:t>2.529</w:t>
            </w:r>
          </w:p>
        </w:tc>
        <w:tc>
          <w:tcPr>
            <w:tcW w:w="0" w:type="auto"/>
            <w:shd w:val="clear" w:color="auto" w:fill="auto"/>
            <w:noWrap/>
            <w:vAlign w:val="center"/>
            <w:hideMark/>
          </w:tcPr>
          <w:p w14:paraId="07636E03" w14:textId="02112F79" w:rsidR="00925867" w:rsidRPr="001B4CA2" w:rsidRDefault="006B5925" w:rsidP="00627517">
            <w:pPr>
              <w:jc w:val="center"/>
              <w:rPr>
                <w:rFonts w:eastAsia="Times New Roman"/>
                <w:sz w:val="18"/>
                <w:szCs w:val="18"/>
                <w:lang w:eastAsia="hr-HR"/>
              </w:rPr>
            </w:pPr>
            <w:r w:rsidRPr="001B4CA2">
              <w:rPr>
                <w:rFonts w:eastAsia="Times New Roman"/>
                <w:sz w:val="18"/>
                <w:szCs w:val="18"/>
                <w:lang w:eastAsia="hr-HR"/>
              </w:rPr>
              <w:t>3.543</w:t>
            </w:r>
          </w:p>
        </w:tc>
        <w:tc>
          <w:tcPr>
            <w:tcW w:w="0" w:type="auto"/>
            <w:shd w:val="clear" w:color="auto" w:fill="auto"/>
            <w:noWrap/>
            <w:vAlign w:val="center"/>
            <w:hideMark/>
          </w:tcPr>
          <w:p w14:paraId="0C80130E" w14:textId="64C21133" w:rsidR="00925867" w:rsidRPr="001B4CA2" w:rsidRDefault="006B5925" w:rsidP="00627517">
            <w:pPr>
              <w:jc w:val="center"/>
              <w:rPr>
                <w:rFonts w:eastAsia="Times New Roman"/>
                <w:sz w:val="18"/>
                <w:szCs w:val="18"/>
                <w:lang w:eastAsia="hr-HR"/>
              </w:rPr>
            </w:pPr>
            <w:r w:rsidRPr="001B4CA2">
              <w:rPr>
                <w:rFonts w:eastAsia="Times New Roman"/>
                <w:sz w:val="18"/>
                <w:szCs w:val="18"/>
                <w:lang w:eastAsia="hr-HR"/>
              </w:rPr>
              <w:t>2.294</w:t>
            </w:r>
          </w:p>
        </w:tc>
        <w:tc>
          <w:tcPr>
            <w:tcW w:w="0" w:type="auto"/>
            <w:shd w:val="clear" w:color="auto" w:fill="auto"/>
            <w:noWrap/>
            <w:vAlign w:val="center"/>
            <w:hideMark/>
          </w:tcPr>
          <w:p w14:paraId="2867A8C6" w14:textId="77DE61DE" w:rsidR="00925867" w:rsidRPr="001B4CA2" w:rsidRDefault="004C4CD9" w:rsidP="00627517">
            <w:pPr>
              <w:jc w:val="center"/>
              <w:rPr>
                <w:rFonts w:eastAsia="Times New Roman"/>
                <w:sz w:val="18"/>
                <w:szCs w:val="18"/>
                <w:lang w:eastAsia="hr-HR"/>
              </w:rPr>
            </w:pPr>
            <w:r w:rsidRPr="001B4CA2">
              <w:rPr>
                <w:rFonts w:eastAsia="Times New Roman"/>
                <w:sz w:val="18"/>
                <w:szCs w:val="18"/>
                <w:lang w:eastAsia="hr-HR"/>
              </w:rPr>
              <w:t>2.899</w:t>
            </w:r>
          </w:p>
        </w:tc>
        <w:tc>
          <w:tcPr>
            <w:tcW w:w="0" w:type="auto"/>
            <w:shd w:val="clear" w:color="auto" w:fill="auto"/>
            <w:noWrap/>
            <w:vAlign w:val="center"/>
          </w:tcPr>
          <w:p w14:paraId="2BC27F9C" w14:textId="7F103A10" w:rsidR="00925867" w:rsidRPr="001B4CA2" w:rsidRDefault="00925867" w:rsidP="00627517">
            <w:pPr>
              <w:jc w:val="center"/>
              <w:rPr>
                <w:rFonts w:eastAsia="Times New Roman"/>
                <w:sz w:val="18"/>
                <w:szCs w:val="18"/>
                <w:lang w:eastAsia="hr-HR"/>
              </w:rPr>
            </w:pPr>
            <w:r w:rsidRPr="001B4CA2">
              <w:rPr>
                <w:color w:val="000000"/>
                <w:sz w:val="18"/>
                <w:szCs w:val="18"/>
              </w:rPr>
              <w:t>2.</w:t>
            </w:r>
            <w:r w:rsidR="004C4CD9" w:rsidRPr="001B4CA2">
              <w:rPr>
                <w:color w:val="000000"/>
                <w:sz w:val="18"/>
                <w:szCs w:val="18"/>
              </w:rPr>
              <w:t>157</w:t>
            </w:r>
          </w:p>
        </w:tc>
        <w:tc>
          <w:tcPr>
            <w:tcW w:w="767" w:type="dxa"/>
            <w:shd w:val="clear" w:color="auto" w:fill="auto"/>
            <w:noWrap/>
            <w:vAlign w:val="center"/>
          </w:tcPr>
          <w:p w14:paraId="5FA648AE" w14:textId="1259E5F1" w:rsidR="00925867" w:rsidRPr="001B4CA2" w:rsidRDefault="004C4CD9" w:rsidP="00627517">
            <w:pPr>
              <w:jc w:val="center"/>
              <w:rPr>
                <w:rFonts w:eastAsia="Times New Roman"/>
                <w:sz w:val="18"/>
                <w:szCs w:val="18"/>
                <w:lang w:eastAsia="hr-HR"/>
              </w:rPr>
            </w:pPr>
            <w:r w:rsidRPr="001B4CA2">
              <w:rPr>
                <w:rFonts w:eastAsia="Times New Roman"/>
                <w:sz w:val="18"/>
                <w:szCs w:val="18"/>
                <w:lang w:eastAsia="hr-HR"/>
              </w:rPr>
              <w:t>2.701</w:t>
            </w:r>
          </w:p>
        </w:tc>
      </w:tr>
      <w:tr w:rsidR="00925867" w:rsidRPr="001B4CA2" w14:paraId="1A28B698" w14:textId="77777777" w:rsidTr="000169EF">
        <w:trPr>
          <w:trHeight w:val="414"/>
        </w:trPr>
        <w:tc>
          <w:tcPr>
            <w:tcW w:w="1079" w:type="dxa"/>
            <w:shd w:val="clear" w:color="auto" w:fill="auto"/>
            <w:noWrap/>
            <w:vAlign w:val="center"/>
            <w:hideMark/>
          </w:tcPr>
          <w:p w14:paraId="55C3B220" w14:textId="77777777" w:rsidR="00925867" w:rsidRPr="001B4CA2" w:rsidRDefault="00925867" w:rsidP="00627517">
            <w:pPr>
              <w:jc w:val="left"/>
              <w:rPr>
                <w:rFonts w:eastAsia="Times New Roman"/>
                <w:sz w:val="18"/>
                <w:szCs w:val="18"/>
                <w:lang w:eastAsia="hr-HR"/>
              </w:rPr>
            </w:pPr>
            <w:r w:rsidRPr="001B4CA2">
              <w:rPr>
                <w:rFonts w:eastAsia="Times New Roman"/>
                <w:sz w:val="18"/>
                <w:szCs w:val="18"/>
                <w:lang w:eastAsia="hr-HR"/>
              </w:rPr>
              <w:t>Pravne osobe</w:t>
            </w:r>
          </w:p>
        </w:tc>
        <w:tc>
          <w:tcPr>
            <w:tcW w:w="0" w:type="auto"/>
            <w:shd w:val="clear" w:color="auto" w:fill="auto"/>
            <w:noWrap/>
            <w:vAlign w:val="center"/>
          </w:tcPr>
          <w:p w14:paraId="4F954ECA" w14:textId="095DFC2D" w:rsidR="00925867" w:rsidRPr="001B4CA2" w:rsidRDefault="00925867" w:rsidP="00627517">
            <w:pPr>
              <w:jc w:val="center"/>
              <w:rPr>
                <w:rFonts w:eastAsia="Times New Roman"/>
                <w:sz w:val="18"/>
                <w:szCs w:val="18"/>
                <w:lang w:eastAsia="hr-HR"/>
              </w:rPr>
            </w:pPr>
            <w:r w:rsidRPr="001B4CA2">
              <w:rPr>
                <w:rFonts w:eastAsia="Times New Roman"/>
                <w:sz w:val="18"/>
                <w:szCs w:val="18"/>
                <w:lang w:eastAsia="hr-HR"/>
              </w:rPr>
              <w:t>1.</w:t>
            </w:r>
            <w:r w:rsidR="0040191F" w:rsidRPr="001B4CA2">
              <w:rPr>
                <w:rFonts w:eastAsia="Times New Roman"/>
                <w:sz w:val="18"/>
                <w:szCs w:val="18"/>
                <w:lang w:eastAsia="hr-HR"/>
              </w:rPr>
              <w:t>188</w:t>
            </w:r>
          </w:p>
        </w:tc>
        <w:tc>
          <w:tcPr>
            <w:tcW w:w="0" w:type="auto"/>
            <w:shd w:val="clear" w:color="auto" w:fill="auto"/>
            <w:noWrap/>
            <w:vAlign w:val="center"/>
          </w:tcPr>
          <w:p w14:paraId="2DFC7B11" w14:textId="721C61DD" w:rsidR="00925867" w:rsidRPr="001B4CA2" w:rsidRDefault="0040191F" w:rsidP="00627517">
            <w:pPr>
              <w:jc w:val="center"/>
              <w:rPr>
                <w:rFonts w:eastAsia="Times New Roman"/>
                <w:sz w:val="18"/>
                <w:szCs w:val="18"/>
                <w:lang w:eastAsia="hr-HR"/>
              </w:rPr>
            </w:pPr>
            <w:r w:rsidRPr="001B4CA2">
              <w:rPr>
                <w:rFonts w:eastAsia="Times New Roman"/>
                <w:sz w:val="18"/>
                <w:szCs w:val="18"/>
                <w:lang w:eastAsia="hr-HR"/>
              </w:rPr>
              <w:t>1.986</w:t>
            </w:r>
          </w:p>
        </w:tc>
        <w:tc>
          <w:tcPr>
            <w:tcW w:w="0" w:type="auto"/>
            <w:shd w:val="clear" w:color="auto" w:fill="auto"/>
            <w:noWrap/>
            <w:vAlign w:val="center"/>
            <w:hideMark/>
          </w:tcPr>
          <w:p w14:paraId="4A0A134B" w14:textId="2C11FB48" w:rsidR="00925867" w:rsidRPr="001B4CA2" w:rsidRDefault="00925867" w:rsidP="00627517">
            <w:pPr>
              <w:jc w:val="center"/>
              <w:rPr>
                <w:rFonts w:eastAsia="Times New Roman"/>
                <w:sz w:val="18"/>
                <w:szCs w:val="18"/>
                <w:lang w:eastAsia="hr-HR"/>
              </w:rPr>
            </w:pPr>
            <w:r w:rsidRPr="001B4CA2">
              <w:rPr>
                <w:rFonts w:eastAsia="Times New Roman"/>
                <w:sz w:val="18"/>
                <w:szCs w:val="18"/>
                <w:lang w:eastAsia="hr-HR"/>
              </w:rPr>
              <w:t>1.1</w:t>
            </w:r>
            <w:r w:rsidR="006B5925" w:rsidRPr="001B4CA2">
              <w:rPr>
                <w:rFonts w:eastAsia="Times New Roman"/>
                <w:sz w:val="18"/>
                <w:szCs w:val="18"/>
                <w:lang w:eastAsia="hr-HR"/>
              </w:rPr>
              <w:t>65</w:t>
            </w:r>
          </w:p>
        </w:tc>
        <w:tc>
          <w:tcPr>
            <w:tcW w:w="0" w:type="auto"/>
            <w:shd w:val="clear" w:color="auto" w:fill="auto"/>
            <w:noWrap/>
            <w:vAlign w:val="center"/>
            <w:hideMark/>
          </w:tcPr>
          <w:p w14:paraId="7F92EF19" w14:textId="6F4411B7" w:rsidR="00925867" w:rsidRPr="001B4CA2" w:rsidRDefault="006B5925" w:rsidP="00627517">
            <w:pPr>
              <w:jc w:val="center"/>
              <w:rPr>
                <w:rFonts w:eastAsia="Times New Roman"/>
                <w:sz w:val="18"/>
                <w:szCs w:val="18"/>
                <w:lang w:eastAsia="hr-HR"/>
              </w:rPr>
            </w:pPr>
            <w:r w:rsidRPr="001B4CA2">
              <w:rPr>
                <w:rFonts w:eastAsia="Times New Roman"/>
                <w:sz w:val="18"/>
                <w:szCs w:val="18"/>
                <w:lang w:eastAsia="hr-HR"/>
              </w:rPr>
              <w:t>2.113</w:t>
            </w:r>
          </w:p>
        </w:tc>
        <w:tc>
          <w:tcPr>
            <w:tcW w:w="0" w:type="auto"/>
            <w:shd w:val="clear" w:color="auto" w:fill="auto"/>
            <w:noWrap/>
            <w:vAlign w:val="center"/>
            <w:hideMark/>
          </w:tcPr>
          <w:p w14:paraId="42EB7D88" w14:textId="5F7D65DC" w:rsidR="00925867" w:rsidRPr="001B4CA2" w:rsidRDefault="006B5925" w:rsidP="00627517">
            <w:pPr>
              <w:jc w:val="center"/>
              <w:rPr>
                <w:rFonts w:eastAsia="Times New Roman"/>
                <w:sz w:val="18"/>
                <w:szCs w:val="18"/>
                <w:lang w:eastAsia="hr-HR"/>
              </w:rPr>
            </w:pPr>
            <w:r w:rsidRPr="001B4CA2">
              <w:rPr>
                <w:rFonts w:eastAsia="Times New Roman"/>
                <w:sz w:val="18"/>
                <w:szCs w:val="18"/>
                <w:lang w:eastAsia="hr-HR"/>
              </w:rPr>
              <w:t>1.345</w:t>
            </w:r>
          </w:p>
        </w:tc>
        <w:tc>
          <w:tcPr>
            <w:tcW w:w="0" w:type="auto"/>
            <w:shd w:val="clear" w:color="auto" w:fill="auto"/>
            <w:noWrap/>
            <w:vAlign w:val="center"/>
            <w:hideMark/>
          </w:tcPr>
          <w:p w14:paraId="5F3B9003" w14:textId="19471E00" w:rsidR="00925867" w:rsidRPr="001B4CA2" w:rsidRDefault="006B5925" w:rsidP="00627517">
            <w:pPr>
              <w:jc w:val="center"/>
              <w:rPr>
                <w:rFonts w:eastAsia="Times New Roman"/>
                <w:sz w:val="18"/>
                <w:szCs w:val="18"/>
                <w:lang w:eastAsia="hr-HR"/>
              </w:rPr>
            </w:pPr>
            <w:r w:rsidRPr="001B4CA2">
              <w:rPr>
                <w:rFonts w:eastAsia="Times New Roman"/>
                <w:sz w:val="18"/>
                <w:szCs w:val="18"/>
                <w:lang w:eastAsia="hr-HR"/>
              </w:rPr>
              <w:t>2.358</w:t>
            </w:r>
          </w:p>
        </w:tc>
        <w:tc>
          <w:tcPr>
            <w:tcW w:w="0" w:type="auto"/>
            <w:shd w:val="clear" w:color="auto" w:fill="auto"/>
            <w:noWrap/>
            <w:vAlign w:val="center"/>
            <w:hideMark/>
          </w:tcPr>
          <w:p w14:paraId="0B10B97B" w14:textId="58D9A7B6" w:rsidR="00925867" w:rsidRPr="001B4CA2" w:rsidRDefault="00925867" w:rsidP="00627517">
            <w:pPr>
              <w:jc w:val="center"/>
              <w:rPr>
                <w:rFonts w:eastAsia="Times New Roman"/>
                <w:sz w:val="18"/>
                <w:szCs w:val="18"/>
                <w:lang w:eastAsia="hr-HR"/>
              </w:rPr>
            </w:pPr>
            <w:r w:rsidRPr="001B4CA2">
              <w:rPr>
                <w:rFonts w:eastAsia="Times New Roman"/>
                <w:sz w:val="18"/>
                <w:szCs w:val="18"/>
                <w:lang w:eastAsia="hr-HR"/>
              </w:rPr>
              <w:t>1</w:t>
            </w:r>
            <w:r w:rsidR="006B5925" w:rsidRPr="001B4CA2">
              <w:rPr>
                <w:rFonts w:eastAsia="Times New Roman"/>
                <w:sz w:val="18"/>
                <w:szCs w:val="18"/>
                <w:lang w:eastAsia="hr-HR"/>
              </w:rPr>
              <w:t>.283</w:t>
            </w:r>
          </w:p>
        </w:tc>
        <w:tc>
          <w:tcPr>
            <w:tcW w:w="0" w:type="auto"/>
            <w:shd w:val="clear" w:color="auto" w:fill="auto"/>
            <w:noWrap/>
            <w:vAlign w:val="center"/>
            <w:hideMark/>
          </w:tcPr>
          <w:p w14:paraId="1BA856DD" w14:textId="126A10F0" w:rsidR="00925867" w:rsidRPr="001B4CA2" w:rsidRDefault="004C4CD9" w:rsidP="00627517">
            <w:pPr>
              <w:jc w:val="center"/>
              <w:rPr>
                <w:rFonts w:eastAsia="Times New Roman"/>
                <w:sz w:val="18"/>
                <w:szCs w:val="18"/>
                <w:lang w:eastAsia="hr-HR"/>
              </w:rPr>
            </w:pPr>
            <w:r w:rsidRPr="001B4CA2">
              <w:rPr>
                <w:rFonts w:eastAsia="Times New Roman"/>
                <w:sz w:val="18"/>
                <w:szCs w:val="18"/>
                <w:lang w:eastAsia="hr-HR"/>
              </w:rPr>
              <w:t>2.271</w:t>
            </w:r>
          </w:p>
        </w:tc>
        <w:tc>
          <w:tcPr>
            <w:tcW w:w="0" w:type="auto"/>
            <w:shd w:val="clear" w:color="auto" w:fill="auto"/>
            <w:noWrap/>
            <w:vAlign w:val="center"/>
          </w:tcPr>
          <w:p w14:paraId="24191216" w14:textId="1CC351FE" w:rsidR="00925867" w:rsidRPr="001B4CA2" w:rsidRDefault="00925867" w:rsidP="00627517">
            <w:pPr>
              <w:jc w:val="center"/>
              <w:rPr>
                <w:rFonts w:eastAsia="Times New Roman"/>
                <w:sz w:val="18"/>
                <w:szCs w:val="18"/>
                <w:lang w:eastAsia="hr-HR"/>
              </w:rPr>
            </w:pPr>
            <w:r w:rsidRPr="001B4CA2">
              <w:rPr>
                <w:sz w:val="18"/>
                <w:szCs w:val="18"/>
              </w:rPr>
              <w:t>1.</w:t>
            </w:r>
            <w:r w:rsidR="004C4CD9" w:rsidRPr="001B4CA2">
              <w:rPr>
                <w:sz w:val="18"/>
                <w:szCs w:val="18"/>
              </w:rPr>
              <w:t>438</w:t>
            </w:r>
          </w:p>
        </w:tc>
        <w:tc>
          <w:tcPr>
            <w:tcW w:w="767" w:type="dxa"/>
            <w:shd w:val="clear" w:color="auto" w:fill="auto"/>
            <w:noWrap/>
            <w:vAlign w:val="center"/>
          </w:tcPr>
          <w:p w14:paraId="70D79980" w14:textId="6AFAD34A" w:rsidR="00925867" w:rsidRPr="001B4CA2" w:rsidRDefault="00925867" w:rsidP="00627517">
            <w:pPr>
              <w:jc w:val="center"/>
              <w:rPr>
                <w:rFonts w:eastAsia="Times New Roman"/>
                <w:sz w:val="18"/>
                <w:szCs w:val="18"/>
                <w:lang w:eastAsia="hr-HR"/>
              </w:rPr>
            </w:pPr>
            <w:r w:rsidRPr="001B4CA2">
              <w:rPr>
                <w:color w:val="000000"/>
                <w:sz w:val="18"/>
                <w:szCs w:val="18"/>
              </w:rPr>
              <w:t>2.</w:t>
            </w:r>
            <w:r w:rsidR="004C4CD9" w:rsidRPr="001B4CA2">
              <w:rPr>
                <w:color w:val="000000"/>
                <w:sz w:val="18"/>
                <w:szCs w:val="18"/>
              </w:rPr>
              <w:t>559</w:t>
            </w:r>
          </w:p>
        </w:tc>
      </w:tr>
      <w:tr w:rsidR="00925867" w:rsidRPr="001B4CA2" w14:paraId="7B3A64F7" w14:textId="77777777" w:rsidTr="000169EF">
        <w:trPr>
          <w:trHeight w:val="414"/>
        </w:trPr>
        <w:tc>
          <w:tcPr>
            <w:tcW w:w="1079" w:type="dxa"/>
            <w:shd w:val="clear" w:color="auto" w:fill="auto"/>
            <w:noWrap/>
            <w:vAlign w:val="center"/>
            <w:hideMark/>
          </w:tcPr>
          <w:p w14:paraId="26F198B2" w14:textId="77777777" w:rsidR="00925867" w:rsidRPr="001B4CA2" w:rsidRDefault="00925867" w:rsidP="00627517">
            <w:pPr>
              <w:jc w:val="left"/>
              <w:rPr>
                <w:rFonts w:eastAsia="Times New Roman"/>
                <w:sz w:val="18"/>
                <w:szCs w:val="18"/>
                <w:lang w:eastAsia="hr-HR"/>
              </w:rPr>
            </w:pPr>
            <w:r w:rsidRPr="001B4CA2">
              <w:rPr>
                <w:rFonts w:eastAsia="Times New Roman"/>
                <w:sz w:val="18"/>
                <w:szCs w:val="18"/>
                <w:lang w:eastAsia="hr-HR"/>
              </w:rPr>
              <w:t>Maloljetne osobe</w:t>
            </w:r>
          </w:p>
        </w:tc>
        <w:tc>
          <w:tcPr>
            <w:tcW w:w="0" w:type="auto"/>
            <w:shd w:val="clear" w:color="auto" w:fill="auto"/>
            <w:noWrap/>
            <w:vAlign w:val="center"/>
          </w:tcPr>
          <w:p w14:paraId="1D7BB657" w14:textId="7B5C1B49" w:rsidR="00925867" w:rsidRPr="001B4CA2" w:rsidRDefault="00925867" w:rsidP="00627517">
            <w:pPr>
              <w:jc w:val="center"/>
              <w:rPr>
                <w:rFonts w:eastAsia="Times New Roman"/>
                <w:sz w:val="18"/>
                <w:szCs w:val="18"/>
                <w:lang w:eastAsia="hr-HR"/>
              </w:rPr>
            </w:pPr>
            <w:r w:rsidRPr="001B4CA2">
              <w:rPr>
                <w:rFonts w:eastAsia="Times New Roman"/>
                <w:sz w:val="18"/>
                <w:szCs w:val="18"/>
                <w:lang w:eastAsia="hr-HR"/>
              </w:rPr>
              <w:t>1.</w:t>
            </w:r>
            <w:r w:rsidR="0040191F" w:rsidRPr="001B4CA2">
              <w:rPr>
                <w:rFonts w:eastAsia="Times New Roman"/>
                <w:sz w:val="18"/>
                <w:szCs w:val="18"/>
                <w:lang w:eastAsia="hr-HR"/>
              </w:rPr>
              <w:t>416</w:t>
            </w:r>
          </w:p>
        </w:tc>
        <w:tc>
          <w:tcPr>
            <w:tcW w:w="0" w:type="auto"/>
            <w:shd w:val="clear" w:color="auto" w:fill="auto"/>
            <w:noWrap/>
            <w:vAlign w:val="center"/>
          </w:tcPr>
          <w:p w14:paraId="2E0EDAA2" w14:textId="2ADB4E3D" w:rsidR="00925867" w:rsidRPr="001B4CA2" w:rsidRDefault="0040191F" w:rsidP="00627517">
            <w:pPr>
              <w:jc w:val="center"/>
              <w:rPr>
                <w:rFonts w:eastAsia="Times New Roman"/>
                <w:sz w:val="18"/>
                <w:szCs w:val="18"/>
                <w:lang w:eastAsia="hr-HR"/>
              </w:rPr>
            </w:pPr>
            <w:r w:rsidRPr="001B4CA2">
              <w:rPr>
                <w:rFonts w:eastAsia="Times New Roman"/>
                <w:sz w:val="18"/>
                <w:szCs w:val="18"/>
                <w:lang w:eastAsia="hr-HR"/>
              </w:rPr>
              <w:t>1.837</w:t>
            </w:r>
          </w:p>
        </w:tc>
        <w:tc>
          <w:tcPr>
            <w:tcW w:w="0" w:type="auto"/>
            <w:shd w:val="clear" w:color="auto" w:fill="auto"/>
            <w:noWrap/>
            <w:vAlign w:val="center"/>
            <w:hideMark/>
          </w:tcPr>
          <w:p w14:paraId="0AE64715" w14:textId="5187A11A" w:rsidR="00925867" w:rsidRPr="001B4CA2" w:rsidRDefault="00925867" w:rsidP="00627517">
            <w:pPr>
              <w:jc w:val="center"/>
              <w:rPr>
                <w:rFonts w:eastAsia="Times New Roman"/>
                <w:sz w:val="18"/>
                <w:szCs w:val="18"/>
                <w:lang w:eastAsia="hr-HR"/>
              </w:rPr>
            </w:pPr>
            <w:r w:rsidRPr="001B4CA2">
              <w:rPr>
                <w:rFonts w:eastAsia="Times New Roman"/>
                <w:sz w:val="18"/>
                <w:szCs w:val="18"/>
                <w:lang w:eastAsia="hr-HR"/>
              </w:rPr>
              <w:t>1.4</w:t>
            </w:r>
            <w:r w:rsidR="006B5925" w:rsidRPr="001B4CA2">
              <w:rPr>
                <w:rFonts w:eastAsia="Times New Roman"/>
                <w:sz w:val="18"/>
                <w:szCs w:val="18"/>
                <w:lang w:eastAsia="hr-HR"/>
              </w:rPr>
              <w:t>76</w:t>
            </w:r>
          </w:p>
        </w:tc>
        <w:tc>
          <w:tcPr>
            <w:tcW w:w="0" w:type="auto"/>
            <w:shd w:val="clear" w:color="auto" w:fill="auto"/>
            <w:noWrap/>
            <w:vAlign w:val="center"/>
            <w:hideMark/>
          </w:tcPr>
          <w:p w14:paraId="3F419605" w14:textId="0AA6B84A" w:rsidR="00925867" w:rsidRPr="001B4CA2" w:rsidRDefault="00925867" w:rsidP="00627517">
            <w:pPr>
              <w:jc w:val="center"/>
              <w:rPr>
                <w:rFonts w:eastAsia="Times New Roman"/>
                <w:sz w:val="18"/>
                <w:szCs w:val="18"/>
                <w:lang w:eastAsia="hr-HR"/>
              </w:rPr>
            </w:pPr>
            <w:r w:rsidRPr="001B4CA2">
              <w:rPr>
                <w:rFonts w:eastAsia="Times New Roman"/>
                <w:sz w:val="18"/>
                <w:szCs w:val="18"/>
                <w:lang w:eastAsia="hr-HR"/>
              </w:rPr>
              <w:t>1.</w:t>
            </w:r>
            <w:r w:rsidR="006B5925" w:rsidRPr="001B4CA2">
              <w:rPr>
                <w:rFonts w:eastAsia="Times New Roman"/>
                <w:sz w:val="18"/>
                <w:szCs w:val="18"/>
                <w:lang w:eastAsia="hr-HR"/>
              </w:rPr>
              <w:t>913</w:t>
            </w:r>
          </w:p>
        </w:tc>
        <w:tc>
          <w:tcPr>
            <w:tcW w:w="0" w:type="auto"/>
            <w:shd w:val="clear" w:color="auto" w:fill="auto"/>
            <w:noWrap/>
            <w:vAlign w:val="center"/>
            <w:hideMark/>
          </w:tcPr>
          <w:p w14:paraId="522509CB" w14:textId="4C53EE8D" w:rsidR="00925867" w:rsidRPr="001B4CA2" w:rsidRDefault="006B5925" w:rsidP="00627517">
            <w:pPr>
              <w:jc w:val="center"/>
              <w:rPr>
                <w:rFonts w:eastAsia="Times New Roman"/>
                <w:sz w:val="18"/>
                <w:szCs w:val="18"/>
                <w:lang w:eastAsia="hr-HR"/>
              </w:rPr>
            </w:pPr>
            <w:r w:rsidRPr="001B4CA2">
              <w:rPr>
                <w:rFonts w:eastAsia="Times New Roman"/>
                <w:sz w:val="18"/>
                <w:szCs w:val="18"/>
                <w:lang w:eastAsia="hr-HR"/>
              </w:rPr>
              <w:t>1.839</w:t>
            </w:r>
          </w:p>
        </w:tc>
        <w:tc>
          <w:tcPr>
            <w:tcW w:w="0" w:type="auto"/>
            <w:shd w:val="clear" w:color="auto" w:fill="auto"/>
            <w:noWrap/>
            <w:vAlign w:val="center"/>
            <w:hideMark/>
          </w:tcPr>
          <w:p w14:paraId="71F591A0" w14:textId="0DE27155" w:rsidR="00925867" w:rsidRPr="001B4CA2" w:rsidRDefault="006B5925" w:rsidP="00627517">
            <w:pPr>
              <w:jc w:val="center"/>
              <w:rPr>
                <w:rFonts w:eastAsia="Times New Roman"/>
                <w:sz w:val="18"/>
                <w:szCs w:val="18"/>
                <w:lang w:eastAsia="hr-HR"/>
              </w:rPr>
            </w:pPr>
            <w:r w:rsidRPr="001B4CA2">
              <w:rPr>
                <w:rFonts w:eastAsia="Times New Roman"/>
                <w:sz w:val="18"/>
                <w:szCs w:val="18"/>
                <w:lang w:eastAsia="hr-HR"/>
              </w:rPr>
              <w:t>2.397</w:t>
            </w:r>
          </w:p>
        </w:tc>
        <w:tc>
          <w:tcPr>
            <w:tcW w:w="0" w:type="auto"/>
            <w:shd w:val="clear" w:color="auto" w:fill="auto"/>
            <w:noWrap/>
            <w:vAlign w:val="center"/>
            <w:hideMark/>
          </w:tcPr>
          <w:p w14:paraId="74E0A201" w14:textId="69C537B2" w:rsidR="00925867" w:rsidRPr="001B4CA2" w:rsidRDefault="00925867" w:rsidP="00627517">
            <w:pPr>
              <w:jc w:val="center"/>
              <w:rPr>
                <w:rFonts w:eastAsia="Times New Roman"/>
                <w:sz w:val="18"/>
                <w:szCs w:val="18"/>
                <w:lang w:eastAsia="hr-HR"/>
              </w:rPr>
            </w:pPr>
            <w:r w:rsidRPr="001B4CA2">
              <w:rPr>
                <w:rFonts w:eastAsia="Times New Roman"/>
                <w:sz w:val="18"/>
                <w:szCs w:val="18"/>
                <w:lang w:eastAsia="hr-HR"/>
              </w:rPr>
              <w:t>1.8</w:t>
            </w:r>
            <w:r w:rsidR="006B5925" w:rsidRPr="001B4CA2">
              <w:rPr>
                <w:rFonts w:eastAsia="Times New Roman"/>
                <w:sz w:val="18"/>
                <w:szCs w:val="18"/>
                <w:lang w:eastAsia="hr-HR"/>
              </w:rPr>
              <w:t>57</w:t>
            </w:r>
          </w:p>
        </w:tc>
        <w:tc>
          <w:tcPr>
            <w:tcW w:w="0" w:type="auto"/>
            <w:shd w:val="clear" w:color="auto" w:fill="auto"/>
            <w:noWrap/>
            <w:vAlign w:val="center"/>
            <w:hideMark/>
          </w:tcPr>
          <w:p w14:paraId="68B3FC5E" w14:textId="052B25D2" w:rsidR="00925867" w:rsidRPr="001B4CA2" w:rsidRDefault="004C4CD9" w:rsidP="00627517">
            <w:pPr>
              <w:jc w:val="center"/>
              <w:rPr>
                <w:rFonts w:eastAsia="Times New Roman"/>
                <w:sz w:val="18"/>
                <w:szCs w:val="18"/>
                <w:lang w:eastAsia="hr-HR"/>
              </w:rPr>
            </w:pPr>
            <w:r w:rsidRPr="001B4CA2">
              <w:rPr>
                <w:rFonts w:eastAsia="Times New Roman"/>
                <w:sz w:val="18"/>
                <w:szCs w:val="18"/>
                <w:lang w:eastAsia="hr-HR"/>
              </w:rPr>
              <w:t>2.234</w:t>
            </w:r>
          </w:p>
        </w:tc>
        <w:tc>
          <w:tcPr>
            <w:tcW w:w="0" w:type="auto"/>
            <w:shd w:val="clear" w:color="auto" w:fill="auto"/>
            <w:noWrap/>
            <w:vAlign w:val="center"/>
          </w:tcPr>
          <w:p w14:paraId="5BE593AA" w14:textId="22528B53" w:rsidR="00925867" w:rsidRPr="001B4CA2" w:rsidRDefault="00925867" w:rsidP="00627517">
            <w:pPr>
              <w:jc w:val="center"/>
              <w:rPr>
                <w:rFonts w:eastAsia="Times New Roman"/>
                <w:sz w:val="18"/>
                <w:szCs w:val="18"/>
                <w:lang w:eastAsia="hr-HR"/>
              </w:rPr>
            </w:pPr>
            <w:r w:rsidRPr="001B4CA2">
              <w:rPr>
                <w:color w:val="000000"/>
                <w:sz w:val="18"/>
                <w:szCs w:val="18"/>
              </w:rPr>
              <w:t>1.</w:t>
            </w:r>
            <w:r w:rsidR="004C4CD9" w:rsidRPr="001B4CA2">
              <w:rPr>
                <w:color w:val="000000"/>
                <w:sz w:val="18"/>
                <w:szCs w:val="18"/>
              </w:rPr>
              <w:t>965</w:t>
            </w:r>
          </w:p>
        </w:tc>
        <w:tc>
          <w:tcPr>
            <w:tcW w:w="767" w:type="dxa"/>
            <w:shd w:val="clear" w:color="auto" w:fill="auto"/>
            <w:noWrap/>
            <w:vAlign w:val="center"/>
          </w:tcPr>
          <w:p w14:paraId="115EC1B8" w14:textId="3ABCEBD6" w:rsidR="00925867" w:rsidRPr="001B4CA2" w:rsidRDefault="00925867" w:rsidP="00627517">
            <w:pPr>
              <w:jc w:val="center"/>
              <w:rPr>
                <w:rFonts w:eastAsia="Times New Roman"/>
                <w:sz w:val="18"/>
                <w:szCs w:val="18"/>
                <w:lang w:eastAsia="hr-HR"/>
              </w:rPr>
            </w:pPr>
            <w:r w:rsidRPr="001B4CA2">
              <w:rPr>
                <w:color w:val="000000"/>
                <w:sz w:val="18"/>
                <w:szCs w:val="18"/>
              </w:rPr>
              <w:t>2.</w:t>
            </w:r>
            <w:r w:rsidR="004C4CD9" w:rsidRPr="001B4CA2">
              <w:rPr>
                <w:color w:val="000000"/>
                <w:sz w:val="18"/>
                <w:szCs w:val="18"/>
              </w:rPr>
              <w:t>352</w:t>
            </w:r>
          </w:p>
        </w:tc>
      </w:tr>
      <w:tr w:rsidR="00925867" w:rsidRPr="001B4CA2" w14:paraId="55EB53AD" w14:textId="77777777" w:rsidTr="000169EF">
        <w:trPr>
          <w:trHeight w:val="414"/>
        </w:trPr>
        <w:tc>
          <w:tcPr>
            <w:tcW w:w="1079" w:type="dxa"/>
            <w:shd w:val="clear" w:color="auto" w:fill="auto"/>
            <w:noWrap/>
            <w:vAlign w:val="center"/>
            <w:hideMark/>
          </w:tcPr>
          <w:p w14:paraId="0A404F9F" w14:textId="502A19D3" w:rsidR="00925867" w:rsidRPr="001B4CA2" w:rsidRDefault="00925867" w:rsidP="0099022A">
            <w:pPr>
              <w:jc w:val="left"/>
              <w:rPr>
                <w:rFonts w:eastAsia="Times New Roman"/>
                <w:b/>
                <w:bCs/>
                <w:sz w:val="18"/>
                <w:szCs w:val="18"/>
                <w:lang w:eastAsia="hr-HR"/>
              </w:rPr>
            </w:pPr>
            <w:r w:rsidRPr="001B4CA2">
              <w:rPr>
                <w:rFonts w:eastAsia="Times New Roman"/>
                <w:b/>
                <w:bCs/>
                <w:sz w:val="18"/>
                <w:szCs w:val="18"/>
                <w:lang w:eastAsia="hr-HR"/>
              </w:rPr>
              <w:t>UKUPNO</w:t>
            </w:r>
          </w:p>
        </w:tc>
        <w:tc>
          <w:tcPr>
            <w:tcW w:w="0" w:type="auto"/>
            <w:shd w:val="clear" w:color="auto" w:fill="auto"/>
            <w:noWrap/>
            <w:vAlign w:val="center"/>
          </w:tcPr>
          <w:p w14:paraId="603B2BD9" w14:textId="5ED1EE4D" w:rsidR="00925867" w:rsidRPr="001B4CA2" w:rsidRDefault="0040191F" w:rsidP="00627517">
            <w:pPr>
              <w:jc w:val="center"/>
              <w:rPr>
                <w:rFonts w:eastAsia="Times New Roman"/>
                <w:b/>
                <w:bCs/>
                <w:sz w:val="18"/>
                <w:szCs w:val="18"/>
                <w:lang w:eastAsia="hr-HR"/>
              </w:rPr>
            </w:pPr>
            <w:r w:rsidRPr="001B4CA2">
              <w:rPr>
                <w:rFonts w:eastAsia="Times New Roman"/>
                <w:b/>
                <w:bCs/>
                <w:sz w:val="18"/>
                <w:szCs w:val="18"/>
                <w:lang w:eastAsia="hr-HR"/>
              </w:rPr>
              <w:t>35.154</w:t>
            </w:r>
          </w:p>
        </w:tc>
        <w:tc>
          <w:tcPr>
            <w:tcW w:w="0" w:type="auto"/>
            <w:shd w:val="clear" w:color="auto" w:fill="auto"/>
            <w:noWrap/>
            <w:vAlign w:val="center"/>
          </w:tcPr>
          <w:p w14:paraId="590E20A9" w14:textId="7FFB630D" w:rsidR="00925867" w:rsidRPr="001B4CA2" w:rsidRDefault="0040191F" w:rsidP="00627517">
            <w:pPr>
              <w:jc w:val="center"/>
              <w:rPr>
                <w:rFonts w:eastAsia="Times New Roman"/>
                <w:b/>
                <w:bCs/>
                <w:sz w:val="18"/>
                <w:szCs w:val="18"/>
                <w:lang w:eastAsia="hr-HR"/>
              </w:rPr>
            </w:pPr>
            <w:r w:rsidRPr="001B4CA2">
              <w:rPr>
                <w:rFonts w:eastAsia="Times New Roman"/>
                <w:b/>
                <w:bCs/>
                <w:sz w:val="18"/>
                <w:szCs w:val="18"/>
                <w:lang w:eastAsia="hr-HR"/>
              </w:rPr>
              <w:t>47.443</w:t>
            </w:r>
          </w:p>
        </w:tc>
        <w:tc>
          <w:tcPr>
            <w:tcW w:w="0" w:type="auto"/>
            <w:shd w:val="clear" w:color="auto" w:fill="auto"/>
            <w:noWrap/>
            <w:vAlign w:val="center"/>
            <w:hideMark/>
          </w:tcPr>
          <w:p w14:paraId="0E07E4C4" w14:textId="700DF42C" w:rsidR="00925867" w:rsidRPr="001B4CA2" w:rsidRDefault="00925867" w:rsidP="00627517">
            <w:pPr>
              <w:jc w:val="center"/>
              <w:rPr>
                <w:rFonts w:eastAsia="Times New Roman"/>
                <w:b/>
                <w:bCs/>
                <w:sz w:val="18"/>
                <w:szCs w:val="18"/>
                <w:lang w:eastAsia="hr-HR"/>
              </w:rPr>
            </w:pPr>
            <w:r w:rsidRPr="001B4CA2">
              <w:rPr>
                <w:rFonts w:eastAsia="Times New Roman"/>
                <w:b/>
                <w:bCs/>
                <w:sz w:val="18"/>
                <w:szCs w:val="18"/>
                <w:lang w:eastAsia="hr-HR"/>
              </w:rPr>
              <w:t>35.</w:t>
            </w:r>
            <w:r w:rsidR="006B5925" w:rsidRPr="001B4CA2">
              <w:rPr>
                <w:rFonts w:eastAsia="Times New Roman"/>
                <w:b/>
                <w:bCs/>
                <w:sz w:val="18"/>
                <w:szCs w:val="18"/>
                <w:lang w:eastAsia="hr-HR"/>
              </w:rPr>
              <w:t>912</w:t>
            </w:r>
          </w:p>
        </w:tc>
        <w:tc>
          <w:tcPr>
            <w:tcW w:w="0" w:type="auto"/>
            <w:shd w:val="clear" w:color="auto" w:fill="auto"/>
            <w:noWrap/>
            <w:vAlign w:val="center"/>
            <w:hideMark/>
          </w:tcPr>
          <w:p w14:paraId="5FDFDFDC" w14:textId="69617DBA" w:rsidR="00925867" w:rsidRPr="001B4CA2" w:rsidRDefault="00925867" w:rsidP="00627517">
            <w:pPr>
              <w:jc w:val="center"/>
              <w:rPr>
                <w:rFonts w:eastAsia="Times New Roman"/>
                <w:b/>
                <w:bCs/>
                <w:sz w:val="18"/>
                <w:szCs w:val="18"/>
                <w:lang w:eastAsia="hr-HR"/>
              </w:rPr>
            </w:pPr>
            <w:r w:rsidRPr="001B4CA2">
              <w:rPr>
                <w:rFonts w:eastAsia="Times New Roman"/>
                <w:b/>
                <w:bCs/>
                <w:sz w:val="18"/>
                <w:szCs w:val="18"/>
                <w:lang w:eastAsia="hr-HR"/>
              </w:rPr>
              <w:t>4</w:t>
            </w:r>
            <w:r w:rsidR="006B5925" w:rsidRPr="001B4CA2">
              <w:rPr>
                <w:rFonts w:eastAsia="Times New Roman"/>
                <w:b/>
                <w:bCs/>
                <w:sz w:val="18"/>
                <w:szCs w:val="18"/>
                <w:lang w:eastAsia="hr-HR"/>
              </w:rPr>
              <w:t>8.601</w:t>
            </w:r>
          </w:p>
        </w:tc>
        <w:tc>
          <w:tcPr>
            <w:tcW w:w="0" w:type="auto"/>
            <w:shd w:val="clear" w:color="auto" w:fill="auto"/>
            <w:noWrap/>
            <w:vAlign w:val="center"/>
            <w:hideMark/>
          </w:tcPr>
          <w:p w14:paraId="2A9BDEA7" w14:textId="27FB6D6C" w:rsidR="00925867" w:rsidRPr="001B4CA2" w:rsidRDefault="00925867" w:rsidP="00627517">
            <w:pPr>
              <w:jc w:val="center"/>
              <w:rPr>
                <w:rFonts w:eastAsia="Times New Roman"/>
                <w:b/>
                <w:bCs/>
                <w:sz w:val="18"/>
                <w:szCs w:val="18"/>
                <w:lang w:eastAsia="hr-HR"/>
              </w:rPr>
            </w:pPr>
            <w:r w:rsidRPr="001B4CA2">
              <w:rPr>
                <w:rFonts w:eastAsia="Times New Roman"/>
                <w:b/>
                <w:bCs/>
                <w:sz w:val="18"/>
                <w:szCs w:val="18"/>
                <w:lang w:eastAsia="hr-HR"/>
              </w:rPr>
              <w:t>3</w:t>
            </w:r>
            <w:r w:rsidR="006B5925" w:rsidRPr="001B4CA2">
              <w:rPr>
                <w:rFonts w:eastAsia="Times New Roman"/>
                <w:b/>
                <w:bCs/>
                <w:sz w:val="18"/>
                <w:szCs w:val="18"/>
                <w:lang w:eastAsia="hr-HR"/>
              </w:rPr>
              <w:t>9.926</w:t>
            </w:r>
          </w:p>
        </w:tc>
        <w:tc>
          <w:tcPr>
            <w:tcW w:w="0" w:type="auto"/>
            <w:shd w:val="clear" w:color="auto" w:fill="auto"/>
            <w:noWrap/>
            <w:vAlign w:val="center"/>
            <w:hideMark/>
          </w:tcPr>
          <w:p w14:paraId="38B97D71" w14:textId="1E8C6D37" w:rsidR="00925867" w:rsidRPr="001B4CA2" w:rsidRDefault="006B5925" w:rsidP="00627517">
            <w:pPr>
              <w:jc w:val="center"/>
              <w:rPr>
                <w:rFonts w:eastAsia="Times New Roman"/>
                <w:b/>
                <w:bCs/>
                <w:sz w:val="18"/>
                <w:szCs w:val="18"/>
                <w:lang w:eastAsia="hr-HR"/>
              </w:rPr>
            </w:pPr>
            <w:r w:rsidRPr="001B4CA2">
              <w:rPr>
                <w:rFonts w:eastAsia="Times New Roman"/>
                <w:b/>
                <w:bCs/>
                <w:sz w:val="18"/>
                <w:szCs w:val="18"/>
                <w:lang w:eastAsia="hr-HR"/>
              </w:rPr>
              <w:t>52.201</w:t>
            </w:r>
          </w:p>
        </w:tc>
        <w:tc>
          <w:tcPr>
            <w:tcW w:w="0" w:type="auto"/>
            <w:shd w:val="clear" w:color="auto" w:fill="auto"/>
            <w:noWrap/>
            <w:vAlign w:val="center"/>
            <w:hideMark/>
          </w:tcPr>
          <w:p w14:paraId="3F0E2A8C" w14:textId="097E2499" w:rsidR="00925867" w:rsidRPr="001B4CA2" w:rsidRDefault="006B5925" w:rsidP="00627517">
            <w:pPr>
              <w:jc w:val="center"/>
              <w:rPr>
                <w:rFonts w:eastAsia="Times New Roman"/>
                <w:b/>
                <w:bCs/>
                <w:sz w:val="18"/>
                <w:szCs w:val="18"/>
                <w:lang w:eastAsia="hr-HR"/>
              </w:rPr>
            </w:pPr>
            <w:r w:rsidRPr="001B4CA2">
              <w:rPr>
                <w:rFonts w:eastAsia="Times New Roman"/>
                <w:b/>
                <w:bCs/>
                <w:sz w:val="18"/>
                <w:szCs w:val="18"/>
                <w:lang w:eastAsia="hr-HR"/>
              </w:rPr>
              <w:t>41.100</w:t>
            </w:r>
          </w:p>
        </w:tc>
        <w:tc>
          <w:tcPr>
            <w:tcW w:w="0" w:type="auto"/>
            <w:shd w:val="clear" w:color="auto" w:fill="auto"/>
            <w:noWrap/>
            <w:vAlign w:val="center"/>
            <w:hideMark/>
          </w:tcPr>
          <w:p w14:paraId="1D83162D" w14:textId="7A36FC36" w:rsidR="00925867" w:rsidRPr="001B4CA2" w:rsidRDefault="00925867" w:rsidP="00627517">
            <w:pPr>
              <w:jc w:val="center"/>
              <w:rPr>
                <w:rFonts w:eastAsia="Times New Roman"/>
                <w:b/>
                <w:bCs/>
                <w:sz w:val="18"/>
                <w:szCs w:val="18"/>
                <w:lang w:eastAsia="hr-HR"/>
              </w:rPr>
            </w:pPr>
            <w:r w:rsidRPr="001B4CA2">
              <w:rPr>
                <w:rFonts w:eastAsia="Times New Roman"/>
                <w:b/>
                <w:bCs/>
                <w:sz w:val="18"/>
                <w:szCs w:val="18"/>
                <w:lang w:eastAsia="hr-HR"/>
              </w:rPr>
              <w:t>5</w:t>
            </w:r>
            <w:r w:rsidR="004C4CD9" w:rsidRPr="001B4CA2">
              <w:rPr>
                <w:rFonts w:eastAsia="Times New Roman"/>
                <w:b/>
                <w:bCs/>
                <w:sz w:val="18"/>
                <w:szCs w:val="18"/>
                <w:lang w:eastAsia="hr-HR"/>
              </w:rPr>
              <w:t>3.009</w:t>
            </w:r>
          </w:p>
        </w:tc>
        <w:tc>
          <w:tcPr>
            <w:tcW w:w="0" w:type="auto"/>
            <w:shd w:val="clear" w:color="auto" w:fill="auto"/>
            <w:noWrap/>
            <w:vAlign w:val="center"/>
          </w:tcPr>
          <w:p w14:paraId="48F6839B" w14:textId="0904E2F0" w:rsidR="00925867" w:rsidRPr="001B4CA2" w:rsidRDefault="00925867" w:rsidP="00627517">
            <w:pPr>
              <w:jc w:val="center"/>
              <w:rPr>
                <w:rFonts w:eastAsia="Times New Roman"/>
                <w:b/>
                <w:bCs/>
                <w:sz w:val="18"/>
                <w:szCs w:val="18"/>
                <w:lang w:eastAsia="hr-HR"/>
              </w:rPr>
            </w:pPr>
            <w:r w:rsidRPr="001B4CA2">
              <w:rPr>
                <w:b/>
                <w:bCs/>
                <w:color w:val="000000"/>
                <w:sz w:val="18"/>
                <w:szCs w:val="18"/>
              </w:rPr>
              <w:t>41.</w:t>
            </w:r>
            <w:r w:rsidR="004C4CD9" w:rsidRPr="001B4CA2">
              <w:rPr>
                <w:b/>
                <w:bCs/>
                <w:color w:val="000000"/>
                <w:sz w:val="18"/>
                <w:szCs w:val="18"/>
              </w:rPr>
              <w:t>613</w:t>
            </w:r>
          </w:p>
        </w:tc>
        <w:tc>
          <w:tcPr>
            <w:tcW w:w="767" w:type="dxa"/>
            <w:shd w:val="clear" w:color="auto" w:fill="auto"/>
            <w:noWrap/>
            <w:vAlign w:val="center"/>
          </w:tcPr>
          <w:p w14:paraId="3423A12F" w14:textId="4E3AB909" w:rsidR="00925867" w:rsidRPr="001B4CA2" w:rsidRDefault="004C4CD9" w:rsidP="00627517">
            <w:pPr>
              <w:jc w:val="center"/>
              <w:rPr>
                <w:rFonts w:eastAsia="Times New Roman"/>
                <w:b/>
                <w:bCs/>
                <w:sz w:val="18"/>
                <w:szCs w:val="18"/>
                <w:lang w:eastAsia="hr-HR"/>
              </w:rPr>
            </w:pPr>
            <w:r w:rsidRPr="001B4CA2">
              <w:rPr>
                <w:rFonts w:eastAsia="Times New Roman"/>
                <w:b/>
                <w:bCs/>
                <w:sz w:val="18"/>
                <w:szCs w:val="18"/>
                <w:lang w:eastAsia="hr-HR"/>
              </w:rPr>
              <w:t>54.800</w:t>
            </w:r>
          </w:p>
        </w:tc>
      </w:tr>
    </w:tbl>
    <w:p w14:paraId="6241918F" w14:textId="77777777" w:rsidR="00D87CAC" w:rsidRPr="001B4CA2" w:rsidRDefault="00D87CAC" w:rsidP="00982D15"/>
    <w:p w14:paraId="1FF56341" w14:textId="0F7E613F" w:rsidR="0072082C" w:rsidRPr="001B4CA2" w:rsidRDefault="00031FDC" w:rsidP="0072082C">
      <w:r w:rsidRPr="001B4CA2">
        <w:tab/>
      </w:r>
      <w:r w:rsidR="0072082C" w:rsidRPr="001B4CA2">
        <w:t>Državna odvjetništva su tijekom 2022. godine zaprimila 513 kaznenih prijava protiv poznatih počinitelja (sve fizičke i pravne osobe) više nego 2021. godine, što predstavlja porast od 1,25 %. Naime, tijekom 2022. godine zaprimljeno je 41.613 kaznenih prijava protiv poznatih počinitelja, dok je u 2021. godini prijavljeno 41.100 osoba.</w:t>
      </w:r>
    </w:p>
    <w:p w14:paraId="23ED6F5C" w14:textId="77777777" w:rsidR="0072082C" w:rsidRPr="001B4CA2" w:rsidRDefault="0072082C" w:rsidP="0072082C"/>
    <w:p w14:paraId="66D5DF7B" w14:textId="2BE962D0" w:rsidR="0072082C" w:rsidRPr="001B4CA2" w:rsidRDefault="0072082C" w:rsidP="0072082C">
      <w:r w:rsidRPr="001B4CA2">
        <w:tab/>
        <w:t>Pritom se 40.175 kaznenih prijava odnosi na poznate fizičke osobe koje bilježe porast od 0,9</w:t>
      </w:r>
      <w:r w:rsidR="00313B5F">
        <w:t> </w:t>
      </w:r>
      <w:r w:rsidRPr="001B4CA2">
        <w:t>% u odnosu na prethodnu godinu (2021. – 39.817 prijavljenih fizičkih osoba). Kaznene prijave protiv poznatih fizičkih osoba uključuju kaznene prijave protiv odraslih osoba (od navršene 21. godine života), mlađe punoljetne osobe (od 18. do 21. godine života) i maloljetnike (od 14. do 18. godine života).</w:t>
      </w:r>
    </w:p>
    <w:p w14:paraId="35EB6154" w14:textId="77777777" w:rsidR="0072082C" w:rsidRPr="001B4CA2" w:rsidRDefault="0072082C" w:rsidP="0072082C"/>
    <w:p w14:paraId="22019FB8" w14:textId="19BE09E3" w:rsidR="0072082C" w:rsidRPr="001B4CA2" w:rsidRDefault="0072082C" w:rsidP="0072082C">
      <w:r w:rsidRPr="001B4CA2">
        <w:tab/>
        <w:t>U izvještajnom razdoblju je prijavljeno 1</w:t>
      </w:r>
      <w:r w:rsidR="00313B5F">
        <w:t>.</w:t>
      </w:r>
      <w:r w:rsidRPr="001B4CA2">
        <w:t>438 pravnih osoba, što je 155 prijavljenih pravnih osoba više nego prethodne godine (2021. – 1</w:t>
      </w:r>
      <w:r w:rsidR="00313B5F">
        <w:t>.</w:t>
      </w:r>
      <w:r w:rsidRPr="001B4CA2">
        <w:t>283 prijavljen</w:t>
      </w:r>
      <w:r w:rsidR="00313B5F">
        <w:t>e</w:t>
      </w:r>
      <w:r w:rsidRPr="001B4CA2">
        <w:t xml:space="preserve"> pravn</w:t>
      </w:r>
      <w:r w:rsidR="00313B5F">
        <w:t>e</w:t>
      </w:r>
      <w:r w:rsidRPr="001B4CA2">
        <w:t xml:space="preserve"> osob</w:t>
      </w:r>
      <w:r w:rsidR="00313B5F">
        <w:t>e</w:t>
      </w:r>
      <w:r w:rsidRPr="001B4CA2">
        <w:t>) i predstavlja porast od 12,1</w:t>
      </w:r>
      <w:r w:rsidR="00313B5F">
        <w:t> </w:t>
      </w:r>
      <w:r w:rsidRPr="001B4CA2">
        <w:t>%.</w:t>
      </w:r>
    </w:p>
    <w:p w14:paraId="33592545" w14:textId="77777777" w:rsidR="0072082C" w:rsidRPr="001B4CA2" w:rsidRDefault="0072082C" w:rsidP="0072082C"/>
    <w:p w14:paraId="7DF79038" w14:textId="6EFD1F96" w:rsidR="0072082C" w:rsidRPr="001B4CA2" w:rsidRDefault="0072082C" w:rsidP="0072082C">
      <w:r w:rsidRPr="001B4CA2">
        <w:tab/>
        <w:t xml:space="preserve">Iz brojčanih podataka prikazanih u tablici vidljivo </w:t>
      </w:r>
      <w:r w:rsidR="00313B5F" w:rsidRPr="001B4CA2">
        <w:t xml:space="preserve">je </w:t>
      </w:r>
      <w:r w:rsidRPr="001B4CA2">
        <w:t>da su, što se strukture prijavljenih poznatih osoba tiče, i u 2022. najzastupljenije kaznene prijave podnesene protiv odraslih osoba s 36.053 prijave (86,3</w:t>
      </w:r>
      <w:r w:rsidR="00313B5F">
        <w:t> </w:t>
      </w:r>
      <w:r w:rsidRPr="001B4CA2">
        <w:t>%). Slijede mlađe punoljetne osobe s 2</w:t>
      </w:r>
      <w:r w:rsidR="00313B5F">
        <w:t>.</w:t>
      </w:r>
      <w:r w:rsidRPr="001B4CA2">
        <w:t>157 prijava (5,2</w:t>
      </w:r>
      <w:r w:rsidR="00313B5F">
        <w:t> </w:t>
      </w:r>
      <w:r w:rsidRPr="001B4CA2">
        <w:t>%), maloljetne osobe s 1</w:t>
      </w:r>
      <w:r w:rsidR="00313B5F">
        <w:t>.</w:t>
      </w:r>
      <w:r w:rsidRPr="001B4CA2">
        <w:t>965 prijava (4,7</w:t>
      </w:r>
      <w:r w:rsidR="00313B5F">
        <w:t> </w:t>
      </w:r>
      <w:r w:rsidRPr="001B4CA2">
        <w:t>%) te pravne osobe s 1</w:t>
      </w:r>
      <w:r w:rsidR="00313B5F">
        <w:t>.</w:t>
      </w:r>
      <w:r w:rsidRPr="001B4CA2">
        <w:t>438 prijava (3,5</w:t>
      </w:r>
      <w:r w:rsidR="00313B5F">
        <w:t> </w:t>
      </w:r>
      <w:r w:rsidRPr="001B4CA2">
        <w:t>%).</w:t>
      </w:r>
    </w:p>
    <w:p w14:paraId="1D64B17A" w14:textId="77777777" w:rsidR="0072082C" w:rsidRPr="001B4CA2" w:rsidRDefault="0072082C" w:rsidP="0072082C"/>
    <w:p w14:paraId="3AF955FC" w14:textId="5F1DAB65" w:rsidR="0072082C" w:rsidRPr="001B4CA2" w:rsidRDefault="0072082C" w:rsidP="0072082C">
      <w:r w:rsidRPr="001B4CA2">
        <w:tab/>
        <w:t xml:space="preserve">Struktura prijava protiv poznatih počinitelja ne pokazuje znatnija odstupanja u odnosu na prethodnu 2021. godinu, kada su kaznene prijave u odnosu na odrasle </w:t>
      </w:r>
      <w:r w:rsidRPr="001B4CA2">
        <w:lastRenderedPageBreak/>
        <w:t>osobe participirale s 86,8</w:t>
      </w:r>
      <w:r w:rsidR="00313B5F">
        <w:t> </w:t>
      </w:r>
      <w:r w:rsidRPr="001B4CA2">
        <w:t>%, mlađe punoljetne osobe s 5,6</w:t>
      </w:r>
      <w:r w:rsidR="00313B5F">
        <w:t> </w:t>
      </w:r>
      <w:r w:rsidRPr="001B4CA2">
        <w:t>%, maloljetne osobe s 4,5</w:t>
      </w:r>
      <w:r w:rsidR="00313B5F">
        <w:t> </w:t>
      </w:r>
      <w:r w:rsidRPr="001B4CA2">
        <w:t>% i pravne osobe s 3,1</w:t>
      </w:r>
      <w:r w:rsidR="00313B5F">
        <w:t> </w:t>
      </w:r>
      <w:r w:rsidRPr="001B4CA2">
        <w:t>%.</w:t>
      </w:r>
    </w:p>
    <w:p w14:paraId="3F57FA52" w14:textId="77777777" w:rsidR="00257791" w:rsidRPr="001B4CA2" w:rsidRDefault="00257791" w:rsidP="00257791"/>
    <w:p w14:paraId="68BFDB97" w14:textId="38204BD0" w:rsidR="00154294" w:rsidRPr="001B4CA2" w:rsidRDefault="00FD08E9" w:rsidP="00154294">
      <w:pPr>
        <w:rPr>
          <w:i/>
        </w:rPr>
      </w:pPr>
      <w:r>
        <w:rPr>
          <w:i/>
        </w:rPr>
        <w:t xml:space="preserve">   </w:t>
      </w:r>
      <w:r w:rsidR="00154294" w:rsidRPr="001B4CA2">
        <w:rPr>
          <w:i/>
        </w:rPr>
        <w:t xml:space="preserve"> </w:t>
      </w:r>
      <w:r w:rsidR="000169EF">
        <w:rPr>
          <w:i/>
        </w:rPr>
        <w:t xml:space="preserve">   </w:t>
      </w:r>
      <w:r w:rsidR="00154294" w:rsidRPr="001B4CA2">
        <w:rPr>
          <w:i/>
        </w:rPr>
        <w:t>Struktura kriminaliteta</w:t>
      </w:r>
      <w:r w:rsidR="00154294" w:rsidRPr="001B4CA2">
        <w:tab/>
      </w:r>
    </w:p>
    <w:tbl>
      <w:tblPr>
        <w:tblW w:w="8220" w:type="dxa"/>
        <w:tblInd w:w="426" w:type="dxa"/>
        <w:tblLook w:val="04A0" w:firstRow="1" w:lastRow="0" w:firstColumn="1" w:lastColumn="0" w:noHBand="0" w:noVBand="1"/>
      </w:tblPr>
      <w:tblGrid>
        <w:gridCol w:w="2900"/>
        <w:gridCol w:w="1800"/>
        <w:gridCol w:w="1900"/>
        <w:gridCol w:w="1620"/>
      </w:tblGrid>
      <w:tr w:rsidR="00154294" w:rsidRPr="001B4CA2" w14:paraId="2FED492F" w14:textId="77777777" w:rsidTr="00154294">
        <w:trPr>
          <w:trHeight w:val="915"/>
        </w:trPr>
        <w:tc>
          <w:tcPr>
            <w:tcW w:w="2900" w:type="dxa"/>
            <w:tcBorders>
              <w:top w:val="single" w:sz="8" w:space="0" w:color="auto"/>
              <w:left w:val="single" w:sz="8" w:space="0" w:color="auto"/>
              <w:bottom w:val="single" w:sz="8" w:space="0" w:color="auto"/>
              <w:right w:val="single" w:sz="4" w:space="0" w:color="auto"/>
            </w:tcBorders>
            <w:shd w:val="clear" w:color="000000" w:fill="99CCFF"/>
            <w:noWrap/>
            <w:vAlign w:val="center"/>
            <w:hideMark/>
          </w:tcPr>
          <w:p w14:paraId="2358110A" w14:textId="77777777" w:rsidR="00154294" w:rsidRPr="001B4CA2" w:rsidRDefault="00154294" w:rsidP="00831D8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Kazneno djelo</w:t>
            </w:r>
          </w:p>
        </w:tc>
        <w:tc>
          <w:tcPr>
            <w:tcW w:w="1800" w:type="dxa"/>
            <w:tcBorders>
              <w:top w:val="single" w:sz="8" w:space="0" w:color="auto"/>
              <w:left w:val="nil"/>
              <w:bottom w:val="single" w:sz="8" w:space="0" w:color="auto"/>
              <w:right w:val="single" w:sz="4" w:space="0" w:color="auto"/>
            </w:tcBorders>
            <w:shd w:val="clear" w:color="000000" w:fill="99CCFF"/>
            <w:vAlign w:val="center"/>
            <w:hideMark/>
          </w:tcPr>
          <w:p w14:paraId="049276AA" w14:textId="77777777" w:rsidR="00154294" w:rsidRPr="001B4CA2" w:rsidRDefault="00154294" w:rsidP="00831D8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Broj prijavljenih u 2021.</w:t>
            </w:r>
          </w:p>
        </w:tc>
        <w:tc>
          <w:tcPr>
            <w:tcW w:w="1900" w:type="dxa"/>
            <w:tcBorders>
              <w:top w:val="single" w:sz="8" w:space="0" w:color="auto"/>
              <w:left w:val="nil"/>
              <w:bottom w:val="single" w:sz="8" w:space="0" w:color="auto"/>
              <w:right w:val="single" w:sz="4" w:space="0" w:color="auto"/>
            </w:tcBorders>
            <w:shd w:val="clear" w:color="000000" w:fill="99CCFF"/>
            <w:vAlign w:val="center"/>
            <w:hideMark/>
          </w:tcPr>
          <w:p w14:paraId="01DF1CEC" w14:textId="77777777" w:rsidR="00154294" w:rsidRPr="001B4CA2" w:rsidRDefault="00154294" w:rsidP="00831D8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Broj prijavljenih u 2022.</w:t>
            </w:r>
          </w:p>
        </w:tc>
        <w:tc>
          <w:tcPr>
            <w:tcW w:w="1620" w:type="dxa"/>
            <w:tcBorders>
              <w:top w:val="single" w:sz="8" w:space="0" w:color="auto"/>
              <w:left w:val="nil"/>
              <w:bottom w:val="single" w:sz="8" w:space="0" w:color="auto"/>
              <w:right w:val="single" w:sz="8" w:space="0" w:color="auto"/>
            </w:tcBorders>
            <w:shd w:val="clear" w:color="000000" w:fill="99CCFF"/>
            <w:vAlign w:val="center"/>
            <w:hideMark/>
          </w:tcPr>
          <w:p w14:paraId="67652FF2" w14:textId="77777777" w:rsidR="00154294" w:rsidRPr="001B4CA2" w:rsidRDefault="00154294" w:rsidP="00831D8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Porast – pad</w:t>
            </w:r>
          </w:p>
        </w:tc>
      </w:tr>
      <w:tr w:rsidR="00154294" w:rsidRPr="001B4CA2" w14:paraId="35094D76" w14:textId="77777777" w:rsidTr="00154294">
        <w:trPr>
          <w:trHeight w:val="285"/>
        </w:trPr>
        <w:tc>
          <w:tcPr>
            <w:tcW w:w="2900" w:type="dxa"/>
            <w:tcBorders>
              <w:top w:val="nil"/>
              <w:left w:val="single" w:sz="8" w:space="0" w:color="auto"/>
              <w:bottom w:val="single" w:sz="4" w:space="0" w:color="auto"/>
              <w:right w:val="single" w:sz="8" w:space="0" w:color="auto"/>
            </w:tcBorders>
            <w:shd w:val="clear" w:color="auto" w:fill="auto"/>
            <w:noWrap/>
            <w:vAlign w:val="center"/>
            <w:hideMark/>
          </w:tcPr>
          <w:p w14:paraId="3D1D5AA1" w14:textId="77777777" w:rsidR="00154294" w:rsidRPr="001B4CA2" w:rsidRDefault="00154294" w:rsidP="00831D8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139. KZ/11</w:t>
            </w:r>
          </w:p>
        </w:tc>
        <w:tc>
          <w:tcPr>
            <w:tcW w:w="1800" w:type="dxa"/>
            <w:tcBorders>
              <w:top w:val="nil"/>
              <w:left w:val="nil"/>
              <w:bottom w:val="single" w:sz="4" w:space="0" w:color="auto"/>
              <w:right w:val="single" w:sz="4" w:space="0" w:color="auto"/>
            </w:tcBorders>
            <w:shd w:val="clear" w:color="auto" w:fill="auto"/>
            <w:noWrap/>
            <w:vAlign w:val="center"/>
            <w:hideMark/>
          </w:tcPr>
          <w:p w14:paraId="2A2AA210"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5.983 (14,6%)</w:t>
            </w:r>
          </w:p>
        </w:tc>
        <w:tc>
          <w:tcPr>
            <w:tcW w:w="1900" w:type="dxa"/>
            <w:tcBorders>
              <w:top w:val="nil"/>
              <w:left w:val="nil"/>
              <w:bottom w:val="single" w:sz="4" w:space="0" w:color="auto"/>
              <w:right w:val="single" w:sz="4" w:space="0" w:color="auto"/>
            </w:tcBorders>
            <w:shd w:val="clear" w:color="auto" w:fill="auto"/>
            <w:noWrap/>
            <w:vAlign w:val="center"/>
            <w:hideMark/>
          </w:tcPr>
          <w:p w14:paraId="409815E8"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5.728 (13,8%)</w:t>
            </w:r>
          </w:p>
        </w:tc>
        <w:tc>
          <w:tcPr>
            <w:tcW w:w="1620" w:type="dxa"/>
            <w:tcBorders>
              <w:top w:val="nil"/>
              <w:left w:val="nil"/>
              <w:bottom w:val="single" w:sz="4" w:space="0" w:color="auto"/>
              <w:right w:val="single" w:sz="8" w:space="0" w:color="auto"/>
            </w:tcBorders>
            <w:shd w:val="clear" w:color="auto" w:fill="auto"/>
            <w:noWrap/>
            <w:vAlign w:val="center"/>
            <w:hideMark/>
          </w:tcPr>
          <w:p w14:paraId="258D33CF"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4,3% pad</w:t>
            </w:r>
          </w:p>
        </w:tc>
      </w:tr>
      <w:tr w:rsidR="00154294" w:rsidRPr="001B4CA2" w14:paraId="7FC50AF2" w14:textId="77777777" w:rsidTr="00154294">
        <w:trPr>
          <w:trHeight w:val="285"/>
        </w:trPr>
        <w:tc>
          <w:tcPr>
            <w:tcW w:w="2900" w:type="dxa"/>
            <w:tcBorders>
              <w:top w:val="nil"/>
              <w:left w:val="single" w:sz="8" w:space="0" w:color="auto"/>
              <w:bottom w:val="single" w:sz="4" w:space="0" w:color="auto"/>
              <w:right w:val="single" w:sz="8" w:space="0" w:color="auto"/>
            </w:tcBorders>
            <w:shd w:val="clear" w:color="auto" w:fill="auto"/>
            <w:noWrap/>
            <w:vAlign w:val="center"/>
            <w:hideMark/>
          </w:tcPr>
          <w:p w14:paraId="40ED89B9" w14:textId="77777777" w:rsidR="00154294" w:rsidRPr="001B4CA2" w:rsidRDefault="00154294" w:rsidP="00831D8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228. KZ/11</w:t>
            </w:r>
          </w:p>
        </w:tc>
        <w:tc>
          <w:tcPr>
            <w:tcW w:w="1800" w:type="dxa"/>
            <w:tcBorders>
              <w:top w:val="nil"/>
              <w:left w:val="nil"/>
              <w:bottom w:val="single" w:sz="4" w:space="0" w:color="auto"/>
              <w:right w:val="single" w:sz="4" w:space="0" w:color="auto"/>
            </w:tcBorders>
            <w:shd w:val="clear" w:color="auto" w:fill="auto"/>
            <w:noWrap/>
            <w:vAlign w:val="center"/>
            <w:hideMark/>
          </w:tcPr>
          <w:p w14:paraId="73C96096"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3.387 (8,2%)</w:t>
            </w:r>
          </w:p>
        </w:tc>
        <w:tc>
          <w:tcPr>
            <w:tcW w:w="1900" w:type="dxa"/>
            <w:tcBorders>
              <w:top w:val="nil"/>
              <w:left w:val="nil"/>
              <w:bottom w:val="single" w:sz="4" w:space="0" w:color="auto"/>
              <w:right w:val="single" w:sz="4" w:space="0" w:color="auto"/>
            </w:tcBorders>
            <w:shd w:val="clear" w:color="auto" w:fill="auto"/>
            <w:noWrap/>
            <w:vAlign w:val="center"/>
            <w:hideMark/>
          </w:tcPr>
          <w:p w14:paraId="0F8B474B"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3.592 (8,6%)</w:t>
            </w:r>
          </w:p>
        </w:tc>
        <w:tc>
          <w:tcPr>
            <w:tcW w:w="1620" w:type="dxa"/>
            <w:tcBorders>
              <w:top w:val="nil"/>
              <w:left w:val="nil"/>
              <w:bottom w:val="single" w:sz="4" w:space="0" w:color="auto"/>
              <w:right w:val="single" w:sz="8" w:space="0" w:color="auto"/>
            </w:tcBorders>
            <w:shd w:val="clear" w:color="auto" w:fill="auto"/>
            <w:noWrap/>
            <w:vAlign w:val="center"/>
            <w:hideMark/>
          </w:tcPr>
          <w:p w14:paraId="6D3AB1D4"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6% porast</w:t>
            </w:r>
          </w:p>
        </w:tc>
      </w:tr>
      <w:tr w:rsidR="00154294" w:rsidRPr="001B4CA2" w14:paraId="1C0D97DE" w14:textId="77777777" w:rsidTr="00154294">
        <w:trPr>
          <w:trHeight w:val="285"/>
        </w:trPr>
        <w:tc>
          <w:tcPr>
            <w:tcW w:w="2900" w:type="dxa"/>
            <w:tcBorders>
              <w:top w:val="nil"/>
              <w:left w:val="single" w:sz="8" w:space="0" w:color="auto"/>
              <w:bottom w:val="single" w:sz="4" w:space="0" w:color="auto"/>
              <w:right w:val="single" w:sz="8" w:space="0" w:color="auto"/>
            </w:tcBorders>
            <w:shd w:val="clear" w:color="auto" w:fill="auto"/>
            <w:noWrap/>
            <w:vAlign w:val="center"/>
            <w:hideMark/>
          </w:tcPr>
          <w:p w14:paraId="4541ECB6" w14:textId="77777777" w:rsidR="00154294" w:rsidRPr="001B4CA2" w:rsidRDefault="00154294" w:rsidP="00831D8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236. KZ/11</w:t>
            </w:r>
          </w:p>
        </w:tc>
        <w:tc>
          <w:tcPr>
            <w:tcW w:w="1800" w:type="dxa"/>
            <w:tcBorders>
              <w:top w:val="nil"/>
              <w:left w:val="nil"/>
              <w:bottom w:val="single" w:sz="4" w:space="0" w:color="auto"/>
              <w:right w:val="single" w:sz="4" w:space="0" w:color="auto"/>
            </w:tcBorders>
            <w:shd w:val="clear" w:color="auto" w:fill="auto"/>
            <w:noWrap/>
            <w:vAlign w:val="center"/>
            <w:hideMark/>
          </w:tcPr>
          <w:p w14:paraId="0D22D345"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3.078 (7,5%)</w:t>
            </w:r>
          </w:p>
        </w:tc>
        <w:tc>
          <w:tcPr>
            <w:tcW w:w="1900" w:type="dxa"/>
            <w:tcBorders>
              <w:top w:val="nil"/>
              <w:left w:val="nil"/>
              <w:bottom w:val="single" w:sz="4" w:space="0" w:color="auto"/>
              <w:right w:val="single" w:sz="4" w:space="0" w:color="auto"/>
            </w:tcBorders>
            <w:shd w:val="clear" w:color="auto" w:fill="auto"/>
            <w:noWrap/>
            <w:vAlign w:val="center"/>
            <w:hideMark/>
          </w:tcPr>
          <w:p w14:paraId="0C0FA6AE"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3.553 (8,5%)</w:t>
            </w:r>
          </w:p>
        </w:tc>
        <w:tc>
          <w:tcPr>
            <w:tcW w:w="1620" w:type="dxa"/>
            <w:tcBorders>
              <w:top w:val="nil"/>
              <w:left w:val="nil"/>
              <w:bottom w:val="single" w:sz="4" w:space="0" w:color="auto"/>
              <w:right w:val="single" w:sz="8" w:space="0" w:color="auto"/>
            </w:tcBorders>
            <w:shd w:val="clear" w:color="auto" w:fill="auto"/>
            <w:noWrap/>
            <w:vAlign w:val="center"/>
            <w:hideMark/>
          </w:tcPr>
          <w:p w14:paraId="4F7A25EB"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15,4% porast </w:t>
            </w:r>
          </w:p>
        </w:tc>
      </w:tr>
      <w:tr w:rsidR="00154294" w:rsidRPr="001B4CA2" w14:paraId="33A2B0F6" w14:textId="77777777" w:rsidTr="00154294">
        <w:trPr>
          <w:trHeight w:val="285"/>
        </w:trPr>
        <w:tc>
          <w:tcPr>
            <w:tcW w:w="2900" w:type="dxa"/>
            <w:tcBorders>
              <w:top w:val="nil"/>
              <w:left w:val="single" w:sz="8" w:space="0" w:color="auto"/>
              <w:bottom w:val="single" w:sz="4" w:space="0" w:color="auto"/>
              <w:right w:val="single" w:sz="8" w:space="0" w:color="auto"/>
            </w:tcBorders>
            <w:shd w:val="clear" w:color="auto" w:fill="auto"/>
            <w:noWrap/>
            <w:vAlign w:val="center"/>
            <w:hideMark/>
          </w:tcPr>
          <w:p w14:paraId="5087DDEA" w14:textId="77777777" w:rsidR="00154294" w:rsidRPr="001B4CA2" w:rsidRDefault="00154294" w:rsidP="00831D8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229. KZ/11</w:t>
            </w:r>
          </w:p>
        </w:tc>
        <w:tc>
          <w:tcPr>
            <w:tcW w:w="1800" w:type="dxa"/>
            <w:tcBorders>
              <w:top w:val="nil"/>
              <w:left w:val="nil"/>
              <w:bottom w:val="single" w:sz="4" w:space="0" w:color="auto"/>
              <w:right w:val="single" w:sz="4" w:space="0" w:color="auto"/>
            </w:tcBorders>
            <w:shd w:val="clear" w:color="auto" w:fill="auto"/>
            <w:noWrap/>
            <w:vAlign w:val="center"/>
            <w:hideMark/>
          </w:tcPr>
          <w:p w14:paraId="075931AD"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2.001 (4,9%)</w:t>
            </w:r>
          </w:p>
        </w:tc>
        <w:tc>
          <w:tcPr>
            <w:tcW w:w="1900" w:type="dxa"/>
            <w:tcBorders>
              <w:top w:val="nil"/>
              <w:left w:val="nil"/>
              <w:bottom w:val="single" w:sz="4" w:space="0" w:color="auto"/>
              <w:right w:val="single" w:sz="4" w:space="0" w:color="auto"/>
            </w:tcBorders>
            <w:shd w:val="clear" w:color="auto" w:fill="auto"/>
            <w:noWrap/>
            <w:vAlign w:val="center"/>
            <w:hideMark/>
          </w:tcPr>
          <w:p w14:paraId="03D38142"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1.777 (4,3%)</w:t>
            </w:r>
          </w:p>
        </w:tc>
        <w:tc>
          <w:tcPr>
            <w:tcW w:w="1620" w:type="dxa"/>
            <w:tcBorders>
              <w:top w:val="nil"/>
              <w:left w:val="nil"/>
              <w:bottom w:val="single" w:sz="4" w:space="0" w:color="auto"/>
              <w:right w:val="single" w:sz="8" w:space="0" w:color="auto"/>
            </w:tcBorders>
            <w:shd w:val="clear" w:color="auto" w:fill="auto"/>
            <w:noWrap/>
            <w:vAlign w:val="center"/>
            <w:hideMark/>
          </w:tcPr>
          <w:p w14:paraId="6412786C"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11,2% pad</w:t>
            </w:r>
          </w:p>
        </w:tc>
      </w:tr>
      <w:tr w:rsidR="00154294" w:rsidRPr="001B4CA2" w14:paraId="5BCE6FC2" w14:textId="77777777" w:rsidTr="00154294">
        <w:trPr>
          <w:trHeight w:val="285"/>
        </w:trPr>
        <w:tc>
          <w:tcPr>
            <w:tcW w:w="2900" w:type="dxa"/>
            <w:tcBorders>
              <w:top w:val="nil"/>
              <w:left w:val="single" w:sz="8" w:space="0" w:color="auto"/>
              <w:bottom w:val="single" w:sz="4" w:space="0" w:color="auto"/>
              <w:right w:val="single" w:sz="8" w:space="0" w:color="auto"/>
            </w:tcBorders>
            <w:shd w:val="clear" w:color="auto" w:fill="auto"/>
            <w:noWrap/>
            <w:vAlign w:val="center"/>
            <w:hideMark/>
          </w:tcPr>
          <w:p w14:paraId="036B8C29" w14:textId="77777777" w:rsidR="00154294" w:rsidRPr="001B4CA2" w:rsidRDefault="00154294" w:rsidP="00831D8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291. KZ/11</w:t>
            </w:r>
          </w:p>
        </w:tc>
        <w:tc>
          <w:tcPr>
            <w:tcW w:w="1800" w:type="dxa"/>
            <w:tcBorders>
              <w:top w:val="nil"/>
              <w:left w:val="nil"/>
              <w:bottom w:val="single" w:sz="4" w:space="0" w:color="auto"/>
              <w:right w:val="single" w:sz="4" w:space="0" w:color="auto"/>
            </w:tcBorders>
            <w:shd w:val="clear" w:color="auto" w:fill="auto"/>
            <w:noWrap/>
            <w:vAlign w:val="center"/>
            <w:hideMark/>
          </w:tcPr>
          <w:p w14:paraId="4FECBC9D"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1.609 (3,9%)</w:t>
            </w:r>
          </w:p>
        </w:tc>
        <w:tc>
          <w:tcPr>
            <w:tcW w:w="1900" w:type="dxa"/>
            <w:tcBorders>
              <w:top w:val="nil"/>
              <w:left w:val="nil"/>
              <w:bottom w:val="single" w:sz="4" w:space="0" w:color="auto"/>
              <w:right w:val="single" w:sz="4" w:space="0" w:color="auto"/>
            </w:tcBorders>
            <w:shd w:val="clear" w:color="auto" w:fill="auto"/>
            <w:noWrap/>
            <w:vAlign w:val="center"/>
            <w:hideMark/>
          </w:tcPr>
          <w:p w14:paraId="480CA3F5"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1.463 (3,5%)</w:t>
            </w:r>
          </w:p>
        </w:tc>
        <w:tc>
          <w:tcPr>
            <w:tcW w:w="1620" w:type="dxa"/>
            <w:tcBorders>
              <w:top w:val="nil"/>
              <w:left w:val="nil"/>
              <w:bottom w:val="single" w:sz="4" w:space="0" w:color="auto"/>
              <w:right w:val="single" w:sz="8" w:space="0" w:color="auto"/>
            </w:tcBorders>
            <w:shd w:val="clear" w:color="auto" w:fill="auto"/>
            <w:noWrap/>
            <w:vAlign w:val="center"/>
            <w:hideMark/>
          </w:tcPr>
          <w:p w14:paraId="27FACE70"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9,1% pad </w:t>
            </w:r>
          </w:p>
        </w:tc>
      </w:tr>
      <w:tr w:rsidR="00154294" w:rsidRPr="001B4CA2" w14:paraId="180A19EF" w14:textId="77777777" w:rsidTr="00154294">
        <w:trPr>
          <w:trHeight w:val="285"/>
        </w:trPr>
        <w:tc>
          <w:tcPr>
            <w:tcW w:w="2900" w:type="dxa"/>
            <w:tcBorders>
              <w:top w:val="nil"/>
              <w:left w:val="single" w:sz="8" w:space="0" w:color="auto"/>
              <w:bottom w:val="single" w:sz="4" w:space="0" w:color="auto"/>
              <w:right w:val="single" w:sz="8" w:space="0" w:color="auto"/>
            </w:tcBorders>
            <w:shd w:val="clear" w:color="auto" w:fill="auto"/>
            <w:noWrap/>
            <w:vAlign w:val="center"/>
            <w:hideMark/>
          </w:tcPr>
          <w:p w14:paraId="19A253D9" w14:textId="77777777" w:rsidR="00154294" w:rsidRPr="001B4CA2" w:rsidRDefault="00154294" w:rsidP="00831D8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177. KZ/11</w:t>
            </w:r>
          </w:p>
        </w:tc>
        <w:tc>
          <w:tcPr>
            <w:tcW w:w="1800" w:type="dxa"/>
            <w:tcBorders>
              <w:top w:val="nil"/>
              <w:left w:val="nil"/>
              <w:bottom w:val="single" w:sz="4" w:space="0" w:color="auto"/>
              <w:right w:val="single" w:sz="4" w:space="0" w:color="auto"/>
            </w:tcBorders>
            <w:shd w:val="clear" w:color="auto" w:fill="auto"/>
            <w:noWrap/>
            <w:vAlign w:val="center"/>
            <w:hideMark/>
          </w:tcPr>
          <w:p w14:paraId="037774AB"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1.415 (3,4%)</w:t>
            </w:r>
          </w:p>
        </w:tc>
        <w:tc>
          <w:tcPr>
            <w:tcW w:w="1900" w:type="dxa"/>
            <w:tcBorders>
              <w:top w:val="nil"/>
              <w:left w:val="nil"/>
              <w:bottom w:val="single" w:sz="4" w:space="0" w:color="auto"/>
              <w:right w:val="single" w:sz="4" w:space="0" w:color="auto"/>
            </w:tcBorders>
            <w:shd w:val="clear" w:color="auto" w:fill="auto"/>
            <w:noWrap/>
            <w:vAlign w:val="center"/>
            <w:hideMark/>
          </w:tcPr>
          <w:p w14:paraId="18C36684"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1.657 (4,0%)</w:t>
            </w:r>
          </w:p>
        </w:tc>
        <w:tc>
          <w:tcPr>
            <w:tcW w:w="1620" w:type="dxa"/>
            <w:tcBorders>
              <w:top w:val="nil"/>
              <w:left w:val="nil"/>
              <w:bottom w:val="single" w:sz="4" w:space="0" w:color="auto"/>
              <w:right w:val="single" w:sz="8" w:space="0" w:color="auto"/>
            </w:tcBorders>
            <w:shd w:val="clear" w:color="auto" w:fill="auto"/>
            <w:noWrap/>
            <w:vAlign w:val="center"/>
            <w:hideMark/>
          </w:tcPr>
          <w:p w14:paraId="1B4097BE"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17,1% porast </w:t>
            </w:r>
          </w:p>
        </w:tc>
      </w:tr>
      <w:tr w:rsidR="00154294" w:rsidRPr="001B4CA2" w14:paraId="276B3191" w14:textId="77777777" w:rsidTr="00154294">
        <w:trPr>
          <w:trHeight w:val="285"/>
        </w:trPr>
        <w:tc>
          <w:tcPr>
            <w:tcW w:w="2900" w:type="dxa"/>
            <w:tcBorders>
              <w:top w:val="nil"/>
              <w:left w:val="single" w:sz="8" w:space="0" w:color="auto"/>
              <w:bottom w:val="single" w:sz="4" w:space="0" w:color="auto"/>
              <w:right w:val="single" w:sz="8" w:space="0" w:color="auto"/>
            </w:tcBorders>
            <w:shd w:val="clear" w:color="auto" w:fill="auto"/>
            <w:noWrap/>
            <w:vAlign w:val="center"/>
            <w:hideMark/>
          </w:tcPr>
          <w:p w14:paraId="5691AB5B" w14:textId="77777777" w:rsidR="00154294" w:rsidRPr="001B4CA2" w:rsidRDefault="00154294" w:rsidP="00831D8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235. KZ/11</w:t>
            </w:r>
          </w:p>
        </w:tc>
        <w:tc>
          <w:tcPr>
            <w:tcW w:w="1800" w:type="dxa"/>
            <w:tcBorders>
              <w:top w:val="nil"/>
              <w:left w:val="nil"/>
              <w:bottom w:val="single" w:sz="4" w:space="0" w:color="auto"/>
              <w:right w:val="single" w:sz="4" w:space="0" w:color="auto"/>
            </w:tcBorders>
            <w:shd w:val="clear" w:color="auto" w:fill="auto"/>
            <w:noWrap/>
            <w:vAlign w:val="center"/>
            <w:hideMark/>
          </w:tcPr>
          <w:p w14:paraId="2D67B17A"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1.357 (3,3%)</w:t>
            </w:r>
          </w:p>
        </w:tc>
        <w:tc>
          <w:tcPr>
            <w:tcW w:w="1900" w:type="dxa"/>
            <w:tcBorders>
              <w:top w:val="nil"/>
              <w:left w:val="nil"/>
              <w:bottom w:val="single" w:sz="4" w:space="0" w:color="auto"/>
              <w:right w:val="single" w:sz="4" w:space="0" w:color="auto"/>
            </w:tcBorders>
            <w:shd w:val="clear" w:color="auto" w:fill="auto"/>
            <w:noWrap/>
            <w:vAlign w:val="center"/>
            <w:hideMark/>
          </w:tcPr>
          <w:p w14:paraId="7E1072FA"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1.493 (3,6%)</w:t>
            </w:r>
          </w:p>
        </w:tc>
        <w:tc>
          <w:tcPr>
            <w:tcW w:w="1620" w:type="dxa"/>
            <w:tcBorders>
              <w:top w:val="nil"/>
              <w:left w:val="nil"/>
              <w:bottom w:val="single" w:sz="4" w:space="0" w:color="auto"/>
              <w:right w:val="single" w:sz="8" w:space="0" w:color="auto"/>
            </w:tcBorders>
            <w:shd w:val="clear" w:color="auto" w:fill="auto"/>
            <w:noWrap/>
            <w:vAlign w:val="center"/>
            <w:hideMark/>
          </w:tcPr>
          <w:p w14:paraId="5817E2F8"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10% porast</w:t>
            </w:r>
          </w:p>
        </w:tc>
      </w:tr>
      <w:tr w:rsidR="00154294" w:rsidRPr="001B4CA2" w14:paraId="259CA8C1" w14:textId="77777777" w:rsidTr="00154294">
        <w:trPr>
          <w:trHeight w:val="285"/>
        </w:trPr>
        <w:tc>
          <w:tcPr>
            <w:tcW w:w="2900" w:type="dxa"/>
            <w:tcBorders>
              <w:top w:val="nil"/>
              <w:left w:val="single" w:sz="8" w:space="0" w:color="auto"/>
              <w:bottom w:val="single" w:sz="4" w:space="0" w:color="auto"/>
              <w:right w:val="single" w:sz="8" w:space="0" w:color="auto"/>
            </w:tcBorders>
            <w:shd w:val="clear" w:color="auto" w:fill="auto"/>
            <w:noWrap/>
            <w:vAlign w:val="center"/>
            <w:hideMark/>
          </w:tcPr>
          <w:p w14:paraId="5659499D" w14:textId="77777777" w:rsidR="00154294" w:rsidRPr="001B4CA2" w:rsidRDefault="00154294" w:rsidP="00831D8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227. KZ/11</w:t>
            </w:r>
          </w:p>
        </w:tc>
        <w:tc>
          <w:tcPr>
            <w:tcW w:w="1800" w:type="dxa"/>
            <w:tcBorders>
              <w:top w:val="nil"/>
              <w:left w:val="nil"/>
              <w:bottom w:val="single" w:sz="4" w:space="0" w:color="auto"/>
              <w:right w:val="single" w:sz="4" w:space="0" w:color="auto"/>
            </w:tcBorders>
            <w:shd w:val="clear" w:color="auto" w:fill="auto"/>
            <w:noWrap/>
            <w:vAlign w:val="center"/>
            <w:hideMark/>
          </w:tcPr>
          <w:p w14:paraId="3A69DFE1"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1.352 (3,3%)</w:t>
            </w:r>
          </w:p>
        </w:tc>
        <w:tc>
          <w:tcPr>
            <w:tcW w:w="1900" w:type="dxa"/>
            <w:tcBorders>
              <w:top w:val="nil"/>
              <w:left w:val="nil"/>
              <w:bottom w:val="single" w:sz="4" w:space="0" w:color="auto"/>
              <w:right w:val="single" w:sz="4" w:space="0" w:color="auto"/>
            </w:tcBorders>
            <w:shd w:val="clear" w:color="auto" w:fill="auto"/>
            <w:noWrap/>
            <w:vAlign w:val="center"/>
            <w:hideMark/>
          </w:tcPr>
          <w:p w14:paraId="0ABE9E66"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xml:space="preserve">1.429 (3,4%) </w:t>
            </w:r>
          </w:p>
        </w:tc>
        <w:tc>
          <w:tcPr>
            <w:tcW w:w="1620" w:type="dxa"/>
            <w:tcBorders>
              <w:top w:val="nil"/>
              <w:left w:val="nil"/>
              <w:bottom w:val="single" w:sz="4" w:space="0" w:color="auto"/>
              <w:right w:val="single" w:sz="8" w:space="0" w:color="auto"/>
            </w:tcBorders>
            <w:shd w:val="clear" w:color="auto" w:fill="auto"/>
            <w:noWrap/>
            <w:vAlign w:val="center"/>
            <w:hideMark/>
          </w:tcPr>
          <w:p w14:paraId="4DCF527F"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5,7% porast</w:t>
            </w:r>
          </w:p>
        </w:tc>
      </w:tr>
      <w:tr w:rsidR="00154294" w:rsidRPr="001B4CA2" w14:paraId="72718678" w14:textId="77777777" w:rsidTr="00154294">
        <w:trPr>
          <w:trHeight w:val="285"/>
        </w:trPr>
        <w:tc>
          <w:tcPr>
            <w:tcW w:w="2900" w:type="dxa"/>
            <w:tcBorders>
              <w:top w:val="nil"/>
              <w:left w:val="single" w:sz="8" w:space="0" w:color="auto"/>
              <w:bottom w:val="single" w:sz="4" w:space="0" w:color="auto"/>
              <w:right w:val="single" w:sz="8" w:space="0" w:color="auto"/>
            </w:tcBorders>
            <w:shd w:val="clear" w:color="auto" w:fill="auto"/>
            <w:noWrap/>
            <w:vAlign w:val="center"/>
            <w:hideMark/>
          </w:tcPr>
          <w:p w14:paraId="0602CD0F" w14:textId="77777777" w:rsidR="00154294" w:rsidRPr="001B4CA2" w:rsidRDefault="00154294" w:rsidP="00831D8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247. KZ/11</w:t>
            </w:r>
          </w:p>
        </w:tc>
        <w:tc>
          <w:tcPr>
            <w:tcW w:w="1800" w:type="dxa"/>
            <w:tcBorders>
              <w:top w:val="nil"/>
              <w:left w:val="nil"/>
              <w:bottom w:val="single" w:sz="4" w:space="0" w:color="auto"/>
              <w:right w:val="single" w:sz="4" w:space="0" w:color="auto"/>
            </w:tcBorders>
            <w:shd w:val="clear" w:color="auto" w:fill="auto"/>
            <w:noWrap/>
            <w:vAlign w:val="center"/>
            <w:hideMark/>
          </w:tcPr>
          <w:p w14:paraId="34815CDE"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1.071 (2,6%)</w:t>
            </w:r>
          </w:p>
        </w:tc>
        <w:tc>
          <w:tcPr>
            <w:tcW w:w="1900" w:type="dxa"/>
            <w:tcBorders>
              <w:top w:val="nil"/>
              <w:left w:val="nil"/>
              <w:bottom w:val="single" w:sz="4" w:space="0" w:color="auto"/>
              <w:right w:val="single" w:sz="4" w:space="0" w:color="auto"/>
            </w:tcBorders>
            <w:shd w:val="clear" w:color="auto" w:fill="auto"/>
            <w:noWrap/>
            <w:vAlign w:val="center"/>
            <w:hideMark/>
          </w:tcPr>
          <w:p w14:paraId="61D46EC3"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1.148 (2,8%)</w:t>
            </w:r>
          </w:p>
        </w:tc>
        <w:tc>
          <w:tcPr>
            <w:tcW w:w="1620" w:type="dxa"/>
            <w:tcBorders>
              <w:top w:val="nil"/>
              <w:left w:val="nil"/>
              <w:bottom w:val="single" w:sz="4" w:space="0" w:color="auto"/>
              <w:right w:val="single" w:sz="8" w:space="0" w:color="auto"/>
            </w:tcBorders>
            <w:shd w:val="clear" w:color="auto" w:fill="auto"/>
            <w:noWrap/>
            <w:vAlign w:val="center"/>
            <w:hideMark/>
          </w:tcPr>
          <w:p w14:paraId="2DAA1EEF"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7,2% porast</w:t>
            </w:r>
          </w:p>
        </w:tc>
      </w:tr>
      <w:tr w:rsidR="00154294" w:rsidRPr="001B4CA2" w14:paraId="448CCF84" w14:textId="77777777" w:rsidTr="00154294">
        <w:trPr>
          <w:trHeight w:val="285"/>
        </w:trPr>
        <w:tc>
          <w:tcPr>
            <w:tcW w:w="2900" w:type="dxa"/>
            <w:tcBorders>
              <w:top w:val="nil"/>
              <w:left w:val="single" w:sz="8" w:space="0" w:color="auto"/>
              <w:bottom w:val="single" w:sz="4" w:space="0" w:color="auto"/>
              <w:right w:val="single" w:sz="8" w:space="0" w:color="auto"/>
            </w:tcBorders>
            <w:shd w:val="clear" w:color="auto" w:fill="auto"/>
            <w:noWrap/>
            <w:vAlign w:val="center"/>
            <w:hideMark/>
          </w:tcPr>
          <w:p w14:paraId="0840AD06" w14:textId="77777777" w:rsidR="00154294" w:rsidRPr="001B4CA2" w:rsidRDefault="00154294" w:rsidP="00831D8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326. KZ/11</w:t>
            </w:r>
          </w:p>
        </w:tc>
        <w:tc>
          <w:tcPr>
            <w:tcW w:w="1800" w:type="dxa"/>
            <w:tcBorders>
              <w:top w:val="nil"/>
              <w:left w:val="nil"/>
              <w:bottom w:val="single" w:sz="4" w:space="0" w:color="auto"/>
              <w:right w:val="single" w:sz="4" w:space="0" w:color="auto"/>
            </w:tcBorders>
            <w:shd w:val="clear" w:color="auto" w:fill="auto"/>
            <w:noWrap/>
            <w:vAlign w:val="center"/>
            <w:hideMark/>
          </w:tcPr>
          <w:p w14:paraId="343A635F"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1.041 (2,3%)</w:t>
            </w:r>
          </w:p>
        </w:tc>
        <w:tc>
          <w:tcPr>
            <w:tcW w:w="1900" w:type="dxa"/>
            <w:tcBorders>
              <w:top w:val="nil"/>
              <w:left w:val="nil"/>
              <w:bottom w:val="single" w:sz="4" w:space="0" w:color="auto"/>
              <w:right w:val="single" w:sz="4" w:space="0" w:color="auto"/>
            </w:tcBorders>
            <w:shd w:val="clear" w:color="auto" w:fill="auto"/>
            <w:noWrap/>
            <w:vAlign w:val="center"/>
            <w:hideMark/>
          </w:tcPr>
          <w:p w14:paraId="3F030316"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919 (2,2%)</w:t>
            </w:r>
          </w:p>
        </w:tc>
        <w:tc>
          <w:tcPr>
            <w:tcW w:w="1620" w:type="dxa"/>
            <w:tcBorders>
              <w:top w:val="nil"/>
              <w:left w:val="nil"/>
              <w:bottom w:val="single" w:sz="4" w:space="0" w:color="auto"/>
              <w:right w:val="single" w:sz="8" w:space="0" w:color="auto"/>
            </w:tcBorders>
            <w:shd w:val="clear" w:color="auto" w:fill="auto"/>
            <w:noWrap/>
            <w:vAlign w:val="center"/>
            <w:hideMark/>
          </w:tcPr>
          <w:p w14:paraId="719A3915"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11,7% pad </w:t>
            </w:r>
          </w:p>
        </w:tc>
      </w:tr>
      <w:tr w:rsidR="00154294" w:rsidRPr="001B4CA2" w14:paraId="61EB8152" w14:textId="77777777" w:rsidTr="00154294">
        <w:trPr>
          <w:trHeight w:val="300"/>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14:paraId="6901E294" w14:textId="77777777" w:rsidR="00154294" w:rsidRPr="001B4CA2" w:rsidRDefault="00154294" w:rsidP="00831D8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Ostalo</w:t>
            </w:r>
          </w:p>
        </w:tc>
        <w:tc>
          <w:tcPr>
            <w:tcW w:w="1800" w:type="dxa"/>
            <w:tcBorders>
              <w:top w:val="nil"/>
              <w:left w:val="nil"/>
              <w:bottom w:val="nil"/>
              <w:right w:val="single" w:sz="4" w:space="0" w:color="auto"/>
            </w:tcBorders>
            <w:shd w:val="clear" w:color="auto" w:fill="auto"/>
            <w:noWrap/>
            <w:vAlign w:val="center"/>
            <w:hideMark/>
          </w:tcPr>
          <w:p w14:paraId="085E29A0"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18.901 (46%)</w:t>
            </w:r>
          </w:p>
        </w:tc>
        <w:tc>
          <w:tcPr>
            <w:tcW w:w="1900" w:type="dxa"/>
            <w:tcBorders>
              <w:top w:val="nil"/>
              <w:left w:val="nil"/>
              <w:bottom w:val="nil"/>
              <w:right w:val="single" w:sz="4" w:space="0" w:color="auto"/>
            </w:tcBorders>
            <w:shd w:val="clear" w:color="auto" w:fill="auto"/>
            <w:noWrap/>
            <w:vAlign w:val="center"/>
            <w:hideMark/>
          </w:tcPr>
          <w:p w14:paraId="1F6F9B25"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18.854 (45,3%)</w:t>
            </w:r>
          </w:p>
        </w:tc>
        <w:tc>
          <w:tcPr>
            <w:tcW w:w="1620" w:type="dxa"/>
            <w:tcBorders>
              <w:top w:val="nil"/>
              <w:left w:val="nil"/>
              <w:bottom w:val="nil"/>
              <w:right w:val="single" w:sz="8" w:space="0" w:color="auto"/>
            </w:tcBorders>
            <w:shd w:val="clear" w:color="auto" w:fill="auto"/>
            <w:noWrap/>
            <w:vAlign w:val="center"/>
            <w:hideMark/>
          </w:tcPr>
          <w:p w14:paraId="179FA0E0" w14:textId="77777777" w:rsidR="00154294" w:rsidRPr="001B4CA2" w:rsidRDefault="00154294" w:rsidP="00831D8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w:t>
            </w:r>
          </w:p>
        </w:tc>
      </w:tr>
      <w:tr w:rsidR="00154294" w:rsidRPr="001B4CA2" w14:paraId="404FBB46" w14:textId="77777777" w:rsidTr="00154294">
        <w:trPr>
          <w:trHeight w:val="315"/>
        </w:trPr>
        <w:tc>
          <w:tcPr>
            <w:tcW w:w="2900" w:type="dxa"/>
            <w:tcBorders>
              <w:top w:val="nil"/>
              <w:left w:val="single" w:sz="8" w:space="0" w:color="auto"/>
              <w:bottom w:val="single" w:sz="8" w:space="0" w:color="auto"/>
              <w:right w:val="single" w:sz="4" w:space="0" w:color="auto"/>
            </w:tcBorders>
            <w:shd w:val="clear" w:color="auto" w:fill="auto"/>
            <w:noWrap/>
            <w:vAlign w:val="center"/>
            <w:hideMark/>
          </w:tcPr>
          <w:p w14:paraId="22CD1FBA" w14:textId="77777777" w:rsidR="00154294" w:rsidRPr="001B4CA2" w:rsidRDefault="00154294" w:rsidP="00831D87">
            <w:pPr>
              <w:jc w:val="right"/>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Ukupno</w:t>
            </w:r>
          </w:p>
        </w:tc>
        <w:tc>
          <w:tcPr>
            <w:tcW w:w="1800" w:type="dxa"/>
            <w:tcBorders>
              <w:top w:val="single" w:sz="8" w:space="0" w:color="auto"/>
              <w:left w:val="nil"/>
              <w:bottom w:val="single" w:sz="8" w:space="0" w:color="auto"/>
              <w:right w:val="single" w:sz="4" w:space="0" w:color="auto"/>
            </w:tcBorders>
            <w:shd w:val="clear" w:color="auto" w:fill="auto"/>
            <w:noWrap/>
            <w:vAlign w:val="center"/>
            <w:hideMark/>
          </w:tcPr>
          <w:p w14:paraId="3246DC7E" w14:textId="77777777" w:rsidR="00154294" w:rsidRPr="001B4CA2" w:rsidRDefault="00154294" w:rsidP="00831D8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41.100 (100%)</w:t>
            </w:r>
          </w:p>
        </w:tc>
        <w:tc>
          <w:tcPr>
            <w:tcW w:w="1900" w:type="dxa"/>
            <w:tcBorders>
              <w:top w:val="single" w:sz="8" w:space="0" w:color="auto"/>
              <w:left w:val="nil"/>
              <w:bottom w:val="single" w:sz="8" w:space="0" w:color="auto"/>
              <w:right w:val="single" w:sz="4" w:space="0" w:color="auto"/>
            </w:tcBorders>
            <w:shd w:val="clear" w:color="auto" w:fill="auto"/>
            <w:noWrap/>
            <w:vAlign w:val="center"/>
            <w:hideMark/>
          </w:tcPr>
          <w:p w14:paraId="638590E8" w14:textId="77777777" w:rsidR="00154294" w:rsidRPr="001B4CA2" w:rsidRDefault="00154294" w:rsidP="00831D8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41.613 (100%)</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16150AE5" w14:textId="77777777" w:rsidR="00154294" w:rsidRPr="001B4CA2" w:rsidRDefault="00154294" w:rsidP="00831D8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 </w:t>
            </w:r>
          </w:p>
        </w:tc>
      </w:tr>
    </w:tbl>
    <w:p w14:paraId="410232BD" w14:textId="77777777" w:rsidR="009E6BA5" w:rsidRPr="001B4CA2" w:rsidRDefault="009E6BA5" w:rsidP="00A26FC0">
      <w:pPr>
        <w:pStyle w:val="Tekstualnidio"/>
        <w:rPr>
          <w:rFonts w:cs="Arial"/>
        </w:rPr>
      </w:pPr>
    </w:p>
    <w:p w14:paraId="06BEDE53" w14:textId="612AA80A" w:rsidR="00DD7F85" w:rsidRPr="001B4CA2" w:rsidRDefault="001B4CA2" w:rsidP="00DD7F85">
      <w:pPr>
        <w:rPr>
          <w:rFonts w:eastAsia="Times New Roman"/>
          <w:lang w:eastAsia="hr-HR"/>
        </w:rPr>
      </w:pPr>
      <w:r>
        <w:tab/>
      </w:r>
      <w:r w:rsidR="00DD7F85" w:rsidRPr="001B4CA2">
        <w:t>U</w:t>
      </w:r>
      <w:r w:rsidR="00DD7F85" w:rsidRPr="001B4CA2">
        <w:rPr>
          <w:rFonts w:eastAsia="Times New Roman"/>
          <w:lang w:eastAsia="hr-HR"/>
        </w:rPr>
        <w:t xml:space="preserve"> strukturi kriminaliteta i u ovom </w:t>
      </w:r>
      <w:r w:rsidR="00313B5F" w:rsidRPr="001B4CA2">
        <w:rPr>
          <w:rFonts w:eastAsia="Times New Roman"/>
          <w:lang w:eastAsia="hr-HR"/>
        </w:rPr>
        <w:t xml:space="preserve">je </w:t>
      </w:r>
      <w:r w:rsidR="00DD7F85" w:rsidRPr="001B4CA2">
        <w:rPr>
          <w:rFonts w:eastAsia="Times New Roman"/>
          <w:lang w:eastAsia="hr-HR"/>
        </w:rPr>
        <w:t>izvještajnom razdoblju najzastupljenije kazneno djelo protiv osobne slobode</w:t>
      </w:r>
      <w:r w:rsidR="00F47D60">
        <w:rPr>
          <w:rFonts w:eastAsia="Times New Roman"/>
          <w:lang w:eastAsia="hr-HR"/>
        </w:rPr>
        <w:t xml:space="preserve"> – </w:t>
      </w:r>
      <w:r w:rsidR="00DD7F85" w:rsidRPr="001B4CA2">
        <w:rPr>
          <w:rFonts w:eastAsia="Times New Roman"/>
          <w:lang w:eastAsia="hr-HR"/>
        </w:rPr>
        <w:t>prijetnja iz članka 139. Kaznenog zakona/11 na koje otpada 13,8</w:t>
      </w:r>
      <w:r w:rsidR="00313B5F">
        <w:rPr>
          <w:rFonts w:eastAsia="Times New Roman"/>
          <w:lang w:eastAsia="hr-HR"/>
        </w:rPr>
        <w:t> </w:t>
      </w:r>
      <w:r w:rsidR="00DD7F85" w:rsidRPr="001B4CA2">
        <w:rPr>
          <w:rFonts w:eastAsia="Times New Roman"/>
          <w:lang w:eastAsia="hr-HR"/>
        </w:rPr>
        <w:t>% ukupnog broja kaznenih prijava zaprimljenih tijekom 2022. godine. Brojčano se također</w:t>
      </w:r>
      <w:r w:rsidR="00DD7F85" w:rsidRPr="001B4CA2">
        <w:t xml:space="preserve"> ističu kaznena djela protiv imovine, i to kazneno djelo krađe iz članka 228. Kaznenog zakona,</w:t>
      </w:r>
      <w:r w:rsidR="00DD7F85" w:rsidRPr="001B4CA2">
        <w:rPr>
          <w:rFonts w:eastAsia="Times New Roman"/>
          <w:lang w:eastAsia="hr-HR"/>
        </w:rPr>
        <w:t xml:space="preserve"> </w:t>
      </w:r>
      <w:r w:rsidR="00DD7F85" w:rsidRPr="001B4CA2">
        <w:t xml:space="preserve">kazneno djelo prijevare iz članka 236. Kaznenog zakona, kazneno djelo </w:t>
      </w:r>
      <w:r w:rsidR="00DD7F85" w:rsidRPr="001B4CA2">
        <w:rPr>
          <w:rFonts w:eastAsia="Times New Roman"/>
          <w:lang w:eastAsia="hr-HR"/>
        </w:rPr>
        <w:t xml:space="preserve">teške krađe iz članka 229. Kaznenog zakona/11 te </w:t>
      </w:r>
      <w:r w:rsidR="00DD7F85" w:rsidRPr="001B4CA2">
        <w:t xml:space="preserve">kazneno djelo </w:t>
      </w:r>
      <w:r w:rsidR="00DD7F85" w:rsidRPr="001B4CA2">
        <w:rPr>
          <w:rFonts w:eastAsia="Times New Roman"/>
          <w:lang w:eastAsia="hr-HR"/>
        </w:rPr>
        <w:t xml:space="preserve">oštećenja tuđe stvari iz članka 235. Kaznenog zakona/11. Sva navedena kaznena djela </w:t>
      </w:r>
      <w:r w:rsidR="00313B5F" w:rsidRPr="001B4CA2">
        <w:rPr>
          <w:rFonts w:eastAsia="Times New Roman"/>
          <w:lang w:eastAsia="hr-HR"/>
        </w:rPr>
        <w:t xml:space="preserve">kaznena </w:t>
      </w:r>
      <w:r w:rsidR="00DD7F85" w:rsidRPr="001B4CA2">
        <w:rPr>
          <w:rFonts w:eastAsia="Times New Roman"/>
          <w:lang w:eastAsia="hr-HR"/>
        </w:rPr>
        <w:t xml:space="preserve">su djela iz općinske nadležnosti te glede </w:t>
      </w:r>
      <w:r w:rsidR="00313B5F">
        <w:rPr>
          <w:rFonts w:eastAsia="Times New Roman"/>
          <w:lang w:eastAsia="hr-HR"/>
        </w:rPr>
        <w:t>njih</w:t>
      </w:r>
      <w:r w:rsidR="00DD7F85" w:rsidRPr="001B4CA2">
        <w:rPr>
          <w:rFonts w:eastAsia="Times New Roman"/>
          <w:lang w:eastAsia="hr-HR"/>
        </w:rPr>
        <w:t xml:space="preserve"> </w:t>
      </w:r>
      <w:r w:rsidR="00DD7F85" w:rsidRPr="001B4CA2">
        <w:t>u</w:t>
      </w:r>
      <w:r w:rsidR="00DD7F85" w:rsidRPr="001B4CA2">
        <w:rPr>
          <w:rFonts w:eastAsia="Times New Roman"/>
          <w:lang w:eastAsia="hr-HR"/>
        </w:rPr>
        <w:t xml:space="preserve"> odnosu na 2021. godinu nema značajnijih odstupanja u strukturi kriminaliteta. </w:t>
      </w:r>
    </w:p>
    <w:p w14:paraId="7EAC7CB4" w14:textId="77777777" w:rsidR="001B4CA2" w:rsidRDefault="001B4CA2" w:rsidP="00DD7F85">
      <w:pPr>
        <w:rPr>
          <w:rFonts w:eastAsia="Times New Roman"/>
          <w:lang w:eastAsia="hr-HR"/>
        </w:rPr>
      </w:pPr>
    </w:p>
    <w:p w14:paraId="0415EFDE" w14:textId="1807CF68" w:rsidR="00DD7F85" w:rsidRPr="001B4CA2" w:rsidRDefault="001B4CA2" w:rsidP="00DD7F85">
      <w:pPr>
        <w:rPr>
          <w:rFonts w:eastAsia="Times New Roman"/>
          <w:lang w:eastAsia="hr-HR"/>
        </w:rPr>
      </w:pPr>
      <w:r>
        <w:rPr>
          <w:rFonts w:eastAsia="Times New Roman"/>
          <w:lang w:eastAsia="hr-HR"/>
        </w:rPr>
        <w:tab/>
      </w:r>
      <w:r w:rsidR="00DD7F85" w:rsidRPr="001B4CA2">
        <w:rPr>
          <w:rFonts w:eastAsia="Times New Roman"/>
          <w:lang w:eastAsia="hr-HR"/>
        </w:rPr>
        <w:t xml:space="preserve">Brojčano je zastupljeno i kazneno djelo zlouporabe položaja i ovlasti iz članka 291. Kaznenog zakona/11, kazneno djelo povrede djetetovih prava iz članka 177. Kaznenog zakona/11, kazneno djelo izazivanja prometne nesreće u cestovnom prometu iz članka 227. Kaznenog zakona/11, kazneno djelo prijevare u gospodarskom poslovanju iz članka 247. Kaznenog zakona/11 te kazneno djelo </w:t>
      </w:r>
      <w:r w:rsidR="00DD7F85" w:rsidRPr="001B4CA2">
        <w:rPr>
          <w:rStyle w:val="Naglaeno"/>
          <w:b w:val="0"/>
        </w:rPr>
        <w:t>protuzakonitog ulaženja, kretanja i boravka u Republici Hrvatskoj, drugoj državi članici Europske unije ili potpisnici Šengenskog sporazuma</w:t>
      </w:r>
      <w:r w:rsidR="00DD7F85" w:rsidRPr="001B4CA2">
        <w:rPr>
          <w:rFonts w:eastAsia="Times New Roman"/>
          <w:b/>
          <w:lang w:eastAsia="hr-HR"/>
        </w:rPr>
        <w:t xml:space="preserve"> </w:t>
      </w:r>
      <w:r w:rsidR="00DD7F85" w:rsidRPr="001B4CA2">
        <w:rPr>
          <w:rFonts w:eastAsia="Times New Roman"/>
          <w:lang w:eastAsia="hr-HR"/>
        </w:rPr>
        <w:t>iz članka 326. Kaznenog zakona/11.</w:t>
      </w:r>
      <w:r w:rsidR="00DD7F85" w:rsidRPr="001B4CA2">
        <w:rPr>
          <w:rFonts w:eastAsia="Times New Roman"/>
          <w:b/>
          <w:lang w:eastAsia="hr-HR"/>
        </w:rPr>
        <w:t xml:space="preserve"> </w:t>
      </w:r>
    </w:p>
    <w:p w14:paraId="589FB82B" w14:textId="77777777" w:rsidR="00DD7F85" w:rsidRPr="001B4CA2" w:rsidRDefault="00DD7F85" w:rsidP="00DD7F85">
      <w:pPr>
        <w:rPr>
          <w:rFonts w:eastAsia="Times New Roman"/>
          <w:lang w:eastAsia="hr-HR"/>
        </w:rPr>
      </w:pPr>
    </w:p>
    <w:p w14:paraId="3D3CCFBE" w14:textId="429CDE9F" w:rsidR="001B4CA2" w:rsidRDefault="001B4CA2" w:rsidP="001B4CA2">
      <w:pPr>
        <w:pStyle w:val="Tekstualnidio"/>
      </w:pPr>
      <w:r>
        <w:tab/>
      </w:r>
      <w:r w:rsidR="00DD7F85" w:rsidRPr="001B4CA2">
        <w:t>Za razliku od prošlogodišnjeg razdoblja</w:t>
      </w:r>
      <w:r w:rsidR="00313B5F">
        <w:t>,</w:t>
      </w:r>
      <w:r w:rsidR="00DD7F85" w:rsidRPr="001B4CA2">
        <w:t xml:space="preserve"> u kojem je kod kaznenog djela iz članka 326. Kaznenog zakona/11 uočen porast od 34,5</w:t>
      </w:r>
      <w:r w:rsidR="00313B5F">
        <w:t> </w:t>
      </w:r>
      <w:r w:rsidR="00DD7F85" w:rsidRPr="001B4CA2">
        <w:t>% u odnosu na 2020. godinu, u ovogodišnjem je izvještajnom razdoblju uočen pad od 11,7</w:t>
      </w:r>
      <w:r w:rsidR="00313B5F">
        <w:t> </w:t>
      </w:r>
      <w:r w:rsidR="00DD7F85" w:rsidRPr="001B4CA2">
        <w:t xml:space="preserve">% u odnosu na prošlogodišnje razdoblje. Naime, kako je to navedeno u prošlogodišnjem izvješću, tijekom 2021. godine do izraženijeg </w:t>
      </w:r>
      <w:r w:rsidR="00313B5F" w:rsidRPr="001B4CA2">
        <w:t xml:space="preserve">je </w:t>
      </w:r>
      <w:r w:rsidR="00DD7F85" w:rsidRPr="001B4CA2">
        <w:t>porasta broja prijavljenih za predmetno kazneno djelo došlo zbog postupnog otvaranja granica popuštanjem mjera vezanih za epidemiju bolesti C</w:t>
      </w:r>
      <w:r w:rsidR="00313B5F">
        <w:t>OVID</w:t>
      </w:r>
      <w:r w:rsidR="00DD7F85" w:rsidRPr="001B4CA2">
        <w:t xml:space="preserve">-19. </w:t>
      </w:r>
    </w:p>
    <w:p w14:paraId="026A8971" w14:textId="77777777" w:rsidR="001B4CA2" w:rsidRDefault="001B4CA2" w:rsidP="001B4CA2">
      <w:pPr>
        <w:pStyle w:val="Tekstualnidio"/>
      </w:pPr>
    </w:p>
    <w:p w14:paraId="10F1EFEE" w14:textId="5B869588" w:rsidR="00DD7F85" w:rsidRPr="001B4CA2" w:rsidRDefault="001B4CA2" w:rsidP="001B4CA2">
      <w:pPr>
        <w:pStyle w:val="Tekstualnidio"/>
      </w:pPr>
      <w:r>
        <w:tab/>
      </w:r>
      <w:r w:rsidR="00DD7F85" w:rsidRPr="001B4CA2">
        <w:t xml:space="preserve">U posebnim </w:t>
      </w:r>
      <w:r w:rsidR="00313B5F" w:rsidRPr="001B4CA2">
        <w:t xml:space="preserve">je </w:t>
      </w:r>
      <w:r w:rsidR="00DD7F85" w:rsidRPr="001B4CA2">
        <w:t>poglavljima dana analiza porasta</w:t>
      </w:r>
      <w:r w:rsidR="00313B5F">
        <w:t>,</w:t>
      </w:r>
      <w:r w:rsidR="00DD7F85" w:rsidRPr="001B4CA2">
        <w:t xml:space="preserve"> odnosno pada zastupljenosti pojedinih kaznenih djela u odnosu na 2021. godinu, i to u odnosu na kaznena djela iz </w:t>
      </w:r>
      <w:r w:rsidR="00DD7F85" w:rsidRPr="001B4CA2">
        <w:lastRenderedPageBreak/>
        <w:t xml:space="preserve">nadležnosti općinskih državnih odvjetništava u poglavlju 9.1., u odnosu na kaznena djela iz nadležnosti županijskih državnih odvjetništava u poglavlju 10.1. </w:t>
      </w:r>
      <w:r w:rsidR="00313B5F">
        <w:t>te</w:t>
      </w:r>
      <w:r w:rsidR="00DD7F85" w:rsidRPr="001B4CA2">
        <w:t xml:space="preserve"> u odnosu na kaznena djela iz nadležnosti Ureda za suzbijanje korupcije i organiziranog kriminaliteta u poglavlju 11.1.</w:t>
      </w:r>
    </w:p>
    <w:p w14:paraId="715D8D87" w14:textId="77777777" w:rsidR="00A26FC0" w:rsidRPr="001B4CA2" w:rsidRDefault="00A26FC0" w:rsidP="00A26FC0"/>
    <w:p w14:paraId="47A38ACC" w14:textId="6C5991D5" w:rsidR="00A26FC0" w:rsidRPr="001B4CA2" w:rsidRDefault="00BB4D48" w:rsidP="000F634C">
      <w:pPr>
        <w:pStyle w:val="Naslov4"/>
        <w:tabs>
          <w:tab w:val="left" w:pos="993"/>
        </w:tabs>
        <w:rPr>
          <w:rFonts w:ascii="Arial" w:hAnsi="Arial" w:cs="Arial"/>
        </w:rPr>
      </w:pPr>
      <w:bookmarkStart w:id="28" w:name="_Toc133394291"/>
      <w:r w:rsidRPr="001B4CA2">
        <w:rPr>
          <w:rFonts w:ascii="Arial" w:hAnsi="Arial" w:cs="Arial"/>
        </w:rPr>
        <w:t>O</w:t>
      </w:r>
      <w:r w:rsidR="00CE234E" w:rsidRPr="001B4CA2">
        <w:rPr>
          <w:rFonts w:ascii="Arial" w:hAnsi="Arial" w:cs="Arial"/>
        </w:rPr>
        <w:t>dluke povodom kaznene prijave</w:t>
      </w:r>
      <w:bookmarkEnd w:id="28"/>
    </w:p>
    <w:p w14:paraId="6A5CA0C1" w14:textId="77777777" w:rsidR="00D75E72" w:rsidRPr="001B4CA2" w:rsidRDefault="00D75E72" w:rsidP="00D75E72"/>
    <w:p w14:paraId="5415C6F5" w14:textId="49ECD47C" w:rsidR="00A26FC0" w:rsidRPr="001B4CA2" w:rsidRDefault="000169EF" w:rsidP="00FC63F7">
      <w:r>
        <w:rPr>
          <w:rFonts w:eastAsia="Times New Roman"/>
          <w:i/>
          <w:iCs/>
          <w:lang w:eastAsia="hr-HR"/>
        </w:rPr>
        <w:t xml:space="preserve">  </w:t>
      </w:r>
      <w:r w:rsidR="00D75E72" w:rsidRPr="001B4CA2">
        <w:rPr>
          <w:rFonts w:eastAsia="Times New Roman"/>
          <w:i/>
          <w:iCs/>
          <w:lang w:eastAsia="hr-HR"/>
        </w:rPr>
        <w:t>Odluke povodom kaznene prijave (bez maloljetnih osoba)</w:t>
      </w:r>
    </w:p>
    <w:tbl>
      <w:tblPr>
        <w:tblW w:w="893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7"/>
        <w:gridCol w:w="706"/>
        <w:gridCol w:w="706"/>
        <w:gridCol w:w="706"/>
        <w:gridCol w:w="667"/>
        <w:gridCol w:w="851"/>
        <w:gridCol w:w="850"/>
        <w:gridCol w:w="851"/>
        <w:gridCol w:w="850"/>
        <w:gridCol w:w="709"/>
        <w:gridCol w:w="709"/>
        <w:gridCol w:w="709"/>
      </w:tblGrid>
      <w:tr w:rsidR="000169EF" w:rsidRPr="001B4CA2" w14:paraId="52B6E28D" w14:textId="3DFAEA4B" w:rsidTr="000169EF">
        <w:trPr>
          <w:cantSplit/>
          <w:trHeight w:val="1668"/>
        </w:trPr>
        <w:tc>
          <w:tcPr>
            <w:tcW w:w="617" w:type="dxa"/>
            <w:shd w:val="clear" w:color="auto" w:fill="99CCFF"/>
            <w:noWrap/>
            <w:textDirection w:val="btLr"/>
            <w:vAlign w:val="center"/>
            <w:hideMark/>
          </w:tcPr>
          <w:p w14:paraId="167FD06F" w14:textId="2DE3AE36" w:rsidR="0019574F" w:rsidRPr="00BA7382" w:rsidRDefault="0019574F" w:rsidP="000169EF">
            <w:pPr>
              <w:ind w:left="113" w:right="113"/>
              <w:jc w:val="left"/>
              <w:rPr>
                <w:rFonts w:eastAsia="Times New Roman"/>
                <w:i/>
                <w:iCs/>
                <w:sz w:val="18"/>
                <w:szCs w:val="18"/>
                <w:lang w:eastAsia="hr-HR"/>
              </w:rPr>
            </w:pPr>
            <w:r w:rsidRPr="00BA7382">
              <w:rPr>
                <w:rFonts w:eastAsia="Times New Roman"/>
                <w:b/>
                <w:sz w:val="18"/>
                <w:szCs w:val="18"/>
                <w:lang w:eastAsia="hr-HR"/>
              </w:rPr>
              <w:t>Godina</w:t>
            </w:r>
          </w:p>
        </w:tc>
        <w:tc>
          <w:tcPr>
            <w:tcW w:w="706" w:type="dxa"/>
            <w:shd w:val="clear" w:color="auto" w:fill="99CCFF"/>
            <w:textDirection w:val="btLr"/>
            <w:vAlign w:val="center"/>
          </w:tcPr>
          <w:p w14:paraId="15B914A3" w14:textId="74F980B0" w:rsidR="0019574F" w:rsidRPr="00BA7382" w:rsidRDefault="0019574F" w:rsidP="00542553">
            <w:pPr>
              <w:ind w:left="113" w:right="113"/>
              <w:jc w:val="left"/>
              <w:rPr>
                <w:rFonts w:eastAsia="Times New Roman"/>
                <w:i/>
                <w:iCs/>
                <w:sz w:val="18"/>
                <w:szCs w:val="18"/>
                <w:lang w:eastAsia="hr-HR"/>
              </w:rPr>
            </w:pPr>
            <w:r w:rsidRPr="00BA7382">
              <w:rPr>
                <w:rFonts w:eastAsia="Times New Roman"/>
                <w:b/>
                <w:sz w:val="18"/>
                <w:szCs w:val="18"/>
                <w:lang w:eastAsia="hr-HR"/>
              </w:rPr>
              <w:t>Zaprimljeno kaznenih prijava</w:t>
            </w:r>
          </w:p>
        </w:tc>
        <w:tc>
          <w:tcPr>
            <w:tcW w:w="706" w:type="dxa"/>
            <w:shd w:val="clear" w:color="auto" w:fill="99CCFF"/>
            <w:textDirection w:val="btLr"/>
            <w:vAlign w:val="center"/>
          </w:tcPr>
          <w:p w14:paraId="18845858" w14:textId="236BE80D" w:rsidR="0019574F" w:rsidRPr="00BA7382" w:rsidRDefault="0019574F" w:rsidP="00542553">
            <w:pPr>
              <w:ind w:left="113" w:right="113"/>
              <w:jc w:val="left"/>
              <w:rPr>
                <w:rFonts w:eastAsia="Times New Roman"/>
                <w:i/>
                <w:iCs/>
                <w:sz w:val="18"/>
                <w:szCs w:val="18"/>
                <w:lang w:eastAsia="hr-HR"/>
              </w:rPr>
            </w:pPr>
            <w:r w:rsidRPr="00BA7382">
              <w:rPr>
                <w:rFonts w:eastAsia="Times New Roman"/>
                <w:b/>
                <w:sz w:val="18"/>
                <w:szCs w:val="18"/>
                <w:lang w:eastAsia="hr-HR"/>
              </w:rPr>
              <w:t>Ukupno u radu</w:t>
            </w:r>
          </w:p>
        </w:tc>
        <w:tc>
          <w:tcPr>
            <w:tcW w:w="706" w:type="dxa"/>
            <w:shd w:val="clear" w:color="auto" w:fill="99CCFF"/>
            <w:textDirection w:val="btLr"/>
            <w:vAlign w:val="center"/>
          </w:tcPr>
          <w:p w14:paraId="4DCBC48C" w14:textId="679A102D" w:rsidR="0019574F" w:rsidRPr="00BA7382" w:rsidRDefault="0019574F" w:rsidP="00542553">
            <w:pPr>
              <w:ind w:left="113" w:right="113"/>
              <w:jc w:val="left"/>
              <w:rPr>
                <w:rFonts w:eastAsia="Times New Roman"/>
                <w:i/>
                <w:iCs/>
                <w:sz w:val="18"/>
                <w:szCs w:val="18"/>
                <w:lang w:eastAsia="hr-HR"/>
              </w:rPr>
            </w:pPr>
            <w:r w:rsidRPr="00BA7382">
              <w:rPr>
                <w:rFonts w:eastAsia="Times New Roman"/>
                <w:b/>
                <w:sz w:val="18"/>
                <w:szCs w:val="18"/>
                <w:lang w:eastAsia="hr-HR"/>
              </w:rPr>
              <w:t>Neriješeno</w:t>
            </w:r>
          </w:p>
        </w:tc>
        <w:tc>
          <w:tcPr>
            <w:tcW w:w="667" w:type="dxa"/>
            <w:shd w:val="clear" w:color="auto" w:fill="99CCFF"/>
            <w:textDirection w:val="btLr"/>
            <w:vAlign w:val="center"/>
          </w:tcPr>
          <w:p w14:paraId="21D7C505" w14:textId="60721639" w:rsidR="0019574F" w:rsidRPr="00BA7382" w:rsidRDefault="0019574F" w:rsidP="00542553">
            <w:pPr>
              <w:ind w:left="113" w:right="113"/>
              <w:jc w:val="left"/>
              <w:rPr>
                <w:rFonts w:eastAsia="Times New Roman"/>
                <w:i/>
                <w:iCs/>
                <w:sz w:val="18"/>
                <w:szCs w:val="18"/>
                <w:lang w:eastAsia="hr-HR"/>
              </w:rPr>
            </w:pPr>
            <w:r w:rsidRPr="00BA7382">
              <w:rPr>
                <w:rFonts w:eastAsia="Times New Roman"/>
                <w:b/>
                <w:sz w:val="18"/>
                <w:szCs w:val="18"/>
                <w:lang w:eastAsia="hr-HR"/>
              </w:rPr>
              <w:t>Otvorena istraživanja</w:t>
            </w:r>
          </w:p>
        </w:tc>
        <w:tc>
          <w:tcPr>
            <w:tcW w:w="851" w:type="dxa"/>
            <w:shd w:val="clear" w:color="auto" w:fill="99CCFF"/>
            <w:textDirection w:val="btLr"/>
            <w:vAlign w:val="center"/>
          </w:tcPr>
          <w:p w14:paraId="181648EF" w14:textId="3A5B5290" w:rsidR="0019574F" w:rsidRPr="00BA7382" w:rsidRDefault="0019574F" w:rsidP="00542553">
            <w:pPr>
              <w:ind w:left="113" w:right="113"/>
              <w:jc w:val="left"/>
              <w:rPr>
                <w:rFonts w:eastAsia="Times New Roman"/>
                <w:i/>
                <w:iCs/>
                <w:sz w:val="18"/>
                <w:szCs w:val="18"/>
                <w:lang w:eastAsia="hr-HR"/>
              </w:rPr>
            </w:pPr>
            <w:r w:rsidRPr="00BA7382">
              <w:rPr>
                <w:rFonts w:eastAsia="Times New Roman"/>
                <w:b/>
                <w:sz w:val="18"/>
                <w:szCs w:val="18"/>
                <w:lang w:eastAsia="hr-HR"/>
              </w:rPr>
              <w:t>Odbačaj</w:t>
            </w:r>
          </w:p>
        </w:tc>
        <w:tc>
          <w:tcPr>
            <w:tcW w:w="850" w:type="dxa"/>
            <w:shd w:val="clear" w:color="auto" w:fill="99CCFF"/>
            <w:textDirection w:val="btLr"/>
            <w:vAlign w:val="center"/>
          </w:tcPr>
          <w:p w14:paraId="08FDE5D7" w14:textId="4969557B" w:rsidR="0019574F" w:rsidRPr="00BA7382" w:rsidRDefault="0019574F" w:rsidP="00542553">
            <w:pPr>
              <w:ind w:left="113" w:right="113"/>
              <w:jc w:val="left"/>
              <w:rPr>
                <w:rFonts w:eastAsia="Times New Roman"/>
                <w:i/>
                <w:iCs/>
                <w:sz w:val="18"/>
                <w:szCs w:val="18"/>
                <w:lang w:eastAsia="hr-HR"/>
              </w:rPr>
            </w:pPr>
            <w:r w:rsidRPr="00BA7382">
              <w:rPr>
                <w:rFonts w:eastAsia="Times New Roman"/>
                <w:b/>
                <w:sz w:val="18"/>
                <w:szCs w:val="18"/>
                <w:lang w:eastAsia="hr-HR"/>
              </w:rPr>
              <w:t>Neposredna optužnica</w:t>
            </w:r>
          </w:p>
        </w:tc>
        <w:tc>
          <w:tcPr>
            <w:tcW w:w="851" w:type="dxa"/>
            <w:shd w:val="clear" w:color="auto" w:fill="99CCFF"/>
            <w:textDirection w:val="btLr"/>
            <w:vAlign w:val="center"/>
          </w:tcPr>
          <w:p w14:paraId="2D499D11" w14:textId="0F5F6BB1" w:rsidR="0019574F" w:rsidRPr="00BA7382" w:rsidRDefault="0019574F" w:rsidP="00542553">
            <w:pPr>
              <w:ind w:left="113" w:right="113"/>
              <w:jc w:val="left"/>
              <w:rPr>
                <w:rFonts w:eastAsia="Times New Roman"/>
                <w:i/>
                <w:iCs/>
                <w:sz w:val="18"/>
                <w:szCs w:val="18"/>
                <w:lang w:eastAsia="hr-HR"/>
              </w:rPr>
            </w:pPr>
            <w:r w:rsidRPr="00BA7382">
              <w:rPr>
                <w:rFonts w:eastAsia="Times New Roman"/>
                <w:b/>
                <w:sz w:val="18"/>
                <w:szCs w:val="18"/>
                <w:lang w:eastAsia="hr-HR"/>
              </w:rPr>
              <w:t>Optužnica s kaznenim nalogom</w:t>
            </w:r>
          </w:p>
        </w:tc>
        <w:tc>
          <w:tcPr>
            <w:tcW w:w="850" w:type="dxa"/>
            <w:shd w:val="clear" w:color="auto" w:fill="99CCFF"/>
            <w:noWrap/>
            <w:textDirection w:val="btLr"/>
            <w:vAlign w:val="center"/>
          </w:tcPr>
          <w:p w14:paraId="6D2F82B9" w14:textId="12412764" w:rsidR="0019574F" w:rsidRPr="00BA7382" w:rsidRDefault="0019574F" w:rsidP="00542553">
            <w:pPr>
              <w:ind w:left="113" w:right="113"/>
              <w:jc w:val="left"/>
              <w:rPr>
                <w:rFonts w:eastAsia="Times New Roman"/>
                <w:sz w:val="18"/>
                <w:szCs w:val="18"/>
                <w:lang w:eastAsia="hr-HR"/>
              </w:rPr>
            </w:pPr>
            <w:r w:rsidRPr="00BA7382">
              <w:rPr>
                <w:rFonts w:eastAsia="Times New Roman"/>
                <w:b/>
                <w:sz w:val="18"/>
                <w:szCs w:val="18"/>
                <w:lang w:eastAsia="hr-HR"/>
              </w:rPr>
              <w:t>Rješenje o provođenju istrage</w:t>
            </w:r>
          </w:p>
        </w:tc>
        <w:tc>
          <w:tcPr>
            <w:tcW w:w="709" w:type="dxa"/>
            <w:shd w:val="clear" w:color="auto" w:fill="99CCFF"/>
            <w:textDirection w:val="btLr"/>
            <w:vAlign w:val="center"/>
          </w:tcPr>
          <w:p w14:paraId="7AC9B872" w14:textId="38048563" w:rsidR="0019574F" w:rsidRPr="00BA7382" w:rsidRDefault="0019574F" w:rsidP="00542553">
            <w:pPr>
              <w:ind w:left="113" w:right="113"/>
              <w:jc w:val="left"/>
              <w:rPr>
                <w:rFonts w:eastAsia="Times New Roman"/>
                <w:sz w:val="18"/>
                <w:szCs w:val="18"/>
                <w:lang w:eastAsia="hr-HR"/>
              </w:rPr>
            </w:pPr>
            <w:r w:rsidRPr="00BA7382">
              <w:rPr>
                <w:rFonts w:eastAsia="Times New Roman"/>
                <w:b/>
                <w:sz w:val="18"/>
                <w:szCs w:val="18"/>
                <w:lang w:eastAsia="hr-HR"/>
              </w:rPr>
              <w:t>Ustup</w:t>
            </w:r>
          </w:p>
        </w:tc>
        <w:tc>
          <w:tcPr>
            <w:tcW w:w="709" w:type="dxa"/>
            <w:shd w:val="clear" w:color="auto" w:fill="99CCFF"/>
            <w:textDirection w:val="btLr"/>
            <w:vAlign w:val="center"/>
          </w:tcPr>
          <w:p w14:paraId="67FB5676" w14:textId="730868EB" w:rsidR="0019574F" w:rsidRPr="00BA7382" w:rsidRDefault="0019574F" w:rsidP="00542553">
            <w:pPr>
              <w:ind w:left="113" w:right="113"/>
              <w:jc w:val="left"/>
              <w:rPr>
                <w:rFonts w:eastAsia="Times New Roman"/>
                <w:sz w:val="18"/>
                <w:szCs w:val="18"/>
                <w:lang w:eastAsia="hr-HR"/>
              </w:rPr>
            </w:pPr>
            <w:r w:rsidRPr="00BA7382">
              <w:rPr>
                <w:rFonts w:eastAsia="Times New Roman"/>
                <w:b/>
                <w:sz w:val="18"/>
                <w:szCs w:val="18"/>
                <w:lang w:eastAsia="hr-HR"/>
              </w:rPr>
              <w:t>Riješeno na drugi način</w:t>
            </w:r>
          </w:p>
        </w:tc>
        <w:tc>
          <w:tcPr>
            <w:tcW w:w="709" w:type="dxa"/>
            <w:shd w:val="clear" w:color="auto" w:fill="99CCFF"/>
            <w:textDirection w:val="btLr"/>
            <w:vAlign w:val="center"/>
          </w:tcPr>
          <w:p w14:paraId="5DFB1629" w14:textId="0A111A3B" w:rsidR="0019574F" w:rsidRPr="00BA7382" w:rsidRDefault="0019574F" w:rsidP="00542553">
            <w:pPr>
              <w:ind w:left="113" w:right="113"/>
              <w:jc w:val="left"/>
              <w:rPr>
                <w:rFonts w:eastAsia="Times New Roman"/>
                <w:sz w:val="18"/>
                <w:szCs w:val="18"/>
                <w:lang w:eastAsia="hr-HR"/>
              </w:rPr>
            </w:pPr>
            <w:r w:rsidRPr="00BA7382">
              <w:rPr>
                <w:rFonts w:eastAsia="Times New Roman"/>
                <w:b/>
                <w:sz w:val="18"/>
                <w:szCs w:val="18"/>
                <w:lang w:eastAsia="hr-HR"/>
              </w:rPr>
              <w:t>Ukupno odluka</w:t>
            </w:r>
          </w:p>
        </w:tc>
      </w:tr>
      <w:tr w:rsidR="000169EF" w:rsidRPr="001B4CA2" w14:paraId="48511157" w14:textId="77777777" w:rsidTr="000169EF">
        <w:trPr>
          <w:trHeight w:val="296"/>
        </w:trPr>
        <w:tc>
          <w:tcPr>
            <w:tcW w:w="617" w:type="dxa"/>
            <w:shd w:val="clear" w:color="auto" w:fill="auto"/>
            <w:noWrap/>
            <w:vAlign w:val="center"/>
          </w:tcPr>
          <w:p w14:paraId="18846DF0" w14:textId="1A90D663" w:rsidR="00FC63C3" w:rsidRPr="000169EF" w:rsidRDefault="00FC63C3" w:rsidP="00E33703">
            <w:pPr>
              <w:jc w:val="center"/>
              <w:rPr>
                <w:rFonts w:eastAsia="Times New Roman"/>
                <w:sz w:val="16"/>
                <w:szCs w:val="16"/>
                <w:lang w:eastAsia="hr-HR"/>
              </w:rPr>
            </w:pPr>
            <w:r w:rsidRPr="000169EF">
              <w:rPr>
                <w:rFonts w:eastAsia="Times New Roman"/>
                <w:sz w:val="16"/>
                <w:szCs w:val="16"/>
                <w:lang w:eastAsia="hr-HR"/>
              </w:rPr>
              <w:t>201</w:t>
            </w:r>
            <w:r w:rsidR="00DD7F85" w:rsidRPr="000169EF">
              <w:rPr>
                <w:rFonts w:eastAsia="Times New Roman"/>
                <w:sz w:val="16"/>
                <w:szCs w:val="16"/>
                <w:lang w:eastAsia="hr-HR"/>
              </w:rPr>
              <w:t>8</w:t>
            </w:r>
            <w:r w:rsidRPr="000169EF">
              <w:rPr>
                <w:rFonts w:eastAsia="Times New Roman"/>
                <w:sz w:val="16"/>
                <w:szCs w:val="16"/>
                <w:lang w:eastAsia="hr-HR"/>
              </w:rPr>
              <w:t>.</w:t>
            </w:r>
          </w:p>
        </w:tc>
        <w:tc>
          <w:tcPr>
            <w:tcW w:w="706" w:type="dxa"/>
            <w:shd w:val="clear" w:color="auto" w:fill="auto"/>
            <w:noWrap/>
            <w:vAlign w:val="center"/>
          </w:tcPr>
          <w:p w14:paraId="2B7A4E28" w14:textId="6477C982"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33.738</w:t>
            </w:r>
          </w:p>
        </w:tc>
        <w:tc>
          <w:tcPr>
            <w:tcW w:w="706" w:type="dxa"/>
            <w:shd w:val="clear" w:color="auto" w:fill="auto"/>
            <w:noWrap/>
            <w:vAlign w:val="center"/>
          </w:tcPr>
          <w:p w14:paraId="0E151054" w14:textId="67FD5A65"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45.822</w:t>
            </w:r>
          </w:p>
        </w:tc>
        <w:tc>
          <w:tcPr>
            <w:tcW w:w="706" w:type="dxa"/>
            <w:shd w:val="clear" w:color="auto" w:fill="auto"/>
            <w:noWrap/>
            <w:vAlign w:val="center"/>
          </w:tcPr>
          <w:p w14:paraId="5920180B" w14:textId="5E34B6FA"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12.468</w:t>
            </w:r>
          </w:p>
        </w:tc>
        <w:tc>
          <w:tcPr>
            <w:tcW w:w="667" w:type="dxa"/>
            <w:shd w:val="clear" w:color="auto" w:fill="auto"/>
            <w:noWrap/>
            <w:vAlign w:val="center"/>
          </w:tcPr>
          <w:p w14:paraId="3F473A4F" w14:textId="2CCC3ABE" w:rsidR="00FC63C3" w:rsidRPr="000169EF" w:rsidRDefault="00FC63C3" w:rsidP="00E33703">
            <w:pPr>
              <w:jc w:val="center"/>
              <w:rPr>
                <w:rFonts w:eastAsia="Times New Roman"/>
                <w:sz w:val="16"/>
                <w:szCs w:val="16"/>
                <w:lang w:eastAsia="hr-HR"/>
              </w:rPr>
            </w:pPr>
            <w:r w:rsidRPr="000169EF">
              <w:rPr>
                <w:rFonts w:eastAsia="Times New Roman"/>
                <w:color w:val="000000"/>
                <w:sz w:val="16"/>
                <w:szCs w:val="16"/>
                <w:lang w:eastAsia="hr-HR"/>
              </w:rPr>
              <w:t> </w:t>
            </w:r>
          </w:p>
        </w:tc>
        <w:tc>
          <w:tcPr>
            <w:tcW w:w="851" w:type="dxa"/>
            <w:shd w:val="clear" w:color="auto" w:fill="auto"/>
            <w:noWrap/>
            <w:vAlign w:val="center"/>
          </w:tcPr>
          <w:p w14:paraId="2A94BA26" w14:textId="3C0B6904"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15.277</w:t>
            </w:r>
          </w:p>
        </w:tc>
        <w:tc>
          <w:tcPr>
            <w:tcW w:w="850" w:type="dxa"/>
            <w:shd w:val="clear" w:color="auto" w:fill="auto"/>
            <w:noWrap/>
            <w:vAlign w:val="center"/>
          </w:tcPr>
          <w:p w14:paraId="26B6084B" w14:textId="4EA88140"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6.840</w:t>
            </w:r>
          </w:p>
        </w:tc>
        <w:tc>
          <w:tcPr>
            <w:tcW w:w="851" w:type="dxa"/>
            <w:shd w:val="clear" w:color="auto" w:fill="auto"/>
            <w:noWrap/>
            <w:vAlign w:val="center"/>
          </w:tcPr>
          <w:p w14:paraId="3068D979" w14:textId="4B928A4F"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6.308</w:t>
            </w:r>
          </w:p>
        </w:tc>
        <w:tc>
          <w:tcPr>
            <w:tcW w:w="850" w:type="dxa"/>
            <w:shd w:val="clear" w:color="auto" w:fill="auto"/>
            <w:noWrap/>
            <w:vAlign w:val="center"/>
          </w:tcPr>
          <w:p w14:paraId="416BC196" w14:textId="1D32AF35" w:rsidR="00FC63C3" w:rsidRPr="000169EF" w:rsidRDefault="00FC63C3" w:rsidP="00E33703">
            <w:pPr>
              <w:jc w:val="center"/>
              <w:rPr>
                <w:rFonts w:eastAsia="Times New Roman"/>
                <w:sz w:val="16"/>
                <w:szCs w:val="16"/>
                <w:lang w:eastAsia="hr-HR"/>
              </w:rPr>
            </w:pPr>
            <w:r w:rsidRPr="000169EF">
              <w:rPr>
                <w:rFonts w:eastAsia="Times New Roman"/>
                <w:color w:val="000000"/>
                <w:sz w:val="16"/>
                <w:szCs w:val="16"/>
                <w:lang w:eastAsia="hr-HR"/>
              </w:rPr>
              <w:t>3.</w:t>
            </w:r>
            <w:r w:rsidR="00BA387B" w:rsidRPr="000169EF">
              <w:rPr>
                <w:rFonts w:eastAsia="Times New Roman"/>
                <w:color w:val="000000"/>
                <w:sz w:val="16"/>
                <w:szCs w:val="16"/>
                <w:lang w:eastAsia="hr-HR"/>
              </w:rPr>
              <w:t>719</w:t>
            </w:r>
          </w:p>
        </w:tc>
        <w:tc>
          <w:tcPr>
            <w:tcW w:w="709" w:type="dxa"/>
            <w:shd w:val="clear" w:color="auto" w:fill="auto"/>
            <w:noWrap/>
            <w:vAlign w:val="center"/>
          </w:tcPr>
          <w:p w14:paraId="5DEE6E08" w14:textId="516FF6EE" w:rsidR="00FC63C3" w:rsidRPr="000169EF" w:rsidRDefault="00FC63C3" w:rsidP="00E33703">
            <w:pPr>
              <w:jc w:val="center"/>
              <w:rPr>
                <w:rFonts w:eastAsia="Times New Roman"/>
                <w:sz w:val="16"/>
                <w:szCs w:val="16"/>
                <w:lang w:eastAsia="hr-HR"/>
              </w:rPr>
            </w:pPr>
            <w:r w:rsidRPr="000169EF">
              <w:rPr>
                <w:rFonts w:eastAsia="Times New Roman"/>
                <w:color w:val="000000"/>
                <w:sz w:val="16"/>
                <w:szCs w:val="16"/>
                <w:lang w:eastAsia="hr-HR"/>
              </w:rPr>
              <w:t> </w:t>
            </w:r>
          </w:p>
        </w:tc>
        <w:tc>
          <w:tcPr>
            <w:tcW w:w="709" w:type="dxa"/>
            <w:shd w:val="clear" w:color="auto" w:fill="auto"/>
            <w:noWrap/>
            <w:vAlign w:val="center"/>
          </w:tcPr>
          <w:p w14:paraId="1F00213E" w14:textId="0EF23DC6" w:rsidR="00FC63C3" w:rsidRPr="000169EF" w:rsidRDefault="00FC63C3" w:rsidP="00E33703">
            <w:pPr>
              <w:jc w:val="center"/>
              <w:rPr>
                <w:rFonts w:eastAsia="Times New Roman"/>
                <w:sz w:val="16"/>
                <w:szCs w:val="16"/>
                <w:lang w:eastAsia="hr-HR"/>
              </w:rPr>
            </w:pPr>
            <w:r w:rsidRPr="000169EF">
              <w:rPr>
                <w:rFonts w:eastAsia="Times New Roman"/>
                <w:color w:val="000000"/>
                <w:sz w:val="16"/>
                <w:szCs w:val="16"/>
                <w:lang w:eastAsia="hr-HR"/>
              </w:rPr>
              <w:t>1.</w:t>
            </w:r>
            <w:r w:rsidR="00BA387B" w:rsidRPr="000169EF">
              <w:rPr>
                <w:rFonts w:eastAsia="Times New Roman"/>
                <w:color w:val="000000"/>
                <w:sz w:val="16"/>
                <w:szCs w:val="16"/>
                <w:lang w:eastAsia="hr-HR"/>
              </w:rPr>
              <w:t>210</w:t>
            </w:r>
          </w:p>
        </w:tc>
        <w:tc>
          <w:tcPr>
            <w:tcW w:w="709" w:type="dxa"/>
            <w:shd w:val="clear" w:color="auto" w:fill="auto"/>
            <w:noWrap/>
            <w:vAlign w:val="center"/>
          </w:tcPr>
          <w:p w14:paraId="6308166C" w14:textId="220DBD4B" w:rsidR="00FC63C3" w:rsidRPr="000169EF" w:rsidRDefault="00BA387B" w:rsidP="00E33703">
            <w:pPr>
              <w:jc w:val="center"/>
              <w:rPr>
                <w:rFonts w:eastAsia="Times New Roman"/>
                <w:sz w:val="16"/>
                <w:szCs w:val="16"/>
                <w:lang w:eastAsia="hr-HR"/>
              </w:rPr>
            </w:pPr>
            <w:r w:rsidRPr="000169EF">
              <w:rPr>
                <w:rFonts w:eastAsia="Times New Roman"/>
                <w:sz w:val="16"/>
                <w:szCs w:val="16"/>
                <w:lang w:eastAsia="hr-HR"/>
              </w:rPr>
              <w:t>33.354</w:t>
            </w:r>
          </w:p>
        </w:tc>
      </w:tr>
      <w:tr w:rsidR="000169EF" w:rsidRPr="001B4CA2" w14:paraId="029B0532" w14:textId="77777777" w:rsidTr="000169EF">
        <w:trPr>
          <w:trHeight w:val="296"/>
        </w:trPr>
        <w:tc>
          <w:tcPr>
            <w:tcW w:w="617" w:type="dxa"/>
            <w:shd w:val="clear" w:color="auto" w:fill="auto"/>
            <w:noWrap/>
            <w:vAlign w:val="center"/>
            <w:hideMark/>
          </w:tcPr>
          <w:p w14:paraId="691303DB" w14:textId="7F723CFA" w:rsidR="00FC63C3" w:rsidRPr="000169EF" w:rsidRDefault="00FC63C3" w:rsidP="00E33703">
            <w:pPr>
              <w:jc w:val="center"/>
              <w:rPr>
                <w:rFonts w:eastAsia="Times New Roman"/>
                <w:sz w:val="16"/>
                <w:szCs w:val="16"/>
                <w:lang w:eastAsia="hr-HR"/>
              </w:rPr>
            </w:pPr>
            <w:r w:rsidRPr="000169EF">
              <w:rPr>
                <w:rFonts w:eastAsia="Times New Roman"/>
                <w:sz w:val="16"/>
                <w:szCs w:val="16"/>
                <w:lang w:eastAsia="hr-HR"/>
              </w:rPr>
              <w:t>201</w:t>
            </w:r>
            <w:r w:rsidR="00DD7F85" w:rsidRPr="000169EF">
              <w:rPr>
                <w:rFonts w:eastAsia="Times New Roman"/>
                <w:sz w:val="16"/>
                <w:szCs w:val="16"/>
                <w:lang w:eastAsia="hr-HR"/>
              </w:rPr>
              <w:t>9</w:t>
            </w:r>
            <w:r w:rsidRPr="000169EF">
              <w:rPr>
                <w:rFonts w:eastAsia="Times New Roman"/>
                <w:sz w:val="16"/>
                <w:szCs w:val="16"/>
                <w:lang w:eastAsia="hr-HR"/>
              </w:rPr>
              <w:t>.</w:t>
            </w:r>
          </w:p>
        </w:tc>
        <w:tc>
          <w:tcPr>
            <w:tcW w:w="706" w:type="dxa"/>
            <w:shd w:val="clear" w:color="auto" w:fill="auto"/>
            <w:noWrap/>
            <w:vAlign w:val="center"/>
            <w:hideMark/>
          </w:tcPr>
          <w:p w14:paraId="1987CCD1" w14:textId="1DE3B35B"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34.436</w:t>
            </w:r>
          </w:p>
        </w:tc>
        <w:tc>
          <w:tcPr>
            <w:tcW w:w="706" w:type="dxa"/>
            <w:shd w:val="clear" w:color="auto" w:fill="auto"/>
            <w:noWrap/>
            <w:vAlign w:val="center"/>
            <w:hideMark/>
          </w:tcPr>
          <w:p w14:paraId="09C922C1" w14:textId="11CAD985"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46.688</w:t>
            </w:r>
          </w:p>
        </w:tc>
        <w:tc>
          <w:tcPr>
            <w:tcW w:w="706" w:type="dxa"/>
            <w:shd w:val="clear" w:color="auto" w:fill="auto"/>
            <w:noWrap/>
            <w:vAlign w:val="center"/>
            <w:hideMark/>
          </w:tcPr>
          <w:p w14:paraId="0446FBC4" w14:textId="1C270845"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12.834</w:t>
            </w:r>
          </w:p>
        </w:tc>
        <w:tc>
          <w:tcPr>
            <w:tcW w:w="667" w:type="dxa"/>
            <w:shd w:val="clear" w:color="auto" w:fill="auto"/>
            <w:noWrap/>
            <w:vAlign w:val="center"/>
            <w:hideMark/>
          </w:tcPr>
          <w:p w14:paraId="323543C7" w14:textId="069AA769" w:rsidR="00FC63C3" w:rsidRPr="000169EF" w:rsidRDefault="00FC63C3" w:rsidP="00E33703">
            <w:pPr>
              <w:jc w:val="center"/>
              <w:rPr>
                <w:rFonts w:eastAsia="Times New Roman"/>
                <w:sz w:val="16"/>
                <w:szCs w:val="16"/>
                <w:lang w:eastAsia="hr-HR"/>
              </w:rPr>
            </w:pPr>
            <w:r w:rsidRPr="000169EF">
              <w:rPr>
                <w:rFonts w:eastAsia="Times New Roman"/>
                <w:color w:val="000000"/>
                <w:sz w:val="16"/>
                <w:szCs w:val="16"/>
                <w:lang w:eastAsia="hr-HR"/>
              </w:rPr>
              <w:t> </w:t>
            </w:r>
          </w:p>
        </w:tc>
        <w:tc>
          <w:tcPr>
            <w:tcW w:w="851" w:type="dxa"/>
            <w:shd w:val="clear" w:color="auto" w:fill="auto"/>
            <w:noWrap/>
            <w:vAlign w:val="center"/>
            <w:hideMark/>
          </w:tcPr>
          <w:p w14:paraId="4075FE43" w14:textId="4B5C1808"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14.186</w:t>
            </w:r>
          </w:p>
        </w:tc>
        <w:tc>
          <w:tcPr>
            <w:tcW w:w="850" w:type="dxa"/>
            <w:shd w:val="clear" w:color="auto" w:fill="auto"/>
            <w:noWrap/>
            <w:vAlign w:val="center"/>
            <w:hideMark/>
          </w:tcPr>
          <w:p w14:paraId="09A8296F" w14:textId="2A315B1D"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7.292</w:t>
            </w:r>
          </w:p>
        </w:tc>
        <w:tc>
          <w:tcPr>
            <w:tcW w:w="851" w:type="dxa"/>
            <w:shd w:val="clear" w:color="auto" w:fill="auto"/>
            <w:noWrap/>
            <w:vAlign w:val="center"/>
            <w:hideMark/>
          </w:tcPr>
          <w:p w14:paraId="134A39AE" w14:textId="219B136C" w:rsidR="00FC63C3" w:rsidRPr="000169EF" w:rsidRDefault="00FC63C3" w:rsidP="00E33703">
            <w:pPr>
              <w:jc w:val="center"/>
              <w:rPr>
                <w:rFonts w:eastAsia="Times New Roman"/>
                <w:sz w:val="16"/>
                <w:szCs w:val="16"/>
                <w:lang w:eastAsia="hr-HR"/>
              </w:rPr>
            </w:pPr>
            <w:r w:rsidRPr="000169EF">
              <w:rPr>
                <w:rFonts w:eastAsia="Times New Roman"/>
                <w:color w:val="000000"/>
                <w:sz w:val="16"/>
                <w:szCs w:val="16"/>
                <w:lang w:eastAsia="hr-HR"/>
              </w:rPr>
              <w:t>6.</w:t>
            </w:r>
            <w:r w:rsidR="00DD7F85" w:rsidRPr="000169EF">
              <w:rPr>
                <w:rFonts w:eastAsia="Times New Roman"/>
                <w:color w:val="000000"/>
                <w:sz w:val="16"/>
                <w:szCs w:val="16"/>
                <w:lang w:eastAsia="hr-HR"/>
              </w:rPr>
              <w:t>185</w:t>
            </w:r>
          </w:p>
        </w:tc>
        <w:tc>
          <w:tcPr>
            <w:tcW w:w="850" w:type="dxa"/>
            <w:shd w:val="clear" w:color="auto" w:fill="auto"/>
            <w:noWrap/>
            <w:vAlign w:val="center"/>
            <w:hideMark/>
          </w:tcPr>
          <w:p w14:paraId="21937E16" w14:textId="490FEC46" w:rsidR="00FC63C3" w:rsidRPr="000169EF" w:rsidRDefault="00BA387B" w:rsidP="00E33703">
            <w:pPr>
              <w:jc w:val="center"/>
              <w:rPr>
                <w:rFonts w:eastAsia="Times New Roman"/>
                <w:sz w:val="16"/>
                <w:szCs w:val="16"/>
                <w:lang w:eastAsia="hr-HR"/>
              </w:rPr>
            </w:pPr>
            <w:r w:rsidRPr="000169EF">
              <w:rPr>
                <w:rFonts w:eastAsia="Times New Roman"/>
                <w:sz w:val="16"/>
                <w:szCs w:val="16"/>
                <w:lang w:eastAsia="hr-HR"/>
              </w:rPr>
              <w:t>4.169</w:t>
            </w:r>
          </w:p>
        </w:tc>
        <w:tc>
          <w:tcPr>
            <w:tcW w:w="709" w:type="dxa"/>
            <w:shd w:val="clear" w:color="auto" w:fill="auto"/>
            <w:noWrap/>
            <w:vAlign w:val="center"/>
            <w:hideMark/>
          </w:tcPr>
          <w:p w14:paraId="3258DC79" w14:textId="69B24FD3" w:rsidR="00FC63C3" w:rsidRPr="000169EF" w:rsidRDefault="00FC63C3" w:rsidP="00E33703">
            <w:pPr>
              <w:jc w:val="center"/>
              <w:rPr>
                <w:rFonts w:eastAsia="Times New Roman"/>
                <w:sz w:val="16"/>
                <w:szCs w:val="16"/>
                <w:lang w:eastAsia="hr-HR"/>
              </w:rPr>
            </w:pPr>
            <w:r w:rsidRPr="000169EF">
              <w:rPr>
                <w:rFonts w:eastAsia="Times New Roman"/>
                <w:color w:val="000000"/>
                <w:sz w:val="16"/>
                <w:szCs w:val="16"/>
                <w:lang w:eastAsia="hr-HR"/>
              </w:rPr>
              <w:t> </w:t>
            </w:r>
          </w:p>
        </w:tc>
        <w:tc>
          <w:tcPr>
            <w:tcW w:w="709" w:type="dxa"/>
            <w:shd w:val="clear" w:color="auto" w:fill="auto"/>
            <w:noWrap/>
            <w:vAlign w:val="center"/>
            <w:hideMark/>
          </w:tcPr>
          <w:p w14:paraId="160ED691" w14:textId="30D1F5D4" w:rsidR="00FC63C3" w:rsidRPr="000169EF" w:rsidRDefault="00BA387B" w:rsidP="00E33703">
            <w:pPr>
              <w:jc w:val="center"/>
              <w:rPr>
                <w:rFonts w:eastAsia="Times New Roman"/>
                <w:sz w:val="16"/>
                <w:szCs w:val="16"/>
                <w:lang w:eastAsia="hr-HR"/>
              </w:rPr>
            </w:pPr>
            <w:r w:rsidRPr="000169EF">
              <w:rPr>
                <w:rFonts w:eastAsia="Times New Roman"/>
                <w:sz w:val="16"/>
                <w:szCs w:val="16"/>
                <w:lang w:eastAsia="hr-HR"/>
              </w:rPr>
              <w:t>2.022</w:t>
            </w:r>
          </w:p>
        </w:tc>
        <w:tc>
          <w:tcPr>
            <w:tcW w:w="709" w:type="dxa"/>
            <w:shd w:val="clear" w:color="auto" w:fill="auto"/>
            <w:noWrap/>
            <w:vAlign w:val="center"/>
            <w:hideMark/>
          </w:tcPr>
          <w:p w14:paraId="524A2C86" w14:textId="6968BD81" w:rsidR="00FC63C3" w:rsidRPr="000169EF" w:rsidRDefault="00BA387B" w:rsidP="00E33703">
            <w:pPr>
              <w:jc w:val="center"/>
              <w:rPr>
                <w:rFonts w:eastAsia="Times New Roman"/>
                <w:sz w:val="16"/>
                <w:szCs w:val="16"/>
                <w:lang w:eastAsia="hr-HR"/>
              </w:rPr>
            </w:pPr>
            <w:r w:rsidRPr="000169EF">
              <w:rPr>
                <w:rFonts w:eastAsia="Times New Roman"/>
                <w:sz w:val="16"/>
                <w:szCs w:val="16"/>
                <w:lang w:eastAsia="hr-HR"/>
              </w:rPr>
              <w:t>33.854</w:t>
            </w:r>
          </w:p>
        </w:tc>
      </w:tr>
      <w:tr w:rsidR="000169EF" w:rsidRPr="001B4CA2" w14:paraId="03D35A55" w14:textId="77777777" w:rsidTr="000169EF">
        <w:trPr>
          <w:trHeight w:val="296"/>
        </w:trPr>
        <w:tc>
          <w:tcPr>
            <w:tcW w:w="617" w:type="dxa"/>
            <w:shd w:val="clear" w:color="auto" w:fill="auto"/>
            <w:noWrap/>
            <w:vAlign w:val="center"/>
            <w:hideMark/>
          </w:tcPr>
          <w:p w14:paraId="102313F4" w14:textId="6A6C49D7" w:rsidR="00FC63C3" w:rsidRPr="000169EF" w:rsidRDefault="00FC63C3" w:rsidP="00E33703">
            <w:pPr>
              <w:jc w:val="center"/>
              <w:rPr>
                <w:rFonts w:eastAsia="Times New Roman"/>
                <w:sz w:val="16"/>
                <w:szCs w:val="16"/>
                <w:lang w:eastAsia="hr-HR"/>
              </w:rPr>
            </w:pPr>
            <w:r w:rsidRPr="000169EF">
              <w:rPr>
                <w:rFonts w:eastAsia="Times New Roman"/>
                <w:sz w:val="16"/>
                <w:szCs w:val="16"/>
                <w:lang w:eastAsia="hr-HR"/>
              </w:rPr>
              <w:t>20</w:t>
            </w:r>
            <w:r w:rsidR="00DD7F85" w:rsidRPr="000169EF">
              <w:rPr>
                <w:rFonts w:eastAsia="Times New Roman"/>
                <w:sz w:val="16"/>
                <w:szCs w:val="16"/>
                <w:lang w:eastAsia="hr-HR"/>
              </w:rPr>
              <w:t>20</w:t>
            </w:r>
            <w:r w:rsidRPr="000169EF">
              <w:rPr>
                <w:rFonts w:eastAsia="Times New Roman"/>
                <w:sz w:val="16"/>
                <w:szCs w:val="16"/>
                <w:lang w:eastAsia="hr-HR"/>
              </w:rPr>
              <w:t>.</w:t>
            </w:r>
          </w:p>
        </w:tc>
        <w:tc>
          <w:tcPr>
            <w:tcW w:w="706" w:type="dxa"/>
            <w:shd w:val="clear" w:color="auto" w:fill="auto"/>
            <w:noWrap/>
            <w:vAlign w:val="center"/>
            <w:hideMark/>
          </w:tcPr>
          <w:p w14:paraId="2CC12161" w14:textId="74DAD818"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38.087</w:t>
            </w:r>
          </w:p>
        </w:tc>
        <w:tc>
          <w:tcPr>
            <w:tcW w:w="706" w:type="dxa"/>
            <w:shd w:val="clear" w:color="auto" w:fill="auto"/>
            <w:noWrap/>
            <w:vAlign w:val="center"/>
            <w:hideMark/>
          </w:tcPr>
          <w:p w14:paraId="082A5764" w14:textId="312E0ED5"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49.804</w:t>
            </w:r>
          </w:p>
        </w:tc>
        <w:tc>
          <w:tcPr>
            <w:tcW w:w="706" w:type="dxa"/>
            <w:shd w:val="clear" w:color="auto" w:fill="auto"/>
            <w:noWrap/>
            <w:vAlign w:val="center"/>
            <w:hideMark/>
          </w:tcPr>
          <w:p w14:paraId="5B673FF0" w14:textId="0F661C64"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11.633</w:t>
            </w:r>
          </w:p>
        </w:tc>
        <w:tc>
          <w:tcPr>
            <w:tcW w:w="667" w:type="dxa"/>
            <w:shd w:val="clear" w:color="auto" w:fill="auto"/>
            <w:noWrap/>
            <w:vAlign w:val="center"/>
            <w:hideMark/>
          </w:tcPr>
          <w:p w14:paraId="230CC543" w14:textId="1B157DEE"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8.310</w:t>
            </w:r>
            <w:r w:rsidR="00FC63C3" w:rsidRPr="000169EF">
              <w:rPr>
                <w:rFonts w:eastAsia="Times New Roman"/>
                <w:color w:val="000000"/>
                <w:sz w:val="16"/>
                <w:szCs w:val="16"/>
                <w:lang w:eastAsia="hr-HR"/>
              </w:rPr>
              <w:t> </w:t>
            </w:r>
          </w:p>
        </w:tc>
        <w:tc>
          <w:tcPr>
            <w:tcW w:w="851" w:type="dxa"/>
            <w:shd w:val="clear" w:color="auto" w:fill="auto"/>
            <w:noWrap/>
            <w:vAlign w:val="center"/>
            <w:hideMark/>
          </w:tcPr>
          <w:p w14:paraId="3BF86478" w14:textId="63D89534"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12.871</w:t>
            </w:r>
          </w:p>
        </w:tc>
        <w:tc>
          <w:tcPr>
            <w:tcW w:w="850" w:type="dxa"/>
            <w:shd w:val="clear" w:color="auto" w:fill="auto"/>
            <w:noWrap/>
            <w:vAlign w:val="center"/>
            <w:hideMark/>
          </w:tcPr>
          <w:p w14:paraId="43333439" w14:textId="36C89590"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5.530</w:t>
            </w:r>
          </w:p>
        </w:tc>
        <w:tc>
          <w:tcPr>
            <w:tcW w:w="851" w:type="dxa"/>
            <w:shd w:val="clear" w:color="auto" w:fill="auto"/>
            <w:noWrap/>
            <w:vAlign w:val="center"/>
            <w:hideMark/>
          </w:tcPr>
          <w:p w14:paraId="1E674660" w14:textId="5BEF2922" w:rsidR="00FC63C3" w:rsidRPr="000169EF" w:rsidRDefault="00DD7F85" w:rsidP="00E33703">
            <w:pPr>
              <w:jc w:val="center"/>
              <w:rPr>
                <w:rFonts w:eastAsia="Times New Roman"/>
                <w:sz w:val="16"/>
                <w:szCs w:val="16"/>
                <w:lang w:eastAsia="hr-HR"/>
              </w:rPr>
            </w:pPr>
            <w:r w:rsidRPr="000169EF">
              <w:rPr>
                <w:rFonts w:eastAsia="Times New Roman"/>
                <w:sz w:val="16"/>
                <w:szCs w:val="16"/>
                <w:lang w:eastAsia="hr-HR"/>
              </w:rPr>
              <w:t>2.171</w:t>
            </w:r>
          </w:p>
        </w:tc>
        <w:tc>
          <w:tcPr>
            <w:tcW w:w="850" w:type="dxa"/>
            <w:shd w:val="clear" w:color="auto" w:fill="auto"/>
            <w:noWrap/>
            <w:vAlign w:val="center"/>
            <w:hideMark/>
          </w:tcPr>
          <w:p w14:paraId="7B039847" w14:textId="35727E31" w:rsidR="00FC63C3" w:rsidRPr="000169EF" w:rsidRDefault="00BA387B" w:rsidP="00E33703">
            <w:pPr>
              <w:jc w:val="center"/>
              <w:rPr>
                <w:rFonts w:eastAsia="Times New Roman"/>
                <w:sz w:val="16"/>
                <w:szCs w:val="16"/>
                <w:lang w:eastAsia="hr-HR"/>
              </w:rPr>
            </w:pPr>
            <w:r w:rsidRPr="000169EF">
              <w:rPr>
                <w:rFonts w:eastAsia="Times New Roman"/>
                <w:sz w:val="16"/>
                <w:szCs w:val="16"/>
                <w:lang w:eastAsia="hr-HR"/>
              </w:rPr>
              <w:t>4.189</w:t>
            </w:r>
          </w:p>
        </w:tc>
        <w:tc>
          <w:tcPr>
            <w:tcW w:w="709" w:type="dxa"/>
            <w:shd w:val="clear" w:color="auto" w:fill="auto"/>
            <w:noWrap/>
            <w:vAlign w:val="center"/>
            <w:hideMark/>
          </w:tcPr>
          <w:p w14:paraId="53F5DFF7" w14:textId="4D84B842" w:rsidR="00FC63C3" w:rsidRPr="000169EF" w:rsidRDefault="00BA387B" w:rsidP="00E33703">
            <w:pPr>
              <w:jc w:val="center"/>
              <w:rPr>
                <w:rFonts w:eastAsia="Times New Roman"/>
                <w:sz w:val="16"/>
                <w:szCs w:val="16"/>
                <w:lang w:eastAsia="hr-HR"/>
              </w:rPr>
            </w:pPr>
            <w:r w:rsidRPr="000169EF">
              <w:rPr>
                <w:rFonts w:eastAsia="Times New Roman"/>
                <w:color w:val="000000"/>
                <w:sz w:val="16"/>
                <w:szCs w:val="16"/>
                <w:lang w:eastAsia="hr-HR"/>
              </w:rPr>
              <w:t>1.907</w:t>
            </w:r>
            <w:r w:rsidR="00FC63C3" w:rsidRPr="000169EF">
              <w:rPr>
                <w:rFonts w:eastAsia="Times New Roman"/>
                <w:color w:val="000000"/>
                <w:sz w:val="16"/>
                <w:szCs w:val="16"/>
                <w:lang w:eastAsia="hr-HR"/>
              </w:rPr>
              <w:t> </w:t>
            </w:r>
          </w:p>
        </w:tc>
        <w:tc>
          <w:tcPr>
            <w:tcW w:w="709" w:type="dxa"/>
            <w:shd w:val="clear" w:color="auto" w:fill="auto"/>
            <w:noWrap/>
            <w:vAlign w:val="center"/>
            <w:hideMark/>
          </w:tcPr>
          <w:p w14:paraId="1A9DF075" w14:textId="213CD96D" w:rsidR="00FC63C3" w:rsidRPr="000169EF" w:rsidRDefault="00BA387B" w:rsidP="00E33703">
            <w:pPr>
              <w:jc w:val="center"/>
              <w:rPr>
                <w:rFonts w:eastAsia="Times New Roman"/>
                <w:sz w:val="16"/>
                <w:szCs w:val="16"/>
                <w:lang w:eastAsia="hr-HR"/>
              </w:rPr>
            </w:pPr>
            <w:r w:rsidRPr="000169EF">
              <w:rPr>
                <w:rFonts w:eastAsia="Times New Roman"/>
                <w:sz w:val="16"/>
                <w:szCs w:val="16"/>
                <w:lang w:eastAsia="hr-HR"/>
              </w:rPr>
              <w:t>3.193</w:t>
            </w:r>
          </w:p>
        </w:tc>
        <w:tc>
          <w:tcPr>
            <w:tcW w:w="709" w:type="dxa"/>
            <w:shd w:val="clear" w:color="auto" w:fill="auto"/>
            <w:noWrap/>
            <w:vAlign w:val="center"/>
            <w:hideMark/>
          </w:tcPr>
          <w:p w14:paraId="381E774B" w14:textId="2CBC4DC9" w:rsidR="00FC63C3" w:rsidRPr="000169EF" w:rsidRDefault="00BA387B" w:rsidP="00E33703">
            <w:pPr>
              <w:jc w:val="center"/>
              <w:rPr>
                <w:rFonts w:eastAsia="Times New Roman"/>
                <w:sz w:val="16"/>
                <w:szCs w:val="16"/>
                <w:lang w:eastAsia="hr-HR"/>
              </w:rPr>
            </w:pPr>
            <w:r w:rsidRPr="000169EF">
              <w:rPr>
                <w:rFonts w:eastAsia="Times New Roman"/>
                <w:sz w:val="16"/>
                <w:szCs w:val="16"/>
                <w:lang w:eastAsia="hr-HR"/>
              </w:rPr>
              <w:t>38.171</w:t>
            </w:r>
          </w:p>
        </w:tc>
      </w:tr>
      <w:tr w:rsidR="000169EF" w:rsidRPr="001B4CA2" w14:paraId="7EC34CAB" w14:textId="77777777" w:rsidTr="000169EF">
        <w:trPr>
          <w:trHeight w:val="296"/>
        </w:trPr>
        <w:tc>
          <w:tcPr>
            <w:tcW w:w="617" w:type="dxa"/>
            <w:shd w:val="clear" w:color="auto" w:fill="auto"/>
            <w:noWrap/>
            <w:vAlign w:val="center"/>
            <w:hideMark/>
          </w:tcPr>
          <w:p w14:paraId="5E3D1970" w14:textId="275EC148" w:rsidR="00FC63C3" w:rsidRPr="000169EF" w:rsidRDefault="00FC63C3" w:rsidP="00E33703">
            <w:pPr>
              <w:jc w:val="center"/>
              <w:rPr>
                <w:rFonts w:eastAsia="Times New Roman"/>
                <w:sz w:val="16"/>
                <w:szCs w:val="16"/>
                <w:lang w:eastAsia="hr-HR"/>
              </w:rPr>
            </w:pPr>
            <w:r w:rsidRPr="000169EF">
              <w:rPr>
                <w:rFonts w:eastAsia="Times New Roman"/>
                <w:sz w:val="16"/>
                <w:szCs w:val="16"/>
                <w:lang w:eastAsia="hr-HR"/>
              </w:rPr>
              <w:t>202</w:t>
            </w:r>
            <w:r w:rsidR="00DD7F85" w:rsidRPr="000169EF">
              <w:rPr>
                <w:rFonts w:eastAsia="Times New Roman"/>
                <w:sz w:val="16"/>
                <w:szCs w:val="16"/>
                <w:lang w:eastAsia="hr-HR"/>
              </w:rPr>
              <w:t>1</w:t>
            </w:r>
            <w:r w:rsidRPr="000169EF">
              <w:rPr>
                <w:rFonts w:eastAsia="Times New Roman"/>
                <w:sz w:val="16"/>
                <w:szCs w:val="16"/>
                <w:lang w:eastAsia="hr-HR"/>
              </w:rPr>
              <w:t>.</w:t>
            </w:r>
          </w:p>
        </w:tc>
        <w:tc>
          <w:tcPr>
            <w:tcW w:w="706" w:type="dxa"/>
            <w:shd w:val="clear" w:color="auto" w:fill="auto"/>
            <w:noWrap/>
            <w:vAlign w:val="center"/>
            <w:hideMark/>
          </w:tcPr>
          <w:p w14:paraId="6905BE1E" w14:textId="215882A1"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39.243</w:t>
            </w:r>
          </w:p>
        </w:tc>
        <w:tc>
          <w:tcPr>
            <w:tcW w:w="706" w:type="dxa"/>
            <w:shd w:val="clear" w:color="auto" w:fill="auto"/>
            <w:noWrap/>
            <w:vAlign w:val="center"/>
            <w:hideMark/>
          </w:tcPr>
          <w:p w14:paraId="1C5B7C56" w14:textId="5BD21E06"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50.775</w:t>
            </w:r>
          </w:p>
        </w:tc>
        <w:tc>
          <w:tcPr>
            <w:tcW w:w="706" w:type="dxa"/>
            <w:shd w:val="clear" w:color="auto" w:fill="auto"/>
            <w:noWrap/>
            <w:vAlign w:val="center"/>
            <w:hideMark/>
          </w:tcPr>
          <w:p w14:paraId="7CBDB73F" w14:textId="22154357"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12.803</w:t>
            </w:r>
          </w:p>
        </w:tc>
        <w:tc>
          <w:tcPr>
            <w:tcW w:w="667" w:type="dxa"/>
            <w:shd w:val="clear" w:color="auto" w:fill="auto"/>
            <w:noWrap/>
            <w:vAlign w:val="center"/>
            <w:hideMark/>
          </w:tcPr>
          <w:p w14:paraId="152BDB15" w14:textId="26200C85" w:rsidR="00FC63C3" w:rsidRPr="000169EF" w:rsidRDefault="00FC63C3" w:rsidP="00E33703">
            <w:pPr>
              <w:jc w:val="center"/>
              <w:rPr>
                <w:rFonts w:eastAsia="Times New Roman"/>
                <w:sz w:val="16"/>
                <w:szCs w:val="16"/>
                <w:lang w:eastAsia="hr-HR"/>
              </w:rPr>
            </w:pPr>
            <w:r w:rsidRPr="000169EF">
              <w:rPr>
                <w:rFonts w:eastAsia="Times New Roman"/>
                <w:color w:val="000000"/>
                <w:sz w:val="16"/>
                <w:szCs w:val="16"/>
                <w:lang w:eastAsia="hr-HR"/>
              </w:rPr>
              <w:t>8.</w:t>
            </w:r>
            <w:r w:rsidR="00DD7F85" w:rsidRPr="000169EF">
              <w:rPr>
                <w:rFonts w:eastAsia="Times New Roman"/>
                <w:color w:val="000000"/>
                <w:sz w:val="16"/>
                <w:szCs w:val="16"/>
                <w:lang w:eastAsia="hr-HR"/>
              </w:rPr>
              <w:t>768</w:t>
            </w:r>
          </w:p>
        </w:tc>
        <w:tc>
          <w:tcPr>
            <w:tcW w:w="851" w:type="dxa"/>
            <w:shd w:val="clear" w:color="auto" w:fill="auto"/>
            <w:noWrap/>
            <w:vAlign w:val="center"/>
            <w:hideMark/>
          </w:tcPr>
          <w:p w14:paraId="4E807D62" w14:textId="698EAA89"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13.391</w:t>
            </w:r>
          </w:p>
        </w:tc>
        <w:tc>
          <w:tcPr>
            <w:tcW w:w="850" w:type="dxa"/>
            <w:shd w:val="clear" w:color="auto" w:fill="auto"/>
            <w:noWrap/>
            <w:vAlign w:val="center"/>
            <w:hideMark/>
          </w:tcPr>
          <w:p w14:paraId="325700C1" w14:textId="45191D43"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4.773</w:t>
            </w:r>
          </w:p>
        </w:tc>
        <w:tc>
          <w:tcPr>
            <w:tcW w:w="851" w:type="dxa"/>
            <w:shd w:val="clear" w:color="auto" w:fill="auto"/>
            <w:noWrap/>
            <w:vAlign w:val="center"/>
            <w:hideMark/>
          </w:tcPr>
          <w:p w14:paraId="4EC4B205" w14:textId="62C26043" w:rsidR="00FC63C3" w:rsidRPr="000169EF" w:rsidRDefault="00DD7F85" w:rsidP="00E33703">
            <w:pPr>
              <w:jc w:val="center"/>
              <w:rPr>
                <w:rFonts w:eastAsia="Times New Roman"/>
                <w:sz w:val="16"/>
                <w:szCs w:val="16"/>
                <w:lang w:eastAsia="hr-HR"/>
              </w:rPr>
            </w:pPr>
            <w:r w:rsidRPr="000169EF">
              <w:rPr>
                <w:rFonts w:eastAsia="Times New Roman"/>
                <w:sz w:val="16"/>
                <w:szCs w:val="16"/>
                <w:lang w:eastAsia="hr-HR"/>
              </w:rPr>
              <w:t>3.789</w:t>
            </w:r>
          </w:p>
        </w:tc>
        <w:tc>
          <w:tcPr>
            <w:tcW w:w="850" w:type="dxa"/>
            <w:shd w:val="clear" w:color="auto" w:fill="auto"/>
            <w:noWrap/>
            <w:vAlign w:val="center"/>
            <w:hideMark/>
          </w:tcPr>
          <w:p w14:paraId="6AEE55B6" w14:textId="015F26FD" w:rsidR="00FC63C3" w:rsidRPr="000169EF" w:rsidRDefault="00BA387B" w:rsidP="00E33703">
            <w:pPr>
              <w:jc w:val="center"/>
              <w:rPr>
                <w:rFonts w:eastAsia="Times New Roman"/>
                <w:sz w:val="16"/>
                <w:szCs w:val="16"/>
                <w:lang w:eastAsia="hr-HR"/>
              </w:rPr>
            </w:pPr>
            <w:r w:rsidRPr="000169EF">
              <w:rPr>
                <w:rFonts w:eastAsia="Times New Roman"/>
                <w:sz w:val="16"/>
                <w:szCs w:val="16"/>
                <w:lang w:eastAsia="hr-HR"/>
              </w:rPr>
              <w:t>4.101</w:t>
            </w:r>
          </w:p>
        </w:tc>
        <w:tc>
          <w:tcPr>
            <w:tcW w:w="709" w:type="dxa"/>
            <w:shd w:val="clear" w:color="auto" w:fill="auto"/>
            <w:noWrap/>
            <w:vAlign w:val="center"/>
            <w:hideMark/>
          </w:tcPr>
          <w:p w14:paraId="545B1689" w14:textId="309063E7" w:rsidR="00FC63C3" w:rsidRPr="000169EF" w:rsidRDefault="00BA387B" w:rsidP="00E33703">
            <w:pPr>
              <w:jc w:val="center"/>
              <w:rPr>
                <w:rFonts w:eastAsia="Times New Roman"/>
                <w:sz w:val="16"/>
                <w:szCs w:val="16"/>
                <w:lang w:eastAsia="hr-HR"/>
              </w:rPr>
            </w:pPr>
            <w:r w:rsidRPr="000169EF">
              <w:rPr>
                <w:rFonts w:eastAsia="Times New Roman"/>
                <w:color w:val="000000"/>
                <w:sz w:val="16"/>
                <w:szCs w:val="16"/>
                <w:lang w:eastAsia="hr-HR"/>
              </w:rPr>
              <w:t>1.725</w:t>
            </w:r>
          </w:p>
        </w:tc>
        <w:tc>
          <w:tcPr>
            <w:tcW w:w="709" w:type="dxa"/>
            <w:shd w:val="clear" w:color="auto" w:fill="auto"/>
            <w:noWrap/>
            <w:vAlign w:val="center"/>
            <w:hideMark/>
          </w:tcPr>
          <w:p w14:paraId="457C6381" w14:textId="2E16970D" w:rsidR="00FC63C3" w:rsidRPr="000169EF" w:rsidRDefault="00BA387B" w:rsidP="00E33703">
            <w:pPr>
              <w:jc w:val="center"/>
              <w:rPr>
                <w:rFonts w:eastAsia="Times New Roman"/>
                <w:sz w:val="16"/>
                <w:szCs w:val="16"/>
                <w:lang w:eastAsia="hr-HR"/>
              </w:rPr>
            </w:pPr>
            <w:r w:rsidRPr="000169EF">
              <w:rPr>
                <w:rFonts w:eastAsia="Times New Roman"/>
                <w:sz w:val="16"/>
                <w:szCs w:val="16"/>
                <w:lang w:eastAsia="hr-HR"/>
              </w:rPr>
              <w:t>1.425</w:t>
            </w:r>
          </w:p>
        </w:tc>
        <w:tc>
          <w:tcPr>
            <w:tcW w:w="709" w:type="dxa"/>
            <w:shd w:val="clear" w:color="auto" w:fill="auto"/>
            <w:noWrap/>
            <w:vAlign w:val="center"/>
            <w:hideMark/>
          </w:tcPr>
          <w:p w14:paraId="50022E9E" w14:textId="4E4D6F2F" w:rsidR="00FC63C3" w:rsidRPr="000169EF" w:rsidRDefault="00BA387B" w:rsidP="00E33703">
            <w:pPr>
              <w:jc w:val="center"/>
              <w:rPr>
                <w:rFonts w:eastAsia="Times New Roman"/>
                <w:sz w:val="16"/>
                <w:szCs w:val="16"/>
                <w:lang w:eastAsia="hr-HR"/>
              </w:rPr>
            </w:pPr>
            <w:r w:rsidRPr="000169EF">
              <w:rPr>
                <w:rFonts w:eastAsia="Times New Roman"/>
                <w:sz w:val="16"/>
                <w:szCs w:val="16"/>
                <w:lang w:eastAsia="hr-HR"/>
              </w:rPr>
              <w:t>37.972</w:t>
            </w:r>
          </w:p>
        </w:tc>
      </w:tr>
      <w:tr w:rsidR="000169EF" w:rsidRPr="001B4CA2" w14:paraId="73BDD15D" w14:textId="77777777" w:rsidTr="000169EF">
        <w:trPr>
          <w:trHeight w:val="311"/>
        </w:trPr>
        <w:tc>
          <w:tcPr>
            <w:tcW w:w="617" w:type="dxa"/>
            <w:shd w:val="clear" w:color="auto" w:fill="auto"/>
            <w:noWrap/>
            <w:vAlign w:val="center"/>
          </w:tcPr>
          <w:p w14:paraId="25614431" w14:textId="4D461D34" w:rsidR="00FC63C3" w:rsidRPr="000169EF" w:rsidRDefault="00FC63C3" w:rsidP="00E33703">
            <w:pPr>
              <w:jc w:val="center"/>
              <w:rPr>
                <w:rFonts w:eastAsia="Times New Roman"/>
                <w:sz w:val="16"/>
                <w:szCs w:val="16"/>
                <w:lang w:eastAsia="hr-HR"/>
              </w:rPr>
            </w:pPr>
            <w:r w:rsidRPr="000169EF">
              <w:rPr>
                <w:rFonts w:eastAsia="Times New Roman"/>
                <w:sz w:val="16"/>
                <w:szCs w:val="16"/>
                <w:lang w:eastAsia="hr-HR"/>
              </w:rPr>
              <w:t>202</w:t>
            </w:r>
            <w:r w:rsidR="00DD7F85" w:rsidRPr="000169EF">
              <w:rPr>
                <w:rFonts w:eastAsia="Times New Roman"/>
                <w:sz w:val="16"/>
                <w:szCs w:val="16"/>
                <w:lang w:eastAsia="hr-HR"/>
              </w:rPr>
              <w:t>2</w:t>
            </w:r>
            <w:r w:rsidRPr="000169EF">
              <w:rPr>
                <w:rFonts w:eastAsia="Times New Roman"/>
                <w:sz w:val="16"/>
                <w:szCs w:val="16"/>
                <w:lang w:eastAsia="hr-HR"/>
              </w:rPr>
              <w:t>.</w:t>
            </w:r>
          </w:p>
        </w:tc>
        <w:tc>
          <w:tcPr>
            <w:tcW w:w="706" w:type="dxa"/>
            <w:shd w:val="clear" w:color="auto" w:fill="auto"/>
            <w:noWrap/>
            <w:vAlign w:val="center"/>
          </w:tcPr>
          <w:p w14:paraId="1F81E03F" w14:textId="756D6564"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39.648</w:t>
            </w:r>
          </w:p>
        </w:tc>
        <w:tc>
          <w:tcPr>
            <w:tcW w:w="706" w:type="dxa"/>
            <w:shd w:val="clear" w:color="auto" w:fill="auto"/>
            <w:noWrap/>
            <w:vAlign w:val="center"/>
          </w:tcPr>
          <w:p w14:paraId="54849F8F" w14:textId="2ED24E1D"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52.448</w:t>
            </w:r>
          </w:p>
        </w:tc>
        <w:tc>
          <w:tcPr>
            <w:tcW w:w="706" w:type="dxa"/>
            <w:shd w:val="clear" w:color="auto" w:fill="auto"/>
            <w:noWrap/>
            <w:vAlign w:val="center"/>
          </w:tcPr>
          <w:p w14:paraId="7EEA2682" w14:textId="5D1B8FD7"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14.954</w:t>
            </w:r>
          </w:p>
        </w:tc>
        <w:tc>
          <w:tcPr>
            <w:tcW w:w="667" w:type="dxa"/>
            <w:shd w:val="clear" w:color="auto" w:fill="auto"/>
            <w:noWrap/>
            <w:vAlign w:val="center"/>
          </w:tcPr>
          <w:p w14:paraId="77D44933" w14:textId="67B753F1" w:rsidR="00FC63C3" w:rsidRPr="000169EF" w:rsidRDefault="00DD7F85" w:rsidP="00E33703">
            <w:pPr>
              <w:jc w:val="center"/>
              <w:rPr>
                <w:rFonts w:eastAsia="Times New Roman"/>
                <w:sz w:val="16"/>
                <w:szCs w:val="16"/>
                <w:lang w:eastAsia="hr-HR"/>
              </w:rPr>
            </w:pPr>
            <w:r w:rsidRPr="000169EF">
              <w:rPr>
                <w:rFonts w:eastAsia="Times New Roman"/>
                <w:sz w:val="16"/>
                <w:szCs w:val="16"/>
                <w:lang w:eastAsia="hr-HR"/>
              </w:rPr>
              <w:t>9.549</w:t>
            </w:r>
          </w:p>
        </w:tc>
        <w:tc>
          <w:tcPr>
            <w:tcW w:w="851" w:type="dxa"/>
            <w:shd w:val="clear" w:color="auto" w:fill="auto"/>
            <w:noWrap/>
            <w:vAlign w:val="center"/>
          </w:tcPr>
          <w:p w14:paraId="26093306" w14:textId="0E36D7F5"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11.818</w:t>
            </w:r>
          </w:p>
        </w:tc>
        <w:tc>
          <w:tcPr>
            <w:tcW w:w="850" w:type="dxa"/>
            <w:shd w:val="clear" w:color="auto" w:fill="auto"/>
            <w:noWrap/>
            <w:vAlign w:val="center"/>
          </w:tcPr>
          <w:p w14:paraId="49F72CA5" w14:textId="06153AE6" w:rsidR="00FC63C3" w:rsidRPr="000169EF" w:rsidRDefault="00DD7F85" w:rsidP="00E33703">
            <w:pPr>
              <w:jc w:val="center"/>
              <w:rPr>
                <w:rFonts w:eastAsia="Times New Roman"/>
                <w:sz w:val="16"/>
                <w:szCs w:val="16"/>
                <w:lang w:eastAsia="hr-HR"/>
              </w:rPr>
            </w:pPr>
            <w:r w:rsidRPr="000169EF">
              <w:rPr>
                <w:rFonts w:eastAsia="Times New Roman"/>
                <w:color w:val="000000"/>
                <w:sz w:val="16"/>
                <w:szCs w:val="16"/>
                <w:lang w:eastAsia="hr-HR"/>
              </w:rPr>
              <w:t>3.816</w:t>
            </w:r>
          </w:p>
        </w:tc>
        <w:tc>
          <w:tcPr>
            <w:tcW w:w="851" w:type="dxa"/>
            <w:shd w:val="clear" w:color="auto" w:fill="auto"/>
            <w:noWrap/>
            <w:vAlign w:val="center"/>
          </w:tcPr>
          <w:p w14:paraId="2A788A03" w14:textId="277C4DBF" w:rsidR="00FC63C3" w:rsidRPr="000169EF" w:rsidRDefault="00DD7F85" w:rsidP="00E33703">
            <w:pPr>
              <w:jc w:val="center"/>
              <w:rPr>
                <w:rFonts w:eastAsia="Times New Roman"/>
                <w:sz w:val="16"/>
                <w:szCs w:val="16"/>
                <w:lang w:eastAsia="hr-HR"/>
              </w:rPr>
            </w:pPr>
            <w:r w:rsidRPr="000169EF">
              <w:rPr>
                <w:rFonts w:eastAsia="Times New Roman"/>
                <w:sz w:val="16"/>
                <w:szCs w:val="16"/>
                <w:lang w:eastAsia="hr-HR"/>
              </w:rPr>
              <w:t>3.597</w:t>
            </w:r>
          </w:p>
        </w:tc>
        <w:tc>
          <w:tcPr>
            <w:tcW w:w="850" w:type="dxa"/>
            <w:shd w:val="clear" w:color="auto" w:fill="auto"/>
            <w:noWrap/>
            <w:vAlign w:val="center"/>
          </w:tcPr>
          <w:p w14:paraId="6D536749" w14:textId="17FDC53D" w:rsidR="00FC63C3" w:rsidRPr="000169EF" w:rsidRDefault="00FC63C3" w:rsidP="00E33703">
            <w:pPr>
              <w:jc w:val="center"/>
              <w:rPr>
                <w:rFonts w:eastAsia="Times New Roman"/>
                <w:sz w:val="16"/>
                <w:szCs w:val="16"/>
                <w:lang w:eastAsia="hr-HR"/>
              </w:rPr>
            </w:pPr>
            <w:r w:rsidRPr="000169EF">
              <w:rPr>
                <w:rFonts w:eastAsia="Times New Roman"/>
                <w:color w:val="000000"/>
                <w:sz w:val="16"/>
                <w:szCs w:val="16"/>
                <w:lang w:eastAsia="hr-HR"/>
              </w:rPr>
              <w:t>4.1</w:t>
            </w:r>
            <w:r w:rsidR="00BA387B" w:rsidRPr="000169EF">
              <w:rPr>
                <w:rFonts w:eastAsia="Times New Roman"/>
                <w:color w:val="000000"/>
                <w:sz w:val="16"/>
                <w:szCs w:val="16"/>
                <w:lang w:eastAsia="hr-HR"/>
              </w:rPr>
              <w:t>39</w:t>
            </w:r>
          </w:p>
        </w:tc>
        <w:tc>
          <w:tcPr>
            <w:tcW w:w="709" w:type="dxa"/>
            <w:shd w:val="clear" w:color="auto" w:fill="auto"/>
            <w:noWrap/>
            <w:vAlign w:val="center"/>
          </w:tcPr>
          <w:p w14:paraId="33AE3F53" w14:textId="28E186DC" w:rsidR="00FC63C3" w:rsidRPr="000169EF" w:rsidRDefault="00BA387B" w:rsidP="00E33703">
            <w:pPr>
              <w:jc w:val="center"/>
              <w:rPr>
                <w:rFonts w:eastAsia="Times New Roman"/>
                <w:sz w:val="16"/>
                <w:szCs w:val="16"/>
                <w:lang w:eastAsia="hr-HR"/>
              </w:rPr>
            </w:pPr>
            <w:r w:rsidRPr="000169EF">
              <w:rPr>
                <w:rFonts w:eastAsia="Times New Roman"/>
                <w:sz w:val="16"/>
                <w:szCs w:val="16"/>
                <w:lang w:eastAsia="hr-HR"/>
              </w:rPr>
              <w:t>3.410</w:t>
            </w:r>
          </w:p>
        </w:tc>
        <w:tc>
          <w:tcPr>
            <w:tcW w:w="709" w:type="dxa"/>
            <w:shd w:val="clear" w:color="auto" w:fill="auto"/>
            <w:noWrap/>
            <w:vAlign w:val="center"/>
          </w:tcPr>
          <w:p w14:paraId="3EC02AE5" w14:textId="122C9731" w:rsidR="00FC63C3" w:rsidRPr="000169EF" w:rsidRDefault="00BA387B" w:rsidP="00E33703">
            <w:pPr>
              <w:jc w:val="center"/>
              <w:rPr>
                <w:rFonts w:eastAsia="Times New Roman"/>
                <w:sz w:val="16"/>
                <w:szCs w:val="16"/>
                <w:lang w:eastAsia="hr-HR"/>
              </w:rPr>
            </w:pPr>
            <w:r w:rsidRPr="000169EF">
              <w:rPr>
                <w:rFonts w:eastAsia="Times New Roman"/>
                <w:sz w:val="16"/>
                <w:szCs w:val="16"/>
                <w:lang w:eastAsia="hr-HR"/>
              </w:rPr>
              <w:t>1.166</w:t>
            </w:r>
          </w:p>
        </w:tc>
        <w:tc>
          <w:tcPr>
            <w:tcW w:w="709" w:type="dxa"/>
            <w:shd w:val="clear" w:color="auto" w:fill="auto"/>
            <w:noWrap/>
            <w:vAlign w:val="center"/>
          </w:tcPr>
          <w:p w14:paraId="6D3A6190" w14:textId="1378EF44" w:rsidR="00FC63C3" w:rsidRPr="000169EF" w:rsidRDefault="00BA387B" w:rsidP="00E33703">
            <w:pPr>
              <w:jc w:val="center"/>
              <w:rPr>
                <w:rFonts w:eastAsia="Times New Roman"/>
                <w:sz w:val="16"/>
                <w:szCs w:val="16"/>
                <w:lang w:eastAsia="hr-HR"/>
              </w:rPr>
            </w:pPr>
            <w:r w:rsidRPr="000169EF">
              <w:rPr>
                <w:rFonts w:eastAsia="Times New Roman"/>
                <w:sz w:val="16"/>
                <w:szCs w:val="16"/>
                <w:lang w:eastAsia="hr-HR"/>
              </w:rPr>
              <w:t>37.494</w:t>
            </w:r>
          </w:p>
        </w:tc>
      </w:tr>
    </w:tbl>
    <w:p w14:paraId="23520DAF" w14:textId="77777777" w:rsidR="004F191C" w:rsidRPr="001B4CA2" w:rsidRDefault="004F191C" w:rsidP="00FC63F7"/>
    <w:p w14:paraId="4D1560C9" w14:textId="331137B1" w:rsidR="00DD7F85" w:rsidRPr="001B4CA2" w:rsidRDefault="00031FDC" w:rsidP="00DD7F85">
      <w:pPr>
        <w:rPr>
          <w:rFonts w:eastAsia="Arial"/>
        </w:rPr>
      </w:pPr>
      <w:r w:rsidRPr="001B4CA2">
        <w:tab/>
      </w:r>
      <w:r w:rsidR="00DD7F85" w:rsidRPr="001B4CA2">
        <w:t>U 2022. godini općinska državna odvjetništva, županijska državna odvjetništva i Ured za suzbijanje korupcije i organiziranog kriminaliteta (bez kaznenih prijava protiv maloljetnih osoba) zaprimili su ukupno 39.648 kaznenih prijava. Kada se broju zaprimljenih prijava dodaju neriješene prijave iz 2021. godine, u radu su imala ukupno 52.448 prijava. Od ukupnog broja kaznenih prijava u radu riješene su 37.494 prijave (71,5</w:t>
      </w:r>
      <w:r w:rsidR="00313B5F">
        <w:t> </w:t>
      </w:r>
      <w:r w:rsidR="00DD7F85" w:rsidRPr="001B4CA2">
        <w:t>%), iz čega proizlazi da je i tijekom ovog izvještajnog razdoblja zadržana visoka razina ažurnosti u radu državnih odvjetništava, iako je došlo do blagog pada broja riješenih prijava u odnosu na prethodnu godinu</w:t>
      </w:r>
      <w:r w:rsidR="00313B5F">
        <w:t>,</w:t>
      </w:r>
      <w:r w:rsidR="00DD7F85" w:rsidRPr="001B4CA2">
        <w:t xml:space="preserve"> kada je riješeno 74,8</w:t>
      </w:r>
      <w:r w:rsidR="00313B5F">
        <w:t> </w:t>
      </w:r>
      <w:r w:rsidR="00DD7F85" w:rsidRPr="001B4CA2">
        <w:t>% ukupnog broja prijava u radu.</w:t>
      </w:r>
    </w:p>
    <w:p w14:paraId="482ED603" w14:textId="77777777" w:rsidR="00DD7F85" w:rsidRPr="001B4CA2" w:rsidRDefault="00DD7F85" w:rsidP="00DD7F85">
      <w:pPr>
        <w:rPr>
          <w:rFonts w:eastAsia="Arial"/>
        </w:rPr>
      </w:pPr>
    </w:p>
    <w:p w14:paraId="47D50682" w14:textId="3F204779" w:rsidR="00DD7F85" w:rsidRPr="001B4CA2" w:rsidRDefault="001B4CA2" w:rsidP="00DD7F85">
      <w:r>
        <w:tab/>
      </w:r>
      <w:r w:rsidR="00DD7F85" w:rsidRPr="001B4CA2">
        <w:t>Na kraju izvještajnog razdoblja ostale su neriješene 14.954 prijave (28,5</w:t>
      </w:r>
      <w:r w:rsidR="00313B5F">
        <w:t> </w:t>
      </w:r>
      <w:r w:rsidR="00DD7F85" w:rsidRPr="001B4CA2">
        <w:t>%), što predstavlja porast broja neriješenih prijava u odnosu na 2021. godinu</w:t>
      </w:r>
      <w:r w:rsidR="00313B5F">
        <w:t>,</w:t>
      </w:r>
      <w:r w:rsidR="00DD7F85" w:rsidRPr="001B4CA2">
        <w:t xml:space="preserve"> kada su ostale neriješene 12.803 prijave.</w:t>
      </w:r>
      <w:r w:rsidR="00DD7F85" w:rsidRPr="001B4CA2">
        <w:rPr>
          <w:color w:val="FF0000"/>
        </w:rPr>
        <w:t xml:space="preserve"> </w:t>
      </w:r>
      <w:r w:rsidR="00DD7F85" w:rsidRPr="001B4CA2">
        <w:t>Razlog porasta broja neriješenih prijava jest odljev kadrova</w:t>
      </w:r>
      <w:r w:rsidR="00313B5F">
        <w:t>,</w:t>
      </w:r>
      <w:r w:rsidR="00DD7F85" w:rsidRPr="001B4CA2">
        <w:t xml:space="preserve"> tj. smanjenje broja zamjenika državnih odvjetnika i </w:t>
      </w:r>
      <w:proofErr w:type="spellStart"/>
      <w:r w:rsidR="00DD7F85" w:rsidRPr="001B4CA2">
        <w:t>državnoodvjetničkih</w:t>
      </w:r>
      <w:proofErr w:type="spellEnd"/>
      <w:r w:rsidR="00DD7F85" w:rsidRPr="001B4CA2">
        <w:t xml:space="preserve"> savjetnika, povećan broj rasprava pred sudovima u odnosu na 2021. godinu te veći broj zaprimljenih kaznenih prijava.</w:t>
      </w:r>
    </w:p>
    <w:p w14:paraId="44AAFC26" w14:textId="77777777" w:rsidR="00031FDC" w:rsidRPr="001B4CA2" w:rsidRDefault="00031FDC" w:rsidP="00DD7F85"/>
    <w:p w14:paraId="526785C3" w14:textId="32BFA051" w:rsidR="00DD7F85" w:rsidRPr="001B4CA2" w:rsidRDefault="001B4CA2" w:rsidP="00DD7F85">
      <w:r>
        <w:tab/>
      </w:r>
      <w:r w:rsidR="00DD7F85" w:rsidRPr="001B4CA2">
        <w:t>Kada se ukupan broj riješenih kaznenih prijava – 37.494 (bez kaznenih prijava protiv maloljetnih osoba) analizira prema načinu rješavanja, proizlazi da je 62,3</w:t>
      </w:r>
      <w:r w:rsidR="00313B5F">
        <w:t> </w:t>
      </w:r>
      <w:r w:rsidR="00DD7F85" w:rsidRPr="001B4CA2">
        <w:t xml:space="preserve">% prijava (23.370) riješeno donošenjem meritorne </w:t>
      </w:r>
      <w:proofErr w:type="spellStart"/>
      <w:r w:rsidR="00DD7F85" w:rsidRPr="001B4CA2">
        <w:t>državnoodvjetničke</w:t>
      </w:r>
      <w:proofErr w:type="spellEnd"/>
      <w:r w:rsidR="00DD7F85" w:rsidRPr="001B4CA2">
        <w:t xml:space="preserve"> odluke (rješenje o odbačaju, optužnica te rješenje o provođenju istrage), </w:t>
      </w:r>
      <w:r w:rsidR="00DD7F85" w:rsidRPr="001B4CA2">
        <w:rPr>
          <w:rFonts w:eastAsia="Arial"/>
        </w:rPr>
        <w:t>broj otvorenih istraživanja (9</w:t>
      </w:r>
      <w:r w:rsidR="00313B5F">
        <w:rPr>
          <w:rFonts w:eastAsia="Arial"/>
        </w:rPr>
        <w:t>.</w:t>
      </w:r>
      <w:r w:rsidR="00DD7F85" w:rsidRPr="001B4CA2">
        <w:rPr>
          <w:rFonts w:eastAsia="Arial"/>
        </w:rPr>
        <w:t xml:space="preserve">549) na razini </w:t>
      </w:r>
      <w:r w:rsidR="00313B5F" w:rsidRPr="001B4CA2">
        <w:rPr>
          <w:rFonts w:eastAsia="Arial"/>
        </w:rPr>
        <w:t xml:space="preserve">je </w:t>
      </w:r>
      <w:r w:rsidR="00DD7F85" w:rsidRPr="001B4CA2">
        <w:rPr>
          <w:rFonts w:eastAsia="Arial"/>
        </w:rPr>
        <w:t>od 25,5</w:t>
      </w:r>
      <w:r w:rsidR="00313B5F">
        <w:t> </w:t>
      </w:r>
      <w:r w:rsidR="00DD7F85" w:rsidRPr="001B4CA2">
        <w:rPr>
          <w:rFonts w:eastAsia="Arial"/>
        </w:rPr>
        <w:t>%, dok je</w:t>
      </w:r>
      <w:r w:rsidR="00DD7F85" w:rsidRPr="001B4CA2">
        <w:t xml:space="preserve"> 9,1</w:t>
      </w:r>
      <w:r w:rsidR="00313B5F">
        <w:t> </w:t>
      </w:r>
      <w:r w:rsidR="00DD7F85" w:rsidRPr="001B4CA2">
        <w:t>% prijava (3</w:t>
      </w:r>
      <w:r w:rsidR="00313B5F">
        <w:t>.</w:t>
      </w:r>
      <w:r w:rsidR="00DD7F85" w:rsidRPr="001B4CA2">
        <w:t>410) riješeno ustupom predmeta drugom državnom odvjetništvu, a 3,1</w:t>
      </w:r>
      <w:r w:rsidR="00313B5F">
        <w:t> </w:t>
      </w:r>
      <w:r w:rsidR="00DD7F85" w:rsidRPr="001B4CA2">
        <w:t>% prijava (1</w:t>
      </w:r>
      <w:r w:rsidR="00313B5F">
        <w:t>.</w:t>
      </w:r>
      <w:r w:rsidR="00DD7F85" w:rsidRPr="001B4CA2">
        <w:t xml:space="preserve">166) riješeno je na drugi način (spajanjem predmeta i sl.). </w:t>
      </w:r>
    </w:p>
    <w:p w14:paraId="68837031" w14:textId="77777777" w:rsidR="00DD7F85" w:rsidRPr="001B4CA2" w:rsidRDefault="00DD7F85" w:rsidP="00DD7F85"/>
    <w:p w14:paraId="1573E64A" w14:textId="7C761219" w:rsidR="00DD7F85" w:rsidRPr="001B4CA2" w:rsidRDefault="00313B5F" w:rsidP="00313B5F">
      <w:pPr>
        <w:rPr>
          <w:rFonts w:eastAsia="Times New Roman"/>
          <w:color w:val="000000"/>
          <w:lang w:eastAsia="hr-HR"/>
        </w:rPr>
      </w:pPr>
      <w:r>
        <w:tab/>
      </w:r>
      <w:r w:rsidR="00DD7F85" w:rsidRPr="001B4CA2">
        <w:t xml:space="preserve">Glavni razlog prividnog porasta broja ustupa u 2022. godini je </w:t>
      </w:r>
      <w:r w:rsidR="00DD7F85" w:rsidRPr="001B4CA2">
        <w:rPr>
          <w:rFonts w:eastAsia="Times New Roman"/>
          <w:lang w:eastAsia="hr-HR"/>
        </w:rPr>
        <w:t>delegacija 1</w:t>
      </w:r>
      <w:r>
        <w:rPr>
          <w:rFonts w:eastAsia="Times New Roman"/>
          <w:lang w:eastAsia="hr-HR"/>
        </w:rPr>
        <w:t>.</w:t>
      </w:r>
      <w:r w:rsidR="00DD7F85" w:rsidRPr="001B4CA2">
        <w:rPr>
          <w:rFonts w:eastAsia="Times New Roman"/>
          <w:lang w:eastAsia="hr-HR"/>
        </w:rPr>
        <w:t>060 predmeta Općinskog kaznenog državnog odvjetništva u Zagrebu, kao najvećeg i najopterećenijeg državnog odvjetništva u Republici Hrvatskoj, na druga općinska državna odvjetništva, a što je statistički prikazano kao ustup.</w:t>
      </w:r>
      <w:r w:rsidR="00DD7F85" w:rsidRPr="001B4CA2">
        <w:t xml:space="preserve"> </w:t>
      </w:r>
    </w:p>
    <w:p w14:paraId="1A565A3C" w14:textId="47DB3AA3" w:rsidR="00DD7F85" w:rsidRPr="001B4CA2" w:rsidRDefault="001B4CA2" w:rsidP="00DD7F85">
      <w:pPr>
        <w:rPr>
          <w:i/>
        </w:rPr>
      </w:pPr>
      <w:r>
        <w:lastRenderedPageBreak/>
        <w:tab/>
        <w:t>R</w:t>
      </w:r>
      <w:r w:rsidR="00DD7F85" w:rsidRPr="001B4CA2">
        <w:t>ješenja o odbačaju kaznenih prijava (11.818</w:t>
      </w:r>
      <w:r w:rsidR="00313B5F">
        <w:t>,</w:t>
      </w:r>
      <w:r w:rsidR="00DD7F85" w:rsidRPr="001B4CA2">
        <w:t xml:space="preserve"> odnosno 50,6</w:t>
      </w:r>
      <w:r w:rsidR="00313B5F">
        <w:t> </w:t>
      </w:r>
      <w:r w:rsidR="00DD7F85" w:rsidRPr="001B4CA2">
        <w:t xml:space="preserve">%) </w:t>
      </w:r>
      <w:r w:rsidR="00AE695A" w:rsidRPr="001B4CA2">
        <w:t xml:space="preserve">najzastupljenija </w:t>
      </w:r>
      <w:r w:rsidR="00DD7F85" w:rsidRPr="001B4CA2">
        <w:t xml:space="preserve">su u strukturi meritornih </w:t>
      </w:r>
      <w:proofErr w:type="spellStart"/>
      <w:r w:rsidR="00DD7F85" w:rsidRPr="001B4CA2">
        <w:t>državnoodvjetničkih</w:t>
      </w:r>
      <w:proofErr w:type="spellEnd"/>
      <w:r w:rsidR="00DD7F85" w:rsidRPr="001B4CA2">
        <w:t xml:space="preserve"> odluka (23.370) donesenih povodom kaznenih prijava protiv poznatih osoba (bez maloljetnih osoba), zatim slijede optužnice</w:t>
      </w:r>
      <w:r w:rsidR="00F47D60">
        <w:t xml:space="preserve"> – </w:t>
      </w:r>
      <w:r w:rsidR="00DD7F85" w:rsidRPr="001B4CA2">
        <w:t>neposredne optužnice i optužnice s kaznenim nalogom (7.413 odnosno</w:t>
      </w:r>
      <w:r w:rsidR="00AE695A">
        <w:t>,</w:t>
      </w:r>
      <w:r w:rsidR="00DD7F85" w:rsidRPr="001B4CA2">
        <w:t xml:space="preserve"> 31,7</w:t>
      </w:r>
      <w:r w:rsidR="00313B5F">
        <w:t> </w:t>
      </w:r>
      <w:r w:rsidR="00DD7F85" w:rsidRPr="001B4CA2">
        <w:t>%) te rješenja o provođenju istrage (4.139</w:t>
      </w:r>
      <w:r w:rsidR="00AE695A">
        <w:t>,</w:t>
      </w:r>
      <w:r w:rsidR="00DD7F85" w:rsidRPr="001B4CA2">
        <w:t xml:space="preserve"> odnosno 17,7</w:t>
      </w:r>
      <w:r w:rsidR="00313B5F">
        <w:t> </w:t>
      </w:r>
      <w:r w:rsidR="00DD7F85" w:rsidRPr="001B4CA2">
        <w:t xml:space="preserve">%). Od sveukupnog broja podignutih optužnica, državna su </w:t>
      </w:r>
      <w:r w:rsidR="00E246A1" w:rsidRPr="001B4CA2">
        <w:t xml:space="preserve">odvjetništva </w:t>
      </w:r>
      <w:r w:rsidR="00DD7F85" w:rsidRPr="001B4CA2">
        <w:t>tijekom 2022. godine u odnosu na 3.597 osoba (48,5</w:t>
      </w:r>
      <w:r w:rsidR="00313B5F">
        <w:t> </w:t>
      </w:r>
      <w:r w:rsidR="00DD7F85" w:rsidRPr="001B4CA2">
        <w:t xml:space="preserve">%) zatražila od sudova izdavanje kaznenog naloga. </w:t>
      </w:r>
    </w:p>
    <w:p w14:paraId="7DD06FDB" w14:textId="77777777" w:rsidR="00DD7F85" w:rsidRPr="001B4CA2" w:rsidRDefault="00DD7F85" w:rsidP="00DD7F85">
      <w:pPr>
        <w:rPr>
          <w:i/>
        </w:rPr>
      </w:pPr>
    </w:p>
    <w:p w14:paraId="40603060" w14:textId="2E45882B" w:rsidR="00DD7F85" w:rsidRPr="001B4CA2" w:rsidRDefault="00DD7F85" w:rsidP="00DD7F85">
      <w:r w:rsidRPr="001B4CA2">
        <w:tab/>
        <w:t xml:space="preserve">Pritom se ponavlja napomena sadržana u izvješćima za 2020. i 2021. godinu, a koja se odnosi na prividni pad broja rješenja o odbačaju i optužnica (neposrednih, </w:t>
      </w:r>
      <w:r w:rsidR="00E246A1">
        <w:t>ali</w:t>
      </w:r>
      <w:r w:rsidRPr="001B4CA2">
        <w:t xml:space="preserve"> i optužnica s kaznenim nalogom) u odnosu na izvještajna razdoblja od 2018. do 2019. godine. Iako iz brojčanih podataka prikazanih u tablici ''Odluke povodom kaznene prijave (bez maloljetnih osoba)'' proizlazi suprotno, tijekom izvještajnih razdoblja od 2020. do 2022. u odnosu na izvještajna razdoblja od 2018. do 2019. godine nema značajnijih odstupanja u broju odluka, već se radi o promijenjenom načinu prikazivanja statističkih podataka. Naime, tijekom prethodnih izvještajnih razdoblja (od 2018. do 2019. godine) u statističkim se </w:t>
      </w:r>
      <w:r w:rsidR="00E246A1" w:rsidRPr="001B4CA2">
        <w:t>po</w:t>
      </w:r>
      <w:r w:rsidR="00E246A1">
        <w:t>datci</w:t>
      </w:r>
      <w:r w:rsidR="00E246A1" w:rsidRPr="001B4CA2">
        <w:t xml:space="preserve">ma </w:t>
      </w:r>
      <w:r w:rsidRPr="001B4CA2">
        <w:t>nije posebno prikazivao broj otvorenih istraživanja, kao ni odluke o kaznenim prijavama nakon dovršenog istraživanja, već su sve odluke bile prikazane skupno među odlukama povodom kaznene prijave. U izvješćima za 2020., 2021. i 2022. godinu među odlukama povodom kaznene prijave</w:t>
      </w:r>
      <w:r w:rsidR="00E246A1">
        <w:t xml:space="preserve"> </w:t>
      </w:r>
      <w:r w:rsidRPr="001B4CA2">
        <w:t xml:space="preserve">posebno </w:t>
      </w:r>
      <w:r w:rsidR="00E246A1" w:rsidRPr="001B4CA2">
        <w:t xml:space="preserve">je </w:t>
      </w:r>
      <w:r w:rsidRPr="001B4CA2">
        <w:t xml:space="preserve">prikazan broj otvorenih istraživanja, dok su naknadno, pod točkom 8.1.1.2. ''Odluke o kaznenim prijavama nakon dovršenog istraživanja'', prikazane meritorne odluke donesene nakon dovršenog istraživanja. </w:t>
      </w:r>
    </w:p>
    <w:p w14:paraId="452CAA9E" w14:textId="77777777" w:rsidR="00DD7F85" w:rsidRPr="001B4CA2" w:rsidRDefault="00DD7F85" w:rsidP="00DD7F85"/>
    <w:p w14:paraId="5D9A3DC6" w14:textId="3384C503" w:rsidR="00DD7F85" w:rsidRPr="001B4CA2" w:rsidRDefault="001B4CA2" w:rsidP="00DD7F85">
      <w:r>
        <w:tab/>
      </w:r>
      <w:r w:rsidR="00DD7F85" w:rsidRPr="001B4CA2">
        <w:t>Dakle, da bismo dobili ukupan broj rješenja o odbačaju donesenih tijekom 2022. godine, rješenjima o odbačaju kaznene prijave donesenim povodom kaznene prijave (</w:t>
      </w:r>
      <w:r w:rsidR="00DD7F85" w:rsidRPr="001B4CA2">
        <w:rPr>
          <w:rFonts w:eastAsia="Calibri"/>
          <w:color w:val="000000"/>
        </w:rPr>
        <w:t>11.818</w:t>
      </w:r>
      <w:r w:rsidR="00DD7F85" w:rsidRPr="001B4CA2">
        <w:t>)</w:t>
      </w:r>
      <w:r w:rsidR="00E246A1">
        <w:t>,</w:t>
      </w:r>
      <w:r w:rsidR="00DD7F85" w:rsidRPr="001B4CA2">
        <w:t xml:space="preserve"> potrebno je pribrojiti rješenja o odbačaju kaznene prijave donesena nakon dovršenog istraživanja (</w:t>
      </w:r>
      <w:r w:rsidR="00DD7F85" w:rsidRPr="001B4CA2">
        <w:rPr>
          <w:rFonts w:eastAsia="Calibri"/>
          <w:color w:val="000000"/>
        </w:rPr>
        <w:t>2.044</w:t>
      </w:r>
      <w:r w:rsidR="00DD7F85" w:rsidRPr="001B4CA2">
        <w:t xml:space="preserve">), a iz čega je vidljivo da su tijekom 2022. godine donesena sveukupno </w:t>
      </w:r>
      <w:r w:rsidR="00DD7F85" w:rsidRPr="001B4CA2">
        <w:rPr>
          <w:rFonts w:eastAsia="Calibri"/>
          <w:snapToGrid w:val="0"/>
          <w:color w:val="000000"/>
        </w:rPr>
        <w:t>13.862</w:t>
      </w:r>
      <w:r w:rsidR="00DD7F85" w:rsidRPr="001B4CA2">
        <w:t xml:space="preserve"> rješenja o odbačaju, što predstavlja blagi pad u odnosu na broj odbačaja donesenih tijekom prethodnih godina (2021. – 15.323, 2020.</w:t>
      </w:r>
      <w:r w:rsidR="00E246A1">
        <w:t xml:space="preserve"> – </w:t>
      </w:r>
      <w:r w:rsidR="00DD7F85" w:rsidRPr="001B4CA2">
        <w:t xml:space="preserve"> 14.714, 2019.</w:t>
      </w:r>
      <w:r w:rsidR="00E246A1">
        <w:t xml:space="preserve"> –</w:t>
      </w:r>
      <w:r w:rsidR="00DD7F85" w:rsidRPr="001B4CA2">
        <w:t xml:space="preserve"> 14.186, 2018.</w:t>
      </w:r>
      <w:r w:rsidR="00E246A1">
        <w:t xml:space="preserve"> – </w:t>
      </w:r>
      <w:r w:rsidR="00DD7F85" w:rsidRPr="001B4CA2">
        <w:t xml:space="preserve">15.277). Također, u odnosu na optužnice proizlazi da je tijekom 2022. godine podignuto ukupno 13.975 optužnica, s obzirom na to da je povodom kaznene prijave (dakle, bez provođenja istraživanja) podignuto 7.413 optužnica, a nakon dovršenog istraživanja </w:t>
      </w:r>
      <w:r w:rsidR="00E246A1" w:rsidRPr="001B4CA2">
        <w:t>podignut</w:t>
      </w:r>
      <w:r w:rsidR="00E246A1">
        <w:t>e</w:t>
      </w:r>
      <w:r w:rsidR="00E246A1" w:rsidRPr="001B4CA2">
        <w:t xml:space="preserve"> </w:t>
      </w:r>
      <w:r w:rsidR="00E246A1">
        <w:t>su</w:t>
      </w:r>
      <w:r w:rsidR="00DD7F85" w:rsidRPr="001B4CA2">
        <w:t xml:space="preserve"> 6.562 optužnic</w:t>
      </w:r>
      <w:r w:rsidR="00E246A1">
        <w:t>e</w:t>
      </w:r>
      <w:r w:rsidR="00DD7F85" w:rsidRPr="001B4CA2">
        <w:t xml:space="preserve">, što je na razini broja optužnica podignutih tijekom 2020. godine (14.013) i 2019. godine (13.477), dok se uočava blagi pad u odnosu na broj optužnica podignut tijekom 2021. godine (14.982). </w:t>
      </w:r>
    </w:p>
    <w:p w14:paraId="7D1683B2" w14:textId="77777777" w:rsidR="001F4309" w:rsidRPr="001B4CA2" w:rsidRDefault="001F4309" w:rsidP="00FC63F7"/>
    <w:p w14:paraId="2E49144C" w14:textId="1B5F9B37" w:rsidR="00BB4D48" w:rsidRPr="001B4CA2" w:rsidRDefault="00DF69D3" w:rsidP="000F634C">
      <w:pPr>
        <w:pStyle w:val="Naslov5"/>
        <w:ind w:left="851" w:hanging="425"/>
        <w:rPr>
          <w:rFonts w:ascii="Arial" w:hAnsi="Arial" w:cs="Arial"/>
        </w:rPr>
      </w:pPr>
      <w:bookmarkStart w:id="29" w:name="_Toc133394292"/>
      <w:r w:rsidRPr="001B4CA2">
        <w:rPr>
          <w:rFonts w:ascii="Arial" w:hAnsi="Arial" w:cs="Arial"/>
        </w:rPr>
        <w:t xml:space="preserve">Odluke povodom kaznene prijave </w:t>
      </w:r>
      <w:r w:rsidR="008443EC" w:rsidRPr="001B4CA2">
        <w:rPr>
          <w:rFonts w:ascii="Arial" w:hAnsi="Arial" w:cs="Arial"/>
        </w:rPr>
        <w:t xml:space="preserve">– </w:t>
      </w:r>
      <w:r w:rsidRPr="001B4CA2">
        <w:rPr>
          <w:rFonts w:ascii="Arial" w:hAnsi="Arial" w:cs="Arial"/>
        </w:rPr>
        <w:t>maloljetnici</w:t>
      </w:r>
      <w:bookmarkEnd w:id="29"/>
    </w:p>
    <w:p w14:paraId="680FBBBF" w14:textId="77777777" w:rsidR="007216F7" w:rsidRPr="001B4CA2" w:rsidRDefault="007216F7" w:rsidP="007216F7"/>
    <w:p w14:paraId="02A23F82" w14:textId="42E79695" w:rsidR="00061DE9" w:rsidRPr="001B4CA2" w:rsidRDefault="00061DE9" w:rsidP="00061DE9">
      <w:pPr>
        <w:ind w:firstLine="708"/>
      </w:pPr>
      <w:r w:rsidRPr="001B4CA2">
        <w:t>U izvještajnom su razdoblju sva općinska i županijska državna odvjetništva zaprimila ukupno 1.965 kaznenih prijava protiv maloljetnih počinitelja kaznenih djela</w:t>
      </w:r>
      <w:r w:rsidR="00E246A1">
        <w:t>,</w:t>
      </w:r>
      <w:r w:rsidRPr="001B4CA2">
        <w:t xml:space="preserve"> što predstavlja neznatan porast broja prijava u odnosu na prethodno izvještajno razdoblje (5,8 %).</w:t>
      </w:r>
    </w:p>
    <w:p w14:paraId="256B0AA9" w14:textId="77777777" w:rsidR="00061DE9" w:rsidRPr="001B4CA2" w:rsidRDefault="00061DE9" w:rsidP="00061DE9"/>
    <w:p w14:paraId="41E3CA15" w14:textId="2AED4C73" w:rsidR="00CA03EB" w:rsidRPr="001B4CA2" w:rsidRDefault="00061DE9" w:rsidP="00031FDC">
      <w:pPr>
        <w:ind w:firstLine="708"/>
      </w:pPr>
      <w:r w:rsidRPr="001B4CA2">
        <w:t>U ukupnom broju poznatih prijavljenih fizičkih osoba u izvještajnom razdoblju (40.175) maloljetnici participiraju s 5</w:t>
      </w:r>
      <w:r w:rsidR="00E246A1">
        <w:t> </w:t>
      </w:r>
      <w:r w:rsidRPr="001B4CA2">
        <w:t>% (1.965)</w:t>
      </w:r>
      <w:r w:rsidR="00E246A1">
        <w:t>,</w:t>
      </w:r>
      <w:r w:rsidRPr="001B4CA2">
        <w:t xml:space="preserve"> što je također neznat</w:t>
      </w:r>
      <w:r w:rsidR="00E246A1">
        <w:t>a</w:t>
      </w:r>
      <w:r w:rsidRPr="001B4CA2">
        <w:t>n porast u odnosu na prethodno izvještajno razdoblje</w:t>
      </w:r>
      <w:r w:rsidR="00E246A1">
        <w:t>,</w:t>
      </w:r>
      <w:r w:rsidRPr="001B4CA2">
        <w:t xml:space="preserve"> kada su participirali s 4,7</w:t>
      </w:r>
      <w:r w:rsidR="00E246A1">
        <w:t> </w:t>
      </w:r>
      <w:r w:rsidRPr="001B4CA2">
        <w:t>%.</w:t>
      </w:r>
    </w:p>
    <w:p w14:paraId="1880830F" w14:textId="5911E38B" w:rsidR="00FC63F7" w:rsidRPr="001B4CA2" w:rsidRDefault="00BA7382" w:rsidP="002A5118">
      <w:pPr>
        <w:ind w:left="142"/>
        <w:rPr>
          <w:i/>
        </w:rPr>
      </w:pPr>
      <w:r>
        <w:rPr>
          <w:i/>
        </w:rPr>
        <w:lastRenderedPageBreak/>
        <w:t xml:space="preserve"> </w:t>
      </w:r>
      <w:r w:rsidR="007418AF" w:rsidRPr="001B4CA2">
        <w:rPr>
          <w:i/>
        </w:rPr>
        <w:t>Odluke o kaznenim prijavama</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674"/>
        <w:gridCol w:w="709"/>
        <w:gridCol w:w="709"/>
        <w:gridCol w:w="709"/>
        <w:gridCol w:w="850"/>
        <w:gridCol w:w="709"/>
        <w:gridCol w:w="985"/>
        <w:gridCol w:w="1031"/>
        <w:gridCol w:w="567"/>
        <w:gridCol w:w="567"/>
        <w:gridCol w:w="651"/>
      </w:tblGrid>
      <w:tr w:rsidR="00532C41" w:rsidRPr="001B4CA2" w14:paraId="667F2B35" w14:textId="77777777" w:rsidTr="000169EF">
        <w:trPr>
          <w:cantSplit/>
          <w:trHeight w:val="1805"/>
          <w:jc w:val="center"/>
        </w:trPr>
        <w:tc>
          <w:tcPr>
            <w:tcW w:w="797" w:type="dxa"/>
            <w:shd w:val="clear" w:color="auto" w:fill="99CCFF"/>
            <w:vAlign w:val="center"/>
            <w:hideMark/>
          </w:tcPr>
          <w:p w14:paraId="1A5D5DEC" w14:textId="77777777" w:rsidR="00FC63F7" w:rsidRPr="000169EF" w:rsidRDefault="00FC63F7" w:rsidP="00FC63F7">
            <w:pPr>
              <w:jc w:val="center"/>
              <w:rPr>
                <w:rFonts w:eastAsia="Times New Roman"/>
                <w:b/>
                <w:sz w:val="16"/>
                <w:szCs w:val="16"/>
                <w:lang w:eastAsia="hr-HR"/>
              </w:rPr>
            </w:pPr>
            <w:r w:rsidRPr="000169EF">
              <w:rPr>
                <w:rFonts w:eastAsia="Times New Roman"/>
                <w:b/>
                <w:sz w:val="16"/>
                <w:szCs w:val="16"/>
                <w:lang w:eastAsia="hr-HR"/>
              </w:rPr>
              <w:t>Godina</w:t>
            </w:r>
          </w:p>
        </w:tc>
        <w:tc>
          <w:tcPr>
            <w:tcW w:w="674" w:type="dxa"/>
            <w:shd w:val="clear" w:color="auto" w:fill="99CCFF"/>
            <w:textDirection w:val="btLr"/>
            <w:vAlign w:val="center"/>
            <w:hideMark/>
          </w:tcPr>
          <w:p w14:paraId="0AE8E6E0" w14:textId="00C17408" w:rsidR="00FC63F7" w:rsidRPr="000169EF" w:rsidRDefault="00FC63F7" w:rsidP="00FC63F7">
            <w:pPr>
              <w:ind w:left="113" w:right="113"/>
              <w:jc w:val="left"/>
              <w:rPr>
                <w:rFonts w:eastAsia="Times New Roman"/>
                <w:b/>
                <w:sz w:val="16"/>
                <w:szCs w:val="16"/>
                <w:lang w:eastAsia="hr-HR"/>
              </w:rPr>
            </w:pPr>
            <w:r w:rsidRPr="000169EF">
              <w:rPr>
                <w:rFonts w:eastAsia="Times New Roman"/>
                <w:b/>
                <w:sz w:val="16"/>
                <w:szCs w:val="16"/>
                <w:lang w:eastAsia="hr-HR"/>
              </w:rPr>
              <w:t xml:space="preserve">Zaprimljeno </w:t>
            </w:r>
            <w:r w:rsidR="00C53499" w:rsidRPr="000169EF">
              <w:rPr>
                <w:rFonts w:eastAsia="Times New Roman"/>
                <w:b/>
                <w:sz w:val="16"/>
                <w:szCs w:val="16"/>
                <w:lang w:eastAsia="hr-HR"/>
              </w:rPr>
              <w:t xml:space="preserve">kaznenih </w:t>
            </w:r>
            <w:r w:rsidRPr="000169EF">
              <w:rPr>
                <w:rFonts w:eastAsia="Times New Roman"/>
                <w:b/>
                <w:sz w:val="16"/>
                <w:szCs w:val="16"/>
                <w:lang w:eastAsia="hr-HR"/>
              </w:rPr>
              <w:t>prijava</w:t>
            </w:r>
          </w:p>
        </w:tc>
        <w:tc>
          <w:tcPr>
            <w:tcW w:w="709" w:type="dxa"/>
            <w:shd w:val="clear" w:color="auto" w:fill="99CCFF"/>
            <w:textDirection w:val="btLr"/>
            <w:vAlign w:val="center"/>
            <w:hideMark/>
          </w:tcPr>
          <w:p w14:paraId="23EDE56F" w14:textId="6AD176A4" w:rsidR="00FC63F7" w:rsidRPr="000169EF" w:rsidRDefault="00FC63F7" w:rsidP="007418AF">
            <w:pPr>
              <w:ind w:left="113" w:right="113"/>
              <w:jc w:val="left"/>
              <w:rPr>
                <w:rFonts w:eastAsia="Times New Roman"/>
                <w:b/>
                <w:sz w:val="16"/>
                <w:szCs w:val="16"/>
                <w:lang w:eastAsia="hr-HR"/>
              </w:rPr>
            </w:pPr>
            <w:r w:rsidRPr="000169EF">
              <w:rPr>
                <w:rFonts w:eastAsia="Times New Roman"/>
                <w:b/>
                <w:sz w:val="16"/>
                <w:szCs w:val="16"/>
                <w:lang w:eastAsia="hr-HR"/>
              </w:rPr>
              <w:t>Ukupno u radu</w:t>
            </w:r>
          </w:p>
        </w:tc>
        <w:tc>
          <w:tcPr>
            <w:tcW w:w="709" w:type="dxa"/>
            <w:shd w:val="clear" w:color="auto" w:fill="99CCFF"/>
            <w:textDirection w:val="btLr"/>
            <w:vAlign w:val="center"/>
            <w:hideMark/>
          </w:tcPr>
          <w:p w14:paraId="7887A6CB" w14:textId="77777777" w:rsidR="00FC63F7" w:rsidRPr="000169EF" w:rsidRDefault="00FC63F7" w:rsidP="00FC63F7">
            <w:pPr>
              <w:ind w:left="113" w:right="113"/>
              <w:jc w:val="left"/>
              <w:rPr>
                <w:rFonts w:eastAsia="Times New Roman"/>
                <w:b/>
                <w:sz w:val="16"/>
                <w:szCs w:val="16"/>
                <w:lang w:eastAsia="hr-HR"/>
              </w:rPr>
            </w:pPr>
            <w:r w:rsidRPr="000169EF">
              <w:rPr>
                <w:rFonts w:eastAsia="Times New Roman"/>
                <w:b/>
                <w:sz w:val="16"/>
                <w:szCs w:val="16"/>
                <w:lang w:eastAsia="hr-HR"/>
              </w:rPr>
              <w:t>Neriješeno</w:t>
            </w:r>
          </w:p>
        </w:tc>
        <w:tc>
          <w:tcPr>
            <w:tcW w:w="709" w:type="dxa"/>
            <w:shd w:val="clear" w:color="auto" w:fill="99CCFF"/>
            <w:textDirection w:val="btLr"/>
            <w:vAlign w:val="center"/>
            <w:hideMark/>
          </w:tcPr>
          <w:p w14:paraId="0716A0ED" w14:textId="116CE832" w:rsidR="00FC63F7" w:rsidRPr="000169EF" w:rsidRDefault="00C53499" w:rsidP="00FC63F7">
            <w:pPr>
              <w:ind w:left="113" w:right="113"/>
              <w:jc w:val="left"/>
              <w:rPr>
                <w:rFonts w:eastAsia="Times New Roman"/>
                <w:b/>
                <w:sz w:val="16"/>
                <w:szCs w:val="16"/>
                <w:lang w:eastAsia="hr-HR"/>
              </w:rPr>
            </w:pPr>
            <w:r w:rsidRPr="000169EF">
              <w:rPr>
                <w:rFonts w:eastAsia="Times New Roman"/>
                <w:b/>
                <w:sz w:val="16"/>
                <w:szCs w:val="16"/>
                <w:lang w:eastAsia="hr-HR"/>
              </w:rPr>
              <w:t>Ukupno o</w:t>
            </w:r>
            <w:r w:rsidR="00FC63F7" w:rsidRPr="000169EF">
              <w:rPr>
                <w:rFonts w:eastAsia="Times New Roman"/>
                <w:b/>
                <w:sz w:val="16"/>
                <w:szCs w:val="16"/>
                <w:lang w:eastAsia="hr-HR"/>
              </w:rPr>
              <w:t>dbačaj</w:t>
            </w:r>
            <w:r w:rsidRPr="000169EF">
              <w:rPr>
                <w:rFonts w:eastAsia="Times New Roman"/>
                <w:b/>
                <w:sz w:val="16"/>
                <w:szCs w:val="16"/>
                <w:lang w:eastAsia="hr-HR"/>
              </w:rPr>
              <w:t>a</w:t>
            </w:r>
          </w:p>
        </w:tc>
        <w:tc>
          <w:tcPr>
            <w:tcW w:w="850" w:type="dxa"/>
            <w:shd w:val="clear" w:color="auto" w:fill="99CCFF"/>
            <w:textDirection w:val="btLr"/>
            <w:vAlign w:val="center"/>
            <w:hideMark/>
          </w:tcPr>
          <w:p w14:paraId="4966AC0E" w14:textId="738FAD76" w:rsidR="00FC63F7" w:rsidRPr="000169EF" w:rsidRDefault="0010046F" w:rsidP="00FC63F7">
            <w:pPr>
              <w:ind w:left="113" w:right="113"/>
              <w:jc w:val="left"/>
              <w:rPr>
                <w:rFonts w:eastAsia="Times New Roman"/>
                <w:b/>
                <w:sz w:val="16"/>
                <w:szCs w:val="16"/>
                <w:lang w:eastAsia="hr-HR"/>
              </w:rPr>
            </w:pPr>
            <w:r w:rsidRPr="000169EF">
              <w:rPr>
                <w:rFonts w:eastAsia="Times New Roman"/>
                <w:b/>
                <w:sz w:val="16"/>
                <w:szCs w:val="16"/>
                <w:lang w:eastAsia="hr-HR"/>
              </w:rPr>
              <w:t xml:space="preserve">Od toga </w:t>
            </w:r>
            <w:proofErr w:type="spellStart"/>
            <w:r w:rsidRPr="000169EF">
              <w:rPr>
                <w:rFonts w:eastAsia="Times New Roman"/>
                <w:b/>
                <w:sz w:val="16"/>
                <w:szCs w:val="16"/>
                <w:lang w:eastAsia="hr-HR"/>
              </w:rPr>
              <w:t>oportunitet</w:t>
            </w:r>
            <w:proofErr w:type="spellEnd"/>
            <w:r w:rsidR="00C53499" w:rsidRPr="000169EF">
              <w:rPr>
                <w:rFonts w:eastAsia="Times New Roman"/>
                <w:b/>
                <w:sz w:val="16"/>
                <w:szCs w:val="16"/>
                <w:lang w:eastAsia="hr-HR"/>
              </w:rPr>
              <w:t xml:space="preserve"> iz čl. 71., 72. i 73. ZSM</w:t>
            </w:r>
          </w:p>
        </w:tc>
        <w:tc>
          <w:tcPr>
            <w:tcW w:w="709" w:type="dxa"/>
            <w:shd w:val="clear" w:color="auto" w:fill="99CCFF"/>
            <w:textDirection w:val="btLr"/>
            <w:vAlign w:val="center"/>
            <w:hideMark/>
          </w:tcPr>
          <w:p w14:paraId="6C06360A" w14:textId="7F280F8D" w:rsidR="00FC63F7" w:rsidRPr="000169EF" w:rsidRDefault="00C53499" w:rsidP="00FC63F7">
            <w:pPr>
              <w:ind w:left="113" w:right="113"/>
              <w:jc w:val="left"/>
              <w:rPr>
                <w:rFonts w:eastAsia="Times New Roman"/>
                <w:b/>
                <w:sz w:val="16"/>
                <w:szCs w:val="16"/>
                <w:lang w:eastAsia="hr-HR"/>
              </w:rPr>
            </w:pPr>
            <w:r w:rsidRPr="000169EF">
              <w:rPr>
                <w:rFonts w:eastAsia="Times New Roman"/>
                <w:b/>
                <w:sz w:val="16"/>
                <w:szCs w:val="16"/>
                <w:lang w:eastAsia="hr-HR"/>
              </w:rPr>
              <w:t>Otvoreno istraživanje</w:t>
            </w:r>
          </w:p>
        </w:tc>
        <w:tc>
          <w:tcPr>
            <w:tcW w:w="985" w:type="dxa"/>
            <w:shd w:val="clear" w:color="auto" w:fill="99CCFF"/>
            <w:textDirection w:val="btLr"/>
            <w:vAlign w:val="center"/>
            <w:hideMark/>
          </w:tcPr>
          <w:p w14:paraId="45541B97" w14:textId="411FC5B1" w:rsidR="00FC63F7" w:rsidRPr="000169EF" w:rsidRDefault="00C53499" w:rsidP="00FC63F7">
            <w:pPr>
              <w:ind w:left="113" w:right="113"/>
              <w:jc w:val="left"/>
              <w:rPr>
                <w:rFonts w:eastAsia="Times New Roman"/>
                <w:b/>
                <w:sz w:val="16"/>
                <w:szCs w:val="16"/>
                <w:lang w:eastAsia="hr-HR"/>
              </w:rPr>
            </w:pPr>
            <w:r w:rsidRPr="000169EF">
              <w:rPr>
                <w:rFonts w:eastAsia="Times New Roman"/>
                <w:b/>
                <w:sz w:val="16"/>
                <w:szCs w:val="16"/>
                <w:lang w:eastAsia="hr-HR"/>
              </w:rPr>
              <w:t xml:space="preserve">Neposredni prijedlog za </w:t>
            </w:r>
            <w:proofErr w:type="spellStart"/>
            <w:r w:rsidRPr="000169EF">
              <w:rPr>
                <w:rFonts w:eastAsia="Times New Roman"/>
                <w:b/>
                <w:sz w:val="16"/>
                <w:szCs w:val="16"/>
                <w:lang w:eastAsia="hr-HR"/>
              </w:rPr>
              <w:t>mlt</w:t>
            </w:r>
            <w:proofErr w:type="spellEnd"/>
            <w:r w:rsidRPr="000169EF">
              <w:rPr>
                <w:rFonts w:eastAsia="Times New Roman"/>
                <w:b/>
                <w:sz w:val="16"/>
                <w:szCs w:val="16"/>
                <w:lang w:eastAsia="hr-HR"/>
              </w:rPr>
              <w:t>. sankciju čl. 82. ZSM</w:t>
            </w:r>
          </w:p>
        </w:tc>
        <w:tc>
          <w:tcPr>
            <w:tcW w:w="1031" w:type="dxa"/>
            <w:shd w:val="clear" w:color="auto" w:fill="99CCFF"/>
            <w:textDirection w:val="btLr"/>
            <w:vAlign w:val="center"/>
            <w:hideMark/>
          </w:tcPr>
          <w:p w14:paraId="46B3474C" w14:textId="40686276" w:rsidR="00FC63F7" w:rsidRPr="000169EF" w:rsidRDefault="00C53499" w:rsidP="00FC63F7">
            <w:pPr>
              <w:ind w:left="113" w:right="113"/>
              <w:jc w:val="left"/>
              <w:rPr>
                <w:rFonts w:eastAsia="Times New Roman"/>
                <w:b/>
                <w:sz w:val="16"/>
                <w:szCs w:val="16"/>
                <w:lang w:eastAsia="hr-HR"/>
              </w:rPr>
            </w:pPr>
            <w:r w:rsidRPr="000169EF">
              <w:rPr>
                <w:rFonts w:eastAsia="Times New Roman"/>
                <w:b/>
                <w:sz w:val="16"/>
                <w:szCs w:val="16"/>
                <w:lang w:eastAsia="hr-HR"/>
              </w:rPr>
              <w:t>Rješenje o provođenju pripremnog postupka</w:t>
            </w:r>
          </w:p>
        </w:tc>
        <w:tc>
          <w:tcPr>
            <w:tcW w:w="567" w:type="dxa"/>
            <w:shd w:val="clear" w:color="auto" w:fill="99CCFF"/>
            <w:textDirection w:val="btLr"/>
            <w:vAlign w:val="center"/>
            <w:hideMark/>
          </w:tcPr>
          <w:p w14:paraId="66C30779" w14:textId="7F961F8E" w:rsidR="00FC63F7" w:rsidRPr="000169EF" w:rsidRDefault="00C53499" w:rsidP="00FC63F7">
            <w:pPr>
              <w:ind w:left="113" w:right="113"/>
              <w:jc w:val="left"/>
              <w:rPr>
                <w:rFonts w:eastAsia="Times New Roman"/>
                <w:b/>
                <w:sz w:val="16"/>
                <w:szCs w:val="16"/>
                <w:lang w:eastAsia="hr-HR"/>
              </w:rPr>
            </w:pPr>
            <w:r w:rsidRPr="000169EF">
              <w:rPr>
                <w:rFonts w:eastAsia="Times New Roman"/>
                <w:b/>
                <w:sz w:val="16"/>
                <w:szCs w:val="16"/>
                <w:lang w:eastAsia="hr-HR"/>
              </w:rPr>
              <w:t>Ustup</w:t>
            </w:r>
          </w:p>
        </w:tc>
        <w:tc>
          <w:tcPr>
            <w:tcW w:w="567" w:type="dxa"/>
            <w:shd w:val="clear" w:color="auto" w:fill="99CCFF"/>
            <w:textDirection w:val="btLr"/>
            <w:vAlign w:val="center"/>
            <w:hideMark/>
          </w:tcPr>
          <w:p w14:paraId="63029721" w14:textId="77777777" w:rsidR="00FC63F7" w:rsidRPr="000169EF" w:rsidRDefault="00FC63F7" w:rsidP="00FC63F7">
            <w:pPr>
              <w:ind w:left="113" w:right="113"/>
              <w:jc w:val="left"/>
              <w:rPr>
                <w:rFonts w:eastAsia="Times New Roman"/>
                <w:b/>
                <w:sz w:val="16"/>
                <w:szCs w:val="16"/>
                <w:lang w:eastAsia="hr-HR"/>
              </w:rPr>
            </w:pPr>
            <w:r w:rsidRPr="000169EF">
              <w:rPr>
                <w:rFonts w:eastAsia="Times New Roman"/>
                <w:b/>
                <w:sz w:val="16"/>
                <w:szCs w:val="16"/>
                <w:lang w:eastAsia="hr-HR"/>
              </w:rPr>
              <w:t>Riješeno na drugi način</w:t>
            </w:r>
          </w:p>
        </w:tc>
        <w:tc>
          <w:tcPr>
            <w:tcW w:w="651" w:type="dxa"/>
            <w:shd w:val="clear" w:color="auto" w:fill="99CCFF"/>
            <w:textDirection w:val="btLr"/>
            <w:vAlign w:val="center"/>
            <w:hideMark/>
          </w:tcPr>
          <w:p w14:paraId="756CB596" w14:textId="77777777" w:rsidR="00FC63F7" w:rsidRPr="000169EF" w:rsidRDefault="00FC63F7" w:rsidP="00FC63F7">
            <w:pPr>
              <w:ind w:left="113" w:right="113"/>
              <w:jc w:val="left"/>
              <w:rPr>
                <w:rFonts w:eastAsia="Times New Roman"/>
                <w:b/>
                <w:sz w:val="16"/>
                <w:szCs w:val="16"/>
                <w:lang w:eastAsia="hr-HR"/>
              </w:rPr>
            </w:pPr>
            <w:r w:rsidRPr="000169EF">
              <w:rPr>
                <w:rFonts w:eastAsia="Times New Roman"/>
                <w:b/>
                <w:sz w:val="16"/>
                <w:szCs w:val="16"/>
                <w:lang w:eastAsia="hr-HR"/>
              </w:rPr>
              <w:t>Prijave u radu izvan DO</w:t>
            </w:r>
          </w:p>
        </w:tc>
      </w:tr>
      <w:tr w:rsidR="00532C41" w:rsidRPr="001B4CA2" w14:paraId="4A410068" w14:textId="77777777" w:rsidTr="000169EF">
        <w:trPr>
          <w:trHeight w:val="289"/>
          <w:jc w:val="center"/>
        </w:trPr>
        <w:tc>
          <w:tcPr>
            <w:tcW w:w="797" w:type="dxa"/>
            <w:shd w:val="clear" w:color="auto" w:fill="auto"/>
            <w:noWrap/>
            <w:vAlign w:val="center"/>
          </w:tcPr>
          <w:p w14:paraId="37A989DD" w14:textId="29E2BA0D"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201</w:t>
            </w:r>
            <w:r w:rsidR="00061DE9" w:rsidRPr="000169EF">
              <w:rPr>
                <w:rFonts w:eastAsia="Times New Roman"/>
                <w:sz w:val="16"/>
                <w:szCs w:val="16"/>
                <w:lang w:eastAsia="hr-HR"/>
              </w:rPr>
              <w:t>8</w:t>
            </w:r>
            <w:r w:rsidRPr="000169EF">
              <w:rPr>
                <w:rFonts w:eastAsia="Times New Roman"/>
                <w:sz w:val="16"/>
                <w:szCs w:val="16"/>
                <w:lang w:eastAsia="hr-HR"/>
              </w:rPr>
              <w:t>.</w:t>
            </w:r>
          </w:p>
        </w:tc>
        <w:tc>
          <w:tcPr>
            <w:tcW w:w="674" w:type="dxa"/>
            <w:shd w:val="clear" w:color="auto" w:fill="auto"/>
            <w:noWrap/>
            <w:vAlign w:val="center"/>
          </w:tcPr>
          <w:p w14:paraId="7E1AB58E" w14:textId="5EE8FCC6"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1.416</w:t>
            </w:r>
          </w:p>
        </w:tc>
        <w:tc>
          <w:tcPr>
            <w:tcW w:w="709" w:type="dxa"/>
            <w:shd w:val="clear" w:color="auto" w:fill="auto"/>
            <w:noWrap/>
            <w:vAlign w:val="center"/>
          </w:tcPr>
          <w:p w14:paraId="61B3F35B" w14:textId="421F30F7"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1.837</w:t>
            </w:r>
          </w:p>
        </w:tc>
        <w:tc>
          <w:tcPr>
            <w:tcW w:w="709" w:type="dxa"/>
            <w:shd w:val="clear" w:color="auto" w:fill="auto"/>
            <w:noWrap/>
            <w:vAlign w:val="center"/>
          </w:tcPr>
          <w:p w14:paraId="4F8BE41E" w14:textId="010663BD"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437</w:t>
            </w:r>
          </w:p>
        </w:tc>
        <w:tc>
          <w:tcPr>
            <w:tcW w:w="709" w:type="dxa"/>
            <w:shd w:val="clear" w:color="auto" w:fill="auto"/>
            <w:noWrap/>
            <w:vAlign w:val="center"/>
          </w:tcPr>
          <w:p w14:paraId="44BB289E" w14:textId="3E937525"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1.</w:t>
            </w:r>
            <w:r w:rsidR="00061DE9" w:rsidRPr="000169EF">
              <w:rPr>
                <w:rFonts w:eastAsia="Times New Roman"/>
                <w:sz w:val="16"/>
                <w:szCs w:val="16"/>
                <w:lang w:eastAsia="hr-HR"/>
              </w:rPr>
              <w:t>150</w:t>
            </w:r>
          </w:p>
        </w:tc>
        <w:tc>
          <w:tcPr>
            <w:tcW w:w="850" w:type="dxa"/>
            <w:shd w:val="clear" w:color="auto" w:fill="auto"/>
            <w:noWrap/>
            <w:vAlign w:val="center"/>
          </w:tcPr>
          <w:p w14:paraId="5B120772" w14:textId="420645E8"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698</w:t>
            </w:r>
          </w:p>
        </w:tc>
        <w:tc>
          <w:tcPr>
            <w:tcW w:w="709" w:type="dxa"/>
            <w:shd w:val="clear" w:color="auto" w:fill="auto"/>
            <w:noWrap/>
            <w:vAlign w:val="center"/>
          </w:tcPr>
          <w:p w14:paraId="5DB47648" w14:textId="698FFD08" w:rsidR="007418AF" w:rsidRPr="000169EF" w:rsidRDefault="007418AF" w:rsidP="00A54676">
            <w:pPr>
              <w:jc w:val="center"/>
              <w:rPr>
                <w:rFonts w:eastAsia="Times New Roman"/>
                <w:sz w:val="16"/>
                <w:szCs w:val="16"/>
                <w:lang w:eastAsia="hr-HR"/>
              </w:rPr>
            </w:pPr>
          </w:p>
        </w:tc>
        <w:tc>
          <w:tcPr>
            <w:tcW w:w="985" w:type="dxa"/>
            <w:shd w:val="clear" w:color="auto" w:fill="auto"/>
            <w:noWrap/>
            <w:vAlign w:val="center"/>
          </w:tcPr>
          <w:p w14:paraId="6F2A8823" w14:textId="4A160D49"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264</w:t>
            </w:r>
          </w:p>
        </w:tc>
        <w:tc>
          <w:tcPr>
            <w:tcW w:w="1031" w:type="dxa"/>
            <w:shd w:val="clear" w:color="auto" w:fill="auto"/>
            <w:noWrap/>
            <w:vAlign w:val="center"/>
          </w:tcPr>
          <w:p w14:paraId="4DB59AB4" w14:textId="45E9FA82"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145</w:t>
            </w:r>
          </w:p>
        </w:tc>
        <w:tc>
          <w:tcPr>
            <w:tcW w:w="567" w:type="dxa"/>
            <w:shd w:val="clear" w:color="auto" w:fill="auto"/>
            <w:noWrap/>
            <w:vAlign w:val="center"/>
          </w:tcPr>
          <w:p w14:paraId="4AFCCC1F" w14:textId="590A5796" w:rsidR="007418AF" w:rsidRPr="000169EF" w:rsidRDefault="007418AF" w:rsidP="00A54676">
            <w:pPr>
              <w:jc w:val="center"/>
              <w:rPr>
                <w:rFonts w:eastAsia="Times New Roman"/>
                <w:sz w:val="16"/>
                <w:szCs w:val="16"/>
                <w:lang w:eastAsia="hr-HR"/>
              </w:rPr>
            </w:pPr>
          </w:p>
        </w:tc>
        <w:tc>
          <w:tcPr>
            <w:tcW w:w="567" w:type="dxa"/>
            <w:shd w:val="clear" w:color="auto" w:fill="auto"/>
            <w:noWrap/>
            <w:vAlign w:val="center"/>
          </w:tcPr>
          <w:p w14:paraId="5F2FAE35" w14:textId="7969392F"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67</w:t>
            </w:r>
          </w:p>
        </w:tc>
        <w:tc>
          <w:tcPr>
            <w:tcW w:w="651" w:type="dxa"/>
            <w:shd w:val="clear" w:color="auto" w:fill="auto"/>
            <w:noWrap/>
            <w:vAlign w:val="center"/>
          </w:tcPr>
          <w:p w14:paraId="433B0524" w14:textId="69B9DCC6"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410</w:t>
            </w:r>
          </w:p>
        </w:tc>
      </w:tr>
      <w:tr w:rsidR="00532C41" w:rsidRPr="001B4CA2" w14:paraId="1313D192" w14:textId="77777777" w:rsidTr="000169EF">
        <w:trPr>
          <w:trHeight w:val="289"/>
          <w:jc w:val="center"/>
        </w:trPr>
        <w:tc>
          <w:tcPr>
            <w:tcW w:w="797" w:type="dxa"/>
            <w:shd w:val="clear" w:color="auto" w:fill="auto"/>
            <w:noWrap/>
            <w:vAlign w:val="center"/>
            <w:hideMark/>
          </w:tcPr>
          <w:p w14:paraId="3AB976D0" w14:textId="2E824797"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201</w:t>
            </w:r>
            <w:r w:rsidR="00061DE9" w:rsidRPr="000169EF">
              <w:rPr>
                <w:rFonts w:eastAsia="Times New Roman"/>
                <w:sz w:val="16"/>
                <w:szCs w:val="16"/>
                <w:lang w:eastAsia="hr-HR"/>
              </w:rPr>
              <w:t>9</w:t>
            </w:r>
            <w:r w:rsidRPr="000169EF">
              <w:rPr>
                <w:rFonts w:eastAsia="Times New Roman"/>
                <w:sz w:val="16"/>
                <w:szCs w:val="16"/>
                <w:lang w:eastAsia="hr-HR"/>
              </w:rPr>
              <w:t>.</w:t>
            </w:r>
          </w:p>
        </w:tc>
        <w:tc>
          <w:tcPr>
            <w:tcW w:w="674" w:type="dxa"/>
            <w:shd w:val="clear" w:color="auto" w:fill="auto"/>
            <w:noWrap/>
            <w:vAlign w:val="center"/>
            <w:hideMark/>
          </w:tcPr>
          <w:p w14:paraId="780FEC04" w14:textId="108A98EF"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1.</w:t>
            </w:r>
            <w:r w:rsidR="00061DE9" w:rsidRPr="000169EF">
              <w:rPr>
                <w:rFonts w:eastAsia="Times New Roman"/>
                <w:sz w:val="16"/>
                <w:szCs w:val="16"/>
                <w:lang w:eastAsia="hr-HR"/>
              </w:rPr>
              <w:t>476</w:t>
            </w:r>
          </w:p>
        </w:tc>
        <w:tc>
          <w:tcPr>
            <w:tcW w:w="709" w:type="dxa"/>
            <w:shd w:val="clear" w:color="auto" w:fill="auto"/>
            <w:noWrap/>
            <w:vAlign w:val="center"/>
            <w:hideMark/>
          </w:tcPr>
          <w:p w14:paraId="15DE4938" w14:textId="62239489"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1.</w:t>
            </w:r>
            <w:r w:rsidR="00061DE9" w:rsidRPr="000169EF">
              <w:rPr>
                <w:rFonts w:eastAsia="Times New Roman"/>
                <w:sz w:val="16"/>
                <w:szCs w:val="16"/>
                <w:lang w:eastAsia="hr-HR"/>
              </w:rPr>
              <w:t>913</w:t>
            </w:r>
          </w:p>
        </w:tc>
        <w:tc>
          <w:tcPr>
            <w:tcW w:w="709" w:type="dxa"/>
            <w:shd w:val="clear" w:color="auto" w:fill="auto"/>
            <w:noWrap/>
            <w:vAlign w:val="center"/>
            <w:hideMark/>
          </w:tcPr>
          <w:p w14:paraId="0BABB540" w14:textId="2E43DC2A"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417</w:t>
            </w:r>
          </w:p>
        </w:tc>
        <w:tc>
          <w:tcPr>
            <w:tcW w:w="709" w:type="dxa"/>
            <w:shd w:val="clear" w:color="auto" w:fill="auto"/>
            <w:noWrap/>
            <w:vAlign w:val="center"/>
          </w:tcPr>
          <w:p w14:paraId="55550BCD" w14:textId="0974356D"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1.</w:t>
            </w:r>
            <w:r w:rsidR="00061DE9" w:rsidRPr="000169EF">
              <w:rPr>
                <w:rFonts w:eastAsia="Times New Roman"/>
                <w:sz w:val="16"/>
                <w:szCs w:val="16"/>
                <w:lang w:eastAsia="hr-HR"/>
              </w:rPr>
              <w:t>143</w:t>
            </w:r>
          </w:p>
        </w:tc>
        <w:tc>
          <w:tcPr>
            <w:tcW w:w="850" w:type="dxa"/>
            <w:shd w:val="clear" w:color="auto" w:fill="auto"/>
            <w:noWrap/>
            <w:vAlign w:val="center"/>
          </w:tcPr>
          <w:p w14:paraId="3AB2901D" w14:textId="39EA033D"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653</w:t>
            </w:r>
          </w:p>
        </w:tc>
        <w:tc>
          <w:tcPr>
            <w:tcW w:w="709" w:type="dxa"/>
            <w:shd w:val="clear" w:color="auto" w:fill="auto"/>
            <w:noWrap/>
            <w:vAlign w:val="center"/>
          </w:tcPr>
          <w:p w14:paraId="6F4F7DCD" w14:textId="53EAFEBC" w:rsidR="007418AF" w:rsidRPr="000169EF" w:rsidRDefault="007418AF" w:rsidP="00A54676">
            <w:pPr>
              <w:jc w:val="center"/>
              <w:rPr>
                <w:rFonts w:eastAsia="Times New Roman"/>
                <w:sz w:val="16"/>
                <w:szCs w:val="16"/>
                <w:lang w:eastAsia="hr-HR"/>
              </w:rPr>
            </w:pPr>
          </w:p>
        </w:tc>
        <w:tc>
          <w:tcPr>
            <w:tcW w:w="985" w:type="dxa"/>
            <w:shd w:val="clear" w:color="auto" w:fill="auto"/>
            <w:noWrap/>
            <w:vAlign w:val="center"/>
          </w:tcPr>
          <w:p w14:paraId="579A166F" w14:textId="7F8B20B5"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312</w:t>
            </w:r>
          </w:p>
        </w:tc>
        <w:tc>
          <w:tcPr>
            <w:tcW w:w="1031" w:type="dxa"/>
            <w:shd w:val="clear" w:color="auto" w:fill="auto"/>
            <w:noWrap/>
            <w:vAlign w:val="center"/>
          </w:tcPr>
          <w:p w14:paraId="4D5B8EFE" w14:textId="40A72A40"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217</w:t>
            </w:r>
          </w:p>
        </w:tc>
        <w:tc>
          <w:tcPr>
            <w:tcW w:w="567" w:type="dxa"/>
            <w:shd w:val="clear" w:color="auto" w:fill="auto"/>
            <w:noWrap/>
            <w:vAlign w:val="center"/>
          </w:tcPr>
          <w:p w14:paraId="4C898AFA" w14:textId="7CCEEDFB" w:rsidR="007418AF" w:rsidRPr="000169EF" w:rsidRDefault="007418AF" w:rsidP="00A54676">
            <w:pPr>
              <w:jc w:val="center"/>
              <w:rPr>
                <w:rFonts w:eastAsia="Times New Roman"/>
                <w:sz w:val="16"/>
                <w:szCs w:val="16"/>
                <w:lang w:eastAsia="hr-HR"/>
              </w:rPr>
            </w:pPr>
          </w:p>
        </w:tc>
        <w:tc>
          <w:tcPr>
            <w:tcW w:w="567" w:type="dxa"/>
            <w:shd w:val="clear" w:color="auto" w:fill="auto"/>
            <w:noWrap/>
            <w:vAlign w:val="center"/>
            <w:hideMark/>
          </w:tcPr>
          <w:p w14:paraId="53A57774" w14:textId="13F88DFF"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69</w:t>
            </w:r>
          </w:p>
        </w:tc>
        <w:tc>
          <w:tcPr>
            <w:tcW w:w="651" w:type="dxa"/>
            <w:shd w:val="clear" w:color="auto" w:fill="auto"/>
            <w:noWrap/>
            <w:vAlign w:val="center"/>
            <w:hideMark/>
          </w:tcPr>
          <w:p w14:paraId="0DE486CB" w14:textId="263956B2"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391</w:t>
            </w:r>
          </w:p>
        </w:tc>
      </w:tr>
      <w:tr w:rsidR="00532C41" w:rsidRPr="001B4CA2" w14:paraId="0156CC69" w14:textId="77777777" w:rsidTr="000169EF">
        <w:trPr>
          <w:trHeight w:val="289"/>
          <w:jc w:val="center"/>
        </w:trPr>
        <w:tc>
          <w:tcPr>
            <w:tcW w:w="797" w:type="dxa"/>
            <w:shd w:val="clear" w:color="auto" w:fill="auto"/>
            <w:noWrap/>
            <w:vAlign w:val="center"/>
            <w:hideMark/>
          </w:tcPr>
          <w:p w14:paraId="7A5B8DE0" w14:textId="70022322"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20</w:t>
            </w:r>
            <w:r w:rsidR="00061DE9" w:rsidRPr="000169EF">
              <w:rPr>
                <w:rFonts w:eastAsia="Times New Roman"/>
                <w:sz w:val="16"/>
                <w:szCs w:val="16"/>
                <w:lang w:eastAsia="hr-HR"/>
              </w:rPr>
              <w:t>20</w:t>
            </w:r>
            <w:r w:rsidRPr="000169EF">
              <w:rPr>
                <w:rFonts w:eastAsia="Times New Roman"/>
                <w:sz w:val="16"/>
                <w:szCs w:val="16"/>
                <w:lang w:eastAsia="hr-HR"/>
              </w:rPr>
              <w:t>.</w:t>
            </w:r>
          </w:p>
        </w:tc>
        <w:tc>
          <w:tcPr>
            <w:tcW w:w="674" w:type="dxa"/>
            <w:shd w:val="clear" w:color="auto" w:fill="auto"/>
            <w:noWrap/>
            <w:vAlign w:val="center"/>
            <w:hideMark/>
          </w:tcPr>
          <w:p w14:paraId="255EC14A" w14:textId="5D920890"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1.</w:t>
            </w:r>
            <w:r w:rsidR="00061DE9" w:rsidRPr="000169EF">
              <w:rPr>
                <w:rFonts w:eastAsia="Times New Roman"/>
                <w:sz w:val="16"/>
                <w:szCs w:val="16"/>
                <w:lang w:eastAsia="hr-HR"/>
              </w:rPr>
              <w:t>839</w:t>
            </w:r>
          </w:p>
        </w:tc>
        <w:tc>
          <w:tcPr>
            <w:tcW w:w="709" w:type="dxa"/>
            <w:shd w:val="clear" w:color="auto" w:fill="auto"/>
            <w:noWrap/>
            <w:vAlign w:val="center"/>
            <w:hideMark/>
          </w:tcPr>
          <w:p w14:paraId="3F29F18D" w14:textId="57F448DB"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2.397</w:t>
            </w:r>
          </w:p>
        </w:tc>
        <w:tc>
          <w:tcPr>
            <w:tcW w:w="709" w:type="dxa"/>
            <w:shd w:val="clear" w:color="auto" w:fill="auto"/>
            <w:noWrap/>
            <w:vAlign w:val="center"/>
            <w:hideMark/>
          </w:tcPr>
          <w:p w14:paraId="47247481" w14:textId="39382CC0"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386</w:t>
            </w:r>
          </w:p>
        </w:tc>
        <w:tc>
          <w:tcPr>
            <w:tcW w:w="709" w:type="dxa"/>
            <w:shd w:val="clear" w:color="auto" w:fill="auto"/>
            <w:noWrap/>
            <w:vAlign w:val="center"/>
          </w:tcPr>
          <w:p w14:paraId="5C96613D" w14:textId="0C917F5D"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1.</w:t>
            </w:r>
            <w:r w:rsidR="00061DE9" w:rsidRPr="000169EF">
              <w:rPr>
                <w:rFonts w:eastAsia="Times New Roman"/>
                <w:sz w:val="16"/>
                <w:szCs w:val="16"/>
                <w:lang w:eastAsia="hr-HR"/>
              </w:rPr>
              <w:t>100</w:t>
            </w:r>
          </w:p>
        </w:tc>
        <w:tc>
          <w:tcPr>
            <w:tcW w:w="850" w:type="dxa"/>
            <w:shd w:val="clear" w:color="auto" w:fill="auto"/>
            <w:noWrap/>
            <w:vAlign w:val="center"/>
          </w:tcPr>
          <w:p w14:paraId="101D3BFA" w14:textId="5D1D06D9"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379</w:t>
            </w:r>
          </w:p>
        </w:tc>
        <w:tc>
          <w:tcPr>
            <w:tcW w:w="709" w:type="dxa"/>
            <w:shd w:val="clear" w:color="auto" w:fill="auto"/>
            <w:noWrap/>
            <w:vAlign w:val="center"/>
          </w:tcPr>
          <w:p w14:paraId="4C929EFD" w14:textId="50204D67"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122</w:t>
            </w:r>
          </w:p>
        </w:tc>
        <w:tc>
          <w:tcPr>
            <w:tcW w:w="985" w:type="dxa"/>
            <w:shd w:val="clear" w:color="auto" w:fill="auto"/>
            <w:noWrap/>
            <w:vAlign w:val="center"/>
          </w:tcPr>
          <w:p w14:paraId="2FEA4074" w14:textId="4E2CA2DB"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214</w:t>
            </w:r>
          </w:p>
        </w:tc>
        <w:tc>
          <w:tcPr>
            <w:tcW w:w="1031" w:type="dxa"/>
            <w:shd w:val="clear" w:color="auto" w:fill="auto"/>
            <w:noWrap/>
            <w:vAlign w:val="center"/>
          </w:tcPr>
          <w:p w14:paraId="48B7753C" w14:textId="10135984"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133</w:t>
            </w:r>
          </w:p>
        </w:tc>
        <w:tc>
          <w:tcPr>
            <w:tcW w:w="567" w:type="dxa"/>
            <w:shd w:val="clear" w:color="auto" w:fill="auto"/>
            <w:noWrap/>
            <w:vAlign w:val="center"/>
          </w:tcPr>
          <w:p w14:paraId="4119697F" w14:textId="14D10BEB"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163</w:t>
            </w:r>
          </w:p>
        </w:tc>
        <w:tc>
          <w:tcPr>
            <w:tcW w:w="567" w:type="dxa"/>
            <w:shd w:val="clear" w:color="auto" w:fill="auto"/>
            <w:noWrap/>
            <w:vAlign w:val="center"/>
            <w:hideMark/>
          </w:tcPr>
          <w:p w14:paraId="06F0F9CB" w14:textId="367264CC"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142</w:t>
            </w:r>
          </w:p>
        </w:tc>
        <w:tc>
          <w:tcPr>
            <w:tcW w:w="651" w:type="dxa"/>
            <w:shd w:val="clear" w:color="auto" w:fill="auto"/>
            <w:noWrap/>
            <w:vAlign w:val="center"/>
            <w:hideMark/>
          </w:tcPr>
          <w:p w14:paraId="65AB8D40" w14:textId="412829B0"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86</w:t>
            </w:r>
          </w:p>
        </w:tc>
      </w:tr>
      <w:tr w:rsidR="00532C41" w:rsidRPr="001B4CA2" w14:paraId="22FA5F52" w14:textId="77777777" w:rsidTr="000169EF">
        <w:trPr>
          <w:trHeight w:val="300"/>
          <w:jc w:val="center"/>
        </w:trPr>
        <w:tc>
          <w:tcPr>
            <w:tcW w:w="797" w:type="dxa"/>
            <w:shd w:val="clear" w:color="auto" w:fill="auto"/>
            <w:noWrap/>
            <w:vAlign w:val="center"/>
            <w:hideMark/>
          </w:tcPr>
          <w:p w14:paraId="79EC8ACB" w14:textId="41E356AE"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202</w:t>
            </w:r>
            <w:r w:rsidR="00061DE9" w:rsidRPr="000169EF">
              <w:rPr>
                <w:rFonts w:eastAsia="Times New Roman"/>
                <w:sz w:val="16"/>
                <w:szCs w:val="16"/>
                <w:lang w:eastAsia="hr-HR"/>
              </w:rPr>
              <w:t>1</w:t>
            </w:r>
            <w:r w:rsidRPr="000169EF">
              <w:rPr>
                <w:rFonts w:eastAsia="Times New Roman"/>
                <w:sz w:val="16"/>
                <w:szCs w:val="16"/>
                <w:lang w:eastAsia="hr-HR"/>
              </w:rPr>
              <w:t>.</w:t>
            </w:r>
          </w:p>
        </w:tc>
        <w:tc>
          <w:tcPr>
            <w:tcW w:w="674" w:type="dxa"/>
            <w:shd w:val="clear" w:color="auto" w:fill="auto"/>
            <w:noWrap/>
            <w:vAlign w:val="center"/>
            <w:hideMark/>
          </w:tcPr>
          <w:p w14:paraId="029585DD" w14:textId="54AFE34E"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1.</w:t>
            </w:r>
            <w:r w:rsidR="00061DE9" w:rsidRPr="000169EF">
              <w:rPr>
                <w:rFonts w:eastAsia="Times New Roman"/>
                <w:sz w:val="16"/>
                <w:szCs w:val="16"/>
                <w:lang w:eastAsia="hr-HR"/>
              </w:rPr>
              <w:t>857</w:t>
            </w:r>
          </w:p>
        </w:tc>
        <w:tc>
          <w:tcPr>
            <w:tcW w:w="709" w:type="dxa"/>
            <w:shd w:val="clear" w:color="auto" w:fill="auto"/>
            <w:noWrap/>
            <w:vAlign w:val="center"/>
            <w:hideMark/>
          </w:tcPr>
          <w:p w14:paraId="3D3D0E62" w14:textId="55801A7B"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2.234</w:t>
            </w:r>
          </w:p>
        </w:tc>
        <w:tc>
          <w:tcPr>
            <w:tcW w:w="709" w:type="dxa"/>
            <w:shd w:val="clear" w:color="auto" w:fill="auto"/>
            <w:noWrap/>
            <w:vAlign w:val="center"/>
            <w:hideMark/>
          </w:tcPr>
          <w:p w14:paraId="6A5D87B0" w14:textId="106AB59B"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389</w:t>
            </w:r>
          </w:p>
        </w:tc>
        <w:tc>
          <w:tcPr>
            <w:tcW w:w="709" w:type="dxa"/>
            <w:shd w:val="clear" w:color="auto" w:fill="auto"/>
            <w:noWrap/>
            <w:vAlign w:val="center"/>
          </w:tcPr>
          <w:p w14:paraId="212B63B9" w14:textId="1D0F43A0"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1.</w:t>
            </w:r>
            <w:r w:rsidR="00061DE9" w:rsidRPr="000169EF">
              <w:rPr>
                <w:rFonts w:eastAsia="Times New Roman"/>
                <w:sz w:val="16"/>
                <w:szCs w:val="16"/>
                <w:lang w:eastAsia="hr-HR"/>
              </w:rPr>
              <w:t>055</w:t>
            </w:r>
          </w:p>
        </w:tc>
        <w:tc>
          <w:tcPr>
            <w:tcW w:w="850" w:type="dxa"/>
            <w:shd w:val="clear" w:color="auto" w:fill="auto"/>
            <w:noWrap/>
            <w:vAlign w:val="center"/>
          </w:tcPr>
          <w:p w14:paraId="189D828E" w14:textId="1BBBC825"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523</w:t>
            </w:r>
          </w:p>
        </w:tc>
        <w:tc>
          <w:tcPr>
            <w:tcW w:w="709" w:type="dxa"/>
            <w:shd w:val="clear" w:color="auto" w:fill="auto"/>
            <w:noWrap/>
            <w:vAlign w:val="center"/>
          </w:tcPr>
          <w:p w14:paraId="6DA64CF6" w14:textId="54CD8376"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119</w:t>
            </w:r>
          </w:p>
        </w:tc>
        <w:tc>
          <w:tcPr>
            <w:tcW w:w="985" w:type="dxa"/>
            <w:shd w:val="clear" w:color="auto" w:fill="auto"/>
            <w:noWrap/>
            <w:vAlign w:val="center"/>
          </w:tcPr>
          <w:p w14:paraId="1FE36F3B" w14:textId="54DFC065"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229</w:t>
            </w:r>
          </w:p>
        </w:tc>
        <w:tc>
          <w:tcPr>
            <w:tcW w:w="1031" w:type="dxa"/>
            <w:shd w:val="clear" w:color="auto" w:fill="auto"/>
            <w:noWrap/>
            <w:vAlign w:val="center"/>
          </w:tcPr>
          <w:p w14:paraId="732EF9A1" w14:textId="455326B5"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118</w:t>
            </w:r>
          </w:p>
        </w:tc>
        <w:tc>
          <w:tcPr>
            <w:tcW w:w="567" w:type="dxa"/>
            <w:shd w:val="clear" w:color="auto" w:fill="auto"/>
            <w:noWrap/>
            <w:vAlign w:val="center"/>
          </w:tcPr>
          <w:p w14:paraId="6C2B9577" w14:textId="2810D1FB"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173</w:t>
            </w:r>
          </w:p>
        </w:tc>
        <w:tc>
          <w:tcPr>
            <w:tcW w:w="567" w:type="dxa"/>
            <w:shd w:val="clear" w:color="auto" w:fill="auto"/>
            <w:noWrap/>
            <w:vAlign w:val="center"/>
            <w:hideMark/>
          </w:tcPr>
          <w:p w14:paraId="5F11D95C" w14:textId="4A5CB0BF"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1</w:t>
            </w:r>
            <w:r w:rsidR="00061DE9" w:rsidRPr="000169EF">
              <w:rPr>
                <w:rFonts w:eastAsia="Times New Roman"/>
                <w:sz w:val="16"/>
                <w:szCs w:val="16"/>
                <w:lang w:eastAsia="hr-HR"/>
              </w:rPr>
              <w:t>52</w:t>
            </w:r>
          </w:p>
        </w:tc>
        <w:tc>
          <w:tcPr>
            <w:tcW w:w="651" w:type="dxa"/>
            <w:shd w:val="clear" w:color="auto" w:fill="auto"/>
            <w:noWrap/>
            <w:vAlign w:val="center"/>
            <w:hideMark/>
          </w:tcPr>
          <w:p w14:paraId="4ACC8440" w14:textId="7BCF7732"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129</w:t>
            </w:r>
          </w:p>
        </w:tc>
      </w:tr>
      <w:tr w:rsidR="007418AF" w:rsidRPr="001B4CA2" w14:paraId="3C6BFC28" w14:textId="77777777" w:rsidTr="000169EF">
        <w:trPr>
          <w:trHeight w:val="300"/>
          <w:jc w:val="center"/>
        </w:trPr>
        <w:tc>
          <w:tcPr>
            <w:tcW w:w="797" w:type="dxa"/>
            <w:shd w:val="clear" w:color="auto" w:fill="auto"/>
            <w:noWrap/>
            <w:vAlign w:val="center"/>
          </w:tcPr>
          <w:p w14:paraId="5568AC50" w14:textId="7A01930A"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202</w:t>
            </w:r>
            <w:r w:rsidR="00061DE9" w:rsidRPr="000169EF">
              <w:rPr>
                <w:rFonts w:eastAsia="Times New Roman"/>
                <w:sz w:val="16"/>
                <w:szCs w:val="16"/>
                <w:lang w:eastAsia="hr-HR"/>
              </w:rPr>
              <w:t>2</w:t>
            </w:r>
            <w:r w:rsidRPr="000169EF">
              <w:rPr>
                <w:rFonts w:eastAsia="Times New Roman"/>
                <w:sz w:val="16"/>
                <w:szCs w:val="16"/>
                <w:lang w:eastAsia="hr-HR"/>
              </w:rPr>
              <w:t>.</w:t>
            </w:r>
          </w:p>
        </w:tc>
        <w:tc>
          <w:tcPr>
            <w:tcW w:w="674" w:type="dxa"/>
            <w:shd w:val="clear" w:color="auto" w:fill="auto"/>
            <w:noWrap/>
            <w:vAlign w:val="center"/>
          </w:tcPr>
          <w:p w14:paraId="2BA75D65" w14:textId="27A624F7"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1.</w:t>
            </w:r>
            <w:r w:rsidR="00061DE9" w:rsidRPr="000169EF">
              <w:rPr>
                <w:rFonts w:eastAsia="Times New Roman"/>
                <w:sz w:val="16"/>
                <w:szCs w:val="16"/>
                <w:lang w:eastAsia="hr-HR"/>
              </w:rPr>
              <w:t>965</w:t>
            </w:r>
          </w:p>
        </w:tc>
        <w:tc>
          <w:tcPr>
            <w:tcW w:w="709" w:type="dxa"/>
            <w:shd w:val="clear" w:color="auto" w:fill="auto"/>
            <w:noWrap/>
            <w:vAlign w:val="center"/>
          </w:tcPr>
          <w:p w14:paraId="4EB6A77C" w14:textId="79B90FF5"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2.352</w:t>
            </w:r>
          </w:p>
        </w:tc>
        <w:tc>
          <w:tcPr>
            <w:tcW w:w="709" w:type="dxa"/>
            <w:shd w:val="clear" w:color="auto" w:fill="auto"/>
            <w:noWrap/>
            <w:vAlign w:val="center"/>
          </w:tcPr>
          <w:p w14:paraId="504417F0" w14:textId="2297D698"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455</w:t>
            </w:r>
          </w:p>
        </w:tc>
        <w:tc>
          <w:tcPr>
            <w:tcW w:w="709" w:type="dxa"/>
            <w:shd w:val="clear" w:color="auto" w:fill="auto"/>
            <w:noWrap/>
            <w:vAlign w:val="center"/>
          </w:tcPr>
          <w:p w14:paraId="5F572E7F" w14:textId="344A379B"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1.</w:t>
            </w:r>
            <w:r w:rsidR="00061DE9" w:rsidRPr="000169EF">
              <w:rPr>
                <w:rFonts w:eastAsia="Times New Roman"/>
                <w:sz w:val="16"/>
                <w:szCs w:val="16"/>
                <w:lang w:eastAsia="hr-HR"/>
              </w:rPr>
              <w:t>060</w:t>
            </w:r>
          </w:p>
        </w:tc>
        <w:tc>
          <w:tcPr>
            <w:tcW w:w="850" w:type="dxa"/>
            <w:shd w:val="clear" w:color="auto" w:fill="auto"/>
            <w:noWrap/>
            <w:vAlign w:val="center"/>
          </w:tcPr>
          <w:p w14:paraId="2E9FB5F3" w14:textId="5866FC29"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537</w:t>
            </w:r>
          </w:p>
        </w:tc>
        <w:tc>
          <w:tcPr>
            <w:tcW w:w="709" w:type="dxa"/>
            <w:shd w:val="clear" w:color="auto" w:fill="auto"/>
            <w:noWrap/>
            <w:vAlign w:val="center"/>
          </w:tcPr>
          <w:p w14:paraId="4013EFC3" w14:textId="76A06704"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124</w:t>
            </w:r>
          </w:p>
        </w:tc>
        <w:tc>
          <w:tcPr>
            <w:tcW w:w="985" w:type="dxa"/>
            <w:shd w:val="clear" w:color="auto" w:fill="auto"/>
            <w:noWrap/>
            <w:vAlign w:val="center"/>
          </w:tcPr>
          <w:p w14:paraId="57E1E66D" w14:textId="5FF10A37"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255</w:t>
            </w:r>
          </w:p>
        </w:tc>
        <w:tc>
          <w:tcPr>
            <w:tcW w:w="1031" w:type="dxa"/>
            <w:shd w:val="clear" w:color="auto" w:fill="auto"/>
            <w:noWrap/>
            <w:vAlign w:val="center"/>
          </w:tcPr>
          <w:p w14:paraId="1051D498" w14:textId="3A64DCD7"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154</w:t>
            </w:r>
          </w:p>
        </w:tc>
        <w:tc>
          <w:tcPr>
            <w:tcW w:w="567" w:type="dxa"/>
            <w:shd w:val="clear" w:color="auto" w:fill="auto"/>
            <w:noWrap/>
            <w:vAlign w:val="center"/>
          </w:tcPr>
          <w:p w14:paraId="2E557B66" w14:textId="19044518"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158</w:t>
            </w:r>
          </w:p>
        </w:tc>
        <w:tc>
          <w:tcPr>
            <w:tcW w:w="567" w:type="dxa"/>
            <w:shd w:val="clear" w:color="auto" w:fill="auto"/>
            <w:noWrap/>
            <w:vAlign w:val="center"/>
          </w:tcPr>
          <w:p w14:paraId="206BCA07" w14:textId="118CEA36" w:rsidR="007418AF" w:rsidRPr="000169EF" w:rsidRDefault="007418AF" w:rsidP="00A54676">
            <w:pPr>
              <w:jc w:val="center"/>
              <w:rPr>
                <w:rFonts w:eastAsia="Times New Roman"/>
                <w:sz w:val="16"/>
                <w:szCs w:val="16"/>
                <w:lang w:eastAsia="hr-HR"/>
              </w:rPr>
            </w:pPr>
            <w:r w:rsidRPr="000169EF">
              <w:rPr>
                <w:rFonts w:eastAsia="Times New Roman"/>
                <w:sz w:val="16"/>
                <w:szCs w:val="16"/>
                <w:lang w:eastAsia="hr-HR"/>
              </w:rPr>
              <w:t>1</w:t>
            </w:r>
            <w:r w:rsidR="00061DE9" w:rsidRPr="000169EF">
              <w:rPr>
                <w:rFonts w:eastAsia="Times New Roman"/>
                <w:sz w:val="16"/>
                <w:szCs w:val="16"/>
                <w:lang w:eastAsia="hr-HR"/>
              </w:rPr>
              <w:t>46</w:t>
            </w:r>
          </w:p>
        </w:tc>
        <w:tc>
          <w:tcPr>
            <w:tcW w:w="651" w:type="dxa"/>
            <w:shd w:val="clear" w:color="auto" w:fill="auto"/>
            <w:noWrap/>
            <w:vAlign w:val="center"/>
          </w:tcPr>
          <w:p w14:paraId="62323D71" w14:textId="6B166824" w:rsidR="007418AF" w:rsidRPr="000169EF" w:rsidRDefault="00061DE9" w:rsidP="00A54676">
            <w:pPr>
              <w:jc w:val="center"/>
              <w:rPr>
                <w:rFonts w:eastAsia="Times New Roman"/>
                <w:sz w:val="16"/>
                <w:szCs w:val="16"/>
                <w:lang w:eastAsia="hr-HR"/>
              </w:rPr>
            </w:pPr>
            <w:r w:rsidRPr="000169EF">
              <w:rPr>
                <w:rFonts w:eastAsia="Times New Roman"/>
                <w:sz w:val="16"/>
                <w:szCs w:val="16"/>
                <w:lang w:eastAsia="hr-HR"/>
              </w:rPr>
              <w:t>136</w:t>
            </w:r>
          </w:p>
        </w:tc>
      </w:tr>
    </w:tbl>
    <w:p w14:paraId="2A470580" w14:textId="77777777" w:rsidR="00BE0972" w:rsidRPr="001B4CA2" w:rsidRDefault="00BE0972" w:rsidP="005C4A9A"/>
    <w:p w14:paraId="615529CC" w14:textId="5BEF913E" w:rsidR="00061DE9" w:rsidRPr="001B4CA2" w:rsidRDefault="00061DE9" w:rsidP="00061DE9">
      <w:pPr>
        <w:ind w:firstLine="708"/>
      </w:pPr>
      <w:r w:rsidRPr="001B4CA2">
        <w:t>U odnosu na prethodno izvještajno razdoblje bilježimo porast broja rješenja o provođenju pripremnog postupka za 30,5</w:t>
      </w:r>
      <w:r w:rsidR="004D189E">
        <w:t> </w:t>
      </w:r>
      <w:r w:rsidRPr="001B4CA2">
        <w:t>% što znači da se u izvještajnom razdoblju maloljetnici pojavljuju kao počinitelji kaznenih djela za koja je sukladno članku 75. Zakona o sudovima za mladež propisano da će se provesti pripremni postupak jer se radi o kaznenim djelima za koja se prema odredbama Zakona o kaznenom postupku provodi istraga (članak 216. Zakona o kaznenom postupku). Bilježimo neznat</w:t>
      </w:r>
      <w:r w:rsidR="004D189E">
        <w:t>an</w:t>
      </w:r>
      <w:r w:rsidRPr="001B4CA2">
        <w:t xml:space="preserve"> porast broja prethodno provedenih istraživanja u svrhu podnošenja tzv. neposrednog prijedloga za izricanje maloljetničke sankcije. Broj odbačenih kaznenih prijava primjenom </w:t>
      </w:r>
      <w:proofErr w:type="spellStart"/>
      <w:r w:rsidRPr="001B4CA2">
        <w:t>oportuniteta</w:t>
      </w:r>
      <w:proofErr w:type="spellEnd"/>
      <w:r w:rsidRPr="001B4CA2">
        <w:t xml:space="preserve"> na razini je prethodnog</w:t>
      </w:r>
      <w:r w:rsidR="004D189E">
        <w:t>a</w:t>
      </w:r>
      <w:r w:rsidRPr="001B4CA2">
        <w:t xml:space="preserve"> izvještajnog razdoblja. </w:t>
      </w:r>
    </w:p>
    <w:p w14:paraId="5BDC8E1E" w14:textId="77777777" w:rsidR="00042B73" w:rsidRPr="001B4CA2" w:rsidRDefault="00042B73" w:rsidP="00FC63F7"/>
    <w:p w14:paraId="70A35693" w14:textId="7AC5F0B2" w:rsidR="006F2CA0" w:rsidRPr="001B4CA2" w:rsidRDefault="00DF69D3" w:rsidP="000F634C">
      <w:pPr>
        <w:pStyle w:val="Naslov5"/>
        <w:tabs>
          <w:tab w:val="left" w:pos="1276"/>
          <w:tab w:val="left" w:pos="1418"/>
        </w:tabs>
        <w:ind w:left="1985" w:hanging="1559"/>
        <w:rPr>
          <w:rFonts w:ascii="Arial" w:hAnsi="Arial" w:cs="Arial"/>
        </w:rPr>
      </w:pPr>
      <w:bookmarkStart w:id="30" w:name="_Toc133394293"/>
      <w:r w:rsidRPr="001B4CA2">
        <w:rPr>
          <w:rFonts w:ascii="Arial" w:hAnsi="Arial" w:cs="Arial"/>
        </w:rPr>
        <w:t xml:space="preserve">Odluke </w:t>
      </w:r>
      <w:r w:rsidR="00AF2EE0" w:rsidRPr="001B4CA2">
        <w:rPr>
          <w:rFonts w:ascii="Arial" w:hAnsi="Arial" w:cs="Arial"/>
        </w:rPr>
        <w:t>o kaznenoj prijavi nakon dovršenog istraživanja</w:t>
      </w:r>
      <w:bookmarkEnd w:id="30"/>
    </w:p>
    <w:p w14:paraId="1612F42B" w14:textId="77777777" w:rsidR="000169EF" w:rsidRDefault="000169EF" w:rsidP="0052260C">
      <w:pPr>
        <w:ind w:left="567"/>
      </w:pPr>
    </w:p>
    <w:p w14:paraId="5AA38EED" w14:textId="05046E95" w:rsidR="006F2CA0" w:rsidRPr="001B4CA2" w:rsidRDefault="006F2CA0" w:rsidP="0052260C">
      <w:pPr>
        <w:ind w:left="567"/>
        <w:rPr>
          <w:i/>
        </w:rPr>
      </w:pPr>
      <w:r w:rsidRPr="001B4CA2">
        <w:rPr>
          <w:i/>
        </w:rPr>
        <w:t>Odluke o kaznenim prijava</w:t>
      </w:r>
      <w:r w:rsidR="0052260C" w:rsidRPr="001B4CA2">
        <w:rPr>
          <w:i/>
        </w:rPr>
        <w:t>ma nakon dovršenog istraživanja</w:t>
      </w:r>
      <w:r w:rsidR="002271CC" w:rsidRPr="001B4CA2">
        <w:rPr>
          <w:i/>
        </w:rPr>
        <w:t xml:space="preserve"> (sve osobe)</w:t>
      </w:r>
    </w:p>
    <w:tbl>
      <w:tblPr>
        <w:tblW w:w="8222" w:type="dxa"/>
        <w:tblInd w:w="4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5"/>
        <w:gridCol w:w="709"/>
        <w:gridCol w:w="709"/>
        <w:gridCol w:w="850"/>
        <w:gridCol w:w="746"/>
        <w:gridCol w:w="708"/>
        <w:gridCol w:w="709"/>
        <w:gridCol w:w="709"/>
        <w:gridCol w:w="709"/>
        <w:gridCol w:w="709"/>
        <w:gridCol w:w="709"/>
      </w:tblGrid>
      <w:tr w:rsidR="00532C41" w:rsidRPr="001B4CA2" w14:paraId="1C6E0E23" w14:textId="77777777" w:rsidTr="00895BB0">
        <w:trPr>
          <w:trHeight w:val="426"/>
        </w:trPr>
        <w:tc>
          <w:tcPr>
            <w:tcW w:w="955" w:type="dxa"/>
            <w:vMerge w:val="restart"/>
            <w:shd w:val="clear" w:color="auto" w:fill="99CCFF"/>
            <w:vAlign w:val="center"/>
            <w:hideMark/>
          </w:tcPr>
          <w:p w14:paraId="296BCC0A" w14:textId="77777777" w:rsidR="006F2CA0" w:rsidRPr="001B4CA2" w:rsidRDefault="006F2CA0" w:rsidP="006F2CA0">
            <w:pPr>
              <w:jc w:val="center"/>
              <w:rPr>
                <w:rFonts w:eastAsia="Times New Roman"/>
                <w:b/>
                <w:bCs/>
                <w:sz w:val="18"/>
                <w:szCs w:val="18"/>
                <w:lang w:eastAsia="hr-HR"/>
              </w:rPr>
            </w:pPr>
            <w:r w:rsidRPr="001B4CA2">
              <w:rPr>
                <w:rFonts w:eastAsia="Times New Roman"/>
                <w:b/>
                <w:bCs/>
                <w:sz w:val="18"/>
                <w:szCs w:val="18"/>
                <w:lang w:eastAsia="hr-HR"/>
              </w:rPr>
              <w:t>Godina</w:t>
            </w:r>
          </w:p>
        </w:tc>
        <w:tc>
          <w:tcPr>
            <w:tcW w:w="2268" w:type="dxa"/>
            <w:gridSpan w:val="3"/>
            <w:shd w:val="clear" w:color="auto" w:fill="99CCFF"/>
            <w:vAlign w:val="center"/>
            <w:hideMark/>
          </w:tcPr>
          <w:p w14:paraId="277F6F41" w14:textId="77777777" w:rsidR="006F2CA0" w:rsidRPr="001B4CA2" w:rsidRDefault="006F2CA0" w:rsidP="006F2CA0">
            <w:pPr>
              <w:jc w:val="center"/>
              <w:rPr>
                <w:rFonts w:eastAsia="Times New Roman"/>
                <w:b/>
                <w:bCs/>
                <w:sz w:val="18"/>
                <w:szCs w:val="18"/>
                <w:lang w:eastAsia="hr-HR"/>
              </w:rPr>
            </w:pPr>
            <w:r w:rsidRPr="001B4CA2">
              <w:rPr>
                <w:rFonts w:eastAsia="Times New Roman"/>
                <w:b/>
                <w:bCs/>
                <w:sz w:val="18"/>
                <w:szCs w:val="18"/>
                <w:lang w:eastAsia="hr-HR"/>
              </w:rPr>
              <w:t>U radu</w:t>
            </w:r>
          </w:p>
        </w:tc>
        <w:tc>
          <w:tcPr>
            <w:tcW w:w="4290" w:type="dxa"/>
            <w:gridSpan w:val="6"/>
            <w:shd w:val="clear" w:color="auto" w:fill="99CCFF"/>
            <w:vAlign w:val="center"/>
            <w:hideMark/>
          </w:tcPr>
          <w:p w14:paraId="5EDBDF5D" w14:textId="77777777" w:rsidR="006F2CA0" w:rsidRPr="001B4CA2" w:rsidRDefault="006F2CA0" w:rsidP="006F2CA0">
            <w:pPr>
              <w:jc w:val="center"/>
              <w:rPr>
                <w:rFonts w:eastAsia="Times New Roman"/>
                <w:b/>
                <w:bCs/>
                <w:sz w:val="18"/>
                <w:szCs w:val="18"/>
                <w:lang w:eastAsia="hr-HR"/>
              </w:rPr>
            </w:pPr>
            <w:r w:rsidRPr="001B4CA2">
              <w:rPr>
                <w:rFonts w:eastAsia="Times New Roman"/>
                <w:b/>
                <w:bCs/>
                <w:sz w:val="18"/>
                <w:szCs w:val="18"/>
                <w:lang w:eastAsia="hr-HR"/>
              </w:rPr>
              <w:t>Odluke DO</w:t>
            </w:r>
          </w:p>
        </w:tc>
        <w:tc>
          <w:tcPr>
            <w:tcW w:w="709" w:type="dxa"/>
            <w:vMerge w:val="restart"/>
            <w:shd w:val="clear" w:color="auto" w:fill="99CCFF"/>
            <w:textDirection w:val="btLr"/>
            <w:vAlign w:val="center"/>
            <w:hideMark/>
          </w:tcPr>
          <w:p w14:paraId="3414C8F4" w14:textId="77777777" w:rsidR="006F2CA0" w:rsidRPr="001B4CA2" w:rsidRDefault="006F2CA0" w:rsidP="006F2CA0">
            <w:pPr>
              <w:jc w:val="left"/>
              <w:rPr>
                <w:rFonts w:eastAsia="Times New Roman"/>
                <w:b/>
                <w:bCs/>
                <w:sz w:val="18"/>
                <w:szCs w:val="18"/>
                <w:lang w:eastAsia="hr-HR"/>
              </w:rPr>
            </w:pPr>
            <w:r w:rsidRPr="001B4CA2">
              <w:rPr>
                <w:rFonts w:eastAsia="Times New Roman"/>
                <w:b/>
                <w:bCs/>
                <w:sz w:val="18"/>
                <w:szCs w:val="18"/>
                <w:lang w:eastAsia="hr-HR"/>
              </w:rPr>
              <w:t>Ostalo u radu</w:t>
            </w:r>
          </w:p>
        </w:tc>
      </w:tr>
      <w:tr w:rsidR="00532C41" w:rsidRPr="001B4CA2" w14:paraId="6411CF5C" w14:textId="77777777" w:rsidTr="00523B88">
        <w:trPr>
          <w:trHeight w:val="3945"/>
        </w:trPr>
        <w:tc>
          <w:tcPr>
            <w:tcW w:w="955" w:type="dxa"/>
            <w:vMerge/>
            <w:shd w:val="clear" w:color="auto" w:fill="99CCFF"/>
            <w:vAlign w:val="center"/>
            <w:hideMark/>
          </w:tcPr>
          <w:p w14:paraId="452111DB" w14:textId="77777777" w:rsidR="006F2CA0" w:rsidRPr="001B4CA2" w:rsidRDefault="006F2CA0" w:rsidP="006F2CA0">
            <w:pPr>
              <w:jc w:val="left"/>
              <w:rPr>
                <w:rFonts w:eastAsia="Times New Roman"/>
                <w:b/>
                <w:bCs/>
                <w:sz w:val="18"/>
                <w:szCs w:val="18"/>
                <w:lang w:eastAsia="hr-HR"/>
              </w:rPr>
            </w:pPr>
          </w:p>
        </w:tc>
        <w:tc>
          <w:tcPr>
            <w:tcW w:w="709" w:type="dxa"/>
            <w:shd w:val="clear" w:color="auto" w:fill="99CCFF"/>
            <w:textDirection w:val="btLr"/>
            <w:vAlign w:val="center"/>
            <w:hideMark/>
          </w:tcPr>
          <w:p w14:paraId="20B6E0CB" w14:textId="77777777" w:rsidR="006F2CA0" w:rsidRPr="001B4CA2" w:rsidRDefault="006F2CA0" w:rsidP="006F2CA0">
            <w:pPr>
              <w:jc w:val="left"/>
              <w:rPr>
                <w:rFonts w:eastAsia="Times New Roman"/>
                <w:sz w:val="18"/>
                <w:szCs w:val="18"/>
                <w:lang w:eastAsia="hr-HR"/>
              </w:rPr>
            </w:pPr>
            <w:r w:rsidRPr="001B4CA2">
              <w:rPr>
                <w:rFonts w:eastAsia="Times New Roman"/>
                <w:sz w:val="18"/>
                <w:szCs w:val="18"/>
                <w:lang w:eastAsia="hr-HR"/>
              </w:rPr>
              <w:t xml:space="preserve">Ostalo u radu </w:t>
            </w:r>
          </w:p>
        </w:tc>
        <w:tc>
          <w:tcPr>
            <w:tcW w:w="709" w:type="dxa"/>
            <w:shd w:val="clear" w:color="auto" w:fill="99CCFF"/>
            <w:textDirection w:val="btLr"/>
            <w:vAlign w:val="center"/>
            <w:hideMark/>
          </w:tcPr>
          <w:p w14:paraId="22DA843E" w14:textId="77777777" w:rsidR="006F2CA0" w:rsidRPr="001B4CA2" w:rsidRDefault="006F2CA0" w:rsidP="006F2CA0">
            <w:pPr>
              <w:jc w:val="left"/>
              <w:rPr>
                <w:rFonts w:eastAsia="Times New Roman"/>
                <w:sz w:val="18"/>
                <w:szCs w:val="18"/>
                <w:lang w:eastAsia="hr-HR"/>
              </w:rPr>
            </w:pPr>
            <w:r w:rsidRPr="001B4CA2">
              <w:rPr>
                <w:rFonts w:eastAsia="Times New Roman"/>
                <w:sz w:val="18"/>
                <w:szCs w:val="18"/>
                <w:lang w:eastAsia="hr-HR"/>
              </w:rPr>
              <w:t>Pokrenuto u izvještajnom razdoblju</w:t>
            </w:r>
          </w:p>
        </w:tc>
        <w:tc>
          <w:tcPr>
            <w:tcW w:w="850" w:type="dxa"/>
            <w:shd w:val="clear" w:color="auto" w:fill="99CCFF"/>
            <w:textDirection w:val="btLr"/>
            <w:vAlign w:val="center"/>
            <w:hideMark/>
          </w:tcPr>
          <w:p w14:paraId="341016B7" w14:textId="77777777" w:rsidR="006F2CA0" w:rsidRPr="001B4CA2" w:rsidRDefault="006F2CA0" w:rsidP="006F2CA0">
            <w:pPr>
              <w:jc w:val="left"/>
              <w:rPr>
                <w:rFonts w:eastAsia="Times New Roman"/>
                <w:b/>
                <w:bCs/>
                <w:sz w:val="18"/>
                <w:szCs w:val="18"/>
                <w:lang w:eastAsia="hr-HR"/>
              </w:rPr>
            </w:pPr>
            <w:r w:rsidRPr="001B4CA2">
              <w:rPr>
                <w:rFonts w:eastAsia="Times New Roman"/>
                <w:b/>
                <w:bCs/>
                <w:sz w:val="18"/>
                <w:szCs w:val="18"/>
                <w:lang w:eastAsia="hr-HR"/>
              </w:rPr>
              <w:t>Ukupno u radu</w:t>
            </w:r>
          </w:p>
        </w:tc>
        <w:tc>
          <w:tcPr>
            <w:tcW w:w="746" w:type="dxa"/>
            <w:shd w:val="clear" w:color="auto" w:fill="99CCFF"/>
            <w:textDirection w:val="btLr"/>
            <w:vAlign w:val="center"/>
            <w:hideMark/>
          </w:tcPr>
          <w:p w14:paraId="68443C4D" w14:textId="77777777" w:rsidR="006F2CA0" w:rsidRPr="001B4CA2" w:rsidRDefault="006F2CA0" w:rsidP="006F2CA0">
            <w:pPr>
              <w:jc w:val="left"/>
              <w:rPr>
                <w:rFonts w:eastAsia="Times New Roman"/>
                <w:sz w:val="18"/>
                <w:szCs w:val="18"/>
                <w:lang w:eastAsia="hr-HR"/>
              </w:rPr>
            </w:pPr>
            <w:r w:rsidRPr="001B4CA2">
              <w:rPr>
                <w:rFonts w:eastAsia="Times New Roman"/>
                <w:sz w:val="18"/>
                <w:szCs w:val="18"/>
                <w:lang w:eastAsia="hr-HR"/>
              </w:rPr>
              <w:t>Rješenje o odbačaju</w:t>
            </w:r>
          </w:p>
        </w:tc>
        <w:tc>
          <w:tcPr>
            <w:tcW w:w="708" w:type="dxa"/>
            <w:shd w:val="clear" w:color="auto" w:fill="99CCFF"/>
            <w:textDirection w:val="btLr"/>
            <w:vAlign w:val="center"/>
            <w:hideMark/>
          </w:tcPr>
          <w:p w14:paraId="1CCA3D4D" w14:textId="77777777" w:rsidR="006F2CA0" w:rsidRPr="001B4CA2" w:rsidRDefault="006F2CA0" w:rsidP="006F2CA0">
            <w:pPr>
              <w:jc w:val="left"/>
              <w:rPr>
                <w:rFonts w:eastAsia="Times New Roman"/>
                <w:sz w:val="18"/>
                <w:szCs w:val="18"/>
                <w:lang w:eastAsia="hr-HR"/>
              </w:rPr>
            </w:pPr>
            <w:r w:rsidRPr="001B4CA2">
              <w:rPr>
                <w:rFonts w:eastAsia="Times New Roman"/>
                <w:sz w:val="18"/>
                <w:szCs w:val="18"/>
                <w:lang w:eastAsia="hr-HR"/>
              </w:rPr>
              <w:t>Službena bilješka o podizanju optužnice</w:t>
            </w:r>
          </w:p>
        </w:tc>
        <w:tc>
          <w:tcPr>
            <w:tcW w:w="709" w:type="dxa"/>
            <w:shd w:val="clear" w:color="auto" w:fill="99CCFF"/>
            <w:textDirection w:val="btLr"/>
            <w:vAlign w:val="center"/>
            <w:hideMark/>
          </w:tcPr>
          <w:p w14:paraId="159E78F5" w14:textId="0545C46B" w:rsidR="006F2CA0" w:rsidRPr="001B4CA2" w:rsidRDefault="006F2CA0" w:rsidP="006F2CA0">
            <w:pPr>
              <w:jc w:val="left"/>
              <w:rPr>
                <w:rFonts w:eastAsia="Times New Roman"/>
                <w:sz w:val="18"/>
                <w:szCs w:val="18"/>
                <w:lang w:eastAsia="hr-HR"/>
              </w:rPr>
            </w:pPr>
            <w:r w:rsidRPr="001B4CA2">
              <w:rPr>
                <w:rFonts w:eastAsia="Times New Roman"/>
                <w:sz w:val="18"/>
                <w:szCs w:val="18"/>
                <w:lang w:eastAsia="hr-HR"/>
              </w:rPr>
              <w:t xml:space="preserve">Službena bilješka o podnošenju prijedloga za izricanje </w:t>
            </w:r>
            <w:r w:rsidR="005E5855" w:rsidRPr="001B4CA2">
              <w:rPr>
                <w:rFonts w:eastAsia="Times New Roman"/>
                <w:sz w:val="18"/>
                <w:szCs w:val="18"/>
                <w:lang w:eastAsia="hr-HR"/>
              </w:rPr>
              <w:t>maloljetničke</w:t>
            </w:r>
            <w:r w:rsidRPr="001B4CA2">
              <w:rPr>
                <w:rFonts w:eastAsia="Times New Roman"/>
                <w:sz w:val="18"/>
                <w:szCs w:val="18"/>
                <w:lang w:eastAsia="hr-HR"/>
              </w:rPr>
              <w:t xml:space="preserve"> sankcije</w:t>
            </w:r>
          </w:p>
        </w:tc>
        <w:tc>
          <w:tcPr>
            <w:tcW w:w="709" w:type="dxa"/>
            <w:shd w:val="clear" w:color="auto" w:fill="99CCFF"/>
            <w:textDirection w:val="btLr"/>
            <w:vAlign w:val="center"/>
            <w:hideMark/>
          </w:tcPr>
          <w:p w14:paraId="7B931B81" w14:textId="77777777" w:rsidR="006F2CA0" w:rsidRPr="001B4CA2" w:rsidRDefault="006F2CA0" w:rsidP="006F2CA0">
            <w:pPr>
              <w:jc w:val="left"/>
              <w:rPr>
                <w:rFonts w:eastAsia="Times New Roman"/>
                <w:sz w:val="18"/>
                <w:szCs w:val="18"/>
                <w:lang w:eastAsia="hr-HR"/>
              </w:rPr>
            </w:pPr>
            <w:r w:rsidRPr="001B4CA2">
              <w:rPr>
                <w:rFonts w:eastAsia="Times New Roman"/>
                <w:sz w:val="18"/>
                <w:szCs w:val="18"/>
                <w:lang w:eastAsia="hr-HR"/>
              </w:rPr>
              <w:t>Ustup</w:t>
            </w:r>
          </w:p>
        </w:tc>
        <w:tc>
          <w:tcPr>
            <w:tcW w:w="709" w:type="dxa"/>
            <w:shd w:val="clear" w:color="auto" w:fill="99CCFF"/>
            <w:textDirection w:val="btLr"/>
            <w:vAlign w:val="center"/>
            <w:hideMark/>
          </w:tcPr>
          <w:p w14:paraId="55930F29" w14:textId="77777777" w:rsidR="006F2CA0" w:rsidRPr="001B4CA2" w:rsidRDefault="006F2CA0" w:rsidP="006F2CA0">
            <w:pPr>
              <w:jc w:val="left"/>
              <w:rPr>
                <w:rFonts w:eastAsia="Times New Roman"/>
                <w:sz w:val="18"/>
                <w:szCs w:val="18"/>
                <w:lang w:eastAsia="hr-HR"/>
              </w:rPr>
            </w:pPr>
            <w:r w:rsidRPr="001B4CA2">
              <w:rPr>
                <w:rFonts w:eastAsia="Times New Roman"/>
                <w:sz w:val="18"/>
                <w:szCs w:val="18"/>
                <w:lang w:eastAsia="hr-HR"/>
              </w:rPr>
              <w:t>Riješeno na drugi način</w:t>
            </w:r>
          </w:p>
        </w:tc>
        <w:tc>
          <w:tcPr>
            <w:tcW w:w="709" w:type="dxa"/>
            <w:shd w:val="clear" w:color="auto" w:fill="99CCFF"/>
            <w:textDirection w:val="btLr"/>
            <w:vAlign w:val="center"/>
            <w:hideMark/>
          </w:tcPr>
          <w:p w14:paraId="05B975EF" w14:textId="77777777" w:rsidR="006F2CA0" w:rsidRPr="001B4CA2" w:rsidRDefault="006F2CA0" w:rsidP="006F2CA0">
            <w:pPr>
              <w:jc w:val="left"/>
              <w:rPr>
                <w:rFonts w:eastAsia="Times New Roman"/>
                <w:b/>
                <w:bCs/>
                <w:sz w:val="18"/>
                <w:szCs w:val="18"/>
                <w:lang w:eastAsia="hr-HR"/>
              </w:rPr>
            </w:pPr>
            <w:r w:rsidRPr="001B4CA2">
              <w:rPr>
                <w:rFonts w:eastAsia="Times New Roman"/>
                <w:b/>
                <w:bCs/>
                <w:sz w:val="18"/>
                <w:szCs w:val="18"/>
                <w:lang w:eastAsia="hr-HR"/>
              </w:rPr>
              <w:t>Ukupno odluka</w:t>
            </w:r>
          </w:p>
        </w:tc>
        <w:tc>
          <w:tcPr>
            <w:tcW w:w="709" w:type="dxa"/>
            <w:vMerge/>
            <w:shd w:val="clear" w:color="auto" w:fill="99CCFF"/>
            <w:vAlign w:val="center"/>
            <w:hideMark/>
          </w:tcPr>
          <w:p w14:paraId="36EE03BA" w14:textId="77777777" w:rsidR="006F2CA0" w:rsidRPr="001B4CA2" w:rsidRDefault="006F2CA0" w:rsidP="006F2CA0">
            <w:pPr>
              <w:jc w:val="left"/>
              <w:rPr>
                <w:rFonts w:eastAsia="Times New Roman"/>
                <w:b/>
                <w:bCs/>
                <w:sz w:val="18"/>
                <w:szCs w:val="18"/>
                <w:lang w:eastAsia="hr-HR"/>
              </w:rPr>
            </w:pPr>
          </w:p>
        </w:tc>
      </w:tr>
      <w:tr w:rsidR="00532C41" w:rsidRPr="001B4CA2" w14:paraId="0044CBAE" w14:textId="77777777" w:rsidTr="00C918AA">
        <w:trPr>
          <w:trHeight w:val="292"/>
        </w:trPr>
        <w:tc>
          <w:tcPr>
            <w:tcW w:w="955" w:type="dxa"/>
            <w:shd w:val="clear" w:color="auto" w:fill="99CCFF"/>
            <w:vAlign w:val="center"/>
            <w:hideMark/>
          </w:tcPr>
          <w:p w14:paraId="1A4CDFA1" w14:textId="77777777" w:rsidR="006F2CA0" w:rsidRPr="001B4CA2" w:rsidRDefault="006F2CA0" w:rsidP="006F2CA0">
            <w:pPr>
              <w:jc w:val="center"/>
              <w:rPr>
                <w:rFonts w:eastAsia="Times New Roman"/>
                <w:sz w:val="18"/>
                <w:szCs w:val="18"/>
                <w:lang w:eastAsia="hr-HR"/>
              </w:rPr>
            </w:pPr>
            <w:r w:rsidRPr="001B4CA2">
              <w:rPr>
                <w:rFonts w:eastAsia="Times New Roman"/>
                <w:sz w:val="18"/>
                <w:szCs w:val="18"/>
                <w:lang w:eastAsia="hr-HR"/>
              </w:rPr>
              <w:t>1</w:t>
            </w:r>
          </w:p>
        </w:tc>
        <w:tc>
          <w:tcPr>
            <w:tcW w:w="709" w:type="dxa"/>
            <w:shd w:val="clear" w:color="auto" w:fill="99CCFF"/>
            <w:vAlign w:val="center"/>
            <w:hideMark/>
          </w:tcPr>
          <w:p w14:paraId="122BE9D9" w14:textId="77777777" w:rsidR="006F2CA0" w:rsidRPr="001B4CA2" w:rsidRDefault="006F2CA0" w:rsidP="006F2CA0">
            <w:pPr>
              <w:jc w:val="center"/>
              <w:rPr>
                <w:rFonts w:eastAsia="Times New Roman"/>
                <w:sz w:val="18"/>
                <w:szCs w:val="18"/>
                <w:lang w:eastAsia="hr-HR"/>
              </w:rPr>
            </w:pPr>
            <w:r w:rsidRPr="001B4CA2">
              <w:rPr>
                <w:rFonts w:eastAsia="Times New Roman"/>
                <w:sz w:val="18"/>
                <w:szCs w:val="18"/>
                <w:lang w:eastAsia="hr-HR"/>
              </w:rPr>
              <w:t>2</w:t>
            </w:r>
          </w:p>
        </w:tc>
        <w:tc>
          <w:tcPr>
            <w:tcW w:w="709" w:type="dxa"/>
            <w:shd w:val="clear" w:color="auto" w:fill="99CCFF"/>
            <w:vAlign w:val="center"/>
            <w:hideMark/>
          </w:tcPr>
          <w:p w14:paraId="39B6F2D0" w14:textId="77777777" w:rsidR="006F2CA0" w:rsidRPr="001B4CA2" w:rsidRDefault="006F2CA0" w:rsidP="006F2CA0">
            <w:pPr>
              <w:jc w:val="center"/>
              <w:rPr>
                <w:rFonts w:eastAsia="Times New Roman"/>
                <w:sz w:val="18"/>
                <w:szCs w:val="18"/>
                <w:lang w:eastAsia="hr-HR"/>
              </w:rPr>
            </w:pPr>
            <w:r w:rsidRPr="001B4CA2">
              <w:rPr>
                <w:rFonts w:eastAsia="Times New Roman"/>
                <w:sz w:val="18"/>
                <w:szCs w:val="18"/>
                <w:lang w:eastAsia="hr-HR"/>
              </w:rPr>
              <w:t>3</w:t>
            </w:r>
          </w:p>
        </w:tc>
        <w:tc>
          <w:tcPr>
            <w:tcW w:w="850" w:type="dxa"/>
            <w:shd w:val="clear" w:color="auto" w:fill="99CCFF"/>
            <w:vAlign w:val="center"/>
            <w:hideMark/>
          </w:tcPr>
          <w:p w14:paraId="3A8DEC41" w14:textId="77777777" w:rsidR="006F2CA0" w:rsidRPr="001B4CA2" w:rsidRDefault="006F2CA0" w:rsidP="006F2CA0">
            <w:pPr>
              <w:jc w:val="center"/>
              <w:rPr>
                <w:rFonts w:eastAsia="Times New Roman"/>
                <w:sz w:val="18"/>
                <w:szCs w:val="18"/>
                <w:lang w:eastAsia="hr-HR"/>
              </w:rPr>
            </w:pPr>
            <w:r w:rsidRPr="001B4CA2">
              <w:rPr>
                <w:rFonts w:eastAsia="Times New Roman"/>
                <w:sz w:val="18"/>
                <w:szCs w:val="18"/>
                <w:lang w:eastAsia="hr-HR"/>
              </w:rPr>
              <w:t>4</w:t>
            </w:r>
          </w:p>
        </w:tc>
        <w:tc>
          <w:tcPr>
            <w:tcW w:w="746" w:type="dxa"/>
            <w:shd w:val="clear" w:color="auto" w:fill="99CCFF"/>
            <w:vAlign w:val="center"/>
            <w:hideMark/>
          </w:tcPr>
          <w:p w14:paraId="71AD5985" w14:textId="77777777" w:rsidR="006F2CA0" w:rsidRPr="001B4CA2" w:rsidRDefault="006F2CA0" w:rsidP="006F2CA0">
            <w:pPr>
              <w:jc w:val="center"/>
              <w:rPr>
                <w:rFonts w:eastAsia="Times New Roman"/>
                <w:sz w:val="18"/>
                <w:szCs w:val="18"/>
                <w:lang w:eastAsia="hr-HR"/>
              </w:rPr>
            </w:pPr>
            <w:r w:rsidRPr="001B4CA2">
              <w:rPr>
                <w:rFonts w:eastAsia="Times New Roman"/>
                <w:sz w:val="18"/>
                <w:szCs w:val="18"/>
                <w:lang w:eastAsia="hr-HR"/>
              </w:rPr>
              <w:t>5</w:t>
            </w:r>
          </w:p>
        </w:tc>
        <w:tc>
          <w:tcPr>
            <w:tcW w:w="708" w:type="dxa"/>
            <w:shd w:val="clear" w:color="auto" w:fill="99CCFF"/>
            <w:vAlign w:val="center"/>
            <w:hideMark/>
          </w:tcPr>
          <w:p w14:paraId="22503057" w14:textId="77777777" w:rsidR="006F2CA0" w:rsidRPr="001B4CA2" w:rsidRDefault="006F2CA0" w:rsidP="006F2CA0">
            <w:pPr>
              <w:jc w:val="center"/>
              <w:rPr>
                <w:rFonts w:eastAsia="Times New Roman"/>
                <w:sz w:val="18"/>
                <w:szCs w:val="18"/>
                <w:lang w:eastAsia="hr-HR"/>
              </w:rPr>
            </w:pPr>
            <w:r w:rsidRPr="001B4CA2">
              <w:rPr>
                <w:rFonts w:eastAsia="Times New Roman"/>
                <w:sz w:val="18"/>
                <w:szCs w:val="18"/>
                <w:lang w:eastAsia="hr-HR"/>
              </w:rPr>
              <w:t>6</w:t>
            </w:r>
          </w:p>
        </w:tc>
        <w:tc>
          <w:tcPr>
            <w:tcW w:w="709" w:type="dxa"/>
            <w:shd w:val="clear" w:color="auto" w:fill="99CCFF"/>
            <w:vAlign w:val="center"/>
            <w:hideMark/>
          </w:tcPr>
          <w:p w14:paraId="795B382B" w14:textId="77777777" w:rsidR="006F2CA0" w:rsidRPr="001B4CA2" w:rsidRDefault="006F2CA0" w:rsidP="006F2CA0">
            <w:pPr>
              <w:jc w:val="center"/>
              <w:rPr>
                <w:rFonts w:eastAsia="Times New Roman"/>
                <w:sz w:val="18"/>
                <w:szCs w:val="18"/>
                <w:lang w:eastAsia="hr-HR"/>
              </w:rPr>
            </w:pPr>
            <w:r w:rsidRPr="001B4CA2">
              <w:rPr>
                <w:rFonts w:eastAsia="Times New Roman"/>
                <w:sz w:val="18"/>
                <w:szCs w:val="18"/>
                <w:lang w:eastAsia="hr-HR"/>
              </w:rPr>
              <w:t>7</w:t>
            </w:r>
          </w:p>
        </w:tc>
        <w:tc>
          <w:tcPr>
            <w:tcW w:w="709" w:type="dxa"/>
            <w:shd w:val="clear" w:color="auto" w:fill="99CCFF"/>
            <w:vAlign w:val="center"/>
            <w:hideMark/>
          </w:tcPr>
          <w:p w14:paraId="3B86BD29" w14:textId="77777777" w:rsidR="006F2CA0" w:rsidRPr="001B4CA2" w:rsidRDefault="006F2CA0" w:rsidP="006F2CA0">
            <w:pPr>
              <w:jc w:val="center"/>
              <w:rPr>
                <w:rFonts w:eastAsia="Times New Roman"/>
                <w:sz w:val="18"/>
                <w:szCs w:val="18"/>
                <w:lang w:eastAsia="hr-HR"/>
              </w:rPr>
            </w:pPr>
            <w:r w:rsidRPr="001B4CA2">
              <w:rPr>
                <w:rFonts w:eastAsia="Times New Roman"/>
                <w:sz w:val="18"/>
                <w:szCs w:val="18"/>
                <w:lang w:eastAsia="hr-HR"/>
              </w:rPr>
              <w:t>8</w:t>
            </w:r>
          </w:p>
        </w:tc>
        <w:tc>
          <w:tcPr>
            <w:tcW w:w="709" w:type="dxa"/>
            <w:shd w:val="clear" w:color="auto" w:fill="99CCFF"/>
            <w:vAlign w:val="center"/>
            <w:hideMark/>
          </w:tcPr>
          <w:p w14:paraId="3B13AB2E" w14:textId="77777777" w:rsidR="006F2CA0" w:rsidRPr="001B4CA2" w:rsidRDefault="006F2CA0" w:rsidP="006F2CA0">
            <w:pPr>
              <w:jc w:val="center"/>
              <w:rPr>
                <w:rFonts w:eastAsia="Times New Roman"/>
                <w:sz w:val="18"/>
                <w:szCs w:val="18"/>
                <w:lang w:eastAsia="hr-HR"/>
              </w:rPr>
            </w:pPr>
            <w:r w:rsidRPr="001B4CA2">
              <w:rPr>
                <w:rFonts w:eastAsia="Times New Roman"/>
                <w:sz w:val="18"/>
                <w:szCs w:val="18"/>
                <w:lang w:eastAsia="hr-HR"/>
              </w:rPr>
              <w:t>9</w:t>
            </w:r>
          </w:p>
        </w:tc>
        <w:tc>
          <w:tcPr>
            <w:tcW w:w="709" w:type="dxa"/>
            <w:shd w:val="clear" w:color="auto" w:fill="99CCFF"/>
            <w:vAlign w:val="center"/>
            <w:hideMark/>
          </w:tcPr>
          <w:p w14:paraId="7C9AE304" w14:textId="77777777" w:rsidR="006F2CA0" w:rsidRPr="001B4CA2" w:rsidRDefault="006F2CA0" w:rsidP="006F2CA0">
            <w:pPr>
              <w:jc w:val="center"/>
              <w:rPr>
                <w:rFonts w:eastAsia="Times New Roman"/>
                <w:sz w:val="18"/>
                <w:szCs w:val="18"/>
                <w:lang w:eastAsia="hr-HR"/>
              </w:rPr>
            </w:pPr>
            <w:r w:rsidRPr="001B4CA2">
              <w:rPr>
                <w:rFonts w:eastAsia="Times New Roman"/>
                <w:sz w:val="18"/>
                <w:szCs w:val="18"/>
                <w:lang w:eastAsia="hr-HR"/>
              </w:rPr>
              <w:t>10</w:t>
            </w:r>
          </w:p>
        </w:tc>
        <w:tc>
          <w:tcPr>
            <w:tcW w:w="709" w:type="dxa"/>
            <w:shd w:val="clear" w:color="auto" w:fill="99CCFF"/>
            <w:vAlign w:val="center"/>
            <w:hideMark/>
          </w:tcPr>
          <w:p w14:paraId="5D041274" w14:textId="77777777" w:rsidR="006F2CA0" w:rsidRPr="001B4CA2" w:rsidRDefault="006F2CA0" w:rsidP="006F2CA0">
            <w:pPr>
              <w:jc w:val="center"/>
              <w:rPr>
                <w:rFonts w:eastAsia="Times New Roman"/>
                <w:sz w:val="18"/>
                <w:szCs w:val="18"/>
                <w:lang w:eastAsia="hr-HR"/>
              </w:rPr>
            </w:pPr>
            <w:r w:rsidRPr="001B4CA2">
              <w:rPr>
                <w:rFonts w:eastAsia="Times New Roman"/>
                <w:sz w:val="18"/>
                <w:szCs w:val="18"/>
                <w:lang w:eastAsia="hr-HR"/>
              </w:rPr>
              <w:t>11</w:t>
            </w:r>
          </w:p>
        </w:tc>
      </w:tr>
      <w:tr w:rsidR="0090046D" w:rsidRPr="001B4CA2" w14:paraId="2C8FD942" w14:textId="77777777" w:rsidTr="00C918AA">
        <w:trPr>
          <w:trHeight w:val="292"/>
        </w:trPr>
        <w:tc>
          <w:tcPr>
            <w:tcW w:w="955" w:type="dxa"/>
            <w:shd w:val="clear" w:color="auto" w:fill="auto"/>
            <w:vAlign w:val="center"/>
          </w:tcPr>
          <w:p w14:paraId="6A467606" w14:textId="3E3573C5" w:rsidR="0090046D" w:rsidRPr="001B4CA2" w:rsidRDefault="0090046D" w:rsidP="006F2CA0">
            <w:pPr>
              <w:jc w:val="center"/>
              <w:rPr>
                <w:rFonts w:eastAsia="Times New Roman"/>
                <w:sz w:val="18"/>
                <w:szCs w:val="18"/>
                <w:lang w:eastAsia="hr-HR"/>
              </w:rPr>
            </w:pPr>
            <w:r w:rsidRPr="001B4CA2">
              <w:rPr>
                <w:rFonts w:eastAsia="Times New Roman"/>
                <w:color w:val="000000"/>
                <w:sz w:val="18"/>
                <w:szCs w:val="18"/>
                <w:lang w:eastAsia="hr-HR"/>
              </w:rPr>
              <w:t>202</w:t>
            </w:r>
            <w:r w:rsidR="00BA387B" w:rsidRPr="001B4CA2">
              <w:rPr>
                <w:rFonts w:eastAsia="Times New Roman"/>
                <w:color w:val="000000"/>
                <w:sz w:val="18"/>
                <w:szCs w:val="18"/>
                <w:lang w:eastAsia="hr-HR"/>
              </w:rPr>
              <w:t>2</w:t>
            </w:r>
            <w:r w:rsidRPr="001B4CA2">
              <w:rPr>
                <w:rFonts w:eastAsia="Times New Roman"/>
                <w:color w:val="000000"/>
                <w:sz w:val="18"/>
                <w:szCs w:val="18"/>
                <w:lang w:eastAsia="hr-HR"/>
              </w:rPr>
              <w:t>.</w:t>
            </w:r>
          </w:p>
        </w:tc>
        <w:tc>
          <w:tcPr>
            <w:tcW w:w="709" w:type="dxa"/>
            <w:shd w:val="clear" w:color="auto" w:fill="auto"/>
            <w:vAlign w:val="center"/>
          </w:tcPr>
          <w:p w14:paraId="2C2ABDA4" w14:textId="1A44D4CE" w:rsidR="0090046D" w:rsidRPr="001B4CA2" w:rsidRDefault="00BA387B" w:rsidP="006F2CA0">
            <w:pPr>
              <w:jc w:val="center"/>
              <w:rPr>
                <w:rFonts w:eastAsia="Times New Roman"/>
                <w:sz w:val="18"/>
                <w:szCs w:val="18"/>
                <w:lang w:eastAsia="hr-HR"/>
              </w:rPr>
            </w:pPr>
            <w:r w:rsidRPr="001B4CA2">
              <w:rPr>
                <w:rFonts w:eastAsia="Times New Roman"/>
                <w:color w:val="000000"/>
                <w:sz w:val="18"/>
                <w:szCs w:val="18"/>
                <w:lang w:eastAsia="hr-HR"/>
              </w:rPr>
              <w:t>3.126</w:t>
            </w:r>
          </w:p>
        </w:tc>
        <w:tc>
          <w:tcPr>
            <w:tcW w:w="709" w:type="dxa"/>
            <w:shd w:val="clear" w:color="auto" w:fill="auto"/>
            <w:vAlign w:val="center"/>
          </w:tcPr>
          <w:p w14:paraId="7EBA0F4C" w14:textId="3D1962B5" w:rsidR="0090046D" w:rsidRPr="001B4CA2" w:rsidRDefault="00BA387B" w:rsidP="006F2CA0">
            <w:pPr>
              <w:jc w:val="center"/>
              <w:rPr>
                <w:rFonts w:eastAsia="Times New Roman"/>
                <w:sz w:val="18"/>
                <w:szCs w:val="18"/>
                <w:lang w:eastAsia="hr-HR"/>
              </w:rPr>
            </w:pPr>
            <w:r w:rsidRPr="001B4CA2">
              <w:rPr>
                <w:rFonts w:eastAsia="Times New Roman"/>
                <w:color w:val="000000"/>
                <w:sz w:val="18"/>
                <w:szCs w:val="18"/>
                <w:lang w:eastAsia="hr-HR"/>
              </w:rPr>
              <w:t>9.757</w:t>
            </w:r>
          </w:p>
        </w:tc>
        <w:tc>
          <w:tcPr>
            <w:tcW w:w="850" w:type="dxa"/>
            <w:shd w:val="clear" w:color="auto" w:fill="auto"/>
            <w:vAlign w:val="center"/>
          </w:tcPr>
          <w:p w14:paraId="42E9C4D4" w14:textId="4F268BFD" w:rsidR="0090046D" w:rsidRPr="001B4CA2" w:rsidRDefault="00BA387B" w:rsidP="006F2CA0">
            <w:pPr>
              <w:jc w:val="center"/>
              <w:rPr>
                <w:rFonts w:eastAsia="Times New Roman"/>
                <w:b/>
                <w:bCs/>
                <w:sz w:val="18"/>
                <w:szCs w:val="18"/>
                <w:lang w:eastAsia="hr-HR"/>
              </w:rPr>
            </w:pPr>
            <w:r w:rsidRPr="001B4CA2">
              <w:rPr>
                <w:rFonts w:eastAsia="Times New Roman"/>
                <w:b/>
                <w:bCs/>
                <w:color w:val="000000"/>
                <w:sz w:val="18"/>
                <w:szCs w:val="18"/>
                <w:lang w:eastAsia="hr-HR"/>
              </w:rPr>
              <w:t>12.883</w:t>
            </w:r>
          </w:p>
        </w:tc>
        <w:tc>
          <w:tcPr>
            <w:tcW w:w="746" w:type="dxa"/>
            <w:shd w:val="clear" w:color="auto" w:fill="auto"/>
            <w:vAlign w:val="center"/>
          </w:tcPr>
          <w:p w14:paraId="1D30DA5A" w14:textId="16F6190D" w:rsidR="0090046D" w:rsidRPr="001B4CA2" w:rsidRDefault="00BA387B" w:rsidP="006F2CA0">
            <w:pPr>
              <w:jc w:val="center"/>
              <w:rPr>
                <w:rFonts w:eastAsia="Times New Roman"/>
                <w:sz w:val="18"/>
                <w:szCs w:val="18"/>
                <w:lang w:eastAsia="hr-HR"/>
              </w:rPr>
            </w:pPr>
            <w:r w:rsidRPr="001B4CA2">
              <w:rPr>
                <w:rFonts w:eastAsia="Times New Roman"/>
                <w:color w:val="000000"/>
                <w:sz w:val="18"/>
                <w:szCs w:val="18"/>
                <w:lang w:eastAsia="hr-HR"/>
              </w:rPr>
              <w:t>2.044</w:t>
            </w:r>
          </w:p>
        </w:tc>
        <w:tc>
          <w:tcPr>
            <w:tcW w:w="708" w:type="dxa"/>
            <w:shd w:val="clear" w:color="auto" w:fill="auto"/>
            <w:vAlign w:val="center"/>
          </w:tcPr>
          <w:p w14:paraId="7635604B" w14:textId="41B6B557" w:rsidR="0090046D" w:rsidRPr="001B4CA2" w:rsidRDefault="0090046D" w:rsidP="006F2CA0">
            <w:pPr>
              <w:jc w:val="center"/>
              <w:rPr>
                <w:rFonts w:eastAsia="Times New Roman"/>
                <w:sz w:val="18"/>
                <w:szCs w:val="18"/>
                <w:lang w:eastAsia="hr-HR"/>
              </w:rPr>
            </w:pPr>
            <w:r w:rsidRPr="001B4CA2">
              <w:rPr>
                <w:rFonts w:eastAsia="Times New Roman"/>
                <w:color w:val="000000"/>
                <w:sz w:val="18"/>
                <w:szCs w:val="18"/>
                <w:lang w:eastAsia="hr-HR"/>
              </w:rPr>
              <w:t>6.</w:t>
            </w:r>
            <w:r w:rsidR="00BA387B" w:rsidRPr="001B4CA2">
              <w:rPr>
                <w:rFonts w:eastAsia="Times New Roman"/>
                <w:color w:val="000000"/>
                <w:sz w:val="18"/>
                <w:szCs w:val="18"/>
                <w:lang w:eastAsia="hr-HR"/>
              </w:rPr>
              <w:t>562</w:t>
            </w:r>
          </w:p>
        </w:tc>
        <w:tc>
          <w:tcPr>
            <w:tcW w:w="709" w:type="dxa"/>
            <w:shd w:val="clear" w:color="auto" w:fill="auto"/>
            <w:vAlign w:val="center"/>
          </w:tcPr>
          <w:p w14:paraId="78BC26E3" w14:textId="22C178ED" w:rsidR="0090046D" w:rsidRPr="001B4CA2" w:rsidRDefault="00BA387B" w:rsidP="006F2CA0">
            <w:pPr>
              <w:jc w:val="center"/>
              <w:rPr>
                <w:rFonts w:eastAsia="Times New Roman"/>
                <w:sz w:val="18"/>
                <w:szCs w:val="18"/>
                <w:lang w:eastAsia="hr-HR"/>
              </w:rPr>
            </w:pPr>
            <w:r w:rsidRPr="001B4CA2">
              <w:rPr>
                <w:rFonts w:eastAsia="Times New Roman"/>
                <w:color w:val="000000"/>
                <w:sz w:val="18"/>
                <w:szCs w:val="18"/>
                <w:lang w:eastAsia="hr-HR"/>
              </w:rPr>
              <w:t>90</w:t>
            </w:r>
          </w:p>
        </w:tc>
        <w:tc>
          <w:tcPr>
            <w:tcW w:w="709" w:type="dxa"/>
            <w:shd w:val="clear" w:color="auto" w:fill="auto"/>
            <w:vAlign w:val="center"/>
          </w:tcPr>
          <w:p w14:paraId="652CC63A" w14:textId="1FE4CD41" w:rsidR="0090046D" w:rsidRPr="001B4CA2" w:rsidRDefault="0090046D" w:rsidP="006F2CA0">
            <w:pPr>
              <w:jc w:val="center"/>
              <w:rPr>
                <w:rFonts w:eastAsia="Times New Roman"/>
                <w:sz w:val="18"/>
                <w:szCs w:val="18"/>
                <w:lang w:eastAsia="hr-HR"/>
              </w:rPr>
            </w:pPr>
            <w:r w:rsidRPr="001B4CA2">
              <w:rPr>
                <w:rFonts w:eastAsia="Times New Roman"/>
                <w:color w:val="000000"/>
                <w:sz w:val="18"/>
                <w:szCs w:val="18"/>
                <w:lang w:eastAsia="hr-HR"/>
              </w:rPr>
              <w:t>37</w:t>
            </w:r>
          </w:p>
        </w:tc>
        <w:tc>
          <w:tcPr>
            <w:tcW w:w="709" w:type="dxa"/>
            <w:shd w:val="clear" w:color="auto" w:fill="auto"/>
            <w:vAlign w:val="center"/>
          </w:tcPr>
          <w:p w14:paraId="01BD9157" w14:textId="3B568D03" w:rsidR="0090046D" w:rsidRPr="001B4CA2" w:rsidRDefault="0090046D" w:rsidP="006F2CA0">
            <w:pPr>
              <w:jc w:val="center"/>
              <w:rPr>
                <w:rFonts w:eastAsia="Times New Roman"/>
                <w:sz w:val="18"/>
                <w:szCs w:val="18"/>
                <w:lang w:eastAsia="hr-HR"/>
              </w:rPr>
            </w:pPr>
            <w:r w:rsidRPr="001B4CA2">
              <w:rPr>
                <w:rFonts w:eastAsia="Times New Roman"/>
                <w:color w:val="000000"/>
                <w:sz w:val="18"/>
                <w:szCs w:val="18"/>
                <w:lang w:eastAsia="hr-HR"/>
              </w:rPr>
              <w:t>2</w:t>
            </w:r>
            <w:r w:rsidR="00BA387B" w:rsidRPr="001B4CA2">
              <w:rPr>
                <w:rFonts w:eastAsia="Times New Roman"/>
                <w:color w:val="000000"/>
                <w:sz w:val="18"/>
                <w:szCs w:val="18"/>
                <w:lang w:eastAsia="hr-HR"/>
              </w:rPr>
              <w:t>43</w:t>
            </w:r>
          </w:p>
        </w:tc>
        <w:tc>
          <w:tcPr>
            <w:tcW w:w="709" w:type="dxa"/>
            <w:shd w:val="clear" w:color="auto" w:fill="auto"/>
            <w:vAlign w:val="center"/>
          </w:tcPr>
          <w:p w14:paraId="607D6A28" w14:textId="1E83B44C" w:rsidR="0090046D" w:rsidRPr="001B4CA2" w:rsidRDefault="0090046D" w:rsidP="006F2CA0">
            <w:pPr>
              <w:jc w:val="center"/>
              <w:rPr>
                <w:rFonts w:eastAsia="Times New Roman"/>
                <w:b/>
                <w:bCs/>
                <w:sz w:val="18"/>
                <w:szCs w:val="18"/>
                <w:lang w:eastAsia="hr-HR"/>
              </w:rPr>
            </w:pPr>
            <w:r w:rsidRPr="001B4CA2">
              <w:rPr>
                <w:rFonts w:eastAsia="Times New Roman"/>
                <w:b/>
                <w:bCs/>
                <w:color w:val="000000"/>
                <w:sz w:val="18"/>
                <w:szCs w:val="18"/>
                <w:lang w:eastAsia="hr-HR"/>
              </w:rPr>
              <w:t>8.</w:t>
            </w:r>
            <w:r w:rsidR="00BA387B" w:rsidRPr="001B4CA2">
              <w:rPr>
                <w:rFonts w:eastAsia="Times New Roman"/>
                <w:b/>
                <w:bCs/>
                <w:color w:val="000000"/>
                <w:sz w:val="18"/>
                <w:szCs w:val="18"/>
                <w:lang w:eastAsia="hr-HR"/>
              </w:rPr>
              <w:t>976</w:t>
            </w:r>
          </w:p>
        </w:tc>
        <w:tc>
          <w:tcPr>
            <w:tcW w:w="709" w:type="dxa"/>
            <w:shd w:val="clear" w:color="auto" w:fill="auto"/>
            <w:vAlign w:val="center"/>
          </w:tcPr>
          <w:p w14:paraId="465E592C" w14:textId="2C0C01AB" w:rsidR="0090046D" w:rsidRPr="001B4CA2" w:rsidRDefault="0090046D" w:rsidP="006F2CA0">
            <w:pPr>
              <w:jc w:val="center"/>
              <w:rPr>
                <w:rFonts w:eastAsia="Times New Roman"/>
                <w:b/>
                <w:bCs/>
                <w:sz w:val="18"/>
                <w:szCs w:val="18"/>
                <w:lang w:eastAsia="hr-HR"/>
              </w:rPr>
            </w:pPr>
            <w:r w:rsidRPr="001B4CA2">
              <w:rPr>
                <w:rFonts w:eastAsia="Times New Roman"/>
                <w:b/>
                <w:bCs/>
                <w:color w:val="000000"/>
                <w:sz w:val="18"/>
                <w:szCs w:val="18"/>
                <w:lang w:eastAsia="hr-HR"/>
              </w:rPr>
              <w:t>3.</w:t>
            </w:r>
            <w:r w:rsidR="00BA387B" w:rsidRPr="001B4CA2">
              <w:rPr>
                <w:rFonts w:eastAsia="Times New Roman"/>
                <w:b/>
                <w:bCs/>
                <w:color w:val="000000"/>
                <w:sz w:val="18"/>
                <w:szCs w:val="18"/>
                <w:lang w:eastAsia="hr-HR"/>
              </w:rPr>
              <w:t>907</w:t>
            </w:r>
          </w:p>
        </w:tc>
      </w:tr>
    </w:tbl>
    <w:p w14:paraId="0E6BE289" w14:textId="77777777" w:rsidR="006F2CA0" w:rsidRPr="001B4CA2" w:rsidRDefault="006F2CA0" w:rsidP="00FC63F7"/>
    <w:p w14:paraId="5F60FDA3" w14:textId="24EC059E" w:rsidR="001B4CA2" w:rsidRDefault="001B4CA2" w:rsidP="001B4CA2">
      <w:pPr>
        <w:rPr>
          <w:bCs/>
        </w:rPr>
      </w:pPr>
      <w:r>
        <w:tab/>
      </w:r>
      <w:r w:rsidR="00BA387B" w:rsidRPr="001B4CA2">
        <w:t>N</w:t>
      </w:r>
      <w:r w:rsidR="00BA387B" w:rsidRPr="001B4CA2">
        <w:rPr>
          <w:bCs/>
        </w:rPr>
        <w:t>akon dovršenog istraživanja, prema strukturi odluka u 73,1</w:t>
      </w:r>
      <w:r w:rsidR="004D189E">
        <w:rPr>
          <w:bCs/>
        </w:rPr>
        <w:t> </w:t>
      </w:r>
      <w:r w:rsidR="00BA387B" w:rsidRPr="001B4CA2">
        <w:rPr>
          <w:bCs/>
        </w:rPr>
        <w:t xml:space="preserve">% predmeta podignuta </w:t>
      </w:r>
      <w:r w:rsidR="004D189E" w:rsidRPr="001B4CA2">
        <w:rPr>
          <w:bCs/>
        </w:rPr>
        <w:t xml:space="preserve">je </w:t>
      </w:r>
      <w:r w:rsidR="00BA387B" w:rsidRPr="001B4CA2">
        <w:rPr>
          <w:bCs/>
        </w:rPr>
        <w:t xml:space="preserve">optužnica, a kaznena je </w:t>
      </w:r>
      <w:r w:rsidR="004D189E" w:rsidRPr="001B4CA2">
        <w:rPr>
          <w:bCs/>
        </w:rPr>
        <w:t xml:space="preserve">prijava </w:t>
      </w:r>
      <w:r w:rsidR="00BA387B" w:rsidRPr="001B4CA2">
        <w:rPr>
          <w:bCs/>
        </w:rPr>
        <w:t>odbačena u 22,8</w:t>
      </w:r>
      <w:r w:rsidR="004D189E">
        <w:rPr>
          <w:bCs/>
        </w:rPr>
        <w:t> </w:t>
      </w:r>
      <w:r w:rsidR="00BA387B" w:rsidRPr="001B4CA2">
        <w:rPr>
          <w:bCs/>
        </w:rPr>
        <w:t xml:space="preserve">% predmeta. Na drugi način </w:t>
      </w:r>
      <w:r w:rsidR="004D189E" w:rsidRPr="001B4CA2">
        <w:rPr>
          <w:bCs/>
        </w:rPr>
        <w:t xml:space="preserve">riješeno </w:t>
      </w:r>
      <w:r w:rsidR="00BA387B" w:rsidRPr="001B4CA2">
        <w:rPr>
          <w:bCs/>
        </w:rPr>
        <w:t>je 2,7</w:t>
      </w:r>
      <w:r w:rsidR="004D189E">
        <w:rPr>
          <w:bCs/>
        </w:rPr>
        <w:t> </w:t>
      </w:r>
      <w:r w:rsidR="00BA387B" w:rsidRPr="001B4CA2">
        <w:rPr>
          <w:bCs/>
        </w:rPr>
        <w:t>% prijava, prijedlog za izricanje maloljetničke sankcije podnesen je u odnosu na 1</w:t>
      </w:r>
      <w:r w:rsidR="004D189E">
        <w:rPr>
          <w:bCs/>
        </w:rPr>
        <w:t> </w:t>
      </w:r>
      <w:r w:rsidR="00BA387B" w:rsidRPr="001B4CA2">
        <w:rPr>
          <w:bCs/>
        </w:rPr>
        <w:t>% prijava, dok je ustupljeno 0,4</w:t>
      </w:r>
      <w:r w:rsidR="004D189E">
        <w:rPr>
          <w:bCs/>
        </w:rPr>
        <w:t> </w:t>
      </w:r>
      <w:r w:rsidR="00BA387B" w:rsidRPr="001B4CA2">
        <w:rPr>
          <w:bCs/>
        </w:rPr>
        <w:t>% prijava.</w:t>
      </w:r>
    </w:p>
    <w:p w14:paraId="46321FC9" w14:textId="77777777" w:rsidR="001B4CA2" w:rsidRDefault="001B4CA2" w:rsidP="001B4CA2">
      <w:pPr>
        <w:rPr>
          <w:bCs/>
        </w:rPr>
      </w:pPr>
    </w:p>
    <w:p w14:paraId="4F5D3064" w14:textId="0BFA3C03" w:rsidR="00BA387B" w:rsidRPr="001B4CA2" w:rsidRDefault="001B4CA2" w:rsidP="001B4CA2">
      <w:pPr>
        <w:rPr>
          <w:bCs/>
        </w:rPr>
      </w:pPr>
      <w:r>
        <w:rPr>
          <w:bCs/>
        </w:rPr>
        <w:tab/>
      </w:r>
      <w:r w:rsidR="00BA387B" w:rsidRPr="001B4CA2">
        <w:rPr>
          <w:rFonts w:eastAsia="Calibri"/>
        </w:rPr>
        <w:t>Ako</w:t>
      </w:r>
      <w:r w:rsidR="00BA387B" w:rsidRPr="001B4CA2">
        <w:rPr>
          <w:rFonts w:eastAsia="Calibri"/>
          <w:color w:val="000000"/>
        </w:rPr>
        <w:t xml:space="preserve"> ukupan broj odluka donesenih povodom kaznene prijave u 2021. godini (37.494 odluke) umanjimo za broj otvorenih istraživanja (9.549) te dodamo broj odluka nakon dovršenog istraživanja (8.976 odluka), proizlazi da je u 2022. godini </w:t>
      </w:r>
      <w:r w:rsidR="00BA387B" w:rsidRPr="001B4CA2">
        <w:rPr>
          <w:rFonts w:eastAsia="Calibri"/>
          <w:snapToGrid w:val="0"/>
          <w:color w:val="000000"/>
        </w:rPr>
        <w:t>riješena 36.921 prijava.</w:t>
      </w:r>
    </w:p>
    <w:p w14:paraId="4516498A" w14:textId="77777777" w:rsidR="00BA387B" w:rsidRPr="001B4CA2" w:rsidRDefault="00BA387B" w:rsidP="00BA387B"/>
    <w:p w14:paraId="1C10063C" w14:textId="78B7CC30" w:rsidR="00BB4D48" w:rsidRPr="001B4CA2" w:rsidRDefault="00AF2EE0" w:rsidP="000F634C">
      <w:pPr>
        <w:pStyle w:val="Naslov4"/>
        <w:tabs>
          <w:tab w:val="left" w:pos="993"/>
        </w:tabs>
        <w:rPr>
          <w:rFonts w:ascii="Arial" w:hAnsi="Arial" w:cs="Arial"/>
        </w:rPr>
      </w:pPr>
      <w:bookmarkStart w:id="31" w:name="_Toc133394294"/>
      <w:r w:rsidRPr="001B4CA2">
        <w:rPr>
          <w:rFonts w:ascii="Arial" w:hAnsi="Arial" w:cs="Arial"/>
        </w:rPr>
        <w:t>Istrage i odluke po dovršenoj istrazi</w:t>
      </w:r>
      <w:bookmarkEnd w:id="31"/>
    </w:p>
    <w:p w14:paraId="46E481E7" w14:textId="79A15ACA" w:rsidR="00546D39" w:rsidRPr="001B4CA2" w:rsidRDefault="00546D39" w:rsidP="00546D39"/>
    <w:p w14:paraId="1F47F035" w14:textId="5743C89B" w:rsidR="006F2CA0" w:rsidRPr="001B4CA2" w:rsidRDefault="00875F3A" w:rsidP="00A97AFB">
      <w:pPr>
        <w:ind w:left="426"/>
        <w:rPr>
          <w:i/>
        </w:rPr>
      </w:pPr>
      <w:r w:rsidRPr="001B4CA2">
        <w:rPr>
          <w:i/>
        </w:rPr>
        <w:t>Odluke po dovršenoj istrazi</w:t>
      </w:r>
    </w:p>
    <w:tbl>
      <w:tblPr>
        <w:tblW w:w="8356" w:type="dxa"/>
        <w:tblInd w:w="3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79"/>
        <w:gridCol w:w="980"/>
        <w:gridCol w:w="1083"/>
        <w:gridCol w:w="1118"/>
        <w:gridCol w:w="1050"/>
        <w:gridCol w:w="1084"/>
        <w:gridCol w:w="1084"/>
        <w:gridCol w:w="978"/>
      </w:tblGrid>
      <w:tr w:rsidR="00532C41" w:rsidRPr="001B4CA2" w14:paraId="5E3AA39B" w14:textId="77777777" w:rsidTr="00AF55E3">
        <w:trPr>
          <w:trHeight w:val="368"/>
        </w:trPr>
        <w:tc>
          <w:tcPr>
            <w:tcW w:w="979" w:type="dxa"/>
            <w:vMerge w:val="restart"/>
            <w:shd w:val="clear" w:color="auto" w:fill="99CCFF"/>
            <w:vAlign w:val="center"/>
            <w:hideMark/>
          </w:tcPr>
          <w:p w14:paraId="035FF6DD" w14:textId="77777777" w:rsidR="006F2CA0" w:rsidRPr="001B4CA2" w:rsidRDefault="006F2CA0" w:rsidP="006F2CA0">
            <w:pPr>
              <w:jc w:val="center"/>
              <w:rPr>
                <w:rFonts w:eastAsia="Times New Roman"/>
                <w:b/>
                <w:sz w:val="18"/>
                <w:szCs w:val="18"/>
                <w:lang w:eastAsia="hr-HR"/>
              </w:rPr>
            </w:pPr>
            <w:r w:rsidRPr="001B4CA2">
              <w:rPr>
                <w:rFonts w:eastAsia="Times New Roman"/>
                <w:b/>
                <w:sz w:val="18"/>
                <w:szCs w:val="18"/>
                <w:lang w:eastAsia="hr-HR"/>
              </w:rPr>
              <w:t>Godina</w:t>
            </w:r>
          </w:p>
        </w:tc>
        <w:tc>
          <w:tcPr>
            <w:tcW w:w="980" w:type="dxa"/>
            <w:vMerge w:val="restart"/>
            <w:shd w:val="clear" w:color="auto" w:fill="99CCFF"/>
            <w:vAlign w:val="center"/>
            <w:hideMark/>
          </w:tcPr>
          <w:p w14:paraId="138E2A4B" w14:textId="77777777" w:rsidR="006F2CA0" w:rsidRPr="001B4CA2" w:rsidRDefault="006F2CA0" w:rsidP="006F2CA0">
            <w:pPr>
              <w:jc w:val="center"/>
              <w:rPr>
                <w:rFonts w:eastAsia="Times New Roman"/>
                <w:b/>
                <w:sz w:val="18"/>
                <w:szCs w:val="18"/>
                <w:lang w:eastAsia="hr-HR"/>
              </w:rPr>
            </w:pPr>
            <w:r w:rsidRPr="001B4CA2">
              <w:rPr>
                <w:rFonts w:eastAsia="Times New Roman"/>
                <w:b/>
                <w:sz w:val="18"/>
                <w:szCs w:val="18"/>
                <w:lang w:eastAsia="hr-HR"/>
              </w:rPr>
              <w:t>Ukupno u radu</w:t>
            </w:r>
          </w:p>
        </w:tc>
        <w:tc>
          <w:tcPr>
            <w:tcW w:w="5419" w:type="dxa"/>
            <w:gridSpan w:val="5"/>
            <w:shd w:val="clear" w:color="auto" w:fill="99CCFF"/>
            <w:noWrap/>
            <w:vAlign w:val="center"/>
            <w:hideMark/>
          </w:tcPr>
          <w:p w14:paraId="4FF946F4" w14:textId="77777777" w:rsidR="006F2CA0" w:rsidRPr="001B4CA2" w:rsidRDefault="006F2CA0" w:rsidP="00875F3A">
            <w:pPr>
              <w:jc w:val="center"/>
              <w:rPr>
                <w:rFonts w:eastAsia="Times New Roman"/>
                <w:b/>
                <w:sz w:val="18"/>
                <w:szCs w:val="18"/>
                <w:lang w:eastAsia="hr-HR"/>
              </w:rPr>
            </w:pPr>
            <w:r w:rsidRPr="001B4CA2">
              <w:rPr>
                <w:rFonts w:eastAsia="Times New Roman"/>
                <w:b/>
                <w:sz w:val="18"/>
                <w:szCs w:val="18"/>
                <w:lang w:eastAsia="hr-HR"/>
              </w:rPr>
              <w:t>ODLUKE</w:t>
            </w:r>
          </w:p>
        </w:tc>
        <w:tc>
          <w:tcPr>
            <w:tcW w:w="978" w:type="dxa"/>
            <w:vMerge w:val="restart"/>
            <w:shd w:val="clear" w:color="auto" w:fill="99CCFF"/>
            <w:noWrap/>
            <w:vAlign w:val="center"/>
            <w:hideMark/>
          </w:tcPr>
          <w:p w14:paraId="2923D1F6" w14:textId="77777777" w:rsidR="006F2CA0" w:rsidRPr="001B4CA2" w:rsidRDefault="006F2CA0" w:rsidP="006F2CA0">
            <w:pPr>
              <w:jc w:val="center"/>
              <w:rPr>
                <w:rFonts w:eastAsia="Times New Roman"/>
                <w:b/>
                <w:sz w:val="18"/>
                <w:szCs w:val="18"/>
                <w:lang w:eastAsia="hr-HR"/>
              </w:rPr>
            </w:pPr>
            <w:r w:rsidRPr="001B4CA2">
              <w:rPr>
                <w:rFonts w:eastAsia="Times New Roman"/>
                <w:b/>
                <w:sz w:val="18"/>
                <w:szCs w:val="18"/>
                <w:lang w:eastAsia="hr-HR"/>
              </w:rPr>
              <w:t>Ostalo u radu</w:t>
            </w:r>
          </w:p>
        </w:tc>
      </w:tr>
      <w:tr w:rsidR="00532C41" w:rsidRPr="001B4CA2" w14:paraId="54AF00A4" w14:textId="77777777" w:rsidTr="00AF55E3">
        <w:trPr>
          <w:trHeight w:val="718"/>
        </w:trPr>
        <w:tc>
          <w:tcPr>
            <w:tcW w:w="979" w:type="dxa"/>
            <w:vMerge/>
            <w:vAlign w:val="center"/>
            <w:hideMark/>
          </w:tcPr>
          <w:p w14:paraId="0AA357F7" w14:textId="77777777" w:rsidR="006F2CA0" w:rsidRPr="001B4CA2" w:rsidRDefault="006F2CA0" w:rsidP="006F2CA0">
            <w:pPr>
              <w:jc w:val="left"/>
              <w:rPr>
                <w:rFonts w:eastAsia="Times New Roman"/>
                <w:sz w:val="18"/>
                <w:szCs w:val="18"/>
                <w:lang w:eastAsia="hr-HR"/>
              </w:rPr>
            </w:pPr>
          </w:p>
        </w:tc>
        <w:tc>
          <w:tcPr>
            <w:tcW w:w="980" w:type="dxa"/>
            <w:vMerge/>
            <w:vAlign w:val="center"/>
            <w:hideMark/>
          </w:tcPr>
          <w:p w14:paraId="37724C5D" w14:textId="77777777" w:rsidR="006F2CA0" w:rsidRPr="001B4CA2" w:rsidRDefault="006F2CA0" w:rsidP="006F2CA0">
            <w:pPr>
              <w:jc w:val="left"/>
              <w:rPr>
                <w:rFonts w:eastAsia="Times New Roman"/>
                <w:sz w:val="18"/>
                <w:szCs w:val="18"/>
                <w:lang w:eastAsia="hr-HR"/>
              </w:rPr>
            </w:pPr>
          </w:p>
        </w:tc>
        <w:tc>
          <w:tcPr>
            <w:tcW w:w="1083" w:type="dxa"/>
            <w:shd w:val="clear" w:color="auto" w:fill="99CCFF"/>
            <w:vAlign w:val="center"/>
            <w:hideMark/>
          </w:tcPr>
          <w:p w14:paraId="36E85704" w14:textId="77777777" w:rsidR="006F2CA0" w:rsidRPr="001B4CA2" w:rsidRDefault="006F2CA0" w:rsidP="006F2CA0">
            <w:pPr>
              <w:jc w:val="center"/>
              <w:rPr>
                <w:rFonts w:eastAsia="Times New Roman"/>
                <w:b/>
                <w:sz w:val="18"/>
                <w:szCs w:val="18"/>
                <w:lang w:eastAsia="hr-HR"/>
              </w:rPr>
            </w:pPr>
            <w:r w:rsidRPr="001B4CA2">
              <w:rPr>
                <w:rFonts w:eastAsia="Times New Roman"/>
                <w:b/>
                <w:sz w:val="18"/>
                <w:szCs w:val="18"/>
                <w:lang w:eastAsia="hr-HR"/>
              </w:rPr>
              <w:t>Obustava</w:t>
            </w:r>
          </w:p>
        </w:tc>
        <w:tc>
          <w:tcPr>
            <w:tcW w:w="1118" w:type="dxa"/>
            <w:shd w:val="clear" w:color="auto" w:fill="99CCFF"/>
            <w:vAlign w:val="center"/>
            <w:hideMark/>
          </w:tcPr>
          <w:p w14:paraId="0A5EF605" w14:textId="77777777" w:rsidR="006F2CA0" w:rsidRPr="001B4CA2" w:rsidRDefault="006F2CA0" w:rsidP="006F2CA0">
            <w:pPr>
              <w:jc w:val="center"/>
              <w:rPr>
                <w:rFonts w:eastAsia="Times New Roman"/>
                <w:b/>
                <w:sz w:val="18"/>
                <w:szCs w:val="18"/>
                <w:lang w:eastAsia="hr-HR"/>
              </w:rPr>
            </w:pPr>
            <w:r w:rsidRPr="001B4CA2">
              <w:rPr>
                <w:rFonts w:eastAsia="Times New Roman"/>
                <w:b/>
                <w:sz w:val="18"/>
                <w:szCs w:val="18"/>
                <w:lang w:eastAsia="hr-HR"/>
              </w:rPr>
              <w:t>Optužnica</w:t>
            </w:r>
          </w:p>
        </w:tc>
        <w:tc>
          <w:tcPr>
            <w:tcW w:w="1050" w:type="dxa"/>
            <w:shd w:val="clear" w:color="auto" w:fill="99CCFF"/>
            <w:vAlign w:val="center"/>
            <w:hideMark/>
          </w:tcPr>
          <w:p w14:paraId="7810CED1" w14:textId="77777777" w:rsidR="006F2CA0" w:rsidRPr="001B4CA2" w:rsidRDefault="006F2CA0" w:rsidP="006F2CA0">
            <w:pPr>
              <w:jc w:val="center"/>
              <w:rPr>
                <w:rFonts w:eastAsia="Times New Roman"/>
                <w:b/>
                <w:sz w:val="18"/>
                <w:szCs w:val="18"/>
                <w:lang w:eastAsia="hr-HR"/>
              </w:rPr>
            </w:pPr>
            <w:r w:rsidRPr="001B4CA2">
              <w:rPr>
                <w:rFonts w:eastAsia="Times New Roman"/>
                <w:b/>
                <w:sz w:val="18"/>
                <w:szCs w:val="18"/>
                <w:lang w:eastAsia="hr-HR"/>
              </w:rPr>
              <w:t>Ustup</w:t>
            </w:r>
          </w:p>
        </w:tc>
        <w:tc>
          <w:tcPr>
            <w:tcW w:w="1084" w:type="dxa"/>
            <w:shd w:val="clear" w:color="auto" w:fill="99CCFF"/>
            <w:vAlign w:val="center"/>
            <w:hideMark/>
          </w:tcPr>
          <w:p w14:paraId="37DB2030" w14:textId="77777777" w:rsidR="006F2CA0" w:rsidRPr="001B4CA2" w:rsidRDefault="006F2CA0" w:rsidP="006F2CA0">
            <w:pPr>
              <w:jc w:val="center"/>
              <w:rPr>
                <w:rFonts w:eastAsia="Times New Roman"/>
                <w:b/>
                <w:sz w:val="18"/>
                <w:szCs w:val="18"/>
                <w:lang w:eastAsia="hr-HR"/>
              </w:rPr>
            </w:pPr>
            <w:r w:rsidRPr="001B4CA2">
              <w:rPr>
                <w:rFonts w:eastAsia="Times New Roman"/>
                <w:b/>
                <w:sz w:val="18"/>
                <w:szCs w:val="18"/>
                <w:lang w:eastAsia="hr-HR"/>
              </w:rPr>
              <w:t>Riješeno na drugi način</w:t>
            </w:r>
          </w:p>
        </w:tc>
        <w:tc>
          <w:tcPr>
            <w:tcW w:w="1084" w:type="dxa"/>
            <w:shd w:val="clear" w:color="auto" w:fill="99CCFF"/>
            <w:vAlign w:val="center"/>
            <w:hideMark/>
          </w:tcPr>
          <w:p w14:paraId="6C6E9971" w14:textId="77777777" w:rsidR="006F2CA0" w:rsidRPr="001B4CA2" w:rsidRDefault="006F2CA0" w:rsidP="006F2CA0">
            <w:pPr>
              <w:jc w:val="center"/>
              <w:rPr>
                <w:rFonts w:eastAsia="Times New Roman"/>
                <w:b/>
                <w:sz w:val="18"/>
                <w:szCs w:val="18"/>
                <w:lang w:eastAsia="hr-HR"/>
              </w:rPr>
            </w:pPr>
            <w:r w:rsidRPr="001B4CA2">
              <w:rPr>
                <w:rFonts w:eastAsia="Times New Roman"/>
                <w:b/>
                <w:sz w:val="18"/>
                <w:szCs w:val="18"/>
                <w:lang w:eastAsia="hr-HR"/>
              </w:rPr>
              <w:t>Ukupno odluka</w:t>
            </w:r>
          </w:p>
        </w:tc>
        <w:tc>
          <w:tcPr>
            <w:tcW w:w="978" w:type="dxa"/>
            <w:vMerge/>
            <w:vAlign w:val="center"/>
            <w:hideMark/>
          </w:tcPr>
          <w:p w14:paraId="6A01733E" w14:textId="77777777" w:rsidR="006F2CA0" w:rsidRPr="001B4CA2" w:rsidRDefault="006F2CA0" w:rsidP="006F2CA0">
            <w:pPr>
              <w:jc w:val="left"/>
              <w:rPr>
                <w:rFonts w:eastAsia="Times New Roman"/>
                <w:sz w:val="18"/>
                <w:szCs w:val="18"/>
                <w:lang w:eastAsia="hr-HR"/>
              </w:rPr>
            </w:pPr>
          </w:p>
        </w:tc>
      </w:tr>
      <w:tr w:rsidR="007731A0" w:rsidRPr="001B4CA2" w14:paraId="02DC501B" w14:textId="77777777" w:rsidTr="00AF55E3">
        <w:trPr>
          <w:trHeight w:val="353"/>
        </w:trPr>
        <w:tc>
          <w:tcPr>
            <w:tcW w:w="979" w:type="dxa"/>
            <w:shd w:val="clear" w:color="auto" w:fill="auto"/>
            <w:noWrap/>
            <w:vAlign w:val="center"/>
            <w:hideMark/>
          </w:tcPr>
          <w:p w14:paraId="58B87BBA" w14:textId="235844A5" w:rsidR="007731A0" w:rsidRPr="001B4CA2" w:rsidRDefault="007731A0" w:rsidP="00A9502C">
            <w:pPr>
              <w:jc w:val="center"/>
              <w:rPr>
                <w:rFonts w:eastAsia="Times New Roman"/>
                <w:sz w:val="18"/>
                <w:szCs w:val="18"/>
                <w:lang w:eastAsia="hr-HR"/>
              </w:rPr>
            </w:pPr>
            <w:r w:rsidRPr="001B4CA2">
              <w:rPr>
                <w:rFonts w:eastAsia="Times New Roman"/>
                <w:sz w:val="18"/>
                <w:szCs w:val="18"/>
                <w:lang w:eastAsia="hr-HR"/>
              </w:rPr>
              <w:t>201</w:t>
            </w:r>
            <w:r w:rsidR="00BA387B" w:rsidRPr="001B4CA2">
              <w:rPr>
                <w:rFonts w:eastAsia="Times New Roman"/>
                <w:sz w:val="18"/>
                <w:szCs w:val="18"/>
                <w:lang w:eastAsia="hr-HR"/>
              </w:rPr>
              <w:t>8</w:t>
            </w:r>
            <w:r w:rsidRPr="001B4CA2">
              <w:rPr>
                <w:rFonts w:eastAsia="Times New Roman"/>
                <w:sz w:val="18"/>
                <w:szCs w:val="18"/>
                <w:lang w:eastAsia="hr-HR"/>
              </w:rPr>
              <w:t>.</w:t>
            </w:r>
          </w:p>
        </w:tc>
        <w:tc>
          <w:tcPr>
            <w:tcW w:w="980" w:type="dxa"/>
            <w:shd w:val="clear" w:color="auto" w:fill="auto"/>
            <w:noWrap/>
            <w:vAlign w:val="center"/>
          </w:tcPr>
          <w:p w14:paraId="386F7AD8" w14:textId="6AB2D5DE" w:rsidR="007731A0" w:rsidRPr="001B4CA2" w:rsidRDefault="007731A0" w:rsidP="00A9502C">
            <w:pPr>
              <w:jc w:val="center"/>
              <w:rPr>
                <w:rFonts w:eastAsia="Times New Roman"/>
                <w:sz w:val="18"/>
                <w:szCs w:val="18"/>
                <w:lang w:eastAsia="hr-HR"/>
              </w:rPr>
            </w:pPr>
          </w:p>
        </w:tc>
        <w:tc>
          <w:tcPr>
            <w:tcW w:w="1083" w:type="dxa"/>
            <w:shd w:val="clear" w:color="auto" w:fill="auto"/>
            <w:noWrap/>
            <w:vAlign w:val="center"/>
          </w:tcPr>
          <w:p w14:paraId="27C87601" w14:textId="4A8A6930" w:rsidR="007731A0" w:rsidRPr="001B4CA2" w:rsidRDefault="00BA387B" w:rsidP="00A9502C">
            <w:pPr>
              <w:jc w:val="center"/>
              <w:rPr>
                <w:rFonts w:eastAsia="Times New Roman"/>
                <w:sz w:val="18"/>
                <w:szCs w:val="18"/>
                <w:lang w:eastAsia="hr-HR"/>
              </w:rPr>
            </w:pPr>
            <w:r w:rsidRPr="001B4CA2">
              <w:rPr>
                <w:rFonts w:eastAsia="Times New Roman"/>
                <w:color w:val="000000"/>
                <w:sz w:val="18"/>
                <w:szCs w:val="18"/>
                <w:lang w:eastAsia="hr-HR"/>
              </w:rPr>
              <w:t>380</w:t>
            </w:r>
          </w:p>
        </w:tc>
        <w:tc>
          <w:tcPr>
            <w:tcW w:w="1118" w:type="dxa"/>
            <w:shd w:val="clear" w:color="auto" w:fill="auto"/>
            <w:noWrap/>
            <w:vAlign w:val="center"/>
          </w:tcPr>
          <w:p w14:paraId="5063CD6B" w14:textId="40F8E9F3" w:rsidR="007731A0" w:rsidRPr="001B4CA2" w:rsidRDefault="00BA387B" w:rsidP="00A9502C">
            <w:pPr>
              <w:jc w:val="center"/>
              <w:rPr>
                <w:rFonts w:eastAsia="Times New Roman"/>
                <w:sz w:val="18"/>
                <w:szCs w:val="18"/>
                <w:lang w:eastAsia="hr-HR"/>
              </w:rPr>
            </w:pPr>
            <w:r w:rsidRPr="001B4CA2">
              <w:rPr>
                <w:rFonts w:eastAsia="Times New Roman"/>
                <w:color w:val="000000"/>
                <w:sz w:val="18"/>
                <w:szCs w:val="18"/>
                <w:lang w:eastAsia="hr-HR"/>
              </w:rPr>
              <w:t>2.954</w:t>
            </w:r>
          </w:p>
        </w:tc>
        <w:tc>
          <w:tcPr>
            <w:tcW w:w="1050" w:type="dxa"/>
            <w:shd w:val="clear" w:color="auto" w:fill="auto"/>
            <w:noWrap/>
            <w:vAlign w:val="center"/>
          </w:tcPr>
          <w:p w14:paraId="1FCC5F89" w14:textId="69C3A5D9" w:rsidR="007731A0" w:rsidRPr="001B4CA2" w:rsidRDefault="007731A0" w:rsidP="00A9502C">
            <w:pPr>
              <w:jc w:val="center"/>
              <w:rPr>
                <w:rFonts w:eastAsia="Times New Roman"/>
                <w:sz w:val="18"/>
                <w:szCs w:val="18"/>
                <w:lang w:eastAsia="hr-HR"/>
              </w:rPr>
            </w:pPr>
          </w:p>
        </w:tc>
        <w:tc>
          <w:tcPr>
            <w:tcW w:w="1084" w:type="dxa"/>
            <w:shd w:val="clear" w:color="auto" w:fill="auto"/>
            <w:noWrap/>
            <w:vAlign w:val="center"/>
          </w:tcPr>
          <w:p w14:paraId="7E79C031" w14:textId="34D057ED" w:rsidR="007731A0" w:rsidRPr="001B4CA2" w:rsidRDefault="007731A0" w:rsidP="00A9502C">
            <w:pPr>
              <w:jc w:val="center"/>
              <w:rPr>
                <w:rFonts w:eastAsia="Times New Roman"/>
                <w:sz w:val="18"/>
                <w:szCs w:val="18"/>
                <w:lang w:eastAsia="hr-HR"/>
              </w:rPr>
            </w:pPr>
            <w:r w:rsidRPr="001B4CA2">
              <w:rPr>
                <w:rFonts w:eastAsia="Times New Roman"/>
                <w:color w:val="000000"/>
                <w:sz w:val="18"/>
                <w:szCs w:val="18"/>
                <w:lang w:eastAsia="hr-HR"/>
              </w:rPr>
              <w:t>1</w:t>
            </w:r>
            <w:r w:rsidR="005A7B67" w:rsidRPr="001B4CA2">
              <w:rPr>
                <w:rFonts w:eastAsia="Times New Roman"/>
                <w:color w:val="000000"/>
                <w:sz w:val="18"/>
                <w:szCs w:val="18"/>
                <w:lang w:eastAsia="hr-HR"/>
              </w:rPr>
              <w:t>26</w:t>
            </w:r>
          </w:p>
        </w:tc>
        <w:tc>
          <w:tcPr>
            <w:tcW w:w="1084" w:type="dxa"/>
            <w:shd w:val="clear" w:color="auto" w:fill="auto"/>
            <w:noWrap/>
            <w:vAlign w:val="center"/>
          </w:tcPr>
          <w:p w14:paraId="1FCF0533" w14:textId="28F2B18D" w:rsidR="007731A0" w:rsidRPr="001B4CA2" w:rsidRDefault="007731A0" w:rsidP="00A9502C">
            <w:pPr>
              <w:jc w:val="center"/>
              <w:rPr>
                <w:rFonts w:eastAsia="Times New Roman"/>
                <w:sz w:val="18"/>
                <w:szCs w:val="18"/>
                <w:lang w:eastAsia="hr-HR"/>
              </w:rPr>
            </w:pPr>
            <w:r w:rsidRPr="001B4CA2">
              <w:rPr>
                <w:rFonts w:eastAsia="Times New Roman"/>
                <w:color w:val="000000"/>
                <w:sz w:val="18"/>
                <w:szCs w:val="18"/>
                <w:lang w:eastAsia="hr-HR"/>
              </w:rPr>
              <w:t>3</w:t>
            </w:r>
            <w:r w:rsidR="00A9502C" w:rsidRPr="001B4CA2">
              <w:rPr>
                <w:rFonts w:eastAsia="Times New Roman"/>
                <w:color w:val="000000"/>
                <w:sz w:val="18"/>
                <w:szCs w:val="18"/>
                <w:lang w:eastAsia="hr-HR"/>
              </w:rPr>
              <w:t>.</w:t>
            </w:r>
            <w:r w:rsidR="005A7B67" w:rsidRPr="001B4CA2">
              <w:rPr>
                <w:rFonts w:eastAsia="Times New Roman"/>
                <w:color w:val="000000"/>
                <w:sz w:val="18"/>
                <w:szCs w:val="18"/>
                <w:lang w:eastAsia="hr-HR"/>
              </w:rPr>
              <w:t>460</w:t>
            </w:r>
          </w:p>
        </w:tc>
        <w:tc>
          <w:tcPr>
            <w:tcW w:w="978" w:type="dxa"/>
            <w:shd w:val="clear" w:color="auto" w:fill="auto"/>
            <w:noWrap/>
            <w:vAlign w:val="center"/>
          </w:tcPr>
          <w:p w14:paraId="6407307E" w14:textId="11BE6DDF" w:rsidR="007731A0" w:rsidRPr="001B4CA2" w:rsidRDefault="007731A0" w:rsidP="00A9502C">
            <w:pPr>
              <w:jc w:val="center"/>
              <w:rPr>
                <w:rFonts w:eastAsia="Times New Roman"/>
                <w:sz w:val="18"/>
                <w:szCs w:val="18"/>
                <w:lang w:eastAsia="hr-HR"/>
              </w:rPr>
            </w:pPr>
          </w:p>
        </w:tc>
      </w:tr>
      <w:tr w:rsidR="007731A0" w:rsidRPr="001B4CA2" w14:paraId="2FA91AA6" w14:textId="77777777" w:rsidTr="00AF55E3">
        <w:trPr>
          <w:trHeight w:val="353"/>
        </w:trPr>
        <w:tc>
          <w:tcPr>
            <w:tcW w:w="979" w:type="dxa"/>
            <w:shd w:val="clear" w:color="auto" w:fill="auto"/>
            <w:noWrap/>
            <w:vAlign w:val="center"/>
            <w:hideMark/>
          </w:tcPr>
          <w:p w14:paraId="58F9D8B9" w14:textId="2DE32658" w:rsidR="007731A0" w:rsidRPr="001B4CA2" w:rsidRDefault="007731A0" w:rsidP="00A9502C">
            <w:pPr>
              <w:jc w:val="center"/>
              <w:rPr>
                <w:rFonts w:eastAsia="Times New Roman"/>
                <w:sz w:val="18"/>
                <w:szCs w:val="18"/>
                <w:lang w:eastAsia="hr-HR"/>
              </w:rPr>
            </w:pPr>
            <w:r w:rsidRPr="001B4CA2">
              <w:rPr>
                <w:rFonts w:eastAsia="Times New Roman"/>
                <w:sz w:val="18"/>
                <w:szCs w:val="18"/>
                <w:lang w:eastAsia="hr-HR"/>
              </w:rPr>
              <w:t>201</w:t>
            </w:r>
            <w:r w:rsidR="00BA387B" w:rsidRPr="001B4CA2">
              <w:rPr>
                <w:rFonts w:eastAsia="Times New Roman"/>
                <w:sz w:val="18"/>
                <w:szCs w:val="18"/>
                <w:lang w:eastAsia="hr-HR"/>
              </w:rPr>
              <w:t>9</w:t>
            </w:r>
            <w:r w:rsidRPr="001B4CA2">
              <w:rPr>
                <w:rFonts w:eastAsia="Times New Roman"/>
                <w:sz w:val="18"/>
                <w:szCs w:val="18"/>
                <w:lang w:eastAsia="hr-HR"/>
              </w:rPr>
              <w:t>.</w:t>
            </w:r>
          </w:p>
        </w:tc>
        <w:tc>
          <w:tcPr>
            <w:tcW w:w="980" w:type="dxa"/>
            <w:shd w:val="clear" w:color="auto" w:fill="auto"/>
            <w:noWrap/>
            <w:vAlign w:val="center"/>
          </w:tcPr>
          <w:p w14:paraId="03FC24E7" w14:textId="5189B70A" w:rsidR="007731A0" w:rsidRPr="001B4CA2" w:rsidRDefault="007731A0" w:rsidP="00A9502C">
            <w:pPr>
              <w:jc w:val="center"/>
              <w:rPr>
                <w:rFonts w:eastAsia="Times New Roman"/>
                <w:sz w:val="18"/>
                <w:szCs w:val="18"/>
                <w:lang w:eastAsia="hr-HR"/>
              </w:rPr>
            </w:pPr>
          </w:p>
        </w:tc>
        <w:tc>
          <w:tcPr>
            <w:tcW w:w="1083" w:type="dxa"/>
            <w:shd w:val="clear" w:color="auto" w:fill="auto"/>
            <w:noWrap/>
            <w:vAlign w:val="center"/>
          </w:tcPr>
          <w:p w14:paraId="7B20676A" w14:textId="7AD6457A" w:rsidR="007731A0" w:rsidRPr="001B4CA2" w:rsidRDefault="00BA387B" w:rsidP="00A9502C">
            <w:pPr>
              <w:jc w:val="center"/>
              <w:rPr>
                <w:rFonts w:eastAsia="Times New Roman"/>
                <w:sz w:val="18"/>
                <w:szCs w:val="18"/>
                <w:lang w:eastAsia="hr-HR"/>
              </w:rPr>
            </w:pPr>
            <w:r w:rsidRPr="001B4CA2">
              <w:rPr>
                <w:rFonts w:eastAsia="Times New Roman"/>
                <w:color w:val="000000"/>
                <w:sz w:val="18"/>
                <w:szCs w:val="18"/>
                <w:lang w:eastAsia="hr-HR"/>
              </w:rPr>
              <w:t>450</w:t>
            </w:r>
          </w:p>
        </w:tc>
        <w:tc>
          <w:tcPr>
            <w:tcW w:w="1118" w:type="dxa"/>
            <w:shd w:val="clear" w:color="auto" w:fill="auto"/>
            <w:noWrap/>
            <w:vAlign w:val="center"/>
          </w:tcPr>
          <w:p w14:paraId="252C41E0" w14:textId="7B395A50" w:rsidR="007731A0" w:rsidRPr="001B4CA2" w:rsidRDefault="00BA387B" w:rsidP="00A9502C">
            <w:pPr>
              <w:jc w:val="center"/>
              <w:rPr>
                <w:rFonts w:eastAsia="Times New Roman"/>
                <w:sz w:val="18"/>
                <w:szCs w:val="18"/>
                <w:lang w:eastAsia="hr-HR"/>
              </w:rPr>
            </w:pPr>
            <w:r w:rsidRPr="001B4CA2">
              <w:rPr>
                <w:rFonts w:eastAsia="Times New Roman"/>
                <w:color w:val="000000"/>
                <w:sz w:val="18"/>
                <w:szCs w:val="18"/>
                <w:lang w:eastAsia="hr-HR"/>
              </w:rPr>
              <w:t>3.412</w:t>
            </w:r>
          </w:p>
        </w:tc>
        <w:tc>
          <w:tcPr>
            <w:tcW w:w="1050" w:type="dxa"/>
            <w:shd w:val="clear" w:color="auto" w:fill="auto"/>
            <w:noWrap/>
            <w:vAlign w:val="center"/>
          </w:tcPr>
          <w:p w14:paraId="2DE7E54D" w14:textId="2B3FC8DC" w:rsidR="007731A0" w:rsidRPr="001B4CA2" w:rsidRDefault="007731A0" w:rsidP="00A9502C">
            <w:pPr>
              <w:jc w:val="center"/>
              <w:rPr>
                <w:rFonts w:eastAsia="Times New Roman"/>
                <w:sz w:val="18"/>
                <w:szCs w:val="18"/>
                <w:lang w:eastAsia="hr-HR"/>
              </w:rPr>
            </w:pPr>
          </w:p>
        </w:tc>
        <w:tc>
          <w:tcPr>
            <w:tcW w:w="1084" w:type="dxa"/>
            <w:shd w:val="clear" w:color="auto" w:fill="auto"/>
            <w:noWrap/>
            <w:vAlign w:val="center"/>
          </w:tcPr>
          <w:p w14:paraId="345473EB" w14:textId="19D0389F" w:rsidR="007731A0" w:rsidRPr="001B4CA2" w:rsidRDefault="007731A0" w:rsidP="00A9502C">
            <w:pPr>
              <w:jc w:val="center"/>
              <w:rPr>
                <w:rFonts w:eastAsia="Times New Roman"/>
                <w:sz w:val="18"/>
                <w:szCs w:val="18"/>
                <w:lang w:eastAsia="hr-HR"/>
              </w:rPr>
            </w:pPr>
            <w:r w:rsidRPr="001B4CA2">
              <w:rPr>
                <w:rFonts w:eastAsia="Times New Roman"/>
                <w:color w:val="000000"/>
                <w:sz w:val="18"/>
                <w:szCs w:val="18"/>
                <w:lang w:eastAsia="hr-HR"/>
              </w:rPr>
              <w:t>1</w:t>
            </w:r>
            <w:r w:rsidR="005A7B67" w:rsidRPr="001B4CA2">
              <w:rPr>
                <w:rFonts w:eastAsia="Times New Roman"/>
                <w:color w:val="000000"/>
                <w:sz w:val="18"/>
                <w:szCs w:val="18"/>
                <w:lang w:eastAsia="hr-HR"/>
              </w:rPr>
              <w:t>79</w:t>
            </w:r>
          </w:p>
        </w:tc>
        <w:tc>
          <w:tcPr>
            <w:tcW w:w="1084" w:type="dxa"/>
            <w:shd w:val="clear" w:color="auto" w:fill="auto"/>
            <w:noWrap/>
            <w:vAlign w:val="center"/>
          </w:tcPr>
          <w:p w14:paraId="26EFDA03" w14:textId="76584135" w:rsidR="007731A0" w:rsidRPr="001B4CA2" w:rsidRDefault="00C5456D" w:rsidP="00A9502C">
            <w:pPr>
              <w:jc w:val="center"/>
              <w:rPr>
                <w:rFonts w:eastAsia="Times New Roman"/>
                <w:sz w:val="18"/>
                <w:szCs w:val="18"/>
                <w:lang w:eastAsia="hr-HR"/>
              </w:rPr>
            </w:pPr>
            <w:r w:rsidRPr="001B4CA2">
              <w:rPr>
                <w:rFonts w:eastAsia="Times New Roman"/>
                <w:color w:val="000000"/>
                <w:sz w:val="18"/>
                <w:szCs w:val="18"/>
                <w:lang w:eastAsia="hr-HR"/>
              </w:rPr>
              <w:t>4.041</w:t>
            </w:r>
          </w:p>
        </w:tc>
        <w:tc>
          <w:tcPr>
            <w:tcW w:w="978" w:type="dxa"/>
            <w:shd w:val="clear" w:color="auto" w:fill="auto"/>
            <w:noWrap/>
            <w:vAlign w:val="center"/>
          </w:tcPr>
          <w:p w14:paraId="5A8B5E2F" w14:textId="49096BAD" w:rsidR="007731A0" w:rsidRPr="001B4CA2" w:rsidRDefault="007731A0" w:rsidP="00A9502C">
            <w:pPr>
              <w:jc w:val="center"/>
              <w:rPr>
                <w:rFonts w:eastAsia="Times New Roman"/>
                <w:sz w:val="18"/>
                <w:szCs w:val="18"/>
                <w:lang w:eastAsia="hr-HR"/>
              </w:rPr>
            </w:pPr>
          </w:p>
        </w:tc>
      </w:tr>
      <w:tr w:rsidR="007731A0" w:rsidRPr="001B4CA2" w14:paraId="769B43CA" w14:textId="77777777" w:rsidTr="00AF55E3">
        <w:trPr>
          <w:trHeight w:val="353"/>
        </w:trPr>
        <w:tc>
          <w:tcPr>
            <w:tcW w:w="979" w:type="dxa"/>
            <w:shd w:val="clear" w:color="auto" w:fill="auto"/>
            <w:noWrap/>
            <w:vAlign w:val="center"/>
            <w:hideMark/>
          </w:tcPr>
          <w:p w14:paraId="05702986" w14:textId="21191B7E" w:rsidR="007731A0" w:rsidRPr="001B4CA2" w:rsidRDefault="007731A0" w:rsidP="00A9502C">
            <w:pPr>
              <w:jc w:val="center"/>
              <w:rPr>
                <w:rFonts w:eastAsia="Times New Roman"/>
                <w:sz w:val="18"/>
                <w:szCs w:val="18"/>
                <w:lang w:eastAsia="hr-HR"/>
              </w:rPr>
            </w:pPr>
            <w:r w:rsidRPr="001B4CA2">
              <w:rPr>
                <w:rFonts w:eastAsia="Times New Roman"/>
                <w:sz w:val="18"/>
                <w:szCs w:val="18"/>
                <w:lang w:eastAsia="hr-HR"/>
              </w:rPr>
              <w:t>20</w:t>
            </w:r>
            <w:r w:rsidR="00BA387B" w:rsidRPr="001B4CA2">
              <w:rPr>
                <w:rFonts w:eastAsia="Times New Roman"/>
                <w:sz w:val="18"/>
                <w:szCs w:val="18"/>
                <w:lang w:eastAsia="hr-HR"/>
              </w:rPr>
              <w:t>20</w:t>
            </w:r>
            <w:r w:rsidRPr="001B4CA2">
              <w:rPr>
                <w:rFonts w:eastAsia="Times New Roman"/>
                <w:sz w:val="18"/>
                <w:szCs w:val="18"/>
                <w:lang w:eastAsia="hr-HR"/>
              </w:rPr>
              <w:t>.</w:t>
            </w:r>
          </w:p>
        </w:tc>
        <w:tc>
          <w:tcPr>
            <w:tcW w:w="980" w:type="dxa"/>
            <w:shd w:val="clear" w:color="auto" w:fill="auto"/>
            <w:noWrap/>
            <w:vAlign w:val="center"/>
          </w:tcPr>
          <w:p w14:paraId="3AF5BDA4" w14:textId="65C6AEE1" w:rsidR="007731A0" w:rsidRPr="001B4CA2" w:rsidRDefault="00BA387B" w:rsidP="00A9502C">
            <w:pPr>
              <w:jc w:val="center"/>
              <w:rPr>
                <w:rFonts w:eastAsia="Times New Roman"/>
                <w:sz w:val="18"/>
                <w:szCs w:val="18"/>
                <w:lang w:eastAsia="hr-HR"/>
              </w:rPr>
            </w:pPr>
            <w:r w:rsidRPr="001B4CA2">
              <w:rPr>
                <w:rFonts w:eastAsia="Times New Roman"/>
                <w:sz w:val="18"/>
                <w:szCs w:val="18"/>
                <w:lang w:eastAsia="hr-HR"/>
              </w:rPr>
              <w:t>6.457</w:t>
            </w:r>
          </w:p>
        </w:tc>
        <w:tc>
          <w:tcPr>
            <w:tcW w:w="1083" w:type="dxa"/>
            <w:shd w:val="clear" w:color="auto" w:fill="auto"/>
            <w:noWrap/>
            <w:vAlign w:val="center"/>
          </w:tcPr>
          <w:p w14:paraId="00790CC1" w14:textId="7D7652F0" w:rsidR="007731A0" w:rsidRPr="001B4CA2" w:rsidRDefault="00BA387B" w:rsidP="00A9502C">
            <w:pPr>
              <w:jc w:val="center"/>
              <w:rPr>
                <w:rFonts w:eastAsia="Times New Roman"/>
                <w:sz w:val="18"/>
                <w:szCs w:val="18"/>
                <w:lang w:eastAsia="hr-HR"/>
              </w:rPr>
            </w:pPr>
            <w:r w:rsidRPr="001B4CA2">
              <w:rPr>
                <w:rFonts w:eastAsia="Times New Roman"/>
                <w:color w:val="000000"/>
                <w:sz w:val="18"/>
                <w:szCs w:val="18"/>
                <w:lang w:eastAsia="hr-HR"/>
              </w:rPr>
              <w:t>435</w:t>
            </w:r>
          </w:p>
        </w:tc>
        <w:tc>
          <w:tcPr>
            <w:tcW w:w="1118" w:type="dxa"/>
            <w:shd w:val="clear" w:color="auto" w:fill="auto"/>
            <w:noWrap/>
            <w:vAlign w:val="center"/>
          </w:tcPr>
          <w:p w14:paraId="3EEB093A" w14:textId="3267E783" w:rsidR="007731A0" w:rsidRPr="001B4CA2" w:rsidRDefault="007731A0" w:rsidP="00A9502C">
            <w:pPr>
              <w:jc w:val="center"/>
              <w:rPr>
                <w:rFonts w:eastAsia="Times New Roman"/>
                <w:sz w:val="18"/>
                <w:szCs w:val="18"/>
                <w:lang w:eastAsia="hr-HR"/>
              </w:rPr>
            </w:pPr>
            <w:r w:rsidRPr="001B4CA2">
              <w:rPr>
                <w:rFonts w:eastAsia="Times New Roman"/>
                <w:color w:val="000000"/>
                <w:sz w:val="18"/>
                <w:szCs w:val="18"/>
                <w:lang w:eastAsia="hr-HR"/>
              </w:rPr>
              <w:t>3</w:t>
            </w:r>
            <w:r w:rsidR="005A7B67" w:rsidRPr="001B4CA2">
              <w:rPr>
                <w:rFonts w:eastAsia="Times New Roman"/>
                <w:color w:val="000000"/>
                <w:sz w:val="18"/>
                <w:szCs w:val="18"/>
                <w:lang w:eastAsia="hr-HR"/>
              </w:rPr>
              <w:t>.346</w:t>
            </w:r>
          </w:p>
        </w:tc>
        <w:tc>
          <w:tcPr>
            <w:tcW w:w="1050" w:type="dxa"/>
            <w:shd w:val="clear" w:color="auto" w:fill="auto"/>
            <w:noWrap/>
            <w:vAlign w:val="center"/>
          </w:tcPr>
          <w:p w14:paraId="59CDC9FD" w14:textId="2396B259" w:rsidR="007731A0" w:rsidRPr="001B4CA2" w:rsidRDefault="005A7B67" w:rsidP="00A9502C">
            <w:pPr>
              <w:jc w:val="center"/>
              <w:rPr>
                <w:rFonts w:eastAsia="Times New Roman"/>
                <w:sz w:val="18"/>
                <w:szCs w:val="18"/>
                <w:lang w:eastAsia="hr-HR"/>
              </w:rPr>
            </w:pPr>
            <w:r w:rsidRPr="001B4CA2">
              <w:rPr>
                <w:rFonts w:eastAsia="Times New Roman"/>
                <w:sz w:val="18"/>
                <w:szCs w:val="18"/>
                <w:lang w:eastAsia="hr-HR"/>
              </w:rPr>
              <w:t>63</w:t>
            </w:r>
          </w:p>
        </w:tc>
        <w:tc>
          <w:tcPr>
            <w:tcW w:w="1084" w:type="dxa"/>
            <w:shd w:val="clear" w:color="auto" w:fill="auto"/>
            <w:noWrap/>
            <w:vAlign w:val="center"/>
          </w:tcPr>
          <w:p w14:paraId="46CAE4FF" w14:textId="32429496" w:rsidR="007731A0" w:rsidRPr="001B4CA2" w:rsidRDefault="005A7B67" w:rsidP="00A9502C">
            <w:pPr>
              <w:jc w:val="center"/>
              <w:rPr>
                <w:rFonts w:eastAsia="Times New Roman"/>
                <w:sz w:val="18"/>
                <w:szCs w:val="18"/>
                <w:lang w:eastAsia="hr-HR"/>
              </w:rPr>
            </w:pPr>
            <w:r w:rsidRPr="001B4CA2">
              <w:rPr>
                <w:rFonts w:eastAsia="Times New Roman"/>
                <w:color w:val="000000"/>
                <w:sz w:val="18"/>
                <w:szCs w:val="18"/>
                <w:lang w:eastAsia="hr-HR"/>
              </w:rPr>
              <w:t>261</w:t>
            </w:r>
          </w:p>
        </w:tc>
        <w:tc>
          <w:tcPr>
            <w:tcW w:w="1084" w:type="dxa"/>
            <w:shd w:val="clear" w:color="auto" w:fill="auto"/>
            <w:noWrap/>
            <w:vAlign w:val="center"/>
          </w:tcPr>
          <w:p w14:paraId="70BFEEAA" w14:textId="27630712" w:rsidR="007731A0" w:rsidRPr="001B4CA2" w:rsidRDefault="007731A0" w:rsidP="00A9502C">
            <w:pPr>
              <w:jc w:val="center"/>
              <w:rPr>
                <w:rFonts w:eastAsia="Times New Roman"/>
                <w:sz w:val="18"/>
                <w:szCs w:val="18"/>
                <w:lang w:eastAsia="hr-HR"/>
              </w:rPr>
            </w:pPr>
            <w:r w:rsidRPr="001B4CA2">
              <w:rPr>
                <w:rFonts w:eastAsia="Times New Roman"/>
                <w:color w:val="000000"/>
                <w:sz w:val="18"/>
                <w:szCs w:val="18"/>
                <w:lang w:eastAsia="hr-HR"/>
              </w:rPr>
              <w:t>4</w:t>
            </w:r>
            <w:r w:rsidR="00A9502C" w:rsidRPr="001B4CA2">
              <w:rPr>
                <w:rFonts w:eastAsia="Times New Roman"/>
                <w:color w:val="000000"/>
                <w:sz w:val="18"/>
                <w:szCs w:val="18"/>
                <w:lang w:eastAsia="hr-HR"/>
              </w:rPr>
              <w:t>.</w:t>
            </w:r>
            <w:r w:rsidR="00C5456D" w:rsidRPr="001B4CA2">
              <w:rPr>
                <w:rFonts w:eastAsia="Times New Roman"/>
                <w:color w:val="000000"/>
                <w:sz w:val="18"/>
                <w:szCs w:val="18"/>
                <w:lang w:eastAsia="hr-HR"/>
              </w:rPr>
              <w:t>105</w:t>
            </w:r>
          </w:p>
        </w:tc>
        <w:tc>
          <w:tcPr>
            <w:tcW w:w="978" w:type="dxa"/>
            <w:shd w:val="clear" w:color="auto" w:fill="auto"/>
            <w:noWrap/>
            <w:vAlign w:val="center"/>
          </w:tcPr>
          <w:p w14:paraId="0E33DC68" w14:textId="136E311D" w:rsidR="007731A0" w:rsidRPr="001B4CA2" w:rsidRDefault="00C5456D" w:rsidP="00A9502C">
            <w:pPr>
              <w:jc w:val="center"/>
              <w:rPr>
                <w:rFonts w:eastAsia="Times New Roman"/>
                <w:sz w:val="18"/>
                <w:szCs w:val="18"/>
                <w:lang w:eastAsia="hr-HR"/>
              </w:rPr>
            </w:pPr>
            <w:r w:rsidRPr="001B4CA2">
              <w:rPr>
                <w:rFonts w:eastAsia="Times New Roman"/>
                <w:sz w:val="18"/>
                <w:szCs w:val="18"/>
                <w:lang w:eastAsia="hr-HR"/>
              </w:rPr>
              <w:t>2.352</w:t>
            </w:r>
          </w:p>
        </w:tc>
      </w:tr>
      <w:tr w:rsidR="007731A0" w:rsidRPr="001B4CA2" w14:paraId="47B3E406" w14:textId="77777777" w:rsidTr="00AF55E3">
        <w:trPr>
          <w:trHeight w:val="353"/>
        </w:trPr>
        <w:tc>
          <w:tcPr>
            <w:tcW w:w="979" w:type="dxa"/>
            <w:shd w:val="clear" w:color="auto" w:fill="auto"/>
            <w:noWrap/>
            <w:vAlign w:val="center"/>
            <w:hideMark/>
          </w:tcPr>
          <w:p w14:paraId="3D849D8F" w14:textId="539A1728" w:rsidR="007731A0" w:rsidRPr="001B4CA2" w:rsidRDefault="007731A0" w:rsidP="00A9502C">
            <w:pPr>
              <w:jc w:val="center"/>
              <w:rPr>
                <w:rFonts w:eastAsia="Times New Roman"/>
                <w:sz w:val="18"/>
                <w:szCs w:val="18"/>
                <w:lang w:eastAsia="hr-HR"/>
              </w:rPr>
            </w:pPr>
            <w:r w:rsidRPr="001B4CA2">
              <w:rPr>
                <w:rFonts w:eastAsia="Times New Roman"/>
                <w:sz w:val="18"/>
                <w:szCs w:val="18"/>
                <w:lang w:eastAsia="hr-HR"/>
              </w:rPr>
              <w:t>202</w:t>
            </w:r>
            <w:r w:rsidR="00BA387B" w:rsidRPr="001B4CA2">
              <w:rPr>
                <w:rFonts w:eastAsia="Times New Roman"/>
                <w:sz w:val="18"/>
                <w:szCs w:val="18"/>
                <w:lang w:eastAsia="hr-HR"/>
              </w:rPr>
              <w:t>1</w:t>
            </w:r>
            <w:r w:rsidRPr="001B4CA2">
              <w:rPr>
                <w:rFonts w:eastAsia="Times New Roman"/>
                <w:sz w:val="18"/>
                <w:szCs w:val="18"/>
                <w:lang w:eastAsia="hr-HR"/>
              </w:rPr>
              <w:t>.</w:t>
            </w:r>
          </w:p>
        </w:tc>
        <w:tc>
          <w:tcPr>
            <w:tcW w:w="980" w:type="dxa"/>
            <w:shd w:val="clear" w:color="auto" w:fill="auto"/>
            <w:noWrap/>
            <w:vAlign w:val="center"/>
          </w:tcPr>
          <w:p w14:paraId="239D567C" w14:textId="00481FF5" w:rsidR="007731A0" w:rsidRPr="001B4CA2" w:rsidRDefault="00BA387B" w:rsidP="00A9502C">
            <w:pPr>
              <w:jc w:val="center"/>
              <w:rPr>
                <w:rFonts w:eastAsia="Times New Roman"/>
                <w:sz w:val="18"/>
                <w:szCs w:val="18"/>
                <w:lang w:eastAsia="hr-HR"/>
              </w:rPr>
            </w:pPr>
            <w:r w:rsidRPr="001B4CA2">
              <w:rPr>
                <w:rFonts w:eastAsia="Times New Roman"/>
                <w:color w:val="000000"/>
                <w:sz w:val="18"/>
                <w:szCs w:val="18"/>
                <w:lang w:eastAsia="hr-HR"/>
              </w:rPr>
              <w:t>6.826</w:t>
            </w:r>
          </w:p>
        </w:tc>
        <w:tc>
          <w:tcPr>
            <w:tcW w:w="1083" w:type="dxa"/>
            <w:shd w:val="clear" w:color="auto" w:fill="auto"/>
            <w:noWrap/>
            <w:vAlign w:val="center"/>
          </w:tcPr>
          <w:p w14:paraId="660B9D39" w14:textId="4A05E767" w:rsidR="007731A0" w:rsidRPr="001B4CA2" w:rsidRDefault="00BA387B" w:rsidP="00A9502C">
            <w:pPr>
              <w:jc w:val="center"/>
              <w:rPr>
                <w:rFonts w:eastAsia="Times New Roman"/>
                <w:sz w:val="18"/>
                <w:szCs w:val="18"/>
                <w:lang w:eastAsia="hr-HR"/>
              </w:rPr>
            </w:pPr>
            <w:r w:rsidRPr="001B4CA2">
              <w:rPr>
                <w:rFonts w:eastAsia="Times New Roman"/>
                <w:color w:val="000000"/>
                <w:sz w:val="18"/>
                <w:szCs w:val="18"/>
                <w:lang w:eastAsia="hr-HR"/>
              </w:rPr>
              <w:t>554</w:t>
            </w:r>
          </w:p>
        </w:tc>
        <w:tc>
          <w:tcPr>
            <w:tcW w:w="1118" w:type="dxa"/>
            <w:shd w:val="clear" w:color="auto" w:fill="auto"/>
            <w:noWrap/>
            <w:vAlign w:val="center"/>
          </w:tcPr>
          <w:p w14:paraId="669B8D2A" w14:textId="07E0BC80" w:rsidR="007731A0" w:rsidRPr="001B4CA2" w:rsidRDefault="007731A0" w:rsidP="00A9502C">
            <w:pPr>
              <w:jc w:val="center"/>
              <w:rPr>
                <w:rFonts w:eastAsia="Times New Roman"/>
                <w:sz w:val="18"/>
                <w:szCs w:val="18"/>
                <w:lang w:eastAsia="hr-HR"/>
              </w:rPr>
            </w:pPr>
            <w:r w:rsidRPr="001B4CA2">
              <w:rPr>
                <w:rFonts w:eastAsia="Times New Roman"/>
                <w:color w:val="000000"/>
                <w:sz w:val="18"/>
                <w:szCs w:val="18"/>
                <w:lang w:eastAsia="hr-HR"/>
              </w:rPr>
              <w:t>3.</w:t>
            </w:r>
            <w:r w:rsidR="005A7B67" w:rsidRPr="001B4CA2">
              <w:rPr>
                <w:rFonts w:eastAsia="Times New Roman"/>
                <w:color w:val="000000"/>
                <w:sz w:val="18"/>
                <w:szCs w:val="18"/>
                <w:lang w:eastAsia="hr-HR"/>
              </w:rPr>
              <w:t>744</w:t>
            </w:r>
          </w:p>
        </w:tc>
        <w:tc>
          <w:tcPr>
            <w:tcW w:w="1050" w:type="dxa"/>
            <w:shd w:val="clear" w:color="auto" w:fill="auto"/>
            <w:noWrap/>
            <w:vAlign w:val="center"/>
          </w:tcPr>
          <w:p w14:paraId="78836EF4" w14:textId="5395C825" w:rsidR="007731A0" w:rsidRPr="001B4CA2" w:rsidRDefault="007731A0" w:rsidP="00A9502C">
            <w:pPr>
              <w:jc w:val="center"/>
              <w:rPr>
                <w:rFonts w:eastAsia="Times New Roman"/>
                <w:sz w:val="18"/>
                <w:szCs w:val="18"/>
                <w:lang w:eastAsia="hr-HR"/>
              </w:rPr>
            </w:pPr>
            <w:r w:rsidRPr="001B4CA2">
              <w:rPr>
                <w:rFonts w:eastAsia="Times New Roman"/>
                <w:color w:val="000000"/>
                <w:sz w:val="18"/>
                <w:szCs w:val="18"/>
                <w:lang w:eastAsia="hr-HR"/>
              </w:rPr>
              <w:t>6</w:t>
            </w:r>
            <w:r w:rsidR="005A7B67" w:rsidRPr="001B4CA2">
              <w:rPr>
                <w:rFonts w:eastAsia="Times New Roman"/>
                <w:color w:val="000000"/>
                <w:sz w:val="18"/>
                <w:szCs w:val="18"/>
                <w:lang w:eastAsia="hr-HR"/>
              </w:rPr>
              <w:t>2</w:t>
            </w:r>
          </w:p>
        </w:tc>
        <w:tc>
          <w:tcPr>
            <w:tcW w:w="1084" w:type="dxa"/>
            <w:shd w:val="clear" w:color="auto" w:fill="auto"/>
            <w:noWrap/>
            <w:vAlign w:val="center"/>
          </w:tcPr>
          <w:p w14:paraId="654479A7" w14:textId="02E51D4C" w:rsidR="007731A0" w:rsidRPr="001B4CA2" w:rsidRDefault="005A7B67" w:rsidP="00A9502C">
            <w:pPr>
              <w:jc w:val="center"/>
              <w:rPr>
                <w:rFonts w:eastAsia="Times New Roman"/>
                <w:sz w:val="18"/>
                <w:szCs w:val="18"/>
                <w:lang w:eastAsia="hr-HR"/>
              </w:rPr>
            </w:pPr>
            <w:r w:rsidRPr="001B4CA2">
              <w:rPr>
                <w:rFonts w:eastAsia="Times New Roman"/>
                <w:color w:val="000000"/>
                <w:sz w:val="18"/>
                <w:szCs w:val="18"/>
                <w:lang w:eastAsia="hr-HR"/>
              </w:rPr>
              <w:t>86</w:t>
            </w:r>
          </w:p>
        </w:tc>
        <w:tc>
          <w:tcPr>
            <w:tcW w:w="1084" w:type="dxa"/>
            <w:shd w:val="clear" w:color="auto" w:fill="auto"/>
            <w:noWrap/>
            <w:vAlign w:val="center"/>
          </w:tcPr>
          <w:p w14:paraId="0EFBF4FB" w14:textId="420C62CF" w:rsidR="007731A0" w:rsidRPr="001B4CA2" w:rsidRDefault="007731A0" w:rsidP="00A9502C">
            <w:pPr>
              <w:jc w:val="center"/>
              <w:rPr>
                <w:rFonts w:eastAsia="Times New Roman"/>
                <w:sz w:val="18"/>
                <w:szCs w:val="18"/>
                <w:lang w:eastAsia="hr-HR"/>
              </w:rPr>
            </w:pPr>
            <w:r w:rsidRPr="001B4CA2">
              <w:rPr>
                <w:rFonts w:eastAsia="Times New Roman"/>
                <w:color w:val="000000"/>
                <w:sz w:val="18"/>
                <w:szCs w:val="18"/>
                <w:lang w:eastAsia="hr-HR"/>
              </w:rPr>
              <w:t>4.</w:t>
            </w:r>
            <w:r w:rsidR="00C5456D" w:rsidRPr="001B4CA2">
              <w:rPr>
                <w:rFonts w:eastAsia="Times New Roman"/>
                <w:color w:val="000000"/>
                <w:sz w:val="18"/>
                <w:szCs w:val="18"/>
                <w:lang w:eastAsia="hr-HR"/>
              </w:rPr>
              <w:t>446</w:t>
            </w:r>
          </w:p>
        </w:tc>
        <w:tc>
          <w:tcPr>
            <w:tcW w:w="978" w:type="dxa"/>
            <w:shd w:val="clear" w:color="auto" w:fill="auto"/>
            <w:noWrap/>
            <w:vAlign w:val="center"/>
          </w:tcPr>
          <w:p w14:paraId="72F1F794" w14:textId="343ED40A" w:rsidR="007731A0" w:rsidRPr="001B4CA2" w:rsidRDefault="007731A0" w:rsidP="00A9502C">
            <w:pPr>
              <w:jc w:val="center"/>
              <w:rPr>
                <w:rFonts w:eastAsia="Times New Roman"/>
                <w:sz w:val="18"/>
                <w:szCs w:val="18"/>
                <w:lang w:eastAsia="hr-HR"/>
              </w:rPr>
            </w:pPr>
            <w:r w:rsidRPr="001B4CA2">
              <w:rPr>
                <w:rFonts w:eastAsia="Times New Roman"/>
                <w:color w:val="000000"/>
                <w:sz w:val="18"/>
                <w:szCs w:val="18"/>
                <w:lang w:eastAsia="hr-HR"/>
              </w:rPr>
              <w:t>2.</w:t>
            </w:r>
            <w:r w:rsidR="00C5456D" w:rsidRPr="001B4CA2">
              <w:rPr>
                <w:rFonts w:eastAsia="Times New Roman"/>
                <w:color w:val="000000"/>
                <w:sz w:val="18"/>
                <w:szCs w:val="18"/>
                <w:lang w:eastAsia="hr-HR"/>
              </w:rPr>
              <w:t>380</w:t>
            </w:r>
          </w:p>
        </w:tc>
      </w:tr>
      <w:tr w:rsidR="007731A0" w:rsidRPr="001B4CA2" w14:paraId="51A48431" w14:textId="77777777" w:rsidTr="00AF55E3">
        <w:trPr>
          <w:trHeight w:val="353"/>
        </w:trPr>
        <w:tc>
          <w:tcPr>
            <w:tcW w:w="979" w:type="dxa"/>
            <w:shd w:val="clear" w:color="auto" w:fill="auto"/>
            <w:noWrap/>
            <w:vAlign w:val="center"/>
            <w:hideMark/>
          </w:tcPr>
          <w:p w14:paraId="5B3F8C60" w14:textId="19BC14F0" w:rsidR="007731A0" w:rsidRPr="001B4CA2" w:rsidRDefault="007731A0" w:rsidP="00A9502C">
            <w:pPr>
              <w:jc w:val="center"/>
              <w:rPr>
                <w:rFonts w:eastAsia="Times New Roman"/>
                <w:sz w:val="18"/>
                <w:szCs w:val="18"/>
                <w:lang w:eastAsia="hr-HR"/>
              </w:rPr>
            </w:pPr>
            <w:r w:rsidRPr="001B4CA2">
              <w:rPr>
                <w:rFonts w:eastAsia="Times New Roman"/>
                <w:sz w:val="18"/>
                <w:szCs w:val="18"/>
                <w:lang w:eastAsia="hr-HR"/>
              </w:rPr>
              <w:t>202</w:t>
            </w:r>
            <w:r w:rsidR="00BA387B" w:rsidRPr="001B4CA2">
              <w:rPr>
                <w:rFonts w:eastAsia="Times New Roman"/>
                <w:sz w:val="18"/>
                <w:szCs w:val="18"/>
                <w:lang w:eastAsia="hr-HR"/>
              </w:rPr>
              <w:t>2</w:t>
            </w:r>
            <w:r w:rsidRPr="001B4CA2">
              <w:rPr>
                <w:rFonts w:eastAsia="Times New Roman"/>
                <w:sz w:val="18"/>
                <w:szCs w:val="18"/>
                <w:lang w:eastAsia="hr-HR"/>
              </w:rPr>
              <w:t>.</w:t>
            </w:r>
          </w:p>
        </w:tc>
        <w:tc>
          <w:tcPr>
            <w:tcW w:w="980" w:type="dxa"/>
            <w:shd w:val="clear" w:color="auto" w:fill="auto"/>
            <w:noWrap/>
            <w:vAlign w:val="center"/>
          </w:tcPr>
          <w:p w14:paraId="2FF922AE" w14:textId="3183C89A" w:rsidR="007731A0" w:rsidRPr="001B4CA2" w:rsidRDefault="00BA387B" w:rsidP="00A9502C">
            <w:pPr>
              <w:jc w:val="center"/>
              <w:rPr>
                <w:rFonts w:eastAsia="Times New Roman"/>
                <w:sz w:val="18"/>
                <w:szCs w:val="18"/>
                <w:lang w:eastAsia="hr-HR"/>
              </w:rPr>
            </w:pPr>
            <w:r w:rsidRPr="001B4CA2">
              <w:rPr>
                <w:rFonts w:eastAsia="Times New Roman"/>
                <w:color w:val="000000"/>
                <w:sz w:val="18"/>
                <w:szCs w:val="18"/>
                <w:lang w:eastAsia="hr-HR"/>
              </w:rPr>
              <w:t>6.873</w:t>
            </w:r>
          </w:p>
        </w:tc>
        <w:tc>
          <w:tcPr>
            <w:tcW w:w="1083" w:type="dxa"/>
            <w:shd w:val="clear" w:color="auto" w:fill="auto"/>
            <w:noWrap/>
            <w:vAlign w:val="center"/>
          </w:tcPr>
          <w:p w14:paraId="03B444F5" w14:textId="15E80824" w:rsidR="007731A0" w:rsidRPr="001B4CA2" w:rsidRDefault="00BA387B" w:rsidP="00A9502C">
            <w:pPr>
              <w:jc w:val="center"/>
              <w:rPr>
                <w:rFonts w:eastAsia="Times New Roman"/>
                <w:sz w:val="18"/>
                <w:szCs w:val="18"/>
                <w:lang w:eastAsia="hr-HR"/>
              </w:rPr>
            </w:pPr>
            <w:r w:rsidRPr="001B4CA2">
              <w:rPr>
                <w:rFonts w:eastAsia="Times New Roman"/>
                <w:color w:val="000000"/>
                <w:sz w:val="18"/>
                <w:szCs w:val="18"/>
                <w:lang w:eastAsia="hr-HR"/>
              </w:rPr>
              <w:t>475</w:t>
            </w:r>
          </w:p>
        </w:tc>
        <w:tc>
          <w:tcPr>
            <w:tcW w:w="1118" w:type="dxa"/>
            <w:shd w:val="clear" w:color="auto" w:fill="auto"/>
            <w:noWrap/>
            <w:vAlign w:val="center"/>
          </w:tcPr>
          <w:p w14:paraId="35C61304" w14:textId="1719D1E7" w:rsidR="007731A0" w:rsidRPr="001B4CA2" w:rsidRDefault="007731A0" w:rsidP="00A9502C">
            <w:pPr>
              <w:jc w:val="center"/>
              <w:rPr>
                <w:rFonts w:eastAsia="Times New Roman"/>
                <w:sz w:val="18"/>
                <w:szCs w:val="18"/>
                <w:lang w:eastAsia="hr-HR"/>
              </w:rPr>
            </w:pPr>
            <w:r w:rsidRPr="001B4CA2">
              <w:rPr>
                <w:rFonts w:eastAsia="Times New Roman"/>
                <w:color w:val="000000"/>
                <w:sz w:val="18"/>
                <w:szCs w:val="18"/>
                <w:lang w:eastAsia="hr-HR"/>
              </w:rPr>
              <w:t>3.</w:t>
            </w:r>
            <w:r w:rsidR="005A7B67" w:rsidRPr="001B4CA2">
              <w:rPr>
                <w:rFonts w:eastAsia="Times New Roman"/>
                <w:color w:val="000000"/>
                <w:sz w:val="18"/>
                <w:szCs w:val="18"/>
                <w:lang w:eastAsia="hr-HR"/>
              </w:rPr>
              <w:t>788</w:t>
            </w:r>
          </w:p>
        </w:tc>
        <w:tc>
          <w:tcPr>
            <w:tcW w:w="1050" w:type="dxa"/>
            <w:shd w:val="clear" w:color="auto" w:fill="auto"/>
            <w:noWrap/>
            <w:vAlign w:val="center"/>
          </w:tcPr>
          <w:p w14:paraId="0AD45A25" w14:textId="6429EE4C" w:rsidR="007731A0" w:rsidRPr="001B4CA2" w:rsidRDefault="007731A0" w:rsidP="00A9502C">
            <w:pPr>
              <w:jc w:val="center"/>
              <w:rPr>
                <w:rFonts w:eastAsia="Times New Roman"/>
                <w:sz w:val="18"/>
                <w:szCs w:val="18"/>
                <w:lang w:eastAsia="hr-HR"/>
              </w:rPr>
            </w:pPr>
            <w:r w:rsidRPr="001B4CA2">
              <w:rPr>
                <w:rFonts w:eastAsia="Times New Roman"/>
                <w:color w:val="000000"/>
                <w:sz w:val="18"/>
                <w:szCs w:val="18"/>
                <w:lang w:eastAsia="hr-HR"/>
              </w:rPr>
              <w:t>62</w:t>
            </w:r>
          </w:p>
        </w:tc>
        <w:tc>
          <w:tcPr>
            <w:tcW w:w="1084" w:type="dxa"/>
            <w:shd w:val="clear" w:color="auto" w:fill="auto"/>
            <w:noWrap/>
            <w:vAlign w:val="center"/>
          </w:tcPr>
          <w:p w14:paraId="0F93012E" w14:textId="5438BA9D" w:rsidR="007731A0" w:rsidRPr="001B4CA2" w:rsidRDefault="005A7B67" w:rsidP="00A9502C">
            <w:pPr>
              <w:jc w:val="center"/>
              <w:rPr>
                <w:rFonts w:eastAsia="Times New Roman"/>
                <w:sz w:val="18"/>
                <w:szCs w:val="18"/>
                <w:lang w:eastAsia="hr-HR"/>
              </w:rPr>
            </w:pPr>
            <w:r w:rsidRPr="001B4CA2">
              <w:rPr>
                <w:rFonts w:eastAsia="Times New Roman"/>
                <w:color w:val="000000"/>
                <w:sz w:val="18"/>
                <w:szCs w:val="18"/>
                <w:lang w:eastAsia="hr-HR"/>
              </w:rPr>
              <w:t>55</w:t>
            </w:r>
          </w:p>
        </w:tc>
        <w:tc>
          <w:tcPr>
            <w:tcW w:w="1084" w:type="dxa"/>
            <w:shd w:val="clear" w:color="auto" w:fill="auto"/>
            <w:noWrap/>
            <w:vAlign w:val="center"/>
          </w:tcPr>
          <w:p w14:paraId="15A0FCFB" w14:textId="5DD76942" w:rsidR="007731A0" w:rsidRPr="001B4CA2" w:rsidRDefault="007731A0" w:rsidP="00A9502C">
            <w:pPr>
              <w:jc w:val="center"/>
              <w:rPr>
                <w:rFonts w:eastAsia="Times New Roman"/>
                <w:sz w:val="18"/>
                <w:szCs w:val="18"/>
                <w:lang w:eastAsia="hr-HR"/>
              </w:rPr>
            </w:pPr>
            <w:r w:rsidRPr="001B4CA2">
              <w:rPr>
                <w:rFonts w:eastAsia="Times New Roman"/>
                <w:color w:val="000000"/>
                <w:sz w:val="18"/>
                <w:szCs w:val="18"/>
                <w:lang w:eastAsia="hr-HR"/>
              </w:rPr>
              <w:t>4.</w:t>
            </w:r>
            <w:r w:rsidR="00C5456D" w:rsidRPr="001B4CA2">
              <w:rPr>
                <w:rFonts w:eastAsia="Times New Roman"/>
                <w:color w:val="000000"/>
                <w:sz w:val="18"/>
                <w:szCs w:val="18"/>
                <w:lang w:eastAsia="hr-HR"/>
              </w:rPr>
              <w:t>380</w:t>
            </w:r>
          </w:p>
        </w:tc>
        <w:tc>
          <w:tcPr>
            <w:tcW w:w="978" w:type="dxa"/>
            <w:shd w:val="clear" w:color="auto" w:fill="auto"/>
            <w:noWrap/>
            <w:vAlign w:val="center"/>
          </w:tcPr>
          <w:p w14:paraId="5C15F6A8" w14:textId="736FDD38" w:rsidR="007731A0" w:rsidRPr="001B4CA2" w:rsidRDefault="007731A0" w:rsidP="00A9502C">
            <w:pPr>
              <w:jc w:val="center"/>
              <w:rPr>
                <w:rFonts w:eastAsia="Times New Roman"/>
                <w:sz w:val="18"/>
                <w:szCs w:val="18"/>
                <w:lang w:eastAsia="hr-HR"/>
              </w:rPr>
            </w:pPr>
            <w:r w:rsidRPr="001B4CA2">
              <w:rPr>
                <w:rFonts w:eastAsia="Times New Roman"/>
                <w:color w:val="000000"/>
                <w:sz w:val="18"/>
                <w:szCs w:val="18"/>
                <w:lang w:eastAsia="hr-HR"/>
              </w:rPr>
              <w:t>2.</w:t>
            </w:r>
            <w:r w:rsidR="00C5456D" w:rsidRPr="001B4CA2">
              <w:rPr>
                <w:rFonts w:eastAsia="Times New Roman"/>
                <w:color w:val="000000"/>
                <w:sz w:val="18"/>
                <w:szCs w:val="18"/>
                <w:lang w:eastAsia="hr-HR"/>
              </w:rPr>
              <w:t>493</w:t>
            </w:r>
          </w:p>
        </w:tc>
      </w:tr>
    </w:tbl>
    <w:p w14:paraId="25D6E61D" w14:textId="77777777" w:rsidR="006F2CA0" w:rsidRPr="001B4CA2" w:rsidRDefault="006F2CA0" w:rsidP="00546D39"/>
    <w:p w14:paraId="5E31A880" w14:textId="6240DACA" w:rsidR="00C5456D" w:rsidRPr="001B4CA2" w:rsidRDefault="00031FDC" w:rsidP="00C5456D">
      <w:r w:rsidRPr="001B4CA2">
        <w:tab/>
      </w:r>
      <w:r w:rsidR="00C5456D" w:rsidRPr="001B4CA2">
        <w:t>U 2022. godini doneseno je rješenje o provođenju istrage za 4.139 osoba (bez maloljetnih osoba), što je 38 istraga više u odnosu na prethodnu godinu kada ih je bilo 4.101 (tablica 8.1.1.) i predstavlja rast od 0,9</w:t>
      </w:r>
      <w:r w:rsidR="00915D87">
        <w:t> </w:t>
      </w:r>
      <w:r w:rsidR="00C5456D" w:rsidRPr="001B4CA2">
        <w:t xml:space="preserve">%. </w:t>
      </w:r>
    </w:p>
    <w:p w14:paraId="321A0D91" w14:textId="77777777" w:rsidR="00C5456D" w:rsidRPr="001B4CA2" w:rsidRDefault="00C5456D" w:rsidP="00C5456D"/>
    <w:p w14:paraId="2C875010" w14:textId="7AF9800E" w:rsidR="00C5456D" w:rsidRPr="001B4CA2" w:rsidRDefault="001B4CA2" w:rsidP="00C5456D">
      <w:pPr>
        <w:rPr>
          <w:rFonts w:eastAsia="Times New Roman" w:cs="Times New Roman"/>
          <w:lang w:eastAsia="hr-HR"/>
        </w:rPr>
      </w:pPr>
      <w:r>
        <w:rPr>
          <w:rFonts w:eastAsia="Times New Roman"/>
          <w:lang w:eastAsia="hr-HR"/>
        </w:rPr>
        <w:tab/>
      </w:r>
      <w:r w:rsidR="00C5456D" w:rsidRPr="001B4CA2">
        <w:rPr>
          <w:rFonts w:eastAsia="Times New Roman"/>
          <w:lang w:eastAsia="hr-HR"/>
        </w:rPr>
        <w:t xml:space="preserve">Od ukupnog broja istraga u radu (6.873), tijekom 2022. godine </w:t>
      </w:r>
      <w:r w:rsidR="00915D87" w:rsidRPr="001B4CA2">
        <w:rPr>
          <w:rFonts w:eastAsia="Times New Roman"/>
          <w:lang w:eastAsia="hr-HR"/>
        </w:rPr>
        <w:t>dovršeno</w:t>
      </w:r>
      <w:r w:rsidR="00915D87">
        <w:rPr>
          <w:rFonts w:eastAsia="Times New Roman"/>
          <w:lang w:eastAsia="hr-HR"/>
        </w:rPr>
        <w:t xml:space="preserve"> </w:t>
      </w:r>
      <w:r w:rsidR="00C5456D" w:rsidRPr="001B4CA2">
        <w:rPr>
          <w:rFonts w:eastAsia="Times New Roman"/>
          <w:lang w:eastAsia="hr-HR"/>
        </w:rPr>
        <w:t>je 4.380 istraga (63,7</w:t>
      </w:r>
      <w:r w:rsidR="00915D87">
        <w:t> </w:t>
      </w:r>
      <w:r w:rsidR="00C5456D" w:rsidRPr="001B4CA2">
        <w:rPr>
          <w:rFonts w:eastAsia="Times New Roman"/>
          <w:lang w:eastAsia="hr-HR"/>
        </w:rPr>
        <w:t>%), dok su u radu ostale 2.493 istrage (36,3</w:t>
      </w:r>
      <w:r w:rsidR="00915D87">
        <w:t> </w:t>
      </w:r>
      <w:r w:rsidR="00C5456D" w:rsidRPr="001B4CA2">
        <w:rPr>
          <w:rFonts w:eastAsia="Times New Roman"/>
          <w:lang w:eastAsia="hr-HR"/>
        </w:rPr>
        <w:t xml:space="preserve">%), </w:t>
      </w:r>
      <w:r w:rsidR="00C5456D" w:rsidRPr="001B4CA2">
        <w:rPr>
          <w:rFonts w:eastAsia="Times New Roman" w:cs="Times New Roman"/>
          <w:lang w:eastAsia="hr-HR"/>
        </w:rPr>
        <w:t>a razlozi nerješavanja su objektivni</w:t>
      </w:r>
      <w:r w:rsidR="00F47D60">
        <w:rPr>
          <w:rFonts w:eastAsia="Times New Roman" w:cs="Times New Roman"/>
          <w:lang w:eastAsia="hr-HR"/>
        </w:rPr>
        <w:t xml:space="preserve"> – </w:t>
      </w:r>
      <w:r w:rsidR="00C5456D" w:rsidRPr="001B4CA2">
        <w:rPr>
          <w:rFonts w:eastAsia="Times New Roman" w:cs="Times New Roman"/>
          <w:lang w:eastAsia="hr-HR"/>
        </w:rPr>
        <w:t>složenost predmeta (primjerice</w:t>
      </w:r>
      <w:r w:rsidR="00915D87">
        <w:rPr>
          <w:rFonts w:eastAsia="Times New Roman" w:cs="Times New Roman"/>
          <w:lang w:eastAsia="hr-HR"/>
        </w:rPr>
        <w:t>,</w:t>
      </w:r>
      <w:r w:rsidR="00C5456D" w:rsidRPr="001B4CA2">
        <w:rPr>
          <w:rFonts w:eastAsia="Times New Roman" w:cs="Times New Roman"/>
          <w:lang w:eastAsia="hr-HR"/>
        </w:rPr>
        <w:t xml:space="preserve"> gospodarski predmeti u kojima je potrebno provesti financijsko-knjigovodstveno vještačenje obimne dokumentacije), velik broj svjedoka koje je potrebno ispitati, prikupljanje dokaza putem međunarodne pravne pomoći, nedostupnost okrivljenika i slično.</w:t>
      </w:r>
      <w:r w:rsidR="00FD08E9">
        <w:rPr>
          <w:rFonts w:eastAsia="Times New Roman" w:cs="Times New Roman"/>
          <w:lang w:eastAsia="hr-HR"/>
        </w:rPr>
        <w:t xml:space="preserve"> </w:t>
      </w:r>
    </w:p>
    <w:p w14:paraId="5E174E3A" w14:textId="77777777" w:rsidR="00C5456D" w:rsidRPr="001B4CA2" w:rsidRDefault="00C5456D" w:rsidP="00C5456D">
      <w:pPr>
        <w:rPr>
          <w:rFonts w:eastAsia="Times New Roman"/>
          <w:lang w:eastAsia="hr-HR"/>
        </w:rPr>
      </w:pPr>
    </w:p>
    <w:p w14:paraId="3F20EDCC" w14:textId="74ED446C" w:rsidR="00C5456D" w:rsidRPr="001B4CA2" w:rsidRDefault="001B4CA2" w:rsidP="00C5456D">
      <w:r>
        <w:rPr>
          <w:rFonts w:eastAsia="Times New Roman"/>
          <w:lang w:eastAsia="hr-HR"/>
        </w:rPr>
        <w:tab/>
      </w:r>
      <w:r w:rsidR="00C5456D" w:rsidRPr="001B4CA2">
        <w:rPr>
          <w:rFonts w:eastAsia="Times New Roman"/>
          <w:lang w:eastAsia="hr-HR"/>
        </w:rPr>
        <w:t>U ovom izvještajnom razdoblju u broju dovršenih istraga (4.380) b</w:t>
      </w:r>
      <w:r w:rsidR="00C5456D" w:rsidRPr="001B4CA2">
        <w:t>roj podignutih optužnica (3.788) participira s 86,5</w:t>
      </w:r>
      <w:r w:rsidR="00915D87">
        <w:t> </w:t>
      </w:r>
      <w:r w:rsidR="00C5456D" w:rsidRPr="001B4CA2">
        <w:t>%</w:t>
      </w:r>
      <w:r w:rsidR="000C229C" w:rsidRPr="001B4CA2">
        <w:t>. K</w:t>
      </w:r>
      <w:r w:rsidR="00C5456D" w:rsidRPr="001B4CA2">
        <w:t>ada se broj optužnica podignutih po dovršenoj istrazi u ovom izvještajnom razdoblju usporedi s prošlogodišnjim izvještajnim razdobljem, vidljivo je da su tijekom 2022. podignute 44 optužnice više nego prethodne godine, što predstavlja porast od 1,2</w:t>
      </w:r>
      <w:r w:rsidR="00915D87">
        <w:t> </w:t>
      </w:r>
      <w:r w:rsidR="00C5456D" w:rsidRPr="001B4CA2">
        <w:t xml:space="preserve">%. Iz visokog postotka podignutih optužnica nakon dovršene istrage proizlazi zaključak o osnovanosti odluke državnog odvjetnika o provođenju istrage, </w:t>
      </w:r>
      <w:r w:rsidR="00915D87">
        <w:t xml:space="preserve">budući </w:t>
      </w:r>
      <w:r w:rsidR="00C5456D" w:rsidRPr="001B4CA2">
        <w:t xml:space="preserve">da je u </w:t>
      </w:r>
      <w:r w:rsidR="00915D87">
        <w:t>više od</w:t>
      </w:r>
      <w:r w:rsidR="00C5456D" w:rsidRPr="001B4CA2">
        <w:t xml:space="preserve"> 85</w:t>
      </w:r>
      <w:r w:rsidR="00915D87">
        <w:t> </w:t>
      </w:r>
      <w:r w:rsidR="00C5456D" w:rsidRPr="001B4CA2">
        <w:t xml:space="preserve">% slučajeva osnovana sumnja da je okrivljenik počinio kazneno djelo potvrđena rezultatima dokaznih radnji koje su provedene tijekom istrage. </w:t>
      </w:r>
    </w:p>
    <w:p w14:paraId="6D4F8612" w14:textId="77777777" w:rsidR="00C5456D" w:rsidRPr="001B4CA2" w:rsidRDefault="00C5456D" w:rsidP="00C5456D"/>
    <w:p w14:paraId="1ED74E03" w14:textId="60B9CC7A" w:rsidR="00C5456D" w:rsidRPr="001B4CA2" w:rsidRDefault="001B4CA2" w:rsidP="00C5456D">
      <w:r>
        <w:tab/>
      </w:r>
      <w:r w:rsidR="00C5456D" w:rsidRPr="001B4CA2">
        <w:t>Po zastupljenosti u odlukama po dovršenoj istrazi, nakon optužnica, slijede obustave istrage kojih je bilo 475 (10,8</w:t>
      </w:r>
      <w:r w:rsidR="00915D87">
        <w:t> </w:t>
      </w:r>
      <w:r w:rsidR="00C5456D" w:rsidRPr="001B4CA2">
        <w:t>%), ustupom su riješene 62 istrage (1,4</w:t>
      </w:r>
      <w:r w:rsidR="00915D87">
        <w:t> </w:t>
      </w:r>
      <w:r w:rsidR="00C5456D" w:rsidRPr="001B4CA2">
        <w:t>%), dok je na drugi način (spajanje postupaka i slično) riješeno 55 istraga (1,3</w:t>
      </w:r>
      <w:r w:rsidR="00915D87">
        <w:t> </w:t>
      </w:r>
      <w:r w:rsidR="00C5456D" w:rsidRPr="001B4CA2">
        <w:t xml:space="preserve">%). </w:t>
      </w:r>
    </w:p>
    <w:p w14:paraId="4F902579" w14:textId="745B3FE1" w:rsidR="00EE74D3" w:rsidRPr="001B4CA2" w:rsidRDefault="00EE74D3" w:rsidP="00875F3A"/>
    <w:p w14:paraId="6BAE8835" w14:textId="5B6E7C4E" w:rsidR="00FC1474" w:rsidRPr="001B4CA2" w:rsidRDefault="00FC1474" w:rsidP="00875F3A"/>
    <w:p w14:paraId="38A3A89C" w14:textId="79882E34" w:rsidR="008D7A43" w:rsidRPr="001B4CA2" w:rsidRDefault="008D7A43" w:rsidP="00875F3A"/>
    <w:p w14:paraId="7861704E" w14:textId="4D1E646F" w:rsidR="008D7A43" w:rsidRPr="001B4CA2" w:rsidRDefault="008D7A43" w:rsidP="00875F3A"/>
    <w:p w14:paraId="21FFD928" w14:textId="6F3A9D68" w:rsidR="008D7A43" w:rsidRPr="001B4CA2" w:rsidRDefault="008D7A43" w:rsidP="00875F3A"/>
    <w:p w14:paraId="36B5A2BB" w14:textId="77777777" w:rsidR="008D7A43" w:rsidRPr="001B4CA2" w:rsidRDefault="008D7A43" w:rsidP="00875F3A"/>
    <w:p w14:paraId="67FA62AE" w14:textId="7E21DD96" w:rsidR="00EE74D3" w:rsidRPr="001B4CA2" w:rsidRDefault="00E61265" w:rsidP="00E61265">
      <w:pPr>
        <w:ind w:left="709"/>
      </w:pPr>
      <w:r w:rsidRPr="001B4CA2">
        <w:rPr>
          <w:rFonts w:eastAsia="Times New Roman"/>
          <w:i/>
          <w:iCs/>
          <w:lang w:eastAsia="hr-HR"/>
        </w:rPr>
        <w:lastRenderedPageBreak/>
        <w:t>Trajanje istrage</w:t>
      </w:r>
      <w:r w:rsidR="00915D87">
        <w:rPr>
          <w:rFonts w:eastAsia="Times New Roman"/>
          <w:i/>
          <w:iCs/>
          <w:lang w:eastAsia="hr-HR"/>
        </w:rPr>
        <w:t xml:space="preserve"> </w:t>
      </w:r>
      <w:r w:rsidRPr="001B4CA2">
        <w:rPr>
          <w:rFonts w:eastAsia="Times New Roman"/>
          <w:i/>
          <w:iCs/>
          <w:lang w:eastAsia="hr-HR"/>
        </w:rPr>
        <w:t>/</w:t>
      </w:r>
      <w:r w:rsidR="00915D87">
        <w:rPr>
          <w:rFonts w:eastAsia="Times New Roman"/>
          <w:i/>
          <w:iCs/>
          <w:lang w:eastAsia="hr-HR"/>
        </w:rPr>
        <w:t xml:space="preserve"> </w:t>
      </w:r>
      <w:r w:rsidRPr="001B4CA2">
        <w:rPr>
          <w:rFonts w:eastAsia="Times New Roman"/>
          <w:i/>
          <w:iCs/>
          <w:lang w:eastAsia="hr-HR"/>
        </w:rPr>
        <w:t>pripremnog postupka za maloljetnike</w:t>
      </w:r>
    </w:p>
    <w:tbl>
      <w:tblPr>
        <w:tblW w:w="7987" w:type="dxa"/>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9"/>
        <w:gridCol w:w="1139"/>
        <w:gridCol w:w="1143"/>
        <w:gridCol w:w="1143"/>
        <w:gridCol w:w="1137"/>
        <w:gridCol w:w="1145"/>
        <w:gridCol w:w="1141"/>
      </w:tblGrid>
      <w:tr w:rsidR="00E61265" w:rsidRPr="001B4CA2" w14:paraId="0551C6F5" w14:textId="7659B2F0" w:rsidTr="00865FD2">
        <w:trPr>
          <w:trHeight w:val="612"/>
        </w:trPr>
        <w:tc>
          <w:tcPr>
            <w:tcW w:w="1139" w:type="dxa"/>
            <w:shd w:val="clear" w:color="auto" w:fill="99CCFF"/>
            <w:noWrap/>
            <w:vAlign w:val="center"/>
            <w:hideMark/>
          </w:tcPr>
          <w:p w14:paraId="1890C7E8" w14:textId="508C8388" w:rsidR="00E61265" w:rsidRPr="001B4CA2" w:rsidRDefault="00E61265" w:rsidP="00E61265">
            <w:pPr>
              <w:jc w:val="center"/>
              <w:rPr>
                <w:rFonts w:eastAsia="Times New Roman"/>
                <w:sz w:val="22"/>
                <w:lang w:eastAsia="hr-HR"/>
              </w:rPr>
            </w:pPr>
            <w:r w:rsidRPr="001B4CA2">
              <w:rPr>
                <w:rFonts w:eastAsia="Times New Roman"/>
                <w:b/>
                <w:sz w:val="18"/>
                <w:szCs w:val="18"/>
                <w:lang w:eastAsia="hr-HR"/>
              </w:rPr>
              <w:t>Godina</w:t>
            </w:r>
          </w:p>
        </w:tc>
        <w:tc>
          <w:tcPr>
            <w:tcW w:w="1139" w:type="dxa"/>
            <w:shd w:val="clear" w:color="auto" w:fill="99CCFF"/>
            <w:vAlign w:val="center"/>
          </w:tcPr>
          <w:p w14:paraId="4FB90D55" w14:textId="7D95E5C7" w:rsidR="00E61265" w:rsidRPr="001B4CA2" w:rsidRDefault="00E61265" w:rsidP="00E61265">
            <w:pPr>
              <w:jc w:val="center"/>
              <w:rPr>
                <w:rFonts w:eastAsia="Times New Roman"/>
                <w:sz w:val="22"/>
                <w:lang w:eastAsia="hr-HR"/>
              </w:rPr>
            </w:pPr>
            <w:r w:rsidRPr="001B4CA2">
              <w:rPr>
                <w:rFonts w:eastAsia="Times New Roman"/>
                <w:b/>
                <w:sz w:val="18"/>
                <w:szCs w:val="18"/>
                <w:lang w:eastAsia="hr-HR"/>
              </w:rPr>
              <w:t>Do 1 mjeseca</w:t>
            </w:r>
          </w:p>
        </w:tc>
        <w:tc>
          <w:tcPr>
            <w:tcW w:w="1143" w:type="dxa"/>
            <w:shd w:val="clear" w:color="auto" w:fill="99CCFF"/>
            <w:vAlign w:val="center"/>
          </w:tcPr>
          <w:p w14:paraId="11441CCA" w14:textId="46C3A39B" w:rsidR="00E61265" w:rsidRPr="001B4CA2" w:rsidRDefault="00E61265" w:rsidP="00E61265">
            <w:pPr>
              <w:jc w:val="center"/>
              <w:rPr>
                <w:rFonts w:eastAsia="Times New Roman"/>
                <w:sz w:val="22"/>
                <w:lang w:eastAsia="hr-HR"/>
              </w:rPr>
            </w:pPr>
            <w:r w:rsidRPr="001B4CA2">
              <w:rPr>
                <w:rFonts w:eastAsia="Times New Roman"/>
                <w:b/>
                <w:sz w:val="18"/>
                <w:szCs w:val="18"/>
                <w:lang w:eastAsia="hr-HR"/>
              </w:rPr>
              <w:t>Do 3 mjeseca</w:t>
            </w:r>
          </w:p>
        </w:tc>
        <w:tc>
          <w:tcPr>
            <w:tcW w:w="1143" w:type="dxa"/>
            <w:shd w:val="clear" w:color="auto" w:fill="99CCFF"/>
            <w:vAlign w:val="center"/>
          </w:tcPr>
          <w:p w14:paraId="2B50F7BB" w14:textId="416EDDCF" w:rsidR="00E61265" w:rsidRPr="001B4CA2" w:rsidRDefault="00E61265" w:rsidP="00E61265">
            <w:pPr>
              <w:jc w:val="center"/>
              <w:rPr>
                <w:rFonts w:eastAsia="Times New Roman"/>
                <w:sz w:val="22"/>
                <w:lang w:eastAsia="hr-HR"/>
              </w:rPr>
            </w:pPr>
            <w:r w:rsidRPr="001B4CA2">
              <w:rPr>
                <w:rFonts w:eastAsia="Times New Roman"/>
                <w:b/>
                <w:sz w:val="18"/>
                <w:szCs w:val="18"/>
                <w:lang w:eastAsia="hr-HR"/>
              </w:rPr>
              <w:t>DO 6 mjeseci</w:t>
            </w:r>
          </w:p>
        </w:tc>
        <w:tc>
          <w:tcPr>
            <w:tcW w:w="1137" w:type="dxa"/>
            <w:shd w:val="clear" w:color="auto" w:fill="99CCFF"/>
            <w:vAlign w:val="center"/>
          </w:tcPr>
          <w:p w14:paraId="0B1F95EC" w14:textId="3F847576" w:rsidR="00E61265" w:rsidRPr="001B4CA2" w:rsidRDefault="00E61265" w:rsidP="00E61265">
            <w:pPr>
              <w:jc w:val="center"/>
              <w:rPr>
                <w:rFonts w:eastAsia="Times New Roman"/>
                <w:sz w:val="22"/>
                <w:lang w:eastAsia="hr-HR"/>
              </w:rPr>
            </w:pPr>
            <w:r w:rsidRPr="001B4CA2">
              <w:rPr>
                <w:rFonts w:eastAsia="Times New Roman"/>
                <w:b/>
                <w:sz w:val="18"/>
                <w:szCs w:val="18"/>
                <w:lang w:eastAsia="hr-HR"/>
              </w:rPr>
              <w:t>Do 12 mjeseci</w:t>
            </w:r>
          </w:p>
        </w:tc>
        <w:tc>
          <w:tcPr>
            <w:tcW w:w="1145" w:type="dxa"/>
            <w:shd w:val="clear" w:color="auto" w:fill="99CCFF"/>
            <w:vAlign w:val="center"/>
          </w:tcPr>
          <w:p w14:paraId="3F81C812" w14:textId="3CB620C0" w:rsidR="00E61265" w:rsidRPr="001B4CA2" w:rsidRDefault="00E61265" w:rsidP="00E61265">
            <w:pPr>
              <w:jc w:val="center"/>
              <w:rPr>
                <w:rFonts w:eastAsia="Times New Roman"/>
                <w:sz w:val="22"/>
                <w:lang w:eastAsia="hr-HR"/>
              </w:rPr>
            </w:pPr>
            <w:r w:rsidRPr="001B4CA2">
              <w:rPr>
                <w:rFonts w:eastAsia="Times New Roman"/>
                <w:b/>
                <w:sz w:val="18"/>
                <w:szCs w:val="18"/>
                <w:lang w:eastAsia="hr-HR"/>
              </w:rPr>
              <w:t>Do 18 mjeseci</w:t>
            </w:r>
          </w:p>
        </w:tc>
        <w:tc>
          <w:tcPr>
            <w:tcW w:w="1141" w:type="dxa"/>
            <w:shd w:val="clear" w:color="auto" w:fill="99CCFF"/>
            <w:vAlign w:val="center"/>
          </w:tcPr>
          <w:p w14:paraId="6A32A369" w14:textId="1CA43042" w:rsidR="00E61265" w:rsidRPr="001B4CA2" w:rsidRDefault="00E61265" w:rsidP="00E61265">
            <w:pPr>
              <w:jc w:val="center"/>
              <w:rPr>
                <w:rFonts w:eastAsia="Times New Roman"/>
                <w:sz w:val="22"/>
                <w:lang w:eastAsia="hr-HR"/>
              </w:rPr>
            </w:pPr>
            <w:r w:rsidRPr="001B4CA2">
              <w:rPr>
                <w:rFonts w:eastAsia="Times New Roman"/>
                <w:b/>
                <w:sz w:val="18"/>
                <w:szCs w:val="18"/>
                <w:lang w:eastAsia="hr-HR"/>
              </w:rPr>
              <w:t>Više od 18 mjeseci</w:t>
            </w:r>
          </w:p>
        </w:tc>
      </w:tr>
      <w:tr w:rsidR="00397CEE" w:rsidRPr="001B4CA2" w14:paraId="38B2B759" w14:textId="77777777" w:rsidTr="00865FD2">
        <w:trPr>
          <w:trHeight w:val="330"/>
        </w:trPr>
        <w:tc>
          <w:tcPr>
            <w:tcW w:w="1139" w:type="dxa"/>
            <w:shd w:val="clear" w:color="auto" w:fill="auto"/>
            <w:noWrap/>
            <w:vAlign w:val="center"/>
          </w:tcPr>
          <w:p w14:paraId="4C985806" w14:textId="226B54D4" w:rsidR="00397CEE" w:rsidRPr="001B4CA2" w:rsidRDefault="00397CEE" w:rsidP="00042B73">
            <w:pPr>
              <w:jc w:val="center"/>
              <w:rPr>
                <w:rFonts w:eastAsia="Times New Roman"/>
                <w:sz w:val="18"/>
                <w:szCs w:val="18"/>
                <w:lang w:eastAsia="hr-HR"/>
              </w:rPr>
            </w:pPr>
            <w:r w:rsidRPr="001B4CA2">
              <w:rPr>
                <w:rFonts w:eastAsia="Times New Roman"/>
                <w:sz w:val="18"/>
                <w:szCs w:val="18"/>
                <w:lang w:eastAsia="hr-HR"/>
              </w:rPr>
              <w:t>201</w:t>
            </w:r>
            <w:r w:rsidR="00806E11" w:rsidRPr="001B4CA2">
              <w:rPr>
                <w:rFonts w:eastAsia="Times New Roman"/>
                <w:sz w:val="18"/>
                <w:szCs w:val="18"/>
                <w:lang w:eastAsia="hr-HR"/>
              </w:rPr>
              <w:t>8</w:t>
            </w:r>
            <w:r w:rsidRPr="001B4CA2">
              <w:rPr>
                <w:rFonts w:eastAsia="Times New Roman"/>
                <w:sz w:val="18"/>
                <w:szCs w:val="18"/>
                <w:lang w:eastAsia="hr-HR"/>
              </w:rPr>
              <w:t>.</w:t>
            </w:r>
          </w:p>
        </w:tc>
        <w:tc>
          <w:tcPr>
            <w:tcW w:w="1139" w:type="dxa"/>
            <w:shd w:val="clear" w:color="auto" w:fill="auto"/>
            <w:noWrap/>
            <w:vAlign w:val="center"/>
          </w:tcPr>
          <w:p w14:paraId="0B75CAC1" w14:textId="1AFC89E1" w:rsidR="00397CEE" w:rsidRPr="001B4CA2" w:rsidRDefault="00397CEE" w:rsidP="00875F3A">
            <w:pPr>
              <w:jc w:val="center"/>
              <w:rPr>
                <w:rFonts w:eastAsia="Times New Roman"/>
                <w:sz w:val="18"/>
                <w:szCs w:val="18"/>
                <w:lang w:eastAsia="hr-HR"/>
              </w:rPr>
            </w:pPr>
            <w:r w:rsidRPr="001B4CA2">
              <w:rPr>
                <w:rFonts w:eastAsia="Times New Roman"/>
                <w:sz w:val="18"/>
                <w:szCs w:val="18"/>
                <w:lang w:eastAsia="hr-HR"/>
              </w:rPr>
              <w:t>5</w:t>
            </w:r>
            <w:r w:rsidR="00B409A7" w:rsidRPr="001B4CA2">
              <w:rPr>
                <w:rFonts w:eastAsia="Times New Roman"/>
                <w:sz w:val="18"/>
                <w:szCs w:val="18"/>
                <w:lang w:eastAsia="hr-HR"/>
              </w:rPr>
              <w:t>30</w:t>
            </w:r>
          </w:p>
        </w:tc>
        <w:tc>
          <w:tcPr>
            <w:tcW w:w="1143" w:type="dxa"/>
            <w:shd w:val="clear" w:color="auto" w:fill="auto"/>
            <w:noWrap/>
            <w:vAlign w:val="center"/>
          </w:tcPr>
          <w:p w14:paraId="40F00928" w14:textId="06B063AC" w:rsidR="00397CEE" w:rsidRPr="001B4CA2" w:rsidRDefault="00397CEE" w:rsidP="00875F3A">
            <w:pPr>
              <w:jc w:val="center"/>
              <w:rPr>
                <w:rFonts w:eastAsia="Times New Roman"/>
                <w:sz w:val="18"/>
                <w:szCs w:val="18"/>
                <w:lang w:eastAsia="hr-HR"/>
              </w:rPr>
            </w:pPr>
            <w:r w:rsidRPr="001B4CA2">
              <w:rPr>
                <w:rFonts w:eastAsia="Times New Roman"/>
                <w:sz w:val="18"/>
                <w:szCs w:val="18"/>
                <w:lang w:eastAsia="hr-HR"/>
              </w:rPr>
              <w:t>1.</w:t>
            </w:r>
            <w:r w:rsidR="00B409A7" w:rsidRPr="001B4CA2">
              <w:rPr>
                <w:rFonts w:eastAsia="Times New Roman"/>
                <w:sz w:val="18"/>
                <w:szCs w:val="18"/>
                <w:lang w:eastAsia="hr-HR"/>
              </w:rPr>
              <w:t>079</w:t>
            </w:r>
          </w:p>
        </w:tc>
        <w:tc>
          <w:tcPr>
            <w:tcW w:w="1143" w:type="dxa"/>
            <w:shd w:val="clear" w:color="auto" w:fill="auto"/>
            <w:noWrap/>
            <w:vAlign w:val="center"/>
          </w:tcPr>
          <w:p w14:paraId="539C2277" w14:textId="3D1605EE" w:rsidR="00397CEE" w:rsidRPr="001B4CA2" w:rsidRDefault="00B409A7" w:rsidP="00875F3A">
            <w:pPr>
              <w:jc w:val="center"/>
              <w:rPr>
                <w:rFonts w:eastAsia="Times New Roman"/>
                <w:sz w:val="18"/>
                <w:szCs w:val="18"/>
                <w:lang w:eastAsia="hr-HR"/>
              </w:rPr>
            </w:pPr>
            <w:r w:rsidRPr="001B4CA2">
              <w:rPr>
                <w:rFonts w:eastAsia="Times New Roman"/>
                <w:sz w:val="18"/>
                <w:szCs w:val="18"/>
                <w:lang w:eastAsia="hr-HR"/>
              </w:rPr>
              <w:t>795</w:t>
            </w:r>
          </w:p>
        </w:tc>
        <w:tc>
          <w:tcPr>
            <w:tcW w:w="1137" w:type="dxa"/>
            <w:shd w:val="clear" w:color="auto" w:fill="auto"/>
            <w:noWrap/>
            <w:vAlign w:val="center"/>
          </w:tcPr>
          <w:p w14:paraId="27E30E64" w14:textId="770283F3" w:rsidR="00397CEE" w:rsidRPr="001B4CA2" w:rsidRDefault="00726C36" w:rsidP="00875F3A">
            <w:pPr>
              <w:jc w:val="center"/>
              <w:rPr>
                <w:rFonts w:eastAsia="Times New Roman"/>
                <w:sz w:val="18"/>
                <w:szCs w:val="18"/>
                <w:lang w:eastAsia="hr-HR"/>
              </w:rPr>
            </w:pPr>
            <w:r w:rsidRPr="001B4CA2">
              <w:rPr>
                <w:rFonts w:eastAsia="Times New Roman"/>
                <w:sz w:val="18"/>
                <w:szCs w:val="18"/>
                <w:lang w:eastAsia="hr-HR"/>
              </w:rPr>
              <w:t>205</w:t>
            </w:r>
          </w:p>
        </w:tc>
        <w:tc>
          <w:tcPr>
            <w:tcW w:w="1145" w:type="dxa"/>
            <w:shd w:val="clear" w:color="auto" w:fill="auto"/>
            <w:noWrap/>
            <w:vAlign w:val="center"/>
          </w:tcPr>
          <w:p w14:paraId="4CABE007" w14:textId="384A5589" w:rsidR="00397CEE" w:rsidRPr="001B4CA2" w:rsidRDefault="00726C36" w:rsidP="00875F3A">
            <w:pPr>
              <w:jc w:val="center"/>
              <w:rPr>
                <w:rFonts w:eastAsia="Times New Roman"/>
                <w:sz w:val="18"/>
                <w:szCs w:val="18"/>
                <w:lang w:eastAsia="hr-HR"/>
              </w:rPr>
            </w:pPr>
            <w:r w:rsidRPr="001B4CA2">
              <w:rPr>
                <w:rFonts w:eastAsia="Times New Roman"/>
                <w:sz w:val="18"/>
                <w:szCs w:val="18"/>
                <w:lang w:eastAsia="hr-HR"/>
              </w:rPr>
              <w:t>6</w:t>
            </w:r>
          </w:p>
        </w:tc>
        <w:tc>
          <w:tcPr>
            <w:tcW w:w="1141" w:type="dxa"/>
            <w:shd w:val="clear" w:color="auto" w:fill="auto"/>
            <w:noWrap/>
            <w:vAlign w:val="center"/>
          </w:tcPr>
          <w:p w14:paraId="78BE543E" w14:textId="5ADA0CFF" w:rsidR="00397CEE" w:rsidRPr="001B4CA2" w:rsidRDefault="00397CEE" w:rsidP="00875F3A">
            <w:pPr>
              <w:jc w:val="center"/>
              <w:rPr>
                <w:rFonts w:eastAsia="Times New Roman"/>
                <w:sz w:val="18"/>
                <w:szCs w:val="18"/>
                <w:lang w:eastAsia="hr-HR"/>
              </w:rPr>
            </w:pPr>
          </w:p>
        </w:tc>
      </w:tr>
      <w:tr w:rsidR="00397CEE" w:rsidRPr="001B4CA2" w14:paraId="61B3BD4A" w14:textId="77777777" w:rsidTr="00865FD2">
        <w:trPr>
          <w:trHeight w:val="330"/>
        </w:trPr>
        <w:tc>
          <w:tcPr>
            <w:tcW w:w="1139" w:type="dxa"/>
            <w:shd w:val="clear" w:color="auto" w:fill="auto"/>
            <w:noWrap/>
            <w:vAlign w:val="center"/>
            <w:hideMark/>
          </w:tcPr>
          <w:p w14:paraId="3B30AFAB" w14:textId="07AA4E0C" w:rsidR="00397CEE" w:rsidRPr="001B4CA2" w:rsidRDefault="00397CEE" w:rsidP="00042B73">
            <w:pPr>
              <w:jc w:val="center"/>
              <w:rPr>
                <w:rFonts w:eastAsia="Times New Roman"/>
                <w:sz w:val="18"/>
                <w:szCs w:val="18"/>
                <w:lang w:eastAsia="hr-HR"/>
              </w:rPr>
            </w:pPr>
            <w:r w:rsidRPr="001B4CA2">
              <w:rPr>
                <w:rFonts w:eastAsia="Times New Roman"/>
                <w:sz w:val="18"/>
                <w:szCs w:val="18"/>
                <w:lang w:eastAsia="hr-HR"/>
              </w:rPr>
              <w:t>201</w:t>
            </w:r>
            <w:r w:rsidR="00806E11" w:rsidRPr="001B4CA2">
              <w:rPr>
                <w:rFonts w:eastAsia="Times New Roman"/>
                <w:sz w:val="18"/>
                <w:szCs w:val="18"/>
                <w:lang w:eastAsia="hr-HR"/>
              </w:rPr>
              <w:t>9</w:t>
            </w:r>
            <w:r w:rsidRPr="001B4CA2">
              <w:rPr>
                <w:rFonts w:eastAsia="Times New Roman"/>
                <w:sz w:val="18"/>
                <w:szCs w:val="18"/>
                <w:lang w:eastAsia="hr-HR"/>
              </w:rPr>
              <w:t>.</w:t>
            </w:r>
          </w:p>
        </w:tc>
        <w:tc>
          <w:tcPr>
            <w:tcW w:w="1139" w:type="dxa"/>
            <w:shd w:val="clear" w:color="auto" w:fill="auto"/>
            <w:noWrap/>
            <w:vAlign w:val="center"/>
            <w:hideMark/>
          </w:tcPr>
          <w:p w14:paraId="55D000E5" w14:textId="075B29C3" w:rsidR="00397CEE" w:rsidRPr="001B4CA2" w:rsidRDefault="00B409A7" w:rsidP="00875F3A">
            <w:pPr>
              <w:jc w:val="center"/>
              <w:rPr>
                <w:rFonts w:eastAsia="Times New Roman"/>
                <w:sz w:val="18"/>
                <w:szCs w:val="18"/>
                <w:lang w:eastAsia="hr-HR"/>
              </w:rPr>
            </w:pPr>
            <w:r w:rsidRPr="001B4CA2">
              <w:rPr>
                <w:rFonts w:eastAsia="Times New Roman"/>
                <w:sz w:val="18"/>
                <w:szCs w:val="18"/>
                <w:lang w:eastAsia="hr-HR"/>
              </w:rPr>
              <w:t>667</w:t>
            </w:r>
          </w:p>
        </w:tc>
        <w:tc>
          <w:tcPr>
            <w:tcW w:w="1143" w:type="dxa"/>
            <w:shd w:val="clear" w:color="auto" w:fill="auto"/>
            <w:noWrap/>
            <w:vAlign w:val="center"/>
            <w:hideMark/>
          </w:tcPr>
          <w:p w14:paraId="27BF3FDD" w14:textId="6EE04473" w:rsidR="00397CEE" w:rsidRPr="001B4CA2" w:rsidRDefault="00397CEE" w:rsidP="00875F3A">
            <w:pPr>
              <w:jc w:val="center"/>
              <w:rPr>
                <w:rFonts w:eastAsia="Times New Roman"/>
                <w:sz w:val="18"/>
                <w:szCs w:val="18"/>
                <w:lang w:eastAsia="hr-HR"/>
              </w:rPr>
            </w:pPr>
            <w:r w:rsidRPr="001B4CA2">
              <w:rPr>
                <w:rFonts w:eastAsia="Times New Roman"/>
                <w:sz w:val="18"/>
                <w:szCs w:val="18"/>
                <w:lang w:eastAsia="hr-HR"/>
              </w:rPr>
              <w:t>1.</w:t>
            </w:r>
            <w:r w:rsidR="00B409A7" w:rsidRPr="001B4CA2">
              <w:rPr>
                <w:rFonts w:eastAsia="Times New Roman"/>
                <w:sz w:val="18"/>
                <w:szCs w:val="18"/>
                <w:lang w:eastAsia="hr-HR"/>
              </w:rPr>
              <w:t>281</w:t>
            </w:r>
          </w:p>
        </w:tc>
        <w:tc>
          <w:tcPr>
            <w:tcW w:w="1143" w:type="dxa"/>
            <w:shd w:val="clear" w:color="auto" w:fill="auto"/>
            <w:noWrap/>
            <w:vAlign w:val="center"/>
            <w:hideMark/>
          </w:tcPr>
          <w:p w14:paraId="6F01BF9F" w14:textId="0D454192" w:rsidR="00397CEE" w:rsidRPr="001B4CA2" w:rsidRDefault="00B409A7" w:rsidP="00875F3A">
            <w:pPr>
              <w:jc w:val="center"/>
              <w:rPr>
                <w:rFonts w:eastAsia="Times New Roman"/>
                <w:sz w:val="18"/>
                <w:szCs w:val="18"/>
                <w:lang w:eastAsia="hr-HR"/>
              </w:rPr>
            </w:pPr>
            <w:r w:rsidRPr="001B4CA2">
              <w:rPr>
                <w:rFonts w:eastAsia="Times New Roman"/>
                <w:sz w:val="18"/>
                <w:szCs w:val="18"/>
                <w:lang w:eastAsia="hr-HR"/>
              </w:rPr>
              <w:t>1.129</w:t>
            </w:r>
          </w:p>
        </w:tc>
        <w:tc>
          <w:tcPr>
            <w:tcW w:w="1137" w:type="dxa"/>
            <w:shd w:val="clear" w:color="auto" w:fill="auto"/>
            <w:noWrap/>
            <w:vAlign w:val="center"/>
            <w:hideMark/>
          </w:tcPr>
          <w:p w14:paraId="31213BC3" w14:textId="4CB4A297" w:rsidR="00397CEE" w:rsidRPr="001B4CA2" w:rsidRDefault="00726C36" w:rsidP="00875F3A">
            <w:pPr>
              <w:jc w:val="center"/>
              <w:rPr>
                <w:rFonts w:eastAsia="Times New Roman"/>
                <w:sz w:val="18"/>
                <w:szCs w:val="18"/>
                <w:lang w:eastAsia="hr-HR"/>
              </w:rPr>
            </w:pPr>
            <w:r w:rsidRPr="001B4CA2">
              <w:rPr>
                <w:rFonts w:eastAsia="Times New Roman"/>
                <w:sz w:val="18"/>
                <w:szCs w:val="18"/>
                <w:lang w:eastAsia="hr-HR"/>
              </w:rPr>
              <w:t>468</w:t>
            </w:r>
          </w:p>
        </w:tc>
        <w:tc>
          <w:tcPr>
            <w:tcW w:w="1145" w:type="dxa"/>
            <w:shd w:val="clear" w:color="auto" w:fill="auto"/>
            <w:noWrap/>
            <w:vAlign w:val="center"/>
            <w:hideMark/>
          </w:tcPr>
          <w:p w14:paraId="62FE6B33" w14:textId="60B15B82" w:rsidR="00397CEE" w:rsidRPr="001B4CA2" w:rsidRDefault="00726C36" w:rsidP="00875F3A">
            <w:pPr>
              <w:jc w:val="center"/>
              <w:rPr>
                <w:rFonts w:eastAsia="Times New Roman"/>
                <w:sz w:val="18"/>
                <w:szCs w:val="18"/>
                <w:lang w:eastAsia="hr-HR"/>
              </w:rPr>
            </w:pPr>
            <w:r w:rsidRPr="001B4CA2">
              <w:rPr>
                <w:rFonts w:eastAsia="Times New Roman"/>
                <w:sz w:val="18"/>
                <w:szCs w:val="18"/>
                <w:lang w:eastAsia="hr-HR"/>
              </w:rPr>
              <w:t>94</w:t>
            </w:r>
          </w:p>
        </w:tc>
        <w:tc>
          <w:tcPr>
            <w:tcW w:w="1141" w:type="dxa"/>
            <w:shd w:val="clear" w:color="auto" w:fill="auto"/>
            <w:noWrap/>
            <w:vAlign w:val="center"/>
            <w:hideMark/>
          </w:tcPr>
          <w:p w14:paraId="556368AE" w14:textId="5594108F" w:rsidR="00397CEE" w:rsidRPr="001B4CA2" w:rsidRDefault="00726C36" w:rsidP="00875F3A">
            <w:pPr>
              <w:jc w:val="center"/>
              <w:rPr>
                <w:rFonts w:eastAsia="Times New Roman"/>
                <w:sz w:val="18"/>
                <w:szCs w:val="18"/>
                <w:lang w:eastAsia="hr-HR"/>
              </w:rPr>
            </w:pPr>
            <w:r w:rsidRPr="001B4CA2">
              <w:rPr>
                <w:rFonts w:eastAsia="Times New Roman"/>
                <w:sz w:val="18"/>
                <w:szCs w:val="18"/>
                <w:lang w:eastAsia="hr-HR"/>
              </w:rPr>
              <w:t>25</w:t>
            </w:r>
          </w:p>
        </w:tc>
      </w:tr>
      <w:tr w:rsidR="00397CEE" w:rsidRPr="001B4CA2" w14:paraId="7D42575C" w14:textId="77777777" w:rsidTr="00865FD2">
        <w:trPr>
          <w:trHeight w:val="330"/>
        </w:trPr>
        <w:tc>
          <w:tcPr>
            <w:tcW w:w="1139" w:type="dxa"/>
            <w:shd w:val="clear" w:color="auto" w:fill="auto"/>
            <w:noWrap/>
            <w:vAlign w:val="center"/>
            <w:hideMark/>
          </w:tcPr>
          <w:p w14:paraId="4771B72B" w14:textId="4EFB13EA" w:rsidR="00397CEE" w:rsidRPr="001B4CA2" w:rsidRDefault="00397CEE" w:rsidP="00042B73">
            <w:pPr>
              <w:jc w:val="center"/>
              <w:rPr>
                <w:rFonts w:eastAsia="Times New Roman"/>
                <w:sz w:val="18"/>
                <w:szCs w:val="18"/>
                <w:lang w:eastAsia="hr-HR"/>
              </w:rPr>
            </w:pPr>
            <w:r w:rsidRPr="001B4CA2">
              <w:rPr>
                <w:rFonts w:eastAsia="Times New Roman"/>
                <w:sz w:val="18"/>
                <w:szCs w:val="18"/>
                <w:lang w:eastAsia="hr-HR"/>
              </w:rPr>
              <w:t>20</w:t>
            </w:r>
            <w:r w:rsidR="00806E11" w:rsidRPr="001B4CA2">
              <w:rPr>
                <w:rFonts w:eastAsia="Times New Roman"/>
                <w:sz w:val="18"/>
                <w:szCs w:val="18"/>
                <w:lang w:eastAsia="hr-HR"/>
              </w:rPr>
              <w:t>20</w:t>
            </w:r>
            <w:r w:rsidRPr="001B4CA2">
              <w:rPr>
                <w:rFonts w:eastAsia="Times New Roman"/>
                <w:sz w:val="18"/>
                <w:szCs w:val="18"/>
                <w:lang w:eastAsia="hr-HR"/>
              </w:rPr>
              <w:t>.</w:t>
            </w:r>
          </w:p>
        </w:tc>
        <w:tc>
          <w:tcPr>
            <w:tcW w:w="1139" w:type="dxa"/>
            <w:shd w:val="clear" w:color="auto" w:fill="auto"/>
            <w:noWrap/>
            <w:vAlign w:val="center"/>
            <w:hideMark/>
          </w:tcPr>
          <w:p w14:paraId="708CCD0D" w14:textId="1A1C4A16" w:rsidR="00397CEE" w:rsidRPr="001B4CA2" w:rsidRDefault="00B409A7" w:rsidP="00875F3A">
            <w:pPr>
              <w:jc w:val="center"/>
              <w:rPr>
                <w:rFonts w:eastAsia="Times New Roman"/>
                <w:sz w:val="18"/>
                <w:szCs w:val="18"/>
                <w:lang w:eastAsia="hr-HR"/>
              </w:rPr>
            </w:pPr>
            <w:r w:rsidRPr="001B4CA2">
              <w:rPr>
                <w:rFonts w:eastAsia="Times New Roman"/>
                <w:sz w:val="18"/>
                <w:szCs w:val="18"/>
                <w:lang w:eastAsia="hr-HR"/>
              </w:rPr>
              <w:t>723</w:t>
            </w:r>
          </w:p>
        </w:tc>
        <w:tc>
          <w:tcPr>
            <w:tcW w:w="1143" w:type="dxa"/>
            <w:shd w:val="clear" w:color="auto" w:fill="auto"/>
            <w:noWrap/>
            <w:vAlign w:val="center"/>
            <w:hideMark/>
          </w:tcPr>
          <w:p w14:paraId="64A36328" w14:textId="49CA0FA5" w:rsidR="00397CEE" w:rsidRPr="001B4CA2" w:rsidRDefault="00397CEE" w:rsidP="00875F3A">
            <w:pPr>
              <w:jc w:val="center"/>
              <w:rPr>
                <w:rFonts w:eastAsia="Times New Roman"/>
                <w:sz w:val="18"/>
                <w:szCs w:val="18"/>
                <w:lang w:eastAsia="hr-HR"/>
              </w:rPr>
            </w:pPr>
            <w:r w:rsidRPr="001B4CA2">
              <w:rPr>
                <w:rFonts w:eastAsia="Times New Roman"/>
                <w:sz w:val="18"/>
                <w:szCs w:val="18"/>
                <w:lang w:eastAsia="hr-HR"/>
              </w:rPr>
              <w:t>1.</w:t>
            </w:r>
            <w:r w:rsidR="00B409A7" w:rsidRPr="001B4CA2">
              <w:rPr>
                <w:rFonts w:eastAsia="Times New Roman"/>
                <w:sz w:val="18"/>
                <w:szCs w:val="18"/>
                <w:lang w:eastAsia="hr-HR"/>
              </w:rPr>
              <w:t>126</w:t>
            </w:r>
          </w:p>
        </w:tc>
        <w:tc>
          <w:tcPr>
            <w:tcW w:w="1143" w:type="dxa"/>
            <w:shd w:val="clear" w:color="auto" w:fill="auto"/>
            <w:noWrap/>
            <w:vAlign w:val="center"/>
            <w:hideMark/>
          </w:tcPr>
          <w:p w14:paraId="6B1FE3E6" w14:textId="02EEC6FF" w:rsidR="00397CEE" w:rsidRPr="001B4CA2" w:rsidRDefault="00397CEE" w:rsidP="00875F3A">
            <w:pPr>
              <w:jc w:val="center"/>
              <w:rPr>
                <w:rFonts w:eastAsia="Times New Roman"/>
                <w:sz w:val="18"/>
                <w:szCs w:val="18"/>
                <w:lang w:eastAsia="hr-HR"/>
              </w:rPr>
            </w:pPr>
            <w:r w:rsidRPr="001B4CA2">
              <w:rPr>
                <w:rFonts w:eastAsia="Times New Roman"/>
                <w:sz w:val="18"/>
                <w:szCs w:val="18"/>
                <w:lang w:eastAsia="hr-HR"/>
              </w:rPr>
              <w:t>1.1</w:t>
            </w:r>
            <w:r w:rsidR="00B409A7" w:rsidRPr="001B4CA2">
              <w:rPr>
                <w:rFonts w:eastAsia="Times New Roman"/>
                <w:sz w:val="18"/>
                <w:szCs w:val="18"/>
                <w:lang w:eastAsia="hr-HR"/>
              </w:rPr>
              <w:t>02</w:t>
            </w:r>
          </w:p>
        </w:tc>
        <w:tc>
          <w:tcPr>
            <w:tcW w:w="1137" w:type="dxa"/>
            <w:shd w:val="clear" w:color="auto" w:fill="auto"/>
            <w:noWrap/>
            <w:vAlign w:val="center"/>
            <w:hideMark/>
          </w:tcPr>
          <w:p w14:paraId="4176DDC0" w14:textId="3BA8BC1A" w:rsidR="00397CEE" w:rsidRPr="001B4CA2" w:rsidRDefault="00726C36" w:rsidP="00875F3A">
            <w:pPr>
              <w:jc w:val="center"/>
              <w:rPr>
                <w:rFonts w:eastAsia="Times New Roman"/>
                <w:sz w:val="18"/>
                <w:szCs w:val="18"/>
                <w:lang w:eastAsia="hr-HR"/>
              </w:rPr>
            </w:pPr>
            <w:r w:rsidRPr="001B4CA2">
              <w:rPr>
                <w:rFonts w:eastAsia="Times New Roman"/>
                <w:sz w:val="18"/>
                <w:szCs w:val="18"/>
                <w:lang w:eastAsia="hr-HR"/>
              </w:rPr>
              <w:t>564</w:t>
            </w:r>
          </w:p>
        </w:tc>
        <w:tc>
          <w:tcPr>
            <w:tcW w:w="1145" w:type="dxa"/>
            <w:shd w:val="clear" w:color="auto" w:fill="auto"/>
            <w:noWrap/>
            <w:vAlign w:val="center"/>
            <w:hideMark/>
          </w:tcPr>
          <w:p w14:paraId="0825D782" w14:textId="3DBA53AA" w:rsidR="00397CEE" w:rsidRPr="001B4CA2" w:rsidRDefault="00726C36" w:rsidP="00875F3A">
            <w:pPr>
              <w:jc w:val="center"/>
              <w:rPr>
                <w:rFonts w:eastAsia="Times New Roman"/>
                <w:sz w:val="18"/>
                <w:szCs w:val="18"/>
                <w:lang w:eastAsia="hr-HR"/>
              </w:rPr>
            </w:pPr>
            <w:r w:rsidRPr="001B4CA2">
              <w:rPr>
                <w:rFonts w:eastAsia="Times New Roman"/>
                <w:sz w:val="18"/>
                <w:szCs w:val="18"/>
                <w:lang w:eastAsia="hr-HR"/>
              </w:rPr>
              <w:t>171</w:t>
            </w:r>
          </w:p>
        </w:tc>
        <w:tc>
          <w:tcPr>
            <w:tcW w:w="1141" w:type="dxa"/>
            <w:shd w:val="clear" w:color="auto" w:fill="auto"/>
            <w:noWrap/>
            <w:vAlign w:val="center"/>
            <w:hideMark/>
          </w:tcPr>
          <w:p w14:paraId="2EC95804" w14:textId="2CD47C61" w:rsidR="00397CEE" w:rsidRPr="001B4CA2" w:rsidRDefault="00726C36" w:rsidP="00875F3A">
            <w:pPr>
              <w:jc w:val="center"/>
              <w:rPr>
                <w:rFonts w:eastAsia="Times New Roman"/>
                <w:sz w:val="18"/>
                <w:szCs w:val="18"/>
                <w:lang w:eastAsia="hr-HR"/>
              </w:rPr>
            </w:pPr>
            <w:r w:rsidRPr="001B4CA2">
              <w:rPr>
                <w:rFonts w:eastAsia="Times New Roman"/>
                <w:sz w:val="18"/>
                <w:szCs w:val="18"/>
                <w:lang w:eastAsia="hr-HR"/>
              </w:rPr>
              <w:t>172</w:t>
            </w:r>
          </w:p>
        </w:tc>
      </w:tr>
      <w:tr w:rsidR="00397CEE" w:rsidRPr="001B4CA2" w14:paraId="194A0348" w14:textId="77777777" w:rsidTr="00865FD2">
        <w:trPr>
          <w:trHeight w:val="330"/>
        </w:trPr>
        <w:tc>
          <w:tcPr>
            <w:tcW w:w="1139" w:type="dxa"/>
            <w:shd w:val="clear" w:color="auto" w:fill="auto"/>
            <w:noWrap/>
            <w:vAlign w:val="center"/>
            <w:hideMark/>
          </w:tcPr>
          <w:p w14:paraId="751E5051" w14:textId="2488CE5F" w:rsidR="00397CEE" w:rsidRPr="001B4CA2" w:rsidRDefault="00397CEE" w:rsidP="00042B73">
            <w:pPr>
              <w:jc w:val="center"/>
              <w:rPr>
                <w:rFonts w:eastAsia="Times New Roman"/>
                <w:sz w:val="18"/>
                <w:szCs w:val="18"/>
                <w:lang w:eastAsia="hr-HR"/>
              </w:rPr>
            </w:pPr>
            <w:r w:rsidRPr="001B4CA2">
              <w:rPr>
                <w:rFonts w:eastAsia="Times New Roman"/>
                <w:sz w:val="18"/>
                <w:szCs w:val="18"/>
                <w:lang w:eastAsia="hr-HR"/>
              </w:rPr>
              <w:t>202</w:t>
            </w:r>
            <w:r w:rsidR="00806E11" w:rsidRPr="001B4CA2">
              <w:rPr>
                <w:rFonts w:eastAsia="Times New Roman"/>
                <w:sz w:val="18"/>
                <w:szCs w:val="18"/>
                <w:lang w:eastAsia="hr-HR"/>
              </w:rPr>
              <w:t>1</w:t>
            </w:r>
            <w:r w:rsidRPr="001B4CA2">
              <w:rPr>
                <w:rFonts w:eastAsia="Times New Roman"/>
                <w:sz w:val="18"/>
                <w:szCs w:val="18"/>
                <w:lang w:eastAsia="hr-HR"/>
              </w:rPr>
              <w:t>.</w:t>
            </w:r>
          </w:p>
        </w:tc>
        <w:tc>
          <w:tcPr>
            <w:tcW w:w="1139" w:type="dxa"/>
            <w:shd w:val="clear" w:color="auto" w:fill="auto"/>
            <w:noWrap/>
            <w:vAlign w:val="center"/>
            <w:hideMark/>
          </w:tcPr>
          <w:p w14:paraId="26FC22D9" w14:textId="71405CEA" w:rsidR="00397CEE" w:rsidRPr="001B4CA2" w:rsidRDefault="00B409A7" w:rsidP="00875F3A">
            <w:pPr>
              <w:jc w:val="center"/>
              <w:rPr>
                <w:rFonts w:eastAsia="Times New Roman"/>
                <w:sz w:val="18"/>
                <w:szCs w:val="18"/>
                <w:lang w:eastAsia="hr-HR"/>
              </w:rPr>
            </w:pPr>
            <w:r w:rsidRPr="001B4CA2">
              <w:rPr>
                <w:rFonts w:eastAsia="Times New Roman"/>
                <w:sz w:val="18"/>
                <w:szCs w:val="18"/>
                <w:lang w:eastAsia="hr-HR"/>
              </w:rPr>
              <w:t>666</w:t>
            </w:r>
          </w:p>
        </w:tc>
        <w:tc>
          <w:tcPr>
            <w:tcW w:w="1143" w:type="dxa"/>
            <w:shd w:val="clear" w:color="auto" w:fill="auto"/>
            <w:noWrap/>
            <w:vAlign w:val="center"/>
            <w:hideMark/>
          </w:tcPr>
          <w:p w14:paraId="31D19635" w14:textId="0971299F" w:rsidR="00397CEE" w:rsidRPr="001B4CA2" w:rsidRDefault="00397CEE" w:rsidP="00875F3A">
            <w:pPr>
              <w:jc w:val="center"/>
              <w:rPr>
                <w:rFonts w:eastAsia="Times New Roman"/>
                <w:sz w:val="18"/>
                <w:szCs w:val="18"/>
                <w:lang w:eastAsia="hr-HR"/>
              </w:rPr>
            </w:pPr>
            <w:r w:rsidRPr="001B4CA2">
              <w:rPr>
                <w:rFonts w:eastAsia="Times New Roman"/>
                <w:sz w:val="18"/>
                <w:szCs w:val="18"/>
                <w:lang w:eastAsia="hr-HR"/>
              </w:rPr>
              <w:t>1.1</w:t>
            </w:r>
            <w:r w:rsidR="00B409A7" w:rsidRPr="001B4CA2">
              <w:rPr>
                <w:rFonts w:eastAsia="Times New Roman"/>
                <w:sz w:val="18"/>
                <w:szCs w:val="18"/>
                <w:lang w:eastAsia="hr-HR"/>
              </w:rPr>
              <w:t>05</w:t>
            </w:r>
          </w:p>
        </w:tc>
        <w:tc>
          <w:tcPr>
            <w:tcW w:w="1143" w:type="dxa"/>
            <w:shd w:val="clear" w:color="auto" w:fill="auto"/>
            <w:noWrap/>
            <w:vAlign w:val="center"/>
            <w:hideMark/>
          </w:tcPr>
          <w:p w14:paraId="507C2BA5" w14:textId="47F08D38" w:rsidR="00397CEE" w:rsidRPr="001B4CA2" w:rsidRDefault="00397CEE" w:rsidP="00875F3A">
            <w:pPr>
              <w:jc w:val="center"/>
              <w:rPr>
                <w:rFonts w:eastAsia="Times New Roman"/>
                <w:sz w:val="18"/>
                <w:szCs w:val="18"/>
                <w:lang w:eastAsia="hr-HR"/>
              </w:rPr>
            </w:pPr>
            <w:r w:rsidRPr="001B4CA2">
              <w:rPr>
                <w:rFonts w:eastAsia="Times New Roman"/>
                <w:sz w:val="18"/>
                <w:szCs w:val="18"/>
                <w:lang w:eastAsia="hr-HR"/>
              </w:rPr>
              <w:t>1.1</w:t>
            </w:r>
            <w:r w:rsidR="00B409A7" w:rsidRPr="001B4CA2">
              <w:rPr>
                <w:rFonts w:eastAsia="Times New Roman"/>
                <w:sz w:val="18"/>
                <w:szCs w:val="18"/>
                <w:lang w:eastAsia="hr-HR"/>
              </w:rPr>
              <w:t>25</w:t>
            </w:r>
          </w:p>
        </w:tc>
        <w:tc>
          <w:tcPr>
            <w:tcW w:w="1137" w:type="dxa"/>
            <w:shd w:val="clear" w:color="auto" w:fill="auto"/>
            <w:noWrap/>
            <w:vAlign w:val="center"/>
            <w:hideMark/>
          </w:tcPr>
          <w:p w14:paraId="46A34237" w14:textId="1E769BA4" w:rsidR="00397CEE" w:rsidRPr="001B4CA2" w:rsidRDefault="00397CEE" w:rsidP="00875F3A">
            <w:pPr>
              <w:jc w:val="center"/>
              <w:rPr>
                <w:rFonts w:eastAsia="Times New Roman"/>
                <w:sz w:val="18"/>
                <w:szCs w:val="18"/>
                <w:lang w:eastAsia="hr-HR"/>
              </w:rPr>
            </w:pPr>
            <w:r w:rsidRPr="001B4CA2">
              <w:rPr>
                <w:rFonts w:eastAsia="Times New Roman"/>
                <w:sz w:val="18"/>
                <w:szCs w:val="18"/>
                <w:lang w:eastAsia="hr-HR"/>
              </w:rPr>
              <w:t>5</w:t>
            </w:r>
            <w:r w:rsidR="00726C36" w:rsidRPr="001B4CA2">
              <w:rPr>
                <w:rFonts w:eastAsia="Times New Roman"/>
                <w:sz w:val="18"/>
                <w:szCs w:val="18"/>
                <w:lang w:eastAsia="hr-HR"/>
              </w:rPr>
              <w:t>04</w:t>
            </w:r>
          </w:p>
        </w:tc>
        <w:tc>
          <w:tcPr>
            <w:tcW w:w="1145" w:type="dxa"/>
            <w:shd w:val="clear" w:color="auto" w:fill="auto"/>
            <w:noWrap/>
            <w:vAlign w:val="center"/>
            <w:hideMark/>
          </w:tcPr>
          <w:p w14:paraId="003019B1" w14:textId="07EF2FD6" w:rsidR="00397CEE" w:rsidRPr="001B4CA2" w:rsidRDefault="00726C36" w:rsidP="00875F3A">
            <w:pPr>
              <w:jc w:val="center"/>
              <w:rPr>
                <w:rFonts w:eastAsia="Times New Roman"/>
                <w:sz w:val="18"/>
                <w:szCs w:val="18"/>
                <w:lang w:eastAsia="hr-HR"/>
              </w:rPr>
            </w:pPr>
            <w:r w:rsidRPr="001B4CA2">
              <w:rPr>
                <w:rFonts w:eastAsia="Times New Roman"/>
                <w:sz w:val="18"/>
                <w:szCs w:val="18"/>
                <w:lang w:eastAsia="hr-HR"/>
              </w:rPr>
              <w:t>213</w:t>
            </w:r>
          </w:p>
        </w:tc>
        <w:tc>
          <w:tcPr>
            <w:tcW w:w="1141" w:type="dxa"/>
            <w:shd w:val="clear" w:color="auto" w:fill="auto"/>
            <w:noWrap/>
            <w:vAlign w:val="center"/>
            <w:hideMark/>
          </w:tcPr>
          <w:p w14:paraId="50564962" w14:textId="21DC831F" w:rsidR="00397CEE" w:rsidRPr="001B4CA2" w:rsidRDefault="00397CEE" w:rsidP="00875F3A">
            <w:pPr>
              <w:jc w:val="center"/>
              <w:rPr>
                <w:rFonts w:eastAsia="Times New Roman"/>
                <w:sz w:val="18"/>
                <w:szCs w:val="18"/>
                <w:lang w:eastAsia="hr-HR"/>
              </w:rPr>
            </w:pPr>
            <w:r w:rsidRPr="001B4CA2">
              <w:rPr>
                <w:rFonts w:eastAsia="Times New Roman"/>
                <w:sz w:val="18"/>
                <w:szCs w:val="18"/>
                <w:lang w:eastAsia="hr-HR"/>
              </w:rPr>
              <w:t>1</w:t>
            </w:r>
            <w:r w:rsidR="00726C36" w:rsidRPr="001B4CA2">
              <w:rPr>
                <w:rFonts w:eastAsia="Times New Roman"/>
                <w:sz w:val="18"/>
                <w:szCs w:val="18"/>
                <w:lang w:eastAsia="hr-HR"/>
              </w:rPr>
              <w:t>82</w:t>
            </w:r>
          </w:p>
        </w:tc>
      </w:tr>
      <w:tr w:rsidR="00397CEE" w:rsidRPr="001B4CA2" w14:paraId="23C62E5B" w14:textId="77777777" w:rsidTr="00865FD2">
        <w:trPr>
          <w:trHeight w:val="346"/>
        </w:trPr>
        <w:tc>
          <w:tcPr>
            <w:tcW w:w="1139" w:type="dxa"/>
            <w:shd w:val="clear" w:color="auto" w:fill="auto"/>
            <w:noWrap/>
            <w:vAlign w:val="center"/>
          </w:tcPr>
          <w:p w14:paraId="476C9861" w14:textId="4E83F416" w:rsidR="00397CEE" w:rsidRPr="001B4CA2" w:rsidRDefault="00397CEE" w:rsidP="00042B73">
            <w:pPr>
              <w:jc w:val="center"/>
              <w:rPr>
                <w:rFonts w:eastAsia="Times New Roman"/>
                <w:sz w:val="18"/>
                <w:szCs w:val="18"/>
                <w:lang w:eastAsia="hr-HR"/>
              </w:rPr>
            </w:pPr>
            <w:r w:rsidRPr="001B4CA2">
              <w:rPr>
                <w:rFonts w:eastAsia="Times New Roman"/>
                <w:sz w:val="18"/>
                <w:szCs w:val="18"/>
                <w:lang w:eastAsia="hr-HR"/>
              </w:rPr>
              <w:t>202</w:t>
            </w:r>
            <w:r w:rsidR="00031FDC" w:rsidRPr="001B4CA2">
              <w:rPr>
                <w:rFonts w:eastAsia="Times New Roman"/>
                <w:sz w:val="18"/>
                <w:szCs w:val="18"/>
                <w:lang w:eastAsia="hr-HR"/>
              </w:rPr>
              <w:t>2</w:t>
            </w:r>
            <w:r w:rsidRPr="001B4CA2">
              <w:rPr>
                <w:rFonts w:eastAsia="Times New Roman"/>
                <w:sz w:val="18"/>
                <w:szCs w:val="18"/>
                <w:lang w:eastAsia="hr-HR"/>
              </w:rPr>
              <w:t>.</w:t>
            </w:r>
          </w:p>
        </w:tc>
        <w:tc>
          <w:tcPr>
            <w:tcW w:w="1139" w:type="dxa"/>
            <w:shd w:val="clear" w:color="auto" w:fill="auto"/>
            <w:noWrap/>
            <w:vAlign w:val="center"/>
          </w:tcPr>
          <w:p w14:paraId="2C1E960F" w14:textId="51418BE5" w:rsidR="00397CEE" w:rsidRPr="001B4CA2" w:rsidRDefault="00B409A7" w:rsidP="00875F3A">
            <w:pPr>
              <w:jc w:val="center"/>
              <w:rPr>
                <w:rFonts w:eastAsia="Times New Roman"/>
                <w:sz w:val="18"/>
                <w:szCs w:val="18"/>
                <w:lang w:eastAsia="hr-HR"/>
              </w:rPr>
            </w:pPr>
            <w:r w:rsidRPr="001B4CA2">
              <w:rPr>
                <w:rFonts w:eastAsia="Times New Roman"/>
                <w:sz w:val="18"/>
                <w:szCs w:val="18"/>
                <w:lang w:eastAsia="hr-HR"/>
              </w:rPr>
              <w:t>698</w:t>
            </w:r>
          </w:p>
        </w:tc>
        <w:tc>
          <w:tcPr>
            <w:tcW w:w="1143" w:type="dxa"/>
            <w:shd w:val="clear" w:color="auto" w:fill="auto"/>
            <w:noWrap/>
            <w:vAlign w:val="center"/>
          </w:tcPr>
          <w:p w14:paraId="2C6F889B" w14:textId="51D134B3" w:rsidR="00397CEE" w:rsidRPr="001B4CA2" w:rsidRDefault="00397CEE" w:rsidP="00875F3A">
            <w:pPr>
              <w:jc w:val="center"/>
              <w:rPr>
                <w:rFonts w:eastAsia="Times New Roman"/>
                <w:sz w:val="18"/>
                <w:szCs w:val="18"/>
                <w:lang w:eastAsia="hr-HR"/>
              </w:rPr>
            </w:pPr>
            <w:r w:rsidRPr="001B4CA2">
              <w:rPr>
                <w:rFonts w:eastAsia="Times New Roman"/>
                <w:sz w:val="18"/>
                <w:szCs w:val="18"/>
                <w:lang w:eastAsia="hr-HR"/>
              </w:rPr>
              <w:t>1.1</w:t>
            </w:r>
            <w:r w:rsidR="00B409A7" w:rsidRPr="001B4CA2">
              <w:rPr>
                <w:rFonts w:eastAsia="Times New Roman"/>
                <w:sz w:val="18"/>
                <w:szCs w:val="18"/>
                <w:lang w:eastAsia="hr-HR"/>
              </w:rPr>
              <w:t>50</w:t>
            </w:r>
          </w:p>
        </w:tc>
        <w:tc>
          <w:tcPr>
            <w:tcW w:w="1143" w:type="dxa"/>
            <w:shd w:val="clear" w:color="auto" w:fill="auto"/>
            <w:noWrap/>
            <w:vAlign w:val="center"/>
          </w:tcPr>
          <w:p w14:paraId="4DD85CE7" w14:textId="66DA5DEE" w:rsidR="00397CEE" w:rsidRPr="001B4CA2" w:rsidRDefault="00397CEE" w:rsidP="00397CEE">
            <w:pPr>
              <w:jc w:val="center"/>
              <w:rPr>
                <w:rFonts w:eastAsia="Times New Roman"/>
                <w:sz w:val="18"/>
                <w:szCs w:val="18"/>
                <w:lang w:eastAsia="hr-HR"/>
              </w:rPr>
            </w:pPr>
            <w:r w:rsidRPr="001B4CA2">
              <w:rPr>
                <w:rFonts w:eastAsia="Times New Roman"/>
                <w:sz w:val="18"/>
                <w:szCs w:val="18"/>
                <w:lang w:eastAsia="hr-HR"/>
              </w:rPr>
              <w:t>1.</w:t>
            </w:r>
            <w:r w:rsidR="00B409A7" w:rsidRPr="001B4CA2">
              <w:rPr>
                <w:rFonts w:eastAsia="Times New Roman"/>
                <w:sz w:val="18"/>
                <w:szCs w:val="18"/>
                <w:lang w:eastAsia="hr-HR"/>
              </w:rPr>
              <w:t>093</w:t>
            </w:r>
          </w:p>
        </w:tc>
        <w:tc>
          <w:tcPr>
            <w:tcW w:w="1137" w:type="dxa"/>
            <w:shd w:val="clear" w:color="auto" w:fill="auto"/>
            <w:noWrap/>
            <w:vAlign w:val="center"/>
          </w:tcPr>
          <w:p w14:paraId="0070E569" w14:textId="664CA479" w:rsidR="00397CEE" w:rsidRPr="001B4CA2" w:rsidRDefault="00397CEE" w:rsidP="00875F3A">
            <w:pPr>
              <w:jc w:val="center"/>
              <w:rPr>
                <w:rFonts w:eastAsia="Times New Roman"/>
                <w:sz w:val="18"/>
                <w:szCs w:val="18"/>
                <w:lang w:eastAsia="hr-HR"/>
              </w:rPr>
            </w:pPr>
            <w:r w:rsidRPr="001B4CA2">
              <w:rPr>
                <w:rFonts w:eastAsia="Times New Roman"/>
                <w:sz w:val="18"/>
                <w:szCs w:val="18"/>
                <w:lang w:eastAsia="hr-HR"/>
              </w:rPr>
              <w:t>5</w:t>
            </w:r>
            <w:r w:rsidR="00726C36" w:rsidRPr="001B4CA2">
              <w:rPr>
                <w:rFonts w:eastAsia="Times New Roman"/>
                <w:sz w:val="18"/>
                <w:szCs w:val="18"/>
                <w:lang w:eastAsia="hr-HR"/>
              </w:rPr>
              <w:t>33</w:t>
            </w:r>
          </w:p>
        </w:tc>
        <w:tc>
          <w:tcPr>
            <w:tcW w:w="1145" w:type="dxa"/>
            <w:shd w:val="clear" w:color="auto" w:fill="auto"/>
            <w:noWrap/>
            <w:vAlign w:val="center"/>
          </w:tcPr>
          <w:p w14:paraId="061D984F" w14:textId="60709A3D" w:rsidR="00397CEE" w:rsidRPr="001B4CA2" w:rsidRDefault="00726C36" w:rsidP="00875F3A">
            <w:pPr>
              <w:jc w:val="center"/>
              <w:rPr>
                <w:rFonts w:eastAsia="Times New Roman"/>
                <w:sz w:val="18"/>
                <w:szCs w:val="18"/>
                <w:lang w:eastAsia="hr-HR"/>
              </w:rPr>
            </w:pPr>
            <w:r w:rsidRPr="001B4CA2">
              <w:rPr>
                <w:rFonts w:eastAsia="Times New Roman"/>
                <w:sz w:val="18"/>
                <w:szCs w:val="18"/>
                <w:lang w:eastAsia="hr-HR"/>
              </w:rPr>
              <w:t>188</w:t>
            </w:r>
          </w:p>
        </w:tc>
        <w:tc>
          <w:tcPr>
            <w:tcW w:w="1141" w:type="dxa"/>
            <w:shd w:val="clear" w:color="auto" w:fill="auto"/>
            <w:noWrap/>
            <w:vAlign w:val="center"/>
          </w:tcPr>
          <w:p w14:paraId="3868B3CA" w14:textId="587F3E05" w:rsidR="00397CEE" w:rsidRPr="001B4CA2" w:rsidRDefault="00726C36" w:rsidP="00875F3A">
            <w:pPr>
              <w:jc w:val="center"/>
              <w:rPr>
                <w:rFonts w:eastAsia="Times New Roman"/>
                <w:sz w:val="18"/>
                <w:szCs w:val="18"/>
                <w:lang w:eastAsia="hr-HR"/>
              </w:rPr>
            </w:pPr>
            <w:r w:rsidRPr="001B4CA2">
              <w:rPr>
                <w:rFonts w:eastAsia="Times New Roman"/>
                <w:sz w:val="18"/>
                <w:szCs w:val="18"/>
                <w:lang w:eastAsia="hr-HR"/>
              </w:rPr>
              <w:t>212</w:t>
            </w:r>
          </w:p>
        </w:tc>
      </w:tr>
    </w:tbl>
    <w:p w14:paraId="106C070E" w14:textId="77777777" w:rsidR="00875F3A" w:rsidRPr="001B4CA2" w:rsidRDefault="00875F3A" w:rsidP="00875F3A"/>
    <w:p w14:paraId="0B0E160F" w14:textId="441CACEA" w:rsidR="00726C36" w:rsidRPr="001B4CA2" w:rsidRDefault="00031FDC" w:rsidP="00726C36">
      <w:r w:rsidRPr="001B4CA2">
        <w:tab/>
      </w:r>
      <w:r w:rsidR="00726C36" w:rsidRPr="001B4CA2">
        <w:t>Iz tabličnoga prikaza razvidno je da je tijekom 2022. godine u roku od 6 mjeseci dovršen</w:t>
      </w:r>
      <w:r w:rsidR="008D7A43" w:rsidRPr="001B4CA2">
        <w:t>o</w:t>
      </w:r>
      <w:r w:rsidR="00726C36" w:rsidRPr="001B4CA2">
        <w:t xml:space="preserve"> </w:t>
      </w:r>
      <w:r w:rsidR="008D7A43" w:rsidRPr="001B4CA2">
        <w:t>75,9</w:t>
      </w:r>
      <w:r w:rsidR="00915D87">
        <w:t> </w:t>
      </w:r>
      <w:r w:rsidR="008D7A43" w:rsidRPr="001B4CA2">
        <w:t>% svih istraga, 13,8</w:t>
      </w:r>
      <w:r w:rsidR="00915D87">
        <w:t> </w:t>
      </w:r>
      <w:r w:rsidR="008D7A43" w:rsidRPr="001B4CA2">
        <w:t>% istraga u roku do 12 mjeseci, 4,8</w:t>
      </w:r>
      <w:r w:rsidR="00915D87">
        <w:t> </w:t>
      </w:r>
      <w:r w:rsidR="008D7A43" w:rsidRPr="001B4CA2">
        <w:t>% istraga do 18 mjeseci te 5,5</w:t>
      </w:r>
      <w:r w:rsidR="00915D87">
        <w:t> </w:t>
      </w:r>
      <w:r w:rsidR="008D7A43" w:rsidRPr="001B4CA2">
        <w:t>% istraga u trajanju duljem od 18 mjeseci (5,5</w:t>
      </w:r>
      <w:r w:rsidR="00915D87">
        <w:t> </w:t>
      </w:r>
      <w:r w:rsidR="008D7A43" w:rsidRPr="001B4CA2">
        <w:t>%), što ukazuje na ažurno postupanje državnih odvjetništava.</w:t>
      </w:r>
    </w:p>
    <w:p w14:paraId="3670FDE3" w14:textId="77777777" w:rsidR="00726C36" w:rsidRPr="001B4CA2" w:rsidRDefault="00726C36" w:rsidP="00726C36"/>
    <w:p w14:paraId="27C8CF66" w14:textId="0183ACBA" w:rsidR="00726C36" w:rsidRPr="001B4CA2" w:rsidRDefault="001B4CA2" w:rsidP="00726C36">
      <w:r>
        <w:tab/>
      </w:r>
      <w:r w:rsidR="00726C36" w:rsidRPr="001B4CA2">
        <w:t>Do produljenja roka za dovršetak istrage dolazi u složenim predmetima u kojima su razlozi produljenja opravdani zbog objektivnih okolnosti vezanih za svaki konkretan predmet.</w:t>
      </w:r>
    </w:p>
    <w:p w14:paraId="1B5767F9" w14:textId="77777777" w:rsidR="00875F3A" w:rsidRPr="001B4CA2" w:rsidRDefault="00875F3A" w:rsidP="00415CC9"/>
    <w:p w14:paraId="3E214745" w14:textId="3E78D43D" w:rsidR="00AF2EE0" w:rsidRPr="001B4CA2" w:rsidRDefault="00AF2EE0" w:rsidP="000F634C">
      <w:pPr>
        <w:pStyle w:val="Naslov5"/>
        <w:ind w:left="851" w:hanging="425"/>
        <w:rPr>
          <w:rFonts w:ascii="Arial" w:hAnsi="Arial" w:cs="Arial"/>
        </w:rPr>
      </w:pPr>
      <w:bookmarkStart w:id="32" w:name="_Toc133394295"/>
      <w:r w:rsidRPr="001B4CA2">
        <w:rPr>
          <w:rFonts w:ascii="Arial" w:hAnsi="Arial" w:cs="Arial"/>
        </w:rPr>
        <w:t>Odluke po dovršenom pripremnom postupku</w:t>
      </w:r>
      <w:r w:rsidR="00310130" w:rsidRPr="001B4CA2">
        <w:rPr>
          <w:rFonts w:ascii="Arial" w:hAnsi="Arial" w:cs="Arial"/>
        </w:rPr>
        <w:t xml:space="preserve"> – </w:t>
      </w:r>
      <w:r w:rsidR="000857CC" w:rsidRPr="001B4CA2">
        <w:rPr>
          <w:rFonts w:ascii="Arial" w:hAnsi="Arial" w:cs="Arial"/>
        </w:rPr>
        <w:t>maloljetnici</w:t>
      </w:r>
      <w:bookmarkEnd w:id="32"/>
    </w:p>
    <w:p w14:paraId="41133BF9" w14:textId="020C0043" w:rsidR="00546D39" w:rsidRPr="001B4CA2" w:rsidRDefault="00546D39" w:rsidP="005C4A9A"/>
    <w:p w14:paraId="66FD6837" w14:textId="6793FBC7" w:rsidR="0060074A" w:rsidRPr="001B4CA2" w:rsidRDefault="000169EF" w:rsidP="0060074A">
      <w:pPr>
        <w:rPr>
          <w:i/>
          <w:iCs/>
        </w:rPr>
      </w:pPr>
      <w:r>
        <w:rPr>
          <w:i/>
          <w:iCs/>
        </w:rPr>
        <w:t xml:space="preserve">    </w:t>
      </w:r>
      <w:r w:rsidR="0060074A" w:rsidRPr="001B4CA2">
        <w:rPr>
          <w:i/>
          <w:iCs/>
        </w:rPr>
        <w:t>Odluke po dovršenom pripremnom postupku</w:t>
      </w:r>
    </w:p>
    <w:tbl>
      <w:tblPr>
        <w:tblW w:w="8708" w:type="dxa"/>
        <w:tblInd w:w="250" w:type="dxa"/>
        <w:tblLook w:val="04A0" w:firstRow="1" w:lastRow="0" w:firstColumn="1" w:lastColumn="0" w:noHBand="0" w:noVBand="1"/>
      </w:tblPr>
      <w:tblGrid>
        <w:gridCol w:w="841"/>
        <w:gridCol w:w="940"/>
        <w:gridCol w:w="1037"/>
        <w:gridCol w:w="1322"/>
        <w:gridCol w:w="987"/>
        <w:gridCol w:w="888"/>
        <w:gridCol w:w="967"/>
        <w:gridCol w:w="898"/>
        <w:gridCol w:w="828"/>
      </w:tblGrid>
      <w:tr w:rsidR="0060074A" w:rsidRPr="001B4CA2" w14:paraId="2E04B83F" w14:textId="77777777" w:rsidTr="000169EF">
        <w:trPr>
          <w:trHeight w:val="315"/>
        </w:trPr>
        <w:tc>
          <w:tcPr>
            <w:tcW w:w="841"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hideMark/>
          </w:tcPr>
          <w:p w14:paraId="2293E657" w14:textId="77777777" w:rsidR="0060074A" w:rsidRPr="001B4CA2" w:rsidRDefault="0060074A" w:rsidP="002A38E7">
            <w:pPr>
              <w:jc w:val="center"/>
              <w:rPr>
                <w:b/>
                <w:bCs/>
                <w:color w:val="000000"/>
                <w:sz w:val="18"/>
                <w:szCs w:val="18"/>
              </w:rPr>
            </w:pPr>
            <w:r w:rsidRPr="001B4CA2">
              <w:rPr>
                <w:b/>
                <w:bCs/>
                <w:color w:val="000000"/>
                <w:sz w:val="18"/>
                <w:szCs w:val="18"/>
              </w:rPr>
              <w:t>Godina</w:t>
            </w:r>
          </w:p>
        </w:tc>
        <w:tc>
          <w:tcPr>
            <w:tcW w:w="940"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hideMark/>
          </w:tcPr>
          <w:p w14:paraId="1EF861B6" w14:textId="77777777" w:rsidR="0060074A" w:rsidRPr="001B4CA2" w:rsidRDefault="0060074A" w:rsidP="002A38E7">
            <w:pPr>
              <w:jc w:val="center"/>
              <w:rPr>
                <w:b/>
                <w:bCs/>
                <w:color w:val="000000"/>
                <w:sz w:val="18"/>
                <w:szCs w:val="18"/>
              </w:rPr>
            </w:pPr>
            <w:r w:rsidRPr="001B4CA2">
              <w:rPr>
                <w:b/>
                <w:bCs/>
                <w:color w:val="000000"/>
                <w:sz w:val="18"/>
                <w:szCs w:val="18"/>
              </w:rPr>
              <w:t>Ukupno u radu</w:t>
            </w:r>
          </w:p>
        </w:tc>
        <w:tc>
          <w:tcPr>
            <w:tcW w:w="6099" w:type="dxa"/>
            <w:gridSpan w:val="6"/>
            <w:tcBorders>
              <w:top w:val="single" w:sz="8" w:space="0" w:color="000000"/>
              <w:left w:val="nil"/>
              <w:bottom w:val="single" w:sz="8" w:space="0" w:color="000000"/>
              <w:right w:val="single" w:sz="8" w:space="0" w:color="000000"/>
            </w:tcBorders>
            <w:shd w:val="clear" w:color="000000" w:fill="99CCFF"/>
            <w:vAlign w:val="center"/>
            <w:hideMark/>
          </w:tcPr>
          <w:p w14:paraId="39C94F3F" w14:textId="77777777" w:rsidR="0060074A" w:rsidRPr="001B4CA2" w:rsidRDefault="0060074A" w:rsidP="002A38E7">
            <w:pPr>
              <w:jc w:val="center"/>
              <w:rPr>
                <w:b/>
                <w:bCs/>
                <w:color w:val="000000"/>
                <w:sz w:val="18"/>
                <w:szCs w:val="18"/>
              </w:rPr>
            </w:pPr>
            <w:r w:rsidRPr="001B4CA2">
              <w:rPr>
                <w:b/>
                <w:bCs/>
                <w:color w:val="000000"/>
                <w:sz w:val="18"/>
                <w:szCs w:val="18"/>
              </w:rPr>
              <w:t>ODLUKE</w:t>
            </w:r>
          </w:p>
        </w:tc>
        <w:tc>
          <w:tcPr>
            <w:tcW w:w="828"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hideMark/>
          </w:tcPr>
          <w:p w14:paraId="7AF1EC57" w14:textId="77777777" w:rsidR="0060074A" w:rsidRPr="001B4CA2" w:rsidRDefault="0060074A" w:rsidP="002A38E7">
            <w:pPr>
              <w:jc w:val="center"/>
              <w:rPr>
                <w:b/>
                <w:bCs/>
                <w:color w:val="000000"/>
                <w:sz w:val="18"/>
                <w:szCs w:val="18"/>
              </w:rPr>
            </w:pPr>
            <w:r w:rsidRPr="001B4CA2">
              <w:rPr>
                <w:b/>
                <w:bCs/>
                <w:color w:val="000000"/>
                <w:sz w:val="18"/>
                <w:szCs w:val="18"/>
              </w:rPr>
              <w:t>Ostalo u radu</w:t>
            </w:r>
          </w:p>
        </w:tc>
      </w:tr>
      <w:tr w:rsidR="0060074A" w:rsidRPr="001B4CA2" w14:paraId="474E6BF2" w14:textId="77777777" w:rsidTr="000169EF">
        <w:trPr>
          <w:trHeight w:val="915"/>
        </w:trPr>
        <w:tc>
          <w:tcPr>
            <w:tcW w:w="841" w:type="dxa"/>
            <w:vMerge/>
            <w:tcBorders>
              <w:top w:val="single" w:sz="8" w:space="0" w:color="000000"/>
              <w:left w:val="single" w:sz="8" w:space="0" w:color="000000"/>
              <w:bottom w:val="single" w:sz="8" w:space="0" w:color="000000"/>
              <w:right w:val="single" w:sz="8" w:space="0" w:color="000000"/>
            </w:tcBorders>
            <w:vAlign w:val="center"/>
            <w:hideMark/>
          </w:tcPr>
          <w:p w14:paraId="061D1F6F" w14:textId="77777777" w:rsidR="0060074A" w:rsidRPr="001B4CA2" w:rsidRDefault="0060074A" w:rsidP="002A38E7">
            <w:pPr>
              <w:rPr>
                <w:b/>
                <w:bCs/>
                <w:color w:val="000000"/>
                <w:sz w:val="18"/>
                <w:szCs w:val="18"/>
              </w:rPr>
            </w:pPr>
          </w:p>
        </w:tc>
        <w:tc>
          <w:tcPr>
            <w:tcW w:w="940" w:type="dxa"/>
            <w:vMerge/>
            <w:tcBorders>
              <w:top w:val="single" w:sz="8" w:space="0" w:color="000000"/>
              <w:left w:val="single" w:sz="8" w:space="0" w:color="000000"/>
              <w:bottom w:val="single" w:sz="8" w:space="0" w:color="000000"/>
              <w:right w:val="single" w:sz="8" w:space="0" w:color="000000"/>
            </w:tcBorders>
            <w:vAlign w:val="center"/>
            <w:hideMark/>
          </w:tcPr>
          <w:p w14:paraId="264B90EF" w14:textId="77777777" w:rsidR="0060074A" w:rsidRPr="001B4CA2" w:rsidRDefault="0060074A" w:rsidP="002A38E7">
            <w:pPr>
              <w:rPr>
                <w:b/>
                <w:bCs/>
                <w:color w:val="000000"/>
                <w:sz w:val="18"/>
                <w:szCs w:val="18"/>
              </w:rPr>
            </w:pPr>
          </w:p>
        </w:tc>
        <w:tc>
          <w:tcPr>
            <w:tcW w:w="1037" w:type="dxa"/>
            <w:tcBorders>
              <w:top w:val="nil"/>
              <w:left w:val="nil"/>
              <w:bottom w:val="single" w:sz="8" w:space="0" w:color="000000"/>
              <w:right w:val="single" w:sz="8" w:space="0" w:color="000000"/>
            </w:tcBorders>
            <w:shd w:val="clear" w:color="000000" w:fill="99CCFF"/>
            <w:vAlign w:val="center"/>
            <w:hideMark/>
          </w:tcPr>
          <w:p w14:paraId="3C03EFB9" w14:textId="77777777" w:rsidR="0060074A" w:rsidRPr="001B4CA2" w:rsidRDefault="0060074A" w:rsidP="002A38E7">
            <w:pPr>
              <w:jc w:val="center"/>
              <w:rPr>
                <w:b/>
                <w:bCs/>
                <w:color w:val="000000"/>
                <w:sz w:val="18"/>
                <w:szCs w:val="18"/>
              </w:rPr>
            </w:pPr>
            <w:r w:rsidRPr="001B4CA2">
              <w:rPr>
                <w:b/>
                <w:bCs/>
                <w:color w:val="000000"/>
                <w:sz w:val="18"/>
                <w:szCs w:val="18"/>
              </w:rPr>
              <w:t>Obustava</w:t>
            </w:r>
          </w:p>
        </w:tc>
        <w:tc>
          <w:tcPr>
            <w:tcW w:w="1322" w:type="dxa"/>
            <w:tcBorders>
              <w:top w:val="nil"/>
              <w:left w:val="nil"/>
              <w:bottom w:val="single" w:sz="8" w:space="0" w:color="000000"/>
              <w:right w:val="single" w:sz="8" w:space="0" w:color="000000"/>
            </w:tcBorders>
            <w:shd w:val="clear" w:color="000000" w:fill="99CCFF"/>
            <w:vAlign w:val="center"/>
            <w:hideMark/>
          </w:tcPr>
          <w:p w14:paraId="7E10704F" w14:textId="77777777" w:rsidR="0060074A" w:rsidRPr="001B4CA2" w:rsidRDefault="0060074A" w:rsidP="002A38E7">
            <w:pPr>
              <w:jc w:val="center"/>
              <w:rPr>
                <w:b/>
                <w:bCs/>
                <w:color w:val="000000"/>
                <w:sz w:val="18"/>
                <w:szCs w:val="18"/>
              </w:rPr>
            </w:pPr>
            <w:r w:rsidRPr="001B4CA2">
              <w:rPr>
                <w:b/>
                <w:bCs/>
                <w:color w:val="000000"/>
                <w:sz w:val="18"/>
                <w:szCs w:val="18"/>
              </w:rPr>
              <w:t xml:space="preserve">Od toga obustava po </w:t>
            </w:r>
            <w:proofErr w:type="spellStart"/>
            <w:r w:rsidRPr="001B4CA2">
              <w:rPr>
                <w:b/>
                <w:bCs/>
                <w:color w:val="000000"/>
                <w:sz w:val="18"/>
                <w:szCs w:val="18"/>
              </w:rPr>
              <w:t>oportunitetu</w:t>
            </w:r>
            <w:proofErr w:type="spellEnd"/>
          </w:p>
        </w:tc>
        <w:tc>
          <w:tcPr>
            <w:tcW w:w="987" w:type="dxa"/>
            <w:tcBorders>
              <w:top w:val="nil"/>
              <w:left w:val="nil"/>
              <w:bottom w:val="single" w:sz="8" w:space="0" w:color="000000"/>
              <w:right w:val="single" w:sz="8" w:space="0" w:color="000000"/>
            </w:tcBorders>
            <w:shd w:val="clear" w:color="000000" w:fill="99CCFF"/>
            <w:vAlign w:val="center"/>
            <w:hideMark/>
          </w:tcPr>
          <w:p w14:paraId="57B17A50" w14:textId="77777777" w:rsidR="0060074A" w:rsidRPr="001B4CA2" w:rsidRDefault="0060074A" w:rsidP="002A38E7">
            <w:pPr>
              <w:jc w:val="center"/>
              <w:rPr>
                <w:b/>
                <w:bCs/>
                <w:color w:val="000000"/>
                <w:sz w:val="18"/>
                <w:szCs w:val="18"/>
              </w:rPr>
            </w:pPr>
            <w:r w:rsidRPr="001B4CA2">
              <w:rPr>
                <w:b/>
                <w:bCs/>
                <w:color w:val="000000"/>
                <w:sz w:val="18"/>
                <w:szCs w:val="18"/>
              </w:rPr>
              <w:t xml:space="preserve">Prijedlog za izricanje </w:t>
            </w:r>
            <w:proofErr w:type="spellStart"/>
            <w:r w:rsidRPr="001B4CA2">
              <w:rPr>
                <w:b/>
                <w:bCs/>
                <w:color w:val="000000"/>
                <w:sz w:val="18"/>
                <w:szCs w:val="18"/>
              </w:rPr>
              <w:t>mlt</w:t>
            </w:r>
            <w:proofErr w:type="spellEnd"/>
            <w:r w:rsidRPr="001B4CA2">
              <w:rPr>
                <w:b/>
                <w:bCs/>
                <w:color w:val="000000"/>
                <w:sz w:val="18"/>
                <w:szCs w:val="18"/>
              </w:rPr>
              <w:t>. sankcije</w:t>
            </w:r>
          </w:p>
        </w:tc>
        <w:tc>
          <w:tcPr>
            <w:tcW w:w="888" w:type="dxa"/>
            <w:tcBorders>
              <w:top w:val="nil"/>
              <w:left w:val="nil"/>
              <w:bottom w:val="single" w:sz="8" w:space="0" w:color="000000"/>
              <w:right w:val="single" w:sz="8" w:space="0" w:color="000000"/>
            </w:tcBorders>
            <w:shd w:val="clear" w:color="000000" w:fill="99CCFF"/>
            <w:vAlign w:val="center"/>
            <w:hideMark/>
          </w:tcPr>
          <w:p w14:paraId="4EAE3364" w14:textId="77777777" w:rsidR="0060074A" w:rsidRPr="001B4CA2" w:rsidRDefault="0060074A" w:rsidP="002A38E7">
            <w:pPr>
              <w:jc w:val="center"/>
              <w:rPr>
                <w:b/>
                <w:bCs/>
                <w:color w:val="000000"/>
                <w:sz w:val="18"/>
                <w:szCs w:val="18"/>
              </w:rPr>
            </w:pPr>
            <w:r w:rsidRPr="001B4CA2">
              <w:rPr>
                <w:b/>
                <w:bCs/>
                <w:color w:val="000000"/>
                <w:sz w:val="18"/>
                <w:szCs w:val="18"/>
              </w:rPr>
              <w:t>Ustup</w:t>
            </w:r>
          </w:p>
        </w:tc>
        <w:tc>
          <w:tcPr>
            <w:tcW w:w="967" w:type="dxa"/>
            <w:tcBorders>
              <w:top w:val="nil"/>
              <w:left w:val="nil"/>
              <w:bottom w:val="single" w:sz="8" w:space="0" w:color="000000"/>
              <w:right w:val="single" w:sz="8" w:space="0" w:color="000000"/>
            </w:tcBorders>
            <w:shd w:val="clear" w:color="000000" w:fill="99CCFF"/>
            <w:vAlign w:val="center"/>
            <w:hideMark/>
          </w:tcPr>
          <w:p w14:paraId="0BF6657D" w14:textId="77777777" w:rsidR="0060074A" w:rsidRPr="001B4CA2" w:rsidRDefault="0060074A" w:rsidP="002A38E7">
            <w:pPr>
              <w:jc w:val="center"/>
              <w:rPr>
                <w:b/>
                <w:bCs/>
                <w:color w:val="000000"/>
                <w:sz w:val="18"/>
                <w:szCs w:val="18"/>
              </w:rPr>
            </w:pPr>
            <w:r w:rsidRPr="001B4CA2">
              <w:rPr>
                <w:b/>
                <w:bCs/>
                <w:color w:val="000000"/>
                <w:sz w:val="18"/>
                <w:szCs w:val="18"/>
              </w:rPr>
              <w:t>Riješeno na drugi način</w:t>
            </w:r>
          </w:p>
        </w:tc>
        <w:tc>
          <w:tcPr>
            <w:tcW w:w="898" w:type="dxa"/>
            <w:tcBorders>
              <w:top w:val="nil"/>
              <w:left w:val="nil"/>
              <w:bottom w:val="single" w:sz="8" w:space="0" w:color="000000"/>
              <w:right w:val="single" w:sz="8" w:space="0" w:color="000000"/>
            </w:tcBorders>
            <w:shd w:val="clear" w:color="000000" w:fill="99CCFF"/>
            <w:vAlign w:val="center"/>
            <w:hideMark/>
          </w:tcPr>
          <w:p w14:paraId="06A01DF1" w14:textId="77777777" w:rsidR="0060074A" w:rsidRPr="001B4CA2" w:rsidRDefault="0060074A" w:rsidP="002A38E7">
            <w:pPr>
              <w:jc w:val="center"/>
              <w:rPr>
                <w:b/>
                <w:bCs/>
                <w:color w:val="000000"/>
                <w:sz w:val="18"/>
                <w:szCs w:val="18"/>
              </w:rPr>
            </w:pPr>
            <w:r w:rsidRPr="001B4CA2">
              <w:rPr>
                <w:b/>
                <w:bCs/>
                <w:color w:val="000000"/>
                <w:sz w:val="18"/>
                <w:szCs w:val="18"/>
              </w:rPr>
              <w:t>Ukupno odluka</w:t>
            </w:r>
          </w:p>
        </w:tc>
        <w:tc>
          <w:tcPr>
            <w:tcW w:w="828" w:type="dxa"/>
            <w:vMerge/>
            <w:tcBorders>
              <w:top w:val="single" w:sz="8" w:space="0" w:color="000000"/>
              <w:left w:val="single" w:sz="8" w:space="0" w:color="000000"/>
              <w:bottom w:val="single" w:sz="8" w:space="0" w:color="000000"/>
              <w:right w:val="single" w:sz="8" w:space="0" w:color="000000"/>
            </w:tcBorders>
            <w:vAlign w:val="center"/>
            <w:hideMark/>
          </w:tcPr>
          <w:p w14:paraId="47A95C80" w14:textId="77777777" w:rsidR="0060074A" w:rsidRPr="001B4CA2" w:rsidRDefault="0060074A" w:rsidP="002A38E7">
            <w:pPr>
              <w:rPr>
                <w:b/>
                <w:bCs/>
                <w:color w:val="000000"/>
                <w:sz w:val="18"/>
                <w:szCs w:val="18"/>
              </w:rPr>
            </w:pPr>
          </w:p>
        </w:tc>
      </w:tr>
      <w:tr w:rsidR="0060074A" w:rsidRPr="001B4CA2" w14:paraId="35BCF709" w14:textId="77777777" w:rsidTr="000169EF">
        <w:trPr>
          <w:trHeight w:val="300"/>
        </w:trPr>
        <w:tc>
          <w:tcPr>
            <w:tcW w:w="841" w:type="dxa"/>
            <w:tcBorders>
              <w:top w:val="nil"/>
              <w:left w:val="single" w:sz="8" w:space="0" w:color="000000"/>
              <w:bottom w:val="single" w:sz="8" w:space="0" w:color="000000"/>
              <w:right w:val="single" w:sz="8" w:space="0" w:color="000000"/>
            </w:tcBorders>
            <w:shd w:val="clear" w:color="auto" w:fill="auto"/>
            <w:vAlign w:val="center"/>
            <w:hideMark/>
          </w:tcPr>
          <w:p w14:paraId="26900DC4" w14:textId="77777777" w:rsidR="0060074A" w:rsidRPr="001B4CA2" w:rsidRDefault="0060074A" w:rsidP="002A38E7">
            <w:pPr>
              <w:jc w:val="center"/>
              <w:rPr>
                <w:color w:val="000000"/>
                <w:sz w:val="18"/>
                <w:szCs w:val="18"/>
              </w:rPr>
            </w:pPr>
            <w:r w:rsidRPr="001B4CA2">
              <w:rPr>
                <w:color w:val="000000"/>
                <w:sz w:val="18"/>
                <w:szCs w:val="18"/>
              </w:rPr>
              <w:t>2018.</w:t>
            </w:r>
          </w:p>
        </w:tc>
        <w:tc>
          <w:tcPr>
            <w:tcW w:w="940" w:type="dxa"/>
            <w:tcBorders>
              <w:top w:val="nil"/>
              <w:left w:val="nil"/>
              <w:bottom w:val="single" w:sz="8" w:space="0" w:color="000000"/>
              <w:right w:val="single" w:sz="8" w:space="0" w:color="000000"/>
            </w:tcBorders>
            <w:shd w:val="clear" w:color="auto" w:fill="auto"/>
            <w:vAlign w:val="center"/>
            <w:hideMark/>
          </w:tcPr>
          <w:p w14:paraId="7F6CCC6D" w14:textId="77777777" w:rsidR="0060074A" w:rsidRPr="001B4CA2" w:rsidRDefault="0060074A" w:rsidP="002A38E7">
            <w:pPr>
              <w:jc w:val="center"/>
              <w:rPr>
                <w:color w:val="000000"/>
                <w:sz w:val="18"/>
                <w:szCs w:val="18"/>
              </w:rPr>
            </w:pPr>
            <w:r w:rsidRPr="001B4CA2">
              <w:rPr>
                <w:color w:val="000000"/>
                <w:sz w:val="18"/>
                <w:szCs w:val="18"/>
              </w:rPr>
              <w:t>169</w:t>
            </w:r>
          </w:p>
        </w:tc>
        <w:tc>
          <w:tcPr>
            <w:tcW w:w="1037" w:type="dxa"/>
            <w:tcBorders>
              <w:top w:val="nil"/>
              <w:left w:val="nil"/>
              <w:bottom w:val="single" w:sz="8" w:space="0" w:color="000000"/>
              <w:right w:val="single" w:sz="8" w:space="0" w:color="000000"/>
            </w:tcBorders>
            <w:shd w:val="clear" w:color="auto" w:fill="auto"/>
            <w:vAlign w:val="center"/>
            <w:hideMark/>
          </w:tcPr>
          <w:p w14:paraId="0BEB6298" w14:textId="77777777" w:rsidR="0060074A" w:rsidRPr="001B4CA2" w:rsidRDefault="0060074A" w:rsidP="002A38E7">
            <w:pPr>
              <w:jc w:val="center"/>
              <w:rPr>
                <w:color w:val="000000"/>
                <w:sz w:val="18"/>
                <w:szCs w:val="18"/>
              </w:rPr>
            </w:pPr>
            <w:r w:rsidRPr="001B4CA2">
              <w:rPr>
                <w:color w:val="000000"/>
                <w:sz w:val="18"/>
                <w:szCs w:val="18"/>
              </w:rPr>
              <w:t>31</w:t>
            </w:r>
          </w:p>
        </w:tc>
        <w:tc>
          <w:tcPr>
            <w:tcW w:w="1322" w:type="dxa"/>
            <w:tcBorders>
              <w:top w:val="nil"/>
              <w:left w:val="nil"/>
              <w:bottom w:val="single" w:sz="8" w:space="0" w:color="000000"/>
              <w:right w:val="single" w:sz="8" w:space="0" w:color="000000"/>
            </w:tcBorders>
            <w:shd w:val="clear" w:color="auto" w:fill="auto"/>
            <w:vAlign w:val="center"/>
            <w:hideMark/>
          </w:tcPr>
          <w:p w14:paraId="60321165" w14:textId="77777777" w:rsidR="0060074A" w:rsidRPr="001B4CA2" w:rsidRDefault="0060074A" w:rsidP="002A38E7">
            <w:pPr>
              <w:jc w:val="center"/>
              <w:rPr>
                <w:color w:val="000000"/>
                <w:sz w:val="18"/>
                <w:szCs w:val="18"/>
              </w:rPr>
            </w:pPr>
            <w:r w:rsidRPr="001B4CA2">
              <w:rPr>
                <w:color w:val="000000"/>
                <w:sz w:val="18"/>
                <w:szCs w:val="18"/>
              </w:rPr>
              <w:t>7</w:t>
            </w:r>
          </w:p>
        </w:tc>
        <w:tc>
          <w:tcPr>
            <w:tcW w:w="987" w:type="dxa"/>
            <w:tcBorders>
              <w:top w:val="nil"/>
              <w:left w:val="nil"/>
              <w:bottom w:val="single" w:sz="8" w:space="0" w:color="000000"/>
              <w:right w:val="single" w:sz="8" w:space="0" w:color="000000"/>
            </w:tcBorders>
            <w:shd w:val="clear" w:color="auto" w:fill="auto"/>
            <w:vAlign w:val="center"/>
            <w:hideMark/>
          </w:tcPr>
          <w:p w14:paraId="7BD24806" w14:textId="77777777" w:rsidR="0060074A" w:rsidRPr="001B4CA2" w:rsidRDefault="0060074A" w:rsidP="002A38E7">
            <w:pPr>
              <w:jc w:val="center"/>
              <w:rPr>
                <w:color w:val="000000"/>
                <w:sz w:val="18"/>
                <w:szCs w:val="18"/>
              </w:rPr>
            </w:pPr>
            <w:r w:rsidRPr="001B4CA2">
              <w:rPr>
                <w:color w:val="000000"/>
                <w:sz w:val="18"/>
                <w:szCs w:val="18"/>
              </w:rPr>
              <w:t>136</w:t>
            </w:r>
          </w:p>
        </w:tc>
        <w:tc>
          <w:tcPr>
            <w:tcW w:w="888" w:type="dxa"/>
            <w:tcBorders>
              <w:top w:val="nil"/>
              <w:left w:val="nil"/>
              <w:bottom w:val="single" w:sz="8" w:space="0" w:color="000000"/>
              <w:right w:val="single" w:sz="8" w:space="0" w:color="000000"/>
            </w:tcBorders>
            <w:shd w:val="clear" w:color="auto" w:fill="auto"/>
            <w:vAlign w:val="center"/>
            <w:hideMark/>
          </w:tcPr>
          <w:p w14:paraId="4D220371" w14:textId="77777777" w:rsidR="0060074A" w:rsidRPr="001B4CA2" w:rsidRDefault="0060074A" w:rsidP="002A38E7">
            <w:pPr>
              <w:jc w:val="center"/>
              <w:rPr>
                <w:color w:val="000000"/>
                <w:sz w:val="18"/>
                <w:szCs w:val="18"/>
              </w:rPr>
            </w:pPr>
            <w:r w:rsidRPr="001B4CA2">
              <w:rPr>
                <w:color w:val="000000"/>
                <w:sz w:val="18"/>
                <w:szCs w:val="18"/>
              </w:rPr>
              <w:t> </w:t>
            </w:r>
          </w:p>
        </w:tc>
        <w:tc>
          <w:tcPr>
            <w:tcW w:w="967" w:type="dxa"/>
            <w:tcBorders>
              <w:top w:val="nil"/>
              <w:left w:val="nil"/>
              <w:bottom w:val="single" w:sz="8" w:space="0" w:color="000000"/>
              <w:right w:val="single" w:sz="8" w:space="0" w:color="000000"/>
            </w:tcBorders>
            <w:shd w:val="clear" w:color="auto" w:fill="auto"/>
            <w:vAlign w:val="center"/>
            <w:hideMark/>
          </w:tcPr>
          <w:p w14:paraId="2CEAEA3B" w14:textId="77777777" w:rsidR="0060074A" w:rsidRPr="001B4CA2" w:rsidRDefault="0060074A" w:rsidP="002A38E7">
            <w:pPr>
              <w:jc w:val="center"/>
              <w:rPr>
                <w:color w:val="000000"/>
                <w:sz w:val="18"/>
                <w:szCs w:val="18"/>
              </w:rPr>
            </w:pPr>
            <w:r w:rsidRPr="001B4CA2">
              <w:rPr>
                <w:color w:val="000000"/>
                <w:sz w:val="18"/>
                <w:szCs w:val="18"/>
              </w:rPr>
              <w:t> </w:t>
            </w:r>
          </w:p>
        </w:tc>
        <w:tc>
          <w:tcPr>
            <w:tcW w:w="898" w:type="dxa"/>
            <w:tcBorders>
              <w:top w:val="nil"/>
              <w:left w:val="nil"/>
              <w:bottom w:val="single" w:sz="8" w:space="0" w:color="000000"/>
              <w:right w:val="single" w:sz="8" w:space="0" w:color="000000"/>
            </w:tcBorders>
            <w:shd w:val="clear" w:color="auto" w:fill="auto"/>
            <w:vAlign w:val="center"/>
            <w:hideMark/>
          </w:tcPr>
          <w:p w14:paraId="4B28ADA7" w14:textId="77777777" w:rsidR="0060074A" w:rsidRPr="001B4CA2" w:rsidRDefault="0060074A" w:rsidP="002A38E7">
            <w:pPr>
              <w:jc w:val="center"/>
              <w:rPr>
                <w:color w:val="000000"/>
                <w:sz w:val="18"/>
                <w:szCs w:val="18"/>
              </w:rPr>
            </w:pPr>
            <w:r w:rsidRPr="001B4CA2">
              <w:rPr>
                <w:color w:val="000000"/>
                <w:sz w:val="18"/>
                <w:szCs w:val="18"/>
              </w:rPr>
              <w:t>169</w:t>
            </w:r>
          </w:p>
        </w:tc>
        <w:tc>
          <w:tcPr>
            <w:tcW w:w="828" w:type="dxa"/>
            <w:tcBorders>
              <w:top w:val="nil"/>
              <w:left w:val="nil"/>
              <w:bottom w:val="single" w:sz="8" w:space="0" w:color="000000"/>
              <w:right w:val="single" w:sz="8" w:space="0" w:color="000000"/>
            </w:tcBorders>
            <w:shd w:val="clear" w:color="auto" w:fill="auto"/>
            <w:vAlign w:val="center"/>
            <w:hideMark/>
          </w:tcPr>
          <w:p w14:paraId="729ABFCC" w14:textId="77777777" w:rsidR="0060074A" w:rsidRPr="001B4CA2" w:rsidRDefault="0060074A" w:rsidP="002A38E7">
            <w:pPr>
              <w:jc w:val="center"/>
              <w:rPr>
                <w:color w:val="000000"/>
                <w:sz w:val="18"/>
                <w:szCs w:val="18"/>
              </w:rPr>
            </w:pPr>
            <w:r w:rsidRPr="001B4CA2">
              <w:rPr>
                <w:color w:val="000000"/>
                <w:sz w:val="18"/>
                <w:szCs w:val="18"/>
              </w:rPr>
              <w:t> </w:t>
            </w:r>
          </w:p>
        </w:tc>
      </w:tr>
      <w:tr w:rsidR="0060074A" w:rsidRPr="001B4CA2" w14:paraId="72C0984F" w14:textId="77777777" w:rsidTr="000169EF">
        <w:trPr>
          <w:trHeight w:val="300"/>
        </w:trPr>
        <w:tc>
          <w:tcPr>
            <w:tcW w:w="841" w:type="dxa"/>
            <w:tcBorders>
              <w:top w:val="nil"/>
              <w:left w:val="single" w:sz="8" w:space="0" w:color="000000"/>
              <w:bottom w:val="single" w:sz="8" w:space="0" w:color="000000"/>
              <w:right w:val="single" w:sz="8" w:space="0" w:color="000000"/>
            </w:tcBorders>
            <w:shd w:val="clear" w:color="auto" w:fill="auto"/>
            <w:vAlign w:val="center"/>
            <w:hideMark/>
          </w:tcPr>
          <w:p w14:paraId="2D5DECE9" w14:textId="77777777" w:rsidR="0060074A" w:rsidRPr="001B4CA2" w:rsidRDefault="0060074A" w:rsidP="002A38E7">
            <w:pPr>
              <w:jc w:val="center"/>
              <w:rPr>
                <w:color w:val="000000"/>
                <w:sz w:val="18"/>
                <w:szCs w:val="18"/>
              </w:rPr>
            </w:pPr>
            <w:r w:rsidRPr="001B4CA2">
              <w:rPr>
                <w:color w:val="000000"/>
                <w:sz w:val="18"/>
                <w:szCs w:val="18"/>
              </w:rPr>
              <w:t>2019.</w:t>
            </w:r>
          </w:p>
        </w:tc>
        <w:tc>
          <w:tcPr>
            <w:tcW w:w="940" w:type="dxa"/>
            <w:tcBorders>
              <w:top w:val="nil"/>
              <w:left w:val="nil"/>
              <w:bottom w:val="single" w:sz="8" w:space="0" w:color="000000"/>
              <w:right w:val="single" w:sz="8" w:space="0" w:color="000000"/>
            </w:tcBorders>
            <w:shd w:val="clear" w:color="auto" w:fill="auto"/>
            <w:vAlign w:val="center"/>
            <w:hideMark/>
          </w:tcPr>
          <w:p w14:paraId="07567BEB" w14:textId="77777777" w:rsidR="0060074A" w:rsidRPr="001B4CA2" w:rsidRDefault="0060074A" w:rsidP="002A38E7">
            <w:pPr>
              <w:jc w:val="center"/>
              <w:rPr>
                <w:color w:val="000000"/>
                <w:sz w:val="18"/>
                <w:szCs w:val="18"/>
              </w:rPr>
            </w:pPr>
            <w:r w:rsidRPr="001B4CA2">
              <w:rPr>
                <w:color w:val="000000"/>
                <w:sz w:val="18"/>
                <w:szCs w:val="18"/>
              </w:rPr>
              <w:t>190</w:t>
            </w:r>
          </w:p>
        </w:tc>
        <w:tc>
          <w:tcPr>
            <w:tcW w:w="1037" w:type="dxa"/>
            <w:tcBorders>
              <w:top w:val="nil"/>
              <w:left w:val="nil"/>
              <w:bottom w:val="single" w:sz="8" w:space="0" w:color="000000"/>
              <w:right w:val="single" w:sz="8" w:space="0" w:color="000000"/>
            </w:tcBorders>
            <w:shd w:val="clear" w:color="auto" w:fill="auto"/>
            <w:vAlign w:val="center"/>
            <w:hideMark/>
          </w:tcPr>
          <w:p w14:paraId="1BDC8E9C" w14:textId="77777777" w:rsidR="0060074A" w:rsidRPr="001B4CA2" w:rsidRDefault="0060074A" w:rsidP="002A38E7">
            <w:pPr>
              <w:jc w:val="center"/>
              <w:rPr>
                <w:color w:val="000000"/>
                <w:sz w:val="18"/>
                <w:szCs w:val="18"/>
              </w:rPr>
            </w:pPr>
            <w:r w:rsidRPr="001B4CA2">
              <w:rPr>
                <w:color w:val="000000"/>
                <w:sz w:val="18"/>
                <w:szCs w:val="18"/>
              </w:rPr>
              <w:t>39</w:t>
            </w:r>
          </w:p>
        </w:tc>
        <w:tc>
          <w:tcPr>
            <w:tcW w:w="1322" w:type="dxa"/>
            <w:tcBorders>
              <w:top w:val="nil"/>
              <w:left w:val="nil"/>
              <w:bottom w:val="single" w:sz="8" w:space="0" w:color="000000"/>
              <w:right w:val="single" w:sz="8" w:space="0" w:color="000000"/>
            </w:tcBorders>
            <w:shd w:val="clear" w:color="auto" w:fill="auto"/>
            <w:vAlign w:val="center"/>
            <w:hideMark/>
          </w:tcPr>
          <w:p w14:paraId="7757BEE6" w14:textId="77777777" w:rsidR="0060074A" w:rsidRPr="001B4CA2" w:rsidRDefault="0060074A" w:rsidP="002A38E7">
            <w:pPr>
              <w:jc w:val="center"/>
              <w:rPr>
                <w:color w:val="000000"/>
                <w:sz w:val="18"/>
                <w:szCs w:val="18"/>
              </w:rPr>
            </w:pPr>
            <w:r w:rsidRPr="001B4CA2">
              <w:rPr>
                <w:color w:val="000000"/>
                <w:sz w:val="18"/>
                <w:szCs w:val="18"/>
              </w:rPr>
              <w:t>9</w:t>
            </w:r>
          </w:p>
        </w:tc>
        <w:tc>
          <w:tcPr>
            <w:tcW w:w="987" w:type="dxa"/>
            <w:tcBorders>
              <w:top w:val="nil"/>
              <w:left w:val="nil"/>
              <w:bottom w:val="single" w:sz="8" w:space="0" w:color="000000"/>
              <w:right w:val="single" w:sz="8" w:space="0" w:color="000000"/>
            </w:tcBorders>
            <w:shd w:val="clear" w:color="auto" w:fill="auto"/>
            <w:vAlign w:val="center"/>
            <w:hideMark/>
          </w:tcPr>
          <w:p w14:paraId="7C4381A6" w14:textId="77777777" w:rsidR="0060074A" w:rsidRPr="001B4CA2" w:rsidRDefault="0060074A" w:rsidP="002A38E7">
            <w:pPr>
              <w:jc w:val="center"/>
              <w:rPr>
                <w:color w:val="000000"/>
                <w:sz w:val="18"/>
                <w:szCs w:val="18"/>
              </w:rPr>
            </w:pPr>
            <w:r w:rsidRPr="001B4CA2">
              <w:rPr>
                <w:color w:val="000000"/>
                <w:sz w:val="18"/>
                <w:szCs w:val="18"/>
              </w:rPr>
              <w:t>149</w:t>
            </w:r>
          </w:p>
        </w:tc>
        <w:tc>
          <w:tcPr>
            <w:tcW w:w="888" w:type="dxa"/>
            <w:tcBorders>
              <w:top w:val="nil"/>
              <w:left w:val="nil"/>
              <w:bottom w:val="single" w:sz="8" w:space="0" w:color="000000"/>
              <w:right w:val="single" w:sz="8" w:space="0" w:color="000000"/>
            </w:tcBorders>
            <w:shd w:val="clear" w:color="auto" w:fill="auto"/>
            <w:vAlign w:val="center"/>
            <w:hideMark/>
          </w:tcPr>
          <w:p w14:paraId="44D1C680" w14:textId="77777777" w:rsidR="0060074A" w:rsidRPr="001B4CA2" w:rsidRDefault="0060074A" w:rsidP="002A38E7">
            <w:pPr>
              <w:jc w:val="center"/>
              <w:rPr>
                <w:color w:val="000000"/>
                <w:sz w:val="18"/>
                <w:szCs w:val="18"/>
              </w:rPr>
            </w:pPr>
            <w:r w:rsidRPr="001B4CA2">
              <w:rPr>
                <w:color w:val="000000"/>
                <w:sz w:val="18"/>
                <w:szCs w:val="18"/>
              </w:rPr>
              <w:t> </w:t>
            </w:r>
          </w:p>
        </w:tc>
        <w:tc>
          <w:tcPr>
            <w:tcW w:w="967" w:type="dxa"/>
            <w:tcBorders>
              <w:top w:val="nil"/>
              <w:left w:val="nil"/>
              <w:bottom w:val="single" w:sz="8" w:space="0" w:color="000000"/>
              <w:right w:val="single" w:sz="8" w:space="0" w:color="000000"/>
            </w:tcBorders>
            <w:shd w:val="clear" w:color="auto" w:fill="auto"/>
            <w:vAlign w:val="center"/>
            <w:hideMark/>
          </w:tcPr>
          <w:p w14:paraId="3EB8E674" w14:textId="77777777" w:rsidR="0060074A" w:rsidRPr="001B4CA2" w:rsidRDefault="0060074A" w:rsidP="002A38E7">
            <w:pPr>
              <w:jc w:val="center"/>
              <w:rPr>
                <w:color w:val="000000"/>
                <w:sz w:val="18"/>
                <w:szCs w:val="18"/>
              </w:rPr>
            </w:pPr>
            <w:r w:rsidRPr="001B4CA2">
              <w:rPr>
                <w:color w:val="000000"/>
                <w:sz w:val="18"/>
                <w:szCs w:val="18"/>
              </w:rPr>
              <w:t> </w:t>
            </w:r>
          </w:p>
        </w:tc>
        <w:tc>
          <w:tcPr>
            <w:tcW w:w="898" w:type="dxa"/>
            <w:tcBorders>
              <w:top w:val="nil"/>
              <w:left w:val="nil"/>
              <w:bottom w:val="single" w:sz="8" w:space="0" w:color="000000"/>
              <w:right w:val="single" w:sz="8" w:space="0" w:color="000000"/>
            </w:tcBorders>
            <w:shd w:val="clear" w:color="auto" w:fill="auto"/>
            <w:vAlign w:val="center"/>
            <w:hideMark/>
          </w:tcPr>
          <w:p w14:paraId="566DD4B1" w14:textId="77777777" w:rsidR="0060074A" w:rsidRPr="001B4CA2" w:rsidRDefault="0060074A" w:rsidP="002A38E7">
            <w:pPr>
              <w:jc w:val="center"/>
              <w:rPr>
                <w:color w:val="000000"/>
                <w:sz w:val="18"/>
                <w:szCs w:val="18"/>
              </w:rPr>
            </w:pPr>
            <w:r w:rsidRPr="001B4CA2">
              <w:rPr>
                <w:color w:val="000000"/>
                <w:sz w:val="18"/>
                <w:szCs w:val="18"/>
              </w:rPr>
              <w:t>190</w:t>
            </w:r>
          </w:p>
        </w:tc>
        <w:tc>
          <w:tcPr>
            <w:tcW w:w="828" w:type="dxa"/>
            <w:tcBorders>
              <w:top w:val="nil"/>
              <w:left w:val="nil"/>
              <w:bottom w:val="single" w:sz="8" w:space="0" w:color="000000"/>
              <w:right w:val="single" w:sz="8" w:space="0" w:color="000000"/>
            </w:tcBorders>
            <w:shd w:val="clear" w:color="auto" w:fill="auto"/>
            <w:vAlign w:val="center"/>
            <w:hideMark/>
          </w:tcPr>
          <w:p w14:paraId="4E85815C" w14:textId="77777777" w:rsidR="0060074A" w:rsidRPr="001B4CA2" w:rsidRDefault="0060074A" w:rsidP="002A38E7">
            <w:pPr>
              <w:jc w:val="center"/>
              <w:rPr>
                <w:color w:val="000000"/>
                <w:sz w:val="18"/>
                <w:szCs w:val="18"/>
              </w:rPr>
            </w:pPr>
            <w:r w:rsidRPr="001B4CA2">
              <w:rPr>
                <w:color w:val="000000"/>
                <w:sz w:val="18"/>
                <w:szCs w:val="18"/>
              </w:rPr>
              <w:t> </w:t>
            </w:r>
          </w:p>
        </w:tc>
      </w:tr>
      <w:tr w:rsidR="0060074A" w:rsidRPr="001B4CA2" w14:paraId="46326A91" w14:textId="77777777" w:rsidTr="000169EF">
        <w:trPr>
          <w:trHeight w:val="300"/>
        </w:trPr>
        <w:tc>
          <w:tcPr>
            <w:tcW w:w="841" w:type="dxa"/>
            <w:tcBorders>
              <w:top w:val="nil"/>
              <w:left w:val="single" w:sz="8" w:space="0" w:color="000000"/>
              <w:bottom w:val="single" w:sz="8" w:space="0" w:color="000000"/>
              <w:right w:val="single" w:sz="8" w:space="0" w:color="000000"/>
            </w:tcBorders>
            <w:shd w:val="clear" w:color="auto" w:fill="auto"/>
            <w:vAlign w:val="center"/>
            <w:hideMark/>
          </w:tcPr>
          <w:p w14:paraId="61A0127F" w14:textId="77777777" w:rsidR="0060074A" w:rsidRPr="001B4CA2" w:rsidRDefault="0060074A" w:rsidP="002A38E7">
            <w:pPr>
              <w:jc w:val="center"/>
              <w:rPr>
                <w:color w:val="000000"/>
                <w:sz w:val="18"/>
                <w:szCs w:val="18"/>
              </w:rPr>
            </w:pPr>
            <w:r w:rsidRPr="001B4CA2">
              <w:rPr>
                <w:color w:val="000000"/>
                <w:sz w:val="18"/>
                <w:szCs w:val="18"/>
              </w:rPr>
              <w:t>2020.</w:t>
            </w:r>
          </w:p>
        </w:tc>
        <w:tc>
          <w:tcPr>
            <w:tcW w:w="940" w:type="dxa"/>
            <w:tcBorders>
              <w:top w:val="nil"/>
              <w:left w:val="nil"/>
              <w:bottom w:val="single" w:sz="8" w:space="0" w:color="000000"/>
              <w:right w:val="single" w:sz="8" w:space="0" w:color="000000"/>
            </w:tcBorders>
            <w:shd w:val="clear" w:color="auto" w:fill="auto"/>
            <w:vAlign w:val="center"/>
            <w:hideMark/>
          </w:tcPr>
          <w:p w14:paraId="54F27F75" w14:textId="77777777" w:rsidR="0060074A" w:rsidRPr="001B4CA2" w:rsidRDefault="0060074A" w:rsidP="002A38E7">
            <w:pPr>
              <w:jc w:val="center"/>
              <w:rPr>
                <w:color w:val="000000"/>
                <w:sz w:val="18"/>
                <w:szCs w:val="18"/>
              </w:rPr>
            </w:pPr>
            <w:r w:rsidRPr="001B4CA2">
              <w:rPr>
                <w:color w:val="000000"/>
                <w:sz w:val="18"/>
                <w:szCs w:val="18"/>
              </w:rPr>
              <w:t>214</w:t>
            </w:r>
          </w:p>
        </w:tc>
        <w:tc>
          <w:tcPr>
            <w:tcW w:w="1037" w:type="dxa"/>
            <w:tcBorders>
              <w:top w:val="nil"/>
              <w:left w:val="nil"/>
              <w:bottom w:val="single" w:sz="8" w:space="0" w:color="000000"/>
              <w:right w:val="single" w:sz="8" w:space="0" w:color="000000"/>
            </w:tcBorders>
            <w:shd w:val="clear" w:color="auto" w:fill="auto"/>
            <w:vAlign w:val="center"/>
            <w:hideMark/>
          </w:tcPr>
          <w:p w14:paraId="761085DD" w14:textId="77777777" w:rsidR="0060074A" w:rsidRPr="001B4CA2" w:rsidRDefault="0060074A" w:rsidP="002A38E7">
            <w:pPr>
              <w:jc w:val="center"/>
              <w:rPr>
                <w:color w:val="000000"/>
                <w:sz w:val="18"/>
                <w:szCs w:val="18"/>
              </w:rPr>
            </w:pPr>
            <w:r w:rsidRPr="001B4CA2">
              <w:rPr>
                <w:color w:val="000000"/>
                <w:sz w:val="18"/>
                <w:szCs w:val="18"/>
              </w:rPr>
              <w:t>14</w:t>
            </w:r>
          </w:p>
        </w:tc>
        <w:tc>
          <w:tcPr>
            <w:tcW w:w="1322" w:type="dxa"/>
            <w:tcBorders>
              <w:top w:val="nil"/>
              <w:left w:val="nil"/>
              <w:bottom w:val="single" w:sz="8" w:space="0" w:color="000000"/>
              <w:right w:val="single" w:sz="8" w:space="0" w:color="000000"/>
            </w:tcBorders>
            <w:shd w:val="clear" w:color="auto" w:fill="auto"/>
            <w:vAlign w:val="center"/>
            <w:hideMark/>
          </w:tcPr>
          <w:p w14:paraId="72EC71BC" w14:textId="77777777" w:rsidR="0060074A" w:rsidRPr="001B4CA2" w:rsidRDefault="0060074A" w:rsidP="002A38E7">
            <w:pPr>
              <w:jc w:val="center"/>
              <w:rPr>
                <w:color w:val="000000"/>
                <w:sz w:val="18"/>
                <w:szCs w:val="18"/>
              </w:rPr>
            </w:pPr>
            <w:r w:rsidRPr="001B4CA2">
              <w:rPr>
                <w:color w:val="000000"/>
                <w:sz w:val="18"/>
                <w:szCs w:val="18"/>
              </w:rPr>
              <w:t>2</w:t>
            </w:r>
          </w:p>
        </w:tc>
        <w:tc>
          <w:tcPr>
            <w:tcW w:w="987" w:type="dxa"/>
            <w:tcBorders>
              <w:top w:val="nil"/>
              <w:left w:val="nil"/>
              <w:bottom w:val="single" w:sz="8" w:space="0" w:color="000000"/>
              <w:right w:val="single" w:sz="8" w:space="0" w:color="000000"/>
            </w:tcBorders>
            <w:shd w:val="clear" w:color="auto" w:fill="auto"/>
            <w:vAlign w:val="center"/>
            <w:hideMark/>
          </w:tcPr>
          <w:p w14:paraId="73D41C46" w14:textId="77777777" w:rsidR="0060074A" w:rsidRPr="001B4CA2" w:rsidRDefault="0060074A" w:rsidP="002A38E7">
            <w:pPr>
              <w:jc w:val="center"/>
              <w:rPr>
                <w:color w:val="000000"/>
                <w:sz w:val="18"/>
                <w:szCs w:val="18"/>
              </w:rPr>
            </w:pPr>
            <w:r w:rsidRPr="001B4CA2">
              <w:rPr>
                <w:color w:val="000000"/>
                <w:sz w:val="18"/>
                <w:szCs w:val="18"/>
              </w:rPr>
              <w:t>133</w:t>
            </w:r>
          </w:p>
        </w:tc>
        <w:tc>
          <w:tcPr>
            <w:tcW w:w="888" w:type="dxa"/>
            <w:tcBorders>
              <w:top w:val="nil"/>
              <w:left w:val="nil"/>
              <w:bottom w:val="single" w:sz="8" w:space="0" w:color="000000"/>
              <w:right w:val="single" w:sz="8" w:space="0" w:color="000000"/>
            </w:tcBorders>
            <w:shd w:val="clear" w:color="auto" w:fill="auto"/>
            <w:vAlign w:val="center"/>
            <w:hideMark/>
          </w:tcPr>
          <w:p w14:paraId="2B4DA7AF" w14:textId="77777777" w:rsidR="0060074A" w:rsidRPr="001B4CA2" w:rsidRDefault="0060074A" w:rsidP="002A38E7">
            <w:pPr>
              <w:jc w:val="center"/>
              <w:rPr>
                <w:color w:val="000000"/>
                <w:sz w:val="18"/>
                <w:szCs w:val="18"/>
              </w:rPr>
            </w:pPr>
            <w:r w:rsidRPr="001B4CA2">
              <w:rPr>
                <w:color w:val="000000"/>
                <w:sz w:val="18"/>
                <w:szCs w:val="18"/>
              </w:rPr>
              <w:t> </w:t>
            </w:r>
          </w:p>
        </w:tc>
        <w:tc>
          <w:tcPr>
            <w:tcW w:w="967" w:type="dxa"/>
            <w:tcBorders>
              <w:top w:val="nil"/>
              <w:left w:val="nil"/>
              <w:bottom w:val="single" w:sz="8" w:space="0" w:color="000000"/>
              <w:right w:val="single" w:sz="8" w:space="0" w:color="000000"/>
            </w:tcBorders>
            <w:shd w:val="clear" w:color="auto" w:fill="auto"/>
            <w:vAlign w:val="center"/>
            <w:hideMark/>
          </w:tcPr>
          <w:p w14:paraId="5D26C0F6" w14:textId="77777777" w:rsidR="0060074A" w:rsidRPr="001B4CA2" w:rsidRDefault="0060074A" w:rsidP="002A38E7">
            <w:pPr>
              <w:jc w:val="center"/>
              <w:rPr>
                <w:color w:val="000000"/>
                <w:sz w:val="18"/>
                <w:szCs w:val="18"/>
              </w:rPr>
            </w:pPr>
            <w:r w:rsidRPr="001B4CA2">
              <w:rPr>
                <w:color w:val="000000"/>
                <w:sz w:val="18"/>
                <w:szCs w:val="18"/>
              </w:rPr>
              <w:t>16</w:t>
            </w:r>
          </w:p>
        </w:tc>
        <w:tc>
          <w:tcPr>
            <w:tcW w:w="898" w:type="dxa"/>
            <w:tcBorders>
              <w:top w:val="nil"/>
              <w:left w:val="nil"/>
              <w:bottom w:val="single" w:sz="8" w:space="0" w:color="000000"/>
              <w:right w:val="single" w:sz="8" w:space="0" w:color="000000"/>
            </w:tcBorders>
            <w:shd w:val="clear" w:color="auto" w:fill="auto"/>
            <w:vAlign w:val="center"/>
            <w:hideMark/>
          </w:tcPr>
          <w:p w14:paraId="32C575C9" w14:textId="77777777" w:rsidR="0060074A" w:rsidRPr="001B4CA2" w:rsidRDefault="0060074A" w:rsidP="002A38E7">
            <w:pPr>
              <w:jc w:val="center"/>
              <w:rPr>
                <w:color w:val="000000"/>
                <w:sz w:val="18"/>
                <w:szCs w:val="18"/>
              </w:rPr>
            </w:pPr>
            <w:r w:rsidRPr="001B4CA2">
              <w:rPr>
                <w:color w:val="000000"/>
                <w:sz w:val="18"/>
                <w:szCs w:val="18"/>
              </w:rPr>
              <w:t>163</w:t>
            </w:r>
          </w:p>
        </w:tc>
        <w:tc>
          <w:tcPr>
            <w:tcW w:w="828" w:type="dxa"/>
            <w:tcBorders>
              <w:top w:val="nil"/>
              <w:left w:val="nil"/>
              <w:bottom w:val="single" w:sz="8" w:space="0" w:color="000000"/>
              <w:right w:val="single" w:sz="8" w:space="0" w:color="000000"/>
            </w:tcBorders>
            <w:shd w:val="clear" w:color="auto" w:fill="auto"/>
            <w:vAlign w:val="center"/>
            <w:hideMark/>
          </w:tcPr>
          <w:p w14:paraId="5C446062" w14:textId="77777777" w:rsidR="0060074A" w:rsidRPr="001B4CA2" w:rsidRDefault="0060074A" w:rsidP="002A38E7">
            <w:pPr>
              <w:jc w:val="center"/>
              <w:rPr>
                <w:color w:val="000000"/>
                <w:sz w:val="18"/>
                <w:szCs w:val="18"/>
              </w:rPr>
            </w:pPr>
            <w:r w:rsidRPr="001B4CA2">
              <w:rPr>
                <w:color w:val="000000"/>
                <w:sz w:val="18"/>
                <w:szCs w:val="18"/>
              </w:rPr>
              <w:t>51</w:t>
            </w:r>
          </w:p>
        </w:tc>
      </w:tr>
      <w:tr w:rsidR="0060074A" w:rsidRPr="001B4CA2" w14:paraId="4A898376" w14:textId="77777777" w:rsidTr="000169EF">
        <w:trPr>
          <w:trHeight w:val="300"/>
        </w:trPr>
        <w:tc>
          <w:tcPr>
            <w:tcW w:w="841" w:type="dxa"/>
            <w:tcBorders>
              <w:top w:val="nil"/>
              <w:left w:val="single" w:sz="8" w:space="0" w:color="000000"/>
              <w:bottom w:val="single" w:sz="8" w:space="0" w:color="000000"/>
              <w:right w:val="single" w:sz="8" w:space="0" w:color="000000"/>
            </w:tcBorders>
            <w:shd w:val="clear" w:color="auto" w:fill="auto"/>
            <w:vAlign w:val="center"/>
            <w:hideMark/>
          </w:tcPr>
          <w:p w14:paraId="172F03C9" w14:textId="77777777" w:rsidR="0060074A" w:rsidRPr="001B4CA2" w:rsidRDefault="0060074A" w:rsidP="002A38E7">
            <w:pPr>
              <w:jc w:val="center"/>
              <w:rPr>
                <w:color w:val="000000"/>
                <w:sz w:val="18"/>
                <w:szCs w:val="18"/>
              </w:rPr>
            </w:pPr>
            <w:r w:rsidRPr="001B4CA2">
              <w:rPr>
                <w:color w:val="000000"/>
                <w:sz w:val="18"/>
                <w:szCs w:val="18"/>
              </w:rPr>
              <w:t>2021.</w:t>
            </w:r>
          </w:p>
        </w:tc>
        <w:tc>
          <w:tcPr>
            <w:tcW w:w="940" w:type="dxa"/>
            <w:tcBorders>
              <w:top w:val="nil"/>
              <w:left w:val="nil"/>
              <w:bottom w:val="single" w:sz="8" w:space="0" w:color="000000"/>
              <w:right w:val="single" w:sz="8" w:space="0" w:color="000000"/>
            </w:tcBorders>
            <w:shd w:val="clear" w:color="auto" w:fill="auto"/>
            <w:vAlign w:val="center"/>
            <w:hideMark/>
          </w:tcPr>
          <w:p w14:paraId="01B0F7F6" w14:textId="77777777" w:rsidR="0060074A" w:rsidRPr="001B4CA2" w:rsidRDefault="0060074A" w:rsidP="002A38E7">
            <w:pPr>
              <w:jc w:val="center"/>
              <w:rPr>
                <w:color w:val="000000"/>
                <w:sz w:val="18"/>
                <w:szCs w:val="18"/>
              </w:rPr>
            </w:pPr>
            <w:r w:rsidRPr="001B4CA2">
              <w:rPr>
                <w:color w:val="000000"/>
                <w:sz w:val="18"/>
                <w:szCs w:val="18"/>
              </w:rPr>
              <w:t>167</w:t>
            </w:r>
          </w:p>
        </w:tc>
        <w:tc>
          <w:tcPr>
            <w:tcW w:w="1037" w:type="dxa"/>
            <w:tcBorders>
              <w:top w:val="nil"/>
              <w:left w:val="nil"/>
              <w:bottom w:val="single" w:sz="8" w:space="0" w:color="000000"/>
              <w:right w:val="single" w:sz="8" w:space="0" w:color="000000"/>
            </w:tcBorders>
            <w:shd w:val="clear" w:color="auto" w:fill="auto"/>
            <w:vAlign w:val="center"/>
            <w:hideMark/>
          </w:tcPr>
          <w:p w14:paraId="7D2545D8" w14:textId="77777777" w:rsidR="0060074A" w:rsidRPr="001B4CA2" w:rsidRDefault="0060074A" w:rsidP="002A38E7">
            <w:pPr>
              <w:jc w:val="center"/>
              <w:rPr>
                <w:color w:val="000000"/>
                <w:sz w:val="18"/>
                <w:szCs w:val="18"/>
              </w:rPr>
            </w:pPr>
            <w:r w:rsidRPr="001B4CA2">
              <w:rPr>
                <w:color w:val="000000"/>
                <w:sz w:val="18"/>
                <w:szCs w:val="18"/>
              </w:rPr>
              <w:t>21</w:t>
            </w:r>
          </w:p>
        </w:tc>
        <w:tc>
          <w:tcPr>
            <w:tcW w:w="1322" w:type="dxa"/>
            <w:tcBorders>
              <w:top w:val="nil"/>
              <w:left w:val="nil"/>
              <w:bottom w:val="single" w:sz="8" w:space="0" w:color="000000"/>
              <w:right w:val="single" w:sz="8" w:space="0" w:color="000000"/>
            </w:tcBorders>
            <w:shd w:val="clear" w:color="auto" w:fill="auto"/>
            <w:vAlign w:val="center"/>
            <w:hideMark/>
          </w:tcPr>
          <w:p w14:paraId="19F5797E" w14:textId="77777777" w:rsidR="0060074A" w:rsidRPr="001B4CA2" w:rsidRDefault="0060074A" w:rsidP="002A38E7">
            <w:pPr>
              <w:jc w:val="center"/>
              <w:rPr>
                <w:color w:val="000000"/>
                <w:sz w:val="18"/>
                <w:szCs w:val="18"/>
              </w:rPr>
            </w:pPr>
            <w:r w:rsidRPr="001B4CA2">
              <w:rPr>
                <w:color w:val="000000"/>
                <w:sz w:val="18"/>
                <w:szCs w:val="18"/>
              </w:rPr>
              <w:t> </w:t>
            </w:r>
          </w:p>
        </w:tc>
        <w:tc>
          <w:tcPr>
            <w:tcW w:w="987" w:type="dxa"/>
            <w:tcBorders>
              <w:top w:val="nil"/>
              <w:left w:val="nil"/>
              <w:bottom w:val="single" w:sz="8" w:space="0" w:color="000000"/>
              <w:right w:val="single" w:sz="8" w:space="0" w:color="000000"/>
            </w:tcBorders>
            <w:shd w:val="clear" w:color="auto" w:fill="auto"/>
            <w:vAlign w:val="center"/>
            <w:hideMark/>
          </w:tcPr>
          <w:p w14:paraId="7942914A" w14:textId="77777777" w:rsidR="0060074A" w:rsidRPr="001B4CA2" w:rsidRDefault="0060074A" w:rsidP="002A38E7">
            <w:pPr>
              <w:jc w:val="center"/>
              <w:rPr>
                <w:color w:val="000000"/>
                <w:sz w:val="18"/>
                <w:szCs w:val="18"/>
              </w:rPr>
            </w:pPr>
            <w:r w:rsidRPr="001B4CA2">
              <w:rPr>
                <w:color w:val="000000"/>
                <w:sz w:val="18"/>
                <w:szCs w:val="18"/>
              </w:rPr>
              <w:t>102</w:t>
            </w:r>
          </w:p>
        </w:tc>
        <w:tc>
          <w:tcPr>
            <w:tcW w:w="888" w:type="dxa"/>
            <w:tcBorders>
              <w:top w:val="nil"/>
              <w:left w:val="nil"/>
              <w:bottom w:val="single" w:sz="8" w:space="0" w:color="000000"/>
              <w:right w:val="single" w:sz="8" w:space="0" w:color="000000"/>
            </w:tcBorders>
            <w:shd w:val="clear" w:color="auto" w:fill="auto"/>
            <w:vAlign w:val="center"/>
            <w:hideMark/>
          </w:tcPr>
          <w:p w14:paraId="09CCBEC5" w14:textId="77777777" w:rsidR="0060074A" w:rsidRPr="001B4CA2" w:rsidRDefault="0060074A" w:rsidP="002A38E7">
            <w:pPr>
              <w:jc w:val="center"/>
              <w:rPr>
                <w:color w:val="000000"/>
                <w:sz w:val="18"/>
                <w:szCs w:val="18"/>
              </w:rPr>
            </w:pPr>
            <w:r w:rsidRPr="001B4CA2">
              <w:rPr>
                <w:color w:val="000000"/>
                <w:sz w:val="18"/>
                <w:szCs w:val="18"/>
              </w:rPr>
              <w:t>4</w:t>
            </w:r>
          </w:p>
        </w:tc>
        <w:tc>
          <w:tcPr>
            <w:tcW w:w="967" w:type="dxa"/>
            <w:tcBorders>
              <w:top w:val="nil"/>
              <w:left w:val="nil"/>
              <w:bottom w:val="single" w:sz="8" w:space="0" w:color="000000"/>
              <w:right w:val="single" w:sz="8" w:space="0" w:color="000000"/>
            </w:tcBorders>
            <w:shd w:val="clear" w:color="auto" w:fill="auto"/>
            <w:vAlign w:val="center"/>
            <w:hideMark/>
          </w:tcPr>
          <w:p w14:paraId="0EBF3AD9" w14:textId="77777777" w:rsidR="0060074A" w:rsidRPr="001B4CA2" w:rsidRDefault="0060074A" w:rsidP="002A38E7">
            <w:pPr>
              <w:jc w:val="center"/>
              <w:rPr>
                <w:color w:val="000000"/>
                <w:sz w:val="18"/>
                <w:szCs w:val="18"/>
              </w:rPr>
            </w:pPr>
            <w:r w:rsidRPr="001B4CA2">
              <w:rPr>
                <w:color w:val="000000"/>
                <w:sz w:val="18"/>
                <w:szCs w:val="18"/>
              </w:rPr>
              <w:t>4</w:t>
            </w:r>
          </w:p>
        </w:tc>
        <w:tc>
          <w:tcPr>
            <w:tcW w:w="898" w:type="dxa"/>
            <w:tcBorders>
              <w:top w:val="nil"/>
              <w:left w:val="nil"/>
              <w:bottom w:val="single" w:sz="8" w:space="0" w:color="000000"/>
              <w:right w:val="single" w:sz="8" w:space="0" w:color="000000"/>
            </w:tcBorders>
            <w:shd w:val="clear" w:color="auto" w:fill="auto"/>
            <w:vAlign w:val="center"/>
            <w:hideMark/>
          </w:tcPr>
          <w:p w14:paraId="594161E9" w14:textId="77777777" w:rsidR="0060074A" w:rsidRPr="001B4CA2" w:rsidRDefault="0060074A" w:rsidP="002A38E7">
            <w:pPr>
              <w:jc w:val="center"/>
              <w:rPr>
                <w:color w:val="000000"/>
                <w:sz w:val="18"/>
                <w:szCs w:val="18"/>
              </w:rPr>
            </w:pPr>
            <w:r w:rsidRPr="001B4CA2">
              <w:rPr>
                <w:color w:val="000000"/>
                <w:sz w:val="18"/>
                <w:szCs w:val="18"/>
              </w:rPr>
              <w:t>135</w:t>
            </w:r>
          </w:p>
        </w:tc>
        <w:tc>
          <w:tcPr>
            <w:tcW w:w="828" w:type="dxa"/>
            <w:tcBorders>
              <w:top w:val="nil"/>
              <w:left w:val="nil"/>
              <w:bottom w:val="single" w:sz="8" w:space="0" w:color="000000"/>
              <w:right w:val="single" w:sz="8" w:space="0" w:color="000000"/>
            </w:tcBorders>
            <w:shd w:val="clear" w:color="auto" w:fill="auto"/>
            <w:vAlign w:val="center"/>
            <w:hideMark/>
          </w:tcPr>
          <w:p w14:paraId="3C5601A2" w14:textId="77777777" w:rsidR="0060074A" w:rsidRPr="001B4CA2" w:rsidRDefault="0060074A" w:rsidP="002A38E7">
            <w:pPr>
              <w:jc w:val="center"/>
              <w:rPr>
                <w:color w:val="000000"/>
                <w:sz w:val="18"/>
                <w:szCs w:val="18"/>
              </w:rPr>
            </w:pPr>
            <w:r w:rsidRPr="001B4CA2">
              <w:rPr>
                <w:color w:val="000000"/>
                <w:sz w:val="18"/>
                <w:szCs w:val="18"/>
              </w:rPr>
              <w:t>32</w:t>
            </w:r>
          </w:p>
        </w:tc>
      </w:tr>
      <w:tr w:rsidR="0060074A" w:rsidRPr="001B4CA2" w14:paraId="6DCDC87A" w14:textId="77777777" w:rsidTr="000169EF">
        <w:trPr>
          <w:trHeight w:val="300"/>
        </w:trPr>
        <w:tc>
          <w:tcPr>
            <w:tcW w:w="841" w:type="dxa"/>
            <w:tcBorders>
              <w:top w:val="nil"/>
              <w:left w:val="single" w:sz="8" w:space="0" w:color="000000"/>
              <w:bottom w:val="single" w:sz="8" w:space="0" w:color="000000"/>
              <w:right w:val="single" w:sz="8" w:space="0" w:color="000000"/>
            </w:tcBorders>
            <w:shd w:val="clear" w:color="auto" w:fill="auto"/>
            <w:vAlign w:val="center"/>
            <w:hideMark/>
          </w:tcPr>
          <w:p w14:paraId="18851704" w14:textId="77777777" w:rsidR="0060074A" w:rsidRPr="001B4CA2" w:rsidRDefault="0060074A" w:rsidP="002A38E7">
            <w:pPr>
              <w:jc w:val="center"/>
              <w:rPr>
                <w:color w:val="000000"/>
                <w:sz w:val="18"/>
                <w:szCs w:val="18"/>
              </w:rPr>
            </w:pPr>
            <w:r w:rsidRPr="001B4CA2">
              <w:rPr>
                <w:color w:val="000000"/>
                <w:sz w:val="18"/>
                <w:szCs w:val="18"/>
              </w:rPr>
              <w:t>2022.</w:t>
            </w:r>
          </w:p>
        </w:tc>
        <w:tc>
          <w:tcPr>
            <w:tcW w:w="940" w:type="dxa"/>
            <w:tcBorders>
              <w:top w:val="nil"/>
              <w:left w:val="nil"/>
              <w:bottom w:val="single" w:sz="8" w:space="0" w:color="000000"/>
              <w:right w:val="single" w:sz="8" w:space="0" w:color="000000"/>
            </w:tcBorders>
            <w:shd w:val="clear" w:color="auto" w:fill="auto"/>
            <w:vAlign w:val="center"/>
            <w:hideMark/>
          </w:tcPr>
          <w:p w14:paraId="44D0C36D" w14:textId="77777777" w:rsidR="0060074A" w:rsidRPr="001B4CA2" w:rsidRDefault="0060074A" w:rsidP="002A38E7">
            <w:pPr>
              <w:jc w:val="center"/>
              <w:rPr>
                <w:color w:val="000000"/>
                <w:sz w:val="18"/>
                <w:szCs w:val="18"/>
              </w:rPr>
            </w:pPr>
            <w:r w:rsidRPr="001B4CA2">
              <w:rPr>
                <w:color w:val="000000"/>
                <w:sz w:val="18"/>
                <w:szCs w:val="18"/>
              </w:rPr>
              <w:t>186</w:t>
            </w:r>
          </w:p>
        </w:tc>
        <w:tc>
          <w:tcPr>
            <w:tcW w:w="1037" w:type="dxa"/>
            <w:tcBorders>
              <w:top w:val="nil"/>
              <w:left w:val="nil"/>
              <w:bottom w:val="single" w:sz="8" w:space="0" w:color="000000"/>
              <w:right w:val="single" w:sz="8" w:space="0" w:color="000000"/>
            </w:tcBorders>
            <w:shd w:val="clear" w:color="auto" w:fill="auto"/>
            <w:vAlign w:val="center"/>
            <w:hideMark/>
          </w:tcPr>
          <w:p w14:paraId="17E617AC" w14:textId="77777777" w:rsidR="0060074A" w:rsidRPr="001B4CA2" w:rsidRDefault="0060074A" w:rsidP="002A38E7">
            <w:pPr>
              <w:jc w:val="center"/>
              <w:rPr>
                <w:color w:val="000000"/>
                <w:sz w:val="18"/>
                <w:szCs w:val="18"/>
              </w:rPr>
            </w:pPr>
            <w:r w:rsidRPr="001B4CA2">
              <w:rPr>
                <w:color w:val="000000"/>
                <w:sz w:val="18"/>
                <w:szCs w:val="18"/>
              </w:rPr>
              <w:t>17</w:t>
            </w:r>
          </w:p>
        </w:tc>
        <w:tc>
          <w:tcPr>
            <w:tcW w:w="1322" w:type="dxa"/>
            <w:tcBorders>
              <w:top w:val="nil"/>
              <w:left w:val="nil"/>
              <w:bottom w:val="single" w:sz="8" w:space="0" w:color="000000"/>
              <w:right w:val="single" w:sz="8" w:space="0" w:color="000000"/>
            </w:tcBorders>
            <w:shd w:val="clear" w:color="auto" w:fill="auto"/>
            <w:vAlign w:val="center"/>
            <w:hideMark/>
          </w:tcPr>
          <w:p w14:paraId="7126EA9D" w14:textId="77777777" w:rsidR="0060074A" w:rsidRPr="001B4CA2" w:rsidRDefault="0060074A" w:rsidP="002A38E7">
            <w:pPr>
              <w:jc w:val="center"/>
              <w:rPr>
                <w:color w:val="000000"/>
                <w:sz w:val="18"/>
                <w:szCs w:val="18"/>
              </w:rPr>
            </w:pPr>
            <w:r w:rsidRPr="001B4CA2">
              <w:rPr>
                <w:color w:val="000000"/>
                <w:sz w:val="18"/>
                <w:szCs w:val="18"/>
              </w:rPr>
              <w:t>3</w:t>
            </w:r>
          </w:p>
        </w:tc>
        <w:tc>
          <w:tcPr>
            <w:tcW w:w="987" w:type="dxa"/>
            <w:tcBorders>
              <w:top w:val="nil"/>
              <w:left w:val="nil"/>
              <w:bottom w:val="single" w:sz="8" w:space="0" w:color="000000"/>
              <w:right w:val="single" w:sz="8" w:space="0" w:color="000000"/>
            </w:tcBorders>
            <w:shd w:val="clear" w:color="auto" w:fill="auto"/>
            <w:vAlign w:val="center"/>
            <w:hideMark/>
          </w:tcPr>
          <w:p w14:paraId="7D036DA9" w14:textId="77777777" w:rsidR="0060074A" w:rsidRPr="001B4CA2" w:rsidRDefault="0060074A" w:rsidP="002A38E7">
            <w:pPr>
              <w:jc w:val="center"/>
              <w:rPr>
                <w:color w:val="000000"/>
                <w:sz w:val="18"/>
                <w:szCs w:val="18"/>
              </w:rPr>
            </w:pPr>
            <w:r w:rsidRPr="001B4CA2">
              <w:rPr>
                <w:color w:val="000000"/>
                <w:sz w:val="18"/>
                <w:szCs w:val="18"/>
              </w:rPr>
              <w:t>105</w:t>
            </w:r>
          </w:p>
        </w:tc>
        <w:tc>
          <w:tcPr>
            <w:tcW w:w="888" w:type="dxa"/>
            <w:tcBorders>
              <w:top w:val="nil"/>
              <w:left w:val="nil"/>
              <w:bottom w:val="single" w:sz="8" w:space="0" w:color="000000"/>
              <w:right w:val="single" w:sz="8" w:space="0" w:color="000000"/>
            </w:tcBorders>
            <w:shd w:val="clear" w:color="auto" w:fill="auto"/>
            <w:vAlign w:val="center"/>
            <w:hideMark/>
          </w:tcPr>
          <w:p w14:paraId="0792EA81" w14:textId="77777777" w:rsidR="0060074A" w:rsidRPr="001B4CA2" w:rsidRDefault="0060074A" w:rsidP="002A38E7">
            <w:pPr>
              <w:jc w:val="center"/>
              <w:rPr>
                <w:color w:val="000000"/>
                <w:sz w:val="18"/>
                <w:szCs w:val="18"/>
              </w:rPr>
            </w:pPr>
            <w:r w:rsidRPr="001B4CA2">
              <w:rPr>
                <w:color w:val="000000"/>
                <w:sz w:val="18"/>
                <w:szCs w:val="18"/>
              </w:rPr>
              <w:t>0</w:t>
            </w:r>
          </w:p>
        </w:tc>
        <w:tc>
          <w:tcPr>
            <w:tcW w:w="967" w:type="dxa"/>
            <w:tcBorders>
              <w:top w:val="nil"/>
              <w:left w:val="nil"/>
              <w:bottom w:val="single" w:sz="8" w:space="0" w:color="000000"/>
              <w:right w:val="single" w:sz="8" w:space="0" w:color="000000"/>
            </w:tcBorders>
            <w:shd w:val="clear" w:color="auto" w:fill="auto"/>
            <w:vAlign w:val="center"/>
            <w:hideMark/>
          </w:tcPr>
          <w:p w14:paraId="2A3AFEF4" w14:textId="77777777" w:rsidR="0060074A" w:rsidRPr="001B4CA2" w:rsidRDefault="0060074A" w:rsidP="002A38E7">
            <w:pPr>
              <w:jc w:val="center"/>
              <w:rPr>
                <w:color w:val="000000"/>
                <w:sz w:val="18"/>
                <w:szCs w:val="18"/>
              </w:rPr>
            </w:pPr>
            <w:r w:rsidRPr="001B4CA2">
              <w:rPr>
                <w:color w:val="000000"/>
                <w:sz w:val="18"/>
                <w:szCs w:val="18"/>
              </w:rPr>
              <w:t>10</w:t>
            </w:r>
          </w:p>
        </w:tc>
        <w:tc>
          <w:tcPr>
            <w:tcW w:w="898" w:type="dxa"/>
            <w:tcBorders>
              <w:top w:val="nil"/>
              <w:left w:val="nil"/>
              <w:bottom w:val="single" w:sz="8" w:space="0" w:color="000000"/>
              <w:right w:val="single" w:sz="8" w:space="0" w:color="000000"/>
            </w:tcBorders>
            <w:shd w:val="clear" w:color="auto" w:fill="auto"/>
            <w:vAlign w:val="center"/>
            <w:hideMark/>
          </w:tcPr>
          <w:p w14:paraId="345390F0" w14:textId="77777777" w:rsidR="0060074A" w:rsidRPr="001B4CA2" w:rsidRDefault="0060074A" w:rsidP="002A38E7">
            <w:pPr>
              <w:jc w:val="center"/>
              <w:rPr>
                <w:color w:val="000000"/>
                <w:sz w:val="18"/>
                <w:szCs w:val="18"/>
              </w:rPr>
            </w:pPr>
            <w:r w:rsidRPr="001B4CA2">
              <w:rPr>
                <w:color w:val="000000"/>
                <w:sz w:val="18"/>
                <w:szCs w:val="18"/>
              </w:rPr>
              <w:t>132</w:t>
            </w:r>
          </w:p>
        </w:tc>
        <w:tc>
          <w:tcPr>
            <w:tcW w:w="828" w:type="dxa"/>
            <w:tcBorders>
              <w:top w:val="nil"/>
              <w:left w:val="nil"/>
              <w:bottom w:val="single" w:sz="8" w:space="0" w:color="000000"/>
              <w:right w:val="single" w:sz="8" w:space="0" w:color="000000"/>
            </w:tcBorders>
            <w:shd w:val="clear" w:color="auto" w:fill="auto"/>
            <w:vAlign w:val="center"/>
            <w:hideMark/>
          </w:tcPr>
          <w:p w14:paraId="04EC06CE" w14:textId="77777777" w:rsidR="0060074A" w:rsidRPr="001B4CA2" w:rsidRDefault="0060074A" w:rsidP="002A38E7">
            <w:pPr>
              <w:jc w:val="center"/>
              <w:rPr>
                <w:color w:val="000000"/>
                <w:sz w:val="18"/>
                <w:szCs w:val="18"/>
              </w:rPr>
            </w:pPr>
            <w:r w:rsidRPr="001B4CA2">
              <w:rPr>
                <w:color w:val="000000"/>
                <w:sz w:val="18"/>
                <w:szCs w:val="18"/>
              </w:rPr>
              <w:t>54</w:t>
            </w:r>
          </w:p>
        </w:tc>
      </w:tr>
    </w:tbl>
    <w:p w14:paraId="0A90E0A4" w14:textId="77777777" w:rsidR="0060074A" w:rsidRPr="001B4CA2" w:rsidRDefault="0060074A" w:rsidP="0060074A"/>
    <w:p w14:paraId="7306B1D7" w14:textId="29385D3E" w:rsidR="0060074A" w:rsidRPr="001B4CA2" w:rsidRDefault="0060074A" w:rsidP="0060074A">
      <w:pPr>
        <w:ind w:firstLine="708"/>
      </w:pPr>
      <w:r w:rsidRPr="001B4CA2">
        <w:t>Sva su državna odvjetništva u izvještajnom razdoblju imala ukupno u radu 186 premeta u kojima su trebala donijeti odluku po dovršenom pripremnom postupku neovisno o to</w:t>
      </w:r>
      <w:r w:rsidR="00281145">
        <w:t>me</w:t>
      </w:r>
      <w:r w:rsidRPr="001B4CA2">
        <w:t xml:space="preserve"> u kojem </w:t>
      </w:r>
      <w:r w:rsidR="00281145" w:rsidRPr="001B4CA2">
        <w:t xml:space="preserve">su </w:t>
      </w:r>
      <w:r w:rsidRPr="001B4CA2">
        <w:t>izvještajnom razdoblju donijela rješenje o provođenju pripremnog postupka.</w:t>
      </w:r>
    </w:p>
    <w:p w14:paraId="62E18322" w14:textId="77777777" w:rsidR="0060074A" w:rsidRPr="001B4CA2" w:rsidRDefault="0060074A" w:rsidP="0060074A"/>
    <w:p w14:paraId="00709D47" w14:textId="77777777" w:rsidR="0060074A" w:rsidRPr="001B4CA2" w:rsidRDefault="0060074A" w:rsidP="0060074A">
      <w:pPr>
        <w:ind w:firstLine="708"/>
      </w:pPr>
      <w:r w:rsidRPr="001B4CA2">
        <w:t>U izvještajnom razdoblju bilježimo neznatan pad broja donesenih rješenja o obustavi pripremnog postupka, dok je broj prijedloga za izricanje maloljetničke sankcije na razini prethodnog izvještajnog razdoblja.</w:t>
      </w:r>
    </w:p>
    <w:p w14:paraId="1BE50DD4" w14:textId="77777777" w:rsidR="00A97AFB" w:rsidRPr="001B4CA2" w:rsidRDefault="00A97AFB" w:rsidP="00546D39"/>
    <w:p w14:paraId="2DCBF6CD" w14:textId="04514F69" w:rsidR="00DF69D3" w:rsidRPr="001B4CA2" w:rsidRDefault="000857CC" w:rsidP="00257FA8">
      <w:pPr>
        <w:pStyle w:val="Naslov4"/>
        <w:tabs>
          <w:tab w:val="left" w:pos="993"/>
        </w:tabs>
        <w:rPr>
          <w:rFonts w:ascii="Arial" w:hAnsi="Arial" w:cs="Arial"/>
        </w:rPr>
      </w:pPr>
      <w:bookmarkStart w:id="33" w:name="_Toc133394296"/>
      <w:r w:rsidRPr="001B4CA2">
        <w:rPr>
          <w:rFonts w:ascii="Arial" w:hAnsi="Arial" w:cs="Arial"/>
        </w:rPr>
        <w:t>Optuženja i odluke sudova povodom optuženja</w:t>
      </w:r>
      <w:bookmarkEnd w:id="33"/>
    </w:p>
    <w:p w14:paraId="69D68588" w14:textId="77777777" w:rsidR="00DC6CC9" w:rsidRPr="001B4CA2" w:rsidRDefault="00DC6CC9" w:rsidP="00DC6CC9"/>
    <w:p w14:paraId="34618EDA" w14:textId="3CD5B3E0" w:rsidR="00F54A69" w:rsidRPr="001B4CA2" w:rsidRDefault="00F54A69" w:rsidP="00F54A69">
      <w:pPr>
        <w:pStyle w:val="Odlomakpopisa"/>
        <w:widowControl w:val="0"/>
        <w:ind w:left="0" w:firstLine="720"/>
        <w:rPr>
          <w:snapToGrid w:val="0"/>
        </w:rPr>
      </w:pPr>
      <w:r w:rsidRPr="001B4CA2">
        <w:rPr>
          <w:snapToGrid w:val="0"/>
        </w:rPr>
        <w:t xml:space="preserve">Tijekom kalendarske godine u radu državnih odvjetništava nalazile su se optužnice u raznim stadijima koji obuhvaćaju optužnice po kojima sud postupa, a podignute su u prethodnim godinama, optužnice koje su, nakon </w:t>
      </w:r>
      <w:proofErr w:type="spellStart"/>
      <w:r w:rsidRPr="001B4CA2">
        <w:rPr>
          <w:snapToGrid w:val="0"/>
        </w:rPr>
        <w:t>ukidnih</w:t>
      </w:r>
      <w:proofErr w:type="spellEnd"/>
      <w:r w:rsidRPr="001B4CA2">
        <w:rPr>
          <w:snapToGrid w:val="0"/>
        </w:rPr>
        <w:t xml:space="preserve"> presuda od strane žalbenih sudova vraćene na ponovni postupak pred prvostupanjske sudove te optužnice koje je državno odvjetništvo podiglo u tijeku izvještajnog razdoblja. </w:t>
      </w:r>
    </w:p>
    <w:p w14:paraId="62F01723" w14:textId="77777777" w:rsidR="00A97AFB" w:rsidRPr="001B4CA2" w:rsidRDefault="00A97AFB" w:rsidP="00546D39"/>
    <w:p w14:paraId="0F67089F" w14:textId="7B3E72B3" w:rsidR="00546D39" w:rsidRPr="001B4CA2" w:rsidRDefault="001B4CA2" w:rsidP="00B66794">
      <w:pPr>
        <w:ind w:left="-284"/>
        <w:rPr>
          <w:i/>
        </w:rPr>
      </w:pPr>
      <w:r>
        <w:rPr>
          <w:i/>
        </w:rPr>
        <w:tab/>
      </w:r>
      <w:r w:rsidR="000169EF">
        <w:rPr>
          <w:i/>
        </w:rPr>
        <w:t xml:space="preserve">  </w:t>
      </w:r>
      <w:r w:rsidR="00BA7382">
        <w:rPr>
          <w:i/>
        </w:rPr>
        <w:t xml:space="preserve">  </w:t>
      </w:r>
      <w:r w:rsidR="00DC6CC9" w:rsidRPr="001B4CA2">
        <w:rPr>
          <w:i/>
        </w:rPr>
        <w:t>Optužnice u radu u državnom odvjetništvu</w:t>
      </w:r>
      <w:r w:rsidR="00717547" w:rsidRPr="001B4CA2">
        <w:rPr>
          <w:i/>
        </w:rPr>
        <w:t xml:space="preserve"> (bez maloljetnih osoba)</w:t>
      </w:r>
    </w:p>
    <w:tbl>
      <w:tblPr>
        <w:tblW w:w="8789" w:type="dxa"/>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1"/>
        <w:gridCol w:w="850"/>
        <w:gridCol w:w="992"/>
        <w:gridCol w:w="851"/>
        <w:gridCol w:w="1134"/>
        <w:gridCol w:w="1047"/>
        <w:gridCol w:w="1093"/>
        <w:gridCol w:w="978"/>
        <w:gridCol w:w="993"/>
      </w:tblGrid>
      <w:tr w:rsidR="00636697" w:rsidRPr="001B4CA2" w14:paraId="7800CF77" w14:textId="77777777" w:rsidTr="001D4F0F">
        <w:trPr>
          <w:trHeight w:val="400"/>
        </w:trPr>
        <w:tc>
          <w:tcPr>
            <w:tcW w:w="851" w:type="dxa"/>
            <w:vMerge w:val="restart"/>
            <w:shd w:val="clear" w:color="000000" w:fill="99CCFF"/>
            <w:vAlign w:val="center"/>
            <w:hideMark/>
          </w:tcPr>
          <w:p w14:paraId="12571547" w14:textId="77777777" w:rsidR="00B66794" w:rsidRPr="000169EF" w:rsidRDefault="00B66794" w:rsidP="00C52F2B">
            <w:pPr>
              <w:jc w:val="center"/>
              <w:rPr>
                <w:rFonts w:eastAsia="Times New Roman"/>
                <w:b/>
                <w:bCs/>
                <w:color w:val="000000"/>
                <w:sz w:val="16"/>
                <w:szCs w:val="16"/>
                <w:lang w:eastAsia="hr-HR"/>
              </w:rPr>
            </w:pPr>
            <w:r w:rsidRPr="000169EF">
              <w:rPr>
                <w:rFonts w:eastAsia="Times New Roman"/>
                <w:b/>
                <w:bCs/>
                <w:color w:val="000000"/>
                <w:sz w:val="16"/>
                <w:szCs w:val="16"/>
                <w:lang w:eastAsia="hr-HR"/>
              </w:rPr>
              <w:t>Godina</w:t>
            </w:r>
          </w:p>
        </w:tc>
        <w:tc>
          <w:tcPr>
            <w:tcW w:w="850" w:type="dxa"/>
            <w:vMerge w:val="restart"/>
            <w:shd w:val="clear" w:color="000000" w:fill="99CCFF"/>
            <w:vAlign w:val="center"/>
            <w:hideMark/>
          </w:tcPr>
          <w:p w14:paraId="31D80A2E" w14:textId="77777777" w:rsidR="00B66794" w:rsidRPr="000169EF" w:rsidRDefault="00B66794" w:rsidP="00C52F2B">
            <w:pPr>
              <w:jc w:val="center"/>
              <w:rPr>
                <w:rFonts w:eastAsia="Times New Roman"/>
                <w:b/>
                <w:bCs/>
                <w:color w:val="000000"/>
                <w:sz w:val="16"/>
                <w:szCs w:val="16"/>
                <w:lang w:eastAsia="hr-HR"/>
              </w:rPr>
            </w:pPr>
            <w:r w:rsidRPr="000169EF">
              <w:rPr>
                <w:rFonts w:eastAsia="Times New Roman"/>
                <w:b/>
                <w:bCs/>
                <w:color w:val="000000"/>
                <w:sz w:val="16"/>
                <w:szCs w:val="16"/>
                <w:lang w:eastAsia="hr-HR"/>
              </w:rPr>
              <w:t>Ostalo u radu pred sudom</w:t>
            </w:r>
          </w:p>
        </w:tc>
        <w:tc>
          <w:tcPr>
            <w:tcW w:w="992" w:type="dxa"/>
            <w:vMerge w:val="restart"/>
            <w:shd w:val="clear" w:color="000000" w:fill="99CCFF"/>
            <w:vAlign w:val="center"/>
            <w:hideMark/>
          </w:tcPr>
          <w:p w14:paraId="480B41D4" w14:textId="77777777" w:rsidR="00B66794" w:rsidRPr="000169EF" w:rsidRDefault="00B66794" w:rsidP="00C52F2B">
            <w:pPr>
              <w:jc w:val="center"/>
              <w:rPr>
                <w:rFonts w:eastAsia="Times New Roman"/>
                <w:b/>
                <w:bCs/>
                <w:color w:val="000000"/>
                <w:sz w:val="16"/>
                <w:szCs w:val="16"/>
                <w:lang w:eastAsia="hr-HR"/>
              </w:rPr>
            </w:pPr>
            <w:r w:rsidRPr="000169EF">
              <w:rPr>
                <w:rFonts w:eastAsia="Times New Roman"/>
                <w:b/>
                <w:bCs/>
                <w:color w:val="000000"/>
                <w:sz w:val="16"/>
                <w:szCs w:val="16"/>
                <w:lang w:eastAsia="hr-HR"/>
              </w:rPr>
              <w:t>Od toga pred optužnim vijećem</w:t>
            </w:r>
          </w:p>
        </w:tc>
        <w:tc>
          <w:tcPr>
            <w:tcW w:w="851" w:type="dxa"/>
            <w:vMerge w:val="restart"/>
            <w:shd w:val="clear" w:color="000000" w:fill="99CCFF"/>
            <w:vAlign w:val="center"/>
            <w:hideMark/>
          </w:tcPr>
          <w:p w14:paraId="72E947EA" w14:textId="77777777" w:rsidR="00B66794" w:rsidRPr="000169EF" w:rsidRDefault="00B66794" w:rsidP="00C52F2B">
            <w:pPr>
              <w:jc w:val="center"/>
              <w:rPr>
                <w:rFonts w:eastAsia="Times New Roman"/>
                <w:b/>
                <w:bCs/>
                <w:color w:val="000000"/>
                <w:sz w:val="16"/>
                <w:szCs w:val="16"/>
                <w:lang w:eastAsia="hr-HR"/>
              </w:rPr>
            </w:pPr>
            <w:r w:rsidRPr="000169EF">
              <w:rPr>
                <w:rFonts w:eastAsia="Times New Roman"/>
                <w:b/>
                <w:bCs/>
                <w:color w:val="000000"/>
                <w:sz w:val="16"/>
                <w:szCs w:val="16"/>
                <w:lang w:eastAsia="hr-HR"/>
              </w:rPr>
              <w:t xml:space="preserve">Pred sudom nakon </w:t>
            </w:r>
            <w:proofErr w:type="spellStart"/>
            <w:r w:rsidRPr="000169EF">
              <w:rPr>
                <w:rFonts w:eastAsia="Times New Roman"/>
                <w:b/>
                <w:bCs/>
                <w:color w:val="000000"/>
                <w:sz w:val="16"/>
                <w:szCs w:val="16"/>
                <w:lang w:eastAsia="hr-HR"/>
              </w:rPr>
              <w:t>ukidne</w:t>
            </w:r>
            <w:proofErr w:type="spellEnd"/>
            <w:r w:rsidRPr="000169EF">
              <w:rPr>
                <w:rFonts w:eastAsia="Times New Roman"/>
                <w:b/>
                <w:bCs/>
                <w:color w:val="000000"/>
                <w:sz w:val="16"/>
                <w:szCs w:val="16"/>
                <w:lang w:eastAsia="hr-HR"/>
              </w:rPr>
              <w:t xml:space="preserve"> odluke</w:t>
            </w:r>
          </w:p>
        </w:tc>
        <w:tc>
          <w:tcPr>
            <w:tcW w:w="4252" w:type="dxa"/>
            <w:gridSpan w:val="4"/>
            <w:shd w:val="clear" w:color="000000" w:fill="99CCFF"/>
            <w:vAlign w:val="center"/>
            <w:hideMark/>
          </w:tcPr>
          <w:p w14:paraId="7A78DD68" w14:textId="77777777" w:rsidR="00B66794" w:rsidRPr="000169EF" w:rsidRDefault="00B66794" w:rsidP="00C52F2B">
            <w:pPr>
              <w:jc w:val="center"/>
              <w:rPr>
                <w:rFonts w:eastAsia="Times New Roman"/>
                <w:b/>
                <w:bCs/>
                <w:color w:val="000000"/>
                <w:sz w:val="16"/>
                <w:szCs w:val="16"/>
                <w:lang w:eastAsia="hr-HR"/>
              </w:rPr>
            </w:pPr>
            <w:r w:rsidRPr="000169EF">
              <w:rPr>
                <w:rFonts w:eastAsia="Times New Roman"/>
                <w:b/>
                <w:bCs/>
                <w:color w:val="000000"/>
                <w:sz w:val="16"/>
                <w:szCs w:val="16"/>
                <w:lang w:eastAsia="hr-HR"/>
              </w:rPr>
              <w:t>Odluke DO – optužnice</w:t>
            </w:r>
          </w:p>
        </w:tc>
        <w:tc>
          <w:tcPr>
            <w:tcW w:w="993" w:type="dxa"/>
            <w:vMerge w:val="restart"/>
            <w:shd w:val="clear" w:color="000000" w:fill="99CCFF"/>
            <w:vAlign w:val="center"/>
            <w:hideMark/>
          </w:tcPr>
          <w:p w14:paraId="09D2D34C" w14:textId="77777777" w:rsidR="00B66794" w:rsidRPr="000169EF" w:rsidRDefault="00B66794" w:rsidP="00C52F2B">
            <w:pPr>
              <w:jc w:val="center"/>
              <w:rPr>
                <w:rFonts w:eastAsia="Times New Roman"/>
                <w:b/>
                <w:bCs/>
                <w:color w:val="000000"/>
                <w:sz w:val="16"/>
                <w:szCs w:val="16"/>
                <w:lang w:eastAsia="hr-HR"/>
              </w:rPr>
            </w:pPr>
            <w:r w:rsidRPr="000169EF">
              <w:rPr>
                <w:rFonts w:eastAsia="Times New Roman"/>
                <w:b/>
                <w:bCs/>
                <w:color w:val="000000"/>
                <w:sz w:val="16"/>
                <w:szCs w:val="16"/>
                <w:lang w:eastAsia="hr-HR"/>
              </w:rPr>
              <w:t>Ukupno optužnica u radu</w:t>
            </w:r>
          </w:p>
        </w:tc>
      </w:tr>
      <w:tr w:rsidR="00636697" w:rsidRPr="001B4CA2" w14:paraId="2F5F1031" w14:textId="77777777" w:rsidTr="001D4F0F">
        <w:trPr>
          <w:trHeight w:val="1161"/>
        </w:trPr>
        <w:tc>
          <w:tcPr>
            <w:tcW w:w="851" w:type="dxa"/>
            <w:vMerge/>
            <w:vAlign w:val="center"/>
            <w:hideMark/>
          </w:tcPr>
          <w:p w14:paraId="522405A9" w14:textId="77777777" w:rsidR="00B66794" w:rsidRPr="001B4CA2" w:rsidRDefault="00B66794" w:rsidP="00C52F2B">
            <w:pPr>
              <w:rPr>
                <w:rFonts w:eastAsia="Times New Roman"/>
                <w:b/>
                <w:bCs/>
                <w:color w:val="000000"/>
                <w:sz w:val="18"/>
                <w:szCs w:val="18"/>
                <w:lang w:eastAsia="hr-HR"/>
              </w:rPr>
            </w:pPr>
          </w:p>
        </w:tc>
        <w:tc>
          <w:tcPr>
            <w:tcW w:w="850" w:type="dxa"/>
            <w:vMerge/>
            <w:vAlign w:val="center"/>
            <w:hideMark/>
          </w:tcPr>
          <w:p w14:paraId="4AFA00C8" w14:textId="77777777" w:rsidR="00B66794" w:rsidRPr="001B4CA2" w:rsidRDefault="00B66794" w:rsidP="00C52F2B">
            <w:pPr>
              <w:rPr>
                <w:rFonts w:eastAsia="Times New Roman"/>
                <w:b/>
                <w:bCs/>
                <w:color w:val="000000"/>
                <w:sz w:val="18"/>
                <w:szCs w:val="18"/>
                <w:lang w:eastAsia="hr-HR"/>
              </w:rPr>
            </w:pPr>
          </w:p>
        </w:tc>
        <w:tc>
          <w:tcPr>
            <w:tcW w:w="992" w:type="dxa"/>
            <w:vMerge/>
            <w:vAlign w:val="center"/>
            <w:hideMark/>
          </w:tcPr>
          <w:p w14:paraId="73FCD112" w14:textId="77777777" w:rsidR="00B66794" w:rsidRPr="001B4CA2" w:rsidRDefault="00B66794" w:rsidP="00C52F2B">
            <w:pPr>
              <w:rPr>
                <w:rFonts w:eastAsia="Times New Roman"/>
                <w:b/>
                <w:bCs/>
                <w:color w:val="000000"/>
                <w:sz w:val="18"/>
                <w:szCs w:val="18"/>
                <w:lang w:eastAsia="hr-HR"/>
              </w:rPr>
            </w:pPr>
          </w:p>
        </w:tc>
        <w:tc>
          <w:tcPr>
            <w:tcW w:w="851" w:type="dxa"/>
            <w:vMerge/>
            <w:vAlign w:val="center"/>
            <w:hideMark/>
          </w:tcPr>
          <w:p w14:paraId="44ED8644" w14:textId="77777777" w:rsidR="00B66794" w:rsidRPr="001B4CA2" w:rsidRDefault="00B66794" w:rsidP="00C52F2B">
            <w:pPr>
              <w:rPr>
                <w:rFonts w:eastAsia="Times New Roman"/>
                <w:b/>
                <w:bCs/>
                <w:color w:val="000000"/>
                <w:sz w:val="18"/>
                <w:szCs w:val="18"/>
                <w:lang w:eastAsia="hr-HR"/>
              </w:rPr>
            </w:pPr>
          </w:p>
        </w:tc>
        <w:tc>
          <w:tcPr>
            <w:tcW w:w="1134" w:type="dxa"/>
            <w:shd w:val="clear" w:color="000000" w:fill="99CCFF"/>
            <w:vAlign w:val="center"/>
            <w:hideMark/>
          </w:tcPr>
          <w:p w14:paraId="6744B9BD" w14:textId="77777777" w:rsidR="00B66794" w:rsidRPr="000169EF" w:rsidRDefault="00B66794" w:rsidP="00C52F2B">
            <w:pPr>
              <w:jc w:val="center"/>
              <w:rPr>
                <w:rFonts w:eastAsia="Times New Roman"/>
                <w:b/>
                <w:bCs/>
                <w:color w:val="000000"/>
                <w:sz w:val="16"/>
                <w:szCs w:val="16"/>
                <w:lang w:eastAsia="hr-HR"/>
              </w:rPr>
            </w:pPr>
            <w:r w:rsidRPr="000169EF">
              <w:rPr>
                <w:rFonts w:eastAsia="Times New Roman"/>
                <w:b/>
                <w:bCs/>
                <w:color w:val="000000"/>
                <w:sz w:val="16"/>
                <w:szCs w:val="16"/>
                <w:lang w:eastAsia="hr-HR"/>
              </w:rPr>
              <w:t>Neposredna optužnica</w:t>
            </w:r>
          </w:p>
        </w:tc>
        <w:tc>
          <w:tcPr>
            <w:tcW w:w="1047" w:type="dxa"/>
            <w:shd w:val="clear" w:color="000000" w:fill="99CCFF"/>
            <w:vAlign w:val="center"/>
            <w:hideMark/>
          </w:tcPr>
          <w:p w14:paraId="52967C19" w14:textId="77777777" w:rsidR="00B66794" w:rsidRPr="000169EF" w:rsidRDefault="00B66794" w:rsidP="00C52F2B">
            <w:pPr>
              <w:jc w:val="center"/>
              <w:rPr>
                <w:rFonts w:eastAsia="Times New Roman"/>
                <w:b/>
                <w:bCs/>
                <w:color w:val="000000"/>
                <w:sz w:val="16"/>
                <w:szCs w:val="16"/>
                <w:lang w:eastAsia="hr-HR"/>
              </w:rPr>
            </w:pPr>
            <w:r w:rsidRPr="000169EF">
              <w:rPr>
                <w:rFonts w:eastAsia="Times New Roman"/>
                <w:b/>
                <w:bCs/>
                <w:color w:val="000000"/>
                <w:sz w:val="16"/>
                <w:szCs w:val="16"/>
                <w:lang w:eastAsia="hr-HR"/>
              </w:rPr>
              <w:t>Optužnica s kaznenim nalogom</w:t>
            </w:r>
          </w:p>
        </w:tc>
        <w:tc>
          <w:tcPr>
            <w:tcW w:w="1093" w:type="dxa"/>
            <w:shd w:val="clear" w:color="000000" w:fill="99CCFF"/>
            <w:vAlign w:val="center"/>
            <w:hideMark/>
          </w:tcPr>
          <w:p w14:paraId="7223AF42" w14:textId="77777777" w:rsidR="00B66794" w:rsidRPr="000169EF" w:rsidRDefault="00B66794" w:rsidP="00C52F2B">
            <w:pPr>
              <w:jc w:val="center"/>
              <w:rPr>
                <w:rFonts w:eastAsia="Times New Roman"/>
                <w:b/>
                <w:bCs/>
                <w:color w:val="000000"/>
                <w:sz w:val="16"/>
                <w:szCs w:val="16"/>
                <w:lang w:eastAsia="hr-HR"/>
              </w:rPr>
            </w:pPr>
            <w:r w:rsidRPr="000169EF">
              <w:rPr>
                <w:rFonts w:eastAsia="Times New Roman"/>
                <w:b/>
                <w:bCs/>
                <w:color w:val="000000"/>
                <w:sz w:val="16"/>
                <w:szCs w:val="16"/>
                <w:lang w:eastAsia="hr-HR"/>
              </w:rPr>
              <w:t>Optužnica nakon istrage</w:t>
            </w:r>
          </w:p>
        </w:tc>
        <w:tc>
          <w:tcPr>
            <w:tcW w:w="978" w:type="dxa"/>
            <w:shd w:val="clear" w:color="000000" w:fill="99CCFF"/>
            <w:vAlign w:val="center"/>
            <w:hideMark/>
          </w:tcPr>
          <w:p w14:paraId="5E07718F" w14:textId="77777777" w:rsidR="00B66794" w:rsidRPr="000169EF" w:rsidRDefault="00B66794" w:rsidP="00C52F2B">
            <w:pPr>
              <w:jc w:val="center"/>
              <w:rPr>
                <w:rFonts w:eastAsia="Times New Roman"/>
                <w:b/>
                <w:bCs/>
                <w:color w:val="000000"/>
                <w:sz w:val="16"/>
                <w:szCs w:val="16"/>
                <w:lang w:eastAsia="hr-HR"/>
              </w:rPr>
            </w:pPr>
            <w:r w:rsidRPr="000169EF">
              <w:rPr>
                <w:rFonts w:eastAsia="Times New Roman"/>
                <w:b/>
                <w:bCs/>
                <w:color w:val="000000"/>
                <w:sz w:val="16"/>
                <w:szCs w:val="16"/>
                <w:lang w:eastAsia="hr-HR"/>
              </w:rPr>
              <w:t>Ukupno optužnica</w:t>
            </w:r>
          </w:p>
        </w:tc>
        <w:tc>
          <w:tcPr>
            <w:tcW w:w="993" w:type="dxa"/>
            <w:vMerge/>
            <w:vAlign w:val="center"/>
            <w:hideMark/>
          </w:tcPr>
          <w:p w14:paraId="5E9C5B15" w14:textId="77777777" w:rsidR="00B66794" w:rsidRPr="001B4CA2" w:rsidRDefault="00B66794" w:rsidP="00C52F2B">
            <w:pPr>
              <w:rPr>
                <w:rFonts w:eastAsia="Times New Roman"/>
                <w:b/>
                <w:bCs/>
                <w:color w:val="000000"/>
                <w:sz w:val="18"/>
                <w:szCs w:val="18"/>
                <w:lang w:eastAsia="hr-HR"/>
              </w:rPr>
            </w:pPr>
          </w:p>
        </w:tc>
      </w:tr>
      <w:tr w:rsidR="00636697" w:rsidRPr="001B4CA2" w14:paraId="70D9F890" w14:textId="77777777" w:rsidTr="001D4F0F">
        <w:trPr>
          <w:trHeight w:val="380"/>
        </w:trPr>
        <w:tc>
          <w:tcPr>
            <w:tcW w:w="851" w:type="dxa"/>
            <w:shd w:val="clear" w:color="auto" w:fill="auto"/>
            <w:vAlign w:val="center"/>
            <w:hideMark/>
          </w:tcPr>
          <w:p w14:paraId="6CFD004A" w14:textId="66F7D17E"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201</w:t>
            </w:r>
            <w:r w:rsidR="00636697" w:rsidRPr="000169EF">
              <w:rPr>
                <w:rFonts w:eastAsia="Times New Roman"/>
                <w:color w:val="000000"/>
                <w:sz w:val="16"/>
                <w:szCs w:val="16"/>
                <w:lang w:eastAsia="hr-HR"/>
              </w:rPr>
              <w:t>8</w:t>
            </w:r>
            <w:r w:rsidRPr="000169EF">
              <w:rPr>
                <w:rFonts w:eastAsia="Times New Roman"/>
                <w:color w:val="000000"/>
                <w:sz w:val="16"/>
                <w:szCs w:val="16"/>
                <w:lang w:eastAsia="hr-HR"/>
              </w:rPr>
              <w:t>.</w:t>
            </w:r>
          </w:p>
        </w:tc>
        <w:tc>
          <w:tcPr>
            <w:tcW w:w="850" w:type="dxa"/>
            <w:shd w:val="clear" w:color="auto" w:fill="auto"/>
            <w:vAlign w:val="center"/>
            <w:hideMark/>
          </w:tcPr>
          <w:p w14:paraId="41010494" w14:textId="257044D4" w:rsidR="00B66794" w:rsidRPr="000169EF" w:rsidRDefault="00B66794" w:rsidP="00D1727D">
            <w:pPr>
              <w:jc w:val="center"/>
              <w:rPr>
                <w:rFonts w:eastAsia="Times New Roman"/>
                <w:color w:val="000000"/>
                <w:sz w:val="16"/>
                <w:szCs w:val="16"/>
                <w:lang w:eastAsia="hr-HR"/>
              </w:rPr>
            </w:pPr>
          </w:p>
        </w:tc>
        <w:tc>
          <w:tcPr>
            <w:tcW w:w="992" w:type="dxa"/>
            <w:shd w:val="clear" w:color="auto" w:fill="auto"/>
            <w:vAlign w:val="center"/>
            <w:hideMark/>
          </w:tcPr>
          <w:p w14:paraId="5F19789B" w14:textId="5F0D45BE" w:rsidR="00B66794" w:rsidRPr="000169EF" w:rsidRDefault="00B66794" w:rsidP="00D1727D">
            <w:pPr>
              <w:jc w:val="center"/>
              <w:rPr>
                <w:rFonts w:eastAsia="Times New Roman"/>
                <w:color w:val="000000"/>
                <w:sz w:val="16"/>
                <w:szCs w:val="16"/>
                <w:lang w:eastAsia="hr-HR"/>
              </w:rPr>
            </w:pPr>
          </w:p>
        </w:tc>
        <w:tc>
          <w:tcPr>
            <w:tcW w:w="851" w:type="dxa"/>
            <w:shd w:val="clear" w:color="auto" w:fill="auto"/>
            <w:vAlign w:val="center"/>
            <w:hideMark/>
          </w:tcPr>
          <w:p w14:paraId="6F34C027" w14:textId="1B3963DD" w:rsidR="00B66794" w:rsidRPr="000169EF" w:rsidRDefault="00B66794" w:rsidP="00D1727D">
            <w:pPr>
              <w:jc w:val="center"/>
              <w:rPr>
                <w:rFonts w:eastAsia="Times New Roman"/>
                <w:color w:val="000000"/>
                <w:sz w:val="16"/>
                <w:szCs w:val="16"/>
                <w:lang w:eastAsia="hr-HR"/>
              </w:rPr>
            </w:pPr>
          </w:p>
        </w:tc>
        <w:tc>
          <w:tcPr>
            <w:tcW w:w="1134" w:type="dxa"/>
            <w:shd w:val="clear" w:color="auto" w:fill="auto"/>
            <w:vAlign w:val="center"/>
            <w:hideMark/>
          </w:tcPr>
          <w:p w14:paraId="55BC7CF2" w14:textId="32492DC7"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6.840</w:t>
            </w:r>
          </w:p>
        </w:tc>
        <w:tc>
          <w:tcPr>
            <w:tcW w:w="1047" w:type="dxa"/>
            <w:shd w:val="clear" w:color="auto" w:fill="auto"/>
            <w:vAlign w:val="center"/>
            <w:hideMark/>
          </w:tcPr>
          <w:p w14:paraId="3B123598" w14:textId="7E005B1D"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6.308</w:t>
            </w:r>
          </w:p>
        </w:tc>
        <w:tc>
          <w:tcPr>
            <w:tcW w:w="1093" w:type="dxa"/>
            <w:shd w:val="clear" w:color="auto" w:fill="auto"/>
            <w:vAlign w:val="center"/>
            <w:hideMark/>
          </w:tcPr>
          <w:p w14:paraId="449ECE5A" w14:textId="1D65E817"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2.954</w:t>
            </w:r>
          </w:p>
        </w:tc>
        <w:tc>
          <w:tcPr>
            <w:tcW w:w="978" w:type="dxa"/>
            <w:shd w:val="clear" w:color="auto" w:fill="auto"/>
            <w:vAlign w:val="center"/>
            <w:hideMark/>
          </w:tcPr>
          <w:p w14:paraId="1B5F2D23" w14:textId="2B66D912"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16.</w:t>
            </w:r>
            <w:r w:rsidR="00636697" w:rsidRPr="000169EF">
              <w:rPr>
                <w:rFonts w:eastAsia="Times New Roman"/>
                <w:color w:val="000000"/>
                <w:sz w:val="16"/>
                <w:szCs w:val="16"/>
                <w:lang w:eastAsia="hr-HR"/>
              </w:rPr>
              <w:t>102</w:t>
            </w:r>
          </w:p>
        </w:tc>
        <w:tc>
          <w:tcPr>
            <w:tcW w:w="993" w:type="dxa"/>
            <w:shd w:val="clear" w:color="auto" w:fill="auto"/>
            <w:vAlign w:val="center"/>
            <w:hideMark/>
          </w:tcPr>
          <w:p w14:paraId="2D535469" w14:textId="03B8E6F6" w:rsidR="00B66794" w:rsidRPr="000169EF" w:rsidRDefault="00B66794" w:rsidP="00D1727D">
            <w:pPr>
              <w:jc w:val="center"/>
              <w:rPr>
                <w:rFonts w:eastAsia="Times New Roman"/>
                <w:color w:val="000000"/>
                <w:sz w:val="16"/>
                <w:szCs w:val="16"/>
                <w:lang w:eastAsia="hr-HR"/>
              </w:rPr>
            </w:pPr>
          </w:p>
        </w:tc>
      </w:tr>
      <w:tr w:rsidR="00636697" w:rsidRPr="001B4CA2" w14:paraId="3DFCC361" w14:textId="77777777" w:rsidTr="001D4F0F">
        <w:trPr>
          <w:trHeight w:val="380"/>
        </w:trPr>
        <w:tc>
          <w:tcPr>
            <w:tcW w:w="851" w:type="dxa"/>
            <w:shd w:val="clear" w:color="auto" w:fill="auto"/>
            <w:vAlign w:val="center"/>
            <w:hideMark/>
          </w:tcPr>
          <w:p w14:paraId="7521A3E5" w14:textId="6997F1D5"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201</w:t>
            </w:r>
            <w:r w:rsidR="00636697" w:rsidRPr="000169EF">
              <w:rPr>
                <w:rFonts w:eastAsia="Times New Roman"/>
                <w:color w:val="000000"/>
                <w:sz w:val="16"/>
                <w:szCs w:val="16"/>
                <w:lang w:eastAsia="hr-HR"/>
              </w:rPr>
              <w:t>9</w:t>
            </w:r>
            <w:r w:rsidRPr="000169EF">
              <w:rPr>
                <w:rFonts w:eastAsia="Times New Roman"/>
                <w:color w:val="000000"/>
                <w:sz w:val="16"/>
                <w:szCs w:val="16"/>
                <w:lang w:eastAsia="hr-HR"/>
              </w:rPr>
              <w:t>.</w:t>
            </w:r>
          </w:p>
        </w:tc>
        <w:tc>
          <w:tcPr>
            <w:tcW w:w="850" w:type="dxa"/>
            <w:shd w:val="clear" w:color="auto" w:fill="auto"/>
            <w:vAlign w:val="center"/>
            <w:hideMark/>
          </w:tcPr>
          <w:p w14:paraId="26998480" w14:textId="67811E64" w:rsidR="00B66794" w:rsidRPr="000169EF" w:rsidRDefault="00B66794" w:rsidP="00D1727D">
            <w:pPr>
              <w:jc w:val="center"/>
              <w:rPr>
                <w:rFonts w:eastAsia="Times New Roman"/>
                <w:color w:val="000000"/>
                <w:sz w:val="16"/>
                <w:szCs w:val="16"/>
                <w:lang w:eastAsia="hr-HR"/>
              </w:rPr>
            </w:pPr>
          </w:p>
        </w:tc>
        <w:tc>
          <w:tcPr>
            <w:tcW w:w="992" w:type="dxa"/>
            <w:shd w:val="clear" w:color="auto" w:fill="auto"/>
            <w:vAlign w:val="center"/>
            <w:hideMark/>
          </w:tcPr>
          <w:p w14:paraId="6A7CE329" w14:textId="5F77D6EA" w:rsidR="00B66794" w:rsidRPr="000169EF" w:rsidRDefault="00B66794" w:rsidP="00D1727D">
            <w:pPr>
              <w:jc w:val="center"/>
              <w:rPr>
                <w:rFonts w:eastAsia="Times New Roman"/>
                <w:color w:val="000000"/>
                <w:sz w:val="16"/>
                <w:szCs w:val="16"/>
                <w:lang w:eastAsia="hr-HR"/>
              </w:rPr>
            </w:pPr>
          </w:p>
        </w:tc>
        <w:tc>
          <w:tcPr>
            <w:tcW w:w="851" w:type="dxa"/>
            <w:shd w:val="clear" w:color="auto" w:fill="auto"/>
            <w:vAlign w:val="center"/>
            <w:hideMark/>
          </w:tcPr>
          <w:p w14:paraId="542392BB" w14:textId="137CC120" w:rsidR="00B66794" w:rsidRPr="000169EF" w:rsidRDefault="00B66794" w:rsidP="00D1727D">
            <w:pPr>
              <w:jc w:val="center"/>
              <w:rPr>
                <w:rFonts w:eastAsia="Times New Roman"/>
                <w:color w:val="000000"/>
                <w:sz w:val="16"/>
                <w:szCs w:val="16"/>
                <w:lang w:eastAsia="hr-HR"/>
              </w:rPr>
            </w:pPr>
          </w:p>
        </w:tc>
        <w:tc>
          <w:tcPr>
            <w:tcW w:w="1134" w:type="dxa"/>
            <w:shd w:val="clear" w:color="auto" w:fill="auto"/>
            <w:vAlign w:val="center"/>
            <w:hideMark/>
          </w:tcPr>
          <w:p w14:paraId="73C0ECEB" w14:textId="128E939E"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7.292</w:t>
            </w:r>
          </w:p>
        </w:tc>
        <w:tc>
          <w:tcPr>
            <w:tcW w:w="1047" w:type="dxa"/>
            <w:shd w:val="clear" w:color="auto" w:fill="auto"/>
            <w:vAlign w:val="center"/>
            <w:hideMark/>
          </w:tcPr>
          <w:p w14:paraId="4B4DDD2B" w14:textId="7B490332"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6.</w:t>
            </w:r>
            <w:r w:rsidR="00636697" w:rsidRPr="000169EF">
              <w:rPr>
                <w:rFonts w:eastAsia="Times New Roman"/>
                <w:color w:val="000000"/>
                <w:sz w:val="16"/>
                <w:szCs w:val="16"/>
                <w:lang w:eastAsia="hr-HR"/>
              </w:rPr>
              <w:t>185</w:t>
            </w:r>
          </w:p>
        </w:tc>
        <w:tc>
          <w:tcPr>
            <w:tcW w:w="1093" w:type="dxa"/>
            <w:shd w:val="clear" w:color="auto" w:fill="auto"/>
            <w:vAlign w:val="center"/>
            <w:hideMark/>
          </w:tcPr>
          <w:p w14:paraId="052AA6BF" w14:textId="29780EF7"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3.412</w:t>
            </w:r>
          </w:p>
        </w:tc>
        <w:tc>
          <w:tcPr>
            <w:tcW w:w="978" w:type="dxa"/>
            <w:shd w:val="clear" w:color="auto" w:fill="auto"/>
            <w:vAlign w:val="center"/>
            <w:hideMark/>
          </w:tcPr>
          <w:p w14:paraId="504BA4FC" w14:textId="053387A9"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16.</w:t>
            </w:r>
            <w:r w:rsidR="00636697" w:rsidRPr="000169EF">
              <w:rPr>
                <w:rFonts w:eastAsia="Times New Roman"/>
                <w:color w:val="000000"/>
                <w:sz w:val="16"/>
                <w:szCs w:val="16"/>
                <w:lang w:eastAsia="hr-HR"/>
              </w:rPr>
              <w:t>889</w:t>
            </w:r>
          </w:p>
        </w:tc>
        <w:tc>
          <w:tcPr>
            <w:tcW w:w="993" w:type="dxa"/>
            <w:shd w:val="clear" w:color="auto" w:fill="auto"/>
            <w:vAlign w:val="center"/>
            <w:hideMark/>
          </w:tcPr>
          <w:p w14:paraId="010528D9" w14:textId="3409B49A" w:rsidR="00B66794" w:rsidRPr="000169EF" w:rsidRDefault="00B66794" w:rsidP="00D1727D">
            <w:pPr>
              <w:jc w:val="center"/>
              <w:rPr>
                <w:rFonts w:eastAsia="Times New Roman"/>
                <w:color w:val="000000"/>
                <w:sz w:val="16"/>
                <w:szCs w:val="16"/>
                <w:lang w:eastAsia="hr-HR"/>
              </w:rPr>
            </w:pPr>
          </w:p>
        </w:tc>
      </w:tr>
      <w:tr w:rsidR="00636697" w:rsidRPr="001B4CA2" w14:paraId="327FC08F" w14:textId="77777777" w:rsidTr="001D4F0F">
        <w:trPr>
          <w:trHeight w:val="380"/>
        </w:trPr>
        <w:tc>
          <w:tcPr>
            <w:tcW w:w="851" w:type="dxa"/>
            <w:shd w:val="clear" w:color="auto" w:fill="auto"/>
            <w:vAlign w:val="center"/>
            <w:hideMark/>
          </w:tcPr>
          <w:p w14:paraId="24E04312" w14:textId="2C2D6898"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20</w:t>
            </w:r>
            <w:r w:rsidR="00636697" w:rsidRPr="000169EF">
              <w:rPr>
                <w:rFonts w:eastAsia="Times New Roman"/>
                <w:color w:val="000000"/>
                <w:sz w:val="16"/>
                <w:szCs w:val="16"/>
                <w:lang w:eastAsia="hr-HR"/>
              </w:rPr>
              <w:t>20</w:t>
            </w:r>
            <w:r w:rsidRPr="000169EF">
              <w:rPr>
                <w:rFonts w:eastAsia="Times New Roman"/>
                <w:color w:val="000000"/>
                <w:sz w:val="16"/>
                <w:szCs w:val="16"/>
                <w:lang w:eastAsia="hr-HR"/>
              </w:rPr>
              <w:t>.</w:t>
            </w:r>
          </w:p>
        </w:tc>
        <w:tc>
          <w:tcPr>
            <w:tcW w:w="850" w:type="dxa"/>
            <w:shd w:val="clear" w:color="auto" w:fill="auto"/>
            <w:vAlign w:val="center"/>
            <w:hideMark/>
          </w:tcPr>
          <w:p w14:paraId="4A79DEE2" w14:textId="323E943D"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30.002</w:t>
            </w:r>
          </w:p>
        </w:tc>
        <w:tc>
          <w:tcPr>
            <w:tcW w:w="992" w:type="dxa"/>
            <w:shd w:val="clear" w:color="auto" w:fill="auto"/>
            <w:vAlign w:val="center"/>
            <w:hideMark/>
          </w:tcPr>
          <w:p w14:paraId="406859AC" w14:textId="58B401DA"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4.924</w:t>
            </w:r>
          </w:p>
        </w:tc>
        <w:tc>
          <w:tcPr>
            <w:tcW w:w="851" w:type="dxa"/>
            <w:shd w:val="clear" w:color="auto" w:fill="auto"/>
            <w:vAlign w:val="center"/>
            <w:hideMark/>
          </w:tcPr>
          <w:p w14:paraId="7E44DF97" w14:textId="743A0A69" w:rsidR="00B66794" w:rsidRPr="000169EF" w:rsidRDefault="00B66794" w:rsidP="00D1727D">
            <w:pPr>
              <w:jc w:val="center"/>
              <w:rPr>
                <w:rFonts w:eastAsia="Times New Roman"/>
                <w:color w:val="000000"/>
                <w:sz w:val="16"/>
                <w:szCs w:val="16"/>
                <w:lang w:eastAsia="hr-HR"/>
              </w:rPr>
            </w:pPr>
          </w:p>
        </w:tc>
        <w:tc>
          <w:tcPr>
            <w:tcW w:w="1134" w:type="dxa"/>
            <w:shd w:val="clear" w:color="auto" w:fill="auto"/>
            <w:vAlign w:val="center"/>
            <w:hideMark/>
          </w:tcPr>
          <w:p w14:paraId="3342A854" w14:textId="36876705"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7.184</w:t>
            </w:r>
          </w:p>
        </w:tc>
        <w:tc>
          <w:tcPr>
            <w:tcW w:w="1047" w:type="dxa"/>
            <w:shd w:val="clear" w:color="auto" w:fill="auto"/>
            <w:vAlign w:val="center"/>
            <w:hideMark/>
          </w:tcPr>
          <w:p w14:paraId="1F407DC0" w14:textId="60D76317"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6.</w:t>
            </w:r>
            <w:r w:rsidR="00636697" w:rsidRPr="000169EF">
              <w:rPr>
                <w:rFonts w:eastAsia="Times New Roman"/>
                <w:color w:val="000000"/>
                <w:sz w:val="16"/>
                <w:szCs w:val="16"/>
                <w:lang w:eastAsia="hr-HR"/>
              </w:rPr>
              <w:t>784</w:t>
            </w:r>
          </w:p>
        </w:tc>
        <w:tc>
          <w:tcPr>
            <w:tcW w:w="1093" w:type="dxa"/>
            <w:shd w:val="clear" w:color="auto" w:fill="auto"/>
            <w:vAlign w:val="center"/>
            <w:hideMark/>
          </w:tcPr>
          <w:p w14:paraId="0825036C" w14:textId="7851260D"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4.196</w:t>
            </w:r>
          </w:p>
        </w:tc>
        <w:tc>
          <w:tcPr>
            <w:tcW w:w="978" w:type="dxa"/>
            <w:shd w:val="clear" w:color="auto" w:fill="auto"/>
            <w:vAlign w:val="center"/>
            <w:hideMark/>
          </w:tcPr>
          <w:p w14:paraId="0F010374" w14:textId="11B893ED"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1</w:t>
            </w:r>
            <w:r w:rsidR="00733976" w:rsidRPr="000169EF">
              <w:rPr>
                <w:rFonts w:eastAsia="Times New Roman"/>
                <w:color w:val="000000"/>
                <w:sz w:val="16"/>
                <w:szCs w:val="16"/>
                <w:lang w:eastAsia="hr-HR"/>
              </w:rPr>
              <w:t>8</w:t>
            </w:r>
            <w:r w:rsidRPr="000169EF">
              <w:rPr>
                <w:rFonts w:eastAsia="Times New Roman"/>
                <w:color w:val="000000"/>
                <w:sz w:val="16"/>
                <w:szCs w:val="16"/>
                <w:lang w:eastAsia="hr-HR"/>
              </w:rPr>
              <w:t>.</w:t>
            </w:r>
            <w:r w:rsidR="00636697" w:rsidRPr="000169EF">
              <w:rPr>
                <w:rFonts w:eastAsia="Times New Roman"/>
                <w:color w:val="000000"/>
                <w:sz w:val="16"/>
                <w:szCs w:val="16"/>
                <w:lang w:eastAsia="hr-HR"/>
              </w:rPr>
              <w:t>164</w:t>
            </w:r>
          </w:p>
        </w:tc>
        <w:tc>
          <w:tcPr>
            <w:tcW w:w="993" w:type="dxa"/>
            <w:shd w:val="clear" w:color="auto" w:fill="auto"/>
            <w:vAlign w:val="center"/>
            <w:hideMark/>
          </w:tcPr>
          <w:p w14:paraId="34EE3BFA" w14:textId="0FF5F7D5"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48.166</w:t>
            </w:r>
          </w:p>
        </w:tc>
      </w:tr>
      <w:tr w:rsidR="00636697" w:rsidRPr="001B4CA2" w14:paraId="2FCBC780" w14:textId="77777777" w:rsidTr="001D4F0F">
        <w:trPr>
          <w:trHeight w:val="380"/>
        </w:trPr>
        <w:tc>
          <w:tcPr>
            <w:tcW w:w="851" w:type="dxa"/>
            <w:shd w:val="clear" w:color="auto" w:fill="auto"/>
            <w:vAlign w:val="center"/>
            <w:hideMark/>
          </w:tcPr>
          <w:p w14:paraId="6A0B0683" w14:textId="0D2D2372"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202</w:t>
            </w:r>
            <w:r w:rsidR="00636697" w:rsidRPr="000169EF">
              <w:rPr>
                <w:rFonts w:eastAsia="Times New Roman"/>
                <w:color w:val="000000"/>
                <w:sz w:val="16"/>
                <w:szCs w:val="16"/>
                <w:lang w:eastAsia="hr-HR"/>
              </w:rPr>
              <w:t>1</w:t>
            </w:r>
            <w:r w:rsidRPr="000169EF">
              <w:rPr>
                <w:rFonts w:eastAsia="Times New Roman"/>
                <w:color w:val="000000"/>
                <w:sz w:val="16"/>
                <w:szCs w:val="16"/>
                <w:lang w:eastAsia="hr-HR"/>
              </w:rPr>
              <w:t>.</w:t>
            </w:r>
          </w:p>
        </w:tc>
        <w:tc>
          <w:tcPr>
            <w:tcW w:w="850" w:type="dxa"/>
            <w:shd w:val="clear" w:color="auto" w:fill="auto"/>
            <w:vAlign w:val="center"/>
            <w:hideMark/>
          </w:tcPr>
          <w:p w14:paraId="4405C441" w14:textId="6E356D0F"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3</w:t>
            </w:r>
            <w:r w:rsidR="00636697" w:rsidRPr="000169EF">
              <w:rPr>
                <w:rFonts w:eastAsia="Times New Roman"/>
                <w:color w:val="000000"/>
                <w:sz w:val="16"/>
                <w:szCs w:val="16"/>
                <w:lang w:eastAsia="hr-HR"/>
              </w:rPr>
              <w:t>6</w:t>
            </w:r>
            <w:r w:rsidRPr="000169EF">
              <w:rPr>
                <w:rFonts w:eastAsia="Times New Roman"/>
                <w:color w:val="000000"/>
                <w:sz w:val="16"/>
                <w:szCs w:val="16"/>
                <w:lang w:eastAsia="hr-HR"/>
              </w:rPr>
              <w:t>.</w:t>
            </w:r>
            <w:r w:rsidR="00636697" w:rsidRPr="000169EF">
              <w:rPr>
                <w:rFonts w:eastAsia="Times New Roman"/>
                <w:color w:val="000000"/>
                <w:sz w:val="16"/>
                <w:szCs w:val="16"/>
                <w:lang w:eastAsia="hr-HR"/>
              </w:rPr>
              <w:t>329</w:t>
            </w:r>
          </w:p>
        </w:tc>
        <w:tc>
          <w:tcPr>
            <w:tcW w:w="992" w:type="dxa"/>
            <w:shd w:val="clear" w:color="auto" w:fill="auto"/>
            <w:vAlign w:val="center"/>
            <w:hideMark/>
          </w:tcPr>
          <w:p w14:paraId="2C46C456" w14:textId="696B2A2E"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8.375</w:t>
            </w:r>
          </w:p>
        </w:tc>
        <w:tc>
          <w:tcPr>
            <w:tcW w:w="851" w:type="dxa"/>
            <w:shd w:val="clear" w:color="auto" w:fill="auto"/>
            <w:vAlign w:val="center"/>
            <w:hideMark/>
          </w:tcPr>
          <w:p w14:paraId="31E6DF19" w14:textId="3F1E5693"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10.157</w:t>
            </w:r>
          </w:p>
        </w:tc>
        <w:tc>
          <w:tcPr>
            <w:tcW w:w="1134" w:type="dxa"/>
            <w:shd w:val="clear" w:color="auto" w:fill="auto"/>
            <w:vAlign w:val="center"/>
            <w:hideMark/>
          </w:tcPr>
          <w:p w14:paraId="0109A358" w14:textId="558AC2A4"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7.</w:t>
            </w:r>
            <w:r w:rsidR="00636697" w:rsidRPr="000169EF">
              <w:rPr>
                <w:rFonts w:eastAsia="Times New Roman"/>
                <w:color w:val="000000"/>
                <w:sz w:val="16"/>
                <w:szCs w:val="16"/>
                <w:lang w:eastAsia="hr-HR"/>
              </w:rPr>
              <w:t>876</w:t>
            </w:r>
          </w:p>
        </w:tc>
        <w:tc>
          <w:tcPr>
            <w:tcW w:w="1047" w:type="dxa"/>
            <w:shd w:val="clear" w:color="auto" w:fill="auto"/>
            <w:vAlign w:val="center"/>
            <w:hideMark/>
          </w:tcPr>
          <w:p w14:paraId="69CC119A" w14:textId="173A6F21"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7.053</w:t>
            </w:r>
          </w:p>
        </w:tc>
        <w:tc>
          <w:tcPr>
            <w:tcW w:w="1093" w:type="dxa"/>
            <w:shd w:val="clear" w:color="auto" w:fill="auto"/>
            <w:vAlign w:val="center"/>
            <w:hideMark/>
          </w:tcPr>
          <w:p w14:paraId="54CC2859" w14:textId="6A0E966D"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3.762</w:t>
            </w:r>
          </w:p>
        </w:tc>
        <w:tc>
          <w:tcPr>
            <w:tcW w:w="978" w:type="dxa"/>
            <w:shd w:val="clear" w:color="auto" w:fill="auto"/>
            <w:vAlign w:val="center"/>
            <w:hideMark/>
          </w:tcPr>
          <w:p w14:paraId="3734B6C0" w14:textId="5CC52A68"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18.</w:t>
            </w:r>
            <w:r w:rsidR="00636697" w:rsidRPr="000169EF">
              <w:rPr>
                <w:rFonts w:eastAsia="Times New Roman"/>
                <w:color w:val="000000"/>
                <w:sz w:val="16"/>
                <w:szCs w:val="16"/>
                <w:lang w:eastAsia="hr-HR"/>
              </w:rPr>
              <w:t>691</w:t>
            </w:r>
          </w:p>
        </w:tc>
        <w:tc>
          <w:tcPr>
            <w:tcW w:w="993" w:type="dxa"/>
            <w:shd w:val="clear" w:color="auto" w:fill="auto"/>
            <w:vAlign w:val="center"/>
            <w:hideMark/>
          </w:tcPr>
          <w:p w14:paraId="7C53A41C" w14:textId="53E51A1E"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65.177</w:t>
            </w:r>
          </w:p>
        </w:tc>
      </w:tr>
      <w:tr w:rsidR="00636697" w:rsidRPr="001B4CA2" w14:paraId="0E0B2D8E" w14:textId="77777777" w:rsidTr="001D4F0F">
        <w:trPr>
          <w:trHeight w:val="380"/>
        </w:trPr>
        <w:tc>
          <w:tcPr>
            <w:tcW w:w="851" w:type="dxa"/>
            <w:shd w:val="clear" w:color="auto" w:fill="auto"/>
            <w:vAlign w:val="center"/>
            <w:hideMark/>
          </w:tcPr>
          <w:p w14:paraId="37B1409C" w14:textId="2945BC03"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202</w:t>
            </w:r>
            <w:r w:rsidR="00636697" w:rsidRPr="000169EF">
              <w:rPr>
                <w:rFonts w:eastAsia="Times New Roman"/>
                <w:color w:val="000000"/>
                <w:sz w:val="16"/>
                <w:szCs w:val="16"/>
                <w:lang w:eastAsia="hr-HR"/>
              </w:rPr>
              <w:t>2</w:t>
            </w:r>
            <w:r w:rsidRPr="000169EF">
              <w:rPr>
                <w:rFonts w:eastAsia="Times New Roman"/>
                <w:color w:val="000000"/>
                <w:sz w:val="16"/>
                <w:szCs w:val="16"/>
                <w:lang w:eastAsia="hr-HR"/>
              </w:rPr>
              <w:t>.</w:t>
            </w:r>
          </w:p>
        </w:tc>
        <w:tc>
          <w:tcPr>
            <w:tcW w:w="850" w:type="dxa"/>
            <w:shd w:val="clear" w:color="auto" w:fill="auto"/>
            <w:vAlign w:val="center"/>
            <w:hideMark/>
          </w:tcPr>
          <w:p w14:paraId="2608629C" w14:textId="737D9587"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44.124</w:t>
            </w:r>
          </w:p>
        </w:tc>
        <w:tc>
          <w:tcPr>
            <w:tcW w:w="992" w:type="dxa"/>
            <w:shd w:val="clear" w:color="auto" w:fill="auto"/>
            <w:vAlign w:val="center"/>
            <w:hideMark/>
          </w:tcPr>
          <w:p w14:paraId="2ABBCE85" w14:textId="022C8F0E"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5.843</w:t>
            </w:r>
          </w:p>
        </w:tc>
        <w:tc>
          <w:tcPr>
            <w:tcW w:w="851" w:type="dxa"/>
            <w:shd w:val="clear" w:color="auto" w:fill="auto"/>
            <w:vAlign w:val="center"/>
            <w:hideMark/>
          </w:tcPr>
          <w:p w14:paraId="01EE819D" w14:textId="10D377E2"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1.793</w:t>
            </w:r>
          </w:p>
        </w:tc>
        <w:tc>
          <w:tcPr>
            <w:tcW w:w="1134" w:type="dxa"/>
            <w:shd w:val="clear" w:color="auto" w:fill="auto"/>
            <w:vAlign w:val="center"/>
            <w:hideMark/>
          </w:tcPr>
          <w:p w14:paraId="35EF077A" w14:textId="078B6693" w:rsidR="00B66794" w:rsidRPr="000169EF" w:rsidRDefault="00B66794" w:rsidP="00D1727D">
            <w:pPr>
              <w:jc w:val="center"/>
              <w:rPr>
                <w:rFonts w:eastAsia="Times New Roman"/>
                <w:color w:val="000000"/>
                <w:sz w:val="16"/>
                <w:szCs w:val="16"/>
                <w:lang w:eastAsia="hr-HR"/>
              </w:rPr>
            </w:pPr>
            <w:r w:rsidRPr="000169EF">
              <w:rPr>
                <w:rFonts w:eastAsia="Times New Roman"/>
                <w:color w:val="000000"/>
                <w:sz w:val="16"/>
                <w:szCs w:val="16"/>
                <w:lang w:eastAsia="hr-HR"/>
              </w:rPr>
              <w:t>7.</w:t>
            </w:r>
            <w:r w:rsidR="00733976" w:rsidRPr="000169EF">
              <w:rPr>
                <w:rFonts w:eastAsia="Times New Roman"/>
                <w:color w:val="000000"/>
                <w:sz w:val="16"/>
                <w:szCs w:val="16"/>
                <w:lang w:eastAsia="hr-HR"/>
              </w:rPr>
              <w:t>541</w:t>
            </w:r>
          </w:p>
        </w:tc>
        <w:tc>
          <w:tcPr>
            <w:tcW w:w="1047" w:type="dxa"/>
            <w:shd w:val="clear" w:color="auto" w:fill="auto"/>
            <w:vAlign w:val="center"/>
            <w:hideMark/>
          </w:tcPr>
          <w:p w14:paraId="2DFEA9F1" w14:textId="5FCB26F5"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6</w:t>
            </w:r>
            <w:r w:rsidR="00B66794" w:rsidRPr="000169EF">
              <w:rPr>
                <w:rFonts w:eastAsia="Times New Roman"/>
                <w:color w:val="000000"/>
                <w:sz w:val="16"/>
                <w:szCs w:val="16"/>
                <w:lang w:eastAsia="hr-HR"/>
              </w:rPr>
              <w:t>.</w:t>
            </w:r>
            <w:r w:rsidRPr="000169EF">
              <w:rPr>
                <w:rFonts w:eastAsia="Times New Roman"/>
                <w:color w:val="000000"/>
                <w:sz w:val="16"/>
                <w:szCs w:val="16"/>
                <w:lang w:eastAsia="hr-HR"/>
              </w:rPr>
              <w:t>474</w:t>
            </w:r>
          </w:p>
        </w:tc>
        <w:tc>
          <w:tcPr>
            <w:tcW w:w="1093" w:type="dxa"/>
            <w:shd w:val="clear" w:color="auto" w:fill="auto"/>
            <w:vAlign w:val="center"/>
            <w:hideMark/>
          </w:tcPr>
          <w:p w14:paraId="1DCA4C22" w14:textId="5BE49956"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3.747</w:t>
            </w:r>
          </w:p>
        </w:tc>
        <w:tc>
          <w:tcPr>
            <w:tcW w:w="978" w:type="dxa"/>
            <w:shd w:val="clear" w:color="auto" w:fill="auto"/>
            <w:vAlign w:val="center"/>
            <w:hideMark/>
          </w:tcPr>
          <w:p w14:paraId="74D77610" w14:textId="02D68DC6"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17.762</w:t>
            </w:r>
          </w:p>
        </w:tc>
        <w:tc>
          <w:tcPr>
            <w:tcW w:w="993" w:type="dxa"/>
            <w:shd w:val="clear" w:color="auto" w:fill="auto"/>
            <w:vAlign w:val="center"/>
            <w:hideMark/>
          </w:tcPr>
          <w:p w14:paraId="08D9291F" w14:textId="4AEC4056" w:rsidR="00B66794" w:rsidRPr="000169EF" w:rsidRDefault="00636697" w:rsidP="00D1727D">
            <w:pPr>
              <w:jc w:val="center"/>
              <w:rPr>
                <w:rFonts w:eastAsia="Times New Roman"/>
                <w:color w:val="000000"/>
                <w:sz w:val="16"/>
                <w:szCs w:val="16"/>
                <w:lang w:eastAsia="hr-HR"/>
              </w:rPr>
            </w:pPr>
            <w:r w:rsidRPr="000169EF">
              <w:rPr>
                <w:rFonts w:eastAsia="Times New Roman"/>
                <w:color w:val="000000"/>
                <w:sz w:val="16"/>
                <w:szCs w:val="16"/>
                <w:lang w:eastAsia="hr-HR"/>
              </w:rPr>
              <w:t>63.679</w:t>
            </w:r>
          </w:p>
        </w:tc>
      </w:tr>
    </w:tbl>
    <w:p w14:paraId="294688B4" w14:textId="77777777" w:rsidR="00546D39" w:rsidRPr="001B4CA2" w:rsidRDefault="00546D39" w:rsidP="00546D39"/>
    <w:p w14:paraId="056E3EF2" w14:textId="7EC184DD" w:rsidR="00636697" w:rsidRPr="001B4CA2" w:rsidRDefault="00636697" w:rsidP="00636697">
      <w:pPr>
        <w:pStyle w:val="Odlomakpopisa"/>
        <w:widowControl w:val="0"/>
        <w:ind w:left="0"/>
        <w:rPr>
          <w:snapToGrid w:val="0"/>
        </w:rPr>
      </w:pPr>
      <w:r w:rsidRPr="001B4CA2">
        <w:rPr>
          <w:snapToGrid w:val="0"/>
        </w:rPr>
        <w:tab/>
        <w:t xml:space="preserve">Pred sudovima </w:t>
      </w:r>
      <w:r w:rsidR="007A1D94">
        <w:rPr>
          <w:snapToGrid w:val="0"/>
        </w:rPr>
        <w:t>su</w:t>
      </w:r>
      <w:r w:rsidRPr="001B4CA2">
        <w:rPr>
          <w:snapToGrid w:val="0"/>
        </w:rPr>
        <w:t xml:space="preserve"> ostal</w:t>
      </w:r>
      <w:r w:rsidR="007A1D94">
        <w:rPr>
          <w:snapToGrid w:val="0"/>
        </w:rPr>
        <w:t>e</w:t>
      </w:r>
      <w:r w:rsidRPr="001B4CA2">
        <w:rPr>
          <w:snapToGrid w:val="0"/>
        </w:rPr>
        <w:t xml:space="preserve"> u radu 44.124 optužene osobe</w:t>
      </w:r>
      <w:r w:rsidR="007A1D94">
        <w:rPr>
          <w:snapToGrid w:val="0"/>
        </w:rPr>
        <w:t>,</w:t>
      </w:r>
      <w:r w:rsidRPr="001B4CA2">
        <w:rPr>
          <w:snapToGrid w:val="0"/>
        </w:rPr>
        <w:t xml:space="preserve"> od čega 5.843 (13,25</w:t>
      </w:r>
      <w:r w:rsidR="007A1D94">
        <w:rPr>
          <w:snapToGrid w:val="0"/>
        </w:rPr>
        <w:t> </w:t>
      </w:r>
      <w:r w:rsidRPr="001B4CA2">
        <w:rPr>
          <w:snapToGrid w:val="0"/>
        </w:rPr>
        <w:t xml:space="preserve">%) pred optužnim vijećem u fazi odluke o osnovanosti optužnice. Na ponovni postupak vraćeno je, nakon </w:t>
      </w:r>
      <w:proofErr w:type="spellStart"/>
      <w:r w:rsidRPr="001B4CA2">
        <w:rPr>
          <w:snapToGrid w:val="0"/>
        </w:rPr>
        <w:t>ukidnih</w:t>
      </w:r>
      <w:proofErr w:type="spellEnd"/>
      <w:r w:rsidRPr="001B4CA2">
        <w:rPr>
          <w:snapToGrid w:val="0"/>
        </w:rPr>
        <w:t xml:space="preserve"> odluka u povodu žalbi, optužnica protiv 1.793 optužene osobe. Državna odvjetništva podigla su u izvještajnom razdoblju optužnic</w:t>
      </w:r>
      <w:r w:rsidR="007A1D94">
        <w:rPr>
          <w:snapToGrid w:val="0"/>
        </w:rPr>
        <w:t>e</w:t>
      </w:r>
      <w:r w:rsidRPr="001B4CA2">
        <w:rPr>
          <w:snapToGrid w:val="0"/>
        </w:rPr>
        <w:t xml:space="preserve"> protiv 17.762</w:t>
      </w:r>
      <w:r w:rsidR="001B4CA2">
        <w:rPr>
          <w:snapToGrid w:val="0"/>
        </w:rPr>
        <w:t xml:space="preserve"> </w:t>
      </w:r>
      <w:r w:rsidRPr="001B4CA2">
        <w:rPr>
          <w:snapToGrid w:val="0"/>
        </w:rPr>
        <w:t>osobe</w:t>
      </w:r>
      <w:r w:rsidR="007A1D94">
        <w:rPr>
          <w:snapToGrid w:val="0"/>
        </w:rPr>
        <w:t>,</w:t>
      </w:r>
      <w:r w:rsidRPr="001B4CA2">
        <w:rPr>
          <w:snapToGrid w:val="0"/>
        </w:rPr>
        <w:t xml:space="preserve"> što je 4,97</w:t>
      </w:r>
      <w:r w:rsidR="007A1D94">
        <w:rPr>
          <w:snapToGrid w:val="0"/>
        </w:rPr>
        <w:t> </w:t>
      </w:r>
      <w:r w:rsidRPr="001B4CA2">
        <w:rPr>
          <w:snapToGrid w:val="0"/>
        </w:rPr>
        <w:t>% manje od prošlog izvještajnog razdoblja, no kako su optužnice rezultat provedenog postupka koji prethodi podizanju optužnica i rezultat prikupljenih dokaza koji podizanje optužnice čine opravdanim i osnovanim, ovaj podatak sam po sebi ne znači smanjenu aktivnost državnog odvjetništva, već je vezan uz vrijeme primitka predmeta u rad te opseg i trajanje postupaka koji prethode stadiju optuženja. Ukupno je u radu tijekom izvještajnog razdoblja bilo optužnica protiv 63.679 osoba, što predstavlja blagi pad od 2,3</w:t>
      </w:r>
      <w:r w:rsidR="007A1D94">
        <w:rPr>
          <w:snapToGrid w:val="0"/>
        </w:rPr>
        <w:t> </w:t>
      </w:r>
      <w:r w:rsidRPr="001B4CA2">
        <w:rPr>
          <w:snapToGrid w:val="0"/>
        </w:rPr>
        <w:t xml:space="preserve">% u odnosu na prethodno izvještajno razdoblje. </w:t>
      </w:r>
    </w:p>
    <w:p w14:paraId="71718ACD" w14:textId="77777777" w:rsidR="00636697" w:rsidRPr="001B4CA2" w:rsidRDefault="00636697" w:rsidP="00636697">
      <w:pPr>
        <w:pStyle w:val="Odlomakpopisa"/>
        <w:widowControl w:val="0"/>
        <w:ind w:left="0"/>
        <w:rPr>
          <w:snapToGrid w:val="0"/>
        </w:rPr>
      </w:pPr>
    </w:p>
    <w:p w14:paraId="2BE6BFDA" w14:textId="62C159C8" w:rsidR="00636697" w:rsidRPr="001B4CA2" w:rsidRDefault="00636697" w:rsidP="00636697">
      <w:pPr>
        <w:pStyle w:val="Odlomakpopisa"/>
        <w:widowControl w:val="0"/>
        <w:ind w:left="0"/>
        <w:rPr>
          <w:snapToGrid w:val="0"/>
        </w:rPr>
      </w:pPr>
      <w:r w:rsidRPr="001B4CA2">
        <w:rPr>
          <w:snapToGrid w:val="0"/>
        </w:rPr>
        <w:tab/>
        <w:t>U ukupnom</w:t>
      </w:r>
      <w:r w:rsidR="001B4CA2">
        <w:rPr>
          <w:snapToGrid w:val="0"/>
        </w:rPr>
        <w:t xml:space="preserve"> </w:t>
      </w:r>
      <w:r w:rsidRPr="001B4CA2">
        <w:rPr>
          <w:snapToGrid w:val="0"/>
        </w:rPr>
        <w:t xml:space="preserve">broju optužnica podignutih u izvještajnom razdoblju prema 17.762 osobe, neposredne optužnice sudjeluju s </w:t>
      </w:r>
      <w:r w:rsidR="007A1D94">
        <w:rPr>
          <w:snapToGrid w:val="0"/>
        </w:rPr>
        <w:t>udjelom</w:t>
      </w:r>
      <w:r w:rsidRPr="001B4CA2">
        <w:rPr>
          <w:snapToGrid w:val="0"/>
        </w:rPr>
        <w:t xml:space="preserve"> od 42,45</w:t>
      </w:r>
      <w:r w:rsidR="007A1D94">
        <w:rPr>
          <w:snapToGrid w:val="0"/>
        </w:rPr>
        <w:t> </w:t>
      </w:r>
      <w:r w:rsidRPr="001B4CA2">
        <w:rPr>
          <w:snapToGrid w:val="0"/>
        </w:rPr>
        <w:t xml:space="preserve">%, optužnice s kaznenom nalogom s </w:t>
      </w:r>
      <w:r w:rsidR="007A1D94">
        <w:rPr>
          <w:snapToGrid w:val="0"/>
        </w:rPr>
        <w:t>udjelom</w:t>
      </w:r>
      <w:r w:rsidRPr="001B4CA2">
        <w:rPr>
          <w:snapToGrid w:val="0"/>
        </w:rPr>
        <w:t xml:space="preserve"> od 36,44</w:t>
      </w:r>
      <w:r w:rsidR="007A1D94">
        <w:rPr>
          <w:snapToGrid w:val="0"/>
        </w:rPr>
        <w:t> </w:t>
      </w:r>
      <w:r w:rsidRPr="001B4CA2">
        <w:rPr>
          <w:snapToGrid w:val="0"/>
        </w:rPr>
        <w:t>%, dok optužnice nakon provedene istrage participiraju</w:t>
      </w:r>
      <w:r w:rsidR="00FD08E9">
        <w:rPr>
          <w:snapToGrid w:val="0"/>
        </w:rPr>
        <w:t xml:space="preserve"> s </w:t>
      </w:r>
      <w:r w:rsidRPr="001B4CA2">
        <w:rPr>
          <w:snapToGrid w:val="0"/>
        </w:rPr>
        <w:t>21,10</w:t>
      </w:r>
      <w:r w:rsidR="007A1D94">
        <w:rPr>
          <w:snapToGrid w:val="0"/>
        </w:rPr>
        <w:t> </w:t>
      </w:r>
      <w:r w:rsidRPr="001B4CA2">
        <w:rPr>
          <w:snapToGrid w:val="0"/>
        </w:rPr>
        <w:t>%, koji po</w:t>
      </w:r>
      <w:r w:rsidR="00FD08E9">
        <w:rPr>
          <w:snapToGrid w:val="0"/>
        </w:rPr>
        <w:t>datci</w:t>
      </w:r>
      <w:r w:rsidRPr="001B4CA2">
        <w:rPr>
          <w:snapToGrid w:val="0"/>
        </w:rPr>
        <w:t xml:space="preserve"> ne pokazuju odstupanje u odnosu na uobičajen</w:t>
      </w:r>
      <w:r w:rsidR="007A1D94">
        <w:rPr>
          <w:snapToGrid w:val="0"/>
        </w:rPr>
        <w:t xml:space="preserve"> udio </w:t>
      </w:r>
      <w:r w:rsidRPr="001B4CA2">
        <w:rPr>
          <w:snapToGrid w:val="0"/>
        </w:rPr>
        <w:t xml:space="preserve">pojedinih vrsta optuženja u ukupnom broju podignutih optužnica. </w:t>
      </w:r>
    </w:p>
    <w:p w14:paraId="0BA06C97" w14:textId="77777777" w:rsidR="00636697" w:rsidRPr="001B4CA2" w:rsidRDefault="00636697" w:rsidP="00ED1F7A"/>
    <w:p w14:paraId="01620C69" w14:textId="25C3281A" w:rsidR="0032461B" w:rsidRPr="001B4CA2" w:rsidRDefault="001B4CA2" w:rsidP="00A97AFB">
      <w:pPr>
        <w:ind w:left="-709" w:firstLine="283"/>
      </w:pPr>
      <w:r>
        <w:rPr>
          <w:i/>
        </w:rPr>
        <w:tab/>
      </w:r>
      <w:r w:rsidR="00BA7382">
        <w:rPr>
          <w:i/>
        </w:rPr>
        <w:t xml:space="preserve"> </w:t>
      </w:r>
      <w:r w:rsidR="00717547" w:rsidRPr="001B4CA2">
        <w:rPr>
          <w:i/>
        </w:rPr>
        <w:t>Optuženja i odluke sudova povodom optuženja (bez maloljetnih osoba)</w:t>
      </w:r>
    </w:p>
    <w:tbl>
      <w:tblPr>
        <w:tblW w:w="48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758"/>
        <w:gridCol w:w="953"/>
        <w:gridCol w:w="660"/>
        <w:gridCol w:w="962"/>
        <w:gridCol w:w="1158"/>
        <w:gridCol w:w="980"/>
        <w:gridCol w:w="980"/>
        <w:gridCol w:w="971"/>
        <w:gridCol w:w="926"/>
        <w:gridCol w:w="917"/>
      </w:tblGrid>
      <w:tr w:rsidR="00532C41" w:rsidRPr="001B4CA2" w14:paraId="46C6E9EE" w14:textId="77777777" w:rsidTr="00B901FE">
        <w:trPr>
          <w:trHeight w:val="363"/>
          <w:jc w:val="center"/>
        </w:trPr>
        <w:tc>
          <w:tcPr>
            <w:tcW w:w="519" w:type="dxa"/>
            <w:vMerge w:val="restart"/>
            <w:shd w:val="clear" w:color="auto" w:fill="99CCFF"/>
            <w:vAlign w:val="center"/>
          </w:tcPr>
          <w:p w14:paraId="2982C255" w14:textId="77777777" w:rsidR="00216DE2" w:rsidRPr="000169EF" w:rsidRDefault="00216DE2" w:rsidP="00216DE2">
            <w:pPr>
              <w:jc w:val="center"/>
              <w:rPr>
                <w:rFonts w:eastAsia="Times New Roman"/>
                <w:b/>
                <w:sz w:val="16"/>
                <w:szCs w:val="16"/>
                <w:lang w:eastAsia="hr-HR"/>
              </w:rPr>
            </w:pPr>
            <w:r w:rsidRPr="000169EF">
              <w:rPr>
                <w:rFonts w:eastAsia="Times New Roman"/>
                <w:b/>
                <w:sz w:val="16"/>
                <w:szCs w:val="16"/>
                <w:lang w:eastAsia="hr-HR"/>
              </w:rPr>
              <w:t>Godina</w:t>
            </w:r>
          </w:p>
        </w:tc>
        <w:tc>
          <w:tcPr>
            <w:tcW w:w="953" w:type="dxa"/>
            <w:vMerge w:val="restart"/>
            <w:shd w:val="clear" w:color="auto" w:fill="99CCFF"/>
            <w:vAlign w:val="center"/>
          </w:tcPr>
          <w:p w14:paraId="1865F479" w14:textId="0CE81634" w:rsidR="00216DE2" w:rsidRPr="000169EF" w:rsidRDefault="00216DE2" w:rsidP="007D49A7">
            <w:pPr>
              <w:jc w:val="center"/>
              <w:rPr>
                <w:rFonts w:eastAsia="Times New Roman"/>
                <w:b/>
                <w:sz w:val="16"/>
                <w:szCs w:val="16"/>
                <w:lang w:eastAsia="hr-HR"/>
              </w:rPr>
            </w:pPr>
            <w:r w:rsidRPr="000169EF">
              <w:rPr>
                <w:rFonts w:eastAsia="Times New Roman"/>
                <w:b/>
                <w:sz w:val="16"/>
                <w:szCs w:val="16"/>
                <w:lang w:eastAsia="hr-HR"/>
              </w:rPr>
              <w:t>Ukupno optužnica</w:t>
            </w:r>
            <w:r w:rsidR="007D49A7" w:rsidRPr="000169EF">
              <w:rPr>
                <w:rFonts w:eastAsia="Times New Roman"/>
                <w:b/>
                <w:sz w:val="16"/>
                <w:szCs w:val="16"/>
                <w:lang w:eastAsia="hr-HR"/>
              </w:rPr>
              <w:t xml:space="preserve"> pred optužnim vijećem</w:t>
            </w:r>
          </w:p>
        </w:tc>
        <w:tc>
          <w:tcPr>
            <w:tcW w:w="660" w:type="dxa"/>
            <w:vMerge w:val="restart"/>
            <w:shd w:val="clear" w:color="auto" w:fill="99CCFF"/>
            <w:vAlign w:val="center"/>
          </w:tcPr>
          <w:p w14:paraId="48964AF2" w14:textId="6D116C94" w:rsidR="00216DE2" w:rsidRPr="000169EF" w:rsidRDefault="00216DE2" w:rsidP="00216DE2">
            <w:pPr>
              <w:jc w:val="center"/>
              <w:rPr>
                <w:rFonts w:eastAsia="Times New Roman"/>
                <w:b/>
                <w:sz w:val="16"/>
                <w:szCs w:val="16"/>
                <w:lang w:eastAsia="hr-HR"/>
              </w:rPr>
            </w:pPr>
            <w:r w:rsidRPr="000169EF">
              <w:rPr>
                <w:rFonts w:eastAsia="Times New Roman"/>
                <w:b/>
                <w:sz w:val="16"/>
                <w:szCs w:val="16"/>
                <w:lang w:eastAsia="hr-HR"/>
              </w:rPr>
              <w:t>Ustup</w:t>
            </w:r>
          </w:p>
        </w:tc>
        <w:tc>
          <w:tcPr>
            <w:tcW w:w="962" w:type="dxa"/>
            <w:vMerge w:val="restart"/>
            <w:shd w:val="clear" w:color="auto" w:fill="99CCFF"/>
            <w:vAlign w:val="center"/>
          </w:tcPr>
          <w:p w14:paraId="1A6090C7" w14:textId="521D1D08" w:rsidR="00216DE2" w:rsidRPr="000169EF" w:rsidRDefault="00216DE2" w:rsidP="00216DE2">
            <w:pPr>
              <w:jc w:val="center"/>
              <w:rPr>
                <w:rFonts w:eastAsia="Times New Roman"/>
                <w:b/>
                <w:sz w:val="16"/>
                <w:szCs w:val="16"/>
                <w:lang w:eastAsia="hr-HR"/>
              </w:rPr>
            </w:pPr>
            <w:r w:rsidRPr="000169EF">
              <w:rPr>
                <w:rFonts w:eastAsia="Times New Roman"/>
                <w:b/>
                <w:sz w:val="16"/>
                <w:szCs w:val="16"/>
                <w:lang w:eastAsia="hr-HR"/>
              </w:rPr>
              <w:t>Povučena optužnica</w:t>
            </w:r>
          </w:p>
        </w:tc>
        <w:tc>
          <w:tcPr>
            <w:tcW w:w="1158" w:type="dxa"/>
            <w:vMerge w:val="restart"/>
            <w:shd w:val="clear" w:color="auto" w:fill="99CCFF"/>
            <w:vAlign w:val="center"/>
          </w:tcPr>
          <w:p w14:paraId="69315EBD" w14:textId="18919764" w:rsidR="00216DE2" w:rsidRPr="000169EF" w:rsidRDefault="00216DE2" w:rsidP="00216DE2">
            <w:pPr>
              <w:jc w:val="center"/>
              <w:rPr>
                <w:rFonts w:eastAsia="Times New Roman"/>
                <w:b/>
                <w:sz w:val="16"/>
                <w:szCs w:val="16"/>
                <w:lang w:eastAsia="hr-HR"/>
              </w:rPr>
            </w:pPr>
            <w:r w:rsidRPr="000169EF">
              <w:rPr>
                <w:rFonts w:eastAsia="Times New Roman"/>
                <w:b/>
                <w:sz w:val="16"/>
                <w:szCs w:val="16"/>
                <w:lang w:eastAsia="hr-HR"/>
              </w:rPr>
              <w:t>Presuda s kaznenim nalogom</w:t>
            </w:r>
            <w:r w:rsidR="00310130" w:rsidRPr="000169EF">
              <w:rPr>
                <w:rFonts w:eastAsia="Times New Roman"/>
                <w:b/>
                <w:sz w:val="16"/>
                <w:szCs w:val="16"/>
                <w:lang w:eastAsia="hr-HR"/>
              </w:rPr>
              <w:t xml:space="preserve"> – </w:t>
            </w:r>
            <w:r w:rsidRPr="000169EF">
              <w:rPr>
                <w:rFonts w:eastAsia="Times New Roman"/>
                <w:b/>
                <w:sz w:val="16"/>
                <w:szCs w:val="16"/>
                <w:lang w:eastAsia="hr-HR"/>
              </w:rPr>
              <w:t>pravomoćna</w:t>
            </w:r>
          </w:p>
        </w:tc>
        <w:tc>
          <w:tcPr>
            <w:tcW w:w="4774" w:type="dxa"/>
            <w:gridSpan w:val="5"/>
            <w:shd w:val="clear" w:color="auto" w:fill="99CCFF"/>
            <w:vAlign w:val="center"/>
          </w:tcPr>
          <w:p w14:paraId="38B9B0F8" w14:textId="1865E011" w:rsidR="00216DE2" w:rsidRPr="000169EF" w:rsidRDefault="00216DE2" w:rsidP="00216DE2">
            <w:pPr>
              <w:jc w:val="center"/>
              <w:rPr>
                <w:rFonts w:eastAsia="Times New Roman"/>
                <w:b/>
                <w:sz w:val="16"/>
                <w:szCs w:val="16"/>
                <w:lang w:eastAsia="hr-HR"/>
              </w:rPr>
            </w:pPr>
            <w:r w:rsidRPr="000169EF">
              <w:rPr>
                <w:rFonts w:eastAsia="Times New Roman"/>
                <w:b/>
                <w:sz w:val="16"/>
                <w:szCs w:val="16"/>
                <w:lang w:eastAsia="hr-HR"/>
              </w:rPr>
              <w:t>Odluke optužnog vijeća</w:t>
            </w:r>
          </w:p>
        </w:tc>
      </w:tr>
      <w:tr w:rsidR="00154294" w:rsidRPr="001B4CA2" w14:paraId="6513ECB6" w14:textId="77777777" w:rsidTr="00B901FE">
        <w:trPr>
          <w:trHeight w:val="1019"/>
          <w:jc w:val="center"/>
        </w:trPr>
        <w:tc>
          <w:tcPr>
            <w:tcW w:w="519" w:type="dxa"/>
            <w:vMerge/>
            <w:shd w:val="clear" w:color="auto" w:fill="99CCFF"/>
            <w:vAlign w:val="center"/>
          </w:tcPr>
          <w:p w14:paraId="58092ACC" w14:textId="77777777" w:rsidR="0032461B" w:rsidRPr="000169EF" w:rsidRDefault="0032461B" w:rsidP="00216DE2">
            <w:pPr>
              <w:jc w:val="center"/>
              <w:rPr>
                <w:rFonts w:eastAsia="Times New Roman"/>
                <w:b/>
                <w:sz w:val="16"/>
                <w:szCs w:val="16"/>
                <w:lang w:eastAsia="hr-HR"/>
              </w:rPr>
            </w:pPr>
          </w:p>
        </w:tc>
        <w:tc>
          <w:tcPr>
            <w:tcW w:w="953" w:type="dxa"/>
            <w:vMerge/>
            <w:shd w:val="clear" w:color="auto" w:fill="99CCFF"/>
            <w:vAlign w:val="center"/>
          </w:tcPr>
          <w:p w14:paraId="72BBBE0E" w14:textId="77777777" w:rsidR="0032461B" w:rsidRPr="000169EF" w:rsidRDefault="0032461B" w:rsidP="00216DE2">
            <w:pPr>
              <w:jc w:val="center"/>
              <w:rPr>
                <w:rFonts w:eastAsia="Times New Roman"/>
                <w:b/>
                <w:sz w:val="16"/>
                <w:szCs w:val="16"/>
                <w:lang w:eastAsia="hr-HR"/>
              </w:rPr>
            </w:pPr>
          </w:p>
        </w:tc>
        <w:tc>
          <w:tcPr>
            <w:tcW w:w="660" w:type="dxa"/>
            <w:vMerge/>
            <w:shd w:val="clear" w:color="auto" w:fill="99CCFF"/>
          </w:tcPr>
          <w:p w14:paraId="6FF9E059" w14:textId="77777777" w:rsidR="0032461B" w:rsidRPr="000169EF" w:rsidRDefault="0032461B" w:rsidP="00216DE2">
            <w:pPr>
              <w:jc w:val="center"/>
              <w:rPr>
                <w:rFonts w:eastAsia="Times New Roman"/>
                <w:b/>
                <w:sz w:val="16"/>
                <w:szCs w:val="16"/>
                <w:lang w:eastAsia="hr-HR"/>
              </w:rPr>
            </w:pPr>
          </w:p>
        </w:tc>
        <w:tc>
          <w:tcPr>
            <w:tcW w:w="962" w:type="dxa"/>
            <w:vMerge/>
            <w:shd w:val="clear" w:color="auto" w:fill="99CCFF"/>
            <w:vAlign w:val="center"/>
          </w:tcPr>
          <w:p w14:paraId="27771925" w14:textId="48C606A6" w:rsidR="0032461B" w:rsidRPr="000169EF" w:rsidRDefault="0032461B" w:rsidP="00216DE2">
            <w:pPr>
              <w:jc w:val="center"/>
              <w:rPr>
                <w:rFonts w:eastAsia="Times New Roman"/>
                <w:b/>
                <w:sz w:val="16"/>
                <w:szCs w:val="16"/>
                <w:lang w:eastAsia="hr-HR"/>
              </w:rPr>
            </w:pPr>
          </w:p>
        </w:tc>
        <w:tc>
          <w:tcPr>
            <w:tcW w:w="1158" w:type="dxa"/>
            <w:vMerge/>
            <w:shd w:val="clear" w:color="auto" w:fill="99CCFF"/>
          </w:tcPr>
          <w:p w14:paraId="4460AC2B" w14:textId="77777777" w:rsidR="0032461B" w:rsidRPr="000169EF" w:rsidRDefault="0032461B" w:rsidP="00216DE2">
            <w:pPr>
              <w:jc w:val="center"/>
              <w:rPr>
                <w:rFonts w:eastAsia="Times New Roman"/>
                <w:b/>
                <w:sz w:val="16"/>
                <w:szCs w:val="16"/>
                <w:lang w:eastAsia="hr-HR"/>
              </w:rPr>
            </w:pPr>
          </w:p>
        </w:tc>
        <w:tc>
          <w:tcPr>
            <w:tcW w:w="980" w:type="dxa"/>
            <w:shd w:val="clear" w:color="auto" w:fill="99CCFF"/>
            <w:vAlign w:val="center"/>
          </w:tcPr>
          <w:p w14:paraId="1F0C763D" w14:textId="1F4263A8" w:rsidR="0032461B" w:rsidRPr="000169EF" w:rsidRDefault="0032461B" w:rsidP="00216DE2">
            <w:pPr>
              <w:jc w:val="center"/>
              <w:rPr>
                <w:rFonts w:eastAsia="Times New Roman"/>
                <w:b/>
                <w:sz w:val="16"/>
                <w:szCs w:val="16"/>
                <w:lang w:eastAsia="hr-HR"/>
              </w:rPr>
            </w:pPr>
            <w:r w:rsidRPr="000169EF">
              <w:rPr>
                <w:rFonts w:eastAsia="Times New Roman"/>
                <w:b/>
                <w:sz w:val="16"/>
                <w:szCs w:val="16"/>
                <w:lang w:eastAsia="hr-HR"/>
              </w:rPr>
              <w:t>Optužnica potvrđena</w:t>
            </w:r>
          </w:p>
        </w:tc>
        <w:tc>
          <w:tcPr>
            <w:tcW w:w="980" w:type="dxa"/>
            <w:shd w:val="clear" w:color="auto" w:fill="99CCFF"/>
            <w:vAlign w:val="center"/>
          </w:tcPr>
          <w:p w14:paraId="3C20B4D0" w14:textId="0411341E" w:rsidR="0032461B" w:rsidRPr="000169EF" w:rsidRDefault="0032461B" w:rsidP="0032461B">
            <w:pPr>
              <w:jc w:val="center"/>
              <w:rPr>
                <w:rFonts w:eastAsia="Times New Roman"/>
                <w:b/>
                <w:sz w:val="16"/>
                <w:szCs w:val="16"/>
                <w:lang w:eastAsia="hr-HR"/>
              </w:rPr>
            </w:pPr>
            <w:r w:rsidRPr="000169EF">
              <w:rPr>
                <w:rFonts w:eastAsia="Times New Roman"/>
                <w:b/>
                <w:sz w:val="16"/>
                <w:szCs w:val="16"/>
                <w:lang w:eastAsia="hr-HR"/>
              </w:rPr>
              <w:t>Optužnica vraćena</w:t>
            </w:r>
          </w:p>
        </w:tc>
        <w:tc>
          <w:tcPr>
            <w:tcW w:w="971" w:type="dxa"/>
            <w:shd w:val="clear" w:color="auto" w:fill="99CCFF"/>
            <w:vAlign w:val="center"/>
          </w:tcPr>
          <w:p w14:paraId="4DC5614F" w14:textId="2C19F02A" w:rsidR="0032461B" w:rsidRPr="000169EF" w:rsidRDefault="0032461B" w:rsidP="00216DE2">
            <w:pPr>
              <w:jc w:val="center"/>
              <w:rPr>
                <w:rFonts w:eastAsia="Times New Roman"/>
                <w:b/>
                <w:sz w:val="16"/>
                <w:szCs w:val="16"/>
                <w:lang w:eastAsia="hr-HR"/>
              </w:rPr>
            </w:pPr>
            <w:r w:rsidRPr="000169EF">
              <w:rPr>
                <w:rFonts w:eastAsia="Times New Roman"/>
                <w:b/>
                <w:sz w:val="16"/>
                <w:szCs w:val="16"/>
                <w:lang w:eastAsia="hr-HR"/>
              </w:rPr>
              <w:t>Obustava po optužnom vijeću</w:t>
            </w:r>
          </w:p>
        </w:tc>
        <w:tc>
          <w:tcPr>
            <w:tcW w:w="926" w:type="dxa"/>
            <w:shd w:val="clear" w:color="auto" w:fill="99CCFF"/>
            <w:vAlign w:val="center"/>
          </w:tcPr>
          <w:p w14:paraId="2832F40F" w14:textId="4CDA7D27" w:rsidR="0032461B" w:rsidRPr="000169EF" w:rsidRDefault="0032461B" w:rsidP="0032461B">
            <w:pPr>
              <w:jc w:val="center"/>
              <w:rPr>
                <w:rFonts w:eastAsia="Times New Roman"/>
                <w:b/>
                <w:sz w:val="16"/>
                <w:szCs w:val="16"/>
                <w:lang w:eastAsia="hr-HR"/>
              </w:rPr>
            </w:pPr>
            <w:r w:rsidRPr="000169EF">
              <w:rPr>
                <w:rFonts w:eastAsia="Times New Roman"/>
                <w:b/>
                <w:sz w:val="16"/>
                <w:szCs w:val="16"/>
                <w:lang w:eastAsia="hr-HR"/>
              </w:rPr>
              <w:t>Ukupno odluka</w:t>
            </w:r>
            <w:r w:rsidR="00216DE2" w:rsidRPr="000169EF">
              <w:rPr>
                <w:rFonts w:eastAsia="Times New Roman"/>
                <w:b/>
                <w:sz w:val="16"/>
                <w:szCs w:val="16"/>
                <w:lang w:eastAsia="hr-HR"/>
              </w:rPr>
              <w:t xml:space="preserve"> optužnog vijeća</w:t>
            </w:r>
          </w:p>
        </w:tc>
        <w:tc>
          <w:tcPr>
            <w:tcW w:w="917" w:type="dxa"/>
            <w:shd w:val="clear" w:color="auto" w:fill="99CCFF"/>
            <w:vAlign w:val="center"/>
          </w:tcPr>
          <w:p w14:paraId="45C9AD8E" w14:textId="5E14D781" w:rsidR="0032461B" w:rsidRPr="000169EF" w:rsidRDefault="00216DE2" w:rsidP="00216DE2">
            <w:pPr>
              <w:jc w:val="center"/>
              <w:rPr>
                <w:rFonts w:eastAsia="Times New Roman"/>
                <w:b/>
                <w:sz w:val="16"/>
                <w:szCs w:val="16"/>
                <w:lang w:eastAsia="hr-HR"/>
              </w:rPr>
            </w:pPr>
            <w:r w:rsidRPr="000169EF">
              <w:rPr>
                <w:rFonts w:eastAsia="Times New Roman"/>
                <w:b/>
                <w:sz w:val="16"/>
                <w:szCs w:val="16"/>
                <w:lang w:eastAsia="hr-HR"/>
              </w:rPr>
              <w:t>Ostalo u radu pred optužnim vijećem</w:t>
            </w:r>
          </w:p>
        </w:tc>
      </w:tr>
      <w:tr w:rsidR="00C52F2B" w:rsidRPr="001B4CA2" w14:paraId="1CE028E7" w14:textId="77777777" w:rsidTr="00B901FE">
        <w:trPr>
          <w:trHeight w:val="300"/>
          <w:jc w:val="center"/>
        </w:trPr>
        <w:tc>
          <w:tcPr>
            <w:tcW w:w="519" w:type="dxa"/>
            <w:shd w:val="clear" w:color="auto" w:fill="auto"/>
            <w:vAlign w:val="center"/>
          </w:tcPr>
          <w:p w14:paraId="486CF0F0" w14:textId="0E58FE74" w:rsidR="00C52F2B" w:rsidRPr="000169EF" w:rsidRDefault="00C52F2B" w:rsidP="00515F25">
            <w:pPr>
              <w:jc w:val="center"/>
              <w:rPr>
                <w:rFonts w:eastAsia="Times New Roman"/>
                <w:sz w:val="16"/>
                <w:szCs w:val="16"/>
                <w:lang w:eastAsia="hr-HR"/>
              </w:rPr>
            </w:pPr>
            <w:r w:rsidRPr="000169EF">
              <w:rPr>
                <w:rFonts w:eastAsia="Times New Roman"/>
                <w:sz w:val="16"/>
                <w:szCs w:val="16"/>
                <w:lang w:eastAsia="hr-HR"/>
              </w:rPr>
              <w:t>201</w:t>
            </w:r>
            <w:r w:rsidR="00636697" w:rsidRPr="000169EF">
              <w:rPr>
                <w:rFonts w:eastAsia="Times New Roman"/>
                <w:sz w:val="16"/>
                <w:szCs w:val="16"/>
                <w:lang w:eastAsia="hr-HR"/>
              </w:rPr>
              <w:t>8</w:t>
            </w:r>
            <w:r w:rsidRPr="000169EF">
              <w:rPr>
                <w:rFonts w:eastAsia="Times New Roman"/>
                <w:sz w:val="16"/>
                <w:szCs w:val="16"/>
                <w:lang w:eastAsia="hr-HR"/>
              </w:rPr>
              <w:t>.</w:t>
            </w:r>
          </w:p>
        </w:tc>
        <w:tc>
          <w:tcPr>
            <w:tcW w:w="953" w:type="dxa"/>
            <w:shd w:val="clear" w:color="auto" w:fill="auto"/>
            <w:vAlign w:val="center"/>
          </w:tcPr>
          <w:p w14:paraId="1663F378" w14:textId="77777777" w:rsidR="00C52F2B" w:rsidRPr="000169EF" w:rsidRDefault="00C52F2B" w:rsidP="00515F25">
            <w:pPr>
              <w:jc w:val="center"/>
              <w:rPr>
                <w:rFonts w:eastAsia="Times New Roman"/>
                <w:sz w:val="16"/>
                <w:szCs w:val="16"/>
                <w:lang w:eastAsia="hr-HR"/>
              </w:rPr>
            </w:pPr>
          </w:p>
        </w:tc>
        <w:tc>
          <w:tcPr>
            <w:tcW w:w="660" w:type="dxa"/>
            <w:vAlign w:val="center"/>
          </w:tcPr>
          <w:p w14:paraId="616F1E4B" w14:textId="77777777" w:rsidR="00C52F2B" w:rsidRPr="000169EF" w:rsidRDefault="00C52F2B" w:rsidP="00515F25">
            <w:pPr>
              <w:jc w:val="center"/>
              <w:rPr>
                <w:rFonts w:eastAsia="Times New Roman"/>
                <w:sz w:val="16"/>
                <w:szCs w:val="16"/>
                <w:lang w:eastAsia="hr-HR"/>
              </w:rPr>
            </w:pPr>
          </w:p>
        </w:tc>
        <w:tc>
          <w:tcPr>
            <w:tcW w:w="962" w:type="dxa"/>
            <w:shd w:val="clear" w:color="auto" w:fill="auto"/>
            <w:vAlign w:val="center"/>
          </w:tcPr>
          <w:p w14:paraId="137FF2A0" w14:textId="447BA600" w:rsidR="00C52F2B" w:rsidRPr="000169EF" w:rsidRDefault="00636697" w:rsidP="00515F25">
            <w:pPr>
              <w:jc w:val="center"/>
              <w:rPr>
                <w:rFonts w:eastAsia="Times New Roman"/>
                <w:sz w:val="16"/>
                <w:szCs w:val="16"/>
                <w:lang w:eastAsia="hr-HR"/>
              </w:rPr>
            </w:pPr>
            <w:r w:rsidRPr="000169EF">
              <w:rPr>
                <w:rFonts w:eastAsia="Times New Roman"/>
                <w:bCs/>
                <w:sz w:val="16"/>
                <w:szCs w:val="16"/>
                <w:lang w:eastAsia="hr-HR"/>
              </w:rPr>
              <w:t>73</w:t>
            </w:r>
          </w:p>
        </w:tc>
        <w:tc>
          <w:tcPr>
            <w:tcW w:w="1158" w:type="dxa"/>
            <w:vAlign w:val="center"/>
          </w:tcPr>
          <w:p w14:paraId="31878725" w14:textId="77777777" w:rsidR="00C52F2B" w:rsidRPr="000169EF" w:rsidRDefault="00C52F2B" w:rsidP="00515F25">
            <w:pPr>
              <w:jc w:val="center"/>
              <w:rPr>
                <w:rFonts w:eastAsia="Times New Roman"/>
                <w:sz w:val="16"/>
                <w:szCs w:val="16"/>
                <w:lang w:eastAsia="hr-HR"/>
              </w:rPr>
            </w:pPr>
          </w:p>
        </w:tc>
        <w:tc>
          <w:tcPr>
            <w:tcW w:w="980" w:type="dxa"/>
            <w:shd w:val="clear" w:color="auto" w:fill="auto"/>
            <w:vAlign w:val="center"/>
          </w:tcPr>
          <w:p w14:paraId="2E8BA829" w14:textId="44E98682" w:rsidR="00C52F2B" w:rsidRPr="000169EF" w:rsidRDefault="00636697" w:rsidP="00515F25">
            <w:pPr>
              <w:jc w:val="center"/>
              <w:rPr>
                <w:rFonts w:eastAsia="Times New Roman"/>
                <w:sz w:val="16"/>
                <w:szCs w:val="16"/>
                <w:lang w:eastAsia="hr-HR"/>
              </w:rPr>
            </w:pPr>
            <w:r w:rsidRPr="000169EF">
              <w:rPr>
                <w:rFonts w:eastAsia="Times New Roman"/>
                <w:bCs/>
                <w:sz w:val="16"/>
                <w:szCs w:val="16"/>
                <w:lang w:eastAsia="hr-HR"/>
              </w:rPr>
              <w:t>9.354</w:t>
            </w:r>
          </w:p>
        </w:tc>
        <w:tc>
          <w:tcPr>
            <w:tcW w:w="980" w:type="dxa"/>
            <w:shd w:val="clear" w:color="auto" w:fill="auto"/>
            <w:vAlign w:val="center"/>
          </w:tcPr>
          <w:p w14:paraId="3EBF0409" w14:textId="3B596377" w:rsidR="00C52F2B" w:rsidRPr="000169EF" w:rsidRDefault="00636697" w:rsidP="00515F25">
            <w:pPr>
              <w:jc w:val="center"/>
              <w:rPr>
                <w:rFonts w:eastAsia="Times New Roman"/>
                <w:sz w:val="16"/>
                <w:szCs w:val="16"/>
                <w:lang w:eastAsia="hr-HR"/>
              </w:rPr>
            </w:pPr>
            <w:r w:rsidRPr="000169EF">
              <w:rPr>
                <w:rFonts w:eastAsia="Times New Roman"/>
                <w:bCs/>
                <w:sz w:val="16"/>
                <w:szCs w:val="16"/>
                <w:lang w:eastAsia="hr-HR"/>
              </w:rPr>
              <w:t>386</w:t>
            </w:r>
          </w:p>
        </w:tc>
        <w:tc>
          <w:tcPr>
            <w:tcW w:w="971" w:type="dxa"/>
            <w:shd w:val="clear" w:color="auto" w:fill="auto"/>
            <w:vAlign w:val="center"/>
          </w:tcPr>
          <w:p w14:paraId="410AB0A0" w14:textId="787B8BB2" w:rsidR="00C52F2B" w:rsidRPr="000169EF" w:rsidRDefault="00441872" w:rsidP="00515F25">
            <w:pPr>
              <w:jc w:val="center"/>
              <w:rPr>
                <w:rFonts w:eastAsia="Times New Roman"/>
                <w:sz w:val="16"/>
                <w:szCs w:val="16"/>
                <w:lang w:eastAsia="hr-HR"/>
              </w:rPr>
            </w:pPr>
            <w:r w:rsidRPr="000169EF">
              <w:rPr>
                <w:rFonts w:eastAsia="Times New Roman"/>
                <w:bCs/>
                <w:sz w:val="16"/>
                <w:szCs w:val="16"/>
                <w:lang w:eastAsia="hr-HR"/>
              </w:rPr>
              <w:t>62</w:t>
            </w:r>
          </w:p>
        </w:tc>
        <w:tc>
          <w:tcPr>
            <w:tcW w:w="926" w:type="dxa"/>
            <w:shd w:val="clear" w:color="auto" w:fill="auto"/>
            <w:vAlign w:val="center"/>
          </w:tcPr>
          <w:p w14:paraId="5226BE6B" w14:textId="5671BB73" w:rsidR="00C52F2B" w:rsidRPr="000169EF" w:rsidRDefault="00441872" w:rsidP="00515F25">
            <w:pPr>
              <w:jc w:val="center"/>
              <w:rPr>
                <w:rFonts w:eastAsia="Times New Roman"/>
                <w:sz w:val="16"/>
                <w:szCs w:val="16"/>
                <w:lang w:eastAsia="hr-HR"/>
              </w:rPr>
            </w:pPr>
            <w:r w:rsidRPr="000169EF">
              <w:rPr>
                <w:rFonts w:eastAsia="Times New Roman"/>
                <w:bCs/>
                <w:sz w:val="16"/>
                <w:szCs w:val="16"/>
                <w:lang w:eastAsia="hr-HR"/>
              </w:rPr>
              <w:t>9.802</w:t>
            </w:r>
          </w:p>
        </w:tc>
        <w:tc>
          <w:tcPr>
            <w:tcW w:w="917" w:type="dxa"/>
            <w:shd w:val="clear" w:color="auto" w:fill="auto"/>
            <w:vAlign w:val="center"/>
          </w:tcPr>
          <w:p w14:paraId="3363F5F9" w14:textId="77777777" w:rsidR="00C52F2B" w:rsidRPr="000169EF" w:rsidRDefault="00C52F2B" w:rsidP="00515F25">
            <w:pPr>
              <w:jc w:val="center"/>
              <w:rPr>
                <w:rFonts w:eastAsia="Times New Roman"/>
                <w:sz w:val="16"/>
                <w:szCs w:val="16"/>
                <w:lang w:eastAsia="hr-HR"/>
              </w:rPr>
            </w:pPr>
          </w:p>
        </w:tc>
      </w:tr>
      <w:tr w:rsidR="00C52F2B" w:rsidRPr="001B4CA2" w14:paraId="19F54FDB" w14:textId="77777777" w:rsidTr="00B901FE">
        <w:trPr>
          <w:trHeight w:val="300"/>
          <w:jc w:val="center"/>
        </w:trPr>
        <w:tc>
          <w:tcPr>
            <w:tcW w:w="519" w:type="dxa"/>
            <w:shd w:val="clear" w:color="auto" w:fill="auto"/>
            <w:vAlign w:val="center"/>
          </w:tcPr>
          <w:p w14:paraId="5E8DD86B" w14:textId="67F412C8" w:rsidR="00C52F2B" w:rsidRPr="000169EF" w:rsidRDefault="00C52F2B" w:rsidP="00515F25">
            <w:pPr>
              <w:jc w:val="center"/>
              <w:rPr>
                <w:rFonts w:eastAsia="Times New Roman"/>
                <w:sz w:val="16"/>
                <w:szCs w:val="16"/>
                <w:lang w:eastAsia="hr-HR"/>
              </w:rPr>
            </w:pPr>
            <w:r w:rsidRPr="000169EF">
              <w:rPr>
                <w:rFonts w:eastAsia="Times New Roman"/>
                <w:sz w:val="16"/>
                <w:szCs w:val="16"/>
                <w:lang w:eastAsia="hr-HR"/>
              </w:rPr>
              <w:t>201</w:t>
            </w:r>
            <w:r w:rsidR="00636697" w:rsidRPr="000169EF">
              <w:rPr>
                <w:rFonts w:eastAsia="Times New Roman"/>
                <w:sz w:val="16"/>
                <w:szCs w:val="16"/>
                <w:lang w:eastAsia="hr-HR"/>
              </w:rPr>
              <w:t>9</w:t>
            </w:r>
            <w:r w:rsidRPr="000169EF">
              <w:rPr>
                <w:rFonts w:eastAsia="Times New Roman"/>
                <w:sz w:val="16"/>
                <w:szCs w:val="16"/>
                <w:lang w:eastAsia="hr-HR"/>
              </w:rPr>
              <w:t>.</w:t>
            </w:r>
          </w:p>
        </w:tc>
        <w:tc>
          <w:tcPr>
            <w:tcW w:w="953" w:type="dxa"/>
            <w:shd w:val="clear" w:color="auto" w:fill="auto"/>
            <w:vAlign w:val="center"/>
          </w:tcPr>
          <w:p w14:paraId="02B46B0C" w14:textId="77777777" w:rsidR="00C52F2B" w:rsidRPr="000169EF" w:rsidRDefault="00C52F2B" w:rsidP="00515F25">
            <w:pPr>
              <w:jc w:val="center"/>
              <w:rPr>
                <w:rFonts w:eastAsia="Times New Roman"/>
                <w:bCs/>
                <w:sz w:val="16"/>
                <w:szCs w:val="16"/>
                <w:lang w:eastAsia="hr-HR"/>
              </w:rPr>
            </w:pPr>
          </w:p>
        </w:tc>
        <w:tc>
          <w:tcPr>
            <w:tcW w:w="660" w:type="dxa"/>
            <w:vAlign w:val="center"/>
          </w:tcPr>
          <w:p w14:paraId="758A3987" w14:textId="77777777" w:rsidR="00C52F2B" w:rsidRPr="000169EF" w:rsidRDefault="00C52F2B" w:rsidP="00515F25">
            <w:pPr>
              <w:jc w:val="center"/>
              <w:rPr>
                <w:rFonts w:eastAsia="Times New Roman"/>
                <w:bCs/>
                <w:sz w:val="16"/>
                <w:szCs w:val="16"/>
                <w:lang w:eastAsia="hr-HR"/>
              </w:rPr>
            </w:pPr>
          </w:p>
        </w:tc>
        <w:tc>
          <w:tcPr>
            <w:tcW w:w="962" w:type="dxa"/>
            <w:shd w:val="clear" w:color="auto" w:fill="auto"/>
            <w:vAlign w:val="center"/>
          </w:tcPr>
          <w:p w14:paraId="5E7B6D98" w14:textId="62FB9A2A" w:rsidR="00C52F2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22</w:t>
            </w:r>
          </w:p>
        </w:tc>
        <w:tc>
          <w:tcPr>
            <w:tcW w:w="1158" w:type="dxa"/>
            <w:vAlign w:val="center"/>
          </w:tcPr>
          <w:p w14:paraId="5306F7CC" w14:textId="77777777" w:rsidR="00C52F2B" w:rsidRPr="000169EF" w:rsidRDefault="00C52F2B" w:rsidP="00515F25">
            <w:pPr>
              <w:jc w:val="center"/>
              <w:rPr>
                <w:rFonts w:eastAsia="Times New Roman"/>
                <w:bCs/>
                <w:sz w:val="16"/>
                <w:szCs w:val="16"/>
                <w:lang w:eastAsia="hr-HR"/>
              </w:rPr>
            </w:pPr>
          </w:p>
        </w:tc>
        <w:tc>
          <w:tcPr>
            <w:tcW w:w="980" w:type="dxa"/>
            <w:shd w:val="clear" w:color="auto" w:fill="auto"/>
            <w:vAlign w:val="center"/>
          </w:tcPr>
          <w:p w14:paraId="40284FF1" w14:textId="16EE9C91" w:rsidR="00C52F2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10.271</w:t>
            </w:r>
          </w:p>
        </w:tc>
        <w:tc>
          <w:tcPr>
            <w:tcW w:w="980" w:type="dxa"/>
            <w:shd w:val="clear" w:color="auto" w:fill="auto"/>
            <w:vAlign w:val="center"/>
          </w:tcPr>
          <w:p w14:paraId="658F945C" w14:textId="75DECC7E" w:rsidR="00C52F2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277</w:t>
            </w:r>
          </w:p>
        </w:tc>
        <w:tc>
          <w:tcPr>
            <w:tcW w:w="971" w:type="dxa"/>
            <w:shd w:val="clear" w:color="auto" w:fill="auto"/>
            <w:vAlign w:val="center"/>
          </w:tcPr>
          <w:p w14:paraId="503B7605" w14:textId="753B2045" w:rsidR="00C52F2B" w:rsidRPr="000169EF" w:rsidRDefault="00441872" w:rsidP="00515F25">
            <w:pPr>
              <w:jc w:val="center"/>
              <w:rPr>
                <w:rFonts w:eastAsia="Times New Roman"/>
                <w:bCs/>
                <w:sz w:val="16"/>
                <w:szCs w:val="16"/>
                <w:lang w:eastAsia="hr-HR"/>
              </w:rPr>
            </w:pPr>
            <w:r w:rsidRPr="000169EF">
              <w:rPr>
                <w:rFonts w:eastAsia="Times New Roman"/>
                <w:bCs/>
                <w:sz w:val="16"/>
                <w:szCs w:val="16"/>
                <w:lang w:eastAsia="hr-HR"/>
              </w:rPr>
              <w:t>69</w:t>
            </w:r>
          </w:p>
        </w:tc>
        <w:tc>
          <w:tcPr>
            <w:tcW w:w="926" w:type="dxa"/>
            <w:shd w:val="clear" w:color="auto" w:fill="auto"/>
            <w:vAlign w:val="center"/>
          </w:tcPr>
          <w:p w14:paraId="142B8D8A" w14:textId="3DB1566D" w:rsidR="00C52F2B" w:rsidRPr="000169EF" w:rsidRDefault="00441872" w:rsidP="00515F25">
            <w:pPr>
              <w:jc w:val="center"/>
              <w:rPr>
                <w:rFonts w:eastAsia="Times New Roman"/>
                <w:bCs/>
                <w:sz w:val="16"/>
                <w:szCs w:val="16"/>
                <w:lang w:eastAsia="hr-HR"/>
              </w:rPr>
            </w:pPr>
            <w:r w:rsidRPr="000169EF">
              <w:rPr>
                <w:rFonts w:eastAsia="Times New Roman"/>
                <w:bCs/>
                <w:sz w:val="16"/>
                <w:szCs w:val="16"/>
                <w:lang w:eastAsia="hr-HR"/>
              </w:rPr>
              <w:t>10.617</w:t>
            </w:r>
          </w:p>
        </w:tc>
        <w:tc>
          <w:tcPr>
            <w:tcW w:w="917" w:type="dxa"/>
            <w:shd w:val="clear" w:color="auto" w:fill="auto"/>
            <w:vAlign w:val="center"/>
          </w:tcPr>
          <w:p w14:paraId="65E193F0" w14:textId="77777777" w:rsidR="00C52F2B" w:rsidRPr="000169EF" w:rsidRDefault="00C52F2B" w:rsidP="00515F25">
            <w:pPr>
              <w:jc w:val="center"/>
              <w:rPr>
                <w:rFonts w:eastAsia="Times New Roman"/>
                <w:bCs/>
                <w:sz w:val="16"/>
                <w:szCs w:val="16"/>
                <w:lang w:eastAsia="hr-HR"/>
              </w:rPr>
            </w:pPr>
          </w:p>
        </w:tc>
      </w:tr>
      <w:tr w:rsidR="00C52F2B" w:rsidRPr="001B4CA2" w14:paraId="76C8976D" w14:textId="77777777" w:rsidTr="00B901FE">
        <w:trPr>
          <w:trHeight w:val="300"/>
          <w:jc w:val="center"/>
        </w:trPr>
        <w:tc>
          <w:tcPr>
            <w:tcW w:w="519" w:type="dxa"/>
            <w:shd w:val="clear" w:color="auto" w:fill="auto"/>
            <w:vAlign w:val="center"/>
          </w:tcPr>
          <w:p w14:paraId="73054D16" w14:textId="36D3F38A" w:rsidR="00C52F2B" w:rsidRPr="000169EF" w:rsidRDefault="00C52F2B" w:rsidP="00515F25">
            <w:pPr>
              <w:jc w:val="center"/>
              <w:rPr>
                <w:rFonts w:eastAsia="Times New Roman"/>
                <w:sz w:val="16"/>
                <w:szCs w:val="16"/>
                <w:lang w:eastAsia="hr-HR"/>
              </w:rPr>
            </w:pPr>
            <w:r w:rsidRPr="000169EF">
              <w:rPr>
                <w:rFonts w:eastAsia="Times New Roman"/>
                <w:sz w:val="16"/>
                <w:szCs w:val="16"/>
                <w:lang w:eastAsia="hr-HR"/>
              </w:rPr>
              <w:t>20</w:t>
            </w:r>
            <w:r w:rsidR="00636697" w:rsidRPr="000169EF">
              <w:rPr>
                <w:rFonts w:eastAsia="Times New Roman"/>
                <w:sz w:val="16"/>
                <w:szCs w:val="16"/>
                <w:lang w:eastAsia="hr-HR"/>
              </w:rPr>
              <w:t>20</w:t>
            </w:r>
            <w:r w:rsidRPr="000169EF">
              <w:rPr>
                <w:rFonts w:eastAsia="Times New Roman"/>
                <w:sz w:val="16"/>
                <w:szCs w:val="16"/>
                <w:lang w:eastAsia="hr-HR"/>
              </w:rPr>
              <w:t>.</w:t>
            </w:r>
          </w:p>
        </w:tc>
        <w:tc>
          <w:tcPr>
            <w:tcW w:w="953" w:type="dxa"/>
            <w:shd w:val="clear" w:color="auto" w:fill="auto"/>
            <w:vAlign w:val="center"/>
          </w:tcPr>
          <w:p w14:paraId="2D6B3E9A" w14:textId="436F050E" w:rsidR="00C52F2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23.088</w:t>
            </w:r>
          </w:p>
        </w:tc>
        <w:tc>
          <w:tcPr>
            <w:tcW w:w="660" w:type="dxa"/>
            <w:vAlign w:val="center"/>
          </w:tcPr>
          <w:p w14:paraId="3EA693BE" w14:textId="2D1EE508" w:rsidR="00C52F2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196</w:t>
            </w:r>
          </w:p>
        </w:tc>
        <w:tc>
          <w:tcPr>
            <w:tcW w:w="962" w:type="dxa"/>
            <w:shd w:val="clear" w:color="auto" w:fill="auto"/>
            <w:vAlign w:val="center"/>
          </w:tcPr>
          <w:p w14:paraId="064D6C4C" w14:textId="6956227C" w:rsidR="00C52F2B" w:rsidRPr="000169EF" w:rsidRDefault="00C52F2B" w:rsidP="00515F25">
            <w:pPr>
              <w:jc w:val="center"/>
              <w:rPr>
                <w:rFonts w:eastAsia="Times New Roman"/>
                <w:bCs/>
                <w:sz w:val="16"/>
                <w:szCs w:val="16"/>
                <w:lang w:eastAsia="hr-HR"/>
              </w:rPr>
            </w:pPr>
          </w:p>
        </w:tc>
        <w:tc>
          <w:tcPr>
            <w:tcW w:w="1158" w:type="dxa"/>
            <w:vAlign w:val="center"/>
          </w:tcPr>
          <w:p w14:paraId="0C9D2812" w14:textId="327606C3" w:rsidR="00C52F2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3.031</w:t>
            </w:r>
          </w:p>
        </w:tc>
        <w:tc>
          <w:tcPr>
            <w:tcW w:w="980" w:type="dxa"/>
            <w:shd w:val="clear" w:color="auto" w:fill="auto"/>
            <w:vAlign w:val="center"/>
          </w:tcPr>
          <w:p w14:paraId="6340449F" w14:textId="6C944B9D" w:rsidR="00C52F2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14.383</w:t>
            </w:r>
          </w:p>
        </w:tc>
        <w:tc>
          <w:tcPr>
            <w:tcW w:w="980" w:type="dxa"/>
            <w:shd w:val="clear" w:color="auto" w:fill="auto"/>
            <w:vAlign w:val="center"/>
          </w:tcPr>
          <w:p w14:paraId="33957DA0" w14:textId="5BD3BAE8" w:rsidR="00C52F2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314</w:t>
            </w:r>
          </w:p>
        </w:tc>
        <w:tc>
          <w:tcPr>
            <w:tcW w:w="971" w:type="dxa"/>
            <w:shd w:val="clear" w:color="auto" w:fill="auto"/>
            <w:vAlign w:val="center"/>
          </w:tcPr>
          <w:p w14:paraId="09013241" w14:textId="4EBAB18E" w:rsidR="00C52F2B" w:rsidRPr="000169EF" w:rsidRDefault="00441872" w:rsidP="00515F25">
            <w:pPr>
              <w:jc w:val="center"/>
              <w:rPr>
                <w:rFonts w:eastAsia="Times New Roman"/>
                <w:bCs/>
                <w:sz w:val="16"/>
                <w:szCs w:val="16"/>
                <w:lang w:eastAsia="hr-HR"/>
              </w:rPr>
            </w:pPr>
            <w:r w:rsidRPr="000169EF">
              <w:rPr>
                <w:rFonts w:eastAsia="Times New Roman"/>
                <w:bCs/>
                <w:sz w:val="16"/>
                <w:szCs w:val="16"/>
                <w:lang w:eastAsia="hr-HR"/>
              </w:rPr>
              <w:t>57</w:t>
            </w:r>
          </w:p>
        </w:tc>
        <w:tc>
          <w:tcPr>
            <w:tcW w:w="926" w:type="dxa"/>
            <w:shd w:val="clear" w:color="auto" w:fill="auto"/>
            <w:vAlign w:val="center"/>
          </w:tcPr>
          <w:p w14:paraId="0DF193E6" w14:textId="75628DC1" w:rsidR="00C52F2B" w:rsidRPr="000169EF" w:rsidRDefault="00441872" w:rsidP="00515F25">
            <w:pPr>
              <w:jc w:val="center"/>
              <w:rPr>
                <w:rFonts w:eastAsia="Times New Roman"/>
                <w:bCs/>
                <w:sz w:val="16"/>
                <w:szCs w:val="16"/>
                <w:lang w:eastAsia="hr-HR"/>
              </w:rPr>
            </w:pPr>
            <w:r w:rsidRPr="000169EF">
              <w:rPr>
                <w:rFonts w:eastAsia="Times New Roman"/>
                <w:bCs/>
                <w:sz w:val="16"/>
                <w:szCs w:val="16"/>
                <w:lang w:eastAsia="hr-HR"/>
              </w:rPr>
              <w:t>14.754</w:t>
            </w:r>
          </w:p>
        </w:tc>
        <w:tc>
          <w:tcPr>
            <w:tcW w:w="917" w:type="dxa"/>
            <w:shd w:val="clear" w:color="auto" w:fill="auto"/>
            <w:vAlign w:val="center"/>
          </w:tcPr>
          <w:p w14:paraId="07C39F72" w14:textId="3A9D9D44" w:rsidR="00C52F2B" w:rsidRPr="000169EF" w:rsidRDefault="00441872" w:rsidP="00515F25">
            <w:pPr>
              <w:jc w:val="center"/>
              <w:rPr>
                <w:rFonts w:eastAsia="Times New Roman"/>
                <w:bCs/>
                <w:sz w:val="16"/>
                <w:szCs w:val="16"/>
                <w:lang w:eastAsia="hr-HR"/>
              </w:rPr>
            </w:pPr>
            <w:r w:rsidRPr="000169EF">
              <w:rPr>
                <w:rFonts w:eastAsia="Times New Roman"/>
                <w:bCs/>
                <w:sz w:val="16"/>
                <w:szCs w:val="16"/>
                <w:lang w:eastAsia="hr-HR"/>
              </w:rPr>
              <w:t>6.983</w:t>
            </w:r>
          </w:p>
        </w:tc>
      </w:tr>
      <w:tr w:rsidR="008063BB" w:rsidRPr="001B4CA2" w14:paraId="051F0439" w14:textId="77777777" w:rsidTr="00B901FE">
        <w:trPr>
          <w:trHeight w:val="315"/>
          <w:jc w:val="center"/>
        </w:trPr>
        <w:tc>
          <w:tcPr>
            <w:tcW w:w="519" w:type="dxa"/>
            <w:shd w:val="clear" w:color="auto" w:fill="auto"/>
            <w:vAlign w:val="center"/>
          </w:tcPr>
          <w:p w14:paraId="08662796" w14:textId="4149DA03" w:rsidR="008063BB" w:rsidRPr="000169EF" w:rsidRDefault="008063BB" w:rsidP="00515F25">
            <w:pPr>
              <w:jc w:val="center"/>
              <w:rPr>
                <w:rFonts w:eastAsia="Times New Roman"/>
                <w:sz w:val="16"/>
                <w:szCs w:val="16"/>
                <w:lang w:eastAsia="hr-HR"/>
              </w:rPr>
            </w:pPr>
            <w:r w:rsidRPr="000169EF">
              <w:rPr>
                <w:rFonts w:eastAsia="Times New Roman"/>
                <w:sz w:val="16"/>
                <w:szCs w:val="16"/>
                <w:lang w:eastAsia="hr-HR"/>
              </w:rPr>
              <w:t>202</w:t>
            </w:r>
            <w:r w:rsidR="00636697" w:rsidRPr="000169EF">
              <w:rPr>
                <w:rFonts w:eastAsia="Times New Roman"/>
                <w:sz w:val="16"/>
                <w:szCs w:val="16"/>
                <w:lang w:eastAsia="hr-HR"/>
              </w:rPr>
              <w:t>1</w:t>
            </w:r>
            <w:r w:rsidRPr="000169EF">
              <w:rPr>
                <w:rFonts w:eastAsia="Times New Roman"/>
                <w:sz w:val="16"/>
                <w:szCs w:val="16"/>
                <w:lang w:eastAsia="hr-HR"/>
              </w:rPr>
              <w:t>.</w:t>
            </w:r>
          </w:p>
        </w:tc>
        <w:tc>
          <w:tcPr>
            <w:tcW w:w="953" w:type="dxa"/>
            <w:shd w:val="clear" w:color="auto" w:fill="auto"/>
            <w:vAlign w:val="center"/>
          </w:tcPr>
          <w:p w14:paraId="52096A0D" w14:textId="6963E198" w:rsidR="008063B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20.013</w:t>
            </w:r>
          </w:p>
        </w:tc>
        <w:tc>
          <w:tcPr>
            <w:tcW w:w="660" w:type="dxa"/>
            <w:vAlign w:val="center"/>
          </w:tcPr>
          <w:p w14:paraId="71C75ACF" w14:textId="1036864E" w:rsidR="008063B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270</w:t>
            </w:r>
          </w:p>
        </w:tc>
        <w:tc>
          <w:tcPr>
            <w:tcW w:w="962" w:type="dxa"/>
            <w:shd w:val="clear" w:color="auto" w:fill="auto"/>
            <w:vAlign w:val="center"/>
          </w:tcPr>
          <w:p w14:paraId="4E365647" w14:textId="4BF003E2" w:rsidR="008063B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29</w:t>
            </w:r>
          </w:p>
        </w:tc>
        <w:tc>
          <w:tcPr>
            <w:tcW w:w="1158" w:type="dxa"/>
            <w:vAlign w:val="center"/>
          </w:tcPr>
          <w:p w14:paraId="7DCFEB78" w14:textId="3B5BE544" w:rsidR="008063B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4.064</w:t>
            </w:r>
          </w:p>
        </w:tc>
        <w:tc>
          <w:tcPr>
            <w:tcW w:w="980" w:type="dxa"/>
            <w:shd w:val="clear" w:color="auto" w:fill="auto"/>
            <w:vAlign w:val="center"/>
          </w:tcPr>
          <w:p w14:paraId="1598CEAB" w14:textId="7C11E9BB" w:rsidR="008063B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12.066</w:t>
            </w:r>
          </w:p>
        </w:tc>
        <w:tc>
          <w:tcPr>
            <w:tcW w:w="980" w:type="dxa"/>
            <w:shd w:val="clear" w:color="auto" w:fill="auto"/>
            <w:vAlign w:val="center"/>
          </w:tcPr>
          <w:p w14:paraId="223D26AD" w14:textId="1A5DDFDC" w:rsidR="008063BB" w:rsidRPr="000169EF" w:rsidRDefault="00441872" w:rsidP="00515F25">
            <w:pPr>
              <w:jc w:val="center"/>
              <w:rPr>
                <w:rFonts w:eastAsia="Times New Roman"/>
                <w:bCs/>
                <w:sz w:val="16"/>
                <w:szCs w:val="16"/>
                <w:lang w:eastAsia="hr-HR"/>
              </w:rPr>
            </w:pPr>
            <w:r w:rsidRPr="000169EF">
              <w:rPr>
                <w:rFonts w:eastAsia="Times New Roman"/>
                <w:bCs/>
                <w:sz w:val="16"/>
                <w:szCs w:val="16"/>
                <w:lang w:eastAsia="hr-HR"/>
              </w:rPr>
              <w:t>268</w:t>
            </w:r>
          </w:p>
        </w:tc>
        <w:tc>
          <w:tcPr>
            <w:tcW w:w="971" w:type="dxa"/>
            <w:shd w:val="clear" w:color="auto" w:fill="auto"/>
            <w:vAlign w:val="center"/>
          </w:tcPr>
          <w:p w14:paraId="1F01894D" w14:textId="08F66F1D" w:rsidR="008063BB" w:rsidRPr="000169EF" w:rsidRDefault="00441872" w:rsidP="00515F25">
            <w:pPr>
              <w:jc w:val="center"/>
              <w:rPr>
                <w:rFonts w:eastAsia="Times New Roman"/>
                <w:bCs/>
                <w:sz w:val="16"/>
                <w:szCs w:val="16"/>
                <w:lang w:eastAsia="hr-HR"/>
              </w:rPr>
            </w:pPr>
            <w:r w:rsidRPr="000169EF">
              <w:rPr>
                <w:rFonts w:eastAsia="Times New Roman"/>
                <w:bCs/>
                <w:sz w:val="16"/>
                <w:szCs w:val="16"/>
                <w:lang w:eastAsia="hr-HR"/>
              </w:rPr>
              <w:t>48</w:t>
            </w:r>
          </w:p>
        </w:tc>
        <w:tc>
          <w:tcPr>
            <w:tcW w:w="926" w:type="dxa"/>
            <w:shd w:val="clear" w:color="auto" w:fill="auto"/>
            <w:vAlign w:val="center"/>
          </w:tcPr>
          <w:p w14:paraId="18FD0945" w14:textId="07E53C0D" w:rsidR="008063BB" w:rsidRPr="000169EF" w:rsidRDefault="00441872" w:rsidP="00515F25">
            <w:pPr>
              <w:jc w:val="center"/>
              <w:rPr>
                <w:rFonts w:eastAsia="Times New Roman"/>
                <w:bCs/>
                <w:sz w:val="16"/>
                <w:szCs w:val="16"/>
                <w:lang w:eastAsia="hr-HR"/>
              </w:rPr>
            </w:pPr>
            <w:r w:rsidRPr="000169EF">
              <w:rPr>
                <w:rFonts w:eastAsia="Times New Roman"/>
                <w:bCs/>
                <w:sz w:val="16"/>
                <w:szCs w:val="16"/>
                <w:lang w:eastAsia="hr-HR"/>
              </w:rPr>
              <w:t>12.382</w:t>
            </w:r>
          </w:p>
        </w:tc>
        <w:tc>
          <w:tcPr>
            <w:tcW w:w="917" w:type="dxa"/>
            <w:shd w:val="clear" w:color="auto" w:fill="auto"/>
            <w:vAlign w:val="center"/>
          </w:tcPr>
          <w:p w14:paraId="3E595BAE" w14:textId="6F53556D" w:rsidR="008063BB" w:rsidRPr="000169EF" w:rsidRDefault="00441872" w:rsidP="00515F25">
            <w:pPr>
              <w:jc w:val="center"/>
              <w:rPr>
                <w:rFonts w:eastAsia="Times New Roman"/>
                <w:bCs/>
                <w:sz w:val="16"/>
                <w:szCs w:val="16"/>
                <w:lang w:eastAsia="hr-HR"/>
              </w:rPr>
            </w:pPr>
            <w:r w:rsidRPr="000169EF">
              <w:rPr>
                <w:rFonts w:eastAsia="Times New Roman"/>
                <w:bCs/>
                <w:sz w:val="16"/>
                <w:szCs w:val="16"/>
                <w:lang w:eastAsia="hr-HR"/>
              </w:rPr>
              <w:t>8.918</w:t>
            </w:r>
          </w:p>
        </w:tc>
      </w:tr>
      <w:tr w:rsidR="008063BB" w:rsidRPr="001B4CA2" w14:paraId="643271BF" w14:textId="77777777" w:rsidTr="00B901FE">
        <w:trPr>
          <w:trHeight w:val="315"/>
          <w:jc w:val="center"/>
        </w:trPr>
        <w:tc>
          <w:tcPr>
            <w:tcW w:w="519" w:type="dxa"/>
            <w:shd w:val="clear" w:color="auto" w:fill="auto"/>
            <w:vAlign w:val="center"/>
          </w:tcPr>
          <w:p w14:paraId="11F1A24D" w14:textId="21D5D8EB" w:rsidR="008063BB" w:rsidRPr="000169EF" w:rsidRDefault="008063BB" w:rsidP="00515F25">
            <w:pPr>
              <w:jc w:val="center"/>
              <w:rPr>
                <w:rFonts w:eastAsia="Times New Roman"/>
                <w:sz w:val="16"/>
                <w:szCs w:val="16"/>
                <w:lang w:eastAsia="hr-HR"/>
              </w:rPr>
            </w:pPr>
            <w:r w:rsidRPr="000169EF">
              <w:rPr>
                <w:rFonts w:eastAsia="Times New Roman"/>
                <w:sz w:val="16"/>
                <w:szCs w:val="16"/>
                <w:lang w:eastAsia="hr-HR"/>
              </w:rPr>
              <w:t>202</w:t>
            </w:r>
            <w:r w:rsidR="00636697" w:rsidRPr="000169EF">
              <w:rPr>
                <w:rFonts w:eastAsia="Times New Roman"/>
                <w:sz w:val="16"/>
                <w:szCs w:val="16"/>
                <w:lang w:eastAsia="hr-HR"/>
              </w:rPr>
              <w:t>2</w:t>
            </w:r>
            <w:r w:rsidRPr="000169EF">
              <w:rPr>
                <w:rFonts w:eastAsia="Times New Roman"/>
                <w:sz w:val="16"/>
                <w:szCs w:val="16"/>
                <w:lang w:eastAsia="hr-HR"/>
              </w:rPr>
              <w:t>.</w:t>
            </w:r>
          </w:p>
        </w:tc>
        <w:tc>
          <w:tcPr>
            <w:tcW w:w="953" w:type="dxa"/>
            <w:shd w:val="clear" w:color="auto" w:fill="auto"/>
            <w:vAlign w:val="center"/>
          </w:tcPr>
          <w:p w14:paraId="7DEC2229" w14:textId="41BDC281" w:rsidR="008063B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18.947</w:t>
            </w:r>
          </w:p>
        </w:tc>
        <w:tc>
          <w:tcPr>
            <w:tcW w:w="660" w:type="dxa"/>
            <w:vAlign w:val="center"/>
          </w:tcPr>
          <w:p w14:paraId="2CA192A7" w14:textId="7B2CBE5A" w:rsidR="008063B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86</w:t>
            </w:r>
          </w:p>
        </w:tc>
        <w:tc>
          <w:tcPr>
            <w:tcW w:w="962" w:type="dxa"/>
            <w:shd w:val="clear" w:color="auto" w:fill="auto"/>
            <w:vAlign w:val="center"/>
          </w:tcPr>
          <w:p w14:paraId="66E775F4" w14:textId="23BB6CEE" w:rsidR="008063B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21</w:t>
            </w:r>
          </w:p>
        </w:tc>
        <w:tc>
          <w:tcPr>
            <w:tcW w:w="1158" w:type="dxa"/>
            <w:vAlign w:val="center"/>
          </w:tcPr>
          <w:p w14:paraId="2A05F189" w14:textId="447E8C53" w:rsidR="008063B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4.314</w:t>
            </w:r>
          </w:p>
        </w:tc>
        <w:tc>
          <w:tcPr>
            <w:tcW w:w="980" w:type="dxa"/>
            <w:shd w:val="clear" w:color="auto" w:fill="auto"/>
            <w:vAlign w:val="center"/>
          </w:tcPr>
          <w:p w14:paraId="58A5039B" w14:textId="400ACA4F" w:rsidR="008063BB" w:rsidRPr="000169EF" w:rsidRDefault="00636697" w:rsidP="00515F25">
            <w:pPr>
              <w:jc w:val="center"/>
              <w:rPr>
                <w:rFonts w:eastAsia="Times New Roman"/>
                <w:bCs/>
                <w:sz w:val="16"/>
                <w:szCs w:val="16"/>
                <w:lang w:eastAsia="hr-HR"/>
              </w:rPr>
            </w:pPr>
            <w:r w:rsidRPr="000169EF">
              <w:rPr>
                <w:rFonts w:eastAsia="Times New Roman"/>
                <w:bCs/>
                <w:sz w:val="16"/>
                <w:szCs w:val="16"/>
                <w:lang w:eastAsia="hr-HR"/>
              </w:rPr>
              <w:t>12.566</w:t>
            </w:r>
          </w:p>
        </w:tc>
        <w:tc>
          <w:tcPr>
            <w:tcW w:w="980" w:type="dxa"/>
            <w:shd w:val="clear" w:color="auto" w:fill="auto"/>
            <w:vAlign w:val="center"/>
          </w:tcPr>
          <w:p w14:paraId="4D8835B6" w14:textId="0F7717B0" w:rsidR="008063BB" w:rsidRPr="000169EF" w:rsidRDefault="00441872" w:rsidP="00515F25">
            <w:pPr>
              <w:jc w:val="center"/>
              <w:rPr>
                <w:rFonts w:eastAsia="Times New Roman"/>
                <w:bCs/>
                <w:sz w:val="16"/>
                <w:szCs w:val="16"/>
                <w:lang w:eastAsia="hr-HR"/>
              </w:rPr>
            </w:pPr>
            <w:r w:rsidRPr="000169EF">
              <w:rPr>
                <w:rFonts w:eastAsia="Times New Roman"/>
                <w:bCs/>
                <w:sz w:val="16"/>
                <w:szCs w:val="16"/>
                <w:lang w:eastAsia="hr-HR"/>
              </w:rPr>
              <w:t>287</w:t>
            </w:r>
          </w:p>
        </w:tc>
        <w:tc>
          <w:tcPr>
            <w:tcW w:w="971" w:type="dxa"/>
            <w:shd w:val="clear" w:color="auto" w:fill="auto"/>
            <w:vAlign w:val="center"/>
          </w:tcPr>
          <w:p w14:paraId="7D81703D" w14:textId="7393F369" w:rsidR="008063BB" w:rsidRPr="000169EF" w:rsidRDefault="00441872" w:rsidP="00515F25">
            <w:pPr>
              <w:jc w:val="center"/>
              <w:rPr>
                <w:rFonts w:eastAsia="Times New Roman"/>
                <w:bCs/>
                <w:sz w:val="16"/>
                <w:szCs w:val="16"/>
                <w:lang w:eastAsia="hr-HR"/>
              </w:rPr>
            </w:pPr>
            <w:r w:rsidRPr="000169EF">
              <w:rPr>
                <w:rFonts w:eastAsia="Times New Roman"/>
                <w:bCs/>
                <w:sz w:val="16"/>
                <w:szCs w:val="16"/>
                <w:lang w:eastAsia="hr-HR"/>
              </w:rPr>
              <w:t>95</w:t>
            </w:r>
          </w:p>
        </w:tc>
        <w:tc>
          <w:tcPr>
            <w:tcW w:w="926" w:type="dxa"/>
            <w:shd w:val="clear" w:color="auto" w:fill="auto"/>
            <w:vAlign w:val="center"/>
          </w:tcPr>
          <w:p w14:paraId="69BBCE4B" w14:textId="19DBB9CE" w:rsidR="008063BB" w:rsidRPr="000169EF" w:rsidRDefault="00441872" w:rsidP="00515F25">
            <w:pPr>
              <w:jc w:val="center"/>
              <w:rPr>
                <w:rFonts w:eastAsia="Times New Roman"/>
                <w:bCs/>
                <w:sz w:val="16"/>
                <w:szCs w:val="16"/>
                <w:lang w:eastAsia="hr-HR"/>
              </w:rPr>
            </w:pPr>
            <w:r w:rsidRPr="000169EF">
              <w:rPr>
                <w:rFonts w:eastAsia="Times New Roman"/>
                <w:bCs/>
                <w:sz w:val="16"/>
                <w:szCs w:val="16"/>
                <w:lang w:eastAsia="hr-HR"/>
              </w:rPr>
              <w:t>12.948</w:t>
            </w:r>
          </w:p>
        </w:tc>
        <w:tc>
          <w:tcPr>
            <w:tcW w:w="917" w:type="dxa"/>
            <w:shd w:val="clear" w:color="auto" w:fill="auto"/>
            <w:vAlign w:val="center"/>
          </w:tcPr>
          <w:p w14:paraId="64E5EFEE" w14:textId="0037A1A2" w:rsidR="008063BB" w:rsidRPr="000169EF" w:rsidRDefault="00441872" w:rsidP="00515F25">
            <w:pPr>
              <w:jc w:val="center"/>
              <w:rPr>
                <w:rFonts w:eastAsia="Times New Roman"/>
                <w:bCs/>
                <w:sz w:val="16"/>
                <w:szCs w:val="16"/>
                <w:lang w:eastAsia="hr-HR"/>
              </w:rPr>
            </w:pPr>
            <w:r w:rsidRPr="000169EF">
              <w:rPr>
                <w:rFonts w:eastAsia="Times New Roman"/>
                <w:bCs/>
                <w:sz w:val="16"/>
                <w:szCs w:val="16"/>
                <w:lang w:eastAsia="hr-HR"/>
              </w:rPr>
              <w:t>5.909</w:t>
            </w:r>
          </w:p>
        </w:tc>
      </w:tr>
    </w:tbl>
    <w:p w14:paraId="318A6567" w14:textId="112D8D9F" w:rsidR="001125B6" w:rsidRPr="001B4CA2" w:rsidRDefault="001125B6" w:rsidP="007D49A7"/>
    <w:p w14:paraId="1B9EC436" w14:textId="3B4F9A41" w:rsidR="00DD67EB" w:rsidRPr="001B4CA2" w:rsidRDefault="00DD67EB" w:rsidP="007D49A7"/>
    <w:p w14:paraId="77DD81BB" w14:textId="618002FB" w:rsidR="00B06BB4" w:rsidRPr="001B4CA2" w:rsidRDefault="00B06BB4" w:rsidP="007D49A7"/>
    <w:p w14:paraId="06FF4615" w14:textId="77777777" w:rsidR="000F634C" w:rsidRPr="001B4CA2" w:rsidRDefault="000F634C" w:rsidP="007D49A7"/>
    <w:p w14:paraId="0FA59E72" w14:textId="4313CFAA" w:rsidR="00441872" w:rsidRPr="001B4CA2" w:rsidRDefault="00441872" w:rsidP="00441872">
      <w:pPr>
        <w:pStyle w:val="Odlomakpopisa"/>
        <w:widowControl w:val="0"/>
        <w:ind w:left="0"/>
        <w:rPr>
          <w:snapToGrid w:val="0"/>
        </w:rPr>
      </w:pPr>
      <w:r w:rsidRPr="001B4CA2">
        <w:rPr>
          <w:snapToGrid w:val="0"/>
        </w:rPr>
        <w:lastRenderedPageBreak/>
        <w:tab/>
        <w:t>Optužna vijeća nadležnih sudova u izvještajnom razdoblju postupala su ukupno po optužnicama u odnosu na 18.947 osoba i donijela 12.948 odluka, što je 4,38</w:t>
      </w:r>
      <w:r w:rsidR="007A1D94">
        <w:rPr>
          <w:snapToGrid w:val="0"/>
        </w:rPr>
        <w:t> </w:t>
      </w:r>
      <w:r w:rsidRPr="001B4CA2">
        <w:rPr>
          <w:snapToGrid w:val="0"/>
        </w:rPr>
        <w:t>% više odluka optužnog vijeća nego u prethodnom razdoblju</w:t>
      </w:r>
      <w:r w:rsidR="00B06BB4" w:rsidRPr="001B4CA2">
        <w:rPr>
          <w:snapToGrid w:val="0"/>
        </w:rPr>
        <w:t>.</w:t>
      </w:r>
      <w:r w:rsidRPr="001B4CA2">
        <w:rPr>
          <w:snapToGrid w:val="0"/>
        </w:rPr>
        <w:t xml:space="preserve"> </w:t>
      </w:r>
      <w:r w:rsidR="00B06BB4" w:rsidRPr="001B4CA2">
        <w:rPr>
          <w:snapToGrid w:val="0"/>
        </w:rPr>
        <w:t>Optužna vijeća nisu donijela odluku o osnovanosti podignutih optužnica protiv 5.909 osoba.</w:t>
      </w:r>
    </w:p>
    <w:p w14:paraId="5FBC3170" w14:textId="77777777" w:rsidR="00441872" w:rsidRPr="001B4CA2" w:rsidRDefault="00441872" w:rsidP="00441872">
      <w:pPr>
        <w:pStyle w:val="Odlomakpopisa"/>
        <w:widowControl w:val="0"/>
        <w:ind w:left="0"/>
        <w:rPr>
          <w:snapToGrid w:val="0"/>
        </w:rPr>
      </w:pPr>
    </w:p>
    <w:p w14:paraId="51C16E1A" w14:textId="213AAB10" w:rsidR="00441872" w:rsidRPr="001B4CA2" w:rsidRDefault="00441872" w:rsidP="00441872">
      <w:pPr>
        <w:pStyle w:val="Odlomakpopisa"/>
        <w:widowControl w:val="0"/>
        <w:ind w:left="0"/>
        <w:rPr>
          <w:snapToGrid w:val="0"/>
        </w:rPr>
      </w:pPr>
      <w:r w:rsidRPr="001B4CA2">
        <w:rPr>
          <w:snapToGrid w:val="0"/>
        </w:rPr>
        <w:tab/>
        <w:t>Od ukupnog broja donesenih odluka optužnog vijeća optužnica je potvrđena u odnosnu na 97,04</w:t>
      </w:r>
      <w:r w:rsidR="007A1D94">
        <w:rPr>
          <w:snapToGrid w:val="0"/>
        </w:rPr>
        <w:t> </w:t>
      </w:r>
      <w:r w:rsidRPr="001B4CA2">
        <w:rPr>
          <w:snapToGrid w:val="0"/>
        </w:rPr>
        <w:t>% optuženih osoba, čime je zadržano visok</w:t>
      </w:r>
      <w:r w:rsidR="007A1D94">
        <w:rPr>
          <w:snapToGrid w:val="0"/>
        </w:rPr>
        <w:t xml:space="preserve"> udio </w:t>
      </w:r>
      <w:r w:rsidRPr="001B4CA2">
        <w:rPr>
          <w:snapToGrid w:val="0"/>
        </w:rPr>
        <w:t xml:space="preserve">potvrđenih, dakle osnovanih </w:t>
      </w:r>
      <w:proofErr w:type="spellStart"/>
      <w:r w:rsidRPr="001B4CA2">
        <w:rPr>
          <w:snapToGrid w:val="0"/>
        </w:rPr>
        <w:t>državnoodvjetničkih</w:t>
      </w:r>
      <w:proofErr w:type="spellEnd"/>
      <w:r w:rsidRPr="001B4CA2">
        <w:rPr>
          <w:snapToGrid w:val="0"/>
        </w:rPr>
        <w:t xml:space="preserve"> optuženja, dok je optužno vijeće vratilo, radi ispravka i/ili boljeg razjašnjenja stvari optužnice protiv 2,22</w:t>
      </w:r>
      <w:r w:rsidR="007A1D94">
        <w:rPr>
          <w:snapToGrid w:val="0"/>
        </w:rPr>
        <w:t> </w:t>
      </w:r>
      <w:r w:rsidRPr="001B4CA2">
        <w:rPr>
          <w:snapToGrid w:val="0"/>
        </w:rPr>
        <w:t>% optuženih osoba. Nakon dopune istrage ili poduzimanja dokaznih radnji u skladu s odlukama optužnog vijeća, u pravilu su ponovno podizane optužnice u rokovima propisanim Zakonom o kaznenom postupku.</w:t>
      </w:r>
    </w:p>
    <w:p w14:paraId="04A9C22D" w14:textId="77777777" w:rsidR="00441872" w:rsidRPr="001B4CA2" w:rsidRDefault="00441872" w:rsidP="00441872">
      <w:pPr>
        <w:pStyle w:val="Odlomakpopisa"/>
        <w:widowControl w:val="0"/>
        <w:ind w:left="0"/>
        <w:rPr>
          <w:snapToGrid w:val="0"/>
        </w:rPr>
      </w:pPr>
    </w:p>
    <w:p w14:paraId="7F8AECF2" w14:textId="167EED8F" w:rsidR="00441872" w:rsidRPr="001B4CA2" w:rsidRDefault="00441872" w:rsidP="00441872">
      <w:pPr>
        <w:pStyle w:val="Odlomakpopisa"/>
        <w:widowControl w:val="0"/>
        <w:ind w:left="0"/>
        <w:rPr>
          <w:snapToGrid w:val="0"/>
        </w:rPr>
      </w:pPr>
      <w:r w:rsidRPr="001B4CA2">
        <w:rPr>
          <w:snapToGrid w:val="0"/>
        </w:rPr>
        <w:tab/>
        <w:t>Situacije u kojima optužno vijeće vraća optužnicu</w:t>
      </w:r>
      <w:r w:rsidR="001B4CA2">
        <w:rPr>
          <w:snapToGrid w:val="0"/>
        </w:rPr>
        <w:t xml:space="preserve"> </w:t>
      </w:r>
      <w:r w:rsidRPr="001B4CA2">
        <w:rPr>
          <w:snapToGrid w:val="0"/>
        </w:rPr>
        <w:t xml:space="preserve">državnom odvjetniku radi boljeg razjašnjena stvari sukladno čl. 356. st. 1. Zakona o kaznenom postupku, ne podliježe žalbi, </w:t>
      </w:r>
      <w:r w:rsidR="007A1D94">
        <w:rPr>
          <w:snapToGrid w:val="0"/>
        </w:rPr>
        <w:t>zbog</w:t>
      </w:r>
      <w:r w:rsidRPr="001B4CA2">
        <w:rPr>
          <w:snapToGrid w:val="0"/>
        </w:rPr>
        <w:t xml:space="preserve"> čega, čak i kada državno odvjetništvo takvu odluku smatra neosnovanom, izostaje mogućnost kontrole od strane višeg suda. Iako je, sukladno naznačenom članku, obveza suda kod vraćanj</w:t>
      </w:r>
      <w:r w:rsidR="007A1D94">
        <w:rPr>
          <w:snapToGrid w:val="0"/>
        </w:rPr>
        <w:t>a</w:t>
      </w:r>
      <w:r w:rsidRPr="001B4CA2">
        <w:rPr>
          <w:snapToGrid w:val="0"/>
        </w:rPr>
        <w:t xml:space="preserve"> optužnice na ponovno postupanje da u rješenju obrazloži razloge zbog kojih optužnica nije potvrđena te navede radnje koje su propuštene i nužno ih je</w:t>
      </w:r>
      <w:r w:rsidR="001B4CA2">
        <w:rPr>
          <w:snapToGrid w:val="0"/>
        </w:rPr>
        <w:t xml:space="preserve"> </w:t>
      </w:r>
      <w:r w:rsidRPr="001B4CA2">
        <w:rPr>
          <w:snapToGrid w:val="0"/>
        </w:rPr>
        <w:t>dodatno provesti, dio odluka kojima se optužnice vraćaju ni</w:t>
      </w:r>
      <w:r w:rsidR="007A1D94">
        <w:rPr>
          <w:snapToGrid w:val="0"/>
        </w:rPr>
        <w:t>je</w:t>
      </w:r>
      <w:r w:rsidRPr="001B4CA2">
        <w:rPr>
          <w:snapToGrid w:val="0"/>
        </w:rPr>
        <w:t xml:space="preserve"> obrazložen na način na koji to nalaže zakon, no i na takve odluke optužnog vijeća izostaje mogućnosti žalbe. Ponovno podignute optužnice u pravilu su potvrđene. </w:t>
      </w:r>
    </w:p>
    <w:p w14:paraId="0FB0ED63" w14:textId="77777777" w:rsidR="00441872" w:rsidRPr="001B4CA2" w:rsidRDefault="00441872" w:rsidP="00441872">
      <w:pPr>
        <w:widowControl w:val="0"/>
        <w:rPr>
          <w:snapToGrid w:val="0"/>
        </w:rPr>
      </w:pPr>
    </w:p>
    <w:p w14:paraId="4C5E138D" w14:textId="0807C3A9" w:rsidR="00441872" w:rsidRPr="001B4CA2" w:rsidRDefault="00441872" w:rsidP="00B167F1">
      <w:pPr>
        <w:widowControl w:val="0"/>
        <w:rPr>
          <w:snapToGrid w:val="0"/>
        </w:rPr>
      </w:pPr>
      <w:r w:rsidRPr="001B4CA2">
        <w:rPr>
          <w:snapToGrid w:val="0"/>
        </w:rPr>
        <w:tab/>
        <w:t>Optužna vijeća obustavila su postupak prema 95 osoba (0,73</w:t>
      </w:r>
      <w:r w:rsidR="007A1D94">
        <w:rPr>
          <w:snapToGrid w:val="0"/>
        </w:rPr>
        <w:t> </w:t>
      </w:r>
      <w:r w:rsidRPr="001B4CA2">
        <w:rPr>
          <w:snapToGrid w:val="0"/>
        </w:rPr>
        <w:t xml:space="preserve">%), a najčešći </w:t>
      </w:r>
      <w:r w:rsidR="007A1D94" w:rsidRPr="001B4CA2">
        <w:rPr>
          <w:snapToGrid w:val="0"/>
        </w:rPr>
        <w:t xml:space="preserve">je </w:t>
      </w:r>
      <w:r w:rsidRPr="001B4CA2">
        <w:rPr>
          <w:snapToGrid w:val="0"/>
        </w:rPr>
        <w:t xml:space="preserve">razlog ovih odluka smrt okrivljenika ili prestanak postojanja pravne osobe, zbog kojih </w:t>
      </w:r>
      <w:r w:rsidR="007A1D94" w:rsidRPr="001B4CA2">
        <w:rPr>
          <w:snapToGrid w:val="0"/>
        </w:rPr>
        <w:t xml:space="preserve">se </w:t>
      </w:r>
      <w:r w:rsidRPr="001B4CA2">
        <w:rPr>
          <w:snapToGrid w:val="0"/>
        </w:rPr>
        <w:t>okolnosti postupak više ne može voditi. Državna odvjetništva povukla su optužnice u odnosu na 21 osobu (0,11</w:t>
      </w:r>
      <w:r w:rsidR="007A1D94">
        <w:rPr>
          <w:snapToGrid w:val="0"/>
        </w:rPr>
        <w:t> </w:t>
      </w:r>
      <w:r w:rsidRPr="001B4CA2">
        <w:rPr>
          <w:snapToGrid w:val="0"/>
        </w:rPr>
        <w:t xml:space="preserve">%) </w:t>
      </w:r>
      <w:r w:rsidR="00B94ECB">
        <w:rPr>
          <w:snapToGrid w:val="0"/>
        </w:rPr>
        <w:t>zbog</w:t>
      </w:r>
      <w:r w:rsidRPr="001B4CA2">
        <w:rPr>
          <w:snapToGrid w:val="0"/>
        </w:rPr>
        <w:t xml:space="preserve"> toga što je državno odvjetništvo ocijenilo potrebnim provesti dodatne radnje, po čijem </w:t>
      </w:r>
      <w:r w:rsidR="00B94ECB" w:rsidRPr="001B4CA2">
        <w:rPr>
          <w:snapToGrid w:val="0"/>
        </w:rPr>
        <w:t xml:space="preserve">se </w:t>
      </w:r>
      <w:r w:rsidRPr="001B4CA2">
        <w:rPr>
          <w:snapToGrid w:val="0"/>
        </w:rPr>
        <w:t xml:space="preserve">provođenju u pravilu ponovno podižu optužnice. </w:t>
      </w:r>
    </w:p>
    <w:p w14:paraId="1659EAD6" w14:textId="77777777" w:rsidR="00441872" w:rsidRPr="001B4CA2" w:rsidRDefault="00441872" w:rsidP="00A97AFB">
      <w:pPr>
        <w:ind w:left="-142"/>
        <w:rPr>
          <w:i/>
        </w:rPr>
      </w:pPr>
    </w:p>
    <w:p w14:paraId="389FAD2C" w14:textId="5AB5F18E" w:rsidR="00216DE2" w:rsidRPr="001B4CA2" w:rsidRDefault="00B901FE" w:rsidP="00A97AFB">
      <w:pPr>
        <w:ind w:left="-142"/>
      </w:pPr>
      <w:r>
        <w:rPr>
          <w:i/>
        </w:rPr>
        <w:t xml:space="preserve">   </w:t>
      </w:r>
      <w:r w:rsidR="00216DE2" w:rsidRPr="001B4CA2">
        <w:rPr>
          <w:i/>
        </w:rPr>
        <w:t>Broj i vrste presuda (bez maloljetnih osoba)</w:t>
      </w:r>
    </w:p>
    <w:tbl>
      <w:tblPr>
        <w:tblW w:w="9180" w:type="dxa"/>
        <w:tblLayout w:type="fixed"/>
        <w:tblLook w:val="04A0" w:firstRow="1" w:lastRow="0" w:firstColumn="1" w:lastColumn="0" w:noHBand="0" w:noVBand="1"/>
      </w:tblPr>
      <w:tblGrid>
        <w:gridCol w:w="619"/>
        <w:gridCol w:w="661"/>
        <w:gridCol w:w="705"/>
        <w:gridCol w:w="709"/>
        <w:gridCol w:w="708"/>
        <w:gridCol w:w="709"/>
        <w:gridCol w:w="567"/>
        <w:gridCol w:w="567"/>
        <w:gridCol w:w="709"/>
        <w:gridCol w:w="533"/>
        <w:gridCol w:w="567"/>
        <w:gridCol w:w="709"/>
        <w:gridCol w:w="709"/>
        <w:gridCol w:w="708"/>
      </w:tblGrid>
      <w:tr w:rsidR="00441872" w:rsidRPr="001B4CA2" w14:paraId="0DC1C5C3" w14:textId="77777777" w:rsidTr="00B901FE">
        <w:trPr>
          <w:trHeight w:val="315"/>
        </w:trPr>
        <w:tc>
          <w:tcPr>
            <w:tcW w:w="619" w:type="dxa"/>
            <w:vMerge w:val="restart"/>
            <w:tcBorders>
              <w:top w:val="single" w:sz="8" w:space="0" w:color="000000"/>
              <w:left w:val="single" w:sz="8" w:space="0" w:color="000000"/>
              <w:bottom w:val="single" w:sz="8" w:space="0" w:color="000000"/>
              <w:right w:val="single" w:sz="8" w:space="0" w:color="000000"/>
            </w:tcBorders>
            <w:shd w:val="clear" w:color="000000" w:fill="99CCFF"/>
            <w:textDirection w:val="btLr"/>
            <w:vAlign w:val="center"/>
            <w:hideMark/>
          </w:tcPr>
          <w:p w14:paraId="3A86FFD6" w14:textId="77777777" w:rsidR="00441872" w:rsidRPr="001B4CA2" w:rsidRDefault="00441872" w:rsidP="00B901FE">
            <w:pPr>
              <w:jc w:val="left"/>
              <w:rPr>
                <w:b/>
                <w:bCs/>
                <w:color w:val="000000"/>
                <w:sz w:val="16"/>
                <w:szCs w:val="16"/>
              </w:rPr>
            </w:pPr>
            <w:r w:rsidRPr="001B4CA2">
              <w:rPr>
                <w:b/>
                <w:bCs/>
                <w:color w:val="000000"/>
                <w:sz w:val="16"/>
                <w:szCs w:val="16"/>
              </w:rPr>
              <w:t>Godina</w:t>
            </w:r>
          </w:p>
        </w:tc>
        <w:tc>
          <w:tcPr>
            <w:tcW w:w="661" w:type="dxa"/>
            <w:vMerge w:val="restart"/>
            <w:tcBorders>
              <w:top w:val="single" w:sz="8" w:space="0" w:color="000000"/>
              <w:left w:val="single" w:sz="8" w:space="0" w:color="000000"/>
              <w:bottom w:val="single" w:sz="8" w:space="0" w:color="000000"/>
              <w:right w:val="single" w:sz="8" w:space="0" w:color="000000"/>
            </w:tcBorders>
            <w:shd w:val="clear" w:color="000000" w:fill="99CCFF"/>
            <w:textDirection w:val="btLr"/>
            <w:vAlign w:val="center"/>
            <w:hideMark/>
          </w:tcPr>
          <w:p w14:paraId="68118E0E" w14:textId="77777777" w:rsidR="00441872" w:rsidRPr="001B4CA2" w:rsidRDefault="00441872" w:rsidP="00B901FE">
            <w:pPr>
              <w:jc w:val="left"/>
              <w:rPr>
                <w:b/>
                <w:bCs/>
                <w:color w:val="000000"/>
                <w:sz w:val="16"/>
                <w:szCs w:val="16"/>
              </w:rPr>
            </w:pPr>
            <w:r w:rsidRPr="001B4CA2">
              <w:rPr>
                <w:b/>
                <w:bCs/>
                <w:color w:val="000000"/>
                <w:sz w:val="16"/>
                <w:szCs w:val="16"/>
              </w:rPr>
              <w:t>Presuda s kaznenim nalogom</w:t>
            </w:r>
          </w:p>
        </w:tc>
        <w:tc>
          <w:tcPr>
            <w:tcW w:w="705" w:type="dxa"/>
            <w:vMerge w:val="restart"/>
            <w:tcBorders>
              <w:top w:val="single" w:sz="8" w:space="0" w:color="000000"/>
              <w:left w:val="single" w:sz="8" w:space="0" w:color="000000"/>
              <w:bottom w:val="single" w:sz="8" w:space="0" w:color="000000"/>
              <w:right w:val="single" w:sz="8" w:space="0" w:color="000000"/>
            </w:tcBorders>
            <w:shd w:val="clear" w:color="000000" w:fill="99CCFF"/>
            <w:textDirection w:val="btLr"/>
            <w:vAlign w:val="center"/>
            <w:hideMark/>
          </w:tcPr>
          <w:p w14:paraId="04839CB6" w14:textId="77777777" w:rsidR="00441872" w:rsidRPr="001B4CA2" w:rsidRDefault="00441872" w:rsidP="00B901FE">
            <w:pPr>
              <w:jc w:val="left"/>
              <w:rPr>
                <w:b/>
                <w:bCs/>
                <w:color w:val="000000"/>
                <w:sz w:val="16"/>
                <w:szCs w:val="16"/>
              </w:rPr>
            </w:pPr>
            <w:r w:rsidRPr="001B4CA2">
              <w:rPr>
                <w:b/>
                <w:bCs/>
                <w:color w:val="000000"/>
                <w:sz w:val="16"/>
                <w:szCs w:val="16"/>
              </w:rPr>
              <w:t>Optužnica potvrđena</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000000" w:fill="99CCFF"/>
            <w:textDirection w:val="btLr"/>
            <w:vAlign w:val="center"/>
            <w:hideMark/>
          </w:tcPr>
          <w:p w14:paraId="481F9BA1" w14:textId="77777777" w:rsidR="00441872" w:rsidRPr="001B4CA2" w:rsidRDefault="00441872" w:rsidP="00B901FE">
            <w:pPr>
              <w:jc w:val="left"/>
              <w:rPr>
                <w:b/>
                <w:bCs/>
                <w:color w:val="000000"/>
                <w:sz w:val="16"/>
                <w:szCs w:val="16"/>
              </w:rPr>
            </w:pPr>
            <w:r w:rsidRPr="001B4CA2">
              <w:rPr>
                <w:b/>
                <w:bCs/>
                <w:color w:val="000000"/>
                <w:sz w:val="16"/>
                <w:szCs w:val="16"/>
              </w:rPr>
              <w:t>Ukupno</w:t>
            </w:r>
          </w:p>
        </w:tc>
        <w:tc>
          <w:tcPr>
            <w:tcW w:w="6486" w:type="dxa"/>
            <w:gridSpan w:val="10"/>
            <w:tcBorders>
              <w:top w:val="single" w:sz="8" w:space="0" w:color="auto"/>
              <w:left w:val="nil"/>
              <w:bottom w:val="single" w:sz="8" w:space="0" w:color="auto"/>
              <w:right w:val="single" w:sz="8" w:space="0" w:color="000000"/>
            </w:tcBorders>
            <w:shd w:val="clear" w:color="000000" w:fill="99CCFF"/>
            <w:vAlign w:val="center"/>
            <w:hideMark/>
          </w:tcPr>
          <w:p w14:paraId="7FA23B16" w14:textId="77777777" w:rsidR="00441872" w:rsidRPr="001B4CA2" w:rsidRDefault="00441872" w:rsidP="00B901FE">
            <w:pPr>
              <w:jc w:val="center"/>
              <w:rPr>
                <w:b/>
                <w:bCs/>
                <w:color w:val="000000"/>
                <w:sz w:val="16"/>
                <w:szCs w:val="16"/>
              </w:rPr>
            </w:pPr>
            <w:r w:rsidRPr="001B4CA2">
              <w:rPr>
                <w:b/>
                <w:bCs/>
                <w:color w:val="000000"/>
                <w:sz w:val="16"/>
                <w:szCs w:val="16"/>
              </w:rPr>
              <w:t>Odluke suda</w:t>
            </w:r>
          </w:p>
        </w:tc>
      </w:tr>
      <w:tr w:rsidR="00B901FE" w:rsidRPr="001B4CA2" w14:paraId="26A6FBF6" w14:textId="77777777" w:rsidTr="00B901FE">
        <w:trPr>
          <w:trHeight w:val="1680"/>
        </w:trPr>
        <w:tc>
          <w:tcPr>
            <w:tcW w:w="619" w:type="dxa"/>
            <w:vMerge/>
            <w:tcBorders>
              <w:top w:val="single" w:sz="8" w:space="0" w:color="000000"/>
              <w:left w:val="single" w:sz="8" w:space="0" w:color="000000"/>
              <w:bottom w:val="single" w:sz="8" w:space="0" w:color="000000"/>
              <w:right w:val="single" w:sz="8" w:space="0" w:color="000000"/>
            </w:tcBorders>
            <w:vAlign w:val="center"/>
            <w:hideMark/>
          </w:tcPr>
          <w:p w14:paraId="5DCC8C99" w14:textId="77777777" w:rsidR="00441872" w:rsidRPr="001B4CA2" w:rsidRDefault="00441872" w:rsidP="00B901FE">
            <w:pPr>
              <w:jc w:val="left"/>
              <w:rPr>
                <w:b/>
                <w:bCs/>
                <w:color w:val="000000"/>
                <w:sz w:val="16"/>
                <w:szCs w:val="16"/>
              </w:rPr>
            </w:pPr>
          </w:p>
        </w:tc>
        <w:tc>
          <w:tcPr>
            <w:tcW w:w="661" w:type="dxa"/>
            <w:vMerge/>
            <w:tcBorders>
              <w:top w:val="single" w:sz="8" w:space="0" w:color="000000"/>
              <w:left w:val="single" w:sz="8" w:space="0" w:color="000000"/>
              <w:bottom w:val="single" w:sz="8" w:space="0" w:color="000000"/>
              <w:right w:val="single" w:sz="8" w:space="0" w:color="000000"/>
            </w:tcBorders>
            <w:vAlign w:val="center"/>
            <w:hideMark/>
          </w:tcPr>
          <w:p w14:paraId="0B3AC3B8" w14:textId="77777777" w:rsidR="00441872" w:rsidRPr="001B4CA2" w:rsidRDefault="00441872" w:rsidP="00B901FE">
            <w:pPr>
              <w:jc w:val="left"/>
              <w:rPr>
                <w:b/>
                <w:bCs/>
                <w:color w:val="000000"/>
                <w:sz w:val="16"/>
                <w:szCs w:val="16"/>
              </w:rPr>
            </w:pPr>
          </w:p>
        </w:tc>
        <w:tc>
          <w:tcPr>
            <w:tcW w:w="705" w:type="dxa"/>
            <w:vMerge/>
            <w:tcBorders>
              <w:top w:val="single" w:sz="8" w:space="0" w:color="000000"/>
              <w:left w:val="single" w:sz="8" w:space="0" w:color="000000"/>
              <w:bottom w:val="single" w:sz="8" w:space="0" w:color="000000"/>
              <w:right w:val="single" w:sz="8" w:space="0" w:color="000000"/>
            </w:tcBorders>
            <w:vAlign w:val="center"/>
            <w:hideMark/>
          </w:tcPr>
          <w:p w14:paraId="6873202A" w14:textId="77777777" w:rsidR="00441872" w:rsidRPr="001B4CA2" w:rsidRDefault="00441872" w:rsidP="00B901FE">
            <w:pPr>
              <w:jc w:val="left"/>
              <w:rPr>
                <w:b/>
                <w:bCs/>
                <w:color w:val="000000"/>
                <w:sz w:val="16"/>
                <w:szCs w:val="16"/>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23A5DF8C" w14:textId="77777777" w:rsidR="00441872" w:rsidRPr="001B4CA2" w:rsidRDefault="00441872" w:rsidP="00B901FE">
            <w:pPr>
              <w:jc w:val="left"/>
              <w:rPr>
                <w:b/>
                <w:bCs/>
                <w:color w:val="000000"/>
                <w:sz w:val="16"/>
                <w:szCs w:val="16"/>
              </w:rPr>
            </w:pPr>
          </w:p>
        </w:tc>
        <w:tc>
          <w:tcPr>
            <w:tcW w:w="708" w:type="dxa"/>
            <w:tcBorders>
              <w:top w:val="nil"/>
              <w:left w:val="nil"/>
              <w:bottom w:val="single" w:sz="8" w:space="0" w:color="000000"/>
              <w:right w:val="single" w:sz="8" w:space="0" w:color="000000"/>
            </w:tcBorders>
            <w:shd w:val="clear" w:color="000000" w:fill="99CCFF"/>
            <w:textDirection w:val="btLr"/>
            <w:vAlign w:val="center"/>
            <w:hideMark/>
          </w:tcPr>
          <w:p w14:paraId="2D7DD41A" w14:textId="77777777" w:rsidR="00441872" w:rsidRPr="001B4CA2" w:rsidRDefault="00441872" w:rsidP="00B901FE">
            <w:pPr>
              <w:jc w:val="left"/>
              <w:rPr>
                <w:b/>
                <w:bCs/>
                <w:color w:val="000000"/>
                <w:sz w:val="16"/>
                <w:szCs w:val="16"/>
              </w:rPr>
            </w:pPr>
            <w:r w:rsidRPr="001B4CA2">
              <w:rPr>
                <w:b/>
                <w:bCs/>
                <w:color w:val="000000"/>
                <w:sz w:val="16"/>
                <w:szCs w:val="16"/>
              </w:rPr>
              <w:t>Obustava nakon potvrđivanja optužnice</w:t>
            </w:r>
          </w:p>
        </w:tc>
        <w:tc>
          <w:tcPr>
            <w:tcW w:w="709" w:type="dxa"/>
            <w:tcBorders>
              <w:top w:val="nil"/>
              <w:left w:val="nil"/>
              <w:bottom w:val="single" w:sz="8" w:space="0" w:color="000000"/>
              <w:right w:val="single" w:sz="8" w:space="0" w:color="000000"/>
            </w:tcBorders>
            <w:shd w:val="clear" w:color="000000" w:fill="99CCFF"/>
            <w:textDirection w:val="btLr"/>
            <w:vAlign w:val="center"/>
            <w:hideMark/>
          </w:tcPr>
          <w:p w14:paraId="4F3EC5E8" w14:textId="77777777" w:rsidR="00441872" w:rsidRPr="001B4CA2" w:rsidRDefault="00441872" w:rsidP="00B901FE">
            <w:pPr>
              <w:jc w:val="left"/>
              <w:rPr>
                <w:b/>
                <w:bCs/>
                <w:color w:val="000000"/>
                <w:sz w:val="16"/>
                <w:szCs w:val="16"/>
              </w:rPr>
            </w:pPr>
            <w:r w:rsidRPr="001B4CA2">
              <w:rPr>
                <w:b/>
                <w:bCs/>
                <w:color w:val="000000"/>
                <w:sz w:val="16"/>
                <w:szCs w:val="16"/>
              </w:rPr>
              <w:t>Osuđujuća</w:t>
            </w:r>
          </w:p>
        </w:tc>
        <w:tc>
          <w:tcPr>
            <w:tcW w:w="567" w:type="dxa"/>
            <w:tcBorders>
              <w:top w:val="nil"/>
              <w:left w:val="nil"/>
              <w:bottom w:val="single" w:sz="8" w:space="0" w:color="000000"/>
              <w:right w:val="single" w:sz="8" w:space="0" w:color="000000"/>
            </w:tcBorders>
            <w:shd w:val="clear" w:color="000000" w:fill="99CCFF"/>
            <w:textDirection w:val="btLr"/>
            <w:vAlign w:val="center"/>
            <w:hideMark/>
          </w:tcPr>
          <w:p w14:paraId="363B34AA" w14:textId="77777777" w:rsidR="00441872" w:rsidRPr="001B4CA2" w:rsidRDefault="00441872" w:rsidP="00B901FE">
            <w:pPr>
              <w:jc w:val="left"/>
              <w:rPr>
                <w:b/>
                <w:bCs/>
                <w:color w:val="000000"/>
                <w:sz w:val="16"/>
                <w:szCs w:val="16"/>
              </w:rPr>
            </w:pPr>
            <w:r w:rsidRPr="001B4CA2">
              <w:rPr>
                <w:b/>
                <w:bCs/>
                <w:color w:val="000000"/>
                <w:sz w:val="16"/>
                <w:szCs w:val="16"/>
              </w:rPr>
              <w:t>Od toga po sporazumu</w:t>
            </w:r>
          </w:p>
        </w:tc>
        <w:tc>
          <w:tcPr>
            <w:tcW w:w="567" w:type="dxa"/>
            <w:tcBorders>
              <w:top w:val="nil"/>
              <w:left w:val="nil"/>
              <w:bottom w:val="single" w:sz="8" w:space="0" w:color="000000"/>
              <w:right w:val="single" w:sz="8" w:space="0" w:color="000000"/>
            </w:tcBorders>
            <w:shd w:val="clear" w:color="000000" w:fill="99CCFF"/>
            <w:textDirection w:val="btLr"/>
            <w:vAlign w:val="center"/>
            <w:hideMark/>
          </w:tcPr>
          <w:p w14:paraId="1860405E" w14:textId="77777777" w:rsidR="00441872" w:rsidRPr="001B4CA2" w:rsidRDefault="00441872" w:rsidP="00B901FE">
            <w:pPr>
              <w:jc w:val="left"/>
              <w:rPr>
                <w:b/>
                <w:bCs/>
                <w:color w:val="000000"/>
                <w:sz w:val="16"/>
                <w:szCs w:val="16"/>
              </w:rPr>
            </w:pPr>
            <w:r w:rsidRPr="001B4CA2">
              <w:rPr>
                <w:b/>
                <w:bCs/>
                <w:color w:val="000000"/>
                <w:sz w:val="16"/>
                <w:szCs w:val="16"/>
              </w:rPr>
              <w:t>Presuda – neubrojivi</w:t>
            </w:r>
          </w:p>
        </w:tc>
        <w:tc>
          <w:tcPr>
            <w:tcW w:w="709" w:type="dxa"/>
            <w:tcBorders>
              <w:top w:val="nil"/>
              <w:left w:val="nil"/>
              <w:bottom w:val="single" w:sz="8" w:space="0" w:color="000000"/>
              <w:right w:val="single" w:sz="8" w:space="0" w:color="000000"/>
            </w:tcBorders>
            <w:shd w:val="clear" w:color="000000" w:fill="99CCFF"/>
            <w:textDirection w:val="btLr"/>
            <w:vAlign w:val="center"/>
            <w:hideMark/>
          </w:tcPr>
          <w:p w14:paraId="3F920B20" w14:textId="77777777" w:rsidR="00441872" w:rsidRPr="001B4CA2" w:rsidRDefault="00441872" w:rsidP="00B901FE">
            <w:pPr>
              <w:jc w:val="left"/>
              <w:rPr>
                <w:b/>
                <w:bCs/>
                <w:color w:val="000000"/>
                <w:sz w:val="16"/>
                <w:szCs w:val="16"/>
              </w:rPr>
            </w:pPr>
            <w:r w:rsidRPr="001B4CA2">
              <w:rPr>
                <w:b/>
                <w:bCs/>
                <w:color w:val="000000"/>
                <w:sz w:val="16"/>
                <w:szCs w:val="16"/>
              </w:rPr>
              <w:t>Oslobađajuća</w:t>
            </w:r>
          </w:p>
        </w:tc>
        <w:tc>
          <w:tcPr>
            <w:tcW w:w="533" w:type="dxa"/>
            <w:tcBorders>
              <w:top w:val="nil"/>
              <w:left w:val="nil"/>
              <w:bottom w:val="single" w:sz="8" w:space="0" w:color="000000"/>
              <w:right w:val="single" w:sz="8" w:space="0" w:color="000000"/>
            </w:tcBorders>
            <w:shd w:val="clear" w:color="000000" w:fill="99CCFF"/>
            <w:textDirection w:val="btLr"/>
            <w:vAlign w:val="center"/>
            <w:hideMark/>
          </w:tcPr>
          <w:p w14:paraId="60C18E35" w14:textId="77777777" w:rsidR="00441872" w:rsidRPr="001B4CA2" w:rsidRDefault="00441872" w:rsidP="00B901FE">
            <w:pPr>
              <w:jc w:val="left"/>
              <w:rPr>
                <w:b/>
                <w:bCs/>
                <w:color w:val="000000"/>
                <w:sz w:val="16"/>
                <w:szCs w:val="16"/>
              </w:rPr>
            </w:pPr>
            <w:r w:rsidRPr="001B4CA2">
              <w:rPr>
                <w:b/>
                <w:bCs/>
                <w:color w:val="000000"/>
                <w:sz w:val="16"/>
                <w:szCs w:val="16"/>
              </w:rPr>
              <w:t>Odbijajuća</w:t>
            </w:r>
          </w:p>
        </w:tc>
        <w:tc>
          <w:tcPr>
            <w:tcW w:w="567" w:type="dxa"/>
            <w:tcBorders>
              <w:top w:val="nil"/>
              <w:left w:val="nil"/>
              <w:bottom w:val="nil"/>
              <w:right w:val="nil"/>
            </w:tcBorders>
            <w:shd w:val="clear" w:color="000000" w:fill="99CCFF"/>
            <w:textDirection w:val="btLr"/>
            <w:vAlign w:val="bottom"/>
            <w:hideMark/>
          </w:tcPr>
          <w:p w14:paraId="7C79814F" w14:textId="77777777" w:rsidR="00441872" w:rsidRPr="001B4CA2" w:rsidRDefault="00441872" w:rsidP="00B901FE">
            <w:pPr>
              <w:jc w:val="left"/>
              <w:rPr>
                <w:b/>
                <w:bCs/>
                <w:color w:val="000000"/>
                <w:sz w:val="16"/>
                <w:szCs w:val="16"/>
              </w:rPr>
            </w:pPr>
            <w:r w:rsidRPr="001B4CA2">
              <w:rPr>
                <w:b/>
                <w:bCs/>
                <w:color w:val="000000"/>
                <w:sz w:val="16"/>
                <w:szCs w:val="16"/>
              </w:rPr>
              <w:t>Riješeno na drugi način</w:t>
            </w:r>
          </w:p>
        </w:tc>
        <w:tc>
          <w:tcPr>
            <w:tcW w:w="709" w:type="dxa"/>
            <w:tcBorders>
              <w:top w:val="nil"/>
              <w:left w:val="single" w:sz="8" w:space="0" w:color="auto"/>
              <w:bottom w:val="single" w:sz="8" w:space="0" w:color="auto"/>
              <w:right w:val="single" w:sz="8" w:space="0" w:color="auto"/>
            </w:tcBorders>
            <w:shd w:val="clear" w:color="000000" w:fill="99CCFF"/>
            <w:textDirection w:val="btLr"/>
            <w:vAlign w:val="center"/>
            <w:hideMark/>
          </w:tcPr>
          <w:p w14:paraId="5C62AFC7" w14:textId="77777777" w:rsidR="00441872" w:rsidRPr="001B4CA2" w:rsidRDefault="00441872" w:rsidP="00B901FE">
            <w:pPr>
              <w:jc w:val="left"/>
              <w:rPr>
                <w:b/>
                <w:bCs/>
                <w:color w:val="000000"/>
                <w:sz w:val="16"/>
                <w:szCs w:val="16"/>
              </w:rPr>
            </w:pPr>
            <w:r w:rsidRPr="001B4CA2">
              <w:rPr>
                <w:b/>
                <w:bCs/>
                <w:color w:val="000000"/>
                <w:sz w:val="16"/>
                <w:szCs w:val="16"/>
              </w:rPr>
              <w:t>Ukupno odluka suda</w:t>
            </w:r>
          </w:p>
        </w:tc>
        <w:tc>
          <w:tcPr>
            <w:tcW w:w="709" w:type="dxa"/>
            <w:tcBorders>
              <w:top w:val="nil"/>
              <w:left w:val="nil"/>
              <w:bottom w:val="single" w:sz="8" w:space="0" w:color="auto"/>
              <w:right w:val="single" w:sz="8" w:space="0" w:color="auto"/>
            </w:tcBorders>
            <w:shd w:val="clear" w:color="000000" w:fill="99CCFF"/>
            <w:textDirection w:val="btLr"/>
            <w:vAlign w:val="center"/>
            <w:hideMark/>
          </w:tcPr>
          <w:p w14:paraId="50FE5DB4" w14:textId="594AFEDA" w:rsidR="00441872" w:rsidRPr="001B4CA2" w:rsidRDefault="00441872" w:rsidP="00B901FE">
            <w:pPr>
              <w:jc w:val="left"/>
              <w:rPr>
                <w:b/>
                <w:bCs/>
                <w:color w:val="000000"/>
                <w:sz w:val="16"/>
                <w:szCs w:val="16"/>
              </w:rPr>
            </w:pPr>
            <w:r w:rsidRPr="001B4CA2">
              <w:rPr>
                <w:b/>
                <w:bCs/>
                <w:color w:val="000000"/>
                <w:sz w:val="16"/>
                <w:szCs w:val="16"/>
              </w:rPr>
              <w:t>Riješeno pred sudom</w:t>
            </w:r>
            <w:r w:rsidR="00F47D60">
              <w:rPr>
                <w:b/>
                <w:bCs/>
                <w:color w:val="000000"/>
                <w:sz w:val="16"/>
                <w:szCs w:val="16"/>
              </w:rPr>
              <w:t xml:space="preserve"> – </w:t>
            </w:r>
            <w:r w:rsidRPr="001B4CA2">
              <w:rPr>
                <w:b/>
                <w:bCs/>
                <w:color w:val="000000"/>
                <w:sz w:val="16"/>
                <w:szCs w:val="16"/>
              </w:rPr>
              <w:t>ostalo</w:t>
            </w:r>
          </w:p>
        </w:tc>
        <w:tc>
          <w:tcPr>
            <w:tcW w:w="708" w:type="dxa"/>
            <w:tcBorders>
              <w:top w:val="nil"/>
              <w:left w:val="nil"/>
              <w:bottom w:val="single" w:sz="8" w:space="0" w:color="000000"/>
              <w:right w:val="single" w:sz="8" w:space="0" w:color="000000"/>
            </w:tcBorders>
            <w:shd w:val="clear" w:color="000000" w:fill="99CCFF"/>
            <w:textDirection w:val="btLr"/>
            <w:vAlign w:val="center"/>
            <w:hideMark/>
          </w:tcPr>
          <w:p w14:paraId="495D9842" w14:textId="77777777" w:rsidR="00441872" w:rsidRPr="001B4CA2" w:rsidRDefault="00441872" w:rsidP="00B901FE">
            <w:pPr>
              <w:jc w:val="left"/>
              <w:rPr>
                <w:b/>
                <w:bCs/>
                <w:color w:val="000000"/>
                <w:sz w:val="16"/>
                <w:szCs w:val="16"/>
              </w:rPr>
            </w:pPr>
            <w:r w:rsidRPr="001B4CA2">
              <w:rPr>
                <w:b/>
                <w:bCs/>
                <w:color w:val="000000"/>
                <w:sz w:val="16"/>
                <w:szCs w:val="16"/>
              </w:rPr>
              <w:t>Ukupno bez odluka suda</w:t>
            </w:r>
          </w:p>
        </w:tc>
      </w:tr>
      <w:tr w:rsidR="00441872" w:rsidRPr="001B4CA2" w14:paraId="09167BA6" w14:textId="77777777" w:rsidTr="00B901FE">
        <w:trPr>
          <w:trHeight w:val="300"/>
        </w:trPr>
        <w:tc>
          <w:tcPr>
            <w:tcW w:w="619" w:type="dxa"/>
            <w:tcBorders>
              <w:top w:val="nil"/>
              <w:left w:val="single" w:sz="8" w:space="0" w:color="000000"/>
              <w:bottom w:val="single" w:sz="8" w:space="0" w:color="000000"/>
              <w:right w:val="single" w:sz="8" w:space="0" w:color="000000"/>
            </w:tcBorders>
            <w:shd w:val="clear" w:color="auto" w:fill="auto"/>
            <w:vAlign w:val="center"/>
            <w:hideMark/>
          </w:tcPr>
          <w:p w14:paraId="6F1CD9FE" w14:textId="77777777" w:rsidR="00441872" w:rsidRPr="00B901FE" w:rsidRDefault="00441872" w:rsidP="00CE2706">
            <w:pPr>
              <w:jc w:val="center"/>
              <w:rPr>
                <w:color w:val="000000"/>
                <w:sz w:val="15"/>
                <w:szCs w:val="15"/>
              </w:rPr>
            </w:pPr>
            <w:r w:rsidRPr="00B901FE">
              <w:rPr>
                <w:color w:val="000000"/>
                <w:sz w:val="15"/>
                <w:szCs w:val="15"/>
              </w:rPr>
              <w:t>2018.</w:t>
            </w:r>
          </w:p>
        </w:tc>
        <w:tc>
          <w:tcPr>
            <w:tcW w:w="661" w:type="dxa"/>
            <w:tcBorders>
              <w:top w:val="nil"/>
              <w:left w:val="nil"/>
              <w:bottom w:val="single" w:sz="8" w:space="0" w:color="000000"/>
              <w:right w:val="single" w:sz="8" w:space="0" w:color="000000"/>
            </w:tcBorders>
            <w:shd w:val="clear" w:color="auto" w:fill="auto"/>
            <w:vAlign w:val="center"/>
            <w:hideMark/>
          </w:tcPr>
          <w:p w14:paraId="40E3C602" w14:textId="77777777" w:rsidR="00441872" w:rsidRPr="00B901FE" w:rsidRDefault="00441872" w:rsidP="00CE2706">
            <w:pPr>
              <w:jc w:val="center"/>
              <w:rPr>
                <w:color w:val="000000"/>
                <w:sz w:val="15"/>
                <w:szCs w:val="15"/>
              </w:rPr>
            </w:pPr>
            <w:r w:rsidRPr="00B901FE">
              <w:rPr>
                <w:color w:val="000000"/>
                <w:sz w:val="15"/>
                <w:szCs w:val="15"/>
              </w:rPr>
              <w:t> </w:t>
            </w:r>
          </w:p>
        </w:tc>
        <w:tc>
          <w:tcPr>
            <w:tcW w:w="705" w:type="dxa"/>
            <w:tcBorders>
              <w:top w:val="nil"/>
              <w:left w:val="nil"/>
              <w:bottom w:val="single" w:sz="8" w:space="0" w:color="000000"/>
              <w:right w:val="single" w:sz="8" w:space="0" w:color="000000"/>
            </w:tcBorders>
            <w:shd w:val="clear" w:color="auto" w:fill="auto"/>
            <w:vAlign w:val="center"/>
            <w:hideMark/>
          </w:tcPr>
          <w:p w14:paraId="7D300161" w14:textId="77777777" w:rsidR="00441872" w:rsidRPr="00B901FE" w:rsidRDefault="00441872" w:rsidP="00CE2706">
            <w:pPr>
              <w:jc w:val="center"/>
              <w:rPr>
                <w:color w:val="000000"/>
                <w:sz w:val="15"/>
                <w:szCs w:val="15"/>
              </w:rPr>
            </w:pPr>
            <w:r w:rsidRPr="00B901FE">
              <w:rPr>
                <w:color w:val="000000"/>
                <w:sz w:val="15"/>
                <w:szCs w:val="15"/>
              </w:rPr>
              <w:t> </w:t>
            </w:r>
          </w:p>
        </w:tc>
        <w:tc>
          <w:tcPr>
            <w:tcW w:w="709" w:type="dxa"/>
            <w:tcBorders>
              <w:top w:val="nil"/>
              <w:left w:val="nil"/>
              <w:bottom w:val="single" w:sz="8" w:space="0" w:color="000000"/>
              <w:right w:val="single" w:sz="8" w:space="0" w:color="000000"/>
            </w:tcBorders>
            <w:shd w:val="clear" w:color="auto" w:fill="auto"/>
            <w:vAlign w:val="center"/>
            <w:hideMark/>
          </w:tcPr>
          <w:p w14:paraId="35B1F175" w14:textId="77777777" w:rsidR="00441872" w:rsidRPr="00B901FE" w:rsidRDefault="00441872" w:rsidP="00CE2706">
            <w:pPr>
              <w:jc w:val="center"/>
              <w:rPr>
                <w:color w:val="000000"/>
                <w:sz w:val="15"/>
                <w:szCs w:val="15"/>
              </w:rPr>
            </w:pPr>
            <w:r w:rsidRPr="00B901FE">
              <w:rPr>
                <w:color w:val="000000"/>
                <w:sz w:val="15"/>
                <w:szCs w:val="15"/>
              </w:rPr>
              <w:t> </w:t>
            </w:r>
          </w:p>
        </w:tc>
        <w:tc>
          <w:tcPr>
            <w:tcW w:w="708" w:type="dxa"/>
            <w:tcBorders>
              <w:top w:val="nil"/>
              <w:left w:val="nil"/>
              <w:bottom w:val="single" w:sz="8" w:space="0" w:color="000000"/>
              <w:right w:val="single" w:sz="8" w:space="0" w:color="000000"/>
            </w:tcBorders>
            <w:shd w:val="clear" w:color="auto" w:fill="auto"/>
            <w:vAlign w:val="center"/>
            <w:hideMark/>
          </w:tcPr>
          <w:p w14:paraId="0688DBDE" w14:textId="77777777" w:rsidR="00441872" w:rsidRPr="00B901FE" w:rsidRDefault="00441872" w:rsidP="00CE2706">
            <w:pPr>
              <w:jc w:val="center"/>
              <w:rPr>
                <w:color w:val="000000"/>
                <w:sz w:val="15"/>
                <w:szCs w:val="15"/>
              </w:rPr>
            </w:pPr>
            <w:r w:rsidRPr="00B901FE">
              <w:rPr>
                <w:color w:val="000000"/>
                <w:sz w:val="15"/>
                <w:szCs w:val="15"/>
              </w:rPr>
              <w:t> </w:t>
            </w:r>
          </w:p>
        </w:tc>
        <w:tc>
          <w:tcPr>
            <w:tcW w:w="709" w:type="dxa"/>
            <w:tcBorders>
              <w:top w:val="nil"/>
              <w:left w:val="nil"/>
              <w:bottom w:val="single" w:sz="8" w:space="0" w:color="000000"/>
              <w:right w:val="single" w:sz="8" w:space="0" w:color="000000"/>
            </w:tcBorders>
            <w:shd w:val="clear" w:color="auto" w:fill="auto"/>
            <w:vAlign w:val="center"/>
            <w:hideMark/>
          </w:tcPr>
          <w:p w14:paraId="4B677644" w14:textId="77777777" w:rsidR="00441872" w:rsidRPr="00B901FE" w:rsidRDefault="00441872" w:rsidP="00CE2706">
            <w:pPr>
              <w:jc w:val="center"/>
              <w:rPr>
                <w:color w:val="000000"/>
                <w:sz w:val="15"/>
                <w:szCs w:val="15"/>
              </w:rPr>
            </w:pPr>
            <w:r w:rsidRPr="00B901FE">
              <w:rPr>
                <w:color w:val="000000"/>
                <w:sz w:val="15"/>
                <w:szCs w:val="15"/>
              </w:rPr>
              <w:t>14.085</w:t>
            </w:r>
          </w:p>
        </w:tc>
        <w:tc>
          <w:tcPr>
            <w:tcW w:w="567" w:type="dxa"/>
            <w:tcBorders>
              <w:top w:val="nil"/>
              <w:left w:val="nil"/>
              <w:bottom w:val="single" w:sz="8" w:space="0" w:color="000000"/>
              <w:right w:val="single" w:sz="8" w:space="0" w:color="000000"/>
            </w:tcBorders>
            <w:shd w:val="clear" w:color="auto" w:fill="auto"/>
            <w:vAlign w:val="center"/>
            <w:hideMark/>
          </w:tcPr>
          <w:p w14:paraId="5B30E565" w14:textId="77777777" w:rsidR="00441872" w:rsidRPr="00B901FE" w:rsidRDefault="00441872" w:rsidP="00CE2706">
            <w:pPr>
              <w:jc w:val="center"/>
              <w:rPr>
                <w:color w:val="000000"/>
                <w:sz w:val="15"/>
                <w:szCs w:val="15"/>
              </w:rPr>
            </w:pPr>
            <w:r w:rsidRPr="00B901FE">
              <w:rPr>
                <w:color w:val="000000"/>
                <w:sz w:val="15"/>
                <w:szCs w:val="15"/>
              </w:rPr>
              <w:t>402</w:t>
            </w:r>
          </w:p>
        </w:tc>
        <w:tc>
          <w:tcPr>
            <w:tcW w:w="567" w:type="dxa"/>
            <w:tcBorders>
              <w:top w:val="nil"/>
              <w:left w:val="nil"/>
              <w:bottom w:val="single" w:sz="8" w:space="0" w:color="000000"/>
              <w:right w:val="single" w:sz="8" w:space="0" w:color="000000"/>
            </w:tcBorders>
            <w:shd w:val="clear" w:color="auto" w:fill="auto"/>
            <w:vAlign w:val="center"/>
            <w:hideMark/>
          </w:tcPr>
          <w:p w14:paraId="7DDD3399" w14:textId="77777777" w:rsidR="00441872" w:rsidRPr="00B901FE" w:rsidRDefault="00441872" w:rsidP="00CE2706">
            <w:pPr>
              <w:jc w:val="center"/>
              <w:rPr>
                <w:color w:val="000000"/>
                <w:sz w:val="15"/>
                <w:szCs w:val="15"/>
              </w:rPr>
            </w:pPr>
            <w:r w:rsidRPr="00B901FE">
              <w:rPr>
                <w:color w:val="000000"/>
                <w:sz w:val="15"/>
                <w:szCs w:val="15"/>
              </w:rPr>
              <w:t> </w:t>
            </w:r>
          </w:p>
        </w:tc>
        <w:tc>
          <w:tcPr>
            <w:tcW w:w="709" w:type="dxa"/>
            <w:tcBorders>
              <w:top w:val="nil"/>
              <w:left w:val="nil"/>
              <w:bottom w:val="single" w:sz="8" w:space="0" w:color="000000"/>
              <w:right w:val="single" w:sz="8" w:space="0" w:color="000000"/>
            </w:tcBorders>
            <w:shd w:val="clear" w:color="auto" w:fill="auto"/>
            <w:vAlign w:val="center"/>
            <w:hideMark/>
          </w:tcPr>
          <w:p w14:paraId="2A11619B" w14:textId="77777777" w:rsidR="00441872" w:rsidRPr="00B901FE" w:rsidRDefault="00441872" w:rsidP="00CE2706">
            <w:pPr>
              <w:jc w:val="center"/>
              <w:rPr>
                <w:color w:val="000000"/>
                <w:sz w:val="15"/>
                <w:szCs w:val="15"/>
              </w:rPr>
            </w:pPr>
            <w:r w:rsidRPr="00B901FE">
              <w:rPr>
                <w:color w:val="000000"/>
                <w:sz w:val="15"/>
                <w:szCs w:val="15"/>
              </w:rPr>
              <w:t>907</w:t>
            </w:r>
          </w:p>
        </w:tc>
        <w:tc>
          <w:tcPr>
            <w:tcW w:w="533" w:type="dxa"/>
            <w:tcBorders>
              <w:top w:val="nil"/>
              <w:left w:val="nil"/>
              <w:bottom w:val="single" w:sz="8" w:space="0" w:color="000000"/>
              <w:right w:val="nil"/>
            </w:tcBorders>
            <w:shd w:val="clear" w:color="auto" w:fill="auto"/>
            <w:vAlign w:val="center"/>
            <w:hideMark/>
          </w:tcPr>
          <w:p w14:paraId="77DA35DF" w14:textId="77777777" w:rsidR="00441872" w:rsidRPr="00B901FE" w:rsidRDefault="00441872" w:rsidP="00CE2706">
            <w:pPr>
              <w:jc w:val="center"/>
              <w:rPr>
                <w:color w:val="000000"/>
                <w:sz w:val="15"/>
                <w:szCs w:val="15"/>
              </w:rPr>
            </w:pPr>
            <w:r w:rsidRPr="00B901FE">
              <w:rPr>
                <w:color w:val="000000"/>
                <w:sz w:val="15"/>
                <w:szCs w:val="15"/>
              </w:rPr>
              <w:t>443</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519F8E" w14:textId="77777777" w:rsidR="00441872" w:rsidRPr="00B901FE" w:rsidRDefault="00441872" w:rsidP="00CE2706">
            <w:pPr>
              <w:rPr>
                <w:color w:val="000000"/>
                <w:sz w:val="15"/>
                <w:szCs w:val="15"/>
              </w:rPr>
            </w:pPr>
            <w:r w:rsidRPr="00B901FE">
              <w:rPr>
                <w:color w:val="000000"/>
                <w:sz w:val="15"/>
                <w:szCs w:val="15"/>
              </w:rPr>
              <w:t> </w:t>
            </w:r>
          </w:p>
        </w:tc>
        <w:tc>
          <w:tcPr>
            <w:tcW w:w="709" w:type="dxa"/>
            <w:tcBorders>
              <w:top w:val="nil"/>
              <w:left w:val="nil"/>
              <w:bottom w:val="single" w:sz="8" w:space="0" w:color="000000"/>
              <w:right w:val="single" w:sz="8" w:space="0" w:color="000000"/>
            </w:tcBorders>
            <w:shd w:val="clear" w:color="auto" w:fill="auto"/>
            <w:vAlign w:val="center"/>
            <w:hideMark/>
          </w:tcPr>
          <w:p w14:paraId="1B62C1A9" w14:textId="77777777" w:rsidR="00441872" w:rsidRPr="00B901FE" w:rsidRDefault="00441872" w:rsidP="00CE2706">
            <w:pPr>
              <w:jc w:val="center"/>
              <w:rPr>
                <w:color w:val="000000"/>
                <w:sz w:val="15"/>
                <w:szCs w:val="15"/>
              </w:rPr>
            </w:pPr>
            <w:r w:rsidRPr="00B901FE">
              <w:rPr>
                <w:color w:val="000000"/>
                <w:sz w:val="15"/>
                <w:szCs w:val="15"/>
              </w:rPr>
              <w:t>15.435</w:t>
            </w:r>
          </w:p>
        </w:tc>
        <w:tc>
          <w:tcPr>
            <w:tcW w:w="709" w:type="dxa"/>
            <w:tcBorders>
              <w:top w:val="nil"/>
              <w:left w:val="nil"/>
              <w:bottom w:val="single" w:sz="8" w:space="0" w:color="000000"/>
              <w:right w:val="single" w:sz="8" w:space="0" w:color="000000"/>
            </w:tcBorders>
            <w:shd w:val="clear" w:color="auto" w:fill="auto"/>
            <w:vAlign w:val="center"/>
            <w:hideMark/>
          </w:tcPr>
          <w:p w14:paraId="36AC3747" w14:textId="77777777" w:rsidR="00441872" w:rsidRPr="00B901FE" w:rsidRDefault="00441872" w:rsidP="00CE2706">
            <w:pPr>
              <w:jc w:val="center"/>
              <w:rPr>
                <w:color w:val="000000"/>
                <w:sz w:val="15"/>
                <w:szCs w:val="15"/>
              </w:rPr>
            </w:pPr>
            <w:r w:rsidRPr="00B901FE">
              <w:rPr>
                <w:color w:val="000000"/>
                <w:sz w:val="15"/>
                <w:szCs w:val="15"/>
              </w:rPr>
              <w:t> </w:t>
            </w:r>
          </w:p>
        </w:tc>
        <w:tc>
          <w:tcPr>
            <w:tcW w:w="708" w:type="dxa"/>
            <w:tcBorders>
              <w:top w:val="nil"/>
              <w:left w:val="nil"/>
              <w:bottom w:val="single" w:sz="8" w:space="0" w:color="000000"/>
              <w:right w:val="single" w:sz="8" w:space="0" w:color="000000"/>
            </w:tcBorders>
            <w:shd w:val="clear" w:color="auto" w:fill="auto"/>
            <w:vAlign w:val="center"/>
            <w:hideMark/>
          </w:tcPr>
          <w:p w14:paraId="07D17231" w14:textId="77777777" w:rsidR="00441872" w:rsidRPr="00B901FE" w:rsidRDefault="00441872" w:rsidP="00CE2706">
            <w:pPr>
              <w:jc w:val="center"/>
              <w:rPr>
                <w:color w:val="000000"/>
                <w:sz w:val="15"/>
                <w:szCs w:val="15"/>
              </w:rPr>
            </w:pPr>
            <w:r w:rsidRPr="00B901FE">
              <w:rPr>
                <w:color w:val="000000"/>
                <w:sz w:val="15"/>
                <w:szCs w:val="15"/>
              </w:rPr>
              <w:t> </w:t>
            </w:r>
          </w:p>
        </w:tc>
      </w:tr>
      <w:tr w:rsidR="00441872" w:rsidRPr="001B4CA2" w14:paraId="5E4AABDA" w14:textId="77777777" w:rsidTr="00B901FE">
        <w:trPr>
          <w:trHeight w:val="300"/>
        </w:trPr>
        <w:tc>
          <w:tcPr>
            <w:tcW w:w="619" w:type="dxa"/>
            <w:tcBorders>
              <w:top w:val="nil"/>
              <w:left w:val="single" w:sz="8" w:space="0" w:color="000000"/>
              <w:bottom w:val="single" w:sz="8" w:space="0" w:color="000000"/>
              <w:right w:val="single" w:sz="8" w:space="0" w:color="000000"/>
            </w:tcBorders>
            <w:shd w:val="clear" w:color="auto" w:fill="auto"/>
            <w:vAlign w:val="center"/>
            <w:hideMark/>
          </w:tcPr>
          <w:p w14:paraId="3E924B79" w14:textId="77777777" w:rsidR="00441872" w:rsidRPr="00B901FE" w:rsidRDefault="00441872" w:rsidP="00CE2706">
            <w:pPr>
              <w:jc w:val="center"/>
              <w:rPr>
                <w:color w:val="000000"/>
                <w:sz w:val="15"/>
                <w:szCs w:val="15"/>
              </w:rPr>
            </w:pPr>
            <w:r w:rsidRPr="00B901FE">
              <w:rPr>
                <w:color w:val="000000"/>
                <w:sz w:val="15"/>
                <w:szCs w:val="15"/>
              </w:rPr>
              <w:t>2019.</w:t>
            </w:r>
          </w:p>
        </w:tc>
        <w:tc>
          <w:tcPr>
            <w:tcW w:w="661" w:type="dxa"/>
            <w:tcBorders>
              <w:top w:val="nil"/>
              <w:left w:val="nil"/>
              <w:bottom w:val="single" w:sz="8" w:space="0" w:color="000000"/>
              <w:right w:val="single" w:sz="8" w:space="0" w:color="000000"/>
            </w:tcBorders>
            <w:shd w:val="clear" w:color="auto" w:fill="auto"/>
            <w:vAlign w:val="center"/>
            <w:hideMark/>
          </w:tcPr>
          <w:p w14:paraId="0D663554" w14:textId="77777777" w:rsidR="00441872" w:rsidRPr="00B901FE" w:rsidRDefault="00441872" w:rsidP="00CE2706">
            <w:pPr>
              <w:jc w:val="center"/>
              <w:rPr>
                <w:color w:val="000000"/>
                <w:sz w:val="15"/>
                <w:szCs w:val="15"/>
              </w:rPr>
            </w:pPr>
            <w:r w:rsidRPr="00B901FE">
              <w:rPr>
                <w:color w:val="000000"/>
                <w:sz w:val="15"/>
                <w:szCs w:val="15"/>
              </w:rPr>
              <w:t> </w:t>
            </w:r>
          </w:p>
        </w:tc>
        <w:tc>
          <w:tcPr>
            <w:tcW w:w="705" w:type="dxa"/>
            <w:tcBorders>
              <w:top w:val="nil"/>
              <w:left w:val="nil"/>
              <w:bottom w:val="single" w:sz="8" w:space="0" w:color="000000"/>
              <w:right w:val="single" w:sz="8" w:space="0" w:color="000000"/>
            </w:tcBorders>
            <w:shd w:val="clear" w:color="auto" w:fill="auto"/>
            <w:vAlign w:val="center"/>
            <w:hideMark/>
          </w:tcPr>
          <w:p w14:paraId="25189F39" w14:textId="77777777" w:rsidR="00441872" w:rsidRPr="00B901FE" w:rsidRDefault="00441872" w:rsidP="00CE2706">
            <w:pPr>
              <w:jc w:val="center"/>
              <w:rPr>
                <w:color w:val="000000"/>
                <w:sz w:val="15"/>
                <w:szCs w:val="15"/>
              </w:rPr>
            </w:pPr>
            <w:r w:rsidRPr="00B901FE">
              <w:rPr>
                <w:color w:val="000000"/>
                <w:sz w:val="15"/>
                <w:szCs w:val="15"/>
              </w:rPr>
              <w:t> </w:t>
            </w:r>
          </w:p>
        </w:tc>
        <w:tc>
          <w:tcPr>
            <w:tcW w:w="709" w:type="dxa"/>
            <w:tcBorders>
              <w:top w:val="nil"/>
              <w:left w:val="nil"/>
              <w:bottom w:val="single" w:sz="8" w:space="0" w:color="000000"/>
              <w:right w:val="single" w:sz="8" w:space="0" w:color="000000"/>
            </w:tcBorders>
            <w:shd w:val="clear" w:color="auto" w:fill="auto"/>
            <w:vAlign w:val="center"/>
            <w:hideMark/>
          </w:tcPr>
          <w:p w14:paraId="3CA12107" w14:textId="77777777" w:rsidR="00441872" w:rsidRPr="00B901FE" w:rsidRDefault="00441872" w:rsidP="00CE2706">
            <w:pPr>
              <w:jc w:val="center"/>
              <w:rPr>
                <w:color w:val="000000"/>
                <w:sz w:val="15"/>
                <w:szCs w:val="15"/>
              </w:rPr>
            </w:pPr>
            <w:r w:rsidRPr="00B901FE">
              <w:rPr>
                <w:color w:val="000000"/>
                <w:sz w:val="15"/>
                <w:szCs w:val="15"/>
              </w:rPr>
              <w:t> </w:t>
            </w:r>
          </w:p>
        </w:tc>
        <w:tc>
          <w:tcPr>
            <w:tcW w:w="708" w:type="dxa"/>
            <w:tcBorders>
              <w:top w:val="nil"/>
              <w:left w:val="nil"/>
              <w:bottom w:val="single" w:sz="8" w:space="0" w:color="000000"/>
              <w:right w:val="single" w:sz="8" w:space="0" w:color="000000"/>
            </w:tcBorders>
            <w:shd w:val="clear" w:color="auto" w:fill="auto"/>
            <w:vAlign w:val="center"/>
            <w:hideMark/>
          </w:tcPr>
          <w:p w14:paraId="0C7CE2C9" w14:textId="77777777" w:rsidR="00441872" w:rsidRPr="00B901FE" w:rsidRDefault="00441872" w:rsidP="00CE2706">
            <w:pPr>
              <w:jc w:val="center"/>
              <w:rPr>
                <w:color w:val="000000"/>
                <w:sz w:val="15"/>
                <w:szCs w:val="15"/>
              </w:rPr>
            </w:pPr>
            <w:r w:rsidRPr="00B901FE">
              <w:rPr>
                <w:color w:val="000000"/>
                <w:sz w:val="15"/>
                <w:szCs w:val="15"/>
              </w:rPr>
              <w:t> </w:t>
            </w:r>
          </w:p>
        </w:tc>
        <w:tc>
          <w:tcPr>
            <w:tcW w:w="709" w:type="dxa"/>
            <w:tcBorders>
              <w:top w:val="nil"/>
              <w:left w:val="nil"/>
              <w:bottom w:val="single" w:sz="8" w:space="0" w:color="000000"/>
              <w:right w:val="single" w:sz="8" w:space="0" w:color="000000"/>
            </w:tcBorders>
            <w:shd w:val="clear" w:color="auto" w:fill="auto"/>
            <w:vAlign w:val="center"/>
            <w:hideMark/>
          </w:tcPr>
          <w:p w14:paraId="2E14F94F" w14:textId="77777777" w:rsidR="00441872" w:rsidRPr="00B901FE" w:rsidRDefault="00441872" w:rsidP="00CE2706">
            <w:pPr>
              <w:jc w:val="center"/>
              <w:rPr>
                <w:color w:val="000000"/>
                <w:sz w:val="15"/>
                <w:szCs w:val="15"/>
              </w:rPr>
            </w:pPr>
            <w:r w:rsidRPr="00B901FE">
              <w:rPr>
                <w:color w:val="000000"/>
                <w:sz w:val="15"/>
                <w:szCs w:val="15"/>
              </w:rPr>
              <w:t>14.920</w:t>
            </w:r>
          </w:p>
        </w:tc>
        <w:tc>
          <w:tcPr>
            <w:tcW w:w="567" w:type="dxa"/>
            <w:tcBorders>
              <w:top w:val="nil"/>
              <w:left w:val="nil"/>
              <w:bottom w:val="single" w:sz="8" w:space="0" w:color="000000"/>
              <w:right w:val="single" w:sz="8" w:space="0" w:color="000000"/>
            </w:tcBorders>
            <w:shd w:val="clear" w:color="auto" w:fill="auto"/>
            <w:vAlign w:val="center"/>
            <w:hideMark/>
          </w:tcPr>
          <w:p w14:paraId="75AD1FB1" w14:textId="77777777" w:rsidR="00441872" w:rsidRPr="00B901FE" w:rsidRDefault="00441872" w:rsidP="00CE2706">
            <w:pPr>
              <w:jc w:val="center"/>
              <w:rPr>
                <w:color w:val="000000"/>
                <w:sz w:val="15"/>
                <w:szCs w:val="15"/>
              </w:rPr>
            </w:pPr>
            <w:r w:rsidRPr="00B901FE">
              <w:rPr>
                <w:color w:val="000000"/>
                <w:sz w:val="15"/>
                <w:szCs w:val="15"/>
              </w:rPr>
              <w:t>602</w:t>
            </w:r>
          </w:p>
        </w:tc>
        <w:tc>
          <w:tcPr>
            <w:tcW w:w="567" w:type="dxa"/>
            <w:tcBorders>
              <w:top w:val="nil"/>
              <w:left w:val="nil"/>
              <w:bottom w:val="single" w:sz="8" w:space="0" w:color="000000"/>
              <w:right w:val="single" w:sz="8" w:space="0" w:color="000000"/>
            </w:tcBorders>
            <w:shd w:val="clear" w:color="auto" w:fill="auto"/>
            <w:vAlign w:val="center"/>
            <w:hideMark/>
          </w:tcPr>
          <w:p w14:paraId="0DA5BAE5" w14:textId="77777777" w:rsidR="00441872" w:rsidRPr="00B901FE" w:rsidRDefault="00441872" w:rsidP="00CE2706">
            <w:pPr>
              <w:jc w:val="center"/>
              <w:rPr>
                <w:color w:val="000000"/>
                <w:sz w:val="15"/>
                <w:szCs w:val="15"/>
              </w:rPr>
            </w:pPr>
            <w:r w:rsidRPr="00B901FE">
              <w:rPr>
                <w:color w:val="000000"/>
                <w:sz w:val="15"/>
                <w:szCs w:val="15"/>
              </w:rPr>
              <w:t> </w:t>
            </w:r>
          </w:p>
        </w:tc>
        <w:tc>
          <w:tcPr>
            <w:tcW w:w="709" w:type="dxa"/>
            <w:tcBorders>
              <w:top w:val="nil"/>
              <w:left w:val="nil"/>
              <w:bottom w:val="single" w:sz="8" w:space="0" w:color="000000"/>
              <w:right w:val="single" w:sz="8" w:space="0" w:color="000000"/>
            </w:tcBorders>
            <w:shd w:val="clear" w:color="auto" w:fill="auto"/>
            <w:vAlign w:val="center"/>
            <w:hideMark/>
          </w:tcPr>
          <w:p w14:paraId="29FFA4C1" w14:textId="77777777" w:rsidR="00441872" w:rsidRPr="00B901FE" w:rsidRDefault="00441872" w:rsidP="00CE2706">
            <w:pPr>
              <w:jc w:val="center"/>
              <w:rPr>
                <w:color w:val="000000"/>
                <w:sz w:val="15"/>
                <w:szCs w:val="15"/>
              </w:rPr>
            </w:pPr>
            <w:r w:rsidRPr="00B901FE">
              <w:rPr>
                <w:color w:val="000000"/>
                <w:sz w:val="15"/>
                <w:szCs w:val="15"/>
              </w:rPr>
              <w:t>897</w:t>
            </w:r>
          </w:p>
        </w:tc>
        <w:tc>
          <w:tcPr>
            <w:tcW w:w="533" w:type="dxa"/>
            <w:tcBorders>
              <w:top w:val="nil"/>
              <w:left w:val="nil"/>
              <w:bottom w:val="single" w:sz="8" w:space="0" w:color="000000"/>
              <w:right w:val="nil"/>
            </w:tcBorders>
            <w:shd w:val="clear" w:color="auto" w:fill="auto"/>
            <w:vAlign w:val="center"/>
            <w:hideMark/>
          </w:tcPr>
          <w:p w14:paraId="4F60577B" w14:textId="77777777" w:rsidR="00441872" w:rsidRPr="00B901FE" w:rsidRDefault="00441872" w:rsidP="00CE2706">
            <w:pPr>
              <w:jc w:val="center"/>
              <w:rPr>
                <w:color w:val="000000"/>
                <w:sz w:val="15"/>
                <w:szCs w:val="15"/>
              </w:rPr>
            </w:pPr>
            <w:r w:rsidRPr="00B901FE">
              <w:rPr>
                <w:color w:val="000000"/>
                <w:sz w:val="15"/>
                <w:szCs w:val="15"/>
              </w:rPr>
              <w:t>482</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3E08DB95" w14:textId="77777777" w:rsidR="00441872" w:rsidRPr="00B901FE" w:rsidRDefault="00441872" w:rsidP="00CE2706">
            <w:pPr>
              <w:rPr>
                <w:color w:val="000000"/>
                <w:sz w:val="15"/>
                <w:szCs w:val="15"/>
              </w:rPr>
            </w:pPr>
            <w:r w:rsidRPr="00B901FE">
              <w:rPr>
                <w:color w:val="000000"/>
                <w:sz w:val="15"/>
                <w:szCs w:val="15"/>
              </w:rPr>
              <w:t> </w:t>
            </w:r>
          </w:p>
        </w:tc>
        <w:tc>
          <w:tcPr>
            <w:tcW w:w="709" w:type="dxa"/>
            <w:tcBorders>
              <w:top w:val="nil"/>
              <w:left w:val="nil"/>
              <w:bottom w:val="single" w:sz="8" w:space="0" w:color="000000"/>
              <w:right w:val="single" w:sz="8" w:space="0" w:color="000000"/>
            </w:tcBorders>
            <w:shd w:val="clear" w:color="auto" w:fill="auto"/>
            <w:vAlign w:val="center"/>
            <w:hideMark/>
          </w:tcPr>
          <w:p w14:paraId="74DCAB0F" w14:textId="77777777" w:rsidR="00441872" w:rsidRPr="00B901FE" w:rsidRDefault="00441872" w:rsidP="00CE2706">
            <w:pPr>
              <w:jc w:val="center"/>
              <w:rPr>
                <w:color w:val="000000"/>
                <w:sz w:val="15"/>
                <w:szCs w:val="15"/>
              </w:rPr>
            </w:pPr>
            <w:r w:rsidRPr="00B901FE">
              <w:rPr>
                <w:color w:val="000000"/>
                <w:sz w:val="15"/>
                <w:szCs w:val="15"/>
              </w:rPr>
              <w:t>16.299</w:t>
            </w:r>
          </w:p>
        </w:tc>
        <w:tc>
          <w:tcPr>
            <w:tcW w:w="709" w:type="dxa"/>
            <w:tcBorders>
              <w:top w:val="nil"/>
              <w:left w:val="nil"/>
              <w:bottom w:val="single" w:sz="8" w:space="0" w:color="000000"/>
              <w:right w:val="single" w:sz="8" w:space="0" w:color="000000"/>
            </w:tcBorders>
            <w:shd w:val="clear" w:color="auto" w:fill="auto"/>
            <w:vAlign w:val="center"/>
            <w:hideMark/>
          </w:tcPr>
          <w:p w14:paraId="509B46AC" w14:textId="77777777" w:rsidR="00441872" w:rsidRPr="00B901FE" w:rsidRDefault="00441872" w:rsidP="00CE2706">
            <w:pPr>
              <w:jc w:val="center"/>
              <w:rPr>
                <w:color w:val="000000"/>
                <w:sz w:val="15"/>
                <w:szCs w:val="15"/>
              </w:rPr>
            </w:pPr>
            <w:r w:rsidRPr="00B901FE">
              <w:rPr>
                <w:color w:val="000000"/>
                <w:sz w:val="15"/>
                <w:szCs w:val="15"/>
              </w:rPr>
              <w:t> </w:t>
            </w:r>
          </w:p>
        </w:tc>
        <w:tc>
          <w:tcPr>
            <w:tcW w:w="708" w:type="dxa"/>
            <w:tcBorders>
              <w:top w:val="nil"/>
              <w:left w:val="nil"/>
              <w:bottom w:val="single" w:sz="8" w:space="0" w:color="000000"/>
              <w:right w:val="single" w:sz="8" w:space="0" w:color="000000"/>
            </w:tcBorders>
            <w:shd w:val="clear" w:color="auto" w:fill="auto"/>
            <w:vAlign w:val="center"/>
            <w:hideMark/>
          </w:tcPr>
          <w:p w14:paraId="6FF327CC" w14:textId="77777777" w:rsidR="00441872" w:rsidRPr="00B901FE" w:rsidRDefault="00441872" w:rsidP="00CE2706">
            <w:pPr>
              <w:jc w:val="center"/>
              <w:rPr>
                <w:color w:val="000000"/>
                <w:sz w:val="15"/>
                <w:szCs w:val="15"/>
              </w:rPr>
            </w:pPr>
            <w:r w:rsidRPr="00B901FE">
              <w:rPr>
                <w:color w:val="000000"/>
                <w:sz w:val="15"/>
                <w:szCs w:val="15"/>
              </w:rPr>
              <w:t> </w:t>
            </w:r>
          </w:p>
        </w:tc>
      </w:tr>
      <w:tr w:rsidR="00441872" w:rsidRPr="001B4CA2" w14:paraId="525D533A" w14:textId="77777777" w:rsidTr="00B901FE">
        <w:trPr>
          <w:trHeight w:val="300"/>
        </w:trPr>
        <w:tc>
          <w:tcPr>
            <w:tcW w:w="619" w:type="dxa"/>
            <w:tcBorders>
              <w:top w:val="nil"/>
              <w:left w:val="single" w:sz="8" w:space="0" w:color="000000"/>
              <w:bottom w:val="single" w:sz="8" w:space="0" w:color="000000"/>
              <w:right w:val="single" w:sz="8" w:space="0" w:color="000000"/>
            </w:tcBorders>
            <w:shd w:val="clear" w:color="auto" w:fill="auto"/>
            <w:vAlign w:val="center"/>
            <w:hideMark/>
          </w:tcPr>
          <w:p w14:paraId="71AFB604" w14:textId="77777777" w:rsidR="00441872" w:rsidRPr="00B901FE" w:rsidRDefault="00441872" w:rsidP="00CE2706">
            <w:pPr>
              <w:jc w:val="center"/>
              <w:rPr>
                <w:color w:val="000000"/>
                <w:sz w:val="15"/>
                <w:szCs w:val="15"/>
              </w:rPr>
            </w:pPr>
            <w:r w:rsidRPr="00B901FE">
              <w:rPr>
                <w:color w:val="000000"/>
                <w:sz w:val="15"/>
                <w:szCs w:val="15"/>
              </w:rPr>
              <w:t>2020.</w:t>
            </w:r>
          </w:p>
        </w:tc>
        <w:tc>
          <w:tcPr>
            <w:tcW w:w="661" w:type="dxa"/>
            <w:tcBorders>
              <w:top w:val="nil"/>
              <w:left w:val="nil"/>
              <w:bottom w:val="single" w:sz="8" w:space="0" w:color="000000"/>
              <w:right w:val="single" w:sz="8" w:space="0" w:color="000000"/>
            </w:tcBorders>
            <w:shd w:val="clear" w:color="auto" w:fill="auto"/>
            <w:vAlign w:val="center"/>
            <w:hideMark/>
          </w:tcPr>
          <w:p w14:paraId="7CE69FE6" w14:textId="77777777" w:rsidR="00441872" w:rsidRPr="00B901FE" w:rsidRDefault="00441872" w:rsidP="00CE2706">
            <w:pPr>
              <w:jc w:val="center"/>
              <w:rPr>
                <w:color w:val="000000"/>
                <w:sz w:val="15"/>
                <w:szCs w:val="15"/>
              </w:rPr>
            </w:pPr>
            <w:r w:rsidRPr="00B901FE">
              <w:rPr>
                <w:color w:val="000000"/>
                <w:sz w:val="15"/>
                <w:szCs w:val="15"/>
              </w:rPr>
              <w:t>3.031</w:t>
            </w:r>
          </w:p>
        </w:tc>
        <w:tc>
          <w:tcPr>
            <w:tcW w:w="705" w:type="dxa"/>
            <w:tcBorders>
              <w:top w:val="nil"/>
              <w:left w:val="nil"/>
              <w:bottom w:val="single" w:sz="8" w:space="0" w:color="000000"/>
              <w:right w:val="single" w:sz="8" w:space="0" w:color="000000"/>
            </w:tcBorders>
            <w:shd w:val="clear" w:color="auto" w:fill="auto"/>
            <w:vAlign w:val="center"/>
            <w:hideMark/>
          </w:tcPr>
          <w:p w14:paraId="369142DA" w14:textId="77777777" w:rsidR="00441872" w:rsidRPr="00B901FE" w:rsidRDefault="00441872" w:rsidP="00CE2706">
            <w:pPr>
              <w:jc w:val="center"/>
              <w:rPr>
                <w:color w:val="000000"/>
                <w:sz w:val="15"/>
                <w:szCs w:val="15"/>
              </w:rPr>
            </w:pPr>
            <w:r w:rsidRPr="00B901FE">
              <w:rPr>
                <w:color w:val="000000"/>
                <w:sz w:val="15"/>
                <w:szCs w:val="15"/>
              </w:rPr>
              <w:t>14.383</w:t>
            </w:r>
          </w:p>
        </w:tc>
        <w:tc>
          <w:tcPr>
            <w:tcW w:w="709" w:type="dxa"/>
            <w:tcBorders>
              <w:top w:val="nil"/>
              <w:left w:val="nil"/>
              <w:bottom w:val="single" w:sz="8" w:space="0" w:color="000000"/>
              <w:right w:val="single" w:sz="8" w:space="0" w:color="000000"/>
            </w:tcBorders>
            <w:shd w:val="clear" w:color="auto" w:fill="auto"/>
            <w:vAlign w:val="center"/>
            <w:hideMark/>
          </w:tcPr>
          <w:p w14:paraId="7DBE6841" w14:textId="77777777" w:rsidR="00441872" w:rsidRPr="00B901FE" w:rsidRDefault="00441872" w:rsidP="00CE2706">
            <w:pPr>
              <w:jc w:val="center"/>
              <w:rPr>
                <w:color w:val="000000"/>
                <w:sz w:val="15"/>
                <w:szCs w:val="15"/>
              </w:rPr>
            </w:pPr>
            <w:r w:rsidRPr="00B901FE">
              <w:rPr>
                <w:color w:val="000000"/>
                <w:sz w:val="15"/>
                <w:szCs w:val="15"/>
              </w:rPr>
              <w:t>17.414</w:t>
            </w:r>
          </w:p>
        </w:tc>
        <w:tc>
          <w:tcPr>
            <w:tcW w:w="708" w:type="dxa"/>
            <w:tcBorders>
              <w:top w:val="nil"/>
              <w:left w:val="nil"/>
              <w:bottom w:val="single" w:sz="8" w:space="0" w:color="000000"/>
              <w:right w:val="single" w:sz="8" w:space="0" w:color="000000"/>
            </w:tcBorders>
            <w:shd w:val="clear" w:color="auto" w:fill="auto"/>
            <w:vAlign w:val="center"/>
            <w:hideMark/>
          </w:tcPr>
          <w:p w14:paraId="0CB27543" w14:textId="77777777" w:rsidR="00441872" w:rsidRPr="00B901FE" w:rsidRDefault="00441872" w:rsidP="00CE2706">
            <w:pPr>
              <w:jc w:val="center"/>
              <w:rPr>
                <w:color w:val="000000"/>
                <w:sz w:val="15"/>
                <w:szCs w:val="15"/>
              </w:rPr>
            </w:pPr>
            <w:r w:rsidRPr="00B901FE">
              <w:rPr>
                <w:color w:val="000000"/>
                <w:sz w:val="15"/>
                <w:szCs w:val="15"/>
              </w:rPr>
              <w:t>282</w:t>
            </w:r>
          </w:p>
        </w:tc>
        <w:tc>
          <w:tcPr>
            <w:tcW w:w="709" w:type="dxa"/>
            <w:tcBorders>
              <w:top w:val="nil"/>
              <w:left w:val="nil"/>
              <w:bottom w:val="single" w:sz="8" w:space="0" w:color="000000"/>
              <w:right w:val="single" w:sz="8" w:space="0" w:color="000000"/>
            </w:tcBorders>
            <w:shd w:val="clear" w:color="auto" w:fill="auto"/>
            <w:vAlign w:val="center"/>
            <w:hideMark/>
          </w:tcPr>
          <w:p w14:paraId="35493154" w14:textId="77777777" w:rsidR="00441872" w:rsidRPr="00B901FE" w:rsidRDefault="00441872" w:rsidP="00CE2706">
            <w:pPr>
              <w:jc w:val="center"/>
              <w:rPr>
                <w:color w:val="000000"/>
                <w:sz w:val="15"/>
                <w:szCs w:val="15"/>
              </w:rPr>
            </w:pPr>
            <w:r w:rsidRPr="00B901FE">
              <w:rPr>
                <w:color w:val="000000"/>
                <w:sz w:val="15"/>
                <w:szCs w:val="15"/>
              </w:rPr>
              <w:t>15.306</w:t>
            </w:r>
          </w:p>
        </w:tc>
        <w:tc>
          <w:tcPr>
            <w:tcW w:w="567" w:type="dxa"/>
            <w:tcBorders>
              <w:top w:val="nil"/>
              <w:left w:val="nil"/>
              <w:bottom w:val="single" w:sz="8" w:space="0" w:color="000000"/>
              <w:right w:val="single" w:sz="8" w:space="0" w:color="000000"/>
            </w:tcBorders>
            <w:shd w:val="clear" w:color="auto" w:fill="auto"/>
            <w:vAlign w:val="center"/>
            <w:hideMark/>
          </w:tcPr>
          <w:p w14:paraId="53F640E0" w14:textId="77777777" w:rsidR="00441872" w:rsidRPr="00B901FE" w:rsidRDefault="00441872" w:rsidP="00CE2706">
            <w:pPr>
              <w:jc w:val="center"/>
              <w:rPr>
                <w:color w:val="000000"/>
                <w:sz w:val="15"/>
                <w:szCs w:val="15"/>
              </w:rPr>
            </w:pPr>
            <w:r w:rsidRPr="00B901FE">
              <w:rPr>
                <w:color w:val="000000"/>
                <w:sz w:val="15"/>
                <w:szCs w:val="15"/>
              </w:rPr>
              <w:t>494</w:t>
            </w:r>
          </w:p>
        </w:tc>
        <w:tc>
          <w:tcPr>
            <w:tcW w:w="567" w:type="dxa"/>
            <w:tcBorders>
              <w:top w:val="nil"/>
              <w:left w:val="nil"/>
              <w:bottom w:val="single" w:sz="8" w:space="0" w:color="000000"/>
              <w:right w:val="single" w:sz="8" w:space="0" w:color="000000"/>
            </w:tcBorders>
            <w:shd w:val="clear" w:color="auto" w:fill="auto"/>
            <w:vAlign w:val="center"/>
            <w:hideMark/>
          </w:tcPr>
          <w:p w14:paraId="2923B7A7" w14:textId="77777777" w:rsidR="00441872" w:rsidRPr="00B901FE" w:rsidRDefault="00441872" w:rsidP="00CE2706">
            <w:pPr>
              <w:jc w:val="center"/>
              <w:rPr>
                <w:color w:val="000000"/>
                <w:sz w:val="15"/>
                <w:szCs w:val="15"/>
              </w:rPr>
            </w:pPr>
            <w:r w:rsidRPr="00B901FE">
              <w:rPr>
                <w:color w:val="000000"/>
                <w:sz w:val="15"/>
                <w:szCs w:val="15"/>
              </w:rPr>
              <w:t>150</w:t>
            </w:r>
          </w:p>
        </w:tc>
        <w:tc>
          <w:tcPr>
            <w:tcW w:w="709" w:type="dxa"/>
            <w:tcBorders>
              <w:top w:val="nil"/>
              <w:left w:val="nil"/>
              <w:bottom w:val="single" w:sz="8" w:space="0" w:color="000000"/>
              <w:right w:val="single" w:sz="8" w:space="0" w:color="000000"/>
            </w:tcBorders>
            <w:shd w:val="clear" w:color="auto" w:fill="auto"/>
            <w:vAlign w:val="center"/>
            <w:hideMark/>
          </w:tcPr>
          <w:p w14:paraId="5A49592F" w14:textId="77777777" w:rsidR="00441872" w:rsidRPr="00B901FE" w:rsidRDefault="00441872" w:rsidP="00CE2706">
            <w:pPr>
              <w:jc w:val="center"/>
              <w:rPr>
                <w:color w:val="000000"/>
                <w:sz w:val="15"/>
                <w:szCs w:val="15"/>
              </w:rPr>
            </w:pPr>
            <w:r w:rsidRPr="00B901FE">
              <w:rPr>
                <w:color w:val="000000"/>
                <w:sz w:val="15"/>
                <w:szCs w:val="15"/>
              </w:rPr>
              <w:t>1.098</w:t>
            </w:r>
          </w:p>
        </w:tc>
        <w:tc>
          <w:tcPr>
            <w:tcW w:w="533" w:type="dxa"/>
            <w:tcBorders>
              <w:top w:val="nil"/>
              <w:left w:val="nil"/>
              <w:bottom w:val="single" w:sz="8" w:space="0" w:color="000000"/>
              <w:right w:val="nil"/>
            </w:tcBorders>
            <w:shd w:val="clear" w:color="auto" w:fill="auto"/>
            <w:vAlign w:val="center"/>
            <w:hideMark/>
          </w:tcPr>
          <w:p w14:paraId="4AEF3FE8" w14:textId="77777777" w:rsidR="00441872" w:rsidRPr="00B901FE" w:rsidRDefault="00441872" w:rsidP="00CE2706">
            <w:pPr>
              <w:jc w:val="center"/>
              <w:rPr>
                <w:color w:val="000000"/>
                <w:sz w:val="15"/>
                <w:szCs w:val="15"/>
              </w:rPr>
            </w:pPr>
            <w:r w:rsidRPr="00B901FE">
              <w:rPr>
                <w:color w:val="000000"/>
                <w:sz w:val="15"/>
                <w:szCs w:val="15"/>
              </w:rPr>
              <w:t>399</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57738D55" w14:textId="77777777" w:rsidR="00441872" w:rsidRPr="00B901FE" w:rsidRDefault="00441872" w:rsidP="00CE2706">
            <w:pPr>
              <w:rPr>
                <w:color w:val="000000"/>
                <w:sz w:val="15"/>
                <w:szCs w:val="15"/>
              </w:rPr>
            </w:pPr>
            <w:r w:rsidRPr="00B901FE">
              <w:rPr>
                <w:color w:val="000000"/>
                <w:sz w:val="15"/>
                <w:szCs w:val="15"/>
              </w:rPr>
              <w:t> </w:t>
            </w:r>
          </w:p>
        </w:tc>
        <w:tc>
          <w:tcPr>
            <w:tcW w:w="709" w:type="dxa"/>
            <w:tcBorders>
              <w:top w:val="nil"/>
              <w:left w:val="nil"/>
              <w:bottom w:val="single" w:sz="8" w:space="0" w:color="000000"/>
              <w:right w:val="single" w:sz="8" w:space="0" w:color="000000"/>
            </w:tcBorders>
            <w:shd w:val="clear" w:color="auto" w:fill="auto"/>
            <w:vAlign w:val="center"/>
            <w:hideMark/>
          </w:tcPr>
          <w:p w14:paraId="0701DEDB" w14:textId="77777777" w:rsidR="00441872" w:rsidRPr="00B901FE" w:rsidRDefault="00441872" w:rsidP="00CE2706">
            <w:pPr>
              <w:jc w:val="center"/>
              <w:rPr>
                <w:color w:val="000000"/>
                <w:sz w:val="15"/>
                <w:szCs w:val="15"/>
              </w:rPr>
            </w:pPr>
            <w:r w:rsidRPr="00B901FE">
              <w:rPr>
                <w:color w:val="000000"/>
                <w:sz w:val="15"/>
                <w:szCs w:val="15"/>
              </w:rPr>
              <w:t>17.235</w:t>
            </w:r>
          </w:p>
        </w:tc>
        <w:tc>
          <w:tcPr>
            <w:tcW w:w="709" w:type="dxa"/>
            <w:tcBorders>
              <w:top w:val="nil"/>
              <w:left w:val="nil"/>
              <w:bottom w:val="single" w:sz="8" w:space="0" w:color="000000"/>
              <w:right w:val="single" w:sz="8" w:space="0" w:color="000000"/>
            </w:tcBorders>
            <w:shd w:val="clear" w:color="auto" w:fill="auto"/>
            <w:vAlign w:val="center"/>
            <w:hideMark/>
          </w:tcPr>
          <w:p w14:paraId="6DCF3D64" w14:textId="77777777" w:rsidR="00441872" w:rsidRPr="00B901FE" w:rsidRDefault="00441872" w:rsidP="00CE2706">
            <w:pPr>
              <w:jc w:val="center"/>
              <w:rPr>
                <w:color w:val="000000"/>
                <w:sz w:val="15"/>
                <w:szCs w:val="15"/>
              </w:rPr>
            </w:pPr>
            <w:r w:rsidRPr="00B901FE">
              <w:rPr>
                <w:color w:val="000000"/>
                <w:sz w:val="15"/>
                <w:szCs w:val="15"/>
              </w:rPr>
              <w:t> </w:t>
            </w:r>
          </w:p>
        </w:tc>
        <w:tc>
          <w:tcPr>
            <w:tcW w:w="708" w:type="dxa"/>
            <w:tcBorders>
              <w:top w:val="nil"/>
              <w:left w:val="nil"/>
              <w:bottom w:val="single" w:sz="8" w:space="0" w:color="000000"/>
              <w:right w:val="single" w:sz="8" w:space="0" w:color="000000"/>
            </w:tcBorders>
            <w:shd w:val="clear" w:color="auto" w:fill="auto"/>
            <w:vAlign w:val="center"/>
            <w:hideMark/>
          </w:tcPr>
          <w:p w14:paraId="42730A42" w14:textId="77777777" w:rsidR="00441872" w:rsidRPr="00B901FE" w:rsidRDefault="00441872" w:rsidP="00CE2706">
            <w:pPr>
              <w:jc w:val="center"/>
              <w:rPr>
                <w:color w:val="000000"/>
                <w:sz w:val="15"/>
                <w:szCs w:val="15"/>
              </w:rPr>
            </w:pPr>
            <w:r w:rsidRPr="00B901FE">
              <w:rPr>
                <w:color w:val="000000"/>
                <w:sz w:val="15"/>
                <w:szCs w:val="15"/>
              </w:rPr>
              <w:t>25.257</w:t>
            </w:r>
          </w:p>
        </w:tc>
      </w:tr>
      <w:tr w:rsidR="00441872" w:rsidRPr="001B4CA2" w14:paraId="28EED33F" w14:textId="77777777" w:rsidTr="00B901FE">
        <w:trPr>
          <w:trHeight w:val="300"/>
        </w:trPr>
        <w:tc>
          <w:tcPr>
            <w:tcW w:w="619" w:type="dxa"/>
            <w:tcBorders>
              <w:top w:val="nil"/>
              <w:left w:val="single" w:sz="8" w:space="0" w:color="000000"/>
              <w:bottom w:val="single" w:sz="8" w:space="0" w:color="000000"/>
              <w:right w:val="single" w:sz="8" w:space="0" w:color="000000"/>
            </w:tcBorders>
            <w:shd w:val="clear" w:color="auto" w:fill="auto"/>
            <w:vAlign w:val="center"/>
            <w:hideMark/>
          </w:tcPr>
          <w:p w14:paraId="614EBC53" w14:textId="77777777" w:rsidR="00441872" w:rsidRPr="00B901FE" w:rsidRDefault="00441872" w:rsidP="00CE2706">
            <w:pPr>
              <w:jc w:val="center"/>
              <w:rPr>
                <w:color w:val="000000"/>
                <w:sz w:val="15"/>
                <w:szCs w:val="15"/>
              </w:rPr>
            </w:pPr>
            <w:r w:rsidRPr="00B901FE">
              <w:rPr>
                <w:color w:val="000000"/>
                <w:sz w:val="15"/>
                <w:szCs w:val="15"/>
              </w:rPr>
              <w:t>2021.</w:t>
            </w:r>
          </w:p>
        </w:tc>
        <w:tc>
          <w:tcPr>
            <w:tcW w:w="661" w:type="dxa"/>
            <w:tcBorders>
              <w:top w:val="nil"/>
              <w:left w:val="nil"/>
              <w:bottom w:val="single" w:sz="8" w:space="0" w:color="000000"/>
              <w:right w:val="single" w:sz="8" w:space="0" w:color="000000"/>
            </w:tcBorders>
            <w:shd w:val="clear" w:color="auto" w:fill="auto"/>
            <w:vAlign w:val="center"/>
            <w:hideMark/>
          </w:tcPr>
          <w:p w14:paraId="249B9758" w14:textId="77777777" w:rsidR="00441872" w:rsidRPr="00B901FE" w:rsidRDefault="00441872" w:rsidP="00CE2706">
            <w:pPr>
              <w:jc w:val="center"/>
              <w:rPr>
                <w:color w:val="000000"/>
                <w:sz w:val="15"/>
                <w:szCs w:val="15"/>
              </w:rPr>
            </w:pPr>
            <w:r w:rsidRPr="00B901FE">
              <w:rPr>
                <w:color w:val="000000"/>
                <w:sz w:val="15"/>
                <w:szCs w:val="15"/>
              </w:rPr>
              <w:t>4.064</w:t>
            </w:r>
          </w:p>
        </w:tc>
        <w:tc>
          <w:tcPr>
            <w:tcW w:w="705" w:type="dxa"/>
            <w:tcBorders>
              <w:top w:val="nil"/>
              <w:left w:val="nil"/>
              <w:bottom w:val="single" w:sz="8" w:space="0" w:color="000000"/>
              <w:right w:val="single" w:sz="8" w:space="0" w:color="000000"/>
            </w:tcBorders>
            <w:shd w:val="clear" w:color="auto" w:fill="auto"/>
            <w:vAlign w:val="center"/>
            <w:hideMark/>
          </w:tcPr>
          <w:p w14:paraId="0009C09F" w14:textId="77777777" w:rsidR="00441872" w:rsidRPr="00B901FE" w:rsidRDefault="00441872" w:rsidP="00CE2706">
            <w:pPr>
              <w:jc w:val="center"/>
              <w:rPr>
                <w:color w:val="000000"/>
                <w:sz w:val="15"/>
                <w:szCs w:val="15"/>
              </w:rPr>
            </w:pPr>
            <w:r w:rsidRPr="00B901FE">
              <w:rPr>
                <w:color w:val="000000"/>
                <w:sz w:val="15"/>
                <w:szCs w:val="15"/>
              </w:rPr>
              <w:t>12.066</w:t>
            </w:r>
          </w:p>
        </w:tc>
        <w:tc>
          <w:tcPr>
            <w:tcW w:w="709" w:type="dxa"/>
            <w:tcBorders>
              <w:top w:val="nil"/>
              <w:left w:val="nil"/>
              <w:bottom w:val="single" w:sz="8" w:space="0" w:color="000000"/>
              <w:right w:val="single" w:sz="8" w:space="0" w:color="000000"/>
            </w:tcBorders>
            <w:shd w:val="clear" w:color="auto" w:fill="auto"/>
            <w:vAlign w:val="center"/>
            <w:hideMark/>
          </w:tcPr>
          <w:p w14:paraId="112F4957" w14:textId="77777777" w:rsidR="00441872" w:rsidRPr="00B901FE" w:rsidRDefault="00441872" w:rsidP="00CE2706">
            <w:pPr>
              <w:jc w:val="center"/>
              <w:rPr>
                <w:color w:val="000000"/>
                <w:sz w:val="15"/>
                <w:szCs w:val="15"/>
              </w:rPr>
            </w:pPr>
            <w:r w:rsidRPr="00B901FE">
              <w:rPr>
                <w:color w:val="000000"/>
                <w:sz w:val="15"/>
                <w:szCs w:val="15"/>
              </w:rPr>
              <w:t>16.130</w:t>
            </w:r>
          </w:p>
        </w:tc>
        <w:tc>
          <w:tcPr>
            <w:tcW w:w="708" w:type="dxa"/>
            <w:tcBorders>
              <w:top w:val="nil"/>
              <w:left w:val="nil"/>
              <w:bottom w:val="single" w:sz="8" w:space="0" w:color="000000"/>
              <w:right w:val="single" w:sz="8" w:space="0" w:color="000000"/>
            </w:tcBorders>
            <w:shd w:val="clear" w:color="auto" w:fill="auto"/>
            <w:vAlign w:val="center"/>
            <w:hideMark/>
          </w:tcPr>
          <w:p w14:paraId="5E1D3D36" w14:textId="77777777" w:rsidR="00441872" w:rsidRPr="00B901FE" w:rsidRDefault="00441872" w:rsidP="00CE2706">
            <w:pPr>
              <w:jc w:val="center"/>
              <w:rPr>
                <w:color w:val="000000"/>
                <w:sz w:val="15"/>
                <w:szCs w:val="15"/>
              </w:rPr>
            </w:pPr>
            <w:r w:rsidRPr="00B901FE">
              <w:rPr>
                <w:color w:val="000000"/>
                <w:sz w:val="15"/>
                <w:szCs w:val="15"/>
              </w:rPr>
              <w:t>561</w:t>
            </w:r>
          </w:p>
        </w:tc>
        <w:tc>
          <w:tcPr>
            <w:tcW w:w="709" w:type="dxa"/>
            <w:tcBorders>
              <w:top w:val="nil"/>
              <w:left w:val="nil"/>
              <w:bottom w:val="single" w:sz="8" w:space="0" w:color="000000"/>
              <w:right w:val="single" w:sz="8" w:space="0" w:color="000000"/>
            </w:tcBorders>
            <w:shd w:val="clear" w:color="auto" w:fill="auto"/>
            <w:vAlign w:val="center"/>
            <w:hideMark/>
          </w:tcPr>
          <w:p w14:paraId="22C2275D" w14:textId="77777777" w:rsidR="00441872" w:rsidRPr="00B901FE" w:rsidRDefault="00441872" w:rsidP="00CE2706">
            <w:pPr>
              <w:jc w:val="center"/>
              <w:rPr>
                <w:color w:val="000000"/>
                <w:sz w:val="15"/>
                <w:szCs w:val="15"/>
              </w:rPr>
            </w:pPr>
            <w:r w:rsidRPr="00B901FE">
              <w:rPr>
                <w:color w:val="000000"/>
                <w:sz w:val="15"/>
                <w:szCs w:val="15"/>
              </w:rPr>
              <w:t>16.236</w:t>
            </w:r>
          </w:p>
        </w:tc>
        <w:tc>
          <w:tcPr>
            <w:tcW w:w="567" w:type="dxa"/>
            <w:tcBorders>
              <w:top w:val="nil"/>
              <w:left w:val="nil"/>
              <w:bottom w:val="single" w:sz="8" w:space="0" w:color="000000"/>
              <w:right w:val="single" w:sz="8" w:space="0" w:color="000000"/>
            </w:tcBorders>
            <w:shd w:val="clear" w:color="auto" w:fill="auto"/>
            <w:vAlign w:val="center"/>
            <w:hideMark/>
          </w:tcPr>
          <w:p w14:paraId="0D6CEDE2" w14:textId="77777777" w:rsidR="00441872" w:rsidRPr="00B901FE" w:rsidRDefault="00441872" w:rsidP="00CE2706">
            <w:pPr>
              <w:jc w:val="center"/>
              <w:rPr>
                <w:color w:val="000000"/>
                <w:sz w:val="15"/>
                <w:szCs w:val="15"/>
              </w:rPr>
            </w:pPr>
            <w:r w:rsidRPr="00B901FE">
              <w:rPr>
                <w:color w:val="000000"/>
                <w:sz w:val="15"/>
                <w:szCs w:val="15"/>
              </w:rPr>
              <w:t>521</w:t>
            </w:r>
          </w:p>
        </w:tc>
        <w:tc>
          <w:tcPr>
            <w:tcW w:w="567" w:type="dxa"/>
            <w:tcBorders>
              <w:top w:val="nil"/>
              <w:left w:val="nil"/>
              <w:bottom w:val="single" w:sz="8" w:space="0" w:color="000000"/>
              <w:right w:val="single" w:sz="8" w:space="0" w:color="000000"/>
            </w:tcBorders>
            <w:shd w:val="clear" w:color="auto" w:fill="auto"/>
            <w:vAlign w:val="center"/>
            <w:hideMark/>
          </w:tcPr>
          <w:p w14:paraId="26EEBB70" w14:textId="77777777" w:rsidR="00441872" w:rsidRPr="00B901FE" w:rsidRDefault="00441872" w:rsidP="00CE2706">
            <w:pPr>
              <w:jc w:val="center"/>
              <w:rPr>
                <w:color w:val="000000"/>
                <w:sz w:val="15"/>
                <w:szCs w:val="15"/>
              </w:rPr>
            </w:pPr>
            <w:r w:rsidRPr="00B901FE">
              <w:rPr>
                <w:color w:val="000000"/>
                <w:sz w:val="15"/>
                <w:szCs w:val="15"/>
              </w:rPr>
              <w:t>203</w:t>
            </w:r>
          </w:p>
        </w:tc>
        <w:tc>
          <w:tcPr>
            <w:tcW w:w="709" w:type="dxa"/>
            <w:tcBorders>
              <w:top w:val="nil"/>
              <w:left w:val="nil"/>
              <w:bottom w:val="single" w:sz="8" w:space="0" w:color="000000"/>
              <w:right w:val="single" w:sz="8" w:space="0" w:color="000000"/>
            </w:tcBorders>
            <w:shd w:val="clear" w:color="auto" w:fill="auto"/>
            <w:vAlign w:val="center"/>
            <w:hideMark/>
          </w:tcPr>
          <w:p w14:paraId="2F998457" w14:textId="77777777" w:rsidR="00441872" w:rsidRPr="00B901FE" w:rsidRDefault="00441872" w:rsidP="00CE2706">
            <w:pPr>
              <w:jc w:val="center"/>
              <w:rPr>
                <w:color w:val="000000"/>
                <w:sz w:val="15"/>
                <w:szCs w:val="15"/>
              </w:rPr>
            </w:pPr>
            <w:r w:rsidRPr="00B901FE">
              <w:rPr>
                <w:color w:val="000000"/>
                <w:sz w:val="15"/>
                <w:szCs w:val="15"/>
              </w:rPr>
              <w:t>1.386</w:t>
            </w:r>
          </w:p>
        </w:tc>
        <w:tc>
          <w:tcPr>
            <w:tcW w:w="533" w:type="dxa"/>
            <w:tcBorders>
              <w:top w:val="nil"/>
              <w:left w:val="nil"/>
              <w:bottom w:val="single" w:sz="8" w:space="0" w:color="000000"/>
              <w:right w:val="nil"/>
            </w:tcBorders>
            <w:shd w:val="clear" w:color="auto" w:fill="auto"/>
            <w:vAlign w:val="center"/>
            <w:hideMark/>
          </w:tcPr>
          <w:p w14:paraId="2F76D07A" w14:textId="77777777" w:rsidR="00441872" w:rsidRPr="00B901FE" w:rsidRDefault="00441872" w:rsidP="00CE2706">
            <w:pPr>
              <w:jc w:val="center"/>
              <w:rPr>
                <w:color w:val="000000"/>
                <w:sz w:val="15"/>
                <w:szCs w:val="15"/>
              </w:rPr>
            </w:pPr>
            <w:r w:rsidRPr="00B901FE">
              <w:rPr>
                <w:color w:val="000000"/>
                <w:sz w:val="15"/>
                <w:szCs w:val="15"/>
              </w:rPr>
              <w:t>538</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7C28AE1C" w14:textId="77777777" w:rsidR="00441872" w:rsidRPr="00B901FE" w:rsidRDefault="00441872" w:rsidP="00CE2706">
            <w:pPr>
              <w:rPr>
                <w:color w:val="000000"/>
                <w:sz w:val="15"/>
                <w:szCs w:val="15"/>
              </w:rPr>
            </w:pPr>
            <w:r w:rsidRPr="00B901FE">
              <w:rPr>
                <w:color w:val="000000"/>
                <w:sz w:val="15"/>
                <w:szCs w:val="15"/>
              </w:rPr>
              <w:t> </w:t>
            </w:r>
          </w:p>
        </w:tc>
        <w:tc>
          <w:tcPr>
            <w:tcW w:w="709" w:type="dxa"/>
            <w:tcBorders>
              <w:top w:val="nil"/>
              <w:left w:val="nil"/>
              <w:bottom w:val="single" w:sz="8" w:space="0" w:color="000000"/>
              <w:right w:val="single" w:sz="8" w:space="0" w:color="000000"/>
            </w:tcBorders>
            <w:shd w:val="clear" w:color="auto" w:fill="auto"/>
            <w:vAlign w:val="center"/>
            <w:hideMark/>
          </w:tcPr>
          <w:p w14:paraId="3FAC678D" w14:textId="77777777" w:rsidR="00441872" w:rsidRPr="00B901FE" w:rsidRDefault="00441872" w:rsidP="00CE2706">
            <w:pPr>
              <w:jc w:val="center"/>
              <w:rPr>
                <w:color w:val="000000"/>
                <w:sz w:val="15"/>
                <w:szCs w:val="15"/>
              </w:rPr>
            </w:pPr>
            <w:r w:rsidRPr="00B901FE">
              <w:rPr>
                <w:color w:val="000000"/>
                <w:sz w:val="15"/>
                <w:szCs w:val="15"/>
              </w:rPr>
              <w:t>18.924</w:t>
            </w:r>
          </w:p>
        </w:tc>
        <w:tc>
          <w:tcPr>
            <w:tcW w:w="709" w:type="dxa"/>
            <w:tcBorders>
              <w:top w:val="nil"/>
              <w:left w:val="nil"/>
              <w:bottom w:val="single" w:sz="8" w:space="0" w:color="000000"/>
              <w:right w:val="single" w:sz="8" w:space="0" w:color="000000"/>
            </w:tcBorders>
            <w:shd w:val="clear" w:color="auto" w:fill="auto"/>
            <w:vAlign w:val="center"/>
            <w:hideMark/>
          </w:tcPr>
          <w:p w14:paraId="540D5DF8" w14:textId="77777777" w:rsidR="00441872" w:rsidRPr="00B901FE" w:rsidRDefault="00441872" w:rsidP="00CE2706">
            <w:pPr>
              <w:jc w:val="center"/>
              <w:rPr>
                <w:color w:val="000000"/>
                <w:sz w:val="15"/>
                <w:szCs w:val="15"/>
              </w:rPr>
            </w:pPr>
            <w:r w:rsidRPr="00B901FE">
              <w:rPr>
                <w:color w:val="000000"/>
                <w:sz w:val="15"/>
                <w:szCs w:val="15"/>
              </w:rPr>
              <w:t> </w:t>
            </w:r>
          </w:p>
        </w:tc>
        <w:tc>
          <w:tcPr>
            <w:tcW w:w="708" w:type="dxa"/>
            <w:tcBorders>
              <w:top w:val="nil"/>
              <w:left w:val="nil"/>
              <w:bottom w:val="single" w:sz="8" w:space="0" w:color="000000"/>
              <w:right w:val="single" w:sz="8" w:space="0" w:color="000000"/>
            </w:tcBorders>
            <w:shd w:val="clear" w:color="auto" w:fill="auto"/>
            <w:vAlign w:val="center"/>
            <w:hideMark/>
          </w:tcPr>
          <w:p w14:paraId="1FDAD374" w14:textId="77777777" w:rsidR="00441872" w:rsidRPr="00B901FE" w:rsidRDefault="00441872" w:rsidP="00CE2706">
            <w:pPr>
              <w:jc w:val="center"/>
              <w:rPr>
                <w:color w:val="000000"/>
                <w:sz w:val="15"/>
                <w:szCs w:val="15"/>
              </w:rPr>
            </w:pPr>
            <w:r w:rsidRPr="00B901FE">
              <w:rPr>
                <w:color w:val="000000"/>
                <w:sz w:val="15"/>
                <w:szCs w:val="15"/>
              </w:rPr>
              <w:t>31.253</w:t>
            </w:r>
          </w:p>
        </w:tc>
      </w:tr>
      <w:tr w:rsidR="00B901FE" w:rsidRPr="001B4CA2" w14:paraId="2A292BAE" w14:textId="77777777" w:rsidTr="00B901FE">
        <w:trPr>
          <w:trHeight w:val="300"/>
        </w:trPr>
        <w:tc>
          <w:tcPr>
            <w:tcW w:w="619" w:type="dxa"/>
            <w:tcBorders>
              <w:top w:val="nil"/>
              <w:left w:val="single" w:sz="8" w:space="0" w:color="000000"/>
              <w:bottom w:val="single" w:sz="8" w:space="0" w:color="000000"/>
              <w:right w:val="single" w:sz="8" w:space="0" w:color="000000"/>
            </w:tcBorders>
            <w:shd w:val="clear" w:color="auto" w:fill="auto"/>
            <w:vAlign w:val="center"/>
            <w:hideMark/>
          </w:tcPr>
          <w:p w14:paraId="6D2AE403" w14:textId="77777777" w:rsidR="00441872" w:rsidRPr="00B901FE" w:rsidRDefault="00441872" w:rsidP="00CE2706">
            <w:pPr>
              <w:jc w:val="center"/>
              <w:rPr>
                <w:color w:val="000000"/>
                <w:sz w:val="15"/>
                <w:szCs w:val="15"/>
              </w:rPr>
            </w:pPr>
            <w:r w:rsidRPr="00B901FE">
              <w:rPr>
                <w:color w:val="000000"/>
                <w:sz w:val="15"/>
                <w:szCs w:val="15"/>
              </w:rPr>
              <w:t>2022.</w:t>
            </w:r>
          </w:p>
        </w:tc>
        <w:tc>
          <w:tcPr>
            <w:tcW w:w="661" w:type="dxa"/>
            <w:tcBorders>
              <w:top w:val="nil"/>
              <w:left w:val="nil"/>
              <w:bottom w:val="single" w:sz="8" w:space="0" w:color="000000"/>
              <w:right w:val="single" w:sz="8" w:space="0" w:color="000000"/>
            </w:tcBorders>
            <w:shd w:val="clear" w:color="auto" w:fill="auto"/>
            <w:vAlign w:val="center"/>
            <w:hideMark/>
          </w:tcPr>
          <w:p w14:paraId="217A35E9" w14:textId="77777777" w:rsidR="00441872" w:rsidRPr="00B901FE" w:rsidRDefault="00441872" w:rsidP="00CE2706">
            <w:pPr>
              <w:jc w:val="center"/>
              <w:rPr>
                <w:color w:val="000000"/>
                <w:sz w:val="15"/>
                <w:szCs w:val="15"/>
              </w:rPr>
            </w:pPr>
            <w:r w:rsidRPr="00B901FE">
              <w:rPr>
                <w:color w:val="000000"/>
                <w:sz w:val="15"/>
                <w:szCs w:val="15"/>
              </w:rPr>
              <w:t>4.314</w:t>
            </w:r>
          </w:p>
        </w:tc>
        <w:tc>
          <w:tcPr>
            <w:tcW w:w="705" w:type="dxa"/>
            <w:tcBorders>
              <w:top w:val="nil"/>
              <w:left w:val="nil"/>
              <w:bottom w:val="single" w:sz="8" w:space="0" w:color="000000"/>
              <w:right w:val="single" w:sz="8" w:space="0" w:color="000000"/>
            </w:tcBorders>
            <w:shd w:val="clear" w:color="auto" w:fill="auto"/>
            <w:vAlign w:val="center"/>
            <w:hideMark/>
          </w:tcPr>
          <w:p w14:paraId="6872F7FF" w14:textId="77777777" w:rsidR="00441872" w:rsidRPr="00B901FE" w:rsidRDefault="00441872" w:rsidP="00CE2706">
            <w:pPr>
              <w:jc w:val="center"/>
              <w:rPr>
                <w:color w:val="000000"/>
                <w:sz w:val="15"/>
                <w:szCs w:val="15"/>
              </w:rPr>
            </w:pPr>
            <w:r w:rsidRPr="00B901FE">
              <w:rPr>
                <w:color w:val="000000"/>
                <w:sz w:val="15"/>
                <w:szCs w:val="15"/>
              </w:rPr>
              <w:t>12.566</w:t>
            </w:r>
          </w:p>
        </w:tc>
        <w:tc>
          <w:tcPr>
            <w:tcW w:w="709" w:type="dxa"/>
            <w:tcBorders>
              <w:top w:val="nil"/>
              <w:left w:val="nil"/>
              <w:bottom w:val="single" w:sz="8" w:space="0" w:color="000000"/>
              <w:right w:val="single" w:sz="8" w:space="0" w:color="000000"/>
            </w:tcBorders>
            <w:shd w:val="clear" w:color="auto" w:fill="auto"/>
            <w:vAlign w:val="center"/>
            <w:hideMark/>
          </w:tcPr>
          <w:p w14:paraId="1DA0CF00" w14:textId="77777777" w:rsidR="00441872" w:rsidRPr="00B901FE" w:rsidRDefault="00441872" w:rsidP="00CE2706">
            <w:pPr>
              <w:jc w:val="center"/>
              <w:rPr>
                <w:color w:val="000000"/>
                <w:sz w:val="15"/>
                <w:szCs w:val="15"/>
              </w:rPr>
            </w:pPr>
            <w:r w:rsidRPr="00B901FE">
              <w:rPr>
                <w:color w:val="000000"/>
                <w:sz w:val="15"/>
                <w:szCs w:val="15"/>
              </w:rPr>
              <w:t>16.880</w:t>
            </w:r>
          </w:p>
        </w:tc>
        <w:tc>
          <w:tcPr>
            <w:tcW w:w="708" w:type="dxa"/>
            <w:tcBorders>
              <w:top w:val="nil"/>
              <w:left w:val="nil"/>
              <w:bottom w:val="single" w:sz="8" w:space="0" w:color="000000"/>
              <w:right w:val="single" w:sz="8" w:space="0" w:color="000000"/>
            </w:tcBorders>
            <w:shd w:val="clear" w:color="auto" w:fill="auto"/>
            <w:vAlign w:val="center"/>
            <w:hideMark/>
          </w:tcPr>
          <w:p w14:paraId="3D31F2EA" w14:textId="52010B35" w:rsidR="00441872" w:rsidRPr="00B901FE" w:rsidRDefault="00441872" w:rsidP="00CE2706">
            <w:pPr>
              <w:jc w:val="center"/>
              <w:rPr>
                <w:color w:val="000000"/>
                <w:sz w:val="15"/>
                <w:szCs w:val="15"/>
              </w:rPr>
            </w:pPr>
            <w:r w:rsidRPr="00B901FE">
              <w:rPr>
                <w:color w:val="000000"/>
                <w:sz w:val="15"/>
                <w:szCs w:val="15"/>
              </w:rPr>
              <w:t>1</w:t>
            </w:r>
            <w:r w:rsidR="00C15DA4" w:rsidRPr="00B901FE">
              <w:rPr>
                <w:color w:val="000000"/>
                <w:sz w:val="15"/>
                <w:szCs w:val="15"/>
              </w:rPr>
              <w:t>.</w:t>
            </w:r>
            <w:r w:rsidRPr="00B901FE">
              <w:rPr>
                <w:color w:val="000000"/>
                <w:sz w:val="15"/>
                <w:szCs w:val="15"/>
              </w:rPr>
              <w:t>046</w:t>
            </w:r>
          </w:p>
        </w:tc>
        <w:tc>
          <w:tcPr>
            <w:tcW w:w="709" w:type="dxa"/>
            <w:tcBorders>
              <w:top w:val="nil"/>
              <w:left w:val="nil"/>
              <w:bottom w:val="single" w:sz="8" w:space="0" w:color="000000"/>
              <w:right w:val="single" w:sz="8" w:space="0" w:color="000000"/>
            </w:tcBorders>
            <w:shd w:val="clear" w:color="000000" w:fill="FFFFFF"/>
            <w:vAlign w:val="center"/>
            <w:hideMark/>
          </w:tcPr>
          <w:p w14:paraId="4040D286" w14:textId="77777777" w:rsidR="00441872" w:rsidRPr="00B901FE" w:rsidRDefault="00441872" w:rsidP="00CE2706">
            <w:pPr>
              <w:jc w:val="center"/>
              <w:rPr>
                <w:color w:val="000000"/>
                <w:sz w:val="15"/>
                <w:szCs w:val="15"/>
              </w:rPr>
            </w:pPr>
            <w:r w:rsidRPr="00B901FE">
              <w:rPr>
                <w:color w:val="000000"/>
                <w:sz w:val="15"/>
                <w:szCs w:val="15"/>
              </w:rPr>
              <w:t>15.522</w:t>
            </w:r>
          </w:p>
        </w:tc>
        <w:tc>
          <w:tcPr>
            <w:tcW w:w="567" w:type="dxa"/>
            <w:tcBorders>
              <w:top w:val="nil"/>
              <w:left w:val="nil"/>
              <w:bottom w:val="single" w:sz="8" w:space="0" w:color="000000"/>
              <w:right w:val="single" w:sz="8" w:space="0" w:color="000000"/>
            </w:tcBorders>
            <w:shd w:val="clear" w:color="000000" w:fill="FFFFFF"/>
            <w:vAlign w:val="center"/>
            <w:hideMark/>
          </w:tcPr>
          <w:p w14:paraId="11D93E84" w14:textId="77777777" w:rsidR="00441872" w:rsidRPr="00B901FE" w:rsidRDefault="00441872" w:rsidP="00CE2706">
            <w:pPr>
              <w:jc w:val="center"/>
              <w:rPr>
                <w:color w:val="000000"/>
                <w:sz w:val="15"/>
                <w:szCs w:val="15"/>
              </w:rPr>
            </w:pPr>
            <w:r w:rsidRPr="00B901FE">
              <w:rPr>
                <w:color w:val="000000"/>
                <w:sz w:val="15"/>
                <w:szCs w:val="15"/>
              </w:rPr>
              <w:t>612</w:t>
            </w:r>
          </w:p>
        </w:tc>
        <w:tc>
          <w:tcPr>
            <w:tcW w:w="567" w:type="dxa"/>
            <w:tcBorders>
              <w:top w:val="nil"/>
              <w:left w:val="nil"/>
              <w:bottom w:val="single" w:sz="8" w:space="0" w:color="000000"/>
              <w:right w:val="single" w:sz="8" w:space="0" w:color="000000"/>
            </w:tcBorders>
            <w:shd w:val="clear" w:color="auto" w:fill="auto"/>
            <w:vAlign w:val="center"/>
            <w:hideMark/>
          </w:tcPr>
          <w:p w14:paraId="56400DA4" w14:textId="77777777" w:rsidR="00441872" w:rsidRPr="00B901FE" w:rsidRDefault="00441872" w:rsidP="00CE2706">
            <w:pPr>
              <w:jc w:val="center"/>
              <w:rPr>
                <w:color w:val="000000"/>
                <w:sz w:val="15"/>
                <w:szCs w:val="15"/>
              </w:rPr>
            </w:pPr>
            <w:r w:rsidRPr="00B901FE">
              <w:rPr>
                <w:color w:val="000000"/>
                <w:sz w:val="15"/>
                <w:szCs w:val="15"/>
              </w:rPr>
              <w:t>206</w:t>
            </w:r>
          </w:p>
        </w:tc>
        <w:tc>
          <w:tcPr>
            <w:tcW w:w="709" w:type="dxa"/>
            <w:tcBorders>
              <w:top w:val="nil"/>
              <w:left w:val="nil"/>
              <w:bottom w:val="single" w:sz="8" w:space="0" w:color="000000"/>
              <w:right w:val="single" w:sz="8" w:space="0" w:color="000000"/>
            </w:tcBorders>
            <w:shd w:val="clear" w:color="auto" w:fill="auto"/>
            <w:vAlign w:val="center"/>
            <w:hideMark/>
          </w:tcPr>
          <w:p w14:paraId="7258358D" w14:textId="77777777" w:rsidR="00441872" w:rsidRPr="00B901FE" w:rsidRDefault="00441872" w:rsidP="00CE2706">
            <w:pPr>
              <w:jc w:val="center"/>
              <w:rPr>
                <w:color w:val="000000"/>
                <w:sz w:val="15"/>
                <w:szCs w:val="15"/>
              </w:rPr>
            </w:pPr>
            <w:r w:rsidRPr="00B901FE">
              <w:rPr>
                <w:color w:val="000000"/>
                <w:sz w:val="15"/>
                <w:szCs w:val="15"/>
              </w:rPr>
              <w:t>1.325</w:t>
            </w:r>
          </w:p>
        </w:tc>
        <w:tc>
          <w:tcPr>
            <w:tcW w:w="533" w:type="dxa"/>
            <w:tcBorders>
              <w:top w:val="nil"/>
              <w:left w:val="nil"/>
              <w:bottom w:val="single" w:sz="8" w:space="0" w:color="000000"/>
              <w:right w:val="nil"/>
            </w:tcBorders>
            <w:shd w:val="clear" w:color="auto" w:fill="auto"/>
            <w:vAlign w:val="center"/>
            <w:hideMark/>
          </w:tcPr>
          <w:p w14:paraId="3D0B4E6B" w14:textId="77777777" w:rsidR="00441872" w:rsidRPr="00B901FE" w:rsidRDefault="00441872" w:rsidP="00CE2706">
            <w:pPr>
              <w:jc w:val="center"/>
              <w:rPr>
                <w:color w:val="000000"/>
                <w:sz w:val="15"/>
                <w:szCs w:val="15"/>
              </w:rPr>
            </w:pPr>
            <w:r w:rsidRPr="00B901FE">
              <w:rPr>
                <w:color w:val="000000"/>
                <w:sz w:val="15"/>
                <w:szCs w:val="15"/>
              </w:rPr>
              <w:t>581</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75CC43CC" w14:textId="77777777" w:rsidR="00441872" w:rsidRPr="00B901FE" w:rsidRDefault="00441872" w:rsidP="00CE2706">
            <w:pPr>
              <w:jc w:val="center"/>
              <w:rPr>
                <w:color w:val="000000"/>
                <w:sz w:val="15"/>
                <w:szCs w:val="15"/>
              </w:rPr>
            </w:pPr>
            <w:r w:rsidRPr="00B901FE">
              <w:rPr>
                <w:color w:val="000000"/>
                <w:sz w:val="15"/>
                <w:szCs w:val="15"/>
              </w:rPr>
              <w:t>681</w:t>
            </w:r>
          </w:p>
        </w:tc>
        <w:tc>
          <w:tcPr>
            <w:tcW w:w="709" w:type="dxa"/>
            <w:tcBorders>
              <w:top w:val="nil"/>
              <w:left w:val="nil"/>
              <w:bottom w:val="single" w:sz="8" w:space="0" w:color="000000"/>
              <w:right w:val="single" w:sz="8" w:space="0" w:color="000000"/>
            </w:tcBorders>
            <w:shd w:val="clear" w:color="000000" w:fill="FFFFFF"/>
            <w:vAlign w:val="center"/>
            <w:hideMark/>
          </w:tcPr>
          <w:p w14:paraId="3851DCA6" w14:textId="77777777" w:rsidR="00441872" w:rsidRPr="00B901FE" w:rsidRDefault="00441872" w:rsidP="00CE2706">
            <w:pPr>
              <w:jc w:val="center"/>
              <w:rPr>
                <w:color w:val="000000"/>
                <w:sz w:val="15"/>
                <w:szCs w:val="15"/>
              </w:rPr>
            </w:pPr>
            <w:r w:rsidRPr="00B901FE">
              <w:rPr>
                <w:color w:val="000000"/>
                <w:sz w:val="15"/>
                <w:szCs w:val="15"/>
              </w:rPr>
              <w:t>19.361</w:t>
            </w:r>
          </w:p>
        </w:tc>
        <w:tc>
          <w:tcPr>
            <w:tcW w:w="709" w:type="dxa"/>
            <w:tcBorders>
              <w:top w:val="nil"/>
              <w:left w:val="nil"/>
              <w:bottom w:val="single" w:sz="8" w:space="0" w:color="000000"/>
              <w:right w:val="single" w:sz="8" w:space="0" w:color="000000"/>
            </w:tcBorders>
            <w:shd w:val="clear" w:color="000000" w:fill="FFFFFF"/>
            <w:vAlign w:val="center"/>
            <w:hideMark/>
          </w:tcPr>
          <w:p w14:paraId="378AA9BE" w14:textId="77777777" w:rsidR="00441872" w:rsidRPr="00B901FE" w:rsidRDefault="00441872" w:rsidP="00CE2706">
            <w:pPr>
              <w:jc w:val="center"/>
              <w:rPr>
                <w:color w:val="000000"/>
                <w:sz w:val="15"/>
                <w:szCs w:val="15"/>
              </w:rPr>
            </w:pPr>
            <w:r w:rsidRPr="00B901FE">
              <w:rPr>
                <w:color w:val="000000"/>
                <w:sz w:val="15"/>
                <w:szCs w:val="15"/>
              </w:rPr>
              <w:t>1.234</w:t>
            </w:r>
          </w:p>
        </w:tc>
        <w:tc>
          <w:tcPr>
            <w:tcW w:w="708" w:type="dxa"/>
            <w:tcBorders>
              <w:top w:val="nil"/>
              <w:left w:val="nil"/>
              <w:bottom w:val="single" w:sz="8" w:space="0" w:color="000000"/>
              <w:right w:val="single" w:sz="8" w:space="0" w:color="000000"/>
            </w:tcBorders>
            <w:shd w:val="clear" w:color="000000" w:fill="FFFFFF"/>
            <w:vAlign w:val="center"/>
            <w:hideMark/>
          </w:tcPr>
          <w:p w14:paraId="5D9EA4E7" w14:textId="77777777" w:rsidR="00441872" w:rsidRPr="00B901FE" w:rsidRDefault="00441872" w:rsidP="00CE2706">
            <w:pPr>
              <w:jc w:val="center"/>
              <w:rPr>
                <w:color w:val="000000"/>
                <w:sz w:val="15"/>
                <w:szCs w:val="15"/>
              </w:rPr>
            </w:pPr>
            <w:r w:rsidRPr="00B901FE">
              <w:rPr>
                <w:color w:val="000000"/>
                <w:sz w:val="15"/>
                <w:szCs w:val="15"/>
              </w:rPr>
              <w:t>38.196</w:t>
            </w:r>
          </w:p>
        </w:tc>
      </w:tr>
    </w:tbl>
    <w:p w14:paraId="1098A9A1" w14:textId="77777777" w:rsidR="00B167F1" w:rsidRPr="001B4CA2" w:rsidRDefault="00C918AA" w:rsidP="00441872">
      <w:pPr>
        <w:widowControl w:val="0"/>
        <w:rPr>
          <w:snapToGrid w:val="0"/>
        </w:rPr>
      </w:pPr>
      <w:r w:rsidRPr="001B4CA2">
        <w:rPr>
          <w:snapToGrid w:val="0"/>
        </w:rPr>
        <w:tab/>
      </w:r>
    </w:p>
    <w:p w14:paraId="73AC7B45" w14:textId="4711EEA6" w:rsidR="00441872" w:rsidRPr="001B4CA2" w:rsidRDefault="00B167F1" w:rsidP="00441872">
      <w:pPr>
        <w:widowControl w:val="0"/>
        <w:rPr>
          <w:snapToGrid w:val="0"/>
        </w:rPr>
      </w:pPr>
      <w:r w:rsidRPr="001B4CA2">
        <w:rPr>
          <w:snapToGrid w:val="0"/>
        </w:rPr>
        <w:tab/>
      </w:r>
      <w:r w:rsidR="00441872" w:rsidRPr="001B4CA2">
        <w:rPr>
          <w:snapToGrid w:val="0"/>
        </w:rPr>
        <w:t xml:space="preserve">U izvještajnom razdoblju sudovi su nakon potvrđivanja optužnice te provedenog raspravnog postupka donijeli odluka protiv ukupno 19.361 osobe. Uz to doneseno je presuda s kaznenim nalogom prema 4.314 osoba. Presude s kaznenim nalogom presude su koje se donose na temelju optužnica s kaznenim nalogom koje </w:t>
      </w:r>
      <w:r w:rsidR="00441872" w:rsidRPr="001B4CA2">
        <w:rPr>
          <w:snapToGrid w:val="0"/>
        </w:rPr>
        <w:lastRenderedPageBreak/>
        <w:t xml:space="preserve">podiže državnom odvjetništvo, a u kojim se </w:t>
      </w:r>
      <w:r w:rsidR="00B94ECB" w:rsidRPr="001B4CA2">
        <w:rPr>
          <w:snapToGrid w:val="0"/>
        </w:rPr>
        <w:t xml:space="preserve">postupcima </w:t>
      </w:r>
      <w:r w:rsidR="00441872" w:rsidRPr="001B4CA2">
        <w:rPr>
          <w:snapToGrid w:val="0"/>
        </w:rPr>
        <w:t xml:space="preserve">ne provodi glavna rasprava već sud, </w:t>
      </w:r>
      <w:r w:rsidR="00B94ECB">
        <w:rPr>
          <w:snapToGrid w:val="0"/>
        </w:rPr>
        <w:t>ako</w:t>
      </w:r>
      <w:r w:rsidR="00441872" w:rsidRPr="001B4CA2">
        <w:rPr>
          <w:snapToGrid w:val="0"/>
        </w:rPr>
        <w:t xml:space="preserve"> optužnicu ocijeni osnovanom i prihvati kaznu predloženu po državnom odvjetništvu, donosi presudu s kaznenim nalogom protiv koje okrivljenik ima pravo prigovora. U slučaju prigovora okrivljenika protiv presude s kaznenim nalogom, takva se presuda stavlja </w:t>
      </w:r>
      <w:r w:rsidR="00CE0387">
        <w:rPr>
          <w:snapToGrid w:val="0"/>
        </w:rPr>
        <w:t>iz</w:t>
      </w:r>
      <w:r w:rsidR="00441872" w:rsidRPr="001B4CA2">
        <w:rPr>
          <w:snapToGrid w:val="0"/>
        </w:rPr>
        <w:t>van snage i provodi se raspravni postupak, nakon kojeg se donosi presuda.</w:t>
      </w:r>
    </w:p>
    <w:p w14:paraId="3B020B84" w14:textId="77777777" w:rsidR="00441872" w:rsidRPr="001B4CA2" w:rsidRDefault="00441872" w:rsidP="00441872">
      <w:pPr>
        <w:widowControl w:val="0"/>
        <w:rPr>
          <w:snapToGrid w:val="0"/>
        </w:rPr>
      </w:pPr>
    </w:p>
    <w:p w14:paraId="58808DC2" w14:textId="108C5C67" w:rsidR="00441872" w:rsidRPr="001B4CA2" w:rsidRDefault="00441872" w:rsidP="00441872">
      <w:pPr>
        <w:widowControl w:val="0"/>
        <w:rPr>
          <w:snapToGrid w:val="0"/>
        </w:rPr>
      </w:pPr>
      <w:r w:rsidRPr="001B4CA2">
        <w:rPr>
          <w:snapToGrid w:val="0"/>
        </w:rPr>
        <w:tab/>
        <w:t>U odnosu na 19.361 osobu za koju su donese</w:t>
      </w:r>
      <w:r w:rsidR="00CE0387">
        <w:rPr>
          <w:snapToGrid w:val="0"/>
        </w:rPr>
        <w:t>ne</w:t>
      </w:r>
      <w:r w:rsidRPr="001B4CA2">
        <w:rPr>
          <w:snapToGrid w:val="0"/>
        </w:rPr>
        <w:t xml:space="preserve"> sudske odluke </w:t>
      </w:r>
      <w:r w:rsidR="00F47D60">
        <w:rPr>
          <w:snapToGrid w:val="0"/>
        </w:rPr>
        <w:t>(</w:t>
      </w:r>
      <w:r w:rsidRPr="001B4CA2">
        <w:rPr>
          <w:snapToGrid w:val="0"/>
        </w:rPr>
        <w:t>bez presuda s kaznenim nalogom) u 5,4</w:t>
      </w:r>
      <w:r w:rsidR="00CE0387">
        <w:rPr>
          <w:snapToGrid w:val="0"/>
        </w:rPr>
        <w:t> </w:t>
      </w:r>
      <w:r w:rsidRPr="001B4CA2">
        <w:rPr>
          <w:snapToGrid w:val="0"/>
        </w:rPr>
        <w:t>% slučajeva postupak je obustavljen nakon potvrđivanja optužnice, u pravilu zbog smrti optuženika ili prestanka postojanja pravne osobe</w:t>
      </w:r>
      <w:r w:rsidR="00CE0387">
        <w:rPr>
          <w:snapToGrid w:val="0"/>
        </w:rPr>
        <w:t>,</w:t>
      </w:r>
      <w:r w:rsidRPr="001B4CA2">
        <w:rPr>
          <w:snapToGrid w:val="0"/>
        </w:rPr>
        <w:t xml:space="preserve"> što su okolnosti koje isključuju kazneni progon, odnosno zbog kojih postupak više nije moguće voditi</w:t>
      </w:r>
      <w:r w:rsidR="00CE0387">
        <w:rPr>
          <w:snapToGrid w:val="0"/>
        </w:rPr>
        <w:t>,</w:t>
      </w:r>
      <w:r w:rsidRPr="001B4CA2">
        <w:rPr>
          <w:snapToGrid w:val="0"/>
        </w:rPr>
        <w:t xml:space="preserve"> ili zbog</w:t>
      </w:r>
      <w:r w:rsidR="001B4CA2">
        <w:rPr>
          <w:snapToGrid w:val="0"/>
        </w:rPr>
        <w:t xml:space="preserve"> </w:t>
      </w:r>
      <w:r w:rsidRPr="001B4CA2">
        <w:rPr>
          <w:snapToGrid w:val="0"/>
        </w:rPr>
        <w:t>nastupa zastare kada se kazneni</w:t>
      </w:r>
      <w:r w:rsidR="001B4CA2">
        <w:rPr>
          <w:snapToGrid w:val="0"/>
        </w:rPr>
        <w:t xml:space="preserve"> </w:t>
      </w:r>
      <w:r w:rsidRPr="001B4CA2">
        <w:rPr>
          <w:snapToGrid w:val="0"/>
        </w:rPr>
        <w:t xml:space="preserve">progon ne može poduzeti. </w:t>
      </w:r>
    </w:p>
    <w:p w14:paraId="56CB3E44" w14:textId="77777777" w:rsidR="00441872" w:rsidRPr="001B4CA2" w:rsidRDefault="00441872" w:rsidP="00441872">
      <w:pPr>
        <w:widowControl w:val="0"/>
        <w:rPr>
          <w:snapToGrid w:val="0"/>
        </w:rPr>
      </w:pPr>
    </w:p>
    <w:p w14:paraId="4E209B08" w14:textId="68CECCF5" w:rsidR="00441872" w:rsidRPr="001B4CA2" w:rsidRDefault="00441872" w:rsidP="00441872">
      <w:pPr>
        <w:widowControl w:val="0"/>
        <w:rPr>
          <w:snapToGrid w:val="0"/>
        </w:rPr>
      </w:pPr>
      <w:r w:rsidRPr="001B4CA2">
        <w:rPr>
          <w:snapToGrid w:val="0"/>
        </w:rPr>
        <w:tab/>
        <w:t>U ukupnom broju donesenih odluka osuđujuće presude uslijedile su u odnosu na 15.522 osobe, odnosno 80,17 % donesenih odluka u postupcima pred sudom</w:t>
      </w:r>
      <w:r w:rsidR="001B4CA2">
        <w:rPr>
          <w:snapToGrid w:val="0"/>
        </w:rPr>
        <w:t xml:space="preserve"> </w:t>
      </w:r>
      <w:r w:rsidRPr="001B4CA2">
        <w:rPr>
          <w:snapToGrid w:val="0"/>
        </w:rPr>
        <w:t xml:space="preserve">osuđujuće su presude. </w:t>
      </w:r>
    </w:p>
    <w:p w14:paraId="53E86410" w14:textId="77777777" w:rsidR="00441872" w:rsidRPr="001B4CA2" w:rsidRDefault="00441872" w:rsidP="00441872">
      <w:pPr>
        <w:widowControl w:val="0"/>
        <w:rPr>
          <w:snapToGrid w:val="0"/>
        </w:rPr>
      </w:pPr>
    </w:p>
    <w:p w14:paraId="155391B5" w14:textId="3C669A27" w:rsidR="00441872" w:rsidRPr="001B4CA2" w:rsidRDefault="00441872" w:rsidP="00441872">
      <w:pPr>
        <w:widowControl w:val="0"/>
        <w:rPr>
          <w:snapToGrid w:val="0"/>
        </w:rPr>
      </w:pPr>
      <w:r w:rsidRPr="001B4CA2">
        <w:rPr>
          <w:snapToGrid w:val="0"/>
        </w:rPr>
        <w:tab/>
        <w:t>Tom broju treba pridodati osuđujuće presude s kaznenim nalogom donesene bez provođenja rasprava</w:t>
      </w:r>
      <w:r w:rsidR="008E593E">
        <w:rPr>
          <w:snapToGrid w:val="0"/>
        </w:rPr>
        <w:t>,</w:t>
      </w:r>
      <w:r w:rsidRPr="001B4CA2">
        <w:rPr>
          <w:snapToGrid w:val="0"/>
        </w:rPr>
        <w:t xml:space="preserve"> a koje su također osuđujuće presude pa ukup</w:t>
      </w:r>
      <w:r w:rsidR="008E593E">
        <w:rPr>
          <w:snapToGrid w:val="0"/>
        </w:rPr>
        <w:t>an</w:t>
      </w:r>
      <w:r w:rsidRPr="001B4CA2">
        <w:rPr>
          <w:snapToGrid w:val="0"/>
        </w:rPr>
        <w:t xml:space="preserve"> udio osuđujućih presuda čini 83,78</w:t>
      </w:r>
      <w:r w:rsidR="008E593E">
        <w:rPr>
          <w:snapToGrid w:val="0"/>
        </w:rPr>
        <w:t> </w:t>
      </w:r>
      <w:r w:rsidRPr="001B4CA2">
        <w:rPr>
          <w:snapToGrid w:val="0"/>
        </w:rPr>
        <w:t xml:space="preserve">% donesenih presuda. </w:t>
      </w:r>
    </w:p>
    <w:p w14:paraId="420982B4" w14:textId="77777777" w:rsidR="00441872" w:rsidRPr="001B4CA2" w:rsidRDefault="00441872" w:rsidP="00441872">
      <w:pPr>
        <w:widowControl w:val="0"/>
        <w:rPr>
          <w:snapToGrid w:val="0"/>
        </w:rPr>
      </w:pPr>
    </w:p>
    <w:p w14:paraId="01E804D7" w14:textId="565C4E55" w:rsidR="00441872" w:rsidRPr="001B4CA2" w:rsidRDefault="00441872" w:rsidP="00441872">
      <w:pPr>
        <w:widowControl w:val="0"/>
        <w:rPr>
          <w:snapToGrid w:val="0"/>
        </w:rPr>
      </w:pPr>
      <w:r w:rsidRPr="001B4CA2">
        <w:rPr>
          <w:snapToGrid w:val="0"/>
        </w:rPr>
        <w:tab/>
        <w:t>Od 15.522 osuđujuće presude donesene u postupku na sudovima, njih 612 (3,94</w:t>
      </w:r>
      <w:r w:rsidR="008E593E">
        <w:rPr>
          <w:snapToGrid w:val="0"/>
        </w:rPr>
        <w:t> </w:t>
      </w:r>
      <w:r w:rsidRPr="001B4CA2">
        <w:rPr>
          <w:snapToGrid w:val="0"/>
        </w:rPr>
        <w:t>%) presude su po sporazumu stranaka. S 15.522 osuđene osobe u tzv. redovnim postupcima i 4.350 osuđenih osoba koje su presuđene presudama s kaznenim nalogom, ukupno je osuđeno 19.836 osoba, iz kojeg podatka slijedi da presude s kaznenim nalogom čine 21,75</w:t>
      </w:r>
      <w:r w:rsidR="008E593E">
        <w:rPr>
          <w:snapToGrid w:val="0"/>
        </w:rPr>
        <w:t> </w:t>
      </w:r>
      <w:r w:rsidRPr="001B4CA2">
        <w:rPr>
          <w:snapToGrid w:val="0"/>
        </w:rPr>
        <w:t xml:space="preserve">% u ukupnom broju osuđenih osoba, a kada se tome broju pridoda </w:t>
      </w:r>
      <w:r w:rsidR="008E593E">
        <w:rPr>
          <w:snapToGrid w:val="0"/>
        </w:rPr>
        <w:t>udio</w:t>
      </w:r>
      <w:r w:rsidRPr="001B4CA2">
        <w:rPr>
          <w:snapToGrid w:val="0"/>
        </w:rPr>
        <w:t xml:space="preserve"> presuda po sporazumu stranaka, u kojima također izostaje vođenje rasprava, slijedi da 25,69 % osuđujućih presuda čine presude bez provođenja rasprave, što je značajan doprinos smanjenju dugotrajnih sudskih postupaka i troškova takvih postupaka. </w:t>
      </w:r>
    </w:p>
    <w:p w14:paraId="3D0E7097" w14:textId="77777777" w:rsidR="00441872" w:rsidRPr="001B4CA2" w:rsidRDefault="00441872" w:rsidP="00441872">
      <w:pPr>
        <w:widowControl w:val="0"/>
        <w:rPr>
          <w:snapToGrid w:val="0"/>
        </w:rPr>
      </w:pPr>
    </w:p>
    <w:p w14:paraId="6E022B72" w14:textId="56015885" w:rsidR="00441872" w:rsidRPr="001B4CA2" w:rsidRDefault="00441872" w:rsidP="00441872">
      <w:pPr>
        <w:widowControl w:val="0"/>
        <w:rPr>
          <w:snapToGrid w:val="0"/>
        </w:rPr>
      </w:pPr>
      <w:r w:rsidRPr="001B4CA2">
        <w:rPr>
          <w:snapToGrid w:val="0"/>
        </w:rPr>
        <w:tab/>
        <w:t>Ni</w:t>
      </w:r>
      <w:r w:rsidR="008E593E">
        <w:rPr>
          <w:snapToGrid w:val="0"/>
        </w:rPr>
        <w:t xml:space="preserve">zak udio </w:t>
      </w:r>
      <w:r w:rsidRPr="001B4CA2">
        <w:rPr>
          <w:snapToGrid w:val="0"/>
        </w:rPr>
        <w:t xml:space="preserve">presuda po sporazumu stranaka, odnosno nedovoljno korištenje tog instituta, svoj razlog nalazi u činjenici (pre)blage </w:t>
      </w:r>
      <w:proofErr w:type="spellStart"/>
      <w:r w:rsidRPr="001B4CA2">
        <w:rPr>
          <w:snapToGrid w:val="0"/>
        </w:rPr>
        <w:t>penalne</w:t>
      </w:r>
      <w:proofErr w:type="spellEnd"/>
      <w:r w:rsidRPr="001B4CA2">
        <w:rPr>
          <w:snapToGrid w:val="0"/>
        </w:rPr>
        <w:t xml:space="preserve"> politike sudova, </w:t>
      </w:r>
      <w:r w:rsidR="008E593E">
        <w:rPr>
          <w:snapToGrid w:val="0"/>
        </w:rPr>
        <w:t>zbog</w:t>
      </w:r>
      <w:r w:rsidRPr="001B4CA2">
        <w:rPr>
          <w:snapToGrid w:val="0"/>
        </w:rPr>
        <w:t xml:space="preserve"> čega opravdano izostaje interes okrivljenika za sporazumijevanjem. Inicijative okrivljenika za sporazumijevanjem redovito su praćene neprihvatljivo niskim prijedlogom kaznenih sankcija uz izostanak spremnosti za vraćanje protupravno stečene imovinske koristi ili namirenja postavljenog imovinsko-pravnog zahtjeva oštećenicima, koje prijedloge državno odvjetništvo, iz navedenih razloga, ne prihvaća.</w:t>
      </w:r>
      <w:r w:rsidR="001B4CA2">
        <w:rPr>
          <w:snapToGrid w:val="0"/>
        </w:rPr>
        <w:t xml:space="preserve"> </w:t>
      </w:r>
      <w:r w:rsidRPr="001B4CA2">
        <w:rPr>
          <w:snapToGrid w:val="0"/>
        </w:rPr>
        <w:t>Isto</w:t>
      </w:r>
      <w:r w:rsidR="008E593E">
        <w:rPr>
          <w:snapToGrid w:val="0"/>
        </w:rPr>
        <w:t>dob</w:t>
      </w:r>
      <w:r w:rsidRPr="001B4CA2">
        <w:rPr>
          <w:snapToGrid w:val="0"/>
        </w:rPr>
        <w:t xml:space="preserve">no, inicijativu državnog odvjetnika za sporazumijevanjem, kada se traže sankcije primjerene težini počinjenog djela, uz dosljednu primjenu zakonske obveze o vraćanju imovinske koristi ostvarene kaznenim djelom ili namirenje imovinsko-pravnih zahtjeva žrtava (oštećenika) ne nailazi na spremnost kod okrivljenika jer u konačnici računaju na dugotrajnost sudskih postupa i blaže sankcioniranje od strane suda. </w:t>
      </w:r>
    </w:p>
    <w:p w14:paraId="6449960B" w14:textId="77777777" w:rsidR="00441872" w:rsidRPr="001B4CA2" w:rsidRDefault="00441872" w:rsidP="00441872">
      <w:pPr>
        <w:widowControl w:val="0"/>
        <w:rPr>
          <w:snapToGrid w:val="0"/>
        </w:rPr>
      </w:pPr>
    </w:p>
    <w:p w14:paraId="760E17E8" w14:textId="70D6C965" w:rsidR="00441872" w:rsidRPr="001B4CA2" w:rsidRDefault="00441872" w:rsidP="00441872">
      <w:pPr>
        <w:widowControl w:val="0"/>
        <w:rPr>
          <w:snapToGrid w:val="0"/>
        </w:rPr>
      </w:pPr>
      <w:r w:rsidRPr="001B4CA2">
        <w:rPr>
          <w:snapToGrid w:val="0"/>
        </w:rPr>
        <w:tab/>
        <w:t>U ukupnom broju donesenih presuda oslobađajuće presude sudjeluju sa 6,84</w:t>
      </w:r>
      <w:r w:rsidR="008E593E">
        <w:rPr>
          <w:snapToGrid w:val="0"/>
        </w:rPr>
        <w:t> </w:t>
      </w:r>
      <w:r w:rsidRPr="001B4CA2">
        <w:rPr>
          <w:snapToGrid w:val="0"/>
        </w:rPr>
        <w:t>%. Na oslobađajuće presude državna odvjetništva ulažu žalbe, jer da su ocijenile opravdanim postojanje razloga za donošenje oslobađajuće presude</w:t>
      </w:r>
      <w:r w:rsidR="008E593E">
        <w:rPr>
          <w:snapToGrid w:val="0"/>
        </w:rPr>
        <w:t>,</w:t>
      </w:r>
      <w:r w:rsidRPr="001B4CA2">
        <w:rPr>
          <w:snapToGrid w:val="0"/>
        </w:rPr>
        <w:t xml:space="preserve"> tada bi državni odvjetnik, za trajanja postupka, izjavio odustanak od optužbe, što redovito čini kada ocijeni da za to postoje razlozi, a u kojem slučaju sud donosi drugu vrstu </w:t>
      </w:r>
      <w:r w:rsidRPr="001B4CA2">
        <w:rPr>
          <w:snapToGrid w:val="0"/>
        </w:rPr>
        <w:lastRenderedPageBreak/>
        <w:t>presuda</w:t>
      </w:r>
      <w:r w:rsidR="008E593E">
        <w:rPr>
          <w:snapToGrid w:val="0"/>
        </w:rPr>
        <w:t>,</w:t>
      </w:r>
      <w:r w:rsidRPr="001B4CA2">
        <w:rPr>
          <w:snapToGrid w:val="0"/>
        </w:rPr>
        <w:t xml:space="preserve"> tj. presudu kojom se optužba odbija. </w:t>
      </w:r>
    </w:p>
    <w:p w14:paraId="15B81F69" w14:textId="77777777" w:rsidR="00441872" w:rsidRPr="001B4CA2" w:rsidRDefault="00441872" w:rsidP="00441872">
      <w:pPr>
        <w:widowControl w:val="0"/>
        <w:rPr>
          <w:snapToGrid w:val="0"/>
        </w:rPr>
      </w:pPr>
    </w:p>
    <w:p w14:paraId="5399C9FF" w14:textId="7AF92245" w:rsidR="00441872" w:rsidRPr="001B4CA2" w:rsidRDefault="00441872" w:rsidP="00441872">
      <w:pPr>
        <w:widowControl w:val="0"/>
        <w:rPr>
          <w:snapToGrid w:val="0"/>
        </w:rPr>
      </w:pPr>
      <w:r w:rsidRPr="001B4CA2">
        <w:rPr>
          <w:snapToGrid w:val="0"/>
        </w:rPr>
        <w:tab/>
        <w:t xml:space="preserve">Odbijajuće presude (presude kojom se optužba odbija) </w:t>
      </w:r>
      <w:r w:rsidR="001D7564" w:rsidRPr="001B4CA2">
        <w:rPr>
          <w:snapToGrid w:val="0"/>
        </w:rPr>
        <w:t>čine samo</w:t>
      </w:r>
      <w:r w:rsidRPr="001B4CA2">
        <w:rPr>
          <w:snapToGrid w:val="0"/>
        </w:rPr>
        <w:t xml:space="preserve"> 3,00</w:t>
      </w:r>
      <w:r w:rsidR="008E593E">
        <w:rPr>
          <w:snapToGrid w:val="0"/>
        </w:rPr>
        <w:t> </w:t>
      </w:r>
      <w:r w:rsidRPr="001B4CA2">
        <w:rPr>
          <w:snapToGrid w:val="0"/>
        </w:rPr>
        <w:t xml:space="preserve">% donesenih presuda, najčešće zbog odustanka državnog odvjetništva od progona ili nastupa zastare tijekom sudskom postupka. </w:t>
      </w:r>
    </w:p>
    <w:p w14:paraId="4DE72715" w14:textId="77777777" w:rsidR="00441872" w:rsidRPr="001B4CA2" w:rsidRDefault="00441872" w:rsidP="00441872">
      <w:pPr>
        <w:widowControl w:val="0"/>
        <w:rPr>
          <w:snapToGrid w:val="0"/>
        </w:rPr>
      </w:pPr>
    </w:p>
    <w:p w14:paraId="37D33C9A" w14:textId="3DFEB7DD" w:rsidR="00441872" w:rsidRPr="001B4CA2" w:rsidRDefault="00441872" w:rsidP="00441872">
      <w:pPr>
        <w:widowControl w:val="0"/>
        <w:rPr>
          <w:snapToGrid w:val="0"/>
        </w:rPr>
      </w:pPr>
      <w:r w:rsidRPr="001B4CA2">
        <w:rPr>
          <w:snapToGrid w:val="0"/>
        </w:rPr>
        <w:tab/>
        <w:t xml:space="preserve">U bitnom, struktura donesenih presuda nastavak je trenda visokog </w:t>
      </w:r>
      <w:r w:rsidR="008E593E">
        <w:rPr>
          <w:snapToGrid w:val="0"/>
        </w:rPr>
        <w:t>udjela</w:t>
      </w:r>
      <w:r w:rsidRPr="001B4CA2">
        <w:rPr>
          <w:snapToGrid w:val="0"/>
        </w:rPr>
        <w:t xml:space="preserve"> osuđujućih presuda u ukupnom broju donesenih presuda. </w:t>
      </w:r>
    </w:p>
    <w:p w14:paraId="0319F347" w14:textId="77777777" w:rsidR="001C6810" w:rsidRPr="001B4CA2" w:rsidRDefault="001C6810" w:rsidP="001C6810"/>
    <w:p w14:paraId="159695A8" w14:textId="04B443A5" w:rsidR="001C6810" w:rsidRPr="001B4CA2" w:rsidRDefault="007659B7" w:rsidP="000F634C">
      <w:pPr>
        <w:pStyle w:val="Naslov4"/>
        <w:tabs>
          <w:tab w:val="left" w:pos="993"/>
        </w:tabs>
      </w:pPr>
      <w:bookmarkStart w:id="34" w:name="_Toc133394297"/>
      <w:r w:rsidRPr="001B4CA2">
        <w:t>Kaznene sankcije</w:t>
      </w:r>
      <w:bookmarkEnd w:id="34"/>
    </w:p>
    <w:p w14:paraId="3DD7EED2" w14:textId="77515957" w:rsidR="005C4A9A" w:rsidRPr="001B4CA2" w:rsidRDefault="005C4A9A" w:rsidP="0051509B"/>
    <w:p w14:paraId="211CCA07" w14:textId="12B88CC3" w:rsidR="00441872" w:rsidRPr="001B4CA2" w:rsidRDefault="00441872" w:rsidP="00441872">
      <w:pPr>
        <w:widowControl w:val="0"/>
        <w:ind w:firstLine="720"/>
        <w:rPr>
          <w:snapToGrid w:val="0"/>
        </w:rPr>
      </w:pPr>
      <w:r w:rsidRPr="001B4CA2">
        <w:rPr>
          <w:snapToGrid w:val="0"/>
        </w:rPr>
        <w:t>U izvještajnom razdoblju sudovi su izrekli sankcije prema 15.522 osobe</w:t>
      </w:r>
      <w:r w:rsidR="008E593E">
        <w:rPr>
          <w:snapToGrid w:val="0"/>
        </w:rPr>
        <w:t>,</w:t>
      </w:r>
      <w:r w:rsidRPr="001B4CA2">
        <w:rPr>
          <w:snapToGrid w:val="0"/>
        </w:rPr>
        <w:t xml:space="preserve"> što je 4,16</w:t>
      </w:r>
      <w:r w:rsidR="008E593E">
        <w:rPr>
          <w:snapToGrid w:val="0"/>
        </w:rPr>
        <w:t> </w:t>
      </w:r>
      <w:r w:rsidRPr="001B4CA2">
        <w:rPr>
          <w:snapToGrid w:val="0"/>
        </w:rPr>
        <w:t xml:space="preserve">% manje izrečenih sudskih sankcija u odnosu na prethodno izvještajno razdoblje. </w:t>
      </w:r>
    </w:p>
    <w:p w14:paraId="74C6B7C1" w14:textId="77777777" w:rsidR="00441872" w:rsidRPr="001B4CA2" w:rsidRDefault="00441872" w:rsidP="00441872">
      <w:pPr>
        <w:widowControl w:val="0"/>
        <w:ind w:firstLine="720"/>
        <w:rPr>
          <w:i/>
          <w:snapToGrid w:val="0"/>
        </w:rPr>
      </w:pPr>
    </w:p>
    <w:p w14:paraId="1076159C" w14:textId="770ED5EC" w:rsidR="00441872" w:rsidRPr="001B4CA2" w:rsidRDefault="00B901FE" w:rsidP="00F861FF">
      <w:pPr>
        <w:widowControl w:val="0"/>
        <w:ind w:firstLine="142"/>
        <w:rPr>
          <w:snapToGrid w:val="0"/>
        </w:rPr>
      </w:pPr>
      <w:r>
        <w:rPr>
          <w:i/>
          <w:snapToGrid w:val="0"/>
        </w:rPr>
        <w:t xml:space="preserve">  </w:t>
      </w:r>
      <w:r w:rsidR="00441872" w:rsidRPr="001B4CA2">
        <w:rPr>
          <w:i/>
          <w:snapToGrid w:val="0"/>
        </w:rPr>
        <w:t>Broj i vrsta izrečenih kazni (bez maloljetnih osoba)</w:t>
      </w:r>
    </w:p>
    <w:tbl>
      <w:tblPr>
        <w:tblStyle w:val="Reetkatablice31"/>
        <w:tblW w:w="8863" w:type="dxa"/>
        <w:tblInd w:w="250" w:type="dxa"/>
        <w:tblLayout w:type="fixed"/>
        <w:tblLook w:val="04A0" w:firstRow="1" w:lastRow="0" w:firstColumn="1" w:lastColumn="0" w:noHBand="0" w:noVBand="1"/>
      </w:tblPr>
      <w:tblGrid>
        <w:gridCol w:w="851"/>
        <w:gridCol w:w="708"/>
        <w:gridCol w:w="709"/>
        <w:gridCol w:w="567"/>
        <w:gridCol w:w="709"/>
        <w:gridCol w:w="709"/>
        <w:gridCol w:w="850"/>
        <w:gridCol w:w="425"/>
        <w:gridCol w:w="709"/>
        <w:gridCol w:w="709"/>
        <w:gridCol w:w="567"/>
        <w:gridCol w:w="567"/>
        <w:gridCol w:w="783"/>
      </w:tblGrid>
      <w:tr w:rsidR="00B901FE" w:rsidRPr="001B4CA2" w14:paraId="1977D157" w14:textId="77777777" w:rsidTr="00B901FE">
        <w:trPr>
          <w:cantSplit/>
          <w:trHeight w:val="1895"/>
        </w:trPr>
        <w:tc>
          <w:tcPr>
            <w:tcW w:w="851" w:type="dxa"/>
            <w:shd w:val="clear" w:color="auto" w:fill="99CCFF"/>
            <w:noWrap/>
            <w:textDirection w:val="btLr"/>
            <w:vAlign w:val="center"/>
            <w:hideMark/>
          </w:tcPr>
          <w:p w14:paraId="1D27B59A" w14:textId="77777777" w:rsidR="00441872" w:rsidRPr="00B901FE" w:rsidRDefault="00441872" w:rsidP="00CE2706">
            <w:pPr>
              <w:ind w:left="113" w:right="113"/>
              <w:rPr>
                <w:rFonts w:asciiTheme="majorHAnsi" w:eastAsia="Calibri" w:hAnsiTheme="majorHAnsi" w:cstheme="majorHAnsi"/>
                <w:b/>
                <w:sz w:val="18"/>
                <w:szCs w:val="18"/>
              </w:rPr>
            </w:pPr>
            <w:r w:rsidRPr="00B901FE">
              <w:rPr>
                <w:rFonts w:asciiTheme="majorHAnsi" w:eastAsia="Calibri" w:hAnsiTheme="majorHAnsi" w:cstheme="majorHAnsi"/>
                <w:b/>
                <w:sz w:val="18"/>
                <w:szCs w:val="18"/>
              </w:rPr>
              <w:t>Godina</w:t>
            </w:r>
          </w:p>
        </w:tc>
        <w:tc>
          <w:tcPr>
            <w:tcW w:w="708" w:type="dxa"/>
            <w:shd w:val="clear" w:color="auto" w:fill="99CCFF"/>
            <w:textDirection w:val="btLr"/>
            <w:vAlign w:val="center"/>
            <w:hideMark/>
          </w:tcPr>
          <w:p w14:paraId="176E83B4" w14:textId="77777777"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Osuđujuća</w:t>
            </w:r>
          </w:p>
          <w:p w14:paraId="05BF510F" w14:textId="77777777"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presuda</w:t>
            </w:r>
          </w:p>
        </w:tc>
        <w:tc>
          <w:tcPr>
            <w:tcW w:w="709" w:type="dxa"/>
            <w:shd w:val="clear" w:color="auto" w:fill="99CCFF"/>
            <w:textDirection w:val="btLr"/>
            <w:vAlign w:val="center"/>
            <w:hideMark/>
          </w:tcPr>
          <w:p w14:paraId="17955690" w14:textId="77777777"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Zatvor</w:t>
            </w:r>
          </w:p>
        </w:tc>
        <w:tc>
          <w:tcPr>
            <w:tcW w:w="567" w:type="dxa"/>
            <w:shd w:val="clear" w:color="auto" w:fill="99CCFF"/>
            <w:textDirection w:val="btLr"/>
            <w:vAlign w:val="center"/>
            <w:hideMark/>
          </w:tcPr>
          <w:p w14:paraId="572688EF" w14:textId="77777777"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Od toga</w:t>
            </w:r>
          </w:p>
          <w:p w14:paraId="7C60229F" w14:textId="77777777"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dugotrajni zatvor</w:t>
            </w:r>
          </w:p>
        </w:tc>
        <w:tc>
          <w:tcPr>
            <w:tcW w:w="709" w:type="dxa"/>
            <w:shd w:val="clear" w:color="auto" w:fill="99CCFF"/>
            <w:textDirection w:val="btLr"/>
            <w:vAlign w:val="center"/>
            <w:hideMark/>
          </w:tcPr>
          <w:p w14:paraId="5062F082" w14:textId="77777777" w:rsidR="00F861FF"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 xml:space="preserve">Od toga rad za </w:t>
            </w:r>
          </w:p>
          <w:p w14:paraId="0F1D19E3" w14:textId="4AB30210"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opće dobro</w:t>
            </w:r>
          </w:p>
        </w:tc>
        <w:tc>
          <w:tcPr>
            <w:tcW w:w="709" w:type="dxa"/>
            <w:shd w:val="clear" w:color="auto" w:fill="99CCFF"/>
            <w:textDirection w:val="btLr"/>
            <w:vAlign w:val="center"/>
            <w:hideMark/>
          </w:tcPr>
          <w:p w14:paraId="6A76D122" w14:textId="77777777"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Novčana kazna</w:t>
            </w:r>
          </w:p>
        </w:tc>
        <w:tc>
          <w:tcPr>
            <w:tcW w:w="850" w:type="dxa"/>
            <w:shd w:val="clear" w:color="auto" w:fill="99CCFF"/>
            <w:textDirection w:val="btLr"/>
            <w:vAlign w:val="center"/>
            <w:hideMark/>
          </w:tcPr>
          <w:p w14:paraId="6B4203FA" w14:textId="77777777"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Uvjetna osuda</w:t>
            </w:r>
          </w:p>
        </w:tc>
        <w:tc>
          <w:tcPr>
            <w:tcW w:w="425" w:type="dxa"/>
            <w:shd w:val="clear" w:color="auto" w:fill="99CCFF"/>
            <w:textDirection w:val="btLr"/>
            <w:vAlign w:val="center"/>
            <w:hideMark/>
          </w:tcPr>
          <w:p w14:paraId="5E9F8CF9" w14:textId="77777777"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Sudska opomena</w:t>
            </w:r>
          </w:p>
        </w:tc>
        <w:tc>
          <w:tcPr>
            <w:tcW w:w="709" w:type="dxa"/>
            <w:shd w:val="clear" w:color="auto" w:fill="99CCFF"/>
            <w:textDirection w:val="btLr"/>
            <w:vAlign w:val="center"/>
            <w:hideMark/>
          </w:tcPr>
          <w:p w14:paraId="16B5776B" w14:textId="77777777" w:rsidR="00F861FF"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Prestanak</w:t>
            </w:r>
          </w:p>
          <w:p w14:paraId="29F00FBD" w14:textId="2CE2DFEE"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pravne osobe</w:t>
            </w:r>
          </w:p>
        </w:tc>
        <w:tc>
          <w:tcPr>
            <w:tcW w:w="709" w:type="dxa"/>
            <w:shd w:val="clear" w:color="auto" w:fill="99CCFF"/>
            <w:textDirection w:val="btLr"/>
            <w:vAlign w:val="center"/>
            <w:hideMark/>
          </w:tcPr>
          <w:p w14:paraId="799892FC" w14:textId="77777777"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Maloljetničke sankcije</w:t>
            </w:r>
          </w:p>
        </w:tc>
        <w:tc>
          <w:tcPr>
            <w:tcW w:w="567" w:type="dxa"/>
            <w:shd w:val="clear" w:color="auto" w:fill="99CCFF"/>
            <w:textDirection w:val="btLr"/>
            <w:vAlign w:val="center"/>
            <w:hideMark/>
          </w:tcPr>
          <w:p w14:paraId="67FD3D0C" w14:textId="77777777" w:rsidR="00F861FF"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Oslobođeno</w:t>
            </w:r>
          </w:p>
          <w:p w14:paraId="6D4BB8C4" w14:textId="554C3795"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od kazne</w:t>
            </w:r>
          </w:p>
        </w:tc>
        <w:tc>
          <w:tcPr>
            <w:tcW w:w="567" w:type="dxa"/>
            <w:shd w:val="clear" w:color="auto" w:fill="99CCFF"/>
            <w:textDirection w:val="btLr"/>
            <w:vAlign w:val="center"/>
          </w:tcPr>
          <w:p w14:paraId="0CFC34B6" w14:textId="77777777"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Ostalo</w:t>
            </w:r>
          </w:p>
        </w:tc>
        <w:tc>
          <w:tcPr>
            <w:tcW w:w="783" w:type="dxa"/>
            <w:shd w:val="clear" w:color="auto" w:fill="99CCFF"/>
            <w:textDirection w:val="btLr"/>
            <w:vAlign w:val="center"/>
          </w:tcPr>
          <w:p w14:paraId="427EE72F" w14:textId="77777777" w:rsidR="00441872" w:rsidRPr="00B901FE" w:rsidRDefault="00441872" w:rsidP="00CE2706">
            <w:pPr>
              <w:rPr>
                <w:rFonts w:asciiTheme="majorHAnsi" w:eastAsia="Calibri" w:hAnsiTheme="majorHAnsi" w:cstheme="majorHAnsi"/>
                <w:b/>
                <w:sz w:val="18"/>
                <w:szCs w:val="18"/>
              </w:rPr>
            </w:pPr>
            <w:r w:rsidRPr="00B901FE">
              <w:rPr>
                <w:rFonts w:asciiTheme="majorHAnsi" w:eastAsia="Calibri" w:hAnsiTheme="majorHAnsi" w:cstheme="majorHAnsi"/>
                <w:b/>
                <w:sz w:val="18"/>
                <w:szCs w:val="18"/>
              </w:rPr>
              <w:t>Ukupno sankcija</w:t>
            </w:r>
          </w:p>
        </w:tc>
      </w:tr>
      <w:tr w:rsidR="00B901FE" w:rsidRPr="001B4CA2" w14:paraId="43CE4E3E" w14:textId="77777777" w:rsidTr="00B901FE">
        <w:trPr>
          <w:trHeight w:val="437"/>
        </w:trPr>
        <w:tc>
          <w:tcPr>
            <w:tcW w:w="851" w:type="dxa"/>
            <w:vAlign w:val="center"/>
          </w:tcPr>
          <w:p w14:paraId="24A6B339"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2018.</w:t>
            </w:r>
          </w:p>
        </w:tc>
        <w:tc>
          <w:tcPr>
            <w:tcW w:w="708" w:type="dxa"/>
            <w:noWrap/>
            <w:vAlign w:val="center"/>
          </w:tcPr>
          <w:p w14:paraId="2A366986"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14.085</w:t>
            </w:r>
          </w:p>
        </w:tc>
        <w:tc>
          <w:tcPr>
            <w:tcW w:w="709" w:type="dxa"/>
            <w:noWrap/>
            <w:vAlign w:val="center"/>
          </w:tcPr>
          <w:p w14:paraId="047B0F07"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3.170</w:t>
            </w:r>
          </w:p>
        </w:tc>
        <w:tc>
          <w:tcPr>
            <w:tcW w:w="567" w:type="dxa"/>
            <w:noWrap/>
            <w:vAlign w:val="center"/>
          </w:tcPr>
          <w:p w14:paraId="7FFC2EBF"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6</w:t>
            </w:r>
          </w:p>
        </w:tc>
        <w:tc>
          <w:tcPr>
            <w:tcW w:w="709" w:type="dxa"/>
            <w:noWrap/>
            <w:vAlign w:val="center"/>
          </w:tcPr>
          <w:p w14:paraId="089A3FDD"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1.087</w:t>
            </w:r>
          </w:p>
        </w:tc>
        <w:tc>
          <w:tcPr>
            <w:tcW w:w="709" w:type="dxa"/>
            <w:noWrap/>
            <w:vAlign w:val="center"/>
          </w:tcPr>
          <w:p w14:paraId="2090B91C"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271</w:t>
            </w:r>
          </w:p>
        </w:tc>
        <w:tc>
          <w:tcPr>
            <w:tcW w:w="850" w:type="dxa"/>
            <w:noWrap/>
            <w:vAlign w:val="center"/>
          </w:tcPr>
          <w:p w14:paraId="6B1A2702"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10.513</w:t>
            </w:r>
          </w:p>
        </w:tc>
        <w:tc>
          <w:tcPr>
            <w:tcW w:w="425" w:type="dxa"/>
            <w:noWrap/>
            <w:vAlign w:val="center"/>
          </w:tcPr>
          <w:p w14:paraId="65576EA3" w14:textId="77777777" w:rsidR="00441872" w:rsidRPr="00B901FE" w:rsidRDefault="00441872" w:rsidP="00CE2706">
            <w:pPr>
              <w:jc w:val="center"/>
              <w:rPr>
                <w:rFonts w:asciiTheme="majorHAnsi" w:eastAsia="Calibri" w:hAnsiTheme="majorHAnsi" w:cstheme="majorHAnsi"/>
                <w:sz w:val="16"/>
                <w:szCs w:val="16"/>
              </w:rPr>
            </w:pPr>
          </w:p>
        </w:tc>
        <w:tc>
          <w:tcPr>
            <w:tcW w:w="709" w:type="dxa"/>
            <w:noWrap/>
            <w:vAlign w:val="center"/>
          </w:tcPr>
          <w:p w14:paraId="663C473E" w14:textId="77777777" w:rsidR="00441872" w:rsidRPr="00B901FE" w:rsidRDefault="00441872" w:rsidP="00CE2706">
            <w:pPr>
              <w:jc w:val="center"/>
              <w:rPr>
                <w:rFonts w:asciiTheme="majorHAnsi" w:eastAsia="Calibri" w:hAnsiTheme="majorHAnsi" w:cstheme="majorHAnsi"/>
                <w:sz w:val="16"/>
                <w:szCs w:val="16"/>
              </w:rPr>
            </w:pPr>
          </w:p>
        </w:tc>
        <w:tc>
          <w:tcPr>
            <w:tcW w:w="709" w:type="dxa"/>
            <w:noWrap/>
            <w:vAlign w:val="center"/>
          </w:tcPr>
          <w:p w14:paraId="3186022C" w14:textId="77777777" w:rsidR="00441872" w:rsidRPr="00B901FE" w:rsidRDefault="00441872" w:rsidP="00CE2706">
            <w:pPr>
              <w:jc w:val="center"/>
              <w:rPr>
                <w:rFonts w:asciiTheme="majorHAnsi" w:eastAsia="Calibri" w:hAnsiTheme="majorHAnsi" w:cstheme="majorHAnsi"/>
                <w:sz w:val="16"/>
                <w:szCs w:val="16"/>
              </w:rPr>
            </w:pPr>
          </w:p>
        </w:tc>
        <w:tc>
          <w:tcPr>
            <w:tcW w:w="567" w:type="dxa"/>
            <w:noWrap/>
            <w:vAlign w:val="center"/>
          </w:tcPr>
          <w:p w14:paraId="7D0E13FE" w14:textId="77777777" w:rsidR="00441872" w:rsidRPr="00B901FE" w:rsidRDefault="00441872" w:rsidP="00CE2706">
            <w:pPr>
              <w:jc w:val="center"/>
              <w:rPr>
                <w:rFonts w:asciiTheme="majorHAnsi" w:eastAsia="Calibri" w:hAnsiTheme="majorHAnsi" w:cstheme="majorHAnsi"/>
                <w:sz w:val="16"/>
                <w:szCs w:val="16"/>
              </w:rPr>
            </w:pPr>
          </w:p>
        </w:tc>
        <w:tc>
          <w:tcPr>
            <w:tcW w:w="567" w:type="dxa"/>
            <w:vAlign w:val="center"/>
          </w:tcPr>
          <w:p w14:paraId="2021F874"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131</w:t>
            </w:r>
          </w:p>
        </w:tc>
        <w:tc>
          <w:tcPr>
            <w:tcW w:w="783" w:type="dxa"/>
            <w:vAlign w:val="center"/>
          </w:tcPr>
          <w:p w14:paraId="5245334F"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14.085</w:t>
            </w:r>
          </w:p>
        </w:tc>
      </w:tr>
      <w:tr w:rsidR="00B901FE" w:rsidRPr="001B4CA2" w14:paraId="337DB101" w14:textId="77777777" w:rsidTr="00B901FE">
        <w:trPr>
          <w:trHeight w:val="437"/>
        </w:trPr>
        <w:tc>
          <w:tcPr>
            <w:tcW w:w="851" w:type="dxa"/>
            <w:vAlign w:val="center"/>
          </w:tcPr>
          <w:p w14:paraId="5C9C739E"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2019.</w:t>
            </w:r>
          </w:p>
        </w:tc>
        <w:tc>
          <w:tcPr>
            <w:tcW w:w="708" w:type="dxa"/>
            <w:noWrap/>
            <w:vAlign w:val="center"/>
          </w:tcPr>
          <w:p w14:paraId="790C5F18"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14.920</w:t>
            </w:r>
          </w:p>
        </w:tc>
        <w:tc>
          <w:tcPr>
            <w:tcW w:w="709" w:type="dxa"/>
            <w:noWrap/>
            <w:vAlign w:val="center"/>
          </w:tcPr>
          <w:p w14:paraId="6AA90EBB"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3.544</w:t>
            </w:r>
          </w:p>
        </w:tc>
        <w:tc>
          <w:tcPr>
            <w:tcW w:w="567" w:type="dxa"/>
            <w:noWrap/>
            <w:vAlign w:val="center"/>
          </w:tcPr>
          <w:p w14:paraId="72A7153D"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3</w:t>
            </w:r>
          </w:p>
        </w:tc>
        <w:tc>
          <w:tcPr>
            <w:tcW w:w="709" w:type="dxa"/>
            <w:noWrap/>
            <w:vAlign w:val="center"/>
          </w:tcPr>
          <w:p w14:paraId="0EE6C84A"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1.059</w:t>
            </w:r>
          </w:p>
        </w:tc>
        <w:tc>
          <w:tcPr>
            <w:tcW w:w="709" w:type="dxa"/>
            <w:noWrap/>
            <w:vAlign w:val="center"/>
          </w:tcPr>
          <w:p w14:paraId="469E6D90"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362</w:t>
            </w:r>
          </w:p>
        </w:tc>
        <w:tc>
          <w:tcPr>
            <w:tcW w:w="850" w:type="dxa"/>
            <w:noWrap/>
            <w:vAlign w:val="center"/>
          </w:tcPr>
          <w:p w14:paraId="46DE0D5F"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10.878</w:t>
            </w:r>
          </w:p>
        </w:tc>
        <w:tc>
          <w:tcPr>
            <w:tcW w:w="425" w:type="dxa"/>
            <w:noWrap/>
            <w:vAlign w:val="center"/>
          </w:tcPr>
          <w:p w14:paraId="4FB3CA1B" w14:textId="77777777" w:rsidR="00441872" w:rsidRPr="00B901FE" w:rsidRDefault="00441872" w:rsidP="00CE2706">
            <w:pPr>
              <w:jc w:val="center"/>
              <w:rPr>
                <w:rFonts w:asciiTheme="majorHAnsi" w:eastAsia="Calibri" w:hAnsiTheme="majorHAnsi" w:cstheme="majorHAnsi"/>
                <w:sz w:val="16"/>
                <w:szCs w:val="16"/>
              </w:rPr>
            </w:pPr>
          </w:p>
        </w:tc>
        <w:tc>
          <w:tcPr>
            <w:tcW w:w="709" w:type="dxa"/>
            <w:noWrap/>
            <w:vAlign w:val="center"/>
          </w:tcPr>
          <w:p w14:paraId="3F5D4A6C" w14:textId="77777777" w:rsidR="00441872" w:rsidRPr="00B901FE" w:rsidRDefault="00441872" w:rsidP="00CE2706">
            <w:pPr>
              <w:jc w:val="center"/>
              <w:rPr>
                <w:rFonts w:asciiTheme="majorHAnsi" w:eastAsia="Calibri" w:hAnsiTheme="majorHAnsi" w:cstheme="majorHAnsi"/>
                <w:sz w:val="16"/>
                <w:szCs w:val="16"/>
              </w:rPr>
            </w:pPr>
          </w:p>
        </w:tc>
        <w:tc>
          <w:tcPr>
            <w:tcW w:w="709" w:type="dxa"/>
            <w:noWrap/>
            <w:vAlign w:val="center"/>
          </w:tcPr>
          <w:p w14:paraId="78FCD830" w14:textId="77777777" w:rsidR="00441872" w:rsidRPr="00B901FE" w:rsidRDefault="00441872" w:rsidP="00CE2706">
            <w:pPr>
              <w:jc w:val="center"/>
              <w:rPr>
                <w:rFonts w:asciiTheme="majorHAnsi" w:eastAsia="Calibri" w:hAnsiTheme="majorHAnsi" w:cstheme="majorHAnsi"/>
                <w:sz w:val="16"/>
                <w:szCs w:val="16"/>
              </w:rPr>
            </w:pPr>
          </w:p>
        </w:tc>
        <w:tc>
          <w:tcPr>
            <w:tcW w:w="567" w:type="dxa"/>
            <w:noWrap/>
            <w:vAlign w:val="center"/>
          </w:tcPr>
          <w:p w14:paraId="16FEAA2B" w14:textId="77777777" w:rsidR="00441872" w:rsidRPr="00B901FE" w:rsidRDefault="00441872" w:rsidP="00CE2706">
            <w:pPr>
              <w:jc w:val="center"/>
              <w:rPr>
                <w:rFonts w:asciiTheme="majorHAnsi" w:eastAsia="Calibri" w:hAnsiTheme="majorHAnsi" w:cstheme="majorHAnsi"/>
                <w:sz w:val="16"/>
                <w:szCs w:val="16"/>
              </w:rPr>
            </w:pPr>
          </w:p>
        </w:tc>
        <w:tc>
          <w:tcPr>
            <w:tcW w:w="567" w:type="dxa"/>
            <w:vAlign w:val="center"/>
          </w:tcPr>
          <w:p w14:paraId="42D2E97F"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136</w:t>
            </w:r>
          </w:p>
        </w:tc>
        <w:tc>
          <w:tcPr>
            <w:tcW w:w="783" w:type="dxa"/>
            <w:vAlign w:val="center"/>
          </w:tcPr>
          <w:p w14:paraId="3054779E"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14.920</w:t>
            </w:r>
          </w:p>
        </w:tc>
      </w:tr>
      <w:tr w:rsidR="00B901FE" w:rsidRPr="001B4CA2" w14:paraId="5FBE9B1E" w14:textId="77777777" w:rsidTr="00B901FE">
        <w:trPr>
          <w:trHeight w:val="437"/>
        </w:trPr>
        <w:tc>
          <w:tcPr>
            <w:tcW w:w="851" w:type="dxa"/>
            <w:vAlign w:val="center"/>
          </w:tcPr>
          <w:p w14:paraId="77FC4D93"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2020.</w:t>
            </w:r>
          </w:p>
        </w:tc>
        <w:tc>
          <w:tcPr>
            <w:tcW w:w="708" w:type="dxa"/>
            <w:noWrap/>
            <w:vAlign w:val="center"/>
          </w:tcPr>
          <w:p w14:paraId="2538F4EB"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15.306</w:t>
            </w:r>
          </w:p>
        </w:tc>
        <w:tc>
          <w:tcPr>
            <w:tcW w:w="709" w:type="dxa"/>
            <w:noWrap/>
            <w:vAlign w:val="center"/>
          </w:tcPr>
          <w:p w14:paraId="1518A03C"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4.125</w:t>
            </w:r>
          </w:p>
        </w:tc>
        <w:tc>
          <w:tcPr>
            <w:tcW w:w="567" w:type="dxa"/>
            <w:noWrap/>
            <w:vAlign w:val="center"/>
          </w:tcPr>
          <w:p w14:paraId="6CC7CE7F"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5</w:t>
            </w:r>
          </w:p>
        </w:tc>
        <w:tc>
          <w:tcPr>
            <w:tcW w:w="709" w:type="dxa"/>
            <w:noWrap/>
            <w:vAlign w:val="center"/>
          </w:tcPr>
          <w:p w14:paraId="4849E0E3"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681</w:t>
            </w:r>
          </w:p>
        </w:tc>
        <w:tc>
          <w:tcPr>
            <w:tcW w:w="709" w:type="dxa"/>
            <w:noWrap/>
            <w:vAlign w:val="center"/>
          </w:tcPr>
          <w:p w14:paraId="55453CF4"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373</w:t>
            </w:r>
          </w:p>
        </w:tc>
        <w:tc>
          <w:tcPr>
            <w:tcW w:w="850" w:type="dxa"/>
            <w:noWrap/>
            <w:vAlign w:val="center"/>
          </w:tcPr>
          <w:p w14:paraId="5C404A56"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10.802</w:t>
            </w:r>
          </w:p>
        </w:tc>
        <w:tc>
          <w:tcPr>
            <w:tcW w:w="425" w:type="dxa"/>
            <w:noWrap/>
            <w:vAlign w:val="center"/>
          </w:tcPr>
          <w:p w14:paraId="29709C16" w14:textId="77777777" w:rsidR="00441872" w:rsidRPr="00B901FE" w:rsidRDefault="00441872" w:rsidP="00CE2706">
            <w:pPr>
              <w:jc w:val="center"/>
              <w:rPr>
                <w:rFonts w:asciiTheme="majorHAnsi" w:eastAsia="Calibri" w:hAnsiTheme="majorHAnsi" w:cstheme="majorHAnsi"/>
                <w:sz w:val="16"/>
                <w:szCs w:val="16"/>
              </w:rPr>
            </w:pPr>
          </w:p>
        </w:tc>
        <w:tc>
          <w:tcPr>
            <w:tcW w:w="709" w:type="dxa"/>
            <w:noWrap/>
            <w:vAlign w:val="center"/>
          </w:tcPr>
          <w:p w14:paraId="6020BF79" w14:textId="77777777" w:rsidR="00441872" w:rsidRPr="00B901FE" w:rsidRDefault="00441872" w:rsidP="00CE2706">
            <w:pPr>
              <w:jc w:val="center"/>
              <w:rPr>
                <w:rFonts w:asciiTheme="majorHAnsi" w:eastAsia="Calibri" w:hAnsiTheme="majorHAnsi" w:cstheme="majorHAnsi"/>
                <w:sz w:val="16"/>
                <w:szCs w:val="16"/>
              </w:rPr>
            </w:pPr>
          </w:p>
        </w:tc>
        <w:tc>
          <w:tcPr>
            <w:tcW w:w="709" w:type="dxa"/>
            <w:noWrap/>
            <w:vAlign w:val="center"/>
          </w:tcPr>
          <w:p w14:paraId="635E69BC" w14:textId="77777777" w:rsidR="00441872" w:rsidRPr="00B901FE" w:rsidRDefault="00441872" w:rsidP="00CE2706">
            <w:pPr>
              <w:jc w:val="center"/>
              <w:rPr>
                <w:rFonts w:asciiTheme="majorHAnsi" w:eastAsia="Calibri" w:hAnsiTheme="majorHAnsi" w:cstheme="majorHAnsi"/>
                <w:sz w:val="16"/>
                <w:szCs w:val="16"/>
              </w:rPr>
            </w:pPr>
          </w:p>
        </w:tc>
        <w:tc>
          <w:tcPr>
            <w:tcW w:w="567" w:type="dxa"/>
            <w:noWrap/>
            <w:vAlign w:val="center"/>
          </w:tcPr>
          <w:p w14:paraId="380B36E7"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6</w:t>
            </w:r>
          </w:p>
        </w:tc>
        <w:tc>
          <w:tcPr>
            <w:tcW w:w="567" w:type="dxa"/>
            <w:vAlign w:val="center"/>
          </w:tcPr>
          <w:p w14:paraId="2145FB16" w14:textId="77777777" w:rsidR="00441872" w:rsidRPr="00B901FE" w:rsidRDefault="00441872" w:rsidP="00CE2706">
            <w:pPr>
              <w:jc w:val="center"/>
              <w:rPr>
                <w:rFonts w:asciiTheme="majorHAnsi" w:eastAsia="Calibri" w:hAnsiTheme="majorHAnsi" w:cstheme="majorHAnsi"/>
                <w:sz w:val="16"/>
                <w:szCs w:val="16"/>
              </w:rPr>
            </w:pPr>
          </w:p>
        </w:tc>
        <w:tc>
          <w:tcPr>
            <w:tcW w:w="783" w:type="dxa"/>
            <w:vAlign w:val="center"/>
          </w:tcPr>
          <w:p w14:paraId="14BE3331"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15.307</w:t>
            </w:r>
          </w:p>
        </w:tc>
      </w:tr>
      <w:tr w:rsidR="00B901FE" w:rsidRPr="001B4CA2" w14:paraId="3941F46D" w14:textId="77777777" w:rsidTr="00B901FE">
        <w:trPr>
          <w:trHeight w:val="437"/>
        </w:trPr>
        <w:tc>
          <w:tcPr>
            <w:tcW w:w="851" w:type="dxa"/>
            <w:vAlign w:val="center"/>
          </w:tcPr>
          <w:p w14:paraId="2E51B035"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2021.</w:t>
            </w:r>
          </w:p>
        </w:tc>
        <w:tc>
          <w:tcPr>
            <w:tcW w:w="708" w:type="dxa"/>
            <w:noWrap/>
            <w:vAlign w:val="center"/>
          </w:tcPr>
          <w:p w14:paraId="0EE1A0B9"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16.236</w:t>
            </w:r>
          </w:p>
        </w:tc>
        <w:tc>
          <w:tcPr>
            <w:tcW w:w="709" w:type="dxa"/>
            <w:noWrap/>
            <w:vAlign w:val="center"/>
          </w:tcPr>
          <w:p w14:paraId="00DF86EB"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4.154</w:t>
            </w:r>
          </w:p>
        </w:tc>
        <w:tc>
          <w:tcPr>
            <w:tcW w:w="567" w:type="dxa"/>
            <w:noWrap/>
            <w:vAlign w:val="center"/>
          </w:tcPr>
          <w:p w14:paraId="1A479135"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13</w:t>
            </w:r>
          </w:p>
        </w:tc>
        <w:tc>
          <w:tcPr>
            <w:tcW w:w="709" w:type="dxa"/>
            <w:noWrap/>
            <w:vAlign w:val="center"/>
          </w:tcPr>
          <w:p w14:paraId="469A5BB2"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785</w:t>
            </w:r>
          </w:p>
        </w:tc>
        <w:tc>
          <w:tcPr>
            <w:tcW w:w="709" w:type="dxa"/>
            <w:noWrap/>
            <w:vAlign w:val="center"/>
          </w:tcPr>
          <w:p w14:paraId="2ABC9EE9"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399</w:t>
            </w:r>
          </w:p>
        </w:tc>
        <w:tc>
          <w:tcPr>
            <w:tcW w:w="850" w:type="dxa"/>
            <w:noWrap/>
            <w:vAlign w:val="center"/>
          </w:tcPr>
          <w:p w14:paraId="21290758"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11.631</w:t>
            </w:r>
          </w:p>
        </w:tc>
        <w:tc>
          <w:tcPr>
            <w:tcW w:w="425" w:type="dxa"/>
            <w:noWrap/>
            <w:vAlign w:val="center"/>
          </w:tcPr>
          <w:p w14:paraId="3E0B855F" w14:textId="77777777" w:rsidR="00441872" w:rsidRPr="00B901FE" w:rsidRDefault="00441872" w:rsidP="00CE2706">
            <w:pPr>
              <w:jc w:val="center"/>
              <w:rPr>
                <w:rFonts w:asciiTheme="majorHAnsi" w:eastAsia="Calibri" w:hAnsiTheme="majorHAnsi" w:cstheme="majorHAnsi"/>
                <w:sz w:val="16"/>
                <w:szCs w:val="16"/>
              </w:rPr>
            </w:pPr>
          </w:p>
        </w:tc>
        <w:tc>
          <w:tcPr>
            <w:tcW w:w="709" w:type="dxa"/>
            <w:noWrap/>
            <w:vAlign w:val="center"/>
          </w:tcPr>
          <w:p w14:paraId="5B087583" w14:textId="77777777" w:rsidR="00441872" w:rsidRPr="00B901FE" w:rsidRDefault="00441872" w:rsidP="00CE2706">
            <w:pPr>
              <w:jc w:val="center"/>
              <w:rPr>
                <w:rFonts w:asciiTheme="majorHAnsi" w:eastAsia="Calibri" w:hAnsiTheme="majorHAnsi" w:cstheme="majorHAnsi"/>
                <w:sz w:val="16"/>
                <w:szCs w:val="16"/>
              </w:rPr>
            </w:pPr>
          </w:p>
        </w:tc>
        <w:tc>
          <w:tcPr>
            <w:tcW w:w="709" w:type="dxa"/>
            <w:noWrap/>
            <w:vAlign w:val="center"/>
          </w:tcPr>
          <w:p w14:paraId="6E9100EC"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44</w:t>
            </w:r>
          </w:p>
        </w:tc>
        <w:tc>
          <w:tcPr>
            <w:tcW w:w="567" w:type="dxa"/>
            <w:noWrap/>
            <w:vAlign w:val="center"/>
          </w:tcPr>
          <w:p w14:paraId="4BDD51DF"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8</w:t>
            </w:r>
          </w:p>
        </w:tc>
        <w:tc>
          <w:tcPr>
            <w:tcW w:w="567" w:type="dxa"/>
            <w:vAlign w:val="center"/>
          </w:tcPr>
          <w:p w14:paraId="049AC6D6" w14:textId="77777777" w:rsidR="00441872" w:rsidRPr="00B901FE" w:rsidRDefault="00441872" w:rsidP="00CE2706">
            <w:pPr>
              <w:jc w:val="center"/>
              <w:rPr>
                <w:rFonts w:asciiTheme="majorHAnsi" w:eastAsia="Calibri" w:hAnsiTheme="majorHAnsi" w:cstheme="majorHAnsi"/>
                <w:sz w:val="16"/>
                <w:szCs w:val="16"/>
              </w:rPr>
            </w:pPr>
          </w:p>
        </w:tc>
        <w:tc>
          <w:tcPr>
            <w:tcW w:w="783" w:type="dxa"/>
            <w:vAlign w:val="center"/>
          </w:tcPr>
          <w:p w14:paraId="40CAA5A8" w14:textId="77777777" w:rsidR="00441872" w:rsidRPr="00B901FE" w:rsidRDefault="00441872" w:rsidP="00CE2706">
            <w:pPr>
              <w:jc w:val="center"/>
              <w:rPr>
                <w:rFonts w:asciiTheme="majorHAnsi" w:eastAsia="Calibri" w:hAnsiTheme="majorHAnsi" w:cstheme="majorHAnsi"/>
                <w:sz w:val="16"/>
                <w:szCs w:val="16"/>
              </w:rPr>
            </w:pPr>
            <w:r w:rsidRPr="00B901FE">
              <w:rPr>
                <w:rFonts w:asciiTheme="majorHAnsi" w:eastAsia="Calibri" w:hAnsiTheme="majorHAnsi" w:cstheme="majorHAnsi"/>
                <w:sz w:val="16"/>
                <w:szCs w:val="16"/>
              </w:rPr>
              <w:t>16.236</w:t>
            </w:r>
          </w:p>
        </w:tc>
      </w:tr>
      <w:tr w:rsidR="00B901FE" w:rsidRPr="001B4CA2" w14:paraId="61CBB25D" w14:textId="77777777" w:rsidTr="00B901FE">
        <w:trPr>
          <w:trHeight w:val="437"/>
        </w:trPr>
        <w:tc>
          <w:tcPr>
            <w:tcW w:w="851" w:type="dxa"/>
            <w:vAlign w:val="center"/>
          </w:tcPr>
          <w:p w14:paraId="324ABDA2" w14:textId="77777777" w:rsidR="00441872" w:rsidRPr="00B901FE" w:rsidRDefault="00441872" w:rsidP="00CE2706">
            <w:pPr>
              <w:jc w:val="center"/>
              <w:rPr>
                <w:rFonts w:asciiTheme="majorHAnsi" w:hAnsiTheme="majorHAnsi" w:cstheme="majorHAnsi"/>
                <w:color w:val="000000"/>
                <w:sz w:val="16"/>
                <w:szCs w:val="16"/>
              </w:rPr>
            </w:pPr>
            <w:r w:rsidRPr="00B901FE">
              <w:rPr>
                <w:rFonts w:asciiTheme="majorHAnsi" w:hAnsiTheme="majorHAnsi" w:cstheme="majorHAnsi"/>
                <w:color w:val="000000"/>
                <w:sz w:val="16"/>
                <w:szCs w:val="16"/>
              </w:rPr>
              <w:t>2022.</w:t>
            </w:r>
          </w:p>
        </w:tc>
        <w:tc>
          <w:tcPr>
            <w:tcW w:w="708" w:type="dxa"/>
            <w:noWrap/>
            <w:vAlign w:val="center"/>
          </w:tcPr>
          <w:p w14:paraId="7859C6FD" w14:textId="77777777" w:rsidR="00441872" w:rsidRPr="00B901FE" w:rsidRDefault="00441872" w:rsidP="00CE2706">
            <w:pPr>
              <w:jc w:val="center"/>
              <w:rPr>
                <w:rFonts w:asciiTheme="majorHAnsi" w:hAnsiTheme="majorHAnsi" w:cstheme="majorHAnsi"/>
                <w:color w:val="000000"/>
                <w:sz w:val="16"/>
                <w:szCs w:val="16"/>
              </w:rPr>
            </w:pPr>
            <w:r w:rsidRPr="00B901FE">
              <w:rPr>
                <w:rFonts w:asciiTheme="majorHAnsi" w:hAnsiTheme="majorHAnsi" w:cstheme="majorHAnsi"/>
                <w:color w:val="000000"/>
                <w:sz w:val="16"/>
                <w:szCs w:val="16"/>
              </w:rPr>
              <w:t>15.522</w:t>
            </w:r>
          </w:p>
        </w:tc>
        <w:tc>
          <w:tcPr>
            <w:tcW w:w="709" w:type="dxa"/>
            <w:noWrap/>
            <w:vAlign w:val="center"/>
          </w:tcPr>
          <w:p w14:paraId="2733E1A1" w14:textId="77777777" w:rsidR="00441872" w:rsidRPr="00B901FE" w:rsidRDefault="00441872" w:rsidP="00CE2706">
            <w:pPr>
              <w:jc w:val="center"/>
              <w:rPr>
                <w:rFonts w:asciiTheme="majorHAnsi" w:hAnsiTheme="majorHAnsi" w:cstheme="majorHAnsi"/>
                <w:color w:val="000000"/>
                <w:sz w:val="16"/>
                <w:szCs w:val="16"/>
              </w:rPr>
            </w:pPr>
            <w:r w:rsidRPr="00B901FE">
              <w:rPr>
                <w:rFonts w:asciiTheme="majorHAnsi" w:hAnsiTheme="majorHAnsi" w:cstheme="majorHAnsi"/>
                <w:color w:val="000000"/>
                <w:sz w:val="16"/>
                <w:szCs w:val="16"/>
              </w:rPr>
              <w:t>4.034</w:t>
            </w:r>
          </w:p>
        </w:tc>
        <w:tc>
          <w:tcPr>
            <w:tcW w:w="567" w:type="dxa"/>
            <w:noWrap/>
            <w:vAlign w:val="center"/>
          </w:tcPr>
          <w:p w14:paraId="0C63B1F0" w14:textId="77777777" w:rsidR="00441872" w:rsidRPr="00B901FE" w:rsidRDefault="00441872" w:rsidP="00CE2706">
            <w:pPr>
              <w:jc w:val="center"/>
              <w:rPr>
                <w:rFonts w:asciiTheme="majorHAnsi" w:hAnsiTheme="majorHAnsi" w:cstheme="majorHAnsi"/>
                <w:color w:val="000000"/>
                <w:sz w:val="16"/>
                <w:szCs w:val="16"/>
              </w:rPr>
            </w:pPr>
            <w:r w:rsidRPr="00B901FE">
              <w:rPr>
                <w:rFonts w:asciiTheme="majorHAnsi" w:hAnsiTheme="majorHAnsi" w:cstheme="majorHAnsi"/>
                <w:color w:val="000000"/>
                <w:sz w:val="16"/>
                <w:szCs w:val="16"/>
              </w:rPr>
              <w:t>9</w:t>
            </w:r>
          </w:p>
        </w:tc>
        <w:tc>
          <w:tcPr>
            <w:tcW w:w="709" w:type="dxa"/>
            <w:noWrap/>
            <w:vAlign w:val="center"/>
          </w:tcPr>
          <w:p w14:paraId="67ADEC7F" w14:textId="77777777" w:rsidR="00441872" w:rsidRPr="00B901FE" w:rsidRDefault="00441872" w:rsidP="00CE2706">
            <w:pPr>
              <w:jc w:val="center"/>
              <w:rPr>
                <w:rFonts w:asciiTheme="majorHAnsi" w:hAnsiTheme="majorHAnsi" w:cstheme="majorHAnsi"/>
                <w:color w:val="000000"/>
                <w:sz w:val="16"/>
                <w:szCs w:val="16"/>
              </w:rPr>
            </w:pPr>
            <w:r w:rsidRPr="00B901FE">
              <w:rPr>
                <w:rFonts w:asciiTheme="majorHAnsi" w:hAnsiTheme="majorHAnsi" w:cstheme="majorHAnsi"/>
                <w:color w:val="000000"/>
                <w:sz w:val="16"/>
                <w:szCs w:val="16"/>
              </w:rPr>
              <w:t>813</w:t>
            </w:r>
          </w:p>
        </w:tc>
        <w:tc>
          <w:tcPr>
            <w:tcW w:w="709" w:type="dxa"/>
            <w:noWrap/>
            <w:vAlign w:val="center"/>
          </w:tcPr>
          <w:p w14:paraId="1656B9B4" w14:textId="77777777" w:rsidR="00441872" w:rsidRPr="00B901FE" w:rsidRDefault="00441872" w:rsidP="00CE2706">
            <w:pPr>
              <w:jc w:val="center"/>
              <w:rPr>
                <w:rFonts w:asciiTheme="majorHAnsi" w:hAnsiTheme="majorHAnsi" w:cstheme="majorHAnsi"/>
                <w:color w:val="000000"/>
                <w:sz w:val="16"/>
                <w:szCs w:val="16"/>
              </w:rPr>
            </w:pPr>
            <w:r w:rsidRPr="00B901FE">
              <w:rPr>
                <w:rFonts w:asciiTheme="majorHAnsi" w:hAnsiTheme="majorHAnsi" w:cstheme="majorHAnsi"/>
                <w:color w:val="000000"/>
                <w:sz w:val="16"/>
                <w:szCs w:val="16"/>
              </w:rPr>
              <w:t>225</w:t>
            </w:r>
          </w:p>
        </w:tc>
        <w:tc>
          <w:tcPr>
            <w:tcW w:w="850" w:type="dxa"/>
            <w:noWrap/>
            <w:vAlign w:val="center"/>
          </w:tcPr>
          <w:p w14:paraId="181EE1A5" w14:textId="77777777" w:rsidR="00441872" w:rsidRPr="00B901FE" w:rsidRDefault="00441872" w:rsidP="00CE2706">
            <w:pPr>
              <w:jc w:val="center"/>
              <w:rPr>
                <w:rFonts w:asciiTheme="majorHAnsi" w:hAnsiTheme="majorHAnsi" w:cstheme="majorHAnsi"/>
                <w:color w:val="000000"/>
                <w:sz w:val="16"/>
                <w:szCs w:val="16"/>
              </w:rPr>
            </w:pPr>
            <w:r w:rsidRPr="00B901FE">
              <w:rPr>
                <w:rFonts w:asciiTheme="majorHAnsi" w:hAnsiTheme="majorHAnsi" w:cstheme="majorHAnsi"/>
                <w:color w:val="000000"/>
                <w:sz w:val="16"/>
                <w:szCs w:val="16"/>
              </w:rPr>
              <w:t>11.195</w:t>
            </w:r>
          </w:p>
        </w:tc>
        <w:tc>
          <w:tcPr>
            <w:tcW w:w="425" w:type="dxa"/>
            <w:noWrap/>
            <w:vAlign w:val="center"/>
          </w:tcPr>
          <w:p w14:paraId="73C333B5" w14:textId="77777777" w:rsidR="00441872" w:rsidRPr="00B901FE" w:rsidRDefault="00441872" w:rsidP="00CE2706">
            <w:pPr>
              <w:jc w:val="center"/>
              <w:rPr>
                <w:rFonts w:asciiTheme="majorHAnsi" w:hAnsiTheme="majorHAnsi" w:cstheme="majorHAnsi"/>
                <w:color w:val="000000"/>
                <w:sz w:val="16"/>
                <w:szCs w:val="16"/>
              </w:rPr>
            </w:pPr>
            <w:r w:rsidRPr="00B901FE">
              <w:rPr>
                <w:rFonts w:asciiTheme="majorHAnsi" w:hAnsiTheme="majorHAnsi" w:cstheme="majorHAnsi"/>
                <w:color w:val="000000"/>
                <w:sz w:val="16"/>
                <w:szCs w:val="16"/>
              </w:rPr>
              <w:t> </w:t>
            </w:r>
          </w:p>
        </w:tc>
        <w:tc>
          <w:tcPr>
            <w:tcW w:w="709" w:type="dxa"/>
            <w:noWrap/>
            <w:vAlign w:val="center"/>
          </w:tcPr>
          <w:p w14:paraId="22A38C82" w14:textId="77777777" w:rsidR="00441872" w:rsidRPr="00B901FE" w:rsidRDefault="00441872" w:rsidP="00CE2706">
            <w:pPr>
              <w:jc w:val="center"/>
              <w:rPr>
                <w:rFonts w:asciiTheme="majorHAnsi" w:hAnsiTheme="majorHAnsi" w:cstheme="majorHAnsi"/>
                <w:color w:val="000000"/>
                <w:sz w:val="16"/>
                <w:szCs w:val="16"/>
              </w:rPr>
            </w:pPr>
            <w:r w:rsidRPr="00B901FE">
              <w:rPr>
                <w:rFonts w:asciiTheme="majorHAnsi" w:hAnsiTheme="majorHAnsi" w:cstheme="majorHAnsi"/>
                <w:color w:val="000000"/>
                <w:sz w:val="16"/>
                <w:szCs w:val="16"/>
              </w:rPr>
              <w:t> </w:t>
            </w:r>
          </w:p>
        </w:tc>
        <w:tc>
          <w:tcPr>
            <w:tcW w:w="709" w:type="dxa"/>
            <w:noWrap/>
            <w:vAlign w:val="center"/>
          </w:tcPr>
          <w:p w14:paraId="77522479" w14:textId="77777777" w:rsidR="00441872" w:rsidRPr="00B901FE" w:rsidRDefault="00441872" w:rsidP="00CE2706">
            <w:pPr>
              <w:jc w:val="center"/>
              <w:rPr>
                <w:rFonts w:asciiTheme="majorHAnsi" w:hAnsiTheme="majorHAnsi" w:cstheme="majorHAnsi"/>
                <w:color w:val="000000"/>
                <w:sz w:val="16"/>
                <w:szCs w:val="16"/>
              </w:rPr>
            </w:pPr>
            <w:r w:rsidRPr="00B901FE">
              <w:rPr>
                <w:rFonts w:asciiTheme="majorHAnsi" w:hAnsiTheme="majorHAnsi" w:cstheme="majorHAnsi"/>
                <w:color w:val="000000"/>
                <w:sz w:val="16"/>
                <w:szCs w:val="16"/>
              </w:rPr>
              <w:t>59</w:t>
            </w:r>
          </w:p>
        </w:tc>
        <w:tc>
          <w:tcPr>
            <w:tcW w:w="567" w:type="dxa"/>
            <w:noWrap/>
            <w:vAlign w:val="center"/>
          </w:tcPr>
          <w:p w14:paraId="254E4094" w14:textId="77777777" w:rsidR="00441872" w:rsidRPr="00B901FE" w:rsidRDefault="00441872" w:rsidP="00CE2706">
            <w:pPr>
              <w:jc w:val="center"/>
              <w:rPr>
                <w:rFonts w:asciiTheme="majorHAnsi" w:hAnsiTheme="majorHAnsi" w:cstheme="majorHAnsi"/>
                <w:color w:val="000000"/>
                <w:sz w:val="16"/>
                <w:szCs w:val="16"/>
              </w:rPr>
            </w:pPr>
            <w:r w:rsidRPr="00B901FE">
              <w:rPr>
                <w:rFonts w:asciiTheme="majorHAnsi" w:hAnsiTheme="majorHAnsi" w:cstheme="majorHAnsi"/>
                <w:color w:val="000000"/>
                <w:sz w:val="16"/>
                <w:szCs w:val="16"/>
              </w:rPr>
              <w:t>9</w:t>
            </w:r>
          </w:p>
        </w:tc>
        <w:tc>
          <w:tcPr>
            <w:tcW w:w="567" w:type="dxa"/>
            <w:vAlign w:val="center"/>
          </w:tcPr>
          <w:p w14:paraId="461022BD" w14:textId="77777777" w:rsidR="00441872" w:rsidRPr="00B901FE" w:rsidRDefault="00441872" w:rsidP="00CE2706">
            <w:pPr>
              <w:jc w:val="center"/>
              <w:rPr>
                <w:rFonts w:asciiTheme="majorHAnsi" w:hAnsiTheme="majorHAnsi" w:cstheme="majorHAnsi"/>
                <w:color w:val="000000"/>
                <w:sz w:val="16"/>
                <w:szCs w:val="16"/>
              </w:rPr>
            </w:pPr>
            <w:r w:rsidRPr="00B901FE">
              <w:rPr>
                <w:rFonts w:asciiTheme="majorHAnsi" w:hAnsiTheme="majorHAnsi" w:cstheme="majorHAnsi"/>
                <w:color w:val="000000"/>
                <w:sz w:val="16"/>
                <w:szCs w:val="16"/>
              </w:rPr>
              <w:t> </w:t>
            </w:r>
          </w:p>
        </w:tc>
        <w:tc>
          <w:tcPr>
            <w:tcW w:w="783" w:type="dxa"/>
            <w:vAlign w:val="center"/>
          </w:tcPr>
          <w:p w14:paraId="7411969B" w14:textId="77777777" w:rsidR="00441872" w:rsidRPr="00B901FE" w:rsidRDefault="00441872" w:rsidP="00CE2706">
            <w:pPr>
              <w:jc w:val="center"/>
              <w:rPr>
                <w:rFonts w:asciiTheme="majorHAnsi" w:hAnsiTheme="majorHAnsi" w:cstheme="majorHAnsi"/>
                <w:color w:val="000000"/>
                <w:sz w:val="16"/>
                <w:szCs w:val="16"/>
              </w:rPr>
            </w:pPr>
            <w:r w:rsidRPr="00B901FE">
              <w:rPr>
                <w:rFonts w:asciiTheme="majorHAnsi" w:hAnsiTheme="majorHAnsi" w:cstheme="majorHAnsi"/>
                <w:color w:val="000000"/>
                <w:sz w:val="16"/>
                <w:szCs w:val="16"/>
              </w:rPr>
              <w:t>15.522</w:t>
            </w:r>
          </w:p>
        </w:tc>
      </w:tr>
    </w:tbl>
    <w:p w14:paraId="6C331790" w14:textId="77777777" w:rsidR="00441872" w:rsidRPr="001B4CA2" w:rsidRDefault="00441872" w:rsidP="00441872">
      <w:pPr>
        <w:widowControl w:val="0"/>
        <w:rPr>
          <w:snapToGrid w:val="0"/>
        </w:rPr>
      </w:pPr>
    </w:p>
    <w:p w14:paraId="7F1BE76B" w14:textId="21AC567A" w:rsidR="00441872" w:rsidRPr="001B4CA2" w:rsidRDefault="00441872" w:rsidP="00441872">
      <w:pPr>
        <w:widowControl w:val="0"/>
        <w:rPr>
          <w:snapToGrid w:val="0"/>
        </w:rPr>
      </w:pPr>
      <w:r w:rsidRPr="001B4CA2">
        <w:rPr>
          <w:snapToGrid w:val="0"/>
        </w:rPr>
        <w:tab/>
        <w:t>Kazna zatvora zastupljena je</w:t>
      </w:r>
      <w:r w:rsidR="00FD08E9">
        <w:rPr>
          <w:snapToGrid w:val="0"/>
        </w:rPr>
        <w:t xml:space="preserve"> s </w:t>
      </w:r>
      <w:r w:rsidRPr="001B4CA2">
        <w:rPr>
          <w:snapToGrid w:val="0"/>
        </w:rPr>
        <w:t>25,98</w:t>
      </w:r>
      <w:r w:rsidR="008E593E">
        <w:rPr>
          <w:snapToGrid w:val="0"/>
        </w:rPr>
        <w:t> </w:t>
      </w:r>
      <w:r w:rsidRPr="001B4CA2">
        <w:rPr>
          <w:snapToGrid w:val="0"/>
        </w:rPr>
        <w:t xml:space="preserve">% u ukupnom broju izrečenih sankcija. </w:t>
      </w:r>
      <w:r w:rsidR="00C777B5" w:rsidRPr="001B4CA2">
        <w:rPr>
          <w:snapToGrid w:val="0"/>
        </w:rPr>
        <w:t>Dugotrajne kazne</w:t>
      </w:r>
      <w:r w:rsidRPr="001B4CA2">
        <w:rPr>
          <w:snapToGrid w:val="0"/>
        </w:rPr>
        <w:t xml:space="preserve"> zatvora koje se izriču za najteža kaznena djela u ukupnom broju izrečenih zatvorskih kazni participira</w:t>
      </w:r>
      <w:r w:rsidR="00C777B5" w:rsidRPr="001B4CA2">
        <w:rPr>
          <w:snapToGrid w:val="0"/>
        </w:rPr>
        <w:t>ju</w:t>
      </w:r>
      <w:r w:rsidR="00FD08E9">
        <w:rPr>
          <w:snapToGrid w:val="0"/>
        </w:rPr>
        <w:t xml:space="preserve"> s </w:t>
      </w:r>
      <w:r w:rsidRPr="001B4CA2">
        <w:rPr>
          <w:snapToGrid w:val="0"/>
        </w:rPr>
        <w:t>0,22</w:t>
      </w:r>
      <w:r w:rsidR="008E593E">
        <w:rPr>
          <w:snapToGrid w:val="0"/>
        </w:rPr>
        <w:t> </w:t>
      </w:r>
      <w:r w:rsidRPr="001B4CA2">
        <w:rPr>
          <w:snapToGrid w:val="0"/>
        </w:rPr>
        <w:t>%. Rad za opće dobro u 20,15</w:t>
      </w:r>
      <w:r w:rsidR="008E593E">
        <w:rPr>
          <w:snapToGrid w:val="0"/>
        </w:rPr>
        <w:t> </w:t>
      </w:r>
      <w:r w:rsidRPr="001B4CA2">
        <w:rPr>
          <w:snapToGrid w:val="0"/>
        </w:rPr>
        <w:t>% slučajeva sankcija je kojom je zamijenjena</w:t>
      </w:r>
      <w:r w:rsidR="001B4CA2">
        <w:rPr>
          <w:snapToGrid w:val="0"/>
        </w:rPr>
        <w:t xml:space="preserve"> </w:t>
      </w:r>
      <w:r w:rsidRPr="001B4CA2">
        <w:rPr>
          <w:snapToGrid w:val="0"/>
        </w:rPr>
        <w:t xml:space="preserve">izrečena kazna zatvora i porast je </w:t>
      </w:r>
      <w:r w:rsidR="008E593E">
        <w:rPr>
          <w:snapToGrid w:val="0"/>
        </w:rPr>
        <w:t>udjela</w:t>
      </w:r>
      <w:r w:rsidRPr="001B4CA2">
        <w:rPr>
          <w:snapToGrid w:val="0"/>
        </w:rPr>
        <w:t xml:space="preserve"> te vrste sankcija za 3,44</w:t>
      </w:r>
      <w:r w:rsidR="008E593E">
        <w:rPr>
          <w:snapToGrid w:val="0"/>
        </w:rPr>
        <w:t> </w:t>
      </w:r>
      <w:r w:rsidRPr="001B4CA2">
        <w:rPr>
          <w:snapToGrid w:val="0"/>
        </w:rPr>
        <w:t>%</w:t>
      </w:r>
      <w:r w:rsidR="00A67909">
        <w:rPr>
          <w:snapToGrid w:val="0"/>
        </w:rPr>
        <w:t>,</w:t>
      </w:r>
      <w:r w:rsidRPr="001B4CA2">
        <w:rPr>
          <w:snapToGrid w:val="0"/>
        </w:rPr>
        <w:t xml:space="preserve"> što, uvažavajući zahtjeve individualizacije kazne u odnosu na svakog počinitelja pojedinog kaznenog djela, ipak ukazuje na zaključak o (pre)blagoj kaznenoj politici sudova, na koju državno odvjetništvo reagira žalbama. </w:t>
      </w:r>
    </w:p>
    <w:p w14:paraId="6C89FAAA" w14:textId="77777777" w:rsidR="00441872" w:rsidRPr="001B4CA2" w:rsidRDefault="00441872" w:rsidP="00441872">
      <w:pPr>
        <w:widowControl w:val="0"/>
        <w:rPr>
          <w:snapToGrid w:val="0"/>
        </w:rPr>
      </w:pPr>
    </w:p>
    <w:p w14:paraId="48BB7D1E" w14:textId="3A5F8A4E" w:rsidR="00441872" w:rsidRPr="001B4CA2" w:rsidRDefault="00441872" w:rsidP="00441872">
      <w:pPr>
        <w:widowControl w:val="0"/>
        <w:rPr>
          <w:snapToGrid w:val="0"/>
        </w:rPr>
      </w:pPr>
      <w:r w:rsidRPr="001B4CA2">
        <w:rPr>
          <w:snapToGrid w:val="0"/>
        </w:rPr>
        <w:tab/>
        <w:t>Novčana kazna kao glavna sankcija izrečena je u odnosu na 1,44</w:t>
      </w:r>
      <w:r w:rsidR="008E593E">
        <w:rPr>
          <w:snapToGrid w:val="0"/>
        </w:rPr>
        <w:t> </w:t>
      </w:r>
      <w:r w:rsidRPr="001B4CA2">
        <w:rPr>
          <w:snapToGrid w:val="0"/>
        </w:rPr>
        <w:t xml:space="preserve">% osuđujućih presuda. </w:t>
      </w:r>
    </w:p>
    <w:p w14:paraId="41D350D4" w14:textId="77777777" w:rsidR="00B167F1" w:rsidRPr="001B4CA2" w:rsidRDefault="00B167F1" w:rsidP="00441872">
      <w:pPr>
        <w:widowControl w:val="0"/>
        <w:rPr>
          <w:snapToGrid w:val="0"/>
        </w:rPr>
      </w:pPr>
    </w:p>
    <w:p w14:paraId="5BBBB393" w14:textId="1D41AC58" w:rsidR="00441872" w:rsidRPr="001B4CA2" w:rsidRDefault="00441872" w:rsidP="00441872">
      <w:pPr>
        <w:widowControl w:val="0"/>
        <w:rPr>
          <w:snapToGrid w:val="0"/>
        </w:rPr>
      </w:pPr>
      <w:r w:rsidRPr="001B4CA2">
        <w:rPr>
          <w:snapToGrid w:val="0"/>
        </w:rPr>
        <w:tab/>
        <w:t>Najzastupljenija</w:t>
      </w:r>
      <w:r w:rsidR="001B4CA2">
        <w:rPr>
          <w:snapToGrid w:val="0"/>
        </w:rPr>
        <w:t xml:space="preserve"> </w:t>
      </w:r>
      <w:r w:rsidR="00A67909" w:rsidRPr="001B4CA2">
        <w:rPr>
          <w:snapToGrid w:val="0"/>
        </w:rPr>
        <w:t xml:space="preserve">je </w:t>
      </w:r>
      <w:r w:rsidRPr="001B4CA2">
        <w:rPr>
          <w:snapToGrid w:val="0"/>
        </w:rPr>
        <w:t xml:space="preserve">sankcija uvjetna osuda na zatvorske kazne s </w:t>
      </w:r>
      <w:r w:rsidR="00A67909">
        <w:rPr>
          <w:snapToGrid w:val="0"/>
        </w:rPr>
        <w:t>udjelom</w:t>
      </w:r>
      <w:r w:rsidRPr="001B4CA2">
        <w:rPr>
          <w:snapToGrid w:val="0"/>
        </w:rPr>
        <w:t xml:space="preserve"> od 71,99</w:t>
      </w:r>
      <w:r w:rsidR="00A67909">
        <w:rPr>
          <w:snapToGrid w:val="0"/>
        </w:rPr>
        <w:t> </w:t>
      </w:r>
      <w:r w:rsidRPr="001B4CA2">
        <w:rPr>
          <w:snapToGrid w:val="0"/>
        </w:rPr>
        <w:t xml:space="preserve">% u strukturi osuđujućih presuda. </w:t>
      </w:r>
    </w:p>
    <w:p w14:paraId="4AE4F9C6" w14:textId="77777777" w:rsidR="00441872" w:rsidRPr="001B4CA2" w:rsidRDefault="00441872" w:rsidP="00441872">
      <w:pPr>
        <w:widowControl w:val="0"/>
        <w:rPr>
          <w:snapToGrid w:val="0"/>
        </w:rPr>
      </w:pPr>
    </w:p>
    <w:p w14:paraId="6BA375F7" w14:textId="1B026962" w:rsidR="00441872" w:rsidRPr="001B4CA2" w:rsidRDefault="00441872" w:rsidP="00441872">
      <w:pPr>
        <w:widowControl w:val="0"/>
        <w:rPr>
          <w:snapToGrid w:val="0"/>
        </w:rPr>
      </w:pPr>
      <w:r w:rsidRPr="001B4CA2">
        <w:rPr>
          <w:snapToGrid w:val="0"/>
        </w:rPr>
        <w:tab/>
        <w:t>Zaključno, nema neuobičajenih odstupanja u strukturi izrečenih sankcija u promatranom izvještajnom razdoblju u odnosu na prethodno izvještajno razdoblje.</w:t>
      </w:r>
    </w:p>
    <w:p w14:paraId="4691A107" w14:textId="5BDB6DDF" w:rsidR="00C777B5" w:rsidRPr="001B4CA2" w:rsidRDefault="00C777B5" w:rsidP="00441872">
      <w:pPr>
        <w:widowControl w:val="0"/>
        <w:rPr>
          <w:snapToGrid w:val="0"/>
        </w:rPr>
      </w:pPr>
    </w:p>
    <w:p w14:paraId="0C12E62C" w14:textId="77777777" w:rsidR="00C777B5" w:rsidRPr="001B4CA2" w:rsidRDefault="00C777B5" w:rsidP="00441872">
      <w:pPr>
        <w:widowControl w:val="0"/>
        <w:rPr>
          <w:snapToGrid w:val="0"/>
        </w:rPr>
      </w:pPr>
    </w:p>
    <w:p w14:paraId="646BB7CF" w14:textId="364D6194" w:rsidR="00441872" w:rsidRPr="001B4CA2" w:rsidRDefault="00F861FF" w:rsidP="00441872">
      <w:pPr>
        <w:widowControl w:val="0"/>
        <w:rPr>
          <w:i/>
          <w:snapToGrid w:val="0"/>
        </w:rPr>
      </w:pPr>
      <w:r w:rsidRPr="001B4CA2">
        <w:rPr>
          <w:i/>
          <w:snapToGrid w:val="0"/>
        </w:rPr>
        <w:lastRenderedPageBreak/>
        <w:t xml:space="preserve"> </w:t>
      </w:r>
      <w:r w:rsidR="001B4CA2">
        <w:rPr>
          <w:i/>
          <w:snapToGrid w:val="0"/>
        </w:rPr>
        <w:tab/>
      </w:r>
      <w:r w:rsidR="00441872" w:rsidRPr="001B4CA2">
        <w:rPr>
          <w:i/>
          <w:snapToGrid w:val="0"/>
        </w:rPr>
        <w:t>Broj izrečenih sigurnosnih mjera</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126"/>
        <w:gridCol w:w="1417"/>
        <w:gridCol w:w="1138"/>
        <w:gridCol w:w="1227"/>
        <w:gridCol w:w="1227"/>
        <w:gridCol w:w="1228"/>
      </w:tblGrid>
      <w:tr w:rsidR="00441872" w:rsidRPr="001B4CA2" w14:paraId="7C942D5A" w14:textId="77777777" w:rsidTr="001D4F0F">
        <w:trPr>
          <w:trHeight w:val="1515"/>
        </w:trPr>
        <w:tc>
          <w:tcPr>
            <w:tcW w:w="1000" w:type="dxa"/>
            <w:shd w:val="clear" w:color="000000" w:fill="99CCFF"/>
            <w:noWrap/>
            <w:vAlign w:val="center"/>
            <w:hideMark/>
          </w:tcPr>
          <w:p w14:paraId="13776654" w14:textId="77777777" w:rsidR="00441872" w:rsidRPr="001B4CA2" w:rsidRDefault="00441872" w:rsidP="00CE2706">
            <w:pPr>
              <w:jc w:val="center"/>
              <w:rPr>
                <w:b/>
                <w:bCs/>
                <w:color w:val="000000"/>
                <w:sz w:val="18"/>
                <w:szCs w:val="18"/>
              </w:rPr>
            </w:pPr>
            <w:r w:rsidRPr="001B4CA2">
              <w:rPr>
                <w:b/>
                <w:bCs/>
                <w:color w:val="000000"/>
                <w:sz w:val="18"/>
                <w:szCs w:val="18"/>
              </w:rPr>
              <w:t>Godina</w:t>
            </w:r>
          </w:p>
        </w:tc>
        <w:tc>
          <w:tcPr>
            <w:tcW w:w="1126" w:type="dxa"/>
            <w:shd w:val="clear" w:color="000000" w:fill="99CCFF"/>
            <w:vAlign w:val="center"/>
            <w:hideMark/>
          </w:tcPr>
          <w:p w14:paraId="669D6E18" w14:textId="77777777" w:rsidR="00441872" w:rsidRPr="001B4CA2" w:rsidRDefault="00441872" w:rsidP="00CE2706">
            <w:pPr>
              <w:jc w:val="center"/>
              <w:rPr>
                <w:b/>
                <w:bCs/>
                <w:color w:val="000000"/>
                <w:sz w:val="18"/>
                <w:szCs w:val="18"/>
              </w:rPr>
            </w:pPr>
            <w:r w:rsidRPr="001B4CA2">
              <w:rPr>
                <w:b/>
                <w:bCs/>
                <w:color w:val="000000"/>
                <w:sz w:val="18"/>
                <w:szCs w:val="18"/>
              </w:rPr>
              <w:t>Obvezno liječenje od ovisnosti</w:t>
            </w:r>
          </w:p>
        </w:tc>
        <w:tc>
          <w:tcPr>
            <w:tcW w:w="1417" w:type="dxa"/>
            <w:shd w:val="clear" w:color="000000" w:fill="99CCFF"/>
            <w:vAlign w:val="center"/>
            <w:hideMark/>
          </w:tcPr>
          <w:p w14:paraId="409576CB" w14:textId="77777777" w:rsidR="00441872" w:rsidRPr="001B4CA2" w:rsidRDefault="00441872" w:rsidP="00CE2706">
            <w:pPr>
              <w:jc w:val="center"/>
              <w:rPr>
                <w:b/>
                <w:bCs/>
                <w:color w:val="000000"/>
                <w:sz w:val="18"/>
                <w:szCs w:val="18"/>
              </w:rPr>
            </w:pPr>
            <w:r w:rsidRPr="001B4CA2">
              <w:rPr>
                <w:b/>
                <w:bCs/>
                <w:color w:val="000000"/>
                <w:sz w:val="18"/>
                <w:szCs w:val="18"/>
              </w:rPr>
              <w:t>Obvezno psihijatrijsko liječenje</w:t>
            </w:r>
          </w:p>
        </w:tc>
        <w:tc>
          <w:tcPr>
            <w:tcW w:w="1138" w:type="dxa"/>
            <w:shd w:val="clear" w:color="000000" w:fill="99CCFF"/>
            <w:vAlign w:val="center"/>
            <w:hideMark/>
          </w:tcPr>
          <w:p w14:paraId="40FB2F0D" w14:textId="77777777" w:rsidR="00441872" w:rsidRPr="001B4CA2" w:rsidRDefault="00441872" w:rsidP="00CE2706">
            <w:pPr>
              <w:jc w:val="center"/>
              <w:rPr>
                <w:b/>
                <w:bCs/>
                <w:color w:val="000000"/>
                <w:sz w:val="18"/>
                <w:szCs w:val="18"/>
              </w:rPr>
            </w:pPr>
            <w:r w:rsidRPr="001B4CA2">
              <w:rPr>
                <w:b/>
                <w:bCs/>
                <w:color w:val="000000"/>
                <w:sz w:val="18"/>
                <w:szCs w:val="18"/>
              </w:rPr>
              <w:t>Zabrana obavljanja određene dužnosti ili djelatnosti</w:t>
            </w:r>
          </w:p>
        </w:tc>
        <w:tc>
          <w:tcPr>
            <w:tcW w:w="1227" w:type="dxa"/>
            <w:shd w:val="clear" w:color="000000" w:fill="99CCFF"/>
            <w:vAlign w:val="center"/>
            <w:hideMark/>
          </w:tcPr>
          <w:p w14:paraId="7F48CF60" w14:textId="77777777" w:rsidR="00441872" w:rsidRPr="001B4CA2" w:rsidRDefault="00441872" w:rsidP="00CE2706">
            <w:pPr>
              <w:jc w:val="center"/>
              <w:rPr>
                <w:b/>
                <w:bCs/>
                <w:color w:val="000000"/>
                <w:sz w:val="18"/>
                <w:szCs w:val="18"/>
              </w:rPr>
            </w:pPr>
            <w:r w:rsidRPr="001B4CA2">
              <w:rPr>
                <w:b/>
                <w:bCs/>
                <w:color w:val="000000"/>
                <w:sz w:val="18"/>
                <w:szCs w:val="18"/>
              </w:rPr>
              <w:t>Zabrana upravljanja motornim vozilom</w:t>
            </w:r>
          </w:p>
        </w:tc>
        <w:tc>
          <w:tcPr>
            <w:tcW w:w="1227" w:type="dxa"/>
            <w:shd w:val="clear" w:color="000000" w:fill="99CCFF"/>
            <w:vAlign w:val="center"/>
            <w:hideMark/>
          </w:tcPr>
          <w:p w14:paraId="274884EC" w14:textId="77777777" w:rsidR="00441872" w:rsidRPr="001B4CA2" w:rsidRDefault="00441872" w:rsidP="00CE2706">
            <w:pPr>
              <w:jc w:val="center"/>
              <w:rPr>
                <w:b/>
                <w:bCs/>
                <w:color w:val="000000"/>
                <w:sz w:val="18"/>
                <w:szCs w:val="18"/>
              </w:rPr>
            </w:pPr>
            <w:r w:rsidRPr="001B4CA2">
              <w:rPr>
                <w:b/>
                <w:bCs/>
                <w:color w:val="000000"/>
                <w:sz w:val="18"/>
                <w:szCs w:val="18"/>
              </w:rPr>
              <w:t>Druge sigurnosne mjere</w:t>
            </w:r>
          </w:p>
        </w:tc>
        <w:tc>
          <w:tcPr>
            <w:tcW w:w="1228" w:type="dxa"/>
            <w:shd w:val="clear" w:color="000000" w:fill="99CCFF"/>
            <w:vAlign w:val="center"/>
            <w:hideMark/>
          </w:tcPr>
          <w:p w14:paraId="24200CB4" w14:textId="77777777" w:rsidR="00441872" w:rsidRPr="001B4CA2" w:rsidRDefault="00441872" w:rsidP="00CE2706">
            <w:pPr>
              <w:jc w:val="center"/>
              <w:rPr>
                <w:b/>
                <w:bCs/>
                <w:color w:val="000000"/>
                <w:sz w:val="18"/>
                <w:szCs w:val="18"/>
              </w:rPr>
            </w:pPr>
            <w:r w:rsidRPr="001B4CA2">
              <w:rPr>
                <w:b/>
                <w:bCs/>
                <w:color w:val="000000"/>
                <w:sz w:val="18"/>
                <w:szCs w:val="18"/>
              </w:rPr>
              <w:t>Ukupno</w:t>
            </w:r>
          </w:p>
        </w:tc>
      </w:tr>
      <w:tr w:rsidR="00441872" w:rsidRPr="001B4CA2" w14:paraId="799B8FBC" w14:textId="77777777" w:rsidTr="001D4F0F">
        <w:trPr>
          <w:trHeight w:val="300"/>
        </w:trPr>
        <w:tc>
          <w:tcPr>
            <w:tcW w:w="1000" w:type="dxa"/>
            <w:shd w:val="clear" w:color="auto" w:fill="auto"/>
            <w:vAlign w:val="center"/>
            <w:hideMark/>
          </w:tcPr>
          <w:p w14:paraId="5B9CDF56" w14:textId="77777777" w:rsidR="00441872" w:rsidRPr="001B4CA2" w:rsidRDefault="00441872" w:rsidP="00CE2706">
            <w:pPr>
              <w:jc w:val="center"/>
              <w:rPr>
                <w:color w:val="000000"/>
                <w:sz w:val="18"/>
                <w:szCs w:val="18"/>
              </w:rPr>
            </w:pPr>
            <w:r w:rsidRPr="001B4CA2">
              <w:rPr>
                <w:color w:val="000000"/>
                <w:sz w:val="18"/>
                <w:szCs w:val="18"/>
              </w:rPr>
              <w:t>2018.</w:t>
            </w:r>
          </w:p>
        </w:tc>
        <w:tc>
          <w:tcPr>
            <w:tcW w:w="1126" w:type="dxa"/>
            <w:shd w:val="clear" w:color="auto" w:fill="auto"/>
            <w:noWrap/>
            <w:vAlign w:val="center"/>
            <w:hideMark/>
          </w:tcPr>
          <w:p w14:paraId="2C30DA02" w14:textId="77777777" w:rsidR="00441872" w:rsidRPr="001B4CA2" w:rsidRDefault="00441872" w:rsidP="00CE2706">
            <w:pPr>
              <w:jc w:val="center"/>
              <w:rPr>
                <w:color w:val="000000"/>
                <w:sz w:val="18"/>
                <w:szCs w:val="18"/>
              </w:rPr>
            </w:pPr>
            <w:r w:rsidRPr="001B4CA2">
              <w:rPr>
                <w:color w:val="000000"/>
                <w:sz w:val="18"/>
                <w:szCs w:val="18"/>
              </w:rPr>
              <w:t>289</w:t>
            </w:r>
          </w:p>
        </w:tc>
        <w:tc>
          <w:tcPr>
            <w:tcW w:w="1417" w:type="dxa"/>
            <w:shd w:val="clear" w:color="auto" w:fill="auto"/>
            <w:noWrap/>
            <w:vAlign w:val="center"/>
            <w:hideMark/>
          </w:tcPr>
          <w:p w14:paraId="69284A8D" w14:textId="77777777" w:rsidR="00441872" w:rsidRPr="001B4CA2" w:rsidRDefault="00441872" w:rsidP="00CE2706">
            <w:pPr>
              <w:jc w:val="center"/>
              <w:rPr>
                <w:color w:val="000000"/>
                <w:sz w:val="18"/>
                <w:szCs w:val="18"/>
              </w:rPr>
            </w:pPr>
            <w:r w:rsidRPr="001B4CA2">
              <w:rPr>
                <w:color w:val="000000"/>
                <w:sz w:val="18"/>
                <w:szCs w:val="18"/>
              </w:rPr>
              <w:t>143</w:t>
            </w:r>
          </w:p>
        </w:tc>
        <w:tc>
          <w:tcPr>
            <w:tcW w:w="1138" w:type="dxa"/>
            <w:shd w:val="clear" w:color="auto" w:fill="auto"/>
            <w:noWrap/>
            <w:vAlign w:val="center"/>
            <w:hideMark/>
          </w:tcPr>
          <w:p w14:paraId="49C0FC88" w14:textId="77777777" w:rsidR="00441872" w:rsidRPr="001B4CA2" w:rsidRDefault="00441872" w:rsidP="00CE2706">
            <w:pPr>
              <w:jc w:val="center"/>
              <w:rPr>
                <w:color w:val="000000"/>
                <w:sz w:val="18"/>
                <w:szCs w:val="18"/>
              </w:rPr>
            </w:pPr>
            <w:r w:rsidRPr="001B4CA2">
              <w:rPr>
                <w:color w:val="000000"/>
                <w:sz w:val="18"/>
                <w:szCs w:val="18"/>
              </w:rPr>
              <w:t>17</w:t>
            </w:r>
          </w:p>
        </w:tc>
        <w:tc>
          <w:tcPr>
            <w:tcW w:w="1227" w:type="dxa"/>
            <w:shd w:val="clear" w:color="auto" w:fill="auto"/>
            <w:noWrap/>
            <w:vAlign w:val="center"/>
            <w:hideMark/>
          </w:tcPr>
          <w:p w14:paraId="0BA4CA2C" w14:textId="77777777" w:rsidR="00441872" w:rsidRPr="001B4CA2" w:rsidRDefault="00441872" w:rsidP="00CE2706">
            <w:pPr>
              <w:jc w:val="center"/>
              <w:rPr>
                <w:color w:val="000000"/>
                <w:sz w:val="18"/>
                <w:szCs w:val="18"/>
              </w:rPr>
            </w:pPr>
            <w:r w:rsidRPr="001B4CA2">
              <w:rPr>
                <w:color w:val="000000"/>
                <w:sz w:val="18"/>
                <w:szCs w:val="18"/>
              </w:rPr>
              <w:t>107</w:t>
            </w:r>
          </w:p>
        </w:tc>
        <w:tc>
          <w:tcPr>
            <w:tcW w:w="1227" w:type="dxa"/>
            <w:shd w:val="clear" w:color="auto" w:fill="auto"/>
            <w:noWrap/>
            <w:vAlign w:val="center"/>
            <w:hideMark/>
          </w:tcPr>
          <w:p w14:paraId="4BECA884" w14:textId="77777777" w:rsidR="00441872" w:rsidRPr="001B4CA2" w:rsidRDefault="00441872" w:rsidP="00CE2706">
            <w:pPr>
              <w:jc w:val="center"/>
              <w:rPr>
                <w:color w:val="000000"/>
                <w:sz w:val="18"/>
                <w:szCs w:val="18"/>
              </w:rPr>
            </w:pPr>
            <w:r w:rsidRPr="001B4CA2">
              <w:rPr>
                <w:color w:val="000000"/>
                <w:sz w:val="18"/>
                <w:szCs w:val="18"/>
              </w:rPr>
              <w:t>79</w:t>
            </w:r>
          </w:p>
        </w:tc>
        <w:tc>
          <w:tcPr>
            <w:tcW w:w="1228" w:type="dxa"/>
            <w:shd w:val="clear" w:color="auto" w:fill="auto"/>
            <w:noWrap/>
            <w:vAlign w:val="center"/>
            <w:hideMark/>
          </w:tcPr>
          <w:p w14:paraId="5109A213" w14:textId="77777777" w:rsidR="00441872" w:rsidRPr="001B4CA2" w:rsidRDefault="00441872" w:rsidP="00CE2706">
            <w:pPr>
              <w:jc w:val="center"/>
              <w:rPr>
                <w:color w:val="000000"/>
                <w:sz w:val="18"/>
                <w:szCs w:val="18"/>
              </w:rPr>
            </w:pPr>
            <w:r w:rsidRPr="001B4CA2">
              <w:rPr>
                <w:color w:val="000000"/>
                <w:sz w:val="18"/>
                <w:szCs w:val="18"/>
              </w:rPr>
              <w:t>635</w:t>
            </w:r>
          </w:p>
        </w:tc>
      </w:tr>
      <w:tr w:rsidR="00441872" w:rsidRPr="001B4CA2" w14:paraId="5C5CE002" w14:textId="77777777" w:rsidTr="001D4F0F">
        <w:trPr>
          <w:trHeight w:val="300"/>
        </w:trPr>
        <w:tc>
          <w:tcPr>
            <w:tcW w:w="1000" w:type="dxa"/>
            <w:shd w:val="clear" w:color="auto" w:fill="auto"/>
            <w:vAlign w:val="center"/>
            <w:hideMark/>
          </w:tcPr>
          <w:p w14:paraId="5FE62185" w14:textId="77777777" w:rsidR="00441872" w:rsidRPr="001B4CA2" w:rsidRDefault="00441872" w:rsidP="00CE2706">
            <w:pPr>
              <w:jc w:val="center"/>
              <w:rPr>
                <w:color w:val="000000"/>
                <w:sz w:val="18"/>
                <w:szCs w:val="18"/>
              </w:rPr>
            </w:pPr>
            <w:r w:rsidRPr="001B4CA2">
              <w:rPr>
                <w:color w:val="000000"/>
                <w:sz w:val="18"/>
                <w:szCs w:val="18"/>
              </w:rPr>
              <w:t>2019.</w:t>
            </w:r>
          </w:p>
        </w:tc>
        <w:tc>
          <w:tcPr>
            <w:tcW w:w="1126" w:type="dxa"/>
            <w:shd w:val="clear" w:color="auto" w:fill="auto"/>
            <w:noWrap/>
            <w:vAlign w:val="center"/>
            <w:hideMark/>
          </w:tcPr>
          <w:p w14:paraId="1AA0DFD5" w14:textId="77777777" w:rsidR="00441872" w:rsidRPr="001B4CA2" w:rsidRDefault="00441872" w:rsidP="00CE2706">
            <w:pPr>
              <w:jc w:val="center"/>
              <w:rPr>
                <w:color w:val="000000"/>
                <w:sz w:val="18"/>
                <w:szCs w:val="18"/>
              </w:rPr>
            </w:pPr>
            <w:r w:rsidRPr="001B4CA2">
              <w:rPr>
                <w:color w:val="000000"/>
                <w:sz w:val="18"/>
                <w:szCs w:val="18"/>
              </w:rPr>
              <w:t>320</w:t>
            </w:r>
          </w:p>
        </w:tc>
        <w:tc>
          <w:tcPr>
            <w:tcW w:w="1417" w:type="dxa"/>
            <w:shd w:val="clear" w:color="auto" w:fill="auto"/>
            <w:noWrap/>
            <w:vAlign w:val="center"/>
            <w:hideMark/>
          </w:tcPr>
          <w:p w14:paraId="28B7B32A" w14:textId="77777777" w:rsidR="00441872" w:rsidRPr="001B4CA2" w:rsidRDefault="00441872" w:rsidP="00CE2706">
            <w:pPr>
              <w:jc w:val="center"/>
              <w:rPr>
                <w:color w:val="000000"/>
                <w:sz w:val="18"/>
                <w:szCs w:val="18"/>
              </w:rPr>
            </w:pPr>
            <w:r w:rsidRPr="001B4CA2">
              <w:rPr>
                <w:color w:val="000000"/>
                <w:sz w:val="18"/>
                <w:szCs w:val="18"/>
              </w:rPr>
              <w:t>155</w:t>
            </w:r>
          </w:p>
        </w:tc>
        <w:tc>
          <w:tcPr>
            <w:tcW w:w="1138" w:type="dxa"/>
            <w:shd w:val="clear" w:color="auto" w:fill="auto"/>
            <w:noWrap/>
            <w:vAlign w:val="center"/>
            <w:hideMark/>
          </w:tcPr>
          <w:p w14:paraId="2A61225C" w14:textId="77777777" w:rsidR="00441872" w:rsidRPr="001B4CA2" w:rsidRDefault="00441872" w:rsidP="00CE2706">
            <w:pPr>
              <w:jc w:val="center"/>
              <w:rPr>
                <w:color w:val="000000"/>
                <w:sz w:val="18"/>
                <w:szCs w:val="18"/>
              </w:rPr>
            </w:pPr>
            <w:r w:rsidRPr="001B4CA2">
              <w:rPr>
                <w:color w:val="000000"/>
                <w:sz w:val="18"/>
                <w:szCs w:val="18"/>
              </w:rPr>
              <w:t>12</w:t>
            </w:r>
          </w:p>
        </w:tc>
        <w:tc>
          <w:tcPr>
            <w:tcW w:w="1227" w:type="dxa"/>
            <w:shd w:val="clear" w:color="auto" w:fill="auto"/>
            <w:noWrap/>
            <w:vAlign w:val="center"/>
            <w:hideMark/>
          </w:tcPr>
          <w:p w14:paraId="6B6FDD90" w14:textId="77777777" w:rsidR="00441872" w:rsidRPr="001B4CA2" w:rsidRDefault="00441872" w:rsidP="00CE2706">
            <w:pPr>
              <w:jc w:val="center"/>
              <w:rPr>
                <w:color w:val="000000"/>
                <w:sz w:val="18"/>
                <w:szCs w:val="18"/>
              </w:rPr>
            </w:pPr>
            <w:r w:rsidRPr="001B4CA2">
              <w:rPr>
                <w:color w:val="000000"/>
                <w:sz w:val="18"/>
                <w:szCs w:val="18"/>
              </w:rPr>
              <w:t>111</w:t>
            </w:r>
          </w:p>
        </w:tc>
        <w:tc>
          <w:tcPr>
            <w:tcW w:w="1227" w:type="dxa"/>
            <w:shd w:val="clear" w:color="auto" w:fill="auto"/>
            <w:noWrap/>
            <w:vAlign w:val="center"/>
            <w:hideMark/>
          </w:tcPr>
          <w:p w14:paraId="3D93DBB8" w14:textId="77777777" w:rsidR="00441872" w:rsidRPr="001B4CA2" w:rsidRDefault="00441872" w:rsidP="00CE2706">
            <w:pPr>
              <w:jc w:val="center"/>
              <w:rPr>
                <w:color w:val="000000"/>
                <w:sz w:val="18"/>
                <w:szCs w:val="18"/>
              </w:rPr>
            </w:pPr>
            <w:r w:rsidRPr="001B4CA2">
              <w:rPr>
                <w:color w:val="000000"/>
                <w:sz w:val="18"/>
                <w:szCs w:val="18"/>
              </w:rPr>
              <w:t>79</w:t>
            </w:r>
          </w:p>
        </w:tc>
        <w:tc>
          <w:tcPr>
            <w:tcW w:w="1228" w:type="dxa"/>
            <w:shd w:val="clear" w:color="auto" w:fill="auto"/>
            <w:noWrap/>
            <w:vAlign w:val="center"/>
            <w:hideMark/>
          </w:tcPr>
          <w:p w14:paraId="6C60E5CD" w14:textId="77777777" w:rsidR="00441872" w:rsidRPr="001B4CA2" w:rsidRDefault="00441872" w:rsidP="00CE2706">
            <w:pPr>
              <w:jc w:val="center"/>
              <w:rPr>
                <w:color w:val="000000"/>
                <w:sz w:val="18"/>
                <w:szCs w:val="18"/>
              </w:rPr>
            </w:pPr>
            <w:r w:rsidRPr="001B4CA2">
              <w:rPr>
                <w:color w:val="000000"/>
                <w:sz w:val="18"/>
                <w:szCs w:val="18"/>
              </w:rPr>
              <w:t>677</w:t>
            </w:r>
          </w:p>
        </w:tc>
      </w:tr>
      <w:tr w:rsidR="00441872" w:rsidRPr="001B4CA2" w14:paraId="79E4C5F6" w14:textId="77777777" w:rsidTr="001D4F0F">
        <w:trPr>
          <w:trHeight w:val="300"/>
        </w:trPr>
        <w:tc>
          <w:tcPr>
            <w:tcW w:w="1000" w:type="dxa"/>
            <w:shd w:val="clear" w:color="auto" w:fill="auto"/>
            <w:vAlign w:val="center"/>
            <w:hideMark/>
          </w:tcPr>
          <w:p w14:paraId="720A945A" w14:textId="77777777" w:rsidR="00441872" w:rsidRPr="001B4CA2" w:rsidRDefault="00441872" w:rsidP="00CE2706">
            <w:pPr>
              <w:jc w:val="center"/>
              <w:rPr>
                <w:color w:val="000000"/>
                <w:sz w:val="18"/>
                <w:szCs w:val="18"/>
              </w:rPr>
            </w:pPr>
            <w:r w:rsidRPr="001B4CA2">
              <w:rPr>
                <w:color w:val="000000"/>
                <w:sz w:val="18"/>
                <w:szCs w:val="18"/>
              </w:rPr>
              <w:t>2020.</w:t>
            </w:r>
          </w:p>
        </w:tc>
        <w:tc>
          <w:tcPr>
            <w:tcW w:w="1126" w:type="dxa"/>
            <w:shd w:val="clear" w:color="auto" w:fill="auto"/>
            <w:noWrap/>
            <w:vAlign w:val="center"/>
            <w:hideMark/>
          </w:tcPr>
          <w:p w14:paraId="1AEA228E" w14:textId="77777777" w:rsidR="00441872" w:rsidRPr="001B4CA2" w:rsidRDefault="00441872" w:rsidP="00CE2706">
            <w:pPr>
              <w:jc w:val="center"/>
              <w:rPr>
                <w:color w:val="000000"/>
                <w:sz w:val="18"/>
                <w:szCs w:val="18"/>
              </w:rPr>
            </w:pPr>
            <w:r w:rsidRPr="001B4CA2">
              <w:rPr>
                <w:color w:val="000000"/>
                <w:sz w:val="18"/>
                <w:szCs w:val="18"/>
              </w:rPr>
              <w:t>321</w:t>
            </w:r>
          </w:p>
        </w:tc>
        <w:tc>
          <w:tcPr>
            <w:tcW w:w="1417" w:type="dxa"/>
            <w:shd w:val="clear" w:color="auto" w:fill="auto"/>
            <w:noWrap/>
            <w:vAlign w:val="center"/>
            <w:hideMark/>
          </w:tcPr>
          <w:p w14:paraId="233C5DC1" w14:textId="77777777" w:rsidR="00441872" w:rsidRPr="001B4CA2" w:rsidRDefault="00441872" w:rsidP="00CE2706">
            <w:pPr>
              <w:jc w:val="center"/>
              <w:rPr>
                <w:color w:val="000000"/>
                <w:sz w:val="18"/>
                <w:szCs w:val="18"/>
              </w:rPr>
            </w:pPr>
            <w:r w:rsidRPr="001B4CA2">
              <w:rPr>
                <w:color w:val="000000"/>
                <w:sz w:val="18"/>
                <w:szCs w:val="18"/>
              </w:rPr>
              <w:t>220</w:t>
            </w:r>
          </w:p>
        </w:tc>
        <w:tc>
          <w:tcPr>
            <w:tcW w:w="1138" w:type="dxa"/>
            <w:shd w:val="clear" w:color="auto" w:fill="auto"/>
            <w:noWrap/>
            <w:vAlign w:val="center"/>
            <w:hideMark/>
          </w:tcPr>
          <w:p w14:paraId="5DE5897B" w14:textId="77777777" w:rsidR="00441872" w:rsidRPr="001B4CA2" w:rsidRDefault="00441872" w:rsidP="00CE2706">
            <w:pPr>
              <w:jc w:val="center"/>
              <w:rPr>
                <w:color w:val="000000"/>
                <w:sz w:val="18"/>
                <w:szCs w:val="18"/>
              </w:rPr>
            </w:pPr>
            <w:r w:rsidRPr="001B4CA2">
              <w:rPr>
                <w:color w:val="000000"/>
                <w:sz w:val="18"/>
                <w:szCs w:val="18"/>
              </w:rPr>
              <w:t>7</w:t>
            </w:r>
          </w:p>
        </w:tc>
        <w:tc>
          <w:tcPr>
            <w:tcW w:w="1227" w:type="dxa"/>
            <w:shd w:val="clear" w:color="auto" w:fill="auto"/>
            <w:noWrap/>
            <w:vAlign w:val="center"/>
            <w:hideMark/>
          </w:tcPr>
          <w:p w14:paraId="49D821C1" w14:textId="77777777" w:rsidR="00441872" w:rsidRPr="001B4CA2" w:rsidRDefault="00441872" w:rsidP="00CE2706">
            <w:pPr>
              <w:jc w:val="center"/>
              <w:rPr>
                <w:color w:val="000000"/>
                <w:sz w:val="18"/>
                <w:szCs w:val="18"/>
              </w:rPr>
            </w:pPr>
            <w:r w:rsidRPr="001B4CA2">
              <w:rPr>
                <w:color w:val="000000"/>
                <w:sz w:val="18"/>
                <w:szCs w:val="18"/>
              </w:rPr>
              <w:t>71</w:t>
            </w:r>
          </w:p>
        </w:tc>
        <w:tc>
          <w:tcPr>
            <w:tcW w:w="1227" w:type="dxa"/>
            <w:shd w:val="clear" w:color="auto" w:fill="auto"/>
            <w:noWrap/>
            <w:vAlign w:val="center"/>
            <w:hideMark/>
          </w:tcPr>
          <w:p w14:paraId="0393BC70" w14:textId="77777777" w:rsidR="00441872" w:rsidRPr="001B4CA2" w:rsidRDefault="00441872" w:rsidP="00CE2706">
            <w:pPr>
              <w:jc w:val="center"/>
              <w:rPr>
                <w:color w:val="000000"/>
                <w:sz w:val="18"/>
                <w:szCs w:val="18"/>
              </w:rPr>
            </w:pPr>
            <w:r w:rsidRPr="001B4CA2">
              <w:rPr>
                <w:color w:val="000000"/>
                <w:sz w:val="18"/>
                <w:szCs w:val="18"/>
              </w:rPr>
              <w:t>267</w:t>
            </w:r>
          </w:p>
        </w:tc>
        <w:tc>
          <w:tcPr>
            <w:tcW w:w="1228" w:type="dxa"/>
            <w:shd w:val="clear" w:color="auto" w:fill="auto"/>
            <w:noWrap/>
            <w:vAlign w:val="center"/>
            <w:hideMark/>
          </w:tcPr>
          <w:p w14:paraId="55B0C790" w14:textId="77777777" w:rsidR="00441872" w:rsidRPr="001B4CA2" w:rsidRDefault="00441872" w:rsidP="00CE2706">
            <w:pPr>
              <w:jc w:val="center"/>
              <w:rPr>
                <w:color w:val="000000"/>
                <w:sz w:val="18"/>
                <w:szCs w:val="18"/>
              </w:rPr>
            </w:pPr>
            <w:r w:rsidRPr="001B4CA2">
              <w:rPr>
                <w:color w:val="000000"/>
                <w:sz w:val="18"/>
                <w:szCs w:val="18"/>
              </w:rPr>
              <w:t>886</w:t>
            </w:r>
          </w:p>
        </w:tc>
      </w:tr>
      <w:tr w:rsidR="00441872" w:rsidRPr="001B4CA2" w14:paraId="6BCD5D88" w14:textId="77777777" w:rsidTr="001D4F0F">
        <w:trPr>
          <w:trHeight w:val="300"/>
        </w:trPr>
        <w:tc>
          <w:tcPr>
            <w:tcW w:w="1000" w:type="dxa"/>
            <w:shd w:val="clear" w:color="auto" w:fill="auto"/>
            <w:vAlign w:val="center"/>
            <w:hideMark/>
          </w:tcPr>
          <w:p w14:paraId="588B68B9" w14:textId="77777777" w:rsidR="00441872" w:rsidRPr="001B4CA2" w:rsidRDefault="00441872" w:rsidP="00CE2706">
            <w:pPr>
              <w:jc w:val="center"/>
              <w:rPr>
                <w:color w:val="000000"/>
                <w:sz w:val="18"/>
                <w:szCs w:val="18"/>
              </w:rPr>
            </w:pPr>
            <w:r w:rsidRPr="001B4CA2">
              <w:rPr>
                <w:color w:val="000000"/>
                <w:sz w:val="18"/>
                <w:szCs w:val="18"/>
              </w:rPr>
              <w:t>2021.</w:t>
            </w:r>
          </w:p>
        </w:tc>
        <w:tc>
          <w:tcPr>
            <w:tcW w:w="1126" w:type="dxa"/>
            <w:shd w:val="clear" w:color="auto" w:fill="auto"/>
            <w:noWrap/>
            <w:vAlign w:val="center"/>
            <w:hideMark/>
          </w:tcPr>
          <w:p w14:paraId="773D72DF" w14:textId="77777777" w:rsidR="00441872" w:rsidRPr="001B4CA2" w:rsidRDefault="00441872" w:rsidP="00CE2706">
            <w:pPr>
              <w:jc w:val="center"/>
              <w:rPr>
                <w:color w:val="000000"/>
                <w:sz w:val="18"/>
                <w:szCs w:val="18"/>
              </w:rPr>
            </w:pPr>
            <w:r w:rsidRPr="001B4CA2">
              <w:rPr>
                <w:color w:val="000000"/>
                <w:sz w:val="18"/>
                <w:szCs w:val="18"/>
              </w:rPr>
              <w:t>427</w:t>
            </w:r>
          </w:p>
        </w:tc>
        <w:tc>
          <w:tcPr>
            <w:tcW w:w="1417" w:type="dxa"/>
            <w:shd w:val="clear" w:color="auto" w:fill="auto"/>
            <w:noWrap/>
            <w:vAlign w:val="center"/>
            <w:hideMark/>
          </w:tcPr>
          <w:p w14:paraId="0B6CC3E9" w14:textId="77777777" w:rsidR="00441872" w:rsidRPr="001B4CA2" w:rsidRDefault="00441872" w:rsidP="00CE2706">
            <w:pPr>
              <w:jc w:val="center"/>
              <w:rPr>
                <w:color w:val="000000"/>
                <w:sz w:val="18"/>
                <w:szCs w:val="18"/>
              </w:rPr>
            </w:pPr>
            <w:r w:rsidRPr="001B4CA2">
              <w:rPr>
                <w:color w:val="000000"/>
                <w:sz w:val="18"/>
                <w:szCs w:val="18"/>
              </w:rPr>
              <w:t>295</w:t>
            </w:r>
          </w:p>
        </w:tc>
        <w:tc>
          <w:tcPr>
            <w:tcW w:w="1138" w:type="dxa"/>
            <w:shd w:val="clear" w:color="auto" w:fill="auto"/>
            <w:noWrap/>
            <w:vAlign w:val="center"/>
            <w:hideMark/>
          </w:tcPr>
          <w:p w14:paraId="66A46E86" w14:textId="77777777" w:rsidR="00441872" w:rsidRPr="001B4CA2" w:rsidRDefault="00441872" w:rsidP="00CE2706">
            <w:pPr>
              <w:jc w:val="center"/>
              <w:rPr>
                <w:color w:val="000000"/>
                <w:sz w:val="18"/>
                <w:szCs w:val="18"/>
              </w:rPr>
            </w:pPr>
            <w:r w:rsidRPr="001B4CA2">
              <w:rPr>
                <w:color w:val="000000"/>
                <w:sz w:val="18"/>
                <w:szCs w:val="18"/>
              </w:rPr>
              <w:t>15</w:t>
            </w:r>
          </w:p>
        </w:tc>
        <w:tc>
          <w:tcPr>
            <w:tcW w:w="1227" w:type="dxa"/>
            <w:shd w:val="clear" w:color="auto" w:fill="auto"/>
            <w:noWrap/>
            <w:vAlign w:val="center"/>
            <w:hideMark/>
          </w:tcPr>
          <w:p w14:paraId="4D310350" w14:textId="77777777" w:rsidR="00441872" w:rsidRPr="001B4CA2" w:rsidRDefault="00441872" w:rsidP="00CE2706">
            <w:pPr>
              <w:jc w:val="center"/>
              <w:rPr>
                <w:color w:val="000000"/>
                <w:sz w:val="18"/>
                <w:szCs w:val="18"/>
              </w:rPr>
            </w:pPr>
            <w:r w:rsidRPr="001B4CA2">
              <w:rPr>
                <w:color w:val="000000"/>
                <w:sz w:val="18"/>
                <w:szCs w:val="18"/>
              </w:rPr>
              <w:t>128</w:t>
            </w:r>
          </w:p>
        </w:tc>
        <w:tc>
          <w:tcPr>
            <w:tcW w:w="1227" w:type="dxa"/>
            <w:shd w:val="clear" w:color="auto" w:fill="auto"/>
            <w:noWrap/>
            <w:vAlign w:val="center"/>
            <w:hideMark/>
          </w:tcPr>
          <w:p w14:paraId="6C58FED5" w14:textId="77777777" w:rsidR="00441872" w:rsidRPr="001B4CA2" w:rsidRDefault="00441872" w:rsidP="00CE2706">
            <w:pPr>
              <w:jc w:val="center"/>
              <w:rPr>
                <w:color w:val="000000"/>
                <w:sz w:val="18"/>
                <w:szCs w:val="18"/>
              </w:rPr>
            </w:pPr>
            <w:r w:rsidRPr="001B4CA2">
              <w:rPr>
                <w:color w:val="000000"/>
                <w:sz w:val="18"/>
                <w:szCs w:val="18"/>
              </w:rPr>
              <w:t>309</w:t>
            </w:r>
          </w:p>
        </w:tc>
        <w:tc>
          <w:tcPr>
            <w:tcW w:w="1228" w:type="dxa"/>
            <w:shd w:val="clear" w:color="auto" w:fill="auto"/>
            <w:noWrap/>
            <w:vAlign w:val="center"/>
            <w:hideMark/>
          </w:tcPr>
          <w:p w14:paraId="2D352B5D" w14:textId="77777777" w:rsidR="00441872" w:rsidRPr="001B4CA2" w:rsidRDefault="00441872" w:rsidP="00CE2706">
            <w:pPr>
              <w:jc w:val="center"/>
              <w:rPr>
                <w:color w:val="000000"/>
                <w:sz w:val="18"/>
                <w:szCs w:val="18"/>
              </w:rPr>
            </w:pPr>
            <w:r w:rsidRPr="001B4CA2">
              <w:rPr>
                <w:color w:val="000000"/>
                <w:sz w:val="18"/>
                <w:szCs w:val="18"/>
              </w:rPr>
              <w:t>1.174</w:t>
            </w:r>
          </w:p>
        </w:tc>
      </w:tr>
      <w:tr w:rsidR="00441872" w:rsidRPr="001B4CA2" w14:paraId="2A981727" w14:textId="77777777" w:rsidTr="001D4F0F">
        <w:trPr>
          <w:trHeight w:val="300"/>
        </w:trPr>
        <w:tc>
          <w:tcPr>
            <w:tcW w:w="1000" w:type="dxa"/>
            <w:shd w:val="clear" w:color="auto" w:fill="auto"/>
            <w:vAlign w:val="center"/>
            <w:hideMark/>
          </w:tcPr>
          <w:p w14:paraId="408A26F0" w14:textId="77777777" w:rsidR="00441872" w:rsidRPr="001B4CA2" w:rsidRDefault="00441872" w:rsidP="00CE2706">
            <w:pPr>
              <w:jc w:val="center"/>
              <w:rPr>
                <w:color w:val="000000"/>
                <w:sz w:val="18"/>
                <w:szCs w:val="18"/>
              </w:rPr>
            </w:pPr>
            <w:r w:rsidRPr="001B4CA2">
              <w:rPr>
                <w:color w:val="000000"/>
                <w:sz w:val="18"/>
                <w:szCs w:val="18"/>
              </w:rPr>
              <w:t>2022.</w:t>
            </w:r>
          </w:p>
        </w:tc>
        <w:tc>
          <w:tcPr>
            <w:tcW w:w="1126" w:type="dxa"/>
            <w:shd w:val="clear" w:color="auto" w:fill="auto"/>
            <w:noWrap/>
            <w:vAlign w:val="center"/>
            <w:hideMark/>
          </w:tcPr>
          <w:p w14:paraId="0F049AD5" w14:textId="77777777" w:rsidR="00441872" w:rsidRPr="001B4CA2" w:rsidRDefault="00441872" w:rsidP="00CE2706">
            <w:pPr>
              <w:jc w:val="center"/>
              <w:rPr>
                <w:color w:val="000000"/>
                <w:sz w:val="18"/>
                <w:szCs w:val="18"/>
              </w:rPr>
            </w:pPr>
            <w:r w:rsidRPr="001B4CA2">
              <w:rPr>
                <w:color w:val="000000"/>
                <w:sz w:val="18"/>
                <w:szCs w:val="18"/>
              </w:rPr>
              <w:t>495</w:t>
            </w:r>
          </w:p>
        </w:tc>
        <w:tc>
          <w:tcPr>
            <w:tcW w:w="1417" w:type="dxa"/>
            <w:shd w:val="clear" w:color="auto" w:fill="auto"/>
            <w:noWrap/>
            <w:vAlign w:val="center"/>
            <w:hideMark/>
          </w:tcPr>
          <w:p w14:paraId="3EB4A875" w14:textId="77777777" w:rsidR="00441872" w:rsidRPr="001B4CA2" w:rsidRDefault="00441872" w:rsidP="00CE2706">
            <w:pPr>
              <w:jc w:val="center"/>
              <w:rPr>
                <w:color w:val="000000"/>
                <w:sz w:val="18"/>
                <w:szCs w:val="18"/>
              </w:rPr>
            </w:pPr>
            <w:r w:rsidRPr="001B4CA2">
              <w:rPr>
                <w:color w:val="000000"/>
                <w:sz w:val="18"/>
                <w:szCs w:val="18"/>
              </w:rPr>
              <w:t>393</w:t>
            </w:r>
          </w:p>
        </w:tc>
        <w:tc>
          <w:tcPr>
            <w:tcW w:w="1138" w:type="dxa"/>
            <w:shd w:val="clear" w:color="auto" w:fill="auto"/>
            <w:noWrap/>
            <w:vAlign w:val="center"/>
            <w:hideMark/>
          </w:tcPr>
          <w:p w14:paraId="33AF6A7E" w14:textId="77777777" w:rsidR="00441872" w:rsidRPr="001B4CA2" w:rsidRDefault="00441872" w:rsidP="00CE2706">
            <w:pPr>
              <w:jc w:val="center"/>
              <w:rPr>
                <w:color w:val="000000"/>
                <w:sz w:val="18"/>
                <w:szCs w:val="18"/>
              </w:rPr>
            </w:pPr>
            <w:r w:rsidRPr="001B4CA2">
              <w:rPr>
                <w:color w:val="000000"/>
                <w:sz w:val="18"/>
                <w:szCs w:val="18"/>
              </w:rPr>
              <w:t>28</w:t>
            </w:r>
          </w:p>
        </w:tc>
        <w:tc>
          <w:tcPr>
            <w:tcW w:w="1227" w:type="dxa"/>
            <w:shd w:val="clear" w:color="auto" w:fill="auto"/>
            <w:noWrap/>
            <w:vAlign w:val="center"/>
            <w:hideMark/>
          </w:tcPr>
          <w:p w14:paraId="6B954361" w14:textId="77777777" w:rsidR="00441872" w:rsidRPr="001B4CA2" w:rsidRDefault="00441872" w:rsidP="00CE2706">
            <w:pPr>
              <w:jc w:val="center"/>
              <w:rPr>
                <w:color w:val="000000"/>
                <w:sz w:val="18"/>
                <w:szCs w:val="18"/>
              </w:rPr>
            </w:pPr>
            <w:r w:rsidRPr="001B4CA2">
              <w:rPr>
                <w:color w:val="000000"/>
                <w:sz w:val="18"/>
                <w:szCs w:val="18"/>
              </w:rPr>
              <w:t>107</w:t>
            </w:r>
          </w:p>
        </w:tc>
        <w:tc>
          <w:tcPr>
            <w:tcW w:w="1227" w:type="dxa"/>
            <w:shd w:val="clear" w:color="auto" w:fill="auto"/>
            <w:noWrap/>
            <w:vAlign w:val="center"/>
            <w:hideMark/>
          </w:tcPr>
          <w:p w14:paraId="5846D7BF" w14:textId="77777777" w:rsidR="00441872" w:rsidRPr="001B4CA2" w:rsidRDefault="00441872" w:rsidP="00CE2706">
            <w:pPr>
              <w:jc w:val="center"/>
              <w:rPr>
                <w:color w:val="000000"/>
                <w:sz w:val="18"/>
                <w:szCs w:val="18"/>
              </w:rPr>
            </w:pPr>
            <w:r w:rsidRPr="001B4CA2">
              <w:rPr>
                <w:color w:val="000000"/>
                <w:sz w:val="18"/>
                <w:szCs w:val="18"/>
              </w:rPr>
              <w:t>407</w:t>
            </w:r>
          </w:p>
        </w:tc>
        <w:tc>
          <w:tcPr>
            <w:tcW w:w="1228" w:type="dxa"/>
            <w:shd w:val="clear" w:color="auto" w:fill="auto"/>
            <w:noWrap/>
            <w:vAlign w:val="center"/>
            <w:hideMark/>
          </w:tcPr>
          <w:p w14:paraId="30CFAFCD" w14:textId="77777777" w:rsidR="00441872" w:rsidRPr="001B4CA2" w:rsidRDefault="00441872" w:rsidP="00CE2706">
            <w:pPr>
              <w:jc w:val="center"/>
              <w:rPr>
                <w:color w:val="000000"/>
                <w:sz w:val="18"/>
                <w:szCs w:val="18"/>
              </w:rPr>
            </w:pPr>
            <w:r w:rsidRPr="001B4CA2">
              <w:rPr>
                <w:color w:val="000000"/>
                <w:sz w:val="18"/>
                <w:szCs w:val="18"/>
              </w:rPr>
              <w:t>1.430</w:t>
            </w:r>
          </w:p>
        </w:tc>
      </w:tr>
    </w:tbl>
    <w:p w14:paraId="1789BB5B" w14:textId="77777777" w:rsidR="00441872" w:rsidRPr="001B4CA2" w:rsidRDefault="00441872" w:rsidP="00441872">
      <w:pPr>
        <w:widowControl w:val="0"/>
        <w:rPr>
          <w:b/>
          <w:snapToGrid w:val="0"/>
        </w:rPr>
      </w:pPr>
    </w:p>
    <w:p w14:paraId="19E53FD8" w14:textId="23DCDDD7" w:rsidR="00441872" w:rsidRPr="001B4CA2" w:rsidRDefault="00441872" w:rsidP="00441872">
      <w:pPr>
        <w:widowControl w:val="0"/>
        <w:ind w:firstLine="720"/>
        <w:rPr>
          <w:snapToGrid w:val="0"/>
        </w:rPr>
      </w:pPr>
      <w:r w:rsidRPr="001B4CA2">
        <w:rPr>
          <w:snapToGrid w:val="0"/>
        </w:rPr>
        <w:t xml:space="preserve">Sigurnosne mjere počiniteljima kaznenih djela izriču se uz sankcije sa svrhom otklanjanja okolnosti koje omogućuju ili poticajno djeluju na počinjenje novog kaznenog djela. Uz sankcije, sigurnosne mjere izrečene </w:t>
      </w:r>
      <w:r w:rsidR="00A67909" w:rsidRPr="001B4CA2">
        <w:rPr>
          <w:snapToGrid w:val="0"/>
        </w:rPr>
        <w:t xml:space="preserve">su </w:t>
      </w:r>
      <w:r w:rsidRPr="001B4CA2">
        <w:rPr>
          <w:snapToGrid w:val="0"/>
        </w:rPr>
        <w:t>u odnosu na 1.430 počinitelja</w:t>
      </w:r>
      <w:r w:rsidR="00A67909">
        <w:rPr>
          <w:snapToGrid w:val="0"/>
        </w:rPr>
        <w:t>,</w:t>
      </w:r>
      <w:r w:rsidRPr="001B4CA2">
        <w:rPr>
          <w:snapToGrid w:val="0"/>
        </w:rPr>
        <w:t xml:space="preserve"> odnosno uz 9,21</w:t>
      </w:r>
      <w:r w:rsidR="00A67909">
        <w:rPr>
          <w:snapToGrid w:val="0"/>
        </w:rPr>
        <w:t> </w:t>
      </w:r>
      <w:r w:rsidRPr="001B4CA2">
        <w:rPr>
          <w:snapToGrid w:val="0"/>
        </w:rPr>
        <w:t>% izrečenih sankcija, što predstavlja porast od 17,91</w:t>
      </w:r>
      <w:r w:rsidR="00A67909">
        <w:rPr>
          <w:snapToGrid w:val="0"/>
        </w:rPr>
        <w:t> </w:t>
      </w:r>
      <w:r w:rsidRPr="001B4CA2">
        <w:rPr>
          <w:snapToGrid w:val="0"/>
        </w:rPr>
        <w:t>% u odnos</w:t>
      </w:r>
      <w:r w:rsidR="00A67909">
        <w:rPr>
          <w:snapToGrid w:val="0"/>
        </w:rPr>
        <w:t>u</w:t>
      </w:r>
      <w:r w:rsidRPr="001B4CA2">
        <w:rPr>
          <w:snapToGrid w:val="0"/>
        </w:rPr>
        <w:t xml:space="preserve"> na prethodno izvještajno razdoblje i pokazuje da se posljednjih godina u sve većem broju slučajeva uz sankcije izriču i sigurnosne mjere prema počiniteljima kaznenih djela. </w:t>
      </w:r>
    </w:p>
    <w:p w14:paraId="0ACEF446" w14:textId="77777777" w:rsidR="00441872" w:rsidRPr="001B4CA2" w:rsidRDefault="00441872" w:rsidP="00441872">
      <w:pPr>
        <w:widowControl w:val="0"/>
        <w:ind w:firstLine="720"/>
        <w:rPr>
          <w:snapToGrid w:val="0"/>
        </w:rPr>
      </w:pPr>
    </w:p>
    <w:p w14:paraId="407DDAC0" w14:textId="5A20D593" w:rsidR="00441872" w:rsidRPr="001B4CA2" w:rsidRDefault="00441872" w:rsidP="00441872">
      <w:pPr>
        <w:widowControl w:val="0"/>
        <w:ind w:firstLine="720"/>
        <w:rPr>
          <w:snapToGrid w:val="0"/>
        </w:rPr>
      </w:pPr>
      <w:r w:rsidRPr="001B4CA2">
        <w:rPr>
          <w:snapToGrid w:val="0"/>
        </w:rPr>
        <w:t xml:space="preserve">Najčešće izricane sigurnosne mjere </w:t>
      </w:r>
      <w:r w:rsidR="00A67909">
        <w:rPr>
          <w:snapToGrid w:val="0"/>
        </w:rPr>
        <w:t>je</w:t>
      </w:r>
      <w:r w:rsidRPr="001B4CA2">
        <w:rPr>
          <w:snapToGrid w:val="0"/>
        </w:rPr>
        <w:t xml:space="preserve">su mjera obveznog liječenja od ovisnosti, izrečena počiniteljima koji kaznena djela počine pod odlučujućim utjecajem alkohola ili droga, s </w:t>
      </w:r>
      <w:r w:rsidR="00A67909">
        <w:rPr>
          <w:snapToGrid w:val="0"/>
        </w:rPr>
        <w:t>udjelom</w:t>
      </w:r>
      <w:r w:rsidRPr="001B4CA2">
        <w:rPr>
          <w:snapToGrid w:val="0"/>
        </w:rPr>
        <w:t xml:space="preserve"> od 34,62</w:t>
      </w:r>
      <w:r w:rsidR="00A67909">
        <w:rPr>
          <w:snapToGrid w:val="0"/>
        </w:rPr>
        <w:t> </w:t>
      </w:r>
      <w:r w:rsidRPr="001B4CA2">
        <w:rPr>
          <w:snapToGrid w:val="0"/>
        </w:rPr>
        <w:t xml:space="preserve">% u ukupnom broju izrečenih sigurnosnih mjera, te sigurnosna mjera obveznog psihijatrijskog liječenja s </w:t>
      </w:r>
      <w:r w:rsidR="00A67909">
        <w:rPr>
          <w:snapToGrid w:val="0"/>
        </w:rPr>
        <w:t>udjelom</w:t>
      </w:r>
      <w:r w:rsidRPr="001B4CA2">
        <w:rPr>
          <w:snapToGrid w:val="0"/>
        </w:rPr>
        <w:t xml:space="preserve"> od 27,48</w:t>
      </w:r>
      <w:r w:rsidR="00A67909">
        <w:rPr>
          <w:snapToGrid w:val="0"/>
        </w:rPr>
        <w:t> </w:t>
      </w:r>
      <w:r w:rsidRPr="001B4CA2">
        <w:rPr>
          <w:snapToGrid w:val="0"/>
        </w:rPr>
        <w:t>% u ukupnom broju izrečenih sigurnosnih mjera, dakle, ove dvije sigurnosne mjere participiraju sa 62,09</w:t>
      </w:r>
      <w:r w:rsidR="00A67909">
        <w:rPr>
          <w:snapToGrid w:val="0"/>
        </w:rPr>
        <w:t> </w:t>
      </w:r>
      <w:r w:rsidRPr="001B4CA2">
        <w:rPr>
          <w:snapToGrid w:val="0"/>
        </w:rPr>
        <w:t xml:space="preserve">% u ukupnom broju izrečenih sigurnosnih mjera. </w:t>
      </w:r>
    </w:p>
    <w:p w14:paraId="595C4280" w14:textId="77777777" w:rsidR="00441872" w:rsidRPr="001B4CA2" w:rsidRDefault="00441872" w:rsidP="00441872">
      <w:pPr>
        <w:widowControl w:val="0"/>
        <w:ind w:firstLine="720"/>
        <w:rPr>
          <w:snapToGrid w:val="0"/>
        </w:rPr>
      </w:pPr>
    </w:p>
    <w:p w14:paraId="437013F3" w14:textId="38C6B930" w:rsidR="00441872" w:rsidRPr="001B4CA2" w:rsidRDefault="00441872" w:rsidP="00441872">
      <w:pPr>
        <w:widowControl w:val="0"/>
        <w:ind w:firstLine="720"/>
        <w:rPr>
          <w:snapToGrid w:val="0"/>
        </w:rPr>
      </w:pPr>
      <w:r w:rsidRPr="001B4CA2">
        <w:rPr>
          <w:snapToGrid w:val="0"/>
        </w:rPr>
        <w:t>Kada se navedeni podatak dovede u vezu s podatkom da su sigurnosne mjere izrečene uz 9,21</w:t>
      </w:r>
      <w:r w:rsidR="00A67909">
        <w:rPr>
          <w:snapToGrid w:val="0"/>
        </w:rPr>
        <w:t> </w:t>
      </w:r>
      <w:r w:rsidRPr="001B4CA2">
        <w:rPr>
          <w:snapToGrid w:val="0"/>
        </w:rPr>
        <w:t>% ukupno izrečenih sankcija te podatkom da se ove dvije najzastupljenije sigurnosne mjere izriču najčešće počiniteljima kaznenih djela ubojstava iz čl. 110. Kaznenog zakona, teških ubojstava iz čl. 111. Kaznen</w:t>
      </w:r>
      <w:r w:rsidR="00A67909">
        <w:rPr>
          <w:snapToGrid w:val="0"/>
        </w:rPr>
        <w:t>og</w:t>
      </w:r>
      <w:r w:rsidRPr="001B4CA2">
        <w:rPr>
          <w:snapToGrid w:val="0"/>
        </w:rPr>
        <w:t xml:space="preserve"> zakona, prijetnji iz čl. 139. Kaznenog zakona, nametljivog ponašanja iz čl. 140. Kaznenog zakona te povrede djetetovih prava iz čl. 177. Kaznenog zakona i nasilja u obitelji iz čl. 177.a Kaznenog zakona, opravdano je zaključiti da je nužna potreba za jačim mehanizmima preventivnog djelovanja prema određenim kategorijama osoba kako bi se preventivnim mjerama u znatnoj mjeri pokušalo otkloniti opasnosti počinjenja kaznenih djela,</w:t>
      </w:r>
      <w:r w:rsidR="001B4CA2">
        <w:rPr>
          <w:snapToGrid w:val="0"/>
        </w:rPr>
        <w:t xml:space="preserve"> </w:t>
      </w:r>
      <w:r w:rsidRPr="001B4CA2">
        <w:rPr>
          <w:snapToGrid w:val="0"/>
        </w:rPr>
        <w:t xml:space="preserve">budući da represivni sustav nije niti treba i može, s obzirom na to da nastupa </w:t>
      </w:r>
      <w:r w:rsidRPr="00A67909">
        <w:rPr>
          <w:i/>
          <w:iCs/>
          <w:snapToGrid w:val="0"/>
        </w:rPr>
        <w:t xml:space="preserve">post </w:t>
      </w:r>
      <w:proofErr w:type="spellStart"/>
      <w:r w:rsidRPr="00A67909">
        <w:rPr>
          <w:i/>
          <w:iCs/>
          <w:snapToGrid w:val="0"/>
        </w:rPr>
        <w:t>festum</w:t>
      </w:r>
      <w:proofErr w:type="spellEnd"/>
      <w:r w:rsidRPr="001B4CA2">
        <w:rPr>
          <w:snapToGrid w:val="0"/>
        </w:rPr>
        <w:t>, odnosno nakon počinjenja djela, biti mehanizam koji može sprječavati najteže oblike počinjenja kaznenih djela kada su njihovi počinitelji osobe kojima je odgovarajuće liječenje</w:t>
      </w:r>
      <w:r w:rsidR="001B4CA2">
        <w:rPr>
          <w:snapToGrid w:val="0"/>
        </w:rPr>
        <w:t xml:space="preserve"> </w:t>
      </w:r>
      <w:r w:rsidRPr="001B4CA2">
        <w:rPr>
          <w:snapToGrid w:val="0"/>
        </w:rPr>
        <w:t>potrebno i prije počinjenja kaznenih djela, odnosno neovisno o izricanj</w:t>
      </w:r>
      <w:r w:rsidR="00A67909">
        <w:rPr>
          <w:snapToGrid w:val="0"/>
        </w:rPr>
        <w:t>u</w:t>
      </w:r>
      <w:r w:rsidR="001B4CA2">
        <w:rPr>
          <w:snapToGrid w:val="0"/>
        </w:rPr>
        <w:t xml:space="preserve"> </w:t>
      </w:r>
      <w:r w:rsidRPr="001B4CA2">
        <w:rPr>
          <w:snapToGrid w:val="0"/>
        </w:rPr>
        <w:t>sankcija</w:t>
      </w:r>
      <w:r w:rsidR="001B4CA2">
        <w:rPr>
          <w:snapToGrid w:val="0"/>
        </w:rPr>
        <w:t xml:space="preserve"> </w:t>
      </w:r>
      <w:r w:rsidRPr="001B4CA2">
        <w:rPr>
          <w:snapToGrid w:val="0"/>
        </w:rPr>
        <w:t xml:space="preserve">u sudskim postupcima. </w:t>
      </w:r>
    </w:p>
    <w:p w14:paraId="3DBA16E3" w14:textId="77777777" w:rsidR="00441872" w:rsidRPr="001B4CA2" w:rsidRDefault="00441872" w:rsidP="00441872">
      <w:pPr>
        <w:widowControl w:val="0"/>
        <w:ind w:firstLine="720"/>
        <w:rPr>
          <w:snapToGrid w:val="0"/>
        </w:rPr>
      </w:pPr>
    </w:p>
    <w:p w14:paraId="270CD27D" w14:textId="22E70193" w:rsidR="00441872" w:rsidRPr="001B4CA2" w:rsidRDefault="00441872" w:rsidP="00441872">
      <w:pPr>
        <w:widowControl w:val="0"/>
        <w:ind w:firstLine="720"/>
        <w:rPr>
          <w:snapToGrid w:val="0"/>
        </w:rPr>
      </w:pPr>
      <w:r w:rsidRPr="001B4CA2">
        <w:rPr>
          <w:snapToGrid w:val="0"/>
        </w:rPr>
        <w:t>Sigurnosne mjere zabrane upravljanja motornim vozilom izriču se uz osude zbog kaznenih djela izazivanja prometne nesreće u cestovnom prometu iz čl. 227. Kaznenog zakon</w:t>
      </w:r>
      <w:r w:rsidR="00A67909">
        <w:rPr>
          <w:snapToGrid w:val="0"/>
        </w:rPr>
        <w:t>a</w:t>
      </w:r>
      <w:r w:rsidRPr="001B4CA2">
        <w:rPr>
          <w:snapToGrid w:val="0"/>
        </w:rPr>
        <w:t xml:space="preserve"> ili obijesne vožnje u cestovnom prometu iz čl. 226. Kaznenog zakona</w:t>
      </w:r>
      <w:r w:rsidR="00A67909">
        <w:rPr>
          <w:snapToGrid w:val="0"/>
        </w:rPr>
        <w:t>, a</w:t>
      </w:r>
      <w:r w:rsidRPr="001B4CA2">
        <w:rPr>
          <w:snapToGrid w:val="0"/>
        </w:rPr>
        <w:t xml:space="preserve"> takvih je mjera u izvještajnom razdoblju uslijedilo prema 107 osoba</w:t>
      </w:r>
      <w:r w:rsidR="00A67909">
        <w:rPr>
          <w:snapToGrid w:val="0"/>
        </w:rPr>
        <w:t>,</w:t>
      </w:r>
      <w:r w:rsidRPr="001B4CA2">
        <w:rPr>
          <w:snapToGrid w:val="0"/>
        </w:rPr>
        <w:t xml:space="preserve"> čime je njihov </w:t>
      </w:r>
      <w:r w:rsidR="00A67909">
        <w:rPr>
          <w:snapToGrid w:val="0"/>
        </w:rPr>
        <w:t>udio</w:t>
      </w:r>
      <w:r w:rsidRPr="001B4CA2">
        <w:rPr>
          <w:snapToGrid w:val="0"/>
        </w:rPr>
        <w:t xml:space="preserve"> u ukupnom broju sigurnosnih mjera 7,48</w:t>
      </w:r>
      <w:r w:rsidR="00A67909">
        <w:rPr>
          <w:snapToGrid w:val="0"/>
        </w:rPr>
        <w:t> </w:t>
      </w:r>
      <w:r w:rsidRPr="001B4CA2">
        <w:rPr>
          <w:snapToGrid w:val="0"/>
        </w:rPr>
        <w:t xml:space="preserve">%. </w:t>
      </w:r>
    </w:p>
    <w:p w14:paraId="209C380E" w14:textId="77777777" w:rsidR="00733DC4" w:rsidRPr="001B4CA2" w:rsidRDefault="00733DC4" w:rsidP="00441872">
      <w:pPr>
        <w:widowControl w:val="0"/>
        <w:ind w:firstLine="720"/>
        <w:rPr>
          <w:snapToGrid w:val="0"/>
        </w:rPr>
      </w:pPr>
    </w:p>
    <w:p w14:paraId="31F3DEF3" w14:textId="77777777" w:rsidR="00441872" w:rsidRPr="001B4CA2" w:rsidRDefault="00441872" w:rsidP="00441872">
      <w:pPr>
        <w:widowControl w:val="0"/>
        <w:ind w:firstLine="720"/>
        <w:rPr>
          <w:snapToGrid w:val="0"/>
        </w:rPr>
      </w:pPr>
    </w:p>
    <w:p w14:paraId="73BCEC70" w14:textId="133431F5" w:rsidR="00441872" w:rsidRPr="001B4CA2" w:rsidRDefault="00441872" w:rsidP="00441872">
      <w:pPr>
        <w:widowControl w:val="0"/>
        <w:ind w:firstLine="720"/>
        <w:rPr>
          <w:snapToGrid w:val="0"/>
        </w:rPr>
      </w:pPr>
      <w:r w:rsidRPr="001B4CA2">
        <w:rPr>
          <w:snapToGrid w:val="0"/>
        </w:rPr>
        <w:lastRenderedPageBreak/>
        <w:t xml:space="preserve">Sigurnosna mjera zabrane obavljanja određene dužnosti ili djelatnosti izriče se počiniteljima kaznenih djela iz područja gospodarskog kriminaliteta, najčešće kaznenih djela zlouporabe položaja i ovlasti iz čl. 291. Kaznenog zakona i zlouporabe povjerenja u gospodarskom poslovanju iz čl. 246. Kaznenog zakona te je u ovom izvještajnom razdoblju takva mjera izrečena prema 28 osoba, dok su prema Zakonu o odgovornosti pravnih osoba za kaznena djela sigurnosne mjere prema pravnim osoba izrečene u odnosu na 3 pravne osobe. </w:t>
      </w:r>
    </w:p>
    <w:p w14:paraId="31C76E90" w14:textId="77777777" w:rsidR="00441872" w:rsidRPr="001B4CA2" w:rsidRDefault="00441872" w:rsidP="00441872">
      <w:pPr>
        <w:widowControl w:val="0"/>
        <w:ind w:firstLine="720"/>
        <w:rPr>
          <w:snapToGrid w:val="0"/>
        </w:rPr>
      </w:pPr>
    </w:p>
    <w:p w14:paraId="4AE9571D" w14:textId="43F08AFB" w:rsidR="00441872" w:rsidRPr="001B4CA2" w:rsidRDefault="00441872" w:rsidP="00441872">
      <w:pPr>
        <w:widowControl w:val="0"/>
        <w:ind w:firstLine="720"/>
        <w:rPr>
          <w:snapToGrid w:val="0"/>
        </w:rPr>
      </w:pPr>
      <w:r w:rsidRPr="001B4CA2">
        <w:rPr>
          <w:snapToGrid w:val="0"/>
        </w:rPr>
        <w:t>Ostale sigurnosne mjere vezane su uz zaštitu žrtava kaznenih djela i u takve se mjere ubrajaju zabrana pridržavanja, uznemiravanja ili uhođenja iz čl. 73. Kaznenog zakona, sigurnosna mjera</w:t>
      </w:r>
      <w:r w:rsidR="001B4CA2">
        <w:rPr>
          <w:snapToGrid w:val="0"/>
        </w:rPr>
        <w:t xml:space="preserve"> </w:t>
      </w:r>
      <w:r w:rsidRPr="001B4CA2">
        <w:rPr>
          <w:snapToGrid w:val="0"/>
        </w:rPr>
        <w:t>psihosocijalnog tretmana iz čl. 70. Kaznenog zakona, sigurnosna mjera udaljenja iz zajedničkog kućanstva iz čl. 74. Kaznenog zakona i takve mjere sudjeluju u ukupnom broju izrečenih sigurnosnih mjera</w:t>
      </w:r>
      <w:r w:rsidR="00FD08E9">
        <w:rPr>
          <w:snapToGrid w:val="0"/>
        </w:rPr>
        <w:t xml:space="preserve"> s </w:t>
      </w:r>
      <w:r w:rsidR="00A67909">
        <w:rPr>
          <w:snapToGrid w:val="0"/>
        </w:rPr>
        <w:t>udjelom</w:t>
      </w:r>
      <w:r w:rsidRPr="001B4CA2">
        <w:rPr>
          <w:snapToGrid w:val="0"/>
        </w:rPr>
        <w:t xml:space="preserve"> od 28,25</w:t>
      </w:r>
      <w:r w:rsidR="00A67909">
        <w:rPr>
          <w:snapToGrid w:val="0"/>
        </w:rPr>
        <w:t> </w:t>
      </w:r>
      <w:r w:rsidRPr="001B4CA2">
        <w:rPr>
          <w:snapToGrid w:val="0"/>
        </w:rPr>
        <w:t>%. Riječ je o mjerama koje se najčešće predlažu i izriču prema počiniteljima kaznenih djela nasilja u obitelji iz čl. 179.a Kaznenog zakona, nametljivog ponašanja iz čl. 140. Kaznenog zakona i povrede djetetovih prava iz čl. 177. Kaznenog zakona. Izricanje ovih sigurnosnih mjera važno je zbog otklanjanja okolnosti koje bi mogle poticajno djelovati na počinjenje novih kaznenih djela.</w:t>
      </w:r>
    </w:p>
    <w:p w14:paraId="664AE55A" w14:textId="77777777" w:rsidR="009B163E" w:rsidRPr="001B4CA2" w:rsidRDefault="009B163E" w:rsidP="007D073A">
      <w:pPr>
        <w:ind w:left="2552"/>
      </w:pPr>
    </w:p>
    <w:p w14:paraId="3EBCDA8C" w14:textId="333A5F21" w:rsidR="0051509B" w:rsidRPr="001B4CA2" w:rsidRDefault="000857CC" w:rsidP="000F634C">
      <w:pPr>
        <w:pStyle w:val="Naslov5"/>
        <w:ind w:left="851" w:hanging="425"/>
        <w:rPr>
          <w:rStyle w:val="Naslov5Char"/>
          <w:rFonts w:ascii="Arial" w:hAnsi="Arial" w:cs="Arial"/>
          <w:b/>
        </w:rPr>
      </w:pPr>
      <w:bookmarkStart w:id="35" w:name="_Toc133394298"/>
      <w:r w:rsidRPr="001B4CA2">
        <w:rPr>
          <w:rStyle w:val="Naslov5Char"/>
          <w:rFonts w:ascii="Arial" w:hAnsi="Arial" w:cs="Arial"/>
          <w:b/>
        </w:rPr>
        <w:t>Kaznene sankcije – maloljetnici</w:t>
      </w:r>
      <w:bookmarkEnd w:id="35"/>
    </w:p>
    <w:p w14:paraId="5B73894E" w14:textId="77777777" w:rsidR="0060074A" w:rsidRPr="001B4CA2" w:rsidRDefault="0060074A" w:rsidP="0060074A"/>
    <w:p w14:paraId="693E188B" w14:textId="1A9EA4A9" w:rsidR="0060074A" w:rsidRPr="001B4CA2" w:rsidRDefault="001B4CA2" w:rsidP="0060074A">
      <w:pPr>
        <w:rPr>
          <w:i/>
          <w:iCs/>
        </w:rPr>
      </w:pPr>
      <w:r>
        <w:rPr>
          <w:i/>
          <w:iCs/>
        </w:rPr>
        <w:t xml:space="preserve"> </w:t>
      </w:r>
      <w:r w:rsidR="00B901FE">
        <w:rPr>
          <w:i/>
          <w:iCs/>
        </w:rPr>
        <w:t xml:space="preserve"> </w:t>
      </w:r>
      <w:r w:rsidR="001D4F0F">
        <w:rPr>
          <w:i/>
          <w:iCs/>
        </w:rPr>
        <w:t xml:space="preserve">  </w:t>
      </w:r>
      <w:r w:rsidR="0060074A" w:rsidRPr="001B4CA2">
        <w:rPr>
          <w:i/>
          <w:iCs/>
        </w:rPr>
        <w:t>Kaznene sankcije</w:t>
      </w:r>
    </w:p>
    <w:tbl>
      <w:tblPr>
        <w:tblW w:w="8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082"/>
        <w:gridCol w:w="997"/>
        <w:gridCol w:w="847"/>
        <w:gridCol w:w="937"/>
        <w:gridCol w:w="916"/>
        <w:gridCol w:w="1037"/>
        <w:gridCol w:w="1191"/>
      </w:tblGrid>
      <w:tr w:rsidR="0060074A" w:rsidRPr="001B4CA2" w14:paraId="4E7E8A97" w14:textId="77777777" w:rsidTr="001D4F0F">
        <w:trPr>
          <w:trHeight w:val="915"/>
        </w:trPr>
        <w:tc>
          <w:tcPr>
            <w:tcW w:w="1168" w:type="dxa"/>
            <w:shd w:val="clear" w:color="000000" w:fill="99CCFF"/>
            <w:noWrap/>
            <w:vAlign w:val="center"/>
            <w:hideMark/>
          </w:tcPr>
          <w:p w14:paraId="0E40716E" w14:textId="77777777" w:rsidR="0060074A" w:rsidRPr="001B4CA2" w:rsidRDefault="0060074A" w:rsidP="002A38E7">
            <w:pPr>
              <w:jc w:val="center"/>
              <w:rPr>
                <w:b/>
                <w:bCs/>
                <w:color w:val="000000"/>
                <w:sz w:val="18"/>
                <w:szCs w:val="18"/>
              </w:rPr>
            </w:pPr>
            <w:r w:rsidRPr="001B4CA2">
              <w:rPr>
                <w:b/>
                <w:bCs/>
                <w:color w:val="000000"/>
                <w:sz w:val="18"/>
                <w:szCs w:val="18"/>
              </w:rPr>
              <w:t>Godina</w:t>
            </w:r>
          </w:p>
        </w:tc>
        <w:tc>
          <w:tcPr>
            <w:tcW w:w="1082" w:type="dxa"/>
            <w:shd w:val="clear" w:color="000000" w:fill="99CCFF"/>
            <w:vAlign w:val="center"/>
            <w:hideMark/>
          </w:tcPr>
          <w:p w14:paraId="594C2FC6" w14:textId="77777777" w:rsidR="0060074A" w:rsidRPr="001B4CA2" w:rsidRDefault="0060074A" w:rsidP="002A38E7">
            <w:pPr>
              <w:jc w:val="center"/>
              <w:rPr>
                <w:b/>
                <w:bCs/>
                <w:color w:val="000000"/>
                <w:sz w:val="18"/>
                <w:szCs w:val="18"/>
              </w:rPr>
            </w:pPr>
            <w:r w:rsidRPr="001B4CA2">
              <w:rPr>
                <w:b/>
                <w:bCs/>
                <w:color w:val="000000"/>
                <w:sz w:val="18"/>
                <w:szCs w:val="18"/>
              </w:rPr>
              <w:t xml:space="preserve">Ukupan broj prijedloga za </w:t>
            </w:r>
            <w:proofErr w:type="spellStart"/>
            <w:r w:rsidRPr="001B4CA2">
              <w:rPr>
                <w:b/>
                <w:bCs/>
                <w:color w:val="000000"/>
                <w:sz w:val="18"/>
                <w:szCs w:val="18"/>
              </w:rPr>
              <w:t>mlt</w:t>
            </w:r>
            <w:proofErr w:type="spellEnd"/>
            <w:r w:rsidRPr="001B4CA2">
              <w:rPr>
                <w:b/>
                <w:bCs/>
                <w:color w:val="000000"/>
                <w:sz w:val="18"/>
                <w:szCs w:val="18"/>
              </w:rPr>
              <w:t>. sankciju</w:t>
            </w:r>
          </w:p>
        </w:tc>
        <w:tc>
          <w:tcPr>
            <w:tcW w:w="997" w:type="dxa"/>
            <w:shd w:val="clear" w:color="000000" w:fill="99CCFF"/>
            <w:vAlign w:val="center"/>
            <w:hideMark/>
          </w:tcPr>
          <w:p w14:paraId="5AD19C37" w14:textId="77777777" w:rsidR="0060074A" w:rsidRPr="001B4CA2" w:rsidRDefault="0060074A" w:rsidP="002A38E7">
            <w:pPr>
              <w:jc w:val="center"/>
              <w:rPr>
                <w:b/>
                <w:bCs/>
                <w:color w:val="000000"/>
                <w:sz w:val="18"/>
                <w:szCs w:val="18"/>
              </w:rPr>
            </w:pPr>
            <w:r w:rsidRPr="001B4CA2">
              <w:rPr>
                <w:b/>
                <w:bCs/>
                <w:color w:val="000000"/>
                <w:sz w:val="18"/>
                <w:szCs w:val="18"/>
              </w:rPr>
              <w:t xml:space="preserve">Ukupan broj izrečenih </w:t>
            </w:r>
            <w:proofErr w:type="spellStart"/>
            <w:r w:rsidRPr="001B4CA2">
              <w:rPr>
                <w:b/>
                <w:bCs/>
                <w:color w:val="000000"/>
                <w:sz w:val="18"/>
                <w:szCs w:val="18"/>
              </w:rPr>
              <w:t>mlt</w:t>
            </w:r>
            <w:proofErr w:type="spellEnd"/>
            <w:r w:rsidRPr="001B4CA2">
              <w:rPr>
                <w:b/>
                <w:bCs/>
                <w:color w:val="000000"/>
                <w:sz w:val="18"/>
                <w:szCs w:val="18"/>
              </w:rPr>
              <w:t>. sankcija</w:t>
            </w:r>
          </w:p>
        </w:tc>
        <w:tc>
          <w:tcPr>
            <w:tcW w:w="847" w:type="dxa"/>
            <w:shd w:val="clear" w:color="000000" w:fill="99CCFF"/>
            <w:vAlign w:val="center"/>
            <w:hideMark/>
          </w:tcPr>
          <w:p w14:paraId="3662C94A" w14:textId="77777777" w:rsidR="0060074A" w:rsidRPr="001B4CA2" w:rsidRDefault="0060074A" w:rsidP="002A38E7">
            <w:pPr>
              <w:jc w:val="center"/>
              <w:rPr>
                <w:b/>
                <w:bCs/>
                <w:color w:val="000000"/>
                <w:sz w:val="18"/>
                <w:szCs w:val="18"/>
              </w:rPr>
            </w:pPr>
            <w:r w:rsidRPr="001B4CA2">
              <w:rPr>
                <w:b/>
                <w:bCs/>
                <w:color w:val="000000"/>
                <w:sz w:val="18"/>
                <w:szCs w:val="18"/>
              </w:rPr>
              <w:t xml:space="preserve">Od toga kazna </w:t>
            </w:r>
            <w:proofErr w:type="spellStart"/>
            <w:r w:rsidRPr="001B4CA2">
              <w:rPr>
                <w:b/>
                <w:bCs/>
                <w:color w:val="000000"/>
                <w:sz w:val="18"/>
                <w:szCs w:val="18"/>
              </w:rPr>
              <w:t>mlt</w:t>
            </w:r>
            <w:proofErr w:type="spellEnd"/>
            <w:r w:rsidRPr="001B4CA2">
              <w:rPr>
                <w:b/>
                <w:bCs/>
                <w:color w:val="000000"/>
                <w:sz w:val="18"/>
                <w:szCs w:val="18"/>
              </w:rPr>
              <w:t>. zatvora</w:t>
            </w:r>
          </w:p>
        </w:tc>
        <w:tc>
          <w:tcPr>
            <w:tcW w:w="937" w:type="dxa"/>
            <w:shd w:val="clear" w:color="000000" w:fill="99CCFF"/>
            <w:vAlign w:val="center"/>
            <w:hideMark/>
          </w:tcPr>
          <w:p w14:paraId="06D0F786" w14:textId="77777777" w:rsidR="0060074A" w:rsidRPr="001B4CA2" w:rsidRDefault="0060074A" w:rsidP="002A38E7">
            <w:pPr>
              <w:jc w:val="center"/>
              <w:rPr>
                <w:b/>
                <w:bCs/>
                <w:color w:val="000000"/>
                <w:sz w:val="18"/>
                <w:szCs w:val="18"/>
              </w:rPr>
            </w:pPr>
            <w:r w:rsidRPr="001B4CA2">
              <w:rPr>
                <w:b/>
                <w:bCs/>
                <w:color w:val="000000"/>
                <w:sz w:val="18"/>
                <w:szCs w:val="18"/>
              </w:rPr>
              <w:t xml:space="preserve">Od toga pridržaj izricanja </w:t>
            </w:r>
            <w:proofErr w:type="spellStart"/>
            <w:r w:rsidRPr="001B4CA2">
              <w:rPr>
                <w:b/>
                <w:bCs/>
                <w:color w:val="000000"/>
                <w:sz w:val="18"/>
                <w:szCs w:val="18"/>
              </w:rPr>
              <w:t>mlt</w:t>
            </w:r>
            <w:proofErr w:type="spellEnd"/>
            <w:r w:rsidRPr="001B4CA2">
              <w:rPr>
                <w:b/>
                <w:bCs/>
                <w:color w:val="000000"/>
                <w:sz w:val="18"/>
                <w:szCs w:val="18"/>
              </w:rPr>
              <w:t>. zatvora</w:t>
            </w:r>
          </w:p>
        </w:tc>
        <w:tc>
          <w:tcPr>
            <w:tcW w:w="916" w:type="dxa"/>
            <w:shd w:val="clear" w:color="000000" w:fill="99CCFF"/>
            <w:vAlign w:val="center"/>
            <w:hideMark/>
          </w:tcPr>
          <w:p w14:paraId="19B488C7" w14:textId="77777777" w:rsidR="0060074A" w:rsidRPr="001B4CA2" w:rsidRDefault="0060074A" w:rsidP="002A38E7">
            <w:pPr>
              <w:jc w:val="center"/>
              <w:rPr>
                <w:b/>
                <w:bCs/>
                <w:color w:val="000000"/>
                <w:sz w:val="18"/>
                <w:szCs w:val="18"/>
              </w:rPr>
            </w:pPr>
            <w:r w:rsidRPr="001B4CA2">
              <w:rPr>
                <w:b/>
                <w:bCs/>
                <w:color w:val="000000"/>
                <w:sz w:val="18"/>
                <w:szCs w:val="18"/>
              </w:rPr>
              <w:t>Od toga odgojne mjere</w:t>
            </w:r>
          </w:p>
        </w:tc>
        <w:tc>
          <w:tcPr>
            <w:tcW w:w="1037" w:type="dxa"/>
            <w:shd w:val="clear" w:color="000000" w:fill="99CCFF"/>
            <w:vAlign w:val="center"/>
            <w:hideMark/>
          </w:tcPr>
          <w:p w14:paraId="3DEFFD81" w14:textId="77777777" w:rsidR="0060074A" w:rsidRPr="001B4CA2" w:rsidRDefault="0060074A" w:rsidP="002A38E7">
            <w:pPr>
              <w:jc w:val="center"/>
              <w:rPr>
                <w:b/>
                <w:bCs/>
                <w:color w:val="000000"/>
                <w:sz w:val="18"/>
                <w:szCs w:val="18"/>
              </w:rPr>
            </w:pPr>
            <w:r w:rsidRPr="001B4CA2">
              <w:rPr>
                <w:b/>
                <w:bCs/>
                <w:color w:val="000000"/>
                <w:sz w:val="18"/>
                <w:szCs w:val="18"/>
              </w:rPr>
              <w:t>Obustava postupka</w:t>
            </w:r>
          </w:p>
        </w:tc>
        <w:tc>
          <w:tcPr>
            <w:tcW w:w="1191" w:type="dxa"/>
            <w:shd w:val="clear" w:color="000000" w:fill="99CCFF"/>
            <w:vAlign w:val="center"/>
            <w:hideMark/>
          </w:tcPr>
          <w:p w14:paraId="3ADD1515" w14:textId="77777777" w:rsidR="0060074A" w:rsidRPr="001B4CA2" w:rsidRDefault="0060074A" w:rsidP="002A38E7">
            <w:pPr>
              <w:jc w:val="center"/>
              <w:rPr>
                <w:b/>
                <w:bCs/>
                <w:color w:val="000000"/>
                <w:sz w:val="18"/>
                <w:szCs w:val="18"/>
              </w:rPr>
            </w:pPr>
            <w:r w:rsidRPr="001B4CA2">
              <w:rPr>
                <w:b/>
                <w:bCs/>
                <w:color w:val="000000"/>
                <w:sz w:val="18"/>
                <w:szCs w:val="18"/>
              </w:rPr>
              <w:t xml:space="preserve">Od toga </w:t>
            </w:r>
            <w:proofErr w:type="spellStart"/>
            <w:r w:rsidRPr="001B4CA2">
              <w:rPr>
                <w:b/>
                <w:bCs/>
                <w:color w:val="000000"/>
                <w:sz w:val="18"/>
                <w:szCs w:val="18"/>
              </w:rPr>
              <w:t>oportunitet</w:t>
            </w:r>
            <w:proofErr w:type="spellEnd"/>
          </w:p>
        </w:tc>
      </w:tr>
      <w:tr w:rsidR="0060074A" w:rsidRPr="001B4CA2" w14:paraId="24DA5F9A" w14:textId="77777777" w:rsidTr="001D4F0F">
        <w:trPr>
          <w:trHeight w:val="300"/>
        </w:trPr>
        <w:tc>
          <w:tcPr>
            <w:tcW w:w="1168" w:type="dxa"/>
            <w:shd w:val="clear" w:color="auto" w:fill="auto"/>
            <w:vAlign w:val="center"/>
            <w:hideMark/>
          </w:tcPr>
          <w:p w14:paraId="67979307" w14:textId="77777777" w:rsidR="0060074A" w:rsidRPr="001B4CA2" w:rsidRDefault="0060074A" w:rsidP="002A38E7">
            <w:pPr>
              <w:jc w:val="center"/>
              <w:rPr>
                <w:color w:val="000000"/>
                <w:sz w:val="18"/>
                <w:szCs w:val="18"/>
              </w:rPr>
            </w:pPr>
            <w:r w:rsidRPr="001B4CA2">
              <w:rPr>
                <w:color w:val="000000"/>
                <w:sz w:val="18"/>
                <w:szCs w:val="18"/>
              </w:rPr>
              <w:t>2018.</w:t>
            </w:r>
          </w:p>
        </w:tc>
        <w:tc>
          <w:tcPr>
            <w:tcW w:w="1082" w:type="dxa"/>
            <w:shd w:val="clear" w:color="auto" w:fill="auto"/>
            <w:noWrap/>
            <w:vAlign w:val="center"/>
            <w:hideMark/>
          </w:tcPr>
          <w:p w14:paraId="3CF05B05" w14:textId="77777777" w:rsidR="0060074A" w:rsidRPr="001B4CA2" w:rsidRDefault="0060074A" w:rsidP="002A38E7">
            <w:pPr>
              <w:jc w:val="center"/>
              <w:rPr>
                <w:color w:val="000000"/>
                <w:sz w:val="18"/>
                <w:szCs w:val="18"/>
              </w:rPr>
            </w:pPr>
            <w:r w:rsidRPr="001B4CA2">
              <w:rPr>
                <w:color w:val="000000"/>
                <w:sz w:val="18"/>
                <w:szCs w:val="18"/>
              </w:rPr>
              <w:t>400</w:t>
            </w:r>
          </w:p>
        </w:tc>
        <w:tc>
          <w:tcPr>
            <w:tcW w:w="997" w:type="dxa"/>
            <w:shd w:val="clear" w:color="auto" w:fill="auto"/>
            <w:noWrap/>
            <w:vAlign w:val="center"/>
            <w:hideMark/>
          </w:tcPr>
          <w:p w14:paraId="6BE0A2BC" w14:textId="77777777" w:rsidR="0060074A" w:rsidRPr="001B4CA2" w:rsidRDefault="0060074A" w:rsidP="002A38E7">
            <w:pPr>
              <w:jc w:val="center"/>
              <w:rPr>
                <w:color w:val="000000"/>
                <w:sz w:val="18"/>
                <w:szCs w:val="18"/>
              </w:rPr>
            </w:pPr>
            <w:r w:rsidRPr="001B4CA2">
              <w:rPr>
                <w:color w:val="000000"/>
                <w:sz w:val="18"/>
                <w:szCs w:val="18"/>
              </w:rPr>
              <w:t>345</w:t>
            </w:r>
          </w:p>
        </w:tc>
        <w:tc>
          <w:tcPr>
            <w:tcW w:w="847" w:type="dxa"/>
            <w:shd w:val="clear" w:color="auto" w:fill="auto"/>
            <w:noWrap/>
            <w:vAlign w:val="center"/>
            <w:hideMark/>
          </w:tcPr>
          <w:p w14:paraId="23CFF0EC" w14:textId="77777777" w:rsidR="0060074A" w:rsidRPr="001B4CA2" w:rsidRDefault="0060074A" w:rsidP="002A38E7">
            <w:pPr>
              <w:jc w:val="center"/>
              <w:rPr>
                <w:color w:val="000000"/>
                <w:sz w:val="18"/>
                <w:szCs w:val="18"/>
              </w:rPr>
            </w:pPr>
            <w:r w:rsidRPr="001B4CA2">
              <w:rPr>
                <w:color w:val="000000"/>
                <w:sz w:val="18"/>
                <w:szCs w:val="18"/>
              </w:rPr>
              <w:t>9</w:t>
            </w:r>
          </w:p>
        </w:tc>
        <w:tc>
          <w:tcPr>
            <w:tcW w:w="937" w:type="dxa"/>
            <w:shd w:val="clear" w:color="auto" w:fill="auto"/>
            <w:noWrap/>
            <w:vAlign w:val="center"/>
            <w:hideMark/>
          </w:tcPr>
          <w:p w14:paraId="7B5A537D" w14:textId="77777777" w:rsidR="0060074A" w:rsidRPr="001B4CA2" w:rsidRDefault="0060074A" w:rsidP="002A38E7">
            <w:pPr>
              <w:jc w:val="center"/>
              <w:rPr>
                <w:color w:val="000000"/>
                <w:sz w:val="18"/>
                <w:szCs w:val="18"/>
              </w:rPr>
            </w:pPr>
            <w:r w:rsidRPr="001B4CA2">
              <w:rPr>
                <w:color w:val="000000"/>
                <w:sz w:val="18"/>
                <w:szCs w:val="18"/>
              </w:rPr>
              <w:t>33</w:t>
            </w:r>
          </w:p>
        </w:tc>
        <w:tc>
          <w:tcPr>
            <w:tcW w:w="916" w:type="dxa"/>
            <w:shd w:val="clear" w:color="auto" w:fill="auto"/>
            <w:noWrap/>
            <w:vAlign w:val="center"/>
            <w:hideMark/>
          </w:tcPr>
          <w:p w14:paraId="5341E6BC" w14:textId="77777777" w:rsidR="0060074A" w:rsidRPr="001B4CA2" w:rsidRDefault="0060074A" w:rsidP="002A38E7">
            <w:pPr>
              <w:jc w:val="center"/>
              <w:rPr>
                <w:color w:val="000000"/>
                <w:sz w:val="18"/>
                <w:szCs w:val="18"/>
              </w:rPr>
            </w:pPr>
            <w:r w:rsidRPr="001B4CA2">
              <w:rPr>
                <w:color w:val="000000"/>
                <w:sz w:val="18"/>
                <w:szCs w:val="18"/>
              </w:rPr>
              <w:t>303</w:t>
            </w:r>
          </w:p>
        </w:tc>
        <w:tc>
          <w:tcPr>
            <w:tcW w:w="1037" w:type="dxa"/>
            <w:shd w:val="clear" w:color="auto" w:fill="auto"/>
            <w:noWrap/>
            <w:vAlign w:val="center"/>
            <w:hideMark/>
          </w:tcPr>
          <w:p w14:paraId="223D8BBF" w14:textId="77777777" w:rsidR="0060074A" w:rsidRPr="001B4CA2" w:rsidRDefault="0060074A" w:rsidP="002A38E7">
            <w:pPr>
              <w:jc w:val="center"/>
              <w:rPr>
                <w:color w:val="000000"/>
                <w:sz w:val="18"/>
                <w:szCs w:val="18"/>
              </w:rPr>
            </w:pPr>
            <w:r w:rsidRPr="001B4CA2">
              <w:rPr>
                <w:color w:val="000000"/>
                <w:sz w:val="18"/>
                <w:szCs w:val="18"/>
              </w:rPr>
              <w:t>55</w:t>
            </w:r>
          </w:p>
        </w:tc>
        <w:tc>
          <w:tcPr>
            <w:tcW w:w="1191" w:type="dxa"/>
            <w:shd w:val="clear" w:color="auto" w:fill="auto"/>
            <w:noWrap/>
            <w:vAlign w:val="center"/>
            <w:hideMark/>
          </w:tcPr>
          <w:p w14:paraId="2E26E2DF" w14:textId="77777777" w:rsidR="0060074A" w:rsidRPr="001B4CA2" w:rsidRDefault="0060074A" w:rsidP="002A38E7">
            <w:pPr>
              <w:jc w:val="center"/>
              <w:rPr>
                <w:color w:val="000000"/>
                <w:sz w:val="18"/>
                <w:szCs w:val="18"/>
              </w:rPr>
            </w:pPr>
            <w:r w:rsidRPr="001B4CA2">
              <w:rPr>
                <w:color w:val="000000"/>
                <w:sz w:val="18"/>
                <w:szCs w:val="18"/>
              </w:rPr>
              <w:t>23</w:t>
            </w:r>
          </w:p>
        </w:tc>
      </w:tr>
      <w:tr w:rsidR="0060074A" w:rsidRPr="001B4CA2" w14:paraId="6ACA8A24" w14:textId="77777777" w:rsidTr="001D4F0F">
        <w:trPr>
          <w:trHeight w:val="300"/>
        </w:trPr>
        <w:tc>
          <w:tcPr>
            <w:tcW w:w="1168" w:type="dxa"/>
            <w:shd w:val="clear" w:color="auto" w:fill="auto"/>
            <w:vAlign w:val="center"/>
            <w:hideMark/>
          </w:tcPr>
          <w:p w14:paraId="68926192" w14:textId="77777777" w:rsidR="0060074A" w:rsidRPr="001B4CA2" w:rsidRDefault="0060074A" w:rsidP="002A38E7">
            <w:pPr>
              <w:jc w:val="center"/>
              <w:rPr>
                <w:color w:val="000000"/>
                <w:sz w:val="18"/>
                <w:szCs w:val="18"/>
              </w:rPr>
            </w:pPr>
            <w:r w:rsidRPr="001B4CA2">
              <w:rPr>
                <w:color w:val="000000"/>
                <w:sz w:val="18"/>
                <w:szCs w:val="18"/>
              </w:rPr>
              <w:t>2019.</w:t>
            </w:r>
          </w:p>
        </w:tc>
        <w:tc>
          <w:tcPr>
            <w:tcW w:w="1082" w:type="dxa"/>
            <w:shd w:val="clear" w:color="auto" w:fill="auto"/>
            <w:noWrap/>
            <w:vAlign w:val="center"/>
            <w:hideMark/>
          </w:tcPr>
          <w:p w14:paraId="52B61AF2" w14:textId="77777777" w:rsidR="0060074A" w:rsidRPr="001B4CA2" w:rsidRDefault="0060074A" w:rsidP="002A38E7">
            <w:pPr>
              <w:jc w:val="center"/>
              <w:rPr>
                <w:color w:val="000000"/>
                <w:sz w:val="18"/>
                <w:szCs w:val="18"/>
              </w:rPr>
            </w:pPr>
            <w:r w:rsidRPr="001B4CA2">
              <w:rPr>
                <w:color w:val="000000"/>
                <w:sz w:val="18"/>
                <w:szCs w:val="18"/>
              </w:rPr>
              <w:t>461</w:t>
            </w:r>
          </w:p>
        </w:tc>
        <w:tc>
          <w:tcPr>
            <w:tcW w:w="997" w:type="dxa"/>
            <w:shd w:val="clear" w:color="auto" w:fill="auto"/>
            <w:noWrap/>
            <w:vAlign w:val="center"/>
            <w:hideMark/>
          </w:tcPr>
          <w:p w14:paraId="2F3487E3" w14:textId="77777777" w:rsidR="0060074A" w:rsidRPr="001B4CA2" w:rsidRDefault="0060074A" w:rsidP="002A38E7">
            <w:pPr>
              <w:jc w:val="center"/>
              <w:rPr>
                <w:color w:val="000000"/>
                <w:sz w:val="18"/>
                <w:szCs w:val="18"/>
              </w:rPr>
            </w:pPr>
            <w:r w:rsidRPr="001B4CA2">
              <w:rPr>
                <w:color w:val="000000"/>
                <w:sz w:val="18"/>
                <w:szCs w:val="18"/>
              </w:rPr>
              <w:t>349</w:t>
            </w:r>
          </w:p>
        </w:tc>
        <w:tc>
          <w:tcPr>
            <w:tcW w:w="847" w:type="dxa"/>
            <w:shd w:val="clear" w:color="auto" w:fill="auto"/>
            <w:noWrap/>
            <w:vAlign w:val="center"/>
            <w:hideMark/>
          </w:tcPr>
          <w:p w14:paraId="0D4DDE5E" w14:textId="77777777" w:rsidR="0060074A" w:rsidRPr="001B4CA2" w:rsidRDefault="0060074A" w:rsidP="002A38E7">
            <w:pPr>
              <w:jc w:val="center"/>
              <w:rPr>
                <w:color w:val="000000"/>
                <w:sz w:val="18"/>
                <w:szCs w:val="18"/>
              </w:rPr>
            </w:pPr>
            <w:r w:rsidRPr="001B4CA2">
              <w:rPr>
                <w:color w:val="000000"/>
                <w:sz w:val="18"/>
                <w:szCs w:val="18"/>
              </w:rPr>
              <w:t>11</w:t>
            </w:r>
          </w:p>
        </w:tc>
        <w:tc>
          <w:tcPr>
            <w:tcW w:w="937" w:type="dxa"/>
            <w:shd w:val="clear" w:color="auto" w:fill="auto"/>
            <w:noWrap/>
            <w:vAlign w:val="center"/>
            <w:hideMark/>
          </w:tcPr>
          <w:p w14:paraId="7F5879E3" w14:textId="77777777" w:rsidR="0060074A" w:rsidRPr="001B4CA2" w:rsidRDefault="0060074A" w:rsidP="002A38E7">
            <w:pPr>
              <w:jc w:val="center"/>
              <w:rPr>
                <w:color w:val="000000"/>
                <w:sz w:val="18"/>
                <w:szCs w:val="18"/>
              </w:rPr>
            </w:pPr>
            <w:r w:rsidRPr="001B4CA2">
              <w:rPr>
                <w:color w:val="000000"/>
                <w:sz w:val="18"/>
                <w:szCs w:val="18"/>
              </w:rPr>
              <w:t>30</w:t>
            </w:r>
          </w:p>
        </w:tc>
        <w:tc>
          <w:tcPr>
            <w:tcW w:w="916" w:type="dxa"/>
            <w:shd w:val="clear" w:color="auto" w:fill="auto"/>
            <w:noWrap/>
            <w:vAlign w:val="center"/>
            <w:hideMark/>
          </w:tcPr>
          <w:p w14:paraId="0048ED15" w14:textId="77777777" w:rsidR="0060074A" w:rsidRPr="001B4CA2" w:rsidRDefault="0060074A" w:rsidP="002A38E7">
            <w:pPr>
              <w:jc w:val="center"/>
              <w:rPr>
                <w:color w:val="000000"/>
                <w:sz w:val="18"/>
                <w:szCs w:val="18"/>
              </w:rPr>
            </w:pPr>
            <w:r w:rsidRPr="001B4CA2">
              <w:rPr>
                <w:color w:val="000000"/>
                <w:sz w:val="18"/>
                <w:szCs w:val="18"/>
              </w:rPr>
              <w:t>308</w:t>
            </w:r>
          </w:p>
        </w:tc>
        <w:tc>
          <w:tcPr>
            <w:tcW w:w="1037" w:type="dxa"/>
            <w:shd w:val="clear" w:color="auto" w:fill="auto"/>
            <w:noWrap/>
            <w:vAlign w:val="center"/>
            <w:hideMark/>
          </w:tcPr>
          <w:p w14:paraId="08BBFC99" w14:textId="77777777" w:rsidR="0060074A" w:rsidRPr="001B4CA2" w:rsidRDefault="0060074A" w:rsidP="002A38E7">
            <w:pPr>
              <w:jc w:val="center"/>
              <w:rPr>
                <w:color w:val="000000"/>
                <w:sz w:val="18"/>
                <w:szCs w:val="18"/>
              </w:rPr>
            </w:pPr>
            <w:r w:rsidRPr="001B4CA2">
              <w:rPr>
                <w:color w:val="000000"/>
                <w:sz w:val="18"/>
                <w:szCs w:val="18"/>
              </w:rPr>
              <w:t>49</w:t>
            </w:r>
          </w:p>
        </w:tc>
        <w:tc>
          <w:tcPr>
            <w:tcW w:w="1191" w:type="dxa"/>
            <w:shd w:val="clear" w:color="auto" w:fill="auto"/>
            <w:noWrap/>
            <w:vAlign w:val="center"/>
            <w:hideMark/>
          </w:tcPr>
          <w:p w14:paraId="2ED63561" w14:textId="77777777" w:rsidR="0060074A" w:rsidRPr="001B4CA2" w:rsidRDefault="0060074A" w:rsidP="002A38E7">
            <w:pPr>
              <w:jc w:val="center"/>
              <w:rPr>
                <w:color w:val="000000"/>
                <w:sz w:val="18"/>
                <w:szCs w:val="18"/>
              </w:rPr>
            </w:pPr>
            <w:r w:rsidRPr="001B4CA2">
              <w:rPr>
                <w:color w:val="000000"/>
                <w:sz w:val="18"/>
                <w:szCs w:val="18"/>
              </w:rPr>
              <w:t>16</w:t>
            </w:r>
          </w:p>
        </w:tc>
      </w:tr>
      <w:tr w:rsidR="0060074A" w:rsidRPr="001B4CA2" w14:paraId="4DDE59AE" w14:textId="77777777" w:rsidTr="001D4F0F">
        <w:trPr>
          <w:trHeight w:val="300"/>
        </w:trPr>
        <w:tc>
          <w:tcPr>
            <w:tcW w:w="1168" w:type="dxa"/>
            <w:shd w:val="clear" w:color="auto" w:fill="auto"/>
            <w:vAlign w:val="center"/>
            <w:hideMark/>
          </w:tcPr>
          <w:p w14:paraId="772275B5" w14:textId="77777777" w:rsidR="0060074A" w:rsidRPr="001B4CA2" w:rsidRDefault="0060074A" w:rsidP="002A38E7">
            <w:pPr>
              <w:jc w:val="center"/>
              <w:rPr>
                <w:color w:val="000000"/>
                <w:sz w:val="18"/>
                <w:szCs w:val="18"/>
              </w:rPr>
            </w:pPr>
            <w:r w:rsidRPr="001B4CA2">
              <w:rPr>
                <w:color w:val="000000"/>
                <w:sz w:val="18"/>
                <w:szCs w:val="18"/>
              </w:rPr>
              <w:t>2020.</w:t>
            </w:r>
          </w:p>
        </w:tc>
        <w:tc>
          <w:tcPr>
            <w:tcW w:w="1082" w:type="dxa"/>
            <w:shd w:val="clear" w:color="auto" w:fill="auto"/>
            <w:noWrap/>
            <w:vAlign w:val="center"/>
            <w:hideMark/>
          </w:tcPr>
          <w:p w14:paraId="000A9546" w14:textId="77777777" w:rsidR="0060074A" w:rsidRPr="001B4CA2" w:rsidRDefault="0060074A" w:rsidP="002A38E7">
            <w:pPr>
              <w:jc w:val="center"/>
              <w:rPr>
                <w:color w:val="000000"/>
                <w:sz w:val="18"/>
                <w:szCs w:val="18"/>
              </w:rPr>
            </w:pPr>
            <w:r w:rsidRPr="001B4CA2">
              <w:rPr>
                <w:color w:val="000000"/>
                <w:sz w:val="18"/>
                <w:szCs w:val="18"/>
              </w:rPr>
              <w:t>335</w:t>
            </w:r>
          </w:p>
        </w:tc>
        <w:tc>
          <w:tcPr>
            <w:tcW w:w="997" w:type="dxa"/>
            <w:shd w:val="clear" w:color="auto" w:fill="auto"/>
            <w:noWrap/>
            <w:vAlign w:val="center"/>
            <w:hideMark/>
          </w:tcPr>
          <w:p w14:paraId="310D3CED" w14:textId="77777777" w:rsidR="0060074A" w:rsidRPr="001B4CA2" w:rsidRDefault="0060074A" w:rsidP="002A38E7">
            <w:pPr>
              <w:jc w:val="center"/>
              <w:rPr>
                <w:color w:val="000000"/>
                <w:sz w:val="18"/>
                <w:szCs w:val="18"/>
              </w:rPr>
            </w:pPr>
            <w:r w:rsidRPr="001B4CA2">
              <w:rPr>
                <w:color w:val="000000"/>
                <w:sz w:val="18"/>
                <w:szCs w:val="18"/>
              </w:rPr>
              <w:t>409</w:t>
            </w:r>
          </w:p>
        </w:tc>
        <w:tc>
          <w:tcPr>
            <w:tcW w:w="847" w:type="dxa"/>
            <w:shd w:val="clear" w:color="auto" w:fill="auto"/>
            <w:noWrap/>
            <w:vAlign w:val="center"/>
            <w:hideMark/>
          </w:tcPr>
          <w:p w14:paraId="63E7272A" w14:textId="77777777" w:rsidR="0060074A" w:rsidRPr="001B4CA2" w:rsidRDefault="0060074A" w:rsidP="002A38E7">
            <w:pPr>
              <w:jc w:val="center"/>
              <w:rPr>
                <w:color w:val="000000"/>
                <w:sz w:val="18"/>
                <w:szCs w:val="18"/>
              </w:rPr>
            </w:pPr>
            <w:r w:rsidRPr="001B4CA2">
              <w:rPr>
                <w:color w:val="000000"/>
                <w:sz w:val="18"/>
                <w:szCs w:val="18"/>
              </w:rPr>
              <w:t>9</w:t>
            </w:r>
          </w:p>
        </w:tc>
        <w:tc>
          <w:tcPr>
            <w:tcW w:w="937" w:type="dxa"/>
            <w:shd w:val="clear" w:color="auto" w:fill="auto"/>
            <w:noWrap/>
            <w:vAlign w:val="center"/>
            <w:hideMark/>
          </w:tcPr>
          <w:p w14:paraId="35D66048" w14:textId="77777777" w:rsidR="0060074A" w:rsidRPr="001B4CA2" w:rsidRDefault="0060074A" w:rsidP="002A38E7">
            <w:pPr>
              <w:jc w:val="center"/>
              <w:rPr>
                <w:color w:val="000000"/>
                <w:sz w:val="18"/>
                <w:szCs w:val="18"/>
              </w:rPr>
            </w:pPr>
            <w:r w:rsidRPr="001B4CA2">
              <w:rPr>
                <w:color w:val="000000"/>
                <w:sz w:val="18"/>
                <w:szCs w:val="18"/>
              </w:rPr>
              <w:t>48</w:t>
            </w:r>
          </w:p>
        </w:tc>
        <w:tc>
          <w:tcPr>
            <w:tcW w:w="916" w:type="dxa"/>
            <w:shd w:val="clear" w:color="auto" w:fill="auto"/>
            <w:noWrap/>
            <w:vAlign w:val="center"/>
            <w:hideMark/>
          </w:tcPr>
          <w:p w14:paraId="7C3884D1" w14:textId="77777777" w:rsidR="0060074A" w:rsidRPr="001B4CA2" w:rsidRDefault="0060074A" w:rsidP="002A38E7">
            <w:pPr>
              <w:jc w:val="center"/>
              <w:rPr>
                <w:color w:val="000000"/>
                <w:sz w:val="18"/>
                <w:szCs w:val="18"/>
              </w:rPr>
            </w:pPr>
            <w:r w:rsidRPr="001B4CA2">
              <w:rPr>
                <w:color w:val="000000"/>
                <w:sz w:val="18"/>
                <w:szCs w:val="18"/>
              </w:rPr>
              <w:t>352</w:t>
            </w:r>
          </w:p>
        </w:tc>
        <w:tc>
          <w:tcPr>
            <w:tcW w:w="1037" w:type="dxa"/>
            <w:shd w:val="clear" w:color="auto" w:fill="auto"/>
            <w:noWrap/>
            <w:vAlign w:val="center"/>
            <w:hideMark/>
          </w:tcPr>
          <w:p w14:paraId="1F4C3DE3" w14:textId="77777777" w:rsidR="0060074A" w:rsidRPr="001B4CA2" w:rsidRDefault="0060074A" w:rsidP="002A38E7">
            <w:pPr>
              <w:jc w:val="center"/>
              <w:rPr>
                <w:color w:val="000000"/>
                <w:sz w:val="18"/>
                <w:szCs w:val="18"/>
              </w:rPr>
            </w:pPr>
            <w:r w:rsidRPr="001B4CA2">
              <w:rPr>
                <w:color w:val="000000"/>
                <w:sz w:val="18"/>
                <w:szCs w:val="18"/>
              </w:rPr>
              <w:t>52</w:t>
            </w:r>
          </w:p>
        </w:tc>
        <w:tc>
          <w:tcPr>
            <w:tcW w:w="1191" w:type="dxa"/>
            <w:shd w:val="clear" w:color="auto" w:fill="auto"/>
            <w:noWrap/>
            <w:vAlign w:val="center"/>
            <w:hideMark/>
          </w:tcPr>
          <w:p w14:paraId="4AEEFFF6" w14:textId="77777777" w:rsidR="0060074A" w:rsidRPr="001B4CA2" w:rsidRDefault="0060074A" w:rsidP="002A38E7">
            <w:pPr>
              <w:jc w:val="center"/>
              <w:rPr>
                <w:color w:val="000000"/>
                <w:sz w:val="18"/>
                <w:szCs w:val="18"/>
              </w:rPr>
            </w:pPr>
            <w:r w:rsidRPr="001B4CA2">
              <w:rPr>
                <w:color w:val="000000"/>
                <w:sz w:val="18"/>
                <w:szCs w:val="18"/>
              </w:rPr>
              <w:t> </w:t>
            </w:r>
          </w:p>
        </w:tc>
      </w:tr>
      <w:tr w:rsidR="0060074A" w:rsidRPr="001B4CA2" w14:paraId="5BAA8422" w14:textId="77777777" w:rsidTr="001D4F0F">
        <w:trPr>
          <w:trHeight w:val="300"/>
        </w:trPr>
        <w:tc>
          <w:tcPr>
            <w:tcW w:w="1168" w:type="dxa"/>
            <w:shd w:val="clear" w:color="auto" w:fill="auto"/>
            <w:vAlign w:val="center"/>
            <w:hideMark/>
          </w:tcPr>
          <w:p w14:paraId="662355D4" w14:textId="77777777" w:rsidR="0060074A" w:rsidRPr="001B4CA2" w:rsidRDefault="0060074A" w:rsidP="002A38E7">
            <w:pPr>
              <w:jc w:val="center"/>
              <w:rPr>
                <w:color w:val="000000"/>
                <w:sz w:val="18"/>
                <w:szCs w:val="18"/>
              </w:rPr>
            </w:pPr>
            <w:r w:rsidRPr="001B4CA2">
              <w:rPr>
                <w:color w:val="000000"/>
                <w:sz w:val="18"/>
                <w:szCs w:val="18"/>
              </w:rPr>
              <w:t>2021.</w:t>
            </w:r>
          </w:p>
        </w:tc>
        <w:tc>
          <w:tcPr>
            <w:tcW w:w="1082" w:type="dxa"/>
            <w:shd w:val="clear" w:color="auto" w:fill="auto"/>
            <w:noWrap/>
            <w:vAlign w:val="center"/>
            <w:hideMark/>
          </w:tcPr>
          <w:p w14:paraId="74A09C40" w14:textId="77777777" w:rsidR="0060074A" w:rsidRPr="001B4CA2" w:rsidRDefault="0060074A" w:rsidP="002A38E7">
            <w:pPr>
              <w:jc w:val="center"/>
              <w:rPr>
                <w:color w:val="000000"/>
                <w:sz w:val="18"/>
                <w:szCs w:val="18"/>
              </w:rPr>
            </w:pPr>
            <w:r w:rsidRPr="001B4CA2">
              <w:rPr>
                <w:color w:val="000000"/>
                <w:sz w:val="18"/>
                <w:szCs w:val="18"/>
              </w:rPr>
              <w:t>412</w:t>
            </w:r>
          </w:p>
        </w:tc>
        <w:tc>
          <w:tcPr>
            <w:tcW w:w="997" w:type="dxa"/>
            <w:shd w:val="clear" w:color="auto" w:fill="auto"/>
            <w:noWrap/>
            <w:vAlign w:val="center"/>
            <w:hideMark/>
          </w:tcPr>
          <w:p w14:paraId="50973537" w14:textId="77777777" w:rsidR="0060074A" w:rsidRPr="001B4CA2" w:rsidRDefault="0060074A" w:rsidP="002A38E7">
            <w:pPr>
              <w:jc w:val="center"/>
              <w:rPr>
                <w:color w:val="000000"/>
                <w:sz w:val="18"/>
                <w:szCs w:val="18"/>
              </w:rPr>
            </w:pPr>
            <w:r w:rsidRPr="001B4CA2">
              <w:rPr>
                <w:color w:val="000000"/>
                <w:sz w:val="18"/>
                <w:szCs w:val="18"/>
              </w:rPr>
              <w:t>443</w:t>
            </w:r>
          </w:p>
        </w:tc>
        <w:tc>
          <w:tcPr>
            <w:tcW w:w="847" w:type="dxa"/>
            <w:shd w:val="clear" w:color="auto" w:fill="auto"/>
            <w:noWrap/>
            <w:vAlign w:val="center"/>
            <w:hideMark/>
          </w:tcPr>
          <w:p w14:paraId="53E16375" w14:textId="77777777" w:rsidR="0060074A" w:rsidRPr="001B4CA2" w:rsidRDefault="0060074A" w:rsidP="002A38E7">
            <w:pPr>
              <w:jc w:val="center"/>
              <w:rPr>
                <w:color w:val="000000"/>
                <w:sz w:val="18"/>
                <w:szCs w:val="18"/>
              </w:rPr>
            </w:pPr>
            <w:r w:rsidRPr="001B4CA2">
              <w:rPr>
                <w:color w:val="000000"/>
                <w:sz w:val="18"/>
                <w:szCs w:val="18"/>
              </w:rPr>
              <w:t>9</w:t>
            </w:r>
          </w:p>
        </w:tc>
        <w:tc>
          <w:tcPr>
            <w:tcW w:w="937" w:type="dxa"/>
            <w:shd w:val="clear" w:color="auto" w:fill="auto"/>
            <w:noWrap/>
            <w:vAlign w:val="center"/>
            <w:hideMark/>
          </w:tcPr>
          <w:p w14:paraId="08B16F9A" w14:textId="77777777" w:rsidR="0060074A" w:rsidRPr="001B4CA2" w:rsidRDefault="0060074A" w:rsidP="002A38E7">
            <w:pPr>
              <w:jc w:val="center"/>
              <w:rPr>
                <w:color w:val="000000"/>
                <w:sz w:val="18"/>
                <w:szCs w:val="18"/>
              </w:rPr>
            </w:pPr>
            <w:r w:rsidRPr="001B4CA2">
              <w:rPr>
                <w:color w:val="000000"/>
                <w:sz w:val="18"/>
                <w:szCs w:val="18"/>
              </w:rPr>
              <w:t>42</w:t>
            </w:r>
          </w:p>
        </w:tc>
        <w:tc>
          <w:tcPr>
            <w:tcW w:w="916" w:type="dxa"/>
            <w:shd w:val="clear" w:color="auto" w:fill="auto"/>
            <w:noWrap/>
            <w:vAlign w:val="center"/>
            <w:hideMark/>
          </w:tcPr>
          <w:p w14:paraId="1A13103C" w14:textId="77777777" w:rsidR="0060074A" w:rsidRPr="001B4CA2" w:rsidRDefault="0060074A" w:rsidP="002A38E7">
            <w:pPr>
              <w:jc w:val="center"/>
              <w:rPr>
                <w:color w:val="000000"/>
                <w:sz w:val="18"/>
                <w:szCs w:val="18"/>
              </w:rPr>
            </w:pPr>
            <w:r w:rsidRPr="001B4CA2">
              <w:rPr>
                <w:color w:val="000000"/>
                <w:sz w:val="18"/>
                <w:szCs w:val="18"/>
              </w:rPr>
              <w:t>334</w:t>
            </w:r>
          </w:p>
        </w:tc>
        <w:tc>
          <w:tcPr>
            <w:tcW w:w="1037" w:type="dxa"/>
            <w:shd w:val="clear" w:color="auto" w:fill="auto"/>
            <w:noWrap/>
            <w:vAlign w:val="center"/>
            <w:hideMark/>
          </w:tcPr>
          <w:p w14:paraId="6862847E" w14:textId="77777777" w:rsidR="0060074A" w:rsidRPr="001B4CA2" w:rsidRDefault="0060074A" w:rsidP="002A38E7">
            <w:pPr>
              <w:jc w:val="center"/>
              <w:rPr>
                <w:color w:val="000000"/>
                <w:sz w:val="18"/>
                <w:szCs w:val="18"/>
              </w:rPr>
            </w:pPr>
            <w:r w:rsidRPr="001B4CA2">
              <w:rPr>
                <w:color w:val="000000"/>
                <w:sz w:val="18"/>
                <w:szCs w:val="18"/>
              </w:rPr>
              <w:t>56</w:t>
            </w:r>
          </w:p>
        </w:tc>
        <w:tc>
          <w:tcPr>
            <w:tcW w:w="1191" w:type="dxa"/>
            <w:shd w:val="clear" w:color="auto" w:fill="auto"/>
            <w:noWrap/>
            <w:vAlign w:val="center"/>
            <w:hideMark/>
          </w:tcPr>
          <w:p w14:paraId="2681C68B" w14:textId="77777777" w:rsidR="0060074A" w:rsidRPr="001B4CA2" w:rsidRDefault="0060074A" w:rsidP="002A38E7">
            <w:pPr>
              <w:jc w:val="center"/>
              <w:rPr>
                <w:color w:val="000000"/>
                <w:sz w:val="18"/>
                <w:szCs w:val="18"/>
              </w:rPr>
            </w:pPr>
            <w:r w:rsidRPr="001B4CA2">
              <w:rPr>
                <w:color w:val="000000"/>
                <w:sz w:val="18"/>
                <w:szCs w:val="18"/>
              </w:rPr>
              <w:t> </w:t>
            </w:r>
          </w:p>
        </w:tc>
      </w:tr>
      <w:tr w:rsidR="0060074A" w:rsidRPr="001B4CA2" w14:paraId="65850004" w14:textId="77777777" w:rsidTr="001D4F0F">
        <w:trPr>
          <w:trHeight w:val="315"/>
        </w:trPr>
        <w:tc>
          <w:tcPr>
            <w:tcW w:w="1168" w:type="dxa"/>
            <w:shd w:val="clear" w:color="auto" w:fill="auto"/>
            <w:vAlign w:val="center"/>
            <w:hideMark/>
          </w:tcPr>
          <w:p w14:paraId="379BEAB0" w14:textId="77777777" w:rsidR="0060074A" w:rsidRPr="001B4CA2" w:rsidRDefault="0060074A" w:rsidP="002A38E7">
            <w:pPr>
              <w:jc w:val="center"/>
              <w:rPr>
                <w:color w:val="000000"/>
                <w:sz w:val="18"/>
                <w:szCs w:val="18"/>
              </w:rPr>
            </w:pPr>
            <w:r w:rsidRPr="001B4CA2">
              <w:rPr>
                <w:color w:val="000000"/>
                <w:sz w:val="18"/>
                <w:szCs w:val="18"/>
              </w:rPr>
              <w:t>2022.</w:t>
            </w:r>
          </w:p>
        </w:tc>
        <w:tc>
          <w:tcPr>
            <w:tcW w:w="1082" w:type="dxa"/>
            <w:shd w:val="clear" w:color="auto" w:fill="auto"/>
            <w:noWrap/>
            <w:vAlign w:val="center"/>
            <w:hideMark/>
          </w:tcPr>
          <w:p w14:paraId="73872FB6" w14:textId="77777777" w:rsidR="0060074A" w:rsidRPr="001B4CA2" w:rsidRDefault="0060074A" w:rsidP="002A38E7">
            <w:pPr>
              <w:jc w:val="center"/>
              <w:rPr>
                <w:color w:val="000000"/>
                <w:sz w:val="18"/>
                <w:szCs w:val="18"/>
              </w:rPr>
            </w:pPr>
            <w:r w:rsidRPr="001B4CA2">
              <w:rPr>
                <w:color w:val="000000"/>
                <w:sz w:val="18"/>
                <w:szCs w:val="18"/>
              </w:rPr>
              <w:t>454</w:t>
            </w:r>
          </w:p>
        </w:tc>
        <w:tc>
          <w:tcPr>
            <w:tcW w:w="997" w:type="dxa"/>
            <w:shd w:val="clear" w:color="auto" w:fill="auto"/>
            <w:noWrap/>
            <w:vAlign w:val="center"/>
            <w:hideMark/>
          </w:tcPr>
          <w:p w14:paraId="243E47CA" w14:textId="77777777" w:rsidR="0060074A" w:rsidRPr="001B4CA2" w:rsidRDefault="0060074A" w:rsidP="002A38E7">
            <w:pPr>
              <w:jc w:val="center"/>
              <w:rPr>
                <w:color w:val="000000"/>
                <w:sz w:val="18"/>
                <w:szCs w:val="18"/>
              </w:rPr>
            </w:pPr>
            <w:r w:rsidRPr="001B4CA2">
              <w:rPr>
                <w:color w:val="000000"/>
                <w:sz w:val="18"/>
                <w:szCs w:val="18"/>
              </w:rPr>
              <w:t>499</w:t>
            </w:r>
          </w:p>
        </w:tc>
        <w:tc>
          <w:tcPr>
            <w:tcW w:w="847" w:type="dxa"/>
            <w:shd w:val="clear" w:color="auto" w:fill="auto"/>
            <w:vAlign w:val="center"/>
            <w:hideMark/>
          </w:tcPr>
          <w:p w14:paraId="0454CECD" w14:textId="77777777" w:rsidR="0060074A" w:rsidRPr="001B4CA2" w:rsidRDefault="0060074A" w:rsidP="002A38E7">
            <w:pPr>
              <w:jc w:val="center"/>
              <w:rPr>
                <w:color w:val="000000"/>
                <w:sz w:val="18"/>
                <w:szCs w:val="18"/>
              </w:rPr>
            </w:pPr>
            <w:r w:rsidRPr="001B4CA2">
              <w:rPr>
                <w:color w:val="000000"/>
                <w:sz w:val="18"/>
                <w:szCs w:val="18"/>
              </w:rPr>
              <w:t>11</w:t>
            </w:r>
          </w:p>
        </w:tc>
        <w:tc>
          <w:tcPr>
            <w:tcW w:w="937" w:type="dxa"/>
            <w:shd w:val="clear" w:color="auto" w:fill="auto"/>
            <w:noWrap/>
            <w:vAlign w:val="center"/>
            <w:hideMark/>
          </w:tcPr>
          <w:p w14:paraId="448E4DB6" w14:textId="77777777" w:rsidR="0060074A" w:rsidRPr="001B4CA2" w:rsidRDefault="0060074A" w:rsidP="002A38E7">
            <w:pPr>
              <w:jc w:val="center"/>
              <w:rPr>
                <w:color w:val="000000"/>
                <w:sz w:val="18"/>
                <w:szCs w:val="18"/>
              </w:rPr>
            </w:pPr>
            <w:r w:rsidRPr="001B4CA2">
              <w:rPr>
                <w:color w:val="000000"/>
                <w:sz w:val="18"/>
                <w:szCs w:val="18"/>
              </w:rPr>
              <w:t>55</w:t>
            </w:r>
          </w:p>
        </w:tc>
        <w:tc>
          <w:tcPr>
            <w:tcW w:w="916" w:type="dxa"/>
            <w:shd w:val="clear" w:color="auto" w:fill="auto"/>
            <w:noWrap/>
            <w:vAlign w:val="center"/>
            <w:hideMark/>
          </w:tcPr>
          <w:p w14:paraId="224824A6" w14:textId="77777777" w:rsidR="0060074A" w:rsidRPr="001B4CA2" w:rsidRDefault="0060074A" w:rsidP="002A38E7">
            <w:pPr>
              <w:jc w:val="center"/>
              <w:rPr>
                <w:color w:val="000000"/>
                <w:sz w:val="18"/>
                <w:szCs w:val="18"/>
              </w:rPr>
            </w:pPr>
            <w:r w:rsidRPr="001B4CA2">
              <w:rPr>
                <w:color w:val="000000"/>
                <w:sz w:val="18"/>
                <w:szCs w:val="18"/>
              </w:rPr>
              <w:t>367</w:t>
            </w:r>
          </w:p>
        </w:tc>
        <w:tc>
          <w:tcPr>
            <w:tcW w:w="1037" w:type="dxa"/>
            <w:shd w:val="clear" w:color="auto" w:fill="auto"/>
            <w:noWrap/>
            <w:vAlign w:val="center"/>
            <w:hideMark/>
          </w:tcPr>
          <w:p w14:paraId="44B2AC80" w14:textId="77777777" w:rsidR="0060074A" w:rsidRPr="001B4CA2" w:rsidRDefault="0060074A" w:rsidP="002A38E7">
            <w:pPr>
              <w:jc w:val="center"/>
              <w:rPr>
                <w:color w:val="000000"/>
                <w:sz w:val="18"/>
                <w:szCs w:val="18"/>
              </w:rPr>
            </w:pPr>
            <w:r w:rsidRPr="001B4CA2">
              <w:rPr>
                <w:color w:val="000000"/>
                <w:sz w:val="18"/>
                <w:szCs w:val="18"/>
              </w:rPr>
              <w:t>65</w:t>
            </w:r>
          </w:p>
        </w:tc>
        <w:tc>
          <w:tcPr>
            <w:tcW w:w="1191" w:type="dxa"/>
            <w:shd w:val="clear" w:color="auto" w:fill="auto"/>
            <w:noWrap/>
            <w:vAlign w:val="center"/>
            <w:hideMark/>
          </w:tcPr>
          <w:p w14:paraId="15908D2F" w14:textId="77777777" w:rsidR="0060074A" w:rsidRPr="001B4CA2" w:rsidRDefault="0060074A" w:rsidP="002A38E7">
            <w:pPr>
              <w:jc w:val="center"/>
              <w:rPr>
                <w:color w:val="000000"/>
                <w:sz w:val="18"/>
                <w:szCs w:val="18"/>
              </w:rPr>
            </w:pPr>
            <w:r w:rsidRPr="001B4CA2">
              <w:rPr>
                <w:color w:val="000000"/>
                <w:sz w:val="18"/>
                <w:szCs w:val="18"/>
              </w:rPr>
              <w:t> </w:t>
            </w:r>
          </w:p>
        </w:tc>
      </w:tr>
    </w:tbl>
    <w:p w14:paraId="3A5E7F48" w14:textId="77777777" w:rsidR="0060074A" w:rsidRPr="001B4CA2" w:rsidRDefault="0060074A" w:rsidP="0060074A"/>
    <w:p w14:paraId="5645C13A" w14:textId="77777777" w:rsidR="0060074A" w:rsidRPr="001B4CA2" w:rsidRDefault="0060074A" w:rsidP="0060074A">
      <w:pPr>
        <w:ind w:firstLine="708"/>
      </w:pPr>
      <w:r w:rsidRPr="001B4CA2">
        <w:t>U izvještajnom razdoblju neznatno je porastao ukupan broj podnesenih prijedloga za izricanje maloljetničke sankcije slijedom čega je i bio očekivani porast broja ukupno izrečenih maloljetničkih sankcija.</w:t>
      </w:r>
    </w:p>
    <w:p w14:paraId="4D12A044" w14:textId="77777777" w:rsidR="0060074A" w:rsidRPr="001B4CA2" w:rsidRDefault="0060074A" w:rsidP="0060074A"/>
    <w:p w14:paraId="5E9B3482" w14:textId="77777777" w:rsidR="0060074A" w:rsidRPr="001B4CA2" w:rsidRDefault="0060074A" w:rsidP="0060074A">
      <w:pPr>
        <w:ind w:firstLine="708"/>
      </w:pPr>
      <w:r w:rsidRPr="001B4CA2">
        <w:t>Kao i u prethodnim izvještajnim razdobljima sudovi su maloljetnim počiniteljima kaznenih djela u pravilu izricali neku od odgojnih mjera, odnosno pod uvjetom da se radi o starijim maloljetnicima (maloljetnik koji je u vrijeme počinjenja kaznenog djela navršio 16, a nije navršio 18 godina života), a počinio je i kazneno djelo za koje je zakonom propisana kazna zatvora tri godine ili teža kazna i pridržaj izricanja maloljetničkog zatvora.</w:t>
      </w:r>
    </w:p>
    <w:p w14:paraId="033A36F9" w14:textId="77777777" w:rsidR="0060074A" w:rsidRPr="001B4CA2" w:rsidRDefault="0060074A" w:rsidP="0060074A"/>
    <w:p w14:paraId="6B5B9677" w14:textId="3392B7D0" w:rsidR="0060074A" w:rsidRPr="001B4CA2" w:rsidRDefault="0060074A" w:rsidP="0060074A">
      <w:pPr>
        <w:ind w:firstLine="708"/>
      </w:pPr>
      <w:r w:rsidRPr="001B4CA2">
        <w:t>U ukupnom broju izrečenih maloljetničkih sankcija odgojne mjere participiraju u izvještajnom razdoblju s</w:t>
      </w:r>
      <w:r w:rsidR="00A67909">
        <w:t>a</w:t>
      </w:r>
      <w:r w:rsidRPr="001B4CA2">
        <w:t xml:space="preserve"> 73,5 %, a pridržaj izricanja maloljetničkog zatvora s 10,2</w:t>
      </w:r>
      <w:r w:rsidR="00A67909">
        <w:t> </w:t>
      </w:r>
      <w:r w:rsidRPr="001B4CA2">
        <w:t>%.</w:t>
      </w:r>
    </w:p>
    <w:p w14:paraId="340FC29D" w14:textId="34DA0EFB" w:rsidR="00F66829" w:rsidRPr="001B4CA2" w:rsidRDefault="00F66829" w:rsidP="002607C7"/>
    <w:p w14:paraId="2C7D71FA" w14:textId="5AE8CABD" w:rsidR="00DD67EB" w:rsidRDefault="00DD67EB" w:rsidP="002607C7"/>
    <w:p w14:paraId="2FB692B2" w14:textId="77777777" w:rsidR="00B901FE" w:rsidRPr="001B4CA2" w:rsidRDefault="00B901FE" w:rsidP="002607C7"/>
    <w:p w14:paraId="037FE6FA" w14:textId="3B61CC07" w:rsidR="000857CC" w:rsidRPr="001B4CA2" w:rsidRDefault="000857CC" w:rsidP="000F634C">
      <w:pPr>
        <w:pStyle w:val="Naslov5"/>
        <w:tabs>
          <w:tab w:val="left" w:pos="1276"/>
        </w:tabs>
        <w:ind w:left="426" w:firstLine="0"/>
        <w:rPr>
          <w:rFonts w:ascii="Arial" w:hAnsi="Arial" w:cs="Arial"/>
        </w:rPr>
      </w:pPr>
      <w:bookmarkStart w:id="36" w:name="_Hlk133304885"/>
      <w:bookmarkStart w:id="37" w:name="_Toc133394299"/>
      <w:r w:rsidRPr="001B4CA2">
        <w:rPr>
          <w:rFonts w:ascii="Arial" w:hAnsi="Arial" w:cs="Arial"/>
        </w:rPr>
        <w:lastRenderedPageBreak/>
        <w:t>Oduzimanje</w:t>
      </w:r>
      <w:r w:rsidR="00415CC9" w:rsidRPr="001B4CA2">
        <w:rPr>
          <w:rFonts w:ascii="Arial" w:hAnsi="Arial" w:cs="Arial"/>
        </w:rPr>
        <w:t xml:space="preserve"> i</w:t>
      </w:r>
      <w:r w:rsidRPr="001B4CA2">
        <w:rPr>
          <w:rFonts w:ascii="Arial" w:hAnsi="Arial" w:cs="Arial"/>
        </w:rPr>
        <w:t>movinske koristi i mjere osiguranja</w:t>
      </w:r>
      <w:bookmarkEnd w:id="37"/>
    </w:p>
    <w:p w14:paraId="4263FDF8" w14:textId="77777777" w:rsidR="00BC2606" w:rsidRPr="001B4CA2" w:rsidRDefault="00BC2606" w:rsidP="00BC2606"/>
    <w:p w14:paraId="38C224C6" w14:textId="10D69464" w:rsidR="00170819" w:rsidRPr="001B4CA2" w:rsidRDefault="00031FDC" w:rsidP="00170819">
      <w:r w:rsidRPr="001B4CA2">
        <w:tab/>
      </w:r>
      <w:r w:rsidR="00170819" w:rsidRPr="001B4CA2">
        <w:t>Tijekom 2022. godine ukupno je postupanjima svih državnih odvjetništava, odnosno Ureda za suzbijanje korupcije i organiziranog kriminaliteta, županijskih i općinskih državnih odvjetništava oduzeta imovinska korist u iznosu 218.082.062,68 k</w:t>
      </w:r>
      <w:r w:rsidR="00373B2A" w:rsidRPr="001B4CA2">
        <w:t>n</w:t>
      </w:r>
      <w:r w:rsidR="00725E90">
        <w:t xml:space="preserve"> </w:t>
      </w:r>
      <w:r w:rsidR="000F634C" w:rsidRPr="001B4CA2">
        <w:t>/</w:t>
      </w:r>
      <w:r w:rsidR="00725E90">
        <w:t xml:space="preserve"> </w:t>
      </w:r>
      <w:r w:rsidR="000F634C" w:rsidRPr="001B4CA2">
        <w:t>28.944.463,8</w:t>
      </w:r>
      <w:r w:rsidR="00F879D8">
        <w:t>2</w:t>
      </w:r>
      <w:r w:rsidR="000F634C" w:rsidRPr="001B4CA2">
        <w:t xml:space="preserve"> EUR,</w:t>
      </w:r>
      <w:r w:rsidR="00170819" w:rsidRPr="001B4CA2">
        <w:t xml:space="preserve"> što je najveći iznos oduzete imovinske koristi u proteklom petogodišnjem razdoblju. Povećan je i broj pojedinačnih oduzimanja imovinske koristi te u 2022. godini iznosi 915. Radi se o povećanju vrijednosti ukupno oduzete imovinske koristi za 56,8</w:t>
      </w:r>
      <w:r w:rsidR="00725E90">
        <w:t> </w:t>
      </w:r>
      <w:r w:rsidR="00170819" w:rsidRPr="001B4CA2">
        <w:t>% u odnosu na 2021. godinu, a broj osoba od kojih je oduzeta imovinska korist povećan je u odnosu za 2021. godinu za 5,46</w:t>
      </w:r>
      <w:r w:rsidR="00725E90">
        <w:t> </w:t>
      </w:r>
      <w:r w:rsidR="00170819" w:rsidRPr="001B4CA2">
        <w:t>%.</w:t>
      </w:r>
    </w:p>
    <w:p w14:paraId="0B099786" w14:textId="77777777" w:rsidR="00170819" w:rsidRPr="001B4CA2" w:rsidRDefault="00170819" w:rsidP="00170819"/>
    <w:p w14:paraId="0A06B01F" w14:textId="149782D9" w:rsidR="00170819" w:rsidRPr="001B4CA2" w:rsidRDefault="00031FDC" w:rsidP="00170819">
      <w:r w:rsidRPr="001B4CA2">
        <w:tab/>
      </w:r>
      <w:r w:rsidR="00170819" w:rsidRPr="001B4CA2">
        <w:t xml:space="preserve">Od naznačenog iznosa oduzete imovinske koristi 218.082.062,68 </w:t>
      </w:r>
      <w:r w:rsidR="000F634C" w:rsidRPr="001B4CA2">
        <w:t>kn</w:t>
      </w:r>
      <w:r w:rsidR="00725E90">
        <w:t xml:space="preserve"> </w:t>
      </w:r>
      <w:r w:rsidR="000F634C" w:rsidRPr="001B4CA2">
        <w:t>/</w:t>
      </w:r>
      <w:r w:rsidR="00725E90">
        <w:t xml:space="preserve"> </w:t>
      </w:r>
      <w:r w:rsidR="000F634C" w:rsidRPr="001B4CA2">
        <w:t>28.944.463,8</w:t>
      </w:r>
      <w:r w:rsidR="00F879D8">
        <w:t>2</w:t>
      </w:r>
      <w:r w:rsidR="000F634C" w:rsidRPr="001B4CA2">
        <w:t xml:space="preserve"> EUR</w:t>
      </w:r>
      <w:r w:rsidR="00170819" w:rsidRPr="001B4CA2">
        <w:t>, oduzeto je imovinske koristi od odraslih počinitelja 217.234.435,6</w:t>
      </w:r>
      <w:r w:rsidR="00257FA8" w:rsidRPr="001B4CA2">
        <w:t xml:space="preserve"> </w:t>
      </w:r>
      <w:r w:rsidR="000F634C" w:rsidRPr="001B4CA2">
        <w:t>kn</w:t>
      </w:r>
      <w:r w:rsidR="00725E90">
        <w:t xml:space="preserve"> </w:t>
      </w:r>
      <w:r w:rsidR="000F634C" w:rsidRPr="001B4CA2">
        <w:t>/</w:t>
      </w:r>
      <w:r w:rsidR="00725E90">
        <w:t xml:space="preserve"> </w:t>
      </w:r>
      <w:r w:rsidR="000F634C" w:rsidRPr="001B4CA2">
        <w:t>28.831.964,</w:t>
      </w:r>
      <w:r w:rsidR="00F879D8">
        <w:t>38</w:t>
      </w:r>
      <w:r w:rsidR="000F634C" w:rsidRPr="001B4CA2">
        <w:t xml:space="preserve"> EUR</w:t>
      </w:r>
      <w:r w:rsidR="00170819" w:rsidRPr="001B4CA2">
        <w:t>, od mlađih punoljetnika</w:t>
      </w:r>
      <w:r w:rsidR="001B4CA2">
        <w:t xml:space="preserve"> </w:t>
      </w:r>
      <w:r w:rsidR="00170819" w:rsidRPr="001B4CA2">
        <w:t>844.253,71 k</w:t>
      </w:r>
      <w:r w:rsidR="000F634C" w:rsidRPr="001B4CA2">
        <w:t>n</w:t>
      </w:r>
      <w:r w:rsidR="00725E90">
        <w:t xml:space="preserve"> </w:t>
      </w:r>
      <w:r w:rsidR="000F634C" w:rsidRPr="001B4CA2">
        <w:t>/</w:t>
      </w:r>
      <w:r w:rsidR="00725E90">
        <w:t xml:space="preserve"> </w:t>
      </w:r>
      <w:r w:rsidR="000F634C" w:rsidRPr="001B4CA2">
        <w:t>112.051,72 EUR</w:t>
      </w:r>
      <w:r w:rsidR="00170819" w:rsidRPr="001B4CA2">
        <w:t>, u predmetima kaznenopravne zaštite djece oduzeto je 2.608,53 k</w:t>
      </w:r>
      <w:r w:rsidR="000F634C" w:rsidRPr="001B4CA2">
        <w:t>n</w:t>
      </w:r>
      <w:r w:rsidR="00725E90">
        <w:t xml:space="preserve"> </w:t>
      </w:r>
      <w:r w:rsidR="000F634C" w:rsidRPr="001B4CA2">
        <w:t>/</w:t>
      </w:r>
      <w:r w:rsidR="00725E90">
        <w:t xml:space="preserve"> </w:t>
      </w:r>
      <w:r w:rsidR="000F634C" w:rsidRPr="001B4CA2">
        <w:t>346,21 EUR</w:t>
      </w:r>
      <w:r w:rsidR="00170819" w:rsidRPr="001B4CA2">
        <w:t xml:space="preserve"> te od maloljetnih počinitelja 764,84 k</w:t>
      </w:r>
      <w:r w:rsidR="000F634C" w:rsidRPr="001B4CA2">
        <w:t>n</w:t>
      </w:r>
      <w:r w:rsidR="00725E90">
        <w:t xml:space="preserve"> </w:t>
      </w:r>
      <w:r w:rsidR="000F634C" w:rsidRPr="001B4CA2">
        <w:t>/</w:t>
      </w:r>
      <w:r w:rsidR="00725E90">
        <w:t xml:space="preserve"> </w:t>
      </w:r>
      <w:r w:rsidR="000F634C" w:rsidRPr="001B4CA2">
        <w:t>101,51 EUR</w:t>
      </w:r>
      <w:r w:rsidR="00170819" w:rsidRPr="001B4CA2">
        <w:t>.</w:t>
      </w:r>
    </w:p>
    <w:p w14:paraId="3D9F50D5" w14:textId="77777777" w:rsidR="00170819" w:rsidRPr="001B4CA2" w:rsidRDefault="00170819" w:rsidP="00170819"/>
    <w:p w14:paraId="23ECBE5E" w14:textId="20E0839C" w:rsidR="00170819" w:rsidRPr="001B4CA2" w:rsidRDefault="00031FDC" w:rsidP="00170819">
      <w:r w:rsidRPr="001B4CA2">
        <w:tab/>
      </w:r>
      <w:r w:rsidR="00170819" w:rsidRPr="001B4CA2">
        <w:t xml:space="preserve">Najveći udio u vrijednosti imovinske koristi odnosi se na predmete županijskih državnih odvjetništava, u kojima je oduzeto 92.732.523,78 </w:t>
      </w:r>
      <w:r w:rsidR="000F634C" w:rsidRPr="001B4CA2">
        <w:t>kn</w:t>
      </w:r>
      <w:r w:rsidR="00725E90">
        <w:t xml:space="preserve"> </w:t>
      </w:r>
      <w:r w:rsidR="000F634C" w:rsidRPr="001B4CA2">
        <w:t>/</w:t>
      </w:r>
      <w:r w:rsidR="00725E90">
        <w:t xml:space="preserve"> </w:t>
      </w:r>
      <w:r w:rsidR="000F634C" w:rsidRPr="001B4CA2">
        <w:t>12</w:t>
      </w:r>
      <w:r w:rsidR="00B901FE">
        <w:t>.</w:t>
      </w:r>
      <w:r w:rsidR="000F634C" w:rsidRPr="001B4CA2">
        <w:t>307</w:t>
      </w:r>
      <w:r w:rsidR="00B901FE">
        <w:t>.72</w:t>
      </w:r>
      <w:r w:rsidR="00F879D8">
        <w:t>0,99</w:t>
      </w:r>
      <w:r w:rsidR="000F634C" w:rsidRPr="001B4CA2">
        <w:t xml:space="preserve"> EUR</w:t>
      </w:r>
      <w:r w:rsidR="00170819" w:rsidRPr="001B4CA2">
        <w:t xml:space="preserve"> imovinske koristi. Slijede predmeti Ureda za suzbijanje korupcije i organiziranog kriminaliteta u kojima je oduzeto imovinske koristi u vrijednosti </w:t>
      </w:r>
      <w:r w:rsidR="00725E90">
        <w:t xml:space="preserve">od </w:t>
      </w:r>
      <w:r w:rsidR="00170819" w:rsidRPr="001B4CA2">
        <w:t>63.812.350,00 k</w:t>
      </w:r>
      <w:r w:rsidR="000F634C" w:rsidRPr="001B4CA2">
        <w:t>n</w:t>
      </w:r>
      <w:r w:rsidR="00725E90">
        <w:t xml:space="preserve"> </w:t>
      </w:r>
      <w:r w:rsidR="000F634C" w:rsidRPr="001B4CA2">
        <w:t>/</w:t>
      </w:r>
      <w:r w:rsidR="00725E90">
        <w:t xml:space="preserve"> </w:t>
      </w:r>
      <w:r w:rsidR="000F634C" w:rsidRPr="001B4CA2">
        <w:t>8.469.354,3 EUR</w:t>
      </w:r>
      <w:r w:rsidR="00170819" w:rsidRPr="001B4CA2">
        <w:t>, a u predmetima općinskih državnih odvjetništava oduzeto je imovinske koristi u iznosu</w:t>
      </w:r>
      <w:r w:rsidR="00725E90">
        <w:t xml:space="preserve"> od</w:t>
      </w:r>
      <w:r w:rsidR="00170819" w:rsidRPr="001B4CA2">
        <w:t xml:space="preserve"> 61.537.189,38 k</w:t>
      </w:r>
      <w:r w:rsidR="000F634C" w:rsidRPr="001B4CA2">
        <w:t>n</w:t>
      </w:r>
      <w:r w:rsidR="00725E90">
        <w:t xml:space="preserve"> </w:t>
      </w:r>
      <w:r w:rsidR="000F634C" w:rsidRPr="001B4CA2">
        <w:t>/</w:t>
      </w:r>
      <w:r w:rsidR="00725E90">
        <w:t xml:space="preserve"> </w:t>
      </w:r>
      <w:r w:rsidR="000F634C" w:rsidRPr="001B4CA2">
        <w:t>8.167.388,6 EUR</w:t>
      </w:r>
      <w:r w:rsidR="00170819" w:rsidRPr="001B4CA2">
        <w:t xml:space="preserve">. </w:t>
      </w:r>
    </w:p>
    <w:p w14:paraId="4C4FDE76" w14:textId="77777777" w:rsidR="00170819" w:rsidRPr="001B4CA2" w:rsidRDefault="00170819" w:rsidP="00170819"/>
    <w:p w14:paraId="2F162531" w14:textId="42FCAB37" w:rsidR="00170819" w:rsidRPr="001B4CA2" w:rsidRDefault="00031FDC" w:rsidP="00170819">
      <w:r w:rsidRPr="001B4CA2">
        <w:tab/>
      </w:r>
      <w:r w:rsidR="00170819" w:rsidRPr="001B4CA2">
        <w:t>U prošlogodišnjem izvještajnom razdoblju najveća vrijednost ukupno oduzete imovinske koristi odnosila se na predmete Ureda za suzbijanje korupcije i organiziranog kriminaliteta, dok se u ovom razdoblju čak 42,52</w:t>
      </w:r>
      <w:r w:rsidR="00725E90">
        <w:t> </w:t>
      </w:r>
      <w:r w:rsidR="00170819" w:rsidRPr="001B4CA2">
        <w:t xml:space="preserve">% vrijednosti oduzete imovinske koristi odnosi na predmete županijskih državnih odvjetništava. </w:t>
      </w:r>
    </w:p>
    <w:p w14:paraId="7F9D97D9" w14:textId="77777777" w:rsidR="00170819" w:rsidRPr="001B4CA2" w:rsidRDefault="00170819" w:rsidP="00170819"/>
    <w:p w14:paraId="5BD751DF" w14:textId="64176595" w:rsidR="00170819" w:rsidRPr="001B4CA2" w:rsidRDefault="00031FDC" w:rsidP="00170819">
      <w:r w:rsidRPr="001B4CA2">
        <w:tab/>
      </w:r>
      <w:r w:rsidR="00170819" w:rsidRPr="001B4CA2">
        <w:t>Povećanje vrijednosti oduzete imovinske koristi u predmetima županijskih državnih odvjetništava uzrokovano je povećanjem broja sudskih presuda kojima je odlučeno, između ostalog</w:t>
      </w:r>
      <w:r w:rsidR="00725E90">
        <w:t>,</w:t>
      </w:r>
      <w:r w:rsidR="00170819" w:rsidRPr="001B4CA2">
        <w:t xml:space="preserve"> i o oduzimanju imovinske koristi u pojedinačno visokim iznosima.</w:t>
      </w:r>
    </w:p>
    <w:p w14:paraId="6E6CC388" w14:textId="77777777" w:rsidR="00170819" w:rsidRPr="001B4CA2" w:rsidRDefault="00170819" w:rsidP="00170819"/>
    <w:p w14:paraId="5D962B58" w14:textId="6C00236E" w:rsidR="00170819" w:rsidRPr="001B4CA2" w:rsidRDefault="00031FDC" w:rsidP="00170819">
      <w:r w:rsidRPr="001B4CA2">
        <w:tab/>
      </w:r>
      <w:r w:rsidR="00170819" w:rsidRPr="001B4CA2">
        <w:t>Međutim, najveći broj pojedinačnih oduzimanja imovinske koristi zabilježen je u predmetima općinskih državnih odvjetništava, koja je oduzeta od 680 osoba (što predstavlja 74,3</w:t>
      </w:r>
      <w:r w:rsidR="00725E90">
        <w:t> </w:t>
      </w:r>
      <w:r w:rsidR="00170819" w:rsidRPr="001B4CA2">
        <w:t>% broja osoba od kojih je oduzeta imovinska korist). Uočena okolnost najvećeg broja pojedinačnih oduzimanja imovinske koristi, a najmanjeg udjela u ukupnom iznosu oduzete imovinske koristi ima objašnjenje u strukturi kriminaliteta predmeta općinskih državnih odvjetništava, odnosno u okolnosti da su donesene osuđujuće presude za kaznena djela kojima je oduzeta imovinska korist u pojedinačno manjim iznosima od više osoba, a oštećenici nisu postavljali imovinskopravni zahtjev.</w:t>
      </w:r>
    </w:p>
    <w:p w14:paraId="6509C162" w14:textId="77777777" w:rsidR="00170819" w:rsidRPr="001B4CA2" w:rsidRDefault="00170819" w:rsidP="00170819"/>
    <w:p w14:paraId="424CB474" w14:textId="0A6C4ABD" w:rsidR="00170819" w:rsidRPr="001B4CA2" w:rsidRDefault="00031FDC" w:rsidP="00170819">
      <w:r w:rsidRPr="001B4CA2">
        <w:tab/>
      </w:r>
      <w:r w:rsidR="00170819" w:rsidRPr="001B4CA2">
        <w:t>U predmetima Ureda za suzbijanje korupcije i organiziranog kriminaliteta, od ukupno oduzete imovinske koristi u iznosu</w:t>
      </w:r>
      <w:r w:rsidR="00725E90">
        <w:t xml:space="preserve"> od</w:t>
      </w:r>
      <w:r w:rsidR="00170819" w:rsidRPr="001B4CA2">
        <w:t xml:space="preserve"> 63.812.349,52 k</w:t>
      </w:r>
      <w:r w:rsidR="000F634C" w:rsidRPr="001B4CA2">
        <w:t>n</w:t>
      </w:r>
      <w:r w:rsidR="00725E90">
        <w:t xml:space="preserve"> </w:t>
      </w:r>
      <w:r w:rsidR="000F634C" w:rsidRPr="001B4CA2">
        <w:t>/</w:t>
      </w:r>
      <w:r w:rsidR="00257FA8" w:rsidRPr="001B4CA2">
        <w:t xml:space="preserve"> </w:t>
      </w:r>
      <w:r w:rsidR="000F634C" w:rsidRPr="001B4CA2">
        <w:t>8.469.354,2</w:t>
      </w:r>
      <w:r w:rsidR="00F879D8">
        <w:t>3</w:t>
      </w:r>
      <w:r w:rsidR="000F634C" w:rsidRPr="001B4CA2">
        <w:t xml:space="preserve"> EUR</w:t>
      </w:r>
      <w:r w:rsidR="00170819" w:rsidRPr="001B4CA2">
        <w:t>, najveći iznos imovinske koristi oduzet je u odnosu na sljedeća kaznena djela: za kazneno djelo zlouporabe položaja i ovlasti iz članka 291. Kaznenog zakona/11 iznos od 22.953.305,73 k</w:t>
      </w:r>
      <w:r w:rsidR="000F634C" w:rsidRPr="001B4CA2">
        <w:t>n</w:t>
      </w:r>
      <w:r w:rsidR="00725E90">
        <w:t xml:space="preserve"> </w:t>
      </w:r>
      <w:r w:rsidR="000F634C" w:rsidRPr="001B4CA2">
        <w:t>/</w:t>
      </w:r>
      <w:r w:rsidR="00257FA8" w:rsidRPr="001B4CA2">
        <w:t xml:space="preserve"> </w:t>
      </w:r>
      <w:r w:rsidR="000F634C" w:rsidRPr="001B4CA2">
        <w:t>3.046.427,2 EUR</w:t>
      </w:r>
      <w:r w:rsidR="00170819" w:rsidRPr="001B4CA2">
        <w:t xml:space="preserve"> oduzet je od 12 osoba, za kazneno djelo utaje poreza ili carine iz članka 256. Kaznenog zakona/11 iznos od 11.231.600,33 k</w:t>
      </w:r>
      <w:r w:rsidR="000F634C" w:rsidRPr="001B4CA2">
        <w:t>n</w:t>
      </w:r>
      <w:r w:rsidR="00725E90">
        <w:t xml:space="preserve"> </w:t>
      </w:r>
      <w:r w:rsidR="000F634C" w:rsidRPr="001B4CA2">
        <w:lastRenderedPageBreak/>
        <w:t>/</w:t>
      </w:r>
      <w:r w:rsidR="00257FA8" w:rsidRPr="001B4CA2">
        <w:t xml:space="preserve"> </w:t>
      </w:r>
      <w:r w:rsidR="000F634C" w:rsidRPr="001B4CA2">
        <w:t>1.490.689,54 EUR</w:t>
      </w:r>
      <w:r w:rsidR="00170819" w:rsidRPr="001B4CA2">
        <w:t xml:space="preserve"> oduzet je od 10 osoba te je za kazneno djelo neovlaštene proizvodnje i prometa drogama iz članka 190. Kaznenog zakona/11 oduzet iznos od</w:t>
      </w:r>
      <w:r w:rsidR="001B4CA2">
        <w:t xml:space="preserve"> </w:t>
      </w:r>
      <w:r w:rsidR="00170819" w:rsidRPr="001B4CA2">
        <w:t>4.632.522,07 k</w:t>
      </w:r>
      <w:r w:rsidR="000F634C" w:rsidRPr="001B4CA2">
        <w:t>n</w:t>
      </w:r>
      <w:r w:rsidR="00725E90">
        <w:t xml:space="preserve"> </w:t>
      </w:r>
      <w:r w:rsidR="000F634C" w:rsidRPr="001B4CA2">
        <w:t>/</w:t>
      </w:r>
      <w:r w:rsidR="00257FA8" w:rsidRPr="001B4CA2">
        <w:t xml:space="preserve"> </w:t>
      </w:r>
      <w:r w:rsidR="000F634C" w:rsidRPr="001B4CA2">
        <w:t>614.841,3</w:t>
      </w:r>
      <w:r w:rsidR="00F879D8">
        <w:t>4</w:t>
      </w:r>
      <w:r w:rsidR="000F634C" w:rsidRPr="001B4CA2">
        <w:t xml:space="preserve"> EUR</w:t>
      </w:r>
      <w:r w:rsidR="00170819" w:rsidRPr="001B4CA2">
        <w:t xml:space="preserve"> od 25 osoba.</w:t>
      </w:r>
    </w:p>
    <w:p w14:paraId="13B3968B" w14:textId="77777777" w:rsidR="00170819" w:rsidRPr="001B4CA2" w:rsidRDefault="00170819" w:rsidP="00170819"/>
    <w:p w14:paraId="6BA30226" w14:textId="29056F1C" w:rsidR="00170819" w:rsidRPr="001B4CA2" w:rsidRDefault="00031FDC" w:rsidP="00170819">
      <w:r w:rsidRPr="001B4CA2">
        <w:tab/>
      </w:r>
      <w:r w:rsidR="00170819" w:rsidRPr="001B4CA2">
        <w:t xml:space="preserve">U predmetima županijskih državnih odvjetništava najzastupljenija kaznena djela za koja je oduzeta imovinska korist su: kazneno djelo zlouporabe povjerenja u gospodarskom poslovanju iz članka 246. stavka 2. Kaznenog zakona/11 za koje je imovinska korist u iznosu </w:t>
      </w:r>
      <w:r w:rsidR="00250093">
        <w:t xml:space="preserve">od </w:t>
      </w:r>
      <w:r w:rsidR="00170819" w:rsidRPr="001B4CA2">
        <w:t>52.198.191,10 k</w:t>
      </w:r>
      <w:r w:rsidR="000F634C" w:rsidRPr="001B4CA2">
        <w:t>n</w:t>
      </w:r>
      <w:r w:rsidR="00250093">
        <w:t xml:space="preserve"> </w:t>
      </w:r>
      <w:r w:rsidR="000F634C" w:rsidRPr="001B4CA2">
        <w:t>/</w:t>
      </w:r>
      <w:r w:rsidR="00257FA8" w:rsidRPr="001B4CA2">
        <w:t xml:space="preserve"> </w:t>
      </w:r>
      <w:r w:rsidR="000F634C" w:rsidRPr="001B4CA2">
        <w:t>6.927.890,52 EUR</w:t>
      </w:r>
      <w:r w:rsidR="00170819" w:rsidRPr="001B4CA2">
        <w:t xml:space="preserve"> oduzeta od 29 osoba, kazneno djelo zlouporabe položaja i ovlasti iz članka 291. stavka 2. Kaznenog zakona/11 za koje je imovinska korist u iznosu</w:t>
      </w:r>
      <w:r w:rsidR="00250093">
        <w:t xml:space="preserve"> od</w:t>
      </w:r>
      <w:r w:rsidR="00170819" w:rsidRPr="001B4CA2">
        <w:t xml:space="preserve"> 26.694.970,16 k</w:t>
      </w:r>
      <w:r w:rsidR="00BF508A" w:rsidRPr="001B4CA2">
        <w:t>n</w:t>
      </w:r>
      <w:r w:rsidR="00250093">
        <w:t xml:space="preserve"> </w:t>
      </w:r>
      <w:r w:rsidR="00BF508A" w:rsidRPr="001B4CA2">
        <w:t>/</w:t>
      </w:r>
      <w:r w:rsidR="00257FA8" w:rsidRPr="001B4CA2">
        <w:t xml:space="preserve"> </w:t>
      </w:r>
      <w:r w:rsidR="00BF508A" w:rsidRPr="001B4CA2">
        <w:t>3.543.031,41 EUR</w:t>
      </w:r>
      <w:r w:rsidR="00170819" w:rsidRPr="001B4CA2">
        <w:t xml:space="preserve"> oduzeta od 5 osoba te kazneno djelo zlouporabe povjerenja u gospodarskom poslovanju iz članka 246. stavka 1. Kaznenog zakona/11 za koje je imovinska korist u iznosu </w:t>
      </w:r>
      <w:r w:rsidR="00250093">
        <w:t xml:space="preserve">od </w:t>
      </w:r>
      <w:r w:rsidR="00170819" w:rsidRPr="001B4CA2">
        <w:t>11.712.354,11 k</w:t>
      </w:r>
      <w:r w:rsidR="00BF508A" w:rsidRPr="001B4CA2">
        <w:t>n</w:t>
      </w:r>
      <w:r w:rsidR="00250093">
        <w:t xml:space="preserve"> </w:t>
      </w:r>
      <w:r w:rsidR="00BF508A" w:rsidRPr="001B4CA2">
        <w:t>/</w:t>
      </w:r>
      <w:r w:rsidR="00257FA8" w:rsidRPr="001B4CA2">
        <w:t xml:space="preserve"> </w:t>
      </w:r>
      <w:r w:rsidR="00BF508A" w:rsidRPr="001B4CA2">
        <w:t>1.554.496,53 EUR</w:t>
      </w:r>
      <w:r w:rsidR="00170819" w:rsidRPr="001B4CA2">
        <w:t xml:space="preserve"> oduzeta od 5 osoba.</w:t>
      </w:r>
    </w:p>
    <w:p w14:paraId="679659B9" w14:textId="77777777" w:rsidR="00170819" w:rsidRPr="001B4CA2" w:rsidRDefault="00170819" w:rsidP="00170819"/>
    <w:p w14:paraId="0DFCFA08" w14:textId="1CD7CE34" w:rsidR="00170819" w:rsidRPr="001B4CA2" w:rsidRDefault="00031FDC" w:rsidP="00170819">
      <w:r w:rsidRPr="001B4CA2">
        <w:tab/>
      </w:r>
      <w:r w:rsidR="00170819" w:rsidRPr="001B4CA2">
        <w:t>U predmetima općinskih državnih odvjetništava tri najzastupljenija kaznena djela za koja je oduzeta imovinska korist su: kazneno djelo krađe iz članka 228. Kaznenog zakona/11 za koje je oduzeta imovinska korist u iznosu</w:t>
      </w:r>
      <w:r w:rsidR="00250093">
        <w:t xml:space="preserve"> od</w:t>
      </w:r>
      <w:r w:rsidR="00170819" w:rsidRPr="001B4CA2">
        <w:t xml:space="preserve"> 30.991.461,05 k</w:t>
      </w:r>
      <w:r w:rsidR="00BF508A" w:rsidRPr="001B4CA2">
        <w:t>n</w:t>
      </w:r>
      <w:r w:rsidR="00250093">
        <w:t xml:space="preserve">  </w:t>
      </w:r>
      <w:r w:rsidR="00BF508A" w:rsidRPr="001B4CA2">
        <w:t>/</w:t>
      </w:r>
      <w:r w:rsidR="00257FA8" w:rsidRPr="001B4CA2">
        <w:t xml:space="preserve"> </w:t>
      </w:r>
      <w:r w:rsidR="00BF508A" w:rsidRPr="001B4CA2">
        <w:t>4.113.273,75 EUR</w:t>
      </w:r>
      <w:r w:rsidR="00170819" w:rsidRPr="001B4CA2">
        <w:t xml:space="preserve"> od 84 osobe, kazneno djelo utaje poreza ili carine iz članka 256. Kaznenog zakona/11 za koje je oduzeta imovinska korist u iznosu </w:t>
      </w:r>
      <w:r w:rsidR="00250093">
        <w:t xml:space="preserve">od </w:t>
      </w:r>
      <w:r w:rsidR="00170819" w:rsidRPr="001B4CA2">
        <w:t>9.717.973,07 k</w:t>
      </w:r>
      <w:r w:rsidR="00BF508A" w:rsidRPr="001B4CA2">
        <w:t>n</w:t>
      </w:r>
      <w:r w:rsidR="00250093">
        <w:t xml:space="preserve"> </w:t>
      </w:r>
      <w:r w:rsidR="00BF508A" w:rsidRPr="001B4CA2">
        <w:t>/</w:t>
      </w:r>
      <w:r w:rsidR="00257FA8" w:rsidRPr="001B4CA2">
        <w:t xml:space="preserve"> </w:t>
      </w:r>
      <w:r w:rsidR="00BF508A" w:rsidRPr="001B4CA2">
        <w:t>1.289.796,68 EUR</w:t>
      </w:r>
      <w:r w:rsidR="00170819" w:rsidRPr="001B4CA2">
        <w:t xml:space="preserve"> od 21 osobe te kazneno djelo zlouporabe povjerenja u gospodarskom poslovanju iz članka 246. Kaznenog zakona/11 za koje je oduzeta imovinska korist u iznosu </w:t>
      </w:r>
      <w:r w:rsidR="00250093">
        <w:t xml:space="preserve">od </w:t>
      </w:r>
      <w:r w:rsidR="00170819" w:rsidRPr="001B4CA2">
        <w:t>8.805.642,86 k</w:t>
      </w:r>
      <w:r w:rsidR="00BF508A" w:rsidRPr="001B4CA2">
        <w:t>n</w:t>
      </w:r>
      <w:r w:rsidR="00250093">
        <w:t xml:space="preserve"> </w:t>
      </w:r>
      <w:r w:rsidR="00BF508A" w:rsidRPr="001B4CA2">
        <w:t>/</w:t>
      </w:r>
      <w:r w:rsidR="00257FA8" w:rsidRPr="001B4CA2">
        <w:t xml:space="preserve"> </w:t>
      </w:r>
      <w:r w:rsidR="00BF508A" w:rsidRPr="001B4CA2">
        <w:t>1.168.709,65 EUR</w:t>
      </w:r>
      <w:r w:rsidR="00170819" w:rsidRPr="001B4CA2">
        <w:t xml:space="preserve"> od 6 osoba. </w:t>
      </w:r>
    </w:p>
    <w:p w14:paraId="3D10C6FE" w14:textId="77777777" w:rsidR="00170819" w:rsidRPr="001B4CA2" w:rsidRDefault="00170819" w:rsidP="00170819"/>
    <w:p w14:paraId="47AEE00E" w14:textId="031AE9F5" w:rsidR="00170819" w:rsidRPr="001B4CA2" w:rsidRDefault="00031FDC" w:rsidP="00170819">
      <w:r w:rsidRPr="001B4CA2">
        <w:tab/>
      </w:r>
      <w:r w:rsidR="00F879D8">
        <w:t>Povodom</w:t>
      </w:r>
      <w:r w:rsidR="00170819" w:rsidRPr="001B4CA2">
        <w:t xml:space="preserve"> </w:t>
      </w:r>
      <w:r w:rsidR="00170819" w:rsidRPr="00F879D8">
        <w:t xml:space="preserve">prijedloga državnog odvjetnika, sudovi su </w:t>
      </w:r>
      <w:r w:rsidR="00170819" w:rsidRPr="001B4CA2">
        <w:t xml:space="preserve">odredili 31 privremenu mjeru osiguranja oduzimanja imovinske koristi, kojom je blokirana imovina u vrijednosti </w:t>
      </w:r>
      <w:r w:rsidR="00250093">
        <w:t xml:space="preserve">od </w:t>
      </w:r>
      <w:r w:rsidR="00170819" w:rsidRPr="001B4CA2">
        <w:t>875.772.487,00 k</w:t>
      </w:r>
      <w:r w:rsidR="00BF508A" w:rsidRPr="001B4CA2">
        <w:t>n</w:t>
      </w:r>
      <w:r w:rsidR="00250093">
        <w:t xml:space="preserve"> </w:t>
      </w:r>
      <w:r w:rsidR="00BF508A" w:rsidRPr="001B4CA2">
        <w:t>/</w:t>
      </w:r>
      <w:r w:rsidR="00257FA8" w:rsidRPr="001B4CA2">
        <w:t xml:space="preserve"> </w:t>
      </w:r>
      <w:r w:rsidR="00BF508A" w:rsidRPr="001B4CA2">
        <w:t>11</w:t>
      </w:r>
      <w:r w:rsidR="00F879D8">
        <w:t>6</w:t>
      </w:r>
      <w:r w:rsidR="00BF508A" w:rsidRPr="001B4CA2">
        <w:t>.</w:t>
      </w:r>
      <w:r w:rsidR="00F879D8">
        <w:t>234</w:t>
      </w:r>
      <w:r w:rsidR="00BF508A" w:rsidRPr="001B4CA2">
        <w:t>.</w:t>
      </w:r>
      <w:r w:rsidR="00F879D8">
        <w:t>984,01</w:t>
      </w:r>
      <w:r w:rsidR="00BF508A" w:rsidRPr="001B4CA2">
        <w:t xml:space="preserve"> EUR</w:t>
      </w:r>
      <w:r w:rsidR="00170819" w:rsidRPr="001B4CA2">
        <w:t>.</w:t>
      </w:r>
    </w:p>
    <w:p w14:paraId="1AD65480" w14:textId="77777777" w:rsidR="00170819" w:rsidRPr="001B4CA2" w:rsidRDefault="00170819" w:rsidP="00170819"/>
    <w:p w14:paraId="2B747D0E" w14:textId="366A4DAB" w:rsidR="00170819" w:rsidRPr="001B4CA2" w:rsidRDefault="00031FDC" w:rsidP="00170819">
      <w:r w:rsidRPr="001B4CA2">
        <w:tab/>
      </w:r>
      <w:r w:rsidR="00170819" w:rsidRPr="001B4CA2">
        <w:t>Najveća vrijednost imovine (99,02</w:t>
      </w:r>
      <w:r w:rsidR="00250093">
        <w:t> </w:t>
      </w:r>
      <w:r w:rsidR="00170819" w:rsidRPr="001B4CA2">
        <w:t>%) koja je osigurana privremenim mjerama osiguranja odnosi se na predmete Ureda za suzbijanje korupcije i organiziranog kriminaliteta.</w:t>
      </w:r>
      <w:r w:rsidR="001B4CA2">
        <w:t xml:space="preserve"> </w:t>
      </w:r>
      <w:r w:rsidR="00170819" w:rsidRPr="001B4CA2">
        <w:t>U samo jednom takvom predmetu osigurano je oduzimanje imovinske koristi pribavljene kaznenim djelom zlouporabe povjerenja u gospodarskom poslovanju iz članka 246. Kaznenog zakona/11 počinjenog u sastavu zločinačkog udruženja iz članka 329. Kaznenog zakona/11 i kaznenog djela pranja novca iz članka 265. Kaznenog zakona/11 u iznosu od čak 826.170.621,50 k</w:t>
      </w:r>
      <w:r w:rsidR="00BF508A" w:rsidRPr="001B4CA2">
        <w:t>n</w:t>
      </w:r>
      <w:r w:rsidR="00250093">
        <w:t xml:space="preserve"> </w:t>
      </w:r>
      <w:r w:rsidR="00BF508A" w:rsidRPr="001B4CA2">
        <w:t>/</w:t>
      </w:r>
      <w:r w:rsidR="00250093">
        <w:t xml:space="preserve"> </w:t>
      </w:r>
      <w:r w:rsidR="00BF508A" w:rsidRPr="001B4CA2">
        <w:t>109.651.68</w:t>
      </w:r>
      <w:r w:rsidR="00250093">
        <w:t>5</w:t>
      </w:r>
      <w:r w:rsidR="00F879D8">
        <w:t>,12</w:t>
      </w:r>
      <w:r w:rsidR="00170819" w:rsidRPr="001B4CA2">
        <w:t xml:space="preserve"> </w:t>
      </w:r>
      <w:r w:rsidR="00250093">
        <w:t xml:space="preserve">EUR, </w:t>
      </w:r>
      <w:r w:rsidR="00170819" w:rsidRPr="001B4CA2">
        <w:t>što čini 95,25</w:t>
      </w:r>
      <w:r w:rsidR="00250093">
        <w:t> </w:t>
      </w:r>
      <w:r w:rsidR="00170819" w:rsidRPr="001B4CA2">
        <w:t xml:space="preserve">% imovine koju je blokirao Ured. </w:t>
      </w:r>
    </w:p>
    <w:p w14:paraId="2EEE51A9" w14:textId="77777777" w:rsidR="00170819" w:rsidRPr="001B4CA2" w:rsidRDefault="00170819" w:rsidP="00170819"/>
    <w:p w14:paraId="07BF967E" w14:textId="4ECDEFB7" w:rsidR="00170819" w:rsidRPr="001B4CA2" w:rsidRDefault="00031FDC" w:rsidP="00170819">
      <w:r w:rsidRPr="001B4CA2">
        <w:tab/>
      </w:r>
      <w:r w:rsidR="00170819" w:rsidRPr="001B4CA2">
        <w:t>U 10 predmeta općinskog državnog odvjetništva vrijednost osigurane imovine iznosi 7.993.791,12 k</w:t>
      </w:r>
      <w:r w:rsidR="00BF508A" w:rsidRPr="001B4CA2">
        <w:t>n</w:t>
      </w:r>
      <w:r w:rsidR="00250093">
        <w:t xml:space="preserve"> </w:t>
      </w:r>
      <w:r w:rsidR="00BF508A" w:rsidRPr="001B4CA2">
        <w:t>/</w:t>
      </w:r>
      <w:r w:rsidR="00257FA8" w:rsidRPr="001B4CA2">
        <w:t xml:space="preserve"> </w:t>
      </w:r>
      <w:r w:rsidR="00BF508A" w:rsidRPr="001B4CA2">
        <w:t>1.060.958,41 EUR</w:t>
      </w:r>
      <w:r w:rsidR="00170819" w:rsidRPr="001B4CA2">
        <w:t xml:space="preserve">. </w:t>
      </w:r>
    </w:p>
    <w:p w14:paraId="5BFD07EF" w14:textId="77777777" w:rsidR="00170819" w:rsidRPr="001B4CA2" w:rsidRDefault="00170819" w:rsidP="00170819"/>
    <w:p w14:paraId="15264374" w14:textId="16D7CC99" w:rsidR="00170819" w:rsidRPr="001B4CA2" w:rsidRDefault="00031FDC" w:rsidP="00170819">
      <w:r w:rsidRPr="001B4CA2">
        <w:tab/>
      </w:r>
      <w:r w:rsidR="00170819" w:rsidRPr="001B4CA2">
        <w:t xml:space="preserve">Iz nadležnosti županijskog državnog odvjetništva u jednom je </w:t>
      </w:r>
      <w:r w:rsidR="00250093" w:rsidRPr="001B4CA2">
        <w:t xml:space="preserve">predmetu </w:t>
      </w:r>
      <w:r w:rsidR="00170819" w:rsidRPr="001B4CA2">
        <w:t xml:space="preserve">osigurana imovina u vrijednosti </w:t>
      </w:r>
      <w:r w:rsidR="00250093">
        <w:t xml:space="preserve">od </w:t>
      </w:r>
      <w:r w:rsidR="00170819" w:rsidRPr="001B4CA2">
        <w:t>560.000,00 k</w:t>
      </w:r>
      <w:r w:rsidR="00BF508A" w:rsidRPr="001B4CA2">
        <w:t>n</w:t>
      </w:r>
      <w:r w:rsidR="00250093">
        <w:t xml:space="preserve"> </w:t>
      </w:r>
      <w:r w:rsidR="00BF508A" w:rsidRPr="001B4CA2">
        <w:t>/</w:t>
      </w:r>
      <w:r w:rsidR="00257FA8" w:rsidRPr="001B4CA2">
        <w:t xml:space="preserve"> </w:t>
      </w:r>
      <w:r w:rsidR="00BF508A" w:rsidRPr="001B4CA2">
        <w:t>74.324,77 EUR</w:t>
      </w:r>
      <w:r w:rsidR="00170819" w:rsidRPr="001B4CA2">
        <w:t xml:space="preserve">. </w:t>
      </w:r>
    </w:p>
    <w:p w14:paraId="77F674A1" w14:textId="77777777" w:rsidR="00170819" w:rsidRPr="001B4CA2" w:rsidRDefault="00170819" w:rsidP="00170819"/>
    <w:p w14:paraId="44E54D3C" w14:textId="5775C866" w:rsidR="00170819" w:rsidRPr="001B4CA2" w:rsidRDefault="00031FDC" w:rsidP="00170819">
      <w:r w:rsidRPr="001B4CA2">
        <w:tab/>
      </w:r>
      <w:r w:rsidR="00170819" w:rsidRPr="001B4CA2">
        <w:t>Od primijenjenih mjera učestalo se primjenjuje mjera privremene obustave izvršenja određene financijske transakcije za koju postoji sumnja da predstavlja kazneno djelo, služi prikrivanju kaznenog djela ili prikrivanju dobit</w:t>
      </w:r>
      <w:r w:rsidR="00250093">
        <w:t>i</w:t>
      </w:r>
      <w:r w:rsidR="00170819" w:rsidRPr="001B4CA2">
        <w:t xml:space="preserve"> ostvarene kaznenim djelom koja je propisana člankom 266. Zakona o kaznenom postupku/08. Kaznena djela koja su povod primjene ove mjere u pravilu </w:t>
      </w:r>
      <w:r w:rsidR="00250093" w:rsidRPr="001B4CA2">
        <w:t xml:space="preserve">su </w:t>
      </w:r>
      <w:r w:rsidR="00170819" w:rsidRPr="001B4CA2">
        <w:t xml:space="preserve">pranje novca iz članka 265. Kaznenog zakona/11, utaja poreza ili carine iz članka 256. Kaznenog zakona/11, prijevara u gospodarskom poslovanju iz članka 247. Kaznenog </w:t>
      </w:r>
      <w:r w:rsidR="00170819" w:rsidRPr="001B4CA2">
        <w:lastRenderedPageBreak/>
        <w:t>zakona/11 te računalna prijevara iz članka 271. Kaznenog zakona/11. U ovim predmetima stvarni vlasnici bankovnih računa na koje se odnosi privremena mjera obustave transakcije u pravilu nisu poznati, a uz to se radi o činjenično složenim i obimnim predmetima u kojima se provode dugotrajni izvidi, često i protiv više sudionika, od kojih su neki i strani državljani. Iz tog razloga ograničeno trajanje ove mjere, koje je propisano člankom 266. stavkom 2. Zakona o kaznenom postupku/08</w:t>
      </w:r>
      <w:r w:rsidR="00250093">
        <w:t>,</w:t>
      </w:r>
      <w:r w:rsidR="00170819" w:rsidRPr="001B4CA2">
        <w:t xml:space="preserve"> za </w:t>
      </w:r>
      <w:proofErr w:type="spellStart"/>
      <w:r w:rsidR="00170819" w:rsidRPr="001B4CA2">
        <w:t>rješavatelja</w:t>
      </w:r>
      <w:proofErr w:type="spellEnd"/>
      <w:r w:rsidR="00170819" w:rsidRPr="001B4CA2">
        <w:t xml:space="preserve"> predmeta predstavlja otežavajuću okolnost pri postupanju.</w:t>
      </w:r>
    </w:p>
    <w:p w14:paraId="2BD0BD4E" w14:textId="77777777" w:rsidR="00170819" w:rsidRPr="001B4CA2" w:rsidRDefault="00170819" w:rsidP="00170819"/>
    <w:p w14:paraId="01FB3042" w14:textId="11957C95" w:rsidR="00170819" w:rsidRPr="001B4CA2" w:rsidRDefault="00031FDC" w:rsidP="00170819">
      <w:r w:rsidRPr="001B4CA2">
        <w:tab/>
      </w:r>
      <w:r w:rsidR="00170819" w:rsidRPr="001B4CA2">
        <w:t>S obzirom na navedeno, valja ukazati</w:t>
      </w:r>
      <w:r w:rsidR="00250093">
        <w:t xml:space="preserve"> na to</w:t>
      </w:r>
      <w:r w:rsidR="00170819" w:rsidRPr="001B4CA2">
        <w:t xml:space="preserve"> da je 2022. godine zakonodavac izvršio značajnu izmjenu Zakona o kaznenom postupku/08, donoseći Zakon o izmjenama i dopunama Zakona o kaznenom postupku ("Narodne novine" broj 88/22) koji je stupio na snagu 19. srpnja 2022., kojim je izmijenjen članak 557e stavak 2. Zakona o kaznenom postupku/08, na način da je rok trajanja privremenih mjera osiguranja vezao za podizanje, a ne, kao do sada, za potvrđivanje optužnice, čime je trajanje privremenih mjera zapravo produljio.</w:t>
      </w:r>
    </w:p>
    <w:p w14:paraId="1C76FC11" w14:textId="77777777" w:rsidR="00170819" w:rsidRPr="001B4CA2" w:rsidRDefault="00170819" w:rsidP="00170819"/>
    <w:p w14:paraId="1BB0D27A" w14:textId="71DD22E4" w:rsidR="00170819" w:rsidRPr="001B4CA2" w:rsidRDefault="00031FDC" w:rsidP="00170819">
      <w:r w:rsidRPr="001B4CA2">
        <w:tab/>
      </w:r>
      <w:r w:rsidR="00170819" w:rsidRPr="001B4CA2">
        <w:t>U kaznenim postupcima postavljeni imovinskopravni zahtjev oštećenika za naknadu štete prouzročene kaznenim djelom ima prednost pred oduzimanjem imovinske koristi koja pripada Republici Hrvatskoj. Stoga, u slučajevima u kojima je sud usvojio imovinskopravni zahtjev oštećenika ne dolazi do primjene instituta oduzimanja imovinske koristi. Prema tome, u ukup</w:t>
      </w:r>
      <w:r w:rsidR="00250093">
        <w:t>a</w:t>
      </w:r>
      <w:r w:rsidR="00170819" w:rsidRPr="001B4CA2">
        <w:t xml:space="preserve">n ishod, odnosno uspjeh postupanja državnog odvjetnika, valja </w:t>
      </w:r>
      <w:r w:rsidR="00250093">
        <w:t>ubrojiti</w:t>
      </w:r>
      <w:r w:rsidR="00170819" w:rsidRPr="001B4CA2">
        <w:t xml:space="preserve"> i iznose restitucije oštećeniku čiji je imovinskopravni zahtjev sud usvojio,</w:t>
      </w:r>
      <w:r w:rsidR="001B4CA2">
        <w:t xml:space="preserve"> </w:t>
      </w:r>
      <w:r w:rsidR="00250093">
        <w:t>budući</w:t>
      </w:r>
      <w:r w:rsidR="00170819" w:rsidRPr="001B4CA2">
        <w:t xml:space="preserve"> da je taj iznos svakako veći od visine oduzete imovinske koristi koja pripada Republici Hrvatskoj.</w:t>
      </w:r>
    </w:p>
    <w:p w14:paraId="69874292" w14:textId="77777777" w:rsidR="00170819" w:rsidRPr="001B4CA2" w:rsidRDefault="00170819" w:rsidP="00170819"/>
    <w:p w14:paraId="0511DA59" w14:textId="56D756A4" w:rsidR="00170819" w:rsidRPr="001B4CA2" w:rsidRDefault="00031FDC" w:rsidP="00170819">
      <w:r w:rsidRPr="001B4CA2">
        <w:tab/>
      </w:r>
      <w:r w:rsidR="00170819" w:rsidRPr="001B4CA2">
        <w:t>Poteškoće u primjeni ovog instituta postoje prilikom naplate presudom oduzete imovinske koristi. Nakon pravomoćnosti presude, sud poziva okrivljenika da dobrovoljno izvrši plaćanje iznosa imovinske koristi</w:t>
      </w:r>
      <w:r w:rsidR="00250093" w:rsidRPr="00250093">
        <w:t xml:space="preserve"> </w:t>
      </w:r>
      <w:r w:rsidR="00250093" w:rsidRPr="001B4CA2">
        <w:t>u korist državnog proračuna</w:t>
      </w:r>
      <w:r w:rsidR="00170819" w:rsidRPr="001B4CA2">
        <w:t xml:space="preserve">. </w:t>
      </w:r>
      <w:r w:rsidR="00250093">
        <w:t>Ako</w:t>
      </w:r>
      <w:r w:rsidR="00170819" w:rsidRPr="001B4CA2">
        <w:t xml:space="preserve"> okrivljenik to ne učini, osnivaju se spisi Građansko-upravnog odjela radi </w:t>
      </w:r>
      <w:r w:rsidR="00733DC4" w:rsidRPr="001B4CA2">
        <w:t>pokretanja</w:t>
      </w:r>
      <w:r w:rsidR="00170819" w:rsidRPr="001B4CA2">
        <w:t xml:space="preserve"> postupka prisilne naplate. Tijekom ovršnih postupaka uočava se da </w:t>
      </w:r>
      <w:proofErr w:type="spellStart"/>
      <w:r w:rsidR="00170819" w:rsidRPr="001B4CA2">
        <w:t>ovršenici</w:t>
      </w:r>
      <w:proofErr w:type="spellEnd"/>
      <w:r w:rsidR="00170819" w:rsidRPr="001B4CA2">
        <w:t xml:space="preserve"> nemaju imovine, prihode ili su im računi već blokirani po drugim vjerovnicima, što </w:t>
      </w:r>
      <w:r w:rsidR="00733DC4" w:rsidRPr="001B4CA2">
        <w:t>onemoguć</w:t>
      </w:r>
      <w:r w:rsidR="00250093">
        <w:t>uje</w:t>
      </w:r>
      <w:r w:rsidR="00170819" w:rsidRPr="001B4CA2">
        <w:t xml:space="preserve"> stvarnu naplatu presudom oduzete imovinske koristi.</w:t>
      </w:r>
    </w:p>
    <w:p w14:paraId="18F22CC0" w14:textId="77777777" w:rsidR="00170819" w:rsidRPr="001B4CA2" w:rsidRDefault="00170819" w:rsidP="00170819"/>
    <w:p w14:paraId="1DAB7FDE" w14:textId="63A37BE8" w:rsidR="00170819" w:rsidRPr="001B4CA2" w:rsidRDefault="00031FDC" w:rsidP="00170819">
      <w:r w:rsidRPr="001B4CA2">
        <w:tab/>
      </w:r>
      <w:r w:rsidR="00170819" w:rsidRPr="001B4CA2">
        <w:t>U izvještajnom razdoblju nije bilo predmeta u kojima je postavljen zahtjev za oduzimanje imovinske koristi bez presude, iz članka 560a i 560f Zakona o kaznenom postupku/08. Međutim u jednom predmetu Općinskog kaznenog državnog odvjetništva u Zagrebu u tijeku je postupanje pred Općinskim kaznenim sudom u Zagrebu povodom takvog zahtjeva državnog odvjetnika koji je podnesen tijekom 2020. Radi se o predmetu u kojem je nakon smrti okrivljenika, do koje je došlo tijekom žalbenog postupka, sudu podnesen zahtjev radi utvrđenja da je okrivljenik počinio protupravno djelo zakonskih obilježja kaznenog djela protiv imovine</w:t>
      </w:r>
      <w:r w:rsidR="00250093">
        <w:t xml:space="preserve"> – </w:t>
      </w:r>
      <w:r w:rsidR="00170819" w:rsidRPr="001B4CA2">
        <w:t>lihvarskim ugovorom iz članka 243. stavka 1. i 2. Kaznenog zakona/11 te prijevare iz članka 236. stavka 1. i 2. Kaznenog zakona/11 na štetu više oštećenih građana.</w:t>
      </w:r>
    </w:p>
    <w:p w14:paraId="57553160" w14:textId="0D17DD34" w:rsidR="00170819" w:rsidRPr="001B4CA2" w:rsidRDefault="00170819" w:rsidP="00170819"/>
    <w:p w14:paraId="678DCB69" w14:textId="45C16BD6" w:rsidR="00C15DA4" w:rsidRPr="001B4CA2" w:rsidRDefault="00C15DA4" w:rsidP="00170819"/>
    <w:p w14:paraId="2852D1C7" w14:textId="0C467B64" w:rsidR="00C15DA4" w:rsidRPr="001B4CA2" w:rsidRDefault="00C15DA4" w:rsidP="00170819"/>
    <w:p w14:paraId="06F8525F" w14:textId="7F7CABF9" w:rsidR="00C15DA4" w:rsidRPr="001B4CA2" w:rsidRDefault="00C15DA4" w:rsidP="00170819"/>
    <w:p w14:paraId="6CDE68C3" w14:textId="2B66040A" w:rsidR="00C15DA4" w:rsidRPr="001B4CA2" w:rsidRDefault="00C15DA4" w:rsidP="00170819"/>
    <w:p w14:paraId="03B5CF93" w14:textId="70E8E901" w:rsidR="00C15DA4" w:rsidRPr="001B4CA2" w:rsidRDefault="00C15DA4" w:rsidP="00170819"/>
    <w:p w14:paraId="323FCAD1" w14:textId="77777777" w:rsidR="00C15DA4" w:rsidRPr="001B4CA2" w:rsidRDefault="00C15DA4" w:rsidP="00170819"/>
    <w:p w14:paraId="473340D4" w14:textId="50B12FA6" w:rsidR="00A4391A" w:rsidRPr="001B4CA2" w:rsidRDefault="009C5AEE" w:rsidP="009C5AEE">
      <w:pPr>
        <w:ind w:left="284" w:right="-74"/>
        <w:rPr>
          <w:rFonts w:eastAsia="Times New Roman"/>
          <w:i/>
          <w:iCs/>
          <w:color w:val="000000"/>
          <w:lang w:eastAsia="hr-HR"/>
        </w:rPr>
      </w:pPr>
      <w:r>
        <w:rPr>
          <w:rFonts w:eastAsia="Times New Roman"/>
          <w:i/>
          <w:iCs/>
          <w:color w:val="000000"/>
          <w:lang w:eastAsia="hr-HR"/>
        </w:rPr>
        <w:lastRenderedPageBreak/>
        <w:t xml:space="preserve"> </w:t>
      </w:r>
      <w:r w:rsidR="00A4391A" w:rsidRPr="001B4CA2">
        <w:rPr>
          <w:rFonts w:eastAsia="Times New Roman"/>
          <w:i/>
          <w:iCs/>
          <w:color w:val="000000"/>
          <w:lang w:eastAsia="hr-HR"/>
        </w:rPr>
        <w:t>Broj izrečenih mjera osiguranja i broj oduzimanja imovinske koristi te vrijednosti</w:t>
      </w:r>
      <w:r>
        <w:rPr>
          <w:rFonts w:eastAsia="Times New Roman"/>
          <w:i/>
          <w:iCs/>
          <w:color w:val="000000"/>
          <w:lang w:eastAsia="hr-HR"/>
        </w:rPr>
        <w:t xml:space="preserve"> </w:t>
      </w:r>
      <w:r w:rsidR="00A4391A" w:rsidRPr="001B4CA2">
        <w:rPr>
          <w:rFonts w:eastAsia="Times New Roman"/>
          <w:i/>
          <w:iCs/>
          <w:color w:val="000000"/>
          <w:lang w:eastAsia="hr-HR"/>
        </w:rPr>
        <w:t>blokirane, odnosno oduzete imovinske koristi</w:t>
      </w:r>
    </w:p>
    <w:tbl>
      <w:tblPr>
        <w:tblW w:w="4502" w:type="pct"/>
        <w:tblInd w:w="392"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0"/>
        <w:gridCol w:w="1561"/>
        <w:gridCol w:w="1840"/>
        <w:gridCol w:w="1703"/>
        <w:gridCol w:w="2409"/>
      </w:tblGrid>
      <w:tr w:rsidR="009C5AEE" w:rsidRPr="001B4CA2" w14:paraId="353C97EF" w14:textId="77777777" w:rsidTr="009C5AEE">
        <w:trPr>
          <w:trHeight w:val="615"/>
        </w:trPr>
        <w:tc>
          <w:tcPr>
            <w:tcW w:w="508" w:type="pct"/>
            <w:shd w:val="clear" w:color="000000" w:fill="99CCFF"/>
            <w:noWrap/>
            <w:vAlign w:val="center"/>
            <w:hideMark/>
          </w:tcPr>
          <w:p w14:paraId="02FC67A3" w14:textId="77777777" w:rsidR="00170819" w:rsidRPr="001B4CA2" w:rsidRDefault="00170819" w:rsidP="000867FE">
            <w:pPr>
              <w:jc w:val="center"/>
              <w:rPr>
                <w:rFonts w:eastAsia="Times New Roman"/>
                <w:b/>
                <w:bCs/>
                <w:color w:val="000000"/>
                <w:sz w:val="18"/>
                <w:szCs w:val="18"/>
                <w:lang w:eastAsia="hr-HR"/>
              </w:rPr>
            </w:pPr>
            <w:r w:rsidRPr="001B4CA2">
              <w:rPr>
                <w:rFonts w:eastAsia="Times New Roman"/>
                <w:b/>
                <w:bCs/>
                <w:color w:val="000000"/>
                <w:sz w:val="18"/>
                <w:szCs w:val="18"/>
                <w:lang w:eastAsia="hr-HR"/>
              </w:rPr>
              <w:t>Godina</w:t>
            </w:r>
          </w:p>
        </w:tc>
        <w:tc>
          <w:tcPr>
            <w:tcW w:w="933" w:type="pct"/>
            <w:shd w:val="clear" w:color="000000" w:fill="99CCFF"/>
            <w:vAlign w:val="center"/>
            <w:hideMark/>
          </w:tcPr>
          <w:p w14:paraId="282081CD" w14:textId="77777777" w:rsidR="00170819" w:rsidRPr="001B4CA2" w:rsidRDefault="00170819" w:rsidP="000867FE">
            <w:pPr>
              <w:jc w:val="center"/>
              <w:rPr>
                <w:rFonts w:eastAsia="Times New Roman"/>
                <w:b/>
                <w:bCs/>
                <w:color w:val="000000"/>
                <w:sz w:val="18"/>
                <w:szCs w:val="18"/>
                <w:lang w:eastAsia="hr-HR"/>
              </w:rPr>
            </w:pPr>
            <w:r w:rsidRPr="001B4CA2">
              <w:rPr>
                <w:rFonts w:eastAsia="Times New Roman"/>
                <w:b/>
                <w:bCs/>
                <w:color w:val="000000"/>
                <w:sz w:val="18"/>
                <w:szCs w:val="18"/>
                <w:lang w:eastAsia="hr-HR"/>
              </w:rPr>
              <w:t>Broj mjera osiguranja</w:t>
            </w:r>
          </w:p>
        </w:tc>
        <w:tc>
          <w:tcPr>
            <w:tcW w:w="1100" w:type="pct"/>
            <w:shd w:val="clear" w:color="000000" w:fill="99CCFF"/>
            <w:vAlign w:val="center"/>
            <w:hideMark/>
          </w:tcPr>
          <w:p w14:paraId="0220680D" w14:textId="77777777" w:rsidR="00170819" w:rsidRPr="001B4CA2" w:rsidRDefault="00170819" w:rsidP="000867FE">
            <w:pPr>
              <w:jc w:val="center"/>
              <w:rPr>
                <w:rFonts w:eastAsia="Times New Roman"/>
                <w:b/>
                <w:bCs/>
                <w:color w:val="000000"/>
                <w:sz w:val="18"/>
                <w:szCs w:val="18"/>
                <w:lang w:eastAsia="hr-HR"/>
              </w:rPr>
            </w:pPr>
            <w:r w:rsidRPr="001B4CA2">
              <w:rPr>
                <w:rFonts w:eastAsia="Times New Roman"/>
                <w:b/>
                <w:bCs/>
                <w:color w:val="000000"/>
                <w:sz w:val="18"/>
                <w:szCs w:val="18"/>
                <w:lang w:eastAsia="hr-HR"/>
              </w:rPr>
              <w:t>Vrijednost u kn</w:t>
            </w:r>
          </w:p>
        </w:tc>
        <w:tc>
          <w:tcPr>
            <w:tcW w:w="1018" w:type="pct"/>
            <w:shd w:val="clear" w:color="000000" w:fill="99CCFF"/>
            <w:vAlign w:val="center"/>
            <w:hideMark/>
          </w:tcPr>
          <w:p w14:paraId="30446549" w14:textId="77777777" w:rsidR="00170819" w:rsidRPr="001B4CA2" w:rsidRDefault="00170819" w:rsidP="000867FE">
            <w:pPr>
              <w:jc w:val="center"/>
              <w:rPr>
                <w:rFonts w:eastAsia="Times New Roman"/>
                <w:b/>
                <w:bCs/>
                <w:color w:val="000000"/>
                <w:sz w:val="18"/>
                <w:szCs w:val="18"/>
                <w:lang w:eastAsia="hr-HR"/>
              </w:rPr>
            </w:pPr>
            <w:r w:rsidRPr="001B4CA2">
              <w:rPr>
                <w:rFonts w:eastAsia="Times New Roman"/>
                <w:b/>
                <w:bCs/>
                <w:color w:val="000000"/>
                <w:sz w:val="18"/>
                <w:szCs w:val="18"/>
                <w:lang w:eastAsia="hr-HR"/>
              </w:rPr>
              <w:t>Broj oduzimanja</w:t>
            </w:r>
          </w:p>
        </w:tc>
        <w:tc>
          <w:tcPr>
            <w:tcW w:w="1440" w:type="pct"/>
            <w:shd w:val="clear" w:color="000000" w:fill="99CCFF"/>
            <w:vAlign w:val="center"/>
            <w:hideMark/>
          </w:tcPr>
          <w:p w14:paraId="4AEE5B97" w14:textId="77777777" w:rsidR="00170819" w:rsidRPr="001B4CA2" w:rsidRDefault="00170819" w:rsidP="000867FE">
            <w:pPr>
              <w:jc w:val="center"/>
              <w:rPr>
                <w:rFonts w:eastAsia="Times New Roman"/>
                <w:b/>
                <w:bCs/>
                <w:color w:val="000000"/>
                <w:sz w:val="18"/>
                <w:szCs w:val="18"/>
                <w:lang w:eastAsia="hr-HR"/>
              </w:rPr>
            </w:pPr>
            <w:r w:rsidRPr="001B4CA2">
              <w:rPr>
                <w:rFonts w:eastAsia="Times New Roman"/>
                <w:b/>
                <w:bCs/>
                <w:color w:val="000000"/>
                <w:sz w:val="18"/>
                <w:szCs w:val="18"/>
                <w:lang w:eastAsia="hr-HR"/>
              </w:rPr>
              <w:t>Vrijednost u kn</w:t>
            </w:r>
          </w:p>
        </w:tc>
      </w:tr>
      <w:tr w:rsidR="009C5AEE" w:rsidRPr="001B4CA2" w14:paraId="4CCFC7EB" w14:textId="77777777" w:rsidTr="009C5AEE">
        <w:trPr>
          <w:trHeight w:val="300"/>
        </w:trPr>
        <w:tc>
          <w:tcPr>
            <w:tcW w:w="508" w:type="pct"/>
            <w:shd w:val="clear" w:color="auto" w:fill="auto"/>
            <w:vAlign w:val="center"/>
            <w:hideMark/>
          </w:tcPr>
          <w:p w14:paraId="709D6AC3"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2018.</w:t>
            </w:r>
          </w:p>
        </w:tc>
        <w:tc>
          <w:tcPr>
            <w:tcW w:w="933" w:type="pct"/>
            <w:shd w:val="clear" w:color="auto" w:fill="auto"/>
            <w:noWrap/>
            <w:vAlign w:val="center"/>
            <w:hideMark/>
          </w:tcPr>
          <w:p w14:paraId="6215AADB"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31</w:t>
            </w:r>
          </w:p>
        </w:tc>
        <w:tc>
          <w:tcPr>
            <w:tcW w:w="1100" w:type="pct"/>
            <w:shd w:val="clear" w:color="auto" w:fill="auto"/>
            <w:noWrap/>
            <w:vAlign w:val="center"/>
            <w:hideMark/>
          </w:tcPr>
          <w:p w14:paraId="744882AD"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39.323.324,01</w:t>
            </w:r>
          </w:p>
        </w:tc>
        <w:tc>
          <w:tcPr>
            <w:tcW w:w="1018" w:type="pct"/>
            <w:shd w:val="clear" w:color="auto" w:fill="auto"/>
            <w:noWrap/>
            <w:vAlign w:val="center"/>
            <w:hideMark/>
          </w:tcPr>
          <w:p w14:paraId="1CCA0F00"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892</w:t>
            </w:r>
          </w:p>
        </w:tc>
        <w:tc>
          <w:tcPr>
            <w:tcW w:w="1440" w:type="pct"/>
            <w:shd w:val="clear" w:color="auto" w:fill="auto"/>
            <w:noWrap/>
            <w:vAlign w:val="center"/>
            <w:hideMark/>
          </w:tcPr>
          <w:p w14:paraId="0EAE3910"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178.254.924,53</w:t>
            </w:r>
          </w:p>
        </w:tc>
      </w:tr>
      <w:tr w:rsidR="009C5AEE" w:rsidRPr="001B4CA2" w14:paraId="4A488058" w14:textId="77777777" w:rsidTr="009C5AEE">
        <w:trPr>
          <w:trHeight w:val="300"/>
        </w:trPr>
        <w:tc>
          <w:tcPr>
            <w:tcW w:w="508" w:type="pct"/>
            <w:shd w:val="clear" w:color="auto" w:fill="auto"/>
            <w:vAlign w:val="center"/>
            <w:hideMark/>
          </w:tcPr>
          <w:p w14:paraId="5A35698C"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2019.</w:t>
            </w:r>
          </w:p>
        </w:tc>
        <w:tc>
          <w:tcPr>
            <w:tcW w:w="933" w:type="pct"/>
            <w:shd w:val="clear" w:color="auto" w:fill="auto"/>
            <w:noWrap/>
            <w:vAlign w:val="center"/>
            <w:hideMark/>
          </w:tcPr>
          <w:p w14:paraId="4E1EFE45"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69</w:t>
            </w:r>
          </w:p>
        </w:tc>
        <w:tc>
          <w:tcPr>
            <w:tcW w:w="1100" w:type="pct"/>
            <w:shd w:val="clear" w:color="auto" w:fill="auto"/>
            <w:noWrap/>
            <w:vAlign w:val="center"/>
            <w:hideMark/>
          </w:tcPr>
          <w:p w14:paraId="160D71D0"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134.467.277,92</w:t>
            </w:r>
          </w:p>
        </w:tc>
        <w:tc>
          <w:tcPr>
            <w:tcW w:w="1018" w:type="pct"/>
            <w:shd w:val="clear" w:color="auto" w:fill="auto"/>
            <w:noWrap/>
            <w:vAlign w:val="center"/>
            <w:hideMark/>
          </w:tcPr>
          <w:p w14:paraId="1CD3FCC0"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829</w:t>
            </w:r>
          </w:p>
        </w:tc>
        <w:tc>
          <w:tcPr>
            <w:tcW w:w="1440" w:type="pct"/>
            <w:shd w:val="clear" w:color="auto" w:fill="auto"/>
            <w:noWrap/>
            <w:vAlign w:val="center"/>
            <w:hideMark/>
          </w:tcPr>
          <w:p w14:paraId="0B941078"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123.531.087,27</w:t>
            </w:r>
          </w:p>
        </w:tc>
      </w:tr>
      <w:tr w:rsidR="009C5AEE" w:rsidRPr="001B4CA2" w14:paraId="5CE0D3B4" w14:textId="77777777" w:rsidTr="009C5AEE">
        <w:trPr>
          <w:trHeight w:val="300"/>
        </w:trPr>
        <w:tc>
          <w:tcPr>
            <w:tcW w:w="508" w:type="pct"/>
            <w:shd w:val="clear" w:color="auto" w:fill="auto"/>
            <w:vAlign w:val="center"/>
            <w:hideMark/>
          </w:tcPr>
          <w:p w14:paraId="5A708503"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2020.</w:t>
            </w:r>
          </w:p>
        </w:tc>
        <w:tc>
          <w:tcPr>
            <w:tcW w:w="933" w:type="pct"/>
            <w:shd w:val="clear" w:color="auto" w:fill="auto"/>
            <w:noWrap/>
            <w:vAlign w:val="center"/>
            <w:hideMark/>
          </w:tcPr>
          <w:p w14:paraId="29ABA426"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63</w:t>
            </w:r>
          </w:p>
        </w:tc>
        <w:tc>
          <w:tcPr>
            <w:tcW w:w="1100" w:type="pct"/>
            <w:shd w:val="clear" w:color="auto" w:fill="auto"/>
            <w:noWrap/>
            <w:vAlign w:val="center"/>
            <w:hideMark/>
          </w:tcPr>
          <w:p w14:paraId="38C51A66"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60.490.032,98</w:t>
            </w:r>
          </w:p>
        </w:tc>
        <w:tc>
          <w:tcPr>
            <w:tcW w:w="1018" w:type="pct"/>
            <w:shd w:val="clear" w:color="auto" w:fill="auto"/>
            <w:noWrap/>
            <w:vAlign w:val="center"/>
            <w:hideMark/>
          </w:tcPr>
          <w:p w14:paraId="7C9297AA"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641</w:t>
            </w:r>
          </w:p>
        </w:tc>
        <w:tc>
          <w:tcPr>
            <w:tcW w:w="1440" w:type="pct"/>
            <w:shd w:val="clear" w:color="auto" w:fill="auto"/>
            <w:noWrap/>
            <w:vAlign w:val="center"/>
            <w:hideMark/>
          </w:tcPr>
          <w:p w14:paraId="1ED14215"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196.799.873,85</w:t>
            </w:r>
          </w:p>
        </w:tc>
      </w:tr>
      <w:tr w:rsidR="009C5AEE" w:rsidRPr="001B4CA2" w14:paraId="72FA971D" w14:textId="77777777" w:rsidTr="009C5AEE">
        <w:trPr>
          <w:trHeight w:val="300"/>
        </w:trPr>
        <w:tc>
          <w:tcPr>
            <w:tcW w:w="508" w:type="pct"/>
            <w:shd w:val="clear" w:color="auto" w:fill="auto"/>
            <w:vAlign w:val="center"/>
            <w:hideMark/>
          </w:tcPr>
          <w:p w14:paraId="38268372"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2021.</w:t>
            </w:r>
          </w:p>
        </w:tc>
        <w:tc>
          <w:tcPr>
            <w:tcW w:w="933" w:type="pct"/>
            <w:shd w:val="clear" w:color="000000" w:fill="FFFFFF"/>
            <w:noWrap/>
            <w:vAlign w:val="center"/>
            <w:hideMark/>
          </w:tcPr>
          <w:p w14:paraId="388D8B33"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51</w:t>
            </w:r>
          </w:p>
        </w:tc>
        <w:tc>
          <w:tcPr>
            <w:tcW w:w="1100" w:type="pct"/>
            <w:shd w:val="clear" w:color="000000" w:fill="FFFFFF"/>
            <w:noWrap/>
            <w:vAlign w:val="center"/>
            <w:hideMark/>
          </w:tcPr>
          <w:p w14:paraId="2921F4C0"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70.971.128,42</w:t>
            </w:r>
          </w:p>
        </w:tc>
        <w:tc>
          <w:tcPr>
            <w:tcW w:w="1018" w:type="pct"/>
            <w:shd w:val="clear" w:color="auto" w:fill="auto"/>
            <w:noWrap/>
            <w:vAlign w:val="center"/>
            <w:hideMark/>
          </w:tcPr>
          <w:p w14:paraId="16B73FB2"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866</w:t>
            </w:r>
          </w:p>
        </w:tc>
        <w:tc>
          <w:tcPr>
            <w:tcW w:w="1440" w:type="pct"/>
            <w:shd w:val="clear" w:color="auto" w:fill="auto"/>
            <w:noWrap/>
            <w:vAlign w:val="center"/>
            <w:hideMark/>
          </w:tcPr>
          <w:p w14:paraId="0F135041"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123.844.082,40</w:t>
            </w:r>
          </w:p>
        </w:tc>
      </w:tr>
      <w:tr w:rsidR="009C5AEE" w:rsidRPr="001B4CA2" w14:paraId="0A80D4B0" w14:textId="77777777" w:rsidTr="009C5AEE">
        <w:trPr>
          <w:trHeight w:val="300"/>
        </w:trPr>
        <w:tc>
          <w:tcPr>
            <w:tcW w:w="508" w:type="pct"/>
            <w:shd w:val="clear" w:color="auto" w:fill="auto"/>
            <w:vAlign w:val="center"/>
            <w:hideMark/>
          </w:tcPr>
          <w:p w14:paraId="12843B02"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2022.</w:t>
            </w:r>
          </w:p>
        </w:tc>
        <w:tc>
          <w:tcPr>
            <w:tcW w:w="933" w:type="pct"/>
            <w:shd w:val="clear" w:color="000000" w:fill="FFFFFF"/>
            <w:noWrap/>
            <w:vAlign w:val="center"/>
            <w:hideMark/>
          </w:tcPr>
          <w:p w14:paraId="75D87EC9"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31</w:t>
            </w:r>
          </w:p>
        </w:tc>
        <w:tc>
          <w:tcPr>
            <w:tcW w:w="1100" w:type="pct"/>
            <w:shd w:val="clear" w:color="000000" w:fill="FFFFFF"/>
            <w:noWrap/>
            <w:vAlign w:val="center"/>
            <w:hideMark/>
          </w:tcPr>
          <w:p w14:paraId="0D84D4AB"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875.772.487,00</w:t>
            </w:r>
          </w:p>
        </w:tc>
        <w:tc>
          <w:tcPr>
            <w:tcW w:w="1018" w:type="pct"/>
            <w:shd w:val="clear" w:color="auto" w:fill="auto"/>
            <w:noWrap/>
            <w:vAlign w:val="center"/>
            <w:hideMark/>
          </w:tcPr>
          <w:p w14:paraId="3BDF4A1C"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915</w:t>
            </w:r>
          </w:p>
        </w:tc>
        <w:tc>
          <w:tcPr>
            <w:tcW w:w="1440" w:type="pct"/>
            <w:shd w:val="clear" w:color="auto" w:fill="auto"/>
            <w:noWrap/>
            <w:vAlign w:val="center"/>
            <w:hideMark/>
          </w:tcPr>
          <w:p w14:paraId="002AF189" w14:textId="77777777" w:rsidR="00170819" w:rsidRPr="001B4CA2" w:rsidRDefault="00170819" w:rsidP="000867FE">
            <w:pPr>
              <w:jc w:val="center"/>
              <w:rPr>
                <w:rFonts w:eastAsia="Times New Roman"/>
                <w:color w:val="000000"/>
                <w:sz w:val="18"/>
                <w:szCs w:val="18"/>
                <w:lang w:eastAsia="hr-HR"/>
              </w:rPr>
            </w:pPr>
            <w:r w:rsidRPr="001B4CA2">
              <w:rPr>
                <w:rFonts w:eastAsia="Times New Roman"/>
                <w:color w:val="000000"/>
                <w:sz w:val="18"/>
                <w:szCs w:val="18"/>
                <w:lang w:eastAsia="hr-HR"/>
              </w:rPr>
              <w:t>218.082.062,68</w:t>
            </w:r>
          </w:p>
        </w:tc>
      </w:tr>
      <w:bookmarkEnd w:id="36"/>
    </w:tbl>
    <w:p w14:paraId="0B6C1518" w14:textId="77777777" w:rsidR="00170819" w:rsidRPr="001B4CA2" w:rsidRDefault="00170819" w:rsidP="00170819"/>
    <w:p w14:paraId="63F97AA1" w14:textId="77777777" w:rsidR="009C5A22" w:rsidRPr="001B4CA2" w:rsidRDefault="009C5A22" w:rsidP="009C5A22"/>
    <w:p w14:paraId="31E281EB" w14:textId="2873EBC4" w:rsidR="00D60D66" w:rsidRPr="001B4CA2" w:rsidRDefault="000857CC" w:rsidP="00257FA8">
      <w:pPr>
        <w:pStyle w:val="Naslov4"/>
        <w:tabs>
          <w:tab w:val="left" w:pos="993"/>
        </w:tabs>
        <w:rPr>
          <w:rFonts w:ascii="Arial" w:hAnsi="Arial" w:cs="Arial"/>
        </w:rPr>
      </w:pPr>
      <w:bookmarkStart w:id="38" w:name="_Toc133394300"/>
      <w:r w:rsidRPr="001B4CA2">
        <w:rPr>
          <w:rFonts w:ascii="Arial" w:hAnsi="Arial" w:cs="Arial"/>
        </w:rPr>
        <w:t>Pregled radnji i ročišta u kaznenim predmetima</w:t>
      </w:r>
      <w:bookmarkEnd w:id="38"/>
    </w:p>
    <w:p w14:paraId="74408591" w14:textId="77777777" w:rsidR="00F861FF" w:rsidRPr="001B4CA2" w:rsidRDefault="00F861FF" w:rsidP="00F861FF"/>
    <w:p w14:paraId="425793CF" w14:textId="7CCB69E6" w:rsidR="00F861FF" w:rsidRPr="001B4CA2" w:rsidRDefault="00BA7382" w:rsidP="00F861FF">
      <w:pPr>
        <w:pStyle w:val="Odlomakpopisa"/>
        <w:widowControl w:val="0"/>
        <w:ind w:left="284"/>
        <w:rPr>
          <w:i/>
          <w:snapToGrid w:val="0"/>
        </w:rPr>
      </w:pPr>
      <w:r>
        <w:rPr>
          <w:i/>
          <w:snapToGrid w:val="0"/>
        </w:rPr>
        <w:t xml:space="preserve">  </w:t>
      </w:r>
      <w:r w:rsidR="00F861FF" w:rsidRPr="001B4CA2">
        <w:rPr>
          <w:i/>
          <w:snapToGrid w:val="0"/>
        </w:rPr>
        <w:t>Radnje i ročišta u kaznenim predmetima</w:t>
      </w:r>
    </w:p>
    <w:tbl>
      <w:tblPr>
        <w:tblW w:w="8363" w:type="dxa"/>
        <w:tblInd w:w="392" w:type="dxa"/>
        <w:tblLayout w:type="fixed"/>
        <w:tblLook w:val="04A0" w:firstRow="1" w:lastRow="0" w:firstColumn="1" w:lastColumn="0" w:noHBand="0" w:noVBand="1"/>
      </w:tblPr>
      <w:tblGrid>
        <w:gridCol w:w="2126"/>
        <w:gridCol w:w="1665"/>
        <w:gridCol w:w="2021"/>
        <w:gridCol w:w="1310"/>
        <w:gridCol w:w="1241"/>
      </w:tblGrid>
      <w:tr w:rsidR="00F861FF" w:rsidRPr="001B4CA2" w14:paraId="2721D81A" w14:textId="77777777" w:rsidTr="009C5AEE">
        <w:trPr>
          <w:trHeight w:val="315"/>
        </w:trPr>
        <w:tc>
          <w:tcPr>
            <w:tcW w:w="2126" w:type="dxa"/>
            <w:vMerge w:val="restart"/>
            <w:tcBorders>
              <w:top w:val="single" w:sz="8" w:space="0" w:color="auto"/>
              <w:left w:val="single" w:sz="8" w:space="0" w:color="auto"/>
              <w:bottom w:val="single" w:sz="8" w:space="0" w:color="000000"/>
              <w:right w:val="single" w:sz="8" w:space="0" w:color="auto"/>
            </w:tcBorders>
            <w:shd w:val="clear" w:color="000000" w:fill="99CCFF"/>
            <w:noWrap/>
            <w:vAlign w:val="center"/>
            <w:hideMark/>
          </w:tcPr>
          <w:p w14:paraId="34CE571F" w14:textId="77777777" w:rsidR="00F861FF" w:rsidRPr="001B4CA2" w:rsidRDefault="00F861FF" w:rsidP="00CE2706">
            <w:pPr>
              <w:jc w:val="center"/>
              <w:rPr>
                <w:b/>
                <w:bCs/>
                <w:color w:val="000000"/>
                <w:sz w:val="18"/>
                <w:szCs w:val="18"/>
              </w:rPr>
            </w:pPr>
            <w:r w:rsidRPr="001B4CA2">
              <w:rPr>
                <w:b/>
                <w:bCs/>
                <w:color w:val="000000"/>
                <w:sz w:val="18"/>
                <w:szCs w:val="18"/>
              </w:rPr>
              <w:t>Dokazne radnje i zastupanje</w:t>
            </w:r>
          </w:p>
        </w:tc>
        <w:tc>
          <w:tcPr>
            <w:tcW w:w="3686" w:type="dxa"/>
            <w:gridSpan w:val="2"/>
            <w:tcBorders>
              <w:top w:val="single" w:sz="8" w:space="0" w:color="auto"/>
              <w:left w:val="nil"/>
              <w:bottom w:val="single" w:sz="8" w:space="0" w:color="auto"/>
              <w:right w:val="single" w:sz="8" w:space="0" w:color="000000"/>
            </w:tcBorders>
            <w:shd w:val="clear" w:color="000000" w:fill="99CCFF"/>
            <w:vAlign w:val="center"/>
            <w:hideMark/>
          </w:tcPr>
          <w:p w14:paraId="6AF121D1" w14:textId="77777777" w:rsidR="00F861FF" w:rsidRPr="001B4CA2" w:rsidRDefault="00F861FF" w:rsidP="00CE2706">
            <w:pPr>
              <w:jc w:val="center"/>
              <w:rPr>
                <w:b/>
                <w:bCs/>
                <w:color w:val="000000"/>
                <w:sz w:val="18"/>
                <w:szCs w:val="18"/>
              </w:rPr>
            </w:pPr>
            <w:r w:rsidRPr="001B4CA2">
              <w:rPr>
                <w:b/>
                <w:bCs/>
                <w:color w:val="000000"/>
                <w:sz w:val="18"/>
                <w:szCs w:val="18"/>
              </w:rPr>
              <w:t>Dokazne radnje</w:t>
            </w:r>
          </w:p>
        </w:tc>
        <w:tc>
          <w:tcPr>
            <w:tcW w:w="2551" w:type="dxa"/>
            <w:gridSpan w:val="2"/>
            <w:tcBorders>
              <w:top w:val="single" w:sz="8" w:space="0" w:color="auto"/>
              <w:left w:val="nil"/>
              <w:bottom w:val="single" w:sz="8" w:space="0" w:color="auto"/>
              <w:right w:val="single" w:sz="8" w:space="0" w:color="000000"/>
            </w:tcBorders>
            <w:shd w:val="clear" w:color="000000" w:fill="99CCFF"/>
            <w:vAlign w:val="center"/>
            <w:hideMark/>
          </w:tcPr>
          <w:p w14:paraId="3FAB3BCC" w14:textId="77777777" w:rsidR="00F861FF" w:rsidRPr="001B4CA2" w:rsidRDefault="00F861FF" w:rsidP="00CE2706">
            <w:pPr>
              <w:jc w:val="center"/>
              <w:rPr>
                <w:b/>
                <w:bCs/>
                <w:color w:val="000000"/>
                <w:sz w:val="18"/>
                <w:szCs w:val="18"/>
              </w:rPr>
            </w:pPr>
            <w:r w:rsidRPr="001B4CA2">
              <w:rPr>
                <w:b/>
                <w:bCs/>
                <w:color w:val="000000"/>
                <w:sz w:val="18"/>
                <w:szCs w:val="18"/>
              </w:rPr>
              <w:t>Zastupanje</w:t>
            </w:r>
          </w:p>
        </w:tc>
      </w:tr>
      <w:tr w:rsidR="00F861FF" w:rsidRPr="001B4CA2" w14:paraId="1F31541C" w14:textId="77777777" w:rsidTr="009C5AEE">
        <w:trPr>
          <w:trHeight w:val="615"/>
        </w:trPr>
        <w:tc>
          <w:tcPr>
            <w:tcW w:w="2126" w:type="dxa"/>
            <w:vMerge/>
            <w:tcBorders>
              <w:top w:val="single" w:sz="8" w:space="0" w:color="auto"/>
              <w:left w:val="single" w:sz="8" w:space="0" w:color="auto"/>
              <w:bottom w:val="single" w:sz="8" w:space="0" w:color="000000"/>
              <w:right w:val="single" w:sz="8" w:space="0" w:color="auto"/>
            </w:tcBorders>
            <w:vAlign w:val="center"/>
            <w:hideMark/>
          </w:tcPr>
          <w:p w14:paraId="586C32DD" w14:textId="77777777" w:rsidR="00F861FF" w:rsidRPr="001B4CA2" w:rsidRDefault="00F861FF" w:rsidP="00CE2706">
            <w:pPr>
              <w:rPr>
                <w:b/>
                <w:bCs/>
                <w:color w:val="000000"/>
                <w:sz w:val="18"/>
                <w:szCs w:val="18"/>
              </w:rPr>
            </w:pPr>
          </w:p>
        </w:tc>
        <w:tc>
          <w:tcPr>
            <w:tcW w:w="1665" w:type="dxa"/>
            <w:tcBorders>
              <w:top w:val="nil"/>
              <w:left w:val="nil"/>
              <w:bottom w:val="single" w:sz="8" w:space="0" w:color="auto"/>
              <w:right w:val="single" w:sz="8" w:space="0" w:color="auto"/>
            </w:tcBorders>
            <w:shd w:val="clear" w:color="000000" w:fill="99CCFF"/>
            <w:vAlign w:val="center"/>
            <w:hideMark/>
          </w:tcPr>
          <w:p w14:paraId="49E824D2" w14:textId="77777777" w:rsidR="00F861FF" w:rsidRPr="001B4CA2" w:rsidRDefault="00F861FF" w:rsidP="00CE2706">
            <w:pPr>
              <w:jc w:val="center"/>
              <w:rPr>
                <w:b/>
                <w:bCs/>
                <w:color w:val="000000"/>
                <w:sz w:val="18"/>
                <w:szCs w:val="18"/>
              </w:rPr>
            </w:pPr>
            <w:r w:rsidRPr="001B4CA2">
              <w:rPr>
                <w:b/>
                <w:bCs/>
                <w:color w:val="000000"/>
                <w:sz w:val="18"/>
                <w:szCs w:val="18"/>
              </w:rPr>
              <w:t>Nalog drugom tijelu</w:t>
            </w:r>
          </w:p>
        </w:tc>
        <w:tc>
          <w:tcPr>
            <w:tcW w:w="2021" w:type="dxa"/>
            <w:tcBorders>
              <w:top w:val="nil"/>
              <w:left w:val="nil"/>
              <w:bottom w:val="single" w:sz="8" w:space="0" w:color="auto"/>
              <w:right w:val="single" w:sz="8" w:space="0" w:color="auto"/>
            </w:tcBorders>
            <w:shd w:val="clear" w:color="000000" w:fill="99CCFF"/>
            <w:vAlign w:val="center"/>
            <w:hideMark/>
          </w:tcPr>
          <w:p w14:paraId="69D972A4" w14:textId="08212859" w:rsidR="00F861FF" w:rsidRPr="001B4CA2" w:rsidRDefault="00F861FF" w:rsidP="00CE2706">
            <w:pPr>
              <w:jc w:val="center"/>
              <w:rPr>
                <w:b/>
                <w:bCs/>
                <w:color w:val="000000"/>
                <w:sz w:val="18"/>
                <w:szCs w:val="18"/>
              </w:rPr>
            </w:pPr>
            <w:r w:rsidRPr="001B4CA2">
              <w:rPr>
                <w:b/>
                <w:bCs/>
                <w:color w:val="000000"/>
                <w:sz w:val="18"/>
                <w:szCs w:val="18"/>
              </w:rPr>
              <w:t>Provedeno po DO</w:t>
            </w:r>
          </w:p>
        </w:tc>
        <w:tc>
          <w:tcPr>
            <w:tcW w:w="1310" w:type="dxa"/>
            <w:tcBorders>
              <w:top w:val="nil"/>
              <w:left w:val="nil"/>
              <w:bottom w:val="single" w:sz="8" w:space="0" w:color="auto"/>
              <w:right w:val="single" w:sz="8" w:space="0" w:color="auto"/>
            </w:tcBorders>
            <w:shd w:val="clear" w:color="000000" w:fill="99CCFF"/>
            <w:vAlign w:val="center"/>
            <w:hideMark/>
          </w:tcPr>
          <w:p w14:paraId="560FDC10" w14:textId="77777777" w:rsidR="00F861FF" w:rsidRPr="001B4CA2" w:rsidRDefault="00F861FF" w:rsidP="00CE2706">
            <w:pPr>
              <w:jc w:val="center"/>
              <w:rPr>
                <w:b/>
                <w:bCs/>
                <w:color w:val="000000"/>
                <w:sz w:val="18"/>
                <w:szCs w:val="18"/>
              </w:rPr>
            </w:pPr>
            <w:r w:rsidRPr="001B4CA2">
              <w:rPr>
                <w:b/>
                <w:bCs/>
                <w:color w:val="000000"/>
                <w:sz w:val="18"/>
                <w:szCs w:val="18"/>
              </w:rPr>
              <w:t>Ročišta</w:t>
            </w:r>
          </w:p>
        </w:tc>
        <w:tc>
          <w:tcPr>
            <w:tcW w:w="1241" w:type="dxa"/>
            <w:tcBorders>
              <w:top w:val="nil"/>
              <w:left w:val="nil"/>
              <w:bottom w:val="single" w:sz="8" w:space="0" w:color="auto"/>
              <w:right w:val="single" w:sz="8" w:space="0" w:color="auto"/>
            </w:tcBorders>
            <w:shd w:val="clear" w:color="000000" w:fill="99CCFF"/>
            <w:vAlign w:val="center"/>
            <w:hideMark/>
          </w:tcPr>
          <w:p w14:paraId="397A2D87" w14:textId="77777777" w:rsidR="00F861FF" w:rsidRPr="001B4CA2" w:rsidRDefault="00F861FF" w:rsidP="00CE2706">
            <w:pPr>
              <w:jc w:val="center"/>
              <w:rPr>
                <w:b/>
                <w:bCs/>
                <w:color w:val="000000"/>
                <w:sz w:val="18"/>
                <w:szCs w:val="18"/>
              </w:rPr>
            </w:pPr>
            <w:r w:rsidRPr="001B4CA2">
              <w:rPr>
                <w:b/>
                <w:bCs/>
                <w:color w:val="000000"/>
                <w:sz w:val="18"/>
                <w:szCs w:val="18"/>
              </w:rPr>
              <w:t>Rasprave</w:t>
            </w:r>
          </w:p>
        </w:tc>
      </w:tr>
      <w:tr w:rsidR="00F861FF" w:rsidRPr="001B4CA2" w14:paraId="2B762E56" w14:textId="77777777" w:rsidTr="009C5AEE">
        <w:trPr>
          <w:trHeight w:val="300"/>
        </w:trPr>
        <w:tc>
          <w:tcPr>
            <w:tcW w:w="2126" w:type="dxa"/>
            <w:tcBorders>
              <w:top w:val="nil"/>
              <w:left w:val="single" w:sz="8" w:space="0" w:color="auto"/>
              <w:bottom w:val="single" w:sz="8" w:space="0" w:color="auto"/>
              <w:right w:val="single" w:sz="8" w:space="0" w:color="auto"/>
            </w:tcBorders>
            <w:shd w:val="clear" w:color="auto" w:fill="auto"/>
            <w:vAlign w:val="center"/>
            <w:hideMark/>
          </w:tcPr>
          <w:p w14:paraId="42747543" w14:textId="77777777" w:rsidR="00F861FF" w:rsidRPr="001B4CA2" w:rsidRDefault="00F861FF" w:rsidP="00CE2706">
            <w:pPr>
              <w:jc w:val="center"/>
              <w:rPr>
                <w:color w:val="000000"/>
                <w:sz w:val="18"/>
                <w:szCs w:val="18"/>
              </w:rPr>
            </w:pPr>
            <w:r w:rsidRPr="001B4CA2">
              <w:rPr>
                <w:color w:val="000000"/>
                <w:sz w:val="18"/>
                <w:szCs w:val="18"/>
              </w:rPr>
              <w:t>1</w:t>
            </w:r>
          </w:p>
        </w:tc>
        <w:tc>
          <w:tcPr>
            <w:tcW w:w="1665" w:type="dxa"/>
            <w:tcBorders>
              <w:top w:val="nil"/>
              <w:left w:val="nil"/>
              <w:bottom w:val="single" w:sz="8" w:space="0" w:color="auto"/>
              <w:right w:val="single" w:sz="8" w:space="0" w:color="auto"/>
            </w:tcBorders>
            <w:shd w:val="clear" w:color="auto" w:fill="auto"/>
            <w:noWrap/>
            <w:vAlign w:val="center"/>
            <w:hideMark/>
          </w:tcPr>
          <w:p w14:paraId="08C362EF" w14:textId="77777777" w:rsidR="00F861FF" w:rsidRPr="001B4CA2" w:rsidRDefault="00F861FF" w:rsidP="00CE2706">
            <w:pPr>
              <w:jc w:val="center"/>
              <w:rPr>
                <w:color w:val="000000"/>
                <w:sz w:val="18"/>
                <w:szCs w:val="18"/>
              </w:rPr>
            </w:pPr>
            <w:r w:rsidRPr="001B4CA2">
              <w:rPr>
                <w:color w:val="000000"/>
                <w:sz w:val="18"/>
                <w:szCs w:val="18"/>
              </w:rPr>
              <w:t>2</w:t>
            </w:r>
          </w:p>
        </w:tc>
        <w:tc>
          <w:tcPr>
            <w:tcW w:w="2021" w:type="dxa"/>
            <w:tcBorders>
              <w:top w:val="nil"/>
              <w:left w:val="nil"/>
              <w:bottom w:val="single" w:sz="8" w:space="0" w:color="auto"/>
              <w:right w:val="single" w:sz="8" w:space="0" w:color="auto"/>
            </w:tcBorders>
            <w:shd w:val="clear" w:color="auto" w:fill="auto"/>
            <w:noWrap/>
            <w:vAlign w:val="center"/>
            <w:hideMark/>
          </w:tcPr>
          <w:p w14:paraId="4AB72B43" w14:textId="77777777" w:rsidR="00F861FF" w:rsidRPr="001B4CA2" w:rsidRDefault="00F861FF" w:rsidP="00CE2706">
            <w:pPr>
              <w:jc w:val="center"/>
              <w:rPr>
                <w:color w:val="000000"/>
                <w:sz w:val="18"/>
                <w:szCs w:val="18"/>
              </w:rPr>
            </w:pPr>
            <w:r w:rsidRPr="001B4CA2">
              <w:rPr>
                <w:color w:val="000000"/>
                <w:sz w:val="18"/>
                <w:szCs w:val="18"/>
              </w:rPr>
              <w:t>3</w:t>
            </w:r>
          </w:p>
        </w:tc>
        <w:tc>
          <w:tcPr>
            <w:tcW w:w="1310" w:type="dxa"/>
            <w:tcBorders>
              <w:top w:val="nil"/>
              <w:left w:val="nil"/>
              <w:bottom w:val="single" w:sz="8" w:space="0" w:color="auto"/>
              <w:right w:val="single" w:sz="8" w:space="0" w:color="auto"/>
            </w:tcBorders>
            <w:shd w:val="clear" w:color="auto" w:fill="auto"/>
            <w:noWrap/>
            <w:vAlign w:val="center"/>
            <w:hideMark/>
          </w:tcPr>
          <w:p w14:paraId="70038B45" w14:textId="77777777" w:rsidR="00F861FF" w:rsidRPr="001B4CA2" w:rsidRDefault="00F861FF" w:rsidP="00CE2706">
            <w:pPr>
              <w:jc w:val="center"/>
              <w:rPr>
                <w:color w:val="000000"/>
                <w:sz w:val="18"/>
                <w:szCs w:val="18"/>
              </w:rPr>
            </w:pPr>
            <w:r w:rsidRPr="001B4CA2">
              <w:rPr>
                <w:color w:val="000000"/>
                <w:sz w:val="18"/>
                <w:szCs w:val="18"/>
              </w:rPr>
              <w:t>4</w:t>
            </w:r>
          </w:p>
        </w:tc>
        <w:tc>
          <w:tcPr>
            <w:tcW w:w="1241" w:type="dxa"/>
            <w:tcBorders>
              <w:top w:val="nil"/>
              <w:left w:val="nil"/>
              <w:bottom w:val="single" w:sz="8" w:space="0" w:color="auto"/>
              <w:right w:val="single" w:sz="8" w:space="0" w:color="auto"/>
            </w:tcBorders>
            <w:shd w:val="clear" w:color="auto" w:fill="auto"/>
            <w:noWrap/>
            <w:vAlign w:val="center"/>
            <w:hideMark/>
          </w:tcPr>
          <w:p w14:paraId="5302BF6A" w14:textId="77777777" w:rsidR="00F861FF" w:rsidRPr="001B4CA2" w:rsidRDefault="00F861FF" w:rsidP="00CE2706">
            <w:pPr>
              <w:jc w:val="center"/>
              <w:rPr>
                <w:color w:val="000000"/>
                <w:sz w:val="18"/>
                <w:szCs w:val="18"/>
              </w:rPr>
            </w:pPr>
            <w:r w:rsidRPr="001B4CA2">
              <w:rPr>
                <w:color w:val="000000"/>
                <w:sz w:val="18"/>
                <w:szCs w:val="18"/>
              </w:rPr>
              <w:t>5</w:t>
            </w:r>
          </w:p>
        </w:tc>
      </w:tr>
      <w:tr w:rsidR="00F861FF" w:rsidRPr="001B4CA2" w14:paraId="32DA40EC" w14:textId="77777777" w:rsidTr="009C5AEE">
        <w:trPr>
          <w:trHeight w:val="300"/>
        </w:trPr>
        <w:tc>
          <w:tcPr>
            <w:tcW w:w="2126" w:type="dxa"/>
            <w:tcBorders>
              <w:top w:val="nil"/>
              <w:left w:val="single" w:sz="8" w:space="0" w:color="auto"/>
              <w:bottom w:val="single" w:sz="8" w:space="0" w:color="auto"/>
              <w:right w:val="single" w:sz="8" w:space="0" w:color="auto"/>
            </w:tcBorders>
            <w:shd w:val="clear" w:color="auto" w:fill="auto"/>
            <w:vAlign w:val="center"/>
            <w:hideMark/>
          </w:tcPr>
          <w:p w14:paraId="6FDC5123" w14:textId="77777777" w:rsidR="00F861FF" w:rsidRPr="001B4CA2" w:rsidRDefault="00F861FF" w:rsidP="00CE2706">
            <w:pPr>
              <w:jc w:val="center"/>
              <w:rPr>
                <w:color w:val="000000"/>
                <w:sz w:val="18"/>
                <w:szCs w:val="18"/>
              </w:rPr>
            </w:pPr>
            <w:r w:rsidRPr="001B4CA2">
              <w:rPr>
                <w:color w:val="000000"/>
                <w:sz w:val="18"/>
                <w:szCs w:val="18"/>
              </w:rPr>
              <w:t>2022.</w:t>
            </w:r>
          </w:p>
        </w:tc>
        <w:tc>
          <w:tcPr>
            <w:tcW w:w="1665" w:type="dxa"/>
            <w:tcBorders>
              <w:top w:val="nil"/>
              <w:left w:val="nil"/>
              <w:bottom w:val="single" w:sz="8" w:space="0" w:color="auto"/>
              <w:right w:val="single" w:sz="8" w:space="0" w:color="auto"/>
            </w:tcBorders>
            <w:shd w:val="clear" w:color="auto" w:fill="auto"/>
            <w:noWrap/>
            <w:vAlign w:val="center"/>
            <w:hideMark/>
          </w:tcPr>
          <w:p w14:paraId="722198E2" w14:textId="77777777" w:rsidR="00F861FF" w:rsidRPr="001B4CA2" w:rsidRDefault="00F861FF" w:rsidP="00CE2706">
            <w:pPr>
              <w:jc w:val="center"/>
              <w:rPr>
                <w:color w:val="000000"/>
                <w:sz w:val="18"/>
                <w:szCs w:val="18"/>
              </w:rPr>
            </w:pPr>
            <w:r w:rsidRPr="001B4CA2">
              <w:rPr>
                <w:color w:val="000000"/>
                <w:sz w:val="18"/>
                <w:szCs w:val="18"/>
              </w:rPr>
              <w:t>27.318</w:t>
            </w:r>
          </w:p>
        </w:tc>
        <w:tc>
          <w:tcPr>
            <w:tcW w:w="2021" w:type="dxa"/>
            <w:tcBorders>
              <w:top w:val="nil"/>
              <w:left w:val="nil"/>
              <w:bottom w:val="single" w:sz="8" w:space="0" w:color="auto"/>
              <w:right w:val="single" w:sz="8" w:space="0" w:color="auto"/>
            </w:tcBorders>
            <w:shd w:val="clear" w:color="auto" w:fill="auto"/>
            <w:noWrap/>
            <w:vAlign w:val="center"/>
            <w:hideMark/>
          </w:tcPr>
          <w:p w14:paraId="0DF308F8" w14:textId="77777777" w:rsidR="00F861FF" w:rsidRPr="001B4CA2" w:rsidRDefault="00F861FF" w:rsidP="00CE2706">
            <w:pPr>
              <w:jc w:val="center"/>
              <w:rPr>
                <w:color w:val="000000"/>
                <w:sz w:val="18"/>
                <w:szCs w:val="18"/>
              </w:rPr>
            </w:pPr>
            <w:r w:rsidRPr="001B4CA2">
              <w:rPr>
                <w:color w:val="000000"/>
                <w:sz w:val="18"/>
                <w:szCs w:val="18"/>
              </w:rPr>
              <w:t>24.608</w:t>
            </w:r>
          </w:p>
        </w:tc>
        <w:tc>
          <w:tcPr>
            <w:tcW w:w="1310" w:type="dxa"/>
            <w:tcBorders>
              <w:top w:val="nil"/>
              <w:left w:val="nil"/>
              <w:bottom w:val="single" w:sz="8" w:space="0" w:color="auto"/>
              <w:right w:val="single" w:sz="8" w:space="0" w:color="auto"/>
            </w:tcBorders>
            <w:shd w:val="clear" w:color="auto" w:fill="auto"/>
            <w:noWrap/>
            <w:vAlign w:val="center"/>
            <w:hideMark/>
          </w:tcPr>
          <w:p w14:paraId="3FABD71A" w14:textId="77777777" w:rsidR="00F861FF" w:rsidRPr="001B4CA2" w:rsidRDefault="00F861FF" w:rsidP="00CE2706">
            <w:pPr>
              <w:jc w:val="center"/>
              <w:rPr>
                <w:color w:val="000000"/>
                <w:sz w:val="18"/>
                <w:szCs w:val="18"/>
              </w:rPr>
            </w:pPr>
            <w:r w:rsidRPr="001B4CA2">
              <w:rPr>
                <w:color w:val="000000"/>
                <w:sz w:val="18"/>
                <w:szCs w:val="18"/>
              </w:rPr>
              <w:t>13.322</w:t>
            </w:r>
          </w:p>
        </w:tc>
        <w:tc>
          <w:tcPr>
            <w:tcW w:w="1241" w:type="dxa"/>
            <w:tcBorders>
              <w:top w:val="nil"/>
              <w:left w:val="nil"/>
              <w:bottom w:val="single" w:sz="8" w:space="0" w:color="auto"/>
              <w:right w:val="single" w:sz="8" w:space="0" w:color="auto"/>
            </w:tcBorders>
            <w:shd w:val="clear" w:color="auto" w:fill="auto"/>
            <w:noWrap/>
            <w:vAlign w:val="center"/>
            <w:hideMark/>
          </w:tcPr>
          <w:p w14:paraId="3E67E573" w14:textId="77777777" w:rsidR="00F861FF" w:rsidRPr="001B4CA2" w:rsidRDefault="00F861FF" w:rsidP="00CE2706">
            <w:pPr>
              <w:jc w:val="center"/>
              <w:rPr>
                <w:color w:val="000000"/>
                <w:sz w:val="18"/>
                <w:szCs w:val="18"/>
              </w:rPr>
            </w:pPr>
            <w:r w:rsidRPr="001B4CA2">
              <w:rPr>
                <w:color w:val="000000"/>
                <w:sz w:val="18"/>
                <w:szCs w:val="18"/>
              </w:rPr>
              <w:t>51.933</w:t>
            </w:r>
          </w:p>
        </w:tc>
      </w:tr>
    </w:tbl>
    <w:p w14:paraId="79F976E5" w14:textId="77777777" w:rsidR="00F861FF" w:rsidRPr="001B4CA2" w:rsidRDefault="00F861FF" w:rsidP="00F861FF">
      <w:pPr>
        <w:pStyle w:val="Odlomakpopisa"/>
        <w:widowControl w:val="0"/>
        <w:ind w:left="0"/>
        <w:rPr>
          <w:b/>
          <w:snapToGrid w:val="0"/>
        </w:rPr>
      </w:pPr>
    </w:p>
    <w:p w14:paraId="7253353C" w14:textId="77777777" w:rsidR="00F861FF" w:rsidRPr="001B4CA2" w:rsidRDefault="00F861FF" w:rsidP="00F861FF">
      <w:pPr>
        <w:widowControl w:val="0"/>
        <w:rPr>
          <w:b/>
          <w:snapToGrid w:val="0"/>
        </w:rPr>
      </w:pPr>
    </w:p>
    <w:p w14:paraId="7D2E3D59" w14:textId="51C8AB67" w:rsidR="00F861FF" w:rsidRPr="001B4CA2" w:rsidRDefault="00F861FF" w:rsidP="00F861FF">
      <w:pPr>
        <w:widowControl w:val="0"/>
        <w:rPr>
          <w:snapToGrid w:val="0"/>
        </w:rPr>
      </w:pPr>
      <w:r w:rsidRPr="001B4CA2">
        <w:rPr>
          <w:b/>
          <w:snapToGrid w:val="0"/>
        </w:rPr>
        <w:tab/>
      </w:r>
      <w:r w:rsidRPr="001B4CA2">
        <w:rPr>
          <w:snapToGrid w:val="0"/>
        </w:rPr>
        <w:t>Tijekom 2022. Ured za suzbijanje korupcije i organiziranog kriminaliteta,</w:t>
      </w:r>
      <w:r w:rsidR="001B4CA2">
        <w:rPr>
          <w:snapToGrid w:val="0"/>
        </w:rPr>
        <w:t xml:space="preserve"> </w:t>
      </w:r>
      <w:r w:rsidRPr="001B4CA2">
        <w:rPr>
          <w:snapToGrid w:val="0"/>
        </w:rPr>
        <w:t>županijska državna odvjetništva i općinska državna odvjetništva</w:t>
      </w:r>
      <w:r w:rsidR="001B4CA2">
        <w:rPr>
          <w:snapToGrid w:val="0"/>
        </w:rPr>
        <w:t xml:space="preserve"> </w:t>
      </w:r>
      <w:r w:rsidRPr="001B4CA2">
        <w:rPr>
          <w:snapToGrid w:val="0"/>
        </w:rPr>
        <w:t>naložila su ili neposredno provela ukupno 51.921 dokaznu radnju, od čega je nalog drugom dijelu, u pravilu policiji i policijskim istražiteljima</w:t>
      </w:r>
      <w:r w:rsidR="00250093">
        <w:rPr>
          <w:snapToGrid w:val="0"/>
        </w:rPr>
        <w:t>,</w:t>
      </w:r>
      <w:r w:rsidRPr="001B4CA2">
        <w:rPr>
          <w:snapToGrid w:val="0"/>
        </w:rPr>
        <w:t xml:space="preserve"> uslijedilo u odnosu na 52,62</w:t>
      </w:r>
      <w:r w:rsidR="00250093">
        <w:rPr>
          <w:snapToGrid w:val="0"/>
        </w:rPr>
        <w:t> </w:t>
      </w:r>
      <w:r w:rsidRPr="001B4CA2">
        <w:rPr>
          <w:snapToGrid w:val="0"/>
        </w:rPr>
        <w:t>% dokaznih radnji, dok su 24.608 dokaznih radnji, odnosno 47,39</w:t>
      </w:r>
      <w:r w:rsidR="00250093">
        <w:rPr>
          <w:snapToGrid w:val="0"/>
        </w:rPr>
        <w:t> </w:t>
      </w:r>
      <w:r w:rsidRPr="001B4CA2">
        <w:rPr>
          <w:snapToGrid w:val="0"/>
        </w:rPr>
        <w:t>%</w:t>
      </w:r>
      <w:r w:rsidR="001B4CA2">
        <w:rPr>
          <w:snapToGrid w:val="0"/>
        </w:rPr>
        <w:t xml:space="preserve"> </w:t>
      </w:r>
      <w:r w:rsidRPr="001B4CA2">
        <w:rPr>
          <w:snapToGrid w:val="0"/>
        </w:rPr>
        <w:t xml:space="preserve">provela neposredno državna odvjetništva koja su, uz to, obavila i 65.255 </w:t>
      </w:r>
      <w:proofErr w:type="spellStart"/>
      <w:r w:rsidRPr="001B4CA2">
        <w:rPr>
          <w:snapToGrid w:val="0"/>
        </w:rPr>
        <w:t>državnoodvjetničkih</w:t>
      </w:r>
      <w:proofErr w:type="spellEnd"/>
      <w:r w:rsidRPr="001B4CA2">
        <w:rPr>
          <w:snapToGrid w:val="0"/>
        </w:rPr>
        <w:t xml:space="preserve"> zastupanja pred sudovima, od čega 13.322 zastupanja na ročištima i 51.933 raspravna zastupanja.</w:t>
      </w:r>
    </w:p>
    <w:p w14:paraId="71F47797" w14:textId="77777777" w:rsidR="00F861FF" w:rsidRPr="001B4CA2" w:rsidRDefault="00F861FF" w:rsidP="00F861FF">
      <w:pPr>
        <w:widowControl w:val="0"/>
        <w:rPr>
          <w:snapToGrid w:val="0"/>
        </w:rPr>
      </w:pPr>
    </w:p>
    <w:p w14:paraId="4A9CCA39" w14:textId="29E46DF9" w:rsidR="00F861FF" w:rsidRPr="001B4CA2" w:rsidRDefault="00F861FF" w:rsidP="00F861FF">
      <w:pPr>
        <w:widowControl w:val="0"/>
        <w:ind w:firstLine="720"/>
        <w:rPr>
          <w:snapToGrid w:val="0"/>
        </w:rPr>
      </w:pPr>
      <w:r w:rsidRPr="001B4CA2">
        <w:rPr>
          <w:snapToGrid w:val="0"/>
        </w:rPr>
        <w:t>U odnosnu na prethodno izvještajno razdoblje vidljiv je porast dokaznih radnji</w:t>
      </w:r>
      <w:r w:rsidR="00250093">
        <w:rPr>
          <w:snapToGrid w:val="0"/>
        </w:rPr>
        <w:t xml:space="preserve">, ali </w:t>
      </w:r>
      <w:r w:rsidRPr="001B4CA2">
        <w:rPr>
          <w:snapToGrid w:val="0"/>
        </w:rPr>
        <w:t>i obavljenih ročišta i rasprava od 8,75</w:t>
      </w:r>
      <w:r w:rsidR="00250093">
        <w:rPr>
          <w:snapToGrid w:val="0"/>
        </w:rPr>
        <w:t> </w:t>
      </w:r>
      <w:r w:rsidRPr="001B4CA2">
        <w:rPr>
          <w:snapToGrid w:val="0"/>
        </w:rPr>
        <w:t>% u odnosu na prethodno izvještajno razdoblje</w:t>
      </w:r>
      <w:r w:rsidR="00250093">
        <w:rPr>
          <w:snapToGrid w:val="0"/>
        </w:rPr>
        <w:t>,</w:t>
      </w:r>
      <w:r w:rsidRPr="001B4CA2">
        <w:rPr>
          <w:snapToGrid w:val="0"/>
        </w:rPr>
        <w:t xml:space="preserve"> pri čemu je broj dokaznih radnji povećan za 11,94</w:t>
      </w:r>
      <w:r w:rsidR="00250093">
        <w:rPr>
          <w:snapToGrid w:val="0"/>
        </w:rPr>
        <w:t> </w:t>
      </w:r>
      <w:r w:rsidRPr="001B4CA2">
        <w:rPr>
          <w:snapToGrid w:val="0"/>
        </w:rPr>
        <w:t>%, a broj ročišta i rasprava za 5,57</w:t>
      </w:r>
      <w:r w:rsidR="00250093">
        <w:rPr>
          <w:snapToGrid w:val="0"/>
        </w:rPr>
        <w:t> </w:t>
      </w:r>
      <w:r w:rsidRPr="001B4CA2">
        <w:rPr>
          <w:snapToGrid w:val="0"/>
        </w:rPr>
        <w:t>%.</w:t>
      </w:r>
    </w:p>
    <w:p w14:paraId="544F5FE3" w14:textId="77777777" w:rsidR="00F861FF" w:rsidRPr="001B4CA2" w:rsidRDefault="00F861FF" w:rsidP="001D6DE1"/>
    <w:p w14:paraId="5013216E" w14:textId="1A48F481" w:rsidR="00BB4D48" w:rsidRPr="001B4CA2" w:rsidRDefault="00257FA8" w:rsidP="00257FA8">
      <w:pPr>
        <w:pStyle w:val="Naslov4"/>
        <w:tabs>
          <w:tab w:val="left" w:pos="993"/>
          <w:tab w:val="left" w:pos="1134"/>
        </w:tabs>
        <w:rPr>
          <w:rFonts w:ascii="Arial" w:hAnsi="Arial" w:cs="Arial"/>
        </w:rPr>
      </w:pPr>
      <w:r w:rsidRPr="001B4CA2">
        <w:rPr>
          <w:rFonts w:ascii="Arial" w:hAnsi="Arial" w:cs="Arial"/>
        </w:rPr>
        <w:t xml:space="preserve"> </w:t>
      </w:r>
      <w:bookmarkStart w:id="39" w:name="_Toc133394301"/>
      <w:r w:rsidR="000857CC" w:rsidRPr="001B4CA2">
        <w:rPr>
          <w:rFonts w:ascii="Arial" w:hAnsi="Arial" w:cs="Arial"/>
        </w:rPr>
        <w:t>Žalbe</w:t>
      </w:r>
      <w:r w:rsidR="00415CC9" w:rsidRPr="001B4CA2">
        <w:rPr>
          <w:rFonts w:ascii="Arial" w:hAnsi="Arial" w:cs="Arial"/>
        </w:rPr>
        <w:t xml:space="preserve"> i </w:t>
      </w:r>
      <w:r w:rsidR="000857CC" w:rsidRPr="001B4CA2">
        <w:rPr>
          <w:rFonts w:ascii="Arial" w:hAnsi="Arial" w:cs="Arial"/>
        </w:rPr>
        <w:t>odluke</w:t>
      </w:r>
      <w:r w:rsidR="00415CC9" w:rsidRPr="001B4CA2">
        <w:rPr>
          <w:rFonts w:ascii="Arial" w:hAnsi="Arial" w:cs="Arial"/>
        </w:rPr>
        <w:t xml:space="preserve"> </w:t>
      </w:r>
      <w:r w:rsidR="000857CC" w:rsidRPr="001B4CA2">
        <w:rPr>
          <w:rFonts w:ascii="Arial" w:hAnsi="Arial" w:cs="Arial"/>
        </w:rPr>
        <w:t>sudova</w:t>
      </w:r>
      <w:r w:rsidR="00415CC9" w:rsidRPr="001B4CA2">
        <w:rPr>
          <w:rFonts w:ascii="Arial" w:hAnsi="Arial" w:cs="Arial"/>
        </w:rPr>
        <w:t xml:space="preserve"> </w:t>
      </w:r>
      <w:r w:rsidR="000857CC" w:rsidRPr="001B4CA2">
        <w:rPr>
          <w:rFonts w:ascii="Arial" w:hAnsi="Arial" w:cs="Arial"/>
        </w:rPr>
        <w:t>povodom</w:t>
      </w:r>
      <w:r w:rsidR="00415CC9" w:rsidRPr="001B4CA2">
        <w:rPr>
          <w:rFonts w:ascii="Arial" w:hAnsi="Arial" w:cs="Arial"/>
        </w:rPr>
        <w:t xml:space="preserve"> </w:t>
      </w:r>
      <w:r w:rsidR="000857CC" w:rsidRPr="001B4CA2">
        <w:rPr>
          <w:rFonts w:ascii="Arial" w:hAnsi="Arial" w:cs="Arial"/>
        </w:rPr>
        <w:t>žalbi</w:t>
      </w:r>
      <w:r w:rsidR="00415CC9" w:rsidRPr="001B4CA2">
        <w:rPr>
          <w:rFonts w:ascii="Arial" w:hAnsi="Arial" w:cs="Arial"/>
        </w:rPr>
        <w:t xml:space="preserve"> </w:t>
      </w:r>
      <w:r w:rsidR="000857CC" w:rsidRPr="001B4CA2">
        <w:rPr>
          <w:rFonts w:ascii="Arial" w:hAnsi="Arial" w:cs="Arial"/>
        </w:rPr>
        <w:t>(bez maloljetnika)</w:t>
      </w:r>
      <w:bookmarkEnd w:id="39"/>
    </w:p>
    <w:p w14:paraId="545F55A7" w14:textId="77777777" w:rsidR="00723ADA" w:rsidRPr="001B4CA2" w:rsidRDefault="00723ADA" w:rsidP="005C4A9A"/>
    <w:p w14:paraId="3C8A575E" w14:textId="4D686B6E" w:rsidR="0075086D" w:rsidRPr="001B4CA2" w:rsidRDefault="005B2800" w:rsidP="0075086D">
      <w:r w:rsidRPr="001B4CA2">
        <w:tab/>
      </w:r>
      <w:r w:rsidR="0075086D" w:rsidRPr="001B4CA2">
        <w:t xml:space="preserve">Tijekom 2022. godine, državna </w:t>
      </w:r>
      <w:r w:rsidR="00250093" w:rsidRPr="001B4CA2">
        <w:t xml:space="preserve">su </w:t>
      </w:r>
      <w:r w:rsidR="0075086D" w:rsidRPr="001B4CA2">
        <w:t>odvjetništva podnijela 3282 žalbe u odnosu na ukupno donesen</w:t>
      </w:r>
      <w:r w:rsidR="00250093">
        <w:t>e</w:t>
      </w:r>
      <w:r w:rsidR="0075086D" w:rsidRPr="001B4CA2">
        <w:t xml:space="preserve"> 17</w:t>
      </w:r>
      <w:r w:rsidR="00250093">
        <w:t>.</w:t>
      </w:r>
      <w:r w:rsidR="0075086D" w:rsidRPr="001B4CA2">
        <w:t>634 presude. Žalbe su</w:t>
      </w:r>
      <w:r w:rsidR="00250093">
        <w:t>,</w:t>
      </w:r>
      <w:r w:rsidR="0075086D" w:rsidRPr="001B4CA2">
        <w:t xml:space="preserve"> dakle, podnesene protiv 18,61</w:t>
      </w:r>
      <w:r w:rsidR="00250093">
        <w:rPr>
          <w:snapToGrid w:val="0"/>
        </w:rPr>
        <w:t> </w:t>
      </w:r>
      <w:r w:rsidR="0075086D" w:rsidRPr="001B4CA2">
        <w:t>% presuda.</w:t>
      </w:r>
    </w:p>
    <w:p w14:paraId="22468CDD" w14:textId="77777777" w:rsidR="0075086D" w:rsidRPr="001B4CA2" w:rsidRDefault="0075086D" w:rsidP="0075086D"/>
    <w:p w14:paraId="3C77CDC9" w14:textId="3F39FC16" w:rsidR="0075086D" w:rsidRPr="001B4CA2" w:rsidRDefault="0075086D" w:rsidP="0075086D">
      <w:r w:rsidRPr="001B4CA2">
        <w:tab/>
        <w:t>U odnosu na prethodnu 2021., u kojoj je bilo podneseno 2989 žalbi u odnosu na 18</w:t>
      </w:r>
      <w:r w:rsidR="00250093">
        <w:t>.</w:t>
      </w:r>
      <w:r w:rsidRPr="001B4CA2">
        <w:t>363 donesene presude, podnesene su 293 žalbe više ili 8,9</w:t>
      </w:r>
      <w:r w:rsidR="00250093">
        <w:t> </w:t>
      </w:r>
      <w:r w:rsidRPr="001B4CA2">
        <w:t xml:space="preserve">% više. Iz navedenih podataka proizlazi da je u izvještajnom razdoblju žalba podnesena prosječno protiv svake </w:t>
      </w:r>
      <w:r w:rsidR="00250093">
        <w:t xml:space="preserve">pete </w:t>
      </w:r>
      <w:r w:rsidRPr="001B4CA2">
        <w:t xml:space="preserve">presude, dok je u 2021. žalbom pobijana prosječno svaka </w:t>
      </w:r>
      <w:r w:rsidR="00250093">
        <w:t>šesta</w:t>
      </w:r>
      <w:r w:rsidRPr="001B4CA2">
        <w:t xml:space="preserve"> presuda, a u 2020. svaka </w:t>
      </w:r>
      <w:r w:rsidR="00250093">
        <w:t>sedm</w:t>
      </w:r>
      <w:r w:rsidRPr="001B4CA2">
        <w:t xml:space="preserve">a presuda, što dodatno ukazuje </w:t>
      </w:r>
      <w:r w:rsidR="00250093">
        <w:t xml:space="preserve">na to </w:t>
      </w:r>
      <w:r w:rsidRPr="001B4CA2">
        <w:t xml:space="preserve">da je u izvještajnom razdoblju i realno došlo do daljnjeg povećanja žalbene aktivnosti. U izvještajnoj </w:t>
      </w:r>
      <w:r w:rsidR="00250093" w:rsidRPr="001B4CA2">
        <w:t xml:space="preserve">je </w:t>
      </w:r>
      <w:r w:rsidRPr="001B4CA2">
        <w:t>godini inače podnesen najveći broj žalbi u razdoblju od 2018.</w:t>
      </w:r>
      <w:r w:rsidR="00250093">
        <w:t xml:space="preserve"> do </w:t>
      </w:r>
      <w:r w:rsidRPr="001B4CA2">
        <w:t>2022.</w:t>
      </w:r>
    </w:p>
    <w:p w14:paraId="5B1E6F9C" w14:textId="2E889FED" w:rsidR="0075086D" w:rsidRPr="001B4CA2" w:rsidRDefault="0075086D" w:rsidP="0075086D">
      <w:r w:rsidRPr="001B4CA2">
        <w:lastRenderedPageBreak/>
        <w:tab/>
        <w:t>Tablica koja slijedi sadržava prikaz ukupnog broja podnesenih i usvojenih žalbi te broja podnesenih i usvojenih žalbi zbog odluke o kazni za razdoblje 2018.</w:t>
      </w:r>
      <w:r w:rsidR="00F47D60">
        <w:t>–</w:t>
      </w:r>
      <w:r w:rsidRPr="001B4CA2">
        <w:t xml:space="preserve">2022. </w:t>
      </w:r>
    </w:p>
    <w:p w14:paraId="34A762A4" w14:textId="77777777" w:rsidR="009C5AEE" w:rsidRDefault="009C5AEE" w:rsidP="00BD76F5">
      <w:pPr>
        <w:ind w:left="993"/>
        <w:rPr>
          <w:rFonts w:eastAsia="Times New Roman"/>
          <w:i/>
          <w:iCs/>
          <w:lang w:eastAsia="hr-HR"/>
        </w:rPr>
      </w:pPr>
    </w:p>
    <w:p w14:paraId="230CB018" w14:textId="2366AA7E" w:rsidR="00D157AC" w:rsidRPr="001B4CA2" w:rsidRDefault="00BD76F5" w:rsidP="00BD76F5">
      <w:pPr>
        <w:ind w:left="993"/>
      </w:pPr>
      <w:r w:rsidRPr="001B4CA2">
        <w:rPr>
          <w:rFonts w:eastAsia="Times New Roman"/>
          <w:i/>
          <w:iCs/>
          <w:lang w:eastAsia="hr-HR"/>
        </w:rPr>
        <w:t>Broj podnesenih i usvojenih žalbi</w:t>
      </w:r>
    </w:p>
    <w:tbl>
      <w:tblPr>
        <w:tblW w:w="7383" w:type="dxa"/>
        <w:tblInd w:w="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8"/>
        <w:gridCol w:w="1615"/>
        <w:gridCol w:w="1640"/>
        <w:gridCol w:w="1625"/>
        <w:gridCol w:w="1545"/>
      </w:tblGrid>
      <w:tr w:rsidR="00BD76F5" w:rsidRPr="001B4CA2" w14:paraId="4B9969A5" w14:textId="77777777" w:rsidTr="007A6DA5">
        <w:trPr>
          <w:trHeight w:val="502"/>
        </w:trPr>
        <w:tc>
          <w:tcPr>
            <w:tcW w:w="958" w:type="dxa"/>
            <w:vMerge w:val="restart"/>
            <w:shd w:val="clear" w:color="auto" w:fill="99CCFF"/>
            <w:noWrap/>
            <w:vAlign w:val="center"/>
            <w:hideMark/>
          </w:tcPr>
          <w:p w14:paraId="46EC85F0" w14:textId="79E5D6B1" w:rsidR="00BD76F5" w:rsidRPr="001B4CA2" w:rsidRDefault="00BD76F5" w:rsidP="00BD76F5">
            <w:pPr>
              <w:jc w:val="center"/>
              <w:rPr>
                <w:rFonts w:eastAsia="Times New Roman"/>
                <w:i/>
                <w:iCs/>
                <w:lang w:eastAsia="hr-HR"/>
              </w:rPr>
            </w:pPr>
            <w:r w:rsidRPr="001B4CA2">
              <w:rPr>
                <w:rFonts w:eastAsia="Times New Roman"/>
                <w:b/>
                <w:sz w:val="18"/>
                <w:szCs w:val="18"/>
                <w:lang w:eastAsia="hr-HR"/>
              </w:rPr>
              <w:t>Godina</w:t>
            </w:r>
          </w:p>
        </w:tc>
        <w:tc>
          <w:tcPr>
            <w:tcW w:w="6425" w:type="dxa"/>
            <w:gridSpan w:val="4"/>
            <w:shd w:val="clear" w:color="auto" w:fill="99CCFF"/>
            <w:vAlign w:val="center"/>
          </w:tcPr>
          <w:p w14:paraId="42DDA1EA" w14:textId="3227D15D" w:rsidR="00BD76F5" w:rsidRPr="001B4CA2" w:rsidRDefault="00BD76F5" w:rsidP="00BD76F5">
            <w:pPr>
              <w:jc w:val="center"/>
              <w:rPr>
                <w:rFonts w:eastAsia="Times New Roman"/>
                <w:sz w:val="22"/>
                <w:lang w:eastAsia="hr-HR"/>
              </w:rPr>
            </w:pPr>
            <w:r w:rsidRPr="001B4CA2">
              <w:rPr>
                <w:rFonts w:eastAsia="Times New Roman"/>
                <w:b/>
                <w:sz w:val="18"/>
                <w:szCs w:val="18"/>
                <w:lang w:eastAsia="hr-HR"/>
              </w:rPr>
              <w:t>Žalbe</w:t>
            </w:r>
          </w:p>
        </w:tc>
      </w:tr>
      <w:tr w:rsidR="00BD76F5" w:rsidRPr="001B4CA2" w14:paraId="1C107E98" w14:textId="77777777" w:rsidTr="007A6DA5">
        <w:trPr>
          <w:trHeight w:val="760"/>
        </w:trPr>
        <w:tc>
          <w:tcPr>
            <w:tcW w:w="958" w:type="dxa"/>
            <w:vMerge/>
            <w:shd w:val="clear" w:color="auto" w:fill="99CCFF"/>
            <w:vAlign w:val="center"/>
            <w:hideMark/>
          </w:tcPr>
          <w:p w14:paraId="700E96B6" w14:textId="77777777" w:rsidR="00BD76F5" w:rsidRPr="001B4CA2" w:rsidRDefault="00BD76F5" w:rsidP="00723ADA">
            <w:pPr>
              <w:jc w:val="left"/>
              <w:rPr>
                <w:rFonts w:eastAsia="Times New Roman"/>
                <w:b/>
                <w:sz w:val="18"/>
                <w:szCs w:val="18"/>
                <w:lang w:eastAsia="hr-HR"/>
              </w:rPr>
            </w:pPr>
          </w:p>
        </w:tc>
        <w:tc>
          <w:tcPr>
            <w:tcW w:w="1615" w:type="dxa"/>
            <w:shd w:val="clear" w:color="auto" w:fill="99CCFF"/>
            <w:noWrap/>
            <w:vAlign w:val="center"/>
            <w:hideMark/>
          </w:tcPr>
          <w:p w14:paraId="7AB8C61D" w14:textId="77777777" w:rsidR="00BD76F5" w:rsidRPr="001B4CA2" w:rsidRDefault="00BD76F5" w:rsidP="00723ADA">
            <w:pPr>
              <w:jc w:val="center"/>
              <w:rPr>
                <w:rFonts w:eastAsia="Times New Roman"/>
                <w:b/>
                <w:sz w:val="18"/>
                <w:szCs w:val="18"/>
                <w:lang w:eastAsia="hr-HR"/>
              </w:rPr>
            </w:pPr>
            <w:r w:rsidRPr="001B4CA2">
              <w:rPr>
                <w:rFonts w:eastAsia="Times New Roman"/>
                <w:b/>
                <w:sz w:val="18"/>
                <w:szCs w:val="18"/>
                <w:lang w:eastAsia="hr-HR"/>
              </w:rPr>
              <w:t>Podneseno</w:t>
            </w:r>
          </w:p>
        </w:tc>
        <w:tc>
          <w:tcPr>
            <w:tcW w:w="1640" w:type="dxa"/>
            <w:shd w:val="clear" w:color="auto" w:fill="99CCFF"/>
            <w:vAlign w:val="center"/>
            <w:hideMark/>
          </w:tcPr>
          <w:p w14:paraId="1D954C6F" w14:textId="77777777" w:rsidR="00BD76F5" w:rsidRPr="001B4CA2" w:rsidRDefault="00BD76F5" w:rsidP="00723ADA">
            <w:pPr>
              <w:jc w:val="center"/>
              <w:rPr>
                <w:rFonts w:eastAsia="Times New Roman"/>
                <w:b/>
                <w:sz w:val="18"/>
                <w:szCs w:val="18"/>
                <w:lang w:eastAsia="hr-HR"/>
              </w:rPr>
            </w:pPr>
            <w:r w:rsidRPr="001B4CA2">
              <w:rPr>
                <w:rFonts w:eastAsia="Times New Roman"/>
                <w:b/>
                <w:sz w:val="18"/>
                <w:szCs w:val="18"/>
                <w:lang w:eastAsia="hr-HR"/>
              </w:rPr>
              <w:t>Od toga zbog kazne</w:t>
            </w:r>
          </w:p>
        </w:tc>
        <w:tc>
          <w:tcPr>
            <w:tcW w:w="1625" w:type="dxa"/>
            <w:shd w:val="clear" w:color="auto" w:fill="99CCFF"/>
            <w:noWrap/>
            <w:vAlign w:val="center"/>
            <w:hideMark/>
          </w:tcPr>
          <w:p w14:paraId="03A20895" w14:textId="77777777" w:rsidR="00BD76F5" w:rsidRPr="001B4CA2" w:rsidRDefault="00BD76F5" w:rsidP="00723ADA">
            <w:pPr>
              <w:jc w:val="center"/>
              <w:rPr>
                <w:rFonts w:eastAsia="Times New Roman"/>
                <w:b/>
                <w:sz w:val="18"/>
                <w:szCs w:val="18"/>
                <w:lang w:eastAsia="hr-HR"/>
              </w:rPr>
            </w:pPr>
            <w:r w:rsidRPr="001B4CA2">
              <w:rPr>
                <w:rFonts w:eastAsia="Times New Roman"/>
                <w:b/>
                <w:sz w:val="18"/>
                <w:szCs w:val="18"/>
                <w:lang w:eastAsia="hr-HR"/>
              </w:rPr>
              <w:t>Usvojeno</w:t>
            </w:r>
          </w:p>
        </w:tc>
        <w:tc>
          <w:tcPr>
            <w:tcW w:w="1545" w:type="dxa"/>
            <w:shd w:val="clear" w:color="auto" w:fill="99CCFF"/>
            <w:vAlign w:val="center"/>
            <w:hideMark/>
          </w:tcPr>
          <w:p w14:paraId="7A2FEFD4" w14:textId="77777777" w:rsidR="00BD76F5" w:rsidRPr="001B4CA2" w:rsidRDefault="00BD76F5" w:rsidP="00723ADA">
            <w:pPr>
              <w:jc w:val="center"/>
              <w:rPr>
                <w:rFonts w:eastAsia="Times New Roman"/>
                <w:b/>
                <w:sz w:val="18"/>
                <w:szCs w:val="18"/>
                <w:lang w:eastAsia="hr-HR"/>
              </w:rPr>
            </w:pPr>
            <w:r w:rsidRPr="001B4CA2">
              <w:rPr>
                <w:rFonts w:eastAsia="Times New Roman"/>
                <w:b/>
                <w:sz w:val="18"/>
                <w:szCs w:val="18"/>
                <w:lang w:eastAsia="hr-HR"/>
              </w:rPr>
              <w:t>Od toga zbog kazne</w:t>
            </w:r>
          </w:p>
        </w:tc>
      </w:tr>
      <w:tr w:rsidR="00327A30" w:rsidRPr="001B4CA2" w14:paraId="632E3D8E" w14:textId="77777777" w:rsidTr="007A6DA5">
        <w:trPr>
          <w:trHeight w:val="341"/>
        </w:trPr>
        <w:tc>
          <w:tcPr>
            <w:tcW w:w="958" w:type="dxa"/>
            <w:shd w:val="clear" w:color="auto" w:fill="auto"/>
            <w:noWrap/>
            <w:vAlign w:val="center"/>
          </w:tcPr>
          <w:p w14:paraId="3FD55A52" w14:textId="26CEA462" w:rsidR="00327A30" w:rsidRPr="001B4CA2" w:rsidRDefault="00327A30" w:rsidP="00723ADA">
            <w:pPr>
              <w:jc w:val="center"/>
              <w:rPr>
                <w:rFonts w:eastAsia="Times New Roman"/>
                <w:sz w:val="18"/>
                <w:szCs w:val="18"/>
                <w:lang w:eastAsia="hr-HR"/>
              </w:rPr>
            </w:pPr>
            <w:r w:rsidRPr="001B4CA2">
              <w:rPr>
                <w:rFonts w:eastAsia="Times New Roman"/>
                <w:sz w:val="18"/>
                <w:szCs w:val="18"/>
                <w:lang w:eastAsia="hr-HR"/>
              </w:rPr>
              <w:t>201</w:t>
            </w:r>
            <w:r w:rsidR="0075086D" w:rsidRPr="001B4CA2">
              <w:rPr>
                <w:rFonts w:eastAsia="Times New Roman"/>
                <w:sz w:val="18"/>
                <w:szCs w:val="18"/>
                <w:lang w:eastAsia="hr-HR"/>
              </w:rPr>
              <w:t>8</w:t>
            </w:r>
            <w:r w:rsidRPr="001B4CA2">
              <w:rPr>
                <w:rFonts w:eastAsia="Times New Roman"/>
                <w:sz w:val="18"/>
                <w:szCs w:val="18"/>
                <w:lang w:eastAsia="hr-HR"/>
              </w:rPr>
              <w:t>.</w:t>
            </w:r>
          </w:p>
        </w:tc>
        <w:tc>
          <w:tcPr>
            <w:tcW w:w="1615" w:type="dxa"/>
            <w:shd w:val="clear" w:color="auto" w:fill="auto"/>
            <w:noWrap/>
            <w:vAlign w:val="center"/>
          </w:tcPr>
          <w:p w14:paraId="76F6D21A" w14:textId="33828F83" w:rsidR="00327A30" w:rsidRPr="001B4CA2" w:rsidRDefault="0075086D" w:rsidP="00723ADA">
            <w:pPr>
              <w:jc w:val="center"/>
              <w:rPr>
                <w:rFonts w:eastAsia="Times New Roman"/>
                <w:sz w:val="18"/>
                <w:szCs w:val="18"/>
                <w:lang w:eastAsia="hr-HR"/>
              </w:rPr>
            </w:pPr>
            <w:r w:rsidRPr="001B4CA2">
              <w:rPr>
                <w:rFonts w:eastAsia="Times New Roman"/>
                <w:sz w:val="18"/>
                <w:szCs w:val="18"/>
                <w:lang w:eastAsia="hr-HR"/>
              </w:rPr>
              <w:t>2.567</w:t>
            </w:r>
          </w:p>
        </w:tc>
        <w:tc>
          <w:tcPr>
            <w:tcW w:w="1640" w:type="dxa"/>
            <w:shd w:val="clear" w:color="auto" w:fill="auto"/>
            <w:noWrap/>
            <w:vAlign w:val="center"/>
          </w:tcPr>
          <w:p w14:paraId="75E7393C" w14:textId="727DF2DA" w:rsidR="00327A30" w:rsidRPr="001B4CA2" w:rsidRDefault="00327A30" w:rsidP="00723ADA">
            <w:pPr>
              <w:jc w:val="center"/>
              <w:rPr>
                <w:rFonts w:eastAsia="Times New Roman"/>
                <w:sz w:val="18"/>
                <w:szCs w:val="18"/>
                <w:lang w:eastAsia="hr-HR"/>
              </w:rPr>
            </w:pPr>
            <w:r w:rsidRPr="001B4CA2">
              <w:rPr>
                <w:rFonts w:eastAsia="Times New Roman"/>
                <w:sz w:val="18"/>
                <w:szCs w:val="18"/>
                <w:lang w:eastAsia="hr-HR"/>
              </w:rPr>
              <w:t>1.</w:t>
            </w:r>
            <w:r w:rsidR="0075086D" w:rsidRPr="001B4CA2">
              <w:rPr>
                <w:rFonts w:eastAsia="Times New Roman"/>
                <w:sz w:val="18"/>
                <w:szCs w:val="18"/>
                <w:lang w:eastAsia="hr-HR"/>
              </w:rPr>
              <w:t>424</w:t>
            </w:r>
          </w:p>
        </w:tc>
        <w:tc>
          <w:tcPr>
            <w:tcW w:w="1625" w:type="dxa"/>
            <w:shd w:val="clear" w:color="auto" w:fill="auto"/>
            <w:noWrap/>
            <w:vAlign w:val="center"/>
          </w:tcPr>
          <w:p w14:paraId="428BB47F" w14:textId="735E9A73" w:rsidR="00327A30" w:rsidRPr="001B4CA2" w:rsidRDefault="0075086D" w:rsidP="00723ADA">
            <w:pPr>
              <w:jc w:val="center"/>
              <w:rPr>
                <w:rFonts w:eastAsia="Times New Roman"/>
                <w:sz w:val="18"/>
                <w:szCs w:val="18"/>
                <w:lang w:eastAsia="hr-HR"/>
              </w:rPr>
            </w:pPr>
            <w:r w:rsidRPr="001B4CA2">
              <w:rPr>
                <w:rFonts w:eastAsia="Times New Roman"/>
                <w:sz w:val="18"/>
                <w:szCs w:val="18"/>
                <w:lang w:eastAsia="hr-HR"/>
              </w:rPr>
              <w:t>733</w:t>
            </w:r>
          </w:p>
        </w:tc>
        <w:tc>
          <w:tcPr>
            <w:tcW w:w="1545" w:type="dxa"/>
            <w:shd w:val="clear" w:color="auto" w:fill="auto"/>
            <w:noWrap/>
            <w:vAlign w:val="center"/>
          </w:tcPr>
          <w:p w14:paraId="0498562A" w14:textId="170138C8" w:rsidR="00327A30" w:rsidRPr="001B4CA2" w:rsidRDefault="0075086D" w:rsidP="00723ADA">
            <w:pPr>
              <w:jc w:val="center"/>
              <w:rPr>
                <w:rFonts w:eastAsia="Times New Roman"/>
                <w:sz w:val="18"/>
                <w:szCs w:val="18"/>
                <w:lang w:eastAsia="hr-HR"/>
              </w:rPr>
            </w:pPr>
            <w:r w:rsidRPr="001B4CA2">
              <w:rPr>
                <w:rFonts w:eastAsia="Times New Roman"/>
                <w:sz w:val="18"/>
                <w:szCs w:val="18"/>
                <w:lang w:eastAsia="hr-HR"/>
              </w:rPr>
              <w:t>317</w:t>
            </w:r>
          </w:p>
        </w:tc>
      </w:tr>
      <w:tr w:rsidR="00327A30" w:rsidRPr="001B4CA2" w14:paraId="143FF84F" w14:textId="77777777" w:rsidTr="007A6DA5">
        <w:trPr>
          <w:trHeight w:val="341"/>
        </w:trPr>
        <w:tc>
          <w:tcPr>
            <w:tcW w:w="958" w:type="dxa"/>
            <w:shd w:val="clear" w:color="auto" w:fill="auto"/>
            <w:noWrap/>
            <w:vAlign w:val="center"/>
            <w:hideMark/>
          </w:tcPr>
          <w:p w14:paraId="7FFC688B" w14:textId="6DC189FB" w:rsidR="00327A30" w:rsidRPr="001B4CA2" w:rsidRDefault="00327A30" w:rsidP="00723ADA">
            <w:pPr>
              <w:jc w:val="center"/>
              <w:rPr>
                <w:rFonts w:eastAsia="Times New Roman"/>
                <w:sz w:val="18"/>
                <w:szCs w:val="18"/>
                <w:lang w:eastAsia="hr-HR"/>
              </w:rPr>
            </w:pPr>
            <w:r w:rsidRPr="001B4CA2">
              <w:rPr>
                <w:rFonts w:eastAsia="Times New Roman"/>
                <w:sz w:val="18"/>
                <w:szCs w:val="18"/>
                <w:lang w:eastAsia="hr-HR"/>
              </w:rPr>
              <w:t>201</w:t>
            </w:r>
            <w:r w:rsidR="0075086D" w:rsidRPr="001B4CA2">
              <w:rPr>
                <w:rFonts w:eastAsia="Times New Roman"/>
                <w:sz w:val="18"/>
                <w:szCs w:val="18"/>
                <w:lang w:eastAsia="hr-HR"/>
              </w:rPr>
              <w:t>9</w:t>
            </w:r>
            <w:r w:rsidRPr="001B4CA2">
              <w:rPr>
                <w:rFonts w:eastAsia="Times New Roman"/>
                <w:sz w:val="18"/>
                <w:szCs w:val="18"/>
                <w:lang w:eastAsia="hr-HR"/>
              </w:rPr>
              <w:t>.</w:t>
            </w:r>
          </w:p>
        </w:tc>
        <w:tc>
          <w:tcPr>
            <w:tcW w:w="1615" w:type="dxa"/>
            <w:shd w:val="clear" w:color="auto" w:fill="auto"/>
            <w:noWrap/>
            <w:vAlign w:val="center"/>
            <w:hideMark/>
          </w:tcPr>
          <w:p w14:paraId="11439549" w14:textId="6479698D" w:rsidR="00327A30" w:rsidRPr="001B4CA2" w:rsidRDefault="00327A30" w:rsidP="00723ADA">
            <w:pPr>
              <w:jc w:val="center"/>
              <w:rPr>
                <w:rFonts w:eastAsia="Times New Roman"/>
                <w:sz w:val="18"/>
                <w:szCs w:val="18"/>
                <w:lang w:eastAsia="hr-HR"/>
              </w:rPr>
            </w:pPr>
            <w:r w:rsidRPr="001B4CA2">
              <w:rPr>
                <w:rFonts w:eastAsia="Times New Roman"/>
                <w:sz w:val="18"/>
                <w:szCs w:val="18"/>
                <w:lang w:eastAsia="hr-HR"/>
              </w:rPr>
              <w:t>2.</w:t>
            </w:r>
            <w:r w:rsidR="0075086D" w:rsidRPr="001B4CA2">
              <w:rPr>
                <w:rFonts w:eastAsia="Times New Roman"/>
                <w:sz w:val="18"/>
                <w:szCs w:val="18"/>
                <w:lang w:eastAsia="hr-HR"/>
              </w:rPr>
              <w:t>313</w:t>
            </w:r>
          </w:p>
        </w:tc>
        <w:tc>
          <w:tcPr>
            <w:tcW w:w="1640" w:type="dxa"/>
            <w:shd w:val="clear" w:color="auto" w:fill="auto"/>
            <w:noWrap/>
            <w:vAlign w:val="center"/>
            <w:hideMark/>
          </w:tcPr>
          <w:p w14:paraId="68C2BD80" w14:textId="1C4119BF" w:rsidR="00327A30" w:rsidRPr="001B4CA2" w:rsidRDefault="00327A30" w:rsidP="00723ADA">
            <w:pPr>
              <w:jc w:val="center"/>
              <w:rPr>
                <w:rFonts w:eastAsia="Times New Roman"/>
                <w:sz w:val="18"/>
                <w:szCs w:val="18"/>
                <w:lang w:eastAsia="hr-HR"/>
              </w:rPr>
            </w:pPr>
            <w:r w:rsidRPr="001B4CA2">
              <w:rPr>
                <w:rFonts w:eastAsia="Times New Roman"/>
                <w:sz w:val="18"/>
                <w:szCs w:val="18"/>
                <w:lang w:eastAsia="hr-HR"/>
              </w:rPr>
              <w:t>1.</w:t>
            </w:r>
            <w:r w:rsidR="0075086D" w:rsidRPr="001B4CA2">
              <w:rPr>
                <w:rFonts w:eastAsia="Times New Roman"/>
                <w:sz w:val="18"/>
                <w:szCs w:val="18"/>
                <w:lang w:eastAsia="hr-HR"/>
              </w:rPr>
              <w:t>290</w:t>
            </w:r>
          </w:p>
        </w:tc>
        <w:tc>
          <w:tcPr>
            <w:tcW w:w="1625" w:type="dxa"/>
            <w:shd w:val="clear" w:color="auto" w:fill="auto"/>
            <w:noWrap/>
            <w:vAlign w:val="center"/>
            <w:hideMark/>
          </w:tcPr>
          <w:p w14:paraId="11ECC93F" w14:textId="614658C6" w:rsidR="00327A30" w:rsidRPr="001B4CA2" w:rsidRDefault="0075086D" w:rsidP="00723ADA">
            <w:pPr>
              <w:jc w:val="center"/>
              <w:rPr>
                <w:rFonts w:eastAsia="Times New Roman"/>
                <w:sz w:val="18"/>
                <w:szCs w:val="18"/>
                <w:lang w:eastAsia="hr-HR"/>
              </w:rPr>
            </w:pPr>
            <w:r w:rsidRPr="001B4CA2">
              <w:rPr>
                <w:rFonts w:eastAsia="Times New Roman"/>
                <w:sz w:val="18"/>
                <w:szCs w:val="18"/>
                <w:lang w:eastAsia="hr-HR"/>
              </w:rPr>
              <w:t>877</w:t>
            </w:r>
          </w:p>
        </w:tc>
        <w:tc>
          <w:tcPr>
            <w:tcW w:w="1545" w:type="dxa"/>
            <w:shd w:val="clear" w:color="auto" w:fill="auto"/>
            <w:noWrap/>
            <w:vAlign w:val="center"/>
            <w:hideMark/>
          </w:tcPr>
          <w:p w14:paraId="43F11F06" w14:textId="67597F15" w:rsidR="00327A30" w:rsidRPr="001B4CA2" w:rsidRDefault="0075086D" w:rsidP="00723ADA">
            <w:pPr>
              <w:jc w:val="center"/>
              <w:rPr>
                <w:rFonts w:eastAsia="Times New Roman"/>
                <w:sz w:val="18"/>
                <w:szCs w:val="18"/>
                <w:lang w:eastAsia="hr-HR"/>
              </w:rPr>
            </w:pPr>
            <w:r w:rsidRPr="001B4CA2">
              <w:rPr>
                <w:rFonts w:eastAsia="Times New Roman"/>
                <w:sz w:val="18"/>
                <w:szCs w:val="18"/>
                <w:lang w:eastAsia="hr-HR"/>
              </w:rPr>
              <w:t>419</w:t>
            </w:r>
          </w:p>
        </w:tc>
      </w:tr>
      <w:tr w:rsidR="00327A30" w:rsidRPr="001B4CA2" w14:paraId="75890DA5" w14:textId="77777777" w:rsidTr="007A6DA5">
        <w:trPr>
          <w:trHeight w:val="341"/>
        </w:trPr>
        <w:tc>
          <w:tcPr>
            <w:tcW w:w="958" w:type="dxa"/>
            <w:shd w:val="clear" w:color="auto" w:fill="auto"/>
            <w:noWrap/>
            <w:vAlign w:val="center"/>
            <w:hideMark/>
          </w:tcPr>
          <w:p w14:paraId="75259AFB" w14:textId="0B7F16B3" w:rsidR="00327A30" w:rsidRPr="001B4CA2" w:rsidRDefault="00327A30" w:rsidP="00723ADA">
            <w:pPr>
              <w:jc w:val="center"/>
              <w:rPr>
                <w:rFonts w:eastAsia="Times New Roman"/>
                <w:sz w:val="18"/>
                <w:szCs w:val="18"/>
                <w:lang w:eastAsia="hr-HR"/>
              </w:rPr>
            </w:pPr>
            <w:r w:rsidRPr="001B4CA2">
              <w:rPr>
                <w:rFonts w:eastAsia="Times New Roman"/>
                <w:sz w:val="18"/>
                <w:szCs w:val="18"/>
                <w:lang w:eastAsia="hr-HR"/>
              </w:rPr>
              <w:t>20</w:t>
            </w:r>
            <w:r w:rsidR="0075086D" w:rsidRPr="001B4CA2">
              <w:rPr>
                <w:rFonts w:eastAsia="Times New Roman"/>
                <w:sz w:val="18"/>
                <w:szCs w:val="18"/>
                <w:lang w:eastAsia="hr-HR"/>
              </w:rPr>
              <w:t>20</w:t>
            </w:r>
            <w:r w:rsidRPr="001B4CA2">
              <w:rPr>
                <w:rFonts w:eastAsia="Times New Roman"/>
                <w:sz w:val="18"/>
                <w:szCs w:val="18"/>
                <w:lang w:eastAsia="hr-HR"/>
              </w:rPr>
              <w:t>.</w:t>
            </w:r>
          </w:p>
        </w:tc>
        <w:tc>
          <w:tcPr>
            <w:tcW w:w="1615" w:type="dxa"/>
            <w:shd w:val="clear" w:color="auto" w:fill="auto"/>
            <w:noWrap/>
            <w:vAlign w:val="center"/>
            <w:hideMark/>
          </w:tcPr>
          <w:p w14:paraId="3EB7766F" w14:textId="0CE25181" w:rsidR="00327A30" w:rsidRPr="001B4CA2" w:rsidRDefault="00327A30" w:rsidP="00723ADA">
            <w:pPr>
              <w:jc w:val="center"/>
              <w:rPr>
                <w:rFonts w:eastAsia="Times New Roman"/>
                <w:sz w:val="18"/>
                <w:szCs w:val="18"/>
                <w:lang w:eastAsia="hr-HR"/>
              </w:rPr>
            </w:pPr>
            <w:r w:rsidRPr="001B4CA2">
              <w:rPr>
                <w:rFonts w:eastAsia="Times New Roman"/>
                <w:sz w:val="18"/>
                <w:szCs w:val="18"/>
                <w:lang w:eastAsia="hr-HR"/>
              </w:rPr>
              <w:t>2.</w:t>
            </w:r>
            <w:r w:rsidR="0075086D" w:rsidRPr="001B4CA2">
              <w:rPr>
                <w:rFonts w:eastAsia="Times New Roman"/>
                <w:sz w:val="18"/>
                <w:szCs w:val="18"/>
                <w:lang w:eastAsia="hr-HR"/>
              </w:rPr>
              <w:t>474</w:t>
            </w:r>
          </w:p>
        </w:tc>
        <w:tc>
          <w:tcPr>
            <w:tcW w:w="1640" w:type="dxa"/>
            <w:shd w:val="clear" w:color="auto" w:fill="auto"/>
            <w:noWrap/>
            <w:vAlign w:val="center"/>
            <w:hideMark/>
          </w:tcPr>
          <w:p w14:paraId="1F4765B4" w14:textId="7CC3E6EA" w:rsidR="00327A30" w:rsidRPr="001B4CA2" w:rsidRDefault="00327A30" w:rsidP="00723ADA">
            <w:pPr>
              <w:jc w:val="center"/>
              <w:rPr>
                <w:rFonts w:eastAsia="Times New Roman"/>
                <w:sz w:val="18"/>
                <w:szCs w:val="18"/>
                <w:lang w:eastAsia="hr-HR"/>
              </w:rPr>
            </w:pPr>
            <w:r w:rsidRPr="001B4CA2">
              <w:rPr>
                <w:rFonts w:eastAsia="Times New Roman"/>
                <w:sz w:val="18"/>
                <w:szCs w:val="18"/>
                <w:lang w:eastAsia="hr-HR"/>
              </w:rPr>
              <w:t>1.</w:t>
            </w:r>
            <w:r w:rsidR="0075086D" w:rsidRPr="001B4CA2">
              <w:rPr>
                <w:rFonts w:eastAsia="Times New Roman"/>
                <w:sz w:val="18"/>
                <w:szCs w:val="18"/>
                <w:lang w:eastAsia="hr-HR"/>
              </w:rPr>
              <w:t>418</w:t>
            </w:r>
          </w:p>
        </w:tc>
        <w:tc>
          <w:tcPr>
            <w:tcW w:w="1625" w:type="dxa"/>
            <w:shd w:val="clear" w:color="auto" w:fill="auto"/>
            <w:noWrap/>
            <w:vAlign w:val="center"/>
            <w:hideMark/>
          </w:tcPr>
          <w:p w14:paraId="11157B04" w14:textId="17689473" w:rsidR="00327A30" w:rsidRPr="001B4CA2" w:rsidRDefault="0075086D" w:rsidP="00723ADA">
            <w:pPr>
              <w:jc w:val="center"/>
              <w:rPr>
                <w:rFonts w:eastAsia="Times New Roman"/>
                <w:sz w:val="18"/>
                <w:szCs w:val="18"/>
                <w:lang w:eastAsia="hr-HR"/>
              </w:rPr>
            </w:pPr>
            <w:r w:rsidRPr="001B4CA2">
              <w:rPr>
                <w:rFonts w:eastAsia="Times New Roman"/>
                <w:sz w:val="18"/>
                <w:szCs w:val="18"/>
                <w:lang w:eastAsia="hr-HR"/>
              </w:rPr>
              <w:t>773</w:t>
            </w:r>
          </w:p>
        </w:tc>
        <w:tc>
          <w:tcPr>
            <w:tcW w:w="1545" w:type="dxa"/>
            <w:shd w:val="clear" w:color="auto" w:fill="auto"/>
            <w:noWrap/>
            <w:vAlign w:val="center"/>
            <w:hideMark/>
          </w:tcPr>
          <w:p w14:paraId="001D0D04" w14:textId="4AE76E3F" w:rsidR="00327A30" w:rsidRPr="001B4CA2" w:rsidRDefault="0075086D" w:rsidP="00723ADA">
            <w:pPr>
              <w:jc w:val="center"/>
              <w:rPr>
                <w:rFonts w:eastAsia="Times New Roman"/>
                <w:sz w:val="18"/>
                <w:szCs w:val="18"/>
                <w:lang w:eastAsia="hr-HR"/>
              </w:rPr>
            </w:pPr>
            <w:r w:rsidRPr="001B4CA2">
              <w:rPr>
                <w:rFonts w:eastAsia="Times New Roman"/>
                <w:sz w:val="18"/>
                <w:szCs w:val="18"/>
                <w:lang w:eastAsia="hr-HR"/>
              </w:rPr>
              <w:t>269</w:t>
            </w:r>
          </w:p>
        </w:tc>
      </w:tr>
      <w:tr w:rsidR="00327A30" w:rsidRPr="001B4CA2" w14:paraId="2F05FBE0" w14:textId="77777777" w:rsidTr="007A6DA5">
        <w:trPr>
          <w:trHeight w:val="341"/>
        </w:trPr>
        <w:tc>
          <w:tcPr>
            <w:tcW w:w="958" w:type="dxa"/>
            <w:shd w:val="clear" w:color="auto" w:fill="auto"/>
            <w:noWrap/>
            <w:vAlign w:val="center"/>
            <w:hideMark/>
          </w:tcPr>
          <w:p w14:paraId="25DD5FD1" w14:textId="1AF5D412" w:rsidR="00327A30" w:rsidRPr="001B4CA2" w:rsidRDefault="00327A30" w:rsidP="00723ADA">
            <w:pPr>
              <w:jc w:val="center"/>
              <w:rPr>
                <w:rFonts w:eastAsia="Times New Roman"/>
                <w:sz w:val="18"/>
                <w:szCs w:val="18"/>
                <w:lang w:eastAsia="hr-HR"/>
              </w:rPr>
            </w:pPr>
            <w:r w:rsidRPr="001B4CA2">
              <w:rPr>
                <w:rFonts w:eastAsia="Times New Roman"/>
                <w:sz w:val="18"/>
                <w:szCs w:val="18"/>
                <w:lang w:eastAsia="hr-HR"/>
              </w:rPr>
              <w:t>202</w:t>
            </w:r>
            <w:r w:rsidR="0075086D" w:rsidRPr="001B4CA2">
              <w:rPr>
                <w:rFonts w:eastAsia="Times New Roman"/>
                <w:sz w:val="18"/>
                <w:szCs w:val="18"/>
                <w:lang w:eastAsia="hr-HR"/>
              </w:rPr>
              <w:t>1</w:t>
            </w:r>
            <w:r w:rsidRPr="001B4CA2">
              <w:rPr>
                <w:rFonts w:eastAsia="Times New Roman"/>
                <w:sz w:val="18"/>
                <w:szCs w:val="18"/>
                <w:lang w:eastAsia="hr-HR"/>
              </w:rPr>
              <w:t>.</w:t>
            </w:r>
          </w:p>
        </w:tc>
        <w:tc>
          <w:tcPr>
            <w:tcW w:w="1615" w:type="dxa"/>
            <w:shd w:val="clear" w:color="auto" w:fill="auto"/>
            <w:noWrap/>
            <w:vAlign w:val="center"/>
            <w:hideMark/>
          </w:tcPr>
          <w:p w14:paraId="38B193CB" w14:textId="2FD42932" w:rsidR="00327A30" w:rsidRPr="001B4CA2" w:rsidRDefault="00327A30" w:rsidP="00723ADA">
            <w:pPr>
              <w:jc w:val="center"/>
              <w:rPr>
                <w:rFonts w:eastAsia="Times New Roman"/>
                <w:sz w:val="18"/>
                <w:szCs w:val="18"/>
                <w:lang w:eastAsia="hr-HR"/>
              </w:rPr>
            </w:pPr>
            <w:r w:rsidRPr="001B4CA2">
              <w:rPr>
                <w:rFonts w:eastAsia="Times New Roman"/>
                <w:sz w:val="18"/>
                <w:szCs w:val="18"/>
                <w:lang w:eastAsia="hr-HR"/>
              </w:rPr>
              <w:t>2.</w:t>
            </w:r>
            <w:r w:rsidR="0075086D" w:rsidRPr="001B4CA2">
              <w:rPr>
                <w:rFonts w:eastAsia="Times New Roman"/>
                <w:sz w:val="18"/>
                <w:szCs w:val="18"/>
                <w:lang w:eastAsia="hr-HR"/>
              </w:rPr>
              <w:t>989</w:t>
            </w:r>
          </w:p>
        </w:tc>
        <w:tc>
          <w:tcPr>
            <w:tcW w:w="1640" w:type="dxa"/>
            <w:shd w:val="clear" w:color="auto" w:fill="auto"/>
            <w:noWrap/>
            <w:vAlign w:val="center"/>
            <w:hideMark/>
          </w:tcPr>
          <w:p w14:paraId="0F7F9570" w14:textId="2BB890DA" w:rsidR="00327A30" w:rsidRPr="001B4CA2" w:rsidRDefault="00327A30" w:rsidP="00723ADA">
            <w:pPr>
              <w:jc w:val="center"/>
              <w:rPr>
                <w:rFonts w:eastAsia="Times New Roman"/>
                <w:sz w:val="18"/>
                <w:szCs w:val="18"/>
                <w:lang w:eastAsia="hr-HR"/>
              </w:rPr>
            </w:pPr>
            <w:r w:rsidRPr="001B4CA2">
              <w:rPr>
                <w:rFonts w:eastAsia="Times New Roman"/>
                <w:sz w:val="18"/>
                <w:szCs w:val="18"/>
                <w:lang w:eastAsia="hr-HR"/>
              </w:rPr>
              <w:t>1.</w:t>
            </w:r>
            <w:r w:rsidR="0075086D" w:rsidRPr="001B4CA2">
              <w:rPr>
                <w:rFonts w:eastAsia="Times New Roman"/>
                <w:sz w:val="18"/>
                <w:szCs w:val="18"/>
                <w:lang w:eastAsia="hr-HR"/>
              </w:rPr>
              <w:t>218</w:t>
            </w:r>
          </w:p>
        </w:tc>
        <w:tc>
          <w:tcPr>
            <w:tcW w:w="1625" w:type="dxa"/>
            <w:shd w:val="clear" w:color="auto" w:fill="auto"/>
            <w:noWrap/>
            <w:vAlign w:val="center"/>
            <w:hideMark/>
          </w:tcPr>
          <w:p w14:paraId="2C949021" w14:textId="62FBDE07" w:rsidR="00327A30" w:rsidRPr="001B4CA2" w:rsidRDefault="0075086D" w:rsidP="00723ADA">
            <w:pPr>
              <w:jc w:val="center"/>
              <w:rPr>
                <w:rFonts w:eastAsia="Times New Roman"/>
                <w:sz w:val="18"/>
                <w:szCs w:val="18"/>
                <w:lang w:eastAsia="hr-HR"/>
              </w:rPr>
            </w:pPr>
            <w:r w:rsidRPr="001B4CA2">
              <w:rPr>
                <w:rFonts w:eastAsia="Times New Roman"/>
                <w:sz w:val="18"/>
                <w:szCs w:val="18"/>
                <w:lang w:eastAsia="hr-HR"/>
              </w:rPr>
              <w:t>980</w:t>
            </w:r>
          </w:p>
        </w:tc>
        <w:tc>
          <w:tcPr>
            <w:tcW w:w="1545" w:type="dxa"/>
            <w:shd w:val="clear" w:color="auto" w:fill="auto"/>
            <w:noWrap/>
            <w:vAlign w:val="center"/>
            <w:hideMark/>
          </w:tcPr>
          <w:p w14:paraId="5A69FC6E" w14:textId="39A2A04E" w:rsidR="00327A30" w:rsidRPr="001B4CA2" w:rsidRDefault="0075086D" w:rsidP="00723ADA">
            <w:pPr>
              <w:jc w:val="center"/>
              <w:rPr>
                <w:rFonts w:eastAsia="Times New Roman"/>
                <w:sz w:val="18"/>
                <w:szCs w:val="18"/>
                <w:lang w:eastAsia="hr-HR"/>
              </w:rPr>
            </w:pPr>
            <w:r w:rsidRPr="001B4CA2">
              <w:rPr>
                <w:rFonts w:eastAsia="Times New Roman"/>
                <w:sz w:val="18"/>
                <w:szCs w:val="18"/>
                <w:lang w:eastAsia="hr-HR"/>
              </w:rPr>
              <w:t>325</w:t>
            </w:r>
          </w:p>
        </w:tc>
      </w:tr>
      <w:tr w:rsidR="00327A30" w:rsidRPr="001B4CA2" w14:paraId="0692DB05" w14:textId="77777777" w:rsidTr="007A6DA5">
        <w:trPr>
          <w:trHeight w:val="341"/>
        </w:trPr>
        <w:tc>
          <w:tcPr>
            <w:tcW w:w="958" w:type="dxa"/>
            <w:shd w:val="clear" w:color="auto" w:fill="auto"/>
            <w:noWrap/>
            <w:vAlign w:val="center"/>
          </w:tcPr>
          <w:p w14:paraId="139C9A24" w14:textId="10DD4443" w:rsidR="00327A30" w:rsidRPr="001B4CA2" w:rsidRDefault="00327A30" w:rsidP="00723ADA">
            <w:pPr>
              <w:jc w:val="center"/>
              <w:rPr>
                <w:rFonts w:eastAsia="Times New Roman"/>
                <w:sz w:val="18"/>
                <w:szCs w:val="18"/>
                <w:lang w:eastAsia="hr-HR"/>
              </w:rPr>
            </w:pPr>
            <w:r w:rsidRPr="001B4CA2">
              <w:rPr>
                <w:rFonts w:eastAsia="Times New Roman"/>
                <w:sz w:val="18"/>
                <w:szCs w:val="18"/>
                <w:lang w:eastAsia="hr-HR"/>
              </w:rPr>
              <w:t>202</w:t>
            </w:r>
            <w:r w:rsidR="0075086D" w:rsidRPr="001B4CA2">
              <w:rPr>
                <w:rFonts w:eastAsia="Times New Roman"/>
                <w:sz w:val="18"/>
                <w:szCs w:val="18"/>
                <w:lang w:eastAsia="hr-HR"/>
              </w:rPr>
              <w:t>2</w:t>
            </w:r>
            <w:r w:rsidRPr="001B4CA2">
              <w:rPr>
                <w:rFonts w:eastAsia="Times New Roman"/>
                <w:sz w:val="18"/>
                <w:szCs w:val="18"/>
                <w:lang w:eastAsia="hr-HR"/>
              </w:rPr>
              <w:t>.</w:t>
            </w:r>
          </w:p>
        </w:tc>
        <w:tc>
          <w:tcPr>
            <w:tcW w:w="1615" w:type="dxa"/>
            <w:shd w:val="clear" w:color="auto" w:fill="auto"/>
            <w:noWrap/>
            <w:vAlign w:val="center"/>
          </w:tcPr>
          <w:p w14:paraId="79D221C7" w14:textId="029C2D1B" w:rsidR="00327A30" w:rsidRPr="001B4CA2" w:rsidRDefault="0075086D" w:rsidP="00723ADA">
            <w:pPr>
              <w:jc w:val="center"/>
              <w:rPr>
                <w:rFonts w:eastAsia="Times New Roman"/>
                <w:sz w:val="18"/>
                <w:szCs w:val="18"/>
                <w:lang w:eastAsia="hr-HR"/>
              </w:rPr>
            </w:pPr>
            <w:r w:rsidRPr="001B4CA2">
              <w:rPr>
                <w:rFonts w:eastAsia="Times New Roman"/>
                <w:sz w:val="18"/>
                <w:szCs w:val="18"/>
                <w:lang w:eastAsia="hr-HR"/>
              </w:rPr>
              <w:t>3</w:t>
            </w:r>
            <w:r w:rsidR="00076841" w:rsidRPr="001B4CA2">
              <w:rPr>
                <w:rFonts w:eastAsia="Times New Roman"/>
                <w:sz w:val="18"/>
                <w:szCs w:val="18"/>
                <w:lang w:eastAsia="hr-HR"/>
              </w:rPr>
              <w:t>.</w:t>
            </w:r>
            <w:r w:rsidRPr="001B4CA2">
              <w:rPr>
                <w:rFonts w:eastAsia="Times New Roman"/>
                <w:sz w:val="18"/>
                <w:szCs w:val="18"/>
                <w:lang w:eastAsia="hr-HR"/>
              </w:rPr>
              <w:t>282</w:t>
            </w:r>
          </w:p>
        </w:tc>
        <w:tc>
          <w:tcPr>
            <w:tcW w:w="1640" w:type="dxa"/>
            <w:shd w:val="clear" w:color="auto" w:fill="auto"/>
            <w:noWrap/>
            <w:vAlign w:val="center"/>
          </w:tcPr>
          <w:p w14:paraId="0D66D32C" w14:textId="3B56E16C" w:rsidR="00327A30" w:rsidRPr="001B4CA2" w:rsidRDefault="00076841" w:rsidP="00723ADA">
            <w:pPr>
              <w:jc w:val="center"/>
              <w:rPr>
                <w:rFonts w:eastAsia="Times New Roman"/>
                <w:sz w:val="18"/>
                <w:szCs w:val="18"/>
                <w:lang w:eastAsia="hr-HR"/>
              </w:rPr>
            </w:pPr>
            <w:r w:rsidRPr="001B4CA2">
              <w:rPr>
                <w:rFonts w:eastAsia="Times New Roman"/>
                <w:sz w:val="18"/>
                <w:szCs w:val="18"/>
                <w:lang w:eastAsia="hr-HR"/>
              </w:rPr>
              <w:t>1.</w:t>
            </w:r>
            <w:r w:rsidR="0075086D" w:rsidRPr="001B4CA2">
              <w:rPr>
                <w:rFonts w:eastAsia="Times New Roman"/>
                <w:sz w:val="18"/>
                <w:szCs w:val="18"/>
                <w:lang w:eastAsia="hr-HR"/>
              </w:rPr>
              <w:t>803</w:t>
            </w:r>
          </w:p>
        </w:tc>
        <w:tc>
          <w:tcPr>
            <w:tcW w:w="1625" w:type="dxa"/>
            <w:shd w:val="clear" w:color="auto" w:fill="auto"/>
            <w:noWrap/>
            <w:vAlign w:val="center"/>
          </w:tcPr>
          <w:p w14:paraId="3CBFE679" w14:textId="3B8ECD74" w:rsidR="00327A30" w:rsidRPr="001B4CA2" w:rsidRDefault="0075086D" w:rsidP="00723ADA">
            <w:pPr>
              <w:jc w:val="center"/>
              <w:rPr>
                <w:rFonts w:eastAsia="Times New Roman"/>
                <w:sz w:val="18"/>
                <w:szCs w:val="18"/>
                <w:lang w:eastAsia="hr-HR"/>
              </w:rPr>
            </w:pPr>
            <w:r w:rsidRPr="001B4CA2">
              <w:rPr>
                <w:rFonts w:eastAsia="Times New Roman"/>
                <w:sz w:val="18"/>
                <w:szCs w:val="18"/>
                <w:lang w:eastAsia="hr-HR"/>
              </w:rPr>
              <w:t>1.072</w:t>
            </w:r>
          </w:p>
        </w:tc>
        <w:tc>
          <w:tcPr>
            <w:tcW w:w="1545" w:type="dxa"/>
            <w:shd w:val="clear" w:color="auto" w:fill="auto"/>
            <w:noWrap/>
            <w:vAlign w:val="center"/>
          </w:tcPr>
          <w:p w14:paraId="28F97F3C" w14:textId="2285884E" w:rsidR="00327A30" w:rsidRPr="001B4CA2" w:rsidRDefault="0075086D" w:rsidP="00723ADA">
            <w:pPr>
              <w:jc w:val="center"/>
              <w:rPr>
                <w:rFonts w:eastAsia="Times New Roman"/>
                <w:sz w:val="18"/>
                <w:szCs w:val="18"/>
                <w:lang w:eastAsia="hr-HR"/>
              </w:rPr>
            </w:pPr>
            <w:r w:rsidRPr="001B4CA2">
              <w:rPr>
                <w:rFonts w:eastAsia="Times New Roman"/>
                <w:sz w:val="18"/>
                <w:szCs w:val="18"/>
                <w:lang w:eastAsia="hr-HR"/>
              </w:rPr>
              <w:t>425</w:t>
            </w:r>
          </w:p>
        </w:tc>
      </w:tr>
    </w:tbl>
    <w:p w14:paraId="794FA341" w14:textId="77777777" w:rsidR="00723ADA" w:rsidRPr="001B4CA2" w:rsidRDefault="00723ADA" w:rsidP="005C4A9A"/>
    <w:p w14:paraId="34CFECE5" w14:textId="1B19F2F6" w:rsidR="0075086D" w:rsidRPr="001B4CA2" w:rsidRDefault="005B2800" w:rsidP="0075086D">
      <w:r w:rsidRPr="001B4CA2">
        <w:tab/>
      </w:r>
      <w:r w:rsidR="0075086D" w:rsidRPr="001B4CA2">
        <w:t>Analizirajući žalbene razloge, proizlazi da je zbog odluke o kazni podneseno 54,93</w:t>
      </w:r>
      <w:r w:rsidR="00CE7EF2">
        <w:t> </w:t>
      </w:r>
      <w:r w:rsidR="0075086D" w:rsidRPr="001B4CA2">
        <w:t>% svih žalbi, odnosno 1803 žalbe od ukupno 3282 podnesene, što je znatno više u odnosu na 2021. kada se na žalbu zbog odluke o kazni odnosilo 40,74</w:t>
      </w:r>
      <w:r w:rsidR="00CE7EF2">
        <w:t> </w:t>
      </w:r>
      <w:r w:rsidR="0075086D" w:rsidRPr="001B4CA2">
        <w:t>% podnesenih žalbi, ali je na razini više prethodnih godina (2018.</w:t>
      </w:r>
      <w:r w:rsidR="00CE7EF2">
        <w:t xml:space="preserve"> – </w:t>
      </w:r>
      <w:r w:rsidR="0075086D" w:rsidRPr="001B4CA2">
        <w:t>2020.).</w:t>
      </w:r>
    </w:p>
    <w:p w14:paraId="27BFE682" w14:textId="77777777" w:rsidR="0075086D" w:rsidRPr="001B4CA2" w:rsidRDefault="0075086D" w:rsidP="0075086D"/>
    <w:p w14:paraId="07FAD07D" w14:textId="39BB0BD0" w:rsidR="0075086D" w:rsidRPr="001B4CA2" w:rsidRDefault="0075086D" w:rsidP="0075086D">
      <w:r w:rsidRPr="001B4CA2">
        <w:tab/>
        <w:t>Sudovi su u izvještajnom razdoblju usvojili ukupno 1072 žalbe, od čega zbog odluke o kazni 425 žalbi ili 39,64</w:t>
      </w:r>
      <w:r w:rsidR="00CE7EF2">
        <w:t> </w:t>
      </w:r>
      <w:r w:rsidRPr="001B4CA2">
        <w:t>% svih usvojenih žalbi, dok se sve ostale usvojene žalbe odnose na one podnesene iz drugih razloga. U</w:t>
      </w:r>
      <w:r w:rsidR="00CE7EF2">
        <w:t xml:space="preserve">dio </w:t>
      </w:r>
      <w:r w:rsidRPr="001B4CA2">
        <w:t xml:space="preserve">usvojenih žalbi zbog odluke o kazni u ukupnom broju usvojenih žalbi </w:t>
      </w:r>
      <w:r w:rsidR="00CE7EF2" w:rsidRPr="001B4CA2">
        <w:t>poras</w:t>
      </w:r>
      <w:r w:rsidR="00CE7EF2">
        <w:t>ta</w:t>
      </w:r>
      <w:r w:rsidR="00CE7EF2" w:rsidRPr="001B4CA2">
        <w:t xml:space="preserve">o </w:t>
      </w:r>
      <w:r w:rsidRPr="001B4CA2">
        <w:t>je u odnosu na prethodno razdoblje (33,16</w:t>
      </w:r>
      <w:r w:rsidR="00CE7EF2">
        <w:t> </w:t>
      </w:r>
      <w:r w:rsidRPr="001B4CA2">
        <w:t>%)</w:t>
      </w:r>
      <w:r w:rsidR="00CE7EF2">
        <w:t>,</w:t>
      </w:r>
      <w:r w:rsidRPr="001B4CA2">
        <w:t xml:space="preserve"> što </w:t>
      </w:r>
      <w:r w:rsidR="00CE7EF2">
        <w:t>s</w:t>
      </w:r>
      <w:r w:rsidRPr="001B4CA2">
        <w:t xml:space="preserve">e i </w:t>
      </w:r>
      <w:r w:rsidR="00CE7EF2">
        <w:t>moglo</w:t>
      </w:r>
      <w:r w:rsidRPr="001B4CA2">
        <w:t xml:space="preserve"> očekivati jer je u izvještajnom razdoblju podneseno znatno više žalbi zbog t</w:t>
      </w:r>
      <w:r w:rsidR="00CE7EF2">
        <w:t>e</w:t>
      </w:r>
      <w:r w:rsidRPr="001B4CA2">
        <w:t xml:space="preserve"> žalben</w:t>
      </w:r>
      <w:r w:rsidR="00CE7EF2">
        <w:t>e</w:t>
      </w:r>
      <w:r w:rsidRPr="001B4CA2">
        <w:t xml:space="preserve"> osnov</w:t>
      </w:r>
      <w:r w:rsidR="00CE7EF2">
        <w:t>e</w:t>
      </w:r>
      <w:r w:rsidRPr="001B4CA2">
        <w:t xml:space="preserve"> u odnosu na prethodno razdoblje.</w:t>
      </w:r>
    </w:p>
    <w:p w14:paraId="3C1CF4EC" w14:textId="77777777" w:rsidR="0075086D" w:rsidRPr="001B4CA2" w:rsidRDefault="0075086D" w:rsidP="0075086D"/>
    <w:p w14:paraId="408E40A5" w14:textId="638A3F89" w:rsidR="0075086D" w:rsidRPr="001B4CA2" w:rsidRDefault="0075086D" w:rsidP="0075086D">
      <w:r w:rsidRPr="001B4CA2">
        <w:tab/>
        <w:t>Napominje se kako se uspjeh žalbi državnog odvjetništva može odrediti samo u okvirnom postotku, budući da drugostupanjski sudovi odlučujući o žalbama državnog odvjetništva ujedno odlučuju i o žalbama obrane ako su podnesene, što je u pravilu slučaj, kao i da odluke drugostupanjskih sudova često idu i izvan žalbenih prijedloga državnog odvjetništva, a često dolazi i do ukidanja presuda iz drugih razloga od onih zbog kojih su podnesene žalbe. Osim toga, o većini podnesenih žalbi sudovi nisu još odlučili tijekom izvještajnog razdoblja.</w:t>
      </w:r>
    </w:p>
    <w:p w14:paraId="49B4620E" w14:textId="77777777" w:rsidR="00DD67EB" w:rsidRPr="001B4CA2" w:rsidRDefault="00DD67EB" w:rsidP="0075086D"/>
    <w:p w14:paraId="2C52E311" w14:textId="08E91175" w:rsidR="0075086D" w:rsidRPr="001B4CA2" w:rsidRDefault="0075086D" w:rsidP="0075086D">
      <w:r w:rsidRPr="001B4CA2">
        <w:tab/>
        <w:t>Cijeneći navedene podatke, kao i ranije iznijetu strukturu kazni iz presuda, svakako je potrebno i nadalje nastojati pooštriti kaznenu politiku daljnjim povećanjem žalbene aktivnosti državnih odvjetništava usmjerenom na povećanje udjela kazni zatvora</w:t>
      </w:r>
      <w:r w:rsidR="00CE7EF2">
        <w:t xml:space="preserve"> te</w:t>
      </w:r>
      <w:r w:rsidRPr="001B4CA2">
        <w:t xml:space="preserve"> smanjenja uvjetnih osuda, češće izricanje novčanih kazni te predlaganje njihov</w:t>
      </w:r>
      <w:r w:rsidR="00CE7EF2">
        <w:t>a</w:t>
      </w:r>
      <w:r w:rsidRPr="001B4CA2">
        <w:t xml:space="preserve"> izricanja kao sporednih kazni kod kaznenih djela počinjenih iz koristoljublja. To podrazumijeva veću kritičnost pri podnošenju žalbi i veću kvalitetu njihov</w:t>
      </w:r>
      <w:r w:rsidR="00CE7EF2">
        <w:t>a</w:t>
      </w:r>
      <w:r w:rsidRPr="001B4CA2">
        <w:t xml:space="preserve"> sadržaja, naravno, vodeći pri tome računa u svakom konkretnom slučaju o vrsti i težini kaznenog djela i svim drugim mjerodavnim okolnostima propisanim zakonom.</w:t>
      </w:r>
      <w:r w:rsidR="00FD08E9">
        <w:t xml:space="preserve"> </w:t>
      </w:r>
    </w:p>
    <w:p w14:paraId="02DDD6F3" w14:textId="77777777" w:rsidR="0075086D" w:rsidRPr="001B4CA2" w:rsidRDefault="0075086D" w:rsidP="0075086D">
      <w:pPr>
        <w:rPr>
          <w:i/>
        </w:rPr>
      </w:pPr>
    </w:p>
    <w:p w14:paraId="60D0D92E" w14:textId="77777777" w:rsidR="00257791" w:rsidRPr="001B4CA2" w:rsidRDefault="00257791" w:rsidP="001B6804">
      <w:pPr>
        <w:widowControl w:val="0"/>
        <w:rPr>
          <w:snapToGrid w:val="0"/>
        </w:rPr>
      </w:pPr>
    </w:p>
    <w:p w14:paraId="4728A96E" w14:textId="77777777" w:rsidR="00257791" w:rsidRPr="001B4CA2" w:rsidRDefault="00257791" w:rsidP="001B6804">
      <w:pPr>
        <w:widowControl w:val="0"/>
        <w:rPr>
          <w:snapToGrid w:val="0"/>
        </w:rPr>
      </w:pPr>
    </w:p>
    <w:p w14:paraId="7DF8B421" w14:textId="6980C0A2" w:rsidR="00257791" w:rsidRPr="001B4CA2" w:rsidRDefault="00257791">
      <w:pPr>
        <w:spacing w:after="200" w:line="276" w:lineRule="auto"/>
        <w:jc w:val="left"/>
        <w:rPr>
          <w:snapToGrid w:val="0"/>
        </w:rPr>
      </w:pPr>
      <w:r w:rsidRPr="001B4CA2">
        <w:rPr>
          <w:snapToGrid w:val="0"/>
        </w:rPr>
        <w:br w:type="page"/>
      </w:r>
    </w:p>
    <w:p w14:paraId="217287B2" w14:textId="679010D9" w:rsidR="005550BE" w:rsidRPr="001B4CA2" w:rsidRDefault="00D27455" w:rsidP="00965363">
      <w:pPr>
        <w:pStyle w:val="Naslov3"/>
        <w:rPr>
          <w:rFonts w:ascii="Arial" w:hAnsi="Arial" w:cs="Arial"/>
        </w:rPr>
      </w:pPr>
      <w:r w:rsidRPr="001B4CA2">
        <w:rPr>
          <w:rFonts w:ascii="Arial" w:hAnsi="Arial" w:cs="Arial"/>
        </w:rPr>
        <w:lastRenderedPageBreak/>
        <w:t xml:space="preserve"> </w:t>
      </w:r>
      <w:bookmarkStart w:id="40" w:name="_Toc133394302"/>
      <w:r w:rsidR="00BB4D48" w:rsidRPr="001B4CA2">
        <w:rPr>
          <w:rFonts w:ascii="Arial" w:hAnsi="Arial" w:cs="Arial"/>
        </w:rPr>
        <w:t xml:space="preserve">Zbirni </w:t>
      </w:r>
      <w:r w:rsidR="000857CC" w:rsidRPr="001B4CA2">
        <w:rPr>
          <w:rFonts w:ascii="Arial" w:hAnsi="Arial" w:cs="Arial"/>
        </w:rPr>
        <w:t>pregled</w:t>
      </w:r>
      <w:r w:rsidR="00BB4D48" w:rsidRPr="001B4CA2">
        <w:rPr>
          <w:rFonts w:ascii="Arial" w:hAnsi="Arial" w:cs="Arial"/>
        </w:rPr>
        <w:t xml:space="preserve"> odluka u građ</w:t>
      </w:r>
      <w:r w:rsidR="007326B9" w:rsidRPr="001B4CA2">
        <w:rPr>
          <w:rFonts w:ascii="Arial" w:hAnsi="Arial" w:cs="Arial"/>
        </w:rPr>
        <w:t>anskim</w:t>
      </w:r>
      <w:r w:rsidR="00CE234E" w:rsidRPr="001B4CA2">
        <w:rPr>
          <w:rFonts w:ascii="Arial" w:hAnsi="Arial" w:cs="Arial"/>
        </w:rPr>
        <w:t xml:space="preserve"> i upravnim predmetima</w:t>
      </w:r>
      <w:bookmarkEnd w:id="40"/>
    </w:p>
    <w:p w14:paraId="41CC8D88" w14:textId="77777777" w:rsidR="005550BE" w:rsidRPr="001B4CA2" w:rsidRDefault="005550BE" w:rsidP="005550BE"/>
    <w:p w14:paraId="5F5E7A63" w14:textId="77777777" w:rsidR="005550BE" w:rsidRPr="001B4CA2" w:rsidRDefault="005550BE" w:rsidP="005550BE">
      <w:pPr>
        <w:ind w:left="142"/>
        <w:rPr>
          <w:i/>
        </w:rPr>
      </w:pPr>
      <w:r w:rsidRPr="001B4CA2">
        <w:rPr>
          <w:i/>
        </w:rPr>
        <w:t>a) Kretanje i struktura zahtjeva u novim građanskim i upravnim predmetima,</w:t>
      </w:r>
    </w:p>
    <w:p w14:paraId="3B5F4060" w14:textId="2610635F" w:rsidR="005550BE" w:rsidRPr="001B4CA2" w:rsidRDefault="005550BE" w:rsidP="005550BE">
      <w:pPr>
        <w:ind w:left="426"/>
        <w:rPr>
          <w:i/>
        </w:rPr>
      </w:pPr>
      <w:r w:rsidRPr="001B4CA2">
        <w:rPr>
          <w:i/>
        </w:rPr>
        <w:t>2018. – 2022</w:t>
      </w:r>
      <w:r w:rsidR="007D073A" w:rsidRPr="001B4CA2">
        <w:rPr>
          <w:i/>
        </w:rPr>
        <w:t>.</w:t>
      </w: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78"/>
        <w:gridCol w:w="1778"/>
        <w:gridCol w:w="1867"/>
        <w:gridCol w:w="1730"/>
      </w:tblGrid>
      <w:tr w:rsidR="005550BE" w:rsidRPr="001B4CA2" w14:paraId="059EFE6D" w14:textId="77777777" w:rsidTr="00A14600">
        <w:trPr>
          <w:trHeight w:val="567"/>
          <w:jc w:val="center"/>
        </w:trPr>
        <w:tc>
          <w:tcPr>
            <w:tcW w:w="1000" w:type="pct"/>
            <w:shd w:val="clear" w:color="auto" w:fill="99CCFF"/>
            <w:noWrap/>
            <w:vAlign w:val="center"/>
            <w:hideMark/>
          </w:tcPr>
          <w:p w14:paraId="50356975" w14:textId="77777777" w:rsidR="005550BE" w:rsidRPr="001B4CA2" w:rsidRDefault="005550BE" w:rsidP="00A14600">
            <w:pPr>
              <w:jc w:val="center"/>
              <w:rPr>
                <w:b/>
                <w:sz w:val="18"/>
                <w:szCs w:val="18"/>
                <w:lang w:eastAsia="hr-HR"/>
              </w:rPr>
            </w:pPr>
            <w:r w:rsidRPr="001B4CA2">
              <w:rPr>
                <w:b/>
                <w:sz w:val="18"/>
                <w:szCs w:val="18"/>
                <w:lang w:eastAsia="hr-HR"/>
              </w:rPr>
              <w:t>Godina</w:t>
            </w:r>
          </w:p>
        </w:tc>
        <w:tc>
          <w:tcPr>
            <w:tcW w:w="1000" w:type="pct"/>
            <w:shd w:val="clear" w:color="auto" w:fill="99CCFF"/>
            <w:noWrap/>
            <w:vAlign w:val="center"/>
            <w:hideMark/>
          </w:tcPr>
          <w:p w14:paraId="2C1B8B64" w14:textId="77777777" w:rsidR="005550BE" w:rsidRPr="001B4CA2" w:rsidRDefault="005550BE" w:rsidP="00A14600">
            <w:pPr>
              <w:jc w:val="center"/>
              <w:rPr>
                <w:b/>
                <w:sz w:val="18"/>
                <w:szCs w:val="18"/>
                <w:lang w:eastAsia="hr-HR"/>
              </w:rPr>
            </w:pPr>
            <w:r w:rsidRPr="001B4CA2">
              <w:rPr>
                <w:b/>
                <w:sz w:val="18"/>
                <w:szCs w:val="18"/>
                <w:lang w:eastAsia="hr-HR"/>
              </w:rPr>
              <w:t>Sudski predmeti</w:t>
            </w:r>
          </w:p>
        </w:tc>
        <w:tc>
          <w:tcPr>
            <w:tcW w:w="1000" w:type="pct"/>
            <w:shd w:val="clear" w:color="auto" w:fill="99CCFF"/>
            <w:noWrap/>
            <w:vAlign w:val="center"/>
            <w:hideMark/>
          </w:tcPr>
          <w:p w14:paraId="37BF45A8" w14:textId="77777777" w:rsidR="005550BE" w:rsidRPr="001B4CA2" w:rsidRDefault="005550BE" w:rsidP="00A14600">
            <w:pPr>
              <w:jc w:val="center"/>
              <w:rPr>
                <w:b/>
                <w:sz w:val="18"/>
                <w:szCs w:val="18"/>
                <w:lang w:eastAsia="hr-HR"/>
              </w:rPr>
            </w:pPr>
            <w:r w:rsidRPr="001B4CA2">
              <w:rPr>
                <w:b/>
                <w:sz w:val="18"/>
                <w:szCs w:val="18"/>
                <w:lang w:eastAsia="hr-HR"/>
              </w:rPr>
              <w:t>Upravni predmeti</w:t>
            </w:r>
          </w:p>
        </w:tc>
        <w:tc>
          <w:tcPr>
            <w:tcW w:w="1027" w:type="pct"/>
            <w:shd w:val="clear" w:color="auto" w:fill="99CCFF"/>
            <w:noWrap/>
            <w:vAlign w:val="center"/>
            <w:hideMark/>
          </w:tcPr>
          <w:p w14:paraId="3FE01F10" w14:textId="77777777" w:rsidR="005550BE" w:rsidRPr="001B4CA2" w:rsidRDefault="005550BE" w:rsidP="00A14600">
            <w:pPr>
              <w:jc w:val="center"/>
              <w:rPr>
                <w:b/>
                <w:sz w:val="18"/>
                <w:szCs w:val="18"/>
                <w:lang w:eastAsia="hr-HR"/>
              </w:rPr>
            </w:pPr>
            <w:proofErr w:type="spellStart"/>
            <w:r w:rsidRPr="001B4CA2">
              <w:rPr>
                <w:b/>
                <w:sz w:val="18"/>
                <w:szCs w:val="18"/>
                <w:lang w:eastAsia="hr-HR"/>
              </w:rPr>
              <w:t>Državnoodvjetnički</w:t>
            </w:r>
            <w:proofErr w:type="spellEnd"/>
            <w:r w:rsidRPr="001B4CA2">
              <w:rPr>
                <w:b/>
                <w:sz w:val="18"/>
                <w:szCs w:val="18"/>
                <w:lang w:eastAsia="hr-HR"/>
              </w:rPr>
              <w:t xml:space="preserve"> </w:t>
            </w:r>
          </w:p>
          <w:p w14:paraId="14148B45" w14:textId="77777777" w:rsidR="005550BE" w:rsidRPr="001B4CA2" w:rsidRDefault="005550BE" w:rsidP="00A14600">
            <w:pPr>
              <w:jc w:val="center"/>
              <w:rPr>
                <w:b/>
                <w:sz w:val="18"/>
                <w:szCs w:val="18"/>
                <w:lang w:eastAsia="hr-HR"/>
              </w:rPr>
            </w:pPr>
            <w:r w:rsidRPr="001B4CA2">
              <w:rPr>
                <w:b/>
                <w:sz w:val="18"/>
                <w:szCs w:val="18"/>
                <w:lang w:eastAsia="hr-HR"/>
              </w:rPr>
              <w:t>predmeti</w:t>
            </w:r>
          </w:p>
        </w:tc>
        <w:tc>
          <w:tcPr>
            <w:tcW w:w="973" w:type="pct"/>
            <w:shd w:val="clear" w:color="auto" w:fill="99CCFF"/>
            <w:noWrap/>
            <w:vAlign w:val="center"/>
            <w:hideMark/>
          </w:tcPr>
          <w:p w14:paraId="732FA377" w14:textId="77777777" w:rsidR="005550BE" w:rsidRPr="001B4CA2" w:rsidRDefault="005550BE" w:rsidP="00A14600">
            <w:pPr>
              <w:jc w:val="center"/>
              <w:rPr>
                <w:b/>
                <w:sz w:val="18"/>
                <w:szCs w:val="18"/>
                <w:lang w:eastAsia="hr-HR"/>
              </w:rPr>
            </w:pPr>
            <w:r w:rsidRPr="001B4CA2">
              <w:rPr>
                <w:b/>
                <w:sz w:val="18"/>
                <w:szCs w:val="18"/>
                <w:lang w:eastAsia="hr-HR"/>
              </w:rPr>
              <w:t>Ukupno</w:t>
            </w:r>
          </w:p>
        </w:tc>
      </w:tr>
      <w:tr w:rsidR="005550BE" w:rsidRPr="001B4CA2" w14:paraId="73F81233" w14:textId="77777777" w:rsidTr="00A14600">
        <w:trPr>
          <w:trHeight w:val="397"/>
          <w:jc w:val="center"/>
        </w:trPr>
        <w:tc>
          <w:tcPr>
            <w:tcW w:w="1000" w:type="pct"/>
            <w:shd w:val="clear" w:color="auto" w:fill="auto"/>
            <w:noWrap/>
            <w:vAlign w:val="center"/>
            <w:hideMark/>
          </w:tcPr>
          <w:p w14:paraId="3F93482E" w14:textId="77777777" w:rsidR="005550BE" w:rsidRPr="001B4CA2" w:rsidRDefault="005550BE" w:rsidP="00A14600">
            <w:pPr>
              <w:jc w:val="center"/>
              <w:rPr>
                <w:sz w:val="18"/>
                <w:szCs w:val="18"/>
                <w:lang w:eastAsia="hr-HR"/>
              </w:rPr>
            </w:pPr>
            <w:r w:rsidRPr="001B4CA2">
              <w:rPr>
                <w:sz w:val="18"/>
                <w:szCs w:val="18"/>
                <w:lang w:eastAsia="hr-HR"/>
              </w:rPr>
              <w:t>2018.</w:t>
            </w:r>
          </w:p>
        </w:tc>
        <w:tc>
          <w:tcPr>
            <w:tcW w:w="1000" w:type="pct"/>
            <w:shd w:val="clear" w:color="auto" w:fill="auto"/>
            <w:noWrap/>
            <w:vAlign w:val="center"/>
          </w:tcPr>
          <w:p w14:paraId="1044E97A" w14:textId="77777777" w:rsidR="005550BE" w:rsidRPr="001B4CA2" w:rsidRDefault="005550BE" w:rsidP="00A14600">
            <w:pPr>
              <w:jc w:val="center"/>
              <w:rPr>
                <w:sz w:val="18"/>
                <w:szCs w:val="18"/>
                <w:lang w:eastAsia="hr-HR"/>
              </w:rPr>
            </w:pPr>
            <w:r w:rsidRPr="001B4CA2">
              <w:rPr>
                <w:sz w:val="18"/>
                <w:szCs w:val="18"/>
                <w:lang w:eastAsia="hr-HR"/>
              </w:rPr>
              <w:t>48.331</w:t>
            </w:r>
          </w:p>
        </w:tc>
        <w:tc>
          <w:tcPr>
            <w:tcW w:w="1000" w:type="pct"/>
            <w:shd w:val="clear" w:color="auto" w:fill="auto"/>
            <w:noWrap/>
            <w:vAlign w:val="center"/>
          </w:tcPr>
          <w:p w14:paraId="3EBD9BDA" w14:textId="77777777" w:rsidR="005550BE" w:rsidRPr="001B4CA2" w:rsidRDefault="005550BE" w:rsidP="00A14600">
            <w:pPr>
              <w:jc w:val="center"/>
              <w:rPr>
                <w:sz w:val="18"/>
                <w:szCs w:val="18"/>
                <w:lang w:eastAsia="hr-HR"/>
              </w:rPr>
            </w:pPr>
            <w:r w:rsidRPr="001B4CA2">
              <w:rPr>
                <w:sz w:val="18"/>
                <w:szCs w:val="18"/>
                <w:lang w:eastAsia="hr-HR"/>
              </w:rPr>
              <w:t>3.247</w:t>
            </w:r>
          </w:p>
        </w:tc>
        <w:tc>
          <w:tcPr>
            <w:tcW w:w="1027" w:type="pct"/>
            <w:shd w:val="clear" w:color="auto" w:fill="auto"/>
            <w:noWrap/>
            <w:vAlign w:val="center"/>
          </w:tcPr>
          <w:p w14:paraId="0B10CC52" w14:textId="77777777" w:rsidR="005550BE" w:rsidRPr="001B4CA2" w:rsidRDefault="005550BE" w:rsidP="00A14600">
            <w:pPr>
              <w:jc w:val="center"/>
              <w:rPr>
                <w:sz w:val="18"/>
                <w:szCs w:val="18"/>
                <w:lang w:eastAsia="hr-HR"/>
              </w:rPr>
            </w:pPr>
            <w:r w:rsidRPr="001B4CA2">
              <w:rPr>
                <w:sz w:val="18"/>
                <w:szCs w:val="18"/>
                <w:lang w:eastAsia="hr-HR"/>
              </w:rPr>
              <w:t>18.137</w:t>
            </w:r>
          </w:p>
        </w:tc>
        <w:tc>
          <w:tcPr>
            <w:tcW w:w="973" w:type="pct"/>
            <w:shd w:val="clear" w:color="auto" w:fill="auto"/>
            <w:noWrap/>
            <w:vAlign w:val="center"/>
          </w:tcPr>
          <w:p w14:paraId="1E7B1C44" w14:textId="77777777" w:rsidR="005550BE" w:rsidRPr="001B4CA2" w:rsidRDefault="005550BE" w:rsidP="00A14600">
            <w:pPr>
              <w:jc w:val="center"/>
              <w:rPr>
                <w:sz w:val="18"/>
                <w:szCs w:val="18"/>
                <w:lang w:eastAsia="hr-HR"/>
              </w:rPr>
            </w:pPr>
            <w:r w:rsidRPr="001B4CA2">
              <w:rPr>
                <w:sz w:val="18"/>
                <w:szCs w:val="18"/>
                <w:lang w:eastAsia="hr-HR"/>
              </w:rPr>
              <w:t>69.715</w:t>
            </w:r>
          </w:p>
        </w:tc>
      </w:tr>
      <w:tr w:rsidR="005550BE" w:rsidRPr="001B4CA2" w14:paraId="1DE91848" w14:textId="77777777" w:rsidTr="00A14600">
        <w:trPr>
          <w:trHeight w:val="397"/>
          <w:jc w:val="center"/>
        </w:trPr>
        <w:tc>
          <w:tcPr>
            <w:tcW w:w="1000" w:type="pct"/>
            <w:shd w:val="clear" w:color="auto" w:fill="auto"/>
            <w:noWrap/>
            <w:vAlign w:val="center"/>
          </w:tcPr>
          <w:p w14:paraId="0EDF22E5" w14:textId="77777777" w:rsidR="005550BE" w:rsidRPr="001B4CA2" w:rsidRDefault="005550BE" w:rsidP="00A14600">
            <w:pPr>
              <w:jc w:val="center"/>
              <w:rPr>
                <w:sz w:val="18"/>
                <w:szCs w:val="18"/>
                <w:lang w:eastAsia="hr-HR"/>
              </w:rPr>
            </w:pPr>
            <w:r w:rsidRPr="001B4CA2">
              <w:rPr>
                <w:sz w:val="18"/>
                <w:szCs w:val="18"/>
                <w:lang w:eastAsia="hr-HR"/>
              </w:rPr>
              <w:t>2019.</w:t>
            </w:r>
          </w:p>
        </w:tc>
        <w:tc>
          <w:tcPr>
            <w:tcW w:w="1000" w:type="pct"/>
            <w:shd w:val="clear" w:color="auto" w:fill="auto"/>
            <w:noWrap/>
            <w:vAlign w:val="center"/>
          </w:tcPr>
          <w:p w14:paraId="214A621E" w14:textId="77777777" w:rsidR="005550BE" w:rsidRPr="001B4CA2" w:rsidRDefault="005550BE" w:rsidP="00A14600">
            <w:pPr>
              <w:jc w:val="center"/>
              <w:rPr>
                <w:sz w:val="18"/>
                <w:szCs w:val="18"/>
                <w:lang w:eastAsia="hr-HR"/>
              </w:rPr>
            </w:pPr>
            <w:r w:rsidRPr="001B4CA2">
              <w:rPr>
                <w:sz w:val="18"/>
                <w:szCs w:val="18"/>
                <w:lang w:eastAsia="hr-HR"/>
              </w:rPr>
              <w:t>53.584</w:t>
            </w:r>
          </w:p>
        </w:tc>
        <w:tc>
          <w:tcPr>
            <w:tcW w:w="1000" w:type="pct"/>
            <w:shd w:val="clear" w:color="auto" w:fill="auto"/>
            <w:noWrap/>
            <w:vAlign w:val="center"/>
          </w:tcPr>
          <w:p w14:paraId="3DA2D1D8" w14:textId="77777777" w:rsidR="005550BE" w:rsidRPr="001B4CA2" w:rsidRDefault="005550BE" w:rsidP="00A14600">
            <w:pPr>
              <w:jc w:val="center"/>
              <w:rPr>
                <w:sz w:val="18"/>
                <w:szCs w:val="18"/>
                <w:lang w:eastAsia="hr-HR"/>
              </w:rPr>
            </w:pPr>
            <w:r w:rsidRPr="001B4CA2">
              <w:rPr>
                <w:sz w:val="18"/>
                <w:szCs w:val="18"/>
                <w:lang w:eastAsia="hr-HR"/>
              </w:rPr>
              <w:t>3.736</w:t>
            </w:r>
          </w:p>
        </w:tc>
        <w:tc>
          <w:tcPr>
            <w:tcW w:w="1027" w:type="pct"/>
            <w:shd w:val="clear" w:color="auto" w:fill="auto"/>
            <w:noWrap/>
            <w:vAlign w:val="center"/>
          </w:tcPr>
          <w:p w14:paraId="2A59271C" w14:textId="77777777" w:rsidR="005550BE" w:rsidRPr="001B4CA2" w:rsidRDefault="005550BE" w:rsidP="00A14600">
            <w:pPr>
              <w:jc w:val="center"/>
              <w:rPr>
                <w:sz w:val="18"/>
                <w:szCs w:val="18"/>
                <w:lang w:eastAsia="hr-HR"/>
              </w:rPr>
            </w:pPr>
            <w:r w:rsidRPr="001B4CA2">
              <w:rPr>
                <w:sz w:val="18"/>
                <w:szCs w:val="18"/>
                <w:lang w:eastAsia="hr-HR"/>
              </w:rPr>
              <w:t>18.232</w:t>
            </w:r>
          </w:p>
        </w:tc>
        <w:tc>
          <w:tcPr>
            <w:tcW w:w="973" w:type="pct"/>
            <w:shd w:val="clear" w:color="auto" w:fill="auto"/>
            <w:noWrap/>
            <w:vAlign w:val="center"/>
          </w:tcPr>
          <w:p w14:paraId="393E1645" w14:textId="77777777" w:rsidR="005550BE" w:rsidRPr="001B4CA2" w:rsidRDefault="005550BE" w:rsidP="00A14600">
            <w:pPr>
              <w:jc w:val="center"/>
              <w:rPr>
                <w:sz w:val="18"/>
                <w:szCs w:val="18"/>
                <w:lang w:eastAsia="hr-HR"/>
              </w:rPr>
            </w:pPr>
            <w:r w:rsidRPr="001B4CA2">
              <w:rPr>
                <w:sz w:val="18"/>
                <w:szCs w:val="18"/>
                <w:lang w:eastAsia="hr-HR"/>
              </w:rPr>
              <w:t>75.552</w:t>
            </w:r>
          </w:p>
        </w:tc>
      </w:tr>
      <w:tr w:rsidR="005550BE" w:rsidRPr="001B4CA2" w14:paraId="19C26E42" w14:textId="77777777" w:rsidTr="00A14600">
        <w:trPr>
          <w:trHeight w:val="397"/>
          <w:jc w:val="center"/>
        </w:trPr>
        <w:tc>
          <w:tcPr>
            <w:tcW w:w="1000" w:type="pct"/>
            <w:shd w:val="clear" w:color="auto" w:fill="auto"/>
            <w:noWrap/>
            <w:vAlign w:val="center"/>
          </w:tcPr>
          <w:p w14:paraId="12553303" w14:textId="77777777" w:rsidR="005550BE" w:rsidRPr="001B4CA2" w:rsidRDefault="005550BE" w:rsidP="00A14600">
            <w:pPr>
              <w:jc w:val="center"/>
              <w:rPr>
                <w:sz w:val="18"/>
                <w:szCs w:val="18"/>
                <w:lang w:eastAsia="hr-HR"/>
              </w:rPr>
            </w:pPr>
            <w:r w:rsidRPr="001B4CA2">
              <w:rPr>
                <w:sz w:val="18"/>
                <w:szCs w:val="18"/>
                <w:lang w:eastAsia="hr-HR"/>
              </w:rPr>
              <w:t>2020.</w:t>
            </w:r>
          </w:p>
        </w:tc>
        <w:tc>
          <w:tcPr>
            <w:tcW w:w="1000" w:type="pct"/>
            <w:shd w:val="clear" w:color="auto" w:fill="auto"/>
            <w:noWrap/>
            <w:vAlign w:val="center"/>
          </w:tcPr>
          <w:p w14:paraId="6992BE0C" w14:textId="77777777" w:rsidR="005550BE" w:rsidRPr="001B4CA2" w:rsidRDefault="005550BE" w:rsidP="00A14600">
            <w:pPr>
              <w:jc w:val="center"/>
              <w:rPr>
                <w:sz w:val="18"/>
                <w:szCs w:val="18"/>
                <w:lang w:eastAsia="hr-HR"/>
              </w:rPr>
            </w:pPr>
            <w:r w:rsidRPr="001B4CA2">
              <w:rPr>
                <w:sz w:val="18"/>
                <w:szCs w:val="18"/>
                <w:lang w:eastAsia="hr-HR"/>
              </w:rPr>
              <w:t>54.338</w:t>
            </w:r>
          </w:p>
        </w:tc>
        <w:tc>
          <w:tcPr>
            <w:tcW w:w="1000" w:type="pct"/>
            <w:shd w:val="clear" w:color="auto" w:fill="auto"/>
            <w:noWrap/>
            <w:vAlign w:val="center"/>
          </w:tcPr>
          <w:p w14:paraId="3D91C8E5" w14:textId="77777777" w:rsidR="005550BE" w:rsidRPr="001B4CA2" w:rsidRDefault="005550BE" w:rsidP="00A14600">
            <w:pPr>
              <w:jc w:val="center"/>
              <w:rPr>
                <w:sz w:val="18"/>
                <w:szCs w:val="18"/>
                <w:lang w:eastAsia="hr-HR"/>
              </w:rPr>
            </w:pPr>
            <w:r w:rsidRPr="001B4CA2">
              <w:rPr>
                <w:sz w:val="18"/>
                <w:szCs w:val="18"/>
                <w:lang w:eastAsia="hr-HR"/>
              </w:rPr>
              <w:t>3.516</w:t>
            </w:r>
          </w:p>
        </w:tc>
        <w:tc>
          <w:tcPr>
            <w:tcW w:w="1027" w:type="pct"/>
            <w:shd w:val="clear" w:color="auto" w:fill="auto"/>
            <w:noWrap/>
            <w:vAlign w:val="center"/>
          </w:tcPr>
          <w:p w14:paraId="1CD4E0AB" w14:textId="77777777" w:rsidR="005550BE" w:rsidRPr="001B4CA2" w:rsidRDefault="005550BE" w:rsidP="00A14600">
            <w:pPr>
              <w:jc w:val="center"/>
              <w:rPr>
                <w:sz w:val="18"/>
                <w:szCs w:val="18"/>
                <w:lang w:eastAsia="hr-HR"/>
              </w:rPr>
            </w:pPr>
            <w:r w:rsidRPr="001B4CA2">
              <w:rPr>
                <w:sz w:val="18"/>
                <w:szCs w:val="18"/>
                <w:lang w:eastAsia="hr-HR"/>
              </w:rPr>
              <w:t>18.755</w:t>
            </w:r>
          </w:p>
        </w:tc>
        <w:tc>
          <w:tcPr>
            <w:tcW w:w="973" w:type="pct"/>
            <w:shd w:val="clear" w:color="auto" w:fill="auto"/>
            <w:noWrap/>
            <w:vAlign w:val="center"/>
          </w:tcPr>
          <w:p w14:paraId="2DBBD40B" w14:textId="77777777" w:rsidR="005550BE" w:rsidRPr="001B4CA2" w:rsidRDefault="005550BE" w:rsidP="00A14600">
            <w:pPr>
              <w:jc w:val="center"/>
              <w:rPr>
                <w:sz w:val="18"/>
                <w:szCs w:val="18"/>
                <w:lang w:eastAsia="hr-HR"/>
              </w:rPr>
            </w:pPr>
            <w:r w:rsidRPr="001B4CA2">
              <w:rPr>
                <w:sz w:val="18"/>
                <w:szCs w:val="18"/>
                <w:lang w:eastAsia="hr-HR"/>
              </w:rPr>
              <w:t>76.609</w:t>
            </w:r>
          </w:p>
        </w:tc>
      </w:tr>
      <w:tr w:rsidR="005550BE" w:rsidRPr="001B4CA2" w14:paraId="49C59BCF" w14:textId="77777777" w:rsidTr="00A14600">
        <w:trPr>
          <w:trHeight w:val="397"/>
          <w:jc w:val="center"/>
        </w:trPr>
        <w:tc>
          <w:tcPr>
            <w:tcW w:w="1000" w:type="pct"/>
            <w:shd w:val="clear" w:color="auto" w:fill="auto"/>
            <w:noWrap/>
            <w:vAlign w:val="center"/>
          </w:tcPr>
          <w:p w14:paraId="530C9FA9" w14:textId="77777777" w:rsidR="005550BE" w:rsidRPr="001B4CA2" w:rsidRDefault="005550BE" w:rsidP="00A14600">
            <w:pPr>
              <w:jc w:val="center"/>
              <w:rPr>
                <w:sz w:val="18"/>
                <w:szCs w:val="18"/>
                <w:lang w:eastAsia="hr-HR"/>
              </w:rPr>
            </w:pPr>
            <w:r w:rsidRPr="001B4CA2">
              <w:rPr>
                <w:sz w:val="18"/>
                <w:szCs w:val="18"/>
                <w:lang w:eastAsia="hr-HR"/>
              </w:rPr>
              <w:t>2021.</w:t>
            </w:r>
          </w:p>
        </w:tc>
        <w:tc>
          <w:tcPr>
            <w:tcW w:w="1000" w:type="pct"/>
            <w:shd w:val="clear" w:color="auto" w:fill="auto"/>
            <w:noWrap/>
            <w:vAlign w:val="center"/>
          </w:tcPr>
          <w:p w14:paraId="2655ED63" w14:textId="77777777" w:rsidR="005550BE" w:rsidRPr="001B4CA2" w:rsidRDefault="005550BE" w:rsidP="00A14600">
            <w:pPr>
              <w:jc w:val="center"/>
              <w:rPr>
                <w:sz w:val="18"/>
                <w:szCs w:val="18"/>
                <w:lang w:eastAsia="hr-HR"/>
              </w:rPr>
            </w:pPr>
            <w:r w:rsidRPr="001B4CA2">
              <w:rPr>
                <w:sz w:val="18"/>
                <w:szCs w:val="18"/>
                <w:lang w:eastAsia="hr-HR"/>
              </w:rPr>
              <w:t>61.610</w:t>
            </w:r>
          </w:p>
        </w:tc>
        <w:tc>
          <w:tcPr>
            <w:tcW w:w="1000" w:type="pct"/>
            <w:shd w:val="clear" w:color="auto" w:fill="auto"/>
            <w:noWrap/>
            <w:vAlign w:val="center"/>
          </w:tcPr>
          <w:p w14:paraId="4980C462" w14:textId="77777777" w:rsidR="005550BE" w:rsidRPr="001B4CA2" w:rsidRDefault="005550BE" w:rsidP="00A14600">
            <w:pPr>
              <w:jc w:val="center"/>
              <w:rPr>
                <w:sz w:val="18"/>
                <w:szCs w:val="18"/>
                <w:lang w:eastAsia="hr-HR"/>
              </w:rPr>
            </w:pPr>
            <w:r w:rsidRPr="001B4CA2">
              <w:rPr>
                <w:sz w:val="18"/>
                <w:szCs w:val="18"/>
                <w:lang w:eastAsia="hr-HR"/>
              </w:rPr>
              <w:t>3.808</w:t>
            </w:r>
          </w:p>
        </w:tc>
        <w:tc>
          <w:tcPr>
            <w:tcW w:w="1027" w:type="pct"/>
            <w:shd w:val="clear" w:color="auto" w:fill="auto"/>
            <w:noWrap/>
            <w:vAlign w:val="center"/>
          </w:tcPr>
          <w:p w14:paraId="6BFAC023" w14:textId="77777777" w:rsidR="005550BE" w:rsidRPr="001B4CA2" w:rsidRDefault="005550BE" w:rsidP="00A14600">
            <w:pPr>
              <w:jc w:val="center"/>
              <w:rPr>
                <w:sz w:val="18"/>
                <w:szCs w:val="18"/>
                <w:lang w:eastAsia="hr-HR"/>
              </w:rPr>
            </w:pPr>
            <w:r w:rsidRPr="001B4CA2">
              <w:rPr>
                <w:sz w:val="18"/>
                <w:szCs w:val="18"/>
                <w:lang w:eastAsia="hr-HR"/>
              </w:rPr>
              <w:t>26.811</w:t>
            </w:r>
          </w:p>
        </w:tc>
        <w:tc>
          <w:tcPr>
            <w:tcW w:w="973" w:type="pct"/>
            <w:shd w:val="clear" w:color="auto" w:fill="auto"/>
            <w:noWrap/>
            <w:vAlign w:val="center"/>
          </w:tcPr>
          <w:p w14:paraId="0DA9E512" w14:textId="77777777" w:rsidR="005550BE" w:rsidRPr="001B4CA2" w:rsidRDefault="005550BE" w:rsidP="00A14600">
            <w:pPr>
              <w:jc w:val="center"/>
              <w:rPr>
                <w:sz w:val="18"/>
                <w:szCs w:val="18"/>
                <w:lang w:eastAsia="hr-HR"/>
              </w:rPr>
            </w:pPr>
            <w:r w:rsidRPr="001B4CA2">
              <w:rPr>
                <w:sz w:val="18"/>
                <w:szCs w:val="18"/>
                <w:lang w:eastAsia="hr-HR"/>
              </w:rPr>
              <w:t>92.229</w:t>
            </w:r>
          </w:p>
        </w:tc>
      </w:tr>
      <w:tr w:rsidR="005550BE" w:rsidRPr="001B4CA2" w14:paraId="55161185" w14:textId="77777777" w:rsidTr="00A14600">
        <w:trPr>
          <w:trHeight w:val="397"/>
          <w:jc w:val="center"/>
        </w:trPr>
        <w:tc>
          <w:tcPr>
            <w:tcW w:w="1000" w:type="pct"/>
            <w:shd w:val="clear" w:color="auto" w:fill="auto"/>
            <w:noWrap/>
            <w:vAlign w:val="center"/>
          </w:tcPr>
          <w:p w14:paraId="3CF73DD9" w14:textId="77777777" w:rsidR="005550BE" w:rsidRPr="001B4CA2" w:rsidRDefault="005550BE" w:rsidP="00A14600">
            <w:pPr>
              <w:jc w:val="center"/>
              <w:rPr>
                <w:sz w:val="18"/>
                <w:szCs w:val="18"/>
                <w:highlight w:val="yellow"/>
                <w:lang w:eastAsia="hr-HR"/>
              </w:rPr>
            </w:pPr>
            <w:r w:rsidRPr="001B4CA2">
              <w:rPr>
                <w:sz w:val="18"/>
                <w:szCs w:val="18"/>
                <w:lang w:eastAsia="hr-HR"/>
              </w:rPr>
              <w:t>2022.</w:t>
            </w:r>
          </w:p>
        </w:tc>
        <w:tc>
          <w:tcPr>
            <w:tcW w:w="1000" w:type="pct"/>
            <w:shd w:val="clear" w:color="auto" w:fill="auto"/>
            <w:noWrap/>
            <w:vAlign w:val="center"/>
          </w:tcPr>
          <w:p w14:paraId="740C8C04" w14:textId="77777777" w:rsidR="005550BE" w:rsidRPr="001B4CA2" w:rsidRDefault="005550BE" w:rsidP="00A14600">
            <w:pPr>
              <w:jc w:val="center"/>
              <w:rPr>
                <w:sz w:val="18"/>
                <w:szCs w:val="18"/>
                <w:highlight w:val="yellow"/>
                <w:lang w:eastAsia="hr-HR"/>
              </w:rPr>
            </w:pPr>
            <w:r w:rsidRPr="001B4CA2">
              <w:rPr>
                <w:sz w:val="18"/>
                <w:szCs w:val="18"/>
                <w:lang w:eastAsia="hr-HR"/>
              </w:rPr>
              <w:t>55.296</w:t>
            </w:r>
          </w:p>
        </w:tc>
        <w:tc>
          <w:tcPr>
            <w:tcW w:w="1000" w:type="pct"/>
            <w:shd w:val="clear" w:color="auto" w:fill="auto"/>
            <w:noWrap/>
            <w:vAlign w:val="center"/>
          </w:tcPr>
          <w:p w14:paraId="20645BA8" w14:textId="77777777" w:rsidR="005550BE" w:rsidRPr="001B4CA2" w:rsidRDefault="005550BE" w:rsidP="00A14600">
            <w:pPr>
              <w:jc w:val="center"/>
              <w:rPr>
                <w:sz w:val="18"/>
                <w:szCs w:val="18"/>
                <w:highlight w:val="yellow"/>
                <w:lang w:eastAsia="hr-HR"/>
              </w:rPr>
            </w:pPr>
            <w:r w:rsidRPr="001B4CA2">
              <w:rPr>
                <w:sz w:val="18"/>
                <w:szCs w:val="18"/>
                <w:lang w:eastAsia="hr-HR"/>
              </w:rPr>
              <w:t>3.273</w:t>
            </w:r>
          </w:p>
        </w:tc>
        <w:tc>
          <w:tcPr>
            <w:tcW w:w="1027" w:type="pct"/>
            <w:shd w:val="clear" w:color="auto" w:fill="auto"/>
            <w:noWrap/>
            <w:vAlign w:val="center"/>
          </w:tcPr>
          <w:p w14:paraId="451D0C94" w14:textId="77777777" w:rsidR="005550BE" w:rsidRPr="001B4CA2" w:rsidRDefault="005550BE" w:rsidP="00A14600">
            <w:pPr>
              <w:jc w:val="center"/>
              <w:rPr>
                <w:sz w:val="18"/>
                <w:szCs w:val="18"/>
                <w:highlight w:val="yellow"/>
                <w:lang w:eastAsia="hr-HR"/>
              </w:rPr>
            </w:pPr>
            <w:r w:rsidRPr="001B4CA2">
              <w:rPr>
                <w:sz w:val="18"/>
                <w:szCs w:val="18"/>
                <w:lang w:eastAsia="hr-HR"/>
              </w:rPr>
              <w:t>17.035</w:t>
            </w:r>
          </w:p>
        </w:tc>
        <w:tc>
          <w:tcPr>
            <w:tcW w:w="973" w:type="pct"/>
            <w:shd w:val="clear" w:color="auto" w:fill="auto"/>
            <w:noWrap/>
            <w:vAlign w:val="center"/>
          </w:tcPr>
          <w:p w14:paraId="06786DB9" w14:textId="77777777" w:rsidR="005550BE" w:rsidRPr="001B4CA2" w:rsidRDefault="005550BE" w:rsidP="00A14600">
            <w:pPr>
              <w:jc w:val="center"/>
              <w:rPr>
                <w:sz w:val="18"/>
                <w:szCs w:val="18"/>
                <w:highlight w:val="yellow"/>
                <w:lang w:eastAsia="hr-HR"/>
              </w:rPr>
            </w:pPr>
            <w:r w:rsidRPr="001B4CA2">
              <w:rPr>
                <w:sz w:val="18"/>
                <w:szCs w:val="18"/>
                <w:lang w:eastAsia="hr-HR"/>
              </w:rPr>
              <w:t>75.604</w:t>
            </w:r>
          </w:p>
        </w:tc>
      </w:tr>
    </w:tbl>
    <w:p w14:paraId="1E579101" w14:textId="77777777" w:rsidR="005550BE" w:rsidRPr="001B4CA2" w:rsidRDefault="005550BE" w:rsidP="005550BE"/>
    <w:p w14:paraId="231792C6" w14:textId="51B02228" w:rsidR="00965363" w:rsidRPr="001B4CA2" w:rsidRDefault="005550BE" w:rsidP="00965363">
      <w:r w:rsidRPr="001B4CA2">
        <w:tab/>
      </w:r>
      <w:r w:rsidR="00965363" w:rsidRPr="001B4CA2">
        <w:t>Tijekom 2022. godine županijska i općinska državna odvjetništva primila su ukupno 75.604 nova zahtjeva pa se u odnosu na prethodnu godinu radi o smanjenju zahtjeva od 16.625 (21</w:t>
      </w:r>
      <w:r w:rsidR="00CE7EF2">
        <w:t> </w:t>
      </w:r>
      <w:r w:rsidR="00965363" w:rsidRPr="001B4CA2">
        <w:t>%). Od ukupnog se broja zahtjeva 73,13</w:t>
      </w:r>
      <w:r w:rsidR="00CE7EF2">
        <w:t> </w:t>
      </w:r>
      <w:r w:rsidR="00965363" w:rsidRPr="001B4CA2">
        <w:t>% odnosi na sudske, 4,32</w:t>
      </w:r>
      <w:r w:rsidR="00CE7EF2">
        <w:t> </w:t>
      </w:r>
      <w:r w:rsidR="00965363" w:rsidRPr="001B4CA2">
        <w:t xml:space="preserve">% na upravne, a 22,53 % na </w:t>
      </w:r>
      <w:proofErr w:type="spellStart"/>
      <w:r w:rsidR="00965363" w:rsidRPr="001B4CA2">
        <w:t>državnoodvjetničke</w:t>
      </w:r>
      <w:proofErr w:type="spellEnd"/>
      <w:r w:rsidR="00965363" w:rsidRPr="001B4CA2">
        <w:t>.</w:t>
      </w:r>
    </w:p>
    <w:p w14:paraId="5A6676E4" w14:textId="77777777" w:rsidR="00965363" w:rsidRPr="001B4CA2" w:rsidRDefault="00965363" w:rsidP="00965363"/>
    <w:p w14:paraId="3C04BAB6" w14:textId="4A50B6B0" w:rsidR="005550BE" w:rsidRPr="001B4CA2" w:rsidRDefault="00965363" w:rsidP="005550BE">
      <w:r w:rsidRPr="001B4CA2">
        <w:tab/>
        <w:t xml:space="preserve">Razlog smanjenog broja </w:t>
      </w:r>
      <w:proofErr w:type="spellStart"/>
      <w:r w:rsidRPr="001B4CA2">
        <w:t>državnoodvjetničkih</w:t>
      </w:r>
      <w:proofErr w:type="spellEnd"/>
      <w:r w:rsidRPr="001B4CA2">
        <w:t xml:space="preserve"> predmeta je</w:t>
      </w:r>
      <w:r w:rsidR="00CE7EF2">
        <w:t>st</w:t>
      </w:r>
      <w:r w:rsidRPr="001B4CA2">
        <w:t xml:space="preserve"> smanjenje zahtjeva iz radnih odnosa, a koji su riješeni u oglednom postupku, čime se broj zahtjeva vratio na razinu statističkih podataka</w:t>
      </w:r>
      <w:r w:rsidR="001B4CA2">
        <w:t xml:space="preserve"> </w:t>
      </w:r>
      <w:r w:rsidRPr="001B4CA2">
        <w:t>iz 2019. i 2020. godine.</w:t>
      </w:r>
    </w:p>
    <w:p w14:paraId="1C7BA140" w14:textId="77777777" w:rsidR="005550BE" w:rsidRPr="001B4CA2" w:rsidRDefault="005550BE" w:rsidP="005550BE"/>
    <w:p w14:paraId="04C9E9A0" w14:textId="020F1DBD" w:rsidR="005550BE" w:rsidRPr="001B4CA2" w:rsidRDefault="005550BE" w:rsidP="005550BE">
      <w:pPr>
        <w:ind w:left="426" w:hanging="284"/>
        <w:contextualSpacing/>
        <w:jc w:val="left"/>
        <w:rPr>
          <w:i/>
        </w:rPr>
      </w:pPr>
      <w:r w:rsidRPr="001B4CA2">
        <w:rPr>
          <w:i/>
        </w:rPr>
        <w:t>b) Kretanje i struktura zahtjeva u novim predmetima u odnosu na vrstu zastupanja, 2018. –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907"/>
        <w:gridCol w:w="937"/>
        <w:gridCol w:w="802"/>
        <w:gridCol w:w="802"/>
        <w:gridCol w:w="992"/>
        <w:gridCol w:w="993"/>
        <w:gridCol w:w="793"/>
        <w:gridCol w:w="807"/>
        <w:gridCol w:w="819"/>
      </w:tblGrid>
      <w:tr w:rsidR="005550BE" w:rsidRPr="001B4CA2" w14:paraId="0A4EB8D9" w14:textId="77777777" w:rsidTr="005550BE">
        <w:trPr>
          <w:trHeight w:val="660"/>
          <w:jc w:val="center"/>
        </w:trPr>
        <w:tc>
          <w:tcPr>
            <w:tcW w:w="1070" w:type="dxa"/>
            <w:vMerge w:val="restart"/>
            <w:shd w:val="clear" w:color="000000" w:fill="99CCFF"/>
            <w:noWrap/>
            <w:vAlign w:val="center"/>
            <w:hideMark/>
          </w:tcPr>
          <w:p w14:paraId="5114402B" w14:textId="77777777" w:rsidR="005550BE" w:rsidRPr="001B4CA2" w:rsidRDefault="005550BE" w:rsidP="00A14600">
            <w:pPr>
              <w:jc w:val="center"/>
              <w:rPr>
                <w:rFonts w:eastAsia="Times New Roman" w:cstheme="minorHAnsi"/>
                <w:b/>
                <w:bCs/>
                <w:color w:val="000000"/>
                <w:sz w:val="18"/>
                <w:szCs w:val="18"/>
                <w:lang w:eastAsia="hr-HR"/>
              </w:rPr>
            </w:pPr>
            <w:r w:rsidRPr="001B4CA2">
              <w:rPr>
                <w:rFonts w:eastAsia="Times New Roman" w:cstheme="minorHAnsi"/>
                <w:b/>
                <w:bCs/>
                <w:color w:val="000000"/>
                <w:sz w:val="18"/>
                <w:szCs w:val="18"/>
                <w:lang w:eastAsia="hr-HR"/>
              </w:rPr>
              <w:t>Vrste predmeta</w:t>
            </w:r>
          </w:p>
        </w:tc>
        <w:tc>
          <w:tcPr>
            <w:tcW w:w="1844" w:type="dxa"/>
            <w:gridSpan w:val="2"/>
            <w:shd w:val="clear" w:color="000000" w:fill="99CCFF"/>
            <w:vAlign w:val="center"/>
            <w:hideMark/>
          </w:tcPr>
          <w:p w14:paraId="10EE8F6F" w14:textId="77777777" w:rsidR="005550BE" w:rsidRPr="001B4CA2" w:rsidRDefault="005550BE" w:rsidP="00A14600">
            <w:pPr>
              <w:jc w:val="center"/>
              <w:rPr>
                <w:rFonts w:eastAsia="Times New Roman" w:cstheme="minorHAnsi"/>
                <w:b/>
                <w:bCs/>
                <w:color w:val="000000"/>
                <w:sz w:val="18"/>
                <w:szCs w:val="18"/>
                <w:lang w:eastAsia="hr-HR"/>
              </w:rPr>
            </w:pPr>
            <w:r w:rsidRPr="001B4CA2">
              <w:rPr>
                <w:rFonts w:eastAsia="Times New Roman" w:cstheme="minorHAnsi"/>
                <w:b/>
                <w:bCs/>
                <w:color w:val="000000"/>
                <w:sz w:val="18"/>
                <w:szCs w:val="18"/>
                <w:lang w:eastAsia="hr-HR"/>
              </w:rPr>
              <w:t>Sudski</w:t>
            </w:r>
            <w:r w:rsidRPr="001B4CA2">
              <w:rPr>
                <w:rFonts w:eastAsia="Times New Roman" w:cstheme="minorHAnsi"/>
                <w:color w:val="000000"/>
                <w:sz w:val="18"/>
                <w:szCs w:val="18"/>
                <w:lang w:eastAsia="hr-HR"/>
              </w:rPr>
              <w:t xml:space="preserve"> </w:t>
            </w:r>
            <w:r w:rsidRPr="001B4CA2">
              <w:rPr>
                <w:rFonts w:eastAsia="Times New Roman" w:cstheme="minorHAnsi"/>
                <w:b/>
                <w:bCs/>
                <w:color w:val="000000"/>
                <w:sz w:val="18"/>
                <w:szCs w:val="18"/>
                <w:lang w:eastAsia="hr-HR"/>
              </w:rPr>
              <w:t>predmeti</w:t>
            </w:r>
          </w:p>
        </w:tc>
        <w:tc>
          <w:tcPr>
            <w:tcW w:w="1604" w:type="dxa"/>
            <w:gridSpan w:val="2"/>
            <w:shd w:val="clear" w:color="000000" w:fill="99CCFF"/>
            <w:vAlign w:val="center"/>
            <w:hideMark/>
          </w:tcPr>
          <w:p w14:paraId="2B0158B0" w14:textId="77777777" w:rsidR="005550BE" w:rsidRPr="001B4CA2" w:rsidRDefault="005550BE" w:rsidP="00A14600">
            <w:pPr>
              <w:jc w:val="center"/>
              <w:rPr>
                <w:rFonts w:eastAsia="Times New Roman" w:cstheme="minorHAnsi"/>
                <w:b/>
                <w:bCs/>
                <w:color w:val="000000"/>
                <w:sz w:val="18"/>
                <w:szCs w:val="18"/>
                <w:lang w:eastAsia="hr-HR"/>
              </w:rPr>
            </w:pPr>
            <w:r w:rsidRPr="001B4CA2">
              <w:rPr>
                <w:rFonts w:eastAsia="Times New Roman" w:cstheme="minorHAnsi"/>
                <w:b/>
                <w:bCs/>
                <w:color w:val="000000"/>
                <w:sz w:val="18"/>
                <w:szCs w:val="18"/>
                <w:lang w:eastAsia="hr-HR"/>
              </w:rPr>
              <w:t>Upravni</w:t>
            </w:r>
            <w:r w:rsidRPr="001B4CA2">
              <w:rPr>
                <w:rFonts w:eastAsia="Times New Roman" w:cstheme="minorHAnsi"/>
                <w:color w:val="000000"/>
                <w:sz w:val="18"/>
                <w:szCs w:val="18"/>
                <w:lang w:eastAsia="hr-HR"/>
              </w:rPr>
              <w:t xml:space="preserve"> </w:t>
            </w:r>
            <w:r w:rsidRPr="001B4CA2">
              <w:rPr>
                <w:rFonts w:eastAsia="Times New Roman" w:cstheme="minorHAnsi"/>
                <w:b/>
                <w:bCs/>
                <w:color w:val="000000"/>
                <w:sz w:val="18"/>
                <w:szCs w:val="18"/>
                <w:lang w:eastAsia="hr-HR"/>
              </w:rPr>
              <w:t>predmeti</w:t>
            </w:r>
          </w:p>
        </w:tc>
        <w:tc>
          <w:tcPr>
            <w:tcW w:w="1985" w:type="dxa"/>
            <w:gridSpan w:val="2"/>
            <w:shd w:val="clear" w:color="000000" w:fill="99CCFF"/>
            <w:noWrap/>
            <w:vAlign w:val="center"/>
            <w:hideMark/>
          </w:tcPr>
          <w:p w14:paraId="6DB416BA" w14:textId="77777777" w:rsidR="005550BE" w:rsidRPr="001B4CA2" w:rsidRDefault="005550BE" w:rsidP="00A14600">
            <w:pPr>
              <w:jc w:val="center"/>
              <w:rPr>
                <w:rFonts w:eastAsia="Times New Roman" w:cstheme="minorHAnsi"/>
                <w:b/>
                <w:bCs/>
                <w:color w:val="000000"/>
                <w:sz w:val="18"/>
                <w:szCs w:val="18"/>
                <w:lang w:eastAsia="hr-HR"/>
              </w:rPr>
            </w:pPr>
            <w:proofErr w:type="spellStart"/>
            <w:r w:rsidRPr="001B4CA2">
              <w:rPr>
                <w:rFonts w:eastAsia="Times New Roman" w:cstheme="minorHAnsi"/>
                <w:b/>
                <w:bCs/>
                <w:color w:val="000000"/>
                <w:sz w:val="18"/>
                <w:szCs w:val="18"/>
                <w:lang w:eastAsia="hr-HR"/>
              </w:rPr>
              <w:t>Državnoodvjetnički</w:t>
            </w:r>
            <w:proofErr w:type="spellEnd"/>
            <w:r w:rsidRPr="001B4CA2">
              <w:rPr>
                <w:rFonts w:eastAsia="Times New Roman" w:cstheme="minorHAnsi"/>
                <w:b/>
                <w:bCs/>
                <w:color w:val="000000"/>
                <w:sz w:val="18"/>
                <w:szCs w:val="18"/>
                <w:lang w:eastAsia="hr-HR"/>
              </w:rPr>
              <w:t xml:space="preserve"> </w:t>
            </w:r>
          </w:p>
          <w:p w14:paraId="30D8BFA7" w14:textId="77777777" w:rsidR="005550BE" w:rsidRPr="001B4CA2" w:rsidRDefault="005550BE" w:rsidP="00A14600">
            <w:pPr>
              <w:jc w:val="center"/>
              <w:rPr>
                <w:rFonts w:eastAsia="Times New Roman" w:cstheme="minorHAnsi"/>
                <w:b/>
                <w:bCs/>
                <w:color w:val="000000"/>
                <w:sz w:val="18"/>
                <w:szCs w:val="18"/>
                <w:lang w:eastAsia="hr-HR"/>
              </w:rPr>
            </w:pPr>
            <w:r w:rsidRPr="001B4CA2">
              <w:rPr>
                <w:rFonts w:eastAsia="Times New Roman" w:cstheme="minorHAnsi"/>
                <w:b/>
                <w:bCs/>
                <w:color w:val="000000"/>
                <w:sz w:val="18"/>
                <w:szCs w:val="18"/>
                <w:lang w:eastAsia="hr-HR"/>
              </w:rPr>
              <w:t>predmeti</w:t>
            </w:r>
          </w:p>
        </w:tc>
        <w:tc>
          <w:tcPr>
            <w:tcW w:w="2419" w:type="dxa"/>
            <w:gridSpan w:val="3"/>
            <w:vMerge w:val="restart"/>
            <w:shd w:val="clear" w:color="000000" w:fill="99CCFF"/>
            <w:noWrap/>
            <w:vAlign w:val="center"/>
            <w:hideMark/>
          </w:tcPr>
          <w:p w14:paraId="063D3AAB" w14:textId="77777777" w:rsidR="005550BE" w:rsidRPr="001B4CA2" w:rsidRDefault="005550BE" w:rsidP="00A14600">
            <w:pPr>
              <w:jc w:val="center"/>
              <w:rPr>
                <w:rFonts w:eastAsia="Times New Roman" w:cstheme="minorHAnsi"/>
                <w:b/>
                <w:bCs/>
                <w:color w:val="000000"/>
                <w:sz w:val="18"/>
                <w:szCs w:val="18"/>
                <w:lang w:eastAsia="hr-HR"/>
              </w:rPr>
            </w:pPr>
            <w:r w:rsidRPr="001B4CA2">
              <w:rPr>
                <w:rFonts w:eastAsia="Times New Roman" w:cstheme="minorHAnsi"/>
                <w:b/>
                <w:bCs/>
                <w:color w:val="000000"/>
                <w:sz w:val="18"/>
                <w:szCs w:val="18"/>
                <w:lang w:eastAsia="hr-HR"/>
              </w:rPr>
              <w:t>Ukupno</w:t>
            </w:r>
          </w:p>
          <w:p w14:paraId="76007328" w14:textId="509C1AF5" w:rsidR="005550BE" w:rsidRPr="001B4CA2" w:rsidRDefault="001B4CA2" w:rsidP="00A14600">
            <w:pPr>
              <w:jc w:val="center"/>
              <w:rPr>
                <w:rFonts w:eastAsia="Times New Roman" w:cstheme="minorHAnsi"/>
                <w:b/>
                <w:bCs/>
                <w:color w:val="000000"/>
                <w:sz w:val="18"/>
                <w:szCs w:val="18"/>
                <w:lang w:eastAsia="hr-HR"/>
              </w:rPr>
            </w:pPr>
            <w:r>
              <w:rPr>
                <w:rFonts w:eastAsia="Times New Roman" w:cstheme="minorHAnsi"/>
                <w:b/>
                <w:bCs/>
                <w:color w:val="000000"/>
                <w:sz w:val="18"/>
                <w:szCs w:val="18"/>
                <w:lang w:eastAsia="hr-HR"/>
              </w:rPr>
              <w:t xml:space="preserve"> </w:t>
            </w:r>
            <w:r w:rsidR="005550BE" w:rsidRPr="001B4CA2">
              <w:rPr>
                <w:rFonts w:eastAsia="Times New Roman" w:cstheme="minorHAnsi"/>
                <w:b/>
                <w:bCs/>
                <w:color w:val="000000"/>
                <w:sz w:val="18"/>
                <w:szCs w:val="18"/>
                <w:lang w:eastAsia="hr-HR"/>
              </w:rPr>
              <w:t>zastupanje po</w:t>
            </w:r>
          </w:p>
        </w:tc>
      </w:tr>
      <w:tr w:rsidR="005550BE" w:rsidRPr="001B4CA2" w14:paraId="4F4E3FF2" w14:textId="77777777" w:rsidTr="005550BE">
        <w:trPr>
          <w:trHeight w:val="468"/>
          <w:jc w:val="center"/>
        </w:trPr>
        <w:tc>
          <w:tcPr>
            <w:tcW w:w="1070" w:type="dxa"/>
            <w:vMerge/>
            <w:shd w:val="clear" w:color="000000" w:fill="99CCFF"/>
            <w:vAlign w:val="center"/>
            <w:hideMark/>
          </w:tcPr>
          <w:p w14:paraId="0916254B" w14:textId="77777777" w:rsidR="005550BE" w:rsidRPr="001B4CA2" w:rsidRDefault="005550BE" w:rsidP="00A14600">
            <w:pPr>
              <w:jc w:val="left"/>
              <w:rPr>
                <w:rFonts w:eastAsia="Times New Roman" w:cstheme="minorHAnsi"/>
                <w:b/>
                <w:bCs/>
                <w:color w:val="000000"/>
                <w:sz w:val="18"/>
                <w:szCs w:val="18"/>
                <w:lang w:eastAsia="hr-HR"/>
              </w:rPr>
            </w:pPr>
          </w:p>
        </w:tc>
        <w:tc>
          <w:tcPr>
            <w:tcW w:w="1844" w:type="dxa"/>
            <w:gridSpan w:val="2"/>
            <w:shd w:val="clear" w:color="000000" w:fill="99CCFF"/>
            <w:vAlign w:val="center"/>
            <w:hideMark/>
          </w:tcPr>
          <w:p w14:paraId="31A15429" w14:textId="77777777" w:rsidR="005550BE" w:rsidRPr="001B4CA2" w:rsidRDefault="005550BE" w:rsidP="00A14600">
            <w:pPr>
              <w:jc w:val="center"/>
              <w:rPr>
                <w:rFonts w:eastAsia="Times New Roman" w:cstheme="minorHAnsi"/>
                <w:b/>
                <w:bCs/>
                <w:color w:val="000000"/>
                <w:sz w:val="18"/>
                <w:szCs w:val="18"/>
                <w:lang w:eastAsia="hr-HR"/>
              </w:rPr>
            </w:pPr>
            <w:r w:rsidRPr="001B4CA2">
              <w:rPr>
                <w:rFonts w:eastAsia="Times New Roman" w:cstheme="minorHAnsi"/>
                <w:b/>
                <w:bCs/>
                <w:color w:val="000000"/>
                <w:sz w:val="18"/>
                <w:szCs w:val="18"/>
                <w:lang w:eastAsia="hr-HR"/>
              </w:rPr>
              <w:t>Zastupanje po</w:t>
            </w:r>
          </w:p>
        </w:tc>
        <w:tc>
          <w:tcPr>
            <w:tcW w:w="1604" w:type="dxa"/>
            <w:gridSpan w:val="2"/>
            <w:shd w:val="clear" w:color="000000" w:fill="99CCFF"/>
            <w:vAlign w:val="center"/>
            <w:hideMark/>
          </w:tcPr>
          <w:p w14:paraId="15267F4A" w14:textId="77777777" w:rsidR="005550BE" w:rsidRPr="001B4CA2" w:rsidRDefault="005550BE" w:rsidP="00A14600">
            <w:pPr>
              <w:jc w:val="center"/>
              <w:rPr>
                <w:rFonts w:eastAsia="Times New Roman" w:cstheme="minorHAnsi"/>
                <w:b/>
                <w:bCs/>
                <w:color w:val="000000"/>
                <w:sz w:val="18"/>
                <w:szCs w:val="18"/>
                <w:lang w:eastAsia="hr-HR"/>
              </w:rPr>
            </w:pPr>
            <w:r w:rsidRPr="001B4CA2">
              <w:rPr>
                <w:rFonts w:eastAsia="Times New Roman" w:cstheme="minorHAnsi"/>
                <w:b/>
                <w:bCs/>
                <w:color w:val="000000"/>
                <w:sz w:val="18"/>
                <w:szCs w:val="18"/>
                <w:lang w:eastAsia="hr-HR"/>
              </w:rPr>
              <w:t>Zastupanje po</w:t>
            </w:r>
          </w:p>
        </w:tc>
        <w:tc>
          <w:tcPr>
            <w:tcW w:w="1985" w:type="dxa"/>
            <w:gridSpan w:val="2"/>
            <w:shd w:val="clear" w:color="000000" w:fill="99CCFF"/>
            <w:noWrap/>
            <w:vAlign w:val="center"/>
            <w:hideMark/>
          </w:tcPr>
          <w:p w14:paraId="00EDFDEC" w14:textId="77777777" w:rsidR="005550BE" w:rsidRPr="001B4CA2" w:rsidRDefault="005550BE" w:rsidP="00A14600">
            <w:pPr>
              <w:jc w:val="center"/>
              <w:rPr>
                <w:rFonts w:eastAsia="Times New Roman" w:cstheme="minorHAnsi"/>
                <w:b/>
                <w:bCs/>
                <w:color w:val="000000"/>
                <w:sz w:val="18"/>
                <w:szCs w:val="18"/>
                <w:lang w:eastAsia="hr-HR"/>
              </w:rPr>
            </w:pPr>
            <w:r w:rsidRPr="001B4CA2">
              <w:rPr>
                <w:rFonts w:eastAsia="Times New Roman" w:cstheme="minorHAnsi"/>
                <w:b/>
                <w:bCs/>
                <w:color w:val="000000"/>
                <w:sz w:val="18"/>
                <w:szCs w:val="18"/>
                <w:lang w:eastAsia="hr-HR"/>
              </w:rPr>
              <w:t>Zastupanje po</w:t>
            </w:r>
          </w:p>
        </w:tc>
        <w:tc>
          <w:tcPr>
            <w:tcW w:w="2419" w:type="dxa"/>
            <w:gridSpan w:val="3"/>
            <w:vMerge/>
            <w:vAlign w:val="center"/>
            <w:hideMark/>
          </w:tcPr>
          <w:p w14:paraId="4532F783" w14:textId="77777777" w:rsidR="005550BE" w:rsidRPr="001B4CA2" w:rsidRDefault="005550BE" w:rsidP="00A14600">
            <w:pPr>
              <w:jc w:val="left"/>
              <w:rPr>
                <w:rFonts w:eastAsia="Times New Roman" w:cstheme="minorHAnsi"/>
                <w:b/>
                <w:bCs/>
                <w:color w:val="000000"/>
                <w:sz w:val="18"/>
                <w:szCs w:val="18"/>
                <w:lang w:eastAsia="hr-HR"/>
              </w:rPr>
            </w:pPr>
          </w:p>
        </w:tc>
      </w:tr>
      <w:tr w:rsidR="005550BE" w:rsidRPr="001B4CA2" w14:paraId="19108AA0" w14:textId="77777777" w:rsidTr="005550BE">
        <w:trPr>
          <w:trHeight w:val="1083"/>
          <w:jc w:val="center"/>
        </w:trPr>
        <w:tc>
          <w:tcPr>
            <w:tcW w:w="1070" w:type="dxa"/>
            <w:shd w:val="clear" w:color="000000" w:fill="99CCFF"/>
            <w:vAlign w:val="center"/>
            <w:hideMark/>
          </w:tcPr>
          <w:p w14:paraId="07F806AD" w14:textId="77777777" w:rsidR="005550BE" w:rsidRPr="001B4CA2" w:rsidRDefault="005550BE" w:rsidP="00A14600">
            <w:pPr>
              <w:jc w:val="center"/>
              <w:rPr>
                <w:rFonts w:eastAsia="Times New Roman" w:cstheme="minorHAnsi"/>
                <w:b/>
                <w:bCs/>
                <w:color w:val="000000"/>
                <w:sz w:val="18"/>
                <w:szCs w:val="18"/>
                <w:lang w:eastAsia="hr-HR"/>
              </w:rPr>
            </w:pPr>
            <w:r w:rsidRPr="001B4CA2">
              <w:rPr>
                <w:rFonts w:cstheme="minorHAnsi"/>
                <w:b/>
                <w:sz w:val="18"/>
                <w:szCs w:val="18"/>
                <w:lang w:eastAsia="hr-HR"/>
              </w:rPr>
              <w:t>Godina</w:t>
            </w:r>
          </w:p>
        </w:tc>
        <w:tc>
          <w:tcPr>
            <w:tcW w:w="907" w:type="dxa"/>
            <w:shd w:val="clear" w:color="000000" w:fill="99CCFF"/>
            <w:noWrap/>
            <w:textDirection w:val="btLr"/>
            <w:vAlign w:val="center"/>
            <w:hideMark/>
          </w:tcPr>
          <w:p w14:paraId="5124D391"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zakonu</w:t>
            </w:r>
          </w:p>
        </w:tc>
        <w:tc>
          <w:tcPr>
            <w:tcW w:w="937" w:type="dxa"/>
            <w:shd w:val="clear" w:color="000000" w:fill="99CCFF"/>
            <w:textDirection w:val="btLr"/>
            <w:vAlign w:val="center"/>
            <w:hideMark/>
          </w:tcPr>
          <w:p w14:paraId="0CD54EC6"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punomoći</w:t>
            </w:r>
          </w:p>
        </w:tc>
        <w:tc>
          <w:tcPr>
            <w:tcW w:w="802" w:type="dxa"/>
            <w:shd w:val="clear" w:color="000000" w:fill="99CCFF"/>
            <w:noWrap/>
            <w:textDirection w:val="btLr"/>
            <w:vAlign w:val="center"/>
            <w:hideMark/>
          </w:tcPr>
          <w:p w14:paraId="6E3BC763"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zakonu</w:t>
            </w:r>
          </w:p>
        </w:tc>
        <w:tc>
          <w:tcPr>
            <w:tcW w:w="802" w:type="dxa"/>
            <w:shd w:val="clear" w:color="000000" w:fill="99CCFF"/>
            <w:textDirection w:val="btLr"/>
            <w:vAlign w:val="center"/>
            <w:hideMark/>
          </w:tcPr>
          <w:p w14:paraId="065D096B"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punomoći</w:t>
            </w:r>
          </w:p>
        </w:tc>
        <w:tc>
          <w:tcPr>
            <w:tcW w:w="992" w:type="dxa"/>
            <w:shd w:val="clear" w:color="000000" w:fill="99CCFF"/>
            <w:noWrap/>
            <w:textDirection w:val="btLr"/>
            <w:vAlign w:val="center"/>
            <w:hideMark/>
          </w:tcPr>
          <w:p w14:paraId="3A3F0971"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zakonu</w:t>
            </w:r>
          </w:p>
        </w:tc>
        <w:tc>
          <w:tcPr>
            <w:tcW w:w="993" w:type="dxa"/>
            <w:shd w:val="clear" w:color="000000" w:fill="99CCFF"/>
            <w:noWrap/>
            <w:textDirection w:val="btLr"/>
            <w:vAlign w:val="center"/>
            <w:hideMark/>
          </w:tcPr>
          <w:p w14:paraId="1F59F70A"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punomoći</w:t>
            </w:r>
          </w:p>
        </w:tc>
        <w:tc>
          <w:tcPr>
            <w:tcW w:w="793" w:type="dxa"/>
            <w:shd w:val="clear" w:color="000000" w:fill="99CCFF"/>
            <w:noWrap/>
            <w:textDirection w:val="btLr"/>
            <w:vAlign w:val="center"/>
            <w:hideMark/>
          </w:tcPr>
          <w:p w14:paraId="5966FCF1" w14:textId="77777777" w:rsidR="005550BE" w:rsidRPr="001B4CA2" w:rsidRDefault="005550BE" w:rsidP="00A14600">
            <w:pPr>
              <w:jc w:val="center"/>
              <w:rPr>
                <w:rFonts w:eastAsia="Times New Roman" w:cstheme="minorHAnsi"/>
                <w:color w:val="000000"/>
                <w:sz w:val="18"/>
                <w:szCs w:val="18"/>
                <w:lang w:eastAsia="hr-HR"/>
              </w:rPr>
            </w:pPr>
          </w:p>
          <w:p w14:paraId="5F02A03C"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zakonu</w:t>
            </w:r>
          </w:p>
        </w:tc>
        <w:tc>
          <w:tcPr>
            <w:tcW w:w="807" w:type="dxa"/>
            <w:shd w:val="clear" w:color="000000" w:fill="99CCFF"/>
            <w:noWrap/>
            <w:textDirection w:val="btLr"/>
            <w:vAlign w:val="center"/>
            <w:hideMark/>
          </w:tcPr>
          <w:p w14:paraId="02CA1337"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punomoći</w:t>
            </w:r>
          </w:p>
        </w:tc>
        <w:tc>
          <w:tcPr>
            <w:tcW w:w="819" w:type="dxa"/>
            <w:shd w:val="clear" w:color="000000" w:fill="99CCFF"/>
            <w:textDirection w:val="btLr"/>
            <w:vAlign w:val="center"/>
            <w:hideMark/>
          </w:tcPr>
          <w:p w14:paraId="1D4FCA4C"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sveukupno</w:t>
            </w:r>
          </w:p>
        </w:tc>
      </w:tr>
      <w:tr w:rsidR="005550BE" w:rsidRPr="001B4CA2" w14:paraId="7314698F" w14:textId="77777777" w:rsidTr="005550BE">
        <w:trPr>
          <w:trHeight w:val="327"/>
          <w:jc w:val="center"/>
        </w:trPr>
        <w:tc>
          <w:tcPr>
            <w:tcW w:w="1070" w:type="dxa"/>
            <w:shd w:val="clear" w:color="auto" w:fill="auto"/>
            <w:noWrap/>
            <w:vAlign w:val="center"/>
            <w:hideMark/>
          </w:tcPr>
          <w:p w14:paraId="2AA2CB68"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2018.</w:t>
            </w:r>
          </w:p>
        </w:tc>
        <w:tc>
          <w:tcPr>
            <w:tcW w:w="907" w:type="dxa"/>
            <w:shd w:val="clear" w:color="auto" w:fill="auto"/>
            <w:noWrap/>
            <w:vAlign w:val="center"/>
            <w:hideMark/>
          </w:tcPr>
          <w:p w14:paraId="42621FDC" w14:textId="77777777" w:rsidR="005550BE" w:rsidRPr="001B4CA2" w:rsidRDefault="005550BE" w:rsidP="00A14600">
            <w:pPr>
              <w:jc w:val="center"/>
              <w:rPr>
                <w:sz w:val="18"/>
                <w:szCs w:val="18"/>
                <w:lang w:eastAsia="hr-HR"/>
              </w:rPr>
            </w:pPr>
            <w:r w:rsidRPr="001B4CA2">
              <w:rPr>
                <w:sz w:val="18"/>
                <w:szCs w:val="18"/>
                <w:lang w:eastAsia="hr-HR"/>
              </w:rPr>
              <w:t>48.065</w:t>
            </w:r>
          </w:p>
        </w:tc>
        <w:tc>
          <w:tcPr>
            <w:tcW w:w="937" w:type="dxa"/>
            <w:shd w:val="clear" w:color="auto" w:fill="auto"/>
            <w:vAlign w:val="center"/>
            <w:hideMark/>
          </w:tcPr>
          <w:p w14:paraId="496D14E9" w14:textId="77777777" w:rsidR="005550BE" w:rsidRPr="001B4CA2" w:rsidRDefault="005550BE" w:rsidP="00A14600">
            <w:pPr>
              <w:jc w:val="center"/>
              <w:rPr>
                <w:sz w:val="18"/>
                <w:szCs w:val="18"/>
                <w:lang w:eastAsia="hr-HR"/>
              </w:rPr>
            </w:pPr>
            <w:r w:rsidRPr="001B4CA2">
              <w:rPr>
                <w:sz w:val="18"/>
                <w:szCs w:val="18"/>
                <w:lang w:eastAsia="hr-HR"/>
              </w:rPr>
              <w:t>266</w:t>
            </w:r>
          </w:p>
        </w:tc>
        <w:tc>
          <w:tcPr>
            <w:tcW w:w="802" w:type="dxa"/>
            <w:shd w:val="clear" w:color="auto" w:fill="auto"/>
            <w:noWrap/>
            <w:vAlign w:val="center"/>
            <w:hideMark/>
          </w:tcPr>
          <w:p w14:paraId="78C80E40"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3.243 </w:t>
            </w:r>
          </w:p>
        </w:tc>
        <w:tc>
          <w:tcPr>
            <w:tcW w:w="802" w:type="dxa"/>
            <w:shd w:val="clear" w:color="auto" w:fill="auto"/>
            <w:vAlign w:val="center"/>
            <w:hideMark/>
          </w:tcPr>
          <w:p w14:paraId="2DD7A4C3"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 xml:space="preserve"> 4 </w:t>
            </w:r>
          </w:p>
        </w:tc>
        <w:tc>
          <w:tcPr>
            <w:tcW w:w="992" w:type="dxa"/>
            <w:shd w:val="clear" w:color="auto" w:fill="auto"/>
            <w:noWrap/>
            <w:vAlign w:val="center"/>
            <w:hideMark/>
          </w:tcPr>
          <w:p w14:paraId="44D89BE4"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 18.135</w:t>
            </w:r>
          </w:p>
        </w:tc>
        <w:tc>
          <w:tcPr>
            <w:tcW w:w="993" w:type="dxa"/>
            <w:shd w:val="clear" w:color="auto" w:fill="auto"/>
            <w:noWrap/>
            <w:vAlign w:val="center"/>
            <w:hideMark/>
          </w:tcPr>
          <w:p w14:paraId="44E14581"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 2</w:t>
            </w:r>
          </w:p>
        </w:tc>
        <w:tc>
          <w:tcPr>
            <w:tcW w:w="793" w:type="dxa"/>
            <w:shd w:val="clear" w:color="auto" w:fill="auto"/>
            <w:noWrap/>
            <w:vAlign w:val="center"/>
            <w:hideMark/>
          </w:tcPr>
          <w:p w14:paraId="1134513D" w14:textId="77777777" w:rsidR="005550BE" w:rsidRPr="001B4CA2" w:rsidRDefault="005550BE" w:rsidP="00A14600">
            <w:pPr>
              <w:jc w:val="center"/>
              <w:rPr>
                <w:sz w:val="18"/>
                <w:szCs w:val="18"/>
                <w:lang w:eastAsia="hr-HR"/>
              </w:rPr>
            </w:pPr>
            <w:r w:rsidRPr="001B4CA2">
              <w:rPr>
                <w:sz w:val="18"/>
                <w:szCs w:val="18"/>
                <w:lang w:eastAsia="hr-HR"/>
              </w:rPr>
              <w:t>69.443</w:t>
            </w:r>
          </w:p>
        </w:tc>
        <w:tc>
          <w:tcPr>
            <w:tcW w:w="807" w:type="dxa"/>
            <w:shd w:val="clear" w:color="auto" w:fill="auto"/>
            <w:noWrap/>
            <w:vAlign w:val="center"/>
            <w:hideMark/>
          </w:tcPr>
          <w:p w14:paraId="1F1D4FCD" w14:textId="77777777" w:rsidR="005550BE" w:rsidRPr="001B4CA2" w:rsidRDefault="005550BE" w:rsidP="00A14600">
            <w:pPr>
              <w:jc w:val="center"/>
              <w:rPr>
                <w:sz w:val="18"/>
                <w:szCs w:val="18"/>
                <w:lang w:eastAsia="hr-HR"/>
              </w:rPr>
            </w:pPr>
            <w:r w:rsidRPr="001B4CA2">
              <w:rPr>
                <w:sz w:val="18"/>
                <w:szCs w:val="18"/>
                <w:lang w:eastAsia="hr-HR"/>
              </w:rPr>
              <w:t>272</w:t>
            </w:r>
          </w:p>
        </w:tc>
        <w:tc>
          <w:tcPr>
            <w:tcW w:w="819" w:type="dxa"/>
            <w:shd w:val="clear" w:color="auto" w:fill="auto"/>
            <w:vAlign w:val="center"/>
            <w:hideMark/>
          </w:tcPr>
          <w:p w14:paraId="428B3F9E"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69.715 </w:t>
            </w:r>
          </w:p>
        </w:tc>
      </w:tr>
      <w:tr w:rsidR="005550BE" w:rsidRPr="001B4CA2" w14:paraId="4F3826C2" w14:textId="77777777" w:rsidTr="005550BE">
        <w:trPr>
          <w:trHeight w:val="327"/>
          <w:jc w:val="center"/>
        </w:trPr>
        <w:tc>
          <w:tcPr>
            <w:tcW w:w="1070" w:type="dxa"/>
            <w:shd w:val="clear" w:color="auto" w:fill="auto"/>
            <w:noWrap/>
            <w:vAlign w:val="center"/>
            <w:hideMark/>
          </w:tcPr>
          <w:p w14:paraId="712298FE"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2019.</w:t>
            </w:r>
          </w:p>
        </w:tc>
        <w:tc>
          <w:tcPr>
            <w:tcW w:w="907" w:type="dxa"/>
            <w:shd w:val="clear" w:color="auto" w:fill="auto"/>
            <w:noWrap/>
            <w:vAlign w:val="center"/>
            <w:hideMark/>
          </w:tcPr>
          <w:p w14:paraId="575446D4" w14:textId="77777777" w:rsidR="005550BE" w:rsidRPr="001B4CA2" w:rsidRDefault="005550BE" w:rsidP="00A14600">
            <w:pPr>
              <w:jc w:val="center"/>
              <w:rPr>
                <w:sz w:val="18"/>
                <w:szCs w:val="18"/>
                <w:lang w:eastAsia="hr-HR"/>
              </w:rPr>
            </w:pPr>
            <w:r w:rsidRPr="001B4CA2">
              <w:rPr>
                <w:sz w:val="18"/>
                <w:szCs w:val="18"/>
                <w:lang w:eastAsia="hr-HR"/>
              </w:rPr>
              <w:t>53.409</w:t>
            </w:r>
          </w:p>
        </w:tc>
        <w:tc>
          <w:tcPr>
            <w:tcW w:w="937" w:type="dxa"/>
            <w:shd w:val="clear" w:color="auto" w:fill="auto"/>
            <w:vAlign w:val="center"/>
            <w:hideMark/>
          </w:tcPr>
          <w:p w14:paraId="572E04E9" w14:textId="77777777" w:rsidR="005550BE" w:rsidRPr="001B4CA2" w:rsidRDefault="005550BE" w:rsidP="00A14600">
            <w:pPr>
              <w:jc w:val="center"/>
              <w:rPr>
                <w:sz w:val="18"/>
                <w:szCs w:val="18"/>
                <w:lang w:eastAsia="hr-HR"/>
              </w:rPr>
            </w:pPr>
            <w:r w:rsidRPr="001B4CA2">
              <w:rPr>
                <w:sz w:val="18"/>
                <w:szCs w:val="18"/>
                <w:lang w:eastAsia="hr-HR"/>
              </w:rPr>
              <w:t>175</w:t>
            </w:r>
          </w:p>
        </w:tc>
        <w:tc>
          <w:tcPr>
            <w:tcW w:w="802" w:type="dxa"/>
            <w:shd w:val="clear" w:color="auto" w:fill="auto"/>
            <w:noWrap/>
            <w:vAlign w:val="center"/>
            <w:hideMark/>
          </w:tcPr>
          <w:p w14:paraId="1B7F4CF1" w14:textId="77777777" w:rsidR="005550BE" w:rsidRPr="001B4CA2" w:rsidRDefault="005550BE" w:rsidP="00A14600">
            <w:pPr>
              <w:jc w:val="center"/>
              <w:rPr>
                <w:sz w:val="18"/>
                <w:szCs w:val="18"/>
                <w:lang w:eastAsia="hr-HR"/>
              </w:rPr>
            </w:pPr>
            <w:r w:rsidRPr="001B4CA2">
              <w:rPr>
                <w:sz w:val="18"/>
                <w:szCs w:val="18"/>
                <w:lang w:eastAsia="hr-HR"/>
              </w:rPr>
              <w:t>3.736</w:t>
            </w:r>
          </w:p>
        </w:tc>
        <w:tc>
          <w:tcPr>
            <w:tcW w:w="802" w:type="dxa"/>
            <w:shd w:val="clear" w:color="auto" w:fill="auto"/>
            <w:vAlign w:val="center"/>
          </w:tcPr>
          <w:p w14:paraId="7DB77B69" w14:textId="77777777" w:rsidR="005550BE" w:rsidRPr="001B4CA2" w:rsidRDefault="005550BE" w:rsidP="00A14600">
            <w:pPr>
              <w:jc w:val="center"/>
              <w:rPr>
                <w:sz w:val="18"/>
                <w:szCs w:val="18"/>
                <w:lang w:eastAsia="hr-HR"/>
              </w:rPr>
            </w:pPr>
            <w:r w:rsidRPr="001B4CA2">
              <w:rPr>
                <w:sz w:val="18"/>
                <w:szCs w:val="18"/>
                <w:lang w:eastAsia="hr-HR"/>
              </w:rPr>
              <w:t>-</w:t>
            </w:r>
          </w:p>
        </w:tc>
        <w:tc>
          <w:tcPr>
            <w:tcW w:w="992" w:type="dxa"/>
            <w:shd w:val="clear" w:color="auto" w:fill="auto"/>
            <w:noWrap/>
            <w:vAlign w:val="center"/>
            <w:hideMark/>
          </w:tcPr>
          <w:p w14:paraId="03065E63" w14:textId="77777777" w:rsidR="005550BE" w:rsidRPr="001B4CA2" w:rsidRDefault="005550BE" w:rsidP="00A14600">
            <w:pPr>
              <w:jc w:val="center"/>
              <w:rPr>
                <w:sz w:val="18"/>
                <w:szCs w:val="18"/>
                <w:lang w:eastAsia="hr-HR"/>
              </w:rPr>
            </w:pPr>
            <w:r w:rsidRPr="001B4CA2">
              <w:rPr>
                <w:sz w:val="18"/>
                <w:szCs w:val="18"/>
                <w:lang w:eastAsia="hr-HR"/>
              </w:rPr>
              <w:t>18.227</w:t>
            </w:r>
          </w:p>
        </w:tc>
        <w:tc>
          <w:tcPr>
            <w:tcW w:w="993" w:type="dxa"/>
            <w:shd w:val="clear" w:color="auto" w:fill="auto"/>
            <w:noWrap/>
            <w:vAlign w:val="center"/>
            <w:hideMark/>
          </w:tcPr>
          <w:p w14:paraId="265FBD87" w14:textId="77777777" w:rsidR="005550BE" w:rsidRPr="001B4CA2" w:rsidRDefault="005550BE" w:rsidP="00A14600">
            <w:pPr>
              <w:jc w:val="center"/>
              <w:rPr>
                <w:sz w:val="18"/>
                <w:szCs w:val="18"/>
                <w:lang w:eastAsia="hr-HR"/>
              </w:rPr>
            </w:pPr>
            <w:r w:rsidRPr="001B4CA2">
              <w:rPr>
                <w:sz w:val="18"/>
                <w:szCs w:val="18"/>
                <w:lang w:eastAsia="hr-HR"/>
              </w:rPr>
              <w:t>5</w:t>
            </w:r>
          </w:p>
        </w:tc>
        <w:tc>
          <w:tcPr>
            <w:tcW w:w="793" w:type="dxa"/>
            <w:shd w:val="clear" w:color="auto" w:fill="auto"/>
            <w:noWrap/>
            <w:vAlign w:val="center"/>
            <w:hideMark/>
          </w:tcPr>
          <w:p w14:paraId="41F6BB69" w14:textId="77777777" w:rsidR="005550BE" w:rsidRPr="001B4CA2" w:rsidRDefault="005550BE" w:rsidP="00A14600">
            <w:pPr>
              <w:jc w:val="center"/>
              <w:rPr>
                <w:sz w:val="18"/>
                <w:szCs w:val="18"/>
                <w:lang w:eastAsia="hr-HR"/>
              </w:rPr>
            </w:pPr>
            <w:r w:rsidRPr="001B4CA2">
              <w:rPr>
                <w:sz w:val="18"/>
                <w:szCs w:val="18"/>
                <w:lang w:eastAsia="hr-HR"/>
              </w:rPr>
              <w:t>75.372</w:t>
            </w:r>
          </w:p>
        </w:tc>
        <w:tc>
          <w:tcPr>
            <w:tcW w:w="807" w:type="dxa"/>
            <w:shd w:val="clear" w:color="auto" w:fill="auto"/>
            <w:noWrap/>
            <w:vAlign w:val="center"/>
            <w:hideMark/>
          </w:tcPr>
          <w:p w14:paraId="3180940C" w14:textId="77777777" w:rsidR="005550BE" w:rsidRPr="001B4CA2" w:rsidRDefault="005550BE" w:rsidP="00A14600">
            <w:pPr>
              <w:jc w:val="center"/>
              <w:rPr>
                <w:sz w:val="18"/>
                <w:szCs w:val="18"/>
                <w:lang w:eastAsia="hr-HR"/>
              </w:rPr>
            </w:pPr>
            <w:r w:rsidRPr="001B4CA2">
              <w:rPr>
                <w:sz w:val="18"/>
                <w:szCs w:val="18"/>
                <w:lang w:eastAsia="hr-HR"/>
              </w:rPr>
              <w:t>180</w:t>
            </w:r>
          </w:p>
        </w:tc>
        <w:tc>
          <w:tcPr>
            <w:tcW w:w="819" w:type="dxa"/>
            <w:shd w:val="clear" w:color="auto" w:fill="auto"/>
            <w:vAlign w:val="center"/>
            <w:hideMark/>
          </w:tcPr>
          <w:p w14:paraId="2CBC4F3A"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75.552 </w:t>
            </w:r>
          </w:p>
        </w:tc>
      </w:tr>
      <w:tr w:rsidR="005550BE" w:rsidRPr="001B4CA2" w14:paraId="2E531CB7" w14:textId="77777777" w:rsidTr="005550BE">
        <w:trPr>
          <w:trHeight w:val="327"/>
          <w:jc w:val="center"/>
        </w:trPr>
        <w:tc>
          <w:tcPr>
            <w:tcW w:w="1070" w:type="dxa"/>
            <w:shd w:val="clear" w:color="auto" w:fill="auto"/>
            <w:noWrap/>
            <w:vAlign w:val="center"/>
            <w:hideMark/>
          </w:tcPr>
          <w:p w14:paraId="3833AD47"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2020.</w:t>
            </w:r>
          </w:p>
        </w:tc>
        <w:tc>
          <w:tcPr>
            <w:tcW w:w="907" w:type="dxa"/>
            <w:shd w:val="clear" w:color="auto" w:fill="auto"/>
            <w:noWrap/>
            <w:vAlign w:val="center"/>
            <w:hideMark/>
          </w:tcPr>
          <w:p w14:paraId="318B5D9A" w14:textId="77777777" w:rsidR="005550BE" w:rsidRPr="001B4CA2" w:rsidRDefault="005550BE" w:rsidP="00A14600">
            <w:pPr>
              <w:jc w:val="center"/>
              <w:rPr>
                <w:bCs/>
                <w:sz w:val="18"/>
                <w:szCs w:val="18"/>
              </w:rPr>
            </w:pPr>
            <w:r w:rsidRPr="001B4CA2">
              <w:rPr>
                <w:bCs/>
                <w:sz w:val="18"/>
                <w:szCs w:val="18"/>
              </w:rPr>
              <w:t>54.129</w:t>
            </w:r>
          </w:p>
        </w:tc>
        <w:tc>
          <w:tcPr>
            <w:tcW w:w="937" w:type="dxa"/>
            <w:shd w:val="clear" w:color="auto" w:fill="auto"/>
            <w:vAlign w:val="center"/>
            <w:hideMark/>
          </w:tcPr>
          <w:p w14:paraId="4A92AA7F" w14:textId="77777777" w:rsidR="005550BE" w:rsidRPr="001B4CA2" w:rsidRDefault="005550BE" w:rsidP="00A14600">
            <w:pPr>
              <w:jc w:val="center"/>
              <w:rPr>
                <w:bCs/>
                <w:sz w:val="18"/>
                <w:szCs w:val="18"/>
              </w:rPr>
            </w:pPr>
            <w:r w:rsidRPr="001B4CA2">
              <w:rPr>
                <w:bCs/>
                <w:sz w:val="18"/>
                <w:szCs w:val="18"/>
              </w:rPr>
              <w:t>209</w:t>
            </w:r>
          </w:p>
        </w:tc>
        <w:tc>
          <w:tcPr>
            <w:tcW w:w="802" w:type="dxa"/>
            <w:shd w:val="clear" w:color="auto" w:fill="auto"/>
            <w:noWrap/>
            <w:vAlign w:val="center"/>
            <w:hideMark/>
          </w:tcPr>
          <w:p w14:paraId="77A3A3E6" w14:textId="77777777" w:rsidR="005550BE" w:rsidRPr="001B4CA2" w:rsidRDefault="005550BE" w:rsidP="00A14600">
            <w:pPr>
              <w:jc w:val="center"/>
              <w:rPr>
                <w:bCs/>
                <w:sz w:val="18"/>
                <w:szCs w:val="18"/>
              </w:rPr>
            </w:pPr>
            <w:r w:rsidRPr="001B4CA2">
              <w:rPr>
                <w:bCs/>
                <w:sz w:val="18"/>
                <w:szCs w:val="18"/>
              </w:rPr>
              <w:t>3.516</w:t>
            </w:r>
          </w:p>
        </w:tc>
        <w:tc>
          <w:tcPr>
            <w:tcW w:w="802" w:type="dxa"/>
            <w:shd w:val="clear" w:color="auto" w:fill="auto"/>
            <w:vAlign w:val="center"/>
          </w:tcPr>
          <w:p w14:paraId="5BD39F9F" w14:textId="77777777" w:rsidR="005550BE" w:rsidRPr="001B4CA2" w:rsidRDefault="005550BE" w:rsidP="00A14600">
            <w:pPr>
              <w:jc w:val="center"/>
              <w:rPr>
                <w:bCs/>
                <w:sz w:val="18"/>
                <w:szCs w:val="18"/>
              </w:rPr>
            </w:pPr>
            <w:r w:rsidRPr="001B4CA2">
              <w:rPr>
                <w:bCs/>
                <w:sz w:val="18"/>
                <w:szCs w:val="18"/>
              </w:rPr>
              <w:t>-</w:t>
            </w:r>
          </w:p>
        </w:tc>
        <w:tc>
          <w:tcPr>
            <w:tcW w:w="992" w:type="dxa"/>
            <w:shd w:val="clear" w:color="auto" w:fill="auto"/>
            <w:noWrap/>
            <w:vAlign w:val="center"/>
            <w:hideMark/>
          </w:tcPr>
          <w:p w14:paraId="609F7458"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18.755 </w:t>
            </w:r>
          </w:p>
        </w:tc>
        <w:tc>
          <w:tcPr>
            <w:tcW w:w="993" w:type="dxa"/>
            <w:shd w:val="clear" w:color="auto" w:fill="auto"/>
            <w:noWrap/>
            <w:vAlign w:val="center"/>
          </w:tcPr>
          <w:p w14:paraId="603F4F26"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w:t>
            </w:r>
          </w:p>
        </w:tc>
        <w:tc>
          <w:tcPr>
            <w:tcW w:w="793" w:type="dxa"/>
            <w:shd w:val="clear" w:color="auto" w:fill="auto"/>
            <w:noWrap/>
            <w:vAlign w:val="center"/>
            <w:hideMark/>
          </w:tcPr>
          <w:p w14:paraId="77CC5651" w14:textId="77777777" w:rsidR="005550BE" w:rsidRPr="001B4CA2" w:rsidRDefault="005550BE" w:rsidP="00A14600">
            <w:pPr>
              <w:jc w:val="center"/>
              <w:rPr>
                <w:bCs/>
                <w:sz w:val="18"/>
                <w:szCs w:val="18"/>
              </w:rPr>
            </w:pPr>
            <w:r w:rsidRPr="001B4CA2">
              <w:rPr>
                <w:bCs/>
                <w:sz w:val="18"/>
                <w:szCs w:val="18"/>
              </w:rPr>
              <w:t>76.400</w:t>
            </w:r>
          </w:p>
        </w:tc>
        <w:tc>
          <w:tcPr>
            <w:tcW w:w="807" w:type="dxa"/>
            <w:shd w:val="clear" w:color="auto" w:fill="auto"/>
            <w:noWrap/>
            <w:vAlign w:val="center"/>
            <w:hideMark/>
          </w:tcPr>
          <w:p w14:paraId="751868BE" w14:textId="77777777" w:rsidR="005550BE" w:rsidRPr="001B4CA2" w:rsidRDefault="005550BE" w:rsidP="00A14600">
            <w:pPr>
              <w:jc w:val="center"/>
              <w:rPr>
                <w:bCs/>
                <w:sz w:val="18"/>
                <w:szCs w:val="18"/>
              </w:rPr>
            </w:pPr>
            <w:r w:rsidRPr="001B4CA2">
              <w:rPr>
                <w:bCs/>
                <w:sz w:val="18"/>
                <w:szCs w:val="18"/>
              </w:rPr>
              <w:t>209</w:t>
            </w:r>
          </w:p>
        </w:tc>
        <w:tc>
          <w:tcPr>
            <w:tcW w:w="819" w:type="dxa"/>
            <w:shd w:val="clear" w:color="auto" w:fill="auto"/>
            <w:vAlign w:val="center"/>
            <w:hideMark/>
          </w:tcPr>
          <w:p w14:paraId="44774306"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 76.609</w:t>
            </w:r>
          </w:p>
        </w:tc>
      </w:tr>
      <w:tr w:rsidR="005550BE" w:rsidRPr="001B4CA2" w14:paraId="3C037130" w14:textId="77777777" w:rsidTr="005550BE">
        <w:trPr>
          <w:trHeight w:val="327"/>
          <w:jc w:val="center"/>
        </w:trPr>
        <w:tc>
          <w:tcPr>
            <w:tcW w:w="1070" w:type="dxa"/>
            <w:shd w:val="clear" w:color="auto" w:fill="auto"/>
            <w:noWrap/>
            <w:vAlign w:val="center"/>
          </w:tcPr>
          <w:p w14:paraId="458162A9"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2021.</w:t>
            </w:r>
          </w:p>
        </w:tc>
        <w:tc>
          <w:tcPr>
            <w:tcW w:w="907" w:type="dxa"/>
            <w:shd w:val="clear" w:color="auto" w:fill="auto"/>
            <w:noWrap/>
            <w:vAlign w:val="center"/>
          </w:tcPr>
          <w:p w14:paraId="0FB2C07E" w14:textId="77777777" w:rsidR="005550BE" w:rsidRPr="001B4CA2" w:rsidRDefault="005550BE" w:rsidP="00A14600">
            <w:pPr>
              <w:jc w:val="center"/>
              <w:rPr>
                <w:bCs/>
                <w:sz w:val="18"/>
                <w:szCs w:val="18"/>
              </w:rPr>
            </w:pPr>
            <w:r w:rsidRPr="001B4CA2">
              <w:rPr>
                <w:bCs/>
                <w:sz w:val="18"/>
                <w:szCs w:val="18"/>
              </w:rPr>
              <w:t>60.410</w:t>
            </w:r>
          </w:p>
        </w:tc>
        <w:tc>
          <w:tcPr>
            <w:tcW w:w="937" w:type="dxa"/>
            <w:shd w:val="clear" w:color="auto" w:fill="auto"/>
            <w:vAlign w:val="center"/>
          </w:tcPr>
          <w:p w14:paraId="578F661B" w14:textId="77777777" w:rsidR="005550BE" w:rsidRPr="001B4CA2" w:rsidRDefault="005550BE" w:rsidP="00A14600">
            <w:pPr>
              <w:jc w:val="center"/>
              <w:rPr>
                <w:bCs/>
                <w:sz w:val="18"/>
                <w:szCs w:val="18"/>
              </w:rPr>
            </w:pPr>
            <w:r w:rsidRPr="001B4CA2">
              <w:rPr>
                <w:bCs/>
                <w:sz w:val="18"/>
                <w:szCs w:val="18"/>
              </w:rPr>
              <w:t>1.200</w:t>
            </w:r>
          </w:p>
        </w:tc>
        <w:tc>
          <w:tcPr>
            <w:tcW w:w="802" w:type="dxa"/>
            <w:shd w:val="clear" w:color="auto" w:fill="auto"/>
            <w:noWrap/>
            <w:vAlign w:val="center"/>
          </w:tcPr>
          <w:p w14:paraId="334D0CD3" w14:textId="77777777" w:rsidR="005550BE" w:rsidRPr="001B4CA2" w:rsidRDefault="005550BE" w:rsidP="00A14600">
            <w:pPr>
              <w:jc w:val="center"/>
              <w:rPr>
                <w:bCs/>
                <w:sz w:val="18"/>
                <w:szCs w:val="18"/>
              </w:rPr>
            </w:pPr>
            <w:r w:rsidRPr="001B4CA2">
              <w:rPr>
                <w:bCs/>
                <w:sz w:val="18"/>
                <w:szCs w:val="18"/>
              </w:rPr>
              <w:t>3.807</w:t>
            </w:r>
          </w:p>
        </w:tc>
        <w:tc>
          <w:tcPr>
            <w:tcW w:w="802" w:type="dxa"/>
            <w:shd w:val="clear" w:color="auto" w:fill="auto"/>
            <w:vAlign w:val="center"/>
          </w:tcPr>
          <w:p w14:paraId="2DF1CD86" w14:textId="77777777" w:rsidR="005550BE" w:rsidRPr="001B4CA2" w:rsidRDefault="005550BE" w:rsidP="00A14600">
            <w:pPr>
              <w:jc w:val="center"/>
              <w:rPr>
                <w:bCs/>
                <w:sz w:val="18"/>
                <w:szCs w:val="18"/>
              </w:rPr>
            </w:pPr>
            <w:r w:rsidRPr="001B4CA2">
              <w:rPr>
                <w:bCs/>
                <w:sz w:val="18"/>
                <w:szCs w:val="18"/>
              </w:rPr>
              <w:t>1</w:t>
            </w:r>
          </w:p>
        </w:tc>
        <w:tc>
          <w:tcPr>
            <w:tcW w:w="992" w:type="dxa"/>
            <w:shd w:val="clear" w:color="auto" w:fill="auto"/>
            <w:noWrap/>
            <w:vAlign w:val="center"/>
          </w:tcPr>
          <w:p w14:paraId="30666379" w14:textId="77777777" w:rsidR="005550BE" w:rsidRPr="001B4CA2" w:rsidRDefault="005550BE" w:rsidP="00A14600">
            <w:pPr>
              <w:jc w:val="center"/>
              <w:rPr>
                <w:bCs/>
                <w:sz w:val="18"/>
                <w:szCs w:val="18"/>
              </w:rPr>
            </w:pPr>
            <w:r w:rsidRPr="001B4CA2">
              <w:rPr>
                <w:bCs/>
                <w:sz w:val="18"/>
                <w:szCs w:val="18"/>
              </w:rPr>
              <w:t>26.811</w:t>
            </w:r>
          </w:p>
        </w:tc>
        <w:tc>
          <w:tcPr>
            <w:tcW w:w="993" w:type="dxa"/>
            <w:shd w:val="clear" w:color="auto" w:fill="auto"/>
            <w:noWrap/>
            <w:vAlign w:val="center"/>
          </w:tcPr>
          <w:p w14:paraId="6302F1F8" w14:textId="77777777" w:rsidR="005550BE" w:rsidRPr="001B4CA2" w:rsidRDefault="005550BE" w:rsidP="00A14600">
            <w:pPr>
              <w:jc w:val="center"/>
              <w:rPr>
                <w:bCs/>
                <w:sz w:val="18"/>
                <w:szCs w:val="18"/>
              </w:rPr>
            </w:pPr>
            <w:r w:rsidRPr="001B4CA2">
              <w:rPr>
                <w:bCs/>
                <w:sz w:val="18"/>
                <w:szCs w:val="18"/>
              </w:rPr>
              <w:t>-</w:t>
            </w:r>
          </w:p>
        </w:tc>
        <w:tc>
          <w:tcPr>
            <w:tcW w:w="793" w:type="dxa"/>
            <w:shd w:val="clear" w:color="auto" w:fill="auto"/>
            <w:noWrap/>
            <w:vAlign w:val="center"/>
          </w:tcPr>
          <w:p w14:paraId="0309AF35" w14:textId="77777777" w:rsidR="005550BE" w:rsidRPr="001B4CA2" w:rsidRDefault="005550BE" w:rsidP="00A14600">
            <w:pPr>
              <w:jc w:val="center"/>
              <w:rPr>
                <w:bCs/>
                <w:sz w:val="18"/>
                <w:szCs w:val="18"/>
              </w:rPr>
            </w:pPr>
            <w:r w:rsidRPr="001B4CA2">
              <w:rPr>
                <w:bCs/>
                <w:sz w:val="18"/>
                <w:szCs w:val="18"/>
              </w:rPr>
              <w:t>91.028</w:t>
            </w:r>
          </w:p>
        </w:tc>
        <w:tc>
          <w:tcPr>
            <w:tcW w:w="807" w:type="dxa"/>
            <w:shd w:val="clear" w:color="auto" w:fill="auto"/>
            <w:noWrap/>
            <w:vAlign w:val="center"/>
          </w:tcPr>
          <w:p w14:paraId="25933E40" w14:textId="77777777" w:rsidR="005550BE" w:rsidRPr="001B4CA2" w:rsidRDefault="005550BE" w:rsidP="00A14600">
            <w:pPr>
              <w:jc w:val="center"/>
              <w:rPr>
                <w:bCs/>
                <w:sz w:val="18"/>
                <w:szCs w:val="18"/>
              </w:rPr>
            </w:pPr>
            <w:r w:rsidRPr="001B4CA2">
              <w:rPr>
                <w:bCs/>
                <w:sz w:val="18"/>
                <w:szCs w:val="18"/>
              </w:rPr>
              <w:t>1.201</w:t>
            </w:r>
          </w:p>
        </w:tc>
        <w:tc>
          <w:tcPr>
            <w:tcW w:w="819" w:type="dxa"/>
            <w:shd w:val="clear" w:color="auto" w:fill="auto"/>
            <w:vAlign w:val="center"/>
          </w:tcPr>
          <w:p w14:paraId="1CC7E75C" w14:textId="77777777" w:rsidR="005550BE" w:rsidRPr="001B4CA2" w:rsidRDefault="005550BE" w:rsidP="00A14600">
            <w:pPr>
              <w:jc w:val="center"/>
              <w:rPr>
                <w:bCs/>
                <w:sz w:val="18"/>
                <w:szCs w:val="18"/>
              </w:rPr>
            </w:pPr>
            <w:r w:rsidRPr="001B4CA2">
              <w:rPr>
                <w:bCs/>
                <w:sz w:val="18"/>
                <w:szCs w:val="18"/>
              </w:rPr>
              <w:t>92.229</w:t>
            </w:r>
          </w:p>
        </w:tc>
      </w:tr>
      <w:tr w:rsidR="005550BE" w:rsidRPr="001B4CA2" w14:paraId="159A5541" w14:textId="77777777" w:rsidTr="005550BE">
        <w:trPr>
          <w:trHeight w:val="327"/>
          <w:jc w:val="center"/>
        </w:trPr>
        <w:tc>
          <w:tcPr>
            <w:tcW w:w="1070" w:type="dxa"/>
            <w:shd w:val="clear" w:color="auto" w:fill="auto"/>
            <w:noWrap/>
            <w:vAlign w:val="center"/>
          </w:tcPr>
          <w:p w14:paraId="6B1A2430" w14:textId="77777777" w:rsidR="005550BE" w:rsidRPr="001B4CA2" w:rsidRDefault="005550BE" w:rsidP="00A14600">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2022.</w:t>
            </w:r>
          </w:p>
        </w:tc>
        <w:tc>
          <w:tcPr>
            <w:tcW w:w="907" w:type="dxa"/>
            <w:shd w:val="clear" w:color="auto" w:fill="auto"/>
            <w:noWrap/>
            <w:vAlign w:val="center"/>
          </w:tcPr>
          <w:p w14:paraId="64EB38E6" w14:textId="77777777" w:rsidR="005550BE" w:rsidRPr="001B4CA2" w:rsidRDefault="005550BE" w:rsidP="00A14600">
            <w:pPr>
              <w:jc w:val="center"/>
              <w:rPr>
                <w:bCs/>
                <w:sz w:val="18"/>
                <w:szCs w:val="18"/>
              </w:rPr>
            </w:pPr>
            <w:r w:rsidRPr="001B4CA2">
              <w:rPr>
                <w:bCs/>
                <w:sz w:val="18"/>
                <w:szCs w:val="18"/>
              </w:rPr>
              <w:t>55.001</w:t>
            </w:r>
          </w:p>
        </w:tc>
        <w:tc>
          <w:tcPr>
            <w:tcW w:w="937" w:type="dxa"/>
            <w:shd w:val="clear" w:color="auto" w:fill="auto"/>
            <w:vAlign w:val="center"/>
          </w:tcPr>
          <w:p w14:paraId="2EF2CC50" w14:textId="77777777" w:rsidR="005550BE" w:rsidRPr="001B4CA2" w:rsidRDefault="005550BE" w:rsidP="00A14600">
            <w:pPr>
              <w:jc w:val="center"/>
              <w:rPr>
                <w:bCs/>
                <w:sz w:val="18"/>
                <w:szCs w:val="18"/>
              </w:rPr>
            </w:pPr>
            <w:r w:rsidRPr="001B4CA2">
              <w:rPr>
                <w:bCs/>
                <w:sz w:val="18"/>
                <w:szCs w:val="18"/>
              </w:rPr>
              <w:t>295</w:t>
            </w:r>
          </w:p>
        </w:tc>
        <w:tc>
          <w:tcPr>
            <w:tcW w:w="802" w:type="dxa"/>
            <w:shd w:val="clear" w:color="auto" w:fill="auto"/>
            <w:noWrap/>
            <w:vAlign w:val="center"/>
          </w:tcPr>
          <w:p w14:paraId="3394DD19" w14:textId="77777777" w:rsidR="005550BE" w:rsidRPr="001B4CA2" w:rsidRDefault="005550BE" w:rsidP="00A14600">
            <w:pPr>
              <w:jc w:val="center"/>
              <w:rPr>
                <w:bCs/>
                <w:sz w:val="18"/>
                <w:szCs w:val="18"/>
              </w:rPr>
            </w:pPr>
            <w:r w:rsidRPr="001B4CA2">
              <w:rPr>
                <w:bCs/>
                <w:sz w:val="18"/>
                <w:szCs w:val="18"/>
              </w:rPr>
              <w:t>3.273</w:t>
            </w:r>
          </w:p>
        </w:tc>
        <w:tc>
          <w:tcPr>
            <w:tcW w:w="802" w:type="dxa"/>
            <w:shd w:val="clear" w:color="auto" w:fill="auto"/>
            <w:vAlign w:val="center"/>
          </w:tcPr>
          <w:p w14:paraId="70F2DF39" w14:textId="77777777" w:rsidR="005550BE" w:rsidRPr="001B4CA2" w:rsidRDefault="005550BE" w:rsidP="00A14600">
            <w:pPr>
              <w:jc w:val="center"/>
              <w:rPr>
                <w:bCs/>
                <w:sz w:val="18"/>
                <w:szCs w:val="18"/>
              </w:rPr>
            </w:pPr>
            <w:r w:rsidRPr="001B4CA2">
              <w:rPr>
                <w:bCs/>
                <w:sz w:val="18"/>
                <w:szCs w:val="18"/>
              </w:rPr>
              <w:t>-</w:t>
            </w:r>
          </w:p>
        </w:tc>
        <w:tc>
          <w:tcPr>
            <w:tcW w:w="992" w:type="dxa"/>
            <w:shd w:val="clear" w:color="auto" w:fill="auto"/>
            <w:noWrap/>
            <w:vAlign w:val="center"/>
          </w:tcPr>
          <w:p w14:paraId="306A7110" w14:textId="77777777" w:rsidR="005550BE" w:rsidRPr="001B4CA2" w:rsidRDefault="005550BE" w:rsidP="00A14600">
            <w:pPr>
              <w:jc w:val="center"/>
              <w:rPr>
                <w:bCs/>
                <w:sz w:val="18"/>
                <w:szCs w:val="18"/>
              </w:rPr>
            </w:pPr>
            <w:r w:rsidRPr="001B4CA2">
              <w:rPr>
                <w:bCs/>
                <w:sz w:val="18"/>
                <w:szCs w:val="18"/>
              </w:rPr>
              <w:t>17.035</w:t>
            </w:r>
          </w:p>
        </w:tc>
        <w:tc>
          <w:tcPr>
            <w:tcW w:w="993" w:type="dxa"/>
            <w:shd w:val="clear" w:color="auto" w:fill="auto"/>
            <w:noWrap/>
            <w:vAlign w:val="center"/>
          </w:tcPr>
          <w:p w14:paraId="7E804741" w14:textId="77777777" w:rsidR="005550BE" w:rsidRPr="001B4CA2" w:rsidRDefault="005550BE" w:rsidP="00A14600">
            <w:pPr>
              <w:jc w:val="center"/>
              <w:rPr>
                <w:bCs/>
                <w:sz w:val="18"/>
                <w:szCs w:val="18"/>
              </w:rPr>
            </w:pPr>
            <w:r w:rsidRPr="001B4CA2">
              <w:rPr>
                <w:bCs/>
                <w:sz w:val="18"/>
                <w:szCs w:val="18"/>
              </w:rPr>
              <w:t>-</w:t>
            </w:r>
          </w:p>
        </w:tc>
        <w:tc>
          <w:tcPr>
            <w:tcW w:w="793" w:type="dxa"/>
            <w:shd w:val="clear" w:color="auto" w:fill="auto"/>
            <w:noWrap/>
            <w:vAlign w:val="center"/>
          </w:tcPr>
          <w:p w14:paraId="1A3A7DA7" w14:textId="77777777" w:rsidR="005550BE" w:rsidRPr="001B4CA2" w:rsidRDefault="005550BE" w:rsidP="00A14600">
            <w:pPr>
              <w:jc w:val="center"/>
              <w:rPr>
                <w:bCs/>
                <w:sz w:val="18"/>
                <w:szCs w:val="18"/>
              </w:rPr>
            </w:pPr>
            <w:r w:rsidRPr="001B4CA2">
              <w:rPr>
                <w:bCs/>
                <w:sz w:val="18"/>
                <w:szCs w:val="18"/>
              </w:rPr>
              <w:t>75.309</w:t>
            </w:r>
          </w:p>
        </w:tc>
        <w:tc>
          <w:tcPr>
            <w:tcW w:w="807" w:type="dxa"/>
            <w:shd w:val="clear" w:color="auto" w:fill="auto"/>
            <w:noWrap/>
            <w:vAlign w:val="center"/>
          </w:tcPr>
          <w:p w14:paraId="50F33F04" w14:textId="77777777" w:rsidR="005550BE" w:rsidRPr="001B4CA2" w:rsidRDefault="005550BE" w:rsidP="00A14600">
            <w:pPr>
              <w:jc w:val="center"/>
              <w:rPr>
                <w:bCs/>
                <w:sz w:val="18"/>
                <w:szCs w:val="18"/>
              </w:rPr>
            </w:pPr>
            <w:r w:rsidRPr="001B4CA2">
              <w:rPr>
                <w:bCs/>
                <w:sz w:val="18"/>
                <w:szCs w:val="18"/>
              </w:rPr>
              <w:t>295</w:t>
            </w:r>
          </w:p>
        </w:tc>
        <w:tc>
          <w:tcPr>
            <w:tcW w:w="819" w:type="dxa"/>
            <w:shd w:val="clear" w:color="auto" w:fill="auto"/>
            <w:vAlign w:val="center"/>
          </w:tcPr>
          <w:p w14:paraId="1EC56402" w14:textId="77777777" w:rsidR="005550BE" w:rsidRPr="001B4CA2" w:rsidRDefault="005550BE" w:rsidP="00A14600">
            <w:pPr>
              <w:jc w:val="center"/>
              <w:rPr>
                <w:bCs/>
                <w:sz w:val="18"/>
                <w:szCs w:val="18"/>
              </w:rPr>
            </w:pPr>
            <w:r w:rsidRPr="001B4CA2">
              <w:rPr>
                <w:bCs/>
                <w:sz w:val="18"/>
                <w:szCs w:val="18"/>
              </w:rPr>
              <w:t>75.604</w:t>
            </w:r>
          </w:p>
        </w:tc>
      </w:tr>
    </w:tbl>
    <w:p w14:paraId="1AD0D82D" w14:textId="77777777" w:rsidR="005550BE" w:rsidRPr="001B4CA2" w:rsidRDefault="005550BE" w:rsidP="005550BE">
      <w:pPr>
        <w:ind w:left="426" w:hanging="284"/>
        <w:contextualSpacing/>
        <w:jc w:val="left"/>
        <w:rPr>
          <w:i/>
        </w:rPr>
      </w:pPr>
    </w:p>
    <w:p w14:paraId="3E18F072" w14:textId="23C0B7D6" w:rsidR="00965363" w:rsidRPr="001B4CA2" w:rsidRDefault="005550BE" w:rsidP="00965363">
      <w:r w:rsidRPr="001B4CA2">
        <w:tab/>
      </w:r>
      <w:r w:rsidR="00965363" w:rsidRPr="001B4CA2">
        <w:t>Iz prikazanih podataka o strukturi i kretanju predmeta u odnosu na vrstu zastupanja proizlazi da se u 99,60</w:t>
      </w:r>
      <w:r w:rsidR="00CE7EF2">
        <w:t> </w:t>
      </w:r>
      <w:r w:rsidR="00965363" w:rsidRPr="001B4CA2">
        <w:t>% sudskih i upravnih predmeta obavlja zastupanje na temelju zakona, dok se zastupanje po punomoći odnosi samo na 0,40</w:t>
      </w:r>
      <w:r w:rsidR="00CE7EF2">
        <w:t> </w:t>
      </w:r>
      <w:r w:rsidR="00965363" w:rsidRPr="001B4CA2">
        <w:t>% predmeta.</w:t>
      </w:r>
    </w:p>
    <w:p w14:paraId="5DCD288B" w14:textId="77777777" w:rsidR="00965363" w:rsidRPr="001B4CA2" w:rsidRDefault="00965363" w:rsidP="00965363"/>
    <w:p w14:paraId="22994240" w14:textId="77777777" w:rsidR="00965363" w:rsidRPr="001B4CA2" w:rsidRDefault="00965363" w:rsidP="00965363">
      <w:r w:rsidRPr="001B4CA2">
        <w:tab/>
        <w:t xml:space="preserve">Najveći broj zastupanja na temelju punomoći odnosio se na upravne sporove u kojima su tuženici ministarstva i druga javnopravna tijela. Interesi i zahtjevi javnopravnih tijela da ih se zastupa po punomoći u parničnim predmetima i upravnim </w:t>
      </w:r>
      <w:r w:rsidRPr="001B4CA2">
        <w:lastRenderedPageBreak/>
        <w:t>sporovima i dalje znatno premašuju kadrovske mogućnosti županijskih državnih odvjetništva.</w:t>
      </w:r>
    </w:p>
    <w:p w14:paraId="1676037D" w14:textId="6C8F5E59" w:rsidR="005550BE" w:rsidRPr="001B4CA2" w:rsidRDefault="005550BE" w:rsidP="00965363"/>
    <w:p w14:paraId="224E2A4D" w14:textId="132AFC41" w:rsidR="005550BE" w:rsidRPr="001B4CA2" w:rsidRDefault="00BA7382" w:rsidP="005550BE">
      <w:pPr>
        <w:ind w:left="284"/>
        <w:rPr>
          <w:i/>
        </w:rPr>
      </w:pPr>
      <w:r>
        <w:rPr>
          <w:i/>
        </w:rPr>
        <w:t xml:space="preserve">   </w:t>
      </w:r>
      <w:r w:rsidR="005550BE" w:rsidRPr="001B4CA2">
        <w:rPr>
          <w:i/>
        </w:rPr>
        <w:t xml:space="preserve"> c) Kretanje i struktura zahtjeva u novim sudskim predmetima, 2018. – 2022.</w:t>
      </w:r>
    </w:p>
    <w:tbl>
      <w:tblPr>
        <w:tblW w:w="44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1012"/>
        <w:gridCol w:w="855"/>
        <w:gridCol w:w="1170"/>
        <w:gridCol w:w="1098"/>
        <w:gridCol w:w="927"/>
        <w:gridCol w:w="1012"/>
        <w:gridCol w:w="1013"/>
      </w:tblGrid>
      <w:tr w:rsidR="005550BE" w:rsidRPr="001B4CA2" w14:paraId="38276BE9" w14:textId="77777777" w:rsidTr="00C9757D">
        <w:trPr>
          <w:trHeight w:val="567"/>
          <w:jc w:val="center"/>
        </w:trPr>
        <w:tc>
          <w:tcPr>
            <w:tcW w:w="664" w:type="pct"/>
            <w:shd w:val="clear" w:color="auto" w:fill="99CCFF"/>
            <w:noWrap/>
            <w:vAlign w:val="center"/>
            <w:hideMark/>
          </w:tcPr>
          <w:p w14:paraId="2BB980B9" w14:textId="77777777" w:rsidR="005550BE" w:rsidRPr="001B4CA2" w:rsidRDefault="005550BE" w:rsidP="00A14600">
            <w:pPr>
              <w:rPr>
                <w:rFonts w:cstheme="minorHAnsi"/>
                <w:b/>
                <w:sz w:val="18"/>
                <w:szCs w:val="18"/>
                <w:lang w:eastAsia="hr-HR"/>
              </w:rPr>
            </w:pPr>
            <w:r w:rsidRPr="001B4CA2">
              <w:rPr>
                <w:rFonts w:cstheme="minorHAnsi"/>
                <w:b/>
                <w:sz w:val="18"/>
                <w:szCs w:val="18"/>
                <w:lang w:eastAsia="hr-HR"/>
              </w:rPr>
              <w:t>Sudski predmeti</w:t>
            </w:r>
          </w:p>
        </w:tc>
        <w:tc>
          <w:tcPr>
            <w:tcW w:w="619" w:type="pct"/>
            <w:shd w:val="clear" w:color="auto" w:fill="99CCFF"/>
            <w:noWrap/>
            <w:vAlign w:val="center"/>
          </w:tcPr>
          <w:p w14:paraId="068C0E41" w14:textId="77777777" w:rsidR="005550BE" w:rsidRPr="001B4CA2" w:rsidRDefault="005550BE" w:rsidP="00A14600">
            <w:pPr>
              <w:jc w:val="center"/>
              <w:rPr>
                <w:rFonts w:cstheme="minorHAnsi"/>
                <w:b/>
                <w:sz w:val="18"/>
                <w:szCs w:val="18"/>
                <w:lang w:eastAsia="hr-HR"/>
              </w:rPr>
            </w:pPr>
            <w:r w:rsidRPr="001B4CA2">
              <w:rPr>
                <w:rFonts w:cstheme="minorHAnsi"/>
                <w:b/>
                <w:sz w:val="18"/>
                <w:szCs w:val="18"/>
                <w:lang w:eastAsia="hr-HR"/>
              </w:rPr>
              <w:t>Parnice</w:t>
            </w:r>
          </w:p>
        </w:tc>
        <w:tc>
          <w:tcPr>
            <w:tcW w:w="523" w:type="pct"/>
            <w:shd w:val="clear" w:color="auto" w:fill="99CCFF"/>
            <w:noWrap/>
            <w:vAlign w:val="center"/>
          </w:tcPr>
          <w:p w14:paraId="460B8D4F" w14:textId="77777777" w:rsidR="005550BE" w:rsidRPr="001B4CA2" w:rsidRDefault="005550BE" w:rsidP="00A14600">
            <w:pPr>
              <w:jc w:val="center"/>
              <w:rPr>
                <w:rFonts w:cstheme="minorHAnsi"/>
                <w:b/>
                <w:sz w:val="18"/>
                <w:szCs w:val="18"/>
                <w:lang w:eastAsia="hr-HR"/>
              </w:rPr>
            </w:pPr>
            <w:r w:rsidRPr="001B4CA2">
              <w:rPr>
                <w:rFonts w:cstheme="minorHAnsi"/>
                <w:b/>
                <w:sz w:val="18"/>
                <w:szCs w:val="18"/>
                <w:lang w:eastAsia="hr-HR"/>
              </w:rPr>
              <w:t>Ovrhe</w:t>
            </w:r>
          </w:p>
        </w:tc>
        <w:tc>
          <w:tcPr>
            <w:tcW w:w="716" w:type="pct"/>
            <w:shd w:val="clear" w:color="auto" w:fill="99CCFF"/>
            <w:vAlign w:val="center"/>
          </w:tcPr>
          <w:p w14:paraId="4438E44B" w14:textId="77777777" w:rsidR="005550BE" w:rsidRPr="001B4CA2" w:rsidRDefault="005550BE" w:rsidP="00A14600">
            <w:pPr>
              <w:jc w:val="center"/>
              <w:rPr>
                <w:rFonts w:cstheme="minorHAnsi"/>
                <w:b/>
                <w:color w:val="FF0000"/>
                <w:sz w:val="18"/>
                <w:szCs w:val="18"/>
                <w:lang w:eastAsia="hr-HR"/>
              </w:rPr>
            </w:pPr>
            <w:r w:rsidRPr="001B4CA2">
              <w:rPr>
                <w:rFonts w:cstheme="minorHAnsi"/>
                <w:b/>
                <w:sz w:val="18"/>
                <w:szCs w:val="18"/>
                <w:lang w:eastAsia="hr-HR"/>
              </w:rPr>
              <w:t>Stečaj i</w:t>
            </w:r>
          </w:p>
          <w:p w14:paraId="559AEDDB" w14:textId="77777777" w:rsidR="005550BE" w:rsidRPr="001B4CA2" w:rsidRDefault="005550BE" w:rsidP="00A14600">
            <w:pPr>
              <w:jc w:val="center"/>
              <w:rPr>
                <w:rFonts w:cstheme="minorHAnsi"/>
                <w:b/>
                <w:sz w:val="18"/>
                <w:szCs w:val="18"/>
                <w:lang w:eastAsia="hr-HR"/>
              </w:rPr>
            </w:pPr>
            <w:proofErr w:type="spellStart"/>
            <w:r w:rsidRPr="001B4CA2">
              <w:rPr>
                <w:rFonts w:cstheme="minorHAnsi"/>
                <w:b/>
                <w:sz w:val="18"/>
                <w:szCs w:val="18"/>
                <w:lang w:eastAsia="hr-HR"/>
              </w:rPr>
              <w:t>predstečaj</w:t>
            </w:r>
            <w:proofErr w:type="spellEnd"/>
          </w:p>
        </w:tc>
        <w:tc>
          <w:tcPr>
            <w:tcW w:w="672" w:type="pct"/>
            <w:shd w:val="clear" w:color="auto" w:fill="99CCFF"/>
            <w:vAlign w:val="center"/>
          </w:tcPr>
          <w:p w14:paraId="33A3D7E1" w14:textId="77777777" w:rsidR="005550BE" w:rsidRPr="001B4CA2" w:rsidRDefault="005550BE" w:rsidP="00A14600">
            <w:pPr>
              <w:jc w:val="center"/>
              <w:rPr>
                <w:rFonts w:cstheme="minorHAnsi"/>
                <w:b/>
                <w:sz w:val="18"/>
                <w:szCs w:val="18"/>
                <w:lang w:eastAsia="hr-HR"/>
              </w:rPr>
            </w:pPr>
            <w:r w:rsidRPr="001B4CA2">
              <w:rPr>
                <w:rFonts w:cstheme="minorHAnsi"/>
                <w:b/>
                <w:sz w:val="18"/>
                <w:szCs w:val="18"/>
                <w:lang w:eastAsia="hr-HR"/>
              </w:rPr>
              <w:t>Stečaj potrošača</w:t>
            </w:r>
          </w:p>
        </w:tc>
        <w:tc>
          <w:tcPr>
            <w:tcW w:w="567" w:type="pct"/>
            <w:shd w:val="clear" w:color="auto" w:fill="99CCFF"/>
            <w:vAlign w:val="center"/>
          </w:tcPr>
          <w:p w14:paraId="2F9DAD1A" w14:textId="77777777" w:rsidR="005550BE" w:rsidRPr="001B4CA2" w:rsidRDefault="005550BE" w:rsidP="00A14600">
            <w:pPr>
              <w:jc w:val="center"/>
              <w:rPr>
                <w:rFonts w:cstheme="minorHAnsi"/>
                <w:b/>
                <w:sz w:val="18"/>
                <w:szCs w:val="18"/>
                <w:lang w:eastAsia="hr-HR"/>
              </w:rPr>
            </w:pPr>
            <w:r w:rsidRPr="001B4CA2">
              <w:rPr>
                <w:rFonts w:cstheme="minorHAnsi"/>
                <w:b/>
                <w:sz w:val="18"/>
                <w:szCs w:val="18"/>
                <w:lang w:eastAsia="hr-HR"/>
              </w:rPr>
              <w:t>Upravni sporovi</w:t>
            </w:r>
          </w:p>
        </w:tc>
        <w:tc>
          <w:tcPr>
            <w:tcW w:w="619" w:type="pct"/>
            <w:shd w:val="clear" w:color="auto" w:fill="99CCFF"/>
            <w:noWrap/>
            <w:vAlign w:val="center"/>
          </w:tcPr>
          <w:p w14:paraId="4F069A88" w14:textId="77777777" w:rsidR="005550BE" w:rsidRPr="001B4CA2" w:rsidRDefault="005550BE" w:rsidP="00A14600">
            <w:pPr>
              <w:jc w:val="center"/>
              <w:rPr>
                <w:rFonts w:cstheme="minorHAnsi"/>
                <w:b/>
                <w:sz w:val="18"/>
                <w:szCs w:val="18"/>
                <w:lang w:eastAsia="hr-HR"/>
              </w:rPr>
            </w:pPr>
            <w:r w:rsidRPr="001B4CA2">
              <w:rPr>
                <w:rFonts w:cstheme="minorHAnsi"/>
                <w:b/>
                <w:sz w:val="18"/>
                <w:szCs w:val="18"/>
                <w:lang w:eastAsia="hr-HR"/>
              </w:rPr>
              <w:t>Ostalo*</w:t>
            </w:r>
          </w:p>
        </w:tc>
        <w:tc>
          <w:tcPr>
            <w:tcW w:w="620" w:type="pct"/>
            <w:shd w:val="clear" w:color="auto" w:fill="99CCFF"/>
            <w:vAlign w:val="center"/>
          </w:tcPr>
          <w:p w14:paraId="4B633650" w14:textId="77777777" w:rsidR="005550BE" w:rsidRPr="001B4CA2" w:rsidRDefault="005550BE" w:rsidP="00A14600">
            <w:pPr>
              <w:jc w:val="center"/>
              <w:rPr>
                <w:rFonts w:cstheme="minorHAnsi"/>
                <w:b/>
                <w:sz w:val="18"/>
                <w:szCs w:val="18"/>
                <w:lang w:eastAsia="hr-HR"/>
              </w:rPr>
            </w:pPr>
            <w:r w:rsidRPr="001B4CA2">
              <w:rPr>
                <w:rFonts w:cstheme="minorHAnsi"/>
                <w:b/>
                <w:sz w:val="18"/>
                <w:szCs w:val="18"/>
                <w:lang w:eastAsia="hr-HR"/>
              </w:rPr>
              <w:t>Ukupno:</w:t>
            </w:r>
          </w:p>
        </w:tc>
      </w:tr>
      <w:tr w:rsidR="005550BE" w:rsidRPr="001B4CA2" w14:paraId="4ECFC2B7" w14:textId="77777777" w:rsidTr="00C9757D">
        <w:trPr>
          <w:trHeight w:val="397"/>
          <w:jc w:val="center"/>
        </w:trPr>
        <w:tc>
          <w:tcPr>
            <w:tcW w:w="664" w:type="pct"/>
            <w:shd w:val="clear" w:color="auto" w:fill="auto"/>
            <w:noWrap/>
            <w:vAlign w:val="center"/>
            <w:hideMark/>
          </w:tcPr>
          <w:p w14:paraId="5B63A31C"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2018.</w:t>
            </w:r>
          </w:p>
        </w:tc>
        <w:tc>
          <w:tcPr>
            <w:tcW w:w="619" w:type="pct"/>
            <w:shd w:val="clear" w:color="auto" w:fill="auto"/>
            <w:noWrap/>
            <w:vAlign w:val="center"/>
          </w:tcPr>
          <w:p w14:paraId="18753E5E" w14:textId="77777777" w:rsidR="005550BE" w:rsidRPr="001B4CA2" w:rsidRDefault="005550BE" w:rsidP="00A14600">
            <w:pPr>
              <w:jc w:val="center"/>
              <w:rPr>
                <w:sz w:val="18"/>
                <w:szCs w:val="18"/>
                <w:lang w:eastAsia="hr-HR"/>
              </w:rPr>
            </w:pPr>
            <w:r w:rsidRPr="001B4CA2">
              <w:rPr>
                <w:sz w:val="18"/>
                <w:szCs w:val="18"/>
                <w:lang w:eastAsia="hr-HR"/>
              </w:rPr>
              <w:t>5.388</w:t>
            </w:r>
          </w:p>
        </w:tc>
        <w:tc>
          <w:tcPr>
            <w:tcW w:w="523" w:type="pct"/>
            <w:shd w:val="clear" w:color="auto" w:fill="auto"/>
            <w:noWrap/>
            <w:vAlign w:val="center"/>
          </w:tcPr>
          <w:p w14:paraId="64E663C7"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18.871</w:t>
            </w:r>
          </w:p>
        </w:tc>
        <w:tc>
          <w:tcPr>
            <w:tcW w:w="716" w:type="pct"/>
            <w:vAlign w:val="center"/>
          </w:tcPr>
          <w:p w14:paraId="758EBC01"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6.129</w:t>
            </w:r>
          </w:p>
        </w:tc>
        <w:tc>
          <w:tcPr>
            <w:tcW w:w="672" w:type="pct"/>
            <w:vAlign w:val="center"/>
          </w:tcPr>
          <w:p w14:paraId="7FCF7615"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w:t>
            </w:r>
          </w:p>
        </w:tc>
        <w:tc>
          <w:tcPr>
            <w:tcW w:w="567" w:type="pct"/>
            <w:vAlign w:val="center"/>
          </w:tcPr>
          <w:p w14:paraId="54F2106B"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544</w:t>
            </w:r>
          </w:p>
        </w:tc>
        <w:tc>
          <w:tcPr>
            <w:tcW w:w="619" w:type="pct"/>
            <w:shd w:val="clear" w:color="auto" w:fill="auto"/>
            <w:noWrap/>
            <w:vAlign w:val="center"/>
          </w:tcPr>
          <w:p w14:paraId="656CBE66"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17.399</w:t>
            </w:r>
          </w:p>
        </w:tc>
        <w:tc>
          <w:tcPr>
            <w:tcW w:w="620" w:type="pct"/>
            <w:vAlign w:val="center"/>
          </w:tcPr>
          <w:p w14:paraId="17D12D9E" w14:textId="77777777" w:rsidR="005550BE" w:rsidRPr="001B4CA2" w:rsidRDefault="005550BE" w:rsidP="00A14600">
            <w:pPr>
              <w:jc w:val="center"/>
              <w:rPr>
                <w:sz w:val="18"/>
                <w:szCs w:val="18"/>
                <w:lang w:eastAsia="hr-HR"/>
              </w:rPr>
            </w:pPr>
            <w:r w:rsidRPr="001B4CA2">
              <w:rPr>
                <w:sz w:val="18"/>
                <w:szCs w:val="18"/>
                <w:lang w:eastAsia="hr-HR"/>
              </w:rPr>
              <w:t>48.331</w:t>
            </w:r>
          </w:p>
        </w:tc>
      </w:tr>
      <w:tr w:rsidR="005550BE" w:rsidRPr="001B4CA2" w14:paraId="4AEC46DA" w14:textId="77777777" w:rsidTr="00C9757D">
        <w:trPr>
          <w:trHeight w:val="397"/>
          <w:jc w:val="center"/>
        </w:trPr>
        <w:tc>
          <w:tcPr>
            <w:tcW w:w="664" w:type="pct"/>
            <w:shd w:val="clear" w:color="auto" w:fill="auto"/>
            <w:noWrap/>
            <w:vAlign w:val="center"/>
            <w:hideMark/>
          </w:tcPr>
          <w:p w14:paraId="136DC8CA"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2019.</w:t>
            </w:r>
          </w:p>
        </w:tc>
        <w:tc>
          <w:tcPr>
            <w:tcW w:w="619" w:type="pct"/>
            <w:shd w:val="clear" w:color="auto" w:fill="auto"/>
            <w:noWrap/>
            <w:vAlign w:val="center"/>
          </w:tcPr>
          <w:p w14:paraId="75BCACD8" w14:textId="77777777" w:rsidR="005550BE" w:rsidRPr="001B4CA2" w:rsidRDefault="005550BE" w:rsidP="00A14600">
            <w:pPr>
              <w:jc w:val="center"/>
              <w:rPr>
                <w:sz w:val="18"/>
                <w:szCs w:val="18"/>
                <w:lang w:eastAsia="hr-HR"/>
              </w:rPr>
            </w:pPr>
            <w:r w:rsidRPr="001B4CA2">
              <w:rPr>
                <w:sz w:val="18"/>
                <w:szCs w:val="18"/>
                <w:lang w:eastAsia="hr-HR"/>
              </w:rPr>
              <w:t>6.098</w:t>
            </w:r>
          </w:p>
        </w:tc>
        <w:tc>
          <w:tcPr>
            <w:tcW w:w="523" w:type="pct"/>
            <w:shd w:val="clear" w:color="auto" w:fill="auto"/>
            <w:noWrap/>
            <w:vAlign w:val="center"/>
          </w:tcPr>
          <w:p w14:paraId="623FD4E6"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24.944</w:t>
            </w:r>
          </w:p>
        </w:tc>
        <w:tc>
          <w:tcPr>
            <w:tcW w:w="716" w:type="pct"/>
            <w:vAlign w:val="center"/>
          </w:tcPr>
          <w:p w14:paraId="45D77444"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5.225</w:t>
            </w:r>
          </w:p>
        </w:tc>
        <w:tc>
          <w:tcPr>
            <w:tcW w:w="672" w:type="pct"/>
            <w:vAlign w:val="center"/>
          </w:tcPr>
          <w:p w14:paraId="75942014"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w:t>
            </w:r>
          </w:p>
        </w:tc>
        <w:tc>
          <w:tcPr>
            <w:tcW w:w="567" w:type="pct"/>
            <w:vAlign w:val="center"/>
          </w:tcPr>
          <w:p w14:paraId="4E9F9521"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384</w:t>
            </w:r>
          </w:p>
        </w:tc>
        <w:tc>
          <w:tcPr>
            <w:tcW w:w="619" w:type="pct"/>
            <w:shd w:val="clear" w:color="auto" w:fill="auto"/>
            <w:noWrap/>
            <w:vAlign w:val="center"/>
          </w:tcPr>
          <w:p w14:paraId="5B28E230"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14.415</w:t>
            </w:r>
          </w:p>
        </w:tc>
        <w:tc>
          <w:tcPr>
            <w:tcW w:w="620" w:type="pct"/>
            <w:vAlign w:val="center"/>
          </w:tcPr>
          <w:p w14:paraId="4A7A250D" w14:textId="77777777" w:rsidR="005550BE" w:rsidRPr="001B4CA2" w:rsidRDefault="005550BE" w:rsidP="00A14600">
            <w:pPr>
              <w:jc w:val="center"/>
              <w:rPr>
                <w:sz w:val="18"/>
                <w:szCs w:val="18"/>
                <w:lang w:eastAsia="hr-HR"/>
              </w:rPr>
            </w:pPr>
            <w:r w:rsidRPr="001B4CA2">
              <w:rPr>
                <w:sz w:val="18"/>
                <w:szCs w:val="18"/>
                <w:lang w:eastAsia="hr-HR"/>
              </w:rPr>
              <w:t>53.584</w:t>
            </w:r>
          </w:p>
        </w:tc>
      </w:tr>
      <w:tr w:rsidR="005550BE" w:rsidRPr="001B4CA2" w14:paraId="4E4DC64F" w14:textId="77777777" w:rsidTr="00C9757D">
        <w:trPr>
          <w:trHeight w:val="397"/>
          <w:jc w:val="center"/>
        </w:trPr>
        <w:tc>
          <w:tcPr>
            <w:tcW w:w="664" w:type="pct"/>
            <w:shd w:val="clear" w:color="auto" w:fill="auto"/>
            <w:noWrap/>
            <w:vAlign w:val="center"/>
            <w:hideMark/>
          </w:tcPr>
          <w:p w14:paraId="6566FEF2"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2020.</w:t>
            </w:r>
          </w:p>
        </w:tc>
        <w:tc>
          <w:tcPr>
            <w:tcW w:w="619" w:type="pct"/>
            <w:shd w:val="clear" w:color="auto" w:fill="auto"/>
            <w:noWrap/>
            <w:vAlign w:val="center"/>
          </w:tcPr>
          <w:p w14:paraId="3B4F7D61"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8.287</w:t>
            </w:r>
          </w:p>
        </w:tc>
        <w:tc>
          <w:tcPr>
            <w:tcW w:w="523" w:type="pct"/>
            <w:shd w:val="clear" w:color="auto" w:fill="auto"/>
            <w:noWrap/>
            <w:vAlign w:val="center"/>
          </w:tcPr>
          <w:p w14:paraId="7389C88E"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18.166</w:t>
            </w:r>
          </w:p>
        </w:tc>
        <w:tc>
          <w:tcPr>
            <w:tcW w:w="716" w:type="pct"/>
            <w:vAlign w:val="center"/>
          </w:tcPr>
          <w:p w14:paraId="07DFD305"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3.703</w:t>
            </w:r>
          </w:p>
        </w:tc>
        <w:tc>
          <w:tcPr>
            <w:tcW w:w="672" w:type="pct"/>
            <w:vAlign w:val="center"/>
          </w:tcPr>
          <w:p w14:paraId="30AF1BCB"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3.106</w:t>
            </w:r>
          </w:p>
        </w:tc>
        <w:tc>
          <w:tcPr>
            <w:tcW w:w="567" w:type="pct"/>
            <w:vAlign w:val="center"/>
          </w:tcPr>
          <w:p w14:paraId="48C9FE55"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384</w:t>
            </w:r>
          </w:p>
        </w:tc>
        <w:tc>
          <w:tcPr>
            <w:tcW w:w="619" w:type="pct"/>
            <w:shd w:val="clear" w:color="auto" w:fill="auto"/>
            <w:noWrap/>
            <w:vAlign w:val="center"/>
          </w:tcPr>
          <w:p w14:paraId="082ED694"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20.692</w:t>
            </w:r>
          </w:p>
        </w:tc>
        <w:tc>
          <w:tcPr>
            <w:tcW w:w="620" w:type="pct"/>
            <w:vAlign w:val="center"/>
          </w:tcPr>
          <w:p w14:paraId="07EA9B20" w14:textId="77777777" w:rsidR="005550BE" w:rsidRPr="001B4CA2" w:rsidRDefault="005550BE" w:rsidP="00A14600">
            <w:pPr>
              <w:jc w:val="center"/>
              <w:rPr>
                <w:sz w:val="18"/>
                <w:szCs w:val="18"/>
                <w:lang w:eastAsia="hr-HR"/>
              </w:rPr>
            </w:pPr>
            <w:r w:rsidRPr="001B4CA2">
              <w:rPr>
                <w:sz w:val="18"/>
                <w:szCs w:val="18"/>
                <w:lang w:eastAsia="hr-HR"/>
              </w:rPr>
              <w:t>54.338</w:t>
            </w:r>
          </w:p>
        </w:tc>
      </w:tr>
      <w:tr w:rsidR="005550BE" w:rsidRPr="001B4CA2" w14:paraId="43CE55EE" w14:textId="77777777" w:rsidTr="00C9757D">
        <w:trPr>
          <w:trHeight w:val="397"/>
          <w:jc w:val="center"/>
        </w:trPr>
        <w:tc>
          <w:tcPr>
            <w:tcW w:w="664" w:type="pct"/>
            <w:shd w:val="clear" w:color="auto" w:fill="auto"/>
            <w:noWrap/>
            <w:vAlign w:val="center"/>
          </w:tcPr>
          <w:p w14:paraId="18BD9A92"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2021.</w:t>
            </w:r>
          </w:p>
        </w:tc>
        <w:tc>
          <w:tcPr>
            <w:tcW w:w="619" w:type="pct"/>
            <w:shd w:val="clear" w:color="auto" w:fill="auto"/>
            <w:noWrap/>
            <w:vAlign w:val="center"/>
          </w:tcPr>
          <w:p w14:paraId="3CDF8CA9"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8.115</w:t>
            </w:r>
          </w:p>
        </w:tc>
        <w:tc>
          <w:tcPr>
            <w:tcW w:w="523" w:type="pct"/>
            <w:shd w:val="clear" w:color="auto" w:fill="auto"/>
            <w:noWrap/>
            <w:vAlign w:val="center"/>
          </w:tcPr>
          <w:p w14:paraId="6723FD05"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21.361</w:t>
            </w:r>
          </w:p>
        </w:tc>
        <w:tc>
          <w:tcPr>
            <w:tcW w:w="716" w:type="pct"/>
            <w:vAlign w:val="center"/>
          </w:tcPr>
          <w:p w14:paraId="6AAE898C"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5.384</w:t>
            </w:r>
          </w:p>
        </w:tc>
        <w:tc>
          <w:tcPr>
            <w:tcW w:w="672" w:type="pct"/>
            <w:vAlign w:val="center"/>
          </w:tcPr>
          <w:p w14:paraId="44DFACCE"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1.749</w:t>
            </w:r>
          </w:p>
        </w:tc>
        <w:tc>
          <w:tcPr>
            <w:tcW w:w="567" w:type="pct"/>
            <w:vAlign w:val="center"/>
          </w:tcPr>
          <w:p w14:paraId="53F538B8"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1.491</w:t>
            </w:r>
          </w:p>
        </w:tc>
        <w:tc>
          <w:tcPr>
            <w:tcW w:w="619" w:type="pct"/>
            <w:shd w:val="clear" w:color="auto" w:fill="auto"/>
            <w:noWrap/>
            <w:vAlign w:val="center"/>
          </w:tcPr>
          <w:p w14:paraId="018DDB8A" w14:textId="77777777" w:rsidR="005550BE" w:rsidRPr="001B4CA2" w:rsidRDefault="005550BE" w:rsidP="00A14600">
            <w:pPr>
              <w:jc w:val="center"/>
              <w:rPr>
                <w:sz w:val="18"/>
                <w:szCs w:val="18"/>
              </w:rPr>
            </w:pPr>
            <w:r w:rsidRPr="001B4CA2">
              <w:rPr>
                <w:sz w:val="18"/>
                <w:szCs w:val="18"/>
              </w:rPr>
              <w:t>23.510</w:t>
            </w:r>
          </w:p>
        </w:tc>
        <w:tc>
          <w:tcPr>
            <w:tcW w:w="620" w:type="pct"/>
            <w:vAlign w:val="center"/>
          </w:tcPr>
          <w:p w14:paraId="3A2BF7CD" w14:textId="77777777" w:rsidR="005550BE" w:rsidRPr="001B4CA2" w:rsidRDefault="005550BE" w:rsidP="00A14600">
            <w:pPr>
              <w:jc w:val="center"/>
              <w:rPr>
                <w:sz w:val="18"/>
                <w:szCs w:val="18"/>
              </w:rPr>
            </w:pPr>
            <w:r w:rsidRPr="001B4CA2">
              <w:rPr>
                <w:sz w:val="18"/>
                <w:szCs w:val="18"/>
              </w:rPr>
              <w:t>61.610</w:t>
            </w:r>
          </w:p>
        </w:tc>
      </w:tr>
      <w:tr w:rsidR="005550BE" w:rsidRPr="001B4CA2" w14:paraId="7FBA305E" w14:textId="77777777" w:rsidTr="00C9757D">
        <w:trPr>
          <w:trHeight w:val="397"/>
          <w:jc w:val="center"/>
        </w:trPr>
        <w:tc>
          <w:tcPr>
            <w:tcW w:w="664" w:type="pct"/>
            <w:shd w:val="clear" w:color="auto" w:fill="auto"/>
            <w:noWrap/>
            <w:vAlign w:val="center"/>
          </w:tcPr>
          <w:p w14:paraId="5DC36453"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2022.</w:t>
            </w:r>
          </w:p>
        </w:tc>
        <w:tc>
          <w:tcPr>
            <w:tcW w:w="619" w:type="pct"/>
            <w:shd w:val="clear" w:color="auto" w:fill="auto"/>
            <w:noWrap/>
            <w:vAlign w:val="center"/>
          </w:tcPr>
          <w:p w14:paraId="2BECAE54"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5.186</w:t>
            </w:r>
          </w:p>
        </w:tc>
        <w:tc>
          <w:tcPr>
            <w:tcW w:w="523" w:type="pct"/>
            <w:shd w:val="clear" w:color="auto" w:fill="auto"/>
            <w:noWrap/>
            <w:vAlign w:val="center"/>
          </w:tcPr>
          <w:p w14:paraId="31E88EC1"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20.668</w:t>
            </w:r>
          </w:p>
        </w:tc>
        <w:tc>
          <w:tcPr>
            <w:tcW w:w="716" w:type="pct"/>
            <w:vAlign w:val="center"/>
          </w:tcPr>
          <w:p w14:paraId="41B94B78"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5.984</w:t>
            </w:r>
          </w:p>
        </w:tc>
        <w:tc>
          <w:tcPr>
            <w:tcW w:w="672" w:type="pct"/>
            <w:vAlign w:val="center"/>
          </w:tcPr>
          <w:p w14:paraId="7C910DC3"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1.938</w:t>
            </w:r>
          </w:p>
        </w:tc>
        <w:tc>
          <w:tcPr>
            <w:tcW w:w="567" w:type="pct"/>
            <w:vAlign w:val="center"/>
          </w:tcPr>
          <w:p w14:paraId="63C9E381" w14:textId="77777777" w:rsidR="005550BE" w:rsidRPr="001B4CA2" w:rsidRDefault="005550BE" w:rsidP="00A14600">
            <w:pPr>
              <w:jc w:val="center"/>
              <w:rPr>
                <w:rFonts w:cstheme="minorHAnsi"/>
                <w:sz w:val="18"/>
                <w:szCs w:val="18"/>
                <w:lang w:eastAsia="hr-HR"/>
              </w:rPr>
            </w:pPr>
            <w:r w:rsidRPr="001B4CA2">
              <w:rPr>
                <w:rFonts w:cstheme="minorHAnsi"/>
                <w:sz w:val="18"/>
                <w:szCs w:val="18"/>
                <w:lang w:eastAsia="hr-HR"/>
              </w:rPr>
              <w:t>549</w:t>
            </w:r>
          </w:p>
        </w:tc>
        <w:tc>
          <w:tcPr>
            <w:tcW w:w="619" w:type="pct"/>
            <w:shd w:val="clear" w:color="auto" w:fill="auto"/>
            <w:noWrap/>
            <w:vAlign w:val="center"/>
          </w:tcPr>
          <w:p w14:paraId="5329BAD5" w14:textId="77777777" w:rsidR="005550BE" w:rsidRPr="001B4CA2" w:rsidRDefault="005550BE" w:rsidP="00A14600">
            <w:pPr>
              <w:jc w:val="center"/>
              <w:rPr>
                <w:sz w:val="18"/>
                <w:szCs w:val="18"/>
              </w:rPr>
            </w:pPr>
            <w:r w:rsidRPr="001B4CA2">
              <w:rPr>
                <w:sz w:val="18"/>
                <w:szCs w:val="18"/>
              </w:rPr>
              <w:t>20.971</w:t>
            </w:r>
          </w:p>
        </w:tc>
        <w:tc>
          <w:tcPr>
            <w:tcW w:w="620" w:type="pct"/>
            <w:vAlign w:val="center"/>
          </w:tcPr>
          <w:p w14:paraId="02F15799" w14:textId="77777777" w:rsidR="005550BE" w:rsidRPr="001B4CA2" w:rsidRDefault="005550BE" w:rsidP="00A14600">
            <w:pPr>
              <w:jc w:val="center"/>
              <w:rPr>
                <w:sz w:val="18"/>
                <w:szCs w:val="18"/>
              </w:rPr>
            </w:pPr>
            <w:r w:rsidRPr="001B4CA2">
              <w:rPr>
                <w:sz w:val="18"/>
                <w:szCs w:val="18"/>
              </w:rPr>
              <w:t>55.296</w:t>
            </w:r>
          </w:p>
        </w:tc>
      </w:tr>
    </w:tbl>
    <w:p w14:paraId="24DE714D" w14:textId="77777777" w:rsidR="005550BE" w:rsidRPr="001B4CA2" w:rsidRDefault="005550BE" w:rsidP="005550BE">
      <w:pPr>
        <w:contextualSpacing/>
      </w:pPr>
    </w:p>
    <w:p w14:paraId="112CF5C7" w14:textId="1EDC10CA" w:rsidR="00965363" w:rsidRPr="001B4CA2" w:rsidRDefault="005550BE" w:rsidP="00965363">
      <w:r w:rsidRPr="001B4CA2">
        <w:tab/>
      </w:r>
      <w:r w:rsidR="00965363" w:rsidRPr="001B4CA2">
        <w:t>U strukturi sudskih predmeta najzastupljenije su ovrhe (37</w:t>
      </w:r>
      <w:r w:rsidR="00CE7EF2">
        <w:t> </w:t>
      </w:r>
      <w:r w:rsidR="00965363" w:rsidRPr="001B4CA2">
        <w:t>%) i ostali sudski predmeti (38</w:t>
      </w:r>
      <w:r w:rsidR="00CE7EF2">
        <w:t> </w:t>
      </w:r>
      <w:r w:rsidR="00965363" w:rsidRPr="001B4CA2">
        <w:t>%), a manjim dijelom parnice (10</w:t>
      </w:r>
      <w:r w:rsidR="00CE7EF2">
        <w:t> </w:t>
      </w:r>
      <w:r w:rsidR="00965363" w:rsidRPr="001B4CA2">
        <w:t>%)</w:t>
      </w:r>
      <w:r w:rsidR="00CE7EF2">
        <w:t xml:space="preserve">, </w:t>
      </w:r>
      <w:r w:rsidR="00965363" w:rsidRPr="001B4CA2">
        <w:t xml:space="preserve">stečaj i </w:t>
      </w:r>
      <w:proofErr w:type="spellStart"/>
      <w:r w:rsidR="00965363" w:rsidRPr="001B4CA2">
        <w:t>predstečaj</w:t>
      </w:r>
      <w:proofErr w:type="spellEnd"/>
      <w:r w:rsidR="00965363" w:rsidRPr="001B4CA2">
        <w:t xml:space="preserve"> potrošača (14</w:t>
      </w:r>
      <w:r w:rsidR="00CE7EF2">
        <w:t> </w:t>
      </w:r>
      <w:r w:rsidR="00965363" w:rsidRPr="001B4CA2">
        <w:t xml:space="preserve">%) </w:t>
      </w:r>
      <w:r w:rsidR="00CE7EF2">
        <w:t>te</w:t>
      </w:r>
      <w:r w:rsidR="00965363" w:rsidRPr="001B4CA2">
        <w:t xml:space="preserve"> u najmanjem dijelu upravni sporovi (1</w:t>
      </w:r>
      <w:r w:rsidR="00CE7EF2">
        <w:t> </w:t>
      </w:r>
      <w:r w:rsidR="00965363" w:rsidRPr="001B4CA2">
        <w:t>%).</w:t>
      </w:r>
    </w:p>
    <w:p w14:paraId="04DD8E91" w14:textId="77777777" w:rsidR="00965363" w:rsidRPr="001B4CA2" w:rsidRDefault="00965363" w:rsidP="00965363">
      <w:pPr>
        <w:contextualSpacing/>
      </w:pPr>
    </w:p>
    <w:p w14:paraId="42B2F7CA" w14:textId="77777777" w:rsidR="00965363" w:rsidRPr="001B4CA2" w:rsidRDefault="00965363" w:rsidP="00965363">
      <w:pPr>
        <w:contextualSpacing/>
      </w:pPr>
      <w:r w:rsidRPr="001B4CA2">
        <w:tab/>
        <w:t>Iz tablice je vidljivo da je ukupan broj zahtjeva u sudskim predmetima manji za 6.314 u odnosu na prethodnu godinu, dok je na razini podataka iz 2020. godine.</w:t>
      </w:r>
    </w:p>
    <w:p w14:paraId="66D8D32D" w14:textId="77777777" w:rsidR="00965363" w:rsidRPr="001B4CA2" w:rsidRDefault="00965363" w:rsidP="00965363">
      <w:pPr>
        <w:contextualSpacing/>
      </w:pPr>
    </w:p>
    <w:p w14:paraId="272A5A8A" w14:textId="7B7CE268" w:rsidR="00965363" w:rsidRPr="001B4CA2" w:rsidRDefault="00965363" w:rsidP="00965363">
      <w:pPr>
        <w:contextualSpacing/>
      </w:pPr>
      <w:r w:rsidRPr="001B4CA2">
        <w:tab/>
        <w:t>Broj parnica neznatno je smanjen u odnosu na prethodnu godinu</w:t>
      </w:r>
      <w:r w:rsidR="00CE7EF2">
        <w:t>,</w:t>
      </w:r>
      <w:r w:rsidRPr="001B4CA2">
        <w:t xml:space="preserve"> što govori da institut mirnog rješenja spora ostvaruje svoju svrhu.</w:t>
      </w:r>
    </w:p>
    <w:p w14:paraId="1EE016E8" w14:textId="77777777" w:rsidR="00965363" w:rsidRPr="001B4CA2" w:rsidRDefault="00965363" w:rsidP="00965363">
      <w:pPr>
        <w:contextualSpacing/>
      </w:pPr>
    </w:p>
    <w:p w14:paraId="15DB93A8" w14:textId="0106A57F" w:rsidR="00965363" w:rsidRPr="001B4CA2" w:rsidRDefault="00965363" w:rsidP="00965363">
      <w:pPr>
        <w:contextualSpacing/>
      </w:pPr>
      <w:r w:rsidRPr="001B4CA2">
        <w:tab/>
        <w:t>Broj ovršnih predmeta u odnosu na prethodnu godinu neznatno je smanjen</w:t>
      </w:r>
      <w:r w:rsidR="00CE7EF2">
        <w:t>,</w:t>
      </w:r>
      <w:r w:rsidRPr="001B4CA2">
        <w:t xml:space="preserve"> dok stečajni i predstečajni predmeti te stečaj potrošača bilježe neznatan rast. </w:t>
      </w:r>
    </w:p>
    <w:p w14:paraId="23BC518D" w14:textId="77777777" w:rsidR="00965363" w:rsidRPr="001B4CA2" w:rsidRDefault="00965363" w:rsidP="00965363">
      <w:pPr>
        <w:contextualSpacing/>
      </w:pPr>
    </w:p>
    <w:p w14:paraId="0A914693" w14:textId="77777777" w:rsidR="00965363" w:rsidRPr="001B4CA2" w:rsidRDefault="00965363" w:rsidP="00965363">
      <w:pPr>
        <w:contextualSpacing/>
      </w:pPr>
      <w:r w:rsidRPr="001B4CA2">
        <w:tab/>
        <w:t>Upravni sporovi vraćeni su na statističke pokazatelje iz ranijih godina.</w:t>
      </w:r>
    </w:p>
    <w:p w14:paraId="024D194C" w14:textId="77777777" w:rsidR="00965363" w:rsidRPr="001B4CA2" w:rsidRDefault="00965363" w:rsidP="00965363">
      <w:pPr>
        <w:contextualSpacing/>
      </w:pPr>
    </w:p>
    <w:p w14:paraId="62D02C4F" w14:textId="147FF044" w:rsidR="00965363" w:rsidRDefault="00965363" w:rsidP="00373B2A">
      <w:pPr>
        <w:contextualSpacing/>
      </w:pPr>
      <w:r w:rsidRPr="001B4CA2">
        <w:tab/>
        <w:t>Ostali sudski predmeti (izvanparnični, zemljišnoknjižni te adhezijski predmeti i parnični postupak pred drugostupanjskim sudom) ostali su na razini statistike iz 2020. godine. Gledajući pojedinačno vrstu predmeta</w:t>
      </w:r>
      <w:r w:rsidR="00CE7EF2">
        <w:t>,</w:t>
      </w:r>
      <w:r w:rsidRPr="001B4CA2">
        <w:t xml:space="preserve"> uočava se pad broja zemljišnoknjižnih predmeta koji se odnose na uknjižbu javnih i općih dobara, postupke povezivanja zemljišnih knjiga i knjige položenih ugovora kao i postupke obnove i osnivanja zemljišnih knjiga te pojedinačne ispravne postupke.</w:t>
      </w:r>
    </w:p>
    <w:p w14:paraId="0B312D82" w14:textId="78AB8EAB" w:rsidR="009C5AEE" w:rsidRDefault="009C5AEE" w:rsidP="00373B2A">
      <w:pPr>
        <w:contextualSpacing/>
      </w:pPr>
    </w:p>
    <w:p w14:paraId="688D2A08" w14:textId="0A92751D" w:rsidR="009C5AEE" w:rsidRDefault="009C5AEE" w:rsidP="00373B2A">
      <w:pPr>
        <w:contextualSpacing/>
      </w:pPr>
    </w:p>
    <w:p w14:paraId="2FA384D8" w14:textId="2F2C2BDC" w:rsidR="009C5AEE" w:rsidRDefault="009C5AEE" w:rsidP="00373B2A">
      <w:pPr>
        <w:contextualSpacing/>
      </w:pPr>
    </w:p>
    <w:p w14:paraId="4C9B6526" w14:textId="00842E90" w:rsidR="009C5AEE" w:rsidRDefault="009C5AEE" w:rsidP="00373B2A">
      <w:pPr>
        <w:contextualSpacing/>
      </w:pPr>
    </w:p>
    <w:p w14:paraId="69FAEFED" w14:textId="5AD337FB" w:rsidR="009C5AEE" w:rsidRDefault="009C5AEE" w:rsidP="00373B2A">
      <w:pPr>
        <w:contextualSpacing/>
      </w:pPr>
    </w:p>
    <w:p w14:paraId="7417782A" w14:textId="4369D73F" w:rsidR="009C5AEE" w:rsidRDefault="009C5AEE" w:rsidP="00373B2A">
      <w:pPr>
        <w:contextualSpacing/>
      </w:pPr>
    </w:p>
    <w:p w14:paraId="4E736C9E" w14:textId="3D1AD658" w:rsidR="009C5AEE" w:rsidRDefault="009C5AEE" w:rsidP="00373B2A">
      <w:pPr>
        <w:contextualSpacing/>
      </w:pPr>
    </w:p>
    <w:p w14:paraId="499DCBDB" w14:textId="45A25AE3" w:rsidR="009C5AEE" w:rsidRDefault="009C5AEE" w:rsidP="00373B2A">
      <w:pPr>
        <w:contextualSpacing/>
      </w:pPr>
    </w:p>
    <w:p w14:paraId="00859780" w14:textId="2011C598" w:rsidR="009C5AEE" w:rsidRDefault="009C5AEE" w:rsidP="00373B2A">
      <w:pPr>
        <w:contextualSpacing/>
      </w:pPr>
    </w:p>
    <w:p w14:paraId="64D6259E" w14:textId="066E1C18" w:rsidR="009C5AEE" w:rsidRDefault="009C5AEE" w:rsidP="00373B2A">
      <w:pPr>
        <w:contextualSpacing/>
      </w:pPr>
    </w:p>
    <w:p w14:paraId="49387FE9" w14:textId="178FFA85" w:rsidR="009C5AEE" w:rsidRDefault="009C5AEE" w:rsidP="00373B2A">
      <w:pPr>
        <w:contextualSpacing/>
      </w:pPr>
    </w:p>
    <w:p w14:paraId="098A70E0" w14:textId="1F18E977" w:rsidR="009C5AEE" w:rsidRDefault="009C5AEE" w:rsidP="00373B2A">
      <w:pPr>
        <w:contextualSpacing/>
      </w:pPr>
    </w:p>
    <w:p w14:paraId="19C13487" w14:textId="2408DEA9" w:rsidR="009C5AEE" w:rsidRDefault="009C5AEE" w:rsidP="00373B2A">
      <w:pPr>
        <w:contextualSpacing/>
      </w:pPr>
    </w:p>
    <w:p w14:paraId="0352B50B" w14:textId="77777777" w:rsidR="009C5AEE" w:rsidRPr="001B4CA2" w:rsidRDefault="009C5AEE" w:rsidP="00373B2A">
      <w:pPr>
        <w:contextualSpacing/>
      </w:pPr>
    </w:p>
    <w:p w14:paraId="09A38687" w14:textId="6740B947" w:rsidR="005550BE" w:rsidRPr="001B4CA2" w:rsidRDefault="005550BE" w:rsidP="00965363"/>
    <w:p w14:paraId="202D5B70" w14:textId="0C3EA5C2" w:rsidR="005550BE" w:rsidRPr="001B4CA2" w:rsidRDefault="00965363" w:rsidP="00C9757D">
      <w:pPr>
        <w:ind w:left="567"/>
        <w:rPr>
          <w:i/>
        </w:rPr>
      </w:pPr>
      <w:r w:rsidRPr="001B4CA2">
        <w:rPr>
          <w:i/>
        </w:rPr>
        <w:lastRenderedPageBreak/>
        <w:t xml:space="preserve"> </w:t>
      </w:r>
      <w:r w:rsidR="005550BE" w:rsidRPr="001B4CA2">
        <w:rPr>
          <w:i/>
        </w:rPr>
        <w:t>d) Prikaz poduzetih radnji u sudskim i upravnim predmetima u 2022.</w:t>
      </w:r>
    </w:p>
    <w:tbl>
      <w:tblPr>
        <w:tblW w:w="7999" w:type="dxa"/>
        <w:jc w:val="center"/>
        <w:tblLook w:val="04A0" w:firstRow="1" w:lastRow="0" w:firstColumn="1" w:lastColumn="0" w:noHBand="0" w:noVBand="1"/>
      </w:tblPr>
      <w:tblGrid>
        <w:gridCol w:w="1759"/>
        <w:gridCol w:w="1577"/>
        <w:gridCol w:w="1628"/>
        <w:gridCol w:w="1369"/>
        <w:gridCol w:w="1666"/>
      </w:tblGrid>
      <w:tr w:rsidR="005550BE" w:rsidRPr="001B4CA2" w14:paraId="461654F3" w14:textId="77777777" w:rsidTr="00A14600">
        <w:trPr>
          <w:trHeight w:val="1122"/>
          <w:jc w:val="center"/>
        </w:trPr>
        <w:tc>
          <w:tcPr>
            <w:tcW w:w="3336" w:type="dxa"/>
            <w:gridSpan w:val="2"/>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0719944F" w14:textId="77777777" w:rsidR="005550BE" w:rsidRPr="001B4CA2" w:rsidRDefault="005550BE" w:rsidP="00A14600">
            <w:pPr>
              <w:jc w:val="center"/>
              <w:rPr>
                <w:rFonts w:eastAsia="Times New Roman"/>
                <w:b/>
                <w:bCs/>
                <w:color w:val="000000"/>
                <w:sz w:val="18"/>
                <w:szCs w:val="18"/>
                <w:lang w:eastAsia="hr-HR"/>
              </w:rPr>
            </w:pPr>
            <w:r w:rsidRPr="001B4CA2">
              <w:rPr>
                <w:rFonts w:eastAsia="Times New Roman"/>
                <w:b/>
                <w:bCs/>
                <w:color w:val="000000"/>
                <w:sz w:val="18"/>
                <w:szCs w:val="18"/>
                <w:lang w:eastAsia="hr-HR"/>
              </w:rPr>
              <w:t>Zbirno državno odvjetništvo</w:t>
            </w:r>
          </w:p>
          <w:p w14:paraId="7B5B4C26" w14:textId="77777777" w:rsidR="005550BE" w:rsidRPr="001B4CA2" w:rsidRDefault="005550BE" w:rsidP="00A14600">
            <w:pPr>
              <w:jc w:val="center"/>
              <w:rPr>
                <w:rFonts w:eastAsia="Times New Roman"/>
                <w:b/>
                <w:bCs/>
                <w:color w:val="000000"/>
                <w:sz w:val="18"/>
                <w:szCs w:val="18"/>
                <w:lang w:eastAsia="hr-HR"/>
              </w:rPr>
            </w:pPr>
            <w:r w:rsidRPr="001B4CA2">
              <w:rPr>
                <w:rFonts w:eastAsia="Times New Roman"/>
                <w:b/>
                <w:bCs/>
                <w:color w:val="000000"/>
                <w:sz w:val="18"/>
                <w:szCs w:val="18"/>
                <w:lang w:eastAsia="hr-HR"/>
              </w:rPr>
              <w:t>2022.</w:t>
            </w:r>
          </w:p>
        </w:tc>
        <w:tc>
          <w:tcPr>
            <w:tcW w:w="4663" w:type="dxa"/>
            <w:gridSpan w:val="3"/>
            <w:tcBorders>
              <w:top w:val="single" w:sz="4" w:space="0" w:color="auto"/>
              <w:left w:val="nil"/>
              <w:bottom w:val="single" w:sz="4" w:space="0" w:color="auto"/>
              <w:right w:val="single" w:sz="4" w:space="0" w:color="auto"/>
            </w:tcBorders>
            <w:shd w:val="clear" w:color="auto" w:fill="99CCFF"/>
            <w:vAlign w:val="center"/>
            <w:hideMark/>
          </w:tcPr>
          <w:p w14:paraId="78854982" w14:textId="77777777" w:rsidR="005550BE" w:rsidRPr="001B4CA2" w:rsidRDefault="005550BE" w:rsidP="00A14600">
            <w:pPr>
              <w:jc w:val="center"/>
              <w:rPr>
                <w:rFonts w:eastAsia="Times New Roman"/>
                <w:b/>
                <w:bCs/>
                <w:color w:val="000000"/>
                <w:sz w:val="18"/>
                <w:szCs w:val="18"/>
                <w:lang w:eastAsia="hr-HR"/>
              </w:rPr>
            </w:pPr>
            <w:r w:rsidRPr="001B4CA2">
              <w:rPr>
                <w:rFonts w:eastAsia="Times New Roman"/>
                <w:b/>
                <w:bCs/>
                <w:color w:val="000000"/>
                <w:sz w:val="18"/>
                <w:szCs w:val="18"/>
                <w:lang w:eastAsia="hr-HR"/>
              </w:rPr>
              <w:t>Zbirno državno odvjetništvo</w:t>
            </w:r>
          </w:p>
          <w:p w14:paraId="2C61FC3C" w14:textId="77777777" w:rsidR="005550BE" w:rsidRPr="001B4CA2" w:rsidRDefault="005550BE" w:rsidP="00A14600">
            <w:pPr>
              <w:jc w:val="center"/>
              <w:rPr>
                <w:rFonts w:eastAsia="Times New Roman"/>
                <w:b/>
                <w:bCs/>
                <w:color w:val="000000"/>
                <w:sz w:val="18"/>
                <w:szCs w:val="18"/>
                <w:lang w:eastAsia="hr-HR"/>
              </w:rPr>
            </w:pPr>
            <w:r w:rsidRPr="001B4CA2">
              <w:rPr>
                <w:rFonts w:eastAsia="Times New Roman"/>
                <w:b/>
                <w:bCs/>
                <w:color w:val="000000"/>
                <w:sz w:val="18"/>
                <w:szCs w:val="18"/>
                <w:lang w:eastAsia="hr-HR"/>
              </w:rPr>
              <w:t xml:space="preserve"> 2022.</w:t>
            </w:r>
          </w:p>
        </w:tc>
      </w:tr>
      <w:tr w:rsidR="005550BE" w:rsidRPr="001B4CA2" w14:paraId="5EC0AD51" w14:textId="77777777" w:rsidTr="00A14600">
        <w:trPr>
          <w:trHeight w:val="1084"/>
          <w:jc w:val="center"/>
        </w:trPr>
        <w:tc>
          <w:tcPr>
            <w:tcW w:w="3336" w:type="dxa"/>
            <w:gridSpan w:val="2"/>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61C5CF3C" w14:textId="77777777" w:rsidR="005550BE" w:rsidRPr="001B4CA2" w:rsidRDefault="005550BE" w:rsidP="00A14600">
            <w:pPr>
              <w:jc w:val="left"/>
              <w:rPr>
                <w:rFonts w:eastAsia="Times New Roman"/>
                <w:b/>
                <w:bCs/>
                <w:color w:val="000000"/>
                <w:sz w:val="18"/>
                <w:szCs w:val="18"/>
                <w:lang w:eastAsia="hr-HR"/>
              </w:rPr>
            </w:pPr>
          </w:p>
        </w:tc>
        <w:tc>
          <w:tcPr>
            <w:tcW w:w="1628" w:type="dxa"/>
            <w:tcBorders>
              <w:top w:val="nil"/>
              <w:left w:val="nil"/>
              <w:bottom w:val="single" w:sz="4" w:space="0" w:color="auto"/>
              <w:right w:val="single" w:sz="4" w:space="0" w:color="auto"/>
            </w:tcBorders>
            <w:shd w:val="clear" w:color="auto" w:fill="99CCFF"/>
            <w:vAlign w:val="center"/>
            <w:hideMark/>
          </w:tcPr>
          <w:p w14:paraId="7CAC0C48" w14:textId="77777777" w:rsidR="005550BE" w:rsidRPr="001B4CA2" w:rsidRDefault="005550BE" w:rsidP="00A14600">
            <w:pPr>
              <w:jc w:val="center"/>
              <w:rPr>
                <w:rFonts w:eastAsia="Times New Roman"/>
                <w:b/>
                <w:bCs/>
                <w:color w:val="000000"/>
                <w:sz w:val="18"/>
                <w:szCs w:val="18"/>
                <w:lang w:eastAsia="hr-HR"/>
              </w:rPr>
            </w:pPr>
            <w:r w:rsidRPr="001B4CA2">
              <w:rPr>
                <w:rFonts w:eastAsia="Times New Roman"/>
                <w:b/>
                <w:bCs/>
                <w:color w:val="000000"/>
                <w:sz w:val="18"/>
                <w:szCs w:val="18"/>
                <w:lang w:eastAsia="hr-HR"/>
              </w:rPr>
              <w:t>Broj</w:t>
            </w:r>
          </w:p>
        </w:tc>
        <w:tc>
          <w:tcPr>
            <w:tcW w:w="1369" w:type="dxa"/>
            <w:tcBorders>
              <w:top w:val="nil"/>
              <w:left w:val="nil"/>
              <w:bottom w:val="single" w:sz="4" w:space="0" w:color="auto"/>
              <w:right w:val="single" w:sz="4" w:space="0" w:color="auto"/>
            </w:tcBorders>
            <w:shd w:val="clear" w:color="auto" w:fill="99CCFF"/>
            <w:vAlign w:val="center"/>
            <w:hideMark/>
          </w:tcPr>
          <w:p w14:paraId="6F601E0A" w14:textId="77777777" w:rsidR="005550BE" w:rsidRPr="001B4CA2" w:rsidRDefault="005550BE" w:rsidP="00A14600">
            <w:pPr>
              <w:jc w:val="center"/>
              <w:rPr>
                <w:rFonts w:eastAsia="Times New Roman"/>
                <w:b/>
                <w:bCs/>
                <w:color w:val="000000"/>
                <w:sz w:val="18"/>
                <w:szCs w:val="18"/>
                <w:lang w:eastAsia="hr-HR"/>
              </w:rPr>
            </w:pPr>
            <w:r w:rsidRPr="001B4CA2">
              <w:rPr>
                <w:rFonts w:eastAsia="Times New Roman"/>
                <w:b/>
                <w:bCs/>
                <w:color w:val="000000"/>
                <w:sz w:val="18"/>
                <w:szCs w:val="18"/>
                <w:lang w:eastAsia="hr-HR"/>
              </w:rPr>
              <w:t>Ukupno</w:t>
            </w:r>
          </w:p>
        </w:tc>
        <w:tc>
          <w:tcPr>
            <w:tcW w:w="1666" w:type="dxa"/>
            <w:tcBorders>
              <w:top w:val="nil"/>
              <w:left w:val="nil"/>
              <w:bottom w:val="single" w:sz="4" w:space="0" w:color="auto"/>
              <w:right w:val="single" w:sz="4" w:space="0" w:color="auto"/>
            </w:tcBorders>
            <w:shd w:val="clear" w:color="auto" w:fill="99CCFF"/>
            <w:vAlign w:val="center"/>
            <w:hideMark/>
          </w:tcPr>
          <w:p w14:paraId="556D5773" w14:textId="591E82D2" w:rsidR="005550BE" w:rsidRPr="001B4CA2" w:rsidRDefault="005550BE" w:rsidP="00A14600">
            <w:pPr>
              <w:jc w:val="center"/>
              <w:rPr>
                <w:rFonts w:eastAsia="Times New Roman"/>
                <w:b/>
                <w:bCs/>
                <w:color w:val="000000"/>
                <w:sz w:val="18"/>
                <w:szCs w:val="18"/>
                <w:lang w:eastAsia="hr-HR"/>
              </w:rPr>
            </w:pPr>
            <w:r w:rsidRPr="001B4CA2">
              <w:rPr>
                <w:rFonts w:eastAsia="Times New Roman"/>
                <w:b/>
                <w:bCs/>
                <w:color w:val="000000"/>
                <w:sz w:val="18"/>
                <w:szCs w:val="18"/>
                <w:lang w:eastAsia="hr-HR"/>
              </w:rPr>
              <w:t>Prosječno po prisutnim</w:t>
            </w:r>
            <w:r w:rsidR="001B4CA2">
              <w:rPr>
                <w:rFonts w:eastAsia="Times New Roman"/>
                <w:b/>
                <w:bCs/>
                <w:color w:val="000000"/>
                <w:sz w:val="18"/>
                <w:szCs w:val="18"/>
                <w:lang w:eastAsia="hr-HR"/>
              </w:rPr>
              <w:t xml:space="preserve"> </w:t>
            </w:r>
            <w:proofErr w:type="spellStart"/>
            <w:r w:rsidRPr="001B4CA2">
              <w:rPr>
                <w:rFonts w:eastAsia="Times New Roman"/>
                <w:b/>
                <w:bCs/>
                <w:color w:val="000000"/>
                <w:sz w:val="18"/>
                <w:szCs w:val="18"/>
                <w:lang w:eastAsia="hr-HR"/>
              </w:rPr>
              <w:t>rješavateljima</w:t>
            </w:r>
            <w:proofErr w:type="spellEnd"/>
          </w:p>
        </w:tc>
      </w:tr>
      <w:tr w:rsidR="005550BE" w:rsidRPr="001B4CA2" w14:paraId="7EA9A0E0" w14:textId="77777777" w:rsidTr="00A14600">
        <w:trPr>
          <w:trHeight w:val="397"/>
          <w:jc w:val="center"/>
        </w:trPr>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14:paraId="20C5F4C3" w14:textId="77777777" w:rsidR="005550BE" w:rsidRPr="001B4CA2" w:rsidRDefault="005550BE" w:rsidP="00A14600">
            <w:pPr>
              <w:jc w:val="left"/>
              <w:rPr>
                <w:rFonts w:eastAsia="Times New Roman"/>
                <w:bCs/>
                <w:color w:val="000000"/>
                <w:sz w:val="18"/>
                <w:szCs w:val="18"/>
                <w:lang w:eastAsia="hr-HR"/>
              </w:rPr>
            </w:pPr>
            <w:r w:rsidRPr="001B4CA2">
              <w:rPr>
                <w:rFonts w:eastAsia="Times New Roman"/>
                <w:bCs/>
                <w:color w:val="000000"/>
                <w:sz w:val="18"/>
                <w:szCs w:val="18"/>
                <w:lang w:eastAsia="hr-HR"/>
              </w:rPr>
              <w:t>Rasprave</w:t>
            </w:r>
          </w:p>
        </w:tc>
        <w:tc>
          <w:tcPr>
            <w:tcW w:w="1577" w:type="dxa"/>
            <w:tcBorders>
              <w:top w:val="nil"/>
              <w:left w:val="nil"/>
              <w:bottom w:val="single" w:sz="4" w:space="0" w:color="auto"/>
              <w:right w:val="single" w:sz="4" w:space="0" w:color="auto"/>
            </w:tcBorders>
            <w:shd w:val="clear" w:color="auto" w:fill="auto"/>
            <w:noWrap/>
            <w:vAlign w:val="center"/>
            <w:hideMark/>
          </w:tcPr>
          <w:p w14:paraId="654BABBD" w14:textId="77777777" w:rsidR="005550BE" w:rsidRPr="001B4CA2" w:rsidRDefault="005550BE" w:rsidP="00A14600">
            <w:pPr>
              <w:jc w:val="left"/>
              <w:rPr>
                <w:rFonts w:eastAsia="Times New Roman"/>
                <w:bCs/>
                <w:color w:val="000000"/>
                <w:sz w:val="18"/>
                <w:szCs w:val="18"/>
                <w:lang w:eastAsia="hr-HR"/>
              </w:rPr>
            </w:pPr>
            <w:r w:rsidRPr="001B4CA2">
              <w:rPr>
                <w:rFonts w:eastAsia="Times New Roman"/>
                <w:bCs/>
                <w:color w:val="000000"/>
                <w:sz w:val="18"/>
                <w:szCs w:val="18"/>
                <w:lang w:eastAsia="hr-HR"/>
              </w:rPr>
              <w:t>U sjedištu</w:t>
            </w:r>
          </w:p>
        </w:tc>
        <w:tc>
          <w:tcPr>
            <w:tcW w:w="1628" w:type="dxa"/>
            <w:tcBorders>
              <w:top w:val="nil"/>
              <w:left w:val="nil"/>
              <w:bottom w:val="single" w:sz="4" w:space="0" w:color="auto"/>
              <w:right w:val="single" w:sz="4" w:space="0" w:color="auto"/>
            </w:tcBorders>
            <w:shd w:val="clear" w:color="auto" w:fill="auto"/>
            <w:noWrap/>
            <w:vAlign w:val="center"/>
          </w:tcPr>
          <w:p w14:paraId="230855C4" w14:textId="77777777" w:rsidR="005550BE" w:rsidRPr="001B4CA2" w:rsidRDefault="005550BE" w:rsidP="00A14600">
            <w:pPr>
              <w:jc w:val="center"/>
              <w:rPr>
                <w:color w:val="000000"/>
                <w:sz w:val="18"/>
                <w:szCs w:val="18"/>
              </w:rPr>
            </w:pPr>
            <w:r w:rsidRPr="001B4CA2">
              <w:rPr>
                <w:color w:val="000000"/>
                <w:sz w:val="18"/>
                <w:szCs w:val="18"/>
              </w:rPr>
              <w:t>14.430</w:t>
            </w:r>
          </w:p>
        </w:tc>
        <w:tc>
          <w:tcPr>
            <w:tcW w:w="1369" w:type="dxa"/>
            <w:vMerge w:val="restart"/>
            <w:tcBorders>
              <w:top w:val="nil"/>
              <w:left w:val="single" w:sz="4" w:space="0" w:color="auto"/>
              <w:bottom w:val="single" w:sz="4" w:space="0" w:color="auto"/>
              <w:right w:val="single" w:sz="4" w:space="0" w:color="auto"/>
            </w:tcBorders>
            <w:shd w:val="clear" w:color="auto" w:fill="auto"/>
            <w:noWrap/>
            <w:vAlign w:val="center"/>
          </w:tcPr>
          <w:p w14:paraId="11CF0D75" w14:textId="77777777" w:rsidR="005550BE" w:rsidRPr="001B4CA2" w:rsidRDefault="005550BE" w:rsidP="00A14600">
            <w:pPr>
              <w:jc w:val="center"/>
              <w:rPr>
                <w:color w:val="000000"/>
                <w:sz w:val="18"/>
                <w:szCs w:val="18"/>
              </w:rPr>
            </w:pPr>
            <w:r w:rsidRPr="001B4CA2">
              <w:rPr>
                <w:color w:val="000000"/>
                <w:sz w:val="18"/>
                <w:szCs w:val="18"/>
              </w:rPr>
              <w:t>19.911</w:t>
            </w:r>
          </w:p>
        </w:tc>
        <w:tc>
          <w:tcPr>
            <w:tcW w:w="1666" w:type="dxa"/>
            <w:vMerge w:val="restart"/>
            <w:tcBorders>
              <w:top w:val="nil"/>
              <w:left w:val="single" w:sz="4" w:space="0" w:color="auto"/>
              <w:bottom w:val="single" w:sz="4" w:space="0" w:color="auto"/>
              <w:right w:val="single" w:sz="4" w:space="0" w:color="auto"/>
            </w:tcBorders>
            <w:shd w:val="clear" w:color="auto" w:fill="auto"/>
            <w:noWrap/>
            <w:vAlign w:val="center"/>
          </w:tcPr>
          <w:p w14:paraId="4F43FF65" w14:textId="77777777" w:rsidR="005550BE" w:rsidRPr="001B4CA2" w:rsidRDefault="005550BE" w:rsidP="00A14600">
            <w:pPr>
              <w:jc w:val="center"/>
              <w:rPr>
                <w:rFonts w:eastAsia="Times New Roman"/>
                <w:bCs/>
                <w:color w:val="000000"/>
                <w:sz w:val="18"/>
                <w:szCs w:val="18"/>
                <w:lang w:eastAsia="hr-HR"/>
              </w:rPr>
            </w:pPr>
            <w:r w:rsidRPr="001B4CA2">
              <w:rPr>
                <w:rFonts w:eastAsia="Times New Roman"/>
                <w:bCs/>
                <w:color w:val="000000"/>
                <w:sz w:val="18"/>
                <w:szCs w:val="18"/>
                <w:lang w:eastAsia="hr-HR"/>
              </w:rPr>
              <w:t>100</w:t>
            </w:r>
          </w:p>
        </w:tc>
      </w:tr>
      <w:tr w:rsidR="005550BE" w:rsidRPr="001B4CA2" w14:paraId="21AF52F6" w14:textId="77777777" w:rsidTr="00A14600">
        <w:trPr>
          <w:trHeight w:val="397"/>
          <w:jc w:val="center"/>
        </w:trPr>
        <w:tc>
          <w:tcPr>
            <w:tcW w:w="1759" w:type="dxa"/>
            <w:vMerge/>
            <w:tcBorders>
              <w:top w:val="nil"/>
              <w:left w:val="single" w:sz="4" w:space="0" w:color="auto"/>
              <w:bottom w:val="single" w:sz="4" w:space="0" w:color="auto"/>
              <w:right w:val="single" w:sz="4" w:space="0" w:color="auto"/>
            </w:tcBorders>
            <w:vAlign w:val="center"/>
            <w:hideMark/>
          </w:tcPr>
          <w:p w14:paraId="4C8DB3C0" w14:textId="77777777" w:rsidR="005550BE" w:rsidRPr="001B4CA2" w:rsidRDefault="005550BE" w:rsidP="00A14600">
            <w:pPr>
              <w:jc w:val="left"/>
              <w:rPr>
                <w:rFonts w:eastAsia="Times New Roman"/>
                <w:bCs/>
                <w:color w:val="000000"/>
                <w:sz w:val="18"/>
                <w:szCs w:val="18"/>
                <w:lang w:eastAsia="hr-HR"/>
              </w:rPr>
            </w:pPr>
          </w:p>
        </w:tc>
        <w:tc>
          <w:tcPr>
            <w:tcW w:w="1577" w:type="dxa"/>
            <w:tcBorders>
              <w:top w:val="nil"/>
              <w:left w:val="nil"/>
              <w:bottom w:val="single" w:sz="4" w:space="0" w:color="auto"/>
              <w:right w:val="single" w:sz="4" w:space="0" w:color="auto"/>
            </w:tcBorders>
            <w:shd w:val="clear" w:color="auto" w:fill="auto"/>
            <w:noWrap/>
            <w:vAlign w:val="center"/>
            <w:hideMark/>
          </w:tcPr>
          <w:p w14:paraId="7335A8AF" w14:textId="77777777" w:rsidR="005550BE" w:rsidRPr="001B4CA2" w:rsidRDefault="005550BE" w:rsidP="00A14600">
            <w:pPr>
              <w:jc w:val="left"/>
              <w:rPr>
                <w:rFonts w:eastAsia="Times New Roman"/>
                <w:bCs/>
                <w:color w:val="000000"/>
                <w:sz w:val="18"/>
                <w:szCs w:val="18"/>
                <w:lang w:eastAsia="hr-HR"/>
              </w:rPr>
            </w:pPr>
            <w:r w:rsidRPr="001B4CA2">
              <w:rPr>
                <w:rFonts w:eastAsia="Times New Roman"/>
                <w:bCs/>
                <w:color w:val="000000"/>
                <w:sz w:val="18"/>
                <w:szCs w:val="18"/>
                <w:lang w:eastAsia="hr-HR"/>
              </w:rPr>
              <w:t>Izvan sjedišta</w:t>
            </w:r>
          </w:p>
        </w:tc>
        <w:tc>
          <w:tcPr>
            <w:tcW w:w="1628" w:type="dxa"/>
            <w:tcBorders>
              <w:top w:val="nil"/>
              <w:left w:val="nil"/>
              <w:bottom w:val="single" w:sz="4" w:space="0" w:color="auto"/>
              <w:right w:val="single" w:sz="4" w:space="0" w:color="auto"/>
            </w:tcBorders>
            <w:shd w:val="clear" w:color="auto" w:fill="auto"/>
            <w:noWrap/>
            <w:vAlign w:val="center"/>
          </w:tcPr>
          <w:p w14:paraId="6C953CE7" w14:textId="77777777" w:rsidR="005550BE" w:rsidRPr="001B4CA2" w:rsidRDefault="005550BE" w:rsidP="00A14600">
            <w:pPr>
              <w:jc w:val="center"/>
              <w:rPr>
                <w:color w:val="000000"/>
                <w:sz w:val="18"/>
                <w:szCs w:val="18"/>
              </w:rPr>
            </w:pPr>
            <w:r w:rsidRPr="001B4CA2">
              <w:rPr>
                <w:color w:val="000000"/>
                <w:sz w:val="18"/>
                <w:szCs w:val="18"/>
              </w:rPr>
              <w:t>5.481</w:t>
            </w:r>
          </w:p>
        </w:tc>
        <w:tc>
          <w:tcPr>
            <w:tcW w:w="1369" w:type="dxa"/>
            <w:vMerge/>
            <w:tcBorders>
              <w:top w:val="nil"/>
              <w:left w:val="single" w:sz="4" w:space="0" w:color="auto"/>
              <w:bottom w:val="single" w:sz="4" w:space="0" w:color="auto"/>
              <w:right w:val="single" w:sz="4" w:space="0" w:color="auto"/>
            </w:tcBorders>
            <w:vAlign w:val="center"/>
          </w:tcPr>
          <w:p w14:paraId="344E6986" w14:textId="77777777" w:rsidR="005550BE" w:rsidRPr="001B4CA2" w:rsidRDefault="005550BE" w:rsidP="00A14600">
            <w:pPr>
              <w:jc w:val="center"/>
              <w:rPr>
                <w:rFonts w:eastAsia="Times New Roman"/>
                <w:b/>
                <w:bCs/>
                <w:color w:val="000000"/>
                <w:sz w:val="18"/>
                <w:szCs w:val="18"/>
                <w:lang w:eastAsia="hr-HR"/>
              </w:rPr>
            </w:pPr>
          </w:p>
        </w:tc>
        <w:tc>
          <w:tcPr>
            <w:tcW w:w="1666" w:type="dxa"/>
            <w:vMerge/>
            <w:tcBorders>
              <w:top w:val="nil"/>
              <w:left w:val="single" w:sz="4" w:space="0" w:color="auto"/>
              <w:bottom w:val="single" w:sz="4" w:space="0" w:color="auto"/>
              <w:right w:val="single" w:sz="4" w:space="0" w:color="auto"/>
            </w:tcBorders>
            <w:vAlign w:val="center"/>
          </w:tcPr>
          <w:p w14:paraId="3F32FA0B" w14:textId="77777777" w:rsidR="005550BE" w:rsidRPr="001B4CA2" w:rsidRDefault="005550BE" w:rsidP="00A14600">
            <w:pPr>
              <w:jc w:val="center"/>
              <w:rPr>
                <w:rFonts w:eastAsia="Times New Roman"/>
                <w:bCs/>
                <w:color w:val="000000"/>
                <w:sz w:val="18"/>
                <w:szCs w:val="18"/>
                <w:lang w:eastAsia="hr-HR"/>
              </w:rPr>
            </w:pPr>
          </w:p>
        </w:tc>
      </w:tr>
      <w:tr w:rsidR="005550BE" w:rsidRPr="001B4CA2" w14:paraId="2AD52876" w14:textId="77777777" w:rsidTr="00A14600">
        <w:trPr>
          <w:trHeight w:val="397"/>
          <w:jc w:val="center"/>
        </w:trPr>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14:paraId="5E0E6E79" w14:textId="77777777" w:rsidR="005550BE" w:rsidRPr="001B4CA2" w:rsidRDefault="005550BE" w:rsidP="00A14600">
            <w:pPr>
              <w:jc w:val="left"/>
              <w:rPr>
                <w:rFonts w:eastAsia="Times New Roman"/>
                <w:bCs/>
                <w:color w:val="000000"/>
                <w:sz w:val="18"/>
                <w:szCs w:val="18"/>
                <w:lang w:eastAsia="hr-HR"/>
              </w:rPr>
            </w:pPr>
            <w:r w:rsidRPr="001B4CA2">
              <w:rPr>
                <w:rFonts w:eastAsia="Times New Roman"/>
                <w:bCs/>
                <w:color w:val="000000"/>
                <w:sz w:val="18"/>
                <w:szCs w:val="18"/>
                <w:lang w:eastAsia="hr-HR"/>
              </w:rPr>
              <w:t>Uloženi pravni lijekovi</w:t>
            </w:r>
          </w:p>
        </w:tc>
        <w:tc>
          <w:tcPr>
            <w:tcW w:w="1577" w:type="dxa"/>
            <w:tcBorders>
              <w:top w:val="nil"/>
              <w:left w:val="nil"/>
              <w:bottom w:val="single" w:sz="4" w:space="0" w:color="auto"/>
              <w:right w:val="single" w:sz="4" w:space="0" w:color="auto"/>
            </w:tcBorders>
            <w:shd w:val="clear" w:color="auto" w:fill="auto"/>
            <w:noWrap/>
            <w:vAlign w:val="center"/>
            <w:hideMark/>
          </w:tcPr>
          <w:p w14:paraId="6AB10041" w14:textId="77777777" w:rsidR="005550BE" w:rsidRPr="001B4CA2" w:rsidRDefault="005550BE" w:rsidP="00A14600">
            <w:pPr>
              <w:jc w:val="left"/>
              <w:rPr>
                <w:rFonts w:eastAsia="Times New Roman"/>
                <w:bCs/>
                <w:color w:val="000000"/>
                <w:sz w:val="18"/>
                <w:szCs w:val="18"/>
                <w:lang w:eastAsia="hr-HR"/>
              </w:rPr>
            </w:pPr>
            <w:r w:rsidRPr="001B4CA2">
              <w:rPr>
                <w:rFonts w:eastAsia="Times New Roman"/>
                <w:bCs/>
                <w:color w:val="000000"/>
                <w:sz w:val="18"/>
                <w:szCs w:val="18"/>
                <w:lang w:eastAsia="hr-HR"/>
              </w:rPr>
              <w:t>Redovni</w:t>
            </w:r>
          </w:p>
        </w:tc>
        <w:tc>
          <w:tcPr>
            <w:tcW w:w="1628" w:type="dxa"/>
            <w:tcBorders>
              <w:top w:val="nil"/>
              <w:left w:val="nil"/>
              <w:bottom w:val="single" w:sz="4" w:space="0" w:color="auto"/>
              <w:right w:val="single" w:sz="4" w:space="0" w:color="auto"/>
            </w:tcBorders>
            <w:shd w:val="clear" w:color="auto" w:fill="auto"/>
            <w:noWrap/>
            <w:vAlign w:val="center"/>
          </w:tcPr>
          <w:p w14:paraId="2363B7D3" w14:textId="77777777" w:rsidR="005550BE" w:rsidRPr="001B4CA2" w:rsidRDefault="005550BE" w:rsidP="00A14600">
            <w:pPr>
              <w:jc w:val="center"/>
              <w:rPr>
                <w:color w:val="000000"/>
                <w:sz w:val="18"/>
                <w:szCs w:val="18"/>
              </w:rPr>
            </w:pPr>
            <w:r w:rsidRPr="001B4CA2">
              <w:rPr>
                <w:color w:val="000000"/>
                <w:sz w:val="18"/>
                <w:szCs w:val="18"/>
              </w:rPr>
              <w:t>3.253</w:t>
            </w:r>
          </w:p>
        </w:tc>
        <w:tc>
          <w:tcPr>
            <w:tcW w:w="1369" w:type="dxa"/>
            <w:vMerge w:val="restart"/>
            <w:tcBorders>
              <w:top w:val="nil"/>
              <w:left w:val="single" w:sz="4" w:space="0" w:color="auto"/>
              <w:bottom w:val="single" w:sz="4" w:space="0" w:color="auto"/>
              <w:right w:val="single" w:sz="4" w:space="0" w:color="auto"/>
            </w:tcBorders>
            <w:shd w:val="clear" w:color="auto" w:fill="auto"/>
            <w:noWrap/>
            <w:vAlign w:val="center"/>
          </w:tcPr>
          <w:p w14:paraId="438FD6F2" w14:textId="77777777" w:rsidR="005550BE" w:rsidRPr="001B4CA2" w:rsidRDefault="005550BE" w:rsidP="00A14600">
            <w:pPr>
              <w:jc w:val="center"/>
              <w:rPr>
                <w:color w:val="000000"/>
                <w:sz w:val="18"/>
                <w:szCs w:val="18"/>
              </w:rPr>
            </w:pPr>
            <w:r w:rsidRPr="001B4CA2">
              <w:rPr>
                <w:color w:val="000000"/>
                <w:sz w:val="18"/>
                <w:szCs w:val="18"/>
              </w:rPr>
              <w:t>4.112</w:t>
            </w:r>
          </w:p>
        </w:tc>
        <w:tc>
          <w:tcPr>
            <w:tcW w:w="1666" w:type="dxa"/>
            <w:vMerge w:val="restart"/>
            <w:tcBorders>
              <w:top w:val="nil"/>
              <w:left w:val="single" w:sz="4" w:space="0" w:color="auto"/>
              <w:bottom w:val="single" w:sz="4" w:space="0" w:color="auto"/>
              <w:right w:val="single" w:sz="4" w:space="0" w:color="auto"/>
            </w:tcBorders>
            <w:shd w:val="clear" w:color="auto" w:fill="auto"/>
            <w:noWrap/>
            <w:vAlign w:val="center"/>
          </w:tcPr>
          <w:p w14:paraId="0035CBB9" w14:textId="77777777" w:rsidR="005550BE" w:rsidRPr="001B4CA2" w:rsidRDefault="005550BE" w:rsidP="00A14600">
            <w:pPr>
              <w:jc w:val="center"/>
              <w:rPr>
                <w:rFonts w:eastAsia="Times New Roman"/>
                <w:bCs/>
                <w:color w:val="000000"/>
                <w:sz w:val="18"/>
                <w:szCs w:val="18"/>
                <w:lang w:eastAsia="hr-HR"/>
              </w:rPr>
            </w:pPr>
            <w:r w:rsidRPr="001B4CA2">
              <w:rPr>
                <w:rFonts w:eastAsia="Times New Roman"/>
                <w:bCs/>
                <w:color w:val="000000"/>
                <w:sz w:val="18"/>
                <w:szCs w:val="18"/>
                <w:lang w:eastAsia="hr-HR"/>
              </w:rPr>
              <w:t>21</w:t>
            </w:r>
          </w:p>
        </w:tc>
      </w:tr>
      <w:tr w:rsidR="005550BE" w:rsidRPr="001B4CA2" w14:paraId="0032BC8C" w14:textId="77777777" w:rsidTr="00A14600">
        <w:trPr>
          <w:trHeight w:val="397"/>
          <w:jc w:val="center"/>
        </w:trPr>
        <w:tc>
          <w:tcPr>
            <w:tcW w:w="1759" w:type="dxa"/>
            <w:vMerge/>
            <w:tcBorders>
              <w:top w:val="nil"/>
              <w:left w:val="single" w:sz="4" w:space="0" w:color="auto"/>
              <w:bottom w:val="single" w:sz="4" w:space="0" w:color="auto"/>
              <w:right w:val="single" w:sz="4" w:space="0" w:color="auto"/>
            </w:tcBorders>
            <w:vAlign w:val="center"/>
            <w:hideMark/>
          </w:tcPr>
          <w:p w14:paraId="4E7E0FCF" w14:textId="77777777" w:rsidR="005550BE" w:rsidRPr="001B4CA2" w:rsidRDefault="005550BE" w:rsidP="00A14600">
            <w:pPr>
              <w:jc w:val="left"/>
              <w:rPr>
                <w:rFonts w:eastAsia="Times New Roman"/>
                <w:bCs/>
                <w:color w:val="000000"/>
                <w:sz w:val="18"/>
                <w:szCs w:val="18"/>
                <w:lang w:eastAsia="hr-HR"/>
              </w:rPr>
            </w:pPr>
          </w:p>
        </w:tc>
        <w:tc>
          <w:tcPr>
            <w:tcW w:w="1577" w:type="dxa"/>
            <w:tcBorders>
              <w:top w:val="nil"/>
              <w:left w:val="nil"/>
              <w:bottom w:val="single" w:sz="4" w:space="0" w:color="auto"/>
              <w:right w:val="single" w:sz="4" w:space="0" w:color="auto"/>
            </w:tcBorders>
            <w:shd w:val="clear" w:color="auto" w:fill="auto"/>
            <w:noWrap/>
            <w:vAlign w:val="center"/>
            <w:hideMark/>
          </w:tcPr>
          <w:p w14:paraId="5531515D" w14:textId="77777777" w:rsidR="005550BE" w:rsidRPr="001B4CA2" w:rsidRDefault="005550BE" w:rsidP="00A14600">
            <w:pPr>
              <w:jc w:val="left"/>
              <w:rPr>
                <w:rFonts w:eastAsia="Times New Roman"/>
                <w:bCs/>
                <w:color w:val="000000"/>
                <w:sz w:val="18"/>
                <w:szCs w:val="18"/>
                <w:lang w:eastAsia="hr-HR"/>
              </w:rPr>
            </w:pPr>
            <w:r w:rsidRPr="001B4CA2">
              <w:rPr>
                <w:rFonts w:eastAsia="Times New Roman"/>
                <w:bCs/>
                <w:color w:val="000000"/>
                <w:sz w:val="18"/>
                <w:szCs w:val="18"/>
                <w:lang w:eastAsia="hr-HR"/>
              </w:rPr>
              <w:t>Izvanredni</w:t>
            </w:r>
          </w:p>
        </w:tc>
        <w:tc>
          <w:tcPr>
            <w:tcW w:w="1628" w:type="dxa"/>
            <w:tcBorders>
              <w:top w:val="nil"/>
              <w:left w:val="nil"/>
              <w:bottom w:val="single" w:sz="4" w:space="0" w:color="auto"/>
              <w:right w:val="single" w:sz="4" w:space="0" w:color="auto"/>
            </w:tcBorders>
            <w:shd w:val="clear" w:color="auto" w:fill="auto"/>
            <w:noWrap/>
            <w:vAlign w:val="center"/>
          </w:tcPr>
          <w:p w14:paraId="600B3C78" w14:textId="77777777" w:rsidR="005550BE" w:rsidRPr="001B4CA2" w:rsidRDefault="005550BE" w:rsidP="00A14600">
            <w:pPr>
              <w:jc w:val="center"/>
              <w:rPr>
                <w:color w:val="000000"/>
                <w:sz w:val="18"/>
                <w:szCs w:val="18"/>
              </w:rPr>
            </w:pPr>
            <w:r w:rsidRPr="001B4CA2">
              <w:rPr>
                <w:color w:val="000000"/>
                <w:sz w:val="18"/>
                <w:szCs w:val="18"/>
              </w:rPr>
              <w:t>859</w:t>
            </w:r>
          </w:p>
        </w:tc>
        <w:tc>
          <w:tcPr>
            <w:tcW w:w="1369" w:type="dxa"/>
            <w:vMerge/>
            <w:tcBorders>
              <w:top w:val="nil"/>
              <w:left w:val="single" w:sz="4" w:space="0" w:color="auto"/>
              <w:bottom w:val="single" w:sz="4" w:space="0" w:color="auto"/>
              <w:right w:val="single" w:sz="4" w:space="0" w:color="auto"/>
            </w:tcBorders>
            <w:vAlign w:val="center"/>
          </w:tcPr>
          <w:p w14:paraId="2A1B9FB6" w14:textId="77777777" w:rsidR="005550BE" w:rsidRPr="001B4CA2" w:rsidRDefault="005550BE" w:rsidP="00A14600">
            <w:pPr>
              <w:jc w:val="left"/>
              <w:rPr>
                <w:rFonts w:eastAsia="Times New Roman"/>
                <w:b/>
                <w:bCs/>
                <w:color w:val="000000"/>
                <w:sz w:val="18"/>
                <w:szCs w:val="18"/>
                <w:lang w:eastAsia="hr-HR"/>
              </w:rPr>
            </w:pPr>
          </w:p>
        </w:tc>
        <w:tc>
          <w:tcPr>
            <w:tcW w:w="1666" w:type="dxa"/>
            <w:vMerge/>
            <w:tcBorders>
              <w:top w:val="nil"/>
              <w:left w:val="single" w:sz="4" w:space="0" w:color="auto"/>
              <w:bottom w:val="single" w:sz="4" w:space="0" w:color="auto"/>
              <w:right w:val="single" w:sz="4" w:space="0" w:color="auto"/>
            </w:tcBorders>
            <w:vAlign w:val="center"/>
          </w:tcPr>
          <w:p w14:paraId="00CAD3FA" w14:textId="77777777" w:rsidR="005550BE" w:rsidRPr="001B4CA2" w:rsidRDefault="005550BE" w:rsidP="00A14600">
            <w:pPr>
              <w:jc w:val="left"/>
              <w:rPr>
                <w:rFonts w:eastAsia="Times New Roman"/>
                <w:b/>
                <w:bCs/>
                <w:color w:val="000000"/>
                <w:sz w:val="18"/>
                <w:szCs w:val="18"/>
                <w:lang w:eastAsia="hr-HR"/>
              </w:rPr>
            </w:pPr>
          </w:p>
        </w:tc>
      </w:tr>
    </w:tbl>
    <w:p w14:paraId="53C37555" w14:textId="77777777" w:rsidR="005550BE" w:rsidRPr="001B4CA2" w:rsidRDefault="005550BE" w:rsidP="005550BE"/>
    <w:p w14:paraId="7559A3CB" w14:textId="3DA3DA05" w:rsidR="00965363" w:rsidRPr="001B4CA2" w:rsidRDefault="005550BE" w:rsidP="00965363">
      <w:r w:rsidRPr="001B4CA2">
        <w:tab/>
      </w:r>
      <w:r w:rsidR="00965363" w:rsidRPr="001B4CA2">
        <w:t>Tijekom izvještajnog razdoblja općinska i županijska državna odvjetništva zastupala su Republiku Hrvatsku na 19.911 rasprava pred općinskim, trgovačkim i upravnim sudovima te javnopravnim tijelima. Izvan sjedišta državnog odvjetništva održan</w:t>
      </w:r>
      <w:r w:rsidR="005A76BE">
        <w:t>a</w:t>
      </w:r>
      <w:r w:rsidR="00965363" w:rsidRPr="001B4CA2">
        <w:t xml:space="preserve"> </w:t>
      </w:r>
      <w:r w:rsidR="005A76BE">
        <w:t>je</w:t>
      </w:r>
      <w:r w:rsidR="00965363" w:rsidRPr="001B4CA2">
        <w:t xml:space="preserve"> 5.481 rasprav</w:t>
      </w:r>
      <w:r w:rsidR="005A76BE">
        <w:t>a</w:t>
      </w:r>
      <w:r w:rsidR="00965363" w:rsidRPr="001B4CA2">
        <w:t>, tj. 28</w:t>
      </w:r>
      <w:r w:rsidR="00CE7EF2">
        <w:t> </w:t>
      </w:r>
      <w:r w:rsidR="00965363" w:rsidRPr="001B4CA2">
        <w:t xml:space="preserve">%, što predstavlja poseban problem zbog nedostatka službenih vozila, troškova putovanja i dužih izbivanja izvan sjedišta. Svaki je </w:t>
      </w:r>
      <w:proofErr w:type="spellStart"/>
      <w:r w:rsidR="00965363" w:rsidRPr="001B4CA2">
        <w:t>rješavatelj</w:t>
      </w:r>
      <w:proofErr w:type="spellEnd"/>
      <w:r w:rsidR="00965363" w:rsidRPr="001B4CA2">
        <w:t xml:space="preserve"> u 2022. godini zastupao prosječno na 100 rasprava.</w:t>
      </w:r>
    </w:p>
    <w:p w14:paraId="0AED9BAF" w14:textId="77777777" w:rsidR="00965363" w:rsidRPr="001B4CA2" w:rsidRDefault="00965363" w:rsidP="00965363"/>
    <w:p w14:paraId="587A42A4" w14:textId="77777777" w:rsidR="00965363" w:rsidRPr="001B4CA2" w:rsidRDefault="00965363" w:rsidP="00965363">
      <w:r w:rsidRPr="001B4CA2">
        <w:tab/>
        <w:t xml:space="preserve">Tijekom 2022. godine uložena su 3.253 redovita te 859 izvanrednih pravnih lijekova. </w:t>
      </w:r>
    </w:p>
    <w:p w14:paraId="2FD9ECA9" w14:textId="655B8503" w:rsidR="008B434E" w:rsidRPr="001B4CA2" w:rsidRDefault="008B434E" w:rsidP="00965363"/>
    <w:p w14:paraId="5642E449" w14:textId="30761AE8" w:rsidR="00DA0CA5" w:rsidRPr="001B4CA2" w:rsidRDefault="00BB4D48" w:rsidP="00BF508A">
      <w:pPr>
        <w:pStyle w:val="Naslov4"/>
        <w:tabs>
          <w:tab w:val="left" w:pos="709"/>
        </w:tabs>
        <w:ind w:left="426"/>
        <w:rPr>
          <w:rFonts w:ascii="Arial" w:hAnsi="Arial" w:cs="Arial"/>
        </w:rPr>
      </w:pPr>
      <w:bookmarkStart w:id="41" w:name="_Toc133394303"/>
      <w:r w:rsidRPr="001B4CA2">
        <w:rPr>
          <w:rFonts w:ascii="Arial" w:hAnsi="Arial" w:cs="Arial"/>
        </w:rPr>
        <w:t>Predmeti izvansudskog rješavanja sporova</w:t>
      </w:r>
      <w:bookmarkEnd w:id="41"/>
    </w:p>
    <w:p w14:paraId="3DF2FD9D" w14:textId="77777777" w:rsidR="00DA0CA5" w:rsidRPr="001B4CA2" w:rsidRDefault="00DA0CA5" w:rsidP="00DA0CA5"/>
    <w:p w14:paraId="65625963" w14:textId="77777777" w:rsidR="00965363" w:rsidRPr="001B4CA2" w:rsidRDefault="00C9757D" w:rsidP="00965363">
      <w:r w:rsidRPr="001B4CA2">
        <w:tab/>
      </w:r>
      <w:r w:rsidR="00965363" w:rsidRPr="001B4CA2">
        <w:t xml:space="preserve">Državna odvjetništva dužna su u građanskim i upravnim predmetima, kad god je to moguće, štiteći imovinske interese Republike Hrvatske sklapati nagodbe i poduzeti sve pravne radnje u okviru svojih zakonskih ovlasti da se sporovi rješavaju mirnim putem i izvan sudskih postupaka. Način izvansudskog rješavanja sporova jest i izdavanje </w:t>
      </w:r>
      <w:proofErr w:type="spellStart"/>
      <w:r w:rsidR="00965363" w:rsidRPr="001B4CA2">
        <w:t>tabularne</w:t>
      </w:r>
      <w:proofErr w:type="spellEnd"/>
      <w:r w:rsidR="00965363" w:rsidRPr="001B4CA2">
        <w:t xml:space="preserve"> isprave radi upisa prava vlasništva sukladno članku 57. stavku 3. Zakona o zemljišnim knjigama (Narodne novine broj 63/19 i 128/22) koji propisuje da će se smatrati kako je potpis osobe koja je kao tijelo pravne osobe raspolagala nekretninom na ispravi propisno ovjerovljen i kad ispravu supotpiše nadležno županijsko državno odvjetništvo kad pravna osoba koja je raspolagala nekretninom nema pravnoga sljednika.</w:t>
      </w:r>
    </w:p>
    <w:p w14:paraId="40CE0B51" w14:textId="090C246D" w:rsidR="001858B2" w:rsidRPr="001B4CA2" w:rsidRDefault="001858B2" w:rsidP="001858B2"/>
    <w:p w14:paraId="38782BA6" w14:textId="33A262A5" w:rsidR="00BB4D48" w:rsidRPr="001B4CA2" w:rsidRDefault="005D7CD6" w:rsidP="00BF508A">
      <w:pPr>
        <w:pStyle w:val="Naslov5"/>
        <w:tabs>
          <w:tab w:val="left" w:pos="709"/>
        </w:tabs>
        <w:ind w:left="1134" w:hanging="850"/>
      </w:pPr>
      <w:bookmarkStart w:id="42" w:name="_Toc133394304"/>
      <w:r w:rsidRPr="001B4CA2">
        <w:t>M</w:t>
      </w:r>
      <w:r w:rsidR="00BB4D48" w:rsidRPr="001B4CA2">
        <w:t xml:space="preserve">irno </w:t>
      </w:r>
      <w:r w:rsidR="000150D5" w:rsidRPr="001B4CA2">
        <w:t>rješavanje</w:t>
      </w:r>
      <w:r w:rsidR="00BB4D48" w:rsidRPr="001B4CA2">
        <w:t xml:space="preserve"> sporova (članak 186.a</w:t>
      </w:r>
      <w:r w:rsidR="007326B9" w:rsidRPr="001B4CA2">
        <w:t xml:space="preserve"> Zakona o parničnom postupku)</w:t>
      </w:r>
      <w:bookmarkEnd w:id="42"/>
    </w:p>
    <w:p w14:paraId="28C3ED39" w14:textId="35F8FC3F" w:rsidR="00DA0CA5" w:rsidRPr="001B4CA2" w:rsidRDefault="00DA0CA5" w:rsidP="00B35AC2"/>
    <w:p w14:paraId="7B99FA4E" w14:textId="77777777" w:rsidR="00965363" w:rsidRPr="001B4CA2" w:rsidRDefault="00C9757D" w:rsidP="00965363">
      <w:r w:rsidRPr="001B4CA2">
        <w:tab/>
      </w:r>
      <w:r w:rsidR="00965363" w:rsidRPr="001B4CA2">
        <w:t>Člankom 186.a Zakona o parničnom postupku (dalje: ZPP) propisana je obveza svih osoba koje namjeravaju tužiti Republiku Hrvatsku da prije podnošenja tužbe sudu podnesu zahtjev za mirno rješenje spora nadležnom državnom odvjetništvu. Istu obvezu ima i Republika Hrvatska kada namjerava tužiti neku osobu.</w:t>
      </w:r>
    </w:p>
    <w:p w14:paraId="5D24816A" w14:textId="77777777" w:rsidR="00965363" w:rsidRPr="001B4CA2" w:rsidRDefault="00965363" w:rsidP="00965363"/>
    <w:p w14:paraId="5C859BBE" w14:textId="55E6BD46" w:rsidR="00965363" w:rsidRPr="001B4CA2" w:rsidRDefault="00965363" w:rsidP="00965363">
      <w:r w:rsidRPr="001B4CA2">
        <w:tab/>
        <w:t xml:space="preserve">Sklapanjem izvansudskih nagodbi smanjuju se troškovi, i to direktni (kamate, troškovi odvjetnika i dr.), ali i indirektni (rad sudova pa i samog državnog odvjetništva). Iskustvo državnog odvjetništva potvrđuju i prikazani podatci – da je </w:t>
      </w:r>
      <w:r w:rsidRPr="001B4CA2">
        <w:lastRenderedPageBreak/>
        <w:t>ovaj način izvansudskog rješavanja sporova u kojima je stranka Republika Hrvatska dao najbolje rezultate. Stoga i nadalje treba stvarati pretpostavke za sklapanje još većeg broja nagodbi, jačajući stručne i kadrovske kapacitete u državnom odvjetništvu te u drugim državnim tijelima, posebno onima koji generiraju najveći broj sporova.</w:t>
      </w:r>
    </w:p>
    <w:p w14:paraId="6260321C" w14:textId="0CB4B8DE" w:rsidR="00C9757D" w:rsidRPr="001B4CA2" w:rsidRDefault="00C9757D" w:rsidP="00965363"/>
    <w:p w14:paraId="0C911390" w14:textId="629A4D92" w:rsidR="00C9757D" w:rsidRPr="001B4CA2" w:rsidRDefault="00C9757D" w:rsidP="00C9757D">
      <w:pPr>
        <w:ind w:left="142"/>
        <w:jc w:val="left"/>
        <w:rPr>
          <w:i/>
        </w:rPr>
      </w:pPr>
      <w:bookmarkStart w:id="43" w:name="_Hlk59701441"/>
      <w:r w:rsidRPr="001B4CA2">
        <w:rPr>
          <w:i/>
        </w:rPr>
        <w:t>a) Zahtjev za mirno rješenje spora (186.a ZPP-a), 2018. – 2022.</w:t>
      </w:r>
    </w:p>
    <w:tbl>
      <w:tblPr>
        <w:tblW w:w="4884" w:type="pct"/>
        <w:tblInd w:w="108" w:type="dxa"/>
        <w:tblLook w:val="04A0" w:firstRow="1" w:lastRow="0" w:firstColumn="1" w:lastColumn="0" w:noHBand="0" w:noVBand="1"/>
      </w:tblPr>
      <w:tblGrid>
        <w:gridCol w:w="836"/>
        <w:gridCol w:w="841"/>
        <w:gridCol w:w="1191"/>
        <w:gridCol w:w="1191"/>
        <w:gridCol w:w="1194"/>
        <w:gridCol w:w="1251"/>
        <w:gridCol w:w="1157"/>
        <w:gridCol w:w="1412"/>
      </w:tblGrid>
      <w:tr w:rsidR="00C9757D" w:rsidRPr="001B4CA2" w14:paraId="7A4DF011" w14:textId="77777777" w:rsidTr="009C5AEE">
        <w:trPr>
          <w:trHeight w:val="964"/>
        </w:trPr>
        <w:tc>
          <w:tcPr>
            <w:tcW w:w="461" w:type="pct"/>
            <w:tcBorders>
              <w:top w:val="single" w:sz="4" w:space="0" w:color="auto"/>
              <w:left w:val="single" w:sz="4" w:space="0" w:color="auto"/>
              <w:bottom w:val="single" w:sz="4" w:space="0" w:color="auto"/>
              <w:right w:val="single" w:sz="4" w:space="0" w:color="auto"/>
            </w:tcBorders>
            <w:shd w:val="clear" w:color="auto" w:fill="99CCFF"/>
            <w:vAlign w:val="center"/>
            <w:hideMark/>
          </w:tcPr>
          <w:bookmarkEnd w:id="43"/>
          <w:p w14:paraId="34A82653" w14:textId="77777777" w:rsidR="00C9757D" w:rsidRPr="001B4CA2" w:rsidRDefault="00C9757D" w:rsidP="00A14600">
            <w:pPr>
              <w:jc w:val="center"/>
              <w:rPr>
                <w:rFonts w:eastAsia="Times New Roman"/>
                <w:b/>
                <w:bCs/>
                <w:sz w:val="18"/>
                <w:szCs w:val="18"/>
                <w:lang w:eastAsia="hr-HR"/>
              </w:rPr>
            </w:pPr>
            <w:r w:rsidRPr="001B4CA2">
              <w:rPr>
                <w:rFonts w:eastAsia="Times New Roman"/>
                <w:b/>
                <w:bCs/>
                <w:sz w:val="18"/>
                <w:szCs w:val="18"/>
                <w:lang w:eastAsia="hr-HR"/>
              </w:rPr>
              <w:t>Godina</w:t>
            </w:r>
          </w:p>
        </w:tc>
        <w:tc>
          <w:tcPr>
            <w:tcW w:w="469" w:type="pct"/>
            <w:tcBorders>
              <w:top w:val="single" w:sz="4" w:space="0" w:color="auto"/>
              <w:left w:val="nil"/>
              <w:bottom w:val="single" w:sz="4" w:space="0" w:color="auto"/>
              <w:right w:val="single" w:sz="4" w:space="0" w:color="auto"/>
            </w:tcBorders>
            <w:shd w:val="clear" w:color="auto" w:fill="99CCFF"/>
            <w:vAlign w:val="center"/>
            <w:hideMark/>
          </w:tcPr>
          <w:p w14:paraId="31D2FBAB" w14:textId="77777777" w:rsidR="00C9757D" w:rsidRPr="001B4CA2" w:rsidRDefault="00C9757D" w:rsidP="00A14600">
            <w:pPr>
              <w:jc w:val="center"/>
              <w:rPr>
                <w:rFonts w:eastAsia="Times New Roman"/>
                <w:b/>
                <w:bCs/>
                <w:sz w:val="18"/>
                <w:szCs w:val="18"/>
                <w:lang w:eastAsia="hr-HR"/>
              </w:rPr>
            </w:pPr>
            <w:r w:rsidRPr="001B4CA2">
              <w:rPr>
                <w:rFonts w:eastAsia="Times New Roman"/>
                <w:b/>
                <w:bCs/>
                <w:sz w:val="18"/>
                <w:szCs w:val="18"/>
                <w:lang w:eastAsia="hr-HR"/>
              </w:rPr>
              <w:t>Ostalo u radu u DO</w:t>
            </w:r>
          </w:p>
        </w:tc>
        <w:tc>
          <w:tcPr>
            <w:tcW w:w="659" w:type="pct"/>
            <w:tcBorders>
              <w:top w:val="single" w:sz="4" w:space="0" w:color="auto"/>
              <w:left w:val="nil"/>
              <w:bottom w:val="single" w:sz="4" w:space="0" w:color="auto"/>
              <w:right w:val="single" w:sz="4" w:space="0" w:color="auto"/>
            </w:tcBorders>
            <w:shd w:val="clear" w:color="auto" w:fill="99CCFF"/>
            <w:vAlign w:val="center"/>
            <w:hideMark/>
          </w:tcPr>
          <w:p w14:paraId="060DADD6" w14:textId="77777777" w:rsidR="00C9757D" w:rsidRPr="001B4CA2" w:rsidRDefault="00C9757D" w:rsidP="00A14600">
            <w:pPr>
              <w:jc w:val="center"/>
              <w:rPr>
                <w:rFonts w:eastAsia="Times New Roman"/>
                <w:b/>
                <w:bCs/>
                <w:sz w:val="18"/>
                <w:szCs w:val="18"/>
                <w:lang w:eastAsia="hr-HR"/>
              </w:rPr>
            </w:pPr>
            <w:r w:rsidRPr="001B4CA2">
              <w:rPr>
                <w:rFonts w:eastAsia="Times New Roman"/>
                <w:b/>
                <w:bCs/>
                <w:sz w:val="18"/>
                <w:szCs w:val="18"/>
                <w:lang w:eastAsia="hr-HR"/>
              </w:rPr>
              <w:t>Primljeno novih zahtjeva</w:t>
            </w:r>
          </w:p>
        </w:tc>
        <w:tc>
          <w:tcPr>
            <w:tcW w:w="659" w:type="pct"/>
            <w:tcBorders>
              <w:top w:val="single" w:sz="4" w:space="0" w:color="auto"/>
              <w:left w:val="nil"/>
              <w:bottom w:val="single" w:sz="4" w:space="0" w:color="auto"/>
              <w:right w:val="single" w:sz="4" w:space="0" w:color="auto"/>
            </w:tcBorders>
            <w:shd w:val="clear" w:color="auto" w:fill="99CCFF"/>
            <w:vAlign w:val="center"/>
            <w:hideMark/>
          </w:tcPr>
          <w:p w14:paraId="55D28EA2" w14:textId="77777777" w:rsidR="00C9757D" w:rsidRPr="001B4CA2" w:rsidRDefault="00C9757D" w:rsidP="00A14600">
            <w:pPr>
              <w:jc w:val="center"/>
              <w:rPr>
                <w:rFonts w:eastAsia="Times New Roman"/>
                <w:b/>
                <w:bCs/>
                <w:sz w:val="18"/>
                <w:szCs w:val="18"/>
                <w:lang w:eastAsia="hr-HR"/>
              </w:rPr>
            </w:pPr>
            <w:r w:rsidRPr="001B4CA2">
              <w:rPr>
                <w:rFonts w:eastAsia="Times New Roman"/>
                <w:b/>
                <w:bCs/>
                <w:sz w:val="18"/>
                <w:szCs w:val="18"/>
                <w:lang w:eastAsia="hr-HR"/>
              </w:rPr>
              <w:t>Ukupno u radu u DO</w:t>
            </w:r>
          </w:p>
        </w:tc>
        <w:tc>
          <w:tcPr>
            <w:tcW w:w="661" w:type="pct"/>
            <w:tcBorders>
              <w:top w:val="single" w:sz="4" w:space="0" w:color="auto"/>
              <w:left w:val="nil"/>
              <w:bottom w:val="single" w:sz="4" w:space="0" w:color="auto"/>
              <w:right w:val="single" w:sz="4" w:space="0" w:color="auto"/>
            </w:tcBorders>
            <w:shd w:val="clear" w:color="auto" w:fill="99CCFF"/>
            <w:vAlign w:val="center"/>
            <w:hideMark/>
          </w:tcPr>
          <w:p w14:paraId="09B6B6EB" w14:textId="77777777" w:rsidR="00C9757D" w:rsidRPr="001B4CA2" w:rsidRDefault="00C9757D" w:rsidP="00A14600">
            <w:pPr>
              <w:jc w:val="center"/>
              <w:rPr>
                <w:rFonts w:eastAsia="Times New Roman"/>
                <w:b/>
                <w:bCs/>
                <w:sz w:val="18"/>
                <w:szCs w:val="18"/>
                <w:lang w:eastAsia="hr-HR"/>
              </w:rPr>
            </w:pPr>
            <w:r w:rsidRPr="001B4CA2">
              <w:rPr>
                <w:rFonts w:eastAsia="Times New Roman"/>
                <w:b/>
                <w:bCs/>
                <w:sz w:val="18"/>
                <w:szCs w:val="18"/>
                <w:lang w:eastAsia="hr-HR"/>
              </w:rPr>
              <w:t>Ukupno donesenih odluka</w:t>
            </w:r>
          </w:p>
        </w:tc>
        <w:tc>
          <w:tcPr>
            <w:tcW w:w="692" w:type="pct"/>
            <w:tcBorders>
              <w:top w:val="single" w:sz="4" w:space="0" w:color="auto"/>
              <w:left w:val="nil"/>
              <w:bottom w:val="single" w:sz="4" w:space="0" w:color="auto"/>
              <w:right w:val="single" w:sz="4" w:space="0" w:color="auto"/>
            </w:tcBorders>
            <w:shd w:val="clear" w:color="auto" w:fill="99CCFF"/>
            <w:vAlign w:val="center"/>
            <w:hideMark/>
          </w:tcPr>
          <w:p w14:paraId="41941596" w14:textId="77777777" w:rsidR="00C9757D" w:rsidRPr="001B4CA2" w:rsidRDefault="00C9757D" w:rsidP="00A14600">
            <w:pPr>
              <w:jc w:val="center"/>
              <w:rPr>
                <w:rFonts w:eastAsia="Times New Roman"/>
                <w:b/>
                <w:bCs/>
                <w:sz w:val="18"/>
                <w:szCs w:val="18"/>
                <w:lang w:eastAsia="hr-HR"/>
              </w:rPr>
            </w:pPr>
            <w:r w:rsidRPr="001B4CA2">
              <w:rPr>
                <w:rFonts w:eastAsia="Times New Roman"/>
                <w:b/>
                <w:bCs/>
                <w:sz w:val="18"/>
                <w:szCs w:val="18"/>
                <w:lang w:eastAsia="hr-HR"/>
              </w:rPr>
              <w:t>Vrijednost svih novih zahtjeva</w:t>
            </w:r>
          </w:p>
          <w:p w14:paraId="690CE884" w14:textId="77777777" w:rsidR="00C9757D" w:rsidRPr="001B4CA2" w:rsidRDefault="00C9757D" w:rsidP="00A14600">
            <w:pPr>
              <w:jc w:val="center"/>
              <w:rPr>
                <w:rFonts w:eastAsia="Times New Roman"/>
                <w:b/>
                <w:bCs/>
                <w:sz w:val="18"/>
                <w:szCs w:val="18"/>
                <w:lang w:eastAsia="hr-HR"/>
              </w:rPr>
            </w:pPr>
            <w:r w:rsidRPr="001B4CA2">
              <w:rPr>
                <w:rFonts w:eastAsia="Times New Roman"/>
                <w:b/>
                <w:bCs/>
                <w:sz w:val="18"/>
                <w:szCs w:val="18"/>
                <w:lang w:eastAsia="hr-HR"/>
              </w:rPr>
              <w:t>(u tisućama kuna)</w:t>
            </w:r>
          </w:p>
        </w:tc>
        <w:tc>
          <w:tcPr>
            <w:tcW w:w="617" w:type="pct"/>
            <w:tcBorders>
              <w:top w:val="single" w:sz="4" w:space="0" w:color="auto"/>
              <w:left w:val="nil"/>
              <w:bottom w:val="single" w:sz="4" w:space="0" w:color="auto"/>
              <w:right w:val="single" w:sz="4" w:space="0" w:color="auto"/>
            </w:tcBorders>
            <w:shd w:val="clear" w:color="auto" w:fill="99CCFF"/>
            <w:vAlign w:val="center"/>
            <w:hideMark/>
          </w:tcPr>
          <w:p w14:paraId="2F4105AB" w14:textId="77777777" w:rsidR="00C9757D" w:rsidRPr="001B4CA2" w:rsidRDefault="00C9757D" w:rsidP="00A14600">
            <w:pPr>
              <w:jc w:val="center"/>
              <w:rPr>
                <w:rFonts w:eastAsia="Times New Roman"/>
                <w:b/>
                <w:bCs/>
                <w:sz w:val="18"/>
                <w:szCs w:val="18"/>
                <w:lang w:eastAsia="hr-HR"/>
              </w:rPr>
            </w:pPr>
            <w:r w:rsidRPr="001B4CA2">
              <w:rPr>
                <w:rFonts w:eastAsia="Times New Roman"/>
                <w:b/>
                <w:bCs/>
                <w:sz w:val="18"/>
                <w:szCs w:val="18"/>
                <w:lang w:eastAsia="hr-HR"/>
              </w:rPr>
              <w:t>Broj sklopljenih nagodbi</w:t>
            </w:r>
          </w:p>
        </w:tc>
        <w:tc>
          <w:tcPr>
            <w:tcW w:w="781" w:type="pct"/>
            <w:tcBorders>
              <w:top w:val="single" w:sz="4" w:space="0" w:color="auto"/>
              <w:left w:val="nil"/>
              <w:bottom w:val="single" w:sz="4" w:space="0" w:color="auto"/>
              <w:right w:val="single" w:sz="4" w:space="0" w:color="auto"/>
            </w:tcBorders>
            <w:shd w:val="clear" w:color="auto" w:fill="99CCFF"/>
            <w:vAlign w:val="center"/>
            <w:hideMark/>
          </w:tcPr>
          <w:p w14:paraId="6C83324E" w14:textId="77777777" w:rsidR="00C9757D" w:rsidRPr="001B4CA2" w:rsidRDefault="00C9757D" w:rsidP="00A14600">
            <w:pPr>
              <w:jc w:val="center"/>
              <w:rPr>
                <w:rFonts w:eastAsia="Times New Roman"/>
                <w:b/>
                <w:bCs/>
                <w:sz w:val="18"/>
                <w:szCs w:val="18"/>
                <w:lang w:eastAsia="hr-HR"/>
              </w:rPr>
            </w:pPr>
            <w:r w:rsidRPr="001B4CA2">
              <w:rPr>
                <w:rFonts w:eastAsia="Times New Roman"/>
                <w:b/>
                <w:bCs/>
                <w:sz w:val="18"/>
                <w:szCs w:val="18"/>
                <w:lang w:eastAsia="hr-HR"/>
              </w:rPr>
              <w:t>Vrijednost svih sklopljenih nagodbi</w:t>
            </w:r>
          </w:p>
          <w:p w14:paraId="002DDB97" w14:textId="77777777" w:rsidR="00C9757D" w:rsidRPr="001B4CA2" w:rsidRDefault="00C9757D" w:rsidP="00A14600">
            <w:pPr>
              <w:jc w:val="center"/>
              <w:rPr>
                <w:rFonts w:eastAsia="Times New Roman"/>
                <w:b/>
                <w:bCs/>
                <w:sz w:val="18"/>
                <w:szCs w:val="18"/>
                <w:lang w:eastAsia="hr-HR"/>
              </w:rPr>
            </w:pPr>
            <w:r w:rsidRPr="001B4CA2">
              <w:rPr>
                <w:rFonts w:eastAsia="Times New Roman"/>
                <w:b/>
                <w:bCs/>
                <w:sz w:val="18"/>
                <w:szCs w:val="18"/>
                <w:lang w:eastAsia="hr-HR"/>
              </w:rPr>
              <w:t>(u tisućama kuna)</w:t>
            </w:r>
          </w:p>
        </w:tc>
      </w:tr>
      <w:tr w:rsidR="00C9757D" w:rsidRPr="001B4CA2" w14:paraId="608890FF" w14:textId="77777777" w:rsidTr="009C5AEE">
        <w:trPr>
          <w:trHeight w:val="338"/>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AFFAF92" w14:textId="77777777" w:rsidR="00C9757D" w:rsidRPr="001B4CA2" w:rsidRDefault="00C9757D"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2018.</w:t>
            </w:r>
          </w:p>
        </w:tc>
        <w:tc>
          <w:tcPr>
            <w:tcW w:w="469" w:type="pct"/>
            <w:tcBorders>
              <w:top w:val="nil"/>
              <w:left w:val="nil"/>
              <w:bottom w:val="single" w:sz="4" w:space="0" w:color="auto"/>
              <w:right w:val="single" w:sz="4" w:space="0" w:color="auto"/>
            </w:tcBorders>
            <w:shd w:val="clear" w:color="auto" w:fill="auto"/>
            <w:noWrap/>
            <w:vAlign w:val="center"/>
          </w:tcPr>
          <w:p w14:paraId="5DFF2B69" w14:textId="77777777" w:rsidR="00C9757D" w:rsidRPr="001B4CA2" w:rsidRDefault="00C9757D" w:rsidP="00A251B2">
            <w:pPr>
              <w:jc w:val="center"/>
              <w:rPr>
                <w:rFonts w:eastAsia="Times New Roman"/>
                <w:bCs/>
                <w:sz w:val="18"/>
                <w:szCs w:val="18"/>
                <w:lang w:eastAsia="hr-HR"/>
              </w:rPr>
            </w:pPr>
            <w:r w:rsidRPr="001B4CA2">
              <w:rPr>
                <w:rFonts w:eastAsia="Times New Roman"/>
                <w:bCs/>
                <w:color w:val="000000"/>
                <w:sz w:val="18"/>
                <w:szCs w:val="18"/>
                <w:lang w:eastAsia="hr-HR"/>
              </w:rPr>
              <w:t>2.251</w:t>
            </w:r>
          </w:p>
        </w:tc>
        <w:tc>
          <w:tcPr>
            <w:tcW w:w="659" w:type="pct"/>
            <w:tcBorders>
              <w:top w:val="nil"/>
              <w:left w:val="nil"/>
              <w:bottom w:val="single" w:sz="4" w:space="0" w:color="auto"/>
              <w:right w:val="single" w:sz="4" w:space="0" w:color="auto"/>
            </w:tcBorders>
            <w:shd w:val="clear" w:color="auto" w:fill="auto"/>
            <w:noWrap/>
            <w:vAlign w:val="center"/>
          </w:tcPr>
          <w:p w14:paraId="21313DE7" w14:textId="77777777" w:rsidR="00C9757D" w:rsidRPr="001B4CA2" w:rsidRDefault="00C9757D" w:rsidP="00A251B2">
            <w:pPr>
              <w:jc w:val="center"/>
              <w:rPr>
                <w:rFonts w:eastAsia="Times New Roman"/>
                <w:sz w:val="18"/>
                <w:szCs w:val="18"/>
                <w:lang w:eastAsia="hr-HR"/>
              </w:rPr>
            </w:pPr>
            <w:r w:rsidRPr="001B4CA2">
              <w:rPr>
                <w:rFonts w:eastAsia="Times New Roman"/>
                <w:color w:val="000000"/>
                <w:sz w:val="18"/>
                <w:szCs w:val="18"/>
                <w:lang w:eastAsia="hr-HR"/>
              </w:rPr>
              <w:t>8.001</w:t>
            </w:r>
          </w:p>
        </w:tc>
        <w:tc>
          <w:tcPr>
            <w:tcW w:w="659" w:type="pct"/>
            <w:tcBorders>
              <w:top w:val="nil"/>
              <w:left w:val="nil"/>
              <w:bottom w:val="single" w:sz="4" w:space="0" w:color="auto"/>
              <w:right w:val="single" w:sz="4" w:space="0" w:color="auto"/>
            </w:tcBorders>
            <w:shd w:val="clear" w:color="auto" w:fill="auto"/>
            <w:noWrap/>
            <w:vAlign w:val="center"/>
          </w:tcPr>
          <w:p w14:paraId="792089D3" w14:textId="77777777" w:rsidR="00C9757D" w:rsidRPr="001B4CA2" w:rsidRDefault="00C9757D" w:rsidP="00A251B2">
            <w:pPr>
              <w:jc w:val="center"/>
              <w:rPr>
                <w:rFonts w:eastAsia="Times New Roman"/>
                <w:bCs/>
                <w:sz w:val="18"/>
                <w:szCs w:val="18"/>
                <w:lang w:eastAsia="hr-HR"/>
              </w:rPr>
            </w:pPr>
            <w:r w:rsidRPr="001B4CA2">
              <w:rPr>
                <w:rFonts w:eastAsia="Times New Roman"/>
                <w:bCs/>
                <w:color w:val="000000"/>
                <w:sz w:val="18"/>
                <w:szCs w:val="18"/>
                <w:lang w:eastAsia="hr-HR"/>
              </w:rPr>
              <w:t>10.252</w:t>
            </w:r>
          </w:p>
        </w:tc>
        <w:tc>
          <w:tcPr>
            <w:tcW w:w="661" w:type="pct"/>
            <w:tcBorders>
              <w:top w:val="nil"/>
              <w:left w:val="nil"/>
              <w:bottom w:val="single" w:sz="4" w:space="0" w:color="auto"/>
              <w:right w:val="single" w:sz="4" w:space="0" w:color="auto"/>
            </w:tcBorders>
            <w:shd w:val="clear" w:color="auto" w:fill="auto"/>
            <w:noWrap/>
            <w:vAlign w:val="center"/>
          </w:tcPr>
          <w:p w14:paraId="70546BB8" w14:textId="77777777" w:rsidR="00C9757D" w:rsidRPr="001B4CA2" w:rsidRDefault="00C9757D" w:rsidP="00A251B2">
            <w:pPr>
              <w:jc w:val="center"/>
              <w:rPr>
                <w:rFonts w:eastAsia="Times New Roman"/>
                <w:sz w:val="18"/>
                <w:szCs w:val="18"/>
                <w:lang w:eastAsia="hr-HR"/>
              </w:rPr>
            </w:pPr>
            <w:r w:rsidRPr="001B4CA2">
              <w:rPr>
                <w:rFonts w:eastAsia="Times New Roman"/>
                <w:color w:val="000000"/>
                <w:sz w:val="18"/>
                <w:szCs w:val="18"/>
                <w:lang w:eastAsia="hr-HR"/>
              </w:rPr>
              <w:t>8.478</w:t>
            </w:r>
          </w:p>
        </w:tc>
        <w:tc>
          <w:tcPr>
            <w:tcW w:w="692" w:type="pct"/>
            <w:tcBorders>
              <w:top w:val="nil"/>
              <w:left w:val="nil"/>
              <w:bottom w:val="single" w:sz="4" w:space="0" w:color="auto"/>
              <w:right w:val="single" w:sz="4" w:space="0" w:color="auto"/>
            </w:tcBorders>
            <w:shd w:val="clear" w:color="auto" w:fill="auto"/>
            <w:noWrap/>
            <w:vAlign w:val="center"/>
          </w:tcPr>
          <w:p w14:paraId="71B56CA6" w14:textId="77777777" w:rsidR="00C9757D" w:rsidRPr="001B4CA2" w:rsidRDefault="00C9757D" w:rsidP="00A251B2">
            <w:pPr>
              <w:jc w:val="center"/>
              <w:rPr>
                <w:rFonts w:eastAsia="Times New Roman"/>
                <w:sz w:val="18"/>
                <w:szCs w:val="18"/>
                <w:lang w:eastAsia="hr-HR"/>
              </w:rPr>
            </w:pPr>
            <w:r w:rsidRPr="001B4CA2">
              <w:rPr>
                <w:rFonts w:eastAsia="Times New Roman"/>
                <w:color w:val="000000"/>
                <w:sz w:val="18"/>
                <w:szCs w:val="18"/>
                <w:lang w:eastAsia="hr-HR"/>
              </w:rPr>
              <w:t>6.479.136</w:t>
            </w:r>
          </w:p>
        </w:tc>
        <w:tc>
          <w:tcPr>
            <w:tcW w:w="617" w:type="pct"/>
            <w:tcBorders>
              <w:top w:val="nil"/>
              <w:left w:val="nil"/>
              <w:bottom w:val="single" w:sz="4" w:space="0" w:color="auto"/>
              <w:right w:val="single" w:sz="4" w:space="0" w:color="auto"/>
            </w:tcBorders>
            <w:shd w:val="clear" w:color="auto" w:fill="auto"/>
            <w:noWrap/>
            <w:vAlign w:val="center"/>
          </w:tcPr>
          <w:p w14:paraId="5816116B" w14:textId="77777777" w:rsidR="00C9757D" w:rsidRPr="001B4CA2" w:rsidRDefault="00C9757D" w:rsidP="00A251B2">
            <w:pPr>
              <w:jc w:val="center"/>
              <w:rPr>
                <w:rFonts w:eastAsia="Times New Roman"/>
                <w:sz w:val="18"/>
                <w:szCs w:val="18"/>
                <w:lang w:eastAsia="hr-HR"/>
              </w:rPr>
            </w:pPr>
            <w:r w:rsidRPr="001B4CA2">
              <w:rPr>
                <w:rFonts w:eastAsia="Times New Roman"/>
                <w:color w:val="000000"/>
                <w:sz w:val="18"/>
                <w:szCs w:val="18"/>
                <w:lang w:eastAsia="hr-HR"/>
              </w:rPr>
              <w:t>1.716</w:t>
            </w:r>
          </w:p>
        </w:tc>
        <w:tc>
          <w:tcPr>
            <w:tcW w:w="781" w:type="pct"/>
            <w:tcBorders>
              <w:top w:val="nil"/>
              <w:left w:val="nil"/>
              <w:bottom w:val="single" w:sz="4" w:space="0" w:color="auto"/>
              <w:right w:val="single" w:sz="4" w:space="0" w:color="auto"/>
            </w:tcBorders>
            <w:shd w:val="clear" w:color="auto" w:fill="auto"/>
            <w:noWrap/>
            <w:vAlign w:val="center"/>
          </w:tcPr>
          <w:p w14:paraId="61A70C1D" w14:textId="77777777" w:rsidR="00C9757D" w:rsidRPr="001B4CA2" w:rsidRDefault="00C9757D" w:rsidP="00A251B2">
            <w:pPr>
              <w:jc w:val="center"/>
              <w:rPr>
                <w:rFonts w:eastAsia="Times New Roman"/>
                <w:sz w:val="18"/>
                <w:szCs w:val="18"/>
                <w:lang w:eastAsia="hr-HR"/>
              </w:rPr>
            </w:pPr>
            <w:r w:rsidRPr="001B4CA2">
              <w:rPr>
                <w:rFonts w:eastAsia="Times New Roman"/>
                <w:color w:val="000000"/>
                <w:sz w:val="18"/>
                <w:szCs w:val="18"/>
                <w:lang w:eastAsia="hr-HR"/>
              </w:rPr>
              <w:t>200.645</w:t>
            </w:r>
          </w:p>
        </w:tc>
      </w:tr>
      <w:tr w:rsidR="00C9757D" w:rsidRPr="001B4CA2" w14:paraId="1281CE31" w14:textId="77777777" w:rsidTr="009C5AEE">
        <w:trPr>
          <w:trHeight w:val="338"/>
        </w:trPr>
        <w:tc>
          <w:tcPr>
            <w:tcW w:w="461" w:type="pct"/>
            <w:tcBorders>
              <w:top w:val="nil"/>
              <w:left w:val="single" w:sz="4" w:space="0" w:color="auto"/>
              <w:bottom w:val="single" w:sz="4" w:space="0" w:color="auto"/>
              <w:right w:val="single" w:sz="4" w:space="0" w:color="auto"/>
            </w:tcBorders>
            <w:shd w:val="clear" w:color="auto" w:fill="auto"/>
            <w:noWrap/>
            <w:vAlign w:val="center"/>
          </w:tcPr>
          <w:p w14:paraId="722F6605" w14:textId="77777777" w:rsidR="00C9757D" w:rsidRPr="001B4CA2" w:rsidRDefault="00C9757D"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2019.</w:t>
            </w:r>
          </w:p>
        </w:tc>
        <w:tc>
          <w:tcPr>
            <w:tcW w:w="469" w:type="pct"/>
            <w:tcBorders>
              <w:top w:val="nil"/>
              <w:left w:val="nil"/>
              <w:bottom w:val="single" w:sz="4" w:space="0" w:color="auto"/>
              <w:right w:val="single" w:sz="4" w:space="0" w:color="auto"/>
            </w:tcBorders>
            <w:shd w:val="clear" w:color="auto" w:fill="auto"/>
            <w:noWrap/>
            <w:vAlign w:val="center"/>
          </w:tcPr>
          <w:p w14:paraId="1F69B06D" w14:textId="77777777" w:rsidR="00C9757D" w:rsidRPr="001B4CA2" w:rsidRDefault="00C9757D" w:rsidP="00A251B2">
            <w:pPr>
              <w:jc w:val="center"/>
              <w:rPr>
                <w:rFonts w:eastAsia="Times New Roman"/>
                <w:bCs/>
                <w:sz w:val="18"/>
                <w:szCs w:val="18"/>
                <w:lang w:eastAsia="hr-HR"/>
              </w:rPr>
            </w:pPr>
            <w:r w:rsidRPr="001B4CA2">
              <w:rPr>
                <w:rFonts w:eastAsia="Times New Roman"/>
                <w:bCs/>
                <w:color w:val="000000"/>
                <w:sz w:val="18"/>
                <w:szCs w:val="18"/>
                <w:lang w:eastAsia="hr-HR"/>
              </w:rPr>
              <w:t>1.493</w:t>
            </w:r>
          </w:p>
        </w:tc>
        <w:tc>
          <w:tcPr>
            <w:tcW w:w="659" w:type="pct"/>
            <w:tcBorders>
              <w:top w:val="nil"/>
              <w:left w:val="nil"/>
              <w:bottom w:val="single" w:sz="4" w:space="0" w:color="auto"/>
              <w:right w:val="single" w:sz="4" w:space="0" w:color="auto"/>
            </w:tcBorders>
            <w:shd w:val="clear" w:color="auto" w:fill="auto"/>
            <w:noWrap/>
            <w:vAlign w:val="center"/>
          </w:tcPr>
          <w:p w14:paraId="34A1FA93" w14:textId="77777777" w:rsidR="00C9757D" w:rsidRPr="001B4CA2" w:rsidRDefault="00C9757D" w:rsidP="00A251B2">
            <w:pPr>
              <w:jc w:val="center"/>
              <w:rPr>
                <w:rFonts w:eastAsia="Times New Roman"/>
                <w:sz w:val="18"/>
                <w:szCs w:val="18"/>
                <w:lang w:eastAsia="hr-HR"/>
              </w:rPr>
            </w:pPr>
            <w:r w:rsidRPr="001B4CA2">
              <w:rPr>
                <w:rFonts w:eastAsia="Times New Roman"/>
                <w:color w:val="000000"/>
                <w:sz w:val="18"/>
                <w:szCs w:val="18"/>
                <w:lang w:eastAsia="hr-HR"/>
              </w:rPr>
              <w:t>7.339</w:t>
            </w:r>
          </w:p>
        </w:tc>
        <w:tc>
          <w:tcPr>
            <w:tcW w:w="659" w:type="pct"/>
            <w:tcBorders>
              <w:top w:val="nil"/>
              <w:left w:val="nil"/>
              <w:bottom w:val="single" w:sz="4" w:space="0" w:color="auto"/>
              <w:right w:val="single" w:sz="4" w:space="0" w:color="auto"/>
            </w:tcBorders>
            <w:shd w:val="clear" w:color="auto" w:fill="auto"/>
            <w:noWrap/>
            <w:vAlign w:val="center"/>
          </w:tcPr>
          <w:p w14:paraId="45169CFD" w14:textId="77777777" w:rsidR="00C9757D" w:rsidRPr="001B4CA2" w:rsidRDefault="00C9757D" w:rsidP="00A251B2">
            <w:pPr>
              <w:jc w:val="center"/>
              <w:rPr>
                <w:rFonts w:eastAsia="Times New Roman"/>
                <w:bCs/>
                <w:sz w:val="18"/>
                <w:szCs w:val="18"/>
                <w:lang w:eastAsia="hr-HR"/>
              </w:rPr>
            </w:pPr>
            <w:r w:rsidRPr="001B4CA2">
              <w:rPr>
                <w:rFonts w:eastAsia="Times New Roman"/>
                <w:bCs/>
                <w:color w:val="000000"/>
                <w:sz w:val="18"/>
                <w:szCs w:val="18"/>
                <w:lang w:eastAsia="hr-HR"/>
              </w:rPr>
              <w:t>8.832</w:t>
            </w:r>
          </w:p>
        </w:tc>
        <w:tc>
          <w:tcPr>
            <w:tcW w:w="661" w:type="pct"/>
            <w:tcBorders>
              <w:top w:val="nil"/>
              <w:left w:val="nil"/>
              <w:bottom w:val="single" w:sz="4" w:space="0" w:color="auto"/>
              <w:right w:val="single" w:sz="4" w:space="0" w:color="auto"/>
            </w:tcBorders>
            <w:shd w:val="clear" w:color="auto" w:fill="auto"/>
            <w:noWrap/>
            <w:vAlign w:val="center"/>
          </w:tcPr>
          <w:p w14:paraId="0F91699C" w14:textId="77777777" w:rsidR="00C9757D" w:rsidRPr="001B4CA2" w:rsidRDefault="00C9757D" w:rsidP="00A251B2">
            <w:pPr>
              <w:jc w:val="center"/>
              <w:rPr>
                <w:rFonts w:eastAsia="Times New Roman"/>
                <w:sz w:val="18"/>
                <w:szCs w:val="18"/>
                <w:lang w:eastAsia="hr-HR"/>
              </w:rPr>
            </w:pPr>
            <w:r w:rsidRPr="001B4CA2">
              <w:rPr>
                <w:rFonts w:eastAsia="Times New Roman"/>
                <w:color w:val="000000"/>
                <w:sz w:val="18"/>
                <w:szCs w:val="18"/>
                <w:lang w:eastAsia="hr-HR"/>
              </w:rPr>
              <w:t>7.668</w:t>
            </w:r>
          </w:p>
        </w:tc>
        <w:tc>
          <w:tcPr>
            <w:tcW w:w="692" w:type="pct"/>
            <w:tcBorders>
              <w:top w:val="nil"/>
              <w:left w:val="nil"/>
              <w:bottom w:val="single" w:sz="4" w:space="0" w:color="auto"/>
              <w:right w:val="single" w:sz="4" w:space="0" w:color="auto"/>
            </w:tcBorders>
            <w:shd w:val="clear" w:color="auto" w:fill="auto"/>
            <w:noWrap/>
            <w:vAlign w:val="center"/>
          </w:tcPr>
          <w:p w14:paraId="588D3506" w14:textId="77777777" w:rsidR="00C9757D" w:rsidRPr="001B4CA2" w:rsidRDefault="00C9757D" w:rsidP="00A251B2">
            <w:pPr>
              <w:jc w:val="center"/>
              <w:rPr>
                <w:rFonts w:eastAsia="Times New Roman"/>
                <w:sz w:val="18"/>
                <w:szCs w:val="18"/>
                <w:lang w:eastAsia="hr-HR"/>
              </w:rPr>
            </w:pPr>
            <w:r w:rsidRPr="001B4CA2">
              <w:rPr>
                <w:rFonts w:eastAsia="Times New Roman"/>
                <w:color w:val="000000"/>
                <w:sz w:val="18"/>
                <w:szCs w:val="18"/>
                <w:lang w:eastAsia="hr-HR"/>
              </w:rPr>
              <w:t>6.850.364</w:t>
            </w:r>
          </w:p>
        </w:tc>
        <w:tc>
          <w:tcPr>
            <w:tcW w:w="617" w:type="pct"/>
            <w:tcBorders>
              <w:top w:val="nil"/>
              <w:left w:val="nil"/>
              <w:bottom w:val="single" w:sz="4" w:space="0" w:color="auto"/>
              <w:right w:val="single" w:sz="4" w:space="0" w:color="auto"/>
            </w:tcBorders>
            <w:shd w:val="clear" w:color="auto" w:fill="auto"/>
            <w:noWrap/>
            <w:vAlign w:val="center"/>
          </w:tcPr>
          <w:p w14:paraId="3C381F97" w14:textId="77777777" w:rsidR="00C9757D" w:rsidRPr="001B4CA2" w:rsidRDefault="00C9757D" w:rsidP="00A251B2">
            <w:pPr>
              <w:jc w:val="center"/>
              <w:rPr>
                <w:rFonts w:eastAsia="Times New Roman"/>
                <w:sz w:val="18"/>
                <w:szCs w:val="18"/>
                <w:lang w:eastAsia="hr-HR"/>
              </w:rPr>
            </w:pPr>
            <w:r w:rsidRPr="001B4CA2">
              <w:rPr>
                <w:rFonts w:eastAsia="Times New Roman"/>
                <w:color w:val="000000"/>
                <w:sz w:val="18"/>
                <w:szCs w:val="18"/>
                <w:lang w:eastAsia="hr-HR"/>
              </w:rPr>
              <w:t>1.958</w:t>
            </w:r>
          </w:p>
        </w:tc>
        <w:tc>
          <w:tcPr>
            <w:tcW w:w="781" w:type="pct"/>
            <w:tcBorders>
              <w:top w:val="nil"/>
              <w:left w:val="nil"/>
              <w:bottom w:val="single" w:sz="4" w:space="0" w:color="auto"/>
              <w:right w:val="single" w:sz="4" w:space="0" w:color="auto"/>
            </w:tcBorders>
            <w:shd w:val="clear" w:color="auto" w:fill="auto"/>
            <w:noWrap/>
            <w:vAlign w:val="center"/>
          </w:tcPr>
          <w:p w14:paraId="5020B9B9" w14:textId="77777777" w:rsidR="00C9757D" w:rsidRPr="001B4CA2" w:rsidRDefault="00C9757D" w:rsidP="00A251B2">
            <w:pPr>
              <w:jc w:val="center"/>
              <w:rPr>
                <w:rFonts w:eastAsia="Times New Roman"/>
                <w:sz w:val="18"/>
                <w:szCs w:val="18"/>
                <w:lang w:eastAsia="hr-HR"/>
              </w:rPr>
            </w:pPr>
            <w:r w:rsidRPr="001B4CA2">
              <w:rPr>
                <w:rFonts w:eastAsia="Times New Roman"/>
                <w:color w:val="000000"/>
                <w:sz w:val="18"/>
                <w:szCs w:val="18"/>
                <w:lang w:eastAsia="hr-HR"/>
              </w:rPr>
              <w:t>116.562</w:t>
            </w:r>
          </w:p>
        </w:tc>
      </w:tr>
      <w:tr w:rsidR="00C9757D" w:rsidRPr="001B4CA2" w14:paraId="20FC2769" w14:textId="77777777" w:rsidTr="009C5AEE">
        <w:trPr>
          <w:trHeight w:val="338"/>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8CFFB6E" w14:textId="77777777" w:rsidR="00C9757D" w:rsidRPr="001B4CA2" w:rsidRDefault="00C9757D"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2020.</w:t>
            </w:r>
          </w:p>
        </w:tc>
        <w:tc>
          <w:tcPr>
            <w:tcW w:w="469" w:type="pct"/>
            <w:tcBorders>
              <w:top w:val="nil"/>
              <w:left w:val="nil"/>
              <w:bottom w:val="single" w:sz="4" w:space="0" w:color="auto"/>
              <w:right w:val="single" w:sz="4" w:space="0" w:color="auto"/>
            </w:tcBorders>
            <w:shd w:val="clear" w:color="auto" w:fill="auto"/>
            <w:noWrap/>
            <w:vAlign w:val="center"/>
          </w:tcPr>
          <w:p w14:paraId="7DED6554" w14:textId="77777777" w:rsidR="00C9757D" w:rsidRPr="001B4CA2" w:rsidRDefault="00C9757D" w:rsidP="00A251B2">
            <w:pPr>
              <w:jc w:val="center"/>
              <w:rPr>
                <w:rFonts w:eastAsia="Times New Roman"/>
                <w:bCs/>
                <w:sz w:val="18"/>
                <w:szCs w:val="18"/>
                <w:lang w:eastAsia="hr-HR"/>
              </w:rPr>
            </w:pPr>
            <w:r w:rsidRPr="001B4CA2">
              <w:rPr>
                <w:rFonts w:eastAsia="Times New Roman" w:cstheme="minorHAnsi"/>
                <w:bCs/>
                <w:color w:val="000000"/>
                <w:sz w:val="18"/>
                <w:szCs w:val="18"/>
                <w:lang w:eastAsia="hr-HR"/>
              </w:rPr>
              <w:t>1.190</w:t>
            </w:r>
          </w:p>
        </w:tc>
        <w:tc>
          <w:tcPr>
            <w:tcW w:w="659" w:type="pct"/>
            <w:tcBorders>
              <w:top w:val="nil"/>
              <w:left w:val="nil"/>
              <w:bottom w:val="single" w:sz="4" w:space="0" w:color="auto"/>
              <w:right w:val="single" w:sz="4" w:space="0" w:color="auto"/>
            </w:tcBorders>
            <w:shd w:val="clear" w:color="auto" w:fill="auto"/>
            <w:noWrap/>
            <w:vAlign w:val="center"/>
          </w:tcPr>
          <w:p w14:paraId="17553477" w14:textId="77777777" w:rsidR="00C9757D" w:rsidRPr="001B4CA2" w:rsidRDefault="00C9757D" w:rsidP="00A251B2">
            <w:pPr>
              <w:jc w:val="center"/>
              <w:rPr>
                <w:rFonts w:eastAsia="Times New Roman"/>
                <w:sz w:val="18"/>
                <w:szCs w:val="18"/>
                <w:lang w:eastAsia="hr-HR"/>
              </w:rPr>
            </w:pPr>
            <w:r w:rsidRPr="001B4CA2">
              <w:rPr>
                <w:rFonts w:eastAsia="Times New Roman" w:cstheme="minorHAnsi"/>
                <w:color w:val="000000"/>
                <w:sz w:val="18"/>
                <w:szCs w:val="18"/>
                <w:lang w:eastAsia="hr-HR"/>
              </w:rPr>
              <w:t>8.638</w:t>
            </w:r>
          </w:p>
        </w:tc>
        <w:tc>
          <w:tcPr>
            <w:tcW w:w="659" w:type="pct"/>
            <w:tcBorders>
              <w:top w:val="nil"/>
              <w:left w:val="nil"/>
              <w:bottom w:val="single" w:sz="4" w:space="0" w:color="auto"/>
              <w:right w:val="single" w:sz="4" w:space="0" w:color="auto"/>
            </w:tcBorders>
            <w:shd w:val="clear" w:color="auto" w:fill="auto"/>
            <w:noWrap/>
            <w:vAlign w:val="center"/>
          </w:tcPr>
          <w:p w14:paraId="3ACA70E7" w14:textId="77777777" w:rsidR="00C9757D" w:rsidRPr="001B4CA2" w:rsidRDefault="00C9757D" w:rsidP="00A251B2">
            <w:pPr>
              <w:jc w:val="center"/>
              <w:rPr>
                <w:rFonts w:eastAsia="Times New Roman"/>
                <w:bCs/>
                <w:sz w:val="18"/>
                <w:szCs w:val="18"/>
                <w:lang w:eastAsia="hr-HR"/>
              </w:rPr>
            </w:pPr>
            <w:r w:rsidRPr="001B4CA2">
              <w:rPr>
                <w:rFonts w:eastAsia="Times New Roman" w:cstheme="minorHAnsi"/>
                <w:bCs/>
                <w:color w:val="000000"/>
                <w:sz w:val="18"/>
                <w:szCs w:val="18"/>
                <w:lang w:eastAsia="hr-HR"/>
              </w:rPr>
              <w:t>9.828</w:t>
            </w:r>
          </w:p>
        </w:tc>
        <w:tc>
          <w:tcPr>
            <w:tcW w:w="661" w:type="pct"/>
            <w:tcBorders>
              <w:top w:val="nil"/>
              <w:left w:val="nil"/>
              <w:bottom w:val="single" w:sz="4" w:space="0" w:color="auto"/>
              <w:right w:val="single" w:sz="4" w:space="0" w:color="auto"/>
            </w:tcBorders>
            <w:shd w:val="clear" w:color="auto" w:fill="auto"/>
            <w:noWrap/>
            <w:vAlign w:val="center"/>
          </w:tcPr>
          <w:p w14:paraId="035A2630" w14:textId="77777777" w:rsidR="00C9757D" w:rsidRPr="001B4CA2" w:rsidRDefault="00C9757D" w:rsidP="00A251B2">
            <w:pPr>
              <w:jc w:val="center"/>
              <w:rPr>
                <w:rFonts w:eastAsia="Times New Roman"/>
                <w:sz w:val="18"/>
                <w:szCs w:val="18"/>
                <w:lang w:eastAsia="hr-HR"/>
              </w:rPr>
            </w:pPr>
            <w:r w:rsidRPr="001B4CA2">
              <w:rPr>
                <w:rFonts w:eastAsia="Times New Roman" w:cstheme="minorHAnsi"/>
                <w:color w:val="000000"/>
                <w:sz w:val="18"/>
                <w:szCs w:val="18"/>
                <w:lang w:eastAsia="hr-HR"/>
              </w:rPr>
              <w:t>8.359</w:t>
            </w:r>
          </w:p>
        </w:tc>
        <w:tc>
          <w:tcPr>
            <w:tcW w:w="692" w:type="pct"/>
            <w:tcBorders>
              <w:top w:val="nil"/>
              <w:left w:val="nil"/>
              <w:bottom w:val="single" w:sz="4" w:space="0" w:color="auto"/>
              <w:right w:val="single" w:sz="4" w:space="0" w:color="auto"/>
            </w:tcBorders>
            <w:shd w:val="clear" w:color="auto" w:fill="auto"/>
            <w:noWrap/>
            <w:vAlign w:val="center"/>
          </w:tcPr>
          <w:p w14:paraId="3477B1DE" w14:textId="3F0C4CAF" w:rsidR="00C9757D" w:rsidRPr="001B4CA2" w:rsidRDefault="00C9757D" w:rsidP="00A251B2">
            <w:pPr>
              <w:jc w:val="center"/>
              <w:rPr>
                <w:rFonts w:eastAsia="Times New Roman"/>
                <w:sz w:val="18"/>
                <w:szCs w:val="18"/>
                <w:lang w:eastAsia="hr-HR"/>
              </w:rPr>
            </w:pPr>
            <w:r w:rsidRPr="001B4CA2">
              <w:rPr>
                <w:rFonts w:eastAsia="Times New Roman" w:cstheme="minorHAnsi"/>
                <w:color w:val="000000"/>
                <w:sz w:val="18"/>
                <w:szCs w:val="18"/>
                <w:lang w:eastAsia="hr-HR"/>
              </w:rPr>
              <w:t>9.664.774</w:t>
            </w:r>
          </w:p>
        </w:tc>
        <w:tc>
          <w:tcPr>
            <w:tcW w:w="617" w:type="pct"/>
            <w:tcBorders>
              <w:top w:val="nil"/>
              <w:left w:val="nil"/>
              <w:bottom w:val="single" w:sz="4" w:space="0" w:color="auto"/>
              <w:right w:val="single" w:sz="4" w:space="0" w:color="auto"/>
            </w:tcBorders>
            <w:shd w:val="clear" w:color="auto" w:fill="auto"/>
            <w:noWrap/>
            <w:vAlign w:val="center"/>
          </w:tcPr>
          <w:p w14:paraId="6EEF4E7D" w14:textId="77777777" w:rsidR="00C9757D" w:rsidRPr="001B4CA2" w:rsidRDefault="00C9757D" w:rsidP="00A251B2">
            <w:pPr>
              <w:jc w:val="center"/>
              <w:rPr>
                <w:rFonts w:eastAsia="Times New Roman"/>
                <w:sz w:val="18"/>
                <w:szCs w:val="18"/>
                <w:lang w:eastAsia="hr-HR"/>
              </w:rPr>
            </w:pPr>
            <w:r w:rsidRPr="001B4CA2">
              <w:rPr>
                <w:rFonts w:eastAsia="Times New Roman" w:cstheme="minorHAnsi"/>
                <w:color w:val="000000"/>
                <w:sz w:val="18"/>
                <w:szCs w:val="18"/>
                <w:lang w:eastAsia="hr-HR"/>
              </w:rPr>
              <w:t>1.546</w:t>
            </w:r>
          </w:p>
        </w:tc>
        <w:tc>
          <w:tcPr>
            <w:tcW w:w="781" w:type="pct"/>
            <w:tcBorders>
              <w:top w:val="nil"/>
              <w:left w:val="nil"/>
              <w:bottom w:val="single" w:sz="4" w:space="0" w:color="auto"/>
              <w:right w:val="single" w:sz="4" w:space="0" w:color="auto"/>
            </w:tcBorders>
            <w:shd w:val="clear" w:color="auto" w:fill="auto"/>
            <w:noWrap/>
            <w:vAlign w:val="center"/>
          </w:tcPr>
          <w:p w14:paraId="6DA2FE21" w14:textId="77777777" w:rsidR="00C9757D" w:rsidRPr="001B4CA2" w:rsidRDefault="00C9757D" w:rsidP="00A251B2">
            <w:pPr>
              <w:jc w:val="center"/>
              <w:rPr>
                <w:rFonts w:eastAsia="Times New Roman"/>
                <w:sz w:val="18"/>
                <w:szCs w:val="18"/>
                <w:lang w:eastAsia="hr-HR"/>
              </w:rPr>
            </w:pPr>
            <w:r w:rsidRPr="001B4CA2">
              <w:rPr>
                <w:rFonts w:eastAsia="Times New Roman" w:cstheme="minorHAnsi"/>
                <w:color w:val="000000"/>
                <w:sz w:val="18"/>
                <w:szCs w:val="18"/>
                <w:lang w:eastAsia="hr-HR"/>
              </w:rPr>
              <w:t>104.721</w:t>
            </w:r>
          </w:p>
        </w:tc>
      </w:tr>
      <w:tr w:rsidR="00C9757D" w:rsidRPr="001B4CA2" w14:paraId="2C1A9201" w14:textId="77777777" w:rsidTr="009C5AEE">
        <w:trPr>
          <w:trHeight w:val="338"/>
        </w:trPr>
        <w:tc>
          <w:tcPr>
            <w:tcW w:w="461" w:type="pct"/>
            <w:tcBorders>
              <w:top w:val="nil"/>
              <w:left w:val="single" w:sz="4" w:space="0" w:color="auto"/>
              <w:bottom w:val="single" w:sz="4" w:space="0" w:color="auto"/>
              <w:right w:val="single" w:sz="4" w:space="0" w:color="auto"/>
            </w:tcBorders>
            <w:shd w:val="clear" w:color="auto" w:fill="auto"/>
            <w:noWrap/>
            <w:vAlign w:val="center"/>
          </w:tcPr>
          <w:p w14:paraId="04809E85" w14:textId="77777777" w:rsidR="00C9757D" w:rsidRPr="001B4CA2" w:rsidRDefault="00C9757D" w:rsidP="00A14600">
            <w:pPr>
              <w:jc w:val="center"/>
              <w:rPr>
                <w:rFonts w:eastAsia="Times New Roman" w:cstheme="minorHAnsi"/>
                <w:bCs/>
                <w:color w:val="000000"/>
                <w:sz w:val="18"/>
                <w:szCs w:val="18"/>
                <w:lang w:eastAsia="hr-HR"/>
              </w:rPr>
            </w:pPr>
            <w:r w:rsidRPr="001B4CA2">
              <w:rPr>
                <w:rFonts w:eastAsia="Times New Roman" w:cstheme="minorHAnsi"/>
                <w:bCs/>
                <w:color w:val="000000"/>
                <w:sz w:val="18"/>
                <w:szCs w:val="18"/>
                <w:lang w:eastAsia="hr-HR"/>
              </w:rPr>
              <w:t>2021.</w:t>
            </w:r>
          </w:p>
        </w:tc>
        <w:tc>
          <w:tcPr>
            <w:tcW w:w="469" w:type="pct"/>
            <w:tcBorders>
              <w:top w:val="nil"/>
              <w:left w:val="nil"/>
              <w:bottom w:val="single" w:sz="4" w:space="0" w:color="auto"/>
              <w:right w:val="single" w:sz="4" w:space="0" w:color="auto"/>
            </w:tcBorders>
            <w:shd w:val="clear" w:color="auto" w:fill="auto"/>
            <w:noWrap/>
            <w:vAlign w:val="center"/>
          </w:tcPr>
          <w:p w14:paraId="554E10B5" w14:textId="77777777" w:rsidR="00C9757D" w:rsidRPr="001B4CA2" w:rsidRDefault="00C9757D" w:rsidP="00A251B2">
            <w:pPr>
              <w:jc w:val="center"/>
              <w:rPr>
                <w:rFonts w:eastAsia="Times New Roman" w:cstheme="minorHAnsi"/>
                <w:bCs/>
                <w:color w:val="000000"/>
                <w:sz w:val="18"/>
                <w:szCs w:val="18"/>
                <w:lang w:eastAsia="hr-HR"/>
              </w:rPr>
            </w:pPr>
            <w:r w:rsidRPr="001B4CA2">
              <w:rPr>
                <w:rFonts w:eastAsia="Times New Roman" w:cstheme="minorHAnsi"/>
                <w:bCs/>
                <w:color w:val="000000"/>
                <w:sz w:val="18"/>
                <w:szCs w:val="18"/>
                <w:lang w:eastAsia="hr-HR"/>
              </w:rPr>
              <w:t>1.316</w:t>
            </w:r>
          </w:p>
        </w:tc>
        <w:tc>
          <w:tcPr>
            <w:tcW w:w="659" w:type="pct"/>
            <w:tcBorders>
              <w:top w:val="nil"/>
              <w:left w:val="nil"/>
              <w:bottom w:val="single" w:sz="4" w:space="0" w:color="auto"/>
              <w:right w:val="single" w:sz="4" w:space="0" w:color="auto"/>
            </w:tcBorders>
            <w:shd w:val="clear" w:color="auto" w:fill="auto"/>
            <w:noWrap/>
            <w:vAlign w:val="center"/>
          </w:tcPr>
          <w:p w14:paraId="2EE3D908" w14:textId="77777777" w:rsidR="00C9757D" w:rsidRPr="001B4CA2" w:rsidRDefault="00C9757D" w:rsidP="00A251B2">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16.400</w:t>
            </w:r>
          </w:p>
        </w:tc>
        <w:tc>
          <w:tcPr>
            <w:tcW w:w="659" w:type="pct"/>
            <w:tcBorders>
              <w:top w:val="nil"/>
              <w:left w:val="nil"/>
              <w:bottom w:val="single" w:sz="4" w:space="0" w:color="auto"/>
              <w:right w:val="single" w:sz="4" w:space="0" w:color="auto"/>
            </w:tcBorders>
            <w:shd w:val="clear" w:color="auto" w:fill="auto"/>
            <w:noWrap/>
            <w:vAlign w:val="center"/>
          </w:tcPr>
          <w:p w14:paraId="7609C33F" w14:textId="77777777" w:rsidR="00C9757D" w:rsidRPr="001B4CA2" w:rsidRDefault="00C9757D" w:rsidP="00A251B2">
            <w:pPr>
              <w:jc w:val="center"/>
              <w:rPr>
                <w:rFonts w:eastAsia="Times New Roman" w:cstheme="minorHAnsi"/>
                <w:bCs/>
                <w:color w:val="000000"/>
                <w:sz w:val="18"/>
                <w:szCs w:val="18"/>
                <w:lang w:eastAsia="hr-HR"/>
              </w:rPr>
            </w:pPr>
            <w:r w:rsidRPr="001B4CA2">
              <w:rPr>
                <w:rFonts w:eastAsia="Times New Roman" w:cstheme="minorHAnsi"/>
                <w:bCs/>
                <w:color w:val="000000"/>
                <w:sz w:val="18"/>
                <w:szCs w:val="18"/>
                <w:lang w:eastAsia="hr-HR"/>
              </w:rPr>
              <w:t>17.716</w:t>
            </w:r>
          </w:p>
        </w:tc>
        <w:tc>
          <w:tcPr>
            <w:tcW w:w="661" w:type="pct"/>
            <w:tcBorders>
              <w:top w:val="nil"/>
              <w:left w:val="nil"/>
              <w:bottom w:val="single" w:sz="4" w:space="0" w:color="auto"/>
              <w:right w:val="single" w:sz="4" w:space="0" w:color="auto"/>
            </w:tcBorders>
            <w:shd w:val="clear" w:color="auto" w:fill="auto"/>
            <w:noWrap/>
            <w:vAlign w:val="center"/>
          </w:tcPr>
          <w:p w14:paraId="6F9442B1" w14:textId="77777777" w:rsidR="00C9757D" w:rsidRPr="001B4CA2" w:rsidRDefault="00C9757D" w:rsidP="00A251B2">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14.328</w:t>
            </w:r>
          </w:p>
        </w:tc>
        <w:tc>
          <w:tcPr>
            <w:tcW w:w="692" w:type="pct"/>
            <w:tcBorders>
              <w:top w:val="nil"/>
              <w:left w:val="nil"/>
              <w:bottom w:val="single" w:sz="4" w:space="0" w:color="auto"/>
              <w:right w:val="single" w:sz="4" w:space="0" w:color="auto"/>
            </w:tcBorders>
            <w:shd w:val="clear" w:color="auto" w:fill="auto"/>
            <w:noWrap/>
            <w:vAlign w:val="center"/>
          </w:tcPr>
          <w:p w14:paraId="25CF756A" w14:textId="77777777" w:rsidR="00C9757D" w:rsidRPr="001B4CA2" w:rsidRDefault="00C9757D" w:rsidP="00A251B2">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17.850.873</w:t>
            </w:r>
          </w:p>
        </w:tc>
        <w:tc>
          <w:tcPr>
            <w:tcW w:w="617" w:type="pct"/>
            <w:tcBorders>
              <w:top w:val="nil"/>
              <w:left w:val="nil"/>
              <w:bottom w:val="single" w:sz="4" w:space="0" w:color="auto"/>
              <w:right w:val="single" w:sz="4" w:space="0" w:color="auto"/>
            </w:tcBorders>
            <w:shd w:val="clear" w:color="auto" w:fill="auto"/>
            <w:noWrap/>
            <w:vAlign w:val="center"/>
          </w:tcPr>
          <w:p w14:paraId="22D839C1" w14:textId="77777777" w:rsidR="00C9757D" w:rsidRPr="001B4CA2" w:rsidRDefault="00C9757D" w:rsidP="00A251B2">
            <w:pPr>
              <w:jc w:val="center"/>
              <w:rPr>
                <w:rFonts w:eastAsia="Times New Roman" w:cstheme="minorHAnsi"/>
                <w:color w:val="000000"/>
                <w:sz w:val="18"/>
                <w:szCs w:val="18"/>
                <w:lang w:eastAsia="hr-HR"/>
              </w:rPr>
            </w:pPr>
            <w:r w:rsidRPr="001B4CA2">
              <w:rPr>
                <w:sz w:val="18"/>
                <w:szCs w:val="18"/>
              </w:rPr>
              <w:t>1.322</w:t>
            </w:r>
          </w:p>
        </w:tc>
        <w:tc>
          <w:tcPr>
            <w:tcW w:w="781" w:type="pct"/>
            <w:tcBorders>
              <w:top w:val="nil"/>
              <w:left w:val="nil"/>
              <w:bottom w:val="single" w:sz="4" w:space="0" w:color="auto"/>
              <w:right w:val="single" w:sz="4" w:space="0" w:color="auto"/>
            </w:tcBorders>
            <w:shd w:val="clear" w:color="auto" w:fill="auto"/>
            <w:noWrap/>
            <w:vAlign w:val="center"/>
          </w:tcPr>
          <w:p w14:paraId="5C2C5736" w14:textId="77777777" w:rsidR="00C9757D" w:rsidRPr="001B4CA2" w:rsidRDefault="00C9757D" w:rsidP="00A251B2">
            <w:pPr>
              <w:jc w:val="center"/>
              <w:rPr>
                <w:rFonts w:eastAsia="Times New Roman" w:cstheme="minorHAnsi"/>
                <w:color w:val="000000"/>
                <w:sz w:val="18"/>
                <w:szCs w:val="18"/>
                <w:lang w:eastAsia="hr-HR"/>
              </w:rPr>
            </w:pPr>
            <w:r w:rsidRPr="001B4CA2">
              <w:rPr>
                <w:sz w:val="18"/>
                <w:szCs w:val="18"/>
              </w:rPr>
              <w:t>52.616</w:t>
            </w:r>
          </w:p>
        </w:tc>
      </w:tr>
      <w:tr w:rsidR="00C9757D" w:rsidRPr="001B4CA2" w14:paraId="45CA7CFC" w14:textId="77777777" w:rsidTr="009C5AEE">
        <w:trPr>
          <w:trHeight w:val="338"/>
        </w:trPr>
        <w:tc>
          <w:tcPr>
            <w:tcW w:w="461" w:type="pct"/>
            <w:tcBorders>
              <w:top w:val="nil"/>
              <w:left w:val="single" w:sz="4" w:space="0" w:color="auto"/>
              <w:bottom w:val="single" w:sz="4" w:space="0" w:color="auto"/>
              <w:right w:val="single" w:sz="4" w:space="0" w:color="auto"/>
            </w:tcBorders>
            <w:shd w:val="clear" w:color="auto" w:fill="auto"/>
            <w:noWrap/>
            <w:vAlign w:val="center"/>
          </w:tcPr>
          <w:p w14:paraId="125FEC9C" w14:textId="77777777" w:rsidR="00C9757D" w:rsidRPr="001B4CA2" w:rsidRDefault="00C9757D" w:rsidP="00A14600">
            <w:pPr>
              <w:jc w:val="center"/>
              <w:rPr>
                <w:rFonts w:eastAsia="Times New Roman" w:cstheme="minorHAnsi"/>
                <w:bCs/>
                <w:color w:val="000000"/>
                <w:sz w:val="18"/>
                <w:szCs w:val="18"/>
                <w:lang w:eastAsia="hr-HR"/>
              </w:rPr>
            </w:pPr>
            <w:r w:rsidRPr="001B4CA2">
              <w:rPr>
                <w:rFonts w:eastAsia="Times New Roman" w:cstheme="minorHAnsi"/>
                <w:bCs/>
                <w:color w:val="000000"/>
                <w:sz w:val="18"/>
                <w:szCs w:val="18"/>
                <w:lang w:eastAsia="hr-HR"/>
              </w:rPr>
              <w:t>2022.</w:t>
            </w:r>
          </w:p>
        </w:tc>
        <w:tc>
          <w:tcPr>
            <w:tcW w:w="469" w:type="pct"/>
            <w:tcBorders>
              <w:top w:val="nil"/>
              <w:left w:val="nil"/>
              <w:bottom w:val="single" w:sz="4" w:space="0" w:color="auto"/>
              <w:right w:val="single" w:sz="4" w:space="0" w:color="auto"/>
            </w:tcBorders>
            <w:shd w:val="clear" w:color="auto" w:fill="auto"/>
            <w:noWrap/>
            <w:vAlign w:val="center"/>
          </w:tcPr>
          <w:p w14:paraId="0504D1A6" w14:textId="77777777" w:rsidR="00C9757D" w:rsidRPr="001B4CA2" w:rsidRDefault="00C9757D" w:rsidP="00A251B2">
            <w:pPr>
              <w:jc w:val="center"/>
              <w:rPr>
                <w:rFonts w:eastAsia="Times New Roman" w:cstheme="minorHAnsi"/>
                <w:bCs/>
                <w:color w:val="000000"/>
                <w:sz w:val="18"/>
                <w:szCs w:val="18"/>
                <w:lang w:eastAsia="hr-HR"/>
              </w:rPr>
            </w:pPr>
            <w:r w:rsidRPr="001B4CA2">
              <w:rPr>
                <w:rFonts w:eastAsia="Times New Roman" w:cstheme="minorHAnsi"/>
                <w:bCs/>
                <w:color w:val="000000"/>
                <w:sz w:val="18"/>
                <w:szCs w:val="18"/>
                <w:lang w:eastAsia="hr-HR"/>
              </w:rPr>
              <w:t>1.252</w:t>
            </w:r>
          </w:p>
        </w:tc>
        <w:tc>
          <w:tcPr>
            <w:tcW w:w="659" w:type="pct"/>
            <w:tcBorders>
              <w:top w:val="nil"/>
              <w:left w:val="nil"/>
              <w:bottom w:val="single" w:sz="4" w:space="0" w:color="auto"/>
              <w:right w:val="single" w:sz="4" w:space="0" w:color="auto"/>
            </w:tcBorders>
            <w:shd w:val="clear" w:color="auto" w:fill="auto"/>
            <w:noWrap/>
            <w:vAlign w:val="center"/>
          </w:tcPr>
          <w:p w14:paraId="24EB90E4" w14:textId="77777777" w:rsidR="00C9757D" w:rsidRPr="001B4CA2" w:rsidRDefault="00C9757D" w:rsidP="00A251B2">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7.564</w:t>
            </w:r>
          </w:p>
        </w:tc>
        <w:tc>
          <w:tcPr>
            <w:tcW w:w="659" w:type="pct"/>
            <w:tcBorders>
              <w:top w:val="nil"/>
              <w:left w:val="nil"/>
              <w:bottom w:val="single" w:sz="4" w:space="0" w:color="auto"/>
              <w:right w:val="single" w:sz="4" w:space="0" w:color="auto"/>
            </w:tcBorders>
            <w:shd w:val="clear" w:color="auto" w:fill="auto"/>
            <w:noWrap/>
            <w:vAlign w:val="center"/>
          </w:tcPr>
          <w:p w14:paraId="7C224E85" w14:textId="77777777" w:rsidR="00C9757D" w:rsidRPr="001B4CA2" w:rsidRDefault="00C9757D" w:rsidP="00A251B2">
            <w:pPr>
              <w:jc w:val="center"/>
              <w:rPr>
                <w:rFonts w:eastAsia="Times New Roman" w:cstheme="minorHAnsi"/>
                <w:bCs/>
                <w:color w:val="000000"/>
                <w:sz w:val="18"/>
                <w:szCs w:val="18"/>
                <w:lang w:eastAsia="hr-HR"/>
              </w:rPr>
            </w:pPr>
            <w:r w:rsidRPr="001B4CA2">
              <w:rPr>
                <w:rFonts w:eastAsia="Times New Roman" w:cstheme="minorHAnsi"/>
                <w:bCs/>
                <w:color w:val="000000"/>
                <w:sz w:val="18"/>
                <w:szCs w:val="18"/>
                <w:lang w:eastAsia="hr-HR"/>
              </w:rPr>
              <w:t>8.816</w:t>
            </w:r>
          </w:p>
        </w:tc>
        <w:tc>
          <w:tcPr>
            <w:tcW w:w="661" w:type="pct"/>
            <w:tcBorders>
              <w:top w:val="nil"/>
              <w:left w:val="nil"/>
              <w:bottom w:val="single" w:sz="4" w:space="0" w:color="auto"/>
              <w:right w:val="single" w:sz="4" w:space="0" w:color="auto"/>
            </w:tcBorders>
            <w:shd w:val="clear" w:color="auto" w:fill="auto"/>
            <w:noWrap/>
            <w:vAlign w:val="center"/>
          </w:tcPr>
          <w:p w14:paraId="4B2B4066" w14:textId="77777777" w:rsidR="00C9757D" w:rsidRPr="001B4CA2" w:rsidRDefault="00C9757D" w:rsidP="00A251B2">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7.168</w:t>
            </w:r>
          </w:p>
        </w:tc>
        <w:tc>
          <w:tcPr>
            <w:tcW w:w="692" w:type="pct"/>
            <w:tcBorders>
              <w:top w:val="nil"/>
              <w:left w:val="nil"/>
              <w:bottom w:val="single" w:sz="4" w:space="0" w:color="auto"/>
              <w:right w:val="single" w:sz="4" w:space="0" w:color="auto"/>
            </w:tcBorders>
            <w:shd w:val="clear" w:color="auto" w:fill="auto"/>
            <w:noWrap/>
            <w:vAlign w:val="center"/>
          </w:tcPr>
          <w:p w14:paraId="55525B1A" w14:textId="77777777" w:rsidR="00C9757D" w:rsidRPr="001B4CA2" w:rsidRDefault="00C9757D" w:rsidP="00A251B2">
            <w:pPr>
              <w:jc w:val="center"/>
              <w:rPr>
                <w:rFonts w:eastAsia="Times New Roman" w:cstheme="minorHAnsi"/>
                <w:color w:val="000000"/>
                <w:sz w:val="18"/>
                <w:szCs w:val="18"/>
                <w:lang w:eastAsia="hr-HR"/>
              </w:rPr>
            </w:pPr>
            <w:r w:rsidRPr="001B4CA2">
              <w:rPr>
                <w:rFonts w:eastAsia="Times New Roman" w:cstheme="minorHAnsi"/>
                <w:color w:val="000000"/>
                <w:sz w:val="18"/>
                <w:szCs w:val="18"/>
                <w:lang w:eastAsia="hr-HR"/>
              </w:rPr>
              <w:t>2.237.486</w:t>
            </w:r>
          </w:p>
        </w:tc>
        <w:tc>
          <w:tcPr>
            <w:tcW w:w="617" w:type="pct"/>
            <w:tcBorders>
              <w:top w:val="nil"/>
              <w:left w:val="nil"/>
              <w:bottom w:val="single" w:sz="4" w:space="0" w:color="auto"/>
              <w:right w:val="single" w:sz="4" w:space="0" w:color="auto"/>
            </w:tcBorders>
            <w:shd w:val="clear" w:color="auto" w:fill="auto"/>
            <w:noWrap/>
            <w:vAlign w:val="center"/>
          </w:tcPr>
          <w:p w14:paraId="537DCA50" w14:textId="77777777" w:rsidR="00C9757D" w:rsidRPr="001B4CA2" w:rsidRDefault="00C9757D" w:rsidP="00A251B2">
            <w:pPr>
              <w:jc w:val="center"/>
              <w:rPr>
                <w:sz w:val="18"/>
                <w:szCs w:val="18"/>
              </w:rPr>
            </w:pPr>
            <w:r w:rsidRPr="001B4CA2">
              <w:rPr>
                <w:color w:val="000000"/>
                <w:sz w:val="18"/>
                <w:szCs w:val="18"/>
              </w:rPr>
              <w:t>1.941</w:t>
            </w:r>
          </w:p>
        </w:tc>
        <w:tc>
          <w:tcPr>
            <w:tcW w:w="781" w:type="pct"/>
            <w:tcBorders>
              <w:top w:val="nil"/>
              <w:left w:val="nil"/>
              <w:bottom w:val="single" w:sz="4" w:space="0" w:color="auto"/>
              <w:right w:val="single" w:sz="4" w:space="0" w:color="auto"/>
            </w:tcBorders>
            <w:shd w:val="clear" w:color="auto" w:fill="auto"/>
            <w:noWrap/>
            <w:vAlign w:val="center"/>
          </w:tcPr>
          <w:p w14:paraId="1BC73F0C" w14:textId="77777777" w:rsidR="00C9757D" w:rsidRPr="001B4CA2" w:rsidRDefault="00C9757D" w:rsidP="00A251B2">
            <w:pPr>
              <w:jc w:val="center"/>
              <w:rPr>
                <w:sz w:val="18"/>
                <w:szCs w:val="18"/>
              </w:rPr>
            </w:pPr>
            <w:r w:rsidRPr="001B4CA2">
              <w:rPr>
                <w:color w:val="000000"/>
                <w:sz w:val="18"/>
                <w:szCs w:val="18"/>
              </w:rPr>
              <w:t>84.853</w:t>
            </w:r>
          </w:p>
        </w:tc>
      </w:tr>
    </w:tbl>
    <w:p w14:paraId="4E5C80BD" w14:textId="77777777" w:rsidR="00C9757D" w:rsidRPr="001B4CA2" w:rsidRDefault="00C9757D" w:rsidP="00C9757D"/>
    <w:p w14:paraId="4B0AD32C" w14:textId="5EF721A0" w:rsidR="00965363" w:rsidRPr="001B4CA2" w:rsidRDefault="00C9757D" w:rsidP="00965363">
      <w:pPr>
        <w:pStyle w:val="Odlomakpopisa"/>
        <w:ind w:left="0"/>
      </w:pPr>
      <w:r w:rsidRPr="001B4CA2">
        <w:tab/>
      </w:r>
      <w:r w:rsidR="00965363" w:rsidRPr="001B4CA2">
        <w:t>Od 2018. do 2022. godine primljena su ukupno 47.942 zahtjeva za mirno rješenje spora vrijednosti</w:t>
      </w:r>
      <w:r w:rsidR="001B4CA2">
        <w:t xml:space="preserve"> </w:t>
      </w:r>
      <w:r w:rsidR="00965363" w:rsidRPr="001B4CA2">
        <w:t>43.082.633.000,00 k</w:t>
      </w:r>
      <w:r w:rsidR="00A251B2" w:rsidRPr="001B4CA2">
        <w:t>n</w:t>
      </w:r>
      <w:r w:rsidR="005A76BE">
        <w:t xml:space="preserve"> </w:t>
      </w:r>
      <w:r w:rsidR="00A251B2" w:rsidRPr="001B4CA2">
        <w:t>/</w:t>
      </w:r>
      <w:r w:rsidR="00257FA8" w:rsidRPr="001B4CA2">
        <w:t xml:space="preserve"> </w:t>
      </w:r>
      <w:r w:rsidR="00A251B2" w:rsidRPr="001B4CA2">
        <w:t>5.718.</w:t>
      </w:r>
      <w:r w:rsidR="00C4437D">
        <w:t>048</w:t>
      </w:r>
      <w:r w:rsidR="00A251B2" w:rsidRPr="001B4CA2">
        <w:t>.</w:t>
      </w:r>
      <w:r w:rsidR="00C4437D">
        <w:t>045</w:t>
      </w:r>
      <w:r w:rsidR="00A251B2" w:rsidRPr="001B4CA2">
        <w:t>,</w:t>
      </w:r>
      <w:r w:rsidR="00C4437D">
        <w:t>66</w:t>
      </w:r>
      <w:r w:rsidR="00A251B2" w:rsidRPr="001B4CA2">
        <w:t xml:space="preserve"> EUR</w:t>
      </w:r>
      <w:r w:rsidR="00965363" w:rsidRPr="001B4CA2">
        <w:t>. Sklopljene su 8.484 nagodbe ukupne vrijednosti 559.397.000,00 k</w:t>
      </w:r>
      <w:r w:rsidR="00A251B2" w:rsidRPr="001B4CA2">
        <w:t>n</w:t>
      </w:r>
      <w:r w:rsidR="005A76BE">
        <w:t xml:space="preserve"> </w:t>
      </w:r>
      <w:r w:rsidR="00A251B2" w:rsidRPr="001B4CA2">
        <w:t>/</w:t>
      </w:r>
      <w:r w:rsidR="00257FA8" w:rsidRPr="001B4CA2">
        <w:t xml:space="preserve"> </w:t>
      </w:r>
      <w:r w:rsidR="00A251B2" w:rsidRPr="001B4CA2">
        <w:t>74.24</w:t>
      </w:r>
      <w:r w:rsidR="003E79A0">
        <w:t>4</w:t>
      </w:r>
      <w:r w:rsidR="00A251B2" w:rsidRPr="001B4CA2">
        <w:t>.</w:t>
      </w:r>
      <w:r w:rsidR="003E79A0">
        <w:t>740</w:t>
      </w:r>
      <w:r w:rsidR="00A251B2" w:rsidRPr="001B4CA2">
        <w:t>,</w:t>
      </w:r>
      <w:r w:rsidR="003E79A0">
        <w:t>90</w:t>
      </w:r>
      <w:r w:rsidR="00A251B2" w:rsidRPr="001B4CA2">
        <w:t xml:space="preserve"> EUR</w:t>
      </w:r>
      <w:r w:rsidR="00965363" w:rsidRPr="001B4CA2">
        <w:t xml:space="preserve">. Za navedeni broj sklopljenih nagodbi smanjen je broj parničnih postupaka pred redovitim i specijaliziranim sudovima. </w:t>
      </w:r>
    </w:p>
    <w:p w14:paraId="795422DC" w14:textId="77777777" w:rsidR="00965363" w:rsidRPr="001B4CA2" w:rsidRDefault="00965363" w:rsidP="00965363">
      <w:pPr>
        <w:pStyle w:val="Odlomakpopisa"/>
        <w:ind w:left="0"/>
      </w:pPr>
    </w:p>
    <w:p w14:paraId="2BCA56FF" w14:textId="522CA8CF" w:rsidR="00965363" w:rsidRPr="001B4CA2" w:rsidRDefault="00965363" w:rsidP="00965363">
      <w:r w:rsidRPr="001B4CA2">
        <w:tab/>
        <w:t>U izvještajnom razdoblju zaprimljena su 7.564 nova zahtjeva za mirno rješenje spora, što u odnosu na 2021. godinu predstavlja pad od 46</w:t>
      </w:r>
      <w:r w:rsidR="005A76BE">
        <w:t> </w:t>
      </w:r>
      <w:r w:rsidRPr="001B4CA2">
        <w:t>%. Razlozi povećanja zahtjeva u 2021. godini bili su istovrsni zahtjevi državnih službenika kojima su potraživali isplatu naknade na ime razlike plaće za 2016. godinu (tzv. ugovoreno povećanje plaće za 6</w:t>
      </w:r>
      <w:r w:rsidR="005A76BE">
        <w:t> </w:t>
      </w:r>
      <w:r w:rsidRPr="001B4CA2">
        <w:t>%), a koji zahtjevi su 2022. godine izostali, nakon što je Vrhovni sud Republike Hrvatske u oglednom postupku provedenom sukladno odredbi članka 502.i Zakona o parničnom postupku donio odluku da su njihovi zahtjevi neosnovani.</w:t>
      </w:r>
    </w:p>
    <w:p w14:paraId="0C783EE5" w14:textId="77777777" w:rsidR="00965363" w:rsidRPr="001B4CA2" w:rsidRDefault="00965363" w:rsidP="00965363"/>
    <w:p w14:paraId="7C118AE3" w14:textId="77777777" w:rsidR="00965363" w:rsidRPr="001B4CA2" w:rsidRDefault="00965363" w:rsidP="00965363">
      <w:r w:rsidRPr="001B4CA2">
        <w:tab/>
        <w:t>Broj novih zahtjeva za mirno rješenje spora u 2022. godini u odnosu na ostale godine promatranog petogodišnjeg razdoblja nije bitno različit.</w:t>
      </w:r>
    </w:p>
    <w:p w14:paraId="480A3368" w14:textId="77777777" w:rsidR="00965363" w:rsidRPr="001B4CA2" w:rsidRDefault="00965363" w:rsidP="00965363"/>
    <w:p w14:paraId="4A62E9E2" w14:textId="466EC772" w:rsidR="00965363" w:rsidRPr="001B4CA2" w:rsidRDefault="00965363" w:rsidP="00965363">
      <w:r w:rsidRPr="001B4CA2">
        <w:tab/>
        <w:t>Od 7.168 donesenih odluka 27</w:t>
      </w:r>
      <w:r w:rsidR="005A76BE">
        <w:t> </w:t>
      </w:r>
      <w:r w:rsidRPr="001B4CA2">
        <w:t>% ih se odnosi na sklopljene izvansudske nagodbe. Vrijednost sklopljenih nagodbi iznosi 84.853.000,00kn</w:t>
      </w:r>
      <w:r w:rsidR="005A76BE">
        <w:t xml:space="preserve"> </w:t>
      </w:r>
      <w:r w:rsidRPr="001B4CA2">
        <w:t>/</w:t>
      </w:r>
      <w:r w:rsidR="00257FA8" w:rsidRPr="001B4CA2">
        <w:t xml:space="preserve"> </w:t>
      </w:r>
      <w:r w:rsidRPr="001B4CA2">
        <w:t>11.26</w:t>
      </w:r>
      <w:r w:rsidR="003E79A0">
        <w:t>1</w:t>
      </w:r>
      <w:r w:rsidRPr="001B4CA2">
        <w:t>.</w:t>
      </w:r>
      <w:r w:rsidR="003E79A0">
        <w:t>928</w:t>
      </w:r>
      <w:r w:rsidRPr="001B4CA2">
        <w:t>,</w:t>
      </w:r>
      <w:r w:rsidR="003E79A0">
        <w:t>5</w:t>
      </w:r>
      <w:r w:rsidRPr="001B4CA2">
        <w:t xml:space="preserve">0 </w:t>
      </w:r>
      <w:r w:rsidR="00BF508A" w:rsidRPr="001B4CA2">
        <w:t>EUR</w:t>
      </w:r>
      <w:r w:rsidRPr="001B4CA2">
        <w:t>.</w:t>
      </w:r>
    </w:p>
    <w:p w14:paraId="4FB3596B" w14:textId="77777777" w:rsidR="00965363" w:rsidRPr="001B4CA2" w:rsidRDefault="00965363" w:rsidP="00965363"/>
    <w:p w14:paraId="2E7A414D" w14:textId="1ADFE8E6" w:rsidR="00965363" w:rsidRPr="001B4CA2" w:rsidRDefault="00965363" w:rsidP="00965363">
      <w:r w:rsidRPr="001B4CA2">
        <w:tab/>
        <w:t xml:space="preserve">Sklapanjem 1.941 nagodbe u postupku mirnog rješavanja spora primjenom odredbe članka 186.a Zakona o parničnom postupku općinska i županijska državna odvjetništva za taj </w:t>
      </w:r>
      <w:r w:rsidR="005A76BE" w:rsidRPr="001B4CA2">
        <w:t xml:space="preserve">su </w:t>
      </w:r>
      <w:r w:rsidRPr="001B4CA2">
        <w:t>broj smanjila opterećenje svih sudova ovim predmetima.</w:t>
      </w:r>
    </w:p>
    <w:p w14:paraId="2328023D" w14:textId="77777777" w:rsidR="00965363" w:rsidRPr="001B4CA2" w:rsidRDefault="00965363" w:rsidP="00965363"/>
    <w:p w14:paraId="2EF2B0D9" w14:textId="50EA9AC7" w:rsidR="00C9757D" w:rsidRPr="001B4CA2" w:rsidRDefault="00C9757D" w:rsidP="00965363">
      <w:pPr>
        <w:pStyle w:val="Odlomakpopisa"/>
        <w:ind w:left="0"/>
      </w:pPr>
    </w:p>
    <w:p w14:paraId="4A75F1EB" w14:textId="77777777" w:rsidR="00835670" w:rsidRPr="001B4CA2" w:rsidRDefault="00835670" w:rsidP="00B35AC2">
      <w:pPr>
        <w:sectPr w:rsidR="00835670" w:rsidRPr="001B4CA2" w:rsidSect="00A6441C">
          <w:headerReference w:type="default" r:id="rId14"/>
          <w:footerReference w:type="default" r:id="rId15"/>
          <w:headerReference w:type="first" r:id="rId16"/>
          <w:pgSz w:w="11906" w:h="16838"/>
          <w:pgMar w:top="1417" w:right="1417" w:bottom="1417" w:left="1417" w:header="708" w:footer="708" w:gutter="0"/>
          <w:cols w:space="708"/>
          <w:titlePg/>
          <w:docGrid w:linePitch="360"/>
        </w:sectPr>
      </w:pPr>
    </w:p>
    <w:p w14:paraId="07F7FFA7" w14:textId="0699FE00" w:rsidR="00835670" w:rsidRPr="001B4CA2" w:rsidRDefault="00835670" w:rsidP="000F67CB">
      <w:pPr>
        <w:ind w:left="-709"/>
        <w:contextualSpacing/>
        <w:jc w:val="left"/>
        <w:rPr>
          <w:i/>
        </w:rPr>
      </w:pPr>
      <w:r w:rsidRPr="001B4CA2">
        <w:rPr>
          <w:i/>
        </w:rPr>
        <w:lastRenderedPageBreak/>
        <w:t xml:space="preserve">b) </w:t>
      </w:r>
      <w:r w:rsidR="0015546B" w:rsidRPr="001B4CA2">
        <w:rPr>
          <w:i/>
        </w:rPr>
        <w:t>Zahtjev za mirno rješenje spora</w:t>
      </w:r>
      <w:r w:rsidR="001C7B16" w:rsidRPr="001B4CA2">
        <w:rPr>
          <w:i/>
        </w:rPr>
        <w:t xml:space="preserve"> –</w:t>
      </w:r>
      <w:r w:rsidR="0015546B" w:rsidRPr="001B4CA2">
        <w:rPr>
          <w:i/>
        </w:rPr>
        <w:t xml:space="preserve"> </w:t>
      </w:r>
      <w:r w:rsidR="000F67CB" w:rsidRPr="001B4CA2">
        <w:rPr>
          <w:i/>
        </w:rPr>
        <w:t>prema v</w:t>
      </w:r>
      <w:r w:rsidR="002A313C" w:rsidRPr="001B4CA2">
        <w:rPr>
          <w:i/>
        </w:rPr>
        <w:t>rsti i tijelima u 202</w:t>
      </w:r>
      <w:r w:rsidR="00C9757D" w:rsidRPr="001B4CA2">
        <w:rPr>
          <w:i/>
        </w:rPr>
        <w:t>2</w:t>
      </w:r>
      <w:r w:rsidR="002A313C" w:rsidRPr="001B4CA2">
        <w:rPr>
          <w:i/>
        </w:rPr>
        <w:t>.</w:t>
      </w:r>
    </w:p>
    <w:tbl>
      <w:tblPr>
        <w:tblW w:w="15777" w:type="dxa"/>
        <w:jc w:val="center"/>
        <w:tblLayout w:type="fixed"/>
        <w:tblLook w:val="04A0" w:firstRow="1" w:lastRow="0" w:firstColumn="1" w:lastColumn="0" w:noHBand="0" w:noVBand="1"/>
      </w:tblPr>
      <w:tblGrid>
        <w:gridCol w:w="5558"/>
        <w:gridCol w:w="730"/>
        <w:gridCol w:w="734"/>
        <w:gridCol w:w="788"/>
        <w:gridCol w:w="733"/>
        <w:gridCol w:w="860"/>
        <w:gridCol w:w="718"/>
        <w:gridCol w:w="861"/>
        <w:gridCol w:w="861"/>
        <w:gridCol w:w="716"/>
        <w:gridCol w:w="661"/>
        <w:gridCol w:w="773"/>
        <w:gridCol w:w="863"/>
        <w:gridCol w:w="921"/>
      </w:tblGrid>
      <w:tr w:rsidR="006519BB" w:rsidRPr="001B4CA2" w14:paraId="0120FE23" w14:textId="77777777" w:rsidTr="009C5AEE">
        <w:trPr>
          <w:trHeight w:val="552"/>
          <w:jc w:val="center"/>
        </w:trPr>
        <w:tc>
          <w:tcPr>
            <w:tcW w:w="5558" w:type="dxa"/>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0176C34" w14:textId="77777777" w:rsidR="00835670" w:rsidRPr="001B4CA2" w:rsidRDefault="00835670" w:rsidP="00835670">
            <w:pPr>
              <w:jc w:val="center"/>
              <w:rPr>
                <w:rFonts w:eastAsia="Times New Roman"/>
                <w:b/>
                <w:bCs/>
                <w:sz w:val="18"/>
                <w:szCs w:val="18"/>
                <w:lang w:eastAsia="hr-HR"/>
              </w:rPr>
            </w:pPr>
            <w:r w:rsidRPr="001B4CA2">
              <w:rPr>
                <w:rFonts w:eastAsia="Times New Roman"/>
                <w:b/>
                <w:bCs/>
                <w:sz w:val="18"/>
                <w:szCs w:val="18"/>
                <w:lang w:eastAsia="hr-HR"/>
              </w:rPr>
              <w:t>Naziv ministarstva ili drugog tijela</w:t>
            </w:r>
          </w:p>
        </w:tc>
        <w:tc>
          <w:tcPr>
            <w:tcW w:w="1464"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2D9EEC1F" w14:textId="77777777" w:rsidR="00835670" w:rsidRPr="001B4CA2" w:rsidRDefault="00835670" w:rsidP="00835670">
            <w:pPr>
              <w:jc w:val="center"/>
              <w:rPr>
                <w:rFonts w:eastAsia="Times New Roman"/>
                <w:b/>
                <w:bCs/>
                <w:sz w:val="18"/>
                <w:szCs w:val="18"/>
                <w:lang w:eastAsia="hr-HR"/>
              </w:rPr>
            </w:pPr>
            <w:proofErr w:type="spellStart"/>
            <w:r w:rsidRPr="001B4CA2">
              <w:rPr>
                <w:rFonts w:eastAsia="Times New Roman"/>
                <w:b/>
                <w:bCs/>
                <w:sz w:val="18"/>
                <w:szCs w:val="18"/>
                <w:lang w:eastAsia="hr-HR"/>
              </w:rPr>
              <w:t>Stvarnopravni</w:t>
            </w:r>
            <w:proofErr w:type="spellEnd"/>
            <w:r w:rsidRPr="001B4CA2">
              <w:rPr>
                <w:rFonts w:eastAsia="Times New Roman"/>
                <w:b/>
                <w:bCs/>
                <w:sz w:val="18"/>
                <w:szCs w:val="18"/>
                <w:lang w:eastAsia="hr-HR"/>
              </w:rPr>
              <w:t xml:space="preserve"> sporovi</w:t>
            </w:r>
          </w:p>
        </w:tc>
        <w:tc>
          <w:tcPr>
            <w:tcW w:w="1521" w:type="dxa"/>
            <w:gridSpan w:val="2"/>
            <w:tcBorders>
              <w:top w:val="single" w:sz="4" w:space="0" w:color="auto"/>
              <w:left w:val="single" w:sz="4" w:space="0" w:color="auto"/>
              <w:bottom w:val="single" w:sz="4" w:space="0" w:color="000000"/>
              <w:right w:val="single" w:sz="4" w:space="0" w:color="000000"/>
            </w:tcBorders>
            <w:shd w:val="clear" w:color="auto" w:fill="99CCFF"/>
            <w:vAlign w:val="center"/>
            <w:hideMark/>
          </w:tcPr>
          <w:p w14:paraId="44D523F3" w14:textId="77777777" w:rsidR="00835670" w:rsidRPr="001B4CA2" w:rsidRDefault="00835670" w:rsidP="00835670">
            <w:pPr>
              <w:jc w:val="center"/>
              <w:rPr>
                <w:rFonts w:eastAsia="Times New Roman"/>
                <w:b/>
                <w:bCs/>
                <w:sz w:val="18"/>
                <w:szCs w:val="18"/>
                <w:lang w:eastAsia="hr-HR"/>
              </w:rPr>
            </w:pPr>
            <w:proofErr w:type="spellStart"/>
            <w:r w:rsidRPr="001B4CA2">
              <w:rPr>
                <w:rFonts w:eastAsia="Times New Roman"/>
                <w:b/>
                <w:bCs/>
                <w:sz w:val="18"/>
                <w:szCs w:val="18"/>
                <w:lang w:eastAsia="hr-HR"/>
              </w:rPr>
              <w:t>Obveznopravni</w:t>
            </w:r>
            <w:proofErr w:type="spellEnd"/>
            <w:r w:rsidRPr="001B4CA2">
              <w:rPr>
                <w:b/>
                <w:bCs/>
                <w:sz w:val="18"/>
                <w:szCs w:val="18"/>
              </w:rPr>
              <w:t xml:space="preserve"> sporovi</w:t>
            </w:r>
          </w:p>
        </w:tc>
        <w:tc>
          <w:tcPr>
            <w:tcW w:w="1578"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3FD0EE14" w14:textId="77777777" w:rsidR="00835670" w:rsidRPr="001B4CA2" w:rsidRDefault="00835670" w:rsidP="00835670">
            <w:pPr>
              <w:jc w:val="center"/>
              <w:rPr>
                <w:rFonts w:eastAsia="Times New Roman"/>
                <w:b/>
                <w:bCs/>
                <w:sz w:val="18"/>
                <w:szCs w:val="18"/>
                <w:lang w:eastAsia="hr-HR"/>
              </w:rPr>
            </w:pPr>
            <w:r w:rsidRPr="001B4CA2">
              <w:rPr>
                <w:rFonts w:eastAsia="Times New Roman"/>
                <w:b/>
                <w:bCs/>
                <w:sz w:val="18"/>
                <w:szCs w:val="18"/>
                <w:lang w:eastAsia="hr-HR"/>
              </w:rPr>
              <w:t>Naknada štete</w:t>
            </w:r>
          </w:p>
        </w:tc>
        <w:tc>
          <w:tcPr>
            <w:tcW w:w="1722"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4D4A5613" w14:textId="77777777" w:rsidR="00835670" w:rsidRPr="001B4CA2" w:rsidRDefault="00835670" w:rsidP="00835670">
            <w:pPr>
              <w:jc w:val="center"/>
              <w:rPr>
                <w:rFonts w:eastAsia="Times New Roman"/>
                <w:b/>
                <w:bCs/>
                <w:sz w:val="18"/>
                <w:szCs w:val="18"/>
                <w:lang w:eastAsia="hr-HR"/>
              </w:rPr>
            </w:pPr>
            <w:r w:rsidRPr="001B4CA2">
              <w:rPr>
                <w:rFonts w:eastAsia="Times New Roman"/>
                <w:b/>
                <w:bCs/>
                <w:sz w:val="18"/>
                <w:szCs w:val="18"/>
                <w:lang w:eastAsia="hr-HR"/>
              </w:rPr>
              <w:t>Radni sporovi</w:t>
            </w:r>
          </w:p>
        </w:tc>
        <w:tc>
          <w:tcPr>
            <w:tcW w:w="1377"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71E41E04" w14:textId="77777777" w:rsidR="00150A4A" w:rsidRPr="001B4CA2" w:rsidRDefault="00835670" w:rsidP="00835670">
            <w:pPr>
              <w:jc w:val="center"/>
              <w:rPr>
                <w:rFonts w:eastAsia="Times New Roman"/>
                <w:b/>
                <w:bCs/>
                <w:sz w:val="18"/>
                <w:szCs w:val="18"/>
                <w:lang w:eastAsia="hr-HR"/>
              </w:rPr>
            </w:pPr>
            <w:r w:rsidRPr="001B4CA2">
              <w:rPr>
                <w:rFonts w:eastAsia="Times New Roman"/>
                <w:b/>
                <w:bCs/>
                <w:sz w:val="18"/>
                <w:szCs w:val="18"/>
                <w:lang w:eastAsia="hr-HR"/>
              </w:rPr>
              <w:t xml:space="preserve">Ostali </w:t>
            </w:r>
            <w:r w:rsidR="00150A4A" w:rsidRPr="001B4CA2">
              <w:rPr>
                <w:rFonts w:eastAsia="Times New Roman"/>
                <w:b/>
                <w:bCs/>
                <w:sz w:val="18"/>
                <w:szCs w:val="18"/>
                <w:lang w:eastAsia="hr-HR"/>
              </w:rPr>
              <w:t>parnični</w:t>
            </w:r>
          </w:p>
          <w:p w14:paraId="37D4E474" w14:textId="77777777" w:rsidR="00835670" w:rsidRPr="001B4CA2" w:rsidRDefault="00835670" w:rsidP="00835670">
            <w:pPr>
              <w:jc w:val="center"/>
              <w:rPr>
                <w:rFonts w:eastAsia="Times New Roman"/>
                <w:b/>
                <w:bCs/>
                <w:sz w:val="18"/>
                <w:szCs w:val="18"/>
                <w:lang w:eastAsia="hr-HR"/>
              </w:rPr>
            </w:pPr>
            <w:r w:rsidRPr="001B4CA2">
              <w:rPr>
                <w:rFonts w:eastAsia="Times New Roman"/>
                <w:b/>
                <w:bCs/>
                <w:sz w:val="18"/>
                <w:szCs w:val="18"/>
                <w:lang w:eastAsia="hr-HR"/>
              </w:rPr>
              <w:t>sporovi</w:t>
            </w:r>
          </w:p>
        </w:tc>
        <w:tc>
          <w:tcPr>
            <w:tcW w:w="1636"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7D4D0FE7" w14:textId="77777777" w:rsidR="00835670" w:rsidRPr="001B4CA2" w:rsidRDefault="00835670" w:rsidP="00835670">
            <w:pPr>
              <w:jc w:val="center"/>
              <w:rPr>
                <w:rFonts w:eastAsia="Times New Roman"/>
                <w:b/>
                <w:bCs/>
                <w:sz w:val="18"/>
                <w:szCs w:val="18"/>
                <w:lang w:eastAsia="hr-HR"/>
              </w:rPr>
            </w:pPr>
            <w:r w:rsidRPr="001B4CA2">
              <w:rPr>
                <w:rFonts w:eastAsia="Times New Roman"/>
                <w:b/>
                <w:bCs/>
                <w:sz w:val="18"/>
                <w:szCs w:val="18"/>
                <w:lang w:eastAsia="hr-HR"/>
              </w:rPr>
              <w:t>Ukupno</w:t>
            </w:r>
          </w:p>
        </w:tc>
        <w:tc>
          <w:tcPr>
            <w:tcW w:w="921" w:type="dxa"/>
            <w:vMerge w:val="restart"/>
            <w:tcBorders>
              <w:top w:val="single" w:sz="4" w:space="0" w:color="auto"/>
              <w:left w:val="single" w:sz="4" w:space="0" w:color="auto"/>
              <w:right w:val="single" w:sz="4" w:space="0" w:color="auto"/>
            </w:tcBorders>
            <w:shd w:val="clear" w:color="auto" w:fill="99CCFF"/>
            <w:vAlign w:val="center"/>
          </w:tcPr>
          <w:p w14:paraId="106801FD" w14:textId="77777777" w:rsidR="00835670" w:rsidRPr="001B4CA2" w:rsidRDefault="00835670" w:rsidP="00835670">
            <w:pPr>
              <w:jc w:val="center"/>
              <w:rPr>
                <w:rFonts w:eastAsia="Times New Roman"/>
                <w:b/>
                <w:bCs/>
                <w:sz w:val="16"/>
                <w:szCs w:val="16"/>
                <w:lang w:eastAsia="hr-HR"/>
              </w:rPr>
            </w:pPr>
            <w:r w:rsidRPr="001B4CA2">
              <w:rPr>
                <w:rFonts w:eastAsia="Times New Roman"/>
                <w:b/>
                <w:bCs/>
                <w:sz w:val="16"/>
                <w:szCs w:val="16"/>
                <w:lang w:eastAsia="hr-HR"/>
              </w:rPr>
              <w:t>Ukupno zahtjev RH i zahtjev ostali</w:t>
            </w:r>
          </w:p>
        </w:tc>
      </w:tr>
      <w:tr w:rsidR="006519BB" w:rsidRPr="001B4CA2" w14:paraId="280AA6E8" w14:textId="77777777" w:rsidTr="009C5AEE">
        <w:trPr>
          <w:cantSplit/>
          <w:trHeight w:val="1076"/>
          <w:jc w:val="center"/>
        </w:trPr>
        <w:tc>
          <w:tcPr>
            <w:tcW w:w="5558" w:type="dxa"/>
            <w:vMerge/>
            <w:tcBorders>
              <w:top w:val="single" w:sz="4" w:space="0" w:color="auto"/>
              <w:left w:val="single" w:sz="4" w:space="0" w:color="auto"/>
              <w:bottom w:val="single" w:sz="4" w:space="0" w:color="auto"/>
              <w:right w:val="single" w:sz="4" w:space="0" w:color="auto"/>
            </w:tcBorders>
            <w:vAlign w:val="center"/>
            <w:hideMark/>
          </w:tcPr>
          <w:p w14:paraId="69C2332B" w14:textId="576080A1" w:rsidR="00835670" w:rsidRPr="001B4CA2" w:rsidRDefault="00835670" w:rsidP="00835670">
            <w:pPr>
              <w:jc w:val="left"/>
              <w:rPr>
                <w:rFonts w:eastAsia="Times New Roman"/>
                <w:b/>
                <w:bCs/>
                <w:sz w:val="18"/>
                <w:szCs w:val="18"/>
                <w:lang w:eastAsia="hr-HR"/>
              </w:rPr>
            </w:pPr>
          </w:p>
        </w:tc>
        <w:tc>
          <w:tcPr>
            <w:tcW w:w="730" w:type="dxa"/>
            <w:tcBorders>
              <w:top w:val="nil"/>
              <w:left w:val="nil"/>
              <w:bottom w:val="single" w:sz="4" w:space="0" w:color="auto"/>
              <w:right w:val="single" w:sz="4" w:space="0" w:color="auto"/>
            </w:tcBorders>
            <w:shd w:val="clear" w:color="auto" w:fill="99CCFF"/>
            <w:textDirection w:val="btLr"/>
            <w:vAlign w:val="center"/>
            <w:hideMark/>
          </w:tcPr>
          <w:p w14:paraId="5A31EA23" w14:textId="77777777" w:rsidR="00835670" w:rsidRPr="001B4CA2" w:rsidRDefault="00835670" w:rsidP="00835670">
            <w:pPr>
              <w:ind w:left="113" w:right="113"/>
              <w:jc w:val="left"/>
              <w:rPr>
                <w:rFonts w:eastAsia="Times New Roman"/>
                <w:sz w:val="18"/>
                <w:szCs w:val="18"/>
                <w:lang w:eastAsia="hr-HR"/>
              </w:rPr>
            </w:pPr>
            <w:r w:rsidRPr="001B4CA2">
              <w:rPr>
                <w:rFonts w:eastAsia="Times New Roman"/>
                <w:sz w:val="18"/>
                <w:szCs w:val="18"/>
                <w:lang w:eastAsia="hr-HR"/>
              </w:rPr>
              <w:t>Zahtjev RH</w:t>
            </w:r>
          </w:p>
        </w:tc>
        <w:tc>
          <w:tcPr>
            <w:tcW w:w="734" w:type="dxa"/>
            <w:tcBorders>
              <w:top w:val="nil"/>
              <w:left w:val="nil"/>
              <w:bottom w:val="single" w:sz="4" w:space="0" w:color="auto"/>
              <w:right w:val="single" w:sz="4" w:space="0" w:color="auto"/>
            </w:tcBorders>
            <w:shd w:val="clear" w:color="auto" w:fill="99CCFF"/>
            <w:textDirection w:val="btLr"/>
            <w:vAlign w:val="center"/>
            <w:hideMark/>
          </w:tcPr>
          <w:p w14:paraId="47F02D23" w14:textId="77777777" w:rsidR="00835670" w:rsidRPr="001B4CA2" w:rsidRDefault="00835670" w:rsidP="00835670">
            <w:pPr>
              <w:ind w:left="113" w:right="113"/>
              <w:jc w:val="left"/>
              <w:rPr>
                <w:rFonts w:eastAsia="Times New Roman"/>
                <w:sz w:val="18"/>
                <w:szCs w:val="18"/>
                <w:lang w:eastAsia="hr-HR"/>
              </w:rPr>
            </w:pPr>
            <w:r w:rsidRPr="001B4CA2">
              <w:rPr>
                <w:rFonts w:eastAsia="Times New Roman"/>
                <w:sz w:val="18"/>
                <w:szCs w:val="18"/>
                <w:lang w:eastAsia="hr-HR"/>
              </w:rPr>
              <w:t>Zahtjev ostali</w:t>
            </w:r>
          </w:p>
        </w:tc>
        <w:tc>
          <w:tcPr>
            <w:tcW w:w="788" w:type="dxa"/>
            <w:tcBorders>
              <w:top w:val="nil"/>
              <w:left w:val="nil"/>
              <w:bottom w:val="single" w:sz="4" w:space="0" w:color="auto"/>
              <w:right w:val="single" w:sz="4" w:space="0" w:color="auto"/>
            </w:tcBorders>
            <w:shd w:val="clear" w:color="auto" w:fill="99CCFF"/>
            <w:textDirection w:val="btLr"/>
            <w:vAlign w:val="center"/>
            <w:hideMark/>
          </w:tcPr>
          <w:p w14:paraId="64006B2F" w14:textId="77777777" w:rsidR="00835670" w:rsidRPr="001B4CA2" w:rsidRDefault="00835670" w:rsidP="00835670">
            <w:pPr>
              <w:ind w:left="113" w:right="113"/>
              <w:jc w:val="left"/>
              <w:rPr>
                <w:rFonts w:eastAsia="Times New Roman"/>
                <w:sz w:val="18"/>
                <w:szCs w:val="18"/>
                <w:lang w:eastAsia="hr-HR"/>
              </w:rPr>
            </w:pPr>
            <w:r w:rsidRPr="001B4CA2">
              <w:rPr>
                <w:rFonts w:eastAsia="Times New Roman"/>
                <w:sz w:val="18"/>
                <w:szCs w:val="18"/>
                <w:lang w:eastAsia="hr-HR"/>
              </w:rPr>
              <w:t>Zahtjev RH</w:t>
            </w:r>
          </w:p>
        </w:tc>
        <w:tc>
          <w:tcPr>
            <w:tcW w:w="733" w:type="dxa"/>
            <w:tcBorders>
              <w:top w:val="nil"/>
              <w:left w:val="nil"/>
              <w:bottom w:val="single" w:sz="4" w:space="0" w:color="auto"/>
              <w:right w:val="single" w:sz="4" w:space="0" w:color="auto"/>
            </w:tcBorders>
            <w:shd w:val="clear" w:color="auto" w:fill="99CCFF"/>
            <w:textDirection w:val="btLr"/>
            <w:vAlign w:val="center"/>
            <w:hideMark/>
          </w:tcPr>
          <w:p w14:paraId="7F1CD13F" w14:textId="77777777" w:rsidR="00835670" w:rsidRPr="001B4CA2" w:rsidRDefault="00835670" w:rsidP="00835670">
            <w:pPr>
              <w:ind w:left="113" w:right="113"/>
              <w:jc w:val="left"/>
              <w:rPr>
                <w:rFonts w:eastAsia="Times New Roman"/>
                <w:sz w:val="18"/>
                <w:szCs w:val="18"/>
                <w:lang w:eastAsia="hr-HR"/>
              </w:rPr>
            </w:pPr>
            <w:r w:rsidRPr="001B4CA2">
              <w:rPr>
                <w:rFonts w:eastAsia="Times New Roman"/>
                <w:sz w:val="18"/>
                <w:szCs w:val="18"/>
                <w:lang w:eastAsia="hr-HR"/>
              </w:rPr>
              <w:t>Zahtjev ostali</w:t>
            </w:r>
          </w:p>
        </w:tc>
        <w:tc>
          <w:tcPr>
            <w:tcW w:w="860" w:type="dxa"/>
            <w:tcBorders>
              <w:top w:val="nil"/>
              <w:left w:val="nil"/>
              <w:bottom w:val="single" w:sz="4" w:space="0" w:color="auto"/>
              <w:right w:val="single" w:sz="4" w:space="0" w:color="auto"/>
            </w:tcBorders>
            <w:shd w:val="clear" w:color="auto" w:fill="99CCFF"/>
            <w:textDirection w:val="btLr"/>
            <w:vAlign w:val="center"/>
            <w:hideMark/>
          </w:tcPr>
          <w:p w14:paraId="0F9462AA" w14:textId="77777777" w:rsidR="00835670" w:rsidRPr="001B4CA2" w:rsidRDefault="00835670" w:rsidP="00835670">
            <w:pPr>
              <w:ind w:left="113" w:right="113"/>
              <w:jc w:val="left"/>
              <w:rPr>
                <w:rFonts w:eastAsia="Times New Roman"/>
                <w:sz w:val="18"/>
                <w:szCs w:val="18"/>
                <w:lang w:eastAsia="hr-HR"/>
              </w:rPr>
            </w:pPr>
            <w:r w:rsidRPr="001B4CA2">
              <w:rPr>
                <w:rFonts w:eastAsia="Times New Roman"/>
                <w:sz w:val="18"/>
                <w:szCs w:val="18"/>
                <w:lang w:eastAsia="hr-HR"/>
              </w:rPr>
              <w:t>Zahtjev RH</w:t>
            </w:r>
          </w:p>
        </w:tc>
        <w:tc>
          <w:tcPr>
            <w:tcW w:w="718" w:type="dxa"/>
            <w:tcBorders>
              <w:top w:val="nil"/>
              <w:left w:val="nil"/>
              <w:bottom w:val="single" w:sz="4" w:space="0" w:color="auto"/>
              <w:right w:val="single" w:sz="4" w:space="0" w:color="auto"/>
            </w:tcBorders>
            <w:shd w:val="clear" w:color="auto" w:fill="99CCFF"/>
            <w:textDirection w:val="btLr"/>
            <w:vAlign w:val="center"/>
            <w:hideMark/>
          </w:tcPr>
          <w:p w14:paraId="4A99C223" w14:textId="77777777" w:rsidR="00835670" w:rsidRPr="001B4CA2" w:rsidRDefault="00835670" w:rsidP="00835670">
            <w:pPr>
              <w:ind w:left="113" w:right="113"/>
              <w:jc w:val="left"/>
              <w:rPr>
                <w:rFonts w:eastAsia="Times New Roman"/>
                <w:sz w:val="18"/>
                <w:szCs w:val="18"/>
                <w:lang w:eastAsia="hr-HR"/>
              </w:rPr>
            </w:pPr>
            <w:r w:rsidRPr="001B4CA2">
              <w:rPr>
                <w:rFonts w:eastAsia="Times New Roman"/>
                <w:sz w:val="18"/>
                <w:szCs w:val="18"/>
                <w:lang w:eastAsia="hr-HR"/>
              </w:rPr>
              <w:t>Zahtjev ostali</w:t>
            </w:r>
          </w:p>
        </w:tc>
        <w:tc>
          <w:tcPr>
            <w:tcW w:w="861" w:type="dxa"/>
            <w:tcBorders>
              <w:top w:val="nil"/>
              <w:left w:val="nil"/>
              <w:bottom w:val="single" w:sz="4" w:space="0" w:color="auto"/>
              <w:right w:val="single" w:sz="4" w:space="0" w:color="auto"/>
            </w:tcBorders>
            <w:shd w:val="clear" w:color="auto" w:fill="99CCFF"/>
            <w:textDirection w:val="btLr"/>
            <w:vAlign w:val="center"/>
            <w:hideMark/>
          </w:tcPr>
          <w:p w14:paraId="07B9A344" w14:textId="77777777" w:rsidR="00835670" w:rsidRPr="001B4CA2" w:rsidRDefault="00835670" w:rsidP="00835670">
            <w:pPr>
              <w:ind w:left="113" w:right="113"/>
              <w:jc w:val="left"/>
              <w:rPr>
                <w:rFonts w:eastAsia="Times New Roman"/>
                <w:sz w:val="18"/>
                <w:szCs w:val="18"/>
                <w:lang w:eastAsia="hr-HR"/>
              </w:rPr>
            </w:pPr>
            <w:r w:rsidRPr="001B4CA2">
              <w:rPr>
                <w:rFonts w:eastAsia="Times New Roman"/>
                <w:sz w:val="18"/>
                <w:szCs w:val="18"/>
                <w:lang w:eastAsia="hr-HR"/>
              </w:rPr>
              <w:t>Zahtjev RH</w:t>
            </w:r>
          </w:p>
        </w:tc>
        <w:tc>
          <w:tcPr>
            <w:tcW w:w="861" w:type="dxa"/>
            <w:tcBorders>
              <w:top w:val="nil"/>
              <w:left w:val="nil"/>
              <w:bottom w:val="single" w:sz="4" w:space="0" w:color="auto"/>
              <w:right w:val="single" w:sz="4" w:space="0" w:color="auto"/>
            </w:tcBorders>
            <w:shd w:val="clear" w:color="auto" w:fill="99CCFF"/>
            <w:textDirection w:val="btLr"/>
            <w:vAlign w:val="center"/>
            <w:hideMark/>
          </w:tcPr>
          <w:p w14:paraId="77B9266A" w14:textId="77777777" w:rsidR="00835670" w:rsidRPr="001B4CA2" w:rsidRDefault="00835670" w:rsidP="00835670">
            <w:pPr>
              <w:ind w:left="113" w:right="113"/>
              <w:jc w:val="left"/>
              <w:rPr>
                <w:rFonts w:eastAsia="Times New Roman"/>
                <w:sz w:val="18"/>
                <w:szCs w:val="18"/>
                <w:lang w:eastAsia="hr-HR"/>
              </w:rPr>
            </w:pPr>
            <w:r w:rsidRPr="001B4CA2">
              <w:rPr>
                <w:rFonts w:eastAsia="Times New Roman"/>
                <w:sz w:val="18"/>
                <w:szCs w:val="18"/>
                <w:lang w:eastAsia="hr-HR"/>
              </w:rPr>
              <w:t>Zahtjev ostali</w:t>
            </w:r>
          </w:p>
        </w:tc>
        <w:tc>
          <w:tcPr>
            <w:tcW w:w="716" w:type="dxa"/>
            <w:tcBorders>
              <w:top w:val="nil"/>
              <w:left w:val="nil"/>
              <w:bottom w:val="single" w:sz="4" w:space="0" w:color="auto"/>
              <w:right w:val="single" w:sz="4" w:space="0" w:color="auto"/>
            </w:tcBorders>
            <w:shd w:val="clear" w:color="auto" w:fill="99CCFF"/>
            <w:textDirection w:val="btLr"/>
            <w:vAlign w:val="center"/>
            <w:hideMark/>
          </w:tcPr>
          <w:p w14:paraId="1503B1FD" w14:textId="6BE94BBD" w:rsidR="00835670" w:rsidRPr="001B4CA2" w:rsidRDefault="00835670" w:rsidP="00835670">
            <w:pPr>
              <w:ind w:left="113" w:right="113"/>
              <w:jc w:val="left"/>
              <w:rPr>
                <w:rFonts w:eastAsia="Times New Roman"/>
                <w:sz w:val="18"/>
                <w:szCs w:val="18"/>
                <w:lang w:eastAsia="hr-HR"/>
              </w:rPr>
            </w:pPr>
            <w:r w:rsidRPr="001B4CA2">
              <w:rPr>
                <w:rFonts w:eastAsia="Times New Roman"/>
                <w:sz w:val="18"/>
                <w:szCs w:val="18"/>
                <w:lang w:eastAsia="hr-HR"/>
              </w:rPr>
              <w:t>Zahtjev</w:t>
            </w:r>
            <w:r w:rsidR="00310130" w:rsidRPr="001B4CA2">
              <w:rPr>
                <w:rFonts w:eastAsia="Times New Roman"/>
                <w:sz w:val="18"/>
                <w:szCs w:val="18"/>
                <w:lang w:eastAsia="hr-HR"/>
              </w:rPr>
              <w:t xml:space="preserve"> </w:t>
            </w:r>
            <w:r w:rsidRPr="001B4CA2">
              <w:rPr>
                <w:rFonts w:eastAsia="Times New Roman"/>
                <w:sz w:val="18"/>
                <w:szCs w:val="18"/>
                <w:lang w:eastAsia="hr-HR"/>
              </w:rPr>
              <w:t>RH</w:t>
            </w:r>
          </w:p>
        </w:tc>
        <w:tc>
          <w:tcPr>
            <w:tcW w:w="661" w:type="dxa"/>
            <w:tcBorders>
              <w:top w:val="nil"/>
              <w:left w:val="nil"/>
              <w:bottom w:val="single" w:sz="4" w:space="0" w:color="auto"/>
              <w:right w:val="single" w:sz="4" w:space="0" w:color="auto"/>
            </w:tcBorders>
            <w:shd w:val="clear" w:color="auto" w:fill="99CCFF"/>
            <w:textDirection w:val="btLr"/>
            <w:vAlign w:val="center"/>
            <w:hideMark/>
          </w:tcPr>
          <w:p w14:paraId="49CFE597" w14:textId="77777777" w:rsidR="00835670" w:rsidRPr="001B4CA2" w:rsidRDefault="00835670" w:rsidP="00835670">
            <w:pPr>
              <w:ind w:left="113" w:right="113"/>
              <w:jc w:val="left"/>
              <w:rPr>
                <w:rFonts w:eastAsia="Times New Roman"/>
                <w:sz w:val="18"/>
                <w:szCs w:val="18"/>
                <w:lang w:eastAsia="hr-HR"/>
              </w:rPr>
            </w:pPr>
            <w:r w:rsidRPr="001B4CA2">
              <w:rPr>
                <w:rFonts w:eastAsia="Times New Roman"/>
                <w:sz w:val="18"/>
                <w:szCs w:val="18"/>
                <w:lang w:eastAsia="hr-HR"/>
              </w:rPr>
              <w:t>Zahtjev ostali</w:t>
            </w:r>
          </w:p>
        </w:tc>
        <w:tc>
          <w:tcPr>
            <w:tcW w:w="773"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47A7B1EA" w14:textId="069720A8" w:rsidR="00835670" w:rsidRPr="001B4CA2" w:rsidRDefault="00835670" w:rsidP="00835670">
            <w:pPr>
              <w:ind w:left="113" w:right="113"/>
              <w:jc w:val="left"/>
              <w:rPr>
                <w:rFonts w:eastAsia="Times New Roman"/>
                <w:bCs/>
                <w:sz w:val="18"/>
                <w:szCs w:val="18"/>
                <w:lang w:eastAsia="hr-HR"/>
              </w:rPr>
            </w:pPr>
            <w:r w:rsidRPr="001B4CA2">
              <w:rPr>
                <w:rFonts w:eastAsia="Times New Roman"/>
                <w:bCs/>
                <w:sz w:val="18"/>
                <w:szCs w:val="18"/>
                <w:lang w:eastAsia="hr-HR"/>
              </w:rPr>
              <w:t>Zahtjev</w:t>
            </w:r>
            <w:r w:rsidR="00310130" w:rsidRPr="001B4CA2">
              <w:rPr>
                <w:rFonts w:eastAsia="Times New Roman"/>
                <w:bCs/>
                <w:sz w:val="18"/>
                <w:szCs w:val="18"/>
                <w:lang w:eastAsia="hr-HR"/>
              </w:rPr>
              <w:t xml:space="preserve"> </w:t>
            </w:r>
            <w:r w:rsidRPr="001B4CA2">
              <w:rPr>
                <w:rFonts w:eastAsia="Times New Roman"/>
                <w:bCs/>
                <w:sz w:val="18"/>
                <w:szCs w:val="18"/>
                <w:lang w:eastAsia="hr-HR"/>
              </w:rPr>
              <w:t>RH</w:t>
            </w:r>
          </w:p>
        </w:tc>
        <w:tc>
          <w:tcPr>
            <w:tcW w:w="863"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tcPr>
          <w:p w14:paraId="0761329B" w14:textId="77777777" w:rsidR="00835670" w:rsidRPr="001B4CA2" w:rsidRDefault="00835670" w:rsidP="00835670">
            <w:pPr>
              <w:ind w:left="113" w:right="113"/>
              <w:jc w:val="left"/>
              <w:rPr>
                <w:rFonts w:eastAsia="Times New Roman"/>
                <w:bCs/>
                <w:sz w:val="18"/>
                <w:szCs w:val="18"/>
                <w:lang w:eastAsia="hr-HR"/>
              </w:rPr>
            </w:pPr>
            <w:r w:rsidRPr="001B4CA2">
              <w:rPr>
                <w:rFonts w:eastAsia="Times New Roman"/>
                <w:bCs/>
                <w:sz w:val="18"/>
                <w:szCs w:val="18"/>
                <w:lang w:eastAsia="hr-HR"/>
              </w:rPr>
              <w:t>Zahtjev ostali</w:t>
            </w:r>
          </w:p>
        </w:tc>
        <w:tc>
          <w:tcPr>
            <w:tcW w:w="921" w:type="dxa"/>
            <w:vMerge/>
            <w:tcBorders>
              <w:left w:val="single" w:sz="4" w:space="0" w:color="auto"/>
              <w:bottom w:val="single" w:sz="4" w:space="0" w:color="auto"/>
              <w:right w:val="single" w:sz="4" w:space="0" w:color="auto"/>
            </w:tcBorders>
            <w:shd w:val="clear" w:color="auto" w:fill="99CCFF"/>
            <w:textDirection w:val="btLr"/>
          </w:tcPr>
          <w:p w14:paraId="36DF1A8F" w14:textId="77777777" w:rsidR="00835670" w:rsidRPr="001B4CA2" w:rsidRDefault="00835670" w:rsidP="00835670">
            <w:pPr>
              <w:jc w:val="center"/>
              <w:rPr>
                <w:rFonts w:eastAsia="Times New Roman"/>
                <w:bCs/>
                <w:sz w:val="18"/>
                <w:szCs w:val="18"/>
                <w:lang w:eastAsia="hr-HR"/>
              </w:rPr>
            </w:pPr>
          </w:p>
        </w:tc>
      </w:tr>
      <w:tr w:rsidR="00B8233A" w:rsidRPr="001B4CA2" w14:paraId="1D6F5831"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1ECA5" w14:textId="50FC2B99"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Republika Hrvatska</w:t>
            </w:r>
          </w:p>
        </w:tc>
        <w:tc>
          <w:tcPr>
            <w:tcW w:w="730" w:type="dxa"/>
            <w:tcBorders>
              <w:top w:val="nil"/>
              <w:left w:val="nil"/>
              <w:bottom w:val="single" w:sz="4" w:space="0" w:color="auto"/>
              <w:right w:val="single" w:sz="4" w:space="0" w:color="auto"/>
            </w:tcBorders>
            <w:shd w:val="clear" w:color="auto" w:fill="auto"/>
            <w:noWrap/>
            <w:vAlign w:val="center"/>
          </w:tcPr>
          <w:p w14:paraId="33D05208" w14:textId="77E55E93" w:rsidR="00B8233A" w:rsidRPr="001B4CA2" w:rsidRDefault="00B8233A" w:rsidP="00B8233A">
            <w:pPr>
              <w:jc w:val="center"/>
              <w:rPr>
                <w:sz w:val="18"/>
                <w:szCs w:val="18"/>
              </w:rPr>
            </w:pPr>
            <w:r w:rsidRPr="001B4CA2">
              <w:rPr>
                <w:rFonts w:ascii="Calibri" w:hAnsi="Calibri" w:cs="Calibri"/>
                <w:color w:val="000000"/>
                <w:sz w:val="22"/>
              </w:rPr>
              <w:t>29</w:t>
            </w:r>
          </w:p>
        </w:tc>
        <w:tc>
          <w:tcPr>
            <w:tcW w:w="734" w:type="dxa"/>
            <w:tcBorders>
              <w:top w:val="nil"/>
              <w:left w:val="nil"/>
              <w:bottom w:val="single" w:sz="4" w:space="0" w:color="auto"/>
              <w:right w:val="single" w:sz="4" w:space="0" w:color="auto"/>
            </w:tcBorders>
            <w:shd w:val="clear" w:color="auto" w:fill="auto"/>
            <w:noWrap/>
            <w:vAlign w:val="center"/>
          </w:tcPr>
          <w:p w14:paraId="59E7B972" w14:textId="4159939D" w:rsidR="00B8233A" w:rsidRPr="001B4CA2" w:rsidRDefault="00B8233A" w:rsidP="00B8233A">
            <w:pPr>
              <w:jc w:val="center"/>
              <w:rPr>
                <w:sz w:val="18"/>
                <w:szCs w:val="18"/>
              </w:rPr>
            </w:pPr>
            <w:r w:rsidRPr="001B4CA2">
              <w:rPr>
                <w:rFonts w:ascii="Calibri" w:hAnsi="Calibri" w:cs="Calibri"/>
                <w:color w:val="000000"/>
                <w:sz w:val="22"/>
              </w:rPr>
              <w:t>70</w:t>
            </w:r>
          </w:p>
        </w:tc>
        <w:tc>
          <w:tcPr>
            <w:tcW w:w="788" w:type="dxa"/>
            <w:tcBorders>
              <w:top w:val="nil"/>
              <w:left w:val="nil"/>
              <w:bottom w:val="single" w:sz="4" w:space="0" w:color="auto"/>
              <w:right w:val="single" w:sz="4" w:space="0" w:color="auto"/>
            </w:tcBorders>
            <w:shd w:val="clear" w:color="auto" w:fill="auto"/>
            <w:noWrap/>
            <w:vAlign w:val="center"/>
          </w:tcPr>
          <w:p w14:paraId="29C241A0" w14:textId="7A97D885" w:rsidR="00B8233A" w:rsidRPr="001B4CA2" w:rsidRDefault="00B8233A" w:rsidP="00B8233A">
            <w:pPr>
              <w:jc w:val="center"/>
              <w:rPr>
                <w:sz w:val="18"/>
                <w:szCs w:val="18"/>
              </w:rPr>
            </w:pPr>
            <w:r w:rsidRPr="001B4CA2">
              <w:rPr>
                <w:rFonts w:ascii="Calibri" w:hAnsi="Calibri" w:cs="Calibri"/>
                <w:color w:val="000000"/>
                <w:sz w:val="22"/>
              </w:rPr>
              <w:t>30</w:t>
            </w:r>
          </w:p>
        </w:tc>
        <w:tc>
          <w:tcPr>
            <w:tcW w:w="733" w:type="dxa"/>
            <w:tcBorders>
              <w:top w:val="nil"/>
              <w:left w:val="nil"/>
              <w:bottom w:val="single" w:sz="4" w:space="0" w:color="auto"/>
              <w:right w:val="single" w:sz="4" w:space="0" w:color="auto"/>
            </w:tcBorders>
            <w:shd w:val="clear" w:color="auto" w:fill="auto"/>
            <w:noWrap/>
            <w:vAlign w:val="center"/>
          </w:tcPr>
          <w:p w14:paraId="1C5C7098" w14:textId="5B52C28D" w:rsidR="00B8233A" w:rsidRPr="001B4CA2" w:rsidRDefault="00B8233A" w:rsidP="00B8233A">
            <w:pPr>
              <w:jc w:val="center"/>
              <w:rPr>
                <w:sz w:val="18"/>
                <w:szCs w:val="18"/>
              </w:rPr>
            </w:pPr>
            <w:r w:rsidRPr="001B4CA2">
              <w:rPr>
                <w:rFonts w:ascii="Calibri" w:hAnsi="Calibri" w:cs="Calibri"/>
                <w:color w:val="000000"/>
                <w:sz w:val="22"/>
              </w:rPr>
              <w:t>28</w:t>
            </w:r>
          </w:p>
        </w:tc>
        <w:tc>
          <w:tcPr>
            <w:tcW w:w="860" w:type="dxa"/>
            <w:tcBorders>
              <w:top w:val="nil"/>
              <w:left w:val="nil"/>
              <w:bottom w:val="single" w:sz="4" w:space="0" w:color="auto"/>
              <w:right w:val="single" w:sz="4" w:space="0" w:color="auto"/>
            </w:tcBorders>
            <w:shd w:val="clear" w:color="auto" w:fill="auto"/>
            <w:noWrap/>
            <w:vAlign w:val="center"/>
          </w:tcPr>
          <w:p w14:paraId="2158260D" w14:textId="0D4253F6" w:rsidR="00B8233A" w:rsidRPr="001B4CA2" w:rsidRDefault="00B8233A" w:rsidP="00B8233A">
            <w:pPr>
              <w:jc w:val="center"/>
              <w:rPr>
                <w:sz w:val="18"/>
                <w:szCs w:val="18"/>
              </w:rPr>
            </w:pPr>
            <w:r w:rsidRPr="001B4CA2">
              <w:rPr>
                <w:rFonts w:ascii="Calibri" w:hAnsi="Calibri" w:cs="Calibri"/>
                <w:color w:val="000000"/>
                <w:sz w:val="22"/>
              </w:rPr>
              <w:t>4</w:t>
            </w:r>
          </w:p>
        </w:tc>
        <w:tc>
          <w:tcPr>
            <w:tcW w:w="718" w:type="dxa"/>
            <w:tcBorders>
              <w:top w:val="nil"/>
              <w:left w:val="nil"/>
              <w:bottom w:val="single" w:sz="4" w:space="0" w:color="auto"/>
              <w:right w:val="single" w:sz="4" w:space="0" w:color="auto"/>
            </w:tcBorders>
            <w:shd w:val="clear" w:color="auto" w:fill="auto"/>
            <w:noWrap/>
            <w:vAlign w:val="center"/>
          </w:tcPr>
          <w:p w14:paraId="4DB8885B" w14:textId="2638FC03" w:rsidR="00B8233A" w:rsidRPr="001B4CA2" w:rsidRDefault="00B8233A" w:rsidP="00B8233A">
            <w:pPr>
              <w:jc w:val="center"/>
              <w:rPr>
                <w:sz w:val="18"/>
                <w:szCs w:val="18"/>
              </w:rPr>
            </w:pPr>
            <w:r w:rsidRPr="001B4CA2">
              <w:rPr>
                <w:rFonts w:ascii="Calibri" w:hAnsi="Calibri" w:cs="Calibri"/>
                <w:color w:val="000000"/>
                <w:sz w:val="22"/>
              </w:rPr>
              <w:t>25</w:t>
            </w:r>
          </w:p>
        </w:tc>
        <w:tc>
          <w:tcPr>
            <w:tcW w:w="861" w:type="dxa"/>
            <w:tcBorders>
              <w:top w:val="nil"/>
              <w:left w:val="nil"/>
              <w:bottom w:val="single" w:sz="4" w:space="0" w:color="auto"/>
              <w:right w:val="single" w:sz="4" w:space="0" w:color="auto"/>
            </w:tcBorders>
            <w:shd w:val="clear" w:color="auto" w:fill="auto"/>
            <w:noWrap/>
            <w:vAlign w:val="center"/>
          </w:tcPr>
          <w:p w14:paraId="3B53D769" w14:textId="54C6F748"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1A7BB482" w14:textId="10E13227" w:rsidR="00B8233A" w:rsidRPr="001B4CA2" w:rsidRDefault="00B8233A" w:rsidP="00B8233A">
            <w:pPr>
              <w:jc w:val="center"/>
              <w:rPr>
                <w:sz w:val="18"/>
                <w:szCs w:val="18"/>
              </w:rPr>
            </w:pPr>
          </w:p>
        </w:tc>
        <w:tc>
          <w:tcPr>
            <w:tcW w:w="716" w:type="dxa"/>
            <w:tcBorders>
              <w:top w:val="nil"/>
              <w:left w:val="nil"/>
              <w:bottom w:val="single" w:sz="4" w:space="0" w:color="auto"/>
              <w:right w:val="single" w:sz="4" w:space="0" w:color="auto"/>
            </w:tcBorders>
            <w:shd w:val="clear" w:color="auto" w:fill="auto"/>
            <w:noWrap/>
            <w:vAlign w:val="center"/>
          </w:tcPr>
          <w:p w14:paraId="16C89F25" w14:textId="2A4DC23C" w:rsidR="00B8233A" w:rsidRPr="001B4CA2" w:rsidRDefault="00B8233A" w:rsidP="00B8233A">
            <w:pPr>
              <w:jc w:val="center"/>
              <w:rPr>
                <w:sz w:val="18"/>
                <w:szCs w:val="18"/>
              </w:rPr>
            </w:pPr>
          </w:p>
        </w:tc>
        <w:tc>
          <w:tcPr>
            <w:tcW w:w="661" w:type="dxa"/>
            <w:tcBorders>
              <w:top w:val="nil"/>
              <w:left w:val="nil"/>
              <w:bottom w:val="single" w:sz="4" w:space="0" w:color="auto"/>
              <w:right w:val="single" w:sz="4" w:space="0" w:color="auto"/>
            </w:tcBorders>
            <w:shd w:val="clear" w:color="auto" w:fill="auto"/>
            <w:noWrap/>
            <w:vAlign w:val="center"/>
          </w:tcPr>
          <w:p w14:paraId="298DFF99" w14:textId="09437A0F" w:rsidR="00B8233A" w:rsidRPr="001B4CA2" w:rsidRDefault="00B8233A" w:rsidP="00B8233A">
            <w:pPr>
              <w:jc w:val="center"/>
              <w:rPr>
                <w:sz w:val="18"/>
                <w:szCs w:val="18"/>
              </w:rPr>
            </w:pPr>
            <w:r w:rsidRPr="001B4CA2">
              <w:rPr>
                <w:rFonts w:ascii="Calibri" w:hAnsi="Calibri" w:cs="Calibri"/>
                <w:color w:val="000000"/>
                <w:sz w:val="22"/>
              </w:rPr>
              <w:t>4</w:t>
            </w:r>
          </w:p>
        </w:tc>
        <w:tc>
          <w:tcPr>
            <w:tcW w:w="773" w:type="dxa"/>
            <w:tcBorders>
              <w:top w:val="nil"/>
              <w:left w:val="nil"/>
              <w:bottom w:val="single" w:sz="4" w:space="0" w:color="auto"/>
              <w:right w:val="single" w:sz="4" w:space="0" w:color="auto"/>
            </w:tcBorders>
            <w:shd w:val="clear" w:color="auto" w:fill="auto"/>
            <w:noWrap/>
            <w:vAlign w:val="center"/>
          </w:tcPr>
          <w:p w14:paraId="47934A0D" w14:textId="2C7021BC" w:rsidR="00B8233A" w:rsidRPr="001B4CA2" w:rsidRDefault="00B8233A" w:rsidP="00B8233A">
            <w:pPr>
              <w:jc w:val="center"/>
              <w:rPr>
                <w:bCs/>
                <w:sz w:val="18"/>
                <w:szCs w:val="18"/>
              </w:rPr>
            </w:pPr>
            <w:r w:rsidRPr="001B4CA2">
              <w:rPr>
                <w:rFonts w:ascii="Calibri" w:hAnsi="Calibri" w:cs="Calibri"/>
                <w:bCs/>
                <w:color w:val="000000"/>
                <w:sz w:val="22"/>
              </w:rPr>
              <w:t>63</w:t>
            </w:r>
          </w:p>
        </w:tc>
        <w:tc>
          <w:tcPr>
            <w:tcW w:w="863" w:type="dxa"/>
            <w:tcBorders>
              <w:top w:val="nil"/>
              <w:left w:val="nil"/>
              <w:bottom w:val="single" w:sz="4" w:space="0" w:color="auto"/>
              <w:right w:val="single" w:sz="4" w:space="0" w:color="auto"/>
            </w:tcBorders>
            <w:shd w:val="clear" w:color="auto" w:fill="auto"/>
            <w:vAlign w:val="center"/>
          </w:tcPr>
          <w:p w14:paraId="788CBAC6" w14:textId="7689D7DD" w:rsidR="00B8233A" w:rsidRPr="001B4CA2" w:rsidRDefault="00B8233A" w:rsidP="00B8233A">
            <w:pPr>
              <w:jc w:val="center"/>
              <w:rPr>
                <w:bCs/>
                <w:sz w:val="18"/>
                <w:szCs w:val="18"/>
              </w:rPr>
            </w:pPr>
            <w:r w:rsidRPr="001B4CA2">
              <w:rPr>
                <w:rFonts w:ascii="Calibri" w:hAnsi="Calibri" w:cs="Calibri"/>
                <w:bCs/>
                <w:color w:val="000000"/>
                <w:sz w:val="22"/>
              </w:rPr>
              <w:t>127</w:t>
            </w:r>
          </w:p>
        </w:tc>
        <w:tc>
          <w:tcPr>
            <w:tcW w:w="921" w:type="dxa"/>
            <w:tcBorders>
              <w:top w:val="nil"/>
              <w:left w:val="nil"/>
              <w:bottom w:val="single" w:sz="4" w:space="0" w:color="auto"/>
              <w:right w:val="single" w:sz="4" w:space="0" w:color="auto"/>
            </w:tcBorders>
            <w:vAlign w:val="center"/>
          </w:tcPr>
          <w:p w14:paraId="49E626E7" w14:textId="7DD54097" w:rsidR="00B8233A" w:rsidRPr="001B4CA2" w:rsidRDefault="00B8233A" w:rsidP="00B8233A">
            <w:pPr>
              <w:jc w:val="center"/>
              <w:rPr>
                <w:bCs/>
                <w:sz w:val="18"/>
                <w:szCs w:val="18"/>
              </w:rPr>
            </w:pPr>
            <w:r w:rsidRPr="001B4CA2">
              <w:rPr>
                <w:rFonts w:ascii="Calibri" w:hAnsi="Calibri" w:cs="Calibri"/>
                <w:b/>
                <w:bCs/>
                <w:color w:val="000000"/>
                <w:sz w:val="22"/>
              </w:rPr>
              <w:t>190</w:t>
            </w:r>
          </w:p>
        </w:tc>
      </w:tr>
      <w:tr w:rsidR="00B8233A" w:rsidRPr="001B4CA2" w14:paraId="12D9F922"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71555" w14:textId="1DC4CA83"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pravosuđa i uprave</w:t>
            </w:r>
          </w:p>
        </w:tc>
        <w:tc>
          <w:tcPr>
            <w:tcW w:w="730" w:type="dxa"/>
            <w:tcBorders>
              <w:top w:val="nil"/>
              <w:left w:val="nil"/>
              <w:bottom w:val="single" w:sz="4" w:space="0" w:color="auto"/>
              <w:right w:val="single" w:sz="4" w:space="0" w:color="auto"/>
            </w:tcBorders>
            <w:shd w:val="clear" w:color="auto" w:fill="auto"/>
            <w:noWrap/>
            <w:vAlign w:val="center"/>
          </w:tcPr>
          <w:p w14:paraId="661A4D4C" w14:textId="7DC13A8A" w:rsidR="00B8233A" w:rsidRPr="001B4CA2" w:rsidRDefault="00B8233A" w:rsidP="00B8233A">
            <w:pPr>
              <w:jc w:val="center"/>
              <w:rPr>
                <w:sz w:val="18"/>
                <w:szCs w:val="18"/>
              </w:rPr>
            </w:pPr>
            <w:r w:rsidRPr="001B4CA2">
              <w:rPr>
                <w:rFonts w:ascii="Calibri" w:hAnsi="Calibri" w:cs="Calibri"/>
                <w:color w:val="000000"/>
                <w:sz w:val="22"/>
              </w:rPr>
              <w:t>2</w:t>
            </w:r>
          </w:p>
        </w:tc>
        <w:tc>
          <w:tcPr>
            <w:tcW w:w="734" w:type="dxa"/>
            <w:tcBorders>
              <w:top w:val="nil"/>
              <w:left w:val="nil"/>
              <w:bottom w:val="single" w:sz="4" w:space="0" w:color="auto"/>
              <w:right w:val="single" w:sz="4" w:space="0" w:color="auto"/>
            </w:tcBorders>
            <w:shd w:val="clear" w:color="auto" w:fill="auto"/>
            <w:noWrap/>
            <w:vAlign w:val="center"/>
          </w:tcPr>
          <w:p w14:paraId="1A143A46" w14:textId="20173BFA" w:rsidR="00B8233A" w:rsidRPr="001B4CA2" w:rsidRDefault="00B8233A" w:rsidP="00B8233A">
            <w:pPr>
              <w:jc w:val="center"/>
              <w:rPr>
                <w:sz w:val="18"/>
                <w:szCs w:val="18"/>
              </w:rPr>
            </w:pPr>
            <w:r w:rsidRPr="001B4CA2">
              <w:rPr>
                <w:rFonts w:ascii="Calibri" w:hAnsi="Calibri" w:cs="Calibri"/>
                <w:color w:val="000000"/>
                <w:sz w:val="22"/>
              </w:rPr>
              <w:t>7</w:t>
            </w:r>
          </w:p>
        </w:tc>
        <w:tc>
          <w:tcPr>
            <w:tcW w:w="788" w:type="dxa"/>
            <w:tcBorders>
              <w:top w:val="nil"/>
              <w:left w:val="nil"/>
              <w:bottom w:val="single" w:sz="4" w:space="0" w:color="auto"/>
              <w:right w:val="single" w:sz="4" w:space="0" w:color="auto"/>
            </w:tcBorders>
            <w:shd w:val="clear" w:color="auto" w:fill="auto"/>
            <w:noWrap/>
            <w:vAlign w:val="center"/>
          </w:tcPr>
          <w:p w14:paraId="150C44DB" w14:textId="4C318C17" w:rsidR="00B8233A" w:rsidRPr="001B4CA2" w:rsidRDefault="00B8233A" w:rsidP="00B8233A">
            <w:pPr>
              <w:jc w:val="center"/>
              <w:rPr>
                <w:sz w:val="18"/>
                <w:szCs w:val="18"/>
              </w:rPr>
            </w:pPr>
            <w:r w:rsidRPr="001B4CA2">
              <w:rPr>
                <w:rFonts w:ascii="Calibri" w:hAnsi="Calibri" w:cs="Calibri"/>
                <w:color w:val="000000"/>
                <w:sz w:val="22"/>
              </w:rPr>
              <w:t>21</w:t>
            </w:r>
          </w:p>
        </w:tc>
        <w:tc>
          <w:tcPr>
            <w:tcW w:w="733" w:type="dxa"/>
            <w:tcBorders>
              <w:top w:val="nil"/>
              <w:left w:val="nil"/>
              <w:bottom w:val="single" w:sz="4" w:space="0" w:color="auto"/>
              <w:right w:val="single" w:sz="4" w:space="0" w:color="auto"/>
            </w:tcBorders>
            <w:shd w:val="clear" w:color="auto" w:fill="auto"/>
            <w:noWrap/>
            <w:vAlign w:val="center"/>
          </w:tcPr>
          <w:p w14:paraId="12BA4C98" w14:textId="395F373F" w:rsidR="00B8233A" w:rsidRPr="001B4CA2" w:rsidRDefault="00B8233A" w:rsidP="00B8233A">
            <w:pPr>
              <w:jc w:val="center"/>
              <w:rPr>
                <w:sz w:val="18"/>
                <w:szCs w:val="18"/>
              </w:rPr>
            </w:pPr>
            <w:r w:rsidRPr="001B4CA2">
              <w:rPr>
                <w:rFonts w:ascii="Calibri" w:hAnsi="Calibri" w:cs="Calibri"/>
                <w:color w:val="000000"/>
                <w:sz w:val="22"/>
              </w:rPr>
              <w:t>37</w:t>
            </w:r>
          </w:p>
        </w:tc>
        <w:tc>
          <w:tcPr>
            <w:tcW w:w="860" w:type="dxa"/>
            <w:tcBorders>
              <w:top w:val="nil"/>
              <w:left w:val="nil"/>
              <w:bottom w:val="single" w:sz="4" w:space="0" w:color="auto"/>
              <w:right w:val="single" w:sz="4" w:space="0" w:color="auto"/>
            </w:tcBorders>
            <w:shd w:val="clear" w:color="auto" w:fill="auto"/>
            <w:noWrap/>
            <w:vAlign w:val="center"/>
          </w:tcPr>
          <w:p w14:paraId="10191E31" w14:textId="212207AD" w:rsidR="00B8233A" w:rsidRPr="001B4CA2" w:rsidRDefault="00B8233A" w:rsidP="00B8233A">
            <w:pPr>
              <w:jc w:val="center"/>
              <w:rPr>
                <w:sz w:val="18"/>
                <w:szCs w:val="18"/>
              </w:rPr>
            </w:pPr>
            <w:r w:rsidRPr="001B4CA2">
              <w:rPr>
                <w:rFonts w:ascii="Calibri" w:hAnsi="Calibri" w:cs="Calibri"/>
                <w:color w:val="000000"/>
                <w:sz w:val="22"/>
              </w:rPr>
              <w:t>2</w:t>
            </w:r>
          </w:p>
        </w:tc>
        <w:tc>
          <w:tcPr>
            <w:tcW w:w="718" w:type="dxa"/>
            <w:tcBorders>
              <w:top w:val="nil"/>
              <w:left w:val="nil"/>
              <w:bottom w:val="single" w:sz="4" w:space="0" w:color="auto"/>
              <w:right w:val="single" w:sz="4" w:space="0" w:color="auto"/>
            </w:tcBorders>
            <w:shd w:val="clear" w:color="auto" w:fill="auto"/>
            <w:noWrap/>
            <w:vAlign w:val="center"/>
          </w:tcPr>
          <w:p w14:paraId="2EA7EF68" w14:textId="12A3BFB8" w:rsidR="00B8233A" w:rsidRPr="001B4CA2" w:rsidRDefault="00B8233A" w:rsidP="00B8233A">
            <w:pPr>
              <w:jc w:val="center"/>
              <w:rPr>
                <w:sz w:val="18"/>
                <w:szCs w:val="18"/>
              </w:rPr>
            </w:pPr>
            <w:r w:rsidRPr="001B4CA2">
              <w:rPr>
                <w:rFonts w:ascii="Calibri" w:hAnsi="Calibri" w:cs="Calibri"/>
                <w:color w:val="000000"/>
                <w:sz w:val="22"/>
              </w:rPr>
              <w:t>339</w:t>
            </w:r>
          </w:p>
        </w:tc>
        <w:tc>
          <w:tcPr>
            <w:tcW w:w="861" w:type="dxa"/>
            <w:tcBorders>
              <w:top w:val="nil"/>
              <w:left w:val="nil"/>
              <w:bottom w:val="single" w:sz="4" w:space="0" w:color="auto"/>
              <w:right w:val="single" w:sz="4" w:space="0" w:color="auto"/>
            </w:tcBorders>
            <w:shd w:val="clear" w:color="auto" w:fill="auto"/>
            <w:noWrap/>
            <w:vAlign w:val="center"/>
          </w:tcPr>
          <w:p w14:paraId="7B9825B2" w14:textId="46885365" w:rsidR="00B8233A" w:rsidRPr="001B4CA2" w:rsidRDefault="00B8233A" w:rsidP="00B8233A">
            <w:pPr>
              <w:jc w:val="center"/>
              <w:rPr>
                <w:sz w:val="18"/>
                <w:szCs w:val="18"/>
              </w:rPr>
            </w:pPr>
            <w:r w:rsidRPr="001B4CA2">
              <w:rPr>
                <w:rFonts w:ascii="Calibri" w:hAnsi="Calibri" w:cs="Calibri"/>
                <w:color w:val="000000"/>
                <w:sz w:val="22"/>
              </w:rPr>
              <w:t>1</w:t>
            </w:r>
          </w:p>
        </w:tc>
        <w:tc>
          <w:tcPr>
            <w:tcW w:w="861" w:type="dxa"/>
            <w:tcBorders>
              <w:top w:val="nil"/>
              <w:left w:val="nil"/>
              <w:bottom w:val="single" w:sz="4" w:space="0" w:color="auto"/>
              <w:right w:val="single" w:sz="4" w:space="0" w:color="auto"/>
            </w:tcBorders>
            <w:shd w:val="clear" w:color="auto" w:fill="auto"/>
            <w:noWrap/>
            <w:vAlign w:val="center"/>
          </w:tcPr>
          <w:p w14:paraId="16EB115B" w14:textId="1159CF2E" w:rsidR="00B8233A" w:rsidRPr="001B4CA2" w:rsidRDefault="00B8233A" w:rsidP="00B8233A">
            <w:pPr>
              <w:jc w:val="center"/>
              <w:rPr>
                <w:sz w:val="18"/>
                <w:szCs w:val="18"/>
              </w:rPr>
            </w:pPr>
            <w:r w:rsidRPr="001B4CA2">
              <w:rPr>
                <w:rFonts w:ascii="Calibri" w:hAnsi="Calibri" w:cs="Calibri"/>
                <w:color w:val="000000"/>
                <w:sz w:val="22"/>
              </w:rPr>
              <w:t>317</w:t>
            </w:r>
          </w:p>
        </w:tc>
        <w:tc>
          <w:tcPr>
            <w:tcW w:w="716" w:type="dxa"/>
            <w:tcBorders>
              <w:top w:val="nil"/>
              <w:left w:val="nil"/>
              <w:bottom w:val="single" w:sz="4" w:space="0" w:color="auto"/>
              <w:right w:val="single" w:sz="4" w:space="0" w:color="auto"/>
            </w:tcBorders>
            <w:shd w:val="clear" w:color="auto" w:fill="auto"/>
            <w:noWrap/>
            <w:vAlign w:val="center"/>
          </w:tcPr>
          <w:p w14:paraId="530594EB" w14:textId="3D6DE410" w:rsidR="00B8233A" w:rsidRPr="001B4CA2" w:rsidRDefault="00B8233A" w:rsidP="00B8233A">
            <w:pPr>
              <w:jc w:val="center"/>
              <w:rPr>
                <w:sz w:val="18"/>
                <w:szCs w:val="18"/>
              </w:rPr>
            </w:pPr>
            <w:r w:rsidRPr="001B4CA2">
              <w:rPr>
                <w:rFonts w:ascii="Calibri" w:hAnsi="Calibri" w:cs="Calibri"/>
                <w:color w:val="000000"/>
                <w:sz w:val="22"/>
              </w:rPr>
              <w:t>2</w:t>
            </w:r>
          </w:p>
        </w:tc>
        <w:tc>
          <w:tcPr>
            <w:tcW w:w="661" w:type="dxa"/>
            <w:tcBorders>
              <w:top w:val="nil"/>
              <w:left w:val="nil"/>
              <w:bottom w:val="single" w:sz="4" w:space="0" w:color="auto"/>
              <w:right w:val="single" w:sz="4" w:space="0" w:color="auto"/>
            </w:tcBorders>
            <w:shd w:val="clear" w:color="auto" w:fill="auto"/>
            <w:noWrap/>
            <w:vAlign w:val="center"/>
          </w:tcPr>
          <w:p w14:paraId="182ED271" w14:textId="2C2CD943" w:rsidR="00B8233A" w:rsidRPr="001B4CA2" w:rsidRDefault="00B8233A" w:rsidP="00B8233A">
            <w:pPr>
              <w:jc w:val="center"/>
              <w:rPr>
                <w:sz w:val="18"/>
                <w:szCs w:val="18"/>
              </w:rPr>
            </w:pPr>
            <w:r w:rsidRPr="001B4CA2">
              <w:rPr>
                <w:rFonts w:ascii="Calibri" w:hAnsi="Calibri" w:cs="Calibri"/>
                <w:color w:val="000000"/>
                <w:sz w:val="22"/>
              </w:rPr>
              <w:t>7</w:t>
            </w:r>
          </w:p>
        </w:tc>
        <w:tc>
          <w:tcPr>
            <w:tcW w:w="773" w:type="dxa"/>
            <w:tcBorders>
              <w:top w:val="nil"/>
              <w:left w:val="nil"/>
              <w:bottom w:val="single" w:sz="4" w:space="0" w:color="auto"/>
              <w:right w:val="single" w:sz="4" w:space="0" w:color="auto"/>
            </w:tcBorders>
            <w:shd w:val="clear" w:color="auto" w:fill="auto"/>
            <w:noWrap/>
            <w:vAlign w:val="center"/>
          </w:tcPr>
          <w:p w14:paraId="574BEF13" w14:textId="568CDDB4" w:rsidR="00B8233A" w:rsidRPr="001B4CA2" w:rsidRDefault="00B8233A" w:rsidP="00B8233A">
            <w:pPr>
              <w:jc w:val="center"/>
              <w:rPr>
                <w:bCs/>
                <w:sz w:val="18"/>
                <w:szCs w:val="18"/>
              </w:rPr>
            </w:pPr>
            <w:r w:rsidRPr="001B4CA2">
              <w:rPr>
                <w:rFonts w:ascii="Calibri" w:hAnsi="Calibri" w:cs="Calibri"/>
                <w:bCs/>
                <w:color w:val="000000"/>
                <w:sz w:val="22"/>
              </w:rPr>
              <w:t>28</w:t>
            </w:r>
          </w:p>
        </w:tc>
        <w:tc>
          <w:tcPr>
            <w:tcW w:w="863" w:type="dxa"/>
            <w:tcBorders>
              <w:top w:val="nil"/>
              <w:left w:val="nil"/>
              <w:bottom w:val="single" w:sz="4" w:space="0" w:color="auto"/>
              <w:right w:val="single" w:sz="4" w:space="0" w:color="auto"/>
            </w:tcBorders>
            <w:shd w:val="clear" w:color="auto" w:fill="auto"/>
            <w:vAlign w:val="center"/>
          </w:tcPr>
          <w:p w14:paraId="171F8452" w14:textId="0EDC89AE" w:rsidR="00B8233A" w:rsidRPr="001B4CA2" w:rsidRDefault="00B8233A" w:rsidP="00B8233A">
            <w:pPr>
              <w:jc w:val="center"/>
              <w:rPr>
                <w:bCs/>
                <w:sz w:val="18"/>
                <w:szCs w:val="18"/>
              </w:rPr>
            </w:pPr>
            <w:r w:rsidRPr="001B4CA2">
              <w:rPr>
                <w:rFonts w:ascii="Calibri" w:hAnsi="Calibri" w:cs="Calibri"/>
                <w:bCs/>
                <w:color w:val="000000"/>
                <w:sz w:val="22"/>
              </w:rPr>
              <w:t>707</w:t>
            </w:r>
          </w:p>
        </w:tc>
        <w:tc>
          <w:tcPr>
            <w:tcW w:w="921" w:type="dxa"/>
            <w:tcBorders>
              <w:top w:val="nil"/>
              <w:left w:val="nil"/>
              <w:bottom w:val="single" w:sz="4" w:space="0" w:color="auto"/>
              <w:right w:val="single" w:sz="4" w:space="0" w:color="auto"/>
            </w:tcBorders>
            <w:vAlign w:val="center"/>
          </w:tcPr>
          <w:p w14:paraId="2F23FE27" w14:textId="3F535A3A" w:rsidR="00B8233A" w:rsidRPr="001B4CA2" w:rsidRDefault="00B8233A" w:rsidP="00B8233A">
            <w:pPr>
              <w:jc w:val="center"/>
              <w:rPr>
                <w:bCs/>
                <w:sz w:val="18"/>
                <w:szCs w:val="18"/>
              </w:rPr>
            </w:pPr>
            <w:r w:rsidRPr="001B4CA2">
              <w:rPr>
                <w:rFonts w:ascii="Calibri" w:hAnsi="Calibri" w:cs="Calibri"/>
                <w:b/>
                <w:bCs/>
                <w:color w:val="000000"/>
                <w:sz w:val="22"/>
              </w:rPr>
              <w:t>735</w:t>
            </w:r>
          </w:p>
        </w:tc>
      </w:tr>
      <w:tr w:rsidR="00B8233A" w:rsidRPr="001B4CA2" w14:paraId="2E8927EF"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75475" w14:textId="22FF429B"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zdravstva</w:t>
            </w:r>
          </w:p>
        </w:tc>
        <w:tc>
          <w:tcPr>
            <w:tcW w:w="730" w:type="dxa"/>
            <w:tcBorders>
              <w:top w:val="nil"/>
              <w:left w:val="nil"/>
              <w:bottom w:val="single" w:sz="4" w:space="0" w:color="auto"/>
              <w:right w:val="single" w:sz="4" w:space="0" w:color="auto"/>
            </w:tcBorders>
            <w:shd w:val="clear" w:color="auto" w:fill="auto"/>
            <w:noWrap/>
            <w:vAlign w:val="center"/>
          </w:tcPr>
          <w:p w14:paraId="18AFF4CF" w14:textId="77777777" w:rsidR="00B8233A" w:rsidRPr="001B4CA2" w:rsidRDefault="00B8233A" w:rsidP="00B8233A">
            <w:pPr>
              <w:jc w:val="center"/>
              <w:rPr>
                <w:sz w:val="18"/>
                <w:szCs w:val="18"/>
              </w:rPr>
            </w:pPr>
          </w:p>
        </w:tc>
        <w:tc>
          <w:tcPr>
            <w:tcW w:w="734" w:type="dxa"/>
            <w:tcBorders>
              <w:top w:val="nil"/>
              <w:left w:val="nil"/>
              <w:bottom w:val="single" w:sz="4" w:space="0" w:color="auto"/>
              <w:right w:val="single" w:sz="4" w:space="0" w:color="auto"/>
            </w:tcBorders>
            <w:shd w:val="clear" w:color="auto" w:fill="auto"/>
            <w:noWrap/>
            <w:vAlign w:val="center"/>
          </w:tcPr>
          <w:p w14:paraId="314F56AF" w14:textId="77777777" w:rsidR="00B8233A" w:rsidRPr="001B4CA2" w:rsidRDefault="00B8233A" w:rsidP="00B8233A">
            <w:pPr>
              <w:jc w:val="center"/>
              <w:rPr>
                <w:sz w:val="18"/>
                <w:szCs w:val="18"/>
              </w:rPr>
            </w:pPr>
          </w:p>
        </w:tc>
        <w:tc>
          <w:tcPr>
            <w:tcW w:w="788" w:type="dxa"/>
            <w:tcBorders>
              <w:top w:val="nil"/>
              <w:left w:val="nil"/>
              <w:bottom w:val="single" w:sz="4" w:space="0" w:color="auto"/>
              <w:right w:val="single" w:sz="4" w:space="0" w:color="auto"/>
            </w:tcBorders>
            <w:shd w:val="clear" w:color="auto" w:fill="auto"/>
            <w:noWrap/>
            <w:vAlign w:val="center"/>
          </w:tcPr>
          <w:p w14:paraId="4BBD34DD" w14:textId="77777777" w:rsidR="00B8233A" w:rsidRPr="001B4CA2" w:rsidRDefault="00B8233A" w:rsidP="00B8233A">
            <w:pPr>
              <w:jc w:val="center"/>
              <w:rPr>
                <w:sz w:val="18"/>
                <w:szCs w:val="18"/>
              </w:rPr>
            </w:pPr>
          </w:p>
        </w:tc>
        <w:tc>
          <w:tcPr>
            <w:tcW w:w="733" w:type="dxa"/>
            <w:tcBorders>
              <w:top w:val="nil"/>
              <w:left w:val="nil"/>
              <w:bottom w:val="single" w:sz="4" w:space="0" w:color="auto"/>
              <w:right w:val="single" w:sz="4" w:space="0" w:color="auto"/>
            </w:tcBorders>
            <w:shd w:val="clear" w:color="auto" w:fill="auto"/>
            <w:noWrap/>
            <w:vAlign w:val="center"/>
          </w:tcPr>
          <w:p w14:paraId="34A1F274" w14:textId="7D812020" w:rsidR="00B8233A" w:rsidRPr="001B4CA2" w:rsidRDefault="00B8233A" w:rsidP="00B8233A">
            <w:pPr>
              <w:jc w:val="center"/>
              <w:rPr>
                <w:sz w:val="18"/>
                <w:szCs w:val="18"/>
              </w:rPr>
            </w:pPr>
            <w:r w:rsidRPr="001B4CA2">
              <w:rPr>
                <w:rFonts w:ascii="Calibri" w:hAnsi="Calibri" w:cs="Calibri"/>
                <w:color w:val="000000"/>
                <w:sz w:val="22"/>
              </w:rPr>
              <w:t>1</w:t>
            </w:r>
          </w:p>
        </w:tc>
        <w:tc>
          <w:tcPr>
            <w:tcW w:w="860" w:type="dxa"/>
            <w:tcBorders>
              <w:top w:val="nil"/>
              <w:left w:val="nil"/>
              <w:bottom w:val="single" w:sz="4" w:space="0" w:color="auto"/>
              <w:right w:val="single" w:sz="4" w:space="0" w:color="auto"/>
            </w:tcBorders>
            <w:shd w:val="clear" w:color="auto" w:fill="auto"/>
            <w:noWrap/>
            <w:vAlign w:val="center"/>
          </w:tcPr>
          <w:p w14:paraId="43DF22C2" w14:textId="77777777" w:rsidR="00B8233A" w:rsidRPr="001B4CA2" w:rsidRDefault="00B8233A" w:rsidP="00B8233A">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6245456A" w14:textId="548AECF8" w:rsidR="00B8233A" w:rsidRPr="001B4CA2" w:rsidRDefault="00B8233A" w:rsidP="00B8233A">
            <w:pPr>
              <w:jc w:val="center"/>
              <w:rPr>
                <w:sz w:val="18"/>
                <w:szCs w:val="18"/>
              </w:rPr>
            </w:pPr>
            <w:r w:rsidRPr="001B4CA2">
              <w:rPr>
                <w:rFonts w:ascii="Calibri" w:hAnsi="Calibri" w:cs="Calibri"/>
                <w:color w:val="000000"/>
                <w:sz w:val="22"/>
              </w:rPr>
              <w:t>2</w:t>
            </w:r>
          </w:p>
        </w:tc>
        <w:tc>
          <w:tcPr>
            <w:tcW w:w="861" w:type="dxa"/>
            <w:tcBorders>
              <w:top w:val="nil"/>
              <w:left w:val="nil"/>
              <w:bottom w:val="single" w:sz="4" w:space="0" w:color="auto"/>
              <w:right w:val="single" w:sz="4" w:space="0" w:color="auto"/>
            </w:tcBorders>
            <w:shd w:val="clear" w:color="auto" w:fill="auto"/>
            <w:noWrap/>
            <w:vAlign w:val="center"/>
          </w:tcPr>
          <w:p w14:paraId="1684E4A7" w14:textId="77777777"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034498CA" w14:textId="4F97B6DB" w:rsidR="00B8233A" w:rsidRPr="001B4CA2" w:rsidRDefault="00B8233A" w:rsidP="00B8233A">
            <w:pPr>
              <w:jc w:val="center"/>
              <w:rPr>
                <w:sz w:val="18"/>
                <w:szCs w:val="18"/>
              </w:rPr>
            </w:pPr>
          </w:p>
        </w:tc>
        <w:tc>
          <w:tcPr>
            <w:tcW w:w="716" w:type="dxa"/>
            <w:tcBorders>
              <w:top w:val="nil"/>
              <w:left w:val="nil"/>
              <w:bottom w:val="single" w:sz="4" w:space="0" w:color="auto"/>
              <w:right w:val="single" w:sz="4" w:space="0" w:color="auto"/>
            </w:tcBorders>
            <w:shd w:val="clear" w:color="auto" w:fill="auto"/>
            <w:noWrap/>
            <w:vAlign w:val="center"/>
          </w:tcPr>
          <w:p w14:paraId="79A620BF" w14:textId="77777777" w:rsidR="00B8233A" w:rsidRPr="001B4CA2" w:rsidRDefault="00B8233A" w:rsidP="00B8233A">
            <w:pPr>
              <w:jc w:val="center"/>
              <w:rPr>
                <w:sz w:val="18"/>
                <w:szCs w:val="18"/>
              </w:rPr>
            </w:pPr>
          </w:p>
        </w:tc>
        <w:tc>
          <w:tcPr>
            <w:tcW w:w="661" w:type="dxa"/>
            <w:tcBorders>
              <w:top w:val="nil"/>
              <w:left w:val="nil"/>
              <w:bottom w:val="single" w:sz="4" w:space="0" w:color="auto"/>
              <w:right w:val="single" w:sz="4" w:space="0" w:color="auto"/>
            </w:tcBorders>
            <w:shd w:val="clear" w:color="auto" w:fill="auto"/>
            <w:noWrap/>
            <w:vAlign w:val="center"/>
          </w:tcPr>
          <w:p w14:paraId="75433566" w14:textId="77777777" w:rsidR="00B8233A" w:rsidRPr="001B4CA2" w:rsidRDefault="00B8233A" w:rsidP="00B8233A">
            <w:pPr>
              <w:jc w:val="center"/>
              <w:rPr>
                <w:sz w:val="18"/>
                <w:szCs w:val="18"/>
              </w:rPr>
            </w:pPr>
          </w:p>
        </w:tc>
        <w:tc>
          <w:tcPr>
            <w:tcW w:w="773" w:type="dxa"/>
            <w:tcBorders>
              <w:top w:val="nil"/>
              <w:left w:val="nil"/>
              <w:bottom w:val="single" w:sz="4" w:space="0" w:color="auto"/>
              <w:right w:val="single" w:sz="4" w:space="0" w:color="auto"/>
            </w:tcBorders>
            <w:shd w:val="clear" w:color="auto" w:fill="auto"/>
            <w:noWrap/>
            <w:vAlign w:val="center"/>
          </w:tcPr>
          <w:p w14:paraId="2E647E1F" w14:textId="77777777" w:rsidR="00B8233A" w:rsidRPr="001B4CA2" w:rsidRDefault="00B8233A" w:rsidP="00B8233A">
            <w:pPr>
              <w:jc w:val="center"/>
              <w:rPr>
                <w:bCs/>
                <w:sz w:val="18"/>
                <w:szCs w:val="18"/>
              </w:rPr>
            </w:pPr>
          </w:p>
        </w:tc>
        <w:tc>
          <w:tcPr>
            <w:tcW w:w="863" w:type="dxa"/>
            <w:tcBorders>
              <w:top w:val="nil"/>
              <w:left w:val="nil"/>
              <w:bottom w:val="single" w:sz="4" w:space="0" w:color="auto"/>
              <w:right w:val="single" w:sz="4" w:space="0" w:color="auto"/>
            </w:tcBorders>
            <w:shd w:val="clear" w:color="auto" w:fill="auto"/>
            <w:vAlign w:val="center"/>
          </w:tcPr>
          <w:p w14:paraId="60472CAC" w14:textId="6D9748FA" w:rsidR="00B8233A" w:rsidRPr="001B4CA2" w:rsidRDefault="00B8233A" w:rsidP="00B8233A">
            <w:pPr>
              <w:jc w:val="center"/>
              <w:rPr>
                <w:bCs/>
                <w:sz w:val="18"/>
                <w:szCs w:val="18"/>
              </w:rPr>
            </w:pPr>
            <w:r w:rsidRPr="001B4CA2">
              <w:rPr>
                <w:rFonts w:ascii="Calibri" w:hAnsi="Calibri" w:cs="Calibri"/>
                <w:bCs/>
                <w:color w:val="000000"/>
                <w:sz w:val="22"/>
              </w:rPr>
              <w:t>3</w:t>
            </w:r>
          </w:p>
        </w:tc>
        <w:tc>
          <w:tcPr>
            <w:tcW w:w="921" w:type="dxa"/>
            <w:tcBorders>
              <w:top w:val="nil"/>
              <w:left w:val="nil"/>
              <w:bottom w:val="single" w:sz="4" w:space="0" w:color="auto"/>
              <w:right w:val="single" w:sz="4" w:space="0" w:color="auto"/>
            </w:tcBorders>
            <w:vAlign w:val="center"/>
          </w:tcPr>
          <w:p w14:paraId="2589B248" w14:textId="0AAD9BFA" w:rsidR="00B8233A" w:rsidRPr="001B4CA2" w:rsidRDefault="00B8233A" w:rsidP="00B8233A">
            <w:pPr>
              <w:jc w:val="center"/>
              <w:rPr>
                <w:bCs/>
                <w:sz w:val="18"/>
                <w:szCs w:val="18"/>
              </w:rPr>
            </w:pPr>
            <w:r w:rsidRPr="001B4CA2">
              <w:rPr>
                <w:rFonts w:ascii="Calibri" w:hAnsi="Calibri" w:cs="Calibri"/>
                <w:b/>
                <w:bCs/>
                <w:color w:val="000000"/>
                <w:sz w:val="22"/>
              </w:rPr>
              <w:t>3</w:t>
            </w:r>
          </w:p>
        </w:tc>
      </w:tr>
      <w:tr w:rsidR="00B8233A" w:rsidRPr="001B4CA2" w14:paraId="1057C09E"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DC301" w14:textId="7B7BF9CE"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hrvatskih branitelja</w:t>
            </w:r>
          </w:p>
        </w:tc>
        <w:tc>
          <w:tcPr>
            <w:tcW w:w="730" w:type="dxa"/>
            <w:tcBorders>
              <w:top w:val="nil"/>
              <w:left w:val="nil"/>
              <w:bottom w:val="single" w:sz="4" w:space="0" w:color="auto"/>
              <w:right w:val="single" w:sz="4" w:space="0" w:color="auto"/>
            </w:tcBorders>
            <w:shd w:val="clear" w:color="auto" w:fill="auto"/>
            <w:noWrap/>
            <w:vAlign w:val="center"/>
          </w:tcPr>
          <w:p w14:paraId="16BEECA2" w14:textId="6D56AE6B" w:rsidR="00B8233A" w:rsidRPr="001B4CA2" w:rsidRDefault="00B8233A" w:rsidP="00B8233A">
            <w:pPr>
              <w:jc w:val="center"/>
              <w:rPr>
                <w:sz w:val="18"/>
                <w:szCs w:val="18"/>
              </w:rPr>
            </w:pPr>
            <w:r w:rsidRPr="001B4CA2">
              <w:rPr>
                <w:rFonts w:ascii="Calibri" w:hAnsi="Calibri" w:cs="Calibri"/>
                <w:color w:val="000000"/>
                <w:sz w:val="22"/>
              </w:rPr>
              <w:t>4</w:t>
            </w:r>
          </w:p>
        </w:tc>
        <w:tc>
          <w:tcPr>
            <w:tcW w:w="734" w:type="dxa"/>
            <w:tcBorders>
              <w:top w:val="nil"/>
              <w:left w:val="nil"/>
              <w:bottom w:val="single" w:sz="4" w:space="0" w:color="auto"/>
              <w:right w:val="single" w:sz="4" w:space="0" w:color="auto"/>
            </w:tcBorders>
            <w:shd w:val="clear" w:color="auto" w:fill="auto"/>
            <w:noWrap/>
            <w:vAlign w:val="center"/>
          </w:tcPr>
          <w:p w14:paraId="3588D294" w14:textId="316E2826" w:rsidR="00B8233A" w:rsidRPr="001B4CA2" w:rsidRDefault="00B8233A" w:rsidP="00B8233A">
            <w:pPr>
              <w:jc w:val="center"/>
              <w:rPr>
                <w:sz w:val="18"/>
                <w:szCs w:val="18"/>
              </w:rPr>
            </w:pPr>
            <w:r w:rsidRPr="001B4CA2">
              <w:rPr>
                <w:rFonts w:ascii="Calibri" w:hAnsi="Calibri" w:cs="Calibri"/>
                <w:color w:val="000000"/>
                <w:sz w:val="22"/>
              </w:rPr>
              <w:t>4</w:t>
            </w:r>
          </w:p>
        </w:tc>
        <w:tc>
          <w:tcPr>
            <w:tcW w:w="788" w:type="dxa"/>
            <w:tcBorders>
              <w:top w:val="nil"/>
              <w:left w:val="nil"/>
              <w:bottom w:val="single" w:sz="4" w:space="0" w:color="auto"/>
              <w:right w:val="single" w:sz="4" w:space="0" w:color="auto"/>
            </w:tcBorders>
            <w:shd w:val="clear" w:color="auto" w:fill="auto"/>
            <w:noWrap/>
            <w:vAlign w:val="center"/>
          </w:tcPr>
          <w:p w14:paraId="5D03356E" w14:textId="27FA671F" w:rsidR="00B8233A" w:rsidRPr="001B4CA2" w:rsidRDefault="00B8233A" w:rsidP="00B8233A">
            <w:pPr>
              <w:jc w:val="center"/>
              <w:rPr>
                <w:sz w:val="18"/>
                <w:szCs w:val="18"/>
              </w:rPr>
            </w:pPr>
            <w:r w:rsidRPr="001B4CA2">
              <w:rPr>
                <w:rFonts w:ascii="Calibri" w:hAnsi="Calibri" w:cs="Calibri"/>
                <w:color w:val="000000"/>
                <w:sz w:val="22"/>
              </w:rPr>
              <w:t>66</w:t>
            </w:r>
          </w:p>
        </w:tc>
        <w:tc>
          <w:tcPr>
            <w:tcW w:w="733" w:type="dxa"/>
            <w:tcBorders>
              <w:top w:val="nil"/>
              <w:left w:val="nil"/>
              <w:bottom w:val="single" w:sz="4" w:space="0" w:color="auto"/>
              <w:right w:val="single" w:sz="4" w:space="0" w:color="auto"/>
            </w:tcBorders>
            <w:shd w:val="clear" w:color="auto" w:fill="auto"/>
            <w:noWrap/>
            <w:vAlign w:val="center"/>
          </w:tcPr>
          <w:p w14:paraId="5F25A99B" w14:textId="21A15380" w:rsidR="00B8233A" w:rsidRPr="001B4CA2" w:rsidRDefault="00B8233A" w:rsidP="00B8233A">
            <w:pPr>
              <w:jc w:val="center"/>
              <w:rPr>
                <w:sz w:val="18"/>
                <w:szCs w:val="18"/>
              </w:rPr>
            </w:pPr>
            <w:r w:rsidRPr="001B4CA2">
              <w:rPr>
                <w:rFonts w:ascii="Calibri" w:hAnsi="Calibri" w:cs="Calibri"/>
                <w:color w:val="000000"/>
                <w:sz w:val="22"/>
              </w:rPr>
              <w:t>6</w:t>
            </w:r>
          </w:p>
        </w:tc>
        <w:tc>
          <w:tcPr>
            <w:tcW w:w="860" w:type="dxa"/>
            <w:tcBorders>
              <w:top w:val="nil"/>
              <w:left w:val="nil"/>
              <w:bottom w:val="single" w:sz="4" w:space="0" w:color="auto"/>
              <w:right w:val="single" w:sz="4" w:space="0" w:color="auto"/>
            </w:tcBorders>
            <w:shd w:val="clear" w:color="auto" w:fill="auto"/>
            <w:noWrap/>
            <w:vAlign w:val="center"/>
          </w:tcPr>
          <w:p w14:paraId="42E887AF" w14:textId="254E34BF" w:rsidR="00B8233A" w:rsidRPr="001B4CA2" w:rsidRDefault="00B8233A" w:rsidP="00B8233A">
            <w:pPr>
              <w:jc w:val="center"/>
              <w:rPr>
                <w:sz w:val="18"/>
                <w:szCs w:val="18"/>
              </w:rPr>
            </w:pPr>
            <w:r w:rsidRPr="001B4CA2">
              <w:rPr>
                <w:rFonts w:ascii="Calibri" w:hAnsi="Calibri" w:cs="Calibri"/>
                <w:color w:val="000000"/>
                <w:sz w:val="22"/>
              </w:rPr>
              <w:t>23</w:t>
            </w:r>
          </w:p>
        </w:tc>
        <w:tc>
          <w:tcPr>
            <w:tcW w:w="718" w:type="dxa"/>
            <w:tcBorders>
              <w:top w:val="nil"/>
              <w:left w:val="nil"/>
              <w:bottom w:val="single" w:sz="4" w:space="0" w:color="auto"/>
              <w:right w:val="single" w:sz="4" w:space="0" w:color="auto"/>
            </w:tcBorders>
            <w:shd w:val="clear" w:color="auto" w:fill="auto"/>
            <w:noWrap/>
            <w:vAlign w:val="center"/>
          </w:tcPr>
          <w:p w14:paraId="6DAA1F63" w14:textId="70387629" w:rsidR="00B8233A" w:rsidRPr="001B4CA2" w:rsidRDefault="00B8233A" w:rsidP="00B8233A">
            <w:pPr>
              <w:jc w:val="center"/>
              <w:rPr>
                <w:sz w:val="18"/>
                <w:szCs w:val="18"/>
              </w:rPr>
            </w:pPr>
            <w:r w:rsidRPr="001B4CA2">
              <w:rPr>
                <w:rFonts w:ascii="Calibri" w:hAnsi="Calibri" w:cs="Calibri"/>
                <w:color w:val="000000"/>
                <w:sz w:val="22"/>
              </w:rPr>
              <w:t>4</w:t>
            </w:r>
          </w:p>
        </w:tc>
        <w:tc>
          <w:tcPr>
            <w:tcW w:w="861" w:type="dxa"/>
            <w:tcBorders>
              <w:top w:val="nil"/>
              <w:left w:val="nil"/>
              <w:bottom w:val="single" w:sz="4" w:space="0" w:color="auto"/>
              <w:right w:val="single" w:sz="4" w:space="0" w:color="auto"/>
            </w:tcBorders>
            <w:shd w:val="clear" w:color="auto" w:fill="auto"/>
            <w:noWrap/>
            <w:vAlign w:val="center"/>
          </w:tcPr>
          <w:p w14:paraId="3282F880" w14:textId="77777777"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658410C1" w14:textId="0A4ECF65" w:rsidR="00B8233A" w:rsidRPr="001B4CA2" w:rsidRDefault="00B8233A" w:rsidP="00B8233A">
            <w:pPr>
              <w:jc w:val="center"/>
              <w:rPr>
                <w:sz w:val="18"/>
                <w:szCs w:val="18"/>
              </w:rPr>
            </w:pPr>
          </w:p>
        </w:tc>
        <w:tc>
          <w:tcPr>
            <w:tcW w:w="716" w:type="dxa"/>
            <w:tcBorders>
              <w:top w:val="nil"/>
              <w:left w:val="nil"/>
              <w:bottom w:val="single" w:sz="4" w:space="0" w:color="auto"/>
              <w:right w:val="single" w:sz="4" w:space="0" w:color="auto"/>
            </w:tcBorders>
            <w:shd w:val="clear" w:color="auto" w:fill="auto"/>
            <w:noWrap/>
            <w:vAlign w:val="center"/>
          </w:tcPr>
          <w:p w14:paraId="1683962E" w14:textId="77777777" w:rsidR="00B8233A" w:rsidRPr="001B4CA2" w:rsidRDefault="00B8233A" w:rsidP="00B8233A">
            <w:pPr>
              <w:jc w:val="center"/>
              <w:rPr>
                <w:sz w:val="18"/>
                <w:szCs w:val="18"/>
              </w:rPr>
            </w:pPr>
          </w:p>
        </w:tc>
        <w:tc>
          <w:tcPr>
            <w:tcW w:w="661" w:type="dxa"/>
            <w:tcBorders>
              <w:top w:val="nil"/>
              <w:left w:val="nil"/>
              <w:bottom w:val="single" w:sz="4" w:space="0" w:color="auto"/>
              <w:right w:val="single" w:sz="4" w:space="0" w:color="auto"/>
            </w:tcBorders>
            <w:shd w:val="clear" w:color="auto" w:fill="auto"/>
            <w:noWrap/>
            <w:vAlign w:val="center"/>
          </w:tcPr>
          <w:p w14:paraId="512522EC" w14:textId="0C771562" w:rsidR="00B8233A" w:rsidRPr="001B4CA2" w:rsidRDefault="00B8233A" w:rsidP="00B8233A">
            <w:pPr>
              <w:jc w:val="center"/>
              <w:rPr>
                <w:sz w:val="18"/>
                <w:szCs w:val="18"/>
              </w:rPr>
            </w:pPr>
            <w:r w:rsidRPr="001B4CA2">
              <w:rPr>
                <w:rFonts w:ascii="Calibri" w:hAnsi="Calibri" w:cs="Calibri"/>
                <w:color w:val="000000"/>
                <w:sz w:val="22"/>
              </w:rPr>
              <w:t>1</w:t>
            </w:r>
          </w:p>
        </w:tc>
        <w:tc>
          <w:tcPr>
            <w:tcW w:w="773" w:type="dxa"/>
            <w:tcBorders>
              <w:top w:val="nil"/>
              <w:left w:val="nil"/>
              <w:bottom w:val="single" w:sz="4" w:space="0" w:color="auto"/>
              <w:right w:val="single" w:sz="4" w:space="0" w:color="auto"/>
            </w:tcBorders>
            <w:shd w:val="clear" w:color="auto" w:fill="auto"/>
            <w:noWrap/>
            <w:vAlign w:val="center"/>
          </w:tcPr>
          <w:p w14:paraId="18B9AB20" w14:textId="393D0E1F" w:rsidR="00B8233A" w:rsidRPr="001B4CA2" w:rsidRDefault="00B8233A" w:rsidP="00B8233A">
            <w:pPr>
              <w:jc w:val="center"/>
              <w:rPr>
                <w:bCs/>
                <w:sz w:val="18"/>
                <w:szCs w:val="18"/>
              </w:rPr>
            </w:pPr>
            <w:r w:rsidRPr="001B4CA2">
              <w:rPr>
                <w:rFonts w:ascii="Calibri" w:hAnsi="Calibri" w:cs="Calibri"/>
                <w:bCs/>
                <w:color w:val="000000"/>
                <w:sz w:val="22"/>
              </w:rPr>
              <w:t>93</w:t>
            </w:r>
          </w:p>
        </w:tc>
        <w:tc>
          <w:tcPr>
            <w:tcW w:w="863" w:type="dxa"/>
            <w:tcBorders>
              <w:top w:val="nil"/>
              <w:left w:val="nil"/>
              <w:bottom w:val="single" w:sz="4" w:space="0" w:color="auto"/>
              <w:right w:val="single" w:sz="4" w:space="0" w:color="auto"/>
            </w:tcBorders>
            <w:shd w:val="clear" w:color="auto" w:fill="auto"/>
            <w:vAlign w:val="center"/>
          </w:tcPr>
          <w:p w14:paraId="25E6B9FA" w14:textId="6BF9F200" w:rsidR="00B8233A" w:rsidRPr="001B4CA2" w:rsidRDefault="00B8233A" w:rsidP="00B8233A">
            <w:pPr>
              <w:jc w:val="center"/>
              <w:rPr>
                <w:bCs/>
                <w:sz w:val="18"/>
                <w:szCs w:val="18"/>
              </w:rPr>
            </w:pPr>
            <w:r w:rsidRPr="001B4CA2">
              <w:rPr>
                <w:rFonts w:ascii="Calibri" w:hAnsi="Calibri" w:cs="Calibri"/>
                <w:bCs/>
                <w:color w:val="000000"/>
                <w:sz w:val="22"/>
              </w:rPr>
              <w:t>15</w:t>
            </w:r>
          </w:p>
        </w:tc>
        <w:tc>
          <w:tcPr>
            <w:tcW w:w="921" w:type="dxa"/>
            <w:tcBorders>
              <w:top w:val="nil"/>
              <w:left w:val="nil"/>
              <w:bottom w:val="single" w:sz="4" w:space="0" w:color="auto"/>
              <w:right w:val="single" w:sz="4" w:space="0" w:color="auto"/>
            </w:tcBorders>
            <w:vAlign w:val="center"/>
          </w:tcPr>
          <w:p w14:paraId="1F796D03" w14:textId="23229513" w:rsidR="00B8233A" w:rsidRPr="001B4CA2" w:rsidRDefault="00B8233A" w:rsidP="00B8233A">
            <w:pPr>
              <w:jc w:val="center"/>
              <w:rPr>
                <w:bCs/>
                <w:sz w:val="18"/>
                <w:szCs w:val="18"/>
              </w:rPr>
            </w:pPr>
            <w:r w:rsidRPr="001B4CA2">
              <w:rPr>
                <w:rFonts w:ascii="Calibri" w:hAnsi="Calibri" w:cs="Calibri"/>
                <w:b/>
                <w:bCs/>
                <w:color w:val="000000"/>
                <w:sz w:val="22"/>
              </w:rPr>
              <w:t>108</w:t>
            </w:r>
          </w:p>
        </w:tc>
      </w:tr>
      <w:tr w:rsidR="00B8233A" w:rsidRPr="001B4CA2" w14:paraId="379980B6"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52D8A" w14:textId="3E5DDFBA"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regionalnog razvoja i fondova EU</w:t>
            </w:r>
          </w:p>
        </w:tc>
        <w:tc>
          <w:tcPr>
            <w:tcW w:w="730" w:type="dxa"/>
            <w:tcBorders>
              <w:top w:val="nil"/>
              <w:left w:val="nil"/>
              <w:bottom w:val="single" w:sz="4" w:space="0" w:color="auto"/>
              <w:right w:val="single" w:sz="4" w:space="0" w:color="auto"/>
            </w:tcBorders>
            <w:shd w:val="clear" w:color="auto" w:fill="auto"/>
            <w:noWrap/>
            <w:vAlign w:val="center"/>
          </w:tcPr>
          <w:p w14:paraId="3D30CD31" w14:textId="73752435" w:rsidR="00B8233A" w:rsidRPr="001B4CA2" w:rsidRDefault="00B8233A" w:rsidP="00B8233A">
            <w:pPr>
              <w:jc w:val="center"/>
              <w:rPr>
                <w:sz w:val="18"/>
                <w:szCs w:val="18"/>
              </w:rPr>
            </w:pPr>
          </w:p>
        </w:tc>
        <w:tc>
          <w:tcPr>
            <w:tcW w:w="734" w:type="dxa"/>
            <w:tcBorders>
              <w:top w:val="nil"/>
              <w:left w:val="nil"/>
              <w:bottom w:val="single" w:sz="4" w:space="0" w:color="auto"/>
              <w:right w:val="single" w:sz="4" w:space="0" w:color="auto"/>
            </w:tcBorders>
            <w:shd w:val="clear" w:color="auto" w:fill="auto"/>
            <w:noWrap/>
            <w:vAlign w:val="center"/>
          </w:tcPr>
          <w:p w14:paraId="143CA446" w14:textId="4119E547" w:rsidR="00B8233A" w:rsidRPr="001B4CA2" w:rsidRDefault="00B8233A" w:rsidP="00B8233A">
            <w:pPr>
              <w:jc w:val="center"/>
              <w:rPr>
                <w:sz w:val="18"/>
                <w:szCs w:val="18"/>
              </w:rPr>
            </w:pPr>
          </w:p>
        </w:tc>
        <w:tc>
          <w:tcPr>
            <w:tcW w:w="788" w:type="dxa"/>
            <w:tcBorders>
              <w:top w:val="nil"/>
              <w:left w:val="nil"/>
              <w:bottom w:val="single" w:sz="4" w:space="0" w:color="auto"/>
              <w:right w:val="single" w:sz="4" w:space="0" w:color="auto"/>
            </w:tcBorders>
            <w:shd w:val="clear" w:color="auto" w:fill="auto"/>
            <w:noWrap/>
            <w:vAlign w:val="center"/>
          </w:tcPr>
          <w:p w14:paraId="7576D23D" w14:textId="197D9B4E" w:rsidR="00B8233A" w:rsidRPr="001B4CA2" w:rsidRDefault="00B8233A" w:rsidP="00B8233A">
            <w:pPr>
              <w:jc w:val="center"/>
              <w:rPr>
                <w:sz w:val="18"/>
                <w:szCs w:val="18"/>
              </w:rPr>
            </w:pPr>
          </w:p>
        </w:tc>
        <w:tc>
          <w:tcPr>
            <w:tcW w:w="733" w:type="dxa"/>
            <w:tcBorders>
              <w:top w:val="nil"/>
              <w:left w:val="nil"/>
              <w:bottom w:val="single" w:sz="4" w:space="0" w:color="auto"/>
              <w:right w:val="single" w:sz="4" w:space="0" w:color="auto"/>
            </w:tcBorders>
            <w:shd w:val="clear" w:color="auto" w:fill="auto"/>
            <w:noWrap/>
            <w:vAlign w:val="center"/>
          </w:tcPr>
          <w:p w14:paraId="6A6C72EE" w14:textId="75578C46" w:rsidR="00B8233A" w:rsidRPr="001B4CA2" w:rsidRDefault="00B8233A" w:rsidP="00B8233A">
            <w:pPr>
              <w:jc w:val="center"/>
              <w:rPr>
                <w:sz w:val="18"/>
                <w:szCs w:val="18"/>
              </w:rPr>
            </w:pPr>
            <w:r w:rsidRPr="001B4CA2">
              <w:rPr>
                <w:rFonts w:ascii="Calibri" w:hAnsi="Calibri" w:cs="Calibri"/>
                <w:color w:val="000000"/>
                <w:sz w:val="22"/>
              </w:rPr>
              <w:t>1</w:t>
            </w:r>
          </w:p>
        </w:tc>
        <w:tc>
          <w:tcPr>
            <w:tcW w:w="860" w:type="dxa"/>
            <w:tcBorders>
              <w:top w:val="nil"/>
              <w:left w:val="nil"/>
              <w:bottom w:val="single" w:sz="4" w:space="0" w:color="auto"/>
              <w:right w:val="single" w:sz="4" w:space="0" w:color="auto"/>
            </w:tcBorders>
            <w:shd w:val="clear" w:color="auto" w:fill="auto"/>
            <w:noWrap/>
            <w:vAlign w:val="center"/>
          </w:tcPr>
          <w:p w14:paraId="5D820F91" w14:textId="11DC1899" w:rsidR="00B8233A" w:rsidRPr="001B4CA2" w:rsidRDefault="00B8233A" w:rsidP="00B8233A">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619C1839" w14:textId="285A18D6" w:rsidR="00B8233A" w:rsidRPr="001B4CA2" w:rsidRDefault="00B8233A" w:rsidP="00B8233A">
            <w:pPr>
              <w:jc w:val="center"/>
              <w:rPr>
                <w:sz w:val="18"/>
                <w:szCs w:val="18"/>
              </w:rPr>
            </w:pPr>
            <w:r w:rsidRPr="001B4CA2">
              <w:rPr>
                <w:rFonts w:ascii="Calibri" w:hAnsi="Calibri" w:cs="Calibri"/>
                <w:color w:val="000000"/>
                <w:sz w:val="22"/>
              </w:rPr>
              <w:t>1</w:t>
            </w:r>
          </w:p>
        </w:tc>
        <w:tc>
          <w:tcPr>
            <w:tcW w:w="861" w:type="dxa"/>
            <w:tcBorders>
              <w:top w:val="nil"/>
              <w:left w:val="nil"/>
              <w:bottom w:val="single" w:sz="4" w:space="0" w:color="auto"/>
              <w:right w:val="single" w:sz="4" w:space="0" w:color="auto"/>
            </w:tcBorders>
            <w:shd w:val="clear" w:color="auto" w:fill="auto"/>
            <w:noWrap/>
            <w:vAlign w:val="center"/>
          </w:tcPr>
          <w:p w14:paraId="3C5A27C9" w14:textId="77777777"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69B52521" w14:textId="65F9EAD0" w:rsidR="00B8233A" w:rsidRPr="001B4CA2" w:rsidRDefault="00B8233A" w:rsidP="00B8233A">
            <w:pPr>
              <w:jc w:val="center"/>
              <w:rPr>
                <w:sz w:val="18"/>
                <w:szCs w:val="18"/>
              </w:rPr>
            </w:pPr>
            <w:r w:rsidRPr="001B4CA2">
              <w:rPr>
                <w:rFonts w:ascii="Calibri" w:hAnsi="Calibri" w:cs="Calibri"/>
                <w:color w:val="000000"/>
                <w:sz w:val="22"/>
              </w:rPr>
              <w:t>1</w:t>
            </w:r>
          </w:p>
        </w:tc>
        <w:tc>
          <w:tcPr>
            <w:tcW w:w="716" w:type="dxa"/>
            <w:tcBorders>
              <w:top w:val="nil"/>
              <w:left w:val="nil"/>
              <w:bottom w:val="single" w:sz="4" w:space="0" w:color="auto"/>
              <w:right w:val="single" w:sz="4" w:space="0" w:color="auto"/>
            </w:tcBorders>
            <w:shd w:val="clear" w:color="auto" w:fill="auto"/>
            <w:noWrap/>
            <w:vAlign w:val="center"/>
          </w:tcPr>
          <w:p w14:paraId="655E5E65" w14:textId="32C67C7D" w:rsidR="00B8233A" w:rsidRPr="001B4CA2" w:rsidRDefault="00B8233A" w:rsidP="00B8233A">
            <w:pPr>
              <w:jc w:val="center"/>
              <w:rPr>
                <w:sz w:val="18"/>
                <w:szCs w:val="18"/>
              </w:rPr>
            </w:pPr>
          </w:p>
        </w:tc>
        <w:tc>
          <w:tcPr>
            <w:tcW w:w="661" w:type="dxa"/>
            <w:tcBorders>
              <w:top w:val="nil"/>
              <w:left w:val="nil"/>
              <w:bottom w:val="single" w:sz="4" w:space="0" w:color="auto"/>
              <w:right w:val="single" w:sz="4" w:space="0" w:color="auto"/>
            </w:tcBorders>
            <w:shd w:val="clear" w:color="auto" w:fill="auto"/>
            <w:noWrap/>
            <w:vAlign w:val="center"/>
          </w:tcPr>
          <w:p w14:paraId="705828BF" w14:textId="3FB2127E" w:rsidR="00B8233A" w:rsidRPr="001B4CA2" w:rsidRDefault="00B8233A" w:rsidP="00B8233A">
            <w:pPr>
              <w:jc w:val="center"/>
              <w:rPr>
                <w:sz w:val="18"/>
                <w:szCs w:val="18"/>
              </w:rPr>
            </w:pPr>
            <w:r w:rsidRPr="001B4CA2">
              <w:rPr>
                <w:rFonts w:ascii="Calibri" w:hAnsi="Calibri" w:cs="Calibri"/>
                <w:color w:val="000000"/>
                <w:sz w:val="22"/>
              </w:rPr>
              <w:t>1</w:t>
            </w:r>
          </w:p>
        </w:tc>
        <w:tc>
          <w:tcPr>
            <w:tcW w:w="773" w:type="dxa"/>
            <w:tcBorders>
              <w:top w:val="nil"/>
              <w:left w:val="nil"/>
              <w:bottom w:val="single" w:sz="4" w:space="0" w:color="auto"/>
              <w:right w:val="single" w:sz="4" w:space="0" w:color="auto"/>
            </w:tcBorders>
            <w:shd w:val="clear" w:color="auto" w:fill="auto"/>
            <w:noWrap/>
            <w:vAlign w:val="center"/>
          </w:tcPr>
          <w:p w14:paraId="01202259" w14:textId="76539C4A" w:rsidR="00B8233A" w:rsidRPr="001B4CA2" w:rsidRDefault="00B8233A" w:rsidP="00B8233A">
            <w:pPr>
              <w:jc w:val="center"/>
              <w:rPr>
                <w:bCs/>
                <w:sz w:val="18"/>
                <w:szCs w:val="18"/>
              </w:rPr>
            </w:pPr>
          </w:p>
        </w:tc>
        <w:tc>
          <w:tcPr>
            <w:tcW w:w="863" w:type="dxa"/>
            <w:tcBorders>
              <w:top w:val="nil"/>
              <w:left w:val="nil"/>
              <w:bottom w:val="single" w:sz="4" w:space="0" w:color="auto"/>
              <w:right w:val="single" w:sz="4" w:space="0" w:color="auto"/>
            </w:tcBorders>
            <w:shd w:val="clear" w:color="auto" w:fill="auto"/>
            <w:vAlign w:val="center"/>
          </w:tcPr>
          <w:p w14:paraId="48D266A8" w14:textId="3535F293" w:rsidR="00B8233A" w:rsidRPr="001B4CA2" w:rsidRDefault="00B8233A" w:rsidP="00B8233A">
            <w:pPr>
              <w:jc w:val="center"/>
              <w:rPr>
                <w:bCs/>
                <w:sz w:val="18"/>
                <w:szCs w:val="18"/>
              </w:rPr>
            </w:pPr>
            <w:r w:rsidRPr="001B4CA2">
              <w:rPr>
                <w:rFonts w:ascii="Calibri" w:hAnsi="Calibri" w:cs="Calibri"/>
                <w:bCs/>
                <w:color w:val="000000"/>
                <w:sz w:val="22"/>
              </w:rPr>
              <w:t>4</w:t>
            </w:r>
          </w:p>
        </w:tc>
        <w:tc>
          <w:tcPr>
            <w:tcW w:w="921" w:type="dxa"/>
            <w:tcBorders>
              <w:top w:val="nil"/>
              <w:left w:val="nil"/>
              <w:bottom w:val="single" w:sz="4" w:space="0" w:color="auto"/>
              <w:right w:val="single" w:sz="4" w:space="0" w:color="auto"/>
            </w:tcBorders>
            <w:vAlign w:val="center"/>
          </w:tcPr>
          <w:p w14:paraId="4AB908F5" w14:textId="09D35B58" w:rsidR="00B8233A" w:rsidRPr="001B4CA2" w:rsidRDefault="00B8233A" w:rsidP="00B8233A">
            <w:pPr>
              <w:jc w:val="center"/>
              <w:rPr>
                <w:bCs/>
                <w:sz w:val="18"/>
                <w:szCs w:val="18"/>
              </w:rPr>
            </w:pPr>
            <w:r w:rsidRPr="001B4CA2">
              <w:rPr>
                <w:rFonts w:ascii="Calibri" w:hAnsi="Calibri" w:cs="Calibri"/>
                <w:b/>
                <w:bCs/>
                <w:color w:val="000000"/>
                <w:sz w:val="22"/>
              </w:rPr>
              <w:t>4</w:t>
            </w:r>
          </w:p>
        </w:tc>
      </w:tr>
      <w:tr w:rsidR="00B8233A" w:rsidRPr="001B4CA2" w14:paraId="57044A21"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B9A90" w14:textId="29590977"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prostornoga uređenja, graditeljstva i državne imovine</w:t>
            </w:r>
          </w:p>
        </w:tc>
        <w:tc>
          <w:tcPr>
            <w:tcW w:w="730" w:type="dxa"/>
            <w:tcBorders>
              <w:top w:val="nil"/>
              <w:left w:val="nil"/>
              <w:bottom w:val="single" w:sz="4" w:space="0" w:color="auto"/>
              <w:right w:val="single" w:sz="4" w:space="0" w:color="auto"/>
            </w:tcBorders>
            <w:shd w:val="clear" w:color="auto" w:fill="auto"/>
            <w:noWrap/>
            <w:vAlign w:val="center"/>
          </w:tcPr>
          <w:p w14:paraId="679554FC" w14:textId="3AF4748A" w:rsidR="00B8233A" w:rsidRPr="001B4CA2" w:rsidRDefault="00B8233A" w:rsidP="00B8233A">
            <w:pPr>
              <w:jc w:val="center"/>
              <w:rPr>
                <w:sz w:val="18"/>
                <w:szCs w:val="18"/>
              </w:rPr>
            </w:pPr>
            <w:r w:rsidRPr="001B4CA2">
              <w:rPr>
                <w:rFonts w:ascii="Calibri" w:hAnsi="Calibri" w:cs="Calibri"/>
                <w:color w:val="000000"/>
                <w:sz w:val="22"/>
              </w:rPr>
              <w:t>50</w:t>
            </w:r>
          </w:p>
        </w:tc>
        <w:tc>
          <w:tcPr>
            <w:tcW w:w="734" w:type="dxa"/>
            <w:tcBorders>
              <w:top w:val="nil"/>
              <w:left w:val="nil"/>
              <w:bottom w:val="single" w:sz="4" w:space="0" w:color="auto"/>
              <w:right w:val="single" w:sz="4" w:space="0" w:color="auto"/>
            </w:tcBorders>
            <w:shd w:val="clear" w:color="auto" w:fill="auto"/>
            <w:noWrap/>
            <w:vAlign w:val="center"/>
          </w:tcPr>
          <w:p w14:paraId="66EA3D1B" w14:textId="41A3CE1E" w:rsidR="00B8233A" w:rsidRPr="001B4CA2" w:rsidRDefault="00B8233A" w:rsidP="00B8233A">
            <w:pPr>
              <w:jc w:val="center"/>
              <w:rPr>
                <w:sz w:val="18"/>
                <w:szCs w:val="18"/>
              </w:rPr>
            </w:pPr>
            <w:r w:rsidRPr="001B4CA2">
              <w:rPr>
                <w:rFonts w:ascii="Calibri" w:hAnsi="Calibri" w:cs="Calibri"/>
                <w:color w:val="000000"/>
                <w:sz w:val="22"/>
              </w:rPr>
              <w:t>1.292</w:t>
            </w:r>
          </w:p>
        </w:tc>
        <w:tc>
          <w:tcPr>
            <w:tcW w:w="788" w:type="dxa"/>
            <w:tcBorders>
              <w:top w:val="nil"/>
              <w:left w:val="nil"/>
              <w:bottom w:val="single" w:sz="4" w:space="0" w:color="auto"/>
              <w:right w:val="single" w:sz="4" w:space="0" w:color="auto"/>
            </w:tcBorders>
            <w:shd w:val="clear" w:color="auto" w:fill="auto"/>
            <w:noWrap/>
            <w:vAlign w:val="center"/>
          </w:tcPr>
          <w:p w14:paraId="433734C9" w14:textId="2F5B2D45" w:rsidR="00B8233A" w:rsidRPr="001B4CA2" w:rsidRDefault="00B8233A" w:rsidP="00B8233A">
            <w:pPr>
              <w:jc w:val="center"/>
              <w:rPr>
                <w:sz w:val="18"/>
                <w:szCs w:val="18"/>
              </w:rPr>
            </w:pPr>
            <w:r w:rsidRPr="001B4CA2">
              <w:rPr>
                <w:rFonts w:ascii="Calibri" w:hAnsi="Calibri" w:cs="Calibri"/>
                <w:color w:val="000000"/>
                <w:sz w:val="22"/>
              </w:rPr>
              <w:t>74</w:t>
            </w:r>
          </w:p>
        </w:tc>
        <w:tc>
          <w:tcPr>
            <w:tcW w:w="733" w:type="dxa"/>
            <w:tcBorders>
              <w:top w:val="nil"/>
              <w:left w:val="nil"/>
              <w:bottom w:val="single" w:sz="4" w:space="0" w:color="auto"/>
              <w:right w:val="single" w:sz="4" w:space="0" w:color="auto"/>
            </w:tcBorders>
            <w:shd w:val="clear" w:color="auto" w:fill="auto"/>
            <w:noWrap/>
            <w:vAlign w:val="center"/>
          </w:tcPr>
          <w:p w14:paraId="37F0E627" w14:textId="765771C5" w:rsidR="00B8233A" w:rsidRPr="001B4CA2" w:rsidRDefault="00B8233A" w:rsidP="00B8233A">
            <w:pPr>
              <w:jc w:val="center"/>
              <w:rPr>
                <w:sz w:val="18"/>
                <w:szCs w:val="18"/>
              </w:rPr>
            </w:pPr>
            <w:r w:rsidRPr="001B4CA2">
              <w:rPr>
                <w:rFonts w:ascii="Calibri" w:hAnsi="Calibri" w:cs="Calibri"/>
                <w:color w:val="000000"/>
                <w:sz w:val="22"/>
              </w:rPr>
              <w:t>43</w:t>
            </w:r>
          </w:p>
        </w:tc>
        <w:tc>
          <w:tcPr>
            <w:tcW w:w="860" w:type="dxa"/>
            <w:tcBorders>
              <w:top w:val="nil"/>
              <w:left w:val="nil"/>
              <w:bottom w:val="single" w:sz="4" w:space="0" w:color="auto"/>
              <w:right w:val="single" w:sz="4" w:space="0" w:color="auto"/>
            </w:tcBorders>
            <w:shd w:val="clear" w:color="auto" w:fill="auto"/>
            <w:noWrap/>
            <w:vAlign w:val="center"/>
          </w:tcPr>
          <w:p w14:paraId="2FBA258F" w14:textId="0DC36B88" w:rsidR="00B8233A" w:rsidRPr="001B4CA2" w:rsidRDefault="00B8233A" w:rsidP="00B8233A">
            <w:pPr>
              <w:jc w:val="center"/>
              <w:rPr>
                <w:sz w:val="18"/>
                <w:szCs w:val="18"/>
              </w:rPr>
            </w:pPr>
            <w:r w:rsidRPr="001B4CA2">
              <w:rPr>
                <w:rFonts w:ascii="Calibri" w:hAnsi="Calibri" w:cs="Calibri"/>
                <w:color w:val="000000"/>
                <w:sz w:val="22"/>
              </w:rPr>
              <w:t>9</w:t>
            </w:r>
          </w:p>
        </w:tc>
        <w:tc>
          <w:tcPr>
            <w:tcW w:w="718" w:type="dxa"/>
            <w:tcBorders>
              <w:top w:val="nil"/>
              <w:left w:val="nil"/>
              <w:bottom w:val="single" w:sz="4" w:space="0" w:color="auto"/>
              <w:right w:val="single" w:sz="4" w:space="0" w:color="auto"/>
            </w:tcBorders>
            <w:shd w:val="clear" w:color="auto" w:fill="auto"/>
            <w:noWrap/>
            <w:vAlign w:val="center"/>
          </w:tcPr>
          <w:p w14:paraId="133FAC0E" w14:textId="49428F25" w:rsidR="00B8233A" w:rsidRPr="001B4CA2" w:rsidRDefault="00B8233A" w:rsidP="00B8233A">
            <w:pPr>
              <w:jc w:val="center"/>
              <w:rPr>
                <w:sz w:val="18"/>
                <w:szCs w:val="18"/>
              </w:rPr>
            </w:pPr>
            <w:r w:rsidRPr="001B4CA2">
              <w:rPr>
                <w:rFonts w:ascii="Calibri" w:hAnsi="Calibri" w:cs="Calibri"/>
                <w:color w:val="000000"/>
                <w:sz w:val="22"/>
              </w:rPr>
              <w:t>181</w:t>
            </w:r>
          </w:p>
        </w:tc>
        <w:tc>
          <w:tcPr>
            <w:tcW w:w="861" w:type="dxa"/>
            <w:tcBorders>
              <w:top w:val="nil"/>
              <w:left w:val="nil"/>
              <w:bottom w:val="single" w:sz="4" w:space="0" w:color="auto"/>
              <w:right w:val="single" w:sz="4" w:space="0" w:color="auto"/>
            </w:tcBorders>
            <w:shd w:val="clear" w:color="auto" w:fill="auto"/>
            <w:noWrap/>
            <w:vAlign w:val="center"/>
          </w:tcPr>
          <w:p w14:paraId="0CB8450B" w14:textId="77777777"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143D7411" w14:textId="11A19F91" w:rsidR="00B8233A" w:rsidRPr="001B4CA2" w:rsidRDefault="00B8233A" w:rsidP="00B8233A">
            <w:pPr>
              <w:jc w:val="center"/>
              <w:rPr>
                <w:sz w:val="18"/>
                <w:szCs w:val="18"/>
              </w:rPr>
            </w:pPr>
            <w:r w:rsidRPr="001B4CA2">
              <w:rPr>
                <w:rFonts w:ascii="Calibri" w:hAnsi="Calibri" w:cs="Calibri"/>
                <w:color w:val="000000"/>
                <w:sz w:val="22"/>
              </w:rPr>
              <w:t>1</w:t>
            </w:r>
          </w:p>
        </w:tc>
        <w:tc>
          <w:tcPr>
            <w:tcW w:w="716" w:type="dxa"/>
            <w:tcBorders>
              <w:top w:val="nil"/>
              <w:left w:val="nil"/>
              <w:bottom w:val="single" w:sz="4" w:space="0" w:color="auto"/>
              <w:right w:val="single" w:sz="4" w:space="0" w:color="auto"/>
            </w:tcBorders>
            <w:shd w:val="clear" w:color="auto" w:fill="auto"/>
            <w:noWrap/>
            <w:vAlign w:val="center"/>
          </w:tcPr>
          <w:p w14:paraId="149A6514" w14:textId="5F034D66" w:rsidR="00B8233A" w:rsidRPr="001B4CA2" w:rsidRDefault="00B8233A" w:rsidP="00B8233A">
            <w:pPr>
              <w:jc w:val="center"/>
              <w:rPr>
                <w:sz w:val="18"/>
                <w:szCs w:val="18"/>
              </w:rPr>
            </w:pPr>
            <w:r w:rsidRPr="001B4CA2">
              <w:rPr>
                <w:rFonts w:ascii="Calibri" w:hAnsi="Calibri" w:cs="Calibri"/>
                <w:color w:val="000000"/>
                <w:sz w:val="22"/>
              </w:rPr>
              <w:t>2</w:t>
            </w:r>
          </w:p>
        </w:tc>
        <w:tc>
          <w:tcPr>
            <w:tcW w:w="661" w:type="dxa"/>
            <w:tcBorders>
              <w:top w:val="nil"/>
              <w:left w:val="nil"/>
              <w:bottom w:val="single" w:sz="4" w:space="0" w:color="auto"/>
              <w:right w:val="single" w:sz="4" w:space="0" w:color="auto"/>
            </w:tcBorders>
            <w:shd w:val="clear" w:color="auto" w:fill="auto"/>
            <w:noWrap/>
            <w:vAlign w:val="center"/>
          </w:tcPr>
          <w:p w14:paraId="02246CE3" w14:textId="1EBB93A1" w:rsidR="00B8233A" w:rsidRPr="001B4CA2" w:rsidRDefault="00B8233A" w:rsidP="00B8233A">
            <w:pPr>
              <w:jc w:val="center"/>
              <w:rPr>
                <w:sz w:val="18"/>
                <w:szCs w:val="18"/>
              </w:rPr>
            </w:pPr>
            <w:r w:rsidRPr="001B4CA2">
              <w:rPr>
                <w:rFonts w:ascii="Calibri" w:hAnsi="Calibri" w:cs="Calibri"/>
                <w:color w:val="000000"/>
                <w:sz w:val="22"/>
              </w:rPr>
              <w:t>8</w:t>
            </w:r>
          </w:p>
        </w:tc>
        <w:tc>
          <w:tcPr>
            <w:tcW w:w="773" w:type="dxa"/>
            <w:tcBorders>
              <w:top w:val="nil"/>
              <w:left w:val="nil"/>
              <w:bottom w:val="single" w:sz="4" w:space="0" w:color="auto"/>
              <w:right w:val="single" w:sz="4" w:space="0" w:color="auto"/>
            </w:tcBorders>
            <w:shd w:val="clear" w:color="auto" w:fill="auto"/>
            <w:noWrap/>
            <w:vAlign w:val="center"/>
          </w:tcPr>
          <w:p w14:paraId="4A71F1EB" w14:textId="0D5685F2" w:rsidR="00B8233A" w:rsidRPr="001B4CA2" w:rsidRDefault="00B8233A" w:rsidP="00B8233A">
            <w:pPr>
              <w:jc w:val="center"/>
              <w:rPr>
                <w:bCs/>
                <w:sz w:val="18"/>
                <w:szCs w:val="18"/>
              </w:rPr>
            </w:pPr>
            <w:r w:rsidRPr="001B4CA2">
              <w:rPr>
                <w:rFonts w:ascii="Calibri" w:hAnsi="Calibri" w:cs="Calibri"/>
                <w:bCs/>
                <w:color w:val="000000"/>
                <w:sz w:val="22"/>
              </w:rPr>
              <w:t>135</w:t>
            </w:r>
          </w:p>
        </w:tc>
        <w:tc>
          <w:tcPr>
            <w:tcW w:w="863" w:type="dxa"/>
            <w:tcBorders>
              <w:top w:val="nil"/>
              <w:left w:val="nil"/>
              <w:bottom w:val="single" w:sz="4" w:space="0" w:color="auto"/>
              <w:right w:val="single" w:sz="4" w:space="0" w:color="auto"/>
            </w:tcBorders>
            <w:shd w:val="clear" w:color="auto" w:fill="auto"/>
            <w:vAlign w:val="center"/>
          </w:tcPr>
          <w:p w14:paraId="105A99B8" w14:textId="49E580F5" w:rsidR="00B8233A" w:rsidRPr="001B4CA2" w:rsidRDefault="00B8233A" w:rsidP="00B8233A">
            <w:pPr>
              <w:jc w:val="center"/>
              <w:rPr>
                <w:bCs/>
                <w:sz w:val="18"/>
                <w:szCs w:val="18"/>
              </w:rPr>
            </w:pPr>
            <w:r w:rsidRPr="001B4CA2">
              <w:rPr>
                <w:rFonts w:ascii="Calibri" w:hAnsi="Calibri" w:cs="Calibri"/>
                <w:bCs/>
                <w:color w:val="000000"/>
                <w:sz w:val="22"/>
              </w:rPr>
              <w:t>1.525</w:t>
            </w:r>
          </w:p>
        </w:tc>
        <w:tc>
          <w:tcPr>
            <w:tcW w:w="921" w:type="dxa"/>
            <w:tcBorders>
              <w:top w:val="nil"/>
              <w:left w:val="nil"/>
              <w:bottom w:val="single" w:sz="4" w:space="0" w:color="auto"/>
              <w:right w:val="single" w:sz="4" w:space="0" w:color="auto"/>
            </w:tcBorders>
            <w:vAlign w:val="center"/>
          </w:tcPr>
          <w:p w14:paraId="7EC7EE0C" w14:textId="6EEBF885" w:rsidR="00B8233A" w:rsidRPr="001B4CA2" w:rsidRDefault="00B8233A" w:rsidP="00B8233A">
            <w:pPr>
              <w:jc w:val="center"/>
              <w:rPr>
                <w:bCs/>
                <w:sz w:val="18"/>
                <w:szCs w:val="18"/>
              </w:rPr>
            </w:pPr>
            <w:r w:rsidRPr="001B4CA2">
              <w:rPr>
                <w:rFonts w:ascii="Calibri" w:hAnsi="Calibri" w:cs="Calibri"/>
                <w:b/>
                <w:bCs/>
                <w:color w:val="000000"/>
                <w:sz w:val="22"/>
              </w:rPr>
              <w:t>1.660</w:t>
            </w:r>
          </w:p>
        </w:tc>
      </w:tr>
      <w:tr w:rsidR="00B8233A" w:rsidRPr="001B4CA2" w14:paraId="2C571D8F"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CB2EC" w14:textId="6CA8091D"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unutarnjih poslova</w:t>
            </w:r>
          </w:p>
        </w:tc>
        <w:tc>
          <w:tcPr>
            <w:tcW w:w="730" w:type="dxa"/>
            <w:tcBorders>
              <w:top w:val="nil"/>
              <w:left w:val="nil"/>
              <w:bottom w:val="single" w:sz="4" w:space="0" w:color="auto"/>
              <w:right w:val="single" w:sz="4" w:space="0" w:color="auto"/>
            </w:tcBorders>
            <w:shd w:val="clear" w:color="auto" w:fill="auto"/>
            <w:noWrap/>
            <w:vAlign w:val="center"/>
          </w:tcPr>
          <w:p w14:paraId="4888E6E5" w14:textId="03970AFB" w:rsidR="00B8233A" w:rsidRPr="001B4CA2" w:rsidRDefault="00B8233A" w:rsidP="00B8233A">
            <w:pPr>
              <w:jc w:val="center"/>
              <w:rPr>
                <w:sz w:val="18"/>
                <w:szCs w:val="18"/>
              </w:rPr>
            </w:pPr>
            <w:r w:rsidRPr="001B4CA2">
              <w:rPr>
                <w:rFonts w:ascii="Calibri" w:hAnsi="Calibri" w:cs="Calibri"/>
                <w:color w:val="000000"/>
                <w:sz w:val="22"/>
              </w:rPr>
              <w:t>1</w:t>
            </w:r>
          </w:p>
        </w:tc>
        <w:tc>
          <w:tcPr>
            <w:tcW w:w="734" w:type="dxa"/>
            <w:tcBorders>
              <w:top w:val="nil"/>
              <w:left w:val="nil"/>
              <w:bottom w:val="single" w:sz="4" w:space="0" w:color="auto"/>
              <w:right w:val="single" w:sz="4" w:space="0" w:color="auto"/>
            </w:tcBorders>
            <w:shd w:val="clear" w:color="auto" w:fill="auto"/>
            <w:noWrap/>
            <w:vAlign w:val="center"/>
          </w:tcPr>
          <w:p w14:paraId="470EACE4" w14:textId="3F8520B6" w:rsidR="00B8233A" w:rsidRPr="001B4CA2" w:rsidRDefault="00B8233A" w:rsidP="00B8233A">
            <w:pPr>
              <w:jc w:val="center"/>
              <w:rPr>
                <w:sz w:val="18"/>
                <w:szCs w:val="18"/>
              </w:rPr>
            </w:pPr>
            <w:r w:rsidRPr="001B4CA2">
              <w:rPr>
                <w:rFonts w:ascii="Calibri" w:hAnsi="Calibri" w:cs="Calibri"/>
                <w:color w:val="000000"/>
                <w:sz w:val="22"/>
              </w:rPr>
              <w:t>5</w:t>
            </w:r>
          </w:p>
        </w:tc>
        <w:tc>
          <w:tcPr>
            <w:tcW w:w="788" w:type="dxa"/>
            <w:tcBorders>
              <w:top w:val="nil"/>
              <w:left w:val="nil"/>
              <w:bottom w:val="single" w:sz="4" w:space="0" w:color="auto"/>
              <w:right w:val="single" w:sz="4" w:space="0" w:color="auto"/>
            </w:tcBorders>
            <w:shd w:val="clear" w:color="auto" w:fill="auto"/>
            <w:noWrap/>
            <w:vAlign w:val="center"/>
          </w:tcPr>
          <w:p w14:paraId="190B8E88" w14:textId="75E3C768" w:rsidR="00B8233A" w:rsidRPr="001B4CA2" w:rsidRDefault="00B8233A" w:rsidP="00B8233A">
            <w:pPr>
              <w:jc w:val="center"/>
              <w:rPr>
                <w:sz w:val="18"/>
                <w:szCs w:val="18"/>
              </w:rPr>
            </w:pPr>
            <w:r w:rsidRPr="001B4CA2">
              <w:rPr>
                <w:rFonts w:ascii="Calibri" w:hAnsi="Calibri" w:cs="Calibri"/>
                <w:color w:val="000000"/>
                <w:sz w:val="22"/>
              </w:rPr>
              <w:t>44</w:t>
            </w:r>
          </w:p>
        </w:tc>
        <w:tc>
          <w:tcPr>
            <w:tcW w:w="733" w:type="dxa"/>
            <w:tcBorders>
              <w:top w:val="nil"/>
              <w:left w:val="nil"/>
              <w:bottom w:val="single" w:sz="4" w:space="0" w:color="auto"/>
              <w:right w:val="single" w:sz="4" w:space="0" w:color="auto"/>
            </w:tcBorders>
            <w:shd w:val="clear" w:color="auto" w:fill="auto"/>
            <w:noWrap/>
            <w:vAlign w:val="center"/>
          </w:tcPr>
          <w:p w14:paraId="6B67B9DE" w14:textId="62449A05" w:rsidR="00B8233A" w:rsidRPr="001B4CA2" w:rsidRDefault="00B8233A" w:rsidP="00B8233A">
            <w:pPr>
              <w:jc w:val="center"/>
              <w:rPr>
                <w:sz w:val="18"/>
                <w:szCs w:val="18"/>
              </w:rPr>
            </w:pPr>
            <w:r w:rsidRPr="001B4CA2">
              <w:rPr>
                <w:rFonts w:ascii="Calibri" w:hAnsi="Calibri" w:cs="Calibri"/>
                <w:color w:val="000000"/>
                <w:sz w:val="22"/>
              </w:rPr>
              <w:t>12</w:t>
            </w:r>
          </w:p>
        </w:tc>
        <w:tc>
          <w:tcPr>
            <w:tcW w:w="860" w:type="dxa"/>
            <w:tcBorders>
              <w:top w:val="nil"/>
              <w:left w:val="nil"/>
              <w:bottom w:val="single" w:sz="4" w:space="0" w:color="auto"/>
              <w:right w:val="single" w:sz="4" w:space="0" w:color="auto"/>
            </w:tcBorders>
            <w:shd w:val="clear" w:color="auto" w:fill="auto"/>
            <w:noWrap/>
            <w:vAlign w:val="center"/>
          </w:tcPr>
          <w:p w14:paraId="055257EA" w14:textId="2B40F0D4" w:rsidR="00B8233A" w:rsidRPr="001B4CA2" w:rsidRDefault="00B8233A" w:rsidP="00B8233A">
            <w:pPr>
              <w:jc w:val="center"/>
              <w:rPr>
                <w:sz w:val="18"/>
                <w:szCs w:val="18"/>
              </w:rPr>
            </w:pPr>
            <w:r w:rsidRPr="001B4CA2">
              <w:rPr>
                <w:rFonts w:ascii="Calibri" w:hAnsi="Calibri" w:cs="Calibri"/>
                <w:color w:val="000000"/>
                <w:sz w:val="22"/>
              </w:rPr>
              <w:t>46</w:t>
            </w:r>
          </w:p>
        </w:tc>
        <w:tc>
          <w:tcPr>
            <w:tcW w:w="718" w:type="dxa"/>
            <w:tcBorders>
              <w:top w:val="nil"/>
              <w:left w:val="nil"/>
              <w:bottom w:val="single" w:sz="4" w:space="0" w:color="auto"/>
              <w:right w:val="single" w:sz="4" w:space="0" w:color="auto"/>
            </w:tcBorders>
            <w:shd w:val="clear" w:color="auto" w:fill="auto"/>
            <w:noWrap/>
            <w:vAlign w:val="center"/>
          </w:tcPr>
          <w:p w14:paraId="43034C74" w14:textId="0F5FCC1E" w:rsidR="00B8233A" w:rsidRPr="001B4CA2" w:rsidRDefault="00B8233A" w:rsidP="00B8233A">
            <w:pPr>
              <w:jc w:val="center"/>
              <w:rPr>
                <w:sz w:val="18"/>
                <w:szCs w:val="18"/>
              </w:rPr>
            </w:pPr>
            <w:r w:rsidRPr="001B4CA2">
              <w:rPr>
                <w:rFonts w:ascii="Calibri" w:hAnsi="Calibri" w:cs="Calibri"/>
                <w:color w:val="000000"/>
                <w:sz w:val="22"/>
              </w:rPr>
              <w:t>57</w:t>
            </w:r>
          </w:p>
        </w:tc>
        <w:tc>
          <w:tcPr>
            <w:tcW w:w="861" w:type="dxa"/>
            <w:tcBorders>
              <w:top w:val="nil"/>
              <w:left w:val="nil"/>
              <w:bottom w:val="single" w:sz="4" w:space="0" w:color="auto"/>
              <w:right w:val="single" w:sz="4" w:space="0" w:color="auto"/>
            </w:tcBorders>
            <w:shd w:val="clear" w:color="auto" w:fill="auto"/>
            <w:noWrap/>
            <w:vAlign w:val="center"/>
          </w:tcPr>
          <w:p w14:paraId="7098CA91" w14:textId="3CD9778D" w:rsidR="00B8233A" w:rsidRPr="001B4CA2" w:rsidRDefault="00B8233A" w:rsidP="00B8233A">
            <w:pPr>
              <w:jc w:val="center"/>
              <w:rPr>
                <w:sz w:val="18"/>
                <w:szCs w:val="18"/>
              </w:rPr>
            </w:pPr>
            <w:r w:rsidRPr="001B4CA2">
              <w:rPr>
                <w:rFonts w:ascii="Calibri" w:hAnsi="Calibri" w:cs="Calibri"/>
                <w:color w:val="000000"/>
                <w:sz w:val="22"/>
              </w:rPr>
              <w:t>5</w:t>
            </w:r>
          </w:p>
        </w:tc>
        <w:tc>
          <w:tcPr>
            <w:tcW w:w="861" w:type="dxa"/>
            <w:tcBorders>
              <w:top w:val="nil"/>
              <w:left w:val="nil"/>
              <w:bottom w:val="single" w:sz="4" w:space="0" w:color="auto"/>
              <w:right w:val="single" w:sz="4" w:space="0" w:color="auto"/>
            </w:tcBorders>
            <w:shd w:val="clear" w:color="auto" w:fill="auto"/>
            <w:noWrap/>
            <w:vAlign w:val="center"/>
          </w:tcPr>
          <w:p w14:paraId="30A00102" w14:textId="1FA74573" w:rsidR="00B8233A" w:rsidRPr="001B4CA2" w:rsidRDefault="00B8233A" w:rsidP="00B8233A">
            <w:pPr>
              <w:jc w:val="center"/>
              <w:rPr>
                <w:sz w:val="18"/>
                <w:szCs w:val="18"/>
              </w:rPr>
            </w:pPr>
            <w:r w:rsidRPr="001B4CA2">
              <w:rPr>
                <w:rFonts w:ascii="Calibri" w:hAnsi="Calibri" w:cs="Calibri"/>
                <w:color w:val="000000"/>
                <w:sz w:val="22"/>
              </w:rPr>
              <w:t>642</w:t>
            </w:r>
          </w:p>
        </w:tc>
        <w:tc>
          <w:tcPr>
            <w:tcW w:w="716" w:type="dxa"/>
            <w:tcBorders>
              <w:top w:val="nil"/>
              <w:left w:val="nil"/>
              <w:bottom w:val="single" w:sz="4" w:space="0" w:color="auto"/>
              <w:right w:val="single" w:sz="4" w:space="0" w:color="auto"/>
            </w:tcBorders>
            <w:shd w:val="clear" w:color="auto" w:fill="auto"/>
            <w:noWrap/>
            <w:vAlign w:val="center"/>
          </w:tcPr>
          <w:p w14:paraId="05536599" w14:textId="6F201A07" w:rsidR="00B8233A" w:rsidRPr="001B4CA2" w:rsidRDefault="00B8233A" w:rsidP="00B8233A">
            <w:pPr>
              <w:jc w:val="center"/>
              <w:rPr>
                <w:sz w:val="18"/>
                <w:szCs w:val="18"/>
              </w:rPr>
            </w:pPr>
            <w:r w:rsidRPr="001B4CA2">
              <w:rPr>
                <w:rFonts w:ascii="Calibri" w:hAnsi="Calibri" w:cs="Calibri"/>
                <w:color w:val="000000"/>
                <w:sz w:val="22"/>
              </w:rPr>
              <w:t>1</w:t>
            </w:r>
          </w:p>
        </w:tc>
        <w:tc>
          <w:tcPr>
            <w:tcW w:w="661" w:type="dxa"/>
            <w:tcBorders>
              <w:top w:val="nil"/>
              <w:left w:val="nil"/>
              <w:bottom w:val="single" w:sz="4" w:space="0" w:color="auto"/>
              <w:right w:val="single" w:sz="4" w:space="0" w:color="auto"/>
            </w:tcBorders>
            <w:shd w:val="clear" w:color="auto" w:fill="auto"/>
            <w:noWrap/>
            <w:vAlign w:val="center"/>
          </w:tcPr>
          <w:p w14:paraId="6B6D5713" w14:textId="5A420772" w:rsidR="00B8233A" w:rsidRPr="001B4CA2" w:rsidRDefault="00B8233A" w:rsidP="00B8233A">
            <w:pPr>
              <w:jc w:val="center"/>
              <w:rPr>
                <w:sz w:val="18"/>
                <w:szCs w:val="18"/>
              </w:rPr>
            </w:pPr>
            <w:r w:rsidRPr="001B4CA2">
              <w:rPr>
                <w:rFonts w:ascii="Calibri" w:hAnsi="Calibri" w:cs="Calibri"/>
                <w:color w:val="000000"/>
                <w:sz w:val="22"/>
              </w:rPr>
              <w:t>7</w:t>
            </w:r>
          </w:p>
        </w:tc>
        <w:tc>
          <w:tcPr>
            <w:tcW w:w="773" w:type="dxa"/>
            <w:tcBorders>
              <w:top w:val="nil"/>
              <w:left w:val="nil"/>
              <w:bottom w:val="single" w:sz="4" w:space="0" w:color="auto"/>
              <w:right w:val="single" w:sz="4" w:space="0" w:color="auto"/>
            </w:tcBorders>
            <w:shd w:val="clear" w:color="auto" w:fill="auto"/>
            <w:noWrap/>
            <w:vAlign w:val="center"/>
          </w:tcPr>
          <w:p w14:paraId="5CB27274" w14:textId="54AC21A1" w:rsidR="00B8233A" w:rsidRPr="001B4CA2" w:rsidRDefault="00B8233A" w:rsidP="00B8233A">
            <w:pPr>
              <w:jc w:val="center"/>
              <w:rPr>
                <w:bCs/>
                <w:sz w:val="18"/>
                <w:szCs w:val="18"/>
              </w:rPr>
            </w:pPr>
            <w:r w:rsidRPr="001B4CA2">
              <w:rPr>
                <w:rFonts w:ascii="Calibri" w:hAnsi="Calibri" w:cs="Calibri"/>
                <w:bCs/>
                <w:color w:val="000000"/>
                <w:sz w:val="22"/>
              </w:rPr>
              <w:t>97</w:t>
            </w:r>
          </w:p>
        </w:tc>
        <w:tc>
          <w:tcPr>
            <w:tcW w:w="863" w:type="dxa"/>
            <w:tcBorders>
              <w:top w:val="nil"/>
              <w:left w:val="nil"/>
              <w:bottom w:val="single" w:sz="4" w:space="0" w:color="auto"/>
              <w:right w:val="single" w:sz="4" w:space="0" w:color="auto"/>
            </w:tcBorders>
            <w:shd w:val="clear" w:color="auto" w:fill="auto"/>
            <w:vAlign w:val="center"/>
          </w:tcPr>
          <w:p w14:paraId="44DDC467" w14:textId="4E50E858" w:rsidR="00B8233A" w:rsidRPr="001B4CA2" w:rsidRDefault="00B8233A" w:rsidP="00B8233A">
            <w:pPr>
              <w:jc w:val="center"/>
              <w:rPr>
                <w:bCs/>
                <w:sz w:val="18"/>
                <w:szCs w:val="18"/>
              </w:rPr>
            </w:pPr>
            <w:r w:rsidRPr="001B4CA2">
              <w:rPr>
                <w:rFonts w:ascii="Calibri" w:hAnsi="Calibri" w:cs="Calibri"/>
                <w:bCs/>
                <w:color w:val="000000"/>
                <w:sz w:val="22"/>
              </w:rPr>
              <w:t>723</w:t>
            </w:r>
          </w:p>
        </w:tc>
        <w:tc>
          <w:tcPr>
            <w:tcW w:w="921" w:type="dxa"/>
            <w:tcBorders>
              <w:top w:val="nil"/>
              <w:left w:val="nil"/>
              <w:bottom w:val="single" w:sz="4" w:space="0" w:color="auto"/>
              <w:right w:val="single" w:sz="4" w:space="0" w:color="auto"/>
            </w:tcBorders>
            <w:vAlign w:val="center"/>
          </w:tcPr>
          <w:p w14:paraId="0AC46B5A" w14:textId="2C54DA5C" w:rsidR="00B8233A" w:rsidRPr="001B4CA2" w:rsidRDefault="00B8233A" w:rsidP="00B8233A">
            <w:pPr>
              <w:jc w:val="center"/>
              <w:rPr>
                <w:bCs/>
                <w:sz w:val="18"/>
                <w:szCs w:val="18"/>
              </w:rPr>
            </w:pPr>
            <w:r w:rsidRPr="001B4CA2">
              <w:rPr>
                <w:rFonts w:ascii="Calibri" w:hAnsi="Calibri" w:cs="Calibri"/>
                <w:b/>
                <w:bCs/>
                <w:color w:val="000000"/>
                <w:sz w:val="22"/>
              </w:rPr>
              <w:t>820</w:t>
            </w:r>
          </w:p>
        </w:tc>
      </w:tr>
      <w:tr w:rsidR="00B8233A" w:rsidRPr="001B4CA2" w14:paraId="344CBBE9" w14:textId="77777777" w:rsidTr="009C5AEE">
        <w:trPr>
          <w:trHeight w:hRule="exact" w:val="440"/>
          <w:jc w:val="center"/>
        </w:trPr>
        <w:tc>
          <w:tcPr>
            <w:tcW w:w="5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5C3D4" w14:textId="179BDE89"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rada, mirovinskoga sustava, obitelji i socijalne politike</w:t>
            </w:r>
          </w:p>
        </w:tc>
        <w:tc>
          <w:tcPr>
            <w:tcW w:w="730" w:type="dxa"/>
            <w:tcBorders>
              <w:top w:val="nil"/>
              <w:left w:val="nil"/>
              <w:bottom w:val="single" w:sz="4" w:space="0" w:color="auto"/>
              <w:right w:val="single" w:sz="4" w:space="0" w:color="auto"/>
            </w:tcBorders>
            <w:shd w:val="clear" w:color="auto" w:fill="auto"/>
            <w:noWrap/>
            <w:vAlign w:val="center"/>
          </w:tcPr>
          <w:p w14:paraId="4F065D6D" w14:textId="77777777" w:rsidR="00B8233A" w:rsidRPr="001B4CA2" w:rsidRDefault="00B8233A" w:rsidP="00B8233A">
            <w:pPr>
              <w:jc w:val="center"/>
              <w:rPr>
                <w:sz w:val="18"/>
                <w:szCs w:val="18"/>
              </w:rPr>
            </w:pPr>
          </w:p>
        </w:tc>
        <w:tc>
          <w:tcPr>
            <w:tcW w:w="734" w:type="dxa"/>
            <w:tcBorders>
              <w:top w:val="nil"/>
              <w:left w:val="nil"/>
              <w:bottom w:val="single" w:sz="4" w:space="0" w:color="auto"/>
              <w:right w:val="single" w:sz="4" w:space="0" w:color="auto"/>
            </w:tcBorders>
            <w:shd w:val="clear" w:color="auto" w:fill="auto"/>
            <w:noWrap/>
            <w:vAlign w:val="center"/>
          </w:tcPr>
          <w:p w14:paraId="423B0E64" w14:textId="7BB6A045" w:rsidR="00B8233A" w:rsidRPr="001B4CA2" w:rsidRDefault="00B8233A" w:rsidP="00B8233A">
            <w:pPr>
              <w:jc w:val="center"/>
              <w:rPr>
                <w:sz w:val="18"/>
                <w:szCs w:val="18"/>
              </w:rPr>
            </w:pPr>
            <w:r w:rsidRPr="001B4CA2">
              <w:rPr>
                <w:rFonts w:ascii="Calibri" w:hAnsi="Calibri" w:cs="Calibri"/>
                <w:color w:val="000000"/>
                <w:sz w:val="22"/>
              </w:rPr>
              <w:t>7</w:t>
            </w:r>
          </w:p>
        </w:tc>
        <w:tc>
          <w:tcPr>
            <w:tcW w:w="788" w:type="dxa"/>
            <w:tcBorders>
              <w:top w:val="nil"/>
              <w:left w:val="nil"/>
              <w:bottom w:val="single" w:sz="4" w:space="0" w:color="auto"/>
              <w:right w:val="single" w:sz="4" w:space="0" w:color="auto"/>
            </w:tcBorders>
            <w:shd w:val="clear" w:color="auto" w:fill="auto"/>
            <w:noWrap/>
            <w:vAlign w:val="center"/>
          </w:tcPr>
          <w:p w14:paraId="6EA3EC77" w14:textId="4033217C" w:rsidR="00B8233A" w:rsidRPr="001B4CA2" w:rsidRDefault="00B8233A" w:rsidP="00B8233A">
            <w:pPr>
              <w:jc w:val="center"/>
              <w:rPr>
                <w:sz w:val="18"/>
                <w:szCs w:val="18"/>
              </w:rPr>
            </w:pPr>
            <w:r w:rsidRPr="001B4CA2">
              <w:rPr>
                <w:rFonts w:ascii="Calibri" w:hAnsi="Calibri" w:cs="Calibri"/>
                <w:color w:val="000000"/>
                <w:sz w:val="22"/>
              </w:rPr>
              <w:t>38</w:t>
            </w:r>
          </w:p>
        </w:tc>
        <w:tc>
          <w:tcPr>
            <w:tcW w:w="733" w:type="dxa"/>
            <w:tcBorders>
              <w:top w:val="nil"/>
              <w:left w:val="nil"/>
              <w:bottom w:val="single" w:sz="4" w:space="0" w:color="auto"/>
              <w:right w:val="single" w:sz="4" w:space="0" w:color="auto"/>
            </w:tcBorders>
            <w:shd w:val="clear" w:color="auto" w:fill="auto"/>
            <w:noWrap/>
            <w:vAlign w:val="center"/>
          </w:tcPr>
          <w:p w14:paraId="21B37EC7" w14:textId="67CB857C" w:rsidR="00B8233A" w:rsidRPr="001B4CA2" w:rsidRDefault="00B8233A" w:rsidP="00B8233A">
            <w:pPr>
              <w:jc w:val="center"/>
              <w:rPr>
                <w:sz w:val="18"/>
                <w:szCs w:val="18"/>
              </w:rPr>
            </w:pPr>
            <w:r w:rsidRPr="001B4CA2">
              <w:rPr>
                <w:rFonts w:ascii="Calibri" w:hAnsi="Calibri" w:cs="Calibri"/>
                <w:color w:val="000000"/>
                <w:sz w:val="22"/>
              </w:rPr>
              <w:t>2</w:t>
            </w:r>
          </w:p>
        </w:tc>
        <w:tc>
          <w:tcPr>
            <w:tcW w:w="860" w:type="dxa"/>
            <w:tcBorders>
              <w:top w:val="nil"/>
              <w:left w:val="nil"/>
              <w:bottom w:val="single" w:sz="4" w:space="0" w:color="auto"/>
              <w:right w:val="single" w:sz="4" w:space="0" w:color="auto"/>
            </w:tcBorders>
            <w:shd w:val="clear" w:color="auto" w:fill="auto"/>
            <w:noWrap/>
            <w:vAlign w:val="center"/>
          </w:tcPr>
          <w:p w14:paraId="7E136132" w14:textId="209B9792" w:rsidR="00B8233A" w:rsidRPr="001B4CA2" w:rsidRDefault="00B8233A" w:rsidP="00B8233A">
            <w:pPr>
              <w:jc w:val="center"/>
              <w:rPr>
                <w:sz w:val="18"/>
                <w:szCs w:val="18"/>
              </w:rPr>
            </w:pPr>
            <w:r w:rsidRPr="001B4CA2">
              <w:rPr>
                <w:rFonts w:ascii="Calibri" w:hAnsi="Calibri" w:cs="Calibri"/>
                <w:color w:val="000000"/>
                <w:sz w:val="22"/>
              </w:rPr>
              <w:t>130</w:t>
            </w:r>
          </w:p>
        </w:tc>
        <w:tc>
          <w:tcPr>
            <w:tcW w:w="718" w:type="dxa"/>
            <w:tcBorders>
              <w:top w:val="nil"/>
              <w:left w:val="nil"/>
              <w:bottom w:val="single" w:sz="4" w:space="0" w:color="auto"/>
              <w:right w:val="single" w:sz="4" w:space="0" w:color="auto"/>
            </w:tcBorders>
            <w:shd w:val="clear" w:color="auto" w:fill="auto"/>
            <w:noWrap/>
            <w:vAlign w:val="center"/>
          </w:tcPr>
          <w:p w14:paraId="4884B140" w14:textId="3D5229D6" w:rsidR="00B8233A" w:rsidRPr="001B4CA2" w:rsidRDefault="00B8233A" w:rsidP="00B8233A">
            <w:pPr>
              <w:jc w:val="center"/>
              <w:rPr>
                <w:sz w:val="18"/>
                <w:szCs w:val="18"/>
              </w:rPr>
            </w:pPr>
            <w:r w:rsidRPr="001B4CA2">
              <w:rPr>
                <w:rFonts w:ascii="Calibri" w:hAnsi="Calibri" w:cs="Calibri"/>
                <w:color w:val="000000"/>
                <w:sz w:val="22"/>
              </w:rPr>
              <w:t>3</w:t>
            </w:r>
          </w:p>
        </w:tc>
        <w:tc>
          <w:tcPr>
            <w:tcW w:w="861" w:type="dxa"/>
            <w:tcBorders>
              <w:top w:val="nil"/>
              <w:left w:val="nil"/>
              <w:bottom w:val="single" w:sz="4" w:space="0" w:color="auto"/>
              <w:right w:val="single" w:sz="4" w:space="0" w:color="auto"/>
            </w:tcBorders>
            <w:shd w:val="clear" w:color="auto" w:fill="auto"/>
            <w:noWrap/>
            <w:vAlign w:val="center"/>
          </w:tcPr>
          <w:p w14:paraId="2590C848" w14:textId="32248A5D"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3E603870" w14:textId="3EDCE57B" w:rsidR="00B8233A" w:rsidRPr="001B4CA2" w:rsidRDefault="00B8233A" w:rsidP="00B8233A">
            <w:pPr>
              <w:jc w:val="center"/>
              <w:rPr>
                <w:sz w:val="18"/>
                <w:szCs w:val="18"/>
              </w:rPr>
            </w:pPr>
          </w:p>
        </w:tc>
        <w:tc>
          <w:tcPr>
            <w:tcW w:w="716" w:type="dxa"/>
            <w:tcBorders>
              <w:top w:val="nil"/>
              <w:left w:val="nil"/>
              <w:bottom w:val="single" w:sz="4" w:space="0" w:color="auto"/>
              <w:right w:val="single" w:sz="4" w:space="0" w:color="auto"/>
            </w:tcBorders>
            <w:shd w:val="clear" w:color="auto" w:fill="auto"/>
            <w:noWrap/>
            <w:vAlign w:val="center"/>
          </w:tcPr>
          <w:p w14:paraId="0C620911" w14:textId="3B5C7567" w:rsidR="00B8233A" w:rsidRPr="001B4CA2" w:rsidRDefault="00B8233A" w:rsidP="00B8233A">
            <w:pPr>
              <w:jc w:val="center"/>
              <w:rPr>
                <w:sz w:val="18"/>
                <w:szCs w:val="18"/>
              </w:rPr>
            </w:pPr>
          </w:p>
        </w:tc>
        <w:tc>
          <w:tcPr>
            <w:tcW w:w="661" w:type="dxa"/>
            <w:tcBorders>
              <w:top w:val="nil"/>
              <w:left w:val="nil"/>
              <w:bottom w:val="single" w:sz="4" w:space="0" w:color="auto"/>
              <w:right w:val="single" w:sz="4" w:space="0" w:color="auto"/>
            </w:tcBorders>
            <w:shd w:val="clear" w:color="auto" w:fill="auto"/>
            <w:noWrap/>
            <w:vAlign w:val="center"/>
          </w:tcPr>
          <w:p w14:paraId="280285A1" w14:textId="3169C8F7" w:rsidR="00B8233A" w:rsidRPr="001B4CA2" w:rsidRDefault="00B8233A" w:rsidP="00B8233A">
            <w:pPr>
              <w:jc w:val="center"/>
              <w:rPr>
                <w:sz w:val="18"/>
                <w:szCs w:val="18"/>
              </w:rPr>
            </w:pPr>
          </w:p>
        </w:tc>
        <w:tc>
          <w:tcPr>
            <w:tcW w:w="773" w:type="dxa"/>
            <w:tcBorders>
              <w:top w:val="nil"/>
              <w:left w:val="nil"/>
              <w:bottom w:val="single" w:sz="4" w:space="0" w:color="auto"/>
              <w:right w:val="single" w:sz="4" w:space="0" w:color="auto"/>
            </w:tcBorders>
            <w:shd w:val="clear" w:color="auto" w:fill="auto"/>
            <w:noWrap/>
            <w:vAlign w:val="center"/>
          </w:tcPr>
          <w:p w14:paraId="03CD2AAA" w14:textId="25E76381" w:rsidR="00B8233A" w:rsidRPr="001B4CA2" w:rsidRDefault="00B8233A" w:rsidP="00B8233A">
            <w:pPr>
              <w:jc w:val="center"/>
              <w:rPr>
                <w:bCs/>
                <w:sz w:val="18"/>
                <w:szCs w:val="18"/>
              </w:rPr>
            </w:pPr>
            <w:r w:rsidRPr="001B4CA2">
              <w:rPr>
                <w:rFonts w:ascii="Calibri" w:hAnsi="Calibri" w:cs="Calibri"/>
                <w:bCs/>
                <w:color w:val="000000"/>
                <w:sz w:val="22"/>
              </w:rPr>
              <w:t>168</w:t>
            </w:r>
          </w:p>
        </w:tc>
        <w:tc>
          <w:tcPr>
            <w:tcW w:w="863" w:type="dxa"/>
            <w:tcBorders>
              <w:top w:val="nil"/>
              <w:left w:val="nil"/>
              <w:bottom w:val="single" w:sz="4" w:space="0" w:color="auto"/>
              <w:right w:val="single" w:sz="4" w:space="0" w:color="auto"/>
            </w:tcBorders>
            <w:shd w:val="clear" w:color="auto" w:fill="auto"/>
            <w:vAlign w:val="center"/>
          </w:tcPr>
          <w:p w14:paraId="70EA5F92" w14:textId="230CF521" w:rsidR="00B8233A" w:rsidRPr="001B4CA2" w:rsidRDefault="00B8233A" w:rsidP="00B8233A">
            <w:pPr>
              <w:jc w:val="center"/>
              <w:rPr>
                <w:bCs/>
                <w:sz w:val="18"/>
                <w:szCs w:val="18"/>
              </w:rPr>
            </w:pPr>
            <w:r w:rsidRPr="001B4CA2">
              <w:rPr>
                <w:rFonts w:ascii="Calibri" w:hAnsi="Calibri" w:cs="Calibri"/>
                <w:bCs/>
                <w:color w:val="000000"/>
                <w:sz w:val="22"/>
              </w:rPr>
              <w:t>12</w:t>
            </w:r>
          </w:p>
        </w:tc>
        <w:tc>
          <w:tcPr>
            <w:tcW w:w="921" w:type="dxa"/>
            <w:tcBorders>
              <w:top w:val="nil"/>
              <w:left w:val="nil"/>
              <w:bottom w:val="single" w:sz="4" w:space="0" w:color="auto"/>
              <w:right w:val="single" w:sz="4" w:space="0" w:color="auto"/>
            </w:tcBorders>
            <w:vAlign w:val="center"/>
          </w:tcPr>
          <w:p w14:paraId="6A615D7F" w14:textId="00004E9B" w:rsidR="00B8233A" w:rsidRPr="001B4CA2" w:rsidRDefault="00B8233A" w:rsidP="00B8233A">
            <w:pPr>
              <w:jc w:val="center"/>
              <w:rPr>
                <w:bCs/>
                <w:sz w:val="18"/>
                <w:szCs w:val="18"/>
              </w:rPr>
            </w:pPr>
            <w:r w:rsidRPr="001B4CA2">
              <w:rPr>
                <w:rFonts w:ascii="Calibri" w:hAnsi="Calibri" w:cs="Calibri"/>
                <w:b/>
                <w:bCs/>
                <w:color w:val="000000"/>
                <w:sz w:val="22"/>
              </w:rPr>
              <w:t>180</w:t>
            </w:r>
          </w:p>
        </w:tc>
      </w:tr>
      <w:tr w:rsidR="00B8233A" w:rsidRPr="001B4CA2" w14:paraId="678891C9"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1AD43" w14:textId="24C74D53"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financija</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4CF0D874" w14:textId="0AA4CFBA" w:rsidR="00B8233A" w:rsidRPr="001B4CA2" w:rsidRDefault="00B8233A" w:rsidP="00B8233A">
            <w:pPr>
              <w:jc w:val="center"/>
              <w:rPr>
                <w:sz w:val="18"/>
                <w:szCs w:val="18"/>
              </w:rPr>
            </w:pPr>
            <w:r w:rsidRPr="001B4CA2">
              <w:rPr>
                <w:rFonts w:ascii="Calibri" w:hAnsi="Calibri" w:cs="Calibri"/>
                <w:color w:val="000000"/>
                <w:sz w:val="22"/>
              </w:rPr>
              <w:t>2</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4EACB062" w14:textId="777E700A" w:rsidR="00B8233A" w:rsidRPr="001B4CA2" w:rsidRDefault="00B8233A" w:rsidP="00B8233A">
            <w:pPr>
              <w:jc w:val="center"/>
              <w:rPr>
                <w:sz w:val="18"/>
                <w:szCs w:val="18"/>
              </w:rPr>
            </w:pPr>
            <w:r w:rsidRPr="001B4CA2">
              <w:rPr>
                <w:rFonts w:ascii="Calibri" w:hAnsi="Calibri" w:cs="Calibri"/>
                <w:color w:val="000000"/>
                <w:sz w:val="22"/>
              </w:rPr>
              <w:t>25</w:t>
            </w:r>
          </w:p>
        </w:tc>
        <w:tc>
          <w:tcPr>
            <w:tcW w:w="788" w:type="dxa"/>
            <w:tcBorders>
              <w:top w:val="single" w:sz="4" w:space="0" w:color="auto"/>
              <w:left w:val="nil"/>
              <w:bottom w:val="single" w:sz="4" w:space="0" w:color="auto"/>
              <w:right w:val="single" w:sz="4" w:space="0" w:color="auto"/>
            </w:tcBorders>
            <w:shd w:val="clear" w:color="auto" w:fill="auto"/>
            <w:noWrap/>
            <w:vAlign w:val="center"/>
          </w:tcPr>
          <w:p w14:paraId="51F77C10" w14:textId="4D58A37E" w:rsidR="00B8233A" w:rsidRPr="001B4CA2" w:rsidRDefault="00B8233A" w:rsidP="00B8233A">
            <w:pPr>
              <w:jc w:val="center"/>
              <w:rPr>
                <w:sz w:val="18"/>
                <w:szCs w:val="18"/>
              </w:rPr>
            </w:pPr>
            <w:r w:rsidRPr="001B4CA2">
              <w:rPr>
                <w:rFonts w:ascii="Calibri" w:hAnsi="Calibri" w:cs="Calibri"/>
                <w:color w:val="000000"/>
                <w:sz w:val="22"/>
              </w:rPr>
              <w:t>23</w:t>
            </w:r>
          </w:p>
        </w:tc>
        <w:tc>
          <w:tcPr>
            <w:tcW w:w="733" w:type="dxa"/>
            <w:tcBorders>
              <w:top w:val="single" w:sz="4" w:space="0" w:color="auto"/>
              <w:left w:val="nil"/>
              <w:bottom w:val="single" w:sz="4" w:space="0" w:color="auto"/>
              <w:right w:val="single" w:sz="4" w:space="0" w:color="auto"/>
            </w:tcBorders>
            <w:shd w:val="clear" w:color="auto" w:fill="auto"/>
            <w:noWrap/>
            <w:vAlign w:val="center"/>
          </w:tcPr>
          <w:p w14:paraId="1E5F5133" w14:textId="7689BE1B" w:rsidR="00B8233A" w:rsidRPr="001B4CA2" w:rsidRDefault="00B8233A" w:rsidP="00B8233A">
            <w:pPr>
              <w:jc w:val="center"/>
              <w:rPr>
                <w:sz w:val="18"/>
                <w:szCs w:val="18"/>
              </w:rPr>
            </w:pPr>
            <w:r w:rsidRPr="001B4CA2">
              <w:rPr>
                <w:rFonts w:ascii="Calibri" w:hAnsi="Calibri" w:cs="Calibri"/>
                <w:color w:val="000000"/>
                <w:sz w:val="22"/>
              </w:rPr>
              <w:t>34</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49BACDC5" w14:textId="7B144A0C" w:rsidR="00B8233A" w:rsidRPr="001B4CA2" w:rsidRDefault="00B8233A" w:rsidP="00B8233A">
            <w:pPr>
              <w:jc w:val="center"/>
              <w:rPr>
                <w:sz w:val="18"/>
                <w:szCs w:val="18"/>
              </w:rPr>
            </w:pPr>
            <w:r w:rsidRPr="001B4CA2">
              <w:rPr>
                <w:rFonts w:ascii="Calibri" w:hAnsi="Calibri" w:cs="Calibri"/>
                <w:color w:val="000000"/>
                <w:sz w:val="22"/>
              </w:rPr>
              <w:t>127</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1E74D9E8" w14:textId="735DD306" w:rsidR="00B8233A" w:rsidRPr="001B4CA2" w:rsidRDefault="00B8233A" w:rsidP="00B8233A">
            <w:pPr>
              <w:jc w:val="center"/>
              <w:rPr>
                <w:sz w:val="18"/>
                <w:szCs w:val="18"/>
              </w:rPr>
            </w:pPr>
            <w:r w:rsidRPr="001B4CA2">
              <w:rPr>
                <w:rFonts w:ascii="Calibri" w:hAnsi="Calibri" w:cs="Calibri"/>
                <w:color w:val="000000"/>
                <w:sz w:val="22"/>
              </w:rPr>
              <w:t>15</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03D85CDF" w14:textId="77777777" w:rsidR="00B8233A" w:rsidRPr="001B4CA2" w:rsidRDefault="00B8233A" w:rsidP="00B8233A">
            <w:pPr>
              <w:jc w:val="center"/>
              <w:rPr>
                <w:sz w:val="18"/>
                <w:szCs w:val="18"/>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1E6F8459" w14:textId="4F012519" w:rsidR="00B8233A" w:rsidRPr="001B4CA2" w:rsidRDefault="00B8233A" w:rsidP="00B8233A">
            <w:pPr>
              <w:jc w:val="center"/>
              <w:rPr>
                <w:sz w:val="18"/>
                <w:szCs w:val="18"/>
              </w:rPr>
            </w:pPr>
            <w:r w:rsidRPr="001B4CA2">
              <w:rPr>
                <w:rFonts w:ascii="Calibri" w:hAnsi="Calibri" w:cs="Calibri"/>
                <w:color w:val="000000"/>
                <w:sz w:val="22"/>
              </w:rPr>
              <w:t>23</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3734F9B0" w14:textId="79F91010" w:rsidR="00B8233A" w:rsidRPr="001B4CA2" w:rsidRDefault="00B8233A" w:rsidP="00B8233A">
            <w:pPr>
              <w:jc w:val="center"/>
              <w:rPr>
                <w:sz w:val="18"/>
                <w:szCs w:val="18"/>
              </w:rPr>
            </w:pPr>
          </w:p>
        </w:tc>
        <w:tc>
          <w:tcPr>
            <w:tcW w:w="661" w:type="dxa"/>
            <w:tcBorders>
              <w:top w:val="single" w:sz="4" w:space="0" w:color="auto"/>
              <w:left w:val="nil"/>
              <w:bottom w:val="single" w:sz="4" w:space="0" w:color="auto"/>
              <w:right w:val="single" w:sz="4" w:space="0" w:color="auto"/>
            </w:tcBorders>
            <w:shd w:val="clear" w:color="auto" w:fill="auto"/>
            <w:noWrap/>
            <w:vAlign w:val="center"/>
          </w:tcPr>
          <w:p w14:paraId="065BA6FD" w14:textId="4C527E34" w:rsidR="00B8233A" w:rsidRPr="001B4CA2" w:rsidRDefault="00B8233A" w:rsidP="00B8233A">
            <w:pPr>
              <w:jc w:val="center"/>
              <w:rPr>
                <w:sz w:val="18"/>
                <w:szCs w:val="18"/>
              </w:rPr>
            </w:pPr>
            <w:r w:rsidRPr="001B4CA2">
              <w:rPr>
                <w:rFonts w:ascii="Calibri" w:hAnsi="Calibri" w:cs="Calibri"/>
                <w:color w:val="000000"/>
                <w:sz w:val="22"/>
              </w:rPr>
              <w:t>13</w:t>
            </w:r>
          </w:p>
        </w:tc>
        <w:tc>
          <w:tcPr>
            <w:tcW w:w="773" w:type="dxa"/>
            <w:tcBorders>
              <w:top w:val="single" w:sz="4" w:space="0" w:color="auto"/>
              <w:left w:val="nil"/>
              <w:bottom w:val="single" w:sz="4" w:space="0" w:color="auto"/>
              <w:right w:val="single" w:sz="4" w:space="0" w:color="auto"/>
            </w:tcBorders>
            <w:shd w:val="clear" w:color="auto" w:fill="auto"/>
            <w:noWrap/>
            <w:vAlign w:val="center"/>
          </w:tcPr>
          <w:p w14:paraId="0521E76B" w14:textId="2E8A71EC" w:rsidR="00B8233A" w:rsidRPr="001B4CA2" w:rsidRDefault="00B8233A" w:rsidP="00B8233A">
            <w:pPr>
              <w:jc w:val="center"/>
              <w:rPr>
                <w:bCs/>
                <w:sz w:val="18"/>
                <w:szCs w:val="18"/>
              </w:rPr>
            </w:pPr>
            <w:r w:rsidRPr="001B4CA2">
              <w:rPr>
                <w:rFonts w:ascii="Calibri" w:hAnsi="Calibri" w:cs="Calibri"/>
                <w:bCs/>
                <w:color w:val="000000"/>
                <w:sz w:val="22"/>
              </w:rPr>
              <w:t>152</w:t>
            </w:r>
          </w:p>
        </w:tc>
        <w:tc>
          <w:tcPr>
            <w:tcW w:w="863" w:type="dxa"/>
            <w:tcBorders>
              <w:top w:val="single" w:sz="4" w:space="0" w:color="auto"/>
              <w:left w:val="nil"/>
              <w:bottom w:val="single" w:sz="4" w:space="0" w:color="auto"/>
              <w:right w:val="single" w:sz="4" w:space="0" w:color="auto"/>
            </w:tcBorders>
            <w:shd w:val="clear" w:color="auto" w:fill="auto"/>
            <w:vAlign w:val="center"/>
          </w:tcPr>
          <w:p w14:paraId="00B7AD7F" w14:textId="745743C1" w:rsidR="00B8233A" w:rsidRPr="001B4CA2" w:rsidRDefault="00B8233A" w:rsidP="00B8233A">
            <w:pPr>
              <w:jc w:val="center"/>
              <w:rPr>
                <w:bCs/>
                <w:sz w:val="18"/>
                <w:szCs w:val="18"/>
              </w:rPr>
            </w:pPr>
            <w:r w:rsidRPr="001B4CA2">
              <w:rPr>
                <w:rFonts w:ascii="Calibri" w:hAnsi="Calibri" w:cs="Calibri"/>
                <w:bCs/>
                <w:color w:val="000000"/>
                <w:sz w:val="22"/>
              </w:rPr>
              <w:t>110</w:t>
            </w:r>
          </w:p>
        </w:tc>
        <w:tc>
          <w:tcPr>
            <w:tcW w:w="921" w:type="dxa"/>
            <w:tcBorders>
              <w:top w:val="single" w:sz="4" w:space="0" w:color="auto"/>
              <w:left w:val="nil"/>
              <w:bottom w:val="single" w:sz="4" w:space="0" w:color="auto"/>
              <w:right w:val="single" w:sz="4" w:space="0" w:color="auto"/>
            </w:tcBorders>
            <w:vAlign w:val="center"/>
          </w:tcPr>
          <w:p w14:paraId="21878867" w14:textId="35E92256" w:rsidR="00B8233A" w:rsidRPr="001B4CA2" w:rsidRDefault="00B8233A" w:rsidP="00B8233A">
            <w:pPr>
              <w:jc w:val="center"/>
              <w:rPr>
                <w:bCs/>
                <w:sz w:val="18"/>
                <w:szCs w:val="18"/>
              </w:rPr>
            </w:pPr>
            <w:r w:rsidRPr="001B4CA2">
              <w:rPr>
                <w:rFonts w:ascii="Calibri" w:hAnsi="Calibri" w:cs="Calibri"/>
                <w:b/>
                <w:bCs/>
                <w:color w:val="000000"/>
                <w:sz w:val="22"/>
              </w:rPr>
              <w:t>262</w:t>
            </w:r>
          </w:p>
        </w:tc>
      </w:tr>
      <w:tr w:rsidR="00B8233A" w:rsidRPr="001B4CA2" w14:paraId="5C350635"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DC477" w14:textId="2AA4066C"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gospodarstva i održivog razvoja</w:t>
            </w:r>
          </w:p>
        </w:tc>
        <w:tc>
          <w:tcPr>
            <w:tcW w:w="730" w:type="dxa"/>
            <w:tcBorders>
              <w:top w:val="nil"/>
              <w:left w:val="nil"/>
              <w:bottom w:val="single" w:sz="4" w:space="0" w:color="auto"/>
              <w:right w:val="single" w:sz="4" w:space="0" w:color="auto"/>
            </w:tcBorders>
            <w:shd w:val="clear" w:color="auto" w:fill="auto"/>
            <w:noWrap/>
            <w:vAlign w:val="center"/>
          </w:tcPr>
          <w:p w14:paraId="2B76F5CE" w14:textId="42178474" w:rsidR="00B8233A" w:rsidRPr="001B4CA2" w:rsidRDefault="00B8233A" w:rsidP="00B8233A">
            <w:pPr>
              <w:jc w:val="center"/>
              <w:rPr>
                <w:sz w:val="18"/>
                <w:szCs w:val="18"/>
              </w:rPr>
            </w:pPr>
            <w:r w:rsidRPr="001B4CA2">
              <w:rPr>
                <w:rFonts w:ascii="Calibri" w:hAnsi="Calibri" w:cs="Calibri"/>
                <w:color w:val="000000"/>
                <w:sz w:val="22"/>
              </w:rPr>
              <w:t>2</w:t>
            </w:r>
          </w:p>
        </w:tc>
        <w:tc>
          <w:tcPr>
            <w:tcW w:w="734" w:type="dxa"/>
            <w:tcBorders>
              <w:top w:val="nil"/>
              <w:left w:val="nil"/>
              <w:bottom w:val="single" w:sz="4" w:space="0" w:color="auto"/>
              <w:right w:val="single" w:sz="4" w:space="0" w:color="auto"/>
            </w:tcBorders>
            <w:shd w:val="clear" w:color="auto" w:fill="auto"/>
            <w:noWrap/>
            <w:vAlign w:val="center"/>
          </w:tcPr>
          <w:p w14:paraId="0DC09AF5" w14:textId="30617045" w:rsidR="00B8233A" w:rsidRPr="001B4CA2" w:rsidRDefault="00B8233A" w:rsidP="00B8233A">
            <w:pPr>
              <w:jc w:val="center"/>
              <w:rPr>
                <w:sz w:val="18"/>
                <w:szCs w:val="18"/>
              </w:rPr>
            </w:pPr>
            <w:r w:rsidRPr="001B4CA2">
              <w:rPr>
                <w:rFonts w:ascii="Calibri" w:hAnsi="Calibri" w:cs="Calibri"/>
                <w:color w:val="000000"/>
                <w:sz w:val="22"/>
              </w:rPr>
              <w:t>6</w:t>
            </w:r>
          </w:p>
        </w:tc>
        <w:tc>
          <w:tcPr>
            <w:tcW w:w="788" w:type="dxa"/>
            <w:tcBorders>
              <w:top w:val="nil"/>
              <w:left w:val="nil"/>
              <w:bottom w:val="single" w:sz="4" w:space="0" w:color="auto"/>
              <w:right w:val="single" w:sz="4" w:space="0" w:color="auto"/>
            </w:tcBorders>
            <w:shd w:val="clear" w:color="auto" w:fill="auto"/>
            <w:noWrap/>
            <w:vAlign w:val="center"/>
          </w:tcPr>
          <w:p w14:paraId="3105688B" w14:textId="5C5ADF14" w:rsidR="00B8233A" w:rsidRPr="001B4CA2" w:rsidRDefault="00B8233A" w:rsidP="00B8233A">
            <w:pPr>
              <w:jc w:val="center"/>
              <w:rPr>
                <w:sz w:val="18"/>
                <w:szCs w:val="18"/>
              </w:rPr>
            </w:pPr>
            <w:r w:rsidRPr="001B4CA2">
              <w:rPr>
                <w:rFonts w:ascii="Calibri" w:hAnsi="Calibri" w:cs="Calibri"/>
                <w:color w:val="000000"/>
                <w:sz w:val="22"/>
              </w:rPr>
              <w:t>12</w:t>
            </w:r>
          </w:p>
        </w:tc>
        <w:tc>
          <w:tcPr>
            <w:tcW w:w="733" w:type="dxa"/>
            <w:tcBorders>
              <w:top w:val="nil"/>
              <w:left w:val="nil"/>
              <w:bottom w:val="single" w:sz="4" w:space="0" w:color="auto"/>
              <w:right w:val="single" w:sz="4" w:space="0" w:color="auto"/>
            </w:tcBorders>
            <w:shd w:val="clear" w:color="auto" w:fill="auto"/>
            <w:noWrap/>
            <w:vAlign w:val="center"/>
          </w:tcPr>
          <w:p w14:paraId="37887789" w14:textId="45DF3FA7" w:rsidR="00B8233A" w:rsidRPr="001B4CA2" w:rsidRDefault="00B8233A" w:rsidP="00B8233A">
            <w:pPr>
              <w:jc w:val="center"/>
              <w:rPr>
                <w:sz w:val="18"/>
                <w:szCs w:val="18"/>
              </w:rPr>
            </w:pPr>
            <w:r w:rsidRPr="001B4CA2">
              <w:rPr>
                <w:rFonts w:ascii="Calibri" w:hAnsi="Calibri" w:cs="Calibri"/>
                <w:color w:val="000000"/>
                <w:sz w:val="22"/>
              </w:rPr>
              <w:t>2</w:t>
            </w:r>
          </w:p>
        </w:tc>
        <w:tc>
          <w:tcPr>
            <w:tcW w:w="860" w:type="dxa"/>
            <w:tcBorders>
              <w:top w:val="nil"/>
              <w:left w:val="nil"/>
              <w:bottom w:val="single" w:sz="4" w:space="0" w:color="auto"/>
              <w:right w:val="single" w:sz="4" w:space="0" w:color="auto"/>
            </w:tcBorders>
            <w:shd w:val="clear" w:color="auto" w:fill="auto"/>
            <w:noWrap/>
            <w:vAlign w:val="center"/>
          </w:tcPr>
          <w:p w14:paraId="095E90D9" w14:textId="44EB6F8A" w:rsidR="00B8233A" w:rsidRPr="001B4CA2" w:rsidRDefault="00B8233A" w:rsidP="00B8233A">
            <w:pPr>
              <w:jc w:val="center"/>
              <w:rPr>
                <w:sz w:val="18"/>
                <w:szCs w:val="18"/>
              </w:rPr>
            </w:pPr>
            <w:r w:rsidRPr="001B4CA2">
              <w:rPr>
                <w:rFonts w:ascii="Calibri" w:hAnsi="Calibri" w:cs="Calibri"/>
                <w:color w:val="000000"/>
                <w:sz w:val="22"/>
              </w:rPr>
              <w:t>5</w:t>
            </w:r>
          </w:p>
        </w:tc>
        <w:tc>
          <w:tcPr>
            <w:tcW w:w="718" w:type="dxa"/>
            <w:tcBorders>
              <w:top w:val="nil"/>
              <w:left w:val="nil"/>
              <w:bottom w:val="single" w:sz="4" w:space="0" w:color="auto"/>
              <w:right w:val="single" w:sz="4" w:space="0" w:color="auto"/>
            </w:tcBorders>
            <w:shd w:val="clear" w:color="auto" w:fill="auto"/>
            <w:noWrap/>
            <w:vAlign w:val="center"/>
          </w:tcPr>
          <w:p w14:paraId="0BE792A7" w14:textId="2D3D6AE4" w:rsidR="00B8233A" w:rsidRPr="001B4CA2" w:rsidRDefault="00B8233A" w:rsidP="00B8233A">
            <w:pPr>
              <w:jc w:val="center"/>
              <w:rPr>
                <w:sz w:val="18"/>
                <w:szCs w:val="18"/>
              </w:rPr>
            </w:pPr>
            <w:r w:rsidRPr="001B4CA2">
              <w:rPr>
                <w:rFonts w:ascii="Calibri" w:hAnsi="Calibri" w:cs="Calibri"/>
                <w:color w:val="000000"/>
                <w:sz w:val="22"/>
              </w:rPr>
              <w:t>7</w:t>
            </w:r>
          </w:p>
        </w:tc>
        <w:tc>
          <w:tcPr>
            <w:tcW w:w="861" w:type="dxa"/>
            <w:tcBorders>
              <w:top w:val="nil"/>
              <w:left w:val="nil"/>
              <w:bottom w:val="single" w:sz="4" w:space="0" w:color="auto"/>
              <w:right w:val="single" w:sz="4" w:space="0" w:color="auto"/>
            </w:tcBorders>
            <w:shd w:val="clear" w:color="auto" w:fill="auto"/>
            <w:noWrap/>
            <w:vAlign w:val="center"/>
          </w:tcPr>
          <w:p w14:paraId="4DF1BE86" w14:textId="77777777"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4E26FAD0" w14:textId="5AA858A0" w:rsidR="00B8233A" w:rsidRPr="001B4CA2" w:rsidRDefault="00B8233A" w:rsidP="00B8233A">
            <w:pPr>
              <w:jc w:val="center"/>
              <w:rPr>
                <w:sz w:val="18"/>
                <w:szCs w:val="18"/>
              </w:rPr>
            </w:pPr>
            <w:r w:rsidRPr="001B4CA2">
              <w:rPr>
                <w:rFonts w:ascii="Calibri" w:hAnsi="Calibri" w:cs="Calibri"/>
                <w:color w:val="000000"/>
                <w:sz w:val="22"/>
              </w:rPr>
              <w:t>1</w:t>
            </w:r>
          </w:p>
        </w:tc>
        <w:tc>
          <w:tcPr>
            <w:tcW w:w="716" w:type="dxa"/>
            <w:tcBorders>
              <w:top w:val="nil"/>
              <w:left w:val="nil"/>
              <w:bottom w:val="single" w:sz="4" w:space="0" w:color="auto"/>
              <w:right w:val="single" w:sz="4" w:space="0" w:color="auto"/>
            </w:tcBorders>
            <w:shd w:val="clear" w:color="auto" w:fill="auto"/>
            <w:noWrap/>
            <w:vAlign w:val="center"/>
          </w:tcPr>
          <w:p w14:paraId="4870D920" w14:textId="7AFFD26C" w:rsidR="00B8233A" w:rsidRPr="001B4CA2" w:rsidRDefault="00B8233A" w:rsidP="00B8233A">
            <w:pPr>
              <w:jc w:val="center"/>
              <w:rPr>
                <w:sz w:val="18"/>
                <w:szCs w:val="18"/>
              </w:rPr>
            </w:pPr>
          </w:p>
        </w:tc>
        <w:tc>
          <w:tcPr>
            <w:tcW w:w="661" w:type="dxa"/>
            <w:tcBorders>
              <w:top w:val="nil"/>
              <w:left w:val="nil"/>
              <w:bottom w:val="single" w:sz="4" w:space="0" w:color="auto"/>
              <w:right w:val="single" w:sz="4" w:space="0" w:color="auto"/>
            </w:tcBorders>
            <w:shd w:val="clear" w:color="auto" w:fill="auto"/>
            <w:noWrap/>
            <w:vAlign w:val="center"/>
          </w:tcPr>
          <w:p w14:paraId="2C46791E" w14:textId="075CE2D2" w:rsidR="00B8233A" w:rsidRPr="001B4CA2" w:rsidRDefault="00B8233A" w:rsidP="00B8233A">
            <w:pPr>
              <w:jc w:val="center"/>
              <w:rPr>
                <w:sz w:val="18"/>
                <w:szCs w:val="18"/>
              </w:rPr>
            </w:pPr>
          </w:p>
        </w:tc>
        <w:tc>
          <w:tcPr>
            <w:tcW w:w="773" w:type="dxa"/>
            <w:tcBorders>
              <w:top w:val="nil"/>
              <w:left w:val="nil"/>
              <w:bottom w:val="single" w:sz="4" w:space="0" w:color="auto"/>
              <w:right w:val="single" w:sz="4" w:space="0" w:color="auto"/>
            </w:tcBorders>
            <w:shd w:val="clear" w:color="auto" w:fill="auto"/>
            <w:noWrap/>
            <w:vAlign w:val="center"/>
          </w:tcPr>
          <w:p w14:paraId="26A13B3B" w14:textId="2E02A5DA" w:rsidR="00B8233A" w:rsidRPr="001B4CA2" w:rsidRDefault="00B8233A" w:rsidP="00B8233A">
            <w:pPr>
              <w:jc w:val="center"/>
              <w:rPr>
                <w:bCs/>
                <w:sz w:val="18"/>
                <w:szCs w:val="18"/>
              </w:rPr>
            </w:pPr>
            <w:r w:rsidRPr="001B4CA2">
              <w:rPr>
                <w:rFonts w:ascii="Calibri" w:hAnsi="Calibri" w:cs="Calibri"/>
                <w:bCs/>
                <w:color w:val="000000"/>
                <w:sz w:val="22"/>
              </w:rPr>
              <w:t>19</w:t>
            </w:r>
          </w:p>
        </w:tc>
        <w:tc>
          <w:tcPr>
            <w:tcW w:w="863" w:type="dxa"/>
            <w:tcBorders>
              <w:top w:val="nil"/>
              <w:left w:val="nil"/>
              <w:bottom w:val="single" w:sz="4" w:space="0" w:color="auto"/>
              <w:right w:val="single" w:sz="4" w:space="0" w:color="auto"/>
            </w:tcBorders>
            <w:shd w:val="clear" w:color="auto" w:fill="auto"/>
            <w:vAlign w:val="center"/>
          </w:tcPr>
          <w:p w14:paraId="126A1D47" w14:textId="754D810C" w:rsidR="00B8233A" w:rsidRPr="001B4CA2" w:rsidRDefault="00B8233A" w:rsidP="00B8233A">
            <w:pPr>
              <w:jc w:val="center"/>
              <w:rPr>
                <w:bCs/>
                <w:sz w:val="18"/>
                <w:szCs w:val="18"/>
              </w:rPr>
            </w:pPr>
            <w:r w:rsidRPr="001B4CA2">
              <w:rPr>
                <w:rFonts w:ascii="Calibri" w:hAnsi="Calibri" w:cs="Calibri"/>
                <w:bCs/>
                <w:color w:val="000000"/>
                <w:sz w:val="22"/>
              </w:rPr>
              <w:t>16</w:t>
            </w:r>
          </w:p>
        </w:tc>
        <w:tc>
          <w:tcPr>
            <w:tcW w:w="921" w:type="dxa"/>
            <w:tcBorders>
              <w:top w:val="nil"/>
              <w:left w:val="nil"/>
              <w:bottom w:val="single" w:sz="4" w:space="0" w:color="auto"/>
              <w:right w:val="single" w:sz="4" w:space="0" w:color="auto"/>
            </w:tcBorders>
            <w:vAlign w:val="center"/>
          </w:tcPr>
          <w:p w14:paraId="0BF1F447" w14:textId="129AF4F7" w:rsidR="00B8233A" w:rsidRPr="001B4CA2" w:rsidRDefault="00B8233A" w:rsidP="00B8233A">
            <w:pPr>
              <w:jc w:val="center"/>
              <w:rPr>
                <w:bCs/>
                <w:sz w:val="18"/>
                <w:szCs w:val="18"/>
              </w:rPr>
            </w:pPr>
            <w:r w:rsidRPr="001B4CA2">
              <w:rPr>
                <w:rFonts w:ascii="Calibri" w:hAnsi="Calibri" w:cs="Calibri"/>
                <w:b/>
                <w:bCs/>
                <w:color w:val="000000"/>
                <w:sz w:val="22"/>
              </w:rPr>
              <w:t>35</w:t>
            </w:r>
          </w:p>
        </w:tc>
      </w:tr>
      <w:tr w:rsidR="00B8233A" w:rsidRPr="001B4CA2" w14:paraId="348ACD33"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C04DA" w14:textId="4F5F9A23"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obrane</w:t>
            </w:r>
          </w:p>
        </w:tc>
        <w:tc>
          <w:tcPr>
            <w:tcW w:w="730" w:type="dxa"/>
            <w:tcBorders>
              <w:top w:val="nil"/>
              <w:left w:val="nil"/>
              <w:bottom w:val="single" w:sz="4" w:space="0" w:color="auto"/>
              <w:right w:val="single" w:sz="4" w:space="0" w:color="auto"/>
            </w:tcBorders>
            <w:shd w:val="clear" w:color="auto" w:fill="auto"/>
            <w:noWrap/>
            <w:vAlign w:val="center"/>
          </w:tcPr>
          <w:p w14:paraId="0E932B17" w14:textId="67B1E6C6" w:rsidR="00B8233A" w:rsidRPr="001B4CA2" w:rsidRDefault="00B8233A" w:rsidP="00B8233A">
            <w:pPr>
              <w:jc w:val="center"/>
              <w:rPr>
                <w:sz w:val="18"/>
                <w:szCs w:val="18"/>
              </w:rPr>
            </w:pPr>
            <w:r w:rsidRPr="001B4CA2">
              <w:rPr>
                <w:rFonts w:ascii="Calibri" w:hAnsi="Calibri" w:cs="Calibri"/>
                <w:color w:val="000000"/>
                <w:sz w:val="22"/>
              </w:rPr>
              <w:t>10</w:t>
            </w:r>
          </w:p>
        </w:tc>
        <w:tc>
          <w:tcPr>
            <w:tcW w:w="734" w:type="dxa"/>
            <w:tcBorders>
              <w:top w:val="nil"/>
              <w:left w:val="nil"/>
              <w:bottom w:val="single" w:sz="4" w:space="0" w:color="auto"/>
              <w:right w:val="single" w:sz="4" w:space="0" w:color="auto"/>
            </w:tcBorders>
            <w:shd w:val="clear" w:color="auto" w:fill="auto"/>
            <w:noWrap/>
            <w:vAlign w:val="center"/>
          </w:tcPr>
          <w:p w14:paraId="3EE8C9A1" w14:textId="295F89FE" w:rsidR="00B8233A" w:rsidRPr="001B4CA2" w:rsidRDefault="00B8233A" w:rsidP="00B8233A">
            <w:pPr>
              <w:jc w:val="center"/>
              <w:rPr>
                <w:sz w:val="18"/>
                <w:szCs w:val="18"/>
              </w:rPr>
            </w:pPr>
            <w:r w:rsidRPr="001B4CA2">
              <w:rPr>
                <w:rFonts w:ascii="Calibri" w:hAnsi="Calibri" w:cs="Calibri"/>
                <w:color w:val="000000"/>
                <w:sz w:val="22"/>
              </w:rPr>
              <w:t>11</w:t>
            </w:r>
          </w:p>
        </w:tc>
        <w:tc>
          <w:tcPr>
            <w:tcW w:w="788" w:type="dxa"/>
            <w:tcBorders>
              <w:top w:val="nil"/>
              <w:left w:val="nil"/>
              <w:bottom w:val="single" w:sz="4" w:space="0" w:color="auto"/>
              <w:right w:val="single" w:sz="4" w:space="0" w:color="auto"/>
            </w:tcBorders>
            <w:shd w:val="clear" w:color="auto" w:fill="auto"/>
            <w:noWrap/>
            <w:vAlign w:val="center"/>
          </w:tcPr>
          <w:p w14:paraId="038BE8C7" w14:textId="4418185E" w:rsidR="00B8233A" w:rsidRPr="001B4CA2" w:rsidRDefault="00B8233A" w:rsidP="00B8233A">
            <w:pPr>
              <w:jc w:val="center"/>
              <w:rPr>
                <w:sz w:val="18"/>
                <w:szCs w:val="18"/>
              </w:rPr>
            </w:pPr>
            <w:r w:rsidRPr="001B4CA2">
              <w:rPr>
                <w:rFonts w:ascii="Calibri" w:hAnsi="Calibri" w:cs="Calibri"/>
                <w:color w:val="000000"/>
                <w:sz w:val="22"/>
              </w:rPr>
              <w:t>80</w:t>
            </w:r>
          </w:p>
        </w:tc>
        <w:tc>
          <w:tcPr>
            <w:tcW w:w="733" w:type="dxa"/>
            <w:tcBorders>
              <w:top w:val="nil"/>
              <w:left w:val="nil"/>
              <w:bottom w:val="single" w:sz="4" w:space="0" w:color="auto"/>
              <w:right w:val="single" w:sz="4" w:space="0" w:color="auto"/>
            </w:tcBorders>
            <w:shd w:val="clear" w:color="auto" w:fill="auto"/>
            <w:noWrap/>
            <w:vAlign w:val="center"/>
          </w:tcPr>
          <w:p w14:paraId="296DD21E" w14:textId="197D8497" w:rsidR="00B8233A" w:rsidRPr="001B4CA2" w:rsidRDefault="00B8233A" w:rsidP="00B8233A">
            <w:pPr>
              <w:jc w:val="center"/>
              <w:rPr>
                <w:sz w:val="18"/>
                <w:szCs w:val="18"/>
              </w:rPr>
            </w:pPr>
            <w:r w:rsidRPr="001B4CA2">
              <w:rPr>
                <w:rFonts w:ascii="Calibri" w:hAnsi="Calibri" w:cs="Calibri"/>
                <w:color w:val="000000"/>
                <w:sz w:val="22"/>
              </w:rPr>
              <w:t>12</w:t>
            </w:r>
          </w:p>
        </w:tc>
        <w:tc>
          <w:tcPr>
            <w:tcW w:w="860" w:type="dxa"/>
            <w:tcBorders>
              <w:top w:val="nil"/>
              <w:left w:val="nil"/>
              <w:bottom w:val="single" w:sz="4" w:space="0" w:color="auto"/>
              <w:right w:val="single" w:sz="4" w:space="0" w:color="auto"/>
            </w:tcBorders>
            <w:shd w:val="clear" w:color="auto" w:fill="auto"/>
            <w:noWrap/>
            <w:vAlign w:val="center"/>
          </w:tcPr>
          <w:p w14:paraId="752288BC" w14:textId="5EE93C3D" w:rsidR="00B8233A" w:rsidRPr="001B4CA2" w:rsidRDefault="00B8233A" w:rsidP="00B8233A">
            <w:pPr>
              <w:jc w:val="center"/>
              <w:rPr>
                <w:sz w:val="18"/>
                <w:szCs w:val="18"/>
              </w:rPr>
            </w:pPr>
            <w:r w:rsidRPr="001B4CA2">
              <w:rPr>
                <w:rFonts w:ascii="Calibri" w:hAnsi="Calibri" w:cs="Calibri"/>
                <w:color w:val="000000"/>
                <w:sz w:val="22"/>
              </w:rPr>
              <w:t>38</w:t>
            </w:r>
          </w:p>
        </w:tc>
        <w:tc>
          <w:tcPr>
            <w:tcW w:w="718" w:type="dxa"/>
            <w:tcBorders>
              <w:top w:val="nil"/>
              <w:left w:val="nil"/>
              <w:bottom w:val="single" w:sz="4" w:space="0" w:color="auto"/>
              <w:right w:val="single" w:sz="4" w:space="0" w:color="auto"/>
            </w:tcBorders>
            <w:shd w:val="clear" w:color="auto" w:fill="auto"/>
            <w:noWrap/>
            <w:vAlign w:val="center"/>
          </w:tcPr>
          <w:p w14:paraId="48E48B35" w14:textId="344C0415" w:rsidR="00B8233A" w:rsidRPr="001B4CA2" w:rsidRDefault="00B8233A" w:rsidP="00B8233A">
            <w:pPr>
              <w:jc w:val="center"/>
              <w:rPr>
                <w:sz w:val="18"/>
                <w:szCs w:val="18"/>
              </w:rPr>
            </w:pPr>
            <w:r w:rsidRPr="001B4CA2">
              <w:rPr>
                <w:rFonts w:ascii="Calibri" w:hAnsi="Calibri" w:cs="Calibri"/>
                <w:color w:val="000000"/>
                <w:sz w:val="22"/>
              </w:rPr>
              <w:t>50</w:t>
            </w:r>
          </w:p>
        </w:tc>
        <w:tc>
          <w:tcPr>
            <w:tcW w:w="861" w:type="dxa"/>
            <w:tcBorders>
              <w:top w:val="nil"/>
              <w:left w:val="nil"/>
              <w:bottom w:val="single" w:sz="4" w:space="0" w:color="auto"/>
              <w:right w:val="single" w:sz="4" w:space="0" w:color="auto"/>
            </w:tcBorders>
            <w:shd w:val="clear" w:color="auto" w:fill="auto"/>
            <w:noWrap/>
            <w:vAlign w:val="center"/>
          </w:tcPr>
          <w:p w14:paraId="02BD544A" w14:textId="02733577" w:rsidR="00B8233A" w:rsidRPr="001B4CA2" w:rsidRDefault="00B8233A" w:rsidP="00B8233A">
            <w:pPr>
              <w:jc w:val="center"/>
              <w:rPr>
                <w:sz w:val="18"/>
                <w:szCs w:val="18"/>
              </w:rPr>
            </w:pPr>
            <w:r w:rsidRPr="001B4CA2">
              <w:rPr>
                <w:rFonts w:ascii="Calibri" w:hAnsi="Calibri" w:cs="Calibri"/>
                <w:color w:val="000000"/>
                <w:sz w:val="22"/>
              </w:rPr>
              <w:t>3</w:t>
            </w:r>
          </w:p>
        </w:tc>
        <w:tc>
          <w:tcPr>
            <w:tcW w:w="861" w:type="dxa"/>
            <w:tcBorders>
              <w:top w:val="nil"/>
              <w:left w:val="nil"/>
              <w:bottom w:val="single" w:sz="4" w:space="0" w:color="auto"/>
              <w:right w:val="single" w:sz="4" w:space="0" w:color="auto"/>
            </w:tcBorders>
            <w:shd w:val="clear" w:color="auto" w:fill="auto"/>
            <w:noWrap/>
            <w:vAlign w:val="center"/>
          </w:tcPr>
          <w:p w14:paraId="34573ACE" w14:textId="0127CBE6" w:rsidR="00B8233A" w:rsidRPr="001B4CA2" w:rsidRDefault="00B8233A" w:rsidP="00B8233A">
            <w:pPr>
              <w:jc w:val="center"/>
              <w:rPr>
                <w:sz w:val="18"/>
                <w:szCs w:val="18"/>
              </w:rPr>
            </w:pPr>
            <w:r w:rsidRPr="001B4CA2">
              <w:rPr>
                <w:rFonts w:ascii="Calibri" w:hAnsi="Calibri" w:cs="Calibri"/>
                <w:color w:val="000000"/>
                <w:sz w:val="22"/>
              </w:rPr>
              <w:t>127</w:t>
            </w:r>
          </w:p>
        </w:tc>
        <w:tc>
          <w:tcPr>
            <w:tcW w:w="716" w:type="dxa"/>
            <w:tcBorders>
              <w:top w:val="nil"/>
              <w:left w:val="nil"/>
              <w:bottom w:val="single" w:sz="4" w:space="0" w:color="auto"/>
              <w:right w:val="single" w:sz="4" w:space="0" w:color="auto"/>
            </w:tcBorders>
            <w:shd w:val="clear" w:color="auto" w:fill="auto"/>
            <w:noWrap/>
            <w:vAlign w:val="center"/>
          </w:tcPr>
          <w:p w14:paraId="1177B2DA" w14:textId="3C1A0AC6" w:rsidR="00B8233A" w:rsidRPr="001B4CA2" w:rsidRDefault="00B8233A" w:rsidP="00B8233A">
            <w:pPr>
              <w:jc w:val="center"/>
              <w:rPr>
                <w:sz w:val="18"/>
                <w:szCs w:val="18"/>
              </w:rPr>
            </w:pPr>
            <w:r w:rsidRPr="001B4CA2">
              <w:rPr>
                <w:rFonts w:ascii="Calibri" w:hAnsi="Calibri" w:cs="Calibri"/>
                <w:color w:val="000000"/>
                <w:sz w:val="22"/>
              </w:rPr>
              <w:t>2</w:t>
            </w:r>
          </w:p>
        </w:tc>
        <w:tc>
          <w:tcPr>
            <w:tcW w:w="661" w:type="dxa"/>
            <w:tcBorders>
              <w:top w:val="nil"/>
              <w:left w:val="nil"/>
              <w:bottom w:val="single" w:sz="4" w:space="0" w:color="auto"/>
              <w:right w:val="single" w:sz="4" w:space="0" w:color="auto"/>
            </w:tcBorders>
            <w:shd w:val="clear" w:color="auto" w:fill="auto"/>
            <w:noWrap/>
            <w:vAlign w:val="center"/>
          </w:tcPr>
          <w:p w14:paraId="381520A6" w14:textId="2A4DF54F" w:rsidR="00B8233A" w:rsidRPr="001B4CA2" w:rsidRDefault="00B8233A" w:rsidP="00B8233A">
            <w:pPr>
              <w:jc w:val="center"/>
              <w:rPr>
                <w:sz w:val="18"/>
                <w:szCs w:val="18"/>
              </w:rPr>
            </w:pPr>
            <w:r w:rsidRPr="001B4CA2">
              <w:rPr>
                <w:rFonts w:ascii="Calibri" w:hAnsi="Calibri" w:cs="Calibri"/>
                <w:color w:val="000000"/>
                <w:sz w:val="22"/>
              </w:rPr>
              <w:t>3</w:t>
            </w:r>
          </w:p>
        </w:tc>
        <w:tc>
          <w:tcPr>
            <w:tcW w:w="773" w:type="dxa"/>
            <w:tcBorders>
              <w:top w:val="nil"/>
              <w:left w:val="nil"/>
              <w:bottom w:val="single" w:sz="4" w:space="0" w:color="auto"/>
              <w:right w:val="single" w:sz="4" w:space="0" w:color="auto"/>
            </w:tcBorders>
            <w:shd w:val="clear" w:color="auto" w:fill="auto"/>
            <w:noWrap/>
            <w:vAlign w:val="center"/>
          </w:tcPr>
          <w:p w14:paraId="1D9256C6" w14:textId="6651E174" w:rsidR="00B8233A" w:rsidRPr="001B4CA2" w:rsidRDefault="00B8233A" w:rsidP="00B8233A">
            <w:pPr>
              <w:jc w:val="center"/>
              <w:rPr>
                <w:bCs/>
                <w:sz w:val="18"/>
                <w:szCs w:val="18"/>
              </w:rPr>
            </w:pPr>
            <w:r w:rsidRPr="001B4CA2">
              <w:rPr>
                <w:rFonts w:ascii="Calibri" w:hAnsi="Calibri" w:cs="Calibri"/>
                <w:bCs/>
                <w:color w:val="000000"/>
                <w:sz w:val="22"/>
              </w:rPr>
              <w:t>133</w:t>
            </w:r>
          </w:p>
        </w:tc>
        <w:tc>
          <w:tcPr>
            <w:tcW w:w="863" w:type="dxa"/>
            <w:tcBorders>
              <w:top w:val="nil"/>
              <w:left w:val="nil"/>
              <w:bottom w:val="single" w:sz="4" w:space="0" w:color="auto"/>
              <w:right w:val="single" w:sz="4" w:space="0" w:color="auto"/>
            </w:tcBorders>
            <w:shd w:val="clear" w:color="auto" w:fill="auto"/>
            <w:vAlign w:val="center"/>
          </w:tcPr>
          <w:p w14:paraId="1217B4F0" w14:textId="327D2F83" w:rsidR="00B8233A" w:rsidRPr="001B4CA2" w:rsidRDefault="00B8233A" w:rsidP="00B8233A">
            <w:pPr>
              <w:jc w:val="center"/>
              <w:rPr>
                <w:bCs/>
                <w:sz w:val="18"/>
                <w:szCs w:val="18"/>
              </w:rPr>
            </w:pPr>
            <w:r w:rsidRPr="001B4CA2">
              <w:rPr>
                <w:rFonts w:ascii="Calibri" w:hAnsi="Calibri" w:cs="Calibri"/>
                <w:bCs/>
                <w:color w:val="000000"/>
                <w:sz w:val="22"/>
              </w:rPr>
              <w:t>203</w:t>
            </w:r>
          </w:p>
        </w:tc>
        <w:tc>
          <w:tcPr>
            <w:tcW w:w="921" w:type="dxa"/>
            <w:tcBorders>
              <w:top w:val="nil"/>
              <w:left w:val="nil"/>
              <w:bottom w:val="single" w:sz="4" w:space="0" w:color="auto"/>
              <w:right w:val="single" w:sz="4" w:space="0" w:color="auto"/>
            </w:tcBorders>
            <w:vAlign w:val="center"/>
          </w:tcPr>
          <w:p w14:paraId="328507D9" w14:textId="69D420AB" w:rsidR="00B8233A" w:rsidRPr="001B4CA2" w:rsidRDefault="00B8233A" w:rsidP="00B8233A">
            <w:pPr>
              <w:jc w:val="center"/>
              <w:rPr>
                <w:bCs/>
                <w:sz w:val="18"/>
                <w:szCs w:val="18"/>
              </w:rPr>
            </w:pPr>
            <w:r w:rsidRPr="001B4CA2">
              <w:rPr>
                <w:rFonts w:ascii="Calibri" w:hAnsi="Calibri" w:cs="Calibri"/>
                <w:b/>
                <w:bCs/>
                <w:color w:val="000000"/>
                <w:sz w:val="22"/>
              </w:rPr>
              <w:t>336</w:t>
            </w:r>
          </w:p>
        </w:tc>
      </w:tr>
      <w:tr w:rsidR="00B8233A" w:rsidRPr="001B4CA2" w14:paraId="03DFE4C0"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EEE4D" w14:textId="6D6E3699"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vanjskih i europskih poslova</w:t>
            </w:r>
          </w:p>
        </w:tc>
        <w:tc>
          <w:tcPr>
            <w:tcW w:w="730" w:type="dxa"/>
            <w:tcBorders>
              <w:top w:val="nil"/>
              <w:left w:val="nil"/>
              <w:bottom w:val="single" w:sz="4" w:space="0" w:color="auto"/>
              <w:right w:val="single" w:sz="4" w:space="0" w:color="auto"/>
            </w:tcBorders>
            <w:shd w:val="clear" w:color="auto" w:fill="auto"/>
            <w:noWrap/>
            <w:vAlign w:val="center"/>
          </w:tcPr>
          <w:p w14:paraId="2838D278" w14:textId="77777777" w:rsidR="00B8233A" w:rsidRPr="001B4CA2" w:rsidRDefault="00B8233A" w:rsidP="00B8233A">
            <w:pPr>
              <w:jc w:val="center"/>
              <w:rPr>
                <w:sz w:val="18"/>
                <w:szCs w:val="18"/>
              </w:rPr>
            </w:pPr>
          </w:p>
        </w:tc>
        <w:tc>
          <w:tcPr>
            <w:tcW w:w="734" w:type="dxa"/>
            <w:tcBorders>
              <w:top w:val="nil"/>
              <w:left w:val="nil"/>
              <w:bottom w:val="single" w:sz="4" w:space="0" w:color="auto"/>
              <w:right w:val="single" w:sz="4" w:space="0" w:color="auto"/>
            </w:tcBorders>
            <w:shd w:val="clear" w:color="auto" w:fill="auto"/>
            <w:noWrap/>
            <w:vAlign w:val="center"/>
          </w:tcPr>
          <w:p w14:paraId="26EF1EE9" w14:textId="77777777" w:rsidR="00B8233A" w:rsidRPr="001B4CA2" w:rsidRDefault="00B8233A" w:rsidP="00B8233A">
            <w:pPr>
              <w:jc w:val="center"/>
              <w:rPr>
                <w:sz w:val="18"/>
                <w:szCs w:val="18"/>
              </w:rPr>
            </w:pPr>
          </w:p>
        </w:tc>
        <w:tc>
          <w:tcPr>
            <w:tcW w:w="788" w:type="dxa"/>
            <w:tcBorders>
              <w:top w:val="nil"/>
              <w:left w:val="nil"/>
              <w:bottom w:val="single" w:sz="4" w:space="0" w:color="auto"/>
              <w:right w:val="single" w:sz="4" w:space="0" w:color="auto"/>
            </w:tcBorders>
            <w:shd w:val="clear" w:color="auto" w:fill="auto"/>
            <w:noWrap/>
            <w:vAlign w:val="center"/>
          </w:tcPr>
          <w:p w14:paraId="3E8197E7" w14:textId="77777777" w:rsidR="00B8233A" w:rsidRPr="001B4CA2" w:rsidRDefault="00B8233A" w:rsidP="00B8233A">
            <w:pPr>
              <w:jc w:val="center"/>
              <w:rPr>
                <w:sz w:val="18"/>
                <w:szCs w:val="18"/>
              </w:rPr>
            </w:pPr>
          </w:p>
        </w:tc>
        <w:tc>
          <w:tcPr>
            <w:tcW w:w="733" w:type="dxa"/>
            <w:tcBorders>
              <w:top w:val="nil"/>
              <w:left w:val="nil"/>
              <w:bottom w:val="single" w:sz="4" w:space="0" w:color="auto"/>
              <w:right w:val="single" w:sz="4" w:space="0" w:color="auto"/>
            </w:tcBorders>
            <w:shd w:val="clear" w:color="auto" w:fill="auto"/>
            <w:noWrap/>
            <w:vAlign w:val="center"/>
          </w:tcPr>
          <w:p w14:paraId="0CAD48CC" w14:textId="52CFB9B5" w:rsidR="00B8233A" w:rsidRPr="001B4CA2" w:rsidRDefault="00B8233A" w:rsidP="00B8233A">
            <w:pPr>
              <w:jc w:val="center"/>
              <w:rPr>
                <w:sz w:val="18"/>
                <w:szCs w:val="18"/>
              </w:rPr>
            </w:pPr>
          </w:p>
        </w:tc>
        <w:tc>
          <w:tcPr>
            <w:tcW w:w="860" w:type="dxa"/>
            <w:tcBorders>
              <w:top w:val="nil"/>
              <w:left w:val="nil"/>
              <w:bottom w:val="single" w:sz="4" w:space="0" w:color="auto"/>
              <w:right w:val="single" w:sz="4" w:space="0" w:color="auto"/>
            </w:tcBorders>
            <w:shd w:val="clear" w:color="auto" w:fill="auto"/>
            <w:noWrap/>
            <w:vAlign w:val="center"/>
          </w:tcPr>
          <w:p w14:paraId="6ECE5F59" w14:textId="77777777" w:rsidR="00B8233A" w:rsidRPr="001B4CA2" w:rsidRDefault="00B8233A" w:rsidP="00B8233A">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7E2CBDBC" w14:textId="63455EA3"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1577BE6D" w14:textId="77777777"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2DD10915" w14:textId="28FA3EBA" w:rsidR="00B8233A" w:rsidRPr="001B4CA2" w:rsidRDefault="00B8233A" w:rsidP="00B8233A">
            <w:pPr>
              <w:jc w:val="center"/>
              <w:rPr>
                <w:sz w:val="18"/>
                <w:szCs w:val="18"/>
              </w:rPr>
            </w:pPr>
            <w:r w:rsidRPr="001B4CA2">
              <w:rPr>
                <w:rFonts w:ascii="Calibri" w:hAnsi="Calibri" w:cs="Calibri"/>
                <w:color w:val="000000"/>
                <w:sz w:val="22"/>
              </w:rPr>
              <w:t>2</w:t>
            </w:r>
          </w:p>
        </w:tc>
        <w:tc>
          <w:tcPr>
            <w:tcW w:w="716" w:type="dxa"/>
            <w:tcBorders>
              <w:top w:val="nil"/>
              <w:left w:val="nil"/>
              <w:bottom w:val="single" w:sz="4" w:space="0" w:color="auto"/>
              <w:right w:val="single" w:sz="4" w:space="0" w:color="auto"/>
            </w:tcBorders>
            <w:shd w:val="clear" w:color="auto" w:fill="auto"/>
            <w:noWrap/>
            <w:vAlign w:val="center"/>
          </w:tcPr>
          <w:p w14:paraId="475627EC" w14:textId="77777777" w:rsidR="00B8233A" w:rsidRPr="001B4CA2" w:rsidRDefault="00B8233A" w:rsidP="00B8233A">
            <w:pPr>
              <w:jc w:val="center"/>
              <w:rPr>
                <w:sz w:val="18"/>
                <w:szCs w:val="18"/>
              </w:rPr>
            </w:pPr>
          </w:p>
        </w:tc>
        <w:tc>
          <w:tcPr>
            <w:tcW w:w="661" w:type="dxa"/>
            <w:tcBorders>
              <w:top w:val="nil"/>
              <w:left w:val="nil"/>
              <w:bottom w:val="single" w:sz="4" w:space="0" w:color="auto"/>
              <w:right w:val="single" w:sz="4" w:space="0" w:color="auto"/>
            </w:tcBorders>
            <w:shd w:val="clear" w:color="auto" w:fill="auto"/>
            <w:noWrap/>
            <w:vAlign w:val="center"/>
          </w:tcPr>
          <w:p w14:paraId="4F46528A" w14:textId="77777777" w:rsidR="00B8233A" w:rsidRPr="001B4CA2" w:rsidRDefault="00B8233A" w:rsidP="00B8233A">
            <w:pPr>
              <w:jc w:val="center"/>
              <w:rPr>
                <w:sz w:val="18"/>
                <w:szCs w:val="18"/>
              </w:rPr>
            </w:pPr>
          </w:p>
        </w:tc>
        <w:tc>
          <w:tcPr>
            <w:tcW w:w="773" w:type="dxa"/>
            <w:tcBorders>
              <w:top w:val="nil"/>
              <w:left w:val="nil"/>
              <w:bottom w:val="single" w:sz="4" w:space="0" w:color="auto"/>
              <w:right w:val="single" w:sz="4" w:space="0" w:color="auto"/>
            </w:tcBorders>
            <w:shd w:val="clear" w:color="auto" w:fill="auto"/>
            <w:noWrap/>
            <w:vAlign w:val="center"/>
          </w:tcPr>
          <w:p w14:paraId="57D94EC0" w14:textId="77777777" w:rsidR="00B8233A" w:rsidRPr="001B4CA2" w:rsidRDefault="00B8233A" w:rsidP="00B8233A">
            <w:pPr>
              <w:jc w:val="center"/>
              <w:rPr>
                <w:bCs/>
                <w:sz w:val="18"/>
                <w:szCs w:val="18"/>
              </w:rPr>
            </w:pPr>
          </w:p>
        </w:tc>
        <w:tc>
          <w:tcPr>
            <w:tcW w:w="863" w:type="dxa"/>
            <w:tcBorders>
              <w:top w:val="nil"/>
              <w:left w:val="nil"/>
              <w:bottom w:val="single" w:sz="4" w:space="0" w:color="auto"/>
              <w:right w:val="single" w:sz="4" w:space="0" w:color="auto"/>
            </w:tcBorders>
            <w:shd w:val="clear" w:color="auto" w:fill="auto"/>
            <w:vAlign w:val="center"/>
          </w:tcPr>
          <w:p w14:paraId="46AEF4B1" w14:textId="67B61450" w:rsidR="00B8233A" w:rsidRPr="001B4CA2" w:rsidRDefault="00B8233A" w:rsidP="00B8233A">
            <w:pPr>
              <w:jc w:val="center"/>
              <w:rPr>
                <w:bCs/>
                <w:sz w:val="18"/>
                <w:szCs w:val="18"/>
              </w:rPr>
            </w:pPr>
            <w:r w:rsidRPr="001B4CA2">
              <w:rPr>
                <w:rFonts w:ascii="Calibri" w:hAnsi="Calibri" w:cs="Calibri"/>
                <w:bCs/>
                <w:color w:val="000000"/>
                <w:sz w:val="22"/>
              </w:rPr>
              <w:t>2</w:t>
            </w:r>
          </w:p>
        </w:tc>
        <w:tc>
          <w:tcPr>
            <w:tcW w:w="921" w:type="dxa"/>
            <w:tcBorders>
              <w:top w:val="nil"/>
              <w:left w:val="nil"/>
              <w:bottom w:val="single" w:sz="4" w:space="0" w:color="auto"/>
              <w:right w:val="single" w:sz="4" w:space="0" w:color="auto"/>
            </w:tcBorders>
            <w:vAlign w:val="center"/>
          </w:tcPr>
          <w:p w14:paraId="40EDF514" w14:textId="42A7B485" w:rsidR="00B8233A" w:rsidRPr="001B4CA2" w:rsidRDefault="00B8233A" w:rsidP="00B8233A">
            <w:pPr>
              <w:jc w:val="center"/>
              <w:rPr>
                <w:bCs/>
                <w:sz w:val="18"/>
                <w:szCs w:val="18"/>
              </w:rPr>
            </w:pPr>
            <w:r w:rsidRPr="001B4CA2">
              <w:rPr>
                <w:rFonts w:ascii="Calibri" w:hAnsi="Calibri" w:cs="Calibri"/>
                <w:b/>
                <w:bCs/>
                <w:color w:val="000000"/>
                <w:sz w:val="22"/>
              </w:rPr>
              <w:t>2</w:t>
            </w:r>
          </w:p>
        </w:tc>
      </w:tr>
      <w:tr w:rsidR="00B8233A" w:rsidRPr="001B4CA2" w14:paraId="3B07973D"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73D1E" w14:textId="607EA7BF"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mora, prometa i infrastrukture</w:t>
            </w:r>
          </w:p>
        </w:tc>
        <w:tc>
          <w:tcPr>
            <w:tcW w:w="730" w:type="dxa"/>
            <w:tcBorders>
              <w:top w:val="nil"/>
              <w:left w:val="nil"/>
              <w:bottom w:val="single" w:sz="4" w:space="0" w:color="auto"/>
              <w:right w:val="single" w:sz="4" w:space="0" w:color="auto"/>
            </w:tcBorders>
            <w:shd w:val="clear" w:color="auto" w:fill="auto"/>
            <w:noWrap/>
            <w:vAlign w:val="center"/>
          </w:tcPr>
          <w:p w14:paraId="10D0778D" w14:textId="4BACD07D" w:rsidR="00B8233A" w:rsidRPr="001B4CA2" w:rsidRDefault="00B8233A" w:rsidP="00B8233A">
            <w:pPr>
              <w:jc w:val="center"/>
              <w:rPr>
                <w:sz w:val="18"/>
                <w:szCs w:val="18"/>
              </w:rPr>
            </w:pPr>
            <w:r w:rsidRPr="001B4CA2">
              <w:rPr>
                <w:rFonts w:ascii="Calibri" w:hAnsi="Calibri" w:cs="Calibri"/>
                <w:color w:val="000000"/>
                <w:sz w:val="22"/>
              </w:rPr>
              <w:t>95</w:t>
            </w:r>
          </w:p>
        </w:tc>
        <w:tc>
          <w:tcPr>
            <w:tcW w:w="734" w:type="dxa"/>
            <w:tcBorders>
              <w:top w:val="nil"/>
              <w:left w:val="nil"/>
              <w:bottom w:val="single" w:sz="4" w:space="0" w:color="auto"/>
              <w:right w:val="single" w:sz="4" w:space="0" w:color="auto"/>
            </w:tcBorders>
            <w:shd w:val="clear" w:color="auto" w:fill="auto"/>
            <w:noWrap/>
            <w:vAlign w:val="center"/>
          </w:tcPr>
          <w:p w14:paraId="288712EC" w14:textId="55D5DAF5" w:rsidR="00B8233A" w:rsidRPr="001B4CA2" w:rsidRDefault="00B8233A" w:rsidP="00B8233A">
            <w:pPr>
              <w:jc w:val="center"/>
              <w:rPr>
                <w:sz w:val="18"/>
                <w:szCs w:val="18"/>
              </w:rPr>
            </w:pPr>
            <w:r w:rsidRPr="001B4CA2">
              <w:rPr>
                <w:rFonts w:ascii="Calibri" w:hAnsi="Calibri" w:cs="Calibri"/>
                <w:color w:val="000000"/>
                <w:sz w:val="22"/>
              </w:rPr>
              <w:t>11</w:t>
            </w:r>
          </w:p>
        </w:tc>
        <w:tc>
          <w:tcPr>
            <w:tcW w:w="788" w:type="dxa"/>
            <w:tcBorders>
              <w:top w:val="nil"/>
              <w:left w:val="nil"/>
              <w:bottom w:val="single" w:sz="4" w:space="0" w:color="auto"/>
              <w:right w:val="single" w:sz="4" w:space="0" w:color="auto"/>
            </w:tcBorders>
            <w:shd w:val="clear" w:color="auto" w:fill="auto"/>
            <w:noWrap/>
            <w:vAlign w:val="center"/>
          </w:tcPr>
          <w:p w14:paraId="60EDB223" w14:textId="4388743A" w:rsidR="00B8233A" w:rsidRPr="001B4CA2" w:rsidRDefault="00B8233A" w:rsidP="00B8233A">
            <w:pPr>
              <w:jc w:val="center"/>
              <w:rPr>
                <w:sz w:val="18"/>
                <w:szCs w:val="18"/>
              </w:rPr>
            </w:pPr>
            <w:r w:rsidRPr="001B4CA2">
              <w:rPr>
                <w:rFonts w:ascii="Calibri" w:hAnsi="Calibri" w:cs="Calibri"/>
                <w:color w:val="000000"/>
                <w:sz w:val="22"/>
              </w:rPr>
              <w:t>5</w:t>
            </w:r>
          </w:p>
        </w:tc>
        <w:tc>
          <w:tcPr>
            <w:tcW w:w="733" w:type="dxa"/>
            <w:tcBorders>
              <w:top w:val="nil"/>
              <w:left w:val="nil"/>
              <w:bottom w:val="single" w:sz="4" w:space="0" w:color="auto"/>
              <w:right w:val="single" w:sz="4" w:space="0" w:color="auto"/>
            </w:tcBorders>
            <w:shd w:val="clear" w:color="auto" w:fill="auto"/>
            <w:noWrap/>
            <w:vAlign w:val="center"/>
          </w:tcPr>
          <w:p w14:paraId="19D7D0B8" w14:textId="76625A00" w:rsidR="00B8233A" w:rsidRPr="001B4CA2" w:rsidRDefault="00B8233A" w:rsidP="00B8233A">
            <w:pPr>
              <w:jc w:val="center"/>
              <w:rPr>
                <w:sz w:val="18"/>
                <w:szCs w:val="18"/>
              </w:rPr>
            </w:pPr>
            <w:r w:rsidRPr="001B4CA2">
              <w:rPr>
                <w:rFonts w:ascii="Calibri" w:hAnsi="Calibri" w:cs="Calibri"/>
                <w:color w:val="000000"/>
                <w:sz w:val="22"/>
              </w:rPr>
              <w:t>10</w:t>
            </w:r>
          </w:p>
        </w:tc>
        <w:tc>
          <w:tcPr>
            <w:tcW w:w="860" w:type="dxa"/>
            <w:tcBorders>
              <w:top w:val="nil"/>
              <w:left w:val="nil"/>
              <w:bottom w:val="single" w:sz="4" w:space="0" w:color="auto"/>
              <w:right w:val="single" w:sz="4" w:space="0" w:color="auto"/>
            </w:tcBorders>
            <w:shd w:val="clear" w:color="auto" w:fill="auto"/>
            <w:noWrap/>
            <w:vAlign w:val="center"/>
          </w:tcPr>
          <w:p w14:paraId="076EDAD2" w14:textId="77777777" w:rsidR="00B8233A" w:rsidRPr="001B4CA2" w:rsidRDefault="00B8233A" w:rsidP="00B8233A">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42CD51B4" w14:textId="11479459" w:rsidR="00B8233A" w:rsidRPr="001B4CA2" w:rsidRDefault="00B8233A" w:rsidP="00B8233A">
            <w:pPr>
              <w:jc w:val="center"/>
              <w:rPr>
                <w:sz w:val="18"/>
                <w:szCs w:val="18"/>
              </w:rPr>
            </w:pPr>
            <w:r w:rsidRPr="001B4CA2">
              <w:rPr>
                <w:rFonts w:ascii="Calibri" w:hAnsi="Calibri" w:cs="Calibri"/>
                <w:color w:val="000000"/>
                <w:sz w:val="22"/>
              </w:rPr>
              <w:t>5</w:t>
            </w:r>
          </w:p>
        </w:tc>
        <w:tc>
          <w:tcPr>
            <w:tcW w:w="861" w:type="dxa"/>
            <w:tcBorders>
              <w:top w:val="nil"/>
              <w:left w:val="nil"/>
              <w:bottom w:val="single" w:sz="4" w:space="0" w:color="auto"/>
              <w:right w:val="single" w:sz="4" w:space="0" w:color="auto"/>
            </w:tcBorders>
            <w:shd w:val="clear" w:color="auto" w:fill="auto"/>
            <w:noWrap/>
            <w:vAlign w:val="center"/>
          </w:tcPr>
          <w:p w14:paraId="59C42EB2" w14:textId="77777777"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5640475E" w14:textId="23452A6E" w:rsidR="00B8233A" w:rsidRPr="001B4CA2" w:rsidRDefault="00B8233A" w:rsidP="00B8233A">
            <w:pPr>
              <w:jc w:val="center"/>
              <w:rPr>
                <w:sz w:val="18"/>
                <w:szCs w:val="18"/>
              </w:rPr>
            </w:pPr>
          </w:p>
        </w:tc>
        <w:tc>
          <w:tcPr>
            <w:tcW w:w="716" w:type="dxa"/>
            <w:tcBorders>
              <w:top w:val="nil"/>
              <w:left w:val="nil"/>
              <w:bottom w:val="single" w:sz="4" w:space="0" w:color="auto"/>
              <w:right w:val="single" w:sz="4" w:space="0" w:color="auto"/>
            </w:tcBorders>
            <w:shd w:val="clear" w:color="auto" w:fill="auto"/>
            <w:noWrap/>
            <w:vAlign w:val="center"/>
          </w:tcPr>
          <w:p w14:paraId="7AFEBFC8" w14:textId="77777777" w:rsidR="00B8233A" w:rsidRPr="001B4CA2" w:rsidRDefault="00B8233A" w:rsidP="00B8233A">
            <w:pPr>
              <w:jc w:val="center"/>
              <w:rPr>
                <w:sz w:val="18"/>
                <w:szCs w:val="18"/>
              </w:rPr>
            </w:pPr>
          </w:p>
        </w:tc>
        <w:tc>
          <w:tcPr>
            <w:tcW w:w="661" w:type="dxa"/>
            <w:tcBorders>
              <w:top w:val="nil"/>
              <w:left w:val="nil"/>
              <w:bottom w:val="single" w:sz="4" w:space="0" w:color="auto"/>
              <w:right w:val="single" w:sz="4" w:space="0" w:color="auto"/>
            </w:tcBorders>
            <w:shd w:val="clear" w:color="auto" w:fill="auto"/>
            <w:noWrap/>
            <w:vAlign w:val="center"/>
          </w:tcPr>
          <w:p w14:paraId="1A10454F" w14:textId="77777777" w:rsidR="00B8233A" w:rsidRPr="001B4CA2" w:rsidRDefault="00B8233A" w:rsidP="00B8233A">
            <w:pPr>
              <w:jc w:val="center"/>
              <w:rPr>
                <w:sz w:val="18"/>
                <w:szCs w:val="18"/>
              </w:rPr>
            </w:pPr>
          </w:p>
        </w:tc>
        <w:tc>
          <w:tcPr>
            <w:tcW w:w="773" w:type="dxa"/>
            <w:tcBorders>
              <w:top w:val="single" w:sz="4" w:space="0" w:color="auto"/>
              <w:left w:val="nil"/>
              <w:bottom w:val="single" w:sz="4" w:space="0" w:color="auto"/>
              <w:right w:val="single" w:sz="4" w:space="0" w:color="auto"/>
            </w:tcBorders>
            <w:shd w:val="clear" w:color="auto" w:fill="auto"/>
            <w:noWrap/>
            <w:vAlign w:val="center"/>
          </w:tcPr>
          <w:p w14:paraId="7D3F9F84" w14:textId="1FB1A92B" w:rsidR="00B8233A" w:rsidRPr="001B4CA2" w:rsidRDefault="00B8233A" w:rsidP="00B8233A">
            <w:pPr>
              <w:jc w:val="center"/>
              <w:rPr>
                <w:bCs/>
                <w:sz w:val="18"/>
                <w:szCs w:val="18"/>
              </w:rPr>
            </w:pPr>
            <w:r w:rsidRPr="001B4CA2">
              <w:rPr>
                <w:rFonts w:ascii="Calibri" w:hAnsi="Calibri" w:cs="Calibri"/>
                <w:bCs/>
                <w:color w:val="000000"/>
                <w:sz w:val="22"/>
              </w:rPr>
              <w:t>100</w:t>
            </w:r>
          </w:p>
        </w:tc>
        <w:tc>
          <w:tcPr>
            <w:tcW w:w="863" w:type="dxa"/>
            <w:tcBorders>
              <w:top w:val="single" w:sz="4" w:space="0" w:color="auto"/>
              <w:left w:val="nil"/>
              <w:bottom w:val="single" w:sz="4" w:space="0" w:color="auto"/>
              <w:right w:val="single" w:sz="4" w:space="0" w:color="auto"/>
            </w:tcBorders>
            <w:shd w:val="clear" w:color="auto" w:fill="auto"/>
            <w:vAlign w:val="center"/>
          </w:tcPr>
          <w:p w14:paraId="0CD79786" w14:textId="6E8F8997" w:rsidR="00B8233A" w:rsidRPr="001B4CA2" w:rsidRDefault="00B8233A" w:rsidP="00B8233A">
            <w:pPr>
              <w:jc w:val="center"/>
              <w:rPr>
                <w:bCs/>
                <w:sz w:val="18"/>
                <w:szCs w:val="18"/>
              </w:rPr>
            </w:pPr>
            <w:r w:rsidRPr="001B4CA2">
              <w:rPr>
                <w:rFonts w:ascii="Calibri" w:hAnsi="Calibri" w:cs="Calibri"/>
                <w:bCs/>
                <w:color w:val="000000"/>
                <w:sz w:val="22"/>
              </w:rPr>
              <w:t>26</w:t>
            </w:r>
          </w:p>
        </w:tc>
        <w:tc>
          <w:tcPr>
            <w:tcW w:w="921" w:type="dxa"/>
            <w:tcBorders>
              <w:top w:val="single" w:sz="4" w:space="0" w:color="auto"/>
              <w:left w:val="nil"/>
              <w:bottom w:val="single" w:sz="4" w:space="0" w:color="auto"/>
              <w:right w:val="single" w:sz="4" w:space="0" w:color="auto"/>
            </w:tcBorders>
            <w:vAlign w:val="center"/>
          </w:tcPr>
          <w:p w14:paraId="45DC99DD" w14:textId="45CB85BD" w:rsidR="00B8233A" w:rsidRPr="001B4CA2" w:rsidRDefault="00B8233A" w:rsidP="00B8233A">
            <w:pPr>
              <w:jc w:val="center"/>
              <w:rPr>
                <w:bCs/>
                <w:sz w:val="18"/>
                <w:szCs w:val="18"/>
              </w:rPr>
            </w:pPr>
            <w:r w:rsidRPr="001B4CA2">
              <w:rPr>
                <w:rFonts w:ascii="Calibri" w:hAnsi="Calibri" w:cs="Calibri"/>
                <w:b/>
                <w:bCs/>
                <w:color w:val="000000"/>
                <w:sz w:val="22"/>
              </w:rPr>
              <w:t>126</w:t>
            </w:r>
          </w:p>
        </w:tc>
      </w:tr>
      <w:tr w:rsidR="00B8233A" w:rsidRPr="001B4CA2" w14:paraId="704B9AFC"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1E4D7" w14:textId="01C6D4FE"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poljoprivrede</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53F4D23D" w14:textId="29A18B04" w:rsidR="00B8233A" w:rsidRPr="001B4CA2" w:rsidRDefault="00B8233A" w:rsidP="00B8233A">
            <w:pPr>
              <w:jc w:val="center"/>
              <w:rPr>
                <w:sz w:val="18"/>
                <w:szCs w:val="18"/>
              </w:rPr>
            </w:pPr>
            <w:r w:rsidRPr="001B4CA2">
              <w:rPr>
                <w:rFonts w:ascii="Calibri" w:hAnsi="Calibri" w:cs="Calibri"/>
                <w:color w:val="000000"/>
                <w:sz w:val="22"/>
              </w:rPr>
              <w:t>347</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72324899" w14:textId="12E75970" w:rsidR="00B8233A" w:rsidRPr="001B4CA2" w:rsidRDefault="00B8233A" w:rsidP="00B8233A">
            <w:pPr>
              <w:jc w:val="center"/>
              <w:rPr>
                <w:sz w:val="18"/>
                <w:szCs w:val="18"/>
              </w:rPr>
            </w:pPr>
            <w:r w:rsidRPr="001B4CA2">
              <w:rPr>
                <w:rFonts w:ascii="Calibri" w:hAnsi="Calibri" w:cs="Calibri"/>
                <w:color w:val="000000"/>
                <w:sz w:val="22"/>
              </w:rPr>
              <w:t>1.093</w:t>
            </w:r>
          </w:p>
        </w:tc>
        <w:tc>
          <w:tcPr>
            <w:tcW w:w="788" w:type="dxa"/>
            <w:tcBorders>
              <w:top w:val="single" w:sz="4" w:space="0" w:color="auto"/>
              <w:left w:val="nil"/>
              <w:bottom w:val="single" w:sz="4" w:space="0" w:color="auto"/>
              <w:right w:val="single" w:sz="4" w:space="0" w:color="auto"/>
            </w:tcBorders>
            <w:shd w:val="clear" w:color="auto" w:fill="auto"/>
            <w:noWrap/>
            <w:vAlign w:val="center"/>
          </w:tcPr>
          <w:p w14:paraId="0E17F8A4" w14:textId="61E3FA69" w:rsidR="00B8233A" w:rsidRPr="001B4CA2" w:rsidRDefault="00B8233A" w:rsidP="00B8233A">
            <w:pPr>
              <w:jc w:val="center"/>
              <w:rPr>
                <w:sz w:val="18"/>
                <w:szCs w:val="18"/>
              </w:rPr>
            </w:pPr>
            <w:r w:rsidRPr="001B4CA2">
              <w:rPr>
                <w:rFonts w:ascii="Calibri" w:hAnsi="Calibri" w:cs="Calibri"/>
                <w:color w:val="000000"/>
                <w:sz w:val="22"/>
              </w:rPr>
              <w:t>373</w:t>
            </w:r>
          </w:p>
        </w:tc>
        <w:tc>
          <w:tcPr>
            <w:tcW w:w="733" w:type="dxa"/>
            <w:tcBorders>
              <w:top w:val="single" w:sz="4" w:space="0" w:color="auto"/>
              <w:left w:val="nil"/>
              <w:bottom w:val="single" w:sz="4" w:space="0" w:color="auto"/>
              <w:right w:val="single" w:sz="4" w:space="0" w:color="auto"/>
            </w:tcBorders>
            <w:shd w:val="clear" w:color="auto" w:fill="auto"/>
            <w:noWrap/>
            <w:vAlign w:val="center"/>
          </w:tcPr>
          <w:p w14:paraId="48AA6400" w14:textId="64D3B9C0" w:rsidR="00B8233A" w:rsidRPr="001B4CA2" w:rsidRDefault="00B8233A" w:rsidP="00B8233A">
            <w:pPr>
              <w:jc w:val="center"/>
              <w:rPr>
                <w:sz w:val="18"/>
                <w:szCs w:val="18"/>
              </w:rPr>
            </w:pPr>
            <w:r w:rsidRPr="001B4CA2">
              <w:rPr>
                <w:rFonts w:ascii="Calibri" w:hAnsi="Calibri" w:cs="Calibri"/>
                <w:color w:val="000000"/>
                <w:sz w:val="22"/>
              </w:rPr>
              <w:t>36</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4BCB2539" w14:textId="2B39E4AA" w:rsidR="00B8233A" w:rsidRPr="001B4CA2" w:rsidRDefault="00B8233A" w:rsidP="00B8233A">
            <w:pPr>
              <w:jc w:val="center"/>
              <w:rPr>
                <w:sz w:val="18"/>
                <w:szCs w:val="18"/>
              </w:rPr>
            </w:pPr>
            <w:r w:rsidRPr="001B4CA2">
              <w:rPr>
                <w:rFonts w:ascii="Calibri" w:hAnsi="Calibri" w:cs="Calibri"/>
                <w:color w:val="000000"/>
                <w:sz w:val="22"/>
              </w:rPr>
              <w:t>6</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B5FD1A6" w14:textId="710D570E" w:rsidR="00B8233A" w:rsidRPr="001B4CA2" w:rsidRDefault="00B8233A" w:rsidP="00B8233A">
            <w:pPr>
              <w:jc w:val="center"/>
              <w:rPr>
                <w:sz w:val="18"/>
                <w:szCs w:val="18"/>
              </w:rPr>
            </w:pPr>
            <w:r w:rsidRPr="001B4CA2">
              <w:rPr>
                <w:rFonts w:ascii="Calibri" w:hAnsi="Calibri" w:cs="Calibri"/>
                <w:color w:val="000000"/>
                <w:sz w:val="22"/>
              </w:rPr>
              <w:t>6</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35FAB442" w14:textId="77777777" w:rsidR="00B8233A" w:rsidRPr="001B4CA2" w:rsidRDefault="00B8233A" w:rsidP="00B8233A">
            <w:pPr>
              <w:jc w:val="center"/>
              <w:rPr>
                <w:sz w:val="18"/>
                <w:szCs w:val="18"/>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6DE2117B" w14:textId="665709ED" w:rsidR="00B8233A" w:rsidRPr="001B4CA2" w:rsidRDefault="00B8233A" w:rsidP="00B8233A">
            <w:pPr>
              <w:jc w:val="center"/>
              <w:rPr>
                <w:sz w:val="18"/>
                <w:szCs w:val="18"/>
              </w:rPr>
            </w:pPr>
            <w:r w:rsidRPr="001B4CA2">
              <w:rPr>
                <w:rFonts w:ascii="Calibri" w:hAnsi="Calibri" w:cs="Calibri"/>
                <w:color w:val="000000"/>
                <w:sz w:val="22"/>
              </w:rPr>
              <w:t>3</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14C57CCB" w14:textId="3424C7E1" w:rsidR="00B8233A" w:rsidRPr="001B4CA2" w:rsidRDefault="00B8233A" w:rsidP="00B8233A">
            <w:pPr>
              <w:jc w:val="center"/>
              <w:rPr>
                <w:sz w:val="18"/>
                <w:szCs w:val="18"/>
              </w:rPr>
            </w:pPr>
            <w:r w:rsidRPr="001B4CA2">
              <w:rPr>
                <w:rFonts w:ascii="Calibri" w:hAnsi="Calibri" w:cs="Calibri"/>
                <w:color w:val="000000"/>
                <w:sz w:val="22"/>
              </w:rPr>
              <w:t>3</w:t>
            </w:r>
          </w:p>
        </w:tc>
        <w:tc>
          <w:tcPr>
            <w:tcW w:w="661" w:type="dxa"/>
            <w:tcBorders>
              <w:top w:val="single" w:sz="4" w:space="0" w:color="auto"/>
              <w:left w:val="nil"/>
              <w:bottom w:val="single" w:sz="4" w:space="0" w:color="auto"/>
              <w:right w:val="single" w:sz="4" w:space="0" w:color="auto"/>
            </w:tcBorders>
            <w:shd w:val="clear" w:color="auto" w:fill="auto"/>
            <w:noWrap/>
            <w:vAlign w:val="center"/>
          </w:tcPr>
          <w:p w14:paraId="77513ACE" w14:textId="718D9768" w:rsidR="00B8233A" w:rsidRPr="001B4CA2" w:rsidRDefault="00B8233A" w:rsidP="00B8233A">
            <w:pPr>
              <w:jc w:val="center"/>
              <w:rPr>
                <w:sz w:val="18"/>
                <w:szCs w:val="18"/>
              </w:rPr>
            </w:pPr>
            <w:r w:rsidRPr="001B4CA2">
              <w:rPr>
                <w:rFonts w:ascii="Calibri" w:hAnsi="Calibri" w:cs="Calibri"/>
                <w:color w:val="000000"/>
                <w:sz w:val="22"/>
              </w:rPr>
              <w:t>29</w:t>
            </w:r>
          </w:p>
        </w:tc>
        <w:tc>
          <w:tcPr>
            <w:tcW w:w="773" w:type="dxa"/>
            <w:tcBorders>
              <w:top w:val="single" w:sz="4" w:space="0" w:color="auto"/>
              <w:left w:val="nil"/>
              <w:bottom w:val="single" w:sz="4" w:space="0" w:color="auto"/>
              <w:right w:val="single" w:sz="4" w:space="0" w:color="auto"/>
            </w:tcBorders>
            <w:shd w:val="clear" w:color="auto" w:fill="auto"/>
            <w:noWrap/>
            <w:vAlign w:val="center"/>
          </w:tcPr>
          <w:p w14:paraId="0249E07C" w14:textId="70158117" w:rsidR="00B8233A" w:rsidRPr="001B4CA2" w:rsidRDefault="00B8233A" w:rsidP="00B8233A">
            <w:pPr>
              <w:jc w:val="center"/>
              <w:rPr>
                <w:bCs/>
                <w:sz w:val="18"/>
                <w:szCs w:val="18"/>
              </w:rPr>
            </w:pPr>
            <w:r w:rsidRPr="001B4CA2">
              <w:rPr>
                <w:rFonts w:ascii="Calibri" w:hAnsi="Calibri" w:cs="Calibri"/>
                <w:bCs/>
                <w:color w:val="000000"/>
                <w:sz w:val="22"/>
              </w:rPr>
              <w:t>729</w:t>
            </w:r>
          </w:p>
        </w:tc>
        <w:tc>
          <w:tcPr>
            <w:tcW w:w="863" w:type="dxa"/>
            <w:tcBorders>
              <w:top w:val="single" w:sz="4" w:space="0" w:color="auto"/>
              <w:left w:val="nil"/>
              <w:bottom w:val="single" w:sz="4" w:space="0" w:color="auto"/>
              <w:right w:val="single" w:sz="4" w:space="0" w:color="auto"/>
            </w:tcBorders>
            <w:shd w:val="clear" w:color="auto" w:fill="auto"/>
            <w:vAlign w:val="center"/>
          </w:tcPr>
          <w:p w14:paraId="67359AE2" w14:textId="3BB8E20F" w:rsidR="00B8233A" w:rsidRPr="001B4CA2" w:rsidRDefault="00B8233A" w:rsidP="00B8233A">
            <w:pPr>
              <w:jc w:val="center"/>
              <w:rPr>
                <w:bCs/>
                <w:sz w:val="18"/>
                <w:szCs w:val="18"/>
              </w:rPr>
            </w:pPr>
            <w:r w:rsidRPr="001B4CA2">
              <w:rPr>
                <w:rFonts w:ascii="Calibri" w:hAnsi="Calibri" w:cs="Calibri"/>
                <w:bCs/>
                <w:color w:val="000000"/>
                <w:sz w:val="22"/>
              </w:rPr>
              <w:t>1.167</w:t>
            </w:r>
          </w:p>
        </w:tc>
        <w:tc>
          <w:tcPr>
            <w:tcW w:w="921" w:type="dxa"/>
            <w:tcBorders>
              <w:top w:val="single" w:sz="4" w:space="0" w:color="auto"/>
              <w:left w:val="nil"/>
              <w:bottom w:val="single" w:sz="4" w:space="0" w:color="auto"/>
              <w:right w:val="single" w:sz="4" w:space="0" w:color="auto"/>
            </w:tcBorders>
            <w:vAlign w:val="center"/>
          </w:tcPr>
          <w:p w14:paraId="0E83C5E5" w14:textId="5C660285" w:rsidR="00B8233A" w:rsidRPr="001B4CA2" w:rsidRDefault="00B8233A" w:rsidP="00B8233A">
            <w:pPr>
              <w:jc w:val="center"/>
              <w:rPr>
                <w:bCs/>
                <w:sz w:val="18"/>
                <w:szCs w:val="18"/>
              </w:rPr>
            </w:pPr>
            <w:r w:rsidRPr="001B4CA2">
              <w:rPr>
                <w:rFonts w:ascii="Calibri" w:hAnsi="Calibri" w:cs="Calibri"/>
                <w:b/>
                <w:bCs/>
                <w:color w:val="000000"/>
                <w:sz w:val="22"/>
              </w:rPr>
              <w:t>1.896</w:t>
            </w:r>
          </w:p>
        </w:tc>
      </w:tr>
      <w:tr w:rsidR="00B8233A" w:rsidRPr="001B4CA2" w14:paraId="5B73B916"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5A99D" w14:textId="60E7E587"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turizma i sporta</w:t>
            </w:r>
          </w:p>
        </w:tc>
        <w:tc>
          <w:tcPr>
            <w:tcW w:w="730" w:type="dxa"/>
            <w:tcBorders>
              <w:top w:val="nil"/>
              <w:left w:val="nil"/>
              <w:bottom w:val="single" w:sz="4" w:space="0" w:color="auto"/>
              <w:right w:val="single" w:sz="4" w:space="0" w:color="auto"/>
            </w:tcBorders>
            <w:shd w:val="clear" w:color="auto" w:fill="auto"/>
            <w:noWrap/>
            <w:vAlign w:val="center"/>
          </w:tcPr>
          <w:p w14:paraId="65C8AD72" w14:textId="77777777" w:rsidR="00B8233A" w:rsidRPr="001B4CA2" w:rsidRDefault="00B8233A" w:rsidP="00B8233A">
            <w:pPr>
              <w:jc w:val="center"/>
              <w:rPr>
                <w:sz w:val="18"/>
                <w:szCs w:val="18"/>
              </w:rPr>
            </w:pPr>
          </w:p>
        </w:tc>
        <w:tc>
          <w:tcPr>
            <w:tcW w:w="734" w:type="dxa"/>
            <w:tcBorders>
              <w:top w:val="nil"/>
              <w:left w:val="nil"/>
              <w:bottom w:val="single" w:sz="4" w:space="0" w:color="auto"/>
              <w:right w:val="single" w:sz="4" w:space="0" w:color="auto"/>
            </w:tcBorders>
            <w:shd w:val="clear" w:color="auto" w:fill="auto"/>
            <w:noWrap/>
            <w:vAlign w:val="center"/>
          </w:tcPr>
          <w:p w14:paraId="5EB2DE35" w14:textId="27D1A5D4" w:rsidR="00B8233A" w:rsidRPr="001B4CA2" w:rsidRDefault="00B8233A" w:rsidP="00B8233A">
            <w:pPr>
              <w:jc w:val="center"/>
              <w:rPr>
                <w:sz w:val="18"/>
                <w:szCs w:val="18"/>
              </w:rPr>
            </w:pPr>
          </w:p>
        </w:tc>
        <w:tc>
          <w:tcPr>
            <w:tcW w:w="788" w:type="dxa"/>
            <w:tcBorders>
              <w:top w:val="nil"/>
              <w:left w:val="nil"/>
              <w:bottom w:val="single" w:sz="4" w:space="0" w:color="auto"/>
              <w:right w:val="single" w:sz="4" w:space="0" w:color="auto"/>
            </w:tcBorders>
            <w:shd w:val="clear" w:color="auto" w:fill="auto"/>
            <w:noWrap/>
            <w:vAlign w:val="center"/>
          </w:tcPr>
          <w:p w14:paraId="0F037165" w14:textId="3DBBA7D2" w:rsidR="00B8233A" w:rsidRPr="001B4CA2" w:rsidRDefault="00B8233A" w:rsidP="00B8233A">
            <w:pPr>
              <w:jc w:val="center"/>
              <w:rPr>
                <w:sz w:val="18"/>
                <w:szCs w:val="18"/>
              </w:rPr>
            </w:pPr>
            <w:r w:rsidRPr="001B4CA2">
              <w:rPr>
                <w:rFonts w:ascii="Calibri" w:hAnsi="Calibri" w:cs="Calibri"/>
                <w:color w:val="000000"/>
                <w:sz w:val="22"/>
              </w:rPr>
              <w:t>3</w:t>
            </w:r>
          </w:p>
        </w:tc>
        <w:tc>
          <w:tcPr>
            <w:tcW w:w="733" w:type="dxa"/>
            <w:tcBorders>
              <w:top w:val="nil"/>
              <w:left w:val="nil"/>
              <w:bottom w:val="single" w:sz="4" w:space="0" w:color="auto"/>
              <w:right w:val="single" w:sz="4" w:space="0" w:color="auto"/>
            </w:tcBorders>
            <w:shd w:val="clear" w:color="auto" w:fill="auto"/>
            <w:noWrap/>
            <w:vAlign w:val="center"/>
          </w:tcPr>
          <w:p w14:paraId="1221F6E0" w14:textId="77777777" w:rsidR="00B8233A" w:rsidRPr="001B4CA2" w:rsidRDefault="00B8233A" w:rsidP="00B8233A">
            <w:pPr>
              <w:jc w:val="center"/>
              <w:rPr>
                <w:sz w:val="18"/>
                <w:szCs w:val="18"/>
              </w:rPr>
            </w:pPr>
          </w:p>
        </w:tc>
        <w:tc>
          <w:tcPr>
            <w:tcW w:w="860" w:type="dxa"/>
            <w:tcBorders>
              <w:top w:val="nil"/>
              <w:left w:val="nil"/>
              <w:bottom w:val="single" w:sz="4" w:space="0" w:color="auto"/>
              <w:right w:val="single" w:sz="4" w:space="0" w:color="auto"/>
            </w:tcBorders>
            <w:shd w:val="clear" w:color="auto" w:fill="auto"/>
            <w:noWrap/>
            <w:vAlign w:val="center"/>
          </w:tcPr>
          <w:p w14:paraId="3C08B848" w14:textId="77777777" w:rsidR="00B8233A" w:rsidRPr="001B4CA2" w:rsidRDefault="00B8233A" w:rsidP="00B8233A">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359271E2" w14:textId="27A8874E" w:rsidR="00B8233A" w:rsidRPr="001B4CA2" w:rsidRDefault="00B8233A" w:rsidP="00B8233A">
            <w:pPr>
              <w:jc w:val="center"/>
              <w:rPr>
                <w:sz w:val="18"/>
                <w:szCs w:val="18"/>
              </w:rPr>
            </w:pPr>
            <w:r w:rsidRPr="001B4CA2">
              <w:rPr>
                <w:rFonts w:ascii="Calibri" w:hAnsi="Calibri" w:cs="Calibri"/>
                <w:color w:val="000000"/>
                <w:sz w:val="22"/>
              </w:rPr>
              <w:t>1</w:t>
            </w:r>
          </w:p>
        </w:tc>
        <w:tc>
          <w:tcPr>
            <w:tcW w:w="861" w:type="dxa"/>
            <w:tcBorders>
              <w:top w:val="nil"/>
              <w:left w:val="nil"/>
              <w:bottom w:val="single" w:sz="4" w:space="0" w:color="auto"/>
              <w:right w:val="single" w:sz="4" w:space="0" w:color="auto"/>
            </w:tcBorders>
            <w:shd w:val="clear" w:color="auto" w:fill="auto"/>
            <w:noWrap/>
            <w:vAlign w:val="center"/>
          </w:tcPr>
          <w:p w14:paraId="4E27A8C4" w14:textId="77777777"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628253D9" w14:textId="098ABC8F" w:rsidR="00B8233A" w:rsidRPr="001B4CA2" w:rsidRDefault="00B8233A" w:rsidP="00B8233A">
            <w:pPr>
              <w:jc w:val="center"/>
              <w:rPr>
                <w:sz w:val="18"/>
                <w:szCs w:val="18"/>
              </w:rPr>
            </w:pPr>
            <w:r w:rsidRPr="001B4CA2">
              <w:rPr>
                <w:rFonts w:ascii="Calibri" w:hAnsi="Calibri" w:cs="Calibri"/>
                <w:color w:val="000000"/>
                <w:sz w:val="22"/>
              </w:rPr>
              <w:t>1</w:t>
            </w:r>
          </w:p>
        </w:tc>
        <w:tc>
          <w:tcPr>
            <w:tcW w:w="716" w:type="dxa"/>
            <w:tcBorders>
              <w:top w:val="nil"/>
              <w:left w:val="nil"/>
              <w:bottom w:val="single" w:sz="4" w:space="0" w:color="auto"/>
              <w:right w:val="single" w:sz="4" w:space="0" w:color="auto"/>
            </w:tcBorders>
            <w:shd w:val="clear" w:color="auto" w:fill="auto"/>
            <w:noWrap/>
            <w:vAlign w:val="center"/>
          </w:tcPr>
          <w:p w14:paraId="3CD79435" w14:textId="77777777" w:rsidR="00B8233A" w:rsidRPr="001B4CA2" w:rsidRDefault="00B8233A" w:rsidP="00B8233A">
            <w:pPr>
              <w:jc w:val="center"/>
              <w:rPr>
                <w:sz w:val="18"/>
                <w:szCs w:val="18"/>
              </w:rPr>
            </w:pPr>
          </w:p>
        </w:tc>
        <w:tc>
          <w:tcPr>
            <w:tcW w:w="661" w:type="dxa"/>
            <w:tcBorders>
              <w:top w:val="nil"/>
              <w:left w:val="nil"/>
              <w:bottom w:val="single" w:sz="4" w:space="0" w:color="auto"/>
              <w:right w:val="single" w:sz="4" w:space="0" w:color="auto"/>
            </w:tcBorders>
            <w:shd w:val="clear" w:color="auto" w:fill="auto"/>
            <w:noWrap/>
            <w:vAlign w:val="center"/>
          </w:tcPr>
          <w:p w14:paraId="355D9011" w14:textId="77777777" w:rsidR="00B8233A" w:rsidRPr="001B4CA2" w:rsidRDefault="00B8233A" w:rsidP="00B8233A">
            <w:pPr>
              <w:jc w:val="center"/>
              <w:rPr>
                <w:sz w:val="18"/>
                <w:szCs w:val="18"/>
              </w:rPr>
            </w:pPr>
          </w:p>
        </w:tc>
        <w:tc>
          <w:tcPr>
            <w:tcW w:w="773" w:type="dxa"/>
            <w:tcBorders>
              <w:top w:val="nil"/>
              <w:left w:val="nil"/>
              <w:bottom w:val="single" w:sz="4" w:space="0" w:color="auto"/>
              <w:right w:val="single" w:sz="4" w:space="0" w:color="auto"/>
            </w:tcBorders>
            <w:shd w:val="clear" w:color="auto" w:fill="auto"/>
            <w:noWrap/>
            <w:vAlign w:val="center"/>
          </w:tcPr>
          <w:p w14:paraId="616CBBB5" w14:textId="040645AC" w:rsidR="00B8233A" w:rsidRPr="001B4CA2" w:rsidRDefault="00B8233A" w:rsidP="00B8233A">
            <w:pPr>
              <w:jc w:val="center"/>
              <w:rPr>
                <w:bCs/>
                <w:sz w:val="18"/>
                <w:szCs w:val="18"/>
              </w:rPr>
            </w:pPr>
            <w:r w:rsidRPr="001B4CA2">
              <w:rPr>
                <w:rFonts w:ascii="Calibri" w:hAnsi="Calibri" w:cs="Calibri"/>
                <w:bCs/>
                <w:color w:val="000000"/>
                <w:sz w:val="22"/>
              </w:rPr>
              <w:t>3</w:t>
            </w:r>
          </w:p>
        </w:tc>
        <w:tc>
          <w:tcPr>
            <w:tcW w:w="863" w:type="dxa"/>
            <w:tcBorders>
              <w:top w:val="nil"/>
              <w:left w:val="nil"/>
              <w:bottom w:val="single" w:sz="4" w:space="0" w:color="auto"/>
              <w:right w:val="single" w:sz="4" w:space="0" w:color="auto"/>
            </w:tcBorders>
            <w:shd w:val="clear" w:color="auto" w:fill="auto"/>
            <w:vAlign w:val="center"/>
          </w:tcPr>
          <w:p w14:paraId="2369FF4C" w14:textId="2FBA7F22" w:rsidR="00B8233A" w:rsidRPr="001B4CA2" w:rsidRDefault="00B8233A" w:rsidP="00B8233A">
            <w:pPr>
              <w:jc w:val="center"/>
              <w:rPr>
                <w:bCs/>
                <w:sz w:val="18"/>
                <w:szCs w:val="18"/>
              </w:rPr>
            </w:pPr>
            <w:r w:rsidRPr="001B4CA2">
              <w:rPr>
                <w:rFonts w:ascii="Calibri" w:hAnsi="Calibri" w:cs="Calibri"/>
                <w:bCs/>
                <w:color w:val="000000"/>
                <w:sz w:val="22"/>
              </w:rPr>
              <w:t>2</w:t>
            </w:r>
          </w:p>
        </w:tc>
        <w:tc>
          <w:tcPr>
            <w:tcW w:w="921" w:type="dxa"/>
            <w:tcBorders>
              <w:top w:val="nil"/>
              <w:left w:val="nil"/>
              <w:bottom w:val="single" w:sz="4" w:space="0" w:color="auto"/>
              <w:right w:val="single" w:sz="4" w:space="0" w:color="auto"/>
            </w:tcBorders>
            <w:vAlign w:val="center"/>
          </w:tcPr>
          <w:p w14:paraId="3473D9B5" w14:textId="2D7C475C" w:rsidR="00B8233A" w:rsidRPr="001B4CA2" w:rsidRDefault="00B8233A" w:rsidP="00B8233A">
            <w:pPr>
              <w:jc w:val="center"/>
              <w:rPr>
                <w:bCs/>
                <w:sz w:val="18"/>
                <w:szCs w:val="18"/>
              </w:rPr>
            </w:pPr>
            <w:r w:rsidRPr="001B4CA2">
              <w:rPr>
                <w:rFonts w:ascii="Calibri" w:hAnsi="Calibri" w:cs="Calibri"/>
                <w:b/>
                <w:bCs/>
                <w:color w:val="000000"/>
                <w:sz w:val="22"/>
              </w:rPr>
              <w:t>5</w:t>
            </w:r>
          </w:p>
        </w:tc>
      </w:tr>
      <w:tr w:rsidR="00B8233A" w:rsidRPr="001B4CA2" w14:paraId="65CE4903"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07403" w14:textId="054315C9"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znanosti i obrazovanja</w:t>
            </w:r>
          </w:p>
        </w:tc>
        <w:tc>
          <w:tcPr>
            <w:tcW w:w="730" w:type="dxa"/>
            <w:tcBorders>
              <w:top w:val="nil"/>
              <w:left w:val="nil"/>
              <w:bottom w:val="single" w:sz="4" w:space="0" w:color="auto"/>
              <w:right w:val="single" w:sz="4" w:space="0" w:color="auto"/>
            </w:tcBorders>
            <w:shd w:val="clear" w:color="auto" w:fill="auto"/>
            <w:noWrap/>
            <w:vAlign w:val="center"/>
          </w:tcPr>
          <w:p w14:paraId="1DBF439A" w14:textId="77777777" w:rsidR="00B8233A" w:rsidRPr="001B4CA2" w:rsidRDefault="00B8233A" w:rsidP="00B8233A">
            <w:pPr>
              <w:jc w:val="center"/>
              <w:rPr>
                <w:sz w:val="18"/>
                <w:szCs w:val="18"/>
              </w:rPr>
            </w:pPr>
          </w:p>
        </w:tc>
        <w:tc>
          <w:tcPr>
            <w:tcW w:w="734" w:type="dxa"/>
            <w:tcBorders>
              <w:top w:val="nil"/>
              <w:left w:val="nil"/>
              <w:bottom w:val="single" w:sz="4" w:space="0" w:color="auto"/>
              <w:right w:val="single" w:sz="4" w:space="0" w:color="auto"/>
            </w:tcBorders>
            <w:shd w:val="clear" w:color="auto" w:fill="auto"/>
            <w:noWrap/>
            <w:vAlign w:val="center"/>
          </w:tcPr>
          <w:p w14:paraId="4D911A60" w14:textId="77777777" w:rsidR="00B8233A" w:rsidRPr="001B4CA2" w:rsidRDefault="00B8233A" w:rsidP="00B8233A">
            <w:pPr>
              <w:jc w:val="center"/>
              <w:rPr>
                <w:sz w:val="18"/>
                <w:szCs w:val="18"/>
              </w:rPr>
            </w:pPr>
          </w:p>
        </w:tc>
        <w:tc>
          <w:tcPr>
            <w:tcW w:w="788" w:type="dxa"/>
            <w:tcBorders>
              <w:top w:val="nil"/>
              <w:left w:val="nil"/>
              <w:bottom w:val="single" w:sz="4" w:space="0" w:color="auto"/>
              <w:right w:val="single" w:sz="4" w:space="0" w:color="auto"/>
            </w:tcBorders>
            <w:shd w:val="clear" w:color="auto" w:fill="auto"/>
            <w:noWrap/>
            <w:vAlign w:val="center"/>
          </w:tcPr>
          <w:p w14:paraId="52ADB964" w14:textId="5A636B79" w:rsidR="00B8233A" w:rsidRPr="001B4CA2" w:rsidRDefault="00B8233A" w:rsidP="00B8233A">
            <w:pPr>
              <w:jc w:val="center"/>
              <w:rPr>
                <w:sz w:val="18"/>
                <w:szCs w:val="18"/>
              </w:rPr>
            </w:pPr>
            <w:r w:rsidRPr="001B4CA2">
              <w:rPr>
                <w:rFonts w:ascii="Calibri" w:hAnsi="Calibri" w:cs="Calibri"/>
                <w:color w:val="000000"/>
                <w:sz w:val="22"/>
              </w:rPr>
              <w:t>6</w:t>
            </w:r>
          </w:p>
        </w:tc>
        <w:tc>
          <w:tcPr>
            <w:tcW w:w="733" w:type="dxa"/>
            <w:tcBorders>
              <w:top w:val="nil"/>
              <w:left w:val="nil"/>
              <w:bottom w:val="single" w:sz="4" w:space="0" w:color="auto"/>
              <w:right w:val="single" w:sz="4" w:space="0" w:color="auto"/>
            </w:tcBorders>
            <w:shd w:val="clear" w:color="auto" w:fill="auto"/>
            <w:noWrap/>
            <w:vAlign w:val="center"/>
          </w:tcPr>
          <w:p w14:paraId="6DAE11C2" w14:textId="44DBB1D4" w:rsidR="00B8233A" w:rsidRPr="001B4CA2" w:rsidRDefault="00B8233A" w:rsidP="00B8233A">
            <w:pPr>
              <w:jc w:val="center"/>
              <w:rPr>
                <w:sz w:val="18"/>
                <w:szCs w:val="18"/>
              </w:rPr>
            </w:pPr>
            <w:r w:rsidRPr="001B4CA2">
              <w:rPr>
                <w:rFonts w:ascii="Calibri" w:hAnsi="Calibri" w:cs="Calibri"/>
                <w:color w:val="000000"/>
                <w:sz w:val="22"/>
              </w:rPr>
              <w:t>14</w:t>
            </w:r>
          </w:p>
        </w:tc>
        <w:tc>
          <w:tcPr>
            <w:tcW w:w="860" w:type="dxa"/>
            <w:tcBorders>
              <w:top w:val="nil"/>
              <w:left w:val="nil"/>
              <w:bottom w:val="single" w:sz="4" w:space="0" w:color="auto"/>
              <w:right w:val="single" w:sz="4" w:space="0" w:color="auto"/>
            </w:tcBorders>
            <w:shd w:val="clear" w:color="auto" w:fill="auto"/>
            <w:noWrap/>
            <w:vAlign w:val="center"/>
          </w:tcPr>
          <w:p w14:paraId="49EC36E9" w14:textId="77777777" w:rsidR="00B8233A" w:rsidRPr="001B4CA2" w:rsidRDefault="00B8233A" w:rsidP="00B8233A">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06037705" w14:textId="6BB9F9F4" w:rsidR="00B8233A" w:rsidRPr="001B4CA2" w:rsidRDefault="00B8233A" w:rsidP="00B8233A">
            <w:pPr>
              <w:jc w:val="center"/>
              <w:rPr>
                <w:sz w:val="18"/>
                <w:szCs w:val="18"/>
              </w:rPr>
            </w:pPr>
            <w:r w:rsidRPr="001B4CA2">
              <w:rPr>
                <w:rFonts w:ascii="Calibri" w:hAnsi="Calibri" w:cs="Calibri"/>
                <w:color w:val="000000"/>
                <w:sz w:val="22"/>
              </w:rPr>
              <w:t>3</w:t>
            </w:r>
          </w:p>
        </w:tc>
        <w:tc>
          <w:tcPr>
            <w:tcW w:w="861" w:type="dxa"/>
            <w:tcBorders>
              <w:top w:val="nil"/>
              <w:left w:val="nil"/>
              <w:bottom w:val="single" w:sz="4" w:space="0" w:color="auto"/>
              <w:right w:val="single" w:sz="4" w:space="0" w:color="auto"/>
            </w:tcBorders>
            <w:shd w:val="clear" w:color="auto" w:fill="auto"/>
            <w:noWrap/>
            <w:vAlign w:val="center"/>
          </w:tcPr>
          <w:p w14:paraId="4DF99D48" w14:textId="77777777"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7C13C246" w14:textId="33E0FA44" w:rsidR="00B8233A" w:rsidRPr="001B4CA2" w:rsidRDefault="00B8233A" w:rsidP="00B8233A">
            <w:pPr>
              <w:jc w:val="center"/>
              <w:rPr>
                <w:sz w:val="18"/>
                <w:szCs w:val="18"/>
              </w:rPr>
            </w:pPr>
            <w:r w:rsidRPr="001B4CA2">
              <w:rPr>
                <w:rFonts w:ascii="Calibri" w:hAnsi="Calibri" w:cs="Calibri"/>
                <w:color w:val="000000"/>
                <w:sz w:val="22"/>
              </w:rPr>
              <w:t>1</w:t>
            </w:r>
          </w:p>
        </w:tc>
        <w:tc>
          <w:tcPr>
            <w:tcW w:w="716" w:type="dxa"/>
            <w:tcBorders>
              <w:top w:val="nil"/>
              <w:left w:val="nil"/>
              <w:bottom w:val="single" w:sz="4" w:space="0" w:color="auto"/>
              <w:right w:val="single" w:sz="4" w:space="0" w:color="auto"/>
            </w:tcBorders>
            <w:shd w:val="clear" w:color="auto" w:fill="auto"/>
            <w:noWrap/>
            <w:vAlign w:val="center"/>
          </w:tcPr>
          <w:p w14:paraId="1D10DF95" w14:textId="77777777" w:rsidR="00B8233A" w:rsidRPr="001B4CA2" w:rsidRDefault="00B8233A" w:rsidP="00B8233A">
            <w:pPr>
              <w:jc w:val="center"/>
              <w:rPr>
                <w:sz w:val="18"/>
                <w:szCs w:val="18"/>
              </w:rPr>
            </w:pPr>
          </w:p>
        </w:tc>
        <w:tc>
          <w:tcPr>
            <w:tcW w:w="661" w:type="dxa"/>
            <w:tcBorders>
              <w:top w:val="nil"/>
              <w:left w:val="nil"/>
              <w:bottom w:val="single" w:sz="4" w:space="0" w:color="auto"/>
              <w:right w:val="single" w:sz="4" w:space="0" w:color="auto"/>
            </w:tcBorders>
            <w:shd w:val="clear" w:color="auto" w:fill="auto"/>
            <w:noWrap/>
            <w:vAlign w:val="center"/>
          </w:tcPr>
          <w:p w14:paraId="2B5E1D0A" w14:textId="77777777" w:rsidR="00B8233A" w:rsidRPr="001B4CA2" w:rsidRDefault="00B8233A" w:rsidP="00B8233A">
            <w:pPr>
              <w:jc w:val="center"/>
              <w:rPr>
                <w:sz w:val="18"/>
                <w:szCs w:val="18"/>
              </w:rPr>
            </w:pPr>
          </w:p>
        </w:tc>
        <w:tc>
          <w:tcPr>
            <w:tcW w:w="773" w:type="dxa"/>
            <w:tcBorders>
              <w:top w:val="nil"/>
              <w:left w:val="nil"/>
              <w:bottom w:val="single" w:sz="4" w:space="0" w:color="auto"/>
              <w:right w:val="single" w:sz="4" w:space="0" w:color="auto"/>
            </w:tcBorders>
            <w:shd w:val="clear" w:color="auto" w:fill="auto"/>
            <w:noWrap/>
            <w:vAlign w:val="center"/>
          </w:tcPr>
          <w:p w14:paraId="548CCE2A" w14:textId="71EADD74" w:rsidR="00B8233A" w:rsidRPr="001B4CA2" w:rsidRDefault="00B8233A" w:rsidP="00B8233A">
            <w:pPr>
              <w:jc w:val="center"/>
              <w:rPr>
                <w:bCs/>
                <w:sz w:val="18"/>
                <w:szCs w:val="18"/>
              </w:rPr>
            </w:pPr>
            <w:r w:rsidRPr="001B4CA2">
              <w:rPr>
                <w:rFonts w:ascii="Calibri" w:hAnsi="Calibri" w:cs="Calibri"/>
                <w:bCs/>
                <w:color w:val="000000"/>
                <w:sz w:val="22"/>
              </w:rPr>
              <w:t>6</w:t>
            </w:r>
          </w:p>
        </w:tc>
        <w:tc>
          <w:tcPr>
            <w:tcW w:w="863" w:type="dxa"/>
            <w:tcBorders>
              <w:top w:val="nil"/>
              <w:left w:val="nil"/>
              <w:bottom w:val="single" w:sz="4" w:space="0" w:color="auto"/>
              <w:right w:val="single" w:sz="4" w:space="0" w:color="auto"/>
            </w:tcBorders>
            <w:shd w:val="clear" w:color="auto" w:fill="auto"/>
            <w:vAlign w:val="center"/>
          </w:tcPr>
          <w:p w14:paraId="38CE10AD" w14:textId="00F2D5CD" w:rsidR="00B8233A" w:rsidRPr="001B4CA2" w:rsidRDefault="00B8233A" w:rsidP="00B8233A">
            <w:pPr>
              <w:jc w:val="center"/>
              <w:rPr>
                <w:bCs/>
                <w:sz w:val="18"/>
                <w:szCs w:val="18"/>
              </w:rPr>
            </w:pPr>
            <w:r w:rsidRPr="001B4CA2">
              <w:rPr>
                <w:rFonts w:ascii="Calibri" w:hAnsi="Calibri" w:cs="Calibri"/>
                <w:bCs/>
                <w:color w:val="000000"/>
                <w:sz w:val="22"/>
              </w:rPr>
              <w:t>18</w:t>
            </w:r>
          </w:p>
        </w:tc>
        <w:tc>
          <w:tcPr>
            <w:tcW w:w="921" w:type="dxa"/>
            <w:tcBorders>
              <w:top w:val="nil"/>
              <w:left w:val="nil"/>
              <w:bottom w:val="single" w:sz="4" w:space="0" w:color="auto"/>
              <w:right w:val="single" w:sz="4" w:space="0" w:color="auto"/>
            </w:tcBorders>
            <w:vAlign w:val="center"/>
          </w:tcPr>
          <w:p w14:paraId="54629A82" w14:textId="55CCEAD7" w:rsidR="00B8233A" w:rsidRPr="001B4CA2" w:rsidRDefault="00B8233A" w:rsidP="00B8233A">
            <w:pPr>
              <w:jc w:val="center"/>
              <w:rPr>
                <w:bCs/>
                <w:sz w:val="18"/>
                <w:szCs w:val="18"/>
              </w:rPr>
            </w:pPr>
            <w:r w:rsidRPr="001B4CA2">
              <w:rPr>
                <w:rFonts w:ascii="Calibri" w:hAnsi="Calibri" w:cs="Calibri"/>
                <w:b/>
                <w:bCs/>
                <w:color w:val="000000"/>
                <w:sz w:val="22"/>
              </w:rPr>
              <w:t>24</w:t>
            </w:r>
          </w:p>
        </w:tc>
      </w:tr>
      <w:tr w:rsidR="00B8233A" w:rsidRPr="001B4CA2" w14:paraId="1842A55B"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3E57C" w14:textId="2734CA40"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Ministarstvo kulture i medija</w:t>
            </w:r>
          </w:p>
        </w:tc>
        <w:tc>
          <w:tcPr>
            <w:tcW w:w="730" w:type="dxa"/>
            <w:tcBorders>
              <w:top w:val="nil"/>
              <w:left w:val="nil"/>
              <w:bottom w:val="single" w:sz="4" w:space="0" w:color="auto"/>
              <w:right w:val="single" w:sz="4" w:space="0" w:color="auto"/>
            </w:tcBorders>
            <w:shd w:val="clear" w:color="auto" w:fill="auto"/>
            <w:noWrap/>
            <w:vAlign w:val="center"/>
          </w:tcPr>
          <w:p w14:paraId="1D17A762" w14:textId="77777777" w:rsidR="00B8233A" w:rsidRPr="001B4CA2" w:rsidRDefault="00B8233A" w:rsidP="00B8233A">
            <w:pPr>
              <w:jc w:val="center"/>
              <w:rPr>
                <w:sz w:val="18"/>
                <w:szCs w:val="18"/>
              </w:rPr>
            </w:pPr>
          </w:p>
        </w:tc>
        <w:tc>
          <w:tcPr>
            <w:tcW w:w="734" w:type="dxa"/>
            <w:tcBorders>
              <w:top w:val="nil"/>
              <w:left w:val="nil"/>
              <w:bottom w:val="single" w:sz="4" w:space="0" w:color="auto"/>
              <w:right w:val="single" w:sz="4" w:space="0" w:color="auto"/>
            </w:tcBorders>
            <w:shd w:val="clear" w:color="auto" w:fill="auto"/>
            <w:noWrap/>
            <w:vAlign w:val="center"/>
          </w:tcPr>
          <w:p w14:paraId="2F7D0C35" w14:textId="77777777" w:rsidR="00B8233A" w:rsidRPr="001B4CA2" w:rsidRDefault="00B8233A" w:rsidP="00B8233A">
            <w:pPr>
              <w:jc w:val="center"/>
              <w:rPr>
                <w:sz w:val="18"/>
                <w:szCs w:val="18"/>
              </w:rPr>
            </w:pPr>
          </w:p>
        </w:tc>
        <w:tc>
          <w:tcPr>
            <w:tcW w:w="788" w:type="dxa"/>
            <w:tcBorders>
              <w:top w:val="nil"/>
              <w:left w:val="nil"/>
              <w:bottom w:val="single" w:sz="4" w:space="0" w:color="auto"/>
              <w:right w:val="single" w:sz="4" w:space="0" w:color="auto"/>
            </w:tcBorders>
            <w:shd w:val="clear" w:color="auto" w:fill="auto"/>
            <w:noWrap/>
            <w:vAlign w:val="center"/>
          </w:tcPr>
          <w:p w14:paraId="6B4A0A2B" w14:textId="7B4EFBED" w:rsidR="00B8233A" w:rsidRPr="001B4CA2" w:rsidRDefault="00B8233A" w:rsidP="00B8233A">
            <w:pPr>
              <w:jc w:val="center"/>
              <w:rPr>
                <w:sz w:val="18"/>
                <w:szCs w:val="18"/>
              </w:rPr>
            </w:pPr>
            <w:r w:rsidRPr="001B4CA2">
              <w:rPr>
                <w:rFonts w:ascii="Calibri" w:hAnsi="Calibri" w:cs="Calibri"/>
                <w:color w:val="000000"/>
                <w:sz w:val="22"/>
              </w:rPr>
              <w:t>4</w:t>
            </w:r>
          </w:p>
        </w:tc>
        <w:tc>
          <w:tcPr>
            <w:tcW w:w="733" w:type="dxa"/>
            <w:tcBorders>
              <w:top w:val="nil"/>
              <w:left w:val="nil"/>
              <w:bottom w:val="single" w:sz="4" w:space="0" w:color="auto"/>
              <w:right w:val="single" w:sz="4" w:space="0" w:color="auto"/>
            </w:tcBorders>
            <w:shd w:val="clear" w:color="auto" w:fill="auto"/>
            <w:noWrap/>
            <w:vAlign w:val="center"/>
          </w:tcPr>
          <w:p w14:paraId="12750750" w14:textId="144946A8" w:rsidR="00B8233A" w:rsidRPr="001B4CA2" w:rsidRDefault="00B8233A" w:rsidP="00B8233A">
            <w:pPr>
              <w:jc w:val="center"/>
              <w:rPr>
                <w:sz w:val="18"/>
                <w:szCs w:val="18"/>
              </w:rPr>
            </w:pPr>
            <w:r w:rsidRPr="001B4CA2">
              <w:rPr>
                <w:rFonts w:ascii="Calibri" w:hAnsi="Calibri" w:cs="Calibri"/>
                <w:color w:val="000000"/>
                <w:sz w:val="22"/>
              </w:rPr>
              <w:t>1</w:t>
            </w:r>
          </w:p>
        </w:tc>
        <w:tc>
          <w:tcPr>
            <w:tcW w:w="860" w:type="dxa"/>
            <w:tcBorders>
              <w:top w:val="nil"/>
              <w:left w:val="nil"/>
              <w:bottom w:val="single" w:sz="4" w:space="0" w:color="auto"/>
              <w:right w:val="single" w:sz="4" w:space="0" w:color="auto"/>
            </w:tcBorders>
            <w:shd w:val="clear" w:color="auto" w:fill="auto"/>
            <w:noWrap/>
            <w:vAlign w:val="center"/>
          </w:tcPr>
          <w:p w14:paraId="2EA64CEC" w14:textId="77777777" w:rsidR="00B8233A" w:rsidRPr="001B4CA2" w:rsidRDefault="00B8233A" w:rsidP="00B8233A">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3CE1D0CD" w14:textId="5A285AB8" w:rsidR="00B8233A" w:rsidRPr="001B4CA2" w:rsidRDefault="00B8233A" w:rsidP="00B8233A">
            <w:pPr>
              <w:jc w:val="center"/>
              <w:rPr>
                <w:sz w:val="18"/>
                <w:szCs w:val="18"/>
              </w:rPr>
            </w:pPr>
            <w:r w:rsidRPr="001B4CA2">
              <w:rPr>
                <w:rFonts w:ascii="Calibri" w:hAnsi="Calibri" w:cs="Calibri"/>
                <w:color w:val="000000"/>
                <w:sz w:val="22"/>
              </w:rPr>
              <w:t>2</w:t>
            </w:r>
          </w:p>
        </w:tc>
        <w:tc>
          <w:tcPr>
            <w:tcW w:w="861" w:type="dxa"/>
            <w:tcBorders>
              <w:top w:val="nil"/>
              <w:left w:val="nil"/>
              <w:bottom w:val="single" w:sz="4" w:space="0" w:color="auto"/>
              <w:right w:val="single" w:sz="4" w:space="0" w:color="auto"/>
            </w:tcBorders>
            <w:shd w:val="clear" w:color="auto" w:fill="auto"/>
            <w:noWrap/>
            <w:vAlign w:val="center"/>
          </w:tcPr>
          <w:p w14:paraId="3E1424DC" w14:textId="77777777"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25D6E457" w14:textId="58EDCC6E" w:rsidR="00B8233A" w:rsidRPr="001B4CA2" w:rsidRDefault="00B8233A" w:rsidP="00B8233A">
            <w:pPr>
              <w:jc w:val="center"/>
              <w:rPr>
                <w:sz w:val="18"/>
                <w:szCs w:val="18"/>
              </w:rPr>
            </w:pPr>
          </w:p>
        </w:tc>
        <w:tc>
          <w:tcPr>
            <w:tcW w:w="716" w:type="dxa"/>
            <w:tcBorders>
              <w:top w:val="nil"/>
              <w:left w:val="nil"/>
              <w:bottom w:val="single" w:sz="4" w:space="0" w:color="auto"/>
              <w:right w:val="single" w:sz="4" w:space="0" w:color="auto"/>
            </w:tcBorders>
            <w:shd w:val="clear" w:color="auto" w:fill="auto"/>
            <w:noWrap/>
            <w:vAlign w:val="center"/>
          </w:tcPr>
          <w:p w14:paraId="40029DF8" w14:textId="77777777" w:rsidR="00B8233A" w:rsidRPr="001B4CA2" w:rsidRDefault="00B8233A" w:rsidP="00B8233A">
            <w:pPr>
              <w:jc w:val="center"/>
              <w:rPr>
                <w:sz w:val="18"/>
                <w:szCs w:val="18"/>
              </w:rPr>
            </w:pPr>
          </w:p>
        </w:tc>
        <w:tc>
          <w:tcPr>
            <w:tcW w:w="661" w:type="dxa"/>
            <w:tcBorders>
              <w:top w:val="nil"/>
              <w:left w:val="nil"/>
              <w:bottom w:val="single" w:sz="4" w:space="0" w:color="auto"/>
              <w:right w:val="single" w:sz="4" w:space="0" w:color="auto"/>
            </w:tcBorders>
            <w:shd w:val="clear" w:color="auto" w:fill="auto"/>
            <w:noWrap/>
            <w:vAlign w:val="center"/>
          </w:tcPr>
          <w:p w14:paraId="3F730E0F" w14:textId="77777777" w:rsidR="00B8233A" w:rsidRPr="001B4CA2" w:rsidRDefault="00B8233A" w:rsidP="00B8233A">
            <w:pPr>
              <w:jc w:val="center"/>
              <w:rPr>
                <w:sz w:val="18"/>
                <w:szCs w:val="18"/>
              </w:rPr>
            </w:pPr>
          </w:p>
        </w:tc>
        <w:tc>
          <w:tcPr>
            <w:tcW w:w="773" w:type="dxa"/>
            <w:tcBorders>
              <w:top w:val="nil"/>
              <w:left w:val="nil"/>
              <w:bottom w:val="single" w:sz="4" w:space="0" w:color="auto"/>
              <w:right w:val="single" w:sz="4" w:space="0" w:color="auto"/>
            </w:tcBorders>
            <w:shd w:val="clear" w:color="auto" w:fill="auto"/>
            <w:noWrap/>
            <w:vAlign w:val="center"/>
          </w:tcPr>
          <w:p w14:paraId="3BEF1C8F" w14:textId="2D40CEC2" w:rsidR="00B8233A" w:rsidRPr="001B4CA2" w:rsidRDefault="00B8233A" w:rsidP="00B8233A">
            <w:pPr>
              <w:jc w:val="center"/>
              <w:rPr>
                <w:bCs/>
                <w:sz w:val="18"/>
                <w:szCs w:val="18"/>
              </w:rPr>
            </w:pPr>
            <w:r w:rsidRPr="001B4CA2">
              <w:rPr>
                <w:rFonts w:ascii="Calibri" w:hAnsi="Calibri" w:cs="Calibri"/>
                <w:bCs/>
                <w:color w:val="000000"/>
                <w:sz w:val="22"/>
              </w:rPr>
              <w:t>4</w:t>
            </w:r>
          </w:p>
        </w:tc>
        <w:tc>
          <w:tcPr>
            <w:tcW w:w="863" w:type="dxa"/>
            <w:tcBorders>
              <w:top w:val="nil"/>
              <w:left w:val="nil"/>
              <w:bottom w:val="single" w:sz="4" w:space="0" w:color="auto"/>
              <w:right w:val="single" w:sz="4" w:space="0" w:color="auto"/>
            </w:tcBorders>
            <w:shd w:val="clear" w:color="auto" w:fill="auto"/>
            <w:vAlign w:val="center"/>
          </w:tcPr>
          <w:p w14:paraId="5F275BE2" w14:textId="5C9DF9A1" w:rsidR="00B8233A" w:rsidRPr="001B4CA2" w:rsidRDefault="00B8233A" w:rsidP="00B8233A">
            <w:pPr>
              <w:jc w:val="center"/>
              <w:rPr>
                <w:bCs/>
                <w:sz w:val="18"/>
                <w:szCs w:val="18"/>
              </w:rPr>
            </w:pPr>
            <w:r w:rsidRPr="001B4CA2">
              <w:rPr>
                <w:rFonts w:ascii="Calibri" w:hAnsi="Calibri" w:cs="Calibri"/>
                <w:bCs/>
                <w:color w:val="000000"/>
                <w:sz w:val="22"/>
              </w:rPr>
              <w:t>3</w:t>
            </w:r>
          </w:p>
        </w:tc>
        <w:tc>
          <w:tcPr>
            <w:tcW w:w="921" w:type="dxa"/>
            <w:tcBorders>
              <w:top w:val="nil"/>
              <w:left w:val="nil"/>
              <w:bottom w:val="single" w:sz="4" w:space="0" w:color="auto"/>
              <w:right w:val="single" w:sz="4" w:space="0" w:color="auto"/>
            </w:tcBorders>
            <w:vAlign w:val="center"/>
          </w:tcPr>
          <w:p w14:paraId="03FCE750" w14:textId="6B4293FA" w:rsidR="00B8233A" w:rsidRPr="001B4CA2" w:rsidRDefault="00B8233A" w:rsidP="00B8233A">
            <w:pPr>
              <w:jc w:val="center"/>
              <w:rPr>
                <w:bCs/>
                <w:sz w:val="18"/>
                <w:szCs w:val="18"/>
              </w:rPr>
            </w:pPr>
            <w:r w:rsidRPr="001B4CA2">
              <w:rPr>
                <w:rFonts w:ascii="Calibri" w:hAnsi="Calibri" w:cs="Calibri"/>
                <w:b/>
                <w:bCs/>
                <w:color w:val="000000"/>
                <w:sz w:val="22"/>
              </w:rPr>
              <w:t>7</w:t>
            </w:r>
          </w:p>
        </w:tc>
      </w:tr>
      <w:tr w:rsidR="00B8233A" w:rsidRPr="001B4CA2" w14:paraId="2943880F"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E5DDD" w14:textId="3D9AB626"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Središnji državni ured za obnovu i stambeno zbrinjavanje</w:t>
            </w:r>
          </w:p>
        </w:tc>
        <w:tc>
          <w:tcPr>
            <w:tcW w:w="730" w:type="dxa"/>
            <w:tcBorders>
              <w:top w:val="nil"/>
              <w:left w:val="nil"/>
              <w:bottom w:val="single" w:sz="4" w:space="0" w:color="auto"/>
              <w:right w:val="single" w:sz="4" w:space="0" w:color="auto"/>
            </w:tcBorders>
            <w:shd w:val="clear" w:color="auto" w:fill="auto"/>
            <w:noWrap/>
            <w:vAlign w:val="center"/>
          </w:tcPr>
          <w:p w14:paraId="3AF3BDE7" w14:textId="35439720" w:rsidR="00B8233A" w:rsidRPr="001B4CA2" w:rsidRDefault="00B8233A" w:rsidP="00B8233A">
            <w:pPr>
              <w:jc w:val="center"/>
              <w:rPr>
                <w:sz w:val="18"/>
                <w:szCs w:val="18"/>
              </w:rPr>
            </w:pPr>
            <w:r w:rsidRPr="001B4CA2">
              <w:rPr>
                <w:rFonts w:ascii="Calibri" w:hAnsi="Calibri" w:cs="Calibri"/>
                <w:color w:val="000000"/>
                <w:sz w:val="22"/>
              </w:rPr>
              <w:t>27</w:t>
            </w:r>
          </w:p>
        </w:tc>
        <w:tc>
          <w:tcPr>
            <w:tcW w:w="734" w:type="dxa"/>
            <w:tcBorders>
              <w:top w:val="nil"/>
              <w:left w:val="nil"/>
              <w:bottom w:val="single" w:sz="4" w:space="0" w:color="auto"/>
              <w:right w:val="single" w:sz="4" w:space="0" w:color="auto"/>
            </w:tcBorders>
            <w:shd w:val="clear" w:color="auto" w:fill="auto"/>
            <w:noWrap/>
            <w:vAlign w:val="center"/>
          </w:tcPr>
          <w:p w14:paraId="33C91FDC" w14:textId="6C7BD5F9" w:rsidR="00B8233A" w:rsidRPr="001B4CA2" w:rsidRDefault="00B8233A" w:rsidP="00B8233A">
            <w:pPr>
              <w:jc w:val="center"/>
              <w:rPr>
                <w:sz w:val="18"/>
                <w:szCs w:val="18"/>
              </w:rPr>
            </w:pPr>
            <w:r w:rsidRPr="001B4CA2">
              <w:rPr>
                <w:rFonts w:ascii="Calibri" w:hAnsi="Calibri" w:cs="Calibri"/>
                <w:color w:val="000000"/>
                <w:sz w:val="22"/>
              </w:rPr>
              <w:t>11</w:t>
            </w:r>
          </w:p>
        </w:tc>
        <w:tc>
          <w:tcPr>
            <w:tcW w:w="788" w:type="dxa"/>
            <w:tcBorders>
              <w:top w:val="nil"/>
              <w:left w:val="nil"/>
              <w:bottom w:val="single" w:sz="4" w:space="0" w:color="auto"/>
              <w:right w:val="single" w:sz="4" w:space="0" w:color="auto"/>
            </w:tcBorders>
            <w:shd w:val="clear" w:color="auto" w:fill="auto"/>
            <w:noWrap/>
            <w:vAlign w:val="center"/>
          </w:tcPr>
          <w:p w14:paraId="45D805B3" w14:textId="79526BEE" w:rsidR="00B8233A" w:rsidRPr="001B4CA2" w:rsidRDefault="00B8233A" w:rsidP="00B8233A">
            <w:pPr>
              <w:jc w:val="center"/>
              <w:rPr>
                <w:sz w:val="18"/>
                <w:szCs w:val="18"/>
              </w:rPr>
            </w:pPr>
            <w:r w:rsidRPr="001B4CA2">
              <w:rPr>
                <w:rFonts w:ascii="Calibri" w:hAnsi="Calibri" w:cs="Calibri"/>
                <w:color w:val="000000"/>
                <w:sz w:val="22"/>
              </w:rPr>
              <w:t>251</w:t>
            </w:r>
          </w:p>
        </w:tc>
        <w:tc>
          <w:tcPr>
            <w:tcW w:w="733" w:type="dxa"/>
            <w:tcBorders>
              <w:top w:val="nil"/>
              <w:left w:val="nil"/>
              <w:bottom w:val="single" w:sz="4" w:space="0" w:color="auto"/>
              <w:right w:val="single" w:sz="4" w:space="0" w:color="auto"/>
            </w:tcBorders>
            <w:shd w:val="clear" w:color="auto" w:fill="auto"/>
            <w:noWrap/>
            <w:vAlign w:val="center"/>
          </w:tcPr>
          <w:p w14:paraId="0B5F8882" w14:textId="24D92FAD" w:rsidR="00B8233A" w:rsidRPr="001B4CA2" w:rsidRDefault="00B8233A" w:rsidP="00B8233A">
            <w:pPr>
              <w:jc w:val="center"/>
              <w:rPr>
                <w:sz w:val="18"/>
                <w:szCs w:val="18"/>
              </w:rPr>
            </w:pPr>
            <w:r w:rsidRPr="001B4CA2">
              <w:rPr>
                <w:rFonts w:ascii="Calibri" w:hAnsi="Calibri" w:cs="Calibri"/>
                <w:color w:val="000000"/>
                <w:sz w:val="22"/>
              </w:rPr>
              <w:t>278</w:t>
            </w:r>
          </w:p>
        </w:tc>
        <w:tc>
          <w:tcPr>
            <w:tcW w:w="860" w:type="dxa"/>
            <w:tcBorders>
              <w:top w:val="nil"/>
              <w:left w:val="nil"/>
              <w:bottom w:val="single" w:sz="4" w:space="0" w:color="auto"/>
              <w:right w:val="single" w:sz="4" w:space="0" w:color="auto"/>
            </w:tcBorders>
            <w:shd w:val="clear" w:color="auto" w:fill="auto"/>
            <w:noWrap/>
            <w:vAlign w:val="center"/>
          </w:tcPr>
          <w:p w14:paraId="6B04ACF4" w14:textId="0E8CC120" w:rsidR="00B8233A" w:rsidRPr="001B4CA2" w:rsidRDefault="00B8233A" w:rsidP="00B8233A">
            <w:pPr>
              <w:jc w:val="center"/>
              <w:rPr>
                <w:sz w:val="18"/>
                <w:szCs w:val="18"/>
              </w:rPr>
            </w:pPr>
            <w:r w:rsidRPr="001B4CA2">
              <w:rPr>
                <w:rFonts w:ascii="Calibri" w:hAnsi="Calibri" w:cs="Calibri"/>
                <w:color w:val="000000"/>
                <w:sz w:val="22"/>
              </w:rPr>
              <w:t>49</w:t>
            </w:r>
          </w:p>
        </w:tc>
        <w:tc>
          <w:tcPr>
            <w:tcW w:w="718" w:type="dxa"/>
            <w:tcBorders>
              <w:top w:val="nil"/>
              <w:left w:val="nil"/>
              <w:bottom w:val="single" w:sz="4" w:space="0" w:color="auto"/>
              <w:right w:val="single" w:sz="4" w:space="0" w:color="auto"/>
            </w:tcBorders>
            <w:shd w:val="clear" w:color="auto" w:fill="auto"/>
            <w:noWrap/>
            <w:vAlign w:val="center"/>
          </w:tcPr>
          <w:p w14:paraId="2D6C02A7" w14:textId="5F54C278" w:rsidR="00B8233A" w:rsidRPr="001B4CA2" w:rsidRDefault="00B8233A" w:rsidP="00B8233A">
            <w:pPr>
              <w:jc w:val="center"/>
              <w:rPr>
                <w:sz w:val="18"/>
                <w:szCs w:val="18"/>
              </w:rPr>
            </w:pPr>
            <w:r w:rsidRPr="001B4CA2">
              <w:rPr>
                <w:rFonts w:ascii="Calibri" w:hAnsi="Calibri" w:cs="Calibri"/>
                <w:color w:val="000000"/>
                <w:sz w:val="22"/>
              </w:rPr>
              <w:t>2</w:t>
            </w:r>
          </w:p>
        </w:tc>
        <w:tc>
          <w:tcPr>
            <w:tcW w:w="861" w:type="dxa"/>
            <w:tcBorders>
              <w:top w:val="nil"/>
              <w:left w:val="nil"/>
              <w:bottom w:val="single" w:sz="4" w:space="0" w:color="auto"/>
              <w:right w:val="single" w:sz="4" w:space="0" w:color="auto"/>
            </w:tcBorders>
            <w:shd w:val="clear" w:color="auto" w:fill="auto"/>
            <w:noWrap/>
            <w:vAlign w:val="center"/>
          </w:tcPr>
          <w:p w14:paraId="23AE9DCE" w14:textId="35C88DF9"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7CE8B934" w14:textId="69FB6684" w:rsidR="00B8233A" w:rsidRPr="001B4CA2" w:rsidRDefault="00B8233A" w:rsidP="00B8233A">
            <w:pPr>
              <w:jc w:val="center"/>
              <w:rPr>
                <w:sz w:val="18"/>
                <w:szCs w:val="18"/>
              </w:rPr>
            </w:pPr>
          </w:p>
        </w:tc>
        <w:tc>
          <w:tcPr>
            <w:tcW w:w="716" w:type="dxa"/>
            <w:tcBorders>
              <w:top w:val="nil"/>
              <w:left w:val="nil"/>
              <w:bottom w:val="single" w:sz="4" w:space="0" w:color="auto"/>
              <w:right w:val="single" w:sz="4" w:space="0" w:color="auto"/>
            </w:tcBorders>
            <w:shd w:val="clear" w:color="auto" w:fill="auto"/>
            <w:noWrap/>
            <w:vAlign w:val="center"/>
          </w:tcPr>
          <w:p w14:paraId="07160A23" w14:textId="6C98C6B8" w:rsidR="00B8233A" w:rsidRPr="001B4CA2" w:rsidRDefault="00B8233A" w:rsidP="00B8233A">
            <w:pPr>
              <w:jc w:val="center"/>
              <w:rPr>
                <w:sz w:val="18"/>
                <w:szCs w:val="18"/>
              </w:rPr>
            </w:pPr>
            <w:r w:rsidRPr="001B4CA2">
              <w:rPr>
                <w:rFonts w:ascii="Calibri" w:hAnsi="Calibri" w:cs="Calibri"/>
                <w:color w:val="000000"/>
                <w:sz w:val="22"/>
              </w:rPr>
              <w:t>34</w:t>
            </w:r>
          </w:p>
        </w:tc>
        <w:tc>
          <w:tcPr>
            <w:tcW w:w="661" w:type="dxa"/>
            <w:tcBorders>
              <w:top w:val="nil"/>
              <w:left w:val="nil"/>
              <w:bottom w:val="single" w:sz="4" w:space="0" w:color="auto"/>
              <w:right w:val="single" w:sz="4" w:space="0" w:color="auto"/>
            </w:tcBorders>
            <w:shd w:val="clear" w:color="auto" w:fill="auto"/>
            <w:noWrap/>
            <w:vAlign w:val="center"/>
          </w:tcPr>
          <w:p w14:paraId="738F9922" w14:textId="431F04CE" w:rsidR="00B8233A" w:rsidRPr="001B4CA2" w:rsidRDefault="00B8233A" w:rsidP="00B8233A">
            <w:pPr>
              <w:jc w:val="center"/>
              <w:rPr>
                <w:sz w:val="18"/>
                <w:szCs w:val="18"/>
              </w:rPr>
            </w:pPr>
            <w:r w:rsidRPr="001B4CA2">
              <w:rPr>
                <w:rFonts w:ascii="Calibri" w:hAnsi="Calibri" w:cs="Calibri"/>
                <w:color w:val="000000"/>
                <w:sz w:val="22"/>
              </w:rPr>
              <w:t>2</w:t>
            </w:r>
          </w:p>
        </w:tc>
        <w:tc>
          <w:tcPr>
            <w:tcW w:w="773" w:type="dxa"/>
            <w:tcBorders>
              <w:top w:val="nil"/>
              <w:left w:val="nil"/>
              <w:bottom w:val="single" w:sz="4" w:space="0" w:color="auto"/>
              <w:right w:val="single" w:sz="4" w:space="0" w:color="auto"/>
            </w:tcBorders>
            <w:shd w:val="clear" w:color="auto" w:fill="auto"/>
            <w:noWrap/>
            <w:vAlign w:val="center"/>
          </w:tcPr>
          <w:p w14:paraId="66F2A4EF" w14:textId="40F23606" w:rsidR="00B8233A" w:rsidRPr="001B4CA2" w:rsidRDefault="00B8233A" w:rsidP="00B8233A">
            <w:pPr>
              <w:jc w:val="center"/>
              <w:rPr>
                <w:bCs/>
                <w:sz w:val="18"/>
                <w:szCs w:val="18"/>
              </w:rPr>
            </w:pPr>
            <w:r w:rsidRPr="001B4CA2">
              <w:rPr>
                <w:rFonts w:ascii="Calibri" w:hAnsi="Calibri" w:cs="Calibri"/>
                <w:bCs/>
                <w:color w:val="000000"/>
                <w:sz w:val="22"/>
              </w:rPr>
              <w:t>361</w:t>
            </w:r>
          </w:p>
        </w:tc>
        <w:tc>
          <w:tcPr>
            <w:tcW w:w="863" w:type="dxa"/>
            <w:tcBorders>
              <w:top w:val="nil"/>
              <w:left w:val="nil"/>
              <w:bottom w:val="single" w:sz="4" w:space="0" w:color="auto"/>
              <w:right w:val="single" w:sz="4" w:space="0" w:color="auto"/>
            </w:tcBorders>
            <w:shd w:val="clear" w:color="auto" w:fill="auto"/>
            <w:vAlign w:val="center"/>
          </w:tcPr>
          <w:p w14:paraId="05AE6122" w14:textId="18758DAB" w:rsidR="00B8233A" w:rsidRPr="001B4CA2" w:rsidRDefault="00B8233A" w:rsidP="00B8233A">
            <w:pPr>
              <w:jc w:val="center"/>
              <w:rPr>
                <w:bCs/>
                <w:sz w:val="18"/>
                <w:szCs w:val="18"/>
              </w:rPr>
            </w:pPr>
            <w:r w:rsidRPr="001B4CA2">
              <w:rPr>
                <w:rFonts w:ascii="Calibri" w:hAnsi="Calibri" w:cs="Calibri"/>
                <w:bCs/>
                <w:color w:val="000000"/>
                <w:sz w:val="22"/>
              </w:rPr>
              <w:t>293</w:t>
            </w:r>
          </w:p>
        </w:tc>
        <w:tc>
          <w:tcPr>
            <w:tcW w:w="921" w:type="dxa"/>
            <w:tcBorders>
              <w:top w:val="nil"/>
              <w:left w:val="nil"/>
              <w:bottom w:val="single" w:sz="4" w:space="0" w:color="auto"/>
              <w:right w:val="single" w:sz="4" w:space="0" w:color="auto"/>
            </w:tcBorders>
            <w:vAlign w:val="center"/>
          </w:tcPr>
          <w:p w14:paraId="0DD115F1" w14:textId="00950F13" w:rsidR="00B8233A" w:rsidRPr="001B4CA2" w:rsidRDefault="00B8233A" w:rsidP="00B8233A">
            <w:pPr>
              <w:jc w:val="center"/>
              <w:rPr>
                <w:bCs/>
                <w:sz w:val="18"/>
                <w:szCs w:val="18"/>
              </w:rPr>
            </w:pPr>
            <w:r w:rsidRPr="001B4CA2">
              <w:rPr>
                <w:rFonts w:ascii="Calibri" w:hAnsi="Calibri" w:cs="Calibri"/>
                <w:b/>
                <w:bCs/>
                <w:color w:val="000000"/>
                <w:sz w:val="22"/>
              </w:rPr>
              <w:t>654</w:t>
            </w:r>
          </w:p>
        </w:tc>
      </w:tr>
      <w:tr w:rsidR="00B8233A" w:rsidRPr="001B4CA2" w14:paraId="0F7BBEE5"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6232" w14:textId="13A8619D"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Državne nekretnine d.o.o.</w:t>
            </w:r>
          </w:p>
        </w:tc>
        <w:tc>
          <w:tcPr>
            <w:tcW w:w="730" w:type="dxa"/>
            <w:tcBorders>
              <w:top w:val="nil"/>
              <w:left w:val="nil"/>
              <w:bottom w:val="single" w:sz="4" w:space="0" w:color="auto"/>
              <w:right w:val="single" w:sz="4" w:space="0" w:color="auto"/>
            </w:tcBorders>
            <w:shd w:val="clear" w:color="auto" w:fill="auto"/>
            <w:noWrap/>
            <w:vAlign w:val="center"/>
          </w:tcPr>
          <w:p w14:paraId="620EDB39" w14:textId="364D291F" w:rsidR="00B8233A" w:rsidRPr="001B4CA2" w:rsidRDefault="00B8233A" w:rsidP="00B8233A">
            <w:pPr>
              <w:jc w:val="center"/>
              <w:rPr>
                <w:sz w:val="18"/>
                <w:szCs w:val="18"/>
              </w:rPr>
            </w:pPr>
            <w:r w:rsidRPr="001B4CA2">
              <w:rPr>
                <w:rFonts w:ascii="Calibri" w:hAnsi="Calibri" w:cs="Calibri"/>
                <w:color w:val="000000"/>
                <w:sz w:val="22"/>
              </w:rPr>
              <w:t>62</w:t>
            </w:r>
          </w:p>
        </w:tc>
        <w:tc>
          <w:tcPr>
            <w:tcW w:w="734" w:type="dxa"/>
            <w:tcBorders>
              <w:top w:val="nil"/>
              <w:left w:val="nil"/>
              <w:bottom w:val="single" w:sz="4" w:space="0" w:color="auto"/>
              <w:right w:val="single" w:sz="4" w:space="0" w:color="auto"/>
            </w:tcBorders>
            <w:shd w:val="clear" w:color="auto" w:fill="auto"/>
            <w:noWrap/>
            <w:vAlign w:val="center"/>
          </w:tcPr>
          <w:p w14:paraId="6EFD0959" w14:textId="3B1FDF9C" w:rsidR="00B8233A" w:rsidRPr="001B4CA2" w:rsidRDefault="00B8233A" w:rsidP="00B8233A">
            <w:pPr>
              <w:jc w:val="center"/>
              <w:rPr>
                <w:sz w:val="18"/>
                <w:szCs w:val="18"/>
              </w:rPr>
            </w:pPr>
            <w:r w:rsidRPr="001B4CA2">
              <w:rPr>
                <w:rFonts w:ascii="Calibri" w:hAnsi="Calibri" w:cs="Calibri"/>
                <w:color w:val="000000"/>
                <w:sz w:val="22"/>
              </w:rPr>
              <w:t>3</w:t>
            </w:r>
          </w:p>
        </w:tc>
        <w:tc>
          <w:tcPr>
            <w:tcW w:w="788" w:type="dxa"/>
            <w:tcBorders>
              <w:top w:val="nil"/>
              <w:left w:val="nil"/>
              <w:bottom w:val="single" w:sz="4" w:space="0" w:color="auto"/>
              <w:right w:val="single" w:sz="4" w:space="0" w:color="auto"/>
            </w:tcBorders>
            <w:shd w:val="clear" w:color="auto" w:fill="auto"/>
            <w:noWrap/>
            <w:vAlign w:val="center"/>
          </w:tcPr>
          <w:p w14:paraId="7C5C8DE5" w14:textId="29446228" w:rsidR="00B8233A" w:rsidRPr="001B4CA2" w:rsidRDefault="00B8233A" w:rsidP="00B8233A">
            <w:pPr>
              <w:jc w:val="center"/>
              <w:rPr>
                <w:sz w:val="18"/>
                <w:szCs w:val="18"/>
              </w:rPr>
            </w:pPr>
            <w:r w:rsidRPr="001B4CA2">
              <w:rPr>
                <w:rFonts w:ascii="Calibri" w:hAnsi="Calibri" w:cs="Calibri"/>
                <w:color w:val="000000"/>
                <w:sz w:val="22"/>
              </w:rPr>
              <w:t>353</w:t>
            </w:r>
          </w:p>
        </w:tc>
        <w:tc>
          <w:tcPr>
            <w:tcW w:w="733" w:type="dxa"/>
            <w:tcBorders>
              <w:top w:val="nil"/>
              <w:left w:val="nil"/>
              <w:bottom w:val="single" w:sz="4" w:space="0" w:color="auto"/>
              <w:right w:val="single" w:sz="4" w:space="0" w:color="auto"/>
            </w:tcBorders>
            <w:shd w:val="clear" w:color="auto" w:fill="auto"/>
            <w:noWrap/>
            <w:vAlign w:val="center"/>
          </w:tcPr>
          <w:p w14:paraId="05BC800F" w14:textId="3AF7FBC0" w:rsidR="00B8233A" w:rsidRPr="001B4CA2" w:rsidRDefault="00B8233A" w:rsidP="00B8233A">
            <w:pPr>
              <w:jc w:val="center"/>
              <w:rPr>
                <w:sz w:val="18"/>
                <w:szCs w:val="18"/>
              </w:rPr>
            </w:pPr>
            <w:r w:rsidRPr="001B4CA2">
              <w:rPr>
                <w:rFonts w:ascii="Calibri" w:hAnsi="Calibri" w:cs="Calibri"/>
                <w:color w:val="000000"/>
                <w:sz w:val="22"/>
              </w:rPr>
              <w:t>18</w:t>
            </w:r>
          </w:p>
        </w:tc>
        <w:tc>
          <w:tcPr>
            <w:tcW w:w="860" w:type="dxa"/>
            <w:tcBorders>
              <w:top w:val="nil"/>
              <w:left w:val="nil"/>
              <w:bottom w:val="single" w:sz="4" w:space="0" w:color="auto"/>
              <w:right w:val="single" w:sz="4" w:space="0" w:color="auto"/>
            </w:tcBorders>
            <w:shd w:val="clear" w:color="auto" w:fill="auto"/>
            <w:noWrap/>
            <w:vAlign w:val="center"/>
          </w:tcPr>
          <w:p w14:paraId="2B896849" w14:textId="4A2A87B2" w:rsidR="00B8233A" w:rsidRPr="001B4CA2" w:rsidRDefault="00B8233A" w:rsidP="00B8233A">
            <w:pPr>
              <w:jc w:val="center"/>
              <w:rPr>
                <w:sz w:val="18"/>
                <w:szCs w:val="18"/>
              </w:rPr>
            </w:pPr>
            <w:r w:rsidRPr="001B4CA2">
              <w:rPr>
                <w:rFonts w:ascii="Calibri" w:hAnsi="Calibri" w:cs="Calibri"/>
                <w:color w:val="000000"/>
                <w:sz w:val="22"/>
              </w:rPr>
              <w:t>5</w:t>
            </w:r>
          </w:p>
        </w:tc>
        <w:tc>
          <w:tcPr>
            <w:tcW w:w="718" w:type="dxa"/>
            <w:tcBorders>
              <w:top w:val="nil"/>
              <w:left w:val="nil"/>
              <w:bottom w:val="single" w:sz="4" w:space="0" w:color="auto"/>
              <w:right w:val="single" w:sz="4" w:space="0" w:color="auto"/>
            </w:tcBorders>
            <w:shd w:val="clear" w:color="auto" w:fill="auto"/>
            <w:noWrap/>
            <w:vAlign w:val="center"/>
          </w:tcPr>
          <w:p w14:paraId="51729222" w14:textId="5CA48CC8" w:rsidR="00B8233A" w:rsidRPr="001B4CA2" w:rsidRDefault="00B8233A" w:rsidP="00B8233A">
            <w:pPr>
              <w:jc w:val="center"/>
              <w:rPr>
                <w:sz w:val="18"/>
                <w:szCs w:val="18"/>
              </w:rPr>
            </w:pPr>
            <w:r w:rsidRPr="001B4CA2">
              <w:rPr>
                <w:rFonts w:ascii="Calibri" w:hAnsi="Calibri" w:cs="Calibri"/>
                <w:color w:val="000000"/>
                <w:sz w:val="22"/>
              </w:rPr>
              <w:t>2</w:t>
            </w:r>
          </w:p>
        </w:tc>
        <w:tc>
          <w:tcPr>
            <w:tcW w:w="861" w:type="dxa"/>
            <w:tcBorders>
              <w:top w:val="nil"/>
              <w:left w:val="nil"/>
              <w:bottom w:val="single" w:sz="4" w:space="0" w:color="auto"/>
              <w:right w:val="single" w:sz="4" w:space="0" w:color="auto"/>
            </w:tcBorders>
            <w:shd w:val="clear" w:color="auto" w:fill="auto"/>
            <w:noWrap/>
            <w:vAlign w:val="center"/>
          </w:tcPr>
          <w:p w14:paraId="335D057C" w14:textId="602D3806"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12A82570" w14:textId="6C0D9580" w:rsidR="00B8233A" w:rsidRPr="001B4CA2" w:rsidRDefault="00B8233A" w:rsidP="00B8233A">
            <w:pPr>
              <w:jc w:val="center"/>
              <w:rPr>
                <w:sz w:val="18"/>
                <w:szCs w:val="18"/>
              </w:rPr>
            </w:pPr>
          </w:p>
        </w:tc>
        <w:tc>
          <w:tcPr>
            <w:tcW w:w="716" w:type="dxa"/>
            <w:tcBorders>
              <w:top w:val="nil"/>
              <w:left w:val="nil"/>
              <w:bottom w:val="single" w:sz="4" w:space="0" w:color="auto"/>
              <w:right w:val="single" w:sz="4" w:space="0" w:color="auto"/>
            </w:tcBorders>
            <w:shd w:val="clear" w:color="auto" w:fill="auto"/>
            <w:noWrap/>
            <w:vAlign w:val="center"/>
          </w:tcPr>
          <w:p w14:paraId="57B106CA" w14:textId="1808209D" w:rsidR="00B8233A" w:rsidRPr="001B4CA2" w:rsidRDefault="00B8233A" w:rsidP="00B8233A">
            <w:pPr>
              <w:jc w:val="center"/>
              <w:rPr>
                <w:sz w:val="18"/>
                <w:szCs w:val="18"/>
              </w:rPr>
            </w:pPr>
            <w:r w:rsidRPr="001B4CA2">
              <w:rPr>
                <w:rFonts w:ascii="Calibri" w:hAnsi="Calibri" w:cs="Calibri"/>
                <w:color w:val="000000"/>
                <w:sz w:val="22"/>
              </w:rPr>
              <w:t>1</w:t>
            </w:r>
          </w:p>
        </w:tc>
        <w:tc>
          <w:tcPr>
            <w:tcW w:w="661" w:type="dxa"/>
            <w:tcBorders>
              <w:top w:val="nil"/>
              <w:left w:val="nil"/>
              <w:bottom w:val="single" w:sz="4" w:space="0" w:color="auto"/>
              <w:right w:val="single" w:sz="4" w:space="0" w:color="auto"/>
            </w:tcBorders>
            <w:shd w:val="clear" w:color="auto" w:fill="auto"/>
            <w:noWrap/>
            <w:vAlign w:val="center"/>
          </w:tcPr>
          <w:p w14:paraId="3D5E49B3" w14:textId="77777777" w:rsidR="00B8233A" w:rsidRPr="001B4CA2" w:rsidRDefault="00B8233A" w:rsidP="00B8233A">
            <w:pPr>
              <w:jc w:val="center"/>
              <w:rPr>
                <w:sz w:val="18"/>
                <w:szCs w:val="18"/>
              </w:rPr>
            </w:pPr>
          </w:p>
        </w:tc>
        <w:tc>
          <w:tcPr>
            <w:tcW w:w="773" w:type="dxa"/>
            <w:tcBorders>
              <w:top w:val="nil"/>
              <w:left w:val="nil"/>
              <w:bottom w:val="single" w:sz="4" w:space="0" w:color="auto"/>
              <w:right w:val="single" w:sz="4" w:space="0" w:color="auto"/>
            </w:tcBorders>
            <w:shd w:val="clear" w:color="auto" w:fill="auto"/>
            <w:noWrap/>
            <w:vAlign w:val="center"/>
          </w:tcPr>
          <w:p w14:paraId="653E3B75" w14:textId="15710227" w:rsidR="00B8233A" w:rsidRPr="001B4CA2" w:rsidRDefault="00B8233A" w:rsidP="00B8233A">
            <w:pPr>
              <w:jc w:val="center"/>
              <w:rPr>
                <w:bCs/>
                <w:sz w:val="18"/>
                <w:szCs w:val="18"/>
              </w:rPr>
            </w:pPr>
            <w:r w:rsidRPr="001B4CA2">
              <w:rPr>
                <w:rFonts w:ascii="Calibri" w:hAnsi="Calibri" w:cs="Calibri"/>
                <w:bCs/>
                <w:color w:val="000000"/>
                <w:sz w:val="22"/>
              </w:rPr>
              <w:t>421</w:t>
            </w:r>
          </w:p>
        </w:tc>
        <w:tc>
          <w:tcPr>
            <w:tcW w:w="863" w:type="dxa"/>
            <w:tcBorders>
              <w:top w:val="nil"/>
              <w:left w:val="nil"/>
              <w:bottom w:val="single" w:sz="4" w:space="0" w:color="auto"/>
              <w:right w:val="single" w:sz="4" w:space="0" w:color="auto"/>
            </w:tcBorders>
            <w:shd w:val="clear" w:color="auto" w:fill="auto"/>
            <w:vAlign w:val="center"/>
          </w:tcPr>
          <w:p w14:paraId="1F7BD2C5" w14:textId="59C94F9D" w:rsidR="00B8233A" w:rsidRPr="001B4CA2" w:rsidRDefault="00B8233A" w:rsidP="00B8233A">
            <w:pPr>
              <w:jc w:val="center"/>
              <w:rPr>
                <w:bCs/>
                <w:sz w:val="18"/>
                <w:szCs w:val="18"/>
              </w:rPr>
            </w:pPr>
            <w:r w:rsidRPr="001B4CA2">
              <w:rPr>
                <w:rFonts w:ascii="Calibri" w:hAnsi="Calibri" w:cs="Calibri"/>
                <w:bCs/>
                <w:color w:val="000000"/>
                <w:sz w:val="22"/>
              </w:rPr>
              <w:t>23</w:t>
            </w:r>
          </w:p>
        </w:tc>
        <w:tc>
          <w:tcPr>
            <w:tcW w:w="921" w:type="dxa"/>
            <w:tcBorders>
              <w:top w:val="nil"/>
              <w:left w:val="nil"/>
              <w:bottom w:val="single" w:sz="4" w:space="0" w:color="auto"/>
              <w:right w:val="single" w:sz="4" w:space="0" w:color="auto"/>
            </w:tcBorders>
            <w:vAlign w:val="center"/>
          </w:tcPr>
          <w:p w14:paraId="6C518C2E" w14:textId="70997E6D" w:rsidR="00B8233A" w:rsidRPr="001B4CA2" w:rsidRDefault="00B8233A" w:rsidP="00B8233A">
            <w:pPr>
              <w:jc w:val="center"/>
              <w:rPr>
                <w:bCs/>
                <w:sz w:val="18"/>
                <w:szCs w:val="18"/>
              </w:rPr>
            </w:pPr>
            <w:r w:rsidRPr="001B4CA2">
              <w:rPr>
                <w:rFonts w:ascii="Calibri" w:hAnsi="Calibri" w:cs="Calibri"/>
                <w:b/>
                <w:bCs/>
                <w:color w:val="000000"/>
                <w:sz w:val="22"/>
              </w:rPr>
              <w:t>444</w:t>
            </w:r>
          </w:p>
        </w:tc>
      </w:tr>
      <w:tr w:rsidR="00B8233A" w:rsidRPr="001B4CA2" w14:paraId="14178902" w14:textId="77777777" w:rsidTr="009C5AEE">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7062D" w14:textId="78BECB57" w:rsidR="00B8233A" w:rsidRPr="001B4CA2" w:rsidRDefault="00B8233A" w:rsidP="00B8233A">
            <w:pPr>
              <w:jc w:val="left"/>
              <w:rPr>
                <w:rFonts w:eastAsia="Times New Roman"/>
                <w:bCs/>
                <w:sz w:val="18"/>
                <w:szCs w:val="18"/>
                <w:lang w:eastAsia="hr-HR"/>
              </w:rPr>
            </w:pPr>
            <w:r w:rsidRPr="001B4CA2">
              <w:rPr>
                <w:rFonts w:eastAsia="Times New Roman"/>
                <w:bCs/>
                <w:sz w:val="18"/>
                <w:szCs w:val="18"/>
                <w:lang w:eastAsia="hr-HR"/>
              </w:rPr>
              <w:t>Ostali</w:t>
            </w:r>
          </w:p>
        </w:tc>
        <w:tc>
          <w:tcPr>
            <w:tcW w:w="730" w:type="dxa"/>
            <w:tcBorders>
              <w:top w:val="nil"/>
              <w:left w:val="nil"/>
              <w:bottom w:val="single" w:sz="4" w:space="0" w:color="auto"/>
              <w:right w:val="single" w:sz="4" w:space="0" w:color="auto"/>
            </w:tcBorders>
            <w:shd w:val="clear" w:color="auto" w:fill="auto"/>
            <w:noWrap/>
            <w:vAlign w:val="center"/>
          </w:tcPr>
          <w:p w14:paraId="3A949B8E" w14:textId="0361F90D" w:rsidR="00B8233A" w:rsidRPr="001B4CA2" w:rsidRDefault="00B8233A" w:rsidP="00B8233A">
            <w:pPr>
              <w:jc w:val="center"/>
              <w:rPr>
                <w:sz w:val="18"/>
                <w:szCs w:val="18"/>
              </w:rPr>
            </w:pPr>
            <w:r w:rsidRPr="001B4CA2">
              <w:rPr>
                <w:rFonts w:ascii="Calibri" w:hAnsi="Calibri" w:cs="Calibri"/>
                <w:color w:val="000000"/>
                <w:sz w:val="22"/>
              </w:rPr>
              <w:t>2</w:t>
            </w:r>
          </w:p>
        </w:tc>
        <w:tc>
          <w:tcPr>
            <w:tcW w:w="734" w:type="dxa"/>
            <w:tcBorders>
              <w:top w:val="nil"/>
              <w:left w:val="nil"/>
              <w:bottom w:val="single" w:sz="4" w:space="0" w:color="auto"/>
              <w:right w:val="single" w:sz="4" w:space="0" w:color="auto"/>
            </w:tcBorders>
            <w:shd w:val="clear" w:color="auto" w:fill="auto"/>
            <w:noWrap/>
            <w:vAlign w:val="center"/>
          </w:tcPr>
          <w:p w14:paraId="72205AB1" w14:textId="6044FFC4" w:rsidR="00B8233A" w:rsidRPr="001B4CA2" w:rsidRDefault="00B8233A" w:rsidP="00B8233A">
            <w:pPr>
              <w:jc w:val="center"/>
              <w:rPr>
                <w:sz w:val="18"/>
                <w:szCs w:val="18"/>
              </w:rPr>
            </w:pPr>
            <w:r w:rsidRPr="001B4CA2">
              <w:rPr>
                <w:rFonts w:ascii="Calibri" w:hAnsi="Calibri" w:cs="Calibri"/>
                <w:color w:val="000000"/>
                <w:sz w:val="22"/>
              </w:rPr>
              <w:t>4</w:t>
            </w:r>
          </w:p>
        </w:tc>
        <w:tc>
          <w:tcPr>
            <w:tcW w:w="788" w:type="dxa"/>
            <w:tcBorders>
              <w:top w:val="nil"/>
              <w:left w:val="nil"/>
              <w:bottom w:val="single" w:sz="4" w:space="0" w:color="auto"/>
              <w:right w:val="single" w:sz="4" w:space="0" w:color="auto"/>
            </w:tcBorders>
            <w:shd w:val="clear" w:color="auto" w:fill="auto"/>
            <w:noWrap/>
            <w:vAlign w:val="center"/>
          </w:tcPr>
          <w:p w14:paraId="5E443CC6" w14:textId="0807C41E" w:rsidR="00B8233A" w:rsidRPr="001B4CA2" w:rsidRDefault="00B8233A" w:rsidP="00B8233A">
            <w:pPr>
              <w:jc w:val="center"/>
              <w:rPr>
                <w:sz w:val="18"/>
                <w:szCs w:val="18"/>
              </w:rPr>
            </w:pPr>
            <w:r w:rsidRPr="001B4CA2">
              <w:rPr>
                <w:rFonts w:ascii="Calibri" w:hAnsi="Calibri" w:cs="Calibri"/>
                <w:color w:val="000000"/>
                <w:sz w:val="22"/>
              </w:rPr>
              <w:t>26</w:t>
            </w:r>
          </w:p>
        </w:tc>
        <w:tc>
          <w:tcPr>
            <w:tcW w:w="733" w:type="dxa"/>
            <w:tcBorders>
              <w:top w:val="nil"/>
              <w:left w:val="nil"/>
              <w:bottom w:val="single" w:sz="4" w:space="0" w:color="auto"/>
              <w:right w:val="single" w:sz="4" w:space="0" w:color="auto"/>
            </w:tcBorders>
            <w:shd w:val="clear" w:color="auto" w:fill="auto"/>
            <w:noWrap/>
            <w:vAlign w:val="center"/>
          </w:tcPr>
          <w:p w14:paraId="7ADC5729" w14:textId="424B914A" w:rsidR="00B8233A" w:rsidRPr="001B4CA2" w:rsidRDefault="00B8233A" w:rsidP="00B8233A">
            <w:pPr>
              <w:jc w:val="center"/>
              <w:rPr>
                <w:sz w:val="18"/>
                <w:szCs w:val="18"/>
              </w:rPr>
            </w:pPr>
            <w:r w:rsidRPr="001B4CA2">
              <w:rPr>
                <w:rFonts w:ascii="Calibri" w:hAnsi="Calibri" w:cs="Calibri"/>
                <w:color w:val="000000"/>
                <w:sz w:val="22"/>
              </w:rPr>
              <w:t>9</w:t>
            </w:r>
          </w:p>
        </w:tc>
        <w:tc>
          <w:tcPr>
            <w:tcW w:w="860" w:type="dxa"/>
            <w:tcBorders>
              <w:top w:val="nil"/>
              <w:left w:val="nil"/>
              <w:bottom w:val="single" w:sz="4" w:space="0" w:color="auto"/>
              <w:right w:val="single" w:sz="4" w:space="0" w:color="auto"/>
            </w:tcBorders>
            <w:shd w:val="clear" w:color="auto" w:fill="auto"/>
            <w:noWrap/>
            <w:vAlign w:val="center"/>
          </w:tcPr>
          <w:p w14:paraId="7208BAED" w14:textId="0835845D" w:rsidR="00B8233A" w:rsidRPr="001B4CA2" w:rsidRDefault="00B8233A" w:rsidP="00B8233A">
            <w:pPr>
              <w:jc w:val="center"/>
              <w:rPr>
                <w:sz w:val="18"/>
                <w:szCs w:val="18"/>
              </w:rPr>
            </w:pPr>
            <w:r w:rsidRPr="001B4CA2">
              <w:rPr>
                <w:rFonts w:ascii="Calibri" w:hAnsi="Calibri" w:cs="Calibri"/>
                <w:color w:val="000000"/>
                <w:sz w:val="22"/>
              </w:rPr>
              <w:t>13</w:t>
            </w:r>
          </w:p>
        </w:tc>
        <w:tc>
          <w:tcPr>
            <w:tcW w:w="718" w:type="dxa"/>
            <w:tcBorders>
              <w:top w:val="nil"/>
              <w:left w:val="nil"/>
              <w:bottom w:val="single" w:sz="4" w:space="0" w:color="auto"/>
              <w:right w:val="single" w:sz="4" w:space="0" w:color="auto"/>
            </w:tcBorders>
            <w:shd w:val="clear" w:color="auto" w:fill="auto"/>
            <w:noWrap/>
            <w:vAlign w:val="center"/>
          </w:tcPr>
          <w:p w14:paraId="53F7F9AD" w14:textId="58FE708B" w:rsidR="00B8233A" w:rsidRPr="001B4CA2" w:rsidRDefault="00B8233A" w:rsidP="00B8233A">
            <w:pPr>
              <w:jc w:val="center"/>
              <w:rPr>
                <w:sz w:val="18"/>
                <w:szCs w:val="18"/>
              </w:rPr>
            </w:pPr>
            <w:r w:rsidRPr="001B4CA2">
              <w:rPr>
                <w:rFonts w:ascii="Calibri" w:hAnsi="Calibri" w:cs="Calibri"/>
                <w:color w:val="000000"/>
                <w:sz w:val="22"/>
              </w:rPr>
              <w:t>10</w:t>
            </w:r>
          </w:p>
        </w:tc>
        <w:tc>
          <w:tcPr>
            <w:tcW w:w="861" w:type="dxa"/>
            <w:tcBorders>
              <w:top w:val="nil"/>
              <w:left w:val="nil"/>
              <w:bottom w:val="single" w:sz="4" w:space="0" w:color="auto"/>
              <w:right w:val="single" w:sz="4" w:space="0" w:color="auto"/>
            </w:tcBorders>
            <w:shd w:val="clear" w:color="auto" w:fill="auto"/>
            <w:noWrap/>
            <w:vAlign w:val="center"/>
          </w:tcPr>
          <w:p w14:paraId="6B324B1F" w14:textId="0AD7EF58" w:rsidR="00B8233A" w:rsidRPr="001B4CA2" w:rsidRDefault="00B8233A" w:rsidP="00B8233A">
            <w:pPr>
              <w:jc w:val="center"/>
              <w:rPr>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0378C5F9" w14:textId="0CD5D256" w:rsidR="00B8233A" w:rsidRPr="001B4CA2" w:rsidRDefault="00B8233A" w:rsidP="00B8233A">
            <w:pPr>
              <w:jc w:val="center"/>
              <w:rPr>
                <w:sz w:val="18"/>
                <w:szCs w:val="18"/>
              </w:rPr>
            </w:pPr>
            <w:r w:rsidRPr="001B4CA2">
              <w:rPr>
                <w:rFonts w:ascii="Calibri" w:hAnsi="Calibri" w:cs="Calibri"/>
                <w:color w:val="000000"/>
                <w:sz w:val="22"/>
              </w:rPr>
              <w:t>9</w:t>
            </w:r>
          </w:p>
        </w:tc>
        <w:tc>
          <w:tcPr>
            <w:tcW w:w="716" w:type="dxa"/>
            <w:tcBorders>
              <w:top w:val="nil"/>
              <w:left w:val="nil"/>
              <w:bottom w:val="single" w:sz="4" w:space="0" w:color="auto"/>
              <w:right w:val="single" w:sz="4" w:space="0" w:color="auto"/>
            </w:tcBorders>
            <w:shd w:val="clear" w:color="auto" w:fill="auto"/>
            <w:noWrap/>
            <w:vAlign w:val="center"/>
          </w:tcPr>
          <w:p w14:paraId="4B4F8F8A" w14:textId="28599F23" w:rsidR="00B8233A" w:rsidRPr="001B4CA2" w:rsidRDefault="00B8233A" w:rsidP="00B8233A">
            <w:pPr>
              <w:jc w:val="center"/>
              <w:rPr>
                <w:sz w:val="18"/>
                <w:szCs w:val="18"/>
              </w:rPr>
            </w:pPr>
          </w:p>
        </w:tc>
        <w:tc>
          <w:tcPr>
            <w:tcW w:w="661" w:type="dxa"/>
            <w:tcBorders>
              <w:top w:val="nil"/>
              <w:left w:val="nil"/>
              <w:bottom w:val="single" w:sz="4" w:space="0" w:color="auto"/>
              <w:right w:val="single" w:sz="4" w:space="0" w:color="auto"/>
            </w:tcBorders>
            <w:shd w:val="clear" w:color="auto" w:fill="auto"/>
            <w:noWrap/>
            <w:vAlign w:val="center"/>
          </w:tcPr>
          <w:p w14:paraId="46426FCF" w14:textId="01F2F088" w:rsidR="00B8233A" w:rsidRPr="001B4CA2" w:rsidRDefault="00B8233A" w:rsidP="00B8233A">
            <w:pPr>
              <w:jc w:val="center"/>
              <w:rPr>
                <w:sz w:val="18"/>
                <w:szCs w:val="18"/>
              </w:rPr>
            </w:pPr>
          </w:p>
        </w:tc>
        <w:tc>
          <w:tcPr>
            <w:tcW w:w="773" w:type="dxa"/>
            <w:tcBorders>
              <w:top w:val="nil"/>
              <w:left w:val="nil"/>
              <w:bottom w:val="single" w:sz="4" w:space="0" w:color="auto"/>
              <w:right w:val="single" w:sz="4" w:space="0" w:color="auto"/>
            </w:tcBorders>
            <w:shd w:val="clear" w:color="auto" w:fill="auto"/>
            <w:noWrap/>
            <w:vAlign w:val="center"/>
          </w:tcPr>
          <w:p w14:paraId="7DC82765" w14:textId="753CAB27" w:rsidR="00B8233A" w:rsidRPr="001B4CA2" w:rsidRDefault="00B8233A" w:rsidP="00B8233A">
            <w:pPr>
              <w:jc w:val="center"/>
              <w:rPr>
                <w:bCs/>
                <w:sz w:val="18"/>
                <w:szCs w:val="18"/>
              </w:rPr>
            </w:pPr>
            <w:r w:rsidRPr="001B4CA2">
              <w:rPr>
                <w:rFonts w:ascii="Calibri" w:hAnsi="Calibri" w:cs="Calibri"/>
                <w:bCs/>
                <w:color w:val="000000"/>
                <w:sz w:val="22"/>
              </w:rPr>
              <w:t>41</w:t>
            </w:r>
          </w:p>
        </w:tc>
        <w:tc>
          <w:tcPr>
            <w:tcW w:w="863" w:type="dxa"/>
            <w:tcBorders>
              <w:top w:val="nil"/>
              <w:left w:val="nil"/>
              <w:bottom w:val="single" w:sz="4" w:space="0" w:color="auto"/>
              <w:right w:val="single" w:sz="4" w:space="0" w:color="auto"/>
            </w:tcBorders>
            <w:shd w:val="clear" w:color="auto" w:fill="auto"/>
            <w:vAlign w:val="center"/>
          </w:tcPr>
          <w:p w14:paraId="029C4DAC" w14:textId="6EDEB4D6" w:rsidR="00B8233A" w:rsidRPr="001B4CA2" w:rsidRDefault="00B8233A" w:rsidP="00B8233A">
            <w:pPr>
              <w:jc w:val="center"/>
              <w:rPr>
                <w:bCs/>
                <w:sz w:val="18"/>
                <w:szCs w:val="18"/>
              </w:rPr>
            </w:pPr>
            <w:r w:rsidRPr="001B4CA2">
              <w:rPr>
                <w:rFonts w:ascii="Calibri" w:hAnsi="Calibri" w:cs="Calibri"/>
                <w:bCs/>
                <w:color w:val="000000"/>
                <w:sz w:val="22"/>
              </w:rPr>
              <w:t>32</w:t>
            </w:r>
          </w:p>
        </w:tc>
        <w:tc>
          <w:tcPr>
            <w:tcW w:w="921" w:type="dxa"/>
            <w:tcBorders>
              <w:top w:val="nil"/>
              <w:left w:val="nil"/>
              <w:bottom w:val="single" w:sz="4" w:space="0" w:color="auto"/>
              <w:right w:val="single" w:sz="4" w:space="0" w:color="auto"/>
            </w:tcBorders>
            <w:vAlign w:val="center"/>
          </w:tcPr>
          <w:p w14:paraId="415C7C40" w14:textId="0A5D6BD9" w:rsidR="00B8233A" w:rsidRPr="001B4CA2" w:rsidRDefault="00B8233A" w:rsidP="00B8233A">
            <w:pPr>
              <w:jc w:val="center"/>
              <w:rPr>
                <w:bCs/>
                <w:sz w:val="18"/>
                <w:szCs w:val="18"/>
              </w:rPr>
            </w:pPr>
            <w:r w:rsidRPr="001B4CA2">
              <w:rPr>
                <w:rFonts w:ascii="Calibri" w:hAnsi="Calibri" w:cs="Calibri"/>
                <w:b/>
                <w:bCs/>
                <w:color w:val="000000"/>
                <w:sz w:val="22"/>
              </w:rPr>
              <w:t>73</w:t>
            </w:r>
          </w:p>
        </w:tc>
      </w:tr>
      <w:tr w:rsidR="00B8233A" w:rsidRPr="001B4CA2" w14:paraId="780286CB" w14:textId="77777777" w:rsidTr="009C5AEE">
        <w:trPr>
          <w:trHeight w:hRule="exact" w:val="248"/>
          <w:jc w:val="center"/>
        </w:trPr>
        <w:tc>
          <w:tcPr>
            <w:tcW w:w="5558" w:type="dxa"/>
            <w:vMerge w:val="restart"/>
            <w:tcBorders>
              <w:top w:val="single" w:sz="4" w:space="0" w:color="auto"/>
              <w:left w:val="single" w:sz="4" w:space="0" w:color="auto"/>
              <w:right w:val="single" w:sz="4" w:space="0" w:color="auto"/>
            </w:tcBorders>
            <w:shd w:val="clear" w:color="auto" w:fill="auto"/>
            <w:noWrap/>
            <w:vAlign w:val="center"/>
            <w:hideMark/>
          </w:tcPr>
          <w:p w14:paraId="65EFCF77" w14:textId="0A460D64" w:rsidR="00B8233A" w:rsidRPr="001B4CA2" w:rsidRDefault="00B8233A" w:rsidP="00B8233A">
            <w:pPr>
              <w:jc w:val="left"/>
              <w:rPr>
                <w:rFonts w:eastAsia="Times New Roman"/>
                <w:b/>
                <w:bCs/>
                <w:sz w:val="18"/>
                <w:szCs w:val="18"/>
                <w:lang w:eastAsia="hr-HR"/>
              </w:rPr>
            </w:pPr>
            <w:r w:rsidRPr="001B4CA2">
              <w:rPr>
                <w:rFonts w:eastAsia="Times New Roman"/>
                <w:b/>
                <w:bCs/>
                <w:sz w:val="18"/>
                <w:szCs w:val="18"/>
                <w:lang w:eastAsia="hr-HR"/>
              </w:rPr>
              <w:t>UKUPNO</w:t>
            </w:r>
          </w:p>
        </w:tc>
        <w:tc>
          <w:tcPr>
            <w:tcW w:w="730" w:type="dxa"/>
            <w:tcBorders>
              <w:top w:val="nil"/>
              <w:left w:val="nil"/>
              <w:bottom w:val="nil"/>
              <w:right w:val="single" w:sz="4" w:space="0" w:color="auto"/>
            </w:tcBorders>
            <w:shd w:val="clear" w:color="auto" w:fill="auto"/>
            <w:noWrap/>
            <w:vAlign w:val="center"/>
          </w:tcPr>
          <w:p w14:paraId="3BF6FBD8" w14:textId="422C320C" w:rsidR="00B8233A" w:rsidRPr="001B4CA2" w:rsidRDefault="00B8233A" w:rsidP="00B8233A">
            <w:pPr>
              <w:jc w:val="center"/>
              <w:rPr>
                <w:b/>
                <w:bCs/>
                <w:sz w:val="18"/>
                <w:szCs w:val="18"/>
              </w:rPr>
            </w:pPr>
            <w:r w:rsidRPr="001B4CA2">
              <w:rPr>
                <w:rFonts w:ascii="Calibri" w:hAnsi="Calibri" w:cs="Calibri"/>
                <w:b/>
                <w:bCs/>
                <w:color w:val="000000"/>
                <w:sz w:val="22"/>
              </w:rPr>
              <w:t>633</w:t>
            </w:r>
          </w:p>
        </w:tc>
        <w:tc>
          <w:tcPr>
            <w:tcW w:w="734" w:type="dxa"/>
            <w:tcBorders>
              <w:top w:val="nil"/>
              <w:left w:val="nil"/>
              <w:bottom w:val="nil"/>
              <w:right w:val="single" w:sz="4" w:space="0" w:color="auto"/>
            </w:tcBorders>
            <w:shd w:val="clear" w:color="auto" w:fill="auto"/>
            <w:noWrap/>
            <w:vAlign w:val="center"/>
          </w:tcPr>
          <w:p w14:paraId="0D2871BA" w14:textId="7FE7435A" w:rsidR="00B8233A" w:rsidRPr="001B4CA2" w:rsidRDefault="00B8233A" w:rsidP="00B8233A">
            <w:pPr>
              <w:jc w:val="center"/>
              <w:rPr>
                <w:b/>
                <w:bCs/>
                <w:sz w:val="18"/>
                <w:szCs w:val="18"/>
              </w:rPr>
            </w:pPr>
            <w:r w:rsidRPr="001B4CA2">
              <w:rPr>
                <w:rFonts w:ascii="Calibri" w:hAnsi="Calibri" w:cs="Calibri"/>
                <w:b/>
                <w:bCs/>
                <w:color w:val="000000"/>
                <w:sz w:val="22"/>
              </w:rPr>
              <w:t>2.549</w:t>
            </w:r>
          </w:p>
        </w:tc>
        <w:tc>
          <w:tcPr>
            <w:tcW w:w="788" w:type="dxa"/>
            <w:tcBorders>
              <w:top w:val="nil"/>
              <w:left w:val="nil"/>
              <w:bottom w:val="nil"/>
              <w:right w:val="single" w:sz="4" w:space="0" w:color="auto"/>
            </w:tcBorders>
            <w:shd w:val="clear" w:color="auto" w:fill="auto"/>
            <w:noWrap/>
            <w:vAlign w:val="center"/>
          </w:tcPr>
          <w:p w14:paraId="639FA165" w14:textId="06190923" w:rsidR="00B8233A" w:rsidRPr="001B4CA2" w:rsidRDefault="00B8233A" w:rsidP="00B8233A">
            <w:pPr>
              <w:jc w:val="center"/>
              <w:rPr>
                <w:b/>
                <w:bCs/>
                <w:sz w:val="18"/>
                <w:szCs w:val="18"/>
              </w:rPr>
            </w:pPr>
            <w:r w:rsidRPr="001B4CA2">
              <w:rPr>
                <w:rFonts w:ascii="Calibri" w:hAnsi="Calibri" w:cs="Calibri"/>
                <w:b/>
                <w:bCs/>
                <w:color w:val="000000"/>
                <w:sz w:val="22"/>
              </w:rPr>
              <w:t>1.409</w:t>
            </w:r>
          </w:p>
        </w:tc>
        <w:tc>
          <w:tcPr>
            <w:tcW w:w="733" w:type="dxa"/>
            <w:tcBorders>
              <w:top w:val="nil"/>
              <w:left w:val="nil"/>
              <w:bottom w:val="nil"/>
              <w:right w:val="single" w:sz="4" w:space="0" w:color="auto"/>
            </w:tcBorders>
            <w:shd w:val="clear" w:color="auto" w:fill="auto"/>
            <w:noWrap/>
            <w:vAlign w:val="center"/>
          </w:tcPr>
          <w:p w14:paraId="7DFF7BB3" w14:textId="15A4520E" w:rsidR="00B8233A" w:rsidRPr="001B4CA2" w:rsidRDefault="00B8233A" w:rsidP="00B8233A">
            <w:pPr>
              <w:jc w:val="center"/>
              <w:rPr>
                <w:b/>
                <w:bCs/>
                <w:sz w:val="18"/>
                <w:szCs w:val="18"/>
              </w:rPr>
            </w:pPr>
            <w:r w:rsidRPr="001B4CA2">
              <w:rPr>
                <w:rFonts w:ascii="Calibri" w:hAnsi="Calibri" w:cs="Calibri"/>
                <w:b/>
                <w:bCs/>
                <w:color w:val="000000"/>
                <w:sz w:val="22"/>
              </w:rPr>
              <w:t>544</w:t>
            </w:r>
          </w:p>
        </w:tc>
        <w:tc>
          <w:tcPr>
            <w:tcW w:w="860" w:type="dxa"/>
            <w:tcBorders>
              <w:top w:val="nil"/>
              <w:left w:val="nil"/>
              <w:bottom w:val="nil"/>
              <w:right w:val="single" w:sz="4" w:space="0" w:color="auto"/>
            </w:tcBorders>
            <w:shd w:val="clear" w:color="auto" w:fill="auto"/>
            <w:noWrap/>
            <w:vAlign w:val="center"/>
          </w:tcPr>
          <w:p w14:paraId="4D398454" w14:textId="1FE2B245" w:rsidR="00B8233A" w:rsidRPr="001B4CA2" w:rsidRDefault="00B8233A" w:rsidP="00B8233A">
            <w:pPr>
              <w:jc w:val="center"/>
              <w:rPr>
                <w:b/>
                <w:bCs/>
                <w:sz w:val="18"/>
                <w:szCs w:val="18"/>
              </w:rPr>
            </w:pPr>
            <w:r w:rsidRPr="001B4CA2">
              <w:rPr>
                <w:rFonts w:ascii="Calibri" w:hAnsi="Calibri" w:cs="Calibri"/>
                <w:b/>
                <w:bCs/>
                <w:color w:val="000000"/>
                <w:sz w:val="22"/>
              </w:rPr>
              <w:t>457</w:t>
            </w:r>
          </w:p>
        </w:tc>
        <w:tc>
          <w:tcPr>
            <w:tcW w:w="718" w:type="dxa"/>
            <w:tcBorders>
              <w:top w:val="nil"/>
              <w:left w:val="nil"/>
              <w:bottom w:val="nil"/>
              <w:right w:val="single" w:sz="4" w:space="0" w:color="auto"/>
            </w:tcBorders>
            <w:shd w:val="clear" w:color="auto" w:fill="auto"/>
            <w:noWrap/>
            <w:vAlign w:val="center"/>
          </w:tcPr>
          <w:p w14:paraId="32965F8F" w14:textId="13F39832" w:rsidR="00B8233A" w:rsidRPr="001B4CA2" w:rsidRDefault="00B8233A" w:rsidP="00B8233A">
            <w:pPr>
              <w:jc w:val="center"/>
              <w:rPr>
                <w:b/>
                <w:bCs/>
                <w:sz w:val="18"/>
                <w:szCs w:val="18"/>
              </w:rPr>
            </w:pPr>
            <w:r w:rsidRPr="001B4CA2">
              <w:rPr>
                <w:rFonts w:ascii="Calibri" w:hAnsi="Calibri" w:cs="Calibri"/>
                <w:b/>
                <w:bCs/>
                <w:color w:val="000000"/>
                <w:sz w:val="22"/>
              </w:rPr>
              <w:t>715</w:t>
            </w:r>
          </w:p>
        </w:tc>
        <w:tc>
          <w:tcPr>
            <w:tcW w:w="861" w:type="dxa"/>
            <w:tcBorders>
              <w:top w:val="nil"/>
              <w:left w:val="nil"/>
              <w:bottom w:val="nil"/>
              <w:right w:val="single" w:sz="4" w:space="0" w:color="auto"/>
            </w:tcBorders>
            <w:shd w:val="clear" w:color="auto" w:fill="auto"/>
            <w:noWrap/>
            <w:vAlign w:val="center"/>
          </w:tcPr>
          <w:p w14:paraId="4DDCD102" w14:textId="52C01C46" w:rsidR="00B8233A" w:rsidRPr="001B4CA2" w:rsidRDefault="00B8233A" w:rsidP="00B8233A">
            <w:pPr>
              <w:jc w:val="center"/>
              <w:rPr>
                <w:b/>
                <w:bCs/>
                <w:sz w:val="18"/>
                <w:szCs w:val="18"/>
              </w:rPr>
            </w:pPr>
            <w:r w:rsidRPr="001B4CA2">
              <w:rPr>
                <w:rFonts w:ascii="Calibri" w:hAnsi="Calibri" w:cs="Calibri"/>
                <w:b/>
                <w:bCs/>
                <w:color w:val="000000"/>
                <w:sz w:val="22"/>
              </w:rPr>
              <w:t>9</w:t>
            </w:r>
          </w:p>
        </w:tc>
        <w:tc>
          <w:tcPr>
            <w:tcW w:w="861" w:type="dxa"/>
            <w:tcBorders>
              <w:top w:val="nil"/>
              <w:left w:val="nil"/>
              <w:bottom w:val="nil"/>
              <w:right w:val="single" w:sz="4" w:space="0" w:color="auto"/>
            </w:tcBorders>
            <w:shd w:val="clear" w:color="auto" w:fill="auto"/>
            <w:noWrap/>
            <w:vAlign w:val="center"/>
          </w:tcPr>
          <w:p w14:paraId="2B4B0E52" w14:textId="1D0BC813" w:rsidR="00B8233A" w:rsidRPr="001B4CA2" w:rsidRDefault="00B8233A" w:rsidP="00B8233A">
            <w:pPr>
              <w:jc w:val="center"/>
              <w:rPr>
                <w:b/>
                <w:bCs/>
                <w:sz w:val="18"/>
                <w:szCs w:val="18"/>
              </w:rPr>
            </w:pPr>
            <w:r w:rsidRPr="001B4CA2">
              <w:rPr>
                <w:rFonts w:ascii="Calibri" w:hAnsi="Calibri" w:cs="Calibri"/>
                <w:b/>
                <w:bCs/>
                <w:color w:val="000000"/>
                <w:sz w:val="22"/>
              </w:rPr>
              <w:t>1.128</w:t>
            </w:r>
          </w:p>
        </w:tc>
        <w:tc>
          <w:tcPr>
            <w:tcW w:w="716" w:type="dxa"/>
            <w:tcBorders>
              <w:top w:val="nil"/>
              <w:left w:val="nil"/>
              <w:bottom w:val="nil"/>
              <w:right w:val="single" w:sz="4" w:space="0" w:color="auto"/>
            </w:tcBorders>
            <w:shd w:val="clear" w:color="auto" w:fill="auto"/>
            <w:noWrap/>
            <w:vAlign w:val="center"/>
          </w:tcPr>
          <w:p w14:paraId="79713C66" w14:textId="7957090D" w:rsidR="00B8233A" w:rsidRPr="001B4CA2" w:rsidRDefault="00B8233A" w:rsidP="00B8233A">
            <w:pPr>
              <w:jc w:val="center"/>
              <w:rPr>
                <w:b/>
                <w:bCs/>
                <w:sz w:val="18"/>
                <w:szCs w:val="18"/>
              </w:rPr>
            </w:pPr>
            <w:r w:rsidRPr="001B4CA2">
              <w:rPr>
                <w:rFonts w:ascii="Calibri" w:hAnsi="Calibri" w:cs="Calibri"/>
                <w:b/>
                <w:bCs/>
                <w:color w:val="000000"/>
                <w:sz w:val="22"/>
              </w:rPr>
              <w:t>45</w:t>
            </w:r>
          </w:p>
        </w:tc>
        <w:tc>
          <w:tcPr>
            <w:tcW w:w="661" w:type="dxa"/>
            <w:tcBorders>
              <w:top w:val="nil"/>
              <w:left w:val="nil"/>
              <w:bottom w:val="nil"/>
              <w:right w:val="single" w:sz="4" w:space="0" w:color="auto"/>
            </w:tcBorders>
            <w:shd w:val="clear" w:color="auto" w:fill="auto"/>
            <w:noWrap/>
            <w:vAlign w:val="center"/>
          </w:tcPr>
          <w:p w14:paraId="08270261" w14:textId="6490FBE9" w:rsidR="00B8233A" w:rsidRPr="001B4CA2" w:rsidRDefault="00B8233A" w:rsidP="00B8233A">
            <w:pPr>
              <w:jc w:val="center"/>
              <w:rPr>
                <w:b/>
                <w:bCs/>
                <w:sz w:val="18"/>
                <w:szCs w:val="18"/>
              </w:rPr>
            </w:pPr>
            <w:r w:rsidRPr="001B4CA2">
              <w:rPr>
                <w:rFonts w:ascii="Calibri" w:hAnsi="Calibri" w:cs="Calibri"/>
                <w:b/>
                <w:bCs/>
                <w:color w:val="000000"/>
                <w:sz w:val="22"/>
              </w:rPr>
              <w:t>75</w:t>
            </w:r>
          </w:p>
        </w:tc>
        <w:tc>
          <w:tcPr>
            <w:tcW w:w="773" w:type="dxa"/>
            <w:tcBorders>
              <w:top w:val="nil"/>
              <w:left w:val="nil"/>
              <w:bottom w:val="nil"/>
              <w:right w:val="single" w:sz="4" w:space="0" w:color="auto"/>
            </w:tcBorders>
            <w:shd w:val="clear" w:color="auto" w:fill="auto"/>
            <w:noWrap/>
            <w:vAlign w:val="center"/>
          </w:tcPr>
          <w:p w14:paraId="5B92F750" w14:textId="25F0CB33" w:rsidR="00B8233A" w:rsidRPr="001B4CA2" w:rsidRDefault="00B8233A" w:rsidP="00B8233A">
            <w:pPr>
              <w:jc w:val="center"/>
              <w:rPr>
                <w:b/>
                <w:bCs/>
                <w:sz w:val="18"/>
                <w:szCs w:val="18"/>
              </w:rPr>
            </w:pPr>
            <w:r w:rsidRPr="001B4CA2">
              <w:rPr>
                <w:rFonts w:ascii="Calibri" w:hAnsi="Calibri" w:cs="Calibri"/>
                <w:b/>
                <w:bCs/>
                <w:color w:val="000000"/>
                <w:sz w:val="22"/>
              </w:rPr>
              <w:t>2.553</w:t>
            </w:r>
          </w:p>
        </w:tc>
        <w:tc>
          <w:tcPr>
            <w:tcW w:w="863" w:type="dxa"/>
            <w:tcBorders>
              <w:top w:val="nil"/>
              <w:left w:val="nil"/>
              <w:bottom w:val="nil"/>
              <w:right w:val="single" w:sz="4" w:space="0" w:color="auto"/>
            </w:tcBorders>
            <w:shd w:val="clear" w:color="auto" w:fill="auto"/>
            <w:vAlign w:val="center"/>
          </w:tcPr>
          <w:p w14:paraId="30269B1E" w14:textId="6B38004D" w:rsidR="00B8233A" w:rsidRPr="001B4CA2" w:rsidRDefault="00B8233A" w:rsidP="00B8233A">
            <w:pPr>
              <w:jc w:val="center"/>
              <w:rPr>
                <w:b/>
                <w:bCs/>
                <w:sz w:val="18"/>
                <w:szCs w:val="18"/>
              </w:rPr>
            </w:pPr>
            <w:r w:rsidRPr="001B4CA2">
              <w:rPr>
                <w:rFonts w:ascii="Calibri" w:hAnsi="Calibri" w:cs="Calibri"/>
                <w:b/>
                <w:bCs/>
                <w:color w:val="000000"/>
                <w:sz w:val="22"/>
              </w:rPr>
              <w:t>5.011</w:t>
            </w:r>
          </w:p>
        </w:tc>
        <w:tc>
          <w:tcPr>
            <w:tcW w:w="921" w:type="dxa"/>
            <w:tcBorders>
              <w:top w:val="nil"/>
              <w:left w:val="nil"/>
              <w:bottom w:val="nil"/>
              <w:right w:val="single" w:sz="4" w:space="0" w:color="auto"/>
            </w:tcBorders>
            <w:vAlign w:val="center"/>
          </w:tcPr>
          <w:p w14:paraId="5419ACAF" w14:textId="1F1A3B4C" w:rsidR="00B8233A" w:rsidRPr="001B4CA2" w:rsidRDefault="00B8233A" w:rsidP="00B8233A">
            <w:pPr>
              <w:jc w:val="center"/>
              <w:rPr>
                <w:b/>
                <w:bCs/>
                <w:sz w:val="18"/>
                <w:szCs w:val="18"/>
              </w:rPr>
            </w:pPr>
            <w:r w:rsidRPr="001B4CA2">
              <w:rPr>
                <w:rFonts w:ascii="Calibri" w:hAnsi="Calibri" w:cs="Calibri"/>
                <w:b/>
                <w:bCs/>
                <w:color w:val="000000"/>
                <w:sz w:val="22"/>
              </w:rPr>
              <w:t>7.564</w:t>
            </w:r>
          </w:p>
        </w:tc>
      </w:tr>
      <w:tr w:rsidR="006519BB" w:rsidRPr="001B4CA2" w14:paraId="338C1D1D" w14:textId="77777777" w:rsidTr="009C5AEE">
        <w:trPr>
          <w:trHeight w:hRule="exact" w:val="63"/>
          <w:jc w:val="center"/>
        </w:trPr>
        <w:tc>
          <w:tcPr>
            <w:tcW w:w="5558" w:type="dxa"/>
            <w:vMerge/>
            <w:tcBorders>
              <w:left w:val="single" w:sz="4" w:space="0" w:color="auto"/>
              <w:bottom w:val="single" w:sz="4" w:space="0" w:color="auto"/>
              <w:right w:val="single" w:sz="4" w:space="0" w:color="auto"/>
            </w:tcBorders>
            <w:shd w:val="clear" w:color="auto" w:fill="auto"/>
            <w:noWrap/>
            <w:vAlign w:val="center"/>
          </w:tcPr>
          <w:p w14:paraId="1412222F" w14:textId="77777777" w:rsidR="001F2B39" w:rsidRPr="001B4CA2" w:rsidRDefault="001F2B39" w:rsidP="00664560">
            <w:pPr>
              <w:jc w:val="left"/>
              <w:rPr>
                <w:rFonts w:eastAsia="Times New Roman"/>
                <w:b/>
                <w:bCs/>
                <w:sz w:val="16"/>
                <w:szCs w:val="16"/>
                <w:lang w:eastAsia="hr-HR"/>
              </w:rPr>
            </w:pPr>
          </w:p>
        </w:tc>
        <w:tc>
          <w:tcPr>
            <w:tcW w:w="730" w:type="dxa"/>
            <w:tcBorders>
              <w:top w:val="nil"/>
              <w:left w:val="nil"/>
              <w:bottom w:val="single" w:sz="4" w:space="0" w:color="auto"/>
              <w:right w:val="single" w:sz="4" w:space="0" w:color="auto"/>
            </w:tcBorders>
            <w:shd w:val="clear" w:color="auto" w:fill="auto"/>
            <w:noWrap/>
            <w:vAlign w:val="center"/>
          </w:tcPr>
          <w:p w14:paraId="16B61B8D" w14:textId="77777777" w:rsidR="001F2B39" w:rsidRPr="001B4CA2" w:rsidRDefault="001F2B39" w:rsidP="00DB158C">
            <w:pPr>
              <w:jc w:val="center"/>
              <w:rPr>
                <w:b/>
                <w:bCs/>
                <w:sz w:val="18"/>
                <w:szCs w:val="18"/>
              </w:rPr>
            </w:pPr>
          </w:p>
        </w:tc>
        <w:tc>
          <w:tcPr>
            <w:tcW w:w="734" w:type="dxa"/>
            <w:tcBorders>
              <w:top w:val="nil"/>
              <w:left w:val="nil"/>
              <w:bottom w:val="single" w:sz="4" w:space="0" w:color="auto"/>
              <w:right w:val="single" w:sz="4" w:space="0" w:color="auto"/>
            </w:tcBorders>
            <w:shd w:val="clear" w:color="auto" w:fill="auto"/>
            <w:noWrap/>
            <w:vAlign w:val="center"/>
          </w:tcPr>
          <w:p w14:paraId="634BA5B8" w14:textId="77777777" w:rsidR="001F2B39" w:rsidRPr="001B4CA2" w:rsidRDefault="001F2B39" w:rsidP="00DB158C">
            <w:pPr>
              <w:jc w:val="center"/>
              <w:rPr>
                <w:b/>
                <w:bCs/>
                <w:sz w:val="18"/>
                <w:szCs w:val="18"/>
              </w:rPr>
            </w:pPr>
          </w:p>
        </w:tc>
        <w:tc>
          <w:tcPr>
            <w:tcW w:w="788" w:type="dxa"/>
            <w:tcBorders>
              <w:top w:val="nil"/>
              <w:left w:val="nil"/>
              <w:bottom w:val="single" w:sz="4" w:space="0" w:color="auto"/>
              <w:right w:val="single" w:sz="4" w:space="0" w:color="auto"/>
            </w:tcBorders>
            <w:shd w:val="clear" w:color="auto" w:fill="auto"/>
            <w:noWrap/>
            <w:vAlign w:val="center"/>
          </w:tcPr>
          <w:p w14:paraId="68217835" w14:textId="77777777" w:rsidR="001F2B39" w:rsidRPr="001B4CA2" w:rsidRDefault="001F2B39" w:rsidP="00F72119">
            <w:pPr>
              <w:jc w:val="center"/>
              <w:rPr>
                <w:b/>
                <w:bCs/>
                <w:sz w:val="18"/>
                <w:szCs w:val="18"/>
              </w:rPr>
            </w:pPr>
          </w:p>
        </w:tc>
        <w:tc>
          <w:tcPr>
            <w:tcW w:w="733" w:type="dxa"/>
            <w:tcBorders>
              <w:top w:val="nil"/>
              <w:left w:val="nil"/>
              <w:bottom w:val="single" w:sz="4" w:space="0" w:color="auto"/>
              <w:right w:val="single" w:sz="4" w:space="0" w:color="auto"/>
            </w:tcBorders>
            <w:shd w:val="clear" w:color="auto" w:fill="auto"/>
            <w:noWrap/>
            <w:vAlign w:val="center"/>
          </w:tcPr>
          <w:p w14:paraId="670D6676" w14:textId="77777777" w:rsidR="001F2B39" w:rsidRPr="001B4CA2" w:rsidRDefault="001F2B39" w:rsidP="00DB158C">
            <w:pPr>
              <w:jc w:val="center"/>
              <w:rPr>
                <w:b/>
                <w:bCs/>
                <w:sz w:val="18"/>
                <w:szCs w:val="18"/>
              </w:rPr>
            </w:pPr>
          </w:p>
        </w:tc>
        <w:tc>
          <w:tcPr>
            <w:tcW w:w="860" w:type="dxa"/>
            <w:tcBorders>
              <w:top w:val="nil"/>
              <w:left w:val="nil"/>
              <w:bottom w:val="single" w:sz="4" w:space="0" w:color="auto"/>
              <w:right w:val="single" w:sz="4" w:space="0" w:color="auto"/>
            </w:tcBorders>
            <w:shd w:val="clear" w:color="auto" w:fill="auto"/>
            <w:noWrap/>
            <w:vAlign w:val="center"/>
          </w:tcPr>
          <w:p w14:paraId="0820BB93" w14:textId="77777777" w:rsidR="001F2B39" w:rsidRPr="001B4CA2" w:rsidRDefault="001F2B39" w:rsidP="00DB158C">
            <w:pPr>
              <w:jc w:val="center"/>
              <w:rPr>
                <w:b/>
                <w:bCs/>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6AC8AFCC" w14:textId="77777777" w:rsidR="001F2B39" w:rsidRPr="001B4CA2" w:rsidRDefault="001F2B39" w:rsidP="00DB158C">
            <w:pPr>
              <w:jc w:val="center"/>
              <w:rPr>
                <w:b/>
                <w:bCs/>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300D0432" w14:textId="77777777" w:rsidR="001F2B39" w:rsidRPr="001B4CA2" w:rsidRDefault="001F2B39" w:rsidP="00DB158C">
            <w:pPr>
              <w:jc w:val="center"/>
              <w:rPr>
                <w:b/>
                <w:bCs/>
                <w:sz w:val="18"/>
                <w:szCs w:val="18"/>
              </w:rPr>
            </w:pPr>
          </w:p>
        </w:tc>
        <w:tc>
          <w:tcPr>
            <w:tcW w:w="861" w:type="dxa"/>
            <w:tcBorders>
              <w:top w:val="nil"/>
              <w:left w:val="nil"/>
              <w:bottom w:val="single" w:sz="4" w:space="0" w:color="auto"/>
              <w:right w:val="single" w:sz="4" w:space="0" w:color="auto"/>
            </w:tcBorders>
            <w:shd w:val="clear" w:color="auto" w:fill="auto"/>
            <w:noWrap/>
            <w:vAlign w:val="center"/>
          </w:tcPr>
          <w:p w14:paraId="7E66B8F8" w14:textId="77777777" w:rsidR="001F2B39" w:rsidRPr="001B4CA2" w:rsidRDefault="001F2B39" w:rsidP="00DB158C">
            <w:pPr>
              <w:jc w:val="center"/>
              <w:rPr>
                <w:b/>
                <w:bCs/>
                <w:sz w:val="18"/>
                <w:szCs w:val="18"/>
              </w:rPr>
            </w:pPr>
          </w:p>
        </w:tc>
        <w:tc>
          <w:tcPr>
            <w:tcW w:w="716" w:type="dxa"/>
            <w:tcBorders>
              <w:top w:val="nil"/>
              <w:left w:val="nil"/>
              <w:bottom w:val="single" w:sz="4" w:space="0" w:color="auto"/>
              <w:right w:val="single" w:sz="4" w:space="0" w:color="auto"/>
            </w:tcBorders>
            <w:shd w:val="clear" w:color="auto" w:fill="auto"/>
            <w:noWrap/>
            <w:vAlign w:val="center"/>
          </w:tcPr>
          <w:p w14:paraId="45D2F4E2" w14:textId="77777777" w:rsidR="001F2B39" w:rsidRPr="001B4CA2" w:rsidRDefault="001F2B39" w:rsidP="00DB158C">
            <w:pPr>
              <w:jc w:val="center"/>
              <w:rPr>
                <w:b/>
                <w:bCs/>
                <w:sz w:val="18"/>
                <w:szCs w:val="18"/>
              </w:rPr>
            </w:pPr>
          </w:p>
        </w:tc>
        <w:tc>
          <w:tcPr>
            <w:tcW w:w="661" w:type="dxa"/>
            <w:tcBorders>
              <w:top w:val="nil"/>
              <w:left w:val="nil"/>
              <w:bottom w:val="single" w:sz="4" w:space="0" w:color="auto"/>
              <w:right w:val="single" w:sz="4" w:space="0" w:color="auto"/>
            </w:tcBorders>
            <w:shd w:val="clear" w:color="auto" w:fill="auto"/>
            <w:noWrap/>
            <w:vAlign w:val="center"/>
          </w:tcPr>
          <w:p w14:paraId="4909666E" w14:textId="77777777" w:rsidR="001F2B39" w:rsidRPr="001B4CA2" w:rsidRDefault="001F2B39" w:rsidP="00DB158C">
            <w:pPr>
              <w:jc w:val="center"/>
              <w:rPr>
                <w:b/>
                <w:bCs/>
                <w:sz w:val="18"/>
                <w:szCs w:val="18"/>
              </w:rPr>
            </w:pPr>
          </w:p>
        </w:tc>
        <w:tc>
          <w:tcPr>
            <w:tcW w:w="773" w:type="dxa"/>
            <w:tcBorders>
              <w:top w:val="nil"/>
              <w:left w:val="nil"/>
              <w:bottom w:val="single" w:sz="4" w:space="0" w:color="auto"/>
              <w:right w:val="single" w:sz="4" w:space="0" w:color="auto"/>
            </w:tcBorders>
            <w:shd w:val="clear" w:color="auto" w:fill="auto"/>
            <w:noWrap/>
            <w:vAlign w:val="center"/>
          </w:tcPr>
          <w:p w14:paraId="08AB6C1F" w14:textId="77777777" w:rsidR="001F2B39" w:rsidRPr="001B4CA2" w:rsidRDefault="001F2B39" w:rsidP="00DB158C">
            <w:pPr>
              <w:jc w:val="center"/>
              <w:rPr>
                <w:b/>
                <w:bCs/>
                <w:sz w:val="18"/>
                <w:szCs w:val="18"/>
              </w:rPr>
            </w:pPr>
          </w:p>
        </w:tc>
        <w:tc>
          <w:tcPr>
            <w:tcW w:w="863" w:type="dxa"/>
            <w:tcBorders>
              <w:top w:val="nil"/>
              <w:left w:val="nil"/>
              <w:bottom w:val="single" w:sz="4" w:space="0" w:color="auto"/>
              <w:right w:val="single" w:sz="4" w:space="0" w:color="auto"/>
            </w:tcBorders>
            <w:shd w:val="clear" w:color="auto" w:fill="auto"/>
            <w:vAlign w:val="center"/>
          </w:tcPr>
          <w:p w14:paraId="335F92CA" w14:textId="77777777" w:rsidR="001F2B39" w:rsidRPr="001B4CA2" w:rsidRDefault="001F2B39" w:rsidP="00DB158C">
            <w:pPr>
              <w:jc w:val="center"/>
              <w:rPr>
                <w:b/>
                <w:bCs/>
                <w:sz w:val="18"/>
                <w:szCs w:val="18"/>
              </w:rPr>
            </w:pPr>
          </w:p>
        </w:tc>
        <w:tc>
          <w:tcPr>
            <w:tcW w:w="921" w:type="dxa"/>
            <w:tcBorders>
              <w:top w:val="nil"/>
              <w:left w:val="nil"/>
              <w:bottom w:val="single" w:sz="4" w:space="0" w:color="auto"/>
              <w:right w:val="single" w:sz="4" w:space="0" w:color="auto"/>
            </w:tcBorders>
            <w:vAlign w:val="center"/>
          </w:tcPr>
          <w:p w14:paraId="748F2BB1" w14:textId="77777777" w:rsidR="001F2B39" w:rsidRPr="001B4CA2" w:rsidRDefault="001F2B39" w:rsidP="00F72119">
            <w:pPr>
              <w:jc w:val="center"/>
              <w:rPr>
                <w:b/>
                <w:bCs/>
                <w:sz w:val="18"/>
                <w:szCs w:val="18"/>
              </w:rPr>
            </w:pPr>
          </w:p>
        </w:tc>
      </w:tr>
    </w:tbl>
    <w:p w14:paraId="400742AC" w14:textId="77777777" w:rsidR="00835670" w:rsidRPr="001B4CA2" w:rsidRDefault="00835670" w:rsidP="00B35AC2">
      <w:pPr>
        <w:sectPr w:rsidR="00835670" w:rsidRPr="001B4CA2" w:rsidSect="007418AF">
          <w:pgSz w:w="16838" w:h="11906" w:orient="landscape"/>
          <w:pgMar w:top="1417" w:right="1417" w:bottom="1417" w:left="1417" w:header="708" w:footer="708" w:gutter="0"/>
          <w:cols w:space="708"/>
          <w:docGrid w:linePitch="360"/>
        </w:sectPr>
      </w:pPr>
    </w:p>
    <w:p w14:paraId="56FB78A5" w14:textId="45DF34B3" w:rsidR="006B0881" w:rsidRPr="001B4CA2" w:rsidRDefault="006B0881" w:rsidP="00FA0D2B">
      <w:pPr>
        <w:spacing w:after="200" w:line="276" w:lineRule="auto"/>
        <w:jc w:val="left"/>
        <w:sectPr w:rsidR="006B0881" w:rsidRPr="001B4CA2" w:rsidSect="007418AF">
          <w:type w:val="continuous"/>
          <w:pgSz w:w="16838" w:h="11906" w:orient="landscape"/>
          <w:pgMar w:top="1417" w:right="1417" w:bottom="1417" w:left="1417" w:header="708" w:footer="708" w:gutter="0"/>
          <w:cols w:space="708"/>
          <w:docGrid w:linePitch="360"/>
        </w:sectPr>
      </w:pPr>
    </w:p>
    <w:p w14:paraId="360C8735" w14:textId="2FEEFDF9" w:rsidR="00965363" w:rsidRPr="001B4CA2" w:rsidRDefault="00965363" w:rsidP="00965363">
      <w:pPr>
        <w:ind w:firstLine="708"/>
      </w:pPr>
      <w:r w:rsidRPr="001B4CA2">
        <w:lastRenderedPageBreak/>
        <w:t>Od ukupnog broja 34</w:t>
      </w:r>
      <w:r w:rsidR="005A76BE">
        <w:t> </w:t>
      </w:r>
      <w:r w:rsidRPr="001B4CA2">
        <w:t>% zahtjeva podneseno je uime Republike Hrvatske, dok se 66</w:t>
      </w:r>
      <w:r w:rsidR="005A76BE">
        <w:t> </w:t>
      </w:r>
      <w:r w:rsidRPr="001B4CA2">
        <w:t>% odnosi na zahtjeve drugih osoba.</w:t>
      </w:r>
    </w:p>
    <w:p w14:paraId="19ABDBF1" w14:textId="77777777" w:rsidR="00965363" w:rsidRPr="001B4CA2" w:rsidRDefault="00965363" w:rsidP="00965363"/>
    <w:p w14:paraId="71215E4D" w14:textId="7E9218D6" w:rsidR="00965363" w:rsidRPr="001B4CA2" w:rsidRDefault="00965363" w:rsidP="00965363">
      <w:r w:rsidRPr="001B4CA2">
        <w:tab/>
        <w:t xml:space="preserve">Od ukupnog broja zahtjeva za mirno rješenje spora 3.182 zahtjeva ili 42% odnosi se na </w:t>
      </w:r>
      <w:proofErr w:type="spellStart"/>
      <w:r w:rsidRPr="001B4CA2">
        <w:t>stvarnopravne</w:t>
      </w:r>
      <w:proofErr w:type="spellEnd"/>
      <w:r w:rsidRPr="001B4CA2">
        <w:t xml:space="preserve"> zahtjeve, od čega 1.342 zahtjeva čine zahtjevi iz djelokruga rada Ministarstva prostornoga uređenja, graditeljstva i državne imovine. Na Ministarstvo poljoprivrede odnose se 1.093 zahtjeva.</w:t>
      </w:r>
    </w:p>
    <w:p w14:paraId="282BA131" w14:textId="77777777" w:rsidR="00965363" w:rsidRPr="001B4CA2" w:rsidRDefault="00965363" w:rsidP="00965363"/>
    <w:p w14:paraId="2CD399F6" w14:textId="45CFD2B6" w:rsidR="00965363" w:rsidRPr="001B4CA2" w:rsidRDefault="00965363" w:rsidP="00965363">
      <w:r w:rsidRPr="001B4CA2">
        <w:tab/>
        <w:t xml:space="preserve">Od </w:t>
      </w:r>
      <w:proofErr w:type="spellStart"/>
      <w:r w:rsidRPr="001B4CA2">
        <w:t>obveznopravnih</w:t>
      </w:r>
      <w:proofErr w:type="spellEnd"/>
      <w:r w:rsidRPr="001B4CA2">
        <w:t xml:space="preserve"> zahtjeva (ukupno 1.953 ili 26</w:t>
      </w:r>
      <w:r w:rsidR="005A76BE">
        <w:t> </w:t>
      </w:r>
      <w:r w:rsidRPr="001B4CA2">
        <w:t>%) 529 zahtjeva odnosi se na djelokrug rada Središnjeg državnog ureda za obnovu i stambeno zbrinjavanje, a 371 zahtjev na Državne nekretnine d.o.o.</w:t>
      </w:r>
    </w:p>
    <w:p w14:paraId="4CC63EF2" w14:textId="77777777" w:rsidR="00965363" w:rsidRPr="001B4CA2" w:rsidRDefault="00965363" w:rsidP="00965363"/>
    <w:p w14:paraId="6C6995D0" w14:textId="723FF0B6" w:rsidR="00965363" w:rsidRPr="001B4CA2" w:rsidRDefault="00965363" w:rsidP="00965363">
      <w:r w:rsidRPr="001B4CA2">
        <w:tab/>
        <w:t>Od ukupnog broja zaprimljenih zahtjeva za mirno rješenje spora 1.137 ili 15</w:t>
      </w:r>
      <w:r w:rsidR="005A76BE">
        <w:t> </w:t>
      </w:r>
      <w:r w:rsidRPr="001B4CA2">
        <w:t xml:space="preserve">% odnosi se na zahtjeve proizišle iz navodne povrede prava iz radnog odnosa. Na Ministarstvo unutarnjih poslova odnose se 642 zahtjeva, na Ministarstvo pravosuđa i uprave 318 zahtjeva </w:t>
      </w:r>
      <w:r w:rsidR="005A76BE">
        <w:t>te</w:t>
      </w:r>
      <w:r w:rsidRPr="001B4CA2">
        <w:t xml:space="preserve"> na Ministarstvo obrane 127 zahtjeva. </w:t>
      </w:r>
    </w:p>
    <w:p w14:paraId="29A54CD7" w14:textId="77777777" w:rsidR="00965363" w:rsidRPr="001B4CA2" w:rsidRDefault="00965363" w:rsidP="00965363">
      <w:r w:rsidRPr="001B4CA2">
        <w:tab/>
      </w:r>
    </w:p>
    <w:p w14:paraId="4581ACBF" w14:textId="1A02684F" w:rsidR="00965363" w:rsidRPr="001B4CA2" w:rsidRDefault="00965363" w:rsidP="00965363">
      <w:r w:rsidRPr="001B4CA2">
        <w:tab/>
        <w:t>Nadalje, od zahtjeva za naknadu štete (ukupno 1.171 ili 15</w:t>
      </w:r>
      <w:r w:rsidR="005A76BE">
        <w:t> </w:t>
      </w:r>
      <w:r w:rsidRPr="001B4CA2">
        <w:t xml:space="preserve">%) na Ministarstva pravosuđa i uprave odnosi se 341 zahtjev, dok se na Ministarstvo prostornoga uređenja i državne imovine odnosi 190 zahtjeva. </w:t>
      </w:r>
    </w:p>
    <w:p w14:paraId="678DB18C" w14:textId="77777777" w:rsidR="00B8233A" w:rsidRPr="001B4CA2" w:rsidRDefault="00B8233A" w:rsidP="00B8233A"/>
    <w:p w14:paraId="41E1418B" w14:textId="6E3D14E3" w:rsidR="00B8233A" w:rsidRPr="001B4CA2" w:rsidRDefault="001B4CA2" w:rsidP="00B8233A">
      <w:r>
        <w:rPr>
          <w:i/>
        </w:rPr>
        <w:tab/>
      </w:r>
      <w:r w:rsidR="00B8233A" w:rsidRPr="001B4CA2">
        <w:rPr>
          <w:i/>
        </w:rPr>
        <w:t>c) Podnositelj zahtjeva Republika Hrvatska, 2018. – 2022.</w:t>
      </w:r>
    </w:p>
    <w:tbl>
      <w:tblPr>
        <w:tblW w:w="45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693"/>
        <w:gridCol w:w="1611"/>
        <w:gridCol w:w="1859"/>
        <w:gridCol w:w="1856"/>
      </w:tblGrid>
      <w:tr w:rsidR="00B8233A" w:rsidRPr="001B4CA2" w14:paraId="6CE24159" w14:textId="77777777" w:rsidTr="00A14600">
        <w:trPr>
          <w:trHeight w:val="491"/>
          <w:jc w:val="center"/>
        </w:trPr>
        <w:tc>
          <w:tcPr>
            <w:tcW w:w="892" w:type="pct"/>
            <w:shd w:val="clear" w:color="auto" w:fill="99CCFF"/>
            <w:vAlign w:val="center"/>
            <w:hideMark/>
          </w:tcPr>
          <w:p w14:paraId="799C4ABC" w14:textId="77777777" w:rsidR="00B8233A" w:rsidRPr="001B4CA2" w:rsidRDefault="00B8233A" w:rsidP="00A14600">
            <w:pPr>
              <w:jc w:val="center"/>
              <w:rPr>
                <w:rFonts w:eastAsia="Times New Roman"/>
                <w:b/>
                <w:bCs/>
                <w:sz w:val="18"/>
                <w:szCs w:val="18"/>
                <w:lang w:eastAsia="hr-HR"/>
              </w:rPr>
            </w:pPr>
            <w:r w:rsidRPr="001B4CA2">
              <w:rPr>
                <w:rFonts w:eastAsia="Times New Roman"/>
                <w:b/>
                <w:bCs/>
                <w:sz w:val="18"/>
                <w:szCs w:val="18"/>
                <w:lang w:eastAsia="hr-HR"/>
              </w:rPr>
              <w:t>Godina</w:t>
            </w:r>
          </w:p>
        </w:tc>
        <w:tc>
          <w:tcPr>
            <w:tcW w:w="991" w:type="pct"/>
            <w:shd w:val="clear" w:color="auto" w:fill="99CCFF"/>
            <w:vAlign w:val="center"/>
            <w:hideMark/>
          </w:tcPr>
          <w:p w14:paraId="7BEBF4F2" w14:textId="77777777" w:rsidR="00B8233A" w:rsidRPr="001B4CA2" w:rsidRDefault="00B8233A" w:rsidP="00A14600">
            <w:pPr>
              <w:jc w:val="center"/>
              <w:rPr>
                <w:rFonts w:eastAsia="Times New Roman"/>
                <w:b/>
                <w:bCs/>
                <w:sz w:val="18"/>
                <w:szCs w:val="18"/>
                <w:lang w:eastAsia="hr-HR"/>
              </w:rPr>
            </w:pPr>
            <w:r w:rsidRPr="001B4CA2">
              <w:rPr>
                <w:rFonts w:eastAsia="Times New Roman"/>
                <w:b/>
                <w:bCs/>
                <w:sz w:val="18"/>
                <w:szCs w:val="18"/>
                <w:lang w:eastAsia="hr-HR"/>
              </w:rPr>
              <w:t>Broj podnesenih zahtjeva</w:t>
            </w:r>
          </w:p>
        </w:tc>
        <w:tc>
          <w:tcPr>
            <w:tcW w:w="943" w:type="pct"/>
            <w:shd w:val="clear" w:color="auto" w:fill="99CCFF"/>
            <w:vAlign w:val="center"/>
            <w:hideMark/>
          </w:tcPr>
          <w:p w14:paraId="2620E26C" w14:textId="77777777" w:rsidR="00B8233A" w:rsidRPr="001B4CA2" w:rsidRDefault="00B8233A" w:rsidP="00A14600">
            <w:pPr>
              <w:jc w:val="center"/>
              <w:rPr>
                <w:rFonts w:eastAsia="Times New Roman"/>
                <w:b/>
                <w:bCs/>
                <w:sz w:val="18"/>
                <w:szCs w:val="18"/>
                <w:lang w:eastAsia="hr-HR"/>
              </w:rPr>
            </w:pPr>
            <w:r w:rsidRPr="001B4CA2">
              <w:rPr>
                <w:rFonts w:eastAsia="Times New Roman"/>
                <w:b/>
                <w:bCs/>
                <w:sz w:val="18"/>
                <w:szCs w:val="18"/>
                <w:lang w:eastAsia="hr-HR"/>
              </w:rPr>
              <w:t>Broj sklopljenih nagodbi</w:t>
            </w:r>
          </w:p>
        </w:tc>
        <w:tc>
          <w:tcPr>
            <w:tcW w:w="1088" w:type="pct"/>
            <w:shd w:val="clear" w:color="auto" w:fill="99CCFF"/>
            <w:vAlign w:val="center"/>
            <w:hideMark/>
          </w:tcPr>
          <w:p w14:paraId="569B2279" w14:textId="77777777" w:rsidR="00B8233A" w:rsidRPr="001B4CA2" w:rsidRDefault="00B8233A" w:rsidP="00A14600">
            <w:pPr>
              <w:jc w:val="center"/>
              <w:rPr>
                <w:rFonts w:eastAsia="Times New Roman"/>
                <w:b/>
                <w:bCs/>
                <w:sz w:val="18"/>
                <w:szCs w:val="18"/>
                <w:lang w:eastAsia="hr-HR"/>
              </w:rPr>
            </w:pPr>
            <w:r w:rsidRPr="001B4CA2">
              <w:rPr>
                <w:rFonts w:eastAsia="Times New Roman"/>
                <w:b/>
                <w:bCs/>
                <w:sz w:val="18"/>
                <w:szCs w:val="18"/>
                <w:lang w:eastAsia="hr-HR"/>
              </w:rPr>
              <w:t>% sklopljenih nagodbi u odnosu na broj podnesenih zahtjeva</w:t>
            </w:r>
          </w:p>
        </w:tc>
        <w:tc>
          <w:tcPr>
            <w:tcW w:w="1087" w:type="pct"/>
            <w:shd w:val="clear" w:color="auto" w:fill="99CCFF"/>
            <w:vAlign w:val="center"/>
            <w:hideMark/>
          </w:tcPr>
          <w:p w14:paraId="1886629D" w14:textId="77777777" w:rsidR="00B8233A" w:rsidRPr="001B4CA2" w:rsidRDefault="00B8233A" w:rsidP="00A14600">
            <w:pPr>
              <w:jc w:val="center"/>
              <w:rPr>
                <w:rFonts w:eastAsia="Times New Roman"/>
                <w:b/>
                <w:bCs/>
                <w:sz w:val="18"/>
                <w:szCs w:val="18"/>
                <w:lang w:eastAsia="hr-HR"/>
              </w:rPr>
            </w:pPr>
            <w:r w:rsidRPr="001B4CA2">
              <w:rPr>
                <w:rFonts w:eastAsia="Times New Roman"/>
                <w:b/>
                <w:bCs/>
                <w:sz w:val="18"/>
                <w:szCs w:val="18"/>
                <w:lang w:eastAsia="hr-HR"/>
              </w:rPr>
              <w:t>Vrijednost nagodbe</w:t>
            </w:r>
          </w:p>
          <w:p w14:paraId="7681CEAA" w14:textId="77777777" w:rsidR="00B8233A" w:rsidRPr="001B4CA2" w:rsidRDefault="00B8233A" w:rsidP="00A14600">
            <w:pPr>
              <w:jc w:val="center"/>
              <w:rPr>
                <w:rFonts w:eastAsia="Times New Roman"/>
                <w:b/>
                <w:bCs/>
                <w:sz w:val="18"/>
                <w:szCs w:val="18"/>
                <w:lang w:eastAsia="hr-HR"/>
              </w:rPr>
            </w:pPr>
            <w:r w:rsidRPr="001B4CA2">
              <w:rPr>
                <w:rFonts w:eastAsia="Times New Roman"/>
                <w:b/>
                <w:bCs/>
                <w:sz w:val="18"/>
                <w:szCs w:val="18"/>
                <w:lang w:eastAsia="hr-HR"/>
              </w:rPr>
              <w:t>(u tisućama kuna)</w:t>
            </w:r>
          </w:p>
        </w:tc>
      </w:tr>
      <w:tr w:rsidR="00B8233A" w:rsidRPr="001B4CA2" w14:paraId="07853086" w14:textId="77777777" w:rsidTr="00A14600">
        <w:trPr>
          <w:trHeight w:val="402"/>
          <w:jc w:val="center"/>
        </w:trPr>
        <w:tc>
          <w:tcPr>
            <w:tcW w:w="892" w:type="pct"/>
            <w:shd w:val="clear" w:color="auto" w:fill="auto"/>
            <w:noWrap/>
            <w:vAlign w:val="center"/>
          </w:tcPr>
          <w:p w14:paraId="3EF1DB42" w14:textId="77777777" w:rsidR="00B8233A" w:rsidRPr="001B4CA2" w:rsidRDefault="00B8233A" w:rsidP="00A14600">
            <w:pPr>
              <w:jc w:val="center"/>
              <w:rPr>
                <w:rFonts w:eastAsia="Times New Roman"/>
                <w:bCs/>
                <w:sz w:val="18"/>
                <w:szCs w:val="18"/>
                <w:lang w:eastAsia="hr-HR"/>
              </w:rPr>
            </w:pPr>
            <w:r w:rsidRPr="001B4CA2">
              <w:rPr>
                <w:rFonts w:eastAsia="Times New Roman"/>
                <w:bCs/>
                <w:color w:val="000000"/>
                <w:sz w:val="18"/>
                <w:szCs w:val="18"/>
                <w:lang w:eastAsia="hr-HR"/>
              </w:rPr>
              <w:t>2018.</w:t>
            </w:r>
          </w:p>
        </w:tc>
        <w:tc>
          <w:tcPr>
            <w:tcW w:w="991" w:type="pct"/>
            <w:shd w:val="clear" w:color="auto" w:fill="auto"/>
            <w:noWrap/>
            <w:vAlign w:val="center"/>
          </w:tcPr>
          <w:p w14:paraId="5F754A6B" w14:textId="77777777" w:rsidR="00B8233A" w:rsidRPr="001B4CA2" w:rsidRDefault="00B8233A" w:rsidP="00A14600">
            <w:pPr>
              <w:jc w:val="center"/>
              <w:rPr>
                <w:rFonts w:eastAsia="Times New Roman"/>
                <w:sz w:val="18"/>
                <w:szCs w:val="18"/>
                <w:lang w:eastAsia="hr-HR"/>
              </w:rPr>
            </w:pPr>
            <w:r w:rsidRPr="001B4CA2">
              <w:rPr>
                <w:rFonts w:eastAsia="Times New Roman" w:cstheme="minorHAnsi"/>
                <w:color w:val="000000"/>
                <w:sz w:val="18"/>
                <w:szCs w:val="18"/>
                <w:lang w:eastAsia="hr-HR"/>
              </w:rPr>
              <w:t>2.211</w:t>
            </w:r>
          </w:p>
        </w:tc>
        <w:tc>
          <w:tcPr>
            <w:tcW w:w="943" w:type="pct"/>
            <w:shd w:val="clear" w:color="auto" w:fill="auto"/>
            <w:noWrap/>
            <w:vAlign w:val="center"/>
          </w:tcPr>
          <w:p w14:paraId="31B4C3BD" w14:textId="77777777" w:rsidR="00B8233A" w:rsidRPr="001B4CA2" w:rsidRDefault="00B8233A" w:rsidP="00A14600">
            <w:pPr>
              <w:jc w:val="center"/>
              <w:rPr>
                <w:rFonts w:eastAsia="Times New Roman"/>
                <w:sz w:val="18"/>
                <w:szCs w:val="18"/>
                <w:lang w:eastAsia="hr-HR"/>
              </w:rPr>
            </w:pPr>
            <w:r w:rsidRPr="001B4CA2">
              <w:rPr>
                <w:rFonts w:eastAsia="Times New Roman" w:cstheme="minorHAnsi"/>
                <w:color w:val="000000"/>
                <w:sz w:val="18"/>
                <w:szCs w:val="18"/>
                <w:lang w:eastAsia="hr-HR"/>
              </w:rPr>
              <w:t>546</w:t>
            </w:r>
          </w:p>
        </w:tc>
        <w:tc>
          <w:tcPr>
            <w:tcW w:w="1088" w:type="pct"/>
            <w:shd w:val="clear" w:color="auto" w:fill="auto"/>
            <w:noWrap/>
            <w:vAlign w:val="center"/>
          </w:tcPr>
          <w:p w14:paraId="7EC5ED77" w14:textId="696871A5" w:rsidR="00B8233A" w:rsidRPr="001B4CA2" w:rsidRDefault="00B8233A" w:rsidP="00A14600">
            <w:pPr>
              <w:jc w:val="center"/>
              <w:rPr>
                <w:rFonts w:eastAsia="Times New Roman"/>
                <w:sz w:val="18"/>
                <w:szCs w:val="18"/>
                <w:lang w:eastAsia="hr-HR"/>
              </w:rPr>
            </w:pPr>
            <w:r w:rsidRPr="001B4CA2">
              <w:rPr>
                <w:rFonts w:eastAsia="Times New Roman" w:cstheme="minorHAnsi"/>
                <w:color w:val="000000"/>
                <w:sz w:val="18"/>
                <w:szCs w:val="18"/>
                <w:lang w:eastAsia="hr-HR"/>
              </w:rPr>
              <w:t>25%</w:t>
            </w:r>
          </w:p>
        </w:tc>
        <w:tc>
          <w:tcPr>
            <w:tcW w:w="1087" w:type="pct"/>
            <w:shd w:val="clear" w:color="auto" w:fill="auto"/>
            <w:noWrap/>
            <w:vAlign w:val="center"/>
          </w:tcPr>
          <w:p w14:paraId="0A33FD32" w14:textId="77777777" w:rsidR="00B8233A" w:rsidRPr="001B4CA2" w:rsidRDefault="00B8233A" w:rsidP="00A14600">
            <w:pPr>
              <w:jc w:val="center"/>
              <w:rPr>
                <w:rFonts w:eastAsia="Times New Roman"/>
                <w:sz w:val="18"/>
                <w:szCs w:val="18"/>
                <w:lang w:eastAsia="hr-HR"/>
              </w:rPr>
            </w:pPr>
            <w:r w:rsidRPr="001B4CA2">
              <w:rPr>
                <w:rFonts w:eastAsia="Times New Roman" w:cstheme="minorHAnsi"/>
                <w:color w:val="000000"/>
                <w:sz w:val="18"/>
                <w:szCs w:val="18"/>
                <w:lang w:eastAsia="hr-HR"/>
              </w:rPr>
              <w:t>61.223</w:t>
            </w:r>
          </w:p>
        </w:tc>
      </w:tr>
      <w:tr w:rsidR="00B8233A" w:rsidRPr="001B4CA2" w14:paraId="78570F5C" w14:textId="77777777" w:rsidTr="00A14600">
        <w:trPr>
          <w:trHeight w:val="402"/>
          <w:jc w:val="center"/>
        </w:trPr>
        <w:tc>
          <w:tcPr>
            <w:tcW w:w="892" w:type="pct"/>
            <w:shd w:val="clear" w:color="auto" w:fill="auto"/>
            <w:noWrap/>
            <w:vAlign w:val="center"/>
          </w:tcPr>
          <w:p w14:paraId="1BA3317D" w14:textId="77777777" w:rsidR="00B8233A" w:rsidRPr="001B4CA2" w:rsidRDefault="00B8233A" w:rsidP="00A14600">
            <w:pPr>
              <w:jc w:val="center"/>
              <w:rPr>
                <w:rFonts w:eastAsia="Times New Roman"/>
                <w:bCs/>
                <w:sz w:val="18"/>
                <w:szCs w:val="18"/>
                <w:lang w:eastAsia="hr-HR"/>
              </w:rPr>
            </w:pPr>
            <w:r w:rsidRPr="001B4CA2">
              <w:rPr>
                <w:rFonts w:eastAsia="Times New Roman"/>
                <w:bCs/>
                <w:color w:val="000000"/>
                <w:sz w:val="18"/>
                <w:szCs w:val="18"/>
                <w:lang w:eastAsia="hr-HR"/>
              </w:rPr>
              <w:t>2019.</w:t>
            </w:r>
          </w:p>
        </w:tc>
        <w:tc>
          <w:tcPr>
            <w:tcW w:w="991" w:type="pct"/>
            <w:shd w:val="clear" w:color="auto" w:fill="auto"/>
            <w:noWrap/>
            <w:vAlign w:val="center"/>
          </w:tcPr>
          <w:p w14:paraId="5EAE53B6" w14:textId="77777777" w:rsidR="00B8233A" w:rsidRPr="001B4CA2" w:rsidRDefault="00B8233A" w:rsidP="00A14600">
            <w:pPr>
              <w:jc w:val="center"/>
              <w:rPr>
                <w:rFonts w:eastAsia="Times New Roman"/>
                <w:sz w:val="18"/>
                <w:szCs w:val="18"/>
                <w:lang w:eastAsia="hr-HR"/>
              </w:rPr>
            </w:pPr>
            <w:r w:rsidRPr="001B4CA2">
              <w:rPr>
                <w:rFonts w:eastAsia="Times New Roman" w:cstheme="minorHAnsi"/>
                <w:bCs/>
                <w:color w:val="000000"/>
                <w:sz w:val="18"/>
                <w:szCs w:val="18"/>
                <w:lang w:eastAsia="hr-HR"/>
              </w:rPr>
              <w:t>2.103</w:t>
            </w:r>
          </w:p>
        </w:tc>
        <w:tc>
          <w:tcPr>
            <w:tcW w:w="943" w:type="pct"/>
            <w:shd w:val="clear" w:color="auto" w:fill="auto"/>
            <w:noWrap/>
            <w:vAlign w:val="center"/>
          </w:tcPr>
          <w:p w14:paraId="60CE5C02" w14:textId="77777777" w:rsidR="00B8233A" w:rsidRPr="001B4CA2" w:rsidRDefault="00B8233A" w:rsidP="00A14600">
            <w:pPr>
              <w:jc w:val="center"/>
              <w:rPr>
                <w:rFonts w:eastAsia="Times New Roman"/>
                <w:sz w:val="18"/>
                <w:szCs w:val="18"/>
                <w:lang w:eastAsia="hr-HR"/>
              </w:rPr>
            </w:pPr>
            <w:r w:rsidRPr="001B4CA2">
              <w:rPr>
                <w:rFonts w:eastAsia="Times New Roman" w:cstheme="minorHAnsi"/>
                <w:bCs/>
                <w:color w:val="000000"/>
                <w:sz w:val="18"/>
                <w:szCs w:val="18"/>
                <w:lang w:eastAsia="hr-HR"/>
              </w:rPr>
              <w:t>655</w:t>
            </w:r>
          </w:p>
        </w:tc>
        <w:tc>
          <w:tcPr>
            <w:tcW w:w="1088" w:type="pct"/>
            <w:shd w:val="clear" w:color="auto" w:fill="auto"/>
            <w:noWrap/>
            <w:vAlign w:val="center"/>
          </w:tcPr>
          <w:p w14:paraId="67ACB255" w14:textId="66DCA3B3" w:rsidR="00B8233A" w:rsidRPr="001B4CA2" w:rsidRDefault="00B8233A" w:rsidP="00A14600">
            <w:pPr>
              <w:jc w:val="center"/>
              <w:rPr>
                <w:rFonts w:eastAsia="Times New Roman"/>
                <w:sz w:val="18"/>
                <w:szCs w:val="18"/>
                <w:lang w:eastAsia="hr-HR"/>
              </w:rPr>
            </w:pPr>
            <w:r w:rsidRPr="001B4CA2">
              <w:rPr>
                <w:rFonts w:eastAsia="Times New Roman" w:cstheme="minorHAnsi"/>
                <w:bCs/>
                <w:color w:val="000000"/>
                <w:sz w:val="18"/>
                <w:szCs w:val="18"/>
                <w:lang w:eastAsia="hr-HR"/>
              </w:rPr>
              <w:t>31%</w:t>
            </w:r>
          </w:p>
        </w:tc>
        <w:tc>
          <w:tcPr>
            <w:tcW w:w="1087" w:type="pct"/>
            <w:shd w:val="clear" w:color="auto" w:fill="auto"/>
            <w:noWrap/>
            <w:vAlign w:val="center"/>
          </w:tcPr>
          <w:p w14:paraId="67425F83" w14:textId="77777777" w:rsidR="00B8233A" w:rsidRPr="001B4CA2" w:rsidRDefault="00B8233A" w:rsidP="00A14600">
            <w:pPr>
              <w:jc w:val="center"/>
              <w:rPr>
                <w:rFonts w:eastAsia="Times New Roman"/>
                <w:sz w:val="18"/>
                <w:szCs w:val="18"/>
                <w:lang w:eastAsia="hr-HR"/>
              </w:rPr>
            </w:pPr>
            <w:r w:rsidRPr="001B4CA2">
              <w:rPr>
                <w:rFonts w:eastAsia="Times New Roman" w:cstheme="minorHAnsi"/>
                <w:bCs/>
                <w:color w:val="000000"/>
                <w:sz w:val="18"/>
                <w:szCs w:val="18"/>
                <w:lang w:eastAsia="hr-HR"/>
              </w:rPr>
              <w:t>53.638</w:t>
            </w:r>
          </w:p>
        </w:tc>
      </w:tr>
      <w:tr w:rsidR="00B8233A" w:rsidRPr="001B4CA2" w14:paraId="1A85C3C5" w14:textId="77777777" w:rsidTr="00A14600">
        <w:trPr>
          <w:trHeight w:val="402"/>
          <w:jc w:val="center"/>
        </w:trPr>
        <w:tc>
          <w:tcPr>
            <w:tcW w:w="892" w:type="pct"/>
            <w:shd w:val="clear" w:color="auto" w:fill="auto"/>
            <w:noWrap/>
            <w:vAlign w:val="center"/>
          </w:tcPr>
          <w:p w14:paraId="3EF53668" w14:textId="77777777" w:rsidR="00B8233A" w:rsidRPr="001B4CA2" w:rsidRDefault="00B8233A" w:rsidP="00A14600">
            <w:pPr>
              <w:jc w:val="center"/>
              <w:rPr>
                <w:rFonts w:eastAsia="Times New Roman"/>
                <w:bCs/>
                <w:sz w:val="18"/>
                <w:szCs w:val="18"/>
                <w:lang w:eastAsia="hr-HR"/>
              </w:rPr>
            </w:pPr>
            <w:r w:rsidRPr="001B4CA2">
              <w:rPr>
                <w:rFonts w:eastAsia="Times New Roman"/>
                <w:bCs/>
                <w:sz w:val="18"/>
                <w:szCs w:val="18"/>
                <w:lang w:eastAsia="hr-HR"/>
              </w:rPr>
              <w:t>2020.</w:t>
            </w:r>
          </w:p>
        </w:tc>
        <w:tc>
          <w:tcPr>
            <w:tcW w:w="991" w:type="pct"/>
            <w:shd w:val="clear" w:color="auto" w:fill="auto"/>
            <w:noWrap/>
            <w:vAlign w:val="center"/>
          </w:tcPr>
          <w:p w14:paraId="60350287" w14:textId="77777777" w:rsidR="00B8233A" w:rsidRPr="001B4CA2" w:rsidRDefault="00B8233A" w:rsidP="00A14600">
            <w:pPr>
              <w:jc w:val="center"/>
              <w:rPr>
                <w:rFonts w:eastAsia="Times New Roman"/>
                <w:bCs/>
                <w:sz w:val="18"/>
                <w:szCs w:val="18"/>
                <w:lang w:eastAsia="hr-HR"/>
              </w:rPr>
            </w:pPr>
            <w:r w:rsidRPr="001B4CA2">
              <w:rPr>
                <w:rFonts w:cstheme="minorHAnsi"/>
                <w:bCs/>
                <w:color w:val="000000"/>
                <w:sz w:val="18"/>
                <w:szCs w:val="18"/>
              </w:rPr>
              <w:t>1.995</w:t>
            </w:r>
          </w:p>
        </w:tc>
        <w:tc>
          <w:tcPr>
            <w:tcW w:w="943" w:type="pct"/>
            <w:shd w:val="clear" w:color="auto" w:fill="auto"/>
            <w:noWrap/>
            <w:vAlign w:val="center"/>
          </w:tcPr>
          <w:p w14:paraId="6CAEF192" w14:textId="77777777" w:rsidR="00B8233A" w:rsidRPr="001B4CA2" w:rsidRDefault="00B8233A" w:rsidP="00A14600">
            <w:pPr>
              <w:jc w:val="center"/>
              <w:rPr>
                <w:rFonts w:eastAsia="Times New Roman"/>
                <w:bCs/>
                <w:sz w:val="18"/>
                <w:szCs w:val="18"/>
                <w:lang w:eastAsia="hr-HR"/>
              </w:rPr>
            </w:pPr>
            <w:r w:rsidRPr="001B4CA2">
              <w:rPr>
                <w:rFonts w:cstheme="minorHAnsi"/>
                <w:bCs/>
                <w:color w:val="000000"/>
                <w:sz w:val="18"/>
                <w:szCs w:val="18"/>
              </w:rPr>
              <w:t>572</w:t>
            </w:r>
          </w:p>
        </w:tc>
        <w:tc>
          <w:tcPr>
            <w:tcW w:w="1088" w:type="pct"/>
            <w:shd w:val="clear" w:color="auto" w:fill="auto"/>
            <w:noWrap/>
            <w:vAlign w:val="center"/>
          </w:tcPr>
          <w:p w14:paraId="0E7669E6" w14:textId="39810549" w:rsidR="00B8233A" w:rsidRPr="001B4CA2" w:rsidRDefault="00B8233A" w:rsidP="00A14600">
            <w:pPr>
              <w:jc w:val="center"/>
              <w:rPr>
                <w:rFonts w:eastAsia="Times New Roman"/>
                <w:bCs/>
                <w:sz w:val="18"/>
                <w:szCs w:val="18"/>
                <w:lang w:eastAsia="hr-HR"/>
              </w:rPr>
            </w:pPr>
            <w:r w:rsidRPr="001B4CA2">
              <w:rPr>
                <w:rFonts w:cstheme="minorHAnsi"/>
                <w:bCs/>
                <w:color w:val="000000"/>
                <w:sz w:val="18"/>
                <w:szCs w:val="18"/>
              </w:rPr>
              <w:t>29%</w:t>
            </w:r>
          </w:p>
        </w:tc>
        <w:tc>
          <w:tcPr>
            <w:tcW w:w="1087" w:type="pct"/>
            <w:shd w:val="clear" w:color="auto" w:fill="auto"/>
            <w:noWrap/>
            <w:vAlign w:val="center"/>
          </w:tcPr>
          <w:p w14:paraId="6FC959C5" w14:textId="77777777" w:rsidR="00B8233A" w:rsidRPr="001B4CA2" w:rsidRDefault="00B8233A" w:rsidP="00A14600">
            <w:pPr>
              <w:jc w:val="center"/>
              <w:rPr>
                <w:rFonts w:eastAsia="Times New Roman"/>
                <w:bCs/>
                <w:sz w:val="18"/>
                <w:szCs w:val="18"/>
                <w:lang w:eastAsia="hr-HR"/>
              </w:rPr>
            </w:pPr>
            <w:r w:rsidRPr="001B4CA2">
              <w:rPr>
                <w:rFonts w:cstheme="minorHAnsi"/>
                <w:bCs/>
                <w:color w:val="000000"/>
                <w:sz w:val="18"/>
                <w:szCs w:val="18"/>
              </w:rPr>
              <w:t>64.462</w:t>
            </w:r>
          </w:p>
        </w:tc>
      </w:tr>
      <w:tr w:rsidR="00B8233A" w:rsidRPr="001B4CA2" w14:paraId="0F1C0612" w14:textId="77777777" w:rsidTr="00A14600">
        <w:trPr>
          <w:trHeight w:val="402"/>
          <w:jc w:val="center"/>
        </w:trPr>
        <w:tc>
          <w:tcPr>
            <w:tcW w:w="892" w:type="pct"/>
            <w:shd w:val="clear" w:color="auto" w:fill="auto"/>
            <w:noWrap/>
            <w:vAlign w:val="center"/>
          </w:tcPr>
          <w:p w14:paraId="18B410F2" w14:textId="77777777" w:rsidR="00B8233A" w:rsidRPr="001B4CA2" w:rsidRDefault="00B8233A" w:rsidP="00A14600">
            <w:pPr>
              <w:jc w:val="center"/>
              <w:rPr>
                <w:rFonts w:eastAsia="Times New Roman"/>
                <w:bCs/>
                <w:sz w:val="18"/>
                <w:szCs w:val="18"/>
                <w:lang w:eastAsia="hr-HR"/>
              </w:rPr>
            </w:pPr>
            <w:r w:rsidRPr="001B4CA2">
              <w:rPr>
                <w:rFonts w:eastAsia="Times New Roman"/>
                <w:bCs/>
                <w:sz w:val="18"/>
                <w:szCs w:val="18"/>
                <w:lang w:eastAsia="hr-HR"/>
              </w:rPr>
              <w:t>2021.</w:t>
            </w:r>
          </w:p>
        </w:tc>
        <w:tc>
          <w:tcPr>
            <w:tcW w:w="991" w:type="pct"/>
            <w:shd w:val="clear" w:color="auto" w:fill="auto"/>
            <w:noWrap/>
            <w:vAlign w:val="center"/>
          </w:tcPr>
          <w:p w14:paraId="4EFAC61E" w14:textId="77777777" w:rsidR="00B8233A" w:rsidRPr="001B4CA2" w:rsidRDefault="00B8233A" w:rsidP="00A14600">
            <w:pPr>
              <w:jc w:val="center"/>
              <w:rPr>
                <w:rFonts w:eastAsia="Times New Roman"/>
                <w:bCs/>
                <w:sz w:val="18"/>
                <w:szCs w:val="18"/>
                <w:lang w:eastAsia="hr-HR"/>
              </w:rPr>
            </w:pPr>
            <w:r w:rsidRPr="001B4CA2">
              <w:rPr>
                <w:rFonts w:ascii="Calibri" w:hAnsi="Calibri" w:cs="Calibri"/>
                <w:bCs/>
                <w:color w:val="000000"/>
                <w:sz w:val="20"/>
                <w:szCs w:val="20"/>
              </w:rPr>
              <w:t>1.627</w:t>
            </w:r>
          </w:p>
        </w:tc>
        <w:tc>
          <w:tcPr>
            <w:tcW w:w="943" w:type="pct"/>
            <w:shd w:val="clear" w:color="auto" w:fill="auto"/>
            <w:noWrap/>
            <w:vAlign w:val="center"/>
          </w:tcPr>
          <w:p w14:paraId="058F3B34" w14:textId="77777777" w:rsidR="00B8233A" w:rsidRPr="001B4CA2" w:rsidRDefault="00B8233A" w:rsidP="00A14600">
            <w:pPr>
              <w:jc w:val="center"/>
              <w:rPr>
                <w:rFonts w:eastAsia="Times New Roman"/>
                <w:bCs/>
                <w:sz w:val="18"/>
                <w:szCs w:val="18"/>
                <w:lang w:eastAsia="hr-HR"/>
              </w:rPr>
            </w:pPr>
            <w:r w:rsidRPr="001B4CA2">
              <w:rPr>
                <w:rFonts w:ascii="Calibri" w:hAnsi="Calibri" w:cs="Calibri"/>
                <w:bCs/>
                <w:color w:val="000000"/>
                <w:sz w:val="20"/>
                <w:szCs w:val="20"/>
              </w:rPr>
              <w:t>554</w:t>
            </w:r>
          </w:p>
        </w:tc>
        <w:tc>
          <w:tcPr>
            <w:tcW w:w="1088" w:type="pct"/>
            <w:shd w:val="clear" w:color="auto" w:fill="auto"/>
            <w:noWrap/>
            <w:vAlign w:val="center"/>
          </w:tcPr>
          <w:p w14:paraId="62DEE63F" w14:textId="77777777" w:rsidR="00B8233A" w:rsidRPr="001B4CA2" w:rsidRDefault="00B8233A" w:rsidP="00A14600">
            <w:pPr>
              <w:jc w:val="center"/>
              <w:rPr>
                <w:rFonts w:eastAsia="Times New Roman"/>
                <w:bCs/>
                <w:sz w:val="18"/>
                <w:szCs w:val="18"/>
                <w:lang w:eastAsia="hr-HR"/>
              </w:rPr>
            </w:pPr>
            <w:r w:rsidRPr="001B4CA2">
              <w:rPr>
                <w:rFonts w:ascii="Calibri" w:hAnsi="Calibri" w:cs="Calibri"/>
                <w:bCs/>
                <w:color w:val="000000"/>
                <w:sz w:val="20"/>
                <w:szCs w:val="20"/>
              </w:rPr>
              <w:t>34%</w:t>
            </w:r>
          </w:p>
        </w:tc>
        <w:tc>
          <w:tcPr>
            <w:tcW w:w="1087" w:type="pct"/>
            <w:shd w:val="clear" w:color="auto" w:fill="auto"/>
            <w:noWrap/>
            <w:vAlign w:val="center"/>
          </w:tcPr>
          <w:p w14:paraId="1C33ED1C" w14:textId="77777777" w:rsidR="00B8233A" w:rsidRPr="001B4CA2" w:rsidRDefault="00B8233A" w:rsidP="00A14600">
            <w:pPr>
              <w:jc w:val="center"/>
              <w:rPr>
                <w:rFonts w:eastAsia="Times New Roman"/>
                <w:bCs/>
                <w:sz w:val="18"/>
                <w:szCs w:val="18"/>
                <w:lang w:eastAsia="hr-HR"/>
              </w:rPr>
            </w:pPr>
            <w:r w:rsidRPr="001B4CA2">
              <w:rPr>
                <w:rFonts w:ascii="Calibri" w:hAnsi="Calibri" w:cs="Calibri"/>
                <w:bCs/>
                <w:color w:val="000000"/>
                <w:sz w:val="20"/>
                <w:szCs w:val="20"/>
              </w:rPr>
              <w:t>22.848</w:t>
            </w:r>
          </w:p>
        </w:tc>
      </w:tr>
      <w:tr w:rsidR="00B8233A" w:rsidRPr="001B4CA2" w14:paraId="11BFD57E" w14:textId="77777777" w:rsidTr="00A14600">
        <w:trPr>
          <w:trHeight w:val="402"/>
          <w:jc w:val="center"/>
        </w:trPr>
        <w:tc>
          <w:tcPr>
            <w:tcW w:w="892" w:type="pct"/>
            <w:shd w:val="clear" w:color="auto" w:fill="auto"/>
            <w:noWrap/>
            <w:vAlign w:val="center"/>
          </w:tcPr>
          <w:p w14:paraId="41218B2C" w14:textId="77777777" w:rsidR="00B8233A" w:rsidRPr="001B4CA2" w:rsidRDefault="00B8233A" w:rsidP="00A14600">
            <w:pPr>
              <w:jc w:val="center"/>
              <w:rPr>
                <w:rFonts w:eastAsia="Times New Roman"/>
                <w:bCs/>
                <w:sz w:val="18"/>
                <w:szCs w:val="18"/>
                <w:lang w:eastAsia="hr-HR"/>
              </w:rPr>
            </w:pPr>
            <w:r w:rsidRPr="001B4CA2">
              <w:rPr>
                <w:rFonts w:eastAsia="Times New Roman"/>
                <w:bCs/>
                <w:sz w:val="18"/>
                <w:szCs w:val="18"/>
                <w:lang w:eastAsia="hr-HR"/>
              </w:rPr>
              <w:t>2022.</w:t>
            </w:r>
          </w:p>
        </w:tc>
        <w:tc>
          <w:tcPr>
            <w:tcW w:w="991" w:type="pct"/>
            <w:shd w:val="clear" w:color="auto" w:fill="auto"/>
            <w:noWrap/>
            <w:vAlign w:val="center"/>
          </w:tcPr>
          <w:p w14:paraId="3EE4FE63" w14:textId="77777777" w:rsidR="00B8233A" w:rsidRPr="001B4CA2" w:rsidRDefault="00B8233A" w:rsidP="00A14600">
            <w:pPr>
              <w:jc w:val="center"/>
              <w:rPr>
                <w:bCs/>
                <w:sz w:val="18"/>
                <w:szCs w:val="18"/>
              </w:rPr>
            </w:pPr>
            <w:r w:rsidRPr="001B4CA2">
              <w:rPr>
                <w:rFonts w:ascii="Calibri" w:hAnsi="Calibri" w:cs="Calibri"/>
                <w:bCs/>
                <w:color w:val="000000"/>
                <w:sz w:val="20"/>
                <w:szCs w:val="20"/>
              </w:rPr>
              <w:t>2.260</w:t>
            </w:r>
          </w:p>
        </w:tc>
        <w:tc>
          <w:tcPr>
            <w:tcW w:w="943" w:type="pct"/>
            <w:shd w:val="clear" w:color="auto" w:fill="auto"/>
            <w:noWrap/>
            <w:vAlign w:val="center"/>
          </w:tcPr>
          <w:p w14:paraId="71FFE8EA" w14:textId="77777777" w:rsidR="00B8233A" w:rsidRPr="001B4CA2" w:rsidRDefault="00B8233A" w:rsidP="00A14600">
            <w:pPr>
              <w:jc w:val="center"/>
              <w:rPr>
                <w:bCs/>
                <w:sz w:val="18"/>
                <w:szCs w:val="18"/>
              </w:rPr>
            </w:pPr>
            <w:r w:rsidRPr="001B4CA2">
              <w:rPr>
                <w:rFonts w:ascii="Calibri" w:hAnsi="Calibri" w:cs="Calibri"/>
                <w:bCs/>
                <w:color w:val="000000"/>
                <w:sz w:val="20"/>
                <w:szCs w:val="20"/>
              </w:rPr>
              <w:t>877</w:t>
            </w:r>
          </w:p>
        </w:tc>
        <w:tc>
          <w:tcPr>
            <w:tcW w:w="1088" w:type="pct"/>
            <w:shd w:val="clear" w:color="auto" w:fill="auto"/>
            <w:noWrap/>
            <w:vAlign w:val="center"/>
          </w:tcPr>
          <w:p w14:paraId="019747C2" w14:textId="77777777" w:rsidR="00B8233A" w:rsidRPr="001B4CA2" w:rsidRDefault="00B8233A" w:rsidP="00A14600">
            <w:pPr>
              <w:jc w:val="center"/>
              <w:rPr>
                <w:bCs/>
                <w:sz w:val="18"/>
                <w:szCs w:val="18"/>
              </w:rPr>
            </w:pPr>
            <w:r w:rsidRPr="001B4CA2">
              <w:rPr>
                <w:rFonts w:ascii="Calibri" w:hAnsi="Calibri" w:cs="Calibri"/>
                <w:bCs/>
                <w:color w:val="000000"/>
                <w:sz w:val="20"/>
                <w:szCs w:val="20"/>
              </w:rPr>
              <w:t>39%</w:t>
            </w:r>
          </w:p>
        </w:tc>
        <w:tc>
          <w:tcPr>
            <w:tcW w:w="1087" w:type="pct"/>
            <w:shd w:val="clear" w:color="auto" w:fill="auto"/>
            <w:noWrap/>
            <w:vAlign w:val="center"/>
          </w:tcPr>
          <w:p w14:paraId="23A87C93" w14:textId="77777777" w:rsidR="00B8233A" w:rsidRPr="001B4CA2" w:rsidRDefault="00B8233A" w:rsidP="00A14600">
            <w:pPr>
              <w:jc w:val="center"/>
              <w:rPr>
                <w:bCs/>
                <w:sz w:val="18"/>
                <w:szCs w:val="18"/>
              </w:rPr>
            </w:pPr>
            <w:r w:rsidRPr="001B4CA2">
              <w:rPr>
                <w:rFonts w:ascii="Calibri" w:hAnsi="Calibri" w:cs="Calibri"/>
                <w:bCs/>
                <w:color w:val="000000"/>
                <w:sz w:val="20"/>
                <w:szCs w:val="20"/>
              </w:rPr>
              <w:t>50.247</w:t>
            </w:r>
          </w:p>
        </w:tc>
      </w:tr>
    </w:tbl>
    <w:p w14:paraId="076E09B2" w14:textId="77777777" w:rsidR="00B8233A" w:rsidRPr="001B4CA2" w:rsidRDefault="00B8233A" w:rsidP="00B8233A"/>
    <w:p w14:paraId="68A3DB2E" w14:textId="1B90D76B" w:rsidR="00965363" w:rsidRPr="001B4CA2" w:rsidRDefault="00B8233A" w:rsidP="00965363">
      <w:r w:rsidRPr="001B4CA2">
        <w:tab/>
      </w:r>
      <w:r w:rsidR="00965363" w:rsidRPr="001B4CA2">
        <w:t>Iz gornje je tablice vidljivo da je broj zahtjeva za mirno rješenje spora u odnosu na prethodne godine koje podnosi Republika Hrvatska u znatnom porastu te da je u prosjeku 32</w:t>
      </w:r>
      <w:r w:rsidR="005A76BE">
        <w:t> </w:t>
      </w:r>
      <w:r w:rsidR="00965363" w:rsidRPr="001B4CA2">
        <w:t>% zahtjeva Republike Hrvatske riješeno sklapanjem nagodbe.</w:t>
      </w:r>
    </w:p>
    <w:p w14:paraId="711C5DCF" w14:textId="77777777" w:rsidR="00965363" w:rsidRPr="001B4CA2" w:rsidRDefault="00965363" w:rsidP="00965363"/>
    <w:p w14:paraId="6847AFD4" w14:textId="25B493A5" w:rsidR="00965363" w:rsidRPr="001B4CA2" w:rsidRDefault="00965363" w:rsidP="00965363">
      <w:r w:rsidRPr="001B4CA2">
        <w:tab/>
        <w:t>U 2022. godini od 2.260 zahtjeva Republike Hrvatske sklapanjem nagodbi riješeno je njih 887, odnosno visokih 39</w:t>
      </w:r>
      <w:r w:rsidR="005A76BE">
        <w:t> </w:t>
      </w:r>
      <w:r w:rsidRPr="001B4CA2">
        <w:t>%, što u danim okolnostima smatramo optimalnim.</w:t>
      </w:r>
    </w:p>
    <w:p w14:paraId="70712C61" w14:textId="21314BEF" w:rsidR="00B8233A" w:rsidRPr="001B4CA2" w:rsidRDefault="00B8233A" w:rsidP="00965363"/>
    <w:p w14:paraId="648A189E" w14:textId="77777777" w:rsidR="00732DB3" w:rsidRPr="001B4CA2" w:rsidRDefault="00732DB3" w:rsidP="00B35AC2"/>
    <w:p w14:paraId="04C9BDB5" w14:textId="77777777" w:rsidR="00732DB3" w:rsidRPr="001B4CA2" w:rsidRDefault="00732DB3" w:rsidP="00B35AC2">
      <w:pPr>
        <w:sectPr w:rsidR="00732DB3" w:rsidRPr="001B4CA2" w:rsidSect="007418AF">
          <w:pgSz w:w="11906" w:h="16838"/>
          <w:pgMar w:top="1417" w:right="1417" w:bottom="1417" w:left="1417" w:header="708" w:footer="708" w:gutter="0"/>
          <w:cols w:space="708"/>
          <w:docGrid w:linePitch="360"/>
        </w:sectPr>
      </w:pPr>
    </w:p>
    <w:tbl>
      <w:tblPr>
        <w:tblpPr w:leftFromText="180" w:rightFromText="180" w:vertAnchor="page" w:horzAnchor="margin" w:tblpXSpec="center" w:tblpY="2011"/>
        <w:tblW w:w="5620" w:type="pct"/>
        <w:tblLayout w:type="fixed"/>
        <w:tblLook w:val="04A0" w:firstRow="1" w:lastRow="0" w:firstColumn="1" w:lastColumn="0" w:noHBand="0" w:noVBand="1"/>
      </w:tblPr>
      <w:tblGrid>
        <w:gridCol w:w="2802"/>
        <w:gridCol w:w="565"/>
        <w:gridCol w:w="566"/>
        <w:gridCol w:w="566"/>
        <w:gridCol w:w="713"/>
        <w:gridCol w:w="706"/>
        <w:gridCol w:w="569"/>
        <w:gridCol w:w="572"/>
        <w:gridCol w:w="710"/>
        <w:gridCol w:w="563"/>
        <w:gridCol w:w="563"/>
        <w:gridCol w:w="569"/>
        <w:gridCol w:w="569"/>
        <w:gridCol w:w="323"/>
        <w:gridCol w:w="390"/>
        <w:gridCol w:w="614"/>
        <w:gridCol w:w="374"/>
        <w:gridCol w:w="409"/>
        <w:gridCol w:w="300"/>
        <w:gridCol w:w="751"/>
        <w:gridCol w:w="384"/>
        <w:gridCol w:w="566"/>
        <w:gridCol w:w="566"/>
        <w:gridCol w:w="595"/>
        <w:gridCol w:w="678"/>
      </w:tblGrid>
      <w:tr w:rsidR="00BF508A" w:rsidRPr="001B4CA2" w14:paraId="7CD32EF0" w14:textId="77777777" w:rsidTr="009C5AEE">
        <w:trPr>
          <w:trHeight w:val="288"/>
        </w:trPr>
        <w:tc>
          <w:tcPr>
            <w:tcW w:w="877" w:type="pct"/>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2E7E6B0" w14:textId="77777777" w:rsidR="00CF336B" w:rsidRPr="001B4CA2" w:rsidRDefault="00CF336B" w:rsidP="00CF336B">
            <w:pPr>
              <w:ind w:left="317"/>
              <w:jc w:val="center"/>
              <w:rPr>
                <w:b/>
                <w:bCs/>
                <w:sz w:val="18"/>
                <w:szCs w:val="18"/>
              </w:rPr>
            </w:pPr>
            <w:r w:rsidRPr="001B4CA2">
              <w:rPr>
                <w:b/>
                <w:bCs/>
                <w:sz w:val="18"/>
                <w:szCs w:val="18"/>
              </w:rPr>
              <w:lastRenderedPageBreak/>
              <w:t xml:space="preserve">Naziv ministarstva ili drugog tijela </w:t>
            </w:r>
          </w:p>
        </w:tc>
        <w:tc>
          <w:tcPr>
            <w:tcW w:w="754" w:type="pct"/>
            <w:gridSpan w:val="4"/>
            <w:tcBorders>
              <w:top w:val="single" w:sz="4" w:space="0" w:color="auto"/>
              <w:left w:val="nil"/>
              <w:bottom w:val="single" w:sz="4" w:space="0" w:color="auto"/>
              <w:right w:val="single" w:sz="4" w:space="0" w:color="auto"/>
            </w:tcBorders>
            <w:shd w:val="clear" w:color="auto" w:fill="99CCFF"/>
            <w:vAlign w:val="center"/>
            <w:hideMark/>
          </w:tcPr>
          <w:p w14:paraId="0589C216" w14:textId="77777777" w:rsidR="00CF336B" w:rsidRPr="001B4CA2" w:rsidRDefault="00CF336B" w:rsidP="00CF336B">
            <w:pPr>
              <w:jc w:val="center"/>
              <w:rPr>
                <w:b/>
                <w:bCs/>
                <w:sz w:val="18"/>
                <w:szCs w:val="18"/>
              </w:rPr>
            </w:pPr>
            <w:proofErr w:type="spellStart"/>
            <w:r w:rsidRPr="001B4CA2">
              <w:rPr>
                <w:b/>
                <w:bCs/>
                <w:sz w:val="18"/>
                <w:szCs w:val="18"/>
              </w:rPr>
              <w:t>Stvarnopravni</w:t>
            </w:r>
            <w:proofErr w:type="spellEnd"/>
            <w:r w:rsidRPr="001B4CA2">
              <w:rPr>
                <w:b/>
                <w:bCs/>
                <w:sz w:val="18"/>
                <w:szCs w:val="18"/>
              </w:rPr>
              <w:t xml:space="preserve"> sporovi</w:t>
            </w:r>
          </w:p>
        </w:tc>
        <w:tc>
          <w:tcPr>
            <w:tcW w:w="800" w:type="pct"/>
            <w:gridSpan w:val="4"/>
            <w:tcBorders>
              <w:top w:val="single" w:sz="4" w:space="0" w:color="auto"/>
              <w:left w:val="nil"/>
              <w:bottom w:val="single" w:sz="4" w:space="0" w:color="auto"/>
              <w:right w:val="single" w:sz="4" w:space="0" w:color="000000"/>
            </w:tcBorders>
            <w:shd w:val="clear" w:color="auto" w:fill="99CCFF"/>
            <w:vAlign w:val="center"/>
            <w:hideMark/>
          </w:tcPr>
          <w:p w14:paraId="10E778CC" w14:textId="77777777" w:rsidR="00CF336B" w:rsidRPr="001B4CA2" w:rsidRDefault="00CF336B" w:rsidP="00CF336B">
            <w:pPr>
              <w:jc w:val="center"/>
              <w:rPr>
                <w:b/>
                <w:bCs/>
                <w:sz w:val="18"/>
                <w:szCs w:val="18"/>
              </w:rPr>
            </w:pPr>
            <w:proofErr w:type="spellStart"/>
            <w:r w:rsidRPr="001B4CA2">
              <w:rPr>
                <w:b/>
                <w:bCs/>
                <w:sz w:val="18"/>
                <w:szCs w:val="18"/>
              </w:rPr>
              <w:t>Obveznopravni</w:t>
            </w:r>
            <w:proofErr w:type="spellEnd"/>
            <w:r w:rsidRPr="001B4CA2">
              <w:rPr>
                <w:b/>
                <w:bCs/>
                <w:sz w:val="18"/>
                <w:szCs w:val="18"/>
              </w:rPr>
              <w:t xml:space="preserve"> sporovi</w:t>
            </w:r>
          </w:p>
        </w:tc>
        <w:tc>
          <w:tcPr>
            <w:tcW w:w="708" w:type="pct"/>
            <w:gridSpan w:val="4"/>
            <w:tcBorders>
              <w:top w:val="single" w:sz="4" w:space="0" w:color="auto"/>
              <w:left w:val="nil"/>
              <w:bottom w:val="single" w:sz="4" w:space="0" w:color="auto"/>
              <w:right w:val="single" w:sz="4" w:space="0" w:color="auto"/>
            </w:tcBorders>
            <w:shd w:val="clear" w:color="auto" w:fill="99CCFF"/>
            <w:vAlign w:val="center"/>
            <w:hideMark/>
          </w:tcPr>
          <w:p w14:paraId="1B11E36F" w14:textId="77777777" w:rsidR="00CF336B" w:rsidRPr="001B4CA2" w:rsidRDefault="00CF336B" w:rsidP="00CF336B">
            <w:pPr>
              <w:jc w:val="center"/>
              <w:rPr>
                <w:b/>
                <w:bCs/>
                <w:sz w:val="18"/>
                <w:szCs w:val="18"/>
              </w:rPr>
            </w:pPr>
            <w:r w:rsidRPr="001B4CA2">
              <w:rPr>
                <w:b/>
                <w:bCs/>
                <w:sz w:val="18"/>
                <w:szCs w:val="18"/>
              </w:rPr>
              <w:t>Naknada štete</w:t>
            </w:r>
          </w:p>
        </w:tc>
        <w:tc>
          <w:tcPr>
            <w:tcW w:w="532" w:type="pct"/>
            <w:gridSpan w:val="4"/>
            <w:tcBorders>
              <w:top w:val="single" w:sz="4" w:space="0" w:color="auto"/>
              <w:left w:val="nil"/>
              <w:bottom w:val="nil"/>
              <w:right w:val="single" w:sz="4" w:space="0" w:color="000000"/>
            </w:tcBorders>
            <w:shd w:val="clear" w:color="auto" w:fill="99CCFF"/>
            <w:vAlign w:val="center"/>
            <w:hideMark/>
          </w:tcPr>
          <w:p w14:paraId="184ECB14" w14:textId="77777777" w:rsidR="00CF336B" w:rsidRPr="001B4CA2" w:rsidRDefault="00CF336B" w:rsidP="00CF336B">
            <w:pPr>
              <w:jc w:val="center"/>
              <w:rPr>
                <w:b/>
                <w:bCs/>
                <w:sz w:val="18"/>
                <w:szCs w:val="18"/>
              </w:rPr>
            </w:pPr>
            <w:r w:rsidRPr="001B4CA2">
              <w:rPr>
                <w:b/>
                <w:bCs/>
                <w:sz w:val="18"/>
                <w:szCs w:val="18"/>
              </w:rPr>
              <w:t>Radni sporovi</w:t>
            </w:r>
          </w:p>
        </w:tc>
        <w:tc>
          <w:tcPr>
            <w:tcW w:w="577" w:type="pct"/>
            <w:gridSpan w:val="4"/>
            <w:tcBorders>
              <w:top w:val="single" w:sz="4" w:space="0" w:color="auto"/>
              <w:left w:val="nil"/>
              <w:bottom w:val="nil"/>
              <w:right w:val="single" w:sz="4" w:space="0" w:color="000000"/>
            </w:tcBorders>
            <w:shd w:val="clear" w:color="auto" w:fill="99CCFF"/>
            <w:vAlign w:val="center"/>
            <w:hideMark/>
          </w:tcPr>
          <w:p w14:paraId="21D1891F" w14:textId="77777777" w:rsidR="00CF336B" w:rsidRPr="001B4CA2" w:rsidRDefault="00CF336B" w:rsidP="00CF336B">
            <w:pPr>
              <w:jc w:val="center"/>
              <w:rPr>
                <w:b/>
                <w:bCs/>
                <w:sz w:val="18"/>
                <w:szCs w:val="18"/>
              </w:rPr>
            </w:pPr>
            <w:r w:rsidRPr="001B4CA2">
              <w:rPr>
                <w:b/>
                <w:bCs/>
                <w:sz w:val="18"/>
                <w:szCs w:val="18"/>
              </w:rPr>
              <w:t>Ostali parnični sporovi</w:t>
            </w:r>
          </w:p>
        </w:tc>
        <w:tc>
          <w:tcPr>
            <w:tcW w:w="753" w:type="pct"/>
            <w:gridSpan w:val="4"/>
            <w:vMerge w:val="restart"/>
            <w:tcBorders>
              <w:top w:val="single" w:sz="4" w:space="0" w:color="auto"/>
              <w:left w:val="single" w:sz="4" w:space="0" w:color="auto"/>
              <w:bottom w:val="nil"/>
              <w:right w:val="single" w:sz="4" w:space="0" w:color="000000"/>
            </w:tcBorders>
            <w:shd w:val="clear" w:color="auto" w:fill="99CCFF"/>
            <w:vAlign w:val="center"/>
            <w:hideMark/>
          </w:tcPr>
          <w:p w14:paraId="7E862F58" w14:textId="77777777" w:rsidR="00CF336B" w:rsidRPr="001B4CA2" w:rsidRDefault="00CF336B" w:rsidP="00CF336B">
            <w:pPr>
              <w:jc w:val="center"/>
              <w:rPr>
                <w:b/>
                <w:bCs/>
                <w:sz w:val="18"/>
                <w:szCs w:val="18"/>
              </w:rPr>
            </w:pPr>
            <w:r w:rsidRPr="001B4CA2">
              <w:rPr>
                <w:b/>
                <w:bCs/>
                <w:sz w:val="18"/>
                <w:szCs w:val="18"/>
              </w:rPr>
              <w:t>Ukupno podnositelj zahtjeva RH</w:t>
            </w:r>
          </w:p>
        </w:tc>
      </w:tr>
      <w:tr w:rsidR="00BF508A" w:rsidRPr="001B4CA2" w14:paraId="19BED3A9" w14:textId="77777777" w:rsidTr="009C5AEE">
        <w:trPr>
          <w:trHeight w:val="268"/>
        </w:trPr>
        <w:tc>
          <w:tcPr>
            <w:tcW w:w="877" w:type="pct"/>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4CBCA3A6" w14:textId="77777777" w:rsidR="00CF336B" w:rsidRPr="001B4CA2" w:rsidRDefault="00CF336B" w:rsidP="00CF336B">
            <w:pPr>
              <w:ind w:left="317"/>
              <w:rPr>
                <w:b/>
                <w:bCs/>
                <w:sz w:val="18"/>
                <w:szCs w:val="18"/>
              </w:rPr>
            </w:pPr>
          </w:p>
        </w:tc>
        <w:tc>
          <w:tcPr>
            <w:tcW w:w="754" w:type="pct"/>
            <w:gridSpan w:val="4"/>
            <w:tcBorders>
              <w:top w:val="single" w:sz="4" w:space="0" w:color="auto"/>
              <w:left w:val="nil"/>
              <w:bottom w:val="single" w:sz="4" w:space="0" w:color="auto"/>
              <w:right w:val="single" w:sz="4" w:space="0" w:color="000000"/>
            </w:tcBorders>
            <w:shd w:val="clear" w:color="auto" w:fill="99CCFF"/>
            <w:vAlign w:val="center"/>
            <w:hideMark/>
          </w:tcPr>
          <w:p w14:paraId="7BDEF7E2" w14:textId="77777777" w:rsidR="00CF336B" w:rsidRPr="001B4CA2" w:rsidRDefault="00CF336B" w:rsidP="00CF336B">
            <w:pPr>
              <w:jc w:val="center"/>
              <w:rPr>
                <w:b/>
                <w:bCs/>
                <w:sz w:val="18"/>
                <w:szCs w:val="18"/>
              </w:rPr>
            </w:pPr>
            <w:r w:rsidRPr="001B4CA2">
              <w:rPr>
                <w:b/>
                <w:bCs/>
                <w:sz w:val="18"/>
                <w:szCs w:val="18"/>
              </w:rPr>
              <w:t>Podnositelj zahtjeva</w:t>
            </w:r>
          </w:p>
          <w:p w14:paraId="33D89E7A" w14:textId="77777777" w:rsidR="00CF336B" w:rsidRPr="001B4CA2" w:rsidRDefault="00CF336B" w:rsidP="00CF336B">
            <w:pPr>
              <w:jc w:val="center"/>
              <w:rPr>
                <w:b/>
                <w:bCs/>
                <w:sz w:val="18"/>
                <w:szCs w:val="18"/>
              </w:rPr>
            </w:pPr>
            <w:r w:rsidRPr="001B4CA2">
              <w:rPr>
                <w:b/>
                <w:bCs/>
                <w:sz w:val="18"/>
                <w:szCs w:val="18"/>
              </w:rPr>
              <w:t>RH</w:t>
            </w:r>
          </w:p>
        </w:tc>
        <w:tc>
          <w:tcPr>
            <w:tcW w:w="800" w:type="pct"/>
            <w:gridSpan w:val="4"/>
            <w:tcBorders>
              <w:top w:val="single" w:sz="4" w:space="0" w:color="auto"/>
              <w:left w:val="nil"/>
              <w:bottom w:val="single" w:sz="4" w:space="0" w:color="auto"/>
              <w:right w:val="single" w:sz="4" w:space="0" w:color="000000"/>
            </w:tcBorders>
            <w:shd w:val="clear" w:color="auto" w:fill="99CCFF"/>
            <w:vAlign w:val="center"/>
            <w:hideMark/>
          </w:tcPr>
          <w:p w14:paraId="18446E16" w14:textId="77777777" w:rsidR="00CF336B" w:rsidRPr="001B4CA2" w:rsidRDefault="00CF336B" w:rsidP="00CF336B">
            <w:pPr>
              <w:jc w:val="center"/>
              <w:rPr>
                <w:b/>
                <w:bCs/>
                <w:sz w:val="18"/>
                <w:szCs w:val="18"/>
              </w:rPr>
            </w:pPr>
            <w:r w:rsidRPr="001B4CA2">
              <w:rPr>
                <w:b/>
                <w:bCs/>
                <w:sz w:val="18"/>
                <w:szCs w:val="18"/>
              </w:rPr>
              <w:t>Podnositelj zahtjeva</w:t>
            </w:r>
          </w:p>
          <w:p w14:paraId="14400B93" w14:textId="77777777" w:rsidR="00CF336B" w:rsidRPr="001B4CA2" w:rsidRDefault="00CF336B" w:rsidP="00CF336B">
            <w:pPr>
              <w:jc w:val="center"/>
              <w:rPr>
                <w:b/>
                <w:bCs/>
                <w:sz w:val="18"/>
                <w:szCs w:val="18"/>
              </w:rPr>
            </w:pPr>
            <w:r w:rsidRPr="001B4CA2">
              <w:rPr>
                <w:b/>
                <w:bCs/>
                <w:sz w:val="18"/>
                <w:szCs w:val="18"/>
              </w:rPr>
              <w:t>RH</w:t>
            </w:r>
          </w:p>
        </w:tc>
        <w:tc>
          <w:tcPr>
            <w:tcW w:w="708" w:type="pct"/>
            <w:gridSpan w:val="4"/>
            <w:tcBorders>
              <w:top w:val="single" w:sz="4" w:space="0" w:color="auto"/>
              <w:left w:val="nil"/>
              <w:bottom w:val="single" w:sz="4" w:space="0" w:color="auto"/>
              <w:right w:val="single" w:sz="4" w:space="0" w:color="000000"/>
            </w:tcBorders>
            <w:shd w:val="clear" w:color="auto" w:fill="99CCFF"/>
            <w:vAlign w:val="center"/>
            <w:hideMark/>
          </w:tcPr>
          <w:p w14:paraId="7808C81D" w14:textId="77777777" w:rsidR="00CF336B" w:rsidRPr="001B4CA2" w:rsidRDefault="00CF336B" w:rsidP="00CF336B">
            <w:pPr>
              <w:jc w:val="center"/>
              <w:rPr>
                <w:b/>
                <w:bCs/>
                <w:sz w:val="18"/>
                <w:szCs w:val="18"/>
              </w:rPr>
            </w:pPr>
            <w:r w:rsidRPr="001B4CA2">
              <w:rPr>
                <w:b/>
                <w:bCs/>
                <w:sz w:val="18"/>
                <w:szCs w:val="18"/>
              </w:rPr>
              <w:t>Podnositelj zahtjeva</w:t>
            </w:r>
          </w:p>
          <w:p w14:paraId="03F1E5D8" w14:textId="77777777" w:rsidR="00CF336B" w:rsidRPr="001B4CA2" w:rsidRDefault="00CF336B" w:rsidP="00CF336B">
            <w:pPr>
              <w:jc w:val="center"/>
              <w:rPr>
                <w:b/>
                <w:bCs/>
                <w:sz w:val="18"/>
                <w:szCs w:val="18"/>
              </w:rPr>
            </w:pPr>
            <w:r w:rsidRPr="001B4CA2">
              <w:rPr>
                <w:b/>
                <w:bCs/>
                <w:sz w:val="18"/>
                <w:szCs w:val="18"/>
              </w:rPr>
              <w:t xml:space="preserve"> RH</w:t>
            </w:r>
          </w:p>
        </w:tc>
        <w:tc>
          <w:tcPr>
            <w:tcW w:w="532" w:type="pct"/>
            <w:gridSpan w:val="4"/>
            <w:tcBorders>
              <w:top w:val="single" w:sz="4" w:space="0" w:color="auto"/>
              <w:left w:val="nil"/>
              <w:bottom w:val="single" w:sz="4" w:space="0" w:color="auto"/>
              <w:right w:val="single" w:sz="4" w:space="0" w:color="000000"/>
            </w:tcBorders>
            <w:shd w:val="clear" w:color="auto" w:fill="99CCFF"/>
            <w:vAlign w:val="center"/>
            <w:hideMark/>
          </w:tcPr>
          <w:p w14:paraId="720B32C2" w14:textId="77777777" w:rsidR="00CF336B" w:rsidRPr="001B4CA2" w:rsidRDefault="00CF336B" w:rsidP="00CF336B">
            <w:pPr>
              <w:jc w:val="center"/>
              <w:rPr>
                <w:b/>
                <w:bCs/>
                <w:sz w:val="18"/>
                <w:szCs w:val="18"/>
              </w:rPr>
            </w:pPr>
            <w:r w:rsidRPr="001B4CA2">
              <w:rPr>
                <w:b/>
                <w:bCs/>
                <w:sz w:val="18"/>
                <w:szCs w:val="18"/>
              </w:rPr>
              <w:t xml:space="preserve">Podnositelj zahtjeva </w:t>
            </w:r>
          </w:p>
          <w:p w14:paraId="32A72B85" w14:textId="77777777" w:rsidR="00CF336B" w:rsidRPr="001B4CA2" w:rsidRDefault="00CF336B" w:rsidP="00CF336B">
            <w:pPr>
              <w:jc w:val="center"/>
              <w:rPr>
                <w:b/>
                <w:bCs/>
                <w:sz w:val="18"/>
                <w:szCs w:val="18"/>
              </w:rPr>
            </w:pPr>
            <w:r w:rsidRPr="001B4CA2">
              <w:rPr>
                <w:b/>
                <w:bCs/>
                <w:sz w:val="18"/>
                <w:szCs w:val="18"/>
              </w:rPr>
              <w:t>RH</w:t>
            </w:r>
          </w:p>
        </w:tc>
        <w:tc>
          <w:tcPr>
            <w:tcW w:w="577" w:type="pct"/>
            <w:gridSpan w:val="4"/>
            <w:tcBorders>
              <w:top w:val="single" w:sz="4" w:space="0" w:color="auto"/>
              <w:left w:val="nil"/>
              <w:bottom w:val="single" w:sz="4" w:space="0" w:color="auto"/>
              <w:right w:val="single" w:sz="4" w:space="0" w:color="000000"/>
            </w:tcBorders>
            <w:shd w:val="clear" w:color="auto" w:fill="99CCFF"/>
            <w:vAlign w:val="center"/>
            <w:hideMark/>
          </w:tcPr>
          <w:p w14:paraId="523D6EA6" w14:textId="77777777" w:rsidR="00CF336B" w:rsidRPr="001B4CA2" w:rsidRDefault="00CF336B" w:rsidP="00CF336B">
            <w:pPr>
              <w:jc w:val="center"/>
              <w:rPr>
                <w:b/>
                <w:bCs/>
                <w:sz w:val="18"/>
                <w:szCs w:val="18"/>
              </w:rPr>
            </w:pPr>
            <w:r w:rsidRPr="001B4CA2">
              <w:rPr>
                <w:b/>
                <w:bCs/>
                <w:sz w:val="18"/>
                <w:szCs w:val="18"/>
              </w:rPr>
              <w:t>Podnositelj zahtjeva</w:t>
            </w:r>
          </w:p>
          <w:p w14:paraId="19CAAE46" w14:textId="77777777" w:rsidR="00CF336B" w:rsidRPr="001B4CA2" w:rsidRDefault="00CF336B" w:rsidP="00CF336B">
            <w:pPr>
              <w:jc w:val="center"/>
              <w:rPr>
                <w:b/>
                <w:bCs/>
                <w:sz w:val="18"/>
                <w:szCs w:val="18"/>
              </w:rPr>
            </w:pPr>
            <w:r w:rsidRPr="001B4CA2">
              <w:rPr>
                <w:b/>
                <w:bCs/>
                <w:sz w:val="18"/>
                <w:szCs w:val="18"/>
              </w:rPr>
              <w:t>RH</w:t>
            </w:r>
          </w:p>
        </w:tc>
        <w:tc>
          <w:tcPr>
            <w:tcW w:w="753" w:type="pct"/>
            <w:gridSpan w:val="4"/>
            <w:vMerge/>
            <w:tcBorders>
              <w:top w:val="single" w:sz="4" w:space="0" w:color="auto"/>
              <w:left w:val="single" w:sz="4" w:space="0" w:color="auto"/>
              <w:bottom w:val="nil"/>
              <w:right w:val="single" w:sz="4" w:space="0" w:color="000000"/>
            </w:tcBorders>
            <w:shd w:val="clear" w:color="auto" w:fill="99CCFF"/>
            <w:vAlign w:val="center"/>
            <w:hideMark/>
          </w:tcPr>
          <w:p w14:paraId="0F8C705A" w14:textId="77777777" w:rsidR="00CF336B" w:rsidRPr="001B4CA2" w:rsidRDefault="00CF336B" w:rsidP="00CF336B">
            <w:pPr>
              <w:rPr>
                <w:b/>
                <w:bCs/>
                <w:sz w:val="18"/>
                <w:szCs w:val="18"/>
              </w:rPr>
            </w:pPr>
          </w:p>
        </w:tc>
      </w:tr>
      <w:tr w:rsidR="009C5AEE" w:rsidRPr="001B4CA2" w14:paraId="6BC058A0" w14:textId="77777777" w:rsidTr="009C5AEE">
        <w:trPr>
          <w:trHeight w:val="1639"/>
        </w:trPr>
        <w:tc>
          <w:tcPr>
            <w:tcW w:w="877" w:type="pct"/>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48CABF41" w14:textId="77777777" w:rsidR="00CF336B" w:rsidRPr="001B4CA2" w:rsidRDefault="00CF336B" w:rsidP="00CF336B">
            <w:pPr>
              <w:ind w:left="317"/>
              <w:rPr>
                <w:b/>
                <w:bCs/>
                <w:sz w:val="18"/>
                <w:szCs w:val="18"/>
              </w:rPr>
            </w:pPr>
          </w:p>
        </w:tc>
        <w:tc>
          <w:tcPr>
            <w:tcW w:w="177" w:type="pct"/>
            <w:tcBorders>
              <w:top w:val="nil"/>
              <w:left w:val="nil"/>
              <w:bottom w:val="single" w:sz="4" w:space="0" w:color="auto"/>
              <w:right w:val="single" w:sz="4" w:space="0" w:color="auto"/>
            </w:tcBorders>
            <w:shd w:val="clear" w:color="auto" w:fill="99CCFF"/>
            <w:textDirection w:val="btLr"/>
            <w:vAlign w:val="center"/>
            <w:hideMark/>
          </w:tcPr>
          <w:p w14:paraId="2517F7AF" w14:textId="77777777" w:rsidR="00CF336B" w:rsidRPr="001B4CA2" w:rsidRDefault="00CF336B" w:rsidP="00CF336B">
            <w:pPr>
              <w:jc w:val="center"/>
              <w:rPr>
                <w:sz w:val="14"/>
                <w:szCs w:val="14"/>
              </w:rPr>
            </w:pPr>
            <w:r w:rsidRPr="001B4CA2">
              <w:rPr>
                <w:sz w:val="14"/>
                <w:szCs w:val="14"/>
              </w:rPr>
              <w:t>Broj zahtjeva</w:t>
            </w:r>
          </w:p>
        </w:tc>
        <w:tc>
          <w:tcPr>
            <w:tcW w:w="177" w:type="pct"/>
            <w:tcBorders>
              <w:top w:val="nil"/>
              <w:left w:val="nil"/>
              <w:bottom w:val="single" w:sz="4" w:space="0" w:color="auto"/>
              <w:right w:val="single" w:sz="4" w:space="0" w:color="auto"/>
            </w:tcBorders>
            <w:shd w:val="clear" w:color="auto" w:fill="99CCFF"/>
            <w:textDirection w:val="btLr"/>
            <w:vAlign w:val="center"/>
            <w:hideMark/>
          </w:tcPr>
          <w:p w14:paraId="2385AA99" w14:textId="77777777" w:rsidR="00CF336B" w:rsidRPr="001B4CA2" w:rsidRDefault="00CF336B" w:rsidP="00CF336B">
            <w:pPr>
              <w:jc w:val="center"/>
              <w:rPr>
                <w:sz w:val="14"/>
                <w:szCs w:val="14"/>
              </w:rPr>
            </w:pPr>
            <w:r w:rsidRPr="001B4CA2">
              <w:rPr>
                <w:sz w:val="14"/>
                <w:szCs w:val="14"/>
              </w:rPr>
              <w:t>Broj sklopljenih nagodbi</w:t>
            </w:r>
          </w:p>
        </w:tc>
        <w:tc>
          <w:tcPr>
            <w:tcW w:w="177" w:type="pct"/>
            <w:tcBorders>
              <w:top w:val="nil"/>
              <w:left w:val="nil"/>
              <w:bottom w:val="single" w:sz="4" w:space="0" w:color="auto"/>
              <w:right w:val="single" w:sz="4" w:space="0" w:color="auto"/>
            </w:tcBorders>
            <w:shd w:val="clear" w:color="auto" w:fill="99CCFF"/>
            <w:textDirection w:val="btLr"/>
            <w:vAlign w:val="center"/>
            <w:hideMark/>
          </w:tcPr>
          <w:p w14:paraId="59EE87FF" w14:textId="77777777" w:rsidR="00CF336B" w:rsidRPr="001B4CA2" w:rsidRDefault="00CF336B" w:rsidP="00CF336B">
            <w:pPr>
              <w:jc w:val="center"/>
              <w:rPr>
                <w:sz w:val="14"/>
                <w:szCs w:val="14"/>
              </w:rPr>
            </w:pPr>
            <w:r w:rsidRPr="001B4CA2">
              <w:rPr>
                <w:bCs/>
                <w:sz w:val="14"/>
                <w:szCs w:val="14"/>
              </w:rPr>
              <w:t>% sklopljenih nagodbi u odnosu na broj podnesenih zahtjeva</w:t>
            </w:r>
          </w:p>
        </w:tc>
        <w:tc>
          <w:tcPr>
            <w:tcW w:w="223" w:type="pct"/>
            <w:tcBorders>
              <w:top w:val="nil"/>
              <w:left w:val="nil"/>
              <w:bottom w:val="single" w:sz="4" w:space="0" w:color="auto"/>
              <w:right w:val="single" w:sz="4" w:space="0" w:color="auto"/>
            </w:tcBorders>
            <w:shd w:val="clear" w:color="auto" w:fill="99CCFF"/>
            <w:textDirection w:val="btLr"/>
            <w:vAlign w:val="center"/>
          </w:tcPr>
          <w:p w14:paraId="2EE4285D" w14:textId="77777777" w:rsidR="00CF336B" w:rsidRPr="001B4CA2" w:rsidRDefault="00CF336B" w:rsidP="00CF336B">
            <w:pPr>
              <w:jc w:val="center"/>
              <w:rPr>
                <w:sz w:val="14"/>
                <w:szCs w:val="14"/>
              </w:rPr>
            </w:pPr>
            <w:r w:rsidRPr="001B4CA2">
              <w:rPr>
                <w:sz w:val="14"/>
                <w:szCs w:val="14"/>
              </w:rPr>
              <w:t>Vrijednost (u tis. kn)</w:t>
            </w:r>
          </w:p>
        </w:tc>
        <w:tc>
          <w:tcPr>
            <w:tcW w:w="221" w:type="pct"/>
            <w:tcBorders>
              <w:top w:val="nil"/>
              <w:left w:val="nil"/>
              <w:bottom w:val="single" w:sz="4" w:space="0" w:color="auto"/>
              <w:right w:val="single" w:sz="4" w:space="0" w:color="auto"/>
            </w:tcBorders>
            <w:shd w:val="clear" w:color="auto" w:fill="99CCFF"/>
            <w:textDirection w:val="btLr"/>
            <w:vAlign w:val="center"/>
          </w:tcPr>
          <w:p w14:paraId="01ED52C1" w14:textId="77777777" w:rsidR="00CF336B" w:rsidRPr="001B4CA2" w:rsidRDefault="00CF336B" w:rsidP="00CF336B">
            <w:pPr>
              <w:jc w:val="center"/>
              <w:rPr>
                <w:sz w:val="14"/>
                <w:szCs w:val="14"/>
              </w:rPr>
            </w:pPr>
            <w:r w:rsidRPr="001B4CA2">
              <w:rPr>
                <w:sz w:val="14"/>
                <w:szCs w:val="14"/>
              </w:rPr>
              <w:t>Broj zahtjeva</w:t>
            </w:r>
          </w:p>
        </w:tc>
        <w:tc>
          <w:tcPr>
            <w:tcW w:w="178" w:type="pct"/>
            <w:tcBorders>
              <w:top w:val="nil"/>
              <w:left w:val="nil"/>
              <w:bottom w:val="single" w:sz="4" w:space="0" w:color="auto"/>
              <w:right w:val="single" w:sz="4" w:space="0" w:color="auto"/>
            </w:tcBorders>
            <w:shd w:val="clear" w:color="auto" w:fill="99CCFF"/>
            <w:textDirection w:val="btLr"/>
            <w:vAlign w:val="center"/>
            <w:hideMark/>
          </w:tcPr>
          <w:p w14:paraId="088C56DC" w14:textId="77777777" w:rsidR="00CF336B" w:rsidRPr="001B4CA2" w:rsidRDefault="00CF336B" w:rsidP="00CF336B">
            <w:pPr>
              <w:jc w:val="center"/>
              <w:rPr>
                <w:sz w:val="14"/>
                <w:szCs w:val="14"/>
              </w:rPr>
            </w:pPr>
            <w:r w:rsidRPr="001B4CA2">
              <w:rPr>
                <w:sz w:val="14"/>
                <w:szCs w:val="14"/>
              </w:rPr>
              <w:t>Broj sklopljenih nagodbi</w:t>
            </w:r>
          </w:p>
        </w:tc>
        <w:tc>
          <w:tcPr>
            <w:tcW w:w="179" w:type="pct"/>
            <w:tcBorders>
              <w:top w:val="nil"/>
              <w:left w:val="nil"/>
              <w:bottom w:val="single" w:sz="4" w:space="0" w:color="auto"/>
              <w:right w:val="single" w:sz="4" w:space="0" w:color="auto"/>
            </w:tcBorders>
            <w:shd w:val="clear" w:color="auto" w:fill="99CCFF"/>
            <w:textDirection w:val="btLr"/>
            <w:vAlign w:val="center"/>
            <w:hideMark/>
          </w:tcPr>
          <w:p w14:paraId="0AECF7DD" w14:textId="77777777" w:rsidR="00CF336B" w:rsidRPr="001B4CA2" w:rsidRDefault="00CF336B" w:rsidP="00CF336B">
            <w:pPr>
              <w:jc w:val="center"/>
              <w:rPr>
                <w:sz w:val="14"/>
                <w:szCs w:val="14"/>
              </w:rPr>
            </w:pPr>
            <w:r w:rsidRPr="001B4CA2">
              <w:rPr>
                <w:sz w:val="14"/>
                <w:szCs w:val="14"/>
              </w:rPr>
              <w:t>% sklopljenih nagodbi u odnosu na broj podnesenih zahtjeva</w:t>
            </w:r>
          </w:p>
        </w:tc>
        <w:tc>
          <w:tcPr>
            <w:tcW w:w="222" w:type="pct"/>
            <w:tcBorders>
              <w:top w:val="nil"/>
              <w:left w:val="nil"/>
              <w:bottom w:val="single" w:sz="4" w:space="0" w:color="auto"/>
              <w:right w:val="single" w:sz="4" w:space="0" w:color="auto"/>
            </w:tcBorders>
            <w:shd w:val="clear" w:color="auto" w:fill="99CCFF"/>
            <w:textDirection w:val="btLr"/>
            <w:vAlign w:val="center"/>
            <w:hideMark/>
          </w:tcPr>
          <w:p w14:paraId="3FED9DC3" w14:textId="77777777" w:rsidR="00CF336B" w:rsidRPr="001B4CA2" w:rsidRDefault="00CF336B" w:rsidP="00CF336B">
            <w:pPr>
              <w:jc w:val="center"/>
              <w:rPr>
                <w:sz w:val="14"/>
                <w:szCs w:val="14"/>
              </w:rPr>
            </w:pPr>
            <w:r w:rsidRPr="001B4CA2">
              <w:rPr>
                <w:sz w:val="14"/>
                <w:szCs w:val="14"/>
              </w:rPr>
              <w:t>Vrijednost (u tis. kn)</w:t>
            </w:r>
          </w:p>
        </w:tc>
        <w:tc>
          <w:tcPr>
            <w:tcW w:w="176" w:type="pct"/>
            <w:tcBorders>
              <w:top w:val="nil"/>
              <w:left w:val="nil"/>
              <w:bottom w:val="single" w:sz="4" w:space="0" w:color="auto"/>
              <w:right w:val="single" w:sz="4" w:space="0" w:color="auto"/>
            </w:tcBorders>
            <w:shd w:val="clear" w:color="auto" w:fill="99CCFF"/>
            <w:textDirection w:val="btLr"/>
            <w:vAlign w:val="center"/>
            <w:hideMark/>
          </w:tcPr>
          <w:p w14:paraId="19CA0D2C" w14:textId="77777777" w:rsidR="00CF336B" w:rsidRPr="001B4CA2" w:rsidRDefault="00CF336B" w:rsidP="00CF336B">
            <w:pPr>
              <w:jc w:val="center"/>
              <w:rPr>
                <w:sz w:val="14"/>
                <w:szCs w:val="14"/>
              </w:rPr>
            </w:pPr>
            <w:r w:rsidRPr="001B4CA2">
              <w:rPr>
                <w:sz w:val="14"/>
                <w:szCs w:val="14"/>
              </w:rPr>
              <w:t>Broj zahtjeva</w:t>
            </w:r>
          </w:p>
        </w:tc>
        <w:tc>
          <w:tcPr>
            <w:tcW w:w="176" w:type="pct"/>
            <w:tcBorders>
              <w:top w:val="nil"/>
              <w:left w:val="nil"/>
              <w:bottom w:val="single" w:sz="4" w:space="0" w:color="auto"/>
              <w:right w:val="single" w:sz="4" w:space="0" w:color="auto"/>
            </w:tcBorders>
            <w:shd w:val="clear" w:color="auto" w:fill="99CCFF"/>
            <w:textDirection w:val="btLr"/>
            <w:vAlign w:val="center"/>
            <w:hideMark/>
          </w:tcPr>
          <w:p w14:paraId="776820EE" w14:textId="77777777" w:rsidR="00CF336B" w:rsidRPr="001B4CA2" w:rsidRDefault="00CF336B" w:rsidP="00CF336B">
            <w:pPr>
              <w:jc w:val="center"/>
              <w:rPr>
                <w:sz w:val="14"/>
                <w:szCs w:val="14"/>
              </w:rPr>
            </w:pPr>
            <w:r w:rsidRPr="001B4CA2">
              <w:rPr>
                <w:sz w:val="14"/>
                <w:szCs w:val="14"/>
              </w:rPr>
              <w:t>Broj sklopljenih nagodbi</w:t>
            </w:r>
          </w:p>
        </w:tc>
        <w:tc>
          <w:tcPr>
            <w:tcW w:w="178" w:type="pct"/>
            <w:tcBorders>
              <w:top w:val="nil"/>
              <w:left w:val="nil"/>
              <w:bottom w:val="single" w:sz="4" w:space="0" w:color="auto"/>
              <w:right w:val="single" w:sz="4" w:space="0" w:color="auto"/>
            </w:tcBorders>
            <w:shd w:val="clear" w:color="auto" w:fill="99CCFF"/>
            <w:textDirection w:val="btLr"/>
            <w:vAlign w:val="center"/>
            <w:hideMark/>
          </w:tcPr>
          <w:p w14:paraId="70C44364" w14:textId="77777777" w:rsidR="00CF336B" w:rsidRPr="001B4CA2" w:rsidRDefault="00CF336B" w:rsidP="00CF336B">
            <w:pPr>
              <w:jc w:val="center"/>
              <w:rPr>
                <w:sz w:val="14"/>
                <w:szCs w:val="14"/>
              </w:rPr>
            </w:pPr>
            <w:r w:rsidRPr="001B4CA2">
              <w:rPr>
                <w:sz w:val="14"/>
                <w:szCs w:val="14"/>
              </w:rPr>
              <w:t>% sklopljenih nagodbi u odnosu na broj podnesenih zahtjeva</w:t>
            </w:r>
          </w:p>
        </w:tc>
        <w:tc>
          <w:tcPr>
            <w:tcW w:w="177" w:type="pct"/>
            <w:tcBorders>
              <w:top w:val="nil"/>
              <w:left w:val="nil"/>
              <w:bottom w:val="single" w:sz="4" w:space="0" w:color="auto"/>
              <w:right w:val="single" w:sz="4" w:space="0" w:color="auto"/>
            </w:tcBorders>
            <w:shd w:val="clear" w:color="auto" w:fill="99CCFF"/>
            <w:textDirection w:val="btLr"/>
            <w:vAlign w:val="center"/>
            <w:hideMark/>
          </w:tcPr>
          <w:p w14:paraId="345A5A20" w14:textId="77777777" w:rsidR="00CF336B" w:rsidRPr="001B4CA2" w:rsidRDefault="00CF336B" w:rsidP="00CF336B">
            <w:pPr>
              <w:jc w:val="center"/>
              <w:rPr>
                <w:sz w:val="14"/>
                <w:szCs w:val="14"/>
              </w:rPr>
            </w:pPr>
            <w:r w:rsidRPr="001B4CA2">
              <w:rPr>
                <w:sz w:val="14"/>
                <w:szCs w:val="14"/>
              </w:rPr>
              <w:t>Vrijednost (u tis. kn)</w:t>
            </w:r>
          </w:p>
        </w:tc>
        <w:tc>
          <w:tcPr>
            <w:tcW w:w="101" w:type="pct"/>
            <w:tcBorders>
              <w:top w:val="nil"/>
              <w:left w:val="nil"/>
              <w:bottom w:val="single" w:sz="4" w:space="0" w:color="auto"/>
              <w:right w:val="single" w:sz="4" w:space="0" w:color="auto"/>
            </w:tcBorders>
            <w:shd w:val="clear" w:color="auto" w:fill="99CCFF"/>
            <w:textDirection w:val="btLr"/>
            <w:vAlign w:val="center"/>
            <w:hideMark/>
          </w:tcPr>
          <w:p w14:paraId="09404EC7" w14:textId="77777777" w:rsidR="00CF336B" w:rsidRPr="001B4CA2" w:rsidRDefault="00CF336B" w:rsidP="00CF336B">
            <w:pPr>
              <w:jc w:val="center"/>
              <w:rPr>
                <w:sz w:val="14"/>
                <w:szCs w:val="14"/>
              </w:rPr>
            </w:pPr>
            <w:r w:rsidRPr="001B4CA2">
              <w:rPr>
                <w:sz w:val="14"/>
                <w:szCs w:val="14"/>
              </w:rPr>
              <w:t>Broj zahtjeva</w:t>
            </w:r>
          </w:p>
        </w:tc>
        <w:tc>
          <w:tcPr>
            <w:tcW w:w="122" w:type="pct"/>
            <w:tcBorders>
              <w:top w:val="nil"/>
              <w:left w:val="nil"/>
              <w:bottom w:val="single" w:sz="4" w:space="0" w:color="auto"/>
              <w:right w:val="single" w:sz="4" w:space="0" w:color="auto"/>
            </w:tcBorders>
            <w:shd w:val="clear" w:color="auto" w:fill="99CCFF"/>
            <w:textDirection w:val="btLr"/>
            <w:vAlign w:val="center"/>
            <w:hideMark/>
          </w:tcPr>
          <w:p w14:paraId="031AD0E8" w14:textId="77777777" w:rsidR="00CF336B" w:rsidRPr="001B4CA2" w:rsidRDefault="00CF336B" w:rsidP="00CF336B">
            <w:pPr>
              <w:jc w:val="center"/>
              <w:rPr>
                <w:sz w:val="14"/>
                <w:szCs w:val="14"/>
              </w:rPr>
            </w:pPr>
            <w:r w:rsidRPr="001B4CA2">
              <w:rPr>
                <w:sz w:val="14"/>
                <w:szCs w:val="14"/>
              </w:rPr>
              <w:t>Broj sklopljenih nagodbi</w:t>
            </w:r>
          </w:p>
        </w:tc>
        <w:tc>
          <w:tcPr>
            <w:tcW w:w="192" w:type="pct"/>
            <w:tcBorders>
              <w:top w:val="nil"/>
              <w:left w:val="nil"/>
              <w:bottom w:val="single" w:sz="4" w:space="0" w:color="auto"/>
              <w:right w:val="single" w:sz="4" w:space="0" w:color="auto"/>
            </w:tcBorders>
            <w:shd w:val="clear" w:color="auto" w:fill="99CCFF"/>
            <w:textDirection w:val="btLr"/>
            <w:vAlign w:val="center"/>
            <w:hideMark/>
          </w:tcPr>
          <w:p w14:paraId="36CD18FE" w14:textId="77777777" w:rsidR="00CF336B" w:rsidRPr="001B4CA2" w:rsidRDefault="00CF336B" w:rsidP="00CF336B">
            <w:pPr>
              <w:jc w:val="center"/>
              <w:rPr>
                <w:sz w:val="14"/>
                <w:szCs w:val="14"/>
              </w:rPr>
            </w:pPr>
            <w:r w:rsidRPr="001B4CA2">
              <w:rPr>
                <w:sz w:val="14"/>
                <w:szCs w:val="14"/>
              </w:rPr>
              <w:t>% sklopljenih nagodbi u odnosu na broj podnesenih zahtjeva</w:t>
            </w:r>
          </w:p>
        </w:tc>
        <w:tc>
          <w:tcPr>
            <w:tcW w:w="117" w:type="pct"/>
            <w:tcBorders>
              <w:top w:val="nil"/>
              <w:left w:val="nil"/>
              <w:bottom w:val="single" w:sz="4" w:space="0" w:color="auto"/>
              <w:right w:val="single" w:sz="4" w:space="0" w:color="auto"/>
            </w:tcBorders>
            <w:shd w:val="clear" w:color="auto" w:fill="99CCFF"/>
            <w:textDirection w:val="btLr"/>
            <w:vAlign w:val="center"/>
            <w:hideMark/>
          </w:tcPr>
          <w:p w14:paraId="75449167" w14:textId="77777777" w:rsidR="00CF336B" w:rsidRPr="001B4CA2" w:rsidRDefault="00CF336B" w:rsidP="00CF336B">
            <w:pPr>
              <w:jc w:val="center"/>
              <w:rPr>
                <w:sz w:val="14"/>
                <w:szCs w:val="14"/>
              </w:rPr>
            </w:pPr>
            <w:r w:rsidRPr="001B4CA2">
              <w:rPr>
                <w:sz w:val="14"/>
                <w:szCs w:val="14"/>
              </w:rPr>
              <w:t>Vrijednost (u tis. kn)</w:t>
            </w:r>
          </w:p>
        </w:tc>
        <w:tc>
          <w:tcPr>
            <w:tcW w:w="128" w:type="pct"/>
            <w:tcBorders>
              <w:top w:val="nil"/>
              <w:left w:val="nil"/>
              <w:bottom w:val="single" w:sz="4" w:space="0" w:color="auto"/>
              <w:right w:val="single" w:sz="4" w:space="0" w:color="auto"/>
            </w:tcBorders>
            <w:shd w:val="clear" w:color="auto" w:fill="99CCFF"/>
            <w:textDirection w:val="btLr"/>
            <w:vAlign w:val="center"/>
            <w:hideMark/>
          </w:tcPr>
          <w:p w14:paraId="628B180C" w14:textId="77777777" w:rsidR="00CF336B" w:rsidRPr="001B4CA2" w:rsidRDefault="00CF336B" w:rsidP="00CF336B">
            <w:pPr>
              <w:jc w:val="center"/>
              <w:rPr>
                <w:sz w:val="14"/>
                <w:szCs w:val="14"/>
              </w:rPr>
            </w:pPr>
            <w:r w:rsidRPr="001B4CA2">
              <w:rPr>
                <w:sz w:val="14"/>
                <w:szCs w:val="14"/>
              </w:rPr>
              <w:t>Broj zahtjeva</w:t>
            </w:r>
          </w:p>
        </w:tc>
        <w:tc>
          <w:tcPr>
            <w:tcW w:w="94" w:type="pct"/>
            <w:tcBorders>
              <w:top w:val="nil"/>
              <w:left w:val="nil"/>
              <w:bottom w:val="single" w:sz="4" w:space="0" w:color="auto"/>
              <w:right w:val="single" w:sz="4" w:space="0" w:color="auto"/>
            </w:tcBorders>
            <w:shd w:val="clear" w:color="auto" w:fill="99CCFF"/>
            <w:textDirection w:val="btLr"/>
            <w:vAlign w:val="center"/>
            <w:hideMark/>
          </w:tcPr>
          <w:p w14:paraId="0D26797A" w14:textId="77777777" w:rsidR="00CF336B" w:rsidRPr="001B4CA2" w:rsidRDefault="00CF336B" w:rsidP="00CF336B">
            <w:pPr>
              <w:jc w:val="center"/>
              <w:rPr>
                <w:sz w:val="14"/>
                <w:szCs w:val="14"/>
              </w:rPr>
            </w:pPr>
            <w:r w:rsidRPr="001B4CA2">
              <w:rPr>
                <w:sz w:val="14"/>
                <w:szCs w:val="14"/>
              </w:rPr>
              <w:t>Broj sklopljenih nagodbi</w:t>
            </w:r>
          </w:p>
        </w:tc>
        <w:tc>
          <w:tcPr>
            <w:tcW w:w="235" w:type="pct"/>
            <w:tcBorders>
              <w:top w:val="nil"/>
              <w:left w:val="nil"/>
              <w:bottom w:val="single" w:sz="4" w:space="0" w:color="auto"/>
              <w:right w:val="single" w:sz="4" w:space="0" w:color="auto"/>
            </w:tcBorders>
            <w:shd w:val="clear" w:color="auto" w:fill="99CCFF"/>
            <w:textDirection w:val="btLr"/>
            <w:vAlign w:val="center"/>
            <w:hideMark/>
          </w:tcPr>
          <w:p w14:paraId="180EED21" w14:textId="77777777" w:rsidR="00CF336B" w:rsidRPr="001B4CA2" w:rsidRDefault="00CF336B" w:rsidP="00CF336B">
            <w:pPr>
              <w:jc w:val="center"/>
              <w:rPr>
                <w:sz w:val="14"/>
                <w:szCs w:val="14"/>
              </w:rPr>
            </w:pPr>
          </w:p>
          <w:p w14:paraId="0FABBA1F" w14:textId="77777777" w:rsidR="00CF336B" w:rsidRPr="001B4CA2" w:rsidRDefault="00CF336B" w:rsidP="00CF336B">
            <w:pPr>
              <w:jc w:val="center"/>
              <w:rPr>
                <w:sz w:val="14"/>
                <w:szCs w:val="14"/>
              </w:rPr>
            </w:pPr>
            <w:r w:rsidRPr="001B4CA2">
              <w:rPr>
                <w:sz w:val="14"/>
                <w:szCs w:val="14"/>
              </w:rPr>
              <w:t>% sklopljenih nagodbi u odnosu na broj podnesenih zahtjeva</w:t>
            </w:r>
          </w:p>
          <w:p w14:paraId="4A0FF467" w14:textId="77777777" w:rsidR="00CF336B" w:rsidRPr="001B4CA2"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99CCFF"/>
            <w:textDirection w:val="btLr"/>
            <w:vAlign w:val="center"/>
            <w:hideMark/>
          </w:tcPr>
          <w:p w14:paraId="611FF5A6" w14:textId="77777777" w:rsidR="00CF336B" w:rsidRPr="001B4CA2" w:rsidRDefault="00CF336B" w:rsidP="00CF336B">
            <w:pPr>
              <w:jc w:val="center"/>
              <w:rPr>
                <w:sz w:val="14"/>
                <w:szCs w:val="14"/>
              </w:rPr>
            </w:pPr>
            <w:r w:rsidRPr="001B4CA2">
              <w:rPr>
                <w:sz w:val="14"/>
                <w:szCs w:val="14"/>
              </w:rPr>
              <w:t>Vrijednost (u tis. kn)</w:t>
            </w:r>
          </w:p>
        </w:tc>
        <w:tc>
          <w:tcPr>
            <w:tcW w:w="177"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221FC02B" w14:textId="77777777" w:rsidR="00CF336B" w:rsidRPr="001B4CA2" w:rsidRDefault="00CF336B" w:rsidP="00CF336B">
            <w:pPr>
              <w:jc w:val="center"/>
              <w:rPr>
                <w:b/>
                <w:bCs/>
                <w:sz w:val="14"/>
                <w:szCs w:val="14"/>
              </w:rPr>
            </w:pPr>
            <w:r w:rsidRPr="001B4CA2">
              <w:rPr>
                <w:b/>
                <w:bCs/>
                <w:sz w:val="14"/>
                <w:szCs w:val="14"/>
              </w:rPr>
              <w:t>Broj zahtjeva</w:t>
            </w:r>
          </w:p>
        </w:tc>
        <w:tc>
          <w:tcPr>
            <w:tcW w:w="177"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371BE373" w14:textId="77777777" w:rsidR="00CF336B" w:rsidRPr="001B4CA2" w:rsidRDefault="00CF336B" w:rsidP="00CF336B">
            <w:pPr>
              <w:jc w:val="center"/>
              <w:rPr>
                <w:b/>
                <w:bCs/>
                <w:sz w:val="14"/>
                <w:szCs w:val="14"/>
              </w:rPr>
            </w:pPr>
            <w:r w:rsidRPr="001B4CA2">
              <w:rPr>
                <w:b/>
                <w:sz w:val="14"/>
                <w:szCs w:val="14"/>
              </w:rPr>
              <w:t>Broj sklopljenih nagodbi</w:t>
            </w:r>
          </w:p>
        </w:tc>
        <w:tc>
          <w:tcPr>
            <w:tcW w:w="186" w:type="pct"/>
            <w:tcBorders>
              <w:top w:val="single" w:sz="4" w:space="0" w:color="auto"/>
              <w:left w:val="nil"/>
              <w:bottom w:val="single" w:sz="4" w:space="0" w:color="auto"/>
              <w:right w:val="single" w:sz="4" w:space="0" w:color="auto"/>
            </w:tcBorders>
            <w:shd w:val="clear" w:color="auto" w:fill="99CCFF"/>
            <w:textDirection w:val="btLr"/>
            <w:vAlign w:val="center"/>
          </w:tcPr>
          <w:p w14:paraId="43F18499" w14:textId="77777777" w:rsidR="00CF336B" w:rsidRPr="001B4CA2" w:rsidRDefault="00CF336B" w:rsidP="00CF336B">
            <w:pPr>
              <w:jc w:val="center"/>
              <w:rPr>
                <w:b/>
                <w:bCs/>
                <w:sz w:val="14"/>
                <w:szCs w:val="14"/>
              </w:rPr>
            </w:pPr>
            <w:r w:rsidRPr="001B4CA2">
              <w:rPr>
                <w:b/>
                <w:sz w:val="14"/>
                <w:szCs w:val="14"/>
              </w:rPr>
              <w:t>% sklopljenih nagodbi u odnosu na broj podnesenih zahtjeva</w:t>
            </w:r>
          </w:p>
        </w:tc>
        <w:tc>
          <w:tcPr>
            <w:tcW w:w="213" w:type="pct"/>
            <w:tcBorders>
              <w:top w:val="single" w:sz="4" w:space="0" w:color="auto"/>
              <w:left w:val="nil"/>
              <w:bottom w:val="single" w:sz="4" w:space="0" w:color="auto"/>
              <w:right w:val="single" w:sz="4" w:space="0" w:color="auto"/>
            </w:tcBorders>
            <w:shd w:val="clear" w:color="auto" w:fill="99CCFF"/>
            <w:textDirection w:val="btLr"/>
            <w:vAlign w:val="center"/>
          </w:tcPr>
          <w:p w14:paraId="2378C8E9" w14:textId="77777777" w:rsidR="00CF336B" w:rsidRPr="001B4CA2" w:rsidRDefault="00CF336B" w:rsidP="00CF336B">
            <w:pPr>
              <w:jc w:val="center"/>
              <w:rPr>
                <w:b/>
                <w:bCs/>
                <w:sz w:val="14"/>
                <w:szCs w:val="14"/>
              </w:rPr>
            </w:pPr>
            <w:r w:rsidRPr="001B4CA2">
              <w:rPr>
                <w:b/>
                <w:bCs/>
                <w:sz w:val="14"/>
                <w:szCs w:val="14"/>
              </w:rPr>
              <w:t>Vrijednost sklopljenih nagodbi (u tis. kn)</w:t>
            </w:r>
          </w:p>
        </w:tc>
      </w:tr>
      <w:tr w:rsidR="00BF508A" w:rsidRPr="001B4CA2" w14:paraId="60EE09ED"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4D14E4FD" w14:textId="77777777" w:rsidR="00CF336B" w:rsidRPr="001B4CA2" w:rsidRDefault="00CF336B" w:rsidP="00CF336B">
            <w:pPr>
              <w:ind w:left="34"/>
              <w:jc w:val="left"/>
              <w:rPr>
                <w:bCs/>
                <w:sz w:val="16"/>
                <w:szCs w:val="16"/>
              </w:rPr>
            </w:pPr>
            <w:r w:rsidRPr="001B4CA2">
              <w:rPr>
                <w:bCs/>
                <w:sz w:val="16"/>
                <w:szCs w:val="16"/>
              </w:rPr>
              <w:t>Republika Hrvatska</w:t>
            </w:r>
          </w:p>
        </w:tc>
        <w:tc>
          <w:tcPr>
            <w:tcW w:w="177" w:type="pct"/>
            <w:tcBorders>
              <w:top w:val="nil"/>
              <w:left w:val="nil"/>
              <w:bottom w:val="single" w:sz="4" w:space="0" w:color="auto"/>
              <w:right w:val="single" w:sz="4" w:space="0" w:color="auto"/>
            </w:tcBorders>
            <w:shd w:val="clear" w:color="auto" w:fill="auto"/>
            <w:noWrap/>
            <w:vAlign w:val="center"/>
          </w:tcPr>
          <w:p w14:paraId="35A1A949"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24</w:t>
            </w:r>
          </w:p>
        </w:tc>
        <w:tc>
          <w:tcPr>
            <w:tcW w:w="177" w:type="pct"/>
            <w:tcBorders>
              <w:top w:val="nil"/>
              <w:left w:val="nil"/>
              <w:bottom w:val="single" w:sz="4" w:space="0" w:color="auto"/>
              <w:right w:val="single" w:sz="4" w:space="0" w:color="auto"/>
            </w:tcBorders>
            <w:shd w:val="clear" w:color="auto" w:fill="auto"/>
            <w:noWrap/>
            <w:vAlign w:val="center"/>
          </w:tcPr>
          <w:p w14:paraId="15E8142A"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3</w:t>
            </w:r>
          </w:p>
        </w:tc>
        <w:tc>
          <w:tcPr>
            <w:tcW w:w="177" w:type="pct"/>
            <w:tcBorders>
              <w:top w:val="nil"/>
              <w:left w:val="nil"/>
              <w:bottom w:val="single" w:sz="4" w:space="0" w:color="auto"/>
              <w:right w:val="single" w:sz="4" w:space="0" w:color="auto"/>
            </w:tcBorders>
            <w:shd w:val="clear" w:color="auto" w:fill="auto"/>
            <w:noWrap/>
            <w:vAlign w:val="center"/>
          </w:tcPr>
          <w:p w14:paraId="035A3D0B"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37E481CC"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810</w:t>
            </w:r>
          </w:p>
        </w:tc>
        <w:tc>
          <w:tcPr>
            <w:tcW w:w="221" w:type="pct"/>
            <w:tcBorders>
              <w:top w:val="nil"/>
              <w:left w:val="nil"/>
              <w:bottom w:val="single" w:sz="4" w:space="0" w:color="auto"/>
              <w:right w:val="single" w:sz="4" w:space="0" w:color="auto"/>
            </w:tcBorders>
            <w:shd w:val="clear" w:color="auto" w:fill="auto"/>
            <w:noWrap/>
            <w:vAlign w:val="center"/>
          </w:tcPr>
          <w:p w14:paraId="54544ECB"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24</w:t>
            </w:r>
          </w:p>
        </w:tc>
        <w:tc>
          <w:tcPr>
            <w:tcW w:w="178" w:type="pct"/>
            <w:tcBorders>
              <w:top w:val="nil"/>
              <w:left w:val="nil"/>
              <w:bottom w:val="single" w:sz="4" w:space="0" w:color="auto"/>
              <w:right w:val="single" w:sz="4" w:space="0" w:color="auto"/>
            </w:tcBorders>
            <w:shd w:val="clear" w:color="auto" w:fill="auto"/>
            <w:noWrap/>
            <w:vAlign w:val="center"/>
          </w:tcPr>
          <w:p w14:paraId="415F99DD"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11</w:t>
            </w:r>
          </w:p>
        </w:tc>
        <w:tc>
          <w:tcPr>
            <w:tcW w:w="179" w:type="pct"/>
            <w:tcBorders>
              <w:top w:val="nil"/>
              <w:left w:val="nil"/>
              <w:bottom w:val="single" w:sz="4" w:space="0" w:color="auto"/>
              <w:right w:val="single" w:sz="4" w:space="0" w:color="auto"/>
            </w:tcBorders>
            <w:shd w:val="clear" w:color="auto" w:fill="auto"/>
            <w:noWrap/>
            <w:vAlign w:val="center"/>
          </w:tcPr>
          <w:p w14:paraId="0B9E7E24"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5A59F029" w14:textId="77777777" w:rsidR="00CF336B" w:rsidRPr="003E79A0" w:rsidRDefault="00CF336B" w:rsidP="00CF336B">
            <w:pPr>
              <w:jc w:val="center"/>
              <w:rPr>
                <w:sz w:val="14"/>
                <w:szCs w:val="14"/>
              </w:rPr>
            </w:pPr>
            <w:r w:rsidRPr="003E79A0">
              <w:rPr>
                <w:rFonts w:asciiTheme="majorHAnsi" w:hAnsiTheme="majorHAnsi" w:cstheme="majorHAnsi"/>
                <w:sz w:val="14"/>
                <w:szCs w:val="14"/>
              </w:rPr>
              <w:t>20.569</w:t>
            </w:r>
          </w:p>
        </w:tc>
        <w:tc>
          <w:tcPr>
            <w:tcW w:w="176" w:type="pct"/>
            <w:tcBorders>
              <w:top w:val="nil"/>
              <w:left w:val="nil"/>
              <w:bottom w:val="single" w:sz="4" w:space="0" w:color="auto"/>
              <w:right w:val="single" w:sz="4" w:space="0" w:color="auto"/>
            </w:tcBorders>
            <w:shd w:val="clear" w:color="auto" w:fill="auto"/>
            <w:noWrap/>
            <w:vAlign w:val="center"/>
          </w:tcPr>
          <w:p w14:paraId="475F40DE" w14:textId="77777777" w:rsidR="00CF336B" w:rsidRPr="003E79A0" w:rsidRDefault="00CF336B" w:rsidP="00CF336B">
            <w:pPr>
              <w:jc w:val="center"/>
              <w:rPr>
                <w:sz w:val="14"/>
                <w:szCs w:val="14"/>
              </w:rPr>
            </w:pPr>
            <w:r w:rsidRPr="003E79A0">
              <w:rPr>
                <w:rFonts w:cstheme="minorHAnsi"/>
                <w:color w:val="000000"/>
                <w:sz w:val="14"/>
                <w:szCs w:val="14"/>
              </w:rPr>
              <w:t>6</w:t>
            </w:r>
          </w:p>
        </w:tc>
        <w:tc>
          <w:tcPr>
            <w:tcW w:w="176" w:type="pct"/>
            <w:tcBorders>
              <w:top w:val="nil"/>
              <w:left w:val="nil"/>
              <w:bottom w:val="single" w:sz="4" w:space="0" w:color="auto"/>
              <w:right w:val="single" w:sz="4" w:space="0" w:color="auto"/>
            </w:tcBorders>
            <w:shd w:val="clear" w:color="auto" w:fill="auto"/>
            <w:noWrap/>
            <w:vAlign w:val="center"/>
          </w:tcPr>
          <w:p w14:paraId="2C4854AC" w14:textId="77777777" w:rsidR="00CF336B" w:rsidRPr="003E79A0" w:rsidRDefault="00CF336B" w:rsidP="00CF336B">
            <w:pPr>
              <w:jc w:val="center"/>
              <w:rPr>
                <w:sz w:val="14"/>
                <w:szCs w:val="14"/>
              </w:rPr>
            </w:pPr>
            <w:r w:rsidRPr="003E79A0">
              <w:rPr>
                <w:rFonts w:cstheme="minorHAnsi"/>
                <w:color w:val="000000"/>
                <w:sz w:val="14"/>
                <w:szCs w:val="14"/>
              </w:rPr>
              <w:t>4</w:t>
            </w:r>
          </w:p>
        </w:tc>
        <w:tc>
          <w:tcPr>
            <w:tcW w:w="178" w:type="pct"/>
            <w:tcBorders>
              <w:top w:val="nil"/>
              <w:left w:val="nil"/>
              <w:bottom w:val="single" w:sz="4" w:space="0" w:color="auto"/>
              <w:right w:val="single" w:sz="4" w:space="0" w:color="auto"/>
            </w:tcBorders>
            <w:shd w:val="clear" w:color="auto" w:fill="auto"/>
            <w:noWrap/>
            <w:vAlign w:val="center"/>
          </w:tcPr>
          <w:p w14:paraId="6DE52405"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0AA3D658" w14:textId="77777777" w:rsidR="00CF336B" w:rsidRPr="003E79A0" w:rsidRDefault="00CF336B" w:rsidP="00CF336B">
            <w:pPr>
              <w:jc w:val="center"/>
              <w:rPr>
                <w:sz w:val="14"/>
                <w:szCs w:val="14"/>
              </w:rPr>
            </w:pPr>
            <w:r w:rsidRPr="003E79A0">
              <w:rPr>
                <w:sz w:val="14"/>
                <w:szCs w:val="14"/>
              </w:rPr>
              <w:t>616</w:t>
            </w:r>
          </w:p>
        </w:tc>
        <w:tc>
          <w:tcPr>
            <w:tcW w:w="101" w:type="pct"/>
            <w:tcBorders>
              <w:top w:val="nil"/>
              <w:left w:val="nil"/>
              <w:bottom w:val="single" w:sz="4" w:space="0" w:color="auto"/>
              <w:right w:val="single" w:sz="4" w:space="0" w:color="auto"/>
            </w:tcBorders>
            <w:shd w:val="clear" w:color="auto" w:fill="auto"/>
            <w:noWrap/>
            <w:vAlign w:val="center"/>
          </w:tcPr>
          <w:p w14:paraId="4A62B1A1"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47454827"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47EDD1C4"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09951EA1"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38C4B279"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w:t>
            </w:r>
          </w:p>
        </w:tc>
        <w:tc>
          <w:tcPr>
            <w:tcW w:w="94" w:type="pct"/>
            <w:tcBorders>
              <w:top w:val="nil"/>
              <w:left w:val="nil"/>
              <w:bottom w:val="single" w:sz="4" w:space="0" w:color="auto"/>
              <w:right w:val="single" w:sz="4" w:space="0" w:color="auto"/>
            </w:tcBorders>
            <w:shd w:val="clear" w:color="auto" w:fill="auto"/>
            <w:noWrap/>
            <w:vAlign w:val="center"/>
          </w:tcPr>
          <w:p w14:paraId="6CFF9755"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245D8DBE"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34138139"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6B514152" w14:textId="77777777" w:rsidR="00CF336B" w:rsidRPr="003E79A0" w:rsidRDefault="00CF336B" w:rsidP="00CF336B">
            <w:pPr>
              <w:jc w:val="center"/>
              <w:rPr>
                <w:b/>
                <w:bCs/>
                <w:sz w:val="14"/>
                <w:szCs w:val="14"/>
              </w:rPr>
            </w:pPr>
            <w:r w:rsidRPr="003E79A0">
              <w:rPr>
                <w:rFonts w:cstheme="minorHAnsi"/>
                <w:bCs/>
                <w:color w:val="000000"/>
                <w:sz w:val="14"/>
                <w:szCs w:val="14"/>
              </w:rPr>
              <w:t>55</w:t>
            </w:r>
          </w:p>
        </w:tc>
        <w:tc>
          <w:tcPr>
            <w:tcW w:w="177" w:type="pct"/>
            <w:tcBorders>
              <w:top w:val="nil"/>
              <w:left w:val="nil"/>
              <w:bottom w:val="single" w:sz="4" w:space="0" w:color="auto"/>
              <w:right w:val="single" w:sz="4" w:space="0" w:color="auto"/>
            </w:tcBorders>
            <w:shd w:val="clear" w:color="auto" w:fill="auto"/>
            <w:noWrap/>
            <w:vAlign w:val="center"/>
          </w:tcPr>
          <w:p w14:paraId="2743C9EC"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18</w:t>
            </w:r>
          </w:p>
        </w:tc>
        <w:tc>
          <w:tcPr>
            <w:tcW w:w="186" w:type="pct"/>
            <w:tcBorders>
              <w:top w:val="nil"/>
              <w:left w:val="nil"/>
              <w:bottom w:val="single" w:sz="4" w:space="0" w:color="auto"/>
              <w:right w:val="single" w:sz="4" w:space="0" w:color="auto"/>
            </w:tcBorders>
            <w:shd w:val="clear" w:color="auto" w:fill="auto"/>
          </w:tcPr>
          <w:p w14:paraId="6EA62232"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767AD298" w14:textId="77777777" w:rsidR="00CF336B" w:rsidRPr="003E79A0" w:rsidRDefault="00CF336B" w:rsidP="00CF336B">
            <w:pPr>
              <w:jc w:val="center"/>
              <w:rPr>
                <w:b/>
                <w:sz w:val="14"/>
                <w:szCs w:val="14"/>
              </w:rPr>
            </w:pPr>
            <w:r w:rsidRPr="003E79A0">
              <w:rPr>
                <w:rFonts w:cstheme="minorHAnsi"/>
                <w:b/>
                <w:bCs/>
                <w:color w:val="000000"/>
                <w:sz w:val="14"/>
                <w:szCs w:val="14"/>
              </w:rPr>
              <w:t>21.994</w:t>
            </w:r>
          </w:p>
        </w:tc>
      </w:tr>
      <w:tr w:rsidR="00BF508A" w:rsidRPr="001B4CA2" w14:paraId="0AFD5FE2"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26FFBAEA" w14:textId="77777777" w:rsidR="00CF336B" w:rsidRPr="001B4CA2" w:rsidRDefault="00CF336B" w:rsidP="00CF336B">
            <w:pPr>
              <w:ind w:left="34"/>
              <w:jc w:val="left"/>
              <w:rPr>
                <w:bCs/>
                <w:sz w:val="16"/>
                <w:szCs w:val="16"/>
              </w:rPr>
            </w:pPr>
            <w:r w:rsidRPr="001B4CA2">
              <w:rPr>
                <w:bCs/>
                <w:sz w:val="16"/>
                <w:szCs w:val="16"/>
              </w:rPr>
              <w:t xml:space="preserve">Ministarstvo pravosuđa i uprave </w:t>
            </w:r>
          </w:p>
        </w:tc>
        <w:tc>
          <w:tcPr>
            <w:tcW w:w="177" w:type="pct"/>
            <w:tcBorders>
              <w:top w:val="nil"/>
              <w:left w:val="nil"/>
              <w:bottom w:val="single" w:sz="4" w:space="0" w:color="auto"/>
              <w:right w:val="single" w:sz="4" w:space="0" w:color="auto"/>
            </w:tcBorders>
            <w:shd w:val="clear" w:color="auto" w:fill="auto"/>
            <w:noWrap/>
            <w:vAlign w:val="center"/>
          </w:tcPr>
          <w:p w14:paraId="3BB2797A"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w:t>
            </w:r>
          </w:p>
        </w:tc>
        <w:tc>
          <w:tcPr>
            <w:tcW w:w="177" w:type="pct"/>
            <w:tcBorders>
              <w:top w:val="nil"/>
              <w:left w:val="nil"/>
              <w:bottom w:val="single" w:sz="4" w:space="0" w:color="auto"/>
              <w:right w:val="single" w:sz="4" w:space="0" w:color="auto"/>
            </w:tcBorders>
            <w:shd w:val="clear" w:color="auto" w:fill="auto"/>
            <w:noWrap/>
            <w:vAlign w:val="center"/>
          </w:tcPr>
          <w:p w14:paraId="48EB0853"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7BAB2B2B"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70A41AB6" w14:textId="77777777" w:rsidR="00CF336B" w:rsidRPr="003E79A0" w:rsidRDefault="00CF336B" w:rsidP="00CF336B">
            <w:pPr>
              <w:jc w:val="center"/>
              <w:rPr>
                <w:sz w:val="14"/>
                <w:szCs w:val="14"/>
              </w:rPr>
            </w:pPr>
          </w:p>
        </w:tc>
        <w:tc>
          <w:tcPr>
            <w:tcW w:w="221" w:type="pct"/>
            <w:tcBorders>
              <w:top w:val="nil"/>
              <w:left w:val="nil"/>
              <w:bottom w:val="single" w:sz="4" w:space="0" w:color="auto"/>
              <w:right w:val="single" w:sz="4" w:space="0" w:color="auto"/>
            </w:tcBorders>
            <w:shd w:val="clear" w:color="auto" w:fill="auto"/>
            <w:noWrap/>
            <w:vAlign w:val="center"/>
          </w:tcPr>
          <w:p w14:paraId="62A1AF54"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11</w:t>
            </w:r>
          </w:p>
        </w:tc>
        <w:tc>
          <w:tcPr>
            <w:tcW w:w="178" w:type="pct"/>
            <w:tcBorders>
              <w:top w:val="nil"/>
              <w:left w:val="nil"/>
              <w:bottom w:val="single" w:sz="4" w:space="0" w:color="auto"/>
              <w:right w:val="single" w:sz="4" w:space="0" w:color="auto"/>
            </w:tcBorders>
            <w:shd w:val="clear" w:color="auto" w:fill="auto"/>
            <w:noWrap/>
            <w:vAlign w:val="center"/>
          </w:tcPr>
          <w:p w14:paraId="6FD0030D"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8</w:t>
            </w:r>
          </w:p>
        </w:tc>
        <w:tc>
          <w:tcPr>
            <w:tcW w:w="179" w:type="pct"/>
            <w:tcBorders>
              <w:top w:val="nil"/>
              <w:left w:val="nil"/>
              <w:bottom w:val="single" w:sz="4" w:space="0" w:color="auto"/>
              <w:right w:val="single" w:sz="4" w:space="0" w:color="auto"/>
            </w:tcBorders>
            <w:shd w:val="clear" w:color="auto" w:fill="auto"/>
            <w:noWrap/>
            <w:vAlign w:val="center"/>
          </w:tcPr>
          <w:p w14:paraId="1A120C40"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416CB6E9" w14:textId="77777777" w:rsidR="00CF336B" w:rsidRPr="003E79A0" w:rsidRDefault="00CF336B" w:rsidP="00CF336B">
            <w:pPr>
              <w:jc w:val="center"/>
              <w:rPr>
                <w:sz w:val="14"/>
                <w:szCs w:val="14"/>
              </w:rPr>
            </w:pPr>
            <w:r w:rsidRPr="003E79A0">
              <w:rPr>
                <w:rFonts w:asciiTheme="majorHAnsi" w:hAnsiTheme="majorHAnsi" w:cstheme="majorHAnsi"/>
                <w:sz w:val="14"/>
                <w:szCs w:val="14"/>
              </w:rPr>
              <w:t>1.726</w:t>
            </w:r>
          </w:p>
        </w:tc>
        <w:tc>
          <w:tcPr>
            <w:tcW w:w="176" w:type="pct"/>
            <w:tcBorders>
              <w:top w:val="nil"/>
              <w:left w:val="nil"/>
              <w:bottom w:val="single" w:sz="4" w:space="0" w:color="auto"/>
              <w:right w:val="single" w:sz="4" w:space="0" w:color="auto"/>
            </w:tcBorders>
            <w:shd w:val="clear" w:color="auto" w:fill="auto"/>
            <w:noWrap/>
            <w:vAlign w:val="center"/>
          </w:tcPr>
          <w:p w14:paraId="02B1E350" w14:textId="77777777" w:rsidR="00CF336B" w:rsidRPr="003E79A0" w:rsidRDefault="00CF336B" w:rsidP="00CF336B">
            <w:pPr>
              <w:jc w:val="center"/>
              <w:rPr>
                <w:sz w:val="14"/>
                <w:szCs w:val="14"/>
              </w:rPr>
            </w:pPr>
            <w:r w:rsidRPr="003E79A0">
              <w:rPr>
                <w:rFonts w:cstheme="minorHAnsi"/>
                <w:color w:val="000000"/>
                <w:sz w:val="14"/>
                <w:szCs w:val="14"/>
              </w:rPr>
              <w:t>1</w:t>
            </w:r>
          </w:p>
        </w:tc>
        <w:tc>
          <w:tcPr>
            <w:tcW w:w="176" w:type="pct"/>
            <w:tcBorders>
              <w:top w:val="nil"/>
              <w:left w:val="nil"/>
              <w:bottom w:val="single" w:sz="4" w:space="0" w:color="auto"/>
              <w:right w:val="single" w:sz="4" w:space="0" w:color="auto"/>
            </w:tcBorders>
            <w:shd w:val="clear" w:color="auto" w:fill="auto"/>
            <w:noWrap/>
            <w:vAlign w:val="center"/>
          </w:tcPr>
          <w:p w14:paraId="7D6A1F4B" w14:textId="77777777" w:rsidR="00CF336B" w:rsidRPr="003E79A0" w:rsidRDefault="00CF336B" w:rsidP="00CF336B">
            <w:pPr>
              <w:jc w:val="center"/>
              <w:rPr>
                <w:sz w:val="14"/>
                <w:szCs w:val="14"/>
              </w:rPr>
            </w:pPr>
          </w:p>
        </w:tc>
        <w:tc>
          <w:tcPr>
            <w:tcW w:w="178" w:type="pct"/>
            <w:tcBorders>
              <w:top w:val="nil"/>
              <w:left w:val="nil"/>
              <w:bottom w:val="single" w:sz="4" w:space="0" w:color="auto"/>
              <w:right w:val="single" w:sz="4" w:space="0" w:color="auto"/>
            </w:tcBorders>
            <w:shd w:val="clear" w:color="auto" w:fill="auto"/>
            <w:noWrap/>
            <w:vAlign w:val="center"/>
          </w:tcPr>
          <w:p w14:paraId="6B3F7908"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7D131154" w14:textId="77777777" w:rsidR="00CF336B" w:rsidRPr="003E79A0" w:rsidRDefault="00CF336B" w:rsidP="00CF336B">
            <w:pPr>
              <w:jc w:val="center"/>
              <w:rPr>
                <w:sz w:val="14"/>
                <w:szCs w:val="14"/>
              </w:rPr>
            </w:pPr>
          </w:p>
        </w:tc>
        <w:tc>
          <w:tcPr>
            <w:tcW w:w="101" w:type="pct"/>
            <w:tcBorders>
              <w:top w:val="nil"/>
              <w:left w:val="nil"/>
              <w:bottom w:val="single" w:sz="4" w:space="0" w:color="auto"/>
              <w:right w:val="single" w:sz="4" w:space="0" w:color="auto"/>
            </w:tcBorders>
            <w:shd w:val="clear" w:color="auto" w:fill="auto"/>
            <w:noWrap/>
            <w:vAlign w:val="center"/>
          </w:tcPr>
          <w:p w14:paraId="5F8CB33B"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w:t>
            </w:r>
          </w:p>
        </w:tc>
        <w:tc>
          <w:tcPr>
            <w:tcW w:w="122" w:type="pct"/>
            <w:tcBorders>
              <w:top w:val="nil"/>
              <w:left w:val="nil"/>
              <w:bottom w:val="single" w:sz="4" w:space="0" w:color="auto"/>
              <w:right w:val="single" w:sz="4" w:space="0" w:color="auto"/>
            </w:tcBorders>
            <w:shd w:val="clear" w:color="auto" w:fill="auto"/>
            <w:noWrap/>
            <w:vAlign w:val="center"/>
          </w:tcPr>
          <w:p w14:paraId="33C4D80B"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21A0F045"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362E4B7A"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29125AF1"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3</w:t>
            </w:r>
          </w:p>
        </w:tc>
        <w:tc>
          <w:tcPr>
            <w:tcW w:w="94" w:type="pct"/>
            <w:tcBorders>
              <w:top w:val="nil"/>
              <w:left w:val="nil"/>
              <w:bottom w:val="single" w:sz="4" w:space="0" w:color="auto"/>
              <w:right w:val="single" w:sz="4" w:space="0" w:color="auto"/>
            </w:tcBorders>
            <w:shd w:val="clear" w:color="auto" w:fill="auto"/>
            <w:noWrap/>
            <w:vAlign w:val="center"/>
          </w:tcPr>
          <w:p w14:paraId="40379E4D"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30C0C624"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6E7E2892"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78E74C8A" w14:textId="77777777" w:rsidR="00CF336B" w:rsidRPr="003E79A0" w:rsidRDefault="00CF336B" w:rsidP="00CF336B">
            <w:pPr>
              <w:jc w:val="center"/>
              <w:rPr>
                <w:b/>
                <w:bCs/>
                <w:sz w:val="14"/>
                <w:szCs w:val="14"/>
              </w:rPr>
            </w:pPr>
            <w:r w:rsidRPr="003E79A0">
              <w:rPr>
                <w:rFonts w:cstheme="minorHAnsi"/>
                <w:bCs/>
                <w:color w:val="000000"/>
                <w:sz w:val="14"/>
                <w:szCs w:val="14"/>
              </w:rPr>
              <w:t>17</w:t>
            </w:r>
          </w:p>
        </w:tc>
        <w:tc>
          <w:tcPr>
            <w:tcW w:w="177" w:type="pct"/>
            <w:tcBorders>
              <w:top w:val="nil"/>
              <w:left w:val="nil"/>
              <w:bottom w:val="single" w:sz="4" w:space="0" w:color="auto"/>
              <w:right w:val="single" w:sz="4" w:space="0" w:color="auto"/>
            </w:tcBorders>
            <w:shd w:val="clear" w:color="auto" w:fill="auto"/>
            <w:noWrap/>
            <w:vAlign w:val="center"/>
          </w:tcPr>
          <w:p w14:paraId="5C7052BA"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8</w:t>
            </w:r>
          </w:p>
        </w:tc>
        <w:tc>
          <w:tcPr>
            <w:tcW w:w="186" w:type="pct"/>
            <w:tcBorders>
              <w:top w:val="nil"/>
              <w:left w:val="nil"/>
              <w:bottom w:val="single" w:sz="4" w:space="0" w:color="auto"/>
              <w:right w:val="single" w:sz="4" w:space="0" w:color="auto"/>
            </w:tcBorders>
            <w:shd w:val="clear" w:color="auto" w:fill="auto"/>
          </w:tcPr>
          <w:p w14:paraId="5C228881"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33DB9C06" w14:textId="77777777" w:rsidR="00CF336B" w:rsidRPr="003E79A0" w:rsidRDefault="00CF336B" w:rsidP="00CF336B">
            <w:pPr>
              <w:jc w:val="center"/>
              <w:rPr>
                <w:b/>
                <w:sz w:val="14"/>
                <w:szCs w:val="14"/>
              </w:rPr>
            </w:pPr>
            <w:r w:rsidRPr="003E79A0">
              <w:rPr>
                <w:rFonts w:cstheme="minorHAnsi"/>
                <w:b/>
                <w:bCs/>
                <w:color w:val="000000"/>
                <w:sz w:val="14"/>
                <w:szCs w:val="14"/>
              </w:rPr>
              <w:t>1.726</w:t>
            </w:r>
          </w:p>
        </w:tc>
      </w:tr>
      <w:tr w:rsidR="00BF508A" w:rsidRPr="001B4CA2" w14:paraId="1D51561C"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35542271" w14:textId="77777777" w:rsidR="00CF336B" w:rsidRPr="001B4CA2" w:rsidRDefault="00CF336B" w:rsidP="00CF336B">
            <w:pPr>
              <w:ind w:left="34"/>
              <w:jc w:val="left"/>
              <w:rPr>
                <w:bCs/>
                <w:sz w:val="16"/>
                <w:szCs w:val="16"/>
              </w:rPr>
            </w:pPr>
            <w:r w:rsidRPr="001B4CA2">
              <w:rPr>
                <w:bCs/>
                <w:sz w:val="16"/>
                <w:szCs w:val="16"/>
              </w:rPr>
              <w:t>Ministarstvo zdravstva</w:t>
            </w:r>
          </w:p>
        </w:tc>
        <w:tc>
          <w:tcPr>
            <w:tcW w:w="177" w:type="pct"/>
            <w:tcBorders>
              <w:top w:val="nil"/>
              <w:left w:val="nil"/>
              <w:bottom w:val="single" w:sz="4" w:space="0" w:color="auto"/>
              <w:right w:val="single" w:sz="4" w:space="0" w:color="auto"/>
            </w:tcBorders>
            <w:shd w:val="clear" w:color="auto" w:fill="auto"/>
            <w:noWrap/>
            <w:vAlign w:val="center"/>
          </w:tcPr>
          <w:p w14:paraId="77BA0B82"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37587EDA"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59073827"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05020A89" w14:textId="77777777" w:rsidR="00CF336B" w:rsidRPr="003E79A0" w:rsidRDefault="00CF336B" w:rsidP="00CF336B">
            <w:pPr>
              <w:jc w:val="center"/>
              <w:rPr>
                <w:sz w:val="14"/>
                <w:szCs w:val="14"/>
              </w:rPr>
            </w:pPr>
          </w:p>
        </w:tc>
        <w:tc>
          <w:tcPr>
            <w:tcW w:w="221" w:type="pct"/>
            <w:tcBorders>
              <w:top w:val="nil"/>
              <w:left w:val="nil"/>
              <w:bottom w:val="single" w:sz="4" w:space="0" w:color="auto"/>
              <w:right w:val="single" w:sz="4" w:space="0" w:color="auto"/>
            </w:tcBorders>
            <w:shd w:val="clear" w:color="auto" w:fill="auto"/>
            <w:noWrap/>
            <w:vAlign w:val="center"/>
          </w:tcPr>
          <w:p w14:paraId="3A5ADF7E" w14:textId="77777777" w:rsidR="00CF336B" w:rsidRPr="003E79A0" w:rsidRDefault="00CF336B" w:rsidP="00CF336B">
            <w:pPr>
              <w:jc w:val="center"/>
              <w:rPr>
                <w:sz w:val="14"/>
                <w:szCs w:val="14"/>
              </w:rPr>
            </w:pPr>
          </w:p>
        </w:tc>
        <w:tc>
          <w:tcPr>
            <w:tcW w:w="178" w:type="pct"/>
            <w:tcBorders>
              <w:top w:val="nil"/>
              <w:left w:val="nil"/>
              <w:bottom w:val="single" w:sz="4" w:space="0" w:color="auto"/>
              <w:right w:val="single" w:sz="4" w:space="0" w:color="auto"/>
            </w:tcBorders>
            <w:shd w:val="clear" w:color="auto" w:fill="auto"/>
            <w:noWrap/>
            <w:vAlign w:val="center"/>
          </w:tcPr>
          <w:p w14:paraId="4B3CC7AE" w14:textId="77777777" w:rsidR="00CF336B" w:rsidRPr="003E79A0"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75C52F0E"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28AB2BEA" w14:textId="77777777" w:rsidR="00CF336B" w:rsidRPr="003E79A0"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49C0855A" w14:textId="77777777" w:rsidR="00CF336B" w:rsidRPr="003E79A0"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79C8A343" w14:textId="77777777" w:rsidR="00CF336B" w:rsidRPr="003E79A0" w:rsidRDefault="00CF336B" w:rsidP="00CF336B">
            <w:pPr>
              <w:jc w:val="center"/>
              <w:rPr>
                <w:sz w:val="14"/>
                <w:szCs w:val="14"/>
              </w:rPr>
            </w:pPr>
          </w:p>
        </w:tc>
        <w:tc>
          <w:tcPr>
            <w:tcW w:w="178" w:type="pct"/>
            <w:tcBorders>
              <w:top w:val="nil"/>
              <w:left w:val="nil"/>
              <w:bottom w:val="single" w:sz="4" w:space="0" w:color="auto"/>
              <w:right w:val="single" w:sz="4" w:space="0" w:color="auto"/>
            </w:tcBorders>
            <w:shd w:val="clear" w:color="auto" w:fill="auto"/>
            <w:noWrap/>
            <w:vAlign w:val="center"/>
          </w:tcPr>
          <w:p w14:paraId="212C2BD1"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3699A8C0" w14:textId="77777777" w:rsidR="00CF336B" w:rsidRPr="003E79A0" w:rsidRDefault="00CF336B" w:rsidP="00CF336B">
            <w:pPr>
              <w:jc w:val="center"/>
              <w:rPr>
                <w:sz w:val="14"/>
                <w:szCs w:val="14"/>
              </w:rPr>
            </w:pPr>
          </w:p>
        </w:tc>
        <w:tc>
          <w:tcPr>
            <w:tcW w:w="101" w:type="pct"/>
            <w:tcBorders>
              <w:top w:val="nil"/>
              <w:left w:val="nil"/>
              <w:bottom w:val="single" w:sz="4" w:space="0" w:color="auto"/>
              <w:right w:val="single" w:sz="4" w:space="0" w:color="auto"/>
            </w:tcBorders>
            <w:shd w:val="clear" w:color="auto" w:fill="auto"/>
            <w:noWrap/>
            <w:vAlign w:val="center"/>
          </w:tcPr>
          <w:p w14:paraId="3FEB8D97"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4AA3AA67"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03CD1560"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6DB9C330"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0A81F4F0" w14:textId="77777777" w:rsidR="00CF336B" w:rsidRPr="003E79A0" w:rsidRDefault="00CF336B" w:rsidP="00CF336B">
            <w:pPr>
              <w:jc w:val="center"/>
              <w:rPr>
                <w:sz w:val="14"/>
                <w:szCs w:val="14"/>
              </w:rPr>
            </w:pPr>
          </w:p>
        </w:tc>
        <w:tc>
          <w:tcPr>
            <w:tcW w:w="94" w:type="pct"/>
            <w:tcBorders>
              <w:top w:val="nil"/>
              <w:left w:val="nil"/>
              <w:bottom w:val="single" w:sz="4" w:space="0" w:color="auto"/>
              <w:right w:val="single" w:sz="4" w:space="0" w:color="auto"/>
            </w:tcBorders>
            <w:shd w:val="clear" w:color="auto" w:fill="auto"/>
            <w:noWrap/>
            <w:vAlign w:val="center"/>
          </w:tcPr>
          <w:p w14:paraId="369E4F43"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7253A064"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0D3D217B"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7D3A169D" w14:textId="77777777" w:rsidR="00CF336B" w:rsidRPr="003E79A0" w:rsidRDefault="00CF336B" w:rsidP="00CF336B">
            <w:pPr>
              <w:jc w:val="center"/>
              <w:rPr>
                <w:b/>
                <w:bCs/>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3882884F" w14:textId="77777777" w:rsidR="00CF336B" w:rsidRPr="003E79A0" w:rsidRDefault="00CF336B" w:rsidP="00CF336B">
            <w:pPr>
              <w:jc w:val="center"/>
              <w:rPr>
                <w:b/>
                <w:bCs/>
                <w:sz w:val="14"/>
                <w:szCs w:val="14"/>
              </w:rPr>
            </w:pPr>
          </w:p>
        </w:tc>
        <w:tc>
          <w:tcPr>
            <w:tcW w:w="186" w:type="pct"/>
            <w:tcBorders>
              <w:top w:val="nil"/>
              <w:left w:val="nil"/>
              <w:bottom w:val="single" w:sz="4" w:space="0" w:color="auto"/>
              <w:right w:val="single" w:sz="4" w:space="0" w:color="auto"/>
            </w:tcBorders>
            <w:shd w:val="clear" w:color="auto" w:fill="auto"/>
            <w:vAlign w:val="center"/>
          </w:tcPr>
          <w:p w14:paraId="02B42189"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53772849" w14:textId="77777777" w:rsidR="00CF336B" w:rsidRPr="003E79A0" w:rsidRDefault="00CF336B" w:rsidP="00CF336B">
            <w:pPr>
              <w:jc w:val="center"/>
              <w:rPr>
                <w:b/>
                <w:sz w:val="14"/>
                <w:szCs w:val="14"/>
              </w:rPr>
            </w:pPr>
          </w:p>
        </w:tc>
      </w:tr>
      <w:tr w:rsidR="00BF508A" w:rsidRPr="001B4CA2" w14:paraId="379C17F7"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546135A1" w14:textId="77777777" w:rsidR="00CF336B" w:rsidRPr="001B4CA2" w:rsidRDefault="00CF336B" w:rsidP="00CF336B">
            <w:pPr>
              <w:ind w:left="34"/>
              <w:jc w:val="left"/>
              <w:rPr>
                <w:bCs/>
                <w:sz w:val="16"/>
                <w:szCs w:val="16"/>
              </w:rPr>
            </w:pPr>
            <w:r w:rsidRPr="001B4CA2">
              <w:rPr>
                <w:bCs/>
                <w:sz w:val="16"/>
                <w:szCs w:val="16"/>
              </w:rPr>
              <w:t xml:space="preserve">Ministarstvo hrvatskih branitelja </w:t>
            </w:r>
          </w:p>
        </w:tc>
        <w:tc>
          <w:tcPr>
            <w:tcW w:w="177" w:type="pct"/>
            <w:tcBorders>
              <w:top w:val="nil"/>
              <w:left w:val="nil"/>
              <w:bottom w:val="single" w:sz="4" w:space="0" w:color="auto"/>
              <w:right w:val="single" w:sz="4" w:space="0" w:color="auto"/>
            </w:tcBorders>
            <w:shd w:val="clear" w:color="auto" w:fill="auto"/>
            <w:noWrap/>
            <w:vAlign w:val="center"/>
          </w:tcPr>
          <w:p w14:paraId="305349F1"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3</w:t>
            </w:r>
          </w:p>
        </w:tc>
        <w:tc>
          <w:tcPr>
            <w:tcW w:w="177" w:type="pct"/>
            <w:tcBorders>
              <w:top w:val="nil"/>
              <w:left w:val="nil"/>
              <w:bottom w:val="single" w:sz="4" w:space="0" w:color="auto"/>
              <w:right w:val="single" w:sz="4" w:space="0" w:color="auto"/>
            </w:tcBorders>
            <w:shd w:val="clear" w:color="auto" w:fill="auto"/>
            <w:noWrap/>
            <w:vAlign w:val="center"/>
          </w:tcPr>
          <w:p w14:paraId="06485DF9"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w:t>
            </w:r>
          </w:p>
        </w:tc>
        <w:tc>
          <w:tcPr>
            <w:tcW w:w="177" w:type="pct"/>
            <w:tcBorders>
              <w:top w:val="nil"/>
              <w:left w:val="nil"/>
              <w:bottom w:val="single" w:sz="4" w:space="0" w:color="auto"/>
              <w:right w:val="single" w:sz="4" w:space="0" w:color="auto"/>
            </w:tcBorders>
            <w:shd w:val="clear" w:color="auto" w:fill="auto"/>
            <w:noWrap/>
            <w:vAlign w:val="center"/>
          </w:tcPr>
          <w:p w14:paraId="2149CE82"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27841BC8"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28</w:t>
            </w:r>
          </w:p>
        </w:tc>
        <w:tc>
          <w:tcPr>
            <w:tcW w:w="221" w:type="pct"/>
            <w:tcBorders>
              <w:top w:val="nil"/>
              <w:left w:val="nil"/>
              <w:bottom w:val="single" w:sz="4" w:space="0" w:color="auto"/>
              <w:right w:val="single" w:sz="4" w:space="0" w:color="auto"/>
            </w:tcBorders>
            <w:shd w:val="clear" w:color="auto" w:fill="auto"/>
            <w:noWrap/>
            <w:vAlign w:val="center"/>
          </w:tcPr>
          <w:p w14:paraId="122A973C"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72</w:t>
            </w:r>
          </w:p>
        </w:tc>
        <w:tc>
          <w:tcPr>
            <w:tcW w:w="178" w:type="pct"/>
            <w:tcBorders>
              <w:top w:val="nil"/>
              <w:left w:val="nil"/>
              <w:bottom w:val="single" w:sz="4" w:space="0" w:color="auto"/>
              <w:right w:val="single" w:sz="4" w:space="0" w:color="auto"/>
            </w:tcBorders>
            <w:shd w:val="clear" w:color="auto" w:fill="auto"/>
            <w:noWrap/>
            <w:vAlign w:val="center"/>
          </w:tcPr>
          <w:p w14:paraId="06F88888"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10</w:t>
            </w:r>
          </w:p>
        </w:tc>
        <w:tc>
          <w:tcPr>
            <w:tcW w:w="179" w:type="pct"/>
            <w:tcBorders>
              <w:top w:val="nil"/>
              <w:left w:val="nil"/>
              <w:bottom w:val="single" w:sz="4" w:space="0" w:color="auto"/>
              <w:right w:val="single" w:sz="4" w:space="0" w:color="auto"/>
            </w:tcBorders>
            <w:shd w:val="clear" w:color="auto" w:fill="auto"/>
            <w:noWrap/>
            <w:vAlign w:val="center"/>
          </w:tcPr>
          <w:p w14:paraId="079A7192"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4B03AF4D" w14:textId="77777777" w:rsidR="00CF336B" w:rsidRPr="003E79A0" w:rsidRDefault="00CF336B" w:rsidP="00CF336B">
            <w:pPr>
              <w:jc w:val="center"/>
              <w:rPr>
                <w:sz w:val="14"/>
                <w:szCs w:val="14"/>
              </w:rPr>
            </w:pPr>
            <w:r w:rsidRPr="003E79A0">
              <w:rPr>
                <w:rFonts w:asciiTheme="majorHAnsi" w:hAnsiTheme="majorHAnsi" w:cstheme="majorHAnsi"/>
                <w:sz w:val="14"/>
                <w:szCs w:val="14"/>
              </w:rPr>
              <w:t>67</w:t>
            </w:r>
          </w:p>
        </w:tc>
        <w:tc>
          <w:tcPr>
            <w:tcW w:w="176" w:type="pct"/>
            <w:tcBorders>
              <w:top w:val="nil"/>
              <w:left w:val="nil"/>
              <w:bottom w:val="single" w:sz="4" w:space="0" w:color="auto"/>
              <w:right w:val="single" w:sz="4" w:space="0" w:color="auto"/>
            </w:tcBorders>
            <w:shd w:val="clear" w:color="auto" w:fill="auto"/>
            <w:noWrap/>
            <w:vAlign w:val="center"/>
          </w:tcPr>
          <w:p w14:paraId="6768FED4" w14:textId="77777777" w:rsidR="00CF336B" w:rsidRPr="003E79A0" w:rsidRDefault="00CF336B" w:rsidP="00CF336B">
            <w:pPr>
              <w:jc w:val="center"/>
              <w:rPr>
                <w:sz w:val="14"/>
                <w:szCs w:val="14"/>
              </w:rPr>
            </w:pPr>
            <w:r w:rsidRPr="003E79A0">
              <w:rPr>
                <w:rFonts w:cstheme="minorHAnsi"/>
                <w:color w:val="000000"/>
                <w:sz w:val="14"/>
                <w:szCs w:val="14"/>
              </w:rPr>
              <w:t>19</w:t>
            </w:r>
          </w:p>
        </w:tc>
        <w:tc>
          <w:tcPr>
            <w:tcW w:w="176" w:type="pct"/>
            <w:tcBorders>
              <w:top w:val="nil"/>
              <w:left w:val="nil"/>
              <w:bottom w:val="single" w:sz="4" w:space="0" w:color="auto"/>
              <w:right w:val="single" w:sz="4" w:space="0" w:color="auto"/>
            </w:tcBorders>
            <w:shd w:val="clear" w:color="auto" w:fill="auto"/>
            <w:noWrap/>
            <w:vAlign w:val="center"/>
          </w:tcPr>
          <w:p w14:paraId="4204ED66" w14:textId="77777777" w:rsidR="00CF336B" w:rsidRPr="003E79A0" w:rsidRDefault="00CF336B" w:rsidP="00CF336B">
            <w:pPr>
              <w:jc w:val="center"/>
              <w:rPr>
                <w:sz w:val="14"/>
                <w:szCs w:val="14"/>
              </w:rPr>
            </w:pPr>
            <w:r w:rsidRPr="003E79A0">
              <w:rPr>
                <w:rFonts w:cstheme="minorHAnsi"/>
                <w:color w:val="000000"/>
                <w:sz w:val="14"/>
                <w:szCs w:val="14"/>
              </w:rPr>
              <w:t>3</w:t>
            </w:r>
          </w:p>
        </w:tc>
        <w:tc>
          <w:tcPr>
            <w:tcW w:w="178" w:type="pct"/>
            <w:tcBorders>
              <w:top w:val="nil"/>
              <w:left w:val="nil"/>
              <w:bottom w:val="single" w:sz="4" w:space="0" w:color="auto"/>
              <w:right w:val="single" w:sz="4" w:space="0" w:color="auto"/>
            </w:tcBorders>
            <w:shd w:val="clear" w:color="auto" w:fill="auto"/>
            <w:noWrap/>
            <w:vAlign w:val="center"/>
          </w:tcPr>
          <w:p w14:paraId="5214287D"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6A62135B" w14:textId="77777777" w:rsidR="00CF336B" w:rsidRPr="003E79A0" w:rsidRDefault="00CF336B" w:rsidP="00CF336B">
            <w:pPr>
              <w:jc w:val="center"/>
              <w:rPr>
                <w:sz w:val="14"/>
                <w:szCs w:val="14"/>
              </w:rPr>
            </w:pPr>
            <w:r w:rsidRPr="003E79A0">
              <w:rPr>
                <w:sz w:val="14"/>
                <w:szCs w:val="14"/>
              </w:rPr>
              <w:t>34</w:t>
            </w:r>
          </w:p>
        </w:tc>
        <w:tc>
          <w:tcPr>
            <w:tcW w:w="101" w:type="pct"/>
            <w:tcBorders>
              <w:top w:val="nil"/>
              <w:left w:val="nil"/>
              <w:bottom w:val="single" w:sz="4" w:space="0" w:color="auto"/>
              <w:right w:val="single" w:sz="4" w:space="0" w:color="auto"/>
            </w:tcBorders>
            <w:shd w:val="clear" w:color="auto" w:fill="auto"/>
            <w:noWrap/>
            <w:vAlign w:val="center"/>
          </w:tcPr>
          <w:p w14:paraId="4F8D82FE"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02E72A8F"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79587315"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5143E33E"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3471A09C" w14:textId="77777777" w:rsidR="00CF336B" w:rsidRPr="003E79A0" w:rsidRDefault="00CF336B" w:rsidP="00CF336B">
            <w:pPr>
              <w:jc w:val="center"/>
              <w:rPr>
                <w:sz w:val="14"/>
                <w:szCs w:val="14"/>
              </w:rPr>
            </w:pPr>
          </w:p>
        </w:tc>
        <w:tc>
          <w:tcPr>
            <w:tcW w:w="94" w:type="pct"/>
            <w:tcBorders>
              <w:top w:val="nil"/>
              <w:left w:val="nil"/>
              <w:bottom w:val="single" w:sz="4" w:space="0" w:color="auto"/>
              <w:right w:val="single" w:sz="4" w:space="0" w:color="auto"/>
            </w:tcBorders>
            <w:shd w:val="clear" w:color="auto" w:fill="auto"/>
            <w:noWrap/>
            <w:vAlign w:val="center"/>
          </w:tcPr>
          <w:p w14:paraId="062B4768"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455F263D"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6E4ADA9C"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48B17474" w14:textId="77777777" w:rsidR="00CF336B" w:rsidRPr="003E79A0" w:rsidRDefault="00CF336B" w:rsidP="00CF336B">
            <w:pPr>
              <w:jc w:val="center"/>
              <w:rPr>
                <w:b/>
                <w:bCs/>
                <w:sz w:val="14"/>
                <w:szCs w:val="14"/>
              </w:rPr>
            </w:pPr>
            <w:r w:rsidRPr="003E79A0">
              <w:rPr>
                <w:rFonts w:cstheme="minorHAnsi"/>
                <w:bCs/>
                <w:color w:val="000000"/>
                <w:sz w:val="14"/>
                <w:szCs w:val="14"/>
              </w:rPr>
              <w:t>94</w:t>
            </w:r>
          </w:p>
        </w:tc>
        <w:tc>
          <w:tcPr>
            <w:tcW w:w="177" w:type="pct"/>
            <w:tcBorders>
              <w:top w:val="nil"/>
              <w:left w:val="nil"/>
              <w:bottom w:val="single" w:sz="4" w:space="0" w:color="auto"/>
              <w:right w:val="single" w:sz="4" w:space="0" w:color="auto"/>
            </w:tcBorders>
            <w:shd w:val="clear" w:color="auto" w:fill="auto"/>
            <w:noWrap/>
            <w:vAlign w:val="center"/>
          </w:tcPr>
          <w:p w14:paraId="5ACD61A0"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15</w:t>
            </w:r>
          </w:p>
        </w:tc>
        <w:tc>
          <w:tcPr>
            <w:tcW w:w="186" w:type="pct"/>
            <w:tcBorders>
              <w:top w:val="nil"/>
              <w:left w:val="nil"/>
              <w:bottom w:val="single" w:sz="4" w:space="0" w:color="auto"/>
              <w:right w:val="single" w:sz="4" w:space="0" w:color="auto"/>
            </w:tcBorders>
            <w:shd w:val="clear" w:color="auto" w:fill="auto"/>
          </w:tcPr>
          <w:p w14:paraId="14272F03"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3E43518B" w14:textId="77777777" w:rsidR="00CF336B" w:rsidRPr="003E79A0" w:rsidRDefault="00CF336B" w:rsidP="00CF336B">
            <w:pPr>
              <w:jc w:val="center"/>
              <w:rPr>
                <w:b/>
                <w:sz w:val="14"/>
                <w:szCs w:val="14"/>
              </w:rPr>
            </w:pPr>
            <w:r w:rsidRPr="003E79A0">
              <w:rPr>
                <w:rFonts w:cstheme="minorHAnsi"/>
                <w:b/>
                <w:bCs/>
                <w:color w:val="000000"/>
                <w:sz w:val="14"/>
                <w:szCs w:val="14"/>
              </w:rPr>
              <w:t>130</w:t>
            </w:r>
          </w:p>
        </w:tc>
      </w:tr>
      <w:tr w:rsidR="00BF508A" w:rsidRPr="001B4CA2" w14:paraId="7231B36B"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7A5029BB" w14:textId="77777777" w:rsidR="00CF336B" w:rsidRPr="001B4CA2" w:rsidRDefault="00CF336B" w:rsidP="00CF336B">
            <w:pPr>
              <w:ind w:left="34"/>
              <w:jc w:val="left"/>
              <w:rPr>
                <w:bCs/>
                <w:sz w:val="16"/>
                <w:szCs w:val="16"/>
              </w:rPr>
            </w:pPr>
            <w:r w:rsidRPr="001B4CA2">
              <w:rPr>
                <w:bCs/>
                <w:sz w:val="16"/>
                <w:szCs w:val="16"/>
              </w:rPr>
              <w:t>Ministarstvo regionalnog razvoja i fondova EU</w:t>
            </w:r>
          </w:p>
        </w:tc>
        <w:tc>
          <w:tcPr>
            <w:tcW w:w="177" w:type="pct"/>
            <w:tcBorders>
              <w:top w:val="nil"/>
              <w:left w:val="nil"/>
              <w:bottom w:val="single" w:sz="4" w:space="0" w:color="auto"/>
              <w:right w:val="single" w:sz="4" w:space="0" w:color="auto"/>
            </w:tcBorders>
            <w:shd w:val="clear" w:color="auto" w:fill="auto"/>
            <w:noWrap/>
            <w:vAlign w:val="center"/>
          </w:tcPr>
          <w:p w14:paraId="705DE451"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5D0CDB27"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51405E61"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2D7188B4" w14:textId="77777777" w:rsidR="00CF336B" w:rsidRPr="003E79A0" w:rsidRDefault="00CF336B" w:rsidP="00CF336B">
            <w:pPr>
              <w:jc w:val="center"/>
              <w:rPr>
                <w:sz w:val="14"/>
                <w:szCs w:val="14"/>
              </w:rPr>
            </w:pPr>
          </w:p>
        </w:tc>
        <w:tc>
          <w:tcPr>
            <w:tcW w:w="221" w:type="pct"/>
            <w:tcBorders>
              <w:top w:val="nil"/>
              <w:left w:val="nil"/>
              <w:bottom w:val="single" w:sz="4" w:space="0" w:color="auto"/>
              <w:right w:val="single" w:sz="4" w:space="0" w:color="auto"/>
            </w:tcBorders>
            <w:shd w:val="clear" w:color="auto" w:fill="auto"/>
            <w:noWrap/>
            <w:vAlign w:val="center"/>
          </w:tcPr>
          <w:p w14:paraId="77963695" w14:textId="77777777" w:rsidR="00CF336B" w:rsidRPr="003E79A0" w:rsidRDefault="00CF336B" w:rsidP="00CF336B">
            <w:pPr>
              <w:jc w:val="center"/>
              <w:rPr>
                <w:sz w:val="14"/>
                <w:szCs w:val="14"/>
              </w:rPr>
            </w:pPr>
          </w:p>
        </w:tc>
        <w:tc>
          <w:tcPr>
            <w:tcW w:w="178" w:type="pct"/>
            <w:tcBorders>
              <w:top w:val="nil"/>
              <w:left w:val="nil"/>
              <w:bottom w:val="single" w:sz="4" w:space="0" w:color="auto"/>
              <w:right w:val="single" w:sz="4" w:space="0" w:color="auto"/>
            </w:tcBorders>
            <w:shd w:val="clear" w:color="auto" w:fill="auto"/>
            <w:noWrap/>
            <w:vAlign w:val="center"/>
          </w:tcPr>
          <w:p w14:paraId="58B8E01F" w14:textId="77777777" w:rsidR="00CF336B" w:rsidRPr="003E79A0"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477AF7FA"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53880F2E" w14:textId="77777777" w:rsidR="00CF336B" w:rsidRPr="003E79A0"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25BB3DFD" w14:textId="77777777" w:rsidR="00CF336B" w:rsidRPr="003E79A0"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1B45EA6E" w14:textId="77777777" w:rsidR="00CF336B" w:rsidRPr="003E79A0" w:rsidRDefault="00CF336B" w:rsidP="00CF336B">
            <w:pPr>
              <w:jc w:val="center"/>
              <w:rPr>
                <w:sz w:val="14"/>
                <w:szCs w:val="14"/>
              </w:rPr>
            </w:pPr>
            <w:r w:rsidRPr="003E79A0">
              <w:rPr>
                <w:rFonts w:cstheme="minorHAnsi"/>
                <w:color w:val="000000"/>
                <w:sz w:val="14"/>
                <w:szCs w:val="14"/>
              </w:rPr>
              <w:t>1</w:t>
            </w:r>
          </w:p>
        </w:tc>
        <w:tc>
          <w:tcPr>
            <w:tcW w:w="178" w:type="pct"/>
            <w:tcBorders>
              <w:top w:val="nil"/>
              <w:left w:val="nil"/>
              <w:bottom w:val="single" w:sz="4" w:space="0" w:color="auto"/>
              <w:right w:val="single" w:sz="4" w:space="0" w:color="auto"/>
            </w:tcBorders>
            <w:shd w:val="clear" w:color="auto" w:fill="auto"/>
            <w:noWrap/>
            <w:vAlign w:val="center"/>
          </w:tcPr>
          <w:p w14:paraId="643F376E"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683E5D03" w14:textId="77777777" w:rsidR="00CF336B" w:rsidRPr="003E79A0" w:rsidRDefault="00CF336B" w:rsidP="00CF336B">
            <w:pPr>
              <w:jc w:val="center"/>
              <w:rPr>
                <w:sz w:val="14"/>
                <w:szCs w:val="14"/>
              </w:rPr>
            </w:pPr>
            <w:r w:rsidRPr="003E79A0">
              <w:rPr>
                <w:sz w:val="14"/>
                <w:szCs w:val="14"/>
              </w:rPr>
              <w:t>135</w:t>
            </w:r>
          </w:p>
        </w:tc>
        <w:tc>
          <w:tcPr>
            <w:tcW w:w="101" w:type="pct"/>
            <w:tcBorders>
              <w:top w:val="nil"/>
              <w:left w:val="nil"/>
              <w:bottom w:val="single" w:sz="4" w:space="0" w:color="auto"/>
              <w:right w:val="single" w:sz="4" w:space="0" w:color="auto"/>
            </w:tcBorders>
            <w:shd w:val="clear" w:color="auto" w:fill="auto"/>
            <w:noWrap/>
            <w:vAlign w:val="center"/>
          </w:tcPr>
          <w:p w14:paraId="3B832511"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3131C303"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5D1308A7"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3E3FE235"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33D5E88A" w14:textId="77777777" w:rsidR="00CF336B" w:rsidRPr="003E79A0" w:rsidRDefault="00CF336B" w:rsidP="00CF336B">
            <w:pPr>
              <w:jc w:val="center"/>
              <w:rPr>
                <w:sz w:val="14"/>
                <w:szCs w:val="14"/>
              </w:rPr>
            </w:pPr>
          </w:p>
        </w:tc>
        <w:tc>
          <w:tcPr>
            <w:tcW w:w="94" w:type="pct"/>
            <w:tcBorders>
              <w:top w:val="nil"/>
              <w:left w:val="nil"/>
              <w:bottom w:val="single" w:sz="4" w:space="0" w:color="auto"/>
              <w:right w:val="single" w:sz="4" w:space="0" w:color="auto"/>
            </w:tcBorders>
            <w:shd w:val="clear" w:color="auto" w:fill="auto"/>
            <w:noWrap/>
            <w:vAlign w:val="center"/>
          </w:tcPr>
          <w:p w14:paraId="3046D571"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28772BB1"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7ED3DE65"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2107B245" w14:textId="77777777" w:rsidR="00CF336B" w:rsidRPr="003E79A0" w:rsidRDefault="00CF336B" w:rsidP="00CF336B">
            <w:pPr>
              <w:jc w:val="center"/>
              <w:rPr>
                <w:b/>
                <w:bCs/>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3F4EB1FF"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1</w:t>
            </w:r>
          </w:p>
        </w:tc>
        <w:tc>
          <w:tcPr>
            <w:tcW w:w="186" w:type="pct"/>
            <w:tcBorders>
              <w:top w:val="nil"/>
              <w:left w:val="nil"/>
              <w:bottom w:val="single" w:sz="4" w:space="0" w:color="auto"/>
              <w:right w:val="single" w:sz="4" w:space="0" w:color="auto"/>
            </w:tcBorders>
            <w:shd w:val="clear" w:color="auto" w:fill="auto"/>
          </w:tcPr>
          <w:p w14:paraId="490F4E91"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6B45DCBA" w14:textId="77777777" w:rsidR="00CF336B" w:rsidRPr="003E79A0" w:rsidRDefault="00CF336B" w:rsidP="00CF336B">
            <w:pPr>
              <w:jc w:val="center"/>
              <w:rPr>
                <w:b/>
                <w:sz w:val="14"/>
                <w:szCs w:val="14"/>
              </w:rPr>
            </w:pPr>
            <w:r w:rsidRPr="003E79A0">
              <w:rPr>
                <w:rFonts w:cstheme="minorHAnsi"/>
                <w:b/>
                <w:bCs/>
                <w:color w:val="000000"/>
                <w:sz w:val="14"/>
                <w:szCs w:val="14"/>
              </w:rPr>
              <w:t>135</w:t>
            </w:r>
          </w:p>
        </w:tc>
      </w:tr>
      <w:tr w:rsidR="00BF508A" w:rsidRPr="001B4CA2" w14:paraId="5D9C46DC"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77BD06C7" w14:textId="77777777" w:rsidR="00CF336B" w:rsidRPr="001B4CA2" w:rsidRDefault="00CF336B" w:rsidP="00CF336B">
            <w:pPr>
              <w:ind w:left="34"/>
              <w:jc w:val="left"/>
              <w:rPr>
                <w:bCs/>
                <w:sz w:val="16"/>
                <w:szCs w:val="16"/>
              </w:rPr>
            </w:pPr>
            <w:r w:rsidRPr="001B4CA2">
              <w:rPr>
                <w:bCs/>
                <w:sz w:val="16"/>
                <w:szCs w:val="16"/>
              </w:rPr>
              <w:t>Ministarstvo prostornoga uređenja, graditeljstva i državne imovine</w:t>
            </w:r>
          </w:p>
        </w:tc>
        <w:tc>
          <w:tcPr>
            <w:tcW w:w="177" w:type="pct"/>
            <w:tcBorders>
              <w:top w:val="nil"/>
              <w:left w:val="nil"/>
              <w:bottom w:val="single" w:sz="4" w:space="0" w:color="auto"/>
              <w:right w:val="single" w:sz="4" w:space="0" w:color="auto"/>
            </w:tcBorders>
            <w:shd w:val="clear" w:color="auto" w:fill="auto"/>
            <w:noWrap/>
            <w:vAlign w:val="center"/>
          </w:tcPr>
          <w:p w14:paraId="29BA0AB0"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47</w:t>
            </w:r>
          </w:p>
        </w:tc>
        <w:tc>
          <w:tcPr>
            <w:tcW w:w="177" w:type="pct"/>
            <w:tcBorders>
              <w:top w:val="nil"/>
              <w:left w:val="nil"/>
              <w:bottom w:val="single" w:sz="4" w:space="0" w:color="auto"/>
              <w:right w:val="single" w:sz="4" w:space="0" w:color="auto"/>
            </w:tcBorders>
            <w:shd w:val="clear" w:color="auto" w:fill="auto"/>
            <w:noWrap/>
            <w:vAlign w:val="center"/>
          </w:tcPr>
          <w:p w14:paraId="6138C84B"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16</w:t>
            </w:r>
          </w:p>
        </w:tc>
        <w:tc>
          <w:tcPr>
            <w:tcW w:w="177" w:type="pct"/>
            <w:tcBorders>
              <w:top w:val="nil"/>
              <w:left w:val="nil"/>
              <w:bottom w:val="single" w:sz="4" w:space="0" w:color="auto"/>
              <w:right w:val="single" w:sz="4" w:space="0" w:color="auto"/>
            </w:tcBorders>
            <w:shd w:val="clear" w:color="auto" w:fill="auto"/>
            <w:noWrap/>
            <w:vAlign w:val="center"/>
          </w:tcPr>
          <w:p w14:paraId="5A68D497"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02B07B8D"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666</w:t>
            </w:r>
          </w:p>
        </w:tc>
        <w:tc>
          <w:tcPr>
            <w:tcW w:w="221" w:type="pct"/>
            <w:tcBorders>
              <w:top w:val="nil"/>
              <w:left w:val="nil"/>
              <w:bottom w:val="single" w:sz="4" w:space="0" w:color="auto"/>
              <w:right w:val="single" w:sz="4" w:space="0" w:color="auto"/>
            </w:tcBorders>
            <w:shd w:val="clear" w:color="auto" w:fill="auto"/>
            <w:noWrap/>
            <w:vAlign w:val="center"/>
          </w:tcPr>
          <w:p w14:paraId="478089C4"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71</w:t>
            </w:r>
          </w:p>
        </w:tc>
        <w:tc>
          <w:tcPr>
            <w:tcW w:w="178" w:type="pct"/>
            <w:tcBorders>
              <w:top w:val="nil"/>
              <w:left w:val="nil"/>
              <w:bottom w:val="single" w:sz="4" w:space="0" w:color="auto"/>
              <w:right w:val="single" w:sz="4" w:space="0" w:color="auto"/>
            </w:tcBorders>
            <w:shd w:val="clear" w:color="auto" w:fill="auto"/>
            <w:noWrap/>
            <w:vAlign w:val="center"/>
          </w:tcPr>
          <w:p w14:paraId="2932113A"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20</w:t>
            </w:r>
          </w:p>
        </w:tc>
        <w:tc>
          <w:tcPr>
            <w:tcW w:w="179" w:type="pct"/>
            <w:tcBorders>
              <w:top w:val="nil"/>
              <w:left w:val="nil"/>
              <w:bottom w:val="single" w:sz="4" w:space="0" w:color="auto"/>
              <w:right w:val="single" w:sz="4" w:space="0" w:color="auto"/>
            </w:tcBorders>
            <w:shd w:val="clear" w:color="auto" w:fill="auto"/>
            <w:noWrap/>
            <w:vAlign w:val="center"/>
          </w:tcPr>
          <w:p w14:paraId="00CBB391"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21B47ED2" w14:textId="77777777" w:rsidR="00CF336B" w:rsidRPr="003E79A0" w:rsidRDefault="00CF336B" w:rsidP="00CF336B">
            <w:pPr>
              <w:jc w:val="center"/>
              <w:rPr>
                <w:sz w:val="14"/>
                <w:szCs w:val="14"/>
              </w:rPr>
            </w:pPr>
            <w:r w:rsidRPr="003E79A0">
              <w:rPr>
                <w:rFonts w:asciiTheme="majorHAnsi" w:hAnsiTheme="majorHAnsi" w:cstheme="majorHAnsi"/>
                <w:sz w:val="14"/>
                <w:szCs w:val="14"/>
              </w:rPr>
              <w:t>3.809</w:t>
            </w:r>
          </w:p>
        </w:tc>
        <w:tc>
          <w:tcPr>
            <w:tcW w:w="176" w:type="pct"/>
            <w:tcBorders>
              <w:top w:val="nil"/>
              <w:left w:val="nil"/>
              <w:bottom w:val="single" w:sz="4" w:space="0" w:color="auto"/>
              <w:right w:val="single" w:sz="4" w:space="0" w:color="auto"/>
            </w:tcBorders>
            <w:shd w:val="clear" w:color="auto" w:fill="auto"/>
            <w:noWrap/>
            <w:vAlign w:val="center"/>
          </w:tcPr>
          <w:p w14:paraId="2471FA29" w14:textId="77777777" w:rsidR="00CF336B" w:rsidRPr="003E79A0" w:rsidRDefault="00CF336B" w:rsidP="00CF336B">
            <w:pPr>
              <w:jc w:val="center"/>
              <w:rPr>
                <w:sz w:val="14"/>
                <w:szCs w:val="14"/>
              </w:rPr>
            </w:pPr>
            <w:r w:rsidRPr="003E79A0">
              <w:rPr>
                <w:rFonts w:cstheme="minorHAnsi"/>
                <w:color w:val="000000"/>
                <w:sz w:val="14"/>
                <w:szCs w:val="14"/>
              </w:rPr>
              <w:t>7</w:t>
            </w:r>
          </w:p>
        </w:tc>
        <w:tc>
          <w:tcPr>
            <w:tcW w:w="176" w:type="pct"/>
            <w:tcBorders>
              <w:top w:val="nil"/>
              <w:left w:val="nil"/>
              <w:bottom w:val="single" w:sz="4" w:space="0" w:color="auto"/>
              <w:right w:val="single" w:sz="4" w:space="0" w:color="auto"/>
            </w:tcBorders>
            <w:shd w:val="clear" w:color="auto" w:fill="auto"/>
            <w:noWrap/>
            <w:vAlign w:val="center"/>
          </w:tcPr>
          <w:p w14:paraId="4396BAE4" w14:textId="77777777" w:rsidR="00CF336B" w:rsidRPr="003E79A0" w:rsidRDefault="00CF336B" w:rsidP="00CF336B">
            <w:pPr>
              <w:jc w:val="center"/>
              <w:rPr>
                <w:sz w:val="14"/>
                <w:szCs w:val="14"/>
              </w:rPr>
            </w:pPr>
            <w:r w:rsidRPr="003E79A0">
              <w:rPr>
                <w:rFonts w:cstheme="minorHAnsi"/>
                <w:color w:val="000000"/>
                <w:sz w:val="14"/>
                <w:szCs w:val="14"/>
              </w:rPr>
              <w:t>2</w:t>
            </w:r>
          </w:p>
        </w:tc>
        <w:tc>
          <w:tcPr>
            <w:tcW w:w="178" w:type="pct"/>
            <w:tcBorders>
              <w:top w:val="nil"/>
              <w:left w:val="nil"/>
              <w:bottom w:val="single" w:sz="4" w:space="0" w:color="auto"/>
              <w:right w:val="single" w:sz="4" w:space="0" w:color="auto"/>
            </w:tcBorders>
            <w:shd w:val="clear" w:color="auto" w:fill="auto"/>
            <w:noWrap/>
            <w:vAlign w:val="center"/>
          </w:tcPr>
          <w:p w14:paraId="088CA3AC"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166FA965" w14:textId="77777777" w:rsidR="00CF336B" w:rsidRPr="003E79A0" w:rsidRDefault="00CF336B" w:rsidP="00CF336B">
            <w:pPr>
              <w:jc w:val="center"/>
              <w:rPr>
                <w:sz w:val="14"/>
                <w:szCs w:val="14"/>
              </w:rPr>
            </w:pPr>
            <w:r w:rsidRPr="003E79A0">
              <w:rPr>
                <w:sz w:val="14"/>
                <w:szCs w:val="14"/>
              </w:rPr>
              <w:t>614</w:t>
            </w:r>
          </w:p>
        </w:tc>
        <w:tc>
          <w:tcPr>
            <w:tcW w:w="101" w:type="pct"/>
            <w:tcBorders>
              <w:top w:val="nil"/>
              <w:left w:val="nil"/>
              <w:bottom w:val="single" w:sz="4" w:space="0" w:color="auto"/>
              <w:right w:val="single" w:sz="4" w:space="0" w:color="auto"/>
            </w:tcBorders>
            <w:shd w:val="clear" w:color="auto" w:fill="auto"/>
            <w:noWrap/>
            <w:vAlign w:val="center"/>
          </w:tcPr>
          <w:p w14:paraId="54C24C1A"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3CEE5511"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1E423BEE"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6E01C943"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55930B32"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3</w:t>
            </w:r>
          </w:p>
        </w:tc>
        <w:tc>
          <w:tcPr>
            <w:tcW w:w="94" w:type="pct"/>
            <w:tcBorders>
              <w:top w:val="nil"/>
              <w:left w:val="nil"/>
              <w:bottom w:val="single" w:sz="4" w:space="0" w:color="auto"/>
              <w:right w:val="single" w:sz="4" w:space="0" w:color="auto"/>
            </w:tcBorders>
            <w:shd w:val="clear" w:color="auto" w:fill="auto"/>
            <w:noWrap/>
            <w:vAlign w:val="center"/>
          </w:tcPr>
          <w:p w14:paraId="052160BF"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w:t>
            </w:r>
          </w:p>
        </w:tc>
        <w:tc>
          <w:tcPr>
            <w:tcW w:w="235" w:type="pct"/>
            <w:tcBorders>
              <w:top w:val="nil"/>
              <w:left w:val="nil"/>
              <w:bottom w:val="single" w:sz="4" w:space="0" w:color="auto"/>
              <w:right w:val="single" w:sz="4" w:space="0" w:color="auto"/>
            </w:tcBorders>
            <w:shd w:val="clear" w:color="auto" w:fill="auto"/>
            <w:noWrap/>
            <w:vAlign w:val="center"/>
          </w:tcPr>
          <w:p w14:paraId="6C894238"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68BE5F71"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6A60710D" w14:textId="77777777" w:rsidR="00CF336B" w:rsidRPr="003E79A0" w:rsidRDefault="00CF336B" w:rsidP="00CF336B">
            <w:pPr>
              <w:jc w:val="center"/>
              <w:rPr>
                <w:b/>
                <w:bCs/>
                <w:sz w:val="14"/>
                <w:szCs w:val="14"/>
              </w:rPr>
            </w:pPr>
            <w:r w:rsidRPr="003E79A0">
              <w:rPr>
                <w:rFonts w:cstheme="minorHAnsi"/>
                <w:bCs/>
                <w:color w:val="000000"/>
                <w:sz w:val="14"/>
                <w:szCs w:val="14"/>
              </w:rPr>
              <w:t>128</w:t>
            </w:r>
          </w:p>
        </w:tc>
        <w:tc>
          <w:tcPr>
            <w:tcW w:w="177" w:type="pct"/>
            <w:tcBorders>
              <w:top w:val="nil"/>
              <w:left w:val="nil"/>
              <w:bottom w:val="single" w:sz="4" w:space="0" w:color="auto"/>
              <w:right w:val="single" w:sz="4" w:space="0" w:color="auto"/>
            </w:tcBorders>
            <w:shd w:val="clear" w:color="auto" w:fill="auto"/>
            <w:noWrap/>
            <w:vAlign w:val="center"/>
          </w:tcPr>
          <w:p w14:paraId="10DDFB5C"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39</w:t>
            </w:r>
          </w:p>
        </w:tc>
        <w:tc>
          <w:tcPr>
            <w:tcW w:w="186" w:type="pct"/>
            <w:tcBorders>
              <w:top w:val="nil"/>
              <w:left w:val="nil"/>
              <w:bottom w:val="single" w:sz="4" w:space="0" w:color="auto"/>
              <w:right w:val="single" w:sz="4" w:space="0" w:color="auto"/>
            </w:tcBorders>
            <w:shd w:val="clear" w:color="auto" w:fill="auto"/>
          </w:tcPr>
          <w:p w14:paraId="2F00A0A9"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46203BA0" w14:textId="77777777" w:rsidR="00CF336B" w:rsidRPr="003E79A0" w:rsidRDefault="00CF336B" w:rsidP="00CF336B">
            <w:pPr>
              <w:jc w:val="center"/>
              <w:rPr>
                <w:b/>
                <w:sz w:val="14"/>
                <w:szCs w:val="14"/>
              </w:rPr>
            </w:pPr>
            <w:r w:rsidRPr="003E79A0">
              <w:rPr>
                <w:rFonts w:cstheme="minorHAnsi"/>
                <w:b/>
                <w:bCs/>
                <w:color w:val="000000"/>
                <w:sz w:val="14"/>
                <w:szCs w:val="14"/>
              </w:rPr>
              <w:t>5.090</w:t>
            </w:r>
          </w:p>
        </w:tc>
      </w:tr>
      <w:tr w:rsidR="00BF508A" w:rsidRPr="001B4CA2" w14:paraId="51F3C0AE"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4F5748AD" w14:textId="77777777" w:rsidR="00CF336B" w:rsidRPr="001B4CA2" w:rsidRDefault="00CF336B" w:rsidP="00CF336B">
            <w:pPr>
              <w:ind w:left="34"/>
              <w:jc w:val="left"/>
              <w:rPr>
                <w:bCs/>
                <w:sz w:val="16"/>
                <w:szCs w:val="16"/>
              </w:rPr>
            </w:pPr>
            <w:r w:rsidRPr="001B4CA2">
              <w:rPr>
                <w:bCs/>
                <w:sz w:val="16"/>
                <w:szCs w:val="16"/>
              </w:rPr>
              <w:t xml:space="preserve">Ministarstvo unutarnjih poslova </w:t>
            </w:r>
          </w:p>
        </w:tc>
        <w:tc>
          <w:tcPr>
            <w:tcW w:w="177" w:type="pct"/>
            <w:tcBorders>
              <w:top w:val="nil"/>
              <w:left w:val="nil"/>
              <w:bottom w:val="single" w:sz="4" w:space="0" w:color="auto"/>
              <w:right w:val="single" w:sz="4" w:space="0" w:color="auto"/>
            </w:tcBorders>
            <w:shd w:val="clear" w:color="auto" w:fill="auto"/>
            <w:noWrap/>
            <w:vAlign w:val="center"/>
          </w:tcPr>
          <w:p w14:paraId="628BFE1F"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w:t>
            </w:r>
          </w:p>
        </w:tc>
        <w:tc>
          <w:tcPr>
            <w:tcW w:w="177" w:type="pct"/>
            <w:tcBorders>
              <w:top w:val="nil"/>
              <w:left w:val="nil"/>
              <w:bottom w:val="single" w:sz="4" w:space="0" w:color="auto"/>
              <w:right w:val="single" w:sz="4" w:space="0" w:color="auto"/>
            </w:tcBorders>
            <w:shd w:val="clear" w:color="auto" w:fill="auto"/>
            <w:noWrap/>
            <w:vAlign w:val="center"/>
          </w:tcPr>
          <w:p w14:paraId="2FA0CCF8"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46E41A8A"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37DAEECF" w14:textId="77777777" w:rsidR="00CF336B" w:rsidRPr="003E79A0" w:rsidRDefault="00CF336B" w:rsidP="00CF336B">
            <w:pPr>
              <w:jc w:val="center"/>
              <w:rPr>
                <w:sz w:val="14"/>
                <w:szCs w:val="14"/>
              </w:rPr>
            </w:pPr>
          </w:p>
        </w:tc>
        <w:tc>
          <w:tcPr>
            <w:tcW w:w="221" w:type="pct"/>
            <w:tcBorders>
              <w:top w:val="nil"/>
              <w:left w:val="nil"/>
              <w:bottom w:val="single" w:sz="4" w:space="0" w:color="auto"/>
              <w:right w:val="single" w:sz="4" w:space="0" w:color="auto"/>
            </w:tcBorders>
            <w:shd w:val="clear" w:color="auto" w:fill="auto"/>
            <w:noWrap/>
            <w:vAlign w:val="center"/>
          </w:tcPr>
          <w:p w14:paraId="65084A66"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34</w:t>
            </w:r>
          </w:p>
        </w:tc>
        <w:tc>
          <w:tcPr>
            <w:tcW w:w="178" w:type="pct"/>
            <w:tcBorders>
              <w:top w:val="nil"/>
              <w:left w:val="nil"/>
              <w:bottom w:val="single" w:sz="4" w:space="0" w:color="auto"/>
              <w:right w:val="single" w:sz="4" w:space="0" w:color="auto"/>
            </w:tcBorders>
            <w:shd w:val="clear" w:color="auto" w:fill="auto"/>
            <w:noWrap/>
            <w:vAlign w:val="center"/>
          </w:tcPr>
          <w:p w14:paraId="0A1B04AC"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8</w:t>
            </w:r>
          </w:p>
        </w:tc>
        <w:tc>
          <w:tcPr>
            <w:tcW w:w="179" w:type="pct"/>
            <w:tcBorders>
              <w:top w:val="nil"/>
              <w:left w:val="nil"/>
              <w:bottom w:val="single" w:sz="4" w:space="0" w:color="auto"/>
              <w:right w:val="single" w:sz="4" w:space="0" w:color="auto"/>
            </w:tcBorders>
            <w:shd w:val="clear" w:color="auto" w:fill="auto"/>
            <w:noWrap/>
            <w:vAlign w:val="center"/>
          </w:tcPr>
          <w:p w14:paraId="498EF740"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0CB03802" w14:textId="77777777" w:rsidR="00CF336B" w:rsidRPr="003E79A0" w:rsidRDefault="00CF336B" w:rsidP="00CF336B">
            <w:pPr>
              <w:jc w:val="center"/>
              <w:rPr>
                <w:sz w:val="14"/>
                <w:szCs w:val="14"/>
              </w:rPr>
            </w:pPr>
            <w:r w:rsidRPr="003E79A0">
              <w:rPr>
                <w:rFonts w:asciiTheme="majorHAnsi" w:hAnsiTheme="majorHAnsi" w:cstheme="majorHAnsi"/>
                <w:sz w:val="14"/>
                <w:szCs w:val="14"/>
              </w:rPr>
              <w:t>468</w:t>
            </w:r>
          </w:p>
        </w:tc>
        <w:tc>
          <w:tcPr>
            <w:tcW w:w="176" w:type="pct"/>
            <w:tcBorders>
              <w:top w:val="nil"/>
              <w:left w:val="nil"/>
              <w:bottom w:val="single" w:sz="4" w:space="0" w:color="auto"/>
              <w:right w:val="single" w:sz="4" w:space="0" w:color="auto"/>
            </w:tcBorders>
            <w:shd w:val="clear" w:color="auto" w:fill="auto"/>
            <w:noWrap/>
            <w:vAlign w:val="center"/>
          </w:tcPr>
          <w:p w14:paraId="5F614B77" w14:textId="77777777" w:rsidR="00CF336B" w:rsidRPr="003E79A0" w:rsidRDefault="00CF336B" w:rsidP="00CF336B">
            <w:pPr>
              <w:jc w:val="center"/>
              <w:rPr>
                <w:sz w:val="14"/>
                <w:szCs w:val="14"/>
              </w:rPr>
            </w:pPr>
            <w:r w:rsidRPr="003E79A0">
              <w:rPr>
                <w:rFonts w:cstheme="minorHAnsi"/>
                <w:color w:val="000000"/>
                <w:sz w:val="14"/>
                <w:szCs w:val="14"/>
              </w:rPr>
              <w:t>37</w:t>
            </w:r>
          </w:p>
        </w:tc>
        <w:tc>
          <w:tcPr>
            <w:tcW w:w="176" w:type="pct"/>
            <w:tcBorders>
              <w:top w:val="nil"/>
              <w:left w:val="nil"/>
              <w:bottom w:val="single" w:sz="4" w:space="0" w:color="auto"/>
              <w:right w:val="single" w:sz="4" w:space="0" w:color="auto"/>
            </w:tcBorders>
            <w:shd w:val="clear" w:color="auto" w:fill="auto"/>
            <w:noWrap/>
            <w:vAlign w:val="center"/>
          </w:tcPr>
          <w:p w14:paraId="3298EA8D" w14:textId="77777777" w:rsidR="00CF336B" w:rsidRPr="003E79A0" w:rsidRDefault="00CF336B" w:rsidP="00CF336B">
            <w:pPr>
              <w:jc w:val="center"/>
              <w:rPr>
                <w:sz w:val="14"/>
                <w:szCs w:val="14"/>
              </w:rPr>
            </w:pPr>
            <w:r w:rsidRPr="003E79A0">
              <w:rPr>
                <w:rFonts w:cstheme="minorHAnsi"/>
                <w:color w:val="000000"/>
                <w:sz w:val="14"/>
                <w:szCs w:val="14"/>
              </w:rPr>
              <w:t>22</w:t>
            </w:r>
          </w:p>
        </w:tc>
        <w:tc>
          <w:tcPr>
            <w:tcW w:w="178" w:type="pct"/>
            <w:tcBorders>
              <w:top w:val="nil"/>
              <w:left w:val="nil"/>
              <w:bottom w:val="single" w:sz="4" w:space="0" w:color="auto"/>
              <w:right w:val="single" w:sz="4" w:space="0" w:color="auto"/>
            </w:tcBorders>
            <w:shd w:val="clear" w:color="auto" w:fill="auto"/>
            <w:noWrap/>
            <w:vAlign w:val="center"/>
          </w:tcPr>
          <w:p w14:paraId="2F6AE04A"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322B5226" w14:textId="77777777" w:rsidR="00CF336B" w:rsidRPr="003E79A0" w:rsidRDefault="00CF336B" w:rsidP="00CF336B">
            <w:pPr>
              <w:jc w:val="center"/>
              <w:rPr>
                <w:sz w:val="14"/>
                <w:szCs w:val="14"/>
              </w:rPr>
            </w:pPr>
            <w:r w:rsidRPr="003E79A0">
              <w:rPr>
                <w:sz w:val="14"/>
                <w:szCs w:val="14"/>
              </w:rPr>
              <w:t>206</w:t>
            </w:r>
          </w:p>
        </w:tc>
        <w:tc>
          <w:tcPr>
            <w:tcW w:w="101" w:type="pct"/>
            <w:tcBorders>
              <w:top w:val="nil"/>
              <w:left w:val="nil"/>
              <w:bottom w:val="single" w:sz="4" w:space="0" w:color="auto"/>
              <w:right w:val="single" w:sz="4" w:space="0" w:color="auto"/>
            </w:tcBorders>
            <w:shd w:val="clear" w:color="auto" w:fill="auto"/>
            <w:noWrap/>
            <w:vAlign w:val="center"/>
          </w:tcPr>
          <w:p w14:paraId="42FB386C"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5</w:t>
            </w:r>
          </w:p>
        </w:tc>
        <w:tc>
          <w:tcPr>
            <w:tcW w:w="122" w:type="pct"/>
            <w:tcBorders>
              <w:top w:val="nil"/>
              <w:left w:val="nil"/>
              <w:bottom w:val="single" w:sz="4" w:space="0" w:color="auto"/>
              <w:right w:val="single" w:sz="4" w:space="0" w:color="auto"/>
            </w:tcBorders>
            <w:shd w:val="clear" w:color="auto" w:fill="auto"/>
            <w:noWrap/>
            <w:vAlign w:val="center"/>
          </w:tcPr>
          <w:p w14:paraId="3AB05F0D"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4</w:t>
            </w:r>
          </w:p>
        </w:tc>
        <w:tc>
          <w:tcPr>
            <w:tcW w:w="192" w:type="pct"/>
            <w:tcBorders>
              <w:top w:val="nil"/>
              <w:left w:val="nil"/>
              <w:bottom w:val="single" w:sz="4" w:space="0" w:color="auto"/>
              <w:right w:val="single" w:sz="4" w:space="0" w:color="auto"/>
            </w:tcBorders>
            <w:shd w:val="clear" w:color="auto" w:fill="auto"/>
            <w:noWrap/>
            <w:vAlign w:val="center"/>
          </w:tcPr>
          <w:p w14:paraId="1B3B4B12"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4CBBA0BE"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64</w:t>
            </w:r>
          </w:p>
        </w:tc>
        <w:tc>
          <w:tcPr>
            <w:tcW w:w="128" w:type="pct"/>
            <w:tcBorders>
              <w:top w:val="nil"/>
              <w:left w:val="nil"/>
              <w:bottom w:val="single" w:sz="4" w:space="0" w:color="auto"/>
              <w:right w:val="single" w:sz="4" w:space="0" w:color="auto"/>
            </w:tcBorders>
            <w:shd w:val="clear" w:color="auto" w:fill="auto"/>
            <w:noWrap/>
            <w:vAlign w:val="center"/>
          </w:tcPr>
          <w:p w14:paraId="5512837F"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w:t>
            </w:r>
          </w:p>
        </w:tc>
        <w:tc>
          <w:tcPr>
            <w:tcW w:w="94" w:type="pct"/>
            <w:tcBorders>
              <w:top w:val="nil"/>
              <w:left w:val="nil"/>
              <w:bottom w:val="single" w:sz="4" w:space="0" w:color="auto"/>
              <w:right w:val="single" w:sz="4" w:space="0" w:color="auto"/>
            </w:tcBorders>
            <w:shd w:val="clear" w:color="auto" w:fill="auto"/>
            <w:noWrap/>
            <w:vAlign w:val="center"/>
          </w:tcPr>
          <w:p w14:paraId="424B7D3F"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w:t>
            </w:r>
          </w:p>
        </w:tc>
        <w:tc>
          <w:tcPr>
            <w:tcW w:w="235" w:type="pct"/>
            <w:tcBorders>
              <w:top w:val="nil"/>
              <w:left w:val="nil"/>
              <w:bottom w:val="single" w:sz="4" w:space="0" w:color="auto"/>
              <w:right w:val="single" w:sz="4" w:space="0" w:color="auto"/>
            </w:tcBorders>
            <w:shd w:val="clear" w:color="auto" w:fill="auto"/>
            <w:noWrap/>
            <w:vAlign w:val="center"/>
          </w:tcPr>
          <w:p w14:paraId="6510B91E"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4D9AAEEE"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40</w:t>
            </w:r>
          </w:p>
        </w:tc>
        <w:tc>
          <w:tcPr>
            <w:tcW w:w="177" w:type="pct"/>
            <w:tcBorders>
              <w:top w:val="nil"/>
              <w:left w:val="nil"/>
              <w:bottom w:val="single" w:sz="4" w:space="0" w:color="auto"/>
              <w:right w:val="single" w:sz="4" w:space="0" w:color="auto"/>
            </w:tcBorders>
            <w:shd w:val="clear" w:color="auto" w:fill="auto"/>
            <w:noWrap/>
            <w:vAlign w:val="center"/>
          </w:tcPr>
          <w:p w14:paraId="4235C40A" w14:textId="77777777" w:rsidR="00CF336B" w:rsidRPr="003E79A0" w:rsidRDefault="00CF336B" w:rsidP="00CF336B">
            <w:pPr>
              <w:jc w:val="center"/>
              <w:rPr>
                <w:b/>
                <w:bCs/>
                <w:sz w:val="14"/>
                <w:szCs w:val="14"/>
              </w:rPr>
            </w:pPr>
            <w:r w:rsidRPr="003E79A0">
              <w:rPr>
                <w:rFonts w:cstheme="minorHAnsi"/>
                <w:bCs/>
                <w:color w:val="000000"/>
                <w:sz w:val="14"/>
                <w:szCs w:val="14"/>
              </w:rPr>
              <w:t>78</w:t>
            </w:r>
          </w:p>
        </w:tc>
        <w:tc>
          <w:tcPr>
            <w:tcW w:w="177" w:type="pct"/>
            <w:tcBorders>
              <w:top w:val="nil"/>
              <w:left w:val="nil"/>
              <w:bottom w:val="single" w:sz="4" w:space="0" w:color="auto"/>
              <w:right w:val="single" w:sz="4" w:space="0" w:color="auto"/>
            </w:tcBorders>
            <w:shd w:val="clear" w:color="auto" w:fill="auto"/>
            <w:noWrap/>
            <w:vAlign w:val="center"/>
          </w:tcPr>
          <w:p w14:paraId="23AE9CD6"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35</w:t>
            </w:r>
          </w:p>
        </w:tc>
        <w:tc>
          <w:tcPr>
            <w:tcW w:w="186" w:type="pct"/>
            <w:tcBorders>
              <w:top w:val="nil"/>
              <w:left w:val="nil"/>
              <w:bottom w:val="single" w:sz="4" w:space="0" w:color="auto"/>
              <w:right w:val="single" w:sz="4" w:space="0" w:color="auto"/>
            </w:tcBorders>
            <w:shd w:val="clear" w:color="auto" w:fill="auto"/>
          </w:tcPr>
          <w:p w14:paraId="7CC3721D"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70FDC176" w14:textId="77777777" w:rsidR="00CF336B" w:rsidRPr="003E79A0" w:rsidRDefault="00CF336B" w:rsidP="00CF336B">
            <w:pPr>
              <w:jc w:val="center"/>
              <w:rPr>
                <w:b/>
                <w:sz w:val="14"/>
                <w:szCs w:val="14"/>
              </w:rPr>
            </w:pPr>
            <w:r w:rsidRPr="003E79A0">
              <w:rPr>
                <w:rFonts w:cstheme="minorHAnsi"/>
                <w:b/>
                <w:bCs/>
                <w:color w:val="000000"/>
                <w:sz w:val="14"/>
                <w:szCs w:val="14"/>
              </w:rPr>
              <w:t>778</w:t>
            </w:r>
          </w:p>
        </w:tc>
      </w:tr>
      <w:tr w:rsidR="00BF508A" w:rsidRPr="001B4CA2" w14:paraId="3C88A3F3"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0F33B3F2" w14:textId="77777777" w:rsidR="00CF336B" w:rsidRPr="001B4CA2" w:rsidRDefault="00CF336B" w:rsidP="00CF336B">
            <w:pPr>
              <w:ind w:left="34"/>
              <w:jc w:val="left"/>
              <w:rPr>
                <w:bCs/>
                <w:sz w:val="16"/>
                <w:szCs w:val="16"/>
              </w:rPr>
            </w:pPr>
            <w:r w:rsidRPr="001B4CA2">
              <w:rPr>
                <w:bCs/>
                <w:sz w:val="16"/>
                <w:szCs w:val="16"/>
              </w:rPr>
              <w:t>Ministarstvo rada, mirovinskoga sustava, obitelji i socijalne politike</w:t>
            </w:r>
          </w:p>
        </w:tc>
        <w:tc>
          <w:tcPr>
            <w:tcW w:w="177" w:type="pct"/>
            <w:tcBorders>
              <w:top w:val="nil"/>
              <w:left w:val="nil"/>
              <w:bottom w:val="single" w:sz="4" w:space="0" w:color="auto"/>
              <w:right w:val="single" w:sz="4" w:space="0" w:color="auto"/>
            </w:tcBorders>
            <w:shd w:val="clear" w:color="auto" w:fill="auto"/>
            <w:noWrap/>
            <w:vAlign w:val="center"/>
          </w:tcPr>
          <w:p w14:paraId="4D8B117F"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6B2B1305"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6E859782"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16123743" w14:textId="77777777" w:rsidR="00CF336B" w:rsidRPr="003E79A0" w:rsidRDefault="00CF336B" w:rsidP="00CF336B">
            <w:pPr>
              <w:jc w:val="center"/>
              <w:rPr>
                <w:sz w:val="14"/>
                <w:szCs w:val="14"/>
              </w:rPr>
            </w:pPr>
          </w:p>
        </w:tc>
        <w:tc>
          <w:tcPr>
            <w:tcW w:w="221" w:type="pct"/>
            <w:tcBorders>
              <w:top w:val="nil"/>
              <w:left w:val="nil"/>
              <w:bottom w:val="single" w:sz="4" w:space="0" w:color="auto"/>
              <w:right w:val="single" w:sz="4" w:space="0" w:color="auto"/>
            </w:tcBorders>
            <w:shd w:val="clear" w:color="auto" w:fill="auto"/>
            <w:noWrap/>
            <w:vAlign w:val="center"/>
          </w:tcPr>
          <w:p w14:paraId="53DEC182"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32</w:t>
            </w:r>
          </w:p>
        </w:tc>
        <w:tc>
          <w:tcPr>
            <w:tcW w:w="178" w:type="pct"/>
            <w:tcBorders>
              <w:top w:val="nil"/>
              <w:left w:val="nil"/>
              <w:bottom w:val="single" w:sz="4" w:space="0" w:color="auto"/>
              <w:right w:val="single" w:sz="4" w:space="0" w:color="auto"/>
            </w:tcBorders>
            <w:shd w:val="clear" w:color="auto" w:fill="auto"/>
            <w:noWrap/>
            <w:vAlign w:val="center"/>
          </w:tcPr>
          <w:p w14:paraId="23B26C99"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12</w:t>
            </w:r>
          </w:p>
        </w:tc>
        <w:tc>
          <w:tcPr>
            <w:tcW w:w="179" w:type="pct"/>
            <w:tcBorders>
              <w:top w:val="nil"/>
              <w:left w:val="nil"/>
              <w:bottom w:val="single" w:sz="4" w:space="0" w:color="auto"/>
              <w:right w:val="single" w:sz="4" w:space="0" w:color="auto"/>
            </w:tcBorders>
            <w:shd w:val="clear" w:color="auto" w:fill="auto"/>
            <w:noWrap/>
            <w:vAlign w:val="center"/>
          </w:tcPr>
          <w:p w14:paraId="0EFCF14B"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18C17735" w14:textId="77777777" w:rsidR="00CF336B" w:rsidRPr="003E79A0" w:rsidRDefault="00CF336B" w:rsidP="00CF336B">
            <w:pPr>
              <w:jc w:val="center"/>
              <w:rPr>
                <w:sz w:val="14"/>
                <w:szCs w:val="14"/>
              </w:rPr>
            </w:pPr>
            <w:r w:rsidRPr="003E79A0">
              <w:rPr>
                <w:rFonts w:asciiTheme="majorHAnsi" w:hAnsiTheme="majorHAnsi" w:cstheme="majorHAnsi"/>
                <w:sz w:val="14"/>
                <w:szCs w:val="14"/>
              </w:rPr>
              <w:t>307</w:t>
            </w:r>
          </w:p>
        </w:tc>
        <w:tc>
          <w:tcPr>
            <w:tcW w:w="176" w:type="pct"/>
            <w:tcBorders>
              <w:top w:val="nil"/>
              <w:left w:val="nil"/>
              <w:bottom w:val="single" w:sz="4" w:space="0" w:color="auto"/>
              <w:right w:val="single" w:sz="4" w:space="0" w:color="auto"/>
            </w:tcBorders>
            <w:shd w:val="clear" w:color="auto" w:fill="auto"/>
            <w:noWrap/>
            <w:vAlign w:val="center"/>
          </w:tcPr>
          <w:p w14:paraId="5106DF21" w14:textId="77777777" w:rsidR="00CF336B" w:rsidRPr="003E79A0" w:rsidRDefault="00CF336B" w:rsidP="00CF336B">
            <w:pPr>
              <w:jc w:val="center"/>
              <w:rPr>
                <w:sz w:val="14"/>
                <w:szCs w:val="14"/>
              </w:rPr>
            </w:pPr>
            <w:r w:rsidRPr="003E79A0">
              <w:rPr>
                <w:rFonts w:cstheme="minorHAnsi"/>
                <w:color w:val="000000"/>
                <w:sz w:val="14"/>
                <w:szCs w:val="14"/>
              </w:rPr>
              <w:t>114</w:t>
            </w:r>
          </w:p>
        </w:tc>
        <w:tc>
          <w:tcPr>
            <w:tcW w:w="176" w:type="pct"/>
            <w:tcBorders>
              <w:top w:val="nil"/>
              <w:left w:val="nil"/>
              <w:bottom w:val="single" w:sz="4" w:space="0" w:color="auto"/>
              <w:right w:val="single" w:sz="4" w:space="0" w:color="auto"/>
            </w:tcBorders>
            <w:shd w:val="clear" w:color="auto" w:fill="auto"/>
            <w:noWrap/>
            <w:vAlign w:val="center"/>
          </w:tcPr>
          <w:p w14:paraId="0FAADBA5" w14:textId="77777777" w:rsidR="00CF336B" w:rsidRPr="003E79A0" w:rsidRDefault="00CF336B" w:rsidP="00CF336B">
            <w:pPr>
              <w:jc w:val="center"/>
              <w:rPr>
                <w:sz w:val="14"/>
                <w:szCs w:val="14"/>
              </w:rPr>
            </w:pPr>
            <w:r w:rsidRPr="003E79A0">
              <w:rPr>
                <w:rFonts w:cstheme="minorHAnsi"/>
                <w:color w:val="000000"/>
                <w:sz w:val="14"/>
                <w:szCs w:val="14"/>
              </w:rPr>
              <w:t>2</w:t>
            </w:r>
          </w:p>
        </w:tc>
        <w:tc>
          <w:tcPr>
            <w:tcW w:w="178" w:type="pct"/>
            <w:tcBorders>
              <w:top w:val="nil"/>
              <w:left w:val="nil"/>
              <w:bottom w:val="single" w:sz="4" w:space="0" w:color="auto"/>
              <w:right w:val="single" w:sz="4" w:space="0" w:color="auto"/>
            </w:tcBorders>
            <w:shd w:val="clear" w:color="auto" w:fill="auto"/>
            <w:noWrap/>
            <w:vAlign w:val="center"/>
          </w:tcPr>
          <w:p w14:paraId="28B8F693"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5AD830A1" w14:textId="77777777" w:rsidR="00CF336B" w:rsidRPr="003E79A0" w:rsidRDefault="00CF336B" w:rsidP="00CF336B">
            <w:pPr>
              <w:jc w:val="center"/>
              <w:rPr>
                <w:sz w:val="14"/>
                <w:szCs w:val="14"/>
              </w:rPr>
            </w:pPr>
            <w:r w:rsidRPr="003E79A0">
              <w:rPr>
                <w:sz w:val="14"/>
                <w:szCs w:val="14"/>
              </w:rPr>
              <w:t>149</w:t>
            </w:r>
          </w:p>
        </w:tc>
        <w:tc>
          <w:tcPr>
            <w:tcW w:w="101" w:type="pct"/>
            <w:tcBorders>
              <w:top w:val="nil"/>
              <w:left w:val="nil"/>
              <w:bottom w:val="single" w:sz="4" w:space="0" w:color="auto"/>
              <w:right w:val="single" w:sz="4" w:space="0" w:color="auto"/>
            </w:tcBorders>
            <w:shd w:val="clear" w:color="auto" w:fill="auto"/>
            <w:noWrap/>
            <w:vAlign w:val="center"/>
          </w:tcPr>
          <w:p w14:paraId="32CE786A"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35EE51E0"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12C7D046"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168DD55D"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5A3F12A5" w14:textId="77777777" w:rsidR="00CF336B" w:rsidRPr="003E79A0" w:rsidRDefault="00CF336B" w:rsidP="00CF336B">
            <w:pPr>
              <w:jc w:val="center"/>
              <w:rPr>
                <w:sz w:val="14"/>
                <w:szCs w:val="14"/>
              </w:rPr>
            </w:pPr>
          </w:p>
        </w:tc>
        <w:tc>
          <w:tcPr>
            <w:tcW w:w="94" w:type="pct"/>
            <w:tcBorders>
              <w:top w:val="nil"/>
              <w:left w:val="nil"/>
              <w:bottom w:val="single" w:sz="4" w:space="0" w:color="auto"/>
              <w:right w:val="single" w:sz="4" w:space="0" w:color="auto"/>
            </w:tcBorders>
            <w:shd w:val="clear" w:color="auto" w:fill="auto"/>
            <w:noWrap/>
            <w:vAlign w:val="center"/>
          </w:tcPr>
          <w:p w14:paraId="40BB372E"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6940C77C"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7531CFD6"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12FF453F" w14:textId="77777777" w:rsidR="00CF336B" w:rsidRPr="003E79A0" w:rsidRDefault="00CF336B" w:rsidP="00CF336B">
            <w:pPr>
              <w:jc w:val="center"/>
              <w:rPr>
                <w:b/>
                <w:bCs/>
                <w:sz w:val="14"/>
                <w:szCs w:val="14"/>
              </w:rPr>
            </w:pPr>
            <w:r w:rsidRPr="003E79A0">
              <w:rPr>
                <w:rFonts w:cstheme="minorHAnsi"/>
                <w:bCs/>
                <w:color w:val="000000"/>
                <w:sz w:val="14"/>
                <w:szCs w:val="14"/>
              </w:rPr>
              <w:t>146</w:t>
            </w:r>
          </w:p>
        </w:tc>
        <w:tc>
          <w:tcPr>
            <w:tcW w:w="177" w:type="pct"/>
            <w:tcBorders>
              <w:top w:val="nil"/>
              <w:left w:val="nil"/>
              <w:bottom w:val="single" w:sz="4" w:space="0" w:color="auto"/>
              <w:right w:val="single" w:sz="4" w:space="0" w:color="auto"/>
            </w:tcBorders>
            <w:shd w:val="clear" w:color="auto" w:fill="auto"/>
            <w:noWrap/>
            <w:vAlign w:val="center"/>
          </w:tcPr>
          <w:p w14:paraId="66104924"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14</w:t>
            </w:r>
          </w:p>
        </w:tc>
        <w:tc>
          <w:tcPr>
            <w:tcW w:w="186" w:type="pct"/>
            <w:tcBorders>
              <w:top w:val="nil"/>
              <w:left w:val="nil"/>
              <w:bottom w:val="single" w:sz="4" w:space="0" w:color="auto"/>
              <w:right w:val="single" w:sz="4" w:space="0" w:color="auto"/>
            </w:tcBorders>
            <w:shd w:val="clear" w:color="auto" w:fill="auto"/>
          </w:tcPr>
          <w:p w14:paraId="19D2E051"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49F44F07" w14:textId="77777777" w:rsidR="00CF336B" w:rsidRPr="003E79A0" w:rsidRDefault="00CF336B" w:rsidP="00CF336B">
            <w:pPr>
              <w:jc w:val="center"/>
              <w:rPr>
                <w:b/>
                <w:sz w:val="14"/>
                <w:szCs w:val="14"/>
              </w:rPr>
            </w:pPr>
            <w:r w:rsidRPr="003E79A0">
              <w:rPr>
                <w:rFonts w:cstheme="minorHAnsi"/>
                <w:b/>
                <w:bCs/>
                <w:color w:val="000000"/>
                <w:sz w:val="14"/>
                <w:szCs w:val="14"/>
              </w:rPr>
              <w:t>457</w:t>
            </w:r>
          </w:p>
        </w:tc>
      </w:tr>
      <w:tr w:rsidR="00BF508A" w:rsidRPr="001B4CA2" w14:paraId="2FF0C028"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61066409" w14:textId="77777777" w:rsidR="00CF336B" w:rsidRPr="001B4CA2" w:rsidRDefault="00CF336B" w:rsidP="00CF336B">
            <w:pPr>
              <w:ind w:left="34"/>
              <w:jc w:val="left"/>
              <w:rPr>
                <w:bCs/>
                <w:sz w:val="16"/>
                <w:szCs w:val="16"/>
              </w:rPr>
            </w:pPr>
            <w:r w:rsidRPr="001B4CA2">
              <w:rPr>
                <w:bCs/>
                <w:sz w:val="16"/>
                <w:szCs w:val="16"/>
              </w:rPr>
              <w:t xml:space="preserve">Ministarstvo financija </w:t>
            </w:r>
          </w:p>
        </w:tc>
        <w:tc>
          <w:tcPr>
            <w:tcW w:w="177" w:type="pct"/>
            <w:tcBorders>
              <w:top w:val="nil"/>
              <w:left w:val="nil"/>
              <w:bottom w:val="single" w:sz="4" w:space="0" w:color="auto"/>
              <w:right w:val="single" w:sz="4" w:space="0" w:color="auto"/>
            </w:tcBorders>
            <w:shd w:val="clear" w:color="auto" w:fill="auto"/>
            <w:noWrap/>
            <w:vAlign w:val="center"/>
          </w:tcPr>
          <w:p w14:paraId="4D38A767"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117AF71C"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356694BC"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3B64C68A" w14:textId="77777777" w:rsidR="00CF336B" w:rsidRPr="003E79A0" w:rsidRDefault="00CF336B" w:rsidP="00CF336B">
            <w:pPr>
              <w:jc w:val="center"/>
              <w:rPr>
                <w:sz w:val="14"/>
                <w:szCs w:val="14"/>
              </w:rPr>
            </w:pPr>
          </w:p>
        </w:tc>
        <w:tc>
          <w:tcPr>
            <w:tcW w:w="221" w:type="pct"/>
            <w:tcBorders>
              <w:top w:val="nil"/>
              <w:left w:val="nil"/>
              <w:bottom w:val="single" w:sz="4" w:space="0" w:color="auto"/>
              <w:right w:val="single" w:sz="4" w:space="0" w:color="auto"/>
            </w:tcBorders>
            <w:shd w:val="clear" w:color="auto" w:fill="auto"/>
            <w:noWrap/>
            <w:vAlign w:val="center"/>
          </w:tcPr>
          <w:p w14:paraId="24217899"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18</w:t>
            </w:r>
          </w:p>
        </w:tc>
        <w:tc>
          <w:tcPr>
            <w:tcW w:w="178" w:type="pct"/>
            <w:tcBorders>
              <w:top w:val="nil"/>
              <w:left w:val="nil"/>
              <w:bottom w:val="single" w:sz="4" w:space="0" w:color="auto"/>
              <w:right w:val="single" w:sz="4" w:space="0" w:color="auto"/>
            </w:tcBorders>
            <w:shd w:val="clear" w:color="auto" w:fill="auto"/>
            <w:noWrap/>
            <w:vAlign w:val="center"/>
          </w:tcPr>
          <w:p w14:paraId="331C3E9B"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6</w:t>
            </w:r>
          </w:p>
        </w:tc>
        <w:tc>
          <w:tcPr>
            <w:tcW w:w="179" w:type="pct"/>
            <w:tcBorders>
              <w:top w:val="nil"/>
              <w:left w:val="nil"/>
              <w:bottom w:val="single" w:sz="4" w:space="0" w:color="auto"/>
              <w:right w:val="single" w:sz="4" w:space="0" w:color="auto"/>
            </w:tcBorders>
            <w:shd w:val="clear" w:color="auto" w:fill="auto"/>
            <w:noWrap/>
            <w:vAlign w:val="center"/>
          </w:tcPr>
          <w:p w14:paraId="5D9A7C8D"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0AA90890" w14:textId="77777777" w:rsidR="00CF336B" w:rsidRPr="003E79A0" w:rsidRDefault="00CF336B" w:rsidP="00CF336B">
            <w:pPr>
              <w:jc w:val="center"/>
              <w:rPr>
                <w:sz w:val="14"/>
                <w:szCs w:val="14"/>
              </w:rPr>
            </w:pPr>
            <w:r w:rsidRPr="003E79A0">
              <w:rPr>
                <w:rFonts w:asciiTheme="majorHAnsi" w:hAnsiTheme="majorHAnsi" w:cstheme="majorHAnsi"/>
                <w:sz w:val="14"/>
                <w:szCs w:val="14"/>
              </w:rPr>
              <w:t>413</w:t>
            </w:r>
          </w:p>
        </w:tc>
        <w:tc>
          <w:tcPr>
            <w:tcW w:w="176" w:type="pct"/>
            <w:tcBorders>
              <w:top w:val="nil"/>
              <w:left w:val="nil"/>
              <w:bottom w:val="single" w:sz="4" w:space="0" w:color="auto"/>
              <w:right w:val="single" w:sz="4" w:space="0" w:color="auto"/>
            </w:tcBorders>
            <w:shd w:val="clear" w:color="auto" w:fill="auto"/>
            <w:noWrap/>
            <w:vAlign w:val="center"/>
          </w:tcPr>
          <w:p w14:paraId="11BA3FE7" w14:textId="77777777" w:rsidR="00CF336B" w:rsidRPr="003E79A0" w:rsidRDefault="00CF336B" w:rsidP="00CF336B">
            <w:pPr>
              <w:jc w:val="center"/>
              <w:rPr>
                <w:sz w:val="14"/>
                <w:szCs w:val="14"/>
              </w:rPr>
            </w:pPr>
            <w:r w:rsidRPr="003E79A0">
              <w:rPr>
                <w:rFonts w:cstheme="minorHAnsi"/>
                <w:color w:val="000000"/>
                <w:sz w:val="14"/>
                <w:szCs w:val="14"/>
              </w:rPr>
              <w:t>126</w:t>
            </w:r>
          </w:p>
        </w:tc>
        <w:tc>
          <w:tcPr>
            <w:tcW w:w="176" w:type="pct"/>
            <w:tcBorders>
              <w:top w:val="nil"/>
              <w:left w:val="nil"/>
              <w:bottom w:val="single" w:sz="4" w:space="0" w:color="auto"/>
              <w:right w:val="single" w:sz="4" w:space="0" w:color="auto"/>
            </w:tcBorders>
            <w:shd w:val="clear" w:color="auto" w:fill="auto"/>
            <w:noWrap/>
            <w:vAlign w:val="center"/>
          </w:tcPr>
          <w:p w14:paraId="31322E40" w14:textId="77777777" w:rsidR="00CF336B" w:rsidRPr="003E79A0" w:rsidRDefault="00CF336B" w:rsidP="00CF336B">
            <w:pPr>
              <w:jc w:val="center"/>
              <w:rPr>
                <w:sz w:val="14"/>
                <w:szCs w:val="14"/>
              </w:rPr>
            </w:pPr>
            <w:r w:rsidRPr="003E79A0">
              <w:rPr>
                <w:rFonts w:cstheme="minorHAnsi"/>
                <w:color w:val="000000"/>
                <w:sz w:val="14"/>
                <w:szCs w:val="14"/>
              </w:rPr>
              <w:t>114</w:t>
            </w:r>
          </w:p>
        </w:tc>
        <w:tc>
          <w:tcPr>
            <w:tcW w:w="178" w:type="pct"/>
            <w:tcBorders>
              <w:top w:val="nil"/>
              <w:left w:val="nil"/>
              <w:bottom w:val="single" w:sz="4" w:space="0" w:color="auto"/>
              <w:right w:val="single" w:sz="4" w:space="0" w:color="auto"/>
            </w:tcBorders>
            <w:shd w:val="clear" w:color="auto" w:fill="auto"/>
            <w:noWrap/>
            <w:vAlign w:val="center"/>
          </w:tcPr>
          <w:p w14:paraId="6D2522F7"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44BB5624" w14:textId="77777777" w:rsidR="00CF336B" w:rsidRPr="003E79A0" w:rsidRDefault="00CF336B" w:rsidP="00CF336B">
            <w:pPr>
              <w:jc w:val="center"/>
              <w:rPr>
                <w:sz w:val="14"/>
                <w:szCs w:val="14"/>
              </w:rPr>
            </w:pPr>
            <w:r w:rsidRPr="003E79A0">
              <w:rPr>
                <w:sz w:val="14"/>
                <w:szCs w:val="14"/>
              </w:rPr>
              <w:t>447</w:t>
            </w:r>
          </w:p>
        </w:tc>
        <w:tc>
          <w:tcPr>
            <w:tcW w:w="101" w:type="pct"/>
            <w:tcBorders>
              <w:top w:val="nil"/>
              <w:left w:val="nil"/>
              <w:bottom w:val="single" w:sz="4" w:space="0" w:color="auto"/>
              <w:right w:val="single" w:sz="4" w:space="0" w:color="auto"/>
            </w:tcBorders>
            <w:shd w:val="clear" w:color="auto" w:fill="auto"/>
            <w:noWrap/>
            <w:vAlign w:val="center"/>
          </w:tcPr>
          <w:p w14:paraId="61E47905"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15039BC5"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467B9E12"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0F6BF9A6"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3C55185E"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w:t>
            </w:r>
          </w:p>
        </w:tc>
        <w:tc>
          <w:tcPr>
            <w:tcW w:w="94" w:type="pct"/>
            <w:tcBorders>
              <w:top w:val="nil"/>
              <w:left w:val="nil"/>
              <w:bottom w:val="single" w:sz="4" w:space="0" w:color="auto"/>
              <w:right w:val="single" w:sz="4" w:space="0" w:color="auto"/>
            </w:tcBorders>
            <w:shd w:val="clear" w:color="auto" w:fill="auto"/>
            <w:noWrap/>
            <w:vAlign w:val="center"/>
          </w:tcPr>
          <w:p w14:paraId="2794976E"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0A82232B"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3D8BD1AF"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37F7EEBB" w14:textId="77777777" w:rsidR="00CF336B" w:rsidRPr="003E79A0" w:rsidRDefault="00CF336B" w:rsidP="00CF336B">
            <w:pPr>
              <w:jc w:val="center"/>
              <w:rPr>
                <w:b/>
                <w:bCs/>
                <w:sz w:val="14"/>
                <w:szCs w:val="14"/>
              </w:rPr>
            </w:pPr>
            <w:r w:rsidRPr="003E79A0">
              <w:rPr>
                <w:rFonts w:cstheme="minorHAnsi"/>
                <w:bCs/>
                <w:color w:val="000000"/>
                <w:sz w:val="14"/>
                <w:szCs w:val="14"/>
              </w:rPr>
              <w:t>145</w:t>
            </w:r>
          </w:p>
        </w:tc>
        <w:tc>
          <w:tcPr>
            <w:tcW w:w="177" w:type="pct"/>
            <w:tcBorders>
              <w:top w:val="nil"/>
              <w:left w:val="nil"/>
              <w:bottom w:val="single" w:sz="4" w:space="0" w:color="auto"/>
              <w:right w:val="single" w:sz="4" w:space="0" w:color="auto"/>
            </w:tcBorders>
            <w:shd w:val="clear" w:color="auto" w:fill="auto"/>
            <w:noWrap/>
            <w:vAlign w:val="center"/>
          </w:tcPr>
          <w:p w14:paraId="3D8E52B3"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120</w:t>
            </w:r>
          </w:p>
        </w:tc>
        <w:tc>
          <w:tcPr>
            <w:tcW w:w="186" w:type="pct"/>
            <w:tcBorders>
              <w:top w:val="nil"/>
              <w:left w:val="nil"/>
              <w:bottom w:val="single" w:sz="4" w:space="0" w:color="auto"/>
              <w:right w:val="single" w:sz="4" w:space="0" w:color="auto"/>
            </w:tcBorders>
            <w:shd w:val="clear" w:color="auto" w:fill="auto"/>
          </w:tcPr>
          <w:p w14:paraId="180783E8"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735C1DD1" w14:textId="77777777" w:rsidR="00CF336B" w:rsidRPr="003E79A0" w:rsidRDefault="00CF336B" w:rsidP="00CF336B">
            <w:pPr>
              <w:jc w:val="center"/>
              <w:rPr>
                <w:b/>
                <w:sz w:val="14"/>
                <w:szCs w:val="14"/>
              </w:rPr>
            </w:pPr>
            <w:r w:rsidRPr="003E79A0">
              <w:rPr>
                <w:rFonts w:cstheme="minorHAnsi"/>
                <w:b/>
                <w:bCs/>
                <w:color w:val="000000"/>
                <w:sz w:val="14"/>
                <w:szCs w:val="14"/>
              </w:rPr>
              <w:t>860</w:t>
            </w:r>
          </w:p>
        </w:tc>
      </w:tr>
      <w:tr w:rsidR="00BF508A" w:rsidRPr="001B4CA2" w14:paraId="695546BB"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4208814B" w14:textId="77777777" w:rsidR="00CF336B" w:rsidRPr="001B4CA2" w:rsidRDefault="00CF336B" w:rsidP="00CF336B">
            <w:pPr>
              <w:ind w:left="34"/>
              <w:jc w:val="left"/>
              <w:rPr>
                <w:bCs/>
                <w:sz w:val="16"/>
                <w:szCs w:val="16"/>
              </w:rPr>
            </w:pPr>
            <w:r w:rsidRPr="001B4CA2">
              <w:rPr>
                <w:bCs/>
                <w:sz w:val="16"/>
                <w:szCs w:val="16"/>
              </w:rPr>
              <w:t>Ministarstvo gospodarstva i održivog razvoja</w:t>
            </w:r>
          </w:p>
        </w:tc>
        <w:tc>
          <w:tcPr>
            <w:tcW w:w="177" w:type="pct"/>
            <w:tcBorders>
              <w:top w:val="nil"/>
              <w:left w:val="nil"/>
              <w:bottom w:val="single" w:sz="4" w:space="0" w:color="auto"/>
              <w:right w:val="single" w:sz="4" w:space="0" w:color="auto"/>
            </w:tcBorders>
            <w:shd w:val="clear" w:color="auto" w:fill="auto"/>
            <w:noWrap/>
            <w:vAlign w:val="center"/>
          </w:tcPr>
          <w:p w14:paraId="5B54EE04"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w:t>
            </w:r>
          </w:p>
        </w:tc>
        <w:tc>
          <w:tcPr>
            <w:tcW w:w="177" w:type="pct"/>
            <w:tcBorders>
              <w:top w:val="nil"/>
              <w:left w:val="nil"/>
              <w:bottom w:val="single" w:sz="4" w:space="0" w:color="auto"/>
              <w:right w:val="single" w:sz="4" w:space="0" w:color="auto"/>
            </w:tcBorders>
            <w:shd w:val="clear" w:color="auto" w:fill="auto"/>
            <w:noWrap/>
            <w:vAlign w:val="center"/>
          </w:tcPr>
          <w:p w14:paraId="643BEC23"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w:t>
            </w:r>
          </w:p>
        </w:tc>
        <w:tc>
          <w:tcPr>
            <w:tcW w:w="177" w:type="pct"/>
            <w:tcBorders>
              <w:top w:val="nil"/>
              <w:left w:val="nil"/>
              <w:bottom w:val="single" w:sz="4" w:space="0" w:color="auto"/>
              <w:right w:val="single" w:sz="4" w:space="0" w:color="auto"/>
            </w:tcBorders>
            <w:shd w:val="clear" w:color="auto" w:fill="auto"/>
            <w:noWrap/>
            <w:vAlign w:val="center"/>
          </w:tcPr>
          <w:p w14:paraId="69DEEF00"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2883CF9C"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100</w:t>
            </w:r>
          </w:p>
        </w:tc>
        <w:tc>
          <w:tcPr>
            <w:tcW w:w="221" w:type="pct"/>
            <w:tcBorders>
              <w:top w:val="nil"/>
              <w:left w:val="nil"/>
              <w:bottom w:val="single" w:sz="4" w:space="0" w:color="auto"/>
              <w:right w:val="single" w:sz="4" w:space="0" w:color="auto"/>
            </w:tcBorders>
            <w:shd w:val="clear" w:color="auto" w:fill="auto"/>
            <w:noWrap/>
            <w:vAlign w:val="center"/>
          </w:tcPr>
          <w:p w14:paraId="63C049C5"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19</w:t>
            </w:r>
          </w:p>
        </w:tc>
        <w:tc>
          <w:tcPr>
            <w:tcW w:w="178" w:type="pct"/>
            <w:tcBorders>
              <w:top w:val="nil"/>
              <w:left w:val="nil"/>
              <w:bottom w:val="single" w:sz="4" w:space="0" w:color="auto"/>
              <w:right w:val="single" w:sz="4" w:space="0" w:color="auto"/>
            </w:tcBorders>
            <w:shd w:val="clear" w:color="auto" w:fill="auto"/>
            <w:noWrap/>
            <w:vAlign w:val="center"/>
          </w:tcPr>
          <w:p w14:paraId="62DAE9F3"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4</w:t>
            </w:r>
          </w:p>
        </w:tc>
        <w:tc>
          <w:tcPr>
            <w:tcW w:w="179" w:type="pct"/>
            <w:tcBorders>
              <w:top w:val="nil"/>
              <w:left w:val="nil"/>
              <w:bottom w:val="single" w:sz="4" w:space="0" w:color="auto"/>
              <w:right w:val="single" w:sz="4" w:space="0" w:color="auto"/>
            </w:tcBorders>
            <w:shd w:val="clear" w:color="auto" w:fill="auto"/>
            <w:noWrap/>
            <w:vAlign w:val="center"/>
          </w:tcPr>
          <w:p w14:paraId="034DF1E3"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60454670" w14:textId="77777777" w:rsidR="00CF336B" w:rsidRPr="003E79A0" w:rsidRDefault="00CF336B" w:rsidP="00CF336B">
            <w:pPr>
              <w:jc w:val="center"/>
              <w:rPr>
                <w:sz w:val="14"/>
                <w:szCs w:val="14"/>
              </w:rPr>
            </w:pPr>
            <w:r w:rsidRPr="003E79A0">
              <w:rPr>
                <w:rFonts w:asciiTheme="majorHAnsi" w:hAnsiTheme="majorHAnsi" w:cstheme="majorHAnsi"/>
                <w:sz w:val="14"/>
                <w:szCs w:val="14"/>
              </w:rPr>
              <w:t>1.029</w:t>
            </w:r>
          </w:p>
        </w:tc>
        <w:tc>
          <w:tcPr>
            <w:tcW w:w="176" w:type="pct"/>
            <w:tcBorders>
              <w:top w:val="nil"/>
              <w:left w:val="nil"/>
              <w:bottom w:val="single" w:sz="4" w:space="0" w:color="auto"/>
              <w:right w:val="single" w:sz="4" w:space="0" w:color="auto"/>
            </w:tcBorders>
            <w:shd w:val="clear" w:color="auto" w:fill="auto"/>
            <w:noWrap/>
            <w:vAlign w:val="center"/>
          </w:tcPr>
          <w:p w14:paraId="5CAC20A3" w14:textId="77777777" w:rsidR="00CF336B" w:rsidRPr="003E79A0" w:rsidRDefault="00CF336B" w:rsidP="00CF336B">
            <w:pPr>
              <w:jc w:val="center"/>
              <w:rPr>
                <w:sz w:val="14"/>
                <w:szCs w:val="14"/>
              </w:rPr>
            </w:pPr>
            <w:r w:rsidRPr="003E79A0">
              <w:rPr>
                <w:rFonts w:cstheme="minorHAnsi"/>
                <w:color w:val="000000"/>
                <w:sz w:val="14"/>
                <w:szCs w:val="14"/>
              </w:rPr>
              <w:t>10</w:t>
            </w:r>
          </w:p>
        </w:tc>
        <w:tc>
          <w:tcPr>
            <w:tcW w:w="176" w:type="pct"/>
            <w:tcBorders>
              <w:top w:val="nil"/>
              <w:left w:val="nil"/>
              <w:bottom w:val="single" w:sz="4" w:space="0" w:color="auto"/>
              <w:right w:val="single" w:sz="4" w:space="0" w:color="auto"/>
            </w:tcBorders>
            <w:shd w:val="clear" w:color="auto" w:fill="auto"/>
            <w:noWrap/>
            <w:vAlign w:val="center"/>
          </w:tcPr>
          <w:p w14:paraId="526CF7E9" w14:textId="77777777" w:rsidR="00CF336B" w:rsidRPr="003E79A0" w:rsidRDefault="00CF336B" w:rsidP="00CF336B">
            <w:pPr>
              <w:jc w:val="center"/>
              <w:rPr>
                <w:sz w:val="14"/>
                <w:szCs w:val="14"/>
              </w:rPr>
            </w:pPr>
            <w:r w:rsidRPr="003E79A0">
              <w:rPr>
                <w:rFonts w:cstheme="minorHAnsi"/>
                <w:color w:val="000000"/>
                <w:sz w:val="14"/>
                <w:szCs w:val="14"/>
              </w:rPr>
              <w:t>1</w:t>
            </w:r>
          </w:p>
        </w:tc>
        <w:tc>
          <w:tcPr>
            <w:tcW w:w="178" w:type="pct"/>
            <w:tcBorders>
              <w:top w:val="nil"/>
              <w:left w:val="nil"/>
              <w:bottom w:val="single" w:sz="4" w:space="0" w:color="auto"/>
              <w:right w:val="single" w:sz="4" w:space="0" w:color="auto"/>
            </w:tcBorders>
            <w:shd w:val="clear" w:color="auto" w:fill="auto"/>
            <w:noWrap/>
            <w:vAlign w:val="center"/>
          </w:tcPr>
          <w:p w14:paraId="396F98A9"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09405E45" w14:textId="77777777" w:rsidR="00CF336B" w:rsidRPr="003E79A0" w:rsidRDefault="00CF336B" w:rsidP="00CF336B">
            <w:pPr>
              <w:jc w:val="center"/>
              <w:rPr>
                <w:sz w:val="14"/>
                <w:szCs w:val="14"/>
              </w:rPr>
            </w:pPr>
            <w:r w:rsidRPr="003E79A0">
              <w:rPr>
                <w:sz w:val="14"/>
                <w:szCs w:val="14"/>
              </w:rPr>
              <w:t>8</w:t>
            </w:r>
          </w:p>
        </w:tc>
        <w:tc>
          <w:tcPr>
            <w:tcW w:w="101" w:type="pct"/>
            <w:tcBorders>
              <w:top w:val="nil"/>
              <w:left w:val="nil"/>
              <w:bottom w:val="single" w:sz="4" w:space="0" w:color="auto"/>
              <w:right w:val="single" w:sz="4" w:space="0" w:color="auto"/>
            </w:tcBorders>
            <w:shd w:val="clear" w:color="auto" w:fill="auto"/>
            <w:noWrap/>
            <w:vAlign w:val="center"/>
          </w:tcPr>
          <w:p w14:paraId="056D2C80"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4850DD27"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6140F2EA"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13B3DB5E"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75F36F40" w14:textId="77777777" w:rsidR="00CF336B" w:rsidRPr="003E79A0" w:rsidRDefault="00CF336B" w:rsidP="00CF336B">
            <w:pPr>
              <w:jc w:val="center"/>
              <w:rPr>
                <w:sz w:val="14"/>
                <w:szCs w:val="14"/>
              </w:rPr>
            </w:pPr>
          </w:p>
        </w:tc>
        <w:tc>
          <w:tcPr>
            <w:tcW w:w="94" w:type="pct"/>
            <w:tcBorders>
              <w:top w:val="nil"/>
              <w:left w:val="nil"/>
              <w:bottom w:val="single" w:sz="4" w:space="0" w:color="auto"/>
              <w:right w:val="single" w:sz="4" w:space="0" w:color="auto"/>
            </w:tcBorders>
            <w:shd w:val="clear" w:color="auto" w:fill="auto"/>
            <w:noWrap/>
            <w:vAlign w:val="center"/>
          </w:tcPr>
          <w:p w14:paraId="16FFDCBE"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70C42D7A"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311193F6"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0A661AEA" w14:textId="77777777" w:rsidR="00CF336B" w:rsidRPr="003E79A0" w:rsidRDefault="00CF336B" w:rsidP="00CF336B">
            <w:pPr>
              <w:jc w:val="center"/>
              <w:rPr>
                <w:b/>
                <w:bCs/>
                <w:sz w:val="14"/>
                <w:szCs w:val="14"/>
              </w:rPr>
            </w:pPr>
            <w:r w:rsidRPr="003E79A0">
              <w:rPr>
                <w:rFonts w:cstheme="minorHAnsi"/>
                <w:bCs/>
                <w:color w:val="000000"/>
                <w:sz w:val="14"/>
                <w:szCs w:val="14"/>
              </w:rPr>
              <w:t>31</w:t>
            </w:r>
          </w:p>
        </w:tc>
        <w:tc>
          <w:tcPr>
            <w:tcW w:w="177" w:type="pct"/>
            <w:tcBorders>
              <w:top w:val="nil"/>
              <w:left w:val="nil"/>
              <w:bottom w:val="single" w:sz="4" w:space="0" w:color="auto"/>
              <w:right w:val="single" w:sz="4" w:space="0" w:color="auto"/>
            </w:tcBorders>
            <w:shd w:val="clear" w:color="auto" w:fill="auto"/>
            <w:noWrap/>
            <w:vAlign w:val="center"/>
          </w:tcPr>
          <w:p w14:paraId="0A232E9F"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7</w:t>
            </w:r>
          </w:p>
        </w:tc>
        <w:tc>
          <w:tcPr>
            <w:tcW w:w="186" w:type="pct"/>
            <w:tcBorders>
              <w:top w:val="nil"/>
              <w:left w:val="nil"/>
              <w:bottom w:val="single" w:sz="4" w:space="0" w:color="auto"/>
              <w:right w:val="single" w:sz="4" w:space="0" w:color="auto"/>
            </w:tcBorders>
            <w:shd w:val="clear" w:color="auto" w:fill="auto"/>
          </w:tcPr>
          <w:p w14:paraId="02C0324D"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225671B7" w14:textId="77777777" w:rsidR="00CF336B" w:rsidRPr="003E79A0" w:rsidRDefault="00CF336B" w:rsidP="00CF336B">
            <w:pPr>
              <w:jc w:val="center"/>
              <w:rPr>
                <w:b/>
                <w:sz w:val="14"/>
                <w:szCs w:val="14"/>
              </w:rPr>
            </w:pPr>
            <w:r w:rsidRPr="003E79A0">
              <w:rPr>
                <w:rFonts w:cstheme="minorHAnsi"/>
                <w:b/>
                <w:bCs/>
                <w:color w:val="000000"/>
                <w:sz w:val="14"/>
                <w:szCs w:val="14"/>
              </w:rPr>
              <w:t>1.137</w:t>
            </w:r>
          </w:p>
        </w:tc>
      </w:tr>
      <w:tr w:rsidR="00BF508A" w:rsidRPr="001B4CA2" w14:paraId="5107039B"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07876F32" w14:textId="77777777" w:rsidR="00CF336B" w:rsidRPr="001B4CA2" w:rsidRDefault="00CF336B" w:rsidP="00CF336B">
            <w:pPr>
              <w:ind w:left="34"/>
              <w:jc w:val="left"/>
              <w:rPr>
                <w:bCs/>
                <w:sz w:val="16"/>
                <w:szCs w:val="16"/>
              </w:rPr>
            </w:pPr>
            <w:r w:rsidRPr="001B4CA2">
              <w:rPr>
                <w:bCs/>
                <w:sz w:val="16"/>
                <w:szCs w:val="16"/>
              </w:rPr>
              <w:t>Ministarstvo obrane</w:t>
            </w:r>
          </w:p>
        </w:tc>
        <w:tc>
          <w:tcPr>
            <w:tcW w:w="177" w:type="pct"/>
            <w:tcBorders>
              <w:top w:val="nil"/>
              <w:left w:val="nil"/>
              <w:bottom w:val="single" w:sz="4" w:space="0" w:color="auto"/>
              <w:right w:val="single" w:sz="4" w:space="0" w:color="auto"/>
            </w:tcBorders>
            <w:shd w:val="clear" w:color="auto" w:fill="auto"/>
            <w:noWrap/>
            <w:vAlign w:val="center"/>
          </w:tcPr>
          <w:p w14:paraId="71C17CEB"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12</w:t>
            </w:r>
          </w:p>
        </w:tc>
        <w:tc>
          <w:tcPr>
            <w:tcW w:w="177" w:type="pct"/>
            <w:tcBorders>
              <w:top w:val="nil"/>
              <w:left w:val="nil"/>
              <w:bottom w:val="single" w:sz="4" w:space="0" w:color="auto"/>
              <w:right w:val="single" w:sz="4" w:space="0" w:color="auto"/>
            </w:tcBorders>
            <w:shd w:val="clear" w:color="auto" w:fill="auto"/>
            <w:noWrap/>
            <w:vAlign w:val="center"/>
          </w:tcPr>
          <w:p w14:paraId="26E24693"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w:t>
            </w:r>
          </w:p>
        </w:tc>
        <w:tc>
          <w:tcPr>
            <w:tcW w:w="177" w:type="pct"/>
            <w:tcBorders>
              <w:top w:val="nil"/>
              <w:left w:val="nil"/>
              <w:bottom w:val="single" w:sz="4" w:space="0" w:color="auto"/>
              <w:right w:val="single" w:sz="4" w:space="0" w:color="auto"/>
            </w:tcBorders>
            <w:shd w:val="clear" w:color="auto" w:fill="auto"/>
            <w:noWrap/>
            <w:vAlign w:val="center"/>
          </w:tcPr>
          <w:p w14:paraId="51BA2AFA"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6E0F8DC9" w14:textId="77777777" w:rsidR="00CF336B" w:rsidRPr="003E79A0" w:rsidRDefault="00CF336B" w:rsidP="00CF336B">
            <w:pPr>
              <w:jc w:val="center"/>
              <w:rPr>
                <w:sz w:val="14"/>
                <w:szCs w:val="14"/>
              </w:rPr>
            </w:pPr>
          </w:p>
        </w:tc>
        <w:tc>
          <w:tcPr>
            <w:tcW w:w="221" w:type="pct"/>
            <w:tcBorders>
              <w:top w:val="nil"/>
              <w:left w:val="nil"/>
              <w:bottom w:val="single" w:sz="4" w:space="0" w:color="auto"/>
              <w:right w:val="single" w:sz="4" w:space="0" w:color="auto"/>
            </w:tcBorders>
            <w:shd w:val="clear" w:color="auto" w:fill="auto"/>
            <w:noWrap/>
            <w:vAlign w:val="center"/>
          </w:tcPr>
          <w:p w14:paraId="65BF5778"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75</w:t>
            </w:r>
          </w:p>
        </w:tc>
        <w:tc>
          <w:tcPr>
            <w:tcW w:w="178" w:type="pct"/>
            <w:tcBorders>
              <w:top w:val="nil"/>
              <w:left w:val="nil"/>
              <w:bottom w:val="single" w:sz="4" w:space="0" w:color="auto"/>
              <w:right w:val="single" w:sz="4" w:space="0" w:color="auto"/>
            </w:tcBorders>
            <w:shd w:val="clear" w:color="auto" w:fill="auto"/>
            <w:noWrap/>
            <w:vAlign w:val="center"/>
          </w:tcPr>
          <w:p w14:paraId="788B95BE"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13</w:t>
            </w:r>
          </w:p>
        </w:tc>
        <w:tc>
          <w:tcPr>
            <w:tcW w:w="179" w:type="pct"/>
            <w:tcBorders>
              <w:top w:val="nil"/>
              <w:left w:val="nil"/>
              <w:bottom w:val="single" w:sz="4" w:space="0" w:color="auto"/>
              <w:right w:val="single" w:sz="4" w:space="0" w:color="auto"/>
            </w:tcBorders>
            <w:shd w:val="clear" w:color="auto" w:fill="auto"/>
            <w:noWrap/>
            <w:vAlign w:val="center"/>
          </w:tcPr>
          <w:p w14:paraId="1DFCA398"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001CC495" w14:textId="77777777" w:rsidR="00CF336B" w:rsidRPr="003E79A0" w:rsidRDefault="00CF336B" w:rsidP="00CF336B">
            <w:pPr>
              <w:jc w:val="center"/>
              <w:rPr>
                <w:sz w:val="14"/>
                <w:szCs w:val="14"/>
              </w:rPr>
            </w:pPr>
            <w:r w:rsidRPr="003E79A0">
              <w:rPr>
                <w:rFonts w:asciiTheme="majorHAnsi" w:hAnsiTheme="majorHAnsi" w:cstheme="majorHAnsi"/>
                <w:sz w:val="14"/>
                <w:szCs w:val="14"/>
              </w:rPr>
              <w:t>1.199</w:t>
            </w:r>
          </w:p>
        </w:tc>
        <w:tc>
          <w:tcPr>
            <w:tcW w:w="176" w:type="pct"/>
            <w:tcBorders>
              <w:top w:val="nil"/>
              <w:left w:val="nil"/>
              <w:bottom w:val="single" w:sz="4" w:space="0" w:color="auto"/>
              <w:right w:val="single" w:sz="4" w:space="0" w:color="auto"/>
            </w:tcBorders>
            <w:shd w:val="clear" w:color="auto" w:fill="auto"/>
            <w:noWrap/>
            <w:vAlign w:val="center"/>
          </w:tcPr>
          <w:p w14:paraId="6AAE2ABE" w14:textId="77777777" w:rsidR="00CF336B" w:rsidRPr="003E79A0" w:rsidRDefault="00CF336B" w:rsidP="00CF336B">
            <w:pPr>
              <w:jc w:val="center"/>
              <w:rPr>
                <w:sz w:val="14"/>
                <w:szCs w:val="14"/>
              </w:rPr>
            </w:pPr>
            <w:r w:rsidRPr="003E79A0">
              <w:rPr>
                <w:rFonts w:cstheme="minorHAnsi"/>
                <w:color w:val="000000"/>
                <w:sz w:val="14"/>
                <w:szCs w:val="14"/>
              </w:rPr>
              <w:t>39</w:t>
            </w:r>
          </w:p>
        </w:tc>
        <w:tc>
          <w:tcPr>
            <w:tcW w:w="176" w:type="pct"/>
            <w:tcBorders>
              <w:top w:val="nil"/>
              <w:left w:val="nil"/>
              <w:bottom w:val="single" w:sz="4" w:space="0" w:color="auto"/>
              <w:right w:val="single" w:sz="4" w:space="0" w:color="auto"/>
            </w:tcBorders>
            <w:shd w:val="clear" w:color="auto" w:fill="auto"/>
            <w:noWrap/>
            <w:vAlign w:val="center"/>
          </w:tcPr>
          <w:p w14:paraId="36AAB815" w14:textId="77777777" w:rsidR="00CF336B" w:rsidRPr="003E79A0" w:rsidRDefault="00CF336B" w:rsidP="00CF336B">
            <w:pPr>
              <w:jc w:val="center"/>
              <w:rPr>
                <w:sz w:val="14"/>
                <w:szCs w:val="14"/>
              </w:rPr>
            </w:pPr>
            <w:r w:rsidRPr="003E79A0">
              <w:rPr>
                <w:rFonts w:cstheme="minorHAnsi"/>
                <w:color w:val="000000"/>
                <w:sz w:val="14"/>
                <w:szCs w:val="14"/>
              </w:rPr>
              <w:t>11</w:t>
            </w:r>
          </w:p>
        </w:tc>
        <w:tc>
          <w:tcPr>
            <w:tcW w:w="178" w:type="pct"/>
            <w:tcBorders>
              <w:top w:val="nil"/>
              <w:left w:val="nil"/>
              <w:bottom w:val="single" w:sz="4" w:space="0" w:color="auto"/>
              <w:right w:val="single" w:sz="4" w:space="0" w:color="auto"/>
            </w:tcBorders>
            <w:shd w:val="clear" w:color="auto" w:fill="auto"/>
            <w:noWrap/>
            <w:vAlign w:val="center"/>
          </w:tcPr>
          <w:p w14:paraId="4E64C58F"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0AFBE72E" w14:textId="77777777" w:rsidR="00CF336B" w:rsidRPr="003E79A0" w:rsidRDefault="00CF336B" w:rsidP="00CF336B">
            <w:pPr>
              <w:jc w:val="center"/>
              <w:rPr>
                <w:sz w:val="14"/>
                <w:szCs w:val="14"/>
              </w:rPr>
            </w:pPr>
            <w:r w:rsidRPr="003E79A0">
              <w:rPr>
                <w:sz w:val="14"/>
                <w:szCs w:val="14"/>
              </w:rPr>
              <w:t>406</w:t>
            </w:r>
          </w:p>
        </w:tc>
        <w:tc>
          <w:tcPr>
            <w:tcW w:w="101" w:type="pct"/>
            <w:tcBorders>
              <w:top w:val="nil"/>
              <w:left w:val="nil"/>
              <w:bottom w:val="single" w:sz="4" w:space="0" w:color="auto"/>
              <w:right w:val="single" w:sz="4" w:space="0" w:color="auto"/>
            </w:tcBorders>
            <w:shd w:val="clear" w:color="auto" w:fill="auto"/>
            <w:noWrap/>
            <w:vAlign w:val="center"/>
          </w:tcPr>
          <w:p w14:paraId="7CE07638"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w:t>
            </w:r>
          </w:p>
        </w:tc>
        <w:tc>
          <w:tcPr>
            <w:tcW w:w="122" w:type="pct"/>
            <w:tcBorders>
              <w:top w:val="nil"/>
              <w:left w:val="nil"/>
              <w:bottom w:val="single" w:sz="4" w:space="0" w:color="auto"/>
              <w:right w:val="single" w:sz="4" w:space="0" w:color="auto"/>
            </w:tcBorders>
            <w:shd w:val="clear" w:color="auto" w:fill="auto"/>
            <w:noWrap/>
            <w:vAlign w:val="center"/>
          </w:tcPr>
          <w:p w14:paraId="4A24507C"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6E306E8D"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530DF854"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59FC97F0"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w:t>
            </w:r>
          </w:p>
        </w:tc>
        <w:tc>
          <w:tcPr>
            <w:tcW w:w="94" w:type="pct"/>
            <w:tcBorders>
              <w:top w:val="nil"/>
              <w:left w:val="nil"/>
              <w:bottom w:val="single" w:sz="4" w:space="0" w:color="auto"/>
              <w:right w:val="single" w:sz="4" w:space="0" w:color="auto"/>
            </w:tcBorders>
            <w:shd w:val="clear" w:color="auto" w:fill="auto"/>
            <w:noWrap/>
            <w:vAlign w:val="center"/>
          </w:tcPr>
          <w:p w14:paraId="4A5DC1D5"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09E1D496"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37A5278E"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55EB3ABE" w14:textId="77777777" w:rsidR="00CF336B" w:rsidRPr="003E79A0" w:rsidRDefault="00CF336B" w:rsidP="00CF336B">
            <w:pPr>
              <w:jc w:val="center"/>
              <w:rPr>
                <w:b/>
                <w:bCs/>
                <w:sz w:val="14"/>
                <w:szCs w:val="14"/>
              </w:rPr>
            </w:pPr>
            <w:r w:rsidRPr="003E79A0">
              <w:rPr>
                <w:rFonts w:cstheme="minorHAnsi"/>
                <w:bCs/>
                <w:color w:val="000000"/>
                <w:sz w:val="14"/>
                <w:szCs w:val="14"/>
              </w:rPr>
              <w:t>129</w:t>
            </w:r>
          </w:p>
        </w:tc>
        <w:tc>
          <w:tcPr>
            <w:tcW w:w="177" w:type="pct"/>
            <w:tcBorders>
              <w:top w:val="nil"/>
              <w:left w:val="nil"/>
              <w:bottom w:val="single" w:sz="4" w:space="0" w:color="auto"/>
              <w:right w:val="single" w:sz="4" w:space="0" w:color="auto"/>
            </w:tcBorders>
            <w:shd w:val="clear" w:color="auto" w:fill="auto"/>
            <w:noWrap/>
            <w:vAlign w:val="center"/>
          </w:tcPr>
          <w:p w14:paraId="3C3961CA"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25</w:t>
            </w:r>
          </w:p>
        </w:tc>
        <w:tc>
          <w:tcPr>
            <w:tcW w:w="186" w:type="pct"/>
            <w:tcBorders>
              <w:top w:val="nil"/>
              <w:left w:val="nil"/>
              <w:bottom w:val="single" w:sz="4" w:space="0" w:color="auto"/>
              <w:right w:val="single" w:sz="4" w:space="0" w:color="auto"/>
            </w:tcBorders>
            <w:shd w:val="clear" w:color="auto" w:fill="auto"/>
          </w:tcPr>
          <w:p w14:paraId="00696943"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66F7F1E0" w14:textId="77777777" w:rsidR="00CF336B" w:rsidRPr="003E79A0" w:rsidRDefault="00CF336B" w:rsidP="00CF336B">
            <w:pPr>
              <w:jc w:val="center"/>
              <w:rPr>
                <w:b/>
                <w:sz w:val="14"/>
                <w:szCs w:val="14"/>
              </w:rPr>
            </w:pPr>
            <w:r w:rsidRPr="003E79A0">
              <w:rPr>
                <w:rFonts w:cstheme="minorHAnsi"/>
                <w:b/>
                <w:bCs/>
                <w:color w:val="000000"/>
                <w:sz w:val="14"/>
                <w:szCs w:val="14"/>
              </w:rPr>
              <w:t>1.605</w:t>
            </w:r>
          </w:p>
        </w:tc>
      </w:tr>
      <w:tr w:rsidR="00BF508A" w:rsidRPr="001B4CA2" w14:paraId="22C70EB1"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15222262" w14:textId="77777777" w:rsidR="00CF336B" w:rsidRPr="001B4CA2" w:rsidRDefault="00CF336B" w:rsidP="00CF336B">
            <w:pPr>
              <w:ind w:left="34"/>
              <w:jc w:val="left"/>
              <w:rPr>
                <w:bCs/>
                <w:sz w:val="16"/>
                <w:szCs w:val="16"/>
              </w:rPr>
            </w:pPr>
            <w:r w:rsidRPr="001B4CA2">
              <w:rPr>
                <w:bCs/>
                <w:sz w:val="16"/>
                <w:szCs w:val="16"/>
              </w:rPr>
              <w:t xml:space="preserve">Ministarstvo vanjskih i europskih poslova </w:t>
            </w:r>
          </w:p>
        </w:tc>
        <w:tc>
          <w:tcPr>
            <w:tcW w:w="177" w:type="pct"/>
            <w:tcBorders>
              <w:top w:val="nil"/>
              <w:left w:val="nil"/>
              <w:bottom w:val="single" w:sz="4" w:space="0" w:color="auto"/>
              <w:right w:val="single" w:sz="4" w:space="0" w:color="auto"/>
            </w:tcBorders>
            <w:shd w:val="clear" w:color="auto" w:fill="auto"/>
            <w:noWrap/>
            <w:vAlign w:val="center"/>
          </w:tcPr>
          <w:p w14:paraId="598DD19B"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30AF1681"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47FF1B9E"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20D3648D" w14:textId="77777777" w:rsidR="00CF336B" w:rsidRPr="003E79A0" w:rsidRDefault="00CF336B" w:rsidP="00CF336B">
            <w:pPr>
              <w:jc w:val="center"/>
              <w:rPr>
                <w:sz w:val="14"/>
                <w:szCs w:val="14"/>
              </w:rPr>
            </w:pPr>
          </w:p>
        </w:tc>
        <w:tc>
          <w:tcPr>
            <w:tcW w:w="221" w:type="pct"/>
            <w:tcBorders>
              <w:top w:val="nil"/>
              <w:left w:val="nil"/>
              <w:bottom w:val="single" w:sz="4" w:space="0" w:color="auto"/>
              <w:right w:val="single" w:sz="4" w:space="0" w:color="auto"/>
            </w:tcBorders>
            <w:shd w:val="clear" w:color="auto" w:fill="auto"/>
            <w:noWrap/>
            <w:vAlign w:val="center"/>
          </w:tcPr>
          <w:p w14:paraId="68C53B21" w14:textId="77777777" w:rsidR="00CF336B" w:rsidRPr="003E79A0" w:rsidRDefault="00CF336B" w:rsidP="00CF336B">
            <w:pPr>
              <w:jc w:val="center"/>
              <w:rPr>
                <w:sz w:val="14"/>
                <w:szCs w:val="14"/>
              </w:rPr>
            </w:pPr>
          </w:p>
        </w:tc>
        <w:tc>
          <w:tcPr>
            <w:tcW w:w="178" w:type="pct"/>
            <w:tcBorders>
              <w:top w:val="nil"/>
              <w:left w:val="nil"/>
              <w:bottom w:val="single" w:sz="4" w:space="0" w:color="auto"/>
              <w:right w:val="single" w:sz="4" w:space="0" w:color="auto"/>
            </w:tcBorders>
            <w:shd w:val="clear" w:color="auto" w:fill="auto"/>
            <w:noWrap/>
            <w:vAlign w:val="center"/>
          </w:tcPr>
          <w:p w14:paraId="717A4CE2" w14:textId="77777777" w:rsidR="00CF336B" w:rsidRPr="003E79A0"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7BE46984"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04B0F10E" w14:textId="77777777" w:rsidR="00CF336B" w:rsidRPr="003E79A0"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131C628E" w14:textId="77777777" w:rsidR="00CF336B" w:rsidRPr="003E79A0"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42FDAB77" w14:textId="77777777" w:rsidR="00CF336B" w:rsidRPr="003E79A0" w:rsidRDefault="00CF336B" w:rsidP="00CF336B">
            <w:pPr>
              <w:jc w:val="center"/>
              <w:rPr>
                <w:sz w:val="14"/>
                <w:szCs w:val="14"/>
              </w:rPr>
            </w:pPr>
          </w:p>
        </w:tc>
        <w:tc>
          <w:tcPr>
            <w:tcW w:w="178" w:type="pct"/>
            <w:tcBorders>
              <w:top w:val="nil"/>
              <w:left w:val="nil"/>
              <w:bottom w:val="single" w:sz="4" w:space="0" w:color="auto"/>
              <w:right w:val="single" w:sz="4" w:space="0" w:color="auto"/>
            </w:tcBorders>
            <w:shd w:val="clear" w:color="auto" w:fill="auto"/>
            <w:noWrap/>
            <w:vAlign w:val="center"/>
          </w:tcPr>
          <w:p w14:paraId="18A7D1D2"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792913BE" w14:textId="77777777" w:rsidR="00CF336B" w:rsidRPr="003E79A0" w:rsidRDefault="00CF336B" w:rsidP="00CF336B">
            <w:pPr>
              <w:jc w:val="center"/>
              <w:rPr>
                <w:sz w:val="14"/>
                <w:szCs w:val="14"/>
              </w:rPr>
            </w:pPr>
          </w:p>
        </w:tc>
        <w:tc>
          <w:tcPr>
            <w:tcW w:w="101" w:type="pct"/>
            <w:tcBorders>
              <w:top w:val="nil"/>
              <w:left w:val="nil"/>
              <w:bottom w:val="single" w:sz="4" w:space="0" w:color="auto"/>
              <w:right w:val="single" w:sz="4" w:space="0" w:color="auto"/>
            </w:tcBorders>
            <w:shd w:val="clear" w:color="auto" w:fill="auto"/>
            <w:noWrap/>
            <w:vAlign w:val="center"/>
          </w:tcPr>
          <w:p w14:paraId="37E7518A"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402FFC2A"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0BE9B9B8"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20866EE2"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60589FED" w14:textId="77777777" w:rsidR="00CF336B" w:rsidRPr="003E79A0" w:rsidRDefault="00CF336B" w:rsidP="00CF336B">
            <w:pPr>
              <w:jc w:val="center"/>
              <w:rPr>
                <w:sz w:val="14"/>
                <w:szCs w:val="14"/>
              </w:rPr>
            </w:pPr>
          </w:p>
        </w:tc>
        <w:tc>
          <w:tcPr>
            <w:tcW w:w="94" w:type="pct"/>
            <w:tcBorders>
              <w:top w:val="nil"/>
              <w:left w:val="nil"/>
              <w:bottom w:val="single" w:sz="4" w:space="0" w:color="auto"/>
              <w:right w:val="single" w:sz="4" w:space="0" w:color="auto"/>
            </w:tcBorders>
            <w:shd w:val="clear" w:color="auto" w:fill="auto"/>
            <w:noWrap/>
            <w:vAlign w:val="center"/>
          </w:tcPr>
          <w:p w14:paraId="42FC4068"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623FB28A"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40B15364"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6DD8F572" w14:textId="77777777" w:rsidR="00CF336B" w:rsidRPr="003E79A0" w:rsidRDefault="00CF336B" w:rsidP="00CF336B">
            <w:pPr>
              <w:jc w:val="center"/>
              <w:rPr>
                <w:b/>
                <w:bCs/>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374D199D" w14:textId="77777777" w:rsidR="00CF336B" w:rsidRPr="003E79A0" w:rsidRDefault="00CF336B" w:rsidP="00CF336B">
            <w:pPr>
              <w:jc w:val="center"/>
              <w:rPr>
                <w:b/>
                <w:bCs/>
                <w:sz w:val="14"/>
                <w:szCs w:val="14"/>
              </w:rPr>
            </w:pPr>
          </w:p>
        </w:tc>
        <w:tc>
          <w:tcPr>
            <w:tcW w:w="186" w:type="pct"/>
            <w:tcBorders>
              <w:top w:val="nil"/>
              <w:left w:val="nil"/>
              <w:bottom w:val="single" w:sz="4" w:space="0" w:color="auto"/>
              <w:right w:val="single" w:sz="4" w:space="0" w:color="auto"/>
            </w:tcBorders>
            <w:shd w:val="clear" w:color="auto" w:fill="auto"/>
          </w:tcPr>
          <w:p w14:paraId="23DC77F9"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5BF3606D" w14:textId="77777777" w:rsidR="00CF336B" w:rsidRPr="003E79A0" w:rsidRDefault="00CF336B" w:rsidP="00CF336B">
            <w:pPr>
              <w:jc w:val="center"/>
              <w:rPr>
                <w:b/>
                <w:sz w:val="14"/>
                <w:szCs w:val="14"/>
              </w:rPr>
            </w:pPr>
          </w:p>
        </w:tc>
      </w:tr>
      <w:tr w:rsidR="00BF508A" w:rsidRPr="001B4CA2" w14:paraId="60AADCBF"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498B4EA7" w14:textId="77777777" w:rsidR="00CF336B" w:rsidRPr="001B4CA2" w:rsidRDefault="00CF336B" w:rsidP="00CF336B">
            <w:pPr>
              <w:ind w:left="34"/>
              <w:jc w:val="left"/>
              <w:rPr>
                <w:bCs/>
                <w:sz w:val="16"/>
                <w:szCs w:val="16"/>
              </w:rPr>
            </w:pPr>
            <w:r w:rsidRPr="001B4CA2">
              <w:rPr>
                <w:bCs/>
                <w:sz w:val="16"/>
                <w:szCs w:val="16"/>
              </w:rPr>
              <w:t>Ministarstvo mora, prometa i infrastrukture</w:t>
            </w:r>
          </w:p>
        </w:tc>
        <w:tc>
          <w:tcPr>
            <w:tcW w:w="177" w:type="pct"/>
            <w:tcBorders>
              <w:top w:val="nil"/>
              <w:left w:val="nil"/>
              <w:bottom w:val="single" w:sz="4" w:space="0" w:color="auto"/>
              <w:right w:val="single" w:sz="4" w:space="0" w:color="auto"/>
            </w:tcBorders>
            <w:shd w:val="clear" w:color="auto" w:fill="auto"/>
            <w:noWrap/>
            <w:vAlign w:val="center"/>
          </w:tcPr>
          <w:p w14:paraId="005538E9"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87</w:t>
            </w:r>
          </w:p>
        </w:tc>
        <w:tc>
          <w:tcPr>
            <w:tcW w:w="177" w:type="pct"/>
            <w:tcBorders>
              <w:top w:val="nil"/>
              <w:left w:val="nil"/>
              <w:bottom w:val="single" w:sz="4" w:space="0" w:color="auto"/>
              <w:right w:val="single" w:sz="4" w:space="0" w:color="auto"/>
            </w:tcBorders>
            <w:shd w:val="clear" w:color="auto" w:fill="auto"/>
            <w:noWrap/>
            <w:vAlign w:val="center"/>
          </w:tcPr>
          <w:p w14:paraId="6074E6C2"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23</w:t>
            </w:r>
          </w:p>
        </w:tc>
        <w:tc>
          <w:tcPr>
            <w:tcW w:w="177" w:type="pct"/>
            <w:tcBorders>
              <w:top w:val="nil"/>
              <w:left w:val="nil"/>
              <w:bottom w:val="single" w:sz="4" w:space="0" w:color="auto"/>
              <w:right w:val="single" w:sz="4" w:space="0" w:color="auto"/>
            </w:tcBorders>
            <w:shd w:val="clear" w:color="auto" w:fill="auto"/>
            <w:noWrap/>
            <w:vAlign w:val="center"/>
          </w:tcPr>
          <w:p w14:paraId="7FC58F71"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591CF103"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1.312</w:t>
            </w:r>
          </w:p>
        </w:tc>
        <w:tc>
          <w:tcPr>
            <w:tcW w:w="221" w:type="pct"/>
            <w:tcBorders>
              <w:top w:val="nil"/>
              <w:left w:val="nil"/>
              <w:bottom w:val="single" w:sz="4" w:space="0" w:color="auto"/>
              <w:right w:val="single" w:sz="4" w:space="0" w:color="auto"/>
            </w:tcBorders>
            <w:shd w:val="clear" w:color="auto" w:fill="auto"/>
            <w:noWrap/>
            <w:vAlign w:val="center"/>
          </w:tcPr>
          <w:p w14:paraId="4656EFCF"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5</w:t>
            </w:r>
          </w:p>
        </w:tc>
        <w:tc>
          <w:tcPr>
            <w:tcW w:w="178" w:type="pct"/>
            <w:tcBorders>
              <w:top w:val="nil"/>
              <w:left w:val="nil"/>
              <w:bottom w:val="single" w:sz="4" w:space="0" w:color="auto"/>
              <w:right w:val="single" w:sz="4" w:space="0" w:color="auto"/>
            </w:tcBorders>
            <w:shd w:val="clear" w:color="auto" w:fill="auto"/>
            <w:noWrap/>
            <w:vAlign w:val="center"/>
          </w:tcPr>
          <w:p w14:paraId="103AAB5F"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3</w:t>
            </w:r>
          </w:p>
        </w:tc>
        <w:tc>
          <w:tcPr>
            <w:tcW w:w="179" w:type="pct"/>
            <w:tcBorders>
              <w:top w:val="nil"/>
              <w:left w:val="nil"/>
              <w:bottom w:val="single" w:sz="4" w:space="0" w:color="auto"/>
              <w:right w:val="single" w:sz="4" w:space="0" w:color="auto"/>
            </w:tcBorders>
            <w:shd w:val="clear" w:color="auto" w:fill="auto"/>
            <w:noWrap/>
            <w:vAlign w:val="center"/>
          </w:tcPr>
          <w:p w14:paraId="35CD26D1"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1A56E876" w14:textId="77777777" w:rsidR="00CF336B" w:rsidRPr="003E79A0" w:rsidRDefault="00CF336B" w:rsidP="00CF336B">
            <w:pPr>
              <w:jc w:val="center"/>
              <w:rPr>
                <w:sz w:val="14"/>
                <w:szCs w:val="14"/>
              </w:rPr>
            </w:pPr>
            <w:r w:rsidRPr="003E79A0">
              <w:rPr>
                <w:rFonts w:asciiTheme="majorHAnsi" w:hAnsiTheme="majorHAnsi" w:cstheme="majorHAnsi"/>
                <w:sz w:val="14"/>
                <w:szCs w:val="14"/>
              </w:rPr>
              <w:t>1.022</w:t>
            </w:r>
          </w:p>
        </w:tc>
        <w:tc>
          <w:tcPr>
            <w:tcW w:w="176" w:type="pct"/>
            <w:tcBorders>
              <w:top w:val="nil"/>
              <w:left w:val="nil"/>
              <w:bottom w:val="single" w:sz="4" w:space="0" w:color="auto"/>
              <w:right w:val="single" w:sz="4" w:space="0" w:color="auto"/>
            </w:tcBorders>
            <w:shd w:val="clear" w:color="auto" w:fill="auto"/>
            <w:noWrap/>
            <w:vAlign w:val="center"/>
          </w:tcPr>
          <w:p w14:paraId="1320A3C1" w14:textId="77777777" w:rsidR="00CF336B" w:rsidRPr="003E79A0"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6636CF05" w14:textId="77777777" w:rsidR="00CF336B" w:rsidRPr="003E79A0" w:rsidRDefault="00CF336B" w:rsidP="00CF336B">
            <w:pPr>
              <w:jc w:val="center"/>
              <w:rPr>
                <w:sz w:val="14"/>
                <w:szCs w:val="14"/>
              </w:rPr>
            </w:pPr>
          </w:p>
        </w:tc>
        <w:tc>
          <w:tcPr>
            <w:tcW w:w="178" w:type="pct"/>
            <w:tcBorders>
              <w:top w:val="nil"/>
              <w:left w:val="nil"/>
              <w:bottom w:val="single" w:sz="4" w:space="0" w:color="auto"/>
              <w:right w:val="single" w:sz="4" w:space="0" w:color="auto"/>
            </w:tcBorders>
            <w:shd w:val="clear" w:color="auto" w:fill="auto"/>
            <w:noWrap/>
            <w:vAlign w:val="center"/>
          </w:tcPr>
          <w:p w14:paraId="5FB0DD96"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1F31BD7A" w14:textId="77777777" w:rsidR="00CF336B" w:rsidRPr="003E79A0" w:rsidRDefault="00CF336B" w:rsidP="00CF336B">
            <w:pPr>
              <w:jc w:val="center"/>
              <w:rPr>
                <w:sz w:val="14"/>
                <w:szCs w:val="14"/>
              </w:rPr>
            </w:pPr>
          </w:p>
        </w:tc>
        <w:tc>
          <w:tcPr>
            <w:tcW w:w="101" w:type="pct"/>
            <w:tcBorders>
              <w:top w:val="nil"/>
              <w:left w:val="nil"/>
              <w:bottom w:val="single" w:sz="4" w:space="0" w:color="auto"/>
              <w:right w:val="single" w:sz="4" w:space="0" w:color="auto"/>
            </w:tcBorders>
            <w:shd w:val="clear" w:color="auto" w:fill="auto"/>
            <w:noWrap/>
            <w:vAlign w:val="center"/>
          </w:tcPr>
          <w:p w14:paraId="523EC012"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4C5B48B5"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65011D3F"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76CBDD63"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05F92790" w14:textId="77777777" w:rsidR="00CF336B" w:rsidRPr="003E79A0" w:rsidRDefault="00CF336B" w:rsidP="00CF336B">
            <w:pPr>
              <w:jc w:val="center"/>
              <w:rPr>
                <w:sz w:val="14"/>
                <w:szCs w:val="14"/>
              </w:rPr>
            </w:pPr>
          </w:p>
        </w:tc>
        <w:tc>
          <w:tcPr>
            <w:tcW w:w="94" w:type="pct"/>
            <w:tcBorders>
              <w:top w:val="nil"/>
              <w:left w:val="nil"/>
              <w:bottom w:val="single" w:sz="4" w:space="0" w:color="auto"/>
              <w:right w:val="single" w:sz="4" w:space="0" w:color="auto"/>
            </w:tcBorders>
            <w:shd w:val="clear" w:color="auto" w:fill="auto"/>
            <w:noWrap/>
            <w:vAlign w:val="center"/>
          </w:tcPr>
          <w:p w14:paraId="426F77E2"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4956F843"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287EF00B"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28CB9756" w14:textId="77777777" w:rsidR="00CF336B" w:rsidRPr="003E79A0" w:rsidRDefault="00CF336B" w:rsidP="00CF336B">
            <w:pPr>
              <w:jc w:val="center"/>
              <w:rPr>
                <w:b/>
                <w:bCs/>
                <w:sz w:val="14"/>
                <w:szCs w:val="14"/>
              </w:rPr>
            </w:pPr>
            <w:r w:rsidRPr="003E79A0">
              <w:rPr>
                <w:rFonts w:cstheme="minorHAnsi"/>
                <w:bCs/>
                <w:color w:val="000000"/>
                <w:sz w:val="14"/>
                <w:szCs w:val="14"/>
              </w:rPr>
              <w:t>92</w:t>
            </w:r>
          </w:p>
        </w:tc>
        <w:tc>
          <w:tcPr>
            <w:tcW w:w="177" w:type="pct"/>
            <w:tcBorders>
              <w:top w:val="nil"/>
              <w:left w:val="nil"/>
              <w:bottom w:val="single" w:sz="4" w:space="0" w:color="auto"/>
              <w:right w:val="single" w:sz="4" w:space="0" w:color="auto"/>
            </w:tcBorders>
            <w:shd w:val="clear" w:color="auto" w:fill="auto"/>
            <w:noWrap/>
            <w:vAlign w:val="center"/>
          </w:tcPr>
          <w:p w14:paraId="257980B5"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26</w:t>
            </w:r>
          </w:p>
        </w:tc>
        <w:tc>
          <w:tcPr>
            <w:tcW w:w="186" w:type="pct"/>
            <w:tcBorders>
              <w:top w:val="nil"/>
              <w:left w:val="nil"/>
              <w:bottom w:val="single" w:sz="4" w:space="0" w:color="auto"/>
              <w:right w:val="single" w:sz="4" w:space="0" w:color="auto"/>
            </w:tcBorders>
            <w:shd w:val="clear" w:color="auto" w:fill="auto"/>
          </w:tcPr>
          <w:p w14:paraId="414B57A7"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026E687B" w14:textId="77777777" w:rsidR="00CF336B" w:rsidRPr="003E79A0" w:rsidRDefault="00CF336B" w:rsidP="00CF336B">
            <w:pPr>
              <w:jc w:val="center"/>
              <w:rPr>
                <w:b/>
                <w:sz w:val="14"/>
                <w:szCs w:val="14"/>
              </w:rPr>
            </w:pPr>
            <w:r w:rsidRPr="003E79A0">
              <w:rPr>
                <w:rFonts w:cstheme="minorHAnsi"/>
                <w:b/>
                <w:bCs/>
                <w:color w:val="000000"/>
                <w:sz w:val="14"/>
                <w:szCs w:val="14"/>
              </w:rPr>
              <w:t>2.343</w:t>
            </w:r>
          </w:p>
        </w:tc>
      </w:tr>
      <w:tr w:rsidR="00BF508A" w:rsidRPr="001B4CA2" w14:paraId="305FDCD0"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15E36FB9" w14:textId="77777777" w:rsidR="00CF336B" w:rsidRPr="001B4CA2" w:rsidRDefault="00CF336B" w:rsidP="00CF336B">
            <w:pPr>
              <w:ind w:left="34"/>
              <w:jc w:val="left"/>
              <w:rPr>
                <w:bCs/>
                <w:sz w:val="16"/>
                <w:szCs w:val="16"/>
              </w:rPr>
            </w:pPr>
            <w:r w:rsidRPr="001B4CA2">
              <w:rPr>
                <w:bCs/>
                <w:sz w:val="16"/>
                <w:szCs w:val="16"/>
              </w:rPr>
              <w:t>Ministarstvo poljoprivrede</w:t>
            </w:r>
          </w:p>
        </w:tc>
        <w:tc>
          <w:tcPr>
            <w:tcW w:w="177" w:type="pct"/>
            <w:tcBorders>
              <w:top w:val="nil"/>
              <w:left w:val="nil"/>
              <w:bottom w:val="single" w:sz="4" w:space="0" w:color="auto"/>
              <w:right w:val="single" w:sz="4" w:space="0" w:color="auto"/>
            </w:tcBorders>
            <w:shd w:val="clear" w:color="auto" w:fill="auto"/>
            <w:noWrap/>
            <w:vAlign w:val="center"/>
          </w:tcPr>
          <w:p w14:paraId="5141B8A4"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328</w:t>
            </w:r>
          </w:p>
        </w:tc>
        <w:tc>
          <w:tcPr>
            <w:tcW w:w="177" w:type="pct"/>
            <w:tcBorders>
              <w:top w:val="nil"/>
              <w:left w:val="nil"/>
              <w:bottom w:val="single" w:sz="4" w:space="0" w:color="auto"/>
              <w:right w:val="single" w:sz="4" w:space="0" w:color="auto"/>
            </w:tcBorders>
            <w:shd w:val="clear" w:color="auto" w:fill="auto"/>
            <w:noWrap/>
            <w:vAlign w:val="center"/>
          </w:tcPr>
          <w:p w14:paraId="61553A67"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208</w:t>
            </w:r>
          </w:p>
        </w:tc>
        <w:tc>
          <w:tcPr>
            <w:tcW w:w="177" w:type="pct"/>
            <w:tcBorders>
              <w:top w:val="nil"/>
              <w:left w:val="nil"/>
              <w:bottom w:val="single" w:sz="4" w:space="0" w:color="auto"/>
              <w:right w:val="single" w:sz="4" w:space="0" w:color="auto"/>
            </w:tcBorders>
            <w:shd w:val="clear" w:color="auto" w:fill="auto"/>
            <w:noWrap/>
            <w:vAlign w:val="center"/>
          </w:tcPr>
          <w:p w14:paraId="1DAE5E8E"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456E3EF5"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3.119</w:t>
            </w:r>
          </w:p>
        </w:tc>
        <w:tc>
          <w:tcPr>
            <w:tcW w:w="221" w:type="pct"/>
            <w:tcBorders>
              <w:top w:val="nil"/>
              <w:left w:val="nil"/>
              <w:bottom w:val="single" w:sz="4" w:space="0" w:color="auto"/>
              <w:right w:val="single" w:sz="4" w:space="0" w:color="auto"/>
            </w:tcBorders>
            <w:shd w:val="clear" w:color="auto" w:fill="auto"/>
            <w:noWrap/>
            <w:vAlign w:val="center"/>
          </w:tcPr>
          <w:p w14:paraId="317220E2"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297</w:t>
            </w:r>
          </w:p>
        </w:tc>
        <w:tc>
          <w:tcPr>
            <w:tcW w:w="178" w:type="pct"/>
            <w:tcBorders>
              <w:top w:val="nil"/>
              <w:left w:val="nil"/>
              <w:bottom w:val="single" w:sz="4" w:space="0" w:color="auto"/>
              <w:right w:val="single" w:sz="4" w:space="0" w:color="auto"/>
            </w:tcBorders>
            <w:shd w:val="clear" w:color="auto" w:fill="auto"/>
            <w:noWrap/>
            <w:vAlign w:val="center"/>
          </w:tcPr>
          <w:p w14:paraId="02645CD1"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142</w:t>
            </w:r>
          </w:p>
        </w:tc>
        <w:tc>
          <w:tcPr>
            <w:tcW w:w="179" w:type="pct"/>
            <w:tcBorders>
              <w:top w:val="nil"/>
              <w:left w:val="nil"/>
              <w:bottom w:val="single" w:sz="4" w:space="0" w:color="auto"/>
              <w:right w:val="single" w:sz="4" w:space="0" w:color="auto"/>
            </w:tcBorders>
            <w:shd w:val="clear" w:color="auto" w:fill="auto"/>
            <w:noWrap/>
            <w:vAlign w:val="center"/>
          </w:tcPr>
          <w:p w14:paraId="5F4961D1"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1D3A68FF" w14:textId="77777777" w:rsidR="00CF336B" w:rsidRPr="003E79A0" w:rsidRDefault="00CF336B" w:rsidP="00CF336B">
            <w:pPr>
              <w:jc w:val="center"/>
              <w:rPr>
                <w:sz w:val="14"/>
                <w:szCs w:val="14"/>
              </w:rPr>
            </w:pPr>
            <w:r w:rsidRPr="003E79A0">
              <w:rPr>
                <w:rFonts w:asciiTheme="majorHAnsi" w:hAnsiTheme="majorHAnsi" w:cstheme="majorHAnsi"/>
                <w:sz w:val="14"/>
                <w:szCs w:val="14"/>
              </w:rPr>
              <w:t>2.947</w:t>
            </w:r>
          </w:p>
        </w:tc>
        <w:tc>
          <w:tcPr>
            <w:tcW w:w="176" w:type="pct"/>
            <w:tcBorders>
              <w:top w:val="nil"/>
              <w:left w:val="nil"/>
              <w:bottom w:val="single" w:sz="4" w:space="0" w:color="auto"/>
              <w:right w:val="single" w:sz="4" w:space="0" w:color="auto"/>
            </w:tcBorders>
            <w:shd w:val="clear" w:color="auto" w:fill="auto"/>
            <w:noWrap/>
            <w:vAlign w:val="center"/>
          </w:tcPr>
          <w:p w14:paraId="64DAAF7D" w14:textId="77777777" w:rsidR="00CF336B" w:rsidRPr="003E79A0" w:rsidRDefault="00CF336B" w:rsidP="00CF336B">
            <w:pPr>
              <w:jc w:val="center"/>
              <w:rPr>
                <w:sz w:val="14"/>
                <w:szCs w:val="14"/>
              </w:rPr>
            </w:pPr>
            <w:r w:rsidRPr="003E79A0">
              <w:rPr>
                <w:rFonts w:cstheme="minorHAnsi"/>
                <w:color w:val="000000"/>
                <w:sz w:val="14"/>
                <w:szCs w:val="14"/>
              </w:rPr>
              <w:t>6</w:t>
            </w:r>
          </w:p>
        </w:tc>
        <w:tc>
          <w:tcPr>
            <w:tcW w:w="176" w:type="pct"/>
            <w:tcBorders>
              <w:top w:val="nil"/>
              <w:left w:val="nil"/>
              <w:bottom w:val="single" w:sz="4" w:space="0" w:color="auto"/>
              <w:right w:val="single" w:sz="4" w:space="0" w:color="auto"/>
            </w:tcBorders>
            <w:shd w:val="clear" w:color="auto" w:fill="auto"/>
            <w:noWrap/>
            <w:vAlign w:val="center"/>
          </w:tcPr>
          <w:p w14:paraId="348B38BC" w14:textId="77777777" w:rsidR="00CF336B" w:rsidRPr="003E79A0" w:rsidRDefault="00CF336B" w:rsidP="00CF336B">
            <w:pPr>
              <w:jc w:val="center"/>
              <w:rPr>
                <w:sz w:val="14"/>
                <w:szCs w:val="14"/>
              </w:rPr>
            </w:pPr>
            <w:r w:rsidRPr="003E79A0">
              <w:rPr>
                <w:rFonts w:cstheme="minorHAnsi"/>
                <w:color w:val="000000"/>
                <w:sz w:val="14"/>
                <w:szCs w:val="14"/>
              </w:rPr>
              <w:t>6</w:t>
            </w:r>
          </w:p>
        </w:tc>
        <w:tc>
          <w:tcPr>
            <w:tcW w:w="178" w:type="pct"/>
            <w:tcBorders>
              <w:top w:val="nil"/>
              <w:left w:val="nil"/>
              <w:bottom w:val="single" w:sz="4" w:space="0" w:color="auto"/>
              <w:right w:val="single" w:sz="4" w:space="0" w:color="auto"/>
            </w:tcBorders>
            <w:shd w:val="clear" w:color="auto" w:fill="auto"/>
            <w:noWrap/>
            <w:vAlign w:val="center"/>
          </w:tcPr>
          <w:p w14:paraId="5C0C5478"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60116711" w14:textId="77777777" w:rsidR="00CF336B" w:rsidRPr="003E79A0" w:rsidRDefault="00CF336B" w:rsidP="00CF336B">
            <w:pPr>
              <w:jc w:val="center"/>
              <w:rPr>
                <w:sz w:val="14"/>
                <w:szCs w:val="14"/>
              </w:rPr>
            </w:pPr>
            <w:r w:rsidRPr="003E79A0">
              <w:rPr>
                <w:sz w:val="14"/>
                <w:szCs w:val="14"/>
              </w:rPr>
              <w:t>286</w:t>
            </w:r>
          </w:p>
        </w:tc>
        <w:tc>
          <w:tcPr>
            <w:tcW w:w="101" w:type="pct"/>
            <w:tcBorders>
              <w:top w:val="nil"/>
              <w:left w:val="nil"/>
              <w:bottom w:val="single" w:sz="4" w:space="0" w:color="auto"/>
              <w:right w:val="single" w:sz="4" w:space="0" w:color="auto"/>
            </w:tcBorders>
            <w:shd w:val="clear" w:color="auto" w:fill="auto"/>
            <w:noWrap/>
            <w:vAlign w:val="center"/>
          </w:tcPr>
          <w:p w14:paraId="16ABF176"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5D5B0020"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0720B7AD"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0D33187B"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7C3ED5BC"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w:t>
            </w:r>
          </w:p>
        </w:tc>
        <w:tc>
          <w:tcPr>
            <w:tcW w:w="94" w:type="pct"/>
            <w:tcBorders>
              <w:top w:val="nil"/>
              <w:left w:val="nil"/>
              <w:bottom w:val="single" w:sz="4" w:space="0" w:color="auto"/>
              <w:right w:val="single" w:sz="4" w:space="0" w:color="auto"/>
            </w:tcBorders>
            <w:shd w:val="clear" w:color="auto" w:fill="auto"/>
            <w:noWrap/>
            <w:vAlign w:val="center"/>
          </w:tcPr>
          <w:p w14:paraId="119A9033"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w:t>
            </w:r>
          </w:p>
        </w:tc>
        <w:tc>
          <w:tcPr>
            <w:tcW w:w="235" w:type="pct"/>
            <w:tcBorders>
              <w:top w:val="nil"/>
              <w:left w:val="nil"/>
              <w:bottom w:val="single" w:sz="4" w:space="0" w:color="auto"/>
              <w:right w:val="single" w:sz="4" w:space="0" w:color="auto"/>
            </w:tcBorders>
            <w:shd w:val="clear" w:color="auto" w:fill="auto"/>
            <w:noWrap/>
            <w:vAlign w:val="center"/>
          </w:tcPr>
          <w:p w14:paraId="719AB497"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570EEA4F"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5</w:t>
            </w:r>
          </w:p>
        </w:tc>
        <w:tc>
          <w:tcPr>
            <w:tcW w:w="177" w:type="pct"/>
            <w:tcBorders>
              <w:top w:val="nil"/>
              <w:left w:val="nil"/>
              <w:bottom w:val="single" w:sz="4" w:space="0" w:color="auto"/>
              <w:right w:val="single" w:sz="4" w:space="0" w:color="auto"/>
            </w:tcBorders>
            <w:shd w:val="clear" w:color="auto" w:fill="auto"/>
            <w:noWrap/>
            <w:vAlign w:val="center"/>
          </w:tcPr>
          <w:p w14:paraId="723FB070" w14:textId="77777777" w:rsidR="00CF336B" w:rsidRPr="003E79A0" w:rsidRDefault="00CF336B" w:rsidP="00CF336B">
            <w:pPr>
              <w:jc w:val="center"/>
              <w:rPr>
                <w:b/>
                <w:bCs/>
                <w:sz w:val="14"/>
                <w:szCs w:val="14"/>
              </w:rPr>
            </w:pPr>
            <w:r w:rsidRPr="003E79A0">
              <w:rPr>
                <w:rFonts w:cstheme="minorHAnsi"/>
                <w:bCs/>
                <w:color w:val="000000"/>
                <w:sz w:val="14"/>
                <w:szCs w:val="14"/>
              </w:rPr>
              <w:t>633</w:t>
            </w:r>
          </w:p>
        </w:tc>
        <w:tc>
          <w:tcPr>
            <w:tcW w:w="177" w:type="pct"/>
            <w:tcBorders>
              <w:top w:val="nil"/>
              <w:left w:val="nil"/>
              <w:bottom w:val="single" w:sz="4" w:space="0" w:color="auto"/>
              <w:right w:val="single" w:sz="4" w:space="0" w:color="auto"/>
            </w:tcBorders>
            <w:shd w:val="clear" w:color="auto" w:fill="auto"/>
            <w:noWrap/>
            <w:vAlign w:val="center"/>
          </w:tcPr>
          <w:p w14:paraId="1060AD6E"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357</w:t>
            </w:r>
          </w:p>
        </w:tc>
        <w:tc>
          <w:tcPr>
            <w:tcW w:w="186" w:type="pct"/>
            <w:tcBorders>
              <w:top w:val="nil"/>
              <w:left w:val="nil"/>
              <w:bottom w:val="single" w:sz="4" w:space="0" w:color="auto"/>
              <w:right w:val="single" w:sz="4" w:space="0" w:color="auto"/>
            </w:tcBorders>
            <w:shd w:val="clear" w:color="auto" w:fill="auto"/>
          </w:tcPr>
          <w:p w14:paraId="67EA086F"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1852825D" w14:textId="77777777" w:rsidR="00CF336B" w:rsidRPr="003E79A0" w:rsidRDefault="00CF336B" w:rsidP="00CF336B">
            <w:pPr>
              <w:jc w:val="center"/>
              <w:rPr>
                <w:b/>
                <w:sz w:val="14"/>
                <w:szCs w:val="14"/>
              </w:rPr>
            </w:pPr>
            <w:r w:rsidRPr="003E79A0">
              <w:rPr>
                <w:rFonts w:cstheme="minorHAnsi"/>
                <w:b/>
                <w:bCs/>
                <w:color w:val="000000"/>
                <w:sz w:val="14"/>
                <w:szCs w:val="14"/>
              </w:rPr>
              <w:t>6.358</w:t>
            </w:r>
          </w:p>
        </w:tc>
      </w:tr>
      <w:tr w:rsidR="00BF508A" w:rsidRPr="001B4CA2" w14:paraId="7849A525"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68A6E5C9" w14:textId="77777777" w:rsidR="00CF336B" w:rsidRPr="001B4CA2" w:rsidRDefault="00CF336B" w:rsidP="00CF336B">
            <w:pPr>
              <w:ind w:left="34"/>
              <w:jc w:val="left"/>
              <w:rPr>
                <w:bCs/>
                <w:sz w:val="16"/>
                <w:szCs w:val="16"/>
              </w:rPr>
            </w:pPr>
            <w:r w:rsidRPr="001B4CA2">
              <w:rPr>
                <w:bCs/>
                <w:sz w:val="16"/>
                <w:szCs w:val="16"/>
              </w:rPr>
              <w:t>Ministarstvo turizma i sporta</w:t>
            </w:r>
          </w:p>
        </w:tc>
        <w:tc>
          <w:tcPr>
            <w:tcW w:w="177" w:type="pct"/>
            <w:tcBorders>
              <w:top w:val="nil"/>
              <w:left w:val="nil"/>
              <w:bottom w:val="single" w:sz="4" w:space="0" w:color="auto"/>
              <w:right w:val="single" w:sz="4" w:space="0" w:color="auto"/>
            </w:tcBorders>
            <w:shd w:val="clear" w:color="auto" w:fill="auto"/>
            <w:noWrap/>
            <w:vAlign w:val="center"/>
          </w:tcPr>
          <w:p w14:paraId="65CA4222"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1B5804B2"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1AB8DB30"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40BD6E98" w14:textId="77777777" w:rsidR="00CF336B" w:rsidRPr="003E79A0" w:rsidRDefault="00CF336B" w:rsidP="00CF336B">
            <w:pPr>
              <w:jc w:val="center"/>
              <w:rPr>
                <w:sz w:val="14"/>
                <w:szCs w:val="14"/>
              </w:rPr>
            </w:pPr>
          </w:p>
        </w:tc>
        <w:tc>
          <w:tcPr>
            <w:tcW w:w="221" w:type="pct"/>
            <w:tcBorders>
              <w:top w:val="nil"/>
              <w:left w:val="nil"/>
              <w:bottom w:val="single" w:sz="4" w:space="0" w:color="auto"/>
              <w:right w:val="single" w:sz="4" w:space="0" w:color="auto"/>
            </w:tcBorders>
            <w:shd w:val="clear" w:color="auto" w:fill="auto"/>
            <w:noWrap/>
            <w:vAlign w:val="center"/>
          </w:tcPr>
          <w:p w14:paraId="3E4892DD" w14:textId="77777777" w:rsidR="00CF336B" w:rsidRPr="003E79A0" w:rsidRDefault="00CF336B" w:rsidP="00CF336B">
            <w:pPr>
              <w:jc w:val="center"/>
              <w:rPr>
                <w:sz w:val="14"/>
                <w:szCs w:val="14"/>
              </w:rPr>
            </w:pPr>
          </w:p>
        </w:tc>
        <w:tc>
          <w:tcPr>
            <w:tcW w:w="178" w:type="pct"/>
            <w:tcBorders>
              <w:top w:val="nil"/>
              <w:left w:val="nil"/>
              <w:bottom w:val="single" w:sz="4" w:space="0" w:color="auto"/>
              <w:right w:val="single" w:sz="4" w:space="0" w:color="auto"/>
            </w:tcBorders>
            <w:shd w:val="clear" w:color="auto" w:fill="auto"/>
            <w:noWrap/>
            <w:vAlign w:val="center"/>
          </w:tcPr>
          <w:p w14:paraId="0136F35E" w14:textId="77777777" w:rsidR="00CF336B" w:rsidRPr="003E79A0"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342310C6"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40475B8A" w14:textId="77777777" w:rsidR="00CF336B" w:rsidRPr="003E79A0"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0C8F99C9" w14:textId="77777777" w:rsidR="00CF336B" w:rsidRPr="003E79A0"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7C0B6B50" w14:textId="77777777" w:rsidR="00CF336B" w:rsidRPr="003E79A0" w:rsidRDefault="00CF336B" w:rsidP="00CF336B">
            <w:pPr>
              <w:jc w:val="center"/>
              <w:rPr>
                <w:sz w:val="14"/>
                <w:szCs w:val="14"/>
              </w:rPr>
            </w:pPr>
          </w:p>
        </w:tc>
        <w:tc>
          <w:tcPr>
            <w:tcW w:w="178" w:type="pct"/>
            <w:tcBorders>
              <w:top w:val="nil"/>
              <w:left w:val="nil"/>
              <w:bottom w:val="single" w:sz="4" w:space="0" w:color="auto"/>
              <w:right w:val="single" w:sz="4" w:space="0" w:color="auto"/>
            </w:tcBorders>
            <w:shd w:val="clear" w:color="auto" w:fill="auto"/>
            <w:noWrap/>
            <w:vAlign w:val="center"/>
          </w:tcPr>
          <w:p w14:paraId="5D20DE36"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50F9AB16" w14:textId="77777777" w:rsidR="00CF336B" w:rsidRPr="003E79A0" w:rsidRDefault="00CF336B" w:rsidP="00CF336B">
            <w:pPr>
              <w:jc w:val="center"/>
              <w:rPr>
                <w:sz w:val="14"/>
                <w:szCs w:val="14"/>
              </w:rPr>
            </w:pPr>
          </w:p>
        </w:tc>
        <w:tc>
          <w:tcPr>
            <w:tcW w:w="101" w:type="pct"/>
            <w:tcBorders>
              <w:top w:val="nil"/>
              <w:left w:val="nil"/>
              <w:bottom w:val="single" w:sz="4" w:space="0" w:color="auto"/>
              <w:right w:val="single" w:sz="4" w:space="0" w:color="auto"/>
            </w:tcBorders>
            <w:shd w:val="clear" w:color="auto" w:fill="auto"/>
            <w:noWrap/>
            <w:vAlign w:val="center"/>
          </w:tcPr>
          <w:p w14:paraId="1525534C"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53F93817"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1AE9AE03"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11C572E6"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5ED591CF" w14:textId="77777777" w:rsidR="00CF336B" w:rsidRPr="003E79A0" w:rsidRDefault="00CF336B" w:rsidP="00CF336B">
            <w:pPr>
              <w:jc w:val="center"/>
              <w:rPr>
                <w:sz w:val="14"/>
                <w:szCs w:val="14"/>
              </w:rPr>
            </w:pPr>
          </w:p>
        </w:tc>
        <w:tc>
          <w:tcPr>
            <w:tcW w:w="94" w:type="pct"/>
            <w:tcBorders>
              <w:top w:val="nil"/>
              <w:left w:val="nil"/>
              <w:bottom w:val="single" w:sz="4" w:space="0" w:color="auto"/>
              <w:right w:val="single" w:sz="4" w:space="0" w:color="auto"/>
            </w:tcBorders>
            <w:shd w:val="clear" w:color="auto" w:fill="auto"/>
            <w:noWrap/>
            <w:vAlign w:val="center"/>
          </w:tcPr>
          <w:p w14:paraId="42478B24"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4DB1AEDB"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348DEC0A"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43A5055D" w14:textId="77777777" w:rsidR="00CF336B" w:rsidRPr="003E79A0" w:rsidRDefault="00CF336B" w:rsidP="00CF336B">
            <w:pPr>
              <w:jc w:val="center"/>
              <w:rPr>
                <w:b/>
                <w:bCs/>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2CCB906F" w14:textId="77777777" w:rsidR="00CF336B" w:rsidRPr="003E79A0" w:rsidRDefault="00CF336B" w:rsidP="00CF336B">
            <w:pPr>
              <w:jc w:val="center"/>
              <w:rPr>
                <w:b/>
                <w:bCs/>
                <w:sz w:val="14"/>
                <w:szCs w:val="14"/>
              </w:rPr>
            </w:pPr>
          </w:p>
        </w:tc>
        <w:tc>
          <w:tcPr>
            <w:tcW w:w="186" w:type="pct"/>
            <w:tcBorders>
              <w:top w:val="nil"/>
              <w:left w:val="nil"/>
              <w:bottom w:val="single" w:sz="4" w:space="0" w:color="auto"/>
              <w:right w:val="single" w:sz="4" w:space="0" w:color="auto"/>
            </w:tcBorders>
            <w:shd w:val="clear" w:color="auto" w:fill="auto"/>
          </w:tcPr>
          <w:p w14:paraId="1870CF63"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3AD0D35F" w14:textId="77777777" w:rsidR="00CF336B" w:rsidRPr="003E79A0" w:rsidRDefault="00CF336B" w:rsidP="00CF336B">
            <w:pPr>
              <w:jc w:val="center"/>
              <w:rPr>
                <w:b/>
                <w:sz w:val="14"/>
                <w:szCs w:val="14"/>
              </w:rPr>
            </w:pPr>
          </w:p>
        </w:tc>
      </w:tr>
      <w:tr w:rsidR="00BF508A" w:rsidRPr="001B4CA2" w14:paraId="19D6FCED"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3C518124" w14:textId="77777777" w:rsidR="00CF336B" w:rsidRPr="001B4CA2" w:rsidRDefault="00CF336B" w:rsidP="00CF336B">
            <w:pPr>
              <w:ind w:left="34"/>
              <w:jc w:val="left"/>
              <w:rPr>
                <w:bCs/>
                <w:sz w:val="16"/>
                <w:szCs w:val="16"/>
              </w:rPr>
            </w:pPr>
            <w:r w:rsidRPr="001B4CA2">
              <w:rPr>
                <w:bCs/>
                <w:sz w:val="16"/>
                <w:szCs w:val="16"/>
              </w:rPr>
              <w:t xml:space="preserve">Ministarstvo znanosti i obrazovanja </w:t>
            </w:r>
          </w:p>
        </w:tc>
        <w:tc>
          <w:tcPr>
            <w:tcW w:w="177" w:type="pct"/>
            <w:tcBorders>
              <w:top w:val="nil"/>
              <w:left w:val="nil"/>
              <w:bottom w:val="single" w:sz="4" w:space="0" w:color="auto"/>
              <w:right w:val="single" w:sz="4" w:space="0" w:color="auto"/>
            </w:tcBorders>
            <w:shd w:val="clear" w:color="auto" w:fill="auto"/>
            <w:noWrap/>
            <w:vAlign w:val="center"/>
          </w:tcPr>
          <w:p w14:paraId="1DD40FEE"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6B73ECBC"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594DC8E1"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18203ED3" w14:textId="77777777" w:rsidR="00CF336B" w:rsidRPr="003E79A0" w:rsidRDefault="00CF336B" w:rsidP="00CF336B">
            <w:pPr>
              <w:jc w:val="center"/>
              <w:rPr>
                <w:sz w:val="14"/>
                <w:szCs w:val="14"/>
              </w:rPr>
            </w:pPr>
          </w:p>
        </w:tc>
        <w:tc>
          <w:tcPr>
            <w:tcW w:w="221" w:type="pct"/>
            <w:tcBorders>
              <w:top w:val="nil"/>
              <w:left w:val="nil"/>
              <w:bottom w:val="single" w:sz="4" w:space="0" w:color="auto"/>
              <w:right w:val="single" w:sz="4" w:space="0" w:color="auto"/>
            </w:tcBorders>
            <w:shd w:val="clear" w:color="auto" w:fill="auto"/>
            <w:noWrap/>
            <w:vAlign w:val="center"/>
          </w:tcPr>
          <w:p w14:paraId="2816EB63"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5</w:t>
            </w:r>
          </w:p>
        </w:tc>
        <w:tc>
          <w:tcPr>
            <w:tcW w:w="178" w:type="pct"/>
            <w:tcBorders>
              <w:top w:val="nil"/>
              <w:left w:val="nil"/>
              <w:bottom w:val="single" w:sz="4" w:space="0" w:color="auto"/>
              <w:right w:val="single" w:sz="4" w:space="0" w:color="auto"/>
            </w:tcBorders>
            <w:shd w:val="clear" w:color="auto" w:fill="auto"/>
            <w:noWrap/>
            <w:vAlign w:val="center"/>
          </w:tcPr>
          <w:p w14:paraId="1250FA6D" w14:textId="77777777" w:rsidR="00CF336B" w:rsidRPr="003E79A0"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47A3E9AF"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7648C05A" w14:textId="77777777" w:rsidR="00CF336B" w:rsidRPr="003E79A0"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60083E78" w14:textId="77777777" w:rsidR="00CF336B" w:rsidRPr="003E79A0"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37517283" w14:textId="77777777" w:rsidR="00CF336B" w:rsidRPr="003E79A0" w:rsidRDefault="00CF336B" w:rsidP="00CF336B">
            <w:pPr>
              <w:jc w:val="center"/>
              <w:rPr>
                <w:sz w:val="14"/>
                <w:szCs w:val="14"/>
              </w:rPr>
            </w:pPr>
          </w:p>
        </w:tc>
        <w:tc>
          <w:tcPr>
            <w:tcW w:w="178" w:type="pct"/>
            <w:tcBorders>
              <w:top w:val="nil"/>
              <w:left w:val="nil"/>
              <w:bottom w:val="single" w:sz="4" w:space="0" w:color="auto"/>
              <w:right w:val="single" w:sz="4" w:space="0" w:color="auto"/>
            </w:tcBorders>
            <w:shd w:val="clear" w:color="auto" w:fill="auto"/>
            <w:noWrap/>
            <w:vAlign w:val="center"/>
          </w:tcPr>
          <w:p w14:paraId="4AA2DB2A"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64BEB059" w14:textId="77777777" w:rsidR="00CF336B" w:rsidRPr="003E79A0" w:rsidRDefault="00CF336B" w:rsidP="00CF336B">
            <w:pPr>
              <w:jc w:val="center"/>
              <w:rPr>
                <w:sz w:val="14"/>
                <w:szCs w:val="14"/>
              </w:rPr>
            </w:pPr>
          </w:p>
        </w:tc>
        <w:tc>
          <w:tcPr>
            <w:tcW w:w="101" w:type="pct"/>
            <w:tcBorders>
              <w:top w:val="nil"/>
              <w:left w:val="nil"/>
              <w:bottom w:val="single" w:sz="4" w:space="0" w:color="auto"/>
              <w:right w:val="single" w:sz="4" w:space="0" w:color="auto"/>
            </w:tcBorders>
            <w:shd w:val="clear" w:color="auto" w:fill="auto"/>
            <w:noWrap/>
            <w:vAlign w:val="center"/>
          </w:tcPr>
          <w:p w14:paraId="02803B39"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0C6CBAF9"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424D9DF4"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36B16CA7"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4FA2171D" w14:textId="77777777" w:rsidR="00CF336B" w:rsidRPr="003E79A0" w:rsidRDefault="00CF336B" w:rsidP="00CF336B">
            <w:pPr>
              <w:jc w:val="center"/>
              <w:rPr>
                <w:sz w:val="14"/>
                <w:szCs w:val="14"/>
              </w:rPr>
            </w:pPr>
          </w:p>
        </w:tc>
        <w:tc>
          <w:tcPr>
            <w:tcW w:w="94" w:type="pct"/>
            <w:tcBorders>
              <w:top w:val="nil"/>
              <w:left w:val="nil"/>
              <w:bottom w:val="single" w:sz="4" w:space="0" w:color="auto"/>
              <w:right w:val="single" w:sz="4" w:space="0" w:color="auto"/>
            </w:tcBorders>
            <w:shd w:val="clear" w:color="auto" w:fill="auto"/>
            <w:noWrap/>
            <w:vAlign w:val="center"/>
          </w:tcPr>
          <w:p w14:paraId="185D8236"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565920D1"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344CCB8B"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01295044" w14:textId="77777777" w:rsidR="00CF336B" w:rsidRPr="003E79A0" w:rsidRDefault="00CF336B" w:rsidP="00CF336B">
            <w:pPr>
              <w:jc w:val="center"/>
              <w:rPr>
                <w:b/>
                <w:bCs/>
                <w:sz w:val="14"/>
                <w:szCs w:val="14"/>
              </w:rPr>
            </w:pPr>
            <w:r w:rsidRPr="003E79A0">
              <w:rPr>
                <w:rFonts w:cstheme="minorHAnsi"/>
                <w:bCs/>
                <w:color w:val="000000"/>
                <w:sz w:val="14"/>
                <w:szCs w:val="14"/>
              </w:rPr>
              <w:t>5</w:t>
            </w:r>
          </w:p>
        </w:tc>
        <w:tc>
          <w:tcPr>
            <w:tcW w:w="177" w:type="pct"/>
            <w:tcBorders>
              <w:top w:val="nil"/>
              <w:left w:val="nil"/>
              <w:bottom w:val="single" w:sz="4" w:space="0" w:color="auto"/>
              <w:right w:val="single" w:sz="4" w:space="0" w:color="auto"/>
            </w:tcBorders>
            <w:shd w:val="clear" w:color="auto" w:fill="auto"/>
            <w:noWrap/>
            <w:vAlign w:val="center"/>
          </w:tcPr>
          <w:p w14:paraId="28F90018" w14:textId="77777777" w:rsidR="00CF336B" w:rsidRPr="003E79A0" w:rsidRDefault="00CF336B" w:rsidP="00CF336B">
            <w:pPr>
              <w:jc w:val="center"/>
              <w:rPr>
                <w:b/>
                <w:bCs/>
                <w:sz w:val="14"/>
                <w:szCs w:val="14"/>
              </w:rPr>
            </w:pPr>
          </w:p>
        </w:tc>
        <w:tc>
          <w:tcPr>
            <w:tcW w:w="186" w:type="pct"/>
            <w:tcBorders>
              <w:top w:val="nil"/>
              <w:left w:val="nil"/>
              <w:bottom w:val="single" w:sz="4" w:space="0" w:color="auto"/>
              <w:right w:val="single" w:sz="4" w:space="0" w:color="auto"/>
            </w:tcBorders>
            <w:shd w:val="clear" w:color="auto" w:fill="auto"/>
          </w:tcPr>
          <w:p w14:paraId="738565D1"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5FA00B1B" w14:textId="77777777" w:rsidR="00CF336B" w:rsidRPr="003E79A0" w:rsidRDefault="00CF336B" w:rsidP="00CF336B">
            <w:pPr>
              <w:jc w:val="center"/>
              <w:rPr>
                <w:b/>
                <w:sz w:val="14"/>
                <w:szCs w:val="14"/>
              </w:rPr>
            </w:pPr>
          </w:p>
        </w:tc>
      </w:tr>
      <w:tr w:rsidR="00BF508A" w:rsidRPr="001B4CA2" w14:paraId="7F78E32B"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67B1DC13" w14:textId="77777777" w:rsidR="00CF336B" w:rsidRPr="001B4CA2" w:rsidRDefault="00CF336B" w:rsidP="00CF336B">
            <w:pPr>
              <w:ind w:left="34"/>
              <w:jc w:val="left"/>
              <w:rPr>
                <w:bCs/>
                <w:sz w:val="16"/>
                <w:szCs w:val="16"/>
              </w:rPr>
            </w:pPr>
            <w:r w:rsidRPr="001B4CA2">
              <w:rPr>
                <w:bCs/>
                <w:sz w:val="16"/>
                <w:szCs w:val="16"/>
              </w:rPr>
              <w:t>Ministarstvo kulture i medija</w:t>
            </w:r>
          </w:p>
        </w:tc>
        <w:tc>
          <w:tcPr>
            <w:tcW w:w="177" w:type="pct"/>
            <w:tcBorders>
              <w:top w:val="nil"/>
              <w:left w:val="nil"/>
              <w:bottom w:val="single" w:sz="4" w:space="0" w:color="auto"/>
              <w:right w:val="single" w:sz="4" w:space="0" w:color="auto"/>
            </w:tcBorders>
            <w:shd w:val="clear" w:color="auto" w:fill="auto"/>
            <w:noWrap/>
            <w:vAlign w:val="center"/>
          </w:tcPr>
          <w:p w14:paraId="2D54A5C9"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2368E48A"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0A1457C8"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4978385F" w14:textId="77777777" w:rsidR="00CF336B" w:rsidRPr="003E79A0" w:rsidRDefault="00CF336B" w:rsidP="00CF336B">
            <w:pPr>
              <w:jc w:val="center"/>
              <w:rPr>
                <w:sz w:val="14"/>
                <w:szCs w:val="14"/>
              </w:rPr>
            </w:pPr>
          </w:p>
        </w:tc>
        <w:tc>
          <w:tcPr>
            <w:tcW w:w="221" w:type="pct"/>
            <w:tcBorders>
              <w:top w:val="nil"/>
              <w:left w:val="nil"/>
              <w:bottom w:val="single" w:sz="4" w:space="0" w:color="auto"/>
              <w:right w:val="single" w:sz="4" w:space="0" w:color="auto"/>
            </w:tcBorders>
            <w:shd w:val="clear" w:color="auto" w:fill="auto"/>
            <w:noWrap/>
            <w:vAlign w:val="center"/>
          </w:tcPr>
          <w:p w14:paraId="24176E81"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3</w:t>
            </w:r>
          </w:p>
        </w:tc>
        <w:tc>
          <w:tcPr>
            <w:tcW w:w="178" w:type="pct"/>
            <w:tcBorders>
              <w:top w:val="nil"/>
              <w:left w:val="nil"/>
              <w:bottom w:val="single" w:sz="4" w:space="0" w:color="auto"/>
              <w:right w:val="single" w:sz="4" w:space="0" w:color="auto"/>
            </w:tcBorders>
            <w:shd w:val="clear" w:color="auto" w:fill="auto"/>
            <w:noWrap/>
            <w:vAlign w:val="center"/>
          </w:tcPr>
          <w:p w14:paraId="31F7041C" w14:textId="77777777" w:rsidR="00CF336B" w:rsidRPr="003E79A0"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6C657751"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0B9F53C4" w14:textId="77777777" w:rsidR="00CF336B" w:rsidRPr="003E79A0"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7A5D4B0F" w14:textId="77777777" w:rsidR="00CF336B" w:rsidRPr="003E79A0"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68157BE1" w14:textId="77777777" w:rsidR="00CF336B" w:rsidRPr="003E79A0" w:rsidRDefault="00CF336B" w:rsidP="00CF336B">
            <w:pPr>
              <w:jc w:val="center"/>
              <w:rPr>
                <w:sz w:val="14"/>
                <w:szCs w:val="14"/>
              </w:rPr>
            </w:pPr>
          </w:p>
        </w:tc>
        <w:tc>
          <w:tcPr>
            <w:tcW w:w="178" w:type="pct"/>
            <w:tcBorders>
              <w:top w:val="nil"/>
              <w:left w:val="nil"/>
              <w:bottom w:val="single" w:sz="4" w:space="0" w:color="auto"/>
              <w:right w:val="single" w:sz="4" w:space="0" w:color="auto"/>
            </w:tcBorders>
            <w:shd w:val="clear" w:color="auto" w:fill="auto"/>
            <w:noWrap/>
            <w:vAlign w:val="center"/>
          </w:tcPr>
          <w:p w14:paraId="1B3E4347"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3EA7BAC8" w14:textId="77777777" w:rsidR="00CF336B" w:rsidRPr="003E79A0" w:rsidRDefault="00CF336B" w:rsidP="00CF336B">
            <w:pPr>
              <w:jc w:val="center"/>
              <w:rPr>
                <w:sz w:val="14"/>
                <w:szCs w:val="14"/>
              </w:rPr>
            </w:pPr>
          </w:p>
        </w:tc>
        <w:tc>
          <w:tcPr>
            <w:tcW w:w="101" w:type="pct"/>
            <w:tcBorders>
              <w:top w:val="nil"/>
              <w:left w:val="nil"/>
              <w:bottom w:val="single" w:sz="4" w:space="0" w:color="auto"/>
              <w:right w:val="single" w:sz="4" w:space="0" w:color="auto"/>
            </w:tcBorders>
            <w:shd w:val="clear" w:color="auto" w:fill="auto"/>
            <w:noWrap/>
            <w:vAlign w:val="center"/>
          </w:tcPr>
          <w:p w14:paraId="43B56924"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218F65CB"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1540DCD0"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7463D6A6"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352E9C43" w14:textId="77777777" w:rsidR="00CF336B" w:rsidRPr="003E79A0" w:rsidRDefault="00CF336B" w:rsidP="00CF336B">
            <w:pPr>
              <w:jc w:val="center"/>
              <w:rPr>
                <w:sz w:val="14"/>
                <w:szCs w:val="14"/>
              </w:rPr>
            </w:pPr>
          </w:p>
        </w:tc>
        <w:tc>
          <w:tcPr>
            <w:tcW w:w="94" w:type="pct"/>
            <w:tcBorders>
              <w:top w:val="nil"/>
              <w:left w:val="nil"/>
              <w:bottom w:val="single" w:sz="4" w:space="0" w:color="auto"/>
              <w:right w:val="single" w:sz="4" w:space="0" w:color="auto"/>
            </w:tcBorders>
            <w:shd w:val="clear" w:color="auto" w:fill="auto"/>
            <w:noWrap/>
            <w:vAlign w:val="center"/>
          </w:tcPr>
          <w:p w14:paraId="582D76DA"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63357218"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1466E7F3"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4ADD17F7" w14:textId="77777777" w:rsidR="00CF336B" w:rsidRPr="003E79A0" w:rsidRDefault="00CF336B" w:rsidP="00CF336B">
            <w:pPr>
              <w:jc w:val="center"/>
              <w:rPr>
                <w:b/>
                <w:bCs/>
                <w:sz w:val="14"/>
                <w:szCs w:val="14"/>
              </w:rPr>
            </w:pPr>
            <w:r w:rsidRPr="003E79A0">
              <w:rPr>
                <w:rFonts w:cstheme="minorHAnsi"/>
                <w:bCs/>
                <w:color w:val="000000"/>
                <w:sz w:val="14"/>
                <w:szCs w:val="14"/>
              </w:rPr>
              <w:t>3</w:t>
            </w:r>
          </w:p>
        </w:tc>
        <w:tc>
          <w:tcPr>
            <w:tcW w:w="177" w:type="pct"/>
            <w:tcBorders>
              <w:top w:val="nil"/>
              <w:left w:val="nil"/>
              <w:bottom w:val="single" w:sz="4" w:space="0" w:color="auto"/>
              <w:right w:val="single" w:sz="4" w:space="0" w:color="auto"/>
            </w:tcBorders>
            <w:shd w:val="clear" w:color="auto" w:fill="auto"/>
            <w:noWrap/>
            <w:vAlign w:val="center"/>
          </w:tcPr>
          <w:p w14:paraId="1EED2B89" w14:textId="77777777" w:rsidR="00CF336B" w:rsidRPr="003E79A0" w:rsidRDefault="00CF336B" w:rsidP="00CF336B">
            <w:pPr>
              <w:jc w:val="center"/>
              <w:rPr>
                <w:b/>
                <w:bCs/>
                <w:sz w:val="14"/>
                <w:szCs w:val="14"/>
              </w:rPr>
            </w:pPr>
          </w:p>
        </w:tc>
        <w:tc>
          <w:tcPr>
            <w:tcW w:w="186" w:type="pct"/>
            <w:tcBorders>
              <w:top w:val="nil"/>
              <w:left w:val="nil"/>
              <w:bottom w:val="single" w:sz="4" w:space="0" w:color="auto"/>
              <w:right w:val="single" w:sz="4" w:space="0" w:color="auto"/>
            </w:tcBorders>
            <w:shd w:val="clear" w:color="auto" w:fill="auto"/>
          </w:tcPr>
          <w:p w14:paraId="0BABE138"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5BEBC888" w14:textId="77777777" w:rsidR="00CF336B" w:rsidRPr="003E79A0" w:rsidRDefault="00CF336B" w:rsidP="00CF336B">
            <w:pPr>
              <w:jc w:val="center"/>
              <w:rPr>
                <w:b/>
                <w:sz w:val="14"/>
                <w:szCs w:val="14"/>
              </w:rPr>
            </w:pPr>
          </w:p>
        </w:tc>
      </w:tr>
      <w:tr w:rsidR="00BF508A" w:rsidRPr="001B4CA2" w14:paraId="4F8E4FD3"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5BAFD9B0" w14:textId="77777777" w:rsidR="00CF336B" w:rsidRPr="001B4CA2" w:rsidRDefault="00CF336B" w:rsidP="00CF336B">
            <w:pPr>
              <w:ind w:left="34"/>
              <w:jc w:val="left"/>
              <w:rPr>
                <w:bCs/>
                <w:sz w:val="16"/>
                <w:szCs w:val="16"/>
              </w:rPr>
            </w:pPr>
            <w:r w:rsidRPr="001B4CA2">
              <w:rPr>
                <w:bCs/>
                <w:sz w:val="16"/>
                <w:szCs w:val="16"/>
              </w:rPr>
              <w:t>Središnji državni ured za obnovu i stambeno zbrinjavanje</w:t>
            </w:r>
          </w:p>
        </w:tc>
        <w:tc>
          <w:tcPr>
            <w:tcW w:w="177" w:type="pct"/>
            <w:tcBorders>
              <w:top w:val="nil"/>
              <w:left w:val="nil"/>
              <w:bottom w:val="single" w:sz="4" w:space="0" w:color="auto"/>
              <w:right w:val="single" w:sz="4" w:space="0" w:color="auto"/>
            </w:tcBorders>
            <w:shd w:val="clear" w:color="auto" w:fill="auto"/>
            <w:noWrap/>
            <w:vAlign w:val="center"/>
          </w:tcPr>
          <w:p w14:paraId="043F1287"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25</w:t>
            </w:r>
          </w:p>
        </w:tc>
        <w:tc>
          <w:tcPr>
            <w:tcW w:w="177" w:type="pct"/>
            <w:tcBorders>
              <w:top w:val="nil"/>
              <w:left w:val="nil"/>
              <w:bottom w:val="single" w:sz="4" w:space="0" w:color="auto"/>
              <w:right w:val="single" w:sz="4" w:space="0" w:color="auto"/>
            </w:tcBorders>
            <w:shd w:val="clear" w:color="auto" w:fill="auto"/>
            <w:noWrap/>
            <w:vAlign w:val="center"/>
          </w:tcPr>
          <w:p w14:paraId="02B67381"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2C79C0A8"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55E0A7A0" w14:textId="77777777" w:rsidR="00CF336B" w:rsidRPr="003E79A0" w:rsidRDefault="00CF336B" w:rsidP="00CF336B">
            <w:pPr>
              <w:jc w:val="center"/>
              <w:rPr>
                <w:sz w:val="14"/>
                <w:szCs w:val="14"/>
              </w:rPr>
            </w:pPr>
          </w:p>
        </w:tc>
        <w:tc>
          <w:tcPr>
            <w:tcW w:w="221" w:type="pct"/>
            <w:tcBorders>
              <w:top w:val="nil"/>
              <w:left w:val="nil"/>
              <w:bottom w:val="single" w:sz="4" w:space="0" w:color="auto"/>
              <w:right w:val="single" w:sz="4" w:space="0" w:color="auto"/>
            </w:tcBorders>
            <w:shd w:val="clear" w:color="auto" w:fill="auto"/>
            <w:noWrap/>
            <w:vAlign w:val="center"/>
          </w:tcPr>
          <w:p w14:paraId="268B979E"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223</w:t>
            </w:r>
          </w:p>
        </w:tc>
        <w:tc>
          <w:tcPr>
            <w:tcW w:w="178" w:type="pct"/>
            <w:tcBorders>
              <w:top w:val="nil"/>
              <w:left w:val="nil"/>
              <w:bottom w:val="single" w:sz="4" w:space="0" w:color="auto"/>
              <w:right w:val="single" w:sz="4" w:space="0" w:color="auto"/>
            </w:tcBorders>
            <w:shd w:val="clear" w:color="auto" w:fill="auto"/>
            <w:noWrap/>
            <w:vAlign w:val="center"/>
          </w:tcPr>
          <w:p w14:paraId="544450DA"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8</w:t>
            </w:r>
          </w:p>
        </w:tc>
        <w:tc>
          <w:tcPr>
            <w:tcW w:w="179" w:type="pct"/>
            <w:tcBorders>
              <w:top w:val="nil"/>
              <w:left w:val="nil"/>
              <w:bottom w:val="single" w:sz="4" w:space="0" w:color="auto"/>
              <w:right w:val="single" w:sz="4" w:space="0" w:color="auto"/>
            </w:tcBorders>
            <w:shd w:val="clear" w:color="auto" w:fill="auto"/>
            <w:noWrap/>
            <w:vAlign w:val="center"/>
          </w:tcPr>
          <w:p w14:paraId="5BDEADD6"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08BFC123" w14:textId="77777777" w:rsidR="00CF336B" w:rsidRPr="003E79A0" w:rsidRDefault="00CF336B" w:rsidP="00CF336B">
            <w:pPr>
              <w:jc w:val="center"/>
              <w:rPr>
                <w:sz w:val="14"/>
                <w:szCs w:val="14"/>
              </w:rPr>
            </w:pPr>
            <w:r w:rsidRPr="003E79A0">
              <w:rPr>
                <w:rFonts w:asciiTheme="majorHAnsi" w:hAnsiTheme="majorHAnsi" w:cstheme="majorHAnsi"/>
                <w:sz w:val="14"/>
                <w:szCs w:val="14"/>
              </w:rPr>
              <w:t>95</w:t>
            </w:r>
          </w:p>
        </w:tc>
        <w:tc>
          <w:tcPr>
            <w:tcW w:w="176" w:type="pct"/>
            <w:tcBorders>
              <w:top w:val="nil"/>
              <w:left w:val="nil"/>
              <w:bottom w:val="single" w:sz="4" w:space="0" w:color="auto"/>
              <w:right w:val="single" w:sz="4" w:space="0" w:color="auto"/>
            </w:tcBorders>
            <w:shd w:val="clear" w:color="auto" w:fill="auto"/>
            <w:noWrap/>
            <w:vAlign w:val="center"/>
          </w:tcPr>
          <w:p w14:paraId="3F611FC0" w14:textId="77777777" w:rsidR="00CF336B" w:rsidRPr="003E79A0" w:rsidRDefault="00CF336B" w:rsidP="00CF336B">
            <w:pPr>
              <w:jc w:val="center"/>
              <w:rPr>
                <w:sz w:val="14"/>
                <w:szCs w:val="14"/>
              </w:rPr>
            </w:pPr>
            <w:r w:rsidRPr="003E79A0">
              <w:rPr>
                <w:rFonts w:cstheme="minorHAnsi"/>
                <w:color w:val="000000"/>
                <w:sz w:val="14"/>
                <w:szCs w:val="14"/>
              </w:rPr>
              <w:t>16</w:t>
            </w:r>
          </w:p>
        </w:tc>
        <w:tc>
          <w:tcPr>
            <w:tcW w:w="176" w:type="pct"/>
            <w:tcBorders>
              <w:top w:val="nil"/>
              <w:left w:val="nil"/>
              <w:bottom w:val="single" w:sz="4" w:space="0" w:color="auto"/>
              <w:right w:val="single" w:sz="4" w:space="0" w:color="auto"/>
            </w:tcBorders>
            <w:shd w:val="clear" w:color="auto" w:fill="auto"/>
            <w:noWrap/>
            <w:vAlign w:val="center"/>
          </w:tcPr>
          <w:p w14:paraId="0C0BDFE5" w14:textId="77777777" w:rsidR="00CF336B" w:rsidRPr="003E79A0" w:rsidRDefault="00CF336B" w:rsidP="00CF336B">
            <w:pPr>
              <w:jc w:val="center"/>
              <w:rPr>
                <w:sz w:val="14"/>
                <w:szCs w:val="14"/>
              </w:rPr>
            </w:pPr>
          </w:p>
        </w:tc>
        <w:tc>
          <w:tcPr>
            <w:tcW w:w="178" w:type="pct"/>
            <w:tcBorders>
              <w:top w:val="nil"/>
              <w:left w:val="nil"/>
              <w:bottom w:val="single" w:sz="4" w:space="0" w:color="auto"/>
              <w:right w:val="single" w:sz="4" w:space="0" w:color="auto"/>
            </w:tcBorders>
            <w:shd w:val="clear" w:color="auto" w:fill="auto"/>
            <w:noWrap/>
            <w:vAlign w:val="center"/>
          </w:tcPr>
          <w:p w14:paraId="3E99112F"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11350C5F" w14:textId="77777777" w:rsidR="00CF336B" w:rsidRPr="003E79A0" w:rsidRDefault="00CF336B" w:rsidP="00CF336B">
            <w:pPr>
              <w:jc w:val="center"/>
              <w:rPr>
                <w:sz w:val="14"/>
                <w:szCs w:val="14"/>
              </w:rPr>
            </w:pPr>
          </w:p>
        </w:tc>
        <w:tc>
          <w:tcPr>
            <w:tcW w:w="101" w:type="pct"/>
            <w:tcBorders>
              <w:top w:val="nil"/>
              <w:left w:val="nil"/>
              <w:bottom w:val="single" w:sz="4" w:space="0" w:color="auto"/>
              <w:right w:val="single" w:sz="4" w:space="0" w:color="auto"/>
            </w:tcBorders>
            <w:shd w:val="clear" w:color="auto" w:fill="auto"/>
            <w:noWrap/>
            <w:vAlign w:val="center"/>
          </w:tcPr>
          <w:p w14:paraId="3B285940"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15F4C3B2"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6A04362A"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3E9ED36E"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6E220B8F"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18</w:t>
            </w:r>
          </w:p>
        </w:tc>
        <w:tc>
          <w:tcPr>
            <w:tcW w:w="94" w:type="pct"/>
            <w:tcBorders>
              <w:top w:val="nil"/>
              <w:left w:val="nil"/>
              <w:bottom w:val="single" w:sz="4" w:space="0" w:color="auto"/>
              <w:right w:val="single" w:sz="4" w:space="0" w:color="auto"/>
            </w:tcBorders>
            <w:shd w:val="clear" w:color="auto" w:fill="auto"/>
            <w:noWrap/>
            <w:vAlign w:val="center"/>
          </w:tcPr>
          <w:p w14:paraId="2B225CAB"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6049DF5D"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0D0AEB6C"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76F652A4" w14:textId="77777777" w:rsidR="00CF336B" w:rsidRPr="003E79A0" w:rsidRDefault="00CF336B" w:rsidP="00CF336B">
            <w:pPr>
              <w:jc w:val="center"/>
              <w:rPr>
                <w:b/>
                <w:bCs/>
                <w:sz w:val="14"/>
                <w:szCs w:val="14"/>
              </w:rPr>
            </w:pPr>
            <w:r w:rsidRPr="003E79A0">
              <w:rPr>
                <w:rFonts w:cstheme="minorHAnsi"/>
                <w:bCs/>
                <w:color w:val="000000"/>
                <w:sz w:val="14"/>
                <w:szCs w:val="14"/>
              </w:rPr>
              <w:t>282</w:t>
            </w:r>
          </w:p>
        </w:tc>
        <w:tc>
          <w:tcPr>
            <w:tcW w:w="177" w:type="pct"/>
            <w:tcBorders>
              <w:top w:val="nil"/>
              <w:left w:val="nil"/>
              <w:bottom w:val="single" w:sz="4" w:space="0" w:color="auto"/>
              <w:right w:val="single" w:sz="4" w:space="0" w:color="auto"/>
            </w:tcBorders>
            <w:shd w:val="clear" w:color="auto" w:fill="auto"/>
            <w:noWrap/>
            <w:vAlign w:val="center"/>
          </w:tcPr>
          <w:p w14:paraId="62CD578F"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8</w:t>
            </w:r>
          </w:p>
        </w:tc>
        <w:tc>
          <w:tcPr>
            <w:tcW w:w="186" w:type="pct"/>
            <w:tcBorders>
              <w:top w:val="nil"/>
              <w:left w:val="nil"/>
              <w:bottom w:val="single" w:sz="4" w:space="0" w:color="auto"/>
              <w:right w:val="single" w:sz="4" w:space="0" w:color="auto"/>
            </w:tcBorders>
            <w:shd w:val="clear" w:color="auto" w:fill="auto"/>
          </w:tcPr>
          <w:p w14:paraId="7AA4FE0F"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26B381FB" w14:textId="77777777" w:rsidR="00CF336B" w:rsidRPr="003E79A0" w:rsidRDefault="00CF336B" w:rsidP="00CF336B">
            <w:pPr>
              <w:jc w:val="center"/>
              <w:rPr>
                <w:b/>
                <w:sz w:val="14"/>
                <w:szCs w:val="14"/>
              </w:rPr>
            </w:pPr>
            <w:r w:rsidRPr="003E79A0">
              <w:rPr>
                <w:rFonts w:cstheme="minorHAnsi"/>
                <w:b/>
                <w:bCs/>
                <w:color w:val="000000"/>
                <w:sz w:val="14"/>
                <w:szCs w:val="14"/>
              </w:rPr>
              <w:t>95</w:t>
            </w:r>
          </w:p>
        </w:tc>
      </w:tr>
      <w:tr w:rsidR="00BF508A" w:rsidRPr="001B4CA2" w14:paraId="54EE21D8"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21994319" w14:textId="77777777" w:rsidR="00CF336B" w:rsidRPr="001B4CA2" w:rsidRDefault="00CF336B" w:rsidP="00CF336B">
            <w:pPr>
              <w:ind w:left="34"/>
              <w:jc w:val="left"/>
              <w:rPr>
                <w:bCs/>
                <w:sz w:val="16"/>
                <w:szCs w:val="16"/>
              </w:rPr>
            </w:pPr>
            <w:r w:rsidRPr="001B4CA2">
              <w:rPr>
                <w:bCs/>
                <w:sz w:val="16"/>
                <w:szCs w:val="16"/>
              </w:rPr>
              <w:t>Državne nekretnine d.o.o.</w:t>
            </w:r>
          </w:p>
        </w:tc>
        <w:tc>
          <w:tcPr>
            <w:tcW w:w="177" w:type="pct"/>
            <w:tcBorders>
              <w:top w:val="nil"/>
              <w:left w:val="nil"/>
              <w:bottom w:val="single" w:sz="4" w:space="0" w:color="auto"/>
              <w:right w:val="single" w:sz="4" w:space="0" w:color="auto"/>
            </w:tcBorders>
            <w:shd w:val="clear" w:color="auto" w:fill="auto"/>
            <w:noWrap/>
            <w:vAlign w:val="center"/>
          </w:tcPr>
          <w:p w14:paraId="0FAFC9B6"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59</w:t>
            </w:r>
          </w:p>
        </w:tc>
        <w:tc>
          <w:tcPr>
            <w:tcW w:w="177" w:type="pct"/>
            <w:tcBorders>
              <w:top w:val="nil"/>
              <w:left w:val="nil"/>
              <w:bottom w:val="single" w:sz="4" w:space="0" w:color="auto"/>
              <w:right w:val="single" w:sz="4" w:space="0" w:color="auto"/>
            </w:tcBorders>
            <w:shd w:val="clear" w:color="auto" w:fill="auto"/>
            <w:noWrap/>
            <w:vAlign w:val="center"/>
          </w:tcPr>
          <w:p w14:paraId="65DA045C"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7</w:t>
            </w:r>
          </w:p>
        </w:tc>
        <w:tc>
          <w:tcPr>
            <w:tcW w:w="177" w:type="pct"/>
            <w:tcBorders>
              <w:top w:val="nil"/>
              <w:left w:val="nil"/>
              <w:bottom w:val="single" w:sz="4" w:space="0" w:color="auto"/>
              <w:right w:val="single" w:sz="4" w:space="0" w:color="auto"/>
            </w:tcBorders>
            <w:shd w:val="clear" w:color="auto" w:fill="auto"/>
            <w:noWrap/>
            <w:vAlign w:val="center"/>
          </w:tcPr>
          <w:p w14:paraId="77E634EE"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558983CC"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68</w:t>
            </w:r>
          </w:p>
        </w:tc>
        <w:tc>
          <w:tcPr>
            <w:tcW w:w="221" w:type="pct"/>
            <w:tcBorders>
              <w:top w:val="nil"/>
              <w:left w:val="nil"/>
              <w:bottom w:val="single" w:sz="4" w:space="0" w:color="auto"/>
              <w:right w:val="single" w:sz="4" w:space="0" w:color="auto"/>
            </w:tcBorders>
            <w:shd w:val="clear" w:color="auto" w:fill="auto"/>
            <w:noWrap/>
            <w:vAlign w:val="center"/>
          </w:tcPr>
          <w:p w14:paraId="17921456"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328</w:t>
            </w:r>
          </w:p>
        </w:tc>
        <w:tc>
          <w:tcPr>
            <w:tcW w:w="178" w:type="pct"/>
            <w:tcBorders>
              <w:top w:val="nil"/>
              <w:left w:val="nil"/>
              <w:bottom w:val="single" w:sz="4" w:space="0" w:color="auto"/>
              <w:right w:val="single" w:sz="4" w:space="0" w:color="auto"/>
            </w:tcBorders>
            <w:shd w:val="clear" w:color="auto" w:fill="auto"/>
            <w:noWrap/>
            <w:vAlign w:val="center"/>
          </w:tcPr>
          <w:p w14:paraId="5A22D7F2"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48</w:t>
            </w:r>
          </w:p>
        </w:tc>
        <w:tc>
          <w:tcPr>
            <w:tcW w:w="179" w:type="pct"/>
            <w:tcBorders>
              <w:top w:val="nil"/>
              <w:left w:val="nil"/>
              <w:bottom w:val="single" w:sz="4" w:space="0" w:color="auto"/>
              <w:right w:val="single" w:sz="4" w:space="0" w:color="auto"/>
            </w:tcBorders>
            <w:shd w:val="clear" w:color="auto" w:fill="auto"/>
            <w:noWrap/>
            <w:vAlign w:val="center"/>
          </w:tcPr>
          <w:p w14:paraId="05C33B4E"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2DC6D164" w14:textId="77777777" w:rsidR="00CF336B" w:rsidRPr="003E79A0" w:rsidRDefault="00CF336B" w:rsidP="00CF336B">
            <w:pPr>
              <w:jc w:val="center"/>
              <w:rPr>
                <w:sz w:val="14"/>
                <w:szCs w:val="14"/>
              </w:rPr>
            </w:pPr>
            <w:r w:rsidRPr="003E79A0">
              <w:rPr>
                <w:rFonts w:asciiTheme="majorHAnsi" w:hAnsiTheme="majorHAnsi" w:cstheme="majorHAnsi"/>
                <w:sz w:val="14"/>
                <w:szCs w:val="14"/>
              </w:rPr>
              <w:t>4.621</w:t>
            </w:r>
          </w:p>
        </w:tc>
        <w:tc>
          <w:tcPr>
            <w:tcW w:w="176" w:type="pct"/>
            <w:tcBorders>
              <w:top w:val="nil"/>
              <w:left w:val="nil"/>
              <w:bottom w:val="single" w:sz="4" w:space="0" w:color="auto"/>
              <w:right w:val="single" w:sz="4" w:space="0" w:color="auto"/>
            </w:tcBorders>
            <w:shd w:val="clear" w:color="auto" w:fill="auto"/>
            <w:noWrap/>
            <w:vAlign w:val="center"/>
          </w:tcPr>
          <w:p w14:paraId="3F5BA9B1" w14:textId="77777777" w:rsidR="00CF336B" w:rsidRPr="003E79A0" w:rsidRDefault="00CF336B" w:rsidP="00CF336B">
            <w:pPr>
              <w:jc w:val="center"/>
              <w:rPr>
                <w:sz w:val="14"/>
                <w:szCs w:val="14"/>
              </w:rPr>
            </w:pPr>
            <w:r w:rsidRPr="003E79A0">
              <w:rPr>
                <w:rFonts w:cstheme="minorHAnsi"/>
                <w:color w:val="000000"/>
                <w:sz w:val="14"/>
                <w:szCs w:val="14"/>
              </w:rPr>
              <w:t>4</w:t>
            </w:r>
          </w:p>
        </w:tc>
        <w:tc>
          <w:tcPr>
            <w:tcW w:w="176" w:type="pct"/>
            <w:tcBorders>
              <w:top w:val="nil"/>
              <w:left w:val="nil"/>
              <w:bottom w:val="single" w:sz="4" w:space="0" w:color="auto"/>
              <w:right w:val="single" w:sz="4" w:space="0" w:color="auto"/>
            </w:tcBorders>
            <w:shd w:val="clear" w:color="auto" w:fill="auto"/>
            <w:noWrap/>
            <w:vAlign w:val="center"/>
          </w:tcPr>
          <w:p w14:paraId="3A89C644" w14:textId="77777777" w:rsidR="00CF336B" w:rsidRPr="003E79A0" w:rsidRDefault="00CF336B" w:rsidP="00CF336B">
            <w:pPr>
              <w:jc w:val="center"/>
              <w:rPr>
                <w:sz w:val="14"/>
                <w:szCs w:val="14"/>
              </w:rPr>
            </w:pPr>
            <w:r w:rsidRPr="003E79A0">
              <w:rPr>
                <w:rFonts w:cstheme="minorHAnsi"/>
                <w:color w:val="000000"/>
                <w:sz w:val="14"/>
                <w:szCs w:val="14"/>
              </w:rPr>
              <w:t>1</w:t>
            </w:r>
          </w:p>
        </w:tc>
        <w:tc>
          <w:tcPr>
            <w:tcW w:w="178" w:type="pct"/>
            <w:tcBorders>
              <w:top w:val="nil"/>
              <w:left w:val="nil"/>
              <w:bottom w:val="single" w:sz="4" w:space="0" w:color="auto"/>
              <w:right w:val="single" w:sz="4" w:space="0" w:color="auto"/>
            </w:tcBorders>
            <w:shd w:val="clear" w:color="auto" w:fill="auto"/>
            <w:noWrap/>
            <w:vAlign w:val="center"/>
          </w:tcPr>
          <w:p w14:paraId="5287E5CF"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42881E80" w14:textId="77777777" w:rsidR="00CF336B" w:rsidRPr="003E79A0" w:rsidRDefault="00CF336B" w:rsidP="00CF336B">
            <w:pPr>
              <w:jc w:val="center"/>
              <w:rPr>
                <w:sz w:val="14"/>
                <w:szCs w:val="14"/>
              </w:rPr>
            </w:pPr>
            <w:r w:rsidRPr="003E79A0">
              <w:rPr>
                <w:sz w:val="14"/>
                <w:szCs w:val="14"/>
              </w:rPr>
              <w:t>3</w:t>
            </w:r>
          </w:p>
        </w:tc>
        <w:tc>
          <w:tcPr>
            <w:tcW w:w="101" w:type="pct"/>
            <w:tcBorders>
              <w:top w:val="nil"/>
              <w:left w:val="nil"/>
              <w:bottom w:val="single" w:sz="4" w:space="0" w:color="auto"/>
              <w:right w:val="single" w:sz="4" w:space="0" w:color="auto"/>
            </w:tcBorders>
            <w:shd w:val="clear" w:color="auto" w:fill="auto"/>
            <w:noWrap/>
            <w:vAlign w:val="center"/>
          </w:tcPr>
          <w:p w14:paraId="7B06E857"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530C5B9F"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1C23D315"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25658AD2"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438B6AFD"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3</w:t>
            </w:r>
          </w:p>
        </w:tc>
        <w:tc>
          <w:tcPr>
            <w:tcW w:w="94" w:type="pct"/>
            <w:tcBorders>
              <w:top w:val="nil"/>
              <w:left w:val="nil"/>
              <w:bottom w:val="single" w:sz="4" w:space="0" w:color="auto"/>
              <w:right w:val="single" w:sz="4" w:space="0" w:color="auto"/>
            </w:tcBorders>
            <w:shd w:val="clear" w:color="auto" w:fill="auto"/>
            <w:noWrap/>
            <w:vAlign w:val="center"/>
          </w:tcPr>
          <w:p w14:paraId="56943770"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0F1FA120"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4B750F82"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64E0C19F" w14:textId="77777777" w:rsidR="00CF336B" w:rsidRPr="003E79A0" w:rsidRDefault="00CF336B" w:rsidP="00CF336B">
            <w:pPr>
              <w:jc w:val="center"/>
              <w:rPr>
                <w:b/>
                <w:bCs/>
                <w:sz w:val="14"/>
                <w:szCs w:val="14"/>
              </w:rPr>
            </w:pPr>
            <w:r w:rsidRPr="003E79A0">
              <w:rPr>
                <w:rFonts w:cstheme="minorHAnsi"/>
                <w:bCs/>
                <w:color w:val="000000"/>
                <w:sz w:val="14"/>
                <w:szCs w:val="14"/>
              </w:rPr>
              <w:t>394</w:t>
            </w:r>
          </w:p>
        </w:tc>
        <w:tc>
          <w:tcPr>
            <w:tcW w:w="177" w:type="pct"/>
            <w:tcBorders>
              <w:top w:val="nil"/>
              <w:left w:val="nil"/>
              <w:bottom w:val="single" w:sz="4" w:space="0" w:color="auto"/>
              <w:right w:val="single" w:sz="4" w:space="0" w:color="auto"/>
            </w:tcBorders>
            <w:shd w:val="clear" w:color="auto" w:fill="auto"/>
            <w:noWrap/>
            <w:vAlign w:val="center"/>
          </w:tcPr>
          <w:p w14:paraId="1D70D0F9"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56</w:t>
            </w:r>
          </w:p>
        </w:tc>
        <w:tc>
          <w:tcPr>
            <w:tcW w:w="186" w:type="pct"/>
            <w:tcBorders>
              <w:top w:val="nil"/>
              <w:left w:val="nil"/>
              <w:bottom w:val="single" w:sz="4" w:space="0" w:color="auto"/>
              <w:right w:val="single" w:sz="4" w:space="0" w:color="auto"/>
            </w:tcBorders>
            <w:shd w:val="clear" w:color="auto" w:fill="auto"/>
          </w:tcPr>
          <w:p w14:paraId="0C0D9CA1"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013E7A80" w14:textId="77777777" w:rsidR="00CF336B" w:rsidRPr="003E79A0" w:rsidRDefault="00CF336B" w:rsidP="00CF336B">
            <w:pPr>
              <w:jc w:val="center"/>
              <w:rPr>
                <w:b/>
                <w:sz w:val="14"/>
                <w:szCs w:val="14"/>
              </w:rPr>
            </w:pPr>
            <w:r w:rsidRPr="003E79A0">
              <w:rPr>
                <w:rFonts w:cstheme="minorHAnsi"/>
                <w:b/>
                <w:bCs/>
                <w:color w:val="000000"/>
                <w:sz w:val="14"/>
                <w:szCs w:val="14"/>
              </w:rPr>
              <w:t>4.691</w:t>
            </w:r>
          </w:p>
        </w:tc>
      </w:tr>
      <w:tr w:rsidR="00BF508A" w:rsidRPr="001B4CA2" w14:paraId="25DD3AED" w14:textId="77777777" w:rsidTr="009C5AEE">
        <w:trPr>
          <w:cantSplit/>
          <w:trHeight w:val="234"/>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4E952ECA" w14:textId="77777777" w:rsidR="00CF336B" w:rsidRPr="001B4CA2" w:rsidRDefault="00CF336B" w:rsidP="00CF336B">
            <w:pPr>
              <w:ind w:left="34"/>
              <w:jc w:val="left"/>
              <w:rPr>
                <w:bCs/>
                <w:sz w:val="16"/>
                <w:szCs w:val="16"/>
              </w:rPr>
            </w:pPr>
            <w:r w:rsidRPr="001B4CA2">
              <w:rPr>
                <w:bCs/>
                <w:sz w:val="16"/>
                <w:szCs w:val="16"/>
              </w:rPr>
              <w:t xml:space="preserve">Ostali </w:t>
            </w:r>
          </w:p>
        </w:tc>
        <w:tc>
          <w:tcPr>
            <w:tcW w:w="177" w:type="pct"/>
            <w:tcBorders>
              <w:top w:val="nil"/>
              <w:left w:val="nil"/>
              <w:bottom w:val="single" w:sz="4" w:space="0" w:color="auto"/>
              <w:right w:val="single" w:sz="4" w:space="0" w:color="auto"/>
            </w:tcBorders>
            <w:shd w:val="clear" w:color="auto" w:fill="auto"/>
            <w:noWrap/>
            <w:vAlign w:val="center"/>
          </w:tcPr>
          <w:p w14:paraId="4C30E016"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w:t>
            </w:r>
          </w:p>
        </w:tc>
        <w:tc>
          <w:tcPr>
            <w:tcW w:w="177" w:type="pct"/>
            <w:tcBorders>
              <w:top w:val="nil"/>
              <w:left w:val="nil"/>
              <w:bottom w:val="single" w:sz="4" w:space="0" w:color="auto"/>
              <w:right w:val="single" w:sz="4" w:space="0" w:color="auto"/>
            </w:tcBorders>
            <w:shd w:val="clear" w:color="auto" w:fill="auto"/>
            <w:noWrap/>
            <w:vAlign w:val="center"/>
          </w:tcPr>
          <w:p w14:paraId="0A118AA1"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w:t>
            </w:r>
          </w:p>
        </w:tc>
        <w:tc>
          <w:tcPr>
            <w:tcW w:w="177" w:type="pct"/>
            <w:tcBorders>
              <w:top w:val="nil"/>
              <w:left w:val="nil"/>
              <w:bottom w:val="single" w:sz="4" w:space="0" w:color="auto"/>
              <w:right w:val="single" w:sz="4" w:space="0" w:color="auto"/>
            </w:tcBorders>
            <w:shd w:val="clear" w:color="auto" w:fill="auto"/>
            <w:noWrap/>
            <w:vAlign w:val="center"/>
          </w:tcPr>
          <w:p w14:paraId="5E0005C6" w14:textId="77777777" w:rsidR="00CF336B" w:rsidRPr="003E79A0" w:rsidRDefault="00CF336B" w:rsidP="00CF336B">
            <w:pPr>
              <w:jc w:val="center"/>
              <w:rPr>
                <w:sz w:val="14"/>
                <w:szCs w:val="14"/>
              </w:rPr>
            </w:pPr>
          </w:p>
        </w:tc>
        <w:tc>
          <w:tcPr>
            <w:tcW w:w="223" w:type="pct"/>
            <w:tcBorders>
              <w:top w:val="nil"/>
              <w:left w:val="nil"/>
              <w:bottom w:val="single" w:sz="4" w:space="0" w:color="auto"/>
              <w:right w:val="single" w:sz="4" w:space="0" w:color="auto"/>
            </w:tcBorders>
            <w:shd w:val="clear" w:color="auto" w:fill="auto"/>
            <w:vAlign w:val="center"/>
          </w:tcPr>
          <w:p w14:paraId="41EA5B1D" w14:textId="77777777" w:rsidR="00CF336B" w:rsidRPr="003E79A0" w:rsidRDefault="00CF336B" w:rsidP="00CF336B">
            <w:pPr>
              <w:jc w:val="center"/>
              <w:rPr>
                <w:sz w:val="14"/>
                <w:szCs w:val="14"/>
              </w:rPr>
            </w:pPr>
          </w:p>
        </w:tc>
        <w:tc>
          <w:tcPr>
            <w:tcW w:w="221" w:type="pct"/>
            <w:tcBorders>
              <w:top w:val="nil"/>
              <w:left w:val="nil"/>
              <w:bottom w:val="single" w:sz="4" w:space="0" w:color="auto"/>
              <w:right w:val="single" w:sz="4" w:space="0" w:color="auto"/>
            </w:tcBorders>
            <w:shd w:val="clear" w:color="auto" w:fill="auto"/>
            <w:noWrap/>
            <w:vAlign w:val="center"/>
          </w:tcPr>
          <w:p w14:paraId="56B64DBC"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17</w:t>
            </w:r>
          </w:p>
        </w:tc>
        <w:tc>
          <w:tcPr>
            <w:tcW w:w="178" w:type="pct"/>
            <w:tcBorders>
              <w:top w:val="nil"/>
              <w:left w:val="nil"/>
              <w:bottom w:val="single" w:sz="4" w:space="0" w:color="auto"/>
              <w:right w:val="single" w:sz="4" w:space="0" w:color="auto"/>
            </w:tcBorders>
            <w:shd w:val="clear" w:color="auto" w:fill="auto"/>
            <w:noWrap/>
            <w:vAlign w:val="center"/>
          </w:tcPr>
          <w:p w14:paraId="2AD11C36" w14:textId="77777777" w:rsidR="00CF336B" w:rsidRPr="003E79A0" w:rsidRDefault="00CF336B" w:rsidP="00CF336B">
            <w:pPr>
              <w:jc w:val="center"/>
              <w:rPr>
                <w:sz w:val="14"/>
                <w:szCs w:val="14"/>
              </w:rPr>
            </w:pPr>
            <w:r w:rsidRPr="003E79A0">
              <w:rPr>
                <w:rFonts w:asciiTheme="majorHAnsi" w:hAnsiTheme="majorHAnsi" w:cstheme="majorHAnsi"/>
                <w:color w:val="000000"/>
                <w:sz w:val="14"/>
                <w:szCs w:val="14"/>
              </w:rPr>
              <w:t>3</w:t>
            </w:r>
          </w:p>
        </w:tc>
        <w:tc>
          <w:tcPr>
            <w:tcW w:w="179" w:type="pct"/>
            <w:tcBorders>
              <w:top w:val="nil"/>
              <w:left w:val="nil"/>
              <w:bottom w:val="single" w:sz="4" w:space="0" w:color="auto"/>
              <w:right w:val="single" w:sz="4" w:space="0" w:color="auto"/>
            </w:tcBorders>
            <w:shd w:val="clear" w:color="auto" w:fill="auto"/>
            <w:noWrap/>
            <w:vAlign w:val="center"/>
          </w:tcPr>
          <w:p w14:paraId="33340136" w14:textId="77777777" w:rsidR="00CF336B" w:rsidRPr="003E79A0" w:rsidRDefault="00CF336B" w:rsidP="00CF336B">
            <w:pPr>
              <w:jc w:val="center"/>
              <w:rPr>
                <w:sz w:val="14"/>
                <w:szCs w:val="14"/>
              </w:rPr>
            </w:pPr>
          </w:p>
        </w:tc>
        <w:tc>
          <w:tcPr>
            <w:tcW w:w="222" w:type="pct"/>
            <w:tcBorders>
              <w:top w:val="nil"/>
              <w:left w:val="nil"/>
              <w:bottom w:val="single" w:sz="4" w:space="0" w:color="auto"/>
              <w:right w:val="single" w:sz="4" w:space="0" w:color="auto"/>
            </w:tcBorders>
            <w:shd w:val="clear" w:color="auto" w:fill="auto"/>
            <w:noWrap/>
            <w:vAlign w:val="center"/>
          </w:tcPr>
          <w:p w14:paraId="6D1F33EE" w14:textId="77777777" w:rsidR="00CF336B" w:rsidRPr="003E79A0" w:rsidRDefault="00CF336B" w:rsidP="00CF336B">
            <w:pPr>
              <w:jc w:val="center"/>
              <w:rPr>
                <w:sz w:val="14"/>
                <w:szCs w:val="14"/>
              </w:rPr>
            </w:pPr>
            <w:r w:rsidRPr="003E79A0">
              <w:rPr>
                <w:rFonts w:asciiTheme="majorHAnsi" w:hAnsiTheme="majorHAnsi" w:cstheme="majorHAnsi"/>
                <w:sz w:val="14"/>
                <w:szCs w:val="14"/>
              </w:rPr>
              <w:t>25</w:t>
            </w:r>
          </w:p>
        </w:tc>
        <w:tc>
          <w:tcPr>
            <w:tcW w:w="176" w:type="pct"/>
            <w:tcBorders>
              <w:top w:val="nil"/>
              <w:left w:val="nil"/>
              <w:bottom w:val="single" w:sz="4" w:space="0" w:color="auto"/>
              <w:right w:val="single" w:sz="4" w:space="0" w:color="auto"/>
            </w:tcBorders>
            <w:shd w:val="clear" w:color="auto" w:fill="auto"/>
            <w:noWrap/>
            <w:vAlign w:val="center"/>
          </w:tcPr>
          <w:p w14:paraId="61181DF5" w14:textId="77777777" w:rsidR="00CF336B" w:rsidRPr="003E79A0" w:rsidRDefault="00CF336B" w:rsidP="00CF336B">
            <w:pPr>
              <w:jc w:val="center"/>
              <w:rPr>
                <w:sz w:val="14"/>
                <w:szCs w:val="14"/>
              </w:rPr>
            </w:pPr>
            <w:r w:rsidRPr="003E79A0">
              <w:rPr>
                <w:rFonts w:cstheme="minorHAnsi"/>
                <w:color w:val="000000"/>
                <w:sz w:val="14"/>
                <w:szCs w:val="14"/>
              </w:rPr>
              <w:t>10</w:t>
            </w:r>
          </w:p>
        </w:tc>
        <w:tc>
          <w:tcPr>
            <w:tcW w:w="176" w:type="pct"/>
            <w:tcBorders>
              <w:top w:val="nil"/>
              <w:left w:val="nil"/>
              <w:bottom w:val="single" w:sz="4" w:space="0" w:color="auto"/>
              <w:right w:val="single" w:sz="4" w:space="0" w:color="auto"/>
            </w:tcBorders>
            <w:shd w:val="clear" w:color="auto" w:fill="auto"/>
            <w:noWrap/>
            <w:vAlign w:val="center"/>
          </w:tcPr>
          <w:p w14:paraId="75421A70" w14:textId="77777777" w:rsidR="00CF336B" w:rsidRPr="003E79A0" w:rsidRDefault="00CF336B" w:rsidP="00CF336B">
            <w:pPr>
              <w:jc w:val="center"/>
              <w:rPr>
                <w:sz w:val="14"/>
                <w:szCs w:val="14"/>
              </w:rPr>
            </w:pPr>
            <w:r w:rsidRPr="003E79A0">
              <w:rPr>
                <w:rFonts w:cstheme="minorHAnsi"/>
                <w:color w:val="000000"/>
                <w:sz w:val="14"/>
                <w:szCs w:val="14"/>
              </w:rPr>
              <w:t>9</w:t>
            </w:r>
          </w:p>
        </w:tc>
        <w:tc>
          <w:tcPr>
            <w:tcW w:w="178" w:type="pct"/>
            <w:tcBorders>
              <w:top w:val="nil"/>
              <w:left w:val="nil"/>
              <w:bottom w:val="single" w:sz="4" w:space="0" w:color="auto"/>
              <w:right w:val="single" w:sz="4" w:space="0" w:color="auto"/>
            </w:tcBorders>
            <w:shd w:val="clear" w:color="auto" w:fill="auto"/>
            <w:noWrap/>
            <w:vAlign w:val="center"/>
          </w:tcPr>
          <w:p w14:paraId="03FD441C"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262A9EBF" w14:textId="77777777" w:rsidR="00CF336B" w:rsidRPr="003E79A0" w:rsidRDefault="00CF336B" w:rsidP="00CF336B">
            <w:pPr>
              <w:jc w:val="center"/>
              <w:rPr>
                <w:sz w:val="14"/>
                <w:szCs w:val="14"/>
              </w:rPr>
            </w:pPr>
            <w:r w:rsidRPr="003E79A0">
              <w:rPr>
                <w:sz w:val="14"/>
                <w:szCs w:val="14"/>
              </w:rPr>
              <w:t>665</w:t>
            </w:r>
          </w:p>
        </w:tc>
        <w:tc>
          <w:tcPr>
            <w:tcW w:w="101" w:type="pct"/>
            <w:tcBorders>
              <w:top w:val="nil"/>
              <w:left w:val="nil"/>
              <w:bottom w:val="single" w:sz="4" w:space="0" w:color="auto"/>
              <w:right w:val="single" w:sz="4" w:space="0" w:color="auto"/>
            </w:tcBorders>
            <w:shd w:val="clear" w:color="auto" w:fill="auto"/>
            <w:noWrap/>
            <w:vAlign w:val="center"/>
          </w:tcPr>
          <w:p w14:paraId="4C18BE2F" w14:textId="77777777" w:rsidR="00CF336B" w:rsidRPr="003E79A0"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6C44DEC6" w14:textId="77777777" w:rsidR="00CF336B" w:rsidRPr="003E79A0" w:rsidRDefault="00CF336B" w:rsidP="00CF336B">
            <w:pPr>
              <w:jc w:val="center"/>
              <w:rPr>
                <w:sz w:val="14"/>
                <w:szCs w:val="14"/>
              </w:rPr>
            </w:pPr>
          </w:p>
        </w:tc>
        <w:tc>
          <w:tcPr>
            <w:tcW w:w="192" w:type="pct"/>
            <w:tcBorders>
              <w:top w:val="nil"/>
              <w:left w:val="nil"/>
              <w:bottom w:val="single" w:sz="4" w:space="0" w:color="auto"/>
              <w:right w:val="single" w:sz="4" w:space="0" w:color="auto"/>
            </w:tcBorders>
            <w:shd w:val="clear" w:color="auto" w:fill="auto"/>
            <w:noWrap/>
            <w:vAlign w:val="center"/>
          </w:tcPr>
          <w:p w14:paraId="292339A2" w14:textId="77777777" w:rsidR="00CF336B" w:rsidRPr="003E79A0" w:rsidRDefault="00CF336B" w:rsidP="00CF336B">
            <w:pPr>
              <w:jc w:val="center"/>
              <w:rPr>
                <w:sz w:val="14"/>
                <w:szCs w:val="14"/>
              </w:rPr>
            </w:pPr>
          </w:p>
        </w:tc>
        <w:tc>
          <w:tcPr>
            <w:tcW w:w="117" w:type="pct"/>
            <w:tcBorders>
              <w:top w:val="nil"/>
              <w:left w:val="nil"/>
              <w:bottom w:val="single" w:sz="4" w:space="0" w:color="auto"/>
              <w:right w:val="single" w:sz="4" w:space="0" w:color="auto"/>
            </w:tcBorders>
            <w:shd w:val="clear" w:color="auto" w:fill="auto"/>
            <w:noWrap/>
            <w:vAlign w:val="center"/>
          </w:tcPr>
          <w:p w14:paraId="4766BE50" w14:textId="77777777" w:rsidR="00CF336B" w:rsidRPr="003E79A0" w:rsidRDefault="00CF336B" w:rsidP="00CF336B">
            <w:pPr>
              <w:jc w:val="center"/>
              <w:rPr>
                <w:sz w:val="14"/>
                <w:szCs w:val="14"/>
              </w:rPr>
            </w:pPr>
          </w:p>
        </w:tc>
        <w:tc>
          <w:tcPr>
            <w:tcW w:w="128" w:type="pct"/>
            <w:tcBorders>
              <w:top w:val="nil"/>
              <w:left w:val="nil"/>
              <w:bottom w:val="single" w:sz="4" w:space="0" w:color="auto"/>
              <w:right w:val="single" w:sz="4" w:space="0" w:color="auto"/>
            </w:tcBorders>
            <w:shd w:val="clear" w:color="auto" w:fill="auto"/>
            <w:noWrap/>
            <w:vAlign w:val="center"/>
          </w:tcPr>
          <w:p w14:paraId="4B9FE152" w14:textId="77777777" w:rsidR="00CF336B" w:rsidRPr="003E79A0" w:rsidRDefault="00CF336B" w:rsidP="00CF336B">
            <w:pPr>
              <w:jc w:val="center"/>
              <w:rPr>
                <w:sz w:val="14"/>
                <w:szCs w:val="14"/>
              </w:rPr>
            </w:pPr>
          </w:p>
        </w:tc>
        <w:tc>
          <w:tcPr>
            <w:tcW w:w="94" w:type="pct"/>
            <w:tcBorders>
              <w:top w:val="nil"/>
              <w:left w:val="nil"/>
              <w:bottom w:val="single" w:sz="4" w:space="0" w:color="auto"/>
              <w:right w:val="single" w:sz="4" w:space="0" w:color="auto"/>
            </w:tcBorders>
            <w:shd w:val="clear" w:color="auto" w:fill="auto"/>
            <w:noWrap/>
            <w:vAlign w:val="center"/>
          </w:tcPr>
          <w:p w14:paraId="4F93F3F5" w14:textId="77777777" w:rsidR="00CF336B" w:rsidRPr="003E79A0" w:rsidRDefault="00CF336B" w:rsidP="00CF336B">
            <w:pPr>
              <w:jc w:val="center"/>
              <w:rPr>
                <w:sz w:val="14"/>
                <w:szCs w:val="14"/>
              </w:rPr>
            </w:pPr>
          </w:p>
        </w:tc>
        <w:tc>
          <w:tcPr>
            <w:tcW w:w="235" w:type="pct"/>
            <w:tcBorders>
              <w:top w:val="nil"/>
              <w:left w:val="nil"/>
              <w:bottom w:val="single" w:sz="4" w:space="0" w:color="auto"/>
              <w:right w:val="single" w:sz="4" w:space="0" w:color="auto"/>
            </w:tcBorders>
            <w:shd w:val="clear" w:color="auto" w:fill="auto"/>
            <w:noWrap/>
            <w:vAlign w:val="center"/>
          </w:tcPr>
          <w:p w14:paraId="7A02F0CA" w14:textId="77777777" w:rsidR="00CF336B" w:rsidRPr="003E79A0" w:rsidRDefault="00CF336B" w:rsidP="00CF336B">
            <w:pPr>
              <w:jc w:val="center"/>
              <w:rPr>
                <w:sz w:val="14"/>
                <w:szCs w:val="14"/>
              </w:rPr>
            </w:pPr>
          </w:p>
        </w:tc>
        <w:tc>
          <w:tcPr>
            <w:tcW w:w="120" w:type="pct"/>
            <w:tcBorders>
              <w:top w:val="nil"/>
              <w:left w:val="nil"/>
              <w:bottom w:val="single" w:sz="4" w:space="0" w:color="auto"/>
              <w:right w:val="single" w:sz="4" w:space="0" w:color="auto"/>
            </w:tcBorders>
            <w:shd w:val="clear" w:color="auto" w:fill="auto"/>
            <w:noWrap/>
            <w:vAlign w:val="center"/>
          </w:tcPr>
          <w:p w14:paraId="5DDC8013" w14:textId="77777777" w:rsidR="00CF336B" w:rsidRPr="003E79A0"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6F2A3B21" w14:textId="77777777" w:rsidR="00CF336B" w:rsidRPr="003E79A0" w:rsidRDefault="00CF336B" w:rsidP="00CF336B">
            <w:pPr>
              <w:jc w:val="center"/>
              <w:rPr>
                <w:b/>
                <w:bCs/>
                <w:sz w:val="14"/>
                <w:szCs w:val="14"/>
              </w:rPr>
            </w:pPr>
            <w:r w:rsidRPr="003E79A0">
              <w:rPr>
                <w:rFonts w:cstheme="minorHAnsi"/>
                <w:bCs/>
                <w:color w:val="000000"/>
                <w:sz w:val="14"/>
                <w:szCs w:val="14"/>
              </w:rPr>
              <w:t>28</w:t>
            </w:r>
          </w:p>
        </w:tc>
        <w:tc>
          <w:tcPr>
            <w:tcW w:w="177" w:type="pct"/>
            <w:tcBorders>
              <w:top w:val="nil"/>
              <w:left w:val="nil"/>
              <w:bottom w:val="single" w:sz="4" w:space="0" w:color="auto"/>
              <w:right w:val="single" w:sz="4" w:space="0" w:color="auto"/>
            </w:tcBorders>
            <w:shd w:val="clear" w:color="auto" w:fill="auto"/>
            <w:noWrap/>
            <w:vAlign w:val="center"/>
          </w:tcPr>
          <w:p w14:paraId="422B6636" w14:textId="77777777" w:rsidR="00CF336B" w:rsidRPr="003E79A0" w:rsidRDefault="00CF336B" w:rsidP="00CF336B">
            <w:pPr>
              <w:jc w:val="center"/>
              <w:rPr>
                <w:b/>
                <w:bCs/>
                <w:sz w:val="14"/>
                <w:szCs w:val="14"/>
              </w:rPr>
            </w:pPr>
            <w:r w:rsidRPr="003E79A0">
              <w:rPr>
                <w:rFonts w:asciiTheme="majorHAnsi" w:hAnsiTheme="majorHAnsi" w:cstheme="majorHAnsi"/>
                <w:bCs/>
                <w:color w:val="000000"/>
                <w:sz w:val="14"/>
                <w:szCs w:val="14"/>
              </w:rPr>
              <w:t>13</w:t>
            </w:r>
          </w:p>
        </w:tc>
        <w:tc>
          <w:tcPr>
            <w:tcW w:w="186" w:type="pct"/>
            <w:tcBorders>
              <w:top w:val="nil"/>
              <w:left w:val="nil"/>
              <w:bottom w:val="single" w:sz="4" w:space="0" w:color="auto"/>
              <w:right w:val="single" w:sz="4" w:space="0" w:color="auto"/>
            </w:tcBorders>
            <w:shd w:val="clear" w:color="auto" w:fill="auto"/>
          </w:tcPr>
          <w:p w14:paraId="15FCFDF6" w14:textId="77777777" w:rsidR="00CF336B" w:rsidRPr="003E79A0" w:rsidRDefault="00CF336B" w:rsidP="00CF336B">
            <w:pPr>
              <w:jc w:val="center"/>
              <w:rPr>
                <w:b/>
                <w:bCs/>
                <w:sz w:val="14"/>
                <w:szCs w:val="14"/>
              </w:rPr>
            </w:pPr>
          </w:p>
        </w:tc>
        <w:tc>
          <w:tcPr>
            <w:tcW w:w="213" w:type="pct"/>
            <w:tcBorders>
              <w:top w:val="nil"/>
              <w:left w:val="nil"/>
              <w:bottom w:val="single" w:sz="4" w:space="0" w:color="auto"/>
              <w:right w:val="single" w:sz="4" w:space="0" w:color="auto"/>
            </w:tcBorders>
            <w:shd w:val="clear" w:color="auto" w:fill="auto"/>
            <w:vAlign w:val="center"/>
          </w:tcPr>
          <w:p w14:paraId="25A77FC4" w14:textId="77777777" w:rsidR="00CF336B" w:rsidRPr="003E79A0" w:rsidRDefault="00CF336B" w:rsidP="00CF336B">
            <w:pPr>
              <w:jc w:val="center"/>
              <w:rPr>
                <w:b/>
                <w:sz w:val="14"/>
                <w:szCs w:val="14"/>
              </w:rPr>
            </w:pPr>
            <w:r w:rsidRPr="003E79A0">
              <w:rPr>
                <w:rFonts w:cstheme="minorHAnsi"/>
                <w:b/>
                <w:bCs/>
                <w:color w:val="000000"/>
                <w:sz w:val="14"/>
                <w:szCs w:val="14"/>
              </w:rPr>
              <w:t>690</w:t>
            </w:r>
          </w:p>
        </w:tc>
      </w:tr>
      <w:tr w:rsidR="00BF508A" w:rsidRPr="001B4CA2" w14:paraId="4D6DCB57" w14:textId="77777777" w:rsidTr="009C5AEE">
        <w:trPr>
          <w:cantSplit/>
          <w:trHeight w:val="250"/>
        </w:trPr>
        <w:tc>
          <w:tcPr>
            <w:tcW w:w="877" w:type="pct"/>
            <w:tcBorders>
              <w:top w:val="nil"/>
              <w:left w:val="single" w:sz="4" w:space="0" w:color="auto"/>
              <w:bottom w:val="single" w:sz="4" w:space="0" w:color="auto"/>
              <w:right w:val="single" w:sz="4" w:space="0" w:color="auto"/>
            </w:tcBorders>
            <w:shd w:val="clear" w:color="auto" w:fill="auto"/>
            <w:vAlign w:val="center"/>
            <w:hideMark/>
          </w:tcPr>
          <w:p w14:paraId="332A5CD5" w14:textId="77777777" w:rsidR="00CF336B" w:rsidRPr="001B4CA2" w:rsidRDefault="00CF336B" w:rsidP="00CF336B">
            <w:pPr>
              <w:ind w:left="34"/>
              <w:jc w:val="left"/>
              <w:rPr>
                <w:b/>
                <w:bCs/>
                <w:sz w:val="16"/>
                <w:szCs w:val="16"/>
              </w:rPr>
            </w:pPr>
            <w:r w:rsidRPr="001B4CA2">
              <w:rPr>
                <w:b/>
                <w:bCs/>
                <w:sz w:val="16"/>
                <w:szCs w:val="16"/>
              </w:rPr>
              <w:t>UKUPNO</w:t>
            </w:r>
          </w:p>
        </w:tc>
        <w:tc>
          <w:tcPr>
            <w:tcW w:w="177" w:type="pct"/>
            <w:tcBorders>
              <w:top w:val="nil"/>
              <w:left w:val="nil"/>
              <w:bottom w:val="single" w:sz="4" w:space="0" w:color="auto"/>
              <w:right w:val="single" w:sz="4" w:space="0" w:color="auto"/>
            </w:tcBorders>
            <w:shd w:val="clear" w:color="auto" w:fill="auto"/>
            <w:noWrap/>
            <w:vAlign w:val="center"/>
          </w:tcPr>
          <w:p w14:paraId="7B381CD6" w14:textId="77777777" w:rsidR="00CF336B" w:rsidRPr="001B4CA2" w:rsidRDefault="00CF336B" w:rsidP="00CF336B">
            <w:pPr>
              <w:jc w:val="center"/>
              <w:rPr>
                <w:b/>
                <w:bCs/>
                <w:sz w:val="16"/>
                <w:szCs w:val="16"/>
              </w:rPr>
            </w:pPr>
            <w:r w:rsidRPr="001B4CA2">
              <w:rPr>
                <w:rFonts w:cstheme="minorHAnsi"/>
                <w:b/>
                <w:bCs/>
                <w:color w:val="000000"/>
                <w:sz w:val="14"/>
                <w:szCs w:val="14"/>
              </w:rPr>
              <w:t>590</w:t>
            </w:r>
          </w:p>
        </w:tc>
        <w:tc>
          <w:tcPr>
            <w:tcW w:w="177" w:type="pct"/>
            <w:tcBorders>
              <w:top w:val="nil"/>
              <w:left w:val="nil"/>
              <w:bottom w:val="single" w:sz="4" w:space="0" w:color="auto"/>
              <w:right w:val="single" w:sz="4" w:space="0" w:color="auto"/>
            </w:tcBorders>
            <w:shd w:val="clear" w:color="auto" w:fill="auto"/>
            <w:noWrap/>
            <w:vAlign w:val="center"/>
          </w:tcPr>
          <w:p w14:paraId="32B72632" w14:textId="77777777" w:rsidR="00CF336B" w:rsidRPr="001B4CA2" w:rsidRDefault="00CF336B" w:rsidP="00CF336B">
            <w:pPr>
              <w:jc w:val="center"/>
              <w:rPr>
                <w:b/>
                <w:bCs/>
                <w:sz w:val="16"/>
                <w:szCs w:val="16"/>
              </w:rPr>
            </w:pPr>
            <w:r w:rsidRPr="001B4CA2">
              <w:rPr>
                <w:rFonts w:cstheme="minorHAnsi"/>
                <w:b/>
                <w:bCs/>
                <w:color w:val="000000"/>
                <w:sz w:val="14"/>
                <w:szCs w:val="14"/>
              </w:rPr>
              <w:t>263</w:t>
            </w:r>
          </w:p>
        </w:tc>
        <w:tc>
          <w:tcPr>
            <w:tcW w:w="177" w:type="pct"/>
            <w:tcBorders>
              <w:top w:val="nil"/>
              <w:left w:val="nil"/>
              <w:bottom w:val="single" w:sz="4" w:space="0" w:color="auto"/>
              <w:right w:val="single" w:sz="4" w:space="0" w:color="auto"/>
            </w:tcBorders>
            <w:shd w:val="clear" w:color="auto" w:fill="auto"/>
            <w:noWrap/>
            <w:vAlign w:val="center"/>
          </w:tcPr>
          <w:p w14:paraId="374107BC" w14:textId="77777777" w:rsidR="00CF336B" w:rsidRPr="001B4CA2" w:rsidRDefault="00CF336B" w:rsidP="00CF336B">
            <w:pPr>
              <w:jc w:val="center"/>
              <w:rPr>
                <w:b/>
                <w:bCs/>
                <w:sz w:val="16"/>
                <w:szCs w:val="16"/>
              </w:rPr>
            </w:pPr>
            <w:r w:rsidRPr="001B4CA2">
              <w:rPr>
                <w:rFonts w:cstheme="minorHAnsi"/>
                <w:b/>
                <w:bCs/>
                <w:color w:val="000000"/>
                <w:sz w:val="14"/>
                <w:szCs w:val="14"/>
              </w:rPr>
              <w:t>45</w:t>
            </w:r>
          </w:p>
        </w:tc>
        <w:tc>
          <w:tcPr>
            <w:tcW w:w="223" w:type="pct"/>
            <w:tcBorders>
              <w:top w:val="nil"/>
              <w:left w:val="nil"/>
              <w:bottom w:val="single" w:sz="4" w:space="0" w:color="auto"/>
              <w:right w:val="single" w:sz="4" w:space="0" w:color="auto"/>
            </w:tcBorders>
            <w:shd w:val="clear" w:color="auto" w:fill="auto"/>
            <w:vAlign w:val="center"/>
          </w:tcPr>
          <w:p w14:paraId="54D27A48" w14:textId="77777777" w:rsidR="00CF336B" w:rsidRPr="001B4CA2" w:rsidRDefault="00CF336B" w:rsidP="00CF336B">
            <w:pPr>
              <w:jc w:val="center"/>
              <w:rPr>
                <w:b/>
                <w:bCs/>
                <w:sz w:val="16"/>
                <w:szCs w:val="16"/>
              </w:rPr>
            </w:pPr>
            <w:r w:rsidRPr="001B4CA2">
              <w:rPr>
                <w:rFonts w:cstheme="minorHAnsi"/>
                <w:b/>
                <w:bCs/>
                <w:color w:val="000000"/>
                <w:sz w:val="14"/>
                <w:szCs w:val="14"/>
              </w:rPr>
              <w:t>6.113</w:t>
            </w:r>
          </w:p>
        </w:tc>
        <w:tc>
          <w:tcPr>
            <w:tcW w:w="221" w:type="pct"/>
            <w:tcBorders>
              <w:top w:val="nil"/>
              <w:left w:val="nil"/>
              <w:bottom w:val="single" w:sz="4" w:space="0" w:color="auto"/>
              <w:right w:val="single" w:sz="4" w:space="0" w:color="auto"/>
            </w:tcBorders>
            <w:shd w:val="clear" w:color="auto" w:fill="auto"/>
            <w:noWrap/>
            <w:vAlign w:val="center"/>
          </w:tcPr>
          <w:p w14:paraId="29AA04D5" w14:textId="77777777" w:rsidR="00CF336B" w:rsidRPr="001B4CA2" w:rsidRDefault="00CF336B" w:rsidP="00CF336B">
            <w:pPr>
              <w:jc w:val="center"/>
              <w:rPr>
                <w:b/>
                <w:bCs/>
                <w:sz w:val="16"/>
                <w:szCs w:val="16"/>
              </w:rPr>
            </w:pPr>
            <w:r w:rsidRPr="001B4CA2">
              <w:rPr>
                <w:rFonts w:cstheme="minorHAnsi"/>
                <w:b/>
                <w:bCs/>
                <w:color w:val="000000"/>
                <w:sz w:val="14"/>
                <w:szCs w:val="14"/>
              </w:rPr>
              <w:t>1.234</w:t>
            </w:r>
          </w:p>
        </w:tc>
        <w:tc>
          <w:tcPr>
            <w:tcW w:w="178" w:type="pct"/>
            <w:tcBorders>
              <w:top w:val="nil"/>
              <w:left w:val="nil"/>
              <w:bottom w:val="single" w:sz="4" w:space="0" w:color="auto"/>
              <w:right w:val="single" w:sz="4" w:space="0" w:color="auto"/>
            </w:tcBorders>
            <w:shd w:val="clear" w:color="auto" w:fill="auto"/>
            <w:noWrap/>
            <w:vAlign w:val="center"/>
          </w:tcPr>
          <w:p w14:paraId="7A882FB3" w14:textId="77777777" w:rsidR="00CF336B" w:rsidRPr="001B4CA2" w:rsidRDefault="00CF336B" w:rsidP="00CF336B">
            <w:pPr>
              <w:jc w:val="center"/>
              <w:rPr>
                <w:b/>
                <w:bCs/>
                <w:sz w:val="16"/>
                <w:szCs w:val="16"/>
              </w:rPr>
            </w:pPr>
            <w:r w:rsidRPr="001B4CA2">
              <w:rPr>
                <w:rFonts w:cstheme="minorHAnsi"/>
                <w:b/>
                <w:bCs/>
                <w:color w:val="000000"/>
                <w:sz w:val="14"/>
                <w:szCs w:val="14"/>
              </w:rPr>
              <w:t>296</w:t>
            </w:r>
          </w:p>
        </w:tc>
        <w:tc>
          <w:tcPr>
            <w:tcW w:w="179" w:type="pct"/>
            <w:tcBorders>
              <w:top w:val="nil"/>
              <w:left w:val="nil"/>
              <w:bottom w:val="single" w:sz="4" w:space="0" w:color="auto"/>
              <w:right w:val="single" w:sz="4" w:space="0" w:color="auto"/>
            </w:tcBorders>
            <w:shd w:val="clear" w:color="auto" w:fill="auto"/>
            <w:noWrap/>
            <w:vAlign w:val="center"/>
          </w:tcPr>
          <w:p w14:paraId="559ADB70" w14:textId="77777777" w:rsidR="00CF336B" w:rsidRPr="001B4CA2" w:rsidRDefault="00CF336B" w:rsidP="00CF336B">
            <w:pPr>
              <w:jc w:val="center"/>
              <w:rPr>
                <w:b/>
                <w:bCs/>
                <w:sz w:val="16"/>
                <w:szCs w:val="16"/>
              </w:rPr>
            </w:pPr>
            <w:r w:rsidRPr="001B4CA2">
              <w:rPr>
                <w:rFonts w:cstheme="minorHAnsi"/>
                <w:b/>
                <w:bCs/>
                <w:color w:val="000000"/>
                <w:sz w:val="14"/>
                <w:szCs w:val="14"/>
              </w:rPr>
              <w:t>24</w:t>
            </w:r>
          </w:p>
        </w:tc>
        <w:tc>
          <w:tcPr>
            <w:tcW w:w="222" w:type="pct"/>
            <w:tcBorders>
              <w:top w:val="nil"/>
              <w:left w:val="nil"/>
              <w:bottom w:val="single" w:sz="4" w:space="0" w:color="auto"/>
              <w:right w:val="single" w:sz="4" w:space="0" w:color="auto"/>
            </w:tcBorders>
            <w:shd w:val="clear" w:color="auto" w:fill="auto"/>
            <w:noWrap/>
            <w:vAlign w:val="center"/>
          </w:tcPr>
          <w:p w14:paraId="30E149CE" w14:textId="77777777" w:rsidR="00CF336B" w:rsidRPr="001B4CA2" w:rsidRDefault="00CF336B" w:rsidP="00CF336B">
            <w:pPr>
              <w:jc w:val="center"/>
              <w:rPr>
                <w:b/>
                <w:bCs/>
                <w:sz w:val="16"/>
                <w:szCs w:val="16"/>
              </w:rPr>
            </w:pPr>
            <w:r w:rsidRPr="001B4CA2">
              <w:rPr>
                <w:rFonts w:cstheme="minorHAnsi"/>
                <w:b/>
                <w:sz w:val="14"/>
                <w:szCs w:val="14"/>
              </w:rPr>
              <w:t>38.295</w:t>
            </w:r>
          </w:p>
        </w:tc>
        <w:tc>
          <w:tcPr>
            <w:tcW w:w="176" w:type="pct"/>
            <w:tcBorders>
              <w:top w:val="nil"/>
              <w:left w:val="nil"/>
              <w:bottom w:val="single" w:sz="4" w:space="0" w:color="auto"/>
              <w:right w:val="single" w:sz="4" w:space="0" w:color="auto"/>
            </w:tcBorders>
            <w:shd w:val="clear" w:color="auto" w:fill="auto"/>
            <w:noWrap/>
            <w:vAlign w:val="center"/>
          </w:tcPr>
          <w:p w14:paraId="4DD92FD0" w14:textId="77777777" w:rsidR="00CF336B" w:rsidRPr="001B4CA2" w:rsidRDefault="00CF336B" w:rsidP="00CF336B">
            <w:pPr>
              <w:jc w:val="center"/>
              <w:rPr>
                <w:b/>
                <w:bCs/>
                <w:sz w:val="16"/>
                <w:szCs w:val="16"/>
              </w:rPr>
            </w:pPr>
            <w:r w:rsidRPr="001B4CA2">
              <w:rPr>
                <w:rFonts w:cstheme="minorHAnsi"/>
                <w:b/>
                <w:bCs/>
                <w:color w:val="000000"/>
                <w:sz w:val="14"/>
                <w:szCs w:val="14"/>
              </w:rPr>
              <w:t>395</w:t>
            </w:r>
          </w:p>
        </w:tc>
        <w:tc>
          <w:tcPr>
            <w:tcW w:w="176" w:type="pct"/>
            <w:tcBorders>
              <w:top w:val="nil"/>
              <w:left w:val="nil"/>
              <w:bottom w:val="single" w:sz="4" w:space="0" w:color="auto"/>
              <w:right w:val="single" w:sz="4" w:space="0" w:color="auto"/>
            </w:tcBorders>
            <w:shd w:val="clear" w:color="auto" w:fill="auto"/>
            <w:noWrap/>
            <w:vAlign w:val="center"/>
          </w:tcPr>
          <w:p w14:paraId="200C1F72" w14:textId="77777777" w:rsidR="00CF336B" w:rsidRPr="001B4CA2" w:rsidRDefault="00CF336B" w:rsidP="00CF336B">
            <w:pPr>
              <w:jc w:val="center"/>
              <w:rPr>
                <w:b/>
                <w:bCs/>
                <w:sz w:val="16"/>
                <w:szCs w:val="16"/>
              </w:rPr>
            </w:pPr>
            <w:r w:rsidRPr="001B4CA2">
              <w:rPr>
                <w:rFonts w:cstheme="minorHAnsi"/>
                <w:b/>
                <w:bCs/>
                <w:color w:val="000000"/>
                <w:sz w:val="14"/>
                <w:szCs w:val="14"/>
              </w:rPr>
              <w:t>176</w:t>
            </w:r>
          </w:p>
        </w:tc>
        <w:tc>
          <w:tcPr>
            <w:tcW w:w="178" w:type="pct"/>
            <w:tcBorders>
              <w:top w:val="nil"/>
              <w:left w:val="nil"/>
              <w:bottom w:val="single" w:sz="4" w:space="0" w:color="auto"/>
              <w:right w:val="single" w:sz="4" w:space="0" w:color="auto"/>
            </w:tcBorders>
            <w:shd w:val="clear" w:color="auto" w:fill="auto"/>
            <w:noWrap/>
            <w:vAlign w:val="center"/>
          </w:tcPr>
          <w:p w14:paraId="0C1F2CF0" w14:textId="77777777" w:rsidR="00CF336B" w:rsidRPr="001B4CA2" w:rsidRDefault="00CF336B" w:rsidP="00CF336B">
            <w:pPr>
              <w:jc w:val="center"/>
              <w:rPr>
                <w:b/>
                <w:bCs/>
                <w:sz w:val="16"/>
                <w:szCs w:val="16"/>
              </w:rPr>
            </w:pPr>
            <w:r w:rsidRPr="001B4CA2">
              <w:rPr>
                <w:rFonts w:cstheme="minorHAnsi"/>
                <w:b/>
                <w:bCs/>
                <w:color w:val="000000"/>
                <w:sz w:val="14"/>
                <w:szCs w:val="14"/>
              </w:rPr>
              <w:t>45</w:t>
            </w:r>
          </w:p>
        </w:tc>
        <w:tc>
          <w:tcPr>
            <w:tcW w:w="177" w:type="pct"/>
            <w:tcBorders>
              <w:top w:val="nil"/>
              <w:left w:val="nil"/>
              <w:bottom w:val="single" w:sz="4" w:space="0" w:color="auto"/>
              <w:right w:val="single" w:sz="4" w:space="0" w:color="auto"/>
            </w:tcBorders>
            <w:shd w:val="clear" w:color="auto" w:fill="auto"/>
            <w:noWrap/>
            <w:vAlign w:val="center"/>
          </w:tcPr>
          <w:p w14:paraId="230BA278" w14:textId="77777777" w:rsidR="00CF336B" w:rsidRPr="001B4CA2" w:rsidRDefault="00CF336B" w:rsidP="00CF336B">
            <w:pPr>
              <w:jc w:val="center"/>
              <w:rPr>
                <w:b/>
                <w:bCs/>
                <w:sz w:val="16"/>
                <w:szCs w:val="16"/>
              </w:rPr>
            </w:pPr>
            <w:r w:rsidRPr="001B4CA2">
              <w:rPr>
                <w:rFonts w:cstheme="minorHAnsi"/>
                <w:b/>
                <w:sz w:val="14"/>
                <w:szCs w:val="14"/>
              </w:rPr>
              <w:t>3.570</w:t>
            </w:r>
          </w:p>
        </w:tc>
        <w:tc>
          <w:tcPr>
            <w:tcW w:w="101" w:type="pct"/>
            <w:tcBorders>
              <w:top w:val="nil"/>
              <w:left w:val="nil"/>
              <w:bottom w:val="single" w:sz="4" w:space="0" w:color="auto"/>
              <w:right w:val="single" w:sz="4" w:space="0" w:color="auto"/>
            </w:tcBorders>
            <w:shd w:val="clear" w:color="auto" w:fill="auto"/>
            <w:noWrap/>
            <w:vAlign w:val="center"/>
          </w:tcPr>
          <w:p w14:paraId="1064A0AD" w14:textId="77777777" w:rsidR="00CF336B" w:rsidRPr="001B4CA2" w:rsidRDefault="00CF336B" w:rsidP="00CF336B">
            <w:pPr>
              <w:jc w:val="center"/>
              <w:rPr>
                <w:b/>
                <w:bCs/>
                <w:sz w:val="16"/>
                <w:szCs w:val="16"/>
              </w:rPr>
            </w:pPr>
            <w:r w:rsidRPr="001B4CA2">
              <w:rPr>
                <w:rFonts w:cstheme="minorHAnsi"/>
                <w:b/>
                <w:bCs/>
                <w:color w:val="000000"/>
                <w:sz w:val="14"/>
                <w:szCs w:val="14"/>
              </w:rPr>
              <w:t>8</w:t>
            </w:r>
          </w:p>
        </w:tc>
        <w:tc>
          <w:tcPr>
            <w:tcW w:w="122" w:type="pct"/>
            <w:tcBorders>
              <w:top w:val="nil"/>
              <w:left w:val="nil"/>
              <w:bottom w:val="single" w:sz="4" w:space="0" w:color="auto"/>
              <w:right w:val="single" w:sz="4" w:space="0" w:color="auto"/>
            </w:tcBorders>
            <w:shd w:val="clear" w:color="auto" w:fill="auto"/>
            <w:noWrap/>
            <w:vAlign w:val="center"/>
          </w:tcPr>
          <w:p w14:paraId="7F74C078" w14:textId="77777777" w:rsidR="00CF336B" w:rsidRPr="001B4CA2" w:rsidRDefault="00CF336B" w:rsidP="00CF336B">
            <w:pPr>
              <w:jc w:val="center"/>
              <w:rPr>
                <w:b/>
                <w:bCs/>
                <w:sz w:val="16"/>
                <w:szCs w:val="16"/>
              </w:rPr>
            </w:pPr>
            <w:r w:rsidRPr="001B4CA2">
              <w:rPr>
                <w:rFonts w:cstheme="minorHAnsi"/>
                <w:b/>
                <w:bCs/>
                <w:color w:val="000000"/>
                <w:sz w:val="14"/>
                <w:szCs w:val="14"/>
              </w:rPr>
              <w:t>4</w:t>
            </w:r>
          </w:p>
        </w:tc>
        <w:tc>
          <w:tcPr>
            <w:tcW w:w="192" w:type="pct"/>
            <w:tcBorders>
              <w:top w:val="nil"/>
              <w:left w:val="nil"/>
              <w:bottom w:val="single" w:sz="4" w:space="0" w:color="auto"/>
              <w:right w:val="single" w:sz="4" w:space="0" w:color="auto"/>
            </w:tcBorders>
            <w:shd w:val="clear" w:color="auto" w:fill="auto"/>
            <w:noWrap/>
            <w:vAlign w:val="center"/>
          </w:tcPr>
          <w:p w14:paraId="3D08C191" w14:textId="77777777" w:rsidR="00CF336B" w:rsidRPr="001B4CA2" w:rsidRDefault="00CF336B" w:rsidP="00CF336B">
            <w:pPr>
              <w:jc w:val="center"/>
              <w:rPr>
                <w:b/>
                <w:bCs/>
                <w:sz w:val="16"/>
                <w:szCs w:val="16"/>
              </w:rPr>
            </w:pPr>
            <w:r w:rsidRPr="001B4CA2">
              <w:rPr>
                <w:rFonts w:cstheme="minorHAnsi"/>
                <w:b/>
                <w:bCs/>
                <w:color w:val="000000"/>
                <w:sz w:val="14"/>
                <w:szCs w:val="14"/>
              </w:rPr>
              <w:t>50</w:t>
            </w:r>
          </w:p>
        </w:tc>
        <w:tc>
          <w:tcPr>
            <w:tcW w:w="117" w:type="pct"/>
            <w:tcBorders>
              <w:top w:val="nil"/>
              <w:left w:val="nil"/>
              <w:bottom w:val="single" w:sz="4" w:space="0" w:color="auto"/>
              <w:right w:val="single" w:sz="4" w:space="0" w:color="auto"/>
            </w:tcBorders>
            <w:shd w:val="clear" w:color="auto" w:fill="auto"/>
            <w:noWrap/>
            <w:vAlign w:val="center"/>
          </w:tcPr>
          <w:p w14:paraId="13F6A8D3" w14:textId="77777777" w:rsidR="00CF336B" w:rsidRPr="001B4CA2" w:rsidRDefault="00CF336B" w:rsidP="00CF336B">
            <w:pPr>
              <w:jc w:val="center"/>
              <w:rPr>
                <w:b/>
                <w:bCs/>
                <w:sz w:val="16"/>
                <w:szCs w:val="16"/>
              </w:rPr>
            </w:pPr>
            <w:r w:rsidRPr="001B4CA2">
              <w:rPr>
                <w:rFonts w:cstheme="minorHAnsi"/>
                <w:b/>
                <w:bCs/>
                <w:color w:val="000000"/>
                <w:sz w:val="14"/>
                <w:szCs w:val="14"/>
              </w:rPr>
              <w:t>64</w:t>
            </w:r>
          </w:p>
        </w:tc>
        <w:tc>
          <w:tcPr>
            <w:tcW w:w="128" w:type="pct"/>
            <w:tcBorders>
              <w:top w:val="nil"/>
              <w:left w:val="nil"/>
              <w:bottom w:val="single" w:sz="4" w:space="0" w:color="auto"/>
              <w:right w:val="single" w:sz="4" w:space="0" w:color="auto"/>
            </w:tcBorders>
            <w:shd w:val="clear" w:color="auto" w:fill="auto"/>
            <w:noWrap/>
            <w:vAlign w:val="center"/>
          </w:tcPr>
          <w:p w14:paraId="78B775A0" w14:textId="77777777" w:rsidR="00CF336B" w:rsidRPr="001B4CA2" w:rsidRDefault="00CF336B" w:rsidP="00CF336B">
            <w:pPr>
              <w:jc w:val="center"/>
              <w:rPr>
                <w:b/>
                <w:bCs/>
                <w:sz w:val="16"/>
                <w:szCs w:val="16"/>
              </w:rPr>
            </w:pPr>
            <w:r w:rsidRPr="001B4CA2">
              <w:rPr>
                <w:rFonts w:cstheme="minorHAnsi"/>
                <w:b/>
                <w:bCs/>
                <w:color w:val="000000"/>
                <w:sz w:val="14"/>
                <w:szCs w:val="14"/>
              </w:rPr>
              <w:t>33</w:t>
            </w:r>
          </w:p>
        </w:tc>
        <w:tc>
          <w:tcPr>
            <w:tcW w:w="94" w:type="pct"/>
            <w:tcBorders>
              <w:top w:val="nil"/>
              <w:left w:val="nil"/>
              <w:bottom w:val="single" w:sz="4" w:space="0" w:color="auto"/>
              <w:right w:val="single" w:sz="4" w:space="0" w:color="auto"/>
            </w:tcBorders>
            <w:shd w:val="clear" w:color="auto" w:fill="auto"/>
            <w:noWrap/>
            <w:vAlign w:val="center"/>
          </w:tcPr>
          <w:p w14:paraId="31286633" w14:textId="77777777" w:rsidR="00CF336B" w:rsidRPr="001B4CA2" w:rsidRDefault="00CF336B" w:rsidP="00CF336B">
            <w:pPr>
              <w:jc w:val="center"/>
              <w:rPr>
                <w:b/>
                <w:bCs/>
                <w:sz w:val="16"/>
                <w:szCs w:val="16"/>
              </w:rPr>
            </w:pPr>
            <w:r w:rsidRPr="001B4CA2">
              <w:rPr>
                <w:rFonts w:cstheme="minorHAnsi"/>
                <w:b/>
                <w:bCs/>
                <w:color w:val="000000"/>
                <w:sz w:val="14"/>
                <w:szCs w:val="14"/>
              </w:rPr>
              <w:t>3</w:t>
            </w:r>
          </w:p>
        </w:tc>
        <w:tc>
          <w:tcPr>
            <w:tcW w:w="235" w:type="pct"/>
            <w:tcBorders>
              <w:top w:val="nil"/>
              <w:left w:val="nil"/>
              <w:bottom w:val="single" w:sz="4" w:space="0" w:color="auto"/>
              <w:right w:val="single" w:sz="4" w:space="0" w:color="auto"/>
            </w:tcBorders>
            <w:shd w:val="clear" w:color="auto" w:fill="auto"/>
            <w:noWrap/>
            <w:vAlign w:val="center"/>
          </w:tcPr>
          <w:p w14:paraId="75E57BBB" w14:textId="77777777" w:rsidR="00CF336B" w:rsidRPr="001B4CA2" w:rsidRDefault="00CF336B" w:rsidP="00CF336B">
            <w:pPr>
              <w:jc w:val="center"/>
              <w:rPr>
                <w:b/>
                <w:bCs/>
                <w:sz w:val="16"/>
                <w:szCs w:val="16"/>
              </w:rPr>
            </w:pPr>
            <w:r w:rsidRPr="001B4CA2">
              <w:rPr>
                <w:rFonts w:cstheme="minorHAnsi"/>
                <w:b/>
                <w:bCs/>
                <w:color w:val="000000"/>
                <w:sz w:val="14"/>
                <w:szCs w:val="14"/>
              </w:rPr>
              <w:t>9</w:t>
            </w:r>
          </w:p>
        </w:tc>
        <w:tc>
          <w:tcPr>
            <w:tcW w:w="120" w:type="pct"/>
            <w:tcBorders>
              <w:top w:val="nil"/>
              <w:left w:val="nil"/>
              <w:bottom w:val="single" w:sz="4" w:space="0" w:color="auto"/>
              <w:right w:val="single" w:sz="4" w:space="0" w:color="auto"/>
            </w:tcBorders>
            <w:shd w:val="clear" w:color="auto" w:fill="auto"/>
            <w:noWrap/>
            <w:vAlign w:val="center"/>
          </w:tcPr>
          <w:p w14:paraId="7FC8A087" w14:textId="77777777" w:rsidR="00CF336B" w:rsidRPr="001B4CA2" w:rsidRDefault="00CF336B" w:rsidP="00CF336B">
            <w:pPr>
              <w:jc w:val="center"/>
              <w:rPr>
                <w:b/>
                <w:bCs/>
                <w:sz w:val="16"/>
                <w:szCs w:val="16"/>
              </w:rPr>
            </w:pPr>
            <w:r w:rsidRPr="001B4CA2">
              <w:rPr>
                <w:rFonts w:cstheme="minorHAnsi"/>
                <w:b/>
                <w:bCs/>
                <w:color w:val="000000"/>
                <w:sz w:val="14"/>
                <w:szCs w:val="14"/>
              </w:rPr>
              <w:t>45</w:t>
            </w:r>
          </w:p>
        </w:tc>
        <w:tc>
          <w:tcPr>
            <w:tcW w:w="177" w:type="pct"/>
            <w:tcBorders>
              <w:top w:val="nil"/>
              <w:left w:val="nil"/>
              <w:bottom w:val="single" w:sz="4" w:space="0" w:color="auto"/>
              <w:right w:val="single" w:sz="4" w:space="0" w:color="auto"/>
            </w:tcBorders>
            <w:shd w:val="clear" w:color="auto" w:fill="auto"/>
            <w:noWrap/>
            <w:vAlign w:val="center"/>
          </w:tcPr>
          <w:p w14:paraId="4EC354F3" w14:textId="77777777" w:rsidR="00CF336B" w:rsidRPr="001B4CA2" w:rsidRDefault="00CF336B" w:rsidP="00CF336B">
            <w:pPr>
              <w:jc w:val="center"/>
              <w:rPr>
                <w:b/>
                <w:bCs/>
                <w:sz w:val="12"/>
                <w:szCs w:val="12"/>
              </w:rPr>
            </w:pPr>
            <w:r w:rsidRPr="001B4CA2">
              <w:rPr>
                <w:rFonts w:cstheme="minorHAnsi"/>
                <w:b/>
                <w:bCs/>
                <w:color w:val="000000"/>
                <w:sz w:val="12"/>
                <w:szCs w:val="12"/>
              </w:rPr>
              <w:t>2.260</w:t>
            </w:r>
          </w:p>
        </w:tc>
        <w:tc>
          <w:tcPr>
            <w:tcW w:w="177" w:type="pct"/>
            <w:tcBorders>
              <w:top w:val="nil"/>
              <w:left w:val="nil"/>
              <w:bottom w:val="single" w:sz="4" w:space="0" w:color="auto"/>
              <w:right w:val="single" w:sz="4" w:space="0" w:color="auto"/>
            </w:tcBorders>
            <w:shd w:val="clear" w:color="auto" w:fill="auto"/>
            <w:noWrap/>
            <w:vAlign w:val="center"/>
          </w:tcPr>
          <w:p w14:paraId="369EDC7F" w14:textId="77777777" w:rsidR="00CF336B" w:rsidRPr="001B4CA2" w:rsidRDefault="00CF336B" w:rsidP="00CF336B">
            <w:pPr>
              <w:jc w:val="center"/>
              <w:rPr>
                <w:b/>
                <w:bCs/>
                <w:sz w:val="16"/>
                <w:szCs w:val="16"/>
              </w:rPr>
            </w:pPr>
            <w:r w:rsidRPr="001B4CA2">
              <w:rPr>
                <w:rFonts w:cstheme="minorHAnsi"/>
                <w:b/>
                <w:bCs/>
                <w:color w:val="000000"/>
                <w:sz w:val="14"/>
                <w:szCs w:val="14"/>
              </w:rPr>
              <w:t>742</w:t>
            </w:r>
          </w:p>
        </w:tc>
        <w:tc>
          <w:tcPr>
            <w:tcW w:w="186" w:type="pct"/>
            <w:tcBorders>
              <w:top w:val="nil"/>
              <w:left w:val="nil"/>
              <w:bottom w:val="single" w:sz="4" w:space="0" w:color="auto"/>
              <w:right w:val="single" w:sz="4" w:space="0" w:color="auto"/>
            </w:tcBorders>
            <w:shd w:val="clear" w:color="auto" w:fill="auto"/>
            <w:vAlign w:val="center"/>
          </w:tcPr>
          <w:p w14:paraId="077DD566" w14:textId="77777777" w:rsidR="00CF336B" w:rsidRPr="001B4CA2" w:rsidRDefault="00CF336B" w:rsidP="00CF336B">
            <w:pPr>
              <w:jc w:val="center"/>
              <w:rPr>
                <w:b/>
                <w:bCs/>
                <w:sz w:val="16"/>
                <w:szCs w:val="16"/>
              </w:rPr>
            </w:pPr>
            <w:r w:rsidRPr="001B4CA2">
              <w:rPr>
                <w:rFonts w:cstheme="minorHAnsi"/>
                <w:b/>
                <w:bCs/>
                <w:color w:val="000000"/>
                <w:sz w:val="14"/>
                <w:szCs w:val="14"/>
              </w:rPr>
              <w:t>33</w:t>
            </w:r>
          </w:p>
        </w:tc>
        <w:tc>
          <w:tcPr>
            <w:tcW w:w="213" w:type="pct"/>
            <w:tcBorders>
              <w:top w:val="nil"/>
              <w:left w:val="nil"/>
              <w:bottom w:val="single" w:sz="4" w:space="0" w:color="auto"/>
              <w:right w:val="single" w:sz="4" w:space="0" w:color="auto"/>
            </w:tcBorders>
            <w:shd w:val="clear" w:color="auto" w:fill="auto"/>
            <w:vAlign w:val="center"/>
          </w:tcPr>
          <w:p w14:paraId="017054B1" w14:textId="77777777" w:rsidR="00CF336B" w:rsidRPr="001B4CA2" w:rsidRDefault="00CF336B" w:rsidP="00CF336B">
            <w:pPr>
              <w:jc w:val="center"/>
              <w:rPr>
                <w:b/>
                <w:sz w:val="16"/>
                <w:szCs w:val="16"/>
              </w:rPr>
            </w:pPr>
            <w:r w:rsidRPr="001B4CA2">
              <w:rPr>
                <w:rFonts w:cstheme="minorHAnsi"/>
                <w:b/>
                <w:bCs/>
                <w:color w:val="000000"/>
                <w:sz w:val="14"/>
                <w:szCs w:val="14"/>
              </w:rPr>
              <w:t>48.088</w:t>
            </w:r>
          </w:p>
        </w:tc>
      </w:tr>
    </w:tbl>
    <w:p w14:paraId="226ADD30" w14:textId="185C62CC" w:rsidR="00CF336B" w:rsidRPr="001B4CA2" w:rsidRDefault="00CF336B" w:rsidP="00CF336B">
      <w:pPr>
        <w:ind w:left="-142" w:hanging="425"/>
        <w:contextualSpacing/>
        <w:jc w:val="left"/>
        <w:rPr>
          <w:i/>
          <w:snapToGrid w:val="0"/>
        </w:rPr>
      </w:pPr>
      <w:r w:rsidRPr="001B4CA2">
        <w:rPr>
          <w:i/>
        </w:rPr>
        <w:t>d) Sklopljene nagodbe prema zastupanom tijelu, vrsti i vrijednosti spora u 2022. – podnositelj zahtjeva Republika Hrvatska</w:t>
      </w:r>
    </w:p>
    <w:p w14:paraId="581C5531" w14:textId="77777777" w:rsidR="006A5FD3" w:rsidRPr="001B4CA2" w:rsidRDefault="006A5FD3" w:rsidP="00B35AC2">
      <w:pPr>
        <w:sectPr w:rsidR="006A5FD3" w:rsidRPr="001B4CA2" w:rsidSect="007418AF">
          <w:pgSz w:w="16838" w:h="11906" w:orient="landscape"/>
          <w:pgMar w:top="1417" w:right="1417" w:bottom="993" w:left="1417" w:header="1276" w:footer="709" w:gutter="0"/>
          <w:cols w:space="708"/>
          <w:docGrid w:linePitch="360"/>
        </w:sectPr>
      </w:pPr>
    </w:p>
    <w:p w14:paraId="2DA6E78D" w14:textId="24D7A693" w:rsidR="00965363" w:rsidRPr="001B4CA2" w:rsidRDefault="00CF336B" w:rsidP="00965363">
      <w:pPr>
        <w:rPr>
          <w:snapToGrid w:val="0"/>
        </w:rPr>
      </w:pPr>
      <w:r w:rsidRPr="001B4CA2">
        <w:rPr>
          <w:snapToGrid w:val="0"/>
        </w:rPr>
        <w:lastRenderedPageBreak/>
        <w:tab/>
      </w:r>
      <w:r w:rsidR="00965363" w:rsidRPr="001B4CA2">
        <w:rPr>
          <w:snapToGrid w:val="0"/>
        </w:rPr>
        <w:t>Iz djelokruga rada Ministarstva poljoprivrede proizlazi najveći broj sklopljenih nagodbi (40</w:t>
      </w:r>
      <w:r w:rsidR="005A76BE">
        <w:t> </w:t>
      </w:r>
      <w:r w:rsidR="00965363" w:rsidRPr="001B4CA2">
        <w:rPr>
          <w:snapToGrid w:val="0"/>
        </w:rPr>
        <w:t xml:space="preserve">%), i to s osnove i </w:t>
      </w:r>
      <w:proofErr w:type="spellStart"/>
      <w:r w:rsidR="00965363" w:rsidRPr="001B4CA2">
        <w:rPr>
          <w:snapToGrid w:val="0"/>
        </w:rPr>
        <w:t>stvarnopravnih</w:t>
      </w:r>
      <w:proofErr w:type="spellEnd"/>
      <w:r w:rsidR="00965363" w:rsidRPr="001B4CA2">
        <w:rPr>
          <w:snapToGrid w:val="0"/>
        </w:rPr>
        <w:t xml:space="preserve"> i </w:t>
      </w:r>
      <w:proofErr w:type="spellStart"/>
      <w:r w:rsidR="00965363" w:rsidRPr="001B4CA2">
        <w:rPr>
          <w:snapToGrid w:val="0"/>
        </w:rPr>
        <w:t>obveznopravih</w:t>
      </w:r>
      <w:proofErr w:type="spellEnd"/>
      <w:r w:rsidR="00965363" w:rsidRPr="001B4CA2">
        <w:rPr>
          <w:snapToGrid w:val="0"/>
        </w:rPr>
        <w:t xml:space="preserve"> zahtjeva, slijedi Ministarstvo financija, čiji je udio u sklopljenim nagodbama 14</w:t>
      </w:r>
      <w:r w:rsidR="005A76BE">
        <w:rPr>
          <w:snapToGrid w:val="0"/>
        </w:rPr>
        <w:t> </w:t>
      </w:r>
      <w:r w:rsidR="00965363" w:rsidRPr="001B4CA2">
        <w:rPr>
          <w:snapToGrid w:val="0"/>
        </w:rPr>
        <w:t>% s naslova naknade štete, a udio Ministarstva prostornoga uređenja, graditeljstva i državne imovine iznosi 5</w:t>
      </w:r>
      <w:r w:rsidR="005A76BE">
        <w:rPr>
          <w:snapToGrid w:val="0"/>
        </w:rPr>
        <w:t> </w:t>
      </w:r>
      <w:r w:rsidR="00965363" w:rsidRPr="001B4CA2">
        <w:rPr>
          <w:snapToGrid w:val="0"/>
        </w:rPr>
        <w:t>%.</w:t>
      </w:r>
    </w:p>
    <w:p w14:paraId="770DE4A3" w14:textId="77777777" w:rsidR="00965363" w:rsidRPr="001B4CA2" w:rsidRDefault="00965363" w:rsidP="00965363">
      <w:pPr>
        <w:rPr>
          <w:snapToGrid w:val="0"/>
        </w:rPr>
      </w:pPr>
    </w:p>
    <w:p w14:paraId="6B0927F0" w14:textId="43659B3C" w:rsidR="00965363" w:rsidRPr="001B4CA2" w:rsidRDefault="00965363" w:rsidP="00965363">
      <w:pPr>
        <w:rPr>
          <w:snapToGrid w:val="0"/>
        </w:rPr>
      </w:pPr>
      <w:r w:rsidRPr="001B4CA2">
        <w:rPr>
          <w:snapToGrid w:val="0"/>
        </w:rPr>
        <w:tab/>
        <w:t>U odnosu na udio broja sklopljenih nagodbi prema broju podnesenih zahtjeva za mirno rješenje spora ističe se Ministarstvo financija (82</w:t>
      </w:r>
      <w:r w:rsidR="005A76BE">
        <w:rPr>
          <w:snapToGrid w:val="0"/>
        </w:rPr>
        <w:t> </w:t>
      </w:r>
      <w:r w:rsidRPr="001B4CA2">
        <w:rPr>
          <w:snapToGrid w:val="0"/>
        </w:rPr>
        <w:t>%), slijedi Ministarstvo poljoprivrede (56</w:t>
      </w:r>
      <w:r w:rsidR="005A76BE">
        <w:rPr>
          <w:snapToGrid w:val="0"/>
        </w:rPr>
        <w:t> </w:t>
      </w:r>
      <w:r w:rsidRPr="001B4CA2">
        <w:rPr>
          <w:snapToGrid w:val="0"/>
        </w:rPr>
        <w:t>%) i Ministarstvo prostornoga uređenja, graditeljstva i državne imovine (30</w:t>
      </w:r>
      <w:r w:rsidR="005A76BE">
        <w:rPr>
          <w:snapToGrid w:val="0"/>
        </w:rPr>
        <w:t> </w:t>
      </w:r>
      <w:r w:rsidRPr="001B4CA2">
        <w:rPr>
          <w:snapToGrid w:val="0"/>
        </w:rPr>
        <w:t>%).</w:t>
      </w:r>
    </w:p>
    <w:p w14:paraId="62816577" w14:textId="594E2396" w:rsidR="00CF336B" w:rsidRPr="001B4CA2" w:rsidRDefault="00CF336B" w:rsidP="00965363">
      <w:pPr>
        <w:rPr>
          <w:snapToGrid w:val="0"/>
        </w:rPr>
      </w:pPr>
    </w:p>
    <w:p w14:paraId="42ADC6C8" w14:textId="24A50966" w:rsidR="00CF336B" w:rsidRPr="001B4CA2" w:rsidRDefault="009C5AEE" w:rsidP="00CF336B">
      <w:pPr>
        <w:ind w:left="142"/>
        <w:rPr>
          <w:i/>
        </w:rPr>
      </w:pPr>
      <w:r>
        <w:rPr>
          <w:i/>
        </w:rPr>
        <w:t xml:space="preserve">  </w:t>
      </w:r>
      <w:r w:rsidR="00CF336B" w:rsidRPr="001B4CA2">
        <w:rPr>
          <w:i/>
        </w:rPr>
        <w:t>e) Podnositelj zahtjeva – druge osobe, 2018. – 2022.</w:t>
      </w:r>
    </w:p>
    <w:tbl>
      <w:tblPr>
        <w:tblW w:w="473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856"/>
        <w:gridCol w:w="1858"/>
        <w:gridCol w:w="1858"/>
        <w:gridCol w:w="1603"/>
      </w:tblGrid>
      <w:tr w:rsidR="00CF336B" w:rsidRPr="001B4CA2" w14:paraId="23D4C1CA" w14:textId="77777777" w:rsidTr="009C5AEE">
        <w:trPr>
          <w:trHeight w:val="573"/>
        </w:trPr>
        <w:tc>
          <w:tcPr>
            <w:tcW w:w="918" w:type="pct"/>
            <w:shd w:val="clear" w:color="auto" w:fill="99CCFF"/>
            <w:vAlign w:val="center"/>
            <w:hideMark/>
          </w:tcPr>
          <w:p w14:paraId="1FAFBF13"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Godina</w:t>
            </w:r>
          </w:p>
        </w:tc>
        <w:tc>
          <w:tcPr>
            <w:tcW w:w="1056" w:type="pct"/>
            <w:shd w:val="clear" w:color="auto" w:fill="99CCFF"/>
            <w:vAlign w:val="center"/>
            <w:hideMark/>
          </w:tcPr>
          <w:p w14:paraId="3441FC44"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Broj podnesenih zahtjeva</w:t>
            </w:r>
          </w:p>
        </w:tc>
        <w:tc>
          <w:tcPr>
            <w:tcW w:w="1057" w:type="pct"/>
            <w:shd w:val="clear" w:color="auto" w:fill="99CCFF"/>
            <w:vAlign w:val="center"/>
            <w:hideMark/>
          </w:tcPr>
          <w:p w14:paraId="627797AA"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Broj sklopljenih nagodbi</w:t>
            </w:r>
          </w:p>
        </w:tc>
        <w:tc>
          <w:tcPr>
            <w:tcW w:w="1057" w:type="pct"/>
            <w:shd w:val="clear" w:color="auto" w:fill="99CCFF"/>
            <w:vAlign w:val="center"/>
            <w:hideMark/>
          </w:tcPr>
          <w:p w14:paraId="2102423B"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 sklopljenih nagodbi u odnosu na broj podnesenih zahtjeva</w:t>
            </w:r>
          </w:p>
        </w:tc>
        <w:tc>
          <w:tcPr>
            <w:tcW w:w="912" w:type="pct"/>
            <w:shd w:val="clear" w:color="auto" w:fill="99CCFF"/>
            <w:vAlign w:val="center"/>
            <w:hideMark/>
          </w:tcPr>
          <w:p w14:paraId="6EB3935E"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Vrijednost nagodbe</w:t>
            </w:r>
          </w:p>
          <w:p w14:paraId="7A29775A"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(u tisućama kuna)</w:t>
            </w:r>
          </w:p>
        </w:tc>
      </w:tr>
      <w:tr w:rsidR="00CF336B" w:rsidRPr="001B4CA2" w14:paraId="129B3501" w14:textId="77777777" w:rsidTr="009C5AEE">
        <w:trPr>
          <w:trHeight w:val="402"/>
        </w:trPr>
        <w:tc>
          <w:tcPr>
            <w:tcW w:w="918" w:type="pct"/>
            <w:shd w:val="clear" w:color="auto" w:fill="auto"/>
            <w:noWrap/>
            <w:vAlign w:val="center"/>
          </w:tcPr>
          <w:p w14:paraId="341B333B"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2018.</w:t>
            </w:r>
          </w:p>
        </w:tc>
        <w:tc>
          <w:tcPr>
            <w:tcW w:w="1056" w:type="pct"/>
            <w:shd w:val="clear" w:color="auto" w:fill="auto"/>
            <w:noWrap/>
            <w:vAlign w:val="center"/>
          </w:tcPr>
          <w:p w14:paraId="128937E7"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5.786</w:t>
            </w:r>
          </w:p>
        </w:tc>
        <w:tc>
          <w:tcPr>
            <w:tcW w:w="1057" w:type="pct"/>
            <w:shd w:val="clear" w:color="auto" w:fill="auto"/>
            <w:noWrap/>
            <w:vAlign w:val="center"/>
          </w:tcPr>
          <w:p w14:paraId="353247C0"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1.170</w:t>
            </w:r>
          </w:p>
        </w:tc>
        <w:tc>
          <w:tcPr>
            <w:tcW w:w="1057" w:type="pct"/>
            <w:shd w:val="clear" w:color="auto" w:fill="auto"/>
            <w:noWrap/>
            <w:vAlign w:val="center"/>
          </w:tcPr>
          <w:p w14:paraId="64F75861"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20 %</w:t>
            </w:r>
          </w:p>
        </w:tc>
        <w:tc>
          <w:tcPr>
            <w:tcW w:w="912" w:type="pct"/>
            <w:shd w:val="clear" w:color="auto" w:fill="auto"/>
            <w:noWrap/>
            <w:vAlign w:val="center"/>
          </w:tcPr>
          <w:p w14:paraId="000673F5"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139.422</w:t>
            </w:r>
          </w:p>
        </w:tc>
      </w:tr>
      <w:tr w:rsidR="00CF336B" w:rsidRPr="001B4CA2" w14:paraId="3E13539E" w14:textId="77777777" w:rsidTr="009C5AEE">
        <w:trPr>
          <w:trHeight w:val="402"/>
        </w:trPr>
        <w:tc>
          <w:tcPr>
            <w:tcW w:w="918" w:type="pct"/>
            <w:shd w:val="clear" w:color="auto" w:fill="auto"/>
            <w:noWrap/>
            <w:vAlign w:val="center"/>
          </w:tcPr>
          <w:p w14:paraId="674D2747"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2019.</w:t>
            </w:r>
          </w:p>
        </w:tc>
        <w:tc>
          <w:tcPr>
            <w:tcW w:w="1056" w:type="pct"/>
            <w:shd w:val="clear" w:color="auto" w:fill="auto"/>
            <w:noWrap/>
            <w:vAlign w:val="center"/>
          </w:tcPr>
          <w:p w14:paraId="15E8B3F8"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4.904</w:t>
            </w:r>
          </w:p>
        </w:tc>
        <w:tc>
          <w:tcPr>
            <w:tcW w:w="1057" w:type="pct"/>
            <w:shd w:val="clear" w:color="auto" w:fill="auto"/>
            <w:noWrap/>
            <w:vAlign w:val="center"/>
          </w:tcPr>
          <w:p w14:paraId="1B4CE4F2"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1.303</w:t>
            </w:r>
          </w:p>
        </w:tc>
        <w:tc>
          <w:tcPr>
            <w:tcW w:w="1057" w:type="pct"/>
            <w:shd w:val="clear" w:color="auto" w:fill="auto"/>
            <w:noWrap/>
            <w:vAlign w:val="center"/>
          </w:tcPr>
          <w:p w14:paraId="6FF7E610"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27 %</w:t>
            </w:r>
          </w:p>
        </w:tc>
        <w:tc>
          <w:tcPr>
            <w:tcW w:w="912" w:type="pct"/>
            <w:shd w:val="clear" w:color="auto" w:fill="auto"/>
            <w:noWrap/>
            <w:vAlign w:val="center"/>
          </w:tcPr>
          <w:p w14:paraId="1441DEF7"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62.924</w:t>
            </w:r>
          </w:p>
        </w:tc>
      </w:tr>
      <w:tr w:rsidR="00CF336B" w:rsidRPr="001B4CA2" w14:paraId="159B1EA8" w14:textId="77777777" w:rsidTr="009C5AEE">
        <w:trPr>
          <w:trHeight w:val="402"/>
        </w:trPr>
        <w:tc>
          <w:tcPr>
            <w:tcW w:w="918" w:type="pct"/>
            <w:shd w:val="clear" w:color="auto" w:fill="auto"/>
            <w:noWrap/>
            <w:vAlign w:val="center"/>
          </w:tcPr>
          <w:p w14:paraId="067B9C7C"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themeColor="text1"/>
                <w:sz w:val="18"/>
                <w:szCs w:val="18"/>
                <w:lang w:eastAsia="hr-HR"/>
              </w:rPr>
              <w:t>2020.</w:t>
            </w:r>
          </w:p>
        </w:tc>
        <w:tc>
          <w:tcPr>
            <w:tcW w:w="1056" w:type="pct"/>
            <w:shd w:val="clear" w:color="auto" w:fill="auto"/>
            <w:noWrap/>
            <w:vAlign w:val="center"/>
          </w:tcPr>
          <w:p w14:paraId="4F2EEA7B" w14:textId="77777777" w:rsidR="00CF336B" w:rsidRPr="001B4CA2" w:rsidRDefault="00CF336B" w:rsidP="00A14600">
            <w:pPr>
              <w:jc w:val="center"/>
              <w:rPr>
                <w:rFonts w:eastAsia="Times New Roman"/>
                <w:sz w:val="18"/>
                <w:szCs w:val="18"/>
                <w:lang w:eastAsia="hr-HR"/>
              </w:rPr>
            </w:pPr>
            <w:r w:rsidRPr="001B4CA2">
              <w:rPr>
                <w:rFonts w:cstheme="minorHAnsi"/>
                <w:bCs/>
                <w:color w:val="000000"/>
                <w:sz w:val="18"/>
                <w:szCs w:val="18"/>
              </w:rPr>
              <w:t>6.496</w:t>
            </w:r>
          </w:p>
        </w:tc>
        <w:tc>
          <w:tcPr>
            <w:tcW w:w="1057" w:type="pct"/>
            <w:shd w:val="clear" w:color="auto" w:fill="auto"/>
            <w:noWrap/>
            <w:vAlign w:val="center"/>
          </w:tcPr>
          <w:p w14:paraId="55E65BAE" w14:textId="77777777" w:rsidR="00CF336B" w:rsidRPr="001B4CA2" w:rsidRDefault="00CF336B" w:rsidP="00A14600">
            <w:pPr>
              <w:jc w:val="center"/>
              <w:rPr>
                <w:rFonts w:eastAsia="Times New Roman"/>
                <w:sz w:val="18"/>
                <w:szCs w:val="18"/>
                <w:lang w:eastAsia="hr-HR"/>
              </w:rPr>
            </w:pPr>
            <w:r w:rsidRPr="001B4CA2">
              <w:rPr>
                <w:rFonts w:cstheme="minorHAnsi"/>
                <w:bCs/>
                <w:color w:val="000000"/>
                <w:sz w:val="18"/>
                <w:szCs w:val="18"/>
              </w:rPr>
              <w:t>974</w:t>
            </w:r>
          </w:p>
        </w:tc>
        <w:tc>
          <w:tcPr>
            <w:tcW w:w="1057" w:type="pct"/>
            <w:shd w:val="clear" w:color="auto" w:fill="auto"/>
            <w:noWrap/>
            <w:vAlign w:val="center"/>
          </w:tcPr>
          <w:p w14:paraId="01580ABD" w14:textId="77777777" w:rsidR="00CF336B" w:rsidRPr="001B4CA2" w:rsidRDefault="00CF336B" w:rsidP="00A14600">
            <w:pPr>
              <w:jc w:val="center"/>
              <w:rPr>
                <w:rFonts w:eastAsia="Times New Roman"/>
                <w:sz w:val="18"/>
                <w:szCs w:val="18"/>
                <w:lang w:eastAsia="hr-HR"/>
              </w:rPr>
            </w:pPr>
            <w:r w:rsidRPr="001B4CA2">
              <w:rPr>
                <w:rFonts w:cstheme="minorHAnsi"/>
                <w:bCs/>
                <w:color w:val="000000"/>
                <w:sz w:val="18"/>
                <w:szCs w:val="18"/>
              </w:rPr>
              <w:t>15 %</w:t>
            </w:r>
          </w:p>
        </w:tc>
        <w:tc>
          <w:tcPr>
            <w:tcW w:w="912" w:type="pct"/>
            <w:shd w:val="clear" w:color="auto" w:fill="auto"/>
            <w:noWrap/>
            <w:vAlign w:val="center"/>
          </w:tcPr>
          <w:p w14:paraId="29A0B70C" w14:textId="77777777" w:rsidR="00CF336B" w:rsidRPr="001B4CA2" w:rsidRDefault="00CF336B" w:rsidP="00A14600">
            <w:pPr>
              <w:jc w:val="center"/>
              <w:rPr>
                <w:rFonts w:eastAsia="Times New Roman"/>
                <w:sz w:val="18"/>
                <w:szCs w:val="18"/>
                <w:lang w:eastAsia="hr-HR"/>
              </w:rPr>
            </w:pPr>
            <w:r w:rsidRPr="001B4CA2">
              <w:rPr>
                <w:rFonts w:cstheme="minorHAnsi"/>
                <w:bCs/>
                <w:color w:val="000000"/>
                <w:sz w:val="18"/>
                <w:szCs w:val="18"/>
              </w:rPr>
              <w:t>40.346</w:t>
            </w:r>
          </w:p>
        </w:tc>
      </w:tr>
      <w:tr w:rsidR="00CF336B" w:rsidRPr="001B4CA2" w14:paraId="7A3A314E" w14:textId="77777777" w:rsidTr="009C5AEE">
        <w:trPr>
          <w:trHeight w:val="402"/>
        </w:trPr>
        <w:tc>
          <w:tcPr>
            <w:tcW w:w="918" w:type="pct"/>
            <w:shd w:val="clear" w:color="auto" w:fill="auto"/>
            <w:noWrap/>
            <w:vAlign w:val="center"/>
          </w:tcPr>
          <w:p w14:paraId="7AF3C318"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themeColor="text1"/>
                <w:sz w:val="18"/>
                <w:szCs w:val="18"/>
                <w:lang w:eastAsia="hr-HR"/>
              </w:rPr>
              <w:t>2021.</w:t>
            </w:r>
          </w:p>
        </w:tc>
        <w:tc>
          <w:tcPr>
            <w:tcW w:w="1056" w:type="pct"/>
            <w:shd w:val="clear" w:color="auto" w:fill="auto"/>
            <w:noWrap/>
            <w:vAlign w:val="center"/>
          </w:tcPr>
          <w:p w14:paraId="749070C8" w14:textId="77777777" w:rsidR="00CF336B" w:rsidRPr="001B4CA2" w:rsidRDefault="00CF336B" w:rsidP="00A14600">
            <w:pPr>
              <w:jc w:val="center"/>
              <w:rPr>
                <w:rFonts w:eastAsia="Times New Roman"/>
                <w:sz w:val="18"/>
                <w:szCs w:val="18"/>
                <w:lang w:eastAsia="hr-HR"/>
              </w:rPr>
            </w:pPr>
            <w:r w:rsidRPr="001B4CA2">
              <w:rPr>
                <w:rFonts w:cstheme="minorHAnsi"/>
                <w:bCs/>
                <w:color w:val="000000"/>
                <w:sz w:val="18"/>
                <w:szCs w:val="18"/>
              </w:rPr>
              <w:t>14.437</w:t>
            </w:r>
          </w:p>
        </w:tc>
        <w:tc>
          <w:tcPr>
            <w:tcW w:w="1057" w:type="pct"/>
            <w:shd w:val="clear" w:color="auto" w:fill="auto"/>
            <w:noWrap/>
            <w:vAlign w:val="center"/>
          </w:tcPr>
          <w:p w14:paraId="64439108" w14:textId="77777777" w:rsidR="00CF336B" w:rsidRPr="001B4CA2" w:rsidRDefault="00CF336B" w:rsidP="00A14600">
            <w:pPr>
              <w:jc w:val="center"/>
              <w:rPr>
                <w:rFonts w:eastAsia="Times New Roman"/>
                <w:sz w:val="18"/>
                <w:szCs w:val="18"/>
                <w:lang w:eastAsia="hr-HR"/>
              </w:rPr>
            </w:pPr>
            <w:r w:rsidRPr="001B4CA2">
              <w:rPr>
                <w:rFonts w:cstheme="minorHAnsi"/>
                <w:bCs/>
                <w:color w:val="000000"/>
                <w:sz w:val="18"/>
                <w:szCs w:val="18"/>
              </w:rPr>
              <w:t>768</w:t>
            </w:r>
          </w:p>
        </w:tc>
        <w:tc>
          <w:tcPr>
            <w:tcW w:w="1057" w:type="pct"/>
            <w:shd w:val="clear" w:color="auto" w:fill="auto"/>
            <w:noWrap/>
            <w:vAlign w:val="center"/>
          </w:tcPr>
          <w:p w14:paraId="0F1FBACC" w14:textId="77777777" w:rsidR="00CF336B" w:rsidRPr="001B4CA2" w:rsidRDefault="00CF336B" w:rsidP="00A14600">
            <w:pPr>
              <w:jc w:val="center"/>
              <w:rPr>
                <w:rFonts w:eastAsia="Times New Roman"/>
                <w:sz w:val="18"/>
                <w:szCs w:val="18"/>
                <w:lang w:eastAsia="hr-HR"/>
              </w:rPr>
            </w:pPr>
            <w:r w:rsidRPr="001B4CA2">
              <w:rPr>
                <w:rFonts w:cstheme="minorHAnsi"/>
                <w:bCs/>
                <w:color w:val="000000"/>
                <w:sz w:val="18"/>
                <w:szCs w:val="18"/>
              </w:rPr>
              <w:t>5%</w:t>
            </w:r>
          </w:p>
        </w:tc>
        <w:tc>
          <w:tcPr>
            <w:tcW w:w="912" w:type="pct"/>
            <w:shd w:val="clear" w:color="auto" w:fill="auto"/>
            <w:noWrap/>
            <w:vAlign w:val="center"/>
          </w:tcPr>
          <w:p w14:paraId="4F4DE43F" w14:textId="77777777" w:rsidR="00CF336B" w:rsidRPr="001B4CA2" w:rsidRDefault="00CF336B" w:rsidP="00A14600">
            <w:pPr>
              <w:jc w:val="center"/>
              <w:rPr>
                <w:rFonts w:eastAsia="Times New Roman"/>
                <w:sz w:val="18"/>
                <w:szCs w:val="18"/>
                <w:lang w:eastAsia="hr-HR"/>
              </w:rPr>
            </w:pPr>
            <w:r w:rsidRPr="001B4CA2">
              <w:rPr>
                <w:rFonts w:cstheme="minorHAnsi"/>
                <w:bCs/>
                <w:color w:val="000000"/>
                <w:sz w:val="18"/>
                <w:szCs w:val="18"/>
              </w:rPr>
              <w:t>29.787</w:t>
            </w:r>
          </w:p>
        </w:tc>
      </w:tr>
      <w:tr w:rsidR="00CF336B" w:rsidRPr="001B4CA2" w14:paraId="4C74FD74" w14:textId="77777777" w:rsidTr="009C5AEE">
        <w:trPr>
          <w:trHeight w:val="402"/>
        </w:trPr>
        <w:tc>
          <w:tcPr>
            <w:tcW w:w="918" w:type="pct"/>
            <w:shd w:val="clear" w:color="auto" w:fill="auto"/>
            <w:noWrap/>
            <w:vAlign w:val="center"/>
          </w:tcPr>
          <w:p w14:paraId="2582772C"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themeColor="text1"/>
                <w:sz w:val="18"/>
                <w:szCs w:val="18"/>
                <w:lang w:eastAsia="hr-HR"/>
              </w:rPr>
              <w:t>2022.</w:t>
            </w:r>
          </w:p>
        </w:tc>
        <w:tc>
          <w:tcPr>
            <w:tcW w:w="1056" w:type="pct"/>
            <w:shd w:val="clear" w:color="auto" w:fill="auto"/>
            <w:noWrap/>
            <w:vAlign w:val="center"/>
          </w:tcPr>
          <w:p w14:paraId="192293F3" w14:textId="77777777" w:rsidR="00CF336B" w:rsidRPr="001B4CA2" w:rsidRDefault="00CF336B" w:rsidP="00A14600">
            <w:pPr>
              <w:jc w:val="center"/>
              <w:rPr>
                <w:bCs/>
                <w:sz w:val="18"/>
                <w:szCs w:val="18"/>
              </w:rPr>
            </w:pPr>
            <w:r w:rsidRPr="001B4CA2">
              <w:rPr>
                <w:rFonts w:cstheme="minorHAnsi"/>
                <w:bCs/>
                <w:color w:val="000000"/>
                <w:sz w:val="18"/>
                <w:szCs w:val="18"/>
              </w:rPr>
              <w:t>5.011</w:t>
            </w:r>
          </w:p>
        </w:tc>
        <w:tc>
          <w:tcPr>
            <w:tcW w:w="1057" w:type="pct"/>
            <w:shd w:val="clear" w:color="auto" w:fill="auto"/>
            <w:noWrap/>
            <w:vAlign w:val="center"/>
          </w:tcPr>
          <w:p w14:paraId="5E929742" w14:textId="77777777" w:rsidR="00CF336B" w:rsidRPr="001B4CA2" w:rsidRDefault="00CF336B" w:rsidP="00A14600">
            <w:pPr>
              <w:jc w:val="center"/>
              <w:rPr>
                <w:bCs/>
                <w:sz w:val="18"/>
                <w:szCs w:val="18"/>
              </w:rPr>
            </w:pPr>
            <w:r w:rsidRPr="001B4CA2">
              <w:rPr>
                <w:rFonts w:cstheme="minorHAnsi"/>
                <w:bCs/>
                <w:color w:val="000000"/>
                <w:sz w:val="18"/>
                <w:szCs w:val="18"/>
              </w:rPr>
              <w:t>1.064</w:t>
            </w:r>
          </w:p>
        </w:tc>
        <w:tc>
          <w:tcPr>
            <w:tcW w:w="1057" w:type="pct"/>
            <w:shd w:val="clear" w:color="auto" w:fill="auto"/>
            <w:noWrap/>
            <w:vAlign w:val="center"/>
          </w:tcPr>
          <w:p w14:paraId="38C1B1D8" w14:textId="77777777" w:rsidR="00CF336B" w:rsidRPr="001B4CA2" w:rsidRDefault="00CF336B" w:rsidP="00A14600">
            <w:pPr>
              <w:jc w:val="center"/>
              <w:rPr>
                <w:bCs/>
                <w:sz w:val="18"/>
                <w:szCs w:val="18"/>
              </w:rPr>
            </w:pPr>
            <w:r w:rsidRPr="001B4CA2">
              <w:rPr>
                <w:rFonts w:cstheme="minorHAnsi"/>
                <w:bCs/>
                <w:color w:val="000000"/>
                <w:sz w:val="18"/>
                <w:szCs w:val="18"/>
              </w:rPr>
              <w:t>21%</w:t>
            </w:r>
          </w:p>
        </w:tc>
        <w:tc>
          <w:tcPr>
            <w:tcW w:w="912" w:type="pct"/>
            <w:shd w:val="clear" w:color="auto" w:fill="auto"/>
            <w:noWrap/>
            <w:vAlign w:val="center"/>
          </w:tcPr>
          <w:p w14:paraId="79D07066" w14:textId="77777777" w:rsidR="00CF336B" w:rsidRPr="001B4CA2" w:rsidRDefault="00CF336B" w:rsidP="00A14600">
            <w:pPr>
              <w:jc w:val="center"/>
              <w:rPr>
                <w:bCs/>
                <w:sz w:val="18"/>
                <w:szCs w:val="18"/>
              </w:rPr>
            </w:pPr>
            <w:r w:rsidRPr="001B4CA2">
              <w:rPr>
                <w:rFonts w:cstheme="minorHAnsi"/>
                <w:bCs/>
                <w:color w:val="000000"/>
                <w:sz w:val="18"/>
                <w:szCs w:val="18"/>
              </w:rPr>
              <w:t>34.605</w:t>
            </w:r>
          </w:p>
        </w:tc>
      </w:tr>
    </w:tbl>
    <w:p w14:paraId="3F2C237B" w14:textId="77777777" w:rsidR="00CF336B" w:rsidRPr="001B4CA2" w:rsidRDefault="00CF336B" w:rsidP="00CF336B"/>
    <w:p w14:paraId="78291138" w14:textId="299F2CFC" w:rsidR="00965363" w:rsidRPr="001B4CA2" w:rsidRDefault="00CF336B" w:rsidP="00965363">
      <w:r w:rsidRPr="001B4CA2">
        <w:tab/>
      </w:r>
      <w:r w:rsidR="00965363" w:rsidRPr="001B4CA2">
        <w:t xml:space="preserve">Broj zahtjeva koje podnose fizičke i pravne osobe protiv Republike Hrvatske u 2022. godini znatno je manji nego u 2021. godini, ali je na razini prvog trogodišnjeg razdoblja. U izvještajnoj godini 21 zahtjev riješen </w:t>
      </w:r>
      <w:r w:rsidR="005A76BE" w:rsidRPr="001B4CA2">
        <w:t xml:space="preserve">je </w:t>
      </w:r>
      <w:r w:rsidR="00965363" w:rsidRPr="001B4CA2">
        <w:t>sklapanjem nagodbe.</w:t>
      </w:r>
    </w:p>
    <w:p w14:paraId="5A868D80" w14:textId="77777777" w:rsidR="00965363" w:rsidRPr="001B4CA2" w:rsidRDefault="00965363" w:rsidP="00965363"/>
    <w:p w14:paraId="76EF4096" w14:textId="5896EE4F" w:rsidR="00965363" w:rsidRPr="001B4CA2" w:rsidRDefault="00965363" w:rsidP="00965363">
      <w:r w:rsidRPr="001B4CA2">
        <w:tab/>
        <w:t>U odnosu na prethodno izvještajno razdoblje došlo je do povećanja broja sklopljenih nagodbi za 16</w:t>
      </w:r>
      <w:r w:rsidR="005A76BE">
        <w:rPr>
          <w:snapToGrid w:val="0"/>
        </w:rPr>
        <w:t> </w:t>
      </w:r>
      <w:r w:rsidRPr="001B4CA2">
        <w:t xml:space="preserve">%. Ovo povećanje broja sklopljenih nagodbi rezultat je činjenice da su u izvještajnoj godini izostali </w:t>
      </w:r>
      <w:proofErr w:type="spellStart"/>
      <w:r w:rsidRPr="001B4CA2">
        <w:t>radnopravni</w:t>
      </w:r>
      <w:proofErr w:type="spellEnd"/>
      <w:r w:rsidRPr="001B4CA2">
        <w:t xml:space="preserve"> zahtjevi državnih službenika temeljem uvećane osnovice plaće za 6</w:t>
      </w:r>
      <w:r w:rsidR="005A76BE">
        <w:rPr>
          <w:snapToGrid w:val="0"/>
        </w:rPr>
        <w:t> </w:t>
      </w:r>
      <w:r w:rsidRPr="001B4CA2">
        <w:t xml:space="preserve">% kojih je u prethodnoj godini bilo iznimno </w:t>
      </w:r>
      <w:r w:rsidR="005A76BE">
        <w:t>mnogo</w:t>
      </w:r>
      <w:r w:rsidRPr="001B4CA2">
        <w:t>, a koji su ocijenjeni kao neosnovani, što je potvrdio i Vrhovni sud Republike Hrvatske svojom odlukom u oglednom postupku.</w:t>
      </w:r>
    </w:p>
    <w:p w14:paraId="168EA93D" w14:textId="538DB992" w:rsidR="00CF336B" w:rsidRPr="001B4CA2" w:rsidRDefault="00CF336B" w:rsidP="00965363"/>
    <w:p w14:paraId="79FF4B3E" w14:textId="77777777" w:rsidR="00CF336B" w:rsidRPr="001B4CA2" w:rsidRDefault="00CF336B" w:rsidP="00CF336B"/>
    <w:p w14:paraId="5B6CFA4D" w14:textId="77777777" w:rsidR="00B72600" w:rsidRPr="001B4CA2" w:rsidRDefault="00B72600" w:rsidP="00B35AC2"/>
    <w:p w14:paraId="711D6078" w14:textId="77777777" w:rsidR="00B72600" w:rsidRPr="001B4CA2" w:rsidRDefault="00B72600" w:rsidP="00B35AC2"/>
    <w:p w14:paraId="3DB48777" w14:textId="77777777" w:rsidR="00B72600" w:rsidRPr="001B4CA2" w:rsidRDefault="00B72600" w:rsidP="00B35AC2">
      <w:pPr>
        <w:sectPr w:rsidR="00B72600" w:rsidRPr="001B4CA2" w:rsidSect="007418AF">
          <w:pgSz w:w="11906" w:h="16838"/>
          <w:pgMar w:top="1417" w:right="1417" w:bottom="1417" w:left="1417" w:header="1276" w:footer="709" w:gutter="0"/>
          <w:cols w:space="708"/>
          <w:docGrid w:linePitch="360"/>
        </w:sectPr>
      </w:pPr>
    </w:p>
    <w:tbl>
      <w:tblPr>
        <w:tblpPr w:leftFromText="180" w:rightFromText="180" w:horzAnchor="margin" w:tblpXSpec="center" w:tblpY="615"/>
        <w:tblW w:w="5571" w:type="pct"/>
        <w:tblLayout w:type="fixed"/>
        <w:tblLook w:val="04A0" w:firstRow="1" w:lastRow="0" w:firstColumn="1" w:lastColumn="0" w:noHBand="0" w:noVBand="1"/>
      </w:tblPr>
      <w:tblGrid>
        <w:gridCol w:w="2802"/>
        <w:gridCol w:w="707"/>
        <w:gridCol w:w="567"/>
        <w:gridCol w:w="570"/>
        <w:gridCol w:w="710"/>
        <w:gridCol w:w="574"/>
        <w:gridCol w:w="561"/>
        <w:gridCol w:w="577"/>
        <w:gridCol w:w="577"/>
        <w:gridCol w:w="450"/>
        <w:gridCol w:w="387"/>
        <w:gridCol w:w="580"/>
        <w:gridCol w:w="570"/>
        <w:gridCol w:w="548"/>
        <w:gridCol w:w="450"/>
        <w:gridCol w:w="555"/>
        <w:gridCol w:w="555"/>
        <w:gridCol w:w="425"/>
        <w:gridCol w:w="279"/>
        <w:gridCol w:w="558"/>
        <w:gridCol w:w="399"/>
        <w:gridCol w:w="567"/>
        <w:gridCol w:w="612"/>
        <w:gridCol w:w="570"/>
        <w:gridCol w:w="694"/>
      </w:tblGrid>
      <w:tr w:rsidR="00FB2B5D" w:rsidRPr="001B4CA2" w14:paraId="21A9B15C" w14:textId="77777777" w:rsidTr="003E79A0">
        <w:trPr>
          <w:trHeight w:val="288"/>
        </w:trPr>
        <w:tc>
          <w:tcPr>
            <w:tcW w:w="884" w:type="pct"/>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7610EC2" w14:textId="77777777" w:rsidR="00CF336B" w:rsidRPr="001B4CA2" w:rsidRDefault="00CF336B" w:rsidP="00CF336B">
            <w:pPr>
              <w:ind w:left="317"/>
              <w:jc w:val="center"/>
              <w:rPr>
                <w:b/>
                <w:bCs/>
                <w:sz w:val="18"/>
                <w:szCs w:val="18"/>
              </w:rPr>
            </w:pPr>
            <w:r w:rsidRPr="001B4CA2">
              <w:rPr>
                <w:b/>
                <w:bCs/>
                <w:sz w:val="18"/>
                <w:szCs w:val="18"/>
              </w:rPr>
              <w:lastRenderedPageBreak/>
              <w:t xml:space="preserve">Naziv ministarstva ili drugog tijela </w:t>
            </w:r>
          </w:p>
        </w:tc>
        <w:tc>
          <w:tcPr>
            <w:tcW w:w="806" w:type="pct"/>
            <w:gridSpan w:val="4"/>
            <w:tcBorders>
              <w:top w:val="single" w:sz="4" w:space="0" w:color="auto"/>
              <w:left w:val="nil"/>
              <w:bottom w:val="single" w:sz="4" w:space="0" w:color="auto"/>
              <w:right w:val="single" w:sz="4" w:space="0" w:color="auto"/>
            </w:tcBorders>
            <w:shd w:val="clear" w:color="auto" w:fill="99CCFF"/>
            <w:vAlign w:val="center"/>
            <w:hideMark/>
          </w:tcPr>
          <w:p w14:paraId="71801173" w14:textId="77777777" w:rsidR="00CF336B" w:rsidRPr="001B4CA2" w:rsidRDefault="00CF336B" w:rsidP="00CF336B">
            <w:pPr>
              <w:jc w:val="center"/>
              <w:rPr>
                <w:b/>
                <w:bCs/>
                <w:sz w:val="18"/>
                <w:szCs w:val="18"/>
              </w:rPr>
            </w:pPr>
            <w:proofErr w:type="spellStart"/>
            <w:r w:rsidRPr="001B4CA2">
              <w:rPr>
                <w:b/>
                <w:bCs/>
                <w:sz w:val="18"/>
                <w:szCs w:val="18"/>
              </w:rPr>
              <w:t>Stvarnopravni</w:t>
            </w:r>
            <w:proofErr w:type="spellEnd"/>
            <w:r w:rsidRPr="001B4CA2">
              <w:rPr>
                <w:b/>
                <w:bCs/>
                <w:sz w:val="18"/>
                <w:szCs w:val="18"/>
              </w:rPr>
              <w:t xml:space="preserve"> sporovi</w:t>
            </w:r>
          </w:p>
        </w:tc>
        <w:tc>
          <w:tcPr>
            <w:tcW w:w="722" w:type="pct"/>
            <w:gridSpan w:val="4"/>
            <w:tcBorders>
              <w:top w:val="single" w:sz="4" w:space="0" w:color="auto"/>
              <w:left w:val="nil"/>
              <w:bottom w:val="single" w:sz="4" w:space="0" w:color="auto"/>
              <w:right w:val="single" w:sz="4" w:space="0" w:color="000000"/>
            </w:tcBorders>
            <w:shd w:val="clear" w:color="auto" w:fill="99CCFF"/>
            <w:vAlign w:val="center"/>
            <w:hideMark/>
          </w:tcPr>
          <w:p w14:paraId="592A54F9" w14:textId="77777777" w:rsidR="00CF336B" w:rsidRPr="001B4CA2" w:rsidRDefault="00CF336B" w:rsidP="00CF336B">
            <w:pPr>
              <w:jc w:val="center"/>
              <w:rPr>
                <w:b/>
                <w:bCs/>
                <w:sz w:val="18"/>
                <w:szCs w:val="18"/>
              </w:rPr>
            </w:pPr>
            <w:proofErr w:type="spellStart"/>
            <w:r w:rsidRPr="001B4CA2">
              <w:rPr>
                <w:b/>
                <w:bCs/>
                <w:sz w:val="18"/>
                <w:szCs w:val="18"/>
              </w:rPr>
              <w:t>Obveznopravni</w:t>
            </w:r>
            <w:proofErr w:type="spellEnd"/>
            <w:r w:rsidRPr="001B4CA2">
              <w:rPr>
                <w:b/>
                <w:bCs/>
                <w:sz w:val="18"/>
                <w:szCs w:val="18"/>
              </w:rPr>
              <w:t xml:space="preserve"> sporovi</w:t>
            </w:r>
          </w:p>
        </w:tc>
        <w:tc>
          <w:tcPr>
            <w:tcW w:w="627" w:type="pct"/>
            <w:gridSpan w:val="4"/>
            <w:tcBorders>
              <w:top w:val="single" w:sz="4" w:space="0" w:color="auto"/>
              <w:left w:val="nil"/>
              <w:bottom w:val="single" w:sz="4" w:space="0" w:color="auto"/>
              <w:right w:val="single" w:sz="4" w:space="0" w:color="auto"/>
            </w:tcBorders>
            <w:shd w:val="clear" w:color="auto" w:fill="99CCFF"/>
            <w:vAlign w:val="center"/>
            <w:hideMark/>
          </w:tcPr>
          <w:p w14:paraId="480AB963" w14:textId="77777777" w:rsidR="00CF336B" w:rsidRPr="001B4CA2" w:rsidRDefault="00CF336B" w:rsidP="00CF336B">
            <w:pPr>
              <w:jc w:val="center"/>
              <w:rPr>
                <w:b/>
                <w:bCs/>
                <w:sz w:val="18"/>
                <w:szCs w:val="18"/>
              </w:rPr>
            </w:pPr>
            <w:r w:rsidRPr="001B4CA2">
              <w:rPr>
                <w:b/>
                <w:bCs/>
                <w:sz w:val="18"/>
                <w:szCs w:val="18"/>
              </w:rPr>
              <w:t>Naknada štete</w:t>
            </w:r>
          </w:p>
        </w:tc>
        <w:tc>
          <w:tcPr>
            <w:tcW w:w="665" w:type="pct"/>
            <w:gridSpan w:val="4"/>
            <w:tcBorders>
              <w:top w:val="single" w:sz="4" w:space="0" w:color="auto"/>
              <w:left w:val="nil"/>
              <w:bottom w:val="nil"/>
              <w:right w:val="single" w:sz="4" w:space="0" w:color="000000"/>
            </w:tcBorders>
            <w:shd w:val="clear" w:color="auto" w:fill="99CCFF"/>
            <w:vAlign w:val="center"/>
            <w:hideMark/>
          </w:tcPr>
          <w:p w14:paraId="5E76D824" w14:textId="77777777" w:rsidR="00CF336B" w:rsidRPr="001B4CA2" w:rsidRDefault="00CF336B" w:rsidP="00CF336B">
            <w:pPr>
              <w:jc w:val="center"/>
              <w:rPr>
                <w:b/>
                <w:bCs/>
                <w:sz w:val="18"/>
                <w:szCs w:val="18"/>
              </w:rPr>
            </w:pPr>
            <w:r w:rsidRPr="001B4CA2">
              <w:rPr>
                <w:b/>
                <w:bCs/>
                <w:sz w:val="18"/>
                <w:szCs w:val="18"/>
              </w:rPr>
              <w:t>Radni sporovi</w:t>
            </w:r>
          </w:p>
        </w:tc>
        <w:tc>
          <w:tcPr>
            <w:tcW w:w="524" w:type="pct"/>
            <w:gridSpan w:val="4"/>
            <w:tcBorders>
              <w:top w:val="single" w:sz="4" w:space="0" w:color="auto"/>
              <w:left w:val="nil"/>
              <w:bottom w:val="nil"/>
              <w:right w:val="single" w:sz="4" w:space="0" w:color="000000"/>
            </w:tcBorders>
            <w:shd w:val="clear" w:color="auto" w:fill="99CCFF"/>
            <w:vAlign w:val="center"/>
            <w:hideMark/>
          </w:tcPr>
          <w:p w14:paraId="104EBA5E" w14:textId="77777777" w:rsidR="00CF336B" w:rsidRPr="001B4CA2" w:rsidRDefault="00CF336B" w:rsidP="00CF336B">
            <w:pPr>
              <w:jc w:val="center"/>
              <w:rPr>
                <w:b/>
                <w:bCs/>
                <w:sz w:val="18"/>
                <w:szCs w:val="18"/>
              </w:rPr>
            </w:pPr>
            <w:r w:rsidRPr="001B4CA2">
              <w:rPr>
                <w:b/>
                <w:bCs/>
                <w:sz w:val="18"/>
                <w:szCs w:val="18"/>
              </w:rPr>
              <w:t>Ostali parnični sporovi</w:t>
            </w:r>
          </w:p>
        </w:tc>
        <w:tc>
          <w:tcPr>
            <w:tcW w:w="771" w:type="pct"/>
            <w:gridSpan w:val="4"/>
            <w:vMerge w:val="restart"/>
            <w:tcBorders>
              <w:top w:val="single" w:sz="4" w:space="0" w:color="auto"/>
              <w:left w:val="single" w:sz="4" w:space="0" w:color="auto"/>
              <w:bottom w:val="nil"/>
              <w:right w:val="single" w:sz="4" w:space="0" w:color="000000"/>
            </w:tcBorders>
            <w:shd w:val="clear" w:color="auto" w:fill="99CCFF"/>
            <w:vAlign w:val="center"/>
            <w:hideMark/>
          </w:tcPr>
          <w:p w14:paraId="37506118" w14:textId="77777777" w:rsidR="00CF336B" w:rsidRPr="001B4CA2" w:rsidRDefault="00CF336B" w:rsidP="00CF336B">
            <w:pPr>
              <w:jc w:val="center"/>
              <w:rPr>
                <w:b/>
                <w:bCs/>
                <w:sz w:val="18"/>
                <w:szCs w:val="18"/>
              </w:rPr>
            </w:pPr>
            <w:r w:rsidRPr="001B4CA2">
              <w:rPr>
                <w:b/>
                <w:bCs/>
                <w:sz w:val="18"/>
                <w:szCs w:val="18"/>
              </w:rPr>
              <w:t>Ukupno podnositelj zahtjeva druge osobe</w:t>
            </w:r>
          </w:p>
        </w:tc>
      </w:tr>
      <w:tr w:rsidR="00FB2B5D" w:rsidRPr="001B4CA2" w14:paraId="2F8D2A51" w14:textId="77777777" w:rsidTr="003E79A0">
        <w:trPr>
          <w:trHeight w:val="268"/>
        </w:trPr>
        <w:tc>
          <w:tcPr>
            <w:tcW w:w="884" w:type="pct"/>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0605CF85" w14:textId="77777777" w:rsidR="00CF336B" w:rsidRPr="001B4CA2" w:rsidRDefault="00CF336B" w:rsidP="00CF336B">
            <w:pPr>
              <w:ind w:left="317"/>
              <w:rPr>
                <w:b/>
                <w:bCs/>
                <w:sz w:val="18"/>
                <w:szCs w:val="18"/>
              </w:rPr>
            </w:pPr>
          </w:p>
        </w:tc>
        <w:tc>
          <w:tcPr>
            <w:tcW w:w="806" w:type="pct"/>
            <w:gridSpan w:val="4"/>
            <w:tcBorders>
              <w:top w:val="single" w:sz="4" w:space="0" w:color="auto"/>
              <w:left w:val="nil"/>
              <w:bottom w:val="single" w:sz="4" w:space="0" w:color="auto"/>
              <w:right w:val="single" w:sz="4" w:space="0" w:color="000000"/>
            </w:tcBorders>
            <w:shd w:val="clear" w:color="auto" w:fill="99CCFF"/>
            <w:vAlign w:val="center"/>
            <w:hideMark/>
          </w:tcPr>
          <w:p w14:paraId="27F6E487" w14:textId="77777777" w:rsidR="00CF336B" w:rsidRPr="001B4CA2" w:rsidRDefault="00CF336B" w:rsidP="00CF336B">
            <w:pPr>
              <w:jc w:val="center"/>
              <w:rPr>
                <w:b/>
                <w:bCs/>
                <w:sz w:val="18"/>
                <w:szCs w:val="18"/>
              </w:rPr>
            </w:pPr>
            <w:r w:rsidRPr="001B4CA2">
              <w:rPr>
                <w:b/>
                <w:bCs/>
                <w:sz w:val="18"/>
                <w:szCs w:val="18"/>
              </w:rPr>
              <w:t xml:space="preserve">Podnositelj zahtjeva </w:t>
            </w:r>
          </w:p>
          <w:p w14:paraId="45A9E642" w14:textId="77777777" w:rsidR="00CF336B" w:rsidRPr="001B4CA2" w:rsidRDefault="00CF336B" w:rsidP="00CF336B">
            <w:pPr>
              <w:jc w:val="center"/>
              <w:rPr>
                <w:b/>
                <w:bCs/>
                <w:sz w:val="18"/>
                <w:szCs w:val="18"/>
              </w:rPr>
            </w:pPr>
            <w:r w:rsidRPr="001B4CA2">
              <w:rPr>
                <w:b/>
                <w:bCs/>
                <w:sz w:val="18"/>
                <w:szCs w:val="18"/>
              </w:rPr>
              <w:t>druge osobe</w:t>
            </w:r>
          </w:p>
        </w:tc>
        <w:tc>
          <w:tcPr>
            <w:tcW w:w="722" w:type="pct"/>
            <w:gridSpan w:val="4"/>
            <w:tcBorders>
              <w:top w:val="single" w:sz="4" w:space="0" w:color="auto"/>
              <w:left w:val="nil"/>
              <w:bottom w:val="single" w:sz="4" w:space="0" w:color="auto"/>
              <w:right w:val="single" w:sz="4" w:space="0" w:color="000000"/>
            </w:tcBorders>
            <w:shd w:val="clear" w:color="auto" w:fill="99CCFF"/>
            <w:vAlign w:val="center"/>
            <w:hideMark/>
          </w:tcPr>
          <w:p w14:paraId="21F35C4D" w14:textId="04A03B7F" w:rsidR="00CF336B" w:rsidRPr="001B4CA2" w:rsidRDefault="00CF336B" w:rsidP="00CF336B">
            <w:pPr>
              <w:jc w:val="center"/>
              <w:rPr>
                <w:b/>
                <w:bCs/>
                <w:sz w:val="18"/>
                <w:szCs w:val="18"/>
              </w:rPr>
            </w:pPr>
            <w:r w:rsidRPr="001B4CA2">
              <w:rPr>
                <w:b/>
                <w:bCs/>
                <w:sz w:val="18"/>
                <w:szCs w:val="18"/>
              </w:rPr>
              <w:t>Podnositelj zahtjeva</w:t>
            </w:r>
            <w:r w:rsidR="001B4CA2">
              <w:rPr>
                <w:b/>
                <w:bCs/>
                <w:sz w:val="18"/>
                <w:szCs w:val="18"/>
              </w:rPr>
              <w:t xml:space="preserve"> </w:t>
            </w:r>
          </w:p>
          <w:p w14:paraId="1028C626" w14:textId="77777777" w:rsidR="00CF336B" w:rsidRPr="001B4CA2" w:rsidRDefault="00CF336B" w:rsidP="00CF336B">
            <w:pPr>
              <w:jc w:val="center"/>
              <w:rPr>
                <w:b/>
                <w:bCs/>
                <w:sz w:val="18"/>
                <w:szCs w:val="18"/>
              </w:rPr>
            </w:pPr>
            <w:r w:rsidRPr="001B4CA2">
              <w:rPr>
                <w:b/>
                <w:bCs/>
                <w:sz w:val="18"/>
                <w:szCs w:val="18"/>
              </w:rPr>
              <w:t>druge osobe</w:t>
            </w:r>
          </w:p>
        </w:tc>
        <w:tc>
          <w:tcPr>
            <w:tcW w:w="627" w:type="pct"/>
            <w:gridSpan w:val="4"/>
            <w:tcBorders>
              <w:top w:val="single" w:sz="4" w:space="0" w:color="auto"/>
              <w:left w:val="nil"/>
              <w:bottom w:val="single" w:sz="4" w:space="0" w:color="auto"/>
              <w:right w:val="single" w:sz="4" w:space="0" w:color="000000"/>
            </w:tcBorders>
            <w:shd w:val="clear" w:color="auto" w:fill="99CCFF"/>
            <w:vAlign w:val="center"/>
            <w:hideMark/>
          </w:tcPr>
          <w:p w14:paraId="074660EC" w14:textId="77777777" w:rsidR="00CF336B" w:rsidRPr="001B4CA2" w:rsidRDefault="00CF336B" w:rsidP="00CF336B">
            <w:pPr>
              <w:jc w:val="center"/>
              <w:rPr>
                <w:b/>
                <w:bCs/>
                <w:sz w:val="18"/>
                <w:szCs w:val="18"/>
              </w:rPr>
            </w:pPr>
            <w:r w:rsidRPr="001B4CA2">
              <w:rPr>
                <w:b/>
                <w:bCs/>
                <w:sz w:val="18"/>
                <w:szCs w:val="18"/>
              </w:rPr>
              <w:t xml:space="preserve">Podnositelj zahtjeva </w:t>
            </w:r>
          </w:p>
          <w:p w14:paraId="3200EB4B" w14:textId="77777777" w:rsidR="00CF336B" w:rsidRPr="001B4CA2" w:rsidRDefault="00CF336B" w:rsidP="00CF336B">
            <w:pPr>
              <w:jc w:val="center"/>
              <w:rPr>
                <w:b/>
                <w:bCs/>
                <w:sz w:val="18"/>
                <w:szCs w:val="18"/>
              </w:rPr>
            </w:pPr>
            <w:r w:rsidRPr="001B4CA2">
              <w:rPr>
                <w:b/>
                <w:bCs/>
                <w:sz w:val="18"/>
                <w:szCs w:val="18"/>
              </w:rPr>
              <w:t>druge osobe</w:t>
            </w:r>
          </w:p>
        </w:tc>
        <w:tc>
          <w:tcPr>
            <w:tcW w:w="665" w:type="pct"/>
            <w:gridSpan w:val="4"/>
            <w:tcBorders>
              <w:top w:val="single" w:sz="4" w:space="0" w:color="auto"/>
              <w:left w:val="nil"/>
              <w:bottom w:val="single" w:sz="4" w:space="0" w:color="auto"/>
              <w:right w:val="single" w:sz="4" w:space="0" w:color="000000"/>
            </w:tcBorders>
            <w:shd w:val="clear" w:color="auto" w:fill="99CCFF"/>
            <w:vAlign w:val="center"/>
            <w:hideMark/>
          </w:tcPr>
          <w:p w14:paraId="684F6081" w14:textId="1E5D341D" w:rsidR="00CF336B" w:rsidRPr="001B4CA2" w:rsidRDefault="00CF336B" w:rsidP="00CF336B">
            <w:pPr>
              <w:jc w:val="center"/>
              <w:rPr>
                <w:b/>
                <w:bCs/>
                <w:sz w:val="18"/>
                <w:szCs w:val="18"/>
              </w:rPr>
            </w:pPr>
            <w:r w:rsidRPr="001B4CA2">
              <w:rPr>
                <w:b/>
                <w:bCs/>
                <w:sz w:val="18"/>
                <w:szCs w:val="18"/>
              </w:rPr>
              <w:t>Podnositelj zahtjeva</w:t>
            </w:r>
            <w:r w:rsidR="001B4CA2">
              <w:rPr>
                <w:b/>
                <w:bCs/>
                <w:sz w:val="18"/>
                <w:szCs w:val="18"/>
              </w:rPr>
              <w:t xml:space="preserve"> </w:t>
            </w:r>
          </w:p>
          <w:p w14:paraId="483620E9" w14:textId="77777777" w:rsidR="00CF336B" w:rsidRPr="001B4CA2" w:rsidRDefault="00CF336B" w:rsidP="00CF336B">
            <w:pPr>
              <w:jc w:val="center"/>
              <w:rPr>
                <w:b/>
                <w:bCs/>
                <w:sz w:val="18"/>
                <w:szCs w:val="18"/>
              </w:rPr>
            </w:pPr>
            <w:r w:rsidRPr="001B4CA2">
              <w:rPr>
                <w:b/>
                <w:bCs/>
                <w:sz w:val="18"/>
                <w:szCs w:val="18"/>
              </w:rPr>
              <w:t>druge osobe</w:t>
            </w:r>
          </w:p>
        </w:tc>
        <w:tc>
          <w:tcPr>
            <w:tcW w:w="524" w:type="pct"/>
            <w:gridSpan w:val="4"/>
            <w:tcBorders>
              <w:top w:val="single" w:sz="4" w:space="0" w:color="auto"/>
              <w:left w:val="nil"/>
              <w:bottom w:val="single" w:sz="4" w:space="0" w:color="auto"/>
              <w:right w:val="single" w:sz="4" w:space="0" w:color="000000"/>
            </w:tcBorders>
            <w:shd w:val="clear" w:color="auto" w:fill="99CCFF"/>
            <w:vAlign w:val="center"/>
            <w:hideMark/>
          </w:tcPr>
          <w:p w14:paraId="5F9961A2" w14:textId="6D86B301" w:rsidR="00CF336B" w:rsidRPr="001B4CA2" w:rsidRDefault="00CF336B" w:rsidP="00CF336B">
            <w:pPr>
              <w:jc w:val="center"/>
              <w:rPr>
                <w:b/>
                <w:bCs/>
                <w:sz w:val="18"/>
                <w:szCs w:val="18"/>
              </w:rPr>
            </w:pPr>
            <w:r w:rsidRPr="001B4CA2">
              <w:rPr>
                <w:b/>
                <w:bCs/>
                <w:sz w:val="18"/>
                <w:szCs w:val="18"/>
              </w:rPr>
              <w:t>Podnositelj zahtjeva</w:t>
            </w:r>
            <w:r w:rsidR="001B4CA2">
              <w:rPr>
                <w:b/>
                <w:bCs/>
                <w:sz w:val="18"/>
                <w:szCs w:val="18"/>
              </w:rPr>
              <w:t xml:space="preserve"> </w:t>
            </w:r>
          </w:p>
          <w:p w14:paraId="1A437FA3" w14:textId="77777777" w:rsidR="00CF336B" w:rsidRPr="001B4CA2" w:rsidRDefault="00CF336B" w:rsidP="00CF336B">
            <w:pPr>
              <w:jc w:val="center"/>
              <w:rPr>
                <w:b/>
                <w:bCs/>
                <w:sz w:val="18"/>
                <w:szCs w:val="18"/>
              </w:rPr>
            </w:pPr>
            <w:r w:rsidRPr="001B4CA2">
              <w:rPr>
                <w:b/>
                <w:bCs/>
                <w:sz w:val="18"/>
                <w:szCs w:val="18"/>
              </w:rPr>
              <w:t>druge osobe</w:t>
            </w:r>
          </w:p>
        </w:tc>
        <w:tc>
          <w:tcPr>
            <w:tcW w:w="771" w:type="pct"/>
            <w:gridSpan w:val="4"/>
            <w:vMerge/>
            <w:tcBorders>
              <w:top w:val="single" w:sz="4" w:space="0" w:color="auto"/>
              <w:left w:val="single" w:sz="4" w:space="0" w:color="auto"/>
              <w:bottom w:val="nil"/>
              <w:right w:val="single" w:sz="4" w:space="0" w:color="000000"/>
            </w:tcBorders>
            <w:shd w:val="clear" w:color="auto" w:fill="99CCFF"/>
            <w:vAlign w:val="center"/>
            <w:hideMark/>
          </w:tcPr>
          <w:p w14:paraId="2A844664" w14:textId="77777777" w:rsidR="00CF336B" w:rsidRPr="001B4CA2" w:rsidRDefault="00CF336B" w:rsidP="00CF336B">
            <w:pPr>
              <w:rPr>
                <w:b/>
                <w:bCs/>
                <w:sz w:val="18"/>
                <w:szCs w:val="18"/>
              </w:rPr>
            </w:pPr>
          </w:p>
        </w:tc>
      </w:tr>
      <w:tr w:rsidR="00FB2B5D" w:rsidRPr="001B4CA2" w14:paraId="37600F7B" w14:textId="77777777" w:rsidTr="003E79A0">
        <w:trPr>
          <w:trHeight w:val="1497"/>
        </w:trPr>
        <w:tc>
          <w:tcPr>
            <w:tcW w:w="884" w:type="pct"/>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559D43E9" w14:textId="77777777" w:rsidR="00CF336B" w:rsidRPr="001B4CA2" w:rsidRDefault="00CF336B" w:rsidP="00CF336B">
            <w:pPr>
              <w:ind w:left="317"/>
              <w:rPr>
                <w:b/>
                <w:bCs/>
                <w:sz w:val="18"/>
                <w:szCs w:val="18"/>
              </w:rPr>
            </w:pPr>
          </w:p>
        </w:tc>
        <w:tc>
          <w:tcPr>
            <w:tcW w:w="223" w:type="pct"/>
            <w:tcBorders>
              <w:top w:val="nil"/>
              <w:left w:val="nil"/>
              <w:bottom w:val="single" w:sz="4" w:space="0" w:color="auto"/>
              <w:right w:val="single" w:sz="4" w:space="0" w:color="auto"/>
            </w:tcBorders>
            <w:shd w:val="clear" w:color="auto" w:fill="99CCFF"/>
            <w:textDirection w:val="btLr"/>
            <w:vAlign w:val="center"/>
            <w:hideMark/>
          </w:tcPr>
          <w:p w14:paraId="0D431D5C" w14:textId="77777777" w:rsidR="00CF336B" w:rsidRPr="001B4CA2" w:rsidRDefault="00CF336B" w:rsidP="00CF336B">
            <w:pPr>
              <w:jc w:val="center"/>
              <w:rPr>
                <w:sz w:val="14"/>
                <w:szCs w:val="14"/>
              </w:rPr>
            </w:pPr>
            <w:r w:rsidRPr="001B4CA2">
              <w:rPr>
                <w:sz w:val="14"/>
                <w:szCs w:val="14"/>
              </w:rPr>
              <w:t>Broj zahtjeva</w:t>
            </w:r>
          </w:p>
        </w:tc>
        <w:tc>
          <w:tcPr>
            <w:tcW w:w="179" w:type="pct"/>
            <w:tcBorders>
              <w:top w:val="nil"/>
              <w:left w:val="nil"/>
              <w:bottom w:val="single" w:sz="4" w:space="0" w:color="auto"/>
              <w:right w:val="single" w:sz="4" w:space="0" w:color="auto"/>
            </w:tcBorders>
            <w:shd w:val="clear" w:color="auto" w:fill="99CCFF"/>
            <w:textDirection w:val="btLr"/>
            <w:vAlign w:val="center"/>
            <w:hideMark/>
          </w:tcPr>
          <w:p w14:paraId="62CA127C" w14:textId="77777777" w:rsidR="00CF336B" w:rsidRPr="00FB2B5D" w:rsidRDefault="00CF336B" w:rsidP="00CF336B">
            <w:pPr>
              <w:jc w:val="center"/>
              <w:rPr>
                <w:sz w:val="13"/>
                <w:szCs w:val="13"/>
              </w:rPr>
            </w:pPr>
            <w:r w:rsidRPr="00FB2B5D">
              <w:rPr>
                <w:sz w:val="13"/>
                <w:szCs w:val="13"/>
              </w:rPr>
              <w:t>Broj sklopljenih nagodbi</w:t>
            </w:r>
          </w:p>
        </w:tc>
        <w:tc>
          <w:tcPr>
            <w:tcW w:w="180" w:type="pct"/>
            <w:tcBorders>
              <w:top w:val="nil"/>
              <w:left w:val="nil"/>
              <w:bottom w:val="single" w:sz="4" w:space="0" w:color="auto"/>
              <w:right w:val="single" w:sz="4" w:space="0" w:color="auto"/>
            </w:tcBorders>
            <w:shd w:val="clear" w:color="auto" w:fill="99CCFF"/>
            <w:textDirection w:val="btLr"/>
            <w:vAlign w:val="center"/>
            <w:hideMark/>
          </w:tcPr>
          <w:p w14:paraId="7D34047F" w14:textId="77777777" w:rsidR="00CF336B" w:rsidRPr="00FB2B5D" w:rsidRDefault="00CF336B" w:rsidP="00CF336B">
            <w:pPr>
              <w:jc w:val="center"/>
              <w:rPr>
                <w:bCs/>
                <w:sz w:val="13"/>
                <w:szCs w:val="13"/>
              </w:rPr>
            </w:pPr>
            <w:r w:rsidRPr="00FB2B5D">
              <w:rPr>
                <w:bCs/>
                <w:sz w:val="13"/>
                <w:szCs w:val="13"/>
              </w:rPr>
              <w:t>% sklopljenih nagodbi u odnosu na broj podnesenih zahtjeva</w:t>
            </w:r>
          </w:p>
        </w:tc>
        <w:tc>
          <w:tcPr>
            <w:tcW w:w="224" w:type="pct"/>
            <w:tcBorders>
              <w:top w:val="nil"/>
              <w:left w:val="nil"/>
              <w:bottom w:val="single" w:sz="4" w:space="0" w:color="auto"/>
              <w:right w:val="single" w:sz="4" w:space="0" w:color="auto"/>
            </w:tcBorders>
            <w:shd w:val="clear" w:color="auto" w:fill="99CCFF"/>
            <w:textDirection w:val="btLr"/>
            <w:vAlign w:val="center"/>
          </w:tcPr>
          <w:p w14:paraId="4F9D7A17" w14:textId="77777777" w:rsidR="00CF336B" w:rsidRPr="001B4CA2" w:rsidRDefault="00CF336B" w:rsidP="00CF336B">
            <w:pPr>
              <w:jc w:val="center"/>
              <w:rPr>
                <w:sz w:val="14"/>
                <w:szCs w:val="14"/>
              </w:rPr>
            </w:pPr>
            <w:r w:rsidRPr="001B4CA2">
              <w:rPr>
                <w:sz w:val="14"/>
                <w:szCs w:val="14"/>
              </w:rPr>
              <w:t>Vrijednost (u tis. kn)</w:t>
            </w:r>
          </w:p>
        </w:tc>
        <w:tc>
          <w:tcPr>
            <w:tcW w:w="181" w:type="pct"/>
            <w:tcBorders>
              <w:top w:val="nil"/>
              <w:left w:val="nil"/>
              <w:bottom w:val="single" w:sz="4" w:space="0" w:color="auto"/>
              <w:right w:val="single" w:sz="4" w:space="0" w:color="auto"/>
            </w:tcBorders>
            <w:shd w:val="clear" w:color="auto" w:fill="99CCFF"/>
            <w:textDirection w:val="btLr"/>
            <w:vAlign w:val="center"/>
          </w:tcPr>
          <w:p w14:paraId="6761AB3B" w14:textId="77777777" w:rsidR="00CF336B" w:rsidRPr="001B4CA2" w:rsidRDefault="00CF336B" w:rsidP="00CF336B">
            <w:pPr>
              <w:jc w:val="center"/>
              <w:rPr>
                <w:sz w:val="14"/>
                <w:szCs w:val="14"/>
              </w:rPr>
            </w:pPr>
            <w:r w:rsidRPr="001B4CA2">
              <w:rPr>
                <w:sz w:val="14"/>
                <w:szCs w:val="14"/>
              </w:rPr>
              <w:t>Broj zahtjeva</w:t>
            </w:r>
          </w:p>
        </w:tc>
        <w:tc>
          <w:tcPr>
            <w:tcW w:w="177" w:type="pct"/>
            <w:tcBorders>
              <w:top w:val="nil"/>
              <w:left w:val="nil"/>
              <w:bottom w:val="single" w:sz="4" w:space="0" w:color="auto"/>
              <w:right w:val="single" w:sz="4" w:space="0" w:color="auto"/>
            </w:tcBorders>
            <w:shd w:val="clear" w:color="auto" w:fill="99CCFF"/>
            <w:textDirection w:val="btLr"/>
            <w:vAlign w:val="center"/>
            <w:hideMark/>
          </w:tcPr>
          <w:p w14:paraId="28F2DF56" w14:textId="77777777" w:rsidR="00CF336B" w:rsidRPr="001B4CA2" w:rsidRDefault="00CF336B" w:rsidP="00CF336B">
            <w:pPr>
              <w:jc w:val="center"/>
              <w:rPr>
                <w:sz w:val="14"/>
                <w:szCs w:val="14"/>
              </w:rPr>
            </w:pPr>
            <w:r w:rsidRPr="001B4CA2">
              <w:rPr>
                <w:sz w:val="14"/>
                <w:szCs w:val="14"/>
              </w:rPr>
              <w:t>Broj sklopljenih nagodbi</w:t>
            </w:r>
          </w:p>
        </w:tc>
        <w:tc>
          <w:tcPr>
            <w:tcW w:w="182" w:type="pct"/>
            <w:tcBorders>
              <w:top w:val="nil"/>
              <w:left w:val="nil"/>
              <w:bottom w:val="single" w:sz="4" w:space="0" w:color="auto"/>
              <w:right w:val="single" w:sz="4" w:space="0" w:color="auto"/>
            </w:tcBorders>
            <w:shd w:val="clear" w:color="auto" w:fill="99CCFF"/>
            <w:textDirection w:val="btLr"/>
            <w:vAlign w:val="center"/>
            <w:hideMark/>
          </w:tcPr>
          <w:p w14:paraId="086EA51C" w14:textId="77777777" w:rsidR="00CF336B" w:rsidRPr="001B4CA2" w:rsidRDefault="00CF336B" w:rsidP="00CF336B">
            <w:pPr>
              <w:jc w:val="center"/>
              <w:rPr>
                <w:sz w:val="14"/>
                <w:szCs w:val="14"/>
              </w:rPr>
            </w:pPr>
            <w:r w:rsidRPr="009C5AEE">
              <w:rPr>
                <w:sz w:val="13"/>
                <w:szCs w:val="13"/>
              </w:rPr>
              <w:t>% sklopljenih nagodbi u odnosu na broj podnesenih zahtjev</w:t>
            </w:r>
            <w:r w:rsidRPr="001B4CA2">
              <w:rPr>
                <w:sz w:val="14"/>
                <w:szCs w:val="14"/>
              </w:rPr>
              <w:t>a</w:t>
            </w:r>
          </w:p>
        </w:tc>
        <w:tc>
          <w:tcPr>
            <w:tcW w:w="182" w:type="pct"/>
            <w:tcBorders>
              <w:top w:val="nil"/>
              <w:left w:val="nil"/>
              <w:bottom w:val="single" w:sz="4" w:space="0" w:color="auto"/>
              <w:right w:val="single" w:sz="4" w:space="0" w:color="auto"/>
            </w:tcBorders>
            <w:shd w:val="clear" w:color="auto" w:fill="99CCFF"/>
            <w:textDirection w:val="btLr"/>
            <w:vAlign w:val="center"/>
            <w:hideMark/>
          </w:tcPr>
          <w:p w14:paraId="17C0E5DC" w14:textId="77777777" w:rsidR="00CF336B" w:rsidRPr="001B4CA2" w:rsidRDefault="00CF336B" w:rsidP="00CF336B">
            <w:pPr>
              <w:jc w:val="center"/>
              <w:rPr>
                <w:sz w:val="14"/>
                <w:szCs w:val="14"/>
              </w:rPr>
            </w:pPr>
            <w:r w:rsidRPr="001B4CA2">
              <w:rPr>
                <w:sz w:val="14"/>
                <w:szCs w:val="14"/>
              </w:rPr>
              <w:t>Vrijednost (u tis. kn)</w:t>
            </w:r>
          </w:p>
        </w:tc>
        <w:tc>
          <w:tcPr>
            <w:tcW w:w="142" w:type="pct"/>
            <w:tcBorders>
              <w:top w:val="nil"/>
              <w:left w:val="nil"/>
              <w:bottom w:val="single" w:sz="4" w:space="0" w:color="auto"/>
              <w:right w:val="single" w:sz="4" w:space="0" w:color="auto"/>
            </w:tcBorders>
            <w:shd w:val="clear" w:color="auto" w:fill="99CCFF"/>
            <w:textDirection w:val="btLr"/>
            <w:vAlign w:val="center"/>
            <w:hideMark/>
          </w:tcPr>
          <w:p w14:paraId="5E3EF5B9" w14:textId="77777777" w:rsidR="00CF336B" w:rsidRPr="001B4CA2" w:rsidRDefault="00CF336B" w:rsidP="00CF336B">
            <w:pPr>
              <w:jc w:val="center"/>
              <w:rPr>
                <w:sz w:val="14"/>
                <w:szCs w:val="14"/>
              </w:rPr>
            </w:pPr>
            <w:r w:rsidRPr="001B4CA2">
              <w:rPr>
                <w:sz w:val="14"/>
                <w:szCs w:val="14"/>
              </w:rPr>
              <w:t>Broj zahtjeva</w:t>
            </w:r>
          </w:p>
        </w:tc>
        <w:tc>
          <w:tcPr>
            <w:tcW w:w="122" w:type="pct"/>
            <w:tcBorders>
              <w:top w:val="nil"/>
              <w:left w:val="nil"/>
              <w:bottom w:val="single" w:sz="4" w:space="0" w:color="auto"/>
              <w:right w:val="single" w:sz="4" w:space="0" w:color="auto"/>
            </w:tcBorders>
            <w:shd w:val="clear" w:color="auto" w:fill="99CCFF"/>
            <w:textDirection w:val="btLr"/>
            <w:vAlign w:val="center"/>
            <w:hideMark/>
          </w:tcPr>
          <w:p w14:paraId="30659B04" w14:textId="77777777" w:rsidR="00CF336B" w:rsidRPr="001B4CA2" w:rsidRDefault="00CF336B" w:rsidP="00CF336B">
            <w:pPr>
              <w:jc w:val="center"/>
              <w:rPr>
                <w:sz w:val="14"/>
                <w:szCs w:val="14"/>
              </w:rPr>
            </w:pPr>
            <w:r w:rsidRPr="001B4CA2">
              <w:rPr>
                <w:sz w:val="14"/>
                <w:szCs w:val="14"/>
              </w:rPr>
              <w:t>Broj sklopljenih nagodbi</w:t>
            </w:r>
          </w:p>
        </w:tc>
        <w:tc>
          <w:tcPr>
            <w:tcW w:w="183" w:type="pct"/>
            <w:tcBorders>
              <w:top w:val="nil"/>
              <w:left w:val="nil"/>
              <w:bottom w:val="single" w:sz="4" w:space="0" w:color="auto"/>
              <w:right w:val="single" w:sz="4" w:space="0" w:color="auto"/>
            </w:tcBorders>
            <w:shd w:val="clear" w:color="auto" w:fill="99CCFF"/>
            <w:textDirection w:val="btLr"/>
            <w:vAlign w:val="center"/>
            <w:hideMark/>
          </w:tcPr>
          <w:p w14:paraId="44F8B601" w14:textId="77777777" w:rsidR="00CF336B" w:rsidRPr="001B4CA2" w:rsidRDefault="00CF336B" w:rsidP="00CF336B">
            <w:pPr>
              <w:jc w:val="center"/>
              <w:rPr>
                <w:sz w:val="14"/>
                <w:szCs w:val="14"/>
              </w:rPr>
            </w:pPr>
            <w:r w:rsidRPr="001B4CA2">
              <w:rPr>
                <w:sz w:val="14"/>
                <w:szCs w:val="14"/>
              </w:rPr>
              <w:t>% sklopljenih nagodbi u odnosu na broj podnesenih zahtjeva</w:t>
            </w:r>
          </w:p>
        </w:tc>
        <w:tc>
          <w:tcPr>
            <w:tcW w:w="180" w:type="pct"/>
            <w:tcBorders>
              <w:top w:val="nil"/>
              <w:left w:val="nil"/>
              <w:bottom w:val="single" w:sz="4" w:space="0" w:color="auto"/>
              <w:right w:val="single" w:sz="4" w:space="0" w:color="auto"/>
            </w:tcBorders>
            <w:shd w:val="clear" w:color="auto" w:fill="99CCFF"/>
            <w:textDirection w:val="btLr"/>
            <w:vAlign w:val="center"/>
            <w:hideMark/>
          </w:tcPr>
          <w:p w14:paraId="146B1E21" w14:textId="77777777" w:rsidR="00CF336B" w:rsidRPr="001B4CA2" w:rsidRDefault="00CF336B" w:rsidP="00CF336B">
            <w:pPr>
              <w:jc w:val="center"/>
              <w:rPr>
                <w:sz w:val="14"/>
                <w:szCs w:val="14"/>
              </w:rPr>
            </w:pPr>
            <w:r w:rsidRPr="001B4CA2">
              <w:rPr>
                <w:sz w:val="14"/>
                <w:szCs w:val="14"/>
              </w:rPr>
              <w:t>Vrijednost (u tis. kn)</w:t>
            </w:r>
          </w:p>
        </w:tc>
        <w:tc>
          <w:tcPr>
            <w:tcW w:w="173" w:type="pct"/>
            <w:tcBorders>
              <w:top w:val="nil"/>
              <w:left w:val="nil"/>
              <w:bottom w:val="single" w:sz="4" w:space="0" w:color="auto"/>
              <w:right w:val="single" w:sz="4" w:space="0" w:color="auto"/>
            </w:tcBorders>
            <w:shd w:val="clear" w:color="auto" w:fill="99CCFF"/>
            <w:textDirection w:val="btLr"/>
            <w:vAlign w:val="center"/>
            <w:hideMark/>
          </w:tcPr>
          <w:p w14:paraId="6C6FA2B0" w14:textId="77777777" w:rsidR="00CF336B" w:rsidRPr="001B4CA2" w:rsidRDefault="00CF336B" w:rsidP="00CF336B">
            <w:pPr>
              <w:jc w:val="center"/>
              <w:rPr>
                <w:sz w:val="14"/>
                <w:szCs w:val="14"/>
              </w:rPr>
            </w:pPr>
            <w:r w:rsidRPr="001B4CA2">
              <w:rPr>
                <w:sz w:val="14"/>
                <w:szCs w:val="14"/>
              </w:rPr>
              <w:t>Broj zahtjeva</w:t>
            </w:r>
          </w:p>
        </w:tc>
        <w:tc>
          <w:tcPr>
            <w:tcW w:w="142" w:type="pct"/>
            <w:tcBorders>
              <w:top w:val="nil"/>
              <w:left w:val="nil"/>
              <w:bottom w:val="single" w:sz="4" w:space="0" w:color="auto"/>
              <w:right w:val="single" w:sz="4" w:space="0" w:color="auto"/>
            </w:tcBorders>
            <w:shd w:val="clear" w:color="auto" w:fill="99CCFF"/>
            <w:textDirection w:val="btLr"/>
            <w:vAlign w:val="center"/>
            <w:hideMark/>
          </w:tcPr>
          <w:p w14:paraId="11C13DD0" w14:textId="77777777" w:rsidR="00CF336B" w:rsidRPr="001B4CA2" w:rsidRDefault="00CF336B" w:rsidP="00CF336B">
            <w:pPr>
              <w:jc w:val="center"/>
              <w:rPr>
                <w:sz w:val="14"/>
                <w:szCs w:val="14"/>
              </w:rPr>
            </w:pPr>
            <w:r w:rsidRPr="001B4CA2">
              <w:rPr>
                <w:sz w:val="14"/>
                <w:szCs w:val="14"/>
              </w:rPr>
              <w:t>Broj sklopljenih nagodbi</w:t>
            </w:r>
          </w:p>
        </w:tc>
        <w:tc>
          <w:tcPr>
            <w:tcW w:w="175" w:type="pct"/>
            <w:tcBorders>
              <w:top w:val="nil"/>
              <w:left w:val="nil"/>
              <w:bottom w:val="single" w:sz="4" w:space="0" w:color="auto"/>
              <w:right w:val="single" w:sz="4" w:space="0" w:color="auto"/>
            </w:tcBorders>
            <w:shd w:val="clear" w:color="auto" w:fill="99CCFF"/>
            <w:textDirection w:val="btLr"/>
            <w:vAlign w:val="center"/>
            <w:hideMark/>
          </w:tcPr>
          <w:p w14:paraId="3D6D226A" w14:textId="77777777" w:rsidR="00CF336B" w:rsidRPr="001B4CA2" w:rsidRDefault="00CF336B" w:rsidP="00CF336B">
            <w:pPr>
              <w:jc w:val="center"/>
              <w:rPr>
                <w:sz w:val="14"/>
                <w:szCs w:val="14"/>
              </w:rPr>
            </w:pPr>
            <w:r w:rsidRPr="009C5AEE">
              <w:rPr>
                <w:sz w:val="13"/>
                <w:szCs w:val="13"/>
              </w:rPr>
              <w:t>% sklopljenih nagodbi u odnosu na broj podnesenih zahtje</w:t>
            </w:r>
            <w:r w:rsidRPr="001B4CA2">
              <w:rPr>
                <w:sz w:val="14"/>
                <w:szCs w:val="14"/>
              </w:rPr>
              <w:t>va</w:t>
            </w:r>
          </w:p>
        </w:tc>
        <w:tc>
          <w:tcPr>
            <w:tcW w:w="175" w:type="pct"/>
            <w:tcBorders>
              <w:top w:val="nil"/>
              <w:left w:val="nil"/>
              <w:bottom w:val="single" w:sz="4" w:space="0" w:color="auto"/>
              <w:right w:val="single" w:sz="4" w:space="0" w:color="auto"/>
            </w:tcBorders>
            <w:shd w:val="clear" w:color="auto" w:fill="99CCFF"/>
            <w:textDirection w:val="btLr"/>
            <w:vAlign w:val="center"/>
            <w:hideMark/>
          </w:tcPr>
          <w:p w14:paraId="1ECE0BC9" w14:textId="77777777" w:rsidR="00CF336B" w:rsidRPr="001B4CA2" w:rsidRDefault="00CF336B" w:rsidP="00CF336B">
            <w:pPr>
              <w:jc w:val="center"/>
              <w:rPr>
                <w:sz w:val="14"/>
                <w:szCs w:val="14"/>
              </w:rPr>
            </w:pPr>
            <w:r w:rsidRPr="001B4CA2">
              <w:rPr>
                <w:sz w:val="14"/>
                <w:szCs w:val="14"/>
              </w:rPr>
              <w:t>Vrijednost (u tis. kn)</w:t>
            </w:r>
          </w:p>
        </w:tc>
        <w:tc>
          <w:tcPr>
            <w:tcW w:w="134" w:type="pct"/>
            <w:tcBorders>
              <w:top w:val="nil"/>
              <w:left w:val="nil"/>
              <w:bottom w:val="single" w:sz="4" w:space="0" w:color="auto"/>
              <w:right w:val="single" w:sz="4" w:space="0" w:color="auto"/>
            </w:tcBorders>
            <w:shd w:val="clear" w:color="auto" w:fill="99CCFF"/>
            <w:textDirection w:val="btLr"/>
            <w:vAlign w:val="center"/>
            <w:hideMark/>
          </w:tcPr>
          <w:p w14:paraId="61A6D83D" w14:textId="77777777" w:rsidR="00CF336B" w:rsidRPr="001B4CA2" w:rsidRDefault="00CF336B" w:rsidP="00CF336B">
            <w:pPr>
              <w:jc w:val="center"/>
              <w:rPr>
                <w:sz w:val="14"/>
                <w:szCs w:val="14"/>
              </w:rPr>
            </w:pPr>
            <w:r w:rsidRPr="001B4CA2">
              <w:rPr>
                <w:sz w:val="14"/>
                <w:szCs w:val="14"/>
              </w:rPr>
              <w:t>Broj zahtjeva</w:t>
            </w:r>
          </w:p>
        </w:tc>
        <w:tc>
          <w:tcPr>
            <w:tcW w:w="88" w:type="pct"/>
            <w:tcBorders>
              <w:top w:val="nil"/>
              <w:left w:val="nil"/>
              <w:bottom w:val="single" w:sz="4" w:space="0" w:color="auto"/>
              <w:right w:val="single" w:sz="4" w:space="0" w:color="auto"/>
            </w:tcBorders>
            <w:shd w:val="clear" w:color="auto" w:fill="99CCFF"/>
            <w:textDirection w:val="btLr"/>
            <w:vAlign w:val="center"/>
            <w:hideMark/>
          </w:tcPr>
          <w:p w14:paraId="58C27B2B" w14:textId="77777777" w:rsidR="00CF336B" w:rsidRPr="001B4CA2" w:rsidRDefault="00CF336B" w:rsidP="00CF336B">
            <w:pPr>
              <w:jc w:val="center"/>
              <w:rPr>
                <w:sz w:val="14"/>
                <w:szCs w:val="14"/>
              </w:rPr>
            </w:pPr>
            <w:r w:rsidRPr="001B4CA2">
              <w:rPr>
                <w:sz w:val="14"/>
                <w:szCs w:val="14"/>
              </w:rPr>
              <w:t>Broj sklopljenih nagodbi</w:t>
            </w:r>
          </w:p>
        </w:tc>
        <w:tc>
          <w:tcPr>
            <w:tcW w:w="176" w:type="pct"/>
            <w:tcBorders>
              <w:top w:val="nil"/>
              <w:left w:val="nil"/>
              <w:bottom w:val="single" w:sz="4" w:space="0" w:color="auto"/>
              <w:right w:val="single" w:sz="4" w:space="0" w:color="auto"/>
            </w:tcBorders>
            <w:shd w:val="clear" w:color="auto" w:fill="99CCFF"/>
            <w:textDirection w:val="btLr"/>
            <w:vAlign w:val="center"/>
            <w:hideMark/>
          </w:tcPr>
          <w:p w14:paraId="37FC06C0" w14:textId="77777777" w:rsidR="00CF336B" w:rsidRPr="009C5AEE" w:rsidRDefault="00CF336B" w:rsidP="00CF336B">
            <w:pPr>
              <w:jc w:val="center"/>
              <w:rPr>
                <w:sz w:val="13"/>
                <w:szCs w:val="13"/>
              </w:rPr>
            </w:pPr>
            <w:r w:rsidRPr="009C5AEE">
              <w:rPr>
                <w:sz w:val="13"/>
                <w:szCs w:val="13"/>
              </w:rPr>
              <w:t>% sklopljenih nagodbi u odnosu na broj podnesenih zahtjeva</w:t>
            </w:r>
          </w:p>
        </w:tc>
        <w:tc>
          <w:tcPr>
            <w:tcW w:w="126" w:type="pct"/>
            <w:tcBorders>
              <w:top w:val="nil"/>
              <w:left w:val="nil"/>
              <w:bottom w:val="single" w:sz="4" w:space="0" w:color="auto"/>
              <w:right w:val="single" w:sz="4" w:space="0" w:color="auto"/>
            </w:tcBorders>
            <w:shd w:val="clear" w:color="auto" w:fill="99CCFF"/>
            <w:textDirection w:val="btLr"/>
            <w:vAlign w:val="center"/>
            <w:hideMark/>
          </w:tcPr>
          <w:p w14:paraId="5A9BBD54" w14:textId="6031E886" w:rsidR="00CF336B" w:rsidRPr="001B4CA2" w:rsidRDefault="00CF336B" w:rsidP="00CF336B">
            <w:pPr>
              <w:jc w:val="center"/>
              <w:rPr>
                <w:sz w:val="14"/>
                <w:szCs w:val="14"/>
              </w:rPr>
            </w:pPr>
            <w:r w:rsidRPr="001B4CA2">
              <w:rPr>
                <w:sz w:val="14"/>
                <w:szCs w:val="14"/>
              </w:rPr>
              <w:t>Vrijednost</w:t>
            </w:r>
            <w:r w:rsidR="001B4CA2">
              <w:rPr>
                <w:sz w:val="14"/>
                <w:szCs w:val="14"/>
              </w:rPr>
              <w:t xml:space="preserve"> </w:t>
            </w:r>
            <w:r w:rsidRPr="001B4CA2">
              <w:rPr>
                <w:sz w:val="14"/>
                <w:szCs w:val="14"/>
              </w:rPr>
              <w:t>(u tis. kn)</w:t>
            </w:r>
          </w:p>
        </w:tc>
        <w:tc>
          <w:tcPr>
            <w:tcW w:w="179"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23BB2798" w14:textId="77777777" w:rsidR="00CF336B" w:rsidRPr="001B4CA2" w:rsidRDefault="00CF336B" w:rsidP="00CF336B">
            <w:pPr>
              <w:jc w:val="center"/>
              <w:rPr>
                <w:b/>
                <w:bCs/>
                <w:sz w:val="14"/>
                <w:szCs w:val="14"/>
              </w:rPr>
            </w:pPr>
            <w:r w:rsidRPr="001B4CA2">
              <w:rPr>
                <w:b/>
                <w:bCs/>
                <w:sz w:val="14"/>
                <w:szCs w:val="14"/>
              </w:rPr>
              <w:t>Broj zahtjeva</w:t>
            </w:r>
          </w:p>
        </w:tc>
        <w:tc>
          <w:tcPr>
            <w:tcW w:w="193"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5DEAB128" w14:textId="77777777" w:rsidR="00CF336B" w:rsidRPr="001B4CA2" w:rsidRDefault="00CF336B" w:rsidP="00CF336B">
            <w:pPr>
              <w:jc w:val="center"/>
              <w:rPr>
                <w:b/>
                <w:bCs/>
                <w:sz w:val="14"/>
                <w:szCs w:val="14"/>
              </w:rPr>
            </w:pPr>
            <w:r w:rsidRPr="001B4CA2">
              <w:rPr>
                <w:b/>
                <w:sz w:val="14"/>
                <w:szCs w:val="14"/>
              </w:rPr>
              <w:t>Broj sklopljenih nagodbi</w:t>
            </w:r>
          </w:p>
        </w:tc>
        <w:tc>
          <w:tcPr>
            <w:tcW w:w="180" w:type="pct"/>
            <w:tcBorders>
              <w:top w:val="single" w:sz="4" w:space="0" w:color="auto"/>
              <w:left w:val="nil"/>
              <w:bottom w:val="single" w:sz="4" w:space="0" w:color="auto"/>
              <w:right w:val="single" w:sz="4" w:space="0" w:color="auto"/>
            </w:tcBorders>
            <w:shd w:val="clear" w:color="auto" w:fill="99CCFF"/>
            <w:textDirection w:val="btLr"/>
            <w:vAlign w:val="center"/>
          </w:tcPr>
          <w:p w14:paraId="0F9B3B8D" w14:textId="77777777" w:rsidR="00CF336B" w:rsidRPr="001B4CA2" w:rsidRDefault="00CF336B" w:rsidP="00CF336B">
            <w:pPr>
              <w:jc w:val="center"/>
              <w:rPr>
                <w:b/>
                <w:sz w:val="14"/>
                <w:szCs w:val="14"/>
              </w:rPr>
            </w:pPr>
          </w:p>
          <w:p w14:paraId="514858E7" w14:textId="77777777" w:rsidR="00CF336B" w:rsidRPr="001B4CA2" w:rsidRDefault="00CF336B" w:rsidP="00CF336B">
            <w:pPr>
              <w:jc w:val="center"/>
              <w:rPr>
                <w:sz w:val="14"/>
                <w:szCs w:val="14"/>
              </w:rPr>
            </w:pPr>
            <w:r w:rsidRPr="001B4CA2">
              <w:rPr>
                <w:sz w:val="14"/>
                <w:szCs w:val="14"/>
              </w:rPr>
              <w:t>% sklopljenih nagodbi u odnosu na broj podnesenih zahtjeva</w:t>
            </w:r>
          </w:p>
          <w:p w14:paraId="5F877719" w14:textId="77777777" w:rsidR="00CF336B" w:rsidRPr="001B4CA2" w:rsidRDefault="00CF336B" w:rsidP="00CF336B">
            <w:pPr>
              <w:jc w:val="center"/>
              <w:rPr>
                <w:b/>
                <w:bCs/>
                <w:sz w:val="14"/>
                <w:szCs w:val="14"/>
              </w:rPr>
            </w:pPr>
          </w:p>
        </w:tc>
        <w:tc>
          <w:tcPr>
            <w:tcW w:w="219" w:type="pct"/>
            <w:tcBorders>
              <w:top w:val="single" w:sz="4" w:space="0" w:color="auto"/>
              <w:left w:val="nil"/>
              <w:bottom w:val="single" w:sz="4" w:space="0" w:color="auto"/>
              <w:right w:val="single" w:sz="4" w:space="0" w:color="auto"/>
            </w:tcBorders>
            <w:shd w:val="clear" w:color="auto" w:fill="99CCFF"/>
            <w:textDirection w:val="btLr"/>
            <w:vAlign w:val="center"/>
          </w:tcPr>
          <w:p w14:paraId="6AF0EA79" w14:textId="552F4C75" w:rsidR="00CF336B" w:rsidRPr="001B4CA2" w:rsidRDefault="00CF336B" w:rsidP="00CF336B">
            <w:pPr>
              <w:jc w:val="center"/>
              <w:rPr>
                <w:b/>
                <w:bCs/>
                <w:sz w:val="14"/>
                <w:szCs w:val="14"/>
              </w:rPr>
            </w:pPr>
            <w:r w:rsidRPr="001B4CA2">
              <w:rPr>
                <w:b/>
                <w:bCs/>
                <w:sz w:val="14"/>
                <w:szCs w:val="14"/>
              </w:rPr>
              <w:t>Vrijednost</w:t>
            </w:r>
            <w:r w:rsidR="001B4CA2">
              <w:rPr>
                <w:b/>
                <w:bCs/>
                <w:sz w:val="14"/>
                <w:szCs w:val="14"/>
              </w:rPr>
              <w:t xml:space="preserve"> </w:t>
            </w:r>
            <w:r w:rsidRPr="001B4CA2">
              <w:rPr>
                <w:b/>
                <w:bCs/>
                <w:sz w:val="14"/>
                <w:szCs w:val="14"/>
              </w:rPr>
              <w:t>sklopljenih nagodbi (u tis. kn)</w:t>
            </w:r>
          </w:p>
        </w:tc>
      </w:tr>
      <w:tr w:rsidR="00FB2B5D" w:rsidRPr="001B4CA2" w14:paraId="32F20E12"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7B3EAE55" w14:textId="77777777" w:rsidR="00CF336B" w:rsidRPr="001B4CA2" w:rsidRDefault="00CF336B" w:rsidP="00CF336B">
            <w:pPr>
              <w:ind w:left="34"/>
              <w:jc w:val="left"/>
              <w:rPr>
                <w:bCs/>
                <w:sz w:val="16"/>
                <w:szCs w:val="16"/>
              </w:rPr>
            </w:pPr>
            <w:r w:rsidRPr="001B4CA2">
              <w:rPr>
                <w:bCs/>
                <w:sz w:val="16"/>
                <w:szCs w:val="16"/>
              </w:rPr>
              <w:t>Republika Hrvatska</w:t>
            </w:r>
          </w:p>
        </w:tc>
        <w:tc>
          <w:tcPr>
            <w:tcW w:w="223" w:type="pct"/>
            <w:tcBorders>
              <w:top w:val="nil"/>
              <w:left w:val="nil"/>
              <w:bottom w:val="single" w:sz="4" w:space="0" w:color="auto"/>
              <w:right w:val="single" w:sz="4" w:space="0" w:color="auto"/>
            </w:tcBorders>
            <w:shd w:val="clear" w:color="auto" w:fill="auto"/>
            <w:noWrap/>
            <w:vAlign w:val="center"/>
          </w:tcPr>
          <w:p w14:paraId="2EB2EC1D" w14:textId="77777777" w:rsidR="00CF336B" w:rsidRPr="001B4CA2" w:rsidRDefault="00CF336B" w:rsidP="00CF336B">
            <w:pPr>
              <w:jc w:val="center"/>
              <w:rPr>
                <w:sz w:val="14"/>
                <w:szCs w:val="14"/>
              </w:rPr>
            </w:pPr>
            <w:r w:rsidRPr="001B4CA2">
              <w:rPr>
                <w:rFonts w:cstheme="minorHAnsi"/>
                <w:color w:val="000000"/>
                <w:sz w:val="14"/>
                <w:szCs w:val="14"/>
              </w:rPr>
              <w:t>70</w:t>
            </w:r>
          </w:p>
        </w:tc>
        <w:tc>
          <w:tcPr>
            <w:tcW w:w="179" w:type="pct"/>
            <w:tcBorders>
              <w:top w:val="nil"/>
              <w:left w:val="nil"/>
              <w:bottom w:val="single" w:sz="4" w:space="0" w:color="auto"/>
              <w:right w:val="single" w:sz="4" w:space="0" w:color="auto"/>
            </w:tcBorders>
            <w:shd w:val="clear" w:color="auto" w:fill="auto"/>
            <w:noWrap/>
            <w:vAlign w:val="center"/>
          </w:tcPr>
          <w:p w14:paraId="2118EA7B" w14:textId="77777777" w:rsidR="00CF336B" w:rsidRPr="001B4CA2" w:rsidRDefault="00CF336B" w:rsidP="00CF336B">
            <w:pPr>
              <w:jc w:val="center"/>
              <w:rPr>
                <w:sz w:val="14"/>
                <w:szCs w:val="14"/>
              </w:rPr>
            </w:pPr>
            <w:r w:rsidRPr="001B4CA2">
              <w:rPr>
                <w:rFonts w:cstheme="minorHAnsi"/>
                <w:color w:val="000000"/>
                <w:sz w:val="14"/>
                <w:szCs w:val="14"/>
              </w:rPr>
              <w:t>22</w:t>
            </w:r>
          </w:p>
        </w:tc>
        <w:tc>
          <w:tcPr>
            <w:tcW w:w="180" w:type="pct"/>
            <w:tcBorders>
              <w:top w:val="nil"/>
              <w:left w:val="nil"/>
              <w:bottom w:val="single" w:sz="4" w:space="0" w:color="auto"/>
              <w:right w:val="single" w:sz="4" w:space="0" w:color="auto"/>
            </w:tcBorders>
            <w:shd w:val="clear" w:color="auto" w:fill="auto"/>
            <w:noWrap/>
            <w:vAlign w:val="center"/>
          </w:tcPr>
          <w:p w14:paraId="53E83145"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0DB713F0" w14:textId="77777777" w:rsidR="00CF336B" w:rsidRPr="001B4CA2" w:rsidRDefault="00CF336B" w:rsidP="00CF336B">
            <w:pPr>
              <w:jc w:val="center"/>
              <w:rPr>
                <w:sz w:val="14"/>
                <w:szCs w:val="14"/>
              </w:rPr>
            </w:pPr>
            <w:r w:rsidRPr="001B4CA2">
              <w:rPr>
                <w:rFonts w:cstheme="minorHAnsi"/>
                <w:sz w:val="14"/>
                <w:szCs w:val="14"/>
              </w:rPr>
              <w:t>1.712</w:t>
            </w:r>
          </w:p>
        </w:tc>
        <w:tc>
          <w:tcPr>
            <w:tcW w:w="181" w:type="pct"/>
            <w:tcBorders>
              <w:top w:val="nil"/>
              <w:left w:val="nil"/>
              <w:bottom w:val="single" w:sz="4" w:space="0" w:color="auto"/>
              <w:right w:val="single" w:sz="4" w:space="0" w:color="auto"/>
            </w:tcBorders>
            <w:shd w:val="clear" w:color="auto" w:fill="auto"/>
            <w:noWrap/>
            <w:vAlign w:val="center"/>
          </w:tcPr>
          <w:p w14:paraId="438498EE" w14:textId="77777777" w:rsidR="00CF336B" w:rsidRPr="001B4CA2" w:rsidRDefault="00CF336B" w:rsidP="00CF336B">
            <w:pPr>
              <w:jc w:val="center"/>
              <w:rPr>
                <w:sz w:val="14"/>
                <w:szCs w:val="14"/>
              </w:rPr>
            </w:pPr>
            <w:r w:rsidRPr="001B4CA2">
              <w:rPr>
                <w:rFonts w:cstheme="minorHAnsi"/>
                <w:color w:val="000000"/>
                <w:sz w:val="14"/>
                <w:szCs w:val="14"/>
              </w:rPr>
              <w:t>28</w:t>
            </w:r>
          </w:p>
        </w:tc>
        <w:tc>
          <w:tcPr>
            <w:tcW w:w="177" w:type="pct"/>
            <w:tcBorders>
              <w:top w:val="nil"/>
              <w:left w:val="nil"/>
              <w:bottom w:val="single" w:sz="4" w:space="0" w:color="auto"/>
              <w:right w:val="single" w:sz="4" w:space="0" w:color="auto"/>
            </w:tcBorders>
            <w:shd w:val="clear" w:color="auto" w:fill="auto"/>
            <w:noWrap/>
            <w:vAlign w:val="center"/>
          </w:tcPr>
          <w:p w14:paraId="50EBCBE2"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82" w:type="pct"/>
            <w:tcBorders>
              <w:top w:val="nil"/>
              <w:left w:val="nil"/>
              <w:bottom w:val="single" w:sz="4" w:space="0" w:color="auto"/>
              <w:right w:val="single" w:sz="4" w:space="0" w:color="auto"/>
            </w:tcBorders>
            <w:shd w:val="clear" w:color="auto" w:fill="auto"/>
            <w:noWrap/>
            <w:vAlign w:val="center"/>
          </w:tcPr>
          <w:p w14:paraId="00F98CC0"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00994798" w14:textId="77777777" w:rsidR="00CF336B" w:rsidRPr="001B4CA2" w:rsidRDefault="00CF336B" w:rsidP="00CF336B">
            <w:pPr>
              <w:jc w:val="center"/>
              <w:rPr>
                <w:sz w:val="14"/>
                <w:szCs w:val="14"/>
              </w:rPr>
            </w:pPr>
            <w:r w:rsidRPr="001B4CA2">
              <w:rPr>
                <w:rFonts w:eastAsia="Times New Roman" w:cstheme="minorHAnsi"/>
                <w:color w:val="000000"/>
                <w:sz w:val="14"/>
                <w:szCs w:val="14"/>
                <w:lang w:eastAsia="hr-HR"/>
              </w:rPr>
              <w:t>76</w:t>
            </w:r>
          </w:p>
        </w:tc>
        <w:tc>
          <w:tcPr>
            <w:tcW w:w="142" w:type="pct"/>
            <w:tcBorders>
              <w:top w:val="nil"/>
              <w:left w:val="nil"/>
              <w:bottom w:val="single" w:sz="4" w:space="0" w:color="auto"/>
              <w:right w:val="single" w:sz="4" w:space="0" w:color="auto"/>
            </w:tcBorders>
            <w:shd w:val="clear" w:color="auto" w:fill="auto"/>
            <w:noWrap/>
            <w:vAlign w:val="center"/>
          </w:tcPr>
          <w:p w14:paraId="135C3B49" w14:textId="77777777" w:rsidR="00CF336B" w:rsidRPr="001B4CA2" w:rsidRDefault="00CF336B" w:rsidP="00CF336B">
            <w:pPr>
              <w:jc w:val="center"/>
              <w:rPr>
                <w:sz w:val="14"/>
                <w:szCs w:val="14"/>
              </w:rPr>
            </w:pPr>
            <w:r w:rsidRPr="001B4CA2">
              <w:rPr>
                <w:rFonts w:cstheme="minorHAnsi"/>
                <w:color w:val="000000"/>
                <w:sz w:val="14"/>
                <w:szCs w:val="14"/>
              </w:rPr>
              <w:t>25</w:t>
            </w:r>
          </w:p>
        </w:tc>
        <w:tc>
          <w:tcPr>
            <w:tcW w:w="122" w:type="pct"/>
            <w:tcBorders>
              <w:top w:val="nil"/>
              <w:left w:val="nil"/>
              <w:bottom w:val="single" w:sz="4" w:space="0" w:color="auto"/>
              <w:right w:val="single" w:sz="4" w:space="0" w:color="auto"/>
            </w:tcBorders>
            <w:shd w:val="clear" w:color="auto" w:fill="auto"/>
            <w:noWrap/>
            <w:vAlign w:val="center"/>
          </w:tcPr>
          <w:p w14:paraId="545B0CCF"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440755FA"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687A21D9"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30716D5B"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0A7D08A4"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75" w:type="pct"/>
            <w:tcBorders>
              <w:top w:val="nil"/>
              <w:left w:val="nil"/>
              <w:bottom w:val="single" w:sz="4" w:space="0" w:color="auto"/>
              <w:right w:val="single" w:sz="4" w:space="0" w:color="auto"/>
            </w:tcBorders>
            <w:shd w:val="clear" w:color="auto" w:fill="auto"/>
            <w:noWrap/>
            <w:vAlign w:val="center"/>
          </w:tcPr>
          <w:p w14:paraId="79C1211D"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012055D1" w14:textId="77777777" w:rsidR="00CF336B" w:rsidRPr="001B4CA2" w:rsidRDefault="00CF336B" w:rsidP="00CF336B">
            <w:pPr>
              <w:jc w:val="center"/>
              <w:rPr>
                <w:sz w:val="14"/>
                <w:szCs w:val="14"/>
              </w:rPr>
            </w:pPr>
            <w:r w:rsidRPr="001B4CA2">
              <w:rPr>
                <w:rFonts w:cstheme="minorHAnsi"/>
                <w:sz w:val="14"/>
                <w:szCs w:val="14"/>
              </w:rPr>
              <w:t>2</w:t>
            </w:r>
          </w:p>
        </w:tc>
        <w:tc>
          <w:tcPr>
            <w:tcW w:w="134" w:type="pct"/>
            <w:tcBorders>
              <w:top w:val="nil"/>
              <w:left w:val="nil"/>
              <w:bottom w:val="single" w:sz="4" w:space="0" w:color="auto"/>
              <w:right w:val="single" w:sz="4" w:space="0" w:color="auto"/>
            </w:tcBorders>
            <w:shd w:val="clear" w:color="auto" w:fill="auto"/>
            <w:noWrap/>
            <w:vAlign w:val="center"/>
          </w:tcPr>
          <w:p w14:paraId="5088E534" w14:textId="77777777" w:rsidR="00CF336B" w:rsidRPr="001B4CA2" w:rsidRDefault="00CF336B" w:rsidP="00CF336B">
            <w:pPr>
              <w:jc w:val="center"/>
              <w:rPr>
                <w:sz w:val="14"/>
                <w:szCs w:val="14"/>
              </w:rPr>
            </w:pPr>
            <w:r w:rsidRPr="001B4CA2">
              <w:rPr>
                <w:rFonts w:cstheme="minorHAnsi"/>
                <w:color w:val="000000"/>
                <w:sz w:val="14"/>
                <w:szCs w:val="14"/>
              </w:rPr>
              <w:t>4</w:t>
            </w:r>
          </w:p>
        </w:tc>
        <w:tc>
          <w:tcPr>
            <w:tcW w:w="88" w:type="pct"/>
            <w:tcBorders>
              <w:top w:val="nil"/>
              <w:left w:val="nil"/>
              <w:bottom w:val="single" w:sz="4" w:space="0" w:color="auto"/>
              <w:right w:val="single" w:sz="4" w:space="0" w:color="auto"/>
            </w:tcBorders>
            <w:shd w:val="clear" w:color="auto" w:fill="auto"/>
            <w:noWrap/>
            <w:vAlign w:val="center"/>
          </w:tcPr>
          <w:p w14:paraId="2ECDD129"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28DDEBF6"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64B1FC94"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1B33AD28" w14:textId="77777777" w:rsidR="00CF336B" w:rsidRPr="001B4CA2" w:rsidRDefault="00CF336B" w:rsidP="00CF336B">
            <w:pPr>
              <w:jc w:val="center"/>
              <w:rPr>
                <w:bCs/>
                <w:sz w:val="14"/>
                <w:szCs w:val="14"/>
              </w:rPr>
            </w:pPr>
            <w:r w:rsidRPr="001B4CA2">
              <w:rPr>
                <w:rFonts w:cstheme="minorHAnsi"/>
                <w:bCs/>
                <w:color w:val="000000"/>
                <w:sz w:val="14"/>
                <w:szCs w:val="14"/>
              </w:rPr>
              <w:t>127</w:t>
            </w:r>
          </w:p>
        </w:tc>
        <w:tc>
          <w:tcPr>
            <w:tcW w:w="193" w:type="pct"/>
            <w:tcBorders>
              <w:top w:val="nil"/>
              <w:left w:val="nil"/>
              <w:bottom w:val="single" w:sz="4" w:space="0" w:color="auto"/>
              <w:right w:val="single" w:sz="4" w:space="0" w:color="auto"/>
            </w:tcBorders>
            <w:shd w:val="clear" w:color="auto" w:fill="auto"/>
            <w:noWrap/>
            <w:vAlign w:val="center"/>
          </w:tcPr>
          <w:p w14:paraId="2886A6E2" w14:textId="77777777" w:rsidR="00CF336B" w:rsidRPr="001B4CA2" w:rsidRDefault="00CF336B" w:rsidP="00CF336B">
            <w:pPr>
              <w:jc w:val="center"/>
              <w:rPr>
                <w:bCs/>
                <w:sz w:val="14"/>
                <w:szCs w:val="14"/>
              </w:rPr>
            </w:pPr>
            <w:r w:rsidRPr="001B4CA2">
              <w:rPr>
                <w:rFonts w:cstheme="minorHAnsi"/>
                <w:bCs/>
                <w:color w:val="000000"/>
                <w:sz w:val="14"/>
                <w:szCs w:val="14"/>
              </w:rPr>
              <w:t>24</w:t>
            </w:r>
          </w:p>
        </w:tc>
        <w:tc>
          <w:tcPr>
            <w:tcW w:w="180" w:type="pct"/>
            <w:tcBorders>
              <w:top w:val="nil"/>
              <w:left w:val="nil"/>
              <w:bottom w:val="single" w:sz="4" w:space="0" w:color="auto"/>
              <w:right w:val="single" w:sz="4" w:space="0" w:color="auto"/>
            </w:tcBorders>
            <w:shd w:val="clear" w:color="auto" w:fill="auto"/>
            <w:vAlign w:val="center"/>
          </w:tcPr>
          <w:p w14:paraId="50BCED4A"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7AE80AC4" w14:textId="77777777" w:rsidR="00CF336B" w:rsidRPr="001B4CA2" w:rsidRDefault="00CF336B" w:rsidP="00CF336B">
            <w:pPr>
              <w:jc w:val="center"/>
              <w:rPr>
                <w:b/>
                <w:bCs/>
                <w:sz w:val="14"/>
                <w:szCs w:val="14"/>
              </w:rPr>
            </w:pPr>
            <w:r w:rsidRPr="001B4CA2">
              <w:rPr>
                <w:rFonts w:cstheme="minorHAnsi"/>
                <w:bCs/>
                <w:color w:val="000000"/>
                <w:sz w:val="14"/>
                <w:szCs w:val="14"/>
              </w:rPr>
              <w:t>1.790</w:t>
            </w:r>
          </w:p>
        </w:tc>
      </w:tr>
      <w:tr w:rsidR="00FB2B5D" w:rsidRPr="001B4CA2" w14:paraId="3AC82451"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0B128E9A" w14:textId="780E11BA" w:rsidR="00CF336B" w:rsidRPr="001B4CA2" w:rsidRDefault="00CF336B" w:rsidP="00CF336B">
            <w:pPr>
              <w:ind w:left="34"/>
              <w:jc w:val="left"/>
              <w:rPr>
                <w:bCs/>
                <w:sz w:val="16"/>
                <w:szCs w:val="16"/>
              </w:rPr>
            </w:pPr>
            <w:r w:rsidRPr="001B4CA2">
              <w:rPr>
                <w:bCs/>
                <w:sz w:val="16"/>
                <w:szCs w:val="16"/>
              </w:rPr>
              <w:t>Ministarstvo pravosuđa i</w:t>
            </w:r>
            <w:r w:rsidR="001B4CA2">
              <w:rPr>
                <w:bCs/>
                <w:sz w:val="16"/>
                <w:szCs w:val="16"/>
              </w:rPr>
              <w:t xml:space="preserve"> </w:t>
            </w:r>
            <w:r w:rsidRPr="001B4CA2">
              <w:rPr>
                <w:bCs/>
                <w:sz w:val="16"/>
                <w:szCs w:val="16"/>
              </w:rPr>
              <w:t xml:space="preserve">uprave </w:t>
            </w:r>
          </w:p>
        </w:tc>
        <w:tc>
          <w:tcPr>
            <w:tcW w:w="223" w:type="pct"/>
            <w:tcBorders>
              <w:top w:val="nil"/>
              <w:left w:val="nil"/>
              <w:bottom w:val="single" w:sz="4" w:space="0" w:color="auto"/>
              <w:right w:val="single" w:sz="4" w:space="0" w:color="auto"/>
            </w:tcBorders>
            <w:shd w:val="clear" w:color="auto" w:fill="auto"/>
            <w:noWrap/>
            <w:vAlign w:val="center"/>
          </w:tcPr>
          <w:p w14:paraId="61F5570D" w14:textId="77777777" w:rsidR="00CF336B" w:rsidRPr="001B4CA2" w:rsidRDefault="00CF336B" w:rsidP="00CF336B">
            <w:pPr>
              <w:jc w:val="center"/>
              <w:rPr>
                <w:sz w:val="14"/>
                <w:szCs w:val="14"/>
              </w:rPr>
            </w:pPr>
            <w:r w:rsidRPr="001B4CA2">
              <w:rPr>
                <w:rFonts w:cstheme="minorHAnsi"/>
                <w:color w:val="000000"/>
                <w:sz w:val="14"/>
                <w:szCs w:val="14"/>
              </w:rPr>
              <w:t>7</w:t>
            </w:r>
          </w:p>
        </w:tc>
        <w:tc>
          <w:tcPr>
            <w:tcW w:w="179" w:type="pct"/>
            <w:tcBorders>
              <w:top w:val="nil"/>
              <w:left w:val="nil"/>
              <w:bottom w:val="single" w:sz="4" w:space="0" w:color="auto"/>
              <w:right w:val="single" w:sz="4" w:space="0" w:color="auto"/>
            </w:tcBorders>
            <w:shd w:val="clear" w:color="auto" w:fill="auto"/>
            <w:noWrap/>
            <w:vAlign w:val="center"/>
          </w:tcPr>
          <w:p w14:paraId="1C1974E7"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17A679F8"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68A1CD79"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22548582" w14:textId="77777777" w:rsidR="00CF336B" w:rsidRPr="001B4CA2" w:rsidRDefault="00CF336B" w:rsidP="00CF336B">
            <w:pPr>
              <w:jc w:val="center"/>
              <w:rPr>
                <w:sz w:val="14"/>
                <w:szCs w:val="14"/>
              </w:rPr>
            </w:pPr>
            <w:r w:rsidRPr="001B4CA2">
              <w:rPr>
                <w:rFonts w:cstheme="minorHAnsi"/>
                <w:color w:val="000000"/>
                <w:sz w:val="14"/>
                <w:szCs w:val="14"/>
              </w:rPr>
              <w:t>37</w:t>
            </w:r>
          </w:p>
        </w:tc>
        <w:tc>
          <w:tcPr>
            <w:tcW w:w="177" w:type="pct"/>
            <w:tcBorders>
              <w:top w:val="nil"/>
              <w:left w:val="nil"/>
              <w:bottom w:val="single" w:sz="4" w:space="0" w:color="auto"/>
              <w:right w:val="single" w:sz="4" w:space="0" w:color="auto"/>
            </w:tcBorders>
            <w:shd w:val="clear" w:color="auto" w:fill="auto"/>
            <w:noWrap/>
            <w:vAlign w:val="center"/>
          </w:tcPr>
          <w:p w14:paraId="1F928AF2" w14:textId="77777777" w:rsidR="00CF336B" w:rsidRPr="001B4CA2" w:rsidRDefault="00CF336B" w:rsidP="00CF336B">
            <w:pPr>
              <w:jc w:val="center"/>
              <w:rPr>
                <w:sz w:val="14"/>
                <w:szCs w:val="14"/>
              </w:rPr>
            </w:pPr>
            <w:r w:rsidRPr="001B4CA2">
              <w:rPr>
                <w:rFonts w:cstheme="minorHAnsi"/>
                <w:color w:val="000000"/>
                <w:sz w:val="14"/>
                <w:szCs w:val="14"/>
              </w:rPr>
              <w:t>17</w:t>
            </w:r>
          </w:p>
        </w:tc>
        <w:tc>
          <w:tcPr>
            <w:tcW w:w="182" w:type="pct"/>
            <w:tcBorders>
              <w:top w:val="nil"/>
              <w:left w:val="nil"/>
              <w:bottom w:val="single" w:sz="4" w:space="0" w:color="auto"/>
              <w:right w:val="single" w:sz="4" w:space="0" w:color="auto"/>
            </w:tcBorders>
            <w:shd w:val="clear" w:color="auto" w:fill="auto"/>
            <w:noWrap/>
            <w:vAlign w:val="center"/>
          </w:tcPr>
          <w:p w14:paraId="53E91AAA"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30B0C0CD" w14:textId="77777777" w:rsidR="00CF336B" w:rsidRPr="001B4CA2" w:rsidRDefault="00CF336B" w:rsidP="00CF336B">
            <w:pPr>
              <w:jc w:val="center"/>
              <w:rPr>
                <w:sz w:val="14"/>
                <w:szCs w:val="14"/>
              </w:rPr>
            </w:pPr>
            <w:r w:rsidRPr="001B4CA2">
              <w:rPr>
                <w:rFonts w:eastAsia="Times New Roman" w:cstheme="minorHAnsi"/>
                <w:color w:val="000000"/>
                <w:sz w:val="14"/>
                <w:szCs w:val="14"/>
                <w:lang w:eastAsia="hr-HR"/>
              </w:rPr>
              <w:t>1.423</w:t>
            </w:r>
          </w:p>
        </w:tc>
        <w:tc>
          <w:tcPr>
            <w:tcW w:w="142" w:type="pct"/>
            <w:tcBorders>
              <w:top w:val="nil"/>
              <w:left w:val="nil"/>
              <w:bottom w:val="single" w:sz="4" w:space="0" w:color="auto"/>
              <w:right w:val="single" w:sz="4" w:space="0" w:color="auto"/>
            </w:tcBorders>
            <w:shd w:val="clear" w:color="auto" w:fill="auto"/>
            <w:noWrap/>
            <w:vAlign w:val="center"/>
          </w:tcPr>
          <w:p w14:paraId="07E15889" w14:textId="77777777" w:rsidR="00CF336B" w:rsidRPr="001B4CA2" w:rsidRDefault="00CF336B" w:rsidP="00CF336B">
            <w:pPr>
              <w:jc w:val="center"/>
              <w:rPr>
                <w:sz w:val="14"/>
                <w:szCs w:val="14"/>
              </w:rPr>
            </w:pPr>
            <w:r w:rsidRPr="001B4CA2">
              <w:rPr>
                <w:rFonts w:cstheme="minorHAnsi"/>
                <w:color w:val="000000"/>
                <w:sz w:val="14"/>
                <w:szCs w:val="14"/>
              </w:rPr>
              <w:t>339</w:t>
            </w:r>
          </w:p>
        </w:tc>
        <w:tc>
          <w:tcPr>
            <w:tcW w:w="122" w:type="pct"/>
            <w:tcBorders>
              <w:top w:val="nil"/>
              <w:left w:val="nil"/>
              <w:bottom w:val="single" w:sz="4" w:space="0" w:color="auto"/>
              <w:right w:val="single" w:sz="4" w:space="0" w:color="auto"/>
            </w:tcBorders>
            <w:shd w:val="clear" w:color="auto" w:fill="auto"/>
            <w:noWrap/>
            <w:vAlign w:val="center"/>
          </w:tcPr>
          <w:p w14:paraId="6B0E2DFF" w14:textId="77777777" w:rsidR="00CF336B" w:rsidRPr="001B4CA2" w:rsidRDefault="00CF336B" w:rsidP="00CF336B">
            <w:pPr>
              <w:jc w:val="center"/>
              <w:rPr>
                <w:sz w:val="14"/>
                <w:szCs w:val="14"/>
              </w:rPr>
            </w:pPr>
            <w:r w:rsidRPr="001B4CA2">
              <w:rPr>
                <w:rFonts w:cstheme="minorHAnsi"/>
                <w:color w:val="000000"/>
                <w:sz w:val="14"/>
                <w:szCs w:val="14"/>
              </w:rPr>
              <w:t>7</w:t>
            </w:r>
          </w:p>
        </w:tc>
        <w:tc>
          <w:tcPr>
            <w:tcW w:w="183" w:type="pct"/>
            <w:tcBorders>
              <w:top w:val="nil"/>
              <w:left w:val="nil"/>
              <w:bottom w:val="single" w:sz="4" w:space="0" w:color="auto"/>
              <w:right w:val="single" w:sz="4" w:space="0" w:color="auto"/>
            </w:tcBorders>
            <w:shd w:val="clear" w:color="auto" w:fill="auto"/>
            <w:noWrap/>
            <w:vAlign w:val="center"/>
          </w:tcPr>
          <w:p w14:paraId="1A07929D"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2F9057FE" w14:textId="77777777" w:rsidR="00CF336B" w:rsidRPr="001B4CA2" w:rsidRDefault="00CF336B" w:rsidP="00CF336B">
            <w:pPr>
              <w:jc w:val="center"/>
              <w:rPr>
                <w:sz w:val="14"/>
                <w:szCs w:val="14"/>
              </w:rPr>
            </w:pPr>
            <w:r w:rsidRPr="001B4CA2">
              <w:rPr>
                <w:rFonts w:cstheme="minorHAnsi"/>
                <w:color w:val="000000"/>
                <w:sz w:val="14"/>
                <w:szCs w:val="14"/>
              </w:rPr>
              <w:t>162</w:t>
            </w:r>
          </w:p>
        </w:tc>
        <w:tc>
          <w:tcPr>
            <w:tcW w:w="173" w:type="pct"/>
            <w:tcBorders>
              <w:top w:val="nil"/>
              <w:left w:val="nil"/>
              <w:bottom w:val="single" w:sz="4" w:space="0" w:color="auto"/>
              <w:right w:val="single" w:sz="4" w:space="0" w:color="auto"/>
            </w:tcBorders>
            <w:shd w:val="clear" w:color="auto" w:fill="auto"/>
            <w:noWrap/>
            <w:vAlign w:val="center"/>
          </w:tcPr>
          <w:p w14:paraId="4F8C85A3" w14:textId="77777777" w:rsidR="00CF336B" w:rsidRPr="001B4CA2" w:rsidRDefault="00CF336B" w:rsidP="00CF336B">
            <w:pPr>
              <w:jc w:val="center"/>
              <w:rPr>
                <w:sz w:val="14"/>
                <w:szCs w:val="14"/>
              </w:rPr>
            </w:pPr>
            <w:r w:rsidRPr="001B4CA2">
              <w:rPr>
                <w:rFonts w:cstheme="minorHAnsi"/>
                <w:color w:val="000000"/>
                <w:sz w:val="14"/>
                <w:szCs w:val="14"/>
              </w:rPr>
              <w:t>317</w:t>
            </w:r>
          </w:p>
        </w:tc>
        <w:tc>
          <w:tcPr>
            <w:tcW w:w="142" w:type="pct"/>
            <w:tcBorders>
              <w:top w:val="nil"/>
              <w:left w:val="nil"/>
              <w:bottom w:val="single" w:sz="4" w:space="0" w:color="auto"/>
              <w:right w:val="single" w:sz="4" w:space="0" w:color="auto"/>
            </w:tcBorders>
            <w:shd w:val="clear" w:color="auto" w:fill="auto"/>
            <w:noWrap/>
            <w:vAlign w:val="center"/>
          </w:tcPr>
          <w:p w14:paraId="5CEF9A4D" w14:textId="77777777" w:rsidR="00CF336B" w:rsidRPr="001B4CA2" w:rsidRDefault="00CF336B" w:rsidP="00CF336B">
            <w:pPr>
              <w:jc w:val="center"/>
              <w:rPr>
                <w:sz w:val="14"/>
                <w:szCs w:val="14"/>
              </w:rPr>
            </w:pPr>
            <w:r w:rsidRPr="001B4CA2">
              <w:rPr>
                <w:rFonts w:cstheme="minorHAnsi"/>
                <w:color w:val="000000"/>
                <w:sz w:val="14"/>
                <w:szCs w:val="14"/>
              </w:rPr>
              <w:t>5</w:t>
            </w:r>
          </w:p>
        </w:tc>
        <w:tc>
          <w:tcPr>
            <w:tcW w:w="175" w:type="pct"/>
            <w:tcBorders>
              <w:top w:val="nil"/>
              <w:left w:val="nil"/>
              <w:bottom w:val="single" w:sz="4" w:space="0" w:color="auto"/>
              <w:right w:val="single" w:sz="4" w:space="0" w:color="auto"/>
            </w:tcBorders>
            <w:shd w:val="clear" w:color="auto" w:fill="auto"/>
            <w:noWrap/>
            <w:vAlign w:val="center"/>
          </w:tcPr>
          <w:p w14:paraId="6EFF5EE0"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55E7AE96" w14:textId="77777777" w:rsidR="00CF336B" w:rsidRPr="001B4CA2" w:rsidRDefault="00CF336B" w:rsidP="00CF336B">
            <w:pPr>
              <w:jc w:val="center"/>
              <w:rPr>
                <w:sz w:val="14"/>
                <w:szCs w:val="14"/>
              </w:rPr>
            </w:pPr>
            <w:r w:rsidRPr="001B4CA2">
              <w:rPr>
                <w:rFonts w:cstheme="minorHAnsi"/>
                <w:sz w:val="14"/>
                <w:szCs w:val="14"/>
              </w:rPr>
              <w:t>2.008</w:t>
            </w:r>
          </w:p>
        </w:tc>
        <w:tc>
          <w:tcPr>
            <w:tcW w:w="134" w:type="pct"/>
            <w:tcBorders>
              <w:top w:val="nil"/>
              <w:left w:val="nil"/>
              <w:bottom w:val="single" w:sz="4" w:space="0" w:color="auto"/>
              <w:right w:val="single" w:sz="4" w:space="0" w:color="auto"/>
            </w:tcBorders>
            <w:shd w:val="clear" w:color="auto" w:fill="auto"/>
            <w:noWrap/>
            <w:vAlign w:val="center"/>
          </w:tcPr>
          <w:p w14:paraId="34218A08" w14:textId="77777777" w:rsidR="00CF336B" w:rsidRPr="001B4CA2" w:rsidRDefault="00CF336B" w:rsidP="00CF336B">
            <w:pPr>
              <w:jc w:val="center"/>
              <w:rPr>
                <w:sz w:val="14"/>
                <w:szCs w:val="14"/>
              </w:rPr>
            </w:pPr>
            <w:r w:rsidRPr="001B4CA2">
              <w:rPr>
                <w:rFonts w:cstheme="minorHAnsi"/>
                <w:color w:val="000000"/>
                <w:sz w:val="14"/>
                <w:szCs w:val="14"/>
              </w:rPr>
              <w:t>7</w:t>
            </w:r>
          </w:p>
        </w:tc>
        <w:tc>
          <w:tcPr>
            <w:tcW w:w="88" w:type="pct"/>
            <w:tcBorders>
              <w:top w:val="nil"/>
              <w:left w:val="nil"/>
              <w:bottom w:val="single" w:sz="4" w:space="0" w:color="auto"/>
              <w:right w:val="single" w:sz="4" w:space="0" w:color="auto"/>
            </w:tcBorders>
            <w:shd w:val="clear" w:color="auto" w:fill="auto"/>
            <w:noWrap/>
            <w:vAlign w:val="center"/>
          </w:tcPr>
          <w:p w14:paraId="05B93112"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2C9C430D"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01C51674"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00FB139F" w14:textId="77777777" w:rsidR="00CF336B" w:rsidRPr="001B4CA2" w:rsidRDefault="00CF336B" w:rsidP="00CF336B">
            <w:pPr>
              <w:jc w:val="center"/>
              <w:rPr>
                <w:bCs/>
                <w:sz w:val="14"/>
                <w:szCs w:val="14"/>
              </w:rPr>
            </w:pPr>
            <w:r w:rsidRPr="001B4CA2">
              <w:rPr>
                <w:rFonts w:cstheme="minorHAnsi"/>
                <w:bCs/>
                <w:color w:val="000000"/>
                <w:sz w:val="14"/>
                <w:szCs w:val="14"/>
              </w:rPr>
              <w:t>707</w:t>
            </w:r>
          </w:p>
        </w:tc>
        <w:tc>
          <w:tcPr>
            <w:tcW w:w="193" w:type="pct"/>
            <w:tcBorders>
              <w:top w:val="nil"/>
              <w:left w:val="nil"/>
              <w:bottom w:val="single" w:sz="4" w:space="0" w:color="auto"/>
              <w:right w:val="single" w:sz="4" w:space="0" w:color="auto"/>
            </w:tcBorders>
            <w:shd w:val="clear" w:color="auto" w:fill="auto"/>
            <w:noWrap/>
            <w:vAlign w:val="center"/>
          </w:tcPr>
          <w:p w14:paraId="3B2C6613" w14:textId="77777777" w:rsidR="00CF336B" w:rsidRPr="001B4CA2" w:rsidRDefault="00CF336B" w:rsidP="00CF336B">
            <w:pPr>
              <w:jc w:val="center"/>
              <w:rPr>
                <w:bCs/>
                <w:sz w:val="14"/>
                <w:szCs w:val="14"/>
              </w:rPr>
            </w:pPr>
            <w:r w:rsidRPr="001B4CA2">
              <w:rPr>
                <w:rFonts w:cstheme="minorHAnsi"/>
                <w:bCs/>
                <w:color w:val="000000"/>
                <w:sz w:val="14"/>
                <w:szCs w:val="14"/>
              </w:rPr>
              <w:t>29</w:t>
            </w:r>
          </w:p>
        </w:tc>
        <w:tc>
          <w:tcPr>
            <w:tcW w:w="180" w:type="pct"/>
            <w:tcBorders>
              <w:top w:val="nil"/>
              <w:left w:val="nil"/>
              <w:bottom w:val="single" w:sz="4" w:space="0" w:color="auto"/>
              <w:right w:val="single" w:sz="4" w:space="0" w:color="auto"/>
            </w:tcBorders>
            <w:shd w:val="clear" w:color="auto" w:fill="auto"/>
            <w:vAlign w:val="center"/>
          </w:tcPr>
          <w:p w14:paraId="3154B0ED"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19144C84" w14:textId="77777777" w:rsidR="00CF336B" w:rsidRPr="001B4CA2" w:rsidRDefault="00CF336B" w:rsidP="00CF336B">
            <w:pPr>
              <w:jc w:val="center"/>
              <w:rPr>
                <w:b/>
                <w:bCs/>
                <w:sz w:val="14"/>
                <w:szCs w:val="14"/>
              </w:rPr>
            </w:pPr>
            <w:r w:rsidRPr="001B4CA2">
              <w:rPr>
                <w:rFonts w:cstheme="minorHAnsi"/>
                <w:bCs/>
                <w:color w:val="000000"/>
                <w:sz w:val="14"/>
                <w:szCs w:val="14"/>
              </w:rPr>
              <w:t>3.593</w:t>
            </w:r>
          </w:p>
        </w:tc>
      </w:tr>
      <w:tr w:rsidR="00FB2B5D" w:rsidRPr="001B4CA2" w14:paraId="04943959"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2B261264" w14:textId="77777777" w:rsidR="00CF336B" w:rsidRPr="001B4CA2" w:rsidRDefault="00CF336B" w:rsidP="00CF336B">
            <w:pPr>
              <w:ind w:left="34"/>
              <w:jc w:val="left"/>
              <w:rPr>
                <w:bCs/>
                <w:sz w:val="16"/>
                <w:szCs w:val="16"/>
              </w:rPr>
            </w:pPr>
            <w:r w:rsidRPr="001B4CA2">
              <w:rPr>
                <w:bCs/>
                <w:sz w:val="16"/>
                <w:szCs w:val="16"/>
              </w:rPr>
              <w:t>Ministarstvo zdravstva</w:t>
            </w:r>
          </w:p>
        </w:tc>
        <w:tc>
          <w:tcPr>
            <w:tcW w:w="223" w:type="pct"/>
            <w:tcBorders>
              <w:top w:val="nil"/>
              <w:left w:val="nil"/>
              <w:bottom w:val="single" w:sz="4" w:space="0" w:color="auto"/>
              <w:right w:val="single" w:sz="4" w:space="0" w:color="auto"/>
            </w:tcBorders>
            <w:shd w:val="clear" w:color="auto" w:fill="auto"/>
            <w:noWrap/>
            <w:vAlign w:val="center"/>
          </w:tcPr>
          <w:p w14:paraId="6E9C4D6F"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7D53839F"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07ED64F9"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394761D3"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0280AC6E"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77" w:type="pct"/>
            <w:tcBorders>
              <w:top w:val="nil"/>
              <w:left w:val="nil"/>
              <w:bottom w:val="single" w:sz="4" w:space="0" w:color="auto"/>
              <w:right w:val="single" w:sz="4" w:space="0" w:color="auto"/>
            </w:tcBorders>
            <w:shd w:val="clear" w:color="auto" w:fill="auto"/>
            <w:noWrap/>
            <w:vAlign w:val="center"/>
          </w:tcPr>
          <w:p w14:paraId="1D63A419"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82" w:type="pct"/>
            <w:tcBorders>
              <w:top w:val="nil"/>
              <w:left w:val="nil"/>
              <w:bottom w:val="single" w:sz="4" w:space="0" w:color="auto"/>
              <w:right w:val="single" w:sz="4" w:space="0" w:color="auto"/>
            </w:tcBorders>
            <w:shd w:val="clear" w:color="auto" w:fill="auto"/>
            <w:noWrap/>
            <w:vAlign w:val="center"/>
          </w:tcPr>
          <w:p w14:paraId="129B060A"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60436587" w14:textId="77777777" w:rsidR="00CF336B" w:rsidRPr="001B4CA2" w:rsidRDefault="00CF336B" w:rsidP="00CF336B">
            <w:pPr>
              <w:jc w:val="center"/>
              <w:rPr>
                <w:sz w:val="14"/>
                <w:szCs w:val="14"/>
              </w:rPr>
            </w:pPr>
            <w:r w:rsidRPr="001B4CA2">
              <w:rPr>
                <w:rFonts w:eastAsia="Times New Roman" w:cstheme="minorHAnsi"/>
                <w:color w:val="000000"/>
                <w:sz w:val="14"/>
                <w:szCs w:val="14"/>
                <w:lang w:eastAsia="hr-HR"/>
              </w:rPr>
              <w:t>195</w:t>
            </w:r>
          </w:p>
        </w:tc>
        <w:tc>
          <w:tcPr>
            <w:tcW w:w="142" w:type="pct"/>
            <w:tcBorders>
              <w:top w:val="nil"/>
              <w:left w:val="nil"/>
              <w:bottom w:val="single" w:sz="4" w:space="0" w:color="auto"/>
              <w:right w:val="single" w:sz="4" w:space="0" w:color="auto"/>
            </w:tcBorders>
            <w:shd w:val="clear" w:color="auto" w:fill="auto"/>
            <w:noWrap/>
            <w:vAlign w:val="center"/>
          </w:tcPr>
          <w:p w14:paraId="149AD937"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22" w:type="pct"/>
            <w:tcBorders>
              <w:top w:val="nil"/>
              <w:left w:val="nil"/>
              <w:bottom w:val="single" w:sz="4" w:space="0" w:color="auto"/>
              <w:right w:val="single" w:sz="4" w:space="0" w:color="auto"/>
            </w:tcBorders>
            <w:shd w:val="clear" w:color="auto" w:fill="auto"/>
            <w:noWrap/>
            <w:vAlign w:val="center"/>
          </w:tcPr>
          <w:p w14:paraId="138BDF69"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78067D1B"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2BFA7D54"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43A6D78E"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72A84CD5"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3D9876F3"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1D180D97" w14:textId="77777777" w:rsidR="00CF336B" w:rsidRPr="001B4CA2" w:rsidRDefault="00CF336B" w:rsidP="00CF336B">
            <w:pPr>
              <w:jc w:val="center"/>
              <w:rPr>
                <w:sz w:val="14"/>
                <w:szCs w:val="14"/>
              </w:rPr>
            </w:pPr>
          </w:p>
        </w:tc>
        <w:tc>
          <w:tcPr>
            <w:tcW w:w="134" w:type="pct"/>
            <w:tcBorders>
              <w:top w:val="nil"/>
              <w:left w:val="nil"/>
              <w:bottom w:val="single" w:sz="4" w:space="0" w:color="auto"/>
              <w:right w:val="single" w:sz="4" w:space="0" w:color="auto"/>
            </w:tcBorders>
            <w:shd w:val="clear" w:color="auto" w:fill="auto"/>
            <w:noWrap/>
            <w:vAlign w:val="center"/>
          </w:tcPr>
          <w:p w14:paraId="3ECE0E02" w14:textId="77777777" w:rsidR="00CF336B" w:rsidRPr="001B4CA2" w:rsidRDefault="00CF336B" w:rsidP="00CF336B">
            <w:pPr>
              <w:jc w:val="center"/>
              <w:rPr>
                <w:sz w:val="14"/>
                <w:szCs w:val="14"/>
              </w:rPr>
            </w:pPr>
          </w:p>
        </w:tc>
        <w:tc>
          <w:tcPr>
            <w:tcW w:w="88" w:type="pct"/>
            <w:tcBorders>
              <w:top w:val="nil"/>
              <w:left w:val="nil"/>
              <w:bottom w:val="single" w:sz="4" w:space="0" w:color="auto"/>
              <w:right w:val="single" w:sz="4" w:space="0" w:color="auto"/>
            </w:tcBorders>
            <w:shd w:val="clear" w:color="auto" w:fill="auto"/>
            <w:noWrap/>
            <w:vAlign w:val="center"/>
          </w:tcPr>
          <w:p w14:paraId="01FC2664"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41597EA1"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215BB817"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56B20D6A" w14:textId="77777777" w:rsidR="00CF336B" w:rsidRPr="001B4CA2" w:rsidRDefault="00CF336B" w:rsidP="00CF336B">
            <w:pPr>
              <w:jc w:val="center"/>
              <w:rPr>
                <w:bCs/>
                <w:sz w:val="14"/>
                <w:szCs w:val="14"/>
              </w:rPr>
            </w:pPr>
            <w:r w:rsidRPr="001B4CA2">
              <w:rPr>
                <w:rFonts w:cstheme="minorHAnsi"/>
                <w:bCs/>
                <w:color w:val="000000"/>
                <w:sz w:val="14"/>
                <w:szCs w:val="14"/>
              </w:rPr>
              <w:t>3</w:t>
            </w:r>
          </w:p>
        </w:tc>
        <w:tc>
          <w:tcPr>
            <w:tcW w:w="193" w:type="pct"/>
            <w:tcBorders>
              <w:top w:val="nil"/>
              <w:left w:val="nil"/>
              <w:bottom w:val="single" w:sz="4" w:space="0" w:color="auto"/>
              <w:right w:val="single" w:sz="4" w:space="0" w:color="auto"/>
            </w:tcBorders>
            <w:shd w:val="clear" w:color="auto" w:fill="auto"/>
            <w:noWrap/>
            <w:vAlign w:val="center"/>
          </w:tcPr>
          <w:p w14:paraId="07B98B28" w14:textId="77777777" w:rsidR="00CF336B" w:rsidRPr="001B4CA2" w:rsidRDefault="00CF336B" w:rsidP="00CF336B">
            <w:pPr>
              <w:jc w:val="center"/>
              <w:rPr>
                <w:bCs/>
                <w:sz w:val="14"/>
                <w:szCs w:val="14"/>
              </w:rPr>
            </w:pPr>
            <w:r w:rsidRPr="001B4CA2">
              <w:rPr>
                <w:rFonts w:cstheme="minorHAnsi"/>
                <w:bCs/>
                <w:color w:val="000000"/>
                <w:sz w:val="14"/>
                <w:szCs w:val="14"/>
              </w:rPr>
              <w:t>1</w:t>
            </w:r>
          </w:p>
        </w:tc>
        <w:tc>
          <w:tcPr>
            <w:tcW w:w="180" w:type="pct"/>
            <w:tcBorders>
              <w:top w:val="nil"/>
              <w:left w:val="nil"/>
              <w:bottom w:val="single" w:sz="4" w:space="0" w:color="auto"/>
              <w:right w:val="single" w:sz="4" w:space="0" w:color="auto"/>
            </w:tcBorders>
            <w:shd w:val="clear" w:color="auto" w:fill="auto"/>
            <w:vAlign w:val="center"/>
          </w:tcPr>
          <w:p w14:paraId="741C235E"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7685C2EF" w14:textId="77777777" w:rsidR="00CF336B" w:rsidRPr="001B4CA2" w:rsidRDefault="00CF336B" w:rsidP="00CF336B">
            <w:pPr>
              <w:jc w:val="center"/>
              <w:rPr>
                <w:b/>
                <w:bCs/>
                <w:sz w:val="14"/>
                <w:szCs w:val="14"/>
              </w:rPr>
            </w:pPr>
            <w:r w:rsidRPr="001B4CA2">
              <w:rPr>
                <w:rFonts w:cstheme="minorHAnsi"/>
                <w:bCs/>
                <w:color w:val="000000"/>
                <w:sz w:val="14"/>
                <w:szCs w:val="14"/>
              </w:rPr>
              <w:t>195</w:t>
            </w:r>
          </w:p>
        </w:tc>
      </w:tr>
      <w:tr w:rsidR="00FB2B5D" w:rsidRPr="001B4CA2" w14:paraId="484FEBD0"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4568BBD0" w14:textId="77777777" w:rsidR="00CF336B" w:rsidRPr="001B4CA2" w:rsidRDefault="00CF336B" w:rsidP="00CF336B">
            <w:pPr>
              <w:ind w:left="34"/>
              <w:jc w:val="left"/>
              <w:rPr>
                <w:bCs/>
                <w:sz w:val="16"/>
                <w:szCs w:val="16"/>
              </w:rPr>
            </w:pPr>
            <w:r w:rsidRPr="001B4CA2">
              <w:rPr>
                <w:bCs/>
                <w:sz w:val="16"/>
                <w:szCs w:val="16"/>
              </w:rPr>
              <w:t xml:space="preserve">Ministarstvo hrvatskih branitelja </w:t>
            </w:r>
          </w:p>
        </w:tc>
        <w:tc>
          <w:tcPr>
            <w:tcW w:w="223" w:type="pct"/>
            <w:tcBorders>
              <w:top w:val="nil"/>
              <w:left w:val="nil"/>
              <w:bottom w:val="single" w:sz="4" w:space="0" w:color="auto"/>
              <w:right w:val="single" w:sz="4" w:space="0" w:color="auto"/>
            </w:tcBorders>
            <w:shd w:val="clear" w:color="auto" w:fill="auto"/>
            <w:noWrap/>
            <w:vAlign w:val="center"/>
          </w:tcPr>
          <w:p w14:paraId="5DF9E20B" w14:textId="77777777" w:rsidR="00CF336B" w:rsidRPr="001B4CA2" w:rsidRDefault="00CF336B" w:rsidP="00CF336B">
            <w:pPr>
              <w:jc w:val="center"/>
              <w:rPr>
                <w:sz w:val="14"/>
                <w:szCs w:val="14"/>
              </w:rPr>
            </w:pPr>
            <w:r w:rsidRPr="001B4CA2">
              <w:rPr>
                <w:rFonts w:cstheme="minorHAnsi"/>
                <w:color w:val="000000"/>
                <w:sz w:val="14"/>
                <w:szCs w:val="14"/>
              </w:rPr>
              <w:t>4</w:t>
            </w:r>
          </w:p>
        </w:tc>
        <w:tc>
          <w:tcPr>
            <w:tcW w:w="179" w:type="pct"/>
            <w:tcBorders>
              <w:top w:val="nil"/>
              <w:left w:val="nil"/>
              <w:bottom w:val="single" w:sz="4" w:space="0" w:color="auto"/>
              <w:right w:val="single" w:sz="4" w:space="0" w:color="auto"/>
            </w:tcBorders>
            <w:shd w:val="clear" w:color="auto" w:fill="auto"/>
            <w:noWrap/>
            <w:vAlign w:val="center"/>
          </w:tcPr>
          <w:p w14:paraId="5661A4C6"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7AFB2587"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0FDBB7F0"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7B2C2A75" w14:textId="77777777" w:rsidR="00CF336B" w:rsidRPr="001B4CA2" w:rsidRDefault="00CF336B" w:rsidP="00CF336B">
            <w:pPr>
              <w:jc w:val="center"/>
              <w:rPr>
                <w:sz w:val="14"/>
                <w:szCs w:val="14"/>
              </w:rPr>
            </w:pPr>
            <w:r w:rsidRPr="001B4CA2">
              <w:rPr>
                <w:rFonts w:cstheme="minorHAnsi"/>
                <w:color w:val="000000"/>
                <w:sz w:val="14"/>
                <w:szCs w:val="14"/>
              </w:rPr>
              <w:t>6</w:t>
            </w:r>
          </w:p>
        </w:tc>
        <w:tc>
          <w:tcPr>
            <w:tcW w:w="177" w:type="pct"/>
            <w:tcBorders>
              <w:top w:val="nil"/>
              <w:left w:val="nil"/>
              <w:bottom w:val="single" w:sz="4" w:space="0" w:color="auto"/>
              <w:right w:val="single" w:sz="4" w:space="0" w:color="auto"/>
            </w:tcBorders>
            <w:shd w:val="clear" w:color="auto" w:fill="auto"/>
            <w:noWrap/>
            <w:vAlign w:val="center"/>
          </w:tcPr>
          <w:p w14:paraId="6865B427"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20BD1A81"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11AE94A4"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71891FE2" w14:textId="77777777" w:rsidR="00CF336B" w:rsidRPr="001B4CA2" w:rsidRDefault="00CF336B" w:rsidP="00CF336B">
            <w:pPr>
              <w:jc w:val="center"/>
              <w:rPr>
                <w:sz w:val="14"/>
                <w:szCs w:val="14"/>
              </w:rPr>
            </w:pPr>
            <w:r w:rsidRPr="001B4CA2">
              <w:rPr>
                <w:rFonts w:cstheme="minorHAnsi"/>
                <w:color w:val="000000"/>
                <w:sz w:val="14"/>
                <w:szCs w:val="14"/>
              </w:rPr>
              <w:t>4</w:t>
            </w:r>
          </w:p>
        </w:tc>
        <w:tc>
          <w:tcPr>
            <w:tcW w:w="122" w:type="pct"/>
            <w:tcBorders>
              <w:top w:val="nil"/>
              <w:left w:val="nil"/>
              <w:bottom w:val="single" w:sz="4" w:space="0" w:color="auto"/>
              <w:right w:val="single" w:sz="4" w:space="0" w:color="auto"/>
            </w:tcBorders>
            <w:shd w:val="clear" w:color="auto" w:fill="auto"/>
            <w:noWrap/>
            <w:vAlign w:val="center"/>
          </w:tcPr>
          <w:p w14:paraId="349905CE"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6D808E78"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77E67B3D"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6012D7DB"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4DEFE0C6"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068EDB35"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317C3A79" w14:textId="77777777" w:rsidR="00CF336B" w:rsidRPr="001B4CA2" w:rsidRDefault="00CF336B" w:rsidP="00CF336B">
            <w:pPr>
              <w:jc w:val="center"/>
              <w:rPr>
                <w:sz w:val="14"/>
                <w:szCs w:val="14"/>
              </w:rPr>
            </w:pPr>
          </w:p>
        </w:tc>
        <w:tc>
          <w:tcPr>
            <w:tcW w:w="134" w:type="pct"/>
            <w:tcBorders>
              <w:top w:val="nil"/>
              <w:left w:val="nil"/>
              <w:bottom w:val="single" w:sz="4" w:space="0" w:color="auto"/>
              <w:right w:val="single" w:sz="4" w:space="0" w:color="auto"/>
            </w:tcBorders>
            <w:shd w:val="clear" w:color="auto" w:fill="auto"/>
            <w:noWrap/>
            <w:vAlign w:val="center"/>
          </w:tcPr>
          <w:p w14:paraId="05DC12F8" w14:textId="77777777" w:rsidR="00CF336B" w:rsidRPr="001B4CA2" w:rsidRDefault="00CF336B" w:rsidP="00CF336B">
            <w:pPr>
              <w:jc w:val="center"/>
              <w:rPr>
                <w:sz w:val="14"/>
                <w:szCs w:val="14"/>
              </w:rPr>
            </w:pPr>
            <w:r w:rsidRPr="001B4CA2">
              <w:rPr>
                <w:rFonts w:cstheme="minorHAnsi"/>
                <w:color w:val="000000"/>
                <w:sz w:val="14"/>
                <w:szCs w:val="14"/>
              </w:rPr>
              <w:t>1</w:t>
            </w:r>
          </w:p>
        </w:tc>
        <w:tc>
          <w:tcPr>
            <w:tcW w:w="88" w:type="pct"/>
            <w:tcBorders>
              <w:top w:val="nil"/>
              <w:left w:val="nil"/>
              <w:bottom w:val="single" w:sz="4" w:space="0" w:color="auto"/>
              <w:right w:val="single" w:sz="4" w:space="0" w:color="auto"/>
            </w:tcBorders>
            <w:shd w:val="clear" w:color="auto" w:fill="auto"/>
            <w:noWrap/>
            <w:vAlign w:val="center"/>
          </w:tcPr>
          <w:p w14:paraId="66D073DB"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65F98880"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30F67E94"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7B62B2B4" w14:textId="77777777" w:rsidR="00CF336B" w:rsidRPr="001B4CA2" w:rsidRDefault="00CF336B" w:rsidP="00CF336B">
            <w:pPr>
              <w:jc w:val="center"/>
              <w:rPr>
                <w:bCs/>
                <w:sz w:val="14"/>
                <w:szCs w:val="14"/>
              </w:rPr>
            </w:pPr>
            <w:r w:rsidRPr="001B4CA2">
              <w:rPr>
                <w:rFonts w:cstheme="minorHAnsi"/>
                <w:bCs/>
                <w:color w:val="000000"/>
                <w:sz w:val="14"/>
                <w:szCs w:val="14"/>
              </w:rPr>
              <w:t>15</w:t>
            </w:r>
          </w:p>
        </w:tc>
        <w:tc>
          <w:tcPr>
            <w:tcW w:w="193" w:type="pct"/>
            <w:tcBorders>
              <w:top w:val="nil"/>
              <w:left w:val="nil"/>
              <w:bottom w:val="single" w:sz="4" w:space="0" w:color="auto"/>
              <w:right w:val="single" w:sz="4" w:space="0" w:color="auto"/>
            </w:tcBorders>
            <w:shd w:val="clear" w:color="auto" w:fill="auto"/>
            <w:noWrap/>
            <w:vAlign w:val="center"/>
          </w:tcPr>
          <w:p w14:paraId="146E9369" w14:textId="77777777" w:rsidR="00CF336B" w:rsidRPr="001B4CA2" w:rsidRDefault="00CF336B" w:rsidP="00CF336B">
            <w:pPr>
              <w:jc w:val="center"/>
              <w:rPr>
                <w:bCs/>
                <w:sz w:val="14"/>
                <w:szCs w:val="14"/>
              </w:rPr>
            </w:pPr>
            <w:r w:rsidRPr="001B4CA2">
              <w:rPr>
                <w:rFonts w:cstheme="minorHAnsi"/>
                <w:bCs/>
                <w:color w:val="000000"/>
                <w:sz w:val="14"/>
                <w:szCs w:val="14"/>
              </w:rPr>
              <w:t>0</w:t>
            </w:r>
          </w:p>
        </w:tc>
        <w:tc>
          <w:tcPr>
            <w:tcW w:w="180" w:type="pct"/>
            <w:tcBorders>
              <w:top w:val="nil"/>
              <w:left w:val="nil"/>
              <w:bottom w:val="single" w:sz="4" w:space="0" w:color="auto"/>
              <w:right w:val="single" w:sz="4" w:space="0" w:color="auto"/>
            </w:tcBorders>
            <w:shd w:val="clear" w:color="auto" w:fill="auto"/>
            <w:vAlign w:val="center"/>
          </w:tcPr>
          <w:p w14:paraId="7119EBE6"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0A7BBEB5" w14:textId="77777777" w:rsidR="00CF336B" w:rsidRPr="001B4CA2" w:rsidRDefault="00CF336B" w:rsidP="00CF336B">
            <w:pPr>
              <w:jc w:val="center"/>
              <w:rPr>
                <w:b/>
                <w:bCs/>
                <w:sz w:val="14"/>
                <w:szCs w:val="14"/>
              </w:rPr>
            </w:pPr>
            <w:r w:rsidRPr="001B4CA2">
              <w:rPr>
                <w:rFonts w:cstheme="minorHAnsi"/>
                <w:bCs/>
                <w:color w:val="000000"/>
                <w:sz w:val="14"/>
                <w:szCs w:val="14"/>
              </w:rPr>
              <w:t>0</w:t>
            </w:r>
          </w:p>
        </w:tc>
      </w:tr>
      <w:tr w:rsidR="00FB2B5D" w:rsidRPr="001B4CA2" w14:paraId="69F1AE21"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3D165E08" w14:textId="77777777" w:rsidR="00CF336B" w:rsidRPr="001B4CA2" w:rsidRDefault="00CF336B" w:rsidP="00CF336B">
            <w:pPr>
              <w:ind w:left="34"/>
              <w:jc w:val="left"/>
              <w:rPr>
                <w:bCs/>
                <w:sz w:val="16"/>
                <w:szCs w:val="16"/>
              </w:rPr>
            </w:pPr>
            <w:r w:rsidRPr="001B4CA2">
              <w:rPr>
                <w:bCs/>
                <w:sz w:val="16"/>
                <w:szCs w:val="16"/>
              </w:rPr>
              <w:t>Ministarstvo regionalnog razvoja i fondova EU</w:t>
            </w:r>
          </w:p>
        </w:tc>
        <w:tc>
          <w:tcPr>
            <w:tcW w:w="223" w:type="pct"/>
            <w:tcBorders>
              <w:top w:val="nil"/>
              <w:left w:val="nil"/>
              <w:bottom w:val="single" w:sz="4" w:space="0" w:color="auto"/>
              <w:right w:val="single" w:sz="4" w:space="0" w:color="auto"/>
            </w:tcBorders>
            <w:shd w:val="clear" w:color="auto" w:fill="auto"/>
            <w:noWrap/>
            <w:vAlign w:val="center"/>
          </w:tcPr>
          <w:p w14:paraId="1E224016"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2301440A"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029C0861"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36FA356D"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37E05551"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77" w:type="pct"/>
            <w:tcBorders>
              <w:top w:val="nil"/>
              <w:left w:val="nil"/>
              <w:bottom w:val="single" w:sz="4" w:space="0" w:color="auto"/>
              <w:right w:val="single" w:sz="4" w:space="0" w:color="auto"/>
            </w:tcBorders>
            <w:shd w:val="clear" w:color="auto" w:fill="auto"/>
            <w:noWrap/>
            <w:vAlign w:val="center"/>
          </w:tcPr>
          <w:p w14:paraId="3435D02E"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0F8040B1"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463E80D2"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66E0CCCE"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22" w:type="pct"/>
            <w:tcBorders>
              <w:top w:val="nil"/>
              <w:left w:val="nil"/>
              <w:bottom w:val="single" w:sz="4" w:space="0" w:color="auto"/>
              <w:right w:val="single" w:sz="4" w:space="0" w:color="auto"/>
            </w:tcBorders>
            <w:shd w:val="clear" w:color="auto" w:fill="auto"/>
            <w:noWrap/>
            <w:vAlign w:val="center"/>
          </w:tcPr>
          <w:p w14:paraId="591DF6D7"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6D93878B"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4FC3DFD9"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286F6784"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42" w:type="pct"/>
            <w:tcBorders>
              <w:top w:val="nil"/>
              <w:left w:val="nil"/>
              <w:bottom w:val="single" w:sz="4" w:space="0" w:color="auto"/>
              <w:right w:val="single" w:sz="4" w:space="0" w:color="auto"/>
            </w:tcBorders>
            <w:shd w:val="clear" w:color="auto" w:fill="auto"/>
            <w:noWrap/>
            <w:vAlign w:val="center"/>
          </w:tcPr>
          <w:p w14:paraId="54E30B11"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75" w:type="pct"/>
            <w:tcBorders>
              <w:top w:val="nil"/>
              <w:left w:val="nil"/>
              <w:bottom w:val="single" w:sz="4" w:space="0" w:color="auto"/>
              <w:right w:val="single" w:sz="4" w:space="0" w:color="auto"/>
            </w:tcBorders>
            <w:shd w:val="clear" w:color="auto" w:fill="auto"/>
            <w:noWrap/>
            <w:vAlign w:val="center"/>
          </w:tcPr>
          <w:p w14:paraId="252C7C65"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36ACF3C7" w14:textId="77777777" w:rsidR="00CF336B" w:rsidRPr="001B4CA2" w:rsidRDefault="00CF336B" w:rsidP="00CF336B">
            <w:pPr>
              <w:jc w:val="center"/>
              <w:rPr>
                <w:sz w:val="14"/>
                <w:szCs w:val="14"/>
              </w:rPr>
            </w:pPr>
            <w:r w:rsidRPr="001B4CA2">
              <w:rPr>
                <w:rFonts w:cstheme="minorHAnsi"/>
                <w:sz w:val="14"/>
                <w:szCs w:val="14"/>
              </w:rPr>
              <w:t>2</w:t>
            </w:r>
          </w:p>
        </w:tc>
        <w:tc>
          <w:tcPr>
            <w:tcW w:w="134" w:type="pct"/>
            <w:tcBorders>
              <w:top w:val="nil"/>
              <w:left w:val="nil"/>
              <w:bottom w:val="single" w:sz="4" w:space="0" w:color="auto"/>
              <w:right w:val="single" w:sz="4" w:space="0" w:color="auto"/>
            </w:tcBorders>
            <w:shd w:val="clear" w:color="auto" w:fill="auto"/>
            <w:noWrap/>
            <w:vAlign w:val="center"/>
          </w:tcPr>
          <w:p w14:paraId="2410DEE7" w14:textId="77777777" w:rsidR="00CF336B" w:rsidRPr="001B4CA2" w:rsidRDefault="00CF336B" w:rsidP="00CF336B">
            <w:pPr>
              <w:jc w:val="center"/>
              <w:rPr>
                <w:sz w:val="14"/>
                <w:szCs w:val="14"/>
              </w:rPr>
            </w:pPr>
            <w:r w:rsidRPr="001B4CA2">
              <w:rPr>
                <w:rFonts w:cstheme="minorHAnsi"/>
                <w:color w:val="000000"/>
                <w:sz w:val="14"/>
                <w:szCs w:val="14"/>
              </w:rPr>
              <w:t>1</w:t>
            </w:r>
          </w:p>
        </w:tc>
        <w:tc>
          <w:tcPr>
            <w:tcW w:w="88" w:type="pct"/>
            <w:tcBorders>
              <w:top w:val="nil"/>
              <w:left w:val="nil"/>
              <w:bottom w:val="single" w:sz="4" w:space="0" w:color="auto"/>
              <w:right w:val="single" w:sz="4" w:space="0" w:color="auto"/>
            </w:tcBorders>
            <w:shd w:val="clear" w:color="auto" w:fill="auto"/>
            <w:noWrap/>
            <w:vAlign w:val="center"/>
          </w:tcPr>
          <w:p w14:paraId="364413F1"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6CBDDE16"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4AFDF484"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0B9A55FB" w14:textId="77777777" w:rsidR="00CF336B" w:rsidRPr="001B4CA2" w:rsidRDefault="00CF336B" w:rsidP="00CF336B">
            <w:pPr>
              <w:jc w:val="center"/>
              <w:rPr>
                <w:bCs/>
                <w:sz w:val="14"/>
                <w:szCs w:val="14"/>
              </w:rPr>
            </w:pPr>
            <w:r w:rsidRPr="001B4CA2">
              <w:rPr>
                <w:rFonts w:cstheme="minorHAnsi"/>
                <w:bCs/>
                <w:color w:val="000000"/>
                <w:sz w:val="14"/>
                <w:szCs w:val="14"/>
              </w:rPr>
              <w:t>4</w:t>
            </w:r>
          </w:p>
        </w:tc>
        <w:tc>
          <w:tcPr>
            <w:tcW w:w="193" w:type="pct"/>
            <w:tcBorders>
              <w:top w:val="nil"/>
              <w:left w:val="nil"/>
              <w:bottom w:val="single" w:sz="4" w:space="0" w:color="auto"/>
              <w:right w:val="single" w:sz="4" w:space="0" w:color="auto"/>
            </w:tcBorders>
            <w:shd w:val="clear" w:color="auto" w:fill="auto"/>
            <w:noWrap/>
            <w:vAlign w:val="center"/>
          </w:tcPr>
          <w:p w14:paraId="3AE1327C" w14:textId="77777777" w:rsidR="00CF336B" w:rsidRPr="001B4CA2" w:rsidRDefault="00CF336B" w:rsidP="00CF336B">
            <w:pPr>
              <w:jc w:val="center"/>
              <w:rPr>
                <w:bCs/>
                <w:sz w:val="14"/>
                <w:szCs w:val="14"/>
              </w:rPr>
            </w:pPr>
            <w:r w:rsidRPr="001B4CA2">
              <w:rPr>
                <w:rFonts w:cstheme="minorHAnsi"/>
                <w:bCs/>
                <w:color w:val="000000"/>
                <w:sz w:val="14"/>
                <w:szCs w:val="14"/>
              </w:rPr>
              <w:t>1</w:t>
            </w:r>
          </w:p>
        </w:tc>
        <w:tc>
          <w:tcPr>
            <w:tcW w:w="180" w:type="pct"/>
            <w:tcBorders>
              <w:top w:val="nil"/>
              <w:left w:val="nil"/>
              <w:bottom w:val="single" w:sz="4" w:space="0" w:color="auto"/>
              <w:right w:val="single" w:sz="4" w:space="0" w:color="auto"/>
            </w:tcBorders>
            <w:shd w:val="clear" w:color="auto" w:fill="auto"/>
            <w:vAlign w:val="center"/>
          </w:tcPr>
          <w:p w14:paraId="6C5A90A4"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696BDC5C" w14:textId="77777777" w:rsidR="00CF336B" w:rsidRPr="001B4CA2" w:rsidRDefault="00CF336B" w:rsidP="00CF336B">
            <w:pPr>
              <w:jc w:val="center"/>
              <w:rPr>
                <w:b/>
                <w:bCs/>
                <w:sz w:val="14"/>
                <w:szCs w:val="14"/>
              </w:rPr>
            </w:pPr>
            <w:r w:rsidRPr="001B4CA2">
              <w:rPr>
                <w:rFonts w:cstheme="minorHAnsi"/>
                <w:bCs/>
                <w:color w:val="000000"/>
                <w:sz w:val="14"/>
                <w:szCs w:val="14"/>
              </w:rPr>
              <w:t>2</w:t>
            </w:r>
          </w:p>
        </w:tc>
      </w:tr>
      <w:tr w:rsidR="00FB2B5D" w:rsidRPr="001B4CA2" w14:paraId="351C3F20"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77B219BA" w14:textId="77777777" w:rsidR="00CF336B" w:rsidRPr="001B4CA2" w:rsidRDefault="00CF336B" w:rsidP="00CF336B">
            <w:pPr>
              <w:ind w:left="34"/>
              <w:jc w:val="left"/>
              <w:rPr>
                <w:bCs/>
                <w:sz w:val="16"/>
                <w:szCs w:val="16"/>
              </w:rPr>
            </w:pPr>
            <w:r w:rsidRPr="001B4CA2">
              <w:rPr>
                <w:bCs/>
                <w:sz w:val="16"/>
                <w:szCs w:val="16"/>
              </w:rPr>
              <w:t>Ministarstvo prostornoga uređenja, graditeljstva i državne imovine</w:t>
            </w:r>
          </w:p>
        </w:tc>
        <w:tc>
          <w:tcPr>
            <w:tcW w:w="223" w:type="pct"/>
            <w:tcBorders>
              <w:top w:val="nil"/>
              <w:left w:val="nil"/>
              <w:bottom w:val="single" w:sz="4" w:space="0" w:color="auto"/>
              <w:right w:val="single" w:sz="4" w:space="0" w:color="auto"/>
            </w:tcBorders>
            <w:shd w:val="clear" w:color="auto" w:fill="auto"/>
            <w:noWrap/>
            <w:vAlign w:val="center"/>
          </w:tcPr>
          <w:p w14:paraId="0691EA70" w14:textId="77777777" w:rsidR="00CF336B" w:rsidRPr="001B4CA2" w:rsidRDefault="00CF336B" w:rsidP="00CF336B">
            <w:pPr>
              <w:jc w:val="center"/>
              <w:rPr>
                <w:sz w:val="14"/>
                <w:szCs w:val="14"/>
              </w:rPr>
            </w:pPr>
            <w:r w:rsidRPr="001B4CA2">
              <w:rPr>
                <w:rFonts w:cstheme="minorHAnsi"/>
                <w:color w:val="000000"/>
                <w:sz w:val="14"/>
                <w:szCs w:val="14"/>
              </w:rPr>
              <w:t>1.292</w:t>
            </w:r>
          </w:p>
        </w:tc>
        <w:tc>
          <w:tcPr>
            <w:tcW w:w="179" w:type="pct"/>
            <w:tcBorders>
              <w:top w:val="nil"/>
              <w:left w:val="nil"/>
              <w:bottom w:val="single" w:sz="4" w:space="0" w:color="auto"/>
              <w:right w:val="single" w:sz="4" w:space="0" w:color="auto"/>
            </w:tcBorders>
            <w:shd w:val="clear" w:color="auto" w:fill="auto"/>
            <w:noWrap/>
            <w:vAlign w:val="center"/>
          </w:tcPr>
          <w:p w14:paraId="26DB7386" w14:textId="77777777" w:rsidR="00CF336B" w:rsidRPr="001B4CA2" w:rsidRDefault="00CF336B" w:rsidP="00CF336B">
            <w:pPr>
              <w:jc w:val="center"/>
              <w:rPr>
                <w:sz w:val="14"/>
                <w:szCs w:val="14"/>
              </w:rPr>
            </w:pPr>
            <w:r w:rsidRPr="001B4CA2">
              <w:rPr>
                <w:rFonts w:cstheme="minorHAnsi"/>
                <w:color w:val="000000"/>
                <w:sz w:val="14"/>
                <w:szCs w:val="14"/>
              </w:rPr>
              <w:t>247</w:t>
            </w:r>
          </w:p>
        </w:tc>
        <w:tc>
          <w:tcPr>
            <w:tcW w:w="180" w:type="pct"/>
            <w:tcBorders>
              <w:top w:val="nil"/>
              <w:left w:val="nil"/>
              <w:bottom w:val="single" w:sz="4" w:space="0" w:color="auto"/>
              <w:right w:val="single" w:sz="4" w:space="0" w:color="auto"/>
            </w:tcBorders>
            <w:shd w:val="clear" w:color="auto" w:fill="auto"/>
            <w:noWrap/>
            <w:vAlign w:val="center"/>
          </w:tcPr>
          <w:p w14:paraId="4BEBB54B"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2C96E161" w14:textId="77777777" w:rsidR="00CF336B" w:rsidRPr="001B4CA2" w:rsidRDefault="00CF336B" w:rsidP="00CF336B">
            <w:pPr>
              <w:jc w:val="center"/>
              <w:rPr>
                <w:sz w:val="14"/>
                <w:szCs w:val="14"/>
              </w:rPr>
            </w:pPr>
            <w:r w:rsidRPr="001B4CA2">
              <w:rPr>
                <w:rFonts w:cstheme="minorHAnsi"/>
                <w:sz w:val="14"/>
                <w:szCs w:val="14"/>
              </w:rPr>
              <w:t>11.064</w:t>
            </w:r>
          </w:p>
        </w:tc>
        <w:tc>
          <w:tcPr>
            <w:tcW w:w="181" w:type="pct"/>
            <w:tcBorders>
              <w:top w:val="nil"/>
              <w:left w:val="nil"/>
              <w:bottom w:val="single" w:sz="4" w:space="0" w:color="auto"/>
              <w:right w:val="single" w:sz="4" w:space="0" w:color="auto"/>
            </w:tcBorders>
            <w:shd w:val="clear" w:color="auto" w:fill="auto"/>
            <w:noWrap/>
            <w:vAlign w:val="center"/>
          </w:tcPr>
          <w:p w14:paraId="335105A1" w14:textId="77777777" w:rsidR="00CF336B" w:rsidRPr="001B4CA2" w:rsidRDefault="00CF336B" w:rsidP="00CF336B">
            <w:pPr>
              <w:jc w:val="center"/>
              <w:rPr>
                <w:sz w:val="14"/>
                <w:szCs w:val="14"/>
              </w:rPr>
            </w:pPr>
            <w:r w:rsidRPr="001B4CA2">
              <w:rPr>
                <w:rFonts w:cstheme="minorHAnsi"/>
                <w:color w:val="000000"/>
                <w:sz w:val="14"/>
                <w:szCs w:val="14"/>
              </w:rPr>
              <w:t>43</w:t>
            </w:r>
          </w:p>
        </w:tc>
        <w:tc>
          <w:tcPr>
            <w:tcW w:w="177" w:type="pct"/>
            <w:tcBorders>
              <w:top w:val="nil"/>
              <w:left w:val="nil"/>
              <w:bottom w:val="single" w:sz="4" w:space="0" w:color="auto"/>
              <w:right w:val="single" w:sz="4" w:space="0" w:color="auto"/>
            </w:tcBorders>
            <w:shd w:val="clear" w:color="auto" w:fill="auto"/>
            <w:noWrap/>
            <w:vAlign w:val="center"/>
          </w:tcPr>
          <w:p w14:paraId="4651BE97"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82" w:type="pct"/>
            <w:tcBorders>
              <w:top w:val="nil"/>
              <w:left w:val="nil"/>
              <w:bottom w:val="single" w:sz="4" w:space="0" w:color="auto"/>
              <w:right w:val="single" w:sz="4" w:space="0" w:color="auto"/>
            </w:tcBorders>
            <w:shd w:val="clear" w:color="auto" w:fill="auto"/>
            <w:noWrap/>
            <w:vAlign w:val="center"/>
          </w:tcPr>
          <w:p w14:paraId="49097D2C"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0C13E46B" w14:textId="77777777" w:rsidR="00CF336B" w:rsidRPr="001B4CA2" w:rsidRDefault="00CF336B" w:rsidP="00CF336B">
            <w:pPr>
              <w:jc w:val="center"/>
              <w:rPr>
                <w:sz w:val="14"/>
                <w:szCs w:val="14"/>
              </w:rPr>
            </w:pPr>
            <w:r w:rsidRPr="001B4CA2">
              <w:rPr>
                <w:rFonts w:eastAsia="Times New Roman" w:cstheme="minorHAnsi"/>
                <w:color w:val="000000"/>
                <w:sz w:val="14"/>
                <w:szCs w:val="14"/>
                <w:lang w:eastAsia="hr-HR"/>
              </w:rPr>
              <w:t>7</w:t>
            </w:r>
          </w:p>
        </w:tc>
        <w:tc>
          <w:tcPr>
            <w:tcW w:w="142" w:type="pct"/>
            <w:tcBorders>
              <w:top w:val="nil"/>
              <w:left w:val="nil"/>
              <w:bottom w:val="single" w:sz="4" w:space="0" w:color="auto"/>
              <w:right w:val="single" w:sz="4" w:space="0" w:color="auto"/>
            </w:tcBorders>
            <w:shd w:val="clear" w:color="auto" w:fill="auto"/>
            <w:noWrap/>
            <w:vAlign w:val="center"/>
          </w:tcPr>
          <w:p w14:paraId="722E91C5" w14:textId="77777777" w:rsidR="00CF336B" w:rsidRPr="001B4CA2" w:rsidRDefault="00CF336B" w:rsidP="00CF336B">
            <w:pPr>
              <w:jc w:val="center"/>
              <w:rPr>
                <w:sz w:val="14"/>
                <w:szCs w:val="14"/>
              </w:rPr>
            </w:pPr>
            <w:r w:rsidRPr="001B4CA2">
              <w:rPr>
                <w:rFonts w:cstheme="minorHAnsi"/>
                <w:color w:val="000000"/>
                <w:sz w:val="14"/>
                <w:szCs w:val="14"/>
              </w:rPr>
              <w:t>181</w:t>
            </w:r>
          </w:p>
        </w:tc>
        <w:tc>
          <w:tcPr>
            <w:tcW w:w="122" w:type="pct"/>
            <w:tcBorders>
              <w:top w:val="nil"/>
              <w:left w:val="nil"/>
              <w:bottom w:val="single" w:sz="4" w:space="0" w:color="auto"/>
              <w:right w:val="single" w:sz="4" w:space="0" w:color="auto"/>
            </w:tcBorders>
            <w:shd w:val="clear" w:color="auto" w:fill="auto"/>
            <w:noWrap/>
            <w:vAlign w:val="center"/>
          </w:tcPr>
          <w:p w14:paraId="7F9B158B"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7B9673BF"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55E36923"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10453C35"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42" w:type="pct"/>
            <w:tcBorders>
              <w:top w:val="nil"/>
              <w:left w:val="nil"/>
              <w:bottom w:val="single" w:sz="4" w:space="0" w:color="auto"/>
              <w:right w:val="single" w:sz="4" w:space="0" w:color="auto"/>
            </w:tcBorders>
            <w:shd w:val="clear" w:color="auto" w:fill="auto"/>
            <w:noWrap/>
            <w:vAlign w:val="center"/>
          </w:tcPr>
          <w:p w14:paraId="4B238496"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75" w:type="pct"/>
            <w:tcBorders>
              <w:top w:val="nil"/>
              <w:left w:val="nil"/>
              <w:bottom w:val="single" w:sz="4" w:space="0" w:color="auto"/>
              <w:right w:val="single" w:sz="4" w:space="0" w:color="auto"/>
            </w:tcBorders>
            <w:shd w:val="clear" w:color="auto" w:fill="auto"/>
            <w:noWrap/>
            <w:vAlign w:val="center"/>
          </w:tcPr>
          <w:p w14:paraId="2CA24556"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684ABBB9" w14:textId="77777777" w:rsidR="00CF336B" w:rsidRPr="001B4CA2" w:rsidRDefault="00CF336B" w:rsidP="00CF336B">
            <w:pPr>
              <w:jc w:val="center"/>
              <w:rPr>
                <w:sz w:val="14"/>
                <w:szCs w:val="14"/>
              </w:rPr>
            </w:pPr>
            <w:r w:rsidRPr="001B4CA2">
              <w:rPr>
                <w:rFonts w:cstheme="minorHAnsi"/>
                <w:sz w:val="14"/>
                <w:szCs w:val="14"/>
              </w:rPr>
              <w:t>73</w:t>
            </w:r>
          </w:p>
        </w:tc>
        <w:tc>
          <w:tcPr>
            <w:tcW w:w="134" w:type="pct"/>
            <w:tcBorders>
              <w:top w:val="nil"/>
              <w:left w:val="nil"/>
              <w:bottom w:val="single" w:sz="4" w:space="0" w:color="auto"/>
              <w:right w:val="single" w:sz="4" w:space="0" w:color="auto"/>
            </w:tcBorders>
            <w:shd w:val="clear" w:color="auto" w:fill="auto"/>
            <w:noWrap/>
            <w:vAlign w:val="center"/>
          </w:tcPr>
          <w:p w14:paraId="16108CFD" w14:textId="77777777" w:rsidR="00CF336B" w:rsidRPr="001B4CA2" w:rsidRDefault="00CF336B" w:rsidP="00CF336B">
            <w:pPr>
              <w:jc w:val="center"/>
              <w:rPr>
                <w:sz w:val="14"/>
                <w:szCs w:val="14"/>
              </w:rPr>
            </w:pPr>
            <w:r w:rsidRPr="001B4CA2">
              <w:rPr>
                <w:rFonts w:cstheme="minorHAnsi"/>
                <w:color w:val="000000"/>
                <w:sz w:val="14"/>
                <w:szCs w:val="14"/>
              </w:rPr>
              <w:t>8</w:t>
            </w:r>
          </w:p>
        </w:tc>
        <w:tc>
          <w:tcPr>
            <w:tcW w:w="88" w:type="pct"/>
            <w:tcBorders>
              <w:top w:val="nil"/>
              <w:left w:val="nil"/>
              <w:bottom w:val="single" w:sz="4" w:space="0" w:color="auto"/>
              <w:right w:val="single" w:sz="4" w:space="0" w:color="auto"/>
            </w:tcBorders>
            <w:shd w:val="clear" w:color="auto" w:fill="auto"/>
            <w:noWrap/>
            <w:vAlign w:val="center"/>
          </w:tcPr>
          <w:p w14:paraId="13FD8527"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7FE9E854"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4B82E370"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775C2284" w14:textId="77777777" w:rsidR="00CF336B" w:rsidRPr="001B4CA2" w:rsidRDefault="00CF336B" w:rsidP="00CF336B">
            <w:pPr>
              <w:jc w:val="center"/>
              <w:rPr>
                <w:bCs/>
                <w:sz w:val="14"/>
                <w:szCs w:val="14"/>
              </w:rPr>
            </w:pPr>
            <w:r w:rsidRPr="001B4CA2">
              <w:rPr>
                <w:rFonts w:cstheme="minorHAnsi"/>
                <w:bCs/>
                <w:color w:val="000000"/>
                <w:sz w:val="14"/>
                <w:szCs w:val="14"/>
              </w:rPr>
              <w:t>1.525</w:t>
            </w:r>
          </w:p>
        </w:tc>
        <w:tc>
          <w:tcPr>
            <w:tcW w:w="193" w:type="pct"/>
            <w:tcBorders>
              <w:top w:val="nil"/>
              <w:left w:val="nil"/>
              <w:bottom w:val="single" w:sz="4" w:space="0" w:color="auto"/>
              <w:right w:val="single" w:sz="4" w:space="0" w:color="auto"/>
            </w:tcBorders>
            <w:shd w:val="clear" w:color="auto" w:fill="auto"/>
            <w:noWrap/>
            <w:vAlign w:val="center"/>
          </w:tcPr>
          <w:p w14:paraId="24A51233" w14:textId="77777777" w:rsidR="00CF336B" w:rsidRPr="001B4CA2" w:rsidRDefault="00CF336B" w:rsidP="00CF336B">
            <w:pPr>
              <w:jc w:val="center"/>
              <w:rPr>
                <w:bCs/>
                <w:sz w:val="14"/>
                <w:szCs w:val="14"/>
              </w:rPr>
            </w:pPr>
            <w:r w:rsidRPr="001B4CA2">
              <w:rPr>
                <w:rFonts w:cstheme="minorHAnsi"/>
                <w:bCs/>
                <w:color w:val="000000"/>
                <w:sz w:val="14"/>
                <w:szCs w:val="14"/>
              </w:rPr>
              <w:t>250</w:t>
            </w:r>
          </w:p>
        </w:tc>
        <w:tc>
          <w:tcPr>
            <w:tcW w:w="180" w:type="pct"/>
            <w:tcBorders>
              <w:top w:val="nil"/>
              <w:left w:val="nil"/>
              <w:bottom w:val="single" w:sz="4" w:space="0" w:color="auto"/>
              <w:right w:val="single" w:sz="4" w:space="0" w:color="auto"/>
            </w:tcBorders>
            <w:shd w:val="clear" w:color="auto" w:fill="auto"/>
            <w:vAlign w:val="center"/>
          </w:tcPr>
          <w:p w14:paraId="6BB7E5E6"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08FB8B50" w14:textId="77777777" w:rsidR="00CF336B" w:rsidRPr="001B4CA2" w:rsidRDefault="00CF336B" w:rsidP="00CF336B">
            <w:pPr>
              <w:jc w:val="center"/>
              <w:rPr>
                <w:b/>
                <w:bCs/>
                <w:sz w:val="14"/>
                <w:szCs w:val="14"/>
              </w:rPr>
            </w:pPr>
            <w:r w:rsidRPr="001B4CA2">
              <w:rPr>
                <w:rFonts w:cstheme="minorHAnsi"/>
                <w:bCs/>
                <w:color w:val="000000"/>
                <w:sz w:val="14"/>
                <w:szCs w:val="14"/>
              </w:rPr>
              <w:t>11.144</w:t>
            </w:r>
          </w:p>
        </w:tc>
      </w:tr>
      <w:tr w:rsidR="00FB2B5D" w:rsidRPr="001B4CA2" w14:paraId="1E22E32A"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17AE77E8" w14:textId="77777777" w:rsidR="00CF336B" w:rsidRPr="001B4CA2" w:rsidRDefault="00CF336B" w:rsidP="00CF336B">
            <w:pPr>
              <w:ind w:left="34"/>
              <w:jc w:val="left"/>
              <w:rPr>
                <w:bCs/>
                <w:sz w:val="16"/>
                <w:szCs w:val="16"/>
              </w:rPr>
            </w:pPr>
            <w:r w:rsidRPr="001B4CA2">
              <w:rPr>
                <w:bCs/>
                <w:sz w:val="16"/>
                <w:szCs w:val="16"/>
              </w:rPr>
              <w:t xml:space="preserve">Ministarstvo unutarnjih poslova </w:t>
            </w:r>
          </w:p>
        </w:tc>
        <w:tc>
          <w:tcPr>
            <w:tcW w:w="223" w:type="pct"/>
            <w:tcBorders>
              <w:top w:val="nil"/>
              <w:left w:val="nil"/>
              <w:bottom w:val="single" w:sz="4" w:space="0" w:color="auto"/>
              <w:right w:val="single" w:sz="4" w:space="0" w:color="auto"/>
            </w:tcBorders>
            <w:shd w:val="clear" w:color="auto" w:fill="auto"/>
            <w:noWrap/>
            <w:vAlign w:val="center"/>
          </w:tcPr>
          <w:p w14:paraId="1B3ACB7C" w14:textId="77777777" w:rsidR="00CF336B" w:rsidRPr="001B4CA2" w:rsidRDefault="00CF336B" w:rsidP="00CF336B">
            <w:pPr>
              <w:jc w:val="center"/>
              <w:rPr>
                <w:sz w:val="14"/>
                <w:szCs w:val="14"/>
              </w:rPr>
            </w:pPr>
            <w:r w:rsidRPr="001B4CA2">
              <w:rPr>
                <w:rFonts w:cstheme="minorHAnsi"/>
                <w:color w:val="000000"/>
                <w:sz w:val="14"/>
                <w:szCs w:val="14"/>
              </w:rPr>
              <w:t>5</w:t>
            </w:r>
          </w:p>
        </w:tc>
        <w:tc>
          <w:tcPr>
            <w:tcW w:w="179" w:type="pct"/>
            <w:tcBorders>
              <w:top w:val="nil"/>
              <w:left w:val="nil"/>
              <w:bottom w:val="single" w:sz="4" w:space="0" w:color="auto"/>
              <w:right w:val="single" w:sz="4" w:space="0" w:color="auto"/>
            </w:tcBorders>
            <w:shd w:val="clear" w:color="auto" w:fill="auto"/>
            <w:noWrap/>
            <w:vAlign w:val="center"/>
          </w:tcPr>
          <w:p w14:paraId="399D2379"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5C66A11D"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683FAC4D"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6DC1ECD9" w14:textId="77777777" w:rsidR="00CF336B" w:rsidRPr="001B4CA2" w:rsidRDefault="00CF336B" w:rsidP="00CF336B">
            <w:pPr>
              <w:jc w:val="center"/>
              <w:rPr>
                <w:sz w:val="14"/>
                <w:szCs w:val="14"/>
              </w:rPr>
            </w:pPr>
            <w:r w:rsidRPr="001B4CA2">
              <w:rPr>
                <w:rFonts w:cstheme="minorHAnsi"/>
                <w:color w:val="000000"/>
                <w:sz w:val="14"/>
                <w:szCs w:val="14"/>
              </w:rPr>
              <w:t>12</w:t>
            </w:r>
          </w:p>
        </w:tc>
        <w:tc>
          <w:tcPr>
            <w:tcW w:w="177" w:type="pct"/>
            <w:tcBorders>
              <w:top w:val="nil"/>
              <w:left w:val="nil"/>
              <w:bottom w:val="single" w:sz="4" w:space="0" w:color="auto"/>
              <w:right w:val="single" w:sz="4" w:space="0" w:color="auto"/>
            </w:tcBorders>
            <w:shd w:val="clear" w:color="auto" w:fill="auto"/>
            <w:noWrap/>
            <w:vAlign w:val="center"/>
          </w:tcPr>
          <w:p w14:paraId="43A829BB" w14:textId="77777777" w:rsidR="00CF336B" w:rsidRPr="001B4CA2" w:rsidRDefault="00CF336B" w:rsidP="00CF336B">
            <w:pPr>
              <w:jc w:val="center"/>
              <w:rPr>
                <w:sz w:val="14"/>
                <w:szCs w:val="14"/>
              </w:rPr>
            </w:pPr>
            <w:r w:rsidRPr="001B4CA2">
              <w:rPr>
                <w:rFonts w:cstheme="minorHAnsi"/>
                <w:color w:val="000000"/>
                <w:sz w:val="14"/>
                <w:szCs w:val="14"/>
              </w:rPr>
              <w:t>4</w:t>
            </w:r>
          </w:p>
        </w:tc>
        <w:tc>
          <w:tcPr>
            <w:tcW w:w="182" w:type="pct"/>
            <w:tcBorders>
              <w:top w:val="nil"/>
              <w:left w:val="nil"/>
              <w:bottom w:val="single" w:sz="4" w:space="0" w:color="auto"/>
              <w:right w:val="single" w:sz="4" w:space="0" w:color="auto"/>
            </w:tcBorders>
            <w:shd w:val="clear" w:color="auto" w:fill="auto"/>
            <w:noWrap/>
            <w:vAlign w:val="center"/>
          </w:tcPr>
          <w:p w14:paraId="2555D02A"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681F9DF1" w14:textId="77777777" w:rsidR="00CF336B" w:rsidRPr="001B4CA2" w:rsidRDefault="00CF336B" w:rsidP="00CF336B">
            <w:pPr>
              <w:jc w:val="center"/>
              <w:rPr>
                <w:sz w:val="14"/>
                <w:szCs w:val="14"/>
              </w:rPr>
            </w:pPr>
            <w:r w:rsidRPr="001B4CA2">
              <w:rPr>
                <w:rFonts w:eastAsia="Times New Roman" w:cstheme="minorHAnsi"/>
                <w:color w:val="000000"/>
                <w:sz w:val="14"/>
                <w:szCs w:val="14"/>
                <w:lang w:eastAsia="hr-HR"/>
              </w:rPr>
              <w:t>60</w:t>
            </w:r>
          </w:p>
        </w:tc>
        <w:tc>
          <w:tcPr>
            <w:tcW w:w="142" w:type="pct"/>
            <w:tcBorders>
              <w:top w:val="nil"/>
              <w:left w:val="nil"/>
              <w:bottom w:val="single" w:sz="4" w:space="0" w:color="auto"/>
              <w:right w:val="single" w:sz="4" w:space="0" w:color="auto"/>
            </w:tcBorders>
            <w:shd w:val="clear" w:color="auto" w:fill="auto"/>
            <w:noWrap/>
            <w:vAlign w:val="center"/>
          </w:tcPr>
          <w:p w14:paraId="1FFB19B8" w14:textId="77777777" w:rsidR="00CF336B" w:rsidRPr="001B4CA2" w:rsidRDefault="00CF336B" w:rsidP="00CF336B">
            <w:pPr>
              <w:jc w:val="center"/>
              <w:rPr>
                <w:sz w:val="14"/>
                <w:szCs w:val="14"/>
              </w:rPr>
            </w:pPr>
            <w:r w:rsidRPr="001B4CA2">
              <w:rPr>
                <w:rFonts w:cstheme="minorHAnsi"/>
                <w:color w:val="000000"/>
                <w:sz w:val="14"/>
                <w:szCs w:val="14"/>
              </w:rPr>
              <w:t>57</w:t>
            </w:r>
          </w:p>
        </w:tc>
        <w:tc>
          <w:tcPr>
            <w:tcW w:w="122" w:type="pct"/>
            <w:tcBorders>
              <w:top w:val="nil"/>
              <w:left w:val="nil"/>
              <w:bottom w:val="single" w:sz="4" w:space="0" w:color="auto"/>
              <w:right w:val="single" w:sz="4" w:space="0" w:color="auto"/>
            </w:tcBorders>
            <w:shd w:val="clear" w:color="auto" w:fill="auto"/>
            <w:noWrap/>
            <w:vAlign w:val="center"/>
          </w:tcPr>
          <w:p w14:paraId="7F166249" w14:textId="77777777" w:rsidR="00CF336B" w:rsidRPr="001B4CA2" w:rsidRDefault="00CF336B" w:rsidP="00CF336B">
            <w:pPr>
              <w:jc w:val="center"/>
              <w:rPr>
                <w:sz w:val="14"/>
                <w:szCs w:val="14"/>
              </w:rPr>
            </w:pPr>
            <w:r w:rsidRPr="001B4CA2">
              <w:rPr>
                <w:rFonts w:cstheme="minorHAnsi"/>
                <w:color w:val="000000"/>
                <w:sz w:val="14"/>
                <w:szCs w:val="14"/>
              </w:rPr>
              <w:t>16</w:t>
            </w:r>
          </w:p>
        </w:tc>
        <w:tc>
          <w:tcPr>
            <w:tcW w:w="183" w:type="pct"/>
            <w:tcBorders>
              <w:top w:val="nil"/>
              <w:left w:val="nil"/>
              <w:bottom w:val="single" w:sz="4" w:space="0" w:color="auto"/>
              <w:right w:val="single" w:sz="4" w:space="0" w:color="auto"/>
            </w:tcBorders>
            <w:shd w:val="clear" w:color="auto" w:fill="auto"/>
            <w:noWrap/>
            <w:vAlign w:val="center"/>
          </w:tcPr>
          <w:p w14:paraId="18C57E70"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6B904229" w14:textId="77777777" w:rsidR="00CF336B" w:rsidRPr="001B4CA2" w:rsidRDefault="00CF336B" w:rsidP="00CF336B">
            <w:pPr>
              <w:jc w:val="center"/>
              <w:rPr>
                <w:sz w:val="14"/>
                <w:szCs w:val="14"/>
              </w:rPr>
            </w:pPr>
            <w:r w:rsidRPr="001B4CA2">
              <w:rPr>
                <w:rFonts w:cstheme="minorHAnsi"/>
                <w:color w:val="000000"/>
                <w:sz w:val="14"/>
                <w:szCs w:val="14"/>
              </w:rPr>
              <w:t>642</w:t>
            </w:r>
          </w:p>
        </w:tc>
        <w:tc>
          <w:tcPr>
            <w:tcW w:w="173" w:type="pct"/>
            <w:tcBorders>
              <w:top w:val="nil"/>
              <w:left w:val="nil"/>
              <w:bottom w:val="single" w:sz="4" w:space="0" w:color="auto"/>
              <w:right w:val="single" w:sz="4" w:space="0" w:color="auto"/>
            </w:tcBorders>
            <w:shd w:val="clear" w:color="auto" w:fill="auto"/>
            <w:noWrap/>
            <w:vAlign w:val="center"/>
          </w:tcPr>
          <w:p w14:paraId="184716EF" w14:textId="77777777" w:rsidR="00CF336B" w:rsidRPr="001B4CA2" w:rsidRDefault="00CF336B" w:rsidP="00CF336B">
            <w:pPr>
              <w:jc w:val="center"/>
              <w:rPr>
                <w:sz w:val="14"/>
                <w:szCs w:val="14"/>
              </w:rPr>
            </w:pPr>
            <w:r w:rsidRPr="001B4CA2">
              <w:rPr>
                <w:rFonts w:cstheme="minorHAnsi"/>
                <w:color w:val="000000"/>
                <w:sz w:val="14"/>
                <w:szCs w:val="14"/>
              </w:rPr>
              <w:t>642</w:t>
            </w:r>
          </w:p>
        </w:tc>
        <w:tc>
          <w:tcPr>
            <w:tcW w:w="142" w:type="pct"/>
            <w:tcBorders>
              <w:top w:val="nil"/>
              <w:left w:val="nil"/>
              <w:bottom w:val="single" w:sz="4" w:space="0" w:color="auto"/>
              <w:right w:val="single" w:sz="4" w:space="0" w:color="auto"/>
            </w:tcBorders>
            <w:shd w:val="clear" w:color="auto" w:fill="auto"/>
            <w:noWrap/>
            <w:vAlign w:val="center"/>
          </w:tcPr>
          <w:p w14:paraId="7A4781FF" w14:textId="77777777" w:rsidR="00CF336B" w:rsidRPr="001B4CA2" w:rsidRDefault="00CF336B" w:rsidP="00CF336B">
            <w:pPr>
              <w:jc w:val="center"/>
              <w:rPr>
                <w:sz w:val="14"/>
                <w:szCs w:val="14"/>
              </w:rPr>
            </w:pPr>
            <w:r w:rsidRPr="001B4CA2">
              <w:rPr>
                <w:rFonts w:cstheme="minorHAnsi"/>
                <w:color w:val="000000"/>
                <w:sz w:val="14"/>
                <w:szCs w:val="14"/>
              </w:rPr>
              <w:t>109</w:t>
            </w:r>
          </w:p>
        </w:tc>
        <w:tc>
          <w:tcPr>
            <w:tcW w:w="175" w:type="pct"/>
            <w:tcBorders>
              <w:top w:val="nil"/>
              <w:left w:val="nil"/>
              <w:bottom w:val="single" w:sz="4" w:space="0" w:color="auto"/>
              <w:right w:val="single" w:sz="4" w:space="0" w:color="auto"/>
            </w:tcBorders>
            <w:shd w:val="clear" w:color="auto" w:fill="auto"/>
            <w:noWrap/>
            <w:vAlign w:val="center"/>
          </w:tcPr>
          <w:p w14:paraId="2453162A"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22860CEC" w14:textId="77777777" w:rsidR="00CF336B" w:rsidRPr="001B4CA2" w:rsidRDefault="00CF336B" w:rsidP="00CF336B">
            <w:pPr>
              <w:jc w:val="center"/>
              <w:rPr>
                <w:sz w:val="14"/>
                <w:szCs w:val="14"/>
              </w:rPr>
            </w:pPr>
            <w:r w:rsidRPr="001B4CA2">
              <w:rPr>
                <w:rFonts w:cstheme="minorHAnsi"/>
                <w:sz w:val="14"/>
                <w:szCs w:val="14"/>
              </w:rPr>
              <w:t>1.194</w:t>
            </w:r>
          </w:p>
        </w:tc>
        <w:tc>
          <w:tcPr>
            <w:tcW w:w="134" w:type="pct"/>
            <w:tcBorders>
              <w:top w:val="nil"/>
              <w:left w:val="nil"/>
              <w:bottom w:val="single" w:sz="4" w:space="0" w:color="auto"/>
              <w:right w:val="single" w:sz="4" w:space="0" w:color="auto"/>
            </w:tcBorders>
            <w:shd w:val="clear" w:color="auto" w:fill="auto"/>
            <w:noWrap/>
            <w:vAlign w:val="center"/>
          </w:tcPr>
          <w:p w14:paraId="0BAA6E0A" w14:textId="77777777" w:rsidR="00CF336B" w:rsidRPr="001B4CA2" w:rsidRDefault="00CF336B" w:rsidP="00CF336B">
            <w:pPr>
              <w:jc w:val="center"/>
              <w:rPr>
                <w:sz w:val="14"/>
                <w:szCs w:val="14"/>
              </w:rPr>
            </w:pPr>
            <w:r w:rsidRPr="001B4CA2">
              <w:rPr>
                <w:rFonts w:cstheme="minorHAnsi"/>
                <w:color w:val="000000"/>
                <w:sz w:val="14"/>
                <w:szCs w:val="14"/>
              </w:rPr>
              <w:t>7</w:t>
            </w:r>
          </w:p>
        </w:tc>
        <w:tc>
          <w:tcPr>
            <w:tcW w:w="88" w:type="pct"/>
            <w:tcBorders>
              <w:top w:val="nil"/>
              <w:left w:val="nil"/>
              <w:bottom w:val="single" w:sz="4" w:space="0" w:color="auto"/>
              <w:right w:val="single" w:sz="4" w:space="0" w:color="auto"/>
            </w:tcBorders>
            <w:shd w:val="clear" w:color="auto" w:fill="auto"/>
            <w:noWrap/>
            <w:vAlign w:val="center"/>
          </w:tcPr>
          <w:p w14:paraId="244C20DE" w14:textId="77777777" w:rsidR="00CF336B" w:rsidRPr="001B4CA2" w:rsidRDefault="00CF336B" w:rsidP="00CF336B">
            <w:pPr>
              <w:jc w:val="center"/>
              <w:rPr>
                <w:sz w:val="14"/>
                <w:szCs w:val="14"/>
              </w:rPr>
            </w:pPr>
            <w:r w:rsidRPr="001B4CA2">
              <w:rPr>
                <w:rFonts w:cstheme="minorHAnsi"/>
                <w:color w:val="000000"/>
                <w:sz w:val="14"/>
                <w:szCs w:val="14"/>
              </w:rPr>
              <w:t>4</w:t>
            </w:r>
          </w:p>
        </w:tc>
        <w:tc>
          <w:tcPr>
            <w:tcW w:w="176" w:type="pct"/>
            <w:tcBorders>
              <w:top w:val="nil"/>
              <w:left w:val="nil"/>
              <w:bottom w:val="single" w:sz="4" w:space="0" w:color="auto"/>
              <w:right w:val="single" w:sz="4" w:space="0" w:color="auto"/>
            </w:tcBorders>
            <w:shd w:val="clear" w:color="auto" w:fill="auto"/>
            <w:noWrap/>
            <w:vAlign w:val="center"/>
          </w:tcPr>
          <w:p w14:paraId="1795B713"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659CFFE2" w14:textId="77777777" w:rsidR="00CF336B" w:rsidRPr="001B4CA2" w:rsidRDefault="00CF336B" w:rsidP="00CF336B">
            <w:pPr>
              <w:jc w:val="center"/>
              <w:rPr>
                <w:sz w:val="14"/>
                <w:szCs w:val="14"/>
              </w:rPr>
            </w:pPr>
            <w:r w:rsidRPr="001B4CA2">
              <w:rPr>
                <w:rFonts w:cstheme="minorHAnsi"/>
                <w:color w:val="000000"/>
                <w:sz w:val="14"/>
                <w:szCs w:val="14"/>
              </w:rPr>
              <w:t>11</w:t>
            </w:r>
          </w:p>
        </w:tc>
        <w:tc>
          <w:tcPr>
            <w:tcW w:w="179" w:type="pct"/>
            <w:tcBorders>
              <w:top w:val="nil"/>
              <w:left w:val="nil"/>
              <w:bottom w:val="single" w:sz="4" w:space="0" w:color="auto"/>
              <w:right w:val="single" w:sz="4" w:space="0" w:color="auto"/>
            </w:tcBorders>
            <w:shd w:val="clear" w:color="auto" w:fill="auto"/>
            <w:noWrap/>
            <w:vAlign w:val="center"/>
          </w:tcPr>
          <w:p w14:paraId="531172D8" w14:textId="77777777" w:rsidR="00CF336B" w:rsidRPr="001B4CA2" w:rsidRDefault="00CF336B" w:rsidP="00CF336B">
            <w:pPr>
              <w:jc w:val="center"/>
              <w:rPr>
                <w:bCs/>
                <w:sz w:val="14"/>
                <w:szCs w:val="14"/>
              </w:rPr>
            </w:pPr>
            <w:r w:rsidRPr="001B4CA2">
              <w:rPr>
                <w:rFonts w:cstheme="minorHAnsi"/>
                <w:bCs/>
                <w:color w:val="000000"/>
                <w:sz w:val="14"/>
                <w:szCs w:val="14"/>
              </w:rPr>
              <w:t>723</w:t>
            </w:r>
          </w:p>
        </w:tc>
        <w:tc>
          <w:tcPr>
            <w:tcW w:w="193" w:type="pct"/>
            <w:tcBorders>
              <w:top w:val="nil"/>
              <w:left w:val="nil"/>
              <w:bottom w:val="single" w:sz="4" w:space="0" w:color="auto"/>
              <w:right w:val="single" w:sz="4" w:space="0" w:color="auto"/>
            </w:tcBorders>
            <w:shd w:val="clear" w:color="auto" w:fill="auto"/>
            <w:noWrap/>
            <w:vAlign w:val="center"/>
          </w:tcPr>
          <w:p w14:paraId="5F6F97F7" w14:textId="77777777" w:rsidR="00CF336B" w:rsidRPr="001B4CA2" w:rsidRDefault="00CF336B" w:rsidP="00CF336B">
            <w:pPr>
              <w:jc w:val="center"/>
              <w:rPr>
                <w:bCs/>
                <w:sz w:val="14"/>
                <w:szCs w:val="14"/>
              </w:rPr>
            </w:pPr>
            <w:r w:rsidRPr="001B4CA2">
              <w:rPr>
                <w:rFonts w:cstheme="minorHAnsi"/>
                <w:bCs/>
                <w:color w:val="000000"/>
                <w:sz w:val="14"/>
                <w:szCs w:val="14"/>
              </w:rPr>
              <w:t>133</w:t>
            </w:r>
          </w:p>
        </w:tc>
        <w:tc>
          <w:tcPr>
            <w:tcW w:w="180" w:type="pct"/>
            <w:tcBorders>
              <w:top w:val="nil"/>
              <w:left w:val="nil"/>
              <w:bottom w:val="single" w:sz="4" w:space="0" w:color="auto"/>
              <w:right w:val="single" w:sz="4" w:space="0" w:color="auto"/>
            </w:tcBorders>
            <w:shd w:val="clear" w:color="auto" w:fill="auto"/>
            <w:vAlign w:val="center"/>
          </w:tcPr>
          <w:p w14:paraId="5725D438"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614B3AFD" w14:textId="77777777" w:rsidR="00CF336B" w:rsidRPr="001B4CA2" w:rsidRDefault="00CF336B" w:rsidP="00CF336B">
            <w:pPr>
              <w:jc w:val="center"/>
              <w:rPr>
                <w:b/>
                <w:bCs/>
                <w:sz w:val="14"/>
                <w:szCs w:val="14"/>
              </w:rPr>
            </w:pPr>
            <w:r w:rsidRPr="001B4CA2">
              <w:rPr>
                <w:rFonts w:cstheme="minorHAnsi"/>
                <w:bCs/>
                <w:color w:val="000000"/>
                <w:sz w:val="14"/>
                <w:szCs w:val="14"/>
              </w:rPr>
              <w:t>1.907</w:t>
            </w:r>
          </w:p>
        </w:tc>
      </w:tr>
      <w:tr w:rsidR="00FB2B5D" w:rsidRPr="001B4CA2" w14:paraId="02A9D030"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3B718146" w14:textId="77777777" w:rsidR="00CF336B" w:rsidRPr="001B4CA2" w:rsidRDefault="00CF336B" w:rsidP="00CF336B">
            <w:pPr>
              <w:ind w:left="34"/>
              <w:jc w:val="left"/>
              <w:rPr>
                <w:bCs/>
                <w:sz w:val="16"/>
                <w:szCs w:val="16"/>
              </w:rPr>
            </w:pPr>
            <w:r w:rsidRPr="001B4CA2">
              <w:rPr>
                <w:bCs/>
                <w:sz w:val="16"/>
                <w:szCs w:val="16"/>
              </w:rPr>
              <w:t>Ministarstvo rada, mirovinskoga sustava, obitelji i socijalne politike</w:t>
            </w:r>
          </w:p>
        </w:tc>
        <w:tc>
          <w:tcPr>
            <w:tcW w:w="223" w:type="pct"/>
            <w:tcBorders>
              <w:top w:val="nil"/>
              <w:left w:val="nil"/>
              <w:bottom w:val="single" w:sz="4" w:space="0" w:color="auto"/>
              <w:right w:val="single" w:sz="4" w:space="0" w:color="auto"/>
            </w:tcBorders>
            <w:shd w:val="clear" w:color="auto" w:fill="auto"/>
            <w:noWrap/>
            <w:vAlign w:val="center"/>
          </w:tcPr>
          <w:p w14:paraId="0C792B0E" w14:textId="77777777" w:rsidR="00CF336B" w:rsidRPr="001B4CA2" w:rsidRDefault="00CF336B" w:rsidP="00CF336B">
            <w:pPr>
              <w:jc w:val="center"/>
              <w:rPr>
                <w:sz w:val="14"/>
                <w:szCs w:val="14"/>
              </w:rPr>
            </w:pPr>
            <w:r w:rsidRPr="001B4CA2">
              <w:rPr>
                <w:rFonts w:cstheme="minorHAnsi"/>
                <w:color w:val="000000"/>
                <w:sz w:val="14"/>
                <w:szCs w:val="14"/>
              </w:rPr>
              <w:t>7</w:t>
            </w:r>
          </w:p>
        </w:tc>
        <w:tc>
          <w:tcPr>
            <w:tcW w:w="179" w:type="pct"/>
            <w:tcBorders>
              <w:top w:val="nil"/>
              <w:left w:val="nil"/>
              <w:bottom w:val="single" w:sz="4" w:space="0" w:color="auto"/>
              <w:right w:val="single" w:sz="4" w:space="0" w:color="auto"/>
            </w:tcBorders>
            <w:shd w:val="clear" w:color="auto" w:fill="auto"/>
            <w:noWrap/>
            <w:vAlign w:val="center"/>
          </w:tcPr>
          <w:p w14:paraId="1F757CA6"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793BA77F"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0095A003"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072843B9"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77" w:type="pct"/>
            <w:tcBorders>
              <w:top w:val="nil"/>
              <w:left w:val="nil"/>
              <w:bottom w:val="single" w:sz="4" w:space="0" w:color="auto"/>
              <w:right w:val="single" w:sz="4" w:space="0" w:color="auto"/>
            </w:tcBorders>
            <w:shd w:val="clear" w:color="auto" w:fill="auto"/>
            <w:noWrap/>
            <w:vAlign w:val="center"/>
          </w:tcPr>
          <w:p w14:paraId="2EBABF44"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4D485561"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6B0038E0"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0292C83D" w14:textId="77777777" w:rsidR="00CF336B" w:rsidRPr="001B4CA2" w:rsidRDefault="00CF336B" w:rsidP="00CF336B">
            <w:pPr>
              <w:jc w:val="center"/>
              <w:rPr>
                <w:sz w:val="14"/>
                <w:szCs w:val="14"/>
              </w:rPr>
            </w:pPr>
            <w:r w:rsidRPr="001B4CA2">
              <w:rPr>
                <w:rFonts w:cstheme="minorHAnsi"/>
                <w:color w:val="000000"/>
                <w:sz w:val="14"/>
                <w:szCs w:val="14"/>
              </w:rPr>
              <w:t>3</w:t>
            </w:r>
          </w:p>
        </w:tc>
        <w:tc>
          <w:tcPr>
            <w:tcW w:w="122" w:type="pct"/>
            <w:tcBorders>
              <w:top w:val="nil"/>
              <w:left w:val="nil"/>
              <w:bottom w:val="single" w:sz="4" w:space="0" w:color="auto"/>
              <w:right w:val="single" w:sz="4" w:space="0" w:color="auto"/>
            </w:tcBorders>
            <w:shd w:val="clear" w:color="auto" w:fill="auto"/>
            <w:noWrap/>
            <w:vAlign w:val="center"/>
          </w:tcPr>
          <w:p w14:paraId="54187E23"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4AABE47A"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3F68EC0B"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37344607"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6B6F40D3"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2616C708"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52DE326E" w14:textId="77777777" w:rsidR="00CF336B" w:rsidRPr="001B4CA2" w:rsidRDefault="00CF336B" w:rsidP="00CF336B">
            <w:pPr>
              <w:jc w:val="center"/>
              <w:rPr>
                <w:sz w:val="14"/>
                <w:szCs w:val="14"/>
              </w:rPr>
            </w:pPr>
          </w:p>
        </w:tc>
        <w:tc>
          <w:tcPr>
            <w:tcW w:w="134" w:type="pct"/>
            <w:tcBorders>
              <w:top w:val="nil"/>
              <w:left w:val="nil"/>
              <w:bottom w:val="single" w:sz="4" w:space="0" w:color="auto"/>
              <w:right w:val="single" w:sz="4" w:space="0" w:color="auto"/>
            </w:tcBorders>
            <w:shd w:val="clear" w:color="auto" w:fill="auto"/>
            <w:noWrap/>
            <w:vAlign w:val="center"/>
          </w:tcPr>
          <w:p w14:paraId="31418C77" w14:textId="77777777" w:rsidR="00CF336B" w:rsidRPr="001B4CA2" w:rsidRDefault="00CF336B" w:rsidP="00CF336B">
            <w:pPr>
              <w:jc w:val="center"/>
              <w:rPr>
                <w:sz w:val="14"/>
                <w:szCs w:val="14"/>
              </w:rPr>
            </w:pPr>
          </w:p>
        </w:tc>
        <w:tc>
          <w:tcPr>
            <w:tcW w:w="88" w:type="pct"/>
            <w:tcBorders>
              <w:top w:val="nil"/>
              <w:left w:val="nil"/>
              <w:bottom w:val="single" w:sz="4" w:space="0" w:color="auto"/>
              <w:right w:val="single" w:sz="4" w:space="0" w:color="auto"/>
            </w:tcBorders>
            <w:shd w:val="clear" w:color="auto" w:fill="auto"/>
            <w:noWrap/>
            <w:vAlign w:val="center"/>
          </w:tcPr>
          <w:p w14:paraId="3AB6774A"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050B255B"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17A4D4E0"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29874D6C" w14:textId="77777777" w:rsidR="00CF336B" w:rsidRPr="001B4CA2" w:rsidRDefault="00CF336B" w:rsidP="00CF336B">
            <w:pPr>
              <w:jc w:val="center"/>
              <w:rPr>
                <w:bCs/>
                <w:sz w:val="14"/>
                <w:szCs w:val="14"/>
              </w:rPr>
            </w:pPr>
            <w:r w:rsidRPr="001B4CA2">
              <w:rPr>
                <w:rFonts w:cstheme="minorHAnsi"/>
                <w:bCs/>
                <w:color w:val="000000"/>
                <w:sz w:val="14"/>
                <w:szCs w:val="14"/>
              </w:rPr>
              <w:t>12</w:t>
            </w:r>
          </w:p>
        </w:tc>
        <w:tc>
          <w:tcPr>
            <w:tcW w:w="193" w:type="pct"/>
            <w:tcBorders>
              <w:top w:val="nil"/>
              <w:left w:val="nil"/>
              <w:bottom w:val="single" w:sz="4" w:space="0" w:color="auto"/>
              <w:right w:val="single" w:sz="4" w:space="0" w:color="auto"/>
            </w:tcBorders>
            <w:shd w:val="clear" w:color="auto" w:fill="auto"/>
            <w:noWrap/>
            <w:vAlign w:val="center"/>
          </w:tcPr>
          <w:p w14:paraId="46B1FCFA" w14:textId="77777777" w:rsidR="00CF336B" w:rsidRPr="001B4CA2" w:rsidRDefault="00CF336B" w:rsidP="00CF336B">
            <w:pPr>
              <w:jc w:val="center"/>
              <w:rPr>
                <w:bCs/>
                <w:sz w:val="14"/>
                <w:szCs w:val="14"/>
              </w:rPr>
            </w:pPr>
            <w:r w:rsidRPr="001B4CA2">
              <w:rPr>
                <w:rFonts w:cstheme="minorHAnsi"/>
                <w:bCs/>
                <w:color w:val="000000"/>
                <w:sz w:val="14"/>
                <w:szCs w:val="14"/>
              </w:rPr>
              <w:t>0</w:t>
            </w:r>
          </w:p>
        </w:tc>
        <w:tc>
          <w:tcPr>
            <w:tcW w:w="180" w:type="pct"/>
            <w:tcBorders>
              <w:top w:val="nil"/>
              <w:left w:val="nil"/>
              <w:bottom w:val="single" w:sz="4" w:space="0" w:color="auto"/>
              <w:right w:val="single" w:sz="4" w:space="0" w:color="auto"/>
            </w:tcBorders>
            <w:shd w:val="clear" w:color="auto" w:fill="auto"/>
            <w:vAlign w:val="center"/>
          </w:tcPr>
          <w:p w14:paraId="3542ED5F"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6399143A" w14:textId="77777777" w:rsidR="00CF336B" w:rsidRPr="001B4CA2" w:rsidRDefault="00CF336B" w:rsidP="00CF336B">
            <w:pPr>
              <w:jc w:val="center"/>
              <w:rPr>
                <w:b/>
                <w:bCs/>
                <w:sz w:val="14"/>
                <w:szCs w:val="14"/>
              </w:rPr>
            </w:pPr>
          </w:p>
        </w:tc>
      </w:tr>
      <w:tr w:rsidR="00FB2B5D" w:rsidRPr="001B4CA2" w14:paraId="497EDFF5"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47A4701E" w14:textId="77777777" w:rsidR="00CF336B" w:rsidRPr="001B4CA2" w:rsidRDefault="00CF336B" w:rsidP="00CF336B">
            <w:pPr>
              <w:ind w:left="34"/>
              <w:jc w:val="left"/>
              <w:rPr>
                <w:bCs/>
                <w:sz w:val="16"/>
                <w:szCs w:val="16"/>
              </w:rPr>
            </w:pPr>
            <w:r w:rsidRPr="001B4CA2">
              <w:rPr>
                <w:bCs/>
                <w:sz w:val="16"/>
                <w:szCs w:val="16"/>
              </w:rPr>
              <w:t xml:space="preserve">Ministarstvo financija </w:t>
            </w:r>
          </w:p>
        </w:tc>
        <w:tc>
          <w:tcPr>
            <w:tcW w:w="223" w:type="pct"/>
            <w:tcBorders>
              <w:top w:val="nil"/>
              <w:left w:val="nil"/>
              <w:bottom w:val="single" w:sz="4" w:space="0" w:color="auto"/>
              <w:right w:val="single" w:sz="4" w:space="0" w:color="auto"/>
            </w:tcBorders>
            <w:shd w:val="clear" w:color="auto" w:fill="auto"/>
            <w:noWrap/>
            <w:vAlign w:val="center"/>
          </w:tcPr>
          <w:p w14:paraId="0A6E0EF6" w14:textId="77777777" w:rsidR="00CF336B" w:rsidRPr="001B4CA2" w:rsidRDefault="00CF336B" w:rsidP="00CF336B">
            <w:pPr>
              <w:jc w:val="center"/>
              <w:rPr>
                <w:sz w:val="14"/>
                <w:szCs w:val="14"/>
              </w:rPr>
            </w:pPr>
            <w:r w:rsidRPr="001B4CA2">
              <w:rPr>
                <w:rFonts w:cstheme="minorHAnsi"/>
                <w:color w:val="000000"/>
                <w:sz w:val="14"/>
                <w:szCs w:val="14"/>
              </w:rPr>
              <w:t>25</w:t>
            </w:r>
          </w:p>
        </w:tc>
        <w:tc>
          <w:tcPr>
            <w:tcW w:w="179" w:type="pct"/>
            <w:tcBorders>
              <w:top w:val="nil"/>
              <w:left w:val="nil"/>
              <w:bottom w:val="single" w:sz="4" w:space="0" w:color="auto"/>
              <w:right w:val="single" w:sz="4" w:space="0" w:color="auto"/>
            </w:tcBorders>
            <w:shd w:val="clear" w:color="auto" w:fill="auto"/>
            <w:noWrap/>
            <w:vAlign w:val="center"/>
          </w:tcPr>
          <w:p w14:paraId="3B40B89A"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3CF6BF7E"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611D0C8E"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32777DE0" w14:textId="77777777" w:rsidR="00CF336B" w:rsidRPr="001B4CA2" w:rsidRDefault="00CF336B" w:rsidP="00CF336B">
            <w:pPr>
              <w:jc w:val="center"/>
              <w:rPr>
                <w:sz w:val="14"/>
                <w:szCs w:val="14"/>
              </w:rPr>
            </w:pPr>
            <w:r w:rsidRPr="001B4CA2">
              <w:rPr>
                <w:rFonts w:cstheme="minorHAnsi"/>
                <w:color w:val="000000"/>
                <w:sz w:val="14"/>
                <w:szCs w:val="14"/>
              </w:rPr>
              <w:t>34</w:t>
            </w:r>
          </w:p>
        </w:tc>
        <w:tc>
          <w:tcPr>
            <w:tcW w:w="177" w:type="pct"/>
            <w:tcBorders>
              <w:top w:val="nil"/>
              <w:left w:val="nil"/>
              <w:bottom w:val="single" w:sz="4" w:space="0" w:color="auto"/>
              <w:right w:val="single" w:sz="4" w:space="0" w:color="auto"/>
            </w:tcBorders>
            <w:shd w:val="clear" w:color="auto" w:fill="auto"/>
            <w:noWrap/>
            <w:vAlign w:val="center"/>
          </w:tcPr>
          <w:p w14:paraId="2D24CF7F" w14:textId="77777777" w:rsidR="00CF336B" w:rsidRPr="001B4CA2" w:rsidRDefault="00CF336B" w:rsidP="00CF336B">
            <w:pPr>
              <w:jc w:val="center"/>
              <w:rPr>
                <w:sz w:val="14"/>
                <w:szCs w:val="14"/>
              </w:rPr>
            </w:pPr>
            <w:r w:rsidRPr="001B4CA2">
              <w:rPr>
                <w:rFonts w:cstheme="minorHAnsi"/>
                <w:color w:val="000000"/>
                <w:sz w:val="14"/>
                <w:szCs w:val="14"/>
              </w:rPr>
              <w:t>3</w:t>
            </w:r>
          </w:p>
        </w:tc>
        <w:tc>
          <w:tcPr>
            <w:tcW w:w="182" w:type="pct"/>
            <w:tcBorders>
              <w:top w:val="nil"/>
              <w:left w:val="nil"/>
              <w:bottom w:val="single" w:sz="4" w:space="0" w:color="auto"/>
              <w:right w:val="single" w:sz="4" w:space="0" w:color="auto"/>
            </w:tcBorders>
            <w:shd w:val="clear" w:color="auto" w:fill="auto"/>
            <w:noWrap/>
            <w:vAlign w:val="center"/>
          </w:tcPr>
          <w:p w14:paraId="7838FBCC"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3D20B7F2" w14:textId="77777777" w:rsidR="00CF336B" w:rsidRPr="001B4CA2" w:rsidRDefault="00CF336B" w:rsidP="00CF336B">
            <w:pPr>
              <w:jc w:val="center"/>
              <w:rPr>
                <w:sz w:val="14"/>
                <w:szCs w:val="14"/>
              </w:rPr>
            </w:pPr>
            <w:r w:rsidRPr="001B4CA2">
              <w:rPr>
                <w:rFonts w:eastAsia="Times New Roman" w:cstheme="minorHAnsi"/>
                <w:color w:val="000000"/>
                <w:sz w:val="14"/>
                <w:szCs w:val="14"/>
                <w:lang w:eastAsia="hr-HR"/>
              </w:rPr>
              <w:t>172</w:t>
            </w:r>
          </w:p>
        </w:tc>
        <w:tc>
          <w:tcPr>
            <w:tcW w:w="142" w:type="pct"/>
            <w:tcBorders>
              <w:top w:val="nil"/>
              <w:left w:val="nil"/>
              <w:bottom w:val="single" w:sz="4" w:space="0" w:color="auto"/>
              <w:right w:val="single" w:sz="4" w:space="0" w:color="auto"/>
            </w:tcBorders>
            <w:shd w:val="clear" w:color="auto" w:fill="auto"/>
            <w:noWrap/>
            <w:vAlign w:val="center"/>
          </w:tcPr>
          <w:p w14:paraId="2B3D9C0D" w14:textId="77777777" w:rsidR="00CF336B" w:rsidRPr="001B4CA2" w:rsidRDefault="00CF336B" w:rsidP="00CF336B">
            <w:pPr>
              <w:jc w:val="center"/>
              <w:rPr>
                <w:sz w:val="14"/>
                <w:szCs w:val="14"/>
              </w:rPr>
            </w:pPr>
            <w:r w:rsidRPr="001B4CA2">
              <w:rPr>
                <w:rFonts w:cstheme="minorHAnsi"/>
                <w:color w:val="000000"/>
                <w:sz w:val="14"/>
                <w:szCs w:val="14"/>
              </w:rPr>
              <w:t>15</w:t>
            </w:r>
          </w:p>
        </w:tc>
        <w:tc>
          <w:tcPr>
            <w:tcW w:w="122" w:type="pct"/>
            <w:tcBorders>
              <w:top w:val="nil"/>
              <w:left w:val="nil"/>
              <w:bottom w:val="single" w:sz="4" w:space="0" w:color="auto"/>
              <w:right w:val="single" w:sz="4" w:space="0" w:color="auto"/>
            </w:tcBorders>
            <w:shd w:val="clear" w:color="auto" w:fill="auto"/>
            <w:noWrap/>
            <w:vAlign w:val="center"/>
          </w:tcPr>
          <w:p w14:paraId="75987018"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74112C98"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51E8C85E"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6A5B8F72" w14:textId="77777777" w:rsidR="00CF336B" w:rsidRPr="001B4CA2" w:rsidRDefault="00CF336B" w:rsidP="00CF336B">
            <w:pPr>
              <w:jc w:val="center"/>
              <w:rPr>
                <w:sz w:val="14"/>
                <w:szCs w:val="14"/>
              </w:rPr>
            </w:pPr>
            <w:r w:rsidRPr="001B4CA2">
              <w:rPr>
                <w:rFonts w:cstheme="minorHAnsi"/>
                <w:color w:val="000000"/>
                <w:sz w:val="14"/>
                <w:szCs w:val="14"/>
              </w:rPr>
              <w:t>23</w:t>
            </w:r>
          </w:p>
        </w:tc>
        <w:tc>
          <w:tcPr>
            <w:tcW w:w="142" w:type="pct"/>
            <w:tcBorders>
              <w:top w:val="nil"/>
              <w:left w:val="nil"/>
              <w:bottom w:val="single" w:sz="4" w:space="0" w:color="auto"/>
              <w:right w:val="single" w:sz="4" w:space="0" w:color="auto"/>
            </w:tcBorders>
            <w:shd w:val="clear" w:color="auto" w:fill="auto"/>
            <w:noWrap/>
            <w:vAlign w:val="center"/>
          </w:tcPr>
          <w:p w14:paraId="559AE553"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325C83FC"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2240246E" w14:textId="77777777" w:rsidR="00CF336B" w:rsidRPr="001B4CA2" w:rsidRDefault="00CF336B" w:rsidP="00CF336B">
            <w:pPr>
              <w:jc w:val="center"/>
              <w:rPr>
                <w:sz w:val="14"/>
                <w:szCs w:val="14"/>
              </w:rPr>
            </w:pPr>
          </w:p>
        </w:tc>
        <w:tc>
          <w:tcPr>
            <w:tcW w:w="134" w:type="pct"/>
            <w:tcBorders>
              <w:top w:val="nil"/>
              <w:left w:val="nil"/>
              <w:bottom w:val="single" w:sz="4" w:space="0" w:color="auto"/>
              <w:right w:val="single" w:sz="4" w:space="0" w:color="auto"/>
            </w:tcBorders>
            <w:shd w:val="clear" w:color="auto" w:fill="auto"/>
            <w:noWrap/>
            <w:vAlign w:val="center"/>
          </w:tcPr>
          <w:p w14:paraId="11C24730" w14:textId="77777777" w:rsidR="00CF336B" w:rsidRPr="001B4CA2" w:rsidRDefault="00CF336B" w:rsidP="00CF336B">
            <w:pPr>
              <w:jc w:val="center"/>
              <w:rPr>
                <w:sz w:val="14"/>
                <w:szCs w:val="14"/>
              </w:rPr>
            </w:pPr>
            <w:r w:rsidRPr="001B4CA2">
              <w:rPr>
                <w:rFonts w:cstheme="minorHAnsi"/>
                <w:color w:val="000000"/>
                <w:sz w:val="14"/>
                <w:szCs w:val="14"/>
              </w:rPr>
              <w:t>13</w:t>
            </w:r>
          </w:p>
        </w:tc>
        <w:tc>
          <w:tcPr>
            <w:tcW w:w="88" w:type="pct"/>
            <w:tcBorders>
              <w:top w:val="nil"/>
              <w:left w:val="nil"/>
              <w:bottom w:val="single" w:sz="4" w:space="0" w:color="auto"/>
              <w:right w:val="single" w:sz="4" w:space="0" w:color="auto"/>
            </w:tcBorders>
            <w:shd w:val="clear" w:color="auto" w:fill="auto"/>
            <w:noWrap/>
            <w:vAlign w:val="center"/>
          </w:tcPr>
          <w:p w14:paraId="6531AAE4"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76" w:type="pct"/>
            <w:tcBorders>
              <w:top w:val="nil"/>
              <w:left w:val="nil"/>
              <w:bottom w:val="single" w:sz="4" w:space="0" w:color="auto"/>
              <w:right w:val="single" w:sz="4" w:space="0" w:color="auto"/>
            </w:tcBorders>
            <w:shd w:val="clear" w:color="auto" w:fill="auto"/>
            <w:noWrap/>
            <w:vAlign w:val="center"/>
          </w:tcPr>
          <w:p w14:paraId="3D75DE58"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6DDFB6EC" w14:textId="77777777" w:rsidR="00CF336B" w:rsidRPr="001B4CA2" w:rsidRDefault="00CF336B" w:rsidP="00CF336B">
            <w:pPr>
              <w:jc w:val="center"/>
              <w:rPr>
                <w:sz w:val="14"/>
                <w:szCs w:val="14"/>
              </w:rPr>
            </w:pPr>
            <w:r w:rsidRPr="001B4CA2">
              <w:rPr>
                <w:rFonts w:cstheme="minorHAnsi"/>
                <w:color w:val="000000"/>
                <w:sz w:val="14"/>
                <w:szCs w:val="14"/>
              </w:rPr>
              <w:t>62</w:t>
            </w:r>
          </w:p>
        </w:tc>
        <w:tc>
          <w:tcPr>
            <w:tcW w:w="179" w:type="pct"/>
            <w:tcBorders>
              <w:top w:val="nil"/>
              <w:left w:val="nil"/>
              <w:bottom w:val="single" w:sz="4" w:space="0" w:color="auto"/>
              <w:right w:val="single" w:sz="4" w:space="0" w:color="auto"/>
            </w:tcBorders>
            <w:shd w:val="clear" w:color="auto" w:fill="auto"/>
            <w:noWrap/>
            <w:vAlign w:val="center"/>
          </w:tcPr>
          <w:p w14:paraId="3A797D96" w14:textId="77777777" w:rsidR="00CF336B" w:rsidRPr="001B4CA2" w:rsidRDefault="00CF336B" w:rsidP="00CF336B">
            <w:pPr>
              <w:jc w:val="center"/>
              <w:rPr>
                <w:bCs/>
                <w:sz w:val="14"/>
                <w:szCs w:val="14"/>
              </w:rPr>
            </w:pPr>
            <w:r w:rsidRPr="001B4CA2">
              <w:rPr>
                <w:rFonts w:cstheme="minorHAnsi"/>
                <w:bCs/>
                <w:color w:val="000000"/>
                <w:sz w:val="14"/>
                <w:szCs w:val="14"/>
              </w:rPr>
              <w:t>110</w:t>
            </w:r>
          </w:p>
        </w:tc>
        <w:tc>
          <w:tcPr>
            <w:tcW w:w="193" w:type="pct"/>
            <w:tcBorders>
              <w:top w:val="nil"/>
              <w:left w:val="nil"/>
              <w:bottom w:val="single" w:sz="4" w:space="0" w:color="auto"/>
              <w:right w:val="single" w:sz="4" w:space="0" w:color="auto"/>
            </w:tcBorders>
            <w:shd w:val="clear" w:color="auto" w:fill="auto"/>
            <w:noWrap/>
            <w:vAlign w:val="center"/>
          </w:tcPr>
          <w:p w14:paraId="61D3B516" w14:textId="77777777" w:rsidR="00CF336B" w:rsidRPr="001B4CA2" w:rsidRDefault="00CF336B" w:rsidP="00CF336B">
            <w:pPr>
              <w:jc w:val="center"/>
              <w:rPr>
                <w:bCs/>
                <w:sz w:val="14"/>
                <w:szCs w:val="14"/>
              </w:rPr>
            </w:pPr>
            <w:r w:rsidRPr="001B4CA2">
              <w:rPr>
                <w:rFonts w:cstheme="minorHAnsi"/>
                <w:bCs/>
                <w:color w:val="000000"/>
                <w:sz w:val="14"/>
                <w:szCs w:val="14"/>
              </w:rPr>
              <w:t>5</w:t>
            </w:r>
          </w:p>
        </w:tc>
        <w:tc>
          <w:tcPr>
            <w:tcW w:w="180" w:type="pct"/>
            <w:tcBorders>
              <w:top w:val="nil"/>
              <w:left w:val="nil"/>
              <w:bottom w:val="single" w:sz="4" w:space="0" w:color="auto"/>
              <w:right w:val="single" w:sz="4" w:space="0" w:color="auto"/>
            </w:tcBorders>
            <w:shd w:val="clear" w:color="auto" w:fill="auto"/>
            <w:vAlign w:val="center"/>
          </w:tcPr>
          <w:p w14:paraId="11D705C8"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010575A5" w14:textId="77777777" w:rsidR="00CF336B" w:rsidRPr="001B4CA2" w:rsidRDefault="00CF336B" w:rsidP="00CF336B">
            <w:pPr>
              <w:jc w:val="center"/>
              <w:rPr>
                <w:b/>
                <w:bCs/>
                <w:sz w:val="14"/>
                <w:szCs w:val="14"/>
              </w:rPr>
            </w:pPr>
            <w:r w:rsidRPr="001B4CA2">
              <w:rPr>
                <w:rFonts w:cstheme="minorHAnsi"/>
                <w:bCs/>
                <w:color w:val="000000"/>
                <w:sz w:val="14"/>
                <w:szCs w:val="14"/>
              </w:rPr>
              <w:t>234</w:t>
            </w:r>
          </w:p>
        </w:tc>
      </w:tr>
      <w:tr w:rsidR="00FB2B5D" w:rsidRPr="001B4CA2" w14:paraId="2DCE27FD"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23628982" w14:textId="77777777" w:rsidR="00CF336B" w:rsidRPr="001B4CA2" w:rsidRDefault="00CF336B" w:rsidP="00CF336B">
            <w:pPr>
              <w:ind w:left="34"/>
              <w:jc w:val="left"/>
              <w:rPr>
                <w:bCs/>
                <w:sz w:val="16"/>
                <w:szCs w:val="16"/>
              </w:rPr>
            </w:pPr>
            <w:r w:rsidRPr="001B4CA2">
              <w:rPr>
                <w:bCs/>
                <w:sz w:val="16"/>
                <w:szCs w:val="16"/>
              </w:rPr>
              <w:t>Ministarstvo gospodarstva i održivog razvoja</w:t>
            </w:r>
          </w:p>
        </w:tc>
        <w:tc>
          <w:tcPr>
            <w:tcW w:w="223" w:type="pct"/>
            <w:tcBorders>
              <w:top w:val="nil"/>
              <w:left w:val="nil"/>
              <w:bottom w:val="single" w:sz="4" w:space="0" w:color="auto"/>
              <w:right w:val="single" w:sz="4" w:space="0" w:color="auto"/>
            </w:tcBorders>
            <w:shd w:val="clear" w:color="auto" w:fill="auto"/>
            <w:noWrap/>
            <w:vAlign w:val="center"/>
          </w:tcPr>
          <w:p w14:paraId="1641F474" w14:textId="77777777" w:rsidR="00CF336B" w:rsidRPr="001B4CA2" w:rsidRDefault="00CF336B" w:rsidP="00CF336B">
            <w:pPr>
              <w:jc w:val="center"/>
              <w:rPr>
                <w:sz w:val="14"/>
                <w:szCs w:val="14"/>
              </w:rPr>
            </w:pPr>
            <w:r w:rsidRPr="001B4CA2">
              <w:rPr>
                <w:rFonts w:cstheme="minorHAnsi"/>
                <w:color w:val="000000"/>
                <w:sz w:val="14"/>
                <w:szCs w:val="14"/>
              </w:rPr>
              <w:t>6</w:t>
            </w:r>
          </w:p>
        </w:tc>
        <w:tc>
          <w:tcPr>
            <w:tcW w:w="179" w:type="pct"/>
            <w:tcBorders>
              <w:top w:val="nil"/>
              <w:left w:val="nil"/>
              <w:bottom w:val="single" w:sz="4" w:space="0" w:color="auto"/>
              <w:right w:val="single" w:sz="4" w:space="0" w:color="auto"/>
            </w:tcBorders>
            <w:shd w:val="clear" w:color="auto" w:fill="auto"/>
            <w:noWrap/>
            <w:vAlign w:val="center"/>
          </w:tcPr>
          <w:p w14:paraId="7B4BD0C4"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2694EC1C"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3A32C038"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4804FA36"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77" w:type="pct"/>
            <w:tcBorders>
              <w:top w:val="nil"/>
              <w:left w:val="nil"/>
              <w:bottom w:val="single" w:sz="4" w:space="0" w:color="auto"/>
              <w:right w:val="single" w:sz="4" w:space="0" w:color="auto"/>
            </w:tcBorders>
            <w:shd w:val="clear" w:color="auto" w:fill="auto"/>
            <w:noWrap/>
            <w:vAlign w:val="center"/>
          </w:tcPr>
          <w:p w14:paraId="01FFC99B"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4CE5E692"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2ACB4FC7"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54C03C84" w14:textId="77777777" w:rsidR="00CF336B" w:rsidRPr="001B4CA2" w:rsidRDefault="00CF336B" w:rsidP="00CF336B">
            <w:pPr>
              <w:jc w:val="center"/>
              <w:rPr>
                <w:sz w:val="14"/>
                <w:szCs w:val="14"/>
              </w:rPr>
            </w:pPr>
            <w:r w:rsidRPr="001B4CA2">
              <w:rPr>
                <w:rFonts w:cstheme="minorHAnsi"/>
                <w:color w:val="000000"/>
                <w:sz w:val="14"/>
                <w:szCs w:val="14"/>
              </w:rPr>
              <w:t>7</w:t>
            </w:r>
          </w:p>
        </w:tc>
        <w:tc>
          <w:tcPr>
            <w:tcW w:w="122" w:type="pct"/>
            <w:tcBorders>
              <w:top w:val="nil"/>
              <w:left w:val="nil"/>
              <w:bottom w:val="single" w:sz="4" w:space="0" w:color="auto"/>
              <w:right w:val="single" w:sz="4" w:space="0" w:color="auto"/>
            </w:tcBorders>
            <w:shd w:val="clear" w:color="auto" w:fill="auto"/>
            <w:noWrap/>
            <w:vAlign w:val="center"/>
          </w:tcPr>
          <w:p w14:paraId="6DDE68C5"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08663F16"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558EE9A9"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66A6DAD9"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42" w:type="pct"/>
            <w:tcBorders>
              <w:top w:val="nil"/>
              <w:left w:val="nil"/>
              <w:bottom w:val="single" w:sz="4" w:space="0" w:color="auto"/>
              <w:right w:val="single" w:sz="4" w:space="0" w:color="auto"/>
            </w:tcBorders>
            <w:shd w:val="clear" w:color="auto" w:fill="auto"/>
            <w:noWrap/>
            <w:vAlign w:val="center"/>
          </w:tcPr>
          <w:p w14:paraId="2A26AA99"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286B7B69"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3E6A3E17" w14:textId="77777777" w:rsidR="00CF336B" w:rsidRPr="001B4CA2" w:rsidRDefault="00CF336B" w:rsidP="00CF336B">
            <w:pPr>
              <w:jc w:val="center"/>
              <w:rPr>
                <w:sz w:val="14"/>
                <w:szCs w:val="14"/>
              </w:rPr>
            </w:pPr>
          </w:p>
        </w:tc>
        <w:tc>
          <w:tcPr>
            <w:tcW w:w="134" w:type="pct"/>
            <w:tcBorders>
              <w:top w:val="nil"/>
              <w:left w:val="nil"/>
              <w:bottom w:val="single" w:sz="4" w:space="0" w:color="auto"/>
              <w:right w:val="single" w:sz="4" w:space="0" w:color="auto"/>
            </w:tcBorders>
            <w:shd w:val="clear" w:color="auto" w:fill="auto"/>
            <w:noWrap/>
            <w:vAlign w:val="center"/>
          </w:tcPr>
          <w:p w14:paraId="0CDCD51F" w14:textId="77777777" w:rsidR="00CF336B" w:rsidRPr="001B4CA2" w:rsidRDefault="00CF336B" w:rsidP="00CF336B">
            <w:pPr>
              <w:jc w:val="center"/>
              <w:rPr>
                <w:sz w:val="14"/>
                <w:szCs w:val="14"/>
              </w:rPr>
            </w:pPr>
          </w:p>
        </w:tc>
        <w:tc>
          <w:tcPr>
            <w:tcW w:w="88" w:type="pct"/>
            <w:tcBorders>
              <w:top w:val="nil"/>
              <w:left w:val="nil"/>
              <w:bottom w:val="single" w:sz="4" w:space="0" w:color="auto"/>
              <w:right w:val="single" w:sz="4" w:space="0" w:color="auto"/>
            </w:tcBorders>
            <w:shd w:val="clear" w:color="auto" w:fill="auto"/>
            <w:noWrap/>
            <w:vAlign w:val="center"/>
          </w:tcPr>
          <w:p w14:paraId="0EE8B4CC"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106CA1DF"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328A9E7C"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0AEED6EA" w14:textId="77777777" w:rsidR="00CF336B" w:rsidRPr="001B4CA2" w:rsidRDefault="00CF336B" w:rsidP="00CF336B">
            <w:pPr>
              <w:jc w:val="center"/>
              <w:rPr>
                <w:bCs/>
                <w:sz w:val="14"/>
                <w:szCs w:val="14"/>
              </w:rPr>
            </w:pPr>
            <w:r w:rsidRPr="001B4CA2">
              <w:rPr>
                <w:rFonts w:cstheme="minorHAnsi"/>
                <w:bCs/>
                <w:color w:val="000000"/>
                <w:sz w:val="14"/>
                <w:szCs w:val="14"/>
              </w:rPr>
              <w:t>16</w:t>
            </w:r>
          </w:p>
        </w:tc>
        <w:tc>
          <w:tcPr>
            <w:tcW w:w="193" w:type="pct"/>
            <w:tcBorders>
              <w:top w:val="nil"/>
              <w:left w:val="nil"/>
              <w:bottom w:val="single" w:sz="4" w:space="0" w:color="auto"/>
              <w:right w:val="single" w:sz="4" w:space="0" w:color="auto"/>
            </w:tcBorders>
            <w:shd w:val="clear" w:color="auto" w:fill="auto"/>
            <w:noWrap/>
            <w:vAlign w:val="center"/>
          </w:tcPr>
          <w:p w14:paraId="07B776A6" w14:textId="77777777" w:rsidR="00CF336B" w:rsidRPr="001B4CA2" w:rsidRDefault="00CF336B" w:rsidP="00CF336B">
            <w:pPr>
              <w:jc w:val="center"/>
              <w:rPr>
                <w:bCs/>
                <w:sz w:val="14"/>
                <w:szCs w:val="14"/>
              </w:rPr>
            </w:pPr>
            <w:r w:rsidRPr="001B4CA2">
              <w:rPr>
                <w:rFonts w:cstheme="minorHAnsi"/>
                <w:bCs/>
                <w:color w:val="000000"/>
                <w:sz w:val="14"/>
                <w:szCs w:val="14"/>
              </w:rPr>
              <w:t>0</w:t>
            </w:r>
          </w:p>
        </w:tc>
        <w:tc>
          <w:tcPr>
            <w:tcW w:w="180" w:type="pct"/>
            <w:tcBorders>
              <w:top w:val="nil"/>
              <w:left w:val="nil"/>
              <w:bottom w:val="single" w:sz="4" w:space="0" w:color="auto"/>
              <w:right w:val="single" w:sz="4" w:space="0" w:color="auto"/>
            </w:tcBorders>
            <w:shd w:val="clear" w:color="auto" w:fill="auto"/>
            <w:vAlign w:val="center"/>
          </w:tcPr>
          <w:p w14:paraId="244F7527"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174E3183" w14:textId="77777777" w:rsidR="00CF336B" w:rsidRPr="001B4CA2" w:rsidRDefault="00CF336B" w:rsidP="00CF336B">
            <w:pPr>
              <w:jc w:val="center"/>
              <w:rPr>
                <w:b/>
                <w:bCs/>
                <w:sz w:val="14"/>
                <w:szCs w:val="14"/>
              </w:rPr>
            </w:pPr>
          </w:p>
        </w:tc>
      </w:tr>
      <w:tr w:rsidR="00FB2B5D" w:rsidRPr="001B4CA2" w14:paraId="497A7C0B"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58E0CDA1" w14:textId="77777777" w:rsidR="00CF336B" w:rsidRPr="001B4CA2" w:rsidRDefault="00CF336B" w:rsidP="00CF336B">
            <w:pPr>
              <w:ind w:left="34"/>
              <w:jc w:val="left"/>
              <w:rPr>
                <w:bCs/>
                <w:sz w:val="16"/>
                <w:szCs w:val="16"/>
              </w:rPr>
            </w:pPr>
            <w:r w:rsidRPr="001B4CA2">
              <w:rPr>
                <w:bCs/>
                <w:sz w:val="16"/>
                <w:szCs w:val="16"/>
              </w:rPr>
              <w:t xml:space="preserve">Ministarstvo obrane </w:t>
            </w:r>
          </w:p>
        </w:tc>
        <w:tc>
          <w:tcPr>
            <w:tcW w:w="223" w:type="pct"/>
            <w:tcBorders>
              <w:top w:val="nil"/>
              <w:left w:val="nil"/>
              <w:bottom w:val="single" w:sz="4" w:space="0" w:color="auto"/>
              <w:right w:val="single" w:sz="4" w:space="0" w:color="auto"/>
            </w:tcBorders>
            <w:shd w:val="clear" w:color="auto" w:fill="auto"/>
            <w:noWrap/>
            <w:vAlign w:val="center"/>
          </w:tcPr>
          <w:p w14:paraId="433D8696" w14:textId="77777777" w:rsidR="00CF336B" w:rsidRPr="001B4CA2" w:rsidRDefault="00CF336B" w:rsidP="00CF336B">
            <w:pPr>
              <w:jc w:val="center"/>
              <w:rPr>
                <w:sz w:val="14"/>
                <w:szCs w:val="14"/>
              </w:rPr>
            </w:pPr>
            <w:r w:rsidRPr="001B4CA2">
              <w:rPr>
                <w:rFonts w:cstheme="minorHAnsi"/>
                <w:color w:val="000000"/>
                <w:sz w:val="14"/>
                <w:szCs w:val="14"/>
              </w:rPr>
              <w:t>11</w:t>
            </w:r>
          </w:p>
        </w:tc>
        <w:tc>
          <w:tcPr>
            <w:tcW w:w="179" w:type="pct"/>
            <w:tcBorders>
              <w:top w:val="nil"/>
              <w:left w:val="nil"/>
              <w:bottom w:val="single" w:sz="4" w:space="0" w:color="auto"/>
              <w:right w:val="single" w:sz="4" w:space="0" w:color="auto"/>
            </w:tcBorders>
            <w:shd w:val="clear" w:color="auto" w:fill="auto"/>
            <w:noWrap/>
            <w:vAlign w:val="center"/>
          </w:tcPr>
          <w:p w14:paraId="2A60EDF4" w14:textId="77777777" w:rsidR="00CF336B" w:rsidRPr="001B4CA2" w:rsidRDefault="00CF336B" w:rsidP="00CF336B">
            <w:pPr>
              <w:jc w:val="center"/>
              <w:rPr>
                <w:sz w:val="14"/>
                <w:szCs w:val="14"/>
              </w:rPr>
            </w:pPr>
            <w:r w:rsidRPr="001B4CA2">
              <w:rPr>
                <w:rFonts w:cstheme="minorHAnsi"/>
                <w:color w:val="000000"/>
                <w:sz w:val="14"/>
                <w:szCs w:val="14"/>
              </w:rPr>
              <w:t>4</w:t>
            </w:r>
          </w:p>
        </w:tc>
        <w:tc>
          <w:tcPr>
            <w:tcW w:w="180" w:type="pct"/>
            <w:tcBorders>
              <w:top w:val="nil"/>
              <w:left w:val="nil"/>
              <w:bottom w:val="single" w:sz="4" w:space="0" w:color="auto"/>
              <w:right w:val="single" w:sz="4" w:space="0" w:color="auto"/>
            </w:tcBorders>
            <w:shd w:val="clear" w:color="auto" w:fill="auto"/>
            <w:noWrap/>
            <w:vAlign w:val="center"/>
          </w:tcPr>
          <w:p w14:paraId="63956BBA"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7652A059" w14:textId="77777777" w:rsidR="00CF336B" w:rsidRPr="001B4CA2" w:rsidRDefault="00CF336B" w:rsidP="00CF336B">
            <w:pPr>
              <w:jc w:val="center"/>
              <w:rPr>
                <w:sz w:val="14"/>
                <w:szCs w:val="14"/>
              </w:rPr>
            </w:pPr>
            <w:r w:rsidRPr="001B4CA2">
              <w:rPr>
                <w:rFonts w:cstheme="minorHAnsi"/>
                <w:sz w:val="14"/>
                <w:szCs w:val="14"/>
              </w:rPr>
              <w:t>60</w:t>
            </w:r>
          </w:p>
        </w:tc>
        <w:tc>
          <w:tcPr>
            <w:tcW w:w="181" w:type="pct"/>
            <w:tcBorders>
              <w:top w:val="nil"/>
              <w:left w:val="nil"/>
              <w:bottom w:val="single" w:sz="4" w:space="0" w:color="auto"/>
              <w:right w:val="single" w:sz="4" w:space="0" w:color="auto"/>
            </w:tcBorders>
            <w:shd w:val="clear" w:color="auto" w:fill="auto"/>
            <w:noWrap/>
            <w:vAlign w:val="center"/>
          </w:tcPr>
          <w:p w14:paraId="5ADE781B" w14:textId="77777777" w:rsidR="00CF336B" w:rsidRPr="001B4CA2" w:rsidRDefault="00CF336B" w:rsidP="00CF336B">
            <w:pPr>
              <w:jc w:val="center"/>
              <w:rPr>
                <w:sz w:val="14"/>
                <w:szCs w:val="14"/>
              </w:rPr>
            </w:pPr>
            <w:r w:rsidRPr="001B4CA2">
              <w:rPr>
                <w:rFonts w:cstheme="minorHAnsi"/>
                <w:color w:val="000000"/>
                <w:sz w:val="14"/>
                <w:szCs w:val="14"/>
              </w:rPr>
              <w:t>12</w:t>
            </w:r>
          </w:p>
        </w:tc>
        <w:tc>
          <w:tcPr>
            <w:tcW w:w="177" w:type="pct"/>
            <w:tcBorders>
              <w:top w:val="nil"/>
              <w:left w:val="nil"/>
              <w:bottom w:val="single" w:sz="4" w:space="0" w:color="auto"/>
              <w:right w:val="single" w:sz="4" w:space="0" w:color="auto"/>
            </w:tcBorders>
            <w:shd w:val="clear" w:color="auto" w:fill="auto"/>
            <w:noWrap/>
            <w:vAlign w:val="center"/>
          </w:tcPr>
          <w:p w14:paraId="23B294BA"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82" w:type="pct"/>
            <w:tcBorders>
              <w:top w:val="nil"/>
              <w:left w:val="nil"/>
              <w:bottom w:val="single" w:sz="4" w:space="0" w:color="auto"/>
              <w:right w:val="single" w:sz="4" w:space="0" w:color="auto"/>
            </w:tcBorders>
            <w:shd w:val="clear" w:color="auto" w:fill="auto"/>
            <w:noWrap/>
            <w:vAlign w:val="center"/>
          </w:tcPr>
          <w:p w14:paraId="15007326"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4D4E2889" w14:textId="77777777" w:rsidR="00CF336B" w:rsidRPr="001B4CA2" w:rsidRDefault="00CF336B" w:rsidP="00CF336B">
            <w:pPr>
              <w:jc w:val="center"/>
              <w:rPr>
                <w:sz w:val="14"/>
                <w:szCs w:val="14"/>
              </w:rPr>
            </w:pPr>
            <w:r w:rsidRPr="001B4CA2">
              <w:rPr>
                <w:rFonts w:eastAsia="Times New Roman" w:cstheme="minorHAnsi"/>
                <w:color w:val="000000"/>
                <w:sz w:val="14"/>
                <w:szCs w:val="14"/>
                <w:lang w:eastAsia="hr-HR"/>
              </w:rPr>
              <w:t>78</w:t>
            </w:r>
          </w:p>
        </w:tc>
        <w:tc>
          <w:tcPr>
            <w:tcW w:w="142" w:type="pct"/>
            <w:tcBorders>
              <w:top w:val="nil"/>
              <w:left w:val="nil"/>
              <w:bottom w:val="single" w:sz="4" w:space="0" w:color="auto"/>
              <w:right w:val="single" w:sz="4" w:space="0" w:color="auto"/>
            </w:tcBorders>
            <w:shd w:val="clear" w:color="auto" w:fill="auto"/>
            <w:noWrap/>
            <w:vAlign w:val="center"/>
          </w:tcPr>
          <w:p w14:paraId="4A75DE4B" w14:textId="77777777" w:rsidR="00CF336B" w:rsidRPr="001B4CA2" w:rsidRDefault="00CF336B" w:rsidP="00CF336B">
            <w:pPr>
              <w:jc w:val="center"/>
              <w:rPr>
                <w:sz w:val="14"/>
                <w:szCs w:val="14"/>
              </w:rPr>
            </w:pPr>
            <w:r w:rsidRPr="001B4CA2">
              <w:rPr>
                <w:rFonts w:cstheme="minorHAnsi"/>
                <w:color w:val="000000"/>
                <w:sz w:val="14"/>
                <w:szCs w:val="14"/>
              </w:rPr>
              <w:t>50</w:t>
            </w:r>
          </w:p>
        </w:tc>
        <w:tc>
          <w:tcPr>
            <w:tcW w:w="122" w:type="pct"/>
            <w:tcBorders>
              <w:top w:val="nil"/>
              <w:left w:val="nil"/>
              <w:bottom w:val="single" w:sz="4" w:space="0" w:color="auto"/>
              <w:right w:val="single" w:sz="4" w:space="0" w:color="auto"/>
            </w:tcBorders>
            <w:shd w:val="clear" w:color="auto" w:fill="auto"/>
            <w:noWrap/>
            <w:vAlign w:val="center"/>
          </w:tcPr>
          <w:p w14:paraId="26DDCAE0" w14:textId="77777777" w:rsidR="00CF336B" w:rsidRPr="001B4CA2" w:rsidRDefault="00CF336B" w:rsidP="00CF336B">
            <w:pPr>
              <w:jc w:val="center"/>
              <w:rPr>
                <w:sz w:val="14"/>
                <w:szCs w:val="14"/>
              </w:rPr>
            </w:pPr>
            <w:r w:rsidRPr="001B4CA2">
              <w:rPr>
                <w:rFonts w:cstheme="minorHAnsi"/>
                <w:color w:val="000000"/>
                <w:sz w:val="14"/>
                <w:szCs w:val="14"/>
              </w:rPr>
              <w:t>9</w:t>
            </w:r>
          </w:p>
        </w:tc>
        <w:tc>
          <w:tcPr>
            <w:tcW w:w="183" w:type="pct"/>
            <w:tcBorders>
              <w:top w:val="nil"/>
              <w:left w:val="nil"/>
              <w:bottom w:val="single" w:sz="4" w:space="0" w:color="auto"/>
              <w:right w:val="single" w:sz="4" w:space="0" w:color="auto"/>
            </w:tcBorders>
            <w:shd w:val="clear" w:color="auto" w:fill="auto"/>
            <w:noWrap/>
            <w:vAlign w:val="center"/>
          </w:tcPr>
          <w:p w14:paraId="25BCAEDF"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528D5D07" w14:textId="77777777" w:rsidR="00CF336B" w:rsidRPr="001B4CA2" w:rsidRDefault="00CF336B" w:rsidP="00CF336B">
            <w:pPr>
              <w:jc w:val="center"/>
              <w:rPr>
                <w:sz w:val="14"/>
                <w:szCs w:val="14"/>
              </w:rPr>
            </w:pPr>
            <w:r w:rsidRPr="001B4CA2">
              <w:rPr>
                <w:rFonts w:cstheme="minorHAnsi"/>
                <w:color w:val="000000"/>
                <w:sz w:val="14"/>
                <w:szCs w:val="14"/>
              </w:rPr>
              <w:t>2.039</w:t>
            </w:r>
          </w:p>
        </w:tc>
        <w:tc>
          <w:tcPr>
            <w:tcW w:w="173" w:type="pct"/>
            <w:tcBorders>
              <w:top w:val="nil"/>
              <w:left w:val="nil"/>
              <w:bottom w:val="single" w:sz="4" w:space="0" w:color="auto"/>
              <w:right w:val="single" w:sz="4" w:space="0" w:color="auto"/>
            </w:tcBorders>
            <w:shd w:val="clear" w:color="auto" w:fill="auto"/>
            <w:noWrap/>
            <w:vAlign w:val="center"/>
          </w:tcPr>
          <w:p w14:paraId="1436C258" w14:textId="77777777" w:rsidR="00CF336B" w:rsidRPr="001B4CA2" w:rsidRDefault="00CF336B" w:rsidP="00CF336B">
            <w:pPr>
              <w:jc w:val="center"/>
              <w:rPr>
                <w:sz w:val="14"/>
                <w:szCs w:val="14"/>
              </w:rPr>
            </w:pPr>
            <w:r w:rsidRPr="001B4CA2">
              <w:rPr>
                <w:rFonts w:cstheme="minorHAnsi"/>
                <w:color w:val="000000"/>
                <w:sz w:val="14"/>
                <w:szCs w:val="14"/>
              </w:rPr>
              <w:t>127</w:t>
            </w:r>
          </w:p>
        </w:tc>
        <w:tc>
          <w:tcPr>
            <w:tcW w:w="142" w:type="pct"/>
            <w:tcBorders>
              <w:top w:val="nil"/>
              <w:left w:val="nil"/>
              <w:bottom w:val="single" w:sz="4" w:space="0" w:color="auto"/>
              <w:right w:val="single" w:sz="4" w:space="0" w:color="auto"/>
            </w:tcBorders>
            <w:shd w:val="clear" w:color="auto" w:fill="auto"/>
            <w:noWrap/>
            <w:vAlign w:val="center"/>
          </w:tcPr>
          <w:p w14:paraId="13CA538F"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75" w:type="pct"/>
            <w:tcBorders>
              <w:top w:val="nil"/>
              <w:left w:val="nil"/>
              <w:bottom w:val="single" w:sz="4" w:space="0" w:color="auto"/>
              <w:right w:val="single" w:sz="4" w:space="0" w:color="auto"/>
            </w:tcBorders>
            <w:shd w:val="clear" w:color="auto" w:fill="auto"/>
            <w:noWrap/>
            <w:vAlign w:val="center"/>
          </w:tcPr>
          <w:p w14:paraId="53F44128"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5C747BD0" w14:textId="77777777" w:rsidR="00CF336B" w:rsidRPr="001B4CA2" w:rsidRDefault="00CF336B" w:rsidP="00CF336B">
            <w:pPr>
              <w:jc w:val="center"/>
              <w:rPr>
                <w:sz w:val="14"/>
                <w:szCs w:val="14"/>
              </w:rPr>
            </w:pPr>
            <w:r w:rsidRPr="001B4CA2">
              <w:rPr>
                <w:rFonts w:cstheme="minorHAnsi"/>
                <w:sz w:val="14"/>
                <w:szCs w:val="14"/>
              </w:rPr>
              <w:t>14</w:t>
            </w:r>
          </w:p>
        </w:tc>
        <w:tc>
          <w:tcPr>
            <w:tcW w:w="134" w:type="pct"/>
            <w:tcBorders>
              <w:top w:val="nil"/>
              <w:left w:val="nil"/>
              <w:bottom w:val="single" w:sz="4" w:space="0" w:color="auto"/>
              <w:right w:val="single" w:sz="4" w:space="0" w:color="auto"/>
            </w:tcBorders>
            <w:shd w:val="clear" w:color="auto" w:fill="auto"/>
            <w:noWrap/>
            <w:vAlign w:val="center"/>
          </w:tcPr>
          <w:p w14:paraId="7BBEC40F" w14:textId="77777777" w:rsidR="00CF336B" w:rsidRPr="001B4CA2" w:rsidRDefault="00CF336B" w:rsidP="00CF336B">
            <w:pPr>
              <w:jc w:val="center"/>
              <w:rPr>
                <w:sz w:val="14"/>
                <w:szCs w:val="14"/>
              </w:rPr>
            </w:pPr>
            <w:r w:rsidRPr="001B4CA2">
              <w:rPr>
                <w:rFonts w:cstheme="minorHAnsi"/>
                <w:color w:val="000000"/>
                <w:sz w:val="14"/>
                <w:szCs w:val="14"/>
              </w:rPr>
              <w:t>3</w:t>
            </w:r>
          </w:p>
        </w:tc>
        <w:tc>
          <w:tcPr>
            <w:tcW w:w="88" w:type="pct"/>
            <w:tcBorders>
              <w:top w:val="nil"/>
              <w:left w:val="nil"/>
              <w:bottom w:val="single" w:sz="4" w:space="0" w:color="auto"/>
              <w:right w:val="single" w:sz="4" w:space="0" w:color="auto"/>
            </w:tcBorders>
            <w:shd w:val="clear" w:color="auto" w:fill="auto"/>
            <w:noWrap/>
            <w:vAlign w:val="center"/>
          </w:tcPr>
          <w:p w14:paraId="60746A0F"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6D15AFF7"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740C93DC"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219145F3" w14:textId="77777777" w:rsidR="00CF336B" w:rsidRPr="001B4CA2" w:rsidRDefault="00CF336B" w:rsidP="00CF336B">
            <w:pPr>
              <w:jc w:val="center"/>
              <w:rPr>
                <w:bCs/>
                <w:sz w:val="14"/>
                <w:szCs w:val="14"/>
              </w:rPr>
            </w:pPr>
            <w:r w:rsidRPr="001B4CA2">
              <w:rPr>
                <w:rFonts w:cstheme="minorHAnsi"/>
                <w:bCs/>
                <w:color w:val="000000"/>
                <w:sz w:val="14"/>
                <w:szCs w:val="14"/>
              </w:rPr>
              <w:t>203</w:t>
            </w:r>
          </w:p>
        </w:tc>
        <w:tc>
          <w:tcPr>
            <w:tcW w:w="193" w:type="pct"/>
            <w:tcBorders>
              <w:top w:val="nil"/>
              <w:left w:val="nil"/>
              <w:bottom w:val="single" w:sz="4" w:space="0" w:color="auto"/>
              <w:right w:val="single" w:sz="4" w:space="0" w:color="auto"/>
            </w:tcBorders>
            <w:shd w:val="clear" w:color="auto" w:fill="auto"/>
            <w:noWrap/>
            <w:vAlign w:val="center"/>
          </w:tcPr>
          <w:p w14:paraId="5D354BD3" w14:textId="77777777" w:rsidR="00CF336B" w:rsidRPr="001B4CA2" w:rsidRDefault="00CF336B" w:rsidP="00CF336B">
            <w:pPr>
              <w:jc w:val="center"/>
              <w:rPr>
                <w:bCs/>
                <w:sz w:val="14"/>
                <w:szCs w:val="14"/>
              </w:rPr>
            </w:pPr>
            <w:r w:rsidRPr="001B4CA2">
              <w:rPr>
                <w:rFonts w:cstheme="minorHAnsi"/>
                <w:bCs/>
                <w:color w:val="000000"/>
                <w:sz w:val="14"/>
                <w:szCs w:val="14"/>
              </w:rPr>
              <w:t>17</w:t>
            </w:r>
          </w:p>
        </w:tc>
        <w:tc>
          <w:tcPr>
            <w:tcW w:w="180" w:type="pct"/>
            <w:tcBorders>
              <w:top w:val="nil"/>
              <w:left w:val="nil"/>
              <w:bottom w:val="single" w:sz="4" w:space="0" w:color="auto"/>
              <w:right w:val="single" w:sz="4" w:space="0" w:color="auto"/>
            </w:tcBorders>
            <w:shd w:val="clear" w:color="auto" w:fill="auto"/>
            <w:vAlign w:val="center"/>
          </w:tcPr>
          <w:p w14:paraId="60AAC19B"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11D23CFD" w14:textId="77777777" w:rsidR="00CF336B" w:rsidRPr="001B4CA2" w:rsidRDefault="00CF336B" w:rsidP="00CF336B">
            <w:pPr>
              <w:jc w:val="center"/>
              <w:rPr>
                <w:b/>
                <w:bCs/>
                <w:sz w:val="14"/>
                <w:szCs w:val="14"/>
              </w:rPr>
            </w:pPr>
            <w:r w:rsidRPr="001B4CA2">
              <w:rPr>
                <w:rFonts w:cstheme="minorHAnsi"/>
                <w:bCs/>
                <w:color w:val="000000"/>
                <w:sz w:val="14"/>
                <w:szCs w:val="14"/>
              </w:rPr>
              <w:t>2.191</w:t>
            </w:r>
          </w:p>
        </w:tc>
      </w:tr>
      <w:tr w:rsidR="00FB2B5D" w:rsidRPr="001B4CA2" w14:paraId="6A41AB7B"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7AF58C6E" w14:textId="77777777" w:rsidR="00CF336B" w:rsidRPr="001B4CA2" w:rsidRDefault="00CF336B" w:rsidP="00CF336B">
            <w:pPr>
              <w:ind w:left="34"/>
              <w:jc w:val="left"/>
              <w:rPr>
                <w:bCs/>
                <w:sz w:val="16"/>
                <w:szCs w:val="16"/>
              </w:rPr>
            </w:pPr>
            <w:r w:rsidRPr="001B4CA2">
              <w:rPr>
                <w:bCs/>
                <w:sz w:val="16"/>
                <w:szCs w:val="16"/>
              </w:rPr>
              <w:t xml:space="preserve">Ministarstvo vanjskih i europskih poslova </w:t>
            </w:r>
          </w:p>
        </w:tc>
        <w:tc>
          <w:tcPr>
            <w:tcW w:w="223" w:type="pct"/>
            <w:tcBorders>
              <w:top w:val="nil"/>
              <w:left w:val="nil"/>
              <w:bottom w:val="single" w:sz="4" w:space="0" w:color="auto"/>
              <w:right w:val="single" w:sz="4" w:space="0" w:color="auto"/>
            </w:tcBorders>
            <w:shd w:val="clear" w:color="auto" w:fill="auto"/>
            <w:noWrap/>
            <w:vAlign w:val="center"/>
          </w:tcPr>
          <w:p w14:paraId="39196161"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1DB9A52D"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76026824"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55622124"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309E49DB" w14:textId="77777777" w:rsidR="00CF336B" w:rsidRPr="001B4CA2"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43841FFD"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3ECC070D"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343744E8"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475B4130" w14:textId="77777777" w:rsidR="00CF336B" w:rsidRPr="001B4CA2" w:rsidRDefault="00CF336B" w:rsidP="00CF336B">
            <w:pPr>
              <w:jc w:val="center"/>
              <w:rPr>
                <w:sz w:val="14"/>
                <w:szCs w:val="14"/>
              </w:rPr>
            </w:pPr>
          </w:p>
        </w:tc>
        <w:tc>
          <w:tcPr>
            <w:tcW w:w="122" w:type="pct"/>
            <w:tcBorders>
              <w:top w:val="nil"/>
              <w:left w:val="nil"/>
              <w:bottom w:val="single" w:sz="4" w:space="0" w:color="auto"/>
              <w:right w:val="single" w:sz="4" w:space="0" w:color="auto"/>
            </w:tcBorders>
            <w:shd w:val="clear" w:color="auto" w:fill="auto"/>
            <w:noWrap/>
            <w:vAlign w:val="center"/>
          </w:tcPr>
          <w:p w14:paraId="12E09E2A"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4E206EEC"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4D4C4061"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014EB19E"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42" w:type="pct"/>
            <w:tcBorders>
              <w:top w:val="nil"/>
              <w:left w:val="nil"/>
              <w:bottom w:val="single" w:sz="4" w:space="0" w:color="auto"/>
              <w:right w:val="single" w:sz="4" w:space="0" w:color="auto"/>
            </w:tcBorders>
            <w:shd w:val="clear" w:color="auto" w:fill="auto"/>
            <w:noWrap/>
            <w:vAlign w:val="center"/>
          </w:tcPr>
          <w:p w14:paraId="4300AED9"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0C409A5F"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256EDDCB" w14:textId="77777777" w:rsidR="00CF336B" w:rsidRPr="001B4CA2" w:rsidRDefault="00CF336B" w:rsidP="00CF336B">
            <w:pPr>
              <w:jc w:val="center"/>
              <w:rPr>
                <w:sz w:val="14"/>
                <w:szCs w:val="14"/>
              </w:rPr>
            </w:pPr>
          </w:p>
        </w:tc>
        <w:tc>
          <w:tcPr>
            <w:tcW w:w="134" w:type="pct"/>
            <w:tcBorders>
              <w:top w:val="nil"/>
              <w:left w:val="nil"/>
              <w:bottom w:val="single" w:sz="4" w:space="0" w:color="auto"/>
              <w:right w:val="single" w:sz="4" w:space="0" w:color="auto"/>
            </w:tcBorders>
            <w:shd w:val="clear" w:color="auto" w:fill="auto"/>
            <w:noWrap/>
            <w:vAlign w:val="center"/>
          </w:tcPr>
          <w:p w14:paraId="293F7FD3" w14:textId="77777777" w:rsidR="00CF336B" w:rsidRPr="001B4CA2" w:rsidRDefault="00CF336B" w:rsidP="00CF336B">
            <w:pPr>
              <w:jc w:val="center"/>
              <w:rPr>
                <w:sz w:val="14"/>
                <w:szCs w:val="14"/>
              </w:rPr>
            </w:pPr>
          </w:p>
        </w:tc>
        <w:tc>
          <w:tcPr>
            <w:tcW w:w="88" w:type="pct"/>
            <w:tcBorders>
              <w:top w:val="nil"/>
              <w:left w:val="nil"/>
              <w:bottom w:val="single" w:sz="4" w:space="0" w:color="auto"/>
              <w:right w:val="single" w:sz="4" w:space="0" w:color="auto"/>
            </w:tcBorders>
            <w:shd w:val="clear" w:color="auto" w:fill="auto"/>
            <w:noWrap/>
            <w:vAlign w:val="center"/>
          </w:tcPr>
          <w:p w14:paraId="04179BA5"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18BAC230"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4FB87C96"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73905577" w14:textId="77777777" w:rsidR="00CF336B" w:rsidRPr="001B4CA2" w:rsidRDefault="00CF336B" w:rsidP="00CF336B">
            <w:pPr>
              <w:jc w:val="center"/>
              <w:rPr>
                <w:bCs/>
                <w:sz w:val="14"/>
                <w:szCs w:val="14"/>
              </w:rPr>
            </w:pPr>
            <w:r w:rsidRPr="001B4CA2">
              <w:rPr>
                <w:rFonts w:cstheme="minorHAnsi"/>
                <w:bCs/>
                <w:color w:val="000000"/>
                <w:sz w:val="14"/>
                <w:szCs w:val="14"/>
              </w:rPr>
              <w:t>2</w:t>
            </w:r>
          </w:p>
        </w:tc>
        <w:tc>
          <w:tcPr>
            <w:tcW w:w="193" w:type="pct"/>
            <w:tcBorders>
              <w:top w:val="nil"/>
              <w:left w:val="nil"/>
              <w:bottom w:val="single" w:sz="4" w:space="0" w:color="auto"/>
              <w:right w:val="single" w:sz="4" w:space="0" w:color="auto"/>
            </w:tcBorders>
            <w:shd w:val="clear" w:color="auto" w:fill="auto"/>
            <w:noWrap/>
            <w:vAlign w:val="center"/>
          </w:tcPr>
          <w:p w14:paraId="032BA14F" w14:textId="77777777" w:rsidR="00CF336B" w:rsidRPr="001B4CA2" w:rsidRDefault="00CF336B" w:rsidP="00CF336B">
            <w:pPr>
              <w:jc w:val="center"/>
              <w:rPr>
                <w:bCs/>
                <w:sz w:val="14"/>
                <w:szCs w:val="14"/>
              </w:rPr>
            </w:pPr>
            <w:r w:rsidRPr="001B4CA2">
              <w:rPr>
                <w:rFonts w:cstheme="minorHAnsi"/>
                <w:bCs/>
                <w:color w:val="000000"/>
                <w:sz w:val="14"/>
                <w:szCs w:val="14"/>
              </w:rPr>
              <w:t>0</w:t>
            </w:r>
          </w:p>
        </w:tc>
        <w:tc>
          <w:tcPr>
            <w:tcW w:w="180" w:type="pct"/>
            <w:tcBorders>
              <w:top w:val="nil"/>
              <w:left w:val="nil"/>
              <w:bottom w:val="single" w:sz="4" w:space="0" w:color="auto"/>
              <w:right w:val="single" w:sz="4" w:space="0" w:color="auto"/>
            </w:tcBorders>
            <w:shd w:val="clear" w:color="auto" w:fill="auto"/>
            <w:vAlign w:val="center"/>
          </w:tcPr>
          <w:p w14:paraId="3BD7F68B"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6719F7BB" w14:textId="77777777" w:rsidR="00CF336B" w:rsidRPr="001B4CA2" w:rsidRDefault="00CF336B" w:rsidP="00CF336B">
            <w:pPr>
              <w:jc w:val="center"/>
              <w:rPr>
                <w:b/>
                <w:bCs/>
                <w:sz w:val="14"/>
                <w:szCs w:val="14"/>
              </w:rPr>
            </w:pPr>
          </w:p>
        </w:tc>
      </w:tr>
      <w:tr w:rsidR="00FB2B5D" w:rsidRPr="001B4CA2" w14:paraId="209372EC"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745C72C2" w14:textId="77777777" w:rsidR="00CF336B" w:rsidRPr="001B4CA2" w:rsidRDefault="00CF336B" w:rsidP="00CF336B">
            <w:pPr>
              <w:ind w:left="34"/>
              <w:jc w:val="left"/>
              <w:rPr>
                <w:bCs/>
                <w:sz w:val="16"/>
                <w:szCs w:val="16"/>
              </w:rPr>
            </w:pPr>
            <w:r w:rsidRPr="001B4CA2">
              <w:rPr>
                <w:bCs/>
                <w:sz w:val="16"/>
                <w:szCs w:val="16"/>
              </w:rPr>
              <w:t>Ministarstvo mora, prometa i infrastrukture</w:t>
            </w:r>
          </w:p>
        </w:tc>
        <w:tc>
          <w:tcPr>
            <w:tcW w:w="223" w:type="pct"/>
            <w:tcBorders>
              <w:top w:val="nil"/>
              <w:left w:val="nil"/>
              <w:bottom w:val="single" w:sz="4" w:space="0" w:color="auto"/>
              <w:right w:val="single" w:sz="4" w:space="0" w:color="auto"/>
            </w:tcBorders>
            <w:shd w:val="clear" w:color="auto" w:fill="auto"/>
            <w:noWrap/>
            <w:vAlign w:val="center"/>
          </w:tcPr>
          <w:p w14:paraId="19AB7DF5" w14:textId="77777777" w:rsidR="00CF336B" w:rsidRPr="001B4CA2" w:rsidRDefault="00CF336B" w:rsidP="00CF336B">
            <w:pPr>
              <w:jc w:val="center"/>
              <w:rPr>
                <w:sz w:val="14"/>
                <w:szCs w:val="14"/>
              </w:rPr>
            </w:pPr>
            <w:r w:rsidRPr="001B4CA2">
              <w:rPr>
                <w:rFonts w:cstheme="minorHAnsi"/>
                <w:color w:val="000000"/>
                <w:sz w:val="14"/>
                <w:szCs w:val="14"/>
              </w:rPr>
              <w:t>11</w:t>
            </w:r>
          </w:p>
        </w:tc>
        <w:tc>
          <w:tcPr>
            <w:tcW w:w="179" w:type="pct"/>
            <w:tcBorders>
              <w:top w:val="nil"/>
              <w:left w:val="nil"/>
              <w:bottom w:val="single" w:sz="4" w:space="0" w:color="auto"/>
              <w:right w:val="single" w:sz="4" w:space="0" w:color="auto"/>
            </w:tcBorders>
            <w:shd w:val="clear" w:color="auto" w:fill="auto"/>
            <w:noWrap/>
            <w:vAlign w:val="center"/>
          </w:tcPr>
          <w:p w14:paraId="630BCEAF"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80" w:type="pct"/>
            <w:tcBorders>
              <w:top w:val="nil"/>
              <w:left w:val="nil"/>
              <w:bottom w:val="single" w:sz="4" w:space="0" w:color="auto"/>
              <w:right w:val="single" w:sz="4" w:space="0" w:color="auto"/>
            </w:tcBorders>
            <w:shd w:val="clear" w:color="auto" w:fill="auto"/>
            <w:noWrap/>
            <w:vAlign w:val="center"/>
          </w:tcPr>
          <w:p w14:paraId="5704EFA2"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7369EE71" w14:textId="77777777" w:rsidR="00CF336B" w:rsidRPr="001B4CA2" w:rsidRDefault="00CF336B" w:rsidP="00CF336B">
            <w:pPr>
              <w:jc w:val="center"/>
              <w:rPr>
                <w:sz w:val="14"/>
                <w:szCs w:val="14"/>
              </w:rPr>
            </w:pPr>
            <w:r w:rsidRPr="001B4CA2">
              <w:rPr>
                <w:rFonts w:cstheme="minorHAnsi"/>
                <w:sz w:val="14"/>
                <w:szCs w:val="14"/>
              </w:rPr>
              <w:t>50</w:t>
            </w:r>
          </w:p>
        </w:tc>
        <w:tc>
          <w:tcPr>
            <w:tcW w:w="181" w:type="pct"/>
            <w:tcBorders>
              <w:top w:val="nil"/>
              <w:left w:val="nil"/>
              <w:bottom w:val="single" w:sz="4" w:space="0" w:color="auto"/>
              <w:right w:val="single" w:sz="4" w:space="0" w:color="auto"/>
            </w:tcBorders>
            <w:shd w:val="clear" w:color="auto" w:fill="auto"/>
            <w:noWrap/>
            <w:vAlign w:val="center"/>
          </w:tcPr>
          <w:p w14:paraId="41ED6807" w14:textId="77777777" w:rsidR="00CF336B" w:rsidRPr="001B4CA2" w:rsidRDefault="00CF336B" w:rsidP="00CF336B">
            <w:pPr>
              <w:jc w:val="center"/>
              <w:rPr>
                <w:sz w:val="14"/>
                <w:szCs w:val="14"/>
              </w:rPr>
            </w:pPr>
            <w:r w:rsidRPr="001B4CA2">
              <w:rPr>
                <w:rFonts w:cstheme="minorHAnsi"/>
                <w:color w:val="000000"/>
                <w:sz w:val="14"/>
                <w:szCs w:val="14"/>
              </w:rPr>
              <w:t>10</w:t>
            </w:r>
          </w:p>
        </w:tc>
        <w:tc>
          <w:tcPr>
            <w:tcW w:w="177" w:type="pct"/>
            <w:tcBorders>
              <w:top w:val="nil"/>
              <w:left w:val="nil"/>
              <w:bottom w:val="single" w:sz="4" w:space="0" w:color="auto"/>
              <w:right w:val="single" w:sz="4" w:space="0" w:color="auto"/>
            </w:tcBorders>
            <w:shd w:val="clear" w:color="auto" w:fill="auto"/>
            <w:noWrap/>
            <w:vAlign w:val="center"/>
          </w:tcPr>
          <w:p w14:paraId="4BBC9B80"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82" w:type="pct"/>
            <w:tcBorders>
              <w:top w:val="nil"/>
              <w:left w:val="nil"/>
              <w:bottom w:val="single" w:sz="4" w:space="0" w:color="auto"/>
              <w:right w:val="single" w:sz="4" w:space="0" w:color="auto"/>
            </w:tcBorders>
            <w:shd w:val="clear" w:color="auto" w:fill="auto"/>
            <w:noWrap/>
            <w:vAlign w:val="center"/>
          </w:tcPr>
          <w:p w14:paraId="1DA657DE"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11859560" w14:textId="77777777" w:rsidR="00CF336B" w:rsidRPr="001B4CA2" w:rsidRDefault="00CF336B" w:rsidP="00CF336B">
            <w:pPr>
              <w:jc w:val="center"/>
              <w:rPr>
                <w:sz w:val="14"/>
                <w:szCs w:val="14"/>
              </w:rPr>
            </w:pPr>
            <w:r w:rsidRPr="001B4CA2">
              <w:rPr>
                <w:rFonts w:eastAsia="Times New Roman" w:cstheme="minorHAnsi"/>
                <w:color w:val="000000"/>
                <w:sz w:val="14"/>
                <w:szCs w:val="14"/>
                <w:lang w:eastAsia="hr-HR"/>
              </w:rPr>
              <w:t>15</w:t>
            </w:r>
          </w:p>
        </w:tc>
        <w:tc>
          <w:tcPr>
            <w:tcW w:w="142" w:type="pct"/>
            <w:tcBorders>
              <w:top w:val="nil"/>
              <w:left w:val="nil"/>
              <w:bottom w:val="single" w:sz="4" w:space="0" w:color="auto"/>
              <w:right w:val="single" w:sz="4" w:space="0" w:color="auto"/>
            </w:tcBorders>
            <w:shd w:val="clear" w:color="auto" w:fill="auto"/>
            <w:noWrap/>
            <w:vAlign w:val="center"/>
          </w:tcPr>
          <w:p w14:paraId="4CC0406B" w14:textId="77777777" w:rsidR="00CF336B" w:rsidRPr="001B4CA2" w:rsidRDefault="00CF336B" w:rsidP="00CF336B">
            <w:pPr>
              <w:jc w:val="center"/>
              <w:rPr>
                <w:sz w:val="14"/>
                <w:szCs w:val="14"/>
              </w:rPr>
            </w:pPr>
            <w:r w:rsidRPr="001B4CA2">
              <w:rPr>
                <w:rFonts w:cstheme="minorHAnsi"/>
                <w:color w:val="000000"/>
                <w:sz w:val="14"/>
                <w:szCs w:val="14"/>
              </w:rPr>
              <w:t>5</w:t>
            </w:r>
          </w:p>
        </w:tc>
        <w:tc>
          <w:tcPr>
            <w:tcW w:w="122" w:type="pct"/>
            <w:tcBorders>
              <w:top w:val="nil"/>
              <w:left w:val="nil"/>
              <w:bottom w:val="single" w:sz="4" w:space="0" w:color="auto"/>
              <w:right w:val="single" w:sz="4" w:space="0" w:color="auto"/>
            </w:tcBorders>
            <w:shd w:val="clear" w:color="auto" w:fill="auto"/>
            <w:noWrap/>
            <w:vAlign w:val="center"/>
          </w:tcPr>
          <w:p w14:paraId="067419B9"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83" w:type="pct"/>
            <w:tcBorders>
              <w:top w:val="nil"/>
              <w:left w:val="nil"/>
              <w:bottom w:val="single" w:sz="4" w:space="0" w:color="auto"/>
              <w:right w:val="single" w:sz="4" w:space="0" w:color="auto"/>
            </w:tcBorders>
            <w:shd w:val="clear" w:color="auto" w:fill="auto"/>
            <w:noWrap/>
            <w:vAlign w:val="center"/>
          </w:tcPr>
          <w:p w14:paraId="2F0B814F"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676C88E4" w14:textId="77777777" w:rsidR="00CF336B" w:rsidRPr="001B4CA2" w:rsidRDefault="00CF336B" w:rsidP="00CF336B">
            <w:pPr>
              <w:jc w:val="center"/>
              <w:rPr>
                <w:sz w:val="14"/>
                <w:szCs w:val="14"/>
              </w:rPr>
            </w:pPr>
            <w:r w:rsidRPr="001B4CA2">
              <w:rPr>
                <w:rFonts w:cstheme="minorHAnsi"/>
                <w:color w:val="000000"/>
                <w:sz w:val="14"/>
                <w:szCs w:val="14"/>
              </w:rPr>
              <w:t>60</w:t>
            </w:r>
          </w:p>
        </w:tc>
        <w:tc>
          <w:tcPr>
            <w:tcW w:w="173" w:type="pct"/>
            <w:tcBorders>
              <w:top w:val="nil"/>
              <w:left w:val="nil"/>
              <w:bottom w:val="single" w:sz="4" w:space="0" w:color="auto"/>
              <w:right w:val="single" w:sz="4" w:space="0" w:color="auto"/>
            </w:tcBorders>
            <w:shd w:val="clear" w:color="auto" w:fill="auto"/>
            <w:noWrap/>
            <w:vAlign w:val="center"/>
          </w:tcPr>
          <w:p w14:paraId="49CC80D3"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4576EB01"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7E2262B8"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0832397D" w14:textId="77777777" w:rsidR="00CF336B" w:rsidRPr="001B4CA2" w:rsidRDefault="00CF336B" w:rsidP="00CF336B">
            <w:pPr>
              <w:jc w:val="center"/>
              <w:rPr>
                <w:sz w:val="14"/>
                <w:szCs w:val="14"/>
              </w:rPr>
            </w:pPr>
          </w:p>
        </w:tc>
        <w:tc>
          <w:tcPr>
            <w:tcW w:w="134" w:type="pct"/>
            <w:tcBorders>
              <w:top w:val="nil"/>
              <w:left w:val="nil"/>
              <w:bottom w:val="single" w:sz="4" w:space="0" w:color="auto"/>
              <w:right w:val="single" w:sz="4" w:space="0" w:color="auto"/>
            </w:tcBorders>
            <w:shd w:val="clear" w:color="auto" w:fill="auto"/>
            <w:noWrap/>
            <w:vAlign w:val="center"/>
          </w:tcPr>
          <w:p w14:paraId="09D421A4" w14:textId="77777777" w:rsidR="00CF336B" w:rsidRPr="001B4CA2" w:rsidRDefault="00CF336B" w:rsidP="00CF336B">
            <w:pPr>
              <w:jc w:val="center"/>
              <w:rPr>
                <w:sz w:val="14"/>
                <w:szCs w:val="14"/>
              </w:rPr>
            </w:pPr>
          </w:p>
        </w:tc>
        <w:tc>
          <w:tcPr>
            <w:tcW w:w="88" w:type="pct"/>
            <w:tcBorders>
              <w:top w:val="nil"/>
              <w:left w:val="nil"/>
              <w:bottom w:val="single" w:sz="4" w:space="0" w:color="auto"/>
              <w:right w:val="single" w:sz="4" w:space="0" w:color="auto"/>
            </w:tcBorders>
            <w:shd w:val="clear" w:color="auto" w:fill="auto"/>
            <w:noWrap/>
            <w:vAlign w:val="center"/>
          </w:tcPr>
          <w:p w14:paraId="2A1B5105"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74FFE862"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1882E0F4"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6FFCB319" w14:textId="77777777" w:rsidR="00CF336B" w:rsidRPr="001B4CA2" w:rsidRDefault="00CF336B" w:rsidP="00CF336B">
            <w:pPr>
              <w:jc w:val="center"/>
              <w:rPr>
                <w:bCs/>
                <w:sz w:val="14"/>
                <w:szCs w:val="14"/>
              </w:rPr>
            </w:pPr>
            <w:r w:rsidRPr="001B4CA2">
              <w:rPr>
                <w:rFonts w:cstheme="minorHAnsi"/>
                <w:bCs/>
                <w:color w:val="000000"/>
                <w:sz w:val="14"/>
                <w:szCs w:val="14"/>
              </w:rPr>
              <w:t>26</w:t>
            </w:r>
          </w:p>
        </w:tc>
        <w:tc>
          <w:tcPr>
            <w:tcW w:w="193" w:type="pct"/>
            <w:tcBorders>
              <w:top w:val="nil"/>
              <w:left w:val="nil"/>
              <w:bottom w:val="single" w:sz="4" w:space="0" w:color="auto"/>
              <w:right w:val="single" w:sz="4" w:space="0" w:color="auto"/>
            </w:tcBorders>
            <w:shd w:val="clear" w:color="auto" w:fill="auto"/>
            <w:noWrap/>
            <w:vAlign w:val="center"/>
          </w:tcPr>
          <w:p w14:paraId="4C6FCAB4" w14:textId="77777777" w:rsidR="00CF336B" w:rsidRPr="001B4CA2" w:rsidRDefault="00CF336B" w:rsidP="00CF336B">
            <w:pPr>
              <w:jc w:val="center"/>
              <w:rPr>
                <w:bCs/>
                <w:sz w:val="14"/>
                <w:szCs w:val="14"/>
              </w:rPr>
            </w:pPr>
            <w:r w:rsidRPr="001B4CA2">
              <w:rPr>
                <w:rFonts w:cstheme="minorHAnsi"/>
                <w:bCs/>
                <w:color w:val="000000"/>
                <w:sz w:val="14"/>
                <w:szCs w:val="14"/>
              </w:rPr>
              <w:t>3</w:t>
            </w:r>
          </w:p>
        </w:tc>
        <w:tc>
          <w:tcPr>
            <w:tcW w:w="180" w:type="pct"/>
            <w:tcBorders>
              <w:top w:val="nil"/>
              <w:left w:val="nil"/>
              <w:bottom w:val="single" w:sz="4" w:space="0" w:color="auto"/>
              <w:right w:val="single" w:sz="4" w:space="0" w:color="auto"/>
            </w:tcBorders>
            <w:shd w:val="clear" w:color="auto" w:fill="auto"/>
            <w:vAlign w:val="center"/>
          </w:tcPr>
          <w:p w14:paraId="77C048B5"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26B2487C" w14:textId="77777777" w:rsidR="00CF336B" w:rsidRPr="001B4CA2" w:rsidRDefault="00CF336B" w:rsidP="00CF336B">
            <w:pPr>
              <w:jc w:val="center"/>
              <w:rPr>
                <w:b/>
                <w:bCs/>
                <w:sz w:val="14"/>
                <w:szCs w:val="14"/>
              </w:rPr>
            </w:pPr>
            <w:r w:rsidRPr="001B4CA2">
              <w:rPr>
                <w:rFonts w:cstheme="minorHAnsi"/>
                <w:bCs/>
                <w:color w:val="000000"/>
                <w:sz w:val="14"/>
                <w:szCs w:val="14"/>
              </w:rPr>
              <w:t>125</w:t>
            </w:r>
          </w:p>
        </w:tc>
      </w:tr>
      <w:tr w:rsidR="00FB2B5D" w:rsidRPr="001B4CA2" w14:paraId="3FB0A6EB"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53AC9236" w14:textId="77777777" w:rsidR="00CF336B" w:rsidRPr="001B4CA2" w:rsidRDefault="00CF336B" w:rsidP="00CF336B">
            <w:pPr>
              <w:ind w:left="34"/>
              <w:jc w:val="left"/>
              <w:rPr>
                <w:bCs/>
                <w:sz w:val="16"/>
                <w:szCs w:val="16"/>
              </w:rPr>
            </w:pPr>
            <w:r w:rsidRPr="001B4CA2">
              <w:rPr>
                <w:bCs/>
                <w:sz w:val="16"/>
                <w:szCs w:val="16"/>
              </w:rPr>
              <w:t>Ministarstvo poljoprivrede</w:t>
            </w:r>
          </w:p>
        </w:tc>
        <w:tc>
          <w:tcPr>
            <w:tcW w:w="223" w:type="pct"/>
            <w:tcBorders>
              <w:top w:val="nil"/>
              <w:left w:val="nil"/>
              <w:bottom w:val="single" w:sz="4" w:space="0" w:color="auto"/>
              <w:right w:val="single" w:sz="4" w:space="0" w:color="auto"/>
            </w:tcBorders>
            <w:shd w:val="clear" w:color="auto" w:fill="auto"/>
            <w:noWrap/>
            <w:vAlign w:val="center"/>
          </w:tcPr>
          <w:p w14:paraId="1E721097" w14:textId="77777777" w:rsidR="00CF336B" w:rsidRPr="001B4CA2" w:rsidRDefault="00CF336B" w:rsidP="00CF336B">
            <w:pPr>
              <w:jc w:val="center"/>
              <w:rPr>
                <w:sz w:val="14"/>
                <w:szCs w:val="14"/>
              </w:rPr>
            </w:pPr>
            <w:r w:rsidRPr="001B4CA2">
              <w:rPr>
                <w:rFonts w:cstheme="minorHAnsi"/>
                <w:color w:val="000000"/>
                <w:sz w:val="14"/>
                <w:szCs w:val="14"/>
              </w:rPr>
              <w:t>1.093</w:t>
            </w:r>
          </w:p>
        </w:tc>
        <w:tc>
          <w:tcPr>
            <w:tcW w:w="179" w:type="pct"/>
            <w:tcBorders>
              <w:top w:val="nil"/>
              <w:left w:val="nil"/>
              <w:bottom w:val="single" w:sz="4" w:space="0" w:color="auto"/>
              <w:right w:val="single" w:sz="4" w:space="0" w:color="auto"/>
            </w:tcBorders>
            <w:shd w:val="clear" w:color="auto" w:fill="auto"/>
            <w:noWrap/>
            <w:vAlign w:val="center"/>
          </w:tcPr>
          <w:p w14:paraId="18F324B5" w14:textId="77777777" w:rsidR="00CF336B" w:rsidRPr="001B4CA2" w:rsidRDefault="00CF336B" w:rsidP="00CF336B">
            <w:pPr>
              <w:jc w:val="center"/>
              <w:rPr>
                <w:sz w:val="14"/>
                <w:szCs w:val="14"/>
              </w:rPr>
            </w:pPr>
            <w:r w:rsidRPr="001B4CA2">
              <w:rPr>
                <w:rFonts w:cstheme="minorHAnsi"/>
                <w:color w:val="000000"/>
                <w:sz w:val="14"/>
                <w:szCs w:val="14"/>
              </w:rPr>
              <w:t>352</w:t>
            </w:r>
          </w:p>
        </w:tc>
        <w:tc>
          <w:tcPr>
            <w:tcW w:w="180" w:type="pct"/>
            <w:tcBorders>
              <w:top w:val="nil"/>
              <w:left w:val="nil"/>
              <w:bottom w:val="single" w:sz="4" w:space="0" w:color="auto"/>
              <w:right w:val="single" w:sz="4" w:space="0" w:color="auto"/>
            </w:tcBorders>
            <w:shd w:val="clear" w:color="auto" w:fill="auto"/>
            <w:noWrap/>
            <w:vAlign w:val="center"/>
          </w:tcPr>
          <w:p w14:paraId="42D401E7"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5A59E610" w14:textId="77777777" w:rsidR="00CF336B" w:rsidRPr="001B4CA2" w:rsidRDefault="00CF336B" w:rsidP="00CF336B">
            <w:pPr>
              <w:jc w:val="center"/>
              <w:rPr>
                <w:sz w:val="14"/>
                <w:szCs w:val="14"/>
              </w:rPr>
            </w:pPr>
            <w:r w:rsidRPr="001B4CA2">
              <w:rPr>
                <w:rFonts w:cstheme="minorHAnsi"/>
                <w:sz w:val="14"/>
                <w:szCs w:val="14"/>
              </w:rPr>
              <w:t>12.429</w:t>
            </w:r>
          </w:p>
        </w:tc>
        <w:tc>
          <w:tcPr>
            <w:tcW w:w="181" w:type="pct"/>
            <w:tcBorders>
              <w:top w:val="nil"/>
              <w:left w:val="nil"/>
              <w:bottom w:val="single" w:sz="4" w:space="0" w:color="auto"/>
              <w:right w:val="single" w:sz="4" w:space="0" w:color="auto"/>
            </w:tcBorders>
            <w:shd w:val="clear" w:color="auto" w:fill="auto"/>
            <w:noWrap/>
            <w:vAlign w:val="center"/>
          </w:tcPr>
          <w:p w14:paraId="45DBEA46" w14:textId="77777777" w:rsidR="00CF336B" w:rsidRPr="001B4CA2" w:rsidRDefault="00CF336B" w:rsidP="00CF336B">
            <w:pPr>
              <w:jc w:val="center"/>
              <w:rPr>
                <w:sz w:val="14"/>
                <w:szCs w:val="14"/>
              </w:rPr>
            </w:pPr>
            <w:r w:rsidRPr="001B4CA2">
              <w:rPr>
                <w:rFonts w:cstheme="minorHAnsi"/>
                <w:color w:val="000000"/>
                <w:sz w:val="14"/>
                <w:szCs w:val="14"/>
              </w:rPr>
              <w:t>36</w:t>
            </w:r>
          </w:p>
        </w:tc>
        <w:tc>
          <w:tcPr>
            <w:tcW w:w="177" w:type="pct"/>
            <w:tcBorders>
              <w:top w:val="nil"/>
              <w:left w:val="nil"/>
              <w:bottom w:val="single" w:sz="4" w:space="0" w:color="auto"/>
              <w:right w:val="single" w:sz="4" w:space="0" w:color="auto"/>
            </w:tcBorders>
            <w:shd w:val="clear" w:color="auto" w:fill="auto"/>
            <w:noWrap/>
            <w:vAlign w:val="center"/>
          </w:tcPr>
          <w:p w14:paraId="20B75FF1" w14:textId="77777777" w:rsidR="00CF336B" w:rsidRPr="001B4CA2" w:rsidRDefault="00CF336B" w:rsidP="00CF336B">
            <w:pPr>
              <w:jc w:val="center"/>
              <w:rPr>
                <w:sz w:val="14"/>
                <w:szCs w:val="14"/>
              </w:rPr>
            </w:pPr>
            <w:r w:rsidRPr="001B4CA2">
              <w:rPr>
                <w:rFonts w:cstheme="minorHAnsi"/>
                <w:color w:val="000000"/>
                <w:sz w:val="14"/>
                <w:szCs w:val="14"/>
              </w:rPr>
              <w:t>9</w:t>
            </w:r>
          </w:p>
        </w:tc>
        <w:tc>
          <w:tcPr>
            <w:tcW w:w="182" w:type="pct"/>
            <w:tcBorders>
              <w:top w:val="nil"/>
              <w:left w:val="nil"/>
              <w:bottom w:val="single" w:sz="4" w:space="0" w:color="auto"/>
              <w:right w:val="single" w:sz="4" w:space="0" w:color="auto"/>
            </w:tcBorders>
            <w:shd w:val="clear" w:color="auto" w:fill="auto"/>
            <w:noWrap/>
            <w:vAlign w:val="center"/>
          </w:tcPr>
          <w:p w14:paraId="35E8523B"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2CA76552" w14:textId="77777777" w:rsidR="00CF336B" w:rsidRPr="001B4CA2" w:rsidRDefault="00CF336B" w:rsidP="00CF336B">
            <w:pPr>
              <w:jc w:val="center"/>
              <w:rPr>
                <w:sz w:val="14"/>
                <w:szCs w:val="14"/>
              </w:rPr>
            </w:pPr>
            <w:r w:rsidRPr="001B4CA2">
              <w:rPr>
                <w:rFonts w:eastAsia="Times New Roman" w:cstheme="minorHAnsi"/>
                <w:color w:val="000000"/>
                <w:sz w:val="14"/>
                <w:szCs w:val="14"/>
                <w:lang w:eastAsia="hr-HR"/>
              </w:rPr>
              <w:t>96</w:t>
            </w:r>
          </w:p>
        </w:tc>
        <w:tc>
          <w:tcPr>
            <w:tcW w:w="142" w:type="pct"/>
            <w:tcBorders>
              <w:top w:val="nil"/>
              <w:left w:val="nil"/>
              <w:bottom w:val="single" w:sz="4" w:space="0" w:color="auto"/>
              <w:right w:val="single" w:sz="4" w:space="0" w:color="auto"/>
            </w:tcBorders>
            <w:shd w:val="clear" w:color="auto" w:fill="auto"/>
            <w:noWrap/>
            <w:vAlign w:val="center"/>
          </w:tcPr>
          <w:p w14:paraId="2CE6C3FF" w14:textId="77777777" w:rsidR="00CF336B" w:rsidRPr="001B4CA2" w:rsidRDefault="00CF336B" w:rsidP="00CF336B">
            <w:pPr>
              <w:jc w:val="center"/>
              <w:rPr>
                <w:sz w:val="14"/>
                <w:szCs w:val="14"/>
              </w:rPr>
            </w:pPr>
            <w:r w:rsidRPr="001B4CA2">
              <w:rPr>
                <w:rFonts w:cstheme="minorHAnsi"/>
                <w:color w:val="000000"/>
                <w:sz w:val="14"/>
                <w:szCs w:val="14"/>
              </w:rPr>
              <w:t>6</w:t>
            </w:r>
          </w:p>
        </w:tc>
        <w:tc>
          <w:tcPr>
            <w:tcW w:w="122" w:type="pct"/>
            <w:tcBorders>
              <w:top w:val="nil"/>
              <w:left w:val="nil"/>
              <w:bottom w:val="single" w:sz="4" w:space="0" w:color="auto"/>
              <w:right w:val="single" w:sz="4" w:space="0" w:color="auto"/>
            </w:tcBorders>
            <w:shd w:val="clear" w:color="auto" w:fill="auto"/>
            <w:noWrap/>
            <w:vAlign w:val="center"/>
          </w:tcPr>
          <w:p w14:paraId="2BF9D2DF"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83" w:type="pct"/>
            <w:tcBorders>
              <w:top w:val="nil"/>
              <w:left w:val="nil"/>
              <w:bottom w:val="single" w:sz="4" w:space="0" w:color="auto"/>
              <w:right w:val="single" w:sz="4" w:space="0" w:color="auto"/>
            </w:tcBorders>
            <w:shd w:val="clear" w:color="auto" w:fill="auto"/>
            <w:noWrap/>
            <w:vAlign w:val="center"/>
          </w:tcPr>
          <w:p w14:paraId="2A1B888F"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7D529DBA" w14:textId="77777777" w:rsidR="00CF336B" w:rsidRPr="001B4CA2" w:rsidRDefault="00CF336B" w:rsidP="00CF336B">
            <w:pPr>
              <w:jc w:val="center"/>
              <w:rPr>
                <w:sz w:val="14"/>
                <w:szCs w:val="14"/>
              </w:rPr>
            </w:pPr>
            <w:r w:rsidRPr="001B4CA2">
              <w:rPr>
                <w:rFonts w:cstheme="minorHAnsi"/>
                <w:color w:val="000000"/>
                <w:sz w:val="14"/>
                <w:szCs w:val="14"/>
              </w:rPr>
              <w:t>58</w:t>
            </w:r>
          </w:p>
        </w:tc>
        <w:tc>
          <w:tcPr>
            <w:tcW w:w="173" w:type="pct"/>
            <w:tcBorders>
              <w:top w:val="nil"/>
              <w:left w:val="nil"/>
              <w:bottom w:val="single" w:sz="4" w:space="0" w:color="auto"/>
              <w:right w:val="single" w:sz="4" w:space="0" w:color="auto"/>
            </w:tcBorders>
            <w:shd w:val="clear" w:color="auto" w:fill="auto"/>
            <w:noWrap/>
            <w:vAlign w:val="center"/>
          </w:tcPr>
          <w:p w14:paraId="6579E938" w14:textId="77777777" w:rsidR="00CF336B" w:rsidRPr="001B4CA2" w:rsidRDefault="00CF336B" w:rsidP="00CF336B">
            <w:pPr>
              <w:jc w:val="center"/>
              <w:rPr>
                <w:sz w:val="14"/>
                <w:szCs w:val="14"/>
              </w:rPr>
            </w:pPr>
            <w:r w:rsidRPr="001B4CA2">
              <w:rPr>
                <w:rFonts w:cstheme="minorHAnsi"/>
                <w:color w:val="000000"/>
                <w:sz w:val="14"/>
                <w:szCs w:val="14"/>
              </w:rPr>
              <w:t>3</w:t>
            </w:r>
          </w:p>
        </w:tc>
        <w:tc>
          <w:tcPr>
            <w:tcW w:w="142" w:type="pct"/>
            <w:tcBorders>
              <w:top w:val="nil"/>
              <w:left w:val="nil"/>
              <w:bottom w:val="single" w:sz="4" w:space="0" w:color="auto"/>
              <w:right w:val="single" w:sz="4" w:space="0" w:color="auto"/>
            </w:tcBorders>
            <w:shd w:val="clear" w:color="auto" w:fill="auto"/>
            <w:noWrap/>
            <w:vAlign w:val="center"/>
          </w:tcPr>
          <w:p w14:paraId="10F504E7" w14:textId="77777777" w:rsidR="00CF336B" w:rsidRPr="001B4CA2" w:rsidRDefault="00CF336B" w:rsidP="00CF336B">
            <w:pPr>
              <w:jc w:val="center"/>
              <w:rPr>
                <w:sz w:val="14"/>
                <w:szCs w:val="14"/>
              </w:rPr>
            </w:pPr>
            <w:r w:rsidRPr="001B4CA2">
              <w:rPr>
                <w:rFonts w:cstheme="minorHAnsi"/>
                <w:color w:val="000000"/>
                <w:sz w:val="14"/>
                <w:szCs w:val="14"/>
              </w:rPr>
              <w:t>4</w:t>
            </w:r>
          </w:p>
        </w:tc>
        <w:tc>
          <w:tcPr>
            <w:tcW w:w="175" w:type="pct"/>
            <w:tcBorders>
              <w:top w:val="nil"/>
              <w:left w:val="nil"/>
              <w:bottom w:val="single" w:sz="4" w:space="0" w:color="auto"/>
              <w:right w:val="single" w:sz="4" w:space="0" w:color="auto"/>
            </w:tcBorders>
            <w:shd w:val="clear" w:color="auto" w:fill="auto"/>
            <w:noWrap/>
            <w:vAlign w:val="center"/>
          </w:tcPr>
          <w:p w14:paraId="22C9D98D"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34ABC293" w14:textId="77777777" w:rsidR="00CF336B" w:rsidRPr="001B4CA2" w:rsidRDefault="00CF336B" w:rsidP="00CF336B">
            <w:pPr>
              <w:jc w:val="center"/>
              <w:rPr>
                <w:sz w:val="14"/>
                <w:szCs w:val="14"/>
              </w:rPr>
            </w:pPr>
            <w:r w:rsidRPr="001B4CA2">
              <w:rPr>
                <w:rFonts w:cstheme="minorHAnsi"/>
                <w:sz w:val="14"/>
                <w:szCs w:val="14"/>
              </w:rPr>
              <w:t>24</w:t>
            </w:r>
          </w:p>
        </w:tc>
        <w:tc>
          <w:tcPr>
            <w:tcW w:w="134" w:type="pct"/>
            <w:tcBorders>
              <w:top w:val="nil"/>
              <w:left w:val="nil"/>
              <w:bottom w:val="single" w:sz="4" w:space="0" w:color="auto"/>
              <w:right w:val="single" w:sz="4" w:space="0" w:color="auto"/>
            </w:tcBorders>
            <w:shd w:val="clear" w:color="auto" w:fill="auto"/>
            <w:noWrap/>
            <w:vAlign w:val="center"/>
          </w:tcPr>
          <w:p w14:paraId="3C545EC3" w14:textId="77777777" w:rsidR="00CF336B" w:rsidRPr="001B4CA2" w:rsidRDefault="00CF336B" w:rsidP="00CF336B">
            <w:pPr>
              <w:jc w:val="center"/>
              <w:rPr>
                <w:sz w:val="14"/>
                <w:szCs w:val="14"/>
              </w:rPr>
            </w:pPr>
            <w:r w:rsidRPr="001B4CA2">
              <w:rPr>
                <w:rFonts w:cstheme="minorHAnsi"/>
                <w:color w:val="000000"/>
                <w:sz w:val="14"/>
                <w:szCs w:val="14"/>
              </w:rPr>
              <w:t>29</w:t>
            </w:r>
          </w:p>
        </w:tc>
        <w:tc>
          <w:tcPr>
            <w:tcW w:w="88" w:type="pct"/>
            <w:tcBorders>
              <w:top w:val="nil"/>
              <w:left w:val="nil"/>
              <w:bottom w:val="single" w:sz="4" w:space="0" w:color="auto"/>
              <w:right w:val="single" w:sz="4" w:space="0" w:color="auto"/>
            </w:tcBorders>
            <w:shd w:val="clear" w:color="auto" w:fill="auto"/>
            <w:noWrap/>
            <w:vAlign w:val="center"/>
          </w:tcPr>
          <w:p w14:paraId="0BC4451F"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039C676B"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22382D58"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603048A8" w14:textId="77777777" w:rsidR="00CF336B" w:rsidRPr="001B4CA2" w:rsidRDefault="00CF336B" w:rsidP="00CF336B">
            <w:pPr>
              <w:jc w:val="center"/>
              <w:rPr>
                <w:bCs/>
                <w:sz w:val="14"/>
                <w:szCs w:val="14"/>
              </w:rPr>
            </w:pPr>
            <w:r w:rsidRPr="001B4CA2">
              <w:rPr>
                <w:rFonts w:cstheme="minorHAnsi"/>
                <w:bCs/>
                <w:color w:val="000000"/>
                <w:sz w:val="14"/>
                <w:szCs w:val="14"/>
              </w:rPr>
              <w:t>1.167</w:t>
            </w:r>
          </w:p>
        </w:tc>
        <w:tc>
          <w:tcPr>
            <w:tcW w:w="193" w:type="pct"/>
            <w:tcBorders>
              <w:top w:val="nil"/>
              <w:left w:val="nil"/>
              <w:bottom w:val="single" w:sz="4" w:space="0" w:color="auto"/>
              <w:right w:val="single" w:sz="4" w:space="0" w:color="auto"/>
            </w:tcBorders>
            <w:shd w:val="clear" w:color="auto" w:fill="auto"/>
            <w:noWrap/>
            <w:vAlign w:val="center"/>
          </w:tcPr>
          <w:p w14:paraId="37603E02" w14:textId="77777777" w:rsidR="00CF336B" w:rsidRPr="001B4CA2" w:rsidRDefault="00CF336B" w:rsidP="00CF336B">
            <w:pPr>
              <w:jc w:val="center"/>
              <w:rPr>
                <w:bCs/>
                <w:sz w:val="14"/>
                <w:szCs w:val="14"/>
              </w:rPr>
            </w:pPr>
            <w:r w:rsidRPr="001B4CA2">
              <w:rPr>
                <w:rFonts w:cstheme="minorHAnsi"/>
                <w:bCs/>
                <w:color w:val="000000"/>
                <w:sz w:val="14"/>
                <w:szCs w:val="14"/>
              </w:rPr>
              <w:t>367</w:t>
            </w:r>
          </w:p>
        </w:tc>
        <w:tc>
          <w:tcPr>
            <w:tcW w:w="180" w:type="pct"/>
            <w:tcBorders>
              <w:top w:val="nil"/>
              <w:left w:val="nil"/>
              <w:bottom w:val="single" w:sz="4" w:space="0" w:color="auto"/>
              <w:right w:val="single" w:sz="4" w:space="0" w:color="auto"/>
            </w:tcBorders>
            <w:shd w:val="clear" w:color="auto" w:fill="auto"/>
            <w:vAlign w:val="center"/>
          </w:tcPr>
          <w:p w14:paraId="02379890"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29E48AE1" w14:textId="77777777" w:rsidR="00CF336B" w:rsidRPr="001B4CA2" w:rsidRDefault="00CF336B" w:rsidP="00CF336B">
            <w:pPr>
              <w:jc w:val="center"/>
              <w:rPr>
                <w:b/>
                <w:bCs/>
                <w:sz w:val="14"/>
                <w:szCs w:val="14"/>
              </w:rPr>
            </w:pPr>
            <w:r w:rsidRPr="001B4CA2">
              <w:rPr>
                <w:rFonts w:cstheme="minorHAnsi"/>
                <w:bCs/>
                <w:color w:val="000000"/>
                <w:sz w:val="14"/>
                <w:szCs w:val="14"/>
              </w:rPr>
              <w:t>12.606</w:t>
            </w:r>
          </w:p>
        </w:tc>
      </w:tr>
      <w:tr w:rsidR="00FB2B5D" w:rsidRPr="001B4CA2" w14:paraId="64600C04"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7700534B" w14:textId="77777777" w:rsidR="00CF336B" w:rsidRPr="001B4CA2" w:rsidRDefault="00CF336B" w:rsidP="00CF336B">
            <w:pPr>
              <w:ind w:left="34"/>
              <w:jc w:val="left"/>
              <w:rPr>
                <w:bCs/>
                <w:sz w:val="16"/>
                <w:szCs w:val="16"/>
              </w:rPr>
            </w:pPr>
            <w:r w:rsidRPr="001B4CA2">
              <w:rPr>
                <w:bCs/>
                <w:sz w:val="16"/>
                <w:szCs w:val="16"/>
              </w:rPr>
              <w:t>Ministarstvo turizma i sporta</w:t>
            </w:r>
          </w:p>
        </w:tc>
        <w:tc>
          <w:tcPr>
            <w:tcW w:w="223" w:type="pct"/>
            <w:tcBorders>
              <w:top w:val="nil"/>
              <w:left w:val="nil"/>
              <w:bottom w:val="single" w:sz="4" w:space="0" w:color="auto"/>
              <w:right w:val="single" w:sz="4" w:space="0" w:color="auto"/>
            </w:tcBorders>
            <w:shd w:val="clear" w:color="auto" w:fill="auto"/>
            <w:noWrap/>
            <w:vAlign w:val="center"/>
          </w:tcPr>
          <w:p w14:paraId="628860DA"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24F867BC"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68B05749"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50116A01"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471C8413" w14:textId="77777777" w:rsidR="00CF336B" w:rsidRPr="001B4CA2" w:rsidRDefault="00CF336B" w:rsidP="00CF336B">
            <w:pPr>
              <w:jc w:val="center"/>
              <w:rPr>
                <w:sz w:val="14"/>
                <w:szCs w:val="14"/>
              </w:rPr>
            </w:pPr>
          </w:p>
        </w:tc>
        <w:tc>
          <w:tcPr>
            <w:tcW w:w="177" w:type="pct"/>
            <w:tcBorders>
              <w:top w:val="nil"/>
              <w:left w:val="nil"/>
              <w:bottom w:val="single" w:sz="4" w:space="0" w:color="auto"/>
              <w:right w:val="single" w:sz="4" w:space="0" w:color="auto"/>
            </w:tcBorders>
            <w:shd w:val="clear" w:color="auto" w:fill="auto"/>
            <w:noWrap/>
            <w:vAlign w:val="center"/>
          </w:tcPr>
          <w:p w14:paraId="2C03B355"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250382F8"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12C43BB0"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0D328F61"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22" w:type="pct"/>
            <w:tcBorders>
              <w:top w:val="nil"/>
              <w:left w:val="nil"/>
              <w:bottom w:val="single" w:sz="4" w:space="0" w:color="auto"/>
              <w:right w:val="single" w:sz="4" w:space="0" w:color="auto"/>
            </w:tcBorders>
            <w:shd w:val="clear" w:color="auto" w:fill="auto"/>
            <w:noWrap/>
            <w:vAlign w:val="center"/>
          </w:tcPr>
          <w:p w14:paraId="67B337CE"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6170C32F"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3DFCCAC0"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25FAF813"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42" w:type="pct"/>
            <w:tcBorders>
              <w:top w:val="nil"/>
              <w:left w:val="nil"/>
              <w:bottom w:val="single" w:sz="4" w:space="0" w:color="auto"/>
              <w:right w:val="single" w:sz="4" w:space="0" w:color="auto"/>
            </w:tcBorders>
            <w:shd w:val="clear" w:color="auto" w:fill="auto"/>
            <w:noWrap/>
            <w:vAlign w:val="center"/>
          </w:tcPr>
          <w:p w14:paraId="280BBFF4"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65CFBF51"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6DEB71CC" w14:textId="77777777" w:rsidR="00CF336B" w:rsidRPr="001B4CA2" w:rsidRDefault="00CF336B" w:rsidP="00CF336B">
            <w:pPr>
              <w:jc w:val="center"/>
              <w:rPr>
                <w:sz w:val="14"/>
                <w:szCs w:val="14"/>
              </w:rPr>
            </w:pPr>
          </w:p>
        </w:tc>
        <w:tc>
          <w:tcPr>
            <w:tcW w:w="134" w:type="pct"/>
            <w:tcBorders>
              <w:top w:val="nil"/>
              <w:left w:val="nil"/>
              <w:bottom w:val="single" w:sz="4" w:space="0" w:color="auto"/>
              <w:right w:val="single" w:sz="4" w:space="0" w:color="auto"/>
            </w:tcBorders>
            <w:shd w:val="clear" w:color="auto" w:fill="auto"/>
            <w:noWrap/>
            <w:vAlign w:val="center"/>
          </w:tcPr>
          <w:p w14:paraId="7C79841C" w14:textId="77777777" w:rsidR="00CF336B" w:rsidRPr="001B4CA2" w:rsidRDefault="00CF336B" w:rsidP="00CF336B">
            <w:pPr>
              <w:jc w:val="center"/>
              <w:rPr>
                <w:sz w:val="14"/>
                <w:szCs w:val="14"/>
              </w:rPr>
            </w:pPr>
          </w:p>
        </w:tc>
        <w:tc>
          <w:tcPr>
            <w:tcW w:w="88" w:type="pct"/>
            <w:tcBorders>
              <w:top w:val="nil"/>
              <w:left w:val="nil"/>
              <w:bottom w:val="single" w:sz="4" w:space="0" w:color="auto"/>
              <w:right w:val="single" w:sz="4" w:space="0" w:color="auto"/>
            </w:tcBorders>
            <w:shd w:val="clear" w:color="auto" w:fill="auto"/>
            <w:noWrap/>
            <w:vAlign w:val="center"/>
          </w:tcPr>
          <w:p w14:paraId="5CCE20AE"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6AC88C73"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2AC0FE6E"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48ED961B" w14:textId="77777777" w:rsidR="00CF336B" w:rsidRPr="001B4CA2" w:rsidRDefault="00CF336B" w:rsidP="00CF336B">
            <w:pPr>
              <w:jc w:val="center"/>
              <w:rPr>
                <w:bCs/>
                <w:sz w:val="14"/>
                <w:szCs w:val="14"/>
              </w:rPr>
            </w:pPr>
            <w:r w:rsidRPr="001B4CA2">
              <w:rPr>
                <w:rFonts w:cstheme="minorHAnsi"/>
                <w:bCs/>
                <w:color w:val="000000"/>
                <w:sz w:val="14"/>
                <w:szCs w:val="14"/>
              </w:rPr>
              <w:t>2</w:t>
            </w:r>
          </w:p>
        </w:tc>
        <w:tc>
          <w:tcPr>
            <w:tcW w:w="193" w:type="pct"/>
            <w:tcBorders>
              <w:top w:val="nil"/>
              <w:left w:val="nil"/>
              <w:bottom w:val="single" w:sz="4" w:space="0" w:color="auto"/>
              <w:right w:val="single" w:sz="4" w:space="0" w:color="auto"/>
            </w:tcBorders>
            <w:shd w:val="clear" w:color="auto" w:fill="auto"/>
            <w:noWrap/>
            <w:vAlign w:val="center"/>
          </w:tcPr>
          <w:p w14:paraId="5DA462F9" w14:textId="77777777" w:rsidR="00CF336B" w:rsidRPr="001B4CA2" w:rsidRDefault="00CF336B" w:rsidP="00CF336B">
            <w:pPr>
              <w:jc w:val="center"/>
              <w:rPr>
                <w:bCs/>
                <w:sz w:val="14"/>
                <w:szCs w:val="14"/>
              </w:rPr>
            </w:pPr>
            <w:r w:rsidRPr="001B4CA2">
              <w:rPr>
                <w:rFonts w:cstheme="minorHAnsi"/>
                <w:bCs/>
                <w:color w:val="000000"/>
                <w:sz w:val="14"/>
                <w:szCs w:val="14"/>
              </w:rPr>
              <w:t>0</w:t>
            </w:r>
          </w:p>
        </w:tc>
        <w:tc>
          <w:tcPr>
            <w:tcW w:w="180" w:type="pct"/>
            <w:tcBorders>
              <w:top w:val="nil"/>
              <w:left w:val="nil"/>
              <w:bottom w:val="single" w:sz="4" w:space="0" w:color="auto"/>
              <w:right w:val="single" w:sz="4" w:space="0" w:color="auto"/>
            </w:tcBorders>
            <w:shd w:val="clear" w:color="auto" w:fill="auto"/>
            <w:vAlign w:val="center"/>
          </w:tcPr>
          <w:p w14:paraId="0675CA25"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6FD89F31" w14:textId="77777777" w:rsidR="00CF336B" w:rsidRPr="001B4CA2" w:rsidRDefault="00CF336B" w:rsidP="00CF336B">
            <w:pPr>
              <w:jc w:val="center"/>
              <w:rPr>
                <w:b/>
                <w:bCs/>
                <w:sz w:val="14"/>
                <w:szCs w:val="14"/>
              </w:rPr>
            </w:pPr>
          </w:p>
        </w:tc>
      </w:tr>
      <w:tr w:rsidR="00FB2B5D" w:rsidRPr="001B4CA2" w14:paraId="239D79C6"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53B9E0F9" w14:textId="77777777" w:rsidR="00CF336B" w:rsidRPr="001B4CA2" w:rsidRDefault="00CF336B" w:rsidP="00CF336B">
            <w:pPr>
              <w:ind w:left="34"/>
              <w:jc w:val="left"/>
              <w:rPr>
                <w:bCs/>
                <w:sz w:val="16"/>
                <w:szCs w:val="16"/>
              </w:rPr>
            </w:pPr>
            <w:r w:rsidRPr="001B4CA2">
              <w:rPr>
                <w:bCs/>
                <w:sz w:val="16"/>
                <w:szCs w:val="16"/>
              </w:rPr>
              <w:t xml:space="preserve">Ministarstvo znanosti i obrazovanja </w:t>
            </w:r>
          </w:p>
        </w:tc>
        <w:tc>
          <w:tcPr>
            <w:tcW w:w="223" w:type="pct"/>
            <w:tcBorders>
              <w:top w:val="nil"/>
              <w:left w:val="nil"/>
              <w:bottom w:val="single" w:sz="4" w:space="0" w:color="auto"/>
              <w:right w:val="single" w:sz="4" w:space="0" w:color="auto"/>
            </w:tcBorders>
            <w:shd w:val="clear" w:color="auto" w:fill="auto"/>
            <w:noWrap/>
            <w:vAlign w:val="center"/>
          </w:tcPr>
          <w:p w14:paraId="1CF8A366"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09A14BF6"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0BEBCFEC"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70944302"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02DB9F5D" w14:textId="77777777" w:rsidR="00CF336B" w:rsidRPr="001B4CA2" w:rsidRDefault="00CF336B" w:rsidP="00CF336B">
            <w:pPr>
              <w:jc w:val="center"/>
              <w:rPr>
                <w:sz w:val="14"/>
                <w:szCs w:val="14"/>
              </w:rPr>
            </w:pPr>
            <w:r w:rsidRPr="001B4CA2">
              <w:rPr>
                <w:rFonts w:cstheme="minorHAnsi"/>
                <w:color w:val="000000"/>
                <w:sz w:val="14"/>
                <w:szCs w:val="14"/>
              </w:rPr>
              <w:t>14</w:t>
            </w:r>
          </w:p>
        </w:tc>
        <w:tc>
          <w:tcPr>
            <w:tcW w:w="177" w:type="pct"/>
            <w:tcBorders>
              <w:top w:val="nil"/>
              <w:left w:val="nil"/>
              <w:bottom w:val="single" w:sz="4" w:space="0" w:color="auto"/>
              <w:right w:val="single" w:sz="4" w:space="0" w:color="auto"/>
            </w:tcBorders>
            <w:shd w:val="clear" w:color="auto" w:fill="auto"/>
            <w:noWrap/>
            <w:vAlign w:val="center"/>
          </w:tcPr>
          <w:p w14:paraId="3E7D5B2C"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6A1F7D27"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55112DAA"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0F11AD33" w14:textId="77777777" w:rsidR="00CF336B" w:rsidRPr="001B4CA2" w:rsidRDefault="00CF336B" w:rsidP="00CF336B">
            <w:pPr>
              <w:jc w:val="center"/>
              <w:rPr>
                <w:sz w:val="14"/>
                <w:szCs w:val="14"/>
              </w:rPr>
            </w:pPr>
            <w:r w:rsidRPr="001B4CA2">
              <w:rPr>
                <w:rFonts w:cstheme="minorHAnsi"/>
                <w:color w:val="000000"/>
                <w:sz w:val="14"/>
                <w:szCs w:val="14"/>
              </w:rPr>
              <w:t>3</w:t>
            </w:r>
          </w:p>
        </w:tc>
        <w:tc>
          <w:tcPr>
            <w:tcW w:w="122" w:type="pct"/>
            <w:tcBorders>
              <w:top w:val="nil"/>
              <w:left w:val="nil"/>
              <w:bottom w:val="single" w:sz="4" w:space="0" w:color="auto"/>
              <w:right w:val="single" w:sz="4" w:space="0" w:color="auto"/>
            </w:tcBorders>
            <w:shd w:val="clear" w:color="auto" w:fill="auto"/>
            <w:noWrap/>
            <w:vAlign w:val="center"/>
          </w:tcPr>
          <w:p w14:paraId="342E3A38"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6C7C5520"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78DAA435"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76DA818F"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42" w:type="pct"/>
            <w:tcBorders>
              <w:top w:val="nil"/>
              <w:left w:val="nil"/>
              <w:bottom w:val="single" w:sz="4" w:space="0" w:color="auto"/>
              <w:right w:val="single" w:sz="4" w:space="0" w:color="auto"/>
            </w:tcBorders>
            <w:shd w:val="clear" w:color="auto" w:fill="auto"/>
            <w:noWrap/>
            <w:vAlign w:val="center"/>
          </w:tcPr>
          <w:p w14:paraId="37A931FA"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70EF145E"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1EED3E1B" w14:textId="77777777" w:rsidR="00CF336B" w:rsidRPr="001B4CA2" w:rsidRDefault="00CF336B" w:rsidP="00CF336B">
            <w:pPr>
              <w:jc w:val="center"/>
              <w:rPr>
                <w:sz w:val="14"/>
                <w:szCs w:val="14"/>
              </w:rPr>
            </w:pPr>
          </w:p>
        </w:tc>
        <w:tc>
          <w:tcPr>
            <w:tcW w:w="134" w:type="pct"/>
            <w:tcBorders>
              <w:top w:val="nil"/>
              <w:left w:val="nil"/>
              <w:bottom w:val="single" w:sz="4" w:space="0" w:color="auto"/>
              <w:right w:val="single" w:sz="4" w:space="0" w:color="auto"/>
            </w:tcBorders>
            <w:shd w:val="clear" w:color="auto" w:fill="auto"/>
            <w:noWrap/>
            <w:vAlign w:val="center"/>
          </w:tcPr>
          <w:p w14:paraId="0E745147" w14:textId="77777777" w:rsidR="00CF336B" w:rsidRPr="001B4CA2" w:rsidRDefault="00CF336B" w:rsidP="00CF336B">
            <w:pPr>
              <w:jc w:val="center"/>
              <w:rPr>
                <w:sz w:val="14"/>
                <w:szCs w:val="14"/>
              </w:rPr>
            </w:pPr>
          </w:p>
        </w:tc>
        <w:tc>
          <w:tcPr>
            <w:tcW w:w="88" w:type="pct"/>
            <w:tcBorders>
              <w:top w:val="nil"/>
              <w:left w:val="nil"/>
              <w:bottom w:val="single" w:sz="4" w:space="0" w:color="auto"/>
              <w:right w:val="single" w:sz="4" w:space="0" w:color="auto"/>
            </w:tcBorders>
            <w:shd w:val="clear" w:color="auto" w:fill="auto"/>
            <w:noWrap/>
            <w:vAlign w:val="center"/>
          </w:tcPr>
          <w:p w14:paraId="1F5EBE80"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10BF06B3"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0B70BE79"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7F47D955" w14:textId="77777777" w:rsidR="00CF336B" w:rsidRPr="001B4CA2" w:rsidRDefault="00CF336B" w:rsidP="00CF336B">
            <w:pPr>
              <w:jc w:val="center"/>
              <w:rPr>
                <w:bCs/>
                <w:sz w:val="14"/>
                <w:szCs w:val="14"/>
              </w:rPr>
            </w:pPr>
            <w:r w:rsidRPr="001B4CA2">
              <w:rPr>
                <w:rFonts w:cstheme="minorHAnsi"/>
                <w:bCs/>
                <w:color w:val="000000"/>
                <w:sz w:val="14"/>
                <w:szCs w:val="14"/>
              </w:rPr>
              <w:t>18</w:t>
            </w:r>
          </w:p>
        </w:tc>
        <w:tc>
          <w:tcPr>
            <w:tcW w:w="193" w:type="pct"/>
            <w:tcBorders>
              <w:top w:val="nil"/>
              <w:left w:val="nil"/>
              <w:bottom w:val="single" w:sz="4" w:space="0" w:color="auto"/>
              <w:right w:val="single" w:sz="4" w:space="0" w:color="auto"/>
            </w:tcBorders>
            <w:shd w:val="clear" w:color="auto" w:fill="auto"/>
            <w:noWrap/>
            <w:vAlign w:val="center"/>
          </w:tcPr>
          <w:p w14:paraId="0269869F" w14:textId="77777777" w:rsidR="00CF336B" w:rsidRPr="001B4CA2" w:rsidRDefault="00CF336B" w:rsidP="00CF336B">
            <w:pPr>
              <w:jc w:val="center"/>
              <w:rPr>
                <w:bCs/>
                <w:sz w:val="14"/>
                <w:szCs w:val="14"/>
              </w:rPr>
            </w:pPr>
            <w:r w:rsidRPr="001B4CA2">
              <w:rPr>
                <w:rFonts w:cstheme="minorHAnsi"/>
                <w:bCs/>
                <w:color w:val="000000"/>
                <w:sz w:val="14"/>
                <w:szCs w:val="14"/>
              </w:rPr>
              <w:t>0</w:t>
            </w:r>
          </w:p>
        </w:tc>
        <w:tc>
          <w:tcPr>
            <w:tcW w:w="180" w:type="pct"/>
            <w:tcBorders>
              <w:top w:val="nil"/>
              <w:left w:val="nil"/>
              <w:bottom w:val="single" w:sz="4" w:space="0" w:color="auto"/>
              <w:right w:val="single" w:sz="4" w:space="0" w:color="auto"/>
            </w:tcBorders>
            <w:shd w:val="clear" w:color="auto" w:fill="auto"/>
            <w:vAlign w:val="center"/>
          </w:tcPr>
          <w:p w14:paraId="255E353D"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2A2D36D6" w14:textId="77777777" w:rsidR="00CF336B" w:rsidRPr="001B4CA2" w:rsidRDefault="00CF336B" w:rsidP="00CF336B">
            <w:pPr>
              <w:jc w:val="center"/>
              <w:rPr>
                <w:b/>
                <w:bCs/>
                <w:sz w:val="14"/>
                <w:szCs w:val="14"/>
              </w:rPr>
            </w:pPr>
          </w:p>
        </w:tc>
      </w:tr>
      <w:tr w:rsidR="00FB2B5D" w:rsidRPr="001B4CA2" w14:paraId="7BA30400"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6B556616" w14:textId="77777777" w:rsidR="00CF336B" w:rsidRPr="001B4CA2" w:rsidRDefault="00CF336B" w:rsidP="00CF336B">
            <w:pPr>
              <w:ind w:left="34"/>
              <w:jc w:val="left"/>
              <w:rPr>
                <w:bCs/>
                <w:sz w:val="16"/>
                <w:szCs w:val="16"/>
              </w:rPr>
            </w:pPr>
            <w:r w:rsidRPr="001B4CA2">
              <w:rPr>
                <w:bCs/>
                <w:sz w:val="16"/>
                <w:szCs w:val="16"/>
              </w:rPr>
              <w:t>Ministarstvo kulture i medija</w:t>
            </w:r>
          </w:p>
        </w:tc>
        <w:tc>
          <w:tcPr>
            <w:tcW w:w="223" w:type="pct"/>
            <w:tcBorders>
              <w:top w:val="nil"/>
              <w:left w:val="nil"/>
              <w:bottom w:val="single" w:sz="4" w:space="0" w:color="auto"/>
              <w:right w:val="single" w:sz="4" w:space="0" w:color="auto"/>
            </w:tcBorders>
            <w:shd w:val="clear" w:color="auto" w:fill="auto"/>
            <w:noWrap/>
            <w:vAlign w:val="center"/>
          </w:tcPr>
          <w:p w14:paraId="463A4CEF"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45A638E0"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14E0D13B"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0FC76E79"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70E5C79C" w14:textId="77777777" w:rsidR="00CF336B" w:rsidRPr="001B4CA2" w:rsidRDefault="00CF336B" w:rsidP="00CF336B">
            <w:pPr>
              <w:jc w:val="center"/>
              <w:rPr>
                <w:sz w:val="14"/>
                <w:szCs w:val="14"/>
              </w:rPr>
            </w:pPr>
            <w:r w:rsidRPr="001B4CA2">
              <w:rPr>
                <w:rFonts w:cstheme="minorHAnsi"/>
                <w:color w:val="000000"/>
                <w:sz w:val="14"/>
                <w:szCs w:val="14"/>
              </w:rPr>
              <w:t>1</w:t>
            </w:r>
          </w:p>
        </w:tc>
        <w:tc>
          <w:tcPr>
            <w:tcW w:w="177" w:type="pct"/>
            <w:tcBorders>
              <w:top w:val="nil"/>
              <w:left w:val="nil"/>
              <w:bottom w:val="single" w:sz="4" w:space="0" w:color="auto"/>
              <w:right w:val="single" w:sz="4" w:space="0" w:color="auto"/>
            </w:tcBorders>
            <w:shd w:val="clear" w:color="auto" w:fill="auto"/>
            <w:noWrap/>
            <w:vAlign w:val="center"/>
          </w:tcPr>
          <w:p w14:paraId="3A279998"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1C3C21AE"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49E4D24C"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6A648F63"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22" w:type="pct"/>
            <w:tcBorders>
              <w:top w:val="nil"/>
              <w:left w:val="nil"/>
              <w:bottom w:val="single" w:sz="4" w:space="0" w:color="auto"/>
              <w:right w:val="single" w:sz="4" w:space="0" w:color="auto"/>
            </w:tcBorders>
            <w:shd w:val="clear" w:color="auto" w:fill="auto"/>
            <w:noWrap/>
            <w:vAlign w:val="center"/>
          </w:tcPr>
          <w:p w14:paraId="2EDDCABE"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0DB7A595"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5957EE57"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1D5F55B3"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6D67828D"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370842D9"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52F960C3" w14:textId="77777777" w:rsidR="00CF336B" w:rsidRPr="001B4CA2" w:rsidRDefault="00CF336B" w:rsidP="00CF336B">
            <w:pPr>
              <w:jc w:val="center"/>
              <w:rPr>
                <w:sz w:val="14"/>
                <w:szCs w:val="14"/>
              </w:rPr>
            </w:pPr>
          </w:p>
        </w:tc>
        <w:tc>
          <w:tcPr>
            <w:tcW w:w="134" w:type="pct"/>
            <w:tcBorders>
              <w:top w:val="nil"/>
              <w:left w:val="nil"/>
              <w:bottom w:val="single" w:sz="4" w:space="0" w:color="auto"/>
              <w:right w:val="single" w:sz="4" w:space="0" w:color="auto"/>
            </w:tcBorders>
            <w:shd w:val="clear" w:color="auto" w:fill="auto"/>
            <w:noWrap/>
            <w:vAlign w:val="center"/>
          </w:tcPr>
          <w:p w14:paraId="44020230" w14:textId="77777777" w:rsidR="00CF336B" w:rsidRPr="001B4CA2" w:rsidRDefault="00CF336B" w:rsidP="00CF336B">
            <w:pPr>
              <w:jc w:val="center"/>
              <w:rPr>
                <w:sz w:val="14"/>
                <w:szCs w:val="14"/>
              </w:rPr>
            </w:pPr>
          </w:p>
        </w:tc>
        <w:tc>
          <w:tcPr>
            <w:tcW w:w="88" w:type="pct"/>
            <w:tcBorders>
              <w:top w:val="nil"/>
              <w:left w:val="nil"/>
              <w:bottom w:val="single" w:sz="4" w:space="0" w:color="auto"/>
              <w:right w:val="single" w:sz="4" w:space="0" w:color="auto"/>
            </w:tcBorders>
            <w:shd w:val="clear" w:color="auto" w:fill="auto"/>
            <w:noWrap/>
            <w:vAlign w:val="center"/>
          </w:tcPr>
          <w:p w14:paraId="1C1AD41D"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4C482CDC"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07EDC2FA"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475D9622" w14:textId="77777777" w:rsidR="00CF336B" w:rsidRPr="001B4CA2" w:rsidRDefault="00CF336B" w:rsidP="00CF336B">
            <w:pPr>
              <w:jc w:val="center"/>
              <w:rPr>
                <w:bCs/>
                <w:sz w:val="14"/>
                <w:szCs w:val="14"/>
              </w:rPr>
            </w:pPr>
            <w:r w:rsidRPr="001B4CA2">
              <w:rPr>
                <w:rFonts w:cstheme="minorHAnsi"/>
                <w:bCs/>
                <w:color w:val="000000"/>
                <w:sz w:val="14"/>
                <w:szCs w:val="14"/>
              </w:rPr>
              <w:t>3</w:t>
            </w:r>
          </w:p>
        </w:tc>
        <w:tc>
          <w:tcPr>
            <w:tcW w:w="193" w:type="pct"/>
            <w:tcBorders>
              <w:top w:val="nil"/>
              <w:left w:val="nil"/>
              <w:bottom w:val="single" w:sz="4" w:space="0" w:color="auto"/>
              <w:right w:val="single" w:sz="4" w:space="0" w:color="auto"/>
            </w:tcBorders>
            <w:shd w:val="clear" w:color="auto" w:fill="auto"/>
            <w:noWrap/>
            <w:vAlign w:val="center"/>
          </w:tcPr>
          <w:p w14:paraId="6C5581B9" w14:textId="77777777" w:rsidR="00CF336B" w:rsidRPr="001B4CA2" w:rsidRDefault="00CF336B" w:rsidP="00CF336B">
            <w:pPr>
              <w:jc w:val="center"/>
              <w:rPr>
                <w:bCs/>
                <w:sz w:val="14"/>
                <w:szCs w:val="14"/>
              </w:rPr>
            </w:pPr>
            <w:r w:rsidRPr="001B4CA2">
              <w:rPr>
                <w:rFonts w:cstheme="minorHAnsi"/>
                <w:bCs/>
                <w:color w:val="000000"/>
                <w:sz w:val="14"/>
                <w:szCs w:val="14"/>
              </w:rPr>
              <w:t>0</w:t>
            </w:r>
          </w:p>
        </w:tc>
        <w:tc>
          <w:tcPr>
            <w:tcW w:w="180" w:type="pct"/>
            <w:tcBorders>
              <w:top w:val="nil"/>
              <w:left w:val="nil"/>
              <w:bottom w:val="single" w:sz="4" w:space="0" w:color="auto"/>
              <w:right w:val="single" w:sz="4" w:space="0" w:color="auto"/>
            </w:tcBorders>
            <w:shd w:val="clear" w:color="auto" w:fill="auto"/>
            <w:vAlign w:val="center"/>
          </w:tcPr>
          <w:p w14:paraId="275E7B36"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6EA99AC2" w14:textId="77777777" w:rsidR="00CF336B" w:rsidRPr="001B4CA2" w:rsidRDefault="00CF336B" w:rsidP="00CF336B">
            <w:pPr>
              <w:jc w:val="center"/>
              <w:rPr>
                <w:b/>
                <w:bCs/>
                <w:sz w:val="14"/>
                <w:szCs w:val="14"/>
              </w:rPr>
            </w:pPr>
          </w:p>
        </w:tc>
      </w:tr>
      <w:tr w:rsidR="00FB2B5D" w:rsidRPr="001B4CA2" w14:paraId="53A9DB45"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37DD7A33" w14:textId="77777777" w:rsidR="00CF336B" w:rsidRPr="001B4CA2" w:rsidRDefault="00CF336B" w:rsidP="00CF336B">
            <w:pPr>
              <w:ind w:left="34"/>
              <w:jc w:val="left"/>
              <w:rPr>
                <w:bCs/>
                <w:sz w:val="16"/>
                <w:szCs w:val="16"/>
              </w:rPr>
            </w:pPr>
            <w:r w:rsidRPr="001B4CA2">
              <w:rPr>
                <w:bCs/>
                <w:sz w:val="16"/>
                <w:szCs w:val="16"/>
              </w:rPr>
              <w:t xml:space="preserve">Središnji državni ured za obnovu i stambeno zbrinjavanje </w:t>
            </w:r>
          </w:p>
        </w:tc>
        <w:tc>
          <w:tcPr>
            <w:tcW w:w="223" w:type="pct"/>
            <w:tcBorders>
              <w:top w:val="nil"/>
              <w:left w:val="nil"/>
              <w:bottom w:val="single" w:sz="4" w:space="0" w:color="auto"/>
              <w:right w:val="single" w:sz="4" w:space="0" w:color="auto"/>
            </w:tcBorders>
            <w:shd w:val="clear" w:color="auto" w:fill="auto"/>
            <w:noWrap/>
            <w:vAlign w:val="center"/>
          </w:tcPr>
          <w:p w14:paraId="46A5B64B" w14:textId="77777777" w:rsidR="00CF336B" w:rsidRPr="001B4CA2" w:rsidRDefault="00CF336B" w:rsidP="00CF336B">
            <w:pPr>
              <w:jc w:val="center"/>
              <w:rPr>
                <w:sz w:val="14"/>
                <w:szCs w:val="14"/>
              </w:rPr>
            </w:pPr>
            <w:r w:rsidRPr="001B4CA2">
              <w:rPr>
                <w:rFonts w:cstheme="minorHAnsi"/>
                <w:color w:val="000000"/>
                <w:sz w:val="14"/>
                <w:szCs w:val="14"/>
              </w:rPr>
              <w:t>11</w:t>
            </w:r>
          </w:p>
        </w:tc>
        <w:tc>
          <w:tcPr>
            <w:tcW w:w="179" w:type="pct"/>
            <w:tcBorders>
              <w:top w:val="nil"/>
              <w:left w:val="nil"/>
              <w:bottom w:val="single" w:sz="4" w:space="0" w:color="auto"/>
              <w:right w:val="single" w:sz="4" w:space="0" w:color="auto"/>
            </w:tcBorders>
            <w:shd w:val="clear" w:color="auto" w:fill="auto"/>
            <w:noWrap/>
            <w:vAlign w:val="center"/>
          </w:tcPr>
          <w:p w14:paraId="5E4F24D3"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1D449ABB"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6BF0B6DF"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0CA47908" w14:textId="77777777" w:rsidR="00CF336B" w:rsidRPr="001B4CA2" w:rsidRDefault="00CF336B" w:rsidP="00CF336B">
            <w:pPr>
              <w:jc w:val="center"/>
              <w:rPr>
                <w:sz w:val="14"/>
                <w:szCs w:val="14"/>
              </w:rPr>
            </w:pPr>
            <w:r w:rsidRPr="001B4CA2">
              <w:rPr>
                <w:rFonts w:cstheme="minorHAnsi"/>
                <w:color w:val="000000"/>
                <w:sz w:val="14"/>
                <w:szCs w:val="14"/>
              </w:rPr>
              <w:t>278</w:t>
            </w:r>
          </w:p>
        </w:tc>
        <w:tc>
          <w:tcPr>
            <w:tcW w:w="177" w:type="pct"/>
            <w:tcBorders>
              <w:top w:val="nil"/>
              <w:left w:val="nil"/>
              <w:bottom w:val="single" w:sz="4" w:space="0" w:color="auto"/>
              <w:right w:val="single" w:sz="4" w:space="0" w:color="auto"/>
            </w:tcBorders>
            <w:shd w:val="clear" w:color="auto" w:fill="auto"/>
            <w:noWrap/>
            <w:vAlign w:val="center"/>
          </w:tcPr>
          <w:p w14:paraId="1CC3F0AA" w14:textId="77777777" w:rsidR="00CF336B" w:rsidRPr="001B4CA2" w:rsidRDefault="00CF336B" w:rsidP="00CF336B">
            <w:pPr>
              <w:jc w:val="center"/>
              <w:rPr>
                <w:sz w:val="14"/>
                <w:szCs w:val="14"/>
              </w:rPr>
            </w:pPr>
            <w:r w:rsidRPr="001B4CA2">
              <w:rPr>
                <w:rFonts w:cstheme="minorHAnsi"/>
                <w:color w:val="000000"/>
                <w:sz w:val="14"/>
                <w:szCs w:val="14"/>
              </w:rPr>
              <w:t>222</w:t>
            </w:r>
          </w:p>
        </w:tc>
        <w:tc>
          <w:tcPr>
            <w:tcW w:w="182" w:type="pct"/>
            <w:tcBorders>
              <w:top w:val="nil"/>
              <w:left w:val="nil"/>
              <w:bottom w:val="single" w:sz="4" w:space="0" w:color="auto"/>
              <w:right w:val="single" w:sz="4" w:space="0" w:color="auto"/>
            </w:tcBorders>
            <w:shd w:val="clear" w:color="auto" w:fill="auto"/>
            <w:noWrap/>
            <w:vAlign w:val="center"/>
          </w:tcPr>
          <w:p w14:paraId="23F46B8C"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72CE9FC4" w14:textId="77777777" w:rsidR="00CF336B" w:rsidRPr="001B4CA2" w:rsidRDefault="00CF336B" w:rsidP="00CF336B">
            <w:pPr>
              <w:jc w:val="center"/>
              <w:rPr>
                <w:sz w:val="14"/>
                <w:szCs w:val="14"/>
              </w:rPr>
            </w:pPr>
            <w:r w:rsidRPr="001B4CA2">
              <w:rPr>
                <w:rFonts w:eastAsia="Times New Roman" w:cstheme="minorHAnsi"/>
                <w:color w:val="000000"/>
                <w:sz w:val="14"/>
                <w:szCs w:val="14"/>
                <w:lang w:eastAsia="hr-HR"/>
              </w:rPr>
              <w:t>275</w:t>
            </w:r>
          </w:p>
        </w:tc>
        <w:tc>
          <w:tcPr>
            <w:tcW w:w="142" w:type="pct"/>
            <w:tcBorders>
              <w:top w:val="nil"/>
              <w:left w:val="nil"/>
              <w:bottom w:val="single" w:sz="4" w:space="0" w:color="auto"/>
              <w:right w:val="single" w:sz="4" w:space="0" w:color="auto"/>
            </w:tcBorders>
            <w:shd w:val="clear" w:color="auto" w:fill="auto"/>
            <w:noWrap/>
            <w:vAlign w:val="center"/>
          </w:tcPr>
          <w:p w14:paraId="7BD40E19"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22" w:type="pct"/>
            <w:tcBorders>
              <w:top w:val="nil"/>
              <w:left w:val="nil"/>
              <w:bottom w:val="single" w:sz="4" w:space="0" w:color="auto"/>
              <w:right w:val="single" w:sz="4" w:space="0" w:color="auto"/>
            </w:tcBorders>
            <w:shd w:val="clear" w:color="auto" w:fill="auto"/>
            <w:noWrap/>
            <w:vAlign w:val="center"/>
          </w:tcPr>
          <w:p w14:paraId="112DC481"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23D8403D"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3A25208E"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3D5EAA7F"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73BFABD7"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1B3051EA"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27C34CC2" w14:textId="77777777" w:rsidR="00CF336B" w:rsidRPr="001B4CA2" w:rsidRDefault="00CF336B" w:rsidP="00CF336B">
            <w:pPr>
              <w:jc w:val="center"/>
              <w:rPr>
                <w:sz w:val="14"/>
                <w:szCs w:val="14"/>
              </w:rPr>
            </w:pPr>
          </w:p>
        </w:tc>
        <w:tc>
          <w:tcPr>
            <w:tcW w:w="134" w:type="pct"/>
            <w:tcBorders>
              <w:top w:val="nil"/>
              <w:left w:val="nil"/>
              <w:bottom w:val="single" w:sz="4" w:space="0" w:color="auto"/>
              <w:right w:val="single" w:sz="4" w:space="0" w:color="auto"/>
            </w:tcBorders>
            <w:shd w:val="clear" w:color="auto" w:fill="auto"/>
            <w:noWrap/>
            <w:vAlign w:val="center"/>
          </w:tcPr>
          <w:p w14:paraId="0A6484A6" w14:textId="77777777" w:rsidR="00CF336B" w:rsidRPr="001B4CA2" w:rsidRDefault="00CF336B" w:rsidP="00CF336B">
            <w:pPr>
              <w:jc w:val="center"/>
              <w:rPr>
                <w:sz w:val="14"/>
                <w:szCs w:val="14"/>
              </w:rPr>
            </w:pPr>
            <w:r w:rsidRPr="001B4CA2">
              <w:rPr>
                <w:rFonts w:cstheme="minorHAnsi"/>
                <w:color w:val="000000"/>
                <w:sz w:val="14"/>
                <w:szCs w:val="14"/>
              </w:rPr>
              <w:t>2</w:t>
            </w:r>
          </w:p>
        </w:tc>
        <w:tc>
          <w:tcPr>
            <w:tcW w:w="88" w:type="pct"/>
            <w:tcBorders>
              <w:top w:val="nil"/>
              <w:left w:val="nil"/>
              <w:bottom w:val="single" w:sz="4" w:space="0" w:color="auto"/>
              <w:right w:val="single" w:sz="4" w:space="0" w:color="auto"/>
            </w:tcBorders>
            <w:shd w:val="clear" w:color="auto" w:fill="auto"/>
            <w:noWrap/>
            <w:vAlign w:val="center"/>
          </w:tcPr>
          <w:p w14:paraId="4D41836F"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655C1CD4"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19CAD340"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1516F6C0" w14:textId="77777777" w:rsidR="00CF336B" w:rsidRPr="001B4CA2" w:rsidRDefault="00CF336B" w:rsidP="00CF336B">
            <w:pPr>
              <w:jc w:val="center"/>
              <w:rPr>
                <w:bCs/>
                <w:sz w:val="14"/>
                <w:szCs w:val="14"/>
              </w:rPr>
            </w:pPr>
            <w:r w:rsidRPr="001B4CA2">
              <w:rPr>
                <w:rFonts w:cstheme="minorHAnsi"/>
                <w:bCs/>
                <w:color w:val="000000"/>
                <w:sz w:val="14"/>
                <w:szCs w:val="14"/>
              </w:rPr>
              <w:t>293</w:t>
            </w:r>
          </w:p>
        </w:tc>
        <w:tc>
          <w:tcPr>
            <w:tcW w:w="193" w:type="pct"/>
            <w:tcBorders>
              <w:top w:val="nil"/>
              <w:left w:val="nil"/>
              <w:bottom w:val="single" w:sz="4" w:space="0" w:color="auto"/>
              <w:right w:val="single" w:sz="4" w:space="0" w:color="auto"/>
            </w:tcBorders>
            <w:shd w:val="clear" w:color="auto" w:fill="auto"/>
            <w:noWrap/>
            <w:vAlign w:val="center"/>
          </w:tcPr>
          <w:p w14:paraId="2D04D594" w14:textId="77777777" w:rsidR="00CF336B" w:rsidRPr="001B4CA2" w:rsidRDefault="00CF336B" w:rsidP="00CF336B">
            <w:pPr>
              <w:jc w:val="center"/>
              <w:rPr>
                <w:bCs/>
                <w:sz w:val="14"/>
                <w:szCs w:val="14"/>
              </w:rPr>
            </w:pPr>
            <w:r w:rsidRPr="001B4CA2">
              <w:rPr>
                <w:rFonts w:cstheme="minorHAnsi"/>
                <w:bCs/>
                <w:color w:val="000000"/>
                <w:sz w:val="14"/>
                <w:szCs w:val="14"/>
              </w:rPr>
              <w:t>222</w:t>
            </w:r>
          </w:p>
        </w:tc>
        <w:tc>
          <w:tcPr>
            <w:tcW w:w="180" w:type="pct"/>
            <w:tcBorders>
              <w:top w:val="nil"/>
              <w:left w:val="nil"/>
              <w:bottom w:val="single" w:sz="4" w:space="0" w:color="auto"/>
              <w:right w:val="single" w:sz="4" w:space="0" w:color="auto"/>
            </w:tcBorders>
            <w:shd w:val="clear" w:color="auto" w:fill="auto"/>
            <w:vAlign w:val="center"/>
          </w:tcPr>
          <w:p w14:paraId="2D826097"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7DC041D1" w14:textId="77777777" w:rsidR="00CF336B" w:rsidRPr="001B4CA2" w:rsidRDefault="00CF336B" w:rsidP="00CF336B">
            <w:pPr>
              <w:jc w:val="center"/>
              <w:rPr>
                <w:b/>
                <w:bCs/>
                <w:sz w:val="14"/>
                <w:szCs w:val="14"/>
              </w:rPr>
            </w:pPr>
            <w:r w:rsidRPr="001B4CA2">
              <w:rPr>
                <w:rFonts w:cstheme="minorHAnsi"/>
                <w:bCs/>
                <w:color w:val="000000"/>
                <w:sz w:val="14"/>
                <w:szCs w:val="14"/>
              </w:rPr>
              <w:t>275</w:t>
            </w:r>
          </w:p>
        </w:tc>
      </w:tr>
      <w:tr w:rsidR="00FB2B5D" w:rsidRPr="001B4CA2" w14:paraId="382CD30B"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364DD915" w14:textId="77777777" w:rsidR="00CF336B" w:rsidRPr="001B4CA2" w:rsidRDefault="00CF336B" w:rsidP="00CF336B">
            <w:pPr>
              <w:ind w:left="34"/>
              <w:jc w:val="left"/>
              <w:rPr>
                <w:bCs/>
                <w:sz w:val="16"/>
                <w:szCs w:val="16"/>
              </w:rPr>
            </w:pPr>
            <w:r w:rsidRPr="001B4CA2">
              <w:rPr>
                <w:bCs/>
                <w:sz w:val="16"/>
                <w:szCs w:val="16"/>
              </w:rPr>
              <w:t>Državne nekretnine d.o.o.</w:t>
            </w:r>
          </w:p>
        </w:tc>
        <w:tc>
          <w:tcPr>
            <w:tcW w:w="223" w:type="pct"/>
            <w:tcBorders>
              <w:top w:val="nil"/>
              <w:left w:val="nil"/>
              <w:bottom w:val="single" w:sz="4" w:space="0" w:color="auto"/>
              <w:right w:val="single" w:sz="4" w:space="0" w:color="auto"/>
            </w:tcBorders>
            <w:shd w:val="clear" w:color="auto" w:fill="auto"/>
            <w:noWrap/>
            <w:vAlign w:val="center"/>
          </w:tcPr>
          <w:p w14:paraId="638DCD7F" w14:textId="77777777" w:rsidR="00CF336B" w:rsidRPr="001B4CA2" w:rsidRDefault="00CF336B" w:rsidP="00CF336B">
            <w:pPr>
              <w:jc w:val="center"/>
              <w:rPr>
                <w:sz w:val="14"/>
                <w:szCs w:val="14"/>
              </w:rPr>
            </w:pPr>
            <w:r w:rsidRPr="001B4CA2">
              <w:rPr>
                <w:rFonts w:cstheme="minorHAnsi"/>
                <w:color w:val="000000"/>
                <w:sz w:val="14"/>
                <w:szCs w:val="14"/>
              </w:rPr>
              <w:t>3</w:t>
            </w:r>
          </w:p>
        </w:tc>
        <w:tc>
          <w:tcPr>
            <w:tcW w:w="179" w:type="pct"/>
            <w:tcBorders>
              <w:top w:val="nil"/>
              <w:left w:val="nil"/>
              <w:bottom w:val="single" w:sz="4" w:space="0" w:color="auto"/>
              <w:right w:val="single" w:sz="4" w:space="0" w:color="auto"/>
            </w:tcBorders>
            <w:shd w:val="clear" w:color="auto" w:fill="auto"/>
            <w:noWrap/>
            <w:vAlign w:val="center"/>
          </w:tcPr>
          <w:p w14:paraId="52117D4B"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04007F44"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221EFF17"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1A2CCF5A" w14:textId="77777777" w:rsidR="00CF336B" w:rsidRPr="001B4CA2" w:rsidRDefault="00CF336B" w:rsidP="00CF336B">
            <w:pPr>
              <w:jc w:val="center"/>
              <w:rPr>
                <w:sz w:val="14"/>
                <w:szCs w:val="14"/>
              </w:rPr>
            </w:pPr>
            <w:r w:rsidRPr="001B4CA2">
              <w:rPr>
                <w:rFonts w:cstheme="minorHAnsi"/>
                <w:color w:val="000000"/>
                <w:sz w:val="14"/>
                <w:szCs w:val="14"/>
              </w:rPr>
              <w:t>18</w:t>
            </w:r>
          </w:p>
        </w:tc>
        <w:tc>
          <w:tcPr>
            <w:tcW w:w="177" w:type="pct"/>
            <w:tcBorders>
              <w:top w:val="nil"/>
              <w:left w:val="nil"/>
              <w:bottom w:val="single" w:sz="4" w:space="0" w:color="auto"/>
              <w:right w:val="single" w:sz="4" w:space="0" w:color="auto"/>
            </w:tcBorders>
            <w:shd w:val="clear" w:color="auto" w:fill="auto"/>
            <w:noWrap/>
            <w:vAlign w:val="center"/>
          </w:tcPr>
          <w:p w14:paraId="441B79CD"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6D1C7999"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7871D166"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417B28C5"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22" w:type="pct"/>
            <w:tcBorders>
              <w:top w:val="nil"/>
              <w:left w:val="nil"/>
              <w:bottom w:val="single" w:sz="4" w:space="0" w:color="auto"/>
              <w:right w:val="single" w:sz="4" w:space="0" w:color="auto"/>
            </w:tcBorders>
            <w:shd w:val="clear" w:color="auto" w:fill="auto"/>
            <w:noWrap/>
            <w:vAlign w:val="center"/>
          </w:tcPr>
          <w:p w14:paraId="2CD7EB01"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725F4C3E"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4CFCE048"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1C350A71" w14:textId="77777777" w:rsidR="00CF336B" w:rsidRPr="001B4CA2" w:rsidRDefault="00CF336B" w:rsidP="00CF336B">
            <w:pPr>
              <w:jc w:val="center"/>
              <w:rPr>
                <w:sz w:val="14"/>
                <w:szCs w:val="14"/>
              </w:rPr>
            </w:pPr>
          </w:p>
        </w:tc>
        <w:tc>
          <w:tcPr>
            <w:tcW w:w="142" w:type="pct"/>
            <w:tcBorders>
              <w:top w:val="nil"/>
              <w:left w:val="nil"/>
              <w:bottom w:val="single" w:sz="4" w:space="0" w:color="auto"/>
              <w:right w:val="single" w:sz="4" w:space="0" w:color="auto"/>
            </w:tcBorders>
            <w:shd w:val="clear" w:color="auto" w:fill="auto"/>
            <w:noWrap/>
            <w:vAlign w:val="center"/>
          </w:tcPr>
          <w:p w14:paraId="39DE5430"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215085B0"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29257905" w14:textId="77777777" w:rsidR="00CF336B" w:rsidRPr="001B4CA2" w:rsidRDefault="00CF336B" w:rsidP="00CF336B">
            <w:pPr>
              <w:jc w:val="center"/>
              <w:rPr>
                <w:sz w:val="14"/>
                <w:szCs w:val="14"/>
              </w:rPr>
            </w:pPr>
          </w:p>
        </w:tc>
        <w:tc>
          <w:tcPr>
            <w:tcW w:w="134" w:type="pct"/>
            <w:tcBorders>
              <w:top w:val="nil"/>
              <w:left w:val="nil"/>
              <w:bottom w:val="single" w:sz="4" w:space="0" w:color="auto"/>
              <w:right w:val="single" w:sz="4" w:space="0" w:color="auto"/>
            </w:tcBorders>
            <w:shd w:val="clear" w:color="auto" w:fill="auto"/>
            <w:noWrap/>
            <w:vAlign w:val="center"/>
          </w:tcPr>
          <w:p w14:paraId="1DA0849E" w14:textId="77777777" w:rsidR="00CF336B" w:rsidRPr="001B4CA2" w:rsidRDefault="00CF336B" w:rsidP="00CF336B">
            <w:pPr>
              <w:jc w:val="center"/>
              <w:rPr>
                <w:sz w:val="14"/>
                <w:szCs w:val="14"/>
              </w:rPr>
            </w:pPr>
          </w:p>
        </w:tc>
        <w:tc>
          <w:tcPr>
            <w:tcW w:w="88" w:type="pct"/>
            <w:tcBorders>
              <w:top w:val="nil"/>
              <w:left w:val="nil"/>
              <w:bottom w:val="single" w:sz="4" w:space="0" w:color="auto"/>
              <w:right w:val="single" w:sz="4" w:space="0" w:color="auto"/>
            </w:tcBorders>
            <w:shd w:val="clear" w:color="auto" w:fill="auto"/>
            <w:noWrap/>
            <w:vAlign w:val="center"/>
          </w:tcPr>
          <w:p w14:paraId="320C6609"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20B3296F"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144949B7"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5A9DA268" w14:textId="77777777" w:rsidR="00CF336B" w:rsidRPr="001B4CA2" w:rsidRDefault="00CF336B" w:rsidP="00CF336B">
            <w:pPr>
              <w:jc w:val="center"/>
              <w:rPr>
                <w:bCs/>
                <w:sz w:val="14"/>
                <w:szCs w:val="14"/>
              </w:rPr>
            </w:pPr>
            <w:r w:rsidRPr="001B4CA2">
              <w:rPr>
                <w:rFonts w:cstheme="minorHAnsi"/>
                <w:bCs/>
                <w:color w:val="000000"/>
                <w:sz w:val="14"/>
                <w:szCs w:val="14"/>
              </w:rPr>
              <w:t>23</w:t>
            </w:r>
          </w:p>
        </w:tc>
        <w:tc>
          <w:tcPr>
            <w:tcW w:w="193" w:type="pct"/>
            <w:tcBorders>
              <w:top w:val="nil"/>
              <w:left w:val="nil"/>
              <w:bottom w:val="single" w:sz="4" w:space="0" w:color="auto"/>
              <w:right w:val="single" w:sz="4" w:space="0" w:color="auto"/>
            </w:tcBorders>
            <w:shd w:val="clear" w:color="auto" w:fill="auto"/>
            <w:noWrap/>
            <w:vAlign w:val="center"/>
          </w:tcPr>
          <w:p w14:paraId="6C6C6112" w14:textId="77777777" w:rsidR="00CF336B" w:rsidRPr="001B4CA2" w:rsidRDefault="00CF336B" w:rsidP="00CF336B">
            <w:pPr>
              <w:jc w:val="center"/>
              <w:rPr>
                <w:bCs/>
                <w:sz w:val="14"/>
                <w:szCs w:val="14"/>
              </w:rPr>
            </w:pPr>
            <w:r w:rsidRPr="001B4CA2">
              <w:rPr>
                <w:rFonts w:cstheme="minorHAnsi"/>
                <w:bCs/>
                <w:color w:val="000000"/>
                <w:sz w:val="14"/>
                <w:szCs w:val="14"/>
              </w:rPr>
              <w:t>0</w:t>
            </w:r>
          </w:p>
        </w:tc>
        <w:tc>
          <w:tcPr>
            <w:tcW w:w="180" w:type="pct"/>
            <w:tcBorders>
              <w:top w:val="nil"/>
              <w:left w:val="nil"/>
              <w:bottom w:val="single" w:sz="4" w:space="0" w:color="auto"/>
              <w:right w:val="single" w:sz="4" w:space="0" w:color="auto"/>
            </w:tcBorders>
            <w:shd w:val="clear" w:color="auto" w:fill="auto"/>
            <w:vAlign w:val="center"/>
          </w:tcPr>
          <w:p w14:paraId="14D4E1F5"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45ED3591" w14:textId="77777777" w:rsidR="00CF336B" w:rsidRPr="001B4CA2" w:rsidRDefault="00CF336B" w:rsidP="00CF336B">
            <w:pPr>
              <w:jc w:val="center"/>
              <w:rPr>
                <w:b/>
                <w:bCs/>
                <w:sz w:val="14"/>
                <w:szCs w:val="14"/>
              </w:rPr>
            </w:pPr>
            <w:r w:rsidRPr="001B4CA2">
              <w:rPr>
                <w:rFonts w:cstheme="minorHAnsi"/>
                <w:bCs/>
                <w:color w:val="000000"/>
                <w:sz w:val="14"/>
                <w:szCs w:val="14"/>
              </w:rPr>
              <w:t>0</w:t>
            </w:r>
          </w:p>
        </w:tc>
      </w:tr>
      <w:tr w:rsidR="00FB2B5D" w:rsidRPr="001B4CA2" w14:paraId="3FFD0621" w14:textId="77777777" w:rsidTr="003E79A0">
        <w:trPr>
          <w:cantSplit/>
          <w:trHeight w:val="234"/>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2AA91EE5" w14:textId="77777777" w:rsidR="00CF336B" w:rsidRPr="001B4CA2" w:rsidRDefault="00CF336B" w:rsidP="00CF336B">
            <w:pPr>
              <w:ind w:left="34"/>
              <w:jc w:val="left"/>
              <w:rPr>
                <w:bCs/>
                <w:sz w:val="16"/>
                <w:szCs w:val="16"/>
              </w:rPr>
            </w:pPr>
            <w:r w:rsidRPr="001B4CA2">
              <w:rPr>
                <w:bCs/>
                <w:sz w:val="16"/>
                <w:szCs w:val="16"/>
              </w:rPr>
              <w:t>Ostali</w:t>
            </w:r>
          </w:p>
        </w:tc>
        <w:tc>
          <w:tcPr>
            <w:tcW w:w="223" w:type="pct"/>
            <w:tcBorders>
              <w:top w:val="nil"/>
              <w:left w:val="nil"/>
              <w:bottom w:val="single" w:sz="4" w:space="0" w:color="auto"/>
              <w:right w:val="single" w:sz="4" w:space="0" w:color="auto"/>
            </w:tcBorders>
            <w:shd w:val="clear" w:color="auto" w:fill="auto"/>
            <w:noWrap/>
            <w:vAlign w:val="center"/>
          </w:tcPr>
          <w:p w14:paraId="3512FF20" w14:textId="77777777" w:rsidR="00CF336B" w:rsidRPr="001B4CA2" w:rsidRDefault="00CF336B" w:rsidP="00CF336B">
            <w:pPr>
              <w:jc w:val="center"/>
              <w:rPr>
                <w:sz w:val="14"/>
                <w:szCs w:val="14"/>
              </w:rPr>
            </w:pPr>
            <w:r w:rsidRPr="001B4CA2">
              <w:rPr>
                <w:rFonts w:cstheme="minorHAnsi"/>
                <w:color w:val="000000"/>
                <w:sz w:val="14"/>
                <w:szCs w:val="14"/>
              </w:rPr>
              <w:t>4</w:t>
            </w:r>
          </w:p>
        </w:tc>
        <w:tc>
          <w:tcPr>
            <w:tcW w:w="179" w:type="pct"/>
            <w:tcBorders>
              <w:top w:val="nil"/>
              <w:left w:val="nil"/>
              <w:bottom w:val="single" w:sz="4" w:space="0" w:color="auto"/>
              <w:right w:val="single" w:sz="4" w:space="0" w:color="auto"/>
            </w:tcBorders>
            <w:shd w:val="clear" w:color="auto" w:fill="auto"/>
            <w:noWrap/>
            <w:vAlign w:val="center"/>
          </w:tcPr>
          <w:p w14:paraId="34D2307D"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7E9AF848" w14:textId="77777777" w:rsidR="00CF336B" w:rsidRPr="001B4CA2" w:rsidRDefault="00CF336B" w:rsidP="00CF336B">
            <w:pPr>
              <w:jc w:val="center"/>
              <w:rPr>
                <w:sz w:val="14"/>
                <w:szCs w:val="14"/>
              </w:rPr>
            </w:pPr>
          </w:p>
        </w:tc>
        <w:tc>
          <w:tcPr>
            <w:tcW w:w="224" w:type="pct"/>
            <w:tcBorders>
              <w:top w:val="nil"/>
              <w:left w:val="nil"/>
              <w:bottom w:val="single" w:sz="4" w:space="0" w:color="auto"/>
              <w:right w:val="single" w:sz="4" w:space="0" w:color="auto"/>
            </w:tcBorders>
            <w:shd w:val="clear" w:color="auto" w:fill="auto"/>
            <w:vAlign w:val="center"/>
          </w:tcPr>
          <w:p w14:paraId="1A33F04C" w14:textId="77777777" w:rsidR="00CF336B" w:rsidRPr="001B4CA2" w:rsidRDefault="00CF336B" w:rsidP="00CF336B">
            <w:pPr>
              <w:jc w:val="center"/>
              <w:rPr>
                <w:sz w:val="14"/>
                <w:szCs w:val="14"/>
              </w:rPr>
            </w:pPr>
          </w:p>
        </w:tc>
        <w:tc>
          <w:tcPr>
            <w:tcW w:w="181" w:type="pct"/>
            <w:tcBorders>
              <w:top w:val="nil"/>
              <w:left w:val="nil"/>
              <w:bottom w:val="single" w:sz="4" w:space="0" w:color="auto"/>
              <w:right w:val="single" w:sz="4" w:space="0" w:color="auto"/>
            </w:tcBorders>
            <w:shd w:val="clear" w:color="auto" w:fill="auto"/>
            <w:noWrap/>
            <w:vAlign w:val="center"/>
          </w:tcPr>
          <w:p w14:paraId="55965D1D" w14:textId="77777777" w:rsidR="00CF336B" w:rsidRPr="001B4CA2" w:rsidRDefault="00CF336B" w:rsidP="00CF336B">
            <w:pPr>
              <w:jc w:val="center"/>
              <w:rPr>
                <w:sz w:val="14"/>
                <w:szCs w:val="14"/>
              </w:rPr>
            </w:pPr>
            <w:r w:rsidRPr="001B4CA2">
              <w:rPr>
                <w:rFonts w:cstheme="minorHAnsi"/>
                <w:color w:val="000000"/>
                <w:sz w:val="14"/>
                <w:szCs w:val="14"/>
              </w:rPr>
              <w:t>9</w:t>
            </w:r>
          </w:p>
        </w:tc>
        <w:tc>
          <w:tcPr>
            <w:tcW w:w="177" w:type="pct"/>
            <w:tcBorders>
              <w:top w:val="nil"/>
              <w:left w:val="nil"/>
              <w:bottom w:val="single" w:sz="4" w:space="0" w:color="auto"/>
              <w:right w:val="single" w:sz="4" w:space="0" w:color="auto"/>
            </w:tcBorders>
            <w:shd w:val="clear" w:color="auto" w:fill="auto"/>
            <w:noWrap/>
            <w:vAlign w:val="center"/>
          </w:tcPr>
          <w:p w14:paraId="047F02A5"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82" w:type="pct"/>
            <w:tcBorders>
              <w:top w:val="nil"/>
              <w:left w:val="nil"/>
              <w:bottom w:val="single" w:sz="4" w:space="0" w:color="auto"/>
              <w:right w:val="single" w:sz="4" w:space="0" w:color="auto"/>
            </w:tcBorders>
            <w:shd w:val="clear" w:color="auto" w:fill="auto"/>
            <w:noWrap/>
            <w:vAlign w:val="center"/>
          </w:tcPr>
          <w:p w14:paraId="17953701" w14:textId="77777777" w:rsidR="00CF336B" w:rsidRPr="001B4CA2" w:rsidRDefault="00CF336B" w:rsidP="00CF336B">
            <w:pPr>
              <w:jc w:val="center"/>
              <w:rPr>
                <w:sz w:val="14"/>
                <w:szCs w:val="14"/>
              </w:rPr>
            </w:pPr>
          </w:p>
        </w:tc>
        <w:tc>
          <w:tcPr>
            <w:tcW w:w="182" w:type="pct"/>
            <w:tcBorders>
              <w:top w:val="nil"/>
              <w:left w:val="nil"/>
              <w:bottom w:val="single" w:sz="4" w:space="0" w:color="auto"/>
              <w:right w:val="single" w:sz="4" w:space="0" w:color="auto"/>
            </w:tcBorders>
            <w:shd w:val="clear" w:color="auto" w:fill="auto"/>
            <w:noWrap/>
            <w:vAlign w:val="center"/>
          </w:tcPr>
          <w:p w14:paraId="526BEAA4" w14:textId="77777777" w:rsidR="00CF336B" w:rsidRPr="001B4CA2" w:rsidRDefault="00CF336B" w:rsidP="00CF336B">
            <w:pPr>
              <w:jc w:val="center"/>
              <w:rPr>
                <w:sz w:val="14"/>
                <w:szCs w:val="14"/>
              </w:rPr>
            </w:pPr>
            <w:r w:rsidRPr="001B4CA2">
              <w:rPr>
                <w:rFonts w:eastAsia="Times New Roman" w:cstheme="minorHAnsi"/>
                <w:color w:val="000000"/>
                <w:sz w:val="14"/>
                <w:szCs w:val="14"/>
                <w:lang w:eastAsia="hr-HR"/>
              </w:rPr>
              <w:t>145</w:t>
            </w:r>
          </w:p>
        </w:tc>
        <w:tc>
          <w:tcPr>
            <w:tcW w:w="142" w:type="pct"/>
            <w:tcBorders>
              <w:top w:val="nil"/>
              <w:left w:val="nil"/>
              <w:bottom w:val="single" w:sz="4" w:space="0" w:color="auto"/>
              <w:right w:val="single" w:sz="4" w:space="0" w:color="auto"/>
            </w:tcBorders>
            <w:shd w:val="clear" w:color="auto" w:fill="auto"/>
            <w:noWrap/>
            <w:vAlign w:val="center"/>
          </w:tcPr>
          <w:p w14:paraId="11158826" w14:textId="77777777" w:rsidR="00CF336B" w:rsidRPr="001B4CA2" w:rsidRDefault="00CF336B" w:rsidP="00CF336B">
            <w:pPr>
              <w:jc w:val="center"/>
              <w:rPr>
                <w:sz w:val="14"/>
                <w:szCs w:val="14"/>
              </w:rPr>
            </w:pPr>
            <w:r w:rsidRPr="001B4CA2">
              <w:rPr>
                <w:rFonts w:cstheme="minorHAnsi"/>
                <w:color w:val="000000"/>
                <w:sz w:val="14"/>
                <w:szCs w:val="14"/>
              </w:rPr>
              <w:t>10</w:t>
            </w:r>
          </w:p>
        </w:tc>
        <w:tc>
          <w:tcPr>
            <w:tcW w:w="122" w:type="pct"/>
            <w:tcBorders>
              <w:top w:val="nil"/>
              <w:left w:val="nil"/>
              <w:bottom w:val="single" w:sz="4" w:space="0" w:color="auto"/>
              <w:right w:val="single" w:sz="4" w:space="0" w:color="auto"/>
            </w:tcBorders>
            <w:shd w:val="clear" w:color="auto" w:fill="auto"/>
            <w:noWrap/>
            <w:vAlign w:val="center"/>
          </w:tcPr>
          <w:p w14:paraId="0214C2DF" w14:textId="77777777" w:rsidR="00CF336B" w:rsidRPr="001B4CA2" w:rsidRDefault="00CF336B" w:rsidP="00CF336B">
            <w:pPr>
              <w:jc w:val="center"/>
              <w:rPr>
                <w:sz w:val="14"/>
                <w:szCs w:val="14"/>
              </w:rPr>
            </w:pPr>
          </w:p>
        </w:tc>
        <w:tc>
          <w:tcPr>
            <w:tcW w:w="183" w:type="pct"/>
            <w:tcBorders>
              <w:top w:val="nil"/>
              <w:left w:val="nil"/>
              <w:bottom w:val="single" w:sz="4" w:space="0" w:color="auto"/>
              <w:right w:val="single" w:sz="4" w:space="0" w:color="auto"/>
            </w:tcBorders>
            <w:shd w:val="clear" w:color="auto" w:fill="auto"/>
            <w:noWrap/>
            <w:vAlign w:val="center"/>
          </w:tcPr>
          <w:p w14:paraId="718486CD" w14:textId="77777777" w:rsidR="00CF336B" w:rsidRPr="001B4CA2" w:rsidRDefault="00CF336B" w:rsidP="00CF336B">
            <w:pPr>
              <w:jc w:val="center"/>
              <w:rPr>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0434639C" w14:textId="77777777" w:rsidR="00CF336B" w:rsidRPr="001B4CA2" w:rsidRDefault="00CF336B" w:rsidP="00CF336B">
            <w:pPr>
              <w:jc w:val="center"/>
              <w:rPr>
                <w:sz w:val="14"/>
                <w:szCs w:val="14"/>
              </w:rPr>
            </w:pPr>
          </w:p>
        </w:tc>
        <w:tc>
          <w:tcPr>
            <w:tcW w:w="173" w:type="pct"/>
            <w:tcBorders>
              <w:top w:val="nil"/>
              <w:left w:val="nil"/>
              <w:bottom w:val="single" w:sz="4" w:space="0" w:color="auto"/>
              <w:right w:val="single" w:sz="4" w:space="0" w:color="auto"/>
            </w:tcBorders>
            <w:shd w:val="clear" w:color="auto" w:fill="auto"/>
            <w:noWrap/>
            <w:vAlign w:val="center"/>
          </w:tcPr>
          <w:p w14:paraId="68DE08E6" w14:textId="77777777" w:rsidR="00CF336B" w:rsidRPr="001B4CA2" w:rsidRDefault="00CF336B" w:rsidP="00CF336B">
            <w:pPr>
              <w:jc w:val="center"/>
              <w:rPr>
                <w:sz w:val="14"/>
                <w:szCs w:val="14"/>
              </w:rPr>
            </w:pPr>
            <w:r w:rsidRPr="001B4CA2">
              <w:rPr>
                <w:rFonts w:cstheme="minorHAnsi"/>
                <w:color w:val="000000"/>
                <w:sz w:val="14"/>
                <w:szCs w:val="14"/>
              </w:rPr>
              <w:t>9</w:t>
            </w:r>
          </w:p>
        </w:tc>
        <w:tc>
          <w:tcPr>
            <w:tcW w:w="142" w:type="pct"/>
            <w:tcBorders>
              <w:top w:val="nil"/>
              <w:left w:val="nil"/>
              <w:bottom w:val="single" w:sz="4" w:space="0" w:color="auto"/>
              <w:right w:val="single" w:sz="4" w:space="0" w:color="auto"/>
            </w:tcBorders>
            <w:shd w:val="clear" w:color="auto" w:fill="auto"/>
            <w:noWrap/>
            <w:vAlign w:val="center"/>
          </w:tcPr>
          <w:p w14:paraId="2908465C" w14:textId="77777777" w:rsidR="00CF336B" w:rsidRPr="001B4CA2" w:rsidRDefault="00CF336B" w:rsidP="00CF336B">
            <w:pPr>
              <w:jc w:val="center"/>
              <w:rPr>
                <w:sz w:val="14"/>
                <w:szCs w:val="14"/>
              </w:rPr>
            </w:pPr>
            <w:r w:rsidRPr="001B4CA2">
              <w:rPr>
                <w:rFonts w:cstheme="minorHAnsi"/>
                <w:color w:val="000000"/>
                <w:sz w:val="14"/>
                <w:szCs w:val="14"/>
              </w:rPr>
              <w:t>2</w:t>
            </w:r>
          </w:p>
        </w:tc>
        <w:tc>
          <w:tcPr>
            <w:tcW w:w="175" w:type="pct"/>
            <w:tcBorders>
              <w:top w:val="nil"/>
              <w:left w:val="nil"/>
              <w:bottom w:val="single" w:sz="4" w:space="0" w:color="auto"/>
              <w:right w:val="single" w:sz="4" w:space="0" w:color="auto"/>
            </w:tcBorders>
            <w:shd w:val="clear" w:color="auto" w:fill="auto"/>
            <w:noWrap/>
            <w:vAlign w:val="center"/>
          </w:tcPr>
          <w:p w14:paraId="3D7FF2FE" w14:textId="77777777" w:rsidR="00CF336B" w:rsidRPr="001B4CA2" w:rsidRDefault="00CF336B" w:rsidP="00CF336B">
            <w:pPr>
              <w:jc w:val="center"/>
              <w:rPr>
                <w:sz w:val="14"/>
                <w:szCs w:val="14"/>
              </w:rPr>
            </w:pPr>
          </w:p>
        </w:tc>
        <w:tc>
          <w:tcPr>
            <w:tcW w:w="175" w:type="pct"/>
            <w:tcBorders>
              <w:top w:val="nil"/>
              <w:left w:val="nil"/>
              <w:bottom w:val="single" w:sz="4" w:space="0" w:color="auto"/>
              <w:right w:val="single" w:sz="4" w:space="0" w:color="auto"/>
            </w:tcBorders>
            <w:shd w:val="clear" w:color="auto" w:fill="auto"/>
            <w:noWrap/>
            <w:vAlign w:val="center"/>
          </w:tcPr>
          <w:p w14:paraId="7099BD42" w14:textId="77777777" w:rsidR="00CF336B" w:rsidRPr="001B4CA2" w:rsidRDefault="00CF336B" w:rsidP="00CF336B">
            <w:pPr>
              <w:jc w:val="center"/>
              <w:rPr>
                <w:sz w:val="14"/>
                <w:szCs w:val="14"/>
              </w:rPr>
            </w:pPr>
            <w:r w:rsidRPr="001B4CA2">
              <w:rPr>
                <w:rFonts w:cstheme="minorHAnsi"/>
                <w:sz w:val="14"/>
                <w:szCs w:val="14"/>
              </w:rPr>
              <w:t>171</w:t>
            </w:r>
          </w:p>
        </w:tc>
        <w:tc>
          <w:tcPr>
            <w:tcW w:w="134" w:type="pct"/>
            <w:tcBorders>
              <w:top w:val="nil"/>
              <w:left w:val="nil"/>
              <w:bottom w:val="single" w:sz="4" w:space="0" w:color="auto"/>
              <w:right w:val="single" w:sz="4" w:space="0" w:color="auto"/>
            </w:tcBorders>
            <w:shd w:val="clear" w:color="auto" w:fill="auto"/>
            <w:noWrap/>
            <w:vAlign w:val="center"/>
          </w:tcPr>
          <w:p w14:paraId="54FE75A7" w14:textId="77777777" w:rsidR="00CF336B" w:rsidRPr="001B4CA2" w:rsidRDefault="00CF336B" w:rsidP="00CF336B">
            <w:pPr>
              <w:jc w:val="center"/>
              <w:rPr>
                <w:sz w:val="14"/>
                <w:szCs w:val="14"/>
              </w:rPr>
            </w:pPr>
          </w:p>
        </w:tc>
        <w:tc>
          <w:tcPr>
            <w:tcW w:w="88" w:type="pct"/>
            <w:tcBorders>
              <w:top w:val="nil"/>
              <w:left w:val="nil"/>
              <w:bottom w:val="single" w:sz="4" w:space="0" w:color="auto"/>
              <w:right w:val="single" w:sz="4" w:space="0" w:color="auto"/>
            </w:tcBorders>
            <w:shd w:val="clear" w:color="auto" w:fill="auto"/>
            <w:noWrap/>
            <w:vAlign w:val="center"/>
          </w:tcPr>
          <w:p w14:paraId="40F45811" w14:textId="77777777" w:rsidR="00CF336B" w:rsidRPr="001B4CA2" w:rsidRDefault="00CF336B" w:rsidP="00CF336B">
            <w:pPr>
              <w:jc w:val="center"/>
              <w:rPr>
                <w:sz w:val="14"/>
                <w:szCs w:val="14"/>
              </w:rPr>
            </w:pPr>
          </w:p>
        </w:tc>
        <w:tc>
          <w:tcPr>
            <w:tcW w:w="176" w:type="pct"/>
            <w:tcBorders>
              <w:top w:val="nil"/>
              <w:left w:val="nil"/>
              <w:bottom w:val="single" w:sz="4" w:space="0" w:color="auto"/>
              <w:right w:val="single" w:sz="4" w:space="0" w:color="auto"/>
            </w:tcBorders>
            <w:shd w:val="clear" w:color="auto" w:fill="auto"/>
            <w:noWrap/>
            <w:vAlign w:val="center"/>
          </w:tcPr>
          <w:p w14:paraId="78E35A31" w14:textId="77777777" w:rsidR="00CF336B" w:rsidRPr="001B4CA2" w:rsidRDefault="00CF336B" w:rsidP="00CF336B">
            <w:pPr>
              <w:jc w:val="center"/>
              <w:rPr>
                <w:sz w:val="14"/>
                <w:szCs w:val="14"/>
              </w:rPr>
            </w:pPr>
          </w:p>
        </w:tc>
        <w:tc>
          <w:tcPr>
            <w:tcW w:w="126" w:type="pct"/>
            <w:tcBorders>
              <w:top w:val="nil"/>
              <w:left w:val="nil"/>
              <w:bottom w:val="single" w:sz="4" w:space="0" w:color="auto"/>
              <w:right w:val="single" w:sz="4" w:space="0" w:color="auto"/>
            </w:tcBorders>
            <w:shd w:val="clear" w:color="auto" w:fill="auto"/>
            <w:noWrap/>
            <w:vAlign w:val="center"/>
          </w:tcPr>
          <w:p w14:paraId="4507F7B8" w14:textId="77777777" w:rsidR="00CF336B" w:rsidRPr="001B4CA2" w:rsidRDefault="00CF336B" w:rsidP="00CF336B">
            <w:pPr>
              <w:jc w:val="center"/>
              <w:rPr>
                <w:sz w:val="14"/>
                <w:szCs w:val="14"/>
              </w:rPr>
            </w:pPr>
          </w:p>
        </w:tc>
        <w:tc>
          <w:tcPr>
            <w:tcW w:w="179" w:type="pct"/>
            <w:tcBorders>
              <w:top w:val="nil"/>
              <w:left w:val="nil"/>
              <w:bottom w:val="single" w:sz="4" w:space="0" w:color="auto"/>
              <w:right w:val="single" w:sz="4" w:space="0" w:color="auto"/>
            </w:tcBorders>
            <w:shd w:val="clear" w:color="auto" w:fill="auto"/>
            <w:noWrap/>
            <w:vAlign w:val="center"/>
          </w:tcPr>
          <w:p w14:paraId="5DB739AA" w14:textId="77777777" w:rsidR="00CF336B" w:rsidRPr="001B4CA2" w:rsidRDefault="00CF336B" w:rsidP="00CF336B">
            <w:pPr>
              <w:jc w:val="center"/>
              <w:rPr>
                <w:bCs/>
                <w:sz w:val="14"/>
                <w:szCs w:val="14"/>
              </w:rPr>
            </w:pPr>
            <w:r w:rsidRPr="001B4CA2">
              <w:rPr>
                <w:rFonts w:cstheme="minorHAnsi"/>
                <w:bCs/>
                <w:color w:val="000000"/>
                <w:sz w:val="14"/>
                <w:szCs w:val="14"/>
              </w:rPr>
              <w:t>32</w:t>
            </w:r>
          </w:p>
        </w:tc>
        <w:tc>
          <w:tcPr>
            <w:tcW w:w="193" w:type="pct"/>
            <w:tcBorders>
              <w:top w:val="nil"/>
              <w:left w:val="nil"/>
              <w:bottom w:val="single" w:sz="4" w:space="0" w:color="auto"/>
              <w:right w:val="single" w:sz="4" w:space="0" w:color="auto"/>
            </w:tcBorders>
            <w:shd w:val="clear" w:color="auto" w:fill="auto"/>
            <w:noWrap/>
            <w:vAlign w:val="center"/>
          </w:tcPr>
          <w:p w14:paraId="592C1735" w14:textId="77777777" w:rsidR="00CF336B" w:rsidRPr="001B4CA2" w:rsidRDefault="00CF336B" w:rsidP="00CF336B">
            <w:pPr>
              <w:jc w:val="center"/>
              <w:rPr>
                <w:bCs/>
                <w:sz w:val="14"/>
                <w:szCs w:val="14"/>
              </w:rPr>
            </w:pPr>
            <w:r w:rsidRPr="001B4CA2">
              <w:rPr>
                <w:rFonts w:cstheme="minorHAnsi"/>
                <w:bCs/>
                <w:color w:val="000000"/>
                <w:sz w:val="14"/>
                <w:szCs w:val="14"/>
              </w:rPr>
              <w:t>4</w:t>
            </w:r>
          </w:p>
        </w:tc>
        <w:tc>
          <w:tcPr>
            <w:tcW w:w="180" w:type="pct"/>
            <w:tcBorders>
              <w:top w:val="nil"/>
              <w:left w:val="nil"/>
              <w:bottom w:val="single" w:sz="4" w:space="0" w:color="auto"/>
              <w:right w:val="single" w:sz="4" w:space="0" w:color="auto"/>
            </w:tcBorders>
            <w:shd w:val="clear" w:color="auto" w:fill="auto"/>
            <w:vAlign w:val="center"/>
          </w:tcPr>
          <w:p w14:paraId="0B832E0A" w14:textId="77777777" w:rsidR="00CF336B" w:rsidRPr="001B4CA2" w:rsidRDefault="00CF336B" w:rsidP="00CF336B">
            <w:pPr>
              <w:jc w:val="center"/>
              <w:rPr>
                <w:bCs/>
                <w:sz w:val="14"/>
                <w:szCs w:val="14"/>
              </w:rPr>
            </w:pPr>
          </w:p>
        </w:tc>
        <w:tc>
          <w:tcPr>
            <w:tcW w:w="219" w:type="pct"/>
            <w:tcBorders>
              <w:top w:val="nil"/>
              <w:left w:val="nil"/>
              <w:bottom w:val="single" w:sz="4" w:space="0" w:color="auto"/>
              <w:right w:val="single" w:sz="4" w:space="0" w:color="auto"/>
            </w:tcBorders>
            <w:shd w:val="clear" w:color="auto" w:fill="auto"/>
            <w:vAlign w:val="center"/>
          </w:tcPr>
          <w:p w14:paraId="4289EAAF" w14:textId="77777777" w:rsidR="00CF336B" w:rsidRPr="001B4CA2" w:rsidRDefault="00CF336B" w:rsidP="00CF336B">
            <w:pPr>
              <w:jc w:val="center"/>
              <w:rPr>
                <w:b/>
                <w:bCs/>
                <w:sz w:val="14"/>
                <w:szCs w:val="14"/>
              </w:rPr>
            </w:pPr>
            <w:r w:rsidRPr="001B4CA2">
              <w:rPr>
                <w:rFonts w:cstheme="minorHAnsi"/>
                <w:bCs/>
                <w:color w:val="000000"/>
                <w:sz w:val="14"/>
                <w:szCs w:val="14"/>
              </w:rPr>
              <w:t>315</w:t>
            </w:r>
          </w:p>
        </w:tc>
      </w:tr>
      <w:tr w:rsidR="00FB2B5D" w:rsidRPr="001B4CA2" w14:paraId="530BAE3A" w14:textId="77777777" w:rsidTr="003E79A0">
        <w:trPr>
          <w:cantSplit/>
          <w:trHeight w:val="250"/>
        </w:trPr>
        <w:tc>
          <w:tcPr>
            <w:tcW w:w="884" w:type="pct"/>
            <w:tcBorders>
              <w:top w:val="nil"/>
              <w:left w:val="single" w:sz="4" w:space="0" w:color="auto"/>
              <w:bottom w:val="single" w:sz="4" w:space="0" w:color="auto"/>
              <w:right w:val="single" w:sz="4" w:space="0" w:color="auto"/>
            </w:tcBorders>
            <w:shd w:val="clear" w:color="auto" w:fill="auto"/>
            <w:vAlign w:val="center"/>
            <w:hideMark/>
          </w:tcPr>
          <w:p w14:paraId="68E0EF8F" w14:textId="77777777" w:rsidR="00CF336B" w:rsidRPr="001B4CA2" w:rsidRDefault="00CF336B" w:rsidP="00CF336B">
            <w:pPr>
              <w:ind w:left="34"/>
              <w:jc w:val="left"/>
              <w:rPr>
                <w:b/>
                <w:bCs/>
                <w:sz w:val="16"/>
                <w:szCs w:val="16"/>
              </w:rPr>
            </w:pPr>
            <w:r w:rsidRPr="001B4CA2">
              <w:rPr>
                <w:b/>
                <w:bCs/>
                <w:sz w:val="16"/>
                <w:szCs w:val="16"/>
              </w:rPr>
              <w:t>UKUPNO</w:t>
            </w:r>
          </w:p>
        </w:tc>
        <w:tc>
          <w:tcPr>
            <w:tcW w:w="223" w:type="pct"/>
            <w:tcBorders>
              <w:top w:val="nil"/>
              <w:left w:val="nil"/>
              <w:bottom w:val="single" w:sz="4" w:space="0" w:color="auto"/>
              <w:right w:val="single" w:sz="4" w:space="0" w:color="auto"/>
            </w:tcBorders>
            <w:shd w:val="clear" w:color="auto" w:fill="auto"/>
            <w:noWrap/>
            <w:vAlign w:val="center"/>
          </w:tcPr>
          <w:p w14:paraId="18533D68" w14:textId="77777777" w:rsidR="00CF336B" w:rsidRPr="00FB2B5D" w:rsidRDefault="00CF336B" w:rsidP="00CF336B">
            <w:pPr>
              <w:jc w:val="center"/>
              <w:rPr>
                <w:b/>
                <w:bCs/>
                <w:sz w:val="13"/>
                <w:szCs w:val="13"/>
              </w:rPr>
            </w:pPr>
            <w:r w:rsidRPr="00FB2B5D">
              <w:rPr>
                <w:rFonts w:cstheme="minorHAnsi"/>
                <w:b/>
                <w:bCs/>
                <w:color w:val="000000"/>
                <w:sz w:val="13"/>
                <w:szCs w:val="13"/>
              </w:rPr>
              <w:t>2.549</w:t>
            </w:r>
          </w:p>
        </w:tc>
        <w:tc>
          <w:tcPr>
            <w:tcW w:w="179" w:type="pct"/>
            <w:tcBorders>
              <w:top w:val="nil"/>
              <w:left w:val="nil"/>
              <w:bottom w:val="single" w:sz="4" w:space="0" w:color="auto"/>
              <w:right w:val="single" w:sz="4" w:space="0" w:color="auto"/>
            </w:tcBorders>
            <w:shd w:val="clear" w:color="auto" w:fill="auto"/>
            <w:noWrap/>
            <w:vAlign w:val="center"/>
          </w:tcPr>
          <w:p w14:paraId="4C678D4E" w14:textId="77777777" w:rsidR="00CF336B" w:rsidRPr="00FB2B5D" w:rsidRDefault="00CF336B" w:rsidP="00CF336B">
            <w:pPr>
              <w:jc w:val="center"/>
              <w:rPr>
                <w:b/>
                <w:bCs/>
                <w:sz w:val="13"/>
                <w:szCs w:val="13"/>
              </w:rPr>
            </w:pPr>
            <w:r w:rsidRPr="00FB2B5D">
              <w:rPr>
                <w:rFonts w:cstheme="minorHAnsi"/>
                <w:b/>
                <w:bCs/>
                <w:color w:val="000000"/>
                <w:sz w:val="13"/>
                <w:szCs w:val="13"/>
              </w:rPr>
              <w:t>626</w:t>
            </w:r>
          </w:p>
        </w:tc>
        <w:tc>
          <w:tcPr>
            <w:tcW w:w="180" w:type="pct"/>
            <w:tcBorders>
              <w:top w:val="nil"/>
              <w:left w:val="nil"/>
              <w:bottom w:val="single" w:sz="4" w:space="0" w:color="auto"/>
              <w:right w:val="single" w:sz="4" w:space="0" w:color="auto"/>
            </w:tcBorders>
            <w:shd w:val="clear" w:color="auto" w:fill="auto"/>
            <w:noWrap/>
            <w:vAlign w:val="center"/>
          </w:tcPr>
          <w:p w14:paraId="3BA4D0F6" w14:textId="77777777" w:rsidR="00CF336B" w:rsidRPr="00FB2B5D" w:rsidRDefault="00CF336B" w:rsidP="00CF336B">
            <w:pPr>
              <w:jc w:val="center"/>
              <w:rPr>
                <w:b/>
                <w:bCs/>
                <w:sz w:val="13"/>
                <w:szCs w:val="13"/>
              </w:rPr>
            </w:pPr>
            <w:r w:rsidRPr="00FB2B5D">
              <w:rPr>
                <w:rFonts w:cstheme="minorHAnsi"/>
                <w:b/>
                <w:bCs/>
                <w:color w:val="000000"/>
                <w:sz w:val="13"/>
                <w:szCs w:val="13"/>
              </w:rPr>
              <w:t>25</w:t>
            </w:r>
          </w:p>
        </w:tc>
        <w:tc>
          <w:tcPr>
            <w:tcW w:w="224" w:type="pct"/>
            <w:tcBorders>
              <w:top w:val="nil"/>
              <w:left w:val="nil"/>
              <w:bottom w:val="single" w:sz="4" w:space="0" w:color="auto"/>
              <w:right w:val="single" w:sz="4" w:space="0" w:color="auto"/>
            </w:tcBorders>
            <w:shd w:val="clear" w:color="auto" w:fill="auto"/>
            <w:vAlign w:val="center"/>
          </w:tcPr>
          <w:p w14:paraId="3CF14F39" w14:textId="77777777" w:rsidR="00CF336B" w:rsidRPr="00FB2B5D" w:rsidRDefault="00CF336B" w:rsidP="00CF336B">
            <w:pPr>
              <w:jc w:val="center"/>
              <w:rPr>
                <w:b/>
                <w:bCs/>
                <w:sz w:val="13"/>
                <w:szCs w:val="13"/>
              </w:rPr>
            </w:pPr>
            <w:r w:rsidRPr="00FB2B5D">
              <w:rPr>
                <w:rFonts w:cstheme="minorHAnsi"/>
                <w:b/>
                <w:sz w:val="13"/>
                <w:szCs w:val="13"/>
              </w:rPr>
              <w:t>25.315</w:t>
            </w:r>
          </w:p>
        </w:tc>
        <w:tc>
          <w:tcPr>
            <w:tcW w:w="181" w:type="pct"/>
            <w:tcBorders>
              <w:top w:val="nil"/>
              <w:left w:val="nil"/>
              <w:bottom w:val="single" w:sz="4" w:space="0" w:color="auto"/>
              <w:right w:val="single" w:sz="4" w:space="0" w:color="auto"/>
            </w:tcBorders>
            <w:shd w:val="clear" w:color="auto" w:fill="auto"/>
            <w:noWrap/>
            <w:vAlign w:val="center"/>
          </w:tcPr>
          <w:p w14:paraId="10792017" w14:textId="77777777" w:rsidR="00CF336B" w:rsidRPr="00FB2B5D" w:rsidRDefault="00CF336B" w:rsidP="00CF336B">
            <w:pPr>
              <w:jc w:val="center"/>
              <w:rPr>
                <w:b/>
                <w:bCs/>
                <w:sz w:val="13"/>
                <w:szCs w:val="13"/>
              </w:rPr>
            </w:pPr>
            <w:r w:rsidRPr="00FB2B5D">
              <w:rPr>
                <w:rFonts w:cstheme="minorHAnsi"/>
                <w:b/>
                <w:bCs/>
                <w:color w:val="000000"/>
                <w:sz w:val="13"/>
                <w:szCs w:val="13"/>
              </w:rPr>
              <w:t>544</w:t>
            </w:r>
          </w:p>
        </w:tc>
        <w:tc>
          <w:tcPr>
            <w:tcW w:w="177" w:type="pct"/>
            <w:tcBorders>
              <w:top w:val="nil"/>
              <w:left w:val="nil"/>
              <w:bottom w:val="single" w:sz="4" w:space="0" w:color="auto"/>
              <w:right w:val="single" w:sz="4" w:space="0" w:color="auto"/>
            </w:tcBorders>
            <w:shd w:val="clear" w:color="auto" w:fill="auto"/>
            <w:noWrap/>
            <w:vAlign w:val="center"/>
          </w:tcPr>
          <w:p w14:paraId="11D0D8CB" w14:textId="77777777" w:rsidR="00CF336B" w:rsidRPr="00FB2B5D" w:rsidRDefault="00CF336B" w:rsidP="00CF336B">
            <w:pPr>
              <w:jc w:val="center"/>
              <w:rPr>
                <w:b/>
                <w:bCs/>
                <w:sz w:val="13"/>
                <w:szCs w:val="13"/>
              </w:rPr>
            </w:pPr>
            <w:r w:rsidRPr="00FB2B5D">
              <w:rPr>
                <w:rFonts w:cstheme="minorHAnsi"/>
                <w:b/>
                <w:bCs/>
                <w:color w:val="000000"/>
                <w:sz w:val="13"/>
                <w:szCs w:val="13"/>
              </w:rPr>
              <w:t>264</w:t>
            </w:r>
          </w:p>
        </w:tc>
        <w:tc>
          <w:tcPr>
            <w:tcW w:w="182" w:type="pct"/>
            <w:tcBorders>
              <w:top w:val="nil"/>
              <w:left w:val="nil"/>
              <w:bottom w:val="single" w:sz="4" w:space="0" w:color="auto"/>
              <w:right w:val="single" w:sz="4" w:space="0" w:color="auto"/>
            </w:tcBorders>
            <w:shd w:val="clear" w:color="auto" w:fill="auto"/>
            <w:noWrap/>
            <w:vAlign w:val="center"/>
          </w:tcPr>
          <w:p w14:paraId="14198D56" w14:textId="77777777" w:rsidR="00CF336B" w:rsidRPr="00FB2B5D" w:rsidRDefault="00CF336B" w:rsidP="00CF336B">
            <w:pPr>
              <w:jc w:val="center"/>
              <w:rPr>
                <w:b/>
                <w:bCs/>
                <w:sz w:val="13"/>
                <w:szCs w:val="13"/>
              </w:rPr>
            </w:pPr>
            <w:r w:rsidRPr="00FB2B5D">
              <w:rPr>
                <w:rFonts w:cstheme="minorHAnsi"/>
                <w:b/>
                <w:bCs/>
                <w:color w:val="000000"/>
                <w:sz w:val="13"/>
                <w:szCs w:val="13"/>
              </w:rPr>
              <w:t>49</w:t>
            </w:r>
          </w:p>
        </w:tc>
        <w:tc>
          <w:tcPr>
            <w:tcW w:w="182" w:type="pct"/>
            <w:tcBorders>
              <w:top w:val="nil"/>
              <w:left w:val="nil"/>
              <w:bottom w:val="single" w:sz="4" w:space="0" w:color="auto"/>
              <w:right w:val="single" w:sz="4" w:space="0" w:color="auto"/>
            </w:tcBorders>
            <w:shd w:val="clear" w:color="auto" w:fill="auto"/>
            <w:noWrap/>
            <w:vAlign w:val="center"/>
          </w:tcPr>
          <w:p w14:paraId="334FC873" w14:textId="77777777" w:rsidR="00CF336B" w:rsidRPr="00FB2B5D" w:rsidRDefault="00CF336B" w:rsidP="00CF336B">
            <w:pPr>
              <w:jc w:val="center"/>
              <w:rPr>
                <w:b/>
                <w:bCs/>
                <w:sz w:val="13"/>
                <w:szCs w:val="13"/>
              </w:rPr>
            </w:pPr>
            <w:r w:rsidRPr="00FB2B5D">
              <w:rPr>
                <w:rFonts w:ascii="Calibri" w:eastAsia="Times New Roman" w:hAnsi="Calibri" w:cs="Calibri"/>
                <w:b/>
                <w:bCs/>
                <w:color w:val="000000"/>
                <w:sz w:val="13"/>
                <w:szCs w:val="13"/>
                <w:lang w:eastAsia="hr-HR"/>
              </w:rPr>
              <w:t>2.541</w:t>
            </w:r>
          </w:p>
        </w:tc>
        <w:tc>
          <w:tcPr>
            <w:tcW w:w="142" w:type="pct"/>
            <w:tcBorders>
              <w:top w:val="nil"/>
              <w:left w:val="nil"/>
              <w:bottom w:val="single" w:sz="4" w:space="0" w:color="auto"/>
              <w:right w:val="single" w:sz="4" w:space="0" w:color="auto"/>
            </w:tcBorders>
            <w:shd w:val="clear" w:color="auto" w:fill="auto"/>
            <w:noWrap/>
            <w:vAlign w:val="center"/>
          </w:tcPr>
          <w:p w14:paraId="16C9C410" w14:textId="77777777" w:rsidR="00CF336B" w:rsidRPr="00FB2B5D" w:rsidRDefault="00CF336B" w:rsidP="00CF336B">
            <w:pPr>
              <w:jc w:val="center"/>
              <w:rPr>
                <w:b/>
                <w:bCs/>
                <w:sz w:val="13"/>
                <w:szCs w:val="13"/>
              </w:rPr>
            </w:pPr>
            <w:r w:rsidRPr="00FB2B5D">
              <w:rPr>
                <w:rFonts w:cstheme="minorHAnsi"/>
                <w:b/>
                <w:bCs/>
                <w:color w:val="000000"/>
                <w:sz w:val="13"/>
                <w:szCs w:val="13"/>
              </w:rPr>
              <w:t>715</w:t>
            </w:r>
          </w:p>
        </w:tc>
        <w:tc>
          <w:tcPr>
            <w:tcW w:w="122" w:type="pct"/>
            <w:tcBorders>
              <w:top w:val="nil"/>
              <w:left w:val="nil"/>
              <w:bottom w:val="single" w:sz="4" w:space="0" w:color="auto"/>
              <w:right w:val="single" w:sz="4" w:space="0" w:color="auto"/>
            </w:tcBorders>
            <w:shd w:val="clear" w:color="auto" w:fill="auto"/>
            <w:noWrap/>
            <w:vAlign w:val="center"/>
          </w:tcPr>
          <w:p w14:paraId="55735CF3" w14:textId="77777777" w:rsidR="00CF336B" w:rsidRPr="001B4CA2" w:rsidRDefault="00CF336B" w:rsidP="00CF336B">
            <w:pPr>
              <w:jc w:val="center"/>
              <w:rPr>
                <w:b/>
                <w:bCs/>
                <w:sz w:val="14"/>
                <w:szCs w:val="14"/>
              </w:rPr>
            </w:pPr>
            <w:r w:rsidRPr="001B4CA2">
              <w:rPr>
                <w:rFonts w:cstheme="minorHAnsi"/>
                <w:b/>
                <w:bCs/>
                <w:color w:val="000000"/>
                <w:sz w:val="14"/>
                <w:szCs w:val="14"/>
              </w:rPr>
              <w:t>35</w:t>
            </w:r>
          </w:p>
        </w:tc>
        <w:tc>
          <w:tcPr>
            <w:tcW w:w="183" w:type="pct"/>
            <w:tcBorders>
              <w:top w:val="nil"/>
              <w:left w:val="nil"/>
              <w:bottom w:val="single" w:sz="4" w:space="0" w:color="auto"/>
              <w:right w:val="single" w:sz="4" w:space="0" w:color="auto"/>
            </w:tcBorders>
            <w:shd w:val="clear" w:color="auto" w:fill="auto"/>
            <w:noWrap/>
            <w:vAlign w:val="center"/>
          </w:tcPr>
          <w:p w14:paraId="45C1A687" w14:textId="77777777" w:rsidR="00CF336B" w:rsidRPr="001B4CA2" w:rsidRDefault="00CF336B" w:rsidP="00CF336B">
            <w:pPr>
              <w:jc w:val="center"/>
              <w:rPr>
                <w:b/>
                <w:bCs/>
                <w:sz w:val="14"/>
                <w:szCs w:val="14"/>
              </w:rPr>
            </w:pPr>
          </w:p>
        </w:tc>
        <w:tc>
          <w:tcPr>
            <w:tcW w:w="180" w:type="pct"/>
            <w:tcBorders>
              <w:top w:val="nil"/>
              <w:left w:val="nil"/>
              <w:bottom w:val="single" w:sz="4" w:space="0" w:color="auto"/>
              <w:right w:val="single" w:sz="4" w:space="0" w:color="auto"/>
            </w:tcBorders>
            <w:shd w:val="clear" w:color="auto" w:fill="auto"/>
            <w:noWrap/>
            <w:vAlign w:val="center"/>
          </w:tcPr>
          <w:p w14:paraId="311E5120" w14:textId="77777777" w:rsidR="00CF336B" w:rsidRPr="001B4CA2" w:rsidRDefault="00CF336B" w:rsidP="00CF336B">
            <w:pPr>
              <w:jc w:val="center"/>
              <w:rPr>
                <w:b/>
                <w:bCs/>
                <w:sz w:val="14"/>
                <w:szCs w:val="14"/>
              </w:rPr>
            </w:pPr>
            <w:r w:rsidRPr="001B4CA2">
              <w:rPr>
                <w:rFonts w:ascii="Calibri" w:hAnsi="Calibri" w:cs="Calibri"/>
                <w:b/>
                <w:bCs/>
                <w:color w:val="000000"/>
                <w:sz w:val="14"/>
                <w:szCs w:val="14"/>
              </w:rPr>
              <w:t>2.962</w:t>
            </w:r>
          </w:p>
        </w:tc>
        <w:tc>
          <w:tcPr>
            <w:tcW w:w="173" w:type="pct"/>
            <w:tcBorders>
              <w:top w:val="nil"/>
              <w:left w:val="nil"/>
              <w:bottom w:val="single" w:sz="4" w:space="0" w:color="auto"/>
              <w:right w:val="single" w:sz="4" w:space="0" w:color="auto"/>
            </w:tcBorders>
            <w:shd w:val="clear" w:color="auto" w:fill="auto"/>
            <w:noWrap/>
            <w:vAlign w:val="center"/>
          </w:tcPr>
          <w:p w14:paraId="731B086C" w14:textId="77777777" w:rsidR="00CF336B" w:rsidRPr="001B4CA2" w:rsidRDefault="00CF336B" w:rsidP="00CF336B">
            <w:pPr>
              <w:jc w:val="center"/>
              <w:rPr>
                <w:b/>
                <w:bCs/>
                <w:sz w:val="14"/>
                <w:szCs w:val="14"/>
              </w:rPr>
            </w:pPr>
            <w:r w:rsidRPr="001B4CA2">
              <w:rPr>
                <w:rFonts w:ascii="Calibri" w:hAnsi="Calibri" w:cs="Calibri"/>
                <w:b/>
                <w:bCs/>
                <w:color w:val="000000"/>
                <w:sz w:val="14"/>
                <w:szCs w:val="14"/>
              </w:rPr>
              <w:t>1.128</w:t>
            </w:r>
          </w:p>
        </w:tc>
        <w:tc>
          <w:tcPr>
            <w:tcW w:w="142" w:type="pct"/>
            <w:tcBorders>
              <w:top w:val="nil"/>
              <w:left w:val="nil"/>
              <w:bottom w:val="single" w:sz="4" w:space="0" w:color="auto"/>
              <w:right w:val="single" w:sz="4" w:space="0" w:color="auto"/>
            </w:tcBorders>
            <w:shd w:val="clear" w:color="auto" w:fill="auto"/>
            <w:noWrap/>
            <w:vAlign w:val="center"/>
          </w:tcPr>
          <w:p w14:paraId="6F1F023B" w14:textId="77777777" w:rsidR="00CF336B" w:rsidRPr="001B4CA2" w:rsidRDefault="00CF336B" w:rsidP="00CF336B">
            <w:pPr>
              <w:jc w:val="center"/>
              <w:rPr>
                <w:b/>
                <w:bCs/>
                <w:sz w:val="14"/>
                <w:szCs w:val="14"/>
              </w:rPr>
            </w:pPr>
            <w:r w:rsidRPr="001B4CA2">
              <w:rPr>
                <w:rFonts w:ascii="Calibri" w:hAnsi="Calibri" w:cs="Calibri"/>
                <w:b/>
                <w:bCs/>
                <w:color w:val="000000"/>
                <w:sz w:val="14"/>
                <w:szCs w:val="14"/>
              </w:rPr>
              <w:t>125</w:t>
            </w:r>
          </w:p>
        </w:tc>
        <w:tc>
          <w:tcPr>
            <w:tcW w:w="175" w:type="pct"/>
            <w:tcBorders>
              <w:top w:val="nil"/>
              <w:left w:val="nil"/>
              <w:bottom w:val="single" w:sz="4" w:space="0" w:color="auto"/>
              <w:right w:val="single" w:sz="4" w:space="0" w:color="auto"/>
            </w:tcBorders>
            <w:shd w:val="clear" w:color="auto" w:fill="auto"/>
            <w:noWrap/>
            <w:vAlign w:val="center"/>
          </w:tcPr>
          <w:p w14:paraId="13A579F6" w14:textId="77777777" w:rsidR="00CF336B" w:rsidRPr="001B4CA2" w:rsidRDefault="00CF336B" w:rsidP="00CF336B">
            <w:pPr>
              <w:jc w:val="center"/>
              <w:rPr>
                <w:b/>
                <w:bCs/>
                <w:sz w:val="14"/>
                <w:szCs w:val="14"/>
              </w:rPr>
            </w:pPr>
            <w:r w:rsidRPr="001B4CA2">
              <w:rPr>
                <w:rFonts w:asciiTheme="majorHAnsi" w:hAnsiTheme="majorHAnsi" w:cstheme="majorHAnsi"/>
                <w:b/>
                <w:bCs/>
                <w:color w:val="000000"/>
                <w:sz w:val="14"/>
                <w:szCs w:val="14"/>
              </w:rPr>
              <w:t>11</w:t>
            </w:r>
          </w:p>
        </w:tc>
        <w:tc>
          <w:tcPr>
            <w:tcW w:w="175" w:type="pct"/>
            <w:tcBorders>
              <w:top w:val="nil"/>
              <w:left w:val="nil"/>
              <w:bottom w:val="single" w:sz="4" w:space="0" w:color="auto"/>
              <w:right w:val="single" w:sz="4" w:space="0" w:color="auto"/>
            </w:tcBorders>
            <w:shd w:val="clear" w:color="auto" w:fill="auto"/>
            <w:noWrap/>
            <w:vAlign w:val="center"/>
          </w:tcPr>
          <w:p w14:paraId="4E4494D4" w14:textId="77777777" w:rsidR="00CF336B" w:rsidRPr="009C5AEE" w:rsidRDefault="00CF336B" w:rsidP="00CF336B">
            <w:pPr>
              <w:jc w:val="center"/>
              <w:rPr>
                <w:b/>
                <w:bCs/>
                <w:sz w:val="13"/>
                <w:szCs w:val="13"/>
              </w:rPr>
            </w:pPr>
            <w:r w:rsidRPr="009C5AEE">
              <w:rPr>
                <w:b/>
                <w:sz w:val="13"/>
                <w:szCs w:val="13"/>
              </w:rPr>
              <w:t>3.487</w:t>
            </w:r>
          </w:p>
        </w:tc>
        <w:tc>
          <w:tcPr>
            <w:tcW w:w="134" w:type="pct"/>
            <w:tcBorders>
              <w:top w:val="nil"/>
              <w:left w:val="nil"/>
              <w:bottom w:val="single" w:sz="4" w:space="0" w:color="auto"/>
              <w:right w:val="single" w:sz="4" w:space="0" w:color="auto"/>
            </w:tcBorders>
            <w:shd w:val="clear" w:color="auto" w:fill="auto"/>
            <w:noWrap/>
            <w:vAlign w:val="center"/>
          </w:tcPr>
          <w:p w14:paraId="380E6747" w14:textId="77777777" w:rsidR="00CF336B" w:rsidRPr="001B4CA2" w:rsidRDefault="00CF336B" w:rsidP="00CF336B">
            <w:pPr>
              <w:jc w:val="center"/>
              <w:rPr>
                <w:b/>
                <w:bCs/>
                <w:sz w:val="14"/>
                <w:szCs w:val="14"/>
              </w:rPr>
            </w:pPr>
            <w:r w:rsidRPr="001B4CA2">
              <w:rPr>
                <w:rFonts w:cstheme="minorHAnsi"/>
                <w:b/>
                <w:bCs/>
                <w:color w:val="000000"/>
                <w:sz w:val="14"/>
                <w:szCs w:val="14"/>
              </w:rPr>
              <w:t>75</w:t>
            </w:r>
          </w:p>
        </w:tc>
        <w:tc>
          <w:tcPr>
            <w:tcW w:w="88" w:type="pct"/>
            <w:tcBorders>
              <w:top w:val="nil"/>
              <w:left w:val="nil"/>
              <w:bottom w:val="single" w:sz="4" w:space="0" w:color="auto"/>
              <w:right w:val="single" w:sz="4" w:space="0" w:color="auto"/>
            </w:tcBorders>
            <w:shd w:val="clear" w:color="auto" w:fill="auto"/>
            <w:noWrap/>
            <w:vAlign w:val="center"/>
          </w:tcPr>
          <w:p w14:paraId="1B9CD59A" w14:textId="77777777" w:rsidR="00CF336B" w:rsidRPr="001B4CA2" w:rsidRDefault="00CF336B" w:rsidP="00CF336B">
            <w:pPr>
              <w:jc w:val="center"/>
              <w:rPr>
                <w:b/>
                <w:bCs/>
                <w:sz w:val="14"/>
                <w:szCs w:val="14"/>
              </w:rPr>
            </w:pPr>
            <w:r w:rsidRPr="001B4CA2">
              <w:rPr>
                <w:rFonts w:cstheme="minorHAnsi"/>
                <w:b/>
                <w:bCs/>
                <w:color w:val="000000"/>
                <w:sz w:val="14"/>
                <w:szCs w:val="14"/>
              </w:rPr>
              <w:t>6</w:t>
            </w:r>
          </w:p>
        </w:tc>
        <w:tc>
          <w:tcPr>
            <w:tcW w:w="176" w:type="pct"/>
            <w:tcBorders>
              <w:top w:val="nil"/>
              <w:left w:val="nil"/>
              <w:bottom w:val="single" w:sz="4" w:space="0" w:color="auto"/>
              <w:right w:val="single" w:sz="4" w:space="0" w:color="auto"/>
            </w:tcBorders>
            <w:shd w:val="clear" w:color="auto" w:fill="auto"/>
            <w:noWrap/>
            <w:vAlign w:val="center"/>
          </w:tcPr>
          <w:p w14:paraId="6ABB415F" w14:textId="77777777" w:rsidR="00CF336B" w:rsidRPr="001B4CA2" w:rsidRDefault="00CF336B" w:rsidP="00CF336B">
            <w:pPr>
              <w:jc w:val="center"/>
              <w:rPr>
                <w:b/>
                <w:bCs/>
                <w:sz w:val="14"/>
                <w:szCs w:val="14"/>
              </w:rPr>
            </w:pPr>
            <w:r w:rsidRPr="001B4CA2">
              <w:rPr>
                <w:rFonts w:asciiTheme="majorHAnsi" w:hAnsiTheme="majorHAnsi" w:cstheme="majorHAnsi"/>
                <w:b/>
                <w:bCs/>
                <w:color w:val="000000"/>
                <w:sz w:val="14"/>
                <w:szCs w:val="14"/>
              </w:rPr>
              <w:t>8</w:t>
            </w:r>
          </w:p>
        </w:tc>
        <w:tc>
          <w:tcPr>
            <w:tcW w:w="126" w:type="pct"/>
            <w:tcBorders>
              <w:top w:val="nil"/>
              <w:left w:val="nil"/>
              <w:bottom w:val="single" w:sz="4" w:space="0" w:color="auto"/>
              <w:right w:val="single" w:sz="4" w:space="0" w:color="auto"/>
            </w:tcBorders>
            <w:shd w:val="clear" w:color="auto" w:fill="auto"/>
            <w:noWrap/>
            <w:vAlign w:val="center"/>
          </w:tcPr>
          <w:p w14:paraId="2CC7BDD8" w14:textId="77777777" w:rsidR="00CF336B" w:rsidRPr="001B4CA2" w:rsidRDefault="00CF336B" w:rsidP="00CF336B">
            <w:pPr>
              <w:jc w:val="center"/>
              <w:rPr>
                <w:b/>
                <w:bCs/>
                <w:sz w:val="14"/>
                <w:szCs w:val="14"/>
              </w:rPr>
            </w:pPr>
            <w:r w:rsidRPr="001B4CA2">
              <w:rPr>
                <w:rFonts w:asciiTheme="majorHAnsi" w:hAnsiTheme="majorHAnsi" w:cstheme="majorHAnsi"/>
                <w:b/>
                <w:bCs/>
                <w:color w:val="000000"/>
                <w:sz w:val="14"/>
                <w:szCs w:val="14"/>
              </w:rPr>
              <w:t>74</w:t>
            </w:r>
          </w:p>
        </w:tc>
        <w:tc>
          <w:tcPr>
            <w:tcW w:w="179" w:type="pct"/>
            <w:tcBorders>
              <w:top w:val="nil"/>
              <w:left w:val="nil"/>
              <w:bottom w:val="single" w:sz="4" w:space="0" w:color="auto"/>
              <w:right w:val="single" w:sz="4" w:space="0" w:color="auto"/>
            </w:tcBorders>
            <w:shd w:val="clear" w:color="auto" w:fill="auto"/>
            <w:noWrap/>
            <w:vAlign w:val="center"/>
          </w:tcPr>
          <w:p w14:paraId="05CAC344" w14:textId="77777777" w:rsidR="00CF336B" w:rsidRPr="001B4CA2" w:rsidRDefault="00CF336B" w:rsidP="00CF336B">
            <w:pPr>
              <w:jc w:val="center"/>
              <w:rPr>
                <w:bCs/>
                <w:sz w:val="14"/>
                <w:szCs w:val="14"/>
              </w:rPr>
            </w:pPr>
            <w:r w:rsidRPr="001B4CA2">
              <w:rPr>
                <w:rFonts w:cstheme="minorHAnsi"/>
                <w:b/>
                <w:bCs/>
                <w:color w:val="000000"/>
                <w:sz w:val="14"/>
                <w:szCs w:val="14"/>
              </w:rPr>
              <w:t>5.011</w:t>
            </w:r>
          </w:p>
        </w:tc>
        <w:tc>
          <w:tcPr>
            <w:tcW w:w="193" w:type="pct"/>
            <w:tcBorders>
              <w:top w:val="nil"/>
              <w:left w:val="nil"/>
              <w:bottom w:val="single" w:sz="4" w:space="0" w:color="auto"/>
              <w:right w:val="single" w:sz="4" w:space="0" w:color="auto"/>
            </w:tcBorders>
            <w:shd w:val="clear" w:color="auto" w:fill="auto"/>
            <w:noWrap/>
            <w:vAlign w:val="center"/>
          </w:tcPr>
          <w:p w14:paraId="4EB1B93B" w14:textId="77777777" w:rsidR="00CF336B" w:rsidRPr="001B4CA2" w:rsidRDefault="00CF336B" w:rsidP="00CF336B">
            <w:pPr>
              <w:jc w:val="center"/>
              <w:rPr>
                <w:bCs/>
                <w:sz w:val="14"/>
                <w:szCs w:val="14"/>
              </w:rPr>
            </w:pPr>
            <w:r w:rsidRPr="001B4CA2">
              <w:rPr>
                <w:rFonts w:cstheme="minorHAnsi"/>
                <w:b/>
                <w:bCs/>
                <w:color w:val="000000"/>
                <w:sz w:val="14"/>
                <w:szCs w:val="14"/>
              </w:rPr>
              <w:t>1.056</w:t>
            </w:r>
          </w:p>
        </w:tc>
        <w:tc>
          <w:tcPr>
            <w:tcW w:w="180" w:type="pct"/>
            <w:tcBorders>
              <w:top w:val="nil"/>
              <w:left w:val="nil"/>
              <w:bottom w:val="single" w:sz="4" w:space="0" w:color="auto"/>
              <w:right w:val="single" w:sz="4" w:space="0" w:color="auto"/>
            </w:tcBorders>
            <w:shd w:val="clear" w:color="auto" w:fill="auto"/>
            <w:vAlign w:val="center"/>
          </w:tcPr>
          <w:p w14:paraId="131BE8C0" w14:textId="77777777" w:rsidR="00CF336B" w:rsidRPr="001B4CA2" w:rsidRDefault="00CF336B" w:rsidP="00CF336B">
            <w:pPr>
              <w:jc w:val="center"/>
              <w:rPr>
                <w:bCs/>
                <w:sz w:val="14"/>
                <w:szCs w:val="14"/>
              </w:rPr>
            </w:pPr>
            <w:r w:rsidRPr="001B4CA2">
              <w:rPr>
                <w:rFonts w:asciiTheme="majorHAnsi" w:hAnsiTheme="majorHAnsi" w:cstheme="majorHAnsi"/>
                <w:b/>
                <w:bCs/>
                <w:color w:val="000000"/>
                <w:sz w:val="14"/>
                <w:szCs w:val="14"/>
              </w:rPr>
              <w:t>21</w:t>
            </w:r>
          </w:p>
        </w:tc>
        <w:tc>
          <w:tcPr>
            <w:tcW w:w="219" w:type="pct"/>
            <w:tcBorders>
              <w:top w:val="nil"/>
              <w:left w:val="nil"/>
              <w:bottom w:val="single" w:sz="4" w:space="0" w:color="auto"/>
              <w:right w:val="single" w:sz="4" w:space="0" w:color="auto"/>
            </w:tcBorders>
            <w:shd w:val="clear" w:color="auto" w:fill="auto"/>
            <w:vAlign w:val="center"/>
          </w:tcPr>
          <w:p w14:paraId="30BCB8D6" w14:textId="77777777" w:rsidR="00CF336B" w:rsidRPr="001B4CA2" w:rsidRDefault="00CF336B" w:rsidP="00CF336B">
            <w:pPr>
              <w:jc w:val="center"/>
              <w:rPr>
                <w:b/>
                <w:bCs/>
                <w:sz w:val="14"/>
                <w:szCs w:val="14"/>
              </w:rPr>
            </w:pPr>
            <w:r w:rsidRPr="001B4CA2">
              <w:rPr>
                <w:rFonts w:ascii="Calibri" w:hAnsi="Calibri" w:cs="Calibri"/>
                <w:b/>
                <w:bCs/>
                <w:color w:val="000000"/>
                <w:sz w:val="14"/>
                <w:szCs w:val="14"/>
              </w:rPr>
              <w:t>34.378</w:t>
            </w:r>
          </w:p>
        </w:tc>
      </w:tr>
    </w:tbl>
    <w:p w14:paraId="016297B8" w14:textId="035EB694" w:rsidR="009305B5" w:rsidRPr="001B4CA2" w:rsidRDefault="009305B5" w:rsidP="003C75DA">
      <w:pPr>
        <w:ind w:left="-142" w:hanging="360"/>
        <w:contextualSpacing/>
        <w:jc w:val="left"/>
        <w:rPr>
          <w:i/>
        </w:rPr>
      </w:pPr>
      <w:r w:rsidRPr="001B4CA2">
        <w:rPr>
          <w:i/>
        </w:rPr>
        <w:t>f) Sklopljene nagodbe prema zastupanom tijelu, vrsti i vrijednosti spora u 202</w:t>
      </w:r>
      <w:r w:rsidR="00CF336B" w:rsidRPr="001B4CA2">
        <w:rPr>
          <w:i/>
        </w:rPr>
        <w:t>2</w:t>
      </w:r>
      <w:r w:rsidRPr="001B4CA2">
        <w:rPr>
          <w:i/>
        </w:rPr>
        <w:t>.</w:t>
      </w:r>
      <w:r w:rsidR="00DF166F" w:rsidRPr="001B4CA2">
        <w:rPr>
          <w:i/>
        </w:rPr>
        <w:t xml:space="preserve"> </w:t>
      </w:r>
      <w:r w:rsidR="00310130" w:rsidRPr="001B4CA2">
        <w:rPr>
          <w:i/>
        </w:rPr>
        <w:t xml:space="preserve">– </w:t>
      </w:r>
      <w:r w:rsidRPr="001B4CA2">
        <w:rPr>
          <w:i/>
        </w:rPr>
        <w:t>p</w:t>
      </w:r>
      <w:r w:rsidR="004B6DA4" w:rsidRPr="001B4CA2">
        <w:rPr>
          <w:i/>
        </w:rPr>
        <w:t>odnositelj zahtjeva druge osobe</w:t>
      </w:r>
    </w:p>
    <w:p w14:paraId="7D46EF83" w14:textId="77777777" w:rsidR="00916DAB" w:rsidRPr="001B4CA2" w:rsidRDefault="00916DAB" w:rsidP="00B35AC2">
      <w:pPr>
        <w:sectPr w:rsidR="00916DAB" w:rsidRPr="001B4CA2" w:rsidSect="007418AF">
          <w:pgSz w:w="16838" w:h="11906" w:orient="landscape"/>
          <w:pgMar w:top="1417" w:right="1417" w:bottom="993" w:left="1417" w:header="1276" w:footer="709" w:gutter="0"/>
          <w:cols w:space="708"/>
          <w:docGrid w:linePitch="360"/>
        </w:sectPr>
      </w:pPr>
    </w:p>
    <w:p w14:paraId="38395A36" w14:textId="66BA91DB" w:rsidR="00965363" w:rsidRPr="001B4CA2" w:rsidRDefault="00CF336B" w:rsidP="00965363">
      <w:r w:rsidRPr="001B4CA2">
        <w:lastRenderedPageBreak/>
        <w:tab/>
      </w:r>
      <w:r w:rsidR="00965363" w:rsidRPr="001B4CA2">
        <w:t>Iz prethodne je tablice vidljivo da je 26</w:t>
      </w:r>
      <w:r w:rsidR="005A76BE">
        <w:t xml:space="preserve"> </w:t>
      </w:r>
      <w:r w:rsidR="00965363" w:rsidRPr="001B4CA2">
        <w:t xml:space="preserve">% </w:t>
      </w:r>
      <w:proofErr w:type="spellStart"/>
      <w:r w:rsidR="00965363" w:rsidRPr="001B4CA2">
        <w:t>stvarnopravnih</w:t>
      </w:r>
      <w:proofErr w:type="spellEnd"/>
      <w:r w:rsidR="00965363" w:rsidRPr="001B4CA2">
        <w:t xml:space="preserve"> zahtjeva riješeno nagodbom, </w:t>
      </w:r>
      <w:proofErr w:type="spellStart"/>
      <w:r w:rsidR="00965363" w:rsidRPr="001B4CA2">
        <w:t>obveznopravnih</w:t>
      </w:r>
      <w:proofErr w:type="spellEnd"/>
      <w:r w:rsidR="00965363" w:rsidRPr="001B4CA2">
        <w:t xml:space="preserve"> 49</w:t>
      </w:r>
      <w:r w:rsidR="005A76BE">
        <w:t xml:space="preserve"> </w:t>
      </w:r>
      <w:r w:rsidR="00965363" w:rsidRPr="001B4CA2">
        <w:t>%, a zahtjeva za naknadu štete 5</w:t>
      </w:r>
      <w:r w:rsidR="005A76BE">
        <w:t xml:space="preserve"> </w:t>
      </w:r>
      <w:r w:rsidR="00965363" w:rsidRPr="001B4CA2">
        <w:t>%, dok je 11</w:t>
      </w:r>
      <w:r w:rsidR="005A76BE">
        <w:t xml:space="preserve"> </w:t>
      </w:r>
      <w:r w:rsidR="00965363" w:rsidRPr="001B4CA2">
        <w:t xml:space="preserve">% </w:t>
      </w:r>
      <w:proofErr w:type="spellStart"/>
      <w:r w:rsidR="00965363" w:rsidRPr="001B4CA2">
        <w:t>radnopravnih</w:t>
      </w:r>
      <w:proofErr w:type="spellEnd"/>
      <w:r w:rsidR="00965363" w:rsidRPr="001B4CA2">
        <w:t xml:space="preserve"> zahtjeva riješeno nagodbom.</w:t>
      </w:r>
    </w:p>
    <w:p w14:paraId="0B4693BA" w14:textId="77777777" w:rsidR="00965363" w:rsidRPr="001B4CA2" w:rsidRDefault="00965363" w:rsidP="00965363"/>
    <w:p w14:paraId="2D9DEC56" w14:textId="1BD3C999" w:rsidR="00965363" w:rsidRPr="001B4CA2" w:rsidRDefault="00965363" w:rsidP="00965363">
      <w:r w:rsidRPr="001B4CA2">
        <w:tab/>
        <w:t>Udio sklopljenih nagodbi koji se odnosi na zahtjeve za mirno rješenje spora iz djelokruga rada Ministarstva poljoprivrede (35</w:t>
      </w:r>
      <w:r w:rsidR="005A76BE">
        <w:t xml:space="preserve"> </w:t>
      </w:r>
      <w:r w:rsidRPr="001B4CA2">
        <w:t>%) te Središnjeg državnog ureda za obnovu i stambeno zbrinjavanje (76</w:t>
      </w:r>
      <w:r w:rsidR="005A76BE">
        <w:t xml:space="preserve"> </w:t>
      </w:r>
      <w:r w:rsidRPr="001B4CA2">
        <w:t>%) može se smatrati iznadprosječnim rezultatom, dok se 18</w:t>
      </w:r>
      <w:r w:rsidR="005A76BE">
        <w:t xml:space="preserve"> </w:t>
      </w:r>
      <w:r w:rsidRPr="001B4CA2">
        <w:t>% nagodbi odnosi na Ministarstvo unutarnjih poslova, a 8</w:t>
      </w:r>
      <w:r w:rsidR="005A76BE">
        <w:t xml:space="preserve"> </w:t>
      </w:r>
      <w:r w:rsidRPr="001B4CA2">
        <w:t>% na Ministarstvo obrane Republike Hrvatske.</w:t>
      </w:r>
    </w:p>
    <w:p w14:paraId="1E8067B3" w14:textId="77777777" w:rsidR="00965363" w:rsidRPr="001B4CA2" w:rsidRDefault="00965363" w:rsidP="00965363"/>
    <w:p w14:paraId="3F170A4E" w14:textId="77777777" w:rsidR="00965363" w:rsidRPr="001B4CA2" w:rsidRDefault="00965363" w:rsidP="00965363">
      <w:r w:rsidRPr="001B4CA2">
        <w:tab/>
        <w:t>Kada se gore navedeni podatci stave u korelaciju s podatcima o broju novih parnica i uspjehu u postupku, može se zaključiti da su odluke državnih odvjetništava o podnesenim zahtjevima bile u velikom broju utemeljene.</w:t>
      </w:r>
    </w:p>
    <w:p w14:paraId="71F328BA" w14:textId="77777777" w:rsidR="00965363" w:rsidRPr="001B4CA2" w:rsidRDefault="00965363" w:rsidP="00965363"/>
    <w:p w14:paraId="186E51F9" w14:textId="77777777" w:rsidR="00965363" w:rsidRPr="001B4CA2" w:rsidRDefault="00965363" w:rsidP="00965363">
      <w:r w:rsidRPr="001B4CA2">
        <w:tab/>
        <w:t>Sve naprijed navedeno potvrđuje važnost pravnog instituta izvansudskog rješavanja sporova, kvalitetu rada, kao i stručnost zamjenika koji rade na ovim predmetima.</w:t>
      </w:r>
    </w:p>
    <w:p w14:paraId="5B4B6E3C" w14:textId="77777777" w:rsidR="00965363" w:rsidRPr="001B4CA2" w:rsidRDefault="00965363" w:rsidP="00965363"/>
    <w:p w14:paraId="77D0D726" w14:textId="77777777" w:rsidR="00965363" w:rsidRPr="001B4CA2" w:rsidRDefault="00965363" w:rsidP="00965363">
      <w:r w:rsidRPr="001B4CA2">
        <w:tab/>
        <w:t>Potrebno je istaknuti da je u predmetima radi naknade štete s visoko postavljenim zahtjevima zbog navodno nepravilnog i nezakonitog rada tijela državne uprave ili suda nužno provesti jedno ili više vještačenja, pa zakonski rok od 3 mjeseca nije dovoljan za uspješno rješavanje takvih predmeta. Uza sve to treba istaknuti da pojedina ministarstva ne dostavljaju pravodobno relevantne podatke i dokumentaciju potrebnu za zaključenje nagodbe.</w:t>
      </w:r>
    </w:p>
    <w:p w14:paraId="21DAC777" w14:textId="77777777" w:rsidR="00965363" w:rsidRPr="001B4CA2" w:rsidRDefault="00965363" w:rsidP="00965363"/>
    <w:p w14:paraId="6122E10B" w14:textId="77777777" w:rsidR="00965363" w:rsidRPr="001B4CA2" w:rsidRDefault="00965363" w:rsidP="00965363">
      <w:r w:rsidRPr="001B4CA2">
        <w:tab/>
        <w:t>Broj sklopljenih nagodbi mogao bi biti i veći kada bi se osigurala dodatna sredstva za provođenje vještačenja radi utvrđivanja visine obveze, kao i kada bi nadležna tijela pravodobno i u potpunosti izvještavala državno odvjetništvo o svim bitnim činjenicama o kojima ovisi odluka o osnovanosti zahtjeva te dostavila dokaze i osiguravalo financijska sredstva. Na broj sklopljenih nagodbi utječe i neujednačena sudska praksa.</w:t>
      </w:r>
    </w:p>
    <w:p w14:paraId="12204169" w14:textId="77777777" w:rsidR="00965363" w:rsidRPr="001B4CA2" w:rsidRDefault="00965363" w:rsidP="00965363"/>
    <w:p w14:paraId="7A7A0786" w14:textId="4BF244FE" w:rsidR="00965363" w:rsidRPr="001B4CA2" w:rsidRDefault="00965363" w:rsidP="00965363">
      <w:r w:rsidRPr="001B4CA2">
        <w:tab/>
        <w:t>Također, kada se 8.483 sklopljen</w:t>
      </w:r>
      <w:r w:rsidR="005A76BE">
        <w:t>e</w:t>
      </w:r>
      <w:r w:rsidRPr="001B4CA2">
        <w:t xml:space="preserve"> nagodb</w:t>
      </w:r>
      <w:r w:rsidR="005A76BE">
        <w:t>e</w:t>
      </w:r>
      <w:r w:rsidRPr="001B4CA2">
        <w:t xml:space="preserve"> u prethodnih pet godina stav</w:t>
      </w:r>
      <w:r w:rsidR="005A76BE">
        <w:t>i</w:t>
      </w:r>
      <w:r w:rsidRPr="001B4CA2">
        <w:t xml:space="preserve"> u korelaciju s ranije važećim okvirnim mjerilima za rad sudaca (150 odluka po jednoj godini), proizlazi da je to godišnja norma za rad 56,50 sudaca.</w:t>
      </w:r>
    </w:p>
    <w:p w14:paraId="367F8A3B" w14:textId="77777777" w:rsidR="00965363" w:rsidRPr="001B4CA2" w:rsidRDefault="00965363" w:rsidP="00965363"/>
    <w:p w14:paraId="55E6B84C" w14:textId="77777777" w:rsidR="00965363" w:rsidRPr="001B4CA2" w:rsidRDefault="00965363" w:rsidP="00965363">
      <w:r w:rsidRPr="001B4CA2">
        <w:tab/>
        <w:t xml:space="preserve">Kada se 1.941 sklopljena nagodba u 2022. godini stavi u korelaciju sa sada važećim okvirnim mjerilima za rad sudaca (130 nagodbi po jednoj godini), proizlazi da je to godišnja norma za rad 14,93 sudaca. Ako tome pribrojimo i 212 pozitivno riješenih zahtjeva za izdavanje </w:t>
      </w:r>
      <w:proofErr w:type="spellStart"/>
      <w:r w:rsidRPr="001B4CA2">
        <w:t>tabularne</w:t>
      </w:r>
      <w:proofErr w:type="spellEnd"/>
      <w:r w:rsidRPr="001B4CA2">
        <w:t xml:space="preserve"> isprave temeljem čl. 57., st. 3. Zakona o zemljišnim knjigama, državna su odvjetništva kroz institut izvansudskog rješavanja sporova u 2022. godini ispunila normu za rad 16 sudaca.</w:t>
      </w:r>
    </w:p>
    <w:p w14:paraId="0F3924AA" w14:textId="77777777" w:rsidR="00965363" w:rsidRPr="001B4CA2" w:rsidRDefault="00965363" w:rsidP="00965363"/>
    <w:p w14:paraId="1E403433" w14:textId="77777777" w:rsidR="00965363" w:rsidRPr="001B4CA2" w:rsidRDefault="00965363" w:rsidP="00965363">
      <w:r w:rsidRPr="001B4CA2">
        <w:tab/>
        <w:t>Državno odvjetništvo Republike Hrvatske nastavit će pratiti rad na ovom pravnom području i obavještavati ministarstva u svim slučajevima kada je evidentno da vođenje parnica s jedne strane opterećuje sustav državnog odvjetništva i sudova, a s druge strane povećava troškove postupka.</w:t>
      </w:r>
    </w:p>
    <w:p w14:paraId="201F42F9" w14:textId="77777777" w:rsidR="00965363" w:rsidRPr="001B4CA2" w:rsidRDefault="00965363" w:rsidP="00965363"/>
    <w:p w14:paraId="6A591801" w14:textId="77777777" w:rsidR="00965363" w:rsidRPr="001B4CA2" w:rsidRDefault="00965363" w:rsidP="00965363">
      <w:r w:rsidRPr="001B4CA2">
        <w:lastRenderedPageBreak/>
        <w:tab/>
        <w:t>Cilj je kroz izvansudske nagodbe smanjiti troškove države, odnosno broj postupaka u kojima je država tuženica te istodobno omogućiti građanima i pravnim osobama da brže i s minimalnim troškovima ostvare svoja prava.</w:t>
      </w:r>
    </w:p>
    <w:p w14:paraId="5B3EA94B" w14:textId="76FADE7D" w:rsidR="00CF336B" w:rsidRPr="001B4CA2" w:rsidRDefault="00CF336B" w:rsidP="00965363"/>
    <w:p w14:paraId="22D216AA" w14:textId="20E77D56" w:rsidR="00BB4D48" w:rsidRPr="001B4CA2" w:rsidRDefault="00B115A1" w:rsidP="00BF508A">
      <w:pPr>
        <w:pStyle w:val="Naslov4"/>
        <w:ind w:left="851" w:hanging="709"/>
        <w:rPr>
          <w:rFonts w:ascii="Arial" w:hAnsi="Arial" w:cs="Arial"/>
        </w:rPr>
      </w:pPr>
      <w:bookmarkStart w:id="44" w:name="_Toc133394305"/>
      <w:r w:rsidRPr="001B4CA2">
        <w:rPr>
          <w:rFonts w:ascii="Arial" w:hAnsi="Arial" w:cs="Arial"/>
        </w:rPr>
        <w:t>Odluke državnih</w:t>
      </w:r>
      <w:r w:rsidR="00BB4D48" w:rsidRPr="001B4CA2">
        <w:rPr>
          <w:rFonts w:ascii="Arial" w:hAnsi="Arial" w:cs="Arial"/>
        </w:rPr>
        <w:t xml:space="preserve"> odvjetništ</w:t>
      </w:r>
      <w:r w:rsidRPr="001B4CA2">
        <w:rPr>
          <w:rFonts w:ascii="Arial" w:hAnsi="Arial" w:cs="Arial"/>
        </w:rPr>
        <w:t>a</w:t>
      </w:r>
      <w:r w:rsidR="00BB4D48" w:rsidRPr="001B4CA2">
        <w:rPr>
          <w:rFonts w:ascii="Arial" w:hAnsi="Arial" w:cs="Arial"/>
        </w:rPr>
        <w:t>va u parnicam</w:t>
      </w:r>
      <w:r w:rsidR="00B24E4C" w:rsidRPr="001B4CA2">
        <w:rPr>
          <w:rFonts w:ascii="Arial" w:hAnsi="Arial" w:cs="Arial"/>
        </w:rPr>
        <w:t xml:space="preserve">a pred općinskim i trgovačkim </w:t>
      </w:r>
      <w:r w:rsidR="007326B9" w:rsidRPr="001B4CA2">
        <w:rPr>
          <w:rFonts w:ascii="Arial" w:hAnsi="Arial" w:cs="Arial"/>
        </w:rPr>
        <w:t>sudovima</w:t>
      </w:r>
      <w:bookmarkEnd w:id="44"/>
    </w:p>
    <w:p w14:paraId="70BC3280" w14:textId="77777777" w:rsidR="00735C5F" w:rsidRPr="001B4CA2" w:rsidRDefault="00735C5F" w:rsidP="00735C5F"/>
    <w:p w14:paraId="1096AD22" w14:textId="7641F8AE" w:rsidR="00CF336B" w:rsidRPr="001B4CA2" w:rsidRDefault="00CF336B" w:rsidP="00CF336B">
      <w:pPr>
        <w:pStyle w:val="Odlomakpopisa"/>
        <w:ind w:left="142"/>
        <w:rPr>
          <w:i/>
        </w:rPr>
      </w:pPr>
      <w:r w:rsidRPr="001B4CA2">
        <w:rPr>
          <w:i/>
        </w:rPr>
        <w:t>a) Odluke i postupanje državnih odvjetništava u parnicama, 2018. – 2022.</w:t>
      </w:r>
    </w:p>
    <w:tbl>
      <w:tblPr>
        <w:tblW w:w="473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823"/>
        <w:gridCol w:w="824"/>
        <w:gridCol w:w="819"/>
        <w:gridCol w:w="819"/>
        <w:gridCol w:w="819"/>
        <w:gridCol w:w="830"/>
        <w:gridCol w:w="819"/>
        <w:gridCol w:w="819"/>
        <w:gridCol w:w="671"/>
        <w:gridCol w:w="708"/>
      </w:tblGrid>
      <w:tr w:rsidR="00CF336B" w:rsidRPr="001B4CA2" w14:paraId="30D3A6FC" w14:textId="77777777" w:rsidTr="003E79A0">
        <w:trPr>
          <w:trHeight w:val="424"/>
        </w:trPr>
        <w:tc>
          <w:tcPr>
            <w:tcW w:w="476" w:type="pct"/>
            <w:vMerge w:val="restart"/>
            <w:shd w:val="clear" w:color="auto" w:fill="99CCFF"/>
            <w:vAlign w:val="center"/>
            <w:hideMark/>
          </w:tcPr>
          <w:p w14:paraId="7F7C9DB5"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Godina</w:t>
            </w:r>
          </w:p>
        </w:tc>
        <w:tc>
          <w:tcPr>
            <w:tcW w:w="468" w:type="pct"/>
            <w:vMerge w:val="restart"/>
            <w:shd w:val="clear" w:color="auto" w:fill="99CCFF"/>
            <w:textDirection w:val="btLr"/>
            <w:vAlign w:val="center"/>
            <w:hideMark/>
          </w:tcPr>
          <w:p w14:paraId="6ABB16F9"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Ostalo u radu u DO</w:t>
            </w:r>
          </w:p>
        </w:tc>
        <w:tc>
          <w:tcPr>
            <w:tcW w:w="469" w:type="pct"/>
            <w:vMerge w:val="restart"/>
            <w:shd w:val="clear" w:color="auto" w:fill="99CCFF"/>
            <w:textDirection w:val="btLr"/>
            <w:vAlign w:val="center"/>
            <w:hideMark/>
          </w:tcPr>
          <w:p w14:paraId="266D2FCA"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Primljeno novih zahtjeva</w:t>
            </w:r>
          </w:p>
        </w:tc>
        <w:tc>
          <w:tcPr>
            <w:tcW w:w="1870" w:type="pct"/>
            <w:gridSpan w:val="4"/>
            <w:shd w:val="clear" w:color="auto" w:fill="99CCFF"/>
            <w:vAlign w:val="center"/>
            <w:hideMark/>
          </w:tcPr>
          <w:p w14:paraId="45CF3059"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Odluke DO</w:t>
            </w:r>
          </w:p>
        </w:tc>
        <w:tc>
          <w:tcPr>
            <w:tcW w:w="466" w:type="pct"/>
            <w:vMerge w:val="restart"/>
            <w:shd w:val="clear" w:color="auto" w:fill="99CCFF"/>
            <w:textDirection w:val="btLr"/>
            <w:vAlign w:val="center"/>
            <w:hideMark/>
          </w:tcPr>
          <w:p w14:paraId="387EA99D"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Rasprave</w:t>
            </w:r>
          </w:p>
        </w:tc>
        <w:tc>
          <w:tcPr>
            <w:tcW w:w="466" w:type="pct"/>
            <w:vMerge w:val="restart"/>
            <w:shd w:val="clear" w:color="auto" w:fill="99CCFF"/>
            <w:textDirection w:val="btLr"/>
            <w:vAlign w:val="center"/>
            <w:hideMark/>
          </w:tcPr>
          <w:p w14:paraId="6E3DB95C"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Postupci pred sudom u kojima nije donijeta I-stup. odluka</w:t>
            </w:r>
          </w:p>
        </w:tc>
        <w:tc>
          <w:tcPr>
            <w:tcW w:w="382" w:type="pct"/>
            <w:vMerge w:val="restart"/>
            <w:shd w:val="clear" w:color="auto" w:fill="99CCFF"/>
            <w:textDirection w:val="btLr"/>
            <w:vAlign w:val="center"/>
            <w:hideMark/>
          </w:tcPr>
          <w:p w14:paraId="50FCE9A5"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Žalbe DO</w:t>
            </w:r>
          </w:p>
        </w:tc>
        <w:tc>
          <w:tcPr>
            <w:tcW w:w="403" w:type="pct"/>
            <w:vMerge w:val="restart"/>
            <w:shd w:val="clear" w:color="auto" w:fill="99CCFF"/>
            <w:textDirection w:val="btLr"/>
            <w:vAlign w:val="center"/>
            <w:hideMark/>
          </w:tcPr>
          <w:p w14:paraId="119C3616"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Izvanredni pravni lijekovi</w:t>
            </w:r>
          </w:p>
        </w:tc>
      </w:tr>
      <w:tr w:rsidR="00CF336B" w:rsidRPr="001B4CA2" w14:paraId="2F42E5FB" w14:textId="77777777" w:rsidTr="003E79A0">
        <w:trPr>
          <w:trHeight w:val="2025"/>
        </w:trPr>
        <w:tc>
          <w:tcPr>
            <w:tcW w:w="476" w:type="pct"/>
            <w:vMerge/>
            <w:vAlign w:val="center"/>
            <w:hideMark/>
          </w:tcPr>
          <w:p w14:paraId="42B9E5D7" w14:textId="77777777" w:rsidR="00CF336B" w:rsidRPr="001B4CA2" w:rsidRDefault="00CF336B" w:rsidP="00A14600">
            <w:pPr>
              <w:jc w:val="left"/>
              <w:rPr>
                <w:rFonts w:eastAsia="Times New Roman"/>
                <w:bCs/>
                <w:sz w:val="18"/>
                <w:szCs w:val="18"/>
                <w:lang w:eastAsia="hr-HR"/>
              </w:rPr>
            </w:pPr>
          </w:p>
        </w:tc>
        <w:tc>
          <w:tcPr>
            <w:tcW w:w="468" w:type="pct"/>
            <w:vMerge/>
            <w:vAlign w:val="center"/>
            <w:hideMark/>
          </w:tcPr>
          <w:p w14:paraId="70B35034" w14:textId="77777777" w:rsidR="00CF336B" w:rsidRPr="001B4CA2" w:rsidRDefault="00CF336B" w:rsidP="00A14600">
            <w:pPr>
              <w:jc w:val="left"/>
              <w:rPr>
                <w:rFonts w:eastAsia="Times New Roman"/>
                <w:bCs/>
                <w:sz w:val="18"/>
                <w:szCs w:val="18"/>
                <w:lang w:eastAsia="hr-HR"/>
              </w:rPr>
            </w:pPr>
          </w:p>
        </w:tc>
        <w:tc>
          <w:tcPr>
            <w:tcW w:w="469" w:type="pct"/>
            <w:vMerge/>
            <w:vAlign w:val="center"/>
            <w:hideMark/>
          </w:tcPr>
          <w:p w14:paraId="2A18D8B2" w14:textId="77777777" w:rsidR="00CF336B" w:rsidRPr="001B4CA2" w:rsidRDefault="00CF336B" w:rsidP="00A14600">
            <w:pPr>
              <w:jc w:val="left"/>
              <w:rPr>
                <w:rFonts w:eastAsia="Times New Roman"/>
                <w:bCs/>
                <w:sz w:val="18"/>
                <w:szCs w:val="18"/>
                <w:lang w:eastAsia="hr-HR"/>
              </w:rPr>
            </w:pPr>
          </w:p>
        </w:tc>
        <w:tc>
          <w:tcPr>
            <w:tcW w:w="466" w:type="pct"/>
            <w:shd w:val="clear" w:color="auto" w:fill="99CCFF"/>
            <w:textDirection w:val="btLr"/>
            <w:vAlign w:val="center"/>
            <w:hideMark/>
          </w:tcPr>
          <w:p w14:paraId="163DFD9B" w14:textId="77777777" w:rsidR="00CF336B" w:rsidRPr="001B4CA2" w:rsidRDefault="00CF336B" w:rsidP="00A14600">
            <w:pPr>
              <w:jc w:val="left"/>
              <w:rPr>
                <w:rFonts w:eastAsia="Times New Roman"/>
                <w:b/>
                <w:sz w:val="18"/>
                <w:szCs w:val="18"/>
                <w:lang w:eastAsia="hr-HR"/>
              </w:rPr>
            </w:pPr>
            <w:r w:rsidRPr="001B4CA2">
              <w:rPr>
                <w:rFonts w:eastAsia="Times New Roman"/>
                <w:b/>
                <w:sz w:val="18"/>
                <w:szCs w:val="18"/>
                <w:lang w:eastAsia="hr-HR"/>
              </w:rPr>
              <w:t>Odbijanje inicijative</w:t>
            </w:r>
          </w:p>
        </w:tc>
        <w:tc>
          <w:tcPr>
            <w:tcW w:w="466" w:type="pct"/>
            <w:shd w:val="clear" w:color="auto" w:fill="99CCFF"/>
            <w:textDirection w:val="btLr"/>
            <w:vAlign w:val="center"/>
            <w:hideMark/>
          </w:tcPr>
          <w:p w14:paraId="6336EE16" w14:textId="77777777" w:rsidR="00CF336B" w:rsidRPr="001B4CA2" w:rsidRDefault="00CF336B" w:rsidP="00A14600">
            <w:pPr>
              <w:jc w:val="left"/>
              <w:rPr>
                <w:rFonts w:eastAsia="Times New Roman"/>
                <w:b/>
                <w:sz w:val="18"/>
                <w:szCs w:val="18"/>
                <w:lang w:eastAsia="hr-HR"/>
              </w:rPr>
            </w:pPr>
            <w:r w:rsidRPr="001B4CA2">
              <w:rPr>
                <w:rFonts w:eastAsia="Times New Roman"/>
                <w:b/>
                <w:sz w:val="18"/>
                <w:szCs w:val="18"/>
                <w:lang w:eastAsia="hr-HR"/>
              </w:rPr>
              <w:t xml:space="preserve">Tužba </w:t>
            </w:r>
          </w:p>
        </w:tc>
        <w:tc>
          <w:tcPr>
            <w:tcW w:w="466" w:type="pct"/>
            <w:shd w:val="clear" w:color="auto" w:fill="99CCFF"/>
            <w:textDirection w:val="btLr"/>
            <w:vAlign w:val="center"/>
            <w:hideMark/>
          </w:tcPr>
          <w:p w14:paraId="4D58A678" w14:textId="77777777" w:rsidR="00CF336B" w:rsidRPr="001B4CA2" w:rsidRDefault="00CF336B" w:rsidP="00A14600">
            <w:pPr>
              <w:jc w:val="left"/>
              <w:rPr>
                <w:rFonts w:eastAsia="Times New Roman"/>
                <w:b/>
                <w:sz w:val="18"/>
                <w:szCs w:val="18"/>
                <w:lang w:eastAsia="hr-HR"/>
              </w:rPr>
            </w:pPr>
            <w:r w:rsidRPr="001B4CA2">
              <w:rPr>
                <w:rFonts w:eastAsia="Times New Roman"/>
                <w:b/>
                <w:sz w:val="18"/>
                <w:szCs w:val="18"/>
                <w:lang w:eastAsia="hr-HR"/>
              </w:rPr>
              <w:t>Odgovor na tužbu</w:t>
            </w:r>
          </w:p>
        </w:tc>
        <w:tc>
          <w:tcPr>
            <w:tcW w:w="472" w:type="pct"/>
            <w:shd w:val="clear" w:color="auto" w:fill="99CCFF"/>
            <w:textDirection w:val="btLr"/>
            <w:vAlign w:val="center"/>
            <w:hideMark/>
          </w:tcPr>
          <w:p w14:paraId="5CF739AF" w14:textId="77777777" w:rsidR="00CF336B" w:rsidRPr="001B4CA2" w:rsidRDefault="00CF336B" w:rsidP="00A14600">
            <w:pPr>
              <w:jc w:val="left"/>
              <w:rPr>
                <w:rFonts w:eastAsia="Times New Roman"/>
                <w:b/>
                <w:sz w:val="18"/>
                <w:szCs w:val="18"/>
                <w:lang w:eastAsia="hr-HR"/>
              </w:rPr>
            </w:pPr>
            <w:r w:rsidRPr="001B4CA2">
              <w:rPr>
                <w:rFonts w:eastAsia="Times New Roman"/>
                <w:b/>
                <w:sz w:val="18"/>
                <w:szCs w:val="18"/>
                <w:lang w:eastAsia="hr-HR"/>
              </w:rPr>
              <w:t xml:space="preserve">Ostale odluke </w:t>
            </w:r>
          </w:p>
        </w:tc>
        <w:tc>
          <w:tcPr>
            <w:tcW w:w="466" w:type="pct"/>
            <w:vMerge/>
            <w:vAlign w:val="center"/>
            <w:hideMark/>
          </w:tcPr>
          <w:p w14:paraId="136CE497" w14:textId="77777777" w:rsidR="00CF336B" w:rsidRPr="001B4CA2" w:rsidRDefault="00CF336B" w:rsidP="00A14600">
            <w:pPr>
              <w:jc w:val="left"/>
              <w:rPr>
                <w:rFonts w:eastAsia="Times New Roman"/>
                <w:bCs/>
                <w:sz w:val="18"/>
                <w:szCs w:val="18"/>
                <w:lang w:eastAsia="hr-HR"/>
              </w:rPr>
            </w:pPr>
          </w:p>
        </w:tc>
        <w:tc>
          <w:tcPr>
            <w:tcW w:w="466" w:type="pct"/>
            <w:vMerge/>
            <w:vAlign w:val="center"/>
            <w:hideMark/>
          </w:tcPr>
          <w:p w14:paraId="538A2B8D" w14:textId="77777777" w:rsidR="00CF336B" w:rsidRPr="001B4CA2" w:rsidRDefault="00CF336B" w:rsidP="00A14600">
            <w:pPr>
              <w:jc w:val="left"/>
              <w:rPr>
                <w:rFonts w:eastAsia="Times New Roman"/>
                <w:bCs/>
                <w:sz w:val="18"/>
                <w:szCs w:val="18"/>
                <w:lang w:eastAsia="hr-HR"/>
              </w:rPr>
            </w:pPr>
          </w:p>
        </w:tc>
        <w:tc>
          <w:tcPr>
            <w:tcW w:w="382" w:type="pct"/>
            <w:vMerge/>
            <w:vAlign w:val="center"/>
            <w:hideMark/>
          </w:tcPr>
          <w:p w14:paraId="76B5B0FD" w14:textId="77777777" w:rsidR="00CF336B" w:rsidRPr="001B4CA2" w:rsidRDefault="00CF336B" w:rsidP="00A14600">
            <w:pPr>
              <w:jc w:val="left"/>
              <w:rPr>
                <w:rFonts w:eastAsia="Times New Roman"/>
                <w:bCs/>
                <w:sz w:val="18"/>
                <w:szCs w:val="18"/>
                <w:lang w:eastAsia="hr-HR"/>
              </w:rPr>
            </w:pPr>
          </w:p>
        </w:tc>
        <w:tc>
          <w:tcPr>
            <w:tcW w:w="403" w:type="pct"/>
            <w:vMerge/>
            <w:vAlign w:val="center"/>
            <w:hideMark/>
          </w:tcPr>
          <w:p w14:paraId="3353C1E9" w14:textId="77777777" w:rsidR="00CF336B" w:rsidRPr="001B4CA2" w:rsidRDefault="00CF336B" w:rsidP="00A14600">
            <w:pPr>
              <w:jc w:val="left"/>
              <w:rPr>
                <w:rFonts w:eastAsia="Times New Roman"/>
                <w:bCs/>
                <w:sz w:val="18"/>
                <w:szCs w:val="18"/>
                <w:lang w:eastAsia="hr-HR"/>
              </w:rPr>
            </w:pPr>
          </w:p>
        </w:tc>
      </w:tr>
      <w:tr w:rsidR="00CF336B" w:rsidRPr="001B4CA2" w14:paraId="45392472" w14:textId="77777777" w:rsidTr="003E79A0">
        <w:trPr>
          <w:trHeight w:val="300"/>
        </w:trPr>
        <w:tc>
          <w:tcPr>
            <w:tcW w:w="476" w:type="pct"/>
            <w:shd w:val="clear" w:color="auto" w:fill="auto"/>
            <w:noWrap/>
            <w:vAlign w:val="center"/>
          </w:tcPr>
          <w:p w14:paraId="347D9BF6"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2018.</w:t>
            </w:r>
          </w:p>
        </w:tc>
        <w:tc>
          <w:tcPr>
            <w:tcW w:w="468" w:type="pct"/>
            <w:shd w:val="clear" w:color="auto" w:fill="auto"/>
            <w:noWrap/>
            <w:vAlign w:val="center"/>
          </w:tcPr>
          <w:p w14:paraId="51D4F4AC"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155</w:t>
            </w:r>
          </w:p>
        </w:tc>
        <w:tc>
          <w:tcPr>
            <w:tcW w:w="469" w:type="pct"/>
            <w:shd w:val="clear" w:color="auto" w:fill="auto"/>
            <w:noWrap/>
            <w:vAlign w:val="center"/>
          </w:tcPr>
          <w:p w14:paraId="71BB4F2F"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5.388</w:t>
            </w:r>
          </w:p>
        </w:tc>
        <w:tc>
          <w:tcPr>
            <w:tcW w:w="466" w:type="pct"/>
            <w:shd w:val="clear" w:color="auto" w:fill="auto"/>
            <w:noWrap/>
            <w:vAlign w:val="center"/>
          </w:tcPr>
          <w:p w14:paraId="39D9C313"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55</w:t>
            </w:r>
          </w:p>
        </w:tc>
        <w:tc>
          <w:tcPr>
            <w:tcW w:w="466" w:type="pct"/>
            <w:shd w:val="clear" w:color="auto" w:fill="auto"/>
            <w:noWrap/>
            <w:vAlign w:val="center"/>
          </w:tcPr>
          <w:p w14:paraId="721D7343"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1.361</w:t>
            </w:r>
          </w:p>
        </w:tc>
        <w:tc>
          <w:tcPr>
            <w:tcW w:w="466" w:type="pct"/>
            <w:shd w:val="clear" w:color="auto" w:fill="auto"/>
            <w:noWrap/>
            <w:vAlign w:val="center"/>
          </w:tcPr>
          <w:p w14:paraId="6EDBB67E"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3.329</w:t>
            </w:r>
          </w:p>
        </w:tc>
        <w:tc>
          <w:tcPr>
            <w:tcW w:w="472" w:type="pct"/>
            <w:shd w:val="clear" w:color="auto" w:fill="auto"/>
            <w:noWrap/>
            <w:vAlign w:val="center"/>
          </w:tcPr>
          <w:p w14:paraId="7DF4E200"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657</w:t>
            </w:r>
          </w:p>
        </w:tc>
        <w:tc>
          <w:tcPr>
            <w:tcW w:w="466" w:type="pct"/>
            <w:shd w:val="clear" w:color="auto" w:fill="auto"/>
            <w:noWrap/>
            <w:vAlign w:val="center"/>
          </w:tcPr>
          <w:p w14:paraId="368F1F4C"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16.407</w:t>
            </w:r>
          </w:p>
        </w:tc>
        <w:tc>
          <w:tcPr>
            <w:tcW w:w="466" w:type="pct"/>
            <w:shd w:val="clear" w:color="auto" w:fill="auto"/>
            <w:noWrap/>
            <w:vAlign w:val="center"/>
          </w:tcPr>
          <w:p w14:paraId="2BB085D8"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8.296</w:t>
            </w:r>
          </w:p>
        </w:tc>
        <w:tc>
          <w:tcPr>
            <w:tcW w:w="382" w:type="pct"/>
            <w:shd w:val="clear" w:color="auto" w:fill="auto"/>
            <w:noWrap/>
            <w:vAlign w:val="center"/>
          </w:tcPr>
          <w:p w14:paraId="2E0B8424"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1.250</w:t>
            </w:r>
          </w:p>
        </w:tc>
        <w:tc>
          <w:tcPr>
            <w:tcW w:w="403" w:type="pct"/>
            <w:shd w:val="clear" w:color="auto" w:fill="auto"/>
            <w:noWrap/>
            <w:vAlign w:val="center"/>
          </w:tcPr>
          <w:p w14:paraId="0AD9164C"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160</w:t>
            </w:r>
          </w:p>
        </w:tc>
      </w:tr>
      <w:tr w:rsidR="00CF336B" w:rsidRPr="001B4CA2" w14:paraId="5F31DE8D" w14:textId="77777777" w:rsidTr="003E79A0">
        <w:trPr>
          <w:trHeight w:val="315"/>
        </w:trPr>
        <w:tc>
          <w:tcPr>
            <w:tcW w:w="476" w:type="pct"/>
            <w:shd w:val="clear" w:color="auto" w:fill="auto"/>
            <w:noWrap/>
            <w:vAlign w:val="center"/>
          </w:tcPr>
          <w:p w14:paraId="3C380427"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2019.</w:t>
            </w:r>
          </w:p>
        </w:tc>
        <w:tc>
          <w:tcPr>
            <w:tcW w:w="468" w:type="pct"/>
            <w:shd w:val="clear" w:color="auto" w:fill="auto"/>
            <w:noWrap/>
            <w:vAlign w:val="center"/>
          </w:tcPr>
          <w:p w14:paraId="4C0424BC"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141</w:t>
            </w:r>
          </w:p>
        </w:tc>
        <w:tc>
          <w:tcPr>
            <w:tcW w:w="469" w:type="pct"/>
            <w:shd w:val="clear" w:color="auto" w:fill="auto"/>
            <w:noWrap/>
            <w:vAlign w:val="center"/>
          </w:tcPr>
          <w:p w14:paraId="56020E99"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6.098</w:t>
            </w:r>
          </w:p>
        </w:tc>
        <w:tc>
          <w:tcPr>
            <w:tcW w:w="466" w:type="pct"/>
            <w:shd w:val="clear" w:color="auto" w:fill="auto"/>
            <w:noWrap/>
            <w:vAlign w:val="center"/>
          </w:tcPr>
          <w:p w14:paraId="27F6D64E"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190</w:t>
            </w:r>
          </w:p>
        </w:tc>
        <w:tc>
          <w:tcPr>
            <w:tcW w:w="466" w:type="pct"/>
            <w:shd w:val="clear" w:color="auto" w:fill="auto"/>
            <w:noWrap/>
            <w:vAlign w:val="center"/>
          </w:tcPr>
          <w:p w14:paraId="43883631"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1.316</w:t>
            </w:r>
          </w:p>
        </w:tc>
        <w:tc>
          <w:tcPr>
            <w:tcW w:w="466" w:type="pct"/>
            <w:shd w:val="clear" w:color="auto" w:fill="auto"/>
            <w:noWrap/>
            <w:vAlign w:val="center"/>
          </w:tcPr>
          <w:p w14:paraId="5B93D70E"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3.804</w:t>
            </w:r>
          </w:p>
        </w:tc>
        <w:tc>
          <w:tcPr>
            <w:tcW w:w="472" w:type="pct"/>
            <w:shd w:val="clear" w:color="auto" w:fill="auto"/>
            <w:noWrap/>
            <w:vAlign w:val="center"/>
          </w:tcPr>
          <w:p w14:paraId="51AE2B72"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772</w:t>
            </w:r>
          </w:p>
        </w:tc>
        <w:tc>
          <w:tcPr>
            <w:tcW w:w="466" w:type="pct"/>
            <w:shd w:val="clear" w:color="auto" w:fill="auto"/>
            <w:noWrap/>
            <w:vAlign w:val="center"/>
          </w:tcPr>
          <w:p w14:paraId="21C59BD1"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16.361</w:t>
            </w:r>
          </w:p>
        </w:tc>
        <w:tc>
          <w:tcPr>
            <w:tcW w:w="466" w:type="pct"/>
            <w:shd w:val="clear" w:color="auto" w:fill="auto"/>
            <w:noWrap/>
            <w:vAlign w:val="center"/>
          </w:tcPr>
          <w:p w14:paraId="34F76DE1"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8.188</w:t>
            </w:r>
          </w:p>
        </w:tc>
        <w:tc>
          <w:tcPr>
            <w:tcW w:w="382" w:type="pct"/>
            <w:shd w:val="clear" w:color="auto" w:fill="auto"/>
            <w:noWrap/>
            <w:vAlign w:val="center"/>
          </w:tcPr>
          <w:p w14:paraId="133F191F"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1.552</w:t>
            </w:r>
          </w:p>
        </w:tc>
        <w:tc>
          <w:tcPr>
            <w:tcW w:w="403" w:type="pct"/>
            <w:shd w:val="clear" w:color="auto" w:fill="auto"/>
            <w:noWrap/>
            <w:vAlign w:val="center"/>
          </w:tcPr>
          <w:p w14:paraId="76B37F91"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249</w:t>
            </w:r>
          </w:p>
        </w:tc>
      </w:tr>
      <w:tr w:rsidR="00CF336B" w:rsidRPr="001B4CA2" w14:paraId="2CE6E732" w14:textId="77777777" w:rsidTr="003E79A0">
        <w:trPr>
          <w:trHeight w:val="315"/>
        </w:trPr>
        <w:tc>
          <w:tcPr>
            <w:tcW w:w="476" w:type="pct"/>
            <w:shd w:val="clear" w:color="auto" w:fill="auto"/>
            <w:noWrap/>
            <w:vAlign w:val="center"/>
          </w:tcPr>
          <w:p w14:paraId="1733B140"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2020.</w:t>
            </w:r>
          </w:p>
        </w:tc>
        <w:tc>
          <w:tcPr>
            <w:tcW w:w="468" w:type="pct"/>
            <w:shd w:val="clear" w:color="auto" w:fill="auto"/>
            <w:noWrap/>
            <w:vAlign w:val="center"/>
          </w:tcPr>
          <w:p w14:paraId="3523988D"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352</w:t>
            </w:r>
          </w:p>
        </w:tc>
        <w:tc>
          <w:tcPr>
            <w:tcW w:w="469" w:type="pct"/>
            <w:shd w:val="clear" w:color="auto" w:fill="auto"/>
            <w:noWrap/>
            <w:vAlign w:val="center"/>
          </w:tcPr>
          <w:p w14:paraId="31A02AD2"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8.287</w:t>
            </w:r>
          </w:p>
        </w:tc>
        <w:tc>
          <w:tcPr>
            <w:tcW w:w="466" w:type="pct"/>
            <w:shd w:val="clear" w:color="auto" w:fill="auto"/>
            <w:noWrap/>
            <w:vAlign w:val="center"/>
          </w:tcPr>
          <w:p w14:paraId="68978CB5" w14:textId="77777777" w:rsidR="00CF336B" w:rsidRPr="001B4CA2" w:rsidRDefault="00CF336B" w:rsidP="00A14600">
            <w:pPr>
              <w:jc w:val="center"/>
              <w:rPr>
                <w:rFonts w:eastAsia="Times New Roman"/>
                <w:sz w:val="18"/>
                <w:szCs w:val="18"/>
                <w:lang w:eastAsia="hr-HR"/>
              </w:rPr>
            </w:pPr>
            <w:r w:rsidRPr="001B4CA2">
              <w:rPr>
                <w:sz w:val="18"/>
                <w:szCs w:val="18"/>
              </w:rPr>
              <w:t>60</w:t>
            </w:r>
          </w:p>
        </w:tc>
        <w:tc>
          <w:tcPr>
            <w:tcW w:w="466" w:type="pct"/>
            <w:shd w:val="clear" w:color="auto" w:fill="auto"/>
            <w:noWrap/>
            <w:vAlign w:val="center"/>
          </w:tcPr>
          <w:p w14:paraId="18FDF477" w14:textId="77777777" w:rsidR="00CF336B" w:rsidRPr="001B4CA2" w:rsidRDefault="00CF336B" w:rsidP="00A14600">
            <w:pPr>
              <w:jc w:val="center"/>
              <w:rPr>
                <w:rFonts w:eastAsia="Times New Roman"/>
                <w:sz w:val="18"/>
                <w:szCs w:val="18"/>
                <w:lang w:eastAsia="hr-HR"/>
              </w:rPr>
            </w:pPr>
            <w:r w:rsidRPr="001B4CA2">
              <w:rPr>
                <w:sz w:val="18"/>
                <w:szCs w:val="18"/>
              </w:rPr>
              <w:t>1.407</w:t>
            </w:r>
          </w:p>
        </w:tc>
        <w:tc>
          <w:tcPr>
            <w:tcW w:w="466" w:type="pct"/>
            <w:shd w:val="clear" w:color="auto" w:fill="auto"/>
            <w:noWrap/>
            <w:vAlign w:val="center"/>
          </w:tcPr>
          <w:p w14:paraId="6198449B"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4.171</w:t>
            </w:r>
          </w:p>
        </w:tc>
        <w:tc>
          <w:tcPr>
            <w:tcW w:w="472" w:type="pct"/>
            <w:shd w:val="clear" w:color="auto" w:fill="auto"/>
            <w:noWrap/>
            <w:vAlign w:val="center"/>
          </w:tcPr>
          <w:p w14:paraId="298CE42C"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2.588</w:t>
            </w:r>
          </w:p>
        </w:tc>
        <w:tc>
          <w:tcPr>
            <w:tcW w:w="466" w:type="pct"/>
            <w:shd w:val="clear" w:color="auto" w:fill="auto"/>
            <w:noWrap/>
            <w:vAlign w:val="center"/>
          </w:tcPr>
          <w:p w14:paraId="1D1A3B1C"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9.451</w:t>
            </w:r>
          </w:p>
        </w:tc>
        <w:tc>
          <w:tcPr>
            <w:tcW w:w="466" w:type="pct"/>
            <w:shd w:val="clear" w:color="auto" w:fill="auto"/>
            <w:noWrap/>
            <w:vAlign w:val="center"/>
          </w:tcPr>
          <w:p w14:paraId="125A73D2"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4.175</w:t>
            </w:r>
          </w:p>
        </w:tc>
        <w:tc>
          <w:tcPr>
            <w:tcW w:w="382" w:type="pct"/>
            <w:shd w:val="clear" w:color="auto" w:fill="auto"/>
            <w:noWrap/>
            <w:vAlign w:val="center"/>
          </w:tcPr>
          <w:p w14:paraId="331A002E"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2.750</w:t>
            </w:r>
          </w:p>
        </w:tc>
        <w:tc>
          <w:tcPr>
            <w:tcW w:w="403" w:type="pct"/>
            <w:shd w:val="clear" w:color="auto" w:fill="auto"/>
            <w:noWrap/>
            <w:vAlign w:val="center"/>
          </w:tcPr>
          <w:p w14:paraId="0785A3BB"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456</w:t>
            </w:r>
          </w:p>
        </w:tc>
      </w:tr>
      <w:tr w:rsidR="00CF336B" w:rsidRPr="001B4CA2" w14:paraId="55726665" w14:textId="77777777" w:rsidTr="003E79A0">
        <w:trPr>
          <w:trHeight w:val="315"/>
        </w:trPr>
        <w:tc>
          <w:tcPr>
            <w:tcW w:w="476" w:type="pct"/>
            <w:shd w:val="clear" w:color="auto" w:fill="auto"/>
            <w:noWrap/>
            <w:vAlign w:val="center"/>
          </w:tcPr>
          <w:p w14:paraId="31402DBA"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2021.</w:t>
            </w:r>
          </w:p>
        </w:tc>
        <w:tc>
          <w:tcPr>
            <w:tcW w:w="468" w:type="pct"/>
            <w:shd w:val="clear" w:color="auto" w:fill="auto"/>
            <w:noWrap/>
            <w:vAlign w:val="center"/>
          </w:tcPr>
          <w:p w14:paraId="0626F3C4"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313</w:t>
            </w:r>
          </w:p>
        </w:tc>
        <w:tc>
          <w:tcPr>
            <w:tcW w:w="469" w:type="pct"/>
            <w:shd w:val="clear" w:color="auto" w:fill="auto"/>
            <w:noWrap/>
            <w:vAlign w:val="center"/>
          </w:tcPr>
          <w:p w14:paraId="1F626CB7"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8.115</w:t>
            </w:r>
          </w:p>
        </w:tc>
        <w:tc>
          <w:tcPr>
            <w:tcW w:w="466" w:type="pct"/>
            <w:shd w:val="clear" w:color="auto" w:fill="auto"/>
            <w:noWrap/>
            <w:vAlign w:val="center"/>
          </w:tcPr>
          <w:p w14:paraId="1DF15909" w14:textId="77777777" w:rsidR="00CF336B" w:rsidRPr="001B4CA2" w:rsidRDefault="00CF336B" w:rsidP="00A14600">
            <w:pPr>
              <w:jc w:val="center"/>
              <w:rPr>
                <w:rFonts w:eastAsia="Times New Roman"/>
                <w:sz w:val="18"/>
                <w:szCs w:val="18"/>
                <w:lang w:eastAsia="hr-HR"/>
              </w:rPr>
            </w:pPr>
            <w:r w:rsidRPr="001B4CA2">
              <w:rPr>
                <w:sz w:val="18"/>
                <w:szCs w:val="18"/>
              </w:rPr>
              <w:t>687</w:t>
            </w:r>
          </w:p>
        </w:tc>
        <w:tc>
          <w:tcPr>
            <w:tcW w:w="466" w:type="pct"/>
            <w:shd w:val="clear" w:color="auto" w:fill="auto"/>
            <w:noWrap/>
            <w:vAlign w:val="center"/>
          </w:tcPr>
          <w:p w14:paraId="4EF17CB8" w14:textId="77777777" w:rsidR="00CF336B" w:rsidRPr="001B4CA2" w:rsidRDefault="00CF336B" w:rsidP="00A14600">
            <w:pPr>
              <w:jc w:val="center"/>
              <w:rPr>
                <w:rFonts w:eastAsia="Times New Roman"/>
                <w:sz w:val="18"/>
                <w:szCs w:val="18"/>
                <w:lang w:eastAsia="hr-HR"/>
              </w:rPr>
            </w:pPr>
            <w:r w:rsidRPr="001B4CA2">
              <w:rPr>
                <w:sz w:val="18"/>
                <w:szCs w:val="18"/>
              </w:rPr>
              <w:t>1.130</w:t>
            </w:r>
          </w:p>
        </w:tc>
        <w:tc>
          <w:tcPr>
            <w:tcW w:w="466" w:type="pct"/>
            <w:shd w:val="clear" w:color="auto" w:fill="auto"/>
            <w:noWrap/>
            <w:vAlign w:val="center"/>
          </w:tcPr>
          <w:p w14:paraId="214A7F81"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3.553</w:t>
            </w:r>
          </w:p>
        </w:tc>
        <w:tc>
          <w:tcPr>
            <w:tcW w:w="472" w:type="pct"/>
            <w:shd w:val="clear" w:color="auto" w:fill="auto"/>
            <w:noWrap/>
            <w:vAlign w:val="center"/>
          </w:tcPr>
          <w:p w14:paraId="420A377A"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3.078</w:t>
            </w:r>
          </w:p>
        </w:tc>
        <w:tc>
          <w:tcPr>
            <w:tcW w:w="466" w:type="pct"/>
            <w:shd w:val="clear" w:color="auto" w:fill="auto"/>
            <w:noWrap/>
            <w:vAlign w:val="center"/>
          </w:tcPr>
          <w:p w14:paraId="1CFF2554"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11.349</w:t>
            </w:r>
          </w:p>
        </w:tc>
        <w:tc>
          <w:tcPr>
            <w:tcW w:w="466" w:type="pct"/>
            <w:shd w:val="clear" w:color="auto" w:fill="auto"/>
            <w:noWrap/>
            <w:vAlign w:val="center"/>
          </w:tcPr>
          <w:p w14:paraId="0347D179"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11.880</w:t>
            </w:r>
          </w:p>
        </w:tc>
        <w:tc>
          <w:tcPr>
            <w:tcW w:w="382" w:type="pct"/>
            <w:shd w:val="clear" w:color="auto" w:fill="auto"/>
            <w:noWrap/>
            <w:vAlign w:val="center"/>
          </w:tcPr>
          <w:p w14:paraId="753BCD25"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2.028</w:t>
            </w:r>
          </w:p>
        </w:tc>
        <w:tc>
          <w:tcPr>
            <w:tcW w:w="403" w:type="pct"/>
            <w:shd w:val="clear" w:color="auto" w:fill="auto"/>
            <w:noWrap/>
            <w:vAlign w:val="center"/>
          </w:tcPr>
          <w:p w14:paraId="1239FB82"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565</w:t>
            </w:r>
          </w:p>
        </w:tc>
      </w:tr>
      <w:tr w:rsidR="00CF336B" w:rsidRPr="001B4CA2" w14:paraId="31EB60B8" w14:textId="77777777" w:rsidTr="003E79A0">
        <w:trPr>
          <w:trHeight w:val="315"/>
        </w:trPr>
        <w:tc>
          <w:tcPr>
            <w:tcW w:w="476" w:type="pct"/>
            <w:shd w:val="clear" w:color="auto" w:fill="auto"/>
            <w:noWrap/>
            <w:vAlign w:val="center"/>
          </w:tcPr>
          <w:p w14:paraId="20CF0510"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2022.</w:t>
            </w:r>
          </w:p>
        </w:tc>
        <w:tc>
          <w:tcPr>
            <w:tcW w:w="468" w:type="pct"/>
            <w:shd w:val="clear" w:color="auto" w:fill="auto"/>
            <w:noWrap/>
            <w:vAlign w:val="center"/>
          </w:tcPr>
          <w:p w14:paraId="4101FE85"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164</w:t>
            </w:r>
          </w:p>
        </w:tc>
        <w:tc>
          <w:tcPr>
            <w:tcW w:w="469" w:type="pct"/>
            <w:shd w:val="clear" w:color="auto" w:fill="auto"/>
            <w:noWrap/>
            <w:vAlign w:val="center"/>
          </w:tcPr>
          <w:p w14:paraId="048E07A4"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5.186</w:t>
            </w:r>
          </w:p>
        </w:tc>
        <w:tc>
          <w:tcPr>
            <w:tcW w:w="466" w:type="pct"/>
            <w:shd w:val="clear" w:color="auto" w:fill="auto"/>
            <w:noWrap/>
            <w:vAlign w:val="center"/>
          </w:tcPr>
          <w:p w14:paraId="57C7D174" w14:textId="77777777" w:rsidR="00CF336B" w:rsidRPr="001B4CA2" w:rsidRDefault="00CF336B" w:rsidP="00A14600">
            <w:pPr>
              <w:jc w:val="center"/>
              <w:rPr>
                <w:sz w:val="18"/>
                <w:szCs w:val="18"/>
              </w:rPr>
            </w:pPr>
            <w:r w:rsidRPr="001B4CA2">
              <w:rPr>
                <w:sz w:val="18"/>
                <w:szCs w:val="18"/>
              </w:rPr>
              <w:t>509</w:t>
            </w:r>
          </w:p>
        </w:tc>
        <w:tc>
          <w:tcPr>
            <w:tcW w:w="466" w:type="pct"/>
            <w:shd w:val="clear" w:color="auto" w:fill="auto"/>
            <w:noWrap/>
            <w:vAlign w:val="center"/>
          </w:tcPr>
          <w:p w14:paraId="27BB35CB" w14:textId="77777777" w:rsidR="00CF336B" w:rsidRPr="001B4CA2" w:rsidRDefault="00CF336B" w:rsidP="00A14600">
            <w:pPr>
              <w:jc w:val="center"/>
              <w:rPr>
                <w:sz w:val="18"/>
                <w:szCs w:val="18"/>
              </w:rPr>
            </w:pPr>
            <w:r w:rsidRPr="001B4CA2">
              <w:rPr>
                <w:sz w:val="18"/>
                <w:szCs w:val="18"/>
              </w:rPr>
              <w:t>1.408</w:t>
            </w:r>
          </w:p>
        </w:tc>
        <w:tc>
          <w:tcPr>
            <w:tcW w:w="466" w:type="pct"/>
            <w:shd w:val="clear" w:color="auto" w:fill="auto"/>
            <w:noWrap/>
            <w:vAlign w:val="center"/>
          </w:tcPr>
          <w:p w14:paraId="540B80BD"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2.255</w:t>
            </w:r>
          </w:p>
        </w:tc>
        <w:tc>
          <w:tcPr>
            <w:tcW w:w="472" w:type="pct"/>
            <w:shd w:val="clear" w:color="auto" w:fill="auto"/>
            <w:noWrap/>
            <w:vAlign w:val="center"/>
          </w:tcPr>
          <w:p w14:paraId="5856C440"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1.164</w:t>
            </w:r>
          </w:p>
        </w:tc>
        <w:tc>
          <w:tcPr>
            <w:tcW w:w="466" w:type="pct"/>
            <w:shd w:val="clear" w:color="auto" w:fill="auto"/>
            <w:noWrap/>
            <w:vAlign w:val="center"/>
          </w:tcPr>
          <w:p w14:paraId="13B3B32E"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9.472</w:t>
            </w:r>
          </w:p>
        </w:tc>
        <w:tc>
          <w:tcPr>
            <w:tcW w:w="466" w:type="pct"/>
            <w:shd w:val="clear" w:color="auto" w:fill="auto"/>
            <w:noWrap/>
            <w:vAlign w:val="center"/>
          </w:tcPr>
          <w:p w14:paraId="6FED9CB6"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10.147</w:t>
            </w:r>
          </w:p>
        </w:tc>
        <w:tc>
          <w:tcPr>
            <w:tcW w:w="382" w:type="pct"/>
            <w:shd w:val="clear" w:color="auto" w:fill="auto"/>
            <w:noWrap/>
            <w:vAlign w:val="center"/>
          </w:tcPr>
          <w:p w14:paraId="09A1EA61"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2.189</w:t>
            </w:r>
          </w:p>
        </w:tc>
        <w:tc>
          <w:tcPr>
            <w:tcW w:w="403" w:type="pct"/>
            <w:shd w:val="clear" w:color="auto" w:fill="auto"/>
            <w:noWrap/>
            <w:vAlign w:val="center"/>
          </w:tcPr>
          <w:p w14:paraId="23A9533F"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753</w:t>
            </w:r>
          </w:p>
        </w:tc>
      </w:tr>
    </w:tbl>
    <w:p w14:paraId="0DFD44BC" w14:textId="5407E2D4" w:rsidR="00CF336B" w:rsidRPr="001B4CA2" w:rsidRDefault="00CF336B" w:rsidP="00CF336B"/>
    <w:p w14:paraId="7F1919DF" w14:textId="48BC40BF" w:rsidR="00965363" w:rsidRPr="001B4CA2" w:rsidRDefault="00CF336B" w:rsidP="00965363">
      <w:r w:rsidRPr="001B4CA2">
        <w:tab/>
      </w:r>
      <w:r w:rsidR="00965363" w:rsidRPr="001B4CA2">
        <w:t>U 2022. godini primljeno je 36</w:t>
      </w:r>
      <w:r w:rsidR="0016095C">
        <w:t> </w:t>
      </w:r>
      <w:r w:rsidR="00965363" w:rsidRPr="001B4CA2">
        <w:t xml:space="preserve">% manje novih predmeta u odnosu na raniju godinu, doneseno je ukupno 5.336 </w:t>
      </w:r>
      <w:proofErr w:type="spellStart"/>
      <w:r w:rsidR="00965363" w:rsidRPr="001B4CA2">
        <w:t>državnoodvjetničkih</w:t>
      </w:r>
      <w:proofErr w:type="spellEnd"/>
      <w:r w:rsidR="00965363" w:rsidRPr="001B4CA2">
        <w:t xml:space="preserve"> odluka, zastupano je na 9.472</w:t>
      </w:r>
      <w:r w:rsidR="001B4CA2">
        <w:t xml:space="preserve"> </w:t>
      </w:r>
      <w:r w:rsidR="00965363" w:rsidRPr="001B4CA2">
        <w:t>rasprave, izjavljeno je 2.189 žalbi na odluke prvostupanjskih sudova i 753 revizije protiv pravomoćnih odluka. Pred prvostupanjskim sudovima odluka suda nije donesena u 11.655 parničnih predmeta. Tom broju treba pribrojiti 5.186 novih predmeta kako bi se dobila slika stvarnog opterećenja općinskih i županijskih državnih odvjetništava u radu pred prvostupanjskim sudovima. Ukupno je u radu pred prvostupanjskim sudovima bio 16.841 predmet.</w:t>
      </w:r>
    </w:p>
    <w:p w14:paraId="0102695D" w14:textId="77777777" w:rsidR="00965363" w:rsidRPr="001B4CA2" w:rsidRDefault="00965363" w:rsidP="00965363"/>
    <w:p w14:paraId="5490D73F" w14:textId="77777777" w:rsidR="00965363" w:rsidRPr="001B4CA2" w:rsidRDefault="00965363" w:rsidP="00965363">
      <w:r w:rsidRPr="001B4CA2">
        <w:tab/>
        <w:t xml:space="preserve">Ostale odluke odnosile su se na sporove gdje su općinska državna odvjetništva zastupala Republiku Hrvatsku kao </w:t>
      </w:r>
      <w:proofErr w:type="spellStart"/>
      <w:r w:rsidRPr="001B4CA2">
        <w:t>umješača</w:t>
      </w:r>
      <w:proofErr w:type="spellEnd"/>
      <w:r w:rsidRPr="001B4CA2">
        <w:t xml:space="preserve"> u radnim sporovima koji su vođeni po tužbama zaposlenika javnih ustanova čiji je osnivač Republika Hrvatska.</w:t>
      </w:r>
    </w:p>
    <w:p w14:paraId="539E6A26" w14:textId="77777777" w:rsidR="00965363" w:rsidRPr="001B4CA2" w:rsidRDefault="00965363" w:rsidP="00965363"/>
    <w:p w14:paraId="7F5B0613" w14:textId="77777777" w:rsidR="00965363" w:rsidRPr="001B4CA2" w:rsidRDefault="00965363" w:rsidP="00965363">
      <w:r w:rsidRPr="001B4CA2">
        <w:tab/>
        <w:t>Do povećanja broja izvanrednih pravnih lijekova došlo je zbog izmjene Zakona o parničnom postupku koji je uveo dva instituta: prijedlog za dopuštenje revizije i reviziju.</w:t>
      </w:r>
    </w:p>
    <w:p w14:paraId="794F1007" w14:textId="531FAD01" w:rsidR="00CF336B" w:rsidRDefault="00CF336B" w:rsidP="00965363"/>
    <w:p w14:paraId="013CCF64" w14:textId="14ECE282" w:rsidR="001D4F0F" w:rsidRDefault="001D4F0F" w:rsidP="00965363"/>
    <w:p w14:paraId="5EBA4B06" w14:textId="2BDD1A8E" w:rsidR="001D4F0F" w:rsidRDefault="001D4F0F" w:rsidP="00965363"/>
    <w:p w14:paraId="5C5094FF" w14:textId="1A70EB8E" w:rsidR="001D4F0F" w:rsidRDefault="001D4F0F" w:rsidP="00965363"/>
    <w:p w14:paraId="79097628" w14:textId="7B06D8FC" w:rsidR="001D4F0F" w:rsidRDefault="001D4F0F" w:rsidP="00965363"/>
    <w:p w14:paraId="50BF3082" w14:textId="51B4D9E5" w:rsidR="001D4F0F" w:rsidRDefault="001D4F0F" w:rsidP="00965363"/>
    <w:p w14:paraId="22180AE6" w14:textId="0F66D1D4" w:rsidR="001D4F0F" w:rsidRDefault="001D4F0F" w:rsidP="00965363"/>
    <w:p w14:paraId="768C754C" w14:textId="057CE929" w:rsidR="001D4F0F" w:rsidRDefault="001D4F0F" w:rsidP="00965363"/>
    <w:p w14:paraId="240989CF" w14:textId="1CF8A1B8" w:rsidR="001D4F0F" w:rsidRDefault="001D4F0F" w:rsidP="00965363"/>
    <w:p w14:paraId="0960C951" w14:textId="77777777" w:rsidR="001D4F0F" w:rsidRPr="001B4CA2" w:rsidRDefault="001D4F0F" w:rsidP="00965363"/>
    <w:p w14:paraId="6926DC12" w14:textId="77777777" w:rsidR="00CF336B" w:rsidRPr="001B4CA2" w:rsidRDefault="00CF336B" w:rsidP="00CF336B">
      <w:pPr>
        <w:rPr>
          <w:i/>
        </w:rPr>
      </w:pPr>
      <w:r w:rsidRPr="001B4CA2">
        <w:rPr>
          <w:i/>
        </w:rPr>
        <w:lastRenderedPageBreak/>
        <w:t>b)</w:t>
      </w:r>
      <w:r w:rsidRPr="001B4CA2">
        <w:t xml:space="preserve"> </w:t>
      </w:r>
      <w:r w:rsidRPr="001B4CA2">
        <w:rPr>
          <w:i/>
        </w:rPr>
        <w:t xml:space="preserve">Broj tužbenih zahtjeva u parničnim predmetima po procesnom položaju </w:t>
      </w:r>
    </w:p>
    <w:p w14:paraId="235DE891" w14:textId="58B9EDA3" w:rsidR="00CF336B" w:rsidRPr="001B4CA2" w:rsidRDefault="00CF336B" w:rsidP="00CF336B">
      <w:pPr>
        <w:ind w:left="284"/>
        <w:rPr>
          <w:i/>
        </w:rPr>
      </w:pPr>
      <w:r w:rsidRPr="001B4CA2">
        <w:rPr>
          <w:i/>
        </w:rPr>
        <w:t>tužitelj/tuženik/</w:t>
      </w:r>
      <w:proofErr w:type="spellStart"/>
      <w:r w:rsidRPr="001B4CA2">
        <w:rPr>
          <w:i/>
        </w:rPr>
        <w:t>umješač</w:t>
      </w:r>
      <w:proofErr w:type="spellEnd"/>
      <w:r w:rsidRPr="001B4CA2">
        <w:rPr>
          <w:i/>
        </w:rPr>
        <w:t xml:space="preserve"> i vrijednosti predmeta spora, 2018. – 2022.</w:t>
      </w:r>
    </w:p>
    <w:tbl>
      <w:tblPr>
        <w:tblW w:w="9070" w:type="dxa"/>
        <w:jc w:val="center"/>
        <w:tblLook w:val="04A0" w:firstRow="1" w:lastRow="0" w:firstColumn="1" w:lastColumn="0" w:noHBand="0" w:noVBand="1"/>
      </w:tblPr>
      <w:tblGrid>
        <w:gridCol w:w="711"/>
        <w:gridCol w:w="3122"/>
        <w:gridCol w:w="1325"/>
        <w:gridCol w:w="1545"/>
        <w:gridCol w:w="1250"/>
        <w:gridCol w:w="1117"/>
      </w:tblGrid>
      <w:tr w:rsidR="00CF336B" w:rsidRPr="001B4CA2" w14:paraId="73FF0635" w14:textId="77777777" w:rsidTr="00FB2B5D">
        <w:trPr>
          <w:trHeight w:val="611"/>
          <w:jc w:val="center"/>
        </w:trPr>
        <w:tc>
          <w:tcPr>
            <w:tcW w:w="3833"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4AFC549" w14:textId="77777777" w:rsidR="00CF336B" w:rsidRPr="001B4CA2" w:rsidRDefault="00CF336B" w:rsidP="00A14600">
            <w:pPr>
              <w:jc w:val="center"/>
              <w:rPr>
                <w:rFonts w:eastAsia="Times New Roman"/>
                <w:b/>
                <w:sz w:val="18"/>
                <w:szCs w:val="18"/>
                <w:lang w:eastAsia="hr-HR"/>
              </w:rPr>
            </w:pPr>
            <w:r w:rsidRPr="001B4CA2">
              <w:rPr>
                <w:rFonts w:eastAsia="Times New Roman"/>
                <w:b/>
                <w:sz w:val="18"/>
                <w:szCs w:val="18"/>
                <w:lang w:eastAsia="hr-HR"/>
              </w:rPr>
              <w:t>Zastupanje RH</w:t>
            </w:r>
          </w:p>
        </w:tc>
        <w:tc>
          <w:tcPr>
            <w:tcW w:w="1325" w:type="dxa"/>
            <w:tcBorders>
              <w:top w:val="single" w:sz="4" w:space="0" w:color="auto"/>
              <w:left w:val="nil"/>
              <w:bottom w:val="single" w:sz="4" w:space="0" w:color="auto"/>
              <w:right w:val="single" w:sz="4" w:space="0" w:color="auto"/>
            </w:tcBorders>
            <w:shd w:val="clear" w:color="auto" w:fill="99CCFF"/>
            <w:noWrap/>
            <w:vAlign w:val="center"/>
            <w:hideMark/>
          </w:tcPr>
          <w:p w14:paraId="46306DB7" w14:textId="77777777" w:rsidR="00CF336B" w:rsidRPr="001B4CA2" w:rsidRDefault="00CF336B" w:rsidP="00A14600">
            <w:pPr>
              <w:jc w:val="center"/>
              <w:rPr>
                <w:rFonts w:eastAsia="Times New Roman"/>
                <w:b/>
                <w:sz w:val="18"/>
                <w:szCs w:val="18"/>
                <w:lang w:eastAsia="hr-HR"/>
              </w:rPr>
            </w:pPr>
            <w:r w:rsidRPr="001B4CA2">
              <w:rPr>
                <w:rFonts w:eastAsia="Times New Roman"/>
                <w:b/>
                <w:sz w:val="18"/>
                <w:szCs w:val="18"/>
                <w:lang w:eastAsia="hr-HR"/>
              </w:rPr>
              <w:t>Tužitelj</w:t>
            </w:r>
          </w:p>
        </w:tc>
        <w:tc>
          <w:tcPr>
            <w:tcW w:w="1545" w:type="dxa"/>
            <w:tcBorders>
              <w:top w:val="single" w:sz="4" w:space="0" w:color="auto"/>
              <w:left w:val="nil"/>
              <w:bottom w:val="single" w:sz="4" w:space="0" w:color="auto"/>
              <w:right w:val="single" w:sz="4" w:space="0" w:color="auto"/>
            </w:tcBorders>
            <w:shd w:val="clear" w:color="auto" w:fill="99CCFF"/>
            <w:noWrap/>
            <w:vAlign w:val="center"/>
            <w:hideMark/>
          </w:tcPr>
          <w:p w14:paraId="4AEDEA69" w14:textId="77777777" w:rsidR="00CF336B" w:rsidRPr="001B4CA2" w:rsidRDefault="00CF336B" w:rsidP="00A14600">
            <w:pPr>
              <w:jc w:val="center"/>
              <w:rPr>
                <w:rFonts w:eastAsia="Times New Roman"/>
                <w:b/>
                <w:sz w:val="18"/>
                <w:szCs w:val="18"/>
                <w:lang w:eastAsia="hr-HR"/>
              </w:rPr>
            </w:pPr>
            <w:r w:rsidRPr="001B4CA2">
              <w:rPr>
                <w:rFonts w:eastAsia="Times New Roman"/>
                <w:b/>
                <w:sz w:val="18"/>
                <w:szCs w:val="18"/>
                <w:lang w:eastAsia="hr-HR"/>
              </w:rPr>
              <w:t>Tuženik</w:t>
            </w:r>
          </w:p>
        </w:tc>
        <w:tc>
          <w:tcPr>
            <w:tcW w:w="1276" w:type="dxa"/>
            <w:tcBorders>
              <w:top w:val="single" w:sz="4" w:space="0" w:color="auto"/>
              <w:left w:val="nil"/>
              <w:bottom w:val="single" w:sz="4" w:space="0" w:color="auto"/>
              <w:right w:val="single" w:sz="4" w:space="0" w:color="auto"/>
            </w:tcBorders>
            <w:shd w:val="clear" w:color="auto" w:fill="99CCFF"/>
            <w:vAlign w:val="center"/>
          </w:tcPr>
          <w:p w14:paraId="24468B53" w14:textId="77777777" w:rsidR="00CF336B" w:rsidRPr="001B4CA2" w:rsidRDefault="00CF336B" w:rsidP="00A14600">
            <w:pPr>
              <w:jc w:val="center"/>
              <w:rPr>
                <w:rFonts w:eastAsia="Times New Roman"/>
                <w:b/>
                <w:bCs/>
                <w:sz w:val="18"/>
                <w:szCs w:val="18"/>
                <w:lang w:eastAsia="hr-HR"/>
              </w:rPr>
            </w:pPr>
            <w:proofErr w:type="spellStart"/>
            <w:r w:rsidRPr="001B4CA2">
              <w:rPr>
                <w:rFonts w:eastAsia="Times New Roman"/>
                <w:b/>
                <w:bCs/>
                <w:sz w:val="18"/>
                <w:szCs w:val="18"/>
                <w:lang w:eastAsia="hr-HR"/>
              </w:rPr>
              <w:t>Umješač</w:t>
            </w:r>
            <w:proofErr w:type="spellEnd"/>
          </w:p>
        </w:tc>
        <w:tc>
          <w:tcPr>
            <w:tcW w:w="1091"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15BA613"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Ukupno</w:t>
            </w:r>
          </w:p>
        </w:tc>
      </w:tr>
      <w:tr w:rsidR="00CF336B" w:rsidRPr="001B4CA2" w14:paraId="0BF4715D" w14:textId="77777777" w:rsidTr="00FB2B5D">
        <w:trPr>
          <w:trHeight w:val="442"/>
          <w:jc w:val="center"/>
        </w:trPr>
        <w:tc>
          <w:tcPr>
            <w:tcW w:w="711" w:type="dxa"/>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14:paraId="199E2142"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2018.</w:t>
            </w:r>
          </w:p>
        </w:tc>
        <w:tc>
          <w:tcPr>
            <w:tcW w:w="3122" w:type="dxa"/>
            <w:tcBorders>
              <w:top w:val="single" w:sz="4" w:space="0" w:color="auto"/>
              <w:left w:val="nil"/>
              <w:bottom w:val="single" w:sz="4" w:space="0" w:color="auto"/>
              <w:right w:val="single" w:sz="4" w:space="0" w:color="auto"/>
            </w:tcBorders>
            <w:shd w:val="clear" w:color="auto" w:fill="auto"/>
            <w:vAlign w:val="center"/>
            <w:hideMark/>
          </w:tcPr>
          <w:p w14:paraId="626E9A25"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Broj zahtjeva</w:t>
            </w:r>
          </w:p>
        </w:tc>
        <w:tc>
          <w:tcPr>
            <w:tcW w:w="1325" w:type="dxa"/>
            <w:tcBorders>
              <w:top w:val="nil"/>
              <w:left w:val="nil"/>
              <w:bottom w:val="single" w:sz="4" w:space="0" w:color="auto"/>
              <w:right w:val="single" w:sz="4" w:space="0" w:color="auto"/>
            </w:tcBorders>
            <w:shd w:val="clear" w:color="auto" w:fill="auto"/>
            <w:noWrap/>
            <w:vAlign w:val="center"/>
          </w:tcPr>
          <w:p w14:paraId="481C6DFC"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1.517</w:t>
            </w:r>
          </w:p>
        </w:tc>
        <w:tc>
          <w:tcPr>
            <w:tcW w:w="1545" w:type="dxa"/>
            <w:tcBorders>
              <w:top w:val="nil"/>
              <w:left w:val="nil"/>
              <w:bottom w:val="single" w:sz="4" w:space="0" w:color="auto"/>
              <w:right w:val="single" w:sz="4" w:space="0" w:color="auto"/>
            </w:tcBorders>
            <w:shd w:val="clear" w:color="auto" w:fill="auto"/>
            <w:noWrap/>
            <w:vAlign w:val="center"/>
          </w:tcPr>
          <w:p w14:paraId="05B42FA5"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3.871</w:t>
            </w:r>
          </w:p>
        </w:tc>
        <w:tc>
          <w:tcPr>
            <w:tcW w:w="1276" w:type="dxa"/>
            <w:tcBorders>
              <w:top w:val="single" w:sz="4" w:space="0" w:color="auto"/>
              <w:left w:val="nil"/>
              <w:bottom w:val="single" w:sz="4" w:space="0" w:color="auto"/>
              <w:right w:val="single" w:sz="4" w:space="0" w:color="auto"/>
            </w:tcBorders>
            <w:vAlign w:val="center"/>
          </w:tcPr>
          <w:p w14:paraId="6C949146" w14:textId="77777777" w:rsidR="00CF336B" w:rsidRPr="001B4CA2" w:rsidRDefault="00CF336B" w:rsidP="00A14600">
            <w:pPr>
              <w:jc w:val="center"/>
              <w:rPr>
                <w:rFonts w:eastAsia="Times New Roman"/>
                <w:b/>
                <w:bCs/>
                <w:sz w:val="18"/>
                <w:szCs w:val="18"/>
                <w:lang w:eastAsia="hr-HR"/>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61D72"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5.388</w:t>
            </w:r>
          </w:p>
        </w:tc>
      </w:tr>
      <w:tr w:rsidR="00CF336B" w:rsidRPr="001B4CA2" w14:paraId="55F7F4D0" w14:textId="77777777" w:rsidTr="00FB2B5D">
        <w:trPr>
          <w:trHeight w:val="433"/>
          <w:jc w:val="center"/>
        </w:trPr>
        <w:tc>
          <w:tcPr>
            <w:tcW w:w="711" w:type="dxa"/>
            <w:vMerge/>
            <w:tcBorders>
              <w:top w:val="single" w:sz="4" w:space="0" w:color="auto"/>
              <w:left w:val="single" w:sz="4" w:space="0" w:color="auto"/>
              <w:bottom w:val="single" w:sz="4" w:space="0" w:color="auto"/>
              <w:right w:val="single" w:sz="4" w:space="0" w:color="auto"/>
            </w:tcBorders>
            <w:shd w:val="clear" w:color="auto" w:fill="99CCFF"/>
            <w:vAlign w:val="center"/>
          </w:tcPr>
          <w:p w14:paraId="3BADB32F" w14:textId="77777777" w:rsidR="00CF336B" w:rsidRPr="001B4CA2" w:rsidRDefault="00CF336B" w:rsidP="00A14600">
            <w:pPr>
              <w:jc w:val="left"/>
              <w:rPr>
                <w:rFonts w:eastAsia="Times New Roman"/>
                <w:sz w:val="18"/>
                <w:szCs w:val="18"/>
                <w:lang w:eastAsia="hr-HR"/>
              </w:rPr>
            </w:pPr>
          </w:p>
        </w:tc>
        <w:tc>
          <w:tcPr>
            <w:tcW w:w="3122" w:type="dxa"/>
            <w:tcBorders>
              <w:top w:val="single" w:sz="4" w:space="0" w:color="auto"/>
              <w:left w:val="nil"/>
              <w:bottom w:val="single" w:sz="4" w:space="0" w:color="auto"/>
              <w:right w:val="single" w:sz="4" w:space="0" w:color="auto"/>
            </w:tcBorders>
            <w:shd w:val="clear" w:color="auto" w:fill="auto"/>
            <w:vAlign w:val="center"/>
            <w:hideMark/>
          </w:tcPr>
          <w:p w14:paraId="11BFE6F9"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w:t>
            </w:r>
          </w:p>
        </w:tc>
        <w:tc>
          <w:tcPr>
            <w:tcW w:w="1325" w:type="dxa"/>
            <w:tcBorders>
              <w:top w:val="nil"/>
              <w:left w:val="nil"/>
              <w:bottom w:val="single" w:sz="4" w:space="0" w:color="auto"/>
              <w:right w:val="single" w:sz="4" w:space="0" w:color="auto"/>
            </w:tcBorders>
            <w:shd w:val="clear" w:color="auto" w:fill="auto"/>
            <w:noWrap/>
            <w:vAlign w:val="center"/>
          </w:tcPr>
          <w:p w14:paraId="0A0C8A38"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28,10</w:t>
            </w:r>
          </w:p>
        </w:tc>
        <w:tc>
          <w:tcPr>
            <w:tcW w:w="1545" w:type="dxa"/>
            <w:tcBorders>
              <w:top w:val="nil"/>
              <w:left w:val="nil"/>
              <w:bottom w:val="single" w:sz="4" w:space="0" w:color="auto"/>
              <w:right w:val="single" w:sz="4" w:space="0" w:color="auto"/>
            </w:tcBorders>
            <w:shd w:val="clear" w:color="auto" w:fill="auto"/>
            <w:noWrap/>
            <w:vAlign w:val="center"/>
          </w:tcPr>
          <w:p w14:paraId="1E1F3CD2"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71,90</w:t>
            </w:r>
          </w:p>
        </w:tc>
        <w:tc>
          <w:tcPr>
            <w:tcW w:w="1276" w:type="dxa"/>
            <w:tcBorders>
              <w:top w:val="single" w:sz="4" w:space="0" w:color="auto"/>
              <w:left w:val="nil"/>
              <w:bottom w:val="single" w:sz="4" w:space="0" w:color="auto"/>
              <w:right w:val="single" w:sz="4" w:space="0" w:color="auto"/>
            </w:tcBorders>
            <w:vAlign w:val="center"/>
          </w:tcPr>
          <w:p w14:paraId="2F6CF9CA" w14:textId="77777777" w:rsidR="00CF336B" w:rsidRPr="001B4CA2" w:rsidRDefault="00CF336B" w:rsidP="00A14600">
            <w:pPr>
              <w:jc w:val="center"/>
              <w:rPr>
                <w:rFonts w:eastAsia="Times New Roman"/>
                <w:b/>
                <w:bCs/>
                <w:sz w:val="18"/>
                <w:szCs w:val="18"/>
                <w:lang w:eastAsia="hr-HR"/>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78863"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100</w:t>
            </w:r>
          </w:p>
        </w:tc>
      </w:tr>
      <w:tr w:rsidR="00CF336B" w:rsidRPr="001B4CA2" w14:paraId="40B23C3C" w14:textId="77777777" w:rsidTr="00FB2B5D">
        <w:trPr>
          <w:trHeight w:val="431"/>
          <w:jc w:val="center"/>
        </w:trPr>
        <w:tc>
          <w:tcPr>
            <w:tcW w:w="711" w:type="dxa"/>
            <w:vMerge/>
            <w:tcBorders>
              <w:top w:val="single" w:sz="4" w:space="0" w:color="auto"/>
              <w:left w:val="single" w:sz="4" w:space="0" w:color="auto"/>
              <w:bottom w:val="single" w:sz="4" w:space="0" w:color="auto"/>
              <w:right w:val="single" w:sz="4" w:space="0" w:color="auto"/>
            </w:tcBorders>
            <w:shd w:val="clear" w:color="auto" w:fill="99CCFF"/>
            <w:vAlign w:val="center"/>
          </w:tcPr>
          <w:p w14:paraId="2477A7E8" w14:textId="77777777" w:rsidR="00CF336B" w:rsidRPr="001B4CA2" w:rsidRDefault="00CF336B" w:rsidP="00A14600">
            <w:pPr>
              <w:jc w:val="left"/>
              <w:rPr>
                <w:rFonts w:eastAsia="Times New Roman"/>
                <w:sz w:val="18"/>
                <w:szCs w:val="18"/>
                <w:lang w:eastAsia="hr-HR"/>
              </w:rPr>
            </w:pPr>
          </w:p>
        </w:tc>
        <w:tc>
          <w:tcPr>
            <w:tcW w:w="3122" w:type="dxa"/>
            <w:tcBorders>
              <w:top w:val="single" w:sz="4" w:space="0" w:color="auto"/>
              <w:left w:val="nil"/>
              <w:bottom w:val="single" w:sz="4" w:space="0" w:color="auto"/>
              <w:right w:val="single" w:sz="4" w:space="0" w:color="auto"/>
            </w:tcBorders>
            <w:shd w:val="clear" w:color="auto" w:fill="auto"/>
            <w:vAlign w:val="center"/>
            <w:hideMark/>
          </w:tcPr>
          <w:p w14:paraId="1D713FAF"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325" w:type="dxa"/>
            <w:tcBorders>
              <w:top w:val="nil"/>
              <w:left w:val="nil"/>
              <w:bottom w:val="single" w:sz="4" w:space="0" w:color="auto"/>
              <w:right w:val="single" w:sz="4" w:space="0" w:color="auto"/>
            </w:tcBorders>
            <w:shd w:val="clear" w:color="auto" w:fill="auto"/>
            <w:noWrap/>
            <w:vAlign w:val="center"/>
          </w:tcPr>
          <w:p w14:paraId="1CA4CC3B"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263.992</w:t>
            </w:r>
          </w:p>
        </w:tc>
        <w:tc>
          <w:tcPr>
            <w:tcW w:w="1545" w:type="dxa"/>
            <w:tcBorders>
              <w:top w:val="nil"/>
              <w:left w:val="nil"/>
              <w:bottom w:val="single" w:sz="4" w:space="0" w:color="auto"/>
              <w:right w:val="single" w:sz="4" w:space="0" w:color="auto"/>
            </w:tcBorders>
            <w:shd w:val="clear" w:color="auto" w:fill="auto"/>
            <w:noWrap/>
            <w:vAlign w:val="center"/>
          </w:tcPr>
          <w:p w14:paraId="793BBAFD"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1.123.018</w:t>
            </w:r>
          </w:p>
        </w:tc>
        <w:tc>
          <w:tcPr>
            <w:tcW w:w="1276" w:type="dxa"/>
            <w:tcBorders>
              <w:top w:val="single" w:sz="4" w:space="0" w:color="auto"/>
              <w:left w:val="nil"/>
              <w:bottom w:val="single" w:sz="4" w:space="0" w:color="auto"/>
              <w:right w:val="single" w:sz="4" w:space="0" w:color="auto"/>
            </w:tcBorders>
            <w:vAlign w:val="center"/>
          </w:tcPr>
          <w:p w14:paraId="038167A9" w14:textId="77777777" w:rsidR="00CF336B" w:rsidRPr="001B4CA2" w:rsidRDefault="00CF336B" w:rsidP="00A14600">
            <w:pPr>
              <w:jc w:val="center"/>
              <w:rPr>
                <w:rFonts w:eastAsia="Times New Roman"/>
                <w:b/>
                <w:bCs/>
                <w:sz w:val="18"/>
                <w:szCs w:val="18"/>
                <w:lang w:eastAsia="hr-HR"/>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279AA"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1.387.010</w:t>
            </w:r>
          </w:p>
        </w:tc>
      </w:tr>
      <w:tr w:rsidR="00CF336B" w:rsidRPr="001B4CA2" w14:paraId="195CE4A6" w14:textId="77777777" w:rsidTr="00FB2B5D">
        <w:trPr>
          <w:trHeight w:val="431"/>
          <w:jc w:val="center"/>
        </w:trPr>
        <w:tc>
          <w:tcPr>
            <w:tcW w:w="711" w:type="dxa"/>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14:paraId="10BD9C99"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2019.</w:t>
            </w:r>
          </w:p>
        </w:tc>
        <w:tc>
          <w:tcPr>
            <w:tcW w:w="3122" w:type="dxa"/>
            <w:tcBorders>
              <w:top w:val="single" w:sz="4" w:space="0" w:color="auto"/>
              <w:left w:val="nil"/>
              <w:bottom w:val="single" w:sz="4" w:space="0" w:color="auto"/>
              <w:right w:val="single" w:sz="4" w:space="0" w:color="auto"/>
            </w:tcBorders>
            <w:shd w:val="clear" w:color="auto" w:fill="auto"/>
            <w:vAlign w:val="center"/>
            <w:hideMark/>
          </w:tcPr>
          <w:p w14:paraId="552D420B"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Broj zahtjeva</w:t>
            </w:r>
          </w:p>
        </w:tc>
        <w:tc>
          <w:tcPr>
            <w:tcW w:w="1325" w:type="dxa"/>
            <w:tcBorders>
              <w:top w:val="nil"/>
              <w:left w:val="nil"/>
              <w:bottom w:val="single" w:sz="4" w:space="0" w:color="auto"/>
              <w:right w:val="single" w:sz="4" w:space="0" w:color="auto"/>
            </w:tcBorders>
            <w:shd w:val="clear" w:color="auto" w:fill="auto"/>
            <w:noWrap/>
            <w:vAlign w:val="center"/>
          </w:tcPr>
          <w:p w14:paraId="444B7D22"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1.425</w:t>
            </w:r>
          </w:p>
        </w:tc>
        <w:tc>
          <w:tcPr>
            <w:tcW w:w="1545" w:type="dxa"/>
            <w:tcBorders>
              <w:top w:val="nil"/>
              <w:left w:val="nil"/>
              <w:bottom w:val="single" w:sz="4" w:space="0" w:color="auto"/>
              <w:right w:val="single" w:sz="4" w:space="0" w:color="auto"/>
            </w:tcBorders>
            <w:shd w:val="clear" w:color="auto" w:fill="auto"/>
            <w:noWrap/>
            <w:vAlign w:val="center"/>
          </w:tcPr>
          <w:p w14:paraId="1F0C52BA"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4.673</w:t>
            </w:r>
          </w:p>
        </w:tc>
        <w:tc>
          <w:tcPr>
            <w:tcW w:w="1276" w:type="dxa"/>
            <w:tcBorders>
              <w:top w:val="single" w:sz="4" w:space="0" w:color="auto"/>
              <w:left w:val="nil"/>
              <w:bottom w:val="single" w:sz="4" w:space="0" w:color="auto"/>
              <w:right w:val="single" w:sz="4" w:space="0" w:color="auto"/>
            </w:tcBorders>
            <w:vAlign w:val="center"/>
          </w:tcPr>
          <w:p w14:paraId="36CE6716" w14:textId="77777777" w:rsidR="00CF336B" w:rsidRPr="001B4CA2" w:rsidRDefault="00CF336B" w:rsidP="00A14600">
            <w:pPr>
              <w:jc w:val="center"/>
              <w:rPr>
                <w:rFonts w:eastAsia="Times New Roman"/>
                <w:b/>
                <w:bCs/>
                <w:sz w:val="18"/>
                <w:szCs w:val="18"/>
                <w:lang w:eastAsia="hr-HR"/>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595B4"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6.098</w:t>
            </w:r>
          </w:p>
        </w:tc>
      </w:tr>
      <w:tr w:rsidR="00CF336B" w:rsidRPr="001B4CA2" w14:paraId="31B1EB3E" w14:textId="77777777" w:rsidTr="00FB2B5D">
        <w:trPr>
          <w:trHeight w:val="431"/>
          <w:jc w:val="center"/>
        </w:trPr>
        <w:tc>
          <w:tcPr>
            <w:tcW w:w="711" w:type="dxa"/>
            <w:vMerge/>
            <w:tcBorders>
              <w:top w:val="nil"/>
              <w:left w:val="single" w:sz="4" w:space="0" w:color="auto"/>
              <w:bottom w:val="single" w:sz="4" w:space="0" w:color="auto"/>
              <w:right w:val="single" w:sz="4" w:space="0" w:color="auto"/>
            </w:tcBorders>
            <w:shd w:val="clear" w:color="auto" w:fill="99CCFF"/>
            <w:vAlign w:val="center"/>
          </w:tcPr>
          <w:p w14:paraId="1BBC6802" w14:textId="77777777" w:rsidR="00CF336B" w:rsidRPr="001B4CA2" w:rsidRDefault="00CF336B" w:rsidP="00A14600">
            <w:pPr>
              <w:jc w:val="left"/>
              <w:rPr>
                <w:rFonts w:eastAsia="Times New Roman"/>
                <w:sz w:val="18"/>
                <w:szCs w:val="18"/>
                <w:lang w:eastAsia="hr-HR"/>
              </w:rPr>
            </w:pPr>
          </w:p>
        </w:tc>
        <w:tc>
          <w:tcPr>
            <w:tcW w:w="3122" w:type="dxa"/>
            <w:tcBorders>
              <w:top w:val="nil"/>
              <w:left w:val="nil"/>
              <w:bottom w:val="single" w:sz="4" w:space="0" w:color="auto"/>
              <w:right w:val="single" w:sz="4" w:space="0" w:color="auto"/>
            </w:tcBorders>
            <w:shd w:val="clear" w:color="auto" w:fill="auto"/>
            <w:vAlign w:val="center"/>
            <w:hideMark/>
          </w:tcPr>
          <w:p w14:paraId="25EED4F1"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w:t>
            </w:r>
          </w:p>
        </w:tc>
        <w:tc>
          <w:tcPr>
            <w:tcW w:w="1325" w:type="dxa"/>
            <w:tcBorders>
              <w:top w:val="nil"/>
              <w:left w:val="nil"/>
              <w:bottom w:val="single" w:sz="4" w:space="0" w:color="auto"/>
              <w:right w:val="single" w:sz="4" w:space="0" w:color="auto"/>
            </w:tcBorders>
            <w:shd w:val="clear" w:color="auto" w:fill="auto"/>
            <w:noWrap/>
            <w:vAlign w:val="center"/>
          </w:tcPr>
          <w:p w14:paraId="566BEE93"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23,36</w:t>
            </w:r>
          </w:p>
        </w:tc>
        <w:tc>
          <w:tcPr>
            <w:tcW w:w="1545" w:type="dxa"/>
            <w:tcBorders>
              <w:top w:val="nil"/>
              <w:left w:val="nil"/>
              <w:bottom w:val="single" w:sz="4" w:space="0" w:color="auto"/>
              <w:right w:val="single" w:sz="4" w:space="0" w:color="auto"/>
            </w:tcBorders>
            <w:shd w:val="clear" w:color="auto" w:fill="auto"/>
            <w:noWrap/>
            <w:vAlign w:val="center"/>
          </w:tcPr>
          <w:p w14:paraId="05AC731E"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76,64</w:t>
            </w:r>
          </w:p>
        </w:tc>
        <w:tc>
          <w:tcPr>
            <w:tcW w:w="1276" w:type="dxa"/>
            <w:tcBorders>
              <w:top w:val="single" w:sz="4" w:space="0" w:color="auto"/>
              <w:left w:val="nil"/>
              <w:bottom w:val="single" w:sz="4" w:space="0" w:color="auto"/>
              <w:right w:val="single" w:sz="4" w:space="0" w:color="auto"/>
            </w:tcBorders>
            <w:vAlign w:val="center"/>
          </w:tcPr>
          <w:p w14:paraId="43C90716" w14:textId="77777777" w:rsidR="00CF336B" w:rsidRPr="001B4CA2" w:rsidRDefault="00CF336B" w:rsidP="00A14600">
            <w:pPr>
              <w:jc w:val="center"/>
              <w:rPr>
                <w:rFonts w:eastAsia="Times New Roman"/>
                <w:b/>
                <w:bCs/>
                <w:sz w:val="18"/>
                <w:szCs w:val="18"/>
                <w:lang w:eastAsia="hr-HR"/>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1B1E2"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100</w:t>
            </w:r>
          </w:p>
        </w:tc>
      </w:tr>
      <w:tr w:rsidR="00CF336B" w:rsidRPr="001B4CA2" w14:paraId="5FDC93C1" w14:textId="77777777" w:rsidTr="00FB2B5D">
        <w:trPr>
          <w:trHeight w:val="431"/>
          <w:jc w:val="center"/>
        </w:trPr>
        <w:tc>
          <w:tcPr>
            <w:tcW w:w="711" w:type="dxa"/>
            <w:vMerge/>
            <w:tcBorders>
              <w:top w:val="nil"/>
              <w:left w:val="single" w:sz="4" w:space="0" w:color="auto"/>
              <w:bottom w:val="single" w:sz="4" w:space="0" w:color="auto"/>
              <w:right w:val="single" w:sz="4" w:space="0" w:color="auto"/>
            </w:tcBorders>
            <w:shd w:val="clear" w:color="auto" w:fill="99CCFF"/>
            <w:vAlign w:val="center"/>
          </w:tcPr>
          <w:p w14:paraId="119A6F96" w14:textId="77777777" w:rsidR="00CF336B" w:rsidRPr="001B4CA2" w:rsidRDefault="00CF336B" w:rsidP="00A14600">
            <w:pPr>
              <w:jc w:val="left"/>
              <w:rPr>
                <w:rFonts w:eastAsia="Times New Roman"/>
                <w:sz w:val="18"/>
                <w:szCs w:val="18"/>
                <w:lang w:eastAsia="hr-HR"/>
              </w:rPr>
            </w:pPr>
          </w:p>
        </w:tc>
        <w:tc>
          <w:tcPr>
            <w:tcW w:w="3122" w:type="dxa"/>
            <w:tcBorders>
              <w:top w:val="nil"/>
              <w:left w:val="nil"/>
              <w:bottom w:val="single" w:sz="4" w:space="0" w:color="auto"/>
              <w:right w:val="single" w:sz="4" w:space="0" w:color="auto"/>
            </w:tcBorders>
            <w:shd w:val="clear" w:color="auto" w:fill="auto"/>
            <w:vAlign w:val="center"/>
            <w:hideMark/>
          </w:tcPr>
          <w:p w14:paraId="6CB77A99"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325" w:type="dxa"/>
            <w:tcBorders>
              <w:top w:val="nil"/>
              <w:left w:val="nil"/>
              <w:bottom w:val="single" w:sz="4" w:space="0" w:color="auto"/>
              <w:right w:val="single" w:sz="4" w:space="0" w:color="auto"/>
            </w:tcBorders>
            <w:shd w:val="clear" w:color="auto" w:fill="auto"/>
            <w:noWrap/>
            <w:vAlign w:val="center"/>
          </w:tcPr>
          <w:p w14:paraId="55E726C2"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368.131</w:t>
            </w:r>
          </w:p>
        </w:tc>
        <w:tc>
          <w:tcPr>
            <w:tcW w:w="1545" w:type="dxa"/>
            <w:tcBorders>
              <w:top w:val="nil"/>
              <w:left w:val="nil"/>
              <w:bottom w:val="single" w:sz="4" w:space="0" w:color="auto"/>
              <w:right w:val="single" w:sz="4" w:space="0" w:color="auto"/>
            </w:tcBorders>
            <w:shd w:val="clear" w:color="auto" w:fill="auto"/>
            <w:noWrap/>
            <w:vAlign w:val="center"/>
          </w:tcPr>
          <w:p w14:paraId="1FC6BEF7"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4.975.059</w:t>
            </w:r>
          </w:p>
        </w:tc>
        <w:tc>
          <w:tcPr>
            <w:tcW w:w="1276" w:type="dxa"/>
            <w:tcBorders>
              <w:top w:val="single" w:sz="4" w:space="0" w:color="auto"/>
              <w:left w:val="nil"/>
              <w:bottom w:val="single" w:sz="4" w:space="0" w:color="auto"/>
              <w:right w:val="single" w:sz="4" w:space="0" w:color="auto"/>
            </w:tcBorders>
            <w:vAlign w:val="center"/>
          </w:tcPr>
          <w:p w14:paraId="2698BF15" w14:textId="77777777" w:rsidR="00CF336B" w:rsidRPr="001B4CA2" w:rsidRDefault="00CF336B" w:rsidP="00A14600">
            <w:pPr>
              <w:jc w:val="center"/>
              <w:rPr>
                <w:rFonts w:eastAsia="Times New Roman"/>
                <w:b/>
                <w:bCs/>
                <w:sz w:val="18"/>
                <w:szCs w:val="18"/>
                <w:lang w:eastAsia="hr-HR"/>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748B1"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5.343.190</w:t>
            </w:r>
          </w:p>
        </w:tc>
      </w:tr>
      <w:tr w:rsidR="00CF336B" w:rsidRPr="001B4CA2" w14:paraId="10D477A5" w14:textId="77777777" w:rsidTr="00FB2B5D">
        <w:trPr>
          <w:trHeight w:val="431"/>
          <w:jc w:val="center"/>
        </w:trPr>
        <w:tc>
          <w:tcPr>
            <w:tcW w:w="711" w:type="dxa"/>
            <w:vMerge w:val="restart"/>
            <w:tcBorders>
              <w:top w:val="nil"/>
              <w:left w:val="single" w:sz="4" w:space="0" w:color="auto"/>
              <w:bottom w:val="single" w:sz="4" w:space="0" w:color="auto"/>
              <w:right w:val="single" w:sz="4" w:space="0" w:color="auto"/>
            </w:tcBorders>
            <w:shd w:val="clear" w:color="auto" w:fill="99CCFF"/>
            <w:noWrap/>
            <w:vAlign w:val="center"/>
          </w:tcPr>
          <w:p w14:paraId="2C1D2AB5"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2020.</w:t>
            </w:r>
          </w:p>
        </w:tc>
        <w:tc>
          <w:tcPr>
            <w:tcW w:w="3122" w:type="dxa"/>
            <w:tcBorders>
              <w:top w:val="nil"/>
              <w:left w:val="nil"/>
              <w:bottom w:val="single" w:sz="4" w:space="0" w:color="auto"/>
              <w:right w:val="single" w:sz="4" w:space="0" w:color="auto"/>
            </w:tcBorders>
            <w:shd w:val="clear" w:color="auto" w:fill="auto"/>
            <w:vAlign w:val="center"/>
            <w:hideMark/>
          </w:tcPr>
          <w:p w14:paraId="75FC2230"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Broj zahtjeva</w:t>
            </w:r>
          </w:p>
        </w:tc>
        <w:tc>
          <w:tcPr>
            <w:tcW w:w="1325" w:type="dxa"/>
            <w:tcBorders>
              <w:top w:val="nil"/>
              <w:left w:val="nil"/>
              <w:bottom w:val="single" w:sz="4" w:space="0" w:color="auto"/>
              <w:right w:val="single" w:sz="4" w:space="0" w:color="auto"/>
            </w:tcBorders>
            <w:shd w:val="clear" w:color="auto" w:fill="auto"/>
            <w:noWrap/>
            <w:vAlign w:val="center"/>
          </w:tcPr>
          <w:p w14:paraId="64B893BB" w14:textId="77777777" w:rsidR="00CF336B" w:rsidRPr="001B4CA2" w:rsidRDefault="00CF336B" w:rsidP="00A14600">
            <w:pPr>
              <w:jc w:val="center"/>
              <w:rPr>
                <w:rFonts w:eastAsia="Times New Roman"/>
                <w:sz w:val="18"/>
                <w:szCs w:val="18"/>
                <w:lang w:eastAsia="hr-HR"/>
              </w:rPr>
            </w:pPr>
            <w:r w:rsidRPr="001B4CA2">
              <w:rPr>
                <w:sz w:val="18"/>
                <w:szCs w:val="18"/>
              </w:rPr>
              <w:t>1.643</w:t>
            </w:r>
          </w:p>
        </w:tc>
        <w:tc>
          <w:tcPr>
            <w:tcW w:w="1545" w:type="dxa"/>
            <w:tcBorders>
              <w:top w:val="nil"/>
              <w:left w:val="nil"/>
              <w:bottom w:val="single" w:sz="4" w:space="0" w:color="auto"/>
              <w:right w:val="single" w:sz="4" w:space="0" w:color="auto"/>
            </w:tcBorders>
            <w:shd w:val="clear" w:color="auto" w:fill="auto"/>
            <w:noWrap/>
            <w:vAlign w:val="center"/>
          </w:tcPr>
          <w:p w14:paraId="1808565C" w14:textId="77777777" w:rsidR="00CF336B" w:rsidRPr="001B4CA2" w:rsidRDefault="00CF336B" w:rsidP="00A14600">
            <w:pPr>
              <w:jc w:val="center"/>
              <w:rPr>
                <w:rFonts w:eastAsia="Times New Roman"/>
                <w:sz w:val="18"/>
                <w:szCs w:val="18"/>
                <w:lang w:eastAsia="hr-HR"/>
              </w:rPr>
            </w:pPr>
            <w:r w:rsidRPr="001B4CA2">
              <w:rPr>
                <w:sz w:val="18"/>
                <w:szCs w:val="18"/>
              </w:rPr>
              <w:t>4.360</w:t>
            </w:r>
          </w:p>
        </w:tc>
        <w:tc>
          <w:tcPr>
            <w:tcW w:w="1276" w:type="dxa"/>
            <w:tcBorders>
              <w:top w:val="single" w:sz="4" w:space="0" w:color="auto"/>
              <w:left w:val="nil"/>
              <w:bottom w:val="single" w:sz="4" w:space="0" w:color="auto"/>
              <w:right w:val="single" w:sz="4" w:space="0" w:color="auto"/>
            </w:tcBorders>
            <w:vAlign w:val="center"/>
          </w:tcPr>
          <w:p w14:paraId="12E5D0B4" w14:textId="77777777" w:rsidR="00CF336B" w:rsidRPr="001B4CA2" w:rsidRDefault="00CF336B" w:rsidP="00A14600">
            <w:pPr>
              <w:jc w:val="center"/>
              <w:rPr>
                <w:rFonts w:eastAsia="Times New Roman"/>
                <w:b/>
                <w:bCs/>
                <w:sz w:val="18"/>
                <w:szCs w:val="18"/>
                <w:lang w:eastAsia="hr-HR"/>
              </w:rPr>
            </w:pPr>
            <w:r w:rsidRPr="001B4CA2">
              <w:rPr>
                <w:sz w:val="18"/>
                <w:szCs w:val="18"/>
              </w:rPr>
              <w:t>2.284</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45598"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8.287</w:t>
            </w:r>
          </w:p>
        </w:tc>
      </w:tr>
      <w:tr w:rsidR="00CF336B" w:rsidRPr="001B4CA2" w14:paraId="7C817531" w14:textId="77777777" w:rsidTr="00FB2B5D">
        <w:trPr>
          <w:trHeight w:val="431"/>
          <w:jc w:val="center"/>
        </w:trPr>
        <w:tc>
          <w:tcPr>
            <w:tcW w:w="711" w:type="dxa"/>
            <w:vMerge/>
            <w:tcBorders>
              <w:top w:val="nil"/>
              <w:left w:val="single" w:sz="4" w:space="0" w:color="auto"/>
              <w:bottom w:val="single" w:sz="4" w:space="0" w:color="auto"/>
              <w:right w:val="single" w:sz="4" w:space="0" w:color="auto"/>
            </w:tcBorders>
            <w:shd w:val="clear" w:color="auto" w:fill="99CCFF"/>
            <w:vAlign w:val="center"/>
          </w:tcPr>
          <w:p w14:paraId="41FEBD19" w14:textId="77777777" w:rsidR="00CF336B" w:rsidRPr="001B4CA2" w:rsidRDefault="00CF336B" w:rsidP="00A14600">
            <w:pPr>
              <w:jc w:val="left"/>
              <w:rPr>
                <w:rFonts w:eastAsia="Times New Roman"/>
                <w:sz w:val="18"/>
                <w:szCs w:val="18"/>
                <w:lang w:eastAsia="hr-HR"/>
              </w:rPr>
            </w:pPr>
          </w:p>
        </w:tc>
        <w:tc>
          <w:tcPr>
            <w:tcW w:w="3122" w:type="dxa"/>
            <w:tcBorders>
              <w:top w:val="nil"/>
              <w:left w:val="nil"/>
              <w:bottom w:val="single" w:sz="4" w:space="0" w:color="auto"/>
              <w:right w:val="single" w:sz="4" w:space="0" w:color="auto"/>
            </w:tcBorders>
            <w:shd w:val="clear" w:color="auto" w:fill="auto"/>
            <w:vAlign w:val="center"/>
            <w:hideMark/>
          </w:tcPr>
          <w:p w14:paraId="64A93ED9"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w:t>
            </w:r>
          </w:p>
        </w:tc>
        <w:tc>
          <w:tcPr>
            <w:tcW w:w="1325" w:type="dxa"/>
            <w:tcBorders>
              <w:top w:val="nil"/>
              <w:left w:val="nil"/>
              <w:bottom w:val="single" w:sz="4" w:space="0" w:color="auto"/>
              <w:right w:val="single" w:sz="4" w:space="0" w:color="auto"/>
            </w:tcBorders>
            <w:shd w:val="clear" w:color="auto" w:fill="auto"/>
            <w:noWrap/>
            <w:vAlign w:val="center"/>
          </w:tcPr>
          <w:p w14:paraId="4BDCF1B5"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19,83</w:t>
            </w:r>
          </w:p>
        </w:tc>
        <w:tc>
          <w:tcPr>
            <w:tcW w:w="1545" w:type="dxa"/>
            <w:tcBorders>
              <w:top w:val="nil"/>
              <w:left w:val="nil"/>
              <w:bottom w:val="single" w:sz="4" w:space="0" w:color="auto"/>
              <w:right w:val="single" w:sz="4" w:space="0" w:color="auto"/>
            </w:tcBorders>
            <w:shd w:val="clear" w:color="auto" w:fill="auto"/>
            <w:noWrap/>
            <w:vAlign w:val="center"/>
          </w:tcPr>
          <w:p w14:paraId="763195A7"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52,61</w:t>
            </w:r>
          </w:p>
        </w:tc>
        <w:tc>
          <w:tcPr>
            <w:tcW w:w="1276" w:type="dxa"/>
            <w:tcBorders>
              <w:top w:val="single" w:sz="4" w:space="0" w:color="auto"/>
              <w:left w:val="nil"/>
              <w:bottom w:val="single" w:sz="4" w:space="0" w:color="auto"/>
              <w:right w:val="single" w:sz="4" w:space="0" w:color="auto"/>
            </w:tcBorders>
            <w:vAlign w:val="center"/>
          </w:tcPr>
          <w:p w14:paraId="67470CE5" w14:textId="77777777" w:rsidR="00CF336B" w:rsidRPr="001B4CA2" w:rsidRDefault="00CF336B" w:rsidP="00A14600">
            <w:pPr>
              <w:jc w:val="center"/>
              <w:rPr>
                <w:rFonts w:eastAsia="Times New Roman"/>
                <w:b/>
                <w:bCs/>
                <w:sz w:val="18"/>
                <w:szCs w:val="18"/>
                <w:lang w:eastAsia="hr-HR"/>
              </w:rPr>
            </w:pPr>
            <w:r w:rsidRPr="001B4CA2">
              <w:rPr>
                <w:rFonts w:eastAsia="Times New Roman"/>
                <w:bCs/>
                <w:sz w:val="18"/>
                <w:szCs w:val="18"/>
                <w:lang w:eastAsia="hr-HR"/>
              </w:rPr>
              <w:t>27,56</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69651"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100</w:t>
            </w:r>
          </w:p>
        </w:tc>
      </w:tr>
      <w:tr w:rsidR="00CF336B" w:rsidRPr="001B4CA2" w14:paraId="1409D21F" w14:textId="77777777" w:rsidTr="00FB2B5D">
        <w:trPr>
          <w:trHeight w:val="431"/>
          <w:jc w:val="center"/>
        </w:trPr>
        <w:tc>
          <w:tcPr>
            <w:tcW w:w="711" w:type="dxa"/>
            <w:vMerge/>
            <w:tcBorders>
              <w:top w:val="nil"/>
              <w:left w:val="single" w:sz="4" w:space="0" w:color="auto"/>
              <w:bottom w:val="single" w:sz="4" w:space="0" w:color="auto"/>
              <w:right w:val="single" w:sz="4" w:space="0" w:color="auto"/>
            </w:tcBorders>
            <w:shd w:val="clear" w:color="auto" w:fill="99CCFF"/>
            <w:vAlign w:val="center"/>
          </w:tcPr>
          <w:p w14:paraId="0D79DBDB" w14:textId="77777777" w:rsidR="00CF336B" w:rsidRPr="001B4CA2" w:rsidRDefault="00CF336B" w:rsidP="00A14600">
            <w:pPr>
              <w:jc w:val="left"/>
              <w:rPr>
                <w:rFonts w:eastAsia="Times New Roman"/>
                <w:sz w:val="18"/>
                <w:szCs w:val="18"/>
                <w:lang w:eastAsia="hr-HR"/>
              </w:rPr>
            </w:pPr>
          </w:p>
        </w:tc>
        <w:tc>
          <w:tcPr>
            <w:tcW w:w="3122" w:type="dxa"/>
            <w:tcBorders>
              <w:top w:val="nil"/>
              <w:left w:val="nil"/>
              <w:bottom w:val="single" w:sz="4" w:space="0" w:color="auto"/>
              <w:right w:val="single" w:sz="4" w:space="0" w:color="auto"/>
            </w:tcBorders>
            <w:shd w:val="clear" w:color="auto" w:fill="auto"/>
            <w:vAlign w:val="center"/>
            <w:hideMark/>
          </w:tcPr>
          <w:p w14:paraId="16F40833"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325" w:type="dxa"/>
            <w:tcBorders>
              <w:top w:val="nil"/>
              <w:left w:val="nil"/>
              <w:bottom w:val="single" w:sz="4" w:space="0" w:color="auto"/>
              <w:right w:val="single" w:sz="4" w:space="0" w:color="auto"/>
            </w:tcBorders>
            <w:shd w:val="clear" w:color="auto" w:fill="auto"/>
            <w:noWrap/>
            <w:vAlign w:val="center"/>
          </w:tcPr>
          <w:p w14:paraId="2AEB4360"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360.480</w:t>
            </w:r>
          </w:p>
        </w:tc>
        <w:tc>
          <w:tcPr>
            <w:tcW w:w="1545" w:type="dxa"/>
            <w:tcBorders>
              <w:top w:val="nil"/>
              <w:left w:val="nil"/>
              <w:bottom w:val="single" w:sz="4" w:space="0" w:color="auto"/>
              <w:right w:val="single" w:sz="4" w:space="0" w:color="auto"/>
            </w:tcBorders>
            <w:shd w:val="clear" w:color="auto" w:fill="auto"/>
            <w:noWrap/>
            <w:vAlign w:val="center"/>
          </w:tcPr>
          <w:p w14:paraId="1E849238"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11.036.306</w:t>
            </w:r>
          </w:p>
        </w:tc>
        <w:tc>
          <w:tcPr>
            <w:tcW w:w="1276" w:type="dxa"/>
            <w:tcBorders>
              <w:top w:val="single" w:sz="4" w:space="0" w:color="auto"/>
              <w:left w:val="nil"/>
              <w:bottom w:val="single" w:sz="4" w:space="0" w:color="auto"/>
              <w:right w:val="single" w:sz="4" w:space="0" w:color="auto"/>
            </w:tcBorders>
            <w:vAlign w:val="center"/>
          </w:tcPr>
          <w:p w14:paraId="5EEA27BD" w14:textId="77777777" w:rsidR="00CF336B" w:rsidRPr="001B4CA2" w:rsidRDefault="00CF336B" w:rsidP="00A14600">
            <w:pPr>
              <w:jc w:val="center"/>
              <w:rPr>
                <w:rFonts w:eastAsia="Times New Roman"/>
                <w:b/>
                <w:bCs/>
                <w:sz w:val="18"/>
                <w:szCs w:val="18"/>
                <w:lang w:eastAsia="hr-HR"/>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35CBE"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11.396.786</w:t>
            </w:r>
          </w:p>
        </w:tc>
      </w:tr>
      <w:tr w:rsidR="00CF336B" w:rsidRPr="001B4CA2" w14:paraId="2EDFA1C6" w14:textId="77777777" w:rsidTr="00FB2B5D">
        <w:trPr>
          <w:trHeight w:val="431"/>
          <w:jc w:val="center"/>
        </w:trPr>
        <w:tc>
          <w:tcPr>
            <w:tcW w:w="711" w:type="dxa"/>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14:paraId="57CEB4B8"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2021.</w:t>
            </w:r>
          </w:p>
        </w:tc>
        <w:tc>
          <w:tcPr>
            <w:tcW w:w="3122" w:type="dxa"/>
            <w:tcBorders>
              <w:top w:val="single" w:sz="4" w:space="0" w:color="auto"/>
              <w:left w:val="nil"/>
              <w:bottom w:val="single" w:sz="4" w:space="0" w:color="auto"/>
              <w:right w:val="single" w:sz="4" w:space="0" w:color="auto"/>
            </w:tcBorders>
            <w:shd w:val="clear" w:color="auto" w:fill="auto"/>
            <w:vAlign w:val="center"/>
            <w:hideMark/>
          </w:tcPr>
          <w:p w14:paraId="2FF7DF4C"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Broj zahtjeva</w:t>
            </w:r>
          </w:p>
        </w:tc>
        <w:tc>
          <w:tcPr>
            <w:tcW w:w="1325" w:type="dxa"/>
            <w:tcBorders>
              <w:top w:val="single" w:sz="4" w:space="0" w:color="auto"/>
              <w:left w:val="nil"/>
              <w:bottom w:val="single" w:sz="4" w:space="0" w:color="auto"/>
              <w:right w:val="single" w:sz="4" w:space="0" w:color="auto"/>
            </w:tcBorders>
            <w:shd w:val="clear" w:color="auto" w:fill="auto"/>
            <w:noWrap/>
            <w:vAlign w:val="center"/>
          </w:tcPr>
          <w:p w14:paraId="533E2207" w14:textId="77777777" w:rsidR="00CF336B" w:rsidRPr="001B4CA2" w:rsidRDefault="00CF336B" w:rsidP="00A14600">
            <w:pPr>
              <w:jc w:val="center"/>
              <w:rPr>
                <w:rFonts w:eastAsia="Times New Roman"/>
                <w:sz w:val="18"/>
                <w:szCs w:val="18"/>
                <w:lang w:eastAsia="hr-HR"/>
              </w:rPr>
            </w:pPr>
            <w:r w:rsidRPr="001B4CA2">
              <w:rPr>
                <w:sz w:val="18"/>
                <w:szCs w:val="18"/>
              </w:rPr>
              <w:t>1.285</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11AC41F5" w14:textId="77777777" w:rsidR="00CF336B" w:rsidRPr="001B4CA2" w:rsidRDefault="00CF336B" w:rsidP="00A14600">
            <w:pPr>
              <w:jc w:val="center"/>
              <w:rPr>
                <w:rFonts w:eastAsia="Times New Roman"/>
                <w:sz w:val="18"/>
                <w:szCs w:val="18"/>
                <w:lang w:eastAsia="hr-HR"/>
              </w:rPr>
            </w:pPr>
            <w:r w:rsidRPr="001B4CA2">
              <w:rPr>
                <w:sz w:val="18"/>
                <w:szCs w:val="18"/>
              </w:rPr>
              <w:t>4.889</w:t>
            </w:r>
          </w:p>
        </w:tc>
        <w:tc>
          <w:tcPr>
            <w:tcW w:w="1276" w:type="dxa"/>
            <w:tcBorders>
              <w:top w:val="single" w:sz="4" w:space="0" w:color="auto"/>
              <w:left w:val="nil"/>
              <w:bottom w:val="single" w:sz="4" w:space="0" w:color="auto"/>
              <w:right w:val="single" w:sz="4" w:space="0" w:color="auto"/>
            </w:tcBorders>
            <w:vAlign w:val="center"/>
          </w:tcPr>
          <w:p w14:paraId="186B1E8F" w14:textId="77777777" w:rsidR="00CF336B" w:rsidRPr="001B4CA2" w:rsidRDefault="00CF336B" w:rsidP="00A14600">
            <w:pPr>
              <w:jc w:val="center"/>
              <w:rPr>
                <w:rFonts w:eastAsia="Times New Roman"/>
                <w:b/>
                <w:bCs/>
                <w:sz w:val="18"/>
                <w:szCs w:val="18"/>
                <w:lang w:eastAsia="hr-HR"/>
              </w:rPr>
            </w:pPr>
            <w:r w:rsidRPr="001B4CA2">
              <w:rPr>
                <w:sz w:val="18"/>
                <w:szCs w:val="18"/>
              </w:rPr>
              <w:t>1.941</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02385"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8.115</w:t>
            </w:r>
          </w:p>
        </w:tc>
      </w:tr>
      <w:tr w:rsidR="00CF336B" w:rsidRPr="001B4CA2" w14:paraId="0B137E71" w14:textId="77777777" w:rsidTr="00FB2B5D">
        <w:trPr>
          <w:trHeight w:val="431"/>
          <w:jc w:val="center"/>
        </w:trPr>
        <w:tc>
          <w:tcPr>
            <w:tcW w:w="711" w:type="dxa"/>
            <w:vMerge/>
            <w:tcBorders>
              <w:top w:val="single" w:sz="4" w:space="0" w:color="auto"/>
              <w:left w:val="single" w:sz="4" w:space="0" w:color="auto"/>
              <w:bottom w:val="single" w:sz="4" w:space="0" w:color="auto"/>
              <w:right w:val="single" w:sz="4" w:space="0" w:color="auto"/>
            </w:tcBorders>
            <w:shd w:val="clear" w:color="auto" w:fill="99CCFF"/>
            <w:vAlign w:val="center"/>
          </w:tcPr>
          <w:p w14:paraId="544DF774" w14:textId="77777777" w:rsidR="00CF336B" w:rsidRPr="001B4CA2" w:rsidRDefault="00CF336B" w:rsidP="00A14600">
            <w:pPr>
              <w:jc w:val="left"/>
              <w:rPr>
                <w:rFonts w:eastAsia="Times New Roman"/>
                <w:sz w:val="18"/>
                <w:szCs w:val="18"/>
                <w:lang w:eastAsia="hr-HR"/>
              </w:rPr>
            </w:pPr>
          </w:p>
        </w:tc>
        <w:tc>
          <w:tcPr>
            <w:tcW w:w="3122" w:type="dxa"/>
            <w:tcBorders>
              <w:top w:val="single" w:sz="4" w:space="0" w:color="auto"/>
              <w:left w:val="nil"/>
              <w:bottom w:val="single" w:sz="4" w:space="0" w:color="auto"/>
              <w:right w:val="single" w:sz="4" w:space="0" w:color="auto"/>
            </w:tcBorders>
            <w:shd w:val="clear" w:color="auto" w:fill="auto"/>
            <w:vAlign w:val="center"/>
            <w:hideMark/>
          </w:tcPr>
          <w:p w14:paraId="4E1B04C4"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w:t>
            </w:r>
          </w:p>
        </w:tc>
        <w:tc>
          <w:tcPr>
            <w:tcW w:w="1325" w:type="dxa"/>
            <w:tcBorders>
              <w:top w:val="single" w:sz="4" w:space="0" w:color="auto"/>
              <w:left w:val="nil"/>
              <w:bottom w:val="single" w:sz="4" w:space="0" w:color="auto"/>
              <w:right w:val="single" w:sz="4" w:space="0" w:color="auto"/>
            </w:tcBorders>
            <w:shd w:val="clear" w:color="auto" w:fill="auto"/>
            <w:noWrap/>
            <w:vAlign w:val="center"/>
          </w:tcPr>
          <w:p w14:paraId="7D92B50E"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16</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0038E2D6"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60</w:t>
            </w:r>
          </w:p>
        </w:tc>
        <w:tc>
          <w:tcPr>
            <w:tcW w:w="1276" w:type="dxa"/>
            <w:tcBorders>
              <w:top w:val="single" w:sz="4" w:space="0" w:color="auto"/>
              <w:left w:val="nil"/>
              <w:bottom w:val="single" w:sz="4" w:space="0" w:color="auto"/>
              <w:right w:val="single" w:sz="4" w:space="0" w:color="auto"/>
            </w:tcBorders>
            <w:vAlign w:val="center"/>
          </w:tcPr>
          <w:p w14:paraId="2162CBE3" w14:textId="77777777" w:rsidR="00CF336B" w:rsidRPr="001B4CA2" w:rsidRDefault="00CF336B" w:rsidP="00A14600">
            <w:pPr>
              <w:jc w:val="center"/>
              <w:rPr>
                <w:rFonts w:eastAsia="Times New Roman"/>
                <w:b/>
                <w:bCs/>
                <w:sz w:val="18"/>
                <w:szCs w:val="18"/>
                <w:lang w:eastAsia="hr-HR"/>
              </w:rPr>
            </w:pPr>
            <w:r w:rsidRPr="001B4CA2">
              <w:rPr>
                <w:rFonts w:eastAsia="Times New Roman"/>
                <w:bCs/>
                <w:sz w:val="18"/>
                <w:szCs w:val="18"/>
                <w:lang w:eastAsia="hr-HR"/>
              </w:rPr>
              <w:t>24</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49A62"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100</w:t>
            </w:r>
          </w:p>
        </w:tc>
      </w:tr>
      <w:tr w:rsidR="00CF336B" w:rsidRPr="001B4CA2" w14:paraId="51943199" w14:textId="77777777" w:rsidTr="00FB2B5D">
        <w:trPr>
          <w:trHeight w:val="431"/>
          <w:jc w:val="center"/>
        </w:trPr>
        <w:tc>
          <w:tcPr>
            <w:tcW w:w="711" w:type="dxa"/>
            <w:vMerge/>
            <w:tcBorders>
              <w:top w:val="single" w:sz="4" w:space="0" w:color="auto"/>
              <w:left w:val="single" w:sz="4" w:space="0" w:color="auto"/>
              <w:bottom w:val="single" w:sz="4" w:space="0" w:color="auto"/>
              <w:right w:val="single" w:sz="4" w:space="0" w:color="auto"/>
            </w:tcBorders>
            <w:shd w:val="clear" w:color="auto" w:fill="99CCFF"/>
            <w:vAlign w:val="center"/>
          </w:tcPr>
          <w:p w14:paraId="05E66A8E" w14:textId="77777777" w:rsidR="00CF336B" w:rsidRPr="001B4CA2" w:rsidRDefault="00CF336B" w:rsidP="00A14600">
            <w:pPr>
              <w:jc w:val="left"/>
              <w:rPr>
                <w:rFonts w:eastAsia="Times New Roman"/>
                <w:sz w:val="18"/>
                <w:szCs w:val="18"/>
                <w:lang w:eastAsia="hr-HR"/>
              </w:rPr>
            </w:pPr>
          </w:p>
        </w:tc>
        <w:tc>
          <w:tcPr>
            <w:tcW w:w="3122" w:type="dxa"/>
            <w:tcBorders>
              <w:top w:val="single" w:sz="4" w:space="0" w:color="auto"/>
              <w:left w:val="nil"/>
              <w:bottom w:val="single" w:sz="4" w:space="0" w:color="auto"/>
              <w:right w:val="single" w:sz="4" w:space="0" w:color="auto"/>
            </w:tcBorders>
            <w:shd w:val="clear" w:color="auto" w:fill="auto"/>
            <w:vAlign w:val="center"/>
            <w:hideMark/>
          </w:tcPr>
          <w:p w14:paraId="73927138"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325" w:type="dxa"/>
            <w:tcBorders>
              <w:top w:val="single" w:sz="4" w:space="0" w:color="auto"/>
              <w:left w:val="nil"/>
              <w:bottom w:val="single" w:sz="4" w:space="0" w:color="auto"/>
              <w:right w:val="single" w:sz="4" w:space="0" w:color="auto"/>
            </w:tcBorders>
            <w:shd w:val="clear" w:color="auto" w:fill="auto"/>
            <w:noWrap/>
            <w:vAlign w:val="center"/>
          </w:tcPr>
          <w:p w14:paraId="540E74EB" w14:textId="77777777" w:rsidR="00CF336B" w:rsidRPr="001B4CA2" w:rsidRDefault="00CF336B" w:rsidP="00A14600">
            <w:pPr>
              <w:jc w:val="center"/>
              <w:rPr>
                <w:rFonts w:eastAsia="Times New Roman"/>
                <w:sz w:val="18"/>
                <w:szCs w:val="18"/>
                <w:lang w:eastAsia="hr-HR"/>
              </w:rPr>
            </w:pPr>
            <w:r w:rsidRPr="001B4CA2">
              <w:rPr>
                <w:sz w:val="18"/>
                <w:szCs w:val="18"/>
              </w:rPr>
              <w:t>239.397</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49A833B6" w14:textId="77777777" w:rsidR="00CF336B" w:rsidRPr="001B4CA2" w:rsidRDefault="00CF336B" w:rsidP="00A14600">
            <w:pPr>
              <w:jc w:val="center"/>
              <w:rPr>
                <w:rFonts w:eastAsia="Times New Roman"/>
                <w:sz w:val="18"/>
                <w:szCs w:val="18"/>
                <w:lang w:eastAsia="hr-HR"/>
              </w:rPr>
            </w:pPr>
            <w:r w:rsidRPr="001B4CA2">
              <w:rPr>
                <w:sz w:val="18"/>
                <w:szCs w:val="18"/>
              </w:rPr>
              <w:t>13.458.815</w:t>
            </w:r>
          </w:p>
        </w:tc>
        <w:tc>
          <w:tcPr>
            <w:tcW w:w="1276" w:type="dxa"/>
            <w:tcBorders>
              <w:top w:val="single" w:sz="4" w:space="0" w:color="auto"/>
              <w:left w:val="nil"/>
              <w:bottom w:val="single" w:sz="4" w:space="0" w:color="auto"/>
              <w:right w:val="single" w:sz="4" w:space="0" w:color="auto"/>
            </w:tcBorders>
            <w:vAlign w:val="center"/>
          </w:tcPr>
          <w:p w14:paraId="54D4ACE0" w14:textId="77777777" w:rsidR="00CF336B" w:rsidRPr="001B4CA2" w:rsidRDefault="00CF336B" w:rsidP="00A14600">
            <w:pPr>
              <w:jc w:val="center"/>
              <w:rPr>
                <w:rFonts w:eastAsia="Times New Roman"/>
                <w:b/>
                <w:bCs/>
                <w:sz w:val="18"/>
                <w:szCs w:val="18"/>
                <w:lang w:eastAsia="hr-HR"/>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8EC75"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13.698.212</w:t>
            </w:r>
          </w:p>
        </w:tc>
      </w:tr>
      <w:tr w:rsidR="00CF336B" w:rsidRPr="001B4CA2" w14:paraId="5F306BDC" w14:textId="77777777" w:rsidTr="00FB2B5D">
        <w:trPr>
          <w:trHeight w:val="431"/>
          <w:jc w:val="center"/>
        </w:trPr>
        <w:tc>
          <w:tcPr>
            <w:tcW w:w="711" w:type="dxa"/>
            <w:vMerge w:val="restart"/>
            <w:tcBorders>
              <w:top w:val="single" w:sz="4" w:space="0" w:color="auto"/>
              <w:left w:val="single" w:sz="4" w:space="0" w:color="auto"/>
              <w:right w:val="single" w:sz="4" w:space="0" w:color="auto"/>
            </w:tcBorders>
            <w:shd w:val="clear" w:color="auto" w:fill="99CCFF"/>
            <w:vAlign w:val="center"/>
          </w:tcPr>
          <w:p w14:paraId="3D3FA668"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2022.</w:t>
            </w:r>
          </w:p>
        </w:tc>
        <w:tc>
          <w:tcPr>
            <w:tcW w:w="3122" w:type="dxa"/>
            <w:tcBorders>
              <w:top w:val="single" w:sz="4" w:space="0" w:color="auto"/>
              <w:left w:val="nil"/>
              <w:bottom w:val="single" w:sz="4" w:space="0" w:color="auto"/>
              <w:right w:val="single" w:sz="4" w:space="0" w:color="auto"/>
            </w:tcBorders>
            <w:shd w:val="clear" w:color="auto" w:fill="auto"/>
            <w:vAlign w:val="center"/>
          </w:tcPr>
          <w:p w14:paraId="4DDFA5DE"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Broj zahtjeva</w:t>
            </w:r>
          </w:p>
        </w:tc>
        <w:tc>
          <w:tcPr>
            <w:tcW w:w="1325" w:type="dxa"/>
            <w:tcBorders>
              <w:top w:val="single" w:sz="4" w:space="0" w:color="auto"/>
              <w:left w:val="nil"/>
              <w:bottom w:val="single" w:sz="4" w:space="0" w:color="auto"/>
              <w:right w:val="single" w:sz="4" w:space="0" w:color="auto"/>
            </w:tcBorders>
            <w:shd w:val="clear" w:color="auto" w:fill="auto"/>
            <w:noWrap/>
            <w:vAlign w:val="center"/>
          </w:tcPr>
          <w:p w14:paraId="17EB176F" w14:textId="77777777" w:rsidR="00CF336B" w:rsidRPr="001B4CA2" w:rsidRDefault="00CF336B" w:rsidP="00A14600">
            <w:pPr>
              <w:jc w:val="center"/>
              <w:rPr>
                <w:sz w:val="18"/>
                <w:szCs w:val="18"/>
              </w:rPr>
            </w:pPr>
            <w:r w:rsidRPr="001B4CA2">
              <w:rPr>
                <w:sz w:val="18"/>
                <w:szCs w:val="18"/>
              </w:rPr>
              <w:t>1.612</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30EEB260" w14:textId="77777777" w:rsidR="00CF336B" w:rsidRPr="001B4CA2" w:rsidRDefault="00CF336B" w:rsidP="00A14600">
            <w:pPr>
              <w:jc w:val="center"/>
              <w:rPr>
                <w:sz w:val="18"/>
                <w:szCs w:val="18"/>
              </w:rPr>
            </w:pPr>
            <w:r w:rsidRPr="001B4CA2">
              <w:rPr>
                <w:sz w:val="18"/>
                <w:szCs w:val="18"/>
              </w:rPr>
              <w:t>2.942</w:t>
            </w:r>
          </w:p>
        </w:tc>
        <w:tc>
          <w:tcPr>
            <w:tcW w:w="1276" w:type="dxa"/>
            <w:tcBorders>
              <w:top w:val="single" w:sz="4" w:space="0" w:color="auto"/>
              <w:left w:val="nil"/>
              <w:bottom w:val="single" w:sz="4" w:space="0" w:color="auto"/>
              <w:right w:val="single" w:sz="4" w:space="0" w:color="auto"/>
            </w:tcBorders>
            <w:vAlign w:val="center"/>
          </w:tcPr>
          <w:p w14:paraId="503DD76E" w14:textId="77777777" w:rsidR="00CF336B" w:rsidRPr="001B4CA2" w:rsidRDefault="00CF336B" w:rsidP="00A14600">
            <w:pPr>
              <w:jc w:val="center"/>
              <w:rPr>
                <w:sz w:val="18"/>
                <w:szCs w:val="18"/>
              </w:rPr>
            </w:pPr>
            <w:r w:rsidRPr="001B4CA2">
              <w:rPr>
                <w:sz w:val="18"/>
                <w:szCs w:val="18"/>
              </w:rPr>
              <w:t>632</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E6688"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5.186</w:t>
            </w:r>
          </w:p>
        </w:tc>
      </w:tr>
      <w:tr w:rsidR="00CF336B" w:rsidRPr="001B4CA2" w14:paraId="37625313" w14:textId="77777777" w:rsidTr="00FB2B5D">
        <w:trPr>
          <w:trHeight w:val="431"/>
          <w:jc w:val="center"/>
        </w:trPr>
        <w:tc>
          <w:tcPr>
            <w:tcW w:w="711" w:type="dxa"/>
            <w:vMerge/>
            <w:tcBorders>
              <w:left w:val="single" w:sz="4" w:space="0" w:color="auto"/>
              <w:right w:val="single" w:sz="4" w:space="0" w:color="auto"/>
            </w:tcBorders>
            <w:shd w:val="clear" w:color="auto" w:fill="99CCFF"/>
            <w:vAlign w:val="center"/>
          </w:tcPr>
          <w:p w14:paraId="5FA6CBE2" w14:textId="77777777" w:rsidR="00CF336B" w:rsidRPr="001B4CA2" w:rsidRDefault="00CF336B" w:rsidP="00A14600">
            <w:pPr>
              <w:jc w:val="left"/>
              <w:rPr>
                <w:rFonts w:eastAsia="Times New Roman"/>
                <w:sz w:val="18"/>
                <w:szCs w:val="18"/>
                <w:lang w:eastAsia="hr-HR"/>
              </w:rPr>
            </w:pPr>
          </w:p>
        </w:tc>
        <w:tc>
          <w:tcPr>
            <w:tcW w:w="3122" w:type="dxa"/>
            <w:tcBorders>
              <w:top w:val="single" w:sz="4" w:space="0" w:color="auto"/>
              <w:left w:val="nil"/>
              <w:bottom w:val="single" w:sz="4" w:space="0" w:color="auto"/>
              <w:right w:val="single" w:sz="4" w:space="0" w:color="auto"/>
            </w:tcBorders>
            <w:shd w:val="clear" w:color="auto" w:fill="auto"/>
            <w:vAlign w:val="center"/>
          </w:tcPr>
          <w:p w14:paraId="1CE88BB3"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w:t>
            </w:r>
          </w:p>
        </w:tc>
        <w:tc>
          <w:tcPr>
            <w:tcW w:w="1325" w:type="dxa"/>
            <w:tcBorders>
              <w:top w:val="single" w:sz="4" w:space="0" w:color="auto"/>
              <w:left w:val="nil"/>
              <w:bottom w:val="single" w:sz="4" w:space="0" w:color="auto"/>
              <w:right w:val="single" w:sz="4" w:space="0" w:color="auto"/>
            </w:tcBorders>
            <w:shd w:val="clear" w:color="auto" w:fill="auto"/>
            <w:noWrap/>
            <w:vAlign w:val="center"/>
          </w:tcPr>
          <w:p w14:paraId="20440967"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31</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6D2970CF" w14:textId="77777777" w:rsidR="00CF336B" w:rsidRPr="001B4CA2" w:rsidRDefault="00CF336B" w:rsidP="00A14600">
            <w:pPr>
              <w:jc w:val="center"/>
              <w:rPr>
                <w:rFonts w:eastAsia="Times New Roman"/>
                <w:sz w:val="18"/>
                <w:szCs w:val="18"/>
                <w:lang w:eastAsia="hr-HR"/>
              </w:rPr>
            </w:pPr>
            <w:r w:rsidRPr="001B4CA2">
              <w:rPr>
                <w:rFonts w:eastAsia="Times New Roman"/>
                <w:sz w:val="18"/>
                <w:szCs w:val="18"/>
                <w:lang w:eastAsia="hr-HR"/>
              </w:rPr>
              <w:t>57</w:t>
            </w:r>
          </w:p>
        </w:tc>
        <w:tc>
          <w:tcPr>
            <w:tcW w:w="1276" w:type="dxa"/>
            <w:tcBorders>
              <w:top w:val="single" w:sz="4" w:space="0" w:color="auto"/>
              <w:left w:val="nil"/>
              <w:bottom w:val="single" w:sz="4" w:space="0" w:color="auto"/>
              <w:right w:val="single" w:sz="4" w:space="0" w:color="auto"/>
            </w:tcBorders>
            <w:vAlign w:val="center"/>
          </w:tcPr>
          <w:p w14:paraId="69D99E79" w14:textId="77777777" w:rsidR="00CF336B" w:rsidRPr="001B4CA2" w:rsidRDefault="00CF336B" w:rsidP="00A14600">
            <w:pPr>
              <w:jc w:val="center"/>
              <w:rPr>
                <w:rFonts w:eastAsia="Times New Roman"/>
                <w:bCs/>
                <w:sz w:val="18"/>
                <w:szCs w:val="18"/>
                <w:lang w:eastAsia="hr-HR"/>
              </w:rPr>
            </w:pPr>
            <w:r w:rsidRPr="001B4CA2">
              <w:rPr>
                <w:rFonts w:eastAsia="Times New Roman"/>
                <w:bCs/>
                <w:sz w:val="18"/>
                <w:szCs w:val="18"/>
                <w:lang w:eastAsia="hr-HR"/>
              </w:rPr>
              <w:t>12</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169BD"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100</w:t>
            </w:r>
          </w:p>
        </w:tc>
      </w:tr>
      <w:tr w:rsidR="00CF336B" w:rsidRPr="001B4CA2" w14:paraId="24708C4B" w14:textId="77777777" w:rsidTr="00FB2B5D">
        <w:trPr>
          <w:trHeight w:val="431"/>
          <w:jc w:val="center"/>
        </w:trPr>
        <w:tc>
          <w:tcPr>
            <w:tcW w:w="711" w:type="dxa"/>
            <w:vMerge/>
            <w:tcBorders>
              <w:left w:val="single" w:sz="4" w:space="0" w:color="auto"/>
              <w:bottom w:val="single" w:sz="4" w:space="0" w:color="auto"/>
              <w:right w:val="single" w:sz="4" w:space="0" w:color="auto"/>
            </w:tcBorders>
            <w:shd w:val="clear" w:color="auto" w:fill="99CCFF"/>
            <w:vAlign w:val="center"/>
          </w:tcPr>
          <w:p w14:paraId="5219CA75" w14:textId="77777777" w:rsidR="00CF336B" w:rsidRPr="001B4CA2" w:rsidRDefault="00CF336B" w:rsidP="00A14600">
            <w:pPr>
              <w:jc w:val="left"/>
              <w:rPr>
                <w:rFonts w:eastAsia="Times New Roman"/>
                <w:sz w:val="18"/>
                <w:szCs w:val="18"/>
                <w:lang w:eastAsia="hr-HR"/>
              </w:rPr>
            </w:pPr>
          </w:p>
        </w:tc>
        <w:tc>
          <w:tcPr>
            <w:tcW w:w="3122" w:type="dxa"/>
            <w:tcBorders>
              <w:top w:val="single" w:sz="4" w:space="0" w:color="auto"/>
              <w:left w:val="nil"/>
              <w:bottom w:val="single" w:sz="4" w:space="0" w:color="auto"/>
              <w:right w:val="single" w:sz="4" w:space="0" w:color="auto"/>
            </w:tcBorders>
            <w:shd w:val="clear" w:color="auto" w:fill="auto"/>
            <w:vAlign w:val="center"/>
          </w:tcPr>
          <w:p w14:paraId="4278BA14"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325" w:type="dxa"/>
            <w:tcBorders>
              <w:top w:val="single" w:sz="4" w:space="0" w:color="auto"/>
              <w:left w:val="nil"/>
              <w:bottom w:val="single" w:sz="4" w:space="0" w:color="auto"/>
              <w:right w:val="single" w:sz="4" w:space="0" w:color="auto"/>
            </w:tcBorders>
            <w:shd w:val="clear" w:color="auto" w:fill="auto"/>
            <w:noWrap/>
            <w:vAlign w:val="center"/>
          </w:tcPr>
          <w:p w14:paraId="2C87675C" w14:textId="77777777" w:rsidR="00CF336B" w:rsidRPr="001B4CA2" w:rsidRDefault="00CF336B" w:rsidP="00A14600">
            <w:pPr>
              <w:jc w:val="center"/>
              <w:rPr>
                <w:rFonts w:eastAsia="Times New Roman"/>
                <w:sz w:val="18"/>
                <w:szCs w:val="18"/>
                <w:lang w:eastAsia="hr-HR"/>
              </w:rPr>
            </w:pPr>
            <w:r w:rsidRPr="001B4CA2">
              <w:rPr>
                <w:sz w:val="18"/>
                <w:szCs w:val="18"/>
              </w:rPr>
              <w:t>420.395</w:t>
            </w:r>
          </w:p>
        </w:tc>
        <w:tc>
          <w:tcPr>
            <w:tcW w:w="1545" w:type="dxa"/>
            <w:tcBorders>
              <w:top w:val="single" w:sz="4" w:space="0" w:color="auto"/>
              <w:left w:val="nil"/>
              <w:bottom w:val="single" w:sz="4" w:space="0" w:color="auto"/>
              <w:right w:val="single" w:sz="4" w:space="0" w:color="auto"/>
            </w:tcBorders>
            <w:shd w:val="clear" w:color="auto" w:fill="auto"/>
            <w:noWrap/>
            <w:vAlign w:val="center"/>
          </w:tcPr>
          <w:p w14:paraId="619502F2" w14:textId="77777777" w:rsidR="00CF336B" w:rsidRPr="001B4CA2" w:rsidRDefault="00CF336B" w:rsidP="00A14600">
            <w:pPr>
              <w:jc w:val="center"/>
              <w:rPr>
                <w:rFonts w:eastAsia="Times New Roman"/>
                <w:sz w:val="18"/>
                <w:szCs w:val="18"/>
                <w:lang w:eastAsia="hr-HR"/>
              </w:rPr>
            </w:pPr>
            <w:r w:rsidRPr="001B4CA2">
              <w:rPr>
                <w:sz w:val="18"/>
                <w:szCs w:val="18"/>
              </w:rPr>
              <w:t>4.639.740</w:t>
            </w:r>
          </w:p>
        </w:tc>
        <w:tc>
          <w:tcPr>
            <w:tcW w:w="1276" w:type="dxa"/>
            <w:tcBorders>
              <w:top w:val="single" w:sz="4" w:space="0" w:color="auto"/>
              <w:left w:val="nil"/>
              <w:bottom w:val="single" w:sz="4" w:space="0" w:color="auto"/>
              <w:right w:val="single" w:sz="4" w:space="0" w:color="auto"/>
            </w:tcBorders>
            <w:vAlign w:val="center"/>
          </w:tcPr>
          <w:p w14:paraId="2C9EE58B" w14:textId="77777777" w:rsidR="00CF336B" w:rsidRPr="001B4CA2" w:rsidRDefault="00CF336B" w:rsidP="00A14600">
            <w:pPr>
              <w:jc w:val="center"/>
              <w:rPr>
                <w:rFonts w:eastAsia="Times New Roman"/>
                <w:b/>
                <w:bCs/>
                <w:sz w:val="18"/>
                <w:szCs w:val="18"/>
                <w:lang w:eastAsia="hr-HR"/>
              </w:rPr>
            </w:pP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8C0FD" w14:textId="77777777" w:rsidR="00CF336B" w:rsidRPr="001B4CA2" w:rsidRDefault="00CF336B" w:rsidP="00A14600">
            <w:pPr>
              <w:jc w:val="center"/>
              <w:rPr>
                <w:rFonts w:eastAsia="Times New Roman"/>
                <w:bCs/>
                <w:sz w:val="18"/>
                <w:szCs w:val="18"/>
                <w:lang w:eastAsia="hr-HR"/>
              </w:rPr>
            </w:pPr>
            <w:r w:rsidRPr="001B4CA2">
              <w:rPr>
                <w:rFonts w:eastAsia="Times New Roman"/>
                <w:b/>
                <w:bCs/>
                <w:sz w:val="18"/>
                <w:szCs w:val="18"/>
                <w:lang w:eastAsia="hr-HR"/>
              </w:rPr>
              <w:t>5.060.135</w:t>
            </w:r>
          </w:p>
        </w:tc>
      </w:tr>
    </w:tbl>
    <w:p w14:paraId="2B0BE629" w14:textId="77777777" w:rsidR="00CF336B" w:rsidRPr="001B4CA2" w:rsidRDefault="00CF336B" w:rsidP="00CF336B"/>
    <w:p w14:paraId="67C31B02" w14:textId="7A8EFC31" w:rsidR="00965363" w:rsidRPr="001B4CA2" w:rsidRDefault="00CF336B" w:rsidP="00965363">
      <w:r w:rsidRPr="001B4CA2">
        <w:tab/>
      </w:r>
      <w:r w:rsidR="00965363" w:rsidRPr="001B4CA2">
        <w:t>U 2022. godini Republika Hrvatska je tužitelj u 31</w:t>
      </w:r>
      <w:r w:rsidR="0016095C">
        <w:t> </w:t>
      </w:r>
      <w:r w:rsidR="00965363" w:rsidRPr="001B4CA2">
        <w:t>% od ukupnog broja novih predmeta, a tužena je u 57</w:t>
      </w:r>
      <w:r w:rsidR="0016095C">
        <w:t> </w:t>
      </w:r>
      <w:r w:rsidR="00965363" w:rsidRPr="001B4CA2">
        <w:t>% predmeta.</w:t>
      </w:r>
    </w:p>
    <w:p w14:paraId="42F0096C" w14:textId="77777777" w:rsidR="00965363" w:rsidRPr="001B4CA2" w:rsidRDefault="00965363" w:rsidP="00965363"/>
    <w:p w14:paraId="0DA64B14" w14:textId="5F36400F" w:rsidR="00965363" w:rsidRPr="001B4CA2" w:rsidRDefault="00965363" w:rsidP="00965363">
      <w:r w:rsidRPr="001B4CA2">
        <w:tab/>
        <w:t xml:space="preserve">Republika Hrvatska sudjelovala je kao </w:t>
      </w:r>
      <w:proofErr w:type="spellStart"/>
      <w:r w:rsidRPr="001B4CA2">
        <w:t>umješač</w:t>
      </w:r>
      <w:proofErr w:type="spellEnd"/>
      <w:r w:rsidRPr="001B4CA2">
        <w:t xml:space="preserve"> u 12</w:t>
      </w:r>
      <w:r w:rsidR="0016095C">
        <w:t> </w:t>
      </w:r>
      <w:r w:rsidRPr="001B4CA2">
        <w:t>% predmeta, najčešće na strani tuženika. Većina ovih predmeta odnosi se na radne sporove koji su vođeni po tužbama zaposlenika javnih ustanova čiji je Republika Hrvatska osnivač. Republika Hrvatska miješala se u parnice na strani tuženih zdravstvenih, obrazovnih i znanstvenih ustanova, koje su pokrenuli zaposlenici tih ustanova.</w:t>
      </w:r>
    </w:p>
    <w:p w14:paraId="3F9B05BF" w14:textId="77777777" w:rsidR="00965363" w:rsidRPr="001B4CA2" w:rsidRDefault="00965363" w:rsidP="00965363"/>
    <w:p w14:paraId="3938552A" w14:textId="77777777" w:rsidR="00965363" w:rsidRPr="001B4CA2" w:rsidRDefault="00965363" w:rsidP="00965363">
      <w:r w:rsidRPr="001B4CA2">
        <w:tab/>
        <w:t>Vrijednost tužbenih zahtjeva nešto je viša od pet milijardi kuna. Naime, tijekom izvještajne godine zaprimljeno je nekoliko predmeta sa zahtjevima većim od milijardu kuna, četiri predmeta sa zahtjevima većim od sto milijuna kuna te dvadeset i pet zahtjeva radi naknade štete gdje je vrijednost spora označena preko deset milijuna kuna.</w:t>
      </w:r>
    </w:p>
    <w:p w14:paraId="412811DC" w14:textId="77777777" w:rsidR="00965363" w:rsidRPr="001B4CA2" w:rsidRDefault="00965363" w:rsidP="00965363"/>
    <w:p w14:paraId="39420A73" w14:textId="0CCB13BC" w:rsidR="00965363" w:rsidRPr="001B4CA2" w:rsidRDefault="00965363" w:rsidP="00965363">
      <w:r w:rsidRPr="001B4CA2">
        <w:tab/>
        <w:t xml:space="preserve">Vrijednost predmeta spora gdje je </w:t>
      </w:r>
      <w:r w:rsidRPr="001B4CA2">
        <w:rPr>
          <w:rStyle w:val="Naglaeno"/>
          <w:b w:val="0"/>
          <w:spacing w:val="-3"/>
        </w:rPr>
        <w:t>Republika Hrvatska</w:t>
      </w:r>
      <w:r w:rsidRPr="001B4CA2">
        <w:t xml:space="preserve"> tužena višestruko je veća nego vrijednost predmeta spora u predmetima u kojima je </w:t>
      </w:r>
      <w:r w:rsidRPr="001B4CA2">
        <w:rPr>
          <w:rStyle w:val="Naglaeno"/>
          <w:b w:val="0"/>
          <w:spacing w:val="-3"/>
        </w:rPr>
        <w:t>Republika Hrvatska</w:t>
      </w:r>
      <w:r w:rsidRPr="001B4CA2">
        <w:t xml:space="preserve"> tužitelj. Razlog tome je, kako je već ranije navedeno, velika vrijednost predmeta spora u parnicama za naknadu štete u kojima se od Republike Hrvatske potražuju iznosi u milijunima eura. Tužitelji svoj zahtjev temelje na navodno počinjenoj povredi </w:t>
      </w:r>
      <w:r w:rsidRPr="001B4CA2">
        <w:lastRenderedPageBreak/>
        <w:t>prava EU</w:t>
      </w:r>
      <w:r w:rsidR="0016095C">
        <w:t>-a</w:t>
      </w:r>
      <w:r w:rsidRPr="001B4CA2">
        <w:t xml:space="preserve"> donošenjem određenih propisa, odnosno u primjeni tih propisa od strane domaćih sudova. Radi se o posebno činjenično i pravno složenim predmetima koji su opsežnog činjeničnog supstrata i iziskuju posvećenost radu na prou</w:t>
      </w:r>
      <w:r w:rsidR="0016095C">
        <w:t>čavanju</w:t>
      </w:r>
      <w:r w:rsidRPr="001B4CA2">
        <w:t xml:space="preserve"> dokumentacije, pribavi očitovanja i podataka od raznih državnih tijela i institucija, a zahtijevaju i kontinuirano praćenje prakse Suda EU</w:t>
      </w:r>
      <w:r w:rsidR="0016095C">
        <w:t>-a</w:t>
      </w:r>
      <w:r w:rsidRPr="001B4CA2">
        <w:t xml:space="preserve"> radi primjene te prakse u ovim sudskim postupcima. No, analizirajući ove vrijednosti s vrijednostima iz ranijeg razdoblja, ipak je vidljivo da su vrijednosti zahtjeva koje treće osobe ostvaruju protiv države u parnicama pred trgovačkim sudovima manje.</w:t>
      </w:r>
    </w:p>
    <w:p w14:paraId="043954F1" w14:textId="3597BC56" w:rsidR="00CF336B" w:rsidRPr="001B4CA2" w:rsidRDefault="00CF336B" w:rsidP="00965363"/>
    <w:p w14:paraId="0A9D41CE" w14:textId="6FDE6346" w:rsidR="00CF336B" w:rsidRPr="001B4CA2" w:rsidRDefault="00CF336B" w:rsidP="00CF336B">
      <w:pPr>
        <w:ind w:left="142"/>
        <w:rPr>
          <w:i/>
        </w:rPr>
      </w:pPr>
      <w:r w:rsidRPr="001B4CA2">
        <w:rPr>
          <w:i/>
        </w:rPr>
        <w:t>c) Kretanje tužbenih zahtjeva u parničnim predmetima po vrsti spora, 2018. – 2022.</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1311"/>
        <w:gridCol w:w="1311"/>
        <w:gridCol w:w="1311"/>
        <w:gridCol w:w="1311"/>
        <w:gridCol w:w="1135"/>
      </w:tblGrid>
      <w:tr w:rsidR="00CF336B" w:rsidRPr="001B4CA2" w14:paraId="0B2731E0" w14:textId="77777777" w:rsidTr="00FB2B5D">
        <w:trPr>
          <w:trHeight w:val="850"/>
          <w:jc w:val="center"/>
        </w:trPr>
        <w:tc>
          <w:tcPr>
            <w:tcW w:w="2587" w:type="dxa"/>
            <w:shd w:val="clear" w:color="auto" w:fill="99CCFF"/>
            <w:noWrap/>
            <w:vAlign w:val="center"/>
            <w:hideMark/>
          </w:tcPr>
          <w:p w14:paraId="4DF2348E"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Godina</w:t>
            </w:r>
          </w:p>
        </w:tc>
        <w:tc>
          <w:tcPr>
            <w:tcW w:w="1311" w:type="dxa"/>
            <w:shd w:val="clear" w:color="auto" w:fill="99CCFF"/>
            <w:vAlign w:val="center"/>
            <w:hideMark/>
          </w:tcPr>
          <w:p w14:paraId="5FD718AE"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2018.</w:t>
            </w:r>
          </w:p>
        </w:tc>
        <w:tc>
          <w:tcPr>
            <w:tcW w:w="1311" w:type="dxa"/>
            <w:shd w:val="clear" w:color="auto" w:fill="99CCFF"/>
            <w:vAlign w:val="center"/>
            <w:hideMark/>
          </w:tcPr>
          <w:p w14:paraId="59DAB708"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2019.</w:t>
            </w:r>
          </w:p>
        </w:tc>
        <w:tc>
          <w:tcPr>
            <w:tcW w:w="1311" w:type="dxa"/>
            <w:shd w:val="clear" w:color="auto" w:fill="99CCFF"/>
            <w:vAlign w:val="center"/>
            <w:hideMark/>
          </w:tcPr>
          <w:p w14:paraId="36AC965B"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2020.</w:t>
            </w:r>
          </w:p>
        </w:tc>
        <w:tc>
          <w:tcPr>
            <w:tcW w:w="1311" w:type="dxa"/>
            <w:shd w:val="clear" w:color="auto" w:fill="99CCFF"/>
            <w:vAlign w:val="center"/>
            <w:hideMark/>
          </w:tcPr>
          <w:p w14:paraId="161102D8"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2021.</w:t>
            </w:r>
          </w:p>
        </w:tc>
        <w:tc>
          <w:tcPr>
            <w:tcW w:w="1135" w:type="dxa"/>
            <w:shd w:val="clear" w:color="auto" w:fill="99CCFF"/>
            <w:vAlign w:val="center"/>
            <w:hideMark/>
          </w:tcPr>
          <w:p w14:paraId="25A6CD85"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2022.</w:t>
            </w:r>
          </w:p>
        </w:tc>
      </w:tr>
      <w:tr w:rsidR="00CF336B" w:rsidRPr="001B4CA2" w14:paraId="1366E8BF" w14:textId="77777777" w:rsidTr="00FB2B5D">
        <w:trPr>
          <w:trHeight w:val="397"/>
          <w:jc w:val="center"/>
        </w:trPr>
        <w:tc>
          <w:tcPr>
            <w:tcW w:w="2587" w:type="dxa"/>
            <w:shd w:val="clear" w:color="auto" w:fill="FFFFFF" w:themeFill="background1"/>
            <w:vAlign w:val="center"/>
            <w:hideMark/>
          </w:tcPr>
          <w:p w14:paraId="79B10795" w14:textId="77777777" w:rsidR="00CF336B" w:rsidRPr="001B4CA2" w:rsidRDefault="00CF336B" w:rsidP="00A14600">
            <w:pPr>
              <w:jc w:val="left"/>
              <w:rPr>
                <w:rFonts w:eastAsia="Times New Roman"/>
                <w:b/>
                <w:bCs/>
                <w:sz w:val="18"/>
                <w:szCs w:val="18"/>
                <w:lang w:eastAsia="hr-HR"/>
              </w:rPr>
            </w:pPr>
            <w:proofErr w:type="spellStart"/>
            <w:r w:rsidRPr="001B4CA2">
              <w:rPr>
                <w:rFonts w:eastAsia="Times New Roman"/>
                <w:b/>
                <w:bCs/>
                <w:sz w:val="18"/>
                <w:szCs w:val="18"/>
                <w:lang w:eastAsia="hr-HR"/>
              </w:rPr>
              <w:t>Stvarnopravni</w:t>
            </w:r>
            <w:proofErr w:type="spellEnd"/>
            <w:r w:rsidRPr="001B4CA2">
              <w:rPr>
                <w:rFonts w:eastAsia="Times New Roman"/>
                <w:b/>
                <w:bCs/>
                <w:sz w:val="18"/>
                <w:szCs w:val="18"/>
                <w:lang w:eastAsia="hr-HR"/>
              </w:rPr>
              <w:t xml:space="preserve"> sporovi</w:t>
            </w:r>
          </w:p>
        </w:tc>
        <w:tc>
          <w:tcPr>
            <w:tcW w:w="1311" w:type="dxa"/>
            <w:shd w:val="clear" w:color="auto" w:fill="auto"/>
            <w:noWrap/>
            <w:vAlign w:val="center"/>
          </w:tcPr>
          <w:p w14:paraId="177CDB96"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1.070</w:t>
            </w:r>
          </w:p>
        </w:tc>
        <w:tc>
          <w:tcPr>
            <w:tcW w:w="1311" w:type="dxa"/>
            <w:shd w:val="clear" w:color="auto" w:fill="auto"/>
            <w:noWrap/>
            <w:vAlign w:val="center"/>
          </w:tcPr>
          <w:p w14:paraId="2C00D818"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1.138</w:t>
            </w:r>
          </w:p>
        </w:tc>
        <w:tc>
          <w:tcPr>
            <w:tcW w:w="1311" w:type="dxa"/>
            <w:shd w:val="clear" w:color="auto" w:fill="auto"/>
            <w:noWrap/>
            <w:vAlign w:val="center"/>
          </w:tcPr>
          <w:p w14:paraId="376ED8F3"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1.467</w:t>
            </w:r>
          </w:p>
        </w:tc>
        <w:tc>
          <w:tcPr>
            <w:tcW w:w="1311" w:type="dxa"/>
            <w:shd w:val="clear" w:color="auto" w:fill="auto"/>
            <w:noWrap/>
            <w:vAlign w:val="center"/>
          </w:tcPr>
          <w:p w14:paraId="3285C004"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1.372</w:t>
            </w:r>
          </w:p>
        </w:tc>
        <w:tc>
          <w:tcPr>
            <w:tcW w:w="1135" w:type="dxa"/>
            <w:shd w:val="clear" w:color="auto" w:fill="auto"/>
            <w:noWrap/>
            <w:vAlign w:val="center"/>
          </w:tcPr>
          <w:p w14:paraId="502415D8"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1.636</w:t>
            </w:r>
          </w:p>
        </w:tc>
      </w:tr>
      <w:tr w:rsidR="00CF336B" w:rsidRPr="001B4CA2" w14:paraId="6A2D5F6A" w14:textId="77777777" w:rsidTr="00FB2B5D">
        <w:trPr>
          <w:trHeight w:val="397"/>
          <w:jc w:val="center"/>
        </w:trPr>
        <w:tc>
          <w:tcPr>
            <w:tcW w:w="2587" w:type="dxa"/>
            <w:shd w:val="clear" w:color="auto" w:fill="FFFFFF" w:themeFill="background1"/>
            <w:vAlign w:val="center"/>
            <w:hideMark/>
          </w:tcPr>
          <w:p w14:paraId="6DFBA2BA"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Naknada štete</w:t>
            </w:r>
          </w:p>
        </w:tc>
        <w:tc>
          <w:tcPr>
            <w:tcW w:w="1311" w:type="dxa"/>
            <w:shd w:val="clear" w:color="auto" w:fill="auto"/>
            <w:noWrap/>
            <w:vAlign w:val="center"/>
          </w:tcPr>
          <w:p w14:paraId="699EB460"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633</w:t>
            </w:r>
          </w:p>
        </w:tc>
        <w:tc>
          <w:tcPr>
            <w:tcW w:w="1311" w:type="dxa"/>
            <w:shd w:val="clear" w:color="auto" w:fill="auto"/>
            <w:noWrap/>
            <w:vAlign w:val="center"/>
          </w:tcPr>
          <w:p w14:paraId="087ABBFE"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566</w:t>
            </w:r>
          </w:p>
        </w:tc>
        <w:tc>
          <w:tcPr>
            <w:tcW w:w="1311" w:type="dxa"/>
            <w:shd w:val="clear" w:color="auto" w:fill="auto"/>
            <w:noWrap/>
            <w:vAlign w:val="center"/>
          </w:tcPr>
          <w:p w14:paraId="678AAF13"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1.533</w:t>
            </w:r>
          </w:p>
        </w:tc>
        <w:tc>
          <w:tcPr>
            <w:tcW w:w="1311" w:type="dxa"/>
            <w:shd w:val="clear" w:color="auto" w:fill="auto"/>
            <w:noWrap/>
            <w:vAlign w:val="center"/>
          </w:tcPr>
          <w:p w14:paraId="4E6B67C2"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1.428</w:t>
            </w:r>
          </w:p>
        </w:tc>
        <w:tc>
          <w:tcPr>
            <w:tcW w:w="1135" w:type="dxa"/>
            <w:shd w:val="clear" w:color="auto" w:fill="auto"/>
            <w:noWrap/>
            <w:vAlign w:val="center"/>
          </w:tcPr>
          <w:p w14:paraId="097860FC"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730</w:t>
            </w:r>
          </w:p>
        </w:tc>
      </w:tr>
      <w:tr w:rsidR="00CF336B" w:rsidRPr="001B4CA2" w14:paraId="5D5ED249" w14:textId="77777777" w:rsidTr="00FB2B5D">
        <w:trPr>
          <w:trHeight w:val="397"/>
          <w:jc w:val="center"/>
        </w:trPr>
        <w:tc>
          <w:tcPr>
            <w:tcW w:w="2587" w:type="dxa"/>
            <w:shd w:val="clear" w:color="auto" w:fill="FFFFFF" w:themeFill="background1"/>
            <w:vAlign w:val="center"/>
            <w:hideMark/>
          </w:tcPr>
          <w:p w14:paraId="69B2445D"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Radni sporovi</w:t>
            </w:r>
          </w:p>
        </w:tc>
        <w:tc>
          <w:tcPr>
            <w:tcW w:w="1311" w:type="dxa"/>
            <w:shd w:val="clear" w:color="auto" w:fill="auto"/>
            <w:noWrap/>
            <w:vAlign w:val="center"/>
          </w:tcPr>
          <w:p w14:paraId="76F5A256"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2.064</w:t>
            </w:r>
          </w:p>
        </w:tc>
        <w:tc>
          <w:tcPr>
            <w:tcW w:w="1311" w:type="dxa"/>
            <w:shd w:val="clear" w:color="auto" w:fill="auto"/>
            <w:noWrap/>
            <w:vAlign w:val="center"/>
          </w:tcPr>
          <w:p w14:paraId="4861B56D"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2.544</w:t>
            </w:r>
          </w:p>
        </w:tc>
        <w:tc>
          <w:tcPr>
            <w:tcW w:w="1311" w:type="dxa"/>
            <w:shd w:val="clear" w:color="auto" w:fill="auto"/>
            <w:noWrap/>
            <w:vAlign w:val="center"/>
          </w:tcPr>
          <w:p w14:paraId="6779FDEC"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3.764</w:t>
            </w:r>
          </w:p>
        </w:tc>
        <w:tc>
          <w:tcPr>
            <w:tcW w:w="1311" w:type="dxa"/>
            <w:shd w:val="clear" w:color="auto" w:fill="auto"/>
            <w:noWrap/>
            <w:vAlign w:val="center"/>
          </w:tcPr>
          <w:p w14:paraId="4E0F3315"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3.928</w:t>
            </w:r>
          </w:p>
        </w:tc>
        <w:tc>
          <w:tcPr>
            <w:tcW w:w="1135" w:type="dxa"/>
            <w:shd w:val="clear" w:color="auto" w:fill="auto"/>
            <w:noWrap/>
            <w:vAlign w:val="center"/>
          </w:tcPr>
          <w:p w14:paraId="38277922"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1.270</w:t>
            </w:r>
          </w:p>
        </w:tc>
      </w:tr>
      <w:tr w:rsidR="00CF336B" w:rsidRPr="001B4CA2" w14:paraId="0236E805" w14:textId="77777777" w:rsidTr="00FB2B5D">
        <w:trPr>
          <w:trHeight w:val="397"/>
          <w:jc w:val="center"/>
        </w:trPr>
        <w:tc>
          <w:tcPr>
            <w:tcW w:w="2587" w:type="dxa"/>
            <w:shd w:val="clear" w:color="auto" w:fill="FFFFFF" w:themeFill="background1"/>
            <w:vAlign w:val="center"/>
            <w:hideMark/>
          </w:tcPr>
          <w:p w14:paraId="19B6188F" w14:textId="77777777" w:rsidR="00CF336B" w:rsidRPr="001B4CA2" w:rsidRDefault="00CF336B" w:rsidP="00A14600">
            <w:pPr>
              <w:jc w:val="left"/>
              <w:rPr>
                <w:rFonts w:eastAsia="Times New Roman"/>
                <w:b/>
                <w:bCs/>
                <w:sz w:val="18"/>
                <w:szCs w:val="18"/>
                <w:lang w:eastAsia="hr-HR"/>
              </w:rPr>
            </w:pPr>
            <w:proofErr w:type="spellStart"/>
            <w:r w:rsidRPr="001B4CA2">
              <w:rPr>
                <w:rFonts w:eastAsia="Times New Roman"/>
                <w:b/>
                <w:bCs/>
                <w:sz w:val="18"/>
                <w:szCs w:val="18"/>
                <w:lang w:eastAsia="hr-HR"/>
              </w:rPr>
              <w:t>Obveznopravni</w:t>
            </w:r>
            <w:proofErr w:type="spellEnd"/>
            <w:r w:rsidRPr="001B4CA2">
              <w:rPr>
                <w:rFonts w:eastAsia="Times New Roman"/>
                <w:b/>
                <w:bCs/>
                <w:sz w:val="18"/>
                <w:szCs w:val="18"/>
                <w:lang w:eastAsia="hr-HR"/>
              </w:rPr>
              <w:t xml:space="preserve"> sporovi</w:t>
            </w:r>
          </w:p>
          <w:p w14:paraId="79D8D7D9" w14:textId="77777777" w:rsidR="00CF336B" w:rsidRPr="001B4CA2" w:rsidRDefault="00CF336B" w:rsidP="00A14600">
            <w:pPr>
              <w:jc w:val="left"/>
              <w:rPr>
                <w:rFonts w:eastAsia="Times New Roman"/>
                <w:b/>
                <w:bCs/>
                <w:sz w:val="18"/>
                <w:szCs w:val="18"/>
                <w:lang w:eastAsia="hr-HR"/>
              </w:rPr>
            </w:pPr>
          </w:p>
        </w:tc>
        <w:tc>
          <w:tcPr>
            <w:tcW w:w="1311" w:type="dxa"/>
            <w:shd w:val="clear" w:color="auto" w:fill="auto"/>
            <w:noWrap/>
            <w:vAlign w:val="center"/>
          </w:tcPr>
          <w:p w14:paraId="0EDD9EFD"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1.301</w:t>
            </w:r>
          </w:p>
        </w:tc>
        <w:tc>
          <w:tcPr>
            <w:tcW w:w="1311" w:type="dxa"/>
            <w:shd w:val="clear" w:color="auto" w:fill="auto"/>
            <w:noWrap/>
            <w:vAlign w:val="center"/>
          </w:tcPr>
          <w:p w14:paraId="67290CD3"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1.515</w:t>
            </w:r>
          </w:p>
        </w:tc>
        <w:tc>
          <w:tcPr>
            <w:tcW w:w="1311" w:type="dxa"/>
            <w:shd w:val="clear" w:color="auto" w:fill="auto"/>
            <w:noWrap/>
            <w:vAlign w:val="center"/>
          </w:tcPr>
          <w:p w14:paraId="2CDDEE58"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1.347</w:t>
            </w:r>
          </w:p>
        </w:tc>
        <w:tc>
          <w:tcPr>
            <w:tcW w:w="1311" w:type="dxa"/>
            <w:shd w:val="clear" w:color="auto" w:fill="auto"/>
            <w:noWrap/>
            <w:vAlign w:val="center"/>
          </w:tcPr>
          <w:p w14:paraId="590D6AD4"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1.209</w:t>
            </w:r>
          </w:p>
        </w:tc>
        <w:tc>
          <w:tcPr>
            <w:tcW w:w="1135" w:type="dxa"/>
            <w:shd w:val="clear" w:color="auto" w:fill="auto"/>
            <w:noWrap/>
            <w:vAlign w:val="center"/>
          </w:tcPr>
          <w:p w14:paraId="72C81E14"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1.352</w:t>
            </w:r>
          </w:p>
        </w:tc>
      </w:tr>
      <w:tr w:rsidR="00CF336B" w:rsidRPr="001B4CA2" w14:paraId="534D0612" w14:textId="77777777" w:rsidTr="00FB2B5D">
        <w:trPr>
          <w:trHeight w:val="397"/>
          <w:jc w:val="center"/>
        </w:trPr>
        <w:tc>
          <w:tcPr>
            <w:tcW w:w="2587" w:type="dxa"/>
            <w:shd w:val="clear" w:color="auto" w:fill="FFFFFF" w:themeFill="background1"/>
            <w:vAlign w:val="center"/>
            <w:hideMark/>
          </w:tcPr>
          <w:p w14:paraId="0F6FB9F2"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 xml:space="preserve">Ostali parnični sporovi </w:t>
            </w:r>
          </w:p>
        </w:tc>
        <w:tc>
          <w:tcPr>
            <w:tcW w:w="1311" w:type="dxa"/>
            <w:shd w:val="clear" w:color="auto" w:fill="auto"/>
            <w:noWrap/>
            <w:vAlign w:val="center"/>
          </w:tcPr>
          <w:p w14:paraId="4C3D403F"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254</w:t>
            </w:r>
          </w:p>
        </w:tc>
        <w:tc>
          <w:tcPr>
            <w:tcW w:w="1311" w:type="dxa"/>
            <w:shd w:val="clear" w:color="auto" w:fill="auto"/>
            <w:noWrap/>
            <w:vAlign w:val="center"/>
          </w:tcPr>
          <w:p w14:paraId="64D69EBB"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258</w:t>
            </w:r>
          </w:p>
        </w:tc>
        <w:tc>
          <w:tcPr>
            <w:tcW w:w="1311" w:type="dxa"/>
            <w:shd w:val="clear" w:color="auto" w:fill="auto"/>
            <w:noWrap/>
            <w:vAlign w:val="center"/>
          </w:tcPr>
          <w:p w14:paraId="189450B7"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140</w:t>
            </w:r>
          </w:p>
        </w:tc>
        <w:tc>
          <w:tcPr>
            <w:tcW w:w="1311" w:type="dxa"/>
            <w:shd w:val="clear" w:color="auto" w:fill="auto"/>
            <w:noWrap/>
            <w:vAlign w:val="center"/>
          </w:tcPr>
          <w:p w14:paraId="0CE93BB9" w14:textId="130213AA" w:rsidR="00CF336B" w:rsidRPr="001B4CA2" w:rsidRDefault="001B4CA2" w:rsidP="00A14600">
            <w:pPr>
              <w:jc w:val="center"/>
              <w:rPr>
                <w:rFonts w:eastAsia="Times New Roman"/>
                <w:sz w:val="18"/>
                <w:szCs w:val="18"/>
                <w:lang w:eastAsia="hr-HR"/>
              </w:rPr>
            </w:pPr>
            <w:r>
              <w:rPr>
                <w:rFonts w:eastAsia="Times New Roman" w:cstheme="minorHAnsi"/>
                <w:color w:val="000000"/>
                <w:sz w:val="18"/>
                <w:szCs w:val="18"/>
                <w:lang w:eastAsia="hr-HR"/>
              </w:rPr>
              <w:t xml:space="preserve"> </w:t>
            </w:r>
            <w:r w:rsidR="00CF336B" w:rsidRPr="001B4CA2">
              <w:rPr>
                <w:rFonts w:eastAsia="Times New Roman" w:cstheme="minorHAnsi"/>
                <w:color w:val="000000"/>
                <w:sz w:val="18"/>
                <w:szCs w:val="18"/>
                <w:lang w:eastAsia="hr-HR"/>
              </w:rPr>
              <w:t>158</w:t>
            </w:r>
          </w:p>
        </w:tc>
        <w:tc>
          <w:tcPr>
            <w:tcW w:w="1135" w:type="dxa"/>
            <w:shd w:val="clear" w:color="auto" w:fill="auto"/>
            <w:noWrap/>
            <w:vAlign w:val="center"/>
          </w:tcPr>
          <w:p w14:paraId="6AA4E75F"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173</w:t>
            </w:r>
          </w:p>
        </w:tc>
      </w:tr>
      <w:tr w:rsidR="00CF336B" w:rsidRPr="001B4CA2" w14:paraId="05D3EE27" w14:textId="77777777" w:rsidTr="00FB2B5D">
        <w:trPr>
          <w:trHeight w:val="397"/>
          <w:jc w:val="center"/>
        </w:trPr>
        <w:tc>
          <w:tcPr>
            <w:tcW w:w="2587" w:type="dxa"/>
            <w:shd w:val="clear" w:color="auto" w:fill="FFFFFF" w:themeFill="background1"/>
            <w:vAlign w:val="center"/>
            <w:hideMark/>
          </w:tcPr>
          <w:p w14:paraId="4CEEC338"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Arbitražni sporovi</w:t>
            </w:r>
          </w:p>
        </w:tc>
        <w:tc>
          <w:tcPr>
            <w:tcW w:w="1311" w:type="dxa"/>
            <w:shd w:val="clear" w:color="auto" w:fill="auto"/>
            <w:noWrap/>
          </w:tcPr>
          <w:p w14:paraId="7EC41DA5" w14:textId="77777777" w:rsidR="00CF336B" w:rsidRPr="001B4CA2" w:rsidRDefault="00CF336B" w:rsidP="00A14600">
            <w:pPr>
              <w:jc w:val="center"/>
              <w:rPr>
                <w:rFonts w:eastAsia="Times New Roman"/>
                <w:b/>
                <w:sz w:val="18"/>
                <w:szCs w:val="18"/>
                <w:lang w:eastAsia="hr-HR"/>
              </w:rPr>
            </w:pPr>
            <w:r w:rsidRPr="001B4CA2">
              <w:t>-</w:t>
            </w:r>
          </w:p>
        </w:tc>
        <w:tc>
          <w:tcPr>
            <w:tcW w:w="1311" w:type="dxa"/>
            <w:shd w:val="clear" w:color="auto" w:fill="auto"/>
            <w:noWrap/>
          </w:tcPr>
          <w:p w14:paraId="44B24F22" w14:textId="77777777" w:rsidR="00CF336B" w:rsidRPr="001B4CA2" w:rsidRDefault="00CF336B" w:rsidP="00A14600">
            <w:pPr>
              <w:jc w:val="center"/>
              <w:rPr>
                <w:sz w:val="18"/>
                <w:szCs w:val="18"/>
              </w:rPr>
            </w:pPr>
            <w:r w:rsidRPr="001B4CA2">
              <w:t>-</w:t>
            </w:r>
          </w:p>
        </w:tc>
        <w:tc>
          <w:tcPr>
            <w:tcW w:w="1311" w:type="dxa"/>
            <w:shd w:val="clear" w:color="auto" w:fill="auto"/>
            <w:noWrap/>
            <w:vAlign w:val="center"/>
          </w:tcPr>
          <w:p w14:paraId="07929F80" w14:textId="77777777" w:rsidR="00CF336B" w:rsidRPr="001B4CA2" w:rsidRDefault="00CF336B" w:rsidP="00A14600">
            <w:pPr>
              <w:jc w:val="center"/>
              <w:rPr>
                <w:sz w:val="18"/>
                <w:szCs w:val="18"/>
              </w:rPr>
            </w:pPr>
            <w:r w:rsidRPr="001B4CA2">
              <w:rPr>
                <w:rFonts w:eastAsia="Times New Roman" w:cstheme="minorHAnsi"/>
                <w:color w:val="000000"/>
                <w:sz w:val="18"/>
                <w:szCs w:val="18"/>
                <w:lang w:eastAsia="hr-HR"/>
              </w:rPr>
              <w:t>1</w:t>
            </w:r>
          </w:p>
        </w:tc>
        <w:tc>
          <w:tcPr>
            <w:tcW w:w="1311" w:type="dxa"/>
            <w:shd w:val="clear" w:color="auto" w:fill="auto"/>
            <w:noWrap/>
            <w:vAlign w:val="center"/>
          </w:tcPr>
          <w:p w14:paraId="1EFDA44E" w14:textId="77777777" w:rsidR="00CF336B" w:rsidRPr="001B4CA2" w:rsidRDefault="00CF336B" w:rsidP="00A14600">
            <w:pPr>
              <w:jc w:val="center"/>
              <w:rPr>
                <w:sz w:val="18"/>
                <w:szCs w:val="18"/>
              </w:rPr>
            </w:pPr>
            <w:r w:rsidRPr="001B4CA2">
              <w:rPr>
                <w:rFonts w:eastAsia="Times New Roman" w:cstheme="minorHAnsi"/>
                <w:color w:val="000000"/>
                <w:sz w:val="18"/>
                <w:szCs w:val="18"/>
                <w:lang w:eastAsia="hr-HR"/>
              </w:rPr>
              <w:t>3</w:t>
            </w:r>
          </w:p>
        </w:tc>
        <w:tc>
          <w:tcPr>
            <w:tcW w:w="1135" w:type="dxa"/>
            <w:shd w:val="clear" w:color="auto" w:fill="auto"/>
            <w:noWrap/>
            <w:vAlign w:val="center"/>
          </w:tcPr>
          <w:p w14:paraId="0394FDA9" w14:textId="77777777" w:rsidR="00CF336B" w:rsidRPr="001B4CA2" w:rsidRDefault="00CF336B" w:rsidP="00A14600">
            <w:pPr>
              <w:jc w:val="center"/>
              <w:rPr>
                <w:rFonts w:eastAsia="Times New Roman"/>
                <w:sz w:val="18"/>
                <w:szCs w:val="18"/>
                <w:lang w:eastAsia="hr-HR"/>
              </w:rPr>
            </w:pPr>
            <w:r w:rsidRPr="001B4CA2">
              <w:rPr>
                <w:sz w:val="18"/>
                <w:szCs w:val="18"/>
              </w:rPr>
              <w:t>1</w:t>
            </w:r>
          </w:p>
        </w:tc>
      </w:tr>
      <w:tr w:rsidR="00CF336B" w:rsidRPr="001B4CA2" w14:paraId="23702278" w14:textId="77777777" w:rsidTr="00FB2B5D">
        <w:trPr>
          <w:trHeight w:val="397"/>
          <w:jc w:val="center"/>
        </w:trPr>
        <w:tc>
          <w:tcPr>
            <w:tcW w:w="2587" w:type="dxa"/>
            <w:shd w:val="clear" w:color="auto" w:fill="FFFFFF" w:themeFill="background1"/>
            <w:vAlign w:val="center"/>
            <w:hideMark/>
          </w:tcPr>
          <w:p w14:paraId="2E63F2A9"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Sporovi vezani uz stečaj</w:t>
            </w:r>
          </w:p>
        </w:tc>
        <w:tc>
          <w:tcPr>
            <w:tcW w:w="1311" w:type="dxa"/>
            <w:shd w:val="clear" w:color="auto" w:fill="auto"/>
            <w:noWrap/>
          </w:tcPr>
          <w:p w14:paraId="4B61027A" w14:textId="77777777" w:rsidR="00CF336B" w:rsidRPr="001B4CA2" w:rsidRDefault="00CF336B" w:rsidP="00A14600">
            <w:pPr>
              <w:jc w:val="center"/>
              <w:rPr>
                <w:sz w:val="18"/>
                <w:szCs w:val="18"/>
              </w:rPr>
            </w:pPr>
            <w:r w:rsidRPr="001B4CA2">
              <w:t>-</w:t>
            </w:r>
          </w:p>
        </w:tc>
        <w:tc>
          <w:tcPr>
            <w:tcW w:w="1311" w:type="dxa"/>
            <w:shd w:val="clear" w:color="auto" w:fill="auto"/>
            <w:noWrap/>
          </w:tcPr>
          <w:p w14:paraId="63A8EE4A" w14:textId="77777777" w:rsidR="00CF336B" w:rsidRPr="001B4CA2" w:rsidRDefault="00CF336B" w:rsidP="00A14600">
            <w:pPr>
              <w:jc w:val="center"/>
              <w:rPr>
                <w:sz w:val="18"/>
                <w:szCs w:val="18"/>
              </w:rPr>
            </w:pPr>
            <w:r w:rsidRPr="001B4CA2">
              <w:t>-</w:t>
            </w:r>
          </w:p>
        </w:tc>
        <w:tc>
          <w:tcPr>
            <w:tcW w:w="1311" w:type="dxa"/>
            <w:shd w:val="clear" w:color="auto" w:fill="auto"/>
            <w:noWrap/>
            <w:vAlign w:val="center"/>
          </w:tcPr>
          <w:p w14:paraId="62CA8345" w14:textId="77777777" w:rsidR="00CF336B" w:rsidRPr="001B4CA2" w:rsidRDefault="00CF336B" w:rsidP="00A14600">
            <w:pPr>
              <w:jc w:val="center"/>
              <w:rPr>
                <w:sz w:val="18"/>
                <w:szCs w:val="18"/>
              </w:rPr>
            </w:pPr>
            <w:r w:rsidRPr="001B4CA2">
              <w:rPr>
                <w:rFonts w:eastAsia="Times New Roman" w:cstheme="minorHAnsi"/>
                <w:color w:val="000000"/>
                <w:sz w:val="18"/>
                <w:szCs w:val="18"/>
                <w:lang w:eastAsia="hr-HR"/>
              </w:rPr>
              <w:t>33</w:t>
            </w:r>
          </w:p>
        </w:tc>
        <w:tc>
          <w:tcPr>
            <w:tcW w:w="1311" w:type="dxa"/>
            <w:shd w:val="clear" w:color="auto" w:fill="auto"/>
            <w:noWrap/>
            <w:vAlign w:val="center"/>
          </w:tcPr>
          <w:p w14:paraId="0E1AC79C" w14:textId="77777777" w:rsidR="00CF336B" w:rsidRPr="001B4CA2" w:rsidRDefault="00CF336B" w:rsidP="00A14600">
            <w:pPr>
              <w:jc w:val="center"/>
              <w:rPr>
                <w:sz w:val="18"/>
                <w:szCs w:val="18"/>
              </w:rPr>
            </w:pPr>
            <w:r w:rsidRPr="001B4CA2">
              <w:rPr>
                <w:rFonts w:eastAsia="Times New Roman" w:cstheme="minorHAnsi"/>
                <w:color w:val="000000"/>
                <w:sz w:val="18"/>
                <w:szCs w:val="18"/>
                <w:lang w:eastAsia="hr-HR"/>
              </w:rPr>
              <w:t>17</w:t>
            </w:r>
          </w:p>
        </w:tc>
        <w:tc>
          <w:tcPr>
            <w:tcW w:w="1135" w:type="dxa"/>
            <w:shd w:val="clear" w:color="auto" w:fill="auto"/>
            <w:noWrap/>
            <w:vAlign w:val="center"/>
          </w:tcPr>
          <w:p w14:paraId="34686179" w14:textId="77777777" w:rsidR="00CF336B" w:rsidRPr="001B4CA2" w:rsidRDefault="00CF336B" w:rsidP="00A14600">
            <w:pPr>
              <w:jc w:val="center"/>
              <w:rPr>
                <w:rFonts w:eastAsia="Times New Roman"/>
                <w:sz w:val="18"/>
                <w:szCs w:val="18"/>
                <w:lang w:eastAsia="hr-HR"/>
              </w:rPr>
            </w:pPr>
            <w:r w:rsidRPr="001B4CA2">
              <w:rPr>
                <w:sz w:val="18"/>
                <w:szCs w:val="18"/>
              </w:rPr>
              <w:t>23</w:t>
            </w:r>
          </w:p>
        </w:tc>
      </w:tr>
      <w:tr w:rsidR="00CF336B" w:rsidRPr="001B4CA2" w14:paraId="7D81C853" w14:textId="77777777" w:rsidTr="00FB2B5D">
        <w:trPr>
          <w:trHeight w:val="397"/>
          <w:jc w:val="center"/>
        </w:trPr>
        <w:tc>
          <w:tcPr>
            <w:tcW w:w="2587" w:type="dxa"/>
            <w:shd w:val="clear" w:color="auto" w:fill="FFFFFF" w:themeFill="background1"/>
            <w:vAlign w:val="center"/>
            <w:hideMark/>
          </w:tcPr>
          <w:p w14:paraId="1FE72253"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Zabrana nezakonitog štrajka</w:t>
            </w:r>
          </w:p>
        </w:tc>
        <w:tc>
          <w:tcPr>
            <w:tcW w:w="1311" w:type="dxa"/>
            <w:shd w:val="clear" w:color="auto" w:fill="auto"/>
            <w:noWrap/>
          </w:tcPr>
          <w:p w14:paraId="011C7DA2" w14:textId="77777777" w:rsidR="00CF336B" w:rsidRPr="001B4CA2" w:rsidRDefault="00CF336B" w:rsidP="00A14600">
            <w:pPr>
              <w:jc w:val="center"/>
              <w:rPr>
                <w:sz w:val="18"/>
                <w:szCs w:val="18"/>
              </w:rPr>
            </w:pPr>
            <w:r w:rsidRPr="001B4CA2">
              <w:t>-</w:t>
            </w:r>
          </w:p>
        </w:tc>
        <w:tc>
          <w:tcPr>
            <w:tcW w:w="1311" w:type="dxa"/>
            <w:shd w:val="clear" w:color="auto" w:fill="auto"/>
            <w:noWrap/>
          </w:tcPr>
          <w:p w14:paraId="3D0C5B29" w14:textId="77777777" w:rsidR="00CF336B" w:rsidRPr="001B4CA2" w:rsidRDefault="00CF336B" w:rsidP="00A14600">
            <w:pPr>
              <w:jc w:val="center"/>
              <w:rPr>
                <w:sz w:val="18"/>
                <w:szCs w:val="18"/>
              </w:rPr>
            </w:pPr>
            <w:r w:rsidRPr="001B4CA2">
              <w:t>-</w:t>
            </w:r>
          </w:p>
        </w:tc>
        <w:tc>
          <w:tcPr>
            <w:tcW w:w="1311" w:type="dxa"/>
            <w:shd w:val="clear" w:color="auto" w:fill="auto"/>
            <w:noWrap/>
            <w:vAlign w:val="center"/>
          </w:tcPr>
          <w:p w14:paraId="1E120D4A" w14:textId="77777777" w:rsidR="00CF336B" w:rsidRPr="001B4CA2" w:rsidRDefault="00CF336B" w:rsidP="00A14600">
            <w:pPr>
              <w:jc w:val="center"/>
              <w:rPr>
                <w:sz w:val="18"/>
                <w:szCs w:val="18"/>
              </w:rPr>
            </w:pPr>
            <w:r w:rsidRPr="001B4CA2">
              <w:rPr>
                <w:rFonts w:eastAsia="Times New Roman" w:cstheme="minorHAnsi"/>
                <w:color w:val="000000"/>
                <w:sz w:val="18"/>
                <w:szCs w:val="18"/>
                <w:lang w:eastAsia="hr-HR"/>
              </w:rPr>
              <w:t>1</w:t>
            </w:r>
          </w:p>
        </w:tc>
        <w:tc>
          <w:tcPr>
            <w:tcW w:w="1311" w:type="dxa"/>
            <w:shd w:val="clear" w:color="auto" w:fill="auto"/>
            <w:noWrap/>
            <w:vAlign w:val="center"/>
          </w:tcPr>
          <w:p w14:paraId="35948336" w14:textId="77777777" w:rsidR="00CF336B" w:rsidRPr="001B4CA2" w:rsidRDefault="00CF336B" w:rsidP="00A14600">
            <w:pPr>
              <w:jc w:val="center"/>
              <w:rPr>
                <w:sz w:val="18"/>
                <w:szCs w:val="18"/>
              </w:rPr>
            </w:pPr>
            <w:r w:rsidRPr="001B4CA2">
              <w:rPr>
                <w:rFonts w:eastAsia="Times New Roman" w:cstheme="minorHAnsi"/>
                <w:b/>
                <w:color w:val="000000"/>
                <w:sz w:val="18"/>
                <w:szCs w:val="18"/>
                <w:lang w:eastAsia="hr-HR"/>
              </w:rPr>
              <w:t>-</w:t>
            </w:r>
          </w:p>
        </w:tc>
        <w:tc>
          <w:tcPr>
            <w:tcW w:w="1135" w:type="dxa"/>
            <w:shd w:val="clear" w:color="auto" w:fill="auto"/>
            <w:noWrap/>
            <w:vAlign w:val="center"/>
          </w:tcPr>
          <w:p w14:paraId="1D7A725B" w14:textId="77777777" w:rsidR="00CF336B" w:rsidRPr="001B4CA2" w:rsidRDefault="00CF336B" w:rsidP="00A14600">
            <w:pPr>
              <w:jc w:val="center"/>
              <w:rPr>
                <w:rFonts w:eastAsia="Times New Roman"/>
                <w:sz w:val="18"/>
                <w:szCs w:val="18"/>
                <w:lang w:eastAsia="hr-HR"/>
              </w:rPr>
            </w:pPr>
            <w:r w:rsidRPr="001B4CA2">
              <w:rPr>
                <w:sz w:val="18"/>
                <w:szCs w:val="18"/>
              </w:rPr>
              <w:t>-</w:t>
            </w:r>
          </w:p>
        </w:tc>
      </w:tr>
      <w:tr w:rsidR="00CF336B" w:rsidRPr="001B4CA2" w14:paraId="7B4ADCD3" w14:textId="77777777" w:rsidTr="00FB2B5D">
        <w:trPr>
          <w:trHeight w:val="397"/>
          <w:jc w:val="center"/>
        </w:trPr>
        <w:tc>
          <w:tcPr>
            <w:tcW w:w="2587" w:type="dxa"/>
            <w:shd w:val="clear" w:color="auto" w:fill="FFFFFF" w:themeFill="background1"/>
            <w:vAlign w:val="center"/>
            <w:hideMark/>
          </w:tcPr>
          <w:p w14:paraId="76EF0BFD" w14:textId="77777777" w:rsidR="00CF336B" w:rsidRPr="001B4CA2" w:rsidRDefault="00CF336B" w:rsidP="00A14600">
            <w:pPr>
              <w:jc w:val="left"/>
              <w:rPr>
                <w:rFonts w:eastAsia="Times New Roman"/>
                <w:b/>
                <w:bCs/>
                <w:sz w:val="18"/>
                <w:szCs w:val="18"/>
                <w:lang w:eastAsia="hr-HR"/>
              </w:rPr>
            </w:pPr>
            <w:r w:rsidRPr="001B4CA2">
              <w:rPr>
                <w:rFonts w:eastAsia="Times New Roman"/>
                <w:b/>
                <w:bCs/>
                <w:sz w:val="18"/>
                <w:szCs w:val="18"/>
                <w:lang w:eastAsia="hr-HR"/>
              </w:rPr>
              <w:t>Zaštita intelektualnog vlasništva</w:t>
            </w:r>
          </w:p>
        </w:tc>
        <w:tc>
          <w:tcPr>
            <w:tcW w:w="1311" w:type="dxa"/>
            <w:shd w:val="clear" w:color="auto" w:fill="auto"/>
            <w:noWrap/>
          </w:tcPr>
          <w:p w14:paraId="4BABE238" w14:textId="77777777" w:rsidR="00CF336B" w:rsidRPr="001B4CA2" w:rsidRDefault="00CF336B" w:rsidP="00A14600">
            <w:pPr>
              <w:jc w:val="center"/>
              <w:rPr>
                <w:sz w:val="18"/>
                <w:szCs w:val="18"/>
              </w:rPr>
            </w:pPr>
            <w:r w:rsidRPr="001B4CA2">
              <w:t>-</w:t>
            </w:r>
          </w:p>
        </w:tc>
        <w:tc>
          <w:tcPr>
            <w:tcW w:w="1311" w:type="dxa"/>
            <w:shd w:val="clear" w:color="auto" w:fill="auto"/>
            <w:noWrap/>
          </w:tcPr>
          <w:p w14:paraId="1C125B2F" w14:textId="77777777" w:rsidR="00CF336B" w:rsidRPr="001B4CA2" w:rsidRDefault="00CF336B" w:rsidP="00A14600">
            <w:pPr>
              <w:jc w:val="center"/>
              <w:rPr>
                <w:sz w:val="18"/>
                <w:szCs w:val="18"/>
              </w:rPr>
            </w:pPr>
            <w:r w:rsidRPr="001B4CA2">
              <w:t>-</w:t>
            </w:r>
          </w:p>
        </w:tc>
        <w:tc>
          <w:tcPr>
            <w:tcW w:w="1311" w:type="dxa"/>
            <w:shd w:val="clear" w:color="auto" w:fill="auto"/>
            <w:noWrap/>
            <w:vAlign w:val="center"/>
          </w:tcPr>
          <w:p w14:paraId="0740CF94" w14:textId="77777777" w:rsidR="00CF336B" w:rsidRPr="001B4CA2" w:rsidRDefault="00CF336B" w:rsidP="00A14600">
            <w:pPr>
              <w:jc w:val="center"/>
              <w:rPr>
                <w:sz w:val="18"/>
                <w:szCs w:val="18"/>
              </w:rPr>
            </w:pPr>
            <w:r w:rsidRPr="001B4CA2">
              <w:rPr>
                <w:rFonts w:eastAsia="Times New Roman" w:cstheme="minorHAnsi"/>
                <w:color w:val="000000"/>
                <w:sz w:val="18"/>
                <w:szCs w:val="18"/>
                <w:lang w:eastAsia="hr-HR"/>
              </w:rPr>
              <w:t>1</w:t>
            </w:r>
          </w:p>
        </w:tc>
        <w:tc>
          <w:tcPr>
            <w:tcW w:w="1311" w:type="dxa"/>
            <w:shd w:val="clear" w:color="auto" w:fill="auto"/>
            <w:noWrap/>
            <w:vAlign w:val="center"/>
          </w:tcPr>
          <w:p w14:paraId="5C680867" w14:textId="77777777" w:rsidR="00CF336B" w:rsidRPr="001B4CA2" w:rsidRDefault="00CF336B" w:rsidP="00A14600">
            <w:pPr>
              <w:jc w:val="center"/>
              <w:rPr>
                <w:sz w:val="18"/>
                <w:szCs w:val="18"/>
              </w:rPr>
            </w:pPr>
            <w:r w:rsidRPr="001B4CA2">
              <w:rPr>
                <w:rFonts w:eastAsia="Times New Roman" w:cstheme="minorHAnsi"/>
                <w:b/>
                <w:color w:val="000000"/>
                <w:sz w:val="18"/>
                <w:szCs w:val="18"/>
                <w:lang w:eastAsia="hr-HR"/>
              </w:rPr>
              <w:t>-</w:t>
            </w:r>
          </w:p>
        </w:tc>
        <w:tc>
          <w:tcPr>
            <w:tcW w:w="1135" w:type="dxa"/>
            <w:shd w:val="clear" w:color="auto" w:fill="auto"/>
            <w:noWrap/>
            <w:vAlign w:val="center"/>
          </w:tcPr>
          <w:p w14:paraId="1E1734A2" w14:textId="77777777" w:rsidR="00CF336B" w:rsidRPr="001B4CA2" w:rsidRDefault="00CF336B" w:rsidP="00A14600">
            <w:pPr>
              <w:jc w:val="center"/>
              <w:rPr>
                <w:rFonts w:eastAsia="Times New Roman"/>
                <w:sz w:val="18"/>
                <w:szCs w:val="18"/>
                <w:lang w:eastAsia="hr-HR"/>
              </w:rPr>
            </w:pPr>
            <w:r w:rsidRPr="001B4CA2">
              <w:rPr>
                <w:sz w:val="18"/>
                <w:szCs w:val="18"/>
              </w:rPr>
              <w:t>1</w:t>
            </w:r>
          </w:p>
        </w:tc>
      </w:tr>
    </w:tbl>
    <w:p w14:paraId="50ECDB2A" w14:textId="77777777" w:rsidR="00CF336B" w:rsidRPr="001B4CA2" w:rsidRDefault="00CF336B" w:rsidP="00CF336B"/>
    <w:p w14:paraId="432A8EDC" w14:textId="65C0B95C" w:rsidR="001F6D22" w:rsidRPr="001B4CA2" w:rsidRDefault="00CF336B" w:rsidP="001F6D22">
      <w:r w:rsidRPr="001B4CA2">
        <w:tab/>
      </w:r>
      <w:r w:rsidR="001F6D22" w:rsidRPr="001B4CA2">
        <w:t>U izvještajnom je razdoblju uveden nov način statističkog praćenja u odnosu na vrstu predmeta, što je razlog da za pojedine vrste predmeta nisu navedeni podatci za ranije godine. Naime, u ranijim se izvješćima nisu zasebno izdvajali podatci o arbitražnim sporovima, sporovima vezanima uz stečajeve, zabrane nezakonitog štrajka i zaštite intelektualnog vlasništva pa stoga za te vrste sporova u gornjoj tablici ne postoje podatci za prethodne godine.</w:t>
      </w:r>
    </w:p>
    <w:p w14:paraId="52B753C1" w14:textId="77777777" w:rsidR="001F6D22" w:rsidRPr="001B4CA2" w:rsidRDefault="001F6D22" w:rsidP="001F6D22"/>
    <w:p w14:paraId="5E14F80A" w14:textId="7A7BD19D" w:rsidR="001F6D22" w:rsidRPr="001B4CA2" w:rsidRDefault="001F6D22" w:rsidP="001F6D22">
      <w:r w:rsidRPr="001B4CA2">
        <w:tab/>
        <w:t>U odnosu na izvještajno razdoblje treba istaknuti da se u strukturi parničnih predmeta na radne sporove odnosi 24</w:t>
      </w:r>
      <w:r w:rsidR="0016095C">
        <w:t> </w:t>
      </w:r>
      <w:r w:rsidRPr="001B4CA2">
        <w:t xml:space="preserve">%, na </w:t>
      </w:r>
      <w:proofErr w:type="spellStart"/>
      <w:r w:rsidRPr="001B4CA2">
        <w:t>stvarnopravne</w:t>
      </w:r>
      <w:proofErr w:type="spellEnd"/>
      <w:r w:rsidRPr="001B4CA2">
        <w:t xml:space="preserve"> sporove 32</w:t>
      </w:r>
      <w:r w:rsidR="0016095C">
        <w:t> </w:t>
      </w:r>
      <w:r w:rsidRPr="001B4CA2">
        <w:t xml:space="preserve">%, na </w:t>
      </w:r>
      <w:proofErr w:type="spellStart"/>
      <w:r w:rsidRPr="001B4CA2">
        <w:t>obveznopravne</w:t>
      </w:r>
      <w:proofErr w:type="spellEnd"/>
      <w:r w:rsidRPr="001B4CA2">
        <w:t xml:space="preserve"> predmete 26</w:t>
      </w:r>
      <w:r w:rsidR="0016095C">
        <w:t> </w:t>
      </w:r>
      <w:r w:rsidRPr="001B4CA2">
        <w:t>%, na predmete radi naknade štete 14 % te ostale predmete 4</w:t>
      </w:r>
      <w:r w:rsidR="0016095C">
        <w:t> </w:t>
      </w:r>
      <w:r w:rsidRPr="001B4CA2">
        <w:t>%.</w:t>
      </w:r>
    </w:p>
    <w:p w14:paraId="48299CD7" w14:textId="657C8B2C" w:rsidR="002F2E8D" w:rsidRPr="001B4CA2" w:rsidRDefault="002F2E8D" w:rsidP="001F6D22"/>
    <w:p w14:paraId="7DA084C0" w14:textId="78D1D24C" w:rsidR="0038196F" w:rsidRPr="001B4CA2" w:rsidRDefault="0038196F" w:rsidP="0038196F">
      <w:pPr>
        <w:spacing w:after="200" w:line="276" w:lineRule="auto"/>
        <w:jc w:val="left"/>
        <w:sectPr w:rsidR="0038196F" w:rsidRPr="001B4CA2" w:rsidSect="007418AF">
          <w:pgSz w:w="11906" w:h="16838"/>
          <w:pgMar w:top="1417" w:right="1417" w:bottom="1417" w:left="1417" w:header="1276" w:footer="709" w:gutter="0"/>
          <w:cols w:space="708"/>
          <w:docGrid w:linePitch="360"/>
        </w:sectPr>
      </w:pPr>
    </w:p>
    <w:p w14:paraId="60626B4A" w14:textId="0D7ADF92" w:rsidR="0038196F" w:rsidRPr="001B4CA2" w:rsidRDefault="00EA664A" w:rsidP="00C7216E">
      <w:pPr>
        <w:ind w:left="-426"/>
        <w:contextualSpacing/>
        <w:jc w:val="left"/>
        <w:rPr>
          <w:i/>
        </w:rPr>
      </w:pPr>
      <w:r w:rsidRPr="001B4CA2">
        <w:rPr>
          <w:i/>
        </w:rPr>
        <w:lastRenderedPageBreak/>
        <w:t xml:space="preserve">d) </w:t>
      </w:r>
      <w:r w:rsidR="0038196F" w:rsidRPr="001B4CA2">
        <w:rPr>
          <w:i/>
        </w:rPr>
        <w:t>Novi</w:t>
      </w:r>
      <w:r w:rsidR="006A31CC" w:rsidRPr="001B4CA2">
        <w:rPr>
          <w:i/>
        </w:rPr>
        <w:t xml:space="preserve"> tužbeni zahtjevi</w:t>
      </w:r>
      <w:r w:rsidR="0038196F" w:rsidRPr="001B4CA2">
        <w:rPr>
          <w:i/>
        </w:rPr>
        <w:t xml:space="preserve"> – prema vrsti spora, zastupanom tije</w:t>
      </w:r>
      <w:r w:rsidR="00C7216E" w:rsidRPr="001B4CA2">
        <w:rPr>
          <w:i/>
        </w:rPr>
        <w:t>lu i procesnom položaju u 202</w:t>
      </w:r>
      <w:r w:rsidR="00CF336B" w:rsidRPr="001B4CA2">
        <w:rPr>
          <w:i/>
        </w:rPr>
        <w:t>2</w:t>
      </w:r>
      <w:r w:rsidR="00C7216E" w:rsidRPr="001B4CA2">
        <w:rPr>
          <w:i/>
        </w:rPr>
        <w:t>.</w:t>
      </w:r>
    </w:p>
    <w:tbl>
      <w:tblPr>
        <w:tblW w:w="5590" w:type="pct"/>
        <w:jc w:val="center"/>
        <w:tblLayout w:type="fixed"/>
        <w:tblLook w:val="04A0" w:firstRow="1" w:lastRow="0" w:firstColumn="1" w:lastColumn="0" w:noHBand="0" w:noVBand="1"/>
      </w:tblPr>
      <w:tblGrid>
        <w:gridCol w:w="3006"/>
        <w:gridCol w:w="718"/>
        <w:gridCol w:w="719"/>
        <w:gridCol w:w="719"/>
        <w:gridCol w:w="719"/>
        <w:gridCol w:w="718"/>
        <w:gridCol w:w="719"/>
        <w:gridCol w:w="719"/>
        <w:gridCol w:w="719"/>
        <w:gridCol w:w="718"/>
        <w:gridCol w:w="719"/>
        <w:gridCol w:w="719"/>
        <w:gridCol w:w="720"/>
        <w:gridCol w:w="697"/>
        <w:gridCol w:w="718"/>
        <w:gridCol w:w="748"/>
        <w:gridCol w:w="717"/>
        <w:gridCol w:w="669"/>
        <w:gridCol w:w="717"/>
      </w:tblGrid>
      <w:tr w:rsidR="00CF336B" w:rsidRPr="001B4CA2" w14:paraId="045B675B" w14:textId="77777777" w:rsidTr="001D4F0F">
        <w:trPr>
          <w:trHeight w:val="551"/>
          <w:jc w:val="center"/>
        </w:trPr>
        <w:tc>
          <w:tcPr>
            <w:tcW w:w="3005" w:type="dxa"/>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7D3E9AA2" w14:textId="77777777" w:rsidR="00CF336B" w:rsidRPr="001B4CA2" w:rsidRDefault="00CF336B" w:rsidP="00A14600">
            <w:pPr>
              <w:jc w:val="center"/>
              <w:rPr>
                <w:b/>
                <w:bCs/>
                <w:sz w:val="18"/>
                <w:szCs w:val="18"/>
                <w:lang w:eastAsia="hr-HR"/>
              </w:rPr>
            </w:pPr>
            <w:r w:rsidRPr="001B4CA2">
              <w:rPr>
                <w:b/>
                <w:bCs/>
                <w:sz w:val="18"/>
                <w:szCs w:val="18"/>
                <w:lang w:eastAsia="hr-HR"/>
              </w:rPr>
              <w:t xml:space="preserve">Naziv ministarstva </w:t>
            </w:r>
          </w:p>
          <w:p w14:paraId="65BF2BCA" w14:textId="77777777" w:rsidR="00CF336B" w:rsidRPr="001B4CA2" w:rsidRDefault="00CF336B" w:rsidP="00A14600">
            <w:pPr>
              <w:jc w:val="center"/>
              <w:rPr>
                <w:b/>
                <w:bCs/>
                <w:sz w:val="18"/>
                <w:szCs w:val="18"/>
                <w:lang w:eastAsia="hr-HR"/>
              </w:rPr>
            </w:pPr>
            <w:r w:rsidRPr="001B4CA2">
              <w:rPr>
                <w:b/>
                <w:bCs/>
                <w:sz w:val="18"/>
                <w:szCs w:val="18"/>
                <w:lang w:eastAsia="hr-HR"/>
              </w:rPr>
              <w:t xml:space="preserve">ili drugog tijela </w:t>
            </w:r>
          </w:p>
        </w:tc>
        <w:tc>
          <w:tcPr>
            <w:tcW w:w="1437" w:type="dxa"/>
            <w:gridSpan w:val="2"/>
            <w:vMerge w:val="restart"/>
            <w:tcBorders>
              <w:top w:val="single" w:sz="4" w:space="0" w:color="auto"/>
              <w:left w:val="single" w:sz="4" w:space="0" w:color="auto"/>
              <w:bottom w:val="single" w:sz="4" w:space="0" w:color="000000"/>
              <w:right w:val="single" w:sz="4" w:space="0" w:color="000000"/>
            </w:tcBorders>
            <w:shd w:val="clear" w:color="auto" w:fill="99CCFF"/>
            <w:noWrap/>
            <w:vAlign w:val="center"/>
            <w:hideMark/>
          </w:tcPr>
          <w:p w14:paraId="71FFD6CC" w14:textId="77777777" w:rsidR="00CF336B" w:rsidRPr="001B4CA2" w:rsidRDefault="00CF336B" w:rsidP="00A14600">
            <w:pPr>
              <w:jc w:val="center"/>
              <w:rPr>
                <w:b/>
                <w:bCs/>
                <w:sz w:val="16"/>
                <w:szCs w:val="16"/>
                <w:lang w:eastAsia="hr-HR"/>
              </w:rPr>
            </w:pPr>
            <w:proofErr w:type="spellStart"/>
            <w:r w:rsidRPr="001B4CA2">
              <w:rPr>
                <w:b/>
                <w:bCs/>
                <w:sz w:val="16"/>
                <w:szCs w:val="16"/>
                <w:lang w:eastAsia="hr-HR"/>
              </w:rPr>
              <w:t>Stvarnopravni</w:t>
            </w:r>
            <w:proofErr w:type="spellEnd"/>
            <w:r w:rsidRPr="001B4CA2">
              <w:rPr>
                <w:b/>
                <w:bCs/>
                <w:sz w:val="16"/>
                <w:szCs w:val="16"/>
                <w:lang w:eastAsia="hr-HR"/>
              </w:rPr>
              <w:t xml:space="preserve"> sporovi</w:t>
            </w:r>
          </w:p>
        </w:tc>
        <w:tc>
          <w:tcPr>
            <w:tcW w:w="1438" w:type="dxa"/>
            <w:gridSpan w:val="2"/>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7EE037F5" w14:textId="77777777" w:rsidR="00CF336B" w:rsidRPr="001B4CA2" w:rsidRDefault="00CF336B" w:rsidP="00A14600">
            <w:pPr>
              <w:jc w:val="center"/>
              <w:rPr>
                <w:b/>
                <w:bCs/>
                <w:sz w:val="16"/>
                <w:szCs w:val="16"/>
                <w:lang w:eastAsia="hr-HR"/>
              </w:rPr>
            </w:pPr>
            <w:proofErr w:type="spellStart"/>
            <w:r w:rsidRPr="001B4CA2">
              <w:rPr>
                <w:b/>
                <w:bCs/>
                <w:sz w:val="16"/>
                <w:szCs w:val="16"/>
                <w:lang w:eastAsia="hr-HR"/>
              </w:rPr>
              <w:t>Obveznopravni</w:t>
            </w:r>
            <w:proofErr w:type="spellEnd"/>
            <w:r w:rsidRPr="001B4CA2">
              <w:rPr>
                <w:b/>
                <w:bCs/>
                <w:sz w:val="16"/>
                <w:szCs w:val="16"/>
                <w:lang w:eastAsia="hr-HR"/>
              </w:rPr>
              <w:t xml:space="preserve"> sporovi</w:t>
            </w:r>
          </w:p>
        </w:tc>
        <w:tc>
          <w:tcPr>
            <w:tcW w:w="1437" w:type="dxa"/>
            <w:gridSpan w:val="2"/>
            <w:vMerge w:val="restart"/>
            <w:tcBorders>
              <w:top w:val="single" w:sz="4" w:space="0" w:color="auto"/>
              <w:left w:val="single" w:sz="4" w:space="0" w:color="auto"/>
              <w:bottom w:val="single" w:sz="4" w:space="0" w:color="000000"/>
              <w:right w:val="single" w:sz="4" w:space="0" w:color="000000"/>
            </w:tcBorders>
            <w:shd w:val="clear" w:color="auto" w:fill="99CCFF"/>
            <w:vAlign w:val="center"/>
            <w:hideMark/>
          </w:tcPr>
          <w:p w14:paraId="7ACFA8E9" w14:textId="77777777" w:rsidR="00CF336B" w:rsidRPr="001B4CA2" w:rsidRDefault="00CF336B" w:rsidP="00A14600">
            <w:pPr>
              <w:jc w:val="center"/>
              <w:rPr>
                <w:b/>
                <w:bCs/>
                <w:sz w:val="16"/>
                <w:szCs w:val="16"/>
                <w:lang w:eastAsia="hr-HR"/>
              </w:rPr>
            </w:pPr>
            <w:r w:rsidRPr="001B4CA2">
              <w:rPr>
                <w:b/>
                <w:bCs/>
                <w:sz w:val="16"/>
                <w:szCs w:val="16"/>
                <w:lang w:eastAsia="hr-HR"/>
              </w:rPr>
              <w:t xml:space="preserve">Naknade štete </w:t>
            </w:r>
          </w:p>
        </w:tc>
        <w:tc>
          <w:tcPr>
            <w:tcW w:w="1438" w:type="dxa"/>
            <w:gridSpan w:val="2"/>
            <w:vMerge w:val="restart"/>
            <w:tcBorders>
              <w:top w:val="single" w:sz="4" w:space="0" w:color="auto"/>
              <w:left w:val="single" w:sz="4" w:space="0" w:color="auto"/>
              <w:bottom w:val="single" w:sz="4" w:space="0" w:color="000000"/>
              <w:right w:val="single" w:sz="4" w:space="0" w:color="000000"/>
            </w:tcBorders>
            <w:shd w:val="clear" w:color="auto" w:fill="99CCFF"/>
            <w:vAlign w:val="center"/>
            <w:hideMark/>
          </w:tcPr>
          <w:p w14:paraId="0B8FFD0A" w14:textId="77777777" w:rsidR="00CF336B" w:rsidRPr="001B4CA2" w:rsidRDefault="00CF336B" w:rsidP="00A14600">
            <w:pPr>
              <w:jc w:val="center"/>
              <w:rPr>
                <w:b/>
                <w:bCs/>
                <w:sz w:val="16"/>
                <w:szCs w:val="16"/>
                <w:lang w:eastAsia="hr-HR"/>
              </w:rPr>
            </w:pPr>
            <w:r w:rsidRPr="001B4CA2">
              <w:rPr>
                <w:b/>
                <w:bCs/>
                <w:sz w:val="16"/>
                <w:szCs w:val="16"/>
                <w:lang w:eastAsia="hr-HR"/>
              </w:rPr>
              <w:t>Radni sporovi</w:t>
            </w:r>
          </w:p>
        </w:tc>
        <w:tc>
          <w:tcPr>
            <w:tcW w:w="1437" w:type="dxa"/>
            <w:gridSpan w:val="2"/>
            <w:vMerge w:val="restart"/>
            <w:tcBorders>
              <w:top w:val="single" w:sz="4" w:space="0" w:color="auto"/>
              <w:left w:val="single" w:sz="4" w:space="0" w:color="auto"/>
              <w:bottom w:val="single" w:sz="4" w:space="0" w:color="000000"/>
              <w:right w:val="single" w:sz="4" w:space="0" w:color="000000"/>
            </w:tcBorders>
            <w:shd w:val="clear" w:color="auto" w:fill="99CCFF"/>
            <w:vAlign w:val="center"/>
            <w:hideMark/>
          </w:tcPr>
          <w:p w14:paraId="2DEB2EFE" w14:textId="77777777" w:rsidR="00CF336B" w:rsidRPr="001B4CA2" w:rsidRDefault="00CF336B" w:rsidP="00A14600">
            <w:pPr>
              <w:jc w:val="center"/>
              <w:rPr>
                <w:b/>
                <w:bCs/>
                <w:sz w:val="16"/>
                <w:szCs w:val="16"/>
                <w:lang w:eastAsia="hr-HR"/>
              </w:rPr>
            </w:pPr>
            <w:r w:rsidRPr="001B4CA2">
              <w:rPr>
                <w:b/>
                <w:bCs/>
                <w:sz w:val="16"/>
                <w:szCs w:val="16"/>
                <w:lang w:eastAsia="hr-HR"/>
              </w:rPr>
              <w:t>Arbitražni sporovi</w:t>
            </w:r>
          </w:p>
        </w:tc>
        <w:tc>
          <w:tcPr>
            <w:tcW w:w="1439" w:type="dxa"/>
            <w:gridSpan w:val="2"/>
            <w:vMerge w:val="restart"/>
            <w:tcBorders>
              <w:top w:val="single" w:sz="4" w:space="0" w:color="auto"/>
              <w:left w:val="single" w:sz="4" w:space="0" w:color="auto"/>
              <w:bottom w:val="single" w:sz="4" w:space="0" w:color="000000"/>
              <w:right w:val="single" w:sz="4" w:space="0" w:color="000000"/>
            </w:tcBorders>
            <w:shd w:val="clear" w:color="auto" w:fill="99CCFF"/>
            <w:vAlign w:val="center"/>
            <w:hideMark/>
          </w:tcPr>
          <w:p w14:paraId="32768F41" w14:textId="77777777" w:rsidR="00CF336B" w:rsidRPr="001B4CA2" w:rsidRDefault="00CF336B" w:rsidP="00A14600">
            <w:pPr>
              <w:jc w:val="center"/>
              <w:rPr>
                <w:b/>
                <w:bCs/>
                <w:sz w:val="16"/>
                <w:szCs w:val="16"/>
                <w:lang w:eastAsia="hr-HR"/>
              </w:rPr>
            </w:pPr>
            <w:r w:rsidRPr="001B4CA2">
              <w:rPr>
                <w:b/>
                <w:bCs/>
                <w:sz w:val="16"/>
                <w:szCs w:val="16"/>
                <w:lang w:eastAsia="hr-HR"/>
              </w:rPr>
              <w:t xml:space="preserve">Sporovi vezani uz stečaj </w:t>
            </w:r>
          </w:p>
        </w:tc>
        <w:tc>
          <w:tcPr>
            <w:tcW w:w="1415" w:type="dxa"/>
            <w:gridSpan w:val="2"/>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0962874F" w14:textId="77777777" w:rsidR="00CF336B" w:rsidRPr="001B4CA2" w:rsidRDefault="00CF336B" w:rsidP="00A14600">
            <w:pPr>
              <w:jc w:val="center"/>
              <w:rPr>
                <w:b/>
                <w:bCs/>
                <w:sz w:val="16"/>
                <w:szCs w:val="16"/>
                <w:lang w:eastAsia="hr-HR"/>
              </w:rPr>
            </w:pPr>
            <w:r w:rsidRPr="001B4CA2">
              <w:rPr>
                <w:b/>
                <w:bCs/>
                <w:sz w:val="16"/>
                <w:szCs w:val="16"/>
                <w:lang w:eastAsia="hr-HR"/>
              </w:rPr>
              <w:t xml:space="preserve">Zabrana nezakonitog štrajka </w:t>
            </w:r>
          </w:p>
        </w:tc>
        <w:tc>
          <w:tcPr>
            <w:tcW w:w="1465" w:type="dxa"/>
            <w:gridSpan w:val="2"/>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23ED9B3F" w14:textId="77777777" w:rsidR="00CF336B" w:rsidRPr="001B4CA2" w:rsidRDefault="00CF336B" w:rsidP="00A14600">
            <w:pPr>
              <w:jc w:val="center"/>
              <w:rPr>
                <w:b/>
                <w:bCs/>
                <w:sz w:val="16"/>
                <w:szCs w:val="16"/>
                <w:lang w:eastAsia="hr-HR"/>
              </w:rPr>
            </w:pPr>
            <w:r w:rsidRPr="001B4CA2">
              <w:rPr>
                <w:b/>
                <w:bCs/>
                <w:sz w:val="16"/>
                <w:szCs w:val="16"/>
                <w:lang w:eastAsia="hr-HR"/>
              </w:rPr>
              <w:t>Ostali parnični sporovi</w:t>
            </w:r>
          </w:p>
        </w:tc>
        <w:tc>
          <w:tcPr>
            <w:tcW w:w="1386" w:type="dxa"/>
            <w:gridSpan w:val="2"/>
            <w:vMerge w:val="restart"/>
            <w:tcBorders>
              <w:top w:val="single" w:sz="4" w:space="0" w:color="auto"/>
              <w:left w:val="single" w:sz="4" w:space="0" w:color="auto"/>
              <w:bottom w:val="single" w:sz="4" w:space="0" w:color="000000"/>
              <w:right w:val="single" w:sz="4" w:space="0" w:color="auto"/>
            </w:tcBorders>
            <w:shd w:val="clear" w:color="auto" w:fill="99CCFF"/>
            <w:vAlign w:val="center"/>
            <w:hideMark/>
          </w:tcPr>
          <w:p w14:paraId="6D69868B" w14:textId="77777777" w:rsidR="00CF336B" w:rsidRPr="001B4CA2" w:rsidRDefault="00CF336B" w:rsidP="00A14600">
            <w:pPr>
              <w:jc w:val="center"/>
              <w:rPr>
                <w:b/>
                <w:bCs/>
                <w:sz w:val="16"/>
                <w:szCs w:val="16"/>
                <w:lang w:eastAsia="hr-HR"/>
              </w:rPr>
            </w:pPr>
            <w:r w:rsidRPr="001B4CA2">
              <w:rPr>
                <w:b/>
                <w:bCs/>
                <w:sz w:val="16"/>
                <w:szCs w:val="16"/>
                <w:lang w:eastAsia="hr-HR"/>
              </w:rPr>
              <w:t xml:space="preserve">Ukupno </w:t>
            </w:r>
          </w:p>
        </w:tc>
      </w:tr>
      <w:tr w:rsidR="00CF336B" w:rsidRPr="001B4CA2" w14:paraId="4C31516E" w14:textId="77777777" w:rsidTr="001D4F0F">
        <w:trPr>
          <w:trHeight w:val="517"/>
          <w:jc w:val="center"/>
        </w:trPr>
        <w:tc>
          <w:tcPr>
            <w:tcW w:w="3005" w:type="dxa"/>
            <w:vMerge/>
            <w:tcBorders>
              <w:top w:val="single" w:sz="4" w:space="0" w:color="auto"/>
              <w:left w:val="single" w:sz="4" w:space="0" w:color="auto"/>
              <w:bottom w:val="single" w:sz="4" w:space="0" w:color="auto"/>
              <w:right w:val="single" w:sz="4" w:space="0" w:color="auto"/>
            </w:tcBorders>
            <w:vAlign w:val="center"/>
            <w:hideMark/>
          </w:tcPr>
          <w:p w14:paraId="4198AE0E" w14:textId="77777777" w:rsidR="00CF336B" w:rsidRPr="001B4CA2" w:rsidRDefault="00CF336B" w:rsidP="00A14600">
            <w:pPr>
              <w:jc w:val="left"/>
              <w:rPr>
                <w:b/>
                <w:bCs/>
                <w:sz w:val="18"/>
                <w:szCs w:val="18"/>
                <w:lang w:eastAsia="hr-HR"/>
              </w:rPr>
            </w:pPr>
          </w:p>
        </w:tc>
        <w:tc>
          <w:tcPr>
            <w:tcW w:w="1437" w:type="dxa"/>
            <w:gridSpan w:val="2"/>
            <w:vMerge/>
            <w:tcBorders>
              <w:top w:val="single" w:sz="4" w:space="0" w:color="auto"/>
              <w:left w:val="single" w:sz="4" w:space="0" w:color="auto"/>
              <w:bottom w:val="single" w:sz="4" w:space="0" w:color="000000"/>
              <w:right w:val="single" w:sz="4" w:space="0" w:color="000000"/>
            </w:tcBorders>
            <w:vAlign w:val="center"/>
            <w:hideMark/>
          </w:tcPr>
          <w:p w14:paraId="195A1812" w14:textId="77777777" w:rsidR="00CF336B" w:rsidRPr="001B4CA2" w:rsidRDefault="00CF336B" w:rsidP="00A14600">
            <w:pPr>
              <w:jc w:val="left"/>
              <w:rPr>
                <w:b/>
                <w:bCs/>
                <w:sz w:val="14"/>
                <w:szCs w:val="14"/>
                <w:lang w:eastAsia="hr-HR"/>
              </w:rPr>
            </w:pPr>
          </w:p>
        </w:tc>
        <w:tc>
          <w:tcPr>
            <w:tcW w:w="1438" w:type="dxa"/>
            <w:gridSpan w:val="2"/>
            <w:vMerge/>
            <w:tcBorders>
              <w:top w:val="single" w:sz="4" w:space="0" w:color="auto"/>
              <w:left w:val="single" w:sz="4" w:space="0" w:color="auto"/>
              <w:bottom w:val="single" w:sz="4" w:space="0" w:color="auto"/>
              <w:right w:val="single" w:sz="4" w:space="0" w:color="auto"/>
            </w:tcBorders>
            <w:vAlign w:val="center"/>
            <w:hideMark/>
          </w:tcPr>
          <w:p w14:paraId="305A1ADE" w14:textId="77777777" w:rsidR="00CF336B" w:rsidRPr="001B4CA2" w:rsidRDefault="00CF336B" w:rsidP="00A14600">
            <w:pPr>
              <w:jc w:val="left"/>
              <w:rPr>
                <w:b/>
                <w:bCs/>
                <w:sz w:val="14"/>
                <w:szCs w:val="14"/>
                <w:lang w:eastAsia="hr-HR"/>
              </w:rPr>
            </w:pPr>
          </w:p>
        </w:tc>
        <w:tc>
          <w:tcPr>
            <w:tcW w:w="1437" w:type="dxa"/>
            <w:gridSpan w:val="2"/>
            <w:vMerge/>
            <w:tcBorders>
              <w:top w:val="single" w:sz="4" w:space="0" w:color="auto"/>
              <w:left w:val="single" w:sz="4" w:space="0" w:color="auto"/>
              <w:bottom w:val="single" w:sz="4" w:space="0" w:color="000000"/>
              <w:right w:val="single" w:sz="4" w:space="0" w:color="000000"/>
            </w:tcBorders>
            <w:vAlign w:val="center"/>
            <w:hideMark/>
          </w:tcPr>
          <w:p w14:paraId="0BC5968F" w14:textId="77777777" w:rsidR="00CF336B" w:rsidRPr="001B4CA2" w:rsidRDefault="00CF336B" w:rsidP="00A14600">
            <w:pPr>
              <w:jc w:val="left"/>
              <w:rPr>
                <w:b/>
                <w:bCs/>
                <w:sz w:val="14"/>
                <w:szCs w:val="14"/>
                <w:lang w:eastAsia="hr-HR"/>
              </w:rPr>
            </w:pPr>
          </w:p>
        </w:tc>
        <w:tc>
          <w:tcPr>
            <w:tcW w:w="1438" w:type="dxa"/>
            <w:gridSpan w:val="2"/>
            <w:vMerge/>
            <w:tcBorders>
              <w:top w:val="single" w:sz="4" w:space="0" w:color="auto"/>
              <w:left w:val="single" w:sz="4" w:space="0" w:color="auto"/>
              <w:bottom w:val="single" w:sz="4" w:space="0" w:color="000000"/>
              <w:right w:val="single" w:sz="4" w:space="0" w:color="000000"/>
            </w:tcBorders>
            <w:vAlign w:val="center"/>
            <w:hideMark/>
          </w:tcPr>
          <w:p w14:paraId="362DB29C" w14:textId="77777777" w:rsidR="00CF336B" w:rsidRPr="001B4CA2" w:rsidRDefault="00CF336B" w:rsidP="00A14600">
            <w:pPr>
              <w:jc w:val="left"/>
              <w:rPr>
                <w:b/>
                <w:bCs/>
                <w:sz w:val="14"/>
                <w:szCs w:val="14"/>
                <w:lang w:eastAsia="hr-HR"/>
              </w:rPr>
            </w:pPr>
          </w:p>
        </w:tc>
        <w:tc>
          <w:tcPr>
            <w:tcW w:w="1437" w:type="dxa"/>
            <w:gridSpan w:val="2"/>
            <w:vMerge/>
            <w:tcBorders>
              <w:top w:val="single" w:sz="4" w:space="0" w:color="auto"/>
              <w:left w:val="single" w:sz="4" w:space="0" w:color="auto"/>
              <w:bottom w:val="single" w:sz="4" w:space="0" w:color="000000"/>
              <w:right w:val="single" w:sz="4" w:space="0" w:color="000000"/>
            </w:tcBorders>
            <w:vAlign w:val="center"/>
            <w:hideMark/>
          </w:tcPr>
          <w:p w14:paraId="1229C92A" w14:textId="77777777" w:rsidR="00CF336B" w:rsidRPr="001B4CA2" w:rsidRDefault="00CF336B" w:rsidP="00A14600">
            <w:pPr>
              <w:jc w:val="left"/>
              <w:rPr>
                <w:b/>
                <w:bCs/>
                <w:sz w:val="14"/>
                <w:szCs w:val="14"/>
                <w:lang w:eastAsia="hr-HR"/>
              </w:rPr>
            </w:pPr>
          </w:p>
        </w:tc>
        <w:tc>
          <w:tcPr>
            <w:tcW w:w="1439" w:type="dxa"/>
            <w:gridSpan w:val="2"/>
            <w:vMerge/>
            <w:tcBorders>
              <w:top w:val="single" w:sz="4" w:space="0" w:color="auto"/>
              <w:left w:val="single" w:sz="4" w:space="0" w:color="auto"/>
              <w:bottom w:val="single" w:sz="4" w:space="0" w:color="000000"/>
              <w:right w:val="single" w:sz="4" w:space="0" w:color="000000"/>
            </w:tcBorders>
            <w:vAlign w:val="center"/>
            <w:hideMark/>
          </w:tcPr>
          <w:p w14:paraId="68171677" w14:textId="77777777" w:rsidR="00CF336B" w:rsidRPr="001B4CA2" w:rsidRDefault="00CF336B" w:rsidP="00A14600">
            <w:pPr>
              <w:jc w:val="left"/>
              <w:rPr>
                <w:b/>
                <w:bCs/>
                <w:sz w:val="14"/>
                <w:szCs w:val="14"/>
                <w:lang w:eastAsia="hr-HR"/>
              </w:rPr>
            </w:pPr>
          </w:p>
        </w:tc>
        <w:tc>
          <w:tcPr>
            <w:tcW w:w="1415" w:type="dxa"/>
            <w:gridSpan w:val="2"/>
            <w:vMerge/>
            <w:tcBorders>
              <w:top w:val="single" w:sz="4" w:space="0" w:color="auto"/>
              <w:left w:val="single" w:sz="4" w:space="0" w:color="auto"/>
              <w:bottom w:val="single" w:sz="4" w:space="0" w:color="auto"/>
              <w:right w:val="single" w:sz="4" w:space="0" w:color="auto"/>
            </w:tcBorders>
            <w:vAlign w:val="center"/>
            <w:hideMark/>
          </w:tcPr>
          <w:p w14:paraId="58C5B4A3" w14:textId="77777777" w:rsidR="00CF336B" w:rsidRPr="001B4CA2" w:rsidRDefault="00CF336B" w:rsidP="00A14600">
            <w:pPr>
              <w:jc w:val="left"/>
              <w:rPr>
                <w:b/>
                <w:bCs/>
                <w:sz w:val="14"/>
                <w:szCs w:val="14"/>
                <w:lang w:eastAsia="hr-HR"/>
              </w:rPr>
            </w:pPr>
          </w:p>
        </w:tc>
        <w:tc>
          <w:tcPr>
            <w:tcW w:w="1465" w:type="dxa"/>
            <w:gridSpan w:val="2"/>
            <w:vMerge/>
            <w:tcBorders>
              <w:top w:val="single" w:sz="4" w:space="0" w:color="auto"/>
              <w:left w:val="single" w:sz="4" w:space="0" w:color="auto"/>
              <w:bottom w:val="single" w:sz="4" w:space="0" w:color="auto"/>
              <w:right w:val="single" w:sz="4" w:space="0" w:color="auto"/>
            </w:tcBorders>
            <w:vAlign w:val="center"/>
            <w:hideMark/>
          </w:tcPr>
          <w:p w14:paraId="33AFB026" w14:textId="77777777" w:rsidR="00CF336B" w:rsidRPr="001B4CA2" w:rsidRDefault="00CF336B" w:rsidP="00A14600">
            <w:pPr>
              <w:jc w:val="left"/>
              <w:rPr>
                <w:b/>
                <w:bCs/>
                <w:sz w:val="14"/>
                <w:szCs w:val="14"/>
                <w:lang w:eastAsia="hr-HR"/>
              </w:rPr>
            </w:pPr>
          </w:p>
        </w:tc>
        <w:tc>
          <w:tcPr>
            <w:tcW w:w="1386" w:type="dxa"/>
            <w:gridSpan w:val="2"/>
            <w:vMerge/>
            <w:tcBorders>
              <w:top w:val="single" w:sz="4" w:space="0" w:color="auto"/>
              <w:left w:val="single" w:sz="4" w:space="0" w:color="auto"/>
              <w:bottom w:val="single" w:sz="4" w:space="0" w:color="auto"/>
              <w:right w:val="single" w:sz="4" w:space="0" w:color="auto"/>
            </w:tcBorders>
            <w:vAlign w:val="center"/>
            <w:hideMark/>
          </w:tcPr>
          <w:p w14:paraId="760580F6" w14:textId="77777777" w:rsidR="00CF336B" w:rsidRPr="001B4CA2" w:rsidRDefault="00CF336B" w:rsidP="00A14600">
            <w:pPr>
              <w:jc w:val="left"/>
              <w:rPr>
                <w:b/>
                <w:bCs/>
                <w:sz w:val="14"/>
                <w:szCs w:val="14"/>
                <w:lang w:eastAsia="hr-HR"/>
              </w:rPr>
            </w:pPr>
          </w:p>
        </w:tc>
      </w:tr>
      <w:tr w:rsidR="001D4F0F" w:rsidRPr="001B4CA2" w14:paraId="0CF45092" w14:textId="77777777" w:rsidTr="001D4F0F">
        <w:trPr>
          <w:trHeight w:val="407"/>
          <w:jc w:val="center"/>
        </w:trPr>
        <w:tc>
          <w:tcPr>
            <w:tcW w:w="3005" w:type="dxa"/>
            <w:vMerge/>
            <w:tcBorders>
              <w:top w:val="single" w:sz="4" w:space="0" w:color="auto"/>
              <w:left w:val="single" w:sz="4" w:space="0" w:color="auto"/>
              <w:bottom w:val="single" w:sz="4" w:space="0" w:color="auto"/>
              <w:right w:val="single" w:sz="4" w:space="0" w:color="auto"/>
            </w:tcBorders>
            <w:vAlign w:val="center"/>
            <w:hideMark/>
          </w:tcPr>
          <w:p w14:paraId="1B0DD0BD" w14:textId="77777777" w:rsidR="00CF336B" w:rsidRPr="001B4CA2" w:rsidRDefault="00CF336B" w:rsidP="00A14600">
            <w:pPr>
              <w:jc w:val="left"/>
              <w:rPr>
                <w:b/>
                <w:bCs/>
                <w:sz w:val="18"/>
                <w:szCs w:val="18"/>
                <w:lang w:eastAsia="hr-HR"/>
              </w:rPr>
            </w:pPr>
          </w:p>
        </w:tc>
        <w:tc>
          <w:tcPr>
            <w:tcW w:w="718" w:type="dxa"/>
            <w:tcBorders>
              <w:top w:val="nil"/>
              <w:left w:val="nil"/>
              <w:bottom w:val="single" w:sz="4" w:space="0" w:color="auto"/>
              <w:right w:val="single" w:sz="4" w:space="0" w:color="auto"/>
            </w:tcBorders>
            <w:shd w:val="clear" w:color="auto" w:fill="99CCFF"/>
            <w:vAlign w:val="center"/>
            <w:hideMark/>
          </w:tcPr>
          <w:p w14:paraId="7C0DAC16" w14:textId="77777777" w:rsidR="00CF336B" w:rsidRPr="001B4CA2" w:rsidRDefault="00CF336B" w:rsidP="00A14600">
            <w:pPr>
              <w:jc w:val="center"/>
              <w:rPr>
                <w:sz w:val="14"/>
                <w:szCs w:val="14"/>
                <w:lang w:eastAsia="hr-HR"/>
              </w:rPr>
            </w:pPr>
            <w:r w:rsidRPr="001B4CA2">
              <w:rPr>
                <w:sz w:val="14"/>
                <w:szCs w:val="14"/>
                <w:lang w:eastAsia="hr-HR"/>
              </w:rPr>
              <w:t>Tužitelj</w:t>
            </w:r>
          </w:p>
        </w:tc>
        <w:tc>
          <w:tcPr>
            <w:tcW w:w="719" w:type="dxa"/>
            <w:tcBorders>
              <w:top w:val="nil"/>
              <w:left w:val="nil"/>
              <w:bottom w:val="single" w:sz="4" w:space="0" w:color="auto"/>
              <w:right w:val="single" w:sz="4" w:space="0" w:color="auto"/>
            </w:tcBorders>
            <w:shd w:val="clear" w:color="auto" w:fill="99CCFF"/>
            <w:vAlign w:val="center"/>
            <w:hideMark/>
          </w:tcPr>
          <w:p w14:paraId="338FC87F" w14:textId="77777777" w:rsidR="00CF336B" w:rsidRPr="001B4CA2" w:rsidRDefault="00CF336B" w:rsidP="00A14600">
            <w:pPr>
              <w:jc w:val="center"/>
              <w:rPr>
                <w:sz w:val="14"/>
                <w:szCs w:val="14"/>
                <w:lang w:eastAsia="hr-HR"/>
              </w:rPr>
            </w:pPr>
            <w:r w:rsidRPr="001B4CA2">
              <w:rPr>
                <w:sz w:val="14"/>
                <w:szCs w:val="14"/>
                <w:lang w:eastAsia="hr-HR"/>
              </w:rPr>
              <w:t>Tuženik</w:t>
            </w:r>
          </w:p>
        </w:tc>
        <w:tc>
          <w:tcPr>
            <w:tcW w:w="719" w:type="dxa"/>
            <w:tcBorders>
              <w:top w:val="nil"/>
              <w:left w:val="nil"/>
              <w:bottom w:val="single" w:sz="4" w:space="0" w:color="auto"/>
              <w:right w:val="single" w:sz="4" w:space="0" w:color="auto"/>
            </w:tcBorders>
            <w:shd w:val="clear" w:color="auto" w:fill="99CCFF"/>
            <w:vAlign w:val="center"/>
            <w:hideMark/>
          </w:tcPr>
          <w:p w14:paraId="2E0B7765" w14:textId="77777777" w:rsidR="00CF336B" w:rsidRPr="001B4CA2" w:rsidRDefault="00CF336B" w:rsidP="00A14600">
            <w:pPr>
              <w:jc w:val="center"/>
              <w:rPr>
                <w:sz w:val="14"/>
                <w:szCs w:val="14"/>
                <w:lang w:eastAsia="hr-HR"/>
              </w:rPr>
            </w:pPr>
            <w:r w:rsidRPr="001B4CA2">
              <w:rPr>
                <w:sz w:val="14"/>
                <w:szCs w:val="14"/>
                <w:lang w:eastAsia="hr-HR"/>
              </w:rPr>
              <w:t>Tužitelj</w:t>
            </w:r>
          </w:p>
        </w:tc>
        <w:tc>
          <w:tcPr>
            <w:tcW w:w="719" w:type="dxa"/>
            <w:tcBorders>
              <w:top w:val="nil"/>
              <w:left w:val="nil"/>
              <w:bottom w:val="single" w:sz="4" w:space="0" w:color="auto"/>
              <w:right w:val="single" w:sz="4" w:space="0" w:color="auto"/>
            </w:tcBorders>
            <w:shd w:val="clear" w:color="auto" w:fill="99CCFF"/>
            <w:vAlign w:val="center"/>
            <w:hideMark/>
          </w:tcPr>
          <w:p w14:paraId="08F02D92" w14:textId="77777777" w:rsidR="00CF336B" w:rsidRPr="001B4CA2" w:rsidRDefault="00CF336B" w:rsidP="00A14600">
            <w:pPr>
              <w:jc w:val="center"/>
              <w:rPr>
                <w:sz w:val="14"/>
                <w:szCs w:val="14"/>
                <w:lang w:eastAsia="hr-HR"/>
              </w:rPr>
            </w:pPr>
            <w:r w:rsidRPr="001B4CA2">
              <w:rPr>
                <w:sz w:val="14"/>
                <w:szCs w:val="14"/>
                <w:lang w:eastAsia="hr-HR"/>
              </w:rPr>
              <w:t>Tuženik</w:t>
            </w:r>
          </w:p>
        </w:tc>
        <w:tc>
          <w:tcPr>
            <w:tcW w:w="718" w:type="dxa"/>
            <w:tcBorders>
              <w:top w:val="nil"/>
              <w:left w:val="nil"/>
              <w:bottom w:val="single" w:sz="4" w:space="0" w:color="auto"/>
              <w:right w:val="single" w:sz="4" w:space="0" w:color="auto"/>
            </w:tcBorders>
            <w:shd w:val="clear" w:color="auto" w:fill="99CCFF"/>
            <w:vAlign w:val="center"/>
            <w:hideMark/>
          </w:tcPr>
          <w:p w14:paraId="0110DF48" w14:textId="77777777" w:rsidR="00CF336B" w:rsidRPr="001B4CA2" w:rsidRDefault="00CF336B" w:rsidP="00A14600">
            <w:pPr>
              <w:jc w:val="center"/>
              <w:rPr>
                <w:sz w:val="14"/>
                <w:szCs w:val="14"/>
                <w:lang w:eastAsia="hr-HR"/>
              </w:rPr>
            </w:pPr>
            <w:r w:rsidRPr="001B4CA2">
              <w:rPr>
                <w:sz w:val="14"/>
                <w:szCs w:val="14"/>
                <w:lang w:eastAsia="hr-HR"/>
              </w:rPr>
              <w:t>Tužitelj</w:t>
            </w:r>
          </w:p>
        </w:tc>
        <w:tc>
          <w:tcPr>
            <w:tcW w:w="719" w:type="dxa"/>
            <w:tcBorders>
              <w:top w:val="nil"/>
              <w:left w:val="nil"/>
              <w:bottom w:val="single" w:sz="4" w:space="0" w:color="auto"/>
              <w:right w:val="single" w:sz="4" w:space="0" w:color="auto"/>
            </w:tcBorders>
            <w:shd w:val="clear" w:color="auto" w:fill="99CCFF"/>
            <w:vAlign w:val="center"/>
            <w:hideMark/>
          </w:tcPr>
          <w:p w14:paraId="7F528B31" w14:textId="77777777" w:rsidR="00CF336B" w:rsidRPr="001B4CA2" w:rsidRDefault="00CF336B" w:rsidP="00A14600">
            <w:pPr>
              <w:jc w:val="center"/>
              <w:rPr>
                <w:sz w:val="14"/>
                <w:szCs w:val="14"/>
                <w:lang w:eastAsia="hr-HR"/>
              </w:rPr>
            </w:pPr>
            <w:r w:rsidRPr="001B4CA2">
              <w:rPr>
                <w:sz w:val="14"/>
                <w:szCs w:val="14"/>
                <w:lang w:eastAsia="hr-HR"/>
              </w:rPr>
              <w:t>Tuženik</w:t>
            </w:r>
          </w:p>
        </w:tc>
        <w:tc>
          <w:tcPr>
            <w:tcW w:w="719" w:type="dxa"/>
            <w:tcBorders>
              <w:top w:val="nil"/>
              <w:left w:val="nil"/>
              <w:bottom w:val="single" w:sz="4" w:space="0" w:color="auto"/>
              <w:right w:val="single" w:sz="4" w:space="0" w:color="auto"/>
            </w:tcBorders>
            <w:shd w:val="clear" w:color="auto" w:fill="99CCFF"/>
            <w:vAlign w:val="center"/>
            <w:hideMark/>
          </w:tcPr>
          <w:p w14:paraId="1CB2E64B" w14:textId="77777777" w:rsidR="00CF336B" w:rsidRPr="001B4CA2" w:rsidRDefault="00CF336B" w:rsidP="00A14600">
            <w:pPr>
              <w:jc w:val="center"/>
              <w:rPr>
                <w:sz w:val="14"/>
                <w:szCs w:val="14"/>
                <w:lang w:eastAsia="hr-HR"/>
              </w:rPr>
            </w:pPr>
            <w:r w:rsidRPr="001B4CA2">
              <w:rPr>
                <w:sz w:val="14"/>
                <w:szCs w:val="14"/>
                <w:lang w:eastAsia="hr-HR"/>
              </w:rPr>
              <w:t>Tužitelj</w:t>
            </w:r>
          </w:p>
        </w:tc>
        <w:tc>
          <w:tcPr>
            <w:tcW w:w="719" w:type="dxa"/>
            <w:tcBorders>
              <w:top w:val="nil"/>
              <w:left w:val="nil"/>
              <w:bottom w:val="single" w:sz="4" w:space="0" w:color="auto"/>
              <w:right w:val="single" w:sz="4" w:space="0" w:color="auto"/>
            </w:tcBorders>
            <w:shd w:val="clear" w:color="auto" w:fill="99CCFF"/>
            <w:vAlign w:val="center"/>
            <w:hideMark/>
          </w:tcPr>
          <w:p w14:paraId="16398445" w14:textId="77777777" w:rsidR="00CF336B" w:rsidRPr="001B4CA2" w:rsidRDefault="00CF336B" w:rsidP="00A14600">
            <w:pPr>
              <w:jc w:val="center"/>
              <w:rPr>
                <w:sz w:val="14"/>
                <w:szCs w:val="14"/>
                <w:lang w:eastAsia="hr-HR"/>
              </w:rPr>
            </w:pPr>
            <w:r w:rsidRPr="001B4CA2">
              <w:rPr>
                <w:sz w:val="14"/>
                <w:szCs w:val="14"/>
                <w:lang w:eastAsia="hr-HR"/>
              </w:rPr>
              <w:t>Tuženik</w:t>
            </w:r>
          </w:p>
        </w:tc>
        <w:tc>
          <w:tcPr>
            <w:tcW w:w="718" w:type="dxa"/>
            <w:tcBorders>
              <w:top w:val="nil"/>
              <w:left w:val="nil"/>
              <w:bottom w:val="single" w:sz="4" w:space="0" w:color="auto"/>
              <w:right w:val="single" w:sz="4" w:space="0" w:color="auto"/>
            </w:tcBorders>
            <w:shd w:val="clear" w:color="auto" w:fill="99CCFF"/>
            <w:vAlign w:val="center"/>
            <w:hideMark/>
          </w:tcPr>
          <w:p w14:paraId="3794074F" w14:textId="77777777" w:rsidR="00CF336B" w:rsidRPr="001B4CA2" w:rsidRDefault="00CF336B" w:rsidP="00A14600">
            <w:pPr>
              <w:jc w:val="center"/>
              <w:rPr>
                <w:sz w:val="14"/>
                <w:szCs w:val="14"/>
                <w:lang w:eastAsia="hr-HR"/>
              </w:rPr>
            </w:pPr>
            <w:r w:rsidRPr="001B4CA2">
              <w:rPr>
                <w:sz w:val="14"/>
                <w:szCs w:val="14"/>
                <w:lang w:eastAsia="hr-HR"/>
              </w:rPr>
              <w:t>Tužitelj</w:t>
            </w:r>
          </w:p>
        </w:tc>
        <w:tc>
          <w:tcPr>
            <w:tcW w:w="719" w:type="dxa"/>
            <w:tcBorders>
              <w:top w:val="nil"/>
              <w:left w:val="nil"/>
              <w:bottom w:val="single" w:sz="4" w:space="0" w:color="auto"/>
              <w:right w:val="single" w:sz="4" w:space="0" w:color="auto"/>
            </w:tcBorders>
            <w:shd w:val="clear" w:color="auto" w:fill="99CCFF"/>
            <w:vAlign w:val="center"/>
            <w:hideMark/>
          </w:tcPr>
          <w:p w14:paraId="44E93D09" w14:textId="77777777" w:rsidR="00CF336B" w:rsidRPr="001B4CA2" w:rsidRDefault="00CF336B" w:rsidP="00A14600">
            <w:pPr>
              <w:jc w:val="center"/>
              <w:rPr>
                <w:sz w:val="14"/>
                <w:szCs w:val="14"/>
                <w:lang w:eastAsia="hr-HR"/>
              </w:rPr>
            </w:pPr>
            <w:r w:rsidRPr="001B4CA2">
              <w:rPr>
                <w:sz w:val="14"/>
                <w:szCs w:val="14"/>
                <w:lang w:eastAsia="hr-HR"/>
              </w:rPr>
              <w:t>Tuženik</w:t>
            </w:r>
          </w:p>
        </w:tc>
        <w:tc>
          <w:tcPr>
            <w:tcW w:w="719" w:type="dxa"/>
            <w:tcBorders>
              <w:top w:val="nil"/>
              <w:left w:val="nil"/>
              <w:bottom w:val="single" w:sz="4" w:space="0" w:color="auto"/>
              <w:right w:val="single" w:sz="4" w:space="0" w:color="auto"/>
            </w:tcBorders>
            <w:shd w:val="clear" w:color="auto" w:fill="99CCFF"/>
            <w:vAlign w:val="center"/>
            <w:hideMark/>
          </w:tcPr>
          <w:p w14:paraId="42D76C38" w14:textId="77777777" w:rsidR="00CF336B" w:rsidRPr="001B4CA2" w:rsidRDefault="00CF336B" w:rsidP="00A14600">
            <w:pPr>
              <w:jc w:val="center"/>
              <w:rPr>
                <w:sz w:val="14"/>
                <w:szCs w:val="14"/>
                <w:lang w:eastAsia="hr-HR"/>
              </w:rPr>
            </w:pPr>
            <w:r w:rsidRPr="001B4CA2">
              <w:rPr>
                <w:sz w:val="14"/>
                <w:szCs w:val="14"/>
                <w:lang w:eastAsia="hr-HR"/>
              </w:rPr>
              <w:t>Tužitelj</w:t>
            </w:r>
          </w:p>
        </w:tc>
        <w:tc>
          <w:tcPr>
            <w:tcW w:w="720" w:type="dxa"/>
            <w:tcBorders>
              <w:top w:val="nil"/>
              <w:left w:val="nil"/>
              <w:bottom w:val="single" w:sz="4" w:space="0" w:color="auto"/>
              <w:right w:val="single" w:sz="4" w:space="0" w:color="auto"/>
            </w:tcBorders>
            <w:shd w:val="clear" w:color="auto" w:fill="99CCFF"/>
            <w:vAlign w:val="center"/>
            <w:hideMark/>
          </w:tcPr>
          <w:p w14:paraId="5D5F740A" w14:textId="77777777" w:rsidR="00CF336B" w:rsidRPr="001B4CA2" w:rsidRDefault="00CF336B" w:rsidP="00A14600">
            <w:pPr>
              <w:jc w:val="center"/>
              <w:rPr>
                <w:sz w:val="14"/>
                <w:szCs w:val="14"/>
                <w:lang w:eastAsia="hr-HR"/>
              </w:rPr>
            </w:pPr>
            <w:r w:rsidRPr="001B4CA2">
              <w:rPr>
                <w:sz w:val="14"/>
                <w:szCs w:val="14"/>
                <w:lang w:eastAsia="hr-HR"/>
              </w:rPr>
              <w:t>Tuženik</w:t>
            </w:r>
          </w:p>
        </w:tc>
        <w:tc>
          <w:tcPr>
            <w:tcW w:w="697" w:type="dxa"/>
            <w:tcBorders>
              <w:top w:val="nil"/>
              <w:left w:val="nil"/>
              <w:bottom w:val="single" w:sz="4" w:space="0" w:color="auto"/>
              <w:right w:val="single" w:sz="4" w:space="0" w:color="auto"/>
            </w:tcBorders>
            <w:shd w:val="clear" w:color="auto" w:fill="99CCFF"/>
            <w:vAlign w:val="center"/>
            <w:hideMark/>
          </w:tcPr>
          <w:p w14:paraId="31F3795A" w14:textId="77777777" w:rsidR="00CF336B" w:rsidRPr="001B4CA2" w:rsidRDefault="00CF336B" w:rsidP="00A14600">
            <w:pPr>
              <w:jc w:val="center"/>
              <w:rPr>
                <w:sz w:val="14"/>
                <w:szCs w:val="14"/>
                <w:lang w:eastAsia="hr-HR"/>
              </w:rPr>
            </w:pPr>
            <w:r w:rsidRPr="001B4CA2">
              <w:rPr>
                <w:sz w:val="14"/>
                <w:szCs w:val="14"/>
                <w:lang w:eastAsia="hr-HR"/>
              </w:rPr>
              <w:t>Tužitelj</w:t>
            </w:r>
          </w:p>
        </w:tc>
        <w:tc>
          <w:tcPr>
            <w:tcW w:w="717" w:type="dxa"/>
            <w:tcBorders>
              <w:top w:val="nil"/>
              <w:left w:val="nil"/>
              <w:bottom w:val="single" w:sz="4" w:space="0" w:color="auto"/>
              <w:right w:val="single" w:sz="4" w:space="0" w:color="auto"/>
            </w:tcBorders>
            <w:shd w:val="clear" w:color="auto" w:fill="99CCFF"/>
            <w:vAlign w:val="center"/>
            <w:hideMark/>
          </w:tcPr>
          <w:p w14:paraId="648343BD" w14:textId="77777777" w:rsidR="00CF336B" w:rsidRPr="001B4CA2" w:rsidRDefault="00CF336B" w:rsidP="00A14600">
            <w:pPr>
              <w:jc w:val="center"/>
              <w:rPr>
                <w:sz w:val="14"/>
                <w:szCs w:val="14"/>
                <w:lang w:eastAsia="hr-HR"/>
              </w:rPr>
            </w:pPr>
            <w:r w:rsidRPr="001B4CA2">
              <w:rPr>
                <w:sz w:val="14"/>
                <w:szCs w:val="14"/>
                <w:lang w:eastAsia="hr-HR"/>
              </w:rPr>
              <w:t>Tuženik</w:t>
            </w:r>
          </w:p>
        </w:tc>
        <w:tc>
          <w:tcPr>
            <w:tcW w:w="748" w:type="dxa"/>
            <w:tcBorders>
              <w:top w:val="nil"/>
              <w:left w:val="nil"/>
              <w:bottom w:val="single" w:sz="4" w:space="0" w:color="auto"/>
              <w:right w:val="single" w:sz="4" w:space="0" w:color="auto"/>
            </w:tcBorders>
            <w:shd w:val="clear" w:color="auto" w:fill="99CCFF"/>
            <w:vAlign w:val="center"/>
            <w:hideMark/>
          </w:tcPr>
          <w:p w14:paraId="1ACAA5E5" w14:textId="77777777" w:rsidR="00CF336B" w:rsidRPr="001B4CA2" w:rsidRDefault="00CF336B" w:rsidP="00A14600">
            <w:pPr>
              <w:jc w:val="center"/>
              <w:rPr>
                <w:sz w:val="14"/>
                <w:szCs w:val="14"/>
                <w:lang w:eastAsia="hr-HR"/>
              </w:rPr>
            </w:pPr>
            <w:r w:rsidRPr="001B4CA2">
              <w:rPr>
                <w:sz w:val="14"/>
                <w:szCs w:val="14"/>
                <w:lang w:eastAsia="hr-HR"/>
              </w:rPr>
              <w:t>Tužitelj</w:t>
            </w:r>
          </w:p>
        </w:tc>
        <w:tc>
          <w:tcPr>
            <w:tcW w:w="717" w:type="dxa"/>
            <w:tcBorders>
              <w:top w:val="nil"/>
              <w:left w:val="nil"/>
              <w:bottom w:val="single" w:sz="4" w:space="0" w:color="auto"/>
              <w:right w:val="single" w:sz="4" w:space="0" w:color="auto"/>
            </w:tcBorders>
            <w:shd w:val="clear" w:color="auto" w:fill="99CCFF"/>
            <w:vAlign w:val="center"/>
            <w:hideMark/>
          </w:tcPr>
          <w:p w14:paraId="6B4AFBCF" w14:textId="77777777" w:rsidR="00CF336B" w:rsidRPr="001B4CA2" w:rsidRDefault="00CF336B" w:rsidP="00A14600">
            <w:pPr>
              <w:jc w:val="center"/>
              <w:rPr>
                <w:sz w:val="14"/>
                <w:szCs w:val="14"/>
                <w:lang w:eastAsia="hr-HR"/>
              </w:rPr>
            </w:pPr>
            <w:r w:rsidRPr="001B4CA2">
              <w:rPr>
                <w:sz w:val="14"/>
                <w:szCs w:val="14"/>
                <w:lang w:eastAsia="hr-HR"/>
              </w:rPr>
              <w:t>Tuženik</w:t>
            </w:r>
          </w:p>
        </w:tc>
        <w:tc>
          <w:tcPr>
            <w:tcW w:w="669" w:type="dxa"/>
            <w:tcBorders>
              <w:top w:val="single" w:sz="4" w:space="0" w:color="auto"/>
              <w:left w:val="single" w:sz="4" w:space="0" w:color="auto"/>
              <w:bottom w:val="single" w:sz="4" w:space="0" w:color="000000"/>
              <w:right w:val="single" w:sz="4" w:space="0" w:color="auto"/>
            </w:tcBorders>
            <w:shd w:val="clear" w:color="auto" w:fill="99CCFF"/>
            <w:vAlign w:val="center"/>
            <w:hideMark/>
          </w:tcPr>
          <w:p w14:paraId="36AB2830" w14:textId="77777777" w:rsidR="00CF336B" w:rsidRPr="001B4CA2" w:rsidRDefault="00CF336B" w:rsidP="00A14600">
            <w:pPr>
              <w:jc w:val="center"/>
              <w:rPr>
                <w:bCs/>
                <w:sz w:val="14"/>
                <w:szCs w:val="14"/>
                <w:lang w:eastAsia="hr-HR"/>
              </w:rPr>
            </w:pPr>
            <w:r w:rsidRPr="001B4CA2">
              <w:rPr>
                <w:bCs/>
                <w:sz w:val="14"/>
                <w:szCs w:val="14"/>
                <w:lang w:eastAsia="hr-HR"/>
              </w:rPr>
              <w:t>Tužitelj</w:t>
            </w:r>
          </w:p>
        </w:tc>
        <w:tc>
          <w:tcPr>
            <w:tcW w:w="717" w:type="dxa"/>
            <w:tcBorders>
              <w:top w:val="single" w:sz="4" w:space="0" w:color="auto"/>
              <w:left w:val="single" w:sz="4" w:space="0" w:color="auto"/>
              <w:bottom w:val="single" w:sz="4" w:space="0" w:color="000000"/>
              <w:right w:val="single" w:sz="4" w:space="0" w:color="auto"/>
            </w:tcBorders>
            <w:shd w:val="clear" w:color="auto" w:fill="99CCFF"/>
            <w:vAlign w:val="center"/>
          </w:tcPr>
          <w:p w14:paraId="5F319A2B" w14:textId="77777777" w:rsidR="00CF336B" w:rsidRPr="001B4CA2" w:rsidRDefault="00CF336B" w:rsidP="00A14600">
            <w:pPr>
              <w:jc w:val="center"/>
              <w:rPr>
                <w:bCs/>
                <w:sz w:val="14"/>
                <w:szCs w:val="14"/>
                <w:lang w:eastAsia="hr-HR"/>
              </w:rPr>
            </w:pPr>
            <w:r w:rsidRPr="001B4CA2">
              <w:rPr>
                <w:bCs/>
                <w:sz w:val="14"/>
                <w:szCs w:val="14"/>
                <w:lang w:eastAsia="hr-HR"/>
              </w:rPr>
              <w:t>Tuženik</w:t>
            </w:r>
          </w:p>
        </w:tc>
      </w:tr>
      <w:tr w:rsidR="00CF336B" w:rsidRPr="001B4CA2" w14:paraId="010C7E63"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13C3A890" w14:textId="77777777" w:rsidR="00CF336B" w:rsidRPr="001B4CA2" w:rsidRDefault="00CF336B" w:rsidP="00A14600">
            <w:pPr>
              <w:jc w:val="left"/>
              <w:rPr>
                <w:bCs/>
                <w:sz w:val="16"/>
                <w:szCs w:val="16"/>
                <w:lang w:eastAsia="hr-HR"/>
              </w:rPr>
            </w:pPr>
            <w:r w:rsidRPr="001B4CA2">
              <w:rPr>
                <w:bCs/>
                <w:sz w:val="16"/>
                <w:szCs w:val="16"/>
                <w:lang w:eastAsia="hr-HR"/>
              </w:rPr>
              <w:t>Republika Hrvatska</w:t>
            </w:r>
          </w:p>
        </w:tc>
        <w:tc>
          <w:tcPr>
            <w:tcW w:w="718" w:type="dxa"/>
            <w:tcBorders>
              <w:top w:val="nil"/>
              <w:left w:val="nil"/>
              <w:bottom w:val="single" w:sz="4" w:space="0" w:color="auto"/>
              <w:right w:val="single" w:sz="4" w:space="0" w:color="auto"/>
            </w:tcBorders>
            <w:shd w:val="clear" w:color="auto" w:fill="auto"/>
            <w:noWrap/>
            <w:vAlign w:val="center"/>
          </w:tcPr>
          <w:p w14:paraId="542666A4" w14:textId="77777777" w:rsidR="00CF336B" w:rsidRPr="001B4CA2" w:rsidRDefault="00CF336B" w:rsidP="00A14600">
            <w:pPr>
              <w:jc w:val="center"/>
              <w:rPr>
                <w:sz w:val="18"/>
                <w:szCs w:val="18"/>
              </w:rPr>
            </w:pPr>
            <w:r w:rsidRPr="001B4CA2">
              <w:rPr>
                <w:sz w:val="18"/>
                <w:szCs w:val="18"/>
              </w:rPr>
              <w:t>11</w:t>
            </w:r>
          </w:p>
        </w:tc>
        <w:tc>
          <w:tcPr>
            <w:tcW w:w="719" w:type="dxa"/>
            <w:tcBorders>
              <w:top w:val="nil"/>
              <w:left w:val="nil"/>
              <w:bottom w:val="single" w:sz="4" w:space="0" w:color="auto"/>
              <w:right w:val="single" w:sz="4" w:space="0" w:color="auto"/>
            </w:tcBorders>
            <w:shd w:val="clear" w:color="auto" w:fill="auto"/>
            <w:noWrap/>
            <w:vAlign w:val="center"/>
          </w:tcPr>
          <w:p w14:paraId="603C829C" w14:textId="77777777" w:rsidR="00CF336B" w:rsidRPr="001B4CA2" w:rsidRDefault="00CF336B" w:rsidP="00A14600">
            <w:pPr>
              <w:jc w:val="center"/>
              <w:rPr>
                <w:sz w:val="18"/>
                <w:szCs w:val="18"/>
              </w:rPr>
            </w:pPr>
            <w:r w:rsidRPr="001B4CA2">
              <w:rPr>
                <w:sz w:val="18"/>
                <w:szCs w:val="18"/>
              </w:rPr>
              <w:t>51</w:t>
            </w:r>
          </w:p>
        </w:tc>
        <w:tc>
          <w:tcPr>
            <w:tcW w:w="719" w:type="dxa"/>
            <w:tcBorders>
              <w:top w:val="nil"/>
              <w:left w:val="nil"/>
              <w:bottom w:val="single" w:sz="4" w:space="0" w:color="auto"/>
              <w:right w:val="single" w:sz="4" w:space="0" w:color="auto"/>
            </w:tcBorders>
            <w:shd w:val="clear" w:color="auto" w:fill="auto"/>
            <w:noWrap/>
            <w:vAlign w:val="center"/>
          </w:tcPr>
          <w:p w14:paraId="0C6B7D22" w14:textId="77777777" w:rsidR="00CF336B" w:rsidRPr="001B4CA2" w:rsidRDefault="00CF336B" w:rsidP="00A14600">
            <w:pPr>
              <w:jc w:val="center"/>
              <w:rPr>
                <w:sz w:val="18"/>
                <w:szCs w:val="18"/>
              </w:rPr>
            </w:pPr>
            <w:r w:rsidRPr="001B4CA2">
              <w:rPr>
                <w:sz w:val="18"/>
                <w:szCs w:val="18"/>
              </w:rPr>
              <w:t>19</w:t>
            </w:r>
          </w:p>
        </w:tc>
        <w:tc>
          <w:tcPr>
            <w:tcW w:w="719" w:type="dxa"/>
            <w:tcBorders>
              <w:top w:val="nil"/>
              <w:left w:val="nil"/>
              <w:bottom w:val="single" w:sz="4" w:space="0" w:color="auto"/>
              <w:right w:val="single" w:sz="4" w:space="0" w:color="auto"/>
            </w:tcBorders>
            <w:shd w:val="clear" w:color="auto" w:fill="auto"/>
            <w:noWrap/>
            <w:vAlign w:val="center"/>
          </w:tcPr>
          <w:p w14:paraId="12AC2864" w14:textId="77777777" w:rsidR="00CF336B" w:rsidRPr="001B4CA2" w:rsidRDefault="00CF336B" w:rsidP="00A14600">
            <w:pPr>
              <w:jc w:val="center"/>
              <w:rPr>
                <w:sz w:val="18"/>
                <w:szCs w:val="18"/>
              </w:rPr>
            </w:pPr>
            <w:r w:rsidRPr="001B4CA2">
              <w:rPr>
                <w:sz w:val="18"/>
                <w:szCs w:val="18"/>
              </w:rPr>
              <w:t>27</w:t>
            </w:r>
          </w:p>
        </w:tc>
        <w:tc>
          <w:tcPr>
            <w:tcW w:w="718" w:type="dxa"/>
            <w:tcBorders>
              <w:top w:val="nil"/>
              <w:left w:val="nil"/>
              <w:bottom w:val="single" w:sz="4" w:space="0" w:color="auto"/>
              <w:right w:val="single" w:sz="4" w:space="0" w:color="auto"/>
            </w:tcBorders>
            <w:shd w:val="clear" w:color="auto" w:fill="auto"/>
            <w:noWrap/>
            <w:vAlign w:val="center"/>
          </w:tcPr>
          <w:p w14:paraId="71965027" w14:textId="77777777" w:rsidR="00CF336B" w:rsidRPr="001B4CA2" w:rsidRDefault="00CF336B" w:rsidP="00A14600">
            <w:pPr>
              <w:jc w:val="center"/>
              <w:rPr>
                <w:sz w:val="18"/>
                <w:szCs w:val="18"/>
              </w:rPr>
            </w:pPr>
            <w:r w:rsidRPr="001B4CA2">
              <w:rPr>
                <w:sz w:val="18"/>
                <w:szCs w:val="18"/>
              </w:rPr>
              <w:t>2</w:t>
            </w:r>
          </w:p>
        </w:tc>
        <w:tc>
          <w:tcPr>
            <w:tcW w:w="719" w:type="dxa"/>
            <w:tcBorders>
              <w:top w:val="nil"/>
              <w:left w:val="nil"/>
              <w:bottom w:val="single" w:sz="4" w:space="0" w:color="auto"/>
              <w:right w:val="single" w:sz="4" w:space="0" w:color="auto"/>
            </w:tcBorders>
            <w:shd w:val="clear" w:color="auto" w:fill="auto"/>
            <w:noWrap/>
            <w:vAlign w:val="center"/>
          </w:tcPr>
          <w:p w14:paraId="2E8DE17A" w14:textId="77777777" w:rsidR="00CF336B" w:rsidRPr="001B4CA2" w:rsidRDefault="00CF336B" w:rsidP="00A14600">
            <w:pPr>
              <w:jc w:val="center"/>
              <w:rPr>
                <w:sz w:val="18"/>
                <w:szCs w:val="18"/>
              </w:rPr>
            </w:pPr>
            <w:r w:rsidRPr="001B4CA2">
              <w:rPr>
                <w:sz w:val="18"/>
                <w:szCs w:val="18"/>
              </w:rPr>
              <w:t>32</w:t>
            </w:r>
          </w:p>
        </w:tc>
        <w:tc>
          <w:tcPr>
            <w:tcW w:w="719" w:type="dxa"/>
            <w:tcBorders>
              <w:top w:val="nil"/>
              <w:left w:val="nil"/>
              <w:bottom w:val="single" w:sz="4" w:space="0" w:color="auto"/>
              <w:right w:val="single" w:sz="4" w:space="0" w:color="auto"/>
            </w:tcBorders>
            <w:shd w:val="clear" w:color="auto" w:fill="auto"/>
            <w:noWrap/>
            <w:vAlign w:val="center"/>
          </w:tcPr>
          <w:p w14:paraId="140FE229"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4063F465" w14:textId="77777777" w:rsidR="00CF336B" w:rsidRPr="001B4CA2" w:rsidRDefault="00CF336B" w:rsidP="00A14600">
            <w:pPr>
              <w:jc w:val="center"/>
              <w:rPr>
                <w:sz w:val="18"/>
                <w:szCs w:val="18"/>
              </w:rPr>
            </w:pPr>
            <w:r w:rsidRPr="001B4CA2">
              <w:rPr>
                <w:sz w:val="18"/>
                <w:szCs w:val="18"/>
              </w:rPr>
              <w:t>2</w:t>
            </w:r>
          </w:p>
        </w:tc>
        <w:tc>
          <w:tcPr>
            <w:tcW w:w="718" w:type="dxa"/>
            <w:tcBorders>
              <w:top w:val="nil"/>
              <w:left w:val="nil"/>
              <w:bottom w:val="single" w:sz="4" w:space="0" w:color="auto"/>
              <w:right w:val="single" w:sz="4" w:space="0" w:color="auto"/>
            </w:tcBorders>
            <w:shd w:val="clear" w:color="auto" w:fill="auto"/>
            <w:noWrap/>
            <w:vAlign w:val="center"/>
          </w:tcPr>
          <w:p w14:paraId="55A394B1"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7F8C2782"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3ED4A4EE" w14:textId="77777777" w:rsidR="00CF336B" w:rsidRPr="001B4CA2" w:rsidRDefault="00CF336B" w:rsidP="00A14600">
            <w:pPr>
              <w:jc w:val="center"/>
              <w:rPr>
                <w:sz w:val="18"/>
                <w:szCs w:val="18"/>
              </w:rPr>
            </w:pPr>
            <w:r w:rsidRPr="001B4CA2">
              <w:rPr>
                <w:sz w:val="18"/>
                <w:szCs w:val="18"/>
              </w:rPr>
              <w:t>1</w:t>
            </w:r>
          </w:p>
        </w:tc>
        <w:tc>
          <w:tcPr>
            <w:tcW w:w="720" w:type="dxa"/>
            <w:tcBorders>
              <w:top w:val="nil"/>
              <w:left w:val="nil"/>
              <w:bottom w:val="single" w:sz="4" w:space="0" w:color="auto"/>
              <w:right w:val="single" w:sz="4" w:space="0" w:color="auto"/>
            </w:tcBorders>
            <w:shd w:val="clear" w:color="auto" w:fill="auto"/>
            <w:noWrap/>
            <w:vAlign w:val="center"/>
          </w:tcPr>
          <w:p w14:paraId="7EC81E4A" w14:textId="77777777" w:rsidR="00CF336B" w:rsidRPr="001B4CA2" w:rsidRDefault="00CF336B" w:rsidP="00A14600">
            <w:pPr>
              <w:jc w:val="center"/>
              <w:rPr>
                <w:sz w:val="18"/>
                <w:szCs w:val="18"/>
              </w:rPr>
            </w:pPr>
            <w:r w:rsidRPr="001B4CA2">
              <w:rPr>
                <w:sz w:val="18"/>
                <w:szCs w:val="18"/>
              </w:rPr>
              <w:t>2</w:t>
            </w:r>
          </w:p>
        </w:tc>
        <w:tc>
          <w:tcPr>
            <w:tcW w:w="697" w:type="dxa"/>
            <w:tcBorders>
              <w:top w:val="nil"/>
              <w:left w:val="nil"/>
              <w:bottom w:val="single" w:sz="4" w:space="0" w:color="auto"/>
              <w:right w:val="single" w:sz="4" w:space="0" w:color="auto"/>
            </w:tcBorders>
            <w:shd w:val="clear" w:color="auto" w:fill="auto"/>
            <w:noWrap/>
            <w:vAlign w:val="center"/>
          </w:tcPr>
          <w:p w14:paraId="5E3F094C"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335491BC"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4E67AD11" w14:textId="77777777" w:rsidR="00CF336B" w:rsidRPr="001B4CA2" w:rsidRDefault="00CF336B" w:rsidP="00A14600">
            <w:pPr>
              <w:jc w:val="center"/>
              <w:rPr>
                <w:sz w:val="18"/>
                <w:szCs w:val="18"/>
              </w:rPr>
            </w:pPr>
            <w:r w:rsidRPr="001B4CA2">
              <w:rPr>
                <w:sz w:val="18"/>
                <w:szCs w:val="18"/>
              </w:rPr>
              <w:t>3</w:t>
            </w:r>
          </w:p>
        </w:tc>
        <w:tc>
          <w:tcPr>
            <w:tcW w:w="717" w:type="dxa"/>
            <w:tcBorders>
              <w:top w:val="nil"/>
              <w:left w:val="nil"/>
              <w:bottom w:val="single" w:sz="4" w:space="0" w:color="auto"/>
              <w:right w:val="single" w:sz="4" w:space="0" w:color="auto"/>
            </w:tcBorders>
            <w:shd w:val="clear" w:color="auto" w:fill="auto"/>
            <w:noWrap/>
            <w:vAlign w:val="center"/>
          </w:tcPr>
          <w:p w14:paraId="7A6741DC" w14:textId="77777777" w:rsidR="00CF336B" w:rsidRPr="001B4CA2" w:rsidRDefault="00CF336B" w:rsidP="00A14600">
            <w:pPr>
              <w:jc w:val="center"/>
              <w:rPr>
                <w:sz w:val="18"/>
                <w:szCs w:val="18"/>
              </w:rPr>
            </w:pPr>
            <w:r w:rsidRPr="001B4CA2">
              <w:rPr>
                <w:sz w:val="18"/>
                <w:szCs w:val="18"/>
              </w:rPr>
              <w:t>16</w:t>
            </w:r>
          </w:p>
        </w:tc>
        <w:tc>
          <w:tcPr>
            <w:tcW w:w="669" w:type="dxa"/>
            <w:tcBorders>
              <w:top w:val="nil"/>
              <w:left w:val="nil"/>
              <w:bottom w:val="single" w:sz="4" w:space="0" w:color="auto"/>
              <w:right w:val="single" w:sz="4" w:space="0" w:color="auto"/>
            </w:tcBorders>
            <w:shd w:val="clear" w:color="auto" w:fill="auto"/>
            <w:noWrap/>
            <w:vAlign w:val="center"/>
          </w:tcPr>
          <w:p w14:paraId="66568935" w14:textId="77777777" w:rsidR="00CF336B" w:rsidRPr="001B4CA2" w:rsidRDefault="00CF336B" w:rsidP="00A14600">
            <w:pPr>
              <w:jc w:val="center"/>
              <w:rPr>
                <w:sz w:val="18"/>
                <w:szCs w:val="18"/>
              </w:rPr>
            </w:pPr>
            <w:r w:rsidRPr="001B4CA2">
              <w:rPr>
                <w:sz w:val="18"/>
                <w:szCs w:val="18"/>
              </w:rPr>
              <w:t>36</w:t>
            </w:r>
          </w:p>
        </w:tc>
        <w:tc>
          <w:tcPr>
            <w:tcW w:w="717" w:type="dxa"/>
            <w:tcBorders>
              <w:top w:val="nil"/>
              <w:left w:val="nil"/>
              <w:bottom w:val="single" w:sz="4" w:space="0" w:color="auto"/>
              <w:right w:val="single" w:sz="4" w:space="0" w:color="auto"/>
            </w:tcBorders>
            <w:shd w:val="clear" w:color="auto" w:fill="auto"/>
            <w:vAlign w:val="center"/>
          </w:tcPr>
          <w:p w14:paraId="20DAB2DD" w14:textId="77777777" w:rsidR="00CF336B" w:rsidRPr="001B4CA2" w:rsidRDefault="00CF336B" w:rsidP="00A14600">
            <w:pPr>
              <w:jc w:val="center"/>
              <w:rPr>
                <w:sz w:val="18"/>
                <w:szCs w:val="18"/>
              </w:rPr>
            </w:pPr>
            <w:r w:rsidRPr="001B4CA2">
              <w:rPr>
                <w:sz w:val="18"/>
                <w:szCs w:val="18"/>
              </w:rPr>
              <w:t>130</w:t>
            </w:r>
          </w:p>
        </w:tc>
      </w:tr>
      <w:tr w:rsidR="00CF336B" w:rsidRPr="001B4CA2" w14:paraId="2049095C"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575954FC" w14:textId="77777777" w:rsidR="00CF336B" w:rsidRPr="001B4CA2" w:rsidRDefault="00CF336B" w:rsidP="00A14600">
            <w:pPr>
              <w:jc w:val="left"/>
              <w:rPr>
                <w:bCs/>
                <w:sz w:val="16"/>
                <w:szCs w:val="16"/>
                <w:lang w:eastAsia="hr-HR"/>
              </w:rPr>
            </w:pPr>
            <w:r w:rsidRPr="001B4CA2">
              <w:rPr>
                <w:bCs/>
                <w:sz w:val="16"/>
                <w:szCs w:val="16"/>
                <w:lang w:eastAsia="hr-HR"/>
              </w:rPr>
              <w:t xml:space="preserve">Ministarstvo pravosuđa i uprave </w:t>
            </w:r>
          </w:p>
        </w:tc>
        <w:tc>
          <w:tcPr>
            <w:tcW w:w="718" w:type="dxa"/>
            <w:tcBorders>
              <w:top w:val="nil"/>
              <w:left w:val="nil"/>
              <w:bottom w:val="single" w:sz="4" w:space="0" w:color="auto"/>
              <w:right w:val="single" w:sz="4" w:space="0" w:color="auto"/>
            </w:tcBorders>
            <w:shd w:val="clear" w:color="auto" w:fill="auto"/>
            <w:noWrap/>
            <w:vAlign w:val="center"/>
          </w:tcPr>
          <w:p w14:paraId="191E2A28" w14:textId="77777777" w:rsidR="00CF336B" w:rsidRPr="001B4CA2" w:rsidRDefault="00CF336B" w:rsidP="00A14600">
            <w:pPr>
              <w:jc w:val="center"/>
              <w:rPr>
                <w:sz w:val="18"/>
                <w:szCs w:val="18"/>
              </w:rPr>
            </w:pPr>
            <w:r w:rsidRPr="001B4CA2">
              <w:rPr>
                <w:sz w:val="18"/>
                <w:szCs w:val="18"/>
              </w:rPr>
              <w:t>30</w:t>
            </w:r>
          </w:p>
        </w:tc>
        <w:tc>
          <w:tcPr>
            <w:tcW w:w="719" w:type="dxa"/>
            <w:tcBorders>
              <w:top w:val="nil"/>
              <w:left w:val="nil"/>
              <w:bottom w:val="single" w:sz="4" w:space="0" w:color="auto"/>
              <w:right w:val="single" w:sz="4" w:space="0" w:color="auto"/>
            </w:tcBorders>
            <w:shd w:val="clear" w:color="auto" w:fill="auto"/>
            <w:noWrap/>
            <w:vAlign w:val="center"/>
          </w:tcPr>
          <w:p w14:paraId="354400F8" w14:textId="77777777" w:rsidR="00CF336B" w:rsidRPr="001B4CA2" w:rsidRDefault="00CF336B" w:rsidP="00A14600">
            <w:pPr>
              <w:jc w:val="center"/>
              <w:rPr>
                <w:sz w:val="18"/>
                <w:szCs w:val="18"/>
              </w:rPr>
            </w:pPr>
            <w:r w:rsidRPr="001B4CA2">
              <w:rPr>
                <w:sz w:val="18"/>
                <w:szCs w:val="18"/>
              </w:rPr>
              <w:t>4</w:t>
            </w:r>
          </w:p>
        </w:tc>
        <w:tc>
          <w:tcPr>
            <w:tcW w:w="719" w:type="dxa"/>
            <w:tcBorders>
              <w:top w:val="nil"/>
              <w:left w:val="nil"/>
              <w:bottom w:val="single" w:sz="4" w:space="0" w:color="auto"/>
              <w:right w:val="single" w:sz="4" w:space="0" w:color="auto"/>
            </w:tcBorders>
            <w:shd w:val="clear" w:color="auto" w:fill="auto"/>
            <w:noWrap/>
            <w:vAlign w:val="center"/>
          </w:tcPr>
          <w:p w14:paraId="0CE60C07" w14:textId="77777777" w:rsidR="00CF336B" w:rsidRPr="001B4CA2" w:rsidRDefault="00CF336B" w:rsidP="00A14600">
            <w:pPr>
              <w:jc w:val="center"/>
              <w:rPr>
                <w:sz w:val="18"/>
                <w:szCs w:val="18"/>
              </w:rPr>
            </w:pPr>
            <w:r w:rsidRPr="001B4CA2">
              <w:rPr>
                <w:sz w:val="18"/>
                <w:szCs w:val="18"/>
              </w:rPr>
              <w:t>14</w:t>
            </w:r>
          </w:p>
        </w:tc>
        <w:tc>
          <w:tcPr>
            <w:tcW w:w="719" w:type="dxa"/>
            <w:tcBorders>
              <w:top w:val="nil"/>
              <w:left w:val="nil"/>
              <w:bottom w:val="single" w:sz="4" w:space="0" w:color="auto"/>
              <w:right w:val="single" w:sz="4" w:space="0" w:color="auto"/>
            </w:tcBorders>
            <w:shd w:val="clear" w:color="auto" w:fill="auto"/>
            <w:noWrap/>
            <w:vAlign w:val="center"/>
          </w:tcPr>
          <w:p w14:paraId="70682B87" w14:textId="77777777" w:rsidR="00CF336B" w:rsidRPr="001B4CA2" w:rsidRDefault="00CF336B" w:rsidP="00A14600">
            <w:pPr>
              <w:jc w:val="center"/>
              <w:rPr>
                <w:sz w:val="18"/>
                <w:szCs w:val="18"/>
              </w:rPr>
            </w:pPr>
            <w:r w:rsidRPr="001B4CA2">
              <w:rPr>
                <w:sz w:val="18"/>
                <w:szCs w:val="18"/>
              </w:rPr>
              <w:t>18</w:t>
            </w:r>
          </w:p>
        </w:tc>
        <w:tc>
          <w:tcPr>
            <w:tcW w:w="718" w:type="dxa"/>
            <w:tcBorders>
              <w:top w:val="nil"/>
              <w:left w:val="nil"/>
              <w:bottom w:val="single" w:sz="4" w:space="0" w:color="auto"/>
              <w:right w:val="single" w:sz="4" w:space="0" w:color="auto"/>
            </w:tcBorders>
            <w:shd w:val="clear" w:color="auto" w:fill="auto"/>
            <w:noWrap/>
            <w:vAlign w:val="center"/>
          </w:tcPr>
          <w:p w14:paraId="675AC2B7" w14:textId="77777777" w:rsidR="00CF336B" w:rsidRPr="001B4CA2" w:rsidRDefault="00CF336B" w:rsidP="00A14600">
            <w:pPr>
              <w:jc w:val="center"/>
              <w:rPr>
                <w:sz w:val="18"/>
                <w:szCs w:val="18"/>
              </w:rPr>
            </w:pPr>
            <w:r w:rsidRPr="001B4CA2">
              <w:rPr>
                <w:sz w:val="18"/>
                <w:szCs w:val="18"/>
              </w:rPr>
              <w:t>7</w:t>
            </w:r>
          </w:p>
        </w:tc>
        <w:tc>
          <w:tcPr>
            <w:tcW w:w="719" w:type="dxa"/>
            <w:tcBorders>
              <w:top w:val="nil"/>
              <w:left w:val="nil"/>
              <w:bottom w:val="single" w:sz="4" w:space="0" w:color="auto"/>
              <w:right w:val="single" w:sz="4" w:space="0" w:color="auto"/>
            </w:tcBorders>
            <w:shd w:val="clear" w:color="auto" w:fill="auto"/>
            <w:noWrap/>
            <w:vAlign w:val="center"/>
          </w:tcPr>
          <w:p w14:paraId="1FECDD3E" w14:textId="77777777" w:rsidR="00CF336B" w:rsidRPr="001B4CA2" w:rsidRDefault="00CF336B" w:rsidP="00A14600">
            <w:pPr>
              <w:jc w:val="center"/>
              <w:rPr>
                <w:sz w:val="18"/>
                <w:szCs w:val="18"/>
              </w:rPr>
            </w:pPr>
            <w:r w:rsidRPr="001B4CA2">
              <w:rPr>
                <w:sz w:val="18"/>
                <w:szCs w:val="18"/>
              </w:rPr>
              <w:t>187</w:t>
            </w:r>
          </w:p>
        </w:tc>
        <w:tc>
          <w:tcPr>
            <w:tcW w:w="719" w:type="dxa"/>
            <w:tcBorders>
              <w:top w:val="nil"/>
              <w:left w:val="nil"/>
              <w:bottom w:val="single" w:sz="4" w:space="0" w:color="auto"/>
              <w:right w:val="single" w:sz="4" w:space="0" w:color="auto"/>
            </w:tcBorders>
            <w:shd w:val="clear" w:color="auto" w:fill="auto"/>
            <w:noWrap/>
            <w:vAlign w:val="center"/>
          </w:tcPr>
          <w:p w14:paraId="5CF0698A"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E0DC10E" w14:textId="77777777" w:rsidR="00CF336B" w:rsidRPr="001B4CA2" w:rsidRDefault="00CF336B" w:rsidP="00A14600">
            <w:pPr>
              <w:jc w:val="center"/>
              <w:rPr>
                <w:sz w:val="18"/>
                <w:szCs w:val="18"/>
              </w:rPr>
            </w:pPr>
            <w:r w:rsidRPr="001B4CA2">
              <w:rPr>
                <w:sz w:val="18"/>
                <w:szCs w:val="18"/>
              </w:rPr>
              <w:t>86</w:t>
            </w:r>
          </w:p>
        </w:tc>
        <w:tc>
          <w:tcPr>
            <w:tcW w:w="718" w:type="dxa"/>
            <w:tcBorders>
              <w:top w:val="nil"/>
              <w:left w:val="nil"/>
              <w:bottom w:val="single" w:sz="4" w:space="0" w:color="auto"/>
              <w:right w:val="single" w:sz="4" w:space="0" w:color="auto"/>
            </w:tcBorders>
            <w:shd w:val="clear" w:color="auto" w:fill="auto"/>
            <w:noWrap/>
            <w:vAlign w:val="center"/>
          </w:tcPr>
          <w:p w14:paraId="40B3FB78"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53C30C13"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7CB31ACD"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7E182BDF"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057FE88"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4ACC45E7"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19A285FD" w14:textId="77777777" w:rsidR="00CF336B" w:rsidRPr="001B4CA2" w:rsidRDefault="00CF336B" w:rsidP="00A14600">
            <w:pPr>
              <w:jc w:val="center"/>
              <w:rPr>
                <w:sz w:val="18"/>
                <w:szCs w:val="18"/>
              </w:rPr>
            </w:pPr>
            <w:r w:rsidRPr="001B4CA2">
              <w:rPr>
                <w:sz w:val="18"/>
                <w:szCs w:val="18"/>
              </w:rPr>
              <w:t>2</w:t>
            </w:r>
          </w:p>
        </w:tc>
        <w:tc>
          <w:tcPr>
            <w:tcW w:w="717" w:type="dxa"/>
            <w:tcBorders>
              <w:top w:val="nil"/>
              <w:left w:val="nil"/>
              <w:bottom w:val="single" w:sz="4" w:space="0" w:color="auto"/>
              <w:right w:val="single" w:sz="4" w:space="0" w:color="auto"/>
            </w:tcBorders>
            <w:shd w:val="clear" w:color="auto" w:fill="auto"/>
            <w:noWrap/>
            <w:vAlign w:val="center"/>
          </w:tcPr>
          <w:p w14:paraId="0AFAFF53" w14:textId="77777777" w:rsidR="00CF336B" w:rsidRPr="001B4CA2" w:rsidRDefault="00CF336B" w:rsidP="00A14600">
            <w:pPr>
              <w:jc w:val="center"/>
              <w:rPr>
                <w:sz w:val="18"/>
                <w:szCs w:val="18"/>
              </w:rPr>
            </w:pPr>
            <w:r w:rsidRPr="001B4CA2">
              <w:rPr>
                <w:sz w:val="18"/>
                <w:szCs w:val="18"/>
              </w:rPr>
              <w:t>23</w:t>
            </w:r>
          </w:p>
        </w:tc>
        <w:tc>
          <w:tcPr>
            <w:tcW w:w="669" w:type="dxa"/>
            <w:tcBorders>
              <w:top w:val="nil"/>
              <w:left w:val="nil"/>
              <w:bottom w:val="single" w:sz="4" w:space="0" w:color="auto"/>
              <w:right w:val="single" w:sz="4" w:space="0" w:color="auto"/>
            </w:tcBorders>
            <w:shd w:val="clear" w:color="auto" w:fill="auto"/>
            <w:noWrap/>
            <w:vAlign w:val="center"/>
          </w:tcPr>
          <w:p w14:paraId="5A21C068" w14:textId="77777777" w:rsidR="00CF336B" w:rsidRPr="001B4CA2" w:rsidRDefault="00CF336B" w:rsidP="00A14600">
            <w:pPr>
              <w:jc w:val="center"/>
              <w:rPr>
                <w:sz w:val="18"/>
                <w:szCs w:val="18"/>
              </w:rPr>
            </w:pPr>
            <w:r w:rsidRPr="001B4CA2">
              <w:rPr>
                <w:sz w:val="18"/>
                <w:szCs w:val="18"/>
              </w:rPr>
              <w:t>53</w:t>
            </w:r>
          </w:p>
        </w:tc>
        <w:tc>
          <w:tcPr>
            <w:tcW w:w="717" w:type="dxa"/>
            <w:tcBorders>
              <w:top w:val="nil"/>
              <w:left w:val="nil"/>
              <w:bottom w:val="single" w:sz="4" w:space="0" w:color="auto"/>
              <w:right w:val="single" w:sz="4" w:space="0" w:color="auto"/>
            </w:tcBorders>
            <w:shd w:val="clear" w:color="auto" w:fill="auto"/>
            <w:vAlign w:val="center"/>
          </w:tcPr>
          <w:p w14:paraId="5BDF4AE5" w14:textId="77777777" w:rsidR="00CF336B" w:rsidRPr="001B4CA2" w:rsidRDefault="00CF336B" w:rsidP="00A14600">
            <w:pPr>
              <w:jc w:val="center"/>
              <w:rPr>
                <w:sz w:val="18"/>
                <w:szCs w:val="18"/>
              </w:rPr>
            </w:pPr>
            <w:r w:rsidRPr="001B4CA2">
              <w:rPr>
                <w:sz w:val="18"/>
                <w:szCs w:val="18"/>
              </w:rPr>
              <w:t>318</w:t>
            </w:r>
          </w:p>
        </w:tc>
      </w:tr>
      <w:tr w:rsidR="00CF336B" w:rsidRPr="001B4CA2" w14:paraId="52E9BA54"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2CF8E3EB" w14:textId="77777777" w:rsidR="00CF336B" w:rsidRPr="001B4CA2" w:rsidRDefault="00CF336B" w:rsidP="00A14600">
            <w:pPr>
              <w:jc w:val="left"/>
              <w:rPr>
                <w:bCs/>
                <w:sz w:val="16"/>
                <w:szCs w:val="16"/>
                <w:lang w:eastAsia="hr-HR"/>
              </w:rPr>
            </w:pPr>
            <w:r w:rsidRPr="001B4CA2">
              <w:rPr>
                <w:bCs/>
                <w:sz w:val="16"/>
                <w:szCs w:val="16"/>
                <w:lang w:eastAsia="hr-HR"/>
              </w:rPr>
              <w:t>Ministarstvo zdravstva</w:t>
            </w:r>
          </w:p>
        </w:tc>
        <w:tc>
          <w:tcPr>
            <w:tcW w:w="718" w:type="dxa"/>
            <w:tcBorders>
              <w:top w:val="nil"/>
              <w:left w:val="nil"/>
              <w:bottom w:val="single" w:sz="4" w:space="0" w:color="auto"/>
              <w:right w:val="single" w:sz="4" w:space="0" w:color="auto"/>
            </w:tcBorders>
            <w:shd w:val="clear" w:color="auto" w:fill="auto"/>
            <w:noWrap/>
            <w:vAlign w:val="center"/>
          </w:tcPr>
          <w:p w14:paraId="634C6B83"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5C562D3"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06CF127"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6E6C16FE" w14:textId="77777777" w:rsidR="00CF336B" w:rsidRPr="001B4CA2" w:rsidRDefault="00CF336B" w:rsidP="00A14600">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43BB0676"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78F3A95E" w14:textId="77777777" w:rsidR="00CF336B" w:rsidRPr="001B4CA2" w:rsidRDefault="00CF336B" w:rsidP="00A14600">
            <w:pPr>
              <w:jc w:val="center"/>
              <w:rPr>
                <w:sz w:val="18"/>
                <w:szCs w:val="18"/>
              </w:rPr>
            </w:pPr>
            <w:r w:rsidRPr="001B4CA2">
              <w:rPr>
                <w:sz w:val="18"/>
                <w:szCs w:val="18"/>
              </w:rPr>
              <w:t>1</w:t>
            </w:r>
          </w:p>
        </w:tc>
        <w:tc>
          <w:tcPr>
            <w:tcW w:w="719" w:type="dxa"/>
            <w:tcBorders>
              <w:top w:val="nil"/>
              <w:left w:val="nil"/>
              <w:bottom w:val="single" w:sz="4" w:space="0" w:color="auto"/>
              <w:right w:val="single" w:sz="4" w:space="0" w:color="auto"/>
            </w:tcBorders>
            <w:shd w:val="clear" w:color="auto" w:fill="auto"/>
            <w:noWrap/>
            <w:vAlign w:val="center"/>
          </w:tcPr>
          <w:p w14:paraId="36B56672"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68280172" w14:textId="77777777" w:rsidR="00CF336B" w:rsidRPr="001B4CA2" w:rsidRDefault="00CF336B" w:rsidP="00A14600">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61CC710B"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7B198BC8"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E14813A"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13AE546E"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1E9C8F1"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20CE9C3F"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314CD66F"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6BCB26FB" w14:textId="77777777" w:rsidR="00CF336B" w:rsidRPr="001B4CA2" w:rsidRDefault="00CF336B" w:rsidP="00A14600">
            <w:pPr>
              <w:jc w:val="center"/>
              <w:rPr>
                <w:sz w:val="18"/>
                <w:szCs w:val="18"/>
              </w:rPr>
            </w:pPr>
          </w:p>
        </w:tc>
        <w:tc>
          <w:tcPr>
            <w:tcW w:w="669" w:type="dxa"/>
            <w:tcBorders>
              <w:top w:val="nil"/>
              <w:left w:val="nil"/>
              <w:bottom w:val="single" w:sz="4" w:space="0" w:color="auto"/>
              <w:right w:val="single" w:sz="4" w:space="0" w:color="auto"/>
            </w:tcBorders>
            <w:shd w:val="clear" w:color="auto" w:fill="auto"/>
            <w:noWrap/>
            <w:vAlign w:val="center"/>
          </w:tcPr>
          <w:p w14:paraId="6BA35009"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vAlign w:val="center"/>
          </w:tcPr>
          <w:p w14:paraId="734255FD" w14:textId="77777777" w:rsidR="00CF336B" w:rsidRPr="001B4CA2" w:rsidRDefault="00CF336B" w:rsidP="00A14600">
            <w:pPr>
              <w:jc w:val="center"/>
              <w:rPr>
                <w:sz w:val="18"/>
                <w:szCs w:val="18"/>
              </w:rPr>
            </w:pPr>
            <w:r w:rsidRPr="001B4CA2">
              <w:rPr>
                <w:sz w:val="18"/>
                <w:szCs w:val="18"/>
              </w:rPr>
              <w:t>1</w:t>
            </w:r>
          </w:p>
        </w:tc>
      </w:tr>
      <w:tr w:rsidR="00CF336B" w:rsidRPr="001B4CA2" w14:paraId="1E45C8DB"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6B9E0640" w14:textId="77777777" w:rsidR="00CF336B" w:rsidRPr="001B4CA2" w:rsidRDefault="00CF336B" w:rsidP="00A14600">
            <w:pPr>
              <w:jc w:val="left"/>
              <w:rPr>
                <w:bCs/>
                <w:sz w:val="16"/>
                <w:szCs w:val="16"/>
                <w:lang w:eastAsia="hr-HR"/>
              </w:rPr>
            </w:pPr>
            <w:r w:rsidRPr="001B4CA2">
              <w:rPr>
                <w:bCs/>
                <w:sz w:val="16"/>
                <w:szCs w:val="16"/>
                <w:lang w:eastAsia="hr-HR"/>
              </w:rPr>
              <w:t xml:space="preserve">Ministarstvo hrvatskih branitelja </w:t>
            </w:r>
          </w:p>
        </w:tc>
        <w:tc>
          <w:tcPr>
            <w:tcW w:w="718" w:type="dxa"/>
            <w:tcBorders>
              <w:top w:val="nil"/>
              <w:left w:val="nil"/>
              <w:bottom w:val="single" w:sz="4" w:space="0" w:color="auto"/>
              <w:right w:val="single" w:sz="4" w:space="0" w:color="auto"/>
            </w:tcBorders>
            <w:shd w:val="clear" w:color="auto" w:fill="auto"/>
            <w:noWrap/>
            <w:vAlign w:val="center"/>
          </w:tcPr>
          <w:p w14:paraId="2862A802" w14:textId="77777777" w:rsidR="00CF336B" w:rsidRPr="001B4CA2" w:rsidRDefault="00CF336B" w:rsidP="00A14600">
            <w:pPr>
              <w:jc w:val="center"/>
              <w:rPr>
                <w:sz w:val="18"/>
                <w:szCs w:val="18"/>
              </w:rPr>
            </w:pPr>
            <w:r w:rsidRPr="001B4CA2">
              <w:rPr>
                <w:sz w:val="18"/>
                <w:szCs w:val="18"/>
              </w:rPr>
              <w:t>6</w:t>
            </w:r>
          </w:p>
        </w:tc>
        <w:tc>
          <w:tcPr>
            <w:tcW w:w="719" w:type="dxa"/>
            <w:tcBorders>
              <w:top w:val="nil"/>
              <w:left w:val="nil"/>
              <w:bottom w:val="single" w:sz="4" w:space="0" w:color="auto"/>
              <w:right w:val="single" w:sz="4" w:space="0" w:color="auto"/>
            </w:tcBorders>
            <w:shd w:val="clear" w:color="auto" w:fill="auto"/>
            <w:noWrap/>
            <w:vAlign w:val="center"/>
          </w:tcPr>
          <w:p w14:paraId="6BD417C9"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42A169AA" w14:textId="77777777" w:rsidR="00CF336B" w:rsidRPr="001B4CA2" w:rsidRDefault="00CF336B" w:rsidP="00A14600">
            <w:pPr>
              <w:jc w:val="center"/>
              <w:rPr>
                <w:sz w:val="18"/>
                <w:szCs w:val="18"/>
              </w:rPr>
            </w:pPr>
            <w:r w:rsidRPr="001B4CA2">
              <w:rPr>
                <w:sz w:val="18"/>
                <w:szCs w:val="18"/>
              </w:rPr>
              <w:t>66</w:t>
            </w:r>
          </w:p>
        </w:tc>
        <w:tc>
          <w:tcPr>
            <w:tcW w:w="719" w:type="dxa"/>
            <w:tcBorders>
              <w:top w:val="nil"/>
              <w:left w:val="nil"/>
              <w:bottom w:val="single" w:sz="4" w:space="0" w:color="auto"/>
              <w:right w:val="single" w:sz="4" w:space="0" w:color="auto"/>
            </w:tcBorders>
            <w:shd w:val="clear" w:color="auto" w:fill="auto"/>
            <w:noWrap/>
            <w:vAlign w:val="center"/>
          </w:tcPr>
          <w:p w14:paraId="455F6B1C" w14:textId="77777777" w:rsidR="00CF336B" w:rsidRPr="001B4CA2" w:rsidRDefault="00CF336B" w:rsidP="00A14600">
            <w:pPr>
              <w:jc w:val="center"/>
              <w:rPr>
                <w:sz w:val="18"/>
                <w:szCs w:val="18"/>
              </w:rPr>
            </w:pPr>
            <w:r w:rsidRPr="001B4CA2">
              <w:rPr>
                <w:sz w:val="18"/>
                <w:szCs w:val="18"/>
              </w:rPr>
              <w:t>37</w:t>
            </w:r>
          </w:p>
        </w:tc>
        <w:tc>
          <w:tcPr>
            <w:tcW w:w="718" w:type="dxa"/>
            <w:tcBorders>
              <w:top w:val="nil"/>
              <w:left w:val="nil"/>
              <w:bottom w:val="single" w:sz="4" w:space="0" w:color="auto"/>
              <w:right w:val="single" w:sz="4" w:space="0" w:color="auto"/>
            </w:tcBorders>
            <w:shd w:val="clear" w:color="auto" w:fill="auto"/>
            <w:noWrap/>
            <w:vAlign w:val="center"/>
          </w:tcPr>
          <w:p w14:paraId="789CEE88" w14:textId="77777777" w:rsidR="00CF336B" w:rsidRPr="001B4CA2" w:rsidRDefault="00CF336B" w:rsidP="00A14600">
            <w:pPr>
              <w:jc w:val="center"/>
              <w:rPr>
                <w:sz w:val="18"/>
                <w:szCs w:val="18"/>
              </w:rPr>
            </w:pPr>
            <w:r w:rsidRPr="001B4CA2">
              <w:rPr>
                <w:sz w:val="18"/>
                <w:szCs w:val="18"/>
              </w:rPr>
              <w:t>21</w:t>
            </w:r>
          </w:p>
        </w:tc>
        <w:tc>
          <w:tcPr>
            <w:tcW w:w="719" w:type="dxa"/>
            <w:tcBorders>
              <w:top w:val="nil"/>
              <w:left w:val="nil"/>
              <w:bottom w:val="single" w:sz="4" w:space="0" w:color="auto"/>
              <w:right w:val="single" w:sz="4" w:space="0" w:color="auto"/>
            </w:tcBorders>
            <w:shd w:val="clear" w:color="auto" w:fill="auto"/>
            <w:noWrap/>
            <w:vAlign w:val="center"/>
          </w:tcPr>
          <w:p w14:paraId="3777BDAF" w14:textId="77777777" w:rsidR="00CF336B" w:rsidRPr="001B4CA2" w:rsidRDefault="00CF336B" w:rsidP="00A14600">
            <w:pPr>
              <w:jc w:val="center"/>
              <w:rPr>
                <w:sz w:val="18"/>
                <w:szCs w:val="18"/>
              </w:rPr>
            </w:pPr>
            <w:r w:rsidRPr="001B4CA2">
              <w:rPr>
                <w:sz w:val="18"/>
                <w:szCs w:val="18"/>
              </w:rPr>
              <w:t>3</w:t>
            </w:r>
          </w:p>
        </w:tc>
        <w:tc>
          <w:tcPr>
            <w:tcW w:w="719" w:type="dxa"/>
            <w:tcBorders>
              <w:top w:val="nil"/>
              <w:left w:val="nil"/>
              <w:bottom w:val="single" w:sz="4" w:space="0" w:color="auto"/>
              <w:right w:val="single" w:sz="4" w:space="0" w:color="auto"/>
            </w:tcBorders>
            <w:shd w:val="clear" w:color="auto" w:fill="auto"/>
            <w:noWrap/>
            <w:vAlign w:val="center"/>
          </w:tcPr>
          <w:p w14:paraId="07B4BA2B"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3B56C40F" w14:textId="77777777" w:rsidR="00CF336B" w:rsidRPr="001B4CA2" w:rsidRDefault="00CF336B" w:rsidP="00A14600">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0AAC5562"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0545397"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E178A2C"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381C63F2"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43309F7"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25121469"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41A5C527"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0F894E2D" w14:textId="77777777" w:rsidR="00CF336B" w:rsidRPr="001B4CA2" w:rsidRDefault="00CF336B" w:rsidP="00A14600">
            <w:pPr>
              <w:jc w:val="center"/>
              <w:rPr>
                <w:sz w:val="18"/>
                <w:szCs w:val="18"/>
              </w:rPr>
            </w:pPr>
            <w:r w:rsidRPr="001B4CA2">
              <w:rPr>
                <w:sz w:val="18"/>
                <w:szCs w:val="18"/>
              </w:rPr>
              <w:t>2</w:t>
            </w:r>
          </w:p>
        </w:tc>
        <w:tc>
          <w:tcPr>
            <w:tcW w:w="669" w:type="dxa"/>
            <w:tcBorders>
              <w:top w:val="nil"/>
              <w:left w:val="nil"/>
              <w:bottom w:val="single" w:sz="4" w:space="0" w:color="auto"/>
              <w:right w:val="single" w:sz="4" w:space="0" w:color="auto"/>
            </w:tcBorders>
            <w:shd w:val="clear" w:color="auto" w:fill="auto"/>
            <w:noWrap/>
            <w:vAlign w:val="center"/>
          </w:tcPr>
          <w:p w14:paraId="2188C222" w14:textId="77777777" w:rsidR="00CF336B" w:rsidRPr="001B4CA2" w:rsidRDefault="00CF336B" w:rsidP="00A14600">
            <w:pPr>
              <w:jc w:val="center"/>
              <w:rPr>
                <w:sz w:val="18"/>
                <w:szCs w:val="18"/>
              </w:rPr>
            </w:pPr>
            <w:r w:rsidRPr="001B4CA2">
              <w:rPr>
                <w:sz w:val="18"/>
                <w:szCs w:val="18"/>
              </w:rPr>
              <w:t>93</w:t>
            </w:r>
          </w:p>
        </w:tc>
        <w:tc>
          <w:tcPr>
            <w:tcW w:w="717" w:type="dxa"/>
            <w:tcBorders>
              <w:top w:val="nil"/>
              <w:left w:val="nil"/>
              <w:bottom w:val="single" w:sz="4" w:space="0" w:color="auto"/>
              <w:right w:val="single" w:sz="4" w:space="0" w:color="auto"/>
            </w:tcBorders>
            <w:shd w:val="clear" w:color="auto" w:fill="auto"/>
            <w:vAlign w:val="center"/>
          </w:tcPr>
          <w:p w14:paraId="168C4528" w14:textId="77777777" w:rsidR="00CF336B" w:rsidRPr="001B4CA2" w:rsidRDefault="00CF336B" w:rsidP="00A14600">
            <w:pPr>
              <w:jc w:val="center"/>
              <w:rPr>
                <w:sz w:val="18"/>
                <w:szCs w:val="18"/>
              </w:rPr>
            </w:pPr>
            <w:r w:rsidRPr="001B4CA2">
              <w:rPr>
                <w:sz w:val="18"/>
                <w:szCs w:val="18"/>
              </w:rPr>
              <w:t>42</w:t>
            </w:r>
          </w:p>
        </w:tc>
      </w:tr>
      <w:tr w:rsidR="00CF336B" w:rsidRPr="001B4CA2" w14:paraId="26288408"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76372B4F" w14:textId="77777777" w:rsidR="00CF336B" w:rsidRPr="001B4CA2" w:rsidRDefault="00CF336B" w:rsidP="00A14600">
            <w:pPr>
              <w:jc w:val="left"/>
              <w:rPr>
                <w:bCs/>
                <w:sz w:val="16"/>
                <w:szCs w:val="16"/>
                <w:lang w:eastAsia="hr-HR"/>
              </w:rPr>
            </w:pPr>
            <w:r w:rsidRPr="001B4CA2">
              <w:rPr>
                <w:bCs/>
                <w:sz w:val="16"/>
                <w:szCs w:val="16"/>
                <w:lang w:eastAsia="hr-HR"/>
              </w:rPr>
              <w:t>Ministarstvo regionalnog razvoja i fondova EU</w:t>
            </w:r>
          </w:p>
        </w:tc>
        <w:tc>
          <w:tcPr>
            <w:tcW w:w="718" w:type="dxa"/>
            <w:tcBorders>
              <w:top w:val="nil"/>
              <w:left w:val="nil"/>
              <w:bottom w:val="single" w:sz="4" w:space="0" w:color="auto"/>
              <w:right w:val="single" w:sz="4" w:space="0" w:color="auto"/>
            </w:tcBorders>
            <w:shd w:val="clear" w:color="auto" w:fill="auto"/>
            <w:noWrap/>
            <w:vAlign w:val="center"/>
          </w:tcPr>
          <w:p w14:paraId="3D8566EB"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41CA0A88"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7F02CFFB"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29F1C273" w14:textId="77777777" w:rsidR="00CF336B" w:rsidRPr="001B4CA2" w:rsidRDefault="00CF336B" w:rsidP="00A14600">
            <w:pPr>
              <w:jc w:val="center"/>
              <w:rPr>
                <w:sz w:val="18"/>
                <w:szCs w:val="18"/>
              </w:rPr>
            </w:pPr>
            <w:r w:rsidRPr="001B4CA2">
              <w:rPr>
                <w:sz w:val="18"/>
                <w:szCs w:val="18"/>
              </w:rPr>
              <w:t>1</w:t>
            </w:r>
          </w:p>
        </w:tc>
        <w:tc>
          <w:tcPr>
            <w:tcW w:w="718" w:type="dxa"/>
            <w:tcBorders>
              <w:top w:val="nil"/>
              <w:left w:val="nil"/>
              <w:bottom w:val="single" w:sz="4" w:space="0" w:color="auto"/>
              <w:right w:val="single" w:sz="4" w:space="0" w:color="auto"/>
            </w:tcBorders>
            <w:shd w:val="clear" w:color="auto" w:fill="auto"/>
            <w:noWrap/>
            <w:vAlign w:val="center"/>
          </w:tcPr>
          <w:p w14:paraId="3ABD8FC4"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54131D1"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120C9B7"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61E71A17" w14:textId="77777777" w:rsidR="00CF336B" w:rsidRPr="001B4CA2" w:rsidRDefault="00CF336B" w:rsidP="00A14600">
            <w:pPr>
              <w:jc w:val="center"/>
              <w:rPr>
                <w:sz w:val="18"/>
                <w:szCs w:val="18"/>
              </w:rPr>
            </w:pPr>
            <w:r w:rsidRPr="001B4CA2">
              <w:rPr>
                <w:sz w:val="18"/>
                <w:szCs w:val="18"/>
              </w:rPr>
              <w:t>2</w:t>
            </w:r>
          </w:p>
        </w:tc>
        <w:tc>
          <w:tcPr>
            <w:tcW w:w="718" w:type="dxa"/>
            <w:tcBorders>
              <w:top w:val="nil"/>
              <w:left w:val="nil"/>
              <w:bottom w:val="single" w:sz="4" w:space="0" w:color="auto"/>
              <w:right w:val="single" w:sz="4" w:space="0" w:color="auto"/>
            </w:tcBorders>
            <w:shd w:val="clear" w:color="auto" w:fill="auto"/>
            <w:noWrap/>
            <w:vAlign w:val="center"/>
          </w:tcPr>
          <w:p w14:paraId="79E0CF6D"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4082838E"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69FDBB45"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46063A5B"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7F98B4C"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3B61E56F"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35ABB2DC"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16F96C1B" w14:textId="77777777" w:rsidR="00CF336B" w:rsidRPr="001B4CA2" w:rsidRDefault="00CF336B" w:rsidP="00A14600">
            <w:pPr>
              <w:jc w:val="center"/>
              <w:rPr>
                <w:sz w:val="18"/>
                <w:szCs w:val="18"/>
              </w:rPr>
            </w:pPr>
          </w:p>
        </w:tc>
        <w:tc>
          <w:tcPr>
            <w:tcW w:w="669" w:type="dxa"/>
            <w:tcBorders>
              <w:top w:val="nil"/>
              <w:left w:val="nil"/>
              <w:bottom w:val="single" w:sz="4" w:space="0" w:color="auto"/>
              <w:right w:val="single" w:sz="4" w:space="0" w:color="auto"/>
            </w:tcBorders>
            <w:shd w:val="clear" w:color="auto" w:fill="auto"/>
            <w:noWrap/>
            <w:vAlign w:val="center"/>
          </w:tcPr>
          <w:p w14:paraId="79B4F48A"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vAlign w:val="center"/>
          </w:tcPr>
          <w:p w14:paraId="2E163CD5" w14:textId="77777777" w:rsidR="00CF336B" w:rsidRPr="001B4CA2" w:rsidRDefault="00CF336B" w:rsidP="00A14600">
            <w:pPr>
              <w:jc w:val="center"/>
              <w:rPr>
                <w:sz w:val="18"/>
                <w:szCs w:val="18"/>
              </w:rPr>
            </w:pPr>
            <w:r w:rsidRPr="001B4CA2">
              <w:rPr>
                <w:sz w:val="18"/>
                <w:szCs w:val="18"/>
              </w:rPr>
              <w:t>3</w:t>
            </w:r>
          </w:p>
        </w:tc>
      </w:tr>
      <w:tr w:rsidR="00CF336B" w:rsidRPr="001B4CA2" w14:paraId="165361F3"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vAlign w:val="center"/>
            <w:hideMark/>
          </w:tcPr>
          <w:p w14:paraId="7B5DF9C6" w14:textId="77777777" w:rsidR="00CF336B" w:rsidRPr="001B4CA2" w:rsidRDefault="00CF336B" w:rsidP="00A14600">
            <w:pPr>
              <w:jc w:val="left"/>
              <w:rPr>
                <w:bCs/>
                <w:sz w:val="16"/>
                <w:szCs w:val="16"/>
                <w:lang w:eastAsia="hr-HR"/>
              </w:rPr>
            </w:pPr>
            <w:r w:rsidRPr="001B4CA2">
              <w:rPr>
                <w:bCs/>
                <w:sz w:val="16"/>
                <w:szCs w:val="16"/>
                <w:lang w:eastAsia="hr-HR"/>
              </w:rPr>
              <w:t>Ministarstvo prostornoga uređenja, graditeljstva i državne imovine</w:t>
            </w:r>
          </w:p>
        </w:tc>
        <w:tc>
          <w:tcPr>
            <w:tcW w:w="718" w:type="dxa"/>
            <w:tcBorders>
              <w:top w:val="nil"/>
              <w:left w:val="nil"/>
              <w:bottom w:val="single" w:sz="4" w:space="0" w:color="auto"/>
              <w:right w:val="single" w:sz="4" w:space="0" w:color="auto"/>
            </w:tcBorders>
            <w:shd w:val="clear" w:color="auto" w:fill="auto"/>
            <w:noWrap/>
            <w:vAlign w:val="center"/>
          </w:tcPr>
          <w:p w14:paraId="5F441D16" w14:textId="77777777" w:rsidR="00CF336B" w:rsidRPr="001B4CA2" w:rsidRDefault="00CF336B" w:rsidP="00A14600">
            <w:pPr>
              <w:jc w:val="center"/>
              <w:rPr>
                <w:sz w:val="18"/>
                <w:szCs w:val="18"/>
              </w:rPr>
            </w:pPr>
            <w:r w:rsidRPr="001B4CA2">
              <w:rPr>
                <w:sz w:val="18"/>
                <w:szCs w:val="18"/>
              </w:rPr>
              <w:t>63</w:t>
            </w:r>
          </w:p>
        </w:tc>
        <w:tc>
          <w:tcPr>
            <w:tcW w:w="719" w:type="dxa"/>
            <w:tcBorders>
              <w:top w:val="nil"/>
              <w:left w:val="nil"/>
              <w:bottom w:val="single" w:sz="4" w:space="0" w:color="auto"/>
              <w:right w:val="single" w:sz="4" w:space="0" w:color="auto"/>
            </w:tcBorders>
            <w:shd w:val="clear" w:color="auto" w:fill="auto"/>
            <w:noWrap/>
            <w:vAlign w:val="center"/>
          </w:tcPr>
          <w:p w14:paraId="531CAE15" w14:textId="77777777" w:rsidR="00CF336B" w:rsidRPr="001B4CA2" w:rsidRDefault="00CF336B" w:rsidP="00A14600">
            <w:pPr>
              <w:jc w:val="center"/>
              <w:rPr>
                <w:sz w:val="18"/>
                <w:szCs w:val="18"/>
              </w:rPr>
            </w:pPr>
            <w:r w:rsidRPr="001B4CA2">
              <w:rPr>
                <w:sz w:val="18"/>
                <w:szCs w:val="18"/>
              </w:rPr>
              <w:t>759</w:t>
            </w:r>
          </w:p>
        </w:tc>
        <w:tc>
          <w:tcPr>
            <w:tcW w:w="719" w:type="dxa"/>
            <w:tcBorders>
              <w:top w:val="nil"/>
              <w:left w:val="nil"/>
              <w:bottom w:val="single" w:sz="4" w:space="0" w:color="auto"/>
              <w:right w:val="single" w:sz="4" w:space="0" w:color="auto"/>
            </w:tcBorders>
            <w:shd w:val="clear" w:color="auto" w:fill="auto"/>
            <w:vAlign w:val="center"/>
          </w:tcPr>
          <w:p w14:paraId="0E4F3459" w14:textId="77777777" w:rsidR="00CF336B" w:rsidRPr="001B4CA2" w:rsidRDefault="00CF336B" w:rsidP="00A14600">
            <w:pPr>
              <w:jc w:val="center"/>
              <w:rPr>
                <w:sz w:val="18"/>
                <w:szCs w:val="18"/>
              </w:rPr>
            </w:pPr>
            <w:r w:rsidRPr="001B4CA2">
              <w:rPr>
                <w:sz w:val="18"/>
                <w:szCs w:val="18"/>
              </w:rPr>
              <w:t>117</w:t>
            </w:r>
          </w:p>
        </w:tc>
        <w:tc>
          <w:tcPr>
            <w:tcW w:w="719" w:type="dxa"/>
            <w:tcBorders>
              <w:top w:val="nil"/>
              <w:left w:val="nil"/>
              <w:bottom w:val="single" w:sz="4" w:space="0" w:color="auto"/>
              <w:right w:val="single" w:sz="4" w:space="0" w:color="auto"/>
            </w:tcBorders>
            <w:shd w:val="clear" w:color="auto" w:fill="auto"/>
            <w:noWrap/>
            <w:vAlign w:val="center"/>
          </w:tcPr>
          <w:p w14:paraId="0F97F035" w14:textId="77777777" w:rsidR="00CF336B" w:rsidRPr="001B4CA2" w:rsidRDefault="00CF336B" w:rsidP="00A14600">
            <w:pPr>
              <w:jc w:val="center"/>
              <w:rPr>
                <w:sz w:val="18"/>
                <w:szCs w:val="18"/>
              </w:rPr>
            </w:pPr>
            <w:r w:rsidRPr="001B4CA2">
              <w:rPr>
                <w:sz w:val="18"/>
                <w:szCs w:val="18"/>
              </w:rPr>
              <w:t>131</w:t>
            </w:r>
          </w:p>
        </w:tc>
        <w:tc>
          <w:tcPr>
            <w:tcW w:w="718" w:type="dxa"/>
            <w:tcBorders>
              <w:top w:val="nil"/>
              <w:left w:val="nil"/>
              <w:bottom w:val="single" w:sz="4" w:space="0" w:color="auto"/>
              <w:right w:val="single" w:sz="4" w:space="0" w:color="auto"/>
            </w:tcBorders>
            <w:shd w:val="clear" w:color="auto" w:fill="auto"/>
            <w:noWrap/>
            <w:vAlign w:val="center"/>
          </w:tcPr>
          <w:p w14:paraId="52E6EBBB" w14:textId="77777777" w:rsidR="00CF336B" w:rsidRPr="001B4CA2" w:rsidRDefault="00CF336B" w:rsidP="00A14600">
            <w:pPr>
              <w:jc w:val="center"/>
              <w:rPr>
                <w:sz w:val="18"/>
                <w:szCs w:val="18"/>
              </w:rPr>
            </w:pPr>
            <w:r w:rsidRPr="001B4CA2">
              <w:rPr>
                <w:sz w:val="18"/>
                <w:szCs w:val="18"/>
              </w:rPr>
              <w:t>2</w:t>
            </w:r>
          </w:p>
        </w:tc>
        <w:tc>
          <w:tcPr>
            <w:tcW w:w="719" w:type="dxa"/>
            <w:tcBorders>
              <w:top w:val="nil"/>
              <w:left w:val="nil"/>
              <w:bottom w:val="single" w:sz="4" w:space="0" w:color="auto"/>
              <w:right w:val="single" w:sz="4" w:space="0" w:color="auto"/>
            </w:tcBorders>
            <w:shd w:val="clear" w:color="auto" w:fill="auto"/>
            <w:noWrap/>
            <w:vAlign w:val="center"/>
          </w:tcPr>
          <w:p w14:paraId="7FEE53E6" w14:textId="77777777" w:rsidR="00CF336B" w:rsidRPr="001B4CA2" w:rsidRDefault="00CF336B" w:rsidP="00A14600">
            <w:pPr>
              <w:jc w:val="center"/>
              <w:rPr>
                <w:sz w:val="18"/>
                <w:szCs w:val="18"/>
              </w:rPr>
            </w:pPr>
            <w:r w:rsidRPr="001B4CA2">
              <w:rPr>
                <w:sz w:val="18"/>
                <w:szCs w:val="18"/>
              </w:rPr>
              <w:t>145</w:t>
            </w:r>
          </w:p>
        </w:tc>
        <w:tc>
          <w:tcPr>
            <w:tcW w:w="719" w:type="dxa"/>
            <w:tcBorders>
              <w:top w:val="nil"/>
              <w:left w:val="nil"/>
              <w:bottom w:val="single" w:sz="4" w:space="0" w:color="auto"/>
              <w:right w:val="single" w:sz="4" w:space="0" w:color="auto"/>
            </w:tcBorders>
            <w:shd w:val="clear" w:color="auto" w:fill="auto"/>
            <w:noWrap/>
            <w:vAlign w:val="center"/>
          </w:tcPr>
          <w:p w14:paraId="75159F21" w14:textId="77777777" w:rsidR="00CF336B" w:rsidRPr="001B4CA2" w:rsidRDefault="00CF336B" w:rsidP="00A14600">
            <w:pPr>
              <w:jc w:val="center"/>
              <w:rPr>
                <w:sz w:val="18"/>
                <w:szCs w:val="18"/>
              </w:rPr>
            </w:pPr>
            <w:r w:rsidRPr="001B4CA2">
              <w:rPr>
                <w:sz w:val="18"/>
                <w:szCs w:val="18"/>
              </w:rPr>
              <w:t>1</w:t>
            </w:r>
          </w:p>
        </w:tc>
        <w:tc>
          <w:tcPr>
            <w:tcW w:w="719" w:type="dxa"/>
            <w:tcBorders>
              <w:top w:val="nil"/>
              <w:left w:val="nil"/>
              <w:bottom w:val="single" w:sz="4" w:space="0" w:color="auto"/>
              <w:right w:val="single" w:sz="4" w:space="0" w:color="auto"/>
            </w:tcBorders>
            <w:shd w:val="clear" w:color="auto" w:fill="auto"/>
            <w:noWrap/>
            <w:vAlign w:val="center"/>
          </w:tcPr>
          <w:p w14:paraId="5986A980" w14:textId="77777777" w:rsidR="00CF336B" w:rsidRPr="001B4CA2" w:rsidRDefault="00CF336B" w:rsidP="00A14600">
            <w:pPr>
              <w:jc w:val="center"/>
              <w:rPr>
                <w:sz w:val="18"/>
                <w:szCs w:val="18"/>
              </w:rPr>
            </w:pPr>
            <w:r w:rsidRPr="001B4CA2">
              <w:rPr>
                <w:sz w:val="18"/>
                <w:szCs w:val="18"/>
              </w:rPr>
              <w:t>2</w:t>
            </w:r>
          </w:p>
        </w:tc>
        <w:tc>
          <w:tcPr>
            <w:tcW w:w="718" w:type="dxa"/>
            <w:tcBorders>
              <w:top w:val="nil"/>
              <w:left w:val="nil"/>
              <w:bottom w:val="single" w:sz="4" w:space="0" w:color="auto"/>
              <w:right w:val="single" w:sz="4" w:space="0" w:color="auto"/>
            </w:tcBorders>
            <w:shd w:val="clear" w:color="auto" w:fill="auto"/>
            <w:noWrap/>
            <w:vAlign w:val="center"/>
          </w:tcPr>
          <w:p w14:paraId="1E217EBA"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6075647"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628597D1" w14:textId="77777777" w:rsidR="00CF336B" w:rsidRPr="001B4CA2" w:rsidRDefault="00CF336B" w:rsidP="00A14600">
            <w:pPr>
              <w:jc w:val="center"/>
              <w:rPr>
                <w:sz w:val="18"/>
                <w:szCs w:val="18"/>
              </w:rPr>
            </w:pPr>
            <w:r w:rsidRPr="001B4CA2">
              <w:rPr>
                <w:sz w:val="18"/>
                <w:szCs w:val="18"/>
              </w:rPr>
              <w:t>3</w:t>
            </w:r>
          </w:p>
        </w:tc>
        <w:tc>
          <w:tcPr>
            <w:tcW w:w="720" w:type="dxa"/>
            <w:tcBorders>
              <w:top w:val="nil"/>
              <w:left w:val="nil"/>
              <w:bottom w:val="single" w:sz="4" w:space="0" w:color="auto"/>
              <w:right w:val="single" w:sz="4" w:space="0" w:color="auto"/>
            </w:tcBorders>
            <w:shd w:val="clear" w:color="auto" w:fill="auto"/>
            <w:noWrap/>
            <w:vAlign w:val="center"/>
          </w:tcPr>
          <w:p w14:paraId="3A1E0558"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2CBFC155"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5368B4D7"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72EE8993" w14:textId="77777777" w:rsidR="00CF336B" w:rsidRPr="001B4CA2" w:rsidRDefault="00CF336B" w:rsidP="00A14600">
            <w:pPr>
              <w:jc w:val="center"/>
              <w:rPr>
                <w:sz w:val="18"/>
                <w:szCs w:val="18"/>
              </w:rPr>
            </w:pPr>
            <w:r w:rsidRPr="001B4CA2">
              <w:rPr>
                <w:sz w:val="18"/>
                <w:szCs w:val="18"/>
              </w:rPr>
              <w:t>1</w:t>
            </w:r>
          </w:p>
        </w:tc>
        <w:tc>
          <w:tcPr>
            <w:tcW w:w="717" w:type="dxa"/>
            <w:tcBorders>
              <w:top w:val="nil"/>
              <w:left w:val="nil"/>
              <w:bottom w:val="single" w:sz="4" w:space="0" w:color="auto"/>
              <w:right w:val="single" w:sz="4" w:space="0" w:color="auto"/>
            </w:tcBorders>
            <w:shd w:val="clear" w:color="auto" w:fill="auto"/>
            <w:noWrap/>
            <w:vAlign w:val="center"/>
          </w:tcPr>
          <w:p w14:paraId="4420B4B4" w14:textId="77777777" w:rsidR="00CF336B" w:rsidRPr="001B4CA2" w:rsidRDefault="00CF336B" w:rsidP="00A14600">
            <w:pPr>
              <w:jc w:val="center"/>
              <w:rPr>
                <w:sz w:val="18"/>
                <w:szCs w:val="18"/>
              </w:rPr>
            </w:pPr>
            <w:r w:rsidRPr="001B4CA2">
              <w:rPr>
                <w:sz w:val="18"/>
                <w:szCs w:val="18"/>
              </w:rPr>
              <w:t>21</w:t>
            </w:r>
          </w:p>
        </w:tc>
        <w:tc>
          <w:tcPr>
            <w:tcW w:w="669" w:type="dxa"/>
            <w:tcBorders>
              <w:top w:val="nil"/>
              <w:left w:val="nil"/>
              <w:bottom w:val="single" w:sz="4" w:space="0" w:color="auto"/>
              <w:right w:val="single" w:sz="4" w:space="0" w:color="auto"/>
            </w:tcBorders>
            <w:shd w:val="clear" w:color="auto" w:fill="auto"/>
            <w:noWrap/>
            <w:vAlign w:val="center"/>
          </w:tcPr>
          <w:p w14:paraId="35C1313D" w14:textId="77777777" w:rsidR="00CF336B" w:rsidRPr="001B4CA2" w:rsidRDefault="00CF336B" w:rsidP="00A14600">
            <w:pPr>
              <w:jc w:val="center"/>
              <w:rPr>
                <w:sz w:val="18"/>
                <w:szCs w:val="18"/>
              </w:rPr>
            </w:pPr>
            <w:r w:rsidRPr="001B4CA2">
              <w:rPr>
                <w:sz w:val="18"/>
                <w:szCs w:val="18"/>
              </w:rPr>
              <w:t>187</w:t>
            </w:r>
          </w:p>
        </w:tc>
        <w:tc>
          <w:tcPr>
            <w:tcW w:w="717" w:type="dxa"/>
            <w:tcBorders>
              <w:top w:val="nil"/>
              <w:left w:val="nil"/>
              <w:bottom w:val="single" w:sz="4" w:space="0" w:color="auto"/>
              <w:right w:val="single" w:sz="4" w:space="0" w:color="auto"/>
            </w:tcBorders>
            <w:shd w:val="clear" w:color="auto" w:fill="auto"/>
            <w:vAlign w:val="center"/>
          </w:tcPr>
          <w:p w14:paraId="4F8AAE73" w14:textId="77777777" w:rsidR="00CF336B" w:rsidRPr="001B4CA2" w:rsidRDefault="00CF336B" w:rsidP="00A14600">
            <w:pPr>
              <w:jc w:val="center"/>
              <w:rPr>
                <w:sz w:val="18"/>
                <w:szCs w:val="18"/>
              </w:rPr>
            </w:pPr>
            <w:r w:rsidRPr="001B4CA2">
              <w:rPr>
                <w:sz w:val="18"/>
                <w:szCs w:val="18"/>
              </w:rPr>
              <w:t>1058</w:t>
            </w:r>
          </w:p>
        </w:tc>
      </w:tr>
      <w:tr w:rsidR="00CF336B" w:rsidRPr="001B4CA2" w14:paraId="571A7086"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17E15789" w14:textId="77777777" w:rsidR="00CF336B" w:rsidRPr="001B4CA2" w:rsidRDefault="00CF336B" w:rsidP="00A14600">
            <w:pPr>
              <w:jc w:val="left"/>
              <w:rPr>
                <w:bCs/>
                <w:sz w:val="16"/>
                <w:szCs w:val="16"/>
                <w:lang w:eastAsia="hr-HR"/>
              </w:rPr>
            </w:pPr>
            <w:r w:rsidRPr="001B4CA2">
              <w:rPr>
                <w:bCs/>
                <w:sz w:val="16"/>
                <w:szCs w:val="16"/>
                <w:lang w:eastAsia="hr-HR"/>
              </w:rPr>
              <w:t xml:space="preserve">Ministarstvo unutarnjih poslova </w:t>
            </w:r>
          </w:p>
        </w:tc>
        <w:tc>
          <w:tcPr>
            <w:tcW w:w="718" w:type="dxa"/>
            <w:tcBorders>
              <w:top w:val="nil"/>
              <w:left w:val="nil"/>
              <w:bottom w:val="single" w:sz="4" w:space="0" w:color="auto"/>
              <w:right w:val="single" w:sz="4" w:space="0" w:color="auto"/>
            </w:tcBorders>
            <w:shd w:val="clear" w:color="auto" w:fill="auto"/>
            <w:noWrap/>
            <w:vAlign w:val="center"/>
          </w:tcPr>
          <w:p w14:paraId="3AE7D559" w14:textId="77777777" w:rsidR="00CF336B" w:rsidRPr="001B4CA2" w:rsidRDefault="00CF336B" w:rsidP="00A14600">
            <w:pPr>
              <w:jc w:val="center"/>
              <w:rPr>
                <w:sz w:val="18"/>
                <w:szCs w:val="18"/>
              </w:rPr>
            </w:pPr>
            <w:r w:rsidRPr="001B4CA2">
              <w:rPr>
                <w:sz w:val="18"/>
                <w:szCs w:val="18"/>
              </w:rPr>
              <w:t>3</w:t>
            </w:r>
          </w:p>
        </w:tc>
        <w:tc>
          <w:tcPr>
            <w:tcW w:w="719" w:type="dxa"/>
            <w:tcBorders>
              <w:top w:val="nil"/>
              <w:left w:val="nil"/>
              <w:bottom w:val="single" w:sz="4" w:space="0" w:color="auto"/>
              <w:right w:val="single" w:sz="4" w:space="0" w:color="auto"/>
            </w:tcBorders>
            <w:shd w:val="clear" w:color="auto" w:fill="auto"/>
            <w:noWrap/>
            <w:vAlign w:val="center"/>
          </w:tcPr>
          <w:p w14:paraId="6AF0821C" w14:textId="77777777" w:rsidR="00CF336B" w:rsidRPr="001B4CA2" w:rsidRDefault="00CF336B" w:rsidP="00A14600">
            <w:pPr>
              <w:jc w:val="center"/>
              <w:rPr>
                <w:sz w:val="18"/>
                <w:szCs w:val="18"/>
              </w:rPr>
            </w:pPr>
            <w:r w:rsidRPr="001B4CA2">
              <w:rPr>
                <w:sz w:val="18"/>
                <w:szCs w:val="18"/>
              </w:rPr>
              <w:t>1</w:t>
            </w:r>
          </w:p>
        </w:tc>
        <w:tc>
          <w:tcPr>
            <w:tcW w:w="719" w:type="dxa"/>
            <w:tcBorders>
              <w:top w:val="nil"/>
              <w:left w:val="nil"/>
              <w:bottom w:val="single" w:sz="4" w:space="0" w:color="auto"/>
              <w:right w:val="single" w:sz="4" w:space="0" w:color="auto"/>
            </w:tcBorders>
            <w:shd w:val="clear" w:color="auto" w:fill="auto"/>
            <w:noWrap/>
            <w:vAlign w:val="center"/>
          </w:tcPr>
          <w:p w14:paraId="27BC50A7" w14:textId="77777777" w:rsidR="00CF336B" w:rsidRPr="001B4CA2" w:rsidRDefault="00CF336B" w:rsidP="00A14600">
            <w:pPr>
              <w:jc w:val="center"/>
              <w:rPr>
                <w:sz w:val="18"/>
                <w:szCs w:val="18"/>
              </w:rPr>
            </w:pPr>
            <w:r w:rsidRPr="001B4CA2">
              <w:rPr>
                <w:sz w:val="18"/>
                <w:szCs w:val="18"/>
              </w:rPr>
              <w:t>38</w:t>
            </w:r>
          </w:p>
        </w:tc>
        <w:tc>
          <w:tcPr>
            <w:tcW w:w="719" w:type="dxa"/>
            <w:tcBorders>
              <w:top w:val="nil"/>
              <w:left w:val="nil"/>
              <w:bottom w:val="single" w:sz="4" w:space="0" w:color="auto"/>
              <w:right w:val="single" w:sz="4" w:space="0" w:color="auto"/>
            </w:tcBorders>
            <w:shd w:val="clear" w:color="auto" w:fill="auto"/>
            <w:noWrap/>
            <w:vAlign w:val="center"/>
          </w:tcPr>
          <w:p w14:paraId="7E6EE078" w14:textId="77777777" w:rsidR="00CF336B" w:rsidRPr="001B4CA2" w:rsidRDefault="00CF336B" w:rsidP="00A14600">
            <w:pPr>
              <w:jc w:val="center"/>
              <w:rPr>
                <w:sz w:val="18"/>
                <w:szCs w:val="18"/>
              </w:rPr>
            </w:pPr>
            <w:r w:rsidRPr="001B4CA2">
              <w:rPr>
                <w:sz w:val="18"/>
                <w:szCs w:val="18"/>
              </w:rPr>
              <w:t>15</w:t>
            </w:r>
          </w:p>
        </w:tc>
        <w:tc>
          <w:tcPr>
            <w:tcW w:w="718" w:type="dxa"/>
            <w:tcBorders>
              <w:top w:val="nil"/>
              <w:left w:val="nil"/>
              <w:bottom w:val="single" w:sz="4" w:space="0" w:color="auto"/>
              <w:right w:val="single" w:sz="4" w:space="0" w:color="auto"/>
            </w:tcBorders>
            <w:shd w:val="clear" w:color="auto" w:fill="auto"/>
            <w:noWrap/>
            <w:vAlign w:val="center"/>
          </w:tcPr>
          <w:p w14:paraId="7EA65892" w14:textId="77777777" w:rsidR="00CF336B" w:rsidRPr="001B4CA2" w:rsidRDefault="00CF336B" w:rsidP="00A14600">
            <w:pPr>
              <w:jc w:val="center"/>
              <w:rPr>
                <w:sz w:val="18"/>
                <w:szCs w:val="18"/>
              </w:rPr>
            </w:pPr>
            <w:r w:rsidRPr="001B4CA2">
              <w:rPr>
                <w:sz w:val="18"/>
                <w:szCs w:val="18"/>
              </w:rPr>
              <w:t>15</w:t>
            </w:r>
          </w:p>
        </w:tc>
        <w:tc>
          <w:tcPr>
            <w:tcW w:w="719" w:type="dxa"/>
            <w:tcBorders>
              <w:top w:val="nil"/>
              <w:left w:val="nil"/>
              <w:bottom w:val="single" w:sz="4" w:space="0" w:color="auto"/>
              <w:right w:val="single" w:sz="4" w:space="0" w:color="auto"/>
            </w:tcBorders>
            <w:shd w:val="clear" w:color="auto" w:fill="auto"/>
            <w:noWrap/>
            <w:vAlign w:val="center"/>
          </w:tcPr>
          <w:p w14:paraId="4EA0D857" w14:textId="77777777" w:rsidR="00CF336B" w:rsidRPr="001B4CA2" w:rsidRDefault="00CF336B" w:rsidP="00A14600">
            <w:pPr>
              <w:jc w:val="center"/>
              <w:rPr>
                <w:sz w:val="18"/>
                <w:szCs w:val="18"/>
              </w:rPr>
            </w:pPr>
            <w:r w:rsidRPr="001B4CA2">
              <w:rPr>
                <w:sz w:val="18"/>
                <w:szCs w:val="18"/>
              </w:rPr>
              <w:t>43</w:t>
            </w:r>
          </w:p>
        </w:tc>
        <w:tc>
          <w:tcPr>
            <w:tcW w:w="719" w:type="dxa"/>
            <w:tcBorders>
              <w:top w:val="nil"/>
              <w:left w:val="nil"/>
              <w:bottom w:val="single" w:sz="4" w:space="0" w:color="auto"/>
              <w:right w:val="single" w:sz="4" w:space="0" w:color="auto"/>
            </w:tcBorders>
            <w:shd w:val="clear" w:color="auto" w:fill="auto"/>
            <w:noWrap/>
            <w:vAlign w:val="center"/>
          </w:tcPr>
          <w:p w14:paraId="0B9872D3" w14:textId="77777777" w:rsidR="00CF336B" w:rsidRPr="001B4CA2" w:rsidRDefault="00CF336B" w:rsidP="00A14600">
            <w:pPr>
              <w:jc w:val="center"/>
              <w:rPr>
                <w:sz w:val="18"/>
                <w:szCs w:val="18"/>
              </w:rPr>
            </w:pPr>
            <w:r w:rsidRPr="001B4CA2">
              <w:rPr>
                <w:sz w:val="18"/>
                <w:szCs w:val="18"/>
              </w:rPr>
              <w:t>1</w:t>
            </w:r>
          </w:p>
        </w:tc>
        <w:tc>
          <w:tcPr>
            <w:tcW w:w="719" w:type="dxa"/>
            <w:tcBorders>
              <w:top w:val="nil"/>
              <w:left w:val="nil"/>
              <w:bottom w:val="single" w:sz="4" w:space="0" w:color="auto"/>
              <w:right w:val="single" w:sz="4" w:space="0" w:color="auto"/>
            </w:tcBorders>
            <w:shd w:val="clear" w:color="auto" w:fill="auto"/>
            <w:noWrap/>
            <w:vAlign w:val="center"/>
          </w:tcPr>
          <w:p w14:paraId="7279CDBC" w14:textId="77777777" w:rsidR="00CF336B" w:rsidRPr="001B4CA2" w:rsidRDefault="00CF336B" w:rsidP="00A14600">
            <w:pPr>
              <w:jc w:val="center"/>
              <w:rPr>
                <w:sz w:val="18"/>
                <w:szCs w:val="18"/>
              </w:rPr>
            </w:pPr>
            <w:r w:rsidRPr="001B4CA2">
              <w:rPr>
                <w:sz w:val="18"/>
                <w:szCs w:val="18"/>
              </w:rPr>
              <w:t>326</w:t>
            </w:r>
          </w:p>
        </w:tc>
        <w:tc>
          <w:tcPr>
            <w:tcW w:w="718" w:type="dxa"/>
            <w:tcBorders>
              <w:top w:val="nil"/>
              <w:left w:val="nil"/>
              <w:bottom w:val="single" w:sz="4" w:space="0" w:color="auto"/>
              <w:right w:val="single" w:sz="4" w:space="0" w:color="auto"/>
            </w:tcBorders>
            <w:shd w:val="clear" w:color="auto" w:fill="auto"/>
            <w:noWrap/>
            <w:vAlign w:val="center"/>
          </w:tcPr>
          <w:p w14:paraId="45D69145"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538FD42A"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4FCB2FC4"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40F44A3E"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6D116C5"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4E637322"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5844CB06" w14:textId="77777777" w:rsidR="00CF336B" w:rsidRPr="001B4CA2" w:rsidRDefault="00CF336B" w:rsidP="00A14600">
            <w:pPr>
              <w:jc w:val="center"/>
              <w:rPr>
                <w:sz w:val="18"/>
                <w:szCs w:val="18"/>
              </w:rPr>
            </w:pPr>
            <w:r w:rsidRPr="001B4CA2">
              <w:rPr>
                <w:sz w:val="18"/>
                <w:szCs w:val="18"/>
              </w:rPr>
              <w:t>1</w:t>
            </w:r>
          </w:p>
        </w:tc>
        <w:tc>
          <w:tcPr>
            <w:tcW w:w="717" w:type="dxa"/>
            <w:tcBorders>
              <w:top w:val="nil"/>
              <w:left w:val="nil"/>
              <w:bottom w:val="single" w:sz="4" w:space="0" w:color="auto"/>
              <w:right w:val="single" w:sz="4" w:space="0" w:color="auto"/>
            </w:tcBorders>
            <w:shd w:val="clear" w:color="auto" w:fill="auto"/>
            <w:noWrap/>
            <w:vAlign w:val="center"/>
          </w:tcPr>
          <w:p w14:paraId="622D7FB1" w14:textId="77777777" w:rsidR="00CF336B" w:rsidRPr="001B4CA2" w:rsidRDefault="00CF336B" w:rsidP="00A14600">
            <w:pPr>
              <w:jc w:val="center"/>
              <w:rPr>
                <w:sz w:val="18"/>
                <w:szCs w:val="18"/>
              </w:rPr>
            </w:pPr>
            <w:r w:rsidRPr="001B4CA2">
              <w:rPr>
                <w:sz w:val="18"/>
                <w:szCs w:val="18"/>
              </w:rPr>
              <w:t>1</w:t>
            </w:r>
          </w:p>
        </w:tc>
        <w:tc>
          <w:tcPr>
            <w:tcW w:w="669" w:type="dxa"/>
            <w:tcBorders>
              <w:top w:val="nil"/>
              <w:left w:val="nil"/>
              <w:bottom w:val="single" w:sz="4" w:space="0" w:color="auto"/>
              <w:right w:val="single" w:sz="4" w:space="0" w:color="auto"/>
            </w:tcBorders>
            <w:shd w:val="clear" w:color="auto" w:fill="auto"/>
            <w:noWrap/>
            <w:vAlign w:val="center"/>
          </w:tcPr>
          <w:p w14:paraId="06889354" w14:textId="77777777" w:rsidR="00CF336B" w:rsidRPr="001B4CA2" w:rsidRDefault="00CF336B" w:rsidP="00A14600">
            <w:pPr>
              <w:jc w:val="center"/>
              <w:rPr>
                <w:sz w:val="18"/>
                <w:szCs w:val="18"/>
              </w:rPr>
            </w:pPr>
            <w:r w:rsidRPr="001B4CA2">
              <w:rPr>
                <w:sz w:val="18"/>
                <w:szCs w:val="18"/>
              </w:rPr>
              <w:t>58</w:t>
            </w:r>
          </w:p>
        </w:tc>
        <w:tc>
          <w:tcPr>
            <w:tcW w:w="717" w:type="dxa"/>
            <w:tcBorders>
              <w:top w:val="nil"/>
              <w:left w:val="nil"/>
              <w:bottom w:val="single" w:sz="4" w:space="0" w:color="auto"/>
              <w:right w:val="single" w:sz="4" w:space="0" w:color="auto"/>
            </w:tcBorders>
            <w:shd w:val="clear" w:color="auto" w:fill="auto"/>
            <w:vAlign w:val="center"/>
          </w:tcPr>
          <w:p w14:paraId="4088B1D1" w14:textId="77777777" w:rsidR="00CF336B" w:rsidRPr="001B4CA2" w:rsidRDefault="00CF336B" w:rsidP="00A14600">
            <w:pPr>
              <w:jc w:val="center"/>
              <w:rPr>
                <w:sz w:val="18"/>
                <w:szCs w:val="18"/>
              </w:rPr>
            </w:pPr>
            <w:r w:rsidRPr="001B4CA2">
              <w:rPr>
                <w:sz w:val="18"/>
                <w:szCs w:val="18"/>
              </w:rPr>
              <w:t>386</w:t>
            </w:r>
          </w:p>
        </w:tc>
      </w:tr>
      <w:tr w:rsidR="00CF336B" w:rsidRPr="001B4CA2" w14:paraId="38C14481"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vAlign w:val="center"/>
            <w:hideMark/>
          </w:tcPr>
          <w:p w14:paraId="2C5B971A" w14:textId="77777777" w:rsidR="00CF336B" w:rsidRPr="001B4CA2" w:rsidRDefault="00CF336B" w:rsidP="00A14600">
            <w:pPr>
              <w:jc w:val="left"/>
              <w:rPr>
                <w:bCs/>
                <w:sz w:val="16"/>
                <w:szCs w:val="16"/>
                <w:lang w:eastAsia="hr-HR"/>
              </w:rPr>
            </w:pPr>
            <w:r w:rsidRPr="001B4CA2">
              <w:rPr>
                <w:bCs/>
                <w:sz w:val="16"/>
                <w:szCs w:val="16"/>
                <w:lang w:eastAsia="hr-HR"/>
              </w:rPr>
              <w:t>Ministarstvo rada, mirovinskoga sustava, obitelji i socijalne politike</w:t>
            </w:r>
          </w:p>
        </w:tc>
        <w:tc>
          <w:tcPr>
            <w:tcW w:w="718" w:type="dxa"/>
            <w:tcBorders>
              <w:top w:val="nil"/>
              <w:left w:val="nil"/>
              <w:bottom w:val="single" w:sz="4" w:space="0" w:color="auto"/>
              <w:right w:val="single" w:sz="4" w:space="0" w:color="auto"/>
            </w:tcBorders>
            <w:shd w:val="clear" w:color="auto" w:fill="auto"/>
            <w:noWrap/>
            <w:vAlign w:val="center"/>
          </w:tcPr>
          <w:p w14:paraId="50C092CA" w14:textId="77777777" w:rsidR="00CF336B" w:rsidRPr="001B4CA2" w:rsidRDefault="00CF336B" w:rsidP="00A14600">
            <w:pPr>
              <w:jc w:val="center"/>
              <w:rPr>
                <w:sz w:val="18"/>
                <w:szCs w:val="18"/>
              </w:rPr>
            </w:pPr>
            <w:r w:rsidRPr="001B4CA2">
              <w:rPr>
                <w:sz w:val="18"/>
                <w:szCs w:val="18"/>
              </w:rPr>
              <w:t>2</w:t>
            </w:r>
          </w:p>
        </w:tc>
        <w:tc>
          <w:tcPr>
            <w:tcW w:w="719" w:type="dxa"/>
            <w:tcBorders>
              <w:top w:val="nil"/>
              <w:left w:val="nil"/>
              <w:bottom w:val="single" w:sz="4" w:space="0" w:color="auto"/>
              <w:right w:val="single" w:sz="4" w:space="0" w:color="auto"/>
            </w:tcBorders>
            <w:shd w:val="clear" w:color="auto" w:fill="auto"/>
            <w:noWrap/>
            <w:vAlign w:val="center"/>
          </w:tcPr>
          <w:p w14:paraId="06CC4121" w14:textId="77777777" w:rsidR="00CF336B" w:rsidRPr="001B4CA2" w:rsidRDefault="00CF336B" w:rsidP="00A14600">
            <w:pPr>
              <w:jc w:val="center"/>
              <w:rPr>
                <w:sz w:val="18"/>
                <w:szCs w:val="18"/>
              </w:rPr>
            </w:pPr>
            <w:r w:rsidRPr="001B4CA2">
              <w:rPr>
                <w:sz w:val="18"/>
                <w:szCs w:val="18"/>
              </w:rPr>
              <w:t>1</w:t>
            </w:r>
          </w:p>
        </w:tc>
        <w:tc>
          <w:tcPr>
            <w:tcW w:w="719" w:type="dxa"/>
            <w:tcBorders>
              <w:top w:val="nil"/>
              <w:left w:val="nil"/>
              <w:bottom w:val="single" w:sz="4" w:space="0" w:color="auto"/>
              <w:right w:val="single" w:sz="4" w:space="0" w:color="auto"/>
            </w:tcBorders>
            <w:shd w:val="clear" w:color="auto" w:fill="auto"/>
            <w:noWrap/>
            <w:vAlign w:val="center"/>
          </w:tcPr>
          <w:p w14:paraId="64EB381F" w14:textId="77777777" w:rsidR="00CF336B" w:rsidRPr="001B4CA2" w:rsidRDefault="00CF336B" w:rsidP="00A14600">
            <w:pPr>
              <w:jc w:val="center"/>
              <w:rPr>
                <w:sz w:val="18"/>
                <w:szCs w:val="18"/>
              </w:rPr>
            </w:pPr>
            <w:r w:rsidRPr="001B4CA2">
              <w:rPr>
                <w:sz w:val="18"/>
                <w:szCs w:val="18"/>
              </w:rPr>
              <w:t>29</w:t>
            </w:r>
          </w:p>
        </w:tc>
        <w:tc>
          <w:tcPr>
            <w:tcW w:w="719" w:type="dxa"/>
            <w:tcBorders>
              <w:top w:val="nil"/>
              <w:left w:val="nil"/>
              <w:bottom w:val="single" w:sz="4" w:space="0" w:color="auto"/>
              <w:right w:val="single" w:sz="4" w:space="0" w:color="auto"/>
            </w:tcBorders>
            <w:shd w:val="clear" w:color="auto" w:fill="auto"/>
            <w:noWrap/>
            <w:vAlign w:val="center"/>
          </w:tcPr>
          <w:p w14:paraId="2ED4F2C0" w14:textId="77777777" w:rsidR="00CF336B" w:rsidRPr="001B4CA2" w:rsidRDefault="00CF336B" w:rsidP="00A14600">
            <w:pPr>
              <w:jc w:val="center"/>
              <w:rPr>
                <w:sz w:val="18"/>
                <w:szCs w:val="18"/>
              </w:rPr>
            </w:pPr>
            <w:r w:rsidRPr="001B4CA2">
              <w:rPr>
                <w:sz w:val="18"/>
                <w:szCs w:val="18"/>
              </w:rPr>
              <w:t>14</w:t>
            </w:r>
          </w:p>
        </w:tc>
        <w:tc>
          <w:tcPr>
            <w:tcW w:w="718" w:type="dxa"/>
            <w:tcBorders>
              <w:top w:val="nil"/>
              <w:left w:val="nil"/>
              <w:bottom w:val="single" w:sz="4" w:space="0" w:color="auto"/>
              <w:right w:val="single" w:sz="4" w:space="0" w:color="auto"/>
            </w:tcBorders>
            <w:shd w:val="clear" w:color="auto" w:fill="auto"/>
            <w:noWrap/>
            <w:vAlign w:val="center"/>
          </w:tcPr>
          <w:p w14:paraId="3A718266" w14:textId="77777777" w:rsidR="00CF336B" w:rsidRPr="001B4CA2" w:rsidRDefault="00CF336B" w:rsidP="00A14600">
            <w:pPr>
              <w:jc w:val="center"/>
              <w:rPr>
                <w:sz w:val="18"/>
                <w:szCs w:val="18"/>
              </w:rPr>
            </w:pPr>
            <w:r w:rsidRPr="001B4CA2">
              <w:rPr>
                <w:sz w:val="18"/>
                <w:szCs w:val="18"/>
              </w:rPr>
              <w:t>129</w:t>
            </w:r>
          </w:p>
        </w:tc>
        <w:tc>
          <w:tcPr>
            <w:tcW w:w="719" w:type="dxa"/>
            <w:tcBorders>
              <w:top w:val="nil"/>
              <w:left w:val="nil"/>
              <w:bottom w:val="single" w:sz="4" w:space="0" w:color="auto"/>
              <w:right w:val="single" w:sz="4" w:space="0" w:color="auto"/>
            </w:tcBorders>
            <w:shd w:val="clear" w:color="auto" w:fill="auto"/>
            <w:noWrap/>
            <w:vAlign w:val="center"/>
          </w:tcPr>
          <w:p w14:paraId="2FA443F2" w14:textId="77777777" w:rsidR="00CF336B" w:rsidRPr="001B4CA2" w:rsidRDefault="00CF336B" w:rsidP="00A14600">
            <w:pPr>
              <w:jc w:val="center"/>
              <w:rPr>
                <w:sz w:val="18"/>
                <w:szCs w:val="18"/>
              </w:rPr>
            </w:pPr>
            <w:r w:rsidRPr="001B4CA2">
              <w:rPr>
                <w:sz w:val="18"/>
                <w:szCs w:val="18"/>
              </w:rPr>
              <w:t>8</w:t>
            </w:r>
          </w:p>
        </w:tc>
        <w:tc>
          <w:tcPr>
            <w:tcW w:w="719" w:type="dxa"/>
            <w:tcBorders>
              <w:top w:val="nil"/>
              <w:left w:val="nil"/>
              <w:bottom w:val="single" w:sz="4" w:space="0" w:color="auto"/>
              <w:right w:val="single" w:sz="4" w:space="0" w:color="auto"/>
            </w:tcBorders>
            <w:shd w:val="clear" w:color="auto" w:fill="auto"/>
            <w:noWrap/>
            <w:vAlign w:val="center"/>
          </w:tcPr>
          <w:p w14:paraId="4BCF59EE"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6CB9D015" w14:textId="77777777" w:rsidR="00CF336B" w:rsidRPr="001B4CA2" w:rsidRDefault="00CF336B" w:rsidP="00A14600">
            <w:pPr>
              <w:jc w:val="center"/>
              <w:rPr>
                <w:sz w:val="18"/>
                <w:szCs w:val="18"/>
              </w:rPr>
            </w:pPr>
            <w:r w:rsidRPr="001B4CA2">
              <w:rPr>
                <w:sz w:val="18"/>
                <w:szCs w:val="18"/>
              </w:rPr>
              <w:t>1</w:t>
            </w:r>
          </w:p>
        </w:tc>
        <w:tc>
          <w:tcPr>
            <w:tcW w:w="718" w:type="dxa"/>
            <w:tcBorders>
              <w:top w:val="nil"/>
              <w:left w:val="nil"/>
              <w:bottom w:val="single" w:sz="4" w:space="0" w:color="auto"/>
              <w:right w:val="single" w:sz="4" w:space="0" w:color="auto"/>
            </w:tcBorders>
            <w:shd w:val="clear" w:color="auto" w:fill="auto"/>
            <w:noWrap/>
            <w:vAlign w:val="center"/>
          </w:tcPr>
          <w:p w14:paraId="2F70A08E"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ECC22DC"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4861F909"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719BA110"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A7ED7FF"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6F315522"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529BF129"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437F9CD1" w14:textId="77777777" w:rsidR="00CF336B" w:rsidRPr="001B4CA2" w:rsidRDefault="00CF336B" w:rsidP="00A14600">
            <w:pPr>
              <w:jc w:val="center"/>
              <w:rPr>
                <w:sz w:val="18"/>
                <w:szCs w:val="18"/>
              </w:rPr>
            </w:pPr>
            <w:r w:rsidRPr="001B4CA2">
              <w:rPr>
                <w:sz w:val="18"/>
                <w:szCs w:val="18"/>
              </w:rPr>
              <w:t>3</w:t>
            </w:r>
          </w:p>
        </w:tc>
        <w:tc>
          <w:tcPr>
            <w:tcW w:w="669" w:type="dxa"/>
            <w:tcBorders>
              <w:top w:val="nil"/>
              <w:left w:val="nil"/>
              <w:bottom w:val="single" w:sz="4" w:space="0" w:color="auto"/>
              <w:right w:val="single" w:sz="4" w:space="0" w:color="auto"/>
            </w:tcBorders>
            <w:shd w:val="clear" w:color="auto" w:fill="auto"/>
            <w:noWrap/>
            <w:vAlign w:val="center"/>
          </w:tcPr>
          <w:p w14:paraId="11AFDF7C" w14:textId="77777777" w:rsidR="00CF336B" w:rsidRPr="001B4CA2" w:rsidRDefault="00CF336B" w:rsidP="00A14600">
            <w:pPr>
              <w:jc w:val="center"/>
              <w:rPr>
                <w:sz w:val="18"/>
                <w:szCs w:val="18"/>
              </w:rPr>
            </w:pPr>
            <w:r w:rsidRPr="001B4CA2">
              <w:rPr>
                <w:sz w:val="18"/>
                <w:szCs w:val="18"/>
              </w:rPr>
              <w:t>160</w:t>
            </w:r>
          </w:p>
        </w:tc>
        <w:tc>
          <w:tcPr>
            <w:tcW w:w="717" w:type="dxa"/>
            <w:tcBorders>
              <w:top w:val="nil"/>
              <w:left w:val="nil"/>
              <w:bottom w:val="single" w:sz="4" w:space="0" w:color="auto"/>
              <w:right w:val="single" w:sz="4" w:space="0" w:color="auto"/>
            </w:tcBorders>
            <w:shd w:val="clear" w:color="auto" w:fill="auto"/>
            <w:vAlign w:val="center"/>
          </w:tcPr>
          <w:p w14:paraId="231D5E8E" w14:textId="77777777" w:rsidR="00CF336B" w:rsidRPr="001B4CA2" w:rsidRDefault="00CF336B" w:rsidP="00A14600">
            <w:pPr>
              <w:jc w:val="center"/>
              <w:rPr>
                <w:sz w:val="18"/>
                <w:szCs w:val="18"/>
              </w:rPr>
            </w:pPr>
            <w:r w:rsidRPr="001B4CA2">
              <w:rPr>
                <w:sz w:val="18"/>
                <w:szCs w:val="18"/>
              </w:rPr>
              <w:t>27</w:t>
            </w:r>
          </w:p>
        </w:tc>
      </w:tr>
      <w:tr w:rsidR="00CF336B" w:rsidRPr="001B4CA2" w14:paraId="167D0795"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696DD750" w14:textId="77777777" w:rsidR="00CF336B" w:rsidRPr="001B4CA2" w:rsidRDefault="00CF336B" w:rsidP="00A14600">
            <w:pPr>
              <w:jc w:val="left"/>
              <w:rPr>
                <w:bCs/>
                <w:sz w:val="16"/>
                <w:szCs w:val="16"/>
                <w:lang w:eastAsia="hr-HR"/>
              </w:rPr>
            </w:pPr>
            <w:r w:rsidRPr="001B4CA2">
              <w:rPr>
                <w:bCs/>
                <w:sz w:val="16"/>
                <w:szCs w:val="16"/>
                <w:lang w:eastAsia="hr-HR"/>
              </w:rPr>
              <w:t xml:space="preserve">Ministarstvo financija </w:t>
            </w:r>
          </w:p>
        </w:tc>
        <w:tc>
          <w:tcPr>
            <w:tcW w:w="718" w:type="dxa"/>
            <w:tcBorders>
              <w:top w:val="nil"/>
              <w:left w:val="nil"/>
              <w:bottom w:val="single" w:sz="4" w:space="0" w:color="auto"/>
              <w:right w:val="single" w:sz="4" w:space="0" w:color="auto"/>
            </w:tcBorders>
            <w:shd w:val="clear" w:color="auto" w:fill="auto"/>
            <w:noWrap/>
            <w:vAlign w:val="center"/>
          </w:tcPr>
          <w:p w14:paraId="35E9F8B9"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6BF790D2" w14:textId="77777777" w:rsidR="00CF336B" w:rsidRPr="001B4CA2" w:rsidRDefault="00CF336B" w:rsidP="00A14600">
            <w:pPr>
              <w:jc w:val="center"/>
              <w:rPr>
                <w:sz w:val="18"/>
                <w:szCs w:val="18"/>
              </w:rPr>
            </w:pPr>
            <w:r w:rsidRPr="001B4CA2">
              <w:rPr>
                <w:sz w:val="18"/>
                <w:szCs w:val="18"/>
              </w:rPr>
              <w:t>12</w:t>
            </w:r>
          </w:p>
        </w:tc>
        <w:tc>
          <w:tcPr>
            <w:tcW w:w="719" w:type="dxa"/>
            <w:tcBorders>
              <w:top w:val="nil"/>
              <w:left w:val="nil"/>
              <w:bottom w:val="single" w:sz="4" w:space="0" w:color="auto"/>
              <w:right w:val="single" w:sz="4" w:space="0" w:color="auto"/>
            </w:tcBorders>
            <w:shd w:val="clear" w:color="auto" w:fill="auto"/>
            <w:noWrap/>
            <w:vAlign w:val="center"/>
          </w:tcPr>
          <w:p w14:paraId="137BAA4C" w14:textId="77777777" w:rsidR="00CF336B" w:rsidRPr="001B4CA2" w:rsidRDefault="00CF336B" w:rsidP="00A14600">
            <w:pPr>
              <w:jc w:val="center"/>
              <w:rPr>
                <w:sz w:val="18"/>
                <w:szCs w:val="18"/>
              </w:rPr>
            </w:pPr>
            <w:r w:rsidRPr="001B4CA2">
              <w:rPr>
                <w:sz w:val="18"/>
                <w:szCs w:val="18"/>
              </w:rPr>
              <w:t>44</w:t>
            </w:r>
          </w:p>
        </w:tc>
        <w:tc>
          <w:tcPr>
            <w:tcW w:w="719" w:type="dxa"/>
            <w:tcBorders>
              <w:top w:val="nil"/>
              <w:left w:val="nil"/>
              <w:bottom w:val="single" w:sz="4" w:space="0" w:color="auto"/>
              <w:right w:val="single" w:sz="4" w:space="0" w:color="auto"/>
            </w:tcBorders>
            <w:shd w:val="clear" w:color="auto" w:fill="auto"/>
            <w:noWrap/>
            <w:vAlign w:val="center"/>
          </w:tcPr>
          <w:p w14:paraId="0A40EF91" w14:textId="77777777" w:rsidR="00CF336B" w:rsidRPr="001B4CA2" w:rsidRDefault="00CF336B" w:rsidP="00A14600">
            <w:pPr>
              <w:jc w:val="center"/>
              <w:rPr>
                <w:sz w:val="18"/>
                <w:szCs w:val="18"/>
              </w:rPr>
            </w:pPr>
            <w:r w:rsidRPr="001B4CA2">
              <w:rPr>
                <w:sz w:val="18"/>
                <w:szCs w:val="18"/>
              </w:rPr>
              <w:t>39</w:t>
            </w:r>
          </w:p>
        </w:tc>
        <w:tc>
          <w:tcPr>
            <w:tcW w:w="718" w:type="dxa"/>
            <w:tcBorders>
              <w:top w:val="nil"/>
              <w:left w:val="nil"/>
              <w:bottom w:val="single" w:sz="4" w:space="0" w:color="auto"/>
              <w:right w:val="single" w:sz="4" w:space="0" w:color="auto"/>
            </w:tcBorders>
            <w:shd w:val="clear" w:color="auto" w:fill="auto"/>
            <w:noWrap/>
            <w:vAlign w:val="center"/>
          </w:tcPr>
          <w:p w14:paraId="78334BDD" w14:textId="77777777" w:rsidR="00CF336B" w:rsidRPr="001B4CA2" w:rsidRDefault="00CF336B" w:rsidP="00A14600">
            <w:pPr>
              <w:jc w:val="center"/>
              <w:rPr>
                <w:sz w:val="18"/>
                <w:szCs w:val="18"/>
              </w:rPr>
            </w:pPr>
            <w:r w:rsidRPr="001B4CA2">
              <w:rPr>
                <w:sz w:val="18"/>
                <w:szCs w:val="18"/>
              </w:rPr>
              <w:t>7</w:t>
            </w:r>
          </w:p>
        </w:tc>
        <w:tc>
          <w:tcPr>
            <w:tcW w:w="719" w:type="dxa"/>
            <w:tcBorders>
              <w:top w:val="nil"/>
              <w:left w:val="nil"/>
              <w:bottom w:val="single" w:sz="4" w:space="0" w:color="auto"/>
              <w:right w:val="single" w:sz="4" w:space="0" w:color="auto"/>
            </w:tcBorders>
            <w:shd w:val="clear" w:color="auto" w:fill="auto"/>
            <w:noWrap/>
            <w:vAlign w:val="center"/>
          </w:tcPr>
          <w:p w14:paraId="62F25458" w14:textId="77777777" w:rsidR="00CF336B" w:rsidRPr="001B4CA2" w:rsidRDefault="00CF336B" w:rsidP="00A14600">
            <w:pPr>
              <w:jc w:val="center"/>
              <w:rPr>
                <w:sz w:val="18"/>
                <w:szCs w:val="18"/>
              </w:rPr>
            </w:pPr>
            <w:r w:rsidRPr="001B4CA2">
              <w:rPr>
                <w:sz w:val="18"/>
                <w:szCs w:val="18"/>
              </w:rPr>
              <w:t>6</w:t>
            </w:r>
          </w:p>
        </w:tc>
        <w:tc>
          <w:tcPr>
            <w:tcW w:w="719" w:type="dxa"/>
            <w:tcBorders>
              <w:top w:val="nil"/>
              <w:left w:val="nil"/>
              <w:bottom w:val="single" w:sz="4" w:space="0" w:color="auto"/>
              <w:right w:val="single" w:sz="4" w:space="0" w:color="auto"/>
            </w:tcBorders>
            <w:shd w:val="clear" w:color="auto" w:fill="auto"/>
            <w:noWrap/>
            <w:vAlign w:val="center"/>
          </w:tcPr>
          <w:p w14:paraId="059AA5F0"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8DCA63B" w14:textId="77777777" w:rsidR="00CF336B" w:rsidRPr="001B4CA2" w:rsidRDefault="00CF336B" w:rsidP="00A14600">
            <w:pPr>
              <w:jc w:val="center"/>
              <w:rPr>
                <w:sz w:val="18"/>
                <w:szCs w:val="18"/>
              </w:rPr>
            </w:pPr>
            <w:r w:rsidRPr="001B4CA2">
              <w:rPr>
                <w:sz w:val="18"/>
                <w:szCs w:val="18"/>
              </w:rPr>
              <w:t>24</w:t>
            </w:r>
          </w:p>
        </w:tc>
        <w:tc>
          <w:tcPr>
            <w:tcW w:w="718" w:type="dxa"/>
            <w:tcBorders>
              <w:top w:val="nil"/>
              <w:left w:val="nil"/>
              <w:bottom w:val="single" w:sz="4" w:space="0" w:color="auto"/>
              <w:right w:val="single" w:sz="4" w:space="0" w:color="auto"/>
            </w:tcBorders>
            <w:shd w:val="clear" w:color="auto" w:fill="auto"/>
            <w:noWrap/>
            <w:vAlign w:val="center"/>
          </w:tcPr>
          <w:p w14:paraId="63E1E831" w14:textId="77777777" w:rsidR="00CF336B" w:rsidRPr="001B4CA2" w:rsidRDefault="00CF336B" w:rsidP="00A14600">
            <w:pPr>
              <w:jc w:val="center"/>
              <w:rPr>
                <w:sz w:val="18"/>
                <w:szCs w:val="18"/>
              </w:rPr>
            </w:pPr>
            <w:r w:rsidRPr="001B4CA2">
              <w:rPr>
                <w:sz w:val="18"/>
                <w:szCs w:val="18"/>
              </w:rPr>
              <w:t>1</w:t>
            </w:r>
          </w:p>
        </w:tc>
        <w:tc>
          <w:tcPr>
            <w:tcW w:w="719" w:type="dxa"/>
            <w:tcBorders>
              <w:top w:val="nil"/>
              <w:left w:val="nil"/>
              <w:bottom w:val="single" w:sz="4" w:space="0" w:color="auto"/>
              <w:right w:val="single" w:sz="4" w:space="0" w:color="auto"/>
            </w:tcBorders>
            <w:shd w:val="clear" w:color="auto" w:fill="auto"/>
            <w:noWrap/>
            <w:vAlign w:val="center"/>
          </w:tcPr>
          <w:p w14:paraId="6C9599EE"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423F4283" w14:textId="77777777" w:rsidR="00CF336B" w:rsidRPr="001B4CA2" w:rsidRDefault="00CF336B" w:rsidP="00A14600">
            <w:pPr>
              <w:jc w:val="center"/>
              <w:rPr>
                <w:sz w:val="18"/>
                <w:szCs w:val="18"/>
              </w:rPr>
            </w:pPr>
            <w:r w:rsidRPr="001B4CA2">
              <w:rPr>
                <w:sz w:val="18"/>
                <w:szCs w:val="18"/>
              </w:rPr>
              <w:t>6</w:t>
            </w:r>
          </w:p>
        </w:tc>
        <w:tc>
          <w:tcPr>
            <w:tcW w:w="720" w:type="dxa"/>
            <w:tcBorders>
              <w:top w:val="nil"/>
              <w:left w:val="nil"/>
              <w:bottom w:val="single" w:sz="4" w:space="0" w:color="auto"/>
              <w:right w:val="single" w:sz="4" w:space="0" w:color="auto"/>
            </w:tcBorders>
            <w:shd w:val="clear" w:color="auto" w:fill="auto"/>
            <w:noWrap/>
            <w:vAlign w:val="center"/>
          </w:tcPr>
          <w:p w14:paraId="0FE76998" w14:textId="77777777" w:rsidR="00CF336B" w:rsidRPr="001B4CA2" w:rsidRDefault="00CF336B" w:rsidP="00A14600">
            <w:pPr>
              <w:jc w:val="center"/>
              <w:rPr>
                <w:sz w:val="18"/>
                <w:szCs w:val="18"/>
              </w:rPr>
            </w:pPr>
            <w:r w:rsidRPr="001B4CA2">
              <w:rPr>
                <w:sz w:val="18"/>
                <w:szCs w:val="18"/>
              </w:rPr>
              <w:t>9</w:t>
            </w:r>
          </w:p>
        </w:tc>
        <w:tc>
          <w:tcPr>
            <w:tcW w:w="697" w:type="dxa"/>
            <w:tcBorders>
              <w:top w:val="nil"/>
              <w:left w:val="nil"/>
              <w:bottom w:val="single" w:sz="4" w:space="0" w:color="auto"/>
              <w:right w:val="single" w:sz="4" w:space="0" w:color="auto"/>
            </w:tcBorders>
            <w:shd w:val="clear" w:color="auto" w:fill="auto"/>
            <w:noWrap/>
            <w:vAlign w:val="center"/>
          </w:tcPr>
          <w:p w14:paraId="3BCAA311"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67DE9B84"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6200F6B6" w14:textId="77777777" w:rsidR="00CF336B" w:rsidRPr="001B4CA2" w:rsidRDefault="00CF336B" w:rsidP="00A14600">
            <w:pPr>
              <w:jc w:val="center"/>
              <w:rPr>
                <w:sz w:val="18"/>
                <w:szCs w:val="18"/>
              </w:rPr>
            </w:pPr>
            <w:r w:rsidRPr="001B4CA2">
              <w:rPr>
                <w:sz w:val="18"/>
                <w:szCs w:val="18"/>
              </w:rPr>
              <w:t>14</w:t>
            </w:r>
          </w:p>
        </w:tc>
        <w:tc>
          <w:tcPr>
            <w:tcW w:w="717" w:type="dxa"/>
            <w:tcBorders>
              <w:top w:val="nil"/>
              <w:left w:val="nil"/>
              <w:bottom w:val="single" w:sz="4" w:space="0" w:color="auto"/>
              <w:right w:val="single" w:sz="4" w:space="0" w:color="auto"/>
            </w:tcBorders>
            <w:shd w:val="clear" w:color="auto" w:fill="auto"/>
            <w:noWrap/>
            <w:vAlign w:val="center"/>
          </w:tcPr>
          <w:p w14:paraId="5A058333" w14:textId="77777777" w:rsidR="00CF336B" w:rsidRPr="001B4CA2" w:rsidRDefault="00CF336B" w:rsidP="00A14600">
            <w:pPr>
              <w:jc w:val="center"/>
              <w:rPr>
                <w:sz w:val="18"/>
                <w:szCs w:val="18"/>
              </w:rPr>
            </w:pPr>
            <w:r w:rsidRPr="001B4CA2">
              <w:rPr>
                <w:sz w:val="18"/>
                <w:szCs w:val="18"/>
              </w:rPr>
              <w:t>55</w:t>
            </w:r>
          </w:p>
        </w:tc>
        <w:tc>
          <w:tcPr>
            <w:tcW w:w="669" w:type="dxa"/>
            <w:tcBorders>
              <w:top w:val="nil"/>
              <w:left w:val="nil"/>
              <w:bottom w:val="single" w:sz="4" w:space="0" w:color="auto"/>
              <w:right w:val="single" w:sz="4" w:space="0" w:color="auto"/>
            </w:tcBorders>
            <w:shd w:val="clear" w:color="auto" w:fill="auto"/>
            <w:noWrap/>
            <w:vAlign w:val="center"/>
          </w:tcPr>
          <w:p w14:paraId="208728A0" w14:textId="77777777" w:rsidR="00CF336B" w:rsidRPr="001B4CA2" w:rsidRDefault="00CF336B" w:rsidP="00A14600">
            <w:pPr>
              <w:jc w:val="center"/>
              <w:rPr>
                <w:sz w:val="18"/>
                <w:szCs w:val="18"/>
              </w:rPr>
            </w:pPr>
            <w:r w:rsidRPr="001B4CA2">
              <w:rPr>
                <w:sz w:val="18"/>
                <w:szCs w:val="18"/>
              </w:rPr>
              <w:t>72</w:t>
            </w:r>
          </w:p>
        </w:tc>
        <w:tc>
          <w:tcPr>
            <w:tcW w:w="717" w:type="dxa"/>
            <w:tcBorders>
              <w:top w:val="nil"/>
              <w:left w:val="nil"/>
              <w:bottom w:val="single" w:sz="4" w:space="0" w:color="auto"/>
              <w:right w:val="single" w:sz="4" w:space="0" w:color="auto"/>
            </w:tcBorders>
            <w:shd w:val="clear" w:color="auto" w:fill="auto"/>
            <w:vAlign w:val="center"/>
          </w:tcPr>
          <w:p w14:paraId="7C2E4795" w14:textId="77777777" w:rsidR="00CF336B" w:rsidRPr="001B4CA2" w:rsidRDefault="00CF336B" w:rsidP="00A14600">
            <w:pPr>
              <w:jc w:val="center"/>
              <w:rPr>
                <w:sz w:val="18"/>
                <w:szCs w:val="18"/>
              </w:rPr>
            </w:pPr>
            <w:r w:rsidRPr="001B4CA2">
              <w:rPr>
                <w:sz w:val="18"/>
                <w:szCs w:val="18"/>
              </w:rPr>
              <w:t>145</w:t>
            </w:r>
          </w:p>
        </w:tc>
      </w:tr>
      <w:tr w:rsidR="00CF336B" w:rsidRPr="001B4CA2" w14:paraId="3B1E1E80"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55989AB2" w14:textId="77777777" w:rsidR="00CF336B" w:rsidRPr="001B4CA2" w:rsidRDefault="00CF336B" w:rsidP="00A14600">
            <w:pPr>
              <w:jc w:val="left"/>
              <w:rPr>
                <w:bCs/>
                <w:sz w:val="16"/>
                <w:szCs w:val="16"/>
                <w:lang w:eastAsia="hr-HR"/>
              </w:rPr>
            </w:pPr>
            <w:r w:rsidRPr="001B4CA2">
              <w:rPr>
                <w:bCs/>
                <w:sz w:val="16"/>
                <w:szCs w:val="16"/>
                <w:lang w:eastAsia="hr-HR"/>
              </w:rPr>
              <w:t>Ministarstvo gospodarstva i održivog razvoja</w:t>
            </w:r>
          </w:p>
        </w:tc>
        <w:tc>
          <w:tcPr>
            <w:tcW w:w="718" w:type="dxa"/>
            <w:tcBorders>
              <w:top w:val="nil"/>
              <w:left w:val="nil"/>
              <w:bottom w:val="single" w:sz="4" w:space="0" w:color="auto"/>
              <w:right w:val="single" w:sz="4" w:space="0" w:color="auto"/>
            </w:tcBorders>
            <w:shd w:val="clear" w:color="auto" w:fill="auto"/>
            <w:noWrap/>
            <w:vAlign w:val="center"/>
          </w:tcPr>
          <w:p w14:paraId="5A738803"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D35C3C4" w14:textId="77777777" w:rsidR="00CF336B" w:rsidRPr="001B4CA2" w:rsidRDefault="00CF336B" w:rsidP="00A14600">
            <w:pPr>
              <w:jc w:val="center"/>
              <w:rPr>
                <w:sz w:val="18"/>
                <w:szCs w:val="18"/>
              </w:rPr>
            </w:pPr>
            <w:r w:rsidRPr="001B4CA2">
              <w:rPr>
                <w:sz w:val="18"/>
                <w:szCs w:val="18"/>
              </w:rPr>
              <w:t>4</w:t>
            </w:r>
          </w:p>
        </w:tc>
        <w:tc>
          <w:tcPr>
            <w:tcW w:w="719" w:type="dxa"/>
            <w:tcBorders>
              <w:top w:val="nil"/>
              <w:left w:val="nil"/>
              <w:bottom w:val="single" w:sz="4" w:space="0" w:color="auto"/>
              <w:right w:val="single" w:sz="4" w:space="0" w:color="auto"/>
            </w:tcBorders>
            <w:shd w:val="clear" w:color="auto" w:fill="auto"/>
            <w:noWrap/>
            <w:vAlign w:val="center"/>
          </w:tcPr>
          <w:p w14:paraId="32A40687" w14:textId="77777777" w:rsidR="00CF336B" w:rsidRPr="001B4CA2" w:rsidRDefault="00CF336B" w:rsidP="00A14600">
            <w:pPr>
              <w:jc w:val="center"/>
              <w:rPr>
                <w:sz w:val="18"/>
                <w:szCs w:val="18"/>
              </w:rPr>
            </w:pPr>
            <w:r w:rsidRPr="001B4CA2">
              <w:rPr>
                <w:sz w:val="18"/>
                <w:szCs w:val="18"/>
              </w:rPr>
              <w:t>55</w:t>
            </w:r>
          </w:p>
        </w:tc>
        <w:tc>
          <w:tcPr>
            <w:tcW w:w="719" w:type="dxa"/>
            <w:tcBorders>
              <w:top w:val="nil"/>
              <w:left w:val="nil"/>
              <w:bottom w:val="single" w:sz="4" w:space="0" w:color="auto"/>
              <w:right w:val="single" w:sz="4" w:space="0" w:color="auto"/>
            </w:tcBorders>
            <w:shd w:val="clear" w:color="auto" w:fill="auto"/>
            <w:noWrap/>
            <w:vAlign w:val="center"/>
          </w:tcPr>
          <w:p w14:paraId="599B3817" w14:textId="77777777" w:rsidR="00CF336B" w:rsidRPr="001B4CA2" w:rsidRDefault="00CF336B" w:rsidP="00A14600">
            <w:pPr>
              <w:jc w:val="center"/>
              <w:rPr>
                <w:sz w:val="18"/>
                <w:szCs w:val="18"/>
              </w:rPr>
            </w:pPr>
            <w:r w:rsidRPr="001B4CA2">
              <w:rPr>
                <w:sz w:val="18"/>
                <w:szCs w:val="18"/>
              </w:rPr>
              <w:t>4</w:t>
            </w:r>
          </w:p>
        </w:tc>
        <w:tc>
          <w:tcPr>
            <w:tcW w:w="718" w:type="dxa"/>
            <w:tcBorders>
              <w:top w:val="nil"/>
              <w:left w:val="nil"/>
              <w:bottom w:val="single" w:sz="4" w:space="0" w:color="auto"/>
              <w:right w:val="single" w:sz="4" w:space="0" w:color="auto"/>
            </w:tcBorders>
            <w:shd w:val="clear" w:color="auto" w:fill="auto"/>
            <w:noWrap/>
            <w:vAlign w:val="center"/>
          </w:tcPr>
          <w:p w14:paraId="32C3BC66" w14:textId="77777777" w:rsidR="00CF336B" w:rsidRPr="001B4CA2" w:rsidRDefault="00CF336B" w:rsidP="00A14600">
            <w:pPr>
              <w:jc w:val="center"/>
              <w:rPr>
                <w:sz w:val="18"/>
                <w:szCs w:val="18"/>
              </w:rPr>
            </w:pPr>
            <w:r w:rsidRPr="001B4CA2">
              <w:rPr>
                <w:sz w:val="18"/>
                <w:szCs w:val="18"/>
              </w:rPr>
              <w:t>21</w:t>
            </w:r>
          </w:p>
        </w:tc>
        <w:tc>
          <w:tcPr>
            <w:tcW w:w="719" w:type="dxa"/>
            <w:tcBorders>
              <w:top w:val="nil"/>
              <w:left w:val="nil"/>
              <w:bottom w:val="single" w:sz="4" w:space="0" w:color="auto"/>
              <w:right w:val="single" w:sz="4" w:space="0" w:color="auto"/>
            </w:tcBorders>
            <w:shd w:val="clear" w:color="auto" w:fill="auto"/>
            <w:noWrap/>
            <w:vAlign w:val="center"/>
          </w:tcPr>
          <w:p w14:paraId="1A1F5A11" w14:textId="77777777" w:rsidR="00CF336B" w:rsidRPr="001B4CA2" w:rsidRDefault="00CF336B" w:rsidP="00A14600">
            <w:pPr>
              <w:jc w:val="center"/>
              <w:rPr>
                <w:sz w:val="18"/>
                <w:szCs w:val="18"/>
              </w:rPr>
            </w:pPr>
            <w:r w:rsidRPr="001B4CA2">
              <w:rPr>
                <w:sz w:val="18"/>
                <w:szCs w:val="18"/>
              </w:rPr>
              <w:t>8</w:t>
            </w:r>
          </w:p>
        </w:tc>
        <w:tc>
          <w:tcPr>
            <w:tcW w:w="719" w:type="dxa"/>
            <w:tcBorders>
              <w:top w:val="nil"/>
              <w:left w:val="nil"/>
              <w:bottom w:val="single" w:sz="4" w:space="0" w:color="auto"/>
              <w:right w:val="single" w:sz="4" w:space="0" w:color="auto"/>
            </w:tcBorders>
            <w:shd w:val="clear" w:color="auto" w:fill="auto"/>
            <w:noWrap/>
            <w:vAlign w:val="center"/>
          </w:tcPr>
          <w:p w14:paraId="3FCEFCD1"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2C5B213" w14:textId="77777777" w:rsidR="00CF336B" w:rsidRPr="001B4CA2" w:rsidRDefault="00CF336B" w:rsidP="00A14600">
            <w:pPr>
              <w:jc w:val="center"/>
              <w:rPr>
                <w:sz w:val="18"/>
                <w:szCs w:val="18"/>
              </w:rPr>
            </w:pPr>
            <w:r w:rsidRPr="001B4CA2">
              <w:rPr>
                <w:sz w:val="18"/>
                <w:szCs w:val="18"/>
              </w:rPr>
              <w:t>1</w:t>
            </w:r>
          </w:p>
        </w:tc>
        <w:tc>
          <w:tcPr>
            <w:tcW w:w="718" w:type="dxa"/>
            <w:tcBorders>
              <w:top w:val="nil"/>
              <w:left w:val="nil"/>
              <w:bottom w:val="single" w:sz="4" w:space="0" w:color="auto"/>
              <w:right w:val="single" w:sz="4" w:space="0" w:color="auto"/>
            </w:tcBorders>
            <w:shd w:val="clear" w:color="auto" w:fill="auto"/>
            <w:noWrap/>
            <w:vAlign w:val="center"/>
          </w:tcPr>
          <w:p w14:paraId="754D35B3"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2E121A14"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77F3A06"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36E1B9F8"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CA82501"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29A05CE6"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0818AC9D"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35A2BA55" w14:textId="77777777" w:rsidR="00CF336B" w:rsidRPr="001B4CA2" w:rsidRDefault="00CF336B" w:rsidP="00A14600">
            <w:pPr>
              <w:jc w:val="center"/>
              <w:rPr>
                <w:sz w:val="18"/>
                <w:szCs w:val="18"/>
              </w:rPr>
            </w:pPr>
          </w:p>
        </w:tc>
        <w:tc>
          <w:tcPr>
            <w:tcW w:w="669" w:type="dxa"/>
            <w:tcBorders>
              <w:top w:val="nil"/>
              <w:left w:val="nil"/>
              <w:bottom w:val="single" w:sz="4" w:space="0" w:color="auto"/>
              <w:right w:val="single" w:sz="4" w:space="0" w:color="auto"/>
            </w:tcBorders>
            <w:shd w:val="clear" w:color="auto" w:fill="auto"/>
            <w:noWrap/>
            <w:vAlign w:val="center"/>
          </w:tcPr>
          <w:p w14:paraId="3ED32AAB" w14:textId="77777777" w:rsidR="00CF336B" w:rsidRPr="001B4CA2" w:rsidRDefault="00CF336B" w:rsidP="00A14600">
            <w:pPr>
              <w:jc w:val="center"/>
              <w:rPr>
                <w:sz w:val="18"/>
                <w:szCs w:val="18"/>
              </w:rPr>
            </w:pPr>
            <w:r w:rsidRPr="001B4CA2">
              <w:rPr>
                <w:sz w:val="18"/>
                <w:szCs w:val="18"/>
              </w:rPr>
              <w:t>76</w:t>
            </w:r>
          </w:p>
        </w:tc>
        <w:tc>
          <w:tcPr>
            <w:tcW w:w="717" w:type="dxa"/>
            <w:tcBorders>
              <w:top w:val="nil"/>
              <w:left w:val="nil"/>
              <w:bottom w:val="single" w:sz="4" w:space="0" w:color="auto"/>
              <w:right w:val="single" w:sz="4" w:space="0" w:color="auto"/>
            </w:tcBorders>
            <w:shd w:val="clear" w:color="auto" w:fill="auto"/>
            <w:vAlign w:val="center"/>
          </w:tcPr>
          <w:p w14:paraId="4618A927" w14:textId="77777777" w:rsidR="00CF336B" w:rsidRPr="001B4CA2" w:rsidRDefault="00CF336B" w:rsidP="00A14600">
            <w:pPr>
              <w:jc w:val="center"/>
              <w:rPr>
                <w:sz w:val="18"/>
                <w:szCs w:val="18"/>
              </w:rPr>
            </w:pPr>
            <w:r w:rsidRPr="001B4CA2">
              <w:rPr>
                <w:sz w:val="18"/>
                <w:szCs w:val="18"/>
              </w:rPr>
              <w:t>17</w:t>
            </w:r>
          </w:p>
        </w:tc>
      </w:tr>
      <w:tr w:rsidR="00CF336B" w:rsidRPr="001B4CA2" w14:paraId="51710F01"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0D84EC78" w14:textId="77777777" w:rsidR="00CF336B" w:rsidRPr="001B4CA2" w:rsidRDefault="00CF336B" w:rsidP="00A14600">
            <w:pPr>
              <w:jc w:val="left"/>
              <w:rPr>
                <w:bCs/>
                <w:sz w:val="16"/>
                <w:szCs w:val="16"/>
                <w:lang w:eastAsia="hr-HR"/>
              </w:rPr>
            </w:pPr>
            <w:r w:rsidRPr="001B4CA2">
              <w:rPr>
                <w:bCs/>
                <w:sz w:val="16"/>
                <w:szCs w:val="16"/>
                <w:lang w:eastAsia="hr-HR"/>
              </w:rPr>
              <w:t xml:space="preserve">Ministarstvo obrane </w:t>
            </w:r>
          </w:p>
        </w:tc>
        <w:tc>
          <w:tcPr>
            <w:tcW w:w="718" w:type="dxa"/>
            <w:tcBorders>
              <w:top w:val="nil"/>
              <w:left w:val="nil"/>
              <w:bottom w:val="single" w:sz="4" w:space="0" w:color="auto"/>
              <w:right w:val="single" w:sz="4" w:space="0" w:color="auto"/>
            </w:tcBorders>
            <w:shd w:val="clear" w:color="auto" w:fill="auto"/>
            <w:noWrap/>
            <w:vAlign w:val="center"/>
          </w:tcPr>
          <w:p w14:paraId="3F707483" w14:textId="77777777" w:rsidR="00CF336B" w:rsidRPr="001B4CA2" w:rsidRDefault="00CF336B" w:rsidP="00A14600">
            <w:pPr>
              <w:jc w:val="center"/>
              <w:rPr>
                <w:sz w:val="18"/>
                <w:szCs w:val="18"/>
              </w:rPr>
            </w:pPr>
            <w:r w:rsidRPr="001B4CA2">
              <w:rPr>
                <w:sz w:val="18"/>
                <w:szCs w:val="18"/>
              </w:rPr>
              <w:t>22</w:t>
            </w:r>
          </w:p>
        </w:tc>
        <w:tc>
          <w:tcPr>
            <w:tcW w:w="719" w:type="dxa"/>
            <w:tcBorders>
              <w:top w:val="nil"/>
              <w:left w:val="nil"/>
              <w:bottom w:val="single" w:sz="4" w:space="0" w:color="auto"/>
              <w:right w:val="single" w:sz="4" w:space="0" w:color="auto"/>
            </w:tcBorders>
            <w:shd w:val="clear" w:color="auto" w:fill="auto"/>
            <w:noWrap/>
            <w:vAlign w:val="center"/>
          </w:tcPr>
          <w:p w14:paraId="583292EA" w14:textId="77777777" w:rsidR="00CF336B" w:rsidRPr="001B4CA2" w:rsidRDefault="00CF336B" w:rsidP="00A14600">
            <w:pPr>
              <w:jc w:val="center"/>
              <w:rPr>
                <w:sz w:val="18"/>
                <w:szCs w:val="18"/>
              </w:rPr>
            </w:pPr>
            <w:r w:rsidRPr="001B4CA2">
              <w:rPr>
                <w:sz w:val="18"/>
                <w:szCs w:val="18"/>
              </w:rPr>
              <w:t>4</w:t>
            </w:r>
          </w:p>
        </w:tc>
        <w:tc>
          <w:tcPr>
            <w:tcW w:w="719" w:type="dxa"/>
            <w:tcBorders>
              <w:top w:val="nil"/>
              <w:left w:val="nil"/>
              <w:bottom w:val="single" w:sz="4" w:space="0" w:color="auto"/>
              <w:right w:val="single" w:sz="4" w:space="0" w:color="auto"/>
            </w:tcBorders>
            <w:shd w:val="clear" w:color="auto" w:fill="auto"/>
            <w:noWrap/>
            <w:vAlign w:val="center"/>
          </w:tcPr>
          <w:p w14:paraId="273B063B" w14:textId="77777777" w:rsidR="00CF336B" w:rsidRPr="001B4CA2" w:rsidRDefault="00CF336B" w:rsidP="00A14600">
            <w:pPr>
              <w:jc w:val="center"/>
              <w:rPr>
                <w:sz w:val="18"/>
                <w:szCs w:val="18"/>
              </w:rPr>
            </w:pPr>
            <w:r w:rsidRPr="001B4CA2">
              <w:rPr>
                <w:sz w:val="18"/>
                <w:szCs w:val="18"/>
              </w:rPr>
              <w:t>117</w:t>
            </w:r>
          </w:p>
        </w:tc>
        <w:tc>
          <w:tcPr>
            <w:tcW w:w="719" w:type="dxa"/>
            <w:tcBorders>
              <w:top w:val="nil"/>
              <w:left w:val="nil"/>
              <w:bottom w:val="single" w:sz="4" w:space="0" w:color="auto"/>
              <w:right w:val="single" w:sz="4" w:space="0" w:color="auto"/>
            </w:tcBorders>
            <w:shd w:val="clear" w:color="auto" w:fill="auto"/>
            <w:noWrap/>
            <w:vAlign w:val="center"/>
          </w:tcPr>
          <w:p w14:paraId="1E6ADC81" w14:textId="77777777" w:rsidR="00CF336B" w:rsidRPr="001B4CA2" w:rsidRDefault="00CF336B" w:rsidP="00A14600">
            <w:pPr>
              <w:jc w:val="center"/>
              <w:rPr>
                <w:sz w:val="18"/>
                <w:szCs w:val="18"/>
              </w:rPr>
            </w:pPr>
            <w:r w:rsidRPr="001B4CA2">
              <w:rPr>
                <w:sz w:val="18"/>
                <w:szCs w:val="18"/>
              </w:rPr>
              <w:t>36</w:t>
            </w:r>
          </w:p>
        </w:tc>
        <w:tc>
          <w:tcPr>
            <w:tcW w:w="718" w:type="dxa"/>
            <w:tcBorders>
              <w:top w:val="nil"/>
              <w:left w:val="nil"/>
              <w:bottom w:val="single" w:sz="4" w:space="0" w:color="auto"/>
              <w:right w:val="single" w:sz="4" w:space="0" w:color="auto"/>
            </w:tcBorders>
            <w:shd w:val="clear" w:color="auto" w:fill="auto"/>
            <w:noWrap/>
            <w:vAlign w:val="center"/>
          </w:tcPr>
          <w:p w14:paraId="0499F6E4" w14:textId="77777777" w:rsidR="00CF336B" w:rsidRPr="001B4CA2" w:rsidRDefault="00CF336B" w:rsidP="00A14600">
            <w:pPr>
              <w:jc w:val="center"/>
              <w:rPr>
                <w:sz w:val="18"/>
                <w:szCs w:val="18"/>
              </w:rPr>
            </w:pPr>
            <w:r w:rsidRPr="001B4CA2">
              <w:rPr>
                <w:sz w:val="18"/>
                <w:szCs w:val="18"/>
              </w:rPr>
              <w:t>17</w:t>
            </w:r>
          </w:p>
        </w:tc>
        <w:tc>
          <w:tcPr>
            <w:tcW w:w="719" w:type="dxa"/>
            <w:tcBorders>
              <w:top w:val="nil"/>
              <w:left w:val="nil"/>
              <w:bottom w:val="single" w:sz="4" w:space="0" w:color="auto"/>
              <w:right w:val="single" w:sz="4" w:space="0" w:color="auto"/>
            </w:tcBorders>
            <w:shd w:val="clear" w:color="auto" w:fill="auto"/>
            <w:noWrap/>
            <w:vAlign w:val="center"/>
          </w:tcPr>
          <w:p w14:paraId="21A13AE2" w14:textId="77777777" w:rsidR="00CF336B" w:rsidRPr="001B4CA2" w:rsidRDefault="00CF336B" w:rsidP="00A14600">
            <w:pPr>
              <w:jc w:val="center"/>
              <w:rPr>
                <w:sz w:val="18"/>
                <w:szCs w:val="18"/>
              </w:rPr>
            </w:pPr>
            <w:r w:rsidRPr="001B4CA2">
              <w:rPr>
                <w:sz w:val="18"/>
                <w:szCs w:val="18"/>
              </w:rPr>
              <w:t>18</w:t>
            </w:r>
          </w:p>
        </w:tc>
        <w:tc>
          <w:tcPr>
            <w:tcW w:w="719" w:type="dxa"/>
            <w:tcBorders>
              <w:top w:val="nil"/>
              <w:left w:val="nil"/>
              <w:bottom w:val="single" w:sz="4" w:space="0" w:color="auto"/>
              <w:right w:val="single" w:sz="4" w:space="0" w:color="auto"/>
            </w:tcBorders>
            <w:shd w:val="clear" w:color="auto" w:fill="auto"/>
            <w:noWrap/>
            <w:vAlign w:val="center"/>
          </w:tcPr>
          <w:p w14:paraId="415CB077" w14:textId="77777777" w:rsidR="00CF336B" w:rsidRPr="001B4CA2" w:rsidRDefault="00CF336B" w:rsidP="00A14600">
            <w:pPr>
              <w:jc w:val="center"/>
              <w:rPr>
                <w:sz w:val="18"/>
                <w:szCs w:val="18"/>
              </w:rPr>
            </w:pPr>
            <w:r w:rsidRPr="001B4CA2">
              <w:rPr>
                <w:sz w:val="18"/>
                <w:szCs w:val="18"/>
              </w:rPr>
              <w:t>11</w:t>
            </w:r>
          </w:p>
        </w:tc>
        <w:tc>
          <w:tcPr>
            <w:tcW w:w="719" w:type="dxa"/>
            <w:tcBorders>
              <w:top w:val="nil"/>
              <w:left w:val="nil"/>
              <w:bottom w:val="single" w:sz="4" w:space="0" w:color="auto"/>
              <w:right w:val="single" w:sz="4" w:space="0" w:color="auto"/>
            </w:tcBorders>
            <w:shd w:val="clear" w:color="auto" w:fill="auto"/>
            <w:noWrap/>
            <w:vAlign w:val="center"/>
          </w:tcPr>
          <w:p w14:paraId="1BEAA032" w14:textId="77777777" w:rsidR="00CF336B" w:rsidRPr="001B4CA2" w:rsidRDefault="00CF336B" w:rsidP="00A14600">
            <w:pPr>
              <w:jc w:val="center"/>
              <w:rPr>
                <w:sz w:val="18"/>
                <w:szCs w:val="18"/>
              </w:rPr>
            </w:pPr>
            <w:r w:rsidRPr="001B4CA2">
              <w:rPr>
                <w:sz w:val="18"/>
                <w:szCs w:val="18"/>
              </w:rPr>
              <w:t>210</w:t>
            </w:r>
          </w:p>
        </w:tc>
        <w:tc>
          <w:tcPr>
            <w:tcW w:w="718" w:type="dxa"/>
            <w:tcBorders>
              <w:top w:val="nil"/>
              <w:left w:val="nil"/>
              <w:bottom w:val="single" w:sz="4" w:space="0" w:color="auto"/>
              <w:right w:val="single" w:sz="4" w:space="0" w:color="auto"/>
            </w:tcBorders>
            <w:shd w:val="clear" w:color="auto" w:fill="auto"/>
            <w:noWrap/>
            <w:vAlign w:val="center"/>
          </w:tcPr>
          <w:p w14:paraId="13106546"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7709F05D"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535719FE"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4F8D0901"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09F3C22"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27D2DD36"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5F7D3A01" w14:textId="77777777" w:rsidR="00CF336B" w:rsidRPr="001B4CA2" w:rsidRDefault="00CF336B" w:rsidP="00A14600">
            <w:pPr>
              <w:jc w:val="center"/>
              <w:rPr>
                <w:sz w:val="18"/>
                <w:szCs w:val="18"/>
              </w:rPr>
            </w:pPr>
            <w:r w:rsidRPr="001B4CA2">
              <w:rPr>
                <w:sz w:val="18"/>
                <w:szCs w:val="18"/>
              </w:rPr>
              <w:t>2</w:t>
            </w:r>
          </w:p>
        </w:tc>
        <w:tc>
          <w:tcPr>
            <w:tcW w:w="717" w:type="dxa"/>
            <w:tcBorders>
              <w:top w:val="nil"/>
              <w:left w:val="nil"/>
              <w:bottom w:val="single" w:sz="4" w:space="0" w:color="auto"/>
              <w:right w:val="single" w:sz="4" w:space="0" w:color="auto"/>
            </w:tcBorders>
            <w:shd w:val="clear" w:color="auto" w:fill="auto"/>
            <w:noWrap/>
            <w:vAlign w:val="center"/>
          </w:tcPr>
          <w:p w14:paraId="62272CF3" w14:textId="77777777" w:rsidR="00CF336B" w:rsidRPr="001B4CA2" w:rsidRDefault="00CF336B" w:rsidP="00A14600">
            <w:pPr>
              <w:jc w:val="center"/>
              <w:rPr>
                <w:sz w:val="18"/>
                <w:szCs w:val="18"/>
              </w:rPr>
            </w:pPr>
            <w:r w:rsidRPr="001B4CA2">
              <w:rPr>
                <w:sz w:val="18"/>
                <w:szCs w:val="18"/>
              </w:rPr>
              <w:t>6</w:t>
            </w:r>
          </w:p>
        </w:tc>
        <w:tc>
          <w:tcPr>
            <w:tcW w:w="669" w:type="dxa"/>
            <w:tcBorders>
              <w:top w:val="nil"/>
              <w:left w:val="nil"/>
              <w:bottom w:val="single" w:sz="4" w:space="0" w:color="auto"/>
              <w:right w:val="single" w:sz="4" w:space="0" w:color="auto"/>
            </w:tcBorders>
            <w:shd w:val="clear" w:color="auto" w:fill="auto"/>
            <w:noWrap/>
            <w:vAlign w:val="center"/>
          </w:tcPr>
          <w:p w14:paraId="13F45865" w14:textId="77777777" w:rsidR="00CF336B" w:rsidRPr="001B4CA2" w:rsidRDefault="00CF336B" w:rsidP="00A14600">
            <w:pPr>
              <w:jc w:val="center"/>
              <w:rPr>
                <w:sz w:val="18"/>
                <w:szCs w:val="18"/>
              </w:rPr>
            </w:pPr>
            <w:r w:rsidRPr="001B4CA2">
              <w:rPr>
                <w:sz w:val="18"/>
                <w:szCs w:val="18"/>
              </w:rPr>
              <w:t>169</w:t>
            </w:r>
          </w:p>
        </w:tc>
        <w:tc>
          <w:tcPr>
            <w:tcW w:w="717" w:type="dxa"/>
            <w:tcBorders>
              <w:top w:val="nil"/>
              <w:left w:val="nil"/>
              <w:bottom w:val="single" w:sz="4" w:space="0" w:color="auto"/>
              <w:right w:val="single" w:sz="4" w:space="0" w:color="auto"/>
            </w:tcBorders>
            <w:shd w:val="clear" w:color="auto" w:fill="auto"/>
            <w:vAlign w:val="center"/>
          </w:tcPr>
          <w:p w14:paraId="1FEFE6AC" w14:textId="77777777" w:rsidR="00CF336B" w:rsidRPr="001B4CA2" w:rsidRDefault="00CF336B" w:rsidP="00A14600">
            <w:pPr>
              <w:jc w:val="center"/>
              <w:rPr>
                <w:sz w:val="18"/>
                <w:szCs w:val="18"/>
              </w:rPr>
            </w:pPr>
            <w:r w:rsidRPr="001B4CA2">
              <w:rPr>
                <w:sz w:val="18"/>
                <w:szCs w:val="18"/>
              </w:rPr>
              <w:t>274</w:t>
            </w:r>
          </w:p>
        </w:tc>
      </w:tr>
      <w:tr w:rsidR="00CF336B" w:rsidRPr="001B4CA2" w14:paraId="0E85C5AF"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79596DE1" w14:textId="77777777" w:rsidR="00CF336B" w:rsidRPr="001B4CA2" w:rsidRDefault="00CF336B" w:rsidP="00A14600">
            <w:pPr>
              <w:jc w:val="left"/>
              <w:rPr>
                <w:bCs/>
                <w:sz w:val="16"/>
                <w:szCs w:val="16"/>
                <w:lang w:eastAsia="hr-HR"/>
              </w:rPr>
            </w:pPr>
            <w:r w:rsidRPr="001B4CA2">
              <w:rPr>
                <w:bCs/>
                <w:sz w:val="16"/>
                <w:szCs w:val="16"/>
                <w:lang w:eastAsia="hr-HR"/>
              </w:rPr>
              <w:t xml:space="preserve">Ministarstvo vanjskih i europskih poslova </w:t>
            </w:r>
          </w:p>
        </w:tc>
        <w:tc>
          <w:tcPr>
            <w:tcW w:w="718" w:type="dxa"/>
            <w:tcBorders>
              <w:top w:val="nil"/>
              <w:left w:val="nil"/>
              <w:bottom w:val="single" w:sz="4" w:space="0" w:color="auto"/>
              <w:right w:val="single" w:sz="4" w:space="0" w:color="auto"/>
            </w:tcBorders>
            <w:shd w:val="clear" w:color="auto" w:fill="auto"/>
            <w:noWrap/>
            <w:vAlign w:val="center"/>
          </w:tcPr>
          <w:p w14:paraId="76D94CBE"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962068B"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0A1BD2B"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27E2D6B7" w14:textId="77777777" w:rsidR="00CF336B" w:rsidRPr="001B4CA2" w:rsidRDefault="00CF336B" w:rsidP="00A14600">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4453F7E2"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645964ED"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5481D168"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34B5F8C" w14:textId="77777777" w:rsidR="00CF336B" w:rsidRPr="001B4CA2" w:rsidRDefault="00CF336B" w:rsidP="00A14600">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4D9D2C64"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21BCCA74"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62AF7A9D"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00FFB4E7"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6CCBA98D"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5C3489CC"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66973AFD"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52BEDA9E" w14:textId="77777777" w:rsidR="00CF336B" w:rsidRPr="001B4CA2" w:rsidRDefault="00CF336B" w:rsidP="00A14600">
            <w:pPr>
              <w:jc w:val="center"/>
              <w:rPr>
                <w:sz w:val="18"/>
                <w:szCs w:val="18"/>
              </w:rPr>
            </w:pPr>
          </w:p>
        </w:tc>
        <w:tc>
          <w:tcPr>
            <w:tcW w:w="669" w:type="dxa"/>
            <w:tcBorders>
              <w:top w:val="nil"/>
              <w:left w:val="nil"/>
              <w:bottom w:val="single" w:sz="4" w:space="0" w:color="auto"/>
              <w:right w:val="single" w:sz="4" w:space="0" w:color="auto"/>
            </w:tcBorders>
            <w:shd w:val="clear" w:color="auto" w:fill="auto"/>
            <w:noWrap/>
            <w:vAlign w:val="center"/>
          </w:tcPr>
          <w:p w14:paraId="7ED5D003"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vAlign w:val="center"/>
          </w:tcPr>
          <w:p w14:paraId="6B9A0384" w14:textId="77777777" w:rsidR="00CF336B" w:rsidRPr="001B4CA2" w:rsidRDefault="00CF336B" w:rsidP="00A14600">
            <w:pPr>
              <w:jc w:val="center"/>
              <w:rPr>
                <w:sz w:val="18"/>
                <w:szCs w:val="18"/>
              </w:rPr>
            </w:pPr>
          </w:p>
        </w:tc>
      </w:tr>
      <w:tr w:rsidR="00CF336B" w:rsidRPr="001B4CA2" w14:paraId="71EF97EB"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3CFD7F40" w14:textId="77777777" w:rsidR="00CF336B" w:rsidRPr="001B4CA2" w:rsidRDefault="00CF336B" w:rsidP="00A14600">
            <w:pPr>
              <w:jc w:val="left"/>
              <w:rPr>
                <w:bCs/>
                <w:sz w:val="16"/>
                <w:szCs w:val="16"/>
                <w:lang w:eastAsia="hr-HR"/>
              </w:rPr>
            </w:pPr>
            <w:r w:rsidRPr="001B4CA2">
              <w:rPr>
                <w:bCs/>
                <w:sz w:val="16"/>
                <w:szCs w:val="16"/>
                <w:lang w:eastAsia="hr-HR"/>
              </w:rPr>
              <w:t>Ministarstvo mora, prometa i infrastrukture</w:t>
            </w:r>
          </w:p>
        </w:tc>
        <w:tc>
          <w:tcPr>
            <w:tcW w:w="718" w:type="dxa"/>
            <w:tcBorders>
              <w:top w:val="nil"/>
              <w:left w:val="nil"/>
              <w:bottom w:val="single" w:sz="4" w:space="0" w:color="auto"/>
              <w:right w:val="single" w:sz="4" w:space="0" w:color="auto"/>
            </w:tcBorders>
            <w:shd w:val="clear" w:color="auto" w:fill="auto"/>
            <w:noWrap/>
            <w:vAlign w:val="center"/>
          </w:tcPr>
          <w:p w14:paraId="64078853" w14:textId="77777777" w:rsidR="00CF336B" w:rsidRPr="001B4CA2" w:rsidRDefault="00CF336B" w:rsidP="00A14600">
            <w:pPr>
              <w:jc w:val="center"/>
              <w:rPr>
                <w:sz w:val="18"/>
                <w:szCs w:val="18"/>
              </w:rPr>
            </w:pPr>
            <w:r w:rsidRPr="001B4CA2">
              <w:rPr>
                <w:sz w:val="18"/>
                <w:szCs w:val="18"/>
              </w:rPr>
              <w:t>34</w:t>
            </w:r>
          </w:p>
        </w:tc>
        <w:tc>
          <w:tcPr>
            <w:tcW w:w="719" w:type="dxa"/>
            <w:tcBorders>
              <w:top w:val="nil"/>
              <w:left w:val="nil"/>
              <w:bottom w:val="single" w:sz="4" w:space="0" w:color="auto"/>
              <w:right w:val="single" w:sz="4" w:space="0" w:color="auto"/>
            </w:tcBorders>
            <w:shd w:val="clear" w:color="auto" w:fill="auto"/>
            <w:noWrap/>
            <w:vAlign w:val="center"/>
          </w:tcPr>
          <w:p w14:paraId="1005BC56" w14:textId="77777777" w:rsidR="00CF336B" w:rsidRPr="001B4CA2" w:rsidRDefault="00CF336B" w:rsidP="00A14600">
            <w:pPr>
              <w:jc w:val="center"/>
              <w:rPr>
                <w:sz w:val="18"/>
                <w:szCs w:val="18"/>
              </w:rPr>
            </w:pPr>
            <w:r w:rsidRPr="001B4CA2">
              <w:rPr>
                <w:sz w:val="18"/>
                <w:szCs w:val="18"/>
              </w:rPr>
              <w:t>12</w:t>
            </w:r>
          </w:p>
        </w:tc>
        <w:tc>
          <w:tcPr>
            <w:tcW w:w="719" w:type="dxa"/>
            <w:tcBorders>
              <w:top w:val="nil"/>
              <w:left w:val="nil"/>
              <w:bottom w:val="single" w:sz="4" w:space="0" w:color="auto"/>
              <w:right w:val="single" w:sz="4" w:space="0" w:color="auto"/>
            </w:tcBorders>
            <w:shd w:val="clear" w:color="auto" w:fill="auto"/>
            <w:noWrap/>
            <w:vAlign w:val="center"/>
          </w:tcPr>
          <w:p w14:paraId="4716DD19" w14:textId="77777777" w:rsidR="00CF336B" w:rsidRPr="001B4CA2" w:rsidRDefault="00CF336B" w:rsidP="00A14600">
            <w:pPr>
              <w:jc w:val="center"/>
              <w:rPr>
                <w:sz w:val="18"/>
                <w:szCs w:val="18"/>
              </w:rPr>
            </w:pPr>
            <w:r w:rsidRPr="001B4CA2">
              <w:rPr>
                <w:sz w:val="18"/>
                <w:szCs w:val="18"/>
              </w:rPr>
              <w:t>2</w:t>
            </w:r>
          </w:p>
        </w:tc>
        <w:tc>
          <w:tcPr>
            <w:tcW w:w="719" w:type="dxa"/>
            <w:tcBorders>
              <w:top w:val="nil"/>
              <w:left w:val="nil"/>
              <w:bottom w:val="single" w:sz="4" w:space="0" w:color="auto"/>
              <w:right w:val="single" w:sz="4" w:space="0" w:color="auto"/>
            </w:tcBorders>
            <w:shd w:val="clear" w:color="auto" w:fill="auto"/>
            <w:noWrap/>
            <w:vAlign w:val="center"/>
          </w:tcPr>
          <w:p w14:paraId="532CE837" w14:textId="77777777" w:rsidR="00CF336B" w:rsidRPr="001B4CA2" w:rsidRDefault="00CF336B" w:rsidP="00A14600">
            <w:pPr>
              <w:jc w:val="center"/>
              <w:rPr>
                <w:sz w:val="18"/>
                <w:szCs w:val="18"/>
              </w:rPr>
            </w:pPr>
            <w:r w:rsidRPr="001B4CA2">
              <w:rPr>
                <w:sz w:val="18"/>
                <w:szCs w:val="18"/>
              </w:rPr>
              <w:t>9</w:t>
            </w:r>
          </w:p>
        </w:tc>
        <w:tc>
          <w:tcPr>
            <w:tcW w:w="718" w:type="dxa"/>
            <w:tcBorders>
              <w:top w:val="nil"/>
              <w:left w:val="nil"/>
              <w:bottom w:val="single" w:sz="4" w:space="0" w:color="auto"/>
              <w:right w:val="single" w:sz="4" w:space="0" w:color="auto"/>
            </w:tcBorders>
            <w:shd w:val="clear" w:color="auto" w:fill="auto"/>
            <w:noWrap/>
            <w:vAlign w:val="center"/>
          </w:tcPr>
          <w:p w14:paraId="7CD5618A"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210BE9FD" w14:textId="77777777" w:rsidR="00CF336B" w:rsidRPr="001B4CA2" w:rsidRDefault="00CF336B" w:rsidP="00A14600">
            <w:pPr>
              <w:jc w:val="center"/>
              <w:rPr>
                <w:sz w:val="18"/>
                <w:szCs w:val="18"/>
              </w:rPr>
            </w:pPr>
            <w:r w:rsidRPr="001B4CA2">
              <w:rPr>
                <w:sz w:val="18"/>
                <w:szCs w:val="18"/>
              </w:rPr>
              <w:t>5</w:t>
            </w:r>
          </w:p>
        </w:tc>
        <w:tc>
          <w:tcPr>
            <w:tcW w:w="719" w:type="dxa"/>
            <w:tcBorders>
              <w:top w:val="nil"/>
              <w:left w:val="nil"/>
              <w:bottom w:val="single" w:sz="4" w:space="0" w:color="auto"/>
              <w:right w:val="single" w:sz="4" w:space="0" w:color="auto"/>
            </w:tcBorders>
            <w:shd w:val="clear" w:color="auto" w:fill="auto"/>
            <w:noWrap/>
            <w:vAlign w:val="center"/>
          </w:tcPr>
          <w:p w14:paraId="611C5651"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7283F3D" w14:textId="77777777" w:rsidR="00CF336B" w:rsidRPr="001B4CA2" w:rsidRDefault="00CF336B" w:rsidP="00A14600">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7E0ECA84"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87C3579"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701C1ED2"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01D76384"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F1170EE"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1B263A39"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24946C6F"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6D109BFD" w14:textId="77777777" w:rsidR="00CF336B" w:rsidRPr="001B4CA2" w:rsidRDefault="00CF336B" w:rsidP="00A14600">
            <w:pPr>
              <w:jc w:val="center"/>
              <w:rPr>
                <w:sz w:val="18"/>
                <w:szCs w:val="18"/>
              </w:rPr>
            </w:pPr>
          </w:p>
        </w:tc>
        <w:tc>
          <w:tcPr>
            <w:tcW w:w="669" w:type="dxa"/>
            <w:tcBorders>
              <w:top w:val="nil"/>
              <w:left w:val="nil"/>
              <w:bottom w:val="single" w:sz="4" w:space="0" w:color="auto"/>
              <w:right w:val="single" w:sz="4" w:space="0" w:color="auto"/>
            </w:tcBorders>
            <w:shd w:val="clear" w:color="auto" w:fill="auto"/>
            <w:noWrap/>
            <w:vAlign w:val="center"/>
          </w:tcPr>
          <w:p w14:paraId="313D258F" w14:textId="77777777" w:rsidR="00CF336B" w:rsidRPr="001B4CA2" w:rsidRDefault="00CF336B" w:rsidP="00A14600">
            <w:pPr>
              <w:jc w:val="center"/>
              <w:rPr>
                <w:sz w:val="18"/>
                <w:szCs w:val="18"/>
              </w:rPr>
            </w:pPr>
            <w:r w:rsidRPr="001B4CA2">
              <w:rPr>
                <w:sz w:val="18"/>
                <w:szCs w:val="18"/>
              </w:rPr>
              <w:t>36</w:t>
            </w:r>
          </w:p>
        </w:tc>
        <w:tc>
          <w:tcPr>
            <w:tcW w:w="717" w:type="dxa"/>
            <w:tcBorders>
              <w:top w:val="nil"/>
              <w:left w:val="nil"/>
              <w:bottom w:val="single" w:sz="4" w:space="0" w:color="auto"/>
              <w:right w:val="single" w:sz="4" w:space="0" w:color="auto"/>
            </w:tcBorders>
            <w:shd w:val="clear" w:color="auto" w:fill="auto"/>
            <w:vAlign w:val="center"/>
          </w:tcPr>
          <w:p w14:paraId="11D6A11D" w14:textId="77777777" w:rsidR="00CF336B" w:rsidRPr="001B4CA2" w:rsidRDefault="00CF336B" w:rsidP="00A14600">
            <w:pPr>
              <w:jc w:val="center"/>
              <w:rPr>
                <w:sz w:val="18"/>
                <w:szCs w:val="18"/>
              </w:rPr>
            </w:pPr>
            <w:r w:rsidRPr="001B4CA2">
              <w:rPr>
                <w:sz w:val="18"/>
                <w:szCs w:val="18"/>
              </w:rPr>
              <w:t>26</w:t>
            </w:r>
          </w:p>
        </w:tc>
      </w:tr>
      <w:tr w:rsidR="00CF336B" w:rsidRPr="001B4CA2" w14:paraId="50A6EA8A"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0FA41007" w14:textId="77777777" w:rsidR="00CF336B" w:rsidRPr="001B4CA2" w:rsidRDefault="00CF336B" w:rsidP="00A14600">
            <w:pPr>
              <w:jc w:val="left"/>
              <w:rPr>
                <w:bCs/>
                <w:sz w:val="16"/>
                <w:szCs w:val="16"/>
                <w:lang w:eastAsia="hr-HR"/>
              </w:rPr>
            </w:pPr>
            <w:r w:rsidRPr="001B4CA2">
              <w:rPr>
                <w:bCs/>
                <w:sz w:val="16"/>
                <w:szCs w:val="16"/>
                <w:lang w:eastAsia="hr-HR"/>
              </w:rPr>
              <w:t>Ministarstvo poljoprivrede</w:t>
            </w:r>
          </w:p>
        </w:tc>
        <w:tc>
          <w:tcPr>
            <w:tcW w:w="718" w:type="dxa"/>
            <w:tcBorders>
              <w:top w:val="nil"/>
              <w:left w:val="nil"/>
              <w:bottom w:val="single" w:sz="4" w:space="0" w:color="auto"/>
              <w:right w:val="single" w:sz="4" w:space="0" w:color="auto"/>
            </w:tcBorders>
            <w:shd w:val="clear" w:color="auto" w:fill="auto"/>
            <w:noWrap/>
            <w:vAlign w:val="center"/>
          </w:tcPr>
          <w:p w14:paraId="2407A78C" w14:textId="77777777" w:rsidR="00CF336B" w:rsidRPr="001B4CA2" w:rsidRDefault="00CF336B" w:rsidP="00A14600">
            <w:pPr>
              <w:jc w:val="center"/>
              <w:rPr>
                <w:sz w:val="18"/>
                <w:szCs w:val="18"/>
              </w:rPr>
            </w:pPr>
            <w:r w:rsidRPr="001B4CA2">
              <w:rPr>
                <w:sz w:val="18"/>
                <w:szCs w:val="18"/>
              </w:rPr>
              <w:t>161</w:t>
            </w:r>
          </w:p>
        </w:tc>
        <w:tc>
          <w:tcPr>
            <w:tcW w:w="719" w:type="dxa"/>
            <w:tcBorders>
              <w:top w:val="nil"/>
              <w:left w:val="nil"/>
              <w:bottom w:val="single" w:sz="4" w:space="0" w:color="auto"/>
              <w:right w:val="single" w:sz="4" w:space="0" w:color="auto"/>
            </w:tcBorders>
            <w:shd w:val="clear" w:color="auto" w:fill="auto"/>
            <w:noWrap/>
            <w:vAlign w:val="center"/>
          </w:tcPr>
          <w:p w14:paraId="54B378E1" w14:textId="77777777" w:rsidR="00CF336B" w:rsidRPr="001B4CA2" w:rsidRDefault="00CF336B" w:rsidP="00A14600">
            <w:pPr>
              <w:jc w:val="center"/>
              <w:rPr>
                <w:sz w:val="18"/>
                <w:szCs w:val="18"/>
              </w:rPr>
            </w:pPr>
            <w:r w:rsidRPr="001B4CA2">
              <w:rPr>
                <w:sz w:val="18"/>
                <w:szCs w:val="18"/>
              </w:rPr>
              <w:t>362</w:t>
            </w:r>
          </w:p>
        </w:tc>
        <w:tc>
          <w:tcPr>
            <w:tcW w:w="719" w:type="dxa"/>
            <w:tcBorders>
              <w:top w:val="nil"/>
              <w:left w:val="nil"/>
              <w:bottom w:val="single" w:sz="4" w:space="0" w:color="auto"/>
              <w:right w:val="single" w:sz="4" w:space="0" w:color="auto"/>
            </w:tcBorders>
            <w:shd w:val="clear" w:color="auto" w:fill="auto"/>
            <w:noWrap/>
            <w:vAlign w:val="center"/>
          </w:tcPr>
          <w:p w14:paraId="04313379" w14:textId="77777777" w:rsidR="00CF336B" w:rsidRPr="001B4CA2" w:rsidRDefault="00CF336B" w:rsidP="00A14600">
            <w:pPr>
              <w:jc w:val="center"/>
              <w:rPr>
                <w:sz w:val="18"/>
                <w:szCs w:val="18"/>
              </w:rPr>
            </w:pPr>
            <w:r w:rsidRPr="001B4CA2">
              <w:rPr>
                <w:sz w:val="18"/>
                <w:szCs w:val="18"/>
              </w:rPr>
              <w:t>84</w:t>
            </w:r>
          </w:p>
        </w:tc>
        <w:tc>
          <w:tcPr>
            <w:tcW w:w="719" w:type="dxa"/>
            <w:tcBorders>
              <w:top w:val="nil"/>
              <w:left w:val="nil"/>
              <w:bottom w:val="single" w:sz="4" w:space="0" w:color="auto"/>
              <w:right w:val="single" w:sz="4" w:space="0" w:color="auto"/>
            </w:tcBorders>
            <w:shd w:val="clear" w:color="auto" w:fill="auto"/>
            <w:noWrap/>
            <w:vAlign w:val="center"/>
          </w:tcPr>
          <w:p w14:paraId="6E90535D" w14:textId="77777777" w:rsidR="00CF336B" w:rsidRPr="001B4CA2" w:rsidRDefault="00CF336B" w:rsidP="00A14600">
            <w:pPr>
              <w:jc w:val="center"/>
              <w:rPr>
                <w:sz w:val="18"/>
                <w:szCs w:val="18"/>
              </w:rPr>
            </w:pPr>
            <w:r w:rsidRPr="001B4CA2">
              <w:rPr>
                <w:sz w:val="18"/>
                <w:szCs w:val="18"/>
              </w:rPr>
              <w:t>12</w:t>
            </w:r>
          </w:p>
        </w:tc>
        <w:tc>
          <w:tcPr>
            <w:tcW w:w="718" w:type="dxa"/>
            <w:tcBorders>
              <w:top w:val="nil"/>
              <w:left w:val="nil"/>
              <w:bottom w:val="single" w:sz="4" w:space="0" w:color="auto"/>
              <w:right w:val="single" w:sz="4" w:space="0" w:color="auto"/>
            </w:tcBorders>
            <w:shd w:val="clear" w:color="auto" w:fill="auto"/>
            <w:noWrap/>
            <w:vAlign w:val="center"/>
          </w:tcPr>
          <w:p w14:paraId="31DB0FA5" w14:textId="77777777" w:rsidR="00CF336B" w:rsidRPr="001B4CA2" w:rsidRDefault="00CF336B" w:rsidP="00A14600">
            <w:pPr>
              <w:jc w:val="center"/>
              <w:rPr>
                <w:sz w:val="18"/>
                <w:szCs w:val="18"/>
              </w:rPr>
            </w:pPr>
            <w:r w:rsidRPr="001B4CA2">
              <w:rPr>
                <w:sz w:val="18"/>
                <w:szCs w:val="18"/>
              </w:rPr>
              <w:t>3</w:t>
            </w:r>
          </w:p>
        </w:tc>
        <w:tc>
          <w:tcPr>
            <w:tcW w:w="719" w:type="dxa"/>
            <w:tcBorders>
              <w:top w:val="nil"/>
              <w:left w:val="nil"/>
              <w:bottom w:val="single" w:sz="4" w:space="0" w:color="auto"/>
              <w:right w:val="single" w:sz="4" w:space="0" w:color="auto"/>
            </w:tcBorders>
            <w:shd w:val="clear" w:color="auto" w:fill="auto"/>
            <w:noWrap/>
            <w:vAlign w:val="center"/>
          </w:tcPr>
          <w:p w14:paraId="3BF40655" w14:textId="77777777" w:rsidR="00CF336B" w:rsidRPr="001B4CA2" w:rsidRDefault="00CF336B" w:rsidP="00A14600">
            <w:pPr>
              <w:jc w:val="center"/>
              <w:rPr>
                <w:sz w:val="18"/>
                <w:szCs w:val="18"/>
              </w:rPr>
            </w:pPr>
            <w:r w:rsidRPr="001B4CA2">
              <w:rPr>
                <w:sz w:val="18"/>
                <w:szCs w:val="18"/>
              </w:rPr>
              <w:t>10</w:t>
            </w:r>
          </w:p>
        </w:tc>
        <w:tc>
          <w:tcPr>
            <w:tcW w:w="719" w:type="dxa"/>
            <w:tcBorders>
              <w:top w:val="nil"/>
              <w:left w:val="nil"/>
              <w:bottom w:val="single" w:sz="4" w:space="0" w:color="auto"/>
              <w:right w:val="single" w:sz="4" w:space="0" w:color="auto"/>
            </w:tcBorders>
            <w:shd w:val="clear" w:color="auto" w:fill="auto"/>
            <w:noWrap/>
            <w:vAlign w:val="center"/>
          </w:tcPr>
          <w:p w14:paraId="1BA3B91B"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73010C8F" w14:textId="77777777" w:rsidR="00CF336B" w:rsidRPr="001B4CA2" w:rsidRDefault="00CF336B" w:rsidP="00A14600">
            <w:pPr>
              <w:jc w:val="center"/>
              <w:rPr>
                <w:sz w:val="18"/>
                <w:szCs w:val="18"/>
              </w:rPr>
            </w:pPr>
            <w:r w:rsidRPr="001B4CA2">
              <w:rPr>
                <w:sz w:val="18"/>
                <w:szCs w:val="18"/>
              </w:rPr>
              <w:t>4</w:t>
            </w:r>
          </w:p>
        </w:tc>
        <w:tc>
          <w:tcPr>
            <w:tcW w:w="718" w:type="dxa"/>
            <w:tcBorders>
              <w:top w:val="nil"/>
              <w:left w:val="nil"/>
              <w:bottom w:val="single" w:sz="4" w:space="0" w:color="auto"/>
              <w:right w:val="single" w:sz="4" w:space="0" w:color="auto"/>
            </w:tcBorders>
            <w:shd w:val="clear" w:color="auto" w:fill="auto"/>
            <w:noWrap/>
            <w:vAlign w:val="center"/>
          </w:tcPr>
          <w:p w14:paraId="0A4BBC4B"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68343EB"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44D14A77"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2C2284A2"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34706AE"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16D81429"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7A8A1F4A"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1FDF5524" w14:textId="77777777" w:rsidR="00CF336B" w:rsidRPr="001B4CA2" w:rsidRDefault="00CF336B" w:rsidP="00A14600">
            <w:pPr>
              <w:jc w:val="center"/>
              <w:rPr>
                <w:sz w:val="18"/>
                <w:szCs w:val="18"/>
              </w:rPr>
            </w:pPr>
            <w:r w:rsidRPr="001B4CA2">
              <w:rPr>
                <w:sz w:val="18"/>
                <w:szCs w:val="18"/>
              </w:rPr>
              <w:t>4</w:t>
            </w:r>
          </w:p>
        </w:tc>
        <w:tc>
          <w:tcPr>
            <w:tcW w:w="669" w:type="dxa"/>
            <w:tcBorders>
              <w:top w:val="nil"/>
              <w:left w:val="nil"/>
              <w:bottom w:val="single" w:sz="4" w:space="0" w:color="auto"/>
              <w:right w:val="single" w:sz="4" w:space="0" w:color="auto"/>
            </w:tcBorders>
            <w:shd w:val="clear" w:color="auto" w:fill="auto"/>
            <w:noWrap/>
            <w:vAlign w:val="center"/>
          </w:tcPr>
          <w:p w14:paraId="55D21846" w14:textId="77777777" w:rsidR="00CF336B" w:rsidRPr="001B4CA2" w:rsidRDefault="00CF336B" w:rsidP="00A14600">
            <w:pPr>
              <w:jc w:val="center"/>
              <w:rPr>
                <w:sz w:val="18"/>
                <w:szCs w:val="18"/>
              </w:rPr>
            </w:pPr>
            <w:r w:rsidRPr="001B4CA2">
              <w:rPr>
                <w:sz w:val="18"/>
                <w:szCs w:val="18"/>
              </w:rPr>
              <w:t>248</w:t>
            </w:r>
          </w:p>
        </w:tc>
        <w:tc>
          <w:tcPr>
            <w:tcW w:w="717" w:type="dxa"/>
            <w:tcBorders>
              <w:top w:val="nil"/>
              <w:left w:val="nil"/>
              <w:bottom w:val="single" w:sz="4" w:space="0" w:color="auto"/>
              <w:right w:val="single" w:sz="4" w:space="0" w:color="auto"/>
            </w:tcBorders>
            <w:shd w:val="clear" w:color="auto" w:fill="auto"/>
            <w:vAlign w:val="center"/>
          </w:tcPr>
          <w:p w14:paraId="77FA193B" w14:textId="77777777" w:rsidR="00CF336B" w:rsidRPr="001B4CA2" w:rsidRDefault="00CF336B" w:rsidP="00A14600">
            <w:pPr>
              <w:jc w:val="center"/>
              <w:rPr>
                <w:sz w:val="18"/>
                <w:szCs w:val="18"/>
              </w:rPr>
            </w:pPr>
            <w:r w:rsidRPr="001B4CA2">
              <w:rPr>
                <w:sz w:val="18"/>
                <w:szCs w:val="18"/>
              </w:rPr>
              <w:t>392</w:t>
            </w:r>
          </w:p>
        </w:tc>
      </w:tr>
      <w:tr w:rsidR="00CF336B" w:rsidRPr="001B4CA2" w14:paraId="63F056B2"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2E807E96" w14:textId="77777777" w:rsidR="00CF336B" w:rsidRPr="001B4CA2" w:rsidRDefault="00CF336B" w:rsidP="00A14600">
            <w:pPr>
              <w:jc w:val="left"/>
              <w:rPr>
                <w:bCs/>
                <w:sz w:val="16"/>
                <w:szCs w:val="16"/>
                <w:lang w:eastAsia="hr-HR"/>
              </w:rPr>
            </w:pPr>
            <w:r w:rsidRPr="001B4CA2">
              <w:rPr>
                <w:bCs/>
                <w:sz w:val="16"/>
                <w:szCs w:val="16"/>
                <w:lang w:eastAsia="hr-HR"/>
              </w:rPr>
              <w:t>Ministarstvo turizma i sporta</w:t>
            </w:r>
          </w:p>
        </w:tc>
        <w:tc>
          <w:tcPr>
            <w:tcW w:w="718" w:type="dxa"/>
            <w:tcBorders>
              <w:top w:val="nil"/>
              <w:left w:val="nil"/>
              <w:bottom w:val="single" w:sz="4" w:space="0" w:color="auto"/>
              <w:right w:val="single" w:sz="4" w:space="0" w:color="auto"/>
            </w:tcBorders>
            <w:shd w:val="clear" w:color="auto" w:fill="auto"/>
            <w:noWrap/>
            <w:vAlign w:val="center"/>
          </w:tcPr>
          <w:p w14:paraId="1284FACA" w14:textId="77777777" w:rsidR="00CF336B" w:rsidRPr="001B4CA2" w:rsidRDefault="00CF336B" w:rsidP="00A14600">
            <w:pPr>
              <w:jc w:val="center"/>
              <w:rPr>
                <w:sz w:val="18"/>
                <w:szCs w:val="18"/>
              </w:rPr>
            </w:pPr>
            <w:r w:rsidRPr="001B4CA2">
              <w:rPr>
                <w:sz w:val="18"/>
                <w:szCs w:val="18"/>
              </w:rPr>
              <w:t>3</w:t>
            </w:r>
          </w:p>
        </w:tc>
        <w:tc>
          <w:tcPr>
            <w:tcW w:w="719" w:type="dxa"/>
            <w:tcBorders>
              <w:top w:val="nil"/>
              <w:left w:val="nil"/>
              <w:bottom w:val="single" w:sz="4" w:space="0" w:color="auto"/>
              <w:right w:val="single" w:sz="4" w:space="0" w:color="auto"/>
            </w:tcBorders>
            <w:shd w:val="clear" w:color="auto" w:fill="auto"/>
            <w:noWrap/>
            <w:vAlign w:val="center"/>
          </w:tcPr>
          <w:p w14:paraId="1295D700"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965D6A5"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72E841E5" w14:textId="77777777" w:rsidR="00CF336B" w:rsidRPr="001B4CA2" w:rsidRDefault="00CF336B" w:rsidP="00A14600">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5334D2BF"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2C85BA3C" w14:textId="77777777" w:rsidR="00CF336B" w:rsidRPr="001B4CA2" w:rsidRDefault="00CF336B" w:rsidP="00A14600">
            <w:pPr>
              <w:jc w:val="center"/>
              <w:rPr>
                <w:sz w:val="18"/>
                <w:szCs w:val="18"/>
              </w:rPr>
            </w:pPr>
            <w:r w:rsidRPr="001B4CA2">
              <w:rPr>
                <w:sz w:val="18"/>
                <w:szCs w:val="18"/>
              </w:rPr>
              <w:t>1</w:t>
            </w:r>
          </w:p>
        </w:tc>
        <w:tc>
          <w:tcPr>
            <w:tcW w:w="719" w:type="dxa"/>
            <w:tcBorders>
              <w:top w:val="nil"/>
              <w:left w:val="nil"/>
              <w:bottom w:val="single" w:sz="4" w:space="0" w:color="auto"/>
              <w:right w:val="single" w:sz="4" w:space="0" w:color="auto"/>
            </w:tcBorders>
            <w:shd w:val="clear" w:color="auto" w:fill="auto"/>
            <w:noWrap/>
            <w:vAlign w:val="center"/>
          </w:tcPr>
          <w:p w14:paraId="21466943"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25410489" w14:textId="77777777" w:rsidR="00CF336B" w:rsidRPr="001B4CA2" w:rsidRDefault="00CF336B" w:rsidP="00A14600">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4A57C367"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23F012C6"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4C0CECED"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26EA2660"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FCF0863"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4481C429"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414F3F06"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183192C3" w14:textId="77777777" w:rsidR="00CF336B" w:rsidRPr="001B4CA2" w:rsidRDefault="00CF336B" w:rsidP="00A14600">
            <w:pPr>
              <w:jc w:val="center"/>
              <w:rPr>
                <w:sz w:val="18"/>
                <w:szCs w:val="18"/>
              </w:rPr>
            </w:pPr>
          </w:p>
        </w:tc>
        <w:tc>
          <w:tcPr>
            <w:tcW w:w="669" w:type="dxa"/>
            <w:tcBorders>
              <w:top w:val="nil"/>
              <w:left w:val="nil"/>
              <w:bottom w:val="single" w:sz="4" w:space="0" w:color="auto"/>
              <w:right w:val="single" w:sz="4" w:space="0" w:color="auto"/>
            </w:tcBorders>
            <w:shd w:val="clear" w:color="auto" w:fill="auto"/>
            <w:noWrap/>
            <w:vAlign w:val="center"/>
          </w:tcPr>
          <w:p w14:paraId="40D8048D" w14:textId="77777777" w:rsidR="00CF336B" w:rsidRPr="001B4CA2" w:rsidRDefault="00CF336B" w:rsidP="00A14600">
            <w:pPr>
              <w:jc w:val="center"/>
              <w:rPr>
                <w:sz w:val="18"/>
                <w:szCs w:val="18"/>
              </w:rPr>
            </w:pPr>
            <w:r w:rsidRPr="001B4CA2">
              <w:rPr>
                <w:sz w:val="18"/>
                <w:szCs w:val="18"/>
              </w:rPr>
              <w:t>3</w:t>
            </w:r>
          </w:p>
        </w:tc>
        <w:tc>
          <w:tcPr>
            <w:tcW w:w="717" w:type="dxa"/>
            <w:tcBorders>
              <w:top w:val="nil"/>
              <w:left w:val="nil"/>
              <w:bottom w:val="single" w:sz="4" w:space="0" w:color="auto"/>
              <w:right w:val="single" w:sz="4" w:space="0" w:color="auto"/>
            </w:tcBorders>
            <w:shd w:val="clear" w:color="auto" w:fill="auto"/>
            <w:vAlign w:val="center"/>
          </w:tcPr>
          <w:p w14:paraId="3A337A87" w14:textId="77777777" w:rsidR="00CF336B" w:rsidRPr="001B4CA2" w:rsidRDefault="00CF336B" w:rsidP="00A14600">
            <w:pPr>
              <w:jc w:val="center"/>
              <w:rPr>
                <w:sz w:val="18"/>
                <w:szCs w:val="18"/>
              </w:rPr>
            </w:pPr>
            <w:r w:rsidRPr="001B4CA2">
              <w:rPr>
                <w:sz w:val="18"/>
                <w:szCs w:val="18"/>
              </w:rPr>
              <w:t>1</w:t>
            </w:r>
          </w:p>
        </w:tc>
      </w:tr>
      <w:tr w:rsidR="00CF336B" w:rsidRPr="001B4CA2" w14:paraId="5BA3D8D0"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163AD9B6" w14:textId="77777777" w:rsidR="00CF336B" w:rsidRPr="001B4CA2" w:rsidRDefault="00CF336B" w:rsidP="00A14600">
            <w:pPr>
              <w:jc w:val="left"/>
              <w:rPr>
                <w:bCs/>
                <w:sz w:val="16"/>
                <w:szCs w:val="16"/>
                <w:lang w:eastAsia="hr-HR"/>
              </w:rPr>
            </w:pPr>
            <w:r w:rsidRPr="001B4CA2">
              <w:rPr>
                <w:bCs/>
                <w:sz w:val="16"/>
                <w:szCs w:val="16"/>
                <w:lang w:eastAsia="hr-HR"/>
              </w:rPr>
              <w:t xml:space="preserve">Ministarstvo znanosti i obrazovanja </w:t>
            </w:r>
          </w:p>
        </w:tc>
        <w:tc>
          <w:tcPr>
            <w:tcW w:w="718" w:type="dxa"/>
            <w:tcBorders>
              <w:top w:val="nil"/>
              <w:left w:val="nil"/>
              <w:bottom w:val="single" w:sz="4" w:space="0" w:color="auto"/>
              <w:right w:val="single" w:sz="4" w:space="0" w:color="auto"/>
            </w:tcBorders>
            <w:shd w:val="clear" w:color="auto" w:fill="auto"/>
            <w:noWrap/>
            <w:vAlign w:val="center"/>
          </w:tcPr>
          <w:p w14:paraId="6ABED5EF"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36222238"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56878380" w14:textId="77777777" w:rsidR="00CF336B" w:rsidRPr="001B4CA2" w:rsidRDefault="00CF336B" w:rsidP="00A14600">
            <w:pPr>
              <w:jc w:val="center"/>
              <w:rPr>
                <w:sz w:val="18"/>
                <w:szCs w:val="18"/>
              </w:rPr>
            </w:pPr>
            <w:r w:rsidRPr="001B4CA2">
              <w:rPr>
                <w:sz w:val="18"/>
                <w:szCs w:val="18"/>
              </w:rPr>
              <w:t>6</w:t>
            </w:r>
          </w:p>
        </w:tc>
        <w:tc>
          <w:tcPr>
            <w:tcW w:w="719" w:type="dxa"/>
            <w:tcBorders>
              <w:top w:val="nil"/>
              <w:left w:val="nil"/>
              <w:bottom w:val="single" w:sz="4" w:space="0" w:color="auto"/>
              <w:right w:val="single" w:sz="4" w:space="0" w:color="auto"/>
            </w:tcBorders>
            <w:shd w:val="clear" w:color="auto" w:fill="auto"/>
            <w:noWrap/>
            <w:vAlign w:val="center"/>
          </w:tcPr>
          <w:p w14:paraId="27CCB871" w14:textId="77777777" w:rsidR="00CF336B" w:rsidRPr="001B4CA2" w:rsidRDefault="00CF336B" w:rsidP="00A14600">
            <w:pPr>
              <w:jc w:val="center"/>
              <w:rPr>
                <w:sz w:val="18"/>
                <w:szCs w:val="18"/>
              </w:rPr>
            </w:pPr>
            <w:r w:rsidRPr="001B4CA2">
              <w:rPr>
                <w:sz w:val="18"/>
                <w:szCs w:val="18"/>
              </w:rPr>
              <w:t>7</w:t>
            </w:r>
          </w:p>
        </w:tc>
        <w:tc>
          <w:tcPr>
            <w:tcW w:w="718" w:type="dxa"/>
            <w:tcBorders>
              <w:top w:val="nil"/>
              <w:left w:val="nil"/>
              <w:bottom w:val="single" w:sz="4" w:space="0" w:color="auto"/>
              <w:right w:val="single" w:sz="4" w:space="0" w:color="auto"/>
            </w:tcBorders>
            <w:shd w:val="clear" w:color="auto" w:fill="auto"/>
            <w:noWrap/>
            <w:vAlign w:val="center"/>
          </w:tcPr>
          <w:p w14:paraId="73CC92F3"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A2E748F" w14:textId="77777777" w:rsidR="00CF336B" w:rsidRPr="001B4CA2" w:rsidRDefault="00CF336B" w:rsidP="00A14600">
            <w:pPr>
              <w:jc w:val="center"/>
              <w:rPr>
                <w:sz w:val="18"/>
                <w:szCs w:val="18"/>
              </w:rPr>
            </w:pPr>
            <w:r w:rsidRPr="001B4CA2">
              <w:rPr>
                <w:sz w:val="18"/>
                <w:szCs w:val="18"/>
              </w:rPr>
              <w:t>4</w:t>
            </w:r>
          </w:p>
        </w:tc>
        <w:tc>
          <w:tcPr>
            <w:tcW w:w="719" w:type="dxa"/>
            <w:tcBorders>
              <w:top w:val="nil"/>
              <w:left w:val="nil"/>
              <w:bottom w:val="single" w:sz="4" w:space="0" w:color="auto"/>
              <w:right w:val="single" w:sz="4" w:space="0" w:color="auto"/>
            </w:tcBorders>
            <w:shd w:val="clear" w:color="auto" w:fill="auto"/>
            <w:noWrap/>
            <w:vAlign w:val="center"/>
          </w:tcPr>
          <w:p w14:paraId="333A443A"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5D583A56" w14:textId="77777777" w:rsidR="00CF336B" w:rsidRPr="001B4CA2" w:rsidRDefault="00CF336B" w:rsidP="00A14600">
            <w:pPr>
              <w:jc w:val="center"/>
              <w:rPr>
                <w:sz w:val="18"/>
                <w:szCs w:val="18"/>
              </w:rPr>
            </w:pPr>
            <w:r w:rsidRPr="001B4CA2">
              <w:rPr>
                <w:sz w:val="18"/>
                <w:szCs w:val="18"/>
              </w:rPr>
              <w:t>1</w:t>
            </w:r>
          </w:p>
        </w:tc>
        <w:tc>
          <w:tcPr>
            <w:tcW w:w="718" w:type="dxa"/>
            <w:tcBorders>
              <w:top w:val="nil"/>
              <w:left w:val="nil"/>
              <w:bottom w:val="single" w:sz="4" w:space="0" w:color="auto"/>
              <w:right w:val="single" w:sz="4" w:space="0" w:color="auto"/>
            </w:tcBorders>
            <w:shd w:val="clear" w:color="auto" w:fill="auto"/>
            <w:noWrap/>
            <w:vAlign w:val="center"/>
          </w:tcPr>
          <w:p w14:paraId="1CC2EA35"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7C9FBB7B"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6E861C9"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6BFC187C"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41443D4A"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71F01D9E"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23AD1928"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42AAD698" w14:textId="77777777" w:rsidR="00CF336B" w:rsidRPr="001B4CA2" w:rsidRDefault="00CF336B" w:rsidP="00A14600">
            <w:pPr>
              <w:jc w:val="center"/>
              <w:rPr>
                <w:sz w:val="18"/>
                <w:szCs w:val="18"/>
              </w:rPr>
            </w:pPr>
          </w:p>
        </w:tc>
        <w:tc>
          <w:tcPr>
            <w:tcW w:w="669" w:type="dxa"/>
            <w:tcBorders>
              <w:top w:val="nil"/>
              <w:left w:val="nil"/>
              <w:bottom w:val="single" w:sz="4" w:space="0" w:color="auto"/>
              <w:right w:val="single" w:sz="4" w:space="0" w:color="auto"/>
            </w:tcBorders>
            <w:shd w:val="clear" w:color="auto" w:fill="auto"/>
            <w:noWrap/>
            <w:vAlign w:val="center"/>
          </w:tcPr>
          <w:p w14:paraId="2EF74E80" w14:textId="77777777" w:rsidR="00CF336B" w:rsidRPr="001B4CA2" w:rsidRDefault="00CF336B" w:rsidP="00A14600">
            <w:pPr>
              <w:jc w:val="center"/>
              <w:rPr>
                <w:sz w:val="18"/>
                <w:szCs w:val="18"/>
              </w:rPr>
            </w:pPr>
            <w:r w:rsidRPr="001B4CA2">
              <w:rPr>
                <w:sz w:val="18"/>
                <w:szCs w:val="18"/>
              </w:rPr>
              <w:t>6</w:t>
            </w:r>
          </w:p>
        </w:tc>
        <w:tc>
          <w:tcPr>
            <w:tcW w:w="717" w:type="dxa"/>
            <w:tcBorders>
              <w:top w:val="nil"/>
              <w:left w:val="nil"/>
              <w:bottom w:val="single" w:sz="4" w:space="0" w:color="auto"/>
              <w:right w:val="single" w:sz="4" w:space="0" w:color="auto"/>
            </w:tcBorders>
            <w:shd w:val="clear" w:color="auto" w:fill="auto"/>
            <w:vAlign w:val="center"/>
          </w:tcPr>
          <w:p w14:paraId="608B50B3" w14:textId="77777777" w:rsidR="00CF336B" w:rsidRPr="001B4CA2" w:rsidRDefault="00CF336B" w:rsidP="00A14600">
            <w:pPr>
              <w:jc w:val="center"/>
              <w:rPr>
                <w:sz w:val="18"/>
                <w:szCs w:val="18"/>
              </w:rPr>
            </w:pPr>
            <w:r w:rsidRPr="001B4CA2">
              <w:rPr>
                <w:sz w:val="18"/>
                <w:szCs w:val="18"/>
              </w:rPr>
              <w:t>12</w:t>
            </w:r>
          </w:p>
        </w:tc>
      </w:tr>
      <w:tr w:rsidR="00CF336B" w:rsidRPr="001B4CA2" w14:paraId="16CD2D6C"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37C19215" w14:textId="77777777" w:rsidR="00CF336B" w:rsidRPr="001B4CA2" w:rsidRDefault="00CF336B" w:rsidP="00A14600">
            <w:pPr>
              <w:jc w:val="left"/>
              <w:rPr>
                <w:bCs/>
                <w:sz w:val="16"/>
                <w:szCs w:val="16"/>
                <w:lang w:eastAsia="hr-HR"/>
              </w:rPr>
            </w:pPr>
            <w:r w:rsidRPr="001B4CA2">
              <w:rPr>
                <w:bCs/>
                <w:sz w:val="16"/>
                <w:szCs w:val="16"/>
                <w:lang w:eastAsia="hr-HR"/>
              </w:rPr>
              <w:t>Ministarstvo kulture i medija</w:t>
            </w:r>
          </w:p>
        </w:tc>
        <w:tc>
          <w:tcPr>
            <w:tcW w:w="718" w:type="dxa"/>
            <w:tcBorders>
              <w:top w:val="nil"/>
              <w:left w:val="nil"/>
              <w:bottom w:val="single" w:sz="4" w:space="0" w:color="auto"/>
              <w:right w:val="single" w:sz="4" w:space="0" w:color="auto"/>
            </w:tcBorders>
            <w:shd w:val="clear" w:color="auto" w:fill="auto"/>
            <w:noWrap/>
            <w:vAlign w:val="center"/>
          </w:tcPr>
          <w:p w14:paraId="180E0666"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6D183791"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55189E93" w14:textId="77777777" w:rsidR="00CF336B" w:rsidRPr="001B4CA2" w:rsidRDefault="00CF336B" w:rsidP="00A14600">
            <w:pPr>
              <w:jc w:val="center"/>
              <w:rPr>
                <w:sz w:val="18"/>
                <w:szCs w:val="18"/>
              </w:rPr>
            </w:pPr>
            <w:r w:rsidRPr="001B4CA2">
              <w:rPr>
                <w:sz w:val="18"/>
                <w:szCs w:val="18"/>
              </w:rPr>
              <w:t>4</w:t>
            </w:r>
          </w:p>
        </w:tc>
        <w:tc>
          <w:tcPr>
            <w:tcW w:w="719" w:type="dxa"/>
            <w:tcBorders>
              <w:top w:val="nil"/>
              <w:left w:val="nil"/>
              <w:bottom w:val="single" w:sz="4" w:space="0" w:color="auto"/>
              <w:right w:val="single" w:sz="4" w:space="0" w:color="auto"/>
            </w:tcBorders>
            <w:shd w:val="clear" w:color="auto" w:fill="auto"/>
            <w:noWrap/>
            <w:vAlign w:val="center"/>
          </w:tcPr>
          <w:p w14:paraId="2C8852A2" w14:textId="77777777" w:rsidR="00CF336B" w:rsidRPr="001B4CA2" w:rsidRDefault="00CF336B" w:rsidP="00A14600">
            <w:pPr>
              <w:jc w:val="center"/>
              <w:rPr>
                <w:sz w:val="18"/>
                <w:szCs w:val="18"/>
              </w:rPr>
            </w:pPr>
            <w:r w:rsidRPr="001B4CA2">
              <w:rPr>
                <w:sz w:val="18"/>
                <w:szCs w:val="18"/>
              </w:rPr>
              <w:t>1</w:t>
            </w:r>
          </w:p>
        </w:tc>
        <w:tc>
          <w:tcPr>
            <w:tcW w:w="718" w:type="dxa"/>
            <w:tcBorders>
              <w:top w:val="nil"/>
              <w:left w:val="nil"/>
              <w:bottom w:val="single" w:sz="4" w:space="0" w:color="auto"/>
              <w:right w:val="single" w:sz="4" w:space="0" w:color="auto"/>
            </w:tcBorders>
            <w:shd w:val="clear" w:color="auto" w:fill="auto"/>
            <w:noWrap/>
            <w:vAlign w:val="center"/>
          </w:tcPr>
          <w:p w14:paraId="04D6D38B"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407E21EF"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41E8AEA2"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6804A68" w14:textId="77777777" w:rsidR="00CF336B" w:rsidRPr="001B4CA2" w:rsidRDefault="00CF336B" w:rsidP="00A14600">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52B32B2E"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3E8C74C7"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2D68D3CE"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299253B0"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6DA15636"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61753633"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68AD219C"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54EF4AC4" w14:textId="77777777" w:rsidR="00CF336B" w:rsidRPr="001B4CA2" w:rsidRDefault="00CF336B" w:rsidP="00A14600">
            <w:pPr>
              <w:jc w:val="center"/>
              <w:rPr>
                <w:sz w:val="18"/>
                <w:szCs w:val="18"/>
              </w:rPr>
            </w:pPr>
          </w:p>
        </w:tc>
        <w:tc>
          <w:tcPr>
            <w:tcW w:w="669" w:type="dxa"/>
            <w:tcBorders>
              <w:top w:val="nil"/>
              <w:left w:val="nil"/>
              <w:bottom w:val="single" w:sz="4" w:space="0" w:color="auto"/>
              <w:right w:val="single" w:sz="4" w:space="0" w:color="auto"/>
            </w:tcBorders>
            <w:shd w:val="clear" w:color="auto" w:fill="auto"/>
            <w:noWrap/>
            <w:vAlign w:val="center"/>
          </w:tcPr>
          <w:p w14:paraId="7B142D06" w14:textId="77777777" w:rsidR="00CF336B" w:rsidRPr="001B4CA2" w:rsidRDefault="00CF336B" w:rsidP="00A14600">
            <w:pPr>
              <w:jc w:val="center"/>
              <w:rPr>
                <w:sz w:val="18"/>
                <w:szCs w:val="18"/>
              </w:rPr>
            </w:pPr>
            <w:r w:rsidRPr="001B4CA2">
              <w:rPr>
                <w:sz w:val="18"/>
                <w:szCs w:val="18"/>
              </w:rPr>
              <w:t>4</w:t>
            </w:r>
          </w:p>
        </w:tc>
        <w:tc>
          <w:tcPr>
            <w:tcW w:w="717" w:type="dxa"/>
            <w:tcBorders>
              <w:top w:val="nil"/>
              <w:left w:val="nil"/>
              <w:bottom w:val="single" w:sz="4" w:space="0" w:color="auto"/>
              <w:right w:val="single" w:sz="4" w:space="0" w:color="auto"/>
            </w:tcBorders>
            <w:shd w:val="clear" w:color="auto" w:fill="auto"/>
            <w:vAlign w:val="center"/>
          </w:tcPr>
          <w:p w14:paraId="501027A1" w14:textId="77777777" w:rsidR="00CF336B" w:rsidRPr="001B4CA2" w:rsidRDefault="00CF336B" w:rsidP="00A14600">
            <w:pPr>
              <w:jc w:val="center"/>
              <w:rPr>
                <w:sz w:val="18"/>
                <w:szCs w:val="18"/>
              </w:rPr>
            </w:pPr>
            <w:r w:rsidRPr="001B4CA2">
              <w:rPr>
                <w:sz w:val="18"/>
                <w:szCs w:val="18"/>
              </w:rPr>
              <w:t>1</w:t>
            </w:r>
          </w:p>
        </w:tc>
      </w:tr>
      <w:tr w:rsidR="00CF336B" w:rsidRPr="001B4CA2" w14:paraId="3BEE2619"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vAlign w:val="center"/>
            <w:hideMark/>
          </w:tcPr>
          <w:p w14:paraId="58544B38" w14:textId="77777777" w:rsidR="00CF336B" w:rsidRPr="001B4CA2" w:rsidRDefault="00CF336B" w:rsidP="00A14600">
            <w:pPr>
              <w:jc w:val="left"/>
              <w:rPr>
                <w:bCs/>
                <w:sz w:val="16"/>
                <w:szCs w:val="16"/>
                <w:lang w:eastAsia="hr-HR"/>
              </w:rPr>
            </w:pPr>
            <w:r w:rsidRPr="001B4CA2">
              <w:rPr>
                <w:bCs/>
                <w:sz w:val="16"/>
                <w:szCs w:val="16"/>
                <w:lang w:eastAsia="hr-HR"/>
              </w:rPr>
              <w:t xml:space="preserve">Središnji državni ured za obnovu i stambeno zbrinjavanje </w:t>
            </w:r>
          </w:p>
        </w:tc>
        <w:tc>
          <w:tcPr>
            <w:tcW w:w="718" w:type="dxa"/>
            <w:tcBorders>
              <w:top w:val="nil"/>
              <w:left w:val="nil"/>
              <w:bottom w:val="single" w:sz="4" w:space="0" w:color="auto"/>
              <w:right w:val="single" w:sz="4" w:space="0" w:color="auto"/>
            </w:tcBorders>
            <w:shd w:val="clear" w:color="auto" w:fill="auto"/>
            <w:noWrap/>
            <w:vAlign w:val="center"/>
          </w:tcPr>
          <w:p w14:paraId="34D68C05" w14:textId="77777777" w:rsidR="00CF336B" w:rsidRPr="001B4CA2" w:rsidRDefault="00CF336B" w:rsidP="00A14600">
            <w:pPr>
              <w:jc w:val="center"/>
              <w:rPr>
                <w:sz w:val="18"/>
                <w:szCs w:val="18"/>
              </w:rPr>
            </w:pPr>
            <w:r w:rsidRPr="001B4CA2">
              <w:rPr>
                <w:sz w:val="18"/>
                <w:szCs w:val="18"/>
              </w:rPr>
              <w:t>6</w:t>
            </w:r>
          </w:p>
        </w:tc>
        <w:tc>
          <w:tcPr>
            <w:tcW w:w="719" w:type="dxa"/>
            <w:tcBorders>
              <w:top w:val="nil"/>
              <w:left w:val="nil"/>
              <w:bottom w:val="single" w:sz="4" w:space="0" w:color="auto"/>
              <w:right w:val="single" w:sz="4" w:space="0" w:color="auto"/>
            </w:tcBorders>
            <w:shd w:val="clear" w:color="auto" w:fill="auto"/>
            <w:noWrap/>
            <w:vAlign w:val="center"/>
          </w:tcPr>
          <w:p w14:paraId="25C66C24" w14:textId="77777777" w:rsidR="00CF336B" w:rsidRPr="001B4CA2" w:rsidRDefault="00CF336B" w:rsidP="00A14600">
            <w:pPr>
              <w:jc w:val="center"/>
              <w:rPr>
                <w:sz w:val="18"/>
                <w:szCs w:val="18"/>
              </w:rPr>
            </w:pPr>
            <w:r w:rsidRPr="001B4CA2">
              <w:rPr>
                <w:sz w:val="18"/>
                <w:szCs w:val="18"/>
              </w:rPr>
              <w:t>6</w:t>
            </w:r>
          </w:p>
        </w:tc>
        <w:tc>
          <w:tcPr>
            <w:tcW w:w="719" w:type="dxa"/>
            <w:tcBorders>
              <w:top w:val="nil"/>
              <w:left w:val="nil"/>
              <w:bottom w:val="single" w:sz="4" w:space="0" w:color="auto"/>
              <w:right w:val="single" w:sz="4" w:space="0" w:color="auto"/>
            </w:tcBorders>
            <w:shd w:val="clear" w:color="auto" w:fill="auto"/>
            <w:noWrap/>
            <w:vAlign w:val="center"/>
          </w:tcPr>
          <w:p w14:paraId="482F7021" w14:textId="77777777" w:rsidR="00CF336B" w:rsidRPr="001B4CA2" w:rsidRDefault="00CF336B" w:rsidP="00A14600">
            <w:pPr>
              <w:jc w:val="center"/>
              <w:rPr>
                <w:sz w:val="18"/>
                <w:szCs w:val="18"/>
              </w:rPr>
            </w:pPr>
            <w:r w:rsidRPr="001B4CA2">
              <w:rPr>
                <w:sz w:val="18"/>
                <w:szCs w:val="18"/>
              </w:rPr>
              <w:t>169</w:t>
            </w:r>
          </w:p>
        </w:tc>
        <w:tc>
          <w:tcPr>
            <w:tcW w:w="719" w:type="dxa"/>
            <w:tcBorders>
              <w:top w:val="nil"/>
              <w:left w:val="nil"/>
              <w:bottom w:val="single" w:sz="4" w:space="0" w:color="auto"/>
              <w:right w:val="single" w:sz="4" w:space="0" w:color="auto"/>
            </w:tcBorders>
            <w:shd w:val="clear" w:color="auto" w:fill="auto"/>
            <w:noWrap/>
            <w:vAlign w:val="center"/>
          </w:tcPr>
          <w:p w14:paraId="5EED6DAA" w14:textId="77777777" w:rsidR="00CF336B" w:rsidRPr="001B4CA2" w:rsidRDefault="00CF336B" w:rsidP="00A14600">
            <w:pPr>
              <w:jc w:val="center"/>
              <w:rPr>
                <w:sz w:val="18"/>
                <w:szCs w:val="18"/>
              </w:rPr>
            </w:pPr>
            <w:r w:rsidRPr="001B4CA2">
              <w:rPr>
                <w:sz w:val="18"/>
                <w:szCs w:val="18"/>
              </w:rPr>
              <w:t>33</w:t>
            </w:r>
          </w:p>
        </w:tc>
        <w:tc>
          <w:tcPr>
            <w:tcW w:w="718" w:type="dxa"/>
            <w:tcBorders>
              <w:top w:val="nil"/>
              <w:left w:val="nil"/>
              <w:bottom w:val="single" w:sz="4" w:space="0" w:color="auto"/>
              <w:right w:val="single" w:sz="4" w:space="0" w:color="auto"/>
            </w:tcBorders>
            <w:shd w:val="clear" w:color="auto" w:fill="auto"/>
            <w:noWrap/>
            <w:vAlign w:val="center"/>
          </w:tcPr>
          <w:p w14:paraId="5594FE21" w14:textId="77777777" w:rsidR="00CF336B" w:rsidRPr="001B4CA2" w:rsidRDefault="00CF336B" w:rsidP="00A14600">
            <w:pPr>
              <w:jc w:val="center"/>
              <w:rPr>
                <w:sz w:val="18"/>
                <w:szCs w:val="18"/>
              </w:rPr>
            </w:pPr>
            <w:r w:rsidRPr="001B4CA2">
              <w:rPr>
                <w:sz w:val="18"/>
                <w:szCs w:val="18"/>
              </w:rPr>
              <w:t>11</w:t>
            </w:r>
          </w:p>
        </w:tc>
        <w:tc>
          <w:tcPr>
            <w:tcW w:w="719" w:type="dxa"/>
            <w:tcBorders>
              <w:top w:val="nil"/>
              <w:left w:val="nil"/>
              <w:bottom w:val="single" w:sz="4" w:space="0" w:color="auto"/>
              <w:right w:val="single" w:sz="4" w:space="0" w:color="auto"/>
            </w:tcBorders>
            <w:shd w:val="clear" w:color="auto" w:fill="auto"/>
            <w:noWrap/>
            <w:vAlign w:val="center"/>
          </w:tcPr>
          <w:p w14:paraId="4FE61CFE" w14:textId="77777777" w:rsidR="00CF336B" w:rsidRPr="001B4CA2" w:rsidRDefault="00CF336B" w:rsidP="00A14600">
            <w:pPr>
              <w:jc w:val="center"/>
              <w:rPr>
                <w:sz w:val="18"/>
                <w:szCs w:val="18"/>
              </w:rPr>
            </w:pPr>
            <w:r w:rsidRPr="001B4CA2">
              <w:rPr>
                <w:sz w:val="18"/>
                <w:szCs w:val="18"/>
              </w:rPr>
              <w:t>3</w:t>
            </w:r>
          </w:p>
        </w:tc>
        <w:tc>
          <w:tcPr>
            <w:tcW w:w="719" w:type="dxa"/>
            <w:tcBorders>
              <w:top w:val="nil"/>
              <w:left w:val="nil"/>
              <w:bottom w:val="single" w:sz="4" w:space="0" w:color="auto"/>
              <w:right w:val="single" w:sz="4" w:space="0" w:color="auto"/>
            </w:tcBorders>
            <w:shd w:val="clear" w:color="auto" w:fill="auto"/>
            <w:noWrap/>
            <w:vAlign w:val="center"/>
          </w:tcPr>
          <w:p w14:paraId="49F3106B"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CC9B20A" w14:textId="77777777" w:rsidR="00CF336B" w:rsidRPr="001B4CA2" w:rsidRDefault="00CF336B" w:rsidP="00A14600">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30BFE2F4"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4C7282C2"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600F1754"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3DFEDCF7"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756FB556"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598C9AA1"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0214EC08" w14:textId="77777777" w:rsidR="00CF336B" w:rsidRPr="001B4CA2" w:rsidRDefault="00CF336B" w:rsidP="00A14600">
            <w:pPr>
              <w:jc w:val="center"/>
              <w:rPr>
                <w:sz w:val="18"/>
                <w:szCs w:val="18"/>
              </w:rPr>
            </w:pPr>
            <w:r w:rsidRPr="001B4CA2">
              <w:rPr>
                <w:sz w:val="18"/>
                <w:szCs w:val="18"/>
              </w:rPr>
              <w:t>1</w:t>
            </w:r>
          </w:p>
        </w:tc>
        <w:tc>
          <w:tcPr>
            <w:tcW w:w="717" w:type="dxa"/>
            <w:tcBorders>
              <w:top w:val="nil"/>
              <w:left w:val="nil"/>
              <w:bottom w:val="single" w:sz="4" w:space="0" w:color="auto"/>
              <w:right w:val="single" w:sz="4" w:space="0" w:color="auto"/>
            </w:tcBorders>
            <w:shd w:val="clear" w:color="auto" w:fill="auto"/>
            <w:noWrap/>
            <w:vAlign w:val="center"/>
          </w:tcPr>
          <w:p w14:paraId="77AFA4B4" w14:textId="77777777" w:rsidR="00CF336B" w:rsidRPr="001B4CA2" w:rsidRDefault="00CF336B" w:rsidP="00A14600">
            <w:pPr>
              <w:jc w:val="center"/>
              <w:rPr>
                <w:sz w:val="18"/>
                <w:szCs w:val="18"/>
              </w:rPr>
            </w:pPr>
            <w:r w:rsidRPr="001B4CA2">
              <w:rPr>
                <w:sz w:val="18"/>
                <w:szCs w:val="18"/>
              </w:rPr>
              <w:t>5</w:t>
            </w:r>
          </w:p>
        </w:tc>
        <w:tc>
          <w:tcPr>
            <w:tcW w:w="669" w:type="dxa"/>
            <w:tcBorders>
              <w:top w:val="nil"/>
              <w:left w:val="nil"/>
              <w:bottom w:val="single" w:sz="4" w:space="0" w:color="auto"/>
              <w:right w:val="single" w:sz="4" w:space="0" w:color="auto"/>
            </w:tcBorders>
            <w:shd w:val="clear" w:color="auto" w:fill="auto"/>
            <w:noWrap/>
            <w:vAlign w:val="center"/>
          </w:tcPr>
          <w:p w14:paraId="284E7745" w14:textId="77777777" w:rsidR="00CF336B" w:rsidRPr="001B4CA2" w:rsidRDefault="00CF336B" w:rsidP="00A14600">
            <w:pPr>
              <w:jc w:val="center"/>
              <w:rPr>
                <w:sz w:val="18"/>
                <w:szCs w:val="18"/>
              </w:rPr>
            </w:pPr>
            <w:r w:rsidRPr="001B4CA2">
              <w:rPr>
                <w:sz w:val="18"/>
                <w:szCs w:val="18"/>
              </w:rPr>
              <w:t>187</w:t>
            </w:r>
          </w:p>
        </w:tc>
        <w:tc>
          <w:tcPr>
            <w:tcW w:w="717" w:type="dxa"/>
            <w:tcBorders>
              <w:top w:val="nil"/>
              <w:left w:val="nil"/>
              <w:bottom w:val="single" w:sz="4" w:space="0" w:color="auto"/>
              <w:right w:val="single" w:sz="4" w:space="0" w:color="auto"/>
            </w:tcBorders>
            <w:shd w:val="clear" w:color="auto" w:fill="auto"/>
            <w:vAlign w:val="center"/>
          </w:tcPr>
          <w:p w14:paraId="65424F6E" w14:textId="77777777" w:rsidR="00CF336B" w:rsidRPr="001B4CA2" w:rsidRDefault="00CF336B" w:rsidP="00A14600">
            <w:pPr>
              <w:jc w:val="center"/>
              <w:rPr>
                <w:sz w:val="18"/>
                <w:szCs w:val="18"/>
              </w:rPr>
            </w:pPr>
            <w:r w:rsidRPr="001B4CA2">
              <w:rPr>
                <w:sz w:val="18"/>
                <w:szCs w:val="18"/>
              </w:rPr>
              <w:t>47</w:t>
            </w:r>
          </w:p>
        </w:tc>
      </w:tr>
      <w:tr w:rsidR="00CF336B" w:rsidRPr="001B4CA2" w14:paraId="3235EC5C"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3A385F94" w14:textId="77777777" w:rsidR="00CF336B" w:rsidRPr="001B4CA2" w:rsidRDefault="00CF336B" w:rsidP="00A14600">
            <w:pPr>
              <w:jc w:val="left"/>
              <w:rPr>
                <w:bCs/>
                <w:sz w:val="16"/>
                <w:szCs w:val="16"/>
                <w:lang w:eastAsia="hr-HR"/>
              </w:rPr>
            </w:pPr>
            <w:r w:rsidRPr="001B4CA2">
              <w:rPr>
                <w:bCs/>
                <w:sz w:val="16"/>
                <w:szCs w:val="16"/>
                <w:lang w:eastAsia="hr-HR"/>
              </w:rPr>
              <w:t>Državne nekretnine d.o.o.</w:t>
            </w:r>
          </w:p>
        </w:tc>
        <w:tc>
          <w:tcPr>
            <w:tcW w:w="718" w:type="dxa"/>
            <w:tcBorders>
              <w:top w:val="nil"/>
              <w:left w:val="nil"/>
              <w:bottom w:val="single" w:sz="4" w:space="0" w:color="auto"/>
              <w:right w:val="single" w:sz="4" w:space="0" w:color="auto"/>
            </w:tcBorders>
            <w:shd w:val="clear" w:color="auto" w:fill="auto"/>
            <w:noWrap/>
            <w:vAlign w:val="center"/>
          </w:tcPr>
          <w:p w14:paraId="1FB78A15" w14:textId="77777777" w:rsidR="00CF336B" w:rsidRPr="001B4CA2" w:rsidRDefault="00CF336B" w:rsidP="00A14600">
            <w:pPr>
              <w:jc w:val="center"/>
              <w:rPr>
                <w:sz w:val="18"/>
                <w:szCs w:val="18"/>
              </w:rPr>
            </w:pPr>
            <w:r w:rsidRPr="001B4CA2">
              <w:rPr>
                <w:sz w:val="18"/>
                <w:szCs w:val="18"/>
              </w:rPr>
              <w:t>35</w:t>
            </w:r>
          </w:p>
        </w:tc>
        <w:tc>
          <w:tcPr>
            <w:tcW w:w="719" w:type="dxa"/>
            <w:tcBorders>
              <w:top w:val="nil"/>
              <w:left w:val="nil"/>
              <w:bottom w:val="single" w:sz="4" w:space="0" w:color="auto"/>
              <w:right w:val="single" w:sz="4" w:space="0" w:color="auto"/>
            </w:tcBorders>
            <w:shd w:val="clear" w:color="auto" w:fill="auto"/>
            <w:noWrap/>
            <w:vAlign w:val="center"/>
          </w:tcPr>
          <w:p w14:paraId="5F390EE2" w14:textId="77777777" w:rsidR="00CF336B" w:rsidRPr="001B4CA2" w:rsidRDefault="00CF336B" w:rsidP="00A14600">
            <w:pPr>
              <w:jc w:val="center"/>
              <w:rPr>
                <w:sz w:val="18"/>
                <w:szCs w:val="18"/>
              </w:rPr>
            </w:pPr>
            <w:r w:rsidRPr="001B4CA2">
              <w:rPr>
                <w:sz w:val="18"/>
                <w:szCs w:val="18"/>
              </w:rPr>
              <w:t>6</w:t>
            </w:r>
          </w:p>
        </w:tc>
        <w:tc>
          <w:tcPr>
            <w:tcW w:w="719" w:type="dxa"/>
            <w:tcBorders>
              <w:top w:val="nil"/>
              <w:left w:val="nil"/>
              <w:bottom w:val="single" w:sz="4" w:space="0" w:color="auto"/>
              <w:right w:val="single" w:sz="4" w:space="0" w:color="auto"/>
            </w:tcBorders>
            <w:shd w:val="clear" w:color="auto" w:fill="auto"/>
            <w:noWrap/>
            <w:vAlign w:val="center"/>
          </w:tcPr>
          <w:p w14:paraId="2AFCEA57" w14:textId="77777777" w:rsidR="00CF336B" w:rsidRPr="001B4CA2" w:rsidRDefault="00CF336B" w:rsidP="00A14600">
            <w:pPr>
              <w:jc w:val="center"/>
              <w:rPr>
                <w:sz w:val="18"/>
                <w:szCs w:val="18"/>
              </w:rPr>
            </w:pPr>
            <w:r w:rsidRPr="001B4CA2">
              <w:rPr>
                <w:sz w:val="18"/>
                <w:szCs w:val="18"/>
              </w:rPr>
              <w:t>161</w:t>
            </w:r>
          </w:p>
        </w:tc>
        <w:tc>
          <w:tcPr>
            <w:tcW w:w="719" w:type="dxa"/>
            <w:tcBorders>
              <w:top w:val="nil"/>
              <w:left w:val="nil"/>
              <w:bottom w:val="single" w:sz="4" w:space="0" w:color="auto"/>
              <w:right w:val="single" w:sz="4" w:space="0" w:color="auto"/>
            </w:tcBorders>
            <w:shd w:val="clear" w:color="auto" w:fill="auto"/>
            <w:noWrap/>
            <w:vAlign w:val="center"/>
          </w:tcPr>
          <w:p w14:paraId="43B6D735" w14:textId="77777777" w:rsidR="00CF336B" w:rsidRPr="001B4CA2" w:rsidRDefault="00CF336B" w:rsidP="00A14600">
            <w:pPr>
              <w:jc w:val="center"/>
              <w:rPr>
                <w:sz w:val="18"/>
                <w:szCs w:val="18"/>
              </w:rPr>
            </w:pPr>
            <w:r w:rsidRPr="001B4CA2">
              <w:rPr>
                <w:sz w:val="18"/>
                <w:szCs w:val="18"/>
              </w:rPr>
              <w:t>6</w:t>
            </w:r>
          </w:p>
        </w:tc>
        <w:tc>
          <w:tcPr>
            <w:tcW w:w="718" w:type="dxa"/>
            <w:tcBorders>
              <w:top w:val="nil"/>
              <w:left w:val="nil"/>
              <w:bottom w:val="single" w:sz="4" w:space="0" w:color="auto"/>
              <w:right w:val="single" w:sz="4" w:space="0" w:color="auto"/>
            </w:tcBorders>
            <w:shd w:val="clear" w:color="auto" w:fill="auto"/>
            <w:noWrap/>
            <w:vAlign w:val="center"/>
          </w:tcPr>
          <w:p w14:paraId="586AF0A8" w14:textId="77777777" w:rsidR="00CF336B" w:rsidRPr="001B4CA2" w:rsidRDefault="00CF336B" w:rsidP="00A14600">
            <w:pPr>
              <w:jc w:val="center"/>
              <w:rPr>
                <w:sz w:val="18"/>
                <w:szCs w:val="18"/>
              </w:rPr>
            </w:pPr>
            <w:r w:rsidRPr="001B4CA2">
              <w:rPr>
                <w:sz w:val="18"/>
                <w:szCs w:val="18"/>
              </w:rPr>
              <w:t>3</w:t>
            </w:r>
          </w:p>
        </w:tc>
        <w:tc>
          <w:tcPr>
            <w:tcW w:w="719" w:type="dxa"/>
            <w:tcBorders>
              <w:top w:val="nil"/>
              <w:left w:val="nil"/>
              <w:bottom w:val="single" w:sz="4" w:space="0" w:color="auto"/>
              <w:right w:val="single" w:sz="4" w:space="0" w:color="auto"/>
            </w:tcBorders>
            <w:shd w:val="clear" w:color="auto" w:fill="auto"/>
            <w:noWrap/>
            <w:vAlign w:val="center"/>
          </w:tcPr>
          <w:p w14:paraId="199F4629"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E53404E" w14:textId="77777777" w:rsidR="00CF336B" w:rsidRPr="001B4CA2" w:rsidRDefault="00CF336B" w:rsidP="00A14600">
            <w:pPr>
              <w:jc w:val="center"/>
              <w:rPr>
                <w:sz w:val="18"/>
                <w:szCs w:val="18"/>
              </w:rPr>
            </w:pPr>
            <w:r w:rsidRPr="001B4CA2">
              <w:rPr>
                <w:sz w:val="18"/>
                <w:szCs w:val="18"/>
              </w:rPr>
              <w:t>1</w:t>
            </w:r>
          </w:p>
        </w:tc>
        <w:tc>
          <w:tcPr>
            <w:tcW w:w="719" w:type="dxa"/>
            <w:tcBorders>
              <w:top w:val="nil"/>
              <w:left w:val="nil"/>
              <w:bottom w:val="single" w:sz="4" w:space="0" w:color="auto"/>
              <w:right w:val="single" w:sz="4" w:space="0" w:color="auto"/>
            </w:tcBorders>
            <w:shd w:val="clear" w:color="auto" w:fill="auto"/>
            <w:noWrap/>
            <w:vAlign w:val="center"/>
          </w:tcPr>
          <w:p w14:paraId="2AD6A6A9" w14:textId="77777777" w:rsidR="00CF336B" w:rsidRPr="001B4CA2" w:rsidRDefault="00CF336B" w:rsidP="00A14600">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07C46F53"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5EF7309"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1E1CD65F" w14:textId="77777777" w:rsidR="00CF336B" w:rsidRPr="001B4CA2" w:rsidRDefault="00CF336B" w:rsidP="00A14600">
            <w:pPr>
              <w:jc w:val="center"/>
              <w:rPr>
                <w:sz w:val="18"/>
                <w:szCs w:val="18"/>
              </w:rPr>
            </w:pPr>
            <w:r w:rsidRPr="001B4CA2">
              <w:rPr>
                <w:sz w:val="18"/>
                <w:szCs w:val="18"/>
              </w:rPr>
              <w:t>1</w:t>
            </w:r>
          </w:p>
        </w:tc>
        <w:tc>
          <w:tcPr>
            <w:tcW w:w="720" w:type="dxa"/>
            <w:tcBorders>
              <w:top w:val="nil"/>
              <w:left w:val="nil"/>
              <w:bottom w:val="single" w:sz="4" w:space="0" w:color="auto"/>
              <w:right w:val="single" w:sz="4" w:space="0" w:color="auto"/>
            </w:tcBorders>
            <w:shd w:val="clear" w:color="auto" w:fill="auto"/>
            <w:noWrap/>
            <w:vAlign w:val="center"/>
          </w:tcPr>
          <w:p w14:paraId="5358B388"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0CEC4B04"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60068D6D"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766C788B" w14:textId="77777777" w:rsidR="00CF336B" w:rsidRPr="001B4CA2" w:rsidRDefault="00CF336B" w:rsidP="00A14600">
            <w:pPr>
              <w:jc w:val="center"/>
              <w:rPr>
                <w:sz w:val="18"/>
                <w:szCs w:val="18"/>
              </w:rPr>
            </w:pPr>
            <w:r w:rsidRPr="001B4CA2">
              <w:rPr>
                <w:sz w:val="18"/>
                <w:szCs w:val="18"/>
              </w:rPr>
              <w:t>1</w:t>
            </w:r>
          </w:p>
        </w:tc>
        <w:tc>
          <w:tcPr>
            <w:tcW w:w="717" w:type="dxa"/>
            <w:tcBorders>
              <w:top w:val="nil"/>
              <w:left w:val="nil"/>
              <w:bottom w:val="single" w:sz="4" w:space="0" w:color="auto"/>
              <w:right w:val="single" w:sz="4" w:space="0" w:color="auto"/>
            </w:tcBorders>
            <w:shd w:val="clear" w:color="auto" w:fill="auto"/>
            <w:noWrap/>
            <w:vAlign w:val="center"/>
          </w:tcPr>
          <w:p w14:paraId="3A59668E" w14:textId="77777777" w:rsidR="00CF336B" w:rsidRPr="001B4CA2" w:rsidRDefault="00CF336B" w:rsidP="00A14600">
            <w:pPr>
              <w:jc w:val="center"/>
              <w:rPr>
                <w:sz w:val="18"/>
                <w:szCs w:val="18"/>
              </w:rPr>
            </w:pPr>
            <w:r w:rsidRPr="001B4CA2">
              <w:rPr>
                <w:sz w:val="18"/>
                <w:szCs w:val="18"/>
              </w:rPr>
              <w:t>4</w:t>
            </w:r>
          </w:p>
        </w:tc>
        <w:tc>
          <w:tcPr>
            <w:tcW w:w="669" w:type="dxa"/>
            <w:tcBorders>
              <w:top w:val="nil"/>
              <w:left w:val="nil"/>
              <w:bottom w:val="single" w:sz="4" w:space="0" w:color="auto"/>
              <w:right w:val="single" w:sz="4" w:space="0" w:color="auto"/>
            </w:tcBorders>
            <w:shd w:val="clear" w:color="auto" w:fill="auto"/>
            <w:noWrap/>
            <w:vAlign w:val="center"/>
          </w:tcPr>
          <w:p w14:paraId="12C02B62" w14:textId="77777777" w:rsidR="00CF336B" w:rsidRPr="001B4CA2" w:rsidRDefault="00CF336B" w:rsidP="00A14600">
            <w:pPr>
              <w:jc w:val="center"/>
              <w:rPr>
                <w:sz w:val="18"/>
                <w:szCs w:val="18"/>
              </w:rPr>
            </w:pPr>
            <w:r w:rsidRPr="001B4CA2">
              <w:rPr>
                <w:sz w:val="18"/>
                <w:szCs w:val="18"/>
              </w:rPr>
              <w:t>202</w:t>
            </w:r>
          </w:p>
        </w:tc>
        <w:tc>
          <w:tcPr>
            <w:tcW w:w="717" w:type="dxa"/>
            <w:tcBorders>
              <w:top w:val="nil"/>
              <w:left w:val="nil"/>
              <w:bottom w:val="single" w:sz="4" w:space="0" w:color="auto"/>
              <w:right w:val="single" w:sz="4" w:space="0" w:color="auto"/>
            </w:tcBorders>
            <w:shd w:val="clear" w:color="auto" w:fill="auto"/>
            <w:vAlign w:val="center"/>
          </w:tcPr>
          <w:p w14:paraId="714D0140" w14:textId="77777777" w:rsidR="00CF336B" w:rsidRPr="001B4CA2" w:rsidRDefault="00CF336B" w:rsidP="00A14600">
            <w:pPr>
              <w:jc w:val="center"/>
              <w:rPr>
                <w:sz w:val="18"/>
                <w:szCs w:val="18"/>
              </w:rPr>
            </w:pPr>
            <w:r w:rsidRPr="001B4CA2">
              <w:rPr>
                <w:sz w:val="18"/>
                <w:szCs w:val="18"/>
              </w:rPr>
              <w:t>16</w:t>
            </w:r>
          </w:p>
        </w:tc>
      </w:tr>
      <w:tr w:rsidR="00CF336B" w:rsidRPr="001B4CA2" w14:paraId="69A5FEF5"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59B965DA" w14:textId="77777777" w:rsidR="00CF336B" w:rsidRPr="001B4CA2" w:rsidRDefault="00CF336B" w:rsidP="00A14600">
            <w:pPr>
              <w:jc w:val="left"/>
              <w:rPr>
                <w:bCs/>
                <w:sz w:val="16"/>
                <w:szCs w:val="16"/>
                <w:lang w:eastAsia="hr-HR"/>
              </w:rPr>
            </w:pPr>
            <w:r w:rsidRPr="001B4CA2">
              <w:rPr>
                <w:bCs/>
                <w:sz w:val="16"/>
                <w:szCs w:val="16"/>
                <w:lang w:eastAsia="hr-HR"/>
              </w:rPr>
              <w:t>Ostali</w:t>
            </w:r>
          </w:p>
        </w:tc>
        <w:tc>
          <w:tcPr>
            <w:tcW w:w="718" w:type="dxa"/>
            <w:tcBorders>
              <w:top w:val="nil"/>
              <w:left w:val="nil"/>
              <w:bottom w:val="single" w:sz="4" w:space="0" w:color="auto"/>
              <w:right w:val="single" w:sz="4" w:space="0" w:color="auto"/>
            </w:tcBorders>
            <w:shd w:val="clear" w:color="auto" w:fill="auto"/>
            <w:noWrap/>
            <w:vAlign w:val="center"/>
          </w:tcPr>
          <w:p w14:paraId="388553A2" w14:textId="77777777" w:rsidR="00CF336B" w:rsidRPr="001B4CA2" w:rsidRDefault="00CF336B" w:rsidP="00A14600">
            <w:pPr>
              <w:jc w:val="center"/>
              <w:rPr>
                <w:sz w:val="18"/>
                <w:szCs w:val="18"/>
              </w:rPr>
            </w:pPr>
            <w:r w:rsidRPr="001B4CA2">
              <w:rPr>
                <w:sz w:val="18"/>
                <w:szCs w:val="18"/>
              </w:rPr>
              <w:t>5</w:t>
            </w:r>
          </w:p>
        </w:tc>
        <w:tc>
          <w:tcPr>
            <w:tcW w:w="719" w:type="dxa"/>
            <w:tcBorders>
              <w:top w:val="nil"/>
              <w:left w:val="nil"/>
              <w:bottom w:val="single" w:sz="4" w:space="0" w:color="auto"/>
              <w:right w:val="single" w:sz="4" w:space="0" w:color="auto"/>
            </w:tcBorders>
            <w:shd w:val="clear" w:color="auto" w:fill="auto"/>
            <w:noWrap/>
            <w:vAlign w:val="center"/>
          </w:tcPr>
          <w:p w14:paraId="6DE635DB" w14:textId="77777777" w:rsidR="00CF336B" w:rsidRPr="001B4CA2" w:rsidRDefault="00CF336B" w:rsidP="00A14600">
            <w:pPr>
              <w:jc w:val="center"/>
              <w:rPr>
                <w:sz w:val="18"/>
                <w:szCs w:val="18"/>
              </w:rPr>
            </w:pPr>
            <w:r w:rsidRPr="001B4CA2">
              <w:rPr>
                <w:sz w:val="18"/>
                <w:szCs w:val="18"/>
              </w:rPr>
              <w:t>11</w:t>
            </w:r>
          </w:p>
        </w:tc>
        <w:tc>
          <w:tcPr>
            <w:tcW w:w="719" w:type="dxa"/>
            <w:tcBorders>
              <w:top w:val="nil"/>
              <w:left w:val="nil"/>
              <w:bottom w:val="single" w:sz="4" w:space="0" w:color="auto"/>
              <w:right w:val="single" w:sz="4" w:space="0" w:color="auto"/>
            </w:tcBorders>
            <w:shd w:val="clear" w:color="auto" w:fill="auto"/>
            <w:noWrap/>
            <w:vAlign w:val="center"/>
          </w:tcPr>
          <w:p w14:paraId="33AD01C1" w14:textId="77777777" w:rsidR="00CF336B" w:rsidRPr="001B4CA2" w:rsidRDefault="00CF336B" w:rsidP="00A14600">
            <w:pPr>
              <w:jc w:val="center"/>
              <w:rPr>
                <w:sz w:val="18"/>
                <w:szCs w:val="18"/>
              </w:rPr>
            </w:pPr>
            <w:r w:rsidRPr="001B4CA2">
              <w:rPr>
                <w:sz w:val="18"/>
                <w:szCs w:val="18"/>
              </w:rPr>
              <w:t>13</w:t>
            </w:r>
          </w:p>
        </w:tc>
        <w:tc>
          <w:tcPr>
            <w:tcW w:w="719" w:type="dxa"/>
            <w:tcBorders>
              <w:top w:val="nil"/>
              <w:left w:val="nil"/>
              <w:bottom w:val="single" w:sz="4" w:space="0" w:color="auto"/>
              <w:right w:val="single" w:sz="4" w:space="0" w:color="auto"/>
            </w:tcBorders>
            <w:shd w:val="clear" w:color="auto" w:fill="auto"/>
            <w:noWrap/>
            <w:vAlign w:val="center"/>
          </w:tcPr>
          <w:p w14:paraId="0F2911DF" w14:textId="77777777" w:rsidR="00CF336B" w:rsidRPr="001B4CA2" w:rsidRDefault="00CF336B" w:rsidP="00A14600">
            <w:pPr>
              <w:jc w:val="center"/>
              <w:rPr>
                <w:sz w:val="18"/>
                <w:szCs w:val="18"/>
              </w:rPr>
            </w:pPr>
            <w:r w:rsidRPr="001B4CA2">
              <w:rPr>
                <w:sz w:val="18"/>
                <w:szCs w:val="18"/>
              </w:rPr>
              <w:t>4</w:t>
            </w:r>
          </w:p>
        </w:tc>
        <w:tc>
          <w:tcPr>
            <w:tcW w:w="718" w:type="dxa"/>
            <w:tcBorders>
              <w:top w:val="nil"/>
              <w:left w:val="nil"/>
              <w:bottom w:val="single" w:sz="4" w:space="0" w:color="auto"/>
              <w:right w:val="single" w:sz="4" w:space="0" w:color="auto"/>
            </w:tcBorders>
            <w:shd w:val="clear" w:color="auto" w:fill="auto"/>
            <w:noWrap/>
            <w:vAlign w:val="center"/>
          </w:tcPr>
          <w:p w14:paraId="359F59CD" w14:textId="77777777" w:rsidR="00CF336B" w:rsidRPr="001B4CA2" w:rsidRDefault="00CF336B" w:rsidP="00A14600">
            <w:pPr>
              <w:jc w:val="center"/>
              <w:rPr>
                <w:sz w:val="18"/>
                <w:szCs w:val="18"/>
              </w:rPr>
            </w:pPr>
            <w:r w:rsidRPr="001B4CA2">
              <w:rPr>
                <w:sz w:val="18"/>
                <w:szCs w:val="18"/>
              </w:rPr>
              <w:t>2</w:t>
            </w:r>
          </w:p>
        </w:tc>
        <w:tc>
          <w:tcPr>
            <w:tcW w:w="719" w:type="dxa"/>
            <w:tcBorders>
              <w:top w:val="nil"/>
              <w:left w:val="nil"/>
              <w:bottom w:val="single" w:sz="4" w:space="0" w:color="auto"/>
              <w:right w:val="single" w:sz="4" w:space="0" w:color="auto"/>
            </w:tcBorders>
            <w:shd w:val="clear" w:color="auto" w:fill="auto"/>
            <w:noWrap/>
            <w:vAlign w:val="center"/>
          </w:tcPr>
          <w:p w14:paraId="3D44D362" w14:textId="77777777" w:rsidR="00CF336B" w:rsidRPr="001B4CA2" w:rsidRDefault="00CF336B" w:rsidP="00A14600">
            <w:pPr>
              <w:jc w:val="center"/>
              <w:rPr>
                <w:sz w:val="18"/>
                <w:szCs w:val="18"/>
              </w:rPr>
            </w:pPr>
            <w:r w:rsidRPr="001B4CA2">
              <w:rPr>
                <w:sz w:val="18"/>
                <w:szCs w:val="18"/>
              </w:rPr>
              <w:t>12</w:t>
            </w:r>
          </w:p>
        </w:tc>
        <w:tc>
          <w:tcPr>
            <w:tcW w:w="719" w:type="dxa"/>
            <w:tcBorders>
              <w:top w:val="nil"/>
              <w:left w:val="nil"/>
              <w:bottom w:val="single" w:sz="4" w:space="0" w:color="auto"/>
              <w:right w:val="single" w:sz="4" w:space="0" w:color="auto"/>
            </w:tcBorders>
            <w:shd w:val="clear" w:color="auto" w:fill="auto"/>
            <w:noWrap/>
            <w:vAlign w:val="center"/>
          </w:tcPr>
          <w:p w14:paraId="146E1C23"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5F3A33C5" w14:textId="77777777" w:rsidR="00CF336B" w:rsidRPr="001B4CA2" w:rsidRDefault="00CF336B" w:rsidP="00A14600">
            <w:pPr>
              <w:jc w:val="center"/>
              <w:rPr>
                <w:sz w:val="18"/>
                <w:szCs w:val="18"/>
              </w:rPr>
            </w:pPr>
            <w:r w:rsidRPr="001B4CA2">
              <w:rPr>
                <w:sz w:val="18"/>
                <w:szCs w:val="18"/>
              </w:rPr>
              <w:t>11</w:t>
            </w:r>
          </w:p>
        </w:tc>
        <w:tc>
          <w:tcPr>
            <w:tcW w:w="718" w:type="dxa"/>
            <w:tcBorders>
              <w:top w:val="nil"/>
              <w:left w:val="nil"/>
              <w:bottom w:val="single" w:sz="4" w:space="0" w:color="auto"/>
              <w:right w:val="single" w:sz="4" w:space="0" w:color="auto"/>
            </w:tcBorders>
            <w:shd w:val="clear" w:color="auto" w:fill="auto"/>
            <w:noWrap/>
            <w:vAlign w:val="center"/>
          </w:tcPr>
          <w:p w14:paraId="56E0EA3A"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D868EDC"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7E2354F3"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2C7EF5F9" w14:textId="77777777" w:rsidR="00CF336B" w:rsidRPr="001B4CA2" w:rsidRDefault="00CF336B" w:rsidP="00A14600">
            <w:pPr>
              <w:jc w:val="center"/>
              <w:rPr>
                <w:sz w:val="18"/>
                <w:szCs w:val="18"/>
              </w:rPr>
            </w:pPr>
            <w:r w:rsidRPr="001B4CA2">
              <w:rPr>
                <w:sz w:val="18"/>
                <w:szCs w:val="18"/>
              </w:rPr>
              <w:t>1</w:t>
            </w:r>
          </w:p>
        </w:tc>
        <w:tc>
          <w:tcPr>
            <w:tcW w:w="697" w:type="dxa"/>
            <w:tcBorders>
              <w:top w:val="nil"/>
              <w:left w:val="nil"/>
              <w:bottom w:val="single" w:sz="4" w:space="0" w:color="auto"/>
              <w:right w:val="single" w:sz="4" w:space="0" w:color="auto"/>
            </w:tcBorders>
            <w:shd w:val="clear" w:color="auto" w:fill="auto"/>
            <w:noWrap/>
            <w:vAlign w:val="center"/>
          </w:tcPr>
          <w:p w14:paraId="1DAF2980"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63D7D762"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6A6EBA2B"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34E8EF38" w14:textId="77777777" w:rsidR="00CF336B" w:rsidRPr="001B4CA2" w:rsidRDefault="00CF336B" w:rsidP="00A14600">
            <w:pPr>
              <w:jc w:val="center"/>
              <w:rPr>
                <w:sz w:val="18"/>
                <w:szCs w:val="18"/>
              </w:rPr>
            </w:pPr>
            <w:r w:rsidRPr="001B4CA2">
              <w:rPr>
                <w:sz w:val="18"/>
                <w:szCs w:val="18"/>
              </w:rPr>
              <w:t>4</w:t>
            </w:r>
          </w:p>
        </w:tc>
        <w:tc>
          <w:tcPr>
            <w:tcW w:w="669" w:type="dxa"/>
            <w:tcBorders>
              <w:top w:val="nil"/>
              <w:left w:val="nil"/>
              <w:bottom w:val="single" w:sz="4" w:space="0" w:color="auto"/>
              <w:right w:val="single" w:sz="4" w:space="0" w:color="auto"/>
            </w:tcBorders>
            <w:shd w:val="clear" w:color="auto" w:fill="auto"/>
            <w:noWrap/>
            <w:vAlign w:val="center"/>
          </w:tcPr>
          <w:p w14:paraId="672E0AE3" w14:textId="77777777" w:rsidR="00CF336B" w:rsidRPr="001B4CA2" w:rsidRDefault="00CF336B" w:rsidP="00A14600">
            <w:pPr>
              <w:jc w:val="center"/>
              <w:rPr>
                <w:sz w:val="18"/>
                <w:szCs w:val="18"/>
              </w:rPr>
            </w:pPr>
            <w:r w:rsidRPr="001B4CA2">
              <w:rPr>
                <w:sz w:val="18"/>
                <w:szCs w:val="18"/>
              </w:rPr>
              <w:t>20</w:t>
            </w:r>
          </w:p>
        </w:tc>
        <w:tc>
          <w:tcPr>
            <w:tcW w:w="717" w:type="dxa"/>
            <w:tcBorders>
              <w:top w:val="nil"/>
              <w:left w:val="nil"/>
              <w:bottom w:val="single" w:sz="4" w:space="0" w:color="auto"/>
              <w:right w:val="single" w:sz="4" w:space="0" w:color="auto"/>
            </w:tcBorders>
            <w:shd w:val="clear" w:color="auto" w:fill="auto"/>
            <w:vAlign w:val="center"/>
          </w:tcPr>
          <w:p w14:paraId="6C64949B" w14:textId="77777777" w:rsidR="00CF336B" w:rsidRPr="001B4CA2" w:rsidRDefault="00CF336B" w:rsidP="00A14600">
            <w:pPr>
              <w:jc w:val="center"/>
              <w:rPr>
                <w:sz w:val="18"/>
                <w:szCs w:val="18"/>
              </w:rPr>
            </w:pPr>
            <w:r w:rsidRPr="001B4CA2">
              <w:rPr>
                <w:sz w:val="18"/>
                <w:szCs w:val="18"/>
              </w:rPr>
              <w:t>43</w:t>
            </w:r>
          </w:p>
        </w:tc>
      </w:tr>
      <w:tr w:rsidR="00CF336B" w:rsidRPr="001B4CA2" w14:paraId="735FB03B"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2032F890" w14:textId="77777777" w:rsidR="00CF336B" w:rsidRPr="001B4CA2" w:rsidRDefault="00CF336B" w:rsidP="00A14600">
            <w:pPr>
              <w:jc w:val="left"/>
              <w:rPr>
                <w:bCs/>
                <w:sz w:val="16"/>
                <w:szCs w:val="16"/>
                <w:lang w:eastAsia="hr-HR"/>
              </w:rPr>
            </w:pPr>
            <w:r w:rsidRPr="001B4CA2">
              <w:rPr>
                <w:bCs/>
                <w:sz w:val="16"/>
                <w:szCs w:val="16"/>
                <w:lang w:eastAsia="hr-HR"/>
              </w:rPr>
              <w:t>Državno odvjetništvo – zaštita javnog interesa</w:t>
            </w:r>
          </w:p>
        </w:tc>
        <w:tc>
          <w:tcPr>
            <w:tcW w:w="718" w:type="dxa"/>
            <w:tcBorders>
              <w:top w:val="nil"/>
              <w:left w:val="nil"/>
              <w:bottom w:val="single" w:sz="4" w:space="0" w:color="auto"/>
              <w:right w:val="single" w:sz="4" w:space="0" w:color="auto"/>
            </w:tcBorders>
            <w:shd w:val="clear" w:color="auto" w:fill="auto"/>
            <w:noWrap/>
            <w:vAlign w:val="center"/>
          </w:tcPr>
          <w:p w14:paraId="5E7673F1"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014AD745"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2F312911" w14:textId="77777777" w:rsidR="00CF336B" w:rsidRPr="001B4CA2" w:rsidRDefault="00CF336B" w:rsidP="00A14600">
            <w:pPr>
              <w:jc w:val="center"/>
              <w:rPr>
                <w:sz w:val="18"/>
                <w:szCs w:val="18"/>
              </w:rPr>
            </w:pPr>
            <w:r w:rsidRPr="001B4CA2">
              <w:rPr>
                <w:sz w:val="18"/>
                <w:szCs w:val="18"/>
              </w:rPr>
              <w:t>1</w:t>
            </w:r>
          </w:p>
        </w:tc>
        <w:tc>
          <w:tcPr>
            <w:tcW w:w="719" w:type="dxa"/>
            <w:tcBorders>
              <w:top w:val="nil"/>
              <w:left w:val="nil"/>
              <w:bottom w:val="single" w:sz="4" w:space="0" w:color="auto"/>
              <w:right w:val="single" w:sz="4" w:space="0" w:color="auto"/>
            </w:tcBorders>
            <w:shd w:val="clear" w:color="auto" w:fill="auto"/>
            <w:noWrap/>
            <w:vAlign w:val="center"/>
          </w:tcPr>
          <w:p w14:paraId="0C013118" w14:textId="77777777" w:rsidR="00CF336B" w:rsidRPr="001B4CA2" w:rsidRDefault="00CF336B" w:rsidP="00A14600">
            <w:pPr>
              <w:jc w:val="center"/>
              <w:rPr>
                <w:sz w:val="18"/>
                <w:szCs w:val="18"/>
              </w:rPr>
            </w:pPr>
            <w:r w:rsidRPr="001B4CA2">
              <w:rPr>
                <w:sz w:val="18"/>
                <w:szCs w:val="18"/>
              </w:rPr>
              <w:t>3</w:t>
            </w:r>
          </w:p>
        </w:tc>
        <w:tc>
          <w:tcPr>
            <w:tcW w:w="718" w:type="dxa"/>
            <w:tcBorders>
              <w:top w:val="nil"/>
              <w:left w:val="nil"/>
              <w:bottom w:val="single" w:sz="4" w:space="0" w:color="auto"/>
              <w:right w:val="single" w:sz="4" w:space="0" w:color="auto"/>
            </w:tcBorders>
            <w:shd w:val="clear" w:color="auto" w:fill="auto"/>
            <w:noWrap/>
            <w:vAlign w:val="center"/>
          </w:tcPr>
          <w:p w14:paraId="24C52260"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39C484FF"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432EEABD"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79F02A60" w14:textId="77777777" w:rsidR="00CF336B" w:rsidRPr="001B4CA2" w:rsidRDefault="00CF336B" w:rsidP="00A14600">
            <w:pPr>
              <w:jc w:val="center"/>
              <w:rPr>
                <w:sz w:val="18"/>
                <w:szCs w:val="18"/>
              </w:rPr>
            </w:pPr>
          </w:p>
        </w:tc>
        <w:tc>
          <w:tcPr>
            <w:tcW w:w="718" w:type="dxa"/>
            <w:tcBorders>
              <w:top w:val="nil"/>
              <w:left w:val="nil"/>
              <w:bottom w:val="single" w:sz="4" w:space="0" w:color="auto"/>
              <w:right w:val="single" w:sz="4" w:space="0" w:color="auto"/>
            </w:tcBorders>
            <w:shd w:val="clear" w:color="auto" w:fill="auto"/>
            <w:noWrap/>
            <w:vAlign w:val="center"/>
          </w:tcPr>
          <w:p w14:paraId="0D969D4A"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661CCF76" w14:textId="77777777" w:rsidR="00CF336B" w:rsidRPr="001B4CA2" w:rsidRDefault="00CF336B" w:rsidP="00A14600">
            <w:pPr>
              <w:jc w:val="center"/>
              <w:rPr>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7A4FC8D1" w14:textId="77777777" w:rsidR="00CF336B" w:rsidRPr="001B4CA2" w:rsidRDefault="00CF336B" w:rsidP="00A14600">
            <w:pPr>
              <w:jc w:val="center"/>
              <w:rPr>
                <w:sz w:val="18"/>
                <w:szCs w:val="18"/>
              </w:rPr>
            </w:pPr>
          </w:p>
        </w:tc>
        <w:tc>
          <w:tcPr>
            <w:tcW w:w="720" w:type="dxa"/>
            <w:tcBorders>
              <w:top w:val="nil"/>
              <w:left w:val="nil"/>
              <w:bottom w:val="single" w:sz="4" w:space="0" w:color="auto"/>
              <w:right w:val="single" w:sz="4" w:space="0" w:color="auto"/>
            </w:tcBorders>
            <w:shd w:val="clear" w:color="auto" w:fill="auto"/>
            <w:noWrap/>
            <w:vAlign w:val="center"/>
          </w:tcPr>
          <w:p w14:paraId="61D7E9CB" w14:textId="77777777" w:rsidR="00CF336B" w:rsidRPr="001B4CA2" w:rsidRDefault="00CF336B" w:rsidP="00A14600">
            <w:pPr>
              <w:jc w:val="center"/>
              <w:rPr>
                <w:sz w:val="18"/>
                <w:szCs w:val="18"/>
              </w:rPr>
            </w:pPr>
          </w:p>
        </w:tc>
        <w:tc>
          <w:tcPr>
            <w:tcW w:w="697" w:type="dxa"/>
            <w:tcBorders>
              <w:top w:val="nil"/>
              <w:left w:val="nil"/>
              <w:bottom w:val="single" w:sz="4" w:space="0" w:color="auto"/>
              <w:right w:val="single" w:sz="4" w:space="0" w:color="auto"/>
            </w:tcBorders>
            <w:shd w:val="clear" w:color="auto" w:fill="auto"/>
            <w:noWrap/>
            <w:vAlign w:val="center"/>
          </w:tcPr>
          <w:p w14:paraId="3330F1EE" w14:textId="77777777" w:rsidR="00CF336B" w:rsidRPr="001B4CA2" w:rsidRDefault="00CF336B" w:rsidP="00A14600">
            <w:pPr>
              <w:jc w:val="center"/>
              <w:rPr>
                <w:sz w:val="18"/>
                <w:szCs w:val="18"/>
              </w:rPr>
            </w:pPr>
          </w:p>
        </w:tc>
        <w:tc>
          <w:tcPr>
            <w:tcW w:w="717" w:type="dxa"/>
            <w:tcBorders>
              <w:top w:val="nil"/>
              <w:left w:val="nil"/>
              <w:bottom w:val="single" w:sz="4" w:space="0" w:color="auto"/>
              <w:right w:val="single" w:sz="4" w:space="0" w:color="auto"/>
            </w:tcBorders>
            <w:shd w:val="clear" w:color="auto" w:fill="auto"/>
            <w:noWrap/>
            <w:vAlign w:val="center"/>
          </w:tcPr>
          <w:p w14:paraId="77BE017D" w14:textId="77777777" w:rsidR="00CF336B" w:rsidRPr="001B4CA2" w:rsidRDefault="00CF336B" w:rsidP="00A14600">
            <w:pPr>
              <w:jc w:val="center"/>
              <w:rPr>
                <w:sz w:val="18"/>
                <w:szCs w:val="18"/>
              </w:rPr>
            </w:pPr>
          </w:p>
        </w:tc>
        <w:tc>
          <w:tcPr>
            <w:tcW w:w="748" w:type="dxa"/>
            <w:tcBorders>
              <w:top w:val="nil"/>
              <w:left w:val="nil"/>
              <w:bottom w:val="single" w:sz="4" w:space="0" w:color="auto"/>
              <w:right w:val="single" w:sz="4" w:space="0" w:color="auto"/>
            </w:tcBorders>
            <w:shd w:val="clear" w:color="auto" w:fill="auto"/>
            <w:noWrap/>
            <w:vAlign w:val="center"/>
          </w:tcPr>
          <w:p w14:paraId="4F4C03EF" w14:textId="77777777" w:rsidR="00CF336B" w:rsidRPr="001B4CA2" w:rsidRDefault="00CF336B" w:rsidP="00A14600">
            <w:pPr>
              <w:jc w:val="center"/>
              <w:rPr>
                <w:sz w:val="18"/>
                <w:szCs w:val="18"/>
              </w:rPr>
            </w:pPr>
            <w:r w:rsidRPr="001B4CA2">
              <w:rPr>
                <w:sz w:val="18"/>
                <w:szCs w:val="18"/>
              </w:rPr>
              <w:t>1</w:t>
            </w:r>
          </w:p>
        </w:tc>
        <w:tc>
          <w:tcPr>
            <w:tcW w:w="717" w:type="dxa"/>
            <w:tcBorders>
              <w:top w:val="nil"/>
              <w:left w:val="nil"/>
              <w:bottom w:val="single" w:sz="4" w:space="0" w:color="auto"/>
              <w:right w:val="single" w:sz="4" w:space="0" w:color="auto"/>
            </w:tcBorders>
            <w:shd w:val="clear" w:color="auto" w:fill="auto"/>
            <w:noWrap/>
            <w:vAlign w:val="center"/>
          </w:tcPr>
          <w:p w14:paraId="323FB47A" w14:textId="77777777" w:rsidR="00CF336B" w:rsidRPr="001B4CA2" w:rsidRDefault="00CF336B" w:rsidP="00A14600">
            <w:pPr>
              <w:jc w:val="center"/>
              <w:rPr>
                <w:sz w:val="18"/>
                <w:szCs w:val="18"/>
              </w:rPr>
            </w:pPr>
          </w:p>
        </w:tc>
        <w:tc>
          <w:tcPr>
            <w:tcW w:w="669" w:type="dxa"/>
            <w:tcBorders>
              <w:top w:val="nil"/>
              <w:left w:val="nil"/>
              <w:bottom w:val="single" w:sz="4" w:space="0" w:color="auto"/>
              <w:right w:val="single" w:sz="4" w:space="0" w:color="auto"/>
            </w:tcBorders>
            <w:shd w:val="clear" w:color="auto" w:fill="auto"/>
            <w:noWrap/>
            <w:vAlign w:val="center"/>
          </w:tcPr>
          <w:p w14:paraId="50FB7F31" w14:textId="77777777" w:rsidR="00CF336B" w:rsidRPr="001B4CA2" w:rsidRDefault="00CF336B" w:rsidP="00A14600">
            <w:pPr>
              <w:jc w:val="center"/>
              <w:rPr>
                <w:sz w:val="18"/>
                <w:szCs w:val="18"/>
              </w:rPr>
            </w:pPr>
            <w:r w:rsidRPr="001B4CA2">
              <w:rPr>
                <w:sz w:val="18"/>
                <w:szCs w:val="18"/>
              </w:rPr>
              <w:t>2</w:t>
            </w:r>
          </w:p>
        </w:tc>
        <w:tc>
          <w:tcPr>
            <w:tcW w:w="717" w:type="dxa"/>
            <w:tcBorders>
              <w:top w:val="nil"/>
              <w:left w:val="nil"/>
              <w:bottom w:val="single" w:sz="4" w:space="0" w:color="auto"/>
              <w:right w:val="single" w:sz="4" w:space="0" w:color="auto"/>
            </w:tcBorders>
            <w:shd w:val="clear" w:color="auto" w:fill="auto"/>
            <w:vAlign w:val="center"/>
          </w:tcPr>
          <w:p w14:paraId="5B4B5098" w14:textId="77777777" w:rsidR="00CF336B" w:rsidRPr="001B4CA2" w:rsidRDefault="00CF336B" w:rsidP="00A14600">
            <w:pPr>
              <w:jc w:val="center"/>
              <w:rPr>
                <w:sz w:val="18"/>
                <w:szCs w:val="18"/>
              </w:rPr>
            </w:pPr>
            <w:r w:rsidRPr="001B4CA2">
              <w:rPr>
                <w:sz w:val="18"/>
                <w:szCs w:val="18"/>
              </w:rPr>
              <w:t>3</w:t>
            </w:r>
          </w:p>
        </w:tc>
      </w:tr>
      <w:tr w:rsidR="00CF336B" w:rsidRPr="001B4CA2" w14:paraId="6FA7E394" w14:textId="77777777" w:rsidTr="001D4F0F">
        <w:trPr>
          <w:trHeight w:val="330"/>
          <w:jc w:val="center"/>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38F8BF8B" w14:textId="77777777" w:rsidR="00CF336B" w:rsidRPr="001B4CA2" w:rsidRDefault="00CF336B" w:rsidP="00A14600">
            <w:pPr>
              <w:jc w:val="left"/>
              <w:rPr>
                <w:b/>
                <w:bCs/>
                <w:sz w:val="18"/>
                <w:szCs w:val="18"/>
                <w:lang w:eastAsia="hr-HR"/>
              </w:rPr>
            </w:pPr>
            <w:r w:rsidRPr="001B4CA2">
              <w:rPr>
                <w:b/>
                <w:bCs/>
                <w:sz w:val="18"/>
                <w:szCs w:val="18"/>
                <w:lang w:eastAsia="hr-HR"/>
              </w:rPr>
              <w:t>UKUPNO</w:t>
            </w:r>
          </w:p>
        </w:tc>
        <w:tc>
          <w:tcPr>
            <w:tcW w:w="718" w:type="dxa"/>
            <w:tcBorders>
              <w:top w:val="nil"/>
              <w:left w:val="nil"/>
              <w:bottom w:val="single" w:sz="4" w:space="0" w:color="auto"/>
              <w:right w:val="single" w:sz="4" w:space="0" w:color="auto"/>
            </w:tcBorders>
            <w:shd w:val="clear" w:color="auto" w:fill="auto"/>
            <w:noWrap/>
            <w:vAlign w:val="center"/>
          </w:tcPr>
          <w:p w14:paraId="39D917EE" w14:textId="77777777" w:rsidR="00CF336B" w:rsidRPr="001B4CA2" w:rsidRDefault="00CF336B" w:rsidP="00A14600">
            <w:pPr>
              <w:jc w:val="center"/>
              <w:rPr>
                <w:b/>
                <w:bCs/>
                <w:sz w:val="18"/>
                <w:szCs w:val="18"/>
              </w:rPr>
            </w:pPr>
            <w:r w:rsidRPr="001B4CA2">
              <w:rPr>
                <w:rFonts w:ascii="Calibri" w:hAnsi="Calibri" w:cs="Calibri"/>
                <w:b/>
                <w:bCs/>
                <w:sz w:val="18"/>
                <w:szCs w:val="18"/>
              </w:rPr>
              <w:t>381</w:t>
            </w:r>
          </w:p>
        </w:tc>
        <w:tc>
          <w:tcPr>
            <w:tcW w:w="719" w:type="dxa"/>
            <w:tcBorders>
              <w:top w:val="nil"/>
              <w:left w:val="nil"/>
              <w:bottom w:val="single" w:sz="4" w:space="0" w:color="auto"/>
              <w:right w:val="single" w:sz="4" w:space="0" w:color="auto"/>
            </w:tcBorders>
            <w:shd w:val="clear" w:color="auto" w:fill="auto"/>
            <w:noWrap/>
            <w:vAlign w:val="center"/>
          </w:tcPr>
          <w:p w14:paraId="5877D688" w14:textId="77777777" w:rsidR="00CF336B" w:rsidRPr="001B4CA2" w:rsidRDefault="00CF336B" w:rsidP="00A14600">
            <w:pPr>
              <w:jc w:val="center"/>
              <w:rPr>
                <w:b/>
                <w:bCs/>
                <w:sz w:val="18"/>
                <w:szCs w:val="18"/>
              </w:rPr>
            </w:pPr>
            <w:r w:rsidRPr="001B4CA2">
              <w:rPr>
                <w:rFonts w:ascii="Calibri" w:hAnsi="Calibri" w:cs="Calibri"/>
                <w:b/>
                <w:bCs/>
                <w:sz w:val="18"/>
                <w:szCs w:val="18"/>
              </w:rPr>
              <w:t>1.233</w:t>
            </w:r>
          </w:p>
        </w:tc>
        <w:tc>
          <w:tcPr>
            <w:tcW w:w="719" w:type="dxa"/>
            <w:tcBorders>
              <w:top w:val="nil"/>
              <w:left w:val="nil"/>
              <w:bottom w:val="single" w:sz="4" w:space="0" w:color="auto"/>
              <w:right w:val="single" w:sz="4" w:space="0" w:color="auto"/>
            </w:tcBorders>
            <w:shd w:val="clear" w:color="auto" w:fill="auto"/>
            <w:noWrap/>
            <w:vAlign w:val="center"/>
          </w:tcPr>
          <w:p w14:paraId="086E0DC8" w14:textId="77777777" w:rsidR="00CF336B" w:rsidRPr="001B4CA2" w:rsidRDefault="00CF336B" w:rsidP="00A14600">
            <w:pPr>
              <w:jc w:val="center"/>
              <w:rPr>
                <w:b/>
                <w:bCs/>
                <w:sz w:val="18"/>
                <w:szCs w:val="18"/>
              </w:rPr>
            </w:pPr>
            <w:r w:rsidRPr="001B4CA2">
              <w:rPr>
                <w:rFonts w:ascii="Calibri" w:hAnsi="Calibri" w:cs="Calibri"/>
                <w:b/>
                <w:bCs/>
                <w:sz w:val="18"/>
                <w:szCs w:val="18"/>
              </w:rPr>
              <w:t>939</w:t>
            </w:r>
          </w:p>
        </w:tc>
        <w:tc>
          <w:tcPr>
            <w:tcW w:w="719" w:type="dxa"/>
            <w:tcBorders>
              <w:top w:val="nil"/>
              <w:left w:val="nil"/>
              <w:bottom w:val="single" w:sz="4" w:space="0" w:color="auto"/>
              <w:right w:val="single" w:sz="4" w:space="0" w:color="auto"/>
            </w:tcBorders>
            <w:shd w:val="clear" w:color="auto" w:fill="auto"/>
            <w:noWrap/>
            <w:vAlign w:val="center"/>
          </w:tcPr>
          <w:p w14:paraId="01135421" w14:textId="77777777" w:rsidR="00CF336B" w:rsidRPr="001B4CA2" w:rsidRDefault="00CF336B" w:rsidP="00A14600">
            <w:pPr>
              <w:jc w:val="center"/>
              <w:rPr>
                <w:b/>
                <w:bCs/>
                <w:sz w:val="18"/>
                <w:szCs w:val="18"/>
              </w:rPr>
            </w:pPr>
            <w:r w:rsidRPr="001B4CA2">
              <w:rPr>
                <w:rFonts w:ascii="Calibri" w:hAnsi="Calibri" w:cs="Calibri"/>
                <w:b/>
                <w:bCs/>
                <w:sz w:val="18"/>
                <w:szCs w:val="18"/>
              </w:rPr>
              <w:t>397</w:t>
            </w:r>
          </w:p>
        </w:tc>
        <w:tc>
          <w:tcPr>
            <w:tcW w:w="718" w:type="dxa"/>
            <w:tcBorders>
              <w:top w:val="nil"/>
              <w:left w:val="nil"/>
              <w:bottom w:val="single" w:sz="4" w:space="0" w:color="auto"/>
              <w:right w:val="single" w:sz="4" w:space="0" w:color="auto"/>
            </w:tcBorders>
            <w:shd w:val="clear" w:color="auto" w:fill="auto"/>
            <w:noWrap/>
            <w:vAlign w:val="center"/>
          </w:tcPr>
          <w:p w14:paraId="5D8F1861" w14:textId="77777777" w:rsidR="00CF336B" w:rsidRPr="001B4CA2" w:rsidRDefault="00CF336B" w:rsidP="00A14600">
            <w:pPr>
              <w:jc w:val="center"/>
              <w:rPr>
                <w:b/>
                <w:bCs/>
                <w:sz w:val="18"/>
                <w:szCs w:val="18"/>
              </w:rPr>
            </w:pPr>
            <w:r w:rsidRPr="001B4CA2">
              <w:rPr>
                <w:rFonts w:ascii="Calibri" w:hAnsi="Calibri" w:cs="Calibri"/>
                <w:b/>
                <w:bCs/>
                <w:sz w:val="18"/>
                <w:szCs w:val="18"/>
              </w:rPr>
              <w:t>240</w:t>
            </w:r>
          </w:p>
        </w:tc>
        <w:tc>
          <w:tcPr>
            <w:tcW w:w="719" w:type="dxa"/>
            <w:tcBorders>
              <w:top w:val="nil"/>
              <w:left w:val="nil"/>
              <w:bottom w:val="single" w:sz="4" w:space="0" w:color="auto"/>
              <w:right w:val="single" w:sz="4" w:space="0" w:color="auto"/>
            </w:tcBorders>
            <w:shd w:val="clear" w:color="auto" w:fill="auto"/>
            <w:noWrap/>
            <w:vAlign w:val="center"/>
          </w:tcPr>
          <w:p w14:paraId="55A72964" w14:textId="77777777" w:rsidR="00CF336B" w:rsidRPr="001B4CA2" w:rsidRDefault="00CF336B" w:rsidP="00A14600">
            <w:pPr>
              <w:jc w:val="center"/>
              <w:rPr>
                <w:b/>
                <w:bCs/>
                <w:sz w:val="18"/>
                <w:szCs w:val="18"/>
              </w:rPr>
            </w:pPr>
            <w:r w:rsidRPr="001B4CA2">
              <w:rPr>
                <w:rFonts w:ascii="Calibri" w:hAnsi="Calibri" w:cs="Calibri"/>
                <w:b/>
                <w:bCs/>
                <w:sz w:val="18"/>
                <w:szCs w:val="18"/>
              </w:rPr>
              <w:t>486</w:t>
            </w:r>
          </w:p>
        </w:tc>
        <w:tc>
          <w:tcPr>
            <w:tcW w:w="719" w:type="dxa"/>
            <w:tcBorders>
              <w:top w:val="nil"/>
              <w:left w:val="nil"/>
              <w:bottom w:val="single" w:sz="4" w:space="0" w:color="auto"/>
              <w:right w:val="single" w:sz="4" w:space="0" w:color="auto"/>
            </w:tcBorders>
            <w:shd w:val="clear" w:color="auto" w:fill="auto"/>
            <w:noWrap/>
            <w:vAlign w:val="center"/>
          </w:tcPr>
          <w:p w14:paraId="08EBB2B4" w14:textId="77777777" w:rsidR="00CF336B" w:rsidRPr="001B4CA2" w:rsidRDefault="00CF336B" w:rsidP="00A14600">
            <w:pPr>
              <w:jc w:val="center"/>
              <w:rPr>
                <w:b/>
                <w:bCs/>
                <w:sz w:val="18"/>
                <w:szCs w:val="18"/>
              </w:rPr>
            </w:pPr>
            <w:r w:rsidRPr="001B4CA2">
              <w:rPr>
                <w:rFonts w:ascii="Calibri" w:hAnsi="Calibri" w:cs="Calibri"/>
                <w:b/>
                <w:bCs/>
                <w:sz w:val="18"/>
                <w:szCs w:val="18"/>
              </w:rPr>
              <w:t>14</w:t>
            </w:r>
          </w:p>
        </w:tc>
        <w:tc>
          <w:tcPr>
            <w:tcW w:w="719" w:type="dxa"/>
            <w:tcBorders>
              <w:top w:val="nil"/>
              <w:left w:val="nil"/>
              <w:bottom w:val="single" w:sz="4" w:space="0" w:color="auto"/>
              <w:right w:val="single" w:sz="4" w:space="0" w:color="auto"/>
            </w:tcBorders>
            <w:shd w:val="clear" w:color="auto" w:fill="auto"/>
            <w:noWrap/>
            <w:vAlign w:val="center"/>
          </w:tcPr>
          <w:p w14:paraId="553360E8" w14:textId="77777777" w:rsidR="00CF336B" w:rsidRPr="001B4CA2" w:rsidRDefault="00CF336B" w:rsidP="00A14600">
            <w:pPr>
              <w:jc w:val="center"/>
              <w:rPr>
                <w:b/>
                <w:bCs/>
                <w:sz w:val="18"/>
                <w:szCs w:val="18"/>
              </w:rPr>
            </w:pPr>
            <w:r w:rsidRPr="001B4CA2">
              <w:rPr>
                <w:rFonts w:ascii="Calibri" w:hAnsi="Calibri" w:cs="Calibri"/>
                <w:b/>
                <w:bCs/>
                <w:sz w:val="18"/>
                <w:szCs w:val="18"/>
              </w:rPr>
              <w:t>670</w:t>
            </w:r>
          </w:p>
        </w:tc>
        <w:tc>
          <w:tcPr>
            <w:tcW w:w="718" w:type="dxa"/>
            <w:tcBorders>
              <w:top w:val="nil"/>
              <w:left w:val="nil"/>
              <w:bottom w:val="single" w:sz="4" w:space="0" w:color="auto"/>
              <w:right w:val="single" w:sz="4" w:space="0" w:color="auto"/>
            </w:tcBorders>
            <w:shd w:val="clear" w:color="auto" w:fill="auto"/>
            <w:noWrap/>
            <w:vAlign w:val="center"/>
          </w:tcPr>
          <w:p w14:paraId="2F1982FE" w14:textId="77777777" w:rsidR="00CF336B" w:rsidRPr="001B4CA2" w:rsidRDefault="00CF336B" w:rsidP="00A14600">
            <w:pPr>
              <w:jc w:val="center"/>
              <w:rPr>
                <w:b/>
                <w:bCs/>
                <w:sz w:val="18"/>
                <w:szCs w:val="18"/>
              </w:rPr>
            </w:pPr>
            <w:r w:rsidRPr="001B4CA2">
              <w:rPr>
                <w:rFonts w:ascii="Calibri" w:hAnsi="Calibri" w:cs="Calibri"/>
                <w:b/>
                <w:bCs/>
                <w:sz w:val="18"/>
                <w:szCs w:val="18"/>
              </w:rPr>
              <w:t>1</w:t>
            </w:r>
          </w:p>
        </w:tc>
        <w:tc>
          <w:tcPr>
            <w:tcW w:w="719" w:type="dxa"/>
            <w:tcBorders>
              <w:top w:val="nil"/>
              <w:left w:val="nil"/>
              <w:bottom w:val="single" w:sz="4" w:space="0" w:color="auto"/>
              <w:right w:val="single" w:sz="4" w:space="0" w:color="auto"/>
            </w:tcBorders>
            <w:shd w:val="clear" w:color="auto" w:fill="auto"/>
            <w:noWrap/>
            <w:vAlign w:val="center"/>
          </w:tcPr>
          <w:p w14:paraId="00C31488" w14:textId="77777777" w:rsidR="00CF336B" w:rsidRPr="001B4CA2" w:rsidRDefault="00CF336B" w:rsidP="00A14600">
            <w:pPr>
              <w:jc w:val="center"/>
              <w:rPr>
                <w:b/>
                <w:bCs/>
                <w:sz w:val="18"/>
                <w:szCs w:val="18"/>
              </w:rPr>
            </w:pPr>
          </w:p>
        </w:tc>
        <w:tc>
          <w:tcPr>
            <w:tcW w:w="719" w:type="dxa"/>
            <w:tcBorders>
              <w:top w:val="nil"/>
              <w:left w:val="nil"/>
              <w:bottom w:val="single" w:sz="4" w:space="0" w:color="auto"/>
              <w:right w:val="single" w:sz="4" w:space="0" w:color="auto"/>
            </w:tcBorders>
            <w:shd w:val="clear" w:color="auto" w:fill="auto"/>
            <w:noWrap/>
            <w:vAlign w:val="center"/>
          </w:tcPr>
          <w:p w14:paraId="56F7591B" w14:textId="77777777" w:rsidR="00CF336B" w:rsidRPr="001B4CA2" w:rsidRDefault="00CF336B" w:rsidP="00A14600">
            <w:pPr>
              <w:jc w:val="center"/>
              <w:rPr>
                <w:b/>
                <w:bCs/>
                <w:sz w:val="18"/>
                <w:szCs w:val="18"/>
              </w:rPr>
            </w:pPr>
            <w:r w:rsidRPr="001B4CA2">
              <w:rPr>
                <w:rFonts w:ascii="Calibri" w:hAnsi="Calibri" w:cs="Calibri"/>
                <w:b/>
                <w:bCs/>
                <w:sz w:val="18"/>
                <w:szCs w:val="18"/>
              </w:rPr>
              <w:t>11</w:t>
            </w:r>
          </w:p>
        </w:tc>
        <w:tc>
          <w:tcPr>
            <w:tcW w:w="720" w:type="dxa"/>
            <w:tcBorders>
              <w:top w:val="nil"/>
              <w:left w:val="nil"/>
              <w:bottom w:val="single" w:sz="4" w:space="0" w:color="auto"/>
              <w:right w:val="single" w:sz="4" w:space="0" w:color="auto"/>
            </w:tcBorders>
            <w:shd w:val="clear" w:color="auto" w:fill="auto"/>
            <w:noWrap/>
            <w:vAlign w:val="center"/>
          </w:tcPr>
          <w:p w14:paraId="6A224762" w14:textId="77777777" w:rsidR="00CF336B" w:rsidRPr="001B4CA2" w:rsidRDefault="00CF336B" w:rsidP="00A14600">
            <w:pPr>
              <w:jc w:val="center"/>
              <w:rPr>
                <w:b/>
                <w:bCs/>
                <w:sz w:val="18"/>
                <w:szCs w:val="18"/>
              </w:rPr>
            </w:pPr>
            <w:r w:rsidRPr="001B4CA2">
              <w:rPr>
                <w:rFonts w:ascii="Calibri" w:hAnsi="Calibri" w:cs="Calibri"/>
                <w:b/>
                <w:bCs/>
                <w:sz w:val="18"/>
                <w:szCs w:val="18"/>
              </w:rPr>
              <w:t>12</w:t>
            </w:r>
          </w:p>
        </w:tc>
        <w:tc>
          <w:tcPr>
            <w:tcW w:w="697" w:type="dxa"/>
            <w:tcBorders>
              <w:top w:val="nil"/>
              <w:left w:val="nil"/>
              <w:bottom w:val="single" w:sz="4" w:space="0" w:color="auto"/>
              <w:right w:val="single" w:sz="4" w:space="0" w:color="auto"/>
            </w:tcBorders>
            <w:shd w:val="clear" w:color="auto" w:fill="auto"/>
            <w:noWrap/>
            <w:vAlign w:val="center"/>
          </w:tcPr>
          <w:p w14:paraId="40197975" w14:textId="77777777" w:rsidR="00CF336B" w:rsidRPr="001B4CA2" w:rsidRDefault="00CF336B" w:rsidP="00A14600">
            <w:pPr>
              <w:jc w:val="center"/>
              <w:rPr>
                <w:b/>
                <w:bCs/>
                <w:sz w:val="18"/>
                <w:szCs w:val="18"/>
              </w:rPr>
            </w:pPr>
            <w:r w:rsidRPr="001B4CA2">
              <w:rPr>
                <w:rFonts w:ascii="Calibri" w:hAnsi="Calibri" w:cs="Calibri"/>
                <w:b/>
                <w:bCs/>
                <w:sz w:val="18"/>
                <w:szCs w:val="18"/>
              </w:rPr>
              <w:t>0</w:t>
            </w:r>
          </w:p>
        </w:tc>
        <w:tc>
          <w:tcPr>
            <w:tcW w:w="717" w:type="dxa"/>
            <w:tcBorders>
              <w:top w:val="nil"/>
              <w:left w:val="nil"/>
              <w:bottom w:val="single" w:sz="4" w:space="0" w:color="auto"/>
              <w:right w:val="single" w:sz="4" w:space="0" w:color="auto"/>
            </w:tcBorders>
            <w:shd w:val="clear" w:color="auto" w:fill="auto"/>
            <w:noWrap/>
            <w:vAlign w:val="center"/>
          </w:tcPr>
          <w:p w14:paraId="2C5544D6" w14:textId="77777777" w:rsidR="00CF336B" w:rsidRPr="001B4CA2" w:rsidRDefault="00CF336B" w:rsidP="00A14600">
            <w:pPr>
              <w:jc w:val="center"/>
              <w:rPr>
                <w:b/>
                <w:bCs/>
                <w:sz w:val="18"/>
                <w:szCs w:val="18"/>
              </w:rPr>
            </w:pPr>
            <w:r w:rsidRPr="001B4CA2">
              <w:rPr>
                <w:rFonts w:ascii="Calibri" w:hAnsi="Calibri" w:cs="Calibri"/>
                <w:b/>
                <w:bCs/>
                <w:sz w:val="18"/>
                <w:szCs w:val="18"/>
              </w:rPr>
              <w:t>0</w:t>
            </w:r>
          </w:p>
        </w:tc>
        <w:tc>
          <w:tcPr>
            <w:tcW w:w="748" w:type="dxa"/>
            <w:tcBorders>
              <w:top w:val="nil"/>
              <w:left w:val="nil"/>
              <w:bottom w:val="single" w:sz="4" w:space="0" w:color="auto"/>
              <w:right w:val="single" w:sz="4" w:space="0" w:color="auto"/>
            </w:tcBorders>
            <w:shd w:val="clear" w:color="auto" w:fill="auto"/>
            <w:noWrap/>
            <w:vAlign w:val="center"/>
          </w:tcPr>
          <w:p w14:paraId="5E3E9C95" w14:textId="77777777" w:rsidR="00CF336B" w:rsidRPr="001B4CA2" w:rsidRDefault="00CF336B" w:rsidP="00A14600">
            <w:pPr>
              <w:jc w:val="center"/>
              <w:rPr>
                <w:b/>
                <w:bCs/>
                <w:sz w:val="18"/>
                <w:szCs w:val="18"/>
              </w:rPr>
            </w:pPr>
            <w:r w:rsidRPr="001B4CA2">
              <w:rPr>
                <w:rFonts w:ascii="Calibri" w:hAnsi="Calibri" w:cs="Calibri"/>
                <w:b/>
                <w:bCs/>
                <w:sz w:val="18"/>
                <w:szCs w:val="18"/>
              </w:rPr>
              <w:t>26</w:t>
            </w:r>
          </w:p>
        </w:tc>
        <w:tc>
          <w:tcPr>
            <w:tcW w:w="717" w:type="dxa"/>
            <w:tcBorders>
              <w:top w:val="nil"/>
              <w:left w:val="nil"/>
              <w:bottom w:val="single" w:sz="4" w:space="0" w:color="auto"/>
              <w:right w:val="single" w:sz="4" w:space="0" w:color="auto"/>
            </w:tcBorders>
            <w:shd w:val="clear" w:color="auto" w:fill="auto"/>
            <w:noWrap/>
            <w:vAlign w:val="center"/>
          </w:tcPr>
          <w:p w14:paraId="2309EDFA" w14:textId="77777777" w:rsidR="00CF336B" w:rsidRPr="001B4CA2" w:rsidRDefault="00CF336B" w:rsidP="00A14600">
            <w:pPr>
              <w:jc w:val="center"/>
              <w:rPr>
                <w:b/>
                <w:bCs/>
                <w:sz w:val="18"/>
                <w:szCs w:val="18"/>
              </w:rPr>
            </w:pPr>
            <w:r w:rsidRPr="001B4CA2">
              <w:rPr>
                <w:rFonts w:ascii="Calibri" w:hAnsi="Calibri" w:cs="Calibri"/>
                <w:b/>
                <w:bCs/>
                <w:sz w:val="18"/>
                <w:szCs w:val="18"/>
              </w:rPr>
              <w:t>144</w:t>
            </w:r>
          </w:p>
        </w:tc>
        <w:tc>
          <w:tcPr>
            <w:tcW w:w="669" w:type="dxa"/>
            <w:tcBorders>
              <w:top w:val="nil"/>
              <w:left w:val="nil"/>
              <w:bottom w:val="single" w:sz="4" w:space="0" w:color="auto"/>
              <w:right w:val="single" w:sz="4" w:space="0" w:color="auto"/>
            </w:tcBorders>
            <w:shd w:val="clear" w:color="auto" w:fill="auto"/>
            <w:noWrap/>
            <w:vAlign w:val="center"/>
          </w:tcPr>
          <w:p w14:paraId="4EFB4E3C" w14:textId="77777777" w:rsidR="00CF336B" w:rsidRPr="001B4CA2" w:rsidRDefault="00CF336B" w:rsidP="00A14600">
            <w:pPr>
              <w:jc w:val="center"/>
              <w:rPr>
                <w:b/>
                <w:bCs/>
                <w:sz w:val="18"/>
                <w:szCs w:val="18"/>
              </w:rPr>
            </w:pPr>
            <w:r w:rsidRPr="001B4CA2">
              <w:rPr>
                <w:rFonts w:ascii="Calibri" w:hAnsi="Calibri" w:cs="Calibri"/>
                <w:b/>
                <w:bCs/>
                <w:sz w:val="18"/>
                <w:szCs w:val="18"/>
              </w:rPr>
              <w:t>1.612</w:t>
            </w:r>
          </w:p>
        </w:tc>
        <w:tc>
          <w:tcPr>
            <w:tcW w:w="717" w:type="dxa"/>
            <w:tcBorders>
              <w:top w:val="nil"/>
              <w:left w:val="nil"/>
              <w:bottom w:val="single" w:sz="4" w:space="0" w:color="auto"/>
              <w:right w:val="single" w:sz="4" w:space="0" w:color="auto"/>
            </w:tcBorders>
            <w:shd w:val="clear" w:color="auto" w:fill="auto"/>
            <w:vAlign w:val="center"/>
          </w:tcPr>
          <w:p w14:paraId="19F53967" w14:textId="77777777" w:rsidR="00CF336B" w:rsidRPr="001B4CA2" w:rsidRDefault="00CF336B" w:rsidP="00A14600">
            <w:pPr>
              <w:jc w:val="center"/>
              <w:rPr>
                <w:b/>
                <w:bCs/>
                <w:sz w:val="18"/>
                <w:szCs w:val="18"/>
              </w:rPr>
            </w:pPr>
            <w:r w:rsidRPr="001B4CA2">
              <w:rPr>
                <w:rFonts w:ascii="Calibri" w:hAnsi="Calibri" w:cs="Calibri"/>
                <w:b/>
                <w:bCs/>
                <w:sz w:val="18"/>
                <w:szCs w:val="18"/>
              </w:rPr>
              <w:t>2.942</w:t>
            </w:r>
          </w:p>
        </w:tc>
      </w:tr>
    </w:tbl>
    <w:p w14:paraId="25BAFBD2" w14:textId="53A7E250" w:rsidR="0038196F" w:rsidRPr="001B4CA2" w:rsidRDefault="00310130" w:rsidP="000A7BC7">
      <w:pPr>
        <w:ind w:left="-284"/>
      </w:pPr>
      <w:r w:rsidRPr="001B4CA2">
        <w:rPr>
          <w:sz w:val="20"/>
          <w:szCs w:val="20"/>
          <w:u w:val="single"/>
        </w:rPr>
        <w:t xml:space="preserve"> – </w:t>
      </w:r>
      <w:r w:rsidR="0038196F" w:rsidRPr="001B4CA2">
        <w:rPr>
          <w:sz w:val="20"/>
          <w:szCs w:val="20"/>
          <w:u w:val="single"/>
        </w:rPr>
        <w:t>napomena:</w:t>
      </w:r>
      <w:r w:rsidR="0038196F" w:rsidRPr="001B4CA2">
        <w:rPr>
          <w:sz w:val="20"/>
          <w:szCs w:val="20"/>
        </w:rPr>
        <w:t xml:space="preserve"> u ovoj tablici nisu prikazani</w:t>
      </w:r>
      <w:r w:rsidR="009E7131" w:rsidRPr="001B4CA2">
        <w:rPr>
          <w:sz w:val="20"/>
          <w:szCs w:val="20"/>
        </w:rPr>
        <w:t xml:space="preserve"> </w:t>
      </w:r>
      <w:r w:rsidR="0038196F" w:rsidRPr="001B4CA2">
        <w:rPr>
          <w:sz w:val="20"/>
          <w:szCs w:val="20"/>
        </w:rPr>
        <w:t xml:space="preserve">predmeti u kojima RH sudjeluje kao </w:t>
      </w:r>
      <w:proofErr w:type="spellStart"/>
      <w:r w:rsidR="0038196F" w:rsidRPr="001B4CA2">
        <w:rPr>
          <w:sz w:val="20"/>
          <w:szCs w:val="20"/>
        </w:rPr>
        <w:t>umješač</w:t>
      </w:r>
      <w:proofErr w:type="spellEnd"/>
      <w:r w:rsidR="0038196F" w:rsidRPr="001B4CA2">
        <w:rPr>
          <w:sz w:val="20"/>
          <w:szCs w:val="20"/>
        </w:rPr>
        <w:t>, već samo kao tužitelj i tuženik</w:t>
      </w:r>
      <w:r w:rsidR="0038196F" w:rsidRPr="001B4CA2">
        <w:br w:type="page"/>
      </w:r>
    </w:p>
    <w:p w14:paraId="2422F79E" w14:textId="77777777" w:rsidR="0038196F" w:rsidRPr="001B4CA2" w:rsidRDefault="0038196F" w:rsidP="00357F8B">
      <w:pPr>
        <w:sectPr w:rsidR="0038196F" w:rsidRPr="001B4CA2" w:rsidSect="007418AF">
          <w:pgSz w:w="16838" w:h="11906" w:orient="landscape"/>
          <w:pgMar w:top="567" w:right="1417" w:bottom="284" w:left="1417" w:header="426" w:footer="709" w:gutter="0"/>
          <w:cols w:space="708"/>
          <w:docGrid w:linePitch="360"/>
        </w:sectPr>
      </w:pPr>
    </w:p>
    <w:p w14:paraId="115B8F8E" w14:textId="7B256F4A" w:rsidR="001F6D22" w:rsidRPr="001B4CA2" w:rsidRDefault="00CF336B" w:rsidP="001F6D22">
      <w:r w:rsidRPr="001B4CA2">
        <w:lastRenderedPageBreak/>
        <w:tab/>
      </w:r>
      <w:r w:rsidR="001F6D22" w:rsidRPr="001B4CA2">
        <w:t xml:space="preserve">Ministarstvo prostornoga uređenja, graditeljstva i državne imovine najzastupljenije je u parničnim predmetima vezanim uz </w:t>
      </w:r>
      <w:proofErr w:type="spellStart"/>
      <w:r w:rsidR="001F6D22" w:rsidRPr="001B4CA2">
        <w:t>stvarnopravne</w:t>
      </w:r>
      <w:proofErr w:type="spellEnd"/>
      <w:r w:rsidR="001F6D22" w:rsidRPr="001B4CA2">
        <w:t xml:space="preserve"> zahtjeve s 1.245 predmeta (12</w:t>
      </w:r>
      <w:r w:rsidR="0016095C">
        <w:t> </w:t>
      </w:r>
      <w:r w:rsidR="001F6D22" w:rsidRPr="001B4CA2">
        <w:t>%), Ministarstvo pravosuđa i uprave zastupljeno je s 370 predmeta s naslova naknade štete.</w:t>
      </w:r>
    </w:p>
    <w:p w14:paraId="009EEFA4" w14:textId="77777777" w:rsidR="001F6D22" w:rsidRPr="001B4CA2" w:rsidRDefault="001F6D22" w:rsidP="001F6D22"/>
    <w:p w14:paraId="6C5C0AC4" w14:textId="77777777" w:rsidR="001F6D22" w:rsidRPr="001B4CA2" w:rsidRDefault="001F6D22" w:rsidP="001F6D22">
      <w:r w:rsidRPr="001B4CA2">
        <w:tab/>
        <w:t xml:space="preserve">Ministarstvo poljoprivrede najzastupljenije je u </w:t>
      </w:r>
      <w:proofErr w:type="spellStart"/>
      <w:r w:rsidRPr="001B4CA2">
        <w:t>stvarnopravnim</w:t>
      </w:r>
      <w:proofErr w:type="spellEnd"/>
      <w:r w:rsidRPr="001B4CA2">
        <w:t xml:space="preserve"> sporovima na koje se odnosi 640 predmeta.</w:t>
      </w:r>
    </w:p>
    <w:p w14:paraId="2215F725" w14:textId="77777777" w:rsidR="001F6D22" w:rsidRPr="001B4CA2" w:rsidRDefault="001F6D22" w:rsidP="001F6D22"/>
    <w:p w14:paraId="3FB701B6" w14:textId="296C6CEF" w:rsidR="001F6D22" w:rsidRPr="001B4CA2" w:rsidRDefault="001F6D22" w:rsidP="001F6D22">
      <w:r w:rsidRPr="001B4CA2">
        <w:tab/>
        <w:t>Ministarstv</w:t>
      </w:r>
      <w:r w:rsidR="0016095C">
        <w:t>o</w:t>
      </w:r>
      <w:r w:rsidRPr="001B4CA2">
        <w:t xml:space="preserve"> unutarnjih poslova i Ministarstvo obrane najzastupljeniji su u radnim sporovima i na njih se odnosi 887 predmeta.</w:t>
      </w:r>
    </w:p>
    <w:p w14:paraId="68BBD624" w14:textId="6AC97097" w:rsidR="00885BB0" w:rsidRPr="001B4CA2" w:rsidRDefault="00885BB0" w:rsidP="001F6D22"/>
    <w:p w14:paraId="62C370E8" w14:textId="09EC4FAF" w:rsidR="00BB4D48" w:rsidRPr="001B4CA2" w:rsidRDefault="007326B9" w:rsidP="00BF508A">
      <w:pPr>
        <w:pStyle w:val="Naslov4"/>
        <w:ind w:left="709" w:hanging="709"/>
        <w:rPr>
          <w:rFonts w:ascii="Arial" w:hAnsi="Arial" w:cs="Arial"/>
        </w:rPr>
      </w:pPr>
      <w:bookmarkStart w:id="45" w:name="_Toc133394306"/>
      <w:r w:rsidRPr="001B4CA2">
        <w:rPr>
          <w:rFonts w:ascii="Arial" w:hAnsi="Arial" w:cs="Arial"/>
        </w:rPr>
        <w:t xml:space="preserve">Odluke </w:t>
      </w:r>
      <w:r w:rsidR="007B4E2F" w:rsidRPr="001B4CA2">
        <w:rPr>
          <w:rFonts w:ascii="Arial" w:hAnsi="Arial" w:cs="Arial"/>
        </w:rPr>
        <w:t>sudova u parnicama u kojima zastupa državno odvjetništvo</w:t>
      </w:r>
      <w:bookmarkEnd w:id="45"/>
    </w:p>
    <w:p w14:paraId="06D3EE26" w14:textId="732CD319" w:rsidR="00357F8B" w:rsidRPr="001B4CA2" w:rsidRDefault="00357F8B" w:rsidP="00357F8B"/>
    <w:p w14:paraId="5E6D4410" w14:textId="77777777" w:rsidR="00CF336B" w:rsidRPr="001B4CA2" w:rsidRDefault="00CF336B" w:rsidP="00CF336B">
      <w:pPr>
        <w:rPr>
          <w:i/>
        </w:rPr>
      </w:pPr>
      <w:r w:rsidRPr="001B4CA2">
        <w:rPr>
          <w:i/>
        </w:rPr>
        <w:t>a) Uspjeh u parnicama pred općinskim i trgovačkim sudovima, 2018. – 2022.</w:t>
      </w:r>
    </w:p>
    <w:p w14:paraId="415AF90F" w14:textId="21B8FF72" w:rsidR="00CF336B" w:rsidRPr="001B4CA2" w:rsidRDefault="00CF336B" w:rsidP="00CF336B">
      <w:pPr>
        <w:ind w:left="284"/>
        <w:rPr>
          <w:i/>
        </w:rPr>
      </w:pPr>
      <w:r w:rsidRPr="001B4CA2">
        <w:rPr>
          <w:i/>
        </w:rPr>
        <w:t>(prema broju zahtjeva)</w:t>
      </w:r>
    </w:p>
    <w:tbl>
      <w:tblPr>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52"/>
        <w:gridCol w:w="803"/>
        <w:gridCol w:w="927"/>
        <w:gridCol w:w="632"/>
        <w:gridCol w:w="850"/>
        <w:gridCol w:w="851"/>
        <w:gridCol w:w="992"/>
        <w:gridCol w:w="851"/>
        <w:gridCol w:w="850"/>
        <w:gridCol w:w="851"/>
      </w:tblGrid>
      <w:tr w:rsidR="00CF336B" w:rsidRPr="001B4CA2" w14:paraId="51E386FE" w14:textId="77777777" w:rsidTr="001D4F0F">
        <w:trPr>
          <w:trHeight w:val="625"/>
          <w:jc w:val="center"/>
        </w:trPr>
        <w:tc>
          <w:tcPr>
            <w:tcW w:w="708" w:type="dxa"/>
            <w:vMerge w:val="restart"/>
            <w:shd w:val="clear" w:color="auto" w:fill="99CCFF"/>
            <w:noWrap/>
            <w:textDirection w:val="btLr"/>
            <w:vAlign w:val="center"/>
            <w:hideMark/>
          </w:tcPr>
          <w:p w14:paraId="5A1195A1" w14:textId="77777777" w:rsidR="00CF336B" w:rsidRPr="001D4F0F" w:rsidRDefault="00CF336B" w:rsidP="00CF336B">
            <w:pPr>
              <w:ind w:left="113" w:right="113"/>
              <w:jc w:val="left"/>
              <w:rPr>
                <w:rFonts w:eastAsia="Times New Roman"/>
                <w:b/>
                <w:bCs/>
                <w:sz w:val="16"/>
                <w:szCs w:val="16"/>
                <w:lang w:eastAsia="hr-HR"/>
              </w:rPr>
            </w:pPr>
            <w:r w:rsidRPr="001D4F0F">
              <w:rPr>
                <w:rFonts w:eastAsia="Times New Roman"/>
                <w:b/>
                <w:bCs/>
                <w:sz w:val="16"/>
                <w:szCs w:val="16"/>
                <w:lang w:eastAsia="hr-HR"/>
              </w:rPr>
              <w:t>Godina</w:t>
            </w:r>
          </w:p>
        </w:tc>
        <w:tc>
          <w:tcPr>
            <w:tcW w:w="3014" w:type="dxa"/>
            <w:gridSpan w:val="4"/>
            <w:shd w:val="clear" w:color="auto" w:fill="99CCFF"/>
            <w:vAlign w:val="center"/>
          </w:tcPr>
          <w:p w14:paraId="6FA631E1" w14:textId="77777777" w:rsidR="00CF336B" w:rsidRPr="001D4F0F" w:rsidRDefault="00CF336B" w:rsidP="00A14600">
            <w:pPr>
              <w:jc w:val="center"/>
              <w:rPr>
                <w:rFonts w:eastAsia="Times New Roman"/>
                <w:b/>
                <w:bCs/>
                <w:sz w:val="16"/>
                <w:szCs w:val="16"/>
                <w:lang w:eastAsia="hr-HR"/>
              </w:rPr>
            </w:pPr>
            <w:r w:rsidRPr="001D4F0F">
              <w:rPr>
                <w:rFonts w:eastAsia="Times New Roman"/>
                <w:b/>
                <w:bCs/>
                <w:sz w:val="16"/>
                <w:szCs w:val="16"/>
                <w:lang w:eastAsia="hr-HR"/>
              </w:rPr>
              <w:t>Sudske odluke</w:t>
            </w:r>
          </w:p>
        </w:tc>
        <w:tc>
          <w:tcPr>
            <w:tcW w:w="5245" w:type="dxa"/>
            <w:gridSpan w:val="6"/>
            <w:shd w:val="clear" w:color="auto" w:fill="99CCFF"/>
            <w:vAlign w:val="center"/>
          </w:tcPr>
          <w:p w14:paraId="55D47042" w14:textId="77777777" w:rsidR="00CF336B" w:rsidRPr="001D4F0F" w:rsidRDefault="00CF336B" w:rsidP="00A14600">
            <w:pPr>
              <w:jc w:val="center"/>
              <w:rPr>
                <w:rFonts w:eastAsia="Times New Roman"/>
                <w:b/>
                <w:bCs/>
                <w:sz w:val="16"/>
                <w:szCs w:val="16"/>
                <w:lang w:eastAsia="hr-HR"/>
              </w:rPr>
            </w:pPr>
            <w:r w:rsidRPr="001D4F0F">
              <w:rPr>
                <w:rFonts w:eastAsia="Times New Roman"/>
                <w:b/>
                <w:bCs/>
                <w:sz w:val="16"/>
                <w:szCs w:val="16"/>
                <w:lang w:eastAsia="hr-HR"/>
              </w:rPr>
              <w:t>Uspjeh u parnicama – presude/rješenja</w:t>
            </w:r>
          </w:p>
        </w:tc>
      </w:tr>
      <w:tr w:rsidR="00CF336B" w:rsidRPr="001B4CA2" w14:paraId="6E9B68C7" w14:textId="77777777" w:rsidTr="001D4F0F">
        <w:trPr>
          <w:cantSplit/>
          <w:trHeight w:val="1985"/>
          <w:jc w:val="center"/>
        </w:trPr>
        <w:tc>
          <w:tcPr>
            <w:tcW w:w="708" w:type="dxa"/>
            <w:vMerge/>
            <w:shd w:val="clear" w:color="auto" w:fill="99CCFF"/>
            <w:vAlign w:val="center"/>
            <w:hideMark/>
          </w:tcPr>
          <w:p w14:paraId="20BE9125" w14:textId="77777777" w:rsidR="00CF336B" w:rsidRPr="001D4F0F" w:rsidRDefault="00CF336B" w:rsidP="00A14600">
            <w:pPr>
              <w:jc w:val="center"/>
              <w:rPr>
                <w:rFonts w:eastAsia="Times New Roman"/>
                <w:b/>
                <w:bCs/>
                <w:sz w:val="16"/>
                <w:szCs w:val="16"/>
                <w:lang w:eastAsia="hr-HR"/>
              </w:rPr>
            </w:pPr>
          </w:p>
        </w:tc>
        <w:tc>
          <w:tcPr>
            <w:tcW w:w="652" w:type="dxa"/>
            <w:shd w:val="clear" w:color="auto" w:fill="99CCFF"/>
            <w:textDirection w:val="btLr"/>
            <w:vAlign w:val="center"/>
          </w:tcPr>
          <w:p w14:paraId="49D30E3C" w14:textId="77777777" w:rsidR="00CF336B" w:rsidRPr="001D4F0F" w:rsidRDefault="00CF336B" w:rsidP="00CF336B">
            <w:pPr>
              <w:jc w:val="left"/>
              <w:rPr>
                <w:rFonts w:eastAsia="Times New Roman"/>
                <w:b/>
                <w:bCs/>
                <w:sz w:val="16"/>
                <w:szCs w:val="16"/>
                <w:lang w:eastAsia="hr-HR"/>
              </w:rPr>
            </w:pPr>
            <w:r w:rsidRPr="001D4F0F">
              <w:rPr>
                <w:rFonts w:eastAsia="Times New Roman"/>
                <w:b/>
                <w:bCs/>
                <w:sz w:val="16"/>
                <w:szCs w:val="16"/>
                <w:lang w:eastAsia="hr-HR"/>
              </w:rPr>
              <w:t>Presude/rješenja</w:t>
            </w:r>
          </w:p>
          <w:p w14:paraId="40D5ECD0" w14:textId="77777777" w:rsidR="00CF336B" w:rsidRPr="001D4F0F" w:rsidRDefault="00CF336B" w:rsidP="00CF336B">
            <w:pPr>
              <w:jc w:val="left"/>
              <w:rPr>
                <w:rFonts w:eastAsia="Times New Roman"/>
                <w:b/>
                <w:bCs/>
                <w:sz w:val="16"/>
                <w:szCs w:val="16"/>
                <w:lang w:eastAsia="hr-HR"/>
              </w:rPr>
            </w:pPr>
            <w:r w:rsidRPr="001D4F0F">
              <w:rPr>
                <w:rFonts w:eastAsia="Times New Roman"/>
                <w:b/>
                <w:bCs/>
                <w:sz w:val="16"/>
                <w:szCs w:val="16"/>
                <w:lang w:eastAsia="hr-HR"/>
              </w:rPr>
              <w:t>(broj)</w:t>
            </w:r>
          </w:p>
        </w:tc>
        <w:tc>
          <w:tcPr>
            <w:tcW w:w="803" w:type="dxa"/>
            <w:shd w:val="clear" w:color="auto" w:fill="99CCFF"/>
            <w:textDirection w:val="btLr"/>
            <w:vAlign w:val="center"/>
          </w:tcPr>
          <w:p w14:paraId="69EAB94F" w14:textId="77777777" w:rsidR="00CF336B" w:rsidRPr="001D4F0F" w:rsidRDefault="00CF336B" w:rsidP="00CF336B">
            <w:pPr>
              <w:ind w:right="113"/>
              <w:jc w:val="left"/>
              <w:rPr>
                <w:rFonts w:eastAsia="Times New Roman"/>
                <w:b/>
                <w:sz w:val="16"/>
                <w:szCs w:val="16"/>
              </w:rPr>
            </w:pPr>
            <w:r w:rsidRPr="001D4F0F">
              <w:rPr>
                <w:rFonts w:eastAsia="Times New Roman"/>
                <w:b/>
                <w:sz w:val="16"/>
                <w:szCs w:val="16"/>
                <w:lang w:eastAsia="hr-HR"/>
              </w:rPr>
              <w:t>Sudska nagodba (broj)</w:t>
            </w:r>
          </w:p>
        </w:tc>
        <w:tc>
          <w:tcPr>
            <w:tcW w:w="927" w:type="dxa"/>
            <w:shd w:val="clear" w:color="auto" w:fill="99CCFF"/>
            <w:textDirection w:val="btLr"/>
            <w:vAlign w:val="center"/>
          </w:tcPr>
          <w:p w14:paraId="6CD3EC0E" w14:textId="77777777" w:rsidR="00CF336B" w:rsidRPr="001D4F0F" w:rsidRDefault="00CF336B" w:rsidP="00CF336B">
            <w:pPr>
              <w:jc w:val="left"/>
              <w:rPr>
                <w:rFonts w:eastAsia="Times New Roman"/>
                <w:b/>
                <w:sz w:val="16"/>
                <w:szCs w:val="16"/>
                <w:lang w:eastAsia="hr-HR"/>
              </w:rPr>
            </w:pPr>
            <w:r w:rsidRPr="001D4F0F">
              <w:rPr>
                <w:rFonts w:eastAsia="Times New Roman"/>
                <w:b/>
                <w:sz w:val="16"/>
                <w:szCs w:val="16"/>
                <w:lang w:eastAsia="hr-HR"/>
              </w:rPr>
              <w:t>Riješeno na drugi način</w:t>
            </w:r>
          </w:p>
        </w:tc>
        <w:tc>
          <w:tcPr>
            <w:tcW w:w="632" w:type="dxa"/>
            <w:shd w:val="clear" w:color="auto" w:fill="99CCFF"/>
            <w:textDirection w:val="btLr"/>
            <w:vAlign w:val="center"/>
          </w:tcPr>
          <w:p w14:paraId="1913C58E" w14:textId="77777777" w:rsidR="00CF336B" w:rsidRPr="001D4F0F" w:rsidRDefault="00CF336B" w:rsidP="00CF336B">
            <w:pPr>
              <w:jc w:val="left"/>
              <w:rPr>
                <w:rFonts w:eastAsia="Times New Roman"/>
                <w:b/>
                <w:sz w:val="16"/>
                <w:szCs w:val="16"/>
                <w:lang w:eastAsia="hr-HR"/>
              </w:rPr>
            </w:pPr>
            <w:r w:rsidRPr="001D4F0F">
              <w:rPr>
                <w:rFonts w:eastAsia="Times New Roman"/>
                <w:b/>
                <w:sz w:val="16"/>
                <w:szCs w:val="16"/>
                <w:lang w:eastAsia="hr-HR"/>
              </w:rPr>
              <w:t>Ukupno sudskih odluka</w:t>
            </w:r>
          </w:p>
        </w:tc>
        <w:tc>
          <w:tcPr>
            <w:tcW w:w="850" w:type="dxa"/>
            <w:shd w:val="clear" w:color="auto" w:fill="99CCFF"/>
            <w:textDirection w:val="btLr"/>
            <w:vAlign w:val="center"/>
            <w:hideMark/>
          </w:tcPr>
          <w:p w14:paraId="268EA4CA" w14:textId="77777777" w:rsidR="00CF336B" w:rsidRPr="001D4F0F" w:rsidRDefault="00CF336B" w:rsidP="00CF336B">
            <w:pPr>
              <w:jc w:val="left"/>
              <w:rPr>
                <w:rFonts w:eastAsia="Times New Roman"/>
                <w:b/>
                <w:sz w:val="16"/>
                <w:szCs w:val="16"/>
                <w:lang w:eastAsia="hr-HR"/>
              </w:rPr>
            </w:pPr>
            <w:r w:rsidRPr="001D4F0F">
              <w:rPr>
                <w:rFonts w:eastAsia="Times New Roman"/>
                <w:b/>
                <w:sz w:val="16"/>
                <w:szCs w:val="16"/>
                <w:lang w:eastAsia="hr-HR"/>
              </w:rPr>
              <w:t>Dobiven u cijelosti (broj)</w:t>
            </w:r>
          </w:p>
        </w:tc>
        <w:tc>
          <w:tcPr>
            <w:tcW w:w="851" w:type="dxa"/>
            <w:shd w:val="clear" w:color="auto" w:fill="99CCFF"/>
            <w:textDirection w:val="btLr"/>
            <w:vAlign w:val="center"/>
            <w:hideMark/>
          </w:tcPr>
          <w:p w14:paraId="4954A8CE" w14:textId="77777777" w:rsidR="00CF336B" w:rsidRPr="001D4F0F" w:rsidRDefault="00CF336B" w:rsidP="00CF336B">
            <w:pPr>
              <w:jc w:val="left"/>
              <w:rPr>
                <w:rFonts w:eastAsia="Times New Roman"/>
                <w:b/>
                <w:sz w:val="16"/>
                <w:szCs w:val="16"/>
                <w:lang w:eastAsia="hr-HR"/>
              </w:rPr>
            </w:pPr>
            <w:r w:rsidRPr="001D4F0F">
              <w:rPr>
                <w:rFonts w:eastAsia="Times New Roman"/>
                <w:b/>
                <w:sz w:val="16"/>
                <w:szCs w:val="16"/>
                <w:lang w:eastAsia="hr-HR"/>
              </w:rPr>
              <w:t>Postotak dobivenih</w:t>
            </w:r>
          </w:p>
        </w:tc>
        <w:tc>
          <w:tcPr>
            <w:tcW w:w="992" w:type="dxa"/>
            <w:shd w:val="clear" w:color="auto" w:fill="99CCFF"/>
            <w:textDirection w:val="btLr"/>
            <w:vAlign w:val="center"/>
            <w:hideMark/>
          </w:tcPr>
          <w:p w14:paraId="4FDCD55B" w14:textId="77777777" w:rsidR="00CF336B" w:rsidRPr="001D4F0F" w:rsidRDefault="00CF336B" w:rsidP="00CF336B">
            <w:pPr>
              <w:jc w:val="left"/>
              <w:rPr>
                <w:rFonts w:eastAsia="Times New Roman"/>
                <w:b/>
                <w:sz w:val="16"/>
                <w:szCs w:val="16"/>
                <w:lang w:eastAsia="hr-HR"/>
              </w:rPr>
            </w:pPr>
            <w:r w:rsidRPr="001D4F0F">
              <w:rPr>
                <w:rFonts w:eastAsia="Times New Roman"/>
                <w:b/>
                <w:sz w:val="16"/>
                <w:szCs w:val="16"/>
                <w:lang w:eastAsia="hr-HR"/>
              </w:rPr>
              <w:t>Izgubljen u cijelosti (broj)</w:t>
            </w:r>
          </w:p>
        </w:tc>
        <w:tc>
          <w:tcPr>
            <w:tcW w:w="851" w:type="dxa"/>
            <w:shd w:val="clear" w:color="auto" w:fill="99CCFF"/>
            <w:textDirection w:val="btLr"/>
            <w:vAlign w:val="center"/>
          </w:tcPr>
          <w:p w14:paraId="65F1DAD3" w14:textId="77777777" w:rsidR="00CF336B" w:rsidRPr="001D4F0F" w:rsidRDefault="00CF336B" w:rsidP="00CF336B">
            <w:pPr>
              <w:jc w:val="left"/>
              <w:rPr>
                <w:rFonts w:eastAsia="Times New Roman"/>
                <w:b/>
                <w:sz w:val="16"/>
                <w:szCs w:val="16"/>
                <w:lang w:eastAsia="hr-HR"/>
              </w:rPr>
            </w:pPr>
            <w:r w:rsidRPr="001D4F0F">
              <w:rPr>
                <w:rFonts w:eastAsia="Times New Roman"/>
                <w:b/>
                <w:sz w:val="16"/>
                <w:szCs w:val="16"/>
                <w:lang w:eastAsia="hr-HR"/>
              </w:rPr>
              <w:t>Postotak izgubljenih</w:t>
            </w:r>
          </w:p>
        </w:tc>
        <w:tc>
          <w:tcPr>
            <w:tcW w:w="850" w:type="dxa"/>
            <w:shd w:val="clear" w:color="auto" w:fill="99CCFF"/>
            <w:textDirection w:val="btLr"/>
            <w:vAlign w:val="center"/>
          </w:tcPr>
          <w:p w14:paraId="0A64B788" w14:textId="77777777" w:rsidR="00CF336B" w:rsidRPr="001D4F0F" w:rsidRDefault="00CF336B" w:rsidP="00CF336B">
            <w:pPr>
              <w:jc w:val="left"/>
              <w:rPr>
                <w:rFonts w:eastAsia="Times New Roman"/>
                <w:b/>
                <w:sz w:val="16"/>
                <w:szCs w:val="16"/>
                <w:lang w:eastAsia="hr-HR"/>
              </w:rPr>
            </w:pPr>
            <w:r w:rsidRPr="001D4F0F">
              <w:rPr>
                <w:rFonts w:eastAsia="Times New Roman"/>
                <w:b/>
                <w:sz w:val="16"/>
                <w:szCs w:val="16"/>
                <w:lang w:eastAsia="hr-HR"/>
              </w:rPr>
              <w:t>Djelomično dobiven/izgubljen (broj)</w:t>
            </w:r>
          </w:p>
        </w:tc>
        <w:tc>
          <w:tcPr>
            <w:tcW w:w="851" w:type="dxa"/>
            <w:shd w:val="clear" w:color="auto" w:fill="99CCFF"/>
            <w:textDirection w:val="btLr"/>
            <w:vAlign w:val="center"/>
            <w:hideMark/>
          </w:tcPr>
          <w:p w14:paraId="54E19EF1" w14:textId="77777777" w:rsidR="00CF336B" w:rsidRPr="001D4F0F" w:rsidRDefault="00CF336B" w:rsidP="00CF336B">
            <w:pPr>
              <w:jc w:val="left"/>
              <w:rPr>
                <w:rFonts w:eastAsia="Times New Roman"/>
                <w:b/>
                <w:sz w:val="16"/>
                <w:szCs w:val="16"/>
                <w:lang w:eastAsia="hr-HR"/>
              </w:rPr>
            </w:pPr>
            <w:r w:rsidRPr="001D4F0F">
              <w:rPr>
                <w:rFonts w:eastAsia="Times New Roman"/>
                <w:b/>
                <w:sz w:val="16"/>
                <w:szCs w:val="16"/>
                <w:lang w:eastAsia="hr-HR"/>
              </w:rPr>
              <w:t>Postotak djelomično dobivenih/izgubljenih</w:t>
            </w:r>
          </w:p>
        </w:tc>
      </w:tr>
      <w:tr w:rsidR="00CF336B" w:rsidRPr="001B4CA2" w14:paraId="0BAE285C" w14:textId="77777777" w:rsidTr="001D4F0F">
        <w:trPr>
          <w:trHeight w:val="300"/>
          <w:jc w:val="center"/>
        </w:trPr>
        <w:tc>
          <w:tcPr>
            <w:tcW w:w="708" w:type="dxa"/>
            <w:shd w:val="clear" w:color="auto" w:fill="auto"/>
            <w:noWrap/>
            <w:vAlign w:val="center"/>
          </w:tcPr>
          <w:p w14:paraId="5B0F8357"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sz w:val="16"/>
                <w:szCs w:val="16"/>
                <w:lang w:eastAsia="hr-HR"/>
              </w:rPr>
              <w:t>2018.</w:t>
            </w:r>
          </w:p>
        </w:tc>
        <w:tc>
          <w:tcPr>
            <w:tcW w:w="652" w:type="dxa"/>
            <w:shd w:val="clear" w:color="auto" w:fill="auto"/>
            <w:noWrap/>
            <w:vAlign w:val="center"/>
          </w:tcPr>
          <w:p w14:paraId="7D2E93EB" w14:textId="77777777" w:rsidR="00CF336B" w:rsidRPr="001D4F0F" w:rsidRDefault="00CF336B" w:rsidP="00A14600">
            <w:pPr>
              <w:jc w:val="center"/>
              <w:rPr>
                <w:rFonts w:eastAsia="Times New Roman"/>
                <w:bCs/>
                <w:sz w:val="16"/>
                <w:szCs w:val="16"/>
                <w:lang w:eastAsia="hr-HR"/>
              </w:rPr>
            </w:pPr>
            <w:r w:rsidRPr="001D4F0F">
              <w:rPr>
                <w:rFonts w:eastAsia="Times New Roman"/>
                <w:bCs/>
                <w:color w:val="000000" w:themeColor="text1"/>
                <w:sz w:val="16"/>
                <w:szCs w:val="16"/>
                <w:lang w:eastAsia="hr-HR"/>
              </w:rPr>
              <w:t>3.144</w:t>
            </w:r>
          </w:p>
        </w:tc>
        <w:tc>
          <w:tcPr>
            <w:tcW w:w="803" w:type="dxa"/>
            <w:shd w:val="clear" w:color="auto" w:fill="auto"/>
            <w:noWrap/>
            <w:vAlign w:val="center"/>
          </w:tcPr>
          <w:p w14:paraId="7EED8D1D" w14:textId="77777777" w:rsidR="00CF336B" w:rsidRPr="001D4F0F" w:rsidRDefault="00CF336B" w:rsidP="00A14600">
            <w:pPr>
              <w:jc w:val="center"/>
              <w:rPr>
                <w:rFonts w:eastAsia="Times New Roman"/>
                <w:sz w:val="16"/>
                <w:szCs w:val="16"/>
              </w:rPr>
            </w:pPr>
            <w:r w:rsidRPr="001D4F0F">
              <w:rPr>
                <w:rFonts w:eastAsia="Times New Roman"/>
                <w:bCs/>
                <w:color w:val="000000"/>
                <w:sz w:val="16"/>
                <w:szCs w:val="16"/>
                <w:lang w:eastAsia="hr-HR"/>
              </w:rPr>
              <w:t>329</w:t>
            </w:r>
          </w:p>
        </w:tc>
        <w:tc>
          <w:tcPr>
            <w:tcW w:w="927" w:type="dxa"/>
            <w:vAlign w:val="center"/>
          </w:tcPr>
          <w:p w14:paraId="7A4B7D5B"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sz w:val="16"/>
                <w:szCs w:val="16"/>
                <w:lang w:eastAsia="hr-HR"/>
              </w:rPr>
              <w:t>875</w:t>
            </w:r>
          </w:p>
        </w:tc>
        <w:tc>
          <w:tcPr>
            <w:tcW w:w="632" w:type="dxa"/>
            <w:vAlign w:val="center"/>
          </w:tcPr>
          <w:p w14:paraId="3D14F496" w14:textId="77777777" w:rsidR="00CF336B" w:rsidRPr="001D4F0F" w:rsidRDefault="00CF336B" w:rsidP="00A14600">
            <w:pPr>
              <w:jc w:val="center"/>
              <w:rPr>
                <w:rFonts w:eastAsia="Times New Roman"/>
                <w:sz w:val="16"/>
                <w:szCs w:val="16"/>
                <w:lang w:eastAsia="hr-HR"/>
              </w:rPr>
            </w:pPr>
            <w:r w:rsidRPr="001D4F0F">
              <w:rPr>
                <w:rFonts w:eastAsia="Times New Roman"/>
                <w:sz w:val="16"/>
                <w:szCs w:val="16"/>
                <w:lang w:eastAsia="hr-HR"/>
              </w:rPr>
              <w:t>4.348</w:t>
            </w:r>
          </w:p>
        </w:tc>
        <w:tc>
          <w:tcPr>
            <w:tcW w:w="850" w:type="dxa"/>
            <w:shd w:val="clear" w:color="auto" w:fill="auto"/>
            <w:noWrap/>
            <w:vAlign w:val="center"/>
          </w:tcPr>
          <w:p w14:paraId="67F7E0F4"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themeColor="text1"/>
                <w:sz w:val="16"/>
                <w:szCs w:val="16"/>
                <w:lang w:eastAsia="hr-HR"/>
              </w:rPr>
              <w:t>1.404</w:t>
            </w:r>
          </w:p>
        </w:tc>
        <w:tc>
          <w:tcPr>
            <w:tcW w:w="851" w:type="dxa"/>
            <w:shd w:val="clear" w:color="auto" w:fill="auto"/>
            <w:noWrap/>
            <w:vAlign w:val="center"/>
          </w:tcPr>
          <w:p w14:paraId="2B7DCEE7"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sz w:val="16"/>
                <w:szCs w:val="16"/>
                <w:lang w:eastAsia="hr-HR"/>
              </w:rPr>
              <w:t>44,7%</w:t>
            </w:r>
          </w:p>
        </w:tc>
        <w:tc>
          <w:tcPr>
            <w:tcW w:w="992" w:type="dxa"/>
            <w:shd w:val="clear" w:color="auto" w:fill="auto"/>
            <w:noWrap/>
            <w:vAlign w:val="center"/>
          </w:tcPr>
          <w:p w14:paraId="14773ABA"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sz w:val="16"/>
                <w:szCs w:val="16"/>
                <w:lang w:eastAsia="hr-HR"/>
              </w:rPr>
              <w:t>1.379</w:t>
            </w:r>
          </w:p>
        </w:tc>
        <w:tc>
          <w:tcPr>
            <w:tcW w:w="851" w:type="dxa"/>
            <w:vAlign w:val="center"/>
          </w:tcPr>
          <w:p w14:paraId="3D14BDFF"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sz w:val="16"/>
                <w:szCs w:val="16"/>
                <w:lang w:eastAsia="hr-HR"/>
              </w:rPr>
              <w:t>43,9%</w:t>
            </w:r>
          </w:p>
        </w:tc>
        <w:tc>
          <w:tcPr>
            <w:tcW w:w="850" w:type="dxa"/>
            <w:vAlign w:val="center"/>
          </w:tcPr>
          <w:p w14:paraId="5FC9C3F7"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sz w:val="16"/>
                <w:szCs w:val="16"/>
                <w:lang w:eastAsia="hr-HR"/>
              </w:rPr>
              <w:t>361</w:t>
            </w:r>
          </w:p>
        </w:tc>
        <w:tc>
          <w:tcPr>
            <w:tcW w:w="851" w:type="dxa"/>
            <w:shd w:val="clear" w:color="auto" w:fill="auto"/>
            <w:noWrap/>
            <w:vAlign w:val="center"/>
          </w:tcPr>
          <w:p w14:paraId="5A6FBCE3"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sz w:val="16"/>
                <w:szCs w:val="16"/>
                <w:lang w:eastAsia="hr-HR"/>
              </w:rPr>
              <w:t>11,5%</w:t>
            </w:r>
          </w:p>
        </w:tc>
      </w:tr>
      <w:tr w:rsidR="00CF336B" w:rsidRPr="001B4CA2" w14:paraId="68B79570" w14:textId="77777777" w:rsidTr="001D4F0F">
        <w:trPr>
          <w:trHeight w:val="315"/>
          <w:jc w:val="center"/>
        </w:trPr>
        <w:tc>
          <w:tcPr>
            <w:tcW w:w="708" w:type="dxa"/>
            <w:shd w:val="clear" w:color="auto" w:fill="auto"/>
            <w:noWrap/>
            <w:vAlign w:val="center"/>
          </w:tcPr>
          <w:p w14:paraId="334F075F"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sz w:val="16"/>
                <w:szCs w:val="16"/>
                <w:lang w:eastAsia="hr-HR"/>
              </w:rPr>
              <w:t>2019.</w:t>
            </w:r>
          </w:p>
        </w:tc>
        <w:tc>
          <w:tcPr>
            <w:tcW w:w="652" w:type="dxa"/>
            <w:shd w:val="clear" w:color="auto" w:fill="auto"/>
            <w:noWrap/>
            <w:vAlign w:val="center"/>
          </w:tcPr>
          <w:p w14:paraId="79DA98F5" w14:textId="77777777" w:rsidR="00CF336B" w:rsidRPr="001D4F0F" w:rsidRDefault="00CF336B" w:rsidP="00A14600">
            <w:pPr>
              <w:jc w:val="center"/>
              <w:rPr>
                <w:rFonts w:eastAsia="Times New Roman"/>
                <w:bCs/>
                <w:sz w:val="16"/>
                <w:szCs w:val="16"/>
                <w:lang w:eastAsia="hr-HR"/>
              </w:rPr>
            </w:pPr>
            <w:r w:rsidRPr="001D4F0F">
              <w:rPr>
                <w:rFonts w:eastAsia="Times New Roman"/>
                <w:bCs/>
                <w:color w:val="000000" w:themeColor="text1"/>
                <w:sz w:val="16"/>
                <w:szCs w:val="16"/>
                <w:lang w:eastAsia="hr-HR"/>
              </w:rPr>
              <w:t>2.951</w:t>
            </w:r>
          </w:p>
        </w:tc>
        <w:tc>
          <w:tcPr>
            <w:tcW w:w="803" w:type="dxa"/>
            <w:shd w:val="clear" w:color="auto" w:fill="auto"/>
            <w:noWrap/>
            <w:vAlign w:val="center"/>
          </w:tcPr>
          <w:p w14:paraId="522AD9DA" w14:textId="77777777" w:rsidR="00CF336B" w:rsidRPr="001D4F0F" w:rsidRDefault="00CF336B" w:rsidP="00A14600">
            <w:pPr>
              <w:jc w:val="center"/>
              <w:rPr>
                <w:rFonts w:eastAsia="Times New Roman"/>
                <w:sz w:val="16"/>
                <w:szCs w:val="16"/>
              </w:rPr>
            </w:pPr>
            <w:r w:rsidRPr="001D4F0F">
              <w:rPr>
                <w:rFonts w:eastAsia="Times New Roman"/>
                <w:bCs/>
                <w:color w:val="000000"/>
                <w:sz w:val="16"/>
                <w:szCs w:val="16"/>
                <w:lang w:eastAsia="hr-HR"/>
              </w:rPr>
              <w:t>260</w:t>
            </w:r>
          </w:p>
        </w:tc>
        <w:tc>
          <w:tcPr>
            <w:tcW w:w="927" w:type="dxa"/>
            <w:vAlign w:val="center"/>
          </w:tcPr>
          <w:p w14:paraId="50F45AEF"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sz w:val="16"/>
                <w:szCs w:val="16"/>
                <w:lang w:eastAsia="hr-HR"/>
              </w:rPr>
              <w:t>1.212</w:t>
            </w:r>
          </w:p>
        </w:tc>
        <w:tc>
          <w:tcPr>
            <w:tcW w:w="632" w:type="dxa"/>
            <w:vAlign w:val="center"/>
          </w:tcPr>
          <w:p w14:paraId="49515B64" w14:textId="77777777" w:rsidR="00CF336B" w:rsidRPr="001D4F0F" w:rsidRDefault="00CF336B" w:rsidP="00A14600">
            <w:pPr>
              <w:jc w:val="center"/>
              <w:rPr>
                <w:rFonts w:eastAsia="Times New Roman"/>
                <w:sz w:val="16"/>
                <w:szCs w:val="16"/>
                <w:lang w:eastAsia="hr-HR"/>
              </w:rPr>
            </w:pPr>
            <w:r w:rsidRPr="001D4F0F">
              <w:rPr>
                <w:rFonts w:eastAsia="Times New Roman"/>
                <w:sz w:val="16"/>
                <w:szCs w:val="16"/>
                <w:lang w:eastAsia="hr-HR"/>
              </w:rPr>
              <w:t>4.423</w:t>
            </w:r>
          </w:p>
        </w:tc>
        <w:tc>
          <w:tcPr>
            <w:tcW w:w="850" w:type="dxa"/>
            <w:shd w:val="clear" w:color="auto" w:fill="auto"/>
            <w:noWrap/>
            <w:vAlign w:val="center"/>
          </w:tcPr>
          <w:p w14:paraId="512BD9A1"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themeColor="text1"/>
                <w:sz w:val="16"/>
                <w:szCs w:val="16"/>
                <w:lang w:eastAsia="hr-HR"/>
              </w:rPr>
              <w:t>1.337</w:t>
            </w:r>
          </w:p>
        </w:tc>
        <w:tc>
          <w:tcPr>
            <w:tcW w:w="851" w:type="dxa"/>
            <w:shd w:val="clear" w:color="auto" w:fill="auto"/>
            <w:noWrap/>
            <w:vAlign w:val="center"/>
          </w:tcPr>
          <w:p w14:paraId="1A48C836"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sz w:val="16"/>
                <w:szCs w:val="16"/>
                <w:lang w:eastAsia="hr-HR"/>
              </w:rPr>
              <w:t>45,3%</w:t>
            </w:r>
          </w:p>
        </w:tc>
        <w:tc>
          <w:tcPr>
            <w:tcW w:w="992" w:type="dxa"/>
            <w:shd w:val="clear" w:color="auto" w:fill="auto"/>
            <w:noWrap/>
            <w:vAlign w:val="center"/>
          </w:tcPr>
          <w:p w14:paraId="75358778"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sz w:val="16"/>
                <w:szCs w:val="16"/>
                <w:lang w:eastAsia="hr-HR"/>
              </w:rPr>
              <w:t>1.286</w:t>
            </w:r>
          </w:p>
        </w:tc>
        <w:tc>
          <w:tcPr>
            <w:tcW w:w="851" w:type="dxa"/>
            <w:vAlign w:val="center"/>
          </w:tcPr>
          <w:p w14:paraId="219B0E37"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sz w:val="16"/>
                <w:szCs w:val="16"/>
                <w:lang w:eastAsia="hr-HR"/>
              </w:rPr>
              <w:t>43,6%</w:t>
            </w:r>
          </w:p>
        </w:tc>
        <w:tc>
          <w:tcPr>
            <w:tcW w:w="850" w:type="dxa"/>
            <w:vAlign w:val="center"/>
          </w:tcPr>
          <w:p w14:paraId="547D2520"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sz w:val="16"/>
                <w:szCs w:val="16"/>
                <w:lang w:eastAsia="hr-HR"/>
              </w:rPr>
              <w:t>328</w:t>
            </w:r>
          </w:p>
        </w:tc>
        <w:tc>
          <w:tcPr>
            <w:tcW w:w="851" w:type="dxa"/>
            <w:shd w:val="clear" w:color="auto" w:fill="auto"/>
            <w:noWrap/>
            <w:vAlign w:val="center"/>
          </w:tcPr>
          <w:p w14:paraId="600631F6" w14:textId="77777777" w:rsidR="00CF336B" w:rsidRPr="001D4F0F" w:rsidRDefault="00CF336B" w:rsidP="00A14600">
            <w:pPr>
              <w:jc w:val="center"/>
              <w:rPr>
                <w:rFonts w:eastAsia="Times New Roman"/>
                <w:sz w:val="16"/>
                <w:szCs w:val="16"/>
                <w:lang w:eastAsia="hr-HR"/>
              </w:rPr>
            </w:pPr>
            <w:r w:rsidRPr="001D4F0F">
              <w:rPr>
                <w:rFonts w:eastAsia="Times New Roman"/>
                <w:bCs/>
                <w:color w:val="000000"/>
                <w:sz w:val="16"/>
                <w:szCs w:val="16"/>
                <w:lang w:eastAsia="hr-HR"/>
              </w:rPr>
              <w:t>11%</w:t>
            </w:r>
          </w:p>
        </w:tc>
      </w:tr>
      <w:tr w:rsidR="00CF336B" w:rsidRPr="001B4CA2" w14:paraId="59043FE6" w14:textId="77777777" w:rsidTr="001D4F0F">
        <w:trPr>
          <w:trHeight w:val="315"/>
          <w:jc w:val="center"/>
        </w:trPr>
        <w:tc>
          <w:tcPr>
            <w:tcW w:w="708" w:type="dxa"/>
            <w:shd w:val="clear" w:color="auto" w:fill="auto"/>
            <w:noWrap/>
            <w:vAlign w:val="center"/>
          </w:tcPr>
          <w:p w14:paraId="65ECD92E"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sz w:val="16"/>
                <w:szCs w:val="16"/>
                <w:lang w:eastAsia="hr-HR"/>
              </w:rPr>
              <w:t>2020.</w:t>
            </w:r>
          </w:p>
        </w:tc>
        <w:tc>
          <w:tcPr>
            <w:tcW w:w="652" w:type="dxa"/>
            <w:shd w:val="clear" w:color="auto" w:fill="auto"/>
            <w:noWrap/>
            <w:vAlign w:val="center"/>
          </w:tcPr>
          <w:p w14:paraId="4A549E57" w14:textId="77777777" w:rsidR="00CF336B" w:rsidRPr="001D4F0F" w:rsidRDefault="00CF336B" w:rsidP="00A14600">
            <w:pPr>
              <w:jc w:val="center"/>
              <w:rPr>
                <w:rFonts w:eastAsia="Times New Roman"/>
                <w:bCs/>
                <w:sz w:val="16"/>
                <w:szCs w:val="16"/>
                <w:lang w:eastAsia="hr-HR"/>
              </w:rPr>
            </w:pPr>
            <w:r w:rsidRPr="001D4F0F">
              <w:rPr>
                <w:bCs/>
                <w:color w:val="000000" w:themeColor="text1"/>
                <w:sz w:val="16"/>
                <w:szCs w:val="16"/>
              </w:rPr>
              <w:t>3.350</w:t>
            </w:r>
          </w:p>
        </w:tc>
        <w:tc>
          <w:tcPr>
            <w:tcW w:w="803" w:type="dxa"/>
            <w:shd w:val="clear" w:color="auto" w:fill="auto"/>
            <w:noWrap/>
            <w:vAlign w:val="center"/>
          </w:tcPr>
          <w:p w14:paraId="2B4B4746" w14:textId="77777777" w:rsidR="00CF336B" w:rsidRPr="001D4F0F" w:rsidRDefault="00CF336B" w:rsidP="00A14600">
            <w:pPr>
              <w:jc w:val="center"/>
              <w:rPr>
                <w:rFonts w:eastAsia="Times New Roman"/>
                <w:sz w:val="16"/>
                <w:szCs w:val="16"/>
              </w:rPr>
            </w:pPr>
            <w:r w:rsidRPr="001D4F0F">
              <w:rPr>
                <w:sz w:val="16"/>
                <w:szCs w:val="16"/>
              </w:rPr>
              <w:t>211</w:t>
            </w:r>
          </w:p>
        </w:tc>
        <w:tc>
          <w:tcPr>
            <w:tcW w:w="927" w:type="dxa"/>
            <w:vAlign w:val="center"/>
          </w:tcPr>
          <w:p w14:paraId="01FA0FD7" w14:textId="77777777" w:rsidR="00CF336B" w:rsidRPr="001D4F0F" w:rsidRDefault="00CF336B" w:rsidP="00A14600">
            <w:pPr>
              <w:jc w:val="center"/>
              <w:rPr>
                <w:rFonts w:eastAsia="Times New Roman"/>
                <w:sz w:val="16"/>
                <w:szCs w:val="16"/>
                <w:lang w:eastAsia="hr-HR"/>
              </w:rPr>
            </w:pPr>
            <w:r w:rsidRPr="001D4F0F">
              <w:rPr>
                <w:sz w:val="16"/>
                <w:szCs w:val="16"/>
              </w:rPr>
              <w:t>-</w:t>
            </w:r>
          </w:p>
        </w:tc>
        <w:tc>
          <w:tcPr>
            <w:tcW w:w="632" w:type="dxa"/>
            <w:vAlign w:val="center"/>
          </w:tcPr>
          <w:p w14:paraId="713E628D" w14:textId="77777777" w:rsidR="00CF336B" w:rsidRPr="001D4F0F" w:rsidRDefault="00CF336B" w:rsidP="00A14600">
            <w:pPr>
              <w:jc w:val="center"/>
              <w:rPr>
                <w:rFonts w:eastAsia="Times New Roman"/>
                <w:sz w:val="16"/>
                <w:szCs w:val="16"/>
                <w:lang w:eastAsia="hr-HR"/>
              </w:rPr>
            </w:pPr>
            <w:r w:rsidRPr="001D4F0F">
              <w:rPr>
                <w:rFonts w:eastAsia="Times New Roman" w:cstheme="minorHAnsi"/>
                <w:sz w:val="16"/>
                <w:szCs w:val="16"/>
              </w:rPr>
              <w:t>3.561</w:t>
            </w:r>
          </w:p>
        </w:tc>
        <w:tc>
          <w:tcPr>
            <w:tcW w:w="850" w:type="dxa"/>
            <w:shd w:val="clear" w:color="auto" w:fill="auto"/>
            <w:noWrap/>
            <w:vAlign w:val="center"/>
          </w:tcPr>
          <w:p w14:paraId="0157A4F4" w14:textId="77777777" w:rsidR="00CF336B" w:rsidRPr="001D4F0F" w:rsidRDefault="00CF336B" w:rsidP="00A14600">
            <w:pPr>
              <w:jc w:val="center"/>
              <w:rPr>
                <w:rFonts w:eastAsia="Times New Roman"/>
                <w:sz w:val="16"/>
                <w:szCs w:val="16"/>
                <w:lang w:eastAsia="hr-HR"/>
              </w:rPr>
            </w:pPr>
            <w:r w:rsidRPr="001D4F0F">
              <w:rPr>
                <w:rFonts w:eastAsia="Times New Roman" w:cstheme="minorHAnsi"/>
                <w:bCs/>
                <w:color w:val="000000" w:themeColor="text1"/>
                <w:sz w:val="16"/>
                <w:szCs w:val="16"/>
                <w:lang w:eastAsia="hr-HR"/>
              </w:rPr>
              <w:t>1.447</w:t>
            </w:r>
          </w:p>
        </w:tc>
        <w:tc>
          <w:tcPr>
            <w:tcW w:w="851" w:type="dxa"/>
            <w:shd w:val="clear" w:color="auto" w:fill="auto"/>
            <w:noWrap/>
            <w:vAlign w:val="center"/>
          </w:tcPr>
          <w:p w14:paraId="1A5FD413" w14:textId="77777777" w:rsidR="00CF336B" w:rsidRPr="001D4F0F" w:rsidRDefault="00CF336B" w:rsidP="00A14600">
            <w:pPr>
              <w:jc w:val="center"/>
              <w:rPr>
                <w:rFonts w:eastAsia="Times New Roman"/>
                <w:sz w:val="16"/>
                <w:szCs w:val="16"/>
                <w:lang w:eastAsia="hr-HR"/>
              </w:rPr>
            </w:pPr>
            <w:r w:rsidRPr="001D4F0F">
              <w:rPr>
                <w:rFonts w:eastAsia="Times New Roman" w:cstheme="minorHAnsi"/>
                <w:bCs/>
                <w:color w:val="000000"/>
                <w:sz w:val="16"/>
                <w:szCs w:val="16"/>
                <w:lang w:eastAsia="hr-HR"/>
              </w:rPr>
              <w:t>43,19%</w:t>
            </w:r>
          </w:p>
        </w:tc>
        <w:tc>
          <w:tcPr>
            <w:tcW w:w="992" w:type="dxa"/>
            <w:shd w:val="clear" w:color="auto" w:fill="auto"/>
            <w:noWrap/>
            <w:vAlign w:val="center"/>
          </w:tcPr>
          <w:p w14:paraId="69578F8E" w14:textId="77777777" w:rsidR="00CF336B" w:rsidRPr="001D4F0F" w:rsidRDefault="00CF336B" w:rsidP="00A14600">
            <w:pPr>
              <w:jc w:val="center"/>
              <w:rPr>
                <w:rFonts w:eastAsia="Times New Roman"/>
                <w:sz w:val="16"/>
                <w:szCs w:val="16"/>
                <w:lang w:eastAsia="hr-HR"/>
              </w:rPr>
            </w:pPr>
            <w:r w:rsidRPr="001D4F0F">
              <w:rPr>
                <w:rFonts w:eastAsia="Times New Roman" w:cstheme="minorHAnsi"/>
                <w:bCs/>
                <w:color w:val="000000"/>
                <w:sz w:val="16"/>
                <w:szCs w:val="16"/>
                <w:lang w:eastAsia="hr-HR"/>
              </w:rPr>
              <w:t>1.528</w:t>
            </w:r>
          </w:p>
        </w:tc>
        <w:tc>
          <w:tcPr>
            <w:tcW w:w="851" w:type="dxa"/>
            <w:vAlign w:val="center"/>
          </w:tcPr>
          <w:p w14:paraId="5F2B17D5" w14:textId="77777777" w:rsidR="00CF336B" w:rsidRPr="001D4F0F" w:rsidRDefault="00CF336B" w:rsidP="00A14600">
            <w:pPr>
              <w:jc w:val="center"/>
              <w:rPr>
                <w:rFonts w:eastAsia="Times New Roman"/>
                <w:sz w:val="16"/>
                <w:szCs w:val="16"/>
                <w:lang w:eastAsia="hr-HR"/>
              </w:rPr>
            </w:pPr>
            <w:r w:rsidRPr="001D4F0F">
              <w:rPr>
                <w:rFonts w:eastAsia="Times New Roman" w:cstheme="minorHAnsi"/>
                <w:bCs/>
                <w:color w:val="000000"/>
                <w:sz w:val="16"/>
                <w:szCs w:val="16"/>
                <w:lang w:eastAsia="hr-HR"/>
              </w:rPr>
              <w:t>45,61%</w:t>
            </w:r>
          </w:p>
        </w:tc>
        <w:tc>
          <w:tcPr>
            <w:tcW w:w="850" w:type="dxa"/>
            <w:vAlign w:val="center"/>
          </w:tcPr>
          <w:p w14:paraId="133E356D" w14:textId="77777777" w:rsidR="00CF336B" w:rsidRPr="001D4F0F" w:rsidRDefault="00CF336B" w:rsidP="00A14600">
            <w:pPr>
              <w:jc w:val="center"/>
              <w:rPr>
                <w:rFonts w:eastAsia="Times New Roman"/>
                <w:sz w:val="16"/>
                <w:szCs w:val="16"/>
                <w:lang w:eastAsia="hr-HR"/>
              </w:rPr>
            </w:pPr>
            <w:r w:rsidRPr="001D4F0F">
              <w:rPr>
                <w:rFonts w:eastAsia="Times New Roman" w:cstheme="minorHAnsi"/>
                <w:bCs/>
                <w:color w:val="000000"/>
                <w:sz w:val="16"/>
                <w:szCs w:val="16"/>
                <w:lang w:eastAsia="hr-HR"/>
              </w:rPr>
              <w:t>375</w:t>
            </w:r>
          </w:p>
        </w:tc>
        <w:tc>
          <w:tcPr>
            <w:tcW w:w="851" w:type="dxa"/>
            <w:shd w:val="clear" w:color="auto" w:fill="auto"/>
            <w:noWrap/>
            <w:vAlign w:val="center"/>
          </w:tcPr>
          <w:p w14:paraId="5494516A" w14:textId="77777777" w:rsidR="00CF336B" w:rsidRPr="001D4F0F" w:rsidRDefault="00CF336B" w:rsidP="00A14600">
            <w:pPr>
              <w:jc w:val="center"/>
              <w:rPr>
                <w:rFonts w:eastAsia="Times New Roman"/>
                <w:sz w:val="16"/>
                <w:szCs w:val="16"/>
                <w:lang w:eastAsia="hr-HR"/>
              </w:rPr>
            </w:pPr>
            <w:r w:rsidRPr="001D4F0F">
              <w:rPr>
                <w:rFonts w:eastAsia="Times New Roman" w:cstheme="minorHAnsi"/>
                <w:bCs/>
                <w:color w:val="000000"/>
                <w:sz w:val="16"/>
                <w:szCs w:val="16"/>
                <w:lang w:eastAsia="hr-HR"/>
              </w:rPr>
              <w:t>11,2%</w:t>
            </w:r>
          </w:p>
        </w:tc>
      </w:tr>
      <w:tr w:rsidR="00CF336B" w:rsidRPr="001B4CA2" w14:paraId="41944BFA" w14:textId="77777777" w:rsidTr="001D4F0F">
        <w:trPr>
          <w:trHeight w:val="315"/>
          <w:jc w:val="center"/>
        </w:trPr>
        <w:tc>
          <w:tcPr>
            <w:tcW w:w="708" w:type="dxa"/>
            <w:shd w:val="clear" w:color="auto" w:fill="auto"/>
            <w:noWrap/>
            <w:vAlign w:val="center"/>
          </w:tcPr>
          <w:p w14:paraId="13144614"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sz w:val="16"/>
                <w:szCs w:val="16"/>
                <w:lang w:eastAsia="hr-HR"/>
              </w:rPr>
              <w:t>2021.</w:t>
            </w:r>
          </w:p>
        </w:tc>
        <w:tc>
          <w:tcPr>
            <w:tcW w:w="652" w:type="dxa"/>
            <w:shd w:val="clear" w:color="auto" w:fill="auto"/>
            <w:noWrap/>
            <w:vAlign w:val="center"/>
          </w:tcPr>
          <w:p w14:paraId="0BD139D9" w14:textId="77777777" w:rsidR="00CF336B" w:rsidRPr="001D4F0F" w:rsidRDefault="00CF336B" w:rsidP="00A14600">
            <w:pPr>
              <w:jc w:val="center"/>
              <w:rPr>
                <w:rFonts w:eastAsia="Times New Roman"/>
                <w:bCs/>
                <w:sz w:val="16"/>
                <w:szCs w:val="16"/>
                <w:lang w:eastAsia="hr-HR"/>
              </w:rPr>
            </w:pPr>
            <w:r w:rsidRPr="001D4F0F">
              <w:rPr>
                <w:bCs/>
                <w:color w:val="000000" w:themeColor="text1"/>
                <w:sz w:val="16"/>
                <w:szCs w:val="16"/>
              </w:rPr>
              <w:t>4.173</w:t>
            </w:r>
          </w:p>
        </w:tc>
        <w:tc>
          <w:tcPr>
            <w:tcW w:w="803" w:type="dxa"/>
            <w:shd w:val="clear" w:color="auto" w:fill="auto"/>
            <w:noWrap/>
            <w:vAlign w:val="center"/>
          </w:tcPr>
          <w:p w14:paraId="74A4DF5E" w14:textId="77777777" w:rsidR="00CF336B" w:rsidRPr="001D4F0F" w:rsidRDefault="00CF336B" w:rsidP="00A14600">
            <w:pPr>
              <w:jc w:val="center"/>
              <w:rPr>
                <w:rFonts w:eastAsia="Times New Roman"/>
                <w:sz w:val="16"/>
                <w:szCs w:val="16"/>
                <w:lang w:eastAsia="hr-HR"/>
              </w:rPr>
            </w:pPr>
            <w:r w:rsidRPr="001D4F0F">
              <w:rPr>
                <w:sz w:val="16"/>
                <w:szCs w:val="16"/>
              </w:rPr>
              <w:t>379</w:t>
            </w:r>
          </w:p>
        </w:tc>
        <w:tc>
          <w:tcPr>
            <w:tcW w:w="927" w:type="dxa"/>
            <w:vAlign w:val="center"/>
          </w:tcPr>
          <w:p w14:paraId="741A196C" w14:textId="77777777" w:rsidR="00CF336B" w:rsidRPr="001D4F0F" w:rsidRDefault="00CF336B" w:rsidP="00A14600">
            <w:pPr>
              <w:jc w:val="center"/>
              <w:rPr>
                <w:rFonts w:eastAsia="Times New Roman"/>
                <w:sz w:val="16"/>
                <w:szCs w:val="16"/>
                <w:lang w:eastAsia="hr-HR"/>
              </w:rPr>
            </w:pPr>
            <w:r w:rsidRPr="001D4F0F">
              <w:rPr>
                <w:sz w:val="16"/>
                <w:szCs w:val="16"/>
              </w:rPr>
              <w:t>-</w:t>
            </w:r>
          </w:p>
        </w:tc>
        <w:tc>
          <w:tcPr>
            <w:tcW w:w="632" w:type="dxa"/>
            <w:vAlign w:val="center"/>
          </w:tcPr>
          <w:p w14:paraId="284E433D" w14:textId="77777777" w:rsidR="00CF336B" w:rsidRPr="001D4F0F" w:rsidRDefault="00CF336B" w:rsidP="00A14600">
            <w:pPr>
              <w:jc w:val="center"/>
              <w:rPr>
                <w:rFonts w:eastAsia="Times New Roman"/>
                <w:sz w:val="16"/>
                <w:szCs w:val="16"/>
                <w:lang w:eastAsia="hr-HR"/>
              </w:rPr>
            </w:pPr>
            <w:r w:rsidRPr="001D4F0F">
              <w:rPr>
                <w:rFonts w:eastAsia="Times New Roman" w:cstheme="minorHAnsi"/>
                <w:sz w:val="16"/>
                <w:szCs w:val="16"/>
              </w:rPr>
              <w:t>4.552</w:t>
            </w:r>
          </w:p>
        </w:tc>
        <w:tc>
          <w:tcPr>
            <w:tcW w:w="850" w:type="dxa"/>
            <w:shd w:val="clear" w:color="auto" w:fill="auto"/>
            <w:noWrap/>
            <w:vAlign w:val="center"/>
          </w:tcPr>
          <w:p w14:paraId="5D765081" w14:textId="77777777" w:rsidR="00CF336B" w:rsidRPr="001D4F0F" w:rsidRDefault="00CF336B" w:rsidP="00A14600">
            <w:pPr>
              <w:jc w:val="center"/>
              <w:rPr>
                <w:rFonts w:eastAsia="Times New Roman"/>
                <w:sz w:val="16"/>
                <w:szCs w:val="16"/>
                <w:lang w:eastAsia="hr-HR"/>
              </w:rPr>
            </w:pPr>
            <w:r w:rsidRPr="001D4F0F">
              <w:rPr>
                <w:rFonts w:eastAsia="Times New Roman" w:cstheme="minorHAnsi"/>
                <w:bCs/>
                <w:color w:val="000000" w:themeColor="text1"/>
                <w:sz w:val="16"/>
                <w:szCs w:val="16"/>
                <w:lang w:eastAsia="hr-HR"/>
              </w:rPr>
              <w:t>1.858</w:t>
            </w:r>
          </w:p>
        </w:tc>
        <w:tc>
          <w:tcPr>
            <w:tcW w:w="851" w:type="dxa"/>
            <w:shd w:val="clear" w:color="auto" w:fill="auto"/>
            <w:noWrap/>
            <w:vAlign w:val="center"/>
          </w:tcPr>
          <w:p w14:paraId="1EFB3A6F" w14:textId="77777777" w:rsidR="00CF336B" w:rsidRPr="001D4F0F" w:rsidRDefault="00CF336B" w:rsidP="00A14600">
            <w:pPr>
              <w:jc w:val="center"/>
              <w:rPr>
                <w:rFonts w:eastAsia="Times New Roman"/>
                <w:sz w:val="16"/>
                <w:szCs w:val="16"/>
                <w:lang w:eastAsia="hr-HR"/>
              </w:rPr>
            </w:pPr>
            <w:r w:rsidRPr="001D4F0F">
              <w:rPr>
                <w:rFonts w:eastAsia="Times New Roman" w:cstheme="minorHAnsi"/>
                <w:bCs/>
                <w:color w:val="000000"/>
                <w:sz w:val="16"/>
                <w:szCs w:val="16"/>
                <w:lang w:eastAsia="hr-HR"/>
              </w:rPr>
              <w:t>45%</w:t>
            </w:r>
          </w:p>
        </w:tc>
        <w:tc>
          <w:tcPr>
            <w:tcW w:w="992" w:type="dxa"/>
            <w:shd w:val="clear" w:color="auto" w:fill="auto"/>
            <w:noWrap/>
            <w:vAlign w:val="center"/>
          </w:tcPr>
          <w:p w14:paraId="26FD7870" w14:textId="77777777" w:rsidR="00CF336B" w:rsidRPr="001D4F0F" w:rsidRDefault="00CF336B" w:rsidP="00A14600">
            <w:pPr>
              <w:jc w:val="center"/>
              <w:rPr>
                <w:rFonts w:eastAsia="Times New Roman"/>
                <w:sz w:val="16"/>
                <w:szCs w:val="16"/>
                <w:lang w:eastAsia="hr-HR"/>
              </w:rPr>
            </w:pPr>
            <w:r w:rsidRPr="001D4F0F">
              <w:rPr>
                <w:rFonts w:eastAsia="Times New Roman" w:cstheme="minorHAnsi"/>
                <w:bCs/>
                <w:color w:val="000000"/>
                <w:sz w:val="16"/>
                <w:szCs w:val="16"/>
                <w:lang w:eastAsia="hr-HR"/>
              </w:rPr>
              <w:t>1.837</w:t>
            </w:r>
          </w:p>
        </w:tc>
        <w:tc>
          <w:tcPr>
            <w:tcW w:w="851" w:type="dxa"/>
            <w:vAlign w:val="center"/>
          </w:tcPr>
          <w:p w14:paraId="6502186F" w14:textId="77777777" w:rsidR="00CF336B" w:rsidRPr="001D4F0F" w:rsidRDefault="00CF336B" w:rsidP="00A14600">
            <w:pPr>
              <w:jc w:val="center"/>
              <w:rPr>
                <w:rFonts w:eastAsia="Times New Roman"/>
                <w:sz w:val="16"/>
                <w:szCs w:val="16"/>
                <w:lang w:eastAsia="hr-HR"/>
              </w:rPr>
            </w:pPr>
            <w:r w:rsidRPr="001D4F0F">
              <w:rPr>
                <w:rFonts w:eastAsia="Times New Roman" w:cstheme="minorHAnsi"/>
                <w:bCs/>
                <w:color w:val="000000"/>
                <w:sz w:val="16"/>
                <w:szCs w:val="16"/>
                <w:lang w:eastAsia="hr-HR"/>
              </w:rPr>
              <w:t>44%</w:t>
            </w:r>
          </w:p>
        </w:tc>
        <w:tc>
          <w:tcPr>
            <w:tcW w:w="850" w:type="dxa"/>
            <w:vAlign w:val="center"/>
          </w:tcPr>
          <w:p w14:paraId="1C703990" w14:textId="77777777" w:rsidR="00CF336B" w:rsidRPr="001D4F0F" w:rsidRDefault="00CF336B" w:rsidP="00A14600">
            <w:pPr>
              <w:jc w:val="center"/>
              <w:rPr>
                <w:rFonts w:eastAsia="Times New Roman"/>
                <w:sz w:val="16"/>
                <w:szCs w:val="16"/>
                <w:lang w:eastAsia="hr-HR"/>
              </w:rPr>
            </w:pPr>
            <w:r w:rsidRPr="001D4F0F">
              <w:rPr>
                <w:rFonts w:eastAsia="Times New Roman" w:cstheme="minorHAnsi"/>
                <w:bCs/>
                <w:color w:val="000000"/>
                <w:sz w:val="16"/>
                <w:szCs w:val="16"/>
                <w:lang w:eastAsia="hr-HR"/>
              </w:rPr>
              <w:t>478</w:t>
            </w:r>
          </w:p>
        </w:tc>
        <w:tc>
          <w:tcPr>
            <w:tcW w:w="851" w:type="dxa"/>
            <w:shd w:val="clear" w:color="auto" w:fill="auto"/>
            <w:noWrap/>
            <w:vAlign w:val="center"/>
          </w:tcPr>
          <w:p w14:paraId="185CF79F" w14:textId="77777777" w:rsidR="00CF336B" w:rsidRPr="001D4F0F" w:rsidRDefault="00CF336B" w:rsidP="00A14600">
            <w:pPr>
              <w:jc w:val="center"/>
              <w:rPr>
                <w:rFonts w:eastAsia="Times New Roman"/>
                <w:sz w:val="16"/>
                <w:szCs w:val="16"/>
                <w:lang w:eastAsia="hr-HR"/>
              </w:rPr>
            </w:pPr>
            <w:r w:rsidRPr="001D4F0F">
              <w:rPr>
                <w:rFonts w:eastAsia="Times New Roman" w:cstheme="minorHAnsi"/>
                <w:bCs/>
                <w:color w:val="000000"/>
                <w:sz w:val="16"/>
                <w:szCs w:val="16"/>
                <w:lang w:eastAsia="hr-HR"/>
              </w:rPr>
              <w:t>11%</w:t>
            </w:r>
          </w:p>
        </w:tc>
      </w:tr>
      <w:tr w:rsidR="00CF336B" w:rsidRPr="001B4CA2" w14:paraId="3168BC4B" w14:textId="77777777" w:rsidTr="001D4F0F">
        <w:trPr>
          <w:trHeight w:val="315"/>
          <w:jc w:val="center"/>
        </w:trPr>
        <w:tc>
          <w:tcPr>
            <w:tcW w:w="708" w:type="dxa"/>
            <w:shd w:val="clear" w:color="auto" w:fill="auto"/>
            <w:noWrap/>
            <w:vAlign w:val="center"/>
          </w:tcPr>
          <w:p w14:paraId="71339F04"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sz w:val="16"/>
                <w:szCs w:val="16"/>
                <w:lang w:eastAsia="hr-HR"/>
              </w:rPr>
              <w:t>2022.</w:t>
            </w:r>
          </w:p>
        </w:tc>
        <w:tc>
          <w:tcPr>
            <w:tcW w:w="652" w:type="dxa"/>
            <w:shd w:val="clear" w:color="auto" w:fill="auto"/>
            <w:noWrap/>
            <w:vAlign w:val="center"/>
          </w:tcPr>
          <w:p w14:paraId="64685D8D" w14:textId="77777777" w:rsidR="00CF336B" w:rsidRPr="001D4F0F" w:rsidRDefault="00CF336B" w:rsidP="00A14600">
            <w:pPr>
              <w:jc w:val="center"/>
              <w:rPr>
                <w:bCs/>
                <w:sz w:val="16"/>
                <w:szCs w:val="16"/>
              </w:rPr>
            </w:pPr>
            <w:r w:rsidRPr="001D4F0F">
              <w:rPr>
                <w:bCs/>
                <w:color w:val="000000" w:themeColor="text1"/>
                <w:sz w:val="16"/>
                <w:szCs w:val="16"/>
              </w:rPr>
              <w:t>5.553</w:t>
            </w:r>
          </w:p>
        </w:tc>
        <w:tc>
          <w:tcPr>
            <w:tcW w:w="803" w:type="dxa"/>
            <w:shd w:val="clear" w:color="auto" w:fill="auto"/>
            <w:noWrap/>
            <w:vAlign w:val="center"/>
          </w:tcPr>
          <w:p w14:paraId="12D9E93B" w14:textId="77777777" w:rsidR="00CF336B" w:rsidRPr="001D4F0F" w:rsidRDefault="00CF336B" w:rsidP="00A14600">
            <w:pPr>
              <w:jc w:val="center"/>
              <w:rPr>
                <w:sz w:val="16"/>
                <w:szCs w:val="16"/>
              </w:rPr>
            </w:pPr>
            <w:r w:rsidRPr="001D4F0F">
              <w:rPr>
                <w:sz w:val="16"/>
                <w:szCs w:val="16"/>
              </w:rPr>
              <w:t>240</w:t>
            </w:r>
          </w:p>
        </w:tc>
        <w:tc>
          <w:tcPr>
            <w:tcW w:w="927" w:type="dxa"/>
            <w:vAlign w:val="center"/>
          </w:tcPr>
          <w:p w14:paraId="4CD52B57" w14:textId="77777777" w:rsidR="00CF336B" w:rsidRPr="001D4F0F" w:rsidRDefault="00CF336B" w:rsidP="00A14600">
            <w:pPr>
              <w:jc w:val="center"/>
              <w:rPr>
                <w:rFonts w:eastAsia="Times New Roman"/>
                <w:sz w:val="16"/>
                <w:szCs w:val="16"/>
                <w:lang w:eastAsia="hr-HR"/>
              </w:rPr>
            </w:pPr>
            <w:r w:rsidRPr="001D4F0F">
              <w:rPr>
                <w:sz w:val="16"/>
                <w:szCs w:val="16"/>
              </w:rPr>
              <w:t>-</w:t>
            </w:r>
          </w:p>
        </w:tc>
        <w:tc>
          <w:tcPr>
            <w:tcW w:w="632" w:type="dxa"/>
            <w:vAlign w:val="center"/>
          </w:tcPr>
          <w:p w14:paraId="28EC7735" w14:textId="77777777" w:rsidR="00CF336B" w:rsidRPr="001D4F0F" w:rsidRDefault="00CF336B" w:rsidP="00A14600">
            <w:pPr>
              <w:jc w:val="center"/>
              <w:rPr>
                <w:rFonts w:eastAsia="Times New Roman"/>
                <w:sz w:val="16"/>
                <w:szCs w:val="16"/>
              </w:rPr>
            </w:pPr>
            <w:r w:rsidRPr="001D4F0F">
              <w:rPr>
                <w:rFonts w:eastAsia="Times New Roman" w:cstheme="minorHAnsi"/>
                <w:sz w:val="16"/>
                <w:szCs w:val="16"/>
              </w:rPr>
              <w:t>5.793</w:t>
            </w:r>
          </w:p>
        </w:tc>
        <w:tc>
          <w:tcPr>
            <w:tcW w:w="850" w:type="dxa"/>
            <w:shd w:val="clear" w:color="auto" w:fill="auto"/>
            <w:noWrap/>
            <w:vAlign w:val="center"/>
          </w:tcPr>
          <w:p w14:paraId="12A5F47D"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themeColor="text1"/>
                <w:sz w:val="16"/>
                <w:szCs w:val="16"/>
                <w:lang w:eastAsia="hr-HR"/>
              </w:rPr>
              <w:t>2.809</w:t>
            </w:r>
          </w:p>
        </w:tc>
        <w:tc>
          <w:tcPr>
            <w:tcW w:w="851" w:type="dxa"/>
            <w:shd w:val="clear" w:color="auto" w:fill="auto"/>
            <w:noWrap/>
            <w:vAlign w:val="center"/>
          </w:tcPr>
          <w:p w14:paraId="03A116C9"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sz w:val="16"/>
                <w:szCs w:val="16"/>
                <w:lang w:eastAsia="hr-HR"/>
              </w:rPr>
              <w:t>51%</w:t>
            </w:r>
          </w:p>
        </w:tc>
        <w:tc>
          <w:tcPr>
            <w:tcW w:w="992" w:type="dxa"/>
            <w:shd w:val="clear" w:color="auto" w:fill="auto"/>
            <w:noWrap/>
            <w:vAlign w:val="center"/>
          </w:tcPr>
          <w:p w14:paraId="55F3D969"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sz w:val="16"/>
                <w:szCs w:val="16"/>
                <w:lang w:eastAsia="hr-HR"/>
              </w:rPr>
              <w:t>2.228</w:t>
            </w:r>
          </w:p>
        </w:tc>
        <w:tc>
          <w:tcPr>
            <w:tcW w:w="851" w:type="dxa"/>
            <w:vAlign w:val="center"/>
          </w:tcPr>
          <w:p w14:paraId="06E87A6C"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sz w:val="16"/>
                <w:szCs w:val="16"/>
                <w:lang w:eastAsia="hr-HR"/>
              </w:rPr>
              <w:t>40%</w:t>
            </w:r>
          </w:p>
        </w:tc>
        <w:tc>
          <w:tcPr>
            <w:tcW w:w="850" w:type="dxa"/>
            <w:vAlign w:val="center"/>
          </w:tcPr>
          <w:p w14:paraId="1FAD3C94"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sz w:val="16"/>
                <w:szCs w:val="16"/>
                <w:lang w:eastAsia="hr-HR"/>
              </w:rPr>
              <w:t>516</w:t>
            </w:r>
          </w:p>
        </w:tc>
        <w:tc>
          <w:tcPr>
            <w:tcW w:w="851" w:type="dxa"/>
            <w:shd w:val="clear" w:color="auto" w:fill="auto"/>
            <w:noWrap/>
            <w:vAlign w:val="center"/>
          </w:tcPr>
          <w:p w14:paraId="53F9CE35"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sz w:val="16"/>
                <w:szCs w:val="16"/>
                <w:lang w:eastAsia="hr-HR"/>
              </w:rPr>
              <w:t>9%</w:t>
            </w:r>
          </w:p>
        </w:tc>
      </w:tr>
    </w:tbl>
    <w:p w14:paraId="66A9E707" w14:textId="77777777" w:rsidR="00CF336B" w:rsidRPr="001B4CA2" w:rsidRDefault="00CF336B" w:rsidP="00CF336B"/>
    <w:p w14:paraId="73247E3C" w14:textId="77777777" w:rsidR="00031BB4" w:rsidRPr="001B4CA2" w:rsidRDefault="00CF336B" w:rsidP="00031BB4">
      <w:r w:rsidRPr="001B4CA2">
        <w:tab/>
      </w:r>
      <w:r w:rsidR="00031BB4" w:rsidRPr="001B4CA2">
        <w:t>U 2022. godini sudovi su donijeli ukupno 5.553 prvostupanjske odluke, a sklopljeno je 240 sudskih nagodbi.</w:t>
      </w:r>
    </w:p>
    <w:p w14:paraId="5A0BB024" w14:textId="77777777" w:rsidR="00031BB4" w:rsidRPr="001B4CA2" w:rsidRDefault="00031BB4" w:rsidP="00031BB4"/>
    <w:p w14:paraId="0D714819" w14:textId="728D29CD" w:rsidR="00031BB4" w:rsidRPr="001B4CA2" w:rsidRDefault="00031BB4" w:rsidP="00031BB4">
      <w:r w:rsidRPr="001B4CA2">
        <w:tab/>
        <w:t>Analiza sudskih odluka u radnim sporovima pokazuje da se od ukupnog broja svih izgubljenih parnica (2.228) čak 908 predmeta odnosi na radne sporove, što čini 40</w:t>
      </w:r>
      <w:r w:rsidR="0016095C">
        <w:t> </w:t>
      </w:r>
      <w:r w:rsidRPr="001B4CA2">
        <w:t>%, a od ukupnog broja dobivenih predmeta (2.491) čak 1.053 predmeta odnosi se na radne sporove (42</w:t>
      </w:r>
      <w:r w:rsidR="0016095C">
        <w:t> </w:t>
      </w:r>
      <w:r w:rsidRPr="001B4CA2">
        <w:t>%). Razvidno je kako na uspješnost zastupanja u parničnim postupcima bitno utječu radni sporovi koji su posljedica povrede prava s osnove rada priznatih zakonom ili kolektivnim ugovorom.</w:t>
      </w:r>
    </w:p>
    <w:p w14:paraId="4C2AA402" w14:textId="1AE2B0FA" w:rsidR="00031BB4" w:rsidRPr="001B4CA2" w:rsidRDefault="00031BB4" w:rsidP="00031BB4"/>
    <w:p w14:paraId="05AC2EE8" w14:textId="399023B8" w:rsidR="00031BB4" w:rsidRPr="001B4CA2" w:rsidRDefault="00031BB4" w:rsidP="00031BB4"/>
    <w:p w14:paraId="69B70E7A" w14:textId="2EB346D9" w:rsidR="00031BB4" w:rsidRPr="001B4CA2" w:rsidRDefault="00031BB4" w:rsidP="00031BB4"/>
    <w:p w14:paraId="2EB1B538" w14:textId="7281FCA2" w:rsidR="00031BB4" w:rsidRPr="001B4CA2" w:rsidRDefault="00031BB4" w:rsidP="00031BB4"/>
    <w:p w14:paraId="7FC5C424" w14:textId="61028B7E" w:rsidR="00031BB4" w:rsidRPr="001B4CA2" w:rsidRDefault="00031BB4" w:rsidP="00031BB4"/>
    <w:p w14:paraId="39AE48B3" w14:textId="6E27D264" w:rsidR="00031BB4" w:rsidRPr="001B4CA2" w:rsidRDefault="00031BB4" w:rsidP="00031BB4"/>
    <w:p w14:paraId="08BF3E97" w14:textId="2BD0EEDD" w:rsidR="00031BB4" w:rsidRPr="001B4CA2" w:rsidRDefault="00031BB4" w:rsidP="00031BB4"/>
    <w:p w14:paraId="09685D1E" w14:textId="77777777" w:rsidR="00031BB4" w:rsidRPr="001B4CA2" w:rsidRDefault="00031BB4" w:rsidP="00031BB4"/>
    <w:p w14:paraId="0ED3CC7B" w14:textId="72AAB8A5" w:rsidR="00CF336B" w:rsidRPr="001B4CA2" w:rsidRDefault="00CF336B" w:rsidP="00031BB4"/>
    <w:p w14:paraId="1A7A8C27" w14:textId="77777777" w:rsidR="00A251B2" w:rsidRPr="001B4CA2" w:rsidRDefault="00A251B2" w:rsidP="00031BB4"/>
    <w:p w14:paraId="6E584ECA" w14:textId="77777777" w:rsidR="00CF336B" w:rsidRPr="001B4CA2" w:rsidRDefault="00CF336B" w:rsidP="00CF336B">
      <w:pPr>
        <w:ind w:left="284"/>
        <w:contextualSpacing/>
        <w:jc w:val="left"/>
        <w:rPr>
          <w:i/>
        </w:rPr>
      </w:pPr>
      <w:r w:rsidRPr="001B4CA2">
        <w:rPr>
          <w:i/>
        </w:rPr>
        <w:lastRenderedPageBreak/>
        <w:t>b) Uspjeh u parnicama pred općinskim i trgovačkim sudovima, 2018. – 2022.</w:t>
      </w:r>
    </w:p>
    <w:p w14:paraId="6DA873CA" w14:textId="291DD384" w:rsidR="00CF336B" w:rsidRPr="001B4CA2" w:rsidRDefault="00CF336B" w:rsidP="00CF336B">
      <w:pPr>
        <w:ind w:left="567"/>
        <w:contextualSpacing/>
        <w:jc w:val="left"/>
        <w:rPr>
          <w:i/>
        </w:rPr>
      </w:pPr>
      <w:r w:rsidRPr="001B4CA2">
        <w:rPr>
          <w:i/>
        </w:rPr>
        <w:t>(prema vrijednosti spora)</w:t>
      </w: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316"/>
        <w:gridCol w:w="1319"/>
        <w:gridCol w:w="1317"/>
        <w:gridCol w:w="1317"/>
        <w:gridCol w:w="1317"/>
        <w:gridCol w:w="1319"/>
      </w:tblGrid>
      <w:tr w:rsidR="00CF336B" w:rsidRPr="001B4CA2" w14:paraId="5452ECFE" w14:textId="77777777" w:rsidTr="00A14600">
        <w:trPr>
          <w:trHeight w:val="517"/>
          <w:jc w:val="center"/>
        </w:trPr>
        <w:tc>
          <w:tcPr>
            <w:tcW w:w="997" w:type="dxa"/>
            <w:vMerge w:val="restart"/>
            <w:shd w:val="clear" w:color="auto" w:fill="99CCFF"/>
            <w:noWrap/>
            <w:vAlign w:val="center"/>
            <w:hideMark/>
          </w:tcPr>
          <w:p w14:paraId="726F076A"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Godina</w:t>
            </w:r>
          </w:p>
        </w:tc>
        <w:tc>
          <w:tcPr>
            <w:tcW w:w="2635" w:type="dxa"/>
            <w:gridSpan w:val="2"/>
            <w:vMerge w:val="restart"/>
            <w:shd w:val="clear" w:color="auto" w:fill="99CCFF"/>
            <w:vAlign w:val="center"/>
            <w:hideMark/>
          </w:tcPr>
          <w:p w14:paraId="287C513D"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Sudske odluke</w:t>
            </w:r>
          </w:p>
        </w:tc>
        <w:tc>
          <w:tcPr>
            <w:tcW w:w="5270" w:type="dxa"/>
            <w:gridSpan w:val="4"/>
            <w:vMerge w:val="restart"/>
            <w:shd w:val="clear" w:color="auto" w:fill="99CCFF"/>
            <w:noWrap/>
            <w:vAlign w:val="center"/>
            <w:hideMark/>
          </w:tcPr>
          <w:p w14:paraId="44456202"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 xml:space="preserve">Uspjeh prema vrijednosti spora </w:t>
            </w:r>
          </w:p>
          <w:p w14:paraId="34CDC031"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 presude/rješenja/ sudske nagodbe -</w:t>
            </w:r>
          </w:p>
        </w:tc>
      </w:tr>
      <w:tr w:rsidR="00CF336B" w:rsidRPr="001B4CA2" w14:paraId="22D068B6" w14:textId="77777777" w:rsidTr="00A14600">
        <w:trPr>
          <w:trHeight w:val="517"/>
          <w:jc w:val="center"/>
        </w:trPr>
        <w:tc>
          <w:tcPr>
            <w:tcW w:w="997" w:type="dxa"/>
            <w:vMerge/>
            <w:shd w:val="clear" w:color="auto" w:fill="99CCFF"/>
            <w:vAlign w:val="center"/>
            <w:hideMark/>
          </w:tcPr>
          <w:p w14:paraId="0C5ABA46" w14:textId="77777777" w:rsidR="00CF336B" w:rsidRPr="001B4CA2" w:rsidRDefault="00CF336B" w:rsidP="00A14600">
            <w:pPr>
              <w:jc w:val="center"/>
              <w:rPr>
                <w:rFonts w:eastAsia="Times New Roman"/>
                <w:b/>
                <w:bCs/>
                <w:sz w:val="18"/>
                <w:szCs w:val="18"/>
                <w:lang w:eastAsia="hr-HR"/>
              </w:rPr>
            </w:pPr>
          </w:p>
        </w:tc>
        <w:tc>
          <w:tcPr>
            <w:tcW w:w="2635" w:type="dxa"/>
            <w:gridSpan w:val="2"/>
            <w:vMerge/>
            <w:shd w:val="clear" w:color="auto" w:fill="99CCFF"/>
            <w:vAlign w:val="center"/>
            <w:hideMark/>
          </w:tcPr>
          <w:p w14:paraId="0FA8B56C" w14:textId="77777777" w:rsidR="00CF336B" w:rsidRPr="001B4CA2" w:rsidRDefault="00CF336B" w:rsidP="00A14600">
            <w:pPr>
              <w:jc w:val="center"/>
              <w:rPr>
                <w:rFonts w:eastAsia="Times New Roman"/>
                <w:b/>
                <w:bCs/>
                <w:sz w:val="18"/>
                <w:szCs w:val="18"/>
                <w:lang w:eastAsia="hr-HR"/>
              </w:rPr>
            </w:pPr>
          </w:p>
        </w:tc>
        <w:tc>
          <w:tcPr>
            <w:tcW w:w="5270" w:type="dxa"/>
            <w:gridSpan w:val="4"/>
            <w:vMerge/>
            <w:shd w:val="clear" w:color="auto" w:fill="99CCFF"/>
            <w:vAlign w:val="center"/>
            <w:hideMark/>
          </w:tcPr>
          <w:p w14:paraId="5644A73B" w14:textId="77777777" w:rsidR="00CF336B" w:rsidRPr="001B4CA2" w:rsidRDefault="00CF336B" w:rsidP="00A14600">
            <w:pPr>
              <w:jc w:val="center"/>
              <w:rPr>
                <w:rFonts w:eastAsia="Times New Roman"/>
                <w:b/>
                <w:bCs/>
                <w:sz w:val="18"/>
                <w:szCs w:val="18"/>
                <w:lang w:eastAsia="hr-HR"/>
              </w:rPr>
            </w:pPr>
          </w:p>
        </w:tc>
      </w:tr>
      <w:tr w:rsidR="00CF336B" w:rsidRPr="001B4CA2" w14:paraId="7B82DEE2" w14:textId="77777777" w:rsidTr="00A14600">
        <w:trPr>
          <w:cantSplit/>
          <w:trHeight w:val="1454"/>
          <w:jc w:val="center"/>
        </w:trPr>
        <w:tc>
          <w:tcPr>
            <w:tcW w:w="997" w:type="dxa"/>
            <w:vMerge/>
            <w:shd w:val="clear" w:color="auto" w:fill="99CCFF"/>
            <w:vAlign w:val="center"/>
            <w:hideMark/>
          </w:tcPr>
          <w:p w14:paraId="304DE5A2" w14:textId="77777777" w:rsidR="00CF336B" w:rsidRPr="001B4CA2" w:rsidRDefault="00CF336B" w:rsidP="00A14600">
            <w:pPr>
              <w:jc w:val="center"/>
              <w:rPr>
                <w:rFonts w:eastAsia="Times New Roman"/>
                <w:b/>
                <w:bCs/>
                <w:sz w:val="18"/>
                <w:szCs w:val="18"/>
                <w:lang w:eastAsia="hr-HR"/>
              </w:rPr>
            </w:pPr>
          </w:p>
        </w:tc>
        <w:tc>
          <w:tcPr>
            <w:tcW w:w="1316" w:type="dxa"/>
            <w:shd w:val="clear" w:color="auto" w:fill="99CCFF"/>
            <w:textDirection w:val="btLr"/>
            <w:vAlign w:val="center"/>
          </w:tcPr>
          <w:p w14:paraId="376F57B0"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Presude/rješenja (broj)</w:t>
            </w:r>
          </w:p>
        </w:tc>
        <w:tc>
          <w:tcPr>
            <w:tcW w:w="1319" w:type="dxa"/>
            <w:shd w:val="clear" w:color="auto" w:fill="99CCFF"/>
            <w:textDirection w:val="btLr"/>
            <w:vAlign w:val="center"/>
          </w:tcPr>
          <w:p w14:paraId="4583BAA0" w14:textId="77777777" w:rsidR="00CF336B" w:rsidRPr="001B4CA2" w:rsidRDefault="00CF336B" w:rsidP="00A14600">
            <w:pPr>
              <w:ind w:right="113"/>
              <w:jc w:val="center"/>
              <w:rPr>
                <w:rFonts w:eastAsia="Times New Roman"/>
                <w:b/>
                <w:sz w:val="18"/>
                <w:szCs w:val="18"/>
              </w:rPr>
            </w:pPr>
            <w:r w:rsidRPr="001B4CA2">
              <w:rPr>
                <w:rFonts w:eastAsia="Times New Roman"/>
                <w:b/>
                <w:sz w:val="18"/>
                <w:szCs w:val="18"/>
                <w:lang w:eastAsia="hr-HR"/>
              </w:rPr>
              <w:t>Sudska nagodba (broj)</w:t>
            </w:r>
          </w:p>
        </w:tc>
        <w:tc>
          <w:tcPr>
            <w:tcW w:w="1317" w:type="dxa"/>
            <w:shd w:val="clear" w:color="auto" w:fill="99CCFF"/>
            <w:textDirection w:val="btLr"/>
            <w:vAlign w:val="center"/>
            <w:hideMark/>
          </w:tcPr>
          <w:p w14:paraId="699B7519" w14:textId="77777777" w:rsidR="00CF336B" w:rsidRPr="001B4CA2" w:rsidRDefault="00CF336B" w:rsidP="00A14600">
            <w:pPr>
              <w:jc w:val="center"/>
              <w:rPr>
                <w:rFonts w:eastAsia="Times New Roman"/>
                <w:b/>
                <w:sz w:val="18"/>
                <w:szCs w:val="18"/>
                <w:lang w:eastAsia="hr-HR"/>
              </w:rPr>
            </w:pPr>
            <w:r w:rsidRPr="001B4CA2">
              <w:rPr>
                <w:rFonts w:eastAsia="Times New Roman"/>
                <w:b/>
                <w:sz w:val="18"/>
                <w:szCs w:val="18"/>
                <w:lang w:eastAsia="hr-HR"/>
              </w:rPr>
              <w:t>Ukupna vrijednost dobivenog (u tisućama kuna)</w:t>
            </w:r>
          </w:p>
        </w:tc>
        <w:tc>
          <w:tcPr>
            <w:tcW w:w="1317" w:type="dxa"/>
            <w:shd w:val="clear" w:color="auto" w:fill="99CCFF"/>
            <w:textDirection w:val="btLr"/>
            <w:vAlign w:val="center"/>
            <w:hideMark/>
          </w:tcPr>
          <w:p w14:paraId="0BE82C48" w14:textId="77777777" w:rsidR="00CF336B" w:rsidRPr="001B4CA2" w:rsidRDefault="00CF336B" w:rsidP="00A14600">
            <w:pPr>
              <w:jc w:val="center"/>
              <w:rPr>
                <w:rFonts w:eastAsia="Times New Roman"/>
                <w:b/>
                <w:sz w:val="18"/>
                <w:szCs w:val="18"/>
                <w:lang w:eastAsia="hr-HR"/>
              </w:rPr>
            </w:pPr>
            <w:r w:rsidRPr="001B4CA2">
              <w:rPr>
                <w:rFonts w:eastAsia="Times New Roman"/>
                <w:b/>
                <w:sz w:val="18"/>
                <w:szCs w:val="18"/>
                <w:lang w:eastAsia="hr-HR"/>
              </w:rPr>
              <w:t>Postotak dobivenog u odnosu na vrijednost</w:t>
            </w:r>
          </w:p>
        </w:tc>
        <w:tc>
          <w:tcPr>
            <w:tcW w:w="1317" w:type="dxa"/>
            <w:shd w:val="clear" w:color="auto" w:fill="99CCFF"/>
            <w:textDirection w:val="btLr"/>
            <w:vAlign w:val="center"/>
            <w:hideMark/>
          </w:tcPr>
          <w:p w14:paraId="64F784B8" w14:textId="77777777" w:rsidR="00CF336B" w:rsidRPr="001B4CA2" w:rsidRDefault="00CF336B" w:rsidP="00A14600">
            <w:pPr>
              <w:jc w:val="center"/>
              <w:rPr>
                <w:rFonts w:eastAsia="Times New Roman"/>
                <w:b/>
                <w:sz w:val="18"/>
                <w:szCs w:val="18"/>
                <w:lang w:eastAsia="hr-HR"/>
              </w:rPr>
            </w:pPr>
            <w:r w:rsidRPr="001B4CA2">
              <w:rPr>
                <w:rFonts w:eastAsia="Times New Roman"/>
                <w:b/>
                <w:sz w:val="18"/>
                <w:szCs w:val="18"/>
                <w:lang w:eastAsia="hr-HR"/>
              </w:rPr>
              <w:t>Ukupna vrijednost izgubljenog (u tisućama kuna)</w:t>
            </w:r>
          </w:p>
        </w:tc>
        <w:tc>
          <w:tcPr>
            <w:tcW w:w="1319" w:type="dxa"/>
            <w:shd w:val="clear" w:color="auto" w:fill="99CCFF"/>
            <w:textDirection w:val="btLr"/>
            <w:vAlign w:val="center"/>
            <w:hideMark/>
          </w:tcPr>
          <w:p w14:paraId="06AB7A63" w14:textId="77777777" w:rsidR="00CF336B" w:rsidRPr="001B4CA2" w:rsidRDefault="00CF336B" w:rsidP="00A14600">
            <w:pPr>
              <w:jc w:val="center"/>
              <w:rPr>
                <w:rFonts w:eastAsia="Times New Roman"/>
                <w:b/>
                <w:sz w:val="18"/>
                <w:szCs w:val="18"/>
                <w:lang w:eastAsia="hr-HR"/>
              </w:rPr>
            </w:pPr>
            <w:r w:rsidRPr="001B4CA2">
              <w:rPr>
                <w:rFonts w:eastAsia="Times New Roman"/>
                <w:b/>
                <w:sz w:val="18"/>
                <w:szCs w:val="18"/>
                <w:lang w:eastAsia="hr-HR"/>
              </w:rPr>
              <w:t>Postotak izgubljenog u odnosu na vrijednost</w:t>
            </w:r>
          </w:p>
        </w:tc>
      </w:tr>
      <w:tr w:rsidR="00CF336B" w:rsidRPr="001B4CA2" w14:paraId="5E786930" w14:textId="77777777" w:rsidTr="00A14600">
        <w:trPr>
          <w:trHeight w:val="352"/>
          <w:jc w:val="center"/>
        </w:trPr>
        <w:tc>
          <w:tcPr>
            <w:tcW w:w="997" w:type="dxa"/>
            <w:shd w:val="clear" w:color="auto" w:fill="auto"/>
            <w:noWrap/>
            <w:vAlign w:val="center"/>
          </w:tcPr>
          <w:p w14:paraId="66AD89C6"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2018.</w:t>
            </w:r>
          </w:p>
        </w:tc>
        <w:tc>
          <w:tcPr>
            <w:tcW w:w="1316" w:type="dxa"/>
            <w:shd w:val="clear" w:color="auto" w:fill="auto"/>
            <w:noWrap/>
            <w:vAlign w:val="center"/>
          </w:tcPr>
          <w:p w14:paraId="2A8B4C92"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themeColor="text1"/>
                <w:sz w:val="18"/>
                <w:szCs w:val="18"/>
                <w:lang w:eastAsia="hr-HR"/>
              </w:rPr>
              <w:t>3.144</w:t>
            </w:r>
          </w:p>
        </w:tc>
        <w:tc>
          <w:tcPr>
            <w:tcW w:w="1319" w:type="dxa"/>
            <w:shd w:val="clear" w:color="auto" w:fill="auto"/>
            <w:noWrap/>
            <w:vAlign w:val="center"/>
          </w:tcPr>
          <w:p w14:paraId="3D053623" w14:textId="77777777" w:rsidR="00CF336B" w:rsidRPr="001B4CA2" w:rsidRDefault="00CF336B" w:rsidP="00A14600">
            <w:pPr>
              <w:jc w:val="center"/>
              <w:rPr>
                <w:rFonts w:eastAsia="Times New Roman"/>
                <w:sz w:val="18"/>
                <w:szCs w:val="18"/>
                <w:lang w:eastAsia="hr-HR"/>
              </w:rPr>
            </w:pPr>
            <w:r w:rsidRPr="001B4CA2">
              <w:rPr>
                <w:rFonts w:eastAsia="Times New Roman"/>
                <w:bCs/>
                <w:color w:val="000000"/>
                <w:sz w:val="18"/>
                <w:szCs w:val="18"/>
                <w:lang w:eastAsia="hr-HR"/>
              </w:rPr>
              <w:t>329</w:t>
            </w:r>
          </w:p>
        </w:tc>
        <w:tc>
          <w:tcPr>
            <w:tcW w:w="1317" w:type="dxa"/>
            <w:shd w:val="clear" w:color="auto" w:fill="auto"/>
            <w:noWrap/>
            <w:vAlign w:val="center"/>
          </w:tcPr>
          <w:p w14:paraId="0BFA9FEE"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440.553</w:t>
            </w:r>
          </w:p>
        </w:tc>
        <w:tc>
          <w:tcPr>
            <w:tcW w:w="1317" w:type="dxa"/>
            <w:shd w:val="clear" w:color="auto" w:fill="auto"/>
            <w:noWrap/>
            <w:vAlign w:val="center"/>
          </w:tcPr>
          <w:p w14:paraId="28D61E51"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65,7%</w:t>
            </w:r>
          </w:p>
        </w:tc>
        <w:tc>
          <w:tcPr>
            <w:tcW w:w="1317" w:type="dxa"/>
            <w:shd w:val="clear" w:color="auto" w:fill="auto"/>
            <w:noWrap/>
            <w:vAlign w:val="center"/>
          </w:tcPr>
          <w:p w14:paraId="3955CD63"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230.384</w:t>
            </w:r>
          </w:p>
        </w:tc>
        <w:tc>
          <w:tcPr>
            <w:tcW w:w="1319" w:type="dxa"/>
            <w:shd w:val="clear" w:color="auto" w:fill="auto"/>
            <w:noWrap/>
            <w:vAlign w:val="center"/>
          </w:tcPr>
          <w:p w14:paraId="2BB51F24"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34,3%</w:t>
            </w:r>
          </w:p>
        </w:tc>
      </w:tr>
      <w:tr w:rsidR="00CF336B" w:rsidRPr="001B4CA2" w14:paraId="3D6867CE" w14:textId="77777777" w:rsidTr="00A14600">
        <w:trPr>
          <w:trHeight w:val="352"/>
          <w:jc w:val="center"/>
        </w:trPr>
        <w:tc>
          <w:tcPr>
            <w:tcW w:w="997" w:type="dxa"/>
            <w:shd w:val="clear" w:color="auto" w:fill="auto"/>
            <w:noWrap/>
            <w:vAlign w:val="center"/>
          </w:tcPr>
          <w:p w14:paraId="4C6850B8"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2019.</w:t>
            </w:r>
          </w:p>
        </w:tc>
        <w:tc>
          <w:tcPr>
            <w:tcW w:w="1316" w:type="dxa"/>
            <w:shd w:val="clear" w:color="auto" w:fill="auto"/>
            <w:noWrap/>
            <w:vAlign w:val="center"/>
          </w:tcPr>
          <w:p w14:paraId="58ED8D77"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themeColor="text1"/>
                <w:sz w:val="18"/>
                <w:szCs w:val="18"/>
                <w:lang w:eastAsia="hr-HR"/>
              </w:rPr>
              <w:t>2.951</w:t>
            </w:r>
          </w:p>
        </w:tc>
        <w:tc>
          <w:tcPr>
            <w:tcW w:w="1319" w:type="dxa"/>
            <w:shd w:val="clear" w:color="auto" w:fill="auto"/>
            <w:noWrap/>
            <w:vAlign w:val="center"/>
          </w:tcPr>
          <w:p w14:paraId="2C58FA47"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260</w:t>
            </w:r>
          </w:p>
        </w:tc>
        <w:tc>
          <w:tcPr>
            <w:tcW w:w="1317" w:type="dxa"/>
            <w:shd w:val="clear" w:color="auto" w:fill="auto"/>
            <w:noWrap/>
            <w:vAlign w:val="center"/>
          </w:tcPr>
          <w:p w14:paraId="6C864CC8"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313.311</w:t>
            </w:r>
          </w:p>
        </w:tc>
        <w:tc>
          <w:tcPr>
            <w:tcW w:w="1317" w:type="dxa"/>
            <w:shd w:val="clear" w:color="auto" w:fill="auto"/>
            <w:noWrap/>
            <w:vAlign w:val="center"/>
          </w:tcPr>
          <w:p w14:paraId="773C906F"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62,8%</w:t>
            </w:r>
          </w:p>
        </w:tc>
        <w:tc>
          <w:tcPr>
            <w:tcW w:w="1317" w:type="dxa"/>
            <w:shd w:val="clear" w:color="auto" w:fill="auto"/>
            <w:noWrap/>
            <w:vAlign w:val="center"/>
          </w:tcPr>
          <w:p w14:paraId="697DF539"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185.499</w:t>
            </w:r>
          </w:p>
        </w:tc>
        <w:tc>
          <w:tcPr>
            <w:tcW w:w="1319" w:type="dxa"/>
            <w:shd w:val="clear" w:color="auto" w:fill="auto"/>
            <w:noWrap/>
            <w:vAlign w:val="center"/>
          </w:tcPr>
          <w:p w14:paraId="20357223" w14:textId="77777777" w:rsidR="00CF336B" w:rsidRPr="001B4CA2" w:rsidRDefault="00CF336B" w:rsidP="00A14600">
            <w:pPr>
              <w:jc w:val="center"/>
              <w:rPr>
                <w:rFonts w:eastAsia="Times New Roman"/>
                <w:sz w:val="18"/>
                <w:szCs w:val="18"/>
                <w:lang w:eastAsia="hr-HR"/>
              </w:rPr>
            </w:pPr>
            <w:r w:rsidRPr="001B4CA2">
              <w:rPr>
                <w:rFonts w:eastAsia="Times New Roman"/>
                <w:color w:val="000000"/>
                <w:sz w:val="18"/>
                <w:szCs w:val="18"/>
                <w:lang w:eastAsia="hr-HR"/>
              </w:rPr>
              <w:t>37,2%</w:t>
            </w:r>
          </w:p>
        </w:tc>
      </w:tr>
      <w:tr w:rsidR="00CF336B" w:rsidRPr="001B4CA2" w14:paraId="4504A3CB" w14:textId="77777777" w:rsidTr="00A14600">
        <w:trPr>
          <w:trHeight w:val="352"/>
          <w:jc w:val="center"/>
        </w:trPr>
        <w:tc>
          <w:tcPr>
            <w:tcW w:w="997" w:type="dxa"/>
            <w:shd w:val="clear" w:color="auto" w:fill="auto"/>
            <w:noWrap/>
            <w:vAlign w:val="center"/>
          </w:tcPr>
          <w:p w14:paraId="6963216D"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2020.</w:t>
            </w:r>
          </w:p>
        </w:tc>
        <w:tc>
          <w:tcPr>
            <w:tcW w:w="1316" w:type="dxa"/>
            <w:shd w:val="clear" w:color="auto" w:fill="auto"/>
            <w:noWrap/>
            <w:vAlign w:val="center"/>
          </w:tcPr>
          <w:p w14:paraId="1B063967" w14:textId="77777777" w:rsidR="00CF336B" w:rsidRPr="001B4CA2" w:rsidRDefault="00CF336B" w:rsidP="00A14600">
            <w:pPr>
              <w:jc w:val="center"/>
              <w:rPr>
                <w:rFonts w:eastAsia="Times New Roman"/>
                <w:bCs/>
                <w:sz w:val="18"/>
                <w:szCs w:val="18"/>
                <w:lang w:eastAsia="hr-HR"/>
              </w:rPr>
            </w:pPr>
            <w:r w:rsidRPr="001B4CA2">
              <w:rPr>
                <w:bCs/>
                <w:color w:val="000000" w:themeColor="text1"/>
                <w:sz w:val="18"/>
                <w:szCs w:val="18"/>
              </w:rPr>
              <w:t>3.350</w:t>
            </w:r>
          </w:p>
        </w:tc>
        <w:tc>
          <w:tcPr>
            <w:tcW w:w="1319" w:type="dxa"/>
            <w:shd w:val="clear" w:color="auto" w:fill="auto"/>
            <w:noWrap/>
            <w:vAlign w:val="center"/>
          </w:tcPr>
          <w:p w14:paraId="58D4DFFC" w14:textId="77777777" w:rsidR="00CF336B" w:rsidRPr="001B4CA2" w:rsidRDefault="00CF336B" w:rsidP="00A14600">
            <w:pPr>
              <w:jc w:val="center"/>
              <w:rPr>
                <w:rFonts w:eastAsia="Times New Roman"/>
                <w:bCs/>
                <w:sz w:val="18"/>
                <w:szCs w:val="18"/>
                <w:lang w:eastAsia="hr-HR"/>
              </w:rPr>
            </w:pPr>
            <w:r w:rsidRPr="001B4CA2">
              <w:rPr>
                <w:sz w:val="18"/>
                <w:szCs w:val="18"/>
              </w:rPr>
              <w:t>211</w:t>
            </w:r>
          </w:p>
        </w:tc>
        <w:tc>
          <w:tcPr>
            <w:tcW w:w="1317" w:type="dxa"/>
            <w:shd w:val="clear" w:color="auto" w:fill="auto"/>
            <w:noWrap/>
            <w:vAlign w:val="center"/>
          </w:tcPr>
          <w:p w14:paraId="79A1AFE5" w14:textId="77777777" w:rsidR="00CF336B" w:rsidRPr="001B4CA2" w:rsidRDefault="00CF336B" w:rsidP="00A14600">
            <w:pPr>
              <w:jc w:val="center"/>
              <w:rPr>
                <w:rFonts w:eastAsia="Times New Roman"/>
                <w:sz w:val="18"/>
                <w:szCs w:val="18"/>
                <w:lang w:eastAsia="hr-HR"/>
              </w:rPr>
            </w:pPr>
            <w:r w:rsidRPr="001B4CA2">
              <w:rPr>
                <w:sz w:val="18"/>
                <w:szCs w:val="18"/>
              </w:rPr>
              <w:t>3.020.863</w:t>
            </w:r>
          </w:p>
        </w:tc>
        <w:tc>
          <w:tcPr>
            <w:tcW w:w="1317" w:type="dxa"/>
            <w:shd w:val="clear" w:color="auto" w:fill="auto"/>
            <w:noWrap/>
            <w:vAlign w:val="center"/>
          </w:tcPr>
          <w:p w14:paraId="4AE5CCDE" w14:textId="77777777" w:rsidR="00CF336B" w:rsidRPr="001B4CA2" w:rsidRDefault="00CF336B" w:rsidP="00A14600">
            <w:pPr>
              <w:jc w:val="center"/>
              <w:rPr>
                <w:rFonts w:eastAsia="Times New Roman"/>
                <w:sz w:val="18"/>
                <w:szCs w:val="18"/>
                <w:lang w:eastAsia="hr-HR"/>
              </w:rPr>
            </w:pPr>
            <w:r w:rsidRPr="001B4CA2">
              <w:rPr>
                <w:sz w:val="18"/>
                <w:szCs w:val="18"/>
              </w:rPr>
              <w:t>85,04%</w:t>
            </w:r>
          </w:p>
        </w:tc>
        <w:tc>
          <w:tcPr>
            <w:tcW w:w="1317" w:type="dxa"/>
            <w:shd w:val="clear" w:color="auto" w:fill="auto"/>
            <w:noWrap/>
            <w:vAlign w:val="center"/>
          </w:tcPr>
          <w:p w14:paraId="6CF1310B"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531.353</w:t>
            </w:r>
          </w:p>
        </w:tc>
        <w:tc>
          <w:tcPr>
            <w:tcW w:w="1319" w:type="dxa"/>
            <w:shd w:val="clear" w:color="auto" w:fill="auto"/>
            <w:noWrap/>
            <w:vAlign w:val="center"/>
          </w:tcPr>
          <w:p w14:paraId="7BF36F60"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14,95%</w:t>
            </w:r>
          </w:p>
        </w:tc>
      </w:tr>
      <w:tr w:rsidR="00CF336B" w:rsidRPr="001B4CA2" w14:paraId="1B1ACD42" w14:textId="77777777" w:rsidTr="00A14600">
        <w:trPr>
          <w:trHeight w:val="352"/>
          <w:jc w:val="center"/>
        </w:trPr>
        <w:tc>
          <w:tcPr>
            <w:tcW w:w="997" w:type="dxa"/>
            <w:shd w:val="clear" w:color="auto" w:fill="auto"/>
            <w:noWrap/>
            <w:vAlign w:val="center"/>
          </w:tcPr>
          <w:p w14:paraId="5E0C8E91"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2021.</w:t>
            </w:r>
          </w:p>
        </w:tc>
        <w:tc>
          <w:tcPr>
            <w:tcW w:w="1316" w:type="dxa"/>
            <w:shd w:val="clear" w:color="auto" w:fill="auto"/>
            <w:noWrap/>
            <w:vAlign w:val="center"/>
          </w:tcPr>
          <w:p w14:paraId="22C63921" w14:textId="77777777" w:rsidR="00CF336B" w:rsidRPr="001B4CA2" w:rsidRDefault="00CF336B" w:rsidP="00A14600">
            <w:pPr>
              <w:jc w:val="center"/>
              <w:rPr>
                <w:bCs/>
                <w:sz w:val="18"/>
                <w:szCs w:val="18"/>
              </w:rPr>
            </w:pPr>
            <w:r w:rsidRPr="001B4CA2">
              <w:rPr>
                <w:bCs/>
                <w:color w:val="000000" w:themeColor="text1"/>
                <w:sz w:val="18"/>
                <w:szCs w:val="18"/>
              </w:rPr>
              <w:t>4.173</w:t>
            </w:r>
          </w:p>
        </w:tc>
        <w:tc>
          <w:tcPr>
            <w:tcW w:w="1319" w:type="dxa"/>
            <w:shd w:val="clear" w:color="auto" w:fill="auto"/>
            <w:noWrap/>
            <w:vAlign w:val="center"/>
          </w:tcPr>
          <w:p w14:paraId="298A6268" w14:textId="77777777" w:rsidR="00CF336B" w:rsidRPr="001B4CA2" w:rsidRDefault="00CF336B" w:rsidP="00A14600">
            <w:pPr>
              <w:jc w:val="center"/>
              <w:rPr>
                <w:sz w:val="18"/>
                <w:szCs w:val="18"/>
              </w:rPr>
            </w:pPr>
            <w:r w:rsidRPr="001B4CA2">
              <w:rPr>
                <w:sz w:val="18"/>
                <w:szCs w:val="18"/>
              </w:rPr>
              <w:t>379</w:t>
            </w:r>
          </w:p>
        </w:tc>
        <w:tc>
          <w:tcPr>
            <w:tcW w:w="1317" w:type="dxa"/>
            <w:shd w:val="clear" w:color="auto" w:fill="auto"/>
            <w:noWrap/>
            <w:vAlign w:val="center"/>
          </w:tcPr>
          <w:p w14:paraId="3CEE0B32" w14:textId="77777777" w:rsidR="00CF336B" w:rsidRPr="001B4CA2" w:rsidRDefault="00CF336B" w:rsidP="00A14600">
            <w:pPr>
              <w:jc w:val="center"/>
              <w:rPr>
                <w:sz w:val="18"/>
                <w:szCs w:val="18"/>
              </w:rPr>
            </w:pPr>
            <w:r w:rsidRPr="001B4CA2">
              <w:rPr>
                <w:sz w:val="18"/>
                <w:szCs w:val="18"/>
              </w:rPr>
              <w:t>4.189.179</w:t>
            </w:r>
          </w:p>
        </w:tc>
        <w:tc>
          <w:tcPr>
            <w:tcW w:w="1317" w:type="dxa"/>
            <w:shd w:val="clear" w:color="auto" w:fill="auto"/>
            <w:noWrap/>
            <w:vAlign w:val="center"/>
          </w:tcPr>
          <w:p w14:paraId="133047B9" w14:textId="77777777" w:rsidR="00CF336B" w:rsidRPr="001B4CA2" w:rsidRDefault="00CF336B" w:rsidP="00A14600">
            <w:pPr>
              <w:jc w:val="center"/>
              <w:rPr>
                <w:sz w:val="18"/>
                <w:szCs w:val="18"/>
              </w:rPr>
            </w:pPr>
            <w:r w:rsidRPr="001B4CA2">
              <w:rPr>
                <w:sz w:val="18"/>
                <w:szCs w:val="18"/>
              </w:rPr>
              <w:t>89%</w:t>
            </w:r>
          </w:p>
        </w:tc>
        <w:tc>
          <w:tcPr>
            <w:tcW w:w="1317" w:type="dxa"/>
            <w:shd w:val="clear" w:color="auto" w:fill="auto"/>
            <w:noWrap/>
            <w:vAlign w:val="center"/>
          </w:tcPr>
          <w:p w14:paraId="3E3C2D6B"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510.473</w:t>
            </w:r>
          </w:p>
        </w:tc>
        <w:tc>
          <w:tcPr>
            <w:tcW w:w="1319" w:type="dxa"/>
            <w:shd w:val="clear" w:color="auto" w:fill="auto"/>
            <w:noWrap/>
            <w:vAlign w:val="center"/>
          </w:tcPr>
          <w:p w14:paraId="25A737F7"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11%</w:t>
            </w:r>
          </w:p>
        </w:tc>
      </w:tr>
      <w:tr w:rsidR="00CF336B" w:rsidRPr="001B4CA2" w14:paraId="4B6B2296" w14:textId="77777777" w:rsidTr="00A14600">
        <w:trPr>
          <w:trHeight w:val="352"/>
          <w:jc w:val="center"/>
        </w:trPr>
        <w:tc>
          <w:tcPr>
            <w:tcW w:w="997" w:type="dxa"/>
            <w:shd w:val="clear" w:color="auto" w:fill="auto"/>
            <w:noWrap/>
            <w:vAlign w:val="center"/>
          </w:tcPr>
          <w:p w14:paraId="6E411E3D"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2022.</w:t>
            </w:r>
          </w:p>
        </w:tc>
        <w:tc>
          <w:tcPr>
            <w:tcW w:w="1316" w:type="dxa"/>
            <w:shd w:val="clear" w:color="auto" w:fill="auto"/>
            <w:noWrap/>
            <w:vAlign w:val="center"/>
          </w:tcPr>
          <w:p w14:paraId="5331EC04" w14:textId="77777777" w:rsidR="00CF336B" w:rsidRPr="001B4CA2" w:rsidRDefault="00CF336B" w:rsidP="00A14600">
            <w:pPr>
              <w:jc w:val="center"/>
              <w:rPr>
                <w:bCs/>
                <w:sz w:val="18"/>
                <w:szCs w:val="18"/>
              </w:rPr>
            </w:pPr>
            <w:r w:rsidRPr="001B4CA2">
              <w:rPr>
                <w:bCs/>
                <w:color w:val="000000" w:themeColor="text1"/>
                <w:sz w:val="18"/>
                <w:szCs w:val="18"/>
              </w:rPr>
              <w:t>5.553</w:t>
            </w:r>
          </w:p>
        </w:tc>
        <w:tc>
          <w:tcPr>
            <w:tcW w:w="1319" w:type="dxa"/>
            <w:shd w:val="clear" w:color="auto" w:fill="auto"/>
            <w:noWrap/>
            <w:vAlign w:val="center"/>
          </w:tcPr>
          <w:p w14:paraId="3D3837FC" w14:textId="77777777" w:rsidR="00CF336B" w:rsidRPr="001B4CA2" w:rsidRDefault="00CF336B" w:rsidP="00A14600">
            <w:pPr>
              <w:jc w:val="center"/>
              <w:rPr>
                <w:sz w:val="18"/>
                <w:szCs w:val="18"/>
              </w:rPr>
            </w:pPr>
            <w:r w:rsidRPr="001B4CA2">
              <w:rPr>
                <w:sz w:val="18"/>
                <w:szCs w:val="18"/>
              </w:rPr>
              <w:t>240</w:t>
            </w:r>
          </w:p>
        </w:tc>
        <w:tc>
          <w:tcPr>
            <w:tcW w:w="1317" w:type="dxa"/>
            <w:shd w:val="clear" w:color="auto" w:fill="auto"/>
            <w:noWrap/>
            <w:vAlign w:val="center"/>
          </w:tcPr>
          <w:p w14:paraId="30C892EB" w14:textId="77777777" w:rsidR="00CF336B" w:rsidRPr="001B4CA2" w:rsidRDefault="00CF336B" w:rsidP="00A14600">
            <w:pPr>
              <w:jc w:val="center"/>
              <w:rPr>
                <w:sz w:val="18"/>
                <w:szCs w:val="18"/>
              </w:rPr>
            </w:pPr>
            <w:r w:rsidRPr="001B4CA2">
              <w:rPr>
                <w:sz w:val="18"/>
                <w:szCs w:val="18"/>
              </w:rPr>
              <w:t>7.078.648</w:t>
            </w:r>
          </w:p>
        </w:tc>
        <w:tc>
          <w:tcPr>
            <w:tcW w:w="1317" w:type="dxa"/>
            <w:shd w:val="clear" w:color="auto" w:fill="auto"/>
            <w:noWrap/>
            <w:vAlign w:val="center"/>
          </w:tcPr>
          <w:p w14:paraId="19B90915" w14:textId="77777777" w:rsidR="00CF336B" w:rsidRPr="001B4CA2" w:rsidRDefault="00CF336B" w:rsidP="00A14600">
            <w:pPr>
              <w:jc w:val="center"/>
              <w:rPr>
                <w:sz w:val="18"/>
                <w:szCs w:val="18"/>
              </w:rPr>
            </w:pPr>
            <w:r w:rsidRPr="001B4CA2">
              <w:rPr>
                <w:sz w:val="18"/>
                <w:szCs w:val="18"/>
              </w:rPr>
              <w:t>94%</w:t>
            </w:r>
          </w:p>
        </w:tc>
        <w:tc>
          <w:tcPr>
            <w:tcW w:w="1317" w:type="dxa"/>
            <w:shd w:val="clear" w:color="auto" w:fill="auto"/>
            <w:noWrap/>
            <w:vAlign w:val="center"/>
          </w:tcPr>
          <w:p w14:paraId="6A9E1795"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464.622</w:t>
            </w:r>
          </w:p>
        </w:tc>
        <w:tc>
          <w:tcPr>
            <w:tcW w:w="1319" w:type="dxa"/>
            <w:shd w:val="clear" w:color="auto" w:fill="auto"/>
            <w:noWrap/>
            <w:vAlign w:val="center"/>
          </w:tcPr>
          <w:p w14:paraId="4DFBAEBB" w14:textId="77777777" w:rsidR="00CF336B" w:rsidRPr="001B4CA2" w:rsidRDefault="00CF336B" w:rsidP="00A14600">
            <w:pPr>
              <w:jc w:val="center"/>
              <w:rPr>
                <w:rFonts w:eastAsia="Times New Roman"/>
                <w:sz w:val="18"/>
                <w:szCs w:val="18"/>
                <w:lang w:eastAsia="hr-HR"/>
              </w:rPr>
            </w:pPr>
            <w:r w:rsidRPr="001B4CA2">
              <w:rPr>
                <w:rFonts w:eastAsia="Times New Roman" w:cstheme="minorHAnsi"/>
                <w:color w:val="000000"/>
                <w:sz w:val="18"/>
                <w:szCs w:val="18"/>
                <w:lang w:eastAsia="hr-HR"/>
              </w:rPr>
              <w:t>6%</w:t>
            </w:r>
          </w:p>
        </w:tc>
      </w:tr>
    </w:tbl>
    <w:p w14:paraId="61BE8EA3" w14:textId="77777777" w:rsidR="00CF336B" w:rsidRPr="001B4CA2" w:rsidRDefault="00CF336B" w:rsidP="00CF336B">
      <w:pPr>
        <w:rPr>
          <w:u w:val="single"/>
        </w:rPr>
      </w:pPr>
    </w:p>
    <w:p w14:paraId="0AFC14DF" w14:textId="77777777" w:rsidR="00031BB4" w:rsidRPr="001B4CA2" w:rsidRDefault="00CF336B" w:rsidP="00031BB4">
      <w:r w:rsidRPr="001B4CA2">
        <w:tab/>
      </w:r>
      <w:r w:rsidR="00031BB4" w:rsidRPr="001B4CA2">
        <w:t>Prikaz sudskih odluka u parnicama prema vrijednosti predmeta spora daje realniji prikaz uspješnosti u ovim predmetima.</w:t>
      </w:r>
    </w:p>
    <w:p w14:paraId="03B96650" w14:textId="77777777" w:rsidR="00031BB4" w:rsidRPr="001B4CA2" w:rsidRDefault="00031BB4" w:rsidP="00031BB4"/>
    <w:p w14:paraId="7A96C07C" w14:textId="29B2C53C" w:rsidR="00031BB4" w:rsidRPr="001B4CA2" w:rsidRDefault="00031BB4" w:rsidP="00031BB4">
      <w:r w:rsidRPr="001B4CA2">
        <w:tab/>
        <w:t>Analiza podataka o dobivenim, odnosno izgubljenim parnicama prema vrijednosti predmeta spora pokazuje da je Republika Hrvatska uspjela u 94</w:t>
      </w:r>
      <w:r w:rsidR="0016095C">
        <w:t> </w:t>
      </w:r>
      <w:r w:rsidRPr="001B4CA2">
        <w:t>%</w:t>
      </w:r>
      <w:r w:rsidR="0016095C">
        <w:t xml:space="preserve">, odnosno </w:t>
      </w:r>
      <w:r w:rsidRPr="001B4CA2">
        <w:t>7.078.648.000,00 k</w:t>
      </w:r>
      <w:r w:rsidR="00A251B2" w:rsidRPr="001B4CA2">
        <w:t>n</w:t>
      </w:r>
      <w:r w:rsidR="0016095C">
        <w:t xml:space="preserve"> </w:t>
      </w:r>
      <w:r w:rsidR="00A251B2" w:rsidRPr="001B4CA2">
        <w:t>/</w:t>
      </w:r>
      <w:r w:rsidR="0016095C">
        <w:t xml:space="preserve"> </w:t>
      </w:r>
      <w:r w:rsidR="00A251B2" w:rsidRPr="001B4CA2">
        <w:t>939.</w:t>
      </w:r>
      <w:r w:rsidR="00C4437D">
        <w:t>498</w:t>
      </w:r>
      <w:r w:rsidR="00A251B2" w:rsidRPr="001B4CA2">
        <w:t>.</w:t>
      </w:r>
      <w:r w:rsidR="00C4437D">
        <w:t>042</w:t>
      </w:r>
      <w:r w:rsidR="00A251B2" w:rsidRPr="001B4CA2">
        <w:t>,</w:t>
      </w:r>
      <w:r w:rsidR="00C4437D">
        <w:t>34</w:t>
      </w:r>
      <w:r w:rsidR="00A251B2" w:rsidRPr="001B4CA2">
        <w:t xml:space="preserve"> EUR</w:t>
      </w:r>
      <w:r w:rsidRPr="001B4CA2">
        <w:t>, dok nije uspjela u svega 6</w:t>
      </w:r>
      <w:r w:rsidR="0016095C">
        <w:t> </w:t>
      </w:r>
      <w:r w:rsidRPr="001B4CA2">
        <w:t>%. Najveći dio dobivenih parnica odnosi se na sporove naknade štete.</w:t>
      </w:r>
    </w:p>
    <w:p w14:paraId="25A8643F" w14:textId="275DD96D" w:rsidR="00885BB0" w:rsidRDefault="00885BB0" w:rsidP="00031BB4"/>
    <w:p w14:paraId="566B002A" w14:textId="61F235BB" w:rsidR="001D4F0F" w:rsidRDefault="001D4F0F" w:rsidP="00031BB4"/>
    <w:p w14:paraId="2404250C" w14:textId="4B0C6B06" w:rsidR="001D4F0F" w:rsidRDefault="001D4F0F" w:rsidP="00031BB4"/>
    <w:p w14:paraId="3672AE61" w14:textId="63E17843" w:rsidR="001D4F0F" w:rsidRDefault="001D4F0F" w:rsidP="00031BB4"/>
    <w:p w14:paraId="5BCF9B6C" w14:textId="1B773D0E" w:rsidR="001D4F0F" w:rsidRDefault="001D4F0F" w:rsidP="00031BB4"/>
    <w:p w14:paraId="486E0320" w14:textId="22D03C1E" w:rsidR="001D4F0F" w:rsidRDefault="001D4F0F" w:rsidP="00031BB4"/>
    <w:p w14:paraId="299EFF0D" w14:textId="23D2054D" w:rsidR="001D4F0F" w:rsidRDefault="001D4F0F" w:rsidP="00031BB4"/>
    <w:p w14:paraId="4B222D78" w14:textId="0B540FDF" w:rsidR="001D4F0F" w:rsidRDefault="001D4F0F" w:rsidP="00031BB4"/>
    <w:p w14:paraId="32F18A38" w14:textId="14AB5760" w:rsidR="001D4F0F" w:rsidRDefault="001D4F0F" w:rsidP="00031BB4"/>
    <w:p w14:paraId="0C43C5F6" w14:textId="66362A1E" w:rsidR="001D4F0F" w:rsidRDefault="001D4F0F" w:rsidP="00031BB4"/>
    <w:p w14:paraId="46FAA9B9" w14:textId="7B5B91D7" w:rsidR="001D4F0F" w:rsidRDefault="001D4F0F" w:rsidP="00031BB4"/>
    <w:p w14:paraId="02F6EFCD" w14:textId="3844CB6D" w:rsidR="001D4F0F" w:rsidRDefault="001D4F0F" w:rsidP="00031BB4"/>
    <w:p w14:paraId="423CDD5A" w14:textId="11FDF58F" w:rsidR="001D4F0F" w:rsidRDefault="001D4F0F" w:rsidP="00031BB4"/>
    <w:p w14:paraId="56C23801" w14:textId="648E4A33" w:rsidR="001D4F0F" w:rsidRDefault="001D4F0F" w:rsidP="00031BB4"/>
    <w:p w14:paraId="41C16ED4" w14:textId="04400493" w:rsidR="001D4F0F" w:rsidRDefault="001D4F0F" w:rsidP="00031BB4"/>
    <w:p w14:paraId="26FC2BA8" w14:textId="3F5B7547" w:rsidR="001D4F0F" w:rsidRDefault="001D4F0F" w:rsidP="00031BB4"/>
    <w:p w14:paraId="32AEEE99" w14:textId="4041B973" w:rsidR="001D4F0F" w:rsidRDefault="001D4F0F" w:rsidP="00031BB4"/>
    <w:p w14:paraId="347435DD" w14:textId="0D655886" w:rsidR="001D4F0F" w:rsidRDefault="001D4F0F" w:rsidP="00031BB4"/>
    <w:p w14:paraId="0401C27B" w14:textId="6F8AF2AA" w:rsidR="001D4F0F" w:rsidRDefault="001D4F0F" w:rsidP="00031BB4"/>
    <w:p w14:paraId="408C5BCB" w14:textId="27D40D16" w:rsidR="001D4F0F" w:rsidRDefault="001D4F0F" w:rsidP="00031BB4"/>
    <w:p w14:paraId="0D06D1B9" w14:textId="59CA2A46" w:rsidR="001D4F0F" w:rsidRDefault="001D4F0F" w:rsidP="00031BB4"/>
    <w:p w14:paraId="3BC4B405" w14:textId="420CFA56" w:rsidR="001D4F0F" w:rsidRDefault="001D4F0F" w:rsidP="00031BB4"/>
    <w:p w14:paraId="06EC89C4" w14:textId="48B9309D" w:rsidR="001D4F0F" w:rsidRDefault="001D4F0F" w:rsidP="00031BB4"/>
    <w:p w14:paraId="038AD6B9" w14:textId="77777777" w:rsidR="001D4F0F" w:rsidRPr="001B4CA2" w:rsidRDefault="001D4F0F" w:rsidP="00031BB4"/>
    <w:p w14:paraId="64E30A64" w14:textId="0EE306F2" w:rsidR="00BB4D48" w:rsidRPr="001B4CA2" w:rsidRDefault="00CE234E" w:rsidP="00BF508A">
      <w:pPr>
        <w:pStyle w:val="Naslov4"/>
        <w:tabs>
          <w:tab w:val="left" w:pos="993"/>
        </w:tabs>
        <w:rPr>
          <w:rFonts w:ascii="Arial" w:hAnsi="Arial" w:cs="Arial"/>
        </w:rPr>
      </w:pPr>
      <w:bookmarkStart w:id="46" w:name="_Toc70427410"/>
      <w:bookmarkStart w:id="47" w:name="_Toc133394307"/>
      <w:r w:rsidRPr="001B4CA2">
        <w:rPr>
          <w:rFonts w:ascii="Arial" w:hAnsi="Arial" w:cs="Arial"/>
        </w:rPr>
        <w:lastRenderedPageBreak/>
        <w:t xml:space="preserve">Odluke </w:t>
      </w:r>
      <w:r w:rsidR="007326B9" w:rsidRPr="001B4CA2">
        <w:rPr>
          <w:rFonts w:ascii="Arial" w:hAnsi="Arial" w:cs="Arial"/>
        </w:rPr>
        <w:t xml:space="preserve">u upravnim </w:t>
      </w:r>
      <w:bookmarkEnd w:id="46"/>
      <w:r w:rsidR="00C569DE" w:rsidRPr="001B4CA2">
        <w:rPr>
          <w:rFonts w:ascii="Arial" w:hAnsi="Arial" w:cs="Arial"/>
        </w:rPr>
        <w:t>predmetima</w:t>
      </w:r>
      <w:bookmarkEnd w:id="47"/>
    </w:p>
    <w:p w14:paraId="17E20FC4" w14:textId="77777777" w:rsidR="00733943" w:rsidRPr="001B4CA2" w:rsidRDefault="00733943" w:rsidP="00E35777"/>
    <w:p w14:paraId="1962FDED" w14:textId="77777777" w:rsidR="00031BB4" w:rsidRPr="001B4CA2" w:rsidRDefault="00CF336B" w:rsidP="00031BB4">
      <w:r w:rsidRPr="001B4CA2">
        <w:tab/>
      </w:r>
      <w:r w:rsidR="00031BB4" w:rsidRPr="001B4CA2">
        <w:t xml:space="preserve">Državna odvjetništva zastupaju Republiku Hrvatsku u postupcima pred javnopravnim tijelima u predmetima radi povrata imovine, izvlaštenja, utvrđivanja građevinskih čestica, promjene podataka u katastarskom </w:t>
      </w:r>
      <w:proofErr w:type="spellStart"/>
      <w:r w:rsidR="00031BB4" w:rsidRPr="001B4CA2">
        <w:t>operatu</w:t>
      </w:r>
      <w:proofErr w:type="spellEnd"/>
      <w:r w:rsidR="00031BB4" w:rsidRPr="001B4CA2">
        <w:t xml:space="preserve"> i provedbe geodetskih elaborata, stečaja potrošača pred Financijskom agencijom, utvrđivanja granica pomorskog dobra, otpisa duga i dr.</w:t>
      </w:r>
    </w:p>
    <w:p w14:paraId="6AED3F6C" w14:textId="05B42081" w:rsidR="00CF336B" w:rsidRPr="001B4CA2" w:rsidRDefault="00CF336B" w:rsidP="00CF336B">
      <w:pPr>
        <w:rPr>
          <w:i/>
        </w:rPr>
      </w:pPr>
    </w:p>
    <w:p w14:paraId="66EE1F42" w14:textId="0F60BDB9" w:rsidR="00CF336B" w:rsidRPr="001B4CA2" w:rsidRDefault="003E79A0" w:rsidP="00CF336B">
      <w:pPr>
        <w:rPr>
          <w:i/>
        </w:rPr>
      </w:pPr>
      <w:r>
        <w:rPr>
          <w:i/>
        </w:rPr>
        <w:t xml:space="preserve"> </w:t>
      </w:r>
      <w:r w:rsidR="00CF336B" w:rsidRPr="001B4CA2">
        <w:rPr>
          <w:i/>
        </w:rPr>
        <w:t>Upravni predmeti (U-DO upisnik), 2018. – 2022.</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51"/>
        <w:gridCol w:w="846"/>
        <w:gridCol w:w="701"/>
        <w:gridCol w:w="845"/>
        <w:gridCol w:w="846"/>
        <w:gridCol w:w="845"/>
        <w:gridCol w:w="846"/>
        <w:gridCol w:w="602"/>
        <w:gridCol w:w="847"/>
        <w:gridCol w:w="658"/>
        <w:gridCol w:w="549"/>
      </w:tblGrid>
      <w:tr w:rsidR="00CF336B" w:rsidRPr="001B4CA2" w14:paraId="3DD62B83" w14:textId="77777777" w:rsidTr="001D4F0F">
        <w:trPr>
          <w:trHeight w:val="955"/>
          <w:jc w:val="center"/>
        </w:trPr>
        <w:tc>
          <w:tcPr>
            <w:tcW w:w="517" w:type="dxa"/>
            <w:vMerge w:val="restart"/>
            <w:tcBorders>
              <w:bottom w:val="single" w:sz="4" w:space="0" w:color="auto"/>
            </w:tcBorders>
            <w:shd w:val="clear" w:color="000000" w:fill="99CCFF"/>
            <w:noWrap/>
            <w:vAlign w:val="center"/>
            <w:hideMark/>
          </w:tcPr>
          <w:p w14:paraId="5832224F" w14:textId="77777777" w:rsidR="00CF336B" w:rsidRPr="001D4F0F" w:rsidRDefault="00CF336B" w:rsidP="00A14600">
            <w:pPr>
              <w:jc w:val="center"/>
              <w:rPr>
                <w:rFonts w:eastAsia="Times New Roman"/>
                <w:b/>
                <w:bCs/>
                <w:sz w:val="16"/>
                <w:szCs w:val="16"/>
                <w:lang w:eastAsia="hr-HR"/>
              </w:rPr>
            </w:pPr>
            <w:r w:rsidRPr="001D4F0F">
              <w:rPr>
                <w:rFonts w:eastAsia="Times New Roman"/>
                <w:b/>
                <w:bCs/>
                <w:sz w:val="16"/>
                <w:szCs w:val="16"/>
                <w:lang w:eastAsia="hr-HR"/>
              </w:rPr>
              <w:t>Godina</w:t>
            </w:r>
          </w:p>
        </w:tc>
        <w:tc>
          <w:tcPr>
            <w:tcW w:w="751" w:type="dxa"/>
            <w:vMerge w:val="restart"/>
            <w:tcBorders>
              <w:bottom w:val="single" w:sz="4" w:space="0" w:color="auto"/>
            </w:tcBorders>
            <w:shd w:val="clear" w:color="000000" w:fill="99CCFF"/>
            <w:textDirection w:val="btLr"/>
            <w:vAlign w:val="center"/>
            <w:hideMark/>
          </w:tcPr>
          <w:p w14:paraId="165B09CB" w14:textId="77777777" w:rsidR="00CF336B" w:rsidRPr="001D4F0F" w:rsidRDefault="00CF336B" w:rsidP="00CF336B">
            <w:pPr>
              <w:jc w:val="left"/>
              <w:rPr>
                <w:rFonts w:eastAsia="Times New Roman"/>
                <w:b/>
                <w:bCs/>
                <w:sz w:val="16"/>
                <w:szCs w:val="16"/>
                <w:lang w:eastAsia="hr-HR"/>
              </w:rPr>
            </w:pPr>
            <w:r w:rsidRPr="001D4F0F">
              <w:rPr>
                <w:rFonts w:eastAsia="Times New Roman"/>
                <w:b/>
                <w:bCs/>
                <w:sz w:val="16"/>
                <w:szCs w:val="16"/>
                <w:lang w:eastAsia="hr-HR"/>
              </w:rPr>
              <w:t>Ostalo u radu u DO</w:t>
            </w:r>
          </w:p>
        </w:tc>
        <w:tc>
          <w:tcPr>
            <w:tcW w:w="1602" w:type="dxa"/>
            <w:gridSpan w:val="2"/>
            <w:tcBorders>
              <w:bottom w:val="single" w:sz="4" w:space="0" w:color="auto"/>
            </w:tcBorders>
            <w:shd w:val="clear" w:color="000000" w:fill="99CCFF"/>
            <w:vAlign w:val="center"/>
            <w:hideMark/>
          </w:tcPr>
          <w:p w14:paraId="3D936319" w14:textId="77777777" w:rsidR="00CF336B" w:rsidRPr="001D4F0F" w:rsidRDefault="00CF336B" w:rsidP="00A14600">
            <w:pPr>
              <w:jc w:val="center"/>
              <w:rPr>
                <w:rFonts w:eastAsia="Times New Roman"/>
                <w:b/>
                <w:bCs/>
                <w:sz w:val="16"/>
                <w:szCs w:val="16"/>
                <w:lang w:eastAsia="hr-HR"/>
              </w:rPr>
            </w:pPr>
            <w:r w:rsidRPr="001D4F0F">
              <w:rPr>
                <w:rFonts w:eastAsia="Times New Roman"/>
                <w:b/>
                <w:bCs/>
                <w:sz w:val="16"/>
                <w:szCs w:val="16"/>
                <w:lang w:eastAsia="hr-HR"/>
              </w:rPr>
              <w:t>Primljeno</w:t>
            </w:r>
          </w:p>
        </w:tc>
        <w:tc>
          <w:tcPr>
            <w:tcW w:w="845" w:type="dxa"/>
            <w:vMerge w:val="restart"/>
            <w:tcBorders>
              <w:bottom w:val="single" w:sz="4" w:space="0" w:color="auto"/>
            </w:tcBorders>
            <w:shd w:val="clear" w:color="000000" w:fill="99CCFF"/>
            <w:textDirection w:val="btLr"/>
            <w:vAlign w:val="center"/>
            <w:hideMark/>
          </w:tcPr>
          <w:p w14:paraId="5A4D9251" w14:textId="77777777" w:rsidR="00CF336B" w:rsidRPr="001D4F0F" w:rsidRDefault="00CF336B" w:rsidP="00CF336B">
            <w:pPr>
              <w:jc w:val="left"/>
              <w:rPr>
                <w:rFonts w:eastAsia="Times New Roman"/>
                <w:b/>
                <w:bCs/>
                <w:sz w:val="16"/>
                <w:szCs w:val="16"/>
                <w:lang w:eastAsia="hr-HR"/>
              </w:rPr>
            </w:pPr>
            <w:r w:rsidRPr="001D4F0F">
              <w:rPr>
                <w:rFonts w:eastAsia="Times New Roman"/>
                <w:b/>
                <w:bCs/>
                <w:sz w:val="16"/>
                <w:szCs w:val="16"/>
                <w:lang w:eastAsia="hr-HR"/>
              </w:rPr>
              <w:t>Ukupno u radu u DO</w:t>
            </w:r>
          </w:p>
        </w:tc>
        <w:tc>
          <w:tcPr>
            <w:tcW w:w="846" w:type="dxa"/>
            <w:vMerge w:val="restart"/>
            <w:tcBorders>
              <w:bottom w:val="single" w:sz="4" w:space="0" w:color="auto"/>
            </w:tcBorders>
            <w:shd w:val="clear" w:color="000000" w:fill="99CCFF"/>
            <w:textDirection w:val="btLr"/>
            <w:vAlign w:val="center"/>
            <w:hideMark/>
          </w:tcPr>
          <w:p w14:paraId="6CF31E44" w14:textId="77777777" w:rsidR="00CF336B" w:rsidRPr="001D4F0F" w:rsidRDefault="00CF336B" w:rsidP="00CF336B">
            <w:pPr>
              <w:jc w:val="left"/>
              <w:rPr>
                <w:rFonts w:eastAsia="Times New Roman"/>
                <w:b/>
                <w:bCs/>
                <w:sz w:val="16"/>
                <w:szCs w:val="16"/>
                <w:lang w:eastAsia="hr-HR"/>
              </w:rPr>
            </w:pPr>
            <w:r w:rsidRPr="001D4F0F">
              <w:rPr>
                <w:rFonts w:eastAsia="Times New Roman"/>
                <w:b/>
                <w:bCs/>
                <w:sz w:val="16"/>
                <w:szCs w:val="16"/>
                <w:lang w:eastAsia="hr-HR"/>
              </w:rPr>
              <w:t>Ukupno donesenih odluka</w:t>
            </w:r>
          </w:p>
        </w:tc>
        <w:tc>
          <w:tcPr>
            <w:tcW w:w="845" w:type="dxa"/>
            <w:vMerge w:val="restart"/>
            <w:tcBorders>
              <w:bottom w:val="single" w:sz="4" w:space="0" w:color="auto"/>
            </w:tcBorders>
            <w:shd w:val="clear" w:color="000000" w:fill="99CCFF"/>
            <w:textDirection w:val="btLr"/>
            <w:vAlign w:val="center"/>
            <w:hideMark/>
          </w:tcPr>
          <w:p w14:paraId="45DD05AC" w14:textId="77777777" w:rsidR="00CF336B" w:rsidRPr="001D4F0F" w:rsidRDefault="00CF336B" w:rsidP="00CF336B">
            <w:pPr>
              <w:jc w:val="left"/>
              <w:rPr>
                <w:rFonts w:eastAsia="Times New Roman"/>
                <w:b/>
                <w:bCs/>
                <w:sz w:val="16"/>
                <w:szCs w:val="16"/>
                <w:lang w:eastAsia="hr-HR"/>
              </w:rPr>
            </w:pPr>
            <w:r w:rsidRPr="001D4F0F">
              <w:rPr>
                <w:rFonts w:eastAsia="Times New Roman"/>
                <w:b/>
                <w:bCs/>
                <w:sz w:val="16"/>
                <w:szCs w:val="16"/>
                <w:lang w:eastAsia="hr-HR"/>
              </w:rPr>
              <w:t>Rasprave</w:t>
            </w:r>
          </w:p>
        </w:tc>
        <w:tc>
          <w:tcPr>
            <w:tcW w:w="2373" w:type="dxa"/>
            <w:gridSpan w:val="3"/>
            <w:tcBorders>
              <w:bottom w:val="single" w:sz="4" w:space="0" w:color="auto"/>
            </w:tcBorders>
            <w:shd w:val="clear" w:color="000000" w:fill="99CCFF"/>
            <w:vAlign w:val="center"/>
            <w:hideMark/>
          </w:tcPr>
          <w:p w14:paraId="4B2F71C6" w14:textId="77777777" w:rsidR="00CF336B" w:rsidRPr="001D4F0F" w:rsidRDefault="00CF336B" w:rsidP="00A14600">
            <w:pPr>
              <w:jc w:val="center"/>
              <w:rPr>
                <w:rFonts w:eastAsia="Times New Roman"/>
                <w:b/>
                <w:bCs/>
                <w:sz w:val="16"/>
                <w:szCs w:val="16"/>
                <w:lang w:eastAsia="hr-HR"/>
              </w:rPr>
            </w:pPr>
            <w:r w:rsidRPr="001D4F0F">
              <w:rPr>
                <w:rFonts w:eastAsia="Times New Roman"/>
                <w:b/>
                <w:bCs/>
                <w:sz w:val="16"/>
                <w:szCs w:val="16"/>
                <w:lang w:eastAsia="hr-HR"/>
              </w:rPr>
              <w:t>Odluke JPT-a po prijedlogu DO</w:t>
            </w:r>
          </w:p>
        </w:tc>
        <w:tc>
          <w:tcPr>
            <w:tcW w:w="685" w:type="dxa"/>
            <w:vMerge w:val="restart"/>
            <w:tcBorders>
              <w:bottom w:val="single" w:sz="4" w:space="0" w:color="auto"/>
            </w:tcBorders>
            <w:shd w:val="clear" w:color="000000" w:fill="99CCFF"/>
            <w:textDirection w:val="btLr"/>
            <w:vAlign w:val="center"/>
            <w:hideMark/>
          </w:tcPr>
          <w:p w14:paraId="762C8E0C" w14:textId="77777777" w:rsidR="00CF336B" w:rsidRPr="001D4F0F" w:rsidRDefault="00CF336B" w:rsidP="00CF336B">
            <w:pPr>
              <w:jc w:val="left"/>
              <w:rPr>
                <w:rFonts w:eastAsia="Times New Roman"/>
                <w:b/>
                <w:bCs/>
                <w:sz w:val="16"/>
                <w:szCs w:val="16"/>
                <w:lang w:eastAsia="hr-HR"/>
              </w:rPr>
            </w:pPr>
            <w:r w:rsidRPr="001D4F0F">
              <w:rPr>
                <w:rFonts w:eastAsia="Times New Roman"/>
                <w:b/>
                <w:bCs/>
                <w:sz w:val="16"/>
                <w:szCs w:val="16"/>
                <w:lang w:eastAsia="hr-HR"/>
              </w:rPr>
              <w:t>Predmeti u kojima JPT nije donio I-stup. Odluku</w:t>
            </w:r>
          </w:p>
        </w:tc>
        <w:tc>
          <w:tcPr>
            <w:tcW w:w="640" w:type="dxa"/>
            <w:vMerge w:val="restart"/>
            <w:tcBorders>
              <w:bottom w:val="single" w:sz="4" w:space="0" w:color="auto"/>
            </w:tcBorders>
            <w:shd w:val="clear" w:color="000000" w:fill="99CCFF"/>
            <w:textDirection w:val="btLr"/>
            <w:vAlign w:val="center"/>
            <w:hideMark/>
          </w:tcPr>
          <w:p w14:paraId="26524963" w14:textId="77777777" w:rsidR="00CF336B" w:rsidRPr="001D4F0F" w:rsidRDefault="00CF336B" w:rsidP="00CF336B">
            <w:pPr>
              <w:jc w:val="left"/>
              <w:rPr>
                <w:rFonts w:eastAsia="Times New Roman"/>
                <w:b/>
                <w:bCs/>
                <w:sz w:val="16"/>
                <w:szCs w:val="16"/>
                <w:lang w:eastAsia="hr-HR"/>
              </w:rPr>
            </w:pPr>
            <w:r w:rsidRPr="001D4F0F">
              <w:rPr>
                <w:rFonts w:eastAsia="Times New Roman"/>
                <w:b/>
                <w:bCs/>
                <w:sz w:val="16"/>
                <w:szCs w:val="16"/>
                <w:lang w:eastAsia="hr-HR"/>
              </w:rPr>
              <w:t>Inicijativa za pokretanje upravnog spora</w:t>
            </w:r>
          </w:p>
        </w:tc>
      </w:tr>
      <w:tr w:rsidR="00CF336B" w:rsidRPr="001B4CA2" w14:paraId="5004355C" w14:textId="77777777" w:rsidTr="001D4F0F">
        <w:trPr>
          <w:trHeight w:val="1524"/>
          <w:jc w:val="center"/>
        </w:trPr>
        <w:tc>
          <w:tcPr>
            <w:tcW w:w="517" w:type="dxa"/>
            <w:vMerge/>
            <w:vAlign w:val="center"/>
            <w:hideMark/>
          </w:tcPr>
          <w:p w14:paraId="5C50248B" w14:textId="77777777" w:rsidR="00CF336B" w:rsidRPr="001D4F0F" w:rsidRDefault="00CF336B" w:rsidP="00A14600">
            <w:pPr>
              <w:jc w:val="left"/>
              <w:rPr>
                <w:rFonts w:eastAsia="Times New Roman"/>
                <w:b/>
                <w:bCs/>
                <w:sz w:val="16"/>
                <w:szCs w:val="16"/>
                <w:lang w:eastAsia="hr-HR"/>
              </w:rPr>
            </w:pPr>
          </w:p>
        </w:tc>
        <w:tc>
          <w:tcPr>
            <w:tcW w:w="751" w:type="dxa"/>
            <w:vMerge/>
            <w:vAlign w:val="center"/>
            <w:hideMark/>
          </w:tcPr>
          <w:p w14:paraId="0996CE2D" w14:textId="77777777" w:rsidR="00CF336B" w:rsidRPr="001D4F0F" w:rsidRDefault="00CF336B" w:rsidP="00A14600">
            <w:pPr>
              <w:jc w:val="center"/>
              <w:rPr>
                <w:rFonts w:eastAsia="Times New Roman"/>
                <w:b/>
                <w:bCs/>
                <w:sz w:val="16"/>
                <w:szCs w:val="16"/>
                <w:lang w:eastAsia="hr-HR"/>
              </w:rPr>
            </w:pPr>
          </w:p>
        </w:tc>
        <w:tc>
          <w:tcPr>
            <w:tcW w:w="846" w:type="dxa"/>
            <w:shd w:val="clear" w:color="000000" w:fill="99CCFF"/>
            <w:textDirection w:val="btLr"/>
            <w:vAlign w:val="center"/>
            <w:hideMark/>
          </w:tcPr>
          <w:p w14:paraId="79705A7A" w14:textId="77777777" w:rsidR="00CF336B" w:rsidRPr="001D4F0F" w:rsidRDefault="00CF336B" w:rsidP="00CF336B">
            <w:pPr>
              <w:jc w:val="left"/>
              <w:rPr>
                <w:rFonts w:eastAsia="Times New Roman"/>
                <w:b/>
                <w:sz w:val="16"/>
                <w:szCs w:val="16"/>
                <w:lang w:eastAsia="hr-HR"/>
              </w:rPr>
            </w:pPr>
            <w:r w:rsidRPr="001D4F0F">
              <w:rPr>
                <w:rFonts w:eastAsia="Times New Roman"/>
                <w:b/>
                <w:sz w:val="16"/>
                <w:szCs w:val="16"/>
                <w:lang w:eastAsia="hr-HR"/>
              </w:rPr>
              <w:t>Predlagatelj</w:t>
            </w:r>
          </w:p>
        </w:tc>
        <w:tc>
          <w:tcPr>
            <w:tcW w:w="756" w:type="dxa"/>
            <w:shd w:val="clear" w:color="000000" w:fill="99CCFF"/>
            <w:textDirection w:val="btLr"/>
            <w:vAlign w:val="center"/>
            <w:hideMark/>
          </w:tcPr>
          <w:p w14:paraId="664BFB1F" w14:textId="77777777" w:rsidR="00CF336B" w:rsidRPr="001D4F0F" w:rsidRDefault="00CF336B" w:rsidP="00CF336B">
            <w:pPr>
              <w:jc w:val="left"/>
              <w:rPr>
                <w:rFonts w:eastAsia="Times New Roman"/>
                <w:b/>
                <w:sz w:val="16"/>
                <w:szCs w:val="16"/>
                <w:lang w:eastAsia="hr-HR"/>
              </w:rPr>
            </w:pPr>
            <w:proofErr w:type="spellStart"/>
            <w:r w:rsidRPr="001D4F0F">
              <w:rPr>
                <w:rFonts w:eastAsia="Times New Roman"/>
                <w:b/>
                <w:sz w:val="16"/>
                <w:szCs w:val="16"/>
                <w:lang w:eastAsia="hr-HR"/>
              </w:rPr>
              <w:t>Protustranka</w:t>
            </w:r>
            <w:proofErr w:type="spellEnd"/>
          </w:p>
        </w:tc>
        <w:tc>
          <w:tcPr>
            <w:tcW w:w="845" w:type="dxa"/>
            <w:vMerge/>
            <w:vAlign w:val="center"/>
            <w:hideMark/>
          </w:tcPr>
          <w:p w14:paraId="0BEDB765" w14:textId="77777777" w:rsidR="00CF336B" w:rsidRPr="001D4F0F" w:rsidRDefault="00CF336B" w:rsidP="00A14600">
            <w:pPr>
              <w:jc w:val="left"/>
              <w:rPr>
                <w:rFonts w:eastAsia="Times New Roman"/>
                <w:b/>
                <w:bCs/>
                <w:sz w:val="16"/>
                <w:szCs w:val="16"/>
                <w:lang w:eastAsia="hr-HR"/>
              </w:rPr>
            </w:pPr>
          </w:p>
        </w:tc>
        <w:tc>
          <w:tcPr>
            <w:tcW w:w="846" w:type="dxa"/>
            <w:vMerge/>
            <w:vAlign w:val="center"/>
            <w:hideMark/>
          </w:tcPr>
          <w:p w14:paraId="39A15D15" w14:textId="77777777" w:rsidR="00CF336B" w:rsidRPr="001D4F0F" w:rsidRDefault="00CF336B" w:rsidP="00A14600">
            <w:pPr>
              <w:jc w:val="left"/>
              <w:rPr>
                <w:rFonts w:eastAsia="Times New Roman"/>
                <w:b/>
                <w:bCs/>
                <w:sz w:val="16"/>
                <w:szCs w:val="16"/>
                <w:lang w:eastAsia="hr-HR"/>
              </w:rPr>
            </w:pPr>
          </w:p>
        </w:tc>
        <w:tc>
          <w:tcPr>
            <w:tcW w:w="845" w:type="dxa"/>
            <w:vMerge/>
            <w:vAlign w:val="center"/>
            <w:hideMark/>
          </w:tcPr>
          <w:p w14:paraId="7E7CBBBA" w14:textId="77777777" w:rsidR="00CF336B" w:rsidRPr="001D4F0F" w:rsidRDefault="00CF336B" w:rsidP="00A14600">
            <w:pPr>
              <w:jc w:val="left"/>
              <w:rPr>
                <w:rFonts w:eastAsia="Times New Roman"/>
                <w:b/>
                <w:bCs/>
                <w:sz w:val="16"/>
                <w:szCs w:val="16"/>
                <w:lang w:eastAsia="hr-HR"/>
              </w:rPr>
            </w:pPr>
          </w:p>
        </w:tc>
        <w:tc>
          <w:tcPr>
            <w:tcW w:w="846" w:type="dxa"/>
            <w:shd w:val="clear" w:color="000000" w:fill="99CCFF"/>
            <w:textDirection w:val="btLr"/>
            <w:vAlign w:val="center"/>
            <w:hideMark/>
          </w:tcPr>
          <w:p w14:paraId="123ACB41" w14:textId="468339DD" w:rsidR="00CF336B" w:rsidRPr="001D4F0F" w:rsidRDefault="00CF336B" w:rsidP="00CF336B">
            <w:pPr>
              <w:jc w:val="left"/>
              <w:rPr>
                <w:rFonts w:eastAsia="Times New Roman"/>
                <w:b/>
                <w:sz w:val="16"/>
                <w:szCs w:val="16"/>
                <w:lang w:eastAsia="hr-HR"/>
              </w:rPr>
            </w:pPr>
            <w:r w:rsidRPr="001D4F0F">
              <w:rPr>
                <w:rFonts w:eastAsia="Times New Roman"/>
                <w:b/>
                <w:sz w:val="16"/>
                <w:szCs w:val="16"/>
                <w:lang w:eastAsia="hr-HR"/>
              </w:rPr>
              <w:t>Prijedlog</w:t>
            </w:r>
            <w:r w:rsidR="001B4CA2" w:rsidRPr="001D4F0F">
              <w:rPr>
                <w:rFonts w:eastAsia="Times New Roman"/>
                <w:b/>
                <w:sz w:val="16"/>
                <w:szCs w:val="16"/>
                <w:lang w:eastAsia="hr-HR"/>
              </w:rPr>
              <w:t xml:space="preserve"> </w:t>
            </w:r>
            <w:r w:rsidRPr="001D4F0F">
              <w:rPr>
                <w:rFonts w:eastAsia="Times New Roman"/>
                <w:b/>
                <w:sz w:val="16"/>
                <w:szCs w:val="16"/>
                <w:lang w:eastAsia="hr-HR"/>
              </w:rPr>
              <w:t>usvojen</w:t>
            </w:r>
          </w:p>
        </w:tc>
        <w:tc>
          <w:tcPr>
            <w:tcW w:w="680" w:type="dxa"/>
            <w:shd w:val="clear" w:color="000000" w:fill="99CCFF"/>
            <w:textDirection w:val="btLr"/>
            <w:vAlign w:val="center"/>
            <w:hideMark/>
          </w:tcPr>
          <w:p w14:paraId="749439AD" w14:textId="111388EC" w:rsidR="00CF336B" w:rsidRPr="001D4F0F" w:rsidRDefault="00CF336B" w:rsidP="00CF336B">
            <w:pPr>
              <w:jc w:val="left"/>
              <w:rPr>
                <w:rFonts w:eastAsia="Times New Roman"/>
                <w:b/>
                <w:sz w:val="16"/>
                <w:szCs w:val="16"/>
                <w:lang w:eastAsia="hr-HR"/>
              </w:rPr>
            </w:pPr>
            <w:r w:rsidRPr="001D4F0F">
              <w:rPr>
                <w:rFonts w:eastAsia="Times New Roman"/>
                <w:b/>
                <w:sz w:val="16"/>
                <w:szCs w:val="16"/>
                <w:lang w:eastAsia="hr-HR"/>
              </w:rPr>
              <w:t>Prijedlog</w:t>
            </w:r>
            <w:r w:rsidR="001B4CA2" w:rsidRPr="001D4F0F">
              <w:rPr>
                <w:rFonts w:eastAsia="Times New Roman"/>
                <w:b/>
                <w:sz w:val="16"/>
                <w:szCs w:val="16"/>
                <w:lang w:eastAsia="hr-HR"/>
              </w:rPr>
              <w:t xml:space="preserve"> </w:t>
            </w:r>
            <w:r w:rsidRPr="001D4F0F">
              <w:rPr>
                <w:rFonts w:eastAsia="Times New Roman"/>
                <w:b/>
                <w:sz w:val="16"/>
                <w:szCs w:val="16"/>
                <w:lang w:eastAsia="hr-HR"/>
              </w:rPr>
              <w:t>odbijen</w:t>
            </w:r>
          </w:p>
        </w:tc>
        <w:tc>
          <w:tcPr>
            <w:tcW w:w="847" w:type="dxa"/>
            <w:shd w:val="clear" w:color="000000" w:fill="99CCFF"/>
            <w:textDirection w:val="btLr"/>
            <w:vAlign w:val="center"/>
            <w:hideMark/>
          </w:tcPr>
          <w:p w14:paraId="7575A378" w14:textId="77777777" w:rsidR="00CF336B" w:rsidRPr="001D4F0F" w:rsidRDefault="00CF336B" w:rsidP="00CF336B">
            <w:pPr>
              <w:jc w:val="left"/>
              <w:rPr>
                <w:rFonts w:eastAsia="Times New Roman"/>
                <w:b/>
                <w:sz w:val="16"/>
                <w:szCs w:val="16"/>
                <w:lang w:eastAsia="hr-HR"/>
              </w:rPr>
            </w:pPr>
            <w:r w:rsidRPr="001D4F0F">
              <w:rPr>
                <w:rFonts w:eastAsia="Times New Roman"/>
                <w:b/>
                <w:sz w:val="16"/>
                <w:szCs w:val="16"/>
                <w:lang w:eastAsia="hr-HR"/>
              </w:rPr>
              <w:t>Ostale odluke</w:t>
            </w:r>
          </w:p>
        </w:tc>
        <w:tc>
          <w:tcPr>
            <w:tcW w:w="685" w:type="dxa"/>
            <w:vMerge/>
            <w:vAlign w:val="center"/>
            <w:hideMark/>
          </w:tcPr>
          <w:p w14:paraId="3D0D3C16" w14:textId="77777777" w:rsidR="00CF336B" w:rsidRPr="001D4F0F" w:rsidRDefault="00CF336B" w:rsidP="00A14600">
            <w:pPr>
              <w:jc w:val="left"/>
              <w:rPr>
                <w:rFonts w:eastAsia="Times New Roman"/>
                <w:b/>
                <w:bCs/>
                <w:sz w:val="16"/>
                <w:szCs w:val="16"/>
                <w:lang w:eastAsia="hr-HR"/>
              </w:rPr>
            </w:pPr>
          </w:p>
        </w:tc>
        <w:tc>
          <w:tcPr>
            <w:tcW w:w="640" w:type="dxa"/>
            <w:vMerge/>
            <w:vAlign w:val="center"/>
            <w:hideMark/>
          </w:tcPr>
          <w:p w14:paraId="3FC6FDD2" w14:textId="77777777" w:rsidR="00CF336B" w:rsidRPr="001D4F0F" w:rsidRDefault="00CF336B" w:rsidP="00A14600">
            <w:pPr>
              <w:jc w:val="left"/>
              <w:rPr>
                <w:rFonts w:eastAsia="Times New Roman"/>
                <w:b/>
                <w:bCs/>
                <w:sz w:val="16"/>
                <w:szCs w:val="16"/>
                <w:lang w:eastAsia="hr-HR"/>
              </w:rPr>
            </w:pPr>
          </w:p>
        </w:tc>
      </w:tr>
      <w:tr w:rsidR="00CF336B" w:rsidRPr="001B4CA2" w14:paraId="4DA6BFDE" w14:textId="77777777" w:rsidTr="001D4F0F">
        <w:trPr>
          <w:trHeight w:val="360"/>
          <w:jc w:val="center"/>
        </w:trPr>
        <w:tc>
          <w:tcPr>
            <w:tcW w:w="517" w:type="dxa"/>
            <w:shd w:val="clear" w:color="auto" w:fill="auto"/>
            <w:noWrap/>
            <w:vAlign w:val="center"/>
            <w:hideMark/>
          </w:tcPr>
          <w:p w14:paraId="4C7FDC9E"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2018.</w:t>
            </w:r>
          </w:p>
        </w:tc>
        <w:tc>
          <w:tcPr>
            <w:tcW w:w="751" w:type="dxa"/>
            <w:shd w:val="clear" w:color="auto" w:fill="auto"/>
            <w:noWrap/>
            <w:vAlign w:val="center"/>
          </w:tcPr>
          <w:p w14:paraId="603F7D34" w14:textId="77777777" w:rsidR="00CF336B" w:rsidRPr="001D4F0F" w:rsidRDefault="00CF336B" w:rsidP="00A14600">
            <w:pPr>
              <w:jc w:val="center"/>
              <w:rPr>
                <w:rFonts w:eastAsia="Times New Roman"/>
                <w:bCs/>
                <w:sz w:val="16"/>
                <w:szCs w:val="16"/>
                <w:lang w:eastAsia="hr-HR"/>
              </w:rPr>
            </w:pPr>
            <w:r w:rsidRPr="001D4F0F">
              <w:rPr>
                <w:rFonts w:eastAsia="Times New Roman"/>
                <w:bCs/>
                <w:color w:val="000000"/>
                <w:sz w:val="16"/>
                <w:szCs w:val="16"/>
                <w:lang w:eastAsia="hr-HR"/>
              </w:rPr>
              <w:t>316</w:t>
            </w:r>
          </w:p>
        </w:tc>
        <w:tc>
          <w:tcPr>
            <w:tcW w:w="846" w:type="dxa"/>
            <w:shd w:val="clear" w:color="auto" w:fill="auto"/>
            <w:noWrap/>
            <w:vAlign w:val="center"/>
          </w:tcPr>
          <w:p w14:paraId="7EB30BA1"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1.539</w:t>
            </w:r>
          </w:p>
        </w:tc>
        <w:tc>
          <w:tcPr>
            <w:tcW w:w="756" w:type="dxa"/>
            <w:shd w:val="clear" w:color="auto" w:fill="auto"/>
            <w:vAlign w:val="center"/>
          </w:tcPr>
          <w:p w14:paraId="35D2143A"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1.571</w:t>
            </w:r>
          </w:p>
        </w:tc>
        <w:tc>
          <w:tcPr>
            <w:tcW w:w="845" w:type="dxa"/>
            <w:shd w:val="clear" w:color="auto" w:fill="auto"/>
            <w:noWrap/>
            <w:vAlign w:val="center"/>
          </w:tcPr>
          <w:p w14:paraId="575ECEE9" w14:textId="77777777" w:rsidR="00CF336B" w:rsidRPr="001D4F0F" w:rsidRDefault="00CF336B" w:rsidP="00A14600">
            <w:pPr>
              <w:jc w:val="center"/>
              <w:rPr>
                <w:rFonts w:eastAsia="Times New Roman"/>
                <w:bCs/>
                <w:sz w:val="16"/>
                <w:szCs w:val="16"/>
                <w:lang w:eastAsia="hr-HR"/>
              </w:rPr>
            </w:pPr>
            <w:r w:rsidRPr="001D4F0F">
              <w:rPr>
                <w:rFonts w:eastAsia="Times New Roman"/>
                <w:bCs/>
                <w:color w:val="000000"/>
                <w:sz w:val="16"/>
                <w:szCs w:val="16"/>
                <w:lang w:eastAsia="hr-HR"/>
              </w:rPr>
              <w:t>3.426</w:t>
            </w:r>
          </w:p>
        </w:tc>
        <w:tc>
          <w:tcPr>
            <w:tcW w:w="846" w:type="dxa"/>
            <w:shd w:val="clear" w:color="auto" w:fill="auto"/>
            <w:noWrap/>
            <w:vAlign w:val="center"/>
          </w:tcPr>
          <w:p w14:paraId="6B349250"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3.186</w:t>
            </w:r>
          </w:p>
        </w:tc>
        <w:tc>
          <w:tcPr>
            <w:tcW w:w="845" w:type="dxa"/>
            <w:shd w:val="clear" w:color="auto" w:fill="auto"/>
            <w:noWrap/>
            <w:vAlign w:val="center"/>
          </w:tcPr>
          <w:p w14:paraId="5ADE06D0"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2.305</w:t>
            </w:r>
          </w:p>
        </w:tc>
        <w:tc>
          <w:tcPr>
            <w:tcW w:w="846" w:type="dxa"/>
            <w:shd w:val="clear" w:color="auto" w:fill="auto"/>
            <w:noWrap/>
            <w:vAlign w:val="center"/>
          </w:tcPr>
          <w:p w14:paraId="12B84E3B"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1.653</w:t>
            </w:r>
          </w:p>
        </w:tc>
        <w:tc>
          <w:tcPr>
            <w:tcW w:w="680" w:type="dxa"/>
            <w:shd w:val="clear" w:color="auto" w:fill="auto"/>
            <w:vAlign w:val="center"/>
          </w:tcPr>
          <w:p w14:paraId="439DD9CB"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103</w:t>
            </w:r>
          </w:p>
        </w:tc>
        <w:tc>
          <w:tcPr>
            <w:tcW w:w="847" w:type="dxa"/>
            <w:shd w:val="clear" w:color="auto" w:fill="auto"/>
            <w:noWrap/>
            <w:vAlign w:val="center"/>
          </w:tcPr>
          <w:p w14:paraId="19B9089B"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531</w:t>
            </w:r>
          </w:p>
        </w:tc>
        <w:tc>
          <w:tcPr>
            <w:tcW w:w="685" w:type="dxa"/>
            <w:shd w:val="clear" w:color="auto" w:fill="auto"/>
            <w:vAlign w:val="center"/>
          </w:tcPr>
          <w:p w14:paraId="6A8BDD33"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w:t>
            </w:r>
          </w:p>
        </w:tc>
        <w:tc>
          <w:tcPr>
            <w:tcW w:w="640" w:type="dxa"/>
            <w:shd w:val="clear" w:color="auto" w:fill="auto"/>
            <w:vAlign w:val="center"/>
          </w:tcPr>
          <w:p w14:paraId="12B1E4E4"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w:t>
            </w:r>
          </w:p>
        </w:tc>
      </w:tr>
      <w:tr w:rsidR="00CF336B" w:rsidRPr="001B4CA2" w14:paraId="04F6C3C3" w14:textId="77777777" w:rsidTr="001D4F0F">
        <w:trPr>
          <w:trHeight w:val="360"/>
          <w:jc w:val="center"/>
        </w:trPr>
        <w:tc>
          <w:tcPr>
            <w:tcW w:w="517" w:type="dxa"/>
            <w:shd w:val="clear" w:color="auto" w:fill="auto"/>
            <w:noWrap/>
            <w:vAlign w:val="center"/>
            <w:hideMark/>
          </w:tcPr>
          <w:p w14:paraId="111B749A"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2019.</w:t>
            </w:r>
          </w:p>
        </w:tc>
        <w:tc>
          <w:tcPr>
            <w:tcW w:w="751" w:type="dxa"/>
            <w:shd w:val="clear" w:color="auto" w:fill="auto"/>
            <w:noWrap/>
            <w:vAlign w:val="center"/>
          </w:tcPr>
          <w:p w14:paraId="65550053"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1.448</w:t>
            </w:r>
          </w:p>
        </w:tc>
        <w:tc>
          <w:tcPr>
            <w:tcW w:w="846" w:type="dxa"/>
            <w:shd w:val="clear" w:color="auto" w:fill="auto"/>
            <w:noWrap/>
            <w:vAlign w:val="center"/>
          </w:tcPr>
          <w:p w14:paraId="08FA5BD4"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1.993</w:t>
            </w:r>
          </w:p>
        </w:tc>
        <w:tc>
          <w:tcPr>
            <w:tcW w:w="756" w:type="dxa"/>
            <w:shd w:val="clear" w:color="auto" w:fill="auto"/>
            <w:vAlign w:val="center"/>
          </w:tcPr>
          <w:p w14:paraId="07A1882B"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1.743</w:t>
            </w:r>
          </w:p>
        </w:tc>
        <w:tc>
          <w:tcPr>
            <w:tcW w:w="845" w:type="dxa"/>
            <w:shd w:val="clear" w:color="auto" w:fill="auto"/>
            <w:noWrap/>
            <w:vAlign w:val="center"/>
          </w:tcPr>
          <w:p w14:paraId="5AF19D48"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5.184</w:t>
            </w:r>
          </w:p>
        </w:tc>
        <w:tc>
          <w:tcPr>
            <w:tcW w:w="846" w:type="dxa"/>
            <w:shd w:val="clear" w:color="auto" w:fill="auto"/>
            <w:noWrap/>
            <w:vAlign w:val="center"/>
          </w:tcPr>
          <w:p w14:paraId="022BADD3"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4.327</w:t>
            </w:r>
          </w:p>
        </w:tc>
        <w:tc>
          <w:tcPr>
            <w:tcW w:w="845" w:type="dxa"/>
            <w:shd w:val="clear" w:color="auto" w:fill="auto"/>
            <w:noWrap/>
            <w:vAlign w:val="center"/>
          </w:tcPr>
          <w:p w14:paraId="60B822E2"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742</w:t>
            </w:r>
          </w:p>
        </w:tc>
        <w:tc>
          <w:tcPr>
            <w:tcW w:w="846" w:type="dxa"/>
            <w:shd w:val="clear" w:color="auto" w:fill="auto"/>
            <w:noWrap/>
            <w:vAlign w:val="center"/>
          </w:tcPr>
          <w:p w14:paraId="131F30E4"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1.377</w:t>
            </w:r>
          </w:p>
        </w:tc>
        <w:tc>
          <w:tcPr>
            <w:tcW w:w="680" w:type="dxa"/>
            <w:shd w:val="clear" w:color="auto" w:fill="auto"/>
            <w:vAlign w:val="center"/>
          </w:tcPr>
          <w:p w14:paraId="2EA35DD1" w14:textId="77777777" w:rsidR="00CF336B" w:rsidRPr="001D4F0F" w:rsidRDefault="00CF336B" w:rsidP="00A14600">
            <w:pPr>
              <w:jc w:val="center"/>
              <w:rPr>
                <w:rFonts w:eastAsia="Times New Roman"/>
                <w:sz w:val="16"/>
                <w:szCs w:val="16"/>
                <w:lang w:eastAsia="hr-HR"/>
              </w:rPr>
            </w:pPr>
            <w:r w:rsidRPr="001D4F0F">
              <w:rPr>
                <w:rFonts w:eastAsia="Times New Roman"/>
                <w:color w:val="000000"/>
                <w:sz w:val="16"/>
                <w:szCs w:val="16"/>
                <w:lang w:eastAsia="hr-HR"/>
              </w:rPr>
              <w:t>65</w:t>
            </w:r>
          </w:p>
        </w:tc>
        <w:tc>
          <w:tcPr>
            <w:tcW w:w="847" w:type="dxa"/>
            <w:shd w:val="clear" w:color="auto" w:fill="auto"/>
            <w:noWrap/>
            <w:vAlign w:val="center"/>
          </w:tcPr>
          <w:p w14:paraId="4C52DD3D"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566</w:t>
            </w:r>
          </w:p>
        </w:tc>
        <w:tc>
          <w:tcPr>
            <w:tcW w:w="685" w:type="dxa"/>
            <w:shd w:val="clear" w:color="auto" w:fill="auto"/>
            <w:vAlign w:val="center"/>
          </w:tcPr>
          <w:p w14:paraId="21FE3D7C"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4.893</w:t>
            </w:r>
          </w:p>
        </w:tc>
        <w:tc>
          <w:tcPr>
            <w:tcW w:w="640" w:type="dxa"/>
            <w:shd w:val="clear" w:color="auto" w:fill="auto"/>
            <w:vAlign w:val="center"/>
          </w:tcPr>
          <w:p w14:paraId="31898D19"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7</w:t>
            </w:r>
          </w:p>
        </w:tc>
      </w:tr>
      <w:tr w:rsidR="00CF336B" w:rsidRPr="001B4CA2" w14:paraId="25085B68" w14:textId="77777777" w:rsidTr="001D4F0F">
        <w:trPr>
          <w:trHeight w:val="360"/>
          <w:jc w:val="center"/>
        </w:trPr>
        <w:tc>
          <w:tcPr>
            <w:tcW w:w="517" w:type="dxa"/>
            <w:shd w:val="clear" w:color="auto" w:fill="auto"/>
            <w:noWrap/>
            <w:vAlign w:val="center"/>
            <w:hideMark/>
          </w:tcPr>
          <w:p w14:paraId="09C0D4DA"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2020.</w:t>
            </w:r>
          </w:p>
        </w:tc>
        <w:tc>
          <w:tcPr>
            <w:tcW w:w="751" w:type="dxa"/>
            <w:shd w:val="clear" w:color="auto" w:fill="auto"/>
            <w:noWrap/>
            <w:vAlign w:val="center"/>
          </w:tcPr>
          <w:p w14:paraId="45B26DD6"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354</w:t>
            </w:r>
          </w:p>
        </w:tc>
        <w:tc>
          <w:tcPr>
            <w:tcW w:w="846" w:type="dxa"/>
            <w:shd w:val="clear" w:color="auto" w:fill="auto"/>
            <w:noWrap/>
            <w:vAlign w:val="center"/>
          </w:tcPr>
          <w:p w14:paraId="692C7EE2"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1.399</w:t>
            </w:r>
          </w:p>
        </w:tc>
        <w:tc>
          <w:tcPr>
            <w:tcW w:w="756" w:type="dxa"/>
            <w:shd w:val="clear" w:color="auto" w:fill="auto"/>
            <w:vAlign w:val="center"/>
          </w:tcPr>
          <w:p w14:paraId="6B0CA3A1" w14:textId="77777777" w:rsidR="00CF336B" w:rsidRPr="001D4F0F" w:rsidRDefault="00CF336B" w:rsidP="00A14600">
            <w:pPr>
              <w:jc w:val="center"/>
              <w:rPr>
                <w:bCs/>
                <w:sz w:val="16"/>
                <w:szCs w:val="16"/>
              </w:rPr>
            </w:pPr>
            <w:r w:rsidRPr="001D4F0F">
              <w:rPr>
                <w:bCs/>
                <w:sz w:val="16"/>
                <w:szCs w:val="16"/>
              </w:rPr>
              <w:t>1.992</w:t>
            </w:r>
          </w:p>
        </w:tc>
        <w:tc>
          <w:tcPr>
            <w:tcW w:w="845" w:type="dxa"/>
            <w:shd w:val="clear" w:color="auto" w:fill="auto"/>
            <w:noWrap/>
            <w:vAlign w:val="center"/>
          </w:tcPr>
          <w:p w14:paraId="5EEE372C" w14:textId="77777777" w:rsidR="00CF336B" w:rsidRPr="001D4F0F" w:rsidRDefault="00CF336B" w:rsidP="00A14600">
            <w:pPr>
              <w:jc w:val="center"/>
              <w:rPr>
                <w:bCs/>
                <w:sz w:val="16"/>
                <w:szCs w:val="16"/>
              </w:rPr>
            </w:pPr>
            <w:r w:rsidRPr="001D4F0F">
              <w:rPr>
                <w:bCs/>
                <w:sz w:val="16"/>
                <w:szCs w:val="16"/>
              </w:rPr>
              <w:t>3.745</w:t>
            </w:r>
          </w:p>
        </w:tc>
        <w:tc>
          <w:tcPr>
            <w:tcW w:w="846" w:type="dxa"/>
            <w:shd w:val="clear" w:color="auto" w:fill="auto"/>
            <w:noWrap/>
            <w:vAlign w:val="center"/>
          </w:tcPr>
          <w:p w14:paraId="73C76B2C"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sz w:val="16"/>
                <w:szCs w:val="16"/>
                <w:lang w:eastAsia="hr-HR"/>
              </w:rPr>
              <w:t>3.613</w:t>
            </w:r>
          </w:p>
        </w:tc>
        <w:tc>
          <w:tcPr>
            <w:tcW w:w="845" w:type="dxa"/>
            <w:shd w:val="clear" w:color="auto" w:fill="auto"/>
            <w:noWrap/>
            <w:vAlign w:val="center"/>
          </w:tcPr>
          <w:p w14:paraId="44676F2B"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628</w:t>
            </w:r>
          </w:p>
        </w:tc>
        <w:tc>
          <w:tcPr>
            <w:tcW w:w="846" w:type="dxa"/>
            <w:shd w:val="clear" w:color="auto" w:fill="auto"/>
            <w:noWrap/>
            <w:vAlign w:val="center"/>
          </w:tcPr>
          <w:p w14:paraId="4F20ABF2" w14:textId="77777777" w:rsidR="00CF336B" w:rsidRPr="001D4F0F" w:rsidRDefault="00CF336B" w:rsidP="00A14600">
            <w:pPr>
              <w:jc w:val="center"/>
              <w:rPr>
                <w:bCs/>
                <w:sz w:val="16"/>
                <w:szCs w:val="16"/>
              </w:rPr>
            </w:pPr>
            <w:r w:rsidRPr="001D4F0F">
              <w:rPr>
                <w:bCs/>
                <w:sz w:val="16"/>
                <w:szCs w:val="16"/>
              </w:rPr>
              <w:t>1.055</w:t>
            </w:r>
          </w:p>
        </w:tc>
        <w:tc>
          <w:tcPr>
            <w:tcW w:w="680" w:type="dxa"/>
            <w:shd w:val="clear" w:color="auto" w:fill="auto"/>
            <w:vAlign w:val="center"/>
          </w:tcPr>
          <w:p w14:paraId="33714F43" w14:textId="77777777" w:rsidR="00CF336B" w:rsidRPr="001D4F0F" w:rsidRDefault="00CF336B" w:rsidP="00A14600">
            <w:pPr>
              <w:jc w:val="center"/>
              <w:rPr>
                <w:bCs/>
                <w:sz w:val="16"/>
                <w:szCs w:val="16"/>
              </w:rPr>
            </w:pPr>
            <w:r w:rsidRPr="001D4F0F">
              <w:rPr>
                <w:bCs/>
                <w:sz w:val="16"/>
                <w:szCs w:val="16"/>
              </w:rPr>
              <w:t>28</w:t>
            </w:r>
          </w:p>
        </w:tc>
        <w:tc>
          <w:tcPr>
            <w:tcW w:w="847" w:type="dxa"/>
            <w:shd w:val="clear" w:color="auto" w:fill="auto"/>
            <w:noWrap/>
            <w:vAlign w:val="center"/>
          </w:tcPr>
          <w:p w14:paraId="1CFA89D8" w14:textId="77777777" w:rsidR="00CF336B" w:rsidRPr="001D4F0F" w:rsidRDefault="00CF336B" w:rsidP="00A14600">
            <w:pPr>
              <w:jc w:val="center"/>
              <w:rPr>
                <w:bCs/>
                <w:sz w:val="16"/>
                <w:szCs w:val="16"/>
              </w:rPr>
            </w:pPr>
            <w:r w:rsidRPr="001D4F0F">
              <w:rPr>
                <w:bCs/>
                <w:sz w:val="16"/>
                <w:szCs w:val="16"/>
              </w:rPr>
              <w:t>143</w:t>
            </w:r>
          </w:p>
        </w:tc>
        <w:tc>
          <w:tcPr>
            <w:tcW w:w="685" w:type="dxa"/>
            <w:shd w:val="clear" w:color="auto" w:fill="auto"/>
            <w:vAlign w:val="center"/>
          </w:tcPr>
          <w:p w14:paraId="5286E867"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1.434</w:t>
            </w:r>
          </w:p>
        </w:tc>
        <w:tc>
          <w:tcPr>
            <w:tcW w:w="640" w:type="dxa"/>
            <w:shd w:val="clear" w:color="auto" w:fill="auto"/>
            <w:vAlign w:val="center"/>
          </w:tcPr>
          <w:p w14:paraId="1C8E9575"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3</w:t>
            </w:r>
          </w:p>
        </w:tc>
      </w:tr>
      <w:tr w:rsidR="00CF336B" w:rsidRPr="001B4CA2" w14:paraId="2E8F2A09" w14:textId="77777777" w:rsidTr="001D4F0F">
        <w:trPr>
          <w:trHeight w:val="360"/>
          <w:jc w:val="center"/>
        </w:trPr>
        <w:tc>
          <w:tcPr>
            <w:tcW w:w="517" w:type="dxa"/>
            <w:shd w:val="clear" w:color="auto" w:fill="auto"/>
            <w:noWrap/>
            <w:vAlign w:val="center"/>
          </w:tcPr>
          <w:p w14:paraId="4CA77D92"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2021.</w:t>
            </w:r>
          </w:p>
        </w:tc>
        <w:tc>
          <w:tcPr>
            <w:tcW w:w="751" w:type="dxa"/>
            <w:shd w:val="clear" w:color="auto" w:fill="auto"/>
            <w:noWrap/>
            <w:vAlign w:val="center"/>
          </w:tcPr>
          <w:p w14:paraId="50892D3E"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205</w:t>
            </w:r>
          </w:p>
        </w:tc>
        <w:tc>
          <w:tcPr>
            <w:tcW w:w="846" w:type="dxa"/>
            <w:shd w:val="clear" w:color="auto" w:fill="auto"/>
            <w:noWrap/>
            <w:vAlign w:val="center"/>
          </w:tcPr>
          <w:p w14:paraId="3999903F"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1.325</w:t>
            </w:r>
          </w:p>
        </w:tc>
        <w:tc>
          <w:tcPr>
            <w:tcW w:w="756" w:type="dxa"/>
            <w:shd w:val="clear" w:color="auto" w:fill="auto"/>
            <w:vAlign w:val="center"/>
          </w:tcPr>
          <w:p w14:paraId="533F89DE" w14:textId="77777777" w:rsidR="00CF336B" w:rsidRPr="001D4F0F" w:rsidRDefault="00CF336B" w:rsidP="00A14600">
            <w:pPr>
              <w:jc w:val="center"/>
              <w:rPr>
                <w:bCs/>
                <w:sz w:val="16"/>
                <w:szCs w:val="16"/>
              </w:rPr>
            </w:pPr>
            <w:r w:rsidRPr="001D4F0F">
              <w:rPr>
                <w:bCs/>
                <w:sz w:val="16"/>
                <w:szCs w:val="16"/>
              </w:rPr>
              <w:t>1.948</w:t>
            </w:r>
          </w:p>
        </w:tc>
        <w:tc>
          <w:tcPr>
            <w:tcW w:w="845" w:type="dxa"/>
            <w:shd w:val="clear" w:color="auto" w:fill="auto"/>
            <w:noWrap/>
            <w:vAlign w:val="center"/>
          </w:tcPr>
          <w:p w14:paraId="4798E057" w14:textId="77777777" w:rsidR="00CF336B" w:rsidRPr="001D4F0F" w:rsidRDefault="00CF336B" w:rsidP="00A14600">
            <w:pPr>
              <w:jc w:val="center"/>
              <w:rPr>
                <w:bCs/>
                <w:sz w:val="16"/>
                <w:szCs w:val="16"/>
              </w:rPr>
            </w:pPr>
            <w:r w:rsidRPr="001D4F0F">
              <w:rPr>
                <w:bCs/>
                <w:sz w:val="16"/>
                <w:szCs w:val="16"/>
              </w:rPr>
              <w:t>3.478</w:t>
            </w:r>
          </w:p>
        </w:tc>
        <w:tc>
          <w:tcPr>
            <w:tcW w:w="846" w:type="dxa"/>
            <w:shd w:val="clear" w:color="auto" w:fill="auto"/>
            <w:noWrap/>
            <w:vAlign w:val="center"/>
          </w:tcPr>
          <w:p w14:paraId="4EE34983"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sz w:val="16"/>
                <w:szCs w:val="16"/>
                <w:lang w:eastAsia="hr-HR"/>
              </w:rPr>
              <w:t>3.390</w:t>
            </w:r>
          </w:p>
        </w:tc>
        <w:tc>
          <w:tcPr>
            <w:tcW w:w="845" w:type="dxa"/>
            <w:shd w:val="clear" w:color="auto" w:fill="auto"/>
            <w:noWrap/>
            <w:vAlign w:val="center"/>
          </w:tcPr>
          <w:p w14:paraId="0088139D"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616</w:t>
            </w:r>
          </w:p>
        </w:tc>
        <w:tc>
          <w:tcPr>
            <w:tcW w:w="846" w:type="dxa"/>
            <w:shd w:val="clear" w:color="auto" w:fill="auto"/>
            <w:noWrap/>
            <w:vAlign w:val="center"/>
          </w:tcPr>
          <w:p w14:paraId="7F652C86" w14:textId="77777777" w:rsidR="00CF336B" w:rsidRPr="001D4F0F" w:rsidRDefault="00CF336B" w:rsidP="00A14600">
            <w:pPr>
              <w:jc w:val="center"/>
              <w:rPr>
                <w:bCs/>
                <w:sz w:val="16"/>
                <w:szCs w:val="16"/>
              </w:rPr>
            </w:pPr>
            <w:r w:rsidRPr="001D4F0F">
              <w:rPr>
                <w:bCs/>
                <w:sz w:val="16"/>
                <w:szCs w:val="16"/>
              </w:rPr>
              <w:t>951</w:t>
            </w:r>
          </w:p>
        </w:tc>
        <w:tc>
          <w:tcPr>
            <w:tcW w:w="680" w:type="dxa"/>
            <w:shd w:val="clear" w:color="auto" w:fill="auto"/>
            <w:vAlign w:val="center"/>
          </w:tcPr>
          <w:p w14:paraId="6769FD40" w14:textId="77777777" w:rsidR="00CF336B" w:rsidRPr="001D4F0F" w:rsidRDefault="00CF336B" w:rsidP="00A14600">
            <w:pPr>
              <w:jc w:val="center"/>
              <w:rPr>
                <w:bCs/>
                <w:sz w:val="16"/>
                <w:szCs w:val="16"/>
              </w:rPr>
            </w:pPr>
            <w:r w:rsidRPr="001D4F0F">
              <w:rPr>
                <w:bCs/>
                <w:sz w:val="16"/>
                <w:szCs w:val="16"/>
              </w:rPr>
              <w:t>37</w:t>
            </w:r>
          </w:p>
        </w:tc>
        <w:tc>
          <w:tcPr>
            <w:tcW w:w="847" w:type="dxa"/>
            <w:shd w:val="clear" w:color="auto" w:fill="auto"/>
            <w:noWrap/>
            <w:vAlign w:val="center"/>
          </w:tcPr>
          <w:p w14:paraId="68256D45" w14:textId="77777777" w:rsidR="00CF336B" w:rsidRPr="001D4F0F" w:rsidRDefault="00CF336B" w:rsidP="00A14600">
            <w:pPr>
              <w:jc w:val="center"/>
              <w:rPr>
                <w:bCs/>
                <w:sz w:val="16"/>
                <w:szCs w:val="16"/>
              </w:rPr>
            </w:pPr>
            <w:r w:rsidRPr="001D4F0F">
              <w:rPr>
                <w:bCs/>
                <w:sz w:val="16"/>
                <w:szCs w:val="16"/>
              </w:rPr>
              <w:t>161</w:t>
            </w:r>
          </w:p>
        </w:tc>
        <w:tc>
          <w:tcPr>
            <w:tcW w:w="685" w:type="dxa"/>
            <w:shd w:val="clear" w:color="auto" w:fill="auto"/>
            <w:vAlign w:val="center"/>
          </w:tcPr>
          <w:p w14:paraId="7EDDD4EB"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2.899</w:t>
            </w:r>
          </w:p>
        </w:tc>
        <w:tc>
          <w:tcPr>
            <w:tcW w:w="640" w:type="dxa"/>
            <w:shd w:val="clear" w:color="auto" w:fill="auto"/>
            <w:vAlign w:val="center"/>
          </w:tcPr>
          <w:p w14:paraId="1F3E27F2"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2</w:t>
            </w:r>
          </w:p>
        </w:tc>
      </w:tr>
      <w:tr w:rsidR="00CF336B" w:rsidRPr="001B4CA2" w14:paraId="3184D43E" w14:textId="77777777" w:rsidTr="001D4F0F">
        <w:trPr>
          <w:trHeight w:val="360"/>
          <w:jc w:val="center"/>
        </w:trPr>
        <w:tc>
          <w:tcPr>
            <w:tcW w:w="517" w:type="dxa"/>
            <w:shd w:val="clear" w:color="auto" w:fill="auto"/>
            <w:noWrap/>
            <w:vAlign w:val="center"/>
          </w:tcPr>
          <w:p w14:paraId="454C5ACF"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2022.</w:t>
            </w:r>
          </w:p>
        </w:tc>
        <w:tc>
          <w:tcPr>
            <w:tcW w:w="751" w:type="dxa"/>
            <w:shd w:val="clear" w:color="auto" w:fill="auto"/>
            <w:noWrap/>
            <w:vAlign w:val="center"/>
          </w:tcPr>
          <w:p w14:paraId="1D44923D"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128</w:t>
            </w:r>
          </w:p>
        </w:tc>
        <w:tc>
          <w:tcPr>
            <w:tcW w:w="846" w:type="dxa"/>
            <w:shd w:val="clear" w:color="auto" w:fill="auto"/>
            <w:noWrap/>
            <w:vAlign w:val="center"/>
          </w:tcPr>
          <w:p w14:paraId="6AAAFC3C"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1.172</w:t>
            </w:r>
          </w:p>
        </w:tc>
        <w:tc>
          <w:tcPr>
            <w:tcW w:w="756" w:type="dxa"/>
            <w:shd w:val="clear" w:color="auto" w:fill="auto"/>
            <w:vAlign w:val="center"/>
          </w:tcPr>
          <w:p w14:paraId="3C9B6DFA" w14:textId="77777777" w:rsidR="00CF336B" w:rsidRPr="001D4F0F" w:rsidRDefault="00CF336B" w:rsidP="00A14600">
            <w:pPr>
              <w:jc w:val="center"/>
              <w:rPr>
                <w:bCs/>
                <w:sz w:val="16"/>
                <w:szCs w:val="16"/>
              </w:rPr>
            </w:pPr>
            <w:r w:rsidRPr="001D4F0F">
              <w:rPr>
                <w:bCs/>
                <w:sz w:val="16"/>
                <w:szCs w:val="16"/>
              </w:rPr>
              <w:t>1.818</w:t>
            </w:r>
          </w:p>
        </w:tc>
        <w:tc>
          <w:tcPr>
            <w:tcW w:w="845" w:type="dxa"/>
            <w:shd w:val="clear" w:color="auto" w:fill="auto"/>
            <w:noWrap/>
            <w:vAlign w:val="center"/>
          </w:tcPr>
          <w:p w14:paraId="31D6E40A" w14:textId="77777777" w:rsidR="00CF336B" w:rsidRPr="001D4F0F" w:rsidRDefault="00CF336B" w:rsidP="00A14600">
            <w:pPr>
              <w:jc w:val="center"/>
              <w:rPr>
                <w:bCs/>
                <w:sz w:val="16"/>
                <w:szCs w:val="16"/>
              </w:rPr>
            </w:pPr>
            <w:r w:rsidRPr="001D4F0F">
              <w:rPr>
                <w:bCs/>
                <w:sz w:val="16"/>
                <w:szCs w:val="16"/>
              </w:rPr>
              <w:t>3.118</w:t>
            </w:r>
          </w:p>
        </w:tc>
        <w:tc>
          <w:tcPr>
            <w:tcW w:w="846" w:type="dxa"/>
            <w:shd w:val="clear" w:color="auto" w:fill="auto"/>
            <w:noWrap/>
            <w:vAlign w:val="center"/>
          </w:tcPr>
          <w:p w14:paraId="1BF733C5" w14:textId="77777777" w:rsidR="00CF336B" w:rsidRPr="001D4F0F" w:rsidRDefault="00CF336B" w:rsidP="00A14600">
            <w:pPr>
              <w:jc w:val="center"/>
              <w:rPr>
                <w:rFonts w:eastAsia="Times New Roman"/>
                <w:bCs/>
                <w:sz w:val="16"/>
                <w:szCs w:val="16"/>
                <w:lang w:eastAsia="hr-HR"/>
              </w:rPr>
            </w:pPr>
            <w:r w:rsidRPr="001D4F0F">
              <w:rPr>
                <w:rFonts w:eastAsia="Times New Roman" w:cstheme="minorHAnsi"/>
                <w:bCs/>
                <w:color w:val="000000"/>
                <w:sz w:val="16"/>
                <w:szCs w:val="16"/>
                <w:lang w:eastAsia="hr-HR"/>
              </w:rPr>
              <w:t>3.045</w:t>
            </w:r>
          </w:p>
        </w:tc>
        <w:tc>
          <w:tcPr>
            <w:tcW w:w="845" w:type="dxa"/>
            <w:shd w:val="clear" w:color="auto" w:fill="auto"/>
            <w:noWrap/>
            <w:vAlign w:val="center"/>
          </w:tcPr>
          <w:p w14:paraId="7589C1C3" w14:textId="77777777" w:rsidR="00CF336B" w:rsidRPr="001D4F0F" w:rsidRDefault="00CF336B" w:rsidP="00A14600">
            <w:pPr>
              <w:jc w:val="center"/>
              <w:rPr>
                <w:rFonts w:eastAsia="Times New Roman"/>
                <w:sz w:val="16"/>
                <w:szCs w:val="16"/>
                <w:lang w:eastAsia="hr-HR"/>
              </w:rPr>
            </w:pPr>
            <w:r w:rsidRPr="001D4F0F">
              <w:rPr>
                <w:bCs/>
                <w:sz w:val="16"/>
                <w:szCs w:val="16"/>
              </w:rPr>
              <w:t>570</w:t>
            </w:r>
          </w:p>
        </w:tc>
        <w:tc>
          <w:tcPr>
            <w:tcW w:w="846" w:type="dxa"/>
            <w:shd w:val="clear" w:color="auto" w:fill="auto"/>
            <w:noWrap/>
            <w:vAlign w:val="center"/>
          </w:tcPr>
          <w:p w14:paraId="40DB54B2" w14:textId="77777777" w:rsidR="00CF336B" w:rsidRPr="001D4F0F" w:rsidRDefault="00CF336B" w:rsidP="00A14600">
            <w:pPr>
              <w:jc w:val="center"/>
              <w:rPr>
                <w:bCs/>
                <w:sz w:val="16"/>
                <w:szCs w:val="16"/>
              </w:rPr>
            </w:pPr>
            <w:r w:rsidRPr="001D4F0F">
              <w:rPr>
                <w:bCs/>
                <w:sz w:val="16"/>
                <w:szCs w:val="16"/>
              </w:rPr>
              <w:t>940</w:t>
            </w:r>
          </w:p>
        </w:tc>
        <w:tc>
          <w:tcPr>
            <w:tcW w:w="680" w:type="dxa"/>
            <w:shd w:val="clear" w:color="auto" w:fill="auto"/>
            <w:vAlign w:val="center"/>
          </w:tcPr>
          <w:p w14:paraId="394CF812" w14:textId="77777777" w:rsidR="00CF336B" w:rsidRPr="001D4F0F" w:rsidRDefault="00CF336B" w:rsidP="00A14600">
            <w:pPr>
              <w:jc w:val="center"/>
              <w:rPr>
                <w:bCs/>
                <w:sz w:val="16"/>
                <w:szCs w:val="16"/>
              </w:rPr>
            </w:pPr>
            <w:r w:rsidRPr="001D4F0F">
              <w:rPr>
                <w:bCs/>
                <w:sz w:val="16"/>
                <w:szCs w:val="16"/>
              </w:rPr>
              <w:t>13</w:t>
            </w:r>
          </w:p>
        </w:tc>
        <w:tc>
          <w:tcPr>
            <w:tcW w:w="847" w:type="dxa"/>
            <w:shd w:val="clear" w:color="auto" w:fill="auto"/>
            <w:noWrap/>
            <w:vAlign w:val="center"/>
          </w:tcPr>
          <w:p w14:paraId="58D5A859" w14:textId="77777777" w:rsidR="00CF336B" w:rsidRPr="001D4F0F" w:rsidRDefault="00CF336B" w:rsidP="00A14600">
            <w:pPr>
              <w:jc w:val="center"/>
              <w:rPr>
                <w:bCs/>
                <w:sz w:val="16"/>
                <w:szCs w:val="16"/>
              </w:rPr>
            </w:pPr>
            <w:r w:rsidRPr="001D4F0F">
              <w:rPr>
                <w:bCs/>
                <w:sz w:val="16"/>
                <w:szCs w:val="16"/>
              </w:rPr>
              <w:t>92</w:t>
            </w:r>
          </w:p>
        </w:tc>
        <w:tc>
          <w:tcPr>
            <w:tcW w:w="685" w:type="dxa"/>
            <w:shd w:val="clear" w:color="auto" w:fill="auto"/>
            <w:vAlign w:val="center"/>
          </w:tcPr>
          <w:p w14:paraId="17A8480F" w14:textId="77777777" w:rsidR="00CF336B" w:rsidRPr="001D4F0F" w:rsidRDefault="00CF336B" w:rsidP="00A14600">
            <w:pPr>
              <w:jc w:val="center"/>
              <w:rPr>
                <w:rFonts w:eastAsia="Times New Roman"/>
                <w:sz w:val="16"/>
                <w:szCs w:val="16"/>
                <w:lang w:eastAsia="hr-HR"/>
              </w:rPr>
            </w:pPr>
            <w:r w:rsidRPr="001D4F0F">
              <w:rPr>
                <w:bCs/>
                <w:sz w:val="16"/>
                <w:szCs w:val="16"/>
              </w:rPr>
              <w:t>3.485</w:t>
            </w:r>
          </w:p>
        </w:tc>
        <w:tc>
          <w:tcPr>
            <w:tcW w:w="640" w:type="dxa"/>
            <w:shd w:val="clear" w:color="auto" w:fill="auto"/>
            <w:vAlign w:val="center"/>
          </w:tcPr>
          <w:p w14:paraId="2DE1263E" w14:textId="77777777" w:rsidR="00CF336B" w:rsidRPr="001D4F0F" w:rsidRDefault="00CF336B" w:rsidP="00A14600">
            <w:pPr>
              <w:jc w:val="center"/>
              <w:rPr>
                <w:rFonts w:eastAsia="Times New Roman"/>
                <w:sz w:val="16"/>
                <w:szCs w:val="16"/>
                <w:lang w:eastAsia="hr-HR"/>
              </w:rPr>
            </w:pPr>
            <w:r w:rsidRPr="001D4F0F">
              <w:rPr>
                <w:rFonts w:eastAsia="Times New Roman" w:cstheme="minorHAnsi"/>
                <w:color w:val="000000"/>
                <w:sz w:val="16"/>
                <w:szCs w:val="16"/>
                <w:lang w:eastAsia="hr-HR"/>
              </w:rPr>
              <w:t>10</w:t>
            </w:r>
          </w:p>
        </w:tc>
      </w:tr>
    </w:tbl>
    <w:p w14:paraId="57F638D8" w14:textId="77777777" w:rsidR="00CF336B" w:rsidRPr="001B4CA2" w:rsidRDefault="00CF336B" w:rsidP="00CF336B">
      <w:pPr>
        <w:ind w:firstLine="708"/>
      </w:pPr>
    </w:p>
    <w:p w14:paraId="3F076BA4" w14:textId="1FF5EB60" w:rsidR="00031BB4" w:rsidRPr="001B4CA2" w:rsidRDefault="00CF336B" w:rsidP="00031BB4">
      <w:r w:rsidRPr="001B4CA2">
        <w:tab/>
      </w:r>
      <w:r w:rsidR="00031BB4" w:rsidRPr="001B4CA2">
        <w:t>Iz odluka javnopravnih tijela proizlazi da je prihvaćeno 90</w:t>
      </w:r>
      <w:r w:rsidR="0016095C">
        <w:t> </w:t>
      </w:r>
      <w:r w:rsidR="00031BB4" w:rsidRPr="001B4CA2">
        <w:t>% prijedloga podnositelja zahtjeva, odbijeno je 1,5</w:t>
      </w:r>
      <w:r w:rsidR="0016095C">
        <w:t> </w:t>
      </w:r>
      <w:r w:rsidR="00031BB4" w:rsidRPr="001B4CA2">
        <w:t>% prijedloga, a u 9 % slučajeva riječ je o ostalim odlukama.</w:t>
      </w:r>
    </w:p>
    <w:p w14:paraId="1AB9472D" w14:textId="77777777" w:rsidR="00031BB4" w:rsidRPr="001B4CA2" w:rsidRDefault="00031BB4" w:rsidP="00031BB4"/>
    <w:p w14:paraId="50EC3F98" w14:textId="77777777" w:rsidR="00031BB4" w:rsidRPr="001B4CA2" w:rsidRDefault="00031BB4" w:rsidP="00031BB4">
      <w:r w:rsidRPr="001B4CA2">
        <w:tab/>
        <w:t>U izvještajnom razdoblju državno je odvjetništvo zastupalo na 570 rasprava. Velik problem za organizaciju rada predstavljaju rasprave izvan sjedišta i izbivanja iz ureda, jer se zbog nedostatka službenih vozila mora koristiti javni prijevoz.</w:t>
      </w:r>
    </w:p>
    <w:p w14:paraId="459147F8" w14:textId="1250978B" w:rsidR="00885BB0" w:rsidRPr="001B4CA2" w:rsidRDefault="00885BB0" w:rsidP="00031BB4"/>
    <w:p w14:paraId="71CCB03F" w14:textId="6725F1BD" w:rsidR="00C037FF" w:rsidRPr="001B4CA2" w:rsidRDefault="007B4E2F" w:rsidP="00BF508A">
      <w:pPr>
        <w:pStyle w:val="Naslov4"/>
        <w:tabs>
          <w:tab w:val="left" w:pos="993"/>
        </w:tabs>
        <w:rPr>
          <w:rFonts w:ascii="Arial" w:hAnsi="Arial" w:cs="Arial"/>
        </w:rPr>
      </w:pPr>
      <w:bookmarkStart w:id="48" w:name="_Toc133394308"/>
      <w:r w:rsidRPr="001B4CA2">
        <w:rPr>
          <w:rFonts w:ascii="Arial" w:hAnsi="Arial" w:cs="Arial"/>
        </w:rPr>
        <w:t>Odluke u ostalim predmetima</w:t>
      </w:r>
      <w:bookmarkEnd w:id="48"/>
    </w:p>
    <w:p w14:paraId="3AD16CE6" w14:textId="77777777" w:rsidR="00B74F6D" w:rsidRPr="001B4CA2" w:rsidRDefault="00B74F6D" w:rsidP="00886E1C"/>
    <w:p w14:paraId="4978404D" w14:textId="77777777" w:rsidR="00031BB4" w:rsidRPr="001B4CA2" w:rsidRDefault="00CF336B" w:rsidP="00031BB4">
      <w:r w:rsidRPr="001B4CA2">
        <w:tab/>
      </w:r>
      <w:r w:rsidR="00031BB4" w:rsidRPr="001B4CA2">
        <w:t>U ovom dijelu izvješća prikazuju se rad i odluke državnog odvjetništva u adhezijskim postupcima, izvanparničnim i zemljišnoknjižnim predmetima te predmetima davanja pravnih mišljenja (ostali predmeti).</w:t>
      </w:r>
    </w:p>
    <w:p w14:paraId="2547B25A" w14:textId="77777777" w:rsidR="00031BB4" w:rsidRPr="001B4CA2" w:rsidRDefault="00031BB4" w:rsidP="00031BB4"/>
    <w:p w14:paraId="4A91DB25" w14:textId="77777777" w:rsidR="00031BB4" w:rsidRPr="001B4CA2" w:rsidRDefault="00031BB4" w:rsidP="00031BB4">
      <w:r w:rsidRPr="001B4CA2">
        <w:t>a)</w:t>
      </w:r>
      <w:r w:rsidRPr="001B4CA2">
        <w:tab/>
        <w:t>Adhezijski postupci</w:t>
      </w:r>
    </w:p>
    <w:p w14:paraId="5890F9F9" w14:textId="77777777" w:rsidR="00031BB4" w:rsidRPr="001B4CA2" w:rsidRDefault="00031BB4" w:rsidP="00031BB4"/>
    <w:p w14:paraId="4CD2B600" w14:textId="77777777" w:rsidR="00031BB4" w:rsidRPr="001B4CA2" w:rsidRDefault="00031BB4" w:rsidP="00031BB4">
      <w:r w:rsidRPr="001B4CA2">
        <w:tab/>
        <w:t>Imovinskopravni zahtjev omogućuje oštećeniku da svoju građanskopravnu tražbinu, koja se temelji na činjenici da je na njegovu štetu počinjeno kazneno djelo, ostvari u okviru kaznenog postupka protiv okrivljenika.</w:t>
      </w:r>
    </w:p>
    <w:p w14:paraId="4A9CF118" w14:textId="77777777" w:rsidR="00031BB4" w:rsidRPr="001B4CA2" w:rsidRDefault="00031BB4" w:rsidP="00031BB4"/>
    <w:p w14:paraId="01DA106C" w14:textId="77777777" w:rsidR="00031BB4" w:rsidRPr="001B4CA2" w:rsidRDefault="00031BB4" w:rsidP="00031BB4">
      <w:r w:rsidRPr="001B4CA2">
        <w:tab/>
        <w:t xml:space="preserve">Kad je počinjenjem kaznenog djela oštećena Republika Hrvatska, državno odvjetništvo kao njezin zastupnik po zakonu postavlja u kaznenom postupku imovinskopravni zahtjev koji se odnosi na naknadu štete, povrat stvari i/ili </w:t>
      </w:r>
      <w:proofErr w:type="spellStart"/>
      <w:r w:rsidRPr="001B4CA2">
        <w:t>poništaj</w:t>
      </w:r>
      <w:proofErr w:type="spellEnd"/>
      <w:r w:rsidRPr="001B4CA2">
        <w:t xml:space="preserve"> </w:t>
      </w:r>
      <w:r w:rsidRPr="001B4CA2">
        <w:lastRenderedPageBreak/>
        <w:t>pravnog posla. O imovinskopravnom zahtjevu odlučuje kazneni sud koji odlučuje i o kaznenoj odgovornosti okrivljenika.</w:t>
      </w:r>
    </w:p>
    <w:p w14:paraId="25B4A586" w14:textId="77777777" w:rsidR="00031BB4" w:rsidRPr="001B4CA2" w:rsidRDefault="00031BB4" w:rsidP="00031BB4"/>
    <w:p w14:paraId="1E3ED88E" w14:textId="7C899100" w:rsidR="00031BB4" w:rsidRPr="001B4CA2" w:rsidRDefault="00031BB4" w:rsidP="00031BB4">
      <w:r w:rsidRPr="001B4CA2">
        <w:tab/>
        <w:t xml:space="preserve">Kod ovih predmeta valja istaknuti da se zahtjevi koje državni odvjetnici postavljaju u zastupanju Republike Hrvatske kao oštećenika u kaznenim postupcima temelje na utvrđenjima državnog odvjetnika u radu na kaznenom predmetu. Brojnost ovih predmeta i podnesenih zahtjeva ovisi </w:t>
      </w:r>
      <w:r w:rsidR="0016095C">
        <w:t xml:space="preserve">i </w:t>
      </w:r>
      <w:r w:rsidRPr="001B4CA2">
        <w:t>o dinamici rada i zaprimanju obavijesti iz kaznenog predmeta u kojem je u pravilu provedeno vještačenje iz kojeg proizlazi visina štete koja je počinjena državnom proračunu radnjama fizičkih i pravnih osoba, optuženika u kaznenom postupku. U pravilu se radi o složenim predmetima u kojima sudjeluje više osoba protiv kojih se vodi kazneni postupak, a imovinskopravni zahtjevi postavljeni su u odnosu na pojedine okrivljenike. U pravilu se, u slučajevima sporazumijevanja optuženika s ovlaštenim tužiteljem i donošenja kaznene osuđujuće presude na temelju sporazuma, okrivljenici očituju potvrdno o postavljenom imovinskopravnom zahtjevu te su voljni sporazumno podmiriti i nastalu štetu.</w:t>
      </w:r>
    </w:p>
    <w:p w14:paraId="6C068604" w14:textId="77777777" w:rsidR="00031BB4" w:rsidRPr="001B4CA2" w:rsidRDefault="00031BB4" w:rsidP="00031BB4"/>
    <w:p w14:paraId="51503DC4" w14:textId="77777777" w:rsidR="00031BB4" w:rsidRPr="001B4CA2" w:rsidRDefault="00031BB4" w:rsidP="00031BB4">
      <w:r w:rsidRPr="001B4CA2">
        <w:tab/>
        <w:t>Najveći problem u ovim predmetima predstavlja nemogućnost naplate dosuđenih imovinskopravnih zahtjeva zbog loših imovinskih prilika osuđenika koji u pravilu nemaju nikakve imovine.</w:t>
      </w:r>
    </w:p>
    <w:p w14:paraId="0E5E5ADA" w14:textId="77777777" w:rsidR="00031BB4" w:rsidRPr="001B4CA2" w:rsidRDefault="00031BB4" w:rsidP="00031BB4"/>
    <w:p w14:paraId="54D01E15" w14:textId="77777777" w:rsidR="00031BB4" w:rsidRPr="001B4CA2" w:rsidRDefault="00031BB4" w:rsidP="00031BB4">
      <w:pPr>
        <w:rPr>
          <w:sz w:val="22"/>
        </w:rPr>
      </w:pPr>
      <w:r w:rsidRPr="001B4CA2">
        <w:tab/>
        <w:t>Ističemo da je tijekom izvještajnog razdoblja podneseno nekoliko prijedloga radi osiguranja imovinskopravnog zahtjeva (u pravilu predmeti iz nadležnosti USKOK-a) određivanjem privremenih mjera zabrane raspolaganja određenom imovinom optuženika i povezanih osoba. U ovim smo predmetima dužni dokazati da će bez određivanja predložene mjere osiguranja za Republiku Hrvatsku nastupiti nenadoknadiva šteta u naplati postavljenog imovinskopravnog zahtjeva koju bi zbog raspolaganja imovinom od strane okrivljenika i povezanih osoba mogao pretrpjeti. Kod predlaganja mjera osiguranja potrebni podatci za opravdanje razloga za određivanje mjere pribavljaju se od porezne uprave i dijelom su dostupni iz činjenica i dokaza prikupljenih u kaznenom predmetu.</w:t>
      </w:r>
    </w:p>
    <w:p w14:paraId="108F5FD0" w14:textId="4F1EF102" w:rsidR="00CF336B" w:rsidRPr="001B4CA2" w:rsidRDefault="00CF336B" w:rsidP="00031BB4"/>
    <w:p w14:paraId="3B39A3DC" w14:textId="5CF19633" w:rsidR="00CF336B" w:rsidRPr="001B4CA2" w:rsidRDefault="00CF336B" w:rsidP="00CF336B">
      <w:pPr>
        <w:ind w:left="142"/>
        <w:contextualSpacing/>
        <w:jc w:val="left"/>
        <w:rPr>
          <w:i/>
        </w:rPr>
      </w:pPr>
      <w:r w:rsidRPr="001B4CA2">
        <w:rPr>
          <w:i/>
        </w:rPr>
        <w:t>Adhezijski predmeti, 2018. – 2022.</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36"/>
        <w:gridCol w:w="885"/>
        <w:gridCol w:w="817"/>
        <w:gridCol w:w="894"/>
        <w:gridCol w:w="1657"/>
        <w:gridCol w:w="851"/>
        <w:gridCol w:w="1341"/>
        <w:gridCol w:w="984"/>
      </w:tblGrid>
      <w:tr w:rsidR="00CF336B" w:rsidRPr="001B4CA2" w14:paraId="0F4B09D1" w14:textId="77777777" w:rsidTr="00A14600">
        <w:trPr>
          <w:cantSplit/>
          <w:trHeight w:val="633"/>
          <w:jc w:val="center"/>
        </w:trPr>
        <w:tc>
          <w:tcPr>
            <w:tcW w:w="471" w:type="pct"/>
            <w:vMerge w:val="restart"/>
            <w:shd w:val="clear" w:color="auto" w:fill="99CCFF"/>
            <w:noWrap/>
            <w:vAlign w:val="center"/>
            <w:hideMark/>
          </w:tcPr>
          <w:p w14:paraId="2D501161"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Godina</w:t>
            </w:r>
          </w:p>
        </w:tc>
        <w:tc>
          <w:tcPr>
            <w:tcW w:w="408" w:type="pct"/>
            <w:vMerge w:val="restart"/>
            <w:shd w:val="clear" w:color="auto" w:fill="99CCFF"/>
            <w:textDirection w:val="btLr"/>
            <w:vAlign w:val="center"/>
            <w:hideMark/>
          </w:tcPr>
          <w:p w14:paraId="73B783A3" w14:textId="77777777" w:rsidR="00CF336B" w:rsidRPr="001B4CA2" w:rsidRDefault="00CF336B" w:rsidP="00A14600">
            <w:pPr>
              <w:ind w:left="113" w:right="113"/>
              <w:jc w:val="left"/>
              <w:rPr>
                <w:rFonts w:eastAsia="Times New Roman"/>
                <w:b/>
                <w:bCs/>
                <w:sz w:val="18"/>
                <w:szCs w:val="18"/>
                <w:lang w:eastAsia="hr-HR"/>
              </w:rPr>
            </w:pPr>
            <w:r w:rsidRPr="001B4CA2">
              <w:rPr>
                <w:rFonts w:eastAsia="Times New Roman"/>
                <w:b/>
                <w:bCs/>
                <w:sz w:val="18"/>
                <w:szCs w:val="18"/>
                <w:lang w:eastAsia="hr-HR"/>
              </w:rPr>
              <w:t>Ostalo u radu u DO</w:t>
            </w:r>
          </w:p>
        </w:tc>
        <w:tc>
          <w:tcPr>
            <w:tcW w:w="491" w:type="pct"/>
            <w:vMerge w:val="restart"/>
            <w:tcBorders>
              <w:right w:val="single" w:sz="4" w:space="0" w:color="auto"/>
            </w:tcBorders>
            <w:shd w:val="clear" w:color="auto" w:fill="99CCFF"/>
            <w:textDirection w:val="btLr"/>
            <w:vAlign w:val="center"/>
            <w:hideMark/>
          </w:tcPr>
          <w:p w14:paraId="6241F667" w14:textId="77777777" w:rsidR="00CF336B" w:rsidRPr="001B4CA2" w:rsidRDefault="00CF336B" w:rsidP="00A14600">
            <w:pPr>
              <w:ind w:left="113" w:right="113"/>
              <w:jc w:val="left"/>
              <w:rPr>
                <w:rFonts w:eastAsia="Times New Roman"/>
                <w:b/>
                <w:bCs/>
                <w:sz w:val="18"/>
                <w:szCs w:val="18"/>
                <w:lang w:eastAsia="hr-HR"/>
              </w:rPr>
            </w:pPr>
            <w:r w:rsidRPr="001B4CA2">
              <w:rPr>
                <w:rFonts w:eastAsia="Times New Roman"/>
                <w:b/>
                <w:bCs/>
                <w:sz w:val="18"/>
                <w:szCs w:val="18"/>
                <w:lang w:eastAsia="hr-HR"/>
              </w:rPr>
              <w:t>Primljeno novih predmeta</w:t>
            </w:r>
          </w:p>
        </w:tc>
        <w:tc>
          <w:tcPr>
            <w:tcW w:w="453" w:type="pct"/>
            <w:vMerge w:val="restart"/>
            <w:tcBorders>
              <w:left w:val="single" w:sz="4" w:space="0" w:color="auto"/>
            </w:tcBorders>
            <w:shd w:val="clear" w:color="auto" w:fill="99CCFF"/>
            <w:textDirection w:val="btLr"/>
            <w:vAlign w:val="center"/>
            <w:hideMark/>
          </w:tcPr>
          <w:p w14:paraId="1796C6BB" w14:textId="77777777" w:rsidR="00CF336B" w:rsidRPr="001B4CA2" w:rsidRDefault="00CF336B" w:rsidP="00A14600">
            <w:pPr>
              <w:ind w:left="113" w:right="113"/>
              <w:jc w:val="left"/>
              <w:rPr>
                <w:rFonts w:eastAsia="Times New Roman"/>
                <w:b/>
                <w:bCs/>
                <w:sz w:val="18"/>
                <w:szCs w:val="18"/>
                <w:lang w:eastAsia="hr-HR"/>
              </w:rPr>
            </w:pPr>
            <w:r w:rsidRPr="001B4CA2">
              <w:rPr>
                <w:rFonts w:eastAsia="Times New Roman"/>
                <w:b/>
                <w:bCs/>
                <w:sz w:val="18"/>
                <w:szCs w:val="18"/>
                <w:lang w:eastAsia="hr-HR"/>
              </w:rPr>
              <w:t>Ukupno u radu u DO</w:t>
            </w:r>
          </w:p>
        </w:tc>
        <w:tc>
          <w:tcPr>
            <w:tcW w:w="496" w:type="pct"/>
            <w:vMerge w:val="restart"/>
            <w:tcBorders>
              <w:left w:val="single" w:sz="4" w:space="0" w:color="auto"/>
            </w:tcBorders>
            <w:shd w:val="clear" w:color="auto" w:fill="99CCFF"/>
            <w:textDirection w:val="btLr"/>
            <w:vAlign w:val="center"/>
          </w:tcPr>
          <w:p w14:paraId="0E52AA56" w14:textId="77777777" w:rsidR="00CF336B" w:rsidRPr="001B4CA2" w:rsidRDefault="00CF336B" w:rsidP="00A14600">
            <w:pPr>
              <w:ind w:left="113" w:right="113"/>
              <w:jc w:val="left"/>
              <w:rPr>
                <w:rFonts w:eastAsia="Times New Roman"/>
                <w:b/>
                <w:bCs/>
                <w:sz w:val="18"/>
                <w:szCs w:val="18"/>
                <w:lang w:eastAsia="hr-HR"/>
              </w:rPr>
            </w:pPr>
            <w:r w:rsidRPr="001B4CA2">
              <w:rPr>
                <w:rFonts w:eastAsia="Times New Roman"/>
                <w:b/>
                <w:bCs/>
                <w:sz w:val="18"/>
                <w:szCs w:val="18"/>
                <w:lang w:eastAsia="hr-HR"/>
              </w:rPr>
              <w:t>Ukupno donesenih odluka</w:t>
            </w:r>
          </w:p>
        </w:tc>
        <w:tc>
          <w:tcPr>
            <w:tcW w:w="919" w:type="pct"/>
            <w:vMerge w:val="restart"/>
            <w:shd w:val="clear" w:color="auto" w:fill="99CCFF"/>
            <w:vAlign w:val="center"/>
            <w:hideMark/>
          </w:tcPr>
          <w:p w14:paraId="145D53C7" w14:textId="77777777" w:rsidR="00CF336B" w:rsidRPr="001B4CA2" w:rsidRDefault="00CF336B" w:rsidP="00A14600">
            <w:pPr>
              <w:jc w:val="center"/>
              <w:rPr>
                <w:rFonts w:eastAsia="Times New Roman"/>
                <w:b/>
                <w:bCs/>
                <w:sz w:val="16"/>
                <w:szCs w:val="16"/>
                <w:lang w:eastAsia="hr-HR"/>
              </w:rPr>
            </w:pPr>
            <w:r w:rsidRPr="001B4CA2">
              <w:rPr>
                <w:rFonts w:eastAsia="Times New Roman"/>
                <w:b/>
                <w:bCs/>
                <w:sz w:val="16"/>
                <w:szCs w:val="16"/>
                <w:lang w:eastAsia="hr-HR"/>
              </w:rPr>
              <w:t xml:space="preserve">Vrijednost postavljenih imovinskopravnih zahtjeva </w:t>
            </w:r>
          </w:p>
          <w:p w14:paraId="5B63A50D" w14:textId="77777777" w:rsidR="00CF336B" w:rsidRPr="001B4CA2" w:rsidRDefault="00CF336B" w:rsidP="00A14600">
            <w:pPr>
              <w:jc w:val="center"/>
              <w:rPr>
                <w:rFonts w:eastAsia="Times New Roman"/>
                <w:b/>
                <w:bCs/>
                <w:sz w:val="16"/>
                <w:szCs w:val="16"/>
                <w:lang w:eastAsia="hr-HR"/>
              </w:rPr>
            </w:pPr>
            <w:r w:rsidRPr="001B4CA2">
              <w:rPr>
                <w:rFonts w:eastAsia="Times New Roman"/>
                <w:b/>
                <w:bCs/>
                <w:sz w:val="16"/>
                <w:szCs w:val="16"/>
                <w:lang w:eastAsia="hr-HR"/>
              </w:rPr>
              <w:t>(u tisućama kn)</w:t>
            </w:r>
          </w:p>
        </w:tc>
        <w:tc>
          <w:tcPr>
            <w:tcW w:w="1762" w:type="pct"/>
            <w:gridSpan w:val="3"/>
            <w:shd w:val="clear" w:color="auto" w:fill="99CCFF"/>
            <w:vAlign w:val="center"/>
          </w:tcPr>
          <w:p w14:paraId="18BFC090"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Sudske odluke</w:t>
            </w:r>
          </w:p>
        </w:tc>
      </w:tr>
      <w:tr w:rsidR="00CF336B" w:rsidRPr="001B4CA2" w14:paraId="3E66256C" w14:textId="77777777" w:rsidTr="00A14600">
        <w:trPr>
          <w:cantSplit/>
          <w:trHeight w:val="500"/>
          <w:jc w:val="center"/>
        </w:trPr>
        <w:tc>
          <w:tcPr>
            <w:tcW w:w="471" w:type="pct"/>
            <w:vMerge/>
            <w:shd w:val="clear" w:color="auto" w:fill="00B0F0"/>
            <w:vAlign w:val="center"/>
            <w:hideMark/>
          </w:tcPr>
          <w:p w14:paraId="4CC43E90" w14:textId="77777777" w:rsidR="00CF336B" w:rsidRPr="001B4CA2" w:rsidRDefault="00CF336B" w:rsidP="00A14600">
            <w:pPr>
              <w:jc w:val="left"/>
              <w:rPr>
                <w:rFonts w:eastAsia="Times New Roman"/>
                <w:b/>
                <w:bCs/>
                <w:sz w:val="18"/>
                <w:szCs w:val="18"/>
                <w:lang w:eastAsia="hr-HR"/>
              </w:rPr>
            </w:pPr>
          </w:p>
        </w:tc>
        <w:tc>
          <w:tcPr>
            <w:tcW w:w="408" w:type="pct"/>
            <w:vMerge/>
            <w:vAlign w:val="center"/>
            <w:hideMark/>
          </w:tcPr>
          <w:p w14:paraId="1FA0F787" w14:textId="77777777" w:rsidR="00CF336B" w:rsidRPr="001B4CA2" w:rsidRDefault="00CF336B" w:rsidP="00A14600">
            <w:pPr>
              <w:jc w:val="left"/>
              <w:rPr>
                <w:rFonts w:eastAsia="Times New Roman"/>
                <w:b/>
                <w:bCs/>
                <w:sz w:val="18"/>
                <w:szCs w:val="18"/>
                <w:lang w:eastAsia="hr-HR"/>
              </w:rPr>
            </w:pPr>
          </w:p>
        </w:tc>
        <w:tc>
          <w:tcPr>
            <w:tcW w:w="491" w:type="pct"/>
            <w:vMerge/>
            <w:tcBorders>
              <w:right w:val="single" w:sz="4" w:space="0" w:color="auto"/>
            </w:tcBorders>
            <w:vAlign w:val="center"/>
            <w:hideMark/>
          </w:tcPr>
          <w:p w14:paraId="7D44A804" w14:textId="77777777" w:rsidR="00CF336B" w:rsidRPr="001B4CA2" w:rsidRDefault="00CF336B" w:rsidP="00A14600">
            <w:pPr>
              <w:jc w:val="left"/>
              <w:rPr>
                <w:rFonts w:eastAsia="Times New Roman"/>
                <w:b/>
                <w:bCs/>
                <w:sz w:val="18"/>
                <w:szCs w:val="18"/>
                <w:lang w:eastAsia="hr-HR"/>
              </w:rPr>
            </w:pPr>
          </w:p>
        </w:tc>
        <w:tc>
          <w:tcPr>
            <w:tcW w:w="453" w:type="pct"/>
            <w:vMerge/>
            <w:tcBorders>
              <w:left w:val="single" w:sz="4" w:space="0" w:color="auto"/>
            </w:tcBorders>
            <w:vAlign w:val="center"/>
            <w:hideMark/>
          </w:tcPr>
          <w:p w14:paraId="4DEEA793" w14:textId="77777777" w:rsidR="00CF336B" w:rsidRPr="001B4CA2" w:rsidRDefault="00CF336B" w:rsidP="00A14600">
            <w:pPr>
              <w:jc w:val="left"/>
              <w:rPr>
                <w:rFonts w:eastAsia="Times New Roman"/>
                <w:b/>
                <w:bCs/>
                <w:sz w:val="18"/>
                <w:szCs w:val="18"/>
                <w:lang w:eastAsia="hr-HR"/>
              </w:rPr>
            </w:pPr>
          </w:p>
        </w:tc>
        <w:tc>
          <w:tcPr>
            <w:tcW w:w="496" w:type="pct"/>
            <w:vMerge/>
            <w:tcBorders>
              <w:left w:val="single" w:sz="4" w:space="0" w:color="auto"/>
            </w:tcBorders>
            <w:vAlign w:val="center"/>
          </w:tcPr>
          <w:p w14:paraId="579F91A3" w14:textId="77777777" w:rsidR="00CF336B" w:rsidRPr="001B4CA2" w:rsidRDefault="00CF336B" w:rsidP="00A14600">
            <w:pPr>
              <w:jc w:val="left"/>
              <w:rPr>
                <w:rFonts w:eastAsia="Times New Roman"/>
                <w:b/>
                <w:bCs/>
                <w:sz w:val="18"/>
                <w:szCs w:val="18"/>
                <w:lang w:eastAsia="hr-HR"/>
              </w:rPr>
            </w:pPr>
          </w:p>
        </w:tc>
        <w:tc>
          <w:tcPr>
            <w:tcW w:w="919" w:type="pct"/>
            <w:vMerge/>
            <w:vAlign w:val="center"/>
            <w:hideMark/>
          </w:tcPr>
          <w:p w14:paraId="1FA2EEE3" w14:textId="77777777" w:rsidR="00CF336B" w:rsidRPr="001B4CA2" w:rsidRDefault="00CF336B" w:rsidP="00A14600">
            <w:pPr>
              <w:jc w:val="left"/>
              <w:rPr>
                <w:rFonts w:eastAsia="Times New Roman"/>
                <w:b/>
                <w:bCs/>
                <w:sz w:val="18"/>
                <w:szCs w:val="18"/>
                <w:lang w:eastAsia="hr-HR"/>
              </w:rPr>
            </w:pPr>
          </w:p>
        </w:tc>
        <w:tc>
          <w:tcPr>
            <w:tcW w:w="472" w:type="pct"/>
            <w:shd w:val="clear" w:color="auto" w:fill="99CCFF"/>
            <w:noWrap/>
            <w:vAlign w:val="center"/>
            <w:hideMark/>
          </w:tcPr>
          <w:p w14:paraId="48B337AE" w14:textId="77777777" w:rsidR="00CF336B" w:rsidRPr="001B4CA2" w:rsidRDefault="00CF336B" w:rsidP="00A14600">
            <w:pPr>
              <w:jc w:val="center"/>
              <w:rPr>
                <w:rFonts w:eastAsia="Times New Roman"/>
                <w:bCs/>
                <w:sz w:val="16"/>
                <w:szCs w:val="16"/>
                <w:lang w:eastAsia="hr-HR"/>
              </w:rPr>
            </w:pPr>
            <w:r w:rsidRPr="001B4CA2">
              <w:rPr>
                <w:rFonts w:eastAsia="Times New Roman"/>
                <w:bCs/>
                <w:sz w:val="16"/>
                <w:szCs w:val="16"/>
                <w:lang w:eastAsia="hr-HR"/>
              </w:rPr>
              <w:t>Zahtjev dosuđen</w:t>
            </w:r>
          </w:p>
        </w:tc>
        <w:tc>
          <w:tcPr>
            <w:tcW w:w="744" w:type="pct"/>
            <w:shd w:val="clear" w:color="auto" w:fill="99CCFF"/>
            <w:vAlign w:val="center"/>
          </w:tcPr>
          <w:p w14:paraId="1E6BF76A" w14:textId="77777777" w:rsidR="00CF336B" w:rsidRPr="001B4CA2" w:rsidRDefault="00CF336B" w:rsidP="00A14600">
            <w:pPr>
              <w:jc w:val="center"/>
              <w:rPr>
                <w:rFonts w:eastAsia="Times New Roman"/>
                <w:bCs/>
                <w:sz w:val="16"/>
                <w:szCs w:val="16"/>
                <w:lang w:eastAsia="hr-HR"/>
              </w:rPr>
            </w:pPr>
            <w:r w:rsidRPr="001B4CA2">
              <w:rPr>
                <w:rFonts w:eastAsia="Times New Roman"/>
                <w:bCs/>
                <w:sz w:val="16"/>
                <w:szCs w:val="16"/>
                <w:lang w:eastAsia="hr-HR"/>
              </w:rPr>
              <w:t xml:space="preserve">Visina </w:t>
            </w:r>
          </w:p>
          <w:p w14:paraId="2EFF51E2" w14:textId="77777777" w:rsidR="00CF336B" w:rsidRPr="001B4CA2" w:rsidRDefault="00CF336B" w:rsidP="00A14600">
            <w:pPr>
              <w:jc w:val="center"/>
              <w:rPr>
                <w:rFonts w:eastAsia="Times New Roman"/>
                <w:bCs/>
                <w:sz w:val="16"/>
                <w:szCs w:val="16"/>
                <w:lang w:eastAsia="hr-HR"/>
              </w:rPr>
            </w:pPr>
            <w:r w:rsidRPr="001B4CA2">
              <w:rPr>
                <w:rFonts w:eastAsia="Times New Roman"/>
                <w:bCs/>
                <w:sz w:val="16"/>
                <w:szCs w:val="16"/>
                <w:lang w:eastAsia="hr-HR"/>
              </w:rPr>
              <w:t>(u tisućama kn)</w:t>
            </w:r>
          </w:p>
        </w:tc>
        <w:tc>
          <w:tcPr>
            <w:tcW w:w="546" w:type="pct"/>
            <w:shd w:val="clear" w:color="auto" w:fill="99CCFF"/>
            <w:noWrap/>
            <w:vAlign w:val="center"/>
            <w:hideMark/>
          </w:tcPr>
          <w:p w14:paraId="13F523AB" w14:textId="77777777" w:rsidR="00CF336B" w:rsidRPr="001B4CA2" w:rsidRDefault="00CF336B" w:rsidP="00A14600">
            <w:pPr>
              <w:jc w:val="center"/>
              <w:rPr>
                <w:rFonts w:eastAsia="Times New Roman"/>
                <w:bCs/>
                <w:sz w:val="16"/>
                <w:szCs w:val="16"/>
                <w:lang w:eastAsia="hr-HR"/>
              </w:rPr>
            </w:pPr>
            <w:r w:rsidRPr="001B4CA2">
              <w:rPr>
                <w:rFonts w:eastAsia="Times New Roman"/>
                <w:bCs/>
                <w:sz w:val="16"/>
                <w:szCs w:val="16"/>
                <w:lang w:eastAsia="hr-HR"/>
              </w:rPr>
              <w:t xml:space="preserve">Upućeno u parnicu </w:t>
            </w:r>
          </w:p>
        </w:tc>
      </w:tr>
      <w:tr w:rsidR="00CF336B" w:rsidRPr="001B4CA2" w14:paraId="174303B7" w14:textId="77777777" w:rsidTr="00A14600">
        <w:trPr>
          <w:cantSplit/>
          <w:trHeight w:val="397"/>
          <w:jc w:val="center"/>
        </w:trPr>
        <w:tc>
          <w:tcPr>
            <w:tcW w:w="471" w:type="pct"/>
            <w:shd w:val="clear" w:color="auto" w:fill="auto"/>
            <w:noWrap/>
            <w:vAlign w:val="center"/>
          </w:tcPr>
          <w:p w14:paraId="6FB672F4"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2018.</w:t>
            </w:r>
          </w:p>
        </w:tc>
        <w:tc>
          <w:tcPr>
            <w:tcW w:w="408" w:type="pct"/>
            <w:shd w:val="clear" w:color="auto" w:fill="auto"/>
            <w:noWrap/>
            <w:vAlign w:val="center"/>
          </w:tcPr>
          <w:p w14:paraId="4564E8DC"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8</w:t>
            </w:r>
          </w:p>
        </w:tc>
        <w:tc>
          <w:tcPr>
            <w:tcW w:w="491" w:type="pct"/>
            <w:shd w:val="clear" w:color="auto" w:fill="auto"/>
            <w:noWrap/>
            <w:vAlign w:val="center"/>
          </w:tcPr>
          <w:p w14:paraId="4B462141"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93</w:t>
            </w:r>
          </w:p>
        </w:tc>
        <w:tc>
          <w:tcPr>
            <w:tcW w:w="453" w:type="pct"/>
            <w:shd w:val="clear" w:color="auto" w:fill="auto"/>
            <w:noWrap/>
            <w:vAlign w:val="center"/>
          </w:tcPr>
          <w:p w14:paraId="5C769294"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101</w:t>
            </w:r>
          </w:p>
        </w:tc>
        <w:tc>
          <w:tcPr>
            <w:tcW w:w="496" w:type="pct"/>
            <w:shd w:val="clear" w:color="auto" w:fill="auto"/>
            <w:noWrap/>
            <w:vAlign w:val="center"/>
          </w:tcPr>
          <w:p w14:paraId="4BE21B0C"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86</w:t>
            </w:r>
          </w:p>
        </w:tc>
        <w:tc>
          <w:tcPr>
            <w:tcW w:w="919" w:type="pct"/>
            <w:shd w:val="clear" w:color="auto" w:fill="auto"/>
            <w:noWrap/>
            <w:vAlign w:val="center"/>
          </w:tcPr>
          <w:p w14:paraId="3C3468B0"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293.472</w:t>
            </w:r>
          </w:p>
        </w:tc>
        <w:tc>
          <w:tcPr>
            <w:tcW w:w="472" w:type="pct"/>
            <w:shd w:val="clear" w:color="auto" w:fill="auto"/>
            <w:noWrap/>
            <w:vAlign w:val="center"/>
          </w:tcPr>
          <w:p w14:paraId="41A0ECCC"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20</w:t>
            </w:r>
          </w:p>
        </w:tc>
        <w:tc>
          <w:tcPr>
            <w:tcW w:w="744" w:type="pct"/>
            <w:vAlign w:val="center"/>
          </w:tcPr>
          <w:p w14:paraId="55A9252D"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7.925</w:t>
            </w:r>
          </w:p>
        </w:tc>
        <w:tc>
          <w:tcPr>
            <w:tcW w:w="546" w:type="pct"/>
            <w:shd w:val="clear" w:color="auto" w:fill="auto"/>
            <w:noWrap/>
            <w:vAlign w:val="center"/>
          </w:tcPr>
          <w:p w14:paraId="55040BBC"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5</w:t>
            </w:r>
          </w:p>
        </w:tc>
      </w:tr>
      <w:tr w:rsidR="00CF336B" w:rsidRPr="001B4CA2" w14:paraId="3D5FDBB5" w14:textId="77777777" w:rsidTr="00A14600">
        <w:trPr>
          <w:cantSplit/>
          <w:trHeight w:val="397"/>
          <w:jc w:val="center"/>
        </w:trPr>
        <w:tc>
          <w:tcPr>
            <w:tcW w:w="471" w:type="pct"/>
            <w:shd w:val="clear" w:color="auto" w:fill="auto"/>
            <w:noWrap/>
            <w:vAlign w:val="center"/>
          </w:tcPr>
          <w:p w14:paraId="00F243D9"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2019.</w:t>
            </w:r>
          </w:p>
        </w:tc>
        <w:tc>
          <w:tcPr>
            <w:tcW w:w="408" w:type="pct"/>
            <w:shd w:val="clear" w:color="auto" w:fill="auto"/>
            <w:noWrap/>
            <w:vAlign w:val="center"/>
          </w:tcPr>
          <w:p w14:paraId="6921906E"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17</w:t>
            </w:r>
          </w:p>
        </w:tc>
        <w:tc>
          <w:tcPr>
            <w:tcW w:w="491" w:type="pct"/>
            <w:shd w:val="clear" w:color="auto" w:fill="auto"/>
            <w:noWrap/>
            <w:vAlign w:val="center"/>
          </w:tcPr>
          <w:p w14:paraId="47AEB96F"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65</w:t>
            </w:r>
          </w:p>
        </w:tc>
        <w:tc>
          <w:tcPr>
            <w:tcW w:w="453" w:type="pct"/>
            <w:shd w:val="clear" w:color="auto" w:fill="auto"/>
            <w:noWrap/>
            <w:vAlign w:val="center"/>
          </w:tcPr>
          <w:p w14:paraId="150CA4BA"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82</w:t>
            </w:r>
          </w:p>
        </w:tc>
        <w:tc>
          <w:tcPr>
            <w:tcW w:w="496" w:type="pct"/>
            <w:shd w:val="clear" w:color="auto" w:fill="auto"/>
            <w:noWrap/>
            <w:vAlign w:val="center"/>
          </w:tcPr>
          <w:p w14:paraId="21183F66"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79</w:t>
            </w:r>
          </w:p>
        </w:tc>
        <w:tc>
          <w:tcPr>
            <w:tcW w:w="919" w:type="pct"/>
            <w:shd w:val="clear" w:color="auto" w:fill="auto"/>
            <w:noWrap/>
            <w:vAlign w:val="center"/>
          </w:tcPr>
          <w:p w14:paraId="3A44FF00"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76.034</w:t>
            </w:r>
          </w:p>
        </w:tc>
        <w:tc>
          <w:tcPr>
            <w:tcW w:w="472" w:type="pct"/>
            <w:shd w:val="clear" w:color="auto" w:fill="auto"/>
            <w:noWrap/>
            <w:vAlign w:val="center"/>
          </w:tcPr>
          <w:p w14:paraId="03F77FC4"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32</w:t>
            </w:r>
          </w:p>
        </w:tc>
        <w:tc>
          <w:tcPr>
            <w:tcW w:w="744" w:type="pct"/>
            <w:vAlign w:val="center"/>
          </w:tcPr>
          <w:p w14:paraId="48ED30BC"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75.661</w:t>
            </w:r>
          </w:p>
        </w:tc>
        <w:tc>
          <w:tcPr>
            <w:tcW w:w="546" w:type="pct"/>
            <w:shd w:val="clear" w:color="auto" w:fill="auto"/>
            <w:noWrap/>
            <w:vAlign w:val="center"/>
          </w:tcPr>
          <w:p w14:paraId="4E736E6B" w14:textId="77777777" w:rsidR="00CF336B" w:rsidRPr="001B4CA2" w:rsidRDefault="00CF336B" w:rsidP="00A14600">
            <w:pPr>
              <w:jc w:val="center"/>
              <w:rPr>
                <w:rFonts w:eastAsia="Times New Roman"/>
                <w:bCs/>
                <w:sz w:val="18"/>
                <w:szCs w:val="18"/>
                <w:lang w:eastAsia="hr-HR"/>
              </w:rPr>
            </w:pPr>
            <w:r w:rsidRPr="001B4CA2">
              <w:rPr>
                <w:rFonts w:eastAsia="Times New Roman"/>
                <w:bCs/>
                <w:color w:val="000000"/>
                <w:sz w:val="18"/>
                <w:szCs w:val="18"/>
                <w:lang w:eastAsia="hr-HR"/>
              </w:rPr>
              <w:t>3</w:t>
            </w:r>
          </w:p>
        </w:tc>
      </w:tr>
      <w:tr w:rsidR="00CF336B" w:rsidRPr="001B4CA2" w14:paraId="69BDD7BA" w14:textId="77777777" w:rsidTr="00A14600">
        <w:trPr>
          <w:cantSplit/>
          <w:trHeight w:val="397"/>
          <w:jc w:val="center"/>
        </w:trPr>
        <w:tc>
          <w:tcPr>
            <w:tcW w:w="471" w:type="pct"/>
            <w:shd w:val="clear" w:color="auto" w:fill="auto"/>
            <w:noWrap/>
            <w:vAlign w:val="center"/>
          </w:tcPr>
          <w:p w14:paraId="217C8A9E"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2020.</w:t>
            </w:r>
          </w:p>
        </w:tc>
        <w:tc>
          <w:tcPr>
            <w:tcW w:w="408" w:type="pct"/>
            <w:shd w:val="clear" w:color="auto" w:fill="auto"/>
            <w:noWrap/>
            <w:vAlign w:val="center"/>
          </w:tcPr>
          <w:p w14:paraId="41DE9D66"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8</w:t>
            </w:r>
          </w:p>
        </w:tc>
        <w:tc>
          <w:tcPr>
            <w:tcW w:w="491" w:type="pct"/>
            <w:shd w:val="clear" w:color="auto" w:fill="auto"/>
            <w:noWrap/>
            <w:vAlign w:val="center"/>
          </w:tcPr>
          <w:p w14:paraId="14492F45" w14:textId="77777777" w:rsidR="00CF336B" w:rsidRPr="001B4CA2" w:rsidRDefault="00CF336B" w:rsidP="00A14600">
            <w:pPr>
              <w:jc w:val="center"/>
              <w:rPr>
                <w:rFonts w:eastAsia="Times New Roman"/>
                <w:bCs/>
                <w:sz w:val="18"/>
                <w:szCs w:val="18"/>
                <w:lang w:eastAsia="hr-HR"/>
              </w:rPr>
            </w:pPr>
            <w:r w:rsidRPr="001B4CA2">
              <w:rPr>
                <w:bCs/>
                <w:sz w:val="18"/>
                <w:szCs w:val="18"/>
              </w:rPr>
              <w:t>59</w:t>
            </w:r>
          </w:p>
        </w:tc>
        <w:tc>
          <w:tcPr>
            <w:tcW w:w="453" w:type="pct"/>
            <w:shd w:val="clear" w:color="auto" w:fill="auto"/>
            <w:noWrap/>
            <w:vAlign w:val="center"/>
          </w:tcPr>
          <w:p w14:paraId="56A71C0B" w14:textId="77777777" w:rsidR="00CF336B" w:rsidRPr="001B4CA2" w:rsidRDefault="00CF336B" w:rsidP="00A14600">
            <w:pPr>
              <w:jc w:val="center"/>
              <w:rPr>
                <w:rFonts w:eastAsia="Times New Roman"/>
                <w:bCs/>
                <w:sz w:val="18"/>
                <w:szCs w:val="18"/>
                <w:lang w:eastAsia="hr-HR"/>
              </w:rPr>
            </w:pPr>
            <w:r w:rsidRPr="001B4CA2">
              <w:rPr>
                <w:bCs/>
                <w:sz w:val="18"/>
                <w:szCs w:val="18"/>
              </w:rPr>
              <w:t>67</w:t>
            </w:r>
          </w:p>
        </w:tc>
        <w:tc>
          <w:tcPr>
            <w:tcW w:w="496" w:type="pct"/>
            <w:shd w:val="clear" w:color="auto" w:fill="auto"/>
            <w:noWrap/>
            <w:vAlign w:val="center"/>
          </w:tcPr>
          <w:p w14:paraId="63EBB1C1"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62</w:t>
            </w:r>
          </w:p>
        </w:tc>
        <w:tc>
          <w:tcPr>
            <w:tcW w:w="919" w:type="pct"/>
            <w:shd w:val="clear" w:color="auto" w:fill="auto"/>
            <w:noWrap/>
            <w:vAlign w:val="center"/>
          </w:tcPr>
          <w:p w14:paraId="640F1832"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145.407</w:t>
            </w:r>
          </w:p>
        </w:tc>
        <w:tc>
          <w:tcPr>
            <w:tcW w:w="472" w:type="pct"/>
            <w:shd w:val="clear" w:color="auto" w:fill="auto"/>
            <w:noWrap/>
            <w:vAlign w:val="center"/>
          </w:tcPr>
          <w:p w14:paraId="32202343" w14:textId="77777777" w:rsidR="00CF336B" w:rsidRPr="001B4CA2" w:rsidRDefault="00CF336B" w:rsidP="00A14600">
            <w:pPr>
              <w:jc w:val="center"/>
              <w:rPr>
                <w:rFonts w:eastAsia="Times New Roman"/>
                <w:bCs/>
                <w:sz w:val="18"/>
                <w:szCs w:val="18"/>
                <w:lang w:eastAsia="hr-HR"/>
              </w:rPr>
            </w:pPr>
            <w:r w:rsidRPr="001B4CA2">
              <w:rPr>
                <w:bCs/>
                <w:sz w:val="18"/>
                <w:szCs w:val="18"/>
              </w:rPr>
              <w:t>36</w:t>
            </w:r>
          </w:p>
        </w:tc>
        <w:tc>
          <w:tcPr>
            <w:tcW w:w="744" w:type="pct"/>
            <w:vAlign w:val="center"/>
          </w:tcPr>
          <w:p w14:paraId="15F586CD" w14:textId="77777777" w:rsidR="00CF336B" w:rsidRPr="001B4CA2" w:rsidRDefault="00CF336B" w:rsidP="00A14600">
            <w:pPr>
              <w:jc w:val="center"/>
              <w:rPr>
                <w:rFonts w:eastAsia="Times New Roman"/>
                <w:bCs/>
                <w:sz w:val="18"/>
                <w:szCs w:val="18"/>
                <w:lang w:eastAsia="hr-HR"/>
              </w:rPr>
            </w:pPr>
            <w:r w:rsidRPr="001B4CA2">
              <w:rPr>
                <w:bCs/>
                <w:sz w:val="18"/>
                <w:szCs w:val="18"/>
              </w:rPr>
              <w:t>10.133</w:t>
            </w:r>
          </w:p>
        </w:tc>
        <w:tc>
          <w:tcPr>
            <w:tcW w:w="546" w:type="pct"/>
            <w:shd w:val="clear" w:color="auto" w:fill="auto"/>
            <w:noWrap/>
            <w:vAlign w:val="center"/>
          </w:tcPr>
          <w:p w14:paraId="07412890" w14:textId="77777777" w:rsidR="00CF336B" w:rsidRPr="001B4CA2" w:rsidRDefault="00CF336B" w:rsidP="00A14600">
            <w:pPr>
              <w:jc w:val="center"/>
              <w:rPr>
                <w:rFonts w:eastAsia="Times New Roman"/>
                <w:bCs/>
                <w:sz w:val="18"/>
                <w:szCs w:val="18"/>
                <w:lang w:eastAsia="hr-HR"/>
              </w:rPr>
            </w:pPr>
            <w:r w:rsidRPr="001B4CA2">
              <w:rPr>
                <w:bCs/>
                <w:sz w:val="18"/>
                <w:szCs w:val="18"/>
              </w:rPr>
              <w:t>10</w:t>
            </w:r>
          </w:p>
        </w:tc>
      </w:tr>
      <w:tr w:rsidR="00CF336B" w:rsidRPr="001B4CA2" w14:paraId="68EFFD35" w14:textId="77777777" w:rsidTr="00A14600">
        <w:trPr>
          <w:cantSplit/>
          <w:trHeight w:val="397"/>
          <w:jc w:val="center"/>
        </w:trPr>
        <w:tc>
          <w:tcPr>
            <w:tcW w:w="471" w:type="pct"/>
            <w:shd w:val="clear" w:color="auto" w:fill="auto"/>
            <w:noWrap/>
            <w:vAlign w:val="center"/>
          </w:tcPr>
          <w:p w14:paraId="3309FC59"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2021.</w:t>
            </w:r>
          </w:p>
        </w:tc>
        <w:tc>
          <w:tcPr>
            <w:tcW w:w="408" w:type="pct"/>
            <w:shd w:val="clear" w:color="auto" w:fill="auto"/>
            <w:noWrap/>
            <w:vAlign w:val="center"/>
          </w:tcPr>
          <w:p w14:paraId="2122ACE3"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9</w:t>
            </w:r>
          </w:p>
        </w:tc>
        <w:tc>
          <w:tcPr>
            <w:tcW w:w="491" w:type="pct"/>
            <w:shd w:val="clear" w:color="auto" w:fill="auto"/>
            <w:noWrap/>
            <w:vAlign w:val="center"/>
          </w:tcPr>
          <w:p w14:paraId="4A4F500A" w14:textId="77777777" w:rsidR="00CF336B" w:rsidRPr="001B4CA2" w:rsidRDefault="00CF336B" w:rsidP="00A14600">
            <w:pPr>
              <w:jc w:val="center"/>
              <w:rPr>
                <w:bCs/>
                <w:sz w:val="18"/>
                <w:szCs w:val="18"/>
              </w:rPr>
            </w:pPr>
            <w:r w:rsidRPr="001B4CA2">
              <w:rPr>
                <w:bCs/>
                <w:sz w:val="18"/>
                <w:szCs w:val="18"/>
              </w:rPr>
              <w:t>95</w:t>
            </w:r>
          </w:p>
        </w:tc>
        <w:tc>
          <w:tcPr>
            <w:tcW w:w="453" w:type="pct"/>
            <w:shd w:val="clear" w:color="auto" w:fill="auto"/>
            <w:noWrap/>
            <w:vAlign w:val="center"/>
          </w:tcPr>
          <w:p w14:paraId="5FBE65B9" w14:textId="77777777" w:rsidR="00CF336B" w:rsidRPr="001B4CA2" w:rsidRDefault="00CF336B" w:rsidP="00A14600">
            <w:pPr>
              <w:jc w:val="center"/>
              <w:rPr>
                <w:bCs/>
                <w:sz w:val="18"/>
                <w:szCs w:val="18"/>
              </w:rPr>
            </w:pPr>
            <w:r w:rsidRPr="001B4CA2">
              <w:rPr>
                <w:bCs/>
                <w:sz w:val="18"/>
                <w:szCs w:val="18"/>
              </w:rPr>
              <w:t>104</w:t>
            </w:r>
          </w:p>
        </w:tc>
        <w:tc>
          <w:tcPr>
            <w:tcW w:w="496" w:type="pct"/>
            <w:shd w:val="clear" w:color="auto" w:fill="auto"/>
            <w:noWrap/>
            <w:vAlign w:val="center"/>
          </w:tcPr>
          <w:p w14:paraId="26515F19"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sz w:val="18"/>
                <w:szCs w:val="18"/>
                <w:lang w:eastAsia="hr-HR"/>
              </w:rPr>
              <w:t>99</w:t>
            </w:r>
          </w:p>
        </w:tc>
        <w:tc>
          <w:tcPr>
            <w:tcW w:w="919" w:type="pct"/>
            <w:shd w:val="clear" w:color="auto" w:fill="auto"/>
            <w:noWrap/>
            <w:vAlign w:val="center"/>
          </w:tcPr>
          <w:p w14:paraId="1ABA0359"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216.372</w:t>
            </w:r>
          </w:p>
        </w:tc>
        <w:tc>
          <w:tcPr>
            <w:tcW w:w="472" w:type="pct"/>
            <w:shd w:val="clear" w:color="auto" w:fill="auto"/>
            <w:noWrap/>
            <w:vAlign w:val="center"/>
          </w:tcPr>
          <w:p w14:paraId="6D1F28D3" w14:textId="77777777" w:rsidR="00CF336B" w:rsidRPr="001B4CA2" w:rsidRDefault="00CF336B" w:rsidP="00A14600">
            <w:pPr>
              <w:jc w:val="center"/>
              <w:rPr>
                <w:bCs/>
                <w:sz w:val="18"/>
                <w:szCs w:val="18"/>
              </w:rPr>
            </w:pPr>
            <w:r w:rsidRPr="001B4CA2">
              <w:rPr>
                <w:bCs/>
                <w:sz w:val="18"/>
                <w:szCs w:val="18"/>
              </w:rPr>
              <w:t>35</w:t>
            </w:r>
          </w:p>
        </w:tc>
        <w:tc>
          <w:tcPr>
            <w:tcW w:w="744" w:type="pct"/>
            <w:vAlign w:val="center"/>
          </w:tcPr>
          <w:p w14:paraId="5F6E0908" w14:textId="77777777" w:rsidR="00CF336B" w:rsidRPr="001B4CA2" w:rsidRDefault="00CF336B" w:rsidP="00A14600">
            <w:pPr>
              <w:jc w:val="center"/>
              <w:rPr>
                <w:bCs/>
                <w:sz w:val="18"/>
                <w:szCs w:val="18"/>
              </w:rPr>
            </w:pPr>
            <w:r w:rsidRPr="001B4CA2">
              <w:rPr>
                <w:bCs/>
                <w:sz w:val="18"/>
                <w:szCs w:val="18"/>
              </w:rPr>
              <w:t>24.363</w:t>
            </w:r>
          </w:p>
        </w:tc>
        <w:tc>
          <w:tcPr>
            <w:tcW w:w="546" w:type="pct"/>
            <w:shd w:val="clear" w:color="auto" w:fill="auto"/>
            <w:noWrap/>
            <w:vAlign w:val="center"/>
          </w:tcPr>
          <w:p w14:paraId="1B5D64C8" w14:textId="77777777" w:rsidR="00CF336B" w:rsidRPr="001B4CA2" w:rsidRDefault="00CF336B" w:rsidP="00A14600">
            <w:pPr>
              <w:jc w:val="center"/>
              <w:rPr>
                <w:bCs/>
                <w:sz w:val="18"/>
                <w:szCs w:val="18"/>
              </w:rPr>
            </w:pPr>
            <w:r w:rsidRPr="001B4CA2">
              <w:rPr>
                <w:bCs/>
                <w:sz w:val="18"/>
                <w:szCs w:val="18"/>
              </w:rPr>
              <w:t>26</w:t>
            </w:r>
          </w:p>
        </w:tc>
      </w:tr>
      <w:tr w:rsidR="00CF336B" w:rsidRPr="001B4CA2" w14:paraId="2729AFF3" w14:textId="77777777" w:rsidTr="00A14600">
        <w:trPr>
          <w:cantSplit/>
          <w:trHeight w:val="397"/>
          <w:jc w:val="center"/>
        </w:trPr>
        <w:tc>
          <w:tcPr>
            <w:tcW w:w="471" w:type="pct"/>
            <w:shd w:val="clear" w:color="auto" w:fill="auto"/>
            <w:noWrap/>
            <w:vAlign w:val="center"/>
          </w:tcPr>
          <w:p w14:paraId="59D1CF11"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2022.</w:t>
            </w:r>
          </w:p>
        </w:tc>
        <w:tc>
          <w:tcPr>
            <w:tcW w:w="408" w:type="pct"/>
            <w:shd w:val="clear" w:color="auto" w:fill="auto"/>
            <w:noWrap/>
            <w:vAlign w:val="center"/>
          </w:tcPr>
          <w:p w14:paraId="61019FD5"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6</w:t>
            </w:r>
          </w:p>
        </w:tc>
        <w:tc>
          <w:tcPr>
            <w:tcW w:w="491" w:type="pct"/>
            <w:shd w:val="clear" w:color="auto" w:fill="auto"/>
            <w:noWrap/>
            <w:vAlign w:val="center"/>
          </w:tcPr>
          <w:p w14:paraId="165D945C" w14:textId="77777777" w:rsidR="00CF336B" w:rsidRPr="001B4CA2" w:rsidRDefault="00CF336B" w:rsidP="00A14600">
            <w:pPr>
              <w:jc w:val="center"/>
              <w:rPr>
                <w:bCs/>
                <w:sz w:val="18"/>
                <w:szCs w:val="18"/>
              </w:rPr>
            </w:pPr>
            <w:r w:rsidRPr="001B4CA2">
              <w:rPr>
                <w:bCs/>
                <w:sz w:val="18"/>
                <w:szCs w:val="18"/>
              </w:rPr>
              <w:t>81</w:t>
            </w:r>
          </w:p>
        </w:tc>
        <w:tc>
          <w:tcPr>
            <w:tcW w:w="453" w:type="pct"/>
            <w:shd w:val="clear" w:color="auto" w:fill="auto"/>
            <w:noWrap/>
            <w:vAlign w:val="center"/>
          </w:tcPr>
          <w:p w14:paraId="1F114911" w14:textId="77777777" w:rsidR="00CF336B" w:rsidRPr="001B4CA2" w:rsidRDefault="00CF336B" w:rsidP="00A14600">
            <w:pPr>
              <w:jc w:val="center"/>
              <w:rPr>
                <w:bCs/>
                <w:sz w:val="18"/>
                <w:szCs w:val="18"/>
              </w:rPr>
            </w:pPr>
            <w:r w:rsidRPr="001B4CA2">
              <w:rPr>
                <w:bCs/>
                <w:sz w:val="18"/>
                <w:szCs w:val="18"/>
              </w:rPr>
              <w:t>87</w:t>
            </w:r>
          </w:p>
        </w:tc>
        <w:tc>
          <w:tcPr>
            <w:tcW w:w="496" w:type="pct"/>
            <w:shd w:val="clear" w:color="auto" w:fill="auto"/>
            <w:noWrap/>
            <w:vAlign w:val="center"/>
          </w:tcPr>
          <w:p w14:paraId="752CDB21"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sz w:val="18"/>
                <w:szCs w:val="18"/>
                <w:lang w:eastAsia="hr-HR"/>
              </w:rPr>
              <w:t>88</w:t>
            </w:r>
          </w:p>
        </w:tc>
        <w:tc>
          <w:tcPr>
            <w:tcW w:w="919" w:type="pct"/>
            <w:shd w:val="clear" w:color="auto" w:fill="auto"/>
            <w:noWrap/>
            <w:vAlign w:val="center"/>
          </w:tcPr>
          <w:p w14:paraId="54DF658B" w14:textId="77777777" w:rsidR="00CF336B" w:rsidRPr="001B4CA2" w:rsidRDefault="00CF336B" w:rsidP="00A14600">
            <w:pPr>
              <w:jc w:val="center"/>
              <w:rPr>
                <w:rFonts w:eastAsia="Times New Roman"/>
                <w:bCs/>
                <w:sz w:val="18"/>
                <w:szCs w:val="18"/>
                <w:lang w:eastAsia="hr-HR"/>
              </w:rPr>
            </w:pPr>
            <w:r w:rsidRPr="001B4CA2">
              <w:rPr>
                <w:rFonts w:eastAsia="Times New Roman" w:cstheme="minorHAnsi"/>
                <w:bCs/>
                <w:color w:val="000000"/>
                <w:sz w:val="18"/>
                <w:szCs w:val="18"/>
                <w:lang w:eastAsia="hr-HR"/>
              </w:rPr>
              <w:t>187.753</w:t>
            </w:r>
          </w:p>
        </w:tc>
        <w:tc>
          <w:tcPr>
            <w:tcW w:w="472" w:type="pct"/>
            <w:shd w:val="clear" w:color="auto" w:fill="auto"/>
            <w:noWrap/>
            <w:vAlign w:val="center"/>
          </w:tcPr>
          <w:p w14:paraId="19475659" w14:textId="77777777" w:rsidR="00CF336B" w:rsidRPr="001B4CA2" w:rsidRDefault="00CF336B" w:rsidP="00A14600">
            <w:pPr>
              <w:jc w:val="center"/>
              <w:rPr>
                <w:bCs/>
                <w:sz w:val="18"/>
                <w:szCs w:val="18"/>
              </w:rPr>
            </w:pPr>
            <w:r w:rsidRPr="001B4CA2">
              <w:rPr>
                <w:bCs/>
                <w:sz w:val="18"/>
                <w:szCs w:val="18"/>
              </w:rPr>
              <w:t>57</w:t>
            </w:r>
          </w:p>
        </w:tc>
        <w:tc>
          <w:tcPr>
            <w:tcW w:w="744" w:type="pct"/>
            <w:vAlign w:val="center"/>
          </w:tcPr>
          <w:p w14:paraId="60C8476E" w14:textId="77777777" w:rsidR="00CF336B" w:rsidRPr="001B4CA2" w:rsidRDefault="00CF336B" w:rsidP="00A14600">
            <w:pPr>
              <w:jc w:val="center"/>
              <w:rPr>
                <w:bCs/>
                <w:sz w:val="18"/>
                <w:szCs w:val="18"/>
              </w:rPr>
            </w:pPr>
            <w:r w:rsidRPr="001B4CA2">
              <w:rPr>
                <w:bCs/>
                <w:sz w:val="18"/>
                <w:szCs w:val="18"/>
              </w:rPr>
              <w:t>21.492</w:t>
            </w:r>
          </w:p>
        </w:tc>
        <w:tc>
          <w:tcPr>
            <w:tcW w:w="546" w:type="pct"/>
            <w:shd w:val="clear" w:color="auto" w:fill="auto"/>
            <w:noWrap/>
            <w:vAlign w:val="center"/>
          </w:tcPr>
          <w:p w14:paraId="7E694284" w14:textId="77777777" w:rsidR="00CF336B" w:rsidRPr="001B4CA2" w:rsidRDefault="00CF336B" w:rsidP="00A14600">
            <w:pPr>
              <w:jc w:val="center"/>
              <w:rPr>
                <w:bCs/>
                <w:sz w:val="18"/>
                <w:szCs w:val="18"/>
              </w:rPr>
            </w:pPr>
            <w:r w:rsidRPr="001B4CA2">
              <w:rPr>
                <w:bCs/>
                <w:sz w:val="18"/>
                <w:szCs w:val="18"/>
              </w:rPr>
              <w:t>16</w:t>
            </w:r>
          </w:p>
        </w:tc>
      </w:tr>
    </w:tbl>
    <w:p w14:paraId="054FC9A2" w14:textId="77777777" w:rsidR="00CF336B" w:rsidRPr="001B4CA2" w:rsidRDefault="00CF336B" w:rsidP="00CF336B"/>
    <w:p w14:paraId="6B429758" w14:textId="77777777" w:rsidR="00031BB4" w:rsidRPr="001B4CA2" w:rsidRDefault="00CF336B" w:rsidP="00031BB4">
      <w:r w:rsidRPr="001B4CA2">
        <w:tab/>
      </w:r>
      <w:r w:rsidR="00031BB4" w:rsidRPr="001B4CA2">
        <w:t>Iz tablice je vidljivo da je broj novih predmeta u kojima se vode adhezijski postupci neznatno smanjen u odnosu na raniju godinu te je zadržana ažurnost rješavanja imovinskopravnih zahtjeva Republike Hrvatske kao oštećenika u kaznenim postupcima.</w:t>
      </w:r>
    </w:p>
    <w:p w14:paraId="74B4F284" w14:textId="77777777" w:rsidR="00031BB4" w:rsidRPr="001B4CA2" w:rsidRDefault="00031BB4" w:rsidP="00031BB4"/>
    <w:p w14:paraId="5CC8B35A" w14:textId="72B66E0A" w:rsidR="00031BB4" w:rsidRPr="001B4CA2" w:rsidRDefault="00031BB4" w:rsidP="00031BB4">
      <w:r w:rsidRPr="001B4CA2">
        <w:lastRenderedPageBreak/>
        <w:tab/>
        <w:t>Sudovi su u 2022. godini dosudili Republici Hrvatskoj 35 imovinskopravnih zahtjeva u ukupnoj vrijednosti 21.492.000,00 kn</w:t>
      </w:r>
      <w:r w:rsidR="0016095C">
        <w:t xml:space="preserve"> </w:t>
      </w:r>
      <w:r w:rsidR="00A251B2" w:rsidRPr="001B4CA2">
        <w:t>/</w:t>
      </w:r>
      <w:r w:rsidR="0016095C">
        <w:t xml:space="preserve"> </w:t>
      </w:r>
      <w:r w:rsidR="00A251B2" w:rsidRPr="001B4CA2">
        <w:t>2.852.</w:t>
      </w:r>
      <w:r w:rsidR="00C4437D">
        <w:t>478</w:t>
      </w:r>
      <w:r w:rsidR="00A251B2" w:rsidRPr="001B4CA2">
        <w:t>,</w:t>
      </w:r>
      <w:r w:rsidR="00C4437D">
        <w:t>6</w:t>
      </w:r>
      <w:r w:rsidR="00A251B2" w:rsidRPr="001B4CA2">
        <w:t>0 EUR</w:t>
      </w:r>
      <w:r w:rsidRPr="001B4CA2">
        <w:t>, dok je 57 zahtjeva upućeno u parnicu, što upućuje na trend kaznenih sudova u odnosu na prethodne godine da te zahtjeve ne rješava u kaznenom postupku.</w:t>
      </w:r>
    </w:p>
    <w:p w14:paraId="56BD189E" w14:textId="77777777" w:rsidR="00CF336B" w:rsidRPr="001B4CA2" w:rsidRDefault="00CF336B" w:rsidP="00CF336B"/>
    <w:p w14:paraId="2F664E60" w14:textId="77777777" w:rsidR="00CF336B" w:rsidRPr="001B4CA2" w:rsidRDefault="00CF336B" w:rsidP="00CF336B">
      <w:r w:rsidRPr="001B4CA2">
        <w:t>b)</w:t>
      </w:r>
      <w:r w:rsidRPr="001B4CA2">
        <w:tab/>
        <w:t>Ostali predmeti</w:t>
      </w:r>
    </w:p>
    <w:p w14:paraId="02D97EB6" w14:textId="77777777" w:rsidR="00CF336B" w:rsidRPr="001B4CA2" w:rsidRDefault="00CF336B" w:rsidP="00CF336B"/>
    <w:p w14:paraId="3A1268C1" w14:textId="3F31FA3D" w:rsidR="00CF336B" w:rsidRPr="001B4CA2" w:rsidRDefault="00031BB4" w:rsidP="00CF336B">
      <w:pPr>
        <w:ind w:left="-284" w:firstLine="142"/>
        <w:contextualSpacing/>
        <w:jc w:val="left"/>
        <w:rPr>
          <w:i/>
        </w:rPr>
      </w:pPr>
      <w:r w:rsidRPr="001B4CA2">
        <w:rPr>
          <w:i/>
        </w:rPr>
        <w:t xml:space="preserve"> </w:t>
      </w:r>
      <w:r w:rsidR="00CF336B" w:rsidRPr="001B4CA2">
        <w:rPr>
          <w:i/>
        </w:rPr>
        <w:t>Zbirna tablica – ostali predmeti, 2018. – 2022.</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07"/>
        <w:gridCol w:w="730"/>
        <w:gridCol w:w="810"/>
        <w:gridCol w:w="775"/>
        <w:gridCol w:w="810"/>
        <w:gridCol w:w="775"/>
        <w:gridCol w:w="810"/>
        <w:gridCol w:w="775"/>
        <w:gridCol w:w="810"/>
        <w:gridCol w:w="716"/>
      </w:tblGrid>
      <w:tr w:rsidR="00CF336B" w:rsidRPr="001B4CA2" w14:paraId="0999DCE0" w14:textId="77777777" w:rsidTr="00C4437D">
        <w:trPr>
          <w:trHeight w:val="355"/>
          <w:jc w:val="center"/>
        </w:trPr>
        <w:tc>
          <w:tcPr>
            <w:tcW w:w="720" w:type="pct"/>
            <w:vMerge w:val="restart"/>
            <w:shd w:val="clear" w:color="000000" w:fill="99CCFF"/>
            <w:noWrap/>
            <w:vAlign w:val="center"/>
            <w:hideMark/>
          </w:tcPr>
          <w:p w14:paraId="6F49821C"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Vrsta predmeta</w:t>
            </w:r>
          </w:p>
        </w:tc>
        <w:tc>
          <w:tcPr>
            <w:tcW w:w="797" w:type="pct"/>
            <w:gridSpan w:val="2"/>
            <w:shd w:val="clear" w:color="000000" w:fill="99CCFF"/>
            <w:noWrap/>
            <w:vAlign w:val="center"/>
            <w:hideMark/>
          </w:tcPr>
          <w:p w14:paraId="72116FBE"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2018.</w:t>
            </w:r>
          </w:p>
        </w:tc>
        <w:tc>
          <w:tcPr>
            <w:tcW w:w="879" w:type="pct"/>
            <w:gridSpan w:val="2"/>
            <w:shd w:val="clear" w:color="000000" w:fill="99CCFF"/>
            <w:noWrap/>
            <w:vAlign w:val="center"/>
            <w:hideMark/>
          </w:tcPr>
          <w:p w14:paraId="21F8CABB"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2019.</w:t>
            </w:r>
          </w:p>
        </w:tc>
        <w:tc>
          <w:tcPr>
            <w:tcW w:w="879" w:type="pct"/>
            <w:gridSpan w:val="2"/>
            <w:shd w:val="clear" w:color="000000" w:fill="99CCFF"/>
            <w:noWrap/>
            <w:vAlign w:val="center"/>
            <w:hideMark/>
          </w:tcPr>
          <w:p w14:paraId="60862167"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2020.</w:t>
            </w:r>
          </w:p>
        </w:tc>
        <w:tc>
          <w:tcPr>
            <w:tcW w:w="879" w:type="pct"/>
            <w:gridSpan w:val="2"/>
            <w:shd w:val="clear" w:color="000000" w:fill="99CCFF"/>
            <w:vAlign w:val="center"/>
            <w:hideMark/>
          </w:tcPr>
          <w:p w14:paraId="14BC5279" w14:textId="77777777" w:rsidR="00CF336B" w:rsidRPr="001B4CA2" w:rsidRDefault="00CF336B" w:rsidP="00A14600">
            <w:pPr>
              <w:jc w:val="center"/>
              <w:rPr>
                <w:rFonts w:eastAsia="Times New Roman"/>
                <w:b/>
                <w:bCs/>
                <w:sz w:val="18"/>
                <w:szCs w:val="18"/>
                <w:lang w:eastAsia="hr-HR"/>
              </w:rPr>
            </w:pPr>
            <w:r w:rsidRPr="001B4CA2">
              <w:rPr>
                <w:rFonts w:eastAsia="Times New Roman"/>
                <w:b/>
                <w:bCs/>
                <w:sz w:val="18"/>
                <w:szCs w:val="18"/>
                <w:lang w:eastAsia="hr-HR"/>
              </w:rPr>
              <w:t>2021.</w:t>
            </w:r>
          </w:p>
        </w:tc>
        <w:tc>
          <w:tcPr>
            <w:tcW w:w="847" w:type="pct"/>
            <w:gridSpan w:val="2"/>
            <w:shd w:val="clear" w:color="000000" w:fill="99CCFF"/>
            <w:vAlign w:val="center"/>
            <w:hideMark/>
          </w:tcPr>
          <w:p w14:paraId="17B4AE92" w14:textId="2ABB83FE" w:rsidR="00CF336B" w:rsidRPr="001B4CA2" w:rsidRDefault="001B4CA2" w:rsidP="00A14600">
            <w:pPr>
              <w:ind w:right="447"/>
              <w:jc w:val="center"/>
              <w:rPr>
                <w:rFonts w:eastAsia="Times New Roman"/>
                <w:b/>
                <w:bCs/>
                <w:sz w:val="18"/>
                <w:szCs w:val="18"/>
                <w:lang w:eastAsia="hr-HR"/>
              </w:rPr>
            </w:pPr>
            <w:r>
              <w:rPr>
                <w:rFonts w:eastAsia="Times New Roman"/>
                <w:b/>
                <w:bCs/>
                <w:sz w:val="18"/>
                <w:szCs w:val="18"/>
                <w:lang w:eastAsia="hr-HR"/>
              </w:rPr>
              <w:t xml:space="preserve">       </w:t>
            </w:r>
            <w:r w:rsidR="00CF336B" w:rsidRPr="001B4CA2">
              <w:rPr>
                <w:rFonts w:eastAsia="Times New Roman"/>
                <w:b/>
                <w:bCs/>
                <w:sz w:val="18"/>
                <w:szCs w:val="18"/>
                <w:lang w:eastAsia="hr-HR"/>
              </w:rPr>
              <w:t>2022.</w:t>
            </w:r>
          </w:p>
        </w:tc>
      </w:tr>
      <w:tr w:rsidR="00C4437D" w:rsidRPr="001B4CA2" w14:paraId="09C1FE04" w14:textId="77777777" w:rsidTr="00C4437D">
        <w:trPr>
          <w:cantSplit/>
          <w:trHeight w:val="1083"/>
          <w:jc w:val="center"/>
        </w:trPr>
        <w:tc>
          <w:tcPr>
            <w:tcW w:w="720" w:type="pct"/>
            <w:vMerge/>
            <w:vAlign w:val="center"/>
            <w:hideMark/>
          </w:tcPr>
          <w:p w14:paraId="6EBB3BF0" w14:textId="77777777" w:rsidR="00CF336B" w:rsidRPr="001B4CA2" w:rsidRDefault="00CF336B" w:rsidP="00A14600">
            <w:pPr>
              <w:jc w:val="left"/>
              <w:rPr>
                <w:rFonts w:eastAsia="Times New Roman"/>
                <w:b/>
                <w:bCs/>
                <w:sz w:val="18"/>
                <w:szCs w:val="18"/>
                <w:lang w:eastAsia="hr-HR"/>
              </w:rPr>
            </w:pPr>
          </w:p>
        </w:tc>
        <w:tc>
          <w:tcPr>
            <w:tcW w:w="392" w:type="pct"/>
            <w:shd w:val="clear" w:color="000000" w:fill="99CCFF"/>
            <w:noWrap/>
            <w:textDirection w:val="btLr"/>
            <w:vAlign w:val="center"/>
            <w:hideMark/>
          </w:tcPr>
          <w:p w14:paraId="1FF759BB" w14:textId="77777777" w:rsidR="00CF336B" w:rsidRPr="001B4CA2" w:rsidRDefault="00CF336B" w:rsidP="00A14600">
            <w:pPr>
              <w:ind w:left="113" w:right="113"/>
              <w:jc w:val="left"/>
              <w:rPr>
                <w:rFonts w:eastAsia="Times New Roman"/>
                <w:sz w:val="18"/>
                <w:szCs w:val="18"/>
                <w:lang w:eastAsia="hr-HR"/>
              </w:rPr>
            </w:pPr>
            <w:r w:rsidRPr="001B4CA2">
              <w:rPr>
                <w:rFonts w:eastAsia="Times New Roman"/>
                <w:sz w:val="18"/>
                <w:szCs w:val="18"/>
                <w:lang w:eastAsia="hr-HR"/>
              </w:rPr>
              <w:t>Primljeno</w:t>
            </w:r>
            <w:r w:rsidRPr="001B4CA2">
              <w:rPr>
                <w:rFonts w:eastAsia="Times New Roman"/>
                <w:b/>
                <w:bCs/>
                <w:sz w:val="18"/>
                <w:szCs w:val="18"/>
                <w:lang w:eastAsia="hr-HR"/>
              </w:rPr>
              <w:t xml:space="preserve"> </w:t>
            </w:r>
          </w:p>
        </w:tc>
        <w:tc>
          <w:tcPr>
            <w:tcW w:w="405" w:type="pct"/>
            <w:shd w:val="clear" w:color="000000" w:fill="99CCFF"/>
            <w:noWrap/>
            <w:textDirection w:val="btLr"/>
            <w:vAlign w:val="center"/>
            <w:hideMark/>
          </w:tcPr>
          <w:p w14:paraId="6F3A1201" w14:textId="77777777" w:rsidR="00CF336B" w:rsidRPr="001B4CA2" w:rsidRDefault="00CF336B" w:rsidP="00A14600">
            <w:pPr>
              <w:ind w:left="113" w:right="113"/>
              <w:jc w:val="left"/>
              <w:rPr>
                <w:rFonts w:eastAsia="Times New Roman"/>
                <w:sz w:val="18"/>
                <w:szCs w:val="18"/>
                <w:lang w:eastAsia="hr-HR"/>
              </w:rPr>
            </w:pPr>
            <w:r w:rsidRPr="001B4CA2">
              <w:rPr>
                <w:rFonts w:eastAsia="Times New Roman"/>
                <w:sz w:val="18"/>
                <w:szCs w:val="18"/>
                <w:lang w:eastAsia="hr-HR"/>
              </w:rPr>
              <w:t>Riješeno</w:t>
            </w:r>
          </w:p>
        </w:tc>
        <w:tc>
          <w:tcPr>
            <w:tcW w:w="449" w:type="pct"/>
            <w:shd w:val="clear" w:color="000000" w:fill="99CCFF"/>
            <w:noWrap/>
            <w:textDirection w:val="btLr"/>
            <w:vAlign w:val="center"/>
            <w:hideMark/>
          </w:tcPr>
          <w:p w14:paraId="21D19D9C" w14:textId="77777777" w:rsidR="00CF336B" w:rsidRPr="001B4CA2" w:rsidRDefault="00CF336B" w:rsidP="00A14600">
            <w:pPr>
              <w:ind w:left="113" w:right="113"/>
              <w:jc w:val="left"/>
              <w:rPr>
                <w:rFonts w:eastAsia="Times New Roman"/>
                <w:sz w:val="18"/>
                <w:szCs w:val="18"/>
                <w:lang w:eastAsia="hr-HR"/>
              </w:rPr>
            </w:pPr>
            <w:r w:rsidRPr="001B4CA2">
              <w:rPr>
                <w:rFonts w:eastAsia="Times New Roman"/>
                <w:sz w:val="18"/>
                <w:szCs w:val="18"/>
                <w:lang w:eastAsia="hr-HR"/>
              </w:rPr>
              <w:t xml:space="preserve">Primljeno </w:t>
            </w:r>
          </w:p>
        </w:tc>
        <w:tc>
          <w:tcPr>
            <w:tcW w:w="429" w:type="pct"/>
            <w:shd w:val="clear" w:color="000000" w:fill="99CCFF"/>
            <w:noWrap/>
            <w:textDirection w:val="btLr"/>
            <w:vAlign w:val="center"/>
            <w:hideMark/>
          </w:tcPr>
          <w:p w14:paraId="01983D39" w14:textId="77777777" w:rsidR="00CF336B" w:rsidRPr="001B4CA2" w:rsidRDefault="00CF336B" w:rsidP="00A14600">
            <w:pPr>
              <w:ind w:left="113" w:right="113"/>
              <w:jc w:val="left"/>
              <w:rPr>
                <w:rFonts w:eastAsia="Times New Roman"/>
                <w:sz w:val="18"/>
                <w:szCs w:val="18"/>
                <w:lang w:eastAsia="hr-HR"/>
              </w:rPr>
            </w:pPr>
            <w:r w:rsidRPr="001B4CA2">
              <w:rPr>
                <w:rFonts w:eastAsia="Times New Roman"/>
                <w:sz w:val="18"/>
                <w:szCs w:val="18"/>
                <w:lang w:eastAsia="hr-HR"/>
              </w:rPr>
              <w:t>Riješeno</w:t>
            </w:r>
          </w:p>
        </w:tc>
        <w:tc>
          <w:tcPr>
            <w:tcW w:w="449" w:type="pct"/>
            <w:shd w:val="clear" w:color="000000" w:fill="99CCFF"/>
            <w:noWrap/>
            <w:textDirection w:val="btLr"/>
            <w:vAlign w:val="center"/>
            <w:hideMark/>
          </w:tcPr>
          <w:p w14:paraId="48715520" w14:textId="77777777" w:rsidR="00CF336B" w:rsidRPr="001B4CA2" w:rsidRDefault="00CF336B" w:rsidP="00A14600">
            <w:pPr>
              <w:ind w:left="113" w:right="113"/>
              <w:jc w:val="left"/>
              <w:rPr>
                <w:rFonts w:eastAsia="Times New Roman"/>
                <w:sz w:val="18"/>
                <w:szCs w:val="18"/>
                <w:lang w:eastAsia="hr-HR"/>
              </w:rPr>
            </w:pPr>
            <w:r w:rsidRPr="001B4CA2">
              <w:rPr>
                <w:rFonts w:eastAsia="Times New Roman"/>
                <w:sz w:val="18"/>
                <w:szCs w:val="18"/>
                <w:lang w:eastAsia="hr-HR"/>
              </w:rPr>
              <w:t xml:space="preserve">Primljeno </w:t>
            </w:r>
          </w:p>
        </w:tc>
        <w:tc>
          <w:tcPr>
            <w:tcW w:w="429" w:type="pct"/>
            <w:shd w:val="clear" w:color="000000" w:fill="99CCFF"/>
            <w:noWrap/>
            <w:textDirection w:val="btLr"/>
            <w:vAlign w:val="center"/>
            <w:hideMark/>
          </w:tcPr>
          <w:p w14:paraId="3EDB86EA" w14:textId="77777777" w:rsidR="00CF336B" w:rsidRPr="001B4CA2" w:rsidRDefault="00CF336B" w:rsidP="00A14600">
            <w:pPr>
              <w:ind w:left="113" w:right="113"/>
              <w:jc w:val="left"/>
              <w:rPr>
                <w:rFonts w:eastAsia="Times New Roman"/>
                <w:sz w:val="18"/>
                <w:szCs w:val="18"/>
                <w:lang w:eastAsia="hr-HR"/>
              </w:rPr>
            </w:pPr>
            <w:r w:rsidRPr="001B4CA2">
              <w:rPr>
                <w:rFonts w:eastAsia="Times New Roman"/>
                <w:sz w:val="18"/>
                <w:szCs w:val="18"/>
                <w:lang w:eastAsia="hr-HR"/>
              </w:rPr>
              <w:t>Riješeno</w:t>
            </w:r>
          </w:p>
        </w:tc>
        <w:tc>
          <w:tcPr>
            <w:tcW w:w="449" w:type="pct"/>
            <w:shd w:val="clear" w:color="000000" w:fill="99CCFF"/>
            <w:textDirection w:val="btLr"/>
            <w:vAlign w:val="center"/>
            <w:hideMark/>
          </w:tcPr>
          <w:p w14:paraId="06D39F98" w14:textId="77777777" w:rsidR="00CF336B" w:rsidRPr="001B4CA2" w:rsidRDefault="00CF336B" w:rsidP="00A14600">
            <w:pPr>
              <w:ind w:left="113" w:right="113"/>
              <w:jc w:val="left"/>
              <w:rPr>
                <w:rFonts w:eastAsia="Times New Roman"/>
                <w:sz w:val="18"/>
                <w:szCs w:val="18"/>
                <w:lang w:eastAsia="hr-HR"/>
              </w:rPr>
            </w:pPr>
            <w:r w:rsidRPr="001B4CA2">
              <w:rPr>
                <w:rFonts w:eastAsia="Times New Roman"/>
                <w:sz w:val="18"/>
                <w:szCs w:val="18"/>
                <w:lang w:eastAsia="hr-HR"/>
              </w:rPr>
              <w:t xml:space="preserve">Primljeno </w:t>
            </w:r>
          </w:p>
        </w:tc>
        <w:tc>
          <w:tcPr>
            <w:tcW w:w="429" w:type="pct"/>
            <w:shd w:val="clear" w:color="000000" w:fill="99CCFF"/>
            <w:textDirection w:val="btLr"/>
            <w:vAlign w:val="center"/>
            <w:hideMark/>
          </w:tcPr>
          <w:p w14:paraId="7F9E42DC" w14:textId="77777777" w:rsidR="00CF336B" w:rsidRPr="001B4CA2" w:rsidRDefault="00CF336B" w:rsidP="00A14600">
            <w:pPr>
              <w:ind w:left="113" w:right="113"/>
              <w:jc w:val="left"/>
              <w:rPr>
                <w:rFonts w:eastAsia="Times New Roman"/>
                <w:sz w:val="18"/>
                <w:szCs w:val="18"/>
                <w:lang w:eastAsia="hr-HR"/>
              </w:rPr>
            </w:pPr>
            <w:r w:rsidRPr="001B4CA2">
              <w:rPr>
                <w:rFonts w:eastAsia="Times New Roman"/>
                <w:sz w:val="18"/>
                <w:szCs w:val="18"/>
                <w:lang w:eastAsia="hr-HR"/>
              </w:rPr>
              <w:t>Riješeno</w:t>
            </w:r>
          </w:p>
        </w:tc>
        <w:tc>
          <w:tcPr>
            <w:tcW w:w="449" w:type="pct"/>
            <w:shd w:val="clear" w:color="000000" w:fill="99CCFF"/>
            <w:textDirection w:val="btLr"/>
            <w:vAlign w:val="center"/>
            <w:hideMark/>
          </w:tcPr>
          <w:p w14:paraId="7577FE69" w14:textId="77777777" w:rsidR="00CF336B" w:rsidRPr="001B4CA2" w:rsidRDefault="00CF336B" w:rsidP="00A14600">
            <w:pPr>
              <w:ind w:left="113" w:right="113"/>
              <w:jc w:val="left"/>
              <w:rPr>
                <w:rFonts w:eastAsia="Times New Roman"/>
                <w:sz w:val="18"/>
                <w:szCs w:val="18"/>
                <w:lang w:eastAsia="hr-HR"/>
              </w:rPr>
            </w:pPr>
            <w:r w:rsidRPr="001B4CA2">
              <w:rPr>
                <w:rFonts w:eastAsia="Times New Roman"/>
                <w:sz w:val="18"/>
                <w:szCs w:val="18"/>
                <w:lang w:eastAsia="hr-HR"/>
              </w:rPr>
              <w:t xml:space="preserve">Primljeno </w:t>
            </w:r>
          </w:p>
        </w:tc>
        <w:tc>
          <w:tcPr>
            <w:tcW w:w="398" w:type="pct"/>
            <w:shd w:val="clear" w:color="000000" w:fill="99CCFF"/>
            <w:textDirection w:val="btLr"/>
            <w:vAlign w:val="center"/>
            <w:hideMark/>
          </w:tcPr>
          <w:p w14:paraId="1767F22A" w14:textId="77777777" w:rsidR="00CF336B" w:rsidRPr="001B4CA2" w:rsidRDefault="00CF336B" w:rsidP="00A14600">
            <w:pPr>
              <w:ind w:left="113" w:right="113"/>
              <w:jc w:val="left"/>
              <w:rPr>
                <w:rFonts w:eastAsia="Times New Roman"/>
                <w:sz w:val="18"/>
                <w:szCs w:val="18"/>
                <w:lang w:eastAsia="hr-HR"/>
              </w:rPr>
            </w:pPr>
            <w:r w:rsidRPr="001B4CA2">
              <w:rPr>
                <w:rFonts w:eastAsia="Times New Roman"/>
                <w:sz w:val="18"/>
                <w:szCs w:val="18"/>
                <w:lang w:eastAsia="hr-HR"/>
              </w:rPr>
              <w:t>Riješeno</w:t>
            </w:r>
          </w:p>
        </w:tc>
      </w:tr>
      <w:tr w:rsidR="00C4437D" w:rsidRPr="001B4CA2" w14:paraId="33BF6F01" w14:textId="77777777" w:rsidTr="00C4437D">
        <w:trPr>
          <w:trHeight w:val="414"/>
          <w:jc w:val="center"/>
        </w:trPr>
        <w:tc>
          <w:tcPr>
            <w:tcW w:w="720" w:type="pct"/>
            <w:shd w:val="clear" w:color="auto" w:fill="auto"/>
            <w:vAlign w:val="center"/>
            <w:hideMark/>
          </w:tcPr>
          <w:p w14:paraId="723AA13D"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Izvanparnični predmeti</w:t>
            </w:r>
          </w:p>
        </w:tc>
        <w:tc>
          <w:tcPr>
            <w:tcW w:w="392" w:type="pct"/>
            <w:shd w:val="clear" w:color="auto" w:fill="auto"/>
            <w:noWrap/>
            <w:vAlign w:val="center"/>
          </w:tcPr>
          <w:p w14:paraId="4E488D6E"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17.380</w:t>
            </w:r>
          </w:p>
        </w:tc>
        <w:tc>
          <w:tcPr>
            <w:tcW w:w="405" w:type="pct"/>
            <w:shd w:val="clear" w:color="auto" w:fill="auto"/>
            <w:noWrap/>
            <w:vAlign w:val="center"/>
          </w:tcPr>
          <w:p w14:paraId="5066A0EF"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17.403</w:t>
            </w:r>
          </w:p>
        </w:tc>
        <w:tc>
          <w:tcPr>
            <w:tcW w:w="449" w:type="pct"/>
            <w:shd w:val="clear" w:color="auto" w:fill="auto"/>
            <w:noWrap/>
            <w:vAlign w:val="center"/>
          </w:tcPr>
          <w:p w14:paraId="0C38C0DA"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15.437</w:t>
            </w:r>
          </w:p>
        </w:tc>
        <w:tc>
          <w:tcPr>
            <w:tcW w:w="429" w:type="pct"/>
            <w:shd w:val="clear" w:color="auto" w:fill="auto"/>
            <w:noWrap/>
            <w:vAlign w:val="center"/>
          </w:tcPr>
          <w:p w14:paraId="784B1E5E"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15.396</w:t>
            </w:r>
          </w:p>
        </w:tc>
        <w:tc>
          <w:tcPr>
            <w:tcW w:w="449" w:type="pct"/>
            <w:shd w:val="clear" w:color="auto" w:fill="auto"/>
            <w:noWrap/>
            <w:vAlign w:val="center"/>
          </w:tcPr>
          <w:p w14:paraId="74D8FEAC"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1.563</w:t>
            </w:r>
          </w:p>
        </w:tc>
        <w:tc>
          <w:tcPr>
            <w:tcW w:w="429" w:type="pct"/>
            <w:shd w:val="clear" w:color="auto" w:fill="auto"/>
            <w:noWrap/>
            <w:vAlign w:val="center"/>
          </w:tcPr>
          <w:p w14:paraId="43AEF682"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1.647</w:t>
            </w:r>
          </w:p>
        </w:tc>
        <w:tc>
          <w:tcPr>
            <w:tcW w:w="449" w:type="pct"/>
            <w:shd w:val="clear" w:color="auto" w:fill="auto"/>
            <w:noWrap/>
            <w:vAlign w:val="center"/>
          </w:tcPr>
          <w:p w14:paraId="2A33B3F7"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1.430</w:t>
            </w:r>
          </w:p>
        </w:tc>
        <w:tc>
          <w:tcPr>
            <w:tcW w:w="429" w:type="pct"/>
            <w:shd w:val="clear" w:color="auto" w:fill="auto"/>
            <w:noWrap/>
            <w:vAlign w:val="center"/>
          </w:tcPr>
          <w:p w14:paraId="1C8BE34C"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1.541</w:t>
            </w:r>
          </w:p>
        </w:tc>
        <w:tc>
          <w:tcPr>
            <w:tcW w:w="449" w:type="pct"/>
            <w:shd w:val="clear" w:color="auto" w:fill="auto"/>
            <w:vAlign w:val="center"/>
          </w:tcPr>
          <w:p w14:paraId="3D9BA8E9"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1.237</w:t>
            </w:r>
          </w:p>
        </w:tc>
        <w:tc>
          <w:tcPr>
            <w:tcW w:w="398" w:type="pct"/>
            <w:shd w:val="clear" w:color="auto" w:fill="auto"/>
            <w:vAlign w:val="center"/>
          </w:tcPr>
          <w:p w14:paraId="17ABC55E"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1.299</w:t>
            </w:r>
          </w:p>
        </w:tc>
      </w:tr>
      <w:tr w:rsidR="00C4437D" w:rsidRPr="001B4CA2" w14:paraId="5757EB2E" w14:textId="77777777" w:rsidTr="00C4437D">
        <w:trPr>
          <w:trHeight w:val="414"/>
          <w:jc w:val="center"/>
        </w:trPr>
        <w:tc>
          <w:tcPr>
            <w:tcW w:w="720" w:type="pct"/>
            <w:shd w:val="clear" w:color="auto" w:fill="auto"/>
            <w:vAlign w:val="center"/>
            <w:hideMark/>
          </w:tcPr>
          <w:p w14:paraId="52125A9F"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Zemljišnoknjižni predmeti</w:t>
            </w:r>
          </w:p>
        </w:tc>
        <w:tc>
          <w:tcPr>
            <w:tcW w:w="392" w:type="pct"/>
            <w:shd w:val="clear" w:color="auto" w:fill="auto"/>
            <w:noWrap/>
            <w:vAlign w:val="center"/>
          </w:tcPr>
          <w:p w14:paraId="252B56C3"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3.791</w:t>
            </w:r>
          </w:p>
        </w:tc>
        <w:tc>
          <w:tcPr>
            <w:tcW w:w="405" w:type="pct"/>
            <w:shd w:val="clear" w:color="auto" w:fill="auto"/>
            <w:noWrap/>
            <w:vAlign w:val="center"/>
          </w:tcPr>
          <w:p w14:paraId="0AAC37E2"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3.779</w:t>
            </w:r>
          </w:p>
        </w:tc>
        <w:tc>
          <w:tcPr>
            <w:tcW w:w="449" w:type="pct"/>
            <w:shd w:val="clear" w:color="auto" w:fill="auto"/>
            <w:noWrap/>
            <w:vAlign w:val="center"/>
          </w:tcPr>
          <w:p w14:paraId="0BE87FB1"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7.007</w:t>
            </w:r>
          </w:p>
        </w:tc>
        <w:tc>
          <w:tcPr>
            <w:tcW w:w="429" w:type="pct"/>
            <w:shd w:val="clear" w:color="auto" w:fill="auto"/>
            <w:noWrap/>
            <w:vAlign w:val="center"/>
          </w:tcPr>
          <w:p w14:paraId="717771AE"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6.907</w:t>
            </w:r>
          </w:p>
        </w:tc>
        <w:tc>
          <w:tcPr>
            <w:tcW w:w="449" w:type="pct"/>
            <w:shd w:val="clear" w:color="auto" w:fill="auto"/>
            <w:noWrap/>
            <w:vAlign w:val="center"/>
          </w:tcPr>
          <w:p w14:paraId="0E510BE3"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19.046</w:t>
            </w:r>
          </w:p>
        </w:tc>
        <w:tc>
          <w:tcPr>
            <w:tcW w:w="429" w:type="pct"/>
            <w:shd w:val="clear" w:color="auto" w:fill="auto"/>
            <w:noWrap/>
            <w:vAlign w:val="center"/>
          </w:tcPr>
          <w:p w14:paraId="5641B7B0"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19.516</w:t>
            </w:r>
          </w:p>
        </w:tc>
        <w:tc>
          <w:tcPr>
            <w:tcW w:w="449" w:type="pct"/>
            <w:shd w:val="clear" w:color="auto" w:fill="auto"/>
            <w:noWrap/>
            <w:vAlign w:val="center"/>
          </w:tcPr>
          <w:p w14:paraId="3230CBEE"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21.777</w:t>
            </w:r>
          </w:p>
        </w:tc>
        <w:tc>
          <w:tcPr>
            <w:tcW w:w="429" w:type="pct"/>
            <w:shd w:val="clear" w:color="auto" w:fill="auto"/>
            <w:noWrap/>
            <w:vAlign w:val="center"/>
          </w:tcPr>
          <w:p w14:paraId="150C4002"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22.137</w:t>
            </w:r>
          </w:p>
        </w:tc>
        <w:tc>
          <w:tcPr>
            <w:tcW w:w="449" w:type="pct"/>
            <w:shd w:val="clear" w:color="auto" w:fill="auto"/>
            <w:vAlign w:val="center"/>
          </w:tcPr>
          <w:p w14:paraId="12003857"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19.617</w:t>
            </w:r>
          </w:p>
        </w:tc>
        <w:tc>
          <w:tcPr>
            <w:tcW w:w="398" w:type="pct"/>
            <w:shd w:val="clear" w:color="auto" w:fill="auto"/>
            <w:vAlign w:val="center"/>
          </w:tcPr>
          <w:p w14:paraId="2D7E0A25"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19.850</w:t>
            </w:r>
          </w:p>
        </w:tc>
      </w:tr>
      <w:tr w:rsidR="00C4437D" w:rsidRPr="001B4CA2" w14:paraId="7BEFC505" w14:textId="77777777" w:rsidTr="00C4437D">
        <w:trPr>
          <w:trHeight w:val="414"/>
          <w:jc w:val="center"/>
        </w:trPr>
        <w:tc>
          <w:tcPr>
            <w:tcW w:w="720" w:type="pct"/>
            <w:shd w:val="clear" w:color="auto" w:fill="auto"/>
            <w:vAlign w:val="center"/>
            <w:hideMark/>
          </w:tcPr>
          <w:p w14:paraId="62E63753"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 xml:space="preserve">Pravna mišljenja </w:t>
            </w:r>
          </w:p>
        </w:tc>
        <w:tc>
          <w:tcPr>
            <w:tcW w:w="392" w:type="pct"/>
            <w:shd w:val="clear" w:color="auto" w:fill="auto"/>
            <w:noWrap/>
            <w:vAlign w:val="center"/>
          </w:tcPr>
          <w:p w14:paraId="34E54F68"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3.160</w:t>
            </w:r>
          </w:p>
        </w:tc>
        <w:tc>
          <w:tcPr>
            <w:tcW w:w="405" w:type="pct"/>
            <w:shd w:val="clear" w:color="auto" w:fill="auto"/>
            <w:noWrap/>
            <w:vAlign w:val="center"/>
          </w:tcPr>
          <w:p w14:paraId="5C2423F8"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3.256</w:t>
            </w:r>
          </w:p>
        </w:tc>
        <w:tc>
          <w:tcPr>
            <w:tcW w:w="449" w:type="pct"/>
            <w:shd w:val="clear" w:color="auto" w:fill="auto"/>
            <w:noWrap/>
            <w:vAlign w:val="center"/>
          </w:tcPr>
          <w:p w14:paraId="7184BD1A"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3.569</w:t>
            </w:r>
          </w:p>
        </w:tc>
        <w:tc>
          <w:tcPr>
            <w:tcW w:w="429" w:type="pct"/>
            <w:shd w:val="clear" w:color="auto" w:fill="auto"/>
            <w:noWrap/>
            <w:vAlign w:val="center"/>
          </w:tcPr>
          <w:p w14:paraId="0C5790C0"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3.625</w:t>
            </w:r>
          </w:p>
        </w:tc>
        <w:tc>
          <w:tcPr>
            <w:tcW w:w="449" w:type="pct"/>
            <w:shd w:val="clear" w:color="auto" w:fill="auto"/>
            <w:noWrap/>
            <w:vAlign w:val="center"/>
          </w:tcPr>
          <w:p w14:paraId="1658C46F"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3.635</w:t>
            </w:r>
          </w:p>
        </w:tc>
        <w:tc>
          <w:tcPr>
            <w:tcW w:w="429" w:type="pct"/>
            <w:shd w:val="clear" w:color="auto" w:fill="auto"/>
            <w:noWrap/>
            <w:vAlign w:val="center"/>
          </w:tcPr>
          <w:p w14:paraId="66749004"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3.697</w:t>
            </w:r>
          </w:p>
        </w:tc>
        <w:tc>
          <w:tcPr>
            <w:tcW w:w="449" w:type="pct"/>
            <w:shd w:val="clear" w:color="auto" w:fill="auto"/>
            <w:noWrap/>
            <w:vAlign w:val="center"/>
          </w:tcPr>
          <w:p w14:paraId="20C5E46A"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3.609</w:t>
            </w:r>
          </w:p>
        </w:tc>
        <w:tc>
          <w:tcPr>
            <w:tcW w:w="429" w:type="pct"/>
            <w:shd w:val="clear" w:color="auto" w:fill="auto"/>
            <w:noWrap/>
            <w:vAlign w:val="center"/>
          </w:tcPr>
          <w:p w14:paraId="62D86CC1"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3.643</w:t>
            </w:r>
          </w:p>
        </w:tc>
        <w:tc>
          <w:tcPr>
            <w:tcW w:w="449" w:type="pct"/>
            <w:shd w:val="clear" w:color="auto" w:fill="auto"/>
            <w:vAlign w:val="center"/>
          </w:tcPr>
          <w:p w14:paraId="23D11570"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3.680</w:t>
            </w:r>
          </w:p>
        </w:tc>
        <w:tc>
          <w:tcPr>
            <w:tcW w:w="398" w:type="pct"/>
            <w:shd w:val="clear" w:color="auto" w:fill="auto"/>
            <w:vAlign w:val="center"/>
          </w:tcPr>
          <w:p w14:paraId="27301DB1"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3.650</w:t>
            </w:r>
          </w:p>
        </w:tc>
      </w:tr>
      <w:tr w:rsidR="00C4437D" w:rsidRPr="001B4CA2" w14:paraId="116B4777" w14:textId="77777777" w:rsidTr="00C4437D">
        <w:trPr>
          <w:trHeight w:val="414"/>
          <w:jc w:val="center"/>
        </w:trPr>
        <w:tc>
          <w:tcPr>
            <w:tcW w:w="720" w:type="pct"/>
            <w:shd w:val="clear" w:color="auto" w:fill="auto"/>
            <w:vAlign w:val="center"/>
            <w:hideMark/>
          </w:tcPr>
          <w:p w14:paraId="38665A16" w14:textId="77777777" w:rsidR="00CF336B" w:rsidRPr="001B4CA2" w:rsidRDefault="00CF336B" w:rsidP="00A14600">
            <w:pPr>
              <w:jc w:val="left"/>
              <w:rPr>
                <w:rFonts w:eastAsia="Times New Roman"/>
                <w:sz w:val="18"/>
                <w:szCs w:val="18"/>
                <w:lang w:eastAsia="hr-HR"/>
              </w:rPr>
            </w:pPr>
            <w:r w:rsidRPr="001B4CA2">
              <w:rPr>
                <w:rFonts w:eastAsia="Times New Roman"/>
                <w:sz w:val="18"/>
                <w:szCs w:val="18"/>
                <w:lang w:eastAsia="hr-HR"/>
              </w:rPr>
              <w:t xml:space="preserve">Razno </w:t>
            </w:r>
          </w:p>
        </w:tc>
        <w:tc>
          <w:tcPr>
            <w:tcW w:w="392" w:type="pct"/>
            <w:shd w:val="clear" w:color="auto" w:fill="auto"/>
            <w:noWrap/>
            <w:vAlign w:val="center"/>
          </w:tcPr>
          <w:p w14:paraId="499ACED7"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7.743</w:t>
            </w:r>
          </w:p>
        </w:tc>
        <w:tc>
          <w:tcPr>
            <w:tcW w:w="405" w:type="pct"/>
            <w:shd w:val="clear" w:color="auto" w:fill="auto"/>
            <w:noWrap/>
            <w:vAlign w:val="center"/>
          </w:tcPr>
          <w:p w14:paraId="52FDE792"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7.824</w:t>
            </w:r>
          </w:p>
        </w:tc>
        <w:tc>
          <w:tcPr>
            <w:tcW w:w="449" w:type="pct"/>
            <w:shd w:val="clear" w:color="auto" w:fill="auto"/>
            <w:noWrap/>
            <w:vAlign w:val="center"/>
          </w:tcPr>
          <w:p w14:paraId="71A9A13B"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7.418</w:t>
            </w:r>
          </w:p>
        </w:tc>
        <w:tc>
          <w:tcPr>
            <w:tcW w:w="429" w:type="pct"/>
            <w:shd w:val="clear" w:color="auto" w:fill="auto"/>
            <w:noWrap/>
            <w:vAlign w:val="center"/>
          </w:tcPr>
          <w:p w14:paraId="139B426E" w14:textId="77777777" w:rsidR="00CF336B" w:rsidRPr="00C4437D" w:rsidRDefault="00CF336B" w:rsidP="00A14600">
            <w:pPr>
              <w:jc w:val="center"/>
              <w:rPr>
                <w:rFonts w:eastAsia="Times New Roman"/>
                <w:sz w:val="16"/>
                <w:szCs w:val="16"/>
                <w:lang w:eastAsia="hr-HR"/>
              </w:rPr>
            </w:pPr>
            <w:r w:rsidRPr="00C4437D">
              <w:rPr>
                <w:rFonts w:eastAsia="Times New Roman"/>
                <w:color w:val="000000"/>
                <w:sz w:val="16"/>
                <w:szCs w:val="16"/>
                <w:lang w:eastAsia="hr-HR"/>
              </w:rPr>
              <w:t>7.745</w:t>
            </w:r>
          </w:p>
        </w:tc>
        <w:tc>
          <w:tcPr>
            <w:tcW w:w="449" w:type="pct"/>
            <w:shd w:val="clear" w:color="auto" w:fill="auto"/>
            <w:noWrap/>
            <w:vAlign w:val="center"/>
          </w:tcPr>
          <w:p w14:paraId="46504250"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6.482</w:t>
            </w:r>
          </w:p>
        </w:tc>
        <w:tc>
          <w:tcPr>
            <w:tcW w:w="429" w:type="pct"/>
            <w:shd w:val="clear" w:color="auto" w:fill="auto"/>
            <w:noWrap/>
            <w:vAlign w:val="center"/>
          </w:tcPr>
          <w:p w14:paraId="100CD46D"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6.562</w:t>
            </w:r>
          </w:p>
        </w:tc>
        <w:tc>
          <w:tcPr>
            <w:tcW w:w="449" w:type="pct"/>
            <w:shd w:val="clear" w:color="auto" w:fill="auto"/>
            <w:noWrap/>
            <w:vAlign w:val="center"/>
          </w:tcPr>
          <w:p w14:paraId="573E1983"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6.802</w:t>
            </w:r>
          </w:p>
        </w:tc>
        <w:tc>
          <w:tcPr>
            <w:tcW w:w="429" w:type="pct"/>
            <w:shd w:val="clear" w:color="auto" w:fill="auto"/>
            <w:noWrap/>
            <w:vAlign w:val="center"/>
          </w:tcPr>
          <w:p w14:paraId="04658E1C"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7.068</w:t>
            </w:r>
          </w:p>
        </w:tc>
        <w:tc>
          <w:tcPr>
            <w:tcW w:w="449" w:type="pct"/>
            <w:shd w:val="clear" w:color="auto" w:fill="auto"/>
            <w:vAlign w:val="center"/>
          </w:tcPr>
          <w:p w14:paraId="470981A4"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5.757</w:t>
            </w:r>
          </w:p>
        </w:tc>
        <w:tc>
          <w:tcPr>
            <w:tcW w:w="398" w:type="pct"/>
            <w:shd w:val="clear" w:color="auto" w:fill="auto"/>
            <w:vAlign w:val="center"/>
          </w:tcPr>
          <w:p w14:paraId="52BF56A1" w14:textId="77777777" w:rsidR="00CF336B" w:rsidRPr="00C4437D" w:rsidRDefault="00CF336B" w:rsidP="00A14600">
            <w:pPr>
              <w:jc w:val="center"/>
              <w:rPr>
                <w:rFonts w:eastAsia="Times New Roman"/>
                <w:sz w:val="16"/>
                <w:szCs w:val="16"/>
                <w:lang w:eastAsia="hr-HR"/>
              </w:rPr>
            </w:pPr>
            <w:r w:rsidRPr="00C4437D">
              <w:rPr>
                <w:rFonts w:eastAsia="Times New Roman" w:cstheme="minorHAnsi"/>
                <w:color w:val="000000"/>
                <w:sz w:val="16"/>
                <w:szCs w:val="16"/>
                <w:lang w:eastAsia="hr-HR"/>
              </w:rPr>
              <w:t>5.845</w:t>
            </w:r>
          </w:p>
        </w:tc>
      </w:tr>
    </w:tbl>
    <w:p w14:paraId="59D558BD" w14:textId="77777777" w:rsidR="00CF336B" w:rsidRPr="001B4CA2" w:rsidRDefault="00CF336B" w:rsidP="00CF336B"/>
    <w:p w14:paraId="331E1C15" w14:textId="77777777" w:rsidR="00031BB4" w:rsidRPr="001B4CA2" w:rsidRDefault="00031BB4" w:rsidP="00031BB4">
      <w:pPr>
        <w:ind w:firstLine="708"/>
      </w:pPr>
      <w:r w:rsidRPr="001B4CA2">
        <w:t>Gornja zbirna tablica prikazuje kretanje izvanparničnih i zemljišnoknjižnih predmeta kao i predmeta davanja pravnih mišljenja koja državno odvjetništvo daje po općim i posebnim propisima, o čemu će biti više riječi u dijelu izvještaja 13.2.</w:t>
      </w:r>
    </w:p>
    <w:p w14:paraId="25282494" w14:textId="77777777" w:rsidR="00031BB4" w:rsidRPr="001B4CA2" w:rsidRDefault="00031BB4" w:rsidP="00031BB4"/>
    <w:p w14:paraId="100FF82B" w14:textId="4E58F95D" w:rsidR="00031BB4" w:rsidRPr="001B4CA2" w:rsidRDefault="00031BB4" w:rsidP="00031BB4">
      <w:pPr>
        <w:ind w:firstLine="708"/>
      </w:pPr>
      <w:r w:rsidRPr="001B4CA2">
        <w:t xml:space="preserve">U izvještajnoj godini primljeno je 1.237 izvanparničnih predmeta i 19.617 zemljišnoknjižnih predmeta koji se u ovom izvještajnom razdoblju iskazuju kao zasebna kategorija predmeta. U 2022. godini primljen je ukupno 30.291 predmet, a riješena </w:t>
      </w:r>
      <w:r w:rsidR="0016095C">
        <w:t xml:space="preserve">su </w:t>
      </w:r>
      <w:r w:rsidRPr="001B4CA2">
        <w:t>ukupno 30.644 predmeta, iz čega je vidljivo da je ažurnost državnih odvjetništava na visokih 101</w:t>
      </w:r>
      <w:r w:rsidR="0016095C">
        <w:t> </w:t>
      </w:r>
      <w:r w:rsidRPr="001B4CA2">
        <w:t>%, što pokazuje da nemaju zaostatke u radu.</w:t>
      </w:r>
    </w:p>
    <w:p w14:paraId="4FB03827" w14:textId="77777777" w:rsidR="00031BB4" w:rsidRPr="001B4CA2" w:rsidRDefault="00031BB4" w:rsidP="00031BB4"/>
    <w:p w14:paraId="3667024A" w14:textId="73978BBA" w:rsidR="00031BB4" w:rsidRPr="001B4CA2" w:rsidRDefault="00031BB4" w:rsidP="00031BB4">
      <w:pPr>
        <w:ind w:firstLine="708"/>
      </w:pPr>
      <w:r w:rsidRPr="001B4CA2">
        <w:t>U izvještajnoj godini riješeno je 19.850 zemljišnoknjižnih predmeta, što čini ažurnost od 101</w:t>
      </w:r>
      <w:r w:rsidR="0016095C">
        <w:t> </w:t>
      </w:r>
      <w:r w:rsidRPr="001B4CA2">
        <w:t>%, a ti se postupci odnose na postupke povezivanja zemljišnih knjiga i knjiga položenih ugovora, obnove zemljišnoknjižnih uložaka, pojedinačne ispravne postupke, upise i brisanje založnog prava, uknjižbu javnih dobara, upise pomorskog dobra i uknjižbe nekretnina u vlasništvu Republike Hrvatske.</w:t>
      </w:r>
    </w:p>
    <w:p w14:paraId="28CFADB9" w14:textId="77777777" w:rsidR="00031BB4" w:rsidRPr="001B4CA2" w:rsidRDefault="00031BB4" w:rsidP="00031BB4"/>
    <w:p w14:paraId="424847B5" w14:textId="2894F48F" w:rsidR="00031BB4" w:rsidRPr="001B4CA2" w:rsidRDefault="00031BB4" w:rsidP="00031BB4">
      <w:pPr>
        <w:ind w:firstLine="708"/>
      </w:pPr>
      <w:r w:rsidRPr="001B4CA2">
        <w:t>Također, u 2022. godini dano je 3.650 pravnih mišljenja (što čini ažurnost od 99</w:t>
      </w:r>
      <w:r w:rsidR="0016095C">
        <w:t> </w:t>
      </w:r>
      <w:r w:rsidRPr="001B4CA2">
        <w:t>%), 1.299 izvanparničnih predmeta (što čini ažurnost od 105</w:t>
      </w:r>
      <w:r w:rsidR="0016095C">
        <w:t> </w:t>
      </w:r>
      <w:r w:rsidRPr="001B4CA2">
        <w:t>%) te 5.845 predmeta u kategoriji razno (što čini ažurnost od 101</w:t>
      </w:r>
      <w:r w:rsidR="0016095C">
        <w:t> </w:t>
      </w:r>
      <w:r w:rsidRPr="001B4CA2">
        <w:t>%).</w:t>
      </w:r>
    </w:p>
    <w:p w14:paraId="3CDEB890" w14:textId="77777777" w:rsidR="00C13E4F" w:rsidRPr="001B4CA2" w:rsidRDefault="00C13E4F" w:rsidP="00E35777"/>
    <w:p w14:paraId="7FB041F6" w14:textId="7637A226" w:rsidR="00B6436F" w:rsidRPr="001B4CA2" w:rsidRDefault="00B6436F">
      <w:pPr>
        <w:spacing w:after="200" w:line="276" w:lineRule="auto"/>
        <w:jc w:val="left"/>
      </w:pPr>
      <w:r w:rsidRPr="001B4CA2">
        <w:br w:type="page"/>
      </w:r>
    </w:p>
    <w:p w14:paraId="55A880AF" w14:textId="1B935409" w:rsidR="00BB4D48" w:rsidRPr="001B4CA2" w:rsidRDefault="00BB4D48" w:rsidP="00415CC9">
      <w:pPr>
        <w:pStyle w:val="Naslov2"/>
        <w:rPr>
          <w:rFonts w:ascii="Arial" w:hAnsi="Arial" w:cs="Arial"/>
        </w:rPr>
      </w:pPr>
      <w:bookmarkStart w:id="49" w:name="_Toc133394309"/>
      <w:r w:rsidRPr="001B4CA2">
        <w:rPr>
          <w:rFonts w:ascii="Arial" w:hAnsi="Arial" w:cs="Arial"/>
        </w:rPr>
        <w:lastRenderedPageBreak/>
        <w:t xml:space="preserve">Prikaz </w:t>
      </w:r>
      <w:r w:rsidR="007B4E2F" w:rsidRPr="001B4CA2">
        <w:rPr>
          <w:rFonts w:ascii="Arial" w:hAnsi="Arial" w:cs="Arial"/>
        </w:rPr>
        <w:t xml:space="preserve">rada i </w:t>
      </w:r>
      <w:r w:rsidRPr="001B4CA2">
        <w:rPr>
          <w:rFonts w:ascii="Arial" w:hAnsi="Arial" w:cs="Arial"/>
        </w:rPr>
        <w:t>odluka općinskih državnih odvjetništava</w:t>
      </w:r>
      <w:bookmarkEnd w:id="49"/>
    </w:p>
    <w:p w14:paraId="46AE07FB" w14:textId="77777777" w:rsidR="00721A07" w:rsidRPr="001B4CA2" w:rsidRDefault="00721A07" w:rsidP="00415CC9"/>
    <w:p w14:paraId="3C5DA6BF" w14:textId="77777777" w:rsidR="00BB4D48" w:rsidRPr="001B4CA2" w:rsidRDefault="00BB4D48" w:rsidP="00415CC9">
      <w:pPr>
        <w:pStyle w:val="Naslov3"/>
        <w:rPr>
          <w:rFonts w:ascii="Arial" w:hAnsi="Arial" w:cs="Arial"/>
        </w:rPr>
      </w:pPr>
      <w:bookmarkStart w:id="50" w:name="_Toc133394310"/>
      <w:r w:rsidRPr="001B4CA2">
        <w:rPr>
          <w:rFonts w:ascii="Arial" w:hAnsi="Arial" w:cs="Arial"/>
        </w:rPr>
        <w:t>Prikaz rada i odluka u kazn</w:t>
      </w:r>
      <w:r w:rsidR="00CE234E" w:rsidRPr="001B4CA2">
        <w:rPr>
          <w:rFonts w:ascii="Arial" w:hAnsi="Arial" w:cs="Arial"/>
        </w:rPr>
        <w:t>enim i prekršajnim predmetima</w:t>
      </w:r>
      <w:bookmarkEnd w:id="50"/>
    </w:p>
    <w:p w14:paraId="56565388" w14:textId="77777777" w:rsidR="00B223DB" w:rsidRPr="001B4CA2" w:rsidRDefault="00B223DB" w:rsidP="004858A0">
      <w:pPr>
        <w:ind w:left="-142"/>
      </w:pPr>
    </w:p>
    <w:p w14:paraId="70A9D543" w14:textId="73B4276A" w:rsidR="004858A0" w:rsidRPr="001B4CA2" w:rsidRDefault="004858A0" w:rsidP="004567FB">
      <w:pPr>
        <w:ind w:left="-142"/>
        <w:rPr>
          <w:i/>
        </w:rPr>
      </w:pPr>
      <w:r w:rsidRPr="001B4CA2">
        <w:rPr>
          <w:i/>
        </w:rPr>
        <w:t>Struktura prijavljenih</w:t>
      </w:r>
      <w:r w:rsidR="00365407">
        <w:rPr>
          <w:i/>
        </w:rPr>
        <w:t xml:space="preserve"> poznatih</w:t>
      </w:r>
      <w:r w:rsidRPr="001B4CA2">
        <w:rPr>
          <w:i/>
        </w:rPr>
        <w:t xml:space="preserve"> osoba</w:t>
      </w:r>
    </w:p>
    <w:tbl>
      <w:tblPr>
        <w:tblW w:w="5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1"/>
        <w:gridCol w:w="1070"/>
        <w:gridCol w:w="698"/>
        <w:gridCol w:w="1070"/>
        <w:gridCol w:w="698"/>
        <w:gridCol w:w="1070"/>
        <w:gridCol w:w="698"/>
        <w:gridCol w:w="1070"/>
        <w:gridCol w:w="698"/>
        <w:gridCol w:w="989"/>
        <w:gridCol w:w="620"/>
      </w:tblGrid>
      <w:tr w:rsidR="00532C41" w:rsidRPr="001B4CA2" w14:paraId="367CABAA" w14:textId="77777777" w:rsidTr="00C918AA">
        <w:trPr>
          <w:trHeight w:val="285"/>
          <w:jc w:val="center"/>
        </w:trPr>
        <w:tc>
          <w:tcPr>
            <w:tcW w:w="403" w:type="pct"/>
            <w:vMerge w:val="restart"/>
            <w:shd w:val="clear" w:color="auto" w:fill="99CCFF"/>
            <w:tcMar>
              <w:top w:w="0" w:type="dxa"/>
              <w:left w:w="45" w:type="dxa"/>
              <w:bottom w:w="0" w:type="dxa"/>
              <w:right w:w="45" w:type="dxa"/>
            </w:tcMar>
            <w:vAlign w:val="center"/>
            <w:hideMark/>
          </w:tcPr>
          <w:p w14:paraId="3E6763C0" w14:textId="77777777" w:rsidR="004858A0" w:rsidRPr="001D4F0F" w:rsidRDefault="004858A0" w:rsidP="00B333BA">
            <w:pPr>
              <w:jc w:val="center"/>
              <w:rPr>
                <w:rFonts w:eastAsia="Calibri"/>
                <w:sz w:val="16"/>
                <w:szCs w:val="16"/>
              </w:rPr>
            </w:pPr>
            <w:r w:rsidRPr="001D4F0F">
              <w:rPr>
                <w:rFonts w:eastAsia="Calibri"/>
                <w:sz w:val="16"/>
                <w:szCs w:val="16"/>
              </w:rPr>
              <w:t>Prijavljene osobe</w:t>
            </w:r>
          </w:p>
        </w:tc>
        <w:tc>
          <w:tcPr>
            <w:tcW w:w="936" w:type="pct"/>
            <w:gridSpan w:val="2"/>
            <w:shd w:val="clear" w:color="auto" w:fill="99CCFF"/>
            <w:tcMar>
              <w:top w:w="0" w:type="dxa"/>
              <w:left w:w="45" w:type="dxa"/>
              <w:bottom w:w="0" w:type="dxa"/>
              <w:right w:w="45" w:type="dxa"/>
            </w:tcMar>
            <w:vAlign w:val="center"/>
            <w:hideMark/>
          </w:tcPr>
          <w:p w14:paraId="1F6A92B2" w14:textId="275974AD" w:rsidR="004858A0" w:rsidRPr="001D4F0F" w:rsidRDefault="00EF47CC" w:rsidP="00EF47CC">
            <w:pPr>
              <w:jc w:val="center"/>
              <w:rPr>
                <w:rFonts w:eastAsia="Calibri"/>
                <w:b/>
                <w:bCs/>
                <w:sz w:val="16"/>
                <w:szCs w:val="16"/>
              </w:rPr>
            </w:pPr>
            <w:r w:rsidRPr="001D4F0F">
              <w:rPr>
                <w:rFonts w:eastAsia="Calibri"/>
                <w:b/>
                <w:bCs/>
                <w:sz w:val="16"/>
                <w:szCs w:val="16"/>
              </w:rPr>
              <w:t>201</w:t>
            </w:r>
            <w:r w:rsidR="004C7D50" w:rsidRPr="001D4F0F">
              <w:rPr>
                <w:rFonts w:eastAsia="Calibri"/>
                <w:b/>
                <w:bCs/>
                <w:sz w:val="16"/>
                <w:szCs w:val="16"/>
              </w:rPr>
              <w:t>8</w:t>
            </w:r>
            <w:r w:rsidRPr="001D4F0F">
              <w:rPr>
                <w:rFonts w:eastAsia="Calibri"/>
                <w:b/>
                <w:bCs/>
                <w:sz w:val="16"/>
                <w:szCs w:val="16"/>
              </w:rPr>
              <w:t>.</w:t>
            </w:r>
          </w:p>
        </w:tc>
        <w:tc>
          <w:tcPr>
            <w:tcW w:w="936" w:type="pct"/>
            <w:gridSpan w:val="2"/>
            <w:shd w:val="clear" w:color="auto" w:fill="99CCFF"/>
            <w:tcMar>
              <w:top w:w="0" w:type="dxa"/>
              <w:left w:w="45" w:type="dxa"/>
              <w:bottom w:w="0" w:type="dxa"/>
              <w:right w:w="45" w:type="dxa"/>
            </w:tcMar>
            <w:vAlign w:val="center"/>
            <w:hideMark/>
          </w:tcPr>
          <w:p w14:paraId="568A7740" w14:textId="327ED645" w:rsidR="004858A0" w:rsidRPr="001D4F0F" w:rsidRDefault="00EF47CC" w:rsidP="00EF47CC">
            <w:pPr>
              <w:jc w:val="center"/>
              <w:rPr>
                <w:rFonts w:eastAsia="Calibri"/>
                <w:b/>
                <w:bCs/>
                <w:sz w:val="16"/>
                <w:szCs w:val="16"/>
              </w:rPr>
            </w:pPr>
            <w:r w:rsidRPr="001D4F0F">
              <w:rPr>
                <w:rFonts w:eastAsia="Calibri"/>
                <w:b/>
                <w:bCs/>
                <w:sz w:val="16"/>
                <w:szCs w:val="16"/>
              </w:rPr>
              <w:t>201</w:t>
            </w:r>
            <w:r w:rsidR="004C7D50" w:rsidRPr="001D4F0F">
              <w:rPr>
                <w:rFonts w:eastAsia="Calibri"/>
                <w:b/>
                <w:bCs/>
                <w:sz w:val="16"/>
                <w:szCs w:val="16"/>
              </w:rPr>
              <w:t>9</w:t>
            </w:r>
            <w:r w:rsidR="004858A0" w:rsidRPr="001D4F0F">
              <w:rPr>
                <w:rFonts w:eastAsia="Calibri"/>
                <w:b/>
                <w:bCs/>
                <w:sz w:val="16"/>
                <w:szCs w:val="16"/>
              </w:rPr>
              <w:t>.</w:t>
            </w:r>
          </w:p>
        </w:tc>
        <w:tc>
          <w:tcPr>
            <w:tcW w:w="936" w:type="pct"/>
            <w:gridSpan w:val="2"/>
            <w:shd w:val="clear" w:color="auto" w:fill="99CCFF"/>
            <w:tcMar>
              <w:top w:w="0" w:type="dxa"/>
              <w:left w:w="45" w:type="dxa"/>
              <w:bottom w:w="0" w:type="dxa"/>
              <w:right w:w="45" w:type="dxa"/>
            </w:tcMar>
            <w:vAlign w:val="center"/>
            <w:hideMark/>
          </w:tcPr>
          <w:p w14:paraId="190DC21F" w14:textId="34B96F04" w:rsidR="004858A0" w:rsidRPr="001D4F0F" w:rsidRDefault="004858A0" w:rsidP="00EF47CC">
            <w:pPr>
              <w:jc w:val="center"/>
              <w:rPr>
                <w:rFonts w:eastAsia="Calibri"/>
                <w:b/>
                <w:bCs/>
                <w:sz w:val="16"/>
                <w:szCs w:val="16"/>
              </w:rPr>
            </w:pPr>
            <w:r w:rsidRPr="001D4F0F">
              <w:rPr>
                <w:rFonts w:eastAsia="Calibri"/>
                <w:b/>
                <w:bCs/>
                <w:sz w:val="16"/>
                <w:szCs w:val="16"/>
              </w:rPr>
              <w:t>20</w:t>
            </w:r>
            <w:r w:rsidR="004C7D50" w:rsidRPr="001D4F0F">
              <w:rPr>
                <w:rFonts w:eastAsia="Calibri"/>
                <w:b/>
                <w:bCs/>
                <w:sz w:val="16"/>
                <w:szCs w:val="16"/>
              </w:rPr>
              <w:t>20</w:t>
            </w:r>
            <w:r w:rsidRPr="001D4F0F">
              <w:rPr>
                <w:rFonts w:eastAsia="Calibri"/>
                <w:b/>
                <w:bCs/>
                <w:sz w:val="16"/>
                <w:szCs w:val="16"/>
              </w:rPr>
              <w:t>.</w:t>
            </w:r>
          </w:p>
        </w:tc>
        <w:tc>
          <w:tcPr>
            <w:tcW w:w="936" w:type="pct"/>
            <w:gridSpan w:val="2"/>
            <w:shd w:val="clear" w:color="auto" w:fill="99CCFF"/>
            <w:tcMar>
              <w:top w:w="0" w:type="dxa"/>
              <w:left w:w="45" w:type="dxa"/>
              <w:bottom w:w="0" w:type="dxa"/>
              <w:right w:w="45" w:type="dxa"/>
            </w:tcMar>
            <w:vAlign w:val="center"/>
            <w:hideMark/>
          </w:tcPr>
          <w:p w14:paraId="3FDCDA01" w14:textId="0C27B675" w:rsidR="004858A0" w:rsidRPr="001D4F0F" w:rsidRDefault="00EF47CC" w:rsidP="00EF47CC">
            <w:pPr>
              <w:jc w:val="center"/>
              <w:rPr>
                <w:rFonts w:eastAsia="Calibri"/>
                <w:b/>
                <w:bCs/>
                <w:sz w:val="16"/>
                <w:szCs w:val="16"/>
              </w:rPr>
            </w:pPr>
            <w:r w:rsidRPr="001D4F0F">
              <w:rPr>
                <w:rFonts w:eastAsia="Calibri"/>
                <w:b/>
                <w:bCs/>
                <w:sz w:val="16"/>
                <w:szCs w:val="16"/>
              </w:rPr>
              <w:t>202</w:t>
            </w:r>
            <w:r w:rsidR="004C7D50" w:rsidRPr="001D4F0F">
              <w:rPr>
                <w:rFonts w:eastAsia="Calibri"/>
                <w:b/>
                <w:bCs/>
                <w:sz w:val="16"/>
                <w:szCs w:val="16"/>
              </w:rPr>
              <w:t>1</w:t>
            </w:r>
            <w:r w:rsidR="004858A0" w:rsidRPr="001D4F0F">
              <w:rPr>
                <w:rFonts w:eastAsia="Calibri"/>
                <w:b/>
                <w:bCs/>
                <w:sz w:val="16"/>
                <w:szCs w:val="16"/>
              </w:rPr>
              <w:t>.</w:t>
            </w:r>
          </w:p>
        </w:tc>
        <w:tc>
          <w:tcPr>
            <w:tcW w:w="852" w:type="pct"/>
            <w:gridSpan w:val="2"/>
            <w:shd w:val="clear" w:color="auto" w:fill="99CCFF"/>
            <w:vAlign w:val="center"/>
          </w:tcPr>
          <w:p w14:paraId="16A441CA" w14:textId="16485D35" w:rsidR="004858A0" w:rsidRPr="001D4F0F" w:rsidRDefault="00EF47CC" w:rsidP="00EF47CC">
            <w:pPr>
              <w:jc w:val="center"/>
              <w:rPr>
                <w:rFonts w:eastAsia="Calibri"/>
                <w:b/>
                <w:bCs/>
                <w:sz w:val="16"/>
                <w:szCs w:val="16"/>
              </w:rPr>
            </w:pPr>
            <w:r w:rsidRPr="001D4F0F">
              <w:rPr>
                <w:rFonts w:eastAsia="Calibri"/>
                <w:b/>
                <w:bCs/>
                <w:sz w:val="16"/>
                <w:szCs w:val="16"/>
              </w:rPr>
              <w:t>202</w:t>
            </w:r>
            <w:r w:rsidR="004C7D50" w:rsidRPr="001D4F0F">
              <w:rPr>
                <w:rFonts w:eastAsia="Calibri"/>
                <w:b/>
                <w:bCs/>
                <w:sz w:val="16"/>
                <w:szCs w:val="16"/>
              </w:rPr>
              <w:t>2</w:t>
            </w:r>
            <w:r w:rsidR="004858A0" w:rsidRPr="001D4F0F">
              <w:rPr>
                <w:rFonts w:eastAsia="Calibri"/>
                <w:b/>
                <w:bCs/>
                <w:sz w:val="16"/>
                <w:szCs w:val="16"/>
              </w:rPr>
              <w:t>.</w:t>
            </w:r>
          </w:p>
        </w:tc>
      </w:tr>
      <w:tr w:rsidR="00532C41" w:rsidRPr="001B4CA2" w14:paraId="1719DEB9" w14:textId="77777777" w:rsidTr="00C918AA">
        <w:trPr>
          <w:trHeight w:val="285"/>
          <w:jc w:val="center"/>
        </w:trPr>
        <w:tc>
          <w:tcPr>
            <w:tcW w:w="403" w:type="pct"/>
            <w:vMerge/>
            <w:shd w:val="clear" w:color="auto" w:fill="99CCFF"/>
            <w:vAlign w:val="center"/>
            <w:hideMark/>
          </w:tcPr>
          <w:p w14:paraId="67D264F5" w14:textId="77777777" w:rsidR="004858A0" w:rsidRPr="001D4F0F" w:rsidRDefault="004858A0" w:rsidP="00B333BA">
            <w:pPr>
              <w:jc w:val="center"/>
              <w:rPr>
                <w:rFonts w:eastAsia="Calibri"/>
                <w:sz w:val="16"/>
                <w:szCs w:val="16"/>
              </w:rPr>
            </w:pPr>
          </w:p>
        </w:tc>
        <w:tc>
          <w:tcPr>
            <w:tcW w:w="565" w:type="pct"/>
            <w:shd w:val="clear" w:color="auto" w:fill="99CCFF"/>
            <w:tcMar>
              <w:top w:w="0" w:type="dxa"/>
              <w:left w:w="45" w:type="dxa"/>
              <w:bottom w:w="0" w:type="dxa"/>
              <w:right w:w="45" w:type="dxa"/>
            </w:tcMar>
            <w:vAlign w:val="center"/>
            <w:hideMark/>
          </w:tcPr>
          <w:p w14:paraId="0D7800CB" w14:textId="77777777" w:rsidR="004858A0" w:rsidRPr="001D4F0F" w:rsidRDefault="004858A0" w:rsidP="00B333BA">
            <w:pPr>
              <w:jc w:val="center"/>
              <w:rPr>
                <w:rFonts w:eastAsia="Calibri"/>
                <w:sz w:val="16"/>
                <w:szCs w:val="16"/>
              </w:rPr>
            </w:pPr>
            <w:r w:rsidRPr="001D4F0F">
              <w:rPr>
                <w:rFonts w:eastAsia="Calibri"/>
                <w:sz w:val="16"/>
                <w:szCs w:val="16"/>
              </w:rPr>
              <w:t>Prijavljeno u izvještajnom razdoblju</w:t>
            </w:r>
          </w:p>
        </w:tc>
        <w:tc>
          <w:tcPr>
            <w:tcW w:w="371" w:type="pct"/>
            <w:shd w:val="clear" w:color="auto" w:fill="99CCFF"/>
            <w:tcMar>
              <w:top w:w="0" w:type="dxa"/>
              <w:left w:w="45" w:type="dxa"/>
              <w:bottom w:w="0" w:type="dxa"/>
              <w:right w:w="45" w:type="dxa"/>
            </w:tcMar>
            <w:vAlign w:val="center"/>
            <w:hideMark/>
          </w:tcPr>
          <w:p w14:paraId="4FC333E7" w14:textId="77777777" w:rsidR="004858A0" w:rsidRPr="001D4F0F" w:rsidRDefault="004858A0" w:rsidP="00B333BA">
            <w:pPr>
              <w:jc w:val="center"/>
              <w:rPr>
                <w:rFonts w:eastAsia="Calibri"/>
                <w:sz w:val="16"/>
                <w:szCs w:val="16"/>
              </w:rPr>
            </w:pPr>
            <w:r w:rsidRPr="001D4F0F">
              <w:rPr>
                <w:rFonts w:eastAsia="Calibri"/>
                <w:sz w:val="16"/>
                <w:szCs w:val="16"/>
              </w:rPr>
              <w:t>Ukupno u radu</w:t>
            </w:r>
          </w:p>
        </w:tc>
        <w:tc>
          <w:tcPr>
            <w:tcW w:w="565" w:type="pct"/>
            <w:shd w:val="clear" w:color="auto" w:fill="99CCFF"/>
            <w:tcMar>
              <w:top w:w="0" w:type="dxa"/>
              <w:left w:w="45" w:type="dxa"/>
              <w:bottom w:w="0" w:type="dxa"/>
              <w:right w:w="45" w:type="dxa"/>
            </w:tcMar>
            <w:vAlign w:val="center"/>
            <w:hideMark/>
          </w:tcPr>
          <w:p w14:paraId="0EAAFBB0" w14:textId="77777777" w:rsidR="004858A0" w:rsidRPr="001D4F0F" w:rsidRDefault="004858A0" w:rsidP="00B333BA">
            <w:pPr>
              <w:jc w:val="center"/>
              <w:rPr>
                <w:rFonts w:eastAsia="Calibri"/>
                <w:sz w:val="16"/>
                <w:szCs w:val="16"/>
              </w:rPr>
            </w:pPr>
            <w:r w:rsidRPr="001D4F0F">
              <w:rPr>
                <w:rFonts w:eastAsia="Calibri"/>
                <w:sz w:val="16"/>
                <w:szCs w:val="16"/>
              </w:rPr>
              <w:t>Prijavljeno u izvještajnom razdoblju</w:t>
            </w:r>
          </w:p>
        </w:tc>
        <w:tc>
          <w:tcPr>
            <w:tcW w:w="371" w:type="pct"/>
            <w:shd w:val="clear" w:color="auto" w:fill="99CCFF"/>
            <w:tcMar>
              <w:top w:w="0" w:type="dxa"/>
              <w:left w:w="45" w:type="dxa"/>
              <w:bottom w:w="0" w:type="dxa"/>
              <w:right w:w="45" w:type="dxa"/>
            </w:tcMar>
            <w:vAlign w:val="center"/>
            <w:hideMark/>
          </w:tcPr>
          <w:p w14:paraId="50864F73" w14:textId="77777777" w:rsidR="004858A0" w:rsidRPr="001D4F0F" w:rsidRDefault="004858A0" w:rsidP="00B333BA">
            <w:pPr>
              <w:jc w:val="center"/>
              <w:rPr>
                <w:rFonts w:eastAsia="Calibri"/>
                <w:sz w:val="16"/>
                <w:szCs w:val="16"/>
              </w:rPr>
            </w:pPr>
            <w:r w:rsidRPr="001D4F0F">
              <w:rPr>
                <w:rFonts w:eastAsia="Calibri"/>
                <w:sz w:val="16"/>
                <w:szCs w:val="16"/>
              </w:rPr>
              <w:t>Ukupno u radu</w:t>
            </w:r>
          </w:p>
        </w:tc>
        <w:tc>
          <w:tcPr>
            <w:tcW w:w="565" w:type="pct"/>
            <w:shd w:val="clear" w:color="auto" w:fill="99CCFF"/>
            <w:tcMar>
              <w:top w:w="0" w:type="dxa"/>
              <w:left w:w="45" w:type="dxa"/>
              <w:bottom w:w="0" w:type="dxa"/>
              <w:right w:w="45" w:type="dxa"/>
            </w:tcMar>
            <w:vAlign w:val="center"/>
            <w:hideMark/>
          </w:tcPr>
          <w:p w14:paraId="4BA2D7AD" w14:textId="77777777" w:rsidR="004858A0" w:rsidRPr="001D4F0F" w:rsidRDefault="004858A0" w:rsidP="00B333BA">
            <w:pPr>
              <w:jc w:val="center"/>
              <w:rPr>
                <w:rFonts w:eastAsia="Calibri"/>
                <w:sz w:val="16"/>
                <w:szCs w:val="16"/>
              </w:rPr>
            </w:pPr>
            <w:r w:rsidRPr="001D4F0F">
              <w:rPr>
                <w:rFonts w:eastAsia="Calibri"/>
                <w:sz w:val="16"/>
                <w:szCs w:val="16"/>
              </w:rPr>
              <w:t>Prijavljeno u izvještajnom razdoblju</w:t>
            </w:r>
          </w:p>
        </w:tc>
        <w:tc>
          <w:tcPr>
            <w:tcW w:w="371" w:type="pct"/>
            <w:shd w:val="clear" w:color="auto" w:fill="99CCFF"/>
            <w:tcMar>
              <w:top w:w="0" w:type="dxa"/>
              <w:left w:w="45" w:type="dxa"/>
              <w:bottom w:w="0" w:type="dxa"/>
              <w:right w:w="45" w:type="dxa"/>
            </w:tcMar>
            <w:vAlign w:val="center"/>
            <w:hideMark/>
          </w:tcPr>
          <w:p w14:paraId="4138ED13" w14:textId="77777777" w:rsidR="004858A0" w:rsidRPr="001D4F0F" w:rsidRDefault="004858A0" w:rsidP="00B333BA">
            <w:pPr>
              <w:jc w:val="center"/>
              <w:rPr>
                <w:rFonts w:eastAsia="Calibri"/>
                <w:sz w:val="16"/>
                <w:szCs w:val="16"/>
              </w:rPr>
            </w:pPr>
            <w:r w:rsidRPr="001D4F0F">
              <w:rPr>
                <w:rFonts w:eastAsia="Calibri"/>
                <w:sz w:val="16"/>
                <w:szCs w:val="16"/>
              </w:rPr>
              <w:t>Ukupno u radu</w:t>
            </w:r>
          </w:p>
        </w:tc>
        <w:tc>
          <w:tcPr>
            <w:tcW w:w="565" w:type="pct"/>
            <w:shd w:val="clear" w:color="auto" w:fill="99CCFF"/>
            <w:tcMar>
              <w:top w:w="0" w:type="dxa"/>
              <w:left w:w="45" w:type="dxa"/>
              <w:bottom w:w="0" w:type="dxa"/>
              <w:right w:w="45" w:type="dxa"/>
            </w:tcMar>
            <w:vAlign w:val="center"/>
            <w:hideMark/>
          </w:tcPr>
          <w:p w14:paraId="3FEBDAF4" w14:textId="77777777" w:rsidR="004858A0" w:rsidRPr="001D4F0F" w:rsidRDefault="004858A0" w:rsidP="00B333BA">
            <w:pPr>
              <w:jc w:val="center"/>
              <w:rPr>
                <w:rFonts w:eastAsia="Calibri"/>
                <w:sz w:val="16"/>
                <w:szCs w:val="16"/>
              </w:rPr>
            </w:pPr>
            <w:r w:rsidRPr="001D4F0F">
              <w:rPr>
                <w:rFonts w:eastAsia="Calibri"/>
                <w:sz w:val="16"/>
                <w:szCs w:val="16"/>
              </w:rPr>
              <w:t>Prijavljeno u izvještajnom razdoblju</w:t>
            </w:r>
          </w:p>
        </w:tc>
        <w:tc>
          <w:tcPr>
            <w:tcW w:w="371" w:type="pct"/>
            <w:shd w:val="clear" w:color="auto" w:fill="99CCFF"/>
            <w:tcMar>
              <w:top w:w="0" w:type="dxa"/>
              <w:left w:w="45" w:type="dxa"/>
              <w:bottom w:w="0" w:type="dxa"/>
              <w:right w:w="45" w:type="dxa"/>
            </w:tcMar>
            <w:vAlign w:val="center"/>
            <w:hideMark/>
          </w:tcPr>
          <w:p w14:paraId="563B8F71" w14:textId="77777777" w:rsidR="004858A0" w:rsidRPr="001D4F0F" w:rsidRDefault="004858A0" w:rsidP="00B333BA">
            <w:pPr>
              <w:jc w:val="center"/>
              <w:rPr>
                <w:rFonts w:eastAsia="Calibri"/>
                <w:sz w:val="16"/>
                <w:szCs w:val="16"/>
              </w:rPr>
            </w:pPr>
            <w:r w:rsidRPr="001D4F0F">
              <w:rPr>
                <w:rFonts w:eastAsia="Calibri"/>
                <w:sz w:val="16"/>
                <w:szCs w:val="16"/>
              </w:rPr>
              <w:t>Ukupno u radu</w:t>
            </w:r>
          </w:p>
        </w:tc>
        <w:tc>
          <w:tcPr>
            <w:tcW w:w="523" w:type="pct"/>
            <w:shd w:val="clear" w:color="auto" w:fill="99CCFF"/>
          </w:tcPr>
          <w:p w14:paraId="45FAC2DC" w14:textId="64CB06CA" w:rsidR="004858A0" w:rsidRPr="001D4F0F" w:rsidRDefault="004858A0" w:rsidP="00B333BA">
            <w:pPr>
              <w:jc w:val="center"/>
              <w:rPr>
                <w:rFonts w:eastAsia="Calibri"/>
                <w:sz w:val="16"/>
                <w:szCs w:val="16"/>
              </w:rPr>
            </w:pPr>
            <w:r w:rsidRPr="001D4F0F">
              <w:rPr>
                <w:rFonts w:eastAsia="Calibri"/>
                <w:sz w:val="16"/>
                <w:szCs w:val="16"/>
              </w:rPr>
              <w:t>Prijavljeno u izvještajnom razdoblju</w:t>
            </w:r>
          </w:p>
        </w:tc>
        <w:tc>
          <w:tcPr>
            <w:tcW w:w="330" w:type="pct"/>
            <w:shd w:val="clear" w:color="auto" w:fill="99CCFF"/>
          </w:tcPr>
          <w:p w14:paraId="40123F79" w14:textId="77777777" w:rsidR="004858A0" w:rsidRPr="001D4F0F" w:rsidRDefault="004858A0" w:rsidP="00B333BA">
            <w:pPr>
              <w:jc w:val="center"/>
              <w:rPr>
                <w:rFonts w:eastAsia="Calibri"/>
                <w:sz w:val="16"/>
                <w:szCs w:val="16"/>
              </w:rPr>
            </w:pPr>
            <w:r w:rsidRPr="001D4F0F">
              <w:rPr>
                <w:rFonts w:eastAsia="Calibri"/>
                <w:sz w:val="16"/>
                <w:szCs w:val="16"/>
              </w:rPr>
              <w:t>Ukupno u radu</w:t>
            </w:r>
          </w:p>
        </w:tc>
      </w:tr>
      <w:tr w:rsidR="00F57710" w:rsidRPr="001B4CA2" w14:paraId="70EC886E" w14:textId="77777777" w:rsidTr="00C918AA">
        <w:trPr>
          <w:trHeight w:val="285"/>
          <w:jc w:val="center"/>
        </w:trPr>
        <w:tc>
          <w:tcPr>
            <w:tcW w:w="403" w:type="pct"/>
            <w:tcMar>
              <w:top w:w="0" w:type="dxa"/>
              <w:left w:w="45" w:type="dxa"/>
              <w:bottom w:w="0" w:type="dxa"/>
              <w:right w:w="45" w:type="dxa"/>
            </w:tcMar>
            <w:vAlign w:val="bottom"/>
            <w:hideMark/>
          </w:tcPr>
          <w:p w14:paraId="568229E9" w14:textId="77777777" w:rsidR="00F57710" w:rsidRPr="001D4F0F" w:rsidRDefault="00F57710" w:rsidP="00B333BA">
            <w:pPr>
              <w:rPr>
                <w:rFonts w:eastAsia="Calibri"/>
                <w:sz w:val="16"/>
                <w:szCs w:val="16"/>
              </w:rPr>
            </w:pPr>
            <w:r w:rsidRPr="001D4F0F">
              <w:rPr>
                <w:rFonts w:eastAsia="Calibri"/>
                <w:sz w:val="16"/>
                <w:szCs w:val="16"/>
              </w:rPr>
              <w:t>Odrasle osobe</w:t>
            </w:r>
          </w:p>
        </w:tc>
        <w:tc>
          <w:tcPr>
            <w:tcW w:w="565" w:type="pct"/>
            <w:tcMar>
              <w:top w:w="0" w:type="dxa"/>
              <w:left w:w="45" w:type="dxa"/>
              <w:bottom w:w="0" w:type="dxa"/>
              <w:right w:w="45" w:type="dxa"/>
            </w:tcMar>
            <w:vAlign w:val="center"/>
          </w:tcPr>
          <w:p w14:paraId="5A8EAD27" w14:textId="48CE06B0" w:rsidR="00F57710" w:rsidRPr="001D4F0F" w:rsidRDefault="004C7D50" w:rsidP="005428B3">
            <w:pPr>
              <w:jc w:val="center"/>
              <w:rPr>
                <w:rFonts w:eastAsia="Calibri"/>
                <w:sz w:val="16"/>
                <w:szCs w:val="16"/>
              </w:rPr>
            </w:pPr>
            <w:r w:rsidRPr="001D4F0F">
              <w:rPr>
                <w:rFonts w:eastAsia="Calibri"/>
                <w:sz w:val="16"/>
                <w:szCs w:val="16"/>
              </w:rPr>
              <w:t>28.127</w:t>
            </w:r>
          </w:p>
        </w:tc>
        <w:tc>
          <w:tcPr>
            <w:tcW w:w="371" w:type="pct"/>
            <w:tcMar>
              <w:top w:w="0" w:type="dxa"/>
              <w:left w:w="45" w:type="dxa"/>
              <w:bottom w:w="0" w:type="dxa"/>
              <w:right w:w="45" w:type="dxa"/>
            </w:tcMar>
            <w:vAlign w:val="center"/>
          </w:tcPr>
          <w:p w14:paraId="2E95A562" w14:textId="6712C740" w:rsidR="00F57710" w:rsidRPr="001D4F0F" w:rsidRDefault="00F57710" w:rsidP="005428B3">
            <w:pPr>
              <w:jc w:val="center"/>
              <w:rPr>
                <w:rFonts w:eastAsia="Calibri"/>
                <w:sz w:val="16"/>
                <w:szCs w:val="16"/>
              </w:rPr>
            </w:pPr>
            <w:r w:rsidRPr="001D4F0F">
              <w:rPr>
                <w:rFonts w:eastAsia="Calibri"/>
                <w:sz w:val="16"/>
                <w:szCs w:val="16"/>
              </w:rPr>
              <w:t>3</w:t>
            </w:r>
            <w:r w:rsidR="004C7D50" w:rsidRPr="001D4F0F">
              <w:rPr>
                <w:rFonts w:eastAsia="Calibri"/>
                <w:sz w:val="16"/>
                <w:szCs w:val="16"/>
              </w:rPr>
              <w:t>8.056</w:t>
            </w:r>
          </w:p>
        </w:tc>
        <w:tc>
          <w:tcPr>
            <w:tcW w:w="565" w:type="pct"/>
            <w:tcMar>
              <w:top w:w="0" w:type="dxa"/>
              <w:left w:w="45" w:type="dxa"/>
              <w:bottom w:w="0" w:type="dxa"/>
              <w:right w:w="45" w:type="dxa"/>
            </w:tcMar>
            <w:vAlign w:val="center"/>
            <w:hideMark/>
          </w:tcPr>
          <w:p w14:paraId="3DF66FE0" w14:textId="524A7407" w:rsidR="00F57710" w:rsidRPr="001D4F0F" w:rsidRDefault="00F57710" w:rsidP="005428B3">
            <w:pPr>
              <w:jc w:val="center"/>
              <w:rPr>
                <w:rFonts w:eastAsia="Calibri"/>
                <w:sz w:val="16"/>
                <w:szCs w:val="16"/>
              </w:rPr>
            </w:pPr>
            <w:r w:rsidRPr="001D4F0F">
              <w:rPr>
                <w:rFonts w:eastAsia="Calibri"/>
                <w:sz w:val="16"/>
                <w:szCs w:val="16"/>
              </w:rPr>
              <w:t>28.</w:t>
            </w:r>
            <w:r w:rsidR="00E004D0" w:rsidRPr="001D4F0F">
              <w:rPr>
                <w:rFonts w:eastAsia="Calibri"/>
                <w:sz w:val="16"/>
                <w:szCs w:val="16"/>
              </w:rPr>
              <w:t>823</w:t>
            </w:r>
          </w:p>
        </w:tc>
        <w:tc>
          <w:tcPr>
            <w:tcW w:w="371" w:type="pct"/>
            <w:tcMar>
              <w:top w:w="0" w:type="dxa"/>
              <w:left w:w="45" w:type="dxa"/>
              <w:bottom w:w="0" w:type="dxa"/>
              <w:right w:w="45" w:type="dxa"/>
            </w:tcMar>
            <w:vAlign w:val="center"/>
            <w:hideMark/>
          </w:tcPr>
          <w:p w14:paraId="322EC4F5" w14:textId="230F9702" w:rsidR="00F57710" w:rsidRPr="001D4F0F" w:rsidRDefault="00F57710" w:rsidP="005428B3">
            <w:pPr>
              <w:jc w:val="center"/>
              <w:rPr>
                <w:rFonts w:eastAsia="Calibri"/>
                <w:sz w:val="16"/>
                <w:szCs w:val="16"/>
              </w:rPr>
            </w:pPr>
            <w:r w:rsidRPr="001D4F0F">
              <w:rPr>
                <w:rFonts w:eastAsia="Calibri"/>
                <w:sz w:val="16"/>
                <w:szCs w:val="16"/>
              </w:rPr>
              <w:t>3</w:t>
            </w:r>
            <w:r w:rsidR="00E004D0" w:rsidRPr="001D4F0F">
              <w:rPr>
                <w:rFonts w:eastAsia="Calibri"/>
                <w:sz w:val="16"/>
                <w:szCs w:val="16"/>
              </w:rPr>
              <w:t>9.033</w:t>
            </w:r>
          </w:p>
        </w:tc>
        <w:tc>
          <w:tcPr>
            <w:tcW w:w="565" w:type="pct"/>
            <w:tcMar>
              <w:top w:w="0" w:type="dxa"/>
              <w:left w:w="45" w:type="dxa"/>
              <w:bottom w:w="0" w:type="dxa"/>
              <w:right w:w="45" w:type="dxa"/>
            </w:tcMar>
            <w:vAlign w:val="center"/>
            <w:hideMark/>
          </w:tcPr>
          <w:p w14:paraId="4746CA03" w14:textId="1A3ED077" w:rsidR="00F57710" w:rsidRPr="001D4F0F" w:rsidRDefault="004C1589" w:rsidP="005428B3">
            <w:pPr>
              <w:jc w:val="center"/>
              <w:rPr>
                <w:rFonts w:eastAsia="Calibri"/>
                <w:sz w:val="16"/>
                <w:szCs w:val="16"/>
              </w:rPr>
            </w:pPr>
            <w:r w:rsidRPr="001D4F0F">
              <w:rPr>
                <w:rFonts w:eastAsia="Calibri"/>
                <w:sz w:val="16"/>
                <w:szCs w:val="16"/>
              </w:rPr>
              <w:t>31.101</w:t>
            </w:r>
          </w:p>
        </w:tc>
        <w:tc>
          <w:tcPr>
            <w:tcW w:w="371" w:type="pct"/>
            <w:tcMar>
              <w:top w:w="0" w:type="dxa"/>
              <w:left w:w="45" w:type="dxa"/>
              <w:bottom w:w="0" w:type="dxa"/>
              <w:right w:w="45" w:type="dxa"/>
            </w:tcMar>
            <w:vAlign w:val="center"/>
            <w:hideMark/>
          </w:tcPr>
          <w:p w14:paraId="01C0BB39" w14:textId="300B8675" w:rsidR="00F57710" w:rsidRPr="001D4F0F" w:rsidRDefault="00DD0936" w:rsidP="005428B3">
            <w:pPr>
              <w:jc w:val="center"/>
              <w:rPr>
                <w:rFonts w:eastAsia="Calibri"/>
                <w:sz w:val="16"/>
                <w:szCs w:val="16"/>
              </w:rPr>
            </w:pPr>
            <w:r w:rsidRPr="001D4F0F">
              <w:rPr>
                <w:rFonts w:eastAsia="Calibri"/>
                <w:sz w:val="16"/>
                <w:szCs w:val="16"/>
              </w:rPr>
              <w:t>40.063</w:t>
            </w:r>
          </w:p>
        </w:tc>
        <w:tc>
          <w:tcPr>
            <w:tcW w:w="565" w:type="pct"/>
            <w:tcMar>
              <w:top w:w="0" w:type="dxa"/>
              <w:left w:w="45" w:type="dxa"/>
              <w:bottom w:w="0" w:type="dxa"/>
              <w:right w:w="45" w:type="dxa"/>
            </w:tcMar>
            <w:vAlign w:val="center"/>
            <w:hideMark/>
          </w:tcPr>
          <w:p w14:paraId="59DB1CEC" w14:textId="7B364869" w:rsidR="00F57710" w:rsidRPr="001D4F0F" w:rsidRDefault="00DD0936" w:rsidP="005428B3">
            <w:pPr>
              <w:jc w:val="center"/>
              <w:rPr>
                <w:rFonts w:eastAsia="Calibri"/>
                <w:sz w:val="16"/>
                <w:szCs w:val="16"/>
              </w:rPr>
            </w:pPr>
            <w:r w:rsidRPr="001D4F0F">
              <w:rPr>
                <w:rFonts w:eastAsia="Calibri"/>
                <w:sz w:val="16"/>
                <w:szCs w:val="16"/>
              </w:rPr>
              <w:t>32.428</w:t>
            </w:r>
          </w:p>
        </w:tc>
        <w:tc>
          <w:tcPr>
            <w:tcW w:w="371" w:type="pct"/>
            <w:tcMar>
              <w:top w:w="0" w:type="dxa"/>
              <w:left w:w="45" w:type="dxa"/>
              <w:bottom w:w="0" w:type="dxa"/>
              <w:right w:w="45" w:type="dxa"/>
            </w:tcMar>
            <w:vAlign w:val="center"/>
            <w:hideMark/>
          </w:tcPr>
          <w:p w14:paraId="45F171D0" w14:textId="01397591" w:rsidR="00F57710" w:rsidRPr="001D4F0F" w:rsidRDefault="000110AA" w:rsidP="005428B3">
            <w:pPr>
              <w:jc w:val="center"/>
              <w:rPr>
                <w:rFonts w:eastAsia="Calibri"/>
                <w:sz w:val="16"/>
                <w:szCs w:val="16"/>
              </w:rPr>
            </w:pPr>
            <w:r w:rsidRPr="001D4F0F">
              <w:rPr>
                <w:rFonts w:eastAsia="Calibri"/>
                <w:sz w:val="16"/>
                <w:szCs w:val="16"/>
              </w:rPr>
              <w:t>41.638</w:t>
            </w:r>
          </w:p>
        </w:tc>
        <w:tc>
          <w:tcPr>
            <w:tcW w:w="523" w:type="pct"/>
            <w:vAlign w:val="center"/>
          </w:tcPr>
          <w:p w14:paraId="5AA80E81" w14:textId="708E7C52" w:rsidR="00F57710" w:rsidRPr="001D4F0F" w:rsidRDefault="000110AA" w:rsidP="005428B3">
            <w:pPr>
              <w:jc w:val="center"/>
              <w:rPr>
                <w:rFonts w:eastAsia="Calibri"/>
                <w:sz w:val="16"/>
                <w:szCs w:val="16"/>
              </w:rPr>
            </w:pPr>
            <w:r w:rsidRPr="001D4F0F">
              <w:rPr>
                <w:rFonts w:eastAsia="Calibri"/>
                <w:sz w:val="16"/>
                <w:szCs w:val="16"/>
              </w:rPr>
              <w:t>32.966</w:t>
            </w:r>
          </w:p>
        </w:tc>
        <w:tc>
          <w:tcPr>
            <w:tcW w:w="330" w:type="pct"/>
            <w:vAlign w:val="center"/>
          </w:tcPr>
          <w:p w14:paraId="7C4151D0" w14:textId="523BED4E" w:rsidR="00F57710" w:rsidRPr="001D4F0F" w:rsidRDefault="000110AA" w:rsidP="005428B3">
            <w:pPr>
              <w:jc w:val="center"/>
              <w:rPr>
                <w:rFonts w:eastAsia="Calibri"/>
                <w:sz w:val="16"/>
                <w:szCs w:val="16"/>
              </w:rPr>
            </w:pPr>
            <w:r w:rsidRPr="001D4F0F">
              <w:rPr>
                <w:rFonts w:eastAsia="Calibri"/>
                <w:sz w:val="16"/>
                <w:szCs w:val="16"/>
              </w:rPr>
              <w:t>43.335</w:t>
            </w:r>
          </w:p>
        </w:tc>
      </w:tr>
      <w:tr w:rsidR="00F57710" w:rsidRPr="001B4CA2" w14:paraId="63C38306" w14:textId="77777777" w:rsidTr="00C918AA">
        <w:trPr>
          <w:trHeight w:val="285"/>
          <w:jc w:val="center"/>
        </w:trPr>
        <w:tc>
          <w:tcPr>
            <w:tcW w:w="403" w:type="pct"/>
            <w:tcMar>
              <w:top w:w="0" w:type="dxa"/>
              <w:left w:w="45" w:type="dxa"/>
              <w:bottom w:w="0" w:type="dxa"/>
              <w:right w:w="45" w:type="dxa"/>
            </w:tcMar>
            <w:vAlign w:val="bottom"/>
            <w:hideMark/>
          </w:tcPr>
          <w:p w14:paraId="3D3AC525" w14:textId="77777777" w:rsidR="00F57710" w:rsidRPr="001D4F0F" w:rsidRDefault="00F57710" w:rsidP="00B333BA">
            <w:pPr>
              <w:rPr>
                <w:rFonts w:eastAsia="Calibri"/>
                <w:sz w:val="16"/>
                <w:szCs w:val="16"/>
              </w:rPr>
            </w:pPr>
            <w:r w:rsidRPr="001D4F0F">
              <w:rPr>
                <w:rFonts w:eastAsia="Calibri"/>
                <w:sz w:val="16"/>
                <w:szCs w:val="16"/>
              </w:rPr>
              <w:t>Mlađi punoljetnici</w:t>
            </w:r>
          </w:p>
        </w:tc>
        <w:tc>
          <w:tcPr>
            <w:tcW w:w="565" w:type="pct"/>
            <w:tcMar>
              <w:top w:w="0" w:type="dxa"/>
              <w:left w:w="45" w:type="dxa"/>
              <w:bottom w:w="0" w:type="dxa"/>
              <w:right w:w="45" w:type="dxa"/>
            </w:tcMar>
            <w:vAlign w:val="center"/>
          </w:tcPr>
          <w:p w14:paraId="12A9E68C" w14:textId="4A485FF2" w:rsidR="00F57710" w:rsidRPr="001D4F0F" w:rsidRDefault="004C7D50" w:rsidP="005428B3">
            <w:pPr>
              <w:jc w:val="center"/>
              <w:rPr>
                <w:rFonts w:eastAsia="Calibri"/>
                <w:sz w:val="16"/>
                <w:szCs w:val="16"/>
              </w:rPr>
            </w:pPr>
            <w:r w:rsidRPr="001D4F0F">
              <w:rPr>
                <w:rFonts w:eastAsia="Calibri"/>
                <w:sz w:val="16"/>
                <w:szCs w:val="16"/>
              </w:rPr>
              <w:t>1.897</w:t>
            </w:r>
          </w:p>
        </w:tc>
        <w:tc>
          <w:tcPr>
            <w:tcW w:w="371" w:type="pct"/>
            <w:tcMar>
              <w:top w:w="0" w:type="dxa"/>
              <w:left w:w="45" w:type="dxa"/>
              <w:bottom w:w="0" w:type="dxa"/>
              <w:right w:w="45" w:type="dxa"/>
            </w:tcMar>
            <w:vAlign w:val="center"/>
          </w:tcPr>
          <w:p w14:paraId="1AFE54FD" w14:textId="5BDA6653" w:rsidR="00F57710" w:rsidRPr="001D4F0F" w:rsidRDefault="004C7D50" w:rsidP="005428B3">
            <w:pPr>
              <w:jc w:val="center"/>
              <w:rPr>
                <w:rFonts w:eastAsia="Calibri"/>
                <w:sz w:val="16"/>
                <w:szCs w:val="16"/>
              </w:rPr>
            </w:pPr>
            <w:r w:rsidRPr="001D4F0F">
              <w:rPr>
                <w:rFonts w:eastAsia="Calibri"/>
                <w:sz w:val="16"/>
                <w:szCs w:val="16"/>
              </w:rPr>
              <w:t>2.590</w:t>
            </w:r>
          </w:p>
        </w:tc>
        <w:tc>
          <w:tcPr>
            <w:tcW w:w="565" w:type="pct"/>
            <w:tcMar>
              <w:top w:w="0" w:type="dxa"/>
              <w:left w:w="45" w:type="dxa"/>
              <w:bottom w:w="0" w:type="dxa"/>
              <w:right w:w="45" w:type="dxa"/>
            </w:tcMar>
            <w:vAlign w:val="center"/>
            <w:hideMark/>
          </w:tcPr>
          <w:p w14:paraId="2A0F365E" w14:textId="265894E8" w:rsidR="00F57710" w:rsidRPr="001D4F0F" w:rsidRDefault="00E004D0" w:rsidP="005428B3">
            <w:pPr>
              <w:jc w:val="center"/>
              <w:rPr>
                <w:rFonts w:eastAsia="Calibri"/>
                <w:sz w:val="16"/>
                <w:szCs w:val="16"/>
              </w:rPr>
            </w:pPr>
            <w:r w:rsidRPr="001D4F0F">
              <w:rPr>
                <w:rFonts w:eastAsia="Calibri"/>
                <w:sz w:val="16"/>
                <w:szCs w:val="16"/>
              </w:rPr>
              <w:t>1.902</w:t>
            </w:r>
          </w:p>
        </w:tc>
        <w:tc>
          <w:tcPr>
            <w:tcW w:w="371" w:type="pct"/>
            <w:tcMar>
              <w:top w:w="0" w:type="dxa"/>
              <w:left w:w="45" w:type="dxa"/>
              <w:bottom w:w="0" w:type="dxa"/>
              <w:right w:w="45" w:type="dxa"/>
            </w:tcMar>
            <w:vAlign w:val="center"/>
            <w:hideMark/>
          </w:tcPr>
          <w:p w14:paraId="24A5806D" w14:textId="743D7B9C" w:rsidR="00F57710" w:rsidRPr="001D4F0F" w:rsidRDefault="00F57710" w:rsidP="005428B3">
            <w:pPr>
              <w:jc w:val="center"/>
              <w:rPr>
                <w:rFonts w:eastAsia="Calibri"/>
                <w:sz w:val="16"/>
                <w:szCs w:val="16"/>
              </w:rPr>
            </w:pPr>
            <w:r w:rsidRPr="001D4F0F">
              <w:rPr>
                <w:rFonts w:eastAsia="Calibri"/>
                <w:sz w:val="16"/>
                <w:szCs w:val="16"/>
              </w:rPr>
              <w:t>2.</w:t>
            </w:r>
            <w:r w:rsidR="00E004D0" w:rsidRPr="001D4F0F">
              <w:rPr>
                <w:rFonts w:eastAsia="Calibri"/>
                <w:sz w:val="16"/>
                <w:szCs w:val="16"/>
              </w:rPr>
              <w:t>480</w:t>
            </w:r>
          </w:p>
        </w:tc>
        <w:tc>
          <w:tcPr>
            <w:tcW w:w="565" w:type="pct"/>
            <w:tcMar>
              <w:top w:w="0" w:type="dxa"/>
              <w:left w:w="45" w:type="dxa"/>
              <w:bottom w:w="0" w:type="dxa"/>
              <w:right w:w="45" w:type="dxa"/>
            </w:tcMar>
            <w:vAlign w:val="center"/>
            <w:hideMark/>
          </w:tcPr>
          <w:p w14:paraId="7C3CABFD" w14:textId="591595C0" w:rsidR="00F57710" w:rsidRPr="001D4F0F" w:rsidRDefault="00DD0936" w:rsidP="005428B3">
            <w:pPr>
              <w:jc w:val="center"/>
              <w:rPr>
                <w:rFonts w:eastAsia="Calibri"/>
                <w:sz w:val="16"/>
                <w:szCs w:val="16"/>
              </w:rPr>
            </w:pPr>
            <w:r w:rsidRPr="001D4F0F">
              <w:rPr>
                <w:rFonts w:eastAsia="Calibri"/>
                <w:sz w:val="16"/>
                <w:szCs w:val="16"/>
              </w:rPr>
              <w:t>2.463</w:t>
            </w:r>
          </w:p>
        </w:tc>
        <w:tc>
          <w:tcPr>
            <w:tcW w:w="371" w:type="pct"/>
            <w:tcMar>
              <w:top w:w="0" w:type="dxa"/>
              <w:left w:w="45" w:type="dxa"/>
              <w:bottom w:w="0" w:type="dxa"/>
              <w:right w:w="45" w:type="dxa"/>
            </w:tcMar>
            <w:vAlign w:val="center"/>
            <w:hideMark/>
          </w:tcPr>
          <w:p w14:paraId="3E9EF34F" w14:textId="69142E83" w:rsidR="00F57710" w:rsidRPr="001D4F0F" w:rsidRDefault="00DD0936" w:rsidP="005428B3">
            <w:pPr>
              <w:jc w:val="center"/>
              <w:rPr>
                <w:rFonts w:eastAsia="Calibri"/>
                <w:sz w:val="16"/>
                <w:szCs w:val="16"/>
              </w:rPr>
            </w:pPr>
            <w:r w:rsidRPr="001D4F0F">
              <w:rPr>
                <w:rFonts w:eastAsia="Calibri"/>
                <w:sz w:val="16"/>
                <w:szCs w:val="16"/>
              </w:rPr>
              <w:t>3.442</w:t>
            </w:r>
          </w:p>
        </w:tc>
        <w:tc>
          <w:tcPr>
            <w:tcW w:w="565" w:type="pct"/>
            <w:tcMar>
              <w:top w:w="0" w:type="dxa"/>
              <w:left w:w="45" w:type="dxa"/>
              <w:bottom w:w="0" w:type="dxa"/>
              <w:right w:w="45" w:type="dxa"/>
            </w:tcMar>
            <w:vAlign w:val="center"/>
            <w:hideMark/>
          </w:tcPr>
          <w:p w14:paraId="72E8F4D7" w14:textId="42F60AEB" w:rsidR="00F57710" w:rsidRPr="001D4F0F" w:rsidRDefault="00DD0936" w:rsidP="005428B3">
            <w:pPr>
              <w:jc w:val="center"/>
              <w:rPr>
                <w:rFonts w:eastAsia="Calibri"/>
                <w:sz w:val="16"/>
                <w:szCs w:val="16"/>
              </w:rPr>
            </w:pPr>
            <w:r w:rsidRPr="001D4F0F">
              <w:rPr>
                <w:rFonts w:eastAsia="Calibri"/>
                <w:sz w:val="16"/>
                <w:szCs w:val="16"/>
              </w:rPr>
              <w:t>2.217</w:t>
            </w:r>
          </w:p>
        </w:tc>
        <w:tc>
          <w:tcPr>
            <w:tcW w:w="371" w:type="pct"/>
            <w:tcMar>
              <w:top w:w="0" w:type="dxa"/>
              <w:left w:w="45" w:type="dxa"/>
              <w:bottom w:w="0" w:type="dxa"/>
              <w:right w:w="45" w:type="dxa"/>
            </w:tcMar>
            <w:vAlign w:val="center"/>
            <w:hideMark/>
          </w:tcPr>
          <w:p w14:paraId="6E05BF75" w14:textId="53ADAE7A" w:rsidR="00F57710" w:rsidRPr="001D4F0F" w:rsidRDefault="000110AA" w:rsidP="005428B3">
            <w:pPr>
              <w:jc w:val="center"/>
              <w:rPr>
                <w:rFonts w:eastAsia="Calibri"/>
                <w:sz w:val="16"/>
                <w:szCs w:val="16"/>
              </w:rPr>
            </w:pPr>
            <w:r w:rsidRPr="001D4F0F">
              <w:rPr>
                <w:rFonts w:eastAsia="Calibri"/>
                <w:sz w:val="16"/>
                <w:szCs w:val="16"/>
              </w:rPr>
              <w:t>2.805</w:t>
            </w:r>
          </w:p>
        </w:tc>
        <w:tc>
          <w:tcPr>
            <w:tcW w:w="523" w:type="pct"/>
            <w:vAlign w:val="center"/>
          </w:tcPr>
          <w:p w14:paraId="6D8EE629" w14:textId="181FBC8F" w:rsidR="00F57710" w:rsidRPr="001D4F0F" w:rsidRDefault="000110AA" w:rsidP="005428B3">
            <w:pPr>
              <w:jc w:val="center"/>
              <w:rPr>
                <w:rFonts w:eastAsia="Calibri"/>
                <w:sz w:val="16"/>
                <w:szCs w:val="16"/>
              </w:rPr>
            </w:pPr>
            <w:r w:rsidRPr="001D4F0F">
              <w:rPr>
                <w:rFonts w:eastAsia="Calibri"/>
                <w:sz w:val="16"/>
                <w:szCs w:val="16"/>
              </w:rPr>
              <w:t>2.110</w:t>
            </w:r>
          </w:p>
        </w:tc>
        <w:tc>
          <w:tcPr>
            <w:tcW w:w="330" w:type="pct"/>
            <w:vAlign w:val="center"/>
          </w:tcPr>
          <w:p w14:paraId="1E209A13" w14:textId="791365A8" w:rsidR="00F57710" w:rsidRPr="001D4F0F" w:rsidRDefault="000110AA" w:rsidP="005428B3">
            <w:pPr>
              <w:jc w:val="center"/>
              <w:rPr>
                <w:rFonts w:eastAsia="Calibri"/>
                <w:sz w:val="16"/>
                <w:szCs w:val="16"/>
              </w:rPr>
            </w:pPr>
            <w:r w:rsidRPr="001D4F0F">
              <w:rPr>
                <w:rFonts w:eastAsia="Calibri"/>
                <w:sz w:val="16"/>
                <w:szCs w:val="16"/>
              </w:rPr>
              <w:t>2.650</w:t>
            </w:r>
          </w:p>
        </w:tc>
      </w:tr>
      <w:tr w:rsidR="00F57710" w:rsidRPr="001B4CA2" w14:paraId="4D0A86E0" w14:textId="77777777" w:rsidTr="00C918AA">
        <w:trPr>
          <w:trHeight w:val="285"/>
          <w:jc w:val="center"/>
        </w:trPr>
        <w:tc>
          <w:tcPr>
            <w:tcW w:w="403" w:type="pct"/>
            <w:tcMar>
              <w:top w:w="0" w:type="dxa"/>
              <w:left w:w="45" w:type="dxa"/>
              <w:bottom w:w="0" w:type="dxa"/>
              <w:right w:w="45" w:type="dxa"/>
            </w:tcMar>
            <w:vAlign w:val="bottom"/>
            <w:hideMark/>
          </w:tcPr>
          <w:p w14:paraId="5E8658E4" w14:textId="77777777" w:rsidR="00F57710" w:rsidRPr="001D4F0F" w:rsidRDefault="00F57710" w:rsidP="00B333BA">
            <w:pPr>
              <w:rPr>
                <w:rFonts w:eastAsia="Calibri"/>
                <w:sz w:val="16"/>
                <w:szCs w:val="16"/>
              </w:rPr>
            </w:pPr>
            <w:r w:rsidRPr="001D4F0F">
              <w:rPr>
                <w:rFonts w:eastAsia="Calibri"/>
                <w:sz w:val="16"/>
                <w:szCs w:val="16"/>
              </w:rPr>
              <w:t>Pravne osobe</w:t>
            </w:r>
          </w:p>
        </w:tc>
        <w:tc>
          <w:tcPr>
            <w:tcW w:w="565" w:type="pct"/>
            <w:tcMar>
              <w:top w:w="0" w:type="dxa"/>
              <w:left w:w="45" w:type="dxa"/>
              <w:bottom w:w="0" w:type="dxa"/>
              <w:right w:w="45" w:type="dxa"/>
            </w:tcMar>
            <w:vAlign w:val="center"/>
          </w:tcPr>
          <w:p w14:paraId="630D0941" w14:textId="14046146" w:rsidR="00F57710" w:rsidRPr="001D4F0F" w:rsidRDefault="00F57710" w:rsidP="005428B3">
            <w:pPr>
              <w:jc w:val="center"/>
              <w:rPr>
                <w:rFonts w:eastAsia="Calibri"/>
                <w:sz w:val="16"/>
                <w:szCs w:val="16"/>
              </w:rPr>
            </w:pPr>
            <w:r w:rsidRPr="001D4F0F">
              <w:rPr>
                <w:rFonts w:eastAsia="Calibri"/>
                <w:sz w:val="16"/>
                <w:szCs w:val="16"/>
              </w:rPr>
              <w:t>1.</w:t>
            </w:r>
            <w:r w:rsidR="004C7D50" w:rsidRPr="001D4F0F">
              <w:rPr>
                <w:rFonts w:eastAsia="Calibri"/>
                <w:sz w:val="16"/>
                <w:szCs w:val="16"/>
              </w:rPr>
              <w:t>047</w:t>
            </w:r>
          </w:p>
        </w:tc>
        <w:tc>
          <w:tcPr>
            <w:tcW w:w="371" w:type="pct"/>
            <w:tcMar>
              <w:top w:w="0" w:type="dxa"/>
              <w:left w:w="45" w:type="dxa"/>
              <w:bottom w:w="0" w:type="dxa"/>
              <w:right w:w="45" w:type="dxa"/>
            </w:tcMar>
            <w:vAlign w:val="center"/>
          </w:tcPr>
          <w:p w14:paraId="0628E812" w14:textId="327D9BD8" w:rsidR="00F57710" w:rsidRPr="001D4F0F" w:rsidRDefault="00F57710" w:rsidP="005428B3">
            <w:pPr>
              <w:jc w:val="center"/>
              <w:rPr>
                <w:rFonts w:eastAsia="Calibri"/>
                <w:sz w:val="16"/>
                <w:szCs w:val="16"/>
              </w:rPr>
            </w:pPr>
            <w:r w:rsidRPr="001D4F0F">
              <w:rPr>
                <w:rFonts w:eastAsia="Calibri"/>
                <w:sz w:val="16"/>
                <w:szCs w:val="16"/>
              </w:rPr>
              <w:t>1.</w:t>
            </w:r>
            <w:r w:rsidR="008D5ABC" w:rsidRPr="001D4F0F">
              <w:rPr>
                <w:rFonts w:eastAsia="Calibri"/>
                <w:sz w:val="16"/>
                <w:szCs w:val="16"/>
              </w:rPr>
              <w:t>771</w:t>
            </w:r>
          </w:p>
        </w:tc>
        <w:tc>
          <w:tcPr>
            <w:tcW w:w="565" w:type="pct"/>
            <w:tcMar>
              <w:top w:w="0" w:type="dxa"/>
              <w:left w:w="45" w:type="dxa"/>
              <w:bottom w:w="0" w:type="dxa"/>
              <w:right w:w="45" w:type="dxa"/>
            </w:tcMar>
            <w:vAlign w:val="center"/>
            <w:hideMark/>
          </w:tcPr>
          <w:p w14:paraId="6A5BABC4" w14:textId="33822D9E" w:rsidR="00F57710" w:rsidRPr="001D4F0F" w:rsidRDefault="00F57710" w:rsidP="005428B3">
            <w:pPr>
              <w:jc w:val="center"/>
              <w:rPr>
                <w:rFonts w:eastAsia="Calibri"/>
                <w:sz w:val="16"/>
                <w:szCs w:val="16"/>
              </w:rPr>
            </w:pPr>
            <w:r w:rsidRPr="001D4F0F">
              <w:rPr>
                <w:rFonts w:eastAsia="Calibri"/>
                <w:sz w:val="16"/>
                <w:szCs w:val="16"/>
              </w:rPr>
              <w:t>1.0</w:t>
            </w:r>
            <w:r w:rsidR="00E004D0" w:rsidRPr="001D4F0F">
              <w:rPr>
                <w:rFonts w:eastAsia="Calibri"/>
                <w:sz w:val="16"/>
                <w:szCs w:val="16"/>
              </w:rPr>
              <w:t>55</w:t>
            </w:r>
          </w:p>
        </w:tc>
        <w:tc>
          <w:tcPr>
            <w:tcW w:w="371" w:type="pct"/>
            <w:tcMar>
              <w:top w:w="0" w:type="dxa"/>
              <w:left w:w="45" w:type="dxa"/>
              <w:bottom w:w="0" w:type="dxa"/>
              <w:right w:w="45" w:type="dxa"/>
            </w:tcMar>
            <w:vAlign w:val="center"/>
            <w:hideMark/>
          </w:tcPr>
          <w:p w14:paraId="59D96501" w14:textId="06DB7876" w:rsidR="00F57710" w:rsidRPr="001D4F0F" w:rsidRDefault="00F57710" w:rsidP="005428B3">
            <w:pPr>
              <w:jc w:val="center"/>
              <w:rPr>
                <w:rFonts w:eastAsia="Calibri"/>
                <w:sz w:val="16"/>
                <w:szCs w:val="16"/>
              </w:rPr>
            </w:pPr>
            <w:r w:rsidRPr="001D4F0F">
              <w:rPr>
                <w:rFonts w:eastAsia="Calibri"/>
                <w:sz w:val="16"/>
                <w:szCs w:val="16"/>
              </w:rPr>
              <w:t>1.</w:t>
            </w:r>
            <w:r w:rsidR="00E004D0" w:rsidRPr="001D4F0F">
              <w:rPr>
                <w:rFonts w:eastAsia="Calibri"/>
                <w:sz w:val="16"/>
                <w:szCs w:val="16"/>
              </w:rPr>
              <w:t>935</w:t>
            </w:r>
          </w:p>
        </w:tc>
        <w:tc>
          <w:tcPr>
            <w:tcW w:w="565" w:type="pct"/>
            <w:tcMar>
              <w:top w:w="0" w:type="dxa"/>
              <w:left w:w="45" w:type="dxa"/>
              <w:bottom w:w="0" w:type="dxa"/>
              <w:right w:w="45" w:type="dxa"/>
            </w:tcMar>
            <w:vAlign w:val="center"/>
            <w:hideMark/>
          </w:tcPr>
          <w:p w14:paraId="0404B94C" w14:textId="72B81563" w:rsidR="00F57710" w:rsidRPr="001D4F0F" w:rsidRDefault="00F57710" w:rsidP="005428B3">
            <w:pPr>
              <w:jc w:val="center"/>
              <w:rPr>
                <w:rFonts w:eastAsia="Calibri"/>
                <w:sz w:val="16"/>
                <w:szCs w:val="16"/>
              </w:rPr>
            </w:pPr>
            <w:r w:rsidRPr="001D4F0F">
              <w:rPr>
                <w:rFonts w:eastAsia="Calibri"/>
                <w:sz w:val="16"/>
                <w:szCs w:val="16"/>
              </w:rPr>
              <w:t>1.</w:t>
            </w:r>
            <w:r w:rsidR="00DD0936" w:rsidRPr="001D4F0F">
              <w:rPr>
                <w:rFonts w:eastAsia="Calibri"/>
                <w:sz w:val="16"/>
                <w:szCs w:val="16"/>
              </w:rPr>
              <w:t>119</w:t>
            </w:r>
          </w:p>
        </w:tc>
        <w:tc>
          <w:tcPr>
            <w:tcW w:w="371" w:type="pct"/>
            <w:tcMar>
              <w:top w:w="0" w:type="dxa"/>
              <w:left w:w="45" w:type="dxa"/>
              <w:bottom w:w="0" w:type="dxa"/>
              <w:right w:w="45" w:type="dxa"/>
            </w:tcMar>
            <w:vAlign w:val="center"/>
            <w:hideMark/>
          </w:tcPr>
          <w:p w14:paraId="44455B98" w14:textId="5B10523C" w:rsidR="00F57710" w:rsidRPr="001D4F0F" w:rsidRDefault="00DD0936" w:rsidP="005428B3">
            <w:pPr>
              <w:jc w:val="center"/>
              <w:rPr>
                <w:rFonts w:eastAsia="Calibri"/>
                <w:sz w:val="16"/>
                <w:szCs w:val="16"/>
              </w:rPr>
            </w:pPr>
            <w:r w:rsidRPr="001D4F0F">
              <w:rPr>
                <w:rFonts w:eastAsia="Calibri"/>
                <w:sz w:val="16"/>
                <w:szCs w:val="16"/>
              </w:rPr>
              <w:t>2.047</w:t>
            </w:r>
          </w:p>
        </w:tc>
        <w:tc>
          <w:tcPr>
            <w:tcW w:w="565" w:type="pct"/>
            <w:tcMar>
              <w:top w:w="0" w:type="dxa"/>
              <w:left w:w="45" w:type="dxa"/>
              <w:bottom w:w="0" w:type="dxa"/>
              <w:right w:w="45" w:type="dxa"/>
            </w:tcMar>
            <w:vAlign w:val="center"/>
            <w:hideMark/>
          </w:tcPr>
          <w:p w14:paraId="33D7BEE5" w14:textId="16CF11C4" w:rsidR="00F57710" w:rsidRPr="001D4F0F" w:rsidRDefault="000110AA" w:rsidP="005428B3">
            <w:pPr>
              <w:jc w:val="center"/>
              <w:rPr>
                <w:rFonts w:eastAsia="Calibri"/>
                <w:sz w:val="16"/>
                <w:szCs w:val="16"/>
              </w:rPr>
            </w:pPr>
            <w:r w:rsidRPr="001D4F0F">
              <w:rPr>
                <w:rFonts w:eastAsia="Calibri"/>
                <w:sz w:val="16"/>
                <w:szCs w:val="16"/>
              </w:rPr>
              <w:t>1.136</w:t>
            </w:r>
          </w:p>
        </w:tc>
        <w:tc>
          <w:tcPr>
            <w:tcW w:w="371" w:type="pct"/>
            <w:tcMar>
              <w:top w:w="0" w:type="dxa"/>
              <w:left w:w="45" w:type="dxa"/>
              <w:bottom w:w="0" w:type="dxa"/>
              <w:right w:w="45" w:type="dxa"/>
            </w:tcMar>
            <w:vAlign w:val="center"/>
            <w:hideMark/>
          </w:tcPr>
          <w:p w14:paraId="76C32783" w14:textId="75FB6011" w:rsidR="00F57710" w:rsidRPr="001D4F0F" w:rsidRDefault="00F57710" w:rsidP="005428B3">
            <w:pPr>
              <w:jc w:val="center"/>
              <w:rPr>
                <w:rFonts w:eastAsia="Calibri"/>
                <w:sz w:val="16"/>
                <w:szCs w:val="16"/>
              </w:rPr>
            </w:pPr>
            <w:r w:rsidRPr="001D4F0F">
              <w:rPr>
                <w:rFonts w:eastAsia="Calibri"/>
                <w:sz w:val="16"/>
                <w:szCs w:val="16"/>
              </w:rPr>
              <w:t>2.0</w:t>
            </w:r>
            <w:r w:rsidR="000110AA" w:rsidRPr="001D4F0F">
              <w:rPr>
                <w:rFonts w:eastAsia="Calibri"/>
                <w:sz w:val="16"/>
                <w:szCs w:val="16"/>
              </w:rPr>
              <w:t>09</w:t>
            </w:r>
          </w:p>
        </w:tc>
        <w:tc>
          <w:tcPr>
            <w:tcW w:w="523" w:type="pct"/>
            <w:vAlign w:val="center"/>
          </w:tcPr>
          <w:p w14:paraId="37CFC201" w14:textId="15C01946" w:rsidR="00F57710" w:rsidRPr="001D4F0F" w:rsidRDefault="000110AA" w:rsidP="005428B3">
            <w:pPr>
              <w:jc w:val="center"/>
              <w:rPr>
                <w:rFonts w:eastAsia="Calibri"/>
                <w:sz w:val="16"/>
                <w:szCs w:val="16"/>
              </w:rPr>
            </w:pPr>
            <w:r w:rsidRPr="001D4F0F">
              <w:rPr>
                <w:rFonts w:eastAsia="Calibri"/>
                <w:sz w:val="16"/>
                <w:szCs w:val="16"/>
              </w:rPr>
              <w:t>1.308</w:t>
            </w:r>
          </w:p>
        </w:tc>
        <w:tc>
          <w:tcPr>
            <w:tcW w:w="330" w:type="pct"/>
            <w:vAlign w:val="center"/>
          </w:tcPr>
          <w:p w14:paraId="38526C1E" w14:textId="5EB99F9A" w:rsidR="00F57710" w:rsidRPr="001D4F0F" w:rsidRDefault="00903311" w:rsidP="005428B3">
            <w:pPr>
              <w:jc w:val="center"/>
              <w:rPr>
                <w:rFonts w:eastAsia="Calibri"/>
                <w:sz w:val="16"/>
                <w:szCs w:val="16"/>
              </w:rPr>
            </w:pPr>
            <w:r w:rsidRPr="001D4F0F">
              <w:rPr>
                <w:rFonts w:eastAsia="Calibri"/>
                <w:sz w:val="16"/>
                <w:szCs w:val="16"/>
              </w:rPr>
              <w:t>2.</w:t>
            </w:r>
            <w:r w:rsidR="000110AA" w:rsidRPr="001D4F0F">
              <w:rPr>
                <w:rFonts w:eastAsia="Calibri"/>
                <w:sz w:val="16"/>
                <w:szCs w:val="16"/>
              </w:rPr>
              <w:t>305</w:t>
            </w:r>
          </w:p>
        </w:tc>
      </w:tr>
      <w:tr w:rsidR="00F57710" w:rsidRPr="001B4CA2" w14:paraId="7E7C791F" w14:textId="77777777" w:rsidTr="00C918AA">
        <w:trPr>
          <w:trHeight w:val="285"/>
          <w:jc w:val="center"/>
        </w:trPr>
        <w:tc>
          <w:tcPr>
            <w:tcW w:w="403" w:type="pct"/>
            <w:tcMar>
              <w:top w:w="0" w:type="dxa"/>
              <w:left w:w="45" w:type="dxa"/>
              <w:bottom w:w="0" w:type="dxa"/>
              <w:right w:w="45" w:type="dxa"/>
            </w:tcMar>
            <w:vAlign w:val="bottom"/>
            <w:hideMark/>
          </w:tcPr>
          <w:p w14:paraId="27E52042" w14:textId="77777777" w:rsidR="00F57710" w:rsidRPr="001D4F0F" w:rsidRDefault="00F57710" w:rsidP="00B333BA">
            <w:pPr>
              <w:rPr>
                <w:rFonts w:eastAsia="Calibri"/>
                <w:sz w:val="16"/>
                <w:szCs w:val="16"/>
              </w:rPr>
            </w:pPr>
            <w:r w:rsidRPr="001D4F0F">
              <w:rPr>
                <w:rFonts w:eastAsia="Calibri"/>
                <w:sz w:val="16"/>
                <w:szCs w:val="16"/>
              </w:rPr>
              <w:t>Maloljetne osobe</w:t>
            </w:r>
          </w:p>
        </w:tc>
        <w:tc>
          <w:tcPr>
            <w:tcW w:w="565" w:type="pct"/>
            <w:tcMar>
              <w:top w:w="0" w:type="dxa"/>
              <w:left w:w="45" w:type="dxa"/>
              <w:bottom w:w="0" w:type="dxa"/>
              <w:right w:w="45" w:type="dxa"/>
            </w:tcMar>
            <w:vAlign w:val="center"/>
          </w:tcPr>
          <w:p w14:paraId="1C135880" w14:textId="18789AAD" w:rsidR="00F57710" w:rsidRPr="001D4F0F" w:rsidRDefault="00F57710" w:rsidP="005428B3">
            <w:pPr>
              <w:jc w:val="center"/>
              <w:rPr>
                <w:rFonts w:eastAsia="Calibri"/>
                <w:sz w:val="16"/>
                <w:szCs w:val="16"/>
              </w:rPr>
            </w:pPr>
            <w:r w:rsidRPr="001D4F0F">
              <w:rPr>
                <w:rFonts w:eastAsia="Calibri"/>
                <w:sz w:val="16"/>
                <w:szCs w:val="16"/>
              </w:rPr>
              <w:t>1.</w:t>
            </w:r>
            <w:r w:rsidR="004C7D50" w:rsidRPr="001D4F0F">
              <w:rPr>
                <w:rFonts w:eastAsia="Calibri"/>
                <w:sz w:val="16"/>
                <w:szCs w:val="16"/>
              </w:rPr>
              <w:t>371</w:t>
            </w:r>
          </w:p>
        </w:tc>
        <w:tc>
          <w:tcPr>
            <w:tcW w:w="371" w:type="pct"/>
            <w:tcMar>
              <w:top w:w="0" w:type="dxa"/>
              <w:left w:w="45" w:type="dxa"/>
              <w:bottom w:w="0" w:type="dxa"/>
              <w:right w:w="45" w:type="dxa"/>
            </w:tcMar>
            <w:vAlign w:val="center"/>
          </w:tcPr>
          <w:p w14:paraId="2D36D5C8" w14:textId="7B89FDEB" w:rsidR="00F57710" w:rsidRPr="001D4F0F" w:rsidRDefault="008D5ABC" w:rsidP="005428B3">
            <w:pPr>
              <w:jc w:val="center"/>
              <w:rPr>
                <w:rFonts w:eastAsia="Calibri"/>
                <w:sz w:val="16"/>
                <w:szCs w:val="16"/>
              </w:rPr>
            </w:pPr>
            <w:r w:rsidRPr="001D4F0F">
              <w:rPr>
                <w:rFonts w:eastAsia="Calibri"/>
                <w:sz w:val="16"/>
                <w:szCs w:val="16"/>
              </w:rPr>
              <w:t>1.786</w:t>
            </w:r>
          </w:p>
        </w:tc>
        <w:tc>
          <w:tcPr>
            <w:tcW w:w="565" w:type="pct"/>
            <w:tcMar>
              <w:top w:w="0" w:type="dxa"/>
              <w:left w:w="45" w:type="dxa"/>
              <w:bottom w:w="0" w:type="dxa"/>
              <w:right w:w="45" w:type="dxa"/>
            </w:tcMar>
            <w:vAlign w:val="center"/>
            <w:hideMark/>
          </w:tcPr>
          <w:p w14:paraId="2BB424BC" w14:textId="5B846F12" w:rsidR="00F57710" w:rsidRPr="001D4F0F" w:rsidRDefault="00F57710" w:rsidP="005428B3">
            <w:pPr>
              <w:jc w:val="center"/>
              <w:rPr>
                <w:rFonts w:eastAsia="Calibri"/>
                <w:sz w:val="16"/>
                <w:szCs w:val="16"/>
              </w:rPr>
            </w:pPr>
            <w:r w:rsidRPr="001D4F0F">
              <w:rPr>
                <w:rFonts w:eastAsia="Calibri"/>
                <w:sz w:val="16"/>
                <w:szCs w:val="16"/>
              </w:rPr>
              <w:t>1.</w:t>
            </w:r>
            <w:r w:rsidR="00E004D0" w:rsidRPr="001D4F0F">
              <w:rPr>
                <w:rFonts w:eastAsia="Calibri"/>
                <w:sz w:val="16"/>
                <w:szCs w:val="16"/>
              </w:rPr>
              <w:t>412</w:t>
            </w:r>
          </w:p>
        </w:tc>
        <w:tc>
          <w:tcPr>
            <w:tcW w:w="371" w:type="pct"/>
            <w:tcMar>
              <w:top w:w="0" w:type="dxa"/>
              <w:left w:w="45" w:type="dxa"/>
              <w:bottom w:w="0" w:type="dxa"/>
              <w:right w:w="45" w:type="dxa"/>
            </w:tcMar>
            <w:vAlign w:val="center"/>
            <w:hideMark/>
          </w:tcPr>
          <w:p w14:paraId="38F21A49" w14:textId="26330102" w:rsidR="00F57710" w:rsidRPr="001D4F0F" w:rsidRDefault="00F57710" w:rsidP="005428B3">
            <w:pPr>
              <w:jc w:val="center"/>
              <w:rPr>
                <w:rFonts w:eastAsia="Calibri"/>
                <w:sz w:val="16"/>
                <w:szCs w:val="16"/>
              </w:rPr>
            </w:pPr>
            <w:r w:rsidRPr="001D4F0F">
              <w:rPr>
                <w:rFonts w:eastAsia="Calibri"/>
                <w:sz w:val="16"/>
                <w:szCs w:val="16"/>
              </w:rPr>
              <w:t>1.</w:t>
            </w:r>
            <w:r w:rsidR="00E004D0" w:rsidRPr="001D4F0F">
              <w:rPr>
                <w:rFonts w:eastAsia="Calibri"/>
                <w:sz w:val="16"/>
                <w:szCs w:val="16"/>
              </w:rPr>
              <w:t>844</w:t>
            </w:r>
          </w:p>
        </w:tc>
        <w:tc>
          <w:tcPr>
            <w:tcW w:w="565" w:type="pct"/>
            <w:tcMar>
              <w:top w:w="0" w:type="dxa"/>
              <w:left w:w="45" w:type="dxa"/>
              <w:bottom w:w="0" w:type="dxa"/>
              <w:right w:w="45" w:type="dxa"/>
            </w:tcMar>
            <w:vAlign w:val="center"/>
            <w:hideMark/>
          </w:tcPr>
          <w:p w14:paraId="3AE74221" w14:textId="037D0491" w:rsidR="00F57710" w:rsidRPr="001D4F0F" w:rsidRDefault="00F57710" w:rsidP="005428B3">
            <w:pPr>
              <w:jc w:val="center"/>
              <w:rPr>
                <w:rFonts w:eastAsia="Calibri"/>
                <w:sz w:val="16"/>
                <w:szCs w:val="16"/>
              </w:rPr>
            </w:pPr>
            <w:r w:rsidRPr="001D4F0F">
              <w:rPr>
                <w:rFonts w:eastAsia="Calibri"/>
                <w:sz w:val="16"/>
                <w:szCs w:val="16"/>
              </w:rPr>
              <w:t>1.</w:t>
            </w:r>
            <w:r w:rsidR="00DD0936" w:rsidRPr="001D4F0F">
              <w:rPr>
                <w:rFonts w:eastAsia="Calibri"/>
                <w:sz w:val="16"/>
                <w:szCs w:val="16"/>
              </w:rPr>
              <w:t>778</w:t>
            </w:r>
          </w:p>
        </w:tc>
        <w:tc>
          <w:tcPr>
            <w:tcW w:w="371" w:type="pct"/>
            <w:tcMar>
              <w:top w:w="0" w:type="dxa"/>
              <w:left w:w="45" w:type="dxa"/>
              <w:bottom w:w="0" w:type="dxa"/>
              <w:right w:w="45" w:type="dxa"/>
            </w:tcMar>
            <w:vAlign w:val="center"/>
            <w:hideMark/>
          </w:tcPr>
          <w:p w14:paraId="54E0BD22" w14:textId="58DFDAFF" w:rsidR="00F57710" w:rsidRPr="001D4F0F" w:rsidRDefault="00DD0936" w:rsidP="005428B3">
            <w:pPr>
              <w:jc w:val="center"/>
              <w:rPr>
                <w:rFonts w:eastAsia="Calibri"/>
                <w:sz w:val="16"/>
                <w:szCs w:val="16"/>
              </w:rPr>
            </w:pPr>
            <w:r w:rsidRPr="001D4F0F">
              <w:rPr>
                <w:rFonts w:eastAsia="Calibri"/>
                <w:sz w:val="16"/>
                <w:szCs w:val="16"/>
              </w:rPr>
              <w:t>2.322</w:t>
            </w:r>
          </w:p>
        </w:tc>
        <w:tc>
          <w:tcPr>
            <w:tcW w:w="565" w:type="pct"/>
            <w:tcMar>
              <w:top w:w="0" w:type="dxa"/>
              <w:left w:w="45" w:type="dxa"/>
              <w:bottom w:w="0" w:type="dxa"/>
              <w:right w:w="45" w:type="dxa"/>
            </w:tcMar>
            <w:vAlign w:val="center"/>
            <w:hideMark/>
          </w:tcPr>
          <w:p w14:paraId="4CC4B6B0" w14:textId="4D89F586" w:rsidR="00F57710" w:rsidRPr="001D4F0F" w:rsidRDefault="000110AA" w:rsidP="005428B3">
            <w:pPr>
              <w:jc w:val="center"/>
              <w:rPr>
                <w:rFonts w:eastAsia="Calibri"/>
                <w:sz w:val="16"/>
                <w:szCs w:val="16"/>
              </w:rPr>
            </w:pPr>
            <w:r w:rsidRPr="001D4F0F">
              <w:rPr>
                <w:rFonts w:eastAsia="Calibri"/>
                <w:sz w:val="16"/>
                <w:szCs w:val="16"/>
              </w:rPr>
              <w:t>1.802</w:t>
            </w:r>
          </w:p>
        </w:tc>
        <w:tc>
          <w:tcPr>
            <w:tcW w:w="371" w:type="pct"/>
            <w:tcMar>
              <w:top w:w="0" w:type="dxa"/>
              <w:left w:w="45" w:type="dxa"/>
              <w:bottom w:w="0" w:type="dxa"/>
              <w:right w:w="45" w:type="dxa"/>
            </w:tcMar>
            <w:vAlign w:val="center"/>
            <w:hideMark/>
          </w:tcPr>
          <w:p w14:paraId="31A16903" w14:textId="03D34D17" w:rsidR="00F57710" w:rsidRPr="001D4F0F" w:rsidRDefault="00F57710" w:rsidP="005428B3">
            <w:pPr>
              <w:jc w:val="center"/>
              <w:rPr>
                <w:rFonts w:eastAsia="Calibri"/>
                <w:sz w:val="16"/>
                <w:szCs w:val="16"/>
              </w:rPr>
            </w:pPr>
            <w:r w:rsidRPr="001D4F0F">
              <w:rPr>
                <w:rFonts w:eastAsia="Calibri"/>
                <w:sz w:val="16"/>
                <w:szCs w:val="16"/>
              </w:rPr>
              <w:t>2.</w:t>
            </w:r>
            <w:r w:rsidR="000110AA" w:rsidRPr="001D4F0F">
              <w:rPr>
                <w:rFonts w:eastAsia="Calibri"/>
                <w:sz w:val="16"/>
                <w:szCs w:val="16"/>
              </w:rPr>
              <w:t>162</w:t>
            </w:r>
          </w:p>
        </w:tc>
        <w:tc>
          <w:tcPr>
            <w:tcW w:w="523" w:type="pct"/>
            <w:vAlign w:val="center"/>
          </w:tcPr>
          <w:p w14:paraId="18466139" w14:textId="30818B56" w:rsidR="00F57710" w:rsidRPr="001D4F0F" w:rsidRDefault="000110AA" w:rsidP="005428B3">
            <w:pPr>
              <w:jc w:val="center"/>
              <w:rPr>
                <w:rFonts w:eastAsia="Calibri"/>
                <w:sz w:val="16"/>
                <w:szCs w:val="16"/>
              </w:rPr>
            </w:pPr>
            <w:r w:rsidRPr="001D4F0F">
              <w:rPr>
                <w:rFonts w:eastAsia="Calibri"/>
                <w:sz w:val="16"/>
                <w:szCs w:val="16"/>
              </w:rPr>
              <w:t>1.906</w:t>
            </w:r>
          </w:p>
        </w:tc>
        <w:tc>
          <w:tcPr>
            <w:tcW w:w="330" w:type="pct"/>
            <w:vAlign w:val="center"/>
          </w:tcPr>
          <w:p w14:paraId="5F0C85F9" w14:textId="103429C5" w:rsidR="00F57710" w:rsidRPr="001D4F0F" w:rsidRDefault="00903311" w:rsidP="005428B3">
            <w:pPr>
              <w:jc w:val="center"/>
              <w:rPr>
                <w:rFonts w:eastAsia="Calibri"/>
                <w:sz w:val="16"/>
                <w:szCs w:val="16"/>
              </w:rPr>
            </w:pPr>
            <w:r w:rsidRPr="001D4F0F">
              <w:rPr>
                <w:rFonts w:eastAsia="Calibri"/>
                <w:sz w:val="16"/>
                <w:szCs w:val="16"/>
              </w:rPr>
              <w:t>2.</w:t>
            </w:r>
            <w:r w:rsidR="000110AA" w:rsidRPr="001D4F0F">
              <w:rPr>
                <w:rFonts w:eastAsia="Calibri"/>
                <w:sz w:val="16"/>
                <w:szCs w:val="16"/>
              </w:rPr>
              <w:t>280</w:t>
            </w:r>
          </w:p>
        </w:tc>
      </w:tr>
      <w:tr w:rsidR="00F57710" w:rsidRPr="001B4CA2" w14:paraId="2A834082" w14:textId="77777777" w:rsidTr="00C918AA">
        <w:trPr>
          <w:trHeight w:val="285"/>
          <w:jc w:val="center"/>
        </w:trPr>
        <w:tc>
          <w:tcPr>
            <w:tcW w:w="403" w:type="pct"/>
            <w:tcMar>
              <w:top w:w="0" w:type="dxa"/>
              <w:left w:w="45" w:type="dxa"/>
              <w:bottom w:w="0" w:type="dxa"/>
              <w:right w:w="45" w:type="dxa"/>
            </w:tcMar>
            <w:vAlign w:val="center"/>
            <w:hideMark/>
          </w:tcPr>
          <w:p w14:paraId="083F8809" w14:textId="0CF89C1F" w:rsidR="00F57710" w:rsidRPr="001D4F0F" w:rsidRDefault="00F57710" w:rsidP="00FD7797">
            <w:pPr>
              <w:jc w:val="left"/>
              <w:rPr>
                <w:rFonts w:eastAsia="Calibri"/>
                <w:b/>
                <w:bCs/>
                <w:sz w:val="16"/>
                <w:szCs w:val="16"/>
              </w:rPr>
            </w:pPr>
            <w:r w:rsidRPr="001D4F0F">
              <w:rPr>
                <w:rFonts w:eastAsia="Calibri"/>
                <w:b/>
                <w:bCs/>
                <w:sz w:val="16"/>
                <w:szCs w:val="16"/>
              </w:rPr>
              <w:t>UKUPNO</w:t>
            </w:r>
          </w:p>
        </w:tc>
        <w:tc>
          <w:tcPr>
            <w:tcW w:w="565" w:type="pct"/>
            <w:tcMar>
              <w:top w:w="0" w:type="dxa"/>
              <w:left w:w="45" w:type="dxa"/>
              <w:bottom w:w="0" w:type="dxa"/>
              <w:right w:w="45" w:type="dxa"/>
            </w:tcMar>
            <w:vAlign w:val="center"/>
          </w:tcPr>
          <w:p w14:paraId="085278CC" w14:textId="221E5BE1" w:rsidR="00F57710" w:rsidRPr="001D4F0F" w:rsidRDefault="00F57710" w:rsidP="005428B3">
            <w:pPr>
              <w:jc w:val="center"/>
              <w:rPr>
                <w:rFonts w:eastAsia="Calibri"/>
                <w:b/>
                <w:bCs/>
                <w:sz w:val="16"/>
                <w:szCs w:val="16"/>
              </w:rPr>
            </w:pPr>
            <w:r w:rsidRPr="001D4F0F">
              <w:rPr>
                <w:rFonts w:eastAsia="Calibri"/>
                <w:b/>
                <w:bCs/>
                <w:sz w:val="16"/>
                <w:szCs w:val="16"/>
              </w:rPr>
              <w:t>3</w:t>
            </w:r>
            <w:r w:rsidR="004C7D50" w:rsidRPr="001D4F0F">
              <w:rPr>
                <w:rFonts w:eastAsia="Calibri"/>
                <w:b/>
                <w:bCs/>
                <w:sz w:val="16"/>
                <w:szCs w:val="16"/>
              </w:rPr>
              <w:t>2.442</w:t>
            </w:r>
          </w:p>
        </w:tc>
        <w:tc>
          <w:tcPr>
            <w:tcW w:w="371" w:type="pct"/>
            <w:tcMar>
              <w:top w:w="0" w:type="dxa"/>
              <w:left w:w="45" w:type="dxa"/>
              <w:bottom w:w="0" w:type="dxa"/>
              <w:right w:w="45" w:type="dxa"/>
            </w:tcMar>
            <w:vAlign w:val="center"/>
          </w:tcPr>
          <w:p w14:paraId="5EF0CE13" w14:textId="15AC31A4" w:rsidR="00F57710" w:rsidRPr="001D4F0F" w:rsidRDefault="008D5ABC" w:rsidP="005428B3">
            <w:pPr>
              <w:jc w:val="center"/>
              <w:rPr>
                <w:rFonts w:eastAsia="Calibri"/>
                <w:b/>
                <w:bCs/>
                <w:sz w:val="16"/>
                <w:szCs w:val="16"/>
              </w:rPr>
            </w:pPr>
            <w:r w:rsidRPr="001D4F0F">
              <w:rPr>
                <w:rFonts w:eastAsia="Calibri"/>
                <w:b/>
                <w:bCs/>
                <w:sz w:val="16"/>
                <w:szCs w:val="16"/>
              </w:rPr>
              <w:t>44.203</w:t>
            </w:r>
          </w:p>
        </w:tc>
        <w:tc>
          <w:tcPr>
            <w:tcW w:w="565" w:type="pct"/>
            <w:tcMar>
              <w:top w:w="0" w:type="dxa"/>
              <w:left w:w="45" w:type="dxa"/>
              <w:bottom w:w="0" w:type="dxa"/>
              <w:right w:w="45" w:type="dxa"/>
            </w:tcMar>
            <w:vAlign w:val="center"/>
            <w:hideMark/>
          </w:tcPr>
          <w:p w14:paraId="571E8FEF" w14:textId="6EA5FE0C" w:rsidR="00F57710" w:rsidRPr="001D4F0F" w:rsidRDefault="00F57710" w:rsidP="005428B3">
            <w:pPr>
              <w:jc w:val="center"/>
              <w:rPr>
                <w:rFonts w:eastAsia="Calibri"/>
                <w:b/>
                <w:bCs/>
                <w:sz w:val="16"/>
                <w:szCs w:val="16"/>
              </w:rPr>
            </w:pPr>
            <w:r w:rsidRPr="001D4F0F">
              <w:rPr>
                <w:rFonts w:eastAsia="Calibri"/>
                <w:b/>
                <w:bCs/>
                <w:sz w:val="16"/>
                <w:szCs w:val="16"/>
              </w:rPr>
              <w:t>3</w:t>
            </w:r>
            <w:r w:rsidR="00E004D0" w:rsidRPr="001D4F0F">
              <w:rPr>
                <w:rFonts w:eastAsia="Calibri"/>
                <w:b/>
                <w:bCs/>
                <w:sz w:val="16"/>
                <w:szCs w:val="16"/>
              </w:rPr>
              <w:t>3.192</w:t>
            </w:r>
          </w:p>
        </w:tc>
        <w:tc>
          <w:tcPr>
            <w:tcW w:w="371" w:type="pct"/>
            <w:tcMar>
              <w:top w:w="0" w:type="dxa"/>
              <w:left w:w="45" w:type="dxa"/>
              <w:bottom w:w="0" w:type="dxa"/>
              <w:right w:w="45" w:type="dxa"/>
            </w:tcMar>
            <w:vAlign w:val="center"/>
            <w:hideMark/>
          </w:tcPr>
          <w:p w14:paraId="4A84A648" w14:textId="58DE0BED" w:rsidR="00F57710" w:rsidRPr="001D4F0F" w:rsidRDefault="00E004D0" w:rsidP="005428B3">
            <w:pPr>
              <w:jc w:val="center"/>
              <w:rPr>
                <w:rFonts w:eastAsia="Calibri"/>
                <w:b/>
                <w:bCs/>
                <w:sz w:val="16"/>
                <w:szCs w:val="16"/>
              </w:rPr>
            </w:pPr>
            <w:r w:rsidRPr="001D4F0F">
              <w:rPr>
                <w:rFonts w:eastAsia="Calibri"/>
                <w:b/>
                <w:bCs/>
                <w:sz w:val="16"/>
                <w:szCs w:val="16"/>
              </w:rPr>
              <w:t>45.292</w:t>
            </w:r>
          </w:p>
        </w:tc>
        <w:tc>
          <w:tcPr>
            <w:tcW w:w="565" w:type="pct"/>
            <w:tcMar>
              <w:top w:w="0" w:type="dxa"/>
              <w:left w:w="45" w:type="dxa"/>
              <w:bottom w:w="0" w:type="dxa"/>
              <w:right w:w="45" w:type="dxa"/>
            </w:tcMar>
            <w:vAlign w:val="center"/>
            <w:hideMark/>
          </w:tcPr>
          <w:p w14:paraId="5DEBE58E" w14:textId="64D68C81" w:rsidR="00F57710" w:rsidRPr="001D4F0F" w:rsidRDefault="00DD0936" w:rsidP="005428B3">
            <w:pPr>
              <w:jc w:val="center"/>
              <w:rPr>
                <w:rFonts w:eastAsia="Calibri"/>
                <w:b/>
                <w:bCs/>
                <w:sz w:val="16"/>
                <w:szCs w:val="16"/>
              </w:rPr>
            </w:pPr>
            <w:r w:rsidRPr="001D4F0F">
              <w:rPr>
                <w:rFonts w:eastAsia="Calibri"/>
                <w:b/>
                <w:bCs/>
                <w:sz w:val="16"/>
                <w:szCs w:val="16"/>
              </w:rPr>
              <w:t>36.461</w:t>
            </w:r>
          </w:p>
        </w:tc>
        <w:tc>
          <w:tcPr>
            <w:tcW w:w="371" w:type="pct"/>
            <w:tcMar>
              <w:top w:w="0" w:type="dxa"/>
              <w:left w:w="45" w:type="dxa"/>
              <w:bottom w:w="0" w:type="dxa"/>
              <w:right w:w="45" w:type="dxa"/>
            </w:tcMar>
            <w:vAlign w:val="center"/>
            <w:hideMark/>
          </w:tcPr>
          <w:p w14:paraId="3DD26AC7" w14:textId="71CD3A01" w:rsidR="00F57710" w:rsidRPr="001D4F0F" w:rsidRDefault="00DD0936" w:rsidP="005428B3">
            <w:pPr>
              <w:jc w:val="center"/>
              <w:rPr>
                <w:rFonts w:eastAsia="Calibri"/>
                <w:b/>
                <w:bCs/>
                <w:sz w:val="16"/>
                <w:szCs w:val="16"/>
              </w:rPr>
            </w:pPr>
            <w:r w:rsidRPr="001D4F0F">
              <w:rPr>
                <w:rFonts w:eastAsia="Calibri"/>
                <w:b/>
                <w:bCs/>
                <w:sz w:val="16"/>
                <w:szCs w:val="16"/>
              </w:rPr>
              <w:t>47.874</w:t>
            </w:r>
          </w:p>
        </w:tc>
        <w:tc>
          <w:tcPr>
            <w:tcW w:w="565" w:type="pct"/>
            <w:tcMar>
              <w:top w:w="0" w:type="dxa"/>
              <w:left w:w="45" w:type="dxa"/>
              <w:bottom w:w="0" w:type="dxa"/>
              <w:right w:w="45" w:type="dxa"/>
            </w:tcMar>
            <w:vAlign w:val="center"/>
            <w:hideMark/>
          </w:tcPr>
          <w:p w14:paraId="4C57273D" w14:textId="7EAB06FE" w:rsidR="00F57710" w:rsidRPr="001D4F0F" w:rsidRDefault="000110AA" w:rsidP="005428B3">
            <w:pPr>
              <w:jc w:val="center"/>
              <w:rPr>
                <w:rFonts w:eastAsia="Calibri"/>
                <w:b/>
                <w:bCs/>
                <w:sz w:val="16"/>
                <w:szCs w:val="16"/>
              </w:rPr>
            </w:pPr>
            <w:r w:rsidRPr="001D4F0F">
              <w:rPr>
                <w:rFonts w:eastAsia="Calibri"/>
                <w:b/>
                <w:bCs/>
                <w:sz w:val="16"/>
                <w:szCs w:val="16"/>
              </w:rPr>
              <w:t>37.583</w:t>
            </w:r>
          </w:p>
        </w:tc>
        <w:tc>
          <w:tcPr>
            <w:tcW w:w="371" w:type="pct"/>
            <w:tcMar>
              <w:top w:w="0" w:type="dxa"/>
              <w:left w:w="45" w:type="dxa"/>
              <w:bottom w:w="0" w:type="dxa"/>
              <w:right w:w="45" w:type="dxa"/>
            </w:tcMar>
            <w:vAlign w:val="center"/>
            <w:hideMark/>
          </w:tcPr>
          <w:p w14:paraId="46892BEC" w14:textId="59AFF918" w:rsidR="00F57710" w:rsidRPr="001D4F0F" w:rsidRDefault="000110AA" w:rsidP="005428B3">
            <w:pPr>
              <w:jc w:val="center"/>
              <w:rPr>
                <w:rFonts w:eastAsia="Calibri"/>
                <w:b/>
                <w:bCs/>
                <w:sz w:val="16"/>
                <w:szCs w:val="16"/>
              </w:rPr>
            </w:pPr>
            <w:r w:rsidRPr="001D4F0F">
              <w:rPr>
                <w:rFonts w:eastAsia="Calibri"/>
                <w:b/>
                <w:bCs/>
                <w:sz w:val="16"/>
                <w:szCs w:val="16"/>
              </w:rPr>
              <w:t>48.614</w:t>
            </w:r>
          </w:p>
        </w:tc>
        <w:tc>
          <w:tcPr>
            <w:tcW w:w="523" w:type="pct"/>
            <w:vAlign w:val="center"/>
          </w:tcPr>
          <w:p w14:paraId="1766D1A2" w14:textId="27ADF6A7" w:rsidR="00F57710" w:rsidRPr="001D4F0F" w:rsidRDefault="000110AA" w:rsidP="005428B3">
            <w:pPr>
              <w:jc w:val="center"/>
              <w:rPr>
                <w:rFonts w:eastAsia="Calibri"/>
                <w:b/>
                <w:bCs/>
                <w:sz w:val="16"/>
                <w:szCs w:val="16"/>
              </w:rPr>
            </w:pPr>
            <w:r w:rsidRPr="001D4F0F">
              <w:rPr>
                <w:rFonts w:eastAsia="Calibri"/>
                <w:b/>
                <w:bCs/>
                <w:sz w:val="16"/>
                <w:szCs w:val="16"/>
              </w:rPr>
              <w:t>38.290</w:t>
            </w:r>
          </w:p>
        </w:tc>
        <w:tc>
          <w:tcPr>
            <w:tcW w:w="330" w:type="pct"/>
            <w:vAlign w:val="center"/>
          </w:tcPr>
          <w:p w14:paraId="5E84DF9C" w14:textId="372A9DE7" w:rsidR="00F57710" w:rsidRPr="001D4F0F" w:rsidRDefault="0016047E" w:rsidP="005428B3">
            <w:pPr>
              <w:jc w:val="center"/>
              <w:rPr>
                <w:rFonts w:eastAsia="Calibri"/>
                <w:b/>
                <w:bCs/>
                <w:sz w:val="16"/>
                <w:szCs w:val="16"/>
              </w:rPr>
            </w:pPr>
            <w:r w:rsidRPr="001D4F0F">
              <w:rPr>
                <w:rFonts w:eastAsia="Calibri"/>
                <w:b/>
                <w:bCs/>
                <w:sz w:val="16"/>
                <w:szCs w:val="16"/>
              </w:rPr>
              <w:t>50.570</w:t>
            </w:r>
          </w:p>
        </w:tc>
      </w:tr>
    </w:tbl>
    <w:p w14:paraId="084E9718" w14:textId="77777777" w:rsidR="004858A0" w:rsidRPr="001B4CA2" w:rsidRDefault="004858A0" w:rsidP="004858A0"/>
    <w:p w14:paraId="3F219F68" w14:textId="23CA9DD3" w:rsidR="0016047E" w:rsidRPr="001B4CA2" w:rsidRDefault="0016047E" w:rsidP="009563BF">
      <w:pPr>
        <w:ind w:firstLine="708"/>
      </w:pPr>
      <w:r w:rsidRPr="001B4CA2">
        <w:t xml:space="preserve">Općinska </w:t>
      </w:r>
      <w:r w:rsidR="0016095C" w:rsidRPr="001B4CA2">
        <w:t xml:space="preserve">su </w:t>
      </w:r>
      <w:r w:rsidRPr="001B4CA2">
        <w:t>državna odvjetništva tijekom 2022. godine zaprimila 707 kaznenih prijava protiv poznatih počinitelja (sve fizičke i pravne osobe) više nego 2021. godine, što predstavlja porast od 1,9</w:t>
      </w:r>
      <w:r w:rsidR="0016095C">
        <w:t> </w:t>
      </w:r>
      <w:r w:rsidRPr="001B4CA2">
        <w:t>%. Naime, tijekom 2022. godine zaprimljeno je 38.290 kaznenih prijava protiv poznatih počinitelja, dok su u 2021. godini bile prijavljene 37.583 osobe.</w:t>
      </w:r>
    </w:p>
    <w:p w14:paraId="07ED310D" w14:textId="77777777" w:rsidR="0016047E" w:rsidRPr="001B4CA2" w:rsidRDefault="0016047E" w:rsidP="0016047E"/>
    <w:p w14:paraId="317F7227" w14:textId="19EC650D" w:rsidR="0016047E" w:rsidRPr="001B4CA2" w:rsidRDefault="0016047E" w:rsidP="0016047E">
      <w:r w:rsidRPr="001B4CA2">
        <w:tab/>
        <w:t>Statističke podatke koji su važni za ocjenu strukture i kretanja kriminaliteta u bitnome određuje rad općinskih državnih odvjetništava, s obzirom na činjenicu da kaznena djela iz stvarne nadležnosti općinskih državnih odvjetništava participiraju u ukupnom radu svih redovnih državnih odvjetništava (općinska i županijska), zajedno sa specijaliziranim državnim odvjetništvom (Ured za suzbijanje korupcije i organiziranog kriminaliteta) s 92</w:t>
      </w:r>
      <w:r w:rsidR="0016095C">
        <w:t> </w:t>
      </w:r>
      <w:r w:rsidRPr="001B4CA2">
        <w:t xml:space="preserve">%. Naime, općinska državna odvjetništva u 2022. godini imaju ukupno prijavljenih 38.290 osoba, a ukupan broj prijavljenih osoba za sva državna odvjetništva u 2022. godini iznosi 41.613. </w:t>
      </w:r>
    </w:p>
    <w:p w14:paraId="014AFF04" w14:textId="77777777" w:rsidR="0016047E" w:rsidRPr="001B4CA2" w:rsidRDefault="0016047E" w:rsidP="0016047E"/>
    <w:p w14:paraId="3525DC73" w14:textId="5154B081" w:rsidR="0016047E" w:rsidRPr="001B4CA2" w:rsidRDefault="005B2800" w:rsidP="0016047E">
      <w:r w:rsidRPr="001B4CA2">
        <w:tab/>
      </w:r>
      <w:r w:rsidR="0016047E" w:rsidRPr="001B4CA2">
        <w:t>Pritom se 36.982 kaznene prijave odnosi na poznate fizičke osobe koje bilježe porast od 1,5% u odnosu na prethodnu godinu (2021. – 36.447 prijavljenih fizičkih osoba). Kaznene prijave protiv poznatih fizičkih osoba uključuju kaznene prijave protiv odraslih osoba (od navršene 21. godine života), mlađe punoljetne osobe (od 18. do 21. godine života) i maloljetnike (od 14. do 18. godine života).</w:t>
      </w:r>
    </w:p>
    <w:p w14:paraId="0886F0C3" w14:textId="77777777" w:rsidR="0016047E" w:rsidRPr="001B4CA2" w:rsidRDefault="0016047E" w:rsidP="0016047E"/>
    <w:p w14:paraId="3BCF24AC" w14:textId="14CB9862" w:rsidR="0016047E" w:rsidRPr="001B4CA2" w:rsidRDefault="0016047E" w:rsidP="0016047E">
      <w:r w:rsidRPr="001B4CA2">
        <w:t xml:space="preserve"> </w:t>
      </w:r>
      <w:r w:rsidR="005B2800" w:rsidRPr="001B4CA2">
        <w:tab/>
      </w:r>
      <w:r w:rsidRPr="001B4CA2">
        <w:t xml:space="preserve">U izvještajnom </w:t>
      </w:r>
      <w:r w:rsidR="00753708" w:rsidRPr="001B4CA2">
        <w:t xml:space="preserve">je </w:t>
      </w:r>
      <w:r w:rsidRPr="001B4CA2">
        <w:t>razdoblju prijavljeno 1.308 pravnih osoba, što su 172 prijavljene pravne osobe više nego prethodne godine (2021. – 1.136 prijavljenih pravnih osoba) i predstavlja porast od 15,1</w:t>
      </w:r>
      <w:r w:rsidR="00753708">
        <w:t> </w:t>
      </w:r>
      <w:r w:rsidRPr="001B4CA2">
        <w:t>%.</w:t>
      </w:r>
    </w:p>
    <w:p w14:paraId="14BEA2AE" w14:textId="77777777" w:rsidR="0016047E" w:rsidRPr="001B4CA2" w:rsidRDefault="0016047E" w:rsidP="0016047E"/>
    <w:p w14:paraId="7073B43E" w14:textId="1D7F395A" w:rsidR="0016047E" w:rsidRPr="001B4CA2" w:rsidRDefault="0016047E" w:rsidP="0016047E">
      <w:r w:rsidRPr="001B4CA2">
        <w:tab/>
        <w:t xml:space="preserve"> Što se tiče dobnih skupina prijavljenih fizičkih osoba, vidljivo je da su i u 2022. godini najzastupljenije kaznene prijave podnesene protiv odraslih osoba s 32.966 prijava (86,1</w:t>
      </w:r>
      <w:r w:rsidR="00753708">
        <w:t> </w:t>
      </w:r>
      <w:r w:rsidRPr="001B4CA2">
        <w:t>%), iza kojih slijede mlađe punoljetne osobe s 2.110 prijava (5,5</w:t>
      </w:r>
      <w:r w:rsidR="00753708">
        <w:t> </w:t>
      </w:r>
      <w:r w:rsidRPr="001B4CA2">
        <w:t>%) te maloljetne osobe s 1.906 prijava (5</w:t>
      </w:r>
      <w:r w:rsidR="00753708">
        <w:t> </w:t>
      </w:r>
      <w:r w:rsidRPr="001B4CA2">
        <w:t>%). Najmanji udio, odnosno 3,4</w:t>
      </w:r>
      <w:r w:rsidR="00753708">
        <w:t> </w:t>
      </w:r>
      <w:r w:rsidRPr="001B4CA2">
        <w:t>% prijava se odnosi na pravne osobe (1.308 prijava). Struktura prijava protiv poznatih počinitelja ne pokazuje znatnija odstupanja u odnosu na prethodnu 2021. godinu kada su kaznene prijave u odnosu na odrasle osobe participirale s 86,3%, mlađe punoljetne osobe s 5,9</w:t>
      </w:r>
      <w:r w:rsidR="00753708">
        <w:t> </w:t>
      </w:r>
      <w:r w:rsidRPr="001B4CA2">
        <w:t>%, maloljetne osobe s 4,8</w:t>
      </w:r>
      <w:r w:rsidR="00753708">
        <w:t> </w:t>
      </w:r>
      <w:r w:rsidRPr="001B4CA2">
        <w:t>% i pravne osobe s 3</w:t>
      </w:r>
      <w:r w:rsidR="00753708">
        <w:t> </w:t>
      </w:r>
      <w:r w:rsidRPr="001B4CA2">
        <w:t>%.</w:t>
      </w:r>
    </w:p>
    <w:p w14:paraId="66163620" w14:textId="6A2A8522" w:rsidR="00C918AA" w:rsidRDefault="00C918AA" w:rsidP="0016047E">
      <w:pPr>
        <w:rPr>
          <w:i/>
        </w:rPr>
      </w:pPr>
    </w:p>
    <w:p w14:paraId="7C426BA6" w14:textId="77777777" w:rsidR="001D4F0F" w:rsidRPr="001B4CA2" w:rsidRDefault="001D4F0F" w:rsidP="0016047E">
      <w:pPr>
        <w:rPr>
          <w:i/>
        </w:rPr>
      </w:pPr>
    </w:p>
    <w:p w14:paraId="07AAA593" w14:textId="048CD875" w:rsidR="0016047E" w:rsidRPr="001B4CA2" w:rsidRDefault="001B4CA2" w:rsidP="0016047E">
      <w:pPr>
        <w:rPr>
          <w:i/>
        </w:rPr>
      </w:pPr>
      <w:r>
        <w:rPr>
          <w:i/>
        </w:rPr>
        <w:lastRenderedPageBreak/>
        <w:t xml:space="preserve">  </w:t>
      </w:r>
      <w:r>
        <w:rPr>
          <w:i/>
        </w:rPr>
        <w:tab/>
      </w:r>
      <w:r w:rsidR="001D4F0F">
        <w:rPr>
          <w:i/>
        </w:rPr>
        <w:t xml:space="preserve">  </w:t>
      </w:r>
      <w:r>
        <w:rPr>
          <w:i/>
        </w:rPr>
        <w:t>S</w:t>
      </w:r>
      <w:r w:rsidR="0016047E" w:rsidRPr="001B4CA2">
        <w:rPr>
          <w:i/>
        </w:rPr>
        <w:t>truktura kriminaliteta</w:t>
      </w:r>
    </w:p>
    <w:tbl>
      <w:tblPr>
        <w:tblW w:w="7340" w:type="dxa"/>
        <w:tblInd w:w="867" w:type="dxa"/>
        <w:tblLook w:val="04A0" w:firstRow="1" w:lastRow="0" w:firstColumn="1" w:lastColumn="0" w:noHBand="0" w:noVBand="1"/>
      </w:tblPr>
      <w:tblGrid>
        <w:gridCol w:w="2380"/>
        <w:gridCol w:w="1474"/>
        <w:gridCol w:w="1905"/>
        <w:gridCol w:w="1581"/>
      </w:tblGrid>
      <w:tr w:rsidR="0016047E" w:rsidRPr="001B4CA2" w14:paraId="7E8F6972" w14:textId="77777777" w:rsidTr="00B53DA7">
        <w:trPr>
          <w:trHeight w:val="915"/>
        </w:trPr>
        <w:tc>
          <w:tcPr>
            <w:tcW w:w="2380" w:type="dxa"/>
            <w:tcBorders>
              <w:top w:val="single" w:sz="8" w:space="0" w:color="auto"/>
              <w:left w:val="single" w:sz="8" w:space="0" w:color="auto"/>
              <w:bottom w:val="single" w:sz="8" w:space="0" w:color="auto"/>
              <w:right w:val="single" w:sz="8" w:space="0" w:color="auto"/>
            </w:tcBorders>
            <w:shd w:val="clear" w:color="000000" w:fill="99CCFF"/>
            <w:noWrap/>
            <w:vAlign w:val="center"/>
            <w:hideMark/>
          </w:tcPr>
          <w:p w14:paraId="389EACB4" w14:textId="77777777" w:rsidR="0016047E" w:rsidRPr="001B4CA2" w:rsidRDefault="0016047E"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Kaznena djela</w:t>
            </w:r>
          </w:p>
        </w:tc>
        <w:tc>
          <w:tcPr>
            <w:tcW w:w="1474" w:type="dxa"/>
            <w:tcBorders>
              <w:top w:val="single" w:sz="8" w:space="0" w:color="auto"/>
              <w:left w:val="nil"/>
              <w:bottom w:val="single" w:sz="8" w:space="0" w:color="auto"/>
              <w:right w:val="single" w:sz="8" w:space="0" w:color="auto"/>
            </w:tcBorders>
            <w:shd w:val="clear" w:color="000000" w:fill="99CCFF"/>
            <w:vAlign w:val="center"/>
            <w:hideMark/>
          </w:tcPr>
          <w:p w14:paraId="3A5446FD" w14:textId="77777777" w:rsidR="0016047E" w:rsidRPr="001B4CA2" w:rsidRDefault="0016047E"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Broj prijavljenih u 2021.</w:t>
            </w:r>
          </w:p>
        </w:tc>
        <w:tc>
          <w:tcPr>
            <w:tcW w:w="1905" w:type="dxa"/>
            <w:tcBorders>
              <w:top w:val="single" w:sz="8" w:space="0" w:color="auto"/>
              <w:left w:val="nil"/>
              <w:bottom w:val="single" w:sz="8" w:space="0" w:color="auto"/>
              <w:right w:val="nil"/>
            </w:tcBorders>
            <w:shd w:val="clear" w:color="000000" w:fill="99CCFF"/>
            <w:vAlign w:val="center"/>
            <w:hideMark/>
          </w:tcPr>
          <w:p w14:paraId="4E342A55" w14:textId="77777777" w:rsidR="0016047E" w:rsidRPr="001B4CA2" w:rsidRDefault="0016047E"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Broj prijavljenih u 2022.</w:t>
            </w:r>
          </w:p>
        </w:tc>
        <w:tc>
          <w:tcPr>
            <w:tcW w:w="1581" w:type="dxa"/>
            <w:tcBorders>
              <w:top w:val="single" w:sz="8" w:space="0" w:color="auto"/>
              <w:left w:val="single" w:sz="8" w:space="0" w:color="auto"/>
              <w:bottom w:val="single" w:sz="8" w:space="0" w:color="auto"/>
              <w:right w:val="single" w:sz="8" w:space="0" w:color="auto"/>
            </w:tcBorders>
            <w:shd w:val="clear" w:color="000000" w:fill="99CCFF"/>
            <w:vAlign w:val="center"/>
            <w:hideMark/>
          </w:tcPr>
          <w:p w14:paraId="4248D13A" w14:textId="77777777" w:rsidR="0016047E" w:rsidRPr="001B4CA2" w:rsidRDefault="0016047E"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Porast – pad</w:t>
            </w:r>
          </w:p>
        </w:tc>
      </w:tr>
      <w:tr w:rsidR="0016047E" w:rsidRPr="001B4CA2" w14:paraId="4F0543AB" w14:textId="77777777" w:rsidTr="00B53DA7">
        <w:trPr>
          <w:trHeight w:val="300"/>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5ECD3046" w14:textId="77777777" w:rsidR="0016047E" w:rsidRPr="001B4CA2" w:rsidRDefault="0016047E"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Članak 139. KZ/11</w:t>
            </w:r>
          </w:p>
        </w:tc>
        <w:tc>
          <w:tcPr>
            <w:tcW w:w="1474" w:type="dxa"/>
            <w:tcBorders>
              <w:top w:val="nil"/>
              <w:left w:val="nil"/>
              <w:bottom w:val="single" w:sz="8" w:space="0" w:color="auto"/>
              <w:right w:val="single" w:sz="8" w:space="0" w:color="auto"/>
            </w:tcBorders>
            <w:shd w:val="clear" w:color="auto" w:fill="auto"/>
            <w:noWrap/>
            <w:vAlign w:val="center"/>
            <w:hideMark/>
          </w:tcPr>
          <w:p w14:paraId="00C1E2FF"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5.976 (15,9%)</w:t>
            </w:r>
          </w:p>
        </w:tc>
        <w:tc>
          <w:tcPr>
            <w:tcW w:w="1905" w:type="dxa"/>
            <w:tcBorders>
              <w:top w:val="nil"/>
              <w:left w:val="nil"/>
              <w:bottom w:val="single" w:sz="8" w:space="0" w:color="auto"/>
              <w:right w:val="nil"/>
            </w:tcBorders>
            <w:shd w:val="clear" w:color="auto" w:fill="auto"/>
            <w:noWrap/>
            <w:vAlign w:val="center"/>
            <w:hideMark/>
          </w:tcPr>
          <w:p w14:paraId="292E03E4"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5.727</w:t>
            </w:r>
          </w:p>
          <w:p w14:paraId="6557FE98"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(15%)</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7BCEFE78"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4,2% pad</w:t>
            </w:r>
          </w:p>
        </w:tc>
      </w:tr>
      <w:tr w:rsidR="0016047E" w:rsidRPr="001B4CA2" w14:paraId="5B346A5E" w14:textId="77777777" w:rsidTr="00B53DA7">
        <w:trPr>
          <w:trHeight w:val="300"/>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1801DD8D" w14:textId="77777777" w:rsidR="0016047E" w:rsidRPr="001B4CA2" w:rsidRDefault="0016047E"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Članak 228. KZ/11</w:t>
            </w:r>
          </w:p>
        </w:tc>
        <w:tc>
          <w:tcPr>
            <w:tcW w:w="1474" w:type="dxa"/>
            <w:tcBorders>
              <w:top w:val="nil"/>
              <w:left w:val="nil"/>
              <w:bottom w:val="single" w:sz="8" w:space="0" w:color="auto"/>
              <w:right w:val="single" w:sz="8" w:space="0" w:color="auto"/>
            </w:tcBorders>
            <w:shd w:val="clear" w:color="auto" w:fill="auto"/>
            <w:noWrap/>
            <w:vAlign w:val="center"/>
            <w:hideMark/>
          </w:tcPr>
          <w:p w14:paraId="1A9D2951"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xml:space="preserve">3.387 </w:t>
            </w:r>
          </w:p>
          <w:p w14:paraId="1A46B9A8"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(9%)</w:t>
            </w:r>
          </w:p>
        </w:tc>
        <w:tc>
          <w:tcPr>
            <w:tcW w:w="1905" w:type="dxa"/>
            <w:tcBorders>
              <w:top w:val="nil"/>
              <w:left w:val="nil"/>
              <w:bottom w:val="single" w:sz="8" w:space="0" w:color="auto"/>
              <w:right w:val="nil"/>
            </w:tcBorders>
            <w:shd w:val="clear" w:color="auto" w:fill="auto"/>
            <w:noWrap/>
            <w:vAlign w:val="center"/>
            <w:hideMark/>
          </w:tcPr>
          <w:p w14:paraId="264D2279"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3.591</w:t>
            </w:r>
          </w:p>
          <w:p w14:paraId="78303786"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(9,4%)</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6CCEF907"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6% porast</w:t>
            </w:r>
          </w:p>
        </w:tc>
      </w:tr>
      <w:tr w:rsidR="0016047E" w:rsidRPr="001B4CA2" w14:paraId="20B5F69E" w14:textId="77777777" w:rsidTr="00B53DA7">
        <w:trPr>
          <w:trHeight w:val="300"/>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04E1767D" w14:textId="77777777" w:rsidR="0016047E" w:rsidRPr="001B4CA2" w:rsidRDefault="0016047E"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Članak 236. KZ/11</w:t>
            </w:r>
          </w:p>
        </w:tc>
        <w:tc>
          <w:tcPr>
            <w:tcW w:w="1474" w:type="dxa"/>
            <w:tcBorders>
              <w:top w:val="nil"/>
              <w:left w:val="nil"/>
              <w:bottom w:val="single" w:sz="8" w:space="0" w:color="auto"/>
              <w:right w:val="single" w:sz="8" w:space="0" w:color="auto"/>
            </w:tcBorders>
            <w:shd w:val="clear" w:color="auto" w:fill="auto"/>
            <w:noWrap/>
            <w:vAlign w:val="center"/>
            <w:hideMark/>
          </w:tcPr>
          <w:p w14:paraId="588B40D2"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2.987 (7,9%)</w:t>
            </w:r>
          </w:p>
        </w:tc>
        <w:tc>
          <w:tcPr>
            <w:tcW w:w="1905" w:type="dxa"/>
            <w:tcBorders>
              <w:top w:val="nil"/>
              <w:left w:val="nil"/>
              <w:bottom w:val="single" w:sz="8" w:space="0" w:color="auto"/>
              <w:right w:val="nil"/>
            </w:tcBorders>
            <w:shd w:val="clear" w:color="auto" w:fill="auto"/>
            <w:noWrap/>
            <w:vAlign w:val="center"/>
            <w:hideMark/>
          </w:tcPr>
          <w:p w14:paraId="7142A6F5"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3.508</w:t>
            </w:r>
          </w:p>
          <w:p w14:paraId="250BE9B6"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(9,2%)</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5511A363"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17,4% porast</w:t>
            </w:r>
          </w:p>
        </w:tc>
      </w:tr>
      <w:tr w:rsidR="0016047E" w:rsidRPr="001B4CA2" w14:paraId="1A84BCD9" w14:textId="77777777" w:rsidTr="00B53DA7">
        <w:trPr>
          <w:trHeight w:val="300"/>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7FC2C337" w14:textId="77777777" w:rsidR="0016047E" w:rsidRPr="001B4CA2" w:rsidRDefault="0016047E"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Članak 229. KZ/11</w:t>
            </w:r>
          </w:p>
        </w:tc>
        <w:tc>
          <w:tcPr>
            <w:tcW w:w="1474" w:type="dxa"/>
            <w:tcBorders>
              <w:top w:val="nil"/>
              <w:left w:val="nil"/>
              <w:bottom w:val="single" w:sz="8" w:space="0" w:color="auto"/>
              <w:right w:val="single" w:sz="8" w:space="0" w:color="auto"/>
            </w:tcBorders>
            <w:shd w:val="clear" w:color="auto" w:fill="auto"/>
            <w:noWrap/>
            <w:vAlign w:val="center"/>
            <w:hideMark/>
          </w:tcPr>
          <w:p w14:paraId="6DC8218B"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2.001 (5,3%)</w:t>
            </w:r>
          </w:p>
        </w:tc>
        <w:tc>
          <w:tcPr>
            <w:tcW w:w="1905" w:type="dxa"/>
            <w:tcBorders>
              <w:top w:val="nil"/>
              <w:left w:val="nil"/>
              <w:bottom w:val="single" w:sz="8" w:space="0" w:color="auto"/>
              <w:right w:val="nil"/>
            </w:tcBorders>
            <w:shd w:val="clear" w:color="auto" w:fill="auto"/>
            <w:noWrap/>
            <w:vAlign w:val="center"/>
            <w:hideMark/>
          </w:tcPr>
          <w:p w14:paraId="31BBC869"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1.776</w:t>
            </w:r>
          </w:p>
          <w:p w14:paraId="0C0421D0"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(4,6%)</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1591EED9"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11,2% pad </w:t>
            </w:r>
          </w:p>
        </w:tc>
      </w:tr>
      <w:tr w:rsidR="0016047E" w:rsidRPr="001B4CA2" w14:paraId="5C792C20" w14:textId="77777777" w:rsidTr="00B53DA7">
        <w:trPr>
          <w:trHeight w:val="300"/>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714D8547" w14:textId="77777777" w:rsidR="0016047E" w:rsidRPr="001B4CA2" w:rsidRDefault="0016047E"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Članak 177. KZ/11</w:t>
            </w:r>
          </w:p>
        </w:tc>
        <w:tc>
          <w:tcPr>
            <w:tcW w:w="1474" w:type="dxa"/>
            <w:tcBorders>
              <w:top w:val="nil"/>
              <w:left w:val="nil"/>
              <w:bottom w:val="single" w:sz="8" w:space="0" w:color="auto"/>
              <w:right w:val="single" w:sz="8" w:space="0" w:color="auto"/>
            </w:tcBorders>
            <w:shd w:val="clear" w:color="auto" w:fill="auto"/>
            <w:noWrap/>
            <w:vAlign w:val="center"/>
            <w:hideMark/>
          </w:tcPr>
          <w:p w14:paraId="45FEFAB1"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1.414 (3,8%)</w:t>
            </w:r>
          </w:p>
        </w:tc>
        <w:tc>
          <w:tcPr>
            <w:tcW w:w="1905" w:type="dxa"/>
            <w:tcBorders>
              <w:top w:val="nil"/>
              <w:left w:val="nil"/>
              <w:bottom w:val="single" w:sz="8" w:space="0" w:color="auto"/>
              <w:right w:val="nil"/>
            </w:tcBorders>
            <w:shd w:val="clear" w:color="auto" w:fill="auto"/>
            <w:noWrap/>
            <w:vAlign w:val="center"/>
            <w:hideMark/>
          </w:tcPr>
          <w:p w14:paraId="61E4228E"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1.657</w:t>
            </w:r>
          </w:p>
          <w:p w14:paraId="080E7BA7"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(3,5%)</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2EAA75E2"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17,2% porast</w:t>
            </w:r>
          </w:p>
        </w:tc>
      </w:tr>
      <w:tr w:rsidR="0016047E" w:rsidRPr="001B4CA2" w14:paraId="0A8C7743" w14:textId="77777777" w:rsidTr="00B53DA7">
        <w:trPr>
          <w:trHeight w:val="300"/>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2F9EBD57" w14:textId="77777777" w:rsidR="0016047E" w:rsidRPr="001B4CA2" w:rsidRDefault="0016047E"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xml:space="preserve"> Članak 235. KZ/11 </w:t>
            </w:r>
          </w:p>
        </w:tc>
        <w:tc>
          <w:tcPr>
            <w:tcW w:w="1474" w:type="dxa"/>
            <w:tcBorders>
              <w:top w:val="nil"/>
              <w:left w:val="nil"/>
              <w:bottom w:val="single" w:sz="8" w:space="0" w:color="auto"/>
              <w:right w:val="single" w:sz="8" w:space="0" w:color="auto"/>
            </w:tcBorders>
            <w:shd w:val="clear" w:color="auto" w:fill="auto"/>
            <w:noWrap/>
            <w:vAlign w:val="center"/>
            <w:hideMark/>
          </w:tcPr>
          <w:p w14:paraId="77D273CA"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1.357 (3,6%)</w:t>
            </w:r>
          </w:p>
        </w:tc>
        <w:tc>
          <w:tcPr>
            <w:tcW w:w="1905" w:type="dxa"/>
            <w:tcBorders>
              <w:top w:val="nil"/>
              <w:left w:val="nil"/>
              <w:bottom w:val="single" w:sz="8" w:space="0" w:color="auto"/>
              <w:right w:val="nil"/>
            </w:tcBorders>
            <w:shd w:val="clear" w:color="auto" w:fill="auto"/>
            <w:noWrap/>
            <w:vAlign w:val="center"/>
            <w:hideMark/>
          </w:tcPr>
          <w:p w14:paraId="5FB10DA2"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1.491</w:t>
            </w:r>
          </w:p>
          <w:p w14:paraId="2664E66E"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(4,3%)</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07E8D6FE"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9,9% porast</w:t>
            </w:r>
          </w:p>
        </w:tc>
      </w:tr>
      <w:tr w:rsidR="0016047E" w:rsidRPr="001B4CA2" w14:paraId="76617E3D" w14:textId="77777777" w:rsidTr="00B53DA7">
        <w:trPr>
          <w:trHeight w:val="300"/>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49C80687" w14:textId="77777777" w:rsidR="0016047E" w:rsidRPr="001B4CA2" w:rsidRDefault="0016047E"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xml:space="preserve"> Članak 227. KZ/11</w:t>
            </w:r>
          </w:p>
        </w:tc>
        <w:tc>
          <w:tcPr>
            <w:tcW w:w="1474" w:type="dxa"/>
            <w:tcBorders>
              <w:top w:val="nil"/>
              <w:left w:val="nil"/>
              <w:bottom w:val="single" w:sz="8" w:space="0" w:color="auto"/>
              <w:right w:val="single" w:sz="8" w:space="0" w:color="auto"/>
            </w:tcBorders>
            <w:shd w:val="clear" w:color="auto" w:fill="auto"/>
            <w:noWrap/>
            <w:vAlign w:val="center"/>
            <w:hideMark/>
          </w:tcPr>
          <w:p w14:paraId="19AF43EF"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1.218 (3,2%)</w:t>
            </w:r>
          </w:p>
        </w:tc>
        <w:tc>
          <w:tcPr>
            <w:tcW w:w="1905" w:type="dxa"/>
            <w:tcBorders>
              <w:top w:val="nil"/>
              <w:left w:val="nil"/>
              <w:bottom w:val="single" w:sz="8" w:space="0" w:color="auto"/>
              <w:right w:val="nil"/>
            </w:tcBorders>
            <w:shd w:val="clear" w:color="auto" w:fill="auto"/>
            <w:noWrap/>
            <w:vAlign w:val="center"/>
            <w:hideMark/>
          </w:tcPr>
          <w:p w14:paraId="73CDE7F6"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1.391</w:t>
            </w:r>
          </w:p>
          <w:p w14:paraId="3D48B4CA"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(3,9%)</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294C7CEE"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14,2% porast </w:t>
            </w:r>
          </w:p>
        </w:tc>
      </w:tr>
      <w:tr w:rsidR="0016047E" w:rsidRPr="001B4CA2" w14:paraId="7CB1A1E8" w14:textId="77777777" w:rsidTr="00B53DA7">
        <w:trPr>
          <w:trHeight w:val="300"/>
        </w:trPr>
        <w:tc>
          <w:tcPr>
            <w:tcW w:w="2380" w:type="dxa"/>
            <w:tcBorders>
              <w:top w:val="nil"/>
              <w:left w:val="single" w:sz="8" w:space="0" w:color="auto"/>
              <w:bottom w:val="single" w:sz="8" w:space="0" w:color="auto"/>
              <w:right w:val="single" w:sz="8" w:space="0" w:color="auto"/>
            </w:tcBorders>
            <w:shd w:val="clear" w:color="auto" w:fill="auto"/>
            <w:noWrap/>
            <w:vAlign w:val="center"/>
          </w:tcPr>
          <w:p w14:paraId="1534EAD1" w14:textId="77777777" w:rsidR="0016047E" w:rsidRPr="001B4CA2" w:rsidRDefault="0016047E"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xml:space="preserve"> Članak 278. KZ/11</w:t>
            </w:r>
          </w:p>
        </w:tc>
        <w:tc>
          <w:tcPr>
            <w:tcW w:w="1474" w:type="dxa"/>
            <w:tcBorders>
              <w:top w:val="nil"/>
              <w:left w:val="nil"/>
              <w:bottom w:val="single" w:sz="8" w:space="0" w:color="auto"/>
              <w:right w:val="single" w:sz="8" w:space="0" w:color="auto"/>
            </w:tcBorders>
            <w:shd w:val="clear" w:color="auto" w:fill="auto"/>
            <w:noWrap/>
            <w:vAlign w:val="center"/>
          </w:tcPr>
          <w:p w14:paraId="2A2102C2"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1.702 (4,5%)</w:t>
            </w:r>
          </w:p>
        </w:tc>
        <w:tc>
          <w:tcPr>
            <w:tcW w:w="1905" w:type="dxa"/>
            <w:tcBorders>
              <w:top w:val="nil"/>
              <w:left w:val="nil"/>
              <w:bottom w:val="single" w:sz="8" w:space="0" w:color="auto"/>
              <w:right w:val="nil"/>
            </w:tcBorders>
            <w:shd w:val="clear" w:color="auto" w:fill="auto"/>
            <w:noWrap/>
            <w:vAlign w:val="center"/>
          </w:tcPr>
          <w:p w14:paraId="4F73941B"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1.356</w:t>
            </w:r>
          </w:p>
          <w:p w14:paraId="2005C287"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(3,6%)</w:t>
            </w:r>
          </w:p>
        </w:tc>
        <w:tc>
          <w:tcPr>
            <w:tcW w:w="1581" w:type="dxa"/>
            <w:tcBorders>
              <w:top w:val="nil"/>
              <w:left w:val="single" w:sz="8" w:space="0" w:color="auto"/>
              <w:bottom w:val="single" w:sz="8" w:space="0" w:color="auto"/>
              <w:right w:val="single" w:sz="8" w:space="0" w:color="auto"/>
            </w:tcBorders>
            <w:shd w:val="clear" w:color="auto" w:fill="auto"/>
            <w:noWrap/>
            <w:vAlign w:val="center"/>
          </w:tcPr>
          <w:p w14:paraId="18046C0B"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20,3% pad</w:t>
            </w:r>
          </w:p>
        </w:tc>
      </w:tr>
      <w:tr w:rsidR="0016047E" w:rsidRPr="001B4CA2" w14:paraId="05EE8AB5" w14:textId="77777777" w:rsidTr="00B53DA7">
        <w:trPr>
          <w:trHeight w:val="300"/>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459D3F29" w14:textId="77777777" w:rsidR="0016047E" w:rsidRPr="001B4CA2" w:rsidRDefault="0016047E"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xml:space="preserve"> Članak 247. KZ/11</w:t>
            </w:r>
          </w:p>
        </w:tc>
        <w:tc>
          <w:tcPr>
            <w:tcW w:w="1474" w:type="dxa"/>
            <w:tcBorders>
              <w:top w:val="nil"/>
              <w:left w:val="nil"/>
              <w:bottom w:val="single" w:sz="8" w:space="0" w:color="auto"/>
              <w:right w:val="single" w:sz="8" w:space="0" w:color="auto"/>
            </w:tcBorders>
            <w:shd w:val="clear" w:color="auto" w:fill="auto"/>
            <w:noWrap/>
            <w:vAlign w:val="center"/>
            <w:hideMark/>
          </w:tcPr>
          <w:p w14:paraId="3C8CE7BA"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1.036 (2,8%)</w:t>
            </w:r>
          </w:p>
        </w:tc>
        <w:tc>
          <w:tcPr>
            <w:tcW w:w="1905" w:type="dxa"/>
            <w:tcBorders>
              <w:top w:val="nil"/>
              <w:left w:val="nil"/>
              <w:bottom w:val="single" w:sz="8" w:space="0" w:color="auto"/>
              <w:right w:val="nil"/>
            </w:tcBorders>
            <w:shd w:val="clear" w:color="auto" w:fill="auto"/>
            <w:noWrap/>
            <w:vAlign w:val="center"/>
            <w:hideMark/>
          </w:tcPr>
          <w:p w14:paraId="04A2B0A0"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1.142</w:t>
            </w:r>
          </w:p>
          <w:p w14:paraId="705EACBC"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(3,0%)</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7B15947D"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10,2% porast </w:t>
            </w:r>
          </w:p>
        </w:tc>
      </w:tr>
      <w:tr w:rsidR="0016047E" w:rsidRPr="001B4CA2" w14:paraId="60C36858" w14:textId="77777777" w:rsidTr="00B53DA7">
        <w:trPr>
          <w:trHeight w:val="300"/>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2B4BE8A5" w14:textId="77777777" w:rsidR="0016047E" w:rsidRPr="001B4CA2" w:rsidRDefault="0016047E"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xml:space="preserve"> Članak 190. KZ/11</w:t>
            </w:r>
          </w:p>
        </w:tc>
        <w:tc>
          <w:tcPr>
            <w:tcW w:w="1474" w:type="dxa"/>
            <w:tcBorders>
              <w:top w:val="nil"/>
              <w:left w:val="nil"/>
              <w:bottom w:val="single" w:sz="8" w:space="0" w:color="auto"/>
              <w:right w:val="single" w:sz="8" w:space="0" w:color="auto"/>
            </w:tcBorders>
            <w:shd w:val="clear" w:color="auto" w:fill="auto"/>
            <w:noWrap/>
            <w:vAlign w:val="center"/>
            <w:hideMark/>
          </w:tcPr>
          <w:p w14:paraId="1A28BFD6"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1.009 (2,7%)</w:t>
            </w:r>
          </w:p>
        </w:tc>
        <w:tc>
          <w:tcPr>
            <w:tcW w:w="1905" w:type="dxa"/>
            <w:tcBorders>
              <w:top w:val="nil"/>
              <w:left w:val="nil"/>
              <w:bottom w:val="single" w:sz="8" w:space="0" w:color="auto"/>
              <w:right w:val="nil"/>
            </w:tcBorders>
            <w:shd w:val="clear" w:color="auto" w:fill="auto"/>
            <w:noWrap/>
            <w:vAlign w:val="center"/>
            <w:hideMark/>
          </w:tcPr>
          <w:p w14:paraId="28542992"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1.041</w:t>
            </w:r>
          </w:p>
          <w:p w14:paraId="3FCB7BB0"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(2,7%)</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7C54EADF" w14:textId="77777777" w:rsidR="0016047E" w:rsidRPr="001B4CA2" w:rsidRDefault="0016047E"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3,2% porast </w:t>
            </w:r>
          </w:p>
        </w:tc>
      </w:tr>
      <w:tr w:rsidR="0016047E" w:rsidRPr="001B4CA2" w14:paraId="49C01E64" w14:textId="77777777" w:rsidTr="00B53DA7">
        <w:trPr>
          <w:trHeight w:val="315"/>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4386D135" w14:textId="77777777" w:rsidR="0016047E" w:rsidRPr="001B4CA2" w:rsidRDefault="0016047E" w:rsidP="002A38E7">
            <w:pP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Ostalo</w:t>
            </w:r>
          </w:p>
        </w:tc>
        <w:tc>
          <w:tcPr>
            <w:tcW w:w="1474" w:type="dxa"/>
            <w:tcBorders>
              <w:top w:val="nil"/>
              <w:left w:val="nil"/>
              <w:bottom w:val="single" w:sz="8" w:space="0" w:color="auto"/>
              <w:right w:val="single" w:sz="8" w:space="0" w:color="auto"/>
            </w:tcBorders>
            <w:shd w:val="clear" w:color="auto" w:fill="auto"/>
            <w:noWrap/>
            <w:vAlign w:val="center"/>
            <w:hideMark/>
          </w:tcPr>
          <w:p w14:paraId="2614C4E8" w14:textId="77777777" w:rsidR="0016047E" w:rsidRPr="001B4CA2" w:rsidRDefault="0016047E"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15.496 (41%)</w:t>
            </w:r>
          </w:p>
        </w:tc>
        <w:tc>
          <w:tcPr>
            <w:tcW w:w="1905" w:type="dxa"/>
            <w:tcBorders>
              <w:top w:val="nil"/>
              <w:left w:val="nil"/>
              <w:bottom w:val="single" w:sz="8" w:space="0" w:color="auto"/>
              <w:right w:val="nil"/>
            </w:tcBorders>
            <w:shd w:val="clear" w:color="auto" w:fill="auto"/>
            <w:noWrap/>
            <w:vAlign w:val="center"/>
            <w:hideMark/>
          </w:tcPr>
          <w:p w14:paraId="05D2CC48" w14:textId="77777777" w:rsidR="0016047E" w:rsidRPr="001B4CA2" w:rsidRDefault="0016047E"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15.610</w:t>
            </w:r>
          </w:p>
          <w:p w14:paraId="02F38B06" w14:textId="77777777" w:rsidR="0016047E" w:rsidRPr="001B4CA2" w:rsidRDefault="0016047E"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(40,8%)</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542926BE" w14:textId="77777777" w:rsidR="0016047E" w:rsidRPr="001B4CA2" w:rsidRDefault="0016047E"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 </w:t>
            </w:r>
          </w:p>
        </w:tc>
      </w:tr>
      <w:tr w:rsidR="0016047E" w:rsidRPr="001B4CA2" w14:paraId="1E104503" w14:textId="77777777" w:rsidTr="00B53DA7">
        <w:trPr>
          <w:trHeight w:val="315"/>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6A5ACB3A" w14:textId="77777777" w:rsidR="0016047E" w:rsidRPr="001B4CA2" w:rsidRDefault="0016047E" w:rsidP="002A38E7">
            <w:pPr>
              <w:jc w:val="right"/>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Ukupno</w:t>
            </w:r>
          </w:p>
        </w:tc>
        <w:tc>
          <w:tcPr>
            <w:tcW w:w="1474" w:type="dxa"/>
            <w:tcBorders>
              <w:top w:val="nil"/>
              <w:left w:val="nil"/>
              <w:bottom w:val="single" w:sz="8" w:space="0" w:color="auto"/>
              <w:right w:val="single" w:sz="8" w:space="0" w:color="auto"/>
            </w:tcBorders>
            <w:shd w:val="clear" w:color="auto" w:fill="auto"/>
            <w:noWrap/>
            <w:vAlign w:val="center"/>
            <w:hideMark/>
          </w:tcPr>
          <w:p w14:paraId="3833554D" w14:textId="77777777" w:rsidR="0016047E" w:rsidRPr="001B4CA2" w:rsidRDefault="0016047E"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37.583 (100%)</w:t>
            </w:r>
          </w:p>
        </w:tc>
        <w:tc>
          <w:tcPr>
            <w:tcW w:w="1905" w:type="dxa"/>
            <w:tcBorders>
              <w:top w:val="nil"/>
              <w:left w:val="nil"/>
              <w:bottom w:val="single" w:sz="8" w:space="0" w:color="auto"/>
              <w:right w:val="nil"/>
            </w:tcBorders>
            <w:shd w:val="clear" w:color="auto" w:fill="auto"/>
            <w:noWrap/>
            <w:vAlign w:val="center"/>
            <w:hideMark/>
          </w:tcPr>
          <w:p w14:paraId="245C2DA9" w14:textId="77777777" w:rsidR="0016047E" w:rsidRPr="001B4CA2" w:rsidRDefault="0016047E"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38.290</w:t>
            </w:r>
          </w:p>
          <w:p w14:paraId="7F507931" w14:textId="77777777" w:rsidR="0016047E" w:rsidRPr="001B4CA2" w:rsidRDefault="0016047E"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(100%)</w:t>
            </w:r>
          </w:p>
        </w:tc>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4D4653F9" w14:textId="77777777" w:rsidR="0016047E" w:rsidRPr="001B4CA2" w:rsidRDefault="0016047E"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 </w:t>
            </w:r>
          </w:p>
        </w:tc>
      </w:tr>
    </w:tbl>
    <w:p w14:paraId="7134377D" w14:textId="77777777" w:rsidR="0016047E" w:rsidRPr="001B4CA2" w:rsidRDefault="0016047E" w:rsidP="0016047E">
      <w:r w:rsidRPr="001B4CA2">
        <w:tab/>
      </w:r>
    </w:p>
    <w:p w14:paraId="7B41A779" w14:textId="10231BCD" w:rsidR="0016047E" w:rsidRPr="001B4CA2" w:rsidRDefault="001B4CA2" w:rsidP="0016047E">
      <w:r>
        <w:tab/>
      </w:r>
      <w:r w:rsidR="0016047E" w:rsidRPr="001B4CA2">
        <w:t xml:space="preserve">Tijekom ovog izvještajnog razdoblja </w:t>
      </w:r>
      <w:r w:rsidR="0016047E" w:rsidRPr="001B4CA2">
        <w:rPr>
          <w:rFonts w:eastAsia="Times New Roman"/>
          <w:lang w:eastAsia="hr-HR"/>
        </w:rPr>
        <w:t>nema značajnijeg odstupanja u strukturi kriminaliteta prijavljenih osoba</w:t>
      </w:r>
      <w:r w:rsidR="0016047E" w:rsidRPr="001B4CA2">
        <w:t xml:space="preserve"> u</w:t>
      </w:r>
      <w:r w:rsidR="0016047E" w:rsidRPr="001B4CA2">
        <w:rPr>
          <w:rFonts w:eastAsia="Times New Roman"/>
          <w:lang w:eastAsia="hr-HR"/>
        </w:rPr>
        <w:t xml:space="preserve"> odnosu na 2021. godinu, što je razvidno i</w:t>
      </w:r>
      <w:r w:rsidR="0016047E" w:rsidRPr="001B4CA2">
        <w:t xml:space="preserve">z prikazanih podataka. </w:t>
      </w:r>
    </w:p>
    <w:p w14:paraId="20C2D0E8" w14:textId="77777777" w:rsidR="0016047E" w:rsidRPr="001B4CA2" w:rsidRDefault="0016047E" w:rsidP="0016047E"/>
    <w:p w14:paraId="6CD5292C" w14:textId="48C9211C" w:rsidR="0016047E" w:rsidRPr="001B4CA2" w:rsidRDefault="001B4CA2" w:rsidP="0016047E">
      <w:pPr>
        <w:rPr>
          <w:rFonts w:eastAsia="Times New Roman"/>
          <w:lang w:eastAsia="hr-HR"/>
        </w:rPr>
      </w:pPr>
      <w:r>
        <w:tab/>
      </w:r>
      <w:r w:rsidR="0016047E" w:rsidRPr="001B4CA2">
        <w:t>N</w:t>
      </w:r>
      <w:r w:rsidR="0016047E" w:rsidRPr="001B4CA2">
        <w:rPr>
          <w:rFonts w:eastAsia="Times New Roman"/>
          <w:lang w:eastAsia="hr-HR"/>
        </w:rPr>
        <w:t xml:space="preserve">ajzastupljenije kazneno djelo u strukturi kriminaliteta kaznenih djela iz općinske nadležnosti i nadalje </w:t>
      </w:r>
      <w:r w:rsidR="00753708" w:rsidRPr="001B4CA2">
        <w:rPr>
          <w:rFonts w:eastAsia="Times New Roman"/>
          <w:lang w:eastAsia="hr-HR"/>
        </w:rPr>
        <w:t xml:space="preserve">je </w:t>
      </w:r>
      <w:r w:rsidR="0016047E" w:rsidRPr="001B4CA2">
        <w:rPr>
          <w:rFonts w:eastAsia="Times New Roman"/>
          <w:lang w:eastAsia="hr-HR"/>
        </w:rPr>
        <w:t>kazneno djelo prijetnje iz članka 139. Kaznenog zakona</w:t>
      </w:r>
      <w:r w:rsidR="00753708">
        <w:rPr>
          <w:rFonts w:eastAsia="Times New Roman"/>
          <w:lang w:eastAsia="hr-HR"/>
        </w:rPr>
        <w:t>,</w:t>
      </w:r>
      <w:r w:rsidR="0016047E" w:rsidRPr="001B4CA2">
        <w:rPr>
          <w:rFonts w:eastAsia="Times New Roman"/>
          <w:lang w:eastAsia="hr-HR"/>
        </w:rPr>
        <w:t xml:space="preserve"> za koje je zaprimljeno sveukupno 5.727 kaznenih prijava, što predstavlja 15</w:t>
      </w:r>
      <w:r w:rsidR="00753708">
        <w:rPr>
          <w:rFonts w:eastAsia="Times New Roman"/>
          <w:lang w:eastAsia="hr-HR"/>
        </w:rPr>
        <w:t> </w:t>
      </w:r>
      <w:r w:rsidR="0016047E" w:rsidRPr="001B4CA2">
        <w:rPr>
          <w:rFonts w:eastAsia="Times New Roman"/>
          <w:lang w:eastAsia="hr-HR"/>
        </w:rPr>
        <w:t>% od ukupnog broja zaprimljenih prijava u 2022. godinu. B</w:t>
      </w:r>
      <w:r w:rsidR="0016047E" w:rsidRPr="001B4CA2">
        <w:t>rojčano su zastupljena i kaznena djela protiv imovine</w:t>
      </w:r>
      <w:r w:rsidR="00F47D60">
        <w:t xml:space="preserve"> – </w:t>
      </w:r>
      <w:r w:rsidR="0016047E" w:rsidRPr="001B4CA2">
        <w:t>kazneno djelo krađe iz članka 228. Kaznenog zakona</w:t>
      </w:r>
      <w:r w:rsidR="0016047E" w:rsidRPr="001B4CA2">
        <w:rPr>
          <w:rFonts w:eastAsia="Times New Roman"/>
          <w:lang w:eastAsia="hr-HR"/>
        </w:rPr>
        <w:t xml:space="preserve">, </w:t>
      </w:r>
      <w:r w:rsidR="0016047E" w:rsidRPr="001B4CA2">
        <w:t xml:space="preserve">kazneno djelo </w:t>
      </w:r>
      <w:r w:rsidR="0016047E" w:rsidRPr="001B4CA2">
        <w:rPr>
          <w:rFonts w:eastAsia="Times New Roman"/>
          <w:lang w:eastAsia="hr-HR"/>
        </w:rPr>
        <w:t xml:space="preserve">prijevare iz članka 236. Kaznenog zakona/11, </w:t>
      </w:r>
      <w:r w:rsidR="0016047E" w:rsidRPr="001B4CA2">
        <w:t xml:space="preserve">kazneno djelo </w:t>
      </w:r>
      <w:r w:rsidR="0016047E" w:rsidRPr="001B4CA2">
        <w:rPr>
          <w:rFonts w:eastAsia="Times New Roman"/>
          <w:lang w:eastAsia="hr-HR"/>
        </w:rPr>
        <w:t xml:space="preserve">teške krađe iz članka 229. Kaznenog zakona/11 te </w:t>
      </w:r>
      <w:r w:rsidR="0016047E" w:rsidRPr="001B4CA2">
        <w:t xml:space="preserve">kazneno djelo </w:t>
      </w:r>
      <w:r w:rsidR="0016047E" w:rsidRPr="001B4CA2">
        <w:rPr>
          <w:rFonts w:eastAsia="Times New Roman"/>
          <w:lang w:eastAsia="hr-HR"/>
        </w:rPr>
        <w:t>oštećenja tuđe stvari iz članka 235. Kaznenog zakona/11, koja četiri kaznena djela (s ukupno 10.366 prijava) u ukupnoj strukturi kriminaliteta čine 27,1</w:t>
      </w:r>
      <w:r w:rsidR="00753708">
        <w:rPr>
          <w:rFonts w:eastAsia="Times New Roman"/>
          <w:lang w:eastAsia="hr-HR"/>
        </w:rPr>
        <w:t> </w:t>
      </w:r>
      <w:r w:rsidR="0016047E" w:rsidRPr="001B4CA2">
        <w:rPr>
          <w:rFonts w:eastAsia="Times New Roman"/>
          <w:lang w:eastAsia="hr-HR"/>
        </w:rPr>
        <w:t xml:space="preserve">%. S time da se kod </w:t>
      </w:r>
      <w:r w:rsidR="0016047E" w:rsidRPr="001B4CA2">
        <w:t xml:space="preserve">kaznenog djela </w:t>
      </w:r>
      <w:r w:rsidR="0016047E" w:rsidRPr="001B4CA2">
        <w:rPr>
          <w:rFonts w:eastAsia="Times New Roman"/>
          <w:lang w:eastAsia="hr-HR"/>
        </w:rPr>
        <w:t xml:space="preserve">prijevare, </w:t>
      </w:r>
      <w:r w:rsidR="0016047E" w:rsidRPr="001B4CA2">
        <w:t xml:space="preserve">kaznenog djela krađe i kaznenog djela </w:t>
      </w:r>
      <w:r w:rsidR="0016047E" w:rsidRPr="001B4CA2">
        <w:rPr>
          <w:rFonts w:eastAsia="Times New Roman"/>
          <w:lang w:eastAsia="hr-HR"/>
        </w:rPr>
        <w:t xml:space="preserve">oštećenja tuđe stvari bilježi porast broja prijavljenih u odnosu na 2021. godinu, dok se kod </w:t>
      </w:r>
      <w:r w:rsidR="0016047E" w:rsidRPr="001B4CA2">
        <w:t xml:space="preserve">kaznenog djela </w:t>
      </w:r>
      <w:r w:rsidR="0016047E" w:rsidRPr="001B4CA2">
        <w:rPr>
          <w:rFonts w:eastAsia="Times New Roman"/>
          <w:lang w:eastAsia="hr-HR"/>
        </w:rPr>
        <w:t>teške krađe uočava blagi pad od 11,2</w:t>
      </w:r>
      <w:r w:rsidR="00753708">
        <w:rPr>
          <w:rFonts w:eastAsia="Times New Roman"/>
          <w:lang w:eastAsia="hr-HR"/>
        </w:rPr>
        <w:t> </w:t>
      </w:r>
      <w:r w:rsidR="0016047E" w:rsidRPr="001B4CA2">
        <w:rPr>
          <w:rFonts w:eastAsia="Times New Roman"/>
          <w:lang w:eastAsia="hr-HR"/>
        </w:rPr>
        <w:t>%.</w:t>
      </w:r>
    </w:p>
    <w:p w14:paraId="48997578" w14:textId="77777777" w:rsidR="0016047E" w:rsidRPr="001B4CA2" w:rsidRDefault="0016047E" w:rsidP="0016047E"/>
    <w:p w14:paraId="53F06E0B" w14:textId="1583BD12" w:rsidR="00885BB0" w:rsidRPr="001B4CA2" w:rsidRDefault="001B4CA2" w:rsidP="004858A0">
      <w:pPr>
        <w:rPr>
          <w:rFonts w:eastAsia="Times New Roman"/>
          <w:lang w:eastAsia="hr-HR"/>
        </w:rPr>
      </w:pPr>
      <w:r>
        <w:tab/>
      </w:r>
      <w:r w:rsidR="0016047E" w:rsidRPr="001B4CA2">
        <w:t>Kod</w:t>
      </w:r>
      <w:r w:rsidR="0016047E" w:rsidRPr="001B4CA2">
        <w:rPr>
          <w:rFonts w:eastAsia="Times New Roman"/>
          <w:lang w:eastAsia="hr-HR"/>
        </w:rPr>
        <w:t xml:space="preserve"> kaznenog djela krivotvorenja isprave iz članka 278. Kaznenog zakona/11 je uočen pad od 20,3</w:t>
      </w:r>
      <w:r w:rsidR="00753708">
        <w:rPr>
          <w:rFonts w:eastAsia="Times New Roman"/>
          <w:lang w:eastAsia="hr-HR"/>
        </w:rPr>
        <w:t> </w:t>
      </w:r>
      <w:r w:rsidR="0016047E" w:rsidRPr="001B4CA2">
        <w:rPr>
          <w:rFonts w:eastAsia="Times New Roman"/>
          <w:lang w:eastAsia="hr-HR"/>
        </w:rPr>
        <w:t>%, koji pad je očekivan, s obzirom na to da je tijekom 2021. godine došlo do značajnog porasta broja kaznenih prijava za ovo kazneno djelo (porast od 43</w:t>
      </w:r>
      <w:r w:rsidR="00753708">
        <w:rPr>
          <w:rFonts w:eastAsia="Times New Roman"/>
          <w:lang w:eastAsia="hr-HR"/>
        </w:rPr>
        <w:t> </w:t>
      </w:r>
      <w:r w:rsidR="0016047E" w:rsidRPr="001B4CA2">
        <w:rPr>
          <w:rFonts w:eastAsia="Times New Roman"/>
          <w:lang w:eastAsia="hr-HR"/>
        </w:rPr>
        <w:t>% u odnosu na 2020. godinu) zbog krivotvorenih COVID potvrda i SARS COV-2 testova. Kako je početkom 2022. godine došlo do ukidanja mjera vezanih za u</w:t>
      </w:r>
      <w:r w:rsidR="0016047E" w:rsidRPr="001B4CA2">
        <w:rPr>
          <w:rFonts w:eastAsia="Times New Roman"/>
        </w:rPr>
        <w:t xml:space="preserve">porabu SARS COV-2 testova prilikom prelaska državne granice, došlo </w:t>
      </w:r>
      <w:r w:rsidR="00753708" w:rsidRPr="001B4CA2">
        <w:rPr>
          <w:rFonts w:eastAsia="Times New Roman"/>
        </w:rPr>
        <w:t xml:space="preserve">je </w:t>
      </w:r>
      <w:r w:rsidR="0016047E" w:rsidRPr="001B4CA2">
        <w:rPr>
          <w:rFonts w:eastAsia="Times New Roman"/>
        </w:rPr>
        <w:t xml:space="preserve">i do smanjenja broja kaznenih prijava za kazneno djelo krivotvorenja isprave. </w:t>
      </w:r>
    </w:p>
    <w:p w14:paraId="49BA8173" w14:textId="77777777" w:rsidR="00885BB0" w:rsidRPr="001B4CA2" w:rsidRDefault="00885BB0" w:rsidP="004858A0"/>
    <w:p w14:paraId="6FD2B9D0" w14:textId="77777777" w:rsidR="00542189" w:rsidRPr="001B4CA2" w:rsidRDefault="00BB4D48" w:rsidP="00257FA8">
      <w:pPr>
        <w:pStyle w:val="Naslov4"/>
        <w:tabs>
          <w:tab w:val="left" w:pos="1134"/>
        </w:tabs>
        <w:rPr>
          <w:rFonts w:ascii="Arial" w:hAnsi="Arial" w:cs="Arial"/>
        </w:rPr>
      </w:pPr>
      <w:bookmarkStart w:id="51" w:name="_Toc133394311"/>
      <w:r w:rsidRPr="001B4CA2">
        <w:rPr>
          <w:rFonts w:ascii="Arial" w:hAnsi="Arial" w:cs="Arial"/>
        </w:rPr>
        <w:lastRenderedPageBreak/>
        <w:t>O</w:t>
      </w:r>
      <w:r w:rsidR="00CE234E" w:rsidRPr="001B4CA2">
        <w:rPr>
          <w:rFonts w:ascii="Arial" w:hAnsi="Arial" w:cs="Arial"/>
        </w:rPr>
        <w:t>dluke povodom kaznene prijave</w:t>
      </w:r>
      <w:bookmarkEnd w:id="51"/>
    </w:p>
    <w:p w14:paraId="6CF8B403" w14:textId="77777777" w:rsidR="003A7F16" w:rsidRPr="001B4CA2" w:rsidRDefault="003A7F16" w:rsidP="00B333BA"/>
    <w:p w14:paraId="7CD11049" w14:textId="2A58C0CB" w:rsidR="00B333BA" w:rsidRPr="001B4CA2" w:rsidRDefault="001B4CA2" w:rsidP="00D131AB">
      <w:pPr>
        <w:ind w:left="-284"/>
        <w:rPr>
          <w:i/>
        </w:rPr>
      </w:pPr>
      <w:r>
        <w:rPr>
          <w:i/>
        </w:rPr>
        <w:tab/>
      </w:r>
      <w:r w:rsidR="001D4F0F">
        <w:rPr>
          <w:i/>
        </w:rPr>
        <w:t xml:space="preserve"> </w:t>
      </w:r>
      <w:r w:rsidR="00EF3164" w:rsidRPr="001B4CA2">
        <w:rPr>
          <w:i/>
        </w:rPr>
        <w:t>Odluke o kaznenim prijavama (bez maloljetnih osoba)</w:t>
      </w:r>
    </w:p>
    <w:tbl>
      <w:tblPr>
        <w:tblW w:w="8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747"/>
        <w:gridCol w:w="747"/>
        <w:gridCol w:w="748"/>
        <w:gridCol w:w="747"/>
        <w:gridCol w:w="747"/>
        <w:gridCol w:w="748"/>
        <w:gridCol w:w="747"/>
        <w:gridCol w:w="747"/>
        <w:gridCol w:w="748"/>
        <w:gridCol w:w="747"/>
        <w:gridCol w:w="748"/>
      </w:tblGrid>
      <w:tr w:rsidR="004C3A47" w:rsidRPr="001B4CA2" w14:paraId="595A21E0" w14:textId="77777777" w:rsidTr="001D4F0F">
        <w:trPr>
          <w:cantSplit/>
          <w:trHeight w:val="1486"/>
        </w:trPr>
        <w:tc>
          <w:tcPr>
            <w:tcW w:w="663" w:type="dxa"/>
            <w:shd w:val="clear" w:color="auto" w:fill="99CCFF"/>
            <w:textDirection w:val="btLr"/>
            <w:vAlign w:val="center"/>
            <w:hideMark/>
          </w:tcPr>
          <w:p w14:paraId="48E9CA95" w14:textId="77777777" w:rsidR="00B333BA" w:rsidRPr="001B4CA2" w:rsidRDefault="00B333BA" w:rsidP="008D203E">
            <w:pPr>
              <w:ind w:left="113" w:right="113"/>
              <w:jc w:val="left"/>
              <w:rPr>
                <w:rFonts w:asciiTheme="majorHAnsi" w:eastAsia="Times New Roman" w:hAnsiTheme="majorHAnsi" w:cstheme="majorHAnsi"/>
                <w:b/>
                <w:sz w:val="16"/>
                <w:szCs w:val="16"/>
                <w:lang w:eastAsia="hr-HR"/>
              </w:rPr>
            </w:pPr>
            <w:r w:rsidRPr="001B4CA2">
              <w:rPr>
                <w:rFonts w:asciiTheme="majorHAnsi" w:eastAsia="Times New Roman" w:hAnsiTheme="majorHAnsi" w:cstheme="majorHAnsi"/>
                <w:b/>
                <w:sz w:val="16"/>
                <w:szCs w:val="16"/>
                <w:lang w:eastAsia="hr-HR"/>
              </w:rPr>
              <w:t>Godina</w:t>
            </w:r>
          </w:p>
        </w:tc>
        <w:tc>
          <w:tcPr>
            <w:tcW w:w="747" w:type="dxa"/>
            <w:shd w:val="clear" w:color="auto" w:fill="99CCFF"/>
            <w:textDirection w:val="btLr"/>
            <w:vAlign w:val="center"/>
            <w:hideMark/>
          </w:tcPr>
          <w:p w14:paraId="4C0D8BD9" w14:textId="77777777" w:rsidR="00B333BA" w:rsidRPr="001B4CA2" w:rsidRDefault="00B333BA" w:rsidP="00AA389F">
            <w:pPr>
              <w:ind w:left="113" w:right="113"/>
              <w:jc w:val="left"/>
              <w:rPr>
                <w:rFonts w:asciiTheme="majorHAnsi" w:eastAsia="Times New Roman" w:hAnsiTheme="majorHAnsi" w:cstheme="majorHAnsi"/>
                <w:b/>
                <w:sz w:val="16"/>
                <w:szCs w:val="16"/>
                <w:lang w:eastAsia="hr-HR"/>
              </w:rPr>
            </w:pPr>
            <w:r w:rsidRPr="001B4CA2">
              <w:rPr>
                <w:rFonts w:asciiTheme="majorHAnsi" w:eastAsia="Times New Roman" w:hAnsiTheme="majorHAnsi" w:cstheme="majorHAnsi"/>
                <w:b/>
                <w:sz w:val="16"/>
                <w:szCs w:val="16"/>
                <w:lang w:eastAsia="hr-HR"/>
              </w:rPr>
              <w:t>Zaprimljeno kaznenih prijava</w:t>
            </w:r>
          </w:p>
        </w:tc>
        <w:tc>
          <w:tcPr>
            <w:tcW w:w="747" w:type="dxa"/>
            <w:shd w:val="clear" w:color="auto" w:fill="99CCFF"/>
            <w:textDirection w:val="btLr"/>
            <w:vAlign w:val="center"/>
            <w:hideMark/>
          </w:tcPr>
          <w:p w14:paraId="3EBAD5E1" w14:textId="77777777" w:rsidR="00B333BA" w:rsidRPr="001B4CA2" w:rsidRDefault="00B333BA" w:rsidP="00AA389F">
            <w:pPr>
              <w:ind w:left="113" w:right="113"/>
              <w:jc w:val="left"/>
              <w:rPr>
                <w:rFonts w:asciiTheme="majorHAnsi" w:eastAsia="Times New Roman" w:hAnsiTheme="majorHAnsi" w:cstheme="majorHAnsi"/>
                <w:b/>
                <w:sz w:val="16"/>
                <w:szCs w:val="16"/>
                <w:lang w:eastAsia="hr-HR"/>
              </w:rPr>
            </w:pPr>
            <w:r w:rsidRPr="001B4CA2">
              <w:rPr>
                <w:rFonts w:asciiTheme="majorHAnsi" w:eastAsia="Times New Roman" w:hAnsiTheme="majorHAnsi" w:cstheme="majorHAnsi"/>
                <w:b/>
                <w:sz w:val="16"/>
                <w:szCs w:val="16"/>
                <w:lang w:eastAsia="hr-HR"/>
              </w:rPr>
              <w:t>Ukupno u radu</w:t>
            </w:r>
          </w:p>
        </w:tc>
        <w:tc>
          <w:tcPr>
            <w:tcW w:w="748" w:type="dxa"/>
            <w:shd w:val="clear" w:color="auto" w:fill="99CCFF"/>
            <w:textDirection w:val="btLr"/>
            <w:vAlign w:val="center"/>
            <w:hideMark/>
          </w:tcPr>
          <w:p w14:paraId="20ABEE9C" w14:textId="77777777" w:rsidR="00B333BA" w:rsidRPr="001B4CA2" w:rsidRDefault="00B333BA" w:rsidP="00AA389F">
            <w:pPr>
              <w:ind w:left="113" w:right="113"/>
              <w:jc w:val="left"/>
              <w:rPr>
                <w:rFonts w:asciiTheme="majorHAnsi" w:eastAsia="Times New Roman" w:hAnsiTheme="majorHAnsi" w:cstheme="majorHAnsi"/>
                <w:b/>
                <w:sz w:val="16"/>
                <w:szCs w:val="16"/>
                <w:lang w:eastAsia="hr-HR"/>
              </w:rPr>
            </w:pPr>
            <w:r w:rsidRPr="001B4CA2">
              <w:rPr>
                <w:rFonts w:asciiTheme="majorHAnsi" w:eastAsia="Times New Roman" w:hAnsiTheme="majorHAnsi" w:cstheme="majorHAnsi"/>
                <w:b/>
                <w:sz w:val="16"/>
                <w:szCs w:val="16"/>
                <w:lang w:eastAsia="hr-HR"/>
              </w:rPr>
              <w:t>Neriješeno</w:t>
            </w:r>
          </w:p>
        </w:tc>
        <w:tc>
          <w:tcPr>
            <w:tcW w:w="747" w:type="dxa"/>
            <w:shd w:val="clear" w:color="auto" w:fill="99CCFF"/>
            <w:textDirection w:val="btLr"/>
            <w:vAlign w:val="center"/>
            <w:hideMark/>
          </w:tcPr>
          <w:p w14:paraId="7EED904A" w14:textId="77777777" w:rsidR="00B333BA" w:rsidRPr="001B4CA2" w:rsidRDefault="00B333BA" w:rsidP="00AA389F">
            <w:pPr>
              <w:ind w:left="113" w:right="113"/>
              <w:jc w:val="left"/>
              <w:rPr>
                <w:rFonts w:asciiTheme="majorHAnsi" w:eastAsia="Times New Roman" w:hAnsiTheme="majorHAnsi" w:cstheme="majorHAnsi"/>
                <w:b/>
                <w:sz w:val="16"/>
                <w:szCs w:val="16"/>
                <w:lang w:eastAsia="hr-HR"/>
              </w:rPr>
            </w:pPr>
            <w:r w:rsidRPr="001B4CA2">
              <w:rPr>
                <w:rFonts w:asciiTheme="majorHAnsi" w:eastAsia="Times New Roman" w:hAnsiTheme="majorHAnsi" w:cstheme="majorHAnsi"/>
                <w:b/>
                <w:sz w:val="16"/>
                <w:szCs w:val="16"/>
                <w:lang w:eastAsia="hr-HR"/>
              </w:rPr>
              <w:t>Otvorena istraživanja</w:t>
            </w:r>
          </w:p>
        </w:tc>
        <w:tc>
          <w:tcPr>
            <w:tcW w:w="747" w:type="dxa"/>
            <w:shd w:val="clear" w:color="auto" w:fill="99CCFF"/>
            <w:textDirection w:val="btLr"/>
            <w:vAlign w:val="center"/>
            <w:hideMark/>
          </w:tcPr>
          <w:p w14:paraId="7AC55ADE" w14:textId="77777777" w:rsidR="00B333BA" w:rsidRPr="001B4CA2" w:rsidRDefault="00B333BA" w:rsidP="00AA389F">
            <w:pPr>
              <w:ind w:left="113" w:right="113"/>
              <w:jc w:val="left"/>
              <w:rPr>
                <w:rFonts w:asciiTheme="majorHAnsi" w:eastAsia="Times New Roman" w:hAnsiTheme="majorHAnsi" w:cstheme="majorHAnsi"/>
                <w:b/>
                <w:sz w:val="16"/>
                <w:szCs w:val="16"/>
                <w:lang w:eastAsia="hr-HR"/>
              </w:rPr>
            </w:pPr>
            <w:r w:rsidRPr="001B4CA2">
              <w:rPr>
                <w:rFonts w:asciiTheme="majorHAnsi" w:eastAsia="Times New Roman" w:hAnsiTheme="majorHAnsi" w:cstheme="majorHAnsi"/>
                <w:b/>
                <w:sz w:val="16"/>
                <w:szCs w:val="16"/>
                <w:lang w:eastAsia="hr-HR"/>
              </w:rPr>
              <w:t>Odbačaj</w:t>
            </w:r>
          </w:p>
        </w:tc>
        <w:tc>
          <w:tcPr>
            <w:tcW w:w="748" w:type="dxa"/>
            <w:shd w:val="clear" w:color="auto" w:fill="99CCFF"/>
            <w:textDirection w:val="btLr"/>
            <w:vAlign w:val="center"/>
            <w:hideMark/>
          </w:tcPr>
          <w:p w14:paraId="003BFDC0" w14:textId="77777777" w:rsidR="00B333BA" w:rsidRPr="001B4CA2" w:rsidRDefault="00B333BA" w:rsidP="00AA389F">
            <w:pPr>
              <w:ind w:left="113" w:right="113"/>
              <w:jc w:val="left"/>
              <w:rPr>
                <w:rFonts w:asciiTheme="majorHAnsi" w:eastAsia="Times New Roman" w:hAnsiTheme="majorHAnsi" w:cstheme="majorHAnsi"/>
                <w:b/>
                <w:sz w:val="16"/>
                <w:szCs w:val="16"/>
                <w:lang w:eastAsia="hr-HR"/>
              </w:rPr>
            </w:pPr>
            <w:r w:rsidRPr="001B4CA2">
              <w:rPr>
                <w:rFonts w:asciiTheme="majorHAnsi" w:eastAsia="Times New Roman" w:hAnsiTheme="majorHAnsi" w:cstheme="majorHAnsi"/>
                <w:b/>
                <w:sz w:val="16"/>
                <w:szCs w:val="16"/>
                <w:lang w:eastAsia="hr-HR"/>
              </w:rPr>
              <w:t>Neposredna optužnica</w:t>
            </w:r>
          </w:p>
        </w:tc>
        <w:tc>
          <w:tcPr>
            <w:tcW w:w="747" w:type="dxa"/>
            <w:shd w:val="clear" w:color="auto" w:fill="99CCFF"/>
            <w:textDirection w:val="btLr"/>
            <w:vAlign w:val="center"/>
            <w:hideMark/>
          </w:tcPr>
          <w:p w14:paraId="18824F0C" w14:textId="77777777" w:rsidR="00B333BA" w:rsidRPr="001B4CA2" w:rsidRDefault="00B333BA" w:rsidP="00AA389F">
            <w:pPr>
              <w:ind w:left="113" w:right="113"/>
              <w:jc w:val="left"/>
              <w:rPr>
                <w:rFonts w:asciiTheme="majorHAnsi" w:eastAsia="Times New Roman" w:hAnsiTheme="majorHAnsi" w:cstheme="majorHAnsi"/>
                <w:b/>
                <w:sz w:val="16"/>
                <w:szCs w:val="16"/>
                <w:lang w:eastAsia="hr-HR"/>
              </w:rPr>
            </w:pPr>
            <w:r w:rsidRPr="001B4CA2">
              <w:rPr>
                <w:rFonts w:asciiTheme="majorHAnsi" w:eastAsia="Times New Roman" w:hAnsiTheme="majorHAnsi" w:cstheme="majorHAnsi"/>
                <w:b/>
                <w:sz w:val="16"/>
                <w:szCs w:val="16"/>
                <w:lang w:eastAsia="hr-HR"/>
              </w:rPr>
              <w:t>Optužnica s kaznenim nalogom</w:t>
            </w:r>
          </w:p>
        </w:tc>
        <w:tc>
          <w:tcPr>
            <w:tcW w:w="747" w:type="dxa"/>
            <w:shd w:val="clear" w:color="auto" w:fill="99CCFF"/>
            <w:textDirection w:val="btLr"/>
            <w:vAlign w:val="center"/>
            <w:hideMark/>
          </w:tcPr>
          <w:p w14:paraId="5A1F3DDA" w14:textId="77777777" w:rsidR="00B333BA" w:rsidRPr="001B4CA2" w:rsidRDefault="00B333BA" w:rsidP="00AA389F">
            <w:pPr>
              <w:ind w:left="113" w:right="113"/>
              <w:jc w:val="left"/>
              <w:rPr>
                <w:rFonts w:asciiTheme="majorHAnsi" w:eastAsia="Times New Roman" w:hAnsiTheme="majorHAnsi" w:cstheme="majorHAnsi"/>
                <w:b/>
                <w:sz w:val="16"/>
                <w:szCs w:val="16"/>
                <w:lang w:eastAsia="hr-HR"/>
              </w:rPr>
            </w:pPr>
            <w:r w:rsidRPr="001B4CA2">
              <w:rPr>
                <w:rFonts w:asciiTheme="majorHAnsi" w:eastAsia="Times New Roman" w:hAnsiTheme="majorHAnsi" w:cstheme="majorHAnsi"/>
                <w:b/>
                <w:sz w:val="16"/>
                <w:szCs w:val="16"/>
                <w:lang w:eastAsia="hr-HR"/>
              </w:rPr>
              <w:t>Rješenje o provođenju istrage</w:t>
            </w:r>
          </w:p>
        </w:tc>
        <w:tc>
          <w:tcPr>
            <w:tcW w:w="748" w:type="dxa"/>
            <w:shd w:val="clear" w:color="auto" w:fill="99CCFF"/>
            <w:textDirection w:val="btLr"/>
            <w:vAlign w:val="center"/>
            <w:hideMark/>
          </w:tcPr>
          <w:p w14:paraId="7B94A8C4" w14:textId="77777777" w:rsidR="00B333BA" w:rsidRPr="001B4CA2" w:rsidRDefault="00B333BA" w:rsidP="00AA389F">
            <w:pPr>
              <w:ind w:left="113" w:right="113"/>
              <w:jc w:val="left"/>
              <w:rPr>
                <w:rFonts w:asciiTheme="majorHAnsi" w:eastAsia="Times New Roman" w:hAnsiTheme="majorHAnsi" w:cstheme="majorHAnsi"/>
                <w:b/>
                <w:sz w:val="16"/>
                <w:szCs w:val="16"/>
                <w:lang w:eastAsia="hr-HR"/>
              </w:rPr>
            </w:pPr>
            <w:r w:rsidRPr="001B4CA2">
              <w:rPr>
                <w:rFonts w:asciiTheme="majorHAnsi" w:eastAsia="Times New Roman" w:hAnsiTheme="majorHAnsi" w:cstheme="majorHAnsi"/>
                <w:b/>
                <w:sz w:val="16"/>
                <w:szCs w:val="16"/>
                <w:lang w:eastAsia="hr-HR"/>
              </w:rPr>
              <w:t>Ustup</w:t>
            </w:r>
          </w:p>
        </w:tc>
        <w:tc>
          <w:tcPr>
            <w:tcW w:w="747" w:type="dxa"/>
            <w:shd w:val="clear" w:color="auto" w:fill="99CCFF"/>
            <w:textDirection w:val="btLr"/>
            <w:vAlign w:val="center"/>
            <w:hideMark/>
          </w:tcPr>
          <w:p w14:paraId="111B720C" w14:textId="77777777" w:rsidR="00B333BA" w:rsidRPr="001B4CA2" w:rsidRDefault="00B333BA" w:rsidP="00AA389F">
            <w:pPr>
              <w:ind w:left="113" w:right="113"/>
              <w:jc w:val="left"/>
              <w:rPr>
                <w:rFonts w:asciiTheme="majorHAnsi" w:eastAsia="Times New Roman" w:hAnsiTheme="majorHAnsi" w:cstheme="majorHAnsi"/>
                <w:b/>
                <w:sz w:val="16"/>
                <w:szCs w:val="16"/>
                <w:lang w:eastAsia="hr-HR"/>
              </w:rPr>
            </w:pPr>
            <w:r w:rsidRPr="001B4CA2">
              <w:rPr>
                <w:rFonts w:asciiTheme="majorHAnsi" w:eastAsia="Times New Roman" w:hAnsiTheme="majorHAnsi" w:cstheme="majorHAnsi"/>
                <w:b/>
                <w:sz w:val="16"/>
                <w:szCs w:val="16"/>
                <w:lang w:eastAsia="hr-HR"/>
              </w:rPr>
              <w:t>Riješeno na drugi način</w:t>
            </w:r>
          </w:p>
        </w:tc>
        <w:tc>
          <w:tcPr>
            <w:tcW w:w="748" w:type="dxa"/>
            <w:shd w:val="clear" w:color="auto" w:fill="99CCFF"/>
            <w:textDirection w:val="btLr"/>
            <w:vAlign w:val="center"/>
            <w:hideMark/>
          </w:tcPr>
          <w:p w14:paraId="64F30029" w14:textId="77777777" w:rsidR="00B333BA" w:rsidRPr="001B4CA2" w:rsidRDefault="00B333BA" w:rsidP="00AA389F">
            <w:pPr>
              <w:ind w:left="113" w:right="113"/>
              <w:jc w:val="left"/>
              <w:rPr>
                <w:rFonts w:asciiTheme="majorHAnsi" w:eastAsia="Times New Roman" w:hAnsiTheme="majorHAnsi" w:cstheme="majorHAnsi"/>
                <w:b/>
                <w:sz w:val="16"/>
                <w:szCs w:val="16"/>
                <w:lang w:eastAsia="hr-HR"/>
              </w:rPr>
            </w:pPr>
            <w:r w:rsidRPr="001B4CA2">
              <w:rPr>
                <w:rFonts w:asciiTheme="majorHAnsi" w:eastAsia="Times New Roman" w:hAnsiTheme="majorHAnsi" w:cstheme="majorHAnsi"/>
                <w:b/>
                <w:sz w:val="16"/>
                <w:szCs w:val="16"/>
                <w:lang w:eastAsia="hr-HR"/>
              </w:rPr>
              <w:t>Ukupno odluka</w:t>
            </w:r>
          </w:p>
        </w:tc>
      </w:tr>
      <w:tr w:rsidR="006D72CC" w:rsidRPr="001B4CA2" w14:paraId="0D6D9869" w14:textId="77777777" w:rsidTr="001D4F0F">
        <w:trPr>
          <w:trHeight w:val="329"/>
        </w:trPr>
        <w:tc>
          <w:tcPr>
            <w:tcW w:w="663" w:type="dxa"/>
            <w:shd w:val="clear" w:color="auto" w:fill="auto"/>
            <w:noWrap/>
            <w:vAlign w:val="center"/>
          </w:tcPr>
          <w:p w14:paraId="71D26750" w14:textId="249BBB36"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201</w:t>
            </w:r>
            <w:r w:rsidR="008D203E" w:rsidRPr="001B4CA2">
              <w:rPr>
                <w:rFonts w:asciiTheme="majorHAnsi" w:eastAsia="Times New Roman" w:hAnsiTheme="majorHAnsi" w:cstheme="majorHAnsi"/>
                <w:sz w:val="16"/>
                <w:szCs w:val="16"/>
                <w:lang w:eastAsia="hr-HR"/>
              </w:rPr>
              <w:t>8</w:t>
            </w:r>
            <w:r w:rsidR="00154294" w:rsidRPr="001B4CA2">
              <w:rPr>
                <w:rFonts w:asciiTheme="majorHAnsi" w:eastAsia="Times New Roman" w:hAnsiTheme="majorHAnsi" w:cstheme="majorHAnsi"/>
                <w:sz w:val="16"/>
                <w:szCs w:val="16"/>
                <w:lang w:eastAsia="hr-HR"/>
              </w:rPr>
              <w:t>.</w:t>
            </w:r>
          </w:p>
        </w:tc>
        <w:tc>
          <w:tcPr>
            <w:tcW w:w="747" w:type="dxa"/>
            <w:shd w:val="clear" w:color="auto" w:fill="auto"/>
            <w:noWrap/>
            <w:vAlign w:val="center"/>
          </w:tcPr>
          <w:p w14:paraId="2FD25935" w14:textId="1DC4FC06" w:rsidR="006D72CC" w:rsidRPr="001B4CA2" w:rsidRDefault="008D203E"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31.071</w:t>
            </w:r>
          </w:p>
        </w:tc>
        <w:tc>
          <w:tcPr>
            <w:tcW w:w="747" w:type="dxa"/>
            <w:shd w:val="clear" w:color="auto" w:fill="auto"/>
            <w:noWrap/>
            <w:vAlign w:val="center"/>
          </w:tcPr>
          <w:p w14:paraId="33B5045F" w14:textId="4C2C9932"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42.417</w:t>
            </w:r>
          </w:p>
        </w:tc>
        <w:tc>
          <w:tcPr>
            <w:tcW w:w="748" w:type="dxa"/>
            <w:shd w:val="clear" w:color="auto" w:fill="auto"/>
            <w:noWrap/>
            <w:vAlign w:val="center"/>
          </w:tcPr>
          <w:p w14:paraId="42757A3E" w14:textId="41B1F638"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11.</w:t>
            </w:r>
            <w:r w:rsidR="006822B8" w:rsidRPr="001B4CA2">
              <w:rPr>
                <w:rFonts w:asciiTheme="majorHAnsi" w:eastAsia="Times New Roman" w:hAnsiTheme="majorHAnsi" w:cstheme="majorHAnsi"/>
                <w:sz w:val="16"/>
                <w:szCs w:val="16"/>
                <w:lang w:eastAsia="hr-HR"/>
              </w:rPr>
              <w:t>671</w:t>
            </w:r>
          </w:p>
        </w:tc>
        <w:tc>
          <w:tcPr>
            <w:tcW w:w="747" w:type="dxa"/>
            <w:shd w:val="clear" w:color="auto" w:fill="auto"/>
            <w:noWrap/>
            <w:vAlign w:val="center"/>
          </w:tcPr>
          <w:p w14:paraId="2FDF6C2C" w14:textId="5F3EFA59" w:rsidR="006D72CC" w:rsidRPr="001B4CA2" w:rsidRDefault="006D72CC" w:rsidP="00154294">
            <w:pPr>
              <w:rPr>
                <w:rFonts w:asciiTheme="majorHAnsi" w:eastAsia="Times New Roman" w:hAnsiTheme="majorHAnsi" w:cstheme="majorHAnsi"/>
                <w:sz w:val="16"/>
                <w:szCs w:val="16"/>
                <w:lang w:eastAsia="hr-HR"/>
              </w:rPr>
            </w:pPr>
          </w:p>
        </w:tc>
        <w:tc>
          <w:tcPr>
            <w:tcW w:w="747" w:type="dxa"/>
            <w:shd w:val="clear" w:color="auto" w:fill="auto"/>
            <w:noWrap/>
            <w:vAlign w:val="center"/>
          </w:tcPr>
          <w:p w14:paraId="2945B10C" w14:textId="1F874B77"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13.760</w:t>
            </w:r>
          </w:p>
        </w:tc>
        <w:tc>
          <w:tcPr>
            <w:tcW w:w="748" w:type="dxa"/>
            <w:shd w:val="clear" w:color="auto" w:fill="auto"/>
            <w:noWrap/>
            <w:vAlign w:val="center"/>
          </w:tcPr>
          <w:p w14:paraId="71A5E3C3" w14:textId="3527754E"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6.831</w:t>
            </w:r>
          </w:p>
        </w:tc>
        <w:tc>
          <w:tcPr>
            <w:tcW w:w="747" w:type="dxa"/>
            <w:shd w:val="clear" w:color="auto" w:fill="auto"/>
            <w:noWrap/>
            <w:vAlign w:val="center"/>
          </w:tcPr>
          <w:p w14:paraId="041F97D8" w14:textId="1CBEFA49"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6.307</w:t>
            </w:r>
          </w:p>
        </w:tc>
        <w:tc>
          <w:tcPr>
            <w:tcW w:w="747" w:type="dxa"/>
            <w:shd w:val="clear" w:color="auto" w:fill="auto"/>
            <w:noWrap/>
            <w:vAlign w:val="center"/>
          </w:tcPr>
          <w:p w14:paraId="4B10F171" w14:textId="41571BA0"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2.</w:t>
            </w:r>
            <w:r w:rsidR="006822B8" w:rsidRPr="001B4CA2">
              <w:rPr>
                <w:rFonts w:asciiTheme="majorHAnsi" w:eastAsia="Times New Roman" w:hAnsiTheme="majorHAnsi" w:cstheme="majorHAnsi"/>
                <w:sz w:val="16"/>
                <w:szCs w:val="16"/>
                <w:lang w:eastAsia="hr-HR"/>
              </w:rPr>
              <w:t>773</w:t>
            </w:r>
          </w:p>
        </w:tc>
        <w:tc>
          <w:tcPr>
            <w:tcW w:w="748" w:type="dxa"/>
            <w:shd w:val="clear" w:color="auto" w:fill="auto"/>
            <w:noWrap/>
            <w:vAlign w:val="center"/>
          </w:tcPr>
          <w:p w14:paraId="640B49D3" w14:textId="0E172098" w:rsidR="006D72CC" w:rsidRPr="001B4CA2" w:rsidRDefault="006D72CC" w:rsidP="00154294">
            <w:pPr>
              <w:rPr>
                <w:rFonts w:asciiTheme="majorHAnsi" w:eastAsia="Times New Roman" w:hAnsiTheme="majorHAnsi" w:cstheme="majorHAnsi"/>
                <w:sz w:val="16"/>
                <w:szCs w:val="16"/>
                <w:lang w:eastAsia="hr-HR"/>
              </w:rPr>
            </w:pPr>
          </w:p>
        </w:tc>
        <w:tc>
          <w:tcPr>
            <w:tcW w:w="747" w:type="dxa"/>
            <w:shd w:val="clear" w:color="auto" w:fill="auto"/>
            <w:noWrap/>
            <w:vAlign w:val="center"/>
          </w:tcPr>
          <w:p w14:paraId="201C1253" w14:textId="7F6490F0"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1.075</w:t>
            </w:r>
          </w:p>
        </w:tc>
        <w:tc>
          <w:tcPr>
            <w:tcW w:w="748" w:type="dxa"/>
            <w:shd w:val="clear" w:color="auto" w:fill="auto"/>
            <w:noWrap/>
            <w:vAlign w:val="center"/>
          </w:tcPr>
          <w:p w14:paraId="6FF7B87D" w14:textId="4C46C380"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30.746</w:t>
            </w:r>
          </w:p>
        </w:tc>
      </w:tr>
      <w:tr w:rsidR="006D72CC" w:rsidRPr="001B4CA2" w14:paraId="74612D45" w14:textId="77777777" w:rsidTr="001D4F0F">
        <w:trPr>
          <w:trHeight w:val="333"/>
        </w:trPr>
        <w:tc>
          <w:tcPr>
            <w:tcW w:w="663" w:type="dxa"/>
            <w:shd w:val="clear" w:color="auto" w:fill="auto"/>
            <w:noWrap/>
            <w:vAlign w:val="center"/>
            <w:hideMark/>
          </w:tcPr>
          <w:p w14:paraId="407CB781" w14:textId="0569D273"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201</w:t>
            </w:r>
            <w:r w:rsidR="008D203E" w:rsidRPr="001B4CA2">
              <w:rPr>
                <w:rFonts w:asciiTheme="majorHAnsi" w:eastAsia="Times New Roman" w:hAnsiTheme="majorHAnsi" w:cstheme="majorHAnsi"/>
                <w:sz w:val="16"/>
                <w:szCs w:val="16"/>
                <w:lang w:eastAsia="hr-HR"/>
              </w:rPr>
              <w:t>9</w:t>
            </w:r>
            <w:r w:rsidR="00154294" w:rsidRPr="001B4CA2">
              <w:rPr>
                <w:rFonts w:asciiTheme="majorHAnsi" w:eastAsia="Times New Roman" w:hAnsiTheme="majorHAnsi" w:cstheme="majorHAnsi"/>
                <w:sz w:val="16"/>
                <w:szCs w:val="16"/>
                <w:lang w:eastAsia="hr-HR"/>
              </w:rPr>
              <w:t>.</w:t>
            </w:r>
          </w:p>
        </w:tc>
        <w:tc>
          <w:tcPr>
            <w:tcW w:w="747" w:type="dxa"/>
            <w:shd w:val="clear" w:color="auto" w:fill="auto"/>
            <w:noWrap/>
            <w:vAlign w:val="center"/>
            <w:hideMark/>
          </w:tcPr>
          <w:p w14:paraId="0B98B505" w14:textId="3CA506B4"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31.</w:t>
            </w:r>
            <w:r w:rsidR="006822B8" w:rsidRPr="001B4CA2">
              <w:rPr>
                <w:rFonts w:asciiTheme="majorHAnsi" w:eastAsia="Times New Roman" w:hAnsiTheme="majorHAnsi" w:cstheme="majorHAnsi"/>
                <w:sz w:val="16"/>
                <w:szCs w:val="16"/>
                <w:lang w:eastAsia="hr-HR"/>
              </w:rPr>
              <w:t>780</w:t>
            </w:r>
          </w:p>
        </w:tc>
        <w:tc>
          <w:tcPr>
            <w:tcW w:w="747" w:type="dxa"/>
            <w:shd w:val="clear" w:color="auto" w:fill="auto"/>
            <w:noWrap/>
            <w:vAlign w:val="center"/>
            <w:hideMark/>
          </w:tcPr>
          <w:p w14:paraId="7C653C88" w14:textId="727809E1"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43.448</w:t>
            </w:r>
          </w:p>
        </w:tc>
        <w:tc>
          <w:tcPr>
            <w:tcW w:w="748" w:type="dxa"/>
            <w:shd w:val="clear" w:color="auto" w:fill="auto"/>
            <w:noWrap/>
            <w:vAlign w:val="center"/>
            <w:hideMark/>
          </w:tcPr>
          <w:p w14:paraId="52D024B1" w14:textId="54785CCE"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12.166</w:t>
            </w:r>
          </w:p>
        </w:tc>
        <w:tc>
          <w:tcPr>
            <w:tcW w:w="747" w:type="dxa"/>
            <w:shd w:val="clear" w:color="auto" w:fill="auto"/>
            <w:noWrap/>
            <w:vAlign w:val="center"/>
            <w:hideMark/>
          </w:tcPr>
          <w:p w14:paraId="161C7ABD" w14:textId="284A2F27" w:rsidR="006D72CC" w:rsidRPr="001B4CA2" w:rsidRDefault="006D72CC" w:rsidP="00154294">
            <w:pPr>
              <w:rPr>
                <w:rFonts w:asciiTheme="majorHAnsi" w:eastAsia="Times New Roman" w:hAnsiTheme="majorHAnsi" w:cstheme="majorHAnsi"/>
                <w:sz w:val="16"/>
                <w:szCs w:val="16"/>
                <w:lang w:eastAsia="hr-HR"/>
              </w:rPr>
            </w:pPr>
          </w:p>
        </w:tc>
        <w:tc>
          <w:tcPr>
            <w:tcW w:w="747" w:type="dxa"/>
            <w:shd w:val="clear" w:color="auto" w:fill="auto"/>
            <w:noWrap/>
            <w:vAlign w:val="center"/>
            <w:hideMark/>
          </w:tcPr>
          <w:p w14:paraId="5D9D4F5E" w14:textId="1205A231"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12.809</w:t>
            </w:r>
          </w:p>
        </w:tc>
        <w:tc>
          <w:tcPr>
            <w:tcW w:w="748" w:type="dxa"/>
            <w:shd w:val="clear" w:color="auto" w:fill="auto"/>
            <w:noWrap/>
            <w:vAlign w:val="center"/>
            <w:hideMark/>
          </w:tcPr>
          <w:p w14:paraId="76FAB784" w14:textId="1F6E7D31"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7.252</w:t>
            </w:r>
          </w:p>
        </w:tc>
        <w:tc>
          <w:tcPr>
            <w:tcW w:w="747" w:type="dxa"/>
            <w:shd w:val="clear" w:color="auto" w:fill="auto"/>
            <w:noWrap/>
            <w:vAlign w:val="center"/>
            <w:hideMark/>
          </w:tcPr>
          <w:p w14:paraId="0B5F3226" w14:textId="17D9DAB5"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6.</w:t>
            </w:r>
            <w:r w:rsidR="006822B8" w:rsidRPr="001B4CA2">
              <w:rPr>
                <w:rFonts w:asciiTheme="majorHAnsi" w:eastAsia="Times New Roman" w:hAnsiTheme="majorHAnsi" w:cstheme="majorHAnsi"/>
                <w:sz w:val="16"/>
                <w:szCs w:val="16"/>
                <w:lang w:eastAsia="hr-HR"/>
              </w:rPr>
              <w:t>185</w:t>
            </w:r>
          </w:p>
        </w:tc>
        <w:tc>
          <w:tcPr>
            <w:tcW w:w="747" w:type="dxa"/>
            <w:shd w:val="clear" w:color="auto" w:fill="auto"/>
            <w:noWrap/>
            <w:vAlign w:val="center"/>
            <w:hideMark/>
          </w:tcPr>
          <w:p w14:paraId="5E13A48F" w14:textId="488EF2D3"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3.080</w:t>
            </w:r>
          </w:p>
        </w:tc>
        <w:tc>
          <w:tcPr>
            <w:tcW w:w="748" w:type="dxa"/>
            <w:shd w:val="clear" w:color="auto" w:fill="auto"/>
            <w:noWrap/>
            <w:vAlign w:val="center"/>
            <w:hideMark/>
          </w:tcPr>
          <w:p w14:paraId="329CEA1A" w14:textId="40FFAD08" w:rsidR="006D72CC" w:rsidRPr="001B4CA2" w:rsidRDefault="006D72CC" w:rsidP="00154294">
            <w:pPr>
              <w:rPr>
                <w:rFonts w:asciiTheme="majorHAnsi" w:eastAsia="Times New Roman" w:hAnsiTheme="majorHAnsi" w:cstheme="majorHAnsi"/>
                <w:sz w:val="16"/>
                <w:szCs w:val="16"/>
                <w:lang w:eastAsia="hr-HR"/>
              </w:rPr>
            </w:pPr>
          </w:p>
        </w:tc>
        <w:tc>
          <w:tcPr>
            <w:tcW w:w="747" w:type="dxa"/>
            <w:shd w:val="clear" w:color="auto" w:fill="auto"/>
            <w:noWrap/>
            <w:vAlign w:val="center"/>
            <w:hideMark/>
          </w:tcPr>
          <w:p w14:paraId="48CDAD5A" w14:textId="0BEC6B85"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w:t>
            </w:r>
            <w:r w:rsidR="006822B8" w:rsidRPr="001B4CA2">
              <w:rPr>
                <w:rFonts w:asciiTheme="majorHAnsi" w:eastAsia="Times New Roman" w:hAnsiTheme="majorHAnsi" w:cstheme="majorHAnsi"/>
                <w:sz w:val="16"/>
                <w:szCs w:val="16"/>
                <w:lang w:eastAsia="hr-HR"/>
              </w:rPr>
              <w:t>956</w:t>
            </w:r>
          </w:p>
        </w:tc>
        <w:tc>
          <w:tcPr>
            <w:tcW w:w="748" w:type="dxa"/>
            <w:shd w:val="clear" w:color="auto" w:fill="auto"/>
            <w:noWrap/>
            <w:vAlign w:val="center"/>
            <w:hideMark/>
          </w:tcPr>
          <w:p w14:paraId="15804198" w14:textId="70A4F3C1"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w:t>
            </w:r>
            <w:r w:rsidR="006822B8" w:rsidRPr="001B4CA2">
              <w:rPr>
                <w:rFonts w:asciiTheme="majorHAnsi" w:eastAsia="Times New Roman" w:hAnsiTheme="majorHAnsi" w:cstheme="majorHAnsi"/>
                <w:sz w:val="16"/>
                <w:szCs w:val="16"/>
                <w:lang w:eastAsia="hr-HR"/>
              </w:rPr>
              <w:t>1</w:t>
            </w:r>
            <w:r w:rsidRPr="001B4CA2">
              <w:rPr>
                <w:rFonts w:asciiTheme="majorHAnsi" w:eastAsia="Times New Roman" w:hAnsiTheme="majorHAnsi" w:cstheme="majorHAnsi"/>
                <w:sz w:val="16"/>
                <w:szCs w:val="16"/>
                <w:lang w:eastAsia="hr-HR"/>
              </w:rPr>
              <w:t>.</w:t>
            </w:r>
            <w:r w:rsidR="006822B8" w:rsidRPr="001B4CA2">
              <w:rPr>
                <w:rFonts w:asciiTheme="majorHAnsi" w:eastAsia="Times New Roman" w:hAnsiTheme="majorHAnsi" w:cstheme="majorHAnsi"/>
                <w:sz w:val="16"/>
                <w:szCs w:val="16"/>
                <w:lang w:eastAsia="hr-HR"/>
              </w:rPr>
              <w:t>282</w:t>
            </w:r>
          </w:p>
        </w:tc>
      </w:tr>
      <w:tr w:rsidR="006D72CC" w:rsidRPr="001B4CA2" w14:paraId="026F0CB9" w14:textId="77777777" w:rsidTr="001D4F0F">
        <w:trPr>
          <w:trHeight w:val="333"/>
        </w:trPr>
        <w:tc>
          <w:tcPr>
            <w:tcW w:w="663" w:type="dxa"/>
            <w:shd w:val="clear" w:color="auto" w:fill="auto"/>
            <w:noWrap/>
            <w:vAlign w:val="center"/>
            <w:hideMark/>
          </w:tcPr>
          <w:p w14:paraId="4F12B417" w14:textId="47BB325C"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20</w:t>
            </w:r>
            <w:r w:rsidR="008D203E" w:rsidRPr="001B4CA2">
              <w:rPr>
                <w:rFonts w:asciiTheme="majorHAnsi" w:eastAsia="Times New Roman" w:hAnsiTheme="majorHAnsi" w:cstheme="majorHAnsi"/>
                <w:sz w:val="16"/>
                <w:szCs w:val="16"/>
                <w:lang w:eastAsia="hr-HR"/>
              </w:rPr>
              <w:t>20</w:t>
            </w:r>
            <w:r w:rsidR="00154294" w:rsidRPr="001B4CA2">
              <w:rPr>
                <w:rFonts w:asciiTheme="majorHAnsi" w:eastAsia="Times New Roman" w:hAnsiTheme="majorHAnsi" w:cstheme="majorHAnsi"/>
                <w:sz w:val="16"/>
                <w:szCs w:val="16"/>
                <w:lang w:eastAsia="hr-HR"/>
              </w:rPr>
              <w:t>.</w:t>
            </w:r>
          </w:p>
        </w:tc>
        <w:tc>
          <w:tcPr>
            <w:tcW w:w="747" w:type="dxa"/>
            <w:shd w:val="clear" w:color="auto" w:fill="auto"/>
            <w:noWrap/>
            <w:vAlign w:val="center"/>
            <w:hideMark/>
          </w:tcPr>
          <w:p w14:paraId="1B93B225" w14:textId="423D355F"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w:t>
            </w:r>
            <w:r w:rsidR="006822B8" w:rsidRPr="001B4CA2">
              <w:rPr>
                <w:rFonts w:asciiTheme="majorHAnsi" w:eastAsia="Times New Roman" w:hAnsiTheme="majorHAnsi" w:cstheme="majorHAnsi"/>
                <w:sz w:val="16"/>
                <w:szCs w:val="16"/>
                <w:lang w:eastAsia="hr-HR"/>
              </w:rPr>
              <w:t>4.683</w:t>
            </w:r>
          </w:p>
        </w:tc>
        <w:tc>
          <w:tcPr>
            <w:tcW w:w="747" w:type="dxa"/>
            <w:shd w:val="clear" w:color="auto" w:fill="auto"/>
            <w:noWrap/>
            <w:vAlign w:val="center"/>
            <w:hideMark/>
          </w:tcPr>
          <w:p w14:paraId="0C25FC7A" w14:textId="5A491428"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45.552</w:t>
            </w:r>
          </w:p>
        </w:tc>
        <w:tc>
          <w:tcPr>
            <w:tcW w:w="748" w:type="dxa"/>
            <w:shd w:val="clear" w:color="auto" w:fill="auto"/>
            <w:noWrap/>
            <w:vAlign w:val="center"/>
            <w:hideMark/>
          </w:tcPr>
          <w:p w14:paraId="28538F4A" w14:textId="491E1105"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w:t>
            </w:r>
            <w:r w:rsidR="006822B8" w:rsidRPr="001B4CA2">
              <w:rPr>
                <w:rFonts w:asciiTheme="majorHAnsi" w:eastAsia="Times New Roman" w:hAnsiTheme="majorHAnsi" w:cstheme="majorHAnsi"/>
                <w:sz w:val="16"/>
                <w:szCs w:val="16"/>
                <w:lang w:eastAsia="hr-HR"/>
              </w:rPr>
              <w:t>0.782</w:t>
            </w:r>
          </w:p>
        </w:tc>
        <w:tc>
          <w:tcPr>
            <w:tcW w:w="747" w:type="dxa"/>
            <w:shd w:val="clear" w:color="auto" w:fill="auto"/>
            <w:noWrap/>
            <w:vAlign w:val="center"/>
            <w:hideMark/>
          </w:tcPr>
          <w:p w14:paraId="28ACE1DA" w14:textId="606B6CAC"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8.296</w:t>
            </w:r>
          </w:p>
        </w:tc>
        <w:tc>
          <w:tcPr>
            <w:tcW w:w="747" w:type="dxa"/>
            <w:shd w:val="clear" w:color="auto" w:fill="auto"/>
            <w:noWrap/>
            <w:vAlign w:val="center"/>
            <w:hideMark/>
          </w:tcPr>
          <w:p w14:paraId="0B61251E" w14:textId="6EFF9485"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11.113</w:t>
            </w:r>
          </w:p>
        </w:tc>
        <w:tc>
          <w:tcPr>
            <w:tcW w:w="748" w:type="dxa"/>
            <w:shd w:val="clear" w:color="auto" w:fill="auto"/>
            <w:noWrap/>
            <w:vAlign w:val="center"/>
            <w:hideMark/>
          </w:tcPr>
          <w:p w14:paraId="28D996DD" w14:textId="593647DE"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5.538</w:t>
            </w:r>
          </w:p>
        </w:tc>
        <w:tc>
          <w:tcPr>
            <w:tcW w:w="747" w:type="dxa"/>
            <w:shd w:val="clear" w:color="auto" w:fill="auto"/>
            <w:noWrap/>
            <w:vAlign w:val="center"/>
            <w:hideMark/>
          </w:tcPr>
          <w:p w14:paraId="3E7D6125" w14:textId="13834B96"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2.162</w:t>
            </w:r>
          </w:p>
        </w:tc>
        <w:tc>
          <w:tcPr>
            <w:tcW w:w="747" w:type="dxa"/>
            <w:shd w:val="clear" w:color="auto" w:fill="auto"/>
            <w:noWrap/>
            <w:vAlign w:val="center"/>
            <w:hideMark/>
          </w:tcPr>
          <w:p w14:paraId="6B049F81" w14:textId="35CF1722"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w:t>
            </w:r>
            <w:r w:rsidR="006822B8" w:rsidRPr="001B4CA2">
              <w:rPr>
                <w:rFonts w:asciiTheme="majorHAnsi" w:eastAsia="Times New Roman" w:hAnsiTheme="majorHAnsi" w:cstheme="majorHAnsi"/>
                <w:sz w:val="16"/>
                <w:szCs w:val="16"/>
                <w:lang w:eastAsia="hr-HR"/>
              </w:rPr>
              <w:t>166</w:t>
            </w:r>
          </w:p>
        </w:tc>
        <w:tc>
          <w:tcPr>
            <w:tcW w:w="748" w:type="dxa"/>
            <w:shd w:val="clear" w:color="auto" w:fill="auto"/>
            <w:noWrap/>
            <w:vAlign w:val="center"/>
            <w:hideMark/>
          </w:tcPr>
          <w:p w14:paraId="2B681A9D" w14:textId="7E0E19DB"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1.650</w:t>
            </w:r>
          </w:p>
        </w:tc>
        <w:tc>
          <w:tcPr>
            <w:tcW w:w="747" w:type="dxa"/>
            <w:shd w:val="clear" w:color="auto" w:fill="auto"/>
            <w:noWrap/>
            <w:vAlign w:val="center"/>
            <w:hideMark/>
          </w:tcPr>
          <w:p w14:paraId="53D1D186" w14:textId="627E1088"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2.845</w:t>
            </w:r>
          </w:p>
        </w:tc>
        <w:tc>
          <w:tcPr>
            <w:tcW w:w="748" w:type="dxa"/>
            <w:shd w:val="clear" w:color="auto" w:fill="auto"/>
            <w:noWrap/>
            <w:vAlign w:val="center"/>
            <w:hideMark/>
          </w:tcPr>
          <w:p w14:paraId="335FEF60" w14:textId="6467379E"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34.770</w:t>
            </w:r>
          </w:p>
        </w:tc>
      </w:tr>
      <w:tr w:rsidR="006D72CC" w:rsidRPr="001B4CA2" w14:paraId="6B607244" w14:textId="77777777" w:rsidTr="001D4F0F">
        <w:trPr>
          <w:trHeight w:val="333"/>
        </w:trPr>
        <w:tc>
          <w:tcPr>
            <w:tcW w:w="663" w:type="dxa"/>
            <w:shd w:val="clear" w:color="auto" w:fill="auto"/>
            <w:noWrap/>
            <w:vAlign w:val="center"/>
            <w:hideMark/>
          </w:tcPr>
          <w:p w14:paraId="7947B652" w14:textId="7387D02E"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202</w:t>
            </w:r>
            <w:r w:rsidR="008D203E" w:rsidRPr="001B4CA2">
              <w:rPr>
                <w:rFonts w:asciiTheme="majorHAnsi" w:eastAsia="Times New Roman" w:hAnsiTheme="majorHAnsi" w:cstheme="majorHAnsi"/>
                <w:sz w:val="16"/>
                <w:szCs w:val="16"/>
                <w:lang w:eastAsia="hr-HR"/>
              </w:rPr>
              <w:t>1</w:t>
            </w:r>
            <w:r w:rsidR="00154294" w:rsidRPr="001B4CA2">
              <w:rPr>
                <w:rFonts w:asciiTheme="majorHAnsi" w:eastAsia="Times New Roman" w:hAnsiTheme="majorHAnsi" w:cstheme="majorHAnsi"/>
                <w:sz w:val="16"/>
                <w:szCs w:val="16"/>
                <w:lang w:eastAsia="hr-HR"/>
              </w:rPr>
              <w:t>.</w:t>
            </w:r>
          </w:p>
        </w:tc>
        <w:tc>
          <w:tcPr>
            <w:tcW w:w="747" w:type="dxa"/>
            <w:shd w:val="clear" w:color="auto" w:fill="auto"/>
            <w:noWrap/>
            <w:vAlign w:val="center"/>
            <w:hideMark/>
          </w:tcPr>
          <w:p w14:paraId="4F2A72EF" w14:textId="3FF721F7"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35.781</w:t>
            </w:r>
          </w:p>
        </w:tc>
        <w:tc>
          <w:tcPr>
            <w:tcW w:w="747" w:type="dxa"/>
            <w:shd w:val="clear" w:color="auto" w:fill="auto"/>
            <w:noWrap/>
            <w:vAlign w:val="center"/>
            <w:hideMark/>
          </w:tcPr>
          <w:p w14:paraId="2A881111" w14:textId="79DC0BEC"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46.452</w:t>
            </w:r>
          </w:p>
        </w:tc>
        <w:tc>
          <w:tcPr>
            <w:tcW w:w="748" w:type="dxa"/>
            <w:shd w:val="clear" w:color="auto" w:fill="auto"/>
            <w:noWrap/>
            <w:vAlign w:val="center"/>
            <w:hideMark/>
          </w:tcPr>
          <w:p w14:paraId="410395A3" w14:textId="68C72D05"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11.921</w:t>
            </w:r>
          </w:p>
        </w:tc>
        <w:tc>
          <w:tcPr>
            <w:tcW w:w="747" w:type="dxa"/>
            <w:shd w:val="clear" w:color="auto" w:fill="auto"/>
            <w:noWrap/>
            <w:vAlign w:val="center"/>
            <w:hideMark/>
          </w:tcPr>
          <w:p w14:paraId="41906D99" w14:textId="096C1B69"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8.</w:t>
            </w:r>
            <w:r w:rsidR="006822B8" w:rsidRPr="001B4CA2">
              <w:rPr>
                <w:rFonts w:asciiTheme="majorHAnsi" w:eastAsia="Times New Roman" w:hAnsiTheme="majorHAnsi" w:cstheme="majorHAnsi"/>
                <w:sz w:val="16"/>
                <w:szCs w:val="16"/>
                <w:lang w:eastAsia="hr-HR"/>
              </w:rPr>
              <w:t>760</w:t>
            </w:r>
          </w:p>
        </w:tc>
        <w:tc>
          <w:tcPr>
            <w:tcW w:w="747" w:type="dxa"/>
            <w:shd w:val="clear" w:color="auto" w:fill="auto"/>
            <w:noWrap/>
            <w:vAlign w:val="center"/>
            <w:hideMark/>
          </w:tcPr>
          <w:p w14:paraId="5CC96930" w14:textId="39E0903A"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11.482</w:t>
            </w:r>
          </w:p>
        </w:tc>
        <w:tc>
          <w:tcPr>
            <w:tcW w:w="748" w:type="dxa"/>
            <w:shd w:val="clear" w:color="auto" w:fill="auto"/>
            <w:noWrap/>
            <w:vAlign w:val="center"/>
            <w:hideMark/>
          </w:tcPr>
          <w:p w14:paraId="35D531C7" w14:textId="63C52FC6"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4.769</w:t>
            </w:r>
          </w:p>
        </w:tc>
        <w:tc>
          <w:tcPr>
            <w:tcW w:w="747" w:type="dxa"/>
            <w:shd w:val="clear" w:color="auto" w:fill="auto"/>
            <w:noWrap/>
            <w:vAlign w:val="center"/>
            <w:hideMark/>
          </w:tcPr>
          <w:p w14:paraId="4EE362E1" w14:textId="688BA2EB"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3.789</w:t>
            </w:r>
          </w:p>
        </w:tc>
        <w:tc>
          <w:tcPr>
            <w:tcW w:w="747" w:type="dxa"/>
            <w:shd w:val="clear" w:color="auto" w:fill="auto"/>
            <w:noWrap/>
            <w:vAlign w:val="center"/>
            <w:hideMark/>
          </w:tcPr>
          <w:p w14:paraId="04552570" w14:textId="3DA709EE"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w:t>
            </w:r>
            <w:r w:rsidR="006822B8" w:rsidRPr="001B4CA2">
              <w:rPr>
                <w:rFonts w:asciiTheme="majorHAnsi" w:eastAsia="Times New Roman" w:hAnsiTheme="majorHAnsi" w:cstheme="majorHAnsi"/>
                <w:sz w:val="16"/>
                <w:szCs w:val="16"/>
                <w:lang w:eastAsia="hr-HR"/>
              </w:rPr>
              <w:t>004</w:t>
            </w:r>
          </w:p>
        </w:tc>
        <w:tc>
          <w:tcPr>
            <w:tcW w:w="748" w:type="dxa"/>
            <w:shd w:val="clear" w:color="auto" w:fill="auto"/>
            <w:noWrap/>
            <w:vAlign w:val="center"/>
            <w:hideMark/>
          </w:tcPr>
          <w:p w14:paraId="5189E90B" w14:textId="1F3A7F91"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1.414</w:t>
            </w:r>
          </w:p>
        </w:tc>
        <w:tc>
          <w:tcPr>
            <w:tcW w:w="747" w:type="dxa"/>
            <w:shd w:val="clear" w:color="auto" w:fill="auto"/>
            <w:noWrap/>
            <w:vAlign w:val="center"/>
            <w:hideMark/>
          </w:tcPr>
          <w:p w14:paraId="32BE1D0B" w14:textId="186C86CE"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1.313</w:t>
            </w:r>
          </w:p>
        </w:tc>
        <w:tc>
          <w:tcPr>
            <w:tcW w:w="748" w:type="dxa"/>
            <w:shd w:val="clear" w:color="auto" w:fill="auto"/>
            <w:noWrap/>
            <w:vAlign w:val="center"/>
            <w:hideMark/>
          </w:tcPr>
          <w:p w14:paraId="426D04DD" w14:textId="56DABE63"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34.531</w:t>
            </w:r>
          </w:p>
        </w:tc>
      </w:tr>
      <w:tr w:rsidR="006D72CC" w:rsidRPr="001B4CA2" w14:paraId="39EEFE31" w14:textId="77777777" w:rsidTr="001D4F0F">
        <w:trPr>
          <w:trHeight w:val="350"/>
        </w:trPr>
        <w:tc>
          <w:tcPr>
            <w:tcW w:w="663" w:type="dxa"/>
            <w:shd w:val="clear" w:color="auto" w:fill="auto"/>
            <w:noWrap/>
            <w:vAlign w:val="center"/>
          </w:tcPr>
          <w:p w14:paraId="6E0C8EB1" w14:textId="3C4A6FF8" w:rsidR="006D72CC" w:rsidRPr="001B4CA2" w:rsidRDefault="006D72CC"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202</w:t>
            </w:r>
            <w:r w:rsidR="008D203E" w:rsidRPr="001B4CA2">
              <w:rPr>
                <w:rFonts w:asciiTheme="majorHAnsi" w:eastAsia="Times New Roman" w:hAnsiTheme="majorHAnsi" w:cstheme="majorHAnsi"/>
                <w:sz w:val="16"/>
                <w:szCs w:val="16"/>
                <w:lang w:eastAsia="hr-HR"/>
              </w:rPr>
              <w:t>2</w:t>
            </w:r>
            <w:r w:rsidR="00154294" w:rsidRPr="001B4CA2">
              <w:rPr>
                <w:rFonts w:asciiTheme="majorHAnsi" w:eastAsia="Times New Roman" w:hAnsiTheme="majorHAnsi" w:cstheme="majorHAnsi"/>
                <w:sz w:val="16"/>
                <w:szCs w:val="16"/>
                <w:lang w:eastAsia="hr-HR"/>
              </w:rPr>
              <w:t>.</w:t>
            </w:r>
          </w:p>
        </w:tc>
        <w:tc>
          <w:tcPr>
            <w:tcW w:w="747" w:type="dxa"/>
            <w:shd w:val="clear" w:color="auto" w:fill="auto"/>
            <w:noWrap/>
            <w:vAlign w:val="center"/>
          </w:tcPr>
          <w:p w14:paraId="72CAFD08" w14:textId="53D70745"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36.384</w:t>
            </w:r>
          </w:p>
        </w:tc>
        <w:tc>
          <w:tcPr>
            <w:tcW w:w="747" w:type="dxa"/>
            <w:shd w:val="clear" w:color="auto" w:fill="auto"/>
            <w:noWrap/>
            <w:vAlign w:val="center"/>
          </w:tcPr>
          <w:p w14:paraId="705A08ED" w14:textId="529F963D"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48.290</w:t>
            </w:r>
          </w:p>
        </w:tc>
        <w:tc>
          <w:tcPr>
            <w:tcW w:w="748" w:type="dxa"/>
            <w:shd w:val="clear" w:color="auto" w:fill="auto"/>
            <w:noWrap/>
            <w:vAlign w:val="center"/>
          </w:tcPr>
          <w:p w14:paraId="49155107" w14:textId="0DBA27A0"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14.103</w:t>
            </w:r>
          </w:p>
        </w:tc>
        <w:tc>
          <w:tcPr>
            <w:tcW w:w="747" w:type="dxa"/>
            <w:shd w:val="clear" w:color="auto" w:fill="auto"/>
            <w:noWrap/>
            <w:vAlign w:val="center"/>
          </w:tcPr>
          <w:p w14:paraId="51D246CB" w14:textId="12690AF0"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9.546</w:t>
            </w:r>
          </w:p>
        </w:tc>
        <w:tc>
          <w:tcPr>
            <w:tcW w:w="747" w:type="dxa"/>
            <w:shd w:val="clear" w:color="auto" w:fill="auto"/>
            <w:noWrap/>
            <w:vAlign w:val="center"/>
          </w:tcPr>
          <w:p w14:paraId="0AF2BE01" w14:textId="154FFDC4"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10.135</w:t>
            </w:r>
          </w:p>
        </w:tc>
        <w:tc>
          <w:tcPr>
            <w:tcW w:w="748" w:type="dxa"/>
            <w:shd w:val="clear" w:color="auto" w:fill="auto"/>
            <w:noWrap/>
            <w:vAlign w:val="center"/>
          </w:tcPr>
          <w:p w14:paraId="1D6FE131" w14:textId="21477733"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3.813</w:t>
            </w:r>
          </w:p>
        </w:tc>
        <w:tc>
          <w:tcPr>
            <w:tcW w:w="747" w:type="dxa"/>
            <w:shd w:val="clear" w:color="auto" w:fill="auto"/>
            <w:noWrap/>
            <w:vAlign w:val="center"/>
          </w:tcPr>
          <w:p w14:paraId="681ECA73" w14:textId="3AEB5D4C" w:rsidR="006D72CC" w:rsidRPr="001B4CA2" w:rsidRDefault="002D5607"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w:t>
            </w:r>
            <w:r w:rsidR="006822B8" w:rsidRPr="001B4CA2">
              <w:rPr>
                <w:rFonts w:asciiTheme="majorHAnsi" w:eastAsia="Times New Roman" w:hAnsiTheme="majorHAnsi" w:cstheme="majorHAnsi"/>
                <w:sz w:val="16"/>
                <w:szCs w:val="16"/>
                <w:lang w:eastAsia="hr-HR"/>
              </w:rPr>
              <w:t>597</w:t>
            </w:r>
          </w:p>
        </w:tc>
        <w:tc>
          <w:tcPr>
            <w:tcW w:w="747" w:type="dxa"/>
            <w:shd w:val="clear" w:color="auto" w:fill="auto"/>
            <w:noWrap/>
            <w:vAlign w:val="center"/>
          </w:tcPr>
          <w:p w14:paraId="004979B8" w14:textId="74241AC1"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2.797</w:t>
            </w:r>
          </w:p>
        </w:tc>
        <w:tc>
          <w:tcPr>
            <w:tcW w:w="748" w:type="dxa"/>
            <w:shd w:val="clear" w:color="auto" w:fill="auto"/>
            <w:noWrap/>
            <w:vAlign w:val="center"/>
          </w:tcPr>
          <w:p w14:paraId="1DCF3674" w14:textId="60CD82D9"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3.192</w:t>
            </w:r>
          </w:p>
        </w:tc>
        <w:tc>
          <w:tcPr>
            <w:tcW w:w="747" w:type="dxa"/>
            <w:shd w:val="clear" w:color="auto" w:fill="auto"/>
            <w:noWrap/>
            <w:vAlign w:val="center"/>
          </w:tcPr>
          <w:p w14:paraId="3168B2DF" w14:textId="6FCDB852" w:rsidR="006D72CC" w:rsidRPr="001B4CA2" w:rsidRDefault="002D5607"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1.</w:t>
            </w:r>
            <w:r w:rsidR="006822B8" w:rsidRPr="001B4CA2">
              <w:rPr>
                <w:rFonts w:asciiTheme="majorHAnsi" w:eastAsia="Times New Roman" w:hAnsiTheme="majorHAnsi" w:cstheme="majorHAnsi"/>
                <w:sz w:val="16"/>
                <w:szCs w:val="16"/>
                <w:lang w:eastAsia="hr-HR"/>
              </w:rPr>
              <w:t>108</w:t>
            </w:r>
          </w:p>
        </w:tc>
        <w:tc>
          <w:tcPr>
            <w:tcW w:w="748" w:type="dxa"/>
            <w:shd w:val="clear" w:color="auto" w:fill="auto"/>
            <w:noWrap/>
            <w:vAlign w:val="center"/>
          </w:tcPr>
          <w:p w14:paraId="18A2D5C1" w14:textId="5CCF4212" w:rsidR="006D72CC" w:rsidRPr="001B4CA2" w:rsidRDefault="006822B8" w:rsidP="00154294">
            <w:pPr>
              <w:rPr>
                <w:rFonts w:asciiTheme="majorHAnsi" w:eastAsia="Times New Roman" w:hAnsiTheme="majorHAnsi" w:cstheme="majorHAnsi"/>
                <w:sz w:val="16"/>
                <w:szCs w:val="16"/>
                <w:lang w:eastAsia="hr-HR"/>
              </w:rPr>
            </w:pPr>
            <w:r w:rsidRPr="001B4CA2">
              <w:rPr>
                <w:rFonts w:asciiTheme="majorHAnsi" w:eastAsia="Times New Roman" w:hAnsiTheme="majorHAnsi" w:cstheme="majorHAnsi"/>
                <w:sz w:val="16"/>
                <w:szCs w:val="16"/>
                <w:lang w:eastAsia="hr-HR"/>
              </w:rPr>
              <w:t>34.187</w:t>
            </w:r>
          </w:p>
        </w:tc>
      </w:tr>
    </w:tbl>
    <w:p w14:paraId="376DE6FC" w14:textId="77777777" w:rsidR="00B333BA" w:rsidRPr="001B4CA2" w:rsidRDefault="00B333BA" w:rsidP="008A0EAF"/>
    <w:p w14:paraId="714442C1" w14:textId="422199CC" w:rsidR="00501212" w:rsidRPr="001B4CA2" w:rsidRDefault="00501212" w:rsidP="003C7AD5">
      <w:pPr>
        <w:ind w:firstLine="708"/>
      </w:pPr>
      <w:r w:rsidRPr="001B4CA2">
        <w:t xml:space="preserve">Tijekom 2022. godine općinska državna odvjetništva (bez kaznenih prijava protiv maloljetnih osoba) zaprimila </w:t>
      </w:r>
      <w:r w:rsidR="00753708" w:rsidRPr="001B4CA2">
        <w:t xml:space="preserve">su </w:t>
      </w:r>
      <w:r w:rsidRPr="001B4CA2">
        <w:t xml:space="preserve">ukupno 36.384 kaznene prijave, a kada se navedenom broju pribroje neriješene prijave iz 2021. godine, to su u radu imala ukupno 48.290 prijava. </w:t>
      </w:r>
    </w:p>
    <w:p w14:paraId="62C1C8F1" w14:textId="77777777" w:rsidR="00501212" w:rsidRPr="001B4CA2" w:rsidRDefault="00501212" w:rsidP="00501212"/>
    <w:p w14:paraId="3F46B5DE" w14:textId="54B00608" w:rsidR="00501212" w:rsidRPr="001B4CA2" w:rsidRDefault="005B2800" w:rsidP="00501212">
      <w:pPr>
        <w:rPr>
          <w:color w:val="FF0000"/>
        </w:rPr>
      </w:pPr>
      <w:r w:rsidRPr="001B4CA2">
        <w:tab/>
      </w:r>
      <w:r w:rsidR="00501212" w:rsidRPr="001B4CA2">
        <w:t>Na kraju izvještajnog razdoblja, od ukupnog broja prijava u radu ostale su neriješene 14.103 prijave (29,2</w:t>
      </w:r>
      <w:r w:rsidR="00753708">
        <w:t> </w:t>
      </w:r>
      <w:r w:rsidR="00501212" w:rsidRPr="001B4CA2">
        <w:t xml:space="preserve">%), od čega se najveći broj prijava odnosi na prijave u kojima je u tijeku provođenje izvida, </w:t>
      </w:r>
      <w:r w:rsidR="00753708">
        <w:t>ponajprije</w:t>
      </w:r>
      <w:r w:rsidR="00501212" w:rsidRPr="001B4CA2">
        <w:t xml:space="preserve"> od policije, ali i od drugih državnih tijela. Usporedbom broja neriješenih prijava iz 2022. godine i broja neriješenih prijava u 2021. godini (11.921 prijava), uočava se da je došlo do porasta broja neriješenih prijava od 18,3</w:t>
      </w:r>
      <w:r w:rsidR="00753708">
        <w:t> </w:t>
      </w:r>
      <w:r w:rsidR="00501212" w:rsidRPr="001B4CA2">
        <w:t xml:space="preserve">%. </w:t>
      </w:r>
    </w:p>
    <w:p w14:paraId="16BBEA34" w14:textId="77777777" w:rsidR="00501212" w:rsidRPr="001B4CA2" w:rsidRDefault="00501212" w:rsidP="00501212">
      <w:pPr>
        <w:rPr>
          <w:color w:val="FF0000"/>
        </w:rPr>
      </w:pPr>
    </w:p>
    <w:p w14:paraId="42149D97" w14:textId="65AA6BD4" w:rsidR="00501212" w:rsidRPr="001B4CA2" w:rsidRDefault="005B2800" w:rsidP="00501212">
      <w:r w:rsidRPr="001B4CA2">
        <w:rPr>
          <w:color w:val="FF0000"/>
        </w:rPr>
        <w:tab/>
      </w:r>
      <w:r w:rsidR="00501212" w:rsidRPr="001B4CA2">
        <w:t>Razlog porasta broja neriješenih prijava jest odljev kadrova</w:t>
      </w:r>
      <w:r w:rsidR="00753708">
        <w:t>,</w:t>
      </w:r>
      <w:r w:rsidR="00501212" w:rsidRPr="001B4CA2">
        <w:t xml:space="preserve"> tj. kadrovska </w:t>
      </w:r>
      <w:proofErr w:type="spellStart"/>
      <w:r w:rsidR="00501212" w:rsidRPr="001B4CA2">
        <w:t>potkapacitiranost</w:t>
      </w:r>
      <w:proofErr w:type="spellEnd"/>
      <w:r w:rsidR="00501212" w:rsidRPr="001B4CA2">
        <w:t xml:space="preserve"> općinskih državnih odvjetništava, povećan broj rasprava pred sudovima u odnosu na 2021. godinu te veći broj zaprimljenih kaznenih prijava. Primjera radi, </w:t>
      </w:r>
      <w:r w:rsidR="00753708">
        <w:t>iz</w:t>
      </w:r>
      <w:r w:rsidR="00501212" w:rsidRPr="001B4CA2">
        <w:t xml:space="preserve"> Općinsko</w:t>
      </w:r>
      <w:r w:rsidR="00753708">
        <w:t>g</w:t>
      </w:r>
      <w:r w:rsidR="00501212" w:rsidRPr="001B4CA2">
        <w:t xml:space="preserve"> kazneno</w:t>
      </w:r>
      <w:r w:rsidR="00753708">
        <w:t>g</w:t>
      </w:r>
      <w:r w:rsidR="00501212" w:rsidRPr="001B4CA2">
        <w:t xml:space="preserve"> državno</w:t>
      </w:r>
      <w:r w:rsidR="00753708">
        <w:t>g</w:t>
      </w:r>
      <w:r w:rsidR="00501212" w:rsidRPr="001B4CA2">
        <w:t xml:space="preserve"> odvjetništv</w:t>
      </w:r>
      <w:r w:rsidR="00753708">
        <w:t>a</w:t>
      </w:r>
      <w:r w:rsidR="00501212" w:rsidRPr="001B4CA2">
        <w:t xml:space="preserve"> u Zagrebu u razdoblju od proljeća 2021. do jeseni 2022. otišlo </w:t>
      </w:r>
      <w:r w:rsidR="00753708" w:rsidRPr="001B4CA2">
        <w:t xml:space="preserve">je </w:t>
      </w:r>
      <w:r w:rsidR="00501212" w:rsidRPr="001B4CA2">
        <w:t xml:space="preserve">čak 15 iskusnih zamjenika, a u istom razdoblju </w:t>
      </w:r>
      <w:r w:rsidR="00753708" w:rsidRPr="001B4CA2">
        <w:t xml:space="preserve">došlo </w:t>
      </w:r>
      <w:r w:rsidR="00501212" w:rsidRPr="001B4CA2">
        <w:t xml:space="preserve">je 5 novih zamjenika, dok je u Općinskom državnom odvjetništvu u Sisku u izvještajnom razdoblju dužnost obnašalo svega 6 zamjenika (3 zamjenika prestala </w:t>
      </w:r>
      <w:r w:rsidR="00753708" w:rsidRPr="001B4CA2">
        <w:t xml:space="preserve">su </w:t>
      </w:r>
      <w:r w:rsidR="00501212" w:rsidRPr="001B4CA2">
        <w:t>obnašati dužnost, 3 zamjenika su raspoređena na dužnost izvan tog državnog odvjetništva, a 2 zamjenice koriste porodni dopust).</w:t>
      </w:r>
    </w:p>
    <w:p w14:paraId="2BEE7562" w14:textId="77777777" w:rsidR="00501212" w:rsidRPr="001B4CA2" w:rsidRDefault="00501212" w:rsidP="00501212"/>
    <w:p w14:paraId="3789FE67" w14:textId="10464B3F" w:rsidR="005B2800" w:rsidRPr="001B4CA2" w:rsidRDefault="005B2800" w:rsidP="005B2800">
      <w:r w:rsidRPr="001B4CA2">
        <w:tab/>
      </w:r>
      <w:r w:rsidR="00501212" w:rsidRPr="001B4CA2">
        <w:t xml:space="preserve">Međutim, unatoč uočenom porastu broja neriješenih prijava, u radu općinskih državnih odvjetništava </w:t>
      </w:r>
      <w:r w:rsidR="00753708" w:rsidRPr="001B4CA2">
        <w:t xml:space="preserve">zadržana </w:t>
      </w:r>
      <w:r w:rsidR="00501212" w:rsidRPr="001B4CA2">
        <w:t>je visoka razina ažurnosti, s obzirom na to da je tijekom 2022. godine riješeno 34.187 prijava, odnosno</w:t>
      </w:r>
      <w:r w:rsidR="00501212" w:rsidRPr="001B4CA2">
        <w:rPr>
          <w:rFonts w:eastAsia="Arial"/>
        </w:rPr>
        <w:t xml:space="preserve"> 70,8</w:t>
      </w:r>
      <w:r w:rsidR="00753708">
        <w:rPr>
          <w:rFonts w:eastAsia="Arial"/>
        </w:rPr>
        <w:t> </w:t>
      </w:r>
      <w:r w:rsidR="00501212" w:rsidRPr="001B4CA2">
        <w:t>% kaznenih prijava od ukupnog broja kaznenih prijava u radu</w:t>
      </w:r>
      <w:r w:rsidR="00501212" w:rsidRPr="001B4CA2">
        <w:rPr>
          <w:rFonts w:eastAsia="Arial"/>
        </w:rPr>
        <w:t>.</w:t>
      </w:r>
    </w:p>
    <w:p w14:paraId="21855184" w14:textId="77777777" w:rsidR="005B2800" w:rsidRPr="001B4CA2" w:rsidRDefault="005B2800" w:rsidP="005B2800"/>
    <w:p w14:paraId="2A7F54C1" w14:textId="55FA1723" w:rsidR="005B2800" w:rsidRPr="001B4CA2" w:rsidRDefault="005B2800" w:rsidP="005B2800">
      <w:r w:rsidRPr="001B4CA2">
        <w:tab/>
      </w:r>
      <w:r w:rsidR="00501212" w:rsidRPr="001B4CA2">
        <w:t>Od ukupnog broja riješenih prijava, 20.342 prijave (59,5</w:t>
      </w:r>
      <w:r w:rsidR="00753708">
        <w:rPr>
          <w:rFonts w:eastAsia="Arial"/>
        </w:rPr>
        <w:t> </w:t>
      </w:r>
      <w:r w:rsidR="00501212" w:rsidRPr="001B4CA2">
        <w:t xml:space="preserve">%) riješene </w:t>
      </w:r>
      <w:r w:rsidR="00753708" w:rsidRPr="001B4CA2">
        <w:t xml:space="preserve">su </w:t>
      </w:r>
      <w:r w:rsidR="00501212" w:rsidRPr="001B4CA2">
        <w:t xml:space="preserve">donošenjem meritorne </w:t>
      </w:r>
      <w:proofErr w:type="spellStart"/>
      <w:r w:rsidR="00501212" w:rsidRPr="001B4CA2">
        <w:t>državnoodvjetničke</w:t>
      </w:r>
      <w:proofErr w:type="spellEnd"/>
      <w:r w:rsidR="00501212" w:rsidRPr="001B4CA2">
        <w:t xml:space="preserve"> odluke (rješenje o odbačaju, optužnica i rješenje o provođenju istrage), </w:t>
      </w:r>
      <w:r w:rsidR="00501212" w:rsidRPr="001B4CA2">
        <w:rPr>
          <w:rFonts w:eastAsia="Arial"/>
        </w:rPr>
        <w:t>broj otvorenih istraživanja je na razini od 27,9</w:t>
      </w:r>
      <w:r w:rsidR="00753708">
        <w:rPr>
          <w:rFonts w:eastAsia="Arial"/>
        </w:rPr>
        <w:t> </w:t>
      </w:r>
      <w:r w:rsidR="00501212" w:rsidRPr="001B4CA2">
        <w:rPr>
          <w:rFonts w:eastAsia="Arial"/>
        </w:rPr>
        <w:t>%, dok je</w:t>
      </w:r>
      <w:r w:rsidR="00501212" w:rsidRPr="001B4CA2">
        <w:t xml:space="preserve"> 3.192 prijava (9,3</w:t>
      </w:r>
      <w:r w:rsidR="00753708">
        <w:rPr>
          <w:rFonts w:eastAsia="Arial"/>
        </w:rPr>
        <w:t> </w:t>
      </w:r>
      <w:r w:rsidR="00501212" w:rsidRPr="001B4CA2">
        <w:t>%) riješeno ustupom predmeta drugom državnom odvjetništvu, a 1.108 prijava (3,3</w:t>
      </w:r>
      <w:r w:rsidR="00753708">
        <w:rPr>
          <w:rFonts w:eastAsia="Arial"/>
        </w:rPr>
        <w:t> </w:t>
      </w:r>
      <w:r w:rsidR="00501212" w:rsidRPr="001B4CA2">
        <w:t xml:space="preserve">%) riješeno je na drugi način (spajanjem predmeta i sl.). </w:t>
      </w:r>
    </w:p>
    <w:p w14:paraId="366DF4C3" w14:textId="77777777" w:rsidR="005B2800" w:rsidRPr="001B4CA2" w:rsidRDefault="005B2800" w:rsidP="005B2800"/>
    <w:p w14:paraId="024F8149" w14:textId="1312E9A2" w:rsidR="00501212" w:rsidRPr="001B4CA2" w:rsidRDefault="005B2800" w:rsidP="005B2800">
      <w:r w:rsidRPr="001B4CA2">
        <w:tab/>
      </w:r>
      <w:r w:rsidR="00501212" w:rsidRPr="001B4CA2">
        <w:t xml:space="preserve">Do prividnog porasta broja ustupa u 2022. godini došlo </w:t>
      </w:r>
      <w:r w:rsidR="00753708" w:rsidRPr="001B4CA2">
        <w:t xml:space="preserve">je </w:t>
      </w:r>
      <w:r w:rsidR="00501212" w:rsidRPr="001B4CA2">
        <w:t xml:space="preserve">zbog </w:t>
      </w:r>
      <w:r w:rsidR="00501212" w:rsidRPr="001B4CA2">
        <w:rPr>
          <w:rFonts w:eastAsia="Times New Roman"/>
          <w:lang w:eastAsia="hr-HR"/>
        </w:rPr>
        <w:t xml:space="preserve">delegacije 1.060 predmeta Općinskog kaznenog državnog odvjetništva u Zagrebu, kao </w:t>
      </w:r>
      <w:r w:rsidR="00501212" w:rsidRPr="001B4CA2">
        <w:rPr>
          <w:rFonts w:eastAsia="Times New Roman"/>
          <w:lang w:eastAsia="hr-HR"/>
        </w:rPr>
        <w:lastRenderedPageBreak/>
        <w:t>najvećeg i najopterećenijeg državnog odvjetništva u Republici Hrvatskoj, na druga općinska državna odvjetništva, a što je statistički prikazano kao ustup.</w:t>
      </w:r>
      <w:r w:rsidR="00501212" w:rsidRPr="001B4CA2">
        <w:t xml:space="preserve"> </w:t>
      </w:r>
    </w:p>
    <w:p w14:paraId="0BFC0E09" w14:textId="77777777" w:rsidR="005B2800" w:rsidRPr="001B4CA2" w:rsidRDefault="005B2800" w:rsidP="005B2800"/>
    <w:p w14:paraId="3F1F8198" w14:textId="6387D8DD" w:rsidR="00501212" w:rsidRPr="001B4CA2" w:rsidRDefault="00501212" w:rsidP="00501212">
      <w:r w:rsidRPr="001B4CA2">
        <w:tab/>
        <w:t>Po zastupljenosti u strukturi meritornih odluka povodom kaznenih prijava protiv poznatih osoba (bez maloljetnih osoba) najzastupljenija su rješenja o odbačaju kaznene prijave (10.135 odnosno 49,8</w:t>
      </w:r>
      <w:r w:rsidR="00753708">
        <w:t> </w:t>
      </w:r>
      <w:r w:rsidRPr="001B4CA2">
        <w:t>%), zatim slijede optužnice</w:t>
      </w:r>
      <w:r w:rsidR="00F47D60">
        <w:t xml:space="preserve"> – </w:t>
      </w:r>
      <w:r w:rsidRPr="001B4CA2">
        <w:t>neposredne optužnice i optužnice s kaznenim nalogom (7.410 odnosno 36,4</w:t>
      </w:r>
      <w:r w:rsidR="00753708">
        <w:t> </w:t>
      </w:r>
      <w:r w:rsidRPr="001B4CA2">
        <w:t>%) te rješenja o provođenju istrage (2.797 odnosno 13,8</w:t>
      </w:r>
      <w:r w:rsidR="00753708">
        <w:t> </w:t>
      </w:r>
      <w:r w:rsidRPr="001B4CA2">
        <w:t xml:space="preserve">%). Od sveukupnog broja podignutih optužnica, općinska </w:t>
      </w:r>
      <w:r w:rsidR="00753708" w:rsidRPr="001B4CA2">
        <w:t xml:space="preserve">su </w:t>
      </w:r>
      <w:r w:rsidRPr="001B4CA2">
        <w:t>državna odvjetništva tijekom 2022. godine u odnosu na 3.597 osoba (48,5</w:t>
      </w:r>
      <w:r w:rsidR="00753708">
        <w:t> </w:t>
      </w:r>
      <w:r w:rsidRPr="001B4CA2">
        <w:t>%) zatražila od sudova izdavanje kaznenog naloga.</w:t>
      </w:r>
    </w:p>
    <w:p w14:paraId="36BB8747" w14:textId="77777777" w:rsidR="00501212" w:rsidRPr="001B4CA2" w:rsidRDefault="00501212" w:rsidP="00501212"/>
    <w:p w14:paraId="53417E37" w14:textId="6D977EF5" w:rsidR="00501212" w:rsidRPr="001B4CA2" w:rsidRDefault="005B2800" w:rsidP="00501212">
      <w:r w:rsidRPr="001B4CA2">
        <w:tab/>
      </w:r>
      <w:r w:rsidR="00501212" w:rsidRPr="001B4CA2">
        <w:t>Iz navedenog</w:t>
      </w:r>
      <w:r w:rsidR="00753708">
        <w:t>a</w:t>
      </w:r>
      <w:r w:rsidR="00501212" w:rsidRPr="001B4CA2">
        <w:t xml:space="preserve"> je vidljivo da u strukturi meritornih odluka nema znatnijih odstupanja u odnosu na prethodnu 2021. godinu kada su rješenja o odbačaju kaznenih prijava participirala s 49,8</w:t>
      </w:r>
      <w:r w:rsidR="00753708">
        <w:t> </w:t>
      </w:r>
      <w:r w:rsidR="00501212" w:rsidRPr="001B4CA2">
        <w:t>%, optužnice s 37,1</w:t>
      </w:r>
      <w:r w:rsidR="00753708">
        <w:t> </w:t>
      </w:r>
      <w:r w:rsidR="00501212" w:rsidRPr="001B4CA2">
        <w:t>% te rješenja o provođenju istrage s 13,1</w:t>
      </w:r>
      <w:r w:rsidR="00753708">
        <w:t> </w:t>
      </w:r>
      <w:r w:rsidR="00501212" w:rsidRPr="001B4CA2">
        <w:t>%.</w:t>
      </w:r>
    </w:p>
    <w:p w14:paraId="60FEC607" w14:textId="77777777" w:rsidR="00212996" w:rsidRPr="001B4CA2" w:rsidRDefault="00212996" w:rsidP="009E17B6"/>
    <w:p w14:paraId="022F44E5" w14:textId="7B6D9AE5" w:rsidR="00BB4D48" w:rsidRPr="001B4CA2" w:rsidRDefault="00542189" w:rsidP="00BF508A">
      <w:pPr>
        <w:pStyle w:val="Naslov5"/>
        <w:tabs>
          <w:tab w:val="left" w:pos="1418"/>
        </w:tabs>
        <w:ind w:left="426" w:firstLine="0"/>
        <w:rPr>
          <w:rFonts w:ascii="Arial" w:hAnsi="Arial" w:cs="Arial"/>
        </w:rPr>
      </w:pPr>
      <w:bookmarkStart w:id="52" w:name="_Toc133394312"/>
      <w:r w:rsidRPr="001B4CA2">
        <w:rPr>
          <w:rFonts w:ascii="Arial" w:hAnsi="Arial" w:cs="Arial"/>
        </w:rPr>
        <w:t>Odluke povodom kaznene prijave</w:t>
      </w:r>
      <w:r w:rsidR="008443EC" w:rsidRPr="001B4CA2">
        <w:rPr>
          <w:rFonts w:ascii="Arial" w:hAnsi="Arial" w:cs="Arial"/>
        </w:rPr>
        <w:t xml:space="preserve"> – </w:t>
      </w:r>
      <w:r w:rsidRPr="001B4CA2">
        <w:rPr>
          <w:rFonts w:ascii="Arial" w:hAnsi="Arial" w:cs="Arial"/>
        </w:rPr>
        <w:t>maloljetnici</w:t>
      </w:r>
      <w:bookmarkEnd w:id="52"/>
    </w:p>
    <w:p w14:paraId="0BB381D6" w14:textId="77777777" w:rsidR="00AB15F3" w:rsidRPr="001B4CA2" w:rsidRDefault="00AB15F3" w:rsidP="00AB15F3"/>
    <w:p w14:paraId="030402F3" w14:textId="77777777" w:rsidR="0060074A" w:rsidRPr="001B4CA2" w:rsidRDefault="0060074A" w:rsidP="0060074A">
      <w:pPr>
        <w:ind w:firstLine="708"/>
      </w:pPr>
      <w:r w:rsidRPr="001B4CA2">
        <w:t>U ukupnom broju poznatih prijavljenih fizičkih osoba u nadležnosti svih općinskih državnih odvjetništava (38.290) maloljetni počinitelji kaznenih djela participiraju s 5,6 % (1.906 prijavljenih u izvještajnom razdoblju).</w:t>
      </w:r>
    </w:p>
    <w:p w14:paraId="4BF1E58A" w14:textId="77777777" w:rsidR="0060074A" w:rsidRPr="001B4CA2" w:rsidRDefault="0060074A" w:rsidP="0060074A"/>
    <w:p w14:paraId="19FFC0FF" w14:textId="77777777" w:rsidR="0060074A" w:rsidRPr="001B4CA2" w:rsidRDefault="0060074A" w:rsidP="0060074A">
      <w:pPr>
        <w:ind w:firstLine="708"/>
      </w:pPr>
      <w:r w:rsidRPr="001B4CA2">
        <w:t>U odnosu na prethodno izvještajno razdoblje bilježimo porast broja prijavljenih maloljetnika za 104 ili 5,8 %.</w:t>
      </w:r>
    </w:p>
    <w:p w14:paraId="039BA34C" w14:textId="77777777" w:rsidR="0060074A" w:rsidRPr="001B4CA2" w:rsidRDefault="0060074A" w:rsidP="0060074A"/>
    <w:p w14:paraId="04D457FB" w14:textId="77777777" w:rsidR="0060074A" w:rsidRPr="001B4CA2" w:rsidRDefault="0060074A" w:rsidP="0060074A">
      <w:pPr>
        <w:ind w:firstLine="708"/>
      </w:pPr>
      <w:r w:rsidRPr="001B4CA2">
        <w:t>U odnosu na odluke koje su državni odvjetnici donijeli povodom kaznene prijave značajnije odstupanje u odnosu na prethodno izvještajno razdoblje bilježimo u odnosu na broj rješenja o provođenju pripremnog postupka.</w:t>
      </w:r>
    </w:p>
    <w:p w14:paraId="613FE297" w14:textId="77777777" w:rsidR="0060074A" w:rsidRPr="001B4CA2" w:rsidRDefault="0060074A" w:rsidP="0060074A"/>
    <w:p w14:paraId="6AE4B3B6" w14:textId="41217460" w:rsidR="0060074A" w:rsidRPr="001B4CA2" w:rsidRDefault="0060074A" w:rsidP="0060074A">
      <w:pPr>
        <w:ind w:firstLine="708"/>
      </w:pPr>
      <w:r w:rsidRPr="001B4CA2">
        <w:t>Tako u odnosu na 2021. godinu kada su državni odvjetnici donijeli ukupno 80 rješenja o provođenju pripremnog postupka prema maloljetnim počiniteljima kaznenih djela u izvještajnom razdoblju bilježimo porast broja donesenih rješenja (115) za 82,3</w:t>
      </w:r>
      <w:r w:rsidR="00753708">
        <w:t> </w:t>
      </w:r>
      <w:r w:rsidRPr="001B4CA2">
        <w:t>%.</w:t>
      </w:r>
    </w:p>
    <w:p w14:paraId="62CF4CCB" w14:textId="77777777" w:rsidR="0060074A" w:rsidRPr="001B4CA2" w:rsidRDefault="0060074A" w:rsidP="0060074A"/>
    <w:p w14:paraId="45C1F55E" w14:textId="1C676CAB" w:rsidR="0060074A" w:rsidRPr="001B4CA2" w:rsidRDefault="0060074A" w:rsidP="0060074A">
      <w:pPr>
        <w:ind w:firstLine="708"/>
      </w:pPr>
      <w:r w:rsidRPr="001B4CA2">
        <w:t>Ovo je posljedica povećanog broja kaznenih prijava prema maloljetnim počiniteljima kaznenih djela koji su u izvještajnom razdoblju počinili kaznena djela za koja se prema odredbama Zakona o kaznenom postupku provodi istraga, kada će se</w:t>
      </w:r>
      <w:r w:rsidR="001B4CA2">
        <w:t xml:space="preserve"> </w:t>
      </w:r>
      <w:r w:rsidRPr="001B4CA2">
        <w:t>prema maloljetniku provesti pripremni postupak.</w:t>
      </w:r>
    </w:p>
    <w:p w14:paraId="0E1FB71F" w14:textId="606B49D8" w:rsidR="00501212" w:rsidRPr="001B4CA2" w:rsidRDefault="00501212" w:rsidP="002607C7"/>
    <w:p w14:paraId="0EFCC268" w14:textId="11BAC894" w:rsidR="004C3A47" w:rsidRPr="001B4CA2" w:rsidRDefault="004C3A47" w:rsidP="002607C7"/>
    <w:p w14:paraId="45ADA377" w14:textId="3164F3EF" w:rsidR="004C3A47" w:rsidRPr="001B4CA2" w:rsidRDefault="004C3A47" w:rsidP="002607C7"/>
    <w:p w14:paraId="08EEDA4A" w14:textId="4E3900C7" w:rsidR="004C3A47" w:rsidRPr="001B4CA2" w:rsidRDefault="004C3A47" w:rsidP="002607C7"/>
    <w:p w14:paraId="7BDFBF76" w14:textId="51C104A8" w:rsidR="004C3A47" w:rsidRPr="001B4CA2" w:rsidRDefault="004C3A47" w:rsidP="002607C7"/>
    <w:p w14:paraId="74DC855B" w14:textId="4AF4FC94" w:rsidR="004C3A47" w:rsidRPr="001B4CA2" w:rsidRDefault="004C3A47" w:rsidP="002607C7"/>
    <w:p w14:paraId="338A91CF" w14:textId="66087615" w:rsidR="004C3A47" w:rsidRPr="001B4CA2" w:rsidRDefault="004C3A47" w:rsidP="002607C7"/>
    <w:p w14:paraId="6DA6F332" w14:textId="38CCB0C3" w:rsidR="004C3A47" w:rsidRPr="001B4CA2" w:rsidRDefault="004C3A47" w:rsidP="002607C7"/>
    <w:p w14:paraId="1FA5FC63" w14:textId="3DD029BF" w:rsidR="004C3A47" w:rsidRPr="001B4CA2" w:rsidRDefault="004C3A47" w:rsidP="002607C7"/>
    <w:p w14:paraId="75DE5EAC" w14:textId="703902C6" w:rsidR="004C3A47" w:rsidRPr="001B4CA2" w:rsidRDefault="004C3A47" w:rsidP="002607C7"/>
    <w:p w14:paraId="562C4D7B" w14:textId="7CA542B8" w:rsidR="00B167F1" w:rsidRPr="001B4CA2" w:rsidRDefault="00B167F1" w:rsidP="002607C7"/>
    <w:p w14:paraId="6AFD8148" w14:textId="77777777" w:rsidR="00B167F1" w:rsidRPr="001B4CA2" w:rsidRDefault="00B167F1" w:rsidP="002607C7"/>
    <w:p w14:paraId="64AEAFE9" w14:textId="28228449" w:rsidR="0060074A" w:rsidRPr="001B4CA2" w:rsidRDefault="0060074A" w:rsidP="0060074A">
      <w:pPr>
        <w:rPr>
          <w:i/>
          <w:iCs/>
        </w:rPr>
      </w:pPr>
      <w:r w:rsidRPr="001B4CA2">
        <w:rPr>
          <w:i/>
          <w:iCs/>
        </w:rPr>
        <w:lastRenderedPageBreak/>
        <w:t>Odluke povodom kaznene prijave</w:t>
      </w:r>
    </w:p>
    <w:tbl>
      <w:tblPr>
        <w:tblW w:w="9356" w:type="dxa"/>
        <w:tblLayout w:type="fixed"/>
        <w:tblLook w:val="04A0" w:firstRow="1" w:lastRow="0" w:firstColumn="1" w:lastColumn="0" w:noHBand="0" w:noVBand="1"/>
      </w:tblPr>
      <w:tblGrid>
        <w:gridCol w:w="750"/>
        <w:gridCol w:w="851"/>
        <w:gridCol w:w="809"/>
        <w:gridCol w:w="709"/>
        <w:gridCol w:w="709"/>
        <w:gridCol w:w="709"/>
        <w:gridCol w:w="850"/>
        <w:gridCol w:w="851"/>
        <w:gridCol w:w="992"/>
        <w:gridCol w:w="567"/>
        <w:gridCol w:w="709"/>
        <w:gridCol w:w="850"/>
      </w:tblGrid>
      <w:tr w:rsidR="0060074A" w:rsidRPr="001B4CA2" w14:paraId="2235AF82" w14:textId="77777777" w:rsidTr="0060074A">
        <w:trPr>
          <w:cantSplit/>
          <w:trHeight w:val="2595"/>
        </w:trPr>
        <w:tc>
          <w:tcPr>
            <w:tcW w:w="750" w:type="dxa"/>
            <w:tcBorders>
              <w:top w:val="single" w:sz="8" w:space="0" w:color="auto"/>
              <w:left w:val="single" w:sz="8" w:space="0" w:color="auto"/>
              <w:bottom w:val="single" w:sz="8" w:space="0" w:color="auto"/>
              <w:right w:val="single" w:sz="8" w:space="0" w:color="auto"/>
            </w:tcBorders>
            <w:shd w:val="clear" w:color="000000" w:fill="99CCFF"/>
            <w:textDirection w:val="btLr"/>
            <w:vAlign w:val="center"/>
            <w:hideMark/>
          </w:tcPr>
          <w:p w14:paraId="1C9F69C5" w14:textId="77777777" w:rsidR="0060074A" w:rsidRPr="001B4CA2" w:rsidRDefault="0060074A" w:rsidP="002A38E7">
            <w:pPr>
              <w:ind w:left="113" w:right="113"/>
              <w:jc w:val="left"/>
              <w:rPr>
                <w:b/>
                <w:bCs/>
                <w:color w:val="000000"/>
                <w:sz w:val="18"/>
                <w:szCs w:val="18"/>
              </w:rPr>
            </w:pPr>
            <w:r w:rsidRPr="001B4CA2">
              <w:rPr>
                <w:b/>
                <w:bCs/>
                <w:color w:val="000000"/>
                <w:sz w:val="18"/>
                <w:szCs w:val="18"/>
              </w:rPr>
              <w:t>Godina</w:t>
            </w:r>
          </w:p>
        </w:tc>
        <w:tc>
          <w:tcPr>
            <w:tcW w:w="851" w:type="dxa"/>
            <w:tcBorders>
              <w:top w:val="single" w:sz="8" w:space="0" w:color="auto"/>
              <w:left w:val="nil"/>
              <w:bottom w:val="single" w:sz="8" w:space="0" w:color="auto"/>
              <w:right w:val="single" w:sz="8" w:space="0" w:color="auto"/>
            </w:tcBorders>
            <w:shd w:val="clear" w:color="000000" w:fill="99CCFF"/>
            <w:textDirection w:val="btLr"/>
            <w:vAlign w:val="bottom"/>
            <w:hideMark/>
          </w:tcPr>
          <w:p w14:paraId="2AA9622A" w14:textId="77777777" w:rsidR="0060074A" w:rsidRPr="001B4CA2" w:rsidRDefault="0060074A" w:rsidP="002A38E7">
            <w:pPr>
              <w:jc w:val="left"/>
              <w:rPr>
                <w:b/>
                <w:bCs/>
                <w:color w:val="000000"/>
                <w:sz w:val="18"/>
                <w:szCs w:val="18"/>
              </w:rPr>
            </w:pPr>
            <w:r w:rsidRPr="001B4CA2">
              <w:rPr>
                <w:b/>
                <w:bCs/>
                <w:color w:val="000000"/>
                <w:sz w:val="18"/>
                <w:szCs w:val="18"/>
              </w:rPr>
              <w:t>Zaprimljeno kaznenih prijava</w:t>
            </w:r>
          </w:p>
        </w:tc>
        <w:tc>
          <w:tcPr>
            <w:tcW w:w="809" w:type="dxa"/>
            <w:tcBorders>
              <w:top w:val="single" w:sz="8" w:space="0" w:color="auto"/>
              <w:left w:val="nil"/>
              <w:bottom w:val="single" w:sz="8" w:space="0" w:color="auto"/>
              <w:right w:val="single" w:sz="8" w:space="0" w:color="auto"/>
            </w:tcBorders>
            <w:shd w:val="clear" w:color="000000" w:fill="99CCFF"/>
            <w:textDirection w:val="btLr"/>
            <w:vAlign w:val="bottom"/>
            <w:hideMark/>
          </w:tcPr>
          <w:p w14:paraId="3F27B68E" w14:textId="77777777" w:rsidR="0060074A" w:rsidRPr="001B4CA2" w:rsidRDefault="0060074A" w:rsidP="002A38E7">
            <w:pPr>
              <w:jc w:val="left"/>
              <w:rPr>
                <w:b/>
                <w:bCs/>
                <w:color w:val="000000"/>
                <w:sz w:val="18"/>
                <w:szCs w:val="18"/>
              </w:rPr>
            </w:pPr>
            <w:r w:rsidRPr="001B4CA2">
              <w:rPr>
                <w:b/>
                <w:bCs/>
                <w:color w:val="000000"/>
                <w:sz w:val="18"/>
                <w:szCs w:val="18"/>
              </w:rPr>
              <w:t>Ukupno u radu</w:t>
            </w:r>
          </w:p>
        </w:tc>
        <w:tc>
          <w:tcPr>
            <w:tcW w:w="709" w:type="dxa"/>
            <w:tcBorders>
              <w:top w:val="single" w:sz="8" w:space="0" w:color="auto"/>
              <w:left w:val="nil"/>
              <w:bottom w:val="single" w:sz="8" w:space="0" w:color="auto"/>
              <w:right w:val="single" w:sz="8" w:space="0" w:color="auto"/>
            </w:tcBorders>
            <w:shd w:val="clear" w:color="000000" w:fill="99CCFF"/>
            <w:textDirection w:val="btLr"/>
            <w:vAlign w:val="bottom"/>
            <w:hideMark/>
          </w:tcPr>
          <w:p w14:paraId="7193427F" w14:textId="77777777" w:rsidR="0060074A" w:rsidRPr="001B4CA2" w:rsidRDefault="0060074A" w:rsidP="002A38E7">
            <w:pPr>
              <w:jc w:val="left"/>
              <w:rPr>
                <w:b/>
                <w:bCs/>
                <w:color w:val="000000"/>
                <w:sz w:val="18"/>
                <w:szCs w:val="18"/>
              </w:rPr>
            </w:pPr>
            <w:r w:rsidRPr="001B4CA2">
              <w:rPr>
                <w:b/>
                <w:bCs/>
                <w:color w:val="000000"/>
                <w:sz w:val="18"/>
                <w:szCs w:val="18"/>
              </w:rPr>
              <w:t>Neriješeno</w:t>
            </w:r>
          </w:p>
        </w:tc>
        <w:tc>
          <w:tcPr>
            <w:tcW w:w="709" w:type="dxa"/>
            <w:tcBorders>
              <w:top w:val="single" w:sz="8" w:space="0" w:color="auto"/>
              <w:left w:val="nil"/>
              <w:bottom w:val="single" w:sz="8" w:space="0" w:color="auto"/>
              <w:right w:val="single" w:sz="8" w:space="0" w:color="auto"/>
            </w:tcBorders>
            <w:shd w:val="clear" w:color="000000" w:fill="99CCFF"/>
            <w:textDirection w:val="btLr"/>
            <w:vAlign w:val="bottom"/>
            <w:hideMark/>
          </w:tcPr>
          <w:p w14:paraId="396AE4F8" w14:textId="77777777" w:rsidR="0060074A" w:rsidRPr="001B4CA2" w:rsidRDefault="0060074A" w:rsidP="002A38E7">
            <w:pPr>
              <w:jc w:val="left"/>
              <w:rPr>
                <w:b/>
                <w:bCs/>
                <w:color w:val="000000"/>
                <w:sz w:val="18"/>
                <w:szCs w:val="18"/>
              </w:rPr>
            </w:pPr>
            <w:r w:rsidRPr="001B4CA2">
              <w:rPr>
                <w:b/>
                <w:bCs/>
                <w:color w:val="000000"/>
                <w:sz w:val="18"/>
                <w:szCs w:val="18"/>
              </w:rPr>
              <w:t>Ukupno odbačaja</w:t>
            </w:r>
          </w:p>
        </w:tc>
        <w:tc>
          <w:tcPr>
            <w:tcW w:w="709" w:type="dxa"/>
            <w:tcBorders>
              <w:top w:val="single" w:sz="8" w:space="0" w:color="auto"/>
              <w:left w:val="nil"/>
              <w:bottom w:val="single" w:sz="8" w:space="0" w:color="auto"/>
              <w:right w:val="single" w:sz="8" w:space="0" w:color="auto"/>
            </w:tcBorders>
            <w:shd w:val="clear" w:color="000000" w:fill="99CCFF"/>
            <w:textDirection w:val="btLr"/>
            <w:vAlign w:val="bottom"/>
            <w:hideMark/>
          </w:tcPr>
          <w:p w14:paraId="54DEC80C" w14:textId="77777777" w:rsidR="0060074A" w:rsidRPr="001B4CA2" w:rsidRDefault="0060074A" w:rsidP="002A38E7">
            <w:pPr>
              <w:jc w:val="left"/>
              <w:rPr>
                <w:b/>
                <w:bCs/>
                <w:color w:val="000000"/>
                <w:sz w:val="18"/>
                <w:szCs w:val="18"/>
              </w:rPr>
            </w:pPr>
            <w:r w:rsidRPr="001B4CA2">
              <w:rPr>
                <w:b/>
                <w:bCs/>
                <w:color w:val="000000"/>
                <w:sz w:val="18"/>
                <w:szCs w:val="18"/>
              </w:rPr>
              <w:t xml:space="preserve">Od toga </w:t>
            </w:r>
            <w:proofErr w:type="spellStart"/>
            <w:r w:rsidRPr="001B4CA2">
              <w:rPr>
                <w:b/>
                <w:bCs/>
                <w:color w:val="000000"/>
                <w:sz w:val="18"/>
                <w:szCs w:val="18"/>
              </w:rPr>
              <w:t>oportunitet</w:t>
            </w:r>
            <w:proofErr w:type="spellEnd"/>
            <w:r w:rsidRPr="001B4CA2">
              <w:rPr>
                <w:b/>
                <w:bCs/>
                <w:color w:val="000000"/>
                <w:sz w:val="18"/>
                <w:szCs w:val="18"/>
              </w:rPr>
              <w:t xml:space="preserve"> čl. 71., 72. i 73. ZSM</w:t>
            </w:r>
          </w:p>
        </w:tc>
        <w:tc>
          <w:tcPr>
            <w:tcW w:w="850" w:type="dxa"/>
            <w:tcBorders>
              <w:top w:val="single" w:sz="8" w:space="0" w:color="auto"/>
              <w:left w:val="nil"/>
              <w:bottom w:val="single" w:sz="8" w:space="0" w:color="auto"/>
              <w:right w:val="single" w:sz="8" w:space="0" w:color="auto"/>
            </w:tcBorders>
            <w:shd w:val="clear" w:color="000000" w:fill="99CCFF"/>
            <w:textDirection w:val="btLr"/>
            <w:vAlign w:val="bottom"/>
            <w:hideMark/>
          </w:tcPr>
          <w:p w14:paraId="01AD58EB" w14:textId="77777777" w:rsidR="0060074A" w:rsidRPr="001B4CA2" w:rsidRDefault="0060074A" w:rsidP="002A38E7">
            <w:pPr>
              <w:jc w:val="left"/>
              <w:rPr>
                <w:b/>
                <w:bCs/>
                <w:color w:val="000000"/>
                <w:sz w:val="18"/>
                <w:szCs w:val="18"/>
              </w:rPr>
            </w:pPr>
            <w:r w:rsidRPr="001B4CA2">
              <w:rPr>
                <w:b/>
                <w:bCs/>
                <w:color w:val="000000"/>
                <w:sz w:val="18"/>
                <w:szCs w:val="18"/>
              </w:rPr>
              <w:t>Otvoreno istraživanja</w:t>
            </w:r>
          </w:p>
        </w:tc>
        <w:tc>
          <w:tcPr>
            <w:tcW w:w="851" w:type="dxa"/>
            <w:tcBorders>
              <w:top w:val="single" w:sz="8" w:space="0" w:color="auto"/>
              <w:left w:val="nil"/>
              <w:bottom w:val="single" w:sz="8" w:space="0" w:color="auto"/>
              <w:right w:val="single" w:sz="8" w:space="0" w:color="auto"/>
            </w:tcBorders>
            <w:shd w:val="clear" w:color="000000" w:fill="99CCFF"/>
            <w:textDirection w:val="btLr"/>
            <w:vAlign w:val="bottom"/>
            <w:hideMark/>
          </w:tcPr>
          <w:p w14:paraId="7238D9B4" w14:textId="77777777" w:rsidR="0060074A" w:rsidRPr="001B4CA2" w:rsidRDefault="0060074A" w:rsidP="002A38E7">
            <w:pPr>
              <w:jc w:val="left"/>
              <w:rPr>
                <w:b/>
                <w:bCs/>
                <w:color w:val="000000"/>
                <w:sz w:val="18"/>
                <w:szCs w:val="18"/>
              </w:rPr>
            </w:pPr>
            <w:r w:rsidRPr="001B4CA2">
              <w:rPr>
                <w:b/>
                <w:bCs/>
                <w:color w:val="000000"/>
                <w:sz w:val="18"/>
                <w:szCs w:val="18"/>
              </w:rPr>
              <w:t xml:space="preserve">Neposredni prijedlog za </w:t>
            </w:r>
            <w:proofErr w:type="spellStart"/>
            <w:r w:rsidRPr="001B4CA2">
              <w:rPr>
                <w:b/>
                <w:bCs/>
                <w:color w:val="000000"/>
                <w:sz w:val="18"/>
                <w:szCs w:val="18"/>
              </w:rPr>
              <w:t>mlt</w:t>
            </w:r>
            <w:proofErr w:type="spellEnd"/>
            <w:r w:rsidRPr="001B4CA2">
              <w:rPr>
                <w:b/>
                <w:bCs/>
                <w:color w:val="000000"/>
                <w:sz w:val="18"/>
                <w:szCs w:val="18"/>
              </w:rPr>
              <w:t>. sankciju čl. 82. ZSM</w:t>
            </w:r>
          </w:p>
        </w:tc>
        <w:tc>
          <w:tcPr>
            <w:tcW w:w="992" w:type="dxa"/>
            <w:tcBorders>
              <w:top w:val="single" w:sz="8" w:space="0" w:color="auto"/>
              <w:left w:val="nil"/>
              <w:bottom w:val="single" w:sz="8" w:space="0" w:color="auto"/>
              <w:right w:val="single" w:sz="8" w:space="0" w:color="auto"/>
            </w:tcBorders>
            <w:shd w:val="clear" w:color="000000" w:fill="99CCFF"/>
            <w:textDirection w:val="btLr"/>
            <w:vAlign w:val="bottom"/>
            <w:hideMark/>
          </w:tcPr>
          <w:p w14:paraId="0A04C04A" w14:textId="77777777" w:rsidR="0060074A" w:rsidRPr="001B4CA2" w:rsidRDefault="0060074A" w:rsidP="002A38E7">
            <w:pPr>
              <w:jc w:val="left"/>
              <w:rPr>
                <w:b/>
                <w:bCs/>
                <w:color w:val="000000"/>
                <w:sz w:val="18"/>
                <w:szCs w:val="18"/>
              </w:rPr>
            </w:pPr>
            <w:r w:rsidRPr="001B4CA2">
              <w:rPr>
                <w:b/>
                <w:bCs/>
                <w:color w:val="000000"/>
                <w:sz w:val="18"/>
                <w:szCs w:val="18"/>
              </w:rPr>
              <w:t>Rješenje o provođenju pripremnog postupka</w:t>
            </w:r>
          </w:p>
        </w:tc>
        <w:tc>
          <w:tcPr>
            <w:tcW w:w="567" w:type="dxa"/>
            <w:tcBorders>
              <w:top w:val="single" w:sz="8" w:space="0" w:color="auto"/>
              <w:left w:val="nil"/>
              <w:bottom w:val="single" w:sz="8" w:space="0" w:color="auto"/>
              <w:right w:val="single" w:sz="8" w:space="0" w:color="auto"/>
            </w:tcBorders>
            <w:shd w:val="clear" w:color="000000" w:fill="99CCFF"/>
            <w:textDirection w:val="btLr"/>
            <w:vAlign w:val="bottom"/>
            <w:hideMark/>
          </w:tcPr>
          <w:p w14:paraId="73517EAB" w14:textId="77777777" w:rsidR="0060074A" w:rsidRPr="001B4CA2" w:rsidRDefault="0060074A" w:rsidP="002A38E7">
            <w:pPr>
              <w:jc w:val="left"/>
              <w:rPr>
                <w:b/>
                <w:bCs/>
                <w:color w:val="000000"/>
                <w:sz w:val="18"/>
                <w:szCs w:val="18"/>
              </w:rPr>
            </w:pPr>
            <w:r w:rsidRPr="001B4CA2">
              <w:rPr>
                <w:b/>
                <w:bCs/>
                <w:color w:val="000000"/>
                <w:sz w:val="18"/>
                <w:szCs w:val="18"/>
              </w:rPr>
              <w:t>Ustup</w:t>
            </w:r>
          </w:p>
        </w:tc>
        <w:tc>
          <w:tcPr>
            <w:tcW w:w="709" w:type="dxa"/>
            <w:tcBorders>
              <w:top w:val="single" w:sz="8" w:space="0" w:color="auto"/>
              <w:left w:val="nil"/>
              <w:bottom w:val="single" w:sz="8" w:space="0" w:color="auto"/>
              <w:right w:val="single" w:sz="8" w:space="0" w:color="auto"/>
            </w:tcBorders>
            <w:shd w:val="clear" w:color="000000" w:fill="99CCFF"/>
            <w:textDirection w:val="btLr"/>
            <w:vAlign w:val="bottom"/>
            <w:hideMark/>
          </w:tcPr>
          <w:p w14:paraId="18755145" w14:textId="77777777" w:rsidR="0060074A" w:rsidRPr="001B4CA2" w:rsidRDefault="0060074A" w:rsidP="002A38E7">
            <w:pPr>
              <w:jc w:val="left"/>
              <w:rPr>
                <w:b/>
                <w:bCs/>
                <w:color w:val="000000"/>
                <w:sz w:val="18"/>
                <w:szCs w:val="18"/>
              </w:rPr>
            </w:pPr>
            <w:r w:rsidRPr="001B4CA2">
              <w:rPr>
                <w:b/>
                <w:bCs/>
                <w:color w:val="000000"/>
                <w:sz w:val="18"/>
                <w:szCs w:val="18"/>
              </w:rPr>
              <w:t>Riješeno na drugi način</w:t>
            </w:r>
          </w:p>
        </w:tc>
        <w:tc>
          <w:tcPr>
            <w:tcW w:w="850" w:type="dxa"/>
            <w:tcBorders>
              <w:top w:val="single" w:sz="8" w:space="0" w:color="auto"/>
              <w:left w:val="nil"/>
              <w:bottom w:val="single" w:sz="8" w:space="0" w:color="auto"/>
              <w:right w:val="single" w:sz="8" w:space="0" w:color="auto"/>
            </w:tcBorders>
            <w:shd w:val="clear" w:color="000000" w:fill="99CCFF"/>
            <w:textDirection w:val="btLr"/>
            <w:vAlign w:val="bottom"/>
            <w:hideMark/>
          </w:tcPr>
          <w:p w14:paraId="67BB9450" w14:textId="77777777" w:rsidR="0060074A" w:rsidRPr="001B4CA2" w:rsidRDefault="0060074A" w:rsidP="002A38E7">
            <w:pPr>
              <w:jc w:val="left"/>
              <w:rPr>
                <w:b/>
                <w:bCs/>
                <w:color w:val="000000"/>
                <w:sz w:val="18"/>
                <w:szCs w:val="18"/>
              </w:rPr>
            </w:pPr>
            <w:r w:rsidRPr="001B4CA2">
              <w:rPr>
                <w:b/>
                <w:bCs/>
                <w:color w:val="000000"/>
                <w:sz w:val="18"/>
                <w:szCs w:val="18"/>
              </w:rPr>
              <w:t>Prijave u radu izvan DO</w:t>
            </w:r>
          </w:p>
        </w:tc>
      </w:tr>
      <w:tr w:rsidR="0060074A" w:rsidRPr="001B4CA2" w14:paraId="6CF6B943" w14:textId="77777777" w:rsidTr="0060074A">
        <w:trPr>
          <w:trHeight w:val="300"/>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009ADE08" w14:textId="77777777" w:rsidR="0060074A" w:rsidRPr="001B4CA2" w:rsidRDefault="0060074A" w:rsidP="002A38E7">
            <w:pPr>
              <w:jc w:val="center"/>
              <w:rPr>
                <w:b/>
                <w:bCs/>
                <w:color w:val="000000"/>
                <w:sz w:val="18"/>
                <w:szCs w:val="18"/>
              </w:rPr>
            </w:pPr>
            <w:r w:rsidRPr="001B4CA2">
              <w:rPr>
                <w:b/>
                <w:bCs/>
                <w:color w:val="000000"/>
                <w:sz w:val="18"/>
                <w:szCs w:val="18"/>
              </w:rPr>
              <w:t>2018.</w:t>
            </w:r>
          </w:p>
        </w:tc>
        <w:tc>
          <w:tcPr>
            <w:tcW w:w="851" w:type="dxa"/>
            <w:tcBorders>
              <w:top w:val="nil"/>
              <w:left w:val="nil"/>
              <w:bottom w:val="single" w:sz="8" w:space="0" w:color="auto"/>
              <w:right w:val="single" w:sz="8" w:space="0" w:color="auto"/>
            </w:tcBorders>
            <w:shd w:val="clear" w:color="auto" w:fill="auto"/>
            <w:noWrap/>
            <w:vAlign w:val="center"/>
            <w:hideMark/>
          </w:tcPr>
          <w:p w14:paraId="5044772D" w14:textId="77777777" w:rsidR="0060074A" w:rsidRPr="001B4CA2" w:rsidRDefault="0060074A" w:rsidP="002A38E7">
            <w:pPr>
              <w:jc w:val="center"/>
              <w:rPr>
                <w:color w:val="000000"/>
                <w:sz w:val="18"/>
                <w:szCs w:val="18"/>
              </w:rPr>
            </w:pPr>
            <w:r w:rsidRPr="001B4CA2">
              <w:rPr>
                <w:color w:val="000000"/>
                <w:sz w:val="18"/>
                <w:szCs w:val="18"/>
              </w:rPr>
              <w:t>1.370</w:t>
            </w:r>
          </w:p>
        </w:tc>
        <w:tc>
          <w:tcPr>
            <w:tcW w:w="809" w:type="dxa"/>
            <w:tcBorders>
              <w:top w:val="nil"/>
              <w:left w:val="nil"/>
              <w:bottom w:val="single" w:sz="8" w:space="0" w:color="auto"/>
              <w:right w:val="single" w:sz="8" w:space="0" w:color="auto"/>
            </w:tcBorders>
            <w:shd w:val="clear" w:color="auto" w:fill="auto"/>
            <w:noWrap/>
            <w:vAlign w:val="center"/>
            <w:hideMark/>
          </w:tcPr>
          <w:p w14:paraId="6D9CE1DF" w14:textId="77777777" w:rsidR="0060074A" w:rsidRPr="001B4CA2" w:rsidRDefault="0060074A" w:rsidP="002A38E7">
            <w:pPr>
              <w:jc w:val="center"/>
              <w:rPr>
                <w:color w:val="000000"/>
                <w:sz w:val="18"/>
                <w:szCs w:val="18"/>
              </w:rPr>
            </w:pPr>
            <w:r w:rsidRPr="001B4CA2">
              <w:rPr>
                <w:color w:val="000000"/>
                <w:sz w:val="18"/>
                <w:szCs w:val="18"/>
              </w:rPr>
              <w:t>1.786</w:t>
            </w:r>
          </w:p>
        </w:tc>
        <w:tc>
          <w:tcPr>
            <w:tcW w:w="709" w:type="dxa"/>
            <w:tcBorders>
              <w:top w:val="nil"/>
              <w:left w:val="nil"/>
              <w:bottom w:val="single" w:sz="8" w:space="0" w:color="auto"/>
              <w:right w:val="single" w:sz="8" w:space="0" w:color="auto"/>
            </w:tcBorders>
            <w:shd w:val="clear" w:color="auto" w:fill="auto"/>
            <w:noWrap/>
            <w:vAlign w:val="center"/>
            <w:hideMark/>
          </w:tcPr>
          <w:p w14:paraId="36921C3A" w14:textId="77777777" w:rsidR="0060074A" w:rsidRPr="001B4CA2" w:rsidRDefault="0060074A" w:rsidP="002A38E7">
            <w:pPr>
              <w:jc w:val="center"/>
              <w:rPr>
                <w:color w:val="000000"/>
                <w:sz w:val="18"/>
                <w:szCs w:val="18"/>
              </w:rPr>
            </w:pPr>
            <w:r w:rsidRPr="001B4CA2">
              <w:rPr>
                <w:color w:val="000000"/>
                <w:sz w:val="18"/>
                <w:szCs w:val="18"/>
              </w:rPr>
              <w:t>432</w:t>
            </w:r>
          </w:p>
        </w:tc>
        <w:tc>
          <w:tcPr>
            <w:tcW w:w="709" w:type="dxa"/>
            <w:tcBorders>
              <w:top w:val="nil"/>
              <w:left w:val="nil"/>
              <w:bottom w:val="single" w:sz="8" w:space="0" w:color="auto"/>
              <w:right w:val="single" w:sz="8" w:space="0" w:color="auto"/>
            </w:tcBorders>
            <w:shd w:val="clear" w:color="auto" w:fill="auto"/>
            <w:noWrap/>
            <w:vAlign w:val="center"/>
            <w:hideMark/>
          </w:tcPr>
          <w:p w14:paraId="1E51AC6C" w14:textId="77777777" w:rsidR="0060074A" w:rsidRPr="001B4CA2" w:rsidRDefault="0060074A" w:rsidP="002A38E7">
            <w:pPr>
              <w:jc w:val="center"/>
              <w:rPr>
                <w:color w:val="000000"/>
                <w:sz w:val="18"/>
                <w:szCs w:val="18"/>
              </w:rPr>
            </w:pPr>
            <w:r w:rsidRPr="001B4CA2">
              <w:rPr>
                <w:color w:val="000000"/>
                <w:sz w:val="18"/>
                <w:szCs w:val="18"/>
              </w:rPr>
              <w:t>1.128</w:t>
            </w:r>
          </w:p>
        </w:tc>
        <w:tc>
          <w:tcPr>
            <w:tcW w:w="709" w:type="dxa"/>
            <w:tcBorders>
              <w:top w:val="nil"/>
              <w:left w:val="nil"/>
              <w:bottom w:val="single" w:sz="8" w:space="0" w:color="auto"/>
              <w:right w:val="single" w:sz="8" w:space="0" w:color="auto"/>
            </w:tcBorders>
            <w:shd w:val="clear" w:color="auto" w:fill="auto"/>
            <w:noWrap/>
            <w:vAlign w:val="center"/>
            <w:hideMark/>
          </w:tcPr>
          <w:p w14:paraId="3E506C6C" w14:textId="77777777" w:rsidR="0060074A" w:rsidRPr="001B4CA2" w:rsidRDefault="0060074A" w:rsidP="002A38E7">
            <w:pPr>
              <w:jc w:val="center"/>
              <w:rPr>
                <w:color w:val="000000"/>
                <w:sz w:val="18"/>
                <w:szCs w:val="18"/>
              </w:rPr>
            </w:pPr>
            <w:r w:rsidRPr="001B4CA2">
              <w:rPr>
                <w:color w:val="000000"/>
                <w:sz w:val="18"/>
                <w:szCs w:val="18"/>
              </w:rPr>
              <w:t>698</w:t>
            </w:r>
          </w:p>
        </w:tc>
        <w:tc>
          <w:tcPr>
            <w:tcW w:w="850" w:type="dxa"/>
            <w:tcBorders>
              <w:top w:val="nil"/>
              <w:left w:val="nil"/>
              <w:bottom w:val="single" w:sz="8" w:space="0" w:color="auto"/>
              <w:right w:val="single" w:sz="8" w:space="0" w:color="auto"/>
            </w:tcBorders>
            <w:shd w:val="clear" w:color="auto" w:fill="auto"/>
            <w:noWrap/>
            <w:vAlign w:val="center"/>
            <w:hideMark/>
          </w:tcPr>
          <w:p w14:paraId="2E5C4620" w14:textId="77777777" w:rsidR="0060074A" w:rsidRPr="001B4CA2" w:rsidRDefault="0060074A" w:rsidP="002A38E7">
            <w:pPr>
              <w:jc w:val="center"/>
              <w:rPr>
                <w:color w:val="000000"/>
                <w:sz w:val="18"/>
                <w:szCs w:val="18"/>
              </w:rPr>
            </w:pPr>
            <w:r w:rsidRPr="001B4CA2">
              <w:rPr>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center"/>
            <w:hideMark/>
          </w:tcPr>
          <w:p w14:paraId="24FAF9C4" w14:textId="77777777" w:rsidR="0060074A" w:rsidRPr="001B4CA2" w:rsidRDefault="0060074A" w:rsidP="002A38E7">
            <w:pPr>
              <w:jc w:val="center"/>
              <w:rPr>
                <w:color w:val="000000"/>
                <w:sz w:val="18"/>
                <w:szCs w:val="18"/>
              </w:rPr>
            </w:pPr>
            <w:r w:rsidRPr="001B4CA2">
              <w:rPr>
                <w:color w:val="000000"/>
                <w:sz w:val="18"/>
                <w:szCs w:val="18"/>
              </w:rPr>
              <w:t>264</w:t>
            </w:r>
          </w:p>
        </w:tc>
        <w:tc>
          <w:tcPr>
            <w:tcW w:w="992" w:type="dxa"/>
            <w:tcBorders>
              <w:top w:val="nil"/>
              <w:left w:val="nil"/>
              <w:bottom w:val="single" w:sz="8" w:space="0" w:color="auto"/>
              <w:right w:val="single" w:sz="8" w:space="0" w:color="auto"/>
            </w:tcBorders>
            <w:shd w:val="clear" w:color="auto" w:fill="auto"/>
            <w:noWrap/>
            <w:vAlign w:val="center"/>
            <w:hideMark/>
          </w:tcPr>
          <w:p w14:paraId="4B4C9A43" w14:textId="77777777" w:rsidR="0060074A" w:rsidRPr="001B4CA2" w:rsidRDefault="0060074A" w:rsidP="002A38E7">
            <w:pPr>
              <w:jc w:val="center"/>
              <w:rPr>
                <w:color w:val="000000"/>
                <w:sz w:val="18"/>
                <w:szCs w:val="18"/>
              </w:rPr>
            </w:pPr>
            <w:r w:rsidRPr="001B4CA2">
              <w:rPr>
                <w:color w:val="000000"/>
                <w:sz w:val="18"/>
                <w:szCs w:val="18"/>
              </w:rPr>
              <w:t>110</w:t>
            </w:r>
          </w:p>
        </w:tc>
        <w:tc>
          <w:tcPr>
            <w:tcW w:w="567" w:type="dxa"/>
            <w:tcBorders>
              <w:top w:val="nil"/>
              <w:left w:val="nil"/>
              <w:bottom w:val="single" w:sz="8" w:space="0" w:color="auto"/>
              <w:right w:val="single" w:sz="8" w:space="0" w:color="auto"/>
            </w:tcBorders>
            <w:shd w:val="clear" w:color="auto" w:fill="auto"/>
            <w:noWrap/>
            <w:vAlign w:val="center"/>
            <w:hideMark/>
          </w:tcPr>
          <w:p w14:paraId="54C6CFCF" w14:textId="77777777" w:rsidR="0060074A" w:rsidRPr="001B4CA2" w:rsidRDefault="0060074A" w:rsidP="002A38E7">
            <w:pPr>
              <w:jc w:val="center"/>
              <w:rPr>
                <w:color w:val="000000"/>
                <w:sz w:val="18"/>
                <w:szCs w:val="18"/>
              </w:rPr>
            </w:pPr>
            <w:r w:rsidRPr="001B4CA2">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14:paraId="6A1F1F60" w14:textId="77777777" w:rsidR="0060074A" w:rsidRPr="001B4CA2" w:rsidRDefault="0060074A" w:rsidP="002A38E7">
            <w:pPr>
              <w:jc w:val="center"/>
              <w:rPr>
                <w:color w:val="000000"/>
                <w:sz w:val="18"/>
                <w:szCs w:val="18"/>
              </w:rPr>
            </w:pPr>
            <w:r w:rsidRPr="001B4CA2">
              <w:rPr>
                <w:color w:val="000000"/>
                <w:sz w:val="18"/>
                <w:szCs w:val="18"/>
              </w:rPr>
              <w:t>67</w:t>
            </w:r>
          </w:p>
        </w:tc>
        <w:tc>
          <w:tcPr>
            <w:tcW w:w="850" w:type="dxa"/>
            <w:tcBorders>
              <w:top w:val="nil"/>
              <w:left w:val="nil"/>
              <w:bottom w:val="single" w:sz="8" w:space="0" w:color="auto"/>
              <w:right w:val="single" w:sz="8" w:space="0" w:color="auto"/>
            </w:tcBorders>
            <w:shd w:val="clear" w:color="auto" w:fill="auto"/>
            <w:noWrap/>
            <w:vAlign w:val="center"/>
            <w:hideMark/>
          </w:tcPr>
          <w:p w14:paraId="47038449" w14:textId="77777777" w:rsidR="0060074A" w:rsidRPr="001B4CA2" w:rsidRDefault="0060074A" w:rsidP="002A38E7">
            <w:pPr>
              <w:jc w:val="center"/>
              <w:rPr>
                <w:color w:val="000000"/>
                <w:sz w:val="18"/>
                <w:szCs w:val="18"/>
              </w:rPr>
            </w:pPr>
            <w:r w:rsidRPr="001B4CA2">
              <w:rPr>
                <w:color w:val="000000"/>
                <w:sz w:val="18"/>
                <w:szCs w:val="18"/>
              </w:rPr>
              <w:t>405</w:t>
            </w:r>
          </w:p>
        </w:tc>
      </w:tr>
      <w:tr w:rsidR="0060074A" w:rsidRPr="001B4CA2" w14:paraId="5B9AFEF1" w14:textId="77777777" w:rsidTr="0060074A">
        <w:trPr>
          <w:trHeight w:val="300"/>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502E29E3" w14:textId="77777777" w:rsidR="0060074A" w:rsidRPr="001B4CA2" w:rsidRDefault="0060074A" w:rsidP="002A38E7">
            <w:pPr>
              <w:jc w:val="center"/>
              <w:rPr>
                <w:b/>
                <w:bCs/>
                <w:color w:val="000000"/>
                <w:sz w:val="18"/>
                <w:szCs w:val="18"/>
              </w:rPr>
            </w:pPr>
            <w:r w:rsidRPr="001B4CA2">
              <w:rPr>
                <w:b/>
                <w:bCs/>
                <w:color w:val="000000"/>
                <w:sz w:val="18"/>
                <w:szCs w:val="18"/>
              </w:rPr>
              <w:t>2019.</w:t>
            </w:r>
          </w:p>
        </w:tc>
        <w:tc>
          <w:tcPr>
            <w:tcW w:w="851" w:type="dxa"/>
            <w:tcBorders>
              <w:top w:val="nil"/>
              <w:left w:val="nil"/>
              <w:bottom w:val="single" w:sz="8" w:space="0" w:color="auto"/>
              <w:right w:val="single" w:sz="8" w:space="0" w:color="auto"/>
            </w:tcBorders>
            <w:shd w:val="clear" w:color="auto" w:fill="auto"/>
            <w:noWrap/>
            <w:vAlign w:val="center"/>
            <w:hideMark/>
          </w:tcPr>
          <w:p w14:paraId="1609CEB2" w14:textId="77777777" w:rsidR="0060074A" w:rsidRPr="001B4CA2" w:rsidRDefault="0060074A" w:rsidP="002A38E7">
            <w:pPr>
              <w:jc w:val="center"/>
              <w:rPr>
                <w:color w:val="000000"/>
                <w:sz w:val="18"/>
                <w:szCs w:val="18"/>
              </w:rPr>
            </w:pPr>
            <w:r w:rsidRPr="001B4CA2">
              <w:rPr>
                <w:color w:val="000000"/>
                <w:sz w:val="18"/>
                <w:szCs w:val="18"/>
              </w:rPr>
              <w:t>1.412</w:t>
            </w:r>
          </w:p>
        </w:tc>
        <w:tc>
          <w:tcPr>
            <w:tcW w:w="809" w:type="dxa"/>
            <w:tcBorders>
              <w:top w:val="nil"/>
              <w:left w:val="nil"/>
              <w:bottom w:val="single" w:sz="8" w:space="0" w:color="auto"/>
              <w:right w:val="single" w:sz="8" w:space="0" w:color="auto"/>
            </w:tcBorders>
            <w:shd w:val="clear" w:color="auto" w:fill="auto"/>
            <w:noWrap/>
            <w:vAlign w:val="center"/>
            <w:hideMark/>
          </w:tcPr>
          <w:p w14:paraId="114B455A" w14:textId="77777777" w:rsidR="0060074A" w:rsidRPr="001B4CA2" w:rsidRDefault="0060074A" w:rsidP="002A38E7">
            <w:pPr>
              <w:jc w:val="center"/>
              <w:rPr>
                <w:color w:val="000000"/>
                <w:sz w:val="18"/>
                <w:szCs w:val="18"/>
              </w:rPr>
            </w:pPr>
            <w:r w:rsidRPr="001B4CA2">
              <w:rPr>
                <w:color w:val="000000"/>
                <w:sz w:val="18"/>
                <w:szCs w:val="18"/>
              </w:rPr>
              <w:t>1.844</w:t>
            </w:r>
          </w:p>
        </w:tc>
        <w:tc>
          <w:tcPr>
            <w:tcW w:w="709" w:type="dxa"/>
            <w:tcBorders>
              <w:top w:val="nil"/>
              <w:left w:val="nil"/>
              <w:bottom w:val="single" w:sz="8" w:space="0" w:color="auto"/>
              <w:right w:val="single" w:sz="8" w:space="0" w:color="auto"/>
            </w:tcBorders>
            <w:shd w:val="clear" w:color="auto" w:fill="auto"/>
            <w:noWrap/>
            <w:vAlign w:val="center"/>
            <w:hideMark/>
          </w:tcPr>
          <w:p w14:paraId="0FB05A80" w14:textId="77777777" w:rsidR="0060074A" w:rsidRPr="001B4CA2" w:rsidRDefault="0060074A" w:rsidP="002A38E7">
            <w:pPr>
              <w:jc w:val="center"/>
              <w:rPr>
                <w:color w:val="000000"/>
                <w:sz w:val="18"/>
                <w:szCs w:val="18"/>
              </w:rPr>
            </w:pPr>
            <w:r w:rsidRPr="001B4CA2">
              <w:rPr>
                <w:color w:val="000000"/>
                <w:sz w:val="18"/>
                <w:szCs w:val="18"/>
              </w:rPr>
              <w:t>408</w:t>
            </w:r>
          </w:p>
        </w:tc>
        <w:tc>
          <w:tcPr>
            <w:tcW w:w="709" w:type="dxa"/>
            <w:tcBorders>
              <w:top w:val="nil"/>
              <w:left w:val="nil"/>
              <w:bottom w:val="single" w:sz="8" w:space="0" w:color="auto"/>
              <w:right w:val="single" w:sz="8" w:space="0" w:color="auto"/>
            </w:tcBorders>
            <w:shd w:val="clear" w:color="auto" w:fill="auto"/>
            <w:noWrap/>
            <w:vAlign w:val="center"/>
            <w:hideMark/>
          </w:tcPr>
          <w:p w14:paraId="7B8C9AF1" w14:textId="77777777" w:rsidR="0060074A" w:rsidRPr="001B4CA2" w:rsidRDefault="0060074A" w:rsidP="002A38E7">
            <w:pPr>
              <w:jc w:val="center"/>
              <w:rPr>
                <w:color w:val="000000"/>
                <w:sz w:val="18"/>
                <w:szCs w:val="18"/>
              </w:rPr>
            </w:pPr>
            <w:r w:rsidRPr="001B4CA2">
              <w:rPr>
                <w:color w:val="000000"/>
                <w:sz w:val="18"/>
                <w:szCs w:val="18"/>
              </w:rPr>
              <w:t>1.129</w:t>
            </w:r>
          </w:p>
        </w:tc>
        <w:tc>
          <w:tcPr>
            <w:tcW w:w="709" w:type="dxa"/>
            <w:tcBorders>
              <w:top w:val="nil"/>
              <w:left w:val="nil"/>
              <w:bottom w:val="single" w:sz="8" w:space="0" w:color="auto"/>
              <w:right w:val="single" w:sz="8" w:space="0" w:color="auto"/>
            </w:tcBorders>
            <w:shd w:val="clear" w:color="auto" w:fill="auto"/>
            <w:noWrap/>
            <w:vAlign w:val="center"/>
            <w:hideMark/>
          </w:tcPr>
          <w:p w14:paraId="5C210377" w14:textId="77777777" w:rsidR="0060074A" w:rsidRPr="001B4CA2" w:rsidRDefault="0060074A" w:rsidP="002A38E7">
            <w:pPr>
              <w:jc w:val="center"/>
              <w:rPr>
                <w:color w:val="000000"/>
                <w:sz w:val="18"/>
                <w:szCs w:val="18"/>
              </w:rPr>
            </w:pPr>
            <w:r w:rsidRPr="001B4CA2">
              <w:rPr>
                <w:color w:val="000000"/>
                <w:sz w:val="18"/>
                <w:szCs w:val="18"/>
              </w:rPr>
              <w:t>653</w:t>
            </w:r>
          </w:p>
        </w:tc>
        <w:tc>
          <w:tcPr>
            <w:tcW w:w="850" w:type="dxa"/>
            <w:tcBorders>
              <w:top w:val="nil"/>
              <w:left w:val="nil"/>
              <w:bottom w:val="single" w:sz="8" w:space="0" w:color="auto"/>
              <w:right w:val="single" w:sz="8" w:space="0" w:color="auto"/>
            </w:tcBorders>
            <w:shd w:val="clear" w:color="auto" w:fill="auto"/>
            <w:noWrap/>
            <w:vAlign w:val="center"/>
            <w:hideMark/>
          </w:tcPr>
          <w:p w14:paraId="798EC611" w14:textId="77777777" w:rsidR="0060074A" w:rsidRPr="001B4CA2" w:rsidRDefault="0060074A" w:rsidP="002A38E7">
            <w:pPr>
              <w:jc w:val="center"/>
              <w:rPr>
                <w:color w:val="000000"/>
                <w:sz w:val="18"/>
                <w:szCs w:val="18"/>
              </w:rPr>
            </w:pPr>
            <w:r w:rsidRPr="001B4CA2">
              <w:rPr>
                <w:color w:val="000000"/>
                <w:sz w:val="18"/>
                <w:szCs w:val="18"/>
              </w:rPr>
              <w:t> </w:t>
            </w:r>
          </w:p>
        </w:tc>
        <w:tc>
          <w:tcPr>
            <w:tcW w:w="851" w:type="dxa"/>
            <w:tcBorders>
              <w:top w:val="nil"/>
              <w:left w:val="nil"/>
              <w:bottom w:val="single" w:sz="8" w:space="0" w:color="auto"/>
              <w:right w:val="single" w:sz="8" w:space="0" w:color="auto"/>
            </w:tcBorders>
            <w:shd w:val="clear" w:color="auto" w:fill="auto"/>
            <w:noWrap/>
            <w:vAlign w:val="center"/>
            <w:hideMark/>
          </w:tcPr>
          <w:p w14:paraId="75517235" w14:textId="77777777" w:rsidR="0060074A" w:rsidRPr="001B4CA2" w:rsidRDefault="0060074A" w:rsidP="002A38E7">
            <w:pPr>
              <w:jc w:val="center"/>
              <w:rPr>
                <w:color w:val="000000"/>
                <w:sz w:val="18"/>
                <w:szCs w:val="18"/>
              </w:rPr>
            </w:pPr>
            <w:r w:rsidRPr="001B4CA2">
              <w:rPr>
                <w:color w:val="000000"/>
                <w:sz w:val="18"/>
                <w:szCs w:val="18"/>
              </w:rPr>
              <w:t>312</w:t>
            </w:r>
          </w:p>
        </w:tc>
        <w:tc>
          <w:tcPr>
            <w:tcW w:w="992" w:type="dxa"/>
            <w:tcBorders>
              <w:top w:val="nil"/>
              <w:left w:val="nil"/>
              <w:bottom w:val="single" w:sz="8" w:space="0" w:color="auto"/>
              <w:right w:val="single" w:sz="8" w:space="0" w:color="auto"/>
            </w:tcBorders>
            <w:shd w:val="clear" w:color="auto" w:fill="auto"/>
            <w:noWrap/>
            <w:vAlign w:val="center"/>
            <w:hideMark/>
          </w:tcPr>
          <w:p w14:paraId="50975B28" w14:textId="77777777" w:rsidR="0060074A" w:rsidRPr="001B4CA2" w:rsidRDefault="0060074A" w:rsidP="002A38E7">
            <w:pPr>
              <w:jc w:val="center"/>
              <w:rPr>
                <w:color w:val="000000"/>
                <w:sz w:val="18"/>
                <w:szCs w:val="18"/>
              </w:rPr>
            </w:pPr>
            <w:r w:rsidRPr="001B4CA2">
              <w:rPr>
                <w:color w:val="000000"/>
                <w:sz w:val="18"/>
                <w:szCs w:val="18"/>
              </w:rPr>
              <w:t>165</w:t>
            </w:r>
          </w:p>
        </w:tc>
        <w:tc>
          <w:tcPr>
            <w:tcW w:w="567" w:type="dxa"/>
            <w:tcBorders>
              <w:top w:val="nil"/>
              <w:left w:val="nil"/>
              <w:bottom w:val="single" w:sz="8" w:space="0" w:color="auto"/>
              <w:right w:val="single" w:sz="8" w:space="0" w:color="auto"/>
            </w:tcBorders>
            <w:shd w:val="clear" w:color="auto" w:fill="auto"/>
            <w:noWrap/>
            <w:vAlign w:val="center"/>
            <w:hideMark/>
          </w:tcPr>
          <w:p w14:paraId="5990E9C4" w14:textId="77777777" w:rsidR="0060074A" w:rsidRPr="001B4CA2" w:rsidRDefault="0060074A" w:rsidP="002A38E7">
            <w:pPr>
              <w:jc w:val="center"/>
              <w:rPr>
                <w:color w:val="000000"/>
                <w:sz w:val="18"/>
                <w:szCs w:val="18"/>
              </w:rPr>
            </w:pPr>
            <w:r w:rsidRPr="001B4CA2">
              <w:rPr>
                <w:color w:val="000000"/>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14:paraId="2764F50C" w14:textId="77777777" w:rsidR="0060074A" w:rsidRPr="001B4CA2" w:rsidRDefault="0060074A" w:rsidP="002A38E7">
            <w:pPr>
              <w:jc w:val="center"/>
              <w:rPr>
                <w:color w:val="000000"/>
                <w:sz w:val="18"/>
                <w:szCs w:val="18"/>
              </w:rPr>
            </w:pPr>
            <w:r w:rsidRPr="001B4CA2">
              <w:rPr>
                <w:color w:val="000000"/>
                <w:sz w:val="18"/>
                <w:szCs w:val="18"/>
              </w:rPr>
              <w:t>68</w:t>
            </w:r>
          </w:p>
        </w:tc>
        <w:tc>
          <w:tcPr>
            <w:tcW w:w="850" w:type="dxa"/>
            <w:tcBorders>
              <w:top w:val="nil"/>
              <w:left w:val="nil"/>
              <w:bottom w:val="single" w:sz="8" w:space="0" w:color="auto"/>
              <w:right w:val="single" w:sz="8" w:space="0" w:color="auto"/>
            </w:tcBorders>
            <w:shd w:val="clear" w:color="auto" w:fill="auto"/>
            <w:noWrap/>
            <w:vAlign w:val="center"/>
            <w:hideMark/>
          </w:tcPr>
          <w:p w14:paraId="671995F6" w14:textId="77777777" w:rsidR="0060074A" w:rsidRPr="001B4CA2" w:rsidRDefault="0060074A" w:rsidP="002A38E7">
            <w:pPr>
              <w:jc w:val="center"/>
              <w:rPr>
                <w:color w:val="000000"/>
                <w:sz w:val="18"/>
                <w:szCs w:val="18"/>
              </w:rPr>
            </w:pPr>
            <w:r w:rsidRPr="001B4CA2">
              <w:rPr>
                <w:color w:val="000000"/>
                <w:sz w:val="18"/>
                <w:szCs w:val="18"/>
              </w:rPr>
              <w:t>382</w:t>
            </w:r>
          </w:p>
        </w:tc>
      </w:tr>
      <w:tr w:rsidR="0060074A" w:rsidRPr="001B4CA2" w14:paraId="700ED075" w14:textId="77777777" w:rsidTr="0060074A">
        <w:trPr>
          <w:trHeight w:val="300"/>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64335810" w14:textId="77777777" w:rsidR="0060074A" w:rsidRPr="001B4CA2" w:rsidRDefault="0060074A" w:rsidP="002A38E7">
            <w:pPr>
              <w:jc w:val="center"/>
              <w:rPr>
                <w:b/>
                <w:bCs/>
                <w:color w:val="000000"/>
                <w:sz w:val="18"/>
                <w:szCs w:val="18"/>
              </w:rPr>
            </w:pPr>
            <w:r w:rsidRPr="001B4CA2">
              <w:rPr>
                <w:b/>
                <w:bCs/>
                <w:color w:val="000000"/>
                <w:sz w:val="18"/>
                <w:szCs w:val="18"/>
              </w:rPr>
              <w:t>2020.</w:t>
            </w:r>
          </w:p>
        </w:tc>
        <w:tc>
          <w:tcPr>
            <w:tcW w:w="851" w:type="dxa"/>
            <w:tcBorders>
              <w:top w:val="nil"/>
              <w:left w:val="nil"/>
              <w:bottom w:val="single" w:sz="8" w:space="0" w:color="auto"/>
              <w:right w:val="single" w:sz="8" w:space="0" w:color="auto"/>
            </w:tcBorders>
            <w:shd w:val="clear" w:color="auto" w:fill="auto"/>
            <w:noWrap/>
            <w:vAlign w:val="center"/>
            <w:hideMark/>
          </w:tcPr>
          <w:p w14:paraId="20C648F6" w14:textId="77777777" w:rsidR="0060074A" w:rsidRPr="001B4CA2" w:rsidRDefault="0060074A" w:rsidP="002A38E7">
            <w:pPr>
              <w:jc w:val="center"/>
              <w:rPr>
                <w:color w:val="000000"/>
                <w:sz w:val="18"/>
                <w:szCs w:val="18"/>
              </w:rPr>
            </w:pPr>
            <w:r w:rsidRPr="001B4CA2">
              <w:rPr>
                <w:color w:val="000000"/>
                <w:sz w:val="18"/>
                <w:szCs w:val="18"/>
              </w:rPr>
              <w:t>1.778</w:t>
            </w:r>
          </w:p>
        </w:tc>
        <w:tc>
          <w:tcPr>
            <w:tcW w:w="809" w:type="dxa"/>
            <w:tcBorders>
              <w:top w:val="nil"/>
              <w:left w:val="nil"/>
              <w:bottom w:val="single" w:sz="8" w:space="0" w:color="auto"/>
              <w:right w:val="single" w:sz="8" w:space="0" w:color="auto"/>
            </w:tcBorders>
            <w:shd w:val="clear" w:color="auto" w:fill="auto"/>
            <w:noWrap/>
            <w:vAlign w:val="center"/>
            <w:hideMark/>
          </w:tcPr>
          <w:p w14:paraId="71E9D576" w14:textId="77777777" w:rsidR="0060074A" w:rsidRPr="001B4CA2" w:rsidRDefault="0060074A" w:rsidP="002A38E7">
            <w:pPr>
              <w:jc w:val="center"/>
              <w:rPr>
                <w:color w:val="000000"/>
                <w:sz w:val="18"/>
                <w:szCs w:val="18"/>
              </w:rPr>
            </w:pPr>
            <w:r w:rsidRPr="001B4CA2">
              <w:rPr>
                <w:color w:val="000000"/>
                <w:sz w:val="18"/>
                <w:szCs w:val="18"/>
              </w:rPr>
              <w:t>2.322</w:t>
            </w:r>
          </w:p>
        </w:tc>
        <w:tc>
          <w:tcPr>
            <w:tcW w:w="709" w:type="dxa"/>
            <w:tcBorders>
              <w:top w:val="nil"/>
              <w:left w:val="nil"/>
              <w:bottom w:val="single" w:sz="8" w:space="0" w:color="auto"/>
              <w:right w:val="single" w:sz="8" w:space="0" w:color="auto"/>
            </w:tcBorders>
            <w:shd w:val="clear" w:color="auto" w:fill="auto"/>
            <w:noWrap/>
            <w:vAlign w:val="center"/>
            <w:hideMark/>
          </w:tcPr>
          <w:p w14:paraId="32AF16BD" w14:textId="77777777" w:rsidR="0060074A" w:rsidRPr="001B4CA2" w:rsidRDefault="0060074A" w:rsidP="002A38E7">
            <w:pPr>
              <w:jc w:val="center"/>
              <w:rPr>
                <w:color w:val="000000"/>
                <w:sz w:val="18"/>
                <w:szCs w:val="18"/>
              </w:rPr>
            </w:pPr>
            <w:r w:rsidRPr="001B4CA2">
              <w:rPr>
                <w:color w:val="000000"/>
                <w:sz w:val="18"/>
                <w:szCs w:val="18"/>
              </w:rPr>
              <w:t>369</w:t>
            </w:r>
          </w:p>
        </w:tc>
        <w:tc>
          <w:tcPr>
            <w:tcW w:w="709" w:type="dxa"/>
            <w:tcBorders>
              <w:top w:val="nil"/>
              <w:left w:val="nil"/>
              <w:bottom w:val="single" w:sz="8" w:space="0" w:color="auto"/>
              <w:right w:val="single" w:sz="8" w:space="0" w:color="auto"/>
            </w:tcBorders>
            <w:shd w:val="clear" w:color="auto" w:fill="auto"/>
            <w:noWrap/>
            <w:vAlign w:val="center"/>
            <w:hideMark/>
          </w:tcPr>
          <w:p w14:paraId="020828B4" w14:textId="77777777" w:rsidR="0060074A" w:rsidRPr="001B4CA2" w:rsidRDefault="0060074A" w:rsidP="002A38E7">
            <w:pPr>
              <w:jc w:val="center"/>
              <w:rPr>
                <w:color w:val="000000"/>
                <w:sz w:val="18"/>
                <w:szCs w:val="18"/>
              </w:rPr>
            </w:pPr>
            <w:r w:rsidRPr="001B4CA2">
              <w:rPr>
                <w:color w:val="000000"/>
                <w:sz w:val="18"/>
                <w:szCs w:val="18"/>
              </w:rPr>
              <w:t>1.086</w:t>
            </w:r>
          </w:p>
        </w:tc>
        <w:tc>
          <w:tcPr>
            <w:tcW w:w="709" w:type="dxa"/>
            <w:tcBorders>
              <w:top w:val="nil"/>
              <w:left w:val="nil"/>
              <w:bottom w:val="single" w:sz="8" w:space="0" w:color="auto"/>
              <w:right w:val="single" w:sz="8" w:space="0" w:color="auto"/>
            </w:tcBorders>
            <w:shd w:val="clear" w:color="auto" w:fill="auto"/>
            <w:noWrap/>
            <w:vAlign w:val="center"/>
            <w:hideMark/>
          </w:tcPr>
          <w:p w14:paraId="0E0E4547" w14:textId="77777777" w:rsidR="0060074A" w:rsidRPr="001B4CA2" w:rsidRDefault="0060074A" w:rsidP="002A38E7">
            <w:pPr>
              <w:jc w:val="center"/>
              <w:rPr>
                <w:color w:val="000000"/>
                <w:sz w:val="18"/>
                <w:szCs w:val="18"/>
              </w:rPr>
            </w:pPr>
            <w:r w:rsidRPr="001B4CA2">
              <w:rPr>
                <w:color w:val="000000"/>
                <w:sz w:val="18"/>
                <w:szCs w:val="18"/>
              </w:rPr>
              <w:t>376</w:t>
            </w:r>
          </w:p>
        </w:tc>
        <w:tc>
          <w:tcPr>
            <w:tcW w:w="850" w:type="dxa"/>
            <w:tcBorders>
              <w:top w:val="nil"/>
              <w:left w:val="nil"/>
              <w:bottom w:val="single" w:sz="8" w:space="0" w:color="auto"/>
              <w:right w:val="single" w:sz="8" w:space="0" w:color="auto"/>
            </w:tcBorders>
            <w:shd w:val="clear" w:color="auto" w:fill="auto"/>
            <w:noWrap/>
            <w:vAlign w:val="center"/>
            <w:hideMark/>
          </w:tcPr>
          <w:p w14:paraId="54847E00" w14:textId="77777777" w:rsidR="0060074A" w:rsidRPr="001B4CA2" w:rsidRDefault="0060074A" w:rsidP="002A38E7">
            <w:pPr>
              <w:jc w:val="center"/>
              <w:rPr>
                <w:color w:val="000000"/>
                <w:sz w:val="18"/>
                <w:szCs w:val="18"/>
              </w:rPr>
            </w:pPr>
            <w:r w:rsidRPr="001B4CA2">
              <w:rPr>
                <w:color w:val="000000"/>
                <w:sz w:val="18"/>
                <w:szCs w:val="18"/>
              </w:rPr>
              <w:t>121</w:t>
            </w:r>
          </w:p>
        </w:tc>
        <w:tc>
          <w:tcPr>
            <w:tcW w:w="851" w:type="dxa"/>
            <w:tcBorders>
              <w:top w:val="nil"/>
              <w:left w:val="nil"/>
              <w:bottom w:val="single" w:sz="8" w:space="0" w:color="auto"/>
              <w:right w:val="single" w:sz="8" w:space="0" w:color="auto"/>
            </w:tcBorders>
            <w:shd w:val="clear" w:color="auto" w:fill="auto"/>
            <w:noWrap/>
            <w:vAlign w:val="center"/>
            <w:hideMark/>
          </w:tcPr>
          <w:p w14:paraId="79E2A23C" w14:textId="77777777" w:rsidR="0060074A" w:rsidRPr="001B4CA2" w:rsidRDefault="0060074A" w:rsidP="002A38E7">
            <w:pPr>
              <w:jc w:val="center"/>
              <w:rPr>
                <w:color w:val="000000"/>
                <w:sz w:val="18"/>
                <w:szCs w:val="18"/>
              </w:rPr>
            </w:pPr>
            <w:r w:rsidRPr="001B4CA2">
              <w:rPr>
                <w:color w:val="000000"/>
                <w:sz w:val="18"/>
                <w:szCs w:val="18"/>
              </w:rPr>
              <w:t>211</w:t>
            </w:r>
          </w:p>
        </w:tc>
        <w:tc>
          <w:tcPr>
            <w:tcW w:w="992" w:type="dxa"/>
            <w:tcBorders>
              <w:top w:val="nil"/>
              <w:left w:val="nil"/>
              <w:bottom w:val="single" w:sz="8" w:space="0" w:color="auto"/>
              <w:right w:val="single" w:sz="8" w:space="0" w:color="auto"/>
            </w:tcBorders>
            <w:shd w:val="clear" w:color="auto" w:fill="auto"/>
            <w:noWrap/>
            <w:vAlign w:val="center"/>
            <w:hideMark/>
          </w:tcPr>
          <w:p w14:paraId="0676C8A5" w14:textId="77777777" w:rsidR="0060074A" w:rsidRPr="001B4CA2" w:rsidRDefault="0060074A" w:rsidP="002A38E7">
            <w:pPr>
              <w:jc w:val="center"/>
              <w:rPr>
                <w:color w:val="000000"/>
                <w:sz w:val="18"/>
                <w:szCs w:val="18"/>
              </w:rPr>
            </w:pPr>
            <w:r w:rsidRPr="001B4CA2">
              <w:rPr>
                <w:color w:val="000000"/>
                <w:sz w:val="18"/>
                <w:szCs w:val="18"/>
              </w:rPr>
              <w:t>99</w:t>
            </w:r>
          </w:p>
        </w:tc>
        <w:tc>
          <w:tcPr>
            <w:tcW w:w="567" w:type="dxa"/>
            <w:tcBorders>
              <w:top w:val="nil"/>
              <w:left w:val="nil"/>
              <w:bottom w:val="single" w:sz="8" w:space="0" w:color="auto"/>
              <w:right w:val="single" w:sz="8" w:space="0" w:color="auto"/>
            </w:tcBorders>
            <w:shd w:val="clear" w:color="auto" w:fill="auto"/>
            <w:noWrap/>
            <w:vAlign w:val="center"/>
            <w:hideMark/>
          </w:tcPr>
          <w:p w14:paraId="15FC0456" w14:textId="77777777" w:rsidR="0060074A" w:rsidRPr="001B4CA2" w:rsidRDefault="0060074A" w:rsidP="002A38E7">
            <w:pPr>
              <w:jc w:val="center"/>
              <w:rPr>
                <w:color w:val="000000"/>
                <w:sz w:val="18"/>
                <w:szCs w:val="18"/>
              </w:rPr>
            </w:pPr>
            <w:r w:rsidRPr="001B4CA2">
              <w:rPr>
                <w:color w:val="000000"/>
                <w:sz w:val="18"/>
                <w:szCs w:val="18"/>
              </w:rPr>
              <w:t>160</w:t>
            </w:r>
          </w:p>
        </w:tc>
        <w:tc>
          <w:tcPr>
            <w:tcW w:w="709" w:type="dxa"/>
            <w:tcBorders>
              <w:top w:val="nil"/>
              <w:left w:val="nil"/>
              <w:bottom w:val="single" w:sz="8" w:space="0" w:color="auto"/>
              <w:right w:val="single" w:sz="8" w:space="0" w:color="auto"/>
            </w:tcBorders>
            <w:shd w:val="clear" w:color="auto" w:fill="auto"/>
            <w:noWrap/>
            <w:vAlign w:val="center"/>
            <w:hideMark/>
          </w:tcPr>
          <w:p w14:paraId="003F1909" w14:textId="77777777" w:rsidR="0060074A" w:rsidRPr="001B4CA2" w:rsidRDefault="0060074A" w:rsidP="002A38E7">
            <w:pPr>
              <w:jc w:val="center"/>
              <w:rPr>
                <w:color w:val="000000"/>
                <w:sz w:val="18"/>
                <w:szCs w:val="18"/>
              </w:rPr>
            </w:pPr>
            <w:r w:rsidRPr="001B4CA2">
              <w:rPr>
                <w:color w:val="000000"/>
                <w:sz w:val="18"/>
                <w:szCs w:val="18"/>
              </w:rPr>
              <w:t>142</w:t>
            </w:r>
          </w:p>
        </w:tc>
        <w:tc>
          <w:tcPr>
            <w:tcW w:w="850" w:type="dxa"/>
            <w:tcBorders>
              <w:top w:val="nil"/>
              <w:left w:val="nil"/>
              <w:bottom w:val="single" w:sz="8" w:space="0" w:color="auto"/>
              <w:right w:val="single" w:sz="8" w:space="0" w:color="auto"/>
            </w:tcBorders>
            <w:shd w:val="clear" w:color="auto" w:fill="auto"/>
            <w:noWrap/>
            <w:vAlign w:val="center"/>
            <w:hideMark/>
          </w:tcPr>
          <w:p w14:paraId="0FB00DD1" w14:textId="77777777" w:rsidR="0060074A" w:rsidRPr="001B4CA2" w:rsidRDefault="0060074A" w:rsidP="002A38E7">
            <w:pPr>
              <w:jc w:val="center"/>
              <w:rPr>
                <w:color w:val="000000"/>
                <w:sz w:val="18"/>
                <w:szCs w:val="18"/>
              </w:rPr>
            </w:pPr>
            <w:r w:rsidRPr="001B4CA2">
              <w:rPr>
                <w:color w:val="000000"/>
                <w:sz w:val="18"/>
                <w:szCs w:val="18"/>
              </w:rPr>
              <w:t>84</w:t>
            </w:r>
          </w:p>
        </w:tc>
      </w:tr>
      <w:tr w:rsidR="0060074A" w:rsidRPr="001B4CA2" w14:paraId="669246B7" w14:textId="77777777" w:rsidTr="0060074A">
        <w:trPr>
          <w:trHeight w:val="300"/>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0360164B" w14:textId="77777777" w:rsidR="0060074A" w:rsidRPr="001B4CA2" w:rsidRDefault="0060074A" w:rsidP="002A38E7">
            <w:pPr>
              <w:jc w:val="center"/>
              <w:rPr>
                <w:b/>
                <w:bCs/>
                <w:color w:val="000000"/>
                <w:sz w:val="18"/>
                <w:szCs w:val="18"/>
              </w:rPr>
            </w:pPr>
            <w:r w:rsidRPr="001B4CA2">
              <w:rPr>
                <w:b/>
                <w:bCs/>
                <w:color w:val="000000"/>
                <w:sz w:val="18"/>
                <w:szCs w:val="18"/>
              </w:rPr>
              <w:t>2021.</w:t>
            </w:r>
          </w:p>
        </w:tc>
        <w:tc>
          <w:tcPr>
            <w:tcW w:w="851" w:type="dxa"/>
            <w:tcBorders>
              <w:top w:val="nil"/>
              <w:left w:val="nil"/>
              <w:bottom w:val="single" w:sz="8" w:space="0" w:color="auto"/>
              <w:right w:val="single" w:sz="8" w:space="0" w:color="auto"/>
            </w:tcBorders>
            <w:shd w:val="clear" w:color="auto" w:fill="auto"/>
            <w:noWrap/>
            <w:vAlign w:val="center"/>
            <w:hideMark/>
          </w:tcPr>
          <w:p w14:paraId="1843F59E" w14:textId="77777777" w:rsidR="0060074A" w:rsidRPr="001B4CA2" w:rsidRDefault="0060074A" w:rsidP="002A38E7">
            <w:pPr>
              <w:jc w:val="center"/>
              <w:rPr>
                <w:color w:val="000000"/>
                <w:sz w:val="18"/>
                <w:szCs w:val="18"/>
              </w:rPr>
            </w:pPr>
            <w:r w:rsidRPr="001B4CA2">
              <w:rPr>
                <w:color w:val="000000"/>
                <w:sz w:val="18"/>
                <w:szCs w:val="18"/>
              </w:rPr>
              <w:t>1.802</w:t>
            </w:r>
          </w:p>
        </w:tc>
        <w:tc>
          <w:tcPr>
            <w:tcW w:w="809" w:type="dxa"/>
            <w:tcBorders>
              <w:top w:val="nil"/>
              <w:left w:val="nil"/>
              <w:bottom w:val="single" w:sz="8" w:space="0" w:color="auto"/>
              <w:right w:val="single" w:sz="8" w:space="0" w:color="auto"/>
            </w:tcBorders>
            <w:shd w:val="clear" w:color="auto" w:fill="auto"/>
            <w:noWrap/>
            <w:vAlign w:val="center"/>
            <w:hideMark/>
          </w:tcPr>
          <w:p w14:paraId="023274FC" w14:textId="77777777" w:rsidR="0060074A" w:rsidRPr="001B4CA2" w:rsidRDefault="0060074A" w:rsidP="002A38E7">
            <w:pPr>
              <w:jc w:val="center"/>
              <w:rPr>
                <w:color w:val="000000"/>
                <w:sz w:val="18"/>
                <w:szCs w:val="18"/>
              </w:rPr>
            </w:pPr>
            <w:r w:rsidRPr="001B4CA2">
              <w:rPr>
                <w:color w:val="000000"/>
                <w:sz w:val="18"/>
                <w:szCs w:val="18"/>
              </w:rPr>
              <w:t>2.162</w:t>
            </w:r>
          </w:p>
        </w:tc>
        <w:tc>
          <w:tcPr>
            <w:tcW w:w="709" w:type="dxa"/>
            <w:tcBorders>
              <w:top w:val="nil"/>
              <w:left w:val="nil"/>
              <w:bottom w:val="single" w:sz="8" w:space="0" w:color="auto"/>
              <w:right w:val="single" w:sz="8" w:space="0" w:color="auto"/>
            </w:tcBorders>
            <w:shd w:val="clear" w:color="auto" w:fill="auto"/>
            <w:noWrap/>
            <w:vAlign w:val="center"/>
            <w:hideMark/>
          </w:tcPr>
          <w:p w14:paraId="64BE9F11" w14:textId="77777777" w:rsidR="0060074A" w:rsidRPr="001B4CA2" w:rsidRDefault="0060074A" w:rsidP="002A38E7">
            <w:pPr>
              <w:jc w:val="center"/>
              <w:rPr>
                <w:color w:val="000000"/>
                <w:sz w:val="18"/>
                <w:szCs w:val="18"/>
              </w:rPr>
            </w:pPr>
            <w:r w:rsidRPr="001B4CA2">
              <w:rPr>
                <w:color w:val="000000"/>
                <w:sz w:val="18"/>
                <w:szCs w:val="18"/>
              </w:rPr>
              <w:t>376</w:t>
            </w:r>
          </w:p>
        </w:tc>
        <w:tc>
          <w:tcPr>
            <w:tcW w:w="709" w:type="dxa"/>
            <w:tcBorders>
              <w:top w:val="nil"/>
              <w:left w:val="nil"/>
              <w:bottom w:val="single" w:sz="8" w:space="0" w:color="auto"/>
              <w:right w:val="single" w:sz="8" w:space="0" w:color="auto"/>
            </w:tcBorders>
            <w:shd w:val="clear" w:color="auto" w:fill="auto"/>
            <w:noWrap/>
            <w:vAlign w:val="center"/>
            <w:hideMark/>
          </w:tcPr>
          <w:p w14:paraId="7FE93FDE" w14:textId="77777777" w:rsidR="0060074A" w:rsidRPr="001B4CA2" w:rsidRDefault="0060074A" w:rsidP="002A38E7">
            <w:pPr>
              <w:jc w:val="center"/>
              <w:rPr>
                <w:color w:val="000000"/>
                <w:sz w:val="18"/>
                <w:szCs w:val="18"/>
              </w:rPr>
            </w:pPr>
            <w:r w:rsidRPr="001B4CA2">
              <w:rPr>
                <w:color w:val="000000"/>
                <w:sz w:val="18"/>
                <w:szCs w:val="18"/>
              </w:rPr>
              <w:t>1.039</w:t>
            </w:r>
          </w:p>
        </w:tc>
        <w:tc>
          <w:tcPr>
            <w:tcW w:w="709" w:type="dxa"/>
            <w:tcBorders>
              <w:top w:val="nil"/>
              <w:left w:val="nil"/>
              <w:bottom w:val="single" w:sz="8" w:space="0" w:color="auto"/>
              <w:right w:val="single" w:sz="8" w:space="0" w:color="auto"/>
            </w:tcBorders>
            <w:shd w:val="clear" w:color="auto" w:fill="auto"/>
            <w:noWrap/>
            <w:vAlign w:val="center"/>
            <w:hideMark/>
          </w:tcPr>
          <w:p w14:paraId="32441FAF" w14:textId="77777777" w:rsidR="0060074A" w:rsidRPr="001B4CA2" w:rsidRDefault="0060074A" w:rsidP="002A38E7">
            <w:pPr>
              <w:jc w:val="center"/>
              <w:rPr>
                <w:color w:val="000000"/>
                <w:sz w:val="18"/>
                <w:szCs w:val="18"/>
              </w:rPr>
            </w:pPr>
            <w:r w:rsidRPr="001B4CA2">
              <w:rPr>
                <w:color w:val="000000"/>
                <w:sz w:val="18"/>
                <w:szCs w:val="18"/>
              </w:rPr>
              <w:t>523</w:t>
            </w:r>
          </w:p>
        </w:tc>
        <w:tc>
          <w:tcPr>
            <w:tcW w:w="850" w:type="dxa"/>
            <w:tcBorders>
              <w:top w:val="nil"/>
              <w:left w:val="nil"/>
              <w:bottom w:val="single" w:sz="8" w:space="0" w:color="auto"/>
              <w:right w:val="single" w:sz="8" w:space="0" w:color="auto"/>
            </w:tcBorders>
            <w:shd w:val="clear" w:color="auto" w:fill="auto"/>
            <w:noWrap/>
            <w:vAlign w:val="center"/>
            <w:hideMark/>
          </w:tcPr>
          <w:p w14:paraId="7A80561C" w14:textId="77777777" w:rsidR="0060074A" w:rsidRPr="001B4CA2" w:rsidRDefault="0060074A" w:rsidP="002A38E7">
            <w:pPr>
              <w:jc w:val="center"/>
              <w:rPr>
                <w:color w:val="000000"/>
                <w:sz w:val="18"/>
                <w:szCs w:val="18"/>
              </w:rPr>
            </w:pPr>
            <w:r w:rsidRPr="001B4CA2">
              <w:rPr>
                <w:color w:val="000000"/>
                <w:sz w:val="18"/>
                <w:szCs w:val="18"/>
              </w:rPr>
              <w:t>119</w:t>
            </w:r>
          </w:p>
        </w:tc>
        <w:tc>
          <w:tcPr>
            <w:tcW w:w="851" w:type="dxa"/>
            <w:tcBorders>
              <w:top w:val="nil"/>
              <w:left w:val="nil"/>
              <w:bottom w:val="single" w:sz="8" w:space="0" w:color="auto"/>
              <w:right w:val="single" w:sz="8" w:space="0" w:color="auto"/>
            </w:tcBorders>
            <w:shd w:val="clear" w:color="auto" w:fill="auto"/>
            <w:noWrap/>
            <w:vAlign w:val="center"/>
            <w:hideMark/>
          </w:tcPr>
          <w:p w14:paraId="287472B3" w14:textId="77777777" w:rsidR="0060074A" w:rsidRPr="001B4CA2" w:rsidRDefault="0060074A" w:rsidP="002A38E7">
            <w:pPr>
              <w:jc w:val="center"/>
              <w:rPr>
                <w:color w:val="000000"/>
                <w:sz w:val="18"/>
                <w:szCs w:val="18"/>
              </w:rPr>
            </w:pPr>
            <w:r w:rsidRPr="001B4CA2">
              <w:rPr>
                <w:color w:val="000000"/>
                <w:sz w:val="18"/>
                <w:szCs w:val="18"/>
              </w:rPr>
              <w:t>229</w:t>
            </w:r>
          </w:p>
        </w:tc>
        <w:tc>
          <w:tcPr>
            <w:tcW w:w="992" w:type="dxa"/>
            <w:tcBorders>
              <w:top w:val="nil"/>
              <w:left w:val="nil"/>
              <w:bottom w:val="single" w:sz="8" w:space="0" w:color="auto"/>
              <w:right w:val="single" w:sz="8" w:space="0" w:color="auto"/>
            </w:tcBorders>
            <w:shd w:val="clear" w:color="auto" w:fill="auto"/>
            <w:noWrap/>
            <w:vAlign w:val="center"/>
            <w:hideMark/>
          </w:tcPr>
          <w:p w14:paraId="166100B1" w14:textId="77777777" w:rsidR="0060074A" w:rsidRPr="001B4CA2" w:rsidRDefault="0060074A" w:rsidP="002A38E7">
            <w:pPr>
              <w:jc w:val="center"/>
              <w:rPr>
                <w:color w:val="000000"/>
                <w:sz w:val="18"/>
                <w:szCs w:val="18"/>
              </w:rPr>
            </w:pPr>
            <w:r w:rsidRPr="001B4CA2">
              <w:rPr>
                <w:color w:val="000000"/>
                <w:sz w:val="18"/>
                <w:szCs w:val="18"/>
              </w:rPr>
              <w:t>85</w:t>
            </w:r>
          </w:p>
        </w:tc>
        <w:tc>
          <w:tcPr>
            <w:tcW w:w="567" w:type="dxa"/>
            <w:tcBorders>
              <w:top w:val="nil"/>
              <w:left w:val="nil"/>
              <w:bottom w:val="single" w:sz="8" w:space="0" w:color="auto"/>
              <w:right w:val="single" w:sz="8" w:space="0" w:color="auto"/>
            </w:tcBorders>
            <w:shd w:val="clear" w:color="auto" w:fill="auto"/>
            <w:noWrap/>
            <w:vAlign w:val="center"/>
            <w:hideMark/>
          </w:tcPr>
          <w:p w14:paraId="22643A9A" w14:textId="77777777" w:rsidR="0060074A" w:rsidRPr="001B4CA2" w:rsidRDefault="0060074A" w:rsidP="002A38E7">
            <w:pPr>
              <w:jc w:val="center"/>
              <w:rPr>
                <w:color w:val="000000"/>
                <w:sz w:val="18"/>
                <w:szCs w:val="18"/>
              </w:rPr>
            </w:pPr>
            <w:r w:rsidRPr="001B4CA2">
              <w:rPr>
                <w:color w:val="000000"/>
                <w:sz w:val="18"/>
                <w:szCs w:val="18"/>
              </w:rPr>
              <w:t>167</w:t>
            </w:r>
          </w:p>
        </w:tc>
        <w:tc>
          <w:tcPr>
            <w:tcW w:w="709" w:type="dxa"/>
            <w:tcBorders>
              <w:top w:val="nil"/>
              <w:left w:val="nil"/>
              <w:bottom w:val="single" w:sz="8" w:space="0" w:color="auto"/>
              <w:right w:val="single" w:sz="8" w:space="0" w:color="auto"/>
            </w:tcBorders>
            <w:shd w:val="clear" w:color="auto" w:fill="auto"/>
            <w:noWrap/>
            <w:vAlign w:val="center"/>
            <w:hideMark/>
          </w:tcPr>
          <w:p w14:paraId="7A28F78A" w14:textId="77777777" w:rsidR="0060074A" w:rsidRPr="001B4CA2" w:rsidRDefault="0060074A" w:rsidP="002A38E7">
            <w:pPr>
              <w:jc w:val="center"/>
              <w:rPr>
                <w:color w:val="000000"/>
                <w:sz w:val="18"/>
                <w:szCs w:val="18"/>
              </w:rPr>
            </w:pPr>
            <w:r w:rsidRPr="001B4CA2">
              <w:rPr>
                <w:color w:val="000000"/>
                <w:sz w:val="18"/>
                <w:szCs w:val="18"/>
              </w:rPr>
              <w:t>147</w:t>
            </w:r>
          </w:p>
        </w:tc>
        <w:tc>
          <w:tcPr>
            <w:tcW w:w="850" w:type="dxa"/>
            <w:tcBorders>
              <w:top w:val="nil"/>
              <w:left w:val="nil"/>
              <w:bottom w:val="single" w:sz="8" w:space="0" w:color="auto"/>
              <w:right w:val="single" w:sz="8" w:space="0" w:color="auto"/>
            </w:tcBorders>
            <w:shd w:val="clear" w:color="auto" w:fill="auto"/>
            <w:noWrap/>
            <w:vAlign w:val="center"/>
            <w:hideMark/>
          </w:tcPr>
          <w:p w14:paraId="10AD61EC" w14:textId="77777777" w:rsidR="0060074A" w:rsidRPr="001B4CA2" w:rsidRDefault="0060074A" w:rsidP="002A38E7">
            <w:pPr>
              <w:jc w:val="center"/>
              <w:rPr>
                <w:color w:val="000000"/>
                <w:sz w:val="18"/>
                <w:szCs w:val="18"/>
              </w:rPr>
            </w:pPr>
            <w:r w:rsidRPr="001B4CA2">
              <w:rPr>
                <w:color w:val="000000"/>
                <w:sz w:val="18"/>
                <w:szCs w:val="18"/>
              </w:rPr>
              <w:t>126</w:t>
            </w:r>
          </w:p>
        </w:tc>
      </w:tr>
      <w:tr w:rsidR="0060074A" w:rsidRPr="001B4CA2" w14:paraId="4458B5CD" w14:textId="77777777" w:rsidTr="0060074A">
        <w:trPr>
          <w:trHeight w:val="300"/>
        </w:trPr>
        <w:tc>
          <w:tcPr>
            <w:tcW w:w="750" w:type="dxa"/>
            <w:tcBorders>
              <w:top w:val="nil"/>
              <w:left w:val="single" w:sz="8" w:space="0" w:color="auto"/>
              <w:bottom w:val="single" w:sz="8" w:space="0" w:color="auto"/>
              <w:right w:val="single" w:sz="8" w:space="0" w:color="auto"/>
            </w:tcBorders>
            <w:shd w:val="clear" w:color="auto" w:fill="auto"/>
            <w:noWrap/>
            <w:vAlign w:val="center"/>
            <w:hideMark/>
          </w:tcPr>
          <w:p w14:paraId="14AFCC39" w14:textId="77777777" w:rsidR="0060074A" w:rsidRPr="001B4CA2" w:rsidRDefault="0060074A" w:rsidP="002A38E7">
            <w:pPr>
              <w:jc w:val="center"/>
              <w:rPr>
                <w:b/>
                <w:bCs/>
                <w:color w:val="000000"/>
                <w:sz w:val="18"/>
                <w:szCs w:val="18"/>
              </w:rPr>
            </w:pPr>
            <w:r w:rsidRPr="001B4CA2">
              <w:rPr>
                <w:b/>
                <w:bCs/>
                <w:color w:val="000000"/>
                <w:sz w:val="18"/>
                <w:szCs w:val="18"/>
              </w:rPr>
              <w:t>2022.</w:t>
            </w:r>
          </w:p>
        </w:tc>
        <w:tc>
          <w:tcPr>
            <w:tcW w:w="851" w:type="dxa"/>
            <w:tcBorders>
              <w:top w:val="nil"/>
              <w:left w:val="nil"/>
              <w:bottom w:val="single" w:sz="8" w:space="0" w:color="auto"/>
              <w:right w:val="single" w:sz="8" w:space="0" w:color="auto"/>
            </w:tcBorders>
            <w:shd w:val="clear" w:color="auto" w:fill="auto"/>
            <w:noWrap/>
            <w:vAlign w:val="center"/>
            <w:hideMark/>
          </w:tcPr>
          <w:p w14:paraId="373A7635" w14:textId="77777777" w:rsidR="0060074A" w:rsidRPr="001B4CA2" w:rsidRDefault="0060074A" w:rsidP="002A38E7">
            <w:pPr>
              <w:jc w:val="center"/>
              <w:rPr>
                <w:color w:val="000000"/>
                <w:sz w:val="18"/>
                <w:szCs w:val="18"/>
              </w:rPr>
            </w:pPr>
            <w:r w:rsidRPr="001B4CA2">
              <w:rPr>
                <w:color w:val="000000"/>
                <w:sz w:val="18"/>
                <w:szCs w:val="18"/>
              </w:rPr>
              <w:t>1.906</w:t>
            </w:r>
          </w:p>
        </w:tc>
        <w:tc>
          <w:tcPr>
            <w:tcW w:w="809" w:type="dxa"/>
            <w:tcBorders>
              <w:top w:val="nil"/>
              <w:left w:val="nil"/>
              <w:bottom w:val="single" w:sz="8" w:space="0" w:color="auto"/>
              <w:right w:val="single" w:sz="8" w:space="0" w:color="auto"/>
            </w:tcBorders>
            <w:shd w:val="clear" w:color="auto" w:fill="auto"/>
            <w:noWrap/>
            <w:vAlign w:val="center"/>
            <w:hideMark/>
          </w:tcPr>
          <w:p w14:paraId="58D59E61" w14:textId="77777777" w:rsidR="0060074A" w:rsidRPr="001B4CA2" w:rsidRDefault="0060074A" w:rsidP="002A38E7">
            <w:pPr>
              <w:jc w:val="center"/>
              <w:rPr>
                <w:color w:val="000000"/>
                <w:sz w:val="18"/>
                <w:szCs w:val="18"/>
              </w:rPr>
            </w:pPr>
            <w:r w:rsidRPr="001B4CA2">
              <w:rPr>
                <w:color w:val="000000"/>
                <w:sz w:val="18"/>
                <w:szCs w:val="18"/>
              </w:rPr>
              <w:t>2.280</w:t>
            </w:r>
          </w:p>
        </w:tc>
        <w:tc>
          <w:tcPr>
            <w:tcW w:w="709" w:type="dxa"/>
            <w:tcBorders>
              <w:top w:val="nil"/>
              <w:left w:val="nil"/>
              <w:bottom w:val="single" w:sz="8" w:space="0" w:color="auto"/>
              <w:right w:val="single" w:sz="8" w:space="0" w:color="auto"/>
            </w:tcBorders>
            <w:shd w:val="clear" w:color="auto" w:fill="auto"/>
            <w:noWrap/>
            <w:vAlign w:val="center"/>
            <w:hideMark/>
          </w:tcPr>
          <w:p w14:paraId="1629C1E3" w14:textId="77777777" w:rsidR="0060074A" w:rsidRPr="001B4CA2" w:rsidRDefault="0060074A" w:rsidP="002A38E7">
            <w:pPr>
              <w:jc w:val="center"/>
              <w:rPr>
                <w:color w:val="000000"/>
                <w:sz w:val="18"/>
                <w:szCs w:val="18"/>
              </w:rPr>
            </w:pPr>
            <w:r w:rsidRPr="001B4CA2">
              <w:rPr>
                <w:color w:val="000000"/>
                <w:sz w:val="18"/>
                <w:szCs w:val="18"/>
              </w:rPr>
              <w:t>447</w:t>
            </w:r>
          </w:p>
        </w:tc>
        <w:tc>
          <w:tcPr>
            <w:tcW w:w="709" w:type="dxa"/>
            <w:tcBorders>
              <w:top w:val="nil"/>
              <w:left w:val="nil"/>
              <w:bottom w:val="single" w:sz="8" w:space="0" w:color="auto"/>
              <w:right w:val="single" w:sz="8" w:space="0" w:color="auto"/>
            </w:tcBorders>
            <w:shd w:val="clear" w:color="auto" w:fill="auto"/>
            <w:noWrap/>
            <w:vAlign w:val="center"/>
            <w:hideMark/>
          </w:tcPr>
          <w:p w14:paraId="5AFFE25A" w14:textId="77777777" w:rsidR="0060074A" w:rsidRPr="001B4CA2" w:rsidRDefault="0060074A" w:rsidP="002A38E7">
            <w:pPr>
              <w:jc w:val="center"/>
              <w:rPr>
                <w:color w:val="000000"/>
                <w:sz w:val="18"/>
                <w:szCs w:val="18"/>
              </w:rPr>
            </w:pPr>
            <w:r w:rsidRPr="001B4CA2">
              <w:rPr>
                <w:color w:val="000000"/>
                <w:sz w:val="18"/>
                <w:szCs w:val="18"/>
              </w:rPr>
              <w:t>1.044</w:t>
            </w:r>
          </w:p>
        </w:tc>
        <w:tc>
          <w:tcPr>
            <w:tcW w:w="709" w:type="dxa"/>
            <w:tcBorders>
              <w:top w:val="nil"/>
              <w:left w:val="nil"/>
              <w:bottom w:val="single" w:sz="8" w:space="0" w:color="auto"/>
              <w:right w:val="single" w:sz="8" w:space="0" w:color="auto"/>
            </w:tcBorders>
            <w:shd w:val="clear" w:color="auto" w:fill="auto"/>
            <w:noWrap/>
            <w:vAlign w:val="center"/>
            <w:hideMark/>
          </w:tcPr>
          <w:p w14:paraId="259B7C13" w14:textId="77777777" w:rsidR="0060074A" w:rsidRPr="001B4CA2" w:rsidRDefault="0060074A" w:rsidP="002A38E7">
            <w:pPr>
              <w:jc w:val="center"/>
              <w:rPr>
                <w:color w:val="000000"/>
                <w:sz w:val="18"/>
                <w:szCs w:val="18"/>
              </w:rPr>
            </w:pPr>
            <w:r w:rsidRPr="001B4CA2">
              <w:rPr>
                <w:color w:val="000000"/>
                <w:sz w:val="18"/>
                <w:szCs w:val="18"/>
              </w:rPr>
              <w:t>537</w:t>
            </w:r>
          </w:p>
        </w:tc>
        <w:tc>
          <w:tcPr>
            <w:tcW w:w="850" w:type="dxa"/>
            <w:tcBorders>
              <w:top w:val="nil"/>
              <w:left w:val="nil"/>
              <w:bottom w:val="single" w:sz="8" w:space="0" w:color="auto"/>
              <w:right w:val="single" w:sz="8" w:space="0" w:color="auto"/>
            </w:tcBorders>
            <w:shd w:val="clear" w:color="auto" w:fill="auto"/>
            <w:noWrap/>
            <w:vAlign w:val="center"/>
            <w:hideMark/>
          </w:tcPr>
          <w:p w14:paraId="58F3B586" w14:textId="77777777" w:rsidR="0060074A" w:rsidRPr="001B4CA2" w:rsidRDefault="0060074A" w:rsidP="002A38E7">
            <w:pPr>
              <w:jc w:val="center"/>
              <w:rPr>
                <w:color w:val="000000"/>
                <w:sz w:val="18"/>
                <w:szCs w:val="18"/>
              </w:rPr>
            </w:pPr>
            <w:r w:rsidRPr="001B4CA2">
              <w:rPr>
                <w:color w:val="000000"/>
                <w:sz w:val="18"/>
                <w:szCs w:val="18"/>
              </w:rPr>
              <w:t>124</w:t>
            </w:r>
          </w:p>
        </w:tc>
        <w:tc>
          <w:tcPr>
            <w:tcW w:w="851" w:type="dxa"/>
            <w:tcBorders>
              <w:top w:val="nil"/>
              <w:left w:val="nil"/>
              <w:bottom w:val="single" w:sz="8" w:space="0" w:color="auto"/>
              <w:right w:val="single" w:sz="8" w:space="0" w:color="auto"/>
            </w:tcBorders>
            <w:shd w:val="clear" w:color="auto" w:fill="auto"/>
            <w:noWrap/>
            <w:vAlign w:val="center"/>
            <w:hideMark/>
          </w:tcPr>
          <w:p w14:paraId="1887C09B" w14:textId="77777777" w:rsidR="0060074A" w:rsidRPr="001B4CA2" w:rsidRDefault="0060074A" w:rsidP="002A38E7">
            <w:pPr>
              <w:jc w:val="center"/>
              <w:rPr>
                <w:color w:val="000000"/>
                <w:sz w:val="18"/>
                <w:szCs w:val="18"/>
              </w:rPr>
            </w:pPr>
            <w:r w:rsidRPr="001B4CA2">
              <w:rPr>
                <w:color w:val="000000"/>
                <w:sz w:val="18"/>
                <w:szCs w:val="18"/>
              </w:rPr>
              <w:t>255</w:t>
            </w:r>
          </w:p>
        </w:tc>
        <w:tc>
          <w:tcPr>
            <w:tcW w:w="992" w:type="dxa"/>
            <w:tcBorders>
              <w:top w:val="nil"/>
              <w:left w:val="nil"/>
              <w:bottom w:val="single" w:sz="8" w:space="0" w:color="auto"/>
              <w:right w:val="single" w:sz="8" w:space="0" w:color="auto"/>
            </w:tcBorders>
            <w:shd w:val="clear" w:color="auto" w:fill="auto"/>
            <w:noWrap/>
            <w:vAlign w:val="center"/>
            <w:hideMark/>
          </w:tcPr>
          <w:p w14:paraId="2AF4B581" w14:textId="77777777" w:rsidR="0060074A" w:rsidRPr="001B4CA2" w:rsidRDefault="0060074A" w:rsidP="002A38E7">
            <w:pPr>
              <w:jc w:val="center"/>
              <w:rPr>
                <w:color w:val="000000"/>
                <w:sz w:val="18"/>
                <w:szCs w:val="18"/>
              </w:rPr>
            </w:pPr>
            <w:r w:rsidRPr="001B4CA2">
              <w:rPr>
                <w:color w:val="000000"/>
                <w:sz w:val="18"/>
                <w:szCs w:val="18"/>
              </w:rPr>
              <w:t>115</w:t>
            </w:r>
          </w:p>
        </w:tc>
        <w:tc>
          <w:tcPr>
            <w:tcW w:w="567" w:type="dxa"/>
            <w:tcBorders>
              <w:top w:val="nil"/>
              <w:left w:val="nil"/>
              <w:bottom w:val="single" w:sz="8" w:space="0" w:color="auto"/>
              <w:right w:val="single" w:sz="8" w:space="0" w:color="auto"/>
            </w:tcBorders>
            <w:shd w:val="clear" w:color="auto" w:fill="auto"/>
            <w:noWrap/>
            <w:vAlign w:val="center"/>
            <w:hideMark/>
          </w:tcPr>
          <w:p w14:paraId="08E3DC60" w14:textId="77777777" w:rsidR="0060074A" w:rsidRPr="001B4CA2" w:rsidRDefault="0060074A" w:rsidP="002A38E7">
            <w:pPr>
              <w:jc w:val="center"/>
              <w:rPr>
                <w:color w:val="000000"/>
                <w:sz w:val="18"/>
                <w:szCs w:val="18"/>
              </w:rPr>
            </w:pPr>
            <w:r w:rsidRPr="001B4CA2">
              <w:rPr>
                <w:color w:val="000000"/>
                <w:sz w:val="18"/>
                <w:szCs w:val="18"/>
              </w:rPr>
              <w:t>155</w:t>
            </w:r>
          </w:p>
        </w:tc>
        <w:tc>
          <w:tcPr>
            <w:tcW w:w="709" w:type="dxa"/>
            <w:tcBorders>
              <w:top w:val="nil"/>
              <w:left w:val="nil"/>
              <w:bottom w:val="single" w:sz="8" w:space="0" w:color="auto"/>
              <w:right w:val="single" w:sz="8" w:space="0" w:color="auto"/>
            </w:tcBorders>
            <w:shd w:val="clear" w:color="auto" w:fill="auto"/>
            <w:noWrap/>
            <w:vAlign w:val="center"/>
            <w:hideMark/>
          </w:tcPr>
          <w:p w14:paraId="2889FF6E" w14:textId="77777777" w:rsidR="0060074A" w:rsidRPr="001B4CA2" w:rsidRDefault="0060074A" w:rsidP="002A38E7">
            <w:pPr>
              <w:jc w:val="center"/>
              <w:rPr>
                <w:color w:val="000000"/>
                <w:sz w:val="18"/>
                <w:szCs w:val="18"/>
              </w:rPr>
            </w:pPr>
            <w:r w:rsidRPr="001B4CA2">
              <w:rPr>
                <w:color w:val="000000"/>
                <w:sz w:val="18"/>
                <w:szCs w:val="18"/>
              </w:rPr>
              <w:t>140</w:t>
            </w:r>
          </w:p>
        </w:tc>
        <w:tc>
          <w:tcPr>
            <w:tcW w:w="850" w:type="dxa"/>
            <w:tcBorders>
              <w:top w:val="nil"/>
              <w:left w:val="nil"/>
              <w:bottom w:val="single" w:sz="8" w:space="0" w:color="auto"/>
              <w:right w:val="single" w:sz="8" w:space="0" w:color="auto"/>
            </w:tcBorders>
            <w:shd w:val="clear" w:color="auto" w:fill="auto"/>
            <w:noWrap/>
            <w:vAlign w:val="center"/>
            <w:hideMark/>
          </w:tcPr>
          <w:p w14:paraId="5118ED69" w14:textId="77777777" w:rsidR="0060074A" w:rsidRPr="001B4CA2" w:rsidRDefault="0060074A" w:rsidP="002A38E7">
            <w:pPr>
              <w:jc w:val="center"/>
              <w:rPr>
                <w:color w:val="000000"/>
                <w:sz w:val="18"/>
                <w:szCs w:val="18"/>
              </w:rPr>
            </w:pPr>
            <w:r w:rsidRPr="001B4CA2">
              <w:rPr>
                <w:color w:val="000000"/>
                <w:sz w:val="18"/>
                <w:szCs w:val="18"/>
              </w:rPr>
              <w:t>134</w:t>
            </w:r>
          </w:p>
        </w:tc>
      </w:tr>
    </w:tbl>
    <w:p w14:paraId="07FDABDC" w14:textId="214FDBB0" w:rsidR="00574DB3" w:rsidRPr="001B4CA2" w:rsidRDefault="00574DB3" w:rsidP="00415CC9"/>
    <w:p w14:paraId="6781AF6C" w14:textId="6E618C6C" w:rsidR="008A0EAF" w:rsidRPr="001B4CA2" w:rsidRDefault="007B4E2F" w:rsidP="00BF508A">
      <w:pPr>
        <w:pStyle w:val="Naslov5"/>
        <w:tabs>
          <w:tab w:val="left" w:pos="1418"/>
        </w:tabs>
        <w:ind w:left="426" w:firstLine="0"/>
        <w:rPr>
          <w:rFonts w:ascii="Arial" w:hAnsi="Arial" w:cs="Arial"/>
        </w:rPr>
      </w:pPr>
      <w:bookmarkStart w:id="53" w:name="_Toc133394313"/>
      <w:r w:rsidRPr="001B4CA2">
        <w:rPr>
          <w:rFonts w:ascii="Arial" w:hAnsi="Arial" w:cs="Arial"/>
        </w:rPr>
        <w:t>Odluke o kaznen</w:t>
      </w:r>
      <w:r w:rsidR="003C7AD5" w:rsidRPr="001B4CA2">
        <w:rPr>
          <w:rFonts w:ascii="Arial" w:hAnsi="Arial" w:cs="Arial"/>
        </w:rPr>
        <w:t>im</w:t>
      </w:r>
      <w:r w:rsidRPr="001B4CA2">
        <w:rPr>
          <w:rFonts w:ascii="Arial" w:hAnsi="Arial" w:cs="Arial"/>
        </w:rPr>
        <w:t xml:space="preserve"> prijav</w:t>
      </w:r>
      <w:r w:rsidR="003C7AD5" w:rsidRPr="001B4CA2">
        <w:rPr>
          <w:rFonts w:ascii="Arial" w:hAnsi="Arial" w:cs="Arial"/>
        </w:rPr>
        <w:t>ama</w:t>
      </w:r>
      <w:r w:rsidRPr="001B4CA2">
        <w:rPr>
          <w:rFonts w:ascii="Arial" w:hAnsi="Arial" w:cs="Arial"/>
        </w:rPr>
        <w:t xml:space="preserve"> nakon dovršenog istraživanja</w:t>
      </w:r>
      <w:bookmarkEnd w:id="53"/>
    </w:p>
    <w:p w14:paraId="5446ADAC" w14:textId="77777777" w:rsidR="003A7F16" w:rsidRPr="001B4CA2" w:rsidRDefault="003A7F16" w:rsidP="008A0EAF"/>
    <w:p w14:paraId="61ED53E1" w14:textId="07857FF9" w:rsidR="003A7F16" w:rsidRPr="001B4CA2" w:rsidRDefault="003A7F16" w:rsidP="007702D1">
      <w:pPr>
        <w:ind w:left="142"/>
        <w:rPr>
          <w:i/>
        </w:rPr>
      </w:pPr>
      <w:r w:rsidRPr="001B4CA2">
        <w:rPr>
          <w:i/>
        </w:rPr>
        <w:t>Odluke o kaznenim prijavama nakon dovršenog istraživanja</w:t>
      </w:r>
    </w:p>
    <w:tbl>
      <w:tblPr>
        <w:tblW w:w="893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850"/>
        <w:gridCol w:w="851"/>
        <w:gridCol w:w="850"/>
        <w:gridCol w:w="851"/>
        <w:gridCol w:w="850"/>
        <w:gridCol w:w="851"/>
        <w:gridCol w:w="708"/>
        <w:gridCol w:w="851"/>
        <w:gridCol w:w="709"/>
        <w:gridCol w:w="708"/>
      </w:tblGrid>
      <w:tr w:rsidR="00532C41" w:rsidRPr="001B4CA2" w14:paraId="06B18544" w14:textId="77777777" w:rsidTr="003E79A0">
        <w:trPr>
          <w:trHeight w:val="294"/>
        </w:trPr>
        <w:tc>
          <w:tcPr>
            <w:tcW w:w="851" w:type="dxa"/>
            <w:vMerge w:val="restart"/>
            <w:shd w:val="clear" w:color="auto" w:fill="99CCFF"/>
            <w:vAlign w:val="center"/>
            <w:hideMark/>
          </w:tcPr>
          <w:p w14:paraId="2BFDA76C" w14:textId="77777777" w:rsidR="003A7F16" w:rsidRPr="001B4CA2" w:rsidRDefault="003A7F16" w:rsidP="003A7F16">
            <w:pPr>
              <w:jc w:val="center"/>
              <w:rPr>
                <w:rFonts w:eastAsia="Times New Roman"/>
                <w:b/>
                <w:bCs/>
                <w:sz w:val="18"/>
                <w:szCs w:val="18"/>
                <w:lang w:eastAsia="hr-HR"/>
              </w:rPr>
            </w:pPr>
            <w:r w:rsidRPr="001B4CA2">
              <w:rPr>
                <w:rFonts w:eastAsia="Times New Roman"/>
                <w:b/>
                <w:bCs/>
                <w:sz w:val="18"/>
                <w:szCs w:val="18"/>
                <w:lang w:eastAsia="hr-HR"/>
              </w:rPr>
              <w:t>Godina</w:t>
            </w:r>
          </w:p>
        </w:tc>
        <w:tc>
          <w:tcPr>
            <w:tcW w:w="2551" w:type="dxa"/>
            <w:gridSpan w:val="3"/>
            <w:shd w:val="clear" w:color="auto" w:fill="99CCFF"/>
            <w:vAlign w:val="center"/>
            <w:hideMark/>
          </w:tcPr>
          <w:p w14:paraId="3D0C9B6C" w14:textId="77777777" w:rsidR="003A7F16" w:rsidRPr="001B4CA2" w:rsidRDefault="003A7F16" w:rsidP="002C40F6">
            <w:pPr>
              <w:jc w:val="center"/>
              <w:rPr>
                <w:rFonts w:eastAsia="Times New Roman"/>
                <w:b/>
                <w:bCs/>
                <w:sz w:val="18"/>
                <w:szCs w:val="18"/>
                <w:lang w:eastAsia="hr-HR"/>
              </w:rPr>
            </w:pPr>
            <w:r w:rsidRPr="001B4CA2">
              <w:rPr>
                <w:rFonts w:eastAsia="Times New Roman"/>
                <w:b/>
                <w:bCs/>
                <w:sz w:val="18"/>
                <w:szCs w:val="18"/>
                <w:lang w:eastAsia="hr-HR"/>
              </w:rPr>
              <w:t>U radu</w:t>
            </w:r>
          </w:p>
        </w:tc>
        <w:tc>
          <w:tcPr>
            <w:tcW w:w="4820" w:type="dxa"/>
            <w:gridSpan w:val="6"/>
            <w:shd w:val="clear" w:color="auto" w:fill="99CCFF"/>
            <w:vAlign w:val="center"/>
            <w:hideMark/>
          </w:tcPr>
          <w:p w14:paraId="27B35920" w14:textId="77777777" w:rsidR="003A7F16" w:rsidRPr="001B4CA2" w:rsidRDefault="003A7F16" w:rsidP="002C40F6">
            <w:pPr>
              <w:jc w:val="center"/>
              <w:rPr>
                <w:rFonts w:eastAsia="Times New Roman"/>
                <w:b/>
                <w:bCs/>
                <w:sz w:val="18"/>
                <w:szCs w:val="18"/>
                <w:lang w:eastAsia="hr-HR"/>
              </w:rPr>
            </w:pPr>
            <w:r w:rsidRPr="001B4CA2">
              <w:rPr>
                <w:rFonts w:eastAsia="Times New Roman"/>
                <w:b/>
                <w:bCs/>
                <w:sz w:val="18"/>
                <w:szCs w:val="18"/>
                <w:lang w:eastAsia="hr-HR"/>
              </w:rPr>
              <w:t>Odluke DO</w:t>
            </w:r>
          </w:p>
        </w:tc>
        <w:tc>
          <w:tcPr>
            <w:tcW w:w="708" w:type="dxa"/>
            <w:vMerge w:val="restart"/>
            <w:shd w:val="clear" w:color="auto" w:fill="99CCFF"/>
            <w:textDirection w:val="btLr"/>
            <w:vAlign w:val="center"/>
            <w:hideMark/>
          </w:tcPr>
          <w:p w14:paraId="266EE0C4" w14:textId="77777777" w:rsidR="003A7F16" w:rsidRPr="001B4CA2" w:rsidRDefault="003A7F16" w:rsidP="003A7F16">
            <w:pPr>
              <w:jc w:val="left"/>
              <w:rPr>
                <w:rFonts w:eastAsia="Times New Roman"/>
                <w:b/>
                <w:bCs/>
                <w:sz w:val="18"/>
                <w:szCs w:val="18"/>
                <w:lang w:eastAsia="hr-HR"/>
              </w:rPr>
            </w:pPr>
            <w:r w:rsidRPr="001B4CA2">
              <w:rPr>
                <w:rFonts w:eastAsia="Times New Roman"/>
                <w:b/>
                <w:bCs/>
                <w:sz w:val="18"/>
                <w:szCs w:val="18"/>
                <w:lang w:eastAsia="hr-HR"/>
              </w:rPr>
              <w:t>Ostalo u radu</w:t>
            </w:r>
          </w:p>
        </w:tc>
      </w:tr>
      <w:tr w:rsidR="003E79A0" w:rsidRPr="001B4CA2" w14:paraId="1B175153" w14:textId="77777777" w:rsidTr="003E79A0">
        <w:trPr>
          <w:trHeight w:val="3487"/>
        </w:trPr>
        <w:tc>
          <w:tcPr>
            <w:tcW w:w="851" w:type="dxa"/>
            <w:vMerge/>
            <w:shd w:val="clear" w:color="auto" w:fill="99CCFF"/>
            <w:vAlign w:val="center"/>
            <w:hideMark/>
          </w:tcPr>
          <w:p w14:paraId="63522ECF" w14:textId="77777777" w:rsidR="003A7F16" w:rsidRPr="001B4CA2" w:rsidRDefault="003A7F16" w:rsidP="003A7F16">
            <w:pPr>
              <w:jc w:val="left"/>
              <w:rPr>
                <w:rFonts w:eastAsia="Times New Roman"/>
                <w:b/>
                <w:bCs/>
                <w:sz w:val="18"/>
                <w:szCs w:val="18"/>
                <w:lang w:eastAsia="hr-HR"/>
              </w:rPr>
            </w:pPr>
          </w:p>
        </w:tc>
        <w:tc>
          <w:tcPr>
            <w:tcW w:w="850" w:type="dxa"/>
            <w:shd w:val="clear" w:color="auto" w:fill="99CCFF"/>
            <w:textDirection w:val="btLr"/>
            <w:vAlign w:val="center"/>
            <w:hideMark/>
          </w:tcPr>
          <w:p w14:paraId="62DAA260" w14:textId="77777777" w:rsidR="003A7F16" w:rsidRPr="001B4CA2" w:rsidRDefault="003A7F16" w:rsidP="003A7F16">
            <w:pPr>
              <w:jc w:val="left"/>
              <w:rPr>
                <w:rFonts w:eastAsia="Times New Roman"/>
                <w:sz w:val="18"/>
                <w:szCs w:val="18"/>
                <w:lang w:eastAsia="hr-HR"/>
              </w:rPr>
            </w:pPr>
            <w:r w:rsidRPr="001B4CA2">
              <w:rPr>
                <w:rFonts w:eastAsia="Times New Roman"/>
                <w:sz w:val="18"/>
                <w:szCs w:val="18"/>
                <w:lang w:eastAsia="hr-HR"/>
              </w:rPr>
              <w:t xml:space="preserve">Ostalo u radu </w:t>
            </w:r>
          </w:p>
        </w:tc>
        <w:tc>
          <w:tcPr>
            <w:tcW w:w="851" w:type="dxa"/>
            <w:shd w:val="clear" w:color="auto" w:fill="99CCFF"/>
            <w:textDirection w:val="btLr"/>
            <w:vAlign w:val="center"/>
            <w:hideMark/>
          </w:tcPr>
          <w:p w14:paraId="78941B48" w14:textId="77777777" w:rsidR="003A7F16" w:rsidRPr="001B4CA2" w:rsidRDefault="003A7F16" w:rsidP="003A7F16">
            <w:pPr>
              <w:jc w:val="left"/>
              <w:rPr>
                <w:rFonts w:eastAsia="Times New Roman"/>
                <w:sz w:val="18"/>
                <w:szCs w:val="18"/>
                <w:lang w:eastAsia="hr-HR"/>
              </w:rPr>
            </w:pPr>
            <w:r w:rsidRPr="001B4CA2">
              <w:rPr>
                <w:rFonts w:eastAsia="Times New Roman"/>
                <w:sz w:val="18"/>
                <w:szCs w:val="18"/>
                <w:lang w:eastAsia="hr-HR"/>
              </w:rPr>
              <w:t>Pokrenuto u izvještajnom razdoblju</w:t>
            </w:r>
          </w:p>
        </w:tc>
        <w:tc>
          <w:tcPr>
            <w:tcW w:w="850" w:type="dxa"/>
            <w:shd w:val="clear" w:color="auto" w:fill="99CCFF"/>
            <w:textDirection w:val="btLr"/>
            <w:vAlign w:val="center"/>
            <w:hideMark/>
          </w:tcPr>
          <w:p w14:paraId="64E79443" w14:textId="77777777" w:rsidR="003A7F16" w:rsidRPr="001B4CA2" w:rsidRDefault="003A7F16" w:rsidP="003A7F16">
            <w:pPr>
              <w:jc w:val="left"/>
              <w:rPr>
                <w:rFonts w:eastAsia="Times New Roman"/>
                <w:b/>
                <w:bCs/>
                <w:sz w:val="18"/>
                <w:szCs w:val="18"/>
                <w:lang w:eastAsia="hr-HR"/>
              </w:rPr>
            </w:pPr>
            <w:r w:rsidRPr="001B4CA2">
              <w:rPr>
                <w:rFonts w:eastAsia="Times New Roman"/>
                <w:b/>
                <w:bCs/>
                <w:sz w:val="18"/>
                <w:szCs w:val="18"/>
                <w:lang w:eastAsia="hr-HR"/>
              </w:rPr>
              <w:t>Ukupno u radu</w:t>
            </w:r>
          </w:p>
        </w:tc>
        <w:tc>
          <w:tcPr>
            <w:tcW w:w="851" w:type="dxa"/>
            <w:shd w:val="clear" w:color="auto" w:fill="99CCFF"/>
            <w:textDirection w:val="btLr"/>
            <w:vAlign w:val="center"/>
            <w:hideMark/>
          </w:tcPr>
          <w:p w14:paraId="232FB8F7" w14:textId="77777777" w:rsidR="003A7F16" w:rsidRPr="001B4CA2" w:rsidRDefault="003A7F16" w:rsidP="003A7F16">
            <w:pPr>
              <w:jc w:val="left"/>
              <w:rPr>
                <w:rFonts w:eastAsia="Times New Roman"/>
                <w:sz w:val="18"/>
                <w:szCs w:val="18"/>
                <w:lang w:eastAsia="hr-HR"/>
              </w:rPr>
            </w:pPr>
            <w:r w:rsidRPr="001B4CA2">
              <w:rPr>
                <w:rFonts w:eastAsia="Times New Roman"/>
                <w:sz w:val="18"/>
                <w:szCs w:val="18"/>
                <w:lang w:eastAsia="hr-HR"/>
              </w:rPr>
              <w:t>Rješenje o odbačaju</w:t>
            </w:r>
          </w:p>
        </w:tc>
        <w:tc>
          <w:tcPr>
            <w:tcW w:w="850" w:type="dxa"/>
            <w:shd w:val="clear" w:color="auto" w:fill="99CCFF"/>
            <w:textDirection w:val="btLr"/>
            <w:vAlign w:val="center"/>
            <w:hideMark/>
          </w:tcPr>
          <w:p w14:paraId="78D7A169" w14:textId="77777777" w:rsidR="003A7F16" w:rsidRPr="001B4CA2" w:rsidRDefault="003A7F16" w:rsidP="003A7F16">
            <w:pPr>
              <w:jc w:val="left"/>
              <w:rPr>
                <w:rFonts w:eastAsia="Times New Roman"/>
                <w:sz w:val="18"/>
                <w:szCs w:val="18"/>
                <w:lang w:eastAsia="hr-HR"/>
              </w:rPr>
            </w:pPr>
            <w:r w:rsidRPr="001B4CA2">
              <w:rPr>
                <w:rFonts w:eastAsia="Times New Roman"/>
                <w:sz w:val="18"/>
                <w:szCs w:val="18"/>
                <w:lang w:eastAsia="hr-HR"/>
              </w:rPr>
              <w:t>Službena bilješka o podizanju optužnice</w:t>
            </w:r>
          </w:p>
        </w:tc>
        <w:tc>
          <w:tcPr>
            <w:tcW w:w="851" w:type="dxa"/>
            <w:shd w:val="clear" w:color="auto" w:fill="99CCFF"/>
            <w:textDirection w:val="btLr"/>
            <w:vAlign w:val="center"/>
            <w:hideMark/>
          </w:tcPr>
          <w:p w14:paraId="03583681" w14:textId="04AC7993" w:rsidR="003A7F16" w:rsidRPr="001B4CA2" w:rsidRDefault="003A7F16" w:rsidP="003A7F16">
            <w:pPr>
              <w:jc w:val="left"/>
              <w:rPr>
                <w:rFonts w:eastAsia="Times New Roman"/>
                <w:sz w:val="18"/>
                <w:szCs w:val="18"/>
                <w:lang w:eastAsia="hr-HR"/>
              </w:rPr>
            </w:pPr>
            <w:r w:rsidRPr="001B4CA2">
              <w:rPr>
                <w:rFonts w:eastAsia="Times New Roman"/>
                <w:sz w:val="18"/>
                <w:szCs w:val="18"/>
                <w:lang w:eastAsia="hr-HR"/>
              </w:rPr>
              <w:t xml:space="preserve">Službena bilješka o podnošenju prijedloga za izricanje </w:t>
            </w:r>
            <w:r w:rsidR="005E5855" w:rsidRPr="001B4CA2">
              <w:rPr>
                <w:rFonts w:eastAsia="Times New Roman"/>
                <w:sz w:val="18"/>
                <w:szCs w:val="18"/>
                <w:lang w:eastAsia="hr-HR"/>
              </w:rPr>
              <w:t>maloljetničke</w:t>
            </w:r>
            <w:r w:rsidRPr="001B4CA2">
              <w:rPr>
                <w:rFonts w:eastAsia="Times New Roman"/>
                <w:sz w:val="18"/>
                <w:szCs w:val="18"/>
                <w:lang w:eastAsia="hr-HR"/>
              </w:rPr>
              <w:t xml:space="preserve"> sankcije</w:t>
            </w:r>
          </w:p>
        </w:tc>
        <w:tc>
          <w:tcPr>
            <w:tcW w:w="708" w:type="dxa"/>
            <w:shd w:val="clear" w:color="auto" w:fill="99CCFF"/>
            <w:textDirection w:val="btLr"/>
            <w:vAlign w:val="center"/>
            <w:hideMark/>
          </w:tcPr>
          <w:p w14:paraId="6A2FA1FE" w14:textId="77777777" w:rsidR="003A7F16" w:rsidRPr="001B4CA2" w:rsidRDefault="003A7F16" w:rsidP="003A7F16">
            <w:pPr>
              <w:jc w:val="left"/>
              <w:rPr>
                <w:rFonts w:eastAsia="Times New Roman"/>
                <w:sz w:val="18"/>
                <w:szCs w:val="18"/>
                <w:lang w:eastAsia="hr-HR"/>
              </w:rPr>
            </w:pPr>
            <w:r w:rsidRPr="001B4CA2">
              <w:rPr>
                <w:rFonts w:eastAsia="Times New Roman"/>
                <w:sz w:val="18"/>
                <w:szCs w:val="18"/>
                <w:lang w:eastAsia="hr-HR"/>
              </w:rPr>
              <w:t>Ustup</w:t>
            </w:r>
          </w:p>
        </w:tc>
        <w:tc>
          <w:tcPr>
            <w:tcW w:w="851" w:type="dxa"/>
            <w:shd w:val="clear" w:color="auto" w:fill="99CCFF"/>
            <w:textDirection w:val="btLr"/>
            <w:vAlign w:val="center"/>
            <w:hideMark/>
          </w:tcPr>
          <w:p w14:paraId="406670C7" w14:textId="77777777" w:rsidR="003A7F16" w:rsidRPr="001B4CA2" w:rsidRDefault="003A7F16" w:rsidP="003A7F16">
            <w:pPr>
              <w:jc w:val="left"/>
              <w:rPr>
                <w:rFonts w:eastAsia="Times New Roman"/>
                <w:sz w:val="18"/>
                <w:szCs w:val="18"/>
                <w:lang w:eastAsia="hr-HR"/>
              </w:rPr>
            </w:pPr>
            <w:r w:rsidRPr="001B4CA2">
              <w:rPr>
                <w:rFonts w:eastAsia="Times New Roman"/>
                <w:sz w:val="18"/>
                <w:szCs w:val="18"/>
                <w:lang w:eastAsia="hr-HR"/>
              </w:rPr>
              <w:t>Riješeno na drugi način</w:t>
            </w:r>
          </w:p>
        </w:tc>
        <w:tc>
          <w:tcPr>
            <w:tcW w:w="709" w:type="dxa"/>
            <w:shd w:val="clear" w:color="auto" w:fill="99CCFF"/>
            <w:textDirection w:val="btLr"/>
            <w:vAlign w:val="center"/>
            <w:hideMark/>
          </w:tcPr>
          <w:p w14:paraId="35016486" w14:textId="77777777" w:rsidR="003A7F16" w:rsidRPr="001B4CA2" w:rsidRDefault="003A7F16" w:rsidP="003A7F16">
            <w:pPr>
              <w:jc w:val="left"/>
              <w:rPr>
                <w:rFonts w:eastAsia="Times New Roman"/>
                <w:b/>
                <w:bCs/>
                <w:sz w:val="18"/>
                <w:szCs w:val="18"/>
                <w:lang w:eastAsia="hr-HR"/>
              </w:rPr>
            </w:pPr>
            <w:r w:rsidRPr="001B4CA2">
              <w:rPr>
                <w:rFonts w:eastAsia="Times New Roman"/>
                <w:b/>
                <w:bCs/>
                <w:sz w:val="18"/>
                <w:szCs w:val="18"/>
                <w:lang w:eastAsia="hr-HR"/>
              </w:rPr>
              <w:t>Ukupno odluka</w:t>
            </w:r>
          </w:p>
        </w:tc>
        <w:tc>
          <w:tcPr>
            <w:tcW w:w="708" w:type="dxa"/>
            <w:vMerge/>
            <w:shd w:val="clear" w:color="auto" w:fill="99CCFF"/>
            <w:vAlign w:val="center"/>
            <w:hideMark/>
          </w:tcPr>
          <w:p w14:paraId="117A478B" w14:textId="77777777" w:rsidR="003A7F16" w:rsidRPr="001B4CA2" w:rsidRDefault="003A7F16" w:rsidP="003A7F16">
            <w:pPr>
              <w:jc w:val="left"/>
              <w:rPr>
                <w:rFonts w:eastAsia="Times New Roman"/>
                <w:b/>
                <w:bCs/>
                <w:sz w:val="18"/>
                <w:szCs w:val="18"/>
                <w:lang w:eastAsia="hr-HR"/>
              </w:rPr>
            </w:pPr>
          </w:p>
        </w:tc>
      </w:tr>
      <w:tr w:rsidR="003E79A0" w:rsidRPr="001B4CA2" w14:paraId="4CF3C605" w14:textId="77777777" w:rsidTr="003E79A0">
        <w:trPr>
          <w:trHeight w:val="254"/>
        </w:trPr>
        <w:tc>
          <w:tcPr>
            <w:tcW w:w="851" w:type="dxa"/>
            <w:shd w:val="clear" w:color="auto" w:fill="99CCFF"/>
            <w:vAlign w:val="center"/>
            <w:hideMark/>
          </w:tcPr>
          <w:p w14:paraId="6897AEF9" w14:textId="77777777" w:rsidR="003A7F16" w:rsidRPr="001B4CA2" w:rsidRDefault="003A7F16" w:rsidP="003A7F16">
            <w:pPr>
              <w:jc w:val="center"/>
              <w:rPr>
                <w:rFonts w:eastAsia="Times New Roman"/>
                <w:sz w:val="18"/>
                <w:szCs w:val="18"/>
                <w:lang w:eastAsia="hr-HR"/>
              </w:rPr>
            </w:pPr>
            <w:r w:rsidRPr="001B4CA2">
              <w:rPr>
                <w:rFonts w:eastAsia="Times New Roman"/>
                <w:sz w:val="18"/>
                <w:szCs w:val="18"/>
                <w:lang w:eastAsia="hr-HR"/>
              </w:rPr>
              <w:t>1</w:t>
            </w:r>
          </w:p>
        </w:tc>
        <w:tc>
          <w:tcPr>
            <w:tcW w:w="850" w:type="dxa"/>
            <w:shd w:val="clear" w:color="auto" w:fill="99CCFF"/>
            <w:vAlign w:val="center"/>
            <w:hideMark/>
          </w:tcPr>
          <w:p w14:paraId="1E206DC9" w14:textId="77777777" w:rsidR="003A7F16" w:rsidRPr="001B4CA2" w:rsidRDefault="003A7F16" w:rsidP="003A7F16">
            <w:pPr>
              <w:jc w:val="center"/>
              <w:rPr>
                <w:rFonts w:eastAsia="Times New Roman"/>
                <w:sz w:val="18"/>
                <w:szCs w:val="18"/>
                <w:lang w:eastAsia="hr-HR"/>
              </w:rPr>
            </w:pPr>
            <w:r w:rsidRPr="001B4CA2">
              <w:rPr>
                <w:rFonts w:eastAsia="Times New Roman"/>
                <w:sz w:val="18"/>
                <w:szCs w:val="18"/>
                <w:lang w:eastAsia="hr-HR"/>
              </w:rPr>
              <w:t>2</w:t>
            </w:r>
          </w:p>
        </w:tc>
        <w:tc>
          <w:tcPr>
            <w:tcW w:w="851" w:type="dxa"/>
            <w:shd w:val="clear" w:color="auto" w:fill="99CCFF"/>
            <w:vAlign w:val="center"/>
            <w:hideMark/>
          </w:tcPr>
          <w:p w14:paraId="5D207E00" w14:textId="77777777" w:rsidR="003A7F16" w:rsidRPr="001B4CA2" w:rsidRDefault="003A7F16" w:rsidP="003A7F16">
            <w:pPr>
              <w:jc w:val="center"/>
              <w:rPr>
                <w:rFonts w:eastAsia="Times New Roman"/>
                <w:sz w:val="18"/>
                <w:szCs w:val="18"/>
                <w:lang w:eastAsia="hr-HR"/>
              </w:rPr>
            </w:pPr>
            <w:r w:rsidRPr="001B4CA2">
              <w:rPr>
                <w:rFonts w:eastAsia="Times New Roman"/>
                <w:sz w:val="18"/>
                <w:szCs w:val="18"/>
                <w:lang w:eastAsia="hr-HR"/>
              </w:rPr>
              <w:t>3</w:t>
            </w:r>
          </w:p>
        </w:tc>
        <w:tc>
          <w:tcPr>
            <w:tcW w:w="850" w:type="dxa"/>
            <w:shd w:val="clear" w:color="auto" w:fill="99CCFF"/>
            <w:vAlign w:val="center"/>
            <w:hideMark/>
          </w:tcPr>
          <w:p w14:paraId="428EB8DE" w14:textId="77777777" w:rsidR="003A7F16" w:rsidRPr="001B4CA2" w:rsidRDefault="003A7F16" w:rsidP="003A7F16">
            <w:pPr>
              <w:jc w:val="center"/>
              <w:rPr>
                <w:rFonts w:eastAsia="Times New Roman"/>
                <w:sz w:val="18"/>
                <w:szCs w:val="18"/>
                <w:lang w:eastAsia="hr-HR"/>
              </w:rPr>
            </w:pPr>
            <w:r w:rsidRPr="001B4CA2">
              <w:rPr>
                <w:rFonts w:eastAsia="Times New Roman"/>
                <w:sz w:val="18"/>
                <w:szCs w:val="18"/>
                <w:lang w:eastAsia="hr-HR"/>
              </w:rPr>
              <w:t>4</w:t>
            </w:r>
          </w:p>
        </w:tc>
        <w:tc>
          <w:tcPr>
            <w:tcW w:w="851" w:type="dxa"/>
            <w:shd w:val="clear" w:color="auto" w:fill="99CCFF"/>
            <w:vAlign w:val="center"/>
            <w:hideMark/>
          </w:tcPr>
          <w:p w14:paraId="7856E194" w14:textId="77777777" w:rsidR="003A7F16" w:rsidRPr="001B4CA2" w:rsidRDefault="003A7F16" w:rsidP="003A7F16">
            <w:pPr>
              <w:jc w:val="center"/>
              <w:rPr>
                <w:rFonts w:eastAsia="Times New Roman"/>
                <w:sz w:val="18"/>
                <w:szCs w:val="18"/>
                <w:lang w:eastAsia="hr-HR"/>
              </w:rPr>
            </w:pPr>
            <w:r w:rsidRPr="001B4CA2">
              <w:rPr>
                <w:rFonts w:eastAsia="Times New Roman"/>
                <w:sz w:val="18"/>
                <w:szCs w:val="18"/>
                <w:lang w:eastAsia="hr-HR"/>
              </w:rPr>
              <w:t>5</w:t>
            </w:r>
          </w:p>
        </w:tc>
        <w:tc>
          <w:tcPr>
            <w:tcW w:w="850" w:type="dxa"/>
            <w:shd w:val="clear" w:color="auto" w:fill="99CCFF"/>
            <w:vAlign w:val="center"/>
            <w:hideMark/>
          </w:tcPr>
          <w:p w14:paraId="3818EF2A" w14:textId="77777777" w:rsidR="003A7F16" w:rsidRPr="001B4CA2" w:rsidRDefault="003A7F16" w:rsidP="003A7F16">
            <w:pPr>
              <w:jc w:val="center"/>
              <w:rPr>
                <w:rFonts w:eastAsia="Times New Roman"/>
                <w:sz w:val="18"/>
                <w:szCs w:val="18"/>
                <w:lang w:eastAsia="hr-HR"/>
              </w:rPr>
            </w:pPr>
            <w:r w:rsidRPr="001B4CA2">
              <w:rPr>
                <w:rFonts w:eastAsia="Times New Roman"/>
                <w:sz w:val="18"/>
                <w:szCs w:val="18"/>
                <w:lang w:eastAsia="hr-HR"/>
              </w:rPr>
              <w:t>6</w:t>
            </w:r>
          </w:p>
        </w:tc>
        <w:tc>
          <w:tcPr>
            <w:tcW w:w="851" w:type="dxa"/>
            <w:shd w:val="clear" w:color="auto" w:fill="99CCFF"/>
            <w:vAlign w:val="center"/>
            <w:hideMark/>
          </w:tcPr>
          <w:p w14:paraId="2F9BF699" w14:textId="77777777" w:rsidR="003A7F16" w:rsidRPr="001B4CA2" w:rsidRDefault="003A7F16" w:rsidP="003A7F16">
            <w:pPr>
              <w:jc w:val="center"/>
              <w:rPr>
                <w:rFonts w:eastAsia="Times New Roman"/>
                <w:sz w:val="18"/>
                <w:szCs w:val="18"/>
                <w:lang w:eastAsia="hr-HR"/>
              </w:rPr>
            </w:pPr>
            <w:r w:rsidRPr="001B4CA2">
              <w:rPr>
                <w:rFonts w:eastAsia="Times New Roman"/>
                <w:sz w:val="18"/>
                <w:szCs w:val="18"/>
                <w:lang w:eastAsia="hr-HR"/>
              </w:rPr>
              <w:t>7</w:t>
            </w:r>
          </w:p>
        </w:tc>
        <w:tc>
          <w:tcPr>
            <w:tcW w:w="708" w:type="dxa"/>
            <w:shd w:val="clear" w:color="auto" w:fill="99CCFF"/>
            <w:vAlign w:val="center"/>
            <w:hideMark/>
          </w:tcPr>
          <w:p w14:paraId="0D502B58" w14:textId="77777777" w:rsidR="003A7F16" w:rsidRPr="001B4CA2" w:rsidRDefault="003A7F16" w:rsidP="003A7F16">
            <w:pPr>
              <w:jc w:val="center"/>
              <w:rPr>
                <w:rFonts w:eastAsia="Times New Roman"/>
                <w:sz w:val="18"/>
                <w:szCs w:val="18"/>
                <w:lang w:eastAsia="hr-HR"/>
              </w:rPr>
            </w:pPr>
            <w:r w:rsidRPr="001B4CA2">
              <w:rPr>
                <w:rFonts w:eastAsia="Times New Roman"/>
                <w:sz w:val="18"/>
                <w:szCs w:val="18"/>
                <w:lang w:eastAsia="hr-HR"/>
              </w:rPr>
              <w:t>8</w:t>
            </w:r>
          </w:p>
        </w:tc>
        <w:tc>
          <w:tcPr>
            <w:tcW w:w="851" w:type="dxa"/>
            <w:shd w:val="clear" w:color="auto" w:fill="99CCFF"/>
            <w:vAlign w:val="center"/>
            <w:hideMark/>
          </w:tcPr>
          <w:p w14:paraId="579B87B0" w14:textId="77777777" w:rsidR="003A7F16" w:rsidRPr="001B4CA2" w:rsidRDefault="003A7F16" w:rsidP="003A7F16">
            <w:pPr>
              <w:jc w:val="center"/>
              <w:rPr>
                <w:rFonts w:eastAsia="Times New Roman"/>
                <w:sz w:val="18"/>
                <w:szCs w:val="18"/>
                <w:lang w:eastAsia="hr-HR"/>
              </w:rPr>
            </w:pPr>
            <w:r w:rsidRPr="001B4CA2">
              <w:rPr>
                <w:rFonts w:eastAsia="Times New Roman"/>
                <w:sz w:val="18"/>
                <w:szCs w:val="18"/>
                <w:lang w:eastAsia="hr-HR"/>
              </w:rPr>
              <w:t>9</w:t>
            </w:r>
          </w:p>
        </w:tc>
        <w:tc>
          <w:tcPr>
            <w:tcW w:w="709" w:type="dxa"/>
            <w:shd w:val="clear" w:color="auto" w:fill="99CCFF"/>
            <w:vAlign w:val="center"/>
            <w:hideMark/>
          </w:tcPr>
          <w:p w14:paraId="04B15809" w14:textId="77777777" w:rsidR="003A7F16" w:rsidRPr="001B4CA2" w:rsidRDefault="003A7F16" w:rsidP="003A7F16">
            <w:pPr>
              <w:jc w:val="center"/>
              <w:rPr>
                <w:rFonts w:eastAsia="Times New Roman"/>
                <w:sz w:val="18"/>
                <w:szCs w:val="18"/>
                <w:lang w:eastAsia="hr-HR"/>
              </w:rPr>
            </w:pPr>
            <w:r w:rsidRPr="001B4CA2">
              <w:rPr>
                <w:rFonts w:eastAsia="Times New Roman"/>
                <w:sz w:val="18"/>
                <w:szCs w:val="18"/>
                <w:lang w:eastAsia="hr-HR"/>
              </w:rPr>
              <w:t>10</w:t>
            </w:r>
          </w:p>
        </w:tc>
        <w:tc>
          <w:tcPr>
            <w:tcW w:w="708" w:type="dxa"/>
            <w:shd w:val="clear" w:color="auto" w:fill="99CCFF"/>
            <w:vAlign w:val="center"/>
            <w:hideMark/>
          </w:tcPr>
          <w:p w14:paraId="228B16BB" w14:textId="77777777" w:rsidR="003A7F16" w:rsidRPr="001B4CA2" w:rsidRDefault="003A7F16" w:rsidP="003A7F16">
            <w:pPr>
              <w:jc w:val="center"/>
              <w:rPr>
                <w:rFonts w:eastAsia="Times New Roman"/>
                <w:sz w:val="18"/>
                <w:szCs w:val="18"/>
                <w:lang w:eastAsia="hr-HR"/>
              </w:rPr>
            </w:pPr>
            <w:r w:rsidRPr="001B4CA2">
              <w:rPr>
                <w:rFonts w:eastAsia="Times New Roman"/>
                <w:sz w:val="18"/>
                <w:szCs w:val="18"/>
                <w:lang w:eastAsia="hr-HR"/>
              </w:rPr>
              <w:t>11</w:t>
            </w:r>
          </w:p>
        </w:tc>
      </w:tr>
      <w:tr w:rsidR="00DB79D5" w:rsidRPr="001B4CA2" w14:paraId="595469A1" w14:textId="77777777" w:rsidTr="003E79A0">
        <w:trPr>
          <w:trHeight w:val="254"/>
        </w:trPr>
        <w:tc>
          <w:tcPr>
            <w:tcW w:w="851" w:type="dxa"/>
            <w:shd w:val="clear" w:color="auto" w:fill="auto"/>
            <w:vAlign w:val="center"/>
          </w:tcPr>
          <w:p w14:paraId="3F008F99" w14:textId="0EC6DCFB" w:rsidR="00DB79D5" w:rsidRPr="001B4CA2" w:rsidRDefault="00DB79D5" w:rsidP="00DB79D5">
            <w:pPr>
              <w:jc w:val="center"/>
              <w:rPr>
                <w:rFonts w:eastAsia="Times New Roman"/>
                <w:sz w:val="18"/>
                <w:szCs w:val="18"/>
                <w:lang w:eastAsia="hr-HR"/>
              </w:rPr>
            </w:pPr>
            <w:r w:rsidRPr="001B4CA2">
              <w:rPr>
                <w:rFonts w:eastAsia="Times New Roman"/>
                <w:sz w:val="18"/>
                <w:szCs w:val="18"/>
                <w:lang w:eastAsia="hr-HR"/>
              </w:rPr>
              <w:t>202</w:t>
            </w:r>
            <w:r w:rsidR="00501212" w:rsidRPr="001B4CA2">
              <w:rPr>
                <w:rFonts w:eastAsia="Times New Roman"/>
                <w:sz w:val="18"/>
                <w:szCs w:val="18"/>
                <w:lang w:eastAsia="hr-HR"/>
              </w:rPr>
              <w:t>2</w:t>
            </w:r>
            <w:r w:rsidRPr="001B4CA2">
              <w:rPr>
                <w:rFonts w:eastAsia="Times New Roman"/>
                <w:sz w:val="18"/>
                <w:szCs w:val="18"/>
                <w:lang w:eastAsia="hr-HR"/>
              </w:rPr>
              <w:t>.</w:t>
            </w:r>
          </w:p>
        </w:tc>
        <w:tc>
          <w:tcPr>
            <w:tcW w:w="850" w:type="dxa"/>
            <w:shd w:val="clear" w:color="auto" w:fill="auto"/>
            <w:vAlign w:val="center"/>
          </w:tcPr>
          <w:p w14:paraId="1391BBFF" w14:textId="2B407473" w:rsidR="00DB79D5" w:rsidRPr="001B4CA2" w:rsidRDefault="00501212" w:rsidP="00DB79D5">
            <w:pPr>
              <w:jc w:val="center"/>
              <w:rPr>
                <w:rFonts w:eastAsia="Times New Roman"/>
                <w:sz w:val="18"/>
                <w:szCs w:val="18"/>
                <w:lang w:eastAsia="hr-HR"/>
              </w:rPr>
            </w:pPr>
            <w:r w:rsidRPr="001B4CA2">
              <w:rPr>
                <w:rFonts w:eastAsia="Times New Roman"/>
                <w:color w:val="000000"/>
                <w:sz w:val="18"/>
                <w:szCs w:val="18"/>
                <w:lang w:eastAsia="hr-HR"/>
              </w:rPr>
              <w:t>3.126</w:t>
            </w:r>
          </w:p>
        </w:tc>
        <w:tc>
          <w:tcPr>
            <w:tcW w:w="851" w:type="dxa"/>
            <w:shd w:val="clear" w:color="auto" w:fill="auto"/>
            <w:vAlign w:val="center"/>
          </w:tcPr>
          <w:p w14:paraId="58E5F030" w14:textId="2CF2440C" w:rsidR="00DB79D5" w:rsidRPr="001B4CA2" w:rsidRDefault="00DB79D5" w:rsidP="00DB79D5">
            <w:pPr>
              <w:jc w:val="center"/>
              <w:rPr>
                <w:rFonts w:eastAsia="Times New Roman"/>
                <w:sz w:val="18"/>
                <w:szCs w:val="18"/>
                <w:lang w:eastAsia="hr-HR"/>
              </w:rPr>
            </w:pPr>
            <w:r w:rsidRPr="001B4CA2">
              <w:rPr>
                <w:rFonts w:eastAsia="Times New Roman"/>
                <w:color w:val="000000"/>
                <w:sz w:val="18"/>
                <w:szCs w:val="18"/>
                <w:lang w:eastAsia="hr-HR"/>
              </w:rPr>
              <w:t>9.</w:t>
            </w:r>
            <w:r w:rsidR="00501212" w:rsidRPr="001B4CA2">
              <w:rPr>
                <w:rFonts w:eastAsia="Times New Roman"/>
                <w:color w:val="000000"/>
                <w:sz w:val="18"/>
                <w:szCs w:val="18"/>
                <w:lang w:eastAsia="hr-HR"/>
              </w:rPr>
              <w:t>757</w:t>
            </w:r>
          </w:p>
        </w:tc>
        <w:tc>
          <w:tcPr>
            <w:tcW w:w="850" w:type="dxa"/>
            <w:shd w:val="clear" w:color="auto" w:fill="auto"/>
            <w:vAlign w:val="center"/>
          </w:tcPr>
          <w:p w14:paraId="083C5761" w14:textId="1246FA32" w:rsidR="00DB79D5" w:rsidRPr="001B4CA2" w:rsidRDefault="00DB79D5" w:rsidP="00DB79D5">
            <w:pPr>
              <w:jc w:val="center"/>
              <w:rPr>
                <w:rFonts w:eastAsia="Times New Roman"/>
                <w:b/>
                <w:bCs/>
                <w:sz w:val="18"/>
                <w:szCs w:val="18"/>
                <w:lang w:eastAsia="hr-HR"/>
              </w:rPr>
            </w:pPr>
            <w:r w:rsidRPr="001B4CA2">
              <w:rPr>
                <w:rFonts w:eastAsia="Times New Roman"/>
                <w:b/>
                <w:bCs/>
                <w:color w:val="000000"/>
                <w:sz w:val="18"/>
                <w:szCs w:val="18"/>
                <w:lang w:eastAsia="hr-HR"/>
              </w:rPr>
              <w:t>1</w:t>
            </w:r>
            <w:r w:rsidR="00501212" w:rsidRPr="001B4CA2">
              <w:rPr>
                <w:rFonts w:eastAsia="Times New Roman"/>
                <w:b/>
                <w:bCs/>
                <w:color w:val="000000"/>
                <w:sz w:val="18"/>
                <w:szCs w:val="18"/>
                <w:lang w:eastAsia="hr-HR"/>
              </w:rPr>
              <w:t>2.883</w:t>
            </w:r>
          </w:p>
        </w:tc>
        <w:tc>
          <w:tcPr>
            <w:tcW w:w="851" w:type="dxa"/>
            <w:shd w:val="clear" w:color="auto" w:fill="auto"/>
            <w:vAlign w:val="center"/>
          </w:tcPr>
          <w:p w14:paraId="0DF0D3F9" w14:textId="271CF5BF" w:rsidR="00DB79D5" w:rsidRPr="001B4CA2" w:rsidRDefault="00501212" w:rsidP="00DB79D5">
            <w:pPr>
              <w:jc w:val="center"/>
              <w:rPr>
                <w:rFonts w:eastAsia="Times New Roman"/>
                <w:sz w:val="18"/>
                <w:szCs w:val="18"/>
                <w:lang w:eastAsia="hr-HR"/>
              </w:rPr>
            </w:pPr>
            <w:r w:rsidRPr="001B4CA2">
              <w:rPr>
                <w:rFonts w:eastAsia="Times New Roman"/>
                <w:sz w:val="18"/>
                <w:szCs w:val="18"/>
                <w:lang w:eastAsia="hr-HR"/>
              </w:rPr>
              <w:t>2.047</w:t>
            </w:r>
          </w:p>
        </w:tc>
        <w:tc>
          <w:tcPr>
            <w:tcW w:w="850" w:type="dxa"/>
            <w:shd w:val="clear" w:color="auto" w:fill="auto"/>
            <w:vAlign w:val="center"/>
          </w:tcPr>
          <w:p w14:paraId="6B009F9E" w14:textId="64586547" w:rsidR="00DB79D5" w:rsidRPr="001B4CA2" w:rsidRDefault="00DB79D5" w:rsidP="00DB79D5">
            <w:pPr>
              <w:jc w:val="center"/>
              <w:rPr>
                <w:rFonts w:eastAsia="Times New Roman"/>
                <w:sz w:val="18"/>
                <w:szCs w:val="18"/>
                <w:lang w:eastAsia="hr-HR"/>
              </w:rPr>
            </w:pPr>
            <w:r w:rsidRPr="001B4CA2">
              <w:rPr>
                <w:rFonts w:eastAsia="Times New Roman"/>
                <w:color w:val="000000"/>
                <w:sz w:val="18"/>
                <w:szCs w:val="18"/>
                <w:lang w:eastAsia="hr-HR"/>
              </w:rPr>
              <w:t>6.</w:t>
            </w:r>
            <w:r w:rsidR="00501212" w:rsidRPr="001B4CA2">
              <w:rPr>
                <w:rFonts w:eastAsia="Times New Roman"/>
                <w:color w:val="000000"/>
                <w:sz w:val="18"/>
                <w:szCs w:val="18"/>
                <w:lang w:eastAsia="hr-HR"/>
              </w:rPr>
              <w:t>565</w:t>
            </w:r>
          </w:p>
        </w:tc>
        <w:tc>
          <w:tcPr>
            <w:tcW w:w="851" w:type="dxa"/>
            <w:shd w:val="clear" w:color="auto" w:fill="auto"/>
            <w:vAlign w:val="center"/>
          </w:tcPr>
          <w:p w14:paraId="11F85807" w14:textId="253D3738" w:rsidR="00DB79D5" w:rsidRPr="001B4CA2" w:rsidRDefault="00501212" w:rsidP="00DB79D5">
            <w:pPr>
              <w:jc w:val="center"/>
              <w:rPr>
                <w:rFonts w:eastAsia="Times New Roman"/>
                <w:sz w:val="18"/>
                <w:szCs w:val="18"/>
                <w:lang w:eastAsia="hr-HR"/>
              </w:rPr>
            </w:pPr>
            <w:r w:rsidRPr="001B4CA2">
              <w:rPr>
                <w:rFonts w:eastAsia="Times New Roman"/>
                <w:sz w:val="18"/>
                <w:szCs w:val="18"/>
                <w:lang w:eastAsia="hr-HR"/>
              </w:rPr>
              <w:t>90</w:t>
            </w:r>
          </w:p>
        </w:tc>
        <w:tc>
          <w:tcPr>
            <w:tcW w:w="708" w:type="dxa"/>
            <w:shd w:val="clear" w:color="auto" w:fill="auto"/>
            <w:vAlign w:val="center"/>
          </w:tcPr>
          <w:p w14:paraId="7F55C01C" w14:textId="44FC256F" w:rsidR="00DB79D5" w:rsidRPr="001B4CA2" w:rsidRDefault="00DB79D5" w:rsidP="00DB79D5">
            <w:pPr>
              <w:jc w:val="center"/>
              <w:rPr>
                <w:rFonts w:eastAsia="Times New Roman"/>
                <w:sz w:val="18"/>
                <w:szCs w:val="18"/>
                <w:lang w:eastAsia="hr-HR"/>
              </w:rPr>
            </w:pPr>
            <w:r w:rsidRPr="001B4CA2">
              <w:rPr>
                <w:rFonts w:eastAsia="Times New Roman"/>
                <w:color w:val="000000"/>
                <w:sz w:val="18"/>
                <w:szCs w:val="18"/>
                <w:lang w:eastAsia="hr-HR"/>
              </w:rPr>
              <w:t>37</w:t>
            </w:r>
          </w:p>
        </w:tc>
        <w:tc>
          <w:tcPr>
            <w:tcW w:w="851" w:type="dxa"/>
            <w:shd w:val="clear" w:color="auto" w:fill="auto"/>
            <w:vAlign w:val="center"/>
          </w:tcPr>
          <w:p w14:paraId="17B7DB86" w14:textId="0C85E179" w:rsidR="00DB79D5" w:rsidRPr="001B4CA2" w:rsidRDefault="00DB79D5" w:rsidP="00DB79D5">
            <w:pPr>
              <w:jc w:val="center"/>
              <w:rPr>
                <w:rFonts w:eastAsia="Times New Roman"/>
                <w:sz w:val="18"/>
                <w:szCs w:val="18"/>
                <w:lang w:eastAsia="hr-HR"/>
              </w:rPr>
            </w:pPr>
            <w:r w:rsidRPr="001B4CA2">
              <w:rPr>
                <w:rFonts w:eastAsia="Times New Roman"/>
                <w:color w:val="000000"/>
                <w:sz w:val="18"/>
                <w:szCs w:val="18"/>
                <w:lang w:eastAsia="hr-HR"/>
              </w:rPr>
              <w:t>23</w:t>
            </w:r>
            <w:r w:rsidR="00501212" w:rsidRPr="001B4CA2">
              <w:rPr>
                <w:rFonts w:eastAsia="Times New Roman"/>
                <w:color w:val="000000"/>
                <w:sz w:val="18"/>
                <w:szCs w:val="18"/>
                <w:lang w:eastAsia="hr-HR"/>
              </w:rPr>
              <w:t>7</w:t>
            </w:r>
          </w:p>
        </w:tc>
        <w:tc>
          <w:tcPr>
            <w:tcW w:w="709" w:type="dxa"/>
            <w:shd w:val="clear" w:color="auto" w:fill="auto"/>
            <w:vAlign w:val="center"/>
          </w:tcPr>
          <w:p w14:paraId="036D65FF" w14:textId="3EAE1EA3" w:rsidR="00DB79D5" w:rsidRPr="001B4CA2" w:rsidRDefault="00DB79D5" w:rsidP="00DB79D5">
            <w:pPr>
              <w:jc w:val="center"/>
              <w:rPr>
                <w:rFonts w:eastAsia="Times New Roman"/>
                <w:b/>
                <w:bCs/>
                <w:sz w:val="18"/>
                <w:szCs w:val="18"/>
                <w:lang w:eastAsia="hr-HR"/>
              </w:rPr>
            </w:pPr>
            <w:r w:rsidRPr="001B4CA2">
              <w:rPr>
                <w:rFonts w:eastAsia="Times New Roman"/>
                <w:b/>
                <w:bCs/>
                <w:color w:val="000000"/>
                <w:sz w:val="18"/>
                <w:szCs w:val="18"/>
                <w:lang w:eastAsia="hr-HR"/>
              </w:rPr>
              <w:t>8.</w:t>
            </w:r>
            <w:r w:rsidR="00501212" w:rsidRPr="001B4CA2">
              <w:rPr>
                <w:rFonts w:eastAsia="Times New Roman"/>
                <w:b/>
                <w:bCs/>
                <w:color w:val="000000"/>
                <w:sz w:val="18"/>
                <w:szCs w:val="18"/>
                <w:lang w:eastAsia="hr-HR"/>
              </w:rPr>
              <w:t>976</w:t>
            </w:r>
          </w:p>
        </w:tc>
        <w:tc>
          <w:tcPr>
            <w:tcW w:w="708" w:type="dxa"/>
            <w:shd w:val="clear" w:color="auto" w:fill="auto"/>
            <w:vAlign w:val="center"/>
          </w:tcPr>
          <w:p w14:paraId="16EE9199" w14:textId="40CBBEAB" w:rsidR="00DB79D5" w:rsidRPr="001B4CA2" w:rsidRDefault="00DB79D5" w:rsidP="00DB79D5">
            <w:pPr>
              <w:jc w:val="center"/>
              <w:rPr>
                <w:rFonts w:eastAsia="Times New Roman"/>
                <w:b/>
                <w:bCs/>
                <w:sz w:val="18"/>
                <w:szCs w:val="18"/>
                <w:lang w:eastAsia="hr-HR"/>
              </w:rPr>
            </w:pPr>
            <w:r w:rsidRPr="001B4CA2">
              <w:rPr>
                <w:rFonts w:eastAsia="Times New Roman"/>
                <w:b/>
                <w:bCs/>
                <w:color w:val="000000"/>
                <w:sz w:val="18"/>
                <w:szCs w:val="18"/>
                <w:lang w:eastAsia="hr-HR"/>
              </w:rPr>
              <w:t>3.</w:t>
            </w:r>
            <w:r w:rsidR="00501212" w:rsidRPr="001B4CA2">
              <w:rPr>
                <w:rFonts w:eastAsia="Times New Roman"/>
                <w:b/>
                <w:bCs/>
                <w:color w:val="000000"/>
                <w:sz w:val="18"/>
                <w:szCs w:val="18"/>
                <w:lang w:eastAsia="hr-HR"/>
              </w:rPr>
              <w:t>907</w:t>
            </w:r>
          </w:p>
        </w:tc>
      </w:tr>
    </w:tbl>
    <w:p w14:paraId="4425B7DD" w14:textId="77777777" w:rsidR="003A7F16" w:rsidRPr="001B4CA2" w:rsidRDefault="003A7F16" w:rsidP="003A7F16"/>
    <w:p w14:paraId="788FC0A7" w14:textId="4079277F" w:rsidR="00501212" w:rsidRPr="001B4CA2" w:rsidRDefault="005B2800" w:rsidP="00501212">
      <w:r w:rsidRPr="001B4CA2">
        <w:tab/>
      </w:r>
      <w:r w:rsidR="00501212" w:rsidRPr="001B4CA2">
        <w:t xml:space="preserve">Tijekom 2022. godine u radu </w:t>
      </w:r>
      <w:r w:rsidR="00753708">
        <w:t>su</w:t>
      </w:r>
      <w:r w:rsidR="00501212" w:rsidRPr="001B4CA2">
        <w:t xml:space="preserve"> bil</w:t>
      </w:r>
      <w:r w:rsidR="00753708">
        <w:t>a</w:t>
      </w:r>
      <w:r w:rsidR="00501212" w:rsidRPr="001B4CA2">
        <w:t xml:space="preserve"> ukupno 12.883 istraživanja, od čega je u 2022. godini otvoreno 9.757 istraživanja, dok je iz prethodnih razdoblja ostalo u radu 3.126 istraživanja. Pritom je tijekom 2022. godine dovršeno 8.976 istraživanja, odnosno 69,7</w:t>
      </w:r>
      <w:r w:rsidR="00753708">
        <w:t> </w:t>
      </w:r>
      <w:r w:rsidR="00501212" w:rsidRPr="001B4CA2">
        <w:t>%.</w:t>
      </w:r>
    </w:p>
    <w:p w14:paraId="3DDEB7E3" w14:textId="77777777" w:rsidR="00501212" w:rsidRPr="001B4CA2" w:rsidRDefault="00501212" w:rsidP="00501212"/>
    <w:p w14:paraId="244144A0" w14:textId="1BC7BDBD" w:rsidR="00501212" w:rsidRPr="001B4CA2" w:rsidRDefault="005B2800" w:rsidP="00501212">
      <w:r w:rsidRPr="001B4CA2">
        <w:tab/>
      </w:r>
      <w:r w:rsidR="00501212" w:rsidRPr="001B4CA2">
        <w:t>N</w:t>
      </w:r>
      <w:r w:rsidR="00501212" w:rsidRPr="001B4CA2">
        <w:rPr>
          <w:bCs/>
        </w:rPr>
        <w:t>akon dovršenog istraživanja, prema strukturi odluka, u 73,2</w:t>
      </w:r>
      <w:r w:rsidR="00753708">
        <w:t> </w:t>
      </w:r>
      <w:r w:rsidR="00501212" w:rsidRPr="001B4CA2">
        <w:rPr>
          <w:bCs/>
        </w:rPr>
        <w:t xml:space="preserve">% predmeta </w:t>
      </w:r>
      <w:r w:rsidR="00753708" w:rsidRPr="001B4CA2">
        <w:rPr>
          <w:bCs/>
        </w:rPr>
        <w:t xml:space="preserve">podignuta </w:t>
      </w:r>
      <w:r w:rsidR="00501212" w:rsidRPr="001B4CA2">
        <w:rPr>
          <w:bCs/>
        </w:rPr>
        <w:t xml:space="preserve">je optužnica, a kaznena je </w:t>
      </w:r>
      <w:r w:rsidR="00753708" w:rsidRPr="001B4CA2">
        <w:rPr>
          <w:bCs/>
        </w:rPr>
        <w:t xml:space="preserve">prijava </w:t>
      </w:r>
      <w:r w:rsidR="00501212" w:rsidRPr="001B4CA2">
        <w:rPr>
          <w:bCs/>
        </w:rPr>
        <w:t>odbačena u 22,8</w:t>
      </w:r>
      <w:r w:rsidR="00753708">
        <w:t> </w:t>
      </w:r>
      <w:r w:rsidR="00501212" w:rsidRPr="001B4CA2">
        <w:rPr>
          <w:bCs/>
        </w:rPr>
        <w:t xml:space="preserve">% predmeta. Na drugi način </w:t>
      </w:r>
      <w:r w:rsidR="00753708" w:rsidRPr="001B4CA2">
        <w:rPr>
          <w:bCs/>
        </w:rPr>
        <w:t xml:space="preserve">riješeno </w:t>
      </w:r>
      <w:r w:rsidR="00501212" w:rsidRPr="001B4CA2">
        <w:rPr>
          <w:bCs/>
        </w:rPr>
        <w:t>je 2,6</w:t>
      </w:r>
      <w:r w:rsidR="00753708">
        <w:rPr>
          <w:bCs/>
        </w:rPr>
        <w:t> </w:t>
      </w:r>
      <w:r w:rsidR="00501212" w:rsidRPr="001B4CA2">
        <w:rPr>
          <w:bCs/>
        </w:rPr>
        <w:t>% prijava, prijedlog za izricanje maloljetničke sankcije podnesen je u odnosu na 1</w:t>
      </w:r>
      <w:r w:rsidR="00753708">
        <w:t> </w:t>
      </w:r>
      <w:r w:rsidR="00501212" w:rsidRPr="001B4CA2">
        <w:rPr>
          <w:bCs/>
        </w:rPr>
        <w:t>% prijava, dok je ustupljeno 0,4</w:t>
      </w:r>
      <w:r w:rsidR="00753708">
        <w:t> </w:t>
      </w:r>
      <w:r w:rsidR="00501212" w:rsidRPr="001B4CA2">
        <w:rPr>
          <w:bCs/>
        </w:rPr>
        <w:t>% prijava.</w:t>
      </w:r>
    </w:p>
    <w:p w14:paraId="69119B8C" w14:textId="77777777" w:rsidR="001B4CA2" w:rsidRDefault="001B4CA2" w:rsidP="005B2800"/>
    <w:p w14:paraId="59C8DA48" w14:textId="6363F17A" w:rsidR="001B4CA2" w:rsidRDefault="001B4CA2" w:rsidP="008A0EAF">
      <w:r>
        <w:rPr>
          <w:rFonts w:eastAsia="Calibri"/>
          <w:color w:val="000000"/>
        </w:rPr>
        <w:tab/>
      </w:r>
      <w:r w:rsidR="00501212" w:rsidRPr="001B4CA2">
        <w:rPr>
          <w:rFonts w:eastAsia="Calibri"/>
          <w:color w:val="000000"/>
        </w:rPr>
        <w:t xml:space="preserve">Ako ukupan broja odluka koje su povodom kaznene prijave donijela općinska državna odvjetništva u 2022. godini (34.187 odluka) umanjimo za broj otvorenih istraživanja (9.546), a potom dodamo broj odluka nakon dovršenog istraživanja </w:t>
      </w:r>
      <w:r w:rsidR="00501212" w:rsidRPr="001B4CA2">
        <w:rPr>
          <w:rFonts w:eastAsia="Calibri"/>
          <w:color w:val="000000"/>
        </w:rPr>
        <w:lastRenderedPageBreak/>
        <w:t xml:space="preserve">(8.976 odluka), proizlazi da su općinska državna odvjetništva tijekom 2022. godine </w:t>
      </w:r>
      <w:r w:rsidR="00501212" w:rsidRPr="001B4CA2">
        <w:rPr>
          <w:rFonts w:eastAsia="Calibri"/>
          <w:snapToGrid w:val="0"/>
          <w:color w:val="000000"/>
        </w:rPr>
        <w:t>riješila 33.617 prijava.</w:t>
      </w:r>
      <w:r w:rsidR="00501212" w:rsidRPr="001B4CA2">
        <w:t xml:space="preserve"> </w:t>
      </w:r>
      <w:r w:rsidR="00753708">
        <w:t>Sukladno</w:t>
      </w:r>
      <w:r w:rsidR="00501212" w:rsidRPr="001B4CA2">
        <w:t xml:space="preserve"> navedenom</w:t>
      </w:r>
      <w:r w:rsidR="00753708">
        <w:t>e</w:t>
      </w:r>
      <w:r w:rsidR="00501212" w:rsidRPr="001B4CA2">
        <w:t>, da bismo dobili ukupan broj rješenja o odbačaju koja su tijekom 2022. godine donijela općinska državna odvjetništva, rješenjima o odbačaju kaznene prijave donesenim</w:t>
      </w:r>
      <w:r w:rsidR="00753708">
        <w:t>a</w:t>
      </w:r>
      <w:r w:rsidR="00501212" w:rsidRPr="001B4CA2">
        <w:t xml:space="preserve"> povodom kaznene prijave (10.135) potrebno je pribrojiti rješenja o odbačaju kaznene prijave donesena nakon dovršenog istraživanja (2.047), iz čega je </w:t>
      </w:r>
      <w:r w:rsidR="00753708">
        <w:t>razvidno</w:t>
      </w:r>
      <w:r w:rsidR="00501212" w:rsidRPr="001B4CA2">
        <w:t xml:space="preserve"> da su tijekom 2022. godine općinska državna odvjetništva donijela sveukupno 12.182 rješenja o odbačaju.</w:t>
      </w:r>
    </w:p>
    <w:p w14:paraId="69D0A908" w14:textId="77777777" w:rsidR="001B4CA2" w:rsidRDefault="001B4CA2" w:rsidP="008A0EAF"/>
    <w:p w14:paraId="6A72C10F" w14:textId="77777777" w:rsidR="00542189" w:rsidRPr="001B4CA2" w:rsidRDefault="00BB4D48" w:rsidP="00BF29FF">
      <w:pPr>
        <w:pStyle w:val="Naslov4"/>
        <w:tabs>
          <w:tab w:val="left" w:pos="993"/>
        </w:tabs>
        <w:ind w:left="284" w:firstLine="0"/>
        <w:rPr>
          <w:rFonts w:ascii="Arial" w:hAnsi="Arial" w:cs="Arial"/>
        </w:rPr>
      </w:pPr>
      <w:bookmarkStart w:id="54" w:name="_Toc133394314"/>
      <w:r w:rsidRPr="001B4CA2">
        <w:rPr>
          <w:rFonts w:ascii="Arial" w:hAnsi="Arial" w:cs="Arial"/>
        </w:rPr>
        <w:t xml:space="preserve">Istrage </w:t>
      </w:r>
      <w:r w:rsidR="00CE234E" w:rsidRPr="001B4CA2">
        <w:rPr>
          <w:rFonts w:ascii="Arial" w:hAnsi="Arial" w:cs="Arial"/>
        </w:rPr>
        <w:t>i odluke po dovršenoj istrazi</w:t>
      </w:r>
      <w:bookmarkEnd w:id="54"/>
    </w:p>
    <w:p w14:paraId="0677127C" w14:textId="2D444280" w:rsidR="005C4A9A" w:rsidRPr="001B4CA2" w:rsidRDefault="005C4A9A" w:rsidP="002718EF"/>
    <w:p w14:paraId="70BD34FD" w14:textId="60B56C5C" w:rsidR="00444773" w:rsidRPr="001B4CA2" w:rsidRDefault="00FB2B5D" w:rsidP="0010371F">
      <w:pPr>
        <w:ind w:left="142"/>
      </w:pPr>
      <w:r>
        <w:rPr>
          <w:i/>
        </w:rPr>
        <w:t xml:space="preserve"> </w:t>
      </w:r>
      <w:r w:rsidR="00F35978" w:rsidRPr="001B4CA2">
        <w:rPr>
          <w:i/>
        </w:rPr>
        <w:t>Odluke po dovršenoj istrazi (bez maloljetnih osoba</w:t>
      </w:r>
      <w:r w:rsidR="00F35978" w:rsidRPr="001B4CA2">
        <w:t>)</w:t>
      </w:r>
    </w:p>
    <w:tbl>
      <w:tblPr>
        <w:tblW w:w="8647"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932"/>
        <w:gridCol w:w="1164"/>
        <w:gridCol w:w="1165"/>
        <w:gridCol w:w="1164"/>
        <w:gridCol w:w="1165"/>
        <w:gridCol w:w="1165"/>
        <w:gridCol w:w="1041"/>
      </w:tblGrid>
      <w:tr w:rsidR="00532C41" w:rsidRPr="001B4CA2" w14:paraId="3C991700" w14:textId="77777777" w:rsidTr="00B53DA7">
        <w:trPr>
          <w:trHeight w:val="355"/>
        </w:trPr>
        <w:tc>
          <w:tcPr>
            <w:tcW w:w="851" w:type="dxa"/>
            <w:vMerge w:val="restart"/>
            <w:shd w:val="clear" w:color="auto" w:fill="99CCFF"/>
            <w:vAlign w:val="center"/>
            <w:hideMark/>
          </w:tcPr>
          <w:p w14:paraId="54C4C3BE" w14:textId="77777777" w:rsidR="00F35978" w:rsidRPr="001B4CA2" w:rsidRDefault="00F35978" w:rsidP="00F35978">
            <w:pPr>
              <w:jc w:val="center"/>
              <w:rPr>
                <w:rFonts w:eastAsia="Times New Roman"/>
                <w:b/>
                <w:sz w:val="18"/>
                <w:szCs w:val="18"/>
                <w:lang w:eastAsia="hr-HR"/>
              </w:rPr>
            </w:pPr>
            <w:r w:rsidRPr="001B4CA2">
              <w:rPr>
                <w:rFonts w:eastAsia="Times New Roman"/>
                <w:b/>
                <w:sz w:val="18"/>
                <w:szCs w:val="18"/>
                <w:lang w:eastAsia="hr-HR"/>
              </w:rPr>
              <w:t>Godina</w:t>
            </w:r>
          </w:p>
        </w:tc>
        <w:tc>
          <w:tcPr>
            <w:tcW w:w="932" w:type="dxa"/>
            <w:vMerge w:val="restart"/>
            <w:shd w:val="clear" w:color="auto" w:fill="99CCFF"/>
            <w:vAlign w:val="center"/>
            <w:hideMark/>
          </w:tcPr>
          <w:p w14:paraId="1B963C5F" w14:textId="77777777" w:rsidR="00F35978" w:rsidRPr="001B4CA2" w:rsidRDefault="00F35978" w:rsidP="00F35978">
            <w:pPr>
              <w:jc w:val="center"/>
              <w:rPr>
                <w:rFonts w:eastAsia="Times New Roman"/>
                <w:b/>
                <w:sz w:val="18"/>
                <w:szCs w:val="18"/>
                <w:lang w:eastAsia="hr-HR"/>
              </w:rPr>
            </w:pPr>
            <w:r w:rsidRPr="001B4CA2">
              <w:rPr>
                <w:rFonts w:eastAsia="Times New Roman"/>
                <w:b/>
                <w:sz w:val="18"/>
                <w:szCs w:val="18"/>
                <w:lang w:eastAsia="hr-HR"/>
              </w:rPr>
              <w:t>Ukupno u radu</w:t>
            </w:r>
          </w:p>
        </w:tc>
        <w:tc>
          <w:tcPr>
            <w:tcW w:w="5823" w:type="dxa"/>
            <w:gridSpan w:val="5"/>
            <w:shd w:val="clear" w:color="auto" w:fill="99CCFF"/>
            <w:noWrap/>
            <w:vAlign w:val="center"/>
            <w:hideMark/>
          </w:tcPr>
          <w:p w14:paraId="6D96D503" w14:textId="77777777" w:rsidR="00F35978" w:rsidRPr="001B4CA2" w:rsidRDefault="00F35978" w:rsidP="00BB2120">
            <w:pPr>
              <w:jc w:val="center"/>
              <w:rPr>
                <w:rFonts w:eastAsia="Times New Roman"/>
                <w:b/>
                <w:sz w:val="18"/>
                <w:szCs w:val="18"/>
                <w:lang w:eastAsia="hr-HR"/>
              </w:rPr>
            </w:pPr>
            <w:r w:rsidRPr="001B4CA2">
              <w:rPr>
                <w:rFonts w:eastAsia="Times New Roman"/>
                <w:b/>
                <w:sz w:val="18"/>
                <w:szCs w:val="18"/>
                <w:lang w:eastAsia="hr-HR"/>
              </w:rPr>
              <w:t>ODLUKE</w:t>
            </w:r>
          </w:p>
        </w:tc>
        <w:tc>
          <w:tcPr>
            <w:tcW w:w="1041" w:type="dxa"/>
            <w:vMerge w:val="restart"/>
            <w:shd w:val="clear" w:color="auto" w:fill="99CCFF"/>
            <w:noWrap/>
            <w:vAlign w:val="center"/>
            <w:hideMark/>
          </w:tcPr>
          <w:p w14:paraId="4E76BF63" w14:textId="77777777" w:rsidR="00F35978" w:rsidRPr="001B4CA2" w:rsidRDefault="00F35978" w:rsidP="00F35978">
            <w:pPr>
              <w:jc w:val="center"/>
              <w:rPr>
                <w:rFonts w:eastAsia="Times New Roman"/>
                <w:b/>
                <w:sz w:val="18"/>
                <w:szCs w:val="18"/>
                <w:lang w:eastAsia="hr-HR"/>
              </w:rPr>
            </w:pPr>
            <w:r w:rsidRPr="001B4CA2">
              <w:rPr>
                <w:rFonts w:eastAsia="Times New Roman"/>
                <w:b/>
                <w:sz w:val="18"/>
                <w:szCs w:val="18"/>
                <w:lang w:eastAsia="hr-HR"/>
              </w:rPr>
              <w:t>Ostalo u radu</w:t>
            </w:r>
          </w:p>
        </w:tc>
      </w:tr>
      <w:tr w:rsidR="00532C41" w:rsidRPr="001B4CA2" w14:paraId="4E166541" w14:textId="77777777" w:rsidTr="00B53DA7">
        <w:trPr>
          <w:trHeight w:val="692"/>
        </w:trPr>
        <w:tc>
          <w:tcPr>
            <w:tcW w:w="851" w:type="dxa"/>
            <w:vMerge/>
            <w:vAlign w:val="center"/>
            <w:hideMark/>
          </w:tcPr>
          <w:p w14:paraId="58143344" w14:textId="77777777" w:rsidR="00F35978" w:rsidRPr="001B4CA2" w:rsidRDefault="00F35978" w:rsidP="00F35978">
            <w:pPr>
              <w:jc w:val="left"/>
              <w:rPr>
                <w:rFonts w:eastAsia="Times New Roman"/>
                <w:sz w:val="18"/>
                <w:szCs w:val="18"/>
                <w:lang w:eastAsia="hr-HR"/>
              </w:rPr>
            </w:pPr>
          </w:p>
        </w:tc>
        <w:tc>
          <w:tcPr>
            <w:tcW w:w="932" w:type="dxa"/>
            <w:vMerge/>
            <w:vAlign w:val="center"/>
            <w:hideMark/>
          </w:tcPr>
          <w:p w14:paraId="19FF907F" w14:textId="77777777" w:rsidR="00F35978" w:rsidRPr="001B4CA2" w:rsidRDefault="00F35978" w:rsidP="00F35978">
            <w:pPr>
              <w:jc w:val="left"/>
              <w:rPr>
                <w:rFonts w:eastAsia="Times New Roman"/>
                <w:sz w:val="18"/>
                <w:szCs w:val="18"/>
                <w:lang w:eastAsia="hr-HR"/>
              </w:rPr>
            </w:pPr>
          </w:p>
        </w:tc>
        <w:tc>
          <w:tcPr>
            <w:tcW w:w="1164" w:type="dxa"/>
            <w:shd w:val="clear" w:color="auto" w:fill="99CCFF"/>
            <w:vAlign w:val="center"/>
            <w:hideMark/>
          </w:tcPr>
          <w:p w14:paraId="7C5714FA" w14:textId="77777777" w:rsidR="00F35978" w:rsidRPr="001B4CA2" w:rsidRDefault="00F35978" w:rsidP="00BB2120">
            <w:pPr>
              <w:jc w:val="center"/>
              <w:rPr>
                <w:rFonts w:eastAsia="Times New Roman"/>
                <w:b/>
                <w:sz w:val="18"/>
                <w:szCs w:val="18"/>
                <w:lang w:eastAsia="hr-HR"/>
              </w:rPr>
            </w:pPr>
            <w:r w:rsidRPr="001B4CA2">
              <w:rPr>
                <w:rFonts w:eastAsia="Times New Roman"/>
                <w:b/>
                <w:sz w:val="18"/>
                <w:szCs w:val="18"/>
                <w:lang w:eastAsia="hr-HR"/>
              </w:rPr>
              <w:t>Obustava</w:t>
            </w:r>
          </w:p>
        </w:tc>
        <w:tc>
          <w:tcPr>
            <w:tcW w:w="1165" w:type="dxa"/>
            <w:shd w:val="clear" w:color="auto" w:fill="99CCFF"/>
            <w:vAlign w:val="center"/>
            <w:hideMark/>
          </w:tcPr>
          <w:p w14:paraId="33CCA78B" w14:textId="77777777" w:rsidR="00F35978" w:rsidRPr="001B4CA2" w:rsidRDefault="00F35978" w:rsidP="00BB2120">
            <w:pPr>
              <w:jc w:val="center"/>
              <w:rPr>
                <w:rFonts w:eastAsia="Times New Roman"/>
                <w:b/>
                <w:sz w:val="18"/>
                <w:szCs w:val="18"/>
                <w:lang w:eastAsia="hr-HR"/>
              </w:rPr>
            </w:pPr>
            <w:r w:rsidRPr="001B4CA2">
              <w:rPr>
                <w:rFonts w:eastAsia="Times New Roman"/>
                <w:b/>
                <w:sz w:val="18"/>
                <w:szCs w:val="18"/>
                <w:lang w:eastAsia="hr-HR"/>
              </w:rPr>
              <w:t>Optužnica</w:t>
            </w:r>
          </w:p>
        </w:tc>
        <w:tc>
          <w:tcPr>
            <w:tcW w:w="1164" w:type="dxa"/>
            <w:shd w:val="clear" w:color="auto" w:fill="99CCFF"/>
            <w:vAlign w:val="center"/>
            <w:hideMark/>
          </w:tcPr>
          <w:p w14:paraId="4D44488D" w14:textId="77777777" w:rsidR="00F35978" w:rsidRPr="001B4CA2" w:rsidRDefault="00F35978" w:rsidP="00BB2120">
            <w:pPr>
              <w:jc w:val="center"/>
              <w:rPr>
                <w:rFonts w:eastAsia="Times New Roman"/>
                <w:b/>
                <w:sz w:val="18"/>
                <w:szCs w:val="18"/>
                <w:lang w:eastAsia="hr-HR"/>
              </w:rPr>
            </w:pPr>
            <w:r w:rsidRPr="001B4CA2">
              <w:rPr>
                <w:rFonts w:eastAsia="Times New Roman"/>
                <w:b/>
                <w:sz w:val="18"/>
                <w:szCs w:val="18"/>
                <w:lang w:eastAsia="hr-HR"/>
              </w:rPr>
              <w:t>Ustup</w:t>
            </w:r>
          </w:p>
        </w:tc>
        <w:tc>
          <w:tcPr>
            <w:tcW w:w="1165" w:type="dxa"/>
            <w:shd w:val="clear" w:color="auto" w:fill="99CCFF"/>
            <w:vAlign w:val="center"/>
            <w:hideMark/>
          </w:tcPr>
          <w:p w14:paraId="4FA026E2" w14:textId="77777777" w:rsidR="00F35978" w:rsidRPr="001B4CA2" w:rsidRDefault="00F35978" w:rsidP="00BB2120">
            <w:pPr>
              <w:jc w:val="center"/>
              <w:rPr>
                <w:rFonts w:eastAsia="Times New Roman"/>
                <w:b/>
                <w:sz w:val="18"/>
                <w:szCs w:val="18"/>
                <w:lang w:eastAsia="hr-HR"/>
              </w:rPr>
            </w:pPr>
            <w:r w:rsidRPr="001B4CA2">
              <w:rPr>
                <w:rFonts w:eastAsia="Times New Roman"/>
                <w:b/>
                <w:sz w:val="18"/>
                <w:szCs w:val="18"/>
                <w:lang w:eastAsia="hr-HR"/>
              </w:rPr>
              <w:t>Riješeno na drugi način</w:t>
            </w:r>
          </w:p>
        </w:tc>
        <w:tc>
          <w:tcPr>
            <w:tcW w:w="1165" w:type="dxa"/>
            <w:shd w:val="clear" w:color="auto" w:fill="99CCFF"/>
            <w:vAlign w:val="center"/>
            <w:hideMark/>
          </w:tcPr>
          <w:p w14:paraId="4E0087E3" w14:textId="77777777" w:rsidR="00F35978" w:rsidRPr="001B4CA2" w:rsidRDefault="00F35978" w:rsidP="00BB2120">
            <w:pPr>
              <w:jc w:val="center"/>
              <w:rPr>
                <w:rFonts w:eastAsia="Times New Roman"/>
                <w:b/>
                <w:sz w:val="18"/>
                <w:szCs w:val="18"/>
                <w:lang w:eastAsia="hr-HR"/>
              </w:rPr>
            </w:pPr>
            <w:r w:rsidRPr="001B4CA2">
              <w:rPr>
                <w:rFonts w:eastAsia="Times New Roman"/>
                <w:b/>
                <w:sz w:val="18"/>
                <w:szCs w:val="18"/>
                <w:lang w:eastAsia="hr-HR"/>
              </w:rPr>
              <w:t>Ukupno odluka</w:t>
            </w:r>
          </w:p>
        </w:tc>
        <w:tc>
          <w:tcPr>
            <w:tcW w:w="1041" w:type="dxa"/>
            <w:vMerge/>
            <w:vAlign w:val="center"/>
            <w:hideMark/>
          </w:tcPr>
          <w:p w14:paraId="0569FCDD" w14:textId="77777777" w:rsidR="00F35978" w:rsidRPr="001B4CA2" w:rsidRDefault="00F35978" w:rsidP="00F35978">
            <w:pPr>
              <w:jc w:val="left"/>
              <w:rPr>
                <w:rFonts w:eastAsia="Times New Roman"/>
                <w:sz w:val="18"/>
                <w:szCs w:val="18"/>
                <w:lang w:eastAsia="hr-HR"/>
              </w:rPr>
            </w:pPr>
          </w:p>
        </w:tc>
      </w:tr>
      <w:tr w:rsidR="00BC68C7" w:rsidRPr="001B4CA2" w14:paraId="5D32C46E" w14:textId="77777777" w:rsidTr="00B53DA7">
        <w:trPr>
          <w:trHeight w:val="338"/>
        </w:trPr>
        <w:tc>
          <w:tcPr>
            <w:tcW w:w="851" w:type="dxa"/>
            <w:shd w:val="clear" w:color="auto" w:fill="auto"/>
            <w:noWrap/>
            <w:vAlign w:val="center"/>
          </w:tcPr>
          <w:p w14:paraId="4C374694" w14:textId="11B61CBB" w:rsidR="00BC68C7" w:rsidRPr="001B4CA2" w:rsidRDefault="00BC68C7" w:rsidP="008378D1">
            <w:pPr>
              <w:jc w:val="center"/>
              <w:rPr>
                <w:rFonts w:eastAsia="Times New Roman"/>
                <w:sz w:val="18"/>
                <w:szCs w:val="18"/>
                <w:lang w:eastAsia="hr-HR"/>
              </w:rPr>
            </w:pPr>
            <w:r w:rsidRPr="001B4CA2">
              <w:rPr>
                <w:rFonts w:eastAsia="Times New Roman"/>
                <w:sz w:val="18"/>
                <w:szCs w:val="18"/>
                <w:lang w:eastAsia="hr-HR"/>
              </w:rPr>
              <w:t>201</w:t>
            </w:r>
            <w:r w:rsidR="00501212" w:rsidRPr="001B4CA2">
              <w:rPr>
                <w:rFonts w:eastAsia="Times New Roman"/>
                <w:sz w:val="18"/>
                <w:szCs w:val="18"/>
                <w:lang w:eastAsia="hr-HR"/>
              </w:rPr>
              <w:t>8</w:t>
            </w:r>
            <w:r w:rsidRPr="001B4CA2">
              <w:rPr>
                <w:rFonts w:eastAsia="Times New Roman"/>
                <w:sz w:val="18"/>
                <w:szCs w:val="18"/>
                <w:lang w:eastAsia="hr-HR"/>
              </w:rPr>
              <w:t>.</w:t>
            </w:r>
          </w:p>
        </w:tc>
        <w:tc>
          <w:tcPr>
            <w:tcW w:w="932" w:type="dxa"/>
            <w:shd w:val="clear" w:color="auto" w:fill="auto"/>
            <w:noWrap/>
            <w:vAlign w:val="center"/>
          </w:tcPr>
          <w:p w14:paraId="7F9B7F0B" w14:textId="759183FE" w:rsidR="00BC68C7" w:rsidRPr="001B4CA2" w:rsidRDefault="00BC68C7" w:rsidP="00BB2120">
            <w:pPr>
              <w:jc w:val="center"/>
              <w:rPr>
                <w:rFonts w:eastAsia="Times New Roman"/>
                <w:sz w:val="18"/>
                <w:szCs w:val="18"/>
                <w:lang w:eastAsia="hr-HR"/>
              </w:rPr>
            </w:pPr>
          </w:p>
        </w:tc>
        <w:tc>
          <w:tcPr>
            <w:tcW w:w="1164" w:type="dxa"/>
            <w:shd w:val="clear" w:color="auto" w:fill="auto"/>
            <w:noWrap/>
            <w:vAlign w:val="center"/>
          </w:tcPr>
          <w:p w14:paraId="0B65BCB0" w14:textId="245411FC"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302</w:t>
            </w:r>
          </w:p>
        </w:tc>
        <w:tc>
          <w:tcPr>
            <w:tcW w:w="1165" w:type="dxa"/>
            <w:shd w:val="clear" w:color="auto" w:fill="auto"/>
            <w:noWrap/>
            <w:vAlign w:val="center"/>
          </w:tcPr>
          <w:p w14:paraId="590470CC" w14:textId="221B6737" w:rsidR="00BC68C7" w:rsidRPr="001B4CA2" w:rsidRDefault="00BC68C7" w:rsidP="00BB2120">
            <w:pPr>
              <w:jc w:val="center"/>
              <w:rPr>
                <w:rFonts w:eastAsia="Times New Roman"/>
                <w:sz w:val="18"/>
                <w:szCs w:val="18"/>
                <w:lang w:eastAsia="hr-HR"/>
              </w:rPr>
            </w:pPr>
            <w:r w:rsidRPr="001B4CA2">
              <w:rPr>
                <w:rFonts w:eastAsia="Times New Roman"/>
                <w:sz w:val="18"/>
                <w:szCs w:val="18"/>
                <w:lang w:eastAsia="hr-HR"/>
              </w:rPr>
              <w:t>2.</w:t>
            </w:r>
            <w:r w:rsidR="00501212" w:rsidRPr="001B4CA2">
              <w:rPr>
                <w:rFonts w:eastAsia="Times New Roman"/>
                <w:sz w:val="18"/>
                <w:szCs w:val="18"/>
                <w:lang w:eastAsia="hr-HR"/>
              </w:rPr>
              <w:t>251</w:t>
            </w:r>
          </w:p>
        </w:tc>
        <w:tc>
          <w:tcPr>
            <w:tcW w:w="1164" w:type="dxa"/>
            <w:shd w:val="clear" w:color="auto" w:fill="auto"/>
            <w:noWrap/>
            <w:vAlign w:val="center"/>
          </w:tcPr>
          <w:p w14:paraId="1A68192E" w14:textId="6A81AB12" w:rsidR="00BC68C7" w:rsidRPr="001B4CA2" w:rsidRDefault="00BC68C7" w:rsidP="00BB2120">
            <w:pPr>
              <w:jc w:val="center"/>
              <w:rPr>
                <w:rFonts w:eastAsia="Times New Roman"/>
                <w:sz w:val="18"/>
                <w:szCs w:val="18"/>
                <w:lang w:eastAsia="hr-HR"/>
              </w:rPr>
            </w:pPr>
          </w:p>
        </w:tc>
        <w:tc>
          <w:tcPr>
            <w:tcW w:w="1165" w:type="dxa"/>
            <w:shd w:val="clear" w:color="auto" w:fill="auto"/>
            <w:noWrap/>
            <w:vAlign w:val="center"/>
          </w:tcPr>
          <w:p w14:paraId="269AAFBC" w14:textId="7FEBD76F"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91</w:t>
            </w:r>
          </w:p>
        </w:tc>
        <w:tc>
          <w:tcPr>
            <w:tcW w:w="1165" w:type="dxa"/>
            <w:shd w:val="clear" w:color="auto" w:fill="auto"/>
            <w:noWrap/>
            <w:vAlign w:val="center"/>
          </w:tcPr>
          <w:p w14:paraId="175497B7" w14:textId="69F00AFD" w:rsidR="00BC68C7" w:rsidRPr="001B4CA2" w:rsidRDefault="00BC68C7" w:rsidP="00BB2120">
            <w:pPr>
              <w:jc w:val="center"/>
              <w:rPr>
                <w:rFonts w:eastAsia="Times New Roman"/>
                <w:sz w:val="18"/>
                <w:szCs w:val="18"/>
                <w:lang w:eastAsia="hr-HR"/>
              </w:rPr>
            </w:pPr>
            <w:r w:rsidRPr="001B4CA2">
              <w:rPr>
                <w:rFonts w:eastAsia="Times New Roman"/>
                <w:sz w:val="18"/>
                <w:szCs w:val="18"/>
                <w:lang w:eastAsia="hr-HR"/>
              </w:rPr>
              <w:t>2.</w:t>
            </w:r>
            <w:r w:rsidR="00501212" w:rsidRPr="001B4CA2">
              <w:rPr>
                <w:rFonts w:eastAsia="Times New Roman"/>
                <w:sz w:val="18"/>
                <w:szCs w:val="18"/>
                <w:lang w:eastAsia="hr-HR"/>
              </w:rPr>
              <w:t>644</w:t>
            </w:r>
          </w:p>
        </w:tc>
        <w:tc>
          <w:tcPr>
            <w:tcW w:w="1041" w:type="dxa"/>
            <w:shd w:val="clear" w:color="auto" w:fill="auto"/>
            <w:noWrap/>
            <w:vAlign w:val="center"/>
          </w:tcPr>
          <w:p w14:paraId="234D07D9" w14:textId="0B8CBEDD" w:rsidR="00BC68C7" w:rsidRPr="001B4CA2" w:rsidRDefault="00BC68C7" w:rsidP="00BB2120">
            <w:pPr>
              <w:jc w:val="center"/>
              <w:rPr>
                <w:rFonts w:eastAsia="Times New Roman"/>
                <w:sz w:val="18"/>
                <w:szCs w:val="18"/>
                <w:lang w:eastAsia="hr-HR"/>
              </w:rPr>
            </w:pPr>
          </w:p>
        </w:tc>
      </w:tr>
      <w:tr w:rsidR="00BC68C7" w:rsidRPr="001B4CA2" w14:paraId="19340064" w14:textId="77777777" w:rsidTr="00B53DA7">
        <w:trPr>
          <w:trHeight w:val="338"/>
        </w:trPr>
        <w:tc>
          <w:tcPr>
            <w:tcW w:w="851" w:type="dxa"/>
            <w:shd w:val="clear" w:color="auto" w:fill="auto"/>
            <w:noWrap/>
            <w:vAlign w:val="center"/>
            <w:hideMark/>
          </w:tcPr>
          <w:p w14:paraId="7FA69D6D" w14:textId="42FA3F55" w:rsidR="00BC68C7" w:rsidRPr="001B4CA2" w:rsidRDefault="00BC68C7" w:rsidP="008378D1">
            <w:pPr>
              <w:jc w:val="center"/>
              <w:rPr>
                <w:rFonts w:eastAsia="Times New Roman"/>
                <w:sz w:val="18"/>
                <w:szCs w:val="18"/>
                <w:lang w:eastAsia="hr-HR"/>
              </w:rPr>
            </w:pPr>
            <w:r w:rsidRPr="001B4CA2">
              <w:rPr>
                <w:rFonts w:eastAsia="Times New Roman"/>
                <w:sz w:val="18"/>
                <w:szCs w:val="18"/>
                <w:lang w:eastAsia="hr-HR"/>
              </w:rPr>
              <w:t>201</w:t>
            </w:r>
            <w:r w:rsidR="00501212" w:rsidRPr="001B4CA2">
              <w:rPr>
                <w:rFonts w:eastAsia="Times New Roman"/>
                <w:sz w:val="18"/>
                <w:szCs w:val="18"/>
                <w:lang w:eastAsia="hr-HR"/>
              </w:rPr>
              <w:t>9</w:t>
            </w:r>
            <w:r w:rsidRPr="001B4CA2">
              <w:rPr>
                <w:rFonts w:eastAsia="Times New Roman"/>
                <w:sz w:val="18"/>
                <w:szCs w:val="18"/>
                <w:lang w:eastAsia="hr-HR"/>
              </w:rPr>
              <w:t>.</w:t>
            </w:r>
          </w:p>
        </w:tc>
        <w:tc>
          <w:tcPr>
            <w:tcW w:w="932" w:type="dxa"/>
            <w:shd w:val="clear" w:color="auto" w:fill="auto"/>
            <w:noWrap/>
            <w:vAlign w:val="center"/>
            <w:hideMark/>
          </w:tcPr>
          <w:p w14:paraId="35F26D43" w14:textId="3182D849" w:rsidR="00BC68C7" w:rsidRPr="001B4CA2" w:rsidRDefault="00BC68C7" w:rsidP="00BB2120">
            <w:pPr>
              <w:jc w:val="center"/>
              <w:rPr>
                <w:rFonts w:eastAsia="Times New Roman"/>
                <w:sz w:val="18"/>
                <w:szCs w:val="18"/>
                <w:lang w:eastAsia="hr-HR"/>
              </w:rPr>
            </w:pPr>
          </w:p>
        </w:tc>
        <w:tc>
          <w:tcPr>
            <w:tcW w:w="1164" w:type="dxa"/>
            <w:shd w:val="clear" w:color="auto" w:fill="auto"/>
            <w:noWrap/>
            <w:vAlign w:val="center"/>
            <w:hideMark/>
          </w:tcPr>
          <w:p w14:paraId="30567730" w14:textId="42E27DCD"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303</w:t>
            </w:r>
          </w:p>
        </w:tc>
        <w:tc>
          <w:tcPr>
            <w:tcW w:w="1165" w:type="dxa"/>
            <w:shd w:val="clear" w:color="auto" w:fill="auto"/>
            <w:noWrap/>
            <w:vAlign w:val="center"/>
            <w:hideMark/>
          </w:tcPr>
          <w:p w14:paraId="002729BC" w14:textId="7575E856" w:rsidR="00BC68C7" w:rsidRPr="001B4CA2" w:rsidRDefault="00BC68C7" w:rsidP="00BB2120">
            <w:pPr>
              <w:jc w:val="center"/>
              <w:rPr>
                <w:rFonts w:eastAsia="Times New Roman"/>
                <w:sz w:val="18"/>
                <w:szCs w:val="18"/>
                <w:lang w:eastAsia="hr-HR"/>
              </w:rPr>
            </w:pPr>
            <w:r w:rsidRPr="001B4CA2">
              <w:rPr>
                <w:rFonts w:eastAsia="Times New Roman"/>
                <w:sz w:val="18"/>
                <w:szCs w:val="18"/>
                <w:lang w:eastAsia="hr-HR"/>
              </w:rPr>
              <w:t>2.</w:t>
            </w:r>
            <w:r w:rsidR="00501212" w:rsidRPr="001B4CA2">
              <w:rPr>
                <w:rFonts w:eastAsia="Times New Roman"/>
                <w:sz w:val="18"/>
                <w:szCs w:val="18"/>
                <w:lang w:eastAsia="hr-HR"/>
              </w:rPr>
              <w:t>529</w:t>
            </w:r>
          </w:p>
        </w:tc>
        <w:tc>
          <w:tcPr>
            <w:tcW w:w="1164" w:type="dxa"/>
            <w:shd w:val="clear" w:color="auto" w:fill="auto"/>
            <w:noWrap/>
            <w:vAlign w:val="center"/>
            <w:hideMark/>
          </w:tcPr>
          <w:p w14:paraId="7978B4BC" w14:textId="03B0449C" w:rsidR="00BC68C7" w:rsidRPr="001B4CA2" w:rsidRDefault="00BC68C7" w:rsidP="00BB2120">
            <w:pPr>
              <w:jc w:val="center"/>
              <w:rPr>
                <w:rFonts w:eastAsia="Times New Roman"/>
                <w:sz w:val="18"/>
                <w:szCs w:val="18"/>
                <w:lang w:eastAsia="hr-HR"/>
              </w:rPr>
            </w:pPr>
          </w:p>
        </w:tc>
        <w:tc>
          <w:tcPr>
            <w:tcW w:w="1165" w:type="dxa"/>
            <w:shd w:val="clear" w:color="auto" w:fill="auto"/>
            <w:noWrap/>
            <w:vAlign w:val="center"/>
            <w:hideMark/>
          </w:tcPr>
          <w:p w14:paraId="26BA8D48" w14:textId="10DAE376"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149</w:t>
            </w:r>
          </w:p>
        </w:tc>
        <w:tc>
          <w:tcPr>
            <w:tcW w:w="1165" w:type="dxa"/>
            <w:shd w:val="clear" w:color="auto" w:fill="auto"/>
            <w:noWrap/>
            <w:vAlign w:val="center"/>
            <w:hideMark/>
          </w:tcPr>
          <w:p w14:paraId="5DCAC41E" w14:textId="229AF6C9" w:rsidR="00BC68C7" w:rsidRPr="001B4CA2" w:rsidRDefault="00BC68C7" w:rsidP="00BB2120">
            <w:pPr>
              <w:jc w:val="center"/>
              <w:rPr>
                <w:rFonts w:eastAsia="Times New Roman"/>
                <w:sz w:val="18"/>
                <w:szCs w:val="18"/>
                <w:lang w:eastAsia="hr-HR"/>
              </w:rPr>
            </w:pPr>
            <w:r w:rsidRPr="001B4CA2">
              <w:rPr>
                <w:rFonts w:eastAsia="Times New Roman"/>
                <w:sz w:val="18"/>
                <w:szCs w:val="18"/>
                <w:lang w:eastAsia="hr-HR"/>
              </w:rPr>
              <w:t>2.</w:t>
            </w:r>
            <w:r w:rsidR="00501212" w:rsidRPr="001B4CA2">
              <w:rPr>
                <w:rFonts w:eastAsia="Times New Roman"/>
                <w:sz w:val="18"/>
                <w:szCs w:val="18"/>
                <w:lang w:eastAsia="hr-HR"/>
              </w:rPr>
              <w:t>981</w:t>
            </w:r>
          </w:p>
        </w:tc>
        <w:tc>
          <w:tcPr>
            <w:tcW w:w="1041" w:type="dxa"/>
            <w:shd w:val="clear" w:color="auto" w:fill="auto"/>
            <w:noWrap/>
            <w:vAlign w:val="center"/>
            <w:hideMark/>
          </w:tcPr>
          <w:p w14:paraId="46D29F3F" w14:textId="1C44D137" w:rsidR="00BC68C7" w:rsidRPr="001B4CA2" w:rsidRDefault="00BC68C7" w:rsidP="00BB2120">
            <w:pPr>
              <w:jc w:val="center"/>
              <w:rPr>
                <w:rFonts w:eastAsia="Times New Roman"/>
                <w:sz w:val="18"/>
                <w:szCs w:val="18"/>
                <w:lang w:eastAsia="hr-HR"/>
              </w:rPr>
            </w:pPr>
          </w:p>
        </w:tc>
      </w:tr>
      <w:tr w:rsidR="00BC68C7" w:rsidRPr="001B4CA2" w14:paraId="3D6E0C07" w14:textId="77777777" w:rsidTr="00B53DA7">
        <w:trPr>
          <w:trHeight w:val="338"/>
        </w:trPr>
        <w:tc>
          <w:tcPr>
            <w:tcW w:w="851" w:type="dxa"/>
            <w:shd w:val="clear" w:color="auto" w:fill="auto"/>
            <w:noWrap/>
            <w:vAlign w:val="center"/>
            <w:hideMark/>
          </w:tcPr>
          <w:p w14:paraId="7AFFC142" w14:textId="34866796" w:rsidR="00BC68C7" w:rsidRPr="001B4CA2" w:rsidRDefault="00BC68C7" w:rsidP="008378D1">
            <w:pPr>
              <w:jc w:val="center"/>
              <w:rPr>
                <w:rFonts w:eastAsia="Times New Roman"/>
                <w:sz w:val="18"/>
                <w:szCs w:val="18"/>
                <w:lang w:eastAsia="hr-HR"/>
              </w:rPr>
            </w:pPr>
            <w:r w:rsidRPr="001B4CA2">
              <w:rPr>
                <w:rFonts w:eastAsia="Times New Roman"/>
                <w:sz w:val="18"/>
                <w:szCs w:val="18"/>
                <w:lang w:eastAsia="hr-HR"/>
              </w:rPr>
              <w:t>20</w:t>
            </w:r>
            <w:r w:rsidR="00501212" w:rsidRPr="001B4CA2">
              <w:rPr>
                <w:rFonts w:eastAsia="Times New Roman"/>
                <w:sz w:val="18"/>
                <w:szCs w:val="18"/>
                <w:lang w:eastAsia="hr-HR"/>
              </w:rPr>
              <w:t>20</w:t>
            </w:r>
            <w:r w:rsidRPr="001B4CA2">
              <w:rPr>
                <w:rFonts w:eastAsia="Times New Roman"/>
                <w:sz w:val="18"/>
                <w:szCs w:val="18"/>
                <w:lang w:eastAsia="hr-HR"/>
              </w:rPr>
              <w:t>.</w:t>
            </w:r>
          </w:p>
        </w:tc>
        <w:tc>
          <w:tcPr>
            <w:tcW w:w="932" w:type="dxa"/>
            <w:shd w:val="clear" w:color="auto" w:fill="auto"/>
            <w:noWrap/>
            <w:vAlign w:val="center"/>
            <w:hideMark/>
          </w:tcPr>
          <w:p w14:paraId="40A60560" w14:textId="21E828CA"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4.377</w:t>
            </w:r>
          </w:p>
        </w:tc>
        <w:tc>
          <w:tcPr>
            <w:tcW w:w="1164" w:type="dxa"/>
            <w:shd w:val="clear" w:color="auto" w:fill="auto"/>
            <w:noWrap/>
            <w:vAlign w:val="center"/>
            <w:hideMark/>
          </w:tcPr>
          <w:p w14:paraId="3C290C37" w14:textId="5D6EE84B"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322</w:t>
            </w:r>
          </w:p>
        </w:tc>
        <w:tc>
          <w:tcPr>
            <w:tcW w:w="1165" w:type="dxa"/>
            <w:shd w:val="clear" w:color="auto" w:fill="auto"/>
            <w:noWrap/>
            <w:vAlign w:val="center"/>
            <w:hideMark/>
          </w:tcPr>
          <w:p w14:paraId="0DC679BE" w14:textId="421830B5" w:rsidR="00BC68C7" w:rsidRPr="001B4CA2" w:rsidRDefault="00BC68C7" w:rsidP="00BB2120">
            <w:pPr>
              <w:jc w:val="center"/>
              <w:rPr>
                <w:rFonts w:eastAsia="Times New Roman"/>
                <w:sz w:val="18"/>
                <w:szCs w:val="18"/>
                <w:lang w:eastAsia="hr-HR"/>
              </w:rPr>
            </w:pPr>
            <w:r w:rsidRPr="001B4CA2">
              <w:rPr>
                <w:rFonts w:eastAsia="Times New Roman"/>
                <w:sz w:val="18"/>
                <w:szCs w:val="18"/>
                <w:lang w:eastAsia="hr-HR"/>
              </w:rPr>
              <w:t>2.</w:t>
            </w:r>
            <w:r w:rsidR="00501212" w:rsidRPr="001B4CA2">
              <w:rPr>
                <w:rFonts w:eastAsia="Times New Roman"/>
                <w:sz w:val="18"/>
                <w:szCs w:val="18"/>
                <w:lang w:eastAsia="hr-HR"/>
              </w:rPr>
              <w:t>498</w:t>
            </w:r>
          </w:p>
        </w:tc>
        <w:tc>
          <w:tcPr>
            <w:tcW w:w="1164" w:type="dxa"/>
            <w:shd w:val="clear" w:color="auto" w:fill="auto"/>
            <w:noWrap/>
            <w:vAlign w:val="center"/>
            <w:hideMark/>
          </w:tcPr>
          <w:p w14:paraId="123926BF" w14:textId="16CB8375"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22</w:t>
            </w:r>
          </w:p>
        </w:tc>
        <w:tc>
          <w:tcPr>
            <w:tcW w:w="1165" w:type="dxa"/>
            <w:shd w:val="clear" w:color="auto" w:fill="auto"/>
            <w:noWrap/>
            <w:vAlign w:val="center"/>
            <w:hideMark/>
          </w:tcPr>
          <w:p w14:paraId="3590341F" w14:textId="49D0DF8E"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192</w:t>
            </w:r>
          </w:p>
        </w:tc>
        <w:tc>
          <w:tcPr>
            <w:tcW w:w="1165" w:type="dxa"/>
            <w:shd w:val="clear" w:color="auto" w:fill="auto"/>
            <w:noWrap/>
            <w:vAlign w:val="center"/>
            <w:hideMark/>
          </w:tcPr>
          <w:p w14:paraId="782C4EB8" w14:textId="1A9E9918"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3</w:t>
            </w:r>
            <w:r w:rsidR="00BC68C7" w:rsidRPr="001B4CA2">
              <w:rPr>
                <w:rFonts w:eastAsia="Times New Roman"/>
                <w:sz w:val="18"/>
                <w:szCs w:val="18"/>
                <w:lang w:eastAsia="hr-HR"/>
              </w:rPr>
              <w:t>.</w:t>
            </w:r>
            <w:r w:rsidRPr="001B4CA2">
              <w:rPr>
                <w:rFonts w:eastAsia="Times New Roman"/>
                <w:sz w:val="18"/>
                <w:szCs w:val="18"/>
                <w:lang w:eastAsia="hr-HR"/>
              </w:rPr>
              <w:t>034</w:t>
            </w:r>
          </w:p>
        </w:tc>
        <w:tc>
          <w:tcPr>
            <w:tcW w:w="1041" w:type="dxa"/>
            <w:shd w:val="clear" w:color="auto" w:fill="auto"/>
            <w:noWrap/>
            <w:vAlign w:val="center"/>
            <w:hideMark/>
          </w:tcPr>
          <w:p w14:paraId="56D4D14B" w14:textId="29833866"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1.343</w:t>
            </w:r>
          </w:p>
        </w:tc>
      </w:tr>
      <w:tr w:rsidR="00BC68C7" w:rsidRPr="001B4CA2" w14:paraId="7BB80DE2" w14:textId="77777777" w:rsidTr="00B53DA7">
        <w:trPr>
          <w:trHeight w:val="338"/>
        </w:trPr>
        <w:tc>
          <w:tcPr>
            <w:tcW w:w="851" w:type="dxa"/>
            <w:shd w:val="clear" w:color="auto" w:fill="auto"/>
            <w:noWrap/>
            <w:vAlign w:val="center"/>
            <w:hideMark/>
          </w:tcPr>
          <w:p w14:paraId="41D043F5" w14:textId="05ED7212" w:rsidR="00BC68C7" w:rsidRPr="001B4CA2" w:rsidRDefault="00BC68C7" w:rsidP="008378D1">
            <w:pPr>
              <w:jc w:val="center"/>
              <w:rPr>
                <w:rFonts w:eastAsia="Times New Roman"/>
                <w:sz w:val="18"/>
                <w:szCs w:val="18"/>
                <w:lang w:eastAsia="hr-HR"/>
              </w:rPr>
            </w:pPr>
            <w:r w:rsidRPr="001B4CA2">
              <w:rPr>
                <w:rFonts w:eastAsia="Times New Roman"/>
                <w:sz w:val="18"/>
                <w:szCs w:val="18"/>
                <w:lang w:eastAsia="hr-HR"/>
              </w:rPr>
              <w:t>202</w:t>
            </w:r>
            <w:r w:rsidR="00501212" w:rsidRPr="001B4CA2">
              <w:rPr>
                <w:rFonts w:eastAsia="Times New Roman"/>
                <w:sz w:val="18"/>
                <w:szCs w:val="18"/>
                <w:lang w:eastAsia="hr-HR"/>
              </w:rPr>
              <w:t>1</w:t>
            </w:r>
            <w:r w:rsidRPr="001B4CA2">
              <w:rPr>
                <w:rFonts w:eastAsia="Times New Roman"/>
                <w:sz w:val="18"/>
                <w:szCs w:val="18"/>
                <w:lang w:eastAsia="hr-HR"/>
              </w:rPr>
              <w:t>.</w:t>
            </w:r>
          </w:p>
        </w:tc>
        <w:tc>
          <w:tcPr>
            <w:tcW w:w="932" w:type="dxa"/>
            <w:shd w:val="clear" w:color="auto" w:fill="auto"/>
            <w:noWrap/>
            <w:vAlign w:val="center"/>
            <w:hideMark/>
          </w:tcPr>
          <w:p w14:paraId="6DCBD88E" w14:textId="132F9289" w:rsidR="00BC68C7" w:rsidRPr="001B4CA2" w:rsidRDefault="00BC68C7" w:rsidP="00BB2120">
            <w:pPr>
              <w:jc w:val="center"/>
              <w:rPr>
                <w:rFonts w:eastAsia="Times New Roman"/>
                <w:sz w:val="18"/>
                <w:szCs w:val="18"/>
                <w:lang w:eastAsia="hr-HR"/>
              </w:rPr>
            </w:pPr>
            <w:r w:rsidRPr="001B4CA2">
              <w:rPr>
                <w:rFonts w:eastAsia="Times New Roman"/>
                <w:sz w:val="18"/>
                <w:szCs w:val="18"/>
                <w:lang w:eastAsia="hr-HR"/>
              </w:rPr>
              <w:t>4.</w:t>
            </w:r>
            <w:r w:rsidR="00501212" w:rsidRPr="001B4CA2">
              <w:rPr>
                <w:rFonts w:eastAsia="Times New Roman"/>
                <w:sz w:val="18"/>
                <w:szCs w:val="18"/>
                <w:lang w:eastAsia="hr-HR"/>
              </w:rPr>
              <w:t>627</w:t>
            </w:r>
          </w:p>
        </w:tc>
        <w:tc>
          <w:tcPr>
            <w:tcW w:w="1164" w:type="dxa"/>
            <w:shd w:val="clear" w:color="auto" w:fill="auto"/>
            <w:noWrap/>
            <w:vAlign w:val="center"/>
            <w:hideMark/>
          </w:tcPr>
          <w:p w14:paraId="403FB586" w14:textId="04B93C02"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376</w:t>
            </w:r>
          </w:p>
        </w:tc>
        <w:tc>
          <w:tcPr>
            <w:tcW w:w="1165" w:type="dxa"/>
            <w:shd w:val="clear" w:color="auto" w:fill="auto"/>
            <w:noWrap/>
            <w:vAlign w:val="center"/>
            <w:hideMark/>
          </w:tcPr>
          <w:p w14:paraId="6723ABC5" w14:textId="242BB372" w:rsidR="00BC68C7" w:rsidRPr="001B4CA2" w:rsidRDefault="00BC68C7" w:rsidP="00BB2120">
            <w:pPr>
              <w:jc w:val="center"/>
              <w:rPr>
                <w:rFonts w:eastAsia="Times New Roman"/>
                <w:sz w:val="18"/>
                <w:szCs w:val="18"/>
                <w:lang w:eastAsia="hr-HR"/>
              </w:rPr>
            </w:pPr>
            <w:r w:rsidRPr="001B4CA2">
              <w:rPr>
                <w:rFonts w:eastAsia="Times New Roman"/>
                <w:sz w:val="18"/>
                <w:szCs w:val="18"/>
                <w:lang w:eastAsia="hr-HR"/>
              </w:rPr>
              <w:t>2.</w:t>
            </w:r>
            <w:r w:rsidR="00501212" w:rsidRPr="001B4CA2">
              <w:rPr>
                <w:rFonts w:eastAsia="Times New Roman"/>
                <w:sz w:val="18"/>
                <w:szCs w:val="18"/>
                <w:lang w:eastAsia="hr-HR"/>
              </w:rPr>
              <w:t>830</w:t>
            </w:r>
          </w:p>
        </w:tc>
        <w:tc>
          <w:tcPr>
            <w:tcW w:w="1164" w:type="dxa"/>
            <w:shd w:val="clear" w:color="auto" w:fill="auto"/>
            <w:noWrap/>
            <w:vAlign w:val="center"/>
            <w:hideMark/>
          </w:tcPr>
          <w:p w14:paraId="5E819974" w14:textId="3730A4C1"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33</w:t>
            </w:r>
          </w:p>
        </w:tc>
        <w:tc>
          <w:tcPr>
            <w:tcW w:w="1165" w:type="dxa"/>
            <w:shd w:val="clear" w:color="auto" w:fill="auto"/>
            <w:noWrap/>
            <w:vAlign w:val="center"/>
            <w:hideMark/>
          </w:tcPr>
          <w:p w14:paraId="2CE8DEC5" w14:textId="30B8AD9A"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57</w:t>
            </w:r>
          </w:p>
        </w:tc>
        <w:tc>
          <w:tcPr>
            <w:tcW w:w="1165" w:type="dxa"/>
            <w:shd w:val="clear" w:color="auto" w:fill="auto"/>
            <w:noWrap/>
            <w:vAlign w:val="center"/>
            <w:hideMark/>
          </w:tcPr>
          <w:p w14:paraId="7CB6E70E" w14:textId="6075F81F" w:rsidR="00BC68C7" w:rsidRPr="001B4CA2" w:rsidRDefault="00BC68C7" w:rsidP="00BB2120">
            <w:pPr>
              <w:jc w:val="center"/>
              <w:rPr>
                <w:rFonts w:eastAsia="Times New Roman"/>
                <w:sz w:val="18"/>
                <w:szCs w:val="18"/>
                <w:lang w:eastAsia="hr-HR"/>
              </w:rPr>
            </w:pPr>
            <w:r w:rsidRPr="001B4CA2">
              <w:rPr>
                <w:rFonts w:eastAsia="Times New Roman"/>
                <w:sz w:val="18"/>
                <w:szCs w:val="18"/>
                <w:lang w:eastAsia="hr-HR"/>
              </w:rPr>
              <w:t>3.</w:t>
            </w:r>
            <w:r w:rsidR="00501212" w:rsidRPr="001B4CA2">
              <w:rPr>
                <w:rFonts w:eastAsia="Times New Roman"/>
                <w:sz w:val="18"/>
                <w:szCs w:val="18"/>
                <w:lang w:eastAsia="hr-HR"/>
              </w:rPr>
              <w:t>296</w:t>
            </w:r>
          </w:p>
        </w:tc>
        <w:tc>
          <w:tcPr>
            <w:tcW w:w="1041" w:type="dxa"/>
            <w:shd w:val="clear" w:color="auto" w:fill="auto"/>
            <w:noWrap/>
            <w:vAlign w:val="center"/>
            <w:hideMark/>
          </w:tcPr>
          <w:p w14:paraId="0FCB0CD5" w14:textId="0DFD2A7B" w:rsidR="00BC68C7" w:rsidRPr="001B4CA2" w:rsidRDefault="00BC68C7" w:rsidP="00BB2120">
            <w:pPr>
              <w:jc w:val="center"/>
              <w:rPr>
                <w:rFonts w:eastAsia="Times New Roman"/>
                <w:sz w:val="18"/>
                <w:szCs w:val="18"/>
                <w:lang w:eastAsia="hr-HR"/>
              </w:rPr>
            </w:pPr>
            <w:r w:rsidRPr="001B4CA2">
              <w:rPr>
                <w:rFonts w:eastAsia="Times New Roman"/>
                <w:sz w:val="18"/>
                <w:szCs w:val="18"/>
                <w:lang w:eastAsia="hr-HR"/>
              </w:rPr>
              <w:t>1.</w:t>
            </w:r>
            <w:r w:rsidR="00501212" w:rsidRPr="001B4CA2">
              <w:rPr>
                <w:rFonts w:eastAsia="Times New Roman"/>
                <w:sz w:val="18"/>
                <w:szCs w:val="18"/>
                <w:lang w:eastAsia="hr-HR"/>
              </w:rPr>
              <w:t>331</w:t>
            </w:r>
          </w:p>
        </w:tc>
      </w:tr>
      <w:tr w:rsidR="00BC68C7" w:rsidRPr="001B4CA2" w14:paraId="04EA2442" w14:textId="77777777" w:rsidTr="00B53DA7">
        <w:trPr>
          <w:trHeight w:val="355"/>
        </w:trPr>
        <w:tc>
          <w:tcPr>
            <w:tcW w:w="851" w:type="dxa"/>
            <w:shd w:val="clear" w:color="auto" w:fill="auto"/>
            <w:noWrap/>
            <w:vAlign w:val="center"/>
          </w:tcPr>
          <w:p w14:paraId="5EF99461" w14:textId="3DC91F73" w:rsidR="00BC68C7" w:rsidRPr="001B4CA2" w:rsidRDefault="00BC68C7" w:rsidP="008378D1">
            <w:pPr>
              <w:jc w:val="center"/>
              <w:rPr>
                <w:rFonts w:eastAsia="Times New Roman"/>
                <w:sz w:val="18"/>
                <w:szCs w:val="18"/>
                <w:lang w:eastAsia="hr-HR"/>
              </w:rPr>
            </w:pPr>
            <w:r w:rsidRPr="001B4CA2">
              <w:rPr>
                <w:rFonts w:eastAsia="Times New Roman"/>
                <w:sz w:val="18"/>
                <w:szCs w:val="18"/>
                <w:lang w:eastAsia="hr-HR"/>
              </w:rPr>
              <w:t>202</w:t>
            </w:r>
            <w:r w:rsidR="00501212" w:rsidRPr="001B4CA2">
              <w:rPr>
                <w:rFonts w:eastAsia="Times New Roman"/>
                <w:sz w:val="18"/>
                <w:szCs w:val="18"/>
                <w:lang w:eastAsia="hr-HR"/>
              </w:rPr>
              <w:t>2</w:t>
            </w:r>
            <w:r w:rsidRPr="001B4CA2">
              <w:rPr>
                <w:rFonts w:eastAsia="Times New Roman"/>
                <w:sz w:val="18"/>
                <w:szCs w:val="18"/>
                <w:lang w:eastAsia="hr-HR"/>
              </w:rPr>
              <w:t>.</w:t>
            </w:r>
          </w:p>
        </w:tc>
        <w:tc>
          <w:tcPr>
            <w:tcW w:w="932" w:type="dxa"/>
            <w:shd w:val="clear" w:color="auto" w:fill="auto"/>
            <w:noWrap/>
            <w:vAlign w:val="center"/>
          </w:tcPr>
          <w:p w14:paraId="27BE420E" w14:textId="52F7621A" w:rsidR="00BC68C7" w:rsidRPr="001B4CA2" w:rsidRDefault="003A0BCE" w:rsidP="00BB2120">
            <w:pPr>
              <w:jc w:val="center"/>
              <w:rPr>
                <w:rFonts w:eastAsia="Times New Roman"/>
                <w:sz w:val="18"/>
                <w:szCs w:val="18"/>
                <w:lang w:eastAsia="hr-HR"/>
              </w:rPr>
            </w:pPr>
            <w:r w:rsidRPr="001B4CA2">
              <w:rPr>
                <w:rFonts w:eastAsia="Times New Roman"/>
                <w:sz w:val="18"/>
                <w:szCs w:val="18"/>
                <w:lang w:eastAsia="hr-HR"/>
              </w:rPr>
              <w:t>4.</w:t>
            </w:r>
            <w:r w:rsidR="00501212" w:rsidRPr="001B4CA2">
              <w:rPr>
                <w:rFonts w:eastAsia="Times New Roman"/>
                <w:sz w:val="18"/>
                <w:szCs w:val="18"/>
                <w:lang w:eastAsia="hr-HR"/>
              </w:rPr>
              <w:t>361</w:t>
            </w:r>
          </w:p>
        </w:tc>
        <w:tc>
          <w:tcPr>
            <w:tcW w:w="1164" w:type="dxa"/>
            <w:shd w:val="clear" w:color="auto" w:fill="auto"/>
            <w:noWrap/>
            <w:vAlign w:val="center"/>
          </w:tcPr>
          <w:p w14:paraId="48F8CD61" w14:textId="191B9977" w:rsidR="00BC68C7" w:rsidRPr="001B4CA2" w:rsidRDefault="003A0BCE" w:rsidP="00BB2120">
            <w:pPr>
              <w:jc w:val="center"/>
              <w:rPr>
                <w:rFonts w:eastAsia="Times New Roman"/>
                <w:sz w:val="18"/>
                <w:szCs w:val="18"/>
                <w:lang w:eastAsia="hr-HR"/>
              </w:rPr>
            </w:pPr>
            <w:r w:rsidRPr="001B4CA2">
              <w:rPr>
                <w:rFonts w:eastAsia="Times New Roman"/>
                <w:sz w:val="18"/>
                <w:szCs w:val="18"/>
                <w:lang w:eastAsia="hr-HR"/>
              </w:rPr>
              <w:t>3</w:t>
            </w:r>
            <w:r w:rsidR="00501212" w:rsidRPr="001B4CA2">
              <w:rPr>
                <w:rFonts w:eastAsia="Times New Roman"/>
                <w:sz w:val="18"/>
                <w:szCs w:val="18"/>
                <w:lang w:eastAsia="hr-HR"/>
              </w:rPr>
              <w:t>11</w:t>
            </w:r>
          </w:p>
        </w:tc>
        <w:tc>
          <w:tcPr>
            <w:tcW w:w="1165" w:type="dxa"/>
            <w:shd w:val="clear" w:color="auto" w:fill="auto"/>
            <w:noWrap/>
            <w:vAlign w:val="center"/>
          </w:tcPr>
          <w:p w14:paraId="0BEBE838" w14:textId="4E595E1C" w:rsidR="00BC68C7" w:rsidRPr="001B4CA2" w:rsidRDefault="003A0BCE" w:rsidP="00BB2120">
            <w:pPr>
              <w:jc w:val="center"/>
              <w:rPr>
                <w:rFonts w:eastAsia="Times New Roman"/>
                <w:sz w:val="18"/>
                <w:szCs w:val="18"/>
                <w:lang w:eastAsia="hr-HR"/>
              </w:rPr>
            </w:pPr>
            <w:r w:rsidRPr="001B4CA2">
              <w:rPr>
                <w:rFonts w:eastAsia="Times New Roman"/>
                <w:sz w:val="18"/>
                <w:szCs w:val="18"/>
                <w:lang w:eastAsia="hr-HR"/>
              </w:rPr>
              <w:t>2.</w:t>
            </w:r>
            <w:r w:rsidR="00501212" w:rsidRPr="001B4CA2">
              <w:rPr>
                <w:rFonts w:eastAsia="Times New Roman"/>
                <w:sz w:val="18"/>
                <w:szCs w:val="18"/>
                <w:lang w:eastAsia="hr-HR"/>
              </w:rPr>
              <w:t>699</w:t>
            </w:r>
          </w:p>
        </w:tc>
        <w:tc>
          <w:tcPr>
            <w:tcW w:w="1164" w:type="dxa"/>
            <w:shd w:val="clear" w:color="auto" w:fill="auto"/>
            <w:noWrap/>
            <w:vAlign w:val="center"/>
          </w:tcPr>
          <w:p w14:paraId="743867FC" w14:textId="1375BC14"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18</w:t>
            </w:r>
          </w:p>
        </w:tc>
        <w:tc>
          <w:tcPr>
            <w:tcW w:w="1165" w:type="dxa"/>
            <w:shd w:val="clear" w:color="auto" w:fill="auto"/>
            <w:noWrap/>
            <w:vAlign w:val="center"/>
          </w:tcPr>
          <w:p w14:paraId="32FA1EDE" w14:textId="4CC6C1DB" w:rsidR="00BC68C7" w:rsidRPr="001B4CA2" w:rsidRDefault="00501212" w:rsidP="00BB2120">
            <w:pPr>
              <w:jc w:val="center"/>
              <w:rPr>
                <w:rFonts w:eastAsia="Times New Roman"/>
                <w:sz w:val="18"/>
                <w:szCs w:val="18"/>
                <w:lang w:eastAsia="hr-HR"/>
              </w:rPr>
            </w:pPr>
            <w:r w:rsidRPr="001B4CA2">
              <w:rPr>
                <w:rFonts w:eastAsia="Times New Roman"/>
                <w:sz w:val="18"/>
                <w:szCs w:val="18"/>
                <w:lang w:eastAsia="hr-HR"/>
              </w:rPr>
              <w:t>41</w:t>
            </w:r>
          </w:p>
        </w:tc>
        <w:tc>
          <w:tcPr>
            <w:tcW w:w="1165" w:type="dxa"/>
            <w:shd w:val="clear" w:color="auto" w:fill="auto"/>
            <w:noWrap/>
            <w:vAlign w:val="center"/>
          </w:tcPr>
          <w:p w14:paraId="407EE8EA" w14:textId="6ED71240" w:rsidR="00BC68C7" w:rsidRPr="001B4CA2" w:rsidRDefault="003A0BCE" w:rsidP="00BB2120">
            <w:pPr>
              <w:jc w:val="center"/>
              <w:rPr>
                <w:rFonts w:eastAsia="Times New Roman"/>
                <w:sz w:val="18"/>
                <w:szCs w:val="18"/>
                <w:lang w:eastAsia="hr-HR"/>
              </w:rPr>
            </w:pPr>
            <w:r w:rsidRPr="001B4CA2">
              <w:rPr>
                <w:rFonts w:eastAsia="Times New Roman"/>
                <w:sz w:val="18"/>
                <w:szCs w:val="18"/>
                <w:lang w:eastAsia="hr-HR"/>
              </w:rPr>
              <w:t>3.</w:t>
            </w:r>
            <w:r w:rsidR="00501212" w:rsidRPr="001B4CA2">
              <w:rPr>
                <w:rFonts w:eastAsia="Times New Roman"/>
                <w:sz w:val="18"/>
                <w:szCs w:val="18"/>
                <w:lang w:eastAsia="hr-HR"/>
              </w:rPr>
              <w:t>069</w:t>
            </w:r>
          </w:p>
        </w:tc>
        <w:tc>
          <w:tcPr>
            <w:tcW w:w="1041" w:type="dxa"/>
            <w:shd w:val="clear" w:color="auto" w:fill="auto"/>
            <w:noWrap/>
            <w:vAlign w:val="center"/>
          </w:tcPr>
          <w:p w14:paraId="5FBA30AC" w14:textId="64DBE771" w:rsidR="00BC68C7" w:rsidRPr="001B4CA2" w:rsidRDefault="003A0BCE" w:rsidP="00BB2120">
            <w:pPr>
              <w:jc w:val="center"/>
              <w:rPr>
                <w:rFonts w:eastAsia="Times New Roman"/>
                <w:sz w:val="18"/>
                <w:szCs w:val="18"/>
                <w:lang w:eastAsia="hr-HR"/>
              </w:rPr>
            </w:pPr>
            <w:r w:rsidRPr="001B4CA2">
              <w:rPr>
                <w:rFonts w:eastAsia="Times New Roman"/>
                <w:sz w:val="18"/>
                <w:szCs w:val="18"/>
                <w:lang w:eastAsia="hr-HR"/>
              </w:rPr>
              <w:t>1.</w:t>
            </w:r>
            <w:r w:rsidR="00501212" w:rsidRPr="001B4CA2">
              <w:rPr>
                <w:rFonts w:eastAsia="Times New Roman"/>
                <w:sz w:val="18"/>
                <w:szCs w:val="18"/>
                <w:lang w:eastAsia="hr-HR"/>
              </w:rPr>
              <w:t>292</w:t>
            </w:r>
          </w:p>
        </w:tc>
      </w:tr>
    </w:tbl>
    <w:p w14:paraId="7F9AA83E" w14:textId="66B09FC2" w:rsidR="00F35978" w:rsidRPr="001B4CA2" w:rsidRDefault="00F35978" w:rsidP="00444773"/>
    <w:p w14:paraId="63BA1E6B" w14:textId="6D750AD9" w:rsidR="000F5754" w:rsidRPr="001B4CA2" w:rsidRDefault="000F5754" w:rsidP="000F5754">
      <w:r w:rsidRPr="001B4CA2">
        <w:t xml:space="preserve"> </w:t>
      </w:r>
      <w:r w:rsidR="005B2800" w:rsidRPr="001B4CA2">
        <w:tab/>
      </w:r>
      <w:r w:rsidRPr="001B4CA2">
        <w:t xml:space="preserve">U 2022. godini općinska </w:t>
      </w:r>
      <w:r w:rsidR="00753708" w:rsidRPr="001B4CA2">
        <w:t xml:space="preserve">su </w:t>
      </w:r>
      <w:r w:rsidRPr="001B4CA2">
        <w:t>državna odvjetništva, po dovršenoj istrazi, optužila 2.699 osoba, što je za 131 osobu manje nego prethodne godine i predstavlja pad od 4,6</w:t>
      </w:r>
      <w:r w:rsidR="00753708">
        <w:t> </w:t>
      </w:r>
      <w:r w:rsidRPr="001B4CA2">
        <w:t>%. Broj podignutih optužnica participira u svim odlukama po dovršenoj istrazi s 88</w:t>
      </w:r>
      <w:r w:rsidR="00753708">
        <w:t> </w:t>
      </w:r>
      <w:r w:rsidRPr="001B4CA2">
        <w:t>%. Po zastupljenosti slijede rješenja o obustavi istrage (10,1</w:t>
      </w:r>
      <w:r w:rsidR="00753708">
        <w:t> </w:t>
      </w:r>
      <w:r w:rsidRPr="001B4CA2">
        <w:t>%) ustupom je riješeno 18 istraga (0,6</w:t>
      </w:r>
      <w:r w:rsidR="00753708">
        <w:t> </w:t>
      </w:r>
      <w:r w:rsidRPr="001B4CA2">
        <w:t>%), dok je na drugi način (spajanje postupaka i slično) riješena 41 istraga (1,3</w:t>
      </w:r>
      <w:r w:rsidR="00753708">
        <w:t> </w:t>
      </w:r>
      <w:r w:rsidRPr="001B4CA2">
        <w:t xml:space="preserve">%). </w:t>
      </w:r>
    </w:p>
    <w:p w14:paraId="762DD67E" w14:textId="77777777" w:rsidR="000F5754" w:rsidRPr="001B4CA2" w:rsidRDefault="000F5754" w:rsidP="000F5754"/>
    <w:p w14:paraId="578AA7FE" w14:textId="037B2F74" w:rsidR="000F5754" w:rsidRPr="001B4CA2" w:rsidRDefault="001B4CA2" w:rsidP="000F5754">
      <w:pPr>
        <w:rPr>
          <w:rFonts w:eastAsia="Times New Roman" w:cs="Times New Roman"/>
          <w:lang w:eastAsia="hr-HR"/>
        </w:rPr>
      </w:pPr>
      <w:r>
        <w:rPr>
          <w:rFonts w:eastAsia="Times New Roman"/>
          <w:lang w:eastAsia="hr-HR"/>
        </w:rPr>
        <w:tab/>
      </w:r>
      <w:r w:rsidR="000F5754" w:rsidRPr="001B4CA2">
        <w:rPr>
          <w:rFonts w:eastAsia="Times New Roman"/>
          <w:lang w:eastAsia="hr-HR"/>
        </w:rPr>
        <w:t>U radu su, od ukupnog broja otvorenih istraga, ostale 1.292 istrage (29,6</w:t>
      </w:r>
      <w:r w:rsidR="00753708">
        <w:t> </w:t>
      </w:r>
      <w:r w:rsidR="000F5754" w:rsidRPr="001B4CA2">
        <w:rPr>
          <w:rFonts w:eastAsia="Times New Roman"/>
          <w:lang w:eastAsia="hr-HR"/>
        </w:rPr>
        <w:t>%),</w:t>
      </w:r>
      <w:r>
        <w:rPr>
          <w:rFonts w:eastAsia="Times New Roman"/>
          <w:lang w:eastAsia="hr-HR"/>
        </w:rPr>
        <w:t xml:space="preserve"> </w:t>
      </w:r>
      <w:r w:rsidR="000F5754" w:rsidRPr="001B4CA2">
        <w:rPr>
          <w:rFonts w:eastAsia="Times New Roman" w:cs="Times New Roman"/>
          <w:lang w:eastAsia="hr-HR"/>
        </w:rPr>
        <w:t xml:space="preserve">a razlozi </w:t>
      </w:r>
      <w:r w:rsidR="00753708" w:rsidRPr="001B4CA2">
        <w:rPr>
          <w:rFonts w:eastAsia="Times New Roman" w:cs="Times New Roman"/>
          <w:lang w:eastAsia="hr-HR"/>
        </w:rPr>
        <w:t xml:space="preserve">su </w:t>
      </w:r>
      <w:r w:rsidR="000F5754" w:rsidRPr="001B4CA2">
        <w:rPr>
          <w:rFonts w:eastAsia="Times New Roman" w:cs="Times New Roman"/>
          <w:lang w:eastAsia="hr-HR"/>
        </w:rPr>
        <w:t>nerješavanja u tome što je dio istraga pokrenut krajem izvještajnog razdoblja ili se radi o složenim istragama u kojima je nužno provesti brojne dokazne radnje, slijedom čega navedene istrage objektivno nije bilo moguće dovršiti u izvještajnom razdoblju.</w:t>
      </w:r>
    </w:p>
    <w:p w14:paraId="0DAF35AF" w14:textId="77777777" w:rsidR="00212996" w:rsidRPr="001B4CA2" w:rsidRDefault="00212996" w:rsidP="00F35978">
      <w:pPr>
        <w:pStyle w:val="Tekstualnidio"/>
        <w:rPr>
          <w:rFonts w:cs="Arial"/>
        </w:rPr>
      </w:pPr>
    </w:p>
    <w:p w14:paraId="703FC6B6" w14:textId="7A99CC2F" w:rsidR="000F5754" w:rsidRPr="001B4CA2" w:rsidRDefault="000F5754" w:rsidP="000F5754">
      <w:pPr>
        <w:rPr>
          <w:i/>
        </w:rPr>
      </w:pPr>
      <w:r w:rsidRPr="001B4CA2">
        <w:rPr>
          <w:i/>
        </w:rPr>
        <w:t xml:space="preserve"> Trajanje istrage / pripremnog postupka za maloljetnike</w:t>
      </w:r>
    </w:p>
    <w:p w14:paraId="59B72170" w14:textId="77777777" w:rsidR="000F5754" w:rsidRPr="001B4CA2" w:rsidRDefault="000F5754" w:rsidP="000F5754">
      <w:r w:rsidRPr="001B4CA2">
        <w:rPr>
          <w:noProof/>
          <w:lang w:eastAsia="hr-HR"/>
        </w:rPr>
        <w:drawing>
          <wp:inline distT="0" distB="0" distL="0" distR="0" wp14:anchorId="6FCCE04F" wp14:editId="21C62D8A">
            <wp:extent cx="5760720" cy="1045661"/>
            <wp:effectExtent l="0" t="0" r="0" b="254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045661"/>
                    </a:xfrm>
                    <a:prstGeom prst="rect">
                      <a:avLst/>
                    </a:prstGeom>
                    <a:noFill/>
                    <a:ln>
                      <a:noFill/>
                    </a:ln>
                  </pic:spPr>
                </pic:pic>
              </a:graphicData>
            </a:graphic>
          </wp:inline>
        </w:drawing>
      </w:r>
    </w:p>
    <w:p w14:paraId="618AA020" w14:textId="77777777" w:rsidR="000F5754" w:rsidRPr="001B4CA2" w:rsidRDefault="000F5754" w:rsidP="000F5754">
      <w:r w:rsidRPr="001B4CA2">
        <w:tab/>
      </w:r>
    </w:p>
    <w:p w14:paraId="1E2DCEAF" w14:textId="6F40E384" w:rsidR="000F5754" w:rsidRPr="001B4CA2" w:rsidRDefault="001B4CA2" w:rsidP="000F5754">
      <w:pPr>
        <w:rPr>
          <w:rFonts w:eastAsia="Times New Roman"/>
          <w:lang w:eastAsia="hr-HR"/>
        </w:rPr>
      </w:pPr>
      <w:r>
        <w:tab/>
      </w:r>
      <w:r w:rsidR="000F5754" w:rsidRPr="001B4CA2">
        <w:t>Iz tabličnog prikaza razvidno je da je tijekom 2022. godine u roku od 6 mjeseci dovršeno 2.266 istraga (86,4</w:t>
      </w:r>
      <w:r w:rsidR="00753708">
        <w:t> </w:t>
      </w:r>
      <w:r w:rsidR="000F5754" w:rsidRPr="001B4CA2">
        <w:t>%), u roku od 12 mjeseci 277 istraga (10,6</w:t>
      </w:r>
      <w:r w:rsidR="00753708">
        <w:t> </w:t>
      </w:r>
      <w:r w:rsidR="000F5754" w:rsidRPr="001B4CA2">
        <w:t>%), u roku od 18 mjeseci 70 istraga (2,7</w:t>
      </w:r>
      <w:r w:rsidR="00753708">
        <w:t> </w:t>
      </w:r>
      <w:r w:rsidR="000F5754" w:rsidRPr="001B4CA2">
        <w:t>%), a 8 istraga u roku duljem od 18 mjeseci (0,3</w:t>
      </w:r>
      <w:r w:rsidR="00753708">
        <w:t> </w:t>
      </w:r>
      <w:r w:rsidR="000F5754" w:rsidRPr="001B4CA2">
        <w:t xml:space="preserve">%), što ukazuje na ažurno postupanje općinskih državnih odvjetništava, </w:t>
      </w:r>
      <w:r w:rsidR="00753708">
        <w:t>budući</w:t>
      </w:r>
      <w:r w:rsidR="000F5754" w:rsidRPr="001B4CA2">
        <w:t xml:space="preserve"> da je 86,4</w:t>
      </w:r>
      <w:r w:rsidR="00753708">
        <w:t> </w:t>
      </w:r>
      <w:r w:rsidR="000F5754" w:rsidRPr="001B4CA2">
        <w:rPr>
          <w:rFonts w:eastAsia="Times New Roman"/>
          <w:lang w:eastAsia="hr-HR"/>
        </w:rPr>
        <w:t>% istraga dovršeno u zakonskom roku od 6 mjeseci.</w:t>
      </w:r>
    </w:p>
    <w:p w14:paraId="5E5EC7FE" w14:textId="77777777" w:rsidR="000F5754" w:rsidRPr="001B4CA2" w:rsidRDefault="000F5754" w:rsidP="000F5754">
      <w:pPr>
        <w:rPr>
          <w:rFonts w:eastAsia="Times New Roman"/>
          <w:lang w:eastAsia="hr-HR"/>
        </w:rPr>
      </w:pPr>
    </w:p>
    <w:p w14:paraId="752B52DB" w14:textId="4D351C47" w:rsidR="000F5754" w:rsidRPr="001B4CA2" w:rsidRDefault="005B2800" w:rsidP="000F5754">
      <w:pPr>
        <w:tabs>
          <w:tab w:val="left" w:pos="0"/>
        </w:tabs>
        <w:rPr>
          <w:color w:val="FF0000"/>
        </w:rPr>
      </w:pPr>
      <w:r w:rsidRPr="001B4CA2">
        <w:lastRenderedPageBreak/>
        <w:tab/>
      </w:r>
      <w:r w:rsidR="000F5754" w:rsidRPr="001B4CA2">
        <w:t xml:space="preserve">Najčešći </w:t>
      </w:r>
      <w:r w:rsidR="00753708" w:rsidRPr="001B4CA2">
        <w:t xml:space="preserve">su </w:t>
      </w:r>
      <w:r w:rsidR="000F5754" w:rsidRPr="001B4CA2">
        <w:t xml:space="preserve">razlozi za produljenje roka za završetak istrage potreba provođenja složenih i obimnih vještačenja, potreba provođenja brojnih dokaznih radnji, nedostupnost okrivljenika, pribavljanje dokaza putem međunarodne pravne pomoći i slično. Dakle, radi se o složenim predmetima u kojima su razlozi produljenja roka za dovršetak istrage opravdani zbog objektivnih okolnosti vezanih za svaki konkretan predmet. </w:t>
      </w:r>
    </w:p>
    <w:p w14:paraId="7A07913C" w14:textId="77777777" w:rsidR="0060074A" w:rsidRPr="001B4CA2" w:rsidRDefault="0060074A" w:rsidP="00EF5F99">
      <w:pPr>
        <w:tabs>
          <w:tab w:val="left" w:pos="0"/>
        </w:tabs>
      </w:pPr>
    </w:p>
    <w:p w14:paraId="4F653B4F" w14:textId="28FA9A49" w:rsidR="00BB4D48" w:rsidRPr="001B4CA2" w:rsidRDefault="00542189" w:rsidP="00BF29FF">
      <w:pPr>
        <w:pStyle w:val="Naslov5"/>
        <w:ind w:left="567" w:firstLine="0"/>
        <w:rPr>
          <w:rFonts w:ascii="Arial" w:hAnsi="Arial" w:cs="Arial"/>
        </w:rPr>
      </w:pPr>
      <w:bookmarkStart w:id="55" w:name="_Toc133394315"/>
      <w:r w:rsidRPr="001B4CA2">
        <w:rPr>
          <w:rFonts w:ascii="Arial" w:hAnsi="Arial" w:cs="Arial"/>
        </w:rPr>
        <w:t>Odluke</w:t>
      </w:r>
      <w:r w:rsidR="00415CC9" w:rsidRPr="001B4CA2">
        <w:rPr>
          <w:rFonts w:ascii="Arial" w:hAnsi="Arial" w:cs="Arial"/>
        </w:rPr>
        <w:t xml:space="preserve"> </w:t>
      </w:r>
      <w:r w:rsidRPr="001B4CA2">
        <w:rPr>
          <w:rFonts w:ascii="Arial" w:hAnsi="Arial" w:cs="Arial"/>
        </w:rPr>
        <w:t>po</w:t>
      </w:r>
      <w:r w:rsidR="00415CC9" w:rsidRPr="001B4CA2">
        <w:rPr>
          <w:rFonts w:ascii="Arial" w:hAnsi="Arial" w:cs="Arial"/>
        </w:rPr>
        <w:t xml:space="preserve"> </w:t>
      </w:r>
      <w:r w:rsidRPr="001B4CA2">
        <w:rPr>
          <w:rFonts w:ascii="Arial" w:hAnsi="Arial" w:cs="Arial"/>
        </w:rPr>
        <w:t>dovršenom</w:t>
      </w:r>
      <w:r w:rsidR="00415CC9" w:rsidRPr="001B4CA2">
        <w:rPr>
          <w:rFonts w:ascii="Arial" w:hAnsi="Arial" w:cs="Arial"/>
        </w:rPr>
        <w:t xml:space="preserve"> </w:t>
      </w:r>
      <w:r w:rsidRPr="001B4CA2">
        <w:rPr>
          <w:rFonts w:ascii="Arial" w:hAnsi="Arial" w:cs="Arial"/>
        </w:rPr>
        <w:t>pripremnom</w:t>
      </w:r>
      <w:r w:rsidR="00415CC9" w:rsidRPr="001B4CA2">
        <w:rPr>
          <w:rFonts w:ascii="Arial" w:hAnsi="Arial" w:cs="Arial"/>
        </w:rPr>
        <w:t xml:space="preserve"> </w:t>
      </w:r>
      <w:r w:rsidRPr="001B4CA2">
        <w:rPr>
          <w:rFonts w:ascii="Arial" w:hAnsi="Arial" w:cs="Arial"/>
        </w:rPr>
        <w:t>postupku</w:t>
      </w:r>
      <w:r w:rsidR="00415CC9" w:rsidRPr="001B4CA2">
        <w:rPr>
          <w:rFonts w:ascii="Arial" w:hAnsi="Arial" w:cs="Arial"/>
        </w:rPr>
        <w:t xml:space="preserve"> </w:t>
      </w:r>
      <w:r w:rsidR="008443EC" w:rsidRPr="001B4CA2">
        <w:rPr>
          <w:rFonts w:ascii="Arial" w:hAnsi="Arial" w:cs="Arial"/>
        </w:rPr>
        <w:t xml:space="preserve">– </w:t>
      </w:r>
      <w:r w:rsidRPr="001B4CA2">
        <w:rPr>
          <w:rFonts w:ascii="Arial" w:hAnsi="Arial" w:cs="Arial"/>
        </w:rPr>
        <w:t>maloljetnici</w:t>
      </w:r>
      <w:bookmarkEnd w:id="55"/>
    </w:p>
    <w:p w14:paraId="696BFC2A" w14:textId="77777777" w:rsidR="00682FF4" w:rsidRPr="001B4CA2" w:rsidRDefault="00682FF4" w:rsidP="00385480"/>
    <w:p w14:paraId="512BD0F1" w14:textId="4A424755" w:rsidR="00385480" w:rsidRPr="001B4CA2" w:rsidRDefault="001B4CA2" w:rsidP="0094026C">
      <w:pPr>
        <w:rPr>
          <w:i/>
        </w:rPr>
      </w:pPr>
      <w:r>
        <w:rPr>
          <w:i/>
        </w:rPr>
        <w:tab/>
      </w:r>
      <w:r w:rsidR="00385480" w:rsidRPr="001B4CA2">
        <w:rPr>
          <w:i/>
        </w:rPr>
        <w:t xml:space="preserve">Odluke po </w:t>
      </w:r>
      <w:r w:rsidR="000603B4" w:rsidRPr="001B4CA2">
        <w:rPr>
          <w:i/>
        </w:rPr>
        <w:t>dovršenom pripremnom postupku</w:t>
      </w:r>
    </w:p>
    <w:tbl>
      <w:tblPr>
        <w:tblW w:w="89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2"/>
        <w:gridCol w:w="948"/>
        <w:gridCol w:w="1076"/>
        <w:gridCol w:w="1320"/>
        <w:gridCol w:w="1025"/>
        <w:gridCol w:w="793"/>
        <w:gridCol w:w="1024"/>
        <w:gridCol w:w="962"/>
        <w:gridCol w:w="805"/>
      </w:tblGrid>
      <w:tr w:rsidR="00532C41" w:rsidRPr="001B4CA2" w14:paraId="1D28B2BF" w14:textId="14E2F152" w:rsidTr="004C3A47">
        <w:trPr>
          <w:trHeight w:val="477"/>
          <w:jc w:val="center"/>
        </w:trPr>
        <w:tc>
          <w:tcPr>
            <w:tcW w:w="992" w:type="dxa"/>
            <w:vMerge w:val="restart"/>
            <w:shd w:val="clear" w:color="auto" w:fill="99CCFF"/>
            <w:vAlign w:val="center"/>
            <w:hideMark/>
          </w:tcPr>
          <w:p w14:paraId="3C340FAC" w14:textId="685C92BF" w:rsidR="009350E2" w:rsidRPr="001B4CA2" w:rsidRDefault="009F5A63" w:rsidP="00C936D9">
            <w:pPr>
              <w:ind w:right="141"/>
              <w:jc w:val="right"/>
              <w:rPr>
                <w:rFonts w:eastAsia="Times New Roman"/>
                <w:b/>
                <w:sz w:val="18"/>
                <w:lang w:eastAsia="hr-HR"/>
              </w:rPr>
            </w:pPr>
            <w:r w:rsidRPr="001B4CA2">
              <w:rPr>
                <w:rFonts w:eastAsia="Times New Roman"/>
                <w:b/>
                <w:sz w:val="18"/>
                <w:lang w:eastAsia="hr-HR"/>
              </w:rPr>
              <w:t>Godina</w:t>
            </w:r>
          </w:p>
        </w:tc>
        <w:tc>
          <w:tcPr>
            <w:tcW w:w="948" w:type="dxa"/>
            <w:vMerge w:val="restart"/>
            <w:shd w:val="clear" w:color="auto" w:fill="99CCFF"/>
            <w:vAlign w:val="center"/>
            <w:hideMark/>
          </w:tcPr>
          <w:p w14:paraId="344A1100" w14:textId="145BC59F" w:rsidR="006A2747" w:rsidRPr="001B4CA2" w:rsidRDefault="006A2747" w:rsidP="009350E2">
            <w:pPr>
              <w:jc w:val="center"/>
              <w:rPr>
                <w:rFonts w:eastAsia="Times New Roman"/>
                <w:b/>
                <w:sz w:val="18"/>
                <w:lang w:eastAsia="hr-HR"/>
              </w:rPr>
            </w:pPr>
            <w:r w:rsidRPr="001B4CA2">
              <w:rPr>
                <w:rFonts w:eastAsia="Times New Roman"/>
                <w:b/>
                <w:sz w:val="18"/>
                <w:lang w:eastAsia="hr-HR"/>
              </w:rPr>
              <w:t>Ukupno u radu</w:t>
            </w:r>
          </w:p>
        </w:tc>
        <w:tc>
          <w:tcPr>
            <w:tcW w:w="6200" w:type="dxa"/>
            <w:gridSpan w:val="6"/>
            <w:shd w:val="clear" w:color="auto" w:fill="99CCFF"/>
            <w:vAlign w:val="center"/>
            <w:hideMark/>
          </w:tcPr>
          <w:p w14:paraId="3DC02496" w14:textId="04C68F6F" w:rsidR="006A2747" w:rsidRPr="001B4CA2" w:rsidRDefault="006A2747" w:rsidP="00504DFD">
            <w:pPr>
              <w:jc w:val="center"/>
              <w:rPr>
                <w:rFonts w:eastAsia="Times New Roman"/>
                <w:b/>
                <w:sz w:val="18"/>
                <w:lang w:eastAsia="hr-HR"/>
              </w:rPr>
            </w:pPr>
            <w:r w:rsidRPr="001B4CA2">
              <w:rPr>
                <w:rFonts w:eastAsia="Times New Roman"/>
                <w:b/>
                <w:sz w:val="18"/>
                <w:lang w:eastAsia="hr-HR"/>
              </w:rPr>
              <w:t>ODLUKE</w:t>
            </w:r>
          </w:p>
        </w:tc>
        <w:tc>
          <w:tcPr>
            <w:tcW w:w="805" w:type="dxa"/>
            <w:vMerge w:val="restart"/>
            <w:shd w:val="clear" w:color="auto" w:fill="99CCFF"/>
            <w:vAlign w:val="center"/>
          </w:tcPr>
          <w:p w14:paraId="61509DE5" w14:textId="15F7AD6E" w:rsidR="006A2747" w:rsidRPr="001B4CA2" w:rsidRDefault="006A2747" w:rsidP="00504DFD">
            <w:pPr>
              <w:jc w:val="center"/>
              <w:rPr>
                <w:rFonts w:eastAsia="Times New Roman"/>
                <w:b/>
                <w:sz w:val="18"/>
                <w:lang w:eastAsia="hr-HR"/>
              </w:rPr>
            </w:pPr>
            <w:r w:rsidRPr="001B4CA2">
              <w:rPr>
                <w:rFonts w:eastAsia="Times New Roman"/>
                <w:b/>
                <w:sz w:val="18"/>
                <w:lang w:eastAsia="hr-HR"/>
              </w:rPr>
              <w:t>Ostalo u radu</w:t>
            </w:r>
          </w:p>
        </w:tc>
      </w:tr>
      <w:tr w:rsidR="00532C41" w:rsidRPr="001B4CA2" w14:paraId="336E1E97" w14:textId="77777777" w:rsidTr="004C3A47">
        <w:trPr>
          <w:trHeight w:val="477"/>
          <w:jc w:val="center"/>
        </w:trPr>
        <w:tc>
          <w:tcPr>
            <w:tcW w:w="992" w:type="dxa"/>
            <w:vMerge/>
            <w:shd w:val="clear" w:color="auto" w:fill="99CCFF"/>
            <w:vAlign w:val="center"/>
          </w:tcPr>
          <w:p w14:paraId="54004A28" w14:textId="77777777" w:rsidR="006A2747" w:rsidRPr="001B4CA2" w:rsidRDefault="006A2747" w:rsidP="00504DFD">
            <w:pPr>
              <w:ind w:right="239"/>
              <w:jc w:val="center"/>
              <w:rPr>
                <w:rFonts w:eastAsia="Times New Roman"/>
                <w:b/>
                <w:sz w:val="18"/>
                <w:lang w:eastAsia="hr-HR"/>
              </w:rPr>
            </w:pPr>
          </w:p>
        </w:tc>
        <w:tc>
          <w:tcPr>
            <w:tcW w:w="948" w:type="dxa"/>
            <w:vMerge/>
            <w:shd w:val="clear" w:color="auto" w:fill="99CCFF"/>
            <w:vAlign w:val="center"/>
          </w:tcPr>
          <w:p w14:paraId="2A29C78F" w14:textId="77777777" w:rsidR="006A2747" w:rsidRPr="001B4CA2" w:rsidRDefault="006A2747" w:rsidP="00504DFD">
            <w:pPr>
              <w:jc w:val="center"/>
              <w:rPr>
                <w:rFonts w:eastAsia="Times New Roman"/>
                <w:b/>
                <w:sz w:val="18"/>
                <w:lang w:eastAsia="hr-HR"/>
              </w:rPr>
            </w:pPr>
          </w:p>
        </w:tc>
        <w:tc>
          <w:tcPr>
            <w:tcW w:w="1076" w:type="dxa"/>
            <w:shd w:val="clear" w:color="auto" w:fill="99CCFF"/>
            <w:vAlign w:val="center"/>
          </w:tcPr>
          <w:p w14:paraId="1FD9896D" w14:textId="73BAA370" w:rsidR="006A2747" w:rsidRPr="001B4CA2" w:rsidRDefault="006A2747" w:rsidP="00504DFD">
            <w:pPr>
              <w:jc w:val="center"/>
              <w:rPr>
                <w:rFonts w:eastAsia="Times New Roman"/>
                <w:b/>
                <w:sz w:val="18"/>
                <w:lang w:eastAsia="hr-HR"/>
              </w:rPr>
            </w:pPr>
            <w:r w:rsidRPr="001B4CA2">
              <w:rPr>
                <w:rFonts w:eastAsia="Times New Roman"/>
                <w:b/>
                <w:sz w:val="18"/>
                <w:lang w:eastAsia="hr-HR"/>
              </w:rPr>
              <w:t>Obustava</w:t>
            </w:r>
          </w:p>
        </w:tc>
        <w:tc>
          <w:tcPr>
            <w:tcW w:w="1320" w:type="dxa"/>
            <w:shd w:val="clear" w:color="auto" w:fill="99CCFF"/>
            <w:vAlign w:val="center"/>
          </w:tcPr>
          <w:p w14:paraId="7779D138" w14:textId="08699464" w:rsidR="006A2747" w:rsidRPr="001B4CA2" w:rsidRDefault="006A2747" w:rsidP="00504DFD">
            <w:pPr>
              <w:jc w:val="center"/>
              <w:rPr>
                <w:rFonts w:eastAsia="Times New Roman"/>
                <w:b/>
                <w:sz w:val="18"/>
                <w:lang w:eastAsia="hr-HR"/>
              </w:rPr>
            </w:pPr>
            <w:r w:rsidRPr="001B4CA2">
              <w:rPr>
                <w:rFonts w:eastAsia="Times New Roman"/>
                <w:b/>
                <w:sz w:val="18"/>
                <w:lang w:eastAsia="hr-HR"/>
              </w:rPr>
              <w:t xml:space="preserve">Od toga obustava po </w:t>
            </w:r>
            <w:proofErr w:type="spellStart"/>
            <w:r w:rsidRPr="001B4CA2">
              <w:rPr>
                <w:rFonts w:eastAsia="Times New Roman"/>
                <w:b/>
                <w:sz w:val="18"/>
                <w:lang w:eastAsia="hr-HR"/>
              </w:rPr>
              <w:t>oportunitetu</w:t>
            </w:r>
            <w:proofErr w:type="spellEnd"/>
          </w:p>
        </w:tc>
        <w:tc>
          <w:tcPr>
            <w:tcW w:w="1025" w:type="dxa"/>
            <w:shd w:val="clear" w:color="auto" w:fill="99CCFF"/>
            <w:vAlign w:val="center"/>
          </w:tcPr>
          <w:p w14:paraId="175C3B25" w14:textId="69662D53" w:rsidR="006A2747" w:rsidRPr="001B4CA2" w:rsidRDefault="006A2747" w:rsidP="00504DFD">
            <w:pPr>
              <w:jc w:val="center"/>
              <w:rPr>
                <w:rFonts w:eastAsia="Times New Roman"/>
                <w:b/>
                <w:sz w:val="18"/>
                <w:lang w:eastAsia="hr-HR"/>
              </w:rPr>
            </w:pPr>
            <w:r w:rsidRPr="001B4CA2">
              <w:rPr>
                <w:rFonts w:eastAsia="Times New Roman"/>
                <w:b/>
                <w:sz w:val="18"/>
                <w:lang w:eastAsia="hr-HR"/>
              </w:rPr>
              <w:t xml:space="preserve">Prijedlog za izricanje </w:t>
            </w:r>
            <w:proofErr w:type="spellStart"/>
            <w:r w:rsidRPr="001B4CA2">
              <w:rPr>
                <w:rFonts w:eastAsia="Times New Roman"/>
                <w:b/>
                <w:sz w:val="18"/>
                <w:lang w:eastAsia="hr-HR"/>
              </w:rPr>
              <w:t>mlt</w:t>
            </w:r>
            <w:proofErr w:type="spellEnd"/>
            <w:r w:rsidRPr="001B4CA2">
              <w:rPr>
                <w:rFonts w:eastAsia="Times New Roman"/>
                <w:b/>
                <w:sz w:val="18"/>
                <w:lang w:eastAsia="hr-HR"/>
              </w:rPr>
              <w:t>. sankcije</w:t>
            </w:r>
          </w:p>
        </w:tc>
        <w:tc>
          <w:tcPr>
            <w:tcW w:w="793" w:type="dxa"/>
            <w:shd w:val="clear" w:color="auto" w:fill="99CCFF"/>
            <w:vAlign w:val="center"/>
          </w:tcPr>
          <w:p w14:paraId="4855C033" w14:textId="6665EAEE" w:rsidR="006A2747" w:rsidRPr="001B4CA2" w:rsidRDefault="006A2747" w:rsidP="00504DFD">
            <w:pPr>
              <w:jc w:val="center"/>
              <w:rPr>
                <w:rFonts w:eastAsia="Times New Roman"/>
                <w:b/>
                <w:sz w:val="18"/>
                <w:lang w:eastAsia="hr-HR"/>
              </w:rPr>
            </w:pPr>
            <w:r w:rsidRPr="001B4CA2">
              <w:rPr>
                <w:rFonts w:eastAsia="Times New Roman"/>
                <w:b/>
                <w:sz w:val="18"/>
                <w:lang w:eastAsia="hr-HR"/>
              </w:rPr>
              <w:t>Ustup</w:t>
            </w:r>
          </w:p>
        </w:tc>
        <w:tc>
          <w:tcPr>
            <w:tcW w:w="1024" w:type="dxa"/>
            <w:shd w:val="clear" w:color="auto" w:fill="99CCFF"/>
            <w:vAlign w:val="center"/>
          </w:tcPr>
          <w:p w14:paraId="1CBB427D" w14:textId="6EEBE876" w:rsidR="006A2747" w:rsidRPr="001B4CA2" w:rsidRDefault="006A2747" w:rsidP="00504DFD">
            <w:pPr>
              <w:jc w:val="center"/>
              <w:rPr>
                <w:rFonts w:eastAsia="Times New Roman"/>
                <w:b/>
                <w:sz w:val="18"/>
                <w:lang w:eastAsia="hr-HR"/>
              </w:rPr>
            </w:pPr>
            <w:r w:rsidRPr="001B4CA2">
              <w:rPr>
                <w:rFonts w:eastAsia="Times New Roman"/>
                <w:b/>
                <w:sz w:val="18"/>
                <w:lang w:eastAsia="hr-HR"/>
              </w:rPr>
              <w:t>Riješeno na drugi način</w:t>
            </w:r>
          </w:p>
        </w:tc>
        <w:tc>
          <w:tcPr>
            <w:tcW w:w="962" w:type="dxa"/>
            <w:shd w:val="clear" w:color="auto" w:fill="99CCFF"/>
            <w:vAlign w:val="center"/>
          </w:tcPr>
          <w:p w14:paraId="56F286B5" w14:textId="3B6FE40A" w:rsidR="006A2747" w:rsidRPr="001B4CA2" w:rsidRDefault="006A2747" w:rsidP="00504DFD">
            <w:pPr>
              <w:jc w:val="center"/>
              <w:rPr>
                <w:rFonts w:eastAsia="Times New Roman"/>
                <w:b/>
                <w:sz w:val="18"/>
                <w:lang w:eastAsia="hr-HR"/>
              </w:rPr>
            </w:pPr>
            <w:r w:rsidRPr="001B4CA2">
              <w:rPr>
                <w:rFonts w:eastAsia="Times New Roman"/>
                <w:b/>
                <w:sz w:val="18"/>
                <w:lang w:eastAsia="hr-HR"/>
              </w:rPr>
              <w:t>Ukupno odluka</w:t>
            </w:r>
          </w:p>
        </w:tc>
        <w:tc>
          <w:tcPr>
            <w:tcW w:w="805" w:type="dxa"/>
            <w:vMerge/>
            <w:shd w:val="clear" w:color="auto" w:fill="99CCFF"/>
            <w:vAlign w:val="center"/>
          </w:tcPr>
          <w:p w14:paraId="3126AAAB" w14:textId="77777777" w:rsidR="006A2747" w:rsidRPr="001B4CA2" w:rsidRDefault="006A2747" w:rsidP="00504DFD">
            <w:pPr>
              <w:jc w:val="center"/>
              <w:rPr>
                <w:rFonts w:eastAsia="Times New Roman"/>
                <w:b/>
                <w:sz w:val="18"/>
                <w:lang w:eastAsia="hr-HR"/>
              </w:rPr>
            </w:pPr>
          </w:p>
        </w:tc>
      </w:tr>
      <w:tr w:rsidR="00532C41" w:rsidRPr="001B4CA2" w14:paraId="6B12BECE" w14:textId="6CC6427D" w:rsidTr="004C3A47">
        <w:trPr>
          <w:trHeight w:val="285"/>
          <w:jc w:val="center"/>
        </w:trPr>
        <w:tc>
          <w:tcPr>
            <w:tcW w:w="992" w:type="dxa"/>
            <w:shd w:val="clear" w:color="auto" w:fill="auto"/>
            <w:noWrap/>
            <w:vAlign w:val="center"/>
          </w:tcPr>
          <w:p w14:paraId="3D5E1690" w14:textId="50B2E258" w:rsidR="000603B4" w:rsidRPr="001B4CA2" w:rsidRDefault="000603B4" w:rsidP="00B94346">
            <w:pPr>
              <w:jc w:val="center"/>
              <w:rPr>
                <w:rFonts w:eastAsia="Times New Roman"/>
                <w:sz w:val="18"/>
                <w:szCs w:val="18"/>
                <w:lang w:eastAsia="hr-HR"/>
              </w:rPr>
            </w:pPr>
            <w:r w:rsidRPr="001B4CA2">
              <w:rPr>
                <w:rFonts w:eastAsia="Times New Roman"/>
                <w:sz w:val="18"/>
                <w:szCs w:val="18"/>
                <w:lang w:eastAsia="hr-HR"/>
              </w:rPr>
              <w:t>201</w:t>
            </w:r>
            <w:r w:rsidR="0060074A" w:rsidRPr="001B4CA2">
              <w:rPr>
                <w:rFonts w:eastAsia="Times New Roman"/>
                <w:sz w:val="18"/>
                <w:szCs w:val="18"/>
                <w:lang w:eastAsia="hr-HR"/>
              </w:rPr>
              <w:t>8</w:t>
            </w:r>
            <w:r w:rsidRPr="001B4CA2">
              <w:rPr>
                <w:rFonts w:eastAsia="Times New Roman"/>
                <w:sz w:val="18"/>
                <w:szCs w:val="18"/>
                <w:lang w:eastAsia="hr-HR"/>
              </w:rPr>
              <w:t>.</w:t>
            </w:r>
          </w:p>
        </w:tc>
        <w:tc>
          <w:tcPr>
            <w:tcW w:w="948" w:type="dxa"/>
            <w:shd w:val="clear" w:color="auto" w:fill="auto"/>
            <w:noWrap/>
            <w:vAlign w:val="center"/>
          </w:tcPr>
          <w:p w14:paraId="5D946F99" w14:textId="7A9ED157"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134</w:t>
            </w:r>
          </w:p>
        </w:tc>
        <w:tc>
          <w:tcPr>
            <w:tcW w:w="1076" w:type="dxa"/>
            <w:shd w:val="clear" w:color="auto" w:fill="auto"/>
            <w:noWrap/>
            <w:vAlign w:val="center"/>
          </w:tcPr>
          <w:p w14:paraId="228A1FE5" w14:textId="163CCA5D"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21</w:t>
            </w:r>
          </w:p>
        </w:tc>
        <w:tc>
          <w:tcPr>
            <w:tcW w:w="1320" w:type="dxa"/>
            <w:shd w:val="clear" w:color="auto" w:fill="auto"/>
            <w:noWrap/>
            <w:vAlign w:val="center"/>
          </w:tcPr>
          <w:p w14:paraId="27F64978" w14:textId="0A0C0E97"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7</w:t>
            </w:r>
          </w:p>
        </w:tc>
        <w:tc>
          <w:tcPr>
            <w:tcW w:w="1025" w:type="dxa"/>
            <w:shd w:val="clear" w:color="auto" w:fill="auto"/>
            <w:noWrap/>
            <w:vAlign w:val="center"/>
          </w:tcPr>
          <w:p w14:paraId="2E6D39B1" w14:textId="70DF85D4"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105</w:t>
            </w:r>
          </w:p>
        </w:tc>
        <w:tc>
          <w:tcPr>
            <w:tcW w:w="793" w:type="dxa"/>
            <w:shd w:val="clear" w:color="auto" w:fill="auto"/>
            <w:noWrap/>
            <w:vAlign w:val="center"/>
          </w:tcPr>
          <w:p w14:paraId="2F4AFE83" w14:textId="4BC1F901" w:rsidR="000603B4" w:rsidRPr="001B4CA2" w:rsidRDefault="000603B4" w:rsidP="00B94346">
            <w:pPr>
              <w:jc w:val="center"/>
              <w:rPr>
                <w:rFonts w:eastAsia="Times New Roman"/>
                <w:sz w:val="18"/>
                <w:szCs w:val="18"/>
                <w:lang w:eastAsia="hr-HR"/>
              </w:rPr>
            </w:pPr>
          </w:p>
        </w:tc>
        <w:tc>
          <w:tcPr>
            <w:tcW w:w="1024" w:type="dxa"/>
            <w:vAlign w:val="center"/>
          </w:tcPr>
          <w:p w14:paraId="29813181" w14:textId="77777777" w:rsidR="000603B4" w:rsidRPr="001B4CA2" w:rsidRDefault="000603B4" w:rsidP="00B94346">
            <w:pPr>
              <w:jc w:val="center"/>
              <w:rPr>
                <w:rFonts w:eastAsia="Times New Roman"/>
                <w:sz w:val="18"/>
                <w:szCs w:val="18"/>
                <w:lang w:eastAsia="hr-HR"/>
              </w:rPr>
            </w:pPr>
          </w:p>
        </w:tc>
        <w:tc>
          <w:tcPr>
            <w:tcW w:w="962" w:type="dxa"/>
            <w:vAlign w:val="center"/>
          </w:tcPr>
          <w:p w14:paraId="6972640E" w14:textId="1EDBA809"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134</w:t>
            </w:r>
          </w:p>
        </w:tc>
        <w:tc>
          <w:tcPr>
            <w:tcW w:w="805" w:type="dxa"/>
            <w:vAlign w:val="center"/>
          </w:tcPr>
          <w:p w14:paraId="0CF1AF9F" w14:textId="77777777" w:rsidR="000603B4" w:rsidRPr="001B4CA2" w:rsidRDefault="000603B4" w:rsidP="00B94346">
            <w:pPr>
              <w:jc w:val="center"/>
              <w:rPr>
                <w:rFonts w:eastAsia="Times New Roman"/>
                <w:sz w:val="18"/>
                <w:szCs w:val="18"/>
                <w:lang w:eastAsia="hr-HR"/>
              </w:rPr>
            </w:pPr>
          </w:p>
        </w:tc>
      </w:tr>
      <w:tr w:rsidR="00532C41" w:rsidRPr="001B4CA2" w14:paraId="466C9C07" w14:textId="2EEB2421" w:rsidTr="004C3A47">
        <w:trPr>
          <w:trHeight w:val="285"/>
          <w:jc w:val="center"/>
        </w:trPr>
        <w:tc>
          <w:tcPr>
            <w:tcW w:w="992" w:type="dxa"/>
            <w:shd w:val="clear" w:color="auto" w:fill="auto"/>
            <w:noWrap/>
            <w:vAlign w:val="center"/>
            <w:hideMark/>
          </w:tcPr>
          <w:p w14:paraId="492ECF29" w14:textId="5DA05E39" w:rsidR="000603B4" w:rsidRPr="001B4CA2" w:rsidRDefault="000603B4" w:rsidP="00B94346">
            <w:pPr>
              <w:jc w:val="center"/>
              <w:rPr>
                <w:rFonts w:eastAsia="Times New Roman"/>
                <w:sz w:val="18"/>
                <w:szCs w:val="18"/>
                <w:lang w:eastAsia="hr-HR"/>
              </w:rPr>
            </w:pPr>
            <w:r w:rsidRPr="001B4CA2">
              <w:rPr>
                <w:rFonts w:eastAsia="Times New Roman"/>
                <w:sz w:val="18"/>
                <w:szCs w:val="18"/>
                <w:lang w:eastAsia="hr-HR"/>
              </w:rPr>
              <w:t>201</w:t>
            </w:r>
            <w:r w:rsidR="0060074A" w:rsidRPr="001B4CA2">
              <w:rPr>
                <w:rFonts w:eastAsia="Times New Roman"/>
                <w:sz w:val="18"/>
                <w:szCs w:val="18"/>
                <w:lang w:eastAsia="hr-HR"/>
              </w:rPr>
              <w:t>9</w:t>
            </w:r>
            <w:r w:rsidRPr="001B4CA2">
              <w:rPr>
                <w:rFonts w:eastAsia="Times New Roman"/>
                <w:sz w:val="18"/>
                <w:szCs w:val="18"/>
                <w:lang w:eastAsia="hr-HR"/>
              </w:rPr>
              <w:t>.</w:t>
            </w:r>
          </w:p>
        </w:tc>
        <w:tc>
          <w:tcPr>
            <w:tcW w:w="948" w:type="dxa"/>
            <w:shd w:val="clear" w:color="auto" w:fill="auto"/>
            <w:noWrap/>
            <w:vAlign w:val="center"/>
            <w:hideMark/>
          </w:tcPr>
          <w:p w14:paraId="23CE2825" w14:textId="134393B2"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143</w:t>
            </w:r>
          </w:p>
        </w:tc>
        <w:tc>
          <w:tcPr>
            <w:tcW w:w="1076" w:type="dxa"/>
            <w:shd w:val="clear" w:color="auto" w:fill="auto"/>
            <w:noWrap/>
            <w:vAlign w:val="center"/>
          </w:tcPr>
          <w:p w14:paraId="36E6DB86" w14:textId="1D136FF8"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23</w:t>
            </w:r>
          </w:p>
        </w:tc>
        <w:tc>
          <w:tcPr>
            <w:tcW w:w="1320" w:type="dxa"/>
            <w:shd w:val="clear" w:color="auto" w:fill="auto"/>
            <w:noWrap/>
            <w:vAlign w:val="center"/>
          </w:tcPr>
          <w:p w14:paraId="5180737A" w14:textId="0B986A2F"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7</w:t>
            </w:r>
          </w:p>
        </w:tc>
        <w:tc>
          <w:tcPr>
            <w:tcW w:w="1025" w:type="dxa"/>
            <w:shd w:val="clear" w:color="auto" w:fill="auto"/>
            <w:noWrap/>
            <w:vAlign w:val="center"/>
          </w:tcPr>
          <w:p w14:paraId="47DAFA51" w14:textId="434B3267" w:rsidR="000603B4" w:rsidRPr="001B4CA2" w:rsidRDefault="000603B4" w:rsidP="00B94346">
            <w:pPr>
              <w:jc w:val="center"/>
              <w:rPr>
                <w:rFonts w:eastAsia="Times New Roman"/>
                <w:sz w:val="18"/>
                <w:szCs w:val="18"/>
                <w:lang w:eastAsia="hr-HR"/>
              </w:rPr>
            </w:pPr>
            <w:r w:rsidRPr="001B4CA2">
              <w:rPr>
                <w:rFonts w:eastAsia="Times New Roman"/>
                <w:sz w:val="18"/>
                <w:szCs w:val="18"/>
                <w:lang w:eastAsia="hr-HR"/>
              </w:rPr>
              <w:t>1</w:t>
            </w:r>
            <w:r w:rsidR="005C178F" w:rsidRPr="001B4CA2">
              <w:rPr>
                <w:rFonts w:eastAsia="Times New Roman"/>
                <w:sz w:val="18"/>
                <w:szCs w:val="18"/>
                <w:lang w:eastAsia="hr-HR"/>
              </w:rPr>
              <w:t>10</w:t>
            </w:r>
          </w:p>
        </w:tc>
        <w:tc>
          <w:tcPr>
            <w:tcW w:w="793" w:type="dxa"/>
            <w:shd w:val="clear" w:color="auto" w:fill="auto"/>
            <w:noWrap/>
            <w:vAlign w:val="center"/>
          </w:tcPr>
          <w:p w14:paraId="36C1DDF4" w14:textId="6B7A7174" w:rsidR="000603B4" w:rsidRPr="001B4CA2" w:rsidRDefault="000603B4" w:rsidP="00B94346">
            <w:pPr>
              <w:jc w:val="center"/>
              <w:rPr>
                <w:rFonts w:eastAsia="Times New Roman"/>
                <w:sz w:val="18"/>
                <w:szCs w:val="18"/>
                <w:lang w:eastAsia="hr-HR"/>
              </w:rPr>
            </w:pPr>
          </w:p>
        </w:tc>
        <w:tc>
          <w:tcPr>
            <w:tcW w:w="1024" w:type="dxa"/>
            <w:vAlign w:val="center"/>
          </w:tcPr>
          <w:p w14:paraId="42D8DF1B" w14:textId="77777777" w:rsidR="000603B4" w:rsidRPr="001B4CA2" w:rsidRDefault="000603B4" w:rsidP="00B94346">
            <w:pPr>
              <w:jc w:val="center"/>
              <w:rPr>
                <w:rFonts w:eastAsia="Times New Roman"/>
                <w:sz w:val="18"/>
                <w:szCs w:val="18"/>
                <w:lang w:eastAsia="hr-HR"/>
              </w:rPr>
            </w:pPr>
          </w:p>
        </w:tc>
        <w:tc>
          <w:tcPr>
            <w:tcW w:w="962" w:type="dxa"/>
            <w:vAlign w:val="center"/>
          </w:tcPr>
          <w:p w14:paraId="05C97A43" w14:textId="4F879A01" w:rsidR="000603B4" w:rsidRPr="001B4CA2" w:rsidRDefault="000603B4" w:rsidP="00B94346">
            <w:pPr>
              <w:jc w:val="center"/>
              <w:rPr>
                <w:rFonts w:eastAsia="Times New Roman"/>
                <w:sz w:val="18"/>
                <w:szCs w:val="18"/>
                <w:lang w:eastAsia="hr-HR"/>
              </w:rPr>
            </w:pPr>
            <w:r w:rsidRPr="001B4CA2">
              <w:rPr>
                <w:rFonts w:eastAsia="Times New Roman"/>
                <w:sz w:val="18"/>
                <w:szCs w:val="18"/>
                <w:lang w:eastAsia="hr-HR"/>
              </w:rPr>
              <w:t>1</w:t>
            </w:r>
            <w:r w:rsidR="005C178F" w:rsidRPr="001B4CA2">
              <w:rPr>
                <w:rFonts w:eastAsia="Times New Roman"/>
                <w:sz w:val="18"/>
                <w:szCs w:val="18"/>
                <w:lang w:eastAsia="hr-HR"/>
              </w:rPr>
              <w:t>41</w:t>
            </w:r>
          </w:p>
        </w:tc>
        <w:tc>
          <w:tcPr>
            <w:tcW w:w="805" w:type="dxa"/>
            <w:vAlign w:val="center"/>
          </w:tcPr>
          <w:p w14:paraId="0DD5D6C4" w14:textId="77777777" w:rsidR="000603B4" w:rsidRPr="001B4CA2" w:rsidRDefault="000603B4" w:rsidP="00B94346">
            <w:pPr>
              <w:jc w:val="center"/>
              <w:rPr>
                <w:rFonts w:eastAsia="Times New Roman"/>
                <w:sz w:val="18"/>
                <w:szCs w:val="18"/>
                <w:lang w:eastAsia="hr-HR"/>
              </w:rPr>
            </w:pPr>
          </w:p>
        </w:tc>
      </w:tr>
      <w:tr w:rsidR="00532C41" w:rsidRPr="001B4CA2" w14:paraId="56964E6F" w14:textId="5F9CC956" w:rsidTr="004C3A47">
        <w:trPr>
          <w:trHeight w:val="285"/>
          <w:jc w:val="center"/>
        </w:trPr>
        <w:tc>
          <w:tcPr>
            <w:tcW w:w="992" w:type="dxa"/>
            <w:shd w:val="clear" w:color="auto" w:fill="auto"/>
            <w:noWrap/>
            <w:vAlign w:val="center"/>
            <w:hideMark/>
          </w:tcPr>
          <w:p w14:paraId="4FAA8FD5" w14:textId="2C1CCF44" w:rsidR="000603B4" w:rsidRPr="001B4CA2" w:rsidRDefault="000603B4" w:rsidP="00B94346">
            <w:pPr>
              <w:jc w:val="center"/>
              <w:rPr>
                <w:rFonts w:eastAsia="Times New Roman"/>
                <w:sz w:val="18"/>
                <w:szCs w:val="18"/>
                <w:lang w:eastAsia="hr-HR"/>
              </w:rPr>
            </w:pPr>
            <w:r w:rsidRPr="001B4CA2">
              <w:rPr>
                <w:rFonts w:eastAsia="Times New Roman"/>
                <w:sz w:val="18"/>
                <w:szCs w:val="18"/>
                <w:lang w:eastAsia="hr-HR"/>
              </w:rPr>
              <w:t>20</w:t>
            </w:r>
            <w:r w:rsidR="0060074A" w:rsidRPr="001B4CA2">
              <w:rPr>
                <w:rFonts w:eastAsia="Times New Roman"/>
                <w:sz w:val="18"/>
                <w:szCs w:val="18"/>
                <w:lang w:eastAsia="hr-HR"/>
              </w:rPr>
              <w:t>20</w:t>
            </w:r>
            <w:r w:rsidRPr="001B4CA2">
              <w:rPr>
                <w:rFonts w:eastAsia="Times New Roman"/>
                <w:sz w:val="18"/>
                <w:szCs w:val="18"/>
                <w:lang w:eastAsia="hr-HR"/>
              </w:rPr>
              <w:t>.</w:t>
            </w:r>
          </w:p>
        </w:tc>
        <w:tc>
          <w:tcPr>
            <w:tcW w:w="948" w:type="dxa"/>
            <w:shd w:val="clear" w:color="auto" w:fill="auto"/>
            <w:noWrap/>
            <w:vAlign w:val="center"/>
            <w:hideMark/>
          </w:tcPr>
          <w:p w14:paraId="5D5CCFAB" w14:textId="34C2CD13"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160</w:t>
            </w:r>
          </w:p>
        </w:tc>
        <w:tc>
          <w:tcPr>
            <w:tcW w:w="1076" w:type="dxa"/>
            <w:shd w:val="clear" w:color="auto" w:fill="auto"/>
            <w:noWrap/>
            <w:vAlign w:val="center"/>
          </w:tcPr>
          <w:p w14:paraId="4C97C589" w14:textId="53F6FF55"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8</w:t>
            </w:r>
          </w:p>
        </w:tc>
        <w:tc>
          <w:tcPr>
            <w:tcW w:w="1320" w:type="dxa"/>
            <w:shd w:val="clear" w:color="auto" w:fill="auto"/>
            <w:noWrap/>
            <w:vAlign w:val="center"/>
          </w:tcPr>
          <w:p w14:paraId="7582009E" w14:textId="18DEF6D5"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2</w:t>
            </w:r>
          </w:p>
        </w:tc>
        <w:tc>
          <w:tcPr>
            <w:tcW w:w="1025" w:type="dxa"/>
            <w:shd w:val="clear" w:color="auto" w:fill="auto"/>
            <w:noWrap/>
            <w:vAlign w:val="center"/>
          </w:tcPr>
          <w:p w14:paraId="175EA42A" w14:textId="27B1C3A3"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100</w:t>
            </w:r>
          </w:p>
        </w:tc>
        <w:tc>
          <w:tcPr>
            <w:tcW w:w="793" w:type="dxa"/>
            <w:shd w:val="clear" w:color="auto" w:fill="auto"/>
            <w:noWrap/>
            <w:vAlign w:val="center"/>
          </w:tcPr>
          <w:p w14:paraId="24CC8EFD" w14:textId="535F6407" w:rsidR="000603B4" w:rsidRPr="001B4CA2" w:rsidRDefault="000603B4" w:rsidP="00B94346">
            <w:pPr>
              <w:jc w:val="center"/>
              <w:rPr>
                <w:rFonts w:eastAsia="Times New Roman"/>
                <w:sz w:val="18"/>
                <w:szCs w:val="18"/>
                <w:lang w:eastAsia="hr-HR"/>
              </w:rPr>
            </w:pPr>
          </w:p>
        </w:tc>
        <w:tc>
          <w:tcPr>
            <w:tcW w:w="1024" w:type="dxa"/>
            <w:vAlign w:val="center"/>
          </w:tcPr>
          <w:p w14:paraId="6D368E35" w14:textId="52A7BE78"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12</w:t>
            </w:r>
          </w:p>
        </w:tc>
        <w:tc>
          <w:tcPr>
            <w:tcW w:w="962" w:type="dxa"/>
            <w:vAlign w:val="center"/>
          </w:tcPr>
          <w:p w14:paraId="1FE85752" w14:textId="4B53994E"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120</w:t>
            </w:r>
          </w:p>
        </w:tc>
        <w:tc>
          <w:tcPr>
            <w:tcW w:w="805" w:type="dxa"/>
            <w:vAlign w:val="center"/>
          </w:tcPr>
          <w:p w14:paraId="1CE4C18F" w14:textId="1B1563DA"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40</w:t>
            </w:r>
          </w:p>
        </w:tc>
      </w:tr>
      <w:tr w:rsidR="00532C41" w:rsidRPr="001B4CA2" w14:paraId="4E512FEF" w14:textId="77777777" w:rsidTr="004C3A47">
        <w:trPr>
          <w:trHeight w:val="285"/>
          <w:jc w:val="center"/>
        </w:trPr>
        <w:tc>
          <w:tcPr>
            <w:tcW w:w="992" w:type="dxa"/>
            <w:shd w:val="clear" w:color="auto" w:fill="auto"/>
            <w:noWrap/>
            <w:vAlign w:val="center"/>
          </w:tcPr>
          <w:p w14:paraId="2FC7D2F9" w14:textId="35319D65" w:rsidR="000603B4" w:rsidRPr="001B4CA2" w:rsidRDefault="000603B4" w:rsidP="00B94346">
            <w:pPr>
              <w:jc w:val="center"/>
              <w:rPr>
                <w:rFonts w:eastAsia="Times New Roman"/>
                <w:sz w:val="18"/>
                <w:szCs w:val="18"/>
                <w:lang w:eastAsia="hr-HR"/>
              </w:rPr>
            </w:pPr>
            <w:r w:rsidRPr="001B4CA2">
              <w:rPr>
                <w:rFonts w:eastAsia="Times New Roman"/>
                <w:sz w:val="18"/>
                <w:szCs w:val="18"/>
                <w:lang w:eastAsia="hr-HR"/>
              </w:rPr>
              <w:t>202</w:t>
            </w:r>
            <w:r w:rsidR="0060074A" w:rsidRPr="001B4CA2">
              <w:rPr>
                <w:rFonts w:eastAsia="Times New Roman"/>
                <w:sz w:val="18"/>
                <w:szCs w:val="18"/>
                <w:lang w:eastAsia="hr-HR"/>
              </w:rPr>
              <w:t>1</w:t>
            </w:r>
            <w:r w:rsidRPr="001B4CA2">
              <w:rPr>
                <w:rFonts w:eastAsia="Times New Roman"/>
                <w:sz w:val="18"/>
                <w:szCs w:val="18"/>
                <w:lang w:eastAsia="hr-HR"/>
              </w:rPr>
              <w:t>.</w:t>
            </w:r>
          </w:p>
        </w:tc>
        <w:tc>
          <w:tcPr>
            <w:tcW w:w="948" w:type="dxa"/>
            <w:shd w:val="clear" w:color="auto" w:fill="auto"/>
            <w:noWrap/>
            <w:vAlign w:val="center"/>
          </w:tcPr>
          <w:p w14:paraId="1FF5629E" w14:textId="0E2C9A1B"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122</w:t>
            </w:r>
          </w:p>
        </w:tc>
        <w:tc>
          <w:tcPr>
            <w:tcW w:w="1076" w:type="dxa"/>
            <w:shd w:val="clear" w:color="auto" w:fill="auto"/>
            <w:noWrap/>
            <w:vAlign w:val="center"/>
          </w:tcPr>
          <w:p w14:paraId="23D4F7CE" w14:textId="2614C754"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16</w:t>
            </w:r>
          </w:p>
        </w:tc>
        <w:tc>
          <w:tcPr>
            <w:tcW w:w="1320" w:type="dxa"/>
            <w:shd w:val="clear" w:color="auto" w:fill="auto"/>
            <w:noWrap/>
            <w:vAlign w:val="center"/>
          </w:tcPr>
          <w:p w14:paraId="3C335A5A" w14:textId="3CB016EE" w:rsidR="000603B4" w:rsidRPr="001B4CA2" w:rsidRDefault="000603B4" w:rsidP="00B94346">
            <w:pPr>
              <w:jc w:val="center"/>
              <w:rPr>
                <w:rFonts w:eastAsia="Times New Roman"/>
                <w:sz w:val="18"/>
                <w:szCs w:val="18"/>
                <w:lang w:eastAsia="hr-HR"/>
              </w:rPr>
            </w:pPr>
          </w:p>
        </w:tc>
        <w:tc>
          <w:tcPr>
            <w:tcW w:w="1025" w:type="dxa"/>
            <w:shd w:val="clear" w:color="auto" w:fill="auto"/>
            <w:noWrap/>
            <w:vAlign w:val="center"/>
          </w:tcPr>
          <w:p w14:paraId="191DF13C" w14:textId="6E4D47CA"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78</w:t>
            </w:r>
          </w:p>
        </w:tc>
        <w:tc>
          <w:tcPr>
            <w:tcW w:w="793" w:type="dxa"/>
            <w:shd w:val="clear" w:color="auto" w:fill="auto"/>
            <w:noWrap/>
            <w:vAlign w:val="center"/>
          </w:tcPr>
          <w:p w14:paraId="2CBC49AA" w14:textId="04773A67"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2</w:t>
            </w:r>
          </w:p>
        </w:tc>
        <w:tc>
          <w:tcPr>
            <w:tcW w:w="1024" w:type="dxa"/>
            <w:vAlign w:val="center"/>
          </w:tcPr>
          <w:p w14:paraId="4E62C172" w14:textId="7F59C850"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2</w:t>
            </w:r>
          </w:p>
        </w:tc>
        <w:tc>
          <w:tcPr>
            <w:tcW w:w="962" w:type="dxa"/>
            <w:vAlign w:val="center"/>
          </w:tcPr>
          <w:p w14:paraId="3DA3FF37" w14:textId="7BCEE2A8"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99</w:t>
            </w:r>
          </w:p>
        </w:tc>
        <w:tc>
          <w:tcPr>
            <w:tcW w:w="805" w:type="dxa"/>
            <w:vAlign w:val="center"/>
          </w:tcPr>
          <w:p w14:paraId="5782C1C9" w14:textId="1354286C"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23</w:t>
            </w:r>
          </w:p>
        </w:tc>
      </w:tr>
      <w:tr w:rsidR="000603B4" w:rsidRPr="001B4CA2" w14:paraId="37051B0C" w14:textId="0EE25236" w:rsidTr="004C3A47">
        <w:trPr>
          <w:trHeight w:val="300"/>
          <w:jc w:val="center"/>
        </w:trPr>
        <w:tc>
          <w:tcPr>
            <w:tcW w:w="992" w:type="dxa"/>
            <w:shd w:val="clear" w:color="auto" w:fill="auto"/>
            <w:noWrap/>
            <w:vAlign w:val="center"/>
          </w:tcPr>
          <w:p w14:paraId="5F4BDFF3" w14:textId="22719103" w:rsidR="000603B4" w:rsidRPr="001B4CA2" w:rsidRDefault="000603B4" w:rsidP="00B94346">
            <w:pPr>
              <w:jc w:val="center"/>
              <w:rPr>
                <w:rFonts w:eastAsia="Times New Roman"/>
                <w:sz w:val="18"/>
                <w:szCs w:val="18"/>
                <w:lang w:eastAsia="hr-HR"/>
              </w:rPr>
            </w:pPr>
            <w:r w:rsidRPr="001B4CA2">
              <w:rPr>
                <w:rFonts w:eastAsia="Times New Roman"/>
                <w:sz w:val="18"/>
                <w:szCs w:val="18"/>
                <w:lang w:eastAsia="hr-HR"/>
              </w:rPr>
              <w:t>202</w:t>
            </w:r>
            <w:r w:rsidR="0060074A" w:rsidRPr="001B4CA2">
              <w:rPr>
                <w:rFonts w:eastAsia="Times New Roman"/>
                <w:sz w:val="18"/>
                <w:szCs w:val="18"/>
                <w:lang w:eastAsia="hr-HR"/>
              </w:rPr>
              <w:t>2</w:t>
            </w:r>
            <w:r w:rsidRPr="001B4CA2">
              <w:rPr>
                <w:rFonts w:eastAsia="Times New Roman"/>
                <w:sz w:val="18"/>
                <w:szCs w:val="18"/>
                <w:lang w:eastAsia="hr-HR"/>
              </w:rPr>
              <w:t>.</w:t>
            </w:r>
          </w:p>
        </w:tc>
        <w:tc>
          <w:tcPr>
            <w:tcW w:w="948" w:type="dxa"/>
            <w:shd w:val="clear" w:color="auto" w:fill="auto"/>
            <w:noWrap/>
            <w:vAlign w:val="center"/>
          </w:tcPr>
          <w:p w14:paraId="7CDB4F21" w14:textId="22AA7DC6"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137</w:t>
            </w:r>
          </w:p>
        </w:tc>
        <w:tc>
          <w:tcPr>
            <w:tcW w:w="1076" w:type="dxa"/>
            <w:shd w:val="clear" w:color="auto" w:fill="auto"/>
            <w:noWrap/>
            <w:vAlign w:val="center"/>
          </w:tcPr>
          <w:p w14:paraId="0477ADBD" w14:textId="7DA3E66B"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12</w:t>
            </w:r>
          </w:p>
        </w:tc>
        <w:tc>
          <w:tcPr>
            <w:tcW w:w="1320" w:type="dxa"/>
            <w:shd w:val="clear" w:color="auto" w:fill="auto"/>
            <w:noWrap/>
            <w:vAlign w:val="center"/>
          </w:tcPr>
          <w:p w14:paraId="7E50CBCD" w14:textId="4A6C823A" w:rsidR="000603B4" w:rsidRPr="001B4CA2" w:rsidRDefault="0060074A" w:rsidP="00B94346">
            <w:pPr>
              <w:jc w:val="center"/>
              <w:rPr>
                <w:rFonts w:eastAsia="Times New Roman"/>
                <w:sz w:val="18"/>
                <w:szCs w:val="18"/>
                <w:lang w:eastAsia="hr-HR"/>
              </w:rPr>
            </w:pPr>
            <w:r w:rsidRPr="001B4CA2">
              <w:rPr>
                <w:rFonts w:eastAsia="Times New Roman"/>
                <w:sz w:val="18"/>
                <w:szCs w:val="18"/>
                <w:lang w:eastAsia="hr-HR"/>
              </w:rPr>
              <w:t>3</w:t>
            </w:r>
          </w:p>
        </w:tc>
        <w:tc>
          <w:tcPr>
            <w:tcW w:w="1025" w:type="dxa"/>
            <w:shd w:val="clear" w:color="auto" w:fill="auto"/>
            <w:noWrap/>
            <w:vAlign w:val="center"/>
          </w:tcPr>
          <w:p w14:paraId="7CA774C0" w14:textId="2701A081"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80</w:t>
            </w:r>
          </w:p>
        </w:tc>
        <w:tc>
          <w:tcPr>
            <w:tcW w:w="793" w:type="dxa"/>
            <w:shd w:val="clear" w:color="auto" w:fill="auto"/>
            <w:noWrap/>
            <w:vAlign w:val="center"/>
          </w:tcPr>
          <w:p w14:paraId="3F36DE90" w14:textId="6C5E23D4"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0</w:t>
            </w:r>
          </w:p>
        </w:tc>
        <w:tc>
          <w:tcPr>
            <w:tcW w:w="1024" w:type="dxa"/>
            <w:vAlign w:val="center"/>
          </w:tcPr>
          <w:p w14:paraId="01A4F94C" w14:textId="60718DCD"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5</w:t>
            </w:r>
          </w:p>
        </w:tc>
        <w:tc>
          <w:tcPr>
            <w:tcW w:w="962" w:type="dxa"/>
            <w:vAlign w:val="center"/>
          </w:tcPr>
          <w:p w14:paraId="28548F62" w14:textId="6F54DFA9"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97</w:t>
            </w:r>
          </w:p>
        </w:tc>
        <w:tc>
          <w:tcPr>
            <w:tcW w:w="805" w:type="dxa"/>
            <w:vAlign w:val="center"/>
          </w:tcPr>
          <w:p w14:paraId="1B788B21" w14:textId="0CCA0958" w:rsidR="000603B4" w:rsidRPr="001B4CA2" w:rsidRDefault="005C178F" w:rsidP="00B94346">
            <w:pPr>
              <w:jc w:val="center"/>
              <w:rPr>
                <w:rFonts w:eastAsia="Times New Roman"/>
                <w:sz w:val="18"/>
                <w:szCs w:val="18"/>
                <w:lang w:eastAsia="hr-HR"/>
              </w:rPr>
            </w:pPr>
            <w:r w:rsidRPr="001B4CA2">
              <w:rPr>
                <w:rFonts w:eastAsia="Times New Roman"/>
                <w:sz w:val="18"/>
                <w:szCs w:val="18"/>
                <w:lang w:eastAsia="hr-HR"/>
              </w:rPr>
              <w:t>40</w:t>
            </w:r>
          </w:p>
        </w:tc>
      </w:tr>
    </w:tbl>
    <w:p w14:paraId="2EF7B467" w14:textId="77777777" w:rsidR="00D802FD" w:rsidRPr="001B4CA2" w:rsidRDefault="00D802FD" w:rsidP="00385480"/>
    <w:p w14:paraId="36CC00EA" w14:textId="77777777" w:rsidR="005C178F" w:rsidRPr="001B4CA2" w:rsidRDefault="005C178F" w:rsidP="005C178F">
      <w:pPr>
        <w:ind w:firstLine="708"/>
      </w:pPr>
      <w:r w:rsidRPr="001B4CA2">
        <w:t>U izvještajnom razdoblju državni odvjetnici imali su u radu ukupno 137 predmeta u kojima su po dovršenom pripremnom postupku trebali donijeti odluku, neovisno o tome kada je doneseno rješenje o provođenju pripremnog postupka.</w:t>
      </w:r>
    </w:p>
    <w:p w14:paraId="4B4BD8DD" w14:textId="77777777" w:rsidR="005C178F" w:rsidRPr="001B4CA2" w:rsidRDefault="005C178F" w:rsidP="005C178F"/>
    <w:p w14:paraId="37CB778B" w14:textId="77777777" w:rsidR="005C178F" w:rsidRPr="001B4CA2" w:rsidRDefault="005C178F" w:rsidP="005C178F">
      <w:pPr>
        <w:ind w:firstLine="708"/>
      </w:pPr>
      <w:r w:rsidRPr="001B4CA2">
        <w:t>U najvećem broju slučajeva državni odvjetnici stavili su prijedlog za izricanje maloljetničke sankcije (58,4 %), dok su u odnosu na 8,8 % donijeli rješenje o obustavi pripremnog postupka iz nekog od razloga propisanih u odredbi članka 224. stavka 1. točke 1. do 4. Zakona o kaznenom postupku.</w:t>
      </w:r>
    </w:p>
    <w:p w14:paraId="6C41094D" w14:textId="77777777" w:rsidR="00C84EEE" w:rsidRPr="001B4CA2" w:rsidRDefault="00C84EEE" w:rsidP="00385480"/>
    <w:p w14:paraId="79A134E4" w14:textId="77777777" w:rsidR="00BB4D48" w:rsidRPr="001B4CA2" w:rsidRDefault="00BB4D48" w:rsidP="00257FA8">
      <w:pPr>
        <w:pStyle w:val="Naslov4"/>
        <w:tabs>
          <w:tab w:val="left" w:pos="993"/>
        </w:tabs>
        <w:ind w:left="284" w:firstLine="0"/>
        <w:rPr>
          <w:rFonts w:ascii="Arial" w:hAnsi="Arial" w:cs="Arial"/>
        </w:rPr>
      </w:pPr>
      <w:bookmarkStart w:id="56" w:name="_Toc133394316"/>
      <w:r w:rsidRPr="001B4CA2">
        <w:rPr>
          <w:rFonts w:ascii="Arial" w:hAnsi="Arial" w:cs="Arial"/>
        </w:rPr>
        <w:t>Optuženja i od</w:t>
      </w:r>
      <w:r w:rsidR="00CE234E" w:rsidRPr="001B4CA2">
        <w:rPr>
          <w:rFonts w:ascii="Arial" w:hAnsi="Arial" w:cs="Arial"/>
        </w:rPr>
        <w:t>luke sudova povodom optuženja</w:t>
      </w:r>
      <w:bookmarkEnd w:id="56"/>
    </w:p>
    <w:p w14:paraId="313AE8AE" w14:textId="77777777" w:rsidR="009F5A63" w:rsidRPr="001B4CA2" w:rsidRDefault="009F5A63" w:rsidP="00385480"/>
    <w:p w14:paraId="2B48168A" w14:textId="6158FBBA" w:rsidR="00A73F74" w:rsidRPr="001B4CA2" w:rsidRDefault="001B4CA2" w:rsidP="00EC2446">
      <w:pPr>
        <w:ind w:left="-142"/>
        <w:rPr>
          <w:i/>
        </w:rPr>
      </w:pPr>
      <w:r>
        <w:rPr>
          <w:i/>
        </w:rPr>
        <w:tab/>
      </w:r>
      <w:r w:rsidR="00365407">
        <w:rPr>
          <w:i/>
        </w:rPr>
        <w:t xml:space="preserve"> </w:t>
      </w:r>
      <w:r w:rsidR="00A73F74" w:rsidRPr="001B4CA2">
        <w:rPr>
          <w:i/>
        </w:rPr>
        <w:t>Optužnice u radu u državnom odvjetništvu (bez maloljetnika)</w:t>
      </w:r>
    </w:p>
    <w:tbl>
      <w:tblPr>
        <w:tblW w:w="931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6"/>
        <w:gridCol w:w="832"/>
        <w:gridCol w:w="1053"/>
        <w:gridCol w:w="832"/>
        <w:gridCol w:w="1309"/>
        <w:gridCol w:w="1128"/>
        <w:gridCol w:w="1128"/>
        <w:gridCol w:w="1096"/>
        <w:gridCol w:w="1096"/>
      </w:tblGrid>
      <w:tr w:rsidR="00790225" w:rsidRPr="001B4CA2" w14:paraId="764B68A5" w14:textId="77777777" w:rsidTr="009A1E7E">
        <w:trPr>
          <w:trHeight w:val="316"/>
        </w:trPr>
        <w:tc>
          <w:tcPr>
            <w:tcW w:w="836" w:type="dxa"/>
            <w:vMerge w:val="restart"/>
            <w:shd w:val="clear" w:color="000000" w:fill="99CCFF"/>
            <w:vAlign w:val="center"/>
            <w:hideMark/>
          </w:tcPr>
          <w:p w14:paraId="457930B0" w14:textId="77777777" w:rsidR="00790225" w:rsidRPr="001B4CA2" w:rsidRDefault="00790225" w:rsidP="00790225">
            <w:pPr>
              <w:jc w:val="center"/>
              <w:rPr>
                <w:rFonts w:eastAsia="Times New Roman"/>
                <w:b/>
                <w:bCs/>
                <w:color w:val="000000"/>
                <w:sz w:val="18"/>
                <w:szCs w:val="18"/>
                <w:lang w:eastAsia="hr-HR"/>
              </w:rPr>
            </w:pPr>
            <w:r w:rsidRPr="001B4CA2">
              <w:rPr>
                <w:rFonts w:eastAsia="Times New Roman"/>
                <w:b/>
                <w:bCs/>
                <w:color w:val="000000"/>
                <w:sz w:val="18"/>
                <w:szCs w:val="18"/>
                <w:lang w:eastAsia="hr-HR"/>
              </w:rPr>
              <w:t>Godina</w:t>
            </w:r>
          </w:p>
        </w:tc>
        <w:tc>
          <w:tcPr>
            <w:tcW w:w="832" w:type="dxa"/>
            <w:vMerge w:val="restart"/>
            <w:shd w:val="clear" w:color="000000" w:fill="99CCFF"/>
            <w:vAlign w:val="center"/>
            <w:hideMark/>
          </w:tcPr>
          <w:p w14:paraId="554DB7DD" w14:textId="77777777" w:rsidR="00790225" w:rsidRPr="001B4CA2" w:rsidRDefault="00790225" w:rsidP="00790225">
            <w:pPr>
              <w:jc w:val="center"/>
              <w:rPr>
                <w:rFonts w:eastAsia="Times New Roman"/>
                <w:b/>
                <w:bCs/>
                <w:color w:val="000000"/>
                <w:sz w:val="18"/>
                <w:szCs w:val="18"/>
                <w:lang w:eastAsia="hr-HR"/>
              </w:rPr>
            </w:pPr>
            <w:r w:rsidRPr="001B4CA2">
              <w:rPr>
                <w:rFonts w:eastAsia="Times New Roman"/>
                <w:b/>
                <w:bCs/>
                <w:color w:val="000000"/>
                <w:sz w:val="18"/>
                <w:szCs w:val="18"/>
                <w:lang w:eastAsia="hr-HR"/>
              </w:rPr>
              <w:t xml:space="preserve">Ostalo u radu pred sudom </w:t>
            </w:r>
          </w:p>
        </w:tc>
        <w:tc>
          <w:tcPr>
            <w:tcW w:w="1053" w:type="dxa"/>
            <w:vMerge w:val="restart"/>
            <w:shd w:val="clear" w:color="000000" w:fill="99CCFF"/>
            <w:vAlign w:val="center"/>
            <w:hideMark/>
          </w:tcPr>
          <w:p w14:paraId="219370A7" w14:textId="77777777" w:rsidR="00790225" w:rsidRPr="001B4CA2" w:rsidRDefault="00790225" w:rsidP="00790225">
            <w:pPr>
              <w:jc w:val="center"/>
              <w:rPr>
                <w:rFonts w:eastAsia="Times New Roman"/>
                <w:b/>
                <w:bCs/>
                <w:color w:val="000000"/>
                <w:sz w:val="18"/>
                <w:szCs w:val="18"/>
                <w:lang w:eastAsia="hr-HR"/>
              </w:rPr>
            </w:pPr>
            <w:r w:rsidRPr="001B4CA2">
              <w:rPr>
                <w:rFonts w:eastAsia="Times New Roman"/>
                <w:b/>
                <w:bCs/>
                <w:color w:val="000000"/>
                <w:sz w:val="18"/>
                <w:szCs w:val="18"/>
                <w:lang w:eastAsia="hr-HR"/>
              </w:rPr>
              <w:t>Od toga pred optužnim vijećem</w:t>
            </w:r>
          </w:p>
        </w:tc>
        <w:tc>
          <w:tcPr>
            <w:tcW w:w="832" w:type="dxa"/>
            <w:vMerge w:val="restart"/>
            <w:shd w:val="clear" w:color="000000" w:fill="99CCFF"/>
            <w:vAlign w:val="center"/>
            <w:hideMark/>
          </w:tcPr>
          <w:p w14:paraId="30558891" w14:textId="77777777" w:rsidR="00790225" w:rsidRPr="001B4CA2" w:rsidRDefault="00790225" w:rsidP="00790225">
            <w:pPr>
              <w:jc w:val="center"/>
              <w:rPr>
                <w:rFonts w:eastAsia="Times New Roman"/>
                <w:b/>
                <w:bCs/>
                <w:color w:val="000000"/>
                <w:sz w:val="18"/>
                <w:szCs w:val="18"/>
                <w:lang w:eastAsia="hr-HR"/>
              </w:rPr>
            </w:pPr>
            <w:r w:rsidRPr="001B4CA2">
              <w:rPr>
                <w:rFonts w:eastAsia="Times New Roman"/>
                <w:b/>
                <w:bCs/>
                <w:color w:val="000000"/>
                <w:sz w:val="18"/>
                <w:szCs w:val="18"/>
                <w:lang w:eastAsia="hr-HR"/>
              </w:rPr>
              <w:t xml:space="preserve">Pred sudom nakon </w:t>
            </w:r>
            <w:proofErr w:type="spellStart"/>
            <w:r w:rsidRPr="001B4CA2">
              <w:rPr>
                <w:rFonts w:eastAsia="Times New Roman"/>
                <w:b/>
                <w:bCs/>
                <w:color w:val="000000"/>
                <w:sz w:val="18"/>
                <w:szCs w:val="18"/>
                <w:lang w:eastAsia="hr-HR"/>
              </w:rPr>
              <w:t>ukidne</w:t>
            </w:r>
            <w:proofErr w:type="spellEnd"/>
            <w:r w:rsidRPr="001B4CA2">
              <w:rPr>
                <w:rFonts w:eastAsia="Times New Roman"/>
                <w:b/>
                <w:bCs/>
                <w:color w:val="000000"/>
                <w:sz w:val="18"/>
                <w:szCs w:val="18"/>
                <w:lang w:eastAsia="hr-HR"/>
              </w:rPr>
              <w:t xml:space="preserve"> odluke</w:t>
            </w:r>
          </w:p>
        </w:tc>
        <w:tc>
          <w:tcPr>
            <w:tcW w:w="4661" w:type="dxa"/>
            <w:gridSpan w:val="4"/>
            <w:shd w:val="clear" w:color="000000" w:fill="99CCFF"/>
            <w:vAlign w:val="center"/>
            <w:hideMark/>
          </w:tcPr>
          <w:p w14:paraId="5C64EA9B" w14:textId="77777777" w:rsidR="00790225" w:rsidRPr="001B4CA2" w:rsidRDefault="00790225" w:rsidP="00790225">
            <w:pPr>
              <w:jc w:val="center"/>
              <w:rPr>
                <w:rFonts w:eastAsia="Times New Roman"/>
                <w:b/>
                <w:bCs/>
                <w:color w:val="000000"/>
                <w:sz w:val="18"/>
                <w:szCs w:val="18"/>
                <w:lang w:eastAsia="hr-HR"/>
              </w:rPr>
            </w:pPr>
            <w:r w:rsidRPr="001B4CA2">
              <w:rPr>
                <w:rFonts w:eastAsia="Times New Roman"/>
                <w:b/>
                <w:bCs/>
                <w:color w:val="000000"/>
                <w:sz w:val="18"/>
                <w:szCs w:val="18"/>
                <w:lang w:eastAsia="hr-HR"/>
              </w:rPr>
              <w:t>Odluke DO – optužnice</w:t>
            </w:r>
          </w:p>
        </w:tc>
        <w:tc>
          <w:tcPr>
            <w:tcW w:w="1096" w:type="dxa"/>
            <w:vMerge w:val="restart"/>
            <w:shd w:val="clear" w:color="000000" w:fill="99CCFF"/>
            <w:vAlign w:val="center"/>
            <w:hideMark/>
          </w:tcPr>
          <w:p w14:paraId="26892489" w14:textId="77777777" w:rsidR="00790225" w:rsidRPr="001B4CA2" w:rsidRDefault="00790225" w:rsidP="00790225">
            <w:pPr>
              <w:jc w:val="center"/>
              <w:rPr>
                <w:rFonts w:eastAsia="Times New Roman"/>
                <w:b/>
                <w:bCs/>
                <w:color w:val="000000"/>
                <w:sz w:val="18"/>
                <w:szCs w:val="18"/>
                <w:lang w:eastAsia="hr-HR"/>
              </w:rPr>
            </w:pPr>
            <w:r w:rsidRPr="001B4CA2">
              <w:rPr>
                <w:rFonts w:eastAsia="Times New Roman"/>
                <w:b/>
                <w:bCs/>
                <w:color w:val="000000"/>
                <w:sz w:val="18"/>
                <w:szCs w:val="18"/>
                <w:lang w:eastAsia="hr-HR"/>
              </w:rPr>
              <w:t>Ukupno optužnica u radu</w:t>
            </w:r>
          </w:p>
        </w:tc>
      </w:tr>
      <w:tr w:rsidR="00694037" w:rsidRPr="001B4CA2" w14:paraId="78CFABC1" w14:textId="77777777" w:rsidTr="009A1E7E">
        <w:trPr>
          <w:trHeight w:val="918"/>
        </w:trPr>
        <w:tc>
          <w:tcPr>
            <w:tcW w:w="836" w:type="dxa"/>
            <w:vMerge/>
            <w:vAlign w:val="center"/>
            <w:hideMark/>
          </w:tcPr>
          <w:p w14:paraId="45FA69B8" w14:textId="77777777" w:rsidR="00790225" w:rsidRPr="001B4CA2" w:rsidRDefault="00790225" w:rsidP="00790225">
            <w:pPr>
              <w:jc w:val="left"/>
              <w:rPr>
                <w:rFonts w:eastAsia="Times New Roman"/>
                <w:b/>
                <w:bCs/>
                <w:color w:val="000000"/>
                <w:sz w:val="18"/>
                <w:szCs w:val="18"/>
                <w:lang w:eastAsia="hr-HR"/>
              </w:rPr>
            </w:pPr>
          </w:p>
        </w:tc>
        <w:tc>
          <w:tcPr>
            <w:tcW w:w="832" w:type="dxa"/>
            <w:vMerge/>
            <w:vAlign w:val="center"/>
            <w:hideMark/>
          </w:tcPr>
          <w:p w14:paraId="32B68159" w14:textId="77777777" w:rsidR="00790225" w:rsidRPr="001B4CA2" w:rsidRDefault="00790225" w:rsidP="00790225">
            <w:pPr>
              <w:jc w:val="left"/>
              <w:rPr>
                <w:rFonts w:eastAsia="Times New Roman"/>
                <w:b/>
                <w:bCs/>
                <w:color w:val="000000"/>
                <w:sz w:val="18"/>
                <w:szCs w:val="18"/>
                <w:lang w:eastAsia="hr-HR"/>
              </w:rPr>
            </w:pPr>
          </w:p>
        </w:tc>
        <w:tc>
          <w:tcPr>
            <w:tcW w:w="1053" w:type="dxa"/>
            <w:vMerge/>
            <w:vAlign w:val="center"/>
            <w:hideMark/>
          </w:tcPr>
          <w:p w14:paraId="1E8D1471" w14:textId="77777777" w:rsidR="00790225" w:rsidRPr="001B4CA2" w:rsidRDefault="00790225" w:rsidP="00790225">
            <w:pPr>
              <w:jc w:val="left"/>
              <w:rPr>
                <w:rFonts w:eastAsia="Times New Roman"/>
                <w:b/>
                <w:bCs/>
                <w:color w:val="000000"/>
                <w:sz w:val="18"/>
                <w:szCs w:val="18"/>
                <w:lang w:eastAsia="hr-HR"/>
              </w:rPr>
            </w:pPr>
          </w:p>
        </w:tc>
        <w:tc>
          <w:tcPr>
            <w:tcW w:w="832" w:type="dxa"/>
            <w:vMerge/>
            <w:vAlign w:val="center"/>
            <w:hideMark/>
          </w:tcPr>
          <w:p w14:paraId="2555F61D" w14:textId="77777777" w:rsidR="00790225" w:rsidRPr="001B4CA2" w:rsidRDefault="00790225" w:rsidP="00790225">
            <w:pPr>
              <w:jc w:val="left"/>
              <w:rPr>
                <w:rFonts w:eastAsia="Times New Roman"/>
                <w:b/>
                <w:bCs/>
                <w:color w:val="000000"/>
                <w:sz w:val="18"/>
                <w:szCs w:val="18"/>
                <w:lang w:eastAsia="hr-HR"/>
              </w:rPr>
            </w:pPr>
          </w:p>
        </w:tc>
        <w:tc>
          <w:tcPr>
            <w:tcW w:w="1309" w:type="dxa"/>
            <w:shd w:val="clear" w:color="000000" w:fill="99CCFF"/>
            <w:vAlign w:val="center"/>
            <w:hideMark/>
          </w:tcPr>
          <w:p w14:paraId="6DCF7FD0" w14:textId="77777777" w:rsidR="00790225" w:rsidRPr="001B4CA2" w:rsidRDefault="00790225" w:rsidP="00790225">
            <w:pPr>
              <w:jc w:val="center"/>
              <w:rPr>
                <w:rFonts w:eastAsia="Times New Roman"/>
                <w:b/>
                <w:bCs/>
                <w:color w:val="000000"/>
                <w:sz w:val="18"/>
                <w:szCs w:val="18"/>
                <w:lang w:eastAsia="hr-HR"/>
              </w:rPr>
            </w:pPr>
            <w:r w:rsidRPr="001B4CA2">
              <w:rPr>
                <w:rFonts w:eastAsia="Times New Roman"/>
                <w:b/>
                <w:bCs/>
                <w:color w:val="000000"/>
                <w:sz w:val="18"/>
                <w:szCs w:val="18"/>
                <w:lang w:eastAsia="hr-HR"/>
              </w:rPr>
              <w:t>Neposredna optužnica</w:t>
            </w:r>
          </w:p>
        </w:tc>
        <w:tc>
          <w:tcPr>
            <w:tcW w:w="1128" w:type="dxa"/>
            <w:shd w:val="clear" w:color="000000" w:fill="99CCFF"/>
            <w:vAlign w:val="center"/>
            <w:hideMark/>
          </w:tcPr>
          <w:p w14:paraId="4C674121" w14:textId="77777777" w:rsidR="00790225" w:rsidRPr="001B4CA2" w:rsidRDefault="00790225" w:rsidP="00790225">
            <w:pPr>
              <w:jc w:val="center"/>
              <w:rPr>
                <w:rFonts w:eastAsia="Times New Roman"/>
                <w:b/>
                <w:bCs/>
                <w:color w:val="000000"/>
                <w:sz w:val="18"/>
                <w:szCs w:val="18"/>
                <w:lang w:eastAsia="hr-HR"/>
              </w:rPr>
            </w:pPr>
            <w:r w:rsidRPr="001B4CA2">
              <w:rPr>
                <w:rFonts w:eastAsia="Times New Roman"/>
                <w:b/>
                <w:bCs/>
                <w:color w:val="000000"/>
                <w:sz w:val="18"/>
                <w:szCs w:val="18"/>
                <w:lang w:eastAsia="hr-HR"/>
              </w:rPr>
              <w:t>Optužnica s kaznenim nalogom</w:t>
            </w:r>
          </w:p>
        </w:tc>
        <w:tc>
          <w:tcPr>
            <w:tcW w:w="1128" w:type="dxa"/>
            <w:shd w:val="clear" w:color="000000" w:fill="99CCFF"/>
            <w:vAlign w:val="center"/>
            <w:hideMark/>
          </w:tcPr>
          <w:p w14:paraId="303A5E7D" w14:textId="77777777" w:rsidR="00790225" w:rsidRPr="001B4CA2" w:rsidRDefault="00790225" w:rsidP="00790225">
            <w:pPr>
              <w:jc w:val="center"/>
              <w:rPr>
                <w:rFonts w:eastAsia="Times New Roman"/>
                <w:b/>
                <w:bCs/>
                <w:color w:val="000000"/>
                <w:sz w:val="18"/>
                <w:szCs w:val="18"/>
                <w:lang w:eastAsia="hr-HR"/>
              </w:rPr>
            </w:pPr>
            <w:r w:rsidRPr="001B4CA2">
              <w:rPr>
                <w:rFonts w:eastAsia="Times New Roman"/>
                <w:b/>
                <w:bCs/>
                <w:color w:val="000000"/>
                <w:sz w:val="18"/>
                <w:szCs w:val="18"/>
                <w:lang w:eastAsia="hr-HR"/>
              </w:rPr>
              <w:t>Optužnica nakon istrage</w:t>
            </w:r>
          </w:p>
        </w:tc>
        <w:tc>
          <w:tcPr>
            <w:tcW w:w="1096" w:type="dxa"/>
            <w:shd w:val="clear" w:color="000000" w:fill="99CCFF"/>
            <w:vAlign w:val="center"/>
            <w:hideMark/>
          </w:tcPr>
          <w:p w14:paraId="4A47B089" w14:textId="77777777" w:rsidR="00790225" w:rsidRPr="001B4CA2" w:rsidRDefault="00790225" w:rsidP="00790225">
            <w:pPr>
              <w:jc w:val="center"/>
              <w:rPr>
                <w:rFonts w:eastAsia="Times New Roman"/>
                <w:b/>
                <w:bCs/>
                <w:color w:val="000000"/>
                <w:sz w:val="18"/>
                <w:szCs w:val="18"/>
                <w:lang w:eastAsia="hr-HR"/>
              </w:rPr>
            </w:pPr>
            <w:r w:rsidRPr="001B4CA2">
              <w:rPr>
                <w:rFonts w:eastAsia="Times New Roman"/>
                <w:b/>
                <w:bCs/>
                <w:color w:val="000000"/>
                <w:sz w:val="18"/>
                <w:szCs w:val="18"/>
                <w:lang w:eastAsia="hr-HR"/>
              </w:rPr>
              <w:t>Ukupno optužnica</w:t>
            </w:r>
          </w:p>
        </w:tc>
        <w:tc>
          <w:tcPr>
            <w:tcW w:w="1096" w:type="dxa"/>
            <w:vMerge/>
            <w:vAlign w:val="center"/>
            <w:hideMark/>
          </w:tcPr>
          <w:p w14:paraId="3B4C4A6B" w14:textId="77777777" w:rsidR="00790225" w:rsidRPr="001B4CA2" w:rsidRDefault="00790225" w:rsidP="00790225">
            <w:pPr>
              <w:jc w:val="left"/>
              <w:rPr>
                <w:rFonts w:eastAsia="Times New Roman"/>
                <w:b/>
                <w:bCs/>
                <w:color w:val="000000"/>
                <w:sz w:val="18"/>
                <w:szCs w:val="18"/>
                <w:lang w:eastAsia="hr-HR"/>
              </w:rPr>
            </w:pPr>
          </w:p>
        </w:tc>
      </w:tr>
      <w:tr w:rsidR="00694037" w:rsidRPr="001B4CA2" w14:paraId="2235DA3D" w14:textId="77777777" w:rsidTr="009A1E7E">
        <w:trPr>
          <w:trHeight w:val="301"/>
        </w:trPr>
        <w:tc>
          <w:tcPr>
            <w:tcW w:w="836" w:type="dxa"/>
            <w:shd w:val="clear" w:color="auto" w:fill="auto"/>
            <w:vAlign w:val="center"/>
            <w:hideMark/>
          </w:tcPr>
          <w:p w14:paraId="51FD16DB" w14:textId="4A7AE1A3" w:rsidR="00790225" w:rsidRPr="001B4CA2" w:rsidRDefault="00790225" w:rsidP="00EC2446">
            <w:pPr>
              <w:jc w:val="center"/>
              <w:rPr>
                <w:rFonts w:eastAsia="Times New Roman"/>
                <w:color w:val="000000"/>
                <w:sz w:val="18"/>
                <w:szCs w:val="18"/>
                <w:lang w:eastAsia="hr-HR"/>
              </w:rPr>
            </w:pPr>
            <w:r w:rsidRPr="001B4CA2">
              <w:rPr>
                <w:rFonts w:eastAsia="Times New Roman"/>
                <w:color w:val="000000"/>
                <w:sz w:val="18"/>
                <w:szCs w:val="18"/>
                <w:lang w:eastAsia="hr-HR"/>
              </w:rPr>
              <w:t>201</w:t>
            </w:r>
            <w:r w:rsidR="00D64AA4" w:rsidRPr="001B4CA2">
              <w:rPr>
                <w:rFonts w:eastAsia="Times New Roman"/>
                <w:color w:val="000000"/>
                <w:sz w:val="18"/>
                <w:szCs w:val="18"/>
                <w:lang w:eastAsia="hr-HR"/>
              </w:rPr>
              <w:t>8</w:t>
            </w:r>
            <w:r w:rsidRPr="001B4CA2">
              <w:rPr>
                <w:rFonts w:eastAsia="Times New Roman"/>
                <w:color w:val="000000"/>
                <w:sz w:val="18"/>
                <w:szCs w:val="18"/>
                <w:lang w:eastAsia="hr-HR"/>
              </w:rPr>
              <w:t>.</w:t>
            </w:r>
          </w:p>
        </w:tc>
        <w:tc>
          <w:tcPr>
            <w:tcW w:w="832" w:type="dxa"/>
            <w:shd w:val="clear" w:color="auto" w:fill="auto"/>
            <w:vAlign w:val="center"/>
            <w:hideMark/>
          </w:tcPr>
          <w:p w14:paraId="7562A041" w14:textId="6B272CEB" w:rsidR="00790225" w:rsidRPr="001B4CA2" w:rsidRDefault="00790225" w:rsidP="00EC2446">
            <w:pPr>
              <w:jc w:val="center"/>
              <w:rPr>
                <w:rFonts w:eastAsia="Times New Roman"/>
                <w:color w:val="000000"/>
                <w:sz w:val="18"/>
                <w:szCs w:val="18"/>
                <w:lang w:eastAsia="hr-HR"/>
              </w:rPr>
            </w:pPr>
          </w:p>
        </w:tc>
        <w:tc>
          <w:tcPr>
            <w:tcW w:w="1053" w:type="dxa"/>
            <w:shd w:val="clear" w:color="auto" w:fill="auto"/>
            <w:vAlign w:val="center"/>
            <w:hideMark/>
          </w:tcPr>
          <w:p w14:paraId="63AACF81" w14:textId="58F31A79" w:rsidR="00790225" w:rsidRPr="001B4CA2" w:rsidRDefault="00790225" w:rsidP="00EC2446">
            <w:pPr>
              <w:jc w:val="center"/>
              <w:rPr>
                <w:rFonts w:eastAsia="Times New Roman"/>
                <w:color w:val="000000"/>
                <w:sz w:val="18"/>
                <w:szCs w:val="18"/>
                <w:lang w:eastAsia="hr-HR"/>
              </w:rPr>
            </w:pPr>
          </w:p>
        </w:tc>
        <w:tc>
          <w:tcPr>
            <w:tcW w:w="832" w:type="dxa"/>
            <w:shd w:val="clear" w:color="auto" w:fill="auto"/>
            <w:vAlign w:val="center"/>
            <w:hideMark/>
          </w:tcPr>
          <w:p w14:paraId="2AE7654D" w14:textId="014B6B67" w:rsidR="00790225" w:rsidRPr="001B4CA2" w:rsidRDefault="00790225" w:rsidP="00EC2446">
            <w:pPr>
              <w:jc w:val="center"/>
              <w:rPr>
                <w:rFonts w:eastAsia="Times New Roman"/>
                <w:color w:val="000000"/>
                <w:sz w:val="18"/>
                <w:szCs w:val="18"/>
                <w:lang w:eastAsia="hr-HR"/>
              </w:rPr>
            </w:pPr>
          </w:p>
        </w:tc>
        <w:tc>
          <w:tcPr>
            <w:tcW w:w="1309" w:type="dxa"/>
            <w:shd w:val="clear" w:color="000000" w:fill="FFFFFF"/>
            <w:vAlign w:val="center"/>
            <w:hideMark/>
          </w:tcPr>
          <w:p w14:paraId="0A2601DC" w14:textId="7F2053E2" w:rsidR="00790225" w:rsidRPr="001B4CA2" w:rsidRDefault="00417864" w:rsidP="00EC2446">
            <w:pPr>
              <w:jc w:val="center"/>
              <w:rPr>
                <w:rFonts w:eastAsia="Times New Roman"/>
                <w:color w:val="000000"/>
                <w:sz w:val="18"/>
                <w:szCs w:val="18"/>
                <w:lang w:eastAsia="hr-HR"/>
              </w:rPr>
            </w:pPr>
            <w:r w:rsidRPr="001B4CA2">
              <w:rPr>
                <w:rFonts w:eastAsia="Times New Roman"/>
                <w:color w:val="000000"/>
                <w:sz w:val="18"/>
                <w:szCs w:val="18"/>
                <w:lang w:eastAsia="hr-HR"/>
              </w:rPr>
              <w:t>6.831</w:t>
            </w:r>
          </w:p>
        </w:tc>
        <w:tc>
          <w:tcPr>
            <w:tcW w:w="1128" w:type="dxa"/>
            <w:shd w:val="clear" w:color="000000" w:fill="FFFFFF"/>
            <w:vAlign w:val="center"/>
            <w:hideMark/>
          </w:tcPr>
          <w:p w14:paraId="6F2201F4" w14:textId="2F8E481C" w:rsidR="00790225" w:rsidRPr="001B4CA2" w:rsidRDefault="00417864" w:rsidP="00EC2446">
            <w:pPr>
              <w:jc w:val="center"/>
              <w:rPr>
                <w:rFonts w:eastAsia="Times New Roman"/>
                <w:color w:val="000000"/>
                <w:sz w:val="18"/>
                <w:szCs w:val="18"/>
                <w:lang w:eastAsia="hr-HR"/>
              </w:rPr>
            </w:pPr>
            <w:r w:rsidRPr="001B4CA2">
              <w:rPr>
                <w:rFonts w:eastAsia="Times New Roman"/>
                <w:color w:val="000000"/>
                <w:sz w:val="18"/>
                <w:szCs w:val="18"/>
                <w:lang w:eastAsia="hr-HR"/>
              </w:rPr>
              <w:t>6.307</w:t>
            </w:r>
          </w:p>
        </w:tc>
        <w:tc>
          <w:tcPr>
            <w:tcW w:w="1128" w:type="dxa"/>
            <w:shd w:val="clear" w:color="000000" w:fill="FFFFFF"/>
            <w:vAlign w:val="center"/>
            <w:hideMark/>
          </w:tcPr>
          <w:p w14:paraId="06B1CDDA" w14:textId="545C5645" w:rsidR="00790225" w:rsidRPr="001B4CA2" w:rsidRDefault="00417864" w:rsidP="00EC2446">
            <w:pPr>
              <w:jc w:val="center"/>
              <w:rPr>
                <w:rFonts w:eastAsia="Times New Roman"/>
                <w:color w:val="000000"/>
                <w:sz w:val="18"/>
                <w:szCs w:val="18"/>
                <w:lang w:eastAsia="hr-HR"/>
              </w:rPr>
            </w:pPr>
            <w:r w:rsidRPr="001B4CA2">
              <w:rPr>
                <w:rFonts w:eastAsia="Times New Roman"/>
                <w:color w:val="000000"/>
                <w:sz w:val="18"/>
                <w:szCs w:val="18"/>
                <w:lang w:eastAsia="hr-HR"/>
              </w:rPr>
              <w:t>2.251</w:t>
            </w:r>
          </w:p>
        </w:tc>
        <w:tc>
          <w:tcPr>
            <w:tcW w:w="1096" w:type="dxa"/>
            <w:shd w:val="clear" w:color="auto" w:fill="auto"/>
            <w:vAlign w:val="center"/>
            <w:hideMark/>
          </w:tcPr>
          <w:p w14:paraId="6E32E05C" w14:textId="750C7639" w:rsidR="00790225" w:rsidRPr="001B4CA2" w:rsidRDefault="00417864" w:rsidP="00EC2446">
            <w:pPr>
              <w:jc w:val="center"/>
              <w:rPr>
                <w:rFonts w:eastAsia="Times New Roman"/>
                <w:color w:val="000000"/>
                <w:sz w:val="18"/>
                <w:szCs w:val="18"/>
                <w:lang w:eastAsia="hr-HR"/>
              </w:rPr>
            </w:pPr>
            <w:r w:rsidRPr="001B4CA2">
              <w:rPr>
                <w:rFonts w:eastAsia="Times New Roman"/>
                <w:color w:val="000000"/>
                <w:sz w:val="18"/>
                <w:szCs w:val="18"/>
                <w:lang w:eastAsia="hr-HR"/>
              </w:rPr>
              <w:t>15.389</w:t>
            </w:r>
          </w:p>
        </w:tc>
        <w:tc>
          <w:tcPr>
            <w:tcW w:w="1096" w:type="dxa"/>
            <w:shd w:val="clear" w:color="auto" w:fill="auto"/>
            <w:vAlign w:val="center"/>
            <w:hideMark/>
          </w:tcPr>
          <w:p w14:paraId="30D62428" w14:textId="456400EB" w:rsidR="00790225" w:rsidRPr="001B4CA2" w:rsidRDefault="00790225" w:rsidP="00EC2446">
            <w:pPr>
              <w:jc w:val="center"/>
              <w:rPr>
                <w:rFonts w:eastAsia="Times New Roman"/>
                <w:color w:val="000000"/>
                <w:sz w:val="18"/>
                <w:szCs w:val="18"/>
                <w:lang w:eastAsia="hr-HR"/>
              </w:rPr>
            </w:pPr>
          </w:p>
        </w:tc>
      </w:tr>
      <w:tr w:rsidR="00694037" w:rsidRPr="001B4CA2" w14:paraId="38900169" w14:textId="77777777" w:rsidTr="009A1E7E">
        <w:trPr>
          <w:trHeight w:val="301"/>
        </w:trPr>
        <w:tc>
          <w:tcPr>
            <w:tcW w:w="836" w:type="dxa"/>
            <w:shd w:val="clear" w:color="auto" w:fill="auto"/>
            <w:vAlign w:val="center"/>
            <w:hideMark/>
          </w:tcPr>
          <w:p w14:paraId="0702297C" w14:textId="10C429E2" w:rsidR="00790225" w:rsidRPr="001B4CA2" w:rsidRDefault="00790225" w:rsidP="00EC2446">
            <w:pPr>
              <w:jc w:val="center"/>
              <w:rPr>
                <w:rFonts w:eastAsia="Times New Roman"/>
                <w:color w:val="000000"/>
                <w:sz w:val="18"/>
                <w:szCs w:val="18"/>
                <w:lang w:eastAsia="hr-HR"/>
              </w:rPr>
            </w:pPr>
            <w:r w:rsidRPr="001B4CA2">
              <w:rPr>
                <w:rFonts w:eastAsia="Times New Roman"/>
                <w:color w:val="000000"/>
                <w:sz w:val="18"/>
                <w:szCs w:val="18"/>
                <w:lang w:eastAsia="hr-HR"/>
              </w:rPr>
              <w:t>201</w:t>
            </w:r>
            <w:r w:rsidR="00D64AA4" w:rsidRPr="001B4CA2">
              <w:rPr>
                <w:rFonts w:eastAsia="Times New Roman"/>
                <w:color w:val="000000"/>
                <w:sz w:val="18"/>
                <w:szCs w:val="18"/>
                <w:lang w:eastAsia="hr-HR"/>
              </w:rPr>
              <w:t>9</w:t>
            </w:r>
            <w:r w:rsidRPr="001B4CA2">
              <w:rPr>
                <w:rFonts w:eastAsia="Times New Roman"/>
                <w:color w:val="000000"/>
                <w:sz w:val="18"/>
                <w:szCs w:val="18"/>
                <w:lang w:eastAsia="hr-HR"/>
              </w:rPr>
              <w:t>.</w:t>
            </w:r>
          </w:p>
        </w:tc>
        <w:tc>
          <w:tcPr>
            <w:tcW w:w="832" w:type="dxa"/>
            <w:shd w:val="clear" w:color="auto" w:fill="auto"/>
            <w:vAlign w:val="center"/>
            <w:hideMark/>
          </w:tcPr>
          <w:p w14:paraId="78FE2CEC" w14:textId="2884218C" w:rsidR="00790225" w:rsidRPr="001B4CA2" w:rsidRDefault="00790225" w:rsidP="00EC2446">
            <w:pPr>
              <w:jc w:val="center"/>
              <w:rPr>
                <w:rFonts w:eastAsia="Times New Roman"/>
                <w:color w:val="000000"/>
                <w:sz w:val="18"/>
                <w:szCs w:val="18"/>
                <w:lang w:eastAsia="hr-HR"/>
              </w:rPr>
            </w:pPr>
          </w:p>
        </w:tc>
        <w:tc>
          <w:tcPr>
            <w:tcW w:w="1053" w:type="dxa"/>
            <w:shd w:val="clear" w:color="auto" w:fill="auto"/>
            <w:vAlign w:val="center"/>
            <w:hideMark/>
          </w:tcPr>
          <w:p w14:paraId="4A0E4063" w14:textId="7007C58F" w:rsidR="00790225" w:rsidRPr="001B4CA2" w:rsidRDefault="00790225" w:rsidP="00EC2446">
            <w:pPr>
              <w:jc w:val="center"/>
              <w:rPr>
                <w:rFonts w:eastAsia="Times New Roman"/>
                <w:color w:val="000000"/>
                <w:sz w:val="18"/>
                <w:szCs w:val="18"/>
                <w:lang w:eastAsia="hr-HR"/>
              </w:rPr>
            </w:pPr>
          </w:p>
        </w:tc>
        <w:tc>
          <w:tcPr>
            <w:tcW w:w="832" w:type="dxa"/>
            <w:shd w:val="clear" w:color="auto" w:fill="auto"/>
            <w:vAlign w:val="center"/>
            <w:hideMark/>
          </w:tcPr>
          <w:p w14:paraId="1FC8E9F6" w14:textId="7532E6A6" w:rsidR="00790225" w:rsidRPr="001B4CA2" w:rsidRDefault="00790225" w:rsidP="00EC2446">
            <w:pPr>
              <w:jc w:val="center"/>
              <w:rPr>
                <w:rFonts w:eastAsia="Times New Roman"/>
                <w:color w:val="000000"/>
                <w:sz w:val="18"/>
                <w:szCs w:val="18"/>
                <w:lang w:eastAsia="hr-HR"/>
              </w:rPr>
            </w:pPr>
          </w:p>
        </w:tc>
        <w:tc>
          <w:tcPr>
            <w:tcW w:w="1309" w:type="dxa"/>
            <w:shd w:val="clear" w:color="000000" w:fill="FFFFFF"/>
            <w:vAlign w:val="center"/>
            <w:hideMark/>
          </w:tcPr>
          <w:p w14:paraId="79C44D98" w14:textId="452FFDBA" w:rsidR="00790225" w:rsidRPr="001B4CA2" w:rsidRDefault="00417864" w:rsidP="00EC2446">
            <w:pPr>
              <w:jc w:val="center"/>
              <w:rPr>
                <w:rFonts w:eastAsia="Times New Roman"/>
                <w:color w:val="000000"/>
                <w:sz w:val="18"/>
                <w:szCs w:val="18"/>
                <w:lang w:eastAsia="hr-HR"/>
              </w:rPr>
            </w:pPr>
            <w:r w:rsidRPr="001B4CA2">
              <w:rPr>
                <w:rFonts w:eastAsia="Times New Roman"/>
                <w:color w:val="000000"/>
                <w:sz w:val="18"/>
                <w:szCs w:val="18"/>
                <w:lang w:eastAsia="hr-HR"/>
              </w:rPr>
              <w:t>7.252</w:t>
            </w:r>
          </w:p>
        </w:tc>
        <w:tc>
          <w:tcPr>
            <w:tcW w:w="1128" w:type="dxa"/>
            <w:shd w:val="clear" w:color="000000" w:fill="FFFFFF"/>
            <w:vAlign w:val="center"/>
            <w:hideMark/>
          </w:tcPr>
          <w:p w14:paraId="7AE1A824" w14:textId="40F97AA5" w:rsidR="00790225" w:rsidRPr="001B4CA2" w:rsidRDefault="00417864" w:rsidP="00EC2446">
            <w:pPr>
              <w:jc w:val="center"/>
              <w:rPr>
                <w:rFonts w:eastAsia="Times New Roman"/>
                <w:color w:val="000000"/>
                <w:sz w:val="18"/>
                <w:szCs w:val="18"/>
                <w:lang w:eastAsia="hr-HR"/>
              </w:rPr>
            </w:pPr>
            <w:r w:rsidRPr="001B4CA2">
              <w:rPr>
                <w:rFonts w:eastAsia="Times New Roman"/>
                <w:color w:val="000000"/>
                <w:sz w:val="18"/>
                <w:szCs w:val="18"/>
                <w:lang w:eastAsia="hr-HR"/>
              </w:rPr>
              <w:t>6.185</w:t>
            </w:r>
          </w:p>
        </w:tc>
        <w:tc>
          <w:tcPr>
            <w:tcW w:w="1128" w:type="dxa"/>
            <w:shd w:val="clear" w:color="000000" w:fill="FFFFFF"/>
            <w:vAlign w:val="center"/>
            <w:hideMark/>
          </w:tcPr>
          <w:p w14:paraId="3DFC6AE2" w14:textId="5BD51C82" w:rsidR="00790225" w:rsidRPr="001B4CA2" w:rsidRDefault="00417864" w:rsidP="00EC2446">
            <w:pPr>
              <w:jc w:val="center"/>
              <w:rPr>
                <w:rFonts w:eastAsia="Times New Roman"/>
                <w:color w:val="000000"/>
                <w:sz w:val="18"/>
                <w:szCs w:val="18"/>
                <w:lang w:eastAsia="hr-HR"/>
              </w:rPr>
            </w:pPr>
            <w:r w:rsidRPr="001B4CA2">
              <w:rPr>
                <w:rFonts w:eastAsia="Times New Roman"/>
                <w:color w:val="000000"/>
                <w:sz w:val="18"/>
                <w:szCs w:val="18"/>
                <w:lang w:eastAsia="hr-HR"/>
              </w:rPr>
              <w:t>2.529</w:t>
            </w:r>
          </w:p>
        </w:tc>
        <w:tc>
          <w:tcPr>
            <w:tcW w:w="1096" w:type="dxa"/>
            <w:shd w:val="clear" w:color="auto" w:fill="auto"/>
            <w:vAlign w:val="center"/>
            <w:hideMark/>
          </w:tcPr>
          <w:p w14:paraId="179D390B" w14:textId="252A6A64" w:rsidR="00790225" w:rsidRPr="001B4CA2" w:rsidRDefault="00417864" w:rsidP="00EC2446">
            <w:pPr>
              <w:jc w:val="center"/>
              <w:rPr>
                <w:rFonts w:eastAsia="Times New Roman"/>
                <w:color w:val="000000"/>
                <w:sz w:val="18"/>
                <w:szCs w:val="18"/>
                <w:lang w:eastAsia="hr-HR"/>
              </w:rPr>
            </w:pPr>
            <w:r w:rsidRPr="001B4CA2">
              <w:rPr>
                <w:rFonts w:eastAsia="Times New Roman"/>
                <w:color w:val="000000"/>
                <w:sz w:val="18"/>
                <w:szCs w:val="18"/>
                <w:lang w:eastAsia="hr-HR"/>
              </w:rPr>
              <w:t>15.966</w:t>
            </w:r>
          </w:p>
        </w:tc>
        <w:tc>
          <w:tcPr>
            <w:tcW w:w="1096" w:type="dxa"/>
            <w:shd w:val="clear" w:color="auto" w:fill="auto"/>
            <w:vAlign w:val="center"/>
            <w:hideMark/>
          </w:tcPr>
          <w:p w14:paraId="05A225C7" w14:textId="3CC75721" w:rsidR="00790225" w:rsidRPr="001B4CA2" w:rsidRDefault="00790225" w:rsidP="00EC2446">
            <w:pPr>
              <w:jc w:val="center"/>
              <w:rPr>
                <w:rFonts w:eastAsia="Times New Roman"/>
                <w:color w:val="000000"/>
                <w:sz w:val="18"/>
                <w:szCs w:val="18"/>
                <w:lang w:eastAsia="hr-HR"/>
              </w:rPr>
            </w:pPr>
          </w:p>
        </w:tc>
      </w:tr>
      <w:tr w:rsidR="00417864" w:rsidRPr="001B4CA2" w14:paraId="4D62BF61" w14:textId="77777777" w:rsidTr="009A1E7E">
        <w:trPr>
          <w:trHeight w:val="301"/>
        </w:trPr>
        <w:tc>
          <w:tcPr>
            <w:tcW w:w="836" w:type="dxa"/>
            <w:shd w:val="clear" w:color="auto" w:fill="auto"/>
            <w:vAlign w:val="center"/>
            <w:hideMark/>
          </w:tcPr>
          <w:p w14:paraId="0792E2E1" w14:textId="68068416"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2020.</w:t>
            </w:r>
          </w:p>
        </w:tc>
        <w:tc>
          <w:tcPr>
            <w:tcW w:w="832" w:type="dxa"/>
            <w:shd w:val="clear" w:color="auto" w:fill="auto"/>
            <w:vAlign w:val="center"/>
            <w:hideMark/>
          </w:tcPr>
          <w:p w14:paraId="29167B07" w14:textId="66511060"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28.011</w:t>
            </w:r>
          </w:p>
        </w:tc>
        <w:tc>
          <w:tcPr>
            <w:tcW w:w="1053" w:type="dxa"/>
            <w:shd w:val="clear" w:color="auto" w:fill="auto"/>
            <w:vAlign w:val="center"/>
            <w:hideMark/>
          </w:tcPr>
          <w:p w14:paraId="5E7A723D" w14:textId="5F0937EA"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4.542</w:t>
            </w:r>
          </w:p>
        </w:tc>
        <w:tc>
          <w:tcPr>
            <w:tcW w:w="832" w:type="dxa"/>
            <w:shd w:val="clear" w:color="auto" w:fill="auto"/>
            <w:vAlign w:val="center"/>
            <w:hideMark/>
          </w:tcPr>
          <w:p w14:paraId="1A7D7EEE" w14:textId="6AD29EC4" w:rsidR="00417864" w:rsidRPr="001B4CA2" w:rsidRDefault="00417864" w:rsidP="00417864">
            <w:pPr>
              <w:jc w:val="center"/>
              <w:rPr>
                <w:rFonts w:eastAsia="Times New Roman"/>
                <w:color w:val="000000"/>
                <w:sz w:val="18"/>
                <w:szCs w:val="18"/>
                <w:lang w:eastAsia="hr-HR"/>
              </w:rPr>
            </w:pPr>
          </w:p>
        </w:tc>
        <w:tc>
          <w:tcPr>
            <w:tcW w:w="1309" w:type="dxa"/>
            <w:shd w:val="clear" w:color="000000" w:fill="FFFFFF"/>
            <w:vAlign w:val="center"/>
            <w:hideMark/>
          </w:tcPr>
          <w:p w14:paraId="5B7B3219" w14:textId="0BF03A3C"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7.178</w:t>
            </w:r>
          </w:p>
        </w:tc>
        <w:tc>
          <w:tcPr>
            <w:tcW w:w="1128" w:type="dxa"/>
            <w:shd w:val="clear" w:color="000000" w:fill="FFFFFF"/>
            <w:vAlign w:val="center"/>
            <w:hideMark/>
          </w:tcPr>
          <w:p w14:paraId="203DC76B" w14:textId="2EC857F8"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6.784</w:t>
            </w:r>
          </w:p>
        </w:tc>
        <w:tc>
          <w:tcPr>
            <w:tcW w:w="1128" w:type="dxa"/>
            <w:shd w:val="clear" w:color="000000" w:fill="FFFFFF"/>
            <w:vAlign w:val="center"/>
            <w:hideMark/>
          </w:tcPr>
          <w:p w14:paraId="7D1821A5" w14:textId="7AEE0358"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3.270</w:t>
            </w:r>
          </w:p>
        </w:tc>
        <w:tc>
          <w:tcPr>
            <w:tcW w:w="1096" w:type="dxa"/>
            <w:shd w:val="clear" w:color="auto" w:fill="auto"/>
            <w:vAlign w:val="center"/>
            <w:hideMark/>
          </w:tcPr>
          <w:p w14:paraId="21CFA59D" w14:textId="345F0AD2"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17.232</w:t>
            </w:r>
          </w:p>
        </w:tc>
        <w:tc>
          <w:tcPr>
            <w:tcW w:w="1096" w:type="dxa"/>
            <w:shd w:val="clear" w:color="auto" w:fill="auto"/>
            <w:vAlign w:val="center"/>
            <w:hideMark/>
          </w:tcPr>
          <w:p w14:paraId="36113674" w14:textId="4E16D31E"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45.243</w:t>
            </w:r>
          </w:p>
        </w:tc>
      </w:tr>
      <w:tr w:rsidR="00417864" w:rsidRPr="001B4CA2" w14:paraId="6CEB869A" w14:textId="77777777" w:rsidTr="009A1E7E">
        <w:trPr>
          <w:trHeight w:val="301"/>
        </w:trPr>
        <w:tc>
          <w:tcPr>
            <w:tcW w:w="836" w:type="dxa"/>
            <w:shd w:val="clear" w:color="auto" w:fill="auto"/>
            <w:noWrap/>
            <w:vAlign w:val="center"/>
            <w:hideMark/>
          </w:tcPr>
          <w:p w14:paraId="6054D1C4" w14:textId="4A5FC5FF"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2021.</w:t>
            </w:r>
          </w:p>
        </w:tc>
        <w:tc>
          <w:tcPr>
            <w:tcW w:w="832" w:type="dxa"/>
            <w:shd w:val="clear" w:color="auto" w:fill="auto"/>
            <w:vAlign w:val="center"/>
            <w:hideMark/>
          </w:tcPr>
          <w:p w14:paraId="31002AC4" w14:textId="5DC249D7"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33.127</w:t>
            </w:r>
          </w:p>
        </w:tc>
        <w:tc>
          <w:tcPr>
            <w:tcW w:w="1053" w:type="dxa"/>
            <w:shd w:val="clear" w:color="auto" w:fill="auto"/>
            <w:vAlign w:val="center"/>
            <w:hideMark/>
          </w:tcPr>
          <w:p w14:paraId="6E755D85" w14:textId="2B855662"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7.519</w:t>
            </w:r>
          </w:p>
        </w:tc>
        <w:tc>
          <w:tcPr>
            <w:tcW w:w="832" w:type="dxa"/>
            <w:shd w:val="clear" w:color="auto" w:fill="auto"/>
            <w:vAlign w:val="center"/>
            <w:hideMark/>
          </w:tcPr>
          <w:p w14:paraId="279199A0" w14:textId="575FB747"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9.873</w:t>
            </w:r>
          </w:p>
        </w:tc>
        <w:tc>
          <w:tcPr>
            <w:tcW w:w="1309" w:type="dxa"/>
            <w:shd w:val="clear" w:color="000000" w:fill="FFFFFF"/>
            <w:vAlign w:val="center"/>
            <w:hideMark/>
          </w:tcPr>
          <w:p w14:paraId="17BF4E98" w14:textId="3A196147"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7.844</w:t>
            </w:r>
          </w:p>
        </w:tc>
        <w:tc>
          <w:tcPr>
            <w:tcW w:w="1128" w:type="dxa"/>
            <w:shd w:val="clear" w:color="000000" w:fill="FFFFFF"/>
            <w:vAlign w:val="center"/>
            <w:hideMark/>
          </w:tcPr>
          <w:p w14:paraId="2136CAED" w14:textId="5C6DB394"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7.053</w:t>
            </w:r>
          </w:p>
        </w:tc>
        <w:tc>
          <w:tcPr>
            <w:tcW w:w="1128" w:type="dxa"/>
            <w:shd w:val="clear" w:color="000000" w:fill="FFFFFF"/>
            <w:vAlign w:val="center"/>
            <w:hideMark/>
          </w:tcPr>
          <w:p w14:paraId="4E13B84B" w14:textId="1403BD5D"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2.852</w:t>
            </w:r>
          </w:p>
        </w:tc>
        <w:tc>
          <w:tcPr>
            <w:tcW w:w="1096" w:type="dxa"/>
            <w:shd w:val="clear" w:color="auto" w:fill="auto"/>
            <w:vAlign w:val="center"/>
            <w:hideMark/>
          </w:tcPr>
          <w:p w14:paraId="6591F90C" w14:textId="4D6F468C"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17.749</w:t>
            </w:r>
          </w:p>
        </w:tc>
        <w:tc>
          <w:tcPr>
            <w:tcW w:w="1096" w:type="dxa"/>
            <w:shd w:val="clear" w:color="auto" w:fill="auto"/>
            <w:vAlign w:val="center"/>
            <w:hideMark/>
          </w:tcPr>
          <w:p w14:paraId="2C0C3F77" w14:textId="1512FF7E"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60.749</w:t>
            </w:r>
          </w:p>
        </w:tc>
      </w:tr>
      <w:tr w:rsidR="00417864" w:rsidRPr="001B4CA2" w14:paraId="6845FE13" w14:textId="77777777" w:rsidTr="009A1E7E">
        <w:trPr>
          <w:trHeight w:val="301"/>
        </w:trPr>
        <w:tc>
          <w:tcPr>
            <w:tcW w:w="836" w:type="dxa"/>
            <w:shd w:val="clear" w:color="auto" w:fill="auto"/>
            <w:noWrap/>
            <w:vAlign w:val="center"/>
            <w:hideMark/>
          </w:tcPr>
          <w:p w14:paraId="2297C200" w14:textId="24B7621E"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2022.</w:t>
            </w:r>
          </w:p>
        </w:tc>
        <w:tc>
          <w:tcPr>
            <w:tcW w:w="832" w:type="dxa"/>
            <w:shd w:val="clear" w:color="auto" w:fill="auto"/>
            <w:vAlign w:val="center"/>
            <w:hideMark/>
          </w:tcPr>
          <w:p w14:paraId="32FA3DD0" w14:textId="5F631606"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39.974</w:t>
            </w:r>
          </w:p>
        </w:tc>
        <w:tc>
          <w:tcPr>
            <w:tcW w:w="1053" w:type="dxa"/>
            <w:shd w:val="clear" w:color="auto" w:fill="auto"/>
            <w:vAlign w:val="center"/>
            <w:hideMark/>
          </w:tcPr>
          <w:p w14:paraId="452216CD" w14:textId="1A414CB8"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5.128</w:t>
            </w:r>
          </w:p>
        </w:tc>
        <w:tc>
          <w:tcPr>
            <w:tcW w:w="832" w:type="dxa"/>
            <w:shd w:val="clear" w:color="auto" w:fill="auto"/>
            <w:vAlign w:val="center"/>
            <w:hideMark/>
          </w:tcPr>
          <w:p w14:paraId="47D17FD4" w14:textId="019E8CE8"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1.525</w:t>
            </w:r>
          </w:p>
        </w:tc>
        <w:tc>
          <w:tcPr>
            <w:tcW w:w="1309" w:type="dxa"/>
            <w:shd w:val="clear" w:color="000000" w:fill="FFFFFF"/>
            <w:vAlign w:val="center"/>
            <w:hideMark/>
          </w:tcPr>
          <w:p w14:paraId="4B21BB30" w14:textId="33A6A208"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7.507</w:t>
            </w:r>
          </w:p>
        </w:tc>
        <w:tc>
          <w:tcPr>
            <w:tcW w:w="1128" w:type="dxa"/>
            <w:shd w:val="clear" w:color="000000" w:fill="FFFFFF"/>
            <w:vAlign w:val="center"/>
            <w:hideMark/>
          </w:tcPr>
          <w:p w14:paraId="6816EBBD" w14:textId="1282FDB3"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6.474</w:t>
            </w:r>
          </w:p>
        </w:tc>
        <w:tc>
          <w:tcPr>
            <w:tcW w:w="1128" w:type="dxa"/>
            <w:shd w:val="clear" w:color="000000" w:fill="FFFFFF"/>
            <w:vAlign w:val="center"/>
            <w:hideMark/>
          </w:tcPr>
          <w:p w14:paraId="525EA08E" w14:textId="205362B3"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2.674</w:t>
            </w:r>
          </w:p>
        </w:tc>
        <w:tc>
          <w:tcPr>
            <w:tcW w:w="1096" w:type="dxa"/>
            <w:shd w:val="clear" w:color="auto" w:fill="auto"/>
            <w:vAlign w:val="center"/>
            <w:hideMark/>
          </w:tcPr>
          <w:p w14:paraId="13423AD6" w14:textId="7BFB56C1"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16.655</w:t>
            </w:r>
          </w:p>
        </w:tc>
        <w:tc>
          <w:tcPr>
            <w:tcW w:w="1096" w:type="dxa"/>
            <w:shd w:val="clear" w:color="auto" w:fill="auto"/>
            <w:vAlign w:val="center"/>
            <w:hideMark/>
          </w:tcPr>
          <w:p w14:paraId="6ED7CFA6" w14:textId="54BEB202" w:rsidR="00417864" w:rsidRPr="001B4CA2" w:rsidRDefault="00417864" w:rsidP="00417864">
            <w:pPr>
              <w:jc w:val="center"/>
              <w:rPr>
                <w:rFonts w:eastAsia="Times New Roman"/>
                <w:color w:val="000000"/>
                <w:sz w:val="18"/>
                <w:szCs w:val="18"/>
                <w:lang w:eastAsia="hr-HR"/>
              </w:rPr>
            </w:pPr>
            <w:r w:rsidRPr="001B4CA2">
              <w:rPr>
                <w:rFonts w:eastAsia="Times New Roman"/>
                <w:color w:val="000000"/>
                <w:sz w:val="18"/>
                <w:szCs w:val="18"/>
                <w:lang w:eastAsia="hr-HR"/>
              </w:rPr>
              <w:t>58.154</w:t>
            </w:r>
          </w:p>
        </w:tc>
      </w:tr>
    </w:tbl>
    <w:p w14:paraId="160ED28D" w14:textId="77777777" w:rsidR="00C84EEE" w:rsidRPr="001B4CA2" w:rsidRDefault="00C84EEE" w:rsidP="00C84EEE">
      <w:pPr>
        <w:rPr>
          <w:rFonts w:eastAsia="Times New Roman"/>
          <w:lang w:eastAsia="hr-HR"/>
        </w:rPr>
      </w:pPr>
    </w:p>
    <w:p w14:paraId="5E1160A8" w14:textId="5FFB6483" w:rsidR="00417864" w:rsidRPr="001B4CA2" w:rsidRDefault="00417864" w:rsidP="00373B2A">
      <w:pPr>
        <w:ind w:firstLine="708"/>
        <w:rPr>
          <w:rFonts w:eastAsia="Times New Roman"/>
          <w:lang w:eastAsia="hr-HR"/>
        </w:rPr>
      </w:pPr>
      <w:r w:rsidRPr="001B4CA2">
        <w:rPr>
          <w:rFonts w:eastAsia="Times New Roman"/>
          <w:lang w:eastAsia="hr-HR"/>
        </w:rPr>
        <w:t xml:space="preserve">U izvještajnoj 2022. godini sva općinska državna odvjetništva imala su u radu optužnice protiv ukupno 58.154 osoba. Od tog broja pred općinskim </w:t>
      </w:r>
      <w:r w:rsidR="00753708" w:rsidRPr="001B4CA2">
        <w:rPr>
          <w:rFonts w:eastAsia="Times New Roman"/>
          <w:lang w:eastAsia="hr-HR"/>
        </w:rPr>
        <w:t xml:space="preserve">je </w:t>
      </w:r>
      <w:r w:rsidRPr="001B4CA2">
        <w:rPr>
          <w:rFonts w:eastAsia="Times New Roman"/>
          <w:lang w:eastAsia="hr-HR"/>
        </w:rPr>
        <w:t>sudovima iz</w:t>
      </w:r>
      <w:r w:rsidR="001B4CA2">
        <w:rPr>
          <w:rFonts w:eastAsia="Times New Roman"/>
          <w:lang w:eastAsia="hr-HR"/>
        </w:rPr>
        <w:t xml:space="preserve"> </w:t>
      </w:r>
      <w:r w:rsidRPr="001B4CA2">
        <w:rPr>
          <w:rFonts w:eastAsia="Times New Roman"/>
          <w:lang w:eastAsia="hr-HR"/>
        </w:rPr>
        <w:t>ranijih izvještajnih razdoblja ostalo u radu optužnica protiv 39.974 osoba, dok su općinska državna odvjetništva u 2022. godini podigla optužnice protiv 16.665 osoba.</w:t>
      </w:r>
    </w:p>
    <w:p w14:paraId="5BB5ED03" w14:textId="7DA82E33" w:rsidR="00417864" w:rsidRPr="001B4CA2" w:rsidRDefault="00417864" w:rsidP="00417864">
      <w:pPr>
        <w:ind w:firstLine="708"/>
        <w:rPr>
          <w:rFonts w:eastAsia="Times New Roman"/>
          <w:lang w:eastAsia="hr-HR"/>
        </w:rPr>
      </w:pPr>
      <w:r w:rsidRPr="001B4CA2">
        <w:rPr>
          <w:rFonts w:eastAsia="Times New Roman"/>
          <w:lang w:eastAsia="hr-HR"/>
        </w:rPr>
        <w:lastRenderedPageBreak/>
        <w:t xml:space="preserve">Od ukupno podignutih 16.665 optužnica tijekom 2022. godine, njih </w:t>
      </w:r>
      <w:r w:rsidR="002B20FA" w:rsidRPr="001B4CA2">
        <w:rPr>
          <w:rFonts w:eastAsia="Times New Roman"/>
          <w:lang w:eastAsia="hr-HR"/>
        </w:rPr>
        <w:t xml:space="preserve">je </w:t>
      </w:r>
      <w:r w:rsidRPr="001B4CA2">
        <w:rPr>
          <w:rFonts w:eastAsia="Times New Roman"/>
          <w:lang w:eastAsia="hr-HR"/>
        </w:rPr>
        <w:t>7.507 ili 45,07</w:t>
      </w:r>
      <w:r w:rsidR="002B20FA">
        <w:rPr>
          <w:rFonts w:eastAsia="Times New Roman"/>
          <w:lang w:eastAsia="hr-HR"/>
        </w:rPr>
        <w:t> </w:t>
      </w:r>
      <w:r w:rsidRPr="001B4CA2">
        <w:rPr>
          <w:rFonts w:eastAsia="Times New Roman"/>
          <w:lang w:eastAsia="hr-HR"/>
        </w:rPr>
        <w:t>% neposrednih optužnica, 6.474 ili 38,87</w:t>
      </w:r>
      <w:r w:rsidR="002B20FA">
        <w:rPr>
          <w:rFonts w:eastAsia="Times New Roman"/>
          <w:lang w:eastAsia="hr-HR"/>
        </w:rPr>
        <w:t> </w:t>
      </w:r>
      <w:r w:rsidRPr="001B4CA2">
        <w:rPr>
          <w:rFonts w:eastAsia="Times New Roman"/>
          <w:lang w:eastAsia="hr-HR"/>
        </w:rPr>
        <w:t>% je optužnica s kaznenim nalogom, dok su nakon provedene istrage podignute 2.674 optužnice ili 16,06</w:t>
      </w:r>
      <w:r w:rsidR="002B20FA">
        <w:rPr>
          <w:rFonts w:eastAsia="Times New Roman"/>
          <w:lang w:eastAsia="hr-HR"/>
        </w:rPr>
        <w:t> </w:t>
      </w:r>
      <w:r w:rsidRPr="001B4CA2">
        <w:rPr>
          <w:rFonts w:eastAsia="Times New Roman"/>
          <w:lang w:eastAsia="hr-HR"/>
        </w:rPr>
        <w:t xml:space="preserve">%. </w:t>
      </w:r>
    </w:p>
    <w:p w14:paraId="6D528014" w14:textId="77777777" w:rsidR="00417864" w:rsidRPr="001B4CA2" w:rsidRDefault="00417864" w:rsidP="00417864">
      <w:pPr>
        <w:rPr>
          <w:rFonts w:eastAsia="Times New Roman"/>
          <w:lang w:eastAsia="hr-HR"/>
        </w:rPr>
      </w:pPr>
    </w:p>
    <w:p w14:paraId="11086000" w14:textId="34D69893" w:rsidR="00417864" w:rsidRPr="001B4CA2" w:rsidRDefault="00417864" w:rsidP="00417864">
      <w:pPr>
        <w:ind w:firstLine="708"/>
        <w:rPr>
          <w:rFonts w:eastAsia="Times New Roman"/>
          <w:lang w:eastAsia="hr-HR"/>
        </w:rPr>
      </w:pPr>
      <w:r w:rsidRPr="001B4CA2">
        <w:rPr>
          <w:rFonts w:eastAsia="Times New Roman"/>
          <w:lang w:eastAsia="hr-HR"/>
        </w:rPr>
        <w:t xml:space="preserve">Iz prikazanih podataka u gornjoj tablici </w:t>
      </w:r>
      <w:r w:rsidR="002B20FA">
        <w:rPr>
          <w:rFonts w:eastAsia="Times New Roman"/>
          <w:lang w:eastAsia="hr-HR"/>
        </w:rPr>
        <w:t>razvidno</w:t>
      </w:r>
      <w:r w:rsidRPr="001B4CA2">
        <w:rPr>
          <w:rFonts w:eastAsia="Times New Roman"/>
          <w:lang w:eastAsia="hr-HR"/>
        </w:rPr>
        <w:t xml:space="preserve"> je kako je broj neposrednih optužnica i optužnica s kaznenim nalogom na razini višegodišnjeg prosjeka, dok optužnice nakon podignute istrage participiraju u manjem broju. Navedeno je posljedica toga što se za kaznena djela iz nadležnosti općinskih državnih odvjetništava, s obzirom na niže kazne propisane za ta kaznena djela, istraga u pravilu ne provodi, već se za većinu kaznenih djela provodi istraživanje.</w:t>
      </w:r>
    </w:p>
    <w:p w14:paraId="4B84ACA0" w14:textId="77777777" w:rsidR="00682FF4" w:rsidRPr="001B4CA2" w:rsidRDefault="00682FF4" w:rsidP="00885BB0">
      <w:pPr>
        <w:rPr>
          <w:rFonts w:eastAsia="Times New Roman"/>
          <w:lang w:eastAsia="hr-HR"/>
        </w:rPr>
      </w:pPr>
    </w:p>
    <w:p w14:paraId="3B889812" w14:textId="7A7C4DC7" w:rsidR="00E44F2A" w:rsidRPr="001B4CA2" w:rsidRDefault="001B4CA2" w:rsidP="006344FE">
      <w:pPr>
        <w:ind w:left="-426"/>
        <w:rPr>
          <w:rFonts w:eastAsia="Times New Roman"/>
          <w:i/>
          <w:lang w:eastAsia="hr-HR"/>
        </w:rPr>
      </w:pPr>
      <w:r>
        <w:rPr>
          <w:rFonts w:eastAsia="Times New Roman"/>
          <w:i/>
          <w:lang w:eastAsia="hr-HR"/>
        </w:rPr>
        <w:tab/>
      </w:r>
      <w:r w:rsidR="00E44F2A" w:rsidRPr="001B4CA2">
        <w:rPr>
          <w:rFonts w:eastAsia="Times New Roman"/>
          <w:i/>
          <w:lang w:eastAsia="hr-HR"/>
        </w:rPr>
        <w:t>Optuženja i odluke sudova povodom optuženja (bez maloljetnih osoba)</w:t>
      </w:r>
    </w:p>
    <w:tbl>
      <w:tblPr>
        <w:tblW w:w="94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60"/>
        <w:gridCol w:w="1027"/>
        <w:gridCol w:w="711"/>
        <w:gridCol w:w="972"/>
        <w:gridCol w:w="1168"/>
        <w:gridCol w:w="990"/>
        <w:gridCol w:w="990"/>
        <w:gridCol w:w="981"/>
        <w:gridCol w:w="936"/>
        <w:gridCol w:w="927"/>
      </w:tblGrid>
      <w:tr w:rsidR="004C3A47" w:rsidRPr="001B4CA2" w14:paraId="071B3A67" w14:textId="77777777" w:rsidTr="00C4437D">
        <w:trPr>
          <w:trHeight w:val="315"/>
          <w:jc w:val="center"/>
        </w:trPr>
        <w:tc>
          <w:tcPr>
            <w:tcW w:w="760" w:type="dxa"/>
            <w:vMerge w:val="restart"/>
            <w:shd w:val="clear" w:color="auto" w:fill="99CCFF"/>
            <w:noWrap/>
            <w:textDirection w:val="btLr"/>
            <w:vAlign w:val="center"/>
            <w:hideMark/>
          </w:tcPr>
          <w:p w14:paraId="46621F93" w14:textId="77777777" w:rsidR="00505031" w:rsidRPr="001B4CA2" w:rsidRDefault="00505031" w:rsidP="00C4437D">
            <w:pPr>
              <w:ind w:left="113" w:right="113"/>
              <w:jc w:val="center"/>
              <w:rPr>
                <w:rFonts w:eastAsia="Times New Roman"/>
                <w:b/>
                <w:sz w:val="16"/>
                <w:szCs w:val="16"/>
                <w:lang w:eastAsia="hr-HR"/>
              </w:rPr>
            </w:pPr>
            <w:r w:rsidRPr="001B4CA2">
              <w:rPr>
                <w:rFonts w:eastAsia="Times New Roman"/>
                <w:b/>
                <w:sz w:val="16"/>
                <w:szCs w:val="16"/>
                <w:lang w:eastAsia="hr-HR"/>
              </w:rPr>
              <w:t>Godina</w:t>
            </w:r>
          </w:p>
        </w:tc>
        <w:tc>
          <w:tcPr>
            <w:tcW w:w="1027" w:type="dxa"/>
            <w:vMerge w:val="restart"/>
            <w:shd w:val="clear" w:color="auto" w:fill="99CCFF"/>
            <w:vAlign w:val="center"/>
            <w:hideMark/>
          </w:tcPr>
          <w:p w14:paraId="3D621C26" w14:textId="77777777" w:rsidR="00505031" w:rsidRPr="001B4CA2" w:rsidRDefault="00505031" w:rsidP="00505031">
            <w:pPr>
              <w:jc w:val="center"/>
              <w:rPr>
                <w:rFonts w:eastAsia="Times New Roman"/>
                <w:b/>
                <w:sz w:val="16"/>
                <w:szCs w:val="16"/>
                <w:lang w:eastAsia="hr-HR"/>
              </w:rPr>
            </w:pPr>
            <w:r w:rsidRPr="001B4CA2">
              <w:rPr>
                <w:rFonts w:eastAsia="Times New Roman"/>
                <w:b/>
                <w:sz w:val="16"/>
                <w:szCs w:val="16"/>
                <w:lang w:eastAsia="hr-HR"/>
              </w:rPr>
              <w:t>Ukupno optužnica pred optužnim vijećem</w:t>
            </w:r>
          </w:p>
        </w:tc>
        <w:tc>
          <w:tcPr>
            <w:tcW w:w="754" w:type="dxa"/>
            <w:vMerge w:val="restart"/>
            <w:shd w:val="clear" w:color="auto" w:fill="99CCFF"/>
            <w:vAlign w:val="center"/>
            <w:hideMark/>
          </w:tcPr>
          <w:p w14:paraId="77DEBE29" w14:textId="77777777" w:rsidR="00505031" w:rsidRPr="001B4CA2" w:rsidRDefault="00505031" w:rsidP="00505031">
            <w:pPr>
              <w:jc w:val="center"/>
              <w:rPr>
                <w:rFonts w:eastAsia="Times New Roman"/>
                <w:b/>
                <w:sz w:val="16"/>
                <w:szCs w:val="16"/>
                <w:lang w:eastAsia="hr-HR"/>
              </w:rPr>
            </w:pPr>
            <w:r w:rsidRPr="001B4CA2">
              <w:rPr>
                <w:rFonts w:eastAsia="Times New Roman"/>
                <w:b/>
                <w:sz w:val="16"/>
                <w:szCs w:val="16"/>
                <w:lang w:eastAsia="hr-HR"/>
              </w:rPr>
              <w:t>Ustup</w:t>
            </w:r>
          </w:p>
        </w:tc>
        <w:tc>
          <w:tcPr>
            <w:tcW w:w="966" w:type="dxa"/>
            <w:vMerge w:val="restart"/>
            <w:shd w:val="clear" w:color="auto" w:fill="99CCFF"/>
            <w:vAlign w:val="center"/>
            <w:hideMark/>
          </w:tcPr>
          <w:p w14:paraId="37321B5D" w14:textId="77777777" w:rsidR="00505031" w:rsidRPr="001B4CA2" w:rsidRDefault="00505031" w:rsidP="00505031">
            <w:pPr>
              <w:jc w:val="center"/>
              <w:rPr>
                <w:rFonts w:eastAsia="Times New Roman"/>
                <w:b/>
                <w:sz w:val="16"/>
                <w:szCs w:val="16"/>
                <w:lang w:eastAsia="hr-HR"/>
              </w:rPr>
            </w:pPr>
            <w:r w:rsidRPr="001B4CA2">
              <w:rPr>
                <w:rFonts w:eastAsia="Times New Roman"/>
                <w:b/>
                <w:sz w:val="16"/>
                <w:szCs w:val="16"/>
                <w:lang w:eastAsia="hr-HR"/>
              </w:rPr>
              <w:t>Povučena optužnica</w:t>
            </w:r>
          </w:p>
        </w:tc>
        <w:tc>
          <w:tcPr>
            <w:tcW w:w="1161" w:type="dxa"/>
            <w:vMerge w:val="restart"/>
            <w:shd w:val="clear" w:color="auto" w:fill="99CCFF"/>
            <w:vAlign w:val="center"/>
            <w:hideMark/>
          </w:tcPr>
          <w:p w14:paraId="18508AFD" w14:textId="38E6FE19" w:rsidR="00505031" w:rsidRPr="001B4CA2" w:rsidRDefault="00505031" w:rsidP="00505031">
            <w:pPr>
              <w:jc w:val="center"/>
              <w:rPr>
                <w:rFonts w:eastAsia="Times New Roman"/>
                <w:b/>
                <w:sz w:val="16"/>
                <w:szCs w:val="16"/>
                <w:lang w:eastAsia="hr-HR"/>
              </w:rPr>
            </w:pPr>
            <w:r w:rsidRPr="001B4CA2">
              <w:rPr>
                <w:rFonts w:eastAsia="Times New Roman"/>
                <w:b/>
                <w:sz w:val="16"/>
                <w:szCs w:val="16"/>
                <w:lang w:eastAsia="hr-HR"/>
              </w:rPr>
              <w:t>Presuda s kaznenim nalogom</w:t>
            </w:r>
            <w:r w:rsidR="00310130" w:rsidRPr="001B4CA2">
              <w:rPr>
                <w:rFonts w:eastAsia="Times New Roman"/>
                <w:b/>
                <w:sz w:val="16"/>
                <w:szCs w:val="16"/>
                <w:lang w:eastAsia="hr-HR"/>
              </w:rPr>
              <w:t xml:space="preserve"> – </w:t>
            </w:r>
            <w:r w:rsidRPr="001B4CA2">
              <w:rPr>
                <w:rFonts w:eastAsia="Times New Roman"/>
                <w:b/>
                <w:sz w:val="16"/>
                <w:szCs w:val="16"/>
                <w:lang w:eastAsia="hr-HR"/>
              </w:rPr>
              <w:t>pravomoćna</w:t>
            </w:r>
          </w:p>
        </w:tc>
        <w:tc>
          <w:tcPr>
            <w:tcW w:w="4794" w:type="dxa"/>
            <w:gridSpan w:val="5"/>
            <w:shd w:val="clear" w:color="auto" w:fill="99CCFF"/>
            <w:vAlign w:val="center"/>
            <w:hideMark/>
          </w:tcPr>
          <w:p w14:paraId="64F0DB55" w14:textId="77777777" w:rsidR="00505031" w:rsidRPr="001B4CA2" w:rsidRDefault="00505031" w:rsidP="00505031">
            <w:pPr>
              <w:jc w:val="center"/>
              <w:rPr>
                <w:rFonts w:eastAsia="Times New Roman"/>
                <w:b/>
                <w:sz w:val="16"/>
                <w:szCs w:val="16"/>
                <w:lang w:eastAsia="hr-HR"/>
              </w:rPr>
            </w:pPr>
            <w:r w:rsidRPr="001B4CA2">
              <w:rPr>
                <w:rFonts w:eastAsia="Times New Roman"/>
                <w:b/>
                <w:sz w:val="16"/>
                <w:szCs w:val="16"/>
                <w:lang w:eastAsia="hr-HR"/>
              </w:rPr>
              <w:t>Odluke optužnog vijeća</w:t>
            </w:r>
          </w:p>
        </w:tc>
      </w:tr>
      <w:tr w:rsidR="00C4437D" w:rsidRPr="001B4CA2" w14:paraId="7BC0BA88" w14:textId="77777777" w:rsidTr="00C4437D">
        <w:trPr>
          <w:trHeight w:val="1545"/>
          <w:jc w:val="center"/>
        </w:trPr>
        <w:tc>
          <w:tcPr>
            <w:tcW w:w="760" w:type="dxa"/>
            <w:vMerge/>
            <w:shd w:val="clear" w:color="auto" w:fill="99CCFF"/>
            <w:vAlign w:val="center"/>
            <w:hideMark/>
          </w:tcPr>
          <w:p w14:paraId="3A9C31D3" w14:textId="77777777" w:rsidR="00505031" w:rsidRPr="001B4CA2" w:rsidRDefault="00505031" w:rsidP="00505031">
            <w:pPr>
              <w:jc w:val="left"/>
              <w:rPr>
                <w:rFonts w:eastAsia="Times New Roman"/>
                <w:b/>
                <w:sz w:val="16"/>
                <w:szCs w:val="16"/>
                <w:lang w:eastAsia="hr-HR"/>
              </w:rPr>
            </w:pPr>
          </w:p>
        </w:tc>
        <w:tc>
          <w:tcPr>
            <w:tcW w:w="1027" w:type="dxa"/>
            <w:vMerge/>
            <w:shd w:val="clear" w:color="auto" w:fill="99CCFF"/>
            <w:vAlign w:val="center"/>
            <w:hideMark/>
          </w:tcPr>
          <w:p w14:paraId="15302C2B" w14:textId="77777777" w:rsidR="00505031" w:rsidRPr="001B4CA2" w:rsidRDefault="00505031" w:rsidP="00505031">
            <w:pPr>
              <w:jc w:val="left"/>
              <w:rPr>
                <w:rFonts w:eastAsia="Times New Roman"/>
                <w:b/>
                <w:sz w:val="16"/>
                <w:szCs w:val="16"/>
                <w:lang w:eastAsia="hr-HR"/>
              </w:rPr>
            </w:pPr>
          </w:p>
        </w:tc>
        <w:tc>
          <w:tcPr>
            <w:tcW w:w="754" w:type="dxa"/>
            <w:vMerge/>
            <w:shd w:val="clear" w:color="auto" w:fill="99CCFF"/>
            <w:vAlign w:val="center"/>
            <w:hideMark/>
          </w:tcPr>
          <w:p w14:paraId="741B3028" w14:textId="77777777" w:rsidR="00505031" w:rsidRPr="001B4CA2" w:rsidRDefault="00505031" w:rsidP="00505031">
            <w:pPr>
              <w:jc w:val="left"/>
              <w:rPr>
                <w:rFonts w:eastAsia="Times New Roman"/>
                <w:b/>
                <w:sz w:val="16"/>
                <w:szCs w:val="16"/>
                <w:lang w:eastAsia="hr-HR"/>
              </w:rPr>
            </w:pPr>
          </w:p>
        </w:tc>
        <w:tc>
          <w:tcPr>
            <w:tcW w:w="966" w:type="dxa"/>
            <w:vMerge/>
            <w:shd w:val="clear" w:color="auto" w:fill="99CCFF"/>
            <w:vAlign w:val="center"/>
            <w:hideMark/>
          </w:tcPr>
          <w:p w14:paraId="521353C2" w14:textId="77777777" w:rsidR="00505031" w:rsidRPr="001B4CA2" w:rsidRDefault="00505031" w:rsidP="00505031">
            <w:pPr>
              <w:jc w:val="left"/>
              <w:rPr>
                <w:rFonts w:eastAsia="Times New Roman"/>
                <w:b/>
                <w:sz w:val="16"/>
                <w:szCs w:val="16"/>
                <w:lang w:eastAsia="hr-HR"/>
              </w:rPr>
            </w:pPr>
          </w:p>
        </w:tc>
        <w:tc>
          <w:tcPr>
            <w:tcW w:w="1161" w:type="dxa"/>
            <w:vMerge/>
            <w:shd w:val="clear" w:color="auto" w:fill="99CCFF"/>
            <w:vAlign w:val="center"/>
            <w:hideMark/>
          </w:tcPr>
          <w:p w14:paraId="4A81229A" w14:textId="77777777" w:rsidR="00505031" w:rsidRPr="001B4CA2" w:rsidRDefault="00505031" w:rsidP="00505031">
            <w:pPr>
              <w:jc w:val="left"/>
              <w:rPr>
                <w:rFonts w:eastAsia="Times New Roman"/>
                <w:b/>
                <w:sz w:val="16"/>
                <w:szCs w:val="16"/>
                <w:lang w:eastAsia="hr-HR"/>
              </w:rPr>
            </w:pPr>
          </w:p>
        </w:tc>
        <w:tc>
          <w:tcPr>
            <w:tcW w:w="984" w:type="dxa"/>
            <w:shd w:val="clear" w:color="auto" w:fill="99CCFF"/>
            <w:vAlign w:val="center"/>
            <w:hideMark/>
          </w:tcPr>
          <w:p w14:paraId="571941B7" w14:textId="77777777" w:rsidR="00505031" w:rsidRPr="001B4CA2" w:rsidRDefault="00505031" w:rsidP="00505031">
            <w:pPr>
              <w:jc w:val="center"/>
              <w:rPr>
                <w:rFonts w:eastAsia="Times New Roman"/>
                <w:b/>
                <w:sz w:val="16"/>
                <w:szCs w:val="16"/>
                <w:lang w:eastAsia="hr-HR"/>
              </w:rPr>
            </w:pPr>
            <w:r w:rsidRPr="001B4CA2">
              <w:rPr>
                <w:rFonts w:eastAsia="Times New Roman"/>
                <w:b/>
                <w:sz w:val="16"/>
                <w:szCs w:val="16"/>
                <w:lang w:eastAsia="hr-HR"/>
              </w:rPr>
              <w:t>Optužnica potvrđena</w:t>
            </w:r>
          </w:p>
        </w:tc>
        <w:tc>
          <w:tcPr>
            <w:tcW w:w="984" w:type="dxa"/>
            <w:shd w:val="clear" w:color="auto" w:fill="99CCFF"/>
            <w:vAlign w:val="center"/>
            <w:hideMark/>
          </w:tcPr>
          <w:p w14:paraId="7EFAE62A" w14:textId="77777777" w:rsidR="00505031" w:rsidRPr="001B4CA2" w:rsidRDefault="00505031" w:rsidP="00505031">
            <w:pPr>
              <w:jc w:val="center"/>
              <w:rPr>
                <w:rFonts w:eastAsia="Times New Roman"/>
                <w:b/>
                <w:sz w:val="16"/>
                <w:szCs w:val="16"/>
                <w:lang w:eastAsia="hr-HR"/>
              </w:rPr>
            </w:pPr>
            <w:r w:rsidRPr="001B4CA2">
              <w:rPr>
                <w:rFonts w:eastAsia="Times New Roman"/>
                <w:b/>
                <w:sz w:val="16"/>
                <w:szCs w:val="16"/>
                <w:lang w:eastAsia="hr-HR"/>
              </w:rPr>
              <w:t>Optužnica vraćena</w:t>
            </w:r>
          </w:p>
        </w:tc>
        <w:tc>
          <w:tcPr>
            <w:tcW w:w="975" w:type="dxa"/>
            <w:shd w:val="clear" w:color="auto" w:fill="99CCFF"/>
            <w:vAlign w:val="center"/>
            <w:hideMark/>
          </w:tcPr>
          <w:p w14:paraId="7A5CCD8B" w14:textId="77777777" w:rsidR="00505031" w:rsidRPr="001B4CA2" w:rsidRDefault="00505031" w:rsidP="00505031">
            <w:pPr>
              <w:jc w:val="center"/>
              <w:rPr>
                <w:rFonts w:eastAsia="Times New Roman"/>
                <w:b/>
                <w:sz w:val="16"/>
                <w:szCs w:val="16"/>
                <w:lang w:eastAsia="hr-HR"/>
              </w:rPr>
            </w:pPr>
            <w:r w:rsidRPr="001B4CA2">
              <w:rPr>
                <w:rFonts w:eastAsia="Times New Roman"/>
                <w:b/>
                <w:sz w:val="16"/>
                <w:szCs w:val="16"/>
                <w:lang w:eastAsia="hr-HR"/>
              </w:rPr>
              <w:t>Obustava po optužnom vijeću</w:t>
            </w:r>
          </w:p>
        </w:tc>
        <w:tc>
          <w:tcPr>
            <w:tcW w:w="930" w:type="dxa"/>
            <w:shd w:val="clear" w:color="auto" w:fill="99CCFF"/>
            <w:vAlign w:val="center"/>
            <w:hideMark/>
          </w:tcPr>
          <w:p w14:paraId="55464A1A" w14:textId="77777777" w:rsidR="00505031" w:rsidRPr="001B4CA2" w:rsidRDefault="00505031" w:rsidP="00505031">
            <w:pPr>
              <w:jc w:val="center"/>
              <w:rPr>
                <w:rFonts w:eastAsia="Times New Roman"/>
                <w:b/>
                <w:sz w:val="16"/>
                <w:szCs w:val="16"/>
                <w:lang w:eastAsia="hr-HR"/>
              </w:rPr>
            </w:pPr>
            <w:r w:rsidRPr="001B4CA2">
              <w:rPr>
                <w:rFonts w:eastAsia="Times New Roman"/>
                <w:b/>
                <w:sz w:val="16"/>
                <w:szCs w:val="16"/>
                <w:lang w:eastAsia="hr-HR"/>
              </w:rPr>
              <w:t>Ukupno odluka optužnog vijeća</w:t>
            </w:r>
          </w:p>
        </w:tc>
        <w:tc>
          <w:tcPr>
            <w:tcW w:w="921" w:type="dxa"/>
            <w:shd w:val="clear" w:color="auto" w:fill="99CCFF"/>
            <w:vAlign w:val="center"/>
            <w:hideMark/>
          </w:tcPr>
          <w:p w14:paraId="0495A3FC" w14:textId="3294FBEA" w:rsidR="00505031" w:rsidRPr="001B4CA2" w:rsidRDefault="00505031" w:rsidP="00F2147C">
            <w:pPr>
              <w:jc w:val="center"/>
              <w:rPr>
                <w:rFonts w:eastAsia="Times New Roman"/>
                <w:b/>
                <w:sz w:val="16"/>
                <w:szCs w:val="16"/>
                <w:lang w:eastAsia="hr-HR"/>
              </w:rPr>
            </w:pPr>
            <w:r w:rsidRPr="001B4CA2">
              <w:rPr>
                <w:rFonts w:eastAsia="Times New Roman"/>
                <w:b/>
                <w:sz w:val="16"/>
                <w:szCs w:val="16"/>
                <w:lang w:eastAsia="hr-HR"/>
              </w:rPr>
              <w:t>Ostalo u radu pred optužnim vijećem</w:t>
            </w:r>
          </w:p>
        </w:tc>
      </w:tr>
      <w:tr w:rsidR="004C3A47" w:rsidRPr="001B4CA2" w14:paraId="47935BFE" w14:textId="77777777" w:rsidTr="00C4437D">
        <w:trPr>
          <w:trHeight w:val="300"/>
          <w:jc w:val="center"/>
        </w:trPr>
        <w:tc>
          <w:tcPr>
            <w:tcW w:w="760" w:type="dxa"/>
            <w:shd w:val="clear" w:color="auto" w:fill="auto"/>
            <w:noWrap/>
            <w:vAlign w:val="center"/>
          </w:tcPr>
          <w:p w14:paraId="2BC0F841" w14:textId="5D39F1B1" w:rsidR="00645FFF" w:rsidRPr="003E79A0" w:rsidRDefault="00645FFF" w:rsidP="008159FD">
            <w:pPr>
              <w:jc w:val="center"/>
              <w:rPr>
                <w:rFonts w:eastAsia="Times New Roman"/>
                <w:sz w:val="16"/>
                <w:szCs w:val="16"/>
                <w:lang w:eastAsia="hr-HR"/>
              </w:rPr>
            </w:pPr>
            <w:r w:rsidRPr="003E79A0">
              <w:rPr>
                <w:rFonts w:eastAsia="Times New Roman"/>
                <w:sz w:val="16"/>
                <w:szCs w:val="16"/>
                <w:lang w:eastAsia="hr-HR"/>
              </w:rPr>
              <w:t>201</w:t>
            </w:r>
            <w:r w:rsidR="00417864" w:rsidRPr="003E79A0">
              <w:rPr>
                <w:rFonts w:eastAsia="Times New Roman"/>
                <w:sz w:val="16"/>
                <w:szCs w:val="16"/>
                <w:lang w:eastAsia="hr-HR"/>
              </w:rPr>
              <w:t>8</w:t>
            </w:r>
            <w:r w:rsidRPr="003E79A0">
              <w:rPr>
                <w:rFonts w:eastAsia="Times New Roman"/>
                <w:sz w:val="16"/>
                <w:szCs w:val="16"/>
                <w:lang w:eastAsia="hr-HR"/>
              </w:rPr>
              <w:t>.</w:t>
            </w:r>
          </w:p>
        </w:tc>
        <w:tc>
          <w:tcPr>
            <w:tcW w:w="1027" w:type="dxa"/>
            <w:shd w:val="clear" w:color="auto" w:fill="auto"/>
            <w:noWrap/>
            <w:vAlign w:val="center"/>
          </w:tcPr>
          <w:p w14:paraId="2500B167" w14:textId="0D13431C" w:rsidR="00645FFF" w:rsidRPr="003E79A0" w:rsidRDefault="00645FFF" w:rsidP="008159FD">
            <w:pPr>
              <w:jc w:val="center"/>
              <w:rPr>
                <w:rFonts w:eastAsia="Times New Roman"/>
                <w:sz w:val="16"/>
                <w:szCs w:val="16"/>
                <w:lang w:eastAsia="hr-HR"/>
              </w:rPr>
            </w:pPr>
          </w:p>
        </w:tc>
        <w:tc>
          <w:tcPr>
            <w:tcW w:w="754" w:type="dxa"/>
            <w:shd w:val="clear" w:color="auto" w:fill="auto"/>
            <w:vAlign w:val="center"/>
          </w:tcPr>
          <w:p w14:paraId="26A28374" w14:textId="3702415E" w:rsidR="00645FFF" w:rsidRPr="003E79A0" w:rsidRDefault="00645FFF" w:rsidP="008159FD">
            <w:pPr>
              <w:jc w:val="center"/>
              <w:rPr>
                <w:rFonts w:eastAsia="Times New Roman"/>
                <w:sz w:val="16"/>
                <w:szCs w:val="16"/>
                <w:lang w:eastAsia="hr-HR"/>
              </w:rPr>
            </w:pPr>
          </w:p>
        </w:tc>
        <w:tc>
          <w:tcPr>
            <w:tcW w:w="966" w:type="dxa"/>
            <w:shd w:val="clear" w:color="auto" w:fill="auto"/>
            <w:vAlign w:val="center"/>
          </w:tcPr>
          <w:p w14:paraId="4399B41C" w14:textId="5A569C31"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25</w:t>
            </w:r>
          </w:p>
        </w:tc>
        <w:tc>
          <w:tcPr>
            <w:tcW w:w="1161" w:type="dxa"/>
            <w:shd w:val="clear" w:color="auto" w:fill="auto"/>
            <w:vAlign w:val="center"/>
          </w:tcPr>
          <w:p w14:paraId="7A9F6E22" w14:textId="6C9295D4" w:rsidR="00645FFF" w:rsidRPr="003E79A0" w:rsidRDefault="00645FFF" w:rsidP="008159FD">
            <w:pPr>
              <w:jc w:val="center"/>
              <w:rPr>
                <w:rFonts w:eastAsia="Times New Roman"/>
                <w:sz w:val="16"/>
                <w:szCs w:val="16"/>
                <w:lang w:eastAsia="hr-HR"/>
              </w:rPr>
            </w:pPr>
          </w:p>
        </w:tc>
        <w:tc>
          <w:tcPr>
            <w:tcW w:w="984" w:type="dxa"/>
            <w:shd w:val="clear" w:color="auto" w:fill="auto"/>
            <w:vAlign w:val="center"/>
          </w:tcPr>
          <w:p w14:paraId="515117FE" w14:textId="610A180E"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8.715</w:t>
            </w:r>
          </w:p>
        </w:tc>
        <w:tc>
          <w:tcPr>
            <w:tcW w:w="984" w:type="dxa"/>
            <w:shd w:val="clear" w:color="auto" w:fill="auto"/>
            <w:vAlign w:val="center"/>
          </w:tcPr>
          <w:p w14:paraId="2F125F0A" w14:textId="4D6BA8C8"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272</w:t>
            </w:r>
          </w:p>
        </w:tc>
        <w:tc>
          <w:tcPr>
            <w:tcW w:w="975" w:type="dxa"/>
            <w:shd w:val="clear" w:color="auto" w:fill="auto"/>
            <w:vAlign w:val="center"/>
          </w:tcPr>
          <w:p w14:paraId="6ED4CE75" w14:textId="4417F00C"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54</w:t>
            </w:r>
          </w:p>
        </w:tc>
        <w:tc>
          <w:tcPr>
            <w:tcW w:w="930" w:type="dxa"/>
            <w:shd w:val="clear" w:color="auto" w:fill="auto"/>
            <w:vAlign w:val="center"/>
          </w:tcPr>
          <w:p w14:paraId="750157CF" w14:textId="63A2CE83"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9.041</w:t>
            </w:r>
          </w:p>
        </w:tc>
        <w:tc>
          <w:tcPr>
            <w:tcW w:w="921" w:type="dxa"/>
            <w:shd w:val="clear" w:color="auto" w:fill="auto"/>
            <w:vAlign w:val="center"/>
          </w:tcPr>
          <w:p w14:paraId="4F92A366" w14:textId="4E8AC852" w:rsidR="00645FFF" w:rsidRPr="003E79A0" w:rsidRDefault="00645FFF" w:rsidP="008159FD">
            <w:pPr>
              <w:jc w:val="center"/>
              <w:rPr>
                <w:rFonts w:eastAsia="Times New Roman"/>
                <w:b/>
                <w:bCs/>
                <w:sz w:val="16"/>
                <w:szCs w:val="16"/>
                <w:lang w:eastAsia="hr-HR"/>
              </w:rPr>
            </w:pPr>
          </w:p>
        </w:tc>
      </w:tr>
      <w:tr w:rsidR="004C3A47" w:rsidRPr="001B4CA2" w14:paraId="66A41FA0" w14:textId="77777777" w:rsidTr="00C4437D">
        <w:trPr>
          <w:trHeight w:val="300"/>
          <w:jc w:val="center"/>
        </w:trPr>
        <w:tc>
          <w:tcPr>
            <w:tcW w:w="760" w:type="dxa"/>
            <w:shd w:val="clear" w:color="auto" w:fill="auto"/>
            <w:noWrap/>
            <w:vAlign w:val="center"/>
            <w:hideMark/>
          </w:tcPr>
          <w:p w14:paraId="7B3CF43D" w14:textId="19CEC6F5" w:rsidR="00645FFF" w:rsidRPr="003E79A0" w:rsidRDefault="00645FFF" w:rsidP="008159FD">
            <w:pPr>
              <w:jc w:val="center"/>
              <w:rPr>
                <w:rFonts w:eastAsia="Times New Roman"/>
                <w:sz w:val="16"/>
                <w:szCs w:val="16"/>
                <w:lang w:eastAsia="hr-HR"/>
              </w:rPr>
            </w:pPr>
            <w:r w:rsidRPr="003E79A0">
              <w:rPr>
                <w:rFonts w:eastAsia="Times New Roman"/>
                <w:sz w:val="16"/>
                <w:szCs w:val="16"/>
                <w:lang w:eastAsia="hr-HR"/>
              </w:rPr>
              <w:t>201</w:t>
            </w:r>
            <w:r w:rsidR="00417864" w:rsidRPr="003E79A0">
              <w:rPr>
                <w:rFonts w:eastAsia="Times New Roman"/>
                <w:sz w:val="16"/>
                <w:szCs w:val="16"/>
                <w:lang w:eastAsia="hr-HR"/>
              </w:rPr>
              <w:t>9</w:t>
            </w:r>
            <w:r w:rsidRPr="003E79A0">
              <w:rPr>
                <w:rFonts w:eastAsia="Times New Roman"/>
                <w:sz w:val="16"/>
                <w:szCs w:val="16"/>
                <w:lang w:eastAsia="hr-HR"/>
              </w:rPr>
              <w:t>.</w:t>
            </w:r>
          </w:p>
        </w:tc>
        <w:tc>
          <w:tcPr>
            <w:tcW w:w="1027" w:type="dxa"/>
            <w:shd w:val="clear" w:color="auto" w:fill="auto"/>
            <w:noWrap/>
            <w:vAlign w:val="center"/>
            <w:hideMark/>
          </w:tcPr>
          <w:p w14:paraId="6C72C79C" w14:textId="3D33D79E" w:rsidR="00645FFF" w:rsidRPr="003E79A0" w:rsidRDefault="00645FFF" w:rsidP="008159FD">
            <w:pPr>
              <w:jc w:val="center"/>
              <w:rPr>
                <w:rFonts w:eastAsia="Times New Roman"/>
                <w:sz w:val="16"/>
                <w:szCs w:val="16"/>
                <w:lang w:eastAsia="hr-HR"/>
              </w:rPr>
            </w:pPr>
          </w:p>
        </w:tc>
        <w:tc>
          <w:tcPr>
            <w:tcW w:w="754" w:type="dxa"/>
            <w:shd w:val="clear" w:color="auto" w:fill="auto"/>
            <w:vAlign w:val="center"/>
            <w:hideMark/>
          </w:tcPr>
          <w:p w14:paraId="0A60AAD4" w14:textId="08E39C79" w:rsidR="00645FFF" w:rsidRPr="003E79A0" w:rsidRDefault="00645FFF" w:rsidP="008159FD">
            <w:pPr>
              <w:jc w:val="center"/>
              <w:rPr>
                <w:rFonts w:eastAsia="Times New Roman"/>
                <w:sz w:val="16"/>
                <w:szCs w:val="16"/>
                <w:lang w:eastAsia="hr-HR"/>
              </w:rPr>
            </w:pPr>
          </w:p>
        </w:tc>
        <w:tc>
          <w:tcPr>
            <w:tcW w:w="966" w:type="dxa"/>
            <w:shd w:val="clear" w:color="auto" w:fill="auto"/>
            <w:vAlign w:val="center"/>
            <w:hideMark/>
          </w:tcPr>
          <w:p w14:paraId="398643EF" w14:textId="45FBB6B0"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20</w:t>
            </w:r>
          </w:p>
        </w:tc>
        <w:tc>
          <w:tcPr>
            <w:tcW w:w="1161" w:type="dxa"/>
            <w:shd w:val="clear" w:color="auto" w:fill="auto"/>
            <w:vAlign w:val="center"/>
            <w:hideMark/>
          </w:tcPr>
          <w:p w14:paraId="6EE8F526" w14:textId="1EF679CB" w:rsidR="00645FFF" w:rsidRPr="003E79A0" w:rsidRDefault="00645FFF" w:rsidP="008159FD">
            <w:pPr>
              <w:jc w:val="center"/>
              <w:rPr>
                <w:rFonts w:eastAsia="Times New Roman"/>
                <w:sz w:val="16"/>
                <w:szCs w:val="16"/>
                <w:lang w:eastAsia="hr-HR"/>
              </w:rPr>
            </w:pPr>
          </w:p>
        </w:tc>
        <w:tc>
          <w:tcPr>
            <w:tcW w:w="984" w:type="dxa"/>
            <w:shd w:val="clear" w:color="auto" w:fill="auto"/>
            <w:vAlign w:val="center"/>
            <w:hideMark/>
          </w:tcPr>
          <w:p w14:paraId="7A119E06" w14:textId="58EB49CE"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9.469</w:t>
            </w:r>
          </w:p>
        </w:tc>
        <w:tc>
          <w:tcPr>
            <w:tcW w:w="984" w:type="dxa"/>
            <w:shd w:val="clear" w:color="auto" w:fill="auto"/>
            <w:vAlign w:val="center"/>
            <w:hideMark/>
          </w:tcPr>
          <w:p w14:paraId="10E849B0" w14:textId="5D29298E"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251</w:t>
            </w:r>
          </w:p>
        </w:tc>
        <w:tc>
          <w:tcPr>
            <w:tcW w:w="975" w:type="dxa"/>
            <w:shd w:val="clear" w:color="auto" w:fill="auto"/>
            <w:vAlign w:val="center"/>
            <w:hideMark/>
          </w:tcPr>
          <w:p w14:paraId="3A5FA201" w14:textId="29F38769"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64</w:t>
            </w:r>
          </w:p>
        </w:tc>
        <w:tc>
          <w:tcPr>
            <w:tcW w:w="930" w:type="dxa"/>
            <w:shd w:val="clear" w:color="auto" w:fill="auto"/>
            <w:vAlign w:val="center"/>
            <w:hideMark/>
          </w:tcPr>
          <w:p w14:paraId="01D6DBA1" w14:textId="7BCFB2F2"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9.784</w:t>
            </w:r>
          </w:p>
        </w:tc>
        <w:tc>
          <w:tcPr>
            <w:tcW w:w="921" w:type="dxa"/>
            <w:shd w:val="clear" w:color="auto" w:fill="auto"/>
            <w:vAlign w:val="center"/>
            <w:hideMark/>
          </w:tcPr>
          <w:p w14:paraId="2AB46C1B" w14:textId="70AB1E2F" w:rsidR="00645FFF" w:rsidRPr="003E79A0" w:rsidRDefault="00645FFF" w:rsidP="008159FD">
            <w:pPr>
              <w:jc w:val="center"/>
              <w:rPr>
                <w:rFonts w:eastAsia="Times New Roman"/>
                <w:b/>
                <w:bCs/>
                <w:sz w:val="16"/>
                <w:szCs w:val="16"/>
                <w:lang w:eastAsia="hr-HR"/>
              </w:rPr>
            </w:pPr>
          </w:p>
        </w:tc>
      </w:tr>
      <w:tr w:rsidR="004C3A47" w:rsidRPr="001B4CA2" w14:paraId="7D4ECBD0" w14:textId="77777777" w:rsidTr="00C4437D">
        <w:trPr>
          <w:trHeight w:val="300"/>
          <w:jc w:val="center"/>
        </w:trPr>
        <w:tc>
          <w:tcPr>
            <w:tcW w:w="760" w:type="dxa"/>
            <w:shd w:val="clear" w:color="auto" w:fill="auto"/>
            <w:noWrap/>
            <w:vAlign w:val="center"/>
            <w:hideMark/>
          </w:tcPr>
          <w:p w14:paraId="415E2979" w14:textId="0684B50D" w:rsidR="00645FFF" w:rsidRPr="003E79A0" w:rsidRDefault="00645FFF" w:rsidP="008159FD">
            <w:pPr>
              <w:jc w:val="center"/>
              <w:rPr>
                <w:rFonts w:eastAsia="Times New Roman"/>
                <w:sz w:val="16"/>
                <w:szCs w:val="16"/>
                <w:lang w:eastAsia="hr-HR"/>
              </w:rPr>
            </w:pPr>
            <w:r w:rsidRPr="003E79A0">
              <w:rPr>
                <w:rFonts w:eastAsia="Times New Roman"/>
                <w:sz w:val="16"/>
                <w:szCs w:val="16"/>
                <w:lang w:eastAsia="hr-HR"/>
              </w:rPr>
              <w:t>20</w:t>
            </w:r>
            <w:r w:rsidR="00417864" w:rsidRPr="003E79A0">
              <w:rPr>
                <w:rFonts w:eastAsia="Times New Roman"/>
                <w:sz w:val="16"/>
                <w:szCs w:val="16"/>
                <w:lang w:eastAsia="hr-HR"/>
              </w:rPr>
              <w:t>20</w:t>
            </w:r>
            <w:r w:rsidRPr="003E79A0">
              <w:rPr>
                <w:rFonts w:eastAsia="Times New Roman"/>
                <w:sz w:val="16"/>
                <w:szCs w:val="16"/>
                <w:lang w:eastAsia="hr-HR"/>
              </w:rPr>
              <w:t>.</w:t>
            </w:r>
          </w:p>
        </w:tc>
        <w:tc>
          <w:tcPr>
            <w:tcW w:w="1027" w:type="dxa"/>
            <w:shd w:val="clear" w:color="auto" w:fill="auto"/>
            <w:noWrap/>
            <w:vAlign w:val="center"/>
            <w:hideMark/>
          </w:tcPr>
          <w:p w14:paraId="5469D375" w14:textId="445869D0"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21.774</w:t>
            </w:r>
          </w:p>
        </w:tc>
        <w:tc>
          <w:tcPr>
            <w:tcW w:w="754" w:type="dxa"/>
            <w:shd w:val="clear" w:color="auto" w:fill="auto"/>
            <w:vAlign w:val="center"/>
            <w:hideMark/>
          </w:tcPr>
          <w:p w14:paraId="7AE21ACC" w14:textId="79902462"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176</w:t>
            </w:r>
          </w:p>
        </w:tc>
        <w:tc>
          <w:tcPr>
            <w:tcW w:w="966" w:type="dxa"/>
            <w:shd w:val="clear" w:color="auto" w:fill="auto"/>
            <w:vAlign w:val="center"/>
            <w:hideMark/>
          </w:tcPr>
          <w:p w14:paraId="4F2B0882" w14:textId="2DBDEFE7" w:rsidR="00645FFF" w:rsidRPr="003E79A0" w:rsidRDefault="00645FFF" w:rsidP="008159FD">
            <w:pPr>
              <w:jc w:val="center"/>
              <w:rPr>
                <w:rFonts w:eastAsia="Times New Roman"/>
                <w:sz w:val="16"/>
                <w:szCs w:val="16"/>
                <w:lang w:eastAsia="hr-HR"/>
              </w:rPr>
            </w:pPr>
          </w:p>
        </w:tc>
        <w:tc>
          <w:tcPr>
            <w:tcW w:w="1161" w:type="dxa"/>
            <w:shd w:val="clear" w:color="auto" w:fill="auto"/>
            <w:vAlign w:val="center"/>
            <w:hideMark/>
          </w:tcPr>
          <w:p w14:paraId="40F23B91" w14:textId="4BE89D12"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3.031</w:t>
            </w:r>
          </w:p>
        </w:tc>
        <w:tc>
          <w:tcPr>
            <w:tcW w:w="984" w:type="dxa"/>
            <w:shd w:val="clear" w:color="auto" w:fill="auto"/>
            <w:vAlign w:val="center"/>
            <w:hideMark/>
          </w:tcPr>
          <w:p w14:paraId="27E40970" w14:textId="307FFE36"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13.764</w:t>
            </w:r>
          </w:p>
        </w:tc>
        <w:tc>
          <w:tcPr>
            <w:tcW w:w="984" w:type="dxa"/>
            <w:shd w:val="clear" w:color="auto" w:fill="auto"/>
            <w:vAlign w:val="center"/>
            <w:hideMark/>
          </w:tcPr>
          <w:p w14:paraId="724AC668" w14:textId="3A957FBB" w:rsidR="00645FFF" w:rsidRPr="003E79A0" w:rsidRDefault="00645FFF" w:rsidP="008159FD">
            <w:pPr>
              <w:jc w:val="center"/>
              <w:rPr>
                <w:rFonts w:eastAsia="Times New Roman"/>
                <w:sz w:val="16"/>
                <w:szCs w:val="16"/>
                <w:lang w:eastAsia="hr-HR"/>
              </w:rPr>
            </w:pPr>
            <w:r w:rsidRPr="003E79A0">
              <w:rPr>
                <w:rFonts w:eastAsia="Times New Roman"/>
                <w:sz w:val="16"/>
                <w:szCs w:val="16"/>
                <w:lang w:eastAsia="hr-HR"/>
              </w:rPr>
              <w:t>2</w:t>
            </w:r>
            <w:r w:rsidR="00A658A7" w:rsidRPr="003E79A0">
              <w:rPr>
                <w:rFonts w:eastAsia="Times New Roman"/>
                <w:sz w:val="16"/>
                <w:szCs w:val="16"/>
                <w:lang w:eastAsia="hr-HR"/>
              </w:rPr>
              <w:t>84</w:t>
            </w:r>
          </w:p>
        </w:tc>
        <w:tc>
          <w:tcPr>
            <w:tcW w:w="975" w:type="dxa"/>
            <w:shd w:val="clear" w:color="auto" w:fill="auto"/>
            <w:vAlign w:val="center"/>
            <w:hideMark/>
          </w:tcPr>
          <w:p w14:paraId="39AA70E1" w14:textId="60C2ABE9"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27</w:t>
            </w:r>
          </w:p>
        </w:tc>
        <w:tc>
          <w:tcPr>
            <w:tcW w:w="930" w:type="dxa"/>
            <w:shd w:val="clear" w:color="auto" w:fill="auto"/>
            <w:vAlign w:val="center"/>
            <w:hideMark/>
          </w:tcPr>
          <w:p w14:paraId="5AB92D32" w14:textId="0B3DA9F7" w:rsidR="00645FFF" w:rsidRPr="003E79A0" w:rsidRDefault="00A658A7" w:rsidP="008159FD">
            <w:pPr>
              <w:jc w:val="center"/>
              <w:rPr>
                <w:rFonts w:eastAsia="Times New Roman"/>
                <w:sz w:val="16"/>
                <w:szCs w:val="16"/>
                <w:lang w:eastAsia="hr-HR"/>
              </w:rPr>
            </w:pPr>
            <w:r w:rsidRPr="003E79A0">
              <w:rPr>
                <w:rFonts w:eastAsia="Times New Roman"/>
                <w:sz w:val="16"/>
                <w:szCs w:val="16"/>
                <w:lang w:eastAsia="hr-HR"/>
              </w:rPr>
              <w:t>14.075</w:t>
            </w:r>
          </w:p>
        </w:tc>
        <w:tc>
          <w:tcPr>
            <w:tcW w:w="921" w:type="dxa"/>
            <w:shd w:val="clear" w:color="auto" w:fill="auto"/>
            <w:vAlign w:val="center"/>
            <w:hideMark/>
          </w:tcPr>
          <w:p w14:paraId="0D07BF9E" w14:textId="329A8447" w:rsidR="00645FFF" w:rsidRPr="003E79A0" w:rsidRDefault="00A658A7" w:rsidP="008159FD">
            <w:pPr>
              <w:jc w:val="center"/>
              <w:rPr>
                <w:rFonts w:eastAsia="Times New Roman"/>
                <w:b/>
                <w:bCs/>
                <w:sz w:val="16"/>
                <w:szCs w:val="16"/>
                <w:lang w:eastAsia="hr-HR"/>
              </w:rPr>
            </w:pPr>
            <w:r w:rsidRPr="003E79A0">
              <w:rPr>
                <w:rFonts w:eastAsia="Times New Roman"/>
                <w:sz w:val="16"/>
                <w:szCs w:val="16"/>
                <w:lang w:eastAsia="hr-HR"/>
              </w:rPr>
              <w:t>5.809</w:t>
            </w:r>
          </w:p>
        </w:tc>
      </w:tr>
      <w:tr w:rsidR="004C3A47" w:rsidRPr="001B4CA2" w14:paraId="6DA6F9DB" w14:textId="77777777" w:rsidTr="00C4437D">
        <w:trPr>
          <w:trHeight w:val="300"/>
          <w:jc w:val="center"/>
        </w:trPr>
        <w:tc>
          <w:tcPr>
            <w:tcW w:w="760" w:type="dxa"/>
            <w:shd w:val="clear" w:color="auto" w:fill="auto"/>
            <w:noWrap/>
            <w:vAlign w:val="center"/>
            <w:hideMark/>
          </w:tcPr>
          <w:p w14:paraId="52EDEC56" w14:textId="3D0F1605" w:rsidR="00C505F7" w:rsidRPr="003E79A0" w:rsidRDefault="00C505F7" w:rsidP="008159FD">
            <w:pPr>
              <w:jc w:val="center"/>
              <w:rPr>
                <w:rFonts w:eastAsia="Times New Roman"/>
                <w:sz w:val="16"/>
                <w:szCs w:val="16"/>
                <w:lang w:eastAsia="hr-HR"/>
              </w:rPr>
            </w:pPr>
            <w:r w:rsidRPr="003E79A0">
              <w:rPr>
                <w:rFonts w:eastAsia="Times New Roman"/>
                <w:sz w:val="16"/>
                <w:szCs w:val="16"/>
                <w:lang w:eastAsia="hr-HR"/>
              </w:rPr>
              <w:t>202</w:t>
            </w:r>
            <w:r w:rsidR="00417864" w:rsidRPr="003E79A0">
              <w:rPr>
                <w:rFonts w:eastAsia="Times New Roman"/>
                <w:sz w:val="16"/>
                <w:szCs w:val="16"/>
                <w:lang w:eastAsia="hr-HR"/>
              </w:rPr>
              <w:t>1</w:t>
            </w:r>
            <w:r w:rsidRPr="003E79A0">
              <w:rPr>
                <w:rFonts w:eastAsia="Times New Roman"/>
                <w:sz w:val="16"/>
                <w:szCs w:val="16"/>
                <w:lang w:eastAsia="hr-HR"/>
              </w:rPr>
              <w:t>.</w:t>
            </w:r>
          </w:p>
        </w:tc>
        <w:tc>
          <w:tcPr>
            <w:tcW w:w="1027" w:type="dxa"/>
            <w:shd w:val="clear" w:color="auto" w:fill="auto"/>
            <w:noWrap/>
            <w:vAlign w:val="center"/>
            <w:hideMark/>
          </w:tcPr>
          <w:p w14:paraId="0C90902A" w14:textId="053EE31B" w:rsidR="00C505F7" w:rsidRPr="003E79A0" w:rsidRDefault="00A658A7" w:rsidP="008159FD">
            <w:pPr>
              <w:jc w:val="center"/>
              <w:rPr>
                <w:rFonts w:eastAsia="Times New Roman"/>
                <w:sz w:val="16"/>
                <w:szCs w:val="16"/>
                <w:lang w:eastAsia="hr-HR"/>
              </w:rPr>
            </w:pPr>
            <w:r w:rsidRPr="003E79A0">
              <w:rPr>
                <w:rFonts w:eastAsia="Times New Roman"/>
                <w:color w:val="000000" w:themeColor="text1"/>
                <w:sz w:val="16"/>
                <w:szCs w:val="16"/>
                <w:lang w:eastAsia="hr-HR"/>
              </w:rPr>
              <w:t>18.215</w:t>
            </w:r>
          </w:p>
        </w:tc>
        <w:tc>
          <w:tcPr>
            <w:tcW w:w="754" w:type="dxa"/>
            <w:shd w:val="clear" w:color="auto" w:fill="auto"/>
            <w:vAlign w:val="center"/>
            <w:hideMark/>
          </w:tcPr>
          <w:p w14:paraId="20F74478" w14:textId="624E3E25" w:rsidR="00C505F7" w:rsidRPr="003E79A0" w:rsidRDefault="00A658A7" w:rsidP="008159FD">
            <w:pPr>
              <w:jc w:val="center"/>
              <w:rPr>
                <w:rFonts w:eastAsia="Times New Roman"/>
                <w:sz w:val="16"/>
                <w:szCs w:val="16"/>
                <w:lang w:eastAsia="hr-HR"/>
              </w:rPr>
            </w:pPr>
            <w:r w:rsidRPr="003E79A0">
              <w:rPr>
                <w:rFonts w:eastAsia="Times New Roman"/>
                <w:sz w:val="16"/>
                <w:szCs w:val="16"/>
                <w:lang w:eastAsia="hr-HR"/>
              </w:rPr>
              <w:t>227</w:t>
            </w:r>
          </w:p>
        </w:tc>
        <w:tc>
          <w:tcPr>
            <w:tcW w:w="966" w:type="dxa"/>
            <w:shd w:val="clear" w:color="auto" w:fill="auto"/>
            <w:vAlign w:val="center"/>
            <w:hideMark/>
          </w:tcPr>
          <w:p w14:paraId="490A85B0" w14:textId="35749CAA" w:rsidR="00C505F7" w:rsidRPr="003E79A0" w:rsidRDefault="00A658A7" w:rsidP="008159FD">
            <w:pPr>
              <w:jc w:val="center"/>
              <w:rPr>
                <w:rFonts w:eastAsia="Times New Roman"/>
                <w:sz w:val="16"/>
                <w:szCs w:val="16"/>
                <w:lang w:eastAsia="hr-HR"/>
              </w:rPr>
            </w:pPr>
            <w:r w:rsidRPr="003E79A0">
              <w:rPr>
                <w:rFonts w:eastAsia="Times New Roman"/>
                <w:sz w:val="16"/>
                <w:szCs w:val="16"/>
                <w:lang w:eastAsia="hr-HR"/>
              </w:rPr>
              <w:t>14</w:t>
            </w:r>
          </w:p>
        </w:tc>
        <w:tc>
          <w:tcPr>
            <w:tcW w:w="1161" w:type="dxa"/>
            <w:shd w:val="clear" w:color="auto" w:fill="auto"/>
            <w:vAlign w:val="center"/>
            <w:hideMark/>
          </w:tcPr>
          <w:p w14:paraId="33B77F77" w14:textId="3642DA47" w:rsidR="00C505F7" w:rsidRPr="003E79A0" w:rsidRDefault="00A658A7" w:rsidP="008159FD">
            <w:pPr>
              <w:jc w:val="center"/>
              <w:rPr>
                <w:rFonts w:eastAsia="Times New Roman"/>
                <w:sz w:val="16"/>
                <w:szCs w:val="16"/>
                <w:lang w:eastAsia="hr-HR"/>
              </w:rPr>
            </w:pPr>
            <w:r w:rsidRPr="003E79A0">
              <w:rPr>
                <w:rFonts w:eastAsia="Times New Roman"/>
                <w:sz w:val="16"/>
                <w:szCs w:val="16"/>
                <w:lang w:eastAsia="hr-HR"/>
              </w:rPr>
              <w:t>4.064</w:t>
            </w:r>
          </w:p>
        </w:tc>
        <w:tc>
          <w:tcPr>
            <w:tcW w:w="984" w:type="dxa"/>
            <w:shd w:val="clear" w:color="auto" w:fill="auto"/>
            <w:vAlign w:val="center"/>
            <w:hideMark/>
          </w:tcPr>
          <w:p w14:paraId="21A1B97F" w14:textId="6A652E5C" w:rsidR="00C505F7" w:rsidRPr="003E79A0" w:rsidRDefault="00A658A7" w:rsidP="008159FD">
            <w:pPr>
              <w:jc w:val="center"/>
              <w:rPr>
                <w:rFonts w:eastAsia="Times New Roman"/>
                <w:sz w:val="16"/>
                <w:szCs w:val="16"/>
                <w:lang w:eastAsia="hr-HR"/>
              </w:rPr>
            </w:pPr>
            <w:r w:rsidRPr="003E79A0">
              <w:rPr>
                <w:rFonts w:eastAsia="Times New Roman"/>
                <w:sz w:val="16"/>
                <w:szCs w:val="16"/>
                <w:lang w:eastAsia="hr-HR"/>
              </w:rPr>
              <w:t>11.164</w:t>
            </w:r>
          </w:p>
        </w:tc>
        <w:tc>
          <w:tcPr>
            <w:tcW w:w="984" w:type="dxa"/>
            <w:shd w:val="clear" w:color="auto" w:fill="auto"/>
            <w:vAlign w:val="center"/>
            <w:hideMark/>
          </w:tcPr>
          <w:p w14:paraId="5455F8A1" w14:textId="7A51EBA8" w:rsidR="00C505F7" w:rsidRPr="003E79A0" w:rsidRDefault="00C505F7" w:rsidP="008159FD">
            <w:pPr>
              <w:jc w:val="center"/>
              <w:rPr>
                <w:rFonts w:eastAsia="Times New Roman"/>
                <w:sz w:val="16"/>
                <w:szCs w:val="16"/>
                <w:lang w:eastAsia="hr-HR"/>
              </w:rPr>
            </w:pPr>
            <w:r w:rsidRPr="003E79A0">
              <w:rPr>
                <w:rFonts w:eastAsia="Times New Roman"/>
                <w:sz w:val="16"/>
                <w:szCs w:val="16"/>
                <w:lang w:eastAsia="hr-HR"/>
              </w:rPr>
              <w:t>2</w:t>
            </w:r>
            <w:r w:rsidR="00A658A7" w:rsidRPr="003E79A0">
              <w:rPr>
                <w:rFonts w:eastAsia="Times New Roman"/>
                <w:sz w:val="16"/>
                <w:szCs w:val="16"/>
                <w:lang w:eastAsia="hr-HR"/>
              </w:rPr>
              <w:t>11</w:t>
            </w:r>
          </w:p>
        </w:tc>
        <w:tc>
          <w:tcPr>
            <w:tcW w:w="975" w:type="dxa"/>
            <w:shd w:val="clear" w:color="auto" w:fill="auto"/>
            <w:vAlign w:val="center"/>
            <w:hideMark/>
          </w:tcPr>
          <w:p w14:paraId="01301AE0" w14:textId="45EFA3CC" w:rsidR="00C505F7" w:rsidRPr="003E79A0" w:rsidRDefault="00A658A7" w:rsidP="008159FD">
            <w:pPr>
              <w:jc w:val="center"/>
              <w:rPr>
                <w:rFonts w:eastAsia="Times New Roman"/>
                <w:sz w:val="16"/>
                <w:szCs w:val="16"/>
                <w:lang w:eastAsia="hr-HR"/>
              </w:rPr>
            </w:pPr>
            <w:r w:rsidRPr="003E79A0">
              <w:rPr>
                <w:rFonts w:eastAsia="Times New Roman"/>
                <w:sz w:val="16"/>
                <w:szCs w:val="16"/>
                <w:lang w:eastAsia="hr-HR"/>
              </w:rPr>
              <w:t>36</w:t>
            </w:r>
          </w:p>
        </w:tc>
        <w:tc>
          <w:tcPr>
            <w:tcW w:w="930" w:type="dxa"/>
            <w:shd w:val="clear" w:color="auto" w:fill="auto"/>
            <w:vAlign w:val="center"/>
            <w:hideMark/>
          </w:tcPr>
          <w:p w14:paraId="2D83A372" w14:textId="7B3823A8" w:rsidR="00C505F7" w:rsidRPr="003E79A0" w:rsidRDefault="00A658A7" w:rsidP="008159FD">
            <w:pPr>
              <w:jc w:val="center"/>
              <w:rPr>
                <w:rFonts w:eastAsia="Times New Roman"/>
                <w:sz w:val="16"/>
                <w:szCs w:val="16"/>
                <w:lang w:eastAsia="hr-HR"/>
              </w:rPr>
            </w:pPr>
            <w:r w:rsidRPr="003E79A0">
              <w:rPr>
                <w:rFonts w:eastAsia="Times New Roman"/>
                <w:sz w:val="16"/>
                <w:szCs w:val="16"/>
                <w:lang w:eastAsia="hr-HR"/>
              </w:rPr>
              <w:t>11.411</w:t>
            </w:r>
          </w:p>
        </w:tc>
        <w:tc>
          <w:tcPr>
            <w:tcW w:w="921" w:type="dxa"/>
            <w:shd w:val="clear" w:color="auto" w:fill="auto"/>
            <w:vAlign w:val="center"/>
            <w:hideMark/>
          </w:tcPr>
          <w:p w14:paraId="2E221C5D" w14:textId="0937CF58" w:rsidR="00C505F7" w:rsidRPr="003E79A0" w:rsidRDefault="00A658A7" w:rsidP="008159FD">
            <w:pPr>
              <w:jc w:val="center"/>
              <w:rPr>
                <w:rFonts w:eastAsia="Times New Roman"/>
                <w:sz w:val="16"/>
                <w:szCs w:val="16"/>
                <w:lang w:eastAsia="hr-HR"/>
              </w:rPr>
            </w:pPr>
            <w:r w:rsidRPr="003E79A0">
              <w:rPr>
                <w:rFonts w:eastAsia="Times New Roman"/>
                <w:sz w:val="16"/>
                <w:szCs w:val="16"/>
                <w:lang w:eastAsia="hr-HR"/>
              </w:rPr>
              <w:t>8.118</w:t>
            </w:r>
          </w:p>
        </w:tc>
      </w:tr>
      <w:tr w:rsidR="004C3A47" w:rsidRPr="001B4CA2" w14:paraId="31FC498E" w14:textId="77777777" w:rsidTr="00C4437D">
        <w:trPr>
          <w:trHeight w:val="315"/>
          <w:jc w:val="center"/>
        </w:trPr>
        <w:tc>
          <w:tcPr>
            <w:tcW w:w="760" w:type="dxa"/>
            <w:shd w:val="clear" w:color="auto" w:fill="auto"/>
            <w:noWrap/>
            <w:vAlign w:val="center"/>
          </w:tcPr>
          <w:p w14:paraId="39CC357E" w14:textId="7383A6F3" w:rsidR="00C505F7" w:rsidRPr="003E79A0" w:rsidRDefault="00C505F7" w:rsidP="008159FD">
            <w:pPr>
              <w:jc w:val="center"/>
              <w:rPr>
                <w:rFonts w:eastAsia="Times New Roman"/>
                <w:sz w:val="16"/>
                <w:szCs w:val="16"/>
                <w:lang w:eastAsia="hr-HR"/>
              </w:rPr>
            </w:pPr>
            <w:r w:rsidRPr="003E79A0">
              <w:rPr>
                <w:rFonts w:eastAsia="Times New Roman"/>
                <w:sz w:val="16"/>
                <w:szCs w:val="16"/>
                <w:lang w:eastAsia="hr-HR"/>
              </w:rPr>
              <w:t>202</w:t>
            </w:r>
            <w:r w:rsidR="00417864" w:rsidRPr="003E79A0">
              <w:rPr>
                <w:rFonts w:eastAsia="Times New Roman"/>
                <w:sz w:val="16"/>
                <w:szCs w:val="16"/>
                <w:lang w:eastAsia="hr-HR"/>
              </w:rPr>
              <w:t>2</w:t>
            </w:r>
            <w:r w:rsidRPr="003E79A0">
              <w:rPr>
                <w:rFonts w:eastAsia="Times New Roman"/>
                <w:sz w:val="16"/>
                <w:szCs w:val="16"/>
                <w:lang w:eastAsia="hr-HR"/>
              </w:rPr>
              <w:t>.</w:t>
            </w:r>
          </w:p>
        </w:tc>
        <w:tc>
          <w:tcPr>
            <w:tcW w:w="1027" w:type="dxa"/>
            <w:shd w:val="clear" w:color="auto" w:fill="auto"/>
            <w:noWrap/>
            <w:vAlign w:val="center"/>
          </w:tcPr>
          <w:p w14:paraId="6A2CE648" w14:textId="18274AF7" w:rsidR="00C505F7" w:rsidRPr="003E79A0" w:rsidRDefault="00A658A7" w:rsidP="008159FD">
            <w:pPr>
              <w:jc w:val="center"/>
              <w:rPr>
                <w:rFonts w:eastAsia="Times New Roman"/>
                <w:sz w:val="16"/>
                <w:szCs w:val="16"/>
                <w:lang w:eastAsia="hr-HR"/>
              </w:rPr>
            </w:pPr>
            <w:r w:rsidRPr="003E79A0">
              <w:rPr>
                <w:rFonts w:eastAsia="Times New Roman"/>
                <w:sz w:val="16"/>
                <w:szCs w:val="16"/>
                <w:lang w:eastAsia="hr-HR"/>
              </w:rPr>
              <w:t>17.119</w:t>
            </w:r>
          </w:p>
        </w:tc>
        <w:tc>
          <w:tcPr>
            <w:tcW w:w="754" w:type="dxa"/>
            <w:shd w:val="clear" w:color="auto" w:fill="auto"/>
            <w:vAlign w:val="center"/>
          </w:tcPr>
          <w:p w14:paraId="578B4B3F" w14:textId="3A6C4A02" w:rsidR="00C505F7" w:rsidRPr="003E79A0" w:rsidRDefault="00A658A7" w:rsidP="008159FD">
            <w:pPr>
              <w:jc w:val="center"/>
              <w:rPr>
                <w:rFonts w:eastAsia="Times New Roman"/>
                <w:sz w:val="16"/>
                <w:szCs w:val="16"/>
                <w:lang w:eastAsia="hr-HR"/>
              </w:rPr>
            </w:pPr>
            <w:r w:rsidRPr="003E79A0">
              <w:rPr>
                <w:rFonts w:eastAsia="Times New Roman"/>
                <w:sz w:val="16"/>
                <w:szCs w:val="16"/>
                <w:lang w:eastAsia="hr-HR"/>
              </w:rPr>
              <w:t>68</w:t>
            </w:r>
          </w:p>
        </w:tc>
        <w:tc>
          <w:tcPr>
            <w:tcW w:w="966" w:type="dxa"/>
            <w:shd w:val="clear" w:color="auto" w:fill="auto"/>
            <w:vAlign w:val="center"/>
          </w:tcPr>
          <w:p w14:paraId="15D289BB" w14:textId="188A4B62" w:rsidR="00C505F7" w:rsidRPr="003E79A0" w:rsidRDefault="00C505F7" w:rsidP="008159FD">
            <w:pPr>
              <w:jc w:val="center"/>
              <w:rPr>
                <w:rFonts w:eastAsia="Times New Roman"/>
                <w:sz w:val="16"/>
                <w:szCs w:val="16"/>
                <w:lang w:eastAsia="hr-HR"/>
              </w:rPr>
            </w:pPr>
            <w:r w:rsidRPr="003E79A0">
              <w:rPr>
                <w:rFonts w:eastAsia="Times New Roman"/>
                <w:sz w:val="16"/>
                <w:szCs w:val="16"/>
                <w:lang w:eastAsia="hr-HR"/>
              </w:rPr>
              <w:t>1</w:t>
            </w:r>
            <w:r w:rsidR="00A658A7" w:rsidRPr="003E79A0">
              <w:rPr>
                <w:rFonts w:eastAsia="Times New Roman"/>
                <w:sz w:val="16"/>
                <w:szCs w:val="16"/>
                <w:lang w:eastAsia="hr-HR"/>
              </w:rPr>
              <w:t>8</w:t>
            </w:r>
          </w:p>
        </w:tc>
        <w:tc>
          <w:tcPr>
            <w:tcW w:w="1161" w:type="dxa"/>
            <w:shd w:val="clear" w:color="auto" w:fill="auto"/>
            <w:vAlign w:val="center"/>
          </w:tcPr>
          <w:p w14:paraId="48FA763E" w14:textId="0BF13EC7" w:rsidR="00C505F7" w:rsidRPr="003E79A0" w:rsidRDefault="00C505F7" w:rsidP="008159FD">
            <w:pPr>
              <w:jc w:val="center"/>
              <w:rPr>
                <w:rFonts w:eastAsia="Times New Roman"/>
                <w:sz w:val="16"/>
                <w:szCs w:val="16"/>
                <w:lang w:eastAsia="hr-HR"/>
              </w:rPr>
            </w:pPr>
            <w:r w:rsidRPr="003E79A0">
              <w:rPr>
                <w:rFonts w:eastAsia="Times New Roman"/>
                <w:sz w:val="16"/>
                <w:szCs w:val="16"/>
                <w:lang w:eastAsia="hr-HR"/>
              </w:rPr>
              <w:t>4</w:t>
            </w:r>
            <w:r w:rsidR="00A658A7" w:rsidRPr="003E79A0">
              <w:rPr>
                <w:rFonts w:eastAsia="Times New Roman"/>
                <w:sz w:val="16"/>
                <w:szCs w:val="16"/>
                <w:lang w:eastAsia="hr-HR"/>
              </w:rPr>
              <w:t>.314</w:t>
            </w:r>
          </w:p>
        </w:tc>
        <w:tc>
          <w:tcPr>
            <w:tcW w:w="984" w:type="dxa"/>
            <w:shd w:val="clear" w:color="auto" w:fill="auto"/>
            <w:vAlign w:val="center"/>
          </w:tcPr>
          <w:p w14:paraId="4B9701EA" w14:textId="0CF11E71" w:rsidR="00C505F7" w:rsidRPr="003E79A0" w:rsidRDefault="00A658A7" w:rsidP="008159FD">
            <w:pPr>
              <w:jc w:val="center"/>
              <w:rPr>
                <w:rFonts w:eastAsia="Times New Roman"/>
                <w:sz w:val="16"/>
                <w:szCs w:val="16"/>
                <w:lang w:eastAsia="hr-HR"/>
              </w:rPr>
            </w:pPr>
            <w:r w:rsidRPr="003E79A0">
              <w:rPr>
                <w:rFonts w:eastAsia="Times New Roman"/>
                <w:sz w:val="16"/>
                <w:szCs w:val="16"/>
                <w:lang w:eastAsia="hr-HR"/>
              </w:rPr>
              <w:t>11.645</w:t>
            </w:r>
          </w:p>
        </w:tc>
        <w:tc>
          <w:tcPr>
            <w:tcW w:w="984" w:type="dxa"/>
            <w:shd w:val="clear" w:color="auto" w:fill="auto"/>
            <w:vAlign w:val="center"/>
          </w:tcPr>
          <w:p w14:paraId="7B313C3B" w14:textId="5DB2B1CA" w:rsidR="00C505F7" w:rsidRPr="003E79A0" w:rsidRDefault="00C505F7" w:rsidP="008159FD">
            <w:pPr>
              <w:jc w:val="center"/>
              <w:rPr>
                <w:rFonts w:eastAsia="Times New Roman"/>
                <w:sz w:val="16"/>
                <w:szCs w:val="16"/>
                <w:lang w:eastAsia="hr-HR"/>
              </w:rPr>
            </w:pPr>
            <w:r w:rsidRPr="003E79A0">
              <w:rPr>
                <w:rFonts w:eastAsia="Times New Roman"/>
                <w:sz w:val="16"/>
                <w:szCs w:val="16"/>
                <w:lang w:eastAsia="hr-HR"/>
              </w:rPr>
              <w:t>211</w:t>
            </w:r>
          </w:p>
        </w:tc>
        <w:tc>
          <w:tcPr>
            <w:tcW w:w="975" w:type="dxa"/>
            <w:shd w:val="clear" w:color="auto" w:fill="auto"/>
            <w:vAlign w:val="center"/>
          </w:tcPr>
          <w:p w14:paraId="2AE0958D" w14:textId="4AAE1499" w:rsidR="00C505F7" w:rsidRPr="003E79A0" w:rsidRDefault="00A658A7" w:rsidP="008159FD">
            <w:pPr>
              <w:jc w:val="center"/>
              <w:rPr>
                <w:rFonts w:eastAsia="Times New Roman"/>
                <w:sz w:val="16"/>
                <w:szCs w:val="16"/>
                <w:lang w:eastAsia="hr-HR"/>
              </w:rPr>
            </w:pPr>
            <w:r w:rsidRPr="003E79A0">
              <w:rPr>
                <w:rFonts w:eastAsia="Times New Roman"/>
                <w:sz w:val="16"/>
                <w:szCs w:val="16"/>
                <w:lang w:eastAsia="hr-HR"/>
              </w:rPr>
              <w:t>75</w:t>
            </w:r>
          </w:p>
        </w:tc>
        <w:tc>
          <w:tcPr>
            <w:tcW w:w="930" w:type="dxa"/>
            <w:shd w:val="clear" w:color="auto" w:fill="auto"/>
            <w:vAlign w:val="center"/>
          </w:tcPr>
          <w:p w14:paraId="04D60E47" w14:textId="76231F47" w:rsidR="00C505F7" w:rsidRPr="003E79A0" w:rsidRDefault="00A658A7" w:rsidP="008159FD">
            <w:pPr>
              <w:jc w:val="center"/>
              <w:rPr>
                <w:rFonts w:eastAsia="Times New Roman"/>
                <w:sz w:val="16"/>
                <w:szCs w:val="16"/>
                <w:lang w:eastAsia="hr-HR"/>
              </w:rPr>
            </w:pPr>
            <w:r w:rsidRPr="003E79A0">
              <w:rPr>
                <w:rFonts w:eastAsia="Times New Roman"/>
                <w:sz w:val="16"/>
                <w:szCs w:val="16"/>
                <w:lang w:eastAsia="hr-HR"/>
              </w:rPr>
              <w:t>11.946</w:t>
            </w:r>
          </w:p>
        </w:tc>
        <w:tc>
          <w:tcPr>
            <w:tcW w:w="921" w:type="dxa"/>
            <w:shd w:val="clear" w:color="auto" w:fill="auto"/>
            <w:vAlign w:val="center"/>
          </w:tcPr>
          <w:p w14:paraId="22EE7B48" w14:textId="2715FDA7" w:rsidR="00C505F7" w:rsidRPr="003E79A0" w:rsidRDefault="00A658A7" w:rsidP="008159FD">
            <w:pPr>
              <w:jc w:val="center"/>
              <w:rPr>
                <w:rFonts w:eastAsia="Times New Roman"/>
                <w:sz w:val="16"/>
                <w:szCs w:val="16"/>
                <w:lang w:eastAsia="hr-HR"/>
              </w:rPr>
            </w:pPr>
            <w:r w:rsidRPr="003E79A0">
              <w:rPr>
                <w:rFonts w:eastAsia="Times New Roman"/>
                <w:sz w:val="16"/>
                <w:szCs w:val="16"/>
                <w:lang w:eastAsia="hr-HR"/>
              </w:rPr>
              <w:t>5.097</w:t>
            </w:r>
          </w:p>
        </w:tc>
      </w:tr>
    </w:tbl>
    <w:p w14:paraId="45868518" w14:textId="77777777" w:rsidR="00F67E6C" w:rsidRPr="001B4CA2" w:rsidRDefault="00F67E6C" w:rsidP="00F67E6C"/>
    <w:p w14:paraId="0BA59D61" w14:textId="77E2C56C" w:rsidR="00A658A7" w:rsidRPr="001B4CA2" w:rsidRDefault="00A658A7" w:rsidP="00A658A7">
      <w:pPr>
        <w:ind w:firstLine="708"/>
      </w:pPr>
      <w:r w:rsidRPr="001B4CA2">
        <w:t>Tijekom 2022. godine optužna vijeća svih općinskih sudova donijela su odluke u odnosu na 11.946 optuženih osoba, što čini povećanje od 4,48</w:t>
      </w:r>
      <w:r w:rsidR="002B20FA">
        <w:t> </w:t>
      </w:r>
      <w:r w:rsidRPr="001B4CA2">
        <w:t>% u odnosu na broj odluka donesenih u 2021. godini, ali je u odnosu na 2020. godinu taj broj još uvijek manji za 2.129 odluka ili 15,13</w:t>
      </w:r>
      <w:r w:rsidR="002B20FA">
        <w:t> </w:t>
      </w:r>
      <w:r w:rsidRPr="001B4CA2">
        <w:t xml:space="preserve">%. </w:t>
      </w:r>
    </w:p>
    <w:p w14:paraId="6B9350BA" w14:textId="77777777" w:rsidR="00A658A7" w:rsidRPr="001B4CA2" w:rsidRDefault="00A658A7" w:rsidP="00A658A7">
      <w:pPr>
        <w:ind w:firstLine="708"/>
      </w:pPr>
    </w:p>
    <w:p w14:paraId="0D8CDC25" w14:textId="2902A3E4" w:rsidR="00A658A7" w:rsidRPr="001B4CA2" w:rsidRDefault="00A658A7" w:rsidP="00A658A7">
      <w:pPr>
        <w:ind w:firstLine="708"/>
      </w:pPr>
      <w:r w:rsidRPr="001B4CA2">
        <w:t>U ovom izvještajnom razdoblju došlo je do znatnog smanjenja broja optužnica koje su ostale neriješene po optužnom vijeću</w:t>
      </w:r>
      <w:r w:rsidR="002B20FA">
        <w:t>,</w:t>
      </w:r>
      <w:r w:rsidRPr="001B4CA2">
        <w:t xml:space="preserve"> i to za 3</w:t>
      </w:r>
      <w:r w:rsidR="002B20FA">
        <w:t>.</w:t>
      </w:r>
      <w:r w:rsidRPr="001B4CA2">
        <w:t>021 optužnicu ili 37,22</w:t>
      </w:r>
      <w:r w:rsidR="002B20FA">
        <w:t> </w:t>
      </w:r>
      <w:r w:rsidRPr="001B4CA2">
        <w:t xml:space="preserve">%. </w:t>
      </w:r>
    </w:p>
    <w:p w14:paraId="6FE6328F" w14:textId="77777777" w:rsidR="00A658A7" w:rsidRPr="001B4CA2" w:rsidRDefault="00A658A7" w:rsidP="00A658A7">
      <w:pPr>
        <w:ind w:firstLine="708"/>
      </w:pPr>
    </w:p>
    <w:p w14:paraId="6D2E7DD9" w14:textId="25A2A405" w:rsidR="00A658A7" w:rsidRPr="001B4CA2" w:rsidRDefault="00A658A7" w:rsidP="00A658A7">
      <w:pPr>
        <w:ind w:firstLine="708"/>
      </w:pPr>
      <w:r w:rsidRPr="001B4CA2">
        <w:t>Od ukupno 11.946 donesenih odluka optuženog vijeća</w:t>
      </w:r>
      <w:r w:rsidR="002B20FA">
        <w:t xml:space="preserve"> </w:t>
      </w:r>
      <w:r w:rsidRPr="001B4CA2">
        <w:t>optužnica je potvrđena u odnosu na 11.645 osoba ili 97,48 %, općinskim državnim odvjetništvima vraćene su optužnice u odnosu na 336 osoba ili 2,81</w:t>
      </w:r>
      <w:r w:rsidR="002B20FA">
        <w:t> </w:t>
      </w:r>
      <w:r w:rsidRPr="001B4CA2">
        <w:t>%, dok je u odnosu na 75 osoba ili 0,62 % postupak obustavljen po optužnom vijeću.</w:t>
      </w:r>
    </w:p>
    <w:p w14:paraId="2B9EEF3C" w14:textId="77777777" w:rsidR="00A658A7" w:rsidRPr="001B4CA2" w:rsidRDefault="00A658A7" w:rsidP="00A658A7"/>
    <w:p w14:paraId="0B4C9EF3" w14:textId="77777777" w:rsidR="00A658A7" w:rsidRPr="001B4CA2" w:rsidRDefault="00A658A7" w:rsidP="00A658A7">
      <w:pPr>
        <w:ind w:firstLine="708"/>
      </w:pPr>
      <w:r w:rsidRPr="001B4CA2">
        <w:t>Navedeni podatci pokazuju kako je, jednako kao i ranijih godina, zadržana izrazito visoka uspješnost u radu općinskih državnih odvjetništava.</w:t>
      </w:r>
    </w:p>
    <w:p w14:paraId="157A9510" w14:textId="77777777" w:rsidR="00A658A7" w:rsidRPr="001B4CA2" w:rsidRDefault="00A658A7" w:rsidP="00A658A7">
      <w:pPr>
        <w:ind w:firstLine="708"/>
      </w:pPr>
    </w:p>
    <w:p w14:paraId="1AB556EA" w14:textId="3BEEA444" w:rsidR="00A658A7" w:rsidRPr="001B4CA2" w:rsidRDefault="00A658A7" w:rsidP="00A658A7">
      <w:pPr>
        <w:ind w:firstLine="708"/>
      </w:pPr>
      <w:r w:rsidRPr="001B4CA2">
        <w:t>Uzimajući u obzir ukupan broj odluka donesenih po optužnom vijeću, sudovi su rješenjem obustavili kazneni postupak ili vratili optužnicu u odnosu na samo manji broj optuženih osoba. Pri tomu se i dalje kao najčešći razlog vraćanja optužnica navodi potreba boljeg i detaljnijeg razjašnjenja stvari te provođenje dodatnih vještačenja i ispitivanja svjedoka, no nerijetko se radi i o različitim stajalištima suda i državnog odvjetništva o dostatnoj potkrijepljenosti optužnice dokazima. Budući Zakon o kaznenom postupku ne propisuje mogućnost žalbe protiv rješenja vijeća kojim vraća optužnicu državnom odvjetniku na dopunu</w:t>
      </w:r>
      <w:r w:rsidR="00A23A60">
        <w:t xml:space="preserve"> te</w:t>
      </w:r>
      <w:r w:rsidRPr="001B4CA2">
        <w:t xml:space="preserve"> samim time izostaje i mogućnost kontrole osnovanosti takvih odluka optužnog vijeća po višem sudu. Ovdje </w:t>
      </w:r>
      <w:r w:rsidRPr="001B4CA2">
        <w:lastRenderedPageBreak/>
        <w:t>valja istaknuti da su nakon dodatnih pojašnjenja i provođenja dodatnih dokaznih radnji, optužnice ponovno podignute i potvrđene.</w:t>
      </w:r>
    </w:p>
    <w:p w14:paraId="11261A62" w14:textId="77777777" w:rsidR="001B4CA2" w:rsidRDefault="001B4CA2" w:rsidP="001B4CA2">
      <w:r>
        <w:tab/>
      </w:r>
    </w:p>
    <w:p w14:paraId="166FF536" w14:textId="764CB93A" w:rsidR="00A658A7" w:rsidRPr="001B4CA2" w:rsidRDefault="001B4CA2" w:rsidP="001B4CA2">
      <w:r>
        <w:tab/>
      </w:r>
      <w:r w:rsidR="00A658A7" w:rsidRPr="001B4CA2">
        <w:t xml:space="preserve">Broj povučenih optužnica neznatan je u odnosu na ukupan broj podignutih optužnica. Tijekom 2022. godine povučene su optužnice u odnosu na 18 osoba ili 0,15 %. Najčešći razlog povlačenja optužnice sastoji se u tome da je okrivljenik nakon podizanja optužnice postao dostupan pravosudnim tijelima te je bilo potrebno provesti dokaznu radnju prvog ispitivanja okrivljenika, kako to nalažu odredbe Zakona o kaznenom postupku. </w:t>
      </w:r>
    </w:p>
    <w:p w14:paraId="5FB31F4E" w14:textId="77777777" w:rsidR="009A1E7E" w:rsidRPr="001B4CA2" w:rsidRDefault="009A1E7E" w:rsidP="00A658A7">
      <w:pPr>
        <w:ind w:firstLine="708"/>
      </w:pPr>
    </w:p>
    <w:p w14:paraId="30776D1C" w14:textId="041ED76F" w:rsidR="00151FA8" w:rsidRPr="001B4CA2" w:rsidRDefault="001D4F0F" w:rsidP="007D1611">
      <w:pPr>
        <w:ind w:left="-426"/>
        <w:rPr>
          <w:i/>
        </w:rPr>
      </w:pPr>
      <w:r>
        <w:rPr>
          <w:i/>
        </w:rPr>
        <w:t xml:space="preserve">   </w:t>
      </w:r>
      <w:r w:rsidR="00DE0A3B" w:rsidRPr="001B4CA2">
        <w:rPr>
          <w:i/>
        </w:rPr>
        <w:t>Broj i vrste presude (bez maloljetnih osoba)</w:t>
      </w:r>
    </w:p>
    <w:tbl>
      <w:tblPr>
        <w:tblW w:w="98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0"/>
        <w:gridCol w:w="708"/>
        <w:gridCol w:w="709"/>
        <w:gridCol w:w="709"/>
        <w:gridCol w:w="850"/>
        <w:gridCol w:w="851"/>
        <w:gridCol w:w="567"/>
        <w:gridCol w:w="567"/>
        <w:gridCol w:w="709"/>
        <w:gridCol w:w="567"/>
        <w:gridCol w:w="548"/>
        <w:gridCol w:w="850"/>
        <w:gridCol w:w="709"/>
        <w:gridCol w:w="808"/>
      </w:tblGrid>
      <w:tr w:rsidR="00A338EF" w:rsidRPr="001B4CA2" w14:paraId="759CCCF8" w14:textId="77777777" w:rsidTr="001D4F0F">
        <w:trPr>
          <w:trHeight w:val="301"/>
          <w:jc w:val="center"/>
        </w:trPr>
        <w:tc>
          <w:tcPr>
            <w:tcW w:w="710" w:type="dxa"/>
            <w:vMerge w:val="restart"/>
            <w:shd w:val="clear" w:color="auto" w:fill="99CCFF"/>
            <w:textDirection w:val="btLr"/>
            <w:vAlign w:val="center"/>
            <w:hideMark/>
          </w:tcPr>
          <w:p w14:paraId="74CDE9C9" w14:textId="77777777" w:rsidR="00A338EF" w:rsidRPr="001B4CA2" w:rsidRDefault="00A338EF" w:rsidP="00A338EF">
            <w:pPr>
              <w:ind w:left="113" w:right="113"/>
              <w:jc w:val="left"/>
              <w:rPr>
                <w:rFonts w:eastAsia="Times New Roman"/>
                <w:b/>
                <w:sz w:val="16"/>
                <w:szCs w:val="16"/>
                <w:lang w:eastAsia="hr-HR"/>
              </w:rPr>
            </w:pPr>
            <w:r w:rsidRPr="001B4CA2">
              <w:rPr>
                <w:rFonts w:eastAsia="Times New Roman"/>
                <w:b/>
                <w:sz w:val="16"/>
                <w:szCs w:val="16"/>
                <w:lang w:eastAsia="hr-HR"/>
              </w:rPr>
              <w:t>Godina</w:t>
            </w:r>
          </w:p>
        </w:tc>
        <w:tc>
          <w:tcPr>
            <w:tcW w:w="708" w:type="dxa"/>
            <w:vMerge w:val="restart"/>
            <w:shd w:val="clear" w:color="auto" w:fill="99CCFF"/>
            <w:textDirection w:val="btLr"/>
            <w:vAlign w:val="center"/>
          </w:tcPr>
          <w:p w14:paraId="643B1566" w14:textId="041F4885" w:rsidR="00A338EF" w:rsidRPr="001B4CA2" w:rsidRDefault="00A338EF" w:rsidP="00F2147C">
            <w:pPr>
              <w:ind w:left="113" w:right="113"/>
              <w:jc w:val="left"/>
              <w:rPr>
                <w:rFonts w:eastAsia="Times New Roman"/>
                <w:b/>
                <w:sz w:val="16"/>
                <w:szCs w:val="16"/>
                <w:lang w:eastAsia="hr-HR"/>
              </w:rPr>
            </w:pPr>
            <w:r w:rsidRPr="001B4CA2">
              <w:rPr>
                <w:rFonts w:eastAsia="Times New Roman"/>
                <w:b/>
                <w:sz w:val="16"/>
                <w:szCs w:val="16"/>
                <w:lang w:eastAsia="hr-HR"/>
              </w:rPr>
              <w:t>Presuda s kaznenim nalogom-pravomoćna</w:t>
            </w:r>
          </w:p>
        </w:tc>
        <w:tc>
          <w:tcPr>
            <w:tcW w:w="709" w:type="dxa"/>
            <w:vMerge w:val="restart"/>
            <w:shd w:val="clear" w:color="auto" w:fill="99CCFF"/>
            <w:textDirection w:val="btLr"/>
            <w:vAlign w:val="center"/>
            <w:hideMark/>
          </w:tcPr>
          <w:p w14:paraId="49B0CBFC" w14:textId="77777777" w:rsidR="00A338EF" w:rsidRPr="001B4CA2" w:rsidRDefault="00A338EF" w:rsidP="00F2147C">
            <w:pPr>
              <w:ind w:left="113" w:right="113"/>
              <w:jc w:val="left"/>
              <w:rPr>
                <w:rFonts w:eastAsia="Times New Roman"/>
                <w:b/>
                <w:sz w:val="16"/>
                <w:szCs w:val="16"/>
                <w:lang w:eastAsia="hr-HR"/>
              </w:rPr>
            </w:pPr>
            <w:r w:rsidRPr="001B4CA2">
              <w:rPr>
                <w:rFonts w:eastAsia="Times New Roman"/>
                <w:b/>
                <w:sz w:val="16"/>
                <w:szCs w:val="16"/>
                <w:lang w:eastAsia="hr-HR"/>
              </w:rPr>
              <w:t>Optužnica potvrđena</w:t>
            </w:r>
          </w:p>
        </w:tc>
        <w:tc>
          <w:tcPr>
            <w:tcW w:w="709" w:type="dxa"/>
            <w:vMerge w:val="restart"/>
            <w:shd w:val="clear" w:color="auto" w:fill="99CCFF"/>
            <w:textDirection w:val="btLr"/>
            <w:vAlign w:val="center"/>
            <w:hideMark/>
          </w:tcPr>
          <w:p w14:paraId="1E8E6BE6" w14:textId="77777777" w:rsidR="00A338EF" w:rsidRPr="001B4CA2" w:rsidRDefault="00A338EF" w:rsidP="00F2147C">
            <w:pPr>
              <w:ind w:left="113" w:right="113"/>
              <w:jc w:val="left"/>
              <w:rPr>
                <w:rFonts w:eastAsia="Times New Roman"/>
                <w:b/>
                <w:sz w:val="16"/>
                <w:szCs w:val="16"/>
                <w:lang w:eastAsia="hr-HR"/>
              </w:rPr>
            </w:pPr>
            <w:r w:rsidRPr="001B4CA2">
              <w:rPr>
                <w:rFonts w:eastAsia="Times New Roman"/>
                <w:b/>
                <w:sz w:val="16"/>
                <w:szCs w:val="16"/>
                <w:lang w:eastAsia="hr-HR"/>
              </w:rPr>
              <w:t>Ukupno</w:t>
            </w:r>
          </w:p>
        </w:tc>
        <w:tc>
          <w:tcPr>
            <w:tcW w:w="7026" w:type="dxa"/>
            <w:gridSpan w:val="10"/>
            <w:shd w:val="clear" w:color="auto" w:fill="99CCFF"/>
            <w:vAlign w:val="center"/>
          </w:tcPr>
          <w:p w14:paraId="58CE18DD" w14:textId="6BABA7C4" w:rsidR="00A338EF" w:rsidRPr="001B4CA2" w:rsidRDefault="00A338EF" w:rsidP="00F2147C">
            <w:pPr>
              <w:jc w:val="center"/>
              <w:rPr>
                <w:rFonts w:eastAsia="Times New Roman"/>
                <w:b/>
                <w:sz w:val="16"/>
                <w:szCs w:val="16"/>
                <w:lang w:eastAsia="hr-HR"/>
              </w:rPr>
            </w:pPr>
            <w:r w:rsidRPr="001B4CA2">
              <w:rPr>
                <w:rFonts w:eastAsia="Times New Roman"/>
                <w:b/>
                <w:sz w:val="16"/>
                <w:szCs w:val="16"/>
                <w:lang w:eastAsia="hr-HR"/>
              </w:rPr>
              <w:t>Odluke suda</w:t>
            </w:r>
          </w:p>
        </w:tc>
      </w:tr>
      <w:tr w:rsidR="001D4F0F" w:rsidRPr="001B4CA2" w14:paraId="7D21A528" w14:textId="77777777" w:rsidTr="001D4F0F">
        <w:trPr>
          <w:cantSplit/>
          <w:trHeight w:val="1437"/>
          <w:jc w:val="center"/>
        </w:trPr>
        <w:tc>
          <w:tcPr>
            <w:tcW w:w="710" w:type="dxa"/>
            <w:vMerge/>
            <w:shd w:val="clear" w:color="auto" w:fill="99CCFF"/>
            <w:vAlign w:val="center"/>
            <w:hideMark/>
          </w:tcPr>
          <w:p w14:paraId="4A1D8CB9" w14:textId="77777777" w:rsidR="00A338EF" w:rsidRPr="001B4CA2" w:rsidRDefault="00A338EF" w:rsidP="00F2147C">
            <w:pPr>
              <w:jc w:val="left"/>
              <w:rPr>
                <w:rFonts w:eastAsia="Times New Roman"/>
                <w:b/>
                <w:sz w:val="16"/>
                <w:szCs w:val="16"/>
                <w:lang w:eastAsia="hr-HR"/>
              </w:rPr>
            </w:pPr>
          </w:p>
        </w:tc>
        <w:tc>
          <w:tcPr>
            <w:tcW w:w="708" w:type="dxa"/>
            <w:vMerge/>
            <w:shd w:val="clear" w:color="auto" w:fill="99CCFF"/>
            <w:vAlign w:val="center"/>
          </w:tcPr>
          <w:p w14:paraId="3BA7B5FB" w14:textId="1E129652" w:rsidR="00A338EF" w:rsidRPr="001B4CA2" w:rsidRDefault="00A338EF" w:rsidP="00F2147C">
            <w:pPr>
              <w:jc w:val="left"/>
              <w:rPr>
                <w:rFonts w:eastAsia="Times New Roman"/>
                <w:b/>
                <w:sz w:val="16"/>
                <w:szCs w:val="16"/>
                <w:lang w:eastAsia="hr-HR"/>
              </w:rPr>
            </w:pPr>
          </w:p>
        </w:tc>
        <w:tc>
          <w:tcPr>
            <w:tcW w:w="709" w:type="dxa"/>
            <w:vMerge/>
            <w:shd w:val="clear" w:color="auto" w:fill="99CCFF"/>
            <w:vAlign w:val="center"/>
            <w:hideMark/>
          </w:tcPr>
          <w:p w14:paraId="2BFD2A2A" w14:textId="77777777" w:rsidR="00A338EF" w:rsidRPr="001B4CA2" w:rsidRDefault="00A338EF" w:rsidP="00F2147C">
            <w:pPr>
              <w:jc w:val="left"/>
              <w:rPr>
                <w:rFonts w:eastAsia="Times New Roman"/>
                <w:b/>
                <w:sz w:val="16"/>
                <w:szCs w:val="16"/>
                <w:lang w:eastAsia="hr-HR"/>
              </w:rPr>
            </w:pPr>
          </w:p>
        </w:tc>
        <w:tc>
          <w:tcPr>
            <w:tcW w:w="709" w:type="dxa"/>
            <w:vMerge/>
            <w:shd w:val="clear" w:color="auto" w:fill="99CCFF"/>
            <w:vAlign w:val="center"/>
            <w:hideMark/>
          </w:tcPr>
          <w:p w14:paraId="2A4747C7" w14:textId="77777777" w:rsidR="00A338EF" w:rsidRPr="001B4CA2" w:rsidRDefault="00A338EF" w:rsidP="00F2147C">
            <w:pPr>
              <w:jc w:val="left"/>
              <w:rPr>
                <w:rFonts w:eastAsia="Times New Roman"/>
                <w:b/>
                <w:sz w:val="16"/>
                <w:szCs w:val="16"/>
                <w:lang w:eastAsia="hr-HR"/>
              </w:rPr>
            </w:pPr>
          </w:p>
        </w:tc>
        <w:tc>
          <w:tcPr>
            <w:tcW w:w="850" w:type="dxa"/>
            <w:shd w:val="clear" w:color="auto" w:fill="99CCFF"/>
            <w:textDirection w:val="btLr"/>
            <w:vAlign w:val="center"/>
            <w:hideMark/>
          </w:tcPr>
          <w:p w14:paraId="0B9971D1" w14:textId="77777777" w:rsidR="00A338EF" w:rsidRPr="001B4CA2" w:rsidRDefault="00A338EF" w:rsidP="00F2147C">
            <w:pPr>
              <w:ind w:left="113" w:right="113"/>
              <w:jc w:val="left"/>
              <w:rPr>
                <w:rFonts w:eastAsia="Times New Roman"/>
                <w:b/>
                <w:sz w:val="16"/>
                <w:szCs w:val="16"/>
                <w:lang w:eastAsia="hr-HR"/>
              </w:rPr>
            </w:pPr>
            <w:r w:rsidRPr="001B4CA2">
              <w:rPr>
                <w:rFonts w:eastAsia="Times New Roman"/>
                <w:b/>
                <w:sz w:val="16"/>
                <w:szCs w:val="16"/>
                <w:lang w:eastAsia="hr-HR"/>
              </w:rPr>
              <w:t>Obustava nakon potvrđivanja optužnice</w:t>
            </w:r>
          </w:p>
        </w:tc>
        <w:tc>
          <w:tcPr>
            <w:tcW w:w="851" w:type="dxa"/>
            <w:shd w:val="clear" w:color="auto" w:fill="99CCFF"/>
            <w:textDirection w:val="btLr"/>
            <w:vAlign w:val="center"/>
            <w:hideMark/>
          </w:tcPr>
          <w:p w14:paraId="18B00E35" w14:textId="77777777" w:rsidR="00A338EF" w:rsidRPr="001B4CA2" w:rsidRDefault="00A338EF" w:rsidP="00F2147C">
            <w:pPr>
              <w:ind w:left="113" w:right="113"/>
              <w:jc w:val="left"/>
              <w:rPr>
                <w:rFonts w:eastAsia="Times New Roman"/>
                <w:b/>
                <w:sz w:val="16"/>
                <w:szCs w:val="16"/>
                <w:lang w:eastAsia="hr-HR"/>
              </w:rPr>
            </w:pPr>
            <w:r w:rsidRPr="001B4CA2">
              <w:rPr>
                <w:rFonts w:eastAsia="Times New Roman"/>
                <w:b/>
                <w:sz w:val="16"/>
                <w:szCs w:val="16"/>
                <w:lang w:eastAsia="hr-HR"/>
              </w:rPr>
              <w:t>Osuđujuća</w:t>
            </w:r>
          </w:p>
        </w:tc>
        <w:tc>
          <w:tcPr>
            <w:tcW w:w="567" w:type="dxa"/>
            <w:shd w:val="clear" w:color="auto" w:fill="99CCFF"/>
            <w:textDirection w:val="btLr"/>
            <w:vAlign w:val="center"/>
            <w:hideMark/>
          </w:tcPr>
          <w:p w14:paraId="351DD255" w14:textId="77777777" w:rsidR="00A338EF" w:rsidRPr="001B4CA2" w:rsidRDefault="00A338EF" w:rsidP="00F2147C">
            <w:pPr>
              <w:ind w:left="113" w:right="113"/>
              <w:jc w:val="left"/>
              <w:rPr>
                <w:rFonts w:eastAsia="Times New Roman"/>
                <w:b/>
                <w:sz w:val="16"/>
                <w:szCs w:val="16"/>
                <w:lang w:eastAsia="hr-HR"/>
              </w:rPr>
            </w:pPr>
            <w:r w:rsidRPr="001B4CA2">
              <w:rPr>
                <w:rFonts w:eastAsia="Times New Roman"/>
                <w:b/>
                <w:sz w:val="16"/>
                <w:szCs w:val="16"/>
                <w:lang w:eastAsia="hr-HR"/>
              </w:rPr>
              <w:t>Od toga po sporazumu</w:t>
            </w:r>
          </w:p>
        </w:tc>
        <w:tc>
          <w:tcPr>
            <w:tcW w:w="567" w:type="dxa"/>
            <w:shd w:val="clear" w:color="auto" w:fill="99CCFF"/>
            <w:textDirection w:val="btLr"/>
            <w:vAlign w:val="center"/>
            <w:hideMark/>
          </w:tcPr>
          <w:p w14:paraId="541AE0DE" w14:textId="1F6B9841" w:rsidR="00A338EF" w:rsidRPr="001B4CA2" w:rsidRDefault="00A338EF" w:rsidP="00F2147C">
            <w:pPr>
              <w:ind w:left="113" w:right="113"/>
              <w:jc w:val="left"/>
              <w:rPr>
                <w:rFonts w:eastAsia="Times New Roman"/>
                <w:b/>
                <w:sz w:val="16"/>
                <w:szCs w:val="16"/>
                <w:lang w:eastAsia="hr-HR"/>
              </w:rPr>
            </w:pPr>
            <w:r w:rsidRPr="001B4CA2">
              <w:rPr>
                <w:rFonts w:eastAsia="Times New Roman"/>
                <w:b/>
                <w:sz w:val="16"/>
                <w:szCs w:val="16"/>
                <w:lang w:eastAsia="hr-HR"/>
              </w:rPr>
              <w:t>Presuda – neubrojivi</w:t>
            </w:r>
          </w:p>
        </w:tc>
        <w:tc>
          <w:tcPr>
            <w:tcW w:w="709" w:type="dxa"/>
            <w:shd w:val="clear" w:color="auto" w:fill="99CCFF"/>
            <w:textDirection w:val="btLr"/>
            <w:vAlign w:val="center"/>
            <w:hideMark/>
          </w:tcPr>
          <w:p w14:paraId="26318442" w14:textId="77777777" w:rsidR="00A338EF" w:rsidRPr="001B4CA2" w:rsidRDefault="00A338EF" w:rsidP="00F2147C">
            <w:pPr>
              <w:ind w:left="113" w:right="113"/>
              <w:jc w:val="left"/>
              <w:rPr>
                <w:rFonts w:eastAsia="Times New Roman"/>
                <w:b/>
                <w:sz w:val="16"/>
                <w:szCs w:val="16"/>
                <w:lang w:eastAsia="hr-HR"/>
              </w:rPr>
            </w:pPr>
            <w:r w:rsidRPr="001B4CA2">
              <w:rPr>
                <w:rFonts w:eastAsia="Times New Roman"/>
                <w:b/>
                <w:sz w:val="16"/>
                <w:szCs w:val="16"/>
                <w:lang w:eastAsia="hr-HR"/>
              </w:rPr>
              <w:t>Oslobađajuća</w:t>
            </w:r>
          </w:p>
        </w:tc>
        <w:tc>
          <w:tcPr>
            <w:tcW w:w="567" w:type="dxa"/>
            <w:shd w:val="clear" w:color="auto" w:fill="99CCFF"/>
            <w:textDirection w:val="btLr"/>
            <w:vAlign w:val="center"/>
            <w:hideMark/>
          </w:tcPr>
          <w:p w14:paraId="54ABA91F" w14:textId="77777777" w:rsidR="00A338EF" w:rsidRPr="001B4CA2" w:rsidRDefault="00A338EF" w:rsidP="00F2147C">
            <w:pPr>
              <w:ind w:left="113" w:right="113"/>
              <w:jc w:val="left"/>
              <w:rPr>
                <w:rFonts w:eastAsia="Times New Roman"/>
                <w:b/>
                <w:sz w:val="16"/>
                <w:szCs w:val="16"/>
                <w:lang w:eastAsia="hr-HR"/>
              </w:rPr>
            </w:pPr>
            <w:r w:rsidRPr="001B4CA2">
              <w:rPr>
                <w:rFonts w:eastAsia="Times New Roman"/>
                <w:b/>
                <w:sz w:val="16"/>
                <w:szCs w:val="16"/>
                <w:lang w:eastAsia="hr-HR"/>
              </w:rPr>
              <w:t>Odbijajuća</w:t>
            </w:r>
          </w:p>
        </w:tc>
        <w:tc>
          <w:tcPr>
            <w:tcW w:w="548" w:type="dxa"/>
            <w:shd w:val="clear" w:color="auto" w:fill="99CCFF"/>
            <w:textDirection w:val="btLr"/>
          </w:tcPr>
          <w:p w14:paraId="2CCC2480" w14:textId="0148204F" w:rsidR="00A338EF" w:rsidRPr="001B4CA2" w:rsidRDefault="00A338EF" w:rsidP="00F2147C">
            <w:pPr>
              <w:ind w:left="113" w:right="113"/>
              <w:jc w:val="left"/>
              <w:rPr>
                <w:rFonts w:eastAsia="Times New Roman"/>
                <w:b/>
                <w:sz w:val="16"/>
                <w:szCs w:val="16"/>
                <w:lang w:eastAsia="hr-HR"/>
              </w:rPr>
            </w:pPr>
            <w:r w:rsidRPr="001B4CA2">
              <w:rPr>
                <w:rFonts w:eastAsia="Times New Roman"/>
                <w:b/>
                <w:sz w:val="16"/>
                <w:szCs w:val="16"/>
                <w:lang w:eastAsia="hr-HR"/>
              </w:rPr>
              <w:t>Riješeno na drugi način</w:t>
            </w:r>
          </w:p>
        </w:tc>
        <w:tc>
          <w:tcPr>
            <w:tcW w:w="850" w:type="dxa"/>
            <w:shd w:val="clear" w:color="auto" w:fill="99CCFF"/>
            <w:textDirection w:val="btLr"/>
            <w:vAlign w:val="center"/>
            <w:hideMark/>
          </w:tcPr>
          <w:p w14:paraId="5883FF99" w14:textId="3BC5C2BA" w:rsidR="00A338EF" w:rsidRPr="001B4CA2" w:rsidRDefault="00A338EF" w:rsidP="00F2147C">
            <w:pPr>
              <w:ind w:left="113" w:right="113"/>
              <w:jc w:val="left"/>
              <w:rPr>
                <w:rFonts w:eastAsia="Times New Roman"/>
                <w:b/>
                <w:sz w:val="16"/>
                <w:szCs w:val="16"/>
                <w:lang w:eastAsia="hr-HR"/>
              </w:rPr>
            </w:pPr>
            <w:r w:rsidRPr="001B4CA2">
              <w:rPr>
                <w:rFonts w:eastAsia="Times New Roman"/>
                <w:b/>
                <w:sz w:val="16"/>
                <w:szCs w:val="16"/>
                <w:lang w:eastAsia="hr-HR"/>
              </w:rPr>
              <w:t>Ukupno odluka suda</w:t>
            </w:r>
          </w:p>
        </w:tc>
        <w:tc>
          <w:tcPr>
            <w:tcW w:w="709" w:type="dxa"/>
            <w:shd w:val="clear" w:color="auto" w:fill="99CCFF"/>
            <w:textDirection w:val="btLr"/>
          </w:tcPr>
          <w:p w14:paraId="2AB3C92D" w14:textId="5A07EA88" w:rsidR="00A338EF" w:rsidRPr="001B4CA2" w:rsidRDefault="00A338EF" w:rsidP="00F2147C">
            <w:pPr>
              <w:ind w:left="113" w:right="113"/>
              <w:jc w:val="left"/>
              <w:rPr>
                <w:rFonts w:eastAsia="Times New Roman"/>
                <w:b/>
                <w:sz w:val="16"/>
                <w:szCs w:val="16"/>
                <w:lang w:eastAsia="hr-HR"/>
              </w:rPr>
            </w:pPr>
            <w:r w:rsidRPr="001B4CA2">
              <w:rPr>
                <w:rFonts w:eastAsia="Times New Roman"/>
                <w:b/>
                <w:sz w:val="16"/>
                <w:szCs w:val="16"/>
                <w:lang w:eastAsia="hr-HR"/>
              </w:rPr>
              <w:t>Riješeno pred sudom-ostalo</w:t>
            </w:r>
          </w:p>
        </w:tc>
        <w:tc>
          <w:tcPr>
            <w:tcW w:w="808" w:type="dxa"/>
            <w:shd w:val="clear" w:color="auto" w:fill="99CCFF"/>
            <w:textDirection w:val="btLr"/>
            <w:vAlign w:val="center"/>
            <w:hideMark/>
          </w:tcPr>
          <w:p w14:paraId="5AF17BA7" w14:textId="1E89E21A" w:rsidR="00A338EF" w:rsidRPr="001B4CA2" w:rsidRDefault="00A338EF" w:rsidP="00F2147C">
            <w:pPr>
              <w:ind w:left="113" w:right="113"/>
              <w:jc w:val="left"/>
              <w:rPr>
                <w:rFonts w:eastAsia="Times New Roman"/>
                <w:b/>
                <w:sz w:val="16"/>
                <w:szCs w:val="16"/>
                <w:lang w:eastAsia="hr-HR"/>
              </w:rPr>
            </w:pPr>
            <w:r w:rsidRPr="001B4CA2">
              <w:rPr>
                <w:rFonts w:eastAsia="Times New Roman"/>
                <w:b/>
                <w:sz w:val="16"/>
                <w:szCs w:val="16"/>
                <w:lang w:eastAsia="hr-HR"/>
              </w:rPr>
              <w:t>Ukupno bez odluke suda</w:t>
            </w:r>
          </w:p>
        </w:tc>
      </w:tr>
      <w:tr w:rsidR="00A338EF" w:rsidRPr="001B4CA2" w14:paraId="07A250B2" w14:textId="77777777" w:rsidTr="001D4F0F">
        <w:trPr>
          <w:trHeight w:val="301"/>
          <w:jc w:val="center"/>
        </w:trPr>
        <w:tc>
          <w:tcPr>
            <w:tcW w:w="710" w:type="dxa"/>
            <w:shd w:val="clear" w:color="auto" w:fill="auto"/>
            <w:noWrap/>
            <w:vAlign w:val="center"/>
          </w:tcPr>
          <w:p w14:paraId="0EC9FA87" w14:textId="41DD4AD7" w:rsidR="00A338EF" w:rsidRPr="001B4CA2" w:rsidRDefault="00A338EF" w:rsidP="007E68E6">
            <w:pPr>
              <w:jc w:val="center"/>
              <w:rPr>
                <w:rFonts w:eastAsia="Times New Roman"/>
                <w:sz w:val="16"/>
                <w:szCs w:val="16"/>
                <w:lang w:eastAsia="hr-HR"/>
              </w:rPr>
            </w:pPr>
            <w:r w:rsidRPr="001B4CA2">
              <w:rPr>
                <w:rFonts w:eastAsia="Times New Roman"/>
                <w:sz w:val="16"/>
                <w:szCs w:val="16"/>
                <w:lang w:eastAsia="hr-HR"/>
              </w:rPr>
              <w:t>2018.</w:t>
            </w:r>
          </w:p>
        </w:tc>
        <w:tc>
          <w:tcPr>
            <w:tcW w:w="708" w:type="dxa"/>
            <w:shd w:val="clear" w:color="auto" w:fill="auto"/>
            <w:noWrap/>
            <w:vAlign w:val="center"/>
          </w:tcPr>
          <w:p w14:paraId="759CBE6B" w14:textId="62FA67D9" w:rsidR="00A338EF" w:rsidRPr="001D4F0F" w:rsidRDefault="00A338EF" w:rsidP="007E68E6">
            <w:pPr>
              <w:jc w:val="center"/>
              <w:rPr>
                <w:rFonts w:eastAsia="Times New Roman"/>
                <w:sz w:val="16"/>
                <w:szCs w:val="16"/>
                <w:lang w:eastAsia="hr-HR"/>
              </w:rPr>
            </w:pPr>
          </w:p>
        </w:tc>
        <w:tc>
          <w:tcPr>
            <w:tcW w:w="709" w:type="dxa"/>
            <w:shd w:val="clear" w:color="auto" w:fill="auto"/>
            <w:noWrap/>
            <w:vAlign w:val="center"/>
          </w:tcPr>
          <w:p w14:paraId="1942039D" w14:textId="3B6EEA44" w:rsidR="00A338EF" w:rsidRPr="001D4F0F" w:rsidRDefault="00A338EF" w:rsidP="007E68E6">
            <w:pPr>
              <w:jc w:val="center"/>
              <w:rPr>
                <w:rFonts w:eastAsia="Times New Roman"/>
                <w:sz w:val="16"/>
                <w:szCs w:val="16"/>
                <w:lang w:eastAsia="hr-HR"/>
              </w:rPr>
            </w:pPr>
          </w:p>
        </w:tc>
        <w:tc>
          <w:tcPr>
            <w:tcW w:w="709" w:type="dxa"/>
            <w:shd w:val="clear" w:color="auto" w:fill="auto"/>
            <w:noWrap/>
            <w:vAlign w:val="center"/>
          </w:tcPr>
          <w:p w14:paraId="1491515D" w14:textId="291E04E7" w:rsidR="00A338EF" w:rsidRPr="001D4F0F" w:rsidRDefault="00A338EF" w:rsidP="007E68E6">
            <w:pPr>
              <w:jc w:val="center"/>
              <w:rPr>
                <w:rFonts w:eastAsia="Times New Roman"/>
                <w:sz w:val="16"/>
                <w:szCs w:val="16"/>
                <w:lang w:eastAsia="hr-HR"/>
              </w:rPr>
            </w:pPr>
          </w:p>
        </w:tc>
        <w:tc>
          <w:tcPr>
            <w:tcW w:w="850" w:type="dxa"/>
            <w:shd w:val="clear" w:color="auto" w:fill="auto"/>
            <w:vAlign w:val="center"/>
          </w:tcPr>
          <w:p w14:paraId="25EB2086" w14:textId="7FAECF5B" w:rsidR="00A338EF" w:rsidRPr="001D4F0F" w:rsidRDefault="00A338EF" w:rsidP="007E68E6">
            <w:pPr>
              <w:jc w:val="center"/>
              <w:rPr>
                <w:rFonts w:eastAsia="Times New Roman"/>
                <w:sz w:val="16"/>
                <w:szCs w:val="16"/>
                <w:lang w:eastAsia="hr-HR"/>
              </w:rPr>
            </w:pPr>
          </w:p>
        </w:tc>
        <w:tc>
          <w:tcPr>
            <w:tcW w:w="851" w:type="dxa"/>
            <w:shd w:val="clear" w:color="auto" w:fill="auto"/>
            <w:vAlign w:val="center"/>
          </w:tcPr>
          <w:p w14:paraId="484B6FF3" w14:textId="07616170"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13.423</w:t>
            </w:r>
          </w:p>
        </w:tc>
        <w:tc>
          <w:tcPr>
            <w:tcW w:w="567" w:type="dxa"/>
            <w:shd w:val="clear" w:color="auto" w:fill="auto"/>
            <w:vAlign w:val="center"/>
          </w:tcPr>
          <w:p w14:paraId="11128AC2" w14:textId="1900F89E"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190</w:t>
            </w:r>
          </w:p>
        </w:tc>
        <w:tc>
          <w:tcPr>
            <w:tcW w:w="567" w:type="dxa"/>
            <w:shd w:val="clear" w:color="auto" w:fill="auto"/>
            <w:vAlign w:val="center"/>
          </w:tcPr>
          <w:p w14:paraId="0F61E0EA" w14:textId="7055D429" w:rsidR="00A338EF" w:rsidRPr="001D4F0F" w:rsidRDefault="00A338EF" w:rsidP="007E68E6">
            <w:pPr>
              <w:jc w:val="center"/>
              <w:rPr>
                <w:rFonts w:eastAsia="Times New Roman"/>
                <w:sz w:val="16"/>
                <w:szCs w:val="16"/>
                <w:lang w:eastAsia="hr-HR"/>
              </w:rPr>
            </w:pPr>
          </w:p>
        </w:tc>
        <w:tc>
          <w:tcPr>
            <w:tcW w:w="709" w:type="dxa"/>
            <w:shd w:val="clear" w:color="auto" w:fill="auto"/>
            <w:vAlign w:val="center"/>
          </w:tcPr>
          <w:p w14:paraId="38FE1978" w14:textId="0366B035"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828</w:t>
            </w:r>
          </w:p>
        </w:tc>
        <w:tc>
          <w:tcPr>
            <w:tcW w:w="567" w:type="dxa"/>
            <w:shd w:val="clear" w:color="auto" w:fill="auto"/>
            <w:vAlign w:val="center"/>
          </w:tcPr>
          <w:p w14:paraId="0723EDBC" w14:textId="12310BD6"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413</w:t>
            </w:r>
          </w:p>
        </w:tc>
        <w:tc>
          <w:tcPr>
            <w:tcW w:w="548" w:type="dxa"/>
          </w:tcPr>
          <w:p w14:paraId="73B81F12" w14:textId="77777777" w:rsidR="00A338EF" w:rsidRPr="001D4F0F" w:rsidRDefault="00A338EF" w:rsidP="007E68E6">
            <w:pPr>
              <w:jc w:val="center"/>
              <w:rPr>
                <w:rFonts w:eastAsia="Times New Roman"/>
                <w:sz w:val="16"/>
                <w:szCs w:val="16"/>
                <w:lang w:eastAsia="hr-HR"/>
              </w:rPr>
            </w:pPr>
          </w:p>
        </w:tc>
        <w:tc>
          <w:tcPr>
            <w:tcW w:w="850" w:type="dxa"/>
            <w:shd w:val="clear" w:color="auto" w:fill="auto"/>
            <w:vAlign w:val="center"/>
          </w:tcPr>
          <w:p w14:paraId="0863F04F" w14:textId="2EA10E8E"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14.673</w:t>
            </w:r>
          </w:p>
        </w:tc>
        <w:tc>
          <w:tcPr>
            <w:tcW w:w="709" w:type="dxa"/>
          </w:tcPr>
          <w:p w14:paraId="11C91DB3" w14:textId="77777777" w:rsidR="00A338EF" w:rsidRPr="001D4F0F" w:rsidRDefault="00A338EF" w:rsidP="007E68E6">
            <w:pPr>
              <w:jc w:val="center"/>
              <w:rPr>
                <w:rFonts w:eastAsia="Times New Roman"/>
                <w:sz w:val="16"/>
                <w:szCs w:val="16"/>
                <w:lang w:eastAsia="hr-HR"/>
              </w:rPr>
            </w:pPr>
          </w:p>
        </w:tc>
        <w:tc>
          <w:tcPr>
            <w:tcW w:w="808" w:type="dxa"/>
            <w:shd w:val="clear" w:color="auto" w:fill="auto"/>
            <w:vAlign w:val="center"/>
          </w:tcPr>
          <w:p w14:paraId="7D06C436" w14:textId="4E3992FF" w:rsidR="00A338EF" w:rsidRPr="001D4F0F" w:rsidRDefault="00A338EF" w:rsidP="007E68E6">
            <w:pPr>
              <w:jc w:val="center"/>
              <w:rPr>
                <w:rFonts w:eastAsia="Times New Roman"/>
                <w:sz w:val="16"/>
                <w:szCs w:val="16"/>
                <w:lang w:eastAsia="hr-HR"/>
              </w:rPr>
            </w:pPr>
          </w:p>
        </w:tc>
      </w:tr>
      <w:tr w:rsidR="00A338EF" w:rsidRPr="001B4CA2" w14:paraId="3539030F" w14:textId="77777777" w:rsidTr="001D4F0F">
        <w:trPr>
          <w:trHeight w:val="301"/>
          <w:jc w:val="center"/>
        </w:trPr>
        <w:tc>
          <w:tcPr>
            <w:tcW w:w="710" w:type="dxa"/>
            <w:shd w:val="clear" w:color="auto" w:fill="auto"/>
            <w:noWrap/>
            <w:vAlign w:val="center"/>
            <w:hideMark/>
          </w:tcPr>
          <w:p w14:paraId="78FE608D" w14:textId="76636900" w:rsidR="00A338EF" w:rsidRPr="001B4CA2" w:rsidRDefault="00A338EF" w:rsidP="007E68E6">
            <w:pPr>
              <w:jc w:val="center"/>
              <w:rPr>
                <w:rFonts w:eastAsia="Times New Roman"/>
                <w:sz w:val="16"/>
                <w:szCs w:val="16"/>
                <w:lang w:eastAsia="hr-HR"/>
              </w:rPr>
            </w:pPr>
            <w:r w:rsidRPr="001B4CA2">
              <w:rPr>
                <w:rFonts w:eastAsia="Times New Roman"/>
                <w:sz w:val="16"/>
                <w:szCs w:val="16"/>
                <w:lang w:eastAsia="hr-HR"/>
              </w:rPr>
              <w:t>2019.</w:t>
            </w:r>
          </w:p>
        </w:tc>
        <w:tc>
          <w:tcPr>
            <w:tcW w:w="708" w:type="dxa"/>
            <w:shd w:val="clear" w:color="auto" w:fill="auto"/>
            <w:noWrap/>
            <w:vAlign w:val="center"/>
            <w:hideMark/>
          </w:tcPr>
          <w:p w14:paraId="51CB01A6" w14:textId="03B5897E" w:rsidR="00A338EF" w:rsidRPr="001D4F0F" w:rsidRDefault="00A338EF" w:rsidP="007E68E6">
            <w:pPr>
              <w:jc w:val="center"/>
              <w:rPr>
                <w:rFonts w:eastAsia="Times New Roman"/>
                <w:sz w:val="16"/>
                <w:szCs w:val="16"/>
                <w:lang w:eastAsia="hr-HR"/>
              </w:rPr>
            </w:pPr>
          </w:p>
        </w:tc>
        <w:tc>
          <w:tcPr>
            <w:tcW w:w="709" w:type="dxa"/>
            <w:shd w:val="clear" w:color="auto" w:fill="auto"/>
            <w:noWrap/>
            <w:vAlign w:val="center"/>
            <w:hideMark/>
          </w:tcPr>
          <w:p w14:paraId="740B23E1" w14:textId="666846FE" w:rsidR="00A338EF" w:rsidRPr="001D4F0F" w:rsidRDefault="00A338EF" w:rsidP="007E68E6">
            <w:pPr>
              <w:jc w:val="center"/>
              <w:rPr>
                <w:rFonts w:eastAsia="Times New Roman"/>
                <w:sz w:val="16"/>
                <w:szCs w:val="16"/>
                <w:lang w:eastAsia="hr-HR"/>
              </w:rPr>
            </w:pPr>
          </w:p>
        </w:tc>
        <w:tc>
          <w:tcPr>
            <w:tcW w:w="709" w:type="dxa"/>
            <w:shd w:val="clear" w:color="auto" w:fill="auto"/>
            <w:noWrap/>
            <w:vAlign w:val="center"/>
            <w:hideMark/>
          </w:tcPr>
          <w:p w14:paraId="6A6C6220" w14:textId="49785C29" w:rsidR="00A338EF" w:rsidRPr="001D4F0F" w:rsidRDefault="00A338EF" w:rsidP="007E68E6">
            <w:pPr>
              <w:jc w:val="center"/>
              <w:rPr>
                <w:rFonts w:eastAsia="Times New Roman"/>
                <w:sz w:val="16"/>
                <w:szCs w:val="16"/>
                <w:lang w:eastAsia="hr-HR"/>
              </w:rPr>
            </w:pPr>
          </w:p>
        </w:tc>
        <w:tc>
          <w:tcPr>
            <w:tcW w:w="850" w:type="dxa"/>
            <w:shd w:val="clear" w:color="auto" w:fill="auto"/>
            <w:vAlign w:val="center"/>
            <w:hideMark/>
          </w:tcPr>
          <w:p w14:paraId="5AFD5B56" w14:textId="29745B3A" w:rsidR="00A338EF" w:rsidRPr="001D4F0F" w:rsidRDefault="00A338EF" w:rsidP="007E68E6">
            <w:pPr>
              <w:jc w:val="center"/>
              <w:rPr>
                <w:rFonts w:eastAsia="Times New Roman"/>
                <w:sz w:val="16"/>
                <w:szCs w:val="16"/>
                <w:lang w:eastAsia="hr-HR"/>
              </w:rPr>
            </w:pPr>
          </w:p>
        </w:tc>
        <w:tc>
          <w:tcPr>
            <w:tcW w:w="851" w:type="dxa"/>
            <w:shd w:val="clear" w:color="auto" w:fill="auto"/>
            <w:vAlign w:val="center"/>
            <w:hideMark/>
          </w:tcPr>
          <w:p w14:paraId="44A5D9CB" w14:textId="4DF0AA86"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14.190</w:t>
            </w:r>
          </w:p>
        </w:tc>
        <w:tc>
          <w:tcPr>
            <w:tcW w:w="567" w:type="dxa"/>
            <w:shd w:val="clear" w:color="auto" w:fill="auto"/>
            <w:vAlign w:val="center"/>
            <w:hideMark/>
          </w:tcPr>
          <w:p w14:paraId="29A11BA3" w14:textId="59F507AF"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315</w:t>
            </w:r>
          </w:p>
        </w:tc>
        <w:tc>
          <w:tcPr>
            <w:tcW w:w="567" w:type="dxa"/>
            <w:shd w:val="clear" w:color="auto" w:fill="auto"/>
            <w:vAlign w:val="center"/>
            <w:hideMark/>
          </w:tcPr>
          <w:p w14:paraId="24ADFC5B" w14:textId="6FDC7ABD" w:rsidR="00A338EF" w:rsidRPr="001D4F0F" w:rsidRDefault="00A338EF" w:rsidP="007E68E6">
            <w:pPr>
              <w:jc w:val="center"/>
              <w:rPr>
                <w:rFonts w:eastAsia="Times New Roman"/>
                <w:sz w:val="16"/>
                <w:szCs w:val="16"/>
                <w:lang w:eastAsia="hr-HR"/>
              </w:rPr>
            </w:pPr>
          </w:p>
        </w:tc>
        <w:tc>
          <w:tcPr>
            <w:tcW w:w="709" w:type="dxa"/>
            <w:shd w:val="clear" w:color="auto" w:fill="auto"/>
            <w:vAlign w:val="center"/>
            <w:hideMark/>
          </w:tcPr>
          <w:p w14:paraId="41B6F51E" w14:textId="56B2E638"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796</w:t>
            </w:r>
          </w:p>
        </w:tc>
        <w:tc>
          <w:tcPr>
            <w:tcW w:w="567" w:type="dxa"/>
            <w:shd w:val="clear" w:color="auto" w:fill="auto"/>
            <w:vAlign w:val="center"/>
            <w:hideMark/>
          </w:tcPr>
          <w:p w14:paraId="22E6535F" w14:textId="2AA48277"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455</w:t>
            </w:r>
          </w:p>
        </w:tc>
        <w:tc>
          <w:tcPr>
            <w:tcW w:w="548" w:type="dxa"/>
          </w:tcPr>
          <w:p w14:paraId="2E521C11" w14:textId="77777777" w:rsidR="00A338EF" w:rsidRPr="001D4F0F" w:rsidRDefault="00A338EF" w:rsidP="007E68E6">
            <w:pPr>
              <w:jc w:val="center"/>
              <w:rPr>
                <w:rFonts w:eastAsia="Times New Roman"/>
                <w:sz w:val="16"/>
                <w:szCs w:val="16"/>
                <w:lang w:eastAsia="hr-HR"/>
              </w:rPr>
            </w:pPr>
          </w:p>
        </w:tc>
        <w:tc>
          <w:tcPr>
            <w:tcW w:w="850" w:type="dxa"/>
            <w:shd w:val="clear" w:color="auto" w:fill="auto"/>
            <w:vAlign w:val="center"/>
            <w:hideMark/>
          </w:tcPr>
          <w:p w14:paraId="79192452" w14:textId="798CEC4C"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15.441</w:t>
            </w:r>
          </w:p>
        </w:tc>
        <w:tc>
          <w:tcPr>
            <w:tcW w:w="709" w:type="dxa"/>
          </w:tcPr>
          <w:p w14:paraId="6E2031F5" w14:textId="77777777" w:rsidR="00A338EF" w:rsidRPr="001D4F0F" w:rsidRDefault="00A338EF" w:rsidP="007E68E6">
            <w:pPr>
              <w:jc w:val="center"/>
              <w:rPr>
                <w:rFonts w:eastAsia="Times New Roman"/>
                <w:sz w:val="16"/>
                <w:szCs w:val="16"/>
                <w:lang w:eastAsia="hr-HR"/>
              </w:rPr>
            </w:pPr>
          </w:p>
        </w:tc>
        <w:tc>
          <w:tcPr>
            <w:tcW w:w="808" w:type="dxa"/>
            <w:shd w:val="clear" w:color="auto" w:fill="auto"/>
            <w:vAlign w:val="center"/>
            <w:hideMark/>
          </w:tcPr>
          <w:p w14:paraId="54936290" w14:textId="6B85266E" w:rsidR="00A338EF" w:rsidRPr="001D4F0F" w:rsidRDefault="00A338EF" w:rsidP="007E68E6">
            <w:pPr>
              <w:jc w:val="center"/>
              <w:rPr>
                <w:rFonts w:eastAsia="Times New Roman"/>
                <w:sz w:val="16"/>
                <w:szCs w:val="16"/>
                <w:lang w:eastAsia="hr-HR"/>
              </w:rPr>
            </w:pPr>
          </w:p>
        </w:tc>
      </w:tr>
      <w:tr w:rsidR="00A338EF" w:rsidRPr="001B4CA2" w14:paraId="67E63F85" w14:textId="77777777" w:rsidTr="001D4F0F">
        <w:trPr>
          <w:trHeight w:val="301"/>
          <w:jc w:val="center"/>
        </w:trPr>
        <w:tc>
          <w:tcPr>
            <w:tcW w:w="710" w:type="dxa"/>
            <w:shd w:val="clear" w:color="auto" w:fill="auto"/>
            <w:noWrap/>
            <w:vAlign w:val="center"/>
            <w:hideMark/>
          </w:tcPr>
          <w:p w14:paraId="67371AA2" w14:textId="3868D6EB" w:rsidR="00A338EF" w:rsidRPr="001B4CA2" w:rsidRDefault="00A338EF" w:rsidP="007E68E6">
            <w:pPr>
              <w:jc w:val="center"/>
              <w:rPr>
                <w:rFonts w:eastAsia="Times New Roman"/>
                <w:sz w:val="16"/>
                <w:szCs w:val="16"/>
                <w:lang w:eastAsia="hr-HR"/>
              </w:rPr>
            </w:pPr>
            <w:r w:rsidRPr="001B4CA2">
              <w:rPr>
                <w:rFonts w:eastAsia="Times New Roman"/>
                <w:sz w:val="16"/>
                <w:szCs w:val="16"/>
                <w:lang w:eastAsia="hr-HR"/>
              </w:rPr>
              <w:t>2020.</w:t>
            </w:r>
          </w:p>
        </w:tc>
        <w:tc>
          <w:tcPr>
            <w:tcW w:w="708" w:type="dxa"/>
            <w:shd w:val="clear" w:color="auto" w:fill="auto"/>
            <w:noWrap/>
            <w:vAlign w:val="center"/>
            <w:hideMark/>
          </w:tcPr>
          <w:p w14:paraId="48059DEE" w14:textId="316452BB"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3.031</w:t>
            </w:r>
          </w:p>
        </w:tc>
        <w:tc>
          <w:tcPr>
            <w:tcW w:w="709" w:type="dxa"/>
            <w:shd w:val="clear" w:color="auto" w:fill="auto"/>
            <w:noWrap/>
            <w:vAlign w:val="center"/>
            <w:hideMark/>
          </w:tcPr>
          <w:p w14:paraId="1A888E94" w14:textId="22267127"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13.764</w:t>
            </w:r>
          </w:p>
        </w:tc>
        <w:tc>
          <w:tcPr>
            <w:tcW w:w="709" w:type="dxa"/>
            <w:shd w:val="clear" w:color="auto" w:fill="auto"/>
            <w:noWrap/>
            <w:vAlign w:val="center"/>
            <w:hideMark/>
          </w:tcPr>
          <w:p w14:paraId="03D27273" w14:textId="1B5D28B0"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16.795</w:t>
            </w:r>
          </w:p>
        </w:tc>
        <w:tc>
          <w:tcPr>
            <w:tcW w:w="850" w:type="dxa"/>
            <w:shd w:val="clear" w:color="auto" w:fill="auto"/>
            <w:vAlign w:val="center"/>
            <w:hideMark/>
          </w:tcPr>
          <w:p w14:paraId="3B7D5F79" w14:textId="6FF0C552"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281</w:t>
            </w:r>
          </w:p>
        </w:tc>
        <w:tc>
          <w:tcPr>
            <w:tcW w:w="851" w:type="dxa"/>
            <w:shd w:val="clear" w:color="auto" w:fill="auto"/>
            <w:vAlign w:val="center"/>
            <w:hideMark/>
          </w:tcPr>
          <w:p w14:paraId="53C4798D" w14:textId="57A7A380"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14.596</w:t>
            </w:r>
          </w:p>
        </w:tc>
        <w:tc>
          <w:tcPr>
            <w:tcW w:w="567" w:type="dxa"/>
            <w:shd w:val="clear" w:color="auto" w:fill="auto"/>
            <w:vAlign w:val="center"/>
            <w:hideMark/>
          </w:tcPr>
          <w:p w14:paraId="3377F2D6" w14:textId="632CE062"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266</w:t>
            </w:r>
          </w:p>
        </w:tc>
        <w:tc>
          <w:tcPr>
            <w:tcW w:w="567" w:type="dxa"/>
            <w:shd w:val="clear" w:color="auto" w:fill="auto"/>
            <w:vAlign w:val="center"/>
            <w:hideMark/>
          </w:tcPr>
          <w:p w14:paraId="1BABC2B4" w14:textId="6B3AF6FF"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141</w:t>
            </w:r>
          </w:p>
        </w:tc>
        <w:tc>
          <w:tcPr>
            <w:tcW w:w="709" w:type="dxa"/>
            <w:shd w:val="clear" w:color="auto" w:fill="auto"/>
            <w:vAlign w:val="center"/>
            <w:hideMark/>
          </w:tcPr>
          <w:p w14:paraId="27592765" w14:textId="6BAA3736"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1.015</w:t>
            </w:r>
          </w:p>
        </w:tc>
        <w:tc>
          <w:tcPr>
            <w:tcW w:w="567" w:type="dxa"/>
            <w:shd w:val="clear" w:color="auto" w:fill="auto"/>
            <w:vAlign w:val="center"/>
            <w:hideMark/>
          </w:tcPr>
          <w:p w14:paraId="2249036B" w14:textId="31E558FE"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374</w:t>
            </w:r>
          </w:p>
        </w:tc>
        <w:tc>
          <w:tcPr>
            <w:tcW w:w="548" w:type="dxa"/>
          </w:tcPr>
          <w:p w14:paraId="183E4887" w14:textId="77777777" w:rsidR="00A338EF" w:rsidRPr="001D4F0F" w:rsidRDefault="00A338EF" w:rsidP="007E68E6">
            <w:pPr>
              <w:jc w:val="center"/>
              <w:rPr>
                <w:rFonts w:eastAsia="Times New Roman"/>
                <w:sz w:val="16"/>
                <w:szCs w:val="16"/>
                <w:lang w:eastAsia="hr-HR"/>
              </w:rPr>
            </w:pPr>
          </w:p>
        </w:tc>
        <w:tc>
          <w:tcPr>
            <w:tcW w:w="850" w:type="dxa"/>
            <w:shd w:val="clear" w:color="auto" w:fill="auto"/>
            <w:vAlign w:val="center"/>
            <w:hideMark/>
          </w:tcPr>
          <w:p w14:paraId="6614DC69" w14:textId="1F0B86C7"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16.407</w:t>
            </w:r>
          </w:p>
        </w:tc>
        <w:tc>
          <w:tcPr>
            <w:tcW w:w="709" w:type="dxa"/>
          </w:tcPr>
          <w:p w14:paraId="286E2F3E" w14:textId="77777777" w:rsidR="00A338EF" w:rsidRPr="001D4F0F" w:rsidRDefault="00A338EF" w:rsidP="007E68E6">
            <w:pPr>
              <w:jc w:val="center"/>
              <w:rPr>
                <w:rFonts w:eastAsia="Times New Roman"/>
                <w:sz w:val="16"/>
                <w:szCs w:val="16"/>
                <w:lang w:eastAsia="hr-HR"/>
              </w:rPr>
            </w:pPr>
          </w:p>
        </w:tc>
        <w:tc>
          <w:tcPr>
            <w:tcW w:w="808" w:type="dxa"/>
            <w:shd w:val="clear" w:color="auto" w:fill="auto"/>
            <w:vAlign w:val="center"/>
            <w:hideMark/>
          </w:tcPr>
          <w:p w14:paraId="49589F5B" w14:textId="24BF6440" w:rsidR="00A338EF" w:rsidRPr="001D4F0F" w:rsidRDefault="00C134AD" w:rsidP="007E68E6">
            <w:pPr>
              <w:jc w:val="center"/>
              <w:rPr>
                <w:rFonts w:eastAsia="Times New Roman"/>
                <w:sz w:val="16"/>
                <w:szCs w:val="16"/>
                <w:lang w:eastAsia="hr-HR"/>
              </w:rPr>
            </w:pPr>
            <w:r w:rsidRPr="001D4F0F">
              <w:rPr>
                <w:rFonts w:eastAsia="Times New Roman"/>
                <w:sz w:val="16"/>
                <w:szCs w:val="16"/>
                <w:lang w:eastAsia="hr-HR"/>
              </w:rPr>
              <w:t>23.857</w:t>
            </w:r>
          </w:p>
        </w:tc>
      </w:tr>
      <w:tr w:rsidR="00A338EF" w:rsidRPr="001B4CA2" w14:paraId="6F8FC020" w14:textId="77777777" w:rsidTr="001D4F0F">
        <w:trPr>
          <w:trHeight w:val="301"/>
          <w:jc w:val="center"/>
        </w:trPr>
        <w:tc>
          <w:tcPr>
            <w:tcW w:w="710" w:type="dxa"/>
            <w:shd w:val="clear" w:color="auto" w:fill="auto"/>
            <w:noWrap/>
            <w:vAlign w:val="center"/>
            <w:hideMark/>
          </w:tcPr>
          <w:p w14:paraId="071FCCE1" w14:textId="7587DD01" w:rsidR="00A338EF" w:rsidRPr="001B4CA2" w:rsidRDefault="00A338EF" w:rsidP="007E68E6">
            <w:pPr>
              <w:jc w:val="center"/>
              <w:rPr>
                <w:rFonts w:eastAsia="Times New Roman"/>
                <w:sz w:val="16"/>
                <w:szCs w:val="16"/>
                <w:lang w:eastAsia="hr-HR"/>
              </w:rPr>
            </w:pPr>
            <w:r w:rsidRPr="001B4CA2">
              <w:rPr>
                <w:rFonts w:eastAsia="Times New Roman"/>
                <w:sz w:val="16"/>
                <w:szCs w:val="16"/>
                <w:lang w:eastAsia="hr-HR"/>
              </w:rPr>
              <w:t>2021.</w:t>
            </w:r>
          </w:p>
        </w:tc>
        <w:tc>
          <w:tcPr>
            <w:tcW w:w="708" w:type="dxa"/>
            <w:shd w:val="clear" w:color="auto" w:fill="auto"/>
            <w:noWrap/>
            <w:vAlign w:val="center"/>
            <w:hideMark/>
          </w:tcPr>
          <w:p w14:paraId="6A037501" w14:textId="35118AC8"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4.064</w:t>
            </w:r>
          </w:p>
        </w:tc>
        <w:tc>
          <w:tcPr>
            <w:tcW w:w="709" w:type="dxa"/>
            <w:shd w:val="clear" w:color="auto" w:fill="auto"/>
            <w:noWrap/>
            <w:vAlign w:val="center"/>
            <w:hideMark/>
          </w:tcPr>
          <w:p w14:paraId="21AC9A15" w14:textId="784C256D"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11.164</w:t>
            </w:r>
          </w:p>
        </w:tc>
        <w:tc>
          <w:tcPr>
            <w:tcW w:w="709" w:type="dxa"/>
            <w:shd w:val="clear" w:color="auto" w:fill="auto"/>
            <w:noWrap/>
            <w:vAlign w:val="center"/>
            <w:hideMark/>
          </w:tcPr>
          <w:p w14:paraId="759FCEA0" w14:textId="1F711113"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15.228</w:t>
            </w:r>
          </w:p>
        </w:tc>
        <w:tc>
          <w:tcPr>
            <w:tcW w:w="850" w:type="dxa"/>
            <w:shd w:val="clear" w:color="auto" w:fill="auto"/>
            <w:vAlign w:val="center"/>
            <w:hideMark/>
          </w:tcPr>
          <w:p w14:paraId="0EC6B668" w14:textId="62903687"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505</w:t>
            </w:r>
          </w:p>
        </w:tc>
        <w:tc>
          <w:tcPr>
            <w:tcW w:w="851" w:type="dxa"/>
            <w:shd w:val="clear" w:color="auto" w:fill="auto"/>
            <w:vAlign w:val="center"/>
            <w:hideMark/>
          </w:tcPr>
          <w:p w14:paraId="78506502" w14:textId="4A6FE00B"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14.401</w:t>
            </w:r>
          </w:p>
        </w:tc>
        <w:tc>
          <w:tcPr>
            <w:tcW w:w="567" w:type="dxa"/>
            <w:shd w:val="clear" w:color="auto" w:fill="auto"/>
            <w:vAlign w:val="center"/>
            <w:hideMark/>
          </w:tcPr>
          <w:p w14:paraId="3F3FE487" w14:textId="21DF7F51"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242</w:t>
            </w:r>
          </w:p>
        </w:tc>
        <w:tc>
          <w:tcPr>
            <w:tcW w:w="567" w:type="dxa"/>
            <w:shd w:val="clear" w:color="auto" w:fill="auto"/>
            <w:vAlign w:val="center"/>
            <w:hideMark/>
          </w:tcPr>
          <w:p w14:paraId="112EF0FA" w14:textId="75E57EEF"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188</w:t>
            </w:r>
          </w:p>
        </w:tc>
        <w:tc>
          <w:tcPr>
            <w:tcW w:w="709" w:type="dxa"/>
            <w:shd w:val="clear" w:color="auto" w:fill="auto"/>
            <w:vAlign w:val="center"/>
            <w:hideMark/>
          </w:tcPr>
          <w:p w14:paraId="50DF69CE" w14:textId="7C40F670"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1.291</w:t>
            </w:r>
          </w:p>
        </w:tc>
        <w:tc>
          <w:tcPr>
            <w:tcW w:w="567" w:type="dxa"/>
            <w:shd w:val="clear" w:color="auto" w:fill="auto"/>
            <w:vAlign w:val="center"/>
            <w:hideMark/>
          </w:tcPr>
          <w:p w14:paraId="25EAEC83" w14:textId="7A94F766"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508</w:t>
            </w:r>
          </w:p>
        </w:tc>
        <w:tc>
          <w:tcPr>
            <w:tcW w:w="548" w:type="dxa"/>
          </w:tcPr>
          <w:p w14:paraId="160F3744" w14:textId="77777777" w:rsidR="00A338EF" w:rsidRPr="001D4F0F" w:rsidRDefault="00A338EF" w:rsidP="007E68E6">
            <w:pPr>
              <w:jc w:val="center"/>
              <w:rPr>
                <w:rFonts w:eastAsia="Times New Roman"/>
                <w:sz w:val="16"/>
                <w:szCs w:val="16"/>
                <w:lang w:eastAsia="hr-HR"/>
              </w:rPr>
            </w:pPr>
          </w:p>
        </w:tc>
        <w:tc>
          <w:tcPr>
            <w:tcW w:w="850" w:type="dxa"/>
            <w:shd w:val="clear" w:color="auto" w:fill="auto"/>
            <w:vAlign w:val="center"/>
            <w:hideMark/>
          </w:tcPr>
          <w:p w14:paraId="40802DEA" w14:textId="28711A6B"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17.893</w:t>
            </w:r>
          </w:p>
        </w:tc>
        <w:tc>
          <w:tcPr>
            <w:tcW w:w="709" w:type="dxa"/>
          </w:tcPr>
          <w:p w14:paraId="621E6EB1" w14:textId="77777777" w:rsidR="00A338EF" w:rsidRPr="001D4F0F" w:rsidRDefault="00A338EF" w:rsidP="007E68E6">
            <w:pPr>
              <w:jc w:val="center"/>
              <w:rPr>
                <w:rFonts w:eastAsia="Times New Roman"/>
                <w:sz w:val="16"/>
                <w:szCs w:val="16"/>
                <w:lang w:eastAsia="hr-HR"/>
              </w:rPr>
            </w:pPr>
          </w:p>
        </w:tc>
        <w:tc>
          <w:tcPr>
            <w:tcW w:w="808" w:type="dxa"/>
            <w:shd w:val="clear" w:color="auto" w:fill="auto"/>
            <w:vAlign w:val="center"/>
            <w:hideMark/>
          </w:tcPr>
          <w:p w14:paraId="106E390F" w14:textId="55CCEA1C" w:rsidR="00A338EF" w:rsidRPr="001D4F0F" w:rsidRDefault="00C134AD" w:rsidP="007E68E6">
            <w:pPr>
              <w:jc w:val="center"/>
              <w:rPr>
                <w:rFonts w:eastAsia="Times New Roman"/>
                <w:sz w:val="16"/>
                <w:szCs w:val="16"/>
                <w:lang w:eastAsia="hr-HR"/>
              </w:rPr>
            </w:pPr>
            <w:r w:rsidRPr="001D4F0F">
              <w:rPr>
                <w:rFonts w:eastAsia="Times New Roman"/>
                <w:sz w:val="16"/>
                <w:szCs w:val="16"/>
                <w:lang w:eastAsia="hr-HR"/>
              </w:rPr>
              <w:t>28.752</w:t>
            </w:r>
          </w:p>
        </w:tc>
      </w:tr>
      <w:tr w:rsidR="00A338EF" w:rsidRPr="001B4CA2" w14:paraId="1001E482" w14:textId="77777777" w:rsidTr="001D4F0F">
        <w:trPr>
          <w:trHeight w:val="316"/>
          <w:jc w:val="center"/>
        </w:trPr>
        <w:tc>
          <w:tcPr>
            <w:tcW w:w="710" w:type="dxa"/>
            <w:shd w:val="clear" w:color="auto" w:fill="auto"/>
            <w:noWrap/>
            <w:vAlign w:val="center"/>
          </w:tcPr>
          <w:p w14:paraId="78CA76FE" w14:textId="5C57345B" w:rsidR="00A338EF" w:rsidRPr="001B4CA2" w:rsidRDefault="00A338EF" w:rsidP="007E68E6">
            <w:pPr>
              <w:jc w:val="center"/>
              <w:rPr>
                <w:rFonts w:eastAsia="Times New Roman"/>
                <w:sz w:val="16"/>
                <w:szCs w:val="16"/>
                <w:lang w:eastAsia="hr-HR"/>
              </w:rPr>
            </w:pPr>
            <w:r w:rsidRPr="001B4CA2">
              <w:rPr>
                <w:rFonts w:eastAsia="Times New Roman"/>
                <w:sz w:val="16"/>
                <w:szCs w:val="16"/>
                <w:lang w:eastAsia="hr-HR"/>
              </w:rPr>
              <w:t>2022.</w:t>
            </w:r>
          </w:p>
        </w:tc>
        <w:tc>
          <w:tcPr>
            <w:tcW w:w="708" w:type="dxa"/>
            <w:shd w:val="clear" w:color="auto" w:fill="auto"/>
            <w:noWrap/>
            <w:vAlign w:val="center"/>
          </w:tcPr>
          <w:p w14:paraId="0A43F9B8" w14:textId="7E7D4189"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4.314</w:t>
            </w:r>
          </w:p>
        </w:tc>
        <w:tc>
          <w:tcPr>
            <w:tcW w:w="709" w:type="dxa"/>
            <w:shd w:val="clear" w:color="auto" w:fill="auto"/>
            <w:noWrap/>
            <w:vAlign w:val="center"/>
          </w:tcPr>
          <w:p w14:paraId="6CCFBCAA" w14:textId="7A24AA25"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11.645</w:t>
            </w:r>
          </w:p>
        </w:tc>
        <w:tc>
          <w:tcPr>
            <w:tcW w:w="709" w:type="dxa"/>
            <w:shd w:val="clear" w:color="auto" w:fill="auto"/>
            <w:noWrap/>
            <w:vAlign w:val="center"/>
          </w:tcPr>
          <w:p w14:paraId="7885C821" w14:textId="4FE565D1"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15.959</w:t>
            </w:r>
          </w:p>
        </w:tc>
        <w:tc>
          <w:tcPr>
            <w:tcW w:w="850" w:type="dxa"/>
            <w:shd w:val="clear" w:color="auto" w:fill="auto"/>
            <w:noWrap/>
            <w:vAlign w:val="center"/>
          </w:tcPr>
          <w:p w14:paraId="3F5B9C4A" w14:textId="355B4D67"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956</w:t>
            </w:r>
          </w:p>
        </w:tc>
        <w:tc>
          <w:tcPr>
            <w:tcW w:w="851" w:type="dxa"/>
            <w:shd w:val="clear" w:color="auto" w:fill="auto"/>
            <w:noWrap/>
            <w:vAlign w:val="center"/>
          </w:tcPr>
          <w:p w14:paraId="388797ED" w14:textId="1E0B64B6"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14.538</w:t>
            </w:r>
          </w:p>
        </w:tc>
        <w:tc>
          <w:tcPr>
            <w:tcW w:w="567" w:type="dxa"/>
            <w:shd w:val="clear" w:color="auto" w:fill="auto"/>
            <w:noWrap/>
            <w:vAlign w:val="center"/>
          </w:tcPr>
          <w:p w14:paraId="44DC3F28" w14:textId="647CA08E"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318</w:t>
            </w:r>
          </w:p>
        </w:tc>
        <w:tc>
          <w:tcPr>
            <w:tcW w:w="567" w:type="dxa"/>
            <w:shd w:val="clear" w:color="auto" w:fill="auto"/>
            <w:noWrap/>
            <w:vAlign w:val="center"/>
          </w:tcPr>
          <w:p w14:paraId="506FB620" w14:textId="34828A1E"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191</w:t>
            </w:r>
          </w:p>
        </w:tc>
        <w:tc>
          <w:tcPr>
            <w:tcW w:w="709" w:type="dxa"/>
            <w:shd w:val="clear" w:color="auto" w:fill="auto"/>
            <w:noWrap/>
            <w:vAlign w:val="center"/>
          </w:tcPr>
          <w:p w14:paraId="68AAC63C" w14:textId="24804362"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1.240</w:t>
            </w:r>
          </w:p>
        </w:tc>
        <w:tc>
          <w:tcPr>
            <w:tcW w:w="567" w:type="dxa"/>
            <w:shd w:val="clear" w:color="auto" w:fill="auto"/>
            <w:noWrap/>
            <w:vAlign w:val="center"/>
          </w:tcPr>
          <w:p w14:paraId="7A83D91D" w14:textId="0286C268"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552</w:t>
            </w:r>
          </w:p>
        </w:tc>
        <w:tc>
          <w:tcPr>
            <w:tcW w:w="548" w:type="dxa"/>
            <w:vAlign w:val="center"/>
          </w:tcPr>
          <w:p w14:paraId="7119DEBD" w14:textId="6FF2D064"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552</w:t>
            </w:r>
          </w:p>
        </w:tc>
        <w:tc>
          <w:tcPr>
            <w:tcW w:w="850" w:type="dxa"/>
            <w:shd w:val="clear" w:color="auto" w:fill="auto"/>
            <w:noWrap/>
            <w:vAlign w:val="center"/>
          </w:tcPr>
          <w:p w14:paraId="2F2D2E43" w14:textId="60C7EE9D" w:rsidR="00A338EF" w:rsidRPr="001D4F0F" w:rsidRDefault="00A338EF" w:rsidP="007E68E6">
            <w:pPr>
              <w:jc w:val="center"/>
              <w:rPr>
                <w:rFonts w:eastAsia="Times New Roman"/>
                <w:sz w:val="16"/>
                <w:szCs w:val="16"/>
                <w:lang w:eastAsia="hr-HR"/>
              </w:rPr>
            </w:pPr>
            <w:r w:rsidRPr="001D4F0F">
              <w:rPr>
                <w:rFonts w:eastAsia="Times New Roman"/>
                <w:sz w:val="16"/>
                <w:szCs w:val="16"/>
                <w:lang w:eastAsia="hr-HR"/>
              </w:rPr>
              <w:t>18.029</w:t>
            </w:r>
          </w:p>
        </w:tc>
        <w:tc>
          <w:tcPr>
            <w:tcW w:w="709" w:type="dxa"/>
            <w:vAlign w:val="center"/>
          </w:tcPr>
          <w:p w14:paraId="6480CBD3" w14:textId="22631A30" w:rsidR="00A338EF" w:rsidRPr="001D4F0F" w:rsidRDefault="00A338EF" w:rsidP="00A338EF">
            <w:pPr>
              <w:jc w:val="left"/>
              <w:rPr>
                <w:rFonts w:eastAsia="Times New Roman"/>
                <w:sz w:val="16"/>
                <w:szCs w:val="16"/>
                <w:lang w:eastAsia="hr-HR"/>
              </w:rPr>
            </w:pPr>
            <w:r w:rsidRPr="001D4F0F">
              <w:rPr>
                <w:rFonts w:eastAsia="Times New Roman"/>
                <w:sz w:val="16"/>
                <w:szCs w:val="16"/>
                <w:lang w:eastAsia="hr-HR"/>
              </w:rPr>
              <w:t>1.097</w:t>
            </w:r>
          </w:p>
        </w:tc>
        <w:tc>
          <w:tcPr>
            <w:tcW w:w="808" w:type="dxa"/>
            <w:shd w:val="clear" w:color="auto" w:fill="auto"/>
            <w:noWrap/>
            <w:vAlign w:val="center"/>
          </w:tcPr>
          <w:p w14:paraId="73549C6D" w14:textId="6A0BC7B5" w:rsidR="00A338EF" w:rsidRPr="001D4F0F" w:rsidRDefault="00C134AD" w:rsidP="007E68E6">
            <w:pPr>
              <w:jc w:val="center"/>
              <w:rPr>
                <w:rFonts w:eastAsia="Times New Roman"/>
                <w:sz w:val="16"/>
                <w:szCs w:val="16"/>
                <w:lang w:eastAsia="hr-HR"/>
              </w:rPr>
            </w:pPr>
            <w:r w:rsidRPr="001D4F0F">
              <w:rPr>
                <w:rFonts w:eastAsia="Times New Roman"/>
                <w:sz w:val="16"/>
                <w:szCs w:val="16"/>
                <w:lang w:eastAsia="hr-HR"/>
              </w:rPr>
              <w:t>34.921</w:t>
            </w:r>
          </w:p>
        </w:tc>
      </w:tr>
    </w:tbl>
    <w:p w14:paraId="069D7960" w14:textId="77777777" w:rsidR="00C20DBB" w:rsidRPr="001B4CA2" w:rsidRDefault="00C20DBB" w:rsidP="00385480"/>
    <w:p w14:paraId="57F3F0C2" w14:textId="5F5750E9" w:rsidR="00C134AD" w:rsidRPr="001B4CA2" w:rsidRDefault="00C134AD" w:rsidP="00C134AD">
      <w:pPr>
        <w:ind w:firstLine="708"/>
      </w:pPr>
      <w:r w:rsidRPr="001B4CA2">
        <w:t>Tijekom 2022. godine doneseno je presuda s kaznenim nalogom u odnosu na 4314 osoba, što je za 250 presuda ili 5,8</w:t>
      </w:r>
      <w:r w:rsidR="00A23A60">
        <w:t> </w:t>
      </w:r>
      <w:r w:rsidRPr="001B4CA2">
        <w:t>% više u odnosu na 2021. godinu. Kako se radi o presudama protiv kojih nije podnesen prigovor, one su time postale pravomoćne. Navedeni podatci pokazuju kako primjena instituta kaznenog naloga bitno skraćuje postupke i doprinosi učinkovitosti i ekonomičnosti postupka, pa stoga pozitivnim ocjenjujemo povećanje broja donesenih presuda s kaznenim nalogom u izvještajnom razdoblju</w:t>
      </w:r>
      <w:r w:rsidR="00A23A60">
        <w:t>.</w:t>
      </w:r>
    </w:p>
    <w:p w14:paraId="44682B9A" w14:textId="77777777" w:rsidR="00C134AD" w:rsidRPr="001B4CA2" w:rsidRDefault="00C134AD" w:rsidP="00C134AD"/>
    <w:p w14:paraId="6B5D86B6" w14:textId="52A0EFA1" w:rsidR="00C134AD" w:rsidRPr="001B4CA2" w:rsidRDefault="00C134AD" w:rsidP="00C134AD">
      <w:pPr>
        <w:ind w:firstLine="708"/>
      </w:pPr>
      <w:r w:rsidRPr="001B4CA2">
        <w:t>Tijekom 2022. godine povodom podignutih optužnica općinski su sudovi donijeli odluke u odnosu na 18.029 osoba, što je 136 odluka ili 0,76</w:t>
      </w:r>
      <w:r w:rsidR="00A23A60">
        <w:t> </w:t>
      </w:r>
      <w:r w:rsidRPr="001B4CA2">
        <w:t>% više nego 2021. godine.</w:t>
      </w:r>
    </w:p>
    <w:p w14:paraId="7E05F72A" w14:textId="77777777" w:rsidR="00C134AD" w:rsidRPr="001B4CA2" w:rsidRDefault="00C134AD" w:rsidP="00C134AD"/>
    <w:p w14:paraId="45E7FA9F" w14:textId="0315DD71" w:rsidR="00C134AD" w:rsidRPr="001B4CA2" w:rsidRDefault="00C134AD" w:rsidP="00C134AD">
      <w:pPr>
        <w:ind w:firstLine="708"/>
      </w:pPr>
      <w:r w:rsidRPr="001B4CA2">
        <w:t>Od ukupno 18.029 donesenih odluka, najveći je broj osuđujućih presuda</w:t>
      </w:r>
      <w:r w:rsidR="00A23A60">
        <w:t>,</w:t>
      </w:r>
      <w:r w:rsidRPr="001B4CA2">
        <w:t xml:space="preserve"> i to 14.538 ili 80,63 % svih donesenih odluka, čime je zadržana visoka razina uspješnosti optuženja.</w:t>
      </w:r>
    </w:p>
    <w:p w14:paraId="6F86830B" w14:textId="77777777" w:rsidR="00C134AD" w:rsidRPr="001B4CA2" w:rsidRDefault="00C134AD" w:rsidP="00C134AD"/>
    <w:p w14:paraId="165E42AC" w14:textId="22AA351C" w:rsidR="00C134AD" w:rsidRPr="001B4CA2" w:rsidRDefault="00C134AD" w:rsidP="00C134AD">
      <w:pPr>
        <w:ind w:firstLine="708"/>
      </w:pPr>
      <w:r w:rsidRPr="001B4CA2">
        <w:t>Oslobađajuće presude donesene su u odnosu na 1240 osoba</w:t>
      </w:r>
      <w:r w:rsidR="001B4CA2">
        <w:t xml:space="preserve"> </w:t>
      </w:r>
      <w:r w:rsidRPr="001B4CA2">
        <w:t>ili 6,87 %, odbijajuće presude u odnosu na 552 osobe ili 3,06</w:t>
      </w:r>
      <w:r w:rsidR="00A23A60">
        <w:t> </w:t>
      </w:r>
      <w:r w:rsidRPr="001B4CA2">
        <w:t>%, dok je u odnosu na 552 osobe ili 3,06</w:t>
      </w:r>
      <w:r w:rsidR="00A23A60">
        <w:t> </w:t>
      </w:r>
      <w:r w:rsidRPr="001B4CA2">
        <w:t>% postupak obustavljen nakon potvrđivanja optužnice.</w:t>
      </w:r>
    </w:p>
    <w:p w14:paraId="393075C2" w14:textId="77777777" w:rsidR="00C134AD" w:rsidRPr="001B4CA2" w:rsidRDefault="00C134AD" w:rsidP="00C134AD"/>
    <w:p w14:paraId="132272F0" w14:textId="190652FB" w:rsidR="00C134AD" w:rsidRPr="001B4CA2" w:rsidRDefault="00C134AD" w:rsidP="00C134AD">
      <w:pPr>
        <w:ind w:firstLine="708"/>
      </w:pPr>
      <w:r w:rsidRPr="001B4CA2">
        <w:t>U odnosu na 191 osobu ili 1,06</w:t>
      </w:r>
      <w:r w:rsidR="00A23A60">
        <w:t> </w:t>
      </w:r>
      <w:r w:rsidRPr="001B4CA2">
        <w:t>% donesena je presuda u postupcima prema neubrojivim osobama. Za počinjeno protupravno djelo u stanju neubrojivosti okrivljenicima je u skladu s odredbama Zakona o kaznenom postupku i Zakona o zaštiti osoba s duševnim smetnjama određen prisilni smještaj ili psihijatrijsko liječenje na slobodi.</w:t>
      </w:r>
    </w:p>
    <w:p w14:paraId="2BA02466" w14:textId="77777777" w:rsidR="00C134AD" w:rsidRPr="001B4CA2" w:rsidRDefault="00C134AD" w:rsidP="00C134AD"/>
    <w:p w14:paraId="39A13446" w14:textId="77777777" w:rsidR="00C134AD" w:rsidRPr="001B4CA2" w:rsidRDefault="00C134AD" w:rsidP="00C134AD">
      <w:pPr>
        <w:ind w:firstLine="708"/>
      </w:pPr>
      <w:r w:rsidRPr="001B4CA2">
        <w:lastRenderedPageBreak/>
        <w:t>Struktura donesenih vrsta odluka ne pokazuje značajnija odstupanja u odnosu na prethodno izvještajno razdoblje.</w:t>
      </w:r>
    </w:p>
    <w:p w14:paraId="785F2563" w14:textId="77777777" w:rsidR="00C134AD" w:rsidRPr="001B4CA2" w:rsidRDefault="00C134AD" w:rsidP="00C134AD"/>
    <w:p w14:paraId="752A3D80" w14:textId="59D960A0" w:rsidR="00C134AD" w:rsidRPr="001B4CA2" w:rsidRDefault="00C134AD" w:rsidP="00C134AD">
      <w:pPr>
        <w:ind w:firstLine="708"/>
      </w:pPr>
      <w:r w:rsidRPr="001B4CA2">
        <w:t>Tijekom izvještajne godine doneseno je i 318 presuda po sporazumu stranaka, iz čega proizlazi da ove presude sudjeluju u ukupnom broju osuđujućih presuda s 2,19</w:t>
      </w:r>
      <w:r w:rsidR="00A23A60">
        <w:t> </w:t>
      </w:r>
      <w:r w:rsidRPr="001B4CA2">
        <w:t>% te je došlo do neznatnog porasta od 0,62</w:t>
      </w:r>
      <w:r w:rsidR="00A23A60">
        <w:t> </w:t>
      </w:r>
      <w:r w:rsidRPr="001B4CA2">
        <w:t>% u odnosu na 2021. godinu. Iako iz prikazanih podataka proizlazi da se broj ovako donesenih presuda kontinuirano povećava kroz promatrano razdoblje, ipak taj broj još uvijek cijenimo nedostatnim, jer se radi o pravnom institutu kojim se u značajnoj mjeri skraćuje sudski postupak i rasterećuju sudovi. Među značajnijim razlozima takvog stanja nalazi se i preblaga kaznena politika sudova, zbog čega okrivljenici i njihovi branitelji prilikom iniciranja sporazumijevanja predlažu i očekuju nerealno niske kaznene sankcije računajući da u sudskom postupku mogu očekivati relativno blage sankcije u vidu zatvorskih kazni odmjerenih bliže zakonom propisanom minimumu, uvjetnu osudu ili rad za opće dobro.</w:t>
      </w:r>
    </w:p>
    <w:p w14:paraId="70863F20" w14:textId="77777777" w:rsidR="00C134AD" w:rsidRPr="001B4CA2" w:rsidRDefault="00C134AD" w:rsidP="00C134AD"/>
    <w:p w14:paraId="6930908E" w14:textId="19D7D538" w:rsidR="00C134AD" w:rsidRPr="001B4CA2" w:rsidRDefault="00C134AD" w:rsidP="00C134AD">
      <w:pPr>
        <w:ind w:firstLine="708"/>
      </w:pPr>
      <w:r w:rsidRPr="001B4CA2">
        <w:t>Tijekom postupka sporazumijevanja državna odvjetništva inzistiraju na kaznenim sankcijama primjerenijim počinjenim kaznenim djelima i njihovoj težini te se uzima u obzir i spremnost okrivljenika da vrati protupravno stečenu imovinsku korist, odnosno da nadoknadi štetu pričinjenu žrtvi i oštećeniku. Iz tih razloga prijedlozi sankcija koje tijekom procesa sporazumijevanja državna odvjetništva smatraju odgovarajućim u pravilu nisu prihvatljivi okrivljenicima i braniteljima zbog čega ne dolazi do sporazumijevanja pa navedeni institut nije zastupljen u dovoljnoj mjeri.</w:t>
      </w:r>
    </w:p>
    <w:p w14:paraId="6B30195E" w14:textId="77777777" w:rsidR="00C134AD" w:rsidRPr="001B4CA2" w:rsidRDefault="00C134AD" w:rsidP="00C134AD"/>
    <w:p w14:paraId="2F4A1DB7" w14:textId="035CCAAC" w:rsidR="00C134AD" w:rsidRPr="001B4CA2" w:rsidRDefault="00C134AD" w:rsidP="00C134AD">
      <w:pPr>
        <w:ind w:firstLine="708"/>
      </w:pPr>
      <w:r w:rsidRPr="001B4CA2">
        <w:t>Posebnu kategoriju presuda predstavljaju presude prema osobama koje su protupravno djelo počinile u stanju neubrojivosti, a takvih presuda u ovom izvještajnom razdoblju doneseno je prema 191 osobi ili 1,06</w:t>
      </w:r>
      <w:r w:rsidR="00A23A60">
        <w:t> </w:t>
      </w:r>
      <w:r w:rsidRPr="001B4CA2">
        <w:t xml:space="preserve">%. </w:t>
      </w:r>
    </w:p>
    <w:p w14:paraId="4962C4FB" w14:textId="77777777" w:rsidR="00C134AD" w:rsidRPr="001B4CA2" w:rsidRDefault="00C134AD" w:rsidP="00C134AD"/>
    <w:p w14:paraId="6D2BA04E" w14:textId="081B89AF" w:rsidR="00C134AD" w:rsidRPr="001B4CA2" w:rsidRDefault="00C134AD" w:rsidP="00C134AD">
      <w:pPr>
        <w:ind w:firstLine="708"/>
      </w:pPr>
      <w:r w:rsidRPr="001B4CA2">
        <w:t>Struktura prvostupanjskih odluka u odnosu na ranija izvještajna razdoblja u bitnom je nepromijenjena što se tiče osuđujućih, oslobađajućih i odbijajućih odluka, s time da kao i ranijih godina izostaje primjena instituta sporazumijevanja u značajnijem broju zbog, u pravilu</w:t>
      </w:r>
      <w:r w:rsidR="00A23A60">
        <w:t>,</w:t>
      </w:r>
      <w:r w:rsidRPr="001B4CA2">
        <w:t xml:space="preserve"> istih razloga koji se pokazuju iz godine u godinu, a tiču se nerealnih očekivanja okrivljenika i branitelja vezano za prijedloge sankcija te očekivanja blage kaznene politike sudova.</w:t>
      </w:r>
    </w:p>
    <w:p w14:paraId="32A483AD" w14:textId="77777777" w:rsidR="00885BB0" w:rsidRPr="001B4CA2" w:rsidRDefault="00885BB0" w:rsidP="00385480"/>
    <w:p w14:paraId="3876FDF3" w14:textId="77777777" w:rsidR="00542189" w:rsidRPr="001B4CA2" w:rsidRDefault="00CE234E" w:rsidP="00BF508A">
      <w:pPr>
        <w:pStyle w:val="Naslov4"/>
        <w:tabs>
          <w:tab w:val="left" w:pos="993"/>
        </w:tabs>
        <w:rPr>
          <w:rFonts w:ascii="Arial" w:hAnsi="Arial" w:cs="Arial"/>
        </w:rPr>
      </w:pPr>
      <w:bookmarkStart w:id="57" w:name="_Toc133394317"/>
      <w:r w:rsidRPr="001B4CA2">
        <w:rPr>
          <w:rFonts w:ascii="Arial" w:hAnsi="Arial" w:cs="Arial"/>
        </w:rPr>
        <w:t>Kaznene sankcije</w:t>
      </w:r>
      <w:bookmarkEnd w:id="57"/>
    </w:p>
    <w:p w14:paraId="6C4954BE" w14:textId="77777777" w:rsidR="00DD66FC" w:rsidRPr="001B4CA2" w:rsidRDefault="00DD66FC" w:rsidP="00DD66FC"/>
    <w:p w14:paraId="1E8EAD42" w14:textId="77777777" w:rsidR="00C134AD" w:rsidRPr="001B4CA2" w:rsidRDefault="00C134AD" w:rsidP="00C134AD">
      <w:pPr>
        <w:ind w:firstLine="708"/>
      </w:pPr>
      <w:r w:rsidRPr="001B4CA2">
        <w:t>Tijekom 2022. godine općinska državna odvjetništva zaprimila su ukupno osuđujućih presuda u odnosu na 14.538 osoba.</w:t>
      </w:r>
    </w:p>
    <w:p w14:paraId="62998608" w14:textId="77777777" w:rsidR="00C134AD" w:rsidRPr="001B4CA2" w:rsidRDefault="00C134AD" w:rsidP="00C134AD"/>
    <w:p w14:paraId="36B7BE91" w14:textId="17444F28" w:rsidR="00C134AD" w:rsidRPr="001B4CA2" w:rsidRDefault="00C134AD" w:rsidP="00C134AD">
      <w:pPr>
        <w:ind w:firstLine="708"/>
      </w:pPr>
      <w:r w:rsidRPr="001B4CA2">
        <w:t>Broj osuđujućih presuda kao i vrste izrečenih kaznenih sankcija vidljiv je iz sljedeće tablice:</w:t>
      </w:r>
    </w:p>
    <w:p w14:paraId="329D5CEA" w14:textId="5A025D5D" w:rsidR="00373B2A" w:rsidRPr="001B4CA2" w:rsidRDefault="00373B2A" w:rsidP="00C134AD">
      <w:pPr>
        <w:ind w:firstLine="708"/>
      </w:pPr>
    </w:p>
    <w:p w14:paraId="27C4A941" w14:textId="3E9DEEBE" w:rsidR="00373B2A" w:rsidRPr="001B4CA2" w:rsidRDefault="00373B2A" w:rsidP="00C134AD">
      <w:pPr>
        <w:ind w:firstLine="708"/>
      </w:pPr>
    </w:p>
    <w:p w14:paraId="4BDCB77B" w14:textId="6D77B5F5" w:rsidR="00373B2A" w:rsidRPr="001B4CA2" w:rsidRDefault="00373B2A" w:rsidP="00C134AD">
      <w:pPr>
        <w:ind w:firstLine="708"/>
      </w:pPr>
    </w:p>
    <w:p w14:paraId="248C74C3" w14:textId="3B6820F3" w:rsidR="00373B2A" w:rsidRPr="001B4CA2" w:rsidRDefault="00373B2A" w:rsidP="00C134AD">
      <w:pPr>
        <w:ind w:firstLine="708"/>
      </w:pPr>
    </w:p>
    <w:p w14:paraId="24C4E864" w14:textId="3113FD33" w:rsidR="00373B2A" w:rsidRPr="001B4CA2" w:rsidRDefault="00373B2A" w:rsidP="00C134AD">
      <w:pPr>
        <w:ind w:firstLine="708"/>
      </w:pPr>
    </w:p>
    <w:p w14:paraId="66E56232" w14:textId="77777777" w:rsidR="00373B2A" w:rsidRPr="001B4CA2" w:rsidRDefault="00373B2A" w:rsidP="00C134AD">
      <w:pPr>
        <w:ind w:firstLine="708"/>
      </w:pPr>
    </w:p>
    <w:p w14:paraId="42169C77" w14:textId="77777777" w:rsidR="00C134AD" w:rsidRPr="001B4CA2" w:rsidRDefault="00C134AD" w:rsidP="00C134AD"/>
    <w:p w14:paraId="29E18587" w14:textId="417AFBD3" w:rsidR="00C134AD" w:rsidRPr="001B4CA2" w:rsidRDefault="00C134AD" w:rsidP="00C134AD">
      <w:pPr>
        <w:rPr>
          <w:i/>
        </w:rPr>
      </w:pPr>
      <w:r w:rsidRPr="001B4CA2">
        <w:rPr>
          <w:i/>
        </w:rPr>
        <w:lastRenderedPageBreak/>
        <w:t>Broj i vrsta izrečenih kazni (bez maloljetnih osoba)</w:t>
      </w:r>
    </w:p>
    <w:tbl>
      <w:tblPr>
        <w:tblStyle w:val="Reetkatablice38"/>
        <w:tblW w:w="9574" w:type="dxa"/>
        <w:jc w:val="center"/>
        <w:tblLayout w:type="fixed"/>
        <w:tblLook w:val="04A0" w:firstRow="1" w:lastRow="0" w:firstColumn="1" w:lastColumn="0" w:noHBand="0" w:noVBand="1"/>
      </w:tblPr>
      <w:tblGrid>
        <w:gridCol w:w="704"/>
        <w:gridCol w:w="808"/>
        <w:gridCol w:w="714"/>
        <w:gridCol w:w="714"/>
        <w:gridCol w:w="850"/>
        <w:gridCol w:w="624"/>
        <w:gridCol w:w="807"/>
        <w:gridCol w:w="417"/>
        <w:gridCol w:w="676"/>
        <w:gridCol w:w="425"/>
        <w:gridCol w:w="600"/>
        <w:gridCol w:w="534"/>
        <w:gridCol w:w="850"/>
        <w:gridCol w:w="851"/>
      </w:tblGrid>
      <w:tr w:rsidR="00C134AD" w:rsidRPr="001B4CA2" w14:paraId="6D09D47C" w14:textId="77777777" w:rsidTr="00C134AD">
        <w:trPr>
          <w:cantSplit/>
          <w:trHeight w:val="1708"/>
          <w:jc w:val="center"/>
        </w:trPr>
        <w:tc>
          <w:tcPr>
            <w:tcW w:w="704" w:type="dxa"/>
            <w:shd w:val="clear" w:color="auto" w:fill="99CCFF"/>
            <w:textDirection w:val="btLr"/>
            <w:vAlign w:val="center"/>
          </w:tcPr>
          <w:p w14:paraId="4BCC5001" w14:textId="77777777" w:rsidR="00C134AD" w:rsidRPr="001D4F0F" w:rsidRDefault="00C134AD" w:rsidP="004C3A47">
            <w:pPr>
              <w:suppressLineNumbers/>
              <w:ind w:left="113" w:right="113"/>
              <w:jc w:val="left"/>
              <w:rPr>
                <w:rFonts w:eastAsia="Calibri"/>
                <w:b/>
                <w:sz w:val="18"/>
                <w:szCs w:val="18"/>
              </w:rPr>
            </w:pPr>
            <w:r w:rsidRPr="001D4F0F">
              <w:rPr>
                <w:rFonts w:eastAsia="Calibri"/>
                <w:b/>
                <w:sz w:val="18"/>
                <w:szCs w:val="18"/>
              </w:rPr>
              <w:t>Godina</w:t>
            </w:r>
          </w:p>
        </w:tc>
        <w:tc>
          <w:tcPr>
            <w:tcW w:w="808" w:type="dxa"/>
            <w:shd w:val="clear" w:color="auto" w:fill="99CCFF"/>
            <w:textDirection w:val="btLr"/>
            <w:vAlign w:val="bottom"/>
          </w:tcPr>
          <w:p w14:paraId="78260689" w14:textId="77777777" w:rsidR="00C134AD" w:rsidRPr="001D4F0F" w:rsidRDefault="00C134AD" w:rsidP="004C3A47">
            <w:pPr>
              <w:suppressLineNumbers/>
              <w:ind w:left="113" w:right="113"/>
              <w:jc w:val="left"/>
              <w:rPr>
                <w:rFonts w:eastAsia="Calibri"/>
                <w:b/>
                <w:sz w:val="18"/>
                <w:szCs w:val="18"/>
              </w:rPr>
            </w:pPr>
            <w:r w:rsidRPr="001D4F0F">
              <w:rPr>
                <w:rFonts w:eastAsia="Calibri"/>
                <w:b/>
                <w:sz w:val="18"/>
                <w:szCs w:val="18"/>
              </w:rPr>
              <w:t>Osuđujuća presuda</w:t>
            </w:r>
          </w:p>
        </w:tc>
        <w:tc>
          <w:tcPr>
            <w:tcW w:w="714" w:type="dxa"/>
            <w:shd w:val="clear" w:color="auto" w:fill="99CCFF"/>
            <w:textDirection w:val="btLr"/>
            <w:vAlign w:val="bottom"/>
          </w:tcPr>
          <w:p w14:paraId="65D59D3E" w14:textId="77777777" w:rsidR="00C134AD" w:rsidRPr="001D4F0F" w:rsidRDefault="00C134AD" w:rsidP="004C3A47">
            <w:pPr>
              <w:suppressLineNumbers/>
              <w:ind w:left="113" w:right="113"/>
              <w:jc w:val="left"/>
              <w:rPr>
                <w:rFonts w:eastAsia="Calibri"/>
                <w:b/>
                <w:sz w:val="18"/>
                <w:szCs w:val="18"/>
              </w:rPr>
            </w:pPr>
            <w:r w:rsidRPr="001D4F0F">
              <w:rPr>
                <w:rFonts w:eastAsia="Calibri"/>
                <w:b/>
                <w:sz w:val="18"/>
                <w:szCs w:val="18"/>
              </w:rPr>
              <w:t>Zatvor</w:t>
            </w:r>
          </w:p>
        </w:tc>
        <w:tc>
          <w:tcPr>
            <w:tcW w:w="714" w:type="dxa"/>
            <w:shd w:val="clear" w:color="auto" w:fill="99CCFF"/>
            <w:textDirection w:val="btLr"/>
            <w:vAlign w:val="bottom"/>
          </w:tcPr>
          <w:p w14:paraId="4EFE4DE1" w14:textId="77777777" w:rsidR="00C134AD" w:rsidRPr="001D4F0F" w:rsidRDefault="00C134AD" w:rsidP="004C3A47">
            <w:pPr>
              <w:suppressLineNumbers/>
              <w:ind w:left="113" w:right="113"/>
              <w:jc w:val="left"/>
              <w:rPr>
                <w:rFonts w:eastAsia="Calibri"/>
                <w:b/>
                <w:sz w:val="18"/>
                <w:szCs w:val="18"/>
              </w:rPr>
            </w:pPr>
            <w:r w:rsidRPr="001D4F0F">
              <w:rPr>
                <w:rFonts w:eastAsia="Calibri"/>
                <w:b/>
                <w:sz w:val="18"/>
                <w:szCs w:val="18"/>
              </w:rPr>
              <w:t>Od toga dugotrajni zatvor</w:t>
            </w:r>
          </w:p>
        </w:tc>
        <w:tc>
          <w:tcPr>
            <w:tcW w:w="850" w:type="dxa"/>
            <w:shd w:val="clear" w:color="auto" w:fill="99CCFF"/>
            <w:textDirection w:val="btLr"/>
            <w:vAlign w:val="bottom"/>
          </w:tcPr>
          <w:p w14:paraId="0CFEA255" w14:textId="77777777" w:rsidR="00C134AD" w:rsidRPr="001D4F0F" w:rsidRDefault="00C134AD" w:rsidP="004C3A47">
            <w:pPr>
              <w:suppressLineNumbers/>
              <w:ind w:left="113" w:right="113"/>
              <w:jc w:val="left"/>
              <w:rPr>
                <w:rFonts w:eastAsia="Calibri"/>
                <w:b/>
                <w:sz w:val="18"/>
                <w:szCs w:val="18"/>
              </w:rPr>
            </w:pPr>
            <w:r w:rsidRPr="001D4F0F">
              <w:rPr>
                <w:rFonts w:eastAsia="Calibri"/>
                <w:b/>
                <w:sz w:val="18"/>
                <w:szCs w:val="18"/>
              </w:rPr>
              <w:t>Od toga rad za opće dobro</w:t>
            </w:r>
          </w:p>
        </w:tc>
        <w:tc>
          <w:tcPr>
            <w:tcW w:w="624" w:type="dxa"/>
            <w:shd w:val="clear" w:color="auto" w:fill="99CCFF"/>
            <w:textDirection w:val="btLr"/>
            <w:vAlign w:val="bottom"/>
          </w:tcPr>
          <w:p w14:paraId="1FA65872" w14:textId="77777777" w:rsidR="00C134AD" w:rsidRPr="001D4F0F" w:rsidRDefault="00C134AD" w:rsidP="004C3A47">
            <w:pPr>
              <w:suppressLineNumbers/>
              <w:ind w:left="113" w:right="113"/>
              <w:jc w:val="left"/>
              <w:rPr>
                <w:rFonts w:eastAsia="Calibri"/>
                <w:b/>
                <w:sz w:val="18"/>
                <w:szCs w:val="18"/>
              </w:rPr>
            </w:pPr>
            <w:r w:rsidRPr="001D4F0F">
              <w:rPr>
                <w:rFonts w:eastAsia="Calibri"/>
                <w:b/>
                <w:sz w:val="18"/>
                <w:szCs w:val="18"/>
              </w:rPr>
              <w:t>Novčana kazna</w:t>
            </w:r>
          </w:p>
        </w:tc>
        <w:tc>
          <w:tcPr>
            <w:tcW w:w="807" w:type="dxa"/>
            <w:shd w:val="clear" w:color="auto" w:fill="99CCFF"/>
            <w:textDirection w:val="btLr"/>
            <w:vAlign w:val="bottom"/>
          </w:tcPr>
          <w:p w14:paraId="4B9BBE6B" w14:textId="77777777" w:rsidR="00C134AD" w:rsidRPr="001D4F0F" w:rsidRDefault="00C134AD" w:rsidP="004C3A47">
            <w:pPr>
              <w:suppressLineNumbers/>
              <w:ind w:left="113" w:right="113"/>
              <w:jc w:val="left"/>
              <w:rPr>
                <w:rFonts w:eastAsia="Calibri"/>
                <w:b/>
                <w:sz w:val="18"/>
                <w:szCs w:val="18"/>
              </w:rPr>
            </w:pPr>
            <w:r w:rsidRPr="001D4F0F">
              <w:rPr>
                <w:rFonts w:eastAsia="Calibri"/>
                <w:b/>
                <w:sz w:val="18"/>
                <w:szCs w:val="18"/>
              </w:rPr>
              <w:t>Uvjetna osuda</w:t>
            </w:r>
          </w:p>
        </w:tc>
        <w:tc>
          <w:tcPr>
            <w:tcW w:w="417" w:type="dxa"/>
            <w:shd w:val="clear" w:color="auto" w:fill="99CCFF"/>
            <w:textDirection w:val="btLr"/>
            <w:vAlign w:val="bottom"/>
          </w:tcPr>
          <w:p w14:paraId="30E4E0C5" w14:textId="77777777" w:rsidR="00C134AD" w:rsidRPr="001D4F0F" w:rsidRDefault="00C134AD" w:rsidP="004C3A47">
            <w:pPr>
              <w:suppressLineNumbers/>
              <w:ind w:left="113" w:right="113"/>
              <w:jc w:val="left"/>
              <w:rPr>
                <w:rFonts w:eastAsia="Calibri"/>
                <w:b/>
                <w:sz w:val="18"/>
                <w:szCs w:val="18"/>
              </w:rPr>
            </w:pPr>
            <w:r w:rsidRPr="001D4F0F">
              <w:rPr>
                <w:rFonts w:eastAsia="Calibri"/>
                <w:b/>
                <w:sz w:val="18"/>
                <w:szCs w:val="18"/>
              </w:rPr>
              <w:t>Sudska opomena</w:t>
            </w:r>
          </w:p>
        </w:tc>
        <w:tc>
          <w:tcPr>
            <w:tcW w:w="676" w:type="dxa"/>
            <w:shd w:val="clear" w:color="auto" w:fill="99CCFF"/>
            <w:textDirection w:val="btLr"/>
            <w:vAlign w:val="bottom"/>
          </w:tcPr>
          <w:p w14:paraId="578FAD7F" w14:textId="77777777" w:rsidR="00C134AD" w:rsidRPr="001D4F0F" w:rsidRDefault="00C134AD" w:rsidP="004C3A47">
            <w:pPr>
              <w:suppressLineNumbers/>
              <w:ind w:left="113" w:right="113"/>
              <w:jc w:val="left"/>
              <w:rPr>
                <w:rFonts w:eastAsia="Calibri"/>
                <w:b/>
                <w:sz w:val="18"/>
                <w:szCs w:val="18"/>
              </w:rPr>
            </w:pPr>
            <w:r w:rsidRPr="001D4F0F">
              <w:rPr>
                <w:rFonts w:eastAsia="Calibri"/>
                <w:b/>
                <w:sz w:val="18"/>
                <w:szCs w:val="18"/>
              </w:rPr>
              <w:t>Prestanak pravne osobe</w:t>
            </w:r>
          </w:p>
        </w:tc>
        <w:tc>
          <w:tcPr>
            <w:tcW w:w="425" w:type="dxa"/>
            <w:shd w:val="clear" w:color="auto" w:fill="99CCFF"/>
            <w:textDirection w:val="btLr"/>
            <w:vAlign w:val="bottom"/>
          </w:tcPr>
          <w:p w14:paraId="3DFFC95D" w14:textId="77777777" w:rsidR="00C134AD" w:rsidRPr="001D4F0F" w:rsidRDefault="00C134AD" w:rsidP="004C3A47">
            <w:pPr>
              <w:suppressLineNumbers/>
              <w:ind w:left="113" w:right="113"/>
              <w:jc w:val="left"/>
              <w:rPr>
                <w:rFonts w:eastAsia="Calibri"/>
                <w:b/>
                <w:sz w:val="18"/>
                <w:szCs w:val="18"/>
              </w:rPr>
            </w:pPr>
            <w:r w:rsidRPr="001D4F0F">
              <w:rPr>
                <w:rFonts w:eastAsia="Calibri"/>
                <w:b/>
                <w:sz w:val="18"/>
                <w:szCs w:val="18"/>
              </w:rPr>
              <w:t>Maloljetničke sankcije</w:t>
            </w:r>
          </w:p>
        </w:tc>
        <w:tc>
          <w:tcPr>
            <w:tcW w:w="600" w:type="dxa"/>
            <w:shd w:val="clear" w:color="auto" w:fill="99CCFF"/>
            <w:textDirection w:val="btLr"/>
            <w:vAlign w:val="bottom"/>
          </w:tcPr>
          <w:p w14:paraId="18DCC1AA" w14:textId="77777777" w:rsidR="00C134AD" w:rsidRPr="001D4F0F" w:rsidRDefault="00C134AD" w:rsidP="004C3A47">
            <w:pPr>
              <w:suppressLineNumbers/>
              <w:ind w:left="113" w:right="113"/>
              <w:jc w:val="left"/>
              <w:rPr>
                <w:rFonts w:eastAsia="Calibri"/>
                <w:b/>
                <w:sz w:val="18"/>
                <w:szCs w:val="18"/>
              </w:rPr>
            </w:pPr>
            <w:r w:rsidRPr="001D4F0F">
              <w:rPr>
                <w:rFonts w:eastAsia="Calibri"/>
                <w:b/>
                <w:sz w:val="18"/>
                <w:szCs w:val="18"/>
              </w:rPr>
              <w:t>Oslobođeno od kazne</w:t>
            </w:r>
          </w:p>
        </w:tc>
        <w:tc>
          <w:tcPr>
            <w:tcW w:w="534" w:type="dxa"/>
            <w:shd w:val="clear" w:color="auto" w:fill="99CCFF"/>
            <w:textDirection w:val="btLr"/>
            <w:vAlign w:val="bottom"/>
          </w:tcPr>
          <w:p w14:paraId="67FE582B" w14:textId="77777777" w:rsidR="00C134AD" w:rsidRPr="001D4F0F" w:rsidRDefault="00C134AD" w:rsidP="004C3A47">
            <w:pPr>
              <w:suppressLineNumbers/>
              <w:ind w:left="113" w:right="113"/>
              <w:jc w:val="left"/>
              <w:rPr>
                <w:rFonts w:eastAsia="Calibri"/>
                <w:b/>
                <w:sz w:val="18"/>
                <w:szCs w:val="18"/>
              </w:rPr>
            </w:pPr>
            <w:r w:rsidRPr="001D4F0F">
              <w:rPr>
                <w:rFonts w:eastAsia="Calibri"/>
                <w:b/>
                <w:sz w:val="18"/>
                <w:szCs w:val="18"/>
              </w:rPr>
              <w:t>Ostalo</w:t>
            </w:r>
          </w:p>
        </w:tc>
        <w:tc>
          <w:tcPr>
            <w:tcW w:w="850" w:type="dxa"/>
            <w:shd w:val="clear" w:color="auto" w:fill="99CCFF"/>
            <w:textDirection w:val="btLr"/>
            <w:vAlign w:val="bottom"/>
          </w:tcPr>
          <w:p w14:paraId="2389596B" w14:textId="77777777" w:rsidR="00C134AD" w:rsidRPr="001D4F0F" w:rsidRDefault="00C134AD" w:rsidP="004C3A47">
            <w:pPr>
              <w:suppressLineNumbers/>
              <w:ind w:left="113" w:right="113"/>
              <w:jc w:val="left"/>
              <w:rPr>
                <w:rFonts w:eastAsia="Calibri"/>
                <w:b/>
                <w:sz w:val="18"/>
                <w:szCs w:val="18"/>
              </w:rPr>
            </w:pPr>
            <w:r w:rsidRPr="001D4F0F">
              <w:rPr>
                <w:rFonts w:eastAsia="Calibri"/>
                <w:b/>
                <w:sz w:val="18"/>
                <w:szCs w:val="18"/>
              </w:rPr>
              <w:t>Ukupno sankcija</w:t>
            </w:r>
          </w:p>
        </w:tc>
        <w:tc>
          <w:tcPr>
            <w:tcW w:w="851" w:type="dxa"/>
            <w:shd w:val="clear" w:color="auto" w:fill="99CCFF"/>
            <w:textDirection w:val="btLr"/>
            <w:vAlign w:val="bottom"/>
          </w:tcPr>
          <w:p w14:paraId="673811A5" w14:textId="77777777" w:rsidR="00C134AD" w:rsidRPr="001D4F0F" w:rsidRDefault="00C134AD" w:rsidP="004C3A47">
            <w:pPr>
              <w:suppressLineNumbers/>
              <w:ind w:left="113" w:right="113"/>
              <w:jc w:val="left"/>
              <w:rPr>
                <w:rFonts w:eastAsia="Calibri"/>
                <w:b/>
                <w:sz w:val="18"/>
                <w:szCs w:val="18"/>
              </w:rPr>
            </w:pPr>
            <w:r w:rsidRPr="001D4F0F">
              <w:rPr>
                <w:b/>
                <w:bCs/>
                <w:color w:val="000000"/>
                <w:sz w:val="18"/>
                <w:szCs w:val="18"/>
              </w:rPr>
              <w:t>Ukupno sankcija</w:t>
            </w:r>
          </w:p>
        </w:tc>
      </w:tr>
      <w:tr w:rsidR="00C134AD" w:rsidRPr="001B4CA2" w14:paraId="18F917E1" w14:textId="77777777" w:rsidTr="00C134AD">
        <w:trPr>
          <w:trHeight w:val="248"/>
          <w:jc w:val="center"/>
        </w:trPr>
        <w:tc>
          <w:tcPr>
            <w:tcW w:w="704" w:type="dxa"/>
            <w:shd w:val="clear" w:color="auto" w:fill="auto"/>
            <w:vAlign w:val="center"/>
          </w:tcPr>
          <w:p w14:paraId="2D298851" w14:textId="77777777" w:rsidR="00C134AD" w:rsidRPr="001D4F0F" w:rsidRDefault="00C134AD" w:rsidP="002A38E7">
            <w:pPr>
              <w:suppressLineNumbers/>
              <w:jc w:val="center"/>
              <w:rPr>
                <w:rFonts w:eastAsia="Calibri"/>
                <w:sz w:val="18"/>
                <w:szCs w:val="18"/>
              </w:rPr>
            </w:pPr>
            <w:r w:rsidRPr="001D4F0F">
              <w:rPr>
                <w:rFonts w:eastAsia="Calibri"/>
                <w:sz w:val="18"/>
                <w:szCs w:val="18"/>
              </w:rPr>
              <w:t>2018.</w:t>
            </w:r>
          </w:p>
        </w:tc>
        <w:tc>
          <w:tcPr>
            <w:tcW w:w="808" w:type="dxa"/>
            <w:shd w:val="clear" w:color="auto" w:fill="auto"/>
            <w:vAlign w:val="center"/>
          </w:tcPr>
          <w:p w14:paraId="2D5F5B3A"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13.432</w:t>
            </w:r>
          </w:p>
        </w:tc>
        <w:tc>
          <w:tcPr>
            <w:tcW w:w="714" w:type="dxa"/>
            <w:shd w:val="clear" w:color="auto" w:fill="auto"/>
            <w:vAlign w:val="center"/>
          </w:tcPr>
          <w:p w14:paraId="3E3B84B4"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1.752</w:t>
            </w:r>
          </w:p>
        </w:tc>
        <w:tc>
          <w:tcPr>
            <w:tcW w:w="714" w:type="dxa"/>
            <w:shd w:val="clear" w:color="auto" w:fill="auto"/>
            <w:vAlign w:val="center"/>
          </w:tcPr>
          <w:p w14:paraId="0C5ED5EB"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850" w:type="dxa"/>
            <w:vAlign w:val="center"/>
          </w:tcPr>
          <w:p w14:paraId="2D415AC2"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1.009</w:t>
            </w:r>
          </w:p>
        </w:tc>
        <w:tc>
          <w:tcPr>
            <w:tcW w:w="624" w:type="dxa"/>
            <w:vAlign w:val="center"/>
          </w:tcPr>
          <w:p w14:paraId="3F439BC5"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268</w:t>
            </w:r>
          </w:p>
        </w:tc>
        <w:tc>
          <w:tcPr>
            <w:tcW w:w="807" w:type="dxa"/>
            <w:shd w:val="clear" w:color="auto" w:fill="auto"/>
            <w:vAlign w:val="center"/>
          </w:tcPr>
          <w:p w14:paraId="1FBB9F7F"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10.291</w:t>
            </w:r>
          </w:p>
        </w:tc>
        <w:tc>
          <w:tcPr>
            <w:tcW w:w="417" w:type="dxa"/>
            <w:vAlign w:val="center"/>
          </w:tcPr>
          <w:p w14:paraId="7BE29730"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676" w:type="dxa"/>
            <w:shd w:val="clear" w:color="auto" w:fill="auto"/>
            <w:vAlign w:val="center"/>
          </w:tcPr>
          <w:p w14:paraId="3ECEF44A"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425" w:type="dxa"/>
            <w:shd w:val="clear" w:color="auto" w:fill="auto"/>
            <w:vAlign w:val="center"/>
          </w:tcPr>
          <w:p w14:paraId="247E8B6F"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600" w:type="dxa"/>
            <w:shd w:val="clear" w:color="auto" w:fill="auto"/>
            <w:vAlign w:val="center"/>
          </w:tcPr>
          <w:p w14:paraId="25B7DEEB"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534" w:type="dxa"/>
            <w:shd w:val="clear" w:color="auto" w:fill="auto"/>
            <w:vAlign w:val="center"/>
          </w:tcPr>
          <w:p w14:paraId="19EF9CB0"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112</w:t>
            </w:r>
          </w:p>
        </w:tc>
        <w:tc>
          <w:tcPr>
            <w:tcW w:w="850" w:type="dxa"/>
            <w:vAlign w:val="center"/>
          </w:tcPr>
          <w:p w14:paraId="185AD213"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851" w:type="dxa"/>
            <w:vAlign w:val="center"/>
          </w:tcPr>
          <w:p w14:paraId="6F39D6FA"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 </w:t>
            </w:r>
          </w:p>
        </w:tc>
      </w:tr>
      <w:tr w:rsidR="00C134AD" w:rsidRPr="001B4CA2" w14:paraId="07779326" w14:textId="77777777" w:rsidTr="00C134AD">
        <w:trPr>
          <w:trHeight w:val="248"/>
          <w:jc w:val="center"/>
        </w:trPr>
        <w:tc>
          <w:tcPr>
            <w:tcW w:w="704" w:type="dxa"/>
            <w:shd w:val="clear" w:color="auto" w:fill="auto"/>
            <w:vAlign w:val="center"/>
          </w:tcPr>
          <w:p w14:paraId="2715CB50" w14:textId="77777777" w:rsidR="00C134AD" w:rsidRPr="001D4F0F" w:rsidRDefault="00C134AD" w:rsidP="002A38E7">
            <w:pPr>
              <w:suppressLineNumbers/>
              <w:jc w:val="center"/>
              <w:rPr>
                <w:rFonts w:eastAsia="Calibri"/>
                <w:sz w:val="18"/>
                <w:szCs w:val="18"/>
              </w:rPr>
            </w:pPr>
            <w:r w:rsidRPr="001D4F0F">
              <w:rPr>
                <w:rFonts w:eastAsia="Calibri"/>
                <w:sz w:val="18"/>
                <w:szCs w:val="18"/>
              </w:rPr>
              <w:t>2019.</w:t>
            </w:r>
          </w:p>
        </w:tc>
        <w:tc>
          <w:tcPr>
            <w:tcW w:w="808" w:type="dxa"/>
            <w:shd w:val="clear" w:color="auto" w:fill="auto"/>
            <w:vAlign w:val="center"/>
          </w:tcPr>
          <w:p w14:paraId="0A2574DD"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14.190</w:t>
            </w:r>
          </w:p>
        </w:tc>
        <w:tc>
          <w:tcPr>
            <w:tcW w:w="714" w:type="dxa"/>
            <w:shd w:val="clear" w:color="auto" w:fill="auto"/>
            <w:vAlign w:val="center"/>
          </w:tcPr>
          <w:p w14:paraId="5A00E99F"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2.109</w:t>
            </w:r>
          </w:p>
        </w:tc>
        <w:tc>
          <w:tcPr>
            <w:tcW w:w="714" w:type="dxa"/>
            <w:shd w:val="clear" w:color="auto" w:fill="auto"/>
            <w:vAlign w:val="center"/>
          </w:tcPr>
          <w:p w14:paraId="700F6076"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850" w:type="dxa"/>
            <w:vAlign w:val="center"/>
          </w:tcPr>
          <w:p w14:paraId="18F477B2"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939</w:t>
            </w:r>
          </w:p>
        </w:tc>
        <w:tc>
          <w:tcPr>
            <w:tcW w:w="624" w:type="dxa"/>
            <w:vAlign w:val="center"/>
          </w:tcPr>
          <w:p w14:paraId="75A09FA2"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350</w:t>
            </w:r>
          </w:p>
        </w:tc>
        <w:tc>
          <w:tcPr>
            <w:tcW w:w="807" w:type="dxa"/>
            <w:shd w:val="clear" w:color="auto" w:fill="auto"/>
            <w:vAlign w:val="center"/>
          </w:tcPr>
          <w:p w14:paraId="2E18FDFE"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10.672</w:t>
            </w:r>
          </w:p>
        </w:tc>
        <w:tc>
          <w:tcPr>
            <w:tcW w:w="417" w:type="dxa"/>
            <w:vAlign w:val="center"/>
          </w:tcPr>
          <w:p w14:paraId="0FD4C1BB"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676" w:type="dxa"/>
            <w:shd w:val="clear" w:color="auto" w:fill="auto"/>
            <w:vAlign w:val="center"/>
          </w:tcPr>
          <w:p w14:paraId="7018EF35"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425" w:type="dxa"/>
            <w:shd w:val="clear" w:color="auto" w:fill="auto"/>
            <w:vAlign w:val="center"/>
          </w:tcPr>
          <w:p w14:paraId="079DC103"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600" w:type="dxa"/>
            <w:shd w:val="clear" w:color="auto" w:fill="auto"/>
            <w:vAlign w:val="center"/>
          </w:tcPr>
          <w:p w14:paraId="4A025433"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534" w:type="dxa"/>
            <w:shd w:val="clear" w:color="auto" w:fill="auto"/>
            <w:vAlign w:val="center"/>
          </w:tcPr>
          <w:p w14:paraId="566506A3"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120</w:t>
            </w:r>
          </w:p>
        </w:tc>
        <w:tc>
          <w:tcPr>
            <w:tcW w:w="850" w:type="dxa"/>
            <w:vAlign w:val="center"/>
          </w:tcPr>
          <w:p w14:paraId="7CBC7A72"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851" w:type="dxa"/>
            <w:vAlign w:val="center"/>
          </w:tcPr>
          <w:p w14:paraId="65B26272"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 </w:t>
            </w:r>
          </w:p>
        </w:tc>
      </w:tr>
      <w:tr w:rsidR="00C134AD" w:rsidRPr="001B4CA2" w14:paraId="3D71C7B1" w14:textId="77777777" w:rsidTr="00C134AD">
        <w:trPr>
          <w:trHeight w:val="248"/>
          <w:jc w:val="center"/>
        </w:trPr>
        <w:tc>
          <w:tcPr>
            <w:tcW w:w="704" w:type="dxa"/>
            <w:shd w:val="clear" w:color="auto" w:fill="auto"/>
            <w:vAlign w:val="center"/>
          </w:tcPr>
          <w:p w14:paraId="1154C338" w14:textId="77777777" w:rsidR="00C134AD" w:rsidRPr="001D4F0F" w:rsidRDefault="00C134AD" w:rsidP="002A38E7">
            <w:pPr>
              <w:suppressLineNumbers/>
              <w:jc w:val="center"/>
              <w:rPr>
                <w:rFonts w:eastAsia="Calibri"/>
                <w:sz w:val="18"/>
                <w:szCs w:val="18"/>
              </w:rPr>
            </w:pPr>
            <w:r w:rsidRPr="001D4F0F">
              <w:rPr>
                <w:rFonts w:eastAsia="Calibri"/>
                <w:sz w:val="18"/>
                <w:szCs w:val="18"/>
              </w:rPr>
              <w:t>2020.</w:t>
            </w:r>
          </w:p>
        </w:tc>
        <w:tc>
          <w:tcPr>
            <w:tcW w:w="808" w:type="dxa"/>
            <w:shd w:val="clear" w:color="auto" w:fill="auto"/>
            <w:vAlign w:val="center"/>
          </w:tcPr>
          <w:p w14:paraId="7BD1E779"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14.596</w:t>
            </w:r>
          </w:p>
        </w:tc>
        <w:tc>
          <w:tcPr>
            <w:tcW w:w="714" w:type="dxa"/>
            <w:shd w:val="clear" w:color="auto" w:fill="auto"/>
            <w:vAlign w:val="center"/>
          </w:tcPr>
          <w:p w14:paraId="3EAA0CA3"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3.607</w:t>
            </w:r>
          </w:p>
        </w:tc>
        <w:tc>
          <w:tcPr>
            <w:tcW w:w="714" w:type="dxa"/>
            <w:shd w:val="clear" w:color="auto" w:fill="auto"/>
            <w:vAlign w:val="center"/>
          </w:tcPr>
          <w:p w14:paraId="1CB39079"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850" w:type="dxa"/>
            <w:vAlign w:val="center"/>
          </w:tcPr>
          <w:p w14:paraId="2FBA41D5"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639</w:t>
            </w:r>
          </w:p>
        </w:tc>
        <w:tc>
          <w:tcPr>
            <w:tcW w:w="624" w:type="dxa"/>
            <w:vAlign w:val="center"/>
          </w:tcPr>
          <w:p w14:paraId="177C53FC"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352</w:t>
            </w:r>
          </w:p>
        </w:tc>
        <w:tc>
          <w:tcPr>
            <w:tcW w:w="807" w:type="dxa"/>
            <w:shd w:val="clear" w:color="auto" w:fill="auto"/>
            <w:vAlign w:val="center"/>
          </w:tcPr>
          <w:p w14:paraId="17AEA897"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10.632</w:t>
            </w:r>
          </w:p>
        </w:tc>
        <w:tc>
          <w:tcPr>
            <w:tcW w:w="417" w:type="dxa"/>
            <w:vAlign w:val="center"/>
          </w:tcPr>
          <w:p w14:paraId="22866B9E"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676" w:type="dxa"/>
            <w:shd w:val="clear" w:color="auto" w:fill="auto"/>
            <w:vAlign w:val="center"/>
          </w:tcPr>
          <w:p w14:paraId="19DB602C"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425" w:type="dxa"/>
            <w:shd w:val="clear" w:color="auto" w:fill="auto"/>
            <w:vAlign w:val="center"/>
          </w:tcPr>
          <w:p w14:paraId="10052E50"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600" w:type="dxa"/>
            <w:shd w:val="clear" w:color="auto" w:fill="auto"/>
            <w:vAlign w:val="center"/>
          </w:tcPr>
          <w:p w14:paraId="31CE5AA0"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6</w:t>
            </w:r>
          </w:p>
        </w:tc>
        <w:tc>
          <w:tcPr>
            <w:tcW w:w="534" w:type="dxa"/>
            <w:shd w:val="clear" w:color="auto" w:fill="auto"/>
            <w:vAlign w:val="center"/>
          </w:tcPr>
          <w:p w14:paraId="5477825E"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23</w:t>
            </w:r>
          </w:p>
        </w:tc>
        <w:tc>
          <w:tcPr>
            <w:tcW w:w="850" w:type="dxa"/>
            <w:vAlign w:val="center"/>
          </w:tcPr>
          <w:p w14:paraId="07D12C9D"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14.597</w:t>
            </w:r>
          </w:p>
        </w:tc>
        <w:tc>
          <w:tcPr>
            <w:tcW w:w="851" w:type="dxa"/>
            <w:vAlign w:val="center"/>
          </w:tcPr>
          <w:p w14:paraId="7EA93C0D"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14.597</w:t>
            </w:r>
          </w:p>
        </w:tc>
      </w:tr>
      <w:tr w:rsidR="00C134AD" w:rsidRPr="001B4CA2" w14:paraId="353164AE" w14:textId="77777777" w:rsidTr="00C134AD">
        <w:trPr>
          <w:trHeight w:val="248"/>
          <w:jc w:val="center"/>
        </w:trPr>
        <w:tc>
          <w:tcPr>
            <w:tcW w:w="704" w:type="dxa"/>
            <w:shd w:val="clear" w:color="auto" w:fill="auto"/>
            <w:vAlign w:val="center"/>
          </w:tcPr>
          <w:p w14:paraId="5106ACA3" w14:textId="77777777" w:rsidR="00C134AD" w:rsidRPr="001D4F0F" w:rsidRDefault="00C134AD" w:rsidP="002A38E7">
            <w:pPr>
              <w:suppressLineNumbers/>
              <w:jc w:val="center"/>
              <w:rPr>
                <w:rFonts w:eastAsia="Calibri"/>
                <w:sz w:val="18"/>
                <w:szCs w:val="18"/>
              </w:rPr>
            </w:pPr>
            <w:r w:rsidRPr="001D4F0F">
              <w:rPr>
                <w:rFonts w:eastAsia="Calibri"/>
                <w:sz w:val="18"/>
                <w:szCs w:val="18"/>
              </w:rPr>
              <w:t>2021.</w:t>
            </w:r>
          </w:p>
        </w:tc>
        <w:tc>
          <w:tcPr>
            <w:tcW w:w="808" w:type="dxa"/>
            <w:shd w:val="clear" w:color="auto" w:fill="auto"/>
            <w:vAlign w:val="center"/>
          </w:tcPr>
          <w:p w14:paraId="0819D32B"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15.401</w:t>
            </w:r>
          </w:p>
        </w:tc>
        <w:tc>
          <w:tcPr>
            <w:tcW w:w="714" w:type="dxa"/>
            <w:shd w:val="clear" w:color="auto" w:fill="auto"/>
            <w:vAlign w:val="center"/>
          </w:tcPr>
          <w:p w14:paraId="61C6C5F3"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3.504</w:t>
            </w:r>
          </w:p>
        </w:tc>
        <w:tc>
          <w:tcPr>
            <w:tcW w:w="714" w:type="dxa"/>
            <w:shd w:val="clear" w:color="auto" w:fill="auto"/>
            <w:vAlign w:val="center"/>
          </w:tcPr>
          <w:p w14:paraId="21A4F75C"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850" w:type="dxa"/>
            <w:vAlign w:val="center"/>
          </w:tcPr>
          <w:p w14:paraId="50B25678"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718</w:t>
            </w:r>
          </w:p>
        </w:tc>
        <w:tc>
          <w:tcPr>
            <w:tcW w:w="624" w:type="dxa"/>
            <w:vAlign w:val="center"/>
          </w:tcPr>
          <w:p w14:paraId="64AC0F76"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382</w:t>
            </w:r>
          </w:p>
        </w:tc>
        <w:tc>
          <w:tcPr>
            <w:tcW w:w="807" w:type="dxa"/>
            <w:shd w:val="clear" w:color="auto" w:fill="auto"/>
            <w:vAlign w:val="center"/>
          </w:tcPr>
          <w:p w14:paraId="37DA01DA"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11.474</w:t>
            </w:r>
          </w:p>
        </w:tc>
        <w:tc>
          <w:tcPr>
            <w:tcW w:w="417" w:type="dxa"/>
            <w:vAlign w:val="center"/>
          </w:tcPr>
          <w:p w14:paraId="4185D5D2"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676" w:type="dxa"/>
            <w:shd w:val="clear" w:color="auto" w:fill="auto"/>
            <w:vAlign w:val="center"/>
          </w:tcPr>
          <w:p w14:paraId="4668BA05"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425" w:type="dxa"/>
            <w:shd w:val="clear" w:color="auto" w:fill="auto"/>
            <w:vAlign w:val="center"/>
          </w:tcPr>
          <w:p w14:paraId="3AB53EC3"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36</w:t>
            </w:r>
          </w:p>
        </w:tc>
        <w:tc>
          <w:tcPr>
            <w:tcW w:w="600" w:type="dxa"/>
            <w:shd w:val="clear" w:color="auto" w:fill="auto"/>
            <w:vAlign w:val="center"/>
          </w:tcPr>
          <w:p w14:paraId="56359CB9"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5</w:t>
            </w:r>
          </w:p>
        </w:tc>
        <w:tc>
          <w:tcPr>
            <w:tcW w:w="534" w:type="dxa"/>
            <w:shd w:val="clear" w:color="auto" w:fill="auto"/>
            <w:vAlign w:val="center"/>
          </w:tcPr>
          <w:p w14:paraId="61CA55E6" w14:textId="77777777" w:rsidR="00C134AD" w:rsidRPr="001D4F0F" w:rsidRDefault="00C134AD" w:rsidP="002A38E7">
            <w:pPr>
              <w:suppressLineNumbers/>
              <w:jc w:val="center"/>
              <w:rPr>
                <w:rFonts w:asciiTheme="majorHAnsi" w:eastAsia="Calibri" w:hAnsiTheme="majorHAnsi" w:cstheme="majorHAnsi"/>
                <w:sz w:val="18"/>
                <w:szCs w:val="18"/>
              </w:rPr>
            </w:pPr>
          </w:p>
        </w:tc>
        <w:tc>
          <w:tcPr>
            <w:tcW w:w="850" w:type="dxa"/>
            <w:vAlign w:val="center"/>
          </w:tcPr>
          <w:p w14:paraId="2A4E3997"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eastAsia="Calibri" w:hAnsiTheme="majorHAnsi" w:cstheme="majorHAnsi"/>
                <w:sz w:val="18"/>
                <w:szCs w:val="18"/>
              </w:rPr>
              <w:t>15.401</w:t>
            </w:r>
          </w:p>
        </w:tc>
        <w:tc>
          <w:tcPr>
            <w:tcW w:w="851" w:type="dxa"/>
            <w:vAlign w:val="center"/>
          </w:tcPr>
          <w:p w14:paraId="160411F3"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15.401</w:t>
            </w:r>
          </w:p>
        </w:tc>
      </w:tr>
      <w:tr w:rsidR="00C134AD" w:rsidRPr="001B4CA2" w14:paraId="27F2CB4B" w14:textId="77777777" w:rsidTr="00C134AD">
        <w:trPr>
          <w:trHeight w:val="248"/>
          <w:jc w:val="center"/>
        </w:trPr>
        <w:tc>
          <w:tcPr>
            <w:tcW w:w="704" w:type="dxa"/>
            <w:shd w:val="clear" w:color="auto" w:fill="auto"/>
            <w:vAlign w:val="center"/>
          </w:tcPr>
          <w:p w14:paraId="42F0330A" w14:textId="77777777" w:rsidR="00C134AD" w:rsidRPr="001D4F0F" w:rsidRDefault="00C134AD" w:rsidP="002A38E7">
            <w:pPr>
              <w:suppressLineNumbers/>
              <w:jc w:val="center"/>
              <w:rPr>
                <w:rFonts w:eastAsia="Calibri"/>
                <w:sz w:val="18"/>
                <w:szCs w:val="18"/>
              </w:rPr>
            </w:pPr>
            <w:r w:rsidRPr="001D4F0F">
              <w:rPr>
                <w:color w:val="000000"/>
                <w:sz w:val="18"/>
                <w:szCs w:val="18"/>
              </w:rPr>
              <w:t>2022.</w:t>
            </w:r>
          </w:p>
        </w:tc>
        <w:tc>
          <w:tcPr>
            <w:tcW w:w="808" w:type="dxa"/>
            <w:shd w:val="clear" w:color="auto" w:fill="auto"/>
            <w:vAlign w:val="center"/>
          </w:tcPr>
          <w:p w14:paraId="13E2D995"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14.538</w:t>
            </w:r>
          </w:p>
        </w:tc>
        <w:tc>
          <w:tcPr>
            <w:tcW w:w="714" w:type="dxa"/>
            <w:shd w:val="clear" w:color="auto" w:fill="auto"/>
            <w:vAlign w:val="center"/>
          </w:tcPr>
          <w:p w14:paraId="00C1DF88"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3.356</w:t>
            </w:r>
          </w:p>
        </w:tc>
        <w:tc>
          <w:tcPr>
            <w:tcW w:w="714" w:type="dxa"/>
            <w:shd w:val="clear" w:color="auto" w:fill="auto"/>
            <w:vAlign w:val="center"/>
          </w:tcPr>
          <w:p w14:paraId="28A912F0"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 </w:t>
            </w:r>
          </w:p>
        </w:tc>
        <w:tc>
          <w:tcPr>
            <w:tcW w:w="850" w:type="dxa"/>
            <w:vAlign w:val="center"/>
          </w:tcPr>
          <w:p w14:paraId="7948534F"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746</w:t>
            </w:r>
          </w:p>
        </w:tc>
        <w:tc>
          <w:tcPr>
            <w:tcW w:w="624" w:type="dxa"/>
            <w:vAlign w:val="center"/>
          </w:tcPr>
          <w:p w14:paraId="66B0E609"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215</w:t>
            </w:r>
          </w:p>
        </w:tc>
        <w:tc>
          <w:tcPr>
            <w:tcW w:w="807" w:type="dxa"/>
            <w:shd w:val="clear" w:color="auto" w:fill="auto"/>
            <w:vAlign w:val="center"/>
          </w:tcPr>
          <w:p w14:paraId="2B75D1E5"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10.913</w:t>
            </w:r>
          </w:p>
        </w:tc>
        <w:tc>
          <w:tcPr>
            <w:tcW w:w="417" w:type="dxa"/>
            <w:vAlign w:val="center"/>
          </w:tcPr>
          <w:p w14:paraId="620203DF"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 </w:t>
            </w:r>
          </w:p>
        </w:tc>
        <w:tc>
          <w:tcPr>
            <w:tcW w:w="676" w:type="dxa"/>
            <w:shd w:val="clear" w:color="auto" w:fill="auto"/>
            <w:vAlign w:val="center"/>
          </w:tcPr>
          <w:p w14:paraId="025B7F5F"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 </w:t>
            </w:r>
          </w:p>
        </w:tc>
        <w:tc>
          <w:tcPr>
            <w:tcW w:w="425" w:type="dxa"/>
            <w:shd w:val="clear" w:color="auto" w:fill="auto"/>
            <w:vAlign w:val="center"/>
          </w:tcPr>
          <w:p w14:paraId="0B320E92"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46</w:t>
            </w:r>
          </w:p>
        </w:tc>
        <w:tc>
          <w:tcPr>
            <w:tcW w:w="600" w:type="dxa"/>
            <w:shd w:val="clear" w:color="auto" w:fill="auto"/>
            <w:vAlign w:val="center"/>
          </w:tcPr>
          <w:p w14:paraId="1A65AD38"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 </w:t>
            </w:r>
          </w:p>
        </w:tc>
        <w:tc>
          <w:tcPr>
            <w:tcW w:w="534" w:type="dxa"/>
            <w:shd w:val="clear" w:color="auto" w:fill="auto"/>
            <w:vAlign w:val="center"/>
          </w:tcPr>
          <w:p w14:paraId="49B2EDF6"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8</w:t>
            </w:r>
          </w:p>
        </w:tc>
        <w:tc>
          <w:tcPr>
            <w:tcW w:w="850" w:type="dxa"/>
            <w:vAlign w:val="center"/>
          </w:tcPr>
          <w:p w14:paraId="705FE2E6" w14:textId="77777777" w:rsidR="00C134AD" w:rsidRPr="001D4F0F" w:rsidRDefault="00C134AD" w:rsidP="002A38E7">
            <w:pPr>
              <w:suppressLineNumbers/>
              <w:jc w:val="center"/>
              <w:rPr>
                <w:rFonts w:asciiTheme="majorHAnsi" w:eastAsia="Calibri" w:hAnsiTheme="majorHAnsi" w:cstheme="majorHAnsi"/>
                <w:sz w:val="18"/>
                <w:szCs w:val="18"/>
              </w:rPr>
            </w:pPr>
            <w:r w:rsidRPr="001D4F0F">
              <w:rPr>
                <w:rFonts w:asciiTheme="majorHAnsi" w:hAnsiTheme="majorHAnsi" w:cstheme="majorHAnsi"/>
                <w:color w:val="000000"/>
                <w:sz w:val="18"/>
                <w:szCs w:val="18"/>
              </w:rPr>
              <w:t> </w:t>
            </w:r>
          </w:p>
        </w:tc>
        <w:tc>
          <w:tcPr>
            <w:tcW w:w="851" w:type="dxa"/>
            <w:vAlign w:val="center"/>
          </w:tcPr>
          <w:p w14:paraId="299082B3" w14:textId="77777777" w:rsidR="00C134AD" w:rsidRPr="001D4F0F" w:rsidRDefault="00C134AD" w:rsidP="002A38E7">
            <w:pPr>
              <w:suppressLineNumbers/>
              <w:jc w:val="center"/>
              <w:rPr>
                <w:rFonts w:asciiTheme="majorHAnsi" w:hAnsiTheme="majorHAnsi" w:cstheme="majorHAnsi"/>
                <w:color w:val="000000"/>
                <w:sz w:val="18"/>
                <w:szCs w:val="18"/>
              </w:rPr>
            </w:pPr>
            <w:r w:rsidRPr="001D4F0F">
              <w:rPr>
                <w:rFonts w:asciiTheme="majorHAnsi" w:hAnsiTheme="majorHAnsi" w:cstheme="majorHAnsi"/>
                <w:color w:val="000000"/>
                <w:sz w:val="18"/>
                <w:szCs w:val="18"/>
              </w:rPr>
              <w:t>14.538</w:t>
            </w:r>
          </w:p>
        </w:tc>
      </w:tr>
    </w:tbl>
    <w:p w14:paraId="286DD3EA" w14:textId="77777777" w:rsidR="00C134AD" w:rsidRPr="001B4CA2" w:rsidRDefault="00C134AD" w:rsidP="00C134AD"/>
    <w:p w14:paraId="18677F6B" w14:textId="262A8528" w:rsidR="00C134AD" w:rsidRPr="001B4CA2" w:rsidRDefault="00C134AD" w:rsidP="00C134AD">
      <w:pPr>
        <w:ind w:firstLine="708"/>
      </w:pPr>
      <w:r w:rsidRPr="001B4CA2">
        <w:t>Iz strukture izrečenih kaznenih sankcija vidljivo je da je na kaznu zatvora presuđeno 3.356 osoba ili 23,08</w:t>
      </w:r>
      <w:r w:rsidR="00A23A60">
        <w:t> </w:t>
      </w:r>
      <w:r w:rsidRPr="001B4CA2">
        <w:t>%. Od tog broja, 746 izrečenih kazni zatvora ili 22,22</w:t>
      </w:r>
      <w:r w:rsidR="00A23A60">
        <w:t> </w:t>
      </w:r>
      <w:r w:rsidRPr="001B4CA2">
        <w:t>% zamijenjeno je radom za opće dobro.</w:t>
      </w:r>
    </w:p>
    <w:p w14:paraId="558FE351" w14:textId="77777777" w:rsidR="00C134AD" w:rsidRPr="001B4CA2" w:rsidRDefault="00C134AD" w:rsidP="00C134AD">
      <w:pPr>
        <w:ind w:firstLine="708"/>
      </w:pPr>
    </w:p>
    <w:p w14:paraId="0C108427" w14:textId="48432553" w:rsidR="00C134AD" w:rsidRPr="001B4CA2" w:rsidRDefault="00C134AD" w:rsidP="00C134AD">
      <w:pPr>
        <w:ind w:firstLine="708"/>
      </w:pPr>
      <w:r w:rsidRPr="001B4CA2">
        <w:t>Izrečeno je 215 novčanih kazni ili 1,47</w:t>
      </w:r>
      <w:r w:rsidR="00A23A60">
        <w:t> </w:t>
      </w:r>
      <w:r w:rsidRPr="001B4CA2">
        <w:t>%, što prema 2021. godini predstavlja značajno smanjenje broja izrečenih novčanih kazni, koje se ionako nedovoljno izriču za kaznena djela kod kojih dolazi u obzir njihova primjena.</w:t>
      </w:r>
    </w:p>
    <w:p w14:paraId="70AA8AF5" w14:textId="77777777" w:rsidR="00C134AD" w:rsidRPr="001B4CA2" w:rsidRDefault="00C134AD" w:rsidP="00C134AD">
      <w:pPr>
        <w:ind w:firstLine="708"/>
      </w:pPr>
    </w:p>
    <w:p w14:paraId="59A1BB15" w14:textId="5E6AA6B9" w:rsidR="00C134AD" w:rsidRPr="001B4CA2" w:rsidRDefault="00C134AD" w:rsidP="00C134AD">
      <w:pPr>
        <w:ind w:firstLine="708"/>
      </w:pPr>
      <w:r w:rsidRPr="001B4CA2">
        <w:t xml:space="preserve"> Među osuđujućim presudama najzastupljenija je </w:t>
      </w:r>
      <w:r w:rsidR="00A23A60" w:rsidRPr="001B4CA2">
        <w:t xml:space="preserve">sankcija </w:t>
      </w:r>
      <w:r w:rsidRPr="001B4CA2">
        <w:t>uvjetna osuda</w:t>
      </w:r>
      <w:r w:rsidR="001B4CA2">
        <w:t xml:space="preserve"> </w:t>
      </w:r>
      <w:r w:rsidRPr="001B4CA2">
        <w:t>koja je izrečena prema 10.913 osoba ili 75,06</w:t>
      </w:r>
      <w:r w:rsidR="00A23A60">
        <w:t> </w:t>
      </w:r>
      <w:r w:rsidRPr="001B4CA2">
        <w:t xml:space="preserve">%. Visok udio presuda s primijenjenom uvjetnom osudom uobičajen je kod kaznenih djela iz nadležnosti općinskih sudova i na razini je višegodišnjeg prosjeka. </w:t>
      </w:r>
    </w:p>
    <w:p w14:paraId="2C930BFE" w14:textId="77777777" w:rsidR="00C134AD" w:rsidRPr="001B4CA2" w:rsidRDefault="00C134AD" w:rsidP="00C134AD"/>
    <w:p w14:paraId="203FD050" w14:textId="13035782" w:rsidR="00C134AD" w:rsidRPr="001B4CA2" w:rsidRDefault="00C134AD" w:rsidP="00C134AD">
      <w:pPr>
        <w:ind w:firstLine="708"/>
      </w:pPr>
      <w:r w:rsidRPr="001B4CA2">
        <w:t>Zaključno valja istaknuti kako struktura izrečenih sankcija ne pokazuje značajnija odstupanja u odnosu na prethodna izvještajna razdoblja, s time da je blago povećan udio zamjene zatvorskih kazni radom za opće dobro</w:t>
      </w:r>
      <w:r w:rsidR="00FD08E9">
        <w:t xml:space="preserve"> s </w:t>
      </w:r>
      <w:r w:rsidRPr="001B4CA2">
        <w:t>20,49</w:t>
      </w:r>
      <w:r w:rsidR="00A23A60">
        <w:t> </w:t>
      </w:r>
      <w:r w:rsidRPr="001B4CA2">
        <w:t>% u 2021. godini na 22,22</w:t>
      </w:r>
      <w:r w:rsidR="00A23A60">
        <w:t> </w:t>
      </w:r>
      <w:r w:rsidRPr="001B4CA2">
        <w:t xml:space="preserve">% u ovom izvještajnom razdoblju. Stoga i dalje valja ustrajati na podnošenju žalbi zbog blage politike kažnjavanja jer je iz gornje tablice vidljivo kako je ustrajnost u podnošenju takvih žalbi, u vremenu od 2017. do 2021. godine rezultiralo gotovo udvostručenjem broja izrečenih bezuvjetnih zatvorskih kazni, a sve s ciljem </w:t>
      </w:r>
      <w:proofErr w:type="spellStart"/>
      <w:r w:rsidRPr="001B4CA2">
        <w:t>postrožavanja</w:t>
      </w:r>
      <w:proofErr w:type="spellEnd"/>
      <w:r w:rsidRPr="001B4CA2">
        <w:t xml:space="preserve"> kaznene politike kako bi kaznene sankcije u cijelosti ostvarile zakonom propisanu svrhu postizanja specijalne i generalne prevencije.</w:t>
      </w:r>
    </w:p>
    <w:p w14:paraId="4B275A03" w14:textId="77777777" w:rsidR="00C134AD" w:rsidRPr="001B4CA2" w:rsidRDefault="00C134AD" w:rsidP="00C134AD"/>
    <w:p w14:paraId="3FB513D6" w14:textId="77777777" w:rsidR="00C134AD" w:rsidRPr="001B4CA2" w:rsidRDefault="00C134AD" w:rsidP="00C134AD">
      <w:pPr>
        <w:ind w:left="142"/>
        <w:rPr>
          <w:i/>
        </w:rPr>
      </w:pPr>
      <w:r w:rsidRPr="001B4CA2">
        <w:rPr>
          <w:i/>
        </w:rPr>
        <w:t>Broj izrečenih sigurnosnih mjera</w:t>
      </w:r>
    </w:p>
    <w:tbl>
      <w:tblPr>
        <w:tblStyle w:val="Reetkatablice381"/>
        <w:tblW w:w="8953" w:type="dxa"/>
        <w:jc w:val="center"/>
        <w:tblLook w:val="04A0" w:firstRow="1" w:lastRow="0" w:firstColumn="1" w:lastColumn="0" w:noHBand="0" w:noVBand="1"/>
      </w:tblPr>
      <w:tblGrid>
        <w:gridCol w:w="837"/>
        <w:gridCol w:w="1282"/>
        <w:gridCol w:w="1501"/>
        <w:gridCol w:w="1451"/>
        <w:gridCol w:w="1463"/>
        <w:gridCol w:w="1465"/>
        <w:gridCol w:w="954"/>
      </w:tblGrid>
      <w:tr w:rsidR="00C134AD" w:rsidRPr="001B4CA2" w14:paraId="35F459B3" w14:textId="77777777" w:rsidTr="003E79A0">
        <w:trPr>
          <w:trHeight w:val="1245"/>
          <w:jc w:val="center"/>
        </w:trPr>
        <w:tc>
          <w:tcPr>
            <w:tcW w:w="674" w:type="dxa"/>
            <w:shd w:val="clear" w:color="auto" w:fill="99CCFF"/>
            <w:vAlign w:val="center"/>
          </w:tcPr>
          <w:p w14:paraId="20C6BE0E" w14:textId="77777777" w:rsidR="00C134AD" w:rsidRPr="001B4CA2" w:rsidRDefault="00C134AD" w:rsidP="002A38E7">
            <w:pPr>
              <w:suppressLineNumbers/>
              <w:jc w:val="center"/>
              <w:rPr>
                <w:rFonts w:eastAsia="Calibri"/>
                <w:b/>
                <w:sz w:val="18"/>
                <w:szCs w:val="18"/>
              </w:rPr>
            </w:pPr>
            <w:r w:rsidRPr="001B4CA2">
              <w:rPr>
                <w:rFonts w:eastAsia="Calibri"/>
                <w:b/>
                <w:sz w:val="18"/>
                <w:szCs w:val="18"/>
              </w:rPr>
              <w:t>Godina</w:t>
            </w:r>
          </w:p>
        </w:tc>
        <w:tc>
          <w:tcPr>
            <w:tcW w:w="1313" w:type="dxa"/>
            <w:shd w:val="clear" w:color="auto" w:fill="99CCFF"/>
            <w:vAlign w:val="center"/>
          </w:tcPr>
          <w:p w14:paraId="0375D33D" w14:textId="77777777" w:rsidR="00C134AD" w:rsidRPr="001B4CA2" w:rsidRDefault="00C134AD" w:rsidP="002A38E7">
            <w:pPr>
              <w:suppressLineNumbers/>
              <w:jc w:val="center"/>
              <w:rPr>
                <w:rFonts w:eastAsia="Calibri"/>
                <w:b/>
                <w:sz w:val="18"/>
                <w:szCs w:val="18"/>
              </w:rPr>
            </w:pPr>
            <w:r w:rsidRPr="001B4CA2">
              <w:rPr>
                <w:rFonts w:eastAsia="Calibri"/>
                <w:b/>
                <w:sz w:val="18"/>
                <w:szCs w:val="18"/>
              </w:rPr>
              <w:t>Obvezno liječenje od ovisnosti</w:t>
            </w:r>
          </w:p>
        </w:tc>
        <w:tc>
          <w:tcPr>
            <w:tcW w:w="1521" w:type="dxa"/>
            <w:shd w:val="clear" w:color="auto" w:fill="99CCFF"/>
            <w:vAlign w:val="center"/>
          </w:tcPr>
          <w:p w14:paraId="5A358ED2" w14:textId="77777777" w:rsidR="00C134AD" w:rsidRPr="001B4CA2" w:rsidRDefault="00C134AD" w:rsidP="002A38E7">
            <w:pPr>
              <w:suppressLineNumbers/>
              <w:jc w:val="center"/>
              <w:rPr>
                <w:rFonts w:eastAsia="Calibri"/>
                <w:b/>
                <w:sz w:val="18"/>
                <w:szCs w:val="18"/>
              </w:rPr>
            </w:pPr>
            <w:r w:rsidRPr="001B4CA2">
              <w:rPr>
                <w:rFonts w:eastAsia="Calibri"/>
                <w:b/>
                <w:sz w:val="18"/>
                <w:szCs w:val="18"/>
              </w:rPr>
              <w:t>Obvezno psihijatrijsko liječenje</w:t>
            </w:r>
          </w:p>
        </w:tc>
        <w:tc>
          <w:tcPr>
            <w:tcW w:w="1489" w:type="dxa"/>
            <w:shd w:val="clear" w:color="auto" w:fill="99CCFF"/>
            <w:vAlign w:val="center"/>
          </w:tcPr>
          <w:p w14:paraId="53B4E8F4" w14:textId="77777777" w:rsidR="00C134AD" w:rsidRPr="001B4CA2" w:rsidRDefault="00C134AD" w:rsidP="002A38E7">
            <w:pPr>
              <w:suppressLineNumbers/>
              <w:jc w:val="center"/>
              <w:rPr>
                <w:rFonts w:eastAsia="Calibri"/>
                <w:b/>
                <w:sz w:val="18"/>
                <w:szCs w:val="18"/>
              </w:rPr>
            </w:pPr>
            <w:r w:rsidRPr="001B4CA2">
              <w:rPr>
                <w:rFonts w:eastAsia="Calibri"/>
                <w:b/>
                <w:sz w:val="18"/>
                <w:szCs w:val="18"/>
              </w:rPr>
              <w:t>Zabrana obavljanja određene dužnosti ili djelatnosti</w:t>
            </w:r>
          </w:p>
        </w:tc>
        <w:tc>
          <w:tcPr>
            <w:tcW w:w="1497" w:type="dxa"/>
            <w:shd w:val="clear" w:color="auto" w:fill="99CCFF"/>
            <w:vAlign w:val="center"/>
          </w:tcPr>
          <w:p w14:paraId="5E59AA3C" w14:textId="77777777" w:rsidR="00C134AD" w:rsidRPr="001B4CA2" w:rsidRDefault="00C134AD" w:rsidP="002A38E7">
            <w:pPr>
              <w:suppressLineNumbers/>
              <w:jc w:val="center"/>
              <w:rPr>
                <w:rFonts w:eastAsia="Calibri"/>
                <w:b/>
                <w:sz w:val="18"/>
                <w:szCs w:val="18"/>
              </w:rPr>
            </w:pPr>
            <w:r w:rsidRPr="001B4CA2">
              <w:rPr>
                <w:rFonts w:eastAsia="Calibri"/>
                <w:b/>
                <w:sz w:val="18"/>
                <w:szCs w:val="18"/>
              </w:rPr>
              <w:t>Zabrana upravljanja motornim vozilom</w:t>
            </w:r>
          </w:p>
        </w:tc>
        <w:tc>
          <w:tcPr>
            <w:tcW w:w="1497" w:type="dxa"/>
            <w:shd w:val="clear" w:color="auto" w:fill="99CCFF"/>
            <w:vAlign w:val="center"/>
          </w:tcPr>
          <w:p w14:paraId="30E4B895" w14:textId="77777777" w:rsidR="00C134AD" w:rsidRPr="001B4CA2" w:rsidRDefault="00C134AD" w:rsidP="002A38E7">
            <w:pPr>
              <w:suppressLineNumbers/>
              <w:jc w:val="center"/>
              <w:rPr>
                <w:rFonts w:eastAsia="Calibri"/>
                <w:b/>
                <w:sz w:val="18"/>
                <w:szCs w:val="18"/>
              </w:rPr>
            </w:pPr>
            <w:r w:rsidRPr="001B4CA2">
              <w:rPr>
                <w:rFonts w:eastAsia="Calibri"/>
                <w:b/>
                <w:sz w:val="18"/>
                <w:szCs w:val="18"/>
              </w:rPr>
              <w:t>Druge sigurnosne mjere</w:t>
            </w:r>
          </w:p>
        </w:tc>
        <w:tc>
          <w:tcPr>
            <w:tcW w:w="962" w:type="dxa"/>
            <w:shd w:val="clear" w:color="auto" w:fill="99CCFF"/>
            <w:vAlign w:val="center"/>
          </w:tcPr>
          <w:p w14:paraId="5189FE79" w14:textId="77777777" w:rsidR="00C134AD" w:rsidRPr="001B4CA2" w:rsidRDefault="00C134AD" w:rsidP="002A38E7">
            <w:pPr>
              <w:suppressLineNumbers/>
              <w:jc w:val="center"/>
              <w:rPr>
                <w:rFonts w:eastAsia="Calibri"/>
                <w:b/>
                <w:sz w:val="18"/>
                <w:szCs w:val="18"/>
              </w:rPr>
            </w:pPr>
            <w:r w:rsidRPr="001B4CA2">
              <w:rPr>
                <w:rFonts w:eastAsia="Calibri"/>
                <w:b/>
                <w:sz w:val="18"/>
                <w:szCs w:val="18"/>
              </w:rPr>
              <w:t>Ukupno</w:t>
            </w:r>
          </w:p>
        </w:tc>
      </w:tr>
      <w:tr w:rsidR="00C134AD" w:rsidRPr="001B4CA2" w14:paraId="5223E8FD" w14:textId="77777777" w:rsidTr="003E79A0">
        <w:trPr>
          <w:trHeight w:val="248"/>
          <w:jc w:val="center"/>
        </w:trPr>
        <w:tc>
          <w:tcPr>
            <w:tcW w:w="674" w:type="dxa"/>
            <w:shd w:val="clear" w:color="auto" w:fill="auto"/>
            <w:vAlign w:val="center"/>
          </w:tcPr>
          <w:p w14:paraId="7A21F786" w14:textId="77777777" w:rsidR="00C134AD" w:rsidRPr="001B4CA2" w:rsidRDefault="00C134AD" w:rsidP="002A38E7">
            <w:pPr>
              <w:suppressLineNumbers/>
              <w:jc w:val="center"/>
              <w:rPr>
                <w:rFonts w:eastAsia="Calibri"/>
                <w:sz w:val="18"/>
                <w:szCs w:val="18"/>
              </w:rPr>
            </w:pPr>
            <w:r w:rsidRPr="001B4CA2">
              <w:rPr>
                <w:rFonts w:eastAsia="Calibri"/>
                <w:sz w:val="18"/>
                <w:szCs w:val="18"/>
              </w:rPr>
              <w:t>2018.</w:t>
            </w:r>
          </w:p>
        </w:tc>
        <w:tc>
          <w:tcPr>
            <w:tcW w:w="1313" w:type="dxa"/>
            <w:shd w:val="clear" w:color="auto" w:fill="auto"/>
            <w:vAlign w:val="center"/>
          </w:tcPr>
          <w:p w14:paraId="0421C52C" w14:textId="77777777" w:rsidR="00C134AD" w:rsidRPr="001B4CA2" w:rsidRDefault="00C134AD" w:rsidP="002A38E7">
            <w:pPr>
              <w:suppressLineNumbers/>
              <w:jc w:val="center"/>
              <w:rPr>
                <w:rFonts w:eastAsia="Calibri"/>
                <w:sz w:val="18"/>
                <w:szCs w:val="18"/>
              </w:rPr>
            </w:pPr>
            <w:r w:rsidRPr="001B4CA2">
              <w:rPr>
                <w:rFonts w:eastAsia="Calibri"/>
                <w:sz w:val="18"/>
                <w:szCs w:val="18"/>
              </w:rPr>
              <w:t>267</w:t>
            </w:r>
          </w:p>
        </w:tc>
        <w:tc>
          <w:tcPr>
            <w:tcW w:w="1521" w:type="dxa"/>
            <w:shd w:val="clear" w:color="auto" w:fill="auto"/>
            <w:vAlign w:val="center"/>
          </w:tcPr>
          <w:p w14:paraId="1E95D545" w14:textId="77777777" w:rsidR="00C134AD" w:rsidRPr="001B4CA2" w:rsidRDefault="00C134AD" w:rsidP="002A38E7">
            <w:pPr>
              <w:suppressLineNumbers/>
              <w:jc w:val="center"/>
              <w:rPr>
                <w:rFonts w:eastAsia="Calibri"/>
                <w:sz w:val="18"/>
                <w:szCs w:val="18"/>
              </w:rPr>
            </w:pPr>
            <w:r w:rsidRPr="001B4CA2">
              <w:rPr>
                <w:rFonts w:eastAsia="Calibri"/>
                <w:sz w:val="18"/>
                <w:szCs w:val="18"/>
              </w:rPr>
              <w:t>125</w:t>
            </w:r>
          </w:p>
        </w:tc>
        <w:tc>
          <w:tcPr>
            <w:tcW w:w="1489" w:type="dxa"/>
            <w:shd w:val="clear" w:color="auto" w:fill="auto"/>
            <w:vAlign w:val="center"/>
          </w:tcPr>
          <w:p w14:paraId="752378F4" w14:textId="77777777" w:rsidR="00C134AD" w:rsidRPr="001B4CA2" w:rsidRDefault="00C134AD" w:rsidP="002A38E7">
            <w:pPr>
              <w:suppressLineNumbers/>
              <w:jc w:val="center"/>
              <w:rPr>
                <w:rFonts w:eastAsia="Calibri"/>
                <w:sz w:val="18"/>
                <w:szCs w:val="18"/>
              </w:rPr>
            </w:pPr>
            <w:r w:rsidRPr="001B4CA2">
              <w:rPr>
                <w:rFonts w:eastAsia="Calibri"/>
                <w:sz w:val="18"/>
                <w:szCs w:val="18"/>
              </w:rPr>
              <w:t>2</w:t>
            </w:r>
          </w:p>
        </w:tc>
        <w:tc>
          <w:tcPr>
            <w:tcW w:w="1497" w:type="dxa"/>
            <w:shd w:val="clear" w:color="auto" w:fill="auto"/>
            <w:vAlign w:val="center"/>
          </w:tcPr>
          <w:p w14:paraId="6CE40E04" w14:textId="77777777" w:rsidR="00C134AD" w:rsidRPr="001B4CA2" w:rsidRDefault="00C134AD" w:rsidP="002A38E7">
            <w:pPr>
              <w:suppressLineNumbers/>
              <w:jc w:val="center"/>
              <w:rPr>
                <w:rFonts w:eastAsia="Calibri"/>
                <w:sz w:val="18"/>
                <w:szCs w:val="18"/>
              </w:rPr>
            </w:pPr>
            <w:r w:rsidRPr="001B4CA2">
              <w:rPr>
                <w:rFonts w:eastAsia="Calibri"/>
                <w:sz w:val="18"/>
                <w:szCs w:val="18"/>
              </w:rPr>
              <w:t>107</w:t>
            </w:r>
          </w:p>
        </w:tc>
        <w:tc>
          <w:tcPr>
            <w:tcW w:w="1497" w:type="dxa"/>
            <w:shd w:val="clear" w:color="auto" w:fill="auto"/>
            <w:vAlign w:val="center"/>
          </w:tcPr>
          <w:p w14:paraId="03FAA685" w14:textId="77777777" w:rsidR="00C134AD" w:rsidRPr="001B4CA2" w:rsidRDefault="00C134AD" w:rsidP="002A38E7">
            <w:pPr>
              <w:suppressLineNumbers/>
              <w:jc w:val="center"/>
              <w:rPr>
                <w:rFonts w:eastAsia="Calibri"/>
                <w:sz w:val="18"/>
                <w:szCs w:val="18"/>
              </w:rPr>
            </w:pPr>
            <w:r w:rsidRPr="001B4CA2">
              <w:rPr>
                <w:rFonts w:eastAsia="Calibri"/>
                <w:sz w:val="18"/>
                <w:szCs w:val="18"/>
              </w:rPr>
              <w:t>75</w:t>
            </w:r>
          </w:p>
        </w:tc>
        <w:tc>
          <w:tcPr>
            <w:tcW w:w="962" w:type="dxa"/>
            <w:vAlign w:val="center"/>
          </w:tcPr>
          <w:p w14:paraId="41D2E18E" w14:textId="77777777" w:rsidR="00C134AD" w:rsidRPr="001B4CA2" w:rsidRDefault="00C134AD" w:rsidP="002A38E7">
            <w:pPr>
              <w:suppressLineNumbers/>
              <w:jc w:val="center"/>
              <w:rPr>
                <w:rFonts w:eastAsia="Calibri"/>
                <w:sz w:val="18"/>
                <w:szCs w:val="18"/>
              </w:rPr>
            </w:pPr>
            <w:r w:rsidRPr="001B4CA2">
              <w:rPr>
                <w:rFonts w:eastAsia="Calibri"/>
                <w:sz w:val="18"/>
                <w:szCs w:val="18"/>
              </w:rPr>
              <w:t>576</w:t>
            </w:r>
          </w:p>
        </w:tc>
      </w:tr>
      <w:tr w:rsidR="00C134AD" w:rsidRPr="001B4CA2" w14:paraId="4E0FDC8D" w14:textId="77777777" w:rsidTr="003E79A0">
        <w:trPr>
          <w:trHeight w:val="248"/>
          <w:jc w:val="center"/>
        </w:trPr>
        <w:tc>
          <w:tcPr>
            <w:tcW w:w="674" w:type="dxa"/>
            <w:shd w:val="clear" w:color="auto" w:fill="auto"/>
            <w:vAlign w:val="center"/>
          </w:tcPr>
          <w:p w14:paraId="46AE1B09" w14:textId="77777777" w:rsidR="00C134AD" w:rsidRPr="001B4CA2" w:rsidRDefault="00C134AD" w:rsidP="002A38E7">
            <w:pPr>
              <w:suppressLineNumbers/>
              <w:jc w:val="center"/>
              <w:rPr>
                <w:rFonts w:eastAsia="Calibri"/>
                <w:sz w:val="18"/>
                <w:szCs w:val="18"/>
              </w:rPr>
            </w:pPr>
            <w:r w:rsidRPr="001B4CA2">
              <w:rPr>
                <w:rFonts w:eastAsia="Calibri"/>
                <w:sz w:val="18"/>
                <w:szCs w:val="18"/>
              </w:rPr>
              <w:t>2019.</w:t>
            </w:r>
          </w:p>
        </w:tc>
        <w:tc>
          <w:tcPr>
            <w:tcW w:w="1313" w:type="dxa"/>
            <w:shd w:val="clear" w:color="auto" w:fill="auto"/>
            <w:vAlign w:val="center"/>
          </w:tcPr>
          <w:p w14:paraId="204FFC0B" w14:textId="77777777" w:rsidR="00C134AD" w:rsidRPr="001B4CA2" w:rsidRDefault="00C134AD" w:rsidP="002A38E7">
            <w:pPr>
              <w:suppressLineNumbers/>
              <w:jc w:val="center"/>
              <w:rPr>
                <w:rFonts w:eastAsia="Calibri"/>
                <w:sz w:val="18"/>
                <w:szCs w:val="18"/>
              </w:rPr>
            </w:pPr>
            <w:r w:rsidRPr="001B4CA2">
              <w:rPr>
                <w:rFonts w:eastAsia="Calibri"/>
                <w:sz w:val="18"/>
                <w:szCs w:val="18"/>
              </w:rPr>
              <w:t>293</w:t>
            </w:r>
          </w:p>
        </w:tc>
        <w:tc>
          <w:tcPr>
            <w:tcW w:w="1521" w:type="dxa"/>
            <w:shd w:val="clear" w:color="auto" w:fill="auto"/>
            <w:vAlign w:val="center"/>
          </w:tcPr>
          <w:p w14:paraId="3784E852" w14:textId="77777777" w:rsidR="00C134AD" w:rsidRPr="001B4CA2" w:rsidRDefault="00C134AD" w:rsidP="002A38E7">
            <w:pPr>
              <w:suppressLineNumbers/>
              <w:jc w:val="center"/>
              <w:rPr>
                <w:rFonts w:eastAsia="Calibri"/>
                <w:sz w:val="18"/>
                <w:szCs w:val="18"/>
              </w:rPr>
            </w:pPr>
            <w:r w:rsidRPr="001B4CA2">
              <w:rPr>
                <w:rFonts w:eastAsia="Calibri"/>
                <w:sz w:val="18"/>
                <w:szCs w:val="18"/>
              </w:rPr>
              <w:t>146</w:t>
            </w:r>
          </w:p>
        </w:tc>
        <w:tc>
          <w:tcPr>
            <w:tcW w:w="1489" w:type="dxa"/>
            <w:shd w:val="clear" w:color="auto" w:fill="auto"/>
            <w:vAlign w:val="center"/>
          </w:tcPr>
          <w:p w14:paraId="00D15FB8" w14:textId="77777777" w:rsidR="00C134AD" w:rsidRPr="001B4CA2" w:rsidRDefault="00C134AD" w:rsidP="002A38E7">
            <w:pPr>
              <w:suppressLineNumbers/>
              <w:jc w:val="center"/>
              <w:rPr>
                <w:rFonts w:eastAsia="Calibri"/>
                <w:sz w:val="18"/>
                <w:szCs w:val="18"/>
              </w:rPr>
            </w:pPr>
            <w:r w:rsidRPr="001B4CA2">
              <w:rPr>
                <w:rFonts w:eastAsia="Calibri"/>
                <w:sz w:val="18"/>
                <w:szCs w:val="18"/>
              </w:rPr>
              <w:t>4</w:t>
            </w:r>
          </w:p>
        </w:tc>
        <w:tc>
          <w:tcPr>
            <w:tcW w:w="1497" w:type="dxa"/>
            <w:shd w:val="clear" w:color="auto" w:fill="auto"/>
            <w:vAlign w:val="center"/>
          </w:tcPr>
          <w:p w14:paraId="7B51C5B8" w14:textId="77777777" w:rsidR="00C134AD" w:rsidRPr="001B4CA2" w:rsidRDefault="00C134AD" w:rsidP="002A38E7">
            <w:pPr>
              <w:suppressLineNumbers/>
              <w:jc w:val="center"/>
              <w:rPr>
                <w:rFonts w:eastAsia="Calibri"/>
                <w:sz w:val="18"/>
                <w:szCs w:val="18"/>
              </w:rPr>
            </w:pPr>
            <w:r w:rsidRPr="001B4CA2">
              <w:rPr>
                <w:rFonts w:eastAsia="Calibri"/>
                <w:sz w:val="18"/>
                <w:szCs w:val="18"/>
              </w:rPr>
              <w:t>87</w:t>
            </w:r>
          </w:p>
        </w:tc>
        <w:tc>
          <w:tcPr>
            <w:tcW w:w="1497" w:type="dxa"/>
            <w:shd w:val="clear" w:color="auto" w:fill="auto"/>
            <w:vAlign w:val="center"/>
          </w:tcPr>
          <w:p w14:paraId="0B1B26AC" w14:textId="77777777" w:rsidR="00C134AD" w:rsidRPr="001B4CA2" w:rsidRDefault="00C134AD" w:rsidP="002A38E7">
            <w:pPr>
              <w:suppressLineNumbers/>
              <w:jc w:val="center"/>
              <w:rPr>
                <w:rFonts w:eastAsia="Calibri"/>
                <w:sz w:val="18"/>
                <w:szCs w:val="18"/>
              </w:rPr>
            </w:pPr>
            <w:r w:rsidRPr="001B4CA2">
              <w:rPr>
                <w:rFonts w:eastAsia="Calibri"/>
                <w:sz w:val="18"/>
                <w:szCs w:val="18"/>
              </w:rPr>
              <w:t>77</w:t>
            </w:r>
          </w:p>
        </w:tc>
        <w:tc>
          <w:tcPr>
            <w:tcW w:w="962" w:type="dxa"/>
            <w:vAlign w:val="center"/>
          </w:tcPr>
          <w:p w14:paraId="2BA7590C" w14:textId="77777777" w:rsidR="00C134AD" w:rsidRPr="001B4CA2" w:rsidRDefault="00C134AD" w:rsidP="002A38E7">
            <w:pPr>
              <w:suppressLineNumbers/>
              <w:jc w:val="center"/>
              <w:rPr>
                <w:rFonts w:eastAsia="Calibri"/>
                <w:sz w:val="18"/>
                <w:szCs w:val="18"/>
              </w:rPr>
            </w:pPr>
            <w:r w:rsidRPr="001B4CA2">
              <w:rPr>
                <w:rFonts w:eastAsia="Calibri"/>
                <w:sz w:val="18"/>
                <w:szCs w:val="18"/>
              </w:rPr>
              <w:t>607</w:t>
            </w:r>
          </w:p>
        </w:tc>
      </w:tr>
      <w:tr w:rsidR="00C134AD" w:rsidRPr="001B4CA2" w14:paraId="55CBA09F" w14:textId="77777777" w:rsidTr="003E79A0">
        <w:trPr>
          <w:trHeight w:val="235"/>
          <w:jc w:val="center"/>
        </w:trPr>
        <w:tc>
          <w:tcPr>
            <w:tcW w:w="674" w:type="dxa"/>
            <w:shd w:val="clear" w:color="auto" w:fill="auto"/>
            <w:vAlign w:val="center"/>
          </w:tcPr>
          <w:p w14:paraId="518CFA18" w14:textId="77777777" w:rsidR="00C134AD" w:rsidRPr="001B4CA2" w:rsidRDefault="00C134AD" w:rsidP="002A38E7">
            <w:pPr>
              <w:suppressLineNumbers/>
              <w:jc w:val="center"/>
              <w:rPr>
                <w:rFonts w:eastAsia="Calibri"/>
                <w:sz w:val="18"/>
                <w:szCs w:val="18"/>
              </w:rPr>
            </w:pPr>
            <w:r w:rsidRPr="001B4CA2">
              <w:rPr>
                <w:rFonts w:eastAsia="Calibri"/>
                <w:sz w:val="18"/>
                <w:szCs w:val="18"/>
              </w:rPr>
              <w:t>2020.</w:t>
            </w:r>
          </w:p>
        </w:tc>
        <w:tc>
          <w:tcPr>
            <w:tcW w:w="1313" w:type="dxa"/>
            <w:shd w:val="clear" w:color="auto" w:fill="auto"/>
            <w:vAlign w:val="center"/>
          </w:tcPr>
          <w:p w14:paraId="286341A3" w14:textId="77777777" w:rsidR="00C134AD" w:rsidRPr="001B4CA2" w:rsidRDefault="00C134AD" w:rsidP="002A38E7">
            <w:pPr>
              <w:suppressLineNumbers/>
              <w:jc w:val="center"/>
              <w:rPr>
                <w:rFonts w:eastAsia="Calibri"/>
                <w:sz w:val="18"/>
                <w:szCs w:val="18"/>
              </w:rPr>
            </w:pPr>
            <w:r w:rsidRPr="001B4CA2">
              <w:rPr>
                <w:rFonts w:eastAsia="Calibri"/>
                <w:sz w:val="18"/>
                <w:szCs w:val="18"/>
              </w:rPr>
              <w:t>293</w:t>
            </w:r>
          </w:p>
        </w:tc>
        <w:tc>
          <w:tcPr>
            <w:tcW w:w="1521" w:type="dxa"/>
            <w:shd w:val="clear" w:color="auto" w:fill="auto"/>
            <w:vAlign w:val="center"/>
          </w:tcPr>
          <w:p w14:paraId="02D9D8AB" w14:textId="77777777" w:rsidR="00C134AD" w:rsidRPr="001B4CA2" w:rsidRDefault="00C134AD" w:rsidP="002A38E7">
            <w:pPr>
              <w:suppressLineNumbers/>
              <w:jc w:val="center"/>
              <w:rPr>
                <w:rFonts w:eastAsia="Calibri"/>
                <w:sz w:val="18"/>
                <w:szCs w:val="18"/>
              </w:rPr>
            </w:pPr>
            <w:r w:rsidRPr="001B4CA2">
              <w:rPr>
                <w:rFonts w:eastAsia="Calibri"/>
                <w:sz w:val="18"/>
                <w:szCs w:val="18"/>
              </w:rPr>
              <w:t>201</w:t>
            </w:r>
          </w:p>
        </w:tc>
        <w:tc>
          <w:tcPr>
            <w:tcW w:w="1489" w:type="dxa"/>
            <w:shd w:val="clear" w:color="auto" w:fill="auto"/>
            <w:vAlign w:val="center"/>
          </w:tcPr>
          <w:p w14:paraId="7A59D269" w14:textId="77777777" w:rsidR="00C134AD" w:rsidRPr="001B4CA2" w:rsidRDefault="00C134AD" w:rsidP="002A38E7">
            <w:pPr>
              <w:suppressLineNumbers/>
              <w:jc w:val="center"/>
              <w:rPr>
                <w:rFonts w:eastAsia="Calibri"/>
                <w:sz w:val="18"/>
                <w:szCs w:val="18"/>
              </w:rPr>
            </w:pPr>
            <w:r w:rsidRPr="001B4CA2">
              <w:rPr>
                <w:rFonts w:eastAsia="Calibri"/>
                <w:sz w:val="18"/>
                <w:szCs w:val="18"/>
              </w:rPr>
              <w:t>4</w:t>
            </w:r>
          </w:p>
        </w:tc>
        <w:tc>
          <w:tcPr>
            <w:tcW w:w="1497" w:type="dxa"/>
            <w:shd w:val="clear" w:color="auto" w:fill="auto"/>
            <w:vAlign w:val="center"/>
          </w:tcPr>
          <w:p w14:paraId="62EA127C" w14:textId="77777777" w:rsidR="00C134AD" w:rsidRPr="001B4CA2" w:rsidRDefault="00C134AD" w:rsidP="002A38E7">
            <w:pPr>
              <w:suppressLineNumbers/>
              <w:jc w:val="center"/>
              <w:rPr>
                <w:rFonts w:eastAsia="Calibri"/>
                <w:sz w:val="18"/>
                <w:szCs w:val="18"/>
              </w:rPr>
            </w:pPr>
            <w:r w:rsidRPr="001B4CA2">
              <w:rPr>
                <w:rFonts w:eastAsia="Calibri"/>
                <w:sz w:val="18"/>
                <w:szCs w:val="18"/>
              </w:rPr>
              <w:t>58</w:t>
            </w:r>
          </w:p>
        </w:tc>
        <w:tc>
          <w:tcPr>
            <w:tcW w:w="1497" w:type="dxa"/>
            <w:shd w:val="clear" w:color="auto" w:fill="auto"/>
            <w:vAlign w:val="center"/>
          </w:tcPr>
          <w:p w14:paraId="48D4180E" w14:textId="77777777" w:rsidR="00C134AD" w:rsidRPr="001B4CA2" w:rsidRDefault="00C134AD" w:rsidP="002A38E7">
            <w:pPr>
              <w:suppressLineNumbers/>
              <w:jc w:val="center"/>
              <w:rPr>
                <w:rFonts w:eastAsia="Calibri"/>
                <w:sz w:val="18"/>
                <w:szCs w:val="18"/>
              </w:rPr>
            </w:pPr>
            <w:r w:rsidRPr="001B4CA2">
              <w:rPr>
                <w:rFonts w:eastAsia="Calibri"/>
                <w:sz w:val="18"/>
                <w:szCs w:val="18"/>
              </w:rPr>
              <w:t>249</w:t>
            </w:r>
          </w:p>
        </w:tc>
        <w:tc>
          <w:tcPr>
            <w:tcW w:w="962" w:type="dxa"/>
            <w:vAlign w:val="center"/>
          </w:tcPr>
          <w:p w14:paraId="0BABB857" w14:textId="77777777" w:rsidR="00C134AD" w:rsidRPr="001B4CA2" w:rsidRDefault="00C134AD" w:rsidP="002A38E7">
            <w:pPr>
              <w:suppressLineNumbers/>
              <w:jc w:val="center"/>
              <w:rPr>
                <w:rFonts w:eastAsia="Calibri"/>
                <w:sz w:val="18"/>
                <w:szCs w:val="18"/>
              </w:rPr>
            </w:pPr>
            <w:r w:rsidRPr="001B4CA2">
              <w:rPr>
                <w:rFonts w:eastAsia="Calibri"/>
                <w:sz w:val="18"/>
                <w:szCs w:val="18"/>
              </w:rPr>
              <w:t>805</w:t>
            </w:r>
          </w:p>
        </w:tc>
      </w:tr>
      <w:tr w:rsidR="00C134AD" w:rsidRPr="001B4CA2" w14:paraId="7F1675A4" w14:textId="77777777" w:rsidTr="003E79A0">
        <w:trPr>
          <w:trHeight w:val="263"/>
          <w:jc w:val="center"/>
        </w:trPr>
        <w:tc>
          <w:tcPr>
            <w:tcW w:w="674" w:type="dxa"/>
            <w:shd w:val="clear" w:color="auto" w:fill="auto"/>
            <w:vAlign w:val="center"/>
          </w:tcPr>
          <w:p w14:paraId="7FDDC462" w14:textId="77777777" w:rsidR="00C134AD" w:rsidRPr="001B4CA2" w:rsidRDefault="00C134AD" w:rsidP="002A38E7">
            <w:pPr>
              <w:suppressLineNumbers/>
              <w:jc w:val="center"/>
              <w:rPr>
                <w:rFonts w:eastAsia="Calibri"/>
                <w:sz w:val="18"/>
                <w:szCs w:val="18"/>
              </w:rPr>
            </w:pPr>
            <w:r w:rsidRPr="001B4CA2">
              <w:rPr>
                <w:rFonts w:eastAsia="Calibri"/>
                <w:sz w:val="18"/>
                <w:szCs w:val="18"/>
              </w:rPr>
              <w:t>2021.</w:t>
            </w:r>
          </w:p>
        </w:tc>
        <w:tc>
          <w:tcPr>
            <w:tcW w:w="1313" w:type="dxa"/>
            <w:shd w:val="clear" w:color="auto" w:fill="auto"/>
            <w:vAlign w:val="center"/>
          </w:tcPr>
          <w:p w14:paraId="79C3CE85" w14:textId="77777777" w:rsidR="00C134AD" w:rsidRPr="001B4CA2" w:rsidRDefault="00C134AD" w:rsidP="002A38E7">
            <w:pPr>
              <w:suppressLineNumbers/>
              <w:jc w:val="center"/>
              <w:rPr>
                <w:rFonts w:eastAsia="Calibri"/>
                <w:sz w:val="18"/>
                <w:szCs w:val="18"/>
              </w:rPr>
            </w:pPr>
            <w:r w:rsidRPr="001B4CA2">
              <w:rPr>
                <w:rFonts w:eastAsia="Calibri"/>
                <w:sz w:val="18"/>
                <w:szCs w:val="18"/>
              </w:rPr>
              <w:t>378</w:t>
            </w:r>
          </w:p>
        </w:tc>
        <w:tc>
          <w:tcPr>
            <w:tcW w:w="1521" w:type="dxa"/>
            <w:shd w:val="clear" w:color="auto" w:fill="auto"/>
            <w:vAlign w:val="center"/>
          </w:tcPr>
          <w:p w14:paraId="67D6CC4F" w14:textId="77777777" w:rsidR="00C134AD" w:rsidRPr="001B4CA2" w:rsidRDefault="00C134AD" w:rsidP="002A38E7">
            <w:pPr>
              <w:suppressLineNumbers/>
              <w:jc w:val="center"/>
              <w:rPr>
                <w:rFonts w:eastAsia="Calibri"/>
                <w:sz w:val="18"/>
                <w:szCs w:val="18"/>
              </w:rPr>
            </w:pPr>
            <w:r w:rsidRPr="001B4CA2">
              <w:rPr>
                <w:rFonts w:eastAsia="Calibri"/>
                <w:sz w:val="18"/>
                <w:szCs w:val="18"/>
              </w:rPr>
              <w:t>280</w:t>
            </w:r>
          </w:p>
        </w:tc>
        <w:tc>
          <w:tcPr>
            <w:tcW w:w="1489" w:type="dxa"/>
            <w:shd w:val="clear" w:color="auto" w:fill="auto"/>
            <w:vAlign w:val="center"/>
          </w:tcPr>
          <w:p w14:paraId="3668E69D" w14:textId="77777777" w:rsidR="00C134AD" w:rsidRPr="001B4CA2" w:rsidRDefault="00C134AD" w:rsidP="002A38E7">
            <w:pPr>
              <w:suppressLineNumbers/>
              <w:jc w:val="center"/>
              <w:rPr>
                <w:rFonts w:eastAsia="Calibri"/>
                <w:sz w:val="18"/>
                <w:szCs w:val="18"/>
              </w:rPr>
            </w:pPr>
            <w:r w:rsidRPr="001B4CA2">
              <w:rPr>
                <w:rFonts w:eastAsia="Calibri"/>
                <w:sz w:val="18"/>
                <w:szCs w:val="18"/>
              </w:rPr>
              <w:t>7</w:t>
            </w:r>
          </w:p>
        </w:tc>
        <w:tc>
          <w:tcPr>
            <w:tcW w:w="1497" w:type="dxa"/>
            <w:shd w:val="clear" w:color="auto" w:fill="auto"/>
            <w:vAlign w:val="center"/>
          </w:tcPr>
          <w:p w14:paraId="7163EECC" w14:textId="77777777" w:rsidR="00C134AD" w:rsidRPr="001B4CA2" w:rsidRDefault="00C134AD" w:rsidP="002A38E7">
            <w:pPr>
              <w:suppressLineNumbers/>
              <w:jc w:val="center"/>
              <w:rPr>
                <w:rFonts w:eastAsia="Calibri"/>
                <w:sz w:val="18"/>
                <w:szCs w:val="18"/>
              </w:rPr>
            </w:pPr>
            <w:r w:rsidRPr="001B4CA2">
              <w:rPr>
                <w:rFonts w:eastAsia="Calibri"/>
                <w:sz w:val="18"/>
                <w:szCs w:val="18"/>
              </w:rPr>
              <w:t>94</w:t>
            </w:r>
          </w:p>
        </w:tc>
        <w:tc>
          <w:tcPr>
            <w:tcW w:w="1497" w:type="dxa"/>
            <w:shd w:val="clear" w:color="auto" w:fill="auto"/>
            <w:vAlign w:val="center"/>
          </w:tcPr>
          <w:p w14:paraId="21CCF92E" w14:textId="77777777" w:rsidR="00C134AD" w:rsidRPr="001B4CA2" w:rsidRDefault="00C134AD" w:rsidP="002A38E7">
            <w:pPr>
              <w:suppressLineNumbers/>
              <w:jc w:val="center"/>
              <w:rPr>
                <w:rFonts w:eastAsia="Calibri"/>
                <w:sz w:val="18"/>
                <w:szCs w:val="18"/>
              </w:rPr>
            </w:pPr>
            <w:r w:rsidRPr="001B4CA2">
              <w:rPr>
                <w:rFonts w:eastAsia="Calibri"/>
                <w:sz w:val="18"/>
                <w:szCs w:val="18"/>
              </w:rPr>
              <w:t>284</w:t>
            </w:r>
          </w:p>
        </w:tc>
        <w:tc>
          <w:tcPr>
            <w:tcW w:w="962" w:type="dxa"/>
            <w:vAlign w:val="center"/>
          </w:tcPr>
          <w:p w14:paraId="4F8010EF" w14:textId="77777777" w:rsidR="00C134AD" w:rsidRPr="001B4CA2" w:rsidRDefault="00C134AD" w:rsidP="002A38E7">
            <w:pPr>
              <w:suppressLineNumbers/>
              <w:jc w:val="center"/>
              <w:rPr>
                <w:rFonts w:eastAsia="Calibri"/>
                <w:sz w:val="18"/>
                <w:szCs w:val="18"/>
              </w:rPr>
            </w:pPr>
            <w:r w:rsidRPr="001B4CA2">
              <w:rPr>
                <w:rFonts w:eastAsia="Calibri"/>
                <w:sz w:val="18"/>
                <w:szCs w:val="18"/>
              </w:rPr>
              <w:t>1.044</w:t>
            </w:r>
          </w:p>
        </w:tc>
      </w:tr>
      <w:tr w:rsidR="00C134AD" w:rsidRPr="001B4CA2" w14:paraId="288BF50A" w14:textId="77777777" w:rsidTr="003E79A0">
        <w:trPr>
          <w:trHeight w:val="263"/>
          <w:jc w:val="center"/>
        </w:trPr>
        <w:tc>
          <w:tcPr>
            <w:tcW w:w="674" w:type="dxa"/>
            <w:shd w:val="clear" w:color="auto" w:fill="auto"/>
            <w:vAlign w:val="center"/>
          </w:tcPr>
          <w:p w14:paraId="1BAC0619" w14:textId="77777777" w:rsidR="00C134AD" w:rsidRPr="001B4CA2" w:rsidRDefault="00C134AD" w:rsidP="002A38E7">
            <w:pPr>
              <w:suppressLineNumbers/>
              <w:jc w:val="center"/>
              <w:rPr>
                <w:rFonts w:eastAsia="Calibri"/>
                <w:sz w:val="18"/>
                <w:szCs w:val="18"/>
              </w:rPr>
            </w:pPr>
            <w:r w:rsidRPr="001B4CA2">
              <w:rPr>
                <w:color w:val="000000"/>
                <w:sz w:val="18"/>
                <w:szCs w:val="18"/>
              </w:rPr>
              <w:t>2022.</w:t>
            </w:r>
          </w:p>
        </w:tc>
        <w:tc>
          <w:tcPr>
            <w:tcW w:w="1313" w:type="dxa"/>
            <w:shd w:val="clear" w:color="auto" w:fill="auto"/>
            <w:vAlign w:val="center"/>
          </w:tcPr>
          <w:p w14:paraId="3172A7C1" w14:textId="77777777" w:rsidR="00C134AD" w:rsidRPr="001B4CA2" w:rsidRDefault="00C134AD" w:rsidP="002A38E7">
            <w:pPr>
              <w:suppressLineNumbers/>
              <w:jc w:val="center"/>
              <w:rPr>
                <w:rFonts w:eastAsia="Calibri"/>
                <w:sz w:val="18"/>
                <w:szCs w:val="18"/>
              </w:rPr>
            </w:pPr>
            <w:r w:rsidRPr="001B4CA2">
              <w:rPr>
                <w:color w:val="000000"/>
                <w:sz w:val="18"/>
                <w:szCs w:val="18"/>
              </w:rPr>
              <w:t>448</w:t>
            </w:r>
          </w:p>
        </w:tc>
        <w:tc>
          <w:tcPr>
            <w:tcW w:w="1521" w:type="dxa"/>
            <w:shd w:val="clear" w:color="auto" w:fill="auto"/>
            <w:vAlign w:val="center"/>
          </w:tcPr>
          <w:p w14:paraId="169A5335" w14:textId="77777777" w:rsidR="00C134AD" w:rsidRPr="001B4CA2" w:rsidRDefault="00C134AD" w:rsidP="002A38E7">
            <w:pPr>
              <w:suppressLineNumbers/>
              <w:jc w:val="center"/>
              <w:rPr>
                <w:rFonts w:eastAsia="Calibri"/>
                <w:sz w:val="18"/>
                <w:szCs w:val="18"/>
              </w:rPr>
            </w:pPr>
            <w:r w:rsidRPr="001B4CA2">
              <w:rPr>
                <w:color w:val="000000"/>
                <w:sz w:val="18"/>
                <w:szCs w:val="18"/>
              </w:rPr>
              <w:t>348</w:t>
            </w:r>
          </w:p>
        </w:tc>
        <w:tc>
          <w:tcPr>
            <w:tcW w:w="1489" w:type="dxa"/>
            <w:shd w:val="clear" w:color="auto" w:fill="auto"/>
            <w:vAlign w:val="center"/>
          </w:tcPr>
          <w:p w14:paraId="3976E5A8" w14:textId="77777777" w:rsidR="00C134AD" w:rsidRPr="001B4CA2" w:rsidRDefault="00C134AD" w:rsidP="002A38E7">
            <w:pPr>
              <w:suppressLineNumbers/>
              <w:jc w:val="center"/>
              <w:rPr>
                <w:rFonts w:eastAsia="Calibri"/>
                <w:sz w:val="18"/>
                <w:szCs w:val="18"/>
              </w:rPr>
            </w:pPr>
            <w:r w:rsidRPr="001B4CA2">
              <w:rPr>
                <w:color w:val="000000"/>
                <w:sz w:val="18"/>
                <w:szCs w:val="18"/>
              </w:rPr>
              <w:t>13</w:t>
            </w:r>
          </w:p>
        </w:tc>
        <w:tc>
          <w:tcPr>
            <w:tcW w:w="1497" w:type="dxa"/>
            <w:shd w:val="clear" w:color="auto" w:fill="auto"/>
            <w:vAlign w:val="center"/>
          </w:tcPr>
          <w:p w14:paraId="215529DC" w14:textId="77777777" w:rsidR="00C134AD" w:rsidRPr="001B4CA2" w:rsidRDefault="00C134AD" w:rsidP="002A38E7">
            <w:pPr>
              <w:suppressLineNumbers/>
              <w:jc w:val="center"/>
              <w:rPr>
                <w:rFonts w:eastAsia="Calibri"/>
                <w:sz w:val="18"/>
                <w:szCs w:val="18"/>
              </w:rPr>
            </w:pPr>
            <w:r w:rsidRPr="001B4CA2">
              <w:rPr>
                <w:color w:val="000000"/>
                <w:sz w:val="18"/>
                <w:szCs w:val="18"/>
              </w:rPr>
              <w:t>75</w:t>
            </w:r>
          </w:p>
        </w:tc>
        <w:tc>
          <w:tcPr>
            <w:tcW w:w="1497" w:type="dxa"/>
            <w:shd w:val="clear" w:color="auto" w:fill="auto"/>
            <w:vAlign w:val="center"/>
          </w:tcPr>
          <w:p w14:paraId="5B33AFDE" w14:textId="77777777" w:rsidR="00C134AD" w:rsidRPr="001B4CA2" w:rsidRDefault="00C134AD" w:rsidP="002A38E7">
            <w:pPr>
              <w:suppressLineNumbers/>
              <w:jc w:val="center"/>
              <w:rPr>
                <w:rFonts w:eastAsia="Calibri"/>
                <w:sz w:val="18"/>
                <w:szCs w:val="18"/>
              </w:rPr>
            </w:pPr>
            <w:r w:rsidRPr="001B4CA2">
              <w:rPr>
                <w:color w:val="000000"/>
                <w:sz w:val="18"/>
                <w:szCs w:val="18"/>
              </w:rPr>
              <w:t>375</w:t>
            </w:r>
          </w:p>
        </w:tc>
        <w:tc>
          <w:tcPr>
            <w:tcW w:w="962" w:type="dxa"/>
            <w:vAlign w:val="center"/>
          </w:tcPr>
          <w:p w14:paraId="68EEB468" w14:textId="77777777" w:rsidR="00C134AD" w:rsidRPr="001B4CA2" w:rsidRDefault="00C134AD" w:rsidP="002A38E7">
            <w:pPr>
              <w:suppressLineNumbers/>
              <w:jc w:val="center"/>
              <w:rPr>
                <w:rFonts w:eastAsia="Calibri"/>
                <w:sz w:val="18"/>
                <w:szCs w:val="18"/>
              </w:rPr>
            </w:pPr>
            <w:r w:rsidRPr="001B4CA2">
              <w:rPr>
                <w:color w:val="000000"/>
                <w:sz w:val="18"/>
                <w:szCs w:val="18"/>
              </w:rPr>
              <w:t>1.261</w:t>
            </w:r>
          </w:p>
        </w:tc>
      </w:tr>
    </w:tbl>
    <w:p w14:paraId="1C4452C2" w14:textId="77777777" w:rsidR="00C134AD" w:rsidRPr="001B4CA2" w:rsidRDefault="00C134AD" w:rsidP="00C134AD"/>
    <w:p w14:paraId="7D3D5023" w14:textId="76C4047E" w:rsidR="00C134AD" w:rsidRPr="001B4CA2" w:rsidRDefault="00C134AD" w:rsidP="00373B2A">
      <w:pPr>
        <w:ind w:firstLine="708"/>
      </w:pPr>
      <w:r w:rsidRPr="001B4CA2">
        <w:t xml:space="preserve">Tijekom 2022. sigurnosne mjere izrečene su prema ukupno 1.261 osobi, što u odnosu na prethodno izvještajno razdoblje, kada </w:t>
      </w:r>
      <w:r w:rsidR="00A23A60">
        <w:t>su</w:t>
      </w:r>
      <w:r w:rsidRPr="001B4CA2">
        <w:t xml:space="preserve"> izrečen</w:t>
      </w:r>
      <w:r w:rsidR="00A23A60">
        <w:t>e</w:t>
      </w:r>
      <w:r w:rsidRPr="001B4CA2">
        <w:t xml:space="preserve"> ukupno 1.044 sigurnosn</w:t>
      </w:r>
      <w:r w:rsidR="00A23A60">
        <w:t>e</w:t>
      </w:r>
      <w:r w:rsidRPr="001B4CA2">
        <w:t xml:space="preserve"> mjer</w:t>
      </w:r>
      <w:r w:rsidR="00A23A60">
        <w:t>e</w:t>
      </w:r>
      <w:r w:rsidRPr="001B4CA2">
        <w:t>, predstavlja porast od 217 mjera ili</w:t>
      </w:r>
      <w:r w:rsidR="001B4CA2">
        <w:t xml:space="preserve"> </w:t>
      </w:r>
      <w:r w:rsidRPr="001B4CA2">
        <w:t>17,21</w:t>
      </w:r>
      <w:r w:rsidR="00A23A60">
        <w:t> </w:t>
      </w:r>
      <w:r w:rsidRPr="001B4CA2">
        <w:t>%.</w:t>
      </w:r>
    </w:p>
    <w:p w14:paraId="34384314" w14:textId="77777777" w:rsidR="00C134AD" w:rsidRPr="001B4CA2" w:rsidRDefault="00C134AD" w:rsidP="00C134AD">
      <w:pPr>
        <w:ind w:firstLine="708"/>
      </w:pPr>
      <w:r w:rsidRPr="001B4CA2">
        <w:lastRenderedPageBreak/>
        <w:t>Gornji tablični prikaz pokazuje kako broj izrečenih sigurnosnih mjera kontinuirano raste kroz prikazano petogodišnje razdoblje.</w:t>
      </w:r>
    </w:p>
    <w:p w14:paraId="6D72338D" w14:textId="77777777" w:rsidR="00C134AD" w:rsidRPr="001B4CA2" w:rsidRDefault="00C134AD" w:rsidP="00C134AD"/>
    <w:p w14:paraId="51308788" w14:textId="3A4F5373" w:rsidR="00C134AD" w:rsidRPr="001B4CA2" w:rsidRDefault="00C134AD" w:rsidP="00C134AD">
      <w:pPr>
        <w:ind w:firstLine="708"/>
      </w:pPr>
      <w:r w:rsidRPr="001B4CA2">
        <w:t xml:space="preserve">Općinska državna odvjetništva dosljedno predlažu izricanje sigurnosnih mjera u svim situacijama u kojima je to nužno zbog otklanjanja okolnosti koje poticajno mogu utjecati na buduće </w:t>
      </w:r>
      <w:r w:rsidR="00A23A60">
        <w:t>činjenje</w:t>
      </w:r>
      <w:r w:rsidRPr="001B4CA2">
        <w:t xml:space="preserve"> kaznenih djela.</w:t>
      </w:r>
    </w:p>
    <w:p w14:paraId="4DCC480B" w14:textId="77777777" w:rsidR="00C134AD" w:rsidRPr="001B4CA2" w:rsidRDefault="00C134AD" w:rsidP="00C134AD"/>
    <w:p w14:paraId="30F4AD75" w14:textId="4F98F40E" w:rsidR="00C134AD" w:rsidRPr="001B4CA2" w:rsidRDefault="00C134AD" w:rsidP="00C134AD">
      <w:pPr>
        <w:ind w:firstLine="708"/>
      </w:pPr>
      <w:r w:rsidRPr="001B4CA2">
        <w:t xml:space="preserve">Najčešće izricana sigurnosna mjera </w:t>
      </w:r>
      <w:r w:rsidR="00A23A60" w:rsidRPr="001B4CA2">
        <w:t xml:space="preserve">je </w:t>
      </w:r>
      <w:r w:rsidRPr="001B4CA2">
        <w:t>mjera obveznog liječenja od ovisnosti s udjelom od 35,52 %, nakon čega slijedi sigurnosna mjera obveznog psihijatrijskog liječenja s udjelom od 27,59 % te sigurnosna mjera zabrane upravljanja motornim vozilom s udjelom od 5,94 %.</w:t>
      </w:r>
      <w:r w:rsidR="00A23A60">
        <w:t xml:space="preserve"> </w:t>
      </w:r>
      <w:r w:rsidRPr="001B4CA2">
        <w:t>Sigurnosna mjera zabrane obavljanja određene dužnosti ili djelatnosti izrečena je prema 13 osoba te sudjeluje u ukupnom broju izrečenih sigurnosnih mjera s 1,03</w:t>
      </w:r>
      <w:r w:rsidR="00A23A60">
        <w:t> </w:t>
      </w:r>
      <w:r w:rsidRPr="001B4CA2">
        <w:t>%.</w:t>
      </w:r>
    </w:p>
    <w:p w14:paraId="35AF24B7" w14:textId="77777777" w:rsidR="00C134AD" w:rsidRPr="001B4CA2" w:rsidRDefault="00C134AD" w:rsidP="00C134AD"/>
    <w:p w14:paraId="1B2057B3" w14:textId="205E0168" w:rsidR="00C134AD" w:rsidRPr="001B4CA2" w:rsidRDefault="00C134AD" w:rsidP="00C134AD">
      <w:pPr>
        <w:ind w:firstLine="708"/>
      </w:pPr>
      <w:r w:rsidRPr="001B4CA2">
        <w:t>Druge sigurnosne mjere izrečene su prema 375 osoba ili 29,73</w:t>
      </w:r>
      <w:r w:rsidR="00A23A60">
        <w:t> </w:t>
      </w:r>
      <w:r w:rsidRPr="001B4CA2">
        <w:t xml:space="preserve">%, a odnose se na sigurnosnu mjere zabrane približavanja, uznemiravanja ili uhođenja iz članka 73. Kaznenog zakona, sigurnosnu mjere obveznog psihosocijalnog tretmana iz članka 70. Kaznenog zakona, sigurnosnu mjeru obveznog udaljenja iz zajedničkog kućanstva iz članka 74. Kaznenog zakona. Primjena navedenih mjera najčešće sijedi prema počiniteljima kaznenih djela nasilja u obitelji iz članka 179.a Kaznenog zakona, nametljivoga ponašanja iz članka 140. Kaznenog zakona, kaznenoga dijela prijetnje iz članka 139. Kaznenog zakona. </w:t>
      </w:r>
    </w:p>
    <w:p w14:paraId="42D131FD" w14:textId="77777777" w:rsidR="00C134AD" w:rsidRPr="001B4CA2" w:rsidRDefault="00C134AD" w:rsidP="00C134AD">
      <w:pPr>
        <w:ind w:firstLine="708"/>
      </w:pPr>
    </w:p>
    <w:p w14:paraId="6E778715" w14:textId="48DF1BA5" w:rsidR="00C134AD" w:rsidRPr="001B4CA2" w:rsidRDefault="00C134AD" w:rsidP="00C134AD">
      <w:pPr>
        <w:ind w:firstLine="708"/>
      </w:pPr>
      <w:r w:rsidRPr="001B4CA2">
        <w:t xml:space="preserve">Svrha predlaganja i izricanja navedenih mjera </w:t>
      </w:r>
      <w:r w:rsidR="00A23A60" w:rsidRPr="001B4CA2">
        <w:t xml:space="preserve">zaštita </w:t>
      </w:r>
      <w:r w:rsidRPr="001B4CA2">
        <w:t>je žrtava kaznenoga djela, kao i otklanjanje okolnosti koje mogu poticajno djelovati na počinitelja kaznenih djela u budućnosti.</w:t>
      </w:r>
    </w:p>
    <w:p w14:paraId="7A86181A" w14:textId="77777777" w:rsidR="00C134AD" w:rsidRPr="001B4CA2" w:rsidRDefault="00C134AD" w:rsidP="00C134AD"/>
    <w:p w14:paraId="055797CF" w14:textId="77777777" w:rsidR="00C134AD" w:rsidRPr="001B4CA2" w:rsidRDefault="00C134AD" w:rsidP="00C134AD">
      <w:pPr>
        <w:ind w:firstLine="708"/>
      </w:pPr>
      <w:r w:rsidRPr="001B4CA2">
        <w:t>Kao i u ranijim razdobljima sigurnosna mjera obveznoga liječenja od ovisnosti najčešće je izricana počiniteljima kaznenih djela vezanih uz obiteljsko nasilje te kaznenih djela počinjenih na štetu bliskih osoba (kaznena djela prijetnje iz članka 139. Kaznenog zakona, kazneno djelo nasilja u obitelji iz članka 179.a Kaznenog zakona).</w:t>
      </w:r>
    </w:p>
    <w:p w14:paraId="0C678524" w14:textId="77777777" w:rsidR="00C134AD" w:rsidRPr="001B4CA2" w:rsidRDefault="00C134AD" w:rsidP="00C134AD"/>
    <w:p w14:paraId="7A6B7E9B" w14:textId="77777777" w:rsidR="00C134AD" w:rsidRPr="001B4CA2" w:rsidRDefault="00C134AD" w:rsidP="00C134AD">
      <w:pPr>
        <w:ind w:firstLine="708"/>
      </w:pPr>
      <w:r w:rsidRPr="001B4CA2">
        <w:t>Sigurnosna mjera obveznog psihijatrijskog liječenja izricana je počiniteljima kaznenog dijela prijetnje iz članka 139. Kaznenog zakona, bludnih radnji iz članka 155. Kaznenog zakona, nametljivog ponašanja iz članka 140. Kaznenog zakona i drugih.</w:t>
      </w:r>
    </w:p>
    <w:p w14:paraId="08E4F9EC" w14:textId="77777777" w:rsidR="00C134AD" w:rsidRPr="001B4CA2" w:rsidRDefault="00C134AD" w:rsidP="00C134AD"/>
    <w:p w14:paraId="53547EB7" w14:textId="77777777" w:rsidR="00C134AD" w:rsidRPr="001B4CA2" w:rsidRDefault="00C134AD" w:rsidP="00C134AD">
      <w:pPr>
        <w:ind w:firstLine="708"/>
      </w:pPr>
      <w:r w:rsidRPr="001B4CA2">
        <w:t>Sigurnosna mjera zabrane obavljanja određene dužnosti i djelatnosti izricana je počiniteljima kaznenih djela zlouporabe povjerenja u gospodarskom poslovanju iz članka 246. Kaznenog zakona i kaznenog djela zlouporabe položaja i ovlasti iz članka 291. Kaznenog zakona.</w:t>
      </w:r>
    </w:p>
    <w:p w14:paraId="6B8E2438" w14:textId="77777777" w:rsidR="00C134AD" w:rsidRPr="001B4CA2" w:rsidRDefault="00C134AD" w:rsidP="00C134AD"/>
    <w:p w14:paraId="47106E35" w14:textId="77777777" w:rsidR="00C134AD" w:rsidRPr="001B4CA2" w:rsidRDefault="00C134AD" w:rsidP="00C134AD">
      <w:pPr>
        <w:ind w:firstLine="708"/>
        <w:rPr>
          <w:color w:val="FF0000"/>
        </w:rPr>
      </w:pPr>
      <w:r w:rsidRPr="001B4CA2">
        <w:t>U odnosu na sigurnosne mjere zabrane upravljanja motornim vozilom one su izricane počiniteljima kaznenih djela protiv sigurnosti prometa, i to obijesne vožnje u cestovnom prometu iz članka 226. Kaznenog zakona i izazivanja prometne nesreće u cestovnom prometu iz članka 227. Kaznenog zakona.</w:t>
      </w:r>
    </w:p>
    <w:p w14:paraId="56DAC7E3" w14:textId="1A558B7D" w:rsidR="00121826" w:rsidRPr="001B4CA2" w:rsidRDefault="00121826" w:rsidP="00BC0D61"/>
    <w:p w14:paraId="5ED4F647" w14:textId="77777777" w:rsidR="00B167F1" w:rsidRPr="001B4CA2" w:rsidRDefault="00B167F1" w:rsidP="00BC0D61"/>
    <w:p w14:paraId="503D52DA" w14:textId="5BA5E177" w:rsidR="00AB15F3" w:rsidRPr="001B4CA2" w:rsidRDefault="00542189" w:rsidP="00D401CD">
      <w:pPr>
        <w:pStyle w:val="Naslov5"/>
        <w:tabs>
          <w:tab w:val="left" w:pos="1418"/>
        </w:tabs>
        <w:ind w:left="567" w:firstLine="0"/>
        <w:rPr>
          <w:rFonts w:ascii="Arial" w:hAnsi="Arial" w:cs="Arial"/>
        </w:rPr>
      </w:pPr>
      <w:bookmarkStart w:id="58" w:name="_Toc133394318"/>
      <w:r w:rsidRPr="001B4CA2">
        <w:rPr>
          <w:rFonts w:ascii="Arial" w:hAnsi="Arial" w:cs="Arial"/>
        </w:rPr>
        <w:lastRenderedPageBreak/>
        <w:t>Kaznene sankcije</w:t>
      </w:r>
      <w:r w:rsidR="008443EC" w:rsidRPr="001B4CA2">
        <w:rPr>
          <w:rFonts w:ascii="Arial" w:hAnsi="Arial" w:cs="Arial"/>
        </w:rPr>
        <w:t xml:space="preserve"> – </w:t>
      </w:r>
      <w:r w:rsidRPr="001B4CA2">
        <w:rPr>
          <w:rFonts w:ascii="Arial" w:hAnsi="Arial" w:cs="Arial"/>
        </w:rPr>
        <w:t>maloljetnici</w:t>
      </w:r>
      <w:bookmarkEnd w:id="58"/>
    </w:p>
    <w:p w14:paraId="06E59183" w14:textId="77777777" w:rsidR="00403A6B" w:rsidRPr="001B4CA2" w:rsidRDefault="00403A6B" w:rsidP="00446019"/>
    <w:p w14:paraId="3CD47C10" w14:textId="43F75E68" w:rsidR="00446019" w:rsidRPr="001B4CA2" w:rsidRDefault="00FB2B5D" w:rsidP="00403A6B">
      <w:pPr>
        <w:rPr>
          <w:i/>
        </w:rPr>
      </w:pPr>
      <w:r>
        <w:rPr>
          <w:i/>
        </w:rPr>
        <w:t xml:space="preserve">    </w:t>
      </w:r>
      <w:r w:rsidR="00504DFD" w:rsidRPr="001B4CA2">
        <w:rPr>
          <w:i/>
        </w:rPr>
        <w:t>Kaznene sankcije</w:t>
      </w:r>
    </w:p>
    <w:tbl>
      <w:tblPr>
        <w:tblW w:w="48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1295"/>
        <w:gridCol w:w="1245"/>
        <w:gridCol w:w="1113"/>
        <w:gridCol w:w="1107"/>
        <w:gridCol w:w="1114"/>
        <w:gridCol w:w="1107"/>
        <w:gridCol w:w="1166"/>
      </w:tblGrid>
      <w:tr w:rsidR="00532C41" w:rsidRPr="001B4CA2" w14:paraId="2D70837E" w14:textId="77777777" w:rsidTr="009A1E7E">
        <w:trPr>
          <w:trHeight w:val="1195"/>
          <w:jc w:val="center"/>
        </w:trPr>
        <w:tc>
          <w:tcPr>
            <w:tcW w:w="365" w:type="pct"/>
            <w:shd w:val="clear" w:color="auto" w:fill="99CCFF"/>
            <w:vAlign w:val="center"/>
          </w:tcPr>
          <w:p w14:paraId="360B0BA4" w14:textId="77777777" w:rsidR="00446019" w:rsidRPr="001B4CA2" w:rsidRDefault="00446019" w:rsidP="00446019">
            <w:pPr>
              <w:jc w:val="center"/>
              <w:rPr>
                <w:rFonts w:eastAsia="Times New Roman"/>
                <w:b/>
                <w:sz w:val="18"/>
                <w:szCs w:val="20"/>
                <w:lang w:eastAsia="hr-HR"/>
              </w:rPr>
            </w:pPr>
            <w:r w:rsidRPr="001B4CA2">
              <w:rPr>
                <w:rFonts w:eastAsia="Times New Roman"/>
                <w:b/>
                <w:sz w:val="18"/>
                <w:szCs w:val="20"/>
                <w:lang w:eastAsia="hr-HR"/>
              </w:rPr>
              <w:t>Godina</w:t>
            </w:r>
          </w:p>
        </w:tc>
        <w:tc>
          <w:tcPr>
            <w:tcW w:w="738" w:type="pct"/>
            <w:shd w:val="clear" w:color="auto" w:fill="99CCFF"/>
            <w:vAlign w:val="center"/>
          </w:tcPr>
          <w:p w14:paraId="60CA7003" w14:textId="77777777" w:rsidR="00446019" w:rsidRPr="001B4CA2" w:rsidRDefault="00446019" w:rsidP="00446019">
            <w:pPr>
              <w:jc w:val="center"/>
              <w:rPr>
                <w:rFonts w:eastAsia="Times New Roman"/>
                <w:b/>
                <w:sz w:val="18"/>
                <w:szCs w:val="20"/>
                <w:lang w:eastAsia="hr-HR"/>
              </w:rPr>
            </w:pPr>
            <w:r w:rsidRPr="001B4CA2">
              <w:rPr>
                <w:rFonts w:eastAsia="Times New Roman"/>
                <w:b/>
                <w:sz w:val="18"/>
                <w:szCs w:val="20"/>
                <w:lang w:eastAsia="hr-HR"/>
              </w:rPr>
              <w:t xml:space="preserve">Ukupan broj prijedloga za </w:t>
            </w:r>
            <w:proofErr w:type="spellStart"/>
            <w:r w:rsidRPr="001B4CA2">
              <w:rPr>
                <w:rFonts w:eastAsia="Times New Roman"/>
                <w:b/>
                <w:sz w:val="18"/>
                <w:szCs w:val="20"/>
                <w:lang w:eastAsia="hr-HR"/>
              </w:rPr>
              <w:t>mlt</w:t>
            </w:r>
            <w:proofErr w:type="spellEnd"/>
            <w:r w:rsidRPr="001B4CA2">
              <w:rPr>
                <w:rFonts w:eastAsia="Times New Roman"/>
                <w:b/>
                <w:sz w:val="18"/>
                <w:szCs w:val="20"/>
                <w:lang w:eastAsia="hr-HR"/>
              </w:rPr>
              <w:t>. sankciju</w:t>
            </w:r>
          </w:p>
        </w:tc>
        <w:tc>
          <w:tcPr>
            <w:tcW w:w="710" w:type="pct"/>
            <w:shd w:val="clear" w:color="auto" w:fill="99CCFF"/>
            <w:vAlign w:val="center"/>
          </w:tcPr>
          <w:p w14:paraId="51381056" w14:textId="77777777" w:rsidR="00446019" w:rsidRPr="001B4CA2" w:rsidRDefault="00446019" w:rsidP="00446019">
            <w:pPr>
              <w:jc w:val="center"/>
              <w:rPr>
                <w:rFonts w:eastAsia="Times New Roman"/>
                <w:b/>
                <w:sz w:val="18"/>
                <w:szCs w:val="20"/>
                <w:lang w:eastAsia="hr-HR"/>
              </w:rPr>
            </w:pPr>
            <w:r w:rsidRPr="001B4CA2">
              <w:rPr>
                <w:rFonts w:eastAsia="Times New Roman"/>
                <w:b/>
                <w:sz w:val="18"/>
                <w:szCs w:val="20"/>
                <w:lang w:eastAsia="hr-HR"/>
              </w:rPr>
              <w:t xml:space="preserve">Ukupan broj izrečenih </w:t>
            </w:r>
            <w:proofErr w:type="spellStart"/>
            <w:r w:rsidRPr="001B4CA2">
              <w:rPr>
                <w:rFonts w:eastAsia="Times New Roman"/>
                <w:b/>
                <w:sz w:val="18"/>
                <w:szCs w:val="20"/>
                <w:lang w:eastAsia="hr-HR"/>
              </w:rPr>
              <w:t>mlt</w:t>
            </w:r>
            <w:proofErr w:type="spellEnd"/>
            <w:r w:rsidRPr="001B4CA2">
              <w:rPr>
                <w:rFonts w:eastAsia="Times New Roman"/>
                <w:b/>
                <w:sz w:val="18"/>
                <w:szCs w:val="20"/>
                <w:lang w:eastAsia="hr-HR"/>
              </w:rPr>
              <w:t>. sankcija</w:t>
            </w:r>
          </w:p>
        </w:tc>
        <w:tc>
          <w:tcPr>
            <w:tcW w:w="636" w:type="pct"/>
            <w:shd w:val="clear" w:color="auto" w:fill="99CCFF"/>
            <w:vAlign w:val="center"/>
          </w:tcPr>
          <w:p w14:paraId="6ED786A3" w14:textId="77777777" w:rsidR="00446019" w:rsidRPr="001B4CA2" w:rsidRDefault="00446019" w:rsidP="00446019">
            <w:pPr>
              <w:jc w:val="center"/>
              <w:rPr>
                <w:rFonts w:eastAsia="Times New Roman"/>
                <w:b/>
                <w:sz w:val="18"/>
                <w:szCs w:val="20"/>
                <w:lang w:eastAsia="hr-HR"/>
              </w:rPr>
            </w:pPr>
            <w:r w:rsidRPr="001B4CA2">
              <w:rPr>
                <w:rFonts w:eastAsia="Times New Roman"/>
                <w:b/>
                <w:sz w:val="18"/>
                <w:szCs w:val="20"/>
                <w:lang w:eastAsia="hr-HR"/>
              </w:rPr>
              <w:t xml:space="preserve">Od toga kazna </w:t>
            </w:r>
            <w:proofErr w:type="spellStart"/>
            <w:r w:rsidRPr="001B4CA2">
              <w:rPr>
                <w:rFonts w:eastAsia="Times New Roman"/>
                <w:b/>
                <w:sz w:val="18"/>
                <w:szCs w:val="20"/>
                <w:lang w:eastAsia="hr-HR"/>
              </w:rPr>
              <w:t>mlt</w:t>
            </w:r>
            <w:proofErr w:type="spellEnd"/>
            <w:r w:rsidRPr="001B4CA2">
              <w:rPr>
                <w:rFonts w:eastAsia="Times New Roman"/>
                <w:b/>
                <w:sz w:val="18"/>
                <w:szCs w:val="20"/>
                <w:lang w:eastAsia="hr-HR"/>
              </w:rPr>
              <w:t>. zatvora</w:t>
            </w:r>
          </w:p>
        </w:tc>
        <w:tc>
          <w:tcPr>
            <w:tcW w:w="633" w:type="pct"/>
            <w:shd w:val="clear" w:color="auto" w:fill="99CCFF"/>
            <w:vAlign w:val="center"/>
          </w:tcPr>
          <w:p w14:paraId="5D54FB6C" w14:textId="77777777" w:rsidR="00446019" w:rsidRPr="001B4CA2" w:rsidRDefault="00446019" w:rsidP="00446019">
            <w:pPr>
              <w:jc w:val="center"/>
              <w:rPr>
                <w:rFonts w:eastAsia="Times New Roman"/>
                <w:b/>
                <w:sz w:val="18"/>
                <w:szCs w:val="20"/>
                <w:lang w:eastAsia="hr-HR"/>
              </w:rPr>
            </w:pPr>
            <w:r w:rsidRPr="001B4CA2">
              <w:rPr>
                <w:rFonts w:eastAsia="Times New Roman"/>
                <w:b/>
                <w:sz w:val="18"/>
                <w:szCs w:val="20"/>
                <w:lang w:eastAsia="hr-HR"/>
              </w:rPr>
              <w:t xml:space="preserve">Od toga pridržaj izricanja </w:t>
            </w:r>
            <w:proofErr w:type="spellStart"/>
            <w:r w:rsidRPr="001B4CA2">
              <w:rPr>
                <w:rFonts w:eastAsia="Times New Roman"/>
                <w:b/>
                <w:sz w:val="18"/>
                <w:szCs w:val="20"/>
                <w:lang w:eastAsia="hr-HR"/>
              </w:rPr>
              <w:t>mlt</w:t>
            </w:r>
            <w:proofErr w:type="spellEnd"/>
            <w:r w:rsidRPr="001B4CA2">
              <w:rPr>
                <w:rFonts w:eastAsia="Times New Roman"/>
                <w:b/>
                <w:sz w:val="18"/>
                <w:szCs w:val="20"/>
                <w:lang w:eastAsia="hr-HR"/>
              </w:rPr>
              <w:t>. zatvora</w:t>
            </w:r>
          </w:p>
        </w:tc>
        <w:tc>
          <w:tcPr>
            <w:tcW w:w="637" w:type="pct"/>
            <w:shd w:val="clear" w:color="auto" w:fill="99CCFF"/>
            <w:vAlign w:val="center"/>
          </w:tcPr>
          <w:p w14:paraId="203E40C4" w14:textId="77777777" w:rsidR="00446019" w:rsidRPr="001B4CA2" w:rsidRDefault="00446019" w:rsidP="00446019">
            <w:pPr>
              <w:jc w:val="center"/>
              <w:rPr>
                <w:rFonts w:eastAsia="Times New Roman"/>
                <w:b/>
                <w:sz w:val="18"/>
                <w:szCs w:val="20"/>
                <w:lang w:eastAsia="hr-HR"/>
              </w:rPr>
            </w:pPr>
            <w:r w:rsidRPr="001B4CA2">
              <w:rPr>
                <w:rFonts w:eastAsia="Times New Roman"/>
                <w:b/>
                <w:sz w:val="18"/>
                <w:szCs w:val="20"/>
                <w:lang w:eastAsia="hr-HR"/>
              </w:rPr>
              <w:t>Od toga odgojne mjere</w:t>
            </w:r>
          </w:p>
        </w:tc>
        <w:tc>
          <w:tcPr>
            <w:tcW w:w="633" w:type="pct"/>
            <w:shd w:val="clear" w:color="auto" w:fill="99CCFF"/>
            <w:vAlign w:val="center"/>
          </w:tcPr>
          <w:p w14:paraId="0F477393" w14:textId="77777777" w:rsidR="00446019" w:rsidRPr="001B4CA2" w:rsidRDefault="00446019" w:rsidP="00446019">
            <w:pPr>
              <w:jc w:val="center"/>
              <w:rPr>
                <w:rFonts w:eastAsia="Times New Roman"/>
                <w:b/>
                <w:sz w:val="18"/>
                <w:szCs w:val="20"/>
                <w:lang w:eastAsia="hr-HR"/>
              </w:rPr>
            </w:pPr>
            <w:r w:rsidRPr="001B4CA2">
              <w:rPr>
                <w:rFonts w:eastAsia="Times New Roman"/>
                <w:b/>
                <w:sz w:val="18"/>
                <w:szCs w:val="20"/>
                <w:lang w:eastAsia="hr-HR"/>
              </w:rPr>
              <w:t>Obustava postupka</w:t>
            </w:r>
          </w:p>
        </w:tc>
        <w:tc>
          <w:tcPr>
            <w:tcW w:w="649" w:type="pct"/>
            <w:shd w:val="clear" w:color="auto" w:fill="99CCFF"/>
            <w:vAlign w:val="center"/>
          </w:tcPr>
          <w:p w14:paraId="4329961C" w14:textId="77777777" w:rsidR="00446019" w:rsidRPr="001B4CA2" w:rsidRDefault="00446019" w:rsidP="00446019">
            <w:pPr>
              <w:jc w:val="center"/>
              <w:rPr>
                <w:rFonts w:eastAsia="Times New Roman"/>
                <w:b/>
                <w:sz w:val="18"/>
                <w:szCs w:val="20"/>
                <w:lang w:eastAsia="hr-HR"/>
              </w:rPr>
            </w:pPr>
            <w:r w:rsidRPr="001B4CA2">
              <w:rPr>
                <w:rFonts w:eastAsia="Times New Roman"/>
                <w:b/>
                <w:sz w:val="18"/>
                <w:szCs w:val="20"/>
                <w:lang w:eastAsia="hr-HR"/>
              </w:rPr>
              <w:t xml:space="preserve">Od toga </w:t>
            </w:r>
            <w:proofErr w:type="spellStart"/>
            <w:r w:rsidRPr="001B4CA2">
              <w:rPr>
                <w:rFonts w:eastAsia="Times New Roman"/>
                <w:b/>
                <w:sz w:val="18"/>
                <w:szCs w:val="20"/>
                <w:lang w:eastAsia="hr-HR"/>
              </w:rPr>
              <w:t>oportunitet</w:t>
            </w:r>
            <w:proofErr w:type="spellEnd"/>
          </w:p>
        </w:tc>
      </w:tr>
      <w:tr w:rsidR="00532C41" w:rsidRPr="001B4CA2" w14:paraId="1BB202C8" w14:textId="77777777" w:rsidTr="009A1E7E">
        <w:trPr>
          <w:trHeight w:val="295"/>
          <w:jc w:val="center"/>
        </w:trPr>
        <w:tc>
          <w:tcPr>
            <w:tcW w:w="365" w:type="pct"/>
            <w:shd w:val="clear" w:color="auto" w:fill="auto"/>
            <w:vAlign w:val="center"/>
          </w:tcPr>
          <w:p w14:paraId="50715203" w14:textId="58CE0DE2" w:rsidR="00403A6B" w:rsidRPr="001B4CA2" w:rsidRDefault="00403A6B" w:rsidP="0002228E">
            <w:pPr>
              <w:jc w:val="center"/>
              <w:rPr>
                <w:rFonts w:eastAsia="Times New Roman"/>
                <w:sz w:val="18"/>
                <w:szCs w:val="18"/>
                <w:lang w:eastAsia="hr-HR"/>
              </w:rPr>
            </w:pPr>
            <w:r w:rsidRPr="001B4CA2">
              <w:rPr>
                <w:rFonts w:eastAsia="Times New Roman"/>
                <w:sz w:val="18"/>
                <w:szCs w:val="18"/>
                <w:lang w:eastAsia="hr-HR"/>
              </w:rPr>
              <w:t>201</w:t>
            </w:r>
            <w:r w:rsidR="005C178F" w:rsidRPr="001B4CA2">
              <w:rPr>
                <w:rFonts w:eastAsia="Times New Roman"/>
                <w:sz w:val="18"/>
                <w:szCs w:val="18"/>
                <w:lang w:eastAsia="hr-HR"/>
              </w:rPr>
              <w:t>8</w:t>
            </w:r>
            <w:r w:rsidRPr="001B4CA2">
              <w:rPr>
                <w:rFonts w:eastAsia="Times New Roman"/>
                <w:sz w:val="18"/>
                <w:szCs w:val="18"/>
                <w:lang w:eastAsia="hr-HR"/>
              </w:rPr>
              <w:t>.</w:t>
            </w:r>
          </w:p>
        </w:tc>
        <w:tc>
          <w:tcPr>
            <w:tcW w:w="738" w:type="pct"/>
            <w:shd w:val="clear" w:color="auto" w:fill="auto"/>
            <w:vAlign w:val="center"/>
          </w:tcPr>
          <w:p w14:paraId="266423BE" w14:textId="172520DF"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369</w:t>
            </w:r>
          </w:p>
        </w:tc>
        <w:tc>
          <w:tcPr>
            <w:tcW w:w="710" w:type="pct"/>
            <w:shd w:val="clear" w:color="auto" w:fill="auto"/>
            <w:vAlign w:val="center"/>
          </w:tcPr>
          <w:p w14:paraId="6ABC0404" w14:textId="13179F66" w:rsidR="00403A6B" w:rsidRPr="001B4CA2" w:rsidRDefault="00403A6B" w:rsidP="0002228E">
            <w:pPr>
              <w:jc w:val="center"/>
              <w:rPr>
                <w:rFonts w:eastAsia="Times New Roman"/>
                <w:sz w:val="18"/>
                <w:szCs w:val="18"/>
                <w:lang w:eastAsia="hr-HR"/>
              </w:rPr>
            </w:pPr>
            <w:r w:rsidRPr="001B4CA2">
              <w:rPr>
                <w:rFonts w:eastAsia="Times New Roman"/>
                <w:sz w:val="18"/>
                <w:szCs w:val="18"/>
                <w:lang w:eastAsia="hr-HR"/>
              </w:rPr>
              <w:t>31</w:t>
            </w:r>
            <w:r w:rsidR="005C178F" w:rsidRPr="001B4CA2">
              <w:rPr>
                <w:rFonts w:eastAsia="Times New Roman"/>
                <w:sz w:val="18"/>
                <w:szCs w:val="18"/>
                <w:lang w:eastAsia="hr-HR"/>
              </w:rPr>
              <w:t>5</w:t>
            </w:r>
          </w:p>
        </w:tc>
        <w:tc>
          <w:tcPr>
            <w:tcW w:w="636" w:type="pct"/>
            <w:shd w:val="clear" w:color="auto" w:fill="auto"/>
            <w:vAlign w:val="center"/>
          </w:tcPr>
          <w:p w14:paraId="49F2FF0B" w14:textId="0A00731C" w:rsidR="00403A6B" w:rsidRPr="001B4CA2" w:rsidRDefault="00403A6B" w:rsidP="0002228E">
            <w:pPr>
              <w:jc w:val="center"/>
              <w:rPr>
                <w:rFonts w:eastAsia="Times New Roman"/>
                <w:sz w:val="18"/>
                <w:szCs w:val="18"/>
                <w:lang w:eastAsia="hr-HR"/>
              </w:rPr>
            </w:pPr>
            <w:r w:rsidRPr="001B4CA2">
              <w:rPr>
                <w:rFonts w:eastAsia="Times New Roman"/>
                <w:sz w:val="18"/>
                <w:szCs w:val="18"/>
                <w:lang w:eastAsia="hr-HR"/>
              </w:rPr>
              <w:t>7</w:t>
            </w:r>
          </w:p>
        </w:tc>
        <w:tc>
          <w:tcPr>
            <w:tcW w:w="633" w:type="pct"/>
            <w:shd w:val="clear" w:color="auto" w:fill="auto"/>
            <w:vAlign w:val="center"/>
          </w:tcPr>
          <w:p w14:paraId="0A2F30ED" w14:textId="6339FFD4"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30</w:t>
            </w:r>
          </w:p>
        </w:tc>
        <w:tc>
          <w:tcPr>
            <w:tcW w:w="637" w:type="pct"/>
            <w:shd w:val="clear" w:color="auto" w:fill="auto"/>
            <w:vAlign w:val="center"/>
          </w:tcPr>
          <w:p w14:paraId="4F74A51A" w14:textId="01C8AAC7"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278</w:t>
            </w:r>
          </w:p>
        </w:tc>
        <w:tc>
          <w:tcPr>
            <w:tcW w:w="633" w:type="pct"/>
            <w:shd w:val="clear" w:color="auto" w:fill="auto"/>
            <w:vAlign w:val="center"/>
          </w:tcPr>
          <w:p w14:paraId="48EEA857" w14:textId="66850729" w:rsidR="00403A6B" w:rsidRPr="001B4CA2" w:rsidRDefault="00403A6B" w:rsidP="0002228E">
            <w:pPr>
              <w:jc w:val="center"/>
              <w:rPr>
                <w:rFonts w:eastAsia="Times New Roman"/>
                <w:sz w:val="18"/>
                <w:szCs w:val="18"/>
                <w:lang w:eastAsia="hr-HR"/>
              </w:rPr>
            </w:pPr>
            <w:r w:rsidRPr="001B4CA2">
              <w:rPr>
                <w:rFonts w:eastAsia="Times New Roman"/>
                <w:sz w:val="18"/>
                <w:szCs w:val="18"/>
                <w:lang w:eastAsia="hr-HR"/>
              </w:rPr>
              <w:t>5</w:t>
            </w:r>
            <w:r w:rsidR="005C178F" w:rsidRPr="001B4CA2">
              <w:rPr>
                <w:rFonts w:eastAsia="Times New Roman"/>
                <w:sz w:val="18"/>
                <w:szCs w:val="18"/>
                <w:lang w:eastAsia="hr-HR"/>
              </w:rPr>
              <w:t>3</w:t>
            </w:r>
          </w:p>
        </w:tc>
        <w:tc>
          <w:tcPr>
            <w:tcW w:w="649" w:type="pct"/>
            <w:shd w:val="clear" w:color="auto" w:fill="auto"/>
            <w:vAlign w:val="center"/>
          </w:tcPr>
          <w:p w14:paraId="06BCFFE7" w14:textId="39A0AC0A"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23</w:t>
            </w:r>
          </w:p>
        </w:tc>
      </w:tr>
      <w:tr w:rsidR="00532C41" w:rsidRPr="001B4CA2" w14:paraId="0B0EFD46" w14:textId="77777777" w:rsidTr="009A1E7E">
        <w:trPr>
          <w:trHeight w:val="295"/>
          <w:jc w:val="center"/>
        </w:trPr>
        <w:tc>
          <w:tcPr>
            <w:tcW w:w="365" w:type="pct"/>
            <w:shd w:val="clear" w:color="auto" w:fill="auto"/>
            <w:vAlign w:val="center"/>
          </w:tcPr>
          <w:p w14:paraId="17217F89" w14:textId="7A0D38AE" w:rsidR="00403A6B" w:rsidRPr="001B4CA2" w:rsidRDefault="00403A6B" w:rsidP="0002228E">
            <w:pPr>
              <w:jc w:val="center"/>
              <w:rPr>
                <w:rFonts w:eastAsia="Times New Roman"/>
                <w:sz w:val="18"/>
                <w:szCs w:val="18"/>
                <w:lang w:eastAsia="hr-HR"/>
              </w:rPr>
            </w:pPr>
            <w:r w:rsidRPr="001B4CA2">
              <w:rPr>
                <w:rFonts w:eastAsia="Times New Roman"/>
                <w:sz w:val="18"/>
                <w:szCs w:val="18"/>
                <w:lang w:eastAsia="hr-HR"/>
              </w:rPr>
              <w:t>201</w:t>
            </w:r>
            <w:r w:rsidR="005C178F" w:rsidRPr="001B4CA2">
              <w:rPr>
                <w:rFonts w:eastAsia="Times New Roman"/>
                <w:sz w:val="18"/>
                <w:szCs w:val="18"/>
                <w:lang w:eastAsia="hr-HR"/>
              </w:rPr>
              <w:t>9</w:t>
            </w:r>
            <w:r w:rsidRPr="001B4CA2">
              <w:rPr>
                <w:rFonts w:eastAsia="Times New Roman"/>
                <w:sz w:val="18"/>
                <w:szCs w:val="18"/>
                <w:lang w:eastAsia="hr-HR"/>
              </w:rPr>
              <w:t>.</w:t>
            </w:r>
          </w:p>
        </w:tc>
        <w:tc>
          <w:tcPr>
            <w:tcW w:w="738" w:type="pct"/>
            <w:shd w:val="clear" w:color="auto" w:fill="auto"/>
            <w:vAlign w:val="center"/>
          </w:tcPr>
          <w:p w14:paraId="7B266C2E" w14:textId="270F6AFA"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275</w:t>
            </w:r>
          </w:p>
        </w:tc>
        <w:tc>
          <w:tcPr>
            <w:tcW w:w="710" w:type="pct"/>
            <w:shd w:val="clear" w:color="auto" w:fill="auto"/>
            <w:vAlign w:val="center"/>
          </w:tcPr>
          <w:p w14:paraId="0C111082" w14:textId="1D0FEECA" w:rsidR="00403A6B" w:rsidRPr="001B4CA2" w:rsidRDefault="00403A6B" w:rsidP="0002228E">
            <w:pPr>
              <w:jc w:val="center"/>
              <w:rPr>
                <w:rFonts w:eastAsia="Times New Roman"/>
                <w:sz w:val="18"/>
                <w:szCs w:val="18"/>
                <w:lang w:eastAsia="hr-HR"/>
              </w:rPr>
            </w:pPr>
            <w:r w:rsidRPr="001B4CA2">
              <w:rPr>
                <w:rFonts w:eastAsia="Times New Roman"/>
                <w:sz w:val="18"/>
                <w:szCs w:val="18"/>
                <w:lang w:eastAsia="hr-HR"/>
              </w:rPr>
              <w:t>3</w:t>
            </w:r>
            <w:r w:rsidR="005C178F" w:rsidRPr="001B4CA2">
              <w:rPr>
                <w:rFonts w:eastAsia="Times New Roman"/>
                <w:sz w:val="18"/>
                <w:szCs w:val="18"/>
                <w:lang w:eastAsia="hr-HR"/>
              </w:rPr>
              <w:t>17</w:t>
            </w:r>
          </w:p>
        </w:tc>
        <w:tc>
          <w:tcPr>
            <w:tcW w:w="636" w:type="pct"/>
            <w:shd w:val="clear" w:color="auto" w:fill="auto"/>
            <w:vAlign w:val="center"/>
          </w:tcPr>
          <w:p w14:paraId="05B2FF02" w14:textId="35C5C335" w:rsidR="00403A6B" w:rsidRPr="001B4CA2" w:rsidRDefault="00403A6B" w:rsidP="0002228E">
            <w:pPr>
              <w:jc w:val="center"/>
              <w:rPr>
                <w:rFonts w:eastAsia="Times New Roman"/>
                <w:sz w:val="18"/>
                <w:szCs w:val="18"/>
                <w:lang w:eastAsia="hr-HR"/>
              </w:rPr>
            </w:pPr>
            <w:r w:rsidRPr="001B4CA2">
              <w:rPr>
                <w:rFonts w:eastAsia="Times New Roman"/>
                <w:sz w:val="18"/>
                <w:szCs w:val="18"/>
                <w:lang w:eastAsia="hr-HR"/>
              </w:rPr>
              <w:t>7</w:t>
            </w:r>
          </w:p>
        </w:tc>
        <w:tc>
          <w:tcPr>
            <w:tcW w:w="633" w:type="pct"/>
            <w:shd w:val="clear" w:color="auto" w:fill="auto"/>
            <w:vAlign w:val="center"/>
          </w:tcPr>
          <w:p w14:paraId="3EED908C" w14:textId="673118D7"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26</w:t>
            </w:r>
          </w:p>
        </w:tc>
        <w:tc>
          <w:tcPr>
            <w:tcW w:w="637" w:type="pct"/>
            <w:shd w:val="clear" w:color="auto" w:fill="auto"/>
            <w:vAlign w:val="center"/>
          </w:tcPr>
          <w:p w14:paraId="3ACF13C4" w14:textId="6849F0EE"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284</w:t>
            </w:r>
          </w:p>
        </w:tc>
        <w:tc>
          <w:tcPr>
            <w:tcW w:w="633" w:type="pct"/>
            <w:shd w:val="clear" w:color="auto" w:fill="auto"/>
            <w:vAlign w:val="center"/>
          </w:tcPr>
          <w:p w14:paraId="353615EE" w14:textId="347424B3"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49</w:t>
            </w:r>
          </w:p>
        </w:tc>
        <w:tc>
          <w:tcPr>
            <w:tcW w:w="649" w:type="pct"/>
            <w:shd w:val="clear" w:color="auto" w:fill="auto"/>
            <w:vAlign w:val="center"/>
          </w:tcPr>
          <w:p w14:paraId="76F40920" w14:textId="06CDF562"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16</w:t>
            </w:r>
          </w:p>
        </w:tc>
      </w:tr>
      <w:tr w:rsidR="00532C41" w:rsidRPr="001B4CA2" w14:paraId="037BF41D" w14:textId="77777777" w:rsidTr="009A1E7E">
        <w:trPr>
          <w:trHeight w:val="295"/>
          <w:jc w:val="center"/>
        </w:trPr>
        <w:tc>
          <w:tcPr>
            <w:tcW w:w="365" w:type="pct"/>
            <w:shd w:val="clear" w:color="auto" w:fill="auto"/>
            <w:vAlign w:val="center"/>
          </w:tcPr>
          <w:p w14:paraId="59172871" w14:textId="1A7ECC21" w:rsidR="00403A6B" w:rsidRPr="001B4CA2" w:rsidRDefault="00403A6B" w:rsidP="0002228E">
            <w:pPr>
              <w:jc w:val="center"/>
              <w:rPr>
                <w:rFonts w:eastAsia="Times New Roman"/>
                <w:sz w:val="18"/>
                <w:szCs w:val="18"/>
                <w:lang w:eastAsia="hr-HR"/>
              </w:rPr>
            </w:pPr>
            <w:r w:rsidRPr="001B4CA2">
              <w:rPr>
                <w:rFonts w:eastAsia="Times New Roman"/>
                <w:sz w:val="18"/>
                <w:szCs w:val="18"/>
                <w:lang w:eastAsia="hr-HR"/>
              </w:rPr>
              <w:t>20</w:t>
            </w:r>
            <w:r w:rsidR="005C178F" w:rsidRPr="001B4CA2">
              <w:rPr>
                <w:rFonts w:eastAsia="Times New Roman"/>
                <w:sz w:val="18"/>
                <w:szCs w:val="18"/>
                <w:lang w:eastAsia="hr-HR"/>
              </w:rPr>
              <w:t>20</w:t>
            </w:r>
            <w:r w:rsidRPr="001B4CA2">
              <w:rPr>
                <w:rFonts w:eastAsia="Times New Roman"/>
                <w:sz w:val="18"/>
                <w:szCs w:val="18"/>
                <w:lang w:eastAsia="hr-HR"/>
              </w:rPr>
              <w:t>.</w:t>
            </w:r>
          </w:p>
        </w:tc>
        <w:tc>
          <w:tcPr>
            <w:tcW w:w="738" w:type="pct"/>
            <w:shd w:val="clear" w:color="auto" w:fill="auto"/>
            <w:vAlign w:val="center"/>
          </w:tcPr>
          <w:p w14:paraId="687751DD" w14:textId="620663D8"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321</w:t>
            </w:r>
          </w:p>
        </w:tc>
        <w:tc>
          <w:tcPr>
            <w:tcW w:w="710" w:type="pct"/>
            <w:shd w:val="clear" w:color="auto" w:fill="auto"/>
            <w:vAlign w:val="center"/>
          </w:tcPr>
          <w:p w14:paraId="448C6AD2" w14:textId="61572F43" w:rsidR="00403A6B" w:rsidRPr="001B4CA2" w:rsidRDefault="00403A6B" w:rsidP="0002228E">
            <w:pPr>
              <w:jc w:val="center"/>
              <w:rPr>
                <w:rFonts w:eastAsia="Times New Roman"/>
                <w:sz w:val="18"/>
                <w:szCs w:val="18"/>
                <w:lang w:eastAsia="hr-HR"/>
              </w:rPr>
            </w:pPr>
            <w:r w:rsidRPr="001B4CA2">
              <w:rPr>
                <w:rFonts w:eastAsia="Times New Roman"/>
                <w:sz w:val="18"/>
                <w:szCs w:val="18"/>
                <w:lang w:eastAsia="hr-HR"/>
              </w:rPr>
              <w:t>3</w:t>
            </w:r>
            <w:r w:rsidR="005C178F" w:rsidRPr="001B4CA2">
              <w:rPr>
                <w:rFonts w:eastAsia="Times New Roman"/>
                <w:sz w:val="18"/>
                <w:szCs w:val="18"/>
                <w:lang w:eastAsia="hr-HR"/>
              </w:rPr>
              <w:t>80</w:t>
            </w:r>
          </w:p>
        </w:tc>
        <w:tc>
          <w:tcPr>
            <w:tcW w:w="636" w:type="pct"/>
            <w:shd w:val="clear" w:color="auto" w:fill="auto"/>
            <w:vAlign w:val="center"/>
          </w:tcPr>
          <w:p w14:paraId="59EAC478" w14:textId="53E5CA37"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5</w:t>
            </w:r>
          </w:p>
        </w:tc>
        <w:tc>
          <w:tcPr>
            <w:tcW w:w="633" w:type="pct"/>
            <w:shd w:val="clear" w:color="auto" w:fill="auto"/>
            <w:vAlign w:val="center"/>
          </w:tcPr>
          <w:p w14:paraId="1E8002B1" w14:textId="245D03D6"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42</w:t>
            </w:r>
          </w:p>
        </w:tc>
        <w:tc>
          <w:tcPr>
            <w:tcW w:w="637" w:type="pct"/>
            <w:shd w:val="clear" w:color="auto" w:fill="auto"/>
            <w:vAlign w:val="center"/>
          </w:tcPr>
          <w:p w14:paraId="2FF404A3" w14:textId="0664F350"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333</w:t>
            </w:r>
          </w:p>
        </w:tc>
        <w:tc>
          <w:tcPr>
            <w:tcW w:w="633" w:type="pct"/>
            <w:shd w:val="clear" w:color="auto" w:fill="auto"/>
            <w:vAlign w:val="center"/>
          </w:tcPr>
          <w:p w14:paraId="3F62ADDE" w14:textId="10355D3B"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51</w:t>
            </w:r>
          </w:p>
        </w:tc>
        <w:tc>
          <w:tcPr>
            <w:tcW w:w="649" w:type="pct"/>
            <w:shd w:val="clear" w:color="auto" w:fill="auto"/>
            <w:vAlign w:val="center"/>
          </w:tcPr>
          <w:p w14:paraId="47B4F085" w14:textId="33963899" w:rsidR="00403A6B" w:rsidRPr="001B4CA2" w:rsidRDefault="00403A6B" w:rsidP="0002228E">
            <w:pPr>
              <w:jc w:val="center"/>
              <w:rPr>
                <w:rFonts w:eastAsia="Times New Roman"/>
                <w:sz w:val="18"/>
                <w:szCs w:val="18"/>
                <w:lang w:eastAsia="hr-HR"/>
              </w:rPr>
            </w:pPr>
          </w:p>
        </w:tc>
      </w:tr>
      <w:tr w:rsidR="00532C41" w:rsidRPr="001B4CA2" w14:paraId="2AB243A2" w14:textId="77777777" w:rsidTr="009A1E7E">
        <w:trPr>
          <w:trHeight w:val="295"/>
          <w:jc w:val="center"/>
        </w:trPr>
        <w:tc>
          <w:tcPr>
            <w:tcW w:w="365" w:type="pct"/>
            <w:shd w:val="clear" w:color="auto" w:fill="auto"/>
            <w:vAlign w:val="center"/>
          </w:tcPr>
          <w:p w14:paraId="34E12BAF" w14:textId="3176F2A1" w:rsidR="00403A6B" w:rsidRPr="001B4CA2" w:rsidRDefault="00403A6B" w:rsidP="0002228E">
            <w:pPr>
              <w:jc w:val="center"/>
              <w:rPr>
                <w:rFonts w:eastAsia="Times New Roman"/>
                <w:sz w:val="18"/>
                <w:szCs w:val="18"/>
                <w:lang w:eastAsia="hr-HR"/>
              </w:rPr>
            </w:pPr>
            <w:r w:rsidRPr="001B4CA2">
              <w:rPr>
                <w:rFonts w:eastAsia="Times New Roman"/>
                <w:sz w:val="18"/>
                <w:szCs w:val="18"/>
                <w:lang w:eastAsia="hr-HR"/>
              </w:rPr>
              <w:t>202</w:t>
            </w:r>
            <w:r w:rsidR="005C178F" w:rsidRPr="001B4CA2">
              <w:rPr>
                <w:rFonts w:eastAsia="Times New Roman"/>
                <w:sz w:val="18"/>
                <w:szCs w:val="18"/>
                <w:lang w:eastAsia="hr-HR"/>
              </w:rPr>
              <w:t>1</w:t>
            </w:r>
            <w:r w:rsidRPr="001B4CA2">
              <w:rPr>
                <w:rFonts w:eastAsia="Times New Roman"/>
                <w:sz w:val="18"/>
                <w:szCs w:val="18"/>
                <w:lang w:eastAsia="hr-HR"/>
              </w:rPr>
              <w:t>.</w:t>
            </w:r>
          </w:p>
        </w:tc>
        <w:tc>
          <w:tcPr>
            <w:tcW w:w="738" w:type="pct"/>
            <w:shd w:val="clear" w:color="auto" w:fill="auto"/>
            <w:vAlign w:val="center"/>
          </w:tcPr>
          <w:p w14:paraId="3D55998A" w14:textId="37042D4F"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388</w:t>
            </w:r>
          </w:p>
        </w:tc>
        <w:tc>
          <w:tcPr>
            <w:tcW w:w="710" w:type="pct"/>
            <w:shd w:val="clear" w:color="auto" w:fill="auto"/>
            <w:vAlign w:val="center"/>
          </w:tcPr>
          <w:p w14:paraId="17F0091E" w14:textId="088F233C"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410</w:t>
            </w:r>
          </w:p>
        </w:tc>
        <w:tc>
          <w:tcPr>
            <w:tcW w:w="636" w:type="pct"/>
            <w:shd w:val="clear" w:color="auto" w:fill="auto"/>
            <w:vAlign w:val="center"/>
          </w:tcPr>
          <w:p w14:paraId="6E9A9066" w14:textId="4DE18991"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7</w:t>
            </w:r>
          </w:p>
        </w:tc>
        <w:tc>
          <w:tcPr>
            <w:tcW w:w="633" w:type="pct"/>
            <w:shd w:val="clear" w:color="auto" w:fill="auto"/>
            <w:vAlign w:val="center"/>
          </w:tcPr>
          <w:p w14:paraId="3AA2845A" w14:textId="6E1866B8"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36</w:t>
            </w:r>
          </w:p>
        </w:tc>
        <w:tc>
          <w:tcPr>
            <w:tcW w:w="637" w:type="pct"/>
            <w:shd w:val="clear" w:color="auto" w:fill="auto"/>
            <w:vAlign w:val="center"/>
          </w:tcPr>
          <w:p w14:paraId="07BC4EBC" w14:textId="30F533BC"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314</w:t>
            </w:r>
          </w:p>
        </w:tc>
        <w:tc>
          <w:tcPr>
            <w:tcW w:w="633" w:type="pct"/>
            <w:shd w:val="clear" w:color="auto" w:fill="auto"/>
            <w:vAlign w:val="center"/>
          </w:tcPr>
          <w:p w14:paraId="5E253433" w14:textId="5B1B961E"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52</w:t>
            </w:r>
          </w:p>
        </w:tc>
        <w:tc>
          <w:tcPr>
            <w:tcW w:w="649" w:type="pct"/>
            <w:shd w:val="clear" w:color="auto" w:fill="auto"/>
            <w:vAlign w:val="center"/>
          </w:tcPr>
          <w:p w14:paraId="54506151" w14:textId="34681919" w:rsidR="00403A6B" w:rsidRPr="001B4CA2" w:rsidRDefault="00403A6B" w:rsidP="0002228E">
            <w:pPr>
              <w:jc w:val="center"/>
              <w:rPr>
                <w:rFonts w:eastAsia="Times New Roman"/>
                <w:sz w:val="18"/>
                <w:szCs w:val="18"/>
                <w:lang w:eastAsia="hr-HR"/>
              </w:rPr>
            </w:pPr>
          </w:p>
        </w:tc>
      </w:tr>
      <w:tr w:rsidR="00403A6B" w:rsidRPr="001B4CA2" w14:paraId="22F9F5E8" w14:textId="77777777" w:rsidTr="009A1E7E">
        <w:trPr>
          <w:trHeight w:val="310"/>
          <w:jc w:val="center"/>
        </w:trPr>
        <w:tc>
          <w:tcPr>
            <w:tcW w:w="365" w:type="pct"/>
            <w:shd w:val="clear" w:color="auto" w:fill="auto"/>
            <w:vAlign w:val="center"/>
          </w:tcPr>
          <w:p w14:paraId="4550AF30" w14:textId="2A0B582E" w:rsidR="00403A6B" w:rsidRPr="001B4CA2" w:rsidRDefault="00403A6B" w:rsidP="0002228E">
            <w:pPr>
              <w:jc w:val="center"/>
              <w:rPr>
                <w:rFonts w:eastAsia="Times New Roman"/>
                <w:sz w:val="18"/>
                <w:szCs w:val="18"/>
                <w:lang w:eastAsia="hr-HR"/>
              </w:rPr>
            </w:pPr>
            <w:r w:rsidRPr="001B4CA2">
              <w:rPr>
                <w:rFonts w:eastAsia="Times New Roman"/>
                <w:sz w:val="18"/>
                <w:szCs w:val="18"/>
                <w:lang w:eastAsia="hr-HR"/>
              </w:rPr>
              <w:t>202</w:t>
            </w:r>
            <w:r w:rsidR="005C178F" w:rsidRPr="001B4CA2">
              <w:rPr>
                <w:rFonts w:eastAsia="Times New Roman"/>
                <w:sz w:val="18"/>
                <w:szCs w:val="18"/>
                <w:lang w:eastAsia="hr-HR"/>
              </w:rPr>
              <w:t>2</w:t>
            </w:r>
            <w:r w:rsidRPr="001B4CA2">
              <w:rPr>
                <w:rFonts w:eastAsia="Times New Roman"/>
                <w:sz w:val="18"/>
                <w:szCs w:val="18"/>
                <w:lang w:eastAsia="hr-HR"/>
              </w:rPr>
              <w:t>.</w:t>
            </w:r>
          </w:p>
        </w:tc>
        <w:tc>
          <w:tcPr>
            <w:tcW w:w="738" w:type="pct"/>
            <w:shd w:val="clear" w:color="auto" w:fill="auto"/>
            <w:vAlign w:val="center"/>
          </w:tcPr>
          <w:p w14:paraId="435D962F" w14:textId="60D557EB"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428</w:t>
            </w:r>
          </w:p>
        </w:tc>
        <w:tc>
          <w:tcPr>
            <w:tcW w:w="710" w:type="pct"/>
            <w:shd w:val="clear" w:color="auto" w:fill="auto"/>
            <w:vAlign w:val="center"/>
          </w:tcPr>
          <w:p w14:paraId="7857696E" w14:textId="4AEB88D6"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464</w:t>
            </w:r>
          </w:p>
        </w:tc>
        <w:tc>
          <w:tcPr>
            <w:tcW w:w="636" w:type="pct"/>
            <w:shd w:val="clear" w:color="auto" w:fill="auto"/>
            <w:vAlign w:val="center"/>
          </w:tcPr>
          <w:p w14:paraId="4C74916E" w14:textId="76B6FC12"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6</w:t>
            </w:r>
          </w:p>
        </w:tc>
        <w:tc>
          <w:tcPr>
            <w:tcW w:w="633" w:type="pct"/>
            <w:shd w:val="clear" w:color="auto" w:fill="auto"/>
            <w:vAlign w:val="center"/>
          </w:tcPr>
          <w:p w14:paraId="2EFBF52A" w14:textId="48F2AF53"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49</w:t>
            </w:r>
          </w:p>
        </w:tc>
        <w:tc>
          <w:tcPr>
            <w:tcW w:w="637" w:type="pct"/>
            <w:shd w:val="clear" w:color="auto" w:fill="auto"/>
            <w:vAlign w:val="center"/>
          </w:tcPr>
          <w:p w14:paraId="12F91BAF" w14:textId="6FF16303" w:rsidR="00403A6B" w:rsidRPr="001B4CA2" w:rsidRDefault="0002228E" w:rsidP="0002228E">
            <w:pPr>
              <w:jc w:val="center"/>
              <w:rPr>
                <w:rFonts w:eastAsia="Times New Roman"/>
                <w:sz w:val="18"/>
                <w:szCs w:val="18"/>
                <w:lang w:eastAsia="hr-HR"/>
              </w:rPr>
            </w:pPr>
            <w:r w:rsidRPr="001B4CA2">
              <w:rPr>
                <w:rFonts w:eastAsia="Times New Roman"/>
                <w:sz w:val="18"/>
                <w:szCs w:val="18"/>
                <w:lang w:eastAsia="hr-HR"/>
              </w:rPr>
              <w:t>3</w:t>
            </w:r>
            <w:r w:rsidR="005C178F" w:rsidRPr="001B4CA2">
              <w:rPr>
                <w:rFonts w:eastAsia="Times New Roman"/>
                <w:sz w:val="18"/>
                <w:szCs w:val="18"/>
                <w:lang w:eastAsia="hr-HR"/>
              </w:rPr>
              <w:t>45</w:t>
            </w:r>
          </w:p>
        </w:tc>
        <w:tc>
          <w:tcPr>
            <w:tcW w:w="633" w:type="pct"/>
            <w:shd w:val="clear" w:color="auto" w:fill="auto"/>
            <w:vAlign w:val="center"/>
          </w:tcPr>
          <w:p w14:paraId="79A7D0BA" w14:textId="69F538FA" w:rsidR="00403A6B" w:rsidRPr="001B4CA2" w:rsidRDefault="005C178F" w:rsidP="0002228E">
            <w:pPr>
              <w:jc w:val="center"/>
              <w:rPr>
                <w:rFonts w:eastAsia="Times New Roman"/>
                <w:sz w:val="18"/>
                <w:szCs w:val="18"/>
                <w:lang w:eastAsia="hr-HR"/>
              </w:rPr>
            </w:pPr>
            <w:r w:rsidRPr="001B4CA2">
              <w:rPr>
                <w:rFonts w:eastAsia="Times New Roman"/>
                <w:sz w:val="18"/>
                <w:szCs w:val="18"/>
                <w:lang w:eastAsia="hr-HR"/>
              </w:rPr>
              <w:t>63</w:t>
            </w:r>
          </w:p>
        </w:tc>
        <w:tc>
          <w:tcPr>
            <w:tcW w:w="649" w:type="pct"/>
            <w:shd w:val="clear" w:color="auto" w:fill="auto"/>
            <w:vAlign w:val="center"/>
          </w:tcPr>
          <w:p w14:paraId="35FF6CB4" w14:textId="3B104805" w:rsidR="00403A6B" w:rsidRPr="001B4CA2" w:rsidRDefault="00403A6B" w:rsidP="0002228E">
            <w:pPr>
              <w:jc w:val="center"/>
              <w:rPr>
                <w:rFonts w:eastAsia="Times New Roman"/>
                <w:sz w:val="18"/>
                <w:szCs w:val="18"/>
                <w:lang w:eastAsia="hr-HR"/>
              </w:rPr>
            </w:pPr>
          </w:p>
        </w:tc>
      </w:tr>
    </w:tbl>
    <w:p w14:paraId="3EA84548" w14:textId="77777777" w:rsidR="00446019" w:rsidRPr="001B4CA2" w:rsidRDefault="00446019" w:rsidP="00446019"/>
    <w:p w14:paraId="5CF94CA0" w14:textId="77777777" w:rsidR="005C178F" w:rsidRPr="001B4CA2" w:rsidRDefault="005C178F" w:rsidP="005C178F">
      <w:pPr>
        <w:ind w:firstLine="708"/>
      </w:pPr>
      <w:r w:rsidRPr="001B4CA2">
        <w:t>U izvještajnom razdoblju nastavljen je kontinuitet povećanja ukupnog broja prijedloga za izricanje maloljetničke sankcije.</w:t>
      </w:r>
    </w:p>
    <w:p w14:paraId="62FD73EF" w14:textId="77777777" w:rsidR="005C178F" w:rsidRPr="001B4CA2" w:rsidRDefault="005C178F" w:rsidP="005C178F"/>
    <w:p w14:paraId="3055818D" w14:textId="323477D6" w:rsidR="005C178F" w:rsidRPr="001B4CA2" w:rsidRDefault="005C178F" w:rsidP="005C178F">
      <w:pPr>
        <w:ind w:firstLine="708"/>
      </w:pPr>
      <w:r w:rsidRPr="001B4CA2">
        <w:t>U odnosu na prethodno izvještajno razdoblje državna odvjetništva su podnijela ukupno 10,3 % više prijedloga za izricanje maloljetničke sankcije nego u prethodnom</w:t>
      </w:r>
      <w:r w:rsidR="00A23A60">
        <w:t>e</w:t>
      </w:r>
      <w:r w:rsidRPr="001B4CA2">
        <w:t>.</w:t>
      </w:r>
    </w:p>
    <w:p w14:paraId="5B57BD03" w14:textId="77777777" w:rsidR="005C178F" w:rsidRPr="001B4CA2" w:rsidRDefault="005C178F" w:rsidP="005C178F"/>
    <w:p w14:paraId="4FFAFE2C" w14:textId="72EFAF12" w:rsidR="005C178F" w:rsidRPr="001B4CA2" w:rsidRDefault="005C178F" w:rsidP="005C178F">
      <w:pPr>
        <w:ind w:firstLine="708"/>
      </w:pPr>
      <w:r w:rsidRPr="001B4CA2">
        <w:t>Za 13,2 % porastao je u izvještajnom razdoblju i ukupan broj po sudovima izrečenih maloljetničkih sankcija</w:t>
      </w:r>
      <w:r w:rsidR="00956EE1">
        <w:t>,</w:t>
      </w:r>
      <w:r w:rsidRPr="001B4CA2">
        <w:t xml:space="preserve"> od kojih se 74,3 % izrečenih sankcija odnosi na odgojne mjere.</w:t>
      </w:r>
    </w:p>
    <w:p w14:paraId="23F69940" w14:textId="77777777" w:rsidR="005B7CCC" w:rsidRPr="001B4CA2" w:rsidRDefault="005B7CCC" w:rsidP="00446019"/>
    <w:p w14:paraId="39ACD2F5" w14:textId="77777777" w:rsidR="00BB4D48" w:rsidRPr="001B4CA2" w:rsidRDefault="00BB4D48" w:rsidP="00BF29FF">
      <w:pPr>
        <w:pStyle w:val="Naslov5"/>
        <w:ind w:left="567" w:firstLine="0"/>
        <w:rPr>
          <w:rFonts w:ascii="Arial" w:hAnsi="Arial" w:cs="Arial"/>
        </w:rPr>
      </w:pPr>
      <w:bookmarkStart w:id="59" w:name="_Toc133394319"/>
      <w:r w:rsidRPr="001B4CA2">
        <w:rPr>
          <w:rFonts w:ascii="Arial" w:hAnsi="Arial" w:cs="Arial"/>
        </w:rPr>
        <w:t>Oduzimanje imovinske ko</w:t>
      </w:r>
      <w:r w:rsidR="00EB0A5E" w:rsidRPr="001B4CA2">
        <w:rPr>
          <w:rFonts w:ascii="Arial" w:hAnsi="Arial" w:cs="Arial"/>
        </w:rPr>
        <w:t>risti i mjere osiguranja</w:t>
      </w:r>
      <w:bookmarkEnd w:id="59"/>
    </w:p>
    <w:p w14:paraId="4924C428" w14:textId="77777777" w:rsidR="008E6BD6" w:rsidRPr="001B4CA2" w:rsidRDefault="008E6BD6" w:rsidP="008E6BD6">
      <w:pPr>
        <w:rPr>
          <w:snapToGrid w:val="0"/>
        </w:rPr>
      </w:pPr>
    </w:p>
    <w:p w14:paraId="228AB6D6" w14:textId="17546B69" w:rsidR="002B41C2" w:rsidRPr="001B4CA2" w:rsidRDefault="009A1E7E" w:rsidP="002B41C2">
      <w:r w:rsidRPr="001B4CA2">
        <w:rPr>
          <w:spacing w:val="-3"/>
        </w:rPr>
        <w:tab/>
      </w:r>
      <w:r w:rsidR="002B41C2" w:rsidRPr="001B4CA2">
        <w:rPr>
          <w:spacing w:val="-3"/>
        </w:rPr>
        <w:t>U 2022. godini u predmetima općinskih državnih odvjetništava oduzeto je imovinske koristi u ukupnom iznosu 61.537.189,38 k</w:t>
      </w:r>
      <w:r w:rsidR="00D401CD" w:rsidRPr="001B4CA2">
        <w:rPr>
          <w:spacing w:val="-3"/>
        </w:rPr>
        <w:t>n</w:t>
      </w:r>
      <w:r w:rsidR="00956EE1">
        <w:rPr>
          <w:spacing w:val="-3"/>
        </w:rPr>
        <w:t xml:space="preserve"> </w:t>
      </w:r>
      <w:r w:rsidR="00D401CD" w:rsidRPr="001B4CA2">
        <w:rPr>
          <w:spacing w:val="-3"/>
        </w:rPr>
        <w:t>/</w:t>
      </w:r>
      <w:r w:rsidR="00956EE1">
        <w:rPr>
          <w:spacing w:val="-3"/>
        </w:rPr>
        <w:t xml:space="preserve"> </w:t>
      </w:r>
      <w:r w:rsidR="00D401CD" w:rsidRPr="001B4CA2">
        <w:rPr>
          <w:spacing w:val="-3"/>
        </w:rPr>
        <w:t>8.167.388,6 EUR</w:t>
      </w:r>
      <w:r w:rsidR="002B41C2" w:rsidRPr="001B4CA2">
        <w:rPr>
          <w:spacing w:val="-3"/>
        </w:rPr>
        <w:t xml:space="preserve"> u odnosu na 680 osoba, što je 28,2</w:t>
      </w:r>
      <w:r w:rsidR="00956EE1">
        <w:rPr>
          <w:spacing w:val="-3"/>
        </w:rPr>
        <w:t> </w:t>
      </w:r>
      <w:r w:rsidR="002B41C2" w:rsidRPr="001B4CA2">
        <w:rPr>
          <w:spacing w:val="-3"/>
        </w:rPr>
        <w:t xml:space="preserve">% vrijednosti ukupno oduzete imovinske koristi u predmetima na državnoj razini. Međutim, </w:t>
      </w:r>
      <w:r w:rsidR="00956EE1">
        <w:rPr>
          <w:spacing w:val="-3"/>
        </w:rPr>
        <w:t>budući</w:t>
      </w:r>
      <w:r w:rsidR="002B41C2" w:rsidRPr="001B4CA2">
        <w:rPr>
          <w:spacing w:val="-3"/>
        </w:rPr>
        <w:t xml:space="preserve"> da je ukupan broj oduzimanja imovinske koristi na državnoj razini 915, to znači da je velikoj većini osoba (74,3</w:t>
      </w:r>
      <w:r w:rsidR="00956EE1">
        <w:rPr>
          <w:spacing w:val="-3"/>
        </w:rPr>
        <w:t> </w:t>
      </w:r>
      <w:r w:rsidR="002B41C2" w:rsidRPr="001B4CA2">
        <w:rPr>
          <w:spacing w:val="-3"/>
        </w:rPr>
        <w:t xml:space="preserve">%) imovinska korist oduzeta u predmetima općinskih državnih odvjetništava. </w:t>
      </w:r>
      <w:r w:rsidR="002B41C2" w:rsidRPr="001B4CA2">
        <w:t>Navedena okolnost najvećeg broja pojedinačnih oduzimanja imovinske koristi te najmanjeg udjela u ukupnom iznosu oduzete imovinske koristi objašnjenje ima u strukturi kriminaliteta za koje su izrečene presude kojom je oduzeta imovinska korist, odnosno manji pojedinačni iznosi imovinske koristi koji su oduzeti u predmetima.</w:t>
      </w:r>
    </w:p>
    <w:p w14:paraId="3E94F906" w14:textId="77777777" w:rsidR="002B41C2" w:rsidRPr="001B4CA2" w:rsidRDefault="002B41C2" w:rsidP="002B41C2"/>
    <w:p w14:paraId="74222761" w14:textId="411306B0" w:rsidR="002B41C2" w:rsidRPr="001B4CA2" w:rsidRDefault="00373B2A" w:rsidP="002B41C2">
      <w:r w:rsidRPr="001B4CA2">
        <w:rPr>
          <w:spacing w:val="-3"/>
        </w:rPr>
        <w:tab/>
      </w:r>
      <w:r w:rsidR="002B41C2" w:rsidRPr="001B4CA2">
        <w:rPr>
          <w:spacing w:val="-3"/>
        </w:rPr>
        <w:t xml:space="preserve">Ukupna </w:t>
      </w:r>
      <w:r w:rsidR="00956EE1" w:rsidRPr="001B4CA2">
        <w:rPr>
          <w:spacing w:val="-3"/>
        </w:rPr>
        <w:t>je</w:t>
      </w:r>
      <w:r w:rsidR="00956EE1">
        <w:rPr>
          <w:spacing w:val="-3"/>
        </w:rPr>
        <w:t xml:space="preserve"> </w:t>
      </w:r>
      <w:r w:rsidR="002B41C2" w:rsidRPr="001B4CA2">
        <w:rPr>
          <w:spacing w:val="-3"/>
        </w:rPr>
        <w:t>vrijednost oduzete imovinske koristi je u 2022. za 241,28</w:t>
      </w:r>
      <w:r w:rsidR="00956EE1">
        <w:rPr>
          <w:spacing w:val="-3"/>
        </w:rPr>
        <w:t> </w:t>
      </w:r>
      <w:r w:rsidR="002B41C2" w:rsidRPr="001B4CA2">
        <w:rPr>
          <w:spacing w:val="-3"/>
        </w:rPr>
        <w:t>% viša od vrijednosti koristi oduzete u 2021. godini, a za 148,08</w:t>
      </w:r>
      <w:r w:rsidR="00956EE1">
        <w:rPr>
          <w:spacing w:val="-3"/>
        </w:rPr>
        <w:t> </w:t>
      </w:r>
      <w:r w:rsidR="002B41C2" w:rsidRPr="001B4CA2">
        <w:rPr>
          <w:spacing w:val="-3"/>
        </w:rPr>
        <w:t>% viša od koristi oduzete u razdoblju 2020. godine. Objašnjenje se nalazi u okolnosti da sudovi donijeli više presuda kojima je odlučeno i o prijedlogu državnog odvjetnika za oduzimanje imovinskoj koristi</w:t>
      </w:r>
    </w:p>
    <w:p w14:paraId="5D4DAA06" w14:textId="77777777" w:rsidR="002B41C2" w:rsidRPr="001B4CA2" w:rsidRDefault="002B41C2" w:rsidP="002B41C2">
      <w:pPr>
        <w:rPr>
          <w:spacing w:val="-3"/>
        </w:rPr>
      </w:pPr>
    </w:p>
    <w:p w14:paraId="078096B4" w14:textId="03811436" w:rsidR="002B41C2" w:rsidRPr="001B4CA2" w:rsidRDefault="00373B2A" w:rsidP="002B41C2">
      <w:pPr>
        <w:rPr>
          <w:spacing w:val="-3"/>
        </w:rPr>
      </w:pPr>
      <w:r w:rsidRPr="001B4CA2">
        <w:rPr>
          <w:spacing w:val="-3"/>
        </w:rPr>
        <w:tab/>
      </w:r>
      <w:r w:rsidR="002B41C2" w:rsidRPr="001B4CA2">
        <w:rPr>
          <w:spacing w:val="-3"/>
        </w:rPr>
        <w:t>Od odraslih osoba oduzeto je 60.732.171,61 k</w:t>
      </w:r>
      <w:r w:rsidR="00D401CD" w:rsidRPr="001B4CA2">
        <w:rPr>
          <w:spacing w:val="-3"/>
        </w:rPr>
        <w:t>n</w:t>
      </w:r>
      <w:r w:rsidR="00956EE1">
        <w:rPr>
          <w:spacing w:val="-3"/>
        </w:rPr>
        <w:t xml:space="preserve"> </w:t>
      </w:r>
      <w:r w:rsidR="00D401CD" w:rsidRPr="001B4CA2">
        <w:rPr>
          <w:spacing w:val="-3"/>
        </w:rPr>
        <w:t>/</w:t>
      </w:r>
      <w:r w:rsidR="00956EE1">
        <w:rPr>
          <w:spacing w:val="-3"/>
        </w:rPr>
        <w:t xml:space="preserve"> </w:t>
      </w:r>
      <w:r w:rsidR="00D401CD" w:rsidRPr="001B4CA2">
        <w:rPr>
          <w:spacing w:val="-3"/>
        </w:rPr>
        <w:t>8.060.544,38 EUR</w:t>
      </w:r>
      <w:r w:rsidR="002B41C2" w:rsidRPr="001B4CA2">
        <w:rPr>
          <w:spacing w:val="-3"/>
        </w:rPr>
        <w:t xml:space="preserve"> imovinske koristi, od mlađih punoljetnika 801.644,40 k</w:t>
      </w:r>
      <w:r w:rsidR="00D401CD" w:rsidRPr="001B4CA2">
        <w:rPr>
          <w:spacing w:val="-3"/>
        </w:rPr>
        <w:t>n</w:t>
      </w:r>
      <w:r w:rsidR="00956EE1">
        <w:rPr>
          <w:spacing w:val="-3"/>
        </w:rPr>
        <w:t xml:space="preserve"> </w:t>
      </w:r>
      <w:r w:rsidR="00D401CD" w:rsidRPr="001B4CA2">
        <w:rPr>
          <w:spacing w:val="-3"/>
        </w:rPr>
        <w:t>/</w:t>
      </w:r>
      <w:r w:rsidR="00956EE1">
        <w:rPr>
          <w:spacing w:val="-3"/>
        </w:rPr>
        <w:t xml:space="preserve"> </w:t>
      </w:r>
      <w:r w:rsidR="00D401CD" w:rsidRPr="001B4CA2">
        <w:rPr>
          <w:spacing w:val="-3"/>
        </w:rPr>
        <w:t>106.396,</w:t>
      </w:r>
      <w:r w:rsidR="00F879D8">
        <w:rPr>
          <w:spacing w:val="-3"/>
        </w:rPr>
        <w:t>50</w:t>
      </w:r>
      <w:r w:rsidR="00D401CD" w:rsidRPr="001B4CA2">
        <w:rPr>
          <w:spacing w:val="-3"/>
        </w:rPr>
        <w:t xml:space="preserve"> EUR</w:t>
      </w:r>
      <w:r w:rsidR="002B41C2" w:rsidRPr="001B4CA2">
        <w:rPr>
          <w:spacing w:val="-3"/>
        </w:rPr>
        <w:t>, u predmetima kaznenopravne zaštite djece 2.608,53 k</w:t>
      </w:r>
      <w:r w:rsidR="00D401CD" w:rsidRPr="001B4CA2">
        <w:rPr>
          <w:spacing w:val="-3"/>
        </w:rPr>
        <w:t>n</w:t>
      </w:r>
      <w:r w:rsidR="00956EE1">
        <w:rPr>
          <w:spacing w:val="-3"/>
        </w:rPr>
        <w:t xml:space="preserve"> </w:t>
      </w:r>
      <w:r w:rsidR="00D401CD" w:rsidRPr="001B4CA2">
        <w:rPr>
          <w:spacing w:val="-3"/>
        </w:rPr>
        <w:t>/</w:t>
      </w:r>
      <w:r w:rsidR="00956EE1">
        <w:rPr>
          <w:spacing w:val="-3"/>
        </w:rPr>
        <w:t xml:space="preserve"> </w:t>
      </w:r>
      <w:r w:rsidR="00D401CD" w:rsidRPr="001B4CA2">
        <w:rPr>
          <w:spacing w:val="-3"/>
        </w:rPr>
        <w:t>346,21 EUR</w:t>
      </w:r>
      <w:r w:rsidR="002B41C2" w:rsidRPr="001B4CA2">
        <w:rPr>
          <w:spacing w:val="-3"/>
        </w:rPr>
        <w:t xml:space="preserve"> te od maloljetnih počinitelja 764,84 k</w:t>
      </w:r>
      <w:r w:rsidR="00D401CD" w:rsidRPr="001B4CA2">
        <w:rPr>
          <w:spacing w:val="-3"/>
        </w:rPr>
        <w:t>n</w:t>
      </w:r>
      <w:r w:rsidR="00956EE1">
        <w:rPr>
          <w:spacing w:val="-3"/>
        </w:rPr>
        <w:t xml:space="preserve"> </w:t>
      </w:r>
      <w:r w:rsidR="00D401CD" w:rsidRPr="001B4CA2">
        <w:rPr>
          <w:spacing w:val="-3"/>
        </w:rPr>
        <w:t>/</w:t>
      </w:r>
      <w:r w:rsidR="00956EE1">
        <w:rPr>
          <w:spacing w:val="-3"/>
        </w:rPr>
        <w:t xml:space="preserve"> </w:t>
      </w:r>
      <w:r w:rsidR="00D401CD" w:rsidRPr="001B4CA2">
        <w:rPr>
          <w:spacing w:val="-3"/>
        </w:rPr>
        <w:t>101,51</w:t>
      </w:r>
      <w:r w:rsidR="00956EE1">
        <w:rPr>
          <w:spacing w:val="-3"/>
        </w:rPr>
        <w:t xml:space="preserve"> EUR</w:t>
      </w:r>
      <w:r w:rsidR="002B41C2" w:rsidRPr="001B4CA2">
        <w:rPr>
          <w:spacing w:val="-3"/>
        </w:rPr>
        <w:t>.</w:t>
      </w:r>
    </w:p>
    <w:p w14:paraId="6B2227CB" w14:textId="77777777" w:rsidR="002B41C2" w:rsidRPr="001B4CA2" w:rsidRDefault="002B41C2" w:rsidP="002B41C2">
      <w:pPr>
        <w:rPr>
          <w:spacing w:val="-3"/>
        </w:rPr>
      </w:pPr>
    </w:p>
    <w:p w14:paraId="185D7DA0" w14:textId="1F215360" w:rsidR="002B41C2" w:rsidRPr="001B4CA2" w:rsidRDefault="00373B2A" w:rsidP="002B41C2">
      <w:pPr>
        <w:rPr>
          <w:spacing w:val="-3"/>
        </w:rPr>
      </w:pPr>
      <w:r w:rsidRPr="001B4CA2">
        <w:rPr>
          <w:spacing w:val="-3"/>
        </w:rPr>
        <w:lastRenderedPageBreak/>
        <w:tab/>
      </w:r>
      <w:r w:rsidR="002B41C2" w:rsidRPr="001B4CA2">
        <w:rPr>
          <w:spacing w:val="-3"/>
        </w:rPr>
        <w:t xml:space="preserve">Gotovo polovica oduzete imovinske koristi u predmetima općinskih državnih odvjetništava u odnosu na odrasle osobe oduzeta je za kazneno djelo krađe iz članka 228. Kaznenog zakona/11 u odnosu na koje je oduzeto imovinske koristi u vrijednosti </w:t>
      </w:r>
      <w:r w:rsidR="00956EE1">
        <w:rPr>
          <w:spacing w:val="-3"/>
        </w:rPr>
        <w:t xml:space="preserve">od </w:t>
      </w:r>
      <w:r w:rsidR="002B41C2" w:rsidRPr="001B4CA2">
        <w:rPr>
          <w:spacing w:val="-3"/>
        </w:rPr>
        <w:t>30.991.461,05 k</w:t>
      </w:r>
      <w:r w:rsidR="00D401CD" w:rsidRPr="001B4CA2">
        <w:rPr>
          <w:spacing w:val="-3"/>
        </w:rPr>
        <w:t>n</w:t>
      </w:r>
      <w:r w:rsidR="00956EE1">
        <w:rPr>
          <w:spacing w:val="-3"/>
        </w:rPr>
        <w:t xml:space="preserve">  </w:t>
      </w:r>
      <w:r w:rsidR="00D401CD" w:rsidRPr="001B4CA2">
        <w:rPr>
          <w:spacing w:val="-3"/>
        </w:rPr>
        <w:t>/</w:t>
      </w:r>
      <w:r w:rsidR="001C297A" w:rsidRPr="001B4CA2">
        <w:rPr>
          <w:spacing w:val="-3"/>
        </w:rPr>
        <w:t xml:space="preserve"> </w:t>
      </w:r>
      <w:r w:rsidR="00D401CD" w:rsidRPr="001B4CA2">
        <w:rPr>
          <w:spacing w:val="-3"/>
        </w:rPr>
        <w:t>4.113.273,75 EUR</w:t>
      </w:r>
      <w:r w:rsidR="002B41C2" w:rsidRPr="001B4CA2">
        <w:rPr>
          <w:spacing w:val="-3"/>
        </w:rPr>
        <w:t xml:space="preserve"> od 84 odrasle osobe. Ostala najzastupljenija kaznena djela za koja je oduzeta imovinska korist </w:t>
      </w:r>
      <w:r w:rsidR="00956EE1">
        <w:rPr>
          <w:spacing w:val="-3"/>
        </w:rPr>
        <w:t>je</w:t>
      </w:r>
      <w:r w:rsidR="002B41C2" w:rsidRPr="001B4CA2">
        <w:rPr>
          <w:spacing w:val="-3"/>
        </w:rPr>
        <w:t>su kazneno djelo utaje poreza ili carine iz članka 256. Kaznenog zakona/11 u odnosu na koje je oduzeto 9.717.873,07 k</w:t>
      </w:r>
      <w:r w:rsidR="00956EE1">
        <w:rPr>
          <w:spacing w:val="-3"/>
        </w:rPr>
        <w:t xml:space="preserve">n </w:t>
      </w:r>
      <w:r w:rsidR="00D401CD" w:rsidRPr="001B4CA2">
        <w:rPr>
          <w:spacing w:val="-3"/>
        </w:rPr>
        <w:t>/</w:t>
      </w:r>
      <w:r w:rsidR="00956EE1">
        <w:rPr>
          <w:spacing w:val="-3"/>
        </w:rPr>
        <w:t xml:space="preserve"> </w:t>
      </w:r>
      <w:r w:rsidR="00D401CD" w:rsidRPr="001B4CA2">
        <w:rPr>
          <w:spacing w:val="-3"/>
        </w:rPr>
        <w:t>1.289</w:t>
      </w:r>
      <w:r w:rsidR="00F879D8">
        <w:rPr>
          <w:spacing w:val="-3"/>
        </w:rPr>
        <w:t>.</w:t>
      </w:r>
      <w:r w:rsidR="00D401CD" w:rsidRPr="001B4CA2">
        <w:rPr>
          <w:spacing w:val="-3"/>
        </w:rPr>
        <w:t>78</w:t>
      </w:r>
      <w:r w:rsidR="00F879D8">
        <w:rPr>
          <w:spacing w:val="-3"/>
        </w:rPr>
        <w:t>3,4</w:t>
      </w:r>
      <w:r w:rsidR="00D401CD" w:rsidRPr="001B4CA2">
        <w:rPr>
          <w:spacing w:val="-3"/>
        </w:rPr>
        <w:t xml:space="preserve"> EUR</w:t>
      </w:r>
      <w:r w:rsidR="002B41C2" w:rsidRPr="001B4CA2">
        <w:rPr>
          <w:spacing w:val="-3"/>
        </w:rPr>
        <w:t xml:space="preserve"> imovinske koristi od 21 odrasle osobe te kazneno djelo zlouporabe povjerenja u gospodarskom poslovanju iz članka 246. Kaznenog zakona/11 za koje je oduzeto imovinske koristi u vrijednosti</w:t>
      </w:r>
      <w:r w:rsidR="00956EE1">
        <w:rPr>
          <w:spacing w:val="-3"/>
        </w:rPr>
        <w:t xml:space="preserve"> od</w:t>
      </w:r>
      <w:r w:rsidR="002B41C2" w:rsidRPr="001B4CA2">
        <w:rPr>
          <w:spacing w:val="-3"/>
        </w:rPr>
        <w:t xml:space="preserve"> 8.805.642,86 k</w:t>
      </w:r>
      <w:r w:rsidR="00D401CD" w:rsidRPr="001B4CA2">
        <w:rPr>
          <w:spacing w:val="-3"/>
        </w:rPr>
        <w:t>n</w:t>
      </w:r>
      <w:r w:rsidR="00956EE1">
        <w:rPr>
          <w:spacing w:val="-3"/>
        </w:rPr>
        <w:t xml:space="preserve"> </w:t>
      </w:r>
      <w:r w:rsidR="00D401CD" w:rsidRPr="001B4CA2">
        <w:rPr>
          <w:spacing w:val="-3"/>
        </w:rPr>
        <w:t>/</w:t>
      </w:r>
      <w:r w:rsidR="00956EE1">
        <w:rPr>
          <w:spacing w:val="-3"/>
        </w:rPr>
        <w:t xml:space="preserve"> </w:t>
      </w:r>
      <w:r w:rsidR="00D401CD" w:rsidRPr="001B4CA2">
        <w:rPr>
          <w:spacing w:val="-3"/>
        </w:rPr>
        <w:t>1.168.709,65 EUR</w:t>
      </w:r>
      <w:r w:rsidR="002B41C2" w:rsidRPr="001B4CA2">
        <w:rPr>
          <w:spacing w:val="-3"/>
        </w:rPr>
        <w:t xml:space="preserve"> od 6 odraslih osoba. Slijede kazneno djelo teške krađe iz članka 229. Kaznenog zakona/11 za koje je oduzeto imovinske koristi u vrijednosti </w:t>
      </w:r>
      <w:r w:rsidR="00956EE1">
        <w:rPr>
          <w:spacing w:val="-3"/>
        </w:rPr>
        <w:t xml:space="preserve">od </w:t>
      </w:r>
      <w:r w:rsidR="002B41C2" w:rsidRPr="001B4CA2">
        <w:rPr>
          <w:spacing w:val="-3"/>
        </w:rPr>
        <w:t>2.506.444,48 k</w:t>
      </w:r>
      <w:r w:rsidR="00D401CD" w:rsidRPr="001B4CA2">
        <w:rPr>
          <w:spacing w:val="-3"/>
        </w:rPr>
        <w:t>n</w:t>
      </w:r>
      <w:r w:rsidR="00956EE1">
        <w:rPr>
          <w:spacing w:val="-3"/>
        </w:rPr>
        <w:t xml:space="preserve"> </w:t>
      </w:r>
      <w:r w:rsidR="00D401CD" w:rsidRPr="001B4CA2">
        <w:rPr>
          <w:spacing w:val="-3"/>
        </w:rPr>
        <w:t>/</w:t>
      </w:r>
      <w:r w:rsidR="001C297A" w:rsidRPr="001B4CA2">
        <w:rPr>
          <w:spacing w:val="-3"/>
        </w:rPr>
        <w:t xml:space="preserve"> </w:t>
      </w:r>
      <w:r w:rsidR="00D401CD" w:rsidRPr="001B4CA2">
        <w:rPr>
          <w:spacing w:val="-3"/>
        </w:rPr>
        <w:t>332</w:t>
      </w:r>
      <w:r w:rsidR="00F879D8">
        <w:rPr>
          <w:spacing w:val="-3"/>
        </w:rPr>
        <w:t>.</w:t>
      </w:r>
      <w:r w:rsidR="00D401CD" w:rsidRPr="001B4CA2">
        <w:rPr>
          <w:spacing w:val="-3"/>
        </w:rPr>
        <w:t>66</w:t>
      </w:r>
      <w:r w:rsidR="00F879D8">
        <w:rPr>
          <w:spacing w:val="-3"/>
        </w:rPr>
        <w:t>2,35</w:t>
      </w:r>
      <w:r w:rsidR="00D401CD" w:rsidRPr="001B4CA2">
        <w:rPr>
          <w:spacing w:val="-3"/>
        </w:rPr>
        <w:t xml:space="preserve"> EUR</w:t>
      </w:r>
      <w:r w:rsidR="002B41C2" w:rsidRPr="001B4CA2">
        <w:rPr>
          <w:spacing w:val="-3"/>
        </w:rPr>
        <w:t xml:space="preserve"> od 89 odraslih osoba, kazneno djelo prijevare iz članka 236. Kaznenog zakona/11 za koje je oduzeto imovinske koristi u vrijednosti </w:t>
      </w:r>
      <w:r w:rsidR="00956EE1">
        <w:rPr>
          <w:spacing w:val="-3"/>
        </w:rPr>
        <w:t xml:space="preserve">od </w:t>
      </w:r>
      <w:r w:rsidR="002B41C2" w:rsidRPr="001B4CA2">
        <w:rPr>
          <w:spacing w:val="-3"/>
        </w:rPr>
        <w:t>1.993.124,76 k</w:t>
      </w:r>
      <w:r w:rsidR="00D401CD" w:rsidRPr="001B4CA2">
        <w:rPr>
          <w:spacing w:val="-3"/>
        </w:rPr>
        <w:t>n</w:t>
      </w:r>
      <w:r w:rsidR="00956EE1">
        <w:rPr>
          <w:spacing w:val="-3"/>
        </w:rPr>
        <w:t xml:space="preserve"> </w:t>
      </w:r>
      <w:r w:rsidR="00D401CD" w:rsidRPr="001B4CA2">
        <w:rPr>
          <w:spacing w:val="-3"/>
        </w:rPr>
        <w:t>/</w:t>
      </w:r>
      <w:r w:rsidR="00956EE1">
        <w:rPr>
          <w:spacing w:val="-3"/>
        </w:rPr>
        <w:t xml:space="preserve"> </w:t>
      </w:r>
      <w:r w:rsidR="00D401CD" w:rsidRPr="001B4CA2">
        <w:rPr>
          <w:spacing w:val="-3"/>
        </w:rPr>
        <w:t>264</w:t>
      </w:r>
      <w:r w:rsidR="00F879D8">
        <w:rPr>
          <w:spacing w:val="-3"/>
        </w:rPr>
        <w:t>.</w:t>
      </w:r>
      <w:r w:rsidR="00D401CD" w:rsidRPr="001B4CA2">
        <w:rPr>
          <w:spacing w:val="-3"/>
        </w:rPr>
        <w:t>53</w:t>
      </w:r>
      <w:r w:rsidR="00F879D8">
        <w:rPr>
          <w:spacing w:val="-3"/>
        </w:rPr>
        <w:t>3,12</w:t>
      </w:r>
      <w:r w:rsidR="00D401CD" w:rsidRPr="001B4CA2">
        <w:rPr>
          <w:spacing w:val="-3"/>
        </w:rPr>
        <w:t xml:space="preserve"> EUR</w:t>
      </w:r>
      <w:r w:rsidR="002B41C2" w:rsidRPr="001B4CA2">
        <w:rPr>
          <w:spacing w:val="-3"/>
        </w:rPr>
        <w:t xml:space="preserve"> od 52 odrasle osobe, kazneno djelo neovlaštene proizvodnje i prometa drogama iz članka 190. Kaznenog zakona/11 za koje je oduzeto imovinske koristi u vrijednosti </w:t>
      </w:r>
      <w:r w:rsidR="00956EE1">
        <w:rPr>
          <w:spacing w:val="-3"/>
        </w:rPr>
        <w:t xml:space="preserve">od </w:t>
      </w:r>
      <w:r w:rsidR="002B41C2" w:rsidRPr="001B4CA2">
        <w:rPr>
          <w:spacing w:val="-3"/>
        </w:rPr>
        <w:t>1.805.157,61 k</w:t>
      </w:r>
      <w:r w:rsidR="00D401CD" w:rsidRPr="001B4CA2">
        <w:rPr>
          <w:spacing w:val="-3"/>
        </w:rPr>
        <w:t>n</w:t>
      </w:r>
      <w:r w:rsidR="00956EE1">
        <w:rPr>
          <w:spacing w:val="-3"/>
        </w:rPr>
        <w:t xml:space="preserve"> </w:t>
      </w:r>
      <w:r w:rsidR="00D401CD" w:rsidRPr="001B4CA2">
        <w:rPr>
          <w:spacing w:val="-3"/>
        </w:rPr>
        <w:t>/</w:t>
      </w:r>
      <w:r w:rsidR="001C297A" w:rsidRPr="001B4CA2">
        <w:rPr>
          <w:spacing w:val="-3"/>
        </w:rPr>
        <w:t xml:space="preserve"> </w:t>
      </w:r>
      <w:r w:rsidR="00D401CD" w:rsidRPr="001B4CA2">
        <w:rPr>
          <w:spacing w:val="-3"/>
        </w:rPr>
        <w:t>239</w:t>
      </w:r>
      <w:r w:rsidR="00F879D8">
        <w:rPr>
          <w:spacing w:val="-3"/>
        </w:rPr>
        <w:t>.</w:t>
      </w:r>
      <w:r w:rsidR="00D401CD" w:rsidRPr="001B4CA2">
        <w:rPr>
          <w:spacing w:val="-3"/>
        </w:rPr>
        <w:t>58</w:t>
      </w:r>
      <w:r w:rsidR="00F879D8">
        <w:rPr>
          <w:spacing w:val="-3"/>
        </w:rPr>
        <w:t>5,59</w:t>
      </w:r>
      <w:r w:rsidR="00D401CD" w:rsidRPr="001B4CA2">
        <w:rPr>
          <w:spacing w:val="-3"/>
        </w:rPr>
        <w:t xml:space="preserve"> EUR</w:t>
      </w:r>
      <w:r w:rsidR="002B41C2" w:rsidRPr="001B4CA2">
        <w:rPr>
          <w:spacing w:val="-3"/>
        </w:rPr>
        <w:t xml:space="preserve"> od 125 odraslih osoba.</w:t>
      </w:r>
    </w:p>
    <w:p w14:paraId="55A925BC" w14:textId="77777777" w:rsidR="002B41C2" w:rsidRPr="001B4CA2" w:rsidRDefault="002B41C2" w:rsidP="002B41C2">
      <w:pPr>
        <w:rPr>
          <w:spacing w:val="-3"/>
        </w:rPr>
      </w:pPr>
    </w:p>
    <w:p w14:paraId="5519897E" w14:textId="326D486D" w:rsidR="002B41C2" w:rsidRPr="001B4CA2" w:rsidRDefault="00373B2A" w:rsidP="002B41C2">
      <w:pPr>
        <w:rPr>
          <w:spacing w:val="-3"/>
        </w:rPr>
      </w:pPr>
      <w:r w:rsidRPr="001B4CA2">
        <w:rPr>
          <w:spacing w:val="-3"/>
        </w:rPr>
        <w:tab/>
      </w:r>
      <w:r w:rsidR="002B41C2" w:rsidRPr="001B4CA2">
        <w:rPr>
          <w:spacing w:val="-3"/>
        </w:rPr>
        <w:t xml:space="preserve">Od mlađih punoljetnika oduzeta je imovinska korist od 84 osobe u iznosu </w:t>
      </w:r>
      <w:r w:rsidR="00956EE1">
        <w:rPr>
          <w:spacing w:val="-3"/>
        </w:rPr>
        <w:t xml:space="preserve">od </w:t>
      </w:r>
      <w:r w:rsidR="002B41C2" w:rsidRPr="001B4CA2">
        <w:rPr>
          <w:spacing w:val="-3"/>
        </w:rPr>
        <w:t>801.644,40 k</w:t>
      </w:r>
      <w:r w:rsidR="00D401CD" w:rsidRPr="001B4CA2">
        <w:rPr>
          <w:spacing w:val="-3"/>
        </w:rPr>
        <w:t>n</w:t>
      </w:r>
      <w:r w:rsidR="00956EE1">
        <w:rPr>
          <w:spacing w:val="-3"/>
        </w:rPr>
        <w:t xml:space="preserve"> </w:t>
      </w:r>
      <w:r w:rsidR="00D401CD" w:rsidRPr="001B4CA2">
        <w:rPr>
          <w:spacing w:val="-3"/>
        </w:rPr>
        <w:t>/</w:t>
      </w:r>
      <w:r w:rsidR="00956EE1">
        <w:rPr>
          <w:spacing w:val="-3"/>
        </w:rPr>
        <w:t xml:space="preserve"> </w:t>
      </w:r>
      <w:r w:rsidR="00D401CD" w:rsidRPr="001B4CA2">
        <w:rPr>
          <w:spacing w:val="-3"/>
        </w:rPr>
        <w:t>106.396,</w:t>
      </w:r>
      <w:r w:rsidR="00F879D8">
        <w:rPr>
          <w:spacing w:val="-3"/>
        </w:rPr>
        <w:t>50</w:t>
      </w:r>
      <w:r w:rsidR="00D401CD" w:rsidRPr="001B4CA2">
        <w:rPr>
          <w:spacing w:val="-3"/>
        </w:rPr>
        <w:t xml:space="preserve"> EUR</w:t>
      </w:r>
      <w:r w:rsidR="002B41C2" w:rsidRPr="001B4CA2">
        <w:rPr>
          <w:spacing w:val="-3"/>
        </w:rPr>
        <w:t>, od kojih su najzastupljenija kazneno djelo neovlaštene proizvodnje i prometa drogama iz članka 190. Kaznenog zakona/11 za koje je od 29 osoba oduzeto 395.613,61 k</w:t>
      </w:r>
      <w:r w:rsidR="00D401CD" w:rsidRPr="001B4CA2">
        <w:rPr>
          <w:spacing w:val="-3"/>
        </w:rPr>
        <w:t>n</w:t>
      </w:r>
      <w:r w:rsidR="00956EE1">
        <w:rPr>
          <w:spacing w:val="-3"/>
        </w:rPr>
        <w:t xml:space="preserve"> </w:t>
      </w:r>
      <w:r w:rsidR="00D401CD" w:rsidRPr="001B4CA2">
        <w:rPr>
          <w:spacing w:val="-3"/>
        </w:rPr>
        <w:t>/</w:t>
      </w:r>
      <w:r w:rsidR="001C297A" w:rsidRPr="001B4CA2">
        <w:rPr>
          <w:spacing w:val="-3"/>
        </w:rPr>
        <w:t xml:space="preserve"> </w:t>
      </w:r>
      <w:r w:rsidR="00D401CD" w:rsidRPr="001B4CA2">
        <w:rPr>
          <w:spacing w:val="-3"/>
        </w:rPr>
        <w:t>52.506,</w:t>
      </w:r>
      <w:r w:rsidR="00F879D8">
        <w:rPr>
          <w:spacing w:val="-3"/>
        </w:rPr>
        <w:t>95</w:t>
      </w:r>
      <w:r w:rsidR="00D401CD" w:rsidRPr="001B4CA2">
        <w:rPr>
          <w:spacing w:val="-3"/>
        </w:rPr>
        <w:t xml:space="preserve"> EUR</w:t>
      </w:r>
      <w:r w:rsidR="002B41C2" w:rsidRPr="001B4CA2">
        <w:rPr>
          <w:spacing w:val="-3"/>
        </w:rPr>
        <w:t>, kazneno djelo teške krađe iz članka 229. Kaznenog zakona/11 za koje je od 23 osobe oduzeto 301.394,65 k</w:t>
      </w:r>
      <w:r w:rsidR="00D401CD" w:rsidRPr="001B4CA2">
        <w:rPr>
          <w:spacing w:val="-3"/>
        </w:rPr>
        <w:t>n</w:t>
      </w:r>
      <w:r w:rsidR="00956EE1">
        <w:rPr>
          <w:spacing w:val="-3"/>
        </w:rPr>
        <w:t xml:space="preserve"> </w:t>
      </w:r>
      <w:r w:rsidR="00D401CD" w:rsidRPr="001B4CA2">
        <w:rPr>
          <w:spacing w:val="-3"/>
        </w:rPr>
        <w:t>/</w:t>
      </w:r>
      <w:r w:rsidR="00956EE1">
        <w:rPr>
          <w:spacing w:val="-3"/>
        </w:rPr>
        <w:t xml:space="preserve"> </w:t>
      </w:r>
      <w:r w:rsidR="00D401CD" w:rsidRPr="001B4CA2">
        <w:rPr>
          <w:spacing w:val="-3"/>
        </w:rPr>
        <w:t>40.001,94 EUR</w:t>
      </w:r>
      <w:r w:rsidR="002B41C2" w:rsidRPr="001B4CA2">
        <w:rPr>
          <w:spacing w:val="-3"/>
        </w:rPr>
        <w:t xml:space="preserve"> te kazneno djelo protuzakonitog ulaženj</w:t>
      </w:r>
      <w:r w:rsidR="00956EE1">
        <w:rPr>
          <w:spacing w:val="-3"/>
        </w:rPr>
        <w:t>a</w:t>
      </w:r>
      <w:r w:rsidR="002B41C2" w:rsidRPr="001B4CA2">
        <w:rPr>
          <w:spacing w:val="-3"/>
        </w:rPr>
        <w:t>, kretanj</w:t>
      </w:r>
      <w:r w:rsidR="00956EE1">
        <w:rPr>
          <w:spacing w:val="-3"/>
        </w:rPr>
        <w:t>a</w:t>
      </w:r>
      <w:r w:rsidR="002B41C2" w:rsidRPr="001B4CA2">
        <w:rPr>
          <w:spacing w:val="-3"/>
        </w:rPr>
        <w:t xml:space="preserve"> i boravk</w:t>
      </w:r>
      <w:r w:rsidR="00956EE1">
        <w:rPr>
          <w:spacing w:val="-3"/>
        </w:rPr>
        <w:t>a</w:t>
      </w:r>
      <w:r w:rsidR="002B41C2" w:rsidRPr="001B4CA2">
        <w:rPr>
          <w:spacing w:val="-3"/>
        </w:rPr>
        <w:t xml:space="preserve"> u Republici Hrvatskoj, drugoj državi članici Europske unije ili potpisnici Šengenskog </w:t>
      </w:r>
      <w:r w:rsidR="00F47D60" w:rsidRPr="001B4CA2">
        <w:rPr>
          <w:spacing w:val="-3"/>
        </w:rPr>
        <w:t>sporazuma</w:t>
      </w:r>
      <w:r w:rsidR="002B41C2" w:rsidRPr="001B4CA2">
        <w:rPr>
          <w:spacing w:val="-3"/>
        </w:rPr>
        <w:t xml:space="preserve"> iz članka 326. stavka 1. Kaznenog zakona/11 za koje je od 10 osoba oduzeto 34.200,46 k</w:t>
      </w:r>
      <w:r w:rsidR="00D401CD" w:rsidRPr="001B4CA2">
        <w:rPr>
          <w:spacing w:val="-3"/>
        </w:rPr>
        <w:t>n</w:t>
      </w:r>
      <w:r w:rsidR="00956EE1">
        <w:rPr>
          <w:spacing w:val="-3"/>
        </w:rPr>
        <w:t xml:space="preserve"> </w:t>
      </w:r>
      <w:r w:rsidR="00D401CD" w:rsidRPr="001B4CA2">
        <w:rPr>
          <w:spacing w:val="-3"/>
        </w:rPr>
        <w:t>/</w:t>
      </w:r>
      <w:r w:rsidR="001C297A" w:rsidRPr="001B4CA2">
        <w:rPr>
          <w:spacing w:val="-3"/>
        </w:rPr>
        <w:t xml:space="preserve"> </w:t>
      </w:r>
      <w:r w:rsidR="00D401CD" w:rsidRPr="001B4CA2">
        <w:rPr>
          <w:spacing w:val="-3"/>
        </w:rPr>
        <w:t>4.539,18 EUR</w:t>
      </w:r>
      <w:r w:rsidR="002B41C2" w:rsidRPr="001B4CA2">
        <w:rPr>
          <w:spacing w:val="-3"/>
        </w:rPr>
        <w:t xml:space="preserve"> imovinske koristi.</w:t>
      </w:r>
    </w:p>
    <w:p w14:paraId="62A1A8F6" w14:textId="77777777" w:rsidR="002B41C2" w:rsidRPr="001B4CA2" w:rsidRDefault="002B41C2" w:rsidP="002B41C2">
      <w:pPr>
        <w:rPr>
          <w:spacing w:val="-3"/>
        </w:rPr>
      </w:pPr>
    </w:p>
    <w:p w14:paraId="6EDBC4AC" w14:textId="5AE42814" w:rsidR="002B41C2" w:rsidRPr="001B4CA2" w:rsidRDefault="00373B2A" w:rsidP="002B41C2">
      <w:pPr>
        <w:rPr>
          <w:spacing w:val="-3"/>
        </w:rPr>
      </w:pPr>
      <w:r w:rsidRPr="001B4CA2">
        <w:rPr>
          <w:spacing w:val="-3"/>
        </w:rPr>
        <w:tab/>
      </w:r>
      <w:r w:rsidR="002B41C2" w:rsidRPr="001B4CA2">
        <w:rPr>
          <w:spacing w:val="-3"/>
        </w:rPr>
        <w:t>Imovinska korist oduzeta od maloljetnika odnosi se na 3 osobe od kojih je oduzeta imovinska korist u iznosu 764,84 k</w:t>
      </w:r>
      <w:r w:rsidR="00D401CD" w:rsidRPr="001B4CA2">
        <w:rPr>
          <w:spacing w:val="-3"/>
        </w:rPr>
        <w:t>n</w:t>
      </w:r>
      <w:r w:rsidR="00956EE1">
        <w:rPr>
          <w:spacing w:val="-3"/>
        </w:rPr>
        <w:t xml:space="preserve"> </w:t>
      </w:r>
      <w:r w:rsidR="00D401CD" w:rsidRPr="001B4CA2">
        <w:rPr>
          <w:spacing w:val="-3"/>
        </w:rPr>
        <w:t>/</w:t>
      </w:r>
      <w:r w:rsidR="001C297A" w:rsidRPr="001B4CA2">
        <w:rPr>
          <w:spacing w:val="-3"/>
        </w:rPr>
        <w:t xml:space="preserve"> </w:t>
      </w:r>
      <w:r w:rsidR="00D401CD" w:rsidRPr="001B4CA2">
        <w:rPr>
          <w:spacing w:val="-3"/>
        </w:rPr>
        <w:t>101,51 EUR</w:t>
      </w:r>
      <w:r w:rsidR="002B41C2" w:rsidRPr="001B4CA2">
        <w:rPr>
          <w:spacing w:val="-3"/>
        </w:rPr>
        <w:t>, i to za kaznena djela iz članka 231., članka 243. i članka 190. Kaznenog zakona/11.</w:t>
      </w:r>
    </w:p>
    <w:p w14:paraId="0014FC7D" w14:textId="77777777" w:rsidR="002B41C2" w:rsidRPr="001B4CA2" w:rsidRDefault="002B41C2" w:rsidP="002B41C2">
      <w:pPr>
        <w:rPr>
          <w:spacing w:val="-3"/>
        </w:rPr>
      </w:pPr>
    </w:p>
    <w:p w14:paraId="40270095" w14:textId="71B6CED7" w:rsidR="002B41C2" w:rsidRPr="001B4CA2" w:rsidRDefault="00373B2A" w:rsidP="002B41C2">
      <w:pPr>
        <w:rPr>
          <w:spacing w:val="-3"/>
        </w:rPr>
      </w:pPr>
      <w:r w:rsidRPr="001B4CA2">
        <w:rPr>
          <w:spacing w:val="-3"/>
        </w:rPr>
        <w:tab/>
      </w:r>
      <w:r w:rsidR="002B41C2" w:rsidRPr="001B4CA2">
        <w:rPr>
          <w:spacing w:val="-3"/>
        </w:rPr>
        <w:t>U predmetima kaznenopravne zaštite djece oduzeta je imovinska korist od 1 jedne osobe u iznosu 2.608,53 k</w:t>
      </w:r>
      <w:r w:rsidR="00D401CD" w:rsidRPr="001B4CA2">
        <w:rPr>
          <w:spacing w:val="-3"/>
        </w:rPr>
        <w:t>n</w:t>
      </w:r>
      <w:r w:rsidR="00956EE1">
        <w:rPr>
          <w:spacing w:val="-3"/>
        </w:rPr>
        <w:t xml:space="preserve"> </w:t>
      </w:r>
      <w:r w:rsidR="00D401CD" w:rsidRPr="001B4CA2">
        <w:rPr>
          <w:spacing w:val="-3"/>
        </w:rPr>
        <w:t>/</w:t>
      </w:r>
      <w:r w:rsidR="00956EE1">
        <w:rPr>
          <w:spacing w:val="-3"/>
        </w:rPr>
        <w:t xml:space="preserve"> </w:t>
      </w:r>
      <w:r w:rsidR="00D401CD" w:rsidRPr="001B4CA2">
        <w:rPr>
          <w:spacing w:val="-3"/>
        </w:rPr>
        <w:t>346,21 EUR</w:t>
      </w:r>
      <w:r w:rsidR="002B41C2" w:rsidRPr="001B4CA2">
        <w:rPr>
          <w:spacing w:val="-3"/>
        </w:rPr>
        <w:t xml:space="preserve"> za kazneno djelo povrede dužnosti uzdržavanja iz članka 172. Kaznenog zakona/11.</w:t>
      </w:r>
    </w:p>
    <w:p w14:paraId="334E1E4F" w14:textId="77777777" w:rsidR="002B41C2" w:rsidRPr="001B4CA2" w:rsidRDefault="002B41C2" w:rsidP="002B41C2">
      <w:pPr>
        <w:rPr>
          <w:spacing w:val="-3"/>
        </w:rPr>
      </w:pPr>
    </w:p>
    <w:p w14:paraId="56ED9D6E" w14:textId="742C267D" w:rsidR="002B41C2" w:rsidRPr="001B4CA2" w:rsidRDefault="00373B2A" w:rsidP="002B41C2">
      <w:pPr>
        <w:rPr>
          <w:spacing w:val="-3"/>
        </w:rPr>
      </w:pPr>
      <w:r w:rsidRPr="001B4CA2">
        <w:rPr>
          <w:spacing w:val="-3"/>
        </w:rPr>
        <w:tab/>
      </w:r>
      <w:r w:rsidR="002B41C2" w:rsidRPr="001B4CA2">
        <w:rPr>
          <w:spacing w:val="-3"/>
        </w:rPr>
        <w:t xml:space="preserve">Oštećenici često postavljaju imovinskopravne zahtjeve koji imaju prednost u odnosu na prijedlog državnog odvjetnika za oduzimanje imovinske koristi, pa kada sudovi usvoje imovinskopravni zahtjev (istaknut u iznosu jednakom onom iz prijedloga državnog odvjetnika za oduzimanje imovinske koristi), ne primjenjuju institut oduzimanja imovinske koristi. </w:t>
      </w:r>
    </w:p>
    <w:p w14:paraId="74BD71E7" w14:textId="77777777" w:rsidR="002B41C2" w:rsidRPr="001B4CA2" w:rsidRDefault="002B41C2" w:rsidP="002B41C2">
      <w:pPr>
        <w:rPr>
          <w:spacing w:val="-3"/>
        </w:rPr>
      </w:pPr>
    </w:p>
    <w:p w14:paraId="22C7AF2B" w14:textId="25804B00" w:rsidR="002B41C2" w:rsidRPr="001B4CA2" w:rsidRDefault="00373B2A" w:rsidP="002B41C2">
      <w:pPr>
        <w:rPr>
          <w:spacing w:val="-3"/>
        </w:rPr>
      </w:pPr>
      <w:r w:rsidRPr="001B4CA2">
        <w:rPr>
          <w:spacing w:val="-3"/>
        </w:rPr>
        <w:tab/>
      </w:r>
      <w:r w:rsidR="00F47D60">
        <w:rPr>
          <w:spacing w:val="-3"/>
        </w:rPr>
        <w:t>Primijenjen</w:t>
      </w:r>
      <w:r w:rsidR="002B41C2" w:rsidRPr="001B4CA2">
        <w:rPr>
          <w:spacing w:val="-3"/>
        </w:rPr>
        <w:t xml:space="preserve">o je 10 mjera privremenog osiguranja oduzimanja imovinske koristi </w:t>
      </w:r>
      <w:r w:rsidR="00F47D60">
        <w:rPr>
          <w:spacing w:val="-3"/>
        </w:rPr>
        <w:t>primijenjen</w:t>
      </w:r>
      <w:r w:rsidR="002B41C2" w:rsidRPr="001B4CA2">
        <w:rPr>
          <w:spacing w:val="-3"/>
        </w:rPr>
        <w:t>o je u predmetima kojima je osigurana vrijednost od 7.993.719,12</w:t>
      </w:r>
      <w:r w:rsidR="001C297A" w:rsidRPr="001B4CA2">
        <w:rPr>
          <w:spacing w:val="-3"/>
        </w:rPr>
        <w:t xml:space="preserve"> kn</w:t>
      </w:r>
      <w:r w:rsidR="00956EE1">
        <w:rPr>
          <w:spacing w:val="-3"/>
        </w:rPr>
        <w:t xml:space="preserve"> </w:t>
      </w:r>
      <w:r w:rsidR="001C297A" w:rsidRPr="001B4CA2">
        <w:rPr>
          <w:spacing w:val="-3"/>
        </w:rPr>
        <w:t>/</w:t>
      </w:r>
      <w:r w:rsidR="00956EE1">
        <w:rPr>
          <w:spacing w:val="-3"/>
        </w:rPr>
        <w:t xml:space="preserve"> </w:t>
      </w:r>
      <w:r w:rsidR="001C297A" w:rsidRPr="001B4CA2">
        <w:rPr>
          <w:spacing w:val="-3"/>
        </w:rPr>
        <w:t xml:space="preserve"> 1.060.94</w:t>
      </w:r>
      <w:r w:rsidR="00F879D8">
        <w:rPr>
          <w:spacing w:val="-3"/>
        </w:rPr>
        <w:t>8</w:t>
      </w:r>
      <w:r w:rsidR="001C297A" w:rsidRPr="001B4CA2">
        <w:rPr>
          <w:spacing w:val="-3"/>
        </w:rPr>
        <w:t>,85</w:t>
      </w:r>
      <w:r w:rsidR="002B41C2" w:rsidRPr="001B4CA2">
        <w:rPr>
          <w:spacing w:val="-3"/>
        </w:rPr>
        <w:t xml:space="preserve"> </w:t>
      </w:r>
      <w:r w:rsidR="001C297A" w:rsidRPr="001B4CA2">
        <w:rPr>
          <w:spacing w:val="-3"/>
        </w:rPr>
        <w:t>EUR</w:t>
      </w:r>
      <w:r w:rsidR="002B41C2" w:rsidRPr="001B4CA2">
        <w:rPr>
          <w:spacing w:val="-3"/>
        </w:rPr>
        <w:t>. Najčešće se radilo o mjeri iz članka 266. Zakona o kaznenom postupku/08</w:t>
      </w:r>
      <w:r w:rsidR="00F47D60">
        <w:rPr>
          <w:spacing w:val="-3"/>
        </w:rPr>
        <w:t xml:space="preserve"> – </w:t>
      </w:r>
      <w:r w:rsidR="002B41C2" w:rsidRPr="001B4CA2">
        <w:rPr>
          <w:spacing w:val="-3"/>
        </w:rPr>
        <w:t xml:space="preserve">privremene obustave izvršenja određene financijske </w:t>
      </w:r>
      <w:r w:rsidR="00DB7A24" w:rsidRPr="001B4CA2">
        <w:rPr>
          <w:spacing w:val="-3"/>
        </w:rPr>
        <w:t>transakcije</w:t>
      </w:r>
      <w:r w:rsidR="002B41C2" w:rsidRPr="001B4CA2">
        <w:rPr>
          <w:spacing w:val="-3"/>
        </w:rPr>
        <w:t xml:space="preserve"> za koju postoji sumnja da predstavlja kazneno djelo, služi prikrivanju kaznenog djela ili prikrivanju dobiti ostvarene kaznenim djelom. Ova mjera </w:t>
      </w:r>
      <w:r w:rsidR="00F47D60">
        <w:rPr>
          <w:spacing w:val="-3"/>
        </w:rPr>
        <w:t>primijenjen</w:t>
      </w:r>
      <w:r w:rsidR="002B41C2" w:rsidRPr="001B4CA2">
        <w:rPr>
          <w:spacing w:val="-3"/>
        </w:rPr>
        <w:t xml:space="preserve">a je u predmetima za kaznena djela pranja novca iz članka 265. Kaznenog zakona/11, kaznenog djela utaje poreza ili carine iz članka 256. Kaznenog zakona/11, prijevare u gospodarskom </w:t>
      </w:r>
      <w:r w:rsidR="002B41C2" w:rsidRPr="001B4CA2">
        <w:rPr>
          <w:spacing w:val="-3"/>
        </w:rPr>
        <w:lastRenderedPageBreak/>
        <w:t xml:space="preserve">poslovanju iz članka 247. Kaznenog zakona/11 te računalne prijevare iz članka 271. Kaznenog zakona/11. </w:t>
      </w:r>
    </w:p>
    <w:p w14:paraId="6197CF06" w14:textId="77777777" w:rsidR="002B41C2" w:rsidRPr="001B4CA2" w:rsidRDefault="002B41C2" w:rsidP="002B41C2">
      <w:pPr>
        <w:rPr>
          <w:spacing w:val="-3"/>
        </w:rPr>
      </w:pPr>
    </w:p>
    <w:p w14:paraId="17EE012F" w14:textId="64D39E78" w:rsidR="002B41C2" w:rsidRPr="001B4CA2" w:rsidRDefault="00373B2A" w:rsidP="002B41C2">
      <w:pPr>
        <w:rPr>
          <w:spacing w:val="-3"/>
        </w:rPr>
      </w:pPr>
      <w:r w:rsidRPr="001B4CA2">
        <w:rPr>
          <w:spacing w:val="-3"/>
        </w:rPr>
        <w:tab/>
      </w:r>
      <w:r w:rsidR="002B41C2" w:rsidRPr="001B4CA2">
        <w:rPr>
          <w:spacing w:val="-3"/>
        </w:rPr>
        <w:t xml:space="preserve">U izvještajnom razdoblju nije bilo predmeta u kojima je postavljen zahtjev za oduzimanje imovinske koristi na temelju članka 560.a i 560.f Zakona o kaznenom postupku/08. Međutim, i dalje traje postupak pred Općinskim kaznenim sudom u Zagrebu, u kojem je predloženo oduzimanje imovinske koristi bez osude. Radi se o predmetu Općinskog kaznenog državnog odvjetništva u Zagrebu, koje je 30. rujna 2020. podnijelo zahtjev radi utvrđenja da je osoba koja je preminula tijekom kaznenog postupka, u žalbenom stadiju, ostvarila protupravna djela zakonskih obilježja kaznenog djela protiv imovine – lihvarskim ugovorom iz članka 242. stavka 1. i 2. Kaznenog zakona/11 i prijevare iz članka 236. Kaznenog zakona/11 na štetu više osoba. </w:t>
      </w:r>
    </w:p>
    <w:p w14:paraId="20B0200C" w14:textId="77777777" w:rsidR="002B41C2" w:rsidRPr="001B4CA2" w:rsidRDefault="002B41C2" w:rsidP="002B41C2">
      <w:pPr>
        <w:rPr>
          <w:spacing w:val="-3"/>
        </w:rPr>
      </w:pPr>
    </w:p>
    <w:tbl>
      <w:tblPr>
        <w:tblW w:w="8931" w:type="dxa"/>
        <w:tblInd w:w="108" w:type="dxa"/>
        <w:tblLayout w:type="fixed"/>
        <w:tblLook w:val="04A0" w:firstRow="1" w:lastRow="0" w:firstColumn="1" w:lastColumn="0" w:noHBand="0" w:noVBand="1"/>
      </w:tblPr>
      <w:tblGrid>
        <w:gridCol w:w="848"/>
        <w:gridCol w:w="2020"/>
        <w:gridCol w:w="2021"/>
        <w:gridCol w:w="2021"/>
        <w:gridCol w:w="2021"/>
      </w:tblGrid>
      <w:tr w:rsidR="002B41C2" w:rsidRPr="001B4CA2" w14:paraId="2C251906" w14:textId="77777777" w:rsidTr="004C3A47">
        <w:trPr>
          <w:trHeight w:val="600"/>
        </w:trPr>
        <w:tc>
          <w:tcPr>
            <w:tcW w:w="8931" w:type="dxa"/>
            <w:gridSpan w:val="5"/>
            <w:tcBorders>
              <w:top w:val="nil"/>
              <w:left w:val="nil"/>
              <w:bottom w:val="single" w:sz="8" w:space="0" w:color="auto"/>
              <w:right w:val="nil"/>
            </w:tcBorders>
            <w:shd w:val="clear" w:color="auto" w:fill="auto"/>
            <w:vAlign w:val="center"/>
            <w:hideMark/>
          </w:tcPr>
          <w:p w14:paraId="1FCA3A23" w14:textId="257351FD" w:rsidR="002B41C2" w:rsidRPr="001B4CA2" w:rsidRDefault="002B41C2" w:rsidP="002A38E7">
            <w:pPr>
              <w:rPr>
                <w:rFonts w:eastAsia="Times New Roman"/>
                <w:i/>
                <w:iCs/>
                <w:color w:val="000000"/>
                <w:lang w:eastAsia="hr-HR"/>
              </w:rPr>
            </w:pPr>
            <w:r w:rsidRPr="001B4CA2">
              <w:rPr>
                <w:rFonts w:eastAsia="Times New Roman"/>
                <w:i/>
                <w:iCs/>
                <w:color w:val="000000"/>
                <w:lang w:eastAsia="hr-HR"/>
              </w:rPr>
              <w:t>Broj izrečenih mjera osiguranja i broj oduzimanja imovinske koristi te vrijednosti blokirane</w:t>
            </w:r>
            <w:r w:rsidR="00956EE1">
              <w:rPr>
                <w:rFonts w:eastAsia="Times New Roman"/>
                <w:i/>
                <w:iCs/>
                <w:color w:val="000000"/>
                <w:lang w:eastAsia="hr-HR"/>
              </w:rPr>
              <w:t>,</w:t>
            </w:r>
            <w:r w:rsidRPr="001B4CA2">
              <w:rPr>
                <w:rFonts w:eastAsia="Times New Roman"/>
                <w:i/>
                <w:iCs/>
                <w:color w:val="000000"/>
                <w:lang w:eastAsia="hr-HR"/>
              </w:rPr>
              <w:t xml:space="preserve"> odnosno oduzete imovinske koristi</w:t>
            </w:r>
          </w:p>
        </w:tc>
      </w:tr>
      <w:tr w:rsidR="002B41C2" w:rsidRPr="001B4CA2" w14:paraId="70D8CBEA" w14:textId="77777777" w:rsidTr="004C3A47">
        <w:trPr>
          <w:trHeight w:val="1005"/>
        </w:trPr>
        <w:tc>
          <w:tcPr>
            <w:tcW w:w="848" w:type="dxa"/>
            <w:tcBorders>
              <w:top w:val="nil"/>
              <w:left w:val="single" w:sz="8" w:space="0" w:color="auto"/>
              <w:bottom w:val="single" w:sz="8" w:space="0" w:color="auto"/>
              <w:right w:val="single" w:sz="8" w:space="0" w:color="auto"/>
            </w:tcBorders>
            <w:shd w:val="clear" w:color="000000" w:fill="99CCFF"/>
            <w:noWrap/>
            <w:vAlign w:val="center"/>
            <w:hideMark/>
          </w:tcPr>
          <w:p w14:paraId="263DB986" w14:textId="77777777" w:rsidR="002B41C2" w:rsidRPr="001B4CA2" w:rsidRDefault="002B41C2" w:rsidP="002A38E7">
            <w:pPr>
              <w:jc w:val="center"/>
              <w:rPr>
                <w:rFonts w:eastAsia="Times New Roman"/>
                <w:b/>
                <w:bCs/>
                <w:color w:val="000000"/>
                <w:sz w:val="18"/>
                <w:szCs w:val="18"/>
                <w:lang w:eastAsia="hr-HR"/>
              </w:rPr>
            </w:pPr>
            <w:r w:rsidRPr="001B4CA2">
              <w:rPr>
                <w:rFonts w:eastAsia="Times New Roman"/>
                <w:b/>
                <w:bCs/>
                <w:color w:val="000000"/>
                <w:sz w:val="18"/>
                <w:szCs w:val="18"/>
                <w:lang w:eastAsia="hr-HR"/>
              </w:rPr>
              <w:t>Godina</w:t>
            </w:r>
          </w:p>
        </w:tc>
        <w:tc>
          <w:tcPr>
            <w:tcW w:w="2020" w:type="dxa"/>
            <w:tcBorders>
              <w:top w:val="nil"/>
              <w:left w:val="nil"/>
              <w:bottom w:val="single" w:sz="8" w:space="0" w:color="auto"/>
              <w:right w:val="single" w:sz="8" w:space="0" w:color="auto"/>
            </w:tcBorders>
            <w:shd w:val="clear" w:color="000000" w:fill="99CCFF"/>
            <w:vAlign w:val="center"/>
            <w:hideMark/>
          </w:tcPr>
          <w:p w14:paraId="290301F4" w14:textId="77777777" w:rsidR="002B41C2" w:rsidRPr="001B4CA2" w:rsidRDefault="002B41C2" w:rsidP="002A38E7">
            <w:pPr>
              <w:jc w:val="center"/>
              <w:rPr>
                <w:rFonts w:eastAsia="Times New Roman"/>
                <w:b/>
                <w:bCs/>
                <w:color w:val="000000"/>
                <w:sz w:val="18"/>
                <w:szCs w:val="18"/>
                <w:lang w:eastAsia="hr-HR"/>
              </w:rPr>
            </w:pPr>
            <w:r w:rsidRPr="001B4CA2">
              <w:rPr>
                <w:rFonts w:eastAsia="Times New Roman"/>
                <w:b/>
                <w:bCs/>
                <w:color w:val="000000"/>
                <w:sz w:val="18"/>
                <w:szCs w:val="18"/>
                <w:lang w:eastAsia="hr-HR"/>
              </w:rPr>
              <w:t>Broj mjera osiguranja</w:t>
            </w:r>
          </w:p>
        </w:tc>
        <w:tc>
          <w:tcPr>
            <w:tcW w:w="2021" w:type="dxa"/>
            <w:tcBorders>
              <w:top w:val="nil"/>
              <w:left w:val="nil"/>
              <w:bottom w:val="single" w:sz="8" w:space="0" w:color="auto"/>
              <w:right w:val="single" w:sz="8" w:space="0" w:color="auto"/>
            </w:tcBorders>
            <w:shd w:val="clear" w:color="000000" w:fill="99CCFF"/>
            <w:vAlign w:val="center"/>
            <w:hideMark/>
          </w:tcPr>
          <w:p w14:paraId="736EB0EC" w14:textId="77777777" w:rsidR="002B41C2" w:rsidRPr="001B4CA2" w:rsidRDefault="002B41C2" w:rsidP="002A38E7">
            <w:pPr>
              <w:jc w:val="center"/>
              <w:rPr>
                <w:rFonts w:eastAsia="Times New Roman"/>
                <w:b/>
                <w:bCs/>
                <w:color w:val="000000"/>
                <w:sz w:val="18"/>
                <w:szCs w:val="18"/>
                <w:lang w:eastAsia="hr-HR"/>
              </w:rPr>
            </w:pPr>
            <w:r w:rsidRPr="001B4CA2">
              <w:rPr>
                <w:rFonts w:eastAsia="Times New Roman"/>
                <w:b/>
                <w:bCs/>
                <w:color w:val="000000"/>
                <w:sz w:val="18"/>
                <w:szCs w:val="18"/>
                <w:lang w:eastAsia="hr-HR"/>
              </w:rPr>
              <w:t>Vrijednost u kn</w:t>
            </w:r>
          </w:p>
        </w:tc>
        <w:tc>
          <w:tcPr>
            <w:tcW w:w="2021" w:type="dxa"/>
            <w:tcBorders>
              <w:top w:val="nil"/>
              <w:left w:val="nil"/>
              <w:bottom w:val="single" w:sz="8" w:space="0" w:color="auto"/>
              <w:right w:val="single" w:sz="8" w:space="0" w:color="auto"/>
            </w:tcBorders>
            <w:shd w:val="clear" w:color="000000" w:fill="99CCFF"/>
            <w:vAlign w:val="center"/>
            <w:hideMark/>
          </w:tcPr>
          <w:p w14:paraId="78865248" w14:textId="77777777" w:rsidR="002B41C2" w:rsidRPr="001B4CA2" w:rsidRDefault="002B41C2" w:rsidP="002A38E7">
            <w:pPr>
              <w:jc w:val="center"/>
              <w:rPr>
                <w:rFonts w:eastAsia="Times New Roman"/>
                <w:b/>
                <w:bCs/>
                <w:color w:val="000000"/>
                <w:sz w:val="18"/>
                <w:szCs w:val="18"/>
                <w:lang w:eastAsia="hr-HR"/>
              </w:rPr>
            </w:pPr>
            <w:r w:rsidRPr="001B4CA2">
              <w:rPr>
                <w:rFonts w:eastAsia="Times New Roman"/>
                <w:b/>
                <w:bCs/>
                <w:color w:val="000000"/>
                <w:sz w:val="18"/>
                <w:szCs w:val="18"/>
                <w:lang w:eastAsia="hr-HR"/>
              </w:rPr>
              <w:t>Broj oduzimanja</w:t>
            </w:r>
          </w:p>
        </w:tc>
        <w:tc>
          <w:tcPr>
            <w:tcW w:w="2021" w:type="dxa"/>
            <w:tcBorders>
              <w:top w:val="nil"/>
              <w:left w:val="nil"/>
              <w:bottom w:val="single" w:sz="8" w:space="0" w:color="auto"/>
              <w:right w:val="single" w:sz="8" w:space="0" w:color="auto"/>
            </w:tcBorders>
            <w:shd w:val="clear" w:color="000000" w:fill="99CCFF"/>
            <w:vAlign w:val="center"/>
            <w:hideMark/>
          </w:tcPr>
          <w:p w14:paraId="540F7A6F" w14:textId="77777777" w:rsidR="002B41C2" w:rsidRPr="001B4CA2" w:rsidRDefault="002B41C2" w:rsidP="002A38E7">
            <w:pPr>
              <w:jc w:val="center"/>
              <w:rPr>
                <w:rFonts w:eastAsia="Times New Roman"/>
                <w:b/>
                <w:bCs/>
                <w:color w:val="000000"/>
                <w:sz w:val="18"/>
                <w:szCs w:val="18"/>
                <w:lang w:eastAsia="hr-HR"/>
              </w:rPr>
            </w:pPr>
            <w:r w:rsidRPr="001B4CA2">
              <w:rPr>
                <w:rFonts w:eastAsia="Times New Roman"/>
                <w:b/>
                <w:bCs/>
                <w:color w:val="000000"/>
                <w:sz w:val="18"/>
                <w:szCs w:val="18"/>
                <w:lang w:eastAsia="hr-HR"/>
              </w:rPr>
              <w:t>Vrijednost u kn</w:t>
            </w:r>
          </w:p>
        </w:tc>
      </w:tr>
      <w:tr w:rsidR="002B41C2" w:rsidRPr="001B4CA2" w14:paraId="7FE7A5A8" w14:textId="77777777" w:rsidTr="004C3A47">
        <w:trPr>
          <w:trHeight w:val="300"/>
        </w:trPr>
        <w:tc>
          <w:tcPr>
            <w:tcW w:w="848" w:type="dxa"/>
            <w:tcBorders>
              <w:top w:val="nil"/>
              <w:left w:val="single" w:sz="8" w:space="0" w:color="auto"/>
              <w:bottom w:val="single" w:sz="8" w:space="0" w:color="auto"/>
              <w:right w:val="single" w:sz="8" w:space="0" w:color="auto"/>
            </w:tcBorders>
            <w:shd w:val="clear" w:color="auto" w:fill="auto"/>
            <w:noWrap/>
            <w:vAlign w:val="center"/>
            <w:hideMark/>
          </w:tcPr>
          <w:p w14:paraId="4813B6CF"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2018.</w:t>
            </w:r>
          </w:p>
        </w:tc>
        <w:tc>
          <w:tcPr>
            <w:tcW w:w="2020" w:type="dxa"/>
            <w:tcBorders>
              <w:top w:val="nil"/>
              <w:left w:val="nil"/>
              <w:bottom w:val="single" w:sz="8" w:space="0" w:color="auto"/>
              <w:right w:val="single" w:sz="8" w:space="0" w:color="auto"/>
            </w:tcBorders>
            <w:shd w:val="clear" w:color="auto" w:fill="auto"/>
            <w:noWrap/>
            <w:vAlign w:val="center"/>
            <w:hideMark/>
          </w:tcPr>
          <w:p w14:paraId="37590522"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13</w:t>
            </w:r>
          </w:p>
        </w:tc>
        <w:tc>
          <w:tcPr>
            <w:tcW w:w="2021" w:type="dxa"/>
            <w:tcBorders>
              <w:top w:val="nil"/>
              <w:left w:val="nil"/>
              <w:bottom w:val="single" w:sz="8" w:space="0" w:color="auto"/>
              <w:right w:val="single" w:sz="8" w:space="0" w:color="auto"/>
            </w:tcBorders>
            <w:shd w:val="clear" w:color="auto" w:fill="auto"/>
            <w:noWrap/>
            <w:vAlign w:val="center"/>
            <w:hideMark/>
          </w:tcPr>
          <w:p w14:paraId="6D26AC56"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14.411.184,00</w:t>
            </w:r>
          </w:p>
        </w:tc>
        <w:tc>
          <w:tcPr>
            <w:tcW w:w="2021" w:type="dxa"/>
            <w:tcBorders>
              <w:top w:val="nil"/>
              <w:left w:val="nil"/>
              <w:bottom w:val="single" w:sz="8" w:space="0" w:color="auto"/>
              <w:right w:val="single" w:sz="8" w:space="0" w:color="auto"/>
            </w:tcBorders>
            <w:shd w:val="clear" w:color="auto" w:fill="auto"/>
            <w:noWrap/>
            <w:vAlign w:val="center"/>
            <w:hideMark/>
          </w:tcPr>
          <w:p w14:paraId="7FAE47EA"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682</w:t>
            </w:r>
          </w:p>
        </w:tc>
        <w:tc>
          <w:tcPr>
            <w:tcW w:w="2021" w:type="dxa"/>
            <w:tcBorders>
              <w:top w:val="nil"/>
              <w:left w:val="nil"/>
              <w:bottom w:val="single" w:sz="8" w:space="0" w:color="auto"/>
              <w:right w:val="single" w:sz="8" w:space="0" w:color="auto"/>
            </w:tcBorders>
            <w:shd w:val="clear" w:color="auto" w:fill="auto"/>
            <w:noWrap/>
            <w:vAlign w:val="center"/>
            <w:hideMark/>
          </w:tcPr>
          <w:p w14:paraId="5C09D2C5"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46.954.115,24</w:t>
            </w:r>
          </w:p>
        </w:tc>
      </w:tr>
      <w:tr w:rsidR="002B41C2" w:rsidRPr="001B4CA2" w14:paraId="3F5DDBE2" w14:textId="77777777" w:rsidTr="004C3A47">
        <w:trPr>
          <w:trHeight w:val="300"/>
        </w:trPr>
        <w:tc>
          <w:tcPr>
            <w:tcW w:w="848" w:type="dxa"/>
            <w:tcBorders>
              <w:top w:val="nil"/>
              <w:left w:val="single" w:sz="8" w:space="0" w:color="auto"/>
              <w:bottom w:val="nil"/>
              <w:right w:val="single" w:sz="8" w:space="0" w:color="auto"/>
            </w:tcBorders>
            <w:shd w:val="clear" w:color="auto" w:fill="auto"/>
            <w:noWrap/>
            <w:vAlign w:val="center"/>
            <w:hideMark/>
          </w:tcPr>
          <w:p w14:paraId="74CB12EB"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2019.</w:t>
            </w:r>
          </w:p>
        </w:tc>
        <w:tc>
          <w:tcPr>
            <w:tcW w:w="2020" w:type="dxa"/>
            <w:tcBorders>
              <w:top w:val="nil"/>
              <w:left w:val="nil"/>
              <w:bottom w:val="nil"/>
              <w:right w:val="single" w:sz="8" w:space="0" w:color="auto"/>
            </w:tcBorders>
            <w:shd w:val="clear" w:color="auto" w:fill="auto"/>
            <w:noWrap/>
            <w:vAlign w:val="center"/>
            <w:hideMark/>
          </w:tcPr>
          <w:p w14:paraId="2DA1A900"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7</w:t>
            </w:r>
          </w:p>
        </w:tc>
        <w:tc>
          <w:tcPr>
            <w:tcW w:w="2021" w:type="dxa"/>
            <w:tcBorders>
              <w:top w:val="nil"/>
              <w:left w:val="nil"/>
              <w:bottom w:val="nil"/>
              <w:right w:val="single" w:sz="8" w:space="0" w:color="auto"/>
            </w:tcBorders>
            <w:shd w:val="clear" w:color="auto" w:fill="auto"/>
            <w:noWrap/>
            <w:vAlign w:val="center"/>
            <w:hideMark/>
          </w:tcPr>
          <w:p w14:paraId="2DDD2092"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11.723.696,00</w:t>
            </w:r>
          </w:p>
        </w:tc>
        <w:tc>
          <w:tcPr>
            <w:tcW w:w="2021" w:type="dxa"/>
            <w:tcBorders>
              <w:top w:val="nil"/>
              <w:left w:val="nil"/>
              <w:bottom w:val="nil"/>
              <w:right w:val="single" w:sz="8" w:space="0" w:color="auto"/>
            </w:tcBorders>
            <w:shd w:val="clear" w:color="auto" w:fill="auto"/>
            <w:noWrap/>
            <w:vAlign w:val="center"/>
            <w:hideMark/>
          </w:tcPr>
          <w:p w14:paraId="17374407"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643</w:t>
            </w:r>
          </w:p>
        </w:tc>
        <w:tc>
          <w:tcPr>
            <w:tcW w:w="2021" w:type="dxa"/>
            <w:tcBorders>
              <w:top w:val="nil"/>
              <w:left w:val="nil"/>
              <w:bottom w:val="single" w:sz="8" w:space="0" w:color="auto"/>
              <w:right w:val="single" w:sz="8" w:space="0" w:color="auto"/>
            </w:tcBorders>
            <w:shd w:val="clear" w:color="auto" w:fill="auto"/>
            <w:noWrap/>
            <w:vAlign w:val="center"/>
            <w:hideMark/>
          </w:tcPr>
          <w:p w14:paraId="3E3982DB"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35.634.090,81</w:t>
            </w:r>
          </w:p>
        </w:tc>
      </w:tr>
      <w:tr w:rsidR="002B41C2" w:rsidRPr="001B4CA2" w14:paraId="0D13FB98" w14:textId="77777777" w:rsidTr="004C3A47">
        <w:trPr>
          <w:trHeight w:val="300"/>
        </w:trPr>
        <w:tc>
          <w:tcPr>
            <w:tcW w:w="8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C93C27"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2020.</w:t>
            </w:r>
          </w:p>
        </w:tc>
        <w:tc>
          <w:tcPr>
            <w:tcW w:w="2020" w:type="dxa"/>
            <w:tcBorders>
              <w:top w:val="single" w:sz="8" w:space="0" w:color="auto"/>
              <w:left w:val="nil"/>
              <w:bottom w:val="single" w:sz="8" w:space="0" w:color="auto"/>
              <w:right w:val="single" w:sz="8" w:space="0" w:color="auto"/>
            </w:tcBorders>
            <w:shd w:val="clear" w:color="auto" w:fill="auto"/>
            <w:noWrap/>
            <w:vAlign w:val="center"/>
            <w:hideMark/>
          </w:tcPr>
          <w:p w14:paraId="59156FD8"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22</w:t>
            </w:r>
          </w:p>
        </w:tc>
        <w:tc>
          <w:tcPr>
            <w:tcW w:w="2021" w:type="dxa"/>
            <w:tcBorders>
              <w:top w:val="single" w:sz="8" w:space="0" w:color="auto"/>
              <w:left w:val="nil"/>
              <w:bottom w:val="single" w:sz="8" w:space="0" w:color="auto"/>
              <w:right w:val="single" w:sz="8" w:space="0" w:color="auto"/>
            </w:tcBorders>
            <w:shd w:val="clear" w:color="auto" w:fill="auto"/>
            <w:noWrap/>
            <w:vAlign w:val="center"/>
            <w:hideMark/>
          </w:tcPr>
          <w:p w14:paraId="26709CD8"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8.920.054,98</w:t>
            </w:r>
          </w:p>
        </w:tc>
        <w:tc>
          <w:tcPr>
            <w:tcW w:w="2021" w:type="dxa"/>
            <w:tcBorders>
              <w:top w:val="single" w:sz="8" w:space="0" w:color="auto"/>
              <w:left w:val="nil"/>
              <w:bottom w:val="single" w:sz="8" w:space="0" w:color="auto"/>
              <w:right w:val="single" w:sz="8" w:space="0" w:color="auto"/>
            </w:tcBorders>
            <w:shd w:val="clear" w:color="auto" w:fill="auto"/>
            <w:noWrap/>
            <w:vAlign w:val="center"/>
            <w:hideMark/>
          </w:tcPr>
          <w:p w14:paraId="493DC91C"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483</w:t>
            </w:r>
          </w:p>
        </w:tc>
        <w:tc>
          <w:tcPr>
            <w:tcW w:w="2021" w:type="dxa"/>
            <w:tcBorders>
              <w:top w:val="nil"/>
              <w:left w:val="nil"/>
              <w:bottom w:val="single" w:sz="8" w:space="0" w:color="auto"/>
              <w:right w:val="single" w:sz="8" w:space="0" w:color="auto"/>
            </w:tcBorders>
            <w:shd w:val="clear" w:color="auto" w:fill="auto"/>
            <w:noWrap/>
            <w:vAlign w:val="center"/>
            <w:hideMark/>
          </w:tcPr>
          <w:p w14:paraId="62590B51"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24.805.865,32</w:t>
            </w:r>
          </w:p>
        </w:tc>
      </w:tr>
      <w:tr w:rsidR="002B41C2" w:rsidRPr="001B4CA2" w14:paraId="1B572980" w14:textId="77777777" w:rsidTr="004C3A47">
        <w:trPr>
          <w:trHeight w:val="300"/>
        </w:trPr>
        <w:tc>
          <w:tcPr>
            <w:tcW w:w="848" w:type="dxa"/>
            <w:tcBorders>
              <w:top w:val="nil"/>
              <w:left w:val="single" w:sz="8" w:space="0" w:color="auto"/>
              <w:bottom w:val="single" w:sz="8" w:space="0" w:color="auto"/>
              <w:right w:val="single" w:sz="8" w:space="0" w:color="auto"/>
            </w:tcBorders>
            <w:shd w:val="clear" w:color="auto" w:fill="auto"/>
            <w:noWrap/>
            <w:vAlign w:val="center"/>
            <w:hideMark/>
          </w:tcPr>
          <w:p w14:paraId="52A7AF8A"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2021.</w:t>
            </w:r>
          </w:p>
        </w:tc>
        <w:tc>
          <w:tcPr>
            <w:tcW w:w="2020" w:type="dxa"/>
            <w:tcBorders>
              <w:top w:val="nil"/>
              <w:left w:val="nil"/>
              <w:bottom w:val="single" w:sz="8" w:space="0" w:color="auto"/>
              <w:right w:val="single" w:sz="8" w:space="0" w:color="auto"/>
            </w:tcBorders>
            <w:shd w:val="clear" w:color="000000" w:fill="FFFFFF"/>
            <w:noWrap/>
            <w:vAlign w:val="center"/>
            <w:hideMark/>
          </w:tcPr>
          <w:p w14:paraId="06061941"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10</w:t>
            </w:r>
          </w:p>
        </w:tc>
        <w:tc>
          <w:tcPr>
            <w:tcW w:w="2021" w:type="dxa"/>
            <w:tcBorders>
              <w:top w:val="nil"/>
              <w:left w:val="nil"/>
              <w:bottom w:val="single" w:sz="8" w:space="0" w:color="auto"/>
              <w:right w:val="single" w:sz="8" w:space="0" w:color="auto"/>
            </w:tcBorders>
            <w:shd w:val="clear" w:color="000000" w:fill="FFFFFF"/>
            <w:noWrap/>
            <w:vAlign w:val="center"/>
            <w:hideMark/>
          </w:tcPr>
          <w:p w14:paraId="3303771B"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5.823.600,00</w:t>
            </w:r>
          </w:p>
        </w:tc>
        <w:tc>
          <w:tcPr>
            <w:tcW w:w="2021" w:type="dxa"/>
            <w:tcBorders>
              <w:top w:val="nil"/>
              <w:left w:val="nil"/>
              <w:bottom w:val="single" w:sz="8" w:space="0" w:color="auto"/>
              <w:right w:val="single" w:sz="8" w:space="0" w:color="auto"/>
            </w:tcBorders>
            <w:shd w:val="clear" w:color="auto" w:fill="auto"/>
            <w:noWrap/>
            <w:vAlign w:val="center"/>
            <w:hideMark/>
          </w:tcPr>
          <w:p w14:paraId="26FD0BE5"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627</w:t>
            </w:r>
          </w:p>
        </w:tc>
        <w:tc>
          <w:tcPr>
            <w:tcW w:w="2021" w:type="dxa"/>
            <w:tcBorders>
              <w:top w:val="nil"/>
              <w:left w:val="nil"/>
              <w:bottom w:val="single" w:sz="8" w:space="0" w:color="auto"/>
              <w:right w:val="single" w:sz="8" w:space="0" w:color="auto"/>
            </w:tcBorders>
            <w:shd w:val="clear" w:color="auto" w:fill="auto"/>
            <w:noWrap/>
            <w:vAlign w:val="center"/>
            <w:hideMark/>
          </w:tcPr>
          <w:p w14:paraId="54BE15CD"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18.031.082,80</w:t>
            </w:r>
          </w:p>
        </w:tc>
      </w:tr>
      <w:tr w:rsidR="002B41C2" w:rsidRPr="001B4CA2" w14:paraId="2492573B" w14:textId="77777777" w:rsidTr="004C3A47">
        <w:trPr>
          <w:trHeight w:val="300"/>
        </w:trPr>
        <w:tc>
          <w:tcPr>
            <w:tcW w:w="848" w:type="dxa"/>
            <w:tcBorders>
              <w:top w:val="nil"/>
              <w:left w:val="single" w:sz="8" w:space="0" w:color="auto"/>
              <w:bottom w:val="single" w:sz="8" w:space="0" w:color="auto"/>
              <w:right w:val="single" w:sz="8" w:space="0" w:color="auto"/>
            </w:tcBorders>
            <w:shd w:val="clear" w:color="auto" w:fill="auto"/>
            <w:noWrap/>
            <w:vAlign w:val="center"/>
            <w:hideMark/>
          </w:tcPr>
          <w:p w14:paraId="79DFC6AC"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2022.</w:t>
            </w:r>
          </w:p>
        </w:tc>
        <w:tc>
          <w:tcPr>
            <w:tcW w:w="2020" w:type="dxa"/>
            <w:tcBorders>
              <w:top w:val="nil"/>
              <w:left w:val="nil"/>
              <w:bottom w:val="single" w:sz="8" w:space="0" w:color="auto"/>
              <w:right w:val="single" w:sz="8" w:space="0" w:color="auto"/>
            </w:tcBorders>
            <w:shd w:val="clear" w:color="000000" w:fill="FFFFFF"/>
            <w:noWrap/>
            <w:vAlign w:val="center"/>
            <w:hideMark/>
          </w:tcPr>
          <w:p w14:paraId="18D5B703"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10</w:t>
            </w:r>
          </w:p>
        </w:tc>
        <w:tc>
          <w:tcPr>
            <w:tcW w:w="2021" w:type="dxa"/>
            <w:tcBorders>
              <w:top w:val="nil"/>
              <w:left w:val="nil"/>
              <w:bottom w:val="single" w:sz="8" w:space="0" w:color="auto"/>
              <w:right w:val="single" w:sz="8" w:space="0" w:color="auto"/>
            </w:tcBorders>
            <w:shd w:val="clear" w:color="000000" w:fill="FFFFFF"/>
            <w:noWrap/>
            <w:vAlign w:val="center"/>
            <w:hideMark/>
          </w:tcPr>
          <w:p w14:paraId="59DAB1C0"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7.993.719,12</w:t>
            </w:r>
          </w:p>
        </w:tc>
        <w:tc>
          <w:tcPr>
            <w:tcW w:w="2021" w:type="dxa"/>
            <w:tcBorders>
              <w:top w:val="nil"/>
              <w:left w:val="nil"/>
              <w:bottom w:val="single" w:sz="8" w:space="0" w:color="auto"/>
              <w:right w:val="single" w:sz="8" w:space="0" w:color="auto"/>
            </w:tcBorders>
            <w:shd w:val="clear" w:color="auto" w:fill="auto"/>
            <w:noWrap/>
            <w:vAlign w:val="center"/>
            <w:hideMark/>
          </w:tcPr>
          <w:p w14:paraId="35E1ED6A"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680</w:t>
            </w:r>
          </w:p>
        </w:tc>
        <w:tc>
          <w:tcPr>
            <w:tcW w:w="2021" w:type="dxa"/>
            <w:tcBorders>
              <w:top w:val="nil"/>
              <w:left w:val="nil"/>
              <w:bottom w:val="single" w:sz="8" w:space="0" w:color="auto"/>
              <w:right w:val="single" w:sz="8" w:space="0" w:color="auto"/>
            </w:tcBorders>
            <w:shd w:val="clear" w:color="auto" w:fill="auto"/>
            <w:noWrap/>
            <w:vAlign w:val="center"/>
            <w:hideMark/>
          </w:tcPr>
          <w:p w14:paraId="375DCD1B" w14:textId="77777777" w:rsidR="002B41C2" w:rsidRPr="001B4CA2" w:rsidRDefault="002B41C2" w:rsidP="002A38E7">
            <w:pPr>
              <w:jc w:val="center"/>
              <w:rPr>
                <w:rFonts w:eastAsia="Times New Roman"/>
                <w:color w:val="000000"/>
                <w:sz w:val="18"/>
                <w:szCs w:val="18"/>
                <w:lang w:eastAsia="hr-HR"/>
              </w:rPr>
            </w:pPr>
            <w:r w:rsidRPr="001B4CA2">
              <w:rPr>
                <w:rFonts w:eastAsia="Times New Roman"/>
                <w:color w:val="000000"/>
                <w:sz w:val="18"/>
                <w:szCs w:val="18"/>
                <w:lang w:eastAsia="hr-HR"/>
              </w:rPr>
              <w:t>61.537.189,38</w:t>
            </w:r>
          </w:p>
        </w:tc>
      </w:tr>
    </w:tbl>
    <w:p w14:paraId="1FC3494E" w14:textId="77777777" w:rsidR="00B17681" w:rsidRPr="001B4CA2" w:rsidRDefault="00B17681" w:rsidP="00446019"/>
    <w:p w14:paraId="55519934" w14:textId="2E03F739" w:rsidR="000D2475" w:rsidRPr="001B4CA2" w:rsidRDefault="002718EF" w:rsidP="00BF29FF">
      <w:pPr>
        <w:pStyle w:val="Naslov4"/>
        <w:tabs>
          <w:tab w:val="left" w:pos="567"/>
        </w:tabs>
        <w:ind w:left="284" w:hanging="284"/>
        <w:rPr>
          <w:rFonts w:ascii="Arial" w:hAnsi="Arial" w:cs="Arial"/>
        </w:rPr>
      </w:pPr>
      <w:bookmarkStart w:id="60" w:name="_Toc133394320"/>
      <w:r w:rsidRPr="001B4CA2">
        <w:rPr>
          <w:rFonts w:ascii="Arial" w:hAnsi="Arial" w:cs="Arial"/>
        </w:rPr>
        <w:t>Pregled radnji i ročišta</w:t>
      </w:r>
      <w:r w:rsidR="00F861FF" w:rsidRPr="001B4CA2">
        <w:rPr>
          <w:rFonts w:ascii="Arial" w:hAnsi="Arial" w:cs="Arial"/>
        </w:rPr>
        <w:t xml:space="preserve"> (općinskih državnih odvjetništava)</w:t>
      </w:r>
      <w:bookmarkEnd w:id="60"/>
    </w:p>
    <w:p w14:paraId="2F7B3FED" w14:textId="77777777" w:rsidR="00B17681" w:rsidRPr="001B4CA2" w:rsidRDefault="00B17681" w:rsidP="002718EF"/>
    <w:p w14:paraId="66A3FE17" w14:textId="3A036660" w:rsidR="002718EF" w:rsidRPr="001B4CA2" w:rsidRDefault="002718EF" w:rsidP="00B17681">
      <w:pPr>
        <w:ind w:left="1134"/>
        <w:rPr>
          <w:i/>
        </w:rPr>
      </w:pPr>
      <w:r w:rsidRPr="001B4CA2">
        <w:rPr>
          <w:i/>
        </w:rPr>
        <w:t>Dokazne radnje i zastupanje pred sudom</w:t>
      </w:r>
    </w:p>
    <w:tbl>
      <w:tblPr>
        <w:tblStyle w:val="Reetkatablice31"/>
        <w:tblW w:w="0" w:type="auto"/>
        <w:jc w:val="center"/>
        <w:tblLayout w:type="fixed"/>
        <w:tblLook w:val="04A0" w:firstRow="1" w:lastRow="0" w:firstColumn="1" w:lastColumn="0" w:noHBand="0" w:noVBand="1"/>
      </w:tblPr>
      <w:tblGrid>
        <w:gridCol w:w="2696"/>
        <w:gridCol w:w="1195"/>
        <w:gridCol w:w="1196"/>
        <w:gridCol w:w="1070"/>
        <w:gridCol w:w="1071"/>
      </w:tblGrid>
      <w:tr w:rsidR="00532C41" w:rsidRPr="001B4CA2" w14:paraId="0D8899B7" w14:textId="77777777" w:rsidTr="00C20DBB">
        <w:trPr>
          <w:trHeight w:val="933"/>
          <w:jc w:val="center"/>
        </w:trPr>
        <w:tc>
          <w:tcPr>
            <w:tcW w:w="2696" w:type="dxa"/>
            <w:vMerge w:val="restart"/>
            <w:shd w:val="clear" w:color="auto" w:fill="99CCFF"/>
            <w:noWrap/>
            <w:vAlign w:val="center"/>
            <w:hideMark/>
          </w:tcPr>
          <w:p w14:paraId="3C57B0EA" w14:textId="77777777" w:rsidR="002718EF" w:rsidRPr="001B4CA2" w:rsidRDefault="002718EF" w:rsidP="00693370">
            <w:pPr>
              <w:jc w:val="center"/>
              <w:rPr>
                <w:rFonts w:eastAsia="Calibri"/>
                <w:b/>
                <w:sz w:val="18"/>
                <w:szCs w:val="18"/>
              </w:rPr>
            </w:pPr>
            <w:r w:rsidRPr="001B4CA2">
              <w:rPr>
                <w:rFonts w:eastAsia="Calibri"/>
                <w:b/>
                <w:sz w:val="18"/>
                <w:szCs w:val="18"/>
              </w:rPr>
              <w:t>Izvidi i dokazne radnje</w:t>
            </w:r>
          </w:p>
        </w:tc>
        <w:tc>
          <w:tcPr>
            <w:tcW w:w="2391" w:type="dxa"/>
            <w:gridSpan w:val="2"/>
            <w:shd w:val="clear" w:color="auto" w:fill="99CCFF"/>
            <w:vAlign w:val="center"/>
            <w:hideMark/>
          </w:tcPr>
          <w:p w14:paraId="0B2AE4D1" w14:textId="77777777" w:rsidR="002718EF" w:rsidRPr="001B4CA2" w:rsidRDefault="002718EF" w:rsidP="00693370">
            <w:pPr>
              <w:jc w:val="center"/>
              <w:rPr>
                <w:rFonts w:eastAsia="Calibri"/>
                <w:b/>
                <w:sz w:val="18"/>
                <w:szCs w:val="18"/>
              </w:rPr>
            </w:pPr>
            <w:r w:rsidRPr="001B4CA2">
              <w:rPr>
                <w:rFonts w:eastAsia="Calibri"/>
                <w:b/>
                <w:sz w:val="18"/>
                <w:szCs w:val="18"/>
              </w:rPr>
              <w:t>Dokazne radnje</w:t>
            </w:r>
          </w:p>
        </w:tc>
        <w:tc>
          <w:tcPr>
            <w:tcW w:w="2141" w:type="dxa"/>
            <w:gridSpan w:val="2"/>
            <w:shd w:val="clear" w:color="auto" w:fill="99CCFF"/>
            <w:vAlign w:val="center"/>
            <w:hideMark/>
          </w:tcPr>
          <w:p w14:paraId="0798D74F" w14:textId="77777777" w:rsidR="002718EF" w:rsidRPr="001B4CA2" w:rsidRDefault="002718EF" w:rsidP="00693370">
            <w:pPr>
              <w:jc w:val="center"/>
              <w:rPr>
                <w:rFonts w:eastAsia="Calibri"/>
                <w:b/>
                <w:sz w:val="18"/>
                <w:szCs w:val="18"/>
              </w:rPr>
            </w:pPr>
            <w:r w:rsidRPr="001B4CA2">
              <w:rPr>
                <w:rFonts w:eastAsia="Calibri"/>
                <w:b/>
                <w:sz w:val="18"/>
                <w:szCs w:val="18"/>
              </w:rPr>
              <w:t>Zastupanje</w:t>
            </w:r>
          </w:p>
        </w:tc>
      </w:tr>
      <w:tr w:rsidR="00532C41" w:rsidRPr="001B4CA2" w14:paraId="2159E203" w14:textId="77777777" w:rsidTr="00C20DBB">
        <w:trPr>
          <w:trHeight w:val="933"/>
          <w:jc w:val="center"/>
        </w:trPr>
        <w:tc>
          <w:tcPr>
            <w:tcW w:w="2696" w:type="dxa"/>
            <w:vMerge/>
            <w:shd w:val="clear" w:color="auto" w:fill="99CCFF"/>
            <w:noWrap/>
            <w:vAlign w:val="center"/>
          </w:tcPr>
          <w:p w14:paraId="4C7DB4CE" w14:textId="77777777" w:rsidR="002718EF" w:rsidRPr="001B4CA2" w:rsidRDefault="002718EF" w:rsidP="00693370">
            <w:pPr>
              <w:jc w:val="center"/>
              <w:rPr>
                <w:rFonts w:eastAsia="Calibri"/>
                <w:b/>
                <w:sz w:val="18"/>
                <w:szCs w:val="18"/>
              </w:rPr>
            </w:pPr>
          </w:p>
        </w:tc>
        <w:tc>
          <w:tcPr>
            <w:tcW w:w="1195" w:type="dxa"/>
            <w:shd w:val="clear" w:color="auto" w:fill="99CCFF"/>
            <w:vAlign w:val="center"/>
          </w:tcPr>
          <w:p w14:paraId="0D8E2CF0" w14:textId="77777777" w:rsidR="002718EF" w:rsidRPr="001B4CA2" w:rsidRDefault="002718EF" w:rsidP="00693370">
            <w:pPr>
              <w:jc w:val="center"/>
              <w:rPr>
                <w:rFonts w:eastAsia="Calibri"/>
                <w:b/>
                <w:sz w:val="18"/>
                <w:szCs w:val="18"/>
              </w:rPr>
            </w:pPr>
            <w:r w:rsidRPr="001B4CA2">
              <w:rPr>
                <w:rFonts w:eastAsia="Calibri"/>
                <w:b/>
                <w:sz w:val="18"/>
                <w:szCs w:val="18"/>
              </w:rPr>
              <w:t>Nalog drugom tijelu</w:t>
            </w:r>
          </w:p>
        </w:tc>
        <w:tc>
          <w:tcPr>
            <w:tcW w:w="1196" w:type="dxa"/>
            <w:shd w:val="clear" w:color="auto" w:fill="99CCFF"/>
            <w:vAlign w:val="center"/>
          </w:tcPr>
          <w:p w14:paraId="225EAE75" w14:textId="77777777" w:rsidR="002718EF" w:rsidRPr="001B4CA2" w:rsidRDefault="002718EF" w:rsidP="00693370">
            <w:pPr>
              <w:jc w:val="center"/>
              <w:rPr>
                <w:rFonts w:eastAsia="Calibri"/>
                <w:b/>
                <w:sz w:val="18"/>
                <w:szCs w:val="18"/>
              </w:rPr>
            </w:pPr>
            <w:r w:rsidRPr="001B4CA2">
              <w:rPr>
                <w:rFonts w:eastAsia="Calibri"/>
                <w:b/>
                <w:sz w:val="18"/>
                <w:szCs w:val="18"/>
              </w:rPr>
              <w:t>Provedeno po DO</w:t>
            </w:r>
          </w:p>
        </w:tc>
        <w:tc>
          <w:tcPr>
            <w:tcW w:w="1070" w:type="dxa"/>
            <w:shd w:val="clear" w:color="auto" w:fill="99CCFF"/>
            <w:vAlign w:val="center"/>
          </w:tcPr>
          <w:p w14:paraId="25578BFB" w14:textId="77777777" w:rsidR="002718EF" w:rsidRPr="001B4CA2" w:rsidRDefault="002718EF" w:rsidP="00693370">
            <w:pPr>
              <w:jc w:val="center"/>
              <w:rPr>
                <w:rFonts w:eastAsia="Calibri"/>
                <w:b/>
                <w:sz w:val="18"/>
                <w:szCs w:val="18"/>
              </w:rPr>
            </w:pPr>
            <w:r w:rsidRPr="001B4CA2">
              <w:rPr>
                <w:rFonts w:eastAsia="Calibri"/>
                <w:b/>
                <w:sz w:val="18"/>
                <w:szCs w:val="18"/>
              </w:rPr>
              <w:t>Ročišta</w:t>
            </w:r>
          </w:p>
        </w:tc>
        <w:tc>
          <w:tcPr>
            <w:tcW w:w="1071" w:type="dxa"/>
            <w:shd w:val="clear" w:color="auto" w:fill="99CCFF"/>
            <w:vAlign w:val="center"/>
          </w:tcPr>
          <w:p w14:paraId="2AA1EEFB" w14:textId="77777777" w:rsidR="002718EF" w:rsidRPr="001B4CA2" w:rsidRDefault="002718EF" w:rsidP="00693370">
            <w:pPr>
              <w:jc w:val="center"/>
              <w:rPr>
                <w:rFonts w:eastAsia="Calibri"/>
                <w:b/>
                <w:sz w:val="18"/>
                <w:szCs w:val="18"/>
              </w:rPr>
            </w:pPr>
            <w:r w:rsidRPr="001B4CA2">
              <w:rPr>
                <w:rFonts w:eastAsia="Calibri"/>
                <w:b/>
                <w:sz w:val="18"/>
                <w:szCs w:val="18"/>
              </w:rPr>
              <w:t>Rasprave</w:t>
            </w:r>
          </w:p>
        </w:tc>
      </w:tr>
      <w:tr w:rsidR="00532C41" w:rsidRPr="001B4CA2" w14:paraId="3D63B734" w14:textId="77777777" w:rsidTr="00D97772">
        <w:trPr>
          <w:trHeight w:val="397"/>
          <w:jc w:val="center"/>
        </w:trPr>
        <w:tc>
          <w:tcPr>
            <w:tcW w:w="2696" w:type="dxa"/>
            <w:shd w:val="clear" w:color="auto" w:fill="99CCFF"/>
            <w:vAlign w:val="center"/>
            <w:hideMark/>
          </w:tcPr>
          <w:p w14:paraId="104043DE" w14:textId="77777777" w:rsidR="002718EF" w:rsidRPr="001B4CA2" w:rsidRDefault="002718EF" w:rsidP="00693370">
            <w:pPr>
              <w:jc w:val="center"/>
              <w:rPr>
                <w:rFonts w:eastAsia="Calibri"/>
                <w:sz w:val="18"/>
                <w:szCs w:val="18"/>
              </w:rPr>
            </w:pPr>
            <w:r w:rsidRPr="001B4CA2">
              <w:rPr>
                <w:rFonts w:eastAsia="Calibri"/>
                <w:sz w:val="18"/>
                <w:szCs w:val="18"/>
              </w:rPr>
              <w:t>1</w:t>
            </w:r>
          </w:p>
        </w:tc>
        <w:tc>
          <w:tcPr>
            <w:tcW w:w="1195" w:type="dxa"/>
            <w:shd w:val="clear" w:color="auto" w:fill="99CCFF"/>
            <w:noWrap/>
            <w:vAlign w:val="center"/>
          </w:tcPr>
          <w:p w14:paraId="0C7846A9" w14:textId="77777777" w:rsidR="002718EF" w:rsidRPr="001B4CA2" w:rsidRDefault="002718EF" w:rsidP="00693370">
            <w:pPr>
              <w:jc w:val="center"/>
              <w:rPr>
                <w:rFonts w:eastAsia="Calibri"/>
                <w:sz w:val="18"/>
                <w:szCs w:val="18"/>
              </w:rPr>
            </w:pPr>
            <w:r w:rsidRPr="001B4CA2">
              <w:rPr>
                <w:rFonts w:eastAsia="Calibri"/>
                <w:sz w:val="18"/>
                <w:szCs w:val="18"/>
              </w:rPr>
              <w:t>2</w:t>
            </w:r>
          </w:p>
        </w:tc>
        <w:tc>
          <w:tcPr>
            <w:tcW w:w="1196" w:type="dxa"/>
            <w:shd w:val="clear" w:color="auto" w:fill="99CCFF"/>
            <w:noWrap/>
            <w:vAlign w:val="center"/>
          </w:tcPr>
          <w:p w14:paraId="7D3B7EE8" w14:textId="77777777" w:rsidR="002718EF" w:rsidRPr="001B4CA2" w:rsidRDefault="002718EF" w:rsidP="00693370">
            <w:pPr>
              <w:jc w:val="center"/>
              <w:rPr>
                <w:rFonts w:eastAsia="Calibri"/>
                <w:sz w:val="18"/>
                <w:szCs w:val="18"/>
              </w:rPr>
            </w:pPr>
            <w:r w:rsidRPr="001B4CA2">
              <w:rPr>
                <w:rFonts w:eastAsia="Calibri"/>
                <w:sz w:val="18"/>
                <w:szCs w:val="18"/>
              </w:rPr>
              <w:t>3</w:t>
            </w:r>
          </w:p>
        </w:tc>
        <w:tc>
          <w:tcPr>
            <w:tcW w:w="1070" w:type="dxa"/>
            <w:shd w:val="clear" w:color="auto" w:fill="99CCFF"/>
            <w:noWrap/>
            <w:vAlign w:val="center"/>
          </w:tcPr>
          <w:p w14:paraId="6E808F5A" w14:textId="77777777" w:rsidR="002718EF" w:rsidRPr="001B4CA2" w:rsidRDefault="002718EF" w:rsidP="00693370">
            <w:pPr>
              <w:jc w:val="center"/>
              <w:rPr>
                <w:rFonts w:eastAsia="Calibri"/>
                <w:sz w:val="18"/>
                <w:szCs w:val="18"/>
              </w:rPr>
            </w:pPr>
            <w:r w:rsidRPr="001B4CA2">
              <w:rPr>
                <w:rFonts w:eastAsia="Calibri"/>
                <w:sz w:val="18"/>
                <w:szCs w:val="18"/>
              </w:rPr>
              <w:t>4</w:t>
            </w:r>
          </w:p>
        </w:tc>
        <w:tc>
          <w:tcPr>
            <w:tcW w:w="1071" w:type="dxa"/>
            <w:shd w:val="clear" w:color="auto" w:fill="99CCFF"/>
            <w:noWrap/>
            <w:vAlign w:val="center"/>
          </w:tcPr>
          <w:p w14:paraId="55086050" w14:textId="77777777" w:rsidR="002718EF" w:rsidRPr="001B4CA2" w:rsidRDefault="002718EF" w:rsidP="00693370">
            <w:pPr>
              <w:jc w:val="center"/>
              <w:rPr>
                <w:rFonts w:eastAsia="Calibri"/>
                <w:sz w:val="18"/>
                <w:szCs w:val="18"/>
              </w:rPr>
            </w:pPr>
            <w:r w:rsidRPr="001B4CA2">
              <w:rPr>
                <w:rFonts w:eastAsia="Calibri"/>
                <w:sz w:val="18"/>
                <w:szCs w:val="18"/>
              </w:rPr>
              <w:t>5</w:t>
            </w:r>
          </w:p>
        </w:tc>
      </w:tr>
      <w:tr w:rsidR="006E1B61" w:rsidRPr="001B4CA2" w14:paraId="3581956C" w14:textId="77777777" w:rsidTr="00C20DBB">
        <w:trPr>
          <w:trHeight w:val="397"/>
          <w:jc w:val="center"/>
        </w:trPr>
        <w:tc>
          <w:tcPr>
            <w:tcW w:w="2696" w:type="dxa"/>
            <w:vAlign w:val="center"/>
            <w:hideMark/>
          </w:tcPr>
          <w:p w14:paraId="35780D13" w14:textId="221CDECF" w:rsidR="006E1B61" w:rsidRPr="001B4CA2" w:rsidRDefault="006E1B61" w:rsidP="00B17681">
            <w:pPr>
              <w:jc w:val="center"/>
              <w:rPr>
                <w:rFonts w:eastAsia="Calibri"/>
                <w:sz w:val="18"/>
                <w:szCs w:val="18"/>
              </w:rPr>
            </w:pPr>
            <w:r w:rsidRPr="001B4CA2">
              <w:rPr>
                <w:rFonts w:eastAsia="Calibri"/>
                <w:sz w:val="18"/>
                <w:szCs w:val="18"/>
              </w:rPr>
              <w:t>202</w:t>
            </w:r>
            <w:r w:rsidR="00F861FF" w:rsidRPr="001B4CA2">
              <w:rPr>
                <w:rFonts w:eastAsia="Calibri"/>
                <w:sz w:val="18"/>
                <w:szCs w:val="18"/>
              </w:rPr>
              <w:t>2</w:t>
            </w:r>
            <w:r w:rsidRPr="001B4CA2">
              <w:rPr>
                <w:rFonts w:eastAsia="Calibri"/>
                <w:sz w:val="18"/>
                <w:szCs w:val="18"/>
              </w:rPr>
              <w:t>.</w:t>
            </w:r>
          </w:p>
        </w:tc>
        <w:tc>
          <w:tcPr>
            <w:tcW w:w="1195" w:type="dxa"/>
            <w:noWrap/>
            <w:vAlign w:val="center"/>
          </w:tcPr>
          <w:p w14:paraId="599A5ACE" w14:textId="2183F117" w:rsidR="006E1B61" w:rsidRPr="001B4CA2" w:rsidRDefault="00F861FF" w:rsidP="00693370">
            <w:pPr>
              <w:jc w:val="center"/>
              <w:rPr>
                <w:rFonts w:eastAsia="Calibri"/>
                <w:sz w:val="18"/>
                <w:szCs w:val="18"/>
              </w:rPr>
            </w:pPr>
            <w:r w:rsidRPr="001B4CA2">
              <w:rPr>
                <w:rFonts w:eastAsia="Calibri"/>
                <w:sz w:val="18"/>
                <w:szCs w:val="18"/>
              </w:rPr>
              <w:t>23.541</w:t>
            </w:r>
          </w:p>
        </w:tc>
        <w:tc>
          <w:tcPr>
            <w:tcW w:w="1196" w:type="dxa"/>
            <w:noWrap/>
            <w:vAlign w:val="center"/>
          </w:tcPr>
          <w:p w14:paraId="119A86ED" w14:textId="64338A83" w:rsidR="006E1B61" w:rsidRPr="001B4CA2" w:rsidRDefault="00F861FF" w:rsidP="00693370">
            <w:pPr>
              <w:jc w:val="center"/>
              <w:rPr>
                <w:rFonts w:eastAsia="Calibri"/>
                <w:sz w:val="18"/>
                <w:szCs w:val="18"/>
              </w:rPr>
            </w:pPr>
            <w:r w:rsidRPr="001B4CA2">
              <w:rPr>
                <w:rFonts w:eastAsia="Calibri"/>
                <w:sz w:val="18"/>
                <w:szCs w:val="18"/>
              </w:rPr>
              <w:t>19.178</w:t>
            </w:r>
          </w:p>
        </w:tc>
        <w:tc>
          <w:tcPr>
            <w:tcW w:w="1070" w:type="dxa"/>
            <w:noWrap/>
            <w:vAlign w:val="center"/>
          </w:tcPr>
          <w:p w14:paraId="7036EFC3" w14:textId="1026EE01" w:rsidR="006E1B61" w:rsidRPr="001B4CA2" w:rsidRDefault="00F861FF" w:rsidP="00693370">
            <w:pPr>
              <w:jc w:val="center"/>
              <w:rPr>
                <w:rFonts w:eastAsia="Calibri"/>
                <w:sz w:val="18"/>
                <w:szCs w:val="18"/>
              </w:rPr>
            </w:pPr>
            <w:r w:rsidRPr="001B4CA2">
              <w:rPr>
                <w:rFonts w:eastAsia="Calibri"/>
                <w:sz w:val="18"/>
                <w:szCs w:val="18"/>
              </w:rPr>
              <w:t>10.867</w:t>
            </w:r>
          </w:p>
        </w:tc>
        <w:tc>
          <w:tcPr>
            <w:tcW w:w="1071" w:type="dxa"/>
            <w:noWrap/>
            <w:vAlign w:val="center"/>
          </w:tcPr>
          <w:p w14:paraId="0698F87D" w14:textId="4310AC80" w:rsidR="006E1B61" w:rsidRPr="001B4CA2" w:rsidRDefault="00F861FF" w:rsidP="00693370">
            <w:pPr>
              <w:jc w:val="center"/>
              <w:rPr>
                <w:rFonts w:eastAsia="Calibri"/>
                <w:sz w:val="18"/>
                <w:szCs w:val="18"/>
              </w:rPr>
            </w:pPr>
            <w:r w:rsidRPr="001B4CA2">
              <w:rPr>
                <w:rFonts w:eastAsia="Calibri"/>
                <w:sz w:val="18"/>
                <w:szCs w:val="18"/>
              </w:rPr>
              <w:t>47.203</w:t>
            </w:r>
          </w:p>
        </w:tc>
      </w:tr>
    </w:tbl>
    <w:p w14:paraId="3AFD12C6" w14:textId="77777777" w:rsidR="0020162B" w:rsidRPr="001B4CA2" w:rsidRDefault="0020162B" w:rsidP="002718EF"/>
    <w:p w14:paraId="040DB960" w14:textId="51F4D390" w:rsidR="00F861FF" w:rsidRPr="001B4CA2" w:rsidRDefault="00F861FF" w:rsidP="00F861FF">
      <w:pPr>
        <w:widowControl w:val="0"/>
        <w:ind w:firstLine="720"/>
        <w:rPr>
          <w:snapToGrid w:val="0"/>
        </w:rPr>
      </w:pPr>
      <w:r w:rsidRPr="001B4CA2">
        <w:rPr>
          <w:snapToGrid w:val="0"/>
        </w:rPr>
        <w:t>Općinska državna odvjetništva u izvještajnom razdoblju naložila su ili sama provela ukupno 42.719 dokaznih radnji</w:t>
      </w:r>
      <w:r w:rsidR="00956EE1">
        <w:rPr>
          <w:snapToGrid w:val="0"/>
        </w:rPr>
        <w:t>,</w:t>
      </w:r>
      <w:r w:rsidRPr="001B4CA2">
        <w:rPr>
          <w:snapToGrid w:val="0"/>
        </w:rPr>
        <w:t xml:space="preserve"> što je 9,75</w:t>
      </w:r>
      <w:r w:rsidR="00956EE1">
        <w:rPr>
          <w:snapToGrid w:val="0"/>
        </w:rPr>
        <w:t> </w:t>
      </w:r>
      <w:r w:rsidRPr="001B4CA2">
        <w:rPr>
          <w:snapToGrid w:val="0"/>
        </w:rPr>
        <w:t xml:space="preserve">% više dokaznih radnji nego prethodne godine, pri čemu </w:t>
      </w:r>
      <w:r w:rsidR="00956EE1">
        <w:rPr>
          <w:snapToGrid w:val="0"/>
        </w:rPr>
        <w:t>je</w:t>
      </w:r>
      <w:r w:rsidRPr="001B4CA2">
        <w:rPr>
          <w:snapToGrid w:val="0"/>
        </w:rPr>
        <w:t xml:space="preserve"> izdan</w:t>
      </w:r>
      <w:r w:rsidR="00956EE1">
        <w:rPr>
          <w:snapToGrid w:val="0"/>
        </w:rPr>
        <w:t>o</w:t>
      </w:r>
      <w:r w:rsidRPr="001B4CA2">
        <w:rPr>
          <w:snapToGrid w:val="0"/>
        </w:rPr>
        <w:t xml:space="preserve"> 23.539 naloga drugim tijelima, najčešće policijskim istražiteljima za provođenjem dokaznih radnji (55,10</w:t>
      </w:r>
      <w:r w:rsidR="00956EE1">
        <w:rPr>
          <w:snapToGrid w:val="0"/>
        </w:rPr>
        <w:t> </w:t>
      </w:r>
      <w:r w:rsidRPr="001B4CA2">
        <w:rPr>
          <w:snapToGrid w:val="0"/>
        </w:rPr>
        <w:t>%), a isto</w:t>
      </w:r>
      <w:r w:rsidR="00956EE1">
        <w:rPr>
          <w:snapToGrid w:val="0"/>
        </w:rPr>
        <w:t>dob</w:t>
      </w:r>
      <w:r w:rsidRPr="001B4CA2">
        <w:rPr>
          <w:snapToGrid w:val="0"/>
        </w:rPr>
        <w:t>no su općinska državna odvjetništva provela 19.178 dokaznih radnji samostalno (44,89</w:t>
      </w:r>
      <w:r w:rsidR="00956EE1">
        <w:rPr>
          <w:snapToGrid w:val="0"/>
        </w:rPr>
        <w:t> </w:t>
      </w:r>
      <w:r w:rsidRPr="001B4CA2">
        <w:rPr>
          <w:snapToGrid w:val="0"/>
        </w:rPr>
        <w:t>%) te prisustvovala na 10.867 sudskih ročišta i 47.203 rasprave</w:t>
      </w:r>
      <w:r w:rsidR="00956EE1">
        <w:rPr>
          <w:snapToGrid w:val="0"/>
        </w:rPr>
        <w:t>,</w:t>
      </w:r>
      <w:r w:rsidRPr="001B4CA2">
        <w:rPr>
          <w:snapToGrid w:val="0"/>
        </w:rPr>
        <w:t xml:space="preserve"> što je porast broja</w:t>
      </w:r>
      <w:r w:rsidR="001B4CA2">
        <w:rPr>
          <w:snapToGrid w:val="0"/>
        </w:rPr>
        <w:t xml:space="preserve"> </w:t>
      </w:r>
      <w:r w:rsidRPr="001B4CA2">
        <w:rPr>
          <w:snapToGrid w:val="0"/>
        </w:rPr>
        <w:t>prisustvovanja ročištima i raspravama od 5,70</w:t>
      </w:r>
      <w:r w:rsidR="00956EE1">
        <w:rPr>
          <w:snapToGrid w:val="0"/>
        </w:rPr>
        <w:t> </w:t>
      </w:r>
      <w:r w:rsidRPr="001B4CA2">
        <w:rPr>
          <w:snapToGrid w:val="0"/>
        </w:rPr>
        <w:t xml:space="preserve">% u odnosu na prethodno izvještajno razdoblje. </w:t>
      </w:r>
    </w:p>
    <w:p w14:paraId="1D8D5791" w14:textId="77777777" w:rsidR="00F861FF" w:rsidRPr="001B4CA2" w:rsidRDefault="00F861FF" w:rsidP="00F861FF">
      <w:pPr>
        <w:widowControl w:val="0"/>
        <w:ind w:firstLine="720"/>
        <w:rPr>
          <w:snapToGrid w:val="0"/>
        </w:rPr>
      </w:pPr>
    </w:p>
    <w:p w14:paraId="52651849" w14:textId="11CAA75E" w:rsidR="00F861FF" w:rsidRPr="001B4CA2" w:rsidRDefault="00F861FF" w:rsidP="00F861FF">
      <w:pPr>
        <w:widowControl w:val="0"/>
        <w:ind w:firstLine="720"/>
        <w:rPr>
          <w:snapToGrid w:val="0"/>
        </w:rPr>
      </w:pPr>
      <w:r w:rsidRPr="001B4CA2">
        <w:rPr>
          <w:snapToGrid w:val="0"/>
        </w:rPr>
        <w:t xml:space="preserve">Porast broja ročišta i rasprava pred sudovima kojima su prisustvovala u izvještajnom razdoblju općinska državna odvjetništva te porast ukupnog broja </w:t>
      </w:r>
      <w:r w:rsidRPr="001B4CA2">
        <w:rPr>
          <w:snapToGrid w:val="0"/>
        </w:rPr>
        <w:lastRenderedPageBreak/>
        <w:t>dokaznih radnji rezultiralo je time da su općinska</w:t>
      </w:r>
      <w:r w:rsidR="001B4CA2">
        <w:rPr>
          <w:snapToGrid w:val="0"/>
        </w:rPr>
        <w:t xml:space="preserve"> </w:t>
      </w:r>
      <w:r w:rsidRPr="001B4CA2">
        <w:rPr>
          <w:snapToGrid w:val="0"/>
        </w:rPr>
        <w:t>državna odvjetništva, uz zadržan broj</w:t>
      </w:r>
      <w:r w:rsidR="001B4CA2">
        <w:rPr>
          <w:snapToGrid w:val="0"/>
        </w:rPr>
        <w:t xml:space="preserve"> </w:t>
      </w:r>
      <w:r w:rsidRPr="001B4CA2">
        <w:rPr>
          <w:snapToGrid w:val="0"/>
        </w:rPr>
        <w:t>neposredno obavljenih dokaznih radnji, u ovom izvještajnom razdoblju veći broj dokaznih radnji nego što je to bio slučaj u prethodnom izvještajnom razdoblju povjerila drugim tijelima. Aktivnost vezana uz dokazne radnje povećana je u odnosu na prethodno izvještajno razdoblje za 9,75</w:t>
      </w:r>
      <w:r w:rsidR="00956EE1">
        <w:rPr>
          <w:snapToGrid w:val="0"/>
        </w:rPr>
        <w:t> </w:t>
      </w:r>
      <w:r w:rsidRPr="001B4CA2">
        <w:rPr>
          <w:snapToGrid w:val="0"/>
        </w:rPr>
        <w:t>%, kao i nazočnost na ročištima i raspravama pred sudom za 5,70</w:t>
      </w:r>
      <w:r w:rsidR="00956EE1">
        <w:rPr>
          <w:snapToGrid w:val="0"/>
        </w:rPr>
        <w:t> </w:t>
      </w:r>
      <w:r w:rsidRPr="001B4CA2">
        <w:rPr>
          <w:snapToGrid w:val="0"/>
        </w:rPr>
        <w:t>%, dakle</w:t>
      </w:r>
      <w:r w:rsidR="00956EE1">
        <w:rPr>
          <w:snapToGrid w:val="0"/>
        </w:rPr>
        <w:t>,</w:t>
      </w:r>
      <w:r w:rsidRPr="001B4CA2">
        <w:rPr>
          <w:snapToGrid w:val="0"/>
        </w:rPr>
        <w:t xml:space="preserve"> ukupan angažman na ovim radnjama u izvještajnom razdoblju bilježi porast. </w:t>
      </w:r>
    </w:p>
    <w:p w14:paraId="751080CD" w14:textId="77777777" w:rsidR="00885BB0" w:rsidRPr="001B4CA2" w:rsidRDefault="00885BB0" w:rsidP="00F44FA4"/>
    <w:p w14:paraId="61B21226" w14:textId="6E242EEC" w:rsidR="007B4E2F" w:rsidRPr="001B4CA2" w:rsidRDefault="008378D1" w:rsidP="00BF29FF">
      <w:pPr>
        <w:pStyle w:val="Naslov4"/>
        <w:tabs>
          <w:tab w:val="left" w:pos="993"/>
        </w:tabs>
        <w:ind w:left="284" w:firstLine="0"/>
        <w:rPr>
          <w:rFonts w:ascii="Arial" w:hAnsi="Arial" w:cs="Arial"/>
        </w:rPr>
      </w:pPr>
      <w:bookmarkStart w:id="61" w:name="_Toc133394321"/>
      <w:r w:rsidRPr="001B4CA2">
        <w:rPr>
          <w:rFonts w:ascii="Arial" w:hAnsi="Arial" w:cs="Arial"/>
        </w:rPr>
        <w:t>Žalbe i odluke sudova povodom žalbi</w:t>
      </w:r>
      <w:bookmarkEnd w:id="61"/>
    </w:p>
    <w:p w14:paraId="34C8F457" w14:textId="77777777" w:rsidR="00723ADA" w:rsidRPr="001B4CA2" w:rsidRDefault="00723ADA" w:rsidP="00723ADA"/>
    <w:p w14:paraId="7C40D2C8" w14:textId="37775F1D" w:rsidR="009268FB" w:rsidRPr="001B4CA2" w:rsidRDefault="005B2800" w:rsidP="009268FB">
      <w:r w:rsidRPr="001B4CA2">
        <w:tab/>
      </w:r>
      <w:r w:rsidR="009268FB" w:rsidRPr="001B4CA2">
        <w:t>Općinska državna odvjetništva su u 2022. godini podnijela 2840 žalbi u odnosu na 16521 donesenu presudu, pa proizlazi da su žalbe podnesene protiv 17,19</w:t>
      </w:r>
      <w:r w:rsidR="00956EE1">
        <w:t> </w:t>
      </w:r>
      <w:r w:rsidR="009268FB" w:rsidRPr="001B4CA2">
        <w:t>% presuda ili protiv prosječno svake 5,8</w:t>
      </w:r>
      <w:r w:rsidR="00956EE1">
        <w:t>.</w:t>
      </w:r>
      <w:r w:rsidR="009268FB" w:rsidRPr="001B4CA2">
        <w:t xml:space="preserve"> presude.</w:t>
      </w:r>
    </w:p>
    <w:p w14:paraId="55FA8632" w14:textId="77777777" w:rsidR="00D27455" w:rsidRPr="001B4CA2" w:rsidRDefault="00D27455" w:rsidP="009268FB"/>
    <w:p w14:paraId="5DE34781" w14:textId="367CD1DD" w:rsidR="009268FB" w:rsidRPr="001B4CA2" w:rsidRDefault="009268FB" w:rsidP="009268FB">
      <w:r w:rsidRPr="001B4CA2">
        <w:tab/>
        <w:t>Podneseno je 214 žalbi ili 8,14</w:t>
      </w:r>
      <w:r w:rsidR="00956EE1">
        <w:t> </w:t>
      </w:r>
      <w:r w:rsidRPr="001B4CA2">
        <w:t>% više u odnosu na 2021. godinu kada su žalbe bile podnesene protiv prosječno svake 6,6</w:t>
      </w:r>
      <w:r w:rsidR="00956EE1">
        <w:t>.</w:t>
      </w:r>
      <w:r w:rsidRPr="001B4CA2">
        <w:t xml:space="preserve"> presude te ujedno više i u odnosu na ranije izvještajne godine promatranog razdoblja, što je </w:t>
      </w:r>
      <w:r w:rsidR="00956EE1">
        <w:t>razvidno</w:t>
      </w:r>
      <w:r w:rsidRPr="001B4CA2">
        <w:t xml:space="preserve"> iz tablice u nastavku u kojoj je dan prikaz ukupnog broja podnesenih i usvojenih žalbi te prikaz podnesenih i usvojenih žalbi zbog odluke o kazni.</w:t>
      </w:r>
    </w:p>
    <w:p w14:paraId="7243DC46" w14:textId="77777777" w:rsidR="00885BB0" w:rsidRPr="001B4CA2" w:rsidRDefault="00885BB0" w:rsidP="00723ADA"/>
    <w:tbl>
      <w:tblPr>
        <w:tblpPr w:leftFromText="180" w:rightFromText="180" w:vertAnchor="text" w:horzAnchor="margin" w:tblpX="250" w:tblpY="340"/>
        <w:tblW w:w="85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1"/>
        <w:gridCol w:w="1913"/>
        <w:gridCol w:w="1914"/>
        <w:gridCol w:w="1913"/>
        <w:gridCol w:w="1914"/>
      </w:tblGrid>
      <w:tr w:rsidR="00C80BB6" w:rsidRPr="001B4CA2" w14:paraId="4CC3D4E2" w14:textId="77777777" w:rsidTr="00FB2B5D">
        <w:trPr>
          <w:trHeight w:val="287"/>
        </w:trPr>
        <w:tc>
          <w:tcPr>
            <w:tcW w:w="851" w:type="dxa"/>
            <w:vMerge w:val="restart"/>
            <w:shd w:val="clear" w:color="000000" w:fill="99CCFF"/>
            <w:noWrap/>
            <w:vAlign w:val="center"/>
            <w:hideMark/>
          </w:tcPr>
          <w:p w14:paraId="39202FEB" w14:textId="77777777" w:rsidR="00AC05AF" w:rsidRPr="001B4CA2" w:rsidRDefault="00AC05AF" w:rsidP="00FB2B5D">
            <w:pPr>
              <w:jc w:val="center"/>
              <w:rPr>
                <w:rFonts w:eastAsia="Times New Roman"/>
                <w:b/>
                <w:bCs/>
                <w:color w:val="000000"/>
                <w:sz w:val="18"/>
                <w:szCs w:val="18"/>
                <w:lang w:eastAsia="hr-HR"/>
              </w:rPr>
            </w:pPr>
            <w:r w:rsidRPr="001B4CA2">
              <w:rPr>
                <w:rFonts w:eastAsia="Times New Roman"/>
                <w:b/>
                <w:bCs/>
                <w:color w:val="000000"/>
                <w:sz w:val="18"/>
                <w:szCs w:val="18"/>
                <w:lang w:eastAsia="hr-HR"/>
              </w:rPr>
              <w:t>Godina</w:t>
            </w:r>
          </w:p>
        </w:tc>
        <w:tc>
          <w:tcPr>
            <w:tcW w:w="7654" w:type="dxa"/>
            <w:gridSpan w:val="4"/>
            <w:shd w:val="clear" w:color="000000" w:fill="99CCFF"/>
            <w:noWrap/>
            <w:vAlign w:val="center"/>
            <w:hideMark/>
          </w:tcPr>
          <w:p w14:paraId="22DB2915" w14:textId="77777777" w:rsidR="00AC05AF" w:rsidRPr="001B4CA2" w:rsidRDefault="00AC05AF" w:rsidP="00FB2B5D">
            <w:pPr>
              <w:jc w:val="center"/>
              <w:rPr>
                <w:rFonts w:eastAsia="Times New Roman"/>
                <w:b/>
                <w:bCs/>
                <w:color w:val="000000"/>
                <w:sz w:val="18"/>
                <w:szCs w:val="18"/>
                <w:lang w:eastAsia="hr-HR"/>
              </w:rPr>
            </w:pPr>
            <w:r w:rsidRPr="001B4CA2">
              <w:rPr>
                <w:rFonts w:eastAsia="Times New Roman"/>
                <w:b/>
                <w:bCs/>
                <w:color w:val="000000"/>
                <w:sz w:val="18"/>
                <w:szCs w:val="18"/>
                <w:lang w:eastAsia="hr-HR"/>
              </w:rPr>
              <w:t>Žalbe</w:t>
            </w:r>
          </w:p>
        </w:tc>
      </w:tr>
      <w:tr w:rsidR="00AC05AF" w:rsidRPr="001B4CA2" w14:paraId="2611B7D7" w14:textId="77777777" w:rsidTr="00FB2B5D">
        <w:trPr>
          <w:trHeight w:val="561"/>
        </w:trPr>
        <w:tc>
          <w:tcPr>
            <w:tcW w:w="851" w:type="dxa"/>
            <w:vMerge/>
            <w:vAlign w:val="center"/>
            <w:hideMark/>
          </w:tcPr>
          <w:p w14:paraId="0FCABC2B" w14:textId="77777777" w:rsidR="00AC05AF" w:rsidRPr="001B4CA2" w:rsidRDefault="00AC05AF" w:rsidP="00FB2B5D">
            <w:pPr>
              <w:jc w:val="left"/>
              <w:rPr>
                <w:rFonts w:eastAsia="Times New Roman"/>
                <w:b/>
                <w:bCs/>
                <w:color w:val="000000"/>
                <w:sz w:val="18"/>
                <w:szCs w:val="18"/>
                <w:lang w:eastAsia="hr-HR"/>
              </w:rPr>
            </w:pPr>
          </w:p>
        </w:tc>
        <w:tc>
          <w:tcPr>
            <w:tcW w:w="1913" w:type="dxa"/>
            <w:shd w:val="clear" w:color="000000" w:fill="99CCFF"/>
            <w:noWrap/>
            <w:vAlign w:val="center"/>
            <w:hideMark/>
          </w:tcPr>
          <w:p w14:paraId="6FA17DD5" w14:textId="77777777" w:rsidR="00AC05AF" w:rsidRPr="001B4CA2" w:rsidRDefault="00AC05AF" w:rsidP="00FB2B5D">
            <w:pPr>
              <w:jc w:val="center"/>
              <w:rPr>
                <w:rFonts w:eastAsia="Times New Roman"/>
                <w:b/>
                <w:bCs/>
                <w:color w:val="000000"/>
                <w:sz w:val="18"/>
                <w:szCs w:val="18"/>
                <w:lang w:eastAsia="hr-HR"/>
              </w:rPr>
            </w:pPr>
            <w:r w:rsidRPr="001B4CA2">
              <w:rPr>
                <w:rFonts w:eastAsia="Times New Roman"/>
                <w:b/>
                <w:bCs/>
                <w:color w:val="000000"/>
                <w:sz w:val="18"/>
                <w:szCs w:val="18"/>
                <w:lang w:eastAsia="hr-HR"/>
              </w:rPr>
              <w:t>Podneseno</w:t>
            </w:r>
          </w:p>
        </w:tc>
        <w:tc>
          <w:tcPr>
            <w:tcW w:w="1914" w:type="dxa"/>
            <w:shd w:val="clear" w:color="000000" w:fill="99CCFF"/>
            <w:vAlign w:val="center"/>
            <w:hideMark/>
          </w:tcPr>
          <w:p w14:paraId="263C77B6" w14:textId="77777777" w:rsidR="009268FB" w:rsidRPr="001B4CA2" w:rsidRDefault="00AC05AF" w:rsidP="00FB2B5D">
            <w:pPr>
              <w:jc w:val="center"/>
              <w:rPr>
                <w:rFonts w:eastAsia="Times New Roman"/>
                <w:b/>
                <w:bCs/>
                <w:color w:val="000000"/>
                <w:sz w:val="18"/>
                <w:szCs w:val="18"/>
                <w:lang w:eastAsia="hr-HR"/>
              </w:rPr>
            </w:pPr>
            <w:r w:rsidRPr="001B4CA2">
              <w:rPr>
                <w:rFonts w:eastAsia="Times New Roman"/>
                <w:b/>
                <w:bCs/>
                <w:color w:val="000000"/>
                <w:sz w:val="18"/>
                <w:szCs w:val="18"/>
                <w:lang w:eastAsia="hr-HR"/>
              </w:rPr>
              <w:t xml:space="preserve">Od toga zbog </w:t>
            </w:r>
          </w:p>
          <w:p w14:paraId="216547C5" w14:textId="2B6A4096" w:rsidR="00AC05AF" w:rsidRPr="001B4CA2" w:rsidRDefault="00AC05AF" w:rsidP="00FB2B5D">
            <w:pPr>
              <w:jc w:val="center"/>
              <w:rPr>
                <w:rFonts w:eastAsia="Times New Roman"/>
                <w:b/>
                <w:bCs/>
                <w:color w:val="000000"/>
                <w:sz w:val="18"/>
                <w:szCs w:val="18"/>
                <w:lang w:eastAsia="hr-HR"/>
              </w:rPr>
            </w:pPr>
            <w:r w:rsidRPr="001B4CA2">
              <w:rPr>
                <w:rFonts w:eastAsia="Times New Roman"/>
                <w:b/>
                <w:bCs/>
                <w:color w:val="000000"/>
                <w:sz w:val="18"/>
                <w:szCs w:val="18"/>
                <w:lang w:eastAsia="hr-HR"/>
              </w:rPr>
              <w:t>kazne</w:t>
            </w:r>
          </w:p>
        </w:tc>
        <w:tc>
          <w:tcPr>
            <w:tcW w:w="1913" w:type="dxa"/>
            <w:shd w:val="clear" w:color="000000" w:fill="99CCFF"/>
            <w:noWrap/>
            <w:vAlign w:val="center"/>
            <w:hideMark/>
          </w:tcPr>
          <w:p w14:paraId="457F1FEA" w14:textId="77777777" w:rsidR="00AC05AF" w:rsidRPr="001B4CA2" w:rsidRDefault="00AC05AF" w:rsidP="00FB2B5D">
            <w:pPr>
              <w:jc w:val="center"/>
              <w:rPr>
                <w:rFonts w:eastAsia="Times New Roman"/>
                <w:b/>
                <w:bCs/>
                <w:color w:val="000000"/>
                <w:sz w:val="18"/>
                <w:szCs w:val="18"/>
                <w:lang w:eastAsia="hr-HR"/>
              </w:rPr>
            </w:pPr>
            <w:r w:rsidRPr="001B4CA2">
              <w:rPr>
                <w:rFonts w:eastAsia="Times New Roman"/>
                <w:b/>
                <w:bCs/>
                <w:color w:val="000000"/>
                <w:sz w:val="18"/>
                <w:szCs w:val="18"/>
                <w:lang w:eastAsia="hr-HR"/>
              </w:rPr>
              <w:t>Usvojeno</w:t>
            </w:r>
          </w:p>
        </w:tc>
        <w:tc>
          <w:tcPr>
            <w:tcW w:w="1914" w:type="dxa"/>
            <w:shd w:val="clear" w:color="000000" w:fill="99CCFF"/>
            <w:vAlign w:val="center"/>
            <w:hideMark/>
          </w:tcPr>
          <w:p w14:paraId="5C40C261" w14:textId="77777777" w:rsidR="009268FB" w:rsidRPr="001B4CA2" w:rsidRDefault="00AC05AF" w:rsidP="00FB2B5D">
            <w:pPr>
              <w:jc w:val="center"/>
              <w:rPr>
                <w:rFonts w:eastAsia="Times New Roman"/>
                <w:b/>
                <w:bCs/>
                <w:color w:val="000000"/>
                <w:sz w:val="18"/>
                <w:szCs w:val="18"/>
                <w:lang w:eastAsia="hr-HR"/>
              </w:rPr>
            </w:pPr>
            <w:r w:rsidRPr="001B4CA2">
              <w:rPr>
                <w:rFonts w:eastAsia="Times New Roman"/>
                <w:b/>
                <w:bCs/>
                <w:color w:val="000000"/>
                <w:sz w:val="18"/>
                <w:szCs w:val="18"/>
                <w:lang w:eastAsia="hr-HR"/>
              </w:rPr>
              <w:t xml:space="preserve">Od toga zbog </w:t>
            </w:r>
          </w:p>
          <w:p w14:paraId="38F83B8F" w14:textId="78C943F3" w:rsidR="00AC05AF" w:rsidRPr="001B4CA2" w:rsidRDefault="00AC05AF" w:rsidP="00FB2B5D">
            <w:pPr>
              <w:jc w:val="center"/>
              <w:rPr>
                <w:rFonts w:eastAsia="Times New Roman"/>
                <w:b/>
                <w:bCs/>
                <w:color w:val="000000"/>
                <w:sz w:val="18"/>
                <w:szCs w:val="18"/>
                <w:lang w:eastAsia="hr-HR"/>
              </w:rPr>
            </w:pPr>
            <w:r w:rsidRPr="001B4CA2">
              <w:rPr>
                <w:rFonts w:eastAsia="Times New Roman"/>
                <w:b/>
                <w:bCs/>
                <w:color w:val="000000"/>
                <w:sz w:val="18"/>
                <w:szCs w:val="18"/>
                <w:lang w:eastAsia="hr-HR"/>
              </w:rPr>
              <w:t>kazne</w:t>
            </w:r>
          </w:p>
        </w:tc>
      </w:tr>
      <w:tr w:rsidR="00AC05AF" w:rsidRPr="001B4CA2" w14:paraId="72268422" w14:textId="77777777" w:rsidTr="00FB2B5D">
        <w:trPr>
          <w:trHeight w:val="274"/>
        </w:trPr>
        <w:tc>
          <w:tcPr>
            <w:tcW w:w="851" w:type="dxa"/>
            <w:shd w:val="clear" w:color="auto" w:fill="auto"/>
            <w:noWrap/>
            <w:vAlign w:val="center"/>
            <w:hideMark/>
          </w:tcPr>
          <w:p w14:paraId="10C6733F" w14:textId="3D59D54D" w:rsidR="00AC05AF" w:rsidRPr="001B4CA2" w:rsidRDefault="00AC05AF" w:rsidP="00FB2B5D">
            <w:pPr>
              <w:jc w:val="center"/>
              <w:rPr>
                <w:rFonts w:eastAsia="Times New Roman"/>
                <w:color w:val="000000"/>
                <w:sz w:val="18"/>
                <w:szCs w:val="18"/>
                <w:lang w:eastAsia="hr-HR"/>
              </w:rPr>
            </w:pPr>
            <w:r w:rsidRPr="001B4CA2">
              <w:rPr>
                <w:rFonts w:eastAsia="Times New Roman"/>
                <w:color w:val="000000"/>
                <w:sz w:val="18"/>
                <w:szCs w:val="18"/>
                <w:lang w:eastAsia="hr-HR"/>
              </w:rPr>
              <w:t>201</w:t>
            </w:r>
            <w:r w:rsidR="009268FB" w:rsidRPr="001B4CA2">
              <w:rPr>
                <w:rFonts w:eastAsia="Times New Roman"/>
                <w:color w:val="000000"/>
                <w:sz w:val="18"/>
                <w:szCs w:val="18"/>
                <w:lang w:eastAsia="hr-HR"/>
              </w:rPr>
              <w:t>8</w:t>
            </w:r>
            <w:r w:rsidRPr="001B4CA2">
              <w:rPr>
                <w:rFonts w:eastAsia="Times New Roman"/>
                <w:color w:val="000000"/>
                <w:sz w:val="18"/>
                <w:szCs w:val="18"/>
                <w:lang w:eastAsia="hr-HR"/>
              </w:rPr>
              <w:t>.</w:t>
            </w:r>
          </w:p>
        </w:tc>
        <w:tc>
          <w:tcPr>
            <w:tcW w:w="1913" w:type="dxa"/>
            <w:shd w:val="clear" w:color="auto" w:fill="auto"/>
            <w:noWrap/>
            <w:vAlign w:val="center"/>
            <w:hideMark/>
          </w:tcPr>
          <w:p w14:paraId="283FFDF2" w14:textId="76933BC6" w:rsidR="00AC05AF" w:rsidRPr="001B4CA2" w:rsidRDefault="00AC05AF" w:rsidP="00FB2B5D">
            <w:pPr>
              <w:jc w:val="center"/>
              <w:rPr>
                <w:rFonts w:eastAsia="Times New Roman"/>
                <w:color w:val="000000"/>
                <w:sz w:val="18"/>
                <w:szCs w:val="18"/>
                <w:lang w:eastAsia="hr-HR"/>
              </w:rPr>
            </w:pPr>
            <w:r w:rsidRPr="001B4CA2">
              <w:rPr>
                <w:rFonts w:eastAsia="Times New Roman"/>
                <w:color w:val="000000"/>
                <w:sz w:val="18"/>
                <w:szCs w:val="18"/>
                <w:lang w:eastAsia="hr-HR"/>
              </w:rPr>
              <w:t>2.</w:t>
            </w:r>
            <w:r w:rsidR="009268FB" w:rsidRPr="001B4CA2">
              <w:rPr>
                <w:rFonts w:eastAsia="Times New Roman"/>
                <w:color w:val="000000"/>
                <w:sz w:val="18"/>
                <w:szCs w:val="18"/>
                <w:lang w:eastAsia="hr-HR"/>
              </w:rPr>
              <w:t>245</w:t>
            </w:r>
          </w:p>
        </w:tc>
        <w:tc>
          <w:tcPr>
            <w:tcW w:w="1914" w:type="dxa"/>
            <w:shd w:val="clear" w:color="auto" w:fill="auto"/>
            <w:noWrap/>
            <w:vAlign w:val="center"/>
            <w:hideMark/>
          </w:tcPr>
          <w:p w14:paraId="39FE0063" w14:textId="46C129BF" w:rsidR="00AC05AF" w:rsidRPr="001B4CA2" w:rsidRDefault="00AC05AF" w:rsidP="00FB2B5D">
            <w:pPr>
              <w:jc w:val="center"/>
              <w:rPr>
                <w:rFonts w:eastAsia="Times New Roman"/>
                <w:color w:val="000000"/>
                <w:sz w:val="18"/>
                <w:szCs w:val="18"/>
                <w:lang w:eastAsia="hr-HR"/>
              </w:rPr>
            </w:pPr>
            <w:r w:rsidRPr="001B4CA2">
              <w:rPr>
                <w:rFonts w:eastAsia="Times New Roman"/>
                <w:color w:val="000000"/>
                <w:sz w:val="18"/>
                <w:szCs w:val="18"/>
                <w:lang w:eastAsia="hr-HR"/>
              </w:rPr>
              <w:t>1.</w:t>
            </w:r>
            <w:r w:rsidR="009268FB" w:rsidRPr="001B4CA2">
              <w:rPr>
                <w:rFonts w:eastAsia="Times New Roman"/>
                <w:color w:val="000000"/>
                <w:sz w:val="18"/>
                <w:szCs w:val="18"/>
                <w:lang w:eastAsia="hr-HR"/>
              </w:rPr>
              <w:t>196</w:t>
            </w:r>
          </w:p>
        </w:tc>
        <w:tc>
          <w:tcPr>
            <w:tcW w:w="1913" w:type="dxa"/>
            <w:shd w:val="clear" w:color="auto" w:fill="auto"/>
            <w:noWrap/>
            <w:vAlign w:val="center"/>
            <w:hideMark/>
          </w:tcPr>
          <w:p w14:paraId="606196C7" w14:textId="24641DF7" w:rsidR="00AC05AF" w:rsidRPr="001B4CA2" w:rsidRDefault="009268FB" w:rsidP="00FB2B5D">
            <w:pPr>
              <w:jc w:val="center"/>
              <w:rPr>
                <w:rFonts w:eastAsia="Times New Roman"/>
                <w:color w:val="000000"/>
                <w:sz w:val="18"/>
                <w:szCs w:val="18"/>
                <w:lang w:eastAsia="hr-HR"/>
              </w:rPr>
            </w:pPr>
            <w:r w:rsidRPr="001B4CA2">
              <w:rPr>
                <w:rFonts w:eastAsia="Times New Roman"/>
                <w:color w:val="000000"/>
                <w:sz w:val="18"/>
                <w:szCs w:val="18"/>
                <w:lang w:eastAsia="hr-HR"/>
              </w:rPr>
              <w:t>663</w:t>
            </w:r>
          </w:p>
        </w:tc>
        <w:tc>
          <w:tcPr>
            <w:tcW w:w="1914" w:type="dxa"/>
            <w:shd w:val="clear" w:color="auto" w:fill="auto"/>
            <w:noWrap/>
            <w:vAlign w:val="center"/>
            <w:hideMark/>
          </w:tcPr>
          <w:p w14:paraId="1AE22EB5" w14:textId="44FB0964" w:rsidR="00AC05AF" w:rsidRPr="001B4CA2" w:rsidRDefault="009268FB" w:rsidP="00FB2B5D">
            <w:pPr>
              <w:jc w:val="center"/>
              <w:rPr>
                <w:rFonts w:eastAsia="Times New Roman"/>
                <w:color w:val="000000"/>
                <w:sz w:val="18"/>
                <w:szCs w:val="18"/>
                <w:lang w:eastAsia="hr-HR"/>
              </w:rPr>
            </w:pPr>
            <w:r w:rsidRPr="001B4CA2">
              <w:rPr>
                <w:rFonts w:eastAsia="Times New Roman"/>
                <w:color w:val="000000"/>
                <w:sz w:val="18"/>
                <w:szCs w:val="18"/>
                <w:lang w:eastAsia="hr-HR"/>
              </w:rPr>
              <w:t>279</w:t>
            </w:r>
          </w:p>
        </w:tc>
      </w:tr>
      <w:tr w:rsidR="00AC05AF" w:rsidRPr="001B4CA2" w14:paraId="3F3A5481" w14:textId="77777777" w:rsidTr="00FB2B5D">
        <w:trPr>
          <w:trHeight w:val="274"/>
        </w:trPr>
        <w:tc>
          <w:tcPr>
            <w:tcW w:w="851" w:type="dxa"/>
            <w:shd w:val="clear" w:color="auto" w:fill="auto"/>
            <w:noWrap/>
            <w:vAlign w:val="center"/>
            <w:hideMark/>
          </w:tcPr>
          <w:p w14:paraId="4AA7F6E6" w14:textId="79A2FB52" w:rsidR="00AC05AF" w:rsidRPr="001B4CA2" w:rsidRDefault="00AC05AF" w:rsidP="00FB2B5D">
            <w:pPr>
              <w:jc w:val="center"/>
              <w:rPr>
                <w:rFonts w:eastAsia="Times New Roman"/>
                <w:color w:val="000000"/>
                <w:sz w:val="18"/>
                <w:szCs w:val="18"/>
                <w:lang w:eastAsia="hr-HR"/>
              </w:rPr>
            </w:pPr>
            <w:r w:rsidRPr="001B4CA2">
              <w:rPr>
                <w:rFonts w:eastAsia="Times New Roman"/>
                <w:color w:val="000000"/>
                <w:sz w:val="18"/>
                <w:szCs w:val="18"/>
                <w:lang w:eastAsia="hr-HR"/>
              </w:rPr>
              <w:t>201</w:t>
            </w:r>
            <w:r w:rsidR="009268FB" w:rsidRPr="001B4CA2">
              <w:rPr>
                <w:rFonts w:eastAsia="Times New Roman"/>
                <w:color w:val="000000"/>
                <w:sz w:val="18"/>
                <w:szCs w:val="18"/>
                <w:lang w:eastAsia="hr-HR"/>
              </w:rPr>
              <w:t>9</w:t>
            </w:r>
            <w:r w:rsidRPr="001B4CA2">
              <w:rPr>
                <w:rFonts w:eastAsia="Times New Roman"/>
                <w:color w:val="000000"/>
                <w:sz w:val="18"/>
                <w:szCs w:val="18"/>
                <w:lang w:eastAsia="hr-HR"/>
              </w:rPr>
              <w:t>.</w:t>
            </w:r>
          </w:p>
        </w:tc>
        <w:tc>
          <w:tcPr>
            <w:tcW w:w="1913" w:type="dxa"/>
            <w:shd w:val="clear" w:color="auto" w:fill="auto"/>
            <w:noWrap/>
            <w:vAlign w:val="center"/>
            <w:hideMark/>
          </w:tcPr>
          <w:p w14:paraId="28B7BAA2" w14:textId="253AEC0A" w:rsidR="00AC05AF" w:rsidRPr="001B4CA2" w:rsidRDefault="009268FB" w:rsidP="00FB2B5D">
            <w:pPr>
              <w:jc w:val="center"/>
              <w:rPr>
                <w:rFonts w:eastAsia="Times New Roman"/>
                <w:color w:val="000000"/>
                <w:sz w:val="18"/>
                <w:szCs w:val="18"/>
                <w:lang w:eastAsia="hr-HR"/>
              </w:rPr>
            </w:pPr>
            <w:r w:rsidRPr="001B4CA2">
              <w:rPr>
                <w:rFonts w:eastAsia="Times New Roman"/>
                <w:color w:val="000000"/>
                <w:sz w:val="18"/>
                <w:szCs w:val="18"/>
                <w:lang w:eastAsia="hr-HR"/>
              </w:rPr>
              <w:t>1</w:t>
            </w:r>
            <w:r w:rsidR="00AC05AF" w:rsidRPr="001B4CA2">
              <w:rPr>
                <w:rFonts w:eastAsia="Times New Roman"/>
                <w:color w:val="000000"/>
                <w:sz w:val="18"/>
                <w:szCs w:val="18"/>
                <w:lang w:eastAsia="hr-HR"/>
              </w:rPr>
              <w:t>.</w:t>
            </w:r>
            <w:r w:rsidRPr="001B4CA2">
              <w:rPr>
                <w:rFonts w:eastAsia="Times New Roman"/>
                <w:color w:val="000000"/>
                <w:sz w:val="18"/>
                <w:szCs w:val="18"/>
                <w:lang w:eastAsia="hr-HR"/>
              </w:rPr>
              <w:t>971</w:t>
            </w:r>
          </w:p>
        </w:tc>
        <w:tc>
          <w:tcPr>
            <w:tcW w:w="1914" w:type="dxa"/>
            <w:shd w:val="clear" w:color="auto" w:fill="auto"/>
            <w:noWrap/>
            <w:vAlign w:val="center"/>
            <w:hideMark/>
          </w:tcPr>
          <w:p w14:paraId="2B7FB3F7" w14:textId="1F9CB917" w:rsidR="00AC05AF" w:rsidRPr="001B4CA2" w:rsidRDefault="00AC05AF" w:rsidP="00FB2B5D">
            <w:pPr>
              <w:jc w:val="center"/>
              <w:rPr>
                <w:rFonts w:eastAsia="Times New Roman"/>
                <w:color w:val="000000"/>
                <w:sz w:val="18"/>
                <w:szCs w:val="18"/>
                <w:lang w:eastAsia="hr-HR"/>
              </w:rPr>
            </w:pPr>
            <w:r w:rsidRPr="001B4CA2">
              <w:rPr>
                <w:rFonts w:eastAsia="Times New Roman"/>
                <w:color w:val="000000"/>
                <w:sz w:val="18"/>
                <w:szCs w:val="18"/>
                <w:lang w:eastAsia="hr-HR"/>
              </w:rPr>
              <w:t>1.</w:t>
            </w:r>
            <w:r w:rsidR="009268FB" w:rsidRPr="001B4CA2">
              <w:rPr>
                <w:rFonts w:eastAsia="Times New Roman"/>
                <w:color w:val="000000"/>
                <w:sz w:val="18"/>
                <w:szCs w:val="18"/>
                <w:lang w:eastAsia="hr-HR"/>
              </w:rPr>
              <w:t>072</w:t>
            </w:r>
          </w:p>
        </w:tc>
        <w:tc>
          <w:tcPr>
            <w:tcW w:w="1913" w:type="dxa"/>
            <w:shd w:val="clear" w:color="auto" w:fill="auto"/>
            <w:noWrap/>
            <w:vAlign w:val="center"/>
            <w:hideMark/>
          </w:tcPr>
          <w:p w14:paraId="5D27DFC6" w14:textId="59169CBB" w:rsidR="00AC05AF" w:rsidRPr="001B4CA2" w:rsidRDefault="009268FB" w:rsidP="00FB2B5D">
            <w:pPr>
              <w:jc w:val="center"/>
              <w:rPr>
                <w:rFonts w:eastAsia="Times New Roman"/>
                <w:color w:val="000000"/>
                <w:sz w:val="18"/>
                <w:szCs w:val="18"/>
                <w:lang w:eastAsia="hr-HR"/>
              </w:rPr>
            </w:pPr>
            <w:r w:rsidRPr="001B4CA2">
              <w:rPr>
                <w:rFonts w:eastAsia="Times New Roman"/>
                <w:color w:val="000000"/>
                <w:sz w:val="18"/>
                <w:szCs w:val="18"/>
                <w:lang w:eastAsia="hr-HR"/>
              </w:rPr>
              <w:t>771</w:t>
            </w:r>
          </w:p>
        </w:tc>
        <w:tc>
          <w:tcPr>
            <w:tcW w:w="1914" w:type="dxa"/>
            <w:shd w:val="clear" w:color="auto" w:fill="auto"/>
            <w:noWrap/>
            <w:vAlign w:val="center"/>
            <w:hideMark/>
          </w:tcPr>
          <w:p w14:paraId="5DC08EFC" w14:textId="7AFDC185" w:rsidR="00AC05AF" w:rsidRPr="001B4CA2" w:rsidRDefault="009268FB" w:rsidP="00FB2B5D">
            <w:pPr>
              <w:jc w:val="center"/>
              <w:rPr>
                <w:rFonts w:eastAsia="Times New Roman"/>
                <w:color w:val="000000"/>
                <w:sz w:val="18"/>
                <w:szCs w:val="18"/>
                <w:lang w:eastAsia="hr-HR"/>
              </w:rPr>
            </w:pPr>
            <w:r w:rsidRPr="001B4CA2">
              <w:rPr>
                <w:rFonts w:eastAsia="Times New Roman"/>
                <w:color w:val="000000"/>
                <w:sz w:val="18"/>
                <w:szCs w:val="18"/>
                <w:lang w:eastAsia="hr-HR"/>
              </w:rPr>
              <w:t>373</w:t>
            </w:r>
          </w:p>
        </w:tc>
      </w:tr>
      <w:tr w:rsidR="00AC05AF" w:rsidRPr="001B4CA2" w14:paraId="3A85412F" w14:textId="77777777" w:rsidTr="00FB2B5D">
        <w:trPr>
          <w:trHeight w:val="274"/>
        </w:trPr>
        <w:tc>
          <w:tcPr>
            <w:tcW w:w="851" w:type="dxa"/>
            <w:shd w:val="clear" w:color="auto" w:fill="auto"/>
            <w:noWrap/>
            <w:vAlign w:val="center"/>
            <w:hideMark/>
          </w:tcPr>
          <w:p w14:paraId="3BC8B57A" w14:textId="0693D0A1" w:rsidR="00AC05AF" w:rsidRPr="001B4CA2" w:rsidRDefault="00AC05AF" w:rsidP="00FB2B5D">
            <w:pPr>
              <w:jc w:val="center"/>
              <w:rPr>
                <w:rFonts w:eastAsia="Times New Roman"/>
                <w:color w:val="000000"/>
                <w:sz w:val="18"/>
                <w:szCs w:val="18"/>
                <w:lang w:eastAsia="hr-HR"/>
              </w:rPr>
            </w:pPr>
            <w:r w:rsidRPr="001B4CA2">
              <w:rPr>
                <w:rFonts w:eastAsia="Times New Roman"/>
                <w:color w:val="000000"/>
                <w:sz w:val="18"/>
                <w:szCs w:val="18"/>
                <w:lang w:eastAsia="hr-HR"/>
              </w:rPr>
              <w:t>20</w:t>
            </w:r>
            <w:r w:rsidR="009268FB" w:rsidRPr="001B4CA2">
              <w:rPr>
                <w:rFonts w:eastAsia="Times New Roman"/>
                <w:color w:val="000000"/>
                <w:sz w:val="18"/>
                <w:szCs w:val="18"/>
                <w:lang w:eastAsia="hr-HR"/>
              </w:rPr>
              <w:t>20</w:t>
            </w:r>
            <w:r w:rsidRPr="001B4CA2">
              <w:rPr>
                <w:rFonts w:eastAsia="Times New Roman"/>
                <w:color w:val="000000"/>
                <w:sz w:val="18"/>
                <w:szCs w:val="18"/>
                <w:lang w:eastAsia="hr-HR"/>
              </w:rPr>
              <w:t>.</w:t>
            </w:r>
          </w:p>
        </w:tc>
        <w:tc>
          <w:tcPr>
            <w:tcW w:w="1913" w:type="dxa"/>
            <w:shd w:val="clear" w:color="auto" w:fill="auto"/>
            <w:noWrap/>
            <w:vAlign w:val="center"/>
            <w:hideMark/>
          </w:tcPr>
          <w:p w14:paraId="1DE6D048" w14:textId="1C7512D0" w:rsidR="00AC05AF" w:rsidRPr="001B4CA2" w:rsidRDefault="009268FB" w:rsidP="00FB2B5D">
            <w:pPr>
              <w:jc w:val="center"/>
              <w:rPr>
                <w:rFonts w:eastAsia="Times New Roman"/>
                <w:color w:val="000000"/>
                <w:sz w:val="18"/>
                <w:szCs w:val="18"/>
                <w:lang w:eastAsia="hr-HR"/>
              </w:rPr>
            </w:pPr>
            <w:r w:rsidRPr="001B4CA2">
              <w:rPr>
                <w:rFonts w:eastAsia="Times New Roman"/>
                <w:color w:val="000000"/>
                <w:sz w:val="18"/>
                <w:szCs w:val="18"/>
                <w:lang w:eastAsia="hr-HR"/>
              </w:rPr>
              <w:t>2</w:t>
            </w:r>
            <w:r w:rsidR="00AC05AF" w:rsidRPr="001B4CA2">
              <w:rPr>
                <w:rFonts w:eastAsia="Times New Roman"/>
                <w:color w:val="000000"/>
                <w:sz w:val="18"/>
                <w:szCs w:val="18"/>
                <w:lang w:eastAsia="hr-HR"/>
              </w:rPr>
              <w:t>.</w:t>
            </w:r>
            <w:r w:rsidRPr="001B4CA2">
              <w:rPr>
                <w:rFonts w:eastAsia="Times New Roman"/>
                <w:color w:val="000000"/>
                <w:sz w:val="18"/>
                <w:szCs w:val="18"/>
                <w:lang w:eastAsia="hr-HR"/>
              </w:rPr>
              <w:t>196</w:t>
            </w:r>
          </w:p>
        </w:tc>
        <w:tc>
          <w:tcPr>
            <w:tcW w:w="1914" w:type="dxa"/>
            <w:shd w:val="clear" w:color="auto" w:fill="auto"/>
            <w:noWrap/>
            <w:vAlign w:val="center"/>
            <w:hideMark/>
          </w:tcPr>
          <w:p w14:paraId="3AD10E28" w14:textId="58D7A428" w:rsidR="00AC05AF" w:rsidRPr="001B4CA2" w:rsidRDefault="00AC05AF" w:rsidP="00FB2B5D">
            <w:pPr>
              <w:jc w:val="center"/>
              <w:rPr>
                <w:rFonts w:eastAsia="Times New Roman"/>
                <w:color w:val="000000"/>
                <w:sz w:val="18"/>
                <w:szCs w:val="18"/>
                <w:lang w:eastAsia="hr-HR"/>
              </w:rPr>
            </w:pPr>
            <w:r w:rsidRPr="001B4CA2">
              <w:rPr>
                <w:rFonts w:eastAsia="Times New Roman"/>
                <w:color w:val="000000"/>
                <w:sz w:val="18"/>
                <w:szCs w:val="18"/>
                <w:lang w:eastAsia="hr-HR"/>
              </w:rPr>
              <w:t>1.</w:t>
            </w:r>
            <w:r w:rsidR="009268FB" w:rsidRPr="001B4CA2">
              <w:rPr>
                <w:rFonts w:eastAsia="Times New Roman"/>
                <w:color w:val="000000"/>
                <w:sz w:val="18"/>
                <w:szCs w:val="18"/>
                <w:lang w:eastAsia="hr-HR"/>
              </w:rPr>
              <w:t>195</w:t>
            </w:r>
          </w:p>
        </w:tc>
        <w:tc>
          <w:tcPr>
            <w:tcW w:w="1913" w:type="dxa"/>
            <w:shd w:val="clear" w:color="auto" w:fill="auto"/>
            <w:noWrap/>
            <w:vAlign w:val="center"/>
            <w:hideMark/>
          </w:tcPr>
          <w:p w14:paraId="0118F09F" w14:textId="44CD8D58" w:rsidR="00AC05AF" w:rsidRPr="001B4CA2" w:rsidRDefault="009268FB" w:rsidP="00FB2B5D">
            <w:pPr>
              <w:jc w:val="center"/>
              <w:rPr>
                <w:rFonts w:eastAsia="Times New Roman"/>
                <w:color w:val="000000"/>
                <w:sz w:val="18"/>
                <w:szCs w:val="18"/>
                <w:lang w:eastAsia="hr-HR"/>
              </w:rPr>
            </w:pPr>
            <w:r w:rsidRPr="001B4CA2">
              <w:rPr>
                <w:rFonts w:eastAsia="Times New Roman"/>
                <w:color w:val="000000"/>
                <w:sz w:val="18"/>
                <w:szCs w:val="18"/>
                <w:lang w:eastAsia="hr-HR"/>
              </w:rPr>
              <w:t>700</w:t>
            </w:r>
          </w:p>
        </w:tc>
        <w:tc>
          <w:tcPr>
            <w:tcW w:w="1914" w:type="dxa"/>
            <w:shd w:val="clear" w:color="auto" w:fill="auto"/>
            <w:noWrap/>
            <w:vAlign w:val="center"/>
            <w:hideMark/>
          </w:tcPr>
          <w:p w14:paraId="34D3C04E" w14:textId="03293E83" w:rsidR="00AC05AF" w:rsidRPr="001B4CA2" w:rsidRDefault="009268FB" w:rsidP="00FB2B5D">
            <w:pPr>
              <w:jc w:val="center"/>
              <w:rPr>
                <w:rFonts w:eastAsia="Times New Roman"/>
                <w:color w:val="000000"/>
                <w:sz w:val="18"/>
                <w:szCs w:val="18"/>
                <w:lang w:eastAsia="hr-HR"/>
              </w:rPr>
            </w:pPr>
            <w:r w:rsidRPr="001B4CA2">
              <w:rPr>
                <w:rFonts w:eastAsia="Times New Roman"/>
                <w:color w:val="000000"/>
                <w:sz w:val="18"/>
                <w:szCs w:val="18"/>
                <w:lang w:eastAsia="hr-HR"/>
              </w:rPr>
              <w:t>242</w:t>
            </w:r>
          </w:p>
        </w:tc>
      </w:tr>
      <w:tr w:rsidR="00AC05AF" w:rsidRPr="001B4CA2" w14:paraId="4F672DE0" w14:textId="77777777" w:rsidTr="00FB2B5D">
        <w:trPr>
          <w:trHeight w:val="274"/>
        </w:trPr>
        <w:tc>
          <w:tcPr>
            <w:tcW w:w="851" w:type="dxa"/>
            <w:shd w:val="clear" w:color="auto" w:fill="auto"/>
            <w:noWrap/>
            <w:vAlign w:val="center"/>
            <w:hideMark/>
          </w:tcPr>
          <w:p w14:paraId="25228D0B" w14:textId="6B20B9C7" w:rsidR="00AC05AF" w:rsidRPr="001B4CA2" w:rsidRDefault="00AC05AF" w:rsidP="00FB2B5D">
            <w:pPr>
              <w:jc w:val="center"/>
              <w:rPr>
                <w:rFonts w:eastAsia="Times New Roman"/>
                <w:color w:val="000000"/>
                <w:sz w:val="18"/>
                <w:szCs w:val="18"/>
                <w:lang w:eastAsia="hr-HR"/>
              </w:rPr>
            </w:pPr>
            <w:r w:rsidRPr="001B4CA2">
              <w:rPr>
                <w:rFonts w:eastAsia="Times New Roman"/>
                <w:color w:val="000000"/>
                <w:sz w:val="18"/>
                <w:szCs w:val="18"/>
                <w:lang w:eastAsia="hr-HR"/>
              </w:rPr>
              <w:t>202</w:t>
            </w:r>
            <w:r w:rsidR="009268FB" w:rsidRPr="001B4CA2">
              <w:rPr>
                <w:rFonts w:eastAsia="Times New Roman"/>
                <w:color w:val="000000"/>
                <w:sz w:val="18"/>
                <w:szCs w:val="18"/>
                <w:lang w:eastAsia="hr-HR"/>
              </w:rPr>
              <w:t>1</w:t>
            </w:r>
            <w:r w:rsidRPr="001B4CA2">
              <w:rPr>
                <w:rFonts w:eastAsia="Times New Roman"/>
                <w:color w:val="000000"/>
                <w:sz w:val="18"/>
                <w:szCs w:val="18"/>
                <w:lang w:eastAsia="hr-HR"/>
              </w:rPr>
              <w:t>.</w:t>
            </w:r>
          </w:p>
        </w:tc>
        <w:tc>
          <w:tcPr>
            <w:tcW w:w="1913" w:type="dxa"/>
            <w:shd w:val="clear" w:color="auto" w:fill="auto"/>
            <w:noWrap/>
            <w:vAlign w:val="center"/>
            <w:hideMark/>
          </w:tcPr>
          <w:p w14:paraId="39899C83" w14:textId="06616F91" w:rsidR="00AC05AF" w:rsidRPr="001B4CA2" w:rsidRDefault="00AC05AF" w:rsidP="00FB2B5D">
            <w:pPr>
              <w:jc w:val="center"/>
              <w:rPr>
                <w:rFonts w:eastAsia="Times New Roman"/>
                <w:color w:val="000000"/>
                <w:sz w:val="18"/>
                <w:szCs w:val="18"/>
                <w:lang w:eastAsia="hr-HR"/>
              </w:rPr>
            </w:pPr>
            <w:r w:rsidRPr="001B4CA2">
              <w:rPr>
                <w:rFonts w:eastAsia="Times New Roman"/>
                <w:color w:val="000000"/>
                <w:sz w:val="18"/>
                <w:szCs w:val="18"/>
                <w:lang w:eastAsia="hr-HR"/>
              </w:rPr>
              <w:t>2.</w:t>
            </w:r>
            <w:r w:rsidR="009268FB" w:rsidRPr="001B4CA2">
              <w:rPr>
                <w:rFonts w:eastAsia="Times New Roman"/>
                <w:color w:val="000000"/>
                <w:sz w:val="18"/>
                <w:szCs w:val="18"/>
                <w:lang w:eastAsia="hr-HR"/>
              </w:rPr>
              <w:t>626</w:t>
            </w:r>
          </w:p>
        </w:tc>
        <w:tc>
          <w:tcPr>
            <w:tcW w:w="1914" w:type="dxa"/>
            <w:shd w:val="clear" w:color="auto" w:fill="auto"/>
            <w:noWrap/>
            <w:vAlign w:val="center"/>
            <w:hideMark/>
          </w:tcPr>
          <w:p w14:paraId="6F462C4C" w14:textId="75BAE5BB" w:rsidR="00AC05AF" w:rsidRPr="001B4CA2" w:rsidRDefault="00AC05AF" w:rsidP="00FB2B5D">
            <w:pPr>
              <w:jc w:val="center"/>
              <w:rPr>
                <w:rFonts w:eastAsia="Times New Roman"/>
                <w:color w:val="000000"/>
                <w:sz w:val="18"/>
                <w:szCs w:val="18"/>
                <w:lang w:eastAsia="hr-HR"/>
              </w:rPr>
            </w:pPr>
            <w:r w:rsidRPr="001B4CA2">
              <w:rPr>
                <w:rFonts w:eastAsia="Times New Roman"/>
                <w:color w:val="000000"/>
                <w:sz w:val="18"/>
                <w:szCs w:val="18"/>
                <w:lang w:eastAsia="hr-HR"/>
              </w:rPr>
              <w:t>1.</w:t>
            </w:r>
            <w:r w:rsidR="009268FB" w:rsidRPr="001B4CA2">
              <w:rPr>
                <w:rFonts w:eastAsia="Times New Roman"/>
                <w:color w:val="000000"/>
                <w:sz w:val="18"/>
                <w:szCs w:val="18"/>
                <w:lang w:eastAsia="hr-HR"/>
              </w:rPr>
              <w:t>022</w:t>
            </w:r>
          </w:p>
        </w:tc>
        <w:tc>
          <w:tcPr>
            <w:tcW w:w="1913" w:type="dxa"/>
            <w:shd w:val="clear" w:color="auto" w:fill="auto"/>
            <w:noWrap/>
            <w:vAlign w:val="center"/>
            <w:hideMark/>
          </w:tcPr>
          <w:p w14:paraId="721E5039" w14:textId="6F6F591B" w:rsidR="00AC05AF" w:rsidRPr="001B4CA2" w:rsidRDefault="009268FB" w:rsidP="00FB2B5D">
            <w:pPr>
              <w:jc w:val="center"/>
              <w:rPr>
                <w:rFonts w:eastAsia="Times New Roman"/>
                <w:color w:val="000000"/>
                <w:sz w:val="18"/>
                <w:szCs w:val="18"/>
                <w:lang w:eastAsia="hr-HR"/>
              </w:rPr>
            </w:pPr>
            <w:r w:rsidRPr="001B4CA2">
              <w:rPr>
                <w:rFonts w:eastAsia="Times New Roman"/>
                <w:color w:val="000000"/>
                <w:sz w:val="18"/>
                <w:szCs w:val="18"/>
                <w:lang w:eastAsia="hr-HR"/>
              </w:rPr>
              <w:t>869</w:t>
            </w:r>
          </w:p>
        </w:tc>
        <w:tc>
          <w:tcPr>
            <w:tcW w:w="1914" w:type="dxa"/>
            <w:shd w:val="clear" w:color="auto" w:fill="auto"/>
            <w:noWrap/>
            <w:vAlign w:val="center"/>
            <w:hideMark/>
          </w:tcPr>
          <w:p w14:paraId="0FF89B36" w14:textId="5B33724F" w:rsidR="00AC05AF" w:rsidRPr="001B4CA2" w:rsidRDefault="009268FB" w:rsidP="00FB2B5D">
            <w:pPr>
              <w:jc w:val="center"/>
              <w:rPr>
                <w:rFonts w:eastAsia="Times New Roman"/>
                <w:color w:val="000000"/>
                <w:sz w:val="18"/>
                <w:szCs w:val="18"/>
                <w:lang w:eastAsia="hr-HR"/>
              </w:rPr>
            </w:pPr>
            <w:r w:rsidRPr="001B4CA2">
              <w:rPr>
                <w:rFonts w:eastAsia="Times New Roman"/>
                <w:color w:val="000000"/>
                <w:sz w:val="18"/>
                <w:szCs w:val="18"/>
                <w:lang w:eastAsia="hr-HR"/>
              </w:rPr>
              <w:t>278</w:t>
            </w:r>
          </w:p>
        </w:tc>
      </w:tr>
      <w:tr w:rsidR="00AC05AF" w:rsidRPr="001B4CA2" w14:paraId="4DF91D3C" w14:textId="77777777" w:rsidTr="00FB2B5D">
        <w:trPr>
          <w:trHeight w:val="274"/>
        </w:trPr>
        <w:tc>
          <w:tcPr>
            <w:tcW w:w="851" w:type="dxa"/>
            <w:shd w:val="clear" w:color="auto" w:fill="auto"/>
            <w:noWrap/>
            <w:vAlign w:val="center"/>
            <w:hideMark/>
          </w:tcPr>
          <w:p w14:paraId="4457BA40" w14:textId="1E630471" w:rsidR="00AC05AF" w:rsidRPr="001B4CA2" w:rsidRDefault="00AC05AF" w:rsidP="00FB2B5D">
            <w:pPr>
              <w:jc w:val="center"/>
              <w:rPr>
                <w:rFonts w:eastAsia="Times New Roman"/>
                <w:color w:val="000000"/>
                <w:sz w:val="18"/>
                <w:szCs w:val="18"/>
                <w:lang w:eastAsia="hr-HR"/>
              </w:rPr>
            </w:pPr>
            <w:r w:rsidRPr="001B4CA2">
              <w:rPr>
                <w:rFonts w:eastAsia="Times New Roman"/>
                <w:color w:val="000000"/>
                <w:sz w:val="18"/>
                <w:szCs w:val="18"/>
                <w:lang w:eastAsia="hr-HR"/>
              </w:rPr>
              <w:t>202</w:t>
            </w:r>
            <w:r w:rsidR="009268FB" w:rsidRPr="001B4CA2">
              <w:rPr>
                <w:rFonts w:eastAsia="Times New Roman"/>
                <w:color w:val="000000"/>
                <w:sz w:val="18"/>
                <w:szCs w:val="18"/>
                <w:lang w:eastAsia="hr-HR"/>
              </w:rPr>
              <w:t>2</w:t>
            </w:r>
            <w:r w:rsidRPr="001B4CA2">
              <w:rPr>
                <w:rFonts w:eastAsia="Times New Roman"/>
                <w:color w:val="000000"/>
                <w:sz w:val="18"/>
                <w:szCs w:val="18"/>
                <w:lang w:eastAsia="hr-HR"/>
              </w:rPr>
              <w:t>.</w:t>
            </w:r>
          </w:p>
        </w:tc>
        <w:tc>
          <w:tcPr>
            <w:tcW w:w="1913" w:type="dxa"/>
            <w:shd w:val="clear" w:color="auto" w:fill="auto"/>
            <w:noWrap/>
            <w:vAlign w:val="center"/>
            <w:hideMark/>
          </w:tcPr>
          <w:p w14:paraId="7490F4DA" w14:textId="74A6507A" w:rsidR="00AC05AF" w:rsidRPr="001B4CA2" w:rsidRDefault="009268FB" w:rsidP="00FB2B5D">
            <w:pPr>
              <w:jc w:val="center"/>
              <w:rPr>
                <w:rFonts w:eastAsia="Times New Roman"/>
                <w:color w:val="000000"/>
                <w:sz w:val="18"/>
                <w:szCs w:val="18"/>
                <w:lang w:eastAsia="hr-HR"/>
              </w:rPr>
            </w:pPr>
            <w:r w:rsidRPr="001B4CA2">
              <w:rPr>
                <w:rFonts w:eastAsia="Times New Roman"/>
                <w:color w:val="000000"/>
                <w:sz w:val="18"/>
                <w:szCs w:val="18"/>
                <w:lang w:eastAsia="hr-HR"/>
              </w:rPr>
              <w:t>2.840</w:t>
            </w:r>
          </w:p>
        </w:tc>
        <w:tc>
          <w:tcPr>
            <w:tcW w:w="1914" w:type="dxa"/>
            <w:shd w:val="clear" w:color="auto" w:fill="auto"/>
            <w:noWrap/>
            <w:vAlign w:val="center"/>
            <w:hideMark/>
          </w:tcPr>
          <w:p w14:paraId="780E3399" w14:textId="60255866" w:rsidR="00AC05AF" w:rsidRPr="001B4CA2" w:rsidRDefault="00AC05AF" w:rsidP="00FB2B5D">
            <w:pPr>
              <w:jc w:val="center"/>
              <w:rPr>
                <w:rFonts w:eastAsia="Times New Roman"/>
                <w:color w:val="000000"/>
                <w:sz w:val="18"/>
                <w:szCs w:val="18"/>
                <w:lang w:eastAsia="hr-HR"/>
              </w:rPr>
            </w:pPr>
            <w:r w:rsidRPr="001B4CA2">
              <w:rPr>
                <w:rFonts w:eastAsia="Times New Roman"/>
                <w:color w:val="000000"/>
                <w:sz w:val="18"/>
                <w:szCs w:val="18"/>
                <w:lang w:eastAsia="hr-HR"/>
              </w:rPr>
              <w:t>1.</w:t>
            </w:r>
            <w:r w:rsidR="009268FB" w:rsidRPr="001B4CA2">
              <w:rPr>
                <w:rFonts w:eastAsia="Times New Roman"/>
                <w:color w:val="000000"/>
                <w:sz w:val="18"/>
                <w:szCs w:val="18"/>
                <w:lang w:eastAsia="hr-HR"/>
              </w:rPr>
              <w:t>457</w:t>
            </w:r>
          </w:p>
        </w:tc>
        <w:tc>
          <w:tcPr>
            <w:tcW w:w="1913" w:type="dxa"/>
            <w:shd w:val="clear" w:color="auto" w:fill="auto"/>
            <w:noWrap/>
            <w:vAlign w:val="center"/>
            <w:hideMark/>
          </w:tcPr>
          <w:p w14:paraId="53DE5DB5" w14:textId="45FBA179" w:rsidR="00AC05AF" w:rsidRPr="001B4CA2" w:rsidRDefault="009268FB" w:rsidP="00FB2B5D">
            <w:pPr>
              <w:jc w:val="center"/>
              <w:rPr>
                <w:rFonts w:eastAsia="Times New Roman"/>
                <w:color w:val="000000"/>
                <w:sz w:val="18"/>
                <w:szCs w:val="18"/>
                <w:lang w:eastAsia="hr-HR"/>
              </w:rPr>
            </w:pPr>
            <w:r w:rsidRPr="001B4CA2">
              <w:rPr>
                <w:rFonts w:eastAsia="Times New Roman"/>
                <w:color w:val="000000"/>
                <w:sz w:val="18"/>
                <w:szCs w:val="18"/>
                <w:lang w:eastAsia="hr-HR"/>
              </w:rPr>
              <w:t>881</w:t>
            </w:r>
          </w:p>
        </w:tc>
        <w:tc>
          <w:tcPr>
            <w:tcW w:w="1914" w:type="dxa"/>
            <w:shd w:val="clear" w:color="auto" w:fill="auto"/>
            <w:noWrap/>
            <w:vAlign w:val="center"/>
            <w:hideMark/>
          </w:tcPr>
          <w:p w14:paraId="14BDBC9A" w14:textId="14F628A1" w:rsidR="00AC05AF" w:rsidRPr="001B4CA2" w:rsidRDefault="009268FB" w:rsidP="00FB2B5D">
            <w:pPr>
              <w:jc w:val="center"/>
              <w:rPr>
                <w:rFonts w:eastAsia="Times New Roman"/>
                <w:color w:val="000000"/>
                <w:sz w:val="18"/>
                <w:szCs w:val="18"/>
                <w:lang w:eastAsia="hr-HR"/>
              </w:rPr>
            </w:pPr>
            <w:r w:rsidRPr="001B4CA2">
              <w:rPr>
                <w:rFonts w:eastAsia="Times New Roman"/>
                <w:color w:val="000000"/>
                <w:sz w:val="18"/>
                <w:szCs w:val="18"/>
                <w:lang w:eastAsia="hr-HR"/>
              </w:rPr>
              <w:t>326</w:t>
            </w:r>
          </w:p>
        </w:tc>
      </w:tr>
    </w:tbl>
    <w:p w14:paraId="251ABAA6" w14:textId="3F73F119" w:rsidR="003E781D" w:rsidRPr="001B4CA2" w:rsidRDefault="00FB2B5D" w:rsidP="00AC05AF">
      <w:pPr>
        <w:ind w:left="142"/>
      </w:pPr>
      <w:r>
        <w:rPr>
          <w:rFonts w:eastAsia="Times New Roman"/>
          <w:i/>
          <w:iCs/>
          <w:lang w:eastAsia="hr-HR"/>
        </w:rPr>
        <w:t xml:space="preserve">  </w:t>
      </w:r>
      <w:r w:rsidR="00AC05AF" w:rsidRPr="001B4CA2">
        <w:rPr>
          <w:rFonts w:eastAsia="Times New Roman"/>
          <w:i/>
          <w:iCs/>
          <w:lang w:eastAsia="hr-HR"/>
        </w:rPr>
        <w:t>Broj podnesenih i usvojenih žalbi</w:t>
      </w:r>
    </w:p>
    <w:p w14:paraId="65F4539D" w14:textId="303AEDE7" w:rsidR="00D27455" w:rsidRPr="001B4CA2" w:rsidRDefault="00D27455" w:rsidP="009268FB"/>
    <w:p w14:paraId="2967384A" w14:textId="74F3F190" w:rsidR="009268FB" w:rsidRPr="001B4CA2" w:rsidRDefault="00D27455" w:rsidP="009268FB">
      <w:r w:rsidRPr="001B4CA2">
        <w:tab/>
      </w:r>
      <w:r w:rsidR="009268FB" w:rsidRPr="001B4CA2">
        <w:t>Zbog odluke o kazni podneseno je 1457 žalbi</w:t>
      </w:r>
      <w:r w:rsidR="00956EE1">
        <w:t>,</w:t>
      </w:r>
      <w:r w:rsidR="009268FB" w:rsidRPr="001B4CA2">
        <w:t xml:space="preserve"> odnosno 51,30</w:t>
      </w:r>
      <w:r w:rsidR="00956EE1">
        <w:t> </w:t>
      </w:r>
      <w:r w:rsidR="009268FB" w:rsidRPr="001B4CA2">
        <w:t>% svih podnesenih žalbi, što je znatno više u odnosu na 2021. godinu kada je zbog odluke o kazni bilo podneseno 38,91</w:t>
      </w:r>
      <w:r w:rsidR="00956EE1">
        <w:t> </w:t>
      </w:r>
      <w:r w:rsidR="009268FB" w:rsidRPr="001B4CA2">
        <w:t>% svih žalbi, ali je približno na razini više prethodnih godina.</w:t>
      </w:r>
    </w:p>
    <w:p w14:paraId="77E72ABF" w14:textId="77777777" w:rsidR="009268FB" w:rsidRPr="001B4CA2" w:rsidRDefault="009268FB" w:rsidP="009268FB"/>
    <w:p w14:paraId="7A5FE69B" w14:textId="2D67FE82" w:rsidR="009268FB" w:rsidRPr="001B4CA2" w:rsidRDefault="009268FB" w:rsidP="009268FB">
      <w:r w:rsidRPr="001B4CA2">
        <w:tab/>
        <w:t>Sudovi su u izvještajnom razdoblju usvojili 881 žalbu ili 31</w:t>
      </w:r>
      <w:r w:rsidR="00956EE1">
        <w:t> </w:t>
      </w:r>
      <w:r w:rsidRPr="001B4CA2">
        <w:t>% žalbi, od čega 326 žalbi zbog odluke o kazni ili 37</w:t>
      </w:r>
      <w:r w:rsidR="00956EE1">
        <w:t> </w:t>
      </w:r>
      <w:r w:rsidRPr="001B4CA2">
        <w:t xml:space="preserve">% svih usvojenih žalbi. Analizirajući podatke iz tablice, proizlazi da je neznatno smanjen </w:t>
      </w:r>
      <w:r w:rsidR="00956EE1">
        <w:t>udio</w:t>
      </w:r>
      <w:r w:rsidRPr="001B4CA2">
        <w:t xml:space="preserve"> ukupno usvojenih žalbi u odnosu na prethodno razdoblje (2021.</w:t>
      </w:r>
      <w:r w:rsidR="00F47D60">
        <w:t xml:space="preserve"> – </w:t>
      </w:r>
      <w:r w:rsidRPr="001B4CA2">
        <w:t>33,09</w:t>
      </w:r>
      <w:r w:rsidR="00956EE1">
        <w:t> </w:t>
      </w:r>
      <w:r w:rsidRPr="001B4CA2">
        <w:t>%), dok je povećan</w:t>
      </w:r>
      <w:r w:rsidR="00956EE1">
        <w:t xml:space="preserve"> udio </w:t>
      </w:r>
      <w:r w:rsidRPr="001B4CA2">
        <w:t>usvojenih žalbi zbog odluke o kazni (2021. – 31,99</w:t>
      </w:r>
      <w:r w:rsidR="00956EE1">
        <w:t> </w:t>
      </w:r>
      <w:r w:rsidRPr="001B4CA2">
        <w:t>%).</w:t>
      </w:r>
    </w:p>
    <w:p w14:paraId="4C1EC703" w14:textId="77777777" w:rsidR="009268FB" w:rsidRPr="001B4CA2" w:rsidRDefault="009268FB" w:rsidP="009268FB"/>
    <w:p w14:paraId="3F8E726F" w14:textId="099B89C3" w:rsidR="009268FB" w:rsidRPr="001B4CA2" w:rsidRDefault="009268FB" w:rsidP="009268FB">
      <w:r w:rsidRPr="001B4CA2">
        <w:tab/>
        <w:t xml:space="preserve">Državna odvjetništva trebaju nastaviti s podnošenjem žalbi uvijek kada za to postoje utemeljeni razlozi, s ciljem da svi počinitelji kaznenih djela budu primjereno kažnjeni, odnosno s ciljem </w:t>
      </w:r>
      <w:proofErr w:type="spellStart"/>
      <w:r w:rsidRPr="001B4CA2">
        <w:t>pooštravanja</w:t>
      </w:r>
      <w:proofErr w:type="spellEnd"/>
      <w:r w:rsidRPr="001B4CA2">
        <w:t xml:space="preserve"> kaznene politike, cijeneći sve mjerodavne okolnosti svakog konkretnog kaznenog djela i svrhu kažnjavanja. </w:t>
      </w:r>
    </w:p>
    <w:p w14:paraId="53C59DEC" w14:textId="57A37822" w:rsidR="009268FB" w:rsidRPr="001B4CA2" w:rsidRDefault="009268FB" w:rsidP="009268FB"/>
    <w:p w14:paraId="3544962E" w14:textId="234236C8" w:rsidR="001C297A" w:rsidRPr="001B4CA2" w:rsidRDefault="001C297A" w:rsidP="009268FB"/>
    <w:p w14:paraId="3E3C68DA" w14:textId="0AC32616" w:rsidR="001C297A" w:rsidRDefault="001C297A" w:rsidP="009268FB"/>
    <w:p w14:paraId="7B98D64E" w14:textId="77777777" w:rsidR="003E79A0" w:rsidRPr="001B4CA2" w:rsidRDefault="003E79A0" w:rsidP="009268FB"/>
    <w:p w14:paraId="35C02281" w14:textId="7A56450B" w:rsidR="00384838" w:rsidRPr="001B4CA2" w:rsidRDefault="002718EF" w:rsidP="00BF29FF">
      <w:pPr>
        <w:pStyle w:val="Naslov4"/>
        <w:tabs>
          <w:tab w:val="left" w:pos="993"/>
        </w:tabs>
        <w:rPr>
          <w:rFonts w:ascii="Arial" w:hAnsi="Arial" w:cs="Arial"/>
        </w:rPr>
      </w:pPr>
      <w:bookmarkStart w:id="62" w:name="_Toc133394322"/>
      <w:r w:rsidRPr="001B4CA2">
        <w:rPr>
          <w:rFonts w:ascii="Arial" w:hAnsi="Arial" w:cs="Arial"/>
        </w:rPr>
        <w:lastRenderedPageBreak/>
        <w:t>Rad i odluke u prekršajnim predmetima</w:t>
      </w:r>
      <w:bookmarkEnd w:id="62"/>
    </w:p>
    <w:p w14:paraId="6A18B059" w14:textId="77777777" w:rsidR="002B41C2" w:rsidRPr="001B4CA2" w:rsidRDefault="002B41C2" w:rsidP="002B41C2"/>
    <w:p w14:paraId="50322F28" w14:textId="013A9A7E" w:rsidR="002B41C2" w:rsidRPr="001B4CA2" w:rsidRDefault="002B41C2" w:rsidP="002B41C2">
      <w:pPr>
        <w:ind w:firstLine="708"/>
      </w:pPr>
      <w:r w:rsidRPr="001B4CA2">
        <w:t>Ukupno je prekršajnih predmeta u radu općinskih državnih odvjetništava nešto manje u odnosu na 2021. godinu (1745 prema 1783). Primljeno je 669 novih predmeta. Pad broja novih predmeta prema 2020. godin</w:t>
      </w:r>
      <w:r w:rsidR="008B7B29">
        <w:t>i</w:t>
      </w:r>
      <w:r w:rsidRPr="001B4CA2">
        <w:t xml:space="preserve"> (597) potvrđuje da je porast 2021. godine (1</w:t>
      </w:r>
      <w:r w:rsidR="00C4437D">
        <w:t>.</w:t>
      </w:r>
      <w:r w:rsidRPr="001B4CA2">
        <w:t>040) bio povezan</w:t>
      </w:r>
      <w:r w:rsidR="00FD08E9">
        <w:t xml:space="preserve"> s </w:t>
      </w:r>
      <w:r w:rsidRPr="001B4CA2">
        <w:t>održavanjem lokalnih izbora i prijavama zbog kršenja članka 35. Zakona o ravnopravnosti spolova u izbornom procesu. Zbog toga su državna odvjetništva u 2022. godini radila na povećanom broju predmeta ostalih u radu pred državnim odvjetništvom (507)</w:t>
      </w:r>
      <w:r w:rsidR="00956EE1">
        <w:t>,</w:t>
      </w:r>
      <w:r w:rsidRPr="001B4CA2">
        <w:t xml:space="preserve"> odnosno sudom ili javnopravnim tijelom (504) iz 2021. godine. Ukupno je najviše predmeta u radu bilo po Zakonu o financiranju političkih aktivnosti, izborne promidžbe i referenduma (39,42</w:t>
      </w:r>
      <w:r w:rsidR="00956EE1">
        <w:t> </w:t>
      </w:r>
      <w:r w:rsidRPr="001B4CA2">
        <w:t>%) i Zakonu o ravnopravnosti spolova (16,67</w:t>
      </w:r>
      <w:r w:rsidR="00956EE1">
        <w:t> </w:t>
      </w:r>
      <w:r w:rsidRPr="001B4CA2">
        <w:t>%). Novih predmeta je bilo najviše po Zakonu o financiranju političkih aktivnosti, izborne promidžbe i referenduma (45,14</w:t>
      </w:r>
      <w:r w:rsidR="00956EE1">
        <w:t> </w:t>
      </w:r>
      <w:r w:rsidRPr="001B4CA2">
        <w:t>%), Zakonu o ravnopravnosti spolova (12,85</w:t>
      </w:r>
      <w:r w:rsidR="00956EE1">
        <w:t> </w:t>
      </w:r>
      <w:r w:rsidRPr="001B4CA2">
        <w:t>%) i Zakonu o zaštiti od nasilja u obitelji (5,23</w:t>
      </w:r>
      <w:r w:rsidR="00956EE1">
        <w:t> </w:t>
      </w:r>
      <w:r w:rsidRPr="001B4CA2">
        <w:t>%).</w:t>
      </w:r>
    </w:p>
    <w:p w14:paraId="3047EFCB" w14:textId="77777777" w:rsidR="002B41C2" w:rsidRPr="001B4CA2" w:rsidRDefault="002B41C2" w:rsidP="002B41C2"/>
    <w:p w14:paraId="52C7058D" w14:textId="4FA7363A" w:rsidR="002B41C2" w:rsidRPr="001B4CA2" w:rsidRDefault="002B41C2" w:rsidP="002B41C2">
      <w:pPr>
        <w:ind w:firstLine="708"/>
      </w:pPr>
      <w:r w:rsidRPr="001B4CA2">
        <w:t>Državno odvjetništvo nastavilo je povećavati broj odluka. Donijete su 883 odluke prema 866 odluka 2021. godine i 720 odluka 2020. godine. Broj optužnih prijedloga (637) sličan je broju iz 2021. godine (624) i u porastu za 41,87</w:t>
      </w:r>
      <w:r w:rsidR="00956EE1">
        <w:t> </w:t>
      </w:r>
      <w:r w:rsidRPr="001B4CA2">
        <w:t>% u odnosu na 2020. godinu (449). Najviše je optužnih prijedloga po Zakonu o financiranju političkih aktivnosti, izborne promidžbe i referenduma (42,85</w:t>
      </w:r>
      <w:r w:rsidR="00956EE1">
        <w:t> </w:t>
      </w:r>
      <w:r w:rsidRPr="001B4CA2">
        <w:t>%) i Zakonu o ravnopravnosti spolova (20,25</w:t>
      </w:r>
      <w:r w:rsidR="00956EE1">
        <w:t> </w:t>
      </w:r>
      <w:r w:rsidRPr="001B4CA2">
        <w:t>%). Povećan je broj prekršajnih naloga za 195,65</w:t>
      </w:r>
      <w:r w:rsidR="00956EE1">
        <w:t> </w:t>
      </w:r>
      <w:r w:rsidRPr="001B4CA2">
        <w:t xml:space="preserve">% u odnosu na 2021. godinu (68 prema 23) zbog nastojanja na većoj </w:t>
      </w:r>
      <w:r w:rsidR="008B7B29">
        <w:t>učinkovitosti</w:t>
      </w:r>
      <w:r w:rsidRPr="001B4CA2">
        <w:t xml:space="preserve"> i rasterećenju suda, najčešće za prekršaje po Zakonu o financiranju političkih aktivnosti, izborne promidžbe i referenduma (48,52%), Zakonu o ravnopravnosti spolova i Zakonu o sigurnosti prometa na cestama (po 17,64%). Time je broj predmeta ostalih u radu pred državnim odvjetništvom na kraju godine (322) smanjen za 36,48</w:t>
      </w:r>
      <w:r w:rsidR="008B7B29">
        <w:t> </w:t>
      </w:r>
      <w:r w:rsidRPr="001B4CA2">
        <w:t>% u odnosu na 2021. godinu. Unatoč povećanju ukupnog broja odluka suda ili javnopravnog tijela od 22,73</w:t>
      </w:r>
      <w:r w:rsidR="008B7B29">
        <w:t> </w:t>
      </w:r>
      <w:r w:rsidRPr="001B4CA2">
        <w:t xml:space="preserve">% u odnosu na 2021. godinu (583 prema 475), državno je </w:t>
      </w:r>
      <w:r w:rsidR="008B7B29" w:rsidRPr="001B4CA2">
        <w:t xml:space="preserve">odvjetništvo </w:t>
      </w:r>
      <w:r w:rsidRPr="001B4CA2">
        <w:t>zadržalo visoku uspješnost</w:t>
      </w:r>
      <w:r w:rsidR="00FD08E9">
        <w:t xml:space="preserve"> s </w:t>
      </w:r>
      <w:r w:rsidRPr="001B4CA2">
        <w:t>87,82</w:t>
      </w:r>
      <w:r w:rsidR="008B7B29">
        <w:t> </w:t>
      </w:r>
      <w:r w:rsidRPr="001B4CA2">
        <w:t>% osuđujućih odluka i visok udio izrečene novčane kazne (91,21</w:t>
      </w:r>
      <w:r w:rsidR="008B7B29">
        <w:t> </w:t>
      </w:r>
      <w:r w:rsidRPr="001B4CA2">
        <w:t>%). Broj predmeta ostalih u radu pred sudom ili javnopravnim tijelom na kraju godine povećan je za 11,59</w:t>
      </w:r>
      <w:r w:rsidR="008B7B29">
        <w:t> </w:t>
      </w:r>
      <w:r w:rsidRPr="001B4CA2">
        <w:t>% u odnosu na 2021. godinu (616 prema 552).</w:t>
      </w:r>
    </w:p>
    <w:p w14:paraId="382CE503" w14:textId="77777777" w:rsidR="002B41C2" w:rsidRPr="001B4CA2" w:rsidRDefault="002B41C2" w:rsidP="002B41C2"/>
    <w:p w14:paraId="2D5A886C" w14:textId="5CD82F94" w:rsidR="002B41C2" w:rsidRPr="001B4CA2" w:rsidRDefault="002B41C2" w:rsidP="002B41C2">
      <w:pPr>
        <w:ind w:firstLine="708"/>
      </w:pPr>
      <w:r w:rsidRPr="001B4CA2">
        <w:t>U radu državnog odvjetništva prevladavaju predmeti po Zakonu o financiranju političkih aktivnosti, izborne promidžbe i referenduma povodom obavijesti Državnog izbornog povjerenstva i Državnog ureda za reviziju. Radi se o političkim strankama i nezavisnim članovima predstavničkih tijela koji nisu u propisanom roku unosom u informacijski sustav za nadzor financiranja dostavili financijski izvještaj o financiranju izborne promidžbe</w:t>
      </w:r>
      <w:r w:rsidR="00FD08E9">
        <w:t xml:space="preserve"> s </w:t>
      </w:r>
      <w:r w:rsidRPr="001B4CA2">
        <w:t>po</w:t>
      </w:r>
      <w:r w:rsidR="00FD08E9">
        <w:t>datci</w:t>
      </w:r>
      <w:r w:rsidRPr="001B4CA2">
        <w:t>ma o ostvarenim primi</w:t>
      </w:r>
      <w:r w:rsidR="008B7B29">
        <w:t>t</w:t>
      </w:r>
      <w:r w:rsidRPr="001B4CA2">
        <w:t>cima za financiranje izborne promidžbe, izvorima financiranja, troškovima za financiranje izborne promidžbe</w:t>
      </w:r>
      <w:r w:rsidR="00FD08E9">
        <w:t xml:space="preserve"> s </w:t>
      </w:r>
      <w:r w:rsidRPr="001B4CA2">
        <w:t>propisanim sastavnim dijelovima ili polugodišnje izvješće. Po Zakonu o ravnopravnosti spolova najčešći je prekršaj iz članka 35. zbog nedovoljne zastupljenosti žena na kandidacijskim i izbornim listama u odnosu na izbore provedene 2021. godine.</w:t>
      </w:r>
    </w:p>
    <w:p w14:paraId="05305308" w14:textId="77777777" w:rsidR="002B41C2" w:rsidRPr="001B4CA2" w:rsidRDefault="002B41C2" w:rsidP="002B41C2"/>
    <w:p w14:paraId="45C21F97" w14:textId="1B4B3D11" w:rsidR="002B41C2" w:rsidRPr="001B4CA2" w:rsidRDefault="002B41C2" w:rsidP="006C5C07">
      <w:pPr>
        <w:ind w:firstLine="708"/>
      </w:pPr>
      <w:r w:rsidRPr="001B4CA2">
        <w:t>Poteškoće u radu odnose se većinom na probleme pri dostavljanju obavijesti</w:t>
      </w:r>
      <w:r w:rsidR="008B7B29">
        <w:t>,</w:t>
      </w:r>
      <w:r w:rsidRPr="001B4CA2">
        <w:t xml:space="preserve"> odnosno pouke o pravima</w:t>
      </w:r>
      <w:r w:rsidR="008B7B29">
        <w:t>,</w:t>
      </w:r>
      <w:r w:rsidRPr="001B4CA2">
        <w:t xml:space="preserve"> što </w:t>
      </w:r>
      <w:r w:rsidR="008B7B29">
        <w:t>katkad</w:t>
      </w:r>
      <w:r w:rsidRPr="001B4CA2">
        <w:t xml:space="preserve"> odugovlači rad u predmetima i utječe na duljinu</w:t>
      </w:r>
      <w:r w:rsidR="00E14F08" w:rsidRPr="001B4CA2">
        <w:t xml:space="preserve"> trajanja postupka.</w:t>
      </w:r>
      <w:r w:rsidRPr="001B4CA2">
        <w:t xml:space="preserve"> </w:t>
      </w:r>
    </w:p>
    <w:p w14:paraId="3B5DD5BD" w14:textId="77777777" w:rsidR="006C5C07" w:rsidRPr="001B4CA2" w:rsidRDefault="006C5C07" w:rsidP="006C5C07">
      <w:pPr>
        <w:ind w:firstLine="708"/>
      </w:pPr>
    </w:p>
    <w:p w14:paraId="64B80B97" w14:textId="77777777" w:rsidR="006C5C07" w:rsidRPr="001B4CA2" w:rsidRDefault="006C5C07" w:rsidP="006C5C07">
      <w:pPr>
        <w:ind w:firstLine="708"/>
      </w:pPr>
    </w:p>
    <w:p w14:paraId="2C9758A8" w14:textId="67586437" w:rsidR="002B41C2" w:rsidRPr="001B4CA2" w:rsidRDefault="002B41C2" w:rsidP="002B41C2">
      <w:pPr>
        <w:spacing w:after="200" w:line="276" w:lineRule="auto"/>
        <w:sectPr w:rsidR="002B41C2" w:rsidRPr="001B4CA2" w:rsidSect="00E14F08">
          <w:pgSz w:w="11906" w:h="16838"/>
          <w:pgMar w:top="1418" w:right="1418" w:bottom="1418" w:left="1418" w:header="425" w:footer="709" w:gutter="0"/>
          <w:cols w:space="708"/>
          <w:docGrid w:linePitch="360"/>
        </w:sectPr>
      </w:pPr>
    </w:p>
    <w:tbl>
      <w:tblPr>
        <w:tblpPr w:leftFromText="180" w:rightFromText="180" w:vertAnchor="page" w:horzAnchor="margin" w:tblpXSpec="center" w:tblpY="1151"/>
        <w:tblW w:w="157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52"/>
        <w:gridCol w:w="562"/>
        <w:gridCol w:w="568"/>
        <w:gridCol w:w="549"/>
        <w:gridCol w:w="461"/>
        <w:gridCol w:w="718"/>
        <w:gridCol w:w="560"/>
        <w:gridCol w:w="428"/>
        <w:gridCol w:w="570"/>
        <w:gridCol w:w="573"/>
        <w:gridCol w:w="570"/>
        <w:gridCol w:w="711"/>
        <w:gridCol w:w="579"/>
        <w:gridCol w:w="585"/>
        <w:gridCol w:w="579"/>
        <w:gridCol w:w="733"/>
        <w:gridCol w:w="636"/>
        <w:gridCol w:w="729"/>
        <w:gridCol w:w="729"/>
        <w:gridCol w:w="741"/>
        <w:gridCol w:w="719"/>
        <w:gridCol w:w="800"/>
        <w:gridCol w:w="780"/>
      </w:tblGrid>
      <w:tr w:rsidR="002B41C2" w:rsidRPr="001B4CA2" w14:paraId="3EC745CB" w14:textId="77777777" w:rsidTr="006C5C07">
        <w:trPr>
          <w:trHeight w:val="1031"/>
        </w:trPr>
        <w:tc>
          <w:tcPr>
            <w:tcW w:w="1852" w:type="dxa"/>
            <w:vMerge w:val="restart"/>
            <w:shd w:val="clear" w:color="auto" w:fill="99CCFF"/>
            <w:noWrap/>
            <w:vAlign w:val="center"/>
          </w:tcPr>
          <w:p w14:paraId="4530E984" w14:textId="77777777" w:rsidR="002B41C2" w:rsidRPr="001B4CA2" w:rsidRDefault="002B41C2" w:rsidP="002A38E7">
            <w:pPr>
              <w:jc w:val="center"/>
              <w:rPr>
                <w:rFonts w:eastAsia="Times New Roman"/>
                <w:b/>
                <w:bCs/>
                <w:sz w:val="20"/>
                <w:szCs w:val="20"/>
                <w:lang w:eastAsia="hr-HR"/>
              </w:rPr>
            </w:pPr>
            <w:r w:rsidRPr="001B4CA2">
              <w:rPr>
                <w:rFonts w:eastAsia="Times New Roman"/>
                <w:b/>
                <w:bCs/>
                <w:sz w:val="18"/>
                <w:szCs w:val="18"/>
                <w:lang w:eastAsia="hr-HR"/>
              </w:rPr>
              <w:lastRenderedPageBreak/>
              <w:t>Zakon</w:t>
            </w:r>
          </w:p>
        </w:tc>
        <w:tc>
          <w:tcPr>
            <w:tcW w:w="2858" w:type="dxa"/>
            <w:gridSpan w:val="5"/>
            <w:shd w:val="clear" w:color="auto" w:fill="99CCFF"/>
            <w:noWrap/>
            <w:vAlign w:val="center"/>
          </w:tcPr>
          <w:p w14:paraId="007B478C" w14:textId="77777777" w:rsidR="002B41C2" w:rsidRPr="001B4CA2" w:rsidRDefault="002B41C2" w:rsidP="002A38E7">
            <w:pPr>
              <w:jc w:val="center"/>
              <w:rPr>
                <w:rFonts w:eastAsia="Times New Roman"/>
                <w:lang w:eastAsia="hr-HR"/>
              </w:rPr>
            </w:pPr>
            <w:r w:rsidRPr="001B4CA2">
              <w:rPr>
                <w:rFonts w:eastAsia="Times New Roman"/>
                <w:b/>
                <w:bCs/>
                <w:sz w:val="18"/>
                <w:szCs w:val="18"/>
                <w:lang w:eastAsia="hr-HR"/>
              </w:rPr>
              <w:t>Prijave u radu</w:t>
            </w:r>
          </w:p>
        </w:tc>
        <w:tc>
          <w:tcPr>
            <w:tcW w:w="2131" w:type="dxa"/>
            <w:gridSpan w:val="4"/>
            <w:shd w:val="clear" w:color="auto" w:fill="99CCFF"/>
            <w:noWrap/>
            <w:vAlign w:val="center"/>
          </w:tcPr>
          <w:p w14:paraId="14746A21" w14:textId="77777777" w:rsidR="002B41C2" w:rsidRPr="001B4CA2" w:rsidRDefault="002B41C2" w:rsidP="002A38E7">
            <w:pPr>
              <w:jc w:val="center"/>
              <w:rPr>
                <w:rFonts w:eastAsia="Times New Roman"/>
                <w:lang w:eastAsia="hr-HR"/>
              </w:rPr>
            </w:pPr>
            <w:r w:rsidRPr="001B4CA2">
              <w:rPr>
                <w:rFonts w:eastAsia="Times New Roman"/>
                <w:b/>
                <w:bCs/>
                <w:sz w:val="18"/>
                <w:szCs w:val="18"/>
                <w:lang w:eastAsia="hr-HR"/>
              </w:rPr>
              <w:t>Odluke DO</w:t>
            </w:r>
          </w:p>
        </w:tc>
        <w:tc>
          <w:tcPr>
            <w:tcW w:w="570" w:type="dxa"/>
            <w:vMerge w:val="restart"/>
            <w:shd w:val="clear" w:color="auto" w:fill="99CCFF"/>
            <w:noWrap/>
            <w:textDirection w:val="btLr"/>
            <w:vAlign w:val="center"/>
          </w:tcPr>
          <w:p w14:paraId="5118242B" w14:textId="77777777" w:rsidR="002B41C2" w:rsidRPr="001B4CA2" w:rsidRDefault="002B41C2" w:rsidP="002A38E7">
            <w:pPr>
              <w:ind w:left="113" w:right="113"/>
              <w:rPr>
                <w:rFonts w:eastAsia="Times New Roman"/>
                <w:b/>
                <w:sz w:val="18"/>
                <w:szCs w:val="18"/>
                <w:lang w:eastAsia="hr-HR"/>
              </w:rPr>
            </w:pPr>
            <w:r w:rsidRPr="001B4CA2">
              <w:rPr>
                <w:rFonts w:eastAsia="Times New Roman"/>
                <w:b/>
                <w:sz w:val="18"/>
                <w:szCs w:val="18"/>
                <w:lang w:eastAsia="hr-HR"/>
              </w:rPr>
              <w:t>Ostalo u radu u DO</w:t>
            </w:r>
          </w:p>
        </w:tc>
        <w:tc>
          <w:tcPr>
            <w:tcW w:w="3187" w:type="dxa"/>
            <w:gridSpan w:val="5"/>
            <w:shd w:val="clear" w:color="auto" w:fill="99CCFF"/>
            <w:noWrap/>
            <w:vAlign w:val="center"/>
          </w:tcPr>
          <w:p w14:paraId="26306319" w14:textId="77777777" w:rsidR="002B41C2" w:rsidRPr="001B4CA2" w:rsidRDefault="002B41C2" w:rsidP="002A38E7">
            <w:pPr>
              <w:jc w:val="center"/>
              <w:rPr>
                <w:rFonts w:eastAsia="Times New Roman"/>
                <w:lang w:eastAsia="hr-HR"/>
              </w:rPr>
            </w:pPr>
            <w:r w:rsidRPr="001B4CA2">
              <w:rPr>
                <w:rFonts w:eastAsia="Times New Roman"/>
                <w:b/>
                <w:bCs/>
                <w:sz w:val="18"/>
                <w:szCs w:val="18"/>
                <w:lang w:eastAsia="hr-HR"/>
              </w:rPr>
              <w:t>Odluke suda ili javnopravnog tijela (JPT)</w:t>
            </w:r>
          </w:p>
        </w:tc>
        <w:tc>
          <w:tcPr>
            <w:tcW w:w="2835" w:type="dxa"/>
            <w:gridSpan w:val="4"/>
            <w:shd w:val="clear" w:color="auto" w:fill="99CCFF"/>
            <w:noWrap/>
            <w:vAlign w:val="center"/>
          </w:tcPr>
          <w:p w14:paraId="29566D3B" w14:textId="77777777" w:rsidR="002B41C2" w:rsidRPr="001B4CA2" w:rsidRDefault="002B41C2" w:rsidP="002A38E7">
            <w:pPr>
              <w:jc w:val="center"/>
              <w:rPr>
                <w:rFonts w:eastAsia="Times New Roman"/>
                <w:b/>
                <w:bCs/>
                <w:sz w:val="20"/>
                <w:szCs w:val="20"/>
                <w:lang w:eastAsia="hr-HR"/>
              </w:rPr>
            </w:pPr>
            <w:r w:rsidRPr="001B4CA2">
              <w:rPr>
                <w:rFonts w:eastAsia="Times New Roman"/>
                <w:b/>
                <w:bCs/>
                <w:sz w:val="18"/>
                <w:szCs w:val="18"/>
                <w:lang w:eastAsia="hr-HR"/>
              </w:rPr>
              <w:t>Sankcije</w:t>
            </w:r>
          </w:p>
        </w:tc>
        <w:tc>
          <w:tcPr>
            <w:tcW w:w="2299" w:type="dxa"/>
            <w:gridSpan w:val="3"/>
            <w:shd w:val="clear" w:color="auto" w:fill="99CCFF"/>
            <w:vAlign w:val="center"/>
          </w:tcPr>
          <w:p w14:paraId="73A93E48" w14:textId="77777777" w:rsidR="002B41C2" w:rsidRPr="001B4CA2" w:rsidRDefault="002B41C2" w:rsidP="002A38E7">
            <w:pPr>
              <w:jc w:val="center"/>
              <w:rPr>
                <w:rFonts w:eastAsia="Times New Roman"/>
                <w:b/>
                <w:bCs/>
                <w:sz w:val="20"/>
                <w:szCs w:val="20"/>
                <w:lang w:eastAsia="hr-HR"/>
              </w:rPr>
            </w:pPr>
            <w:r w:rsidRPr="001B4CA2">
              <w:rPr>
                <w:rFonts w:eastAsia="Times New Roman"/>
                <w:b/>
                <w:bCs/>
                <w:sz w:val="18"/>
                <w:szCs w:val="18"/>
                <w:lang w:eastAsia="hr-HR"/>
              </w:rPr>
              <w:t>Žalbe DO</w:t>
            </w:r>
          </w:p>
        </w:tc>
      </w:tr>
      <w:tr w:rsidR="006C5C07" w:rsidRPr="001B4CA2" w14:paraId="6E2871DC" w14:textId="77777777" w:rsidTr="006C5C07">
        <w:trPr>
          <w:trHeight w:val="1004"/>
        </w:trPr>
        <w:tc>
          <w:tcPr>
            <w:tcW w:w="1852" w:type="dxa"/>
            <w:vMerge/>
            <w:shd w:val="clear" w:color="auto" w:fill="99CCFF"/>
            <w:vAlign w:val="center"/>
            <w:hideMark/>
          </w:tcPr>
          <w:p w14:paraId="7DCD5D7A" w14:textId="77777777" w:rsidR="002B41C2" w:rsidRPr="001B4CA2" w:rsidRDefault="002B41C2" w:rsidP="002A38E7">
            <w:pPr>
              <w:rPr>
                <w:rFonts w:eastAsia="Times New Roman"/>
                <w:b/>
                <w:bCs/>
                <w:sz w:val="18"/>
                <w:szCs w:val="18"/>
                <w:lang w:eastAsia="hr-HR"/>
              </w:rPr>
            </w:pPr>
          </w:p>
        </w:tc>
        <w:tc>
          <w:tcPr>
            <w:tcW w:w="1130" w:type="dxa"/>
            <w:gridSpan w:val="2"/>
            <w:shd w:val="clear" w:color="auto" w:fill="99CCFF"/>
            <w:vAlign w:val="center"/>
            <w:hideMark/>
          </w:tcPr>
          <w:p w14:paraId="4A87FE44"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Ostalo u radu</w:t>
            </w:r>
          </w:p>
        </w:tc>
        <w:tc>
          <w:tcPr>
            <w:tcW w:w="549" w:type="dxa"/>
            <w:vMerge w:val="restart"/>
            <w:tcBorders>
              <w:right w:val="single" w:sz="4" w:space="0" w:color="auto"/>
            </w:tcBorders>
            <w:shd w:val="clear" w:color="auto" w:fill="99CCFF"/>
            <w:textDirection w:val="btLr"/>
            <w:vAlign w:val="center"/>
            <w:hideMark/>
          </w:tcPr>
          <w:p w14:paraId="5E3254BD" w14:textId="77777777" w:rsidR="002B41C2" w:rsidRPr="001B4CA2" w:rsidRDefault="002B41C2" w:rsidP="002A38E7">
            <w:pPr>
              <w:rPr>
                <w:rFonts w:eastAsia="Times New Roman"/>
                <w:sz w:val="17"/>
                <w:szCs w:val="17"/>
                <w:lang w:eastAsia="hr-HR"/>
              </w:rPr>
            </w:pPr>
            <w:r w:rsidRPr="001B4CA2">
              <w:rPr>
                <w:rFonts w:eastAsia="Times New Roman"/>
                <w:sz w:val="17"/>
                <w:szCs w:val="17"/>
                <w:lang w:eastAsia="hr-HR"/>
              </w:rPr>
              <w:t>Primljeno novih prijava</w:t>
            </w:r>
          </w:p>
        </w:tc>
        <w:tc>
          <w:tcPr>
            <w:tcW w:w="461" w:type="dxa"/>
            <w:vMerge w:val="restart"/>
            <w:tcBorders>
              <w:left w:val="single" w:sz="4" w:space="0" w:color="auto"/>
            </w:tcBorders>
            <w:shd w:val="clear" w:color="auto" w:fill="99CCFF"/>
            <w:textDirection w:val="btLr"/>
            <w:vAlign w:val="center"/>
          </w:tcPr>
          <w:p w14:paraId="4BE9AEED" w14:textId="77777777" w:rsidR="002B41C2" w:rsidRPr="001B4CA2" w:rsidRDefault="002B41C2" w:rsidP="002A38E7">
            <w:pPr>
              <w:rPr>
                <w:rFonts w:eastAsia="Times New Roman"/>
                <w:sz w:val="17"/>
                <w:szCs w:val="17"/>
                <w:lang w:eastAsia="hr-HR"/>
              </w:rPr>
            </w:pPr>
            <w:r w:rsidRPr="001B4CA2">
              <w:rPr>
                <w:rFonts w:eastAsia="Times New Roman"/>
                <w:sz w:val="17"/>
                <w:szCs w:val="17"/>
                <w:lang w:eastAsia="hr-HR"/>
              </w:rPr>
              <w:t xml:space="preserve">Primljeno nakon </w:t>
            </w:r>
            <w:proofErr w:type="spellStart"/>
            <w:r w:rsidRPr="001B4CA2">
              <w:rPr>
                <w:rFonts w:eastAsia="Times New Roman"/>
                <w:sz w:val="17"/>
                <w:szCs w:val="17"/>
                <w:lang w:eastAsia="hr-HR"/>
              </w:rPr>
              <w:t>ukidne</w:t>
            </w:r>
            <w:proofErr w:type="spellEnd"/>
            <w:r w:rsidRPr="001B4CA2">
              <w:rPr>
                <w:rFonts w:eastAsia="Times New Roman"/>
                <w:sz w:val="17"/>
                <w:szCs w:val="17"/>
                <w:lang w:eastAsia="hr-HR"/>
              </w:rPr>
              <w:t xml:space="preserve"> odluke</w:t>
            </w:r>
          </w:p>
        </w:tc>
        <w:tc>
          <w:tcPr>
            <w:tcW w:w="718" w:type="dxa"/>
            <w:vMerge w:val="restart"/>
            <w:shd w:val="clear" w:color="auto" w:fill="99CCFF"/>
            <w:textDirection w:val="btLr"/>
            <w:vAlign w:val="center"/>
            <w:hideMark/>
          </w:tcPr>
          <w:p w14:paraId="5EE892E3" w14:textId="77777777" w:rsidR="002B41C2" w:rsidRPr="001B4CA2" w:rsidRDefault="002B41C2" w:rsidP="002A38E7">
            <w:pPr>
              <w:rPr>
                <w:rFonts w:eastAsia="Times New Roman"/>
                <w:b/>
                <w:bCs/>
                <w:sz w:val="18"/>
                <w:szCs w:val="18"/>
                <w:lang w:eastAsia="hr-HR"/>
              </w:rPr>
            </w:pPr>
            <w:r w:rsidRPr="001B4CA2">
              <w:rPr>
                <w:rFonts w:eastAsia="Times New Roman"/>
                <w:b/>
                <w:bCs/>
                <w:sz w:val="18"/>
                <w:szCs w:val="18"/>
                <w:lang w:eastAsia="hr-HR"/>
              </w:rPr>
              <w:t> Ukupno u radu</w:t>
            </w:r>
          </w:p>
        </w:tc>
        <w:tc>
          <w:tcPr>
            <w:tcW w:w="560" w:type="dxa"/>
            <w:vMerge w:val="restart"/>
            <w:shd w:val="clear" w:color="auto" w:fill="99CCFF"/>
            <w:noWrap/>
            <w:textDirection w:val="btLr"/>
            <w:vAlign w:val="center"/>
            <w:hideMark/>
          </w:tcPr>
          <w:p w14:paraId="1B57F1AC" w14:textId="77777777" w:rsidR="002B41C2" w:rsidRPr="001B4CA2" w:rsidRDefault="002B41C2" w:rsidP="002A38E7">
            <w:pPr>
              <w:rPr>
                <w:rFonts w:eastAsia="Times New Roman"/>
                <w:sz w:val="18"/>
                <w:szCs w:val="18"/>
                <w:lang w:eastAsia="hr-HR"/>
              </w:rPr>
            </w:pPr>
            <w:r w:rsidRPr="001B4CA2">
              <w:rPr>
                <w:rFonts w:eastAsia="Times New Roman"/>
                <w:sz w:val="18"/>
                <w:szCs w:val="18"/>
                <w:lang w:eastAsia="hr-HR"/>
              </w:rPr>
              <w:t>Optužni prijedlog</w:t>
            </w:r>
          </w:p>
        </w:tc>
        <w:tc>
          <w:tcPr>
            <w:tcW w:w="428" w:type="dxa"/>
            <w:vMerge w:val="restart"/>
            <w:shd w:val="clear" w:color="auto" w:fill="99CCFF"/>
            <w:textDirection w:val="btLr"/>
            <w:vAlign w:val="center"/>
            <w:hideMark/>
          </w:tcPr>
          <w:p w14:paraId="17DF19D8" w14:textId="77777777" w:rsidR="002B41C2" w:rsidRPr="001B4CA2" w:rsidRDefault="002B41C2" w:rsidP="002A38E7">
            <w:pPr>
              <w:rPr>
                <w:rFonts w:eastAsia="Times New Roman"/>
                <w:sz w:val="18"/>
                <w:szCs w:val="18"/>
                <w:lang w:eastAsia="hr-HR"/>
              </w:rPr>
            </w:pPr>
            <w:r w:rsidRPr="001B4CA2">
              <w:rPr>
                <w:rFonts w:eastAsia="Times New Roman"/>
                <w:sz w:val="18"/>
                <w:szCs w:val="18"/>
                <w:lang w:eastAsia="hr-HR"/>
              </w:rPr>
              <w:t xml:space="preserve"> Izdan prekršajni nalog</w:t>
            </w:r>
          </w:p>
        </w:tc>
        <w:tc>
          <w:tcPr>
            <w:tcW w:w="570" w:type="dxa"/>
            <w:vMerge w:val="restart"/>
            <w:shd w:val="clear" w:color="auto" w:fill="99CCFF"/>
            <w:textDirection w:val="btLr"/>
            <w:vAlign w:val="center"/>
            <w:hideMark/>
          </w:tcPr>
          <w:p w14:paraId="64EF3C72" w14:textId="77777777" w:rsidR="002B41C2" w:rsidRPr="001B4CA2" w:rsidRDefault="002B41C2" w:rsidP="002A38E7">
            <w:pPr>
              <w:rPr>
                <w:rFonts w:eastAsia="Times New Roman"/>
                <w:sz w:val="18"/>
                <w:szCs w:val="18"/>
                <w:lang w:eastAsia="hr-HR"/>
              </w:rPr>
            </w:pPr>
            <w:r w:rsidRPr="001B4CA2">
              <w:rPr>
                <w:rFonts w:eastAsia="Times New Roman"/>
                <w:sz w:val="18"/>
                <w:szCs w:val="18"/>
                <w:lang w:eastAsia="hr-HR"/>
              </w:rPr>
              <w:t>Riješeno na drugi način</w:t>
            </w:r>
          </w:p>
        </w:tc>
        <w:tc>
          <w:tcPr>
            <w:tcW w:w="573" w:type="dxa"/>
            <w:vMerge w:val="restart"/>
            <w:shd w:val="clear" w:color="auto" w:fill="99CCFF"/>
            <w:textDirection w:val="btLr"/>
            <w:vAlign w:val="center"/>
            <w:hideMark/>
          </w:tcPr>
          <w:p w14:paraId="48EEDE78" w14:textId="77777777" w:rsidR="002B41C2" w:rsidRPr="001B4CA2" w:rsidRDefault="002B41C2" w:rsidP="002A38E7">
            <w:pPr>
              <w:rPr>
                <w:rFonts w:eastAsia="Times New Roman"/>
                <w:b/>
                <w:bCs/>
                <w:sz w:val="18"/>
                <w:szCs w:val="18"/>
                <w:lang w:eastAsia="hr-HR"/>
              </w:rPr>
            </w:pPr>
            <w:r w:rsidRPr="001B4CA2">
              <w:rPr>
                <w:rFonts w:eastAsia="Times New Roman"/>
                <w:b/>
                <w:bCs/>
                <w:sz w:val="18"/>
                <w:szCs w:val="18"/>
                <w:lang w:eastAsia="hr-HR"/>
              </w:rPr>
              <w:t>Ukupno odluka</w:t>
            </w:r>
          </w:p>
        </w:tc>
        <w:tc>
          <w:tcPr>
            <w:tcW w:w="570" w:type="dxa"/>
            <w:vMerge/>
            <w:shd w:val="clear" w:color="auto" w:fill="99CCFF"/>
            <w:vAlign w:val="center"/>
            <w:hideMark/>
          </w:tcPr>
          <w:p w14:paraId="0ED98181" w14:textId="77777777" w:rsidR="002B41C2" w:rsidRPr="001B4CA2" w:rsidRDefault="002B41C2" w:rsidP="002A38E7">
            <w:pPr>
              <w:rPr>
                <w:rFonts w:eastAsia="Times New Roman"/>
                <w:b/>
                <w:bCs/>
                <w:sz w:val="18"/>
                <w:szCs w:val="18"/>
                <w:lang w:eastAsia="hr-HR"/>
              </w:rPr>
            </w:pPr>
          </w:p>
        </w:tc>
        <w:tc>
          <w:tcPr>
            <w:tcW w:w="1875" w:type="dxa"/>
            <w:gridSpan w:val="3"/>
            <w:shd w:val="clear" w:color="auto" w:fill="99CCFF"/>
            <w:vAlign w:val="center"/>
            <w:hideMark/>
          </w:tcPr>
          <w:p w14:paraId="4949F885" w14:textId="77777777" w:rsidR="002B41C2" w:rsidRPr="001B4CA2" w:rsidRDefault="002B41C2" w:rsidP="002A38E7">
            <w:pPr>
              <w:jc w:val="center"/>
              <w:rPr>
                <w:rFonts w:eastAsia="Times New Roman"/>
                <w:b/>
                <w:bCs/>
                <w:sz w:val="18"/>
                <w:szCs w:val="18"/>
                <w:lang w:eastAsia="hr-HR"/>
              </w:rPr>
            </w:pPr>
            <w:r w:rsidRPr="001B4CA2">
              <w:rPr>
                <w:rFonts w:eastAsia="Times New Roman"/>
                <w:b/>
                <w:bCs/>
                <w:sz w:val="18"/>
                <w:szCs w:val="18"/>
                <w:lang w:eastAsia="hr-HR"/>
              </w:rPr>
              <w:t>Presuda/rješenje</w:t>
            </w:r>
          </w:p>
        </w:tc>
        <w:tc>
          <w:tcPr>
            <w:tcW w:w="579" w:type="dxa"/>
            <w:vMerge w:val="restart"/>
            <w:shd w:val="clear" w:color="auto" w:fill="99CCFF"/>
            <w:textDirection w:val="btLr"/>
            <w:vAlign w:val="center"/>
            <w:hideMark/>
          </w:tcPr>
          <w:p w14:paraId="35CFEB2C" w14:textId="77777777" w:rsidR="002B41C2" w:rsidRPr="001B4CA2" w:rsidRDefault="002B41C2" w:rsidP="002A38E7">
            <w:pPr>
              <w:rPr>
                <w:rFonts w:eastAsia="Times New Roman"/>
                <w:b/>
                <w:bCs/>
                <w:sz w:val="18"/>
                <w:szCs w:val="18"/>
                <w:lang w:eastAsia="hr-HR"/>
              </w:rPr>
            </w:pPr>
            <w:r w:rsidRPr="001B4CA2">
              <w:rPr>
                <w:rFonts w:eastAsia="Times New Roman"/>
                <w:b/>
                <w:bCs/>
                <w:sz w:val="18"/>
                <w:szCs w:val="18"/>
                <w:lang w:eastAsia="hr-HR"/>
              </w:rPr>
              <w:t>Ukupno odluka suda ili JPT</w:t>
            </w:r>
          </w:p>
        </w:tc>
        <w:tc>
          <w:tcPr>
            <w:tcW w:w="733" w:type="dxa"/>
            <w:vMerge w:val="restart"/>
            <w:shd w:val="clear" w:color="auto" w:fill="99CCFF"/>
            <w:textDirection w:val="btLr"/>
            <w:vAlign w:val="center"/>
            <w:hideMark/>
          </w:tcPr>
          <w:p w14:paraId="047DBD32" w14:textId="77777777" w:rsidR="002B41C2" w:rsidRPr="001B4CA2" w:rsidRDefault="002B41C2" w:rsidP="002A38E7">
            <w:pPr>
              <w:rPr>
                <w:rFonts w:eastAsia="Times New Roman"/>
                <w:b/>
                <w:bCs/>
                <w:sz w:val="18"/>
                <w:szCs w:val="18"/>
                <w:lang w:eastAsia="hr-HR"/>
              </w:rPr>
            </w:pPr>
            <w:r w:rsidRPr="001B4CA2">
              <w:rPr>
                <w:rFonts w:eastAsia="Times New Roman"/>
                <w:b/>
                <w:bCs/>
                <w:sz w:val="18"/>
                <w:szCs w:val="18"/>
                <w:lang w:eastAsia="hr-HR"/>
              </w:rPr>
              <w:t>Ostalo u radu pred sudom ili JPT</w:t>
            </w:r>
          </w:p>
        </w:tc>
        <w:tc>
          <w:tcPr>
            <w:tcW w:w="636" w:type="dxa"/>
            <w:vMerge w:val="restart"/>
            <w:shd w:val="clear" w:color="auto" w:fill="99CCFF"/>
            <w:textDirection w:val="btLr"/>
            <w:vAlign w:val="center"/>
            <w:hideMark/>
          </w:tcPr>
          <w:p w14:paraId="66CFE235" w14:textId="77777777" w:rsidR="002B41C2" w:rsidRPr="001B4CA2" w:rsidRDefault="002B41C2" w:rsidP="002A38E7">
            <w:pPr>
              <w:rPr>
                <w:rFonts w:eastAsia="Times New Roman"/>
                <w:sz w:val="18"/>
                <w:szCs w:val="18"/>
                <w:lang w:eastAsia="hr-HR"/>
              </w:rPr>
            </w:pPr>
            <w:r w:rsidRPr="001B4CA2">
              <w:rPr>
                <w:rFonts w:eastAsia="Times New Roman"/>
                <w:sz w:val="18"/>
                <w:szCs w:val="18"/>
                <w:lang w:eastAsia="hr-HR"/>
              </w:rPr>
              <w:t>Zatvor</w:t>
            </w:r>
          </w:p>
        </w:tc>
        <w:tc>
          <w:tcPr>
            <w:tcW w:w="729" w:type="dxa"/>
            <w:vMerge w:val="restart"/>
            <w:shd w:val="clear" w:color="auto" w:fill="99CCFF"/>
            <w:textDirection w:val="btLr"/>
            <w:vAlign w:val="center"/>
            <w:hideMark/>
          </w:tcPr>
          <w:p w14:paraId="5025EA30" w14:textId="77777777" w:rsidR="002B41C2" w:rsidRPr="001B4CA2" w:rsidRDefault="002B41C2" w:rsidP="002A38E7">
            <w:pPr>
              <w:rPr>
                <w:rFonts w:eastAsia="Times New Roman"/>
                <w:sz w:val="18"/>
                <w:szCs w:val="18"/>
                <w:lang w:eastAsia="hr-HR"/>
              </w:rPr>
            </w:pPr>
            <w:r w:rsidRPr="001B4CA2">
              <w:rPr>
                <w:rFonts w:eastAsia="Times New Roman"/>
                <w:sz w:val="18"/>
                <w:szCs w:val="18"/>
                <w:lang w:eastAsia="hr-HR"/>
              </w:rPr>
              <w:t>Novčana kazna</w:t>
            </w:r>
          </w:p>
        </w:tc>
        <w:tc>
          <w:tcPr>
            <w:tcW w:w="729" w:type="dxa"/>
            <w:vMerge w:val="restart"/>
            <w:shd w:val="clear" w:color="auto" w:fill="99CCFF"/>
            <w:textDirection w:val="btLr"/>
            <w:vAlign w:val="center"/>
            <w:hideMark/>
          </w:tcPr>
          <w:p w14:paraId="59961298" w14:textId="77777777" w:rsidR="002B41C2" w:rsidRPr="001B4CA2" w:rsidRDefault="002B41C2" w:rsidP="002A38E7">
            <w:pPr>
              <w:rPr>
                <w:rFonts w:eastAsia="Times New Roman"/>
                <w:sz w:val="18"/>
                <w:szCs w:val="18"/>
                <w:lang w:eastAsia="hr-HR"/>
              </w:rPr>
            </w:pPr>
            <w:r w:rsidRPr="001B4CA2">
              <w:rPr>
                <w:rFonts w:eastAsia="Times New Roman"/>
                <w:sz w:val="18"/>
                <w:szCs w:val="18"/>
                <w:lang w:eastAsia="hr-HR"/>
              </w:rPr>
              <w:t>Druga sankcija</w:t>
            </w:r>
          </w:p>
        </w:tc>
        <w:tc>
          <w:tcPr>
            <w:tcW w:w="741" w:type="dxa"/>
            <w:vMerge w:val="restart"/>
            <w:shd w:val="clear" w:color="auto" w:fill="99CCFF"/>
            <w:textDirection w:val="btLr"/>
            <w:vAlign w:val="center"/>
            <w:hideMark/>
          </w:tcPr>
          <w:p w14:paraId="6D544548" w14:textId="77777777" w:rsidR="002B41C2" w:rsidRPr="001B4CA2" w:rsidRDefault="002B41C2" w:rsidP="002A38E7">
            <w:pPr>
              <w:rPr>
                <w:rFonts w:eastAsia="Times New Roman"/>
                <w:b/>
                <w:bCs/>
                <w:sz w:val="18"/>
                <w:szCs w:val="18"/>
                <w:lang w:eastAsia="hr-HR"/>
              </w:rPr>
            </w:pPr>
            <w:r w:rsidRPr="001B4CA2">
              <w:rPr>
                <w:rFonts w:eastAsia="Times New Roman"/>
                <w:b/>
                <w:bCs/>
                <w:sz w:val="18"/>
                <w:szCs w:val="18"/>
                <w:lang w:eastAsia="hr-HR"/>
              </w:rPr>
              <w:t>Ukupno</w:t>
            </w:r>
          </w:p>
        </w:tc>
        <w:tc>
          <w:tcPr>
            <w:tcW w:w="719" w:type="dxa"/>
            <w:vMerge w:val="restart"/>
            <w:shd w:val="clear" w:color="auto" w:fill="99CCFF"/>
            <w:textDirection w:val="btLr"/>
            <w:vAlign w:val="center"/>
            <w:hideMark/>
          </w:tcPr>
          <w:p w14:paraId="54F2C2DB" w14:textId="77777777" w:rsidR="002B41C2" w:rsidRPr="001B4CA2" w:rsidRDefault="002B41C2" w:rsidP="002A38E7">
            <w:pPr>
              <w:rPr>
                <w:rFonts w:eastAsia="Times New Roman"/>
                <w:sz w:val="18"/>
                <w:szCs w:val="18"/>
                <w:lang w:eastAsia="hr-HR"/>
              </w:rPr>
            </w:pPr>
            <w:r w:rsidRPr="001B4CA2">
              <w:rPr>
                <w:rFonts w:eastAsia="Times New Roman"/>
                <w:sz w:val="18"/>
                <w:szCs w:val="18"/>
                <w:lang w:eastAsia="hr-HR"/>
              </w:rPr>
              <w:t>Podnesena žalba DO</w:t>
            </w:r>
          </w:p>
        </w:tc>
        <w:tc>
          <w:tcPr>
            <w:tcW w:w="1580" w:type="dxa"/>
            <w:gridSpan w:val="2"/>
            <w:shd w:val="clear" w:color="auto" w:fill="99CCFF"/>
            <w:vAlign w:val="center"/>
            <w:hideMark/>
          </w:tcPr>
          <w:p w14:paraId="002A3463" w14:textId="77777777" w:rsidR="002B41C2" w:rsidRPr="001B4CA2" w:rsidRDefault="002B41C2" w:rsidP="002A38E7">
            <w:pPr>
              <w:jc w:val="center"/>
              <w:rPr>
                <w:rFonts w:eastAsia="Times New Roman"/>
                <w:b/>
                <w:bCs/>
                <w:sz w:val="18"/>
                <w:szCs w:val="18"/>
                <w:lang w:eastAsia="hr-HR"/>
              </w:rPr>
            </w:pPr>
            <w:r w:rsidRPr="001B4CA2">
              <w:rPr>
                <w:rFonts w:eastAsia="Times New Roman"/>
                <w:b/>
                <w:bCs/>
                <w:sz w:val="18"/>
                <w:szCs w:val="18"/>
                <w:lang w:eastAsia="hr-HR"/>
              </w:rPr>
              <w:t>Odluke povodom žalbe</w:t>
            </w:r>
          </w:p>
        </w:tc>
      </w:tr>
      <w:tr w:rsidR="002B41C2" w:rsidRPr="001B4CA2" w14:paraId="228F79A4" w14:textId="77777777" w:rsidTr="006C5C07">
        <w:trPr>
          <w:trHeight w:val="1428"/>
        </w:trPr>
        <w:tc>
          <w:tcPr>
            <w:tcW w:w="1852" w:type="dxa"/>
            <w:vMerge/>
            <w:shd w:val="clear" w:color="auto" w:fill="99CCFF"/>
            <w:vAlign w:val="center"/>
            <w:hideMark/>
          </w:tcPr>
          <w:p w14:paraId="20A4F219" w14:textId="77777777" w:rsidR="002B41C2" w:rsidRPr="001B4CA2" w:rsidRDefault="002B41C2" w:rsidP="002A38E7">
            <w:pPr>
              <w:rPr>
                <w:rFonts w:eastAsia="Times New Roman"/>
                <w:b/>
                <w:bCs/>
                <w:sz w:val="18"/>
                <w:szCs w:val="18"/>
                <w:lang w:eastAsia="hr-HR"/>
              </w:rPr>
            </w:pPr>
          </w:p>
        </w:tc>
        <w:tc>
          <w:tcPr>
            <w:tcW w:w="562" w:type="dxa"/>
            <w:shd w:val="clear" w:color="auto" w:fill="99CCFF"/>
            <w:textDirection w:val="btLr"/>
            <w:vAlign w:val="center"/>
            <w:hideMark/>
          </w:tcPr>
          <w:p w14:paraId="72E85D9B" w14:textId="77777777" w:rsidR="002B41C2" w:rsidRPr="001B4CA2" w:rsidRDefault="002B41C2" w:rsidP="002A38E7">
            <w:pPr>
              <w:rPr>
                <w:rFonts w:eastAsia="Times New Roman"/>
                <w:sz w:val="18"/>
                <w:szCs w:val="18"/>
                <w:lang w:eastAsia="hr-HR"/>
              </w:rPr>
            </w:pPr>
            <w:r w:rsidRPr="001B4CA2">
              <w:rPr>
                <w:rFonts w:eastAsia="Times New Roman"/>
                <w:sz w:val="18"/>
                <w:szCs w:val="18"/>
                <w:lang w:eastAsia="hr-HR"/>
              </w:rPr>
              <w:t>Pred DO</w:t>
            </w:r>
          </w:p>
        </w:tc>
        <w:tc>
          <w:tcPr>
            <w:tcW w:w="568" w:type="dxa"/>
            <w:shd w:val="clear" w:color="auto" w:fill="99CCFF"/>
            <w:textDirection w:val="btLr"/>
            <w:vAlign w:val="center"/>
            <w:hideMark/>
          </w:tcPr>
          <w:p w14:paraId="575BE9CF" w14:textId="77777777" w:rsidR="002B41C2" w:rsidRPr="001B4CA2" w:rsidRDefault="002B41C2" w:rsidP="002A38E7">
            <w:pPr>
              <w:rPr>
                <w:rFonts w:eastAsia="Times New Roman"/>
                <w:sz w:val="17"/>
                <w:szCs w:val="17"/>
                <w:lang w:eastAsia="hr-HR"/>
              </w:rPr>
            </w:pPr>
            <w:r w:rsidRPr="001B4CA2">
              <w:rPr>
                <w:rFonts w:eastAsia="Times New Roman"/>
                <w:sz w:val="17"/>
                <w:szCs w:val="17"/>
                <w:lang w:eastAsia="hr-HR"/>
              </w:rPr>
              <w:t>Pred sudom ili JPT</w:t>
            </w:r>
          </w:p>
        </w:tc>
        <w:tc>
          <w:tcPr>
            <w:tcW w:w="549" w:type="dxa"/>
            <w:vMerge/>
            <w:tcBorders>
              <w:right w:val="single" w:sz="4" w:space="0" w:color="auto"/>
            </w:tcBorders>
            <w:shd w:val="clear" w:color="auto" w:fill="99CCFF"/>
            <w:vAlign w:val="center"/>
            <w:hideMark/>
          </w:tcPr>
          <w:p w14:paraId="7C25969E" w14:textId="77777777" w:rsidR="002B41C2" w:rsidRPr="001B4CA2" w:rsidRDefault="002B41C2" w:rsidP="002A38E7">
            <w:pPr>
              <w:rPr>
                <w:rFonts w:eastAsia="Times New Roman"/>
                <w:sz w:val="17"/>
                <w:szCs w:val="17"/>
                <w:lang w:eastAsia="hr-HR"/>
              </w:rPr>
            </w:pPr>
          </w:p>
        </w:tc>
        <w:tc>
          <w:tcPr>
            <w:tcW w:w="461" w:type="dxa"/>
            <w:vMerge/>
            <w:tcBorders>
              <w:left w:val="single" w:sz="4" w:space="0" w:color="auto"/>
            </w:tcBorders>
            <w:shd w:val="clear" w:color="auto" w:fill="99CCFF"/>
            <w:vAlign w:val="center"/>
          </w:tcPr>
          <w:p w14:paraId="4910253B" w14:textId="77777777" w:rsidR="002B41C2" w:rsidRPr="001B4CA2" w:rsidRDefault="002B41C2" w:rsidP="002A38E7">
            <w:pPr>
              <w:rPr>
                <w:rFonts w:eastAsia="Times New Roman"/>
                <w:sz w:val="17"/>
                <w:szCs w:val="17"/>
                <w:lang w:eastAsia="hr-HR"/>
              </w:rPr>
            </w:pPr>
          </w:p>
        </w:tc>
        <w:tc>
          <w:tcPr>
            <w:tcW w:w="718" w:type="dxa"/>
            <w:vMerge/>
            <w:shd w:val="clear" w:color="auto" w:fill="99CCFF"/>
            <w:textDirection w:val="btLr"/>
            <w:vAlign w:val="center"/>
            <w:hideMark/>
          </w:tcPr>
          <w:p w14:paraId="0B712FC3" w14:textId="77777777" w:rsidR="002B41C2" w:rsidRPr="001B4CA2" w:rsidRDefault="002B41C2" w:rsidP="002A38E7">
            <w:pPr>
              <w:rPr>
                <w:rFonts w:eastAsia="Times New Roman"/>
                <w:b/>
                <w:bCs/>
                <w:sz w:val="18"/>
                <w:szCs w:val="18"/>
                <w:lang w:eastAsia="hr-HR"/>
              </w:rPr>
            </w:pPr>
          </w:p>
        </w:tc>
        <w:tc>
          <w:tcPr>
            <w:tcW w:w="560" w:type="dxa"/>
            <w:vMerge/>
            <w:shd w:val="clear" w:color="auto" w:fill="99CCFF"/>
            <w:vAlign w:val="center"/>
            <w:hideMark/>
          </w:tcPr>
          <w:p w14:paraId="104211D3" w14:textId="77777777" w:rsidR="002B41C2" w:rsidRPr="001B4CA2" w:rsidRDefault="002B41C2" w:rsidP="002A38E7">
            <w:pPr>
              <w:rPr>
                <w:rFonts w:eastAsia="Times New Roman"/>
                <w:sz w:val="18"/>
                <w:szCs w:val="18"/>
                <w:lang w:eastAsia="hr-HR"/>
              </w:rPr>
            </w:pPr>
          </w:p>
        </w:tc>
        <w:tc>
          <w:tcPr>
            <w:tcW w:w="428" w:type="dxa"/>
            <w:vMerge/>
            <w:shd w:val="clear" w:color="auto" w:fill="99CCFF"/>
            <w:vAlign w:val="center"/>
            <w:hideMark/>
          </w:tcPr>
          <w:p w14:paraId="51B29827" w14:textId="77777777" w:rsidR="002B41C2" w:rsidRPr="001B4CA2" w:rsidRDefault="002B41C2" w:rsidP="002A38E7">
            <w:pPr>
              <w:rPr>
                <w:rFonts w:eastAsia="Times New Roman"/>
                <w:sz w:val="18"/>
                <w:szCs w:val="18"/>
                <w:lang w:eastAsia="hr-HR"/>
              </w:rPr>
            </w:pPr>
          </w:p>
        </w:tc>
        <w:tc>
          <w:tcPr>
            <w:tcW w:w="570" w:type="dxa"/>
            <w:vMerge/>
            <w:shd w:val="clear" w:color="auto" w:fill="99CCFF"/>
            <w:vAlign w:val="center"/>
            <w:hideMark/>
          </w:tcPr>
          <w:p w14:paraId="4B83FB77" w14:textId="77777777" w:rsidR="002B41C2" w:rsidRPr="001B4CA2" w:rsidRDefault="002B41C2" w:rsidP="002A38E7">
            <w:pPr>
              <w:rPr>
                <w:rFonts w:eastAsia="Times New Roman"/>
                <w:sz w:val="18"/>
                <w:szCs w:val="18"/>
                <w:lang w:eastAsia="hr-HR"/>
              </w:rPr>
            </w:pPr>
          </w:p>
        </w:tc>
        <w:tc>
          <w:tcPr>
            <w:tcW w:w="573" w:type="dxa"/>
            <w:vMerge/>
            <w:shd w:val="clear" w:color="auto" w:fill="99CCFF"/>
            <w:vAlign w:val="center"/>
            <w:hideMark/>
          </w:tcPr>
          <w:p w14:paraId="2152E245" w14:textId="77777777" w:rsidR="002B41C2" w:rsidRPr="001B4CA2" w:rsidRDefault="002B41C2" w:rsidP="002A38E7">
            <w:pPr>
              <w:rPr>
                <w:rFonts w:eastAsia="Times New Roman"/>
                <w:b/>
                <w:bCs/>
                <w:sz w:val="18"/>
                <w:szCs w:val="18"/>
                <w:lang w:eastAsia="hr-HR"/>
              </w:rPr>
            </w:pPr>
          </w:p>
        </w:tc>
        <w:tc>
          <w:tcPr>
            <w:tcW w:w="570" w:type="dxa"/>
            <w:vMerge/>
            <w:shd w:val="clear" w:color="auto" w:fill="99CCFF"/>
            <w:vAlign w:val="center"/>
            <w:hideMark/>
          </w:tcPr>
          <w:p w14:paraId="03BF22F9" w14:textId="77777777" w:rsidR="002B41C2" w:rsidRPr="001B4CA2" w:rsidRDefault="002B41C2" w:rsidP="002A38E7">
            <w:pPr>
              <w:rPr>
                <w:rFonts w:eastAsia="Times New Roman"/>
                <w:b/>
                <w:bCs/>
                <w:sz w:val="18"/>
                <w:szCs w:val="18"/>
                <w:lang w:eastAsia="hr-HR"/>
              </w:rPr>
            </w:pPr>
          </w:p>
        </w:tc>
        <w:tc>
          <w:tcPr>
            <w:tcW w:w="711" w:type="dxa"/>
            <w:shd w:val="clear" w:color="auto" w:fill="99CCFF"/>
            <w:textDirection w:val="btLr"/>
            <w:vAlign w:val="center"/>
            <w:hideMark/>
          </w:tcPr>
          <w:p w14:paraId="56AD5CE2" w14:textId="77777777" w:rsidR="002B41C2" w:rsidRPr="001B4CA2" w:rsidRDefault="002B41C2" w:rsidP="002A38E7">
            <w:pPr>
              <w:rPr>
                <w:rFonts w:eastAsia="Times New Roman"/>
                <w:sz w:val="18"/>
                <w:szCs w:val="18"/>
                <w:lang w:eastAsia="hr-HR"/>
              </w:rPr>
            </w:pPr>
            <w:r w:rsidRPr="001B4CA2">
              <w:rPr>
                <w:rFonts w:eastAsia="Times New Roman"/>
                <w:sz w:val="18"/>
                <w:szCs w:val="18"/>
                <w:lang w:eastAsia="hr-HR"/>
              </w:rPr>
              <w:t>Osuđujuća</w:t>
            </w:r>
          </w:p>
        </w:tc>
        <w:tc>
          <w:tcPr>
            <w:tcW w:w="579" w:type="dxa"/>
            <w:shd w:val="clear" w:color="auto" w:fill="99CCFF"/>
            <w:textDirection w:val="btLr"/>
            <w:vAlign w:val="center"/>
            <w:hideMark/>
          </w:tcPr>
          <w:p w14:paraId="53D12D4E" w14:textId="77777777" w:rsidR="002B41C2" w:rsidRPr="001B4CA2" w:rsidRDefault="002B41C2" w:rsidP="002A38E7">
            <w:pPr>
              <w:rPr>
                <w:rFonts w:eastAsia="Times New Roman"/>
                <w:sz w:val="18"/>
                <w:szCs w:val="18"/>
                <w:lang w:eastAsia="hr-HR"/>
              </w:rPr>
            </w:pPr>
            <w:r w:rsidRPr="001B4CA2">
              <w:rPr>
                <w:rFonts w:eastAsia="Times New Roman"/>
                <w:sz w:val="18"/>
                <w:szCs w:val="18"/>
                <w:lang w:eastAsia="hr-HR"/>
              </w:rPr>
              <w:t>Odbijajuća</w:t>
            </w:r>
          </w:p>
        </w:tc>
        <w:tc>
          <w:tcPr>
            <w:tcW w:w="585" w:type="dxa"/>
            <w:shd w:val="clear" w:color="auto" w:fill="99CCFF"/>
            <w:textDirection w:val="btLr"/>
            <w:vAlign w:val="center"/>
            <w:hideMark/>
          </w:tcPr>
          <w:p w14:paraId="1AC3F60F" w14:textId="77777777" w:rsidR="002B41C2" w:rsidRPr="001B4CA2" w:rsidRDefault="002B41C2" w:rsidP="002A38E7">
            <w:pPr>
              <w:rPr>
                <w:rFonts w:eastAsia="Times New Roman"/>
                <w:sz w:val="18"/>
                <w:szCs w:val="18"/>
                <w:lang w:eastAsia="hr-HR"/>
              </w:rPr>
            </w:pPr>
            <w:r w:rsidRPr="001B4CA2">
              <w:rPr>
                <w:rFonts w:eastAsia="Times New Roman"/>
                <w:sz w:val="18"/>
                <w:szCs w:val="18"/>
                <w:lang w:eastAsia="hr-HR"/>
              </w:rPr>
              <w:t>Oslobađajuća</w:t>
            </w:r>
          </w:p>
        </w:tc>
        <w:tc>
          <w:tcPr>
            <w:tcW w:w="579" w:type="dxa"/>
            <w:vMerge/>
            <w:shd w:val="clear" w:color="auto" w:fill="99CCFF"/>
            <w:vAlign w:val="center"/>
            <w:hideMark/>
          </w:tcPr>
          <w:p w14:paraId="6AC3666D" w14:textId="77777777" w:rsidR="002B41C2" w:rsidRPr="001B4CA2" w:rsidRDefault="002B41C2" w:rsidP="002A38E7">
            <w:pPr>
              <w:rPr>
                <w:rFonts w:eastAsia="Times New Roman"/>
                <w:b/>
                <w:bCs/>
                <w:sz w:val="18"/>
                <w:szCs w:val="18"/>
                <w:lang w:eastAsia="hr-HR"/>
              </w:rPr>
            </w:pPr>
          </w:p>
        </w:tc>
        <w:tc>
          <w:tcPr>
            <w:tcW w:w="733" w:type="dxa"/>
            <w:vMerge/>
            <w:shd w:val="clear" w:color="auto" w:fill="99CCFF"/>
            <w:vAlign w:val="center"/>
            <w:hideMark/>
          </w:tcPr>
          <w:p w14:paraId="653D60A7" w14:textId="77777777" w:rsidR="002B41C2" w:rsidRPr="001B4CA2" w:rsidRDefault="002B41C2" w:rsidP="002A38E7">
            <w:pPr>
              <w:rPr>
                <w:rFonts w:eastAsia="Times New Roman"/>
                <w:b/>
                <w:bCs/>
                <w:sz w:val="18"/>
                <w:szCs w:val="18"/>
                <w:lang w:eastAsia="hr-HR"/>
              </w:rPr>
            </w:pPr>
          </w:p>
        </w:tc>
        <w:tc>
          <w:tcPr>
            <w:tcW w:w="636" w:type="dxa"/>
            <w:vMerge/>
            <w:shd w:val="clear" w:color="auto" w:fill="99CCFF"/>
            <w:vAlign w:val="center"/>
            <w:hideMark/>
          </w:tcPr>
          <w:p w14:paraId="7EB1C693" w14:textId="77777777" w:rsidR="002B41C2" w:rsidRPr="001B4CA2" w:rsidRDefault="002B41C2" w:rsidP="002A38E7">
            <w:pPr>
              <w:rPr>
                <w:rFonts w:eastAsia="Times New Roman"/>
                <w:sz w:val="18"/>
                <w:szCs w:val="18"/>
                <w:lang w:eastAsia="hr-HR"/>
              </w:rPr>
            </w:pPr>
          </w:p>
        </w:tc>
        <w:tc>
          <w:tcPr>
            <w:tcW w:w="729" w:type="dxa"/>
            <w:vMerge/>
            <w:shd w:val="clear" w:color="auto" w:fill="99CCFF"/>
            <w:vAlign w:val="center"/>
            <w:hideMark/>
          </w:tcPr>
          <w:p w14:paraId="051BE26D" w14:textId="77777777" w:rsidR="002B41C2" w:rsidRPr="001B4CA2" w:rsidRDefault="002B41C2" w:rsidP="002A38E7">
            <w:pPr>
              <w:rPr>
                <w:rFonts w:eastAsia="Times New Roman"/>
                <w:sz w:val="18"/>
                <w:szCs w:val="18"/>
                <w:lang w:eastAsia="hr-HR"/>
              </w:rPr>
            </w:pPr>
          </w:p>
        </w:tc>
        <w:tc>
          <w:tcPr>
            <w:tcW w:w="729" w:type="dxa"/>
            <w:vMerge/>
            <w:shd w:val="clear" w:color="auto" w:fill="99CCFF"/>
            <w:vAlign w:val="center"/>
            <w:hideMark/>
          </w:tcPr>
          <w:p w14:paraId="19CA2E2A" w14:textId="77777777" w:rsidR="002B41C2" w:rsidRPr="001B4CA2" w:rsidRDefault="002B41C2" w:rsidP="002A38E7">
            <w:pPr>
              <w:rPr>
                <w:rFonts w:eastAsia="Times New Roman"/>
                <w:sz w:val="18"/>
                <w:szCs w:val="18"/>
                <w:lang w:eastAsia="hr-HR"/>
              </w:rPr>
            </w:pPr>
          </w:p>
        </w:tc>
        <w:tc>
          <w:tcPr>
            <w:tcW w:w="741" w:type="dxa"/>
            <w:vMerge/>
            <w:shd w:val="clear" w:color="auto" w:fill="99CCFF"/>
            <w:vAlign w:val="center"/>
            <w:hideMark/>
          </w:tcPr>
          <w:p w14:paraId="7C59CE6E" w14:textId="77777777" w:rsidR="002B41C2" w:rsidRPr="001B4CA2" w:rsidRDefault="002B41C2" w:rsidP="002A38E7">
            <w:pPr>
              <w:rPr>
                <w:rFonts w:eastAsia="Times New Roman"/>
                <w:b/>
                <w:bCs/>
                <w:sz w:val="18"/>
                <w:szCs w:val="18"/>
                <w:lang w:eastAsia="hr-HR"/>
              </w:rPr>
            </w:pPr>
          </w:p>
        </w:tc>
        <w:tc>
          <w:tcPr>
            <w:tcW w:w="719" w:type="dxa"/>
            <w:vMerge/>
            <w:shd w:val="clear" w:color="auto" w:fill="99CCFF"/>
            <w:vAlign w:val="center"/>
            <w:hideMark/>
          </w:tcPr>
          <w:p w14:paraId="1C51559D" w14:textId="77777777" w:rsidR="002B41C2" w:rsidRPr="001B4CA2" w:rsidRDefault="002B41C2" w:rsidP="002A38E7">
            <w:pPr>
              <w:rPr>
                <w:rFonts w:eastAsia="Times New Roman"/>
                <w:sz w:val="18"/>
                <w:szCs w:val="18"/>
                <w:lang w:eastAsia="hr-HR"/>
              </w:rPr>
            </w:pPr>
          </w:p>
        </w:tc>
        <w:tc>
          <w:tcPr>
            <w:tcW w:w="800" w:type="dxa"/>
            <w:shd w:val="clear" w:color="auto" w:fill="99CCFF"/>
            <w:textDirection w:val="btLr"/>
            <w:vAlign w:val="center"/>
            <w:hideMark/>
          </w:tcPr>
          <w:p w14:paraId="774E210D" w14:textId="77777777" w:rsidR="002B41C2" w:rsidRPr="001B4CA2" w:rsidRDefault="002B41C2" w:rsidP="002A38E7">
            <w:pPr>
              <w:rPr>
                <w:rFonts w:eastAsia="Times New Roman"/>
                <w:sz w:val="18"/>
                <w:szCs w:val="18"/>
                <w:lang w:eastAsia="hr-HR"/>
              </w:rPr>
            </w:pPr>
            <w:r w:rsidRPr="001B4CA2">
              <w:rPr>
                <w:rFonts w:eastAsia="Times New Roman"/>
                <w:sz w:val="18"/>
                <w:szCs w:val="18"/>
                <w:lang w:eastAsia="hr-HR"/>
              </w:rPr>
              <w:t>Uvažena</w:t>
            </w:r>
          </w:p>
        </w:tc>
        <w:tc>
          <w:tcPr>
            <w:tcW w:w="780" w:type="dxa"/>
            <w:shd w:val="clear" w:color="auto" w:fill="99CCFF"/>
            <w:textDirection w:val="btLr"/>
            <w:vAlign w:val="center"/>
            <w:hideMark/>
          </w:tcPr>
          <w:p w14:paraId="0B56F8B2" w14:textId="77777777" w:rsidR="002B41C2" w:rsidRPr="001B4CA2" w:rsidRDefault="002B41C2" w:rsidP="002A38E7">
            <w:pPr>
              <w:rPr>
                <w:rFonts w:eastAsia="Times New Roman"/>
                <w:sz w:val="18"/>
                <w:szCs w:val="18"/>
                <w:lang w:eastAsia="hr-HR"/>
              </w:rPr>
            </w:pPr>
            <w:r w:rsidRPr="001B4CA2">
              <w:rPr>
                <w:rFonts w:eastAsia="Times New Roman"/>
                <w:sz w:val="18"/>
                <w:szCs w:val="18"/>
                <w:lang w:eastAsia="hr-HR"/>
              </w:rPr>
              <w:t>Odbijena</w:t>
            </w:r>
          </w:p>
        </w:tc>
      </w:tr>
      <w:tr w:rsidR="002B41C2" w:rsidRPr="001B4CA2" w14:paraId="0CAFC8F6" w14:textId="77777777" w:rsidTr="006C5C07">
        <w:trPr>
          <w:trHeight w:val="348"/>
        </w:trPr>
        <w:tc>
          <w:tcPr>
            <w:tcW w:w="1852" w:type="dxa"/>
            <w:shd w:val="clear" w:color="auto" w:fill="99CCFF"/>
            <w:noWrap/>
            <w:vAlign w:val="center"/>
            <w:hideMark/>
          </w:tcPr>
          <w:p w14:paraId="753A4C29"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1</w:t>
            </w:r>
          </w:p>
        </w:tc>
        <w:tc>
          <w:tcPr>
            <w:tcW w:w="562" w:type="dxa"/>
            <w:shd w:val="clear" w:color="auto" w:fill="99CCFF"/>
            <w:noWrap/>
            <w:vAlign w:val="center"/>
            <w:hideMark/>
          </w:tcPr>
          <w:p w14:paraId="5888BAF4"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2</w:t>
            </w:r>
          </w:p>
        </w:tc>
        <w:tc>
          <w:tcPr>
            <w:tcW w:w="568" w:type="dxa"/>
            <w:shd w:val="clear" w:color="auto" w:fill="99CCFF"/>
            <w:noWrap/>
            <w:vAlign w:val="center"/>
            <w:hideMark/>
          </w:tcPr>
          <w:p w14:paraId="1078F870"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3</w:t>
            </w:r>
          </w:p>
        </w:tc>
        <w:tc>
          <w:tcPr>
            <w:tcW w:w="549" w:type="dxa"/>
            <w:tcBorders>
              <w:right w:val="single" w:sz="4" w:space="0" w:color="auto"/>
            </w:tcBorders>
            <w:shd w:val="clear" w:color="auto" w:fill="99CCFF"/>
            <w:noWrap/>
            <w:vAlign w:val="center"/>
            <w:hideMark/>
          </w:tcPr>
          <w:p w14:paraId="0BDF9358"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4</w:t>
            </w:r>
          </w:p>
        </w:tc>
        <w:tc>
          <w:tcPr>
            <w:tcW w:w="461" w:type="dxa"/>
            <w:tcBorders>
              <w:left w:val="single" w:sz="4" w:space="0" w:color="auto"/>
            </w:tcBorders>
            <w:shd w:val="clear" w:color="auto" w:fill="99CCFF"/>
            <w:vAlign w:val="center"/>
          </w:tcPr>
          <w:p w14:paraId="1B24425B"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5</w:t>
            </w:r>
          </w:p>
        </w:tc>
        <w:tc>
          <w:tcPr>
            <w:tcW w:w="718" w:type="dxa"/>
            <w:shd w:val="clear" w:color="auto" w:fill="99CCFF"/>
            <w:noWrap/>
            <w:vAlign w:val="center"/>
          </w:tcPr>
          <w:p w14:paraId="5912570D"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6</w:t>
            </w:r>
          </w:p>
        </w:tc>
        <w:tc>
          <w:tcPr>
            <w:tcW w:w="560" w:type="dxa"/>
            <w:shd w:val="clear" w:color="auto" w:fill="99CCFF"/>
            <w:noWrap/>
            <w:vAlign w:val="center"/>
          </w:tcPr>
          <w:p w14:paraId="2FA27E31"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7</w:t>
            </w:r>
          </w:p>
        </w:tc>
        <w:tc>
          <w:tcPr>
            <w:tcW w:w="428" w:type="dxa"/>
            <w:shd w:val="clear" w:color="auto" w:fill="99CCFF"/>
            <w:noWrap/>
            <w:vAlign w:val="center"/>
          </w:tcPr>
          <w:p w14:paraId="07CFE9EF"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8</w:t>
            </w:r>
          </w:p>
        </w:tc>
        <w:tc>
          <w:tcPr>
            <w:tcW w:w="570" w:type="dxa"/>
            <w:shd w:val="clear" w:color="auto" w:fill="99CCFF"/>
            <w:noWrap/>
            <w:vAlign w:val="center"/>
          </w:tcPr>
          <w:p w14:paraId="4E4E17EB"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9</w:t>
            </w:r>
          </w:p>
        </w:tc>
        <w:tc>
          <w:tcPr>
            <w:tcW w:w="573" w:type="dxa"/>
            <w:shd w:val="clear" w:color="auto" w:fill="99CCFF"/>
            <w:noWrap/>
            <w:vAlign w:val="center"/>
          </w:tcPr>
          <w:p w14:paraId="24F85EA6"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10</w:t>
            </w:r>
          </w:p>
        </w:tc>
        <w:tc>
          <w:tcPr>
            <w:tcW w:w="570" w:type="dxa"/>
            <w:shd w:val="clear" w:color="auto" w:fill="99CCFF"/>
            <w:noWrap/>
            <w:vAlign w:val="center"/>
          </w:tcPr>
          <w:p w14:paraId="6753DCB2"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11</w:t>
            </w:r>
          </w:p>
        </w:tc>
        <w:tc>
          <w:tcPr>
            <w:tcW w:w="711" w:type="dxa"/>
            <w:shd w:val="clear" w:color="auto" w:fill="99CCFF"/>
            <w:noWrap/>
            <w:vAlign w:val="center"/>
          </w:tcPr>
          <w:p w14:paraId="17468311"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12</w:t>
            </w:r>
          </w:p>
        </w:tc>
        <w:tc>
          <w:tcPr>
            <w:tcW w:w="579" w:type="dxa"/>
            <w:shd w:val="clear" w:color="auto" w:fill="99CCFF"/>
            <w:noWrap/>
            <w:vAlign w:val="center"/>
          </w:tcPr>
          <w:p w14:paraId="071ED3F5"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13</w:t>
            </w:r>
          </w:p>
        </w:tc>
        <w:tc>
          <w:tcPr>
            <w:tcW w:w="585" w:type="dxa"/>
            <w:shd w:val="clear" w:color="auto" w:fill="99CCFF"/>
            <w:noWrap/>
            <w:vAlign w:val="center"/>
          </w:tcPr>
          <w:p w14:paraId="44B61AFF"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14</w:t>
            </w:r>
          </w:p>
        </w:tc>
        <w:tc>
          <w:tcPr>
            <w:tcW w:w="579" w:type="dxa"/>
            <w:shd w:val="clear" w:color="auto" w:fill="99CCFF"/>
            <w:noWrap/>
            <w:vAlign w:val="center"/>
          </w:tcPr>
          <w:p w14:paraId="19367CEF"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15</w:t>
            </w:r>
          </w:p>
        </w:tc>
        <w:tc>
          <w:tcPr>
            <w:tcW w:w="733" w:type="dxa"/>
            <w:shd w:val="clear" w:color="auto" w:fill="99CCFF"/>
            <w:noWrap/>
            <w:vAlign w:val="center"/>
          </w:tcPr>
          <w:p w14:paraId="5A639D90"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16</w:t>
            </w:r>
          </w:p>
        </w:tc>
        <w:tc>
          <w:tcPr>
            <w:tcW w:w="636" w:type="dxa"/>
            <w:shd w:val="clear" w:color="auto" w:fill="99CCFF"/>
            <w:noWrap/>
            <w:vAlign w:val="center"/>
          </w:tcPr>
          <w:p w14:paraId="3AA074C1"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17</w:t>
            </w:r>
          </w:p>
        </w:tc>
        <w:tc>
          <w:tcPr>
            <w:tcW w:w="729" w:type="dxa"/>
            <w:shd w:val="clear" w:color="auto" w:fill="99CCFF"/>
            <w:noWrap/>
            <w:vAlign w:val="center"/>
          </w:tcPr>
          <w:p w14:paraId="38ABE8FB"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18</w:t>
            </w:r>
          </w:p>
        </w:tc>
        <w:tc>
          <w:tcPr>
            <w:tcW w:w="729" w:type="dxa"/>
            <w:shd w:val="clear" w:color="auto" w:fill="99CCFF"/>
            <w:noWrap/>
            <w:vAlign w:val="center"/>
          </w:tcPr>
          <w:p w14:paraId="3615A8FF"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19</w:t>
            </w:r>
          </w:p>
        </w:tc>
        <w:tc>
          <w:tcPr>
            <w:tcW w:w="741" w:type="dxa"/>
            <w:shd w:val="clear" w:color="auto" w:fill="99CCFF"/>
            <w:noWrap/>
            <w:vAlign w:val="center"/>
          </w:tcPr>
          <w:p w14:paraId="780100DF"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20</w:t>
            </w:r>
          </w:p>
        </w:tc>
        <w:tc>
          <w:tcPr>
            <w:tcW w:w="719" w:type="dxa"/>
            <w:shd w:val="clear" w:color="auto" w:fill="99CCFF"/>
            <w:noWrap/>
            <w:vAlign w:val="center"/>
          </w:tcPr>
          <w:p w14:paraId="598B5ABB"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21</w:t>
            </w:r>
          </w:p>
        </w:tc>
        <w:tc>
          <w:tcPr>
            <w:tcW w:w="800" w:type="dxa"/>
            <w:shd w:val="clear" w:color="auto" w:fill="99CCFF"/>
            <w:noWrap/>
            <w:vAlign w:val="center"/>
          </w:tcPr>
          <w:p w14:paraId="52248B2E"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22</w:t>
            </w:r>
          </w:p>
        </w:tc>
        <w:tc>
          <w:tcPr>
            <w:tcW w:w="780" w:type="dxa"/>
            <w:shd w:val="clear" w:color="auto" w:fill="99CCFF"/>
            <w:noWrap/>
            <w:vAlign w:val="center"/>
          </w:tcPr>
          <w:p w14:paraId="5EFC35FB" w14:textId="77777777" w:rsidR="002B41C2" w:rsidRPr="001B4CA2" w:rsidRDefault="002B41C2" w:rsidP="002A38E7">
            <w:pPr>
              <w:jc w:val="center"/>
              <w:rPr>
                <w:rFonts w:eastAsia="Times New Roman"/>
                <w:sz w:val="18"/>
                <w:szCs w:val="18"/>
                <w:lang w:eastAsia="hr-HR"/>
              </w:rPr>
            </w:pPr>
            <w:r w:rsidRPr="001B4CA2">
              <w:rPr>
                <w:rFonts w:eastAsia="Times New Roman"/>
                <w:sz w:val="18"/>
                <w:szCs w:val="18"/>
                <w:lang w:eastAsia="hr-HR"/>
              </w:rPr>
              <w:t>23</w:t>
            </w:r>
          </w:p>
        </w:tc>
      </w:tr>
      <w:tr w:rsidR="002B41C2" w:rsidRPr="001B4CA2" w14:paraId="67BECEFB" w14:textId="77777777" w:rsidTr="006C5C07">
        <w:trPr>
          <w:trHeight w:val="851"/>
        </w:trPr>
        <w:tc>
          <w:tcPr>
            <w:tcW w:w="1852" w:type="dxa"/>
            <w:shd w:val="clear" w:color="auto" w:fill="auto"/>
            <w:vAlign w:val="bottom"/>
            <w:hideMark/>
          </w:tcPr>
          <w:p w14:paraId="4EBD32A0" w14:textId="77777777" w:rsidR="002B41C2" w:rsidRPr="001B4CA2" w:rsidRDefault="002B41C2" w:rsidP="004C3A47">
            <w:pPr>
              <w:jc w:val="left"/>
              <w:rPr>
                <w:rFonts w:eastAsia="Times New Roman"/>
                <w:sz w:val="18"/>
                <w:szCs w:val="18"/>
                <w:lang w:eastAsia="hr-HR"/>
              </w:rPr>
            </w:pPr>
            <w:r w:rsidRPr="001B4CA2">
              <w:rPr>
                <w:rFonts w:eastAsia="Times New Roman"/>
                <w:sz w:val="18"/>
                <w:szCs w:val="18"/>
                <w:lang w:eastAsia="hr-HR"/>
              </w:rPr>
              <w:t>Zakon o ravnopravnosti spolova</w:t>
            </w:r>
          </w:p>
        </w:tc>
        <w:tc>
          <w:tcPr>
            <w:tcW w:w="562" w:type="dxa"/>
            <w:shd w:val="clear" w:color="auto" w:fill="auto"/>
            <w:noWrap/>
            <w:vAlign w:val="center"/>
          </w:tcPr>
          <w:p w14:paraId="4B4BF2E0" w14:textId="77777777" w:rsidR="002B41C2" w:rsidRPr="001B4CA2" w:rsidRDefault="002B41C2" w:rsidP="002A38E7">
            <w:pPr>
              <w:jc w:val="center"/>
              <w:rPr>
                <w:color w:val="000000"/>
                <w:sz w:val="17"/>
                <w:szCs w:val="17"/>
              </w:rPr>
            </w:pPr>
            <w:r w:rsidRPr="001B4CA2">
              <w:rPr>
                <w:color w:val="000000"/>
                <w:sz w:val="17"/>
                <w:szCs w:val="17"/>
              </w:rPr>
              <w:t>83</w:t>
            </w:r>
          </w:p>
        </w:tc>
        <w:tc>
          <w:tcPr>
            <w:tcW w:w="568" w:type="dxa"/>
            <w:shd w:val="clear" w:color="auto" w:fill="auto"/>
            <w:noWrap/>
            <w:vAlign w:val="center"/>
          </w:tcPr>
          <w:p w14:paraId="3BB1518B" w14:textId="77777777" w:rsidR="002B41C2" w:rsidRPr="001B4CA2" w:rsidRDefault="002B41C2" w:rsidP="002A38E7">
            <w:pPr>
              <w:jc w:val="center"/>
              <w:rPr>
                <w:color w:val="000000"/>
                <w:sz w:val="17"/>
                <w:szCs w:val="17"/>
              </w:rPr>
            </w:pPr>
            <w:r w:rsidRPr="001B4CA2">
              <w:rPr>
                <w:color w:val="000000"/>
                <w:sz w:val="17"/>
                <w:szCs w:val="17"/>
              </w:rPr>
              <w:t>115</w:t>
            </w:r>
          </w:p>
        </w:tc>
        <w:tc>
          <w:tcPr>
            <w:tcW w:w="549" w:type="dxa"/>
            <w:tcBorders>
              <w:right w:val="single" w:sz="4" w:space="0" w:color="auto"/>
            </w:tcBorders>
            <w:shd w:val="clear" w:color="auto" w:fill="auto"/>
            <w:noWrap/>
            <w:vAlign w:val="center"/>
          </w:tcPr>
          <w:p w14:paraId="1C9216FE" w14:textId="77777777" w:rsidR="002B41C2" w:rsidRPr="001B4CA2" w:rsidRDefault="002B41C2" w:rsidP="002A38E7">
            <w:pPr>
              <w:jc w:val="center"/>
              <w:rPr>
                <w:color w:val="000000"/>
                <w:sz w:val="17"/>
                <w:szCs w:val="17"/>
              </w:rPr>
            </w:pPr>
            <w:r w:rsidRPr="001B4CA2">
              <w:rPr>
                <w:color w:val="000000"/>
                <w:sz w:val="17"/>
                <w:szCs w:val="17"/>
              </w:rPr>
              <w:t>87</w:t>
            </w:r>
          </w:p>
        </w:tc>
        <w:tc>
          <w:tcPr>
            <w:tcW w:w="461" w:type="dxa"/>
            <w:tcBorders>
              <w:left w:val="single" w:sz="4" w:space="0" w:color="auto"/>
            </w:tcBorders>
            <w:shd w:val="clear" w:color="auto" w:fill="auto"/>
            <w:vAlign w:val="center"/>
          </w:tcPr>
          <w:p w14:paraId="2B88CB6B" w14:textId="77777777" w:rsidR="002B41C2" w:rsidRPr="001B4CA2" w:rsidRDefault="002B41C2" w:rsidP="002A38E7">
            <w:pPr>
              <w:jc w:val="center"/>
              <w:rPr>
                <w:color w:val="000000"/>
                <w:sz w:val="17"/>
                <w:szCs w:val="17"/>
              </w:rPr>
            </w:pPr>
            <w:r w:rsidRPr="001B4CA2">
              <w:rPr>
                <w:color w:val="000000"/>
                <w:sz w:val="17"/>
                <w:szCs w:val="17"/>
              </w:rPr>
              <w:t>7</w:t>
            </w:r>
          </w:p>
        </w:tc>
        <w:tc>
          <w:tcPr>
            <w:tcW w:w="718" w:type="dxa"/>
            <w:shd w:val="clear" w:color="auto" w:fill="auto"/>
            <w:noWrap/>
            <w:vAlign w:val="center"/>
          </w:tcPr>
          <w:p w14:paraId="39F083BD" w14:textId="77777777" w:rsidR="002B41C2" w:rsidRPr="001B4CA2" w:rsidRDefault="002B41C2" w:rsidP="002A38E7">
            <w:pPr>
              <w:jc w:val="center"/>
              <w:rPr>
                <w:b/>
                <w:bCs/>
                <w:color w:val="000000"/>
                <w:sz w:val="17"/>
                <w:szCs w:val="17"/>
              </w:rPr>
            </w:pPr>
            <w:r w:rsidRPr="001B4CA2">
              <w:rPr>
                <w:b/>
                <w:bCs/>
                <w:color w:val="000000"/>
                <w:sz w:val="17"/>
                <w:szCs w:val="17"/>
              </w:rPr>
              <w:t>292</w:t>
            </w:r>
          </w:p>
        </w:tc>
        <w:tc>
          <w:tcPr>
            <w:tcW w:w="560" w:type="dxa"/>
            <w:shd w:val="clear" w:color="auto" w:fill="auto"/>
            <w:noWrap/>
            <w:vAlign w:val="center"/>
          </w:tcPr>
          <w:p w14:paraId="5AFAC885"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130</w:t>
            </w:r>
          </w:p>
        </w:tc>
        <w:tc>
          <w:tcPr>
            <w:tcW w:w="428" w:type="dxa"/>
            <w:shd w:val="clear" w:color="auto" w:fill="auto"/>
            <w:noWrap/>
            <w:vAlign w:val="center"/>
          </w:tcPr>
          <w:p w14:paraId="61EB6E81"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12</w:t>
            </w:r>
          </w:p>
        </w:tc>
        <w:tc>
          <w:tcPr>
            <w:tcW w:w="570" w:type="dxa"/>
            <w:shd w:val="clear" w:color="auto" w:fill="auto"/>
            <w:noWrap/>
            <w:vAlign w:val="center"/>
          </w:tcPr>
          <w:p w14:paraId="1FFB430D"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6</w:t>
            </w:r>
          </w:p>
        </w:tc>
        <w:tc>
          <w:tcPr>
            <w:tcW w:w="573" w:type="dxa"/>
            <w:shd w:val="clear" w:color="auto" w:fill="auto"/>
            <w:noWrap/>
            <w:vAlign w:val="center"/>
          </w:tcPr>
          <w:p w14:paraId="05480AB0"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148</w:t>
            </w:r>
          </w:p>
        </w:tc>
        <w:tc>
          <w:tcPr>
            <w:tcW w:w="570" w:type="dxa"/>
            <w:shd w:val="clear" w:color="auto" w:fill="auto"/>
            <w:noWrap/>
            <w:vAlign w:val="center"/>
          </w:tcPr>
          <w:p w14:paraId="37CEC7EC"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23</w:t>
            </w:r>
          </w:p>
        </w:tc>
        <w:tc>
          <w:tcPr>
            <w:tcW w:w="711" w:type="dxa"/>
            <w:shd w:val="clear" w:color="auto" w:fill="auto"/>
            <w:noWrap/>
            <w:vAlign w:val="center"/>
          </w:tcPr>
          <w:p w14:paraId="12D8753D"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102</w:t>
            </w:r>
          </w:p>
        </w:tc>
        <w:tc>
          <w:tcPr>
            <w:tcW w:w="579" w:type="dxa"/>
            <w:shd w:val="clear" w:color="auto" w:fill="auto"/>
            <w:noWrap/>
            <w:vAlign w:val="center"/>
          </w:tcPr>
          <w:p w14:paraId="15166A19"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w:t>
            </w:r>
          </w:p>
        </w:tc>
        <w:tc>
          <w:tcPr>
            <w:tcW w:w="585" w:type="dxa"/>
            <w:shd w:val="clear" w:color="auto" w:fill="auto"/>
            <w:noWrap/>
            <w:vAlign w:val="center"/>
          </w:tcPr>
          <w:p w14:paraId="17F0F8C2"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12</w:t>
            </w:r>
          </w:p>
        </w:tc>
        <w:tc>
          <w:tcPr>
            <w:tcW w:w="579" w:type="dxa"/>
            <w:shd w:val="clear" w:color="auto" w:fill="auto"/>
            <w:noWrap/>
            <w:vAlign w:val="center"/>
          </w:tcPr>
          <w:p w14:paraId="1283DC62"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115</w:t>
            </w:r>
          </w:p>
        </w:tc>
        <w:tc>
          <w:tcPr>
            <w:tcW w:w="733" w:type="dxa"/>
            <w:shd w:val="clear" w:color="auto" w:fill="auto"/>
            <w:noWrap/>
            <w:vAlign w:val="center"/>
          </w:tcPr>
          <w:p w14:paraId="67AA4E07"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134</w:t>
            </w:r>
          </w:p>
        </w:tc>
        <w:tc>
          <w:tcPr>
            <w:tcW w:w="636" w:type="dxa"/>
            <w:shd w:val="clear" w:color="auto" w:fill="auto"/>
            <w:noWrap/>
            <w:vAlign w:val="center"/>
          </w:tcPr>
          <w:p w14:paraId="0B8045C0"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729" w:type="dxa"/>
            <w:shd w:val="clear" w:color="auto" w:fill="auto"/>
            <w:noWrap/>
            <w:vAlign w:val="center"/>
          </w:tcPr>
          <w:p w14:paraId="53009D1B"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102</w:t>
            </w:r>
          </w:p>
        </w:tc>
        <w:tc>
          <w:tcPr>
            <w:tcW w:w="729" w:type="dxa"/>
            <w:shd w:val="clear" w:color="auto" w:fill="auto"/>
            <w:noWrap/>
            <w:vAlign w:val="center"/>
          </w:tcPr>
          <w:p w14:paraId="59980427"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741" w:type="dxa"/>
            <w:shd w:val="clear" w:color="auto" w:fill="auto"/>
            <w:noWrap/>
            <w:vAlign w:val="center"/>
          </w:tcPr>
          <w:p w14:paraId="37E422DC"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102</w:t>
            </w:r>
          </w:p>
        </w:tc>
        <w:tc>
          <w:tcPr>
            <w:tcW w:w="719" w:type="dxa"/>
            <w:shd w:val="clear" w:color="auto" w:fill="auto"/>
            <w:noWrap/>
            <w:vAlign w:val="center"/>
          </w:tcPr>
          <w:p w14:paraId="461A31D4"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13</w:t>
            </w:r>
          </w:p>
        </w:tc>
        <w:tc>
          <w:tcPr>
            <w:tcW w:w="800" w:type="dxa"/>
            <w:shd w:val="clear" w:color="auto" w:fill="auto"/>
            <w:noWrap/>
            <w:vAlign w:val="center"/>
          </w:tcPr>
          <w:p w14:paraId="75F67F09"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w:t>
            </w:r>
          </w:p>
        </w:tc>
        <w:tc>
          <w:tcPr>
            <w:tcW w:w="780" w:type="dxa"/>
            <w:shd w:val="clear" w:color="auto" w:fill="auto"/>
            <w:noWrap/>
            <w:vAlign w:val="center"/>
          </w:tcPr>
          <w:p w14:paraId="0C746120"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r>
      <w:tr w:rsidR="002B41C2" w:rsidRPr="001B4CA2" w14:paraId="168B5B97" w14:textId="77777777" w:rsidTr="006C5C07">
        <w:trPr>
          <w:trHeight w:val="815"/>
        </w:trPr>
        <w:tc>
          <w:tcPr>
            <w:tcW w:w="1852" w:type="dxa"/>
            <w:shd w:val="clear" w:color="auto" w:fill="auto"/>
            <w:vAlign w:val="bottom"/>
            <w:hideMark/>
          </w:tcPr>
          <w:p w14:paraId="1E176288" w14:textId="77777777" w:rsidR="002B41C2" w:rsidRPr="001B4CA2" w:rsidRDefault="002B41C2" w:rsidP="004C3A47">
            <w:pPr>
              <w:jc w:val="left"/>
              <w:rPr>
                <w:rFonts w:eastAsia="Times New Roman"/>
                <w:sz w:val="18"/>
                <w:szCs w:val="18"/>
                <w:lang w:eastAsia="hr-HR"/>
              </w:rPr>
            </w:pPr>
            <w:r w:rsidRPr="001B4CA2">
              <w:rPr>
                <w:rFonts w:eastAsia="Times New Roman"/>
                <w:sz w:val="18"/>
                <w:szCs w:val="18"/>
                <w:lang w:eastAsia="hr-HR"/>
              </w:rPr>
              <w:t>Zakon o suzbijanju diskriminacije</w:t>
            </w:r>
          </w:p>
        </w:tc>
        <w:tc>
          <w:tcPr>
            <w:tcW w:w="562" w:type="dxa"/>
            <w:shd w:val="clear" w:color="auto" w:fill="auto"/>
            <w:noWrap/>
            <w:vAlign w:val="center"/>
          </w:tcPr>
          <w:p w14:paraId="022BABBD" w14:textId="77777777" w:rsidR="002B41C2" w:rsidRPr="001B4CA2" w:rsidRDefault="002B41C2" w:rsidP="002A38E7">
            <w:pPr>
              <w:jc w:val="center"/>
              <w:rPr>
                <w:color w:val="000000"/>
                <w:sz w:val="17"/>
                <w:szCs w:val="17"/>
              </w:rPr>
            </w:pPr>
            <w:r w:rsidRPr="001B4CA2">
              <w:rPr>
                <w:color w:val="000000"/>
                <w:sz w:val="17"/>
                <w:szCs w:val="17"/>
              </w:rPr>
              <w:t>4</w:t>
            </w:r>
          </w:p>
        </w:tc>
        <w:tc>
          <w:tcPr>
            <w:tcW w:w="568" w:type="dxa"/>
            <w:shd w:val="clear" w:color="auto" w:fill="auto"/>
            <w:noWrap/>
            <w:vAlign w:val="center"/>
          </w:tcPr>
          <w:p w14:paraId="60682B34" w14:textId="77777777" w:rsidR="002B41C2" w:rsidRPr="001B4CA2" w:rsidRDefault="002B41C2" w:rsidP="002A38E7">
            <w:pPr>
              <w:jc w:val="center"/>
              <w:rPr>
                <w:color w:val="000000"/>
                <w:sz w:val="17"/>
                <w:szCs w:val="17"/>
              </w:rPr>
            </w:pPr>
            <w:r w:rsidRPr="001B4CA2">
              <w:rPr>
                <w:color w:val="000000"/>
                <w:sz w:val="17"/>
                <w:szCs w:val="17"/>
              </w:rPr>
              <w:t>5</w:t>
            </w:r>
          </w:p>
        </w:tc>
        <w:tc>
          <w:tcPr>
            <w:tcW w:w="549" w:type="dxa"/>
            <w:tcBorders>
              <w:right w:val="single" w:sz="4" w:space="0" w:color="auto"/>
            </w:tcBorders>
            <w:shd w:val="clear" w:color="auto" w:fill="auto"/>
            <w:noWrap/>
            <w:vAlign w:val="center"/>
          </w:tcPr>
          <w:p w14:paraId="174E56EB" w14:textId="77777777" w:rsidR="002B41C2" w:rsidRPr="001B4CA2" w:rsidRDefault="002B41C2" w:rsidP="002A38E7">
            <w:pPr>
              <w:jc w:val="center"/>
              <w:rPr>
                <w:color w:val="000000"/>
                <w:sz w:val="17"/>
                <w:szCs w:val="17"/>
              </w:rPr>
            </w:pPr>
            <w:r w:rsidRPr="001B4CA2">
              <w:rPr>
                <w:color w:val="000000"/>
                <w:sz w:val="17"/>
                <w:szCs w:val="17"/>
              </w:rPr>
              <w:t>9</w:t>
            </w:r>
          </w:p>
        </w:tc>
        <w:tc>
          <w:tcPr>
            <w:tcW w:w="461" w:type="dxa"/>
            <w:tcBorders>
              <w:left w:val="single" w:sz="4" w:space="0" w:color="auto"/>
            </w:tcBorders>
            <w:shd w:val="clear" w:color="auto" w:fill="auto"/>
            <w:vAlign w:val="center"/>
          </w:tcPr>
          <w:p w14:paraId="33692481" w14:textId="77777777" w:rsidR="002B41C2" w:rsidRPr="001B4CA2" w:rsidRDefault="002B41C2" w:rsidP="002A38E7">
            <w:pPr>
              <w:jc w:val="center"/>
              <w:rPr>
                <w:color w:val="000000"/>
                <w:sz w:val="17"/>
                <w:szCs w:val="17"/>
              </w:rPr>
            </w:pPr>
            <w:r w:rsidRPr="001B4CA2">
              <w:rPr>
                <w:color w:val="000000"/>
                <w:sz w:val="17"/>
                <w:szCs w:val="17"/>
              </w:rPr>
              <w:t>1</w:t>
            </w:r>
          </w:p>
        </w:tc>
        <w:tc>
          <w:tcPr>
            <w:tcW w:w="718" w:type="dxa"/>
            <w:shd w:val="clear" w:color="auto" w:fill="auto"/>
            <w:noWrap/>
            <w:vAlign w:val="center"/>
          </w:tcPr>
          <w:p w14:paraId="63AA2601" w14:textId="77777777" w:rsidR="002B41C2" w:rsidRPr="001B4CA2" w:rsidRDefault="002B41C2" w:rsidP="002A38E7">
            <w:pPr>
              <w:jc w:val="center"/>
              <w:rPr>
                <w:b/>
                <w:bCs/>
                <w:color w:val="000000"/>
                <w:sz w:val="17"/>
                <w:szCs w:val="17"/>
              </w:rPr>
            </w:pPr>
            <w:r w:rsidRPr="001B4CA2">
              <w:rPr>
                <w:b/>
                <w:bCs/>
                <w:color w:val="000000"/>
                <w:sz w:val="17"/>
                <w:szCs w:val="17"/>
              </w:rPr>
              <w:t>19</w:t>
            </w:r>
          </w:p>
        </w:tc>
        <w:tc>
          <w:tcPr>
            <w:tcW w:w="560" w:type="dxa"/>
            <w:shd w:val="clear" w:color="auto" w:fill="auto"/>
            <w:noWrap/>
            <w:vAlign w:val="center"/>
          </w:tcPr>
          <w:p w14:paraId="1180D699"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8</w:t>
            </w:r>
          </w:p>
        </w:tc>
        <w:tc>
          <w:tcPr>
            <w:tcW w:w="428" w:type="dxa"/>
            <w:shd w:val="clear" w:color="auto" w:fill="auto"/>
            <w:noWrap/>
            <w:vAlign w:val="center"/>
          </w:tcPr>
          <w:p w14:paraId="16B56415"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570" w:type="dxa"/>
            <w:shd w:val="clear" w:color="auto" w:fill="auto"/>
            <w:noWrap/>
            <w:vAlign w:val="center"/>
          </w:tcPr>
          <w:p w14:paraId="47CD2B75"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4</w:t>
            </w:r>
          </w:p>
        </w:tc>
        <w:tc>
          <w:tcPr>
            <w:tcW w:w="573" w:type="dxa"/>
            <w:shd w:val="clear" w:color="auto" w:fill="auto"/>
            <w:noWrap/>
            <w:vAlign w:val="center"/>
          </w:tcPr>
          <w:p w14:paraId="2508F954"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12</w:t>
            </w:r>
          </w:p>
        </w:tc>
        <w:tc>
          <w:tcPr>
            <w:tcW w:w="570" w:type="dxa"/>
            <w:shd w:val="clear" w:color="auto" w:fill="auto"/>
            <w:noWrap/>
            <w:vAlign w:val="center"/>
          </w:tcPr>
          <w:p w14:paraId="6451CC7A"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w:t>
            </w:r>
          </w:p>
        </w:tc>
        <w:tc>
          <w:tcPr>
            <w:tcW w:w="711" w:type="dxa"/>
            <w:shd w:val="clear" w:color="auto" w:fill="auto"/>
            <w:noWrap/>
            <w:vAlign w:val="center"/>
          </w:tcPr>
          <w:p w14:paraId="311E50AB"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4</w:t>
            </w:r>
          </w:p>
        </w:tc>
        <w:tc>
          <w:tcPr>
            <w:tcW w:w="579" w:type="dxa"/>
            <w:shd w:val="clear" w:color="auto" w:fill="auto"/>
            <w:noWrap/>
            <w:vAlign w:val="center"/>
          </w:tcPr>
          <w:p w14:paraId="73097C9F"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585" w:type="dxa"/>
            <w:shd w:val="clear" w:color="auto" w:fill="auto"/>
            <w:noWrap/>
            <w:vAlign w:val="center"/>
          </w:tcPr>
          <w:p w14:paraId="4DFECB0F"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4</w:t>
            </w:r>
          </w:p>
        </w:tc>
        <w:tc>
          <w:tcPr>
            <w:tcW w:w="579" w:type="dxa"/>
            <w:shd w:val="clear" w:color="auto" w:fill="auto"/>
            <w:noWrap/>
            <w:vAlign w:val="center"/>
          </w:tcPr>
          <w:p w14:paraId="42C0DC7C"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8</w:t>
            </w:r>
          </w:p>
        </w:tc>
        <w:tc>
          <w:tcPr>
            <w:tcW w:w="733" w:type="dxa"/>
            <w:shd w:val="clear" w:color="auto" w:fill="auto"/>
            <w:noWrap/>
            <w:vAlign w:val="center"/>
          </w:tcPr>
          <w:p w14:paraId="7BD7594F"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5</w:t>
            </w:r>
          </w:p>
        </w:tc>
        <w:tc>
          <w:tcPr>
            <w:tcW w:w="636" w:type="dxa"/>
            <w:shd w:val="clear" w:color="auto" w:fill="auto"/>
            <w:noWrap/>
            <w:vAlign w:val="center"/>
          </w:tcPr>
          <w:p w14:paraId="0F8A2ADB"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729" w:type="dxa"/>
            <w:shd w:val="clear" w:color="auto" w:fill="auto"/>
            <w:noWrap/>
            <w:vAlign w:val="center"/>
          </w:tcPr>
          <w:p w14:paraId="429AD07A"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4</w:t>
            </w:r>
          </w:p>
        </w:tc>
        <w:tc>
          <w:tcPr>
            <w:tcW w:w="729" w:type="dxa"/>
            <w:shd w:val="clear" w:color="auto" w:fill="auto"/>
            <w:noWrap/>
            <w:vAlign w:val="center"/>
          </w:tcPr>
          <w:p w14:paraId="483CA5A5"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741" w:type="dxa"/>
            <w:shd w:val="clear" w:color="auto" w:fill="auto"/>
            <w:noWrap/>
            <w:vAlign w:val="center"/>
          </w:tcPr>
          <w:p w14:paraId="59AB962A"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4</w:t>
            </w:r>
          </w:p>
        </w:tc>
        <w:tc>
          <w:tcPr>
            <w:tcW w:w="719" w:type="dxa"/>
            <w:shd w:val="clear" w:color="auto" w:fill="auto"/>
            <w:noWrap/>
            <w:vAlign w:val="center"/>
          </w:tcPr>
          <w:p w14:paraId="26ACA054"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3</w:t>
            </w:r>
          </w:p>
        </w:tc>
        <w:tc>
          <w:tcPr>
            <w:tcW w:w="800" w:type="dxa"/>
            <w:shd w:val="clear" w:color="auto" w:fill="auto"/>
            <w:noWrap/>
            <w:vAlign w:val="center"/>
          </w:tcPr>
          <w:p w14:paraId="478F6C8A"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780" w:type="dxa"/>
            <w:shd w:val="clear" w:color="auto" w:fill="auto"/>
            <w:noWrap/>
            <w:vAlign w:val="center"/>
          </w:tcPr>
          <w:p w14:paraId="6443C28C"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w:t>
            </w:r>
          </w:p>
        </w:tc>
      </w:tr>
      <w:tr w:rsidR="002B41C2" w:rsidRPr="001B4CA2" w14:paraId="44250704" w14:textId="77777777" w:rsidTr="006C5C07">
        <w:trPr>
          <w:trHeight w:val="781"/>
        </w:trPr>
        <w:tc>
          <w:tcPr>
            <w:tcW w:w="1852" w:type="dxa"/>
            <w:shd w:val="clear" w:color="auto" w:fill="auto"/>
            <w:vAlign w:val="bottom"/>
            <w:hideMark/>
          </w:tcPr>
          <w:p w14:paraId="7B456474" w14:textId="77777777" w:rsidR="002B41C2" w:rsidRPr="001B4CA2" w:rsidRDefault="002B41C2" w:rsidP="004C3A47">
            <w:pPr>
              <w:jc w:val="left"/>
              <w:rPr>
                <w:rFonts w:eastAsia="Times New Roman"/>
                <w:sz w:val="18"/>
                <w:szCs w:val="18"/>
                <w:lang w:eastAsia="hr-HR"/>
              </w:rPr>
            </w:pPr>
            <w:r w:rsidRPr="001B4CA2">
              <w:rPr>
                <w:rFonts w:eastAsia="Times New Roman"/>
                <w:sz w:val="18"/>
                <w:szCs w:val="18"/>
                <w:lang w:eastAsia="hr-HR"/>
              </w:rPr>
              <w:t>Zakon o zaštiti od nasilja u obitelji</w:t>
            </w:r>
          </w:p>
        </w:tc>
        <w:tc>
          <w:tcPr>
            <w:tcW w:w="562" w:type="dxa"/>
            <w:shd w:val="clear" w:color="auto" w:fill="auto"/>
            <w:noWrap/>
            <w:vAlign w:val="center"/>
          </w:tcPr>
          <w:p w14:paraId="302BA39D" w14:textId="77777777" w:rsidR="002B41C2" w:rsidRPr="001B4CA2" w:rsidRDefault="002B41C2" w:rsidP="002A38E7">
            <w:pPr>
              <w:jc w:val="center"/>
              <w:rPr>
                <w:color w:val="000000"/>
                <w:sz w:val="17"/>
                <w:szCs w:val="17"/>
              </w:rPr>
            </w:pPr>
            <w:r w:rsidRPr="001B4CA2">
              <w:rPr>
                <w:color w:val="000000"/>
                <w:sz w:val="17"/>
                <w:szCs w:val="17"/>
              </w:rPr>
              <w:t>14</w:t>
            </w:r>
          </w:p>
        </w:tc>
        <w:tc>
          <w:tcPr>
            <w:tcW w:w="568" w:type="dxa"/>
            <w:shd w:val="clear" w:color="auto" w:fill="auto"/>
            <w:noWrap/>
            <w:vAlign w:val="center"/>
          </w:tcPr>
          <w:p w14:paraId="1530800D" w14:textId="77777777" w:rsidR="002B41C2" w:rsidRPr="001B4CA2" w:rsidRDefault="002B41C2" w:rsidP="002A38E7">
            <w:pPr>
              <w:jc w:val="center"/>
              <w:rPr>
                <w:color w:val="000000"/>
                <w:sz w:val="17"/>
                <w:szCs w:val="17"/>
              </w:rPr>
            </w:pPr>
            <w:r w:rsidRPr="001B4CA2">
              <w:rPr>
                <w:color w:val="000000"/>
                <w:sz w:val="17"/>
                <w:szCs w:val="17"/>
              </w:rPr>
              <w:t>17</w:t>
            </w:r>
          </w:p>
        </w:tc>
        <w:tc>
          <w:tcPr>
            <w:tcW w:w="549" w:type="dxa"/>
            <w:tcBorders>
              <w:right w:val="single" w:sz="4" w:space="0" w:color="auto"/>
            </w:tcBorders>
            <w:shd w:val="clear" w:color="auto" w:fill="auto"/>
            <w:noWrap/>
            <w:vAlign w:val="center"/>
          </w:tcPr>
          <w:p w14:paraId="00AD272D" w14:textId="77777777" w:rsidR="002B41C2" w:rsidRPr="001B4CA2" w:rsidRDefault="002B41C2" w:rsidP="002A38E7">
            <w:pPr>
              <w:jc w:val="center"/>
              <w:rPr>
                <w:color w:val="000000"/>
                <w:sz w:val="17"/>
                <w:szCs w:val="17"/>
              </w:rPr>
            </w:pPr>
            <w:r w:rsidRPr="001B4CA2">
              <w:rPr>
                <w:color w:val="000000"/>
                <w:sz w:val="17"/>
                <w:szCs w:val="17"/>
              </w:rPr>
              <w:t>35</w:t>
            </w:r>
          </w:p>
        </w:tc>
        <w:tc>
          <w:tcPr>
            <w:tcW w:w="461" w:type="dxa"/>
            <w:tcBorders>
              <w:left w:val="single" w:sz="4" w:space="0" w:color="auto"/>
            </w:tcBorders>
            <w:shd w:val="clear" w:color="auto" w:fill="auto"/>
            <w:vAlign w:val="center"/>
          </w:tcPr>
          <w:p w14:paraId="0DC4A285" w14:textId="77777777" w:rsidR="002B41C2" w:rsidRPr="001B4CA2" w:rsidRDefault="002B41C2" w:rsidP="002A38E7">
            <w:pPr>
              <w:jc w:val="center"/>
              <w:rPr>
                <w:color w:val="000000"/>
                <w:sz w:val="17"/>
                <w:szCs w:val="17"/>
              </w:rPr>
            </w:pPr>
            <w:r w:rsidRPr="001B4CA2">
              <w:rPr>
                <w:color w:val="000000"/>
                <w:sz w:val="17"/>
                <w:szCs w:val="17"/>
              </w:rPr>
              <w:t>5</w:t>
            </w:r>
          </w:p>
        </w:tc>
        <w:tc>
          <w:tcPr>
            <w:tcW w:w="718" w:type="dxa"/>
            <w:shd w:val="clear" w:color="auto" w:fill="auto"/>
            <w:noWrap/>
            <w:vAlign w:val="center"/>
          </w:tcPr>
          <w:p w14:paraId="4B9B927F" w14:textId="77777777" w:rsidR="002B41C2" w:rsidRPr="001B4CA2" w:rsidRDefault="002B41C2" w:rsidP="002A38E7">
            <w:pPr>
              <w:jc w:val="center"/>
              <w:rPr>
                <w:b/>
                <w:bCs/>
                <w:color w:val="000000"/>
                <w:sz w:val="17"/>
                <w:szCs w:val="17"/>
              </w:rPr>
            </w:pPr>
            <w:r w:rsidRPr="001B4CA2">
              <w:rPr>
                <w:b/>
                <w:bCs/>
                <w:color w:val="000000"/>
                <w:sz w:val="17"/>
                <w:szCs w:val="17"/>
              </w:rPr>
              <w:t>71</w:t>
            </w:r>
          </w:p>
        </w:tc>
        <w:tc>
          <w:tcPr>
            <w:tcW w:w="560" w:type="dxa"/>
            <w:shd w:val="clear" w:color="auto" w:fill="auto"/>
            <w:noWrap/>
            <w:vAlign w:val="center"/>
          </w:tcPr>
          <w:p w14:paraId="2A4FF0BC"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35</w:t>
            </w:r>
          </w:p>
        </w:tc>
        <w:tc>
          <w:tcPr>
            <w:tcW w:w="428" w:type="dxa"/>
            <w:shd w:val="clear" w:color="auto" w:fill="auto"/>
            <w:noWrap/>
            <w:vAlign w:val="center"/>
          </w:tcPr>
          <w:p w14:paraId="57D32F51"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3</w:t>
            </w:r>
          </w:p>
        </w:tc>
        <w:tc>
          <w:tcPr>
            <w:tcW w:w="570" w:type="dxa"/>
            <w:shd w:val="clear" w:color="auto" w:fill="auto"/>
            <w:noWrap/>
            <w:vAlign w:val="center"/>
          </w:tcPr>
          <w:p w14:paraId="5BCB1A27"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w:t>
            </w:r>
          </w:p>
        </w:tc>
        <w:tc>
          <w:tcPr>
            <w:tcW w:w="573" w:type="dxa"/>
            <w:shd w:val="clear" w:color="auto" w:fill="auto"/>
            <w:noWrap/>
            <w:vAlign w:val="center"/>
          </w:tcPr>
          <w:p w14:paraId="19B7414E"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39</w:t>
            </w:r>
          </w:p>
        </w:tc>
        <w:tc>
          <w:tcPr>
            <w:tcW w:w="570" w:type="dxa"/>
            <w:shd w:val="clear" w:color="auto" w:fill="auto"/>
            <w:noWrap/>
            <w:vAlign w:val="center"/>
          </w:tcPr>
          <w:p w14:paraId="26511FD5"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11</w:t>
            </w:r>
          </w:p>
        </w:tc>
        <w:tc>
          <w:tcPr>
            <w:tcW w:w="711" w:type="dxa"/>
            <w:shd w:val="clear" w:color="auto" w:fill="auto"/>
            <w:noWrap/>
            <w:vAlign w:val="center"/>
          </w:tcPr>
          <w:p w14:paraId="113F07B2"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17</w:t>
            </w:r>
          </w:p>
        </w:tc>
        <w:tc>
          <w:tcPr>
            <w:tcW w:w="579" w:type="dxa"/>
            <w:shd w:val="clear" w:color="auto" w:fill="auto"/>
            <w:noWrap/>
            <w:vAlign w:val="center"/>
          </w:tcPr>
          <w:p w14:paraId="3A16FEEC"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w:t>
            </w:r>
          </w:p>
        </w:tc>
        <w:tc>
          <w:tcPr>
            <w:tcW w:w="585" w:type="dxa"/>
            <w:shd w:val="clear" w:color="auto" w:fill="auto"/>
            <w:noWrap/>
            <w:vAlign w:val="center"/>
          </w:tcPr>
          <w:p w14:paraId="1F3E739C"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5</w:t>
            </w:r>
          </w:p>
        </w:tc>
        <w:tc>
          <w:tcPr>
            <w:tcW w:w="579" w:type="dxa"/>
            <w:shd w:val="clear" w:color="auto" w:fill="auto"/>
            <w:noWrap/>
            <w:vAlign w:val="center"/>
          </w:tcPr>
          <w:p w14:paraId="39E5F346"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24</w:t>
            </w:r>
          </w:p>
        </w:tc>
        <w:tc>
          <w:tcPr>
            <w:tcW w:w="733" w:type="dxa"/>
            <w:shd w:val="clear" w:color="auto" w:fill="auto"/>
            <w:noWrap/>
            <w:vAlign w:val="center"/>
          </w:tcPr>
          <w:p w14:paraId="45B2A8D5"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33</w:t>
            </w:r>
          </w:p>
        </w:tc>
        <w:tc>
          <w:tcPr>
            <w:tcW w:w="636" w:type="dxa"/>
            <w:shd w:val="clear" w:color="auto" w:fill="auto"/>
            <w:noWrap/>
            <w:vAlign w:val="center"/>
          </w:tcPr>
          <w:p w14:paraId="7203DC80"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729" w:type="dxa"/>
            <w:shd w:val="clear" w:color="auto" w:fill="auto"/>
            <w:noWrap/>
            <w:vAlign w:val="center"/>
          </w:tcPr>
          <w:p w14:paraId="192F14A3"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10</w:t>
            </w:r>
          </w:p>
        </w:tc>
        <w:tc>
          <w:tcPr>
            <w:tcW w:w="729" w:type="dxa"/>
            <w:shd w:val="clear" w:color="auto" w:fill="auto"/>
            <w:noWrap/>
            <w:vAlign w:val="center"/>
          </w:tcPr>
          <w:p w14:paraId="3E3767B0"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7</w:t>
            </w:r>
          </w:p>
        </w:tc>
        <w:tc>
          <w:tcPr>
            <w:tcW w:w="741" w:type="dxa"/>
            <w:shd w:val="clear" w:color="auto" w:fill="auto"/>
            <w:noWrap/>
            <w:vAlign w:val="center"/>
          </w:tcPr>
          <w:p w14:paraId="6E91A6CC"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17</w:t>
            </w:r>
          </w:p>
        </w:tc>
        <w:tc>
          <w:tcPr>
            <w:tcW w:w="719" w:type="dxa"/>
            <w:shd w:val="clear" w:color="auto" w:fill="auto"/>
            <w:noWrap/>
            <w:vAlign w:val="center"/>
          </w:tcPr>
          <w:p w14:paraId="64B8D479"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6</w:t>
            </w:r>
          </w:p>
        </w:tc>
        <w:tc>
          <w:tcPr>
            <w:tcW w:w="800" w:type="dxa"/>
            <w:shd w:val="clear" w:color="auto" w:fill="auto"/>
            <w:noWrap/>
            <w:vAlign w:val="center"/>
          </w:tcPr>
          <w:p w14:paraId="21BC033F"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3</w:t>
            </w:r>
          </w:p>
        </w:tc>
        <w:tc>
          <w:tcPr>
            <w:tcW w:w="780" w:type="dxa"/>
            <w:shd w:val="clear" w:color="auto" w:fill="auto"/>
            <w:noWrap/>
            <w:vAlign w:val="center"/>
          </w:tcPr>
          <w:p w14:paraId="44D540D5"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r>
      <w:tr w:rsidR="002B41C2" w:rsidRPr="001B4CA2" w14:paraId="061131E0" w14:textId="77777777" w:rsidTr="006C5C07">
        <w:trPr>
          <w:trHeight w:val="675"/>
        </w:trPr>
        <w:tc>
          <w:tcPr>
            <w:tcW w:w="1852" w:type="dxa"/>
            <w:shd w:val="clear" w:color="auto" w:fill="auto"/>
            <w:vAlign w:val="bottom"/>
            <w:hideMark/>
          </w:tcPr>
          <w:p w14:paraId="5B8B03E9" w14:textId="77777777" w:rsidR="002B41C2" w:rsidRPr="001B4CA2" w:rsidRDefault="002B41C2" w:rsidP="004C3A47">
            <w:pPr>
              <w:jc w:val="left"/>
              <w:rPr>
                <w:rFonts w:eastAsia="Times New Roman"/>
                <w:sz w:val="18"/>
                <w:szCs w:val="18"/>
                <w:lang w:eastAsia="hr-HR"/>
              </w:rPr>
            </w:pPr>
            <w:r w:rsidRPr="001B4CA2">
              <w:rPr>
                <w:rFonts w:eastAsia="Times New Roman"/>
                <w:sz w:val="18"/>
                <w:szCs w:val="18"/>
                <w:lang w:eastAsia="hr-HR"/>
              </w:rPr>
              <w:t>Zakon o suzbijanju zlouporabe droga</w:t>
            </w:r>
          </w:p>
        </w:tc>
        <w:tc>
          <w:tcPr>
            <w:tcW w:w="562" w:type="dxa"/>
            <w:shd w:val="clear" w:color="auto" w:fill="auto"/>
            <w:noWrap/>
            <w:vAlign w:val="center"/>
          </w:tcPr>
          <w:p w14:paraId="7F21EB37" w14:textId="77777777" w:rsidR="002B41C2" w:rsidRPr="001B4CA2" w:rsidRDefault="002B41C2" w:rsidP="002A38E7">
            <w:pPr>
              <w:jc w:val="center"/>
              <w:rPr>
                <w:color w:val="000000"/>
                <w:sz w:val="17"/>
                <w:szCs w:val="17"/>
              </w:rPr>
            </w:pPr>
            <w:r w:rsidRPr="001B4CA2">
              <w:rPr>
                <w:color w:val="000000"/>
                <w:sz w:val="17"/>
                <w:szCs w:val="17"/>
              </w:rPr>
              <w:t>11</w:t>
            </w:r>
          </w:p>
        </w:tc>
        <w:tc>
          <w:tcPr>
            <w:tcW w:w="568" w:type="dxa"/>
            <w:shd w:val="clear" w:color="auto" w:fill="auto"/>
            <w:noWrap/>
            <w:vAlign w:val="center"/>
          </w:tcPr>
          <w:p w14:paraId="53499A8F" w14:textId="77777777" w:rsidR="002B41C2" w:rsidRPr="001B4CA2" w:rsidRDefault="002B41C2" w:rsidP="002A38E7">
            <w:pPr>
              <w:jc w:val="center"/>
              <w:rPr>
                <w:color w:val="000000"/>
                <w:sz w:val="17"/>
                <w:szCs w:val="17"/>
              </w:rPr>
            </w:pPr>
            <w:r w:rsidRPr="001B4CA2">
              <w:rPr>
                <w:color w:val="000000"/>
                <w:sz w:val="17"/>
                <w:szCs w:val="17"/>
              </w:rPr>
              <w:t>37</w:t>
            </w:r>
          </w:p>
        </w:tc>
        <w:tc>
          <w:tcPr>
            <w:tcW w:w="549" w:type="dxa"/>
            <w:tcBorders>
              <w:right w:val="single" w:sz="4" w:space="0" w:color="auto"/>
            </w:tcBorders>
            <w:shd w:val="clear" w:color="auto" w:fill="auto"/>
            <w:noWrap/>
            <w:vAlign w:val="center"/>
          </w:tcPr>
          <w:p w14:paraId="49BB4A46" w14:textId="77777777" w:rsidR="002B41C2" w:rsidRPr="001B4CA2" w:rsidRDefault="002B41C2" w:rsidP="002A38E7">
            <w:pPr>
              <w:jc w:val="center"/>
              <w:rPr>
                <w:color w:val="000000"/>
                <w:sz w:val="17"/>
                <w:szCs w:val="17"/>
              </w:rPr>
            </w:pPr>
            <w:r w:rsidRPr="001B4CA2">
              <w:rPr>
                <w:color w:val="000000"/>
                <w:sz w:val="17"/>
                <w:szCs w:val="17"/>
              </w:rPr>
              <w:t>30</w:t>
            </w:r>
          </w:p>
        </w:tc>
        <w:tc>
          <w:tcPr>
            <w:tcW w:w="461" w:type="dxa"/>
            <w:tcBorders>
              <w:left w:val="single" w:sz="4" w:space="0" w:color="auto"/>
            </w:tcBorders>
            <w:shd w:val="clear" w:color="auto" w:fill="auto"/>
            <w:vAlign w:val="center"/>
          </w:tcPr>
          <w:p w14:paraId="311D2F9B" w14:textId="77777777" w:rsidR="002B41C2" w:rsidRPr="001B4CA2" w:rsidRDefault="002B41C2" w:rsidP="002A38E7">
            <w:pPr>
              <w:jc w:val="center"/>
              <w:rPr>
                <w:color w:val="000000"/>
                <w:sz w:val="17"/>
                <w:szCs w:val="17"/>
              </w:rPr>
            </w:pPr>
            <w:r w:rsidRPr="001B4CA2">
              <w:rPr>
                <w:color w:val="000000"/>
                <w:sz w:val="17"/>
                <w:szCs w:val="17"/>
              </w:rPr>
              <w:t>0</w:t>
            </w:r>
          </w:p>
        </w:tc>
        <w:tc>
          <w:tcPr>
            <w:tcW w:w="718" w:type="dxa"/>
            <w:shd w:val="clear" w:color="auto" w:fill="auto"/>
            <w:noWrap/>
            <w:vAlign w:val="center"/>
          </w:tcPr>
          <w:p w14:paraId="47B80E6C" w14:textId="77777777" w:rsidR="002B41C2" w:rsidRPr="001B4CA2" w:rsidRDefault="002B41C2" w:rsidP="002A38E7">
            <w:pPr>
              <w:jc w:val="center"/>
              <w:rPr>
                <w:b/>
                <w:bCs/>
                <w:color w:val="000000"/>
                <w:sz w:val="17"/>
                <w:szCs w:val="17"/>
              </w:rPr>
            </w:pPr>
            <w:r w:rsidRPr="001B4CA2">
              <w:rPr>
                <w:b/>
                <w:bCs/>
                <w:color w:val="000000"/>
                <w:sz w:val="17"/>
                <w:szCs w:val="17"/>
              </w:rPr>
              <w:t>78</w:t>
            </w:r>
          </w:p>
        </w:tc>
        <w:tc>
          <w:tcPr>
            <w:tcW w:w="560" w:type="dxa"/>
            <w:shd w:val="clear" w:color="auto" w:fill="auto"/>
            <w:noWrap/>
            <w:vAlign w:val="center"/>
          </w:tcPr>
          <w:p w14:paraId="7B0E1927"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29</w:t>
            </w:r>
          </w:p>
        </w:tc>
        <w:tc>
          <w:tcPr>
            <w:tcW w:w="428" w:type="dxa"/>
            <w:shd w:val="clear" w:color="auto" w:fill="auto"/>
            <w:noWrap/>
            <w:vAlign w:val="center"/>
          </w:tcPr>
          <w:p w14:paraId="66E7D7CA"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w:t>
            </w:r>
          </w:p>
        </w:tc>
        <w:tc>
          <w:tcPr>
            <w:tcW w:w="570" w:type="dxa"/>
            <w:shd w:val="clear" w:color="auto" w:fill="auto"/>
            <w:noWrap/>
            <w:vAlign w:val="center"/>
          </w:tcPr>
          <w:p w14:paraId="674E4C81"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w:t>
            </w:r>
          </w:p>
        </w:tc>
        <w:tc>
          <w:tcPr>
            <w:tcW w:w="573" w:type="dxa"/>
            <w:shd w:val="clear" w:color="auto" w:fill="auto"/>
            <w:noWrap/>
            <w:vAlign w:val="center"/>
          </w:tcPr>
          <w:p w14:paraId="41D9CED3"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31</w:t>
            </w:r>
          </w:p>
        </w:tc>
        <w:tc>
          <w:tcPr>
            <w:tcW w:w="570" w:type="dxa"/>
            <w:shd w:val="clear" w:color="auto" w:fill="auto"/>
            <w:noWrap/>
            <w:vAlign w:val="center"/>
          </w:tcPr>
          <w:p w14:paraId="5BE045F3"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17</w:t>
            </w:r>
          </w:p>
        </w:tc>
        <w:tc>
          <w:tcPr>
            <w:tcW w:w="711" w:type="dxa"/>
            <w:shd w:val="clear" w:color="auto" w:fill="auto"/>
            <w:noWrap/>
            <w:vAlign w:val="center"/>
          </w:tcPr>
          <w:p w14:paraId="45E85830"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28</w:t>
            </w:r>
          </w:p>
        </w:tc>
        <w:tc>
          <w:tcPr>
            <w:tcW w:w="579" w:type="dxa"/>
            <w:shd w:val="clear" w:color="auto" w:fill="auto"/>
            <w:noWrap/>
            <w:vAlign w:val="center"/>
          </w:tcPr>
          <w:p w14:paraId="7D8C0C44"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585" w:type="dxa"/>
            <w:shd w:val="clear" w:color="auto" w:fill="auto"/>
            <w:noWrap/>
            <w:vAlign w:val="center"/>
          </w:tcPr>
          <w:p w14:paraId="00BF7CF3"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579" w:type="dxa"/>
            <w:shd w:val="clear" w:color="auto" w:fill="auto"/>
            <w:noWrap/>
            <w:vAlign w:val="center"/>
          </w:tcPr>
          <w:p w14:paraId="4D292DA6"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28</w:t>
            </w:r>
          </w:p>
        </w:tc>
        <w:tc>
          <w:tcPr>
            <w:tcW w:w="733" w:type="dxa"/>
            <w:shd w:val="clear" w:color="auto" w:fill="auto"/>
            <w:noWrap/>
            <w:vAlign w:val="center"/>
          </w:tcPr>
          <w:p w14:paraId="3FC91C10"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38</w:t>
            </w:r>
          </w:p>
        </w:tc>
        <w:tc>
          <w:tcPr>
            <w:tcW w:w="636" w:type="dxa"/>
            <w:shd w:val="clear" w:color="auto" w:fill="auto"/>
            <w:noWrap/>
            <w:vAlign w:val="center"/>
          </w:tcPr>
          <w:p w14:paraId="21466031"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729" w:type="dxa"/>
            <w:shd w:val="clear" w:color="auto" w:fill="auto"/>
            <w:noWrap/>
            <w:vAlign w:val="center"/>
          </w:tcPr>
          <w:p w14:paraId="23E4EB21"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25</w:t>
            </w:r>
          </w:p>
        </w:tc>
        <w:tc>
          <w:tcPr>
            <w:tcW w:w="729" w:type="dxa"/>
            <w:shd w:val="clear" w:color="auto" w:fill="auto"/>
            <w:noWrap/>
            <w:vAlign w:val="center"/>
          </w:tcPr>
          <w:p w14:paraId="201D14BA"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3</w:t>
            </w:r>
          </w:p>
        </w:tc>
        <w:tc>
          <w:tcPr>
            <w:tcW w:w="741" w:type="dxa"/>
            <w:shd w:val="clear" w:color="auto" w:fill="auto"/>
            <w:noWrap/>
            <w:vAlign w:val="center"/>
          </w:tcPr>
          <w:p w14:paraId="16B0DED7"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28</w:t>
            </w:r>
          </w:p>
        </w:tc>
        <w:tc>
          <w:tcPr>
            <w:tcW w:w="719" w:type="dxa"/>
            <w:shd w:val="clear" w:color="auto" w:fill="auto"/>
            <w:noWrap/>
            <w:vAlign w:val="center"/>
          </w:tcPr>
          <w:p w14:paraId="1A61AB95"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w:t>
            </w:r>
          </w:p>
        </w:tc>
        <w:tc>
          <w:tcPr>
            <w:tcW w:w="800" w:type="dxa"/>
            <w:shd w:val="clear" w:color="auto" w:fill="auto"/>
            <w:noWrap/>
            <w:vAlign w:val="center"/>
          </w:tcPr>
          <w:p w14:paraId="300045ED"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780" w:type="dxa"/>
            <w:shd w:val="clear" w:color="auto" w:fill="auto"/>
            <w:noWrap/>
            <w:vAlign w:val="center"/>
          </w:tcPr>
          <w:p w14:paraId="158763ED"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r>
      <w:tr w:rsidR="002B41C2" w:rsidRPr="001B4CA2" w14:paraId="02CF641D" w14:textId="77777777" w:rsidTr="006C5C07">
        <w:trPr>
          <w:trHeight w:val="637"/>
        </w:trPr>
        <w:tc>
          <w:tcPr>
            <w:tcW w:w="1852" w:type="dxa"/>
            <w:shd w:val="clear" w:color="auto" w:fill="auto"/>
            <w:vAlign w:val="bottom"/>
            <w:hideMark/>
          </w:tcPr>
          <w:p w14:paraId="5CB30962" w14:textId="77777777" w:rsidR="002B41C2" w:rsidRPr="001B4CA2" w:rsidRDefault="002B41C2" w:rsidP="004C3A47">
            <w:pPr>
              <w:jc w:val="left"/>
              <w:rPr>
                <w:rFonts w:eastAsia="Times New Roman"/>
                <w:sz w:val="18"/>
                <w:szCs w:val="18"/>
                <w:lang w:eastAsia="hr-HR"/>
              </w:rPr>
            </w:pPr>
            <w:r w:rsidRPr="001B4CA2">
              <w:rPr>
                <w:rFonts w:eastAsia="Times New Roman"/>
                <w:sz w:val="18"/>
                <w:szCs w:val="18"/>
                <w:lang w:eastAsia="hr-HR"/>
              </w:rPr>
              <w:t>Zakon o financiranju političkih stranaka</w:t>
            </w:r>
          </w:p>
        </w:tc>
        <w:tc>
          <w:tcPr>
            <w:tcW w:w="562" w:type="dxa"/>
            <w:shd w:val="clear" w:color="auto" w:fill="auto"/>
            <w:noWrap/>
            <w:vAlign w:val="center"/>
          </w:tcPr>
          <w:p w14:paraId="5B7BD87B" w14:textId="77777777" w:rsidR="002B41C2" w:rsidRPr="001B4CA2" w:rsidRDefault="002B41C2" w:rsidP="002A38E7">
            <w:pPr>
              <w:jc w:val="center"/>
              <w:rPr>
                <w:color w:val="000000"/>
                <w:sz w:val="17"/>
                <w:szCs w:val="17"/>
              </w:rPr>
            </w:pPr>
            <w:r w:rsidRPr="001B4CA2">
              <w:rPr>
                <w:color w:val="000000"/>
                <w:sz w:val="17"/>
                <w:szCs w:val="17"/>
              </w:rPr>
              <w:t>214</w:t>
            </w:r>
          </w:p>
        </w:tc>
        <w:tc>
          <w:tcPr>
            <w:tcW w:w="568" w:type="dxa"/>
            <w:shd w:val="clear" w:color="auto" w:fill="auto"/>
            <w:noWrap/>
            <w:vAlign w:val="center"/>
          </w:tcPr>
          <w:p w14:paraId="392CC565" w14:textId="77777777" w:rsidR="002B41C2" w:rsidRPr="001B4CA2" w:rsidRDefault="002B41C2" w:rsidP="002A38E7">
            <w:pPr>
              <w:jc w:val="center"/>
              <w:rPr>
                <w:color w:val="000000"/>
                <w:sz w:val="17"/>
                <w:szCs w:val="17"/>
              </w:rPr>
            </w:pPr>
            <w:r w:rsidRPr="001B4CA2">
              <w:rPr>
                <w:color w:val="000000"/>
                <w:sz w:val="17"/>
                <w:szCs w:val="17"/>
              </w:rPr>
              <w:t>176</w:t>
            </w:r>
          </w:p>
        </w:tc>
        <w:tc>
          <w:tcPr>
            <w:tcW w:w="549" w:type="dxa"/>
            <w:tcBorders>
              <w:right w:val="single" w:sz="4" w:space="0" w:color="auto"/>
            </w:tcBorders>
            <w:shd w:val="clear" w:color="auto" w:fill="auto"/>
            <w:noWrap/>
            <w:vAlign w:val="center"/>
          </w:tcPr>
          <w:p w14:paraId="059D7DF3" w14:textId="77777777" w:rsidR="002B41C2" w:rsidRPr="001B4CA2" w:rsidRDefault="002B41C2" w:rsidP="002A38E7">
            <w:pPr>
              <w:jc w:val="center"/>
              <w:rPr>
                <w:color w:val="000000"/>
                <w:sz w:val="17"/>
                <w:szCs w:val="17"/>
              </w:rPr>
            </w:pPr>
            <w:r w:rsidRPr="001B4CA2">
              <w:rPr>
                <w:color w:val="000000"/>
                <w:sz w:val="17"/>
                <w:szCs w:val="17"/>
              </w:rPr>
              <w:t>313</w:t>
            </w:r>
          </w:p>
        </w:tc>
        <w:tc>
          <w:tcPr>
            <w:tcW w:w="461" w:type="dxa"/>
            <w:tcBorders>
              <w:left w:val="single" w:sz="4" w:space="0" w:color="auto"/>
            </w:tcBorders>
            <w:shd w:val="clear" w:color="auto" w:fill="auto"/>
            <w:vAlign w:val="center"/>
          </w:tcPr>
          <w:p w14:paraId="05F586FB" w14:textId="77777777" w:rsidR="002B41C2" w:rsidRPr="001B4CA2" w:rsidRDefault="002B41C2" w:rsidP="002A38E7">
            <w:pPr>
              <w:jc w:val="center"/>
              <w:rPr>
                <w:color w:val="000000"/>
                <w:sz w:val="17"/>
                <w:szCs w:val="17"/>
              </w:rPr>
            </w:pPr>
            <w:r w:rsidRPr="001B4CA2">
              <w:rPr>
                <w:color w:val="000000"/>
                <w:sz w:val="17"/>
                <w:szCs w:val="17"/>
              </w:rPr>
              <w:t>4</w:t>
            </w:r>
          </w:p>
        </w:tc>
        <w:tc>
          <w:tcPr>
            <w:tcW w:w="718" w:type="dxa"/>
            <w:shd w:val="clear" w:color="auto" w:fill="auto"/>
            <w:noWrap/>
            <w:vAlign w:val="center"/>
          </w:tcPr>
          <w:p w14:paraId="37480B66" w14:textId="77777777" w:rsidR="002B41C2" w:rsidRPr="001B4CA2" w:rsidRDefault="002B41C2" w:rsidP="002A38E7">
            <w:pPr>
              <w:jc w:val="center"/>
              <w:rPr>
                <w:b/>
                <w:bCs/>
                <w:color w:val="000000"/>
                <w:sz w:val="17"/>
                <w:szCs w:val="17"/>
              </w:rPr>
            </w:pPr>
            <w:r w:rsidRPr="001B4CA2">
              <w:rPr>
                <w:b/>
                <w:bCs/>
                <w:color w:val="000000"/>
                <w:sz w:val="17"/>
                <w:szCs w:val="17"/>
              </w:rPr>
              <w:t>707</w:t>
            </w:r>
          </w:p>
        </w:tc>
        <w:tc>
          <w:tcPr>
            <w:tcW w:w="560" w:type="dxa"/>
            <w:shd w:val="clear" w:color="auto" w:fill="auto"/>
            <w:noWrap/>
            <w:vAlign w:val="center"/>
          </w:tcPr>
          <w:p w14:paraId="61EA1514"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281</w:t>
            </w:r>
          </w:p>
        </w:tc>
        <w:tc>
          <w:tcPr>
            <w:tcW w:w="428" w:type="dxa"/>
            <w:shd w:val="clear" w:color="auto" w:fill="auto"/>
            <w:noWrap/>
            <w:vAlign w:val="center"/>
          </w:tcPr>
          <w:p w14:paraId="6C3795FA"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33</w:t>
            </w:r>
          </w:p>
        </w:tc>
        <w:tc>
          <w:tcPr>
            <w:tcW w:w="570" w:type="dxa"/>
            <w:shd w:val="clear" w:color="auto" w:fill="auto"/>
            <w:noWrap/>
            <w:vAlign w:val="center"/>
          </w:tcPr>
          <w:p w14:paraId="2B817F5F"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99</w:t>
            </w:r>
          </w:p>
        </w:tc>
        <w:tc>
          <w:tcPr>
            <w:tcW w:w="573" w:type="dxa"/>
            <w:shd w:val="clear" w:color="auto" w:fill="auto"/>
            <w:noWrap/>
            <w:vAlign w:val="center"/>
          </w:tcPr>
          <w:p w14:paraId="22003A8D"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413</w:t>
            </w:r>
          </w:p>
        </w:tc>
        <w:tc>
          <w:tcPr>
            <w:tcW w:w="570" w:type="dxa"/>
            <w:shd w:val="clear" w:color="auto" w:fill="auto"/>
            <w:noWrap/>
            <w:vAlign w:val="center"/>
          </w:tcPr>
          <w:p w14:paraId="7DD3014B"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118</w:t>
            </w:r>
          </w:p>
        </w:tc>
        <w:tc>
          <w:tcPr>
            <w:tcW w:w="711" w:type="dxa"/>
            <w:shd w:val="clear" w:color="auto" w:fill="auto"/>
            <w:noWrap/>
            <w:vAlign w:val="center"/>
          </w:tcPr>
          <w:p w14:paraId="22E5A4CA"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228</w:t>
            </w:r>
          </w:p>
        </w:tc>
        <w:tc>
          <w:tcPr>
            <w:tcW w:w="579" w:type="dxa"/>
            <w:shd w:val="clear" w:color="auto" w:fill="auto"/>
            <w:noWrap/>
            <w:vAlign w:val="center"/>
          </w:tcPr>
          <w:p w14:paraId="5EEFADAD"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6</w:t>
            </w:r>
          </w:p>
        </w:tc>
        <w:tc>
          <w:tcPr>
            <w:tcW w:w="585" w:type="dxa"/>
            <w:shd w:val="clear" w:color="auto" w:fill="auto"/>
            <w:noWrap/>
            <w:vAlign w:val="center"/>
          </w:tcPr>
          <w:p w14:paraId="2BE6ACF3"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11</w:t>
            </w:r>
          </w:p>
        </w:tc>
        <w:tc>
          <w:tcPr>
            <w:tcW w:w="579" w:type="dxa"/>
            <w:shd w:val="clear" w:color="auto" w:fill="auto"/>
            <w:noWrap/>
            <w:vAlign w:val="center"/>
          </w:tcPr>
          <w:p w14:paraId="4B85BDB8"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245</w:t>
            </w:r>
          </w:p>
        </w:tc>
        <w:tc>
          <w:tcPr>
            <w:tcW w:w="733" w:type="dxa"/>
            <w:shd w:val="clear" w:color="auto" w:fill="auto"/>
            <w:noWrap/>
            <w:vAlign w:val="center"/>
          </w:tcPr>
          <w:p w14:paraId="64CC14B5"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212</w:t>
            </w:r>
          </w:p>
        </w:tc>
        <w:tc>
          <w:tcPr>
            <w:tcW w:w="636" w:type="dxa"/>
            <w:shd w:val="clear" w:color="auto" w:fill="auto"/>
            <w:noWrap/>
            <w:vAlign w:val="center"/>
          </w:tcPr>
          <w:p w14:paraId="04434DEE"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729" w:type="dxa"/>
            <w:shd w:val="clear" w:color="auto" w:fill="auto"/>
            <w:noWrap/>
            <w:vAlign w:val="center"/>
          </w:tcPr>
          <w:p w14:paraId="251165B3"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208</w:t>
            </w:r>
          </w:p>
        </w:tc>
        <w:tc>
          <w:tcPr>
            <w:tcW w:w="729" w:type="dxa"/>
            <w:shd w:val="clear" w:color="auto" w:fill="auto"/>
            <w:noWrap/>
            <w:vAlign w:val="center"/>
          </w:tcPr>
          <w:p w14:paraId="27774D62"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20</w:t>
            </w:r>
          </w:p>
        </w:tc>
        <w:tc>
          <w:tcPr>
            <w:tcW w:w="741" w:type="dxa"/>
            <w:shd w:val="clear" w:color="auto" w:fill="auto"/>
            <w:noWrap/>
            <w:vAlign w:val="center"/>
          </w:tcPr>
          <w:p w14:paraId="26E07BC6"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228</w:t>
            </w:r>
          </w:p>
        </w:tc>
        <w:tc>
          <w:tcPr>
            <w:tcW w:w="719" w:type="dxa"/>
            <w:shd w:val="clear" w:color="auto" w:fill="auto"/>
            <w:noWrap/>
            <w:vAlign w:val="center"/>
          </w:tcPr>
          <w:p w14:paraId="0CF9263C"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14</w:t>
            </w:r>
          </w:p>
        </w:tc>
        <w:tc>
          <w:tcPr>
            <w:tcW w:w="800" w:type="dxa"/>
            <w:shd w:val="clear" w:color="auto" w:fill="auto"/>
            <w:noWrap/>
            <w:vAlign w:val="center"/>
          </w:tcPr>
          <w:p w14:paraId="4D3C9454"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4</w:t>
            </w:r>
          </w:p>
        </w:tc>
        <w:tc>
          <w:tcPr>
            <w:tcW w:w="780" w:type="dxa"/>
            <w:shd w:val="clear" w:color="auto" w:fill="auto"/>
            <w:noWrap/>
            <w:vAlign w:val="center"/>
          </w:tcPr>
          <w:p w14:paraId="28132DC3"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w:t>
            </w:r>
          </w:p>
        </w:tc>
      </w:tr>
      <w:tr w:rsidR="002B41C2" w:rsidRPr="001B4CA2" w14:paraId="7E8EDFA0" w14:textId="77777777" w:rsidTr="006C5C07">
        <w:trPr>
          <w:trHeight w:val="658"/>
        </w:trPr>
        <w:tc>
          <w:tcPr>
            <w:tcW w:w="1852" w:type="dxa"/>
            <w:shd w:val="clear" w:color="auto" w:fill="auto"/>
            <w:vAlign w:val="bottom"/>
            <w:hideMark/>
          </w:tcPr>
          <w:p w14:paraId="694070F1" w14:textId="77777777" w:rsidR="002B41C2" w:rsidRPr="001B4CA2" w:rsidRDefault="002B41C2" w:rsidP="004C3A47">
            <w:pPr>
              <w:jc w:val="left"/>
              <w:rPr>
                <w:rFonts w:eastAsia="Times New Roman"/>
                <w:sz w:val="18"/>
                <w:szCs w:val="18"/>
                <w:lang w:eastAsia="hr-HR"/>
              </w:rPr>
            </w:pPr>
            <w:r w:rsidRPr="001B4CA2">
              <w:rPr>
                <w:rFonts w:eastAsia="Times New Roman"/>
                <w:sz w:val="18"/>
                <w:szCs w:val="18"/>
                <w:lang w:eastAsia="hr-HR"/>
              </w:rPr>
              <w:t>Zakon o sigurnosti prometa na cestama</w:t>
            </w:r>
          </w:p>
        </w:tc>
        <w:tc>
          <w:tcPr>
            <w:tcW w:w="562" w:type="dxa"/>
            <w:shd w:val="clear" w:color="auto" w:fill="auto"/>
            <w:noWrap/>
            <w:vAlign w:val="center"/>
          </w:tcPr>
          <w:p w14:paraId="6839C789" w14:textId="77777777" w:rsidR="002B41C2" w:rsidRPr="001B4CA2" w:rsidRDefault="002B41C2" w:rsidP="002A38E7">
            <w:pPr>
              <w:jc w:val="center"/>
              <w:rPr>
                <w:color w:val="000000"/>
                <w:sz w:val="17"/>
                <w:szCs w:val="17"/>
              </w:rPr>
            </w:pPr>
            <w:r w:rsidRPr="001B4CA2">
              <w:rPr>
                <w:color w:val="000000"/>
                <w:sz w:val="17"/>
                <w:szCs w:val="17"/>
              </w:rPr>
              <w:t>12</w:t>
            </w:r>
          </w:p>
        </w:tc>
        <w:tc>
          <w:tcPr>
            <w:tcW w:w="568" w:type="dxa"/>
            <w:shd w:val="clear" w:color="auto" w:fill="auto"/>
            <w:noWrap/>
            <w:vAlign w:val="center"/>
          </w:tcPr>
          <w:p w14:paraId="0BA8B887" w14:textId="77777777" w:rsidR="002B41C2" w:rsidRPr="001B4CA2" w:rsidRDefault="002B41C2" w:rsidP="002A38E7">
            <w:pPr>
              <w:jc w:val="center"/>
              <w:rPr>
                <w:color w:val="000000"/>
                <w:sz w:val="17"/>
                <w:szCs w:val="17"/>
              </w:rPr>
            </w:pPr>
            <w:r w:rsidRPr="001B4CA2">
              <w:rPr>
                <w:color w:val="000000"/>
                <w:sz w:val="17"/>
                <w:szCs w:val="17"/>
              </w:rPr>
              <w:t>7</w:t>
            </w:r>
          </w:p>
        </w:tc>
        <w:tc>
          <w:tcPr>
            <w:tcW w:w="549" w:type="dxa"/>
            <w:tcBorders>
              <w:right w:val="single" w:sz="4" w:space="0" w:color="auto"/>
            </w:tcBorders>
            <w:shd w:val="clear" w:color="auto" w:fill="auto"/>
            <w:noWrap/>
            <w:vAlign w:val="center"/>
          </w:tcPr>
          <w:p w14:paraId="62BBB9C7" w14:textId="77777777" w:rsidR="002B41C2" w:rsidRPr="001B4CA2" w:rsidRDefault="002B41C2" w:rsidP="002A38E7">
            <w:pPr>
              <w:jc w:val="center"/>
              <w:rPr>
                <w:color w:val="000000"/>
                <w:sz w:val="17"/>
                <w:szCs w:val="17"/>
              </w:rPr>
            </w:pPr>
            <w:r w:rsidRPr="001B4CA2">
              <w:rPr>
                <w:color w:val="000000"/>
                <w:sz w:val="17"/>
                <w:szCs w:val="17"/>
              </w:rPr>
              <w:t>19</w:t>
            </w:r>
          </w:p>
        </w:tc>
        <w:tc>
          <w:tcPr>
            <w:tcW w:w="461" w:type="dxa"/>
            <w:tcBorders>
              <w:left w:val="single" w:sz="4" w:space="0" w:color="auto"/>
            </w:tcBorders>
            <w:shd w:val="clear" w:color="auto" w:fill="auto"/>
            <w:vAlign w:val="center"/>
          </w:tcPr>
          <w:p w14:paraId="56D303F9" w14:textId="77777777" w:rsidR="002B41C2" w:rsidRPr="001B4CA2" w:rsidRDefault="002B41C2" w:rsidP="002A38E7">
            <w:pPr>
              <w:jc w:val="center"/>
              <w:rPr>
                <w:color w:val="000000"/>
                <w:sz w:val="17"/>
                <w:szCs w:val="17"/>
              </w:rPr>
            </w:pPr>
            <w:r w:rsidRPr="001B4CA2">
              <w:rPr>
                <w:color w:val="000000"/>
                <w:sz w:val="17"/>
                <w:szCs w:val="17"/>
              </w:rPr>
              <w:t>0</w:t>
            </w:r>
          </w:p>
        </w:tc>
        <w:tc>
          <w:tcPr>
            <w:tcW w:w="718" w:type="dxa"/>
            <w:shd w:val="clear" w:color="auto" w:fill="auto"/>
            <w:noWrap/>
            <w:vAlign w:val="center"/>
          </w:tcPr>
          <w:p w14:paraId="784C4AE2" w14:textId="77777777" w:rsidR="002B41C2" w:rsidRPr="001B4CA2" w:rsidRDefault="002B41C2" w:rsidP="002A38E7">
            <w:pPr>
              <w:jc w:val="center"/>
              <w:rPr>
                <w:b/>
                <w:bCs/>
                <w:color w:val="000000"/>
                <w:sz w:val="17"/>
                <w:szCs w:val="17"/>
              </w:rPr>
            </w:pPr>
            <w:r w:rsidRPr="001B4CA2">
              <w:rPr>
                <w:b/>
                <w:bCs/>
                <w:color w:val="000000"/>
                <w:sz w:val="17"/>
                <w:szCs w:val="17"/>
              </w:rPr>
              <w:t>38</w:t>
            </w:r>
          </w:p>
        </w:tc>
        <w:tc>
          <w:tcPr>
            <w:tcW w:w="560" w:type="dxa"/>
            <w:shd w:val="clear" w:color="auto" w:fill="auto"/>
            <w:noWrap/>
            <w:vAlign w:val="center"/>
          </w:tcPr>
          <w:p w14:paraId="21E1C1BB"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8</w:t>
            </w:r>
          </w:p>
        </w:tc>
        <w:tc>
          <w:tcPr>
            <w:tcW w:w="428" w:type="dxa"/>
            <w:shd w:val="clear" w:color="auto" w:fill="auto"/>
            <w:noWrap/>
            <w:vAlign w:val="center"/>
          </w:tcPr>
          <w:p w14:paraId="6CD1DFB3"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12</w:t>
            </w:r>
          </w:p>
        </w:tc>
        <w:tc>
          <w:tcPr>
            <w:tcW w:w="570" w:type="dxa"/>
            <w:shd w:val="clear" w:color="auto" w:fill="auto"/>
            <w:noWrap/>
            <w:vAlign w:val="center"/>
          </w:tcPr>
          <w:p w14:paraId="4A7FBBC8"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573" w:type="dxa"/>
            <w:shd w:val="clear" w:color="auto" w:fill="auto"/>
            <w:noWrap/>
            <w:vAlign w:val="center"/>
          </w:tcPr>
          <w:p w14:paraId="2153B4E9"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20</w:t>
            </w:r>
          </w:p>
        </w:tc>
        <w:tc>
          <w:tcPr>
            <w:tcW w:w="570" w:type="dxa"/>
            <w:shd w:val="clear" w:color="auto" w:fill="auto"/>
            <w:noWrap/>
            <w:vAlign w:val="center"/>
          </w:tcPr>
          <w:p w14:paraId="23500C8A"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13</w:t>
            </w:r>
          </w:p>
        </w:tc>
        <w:tc>
          <w:tcPr>
            <w:tcW w:w="711" w:type="dxa"/>
            <w:shd w:val="clear" w:color="auto" w:fill="auto"/>
            <w:noWrap/>
            <w:vAlign w:val="center"/>
          </w:tcPr>
          <w:p w14:paraId="50FDBEF5"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7</w:t>
            </w:r>
          </w:p>
        </w:tc>
        <w:tc>
          <w:tcPr>
            <w:tcW w:w="579" w:type="dxa"/>
            <w:shd w:val="clear" w:color="auto" w:fill="auto"/>
            <w:noWrap/>
            <w:vAlign w:val="center"/>
          </w:tcPr>
          <w:p w14:paraId="31939904"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w:t>
            </w:r>
          </w:p>
        </w:tc>
        <w:tc>
          <w:tcPr>
            <w:tcW w:w="585" w:type="dxa"/>
            <w:shd w:val="clear" w:color="auto" w:fill="auto"/>
            <w:noWrap/>
            <w:vAlign w:val="center"/>
          </w:tcPr>
          <w:p w14:paraId="06620A65"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579" w:type="dxa"/>
            <w:shd w:val="clear" w:color="auto" w:fill="auto"/>
            <w:noWrap/>
            <w:vAlign w:val="center"/>
          </w:tcPr>
          <w:p w14:paraId="7A35734B"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9</w:t>
            </w:r>
          </w:p>
        </w:tc>
        <w:tc>
          <w:tcPr>
            <w:tcW w:w="733" w:type="dxa"/>
            <w:shd w:val="clear" w:color="auto" w:fill="auto"/>
            <w:noWrap/>
            <w:vAlign w:val="center"/>
          </w:tcPr>
          <w:p w14:paraId="6F9503B2"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9</w:t>
            </w:r>
          </w:p>
        </w:tc>
        <w:tc>
          <w:tcPr>
            <w:tcW w:w="636" w:type="dxa"/>
            <w:shd w:val="clear" w:color="auto" w:fill="auto"/>
            <w:noWrap/>
            <w:vAlign w:val="center"/>
          </w:tcPr>
          <w:p w14:paraId="42BBC2D1"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729" w:type="dxa"/>
            <w:shd w:val="clear" w:color="auto" w:fill="auto"/>
            <w:noWrap/>
            <w:vAlign w:val="center"/>
          </w:tcPr>
          <w:p w14:paraId="382DAF35"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5</w:t>
            </w:r>
          </w:p>
        </w:tc>
        <w:tc>
          <w:tcPr>
            <w:tcW w:w="729" w:type="dxa"/>
            <w:shd w:val="clear" w:color="auto" w:fill="auto"/>
            <w:noWrap/>
            <w:vAlign w:val="center"/>
          </w:tcPr>
          <w:p w14:paraId="4BA75194"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w:t>
            </w:r>
          </w:p>
        </w:tc>
        <w:tc>
          <w:tcPr>
            <w:tcW w:w="741" w:type="dxa"/>
            <w:shd w:val="clear" w:color="auto" w:fill="auto"/>
            <w:noWrap/>
            <w:vAlign w:val="center"/>
          </w:tcPr>
          <w:p w14:paraId="6CF185FC"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7</w:t>
            </w:r>
          </w:p>
        </w:tc>
        <w:tc>
          <w:tcPr>
            <w:tcW w:w="719" w:type="dxa"/>
            <w:shd w:val="clear" w:color="auto" w:fill="auto"/>
            <w:noWrap/>
            <w:vAlign w:val="center"/>
          </w:tcPr>
          <w:p w14:paraId="08AE11FB"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w:t>
            </w:r>
          </w:p>
        </w:tc>
        <w:tc>
          <w:tcPr>
            <w:tcW w:w="800" w:type="dxa"/>
            <w:shd w:val="clear" w:color="auto" w:fill="auto"/>
            <w:noWrap/>
            <w:vAlign w:val="center"/>
          </w:tcPr>
          <w:p w14:paraId="18F4805C"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780" w:type="dxa"/>
            <w:shd w:val="clear" w:color="auto" w:fill="auto"/>
            <w:noWrap/>
            <w:vAlign w:val="center"/>
          </w:tcPr>
          <w:p w14:paraId="76ED0968"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r>
      <w:tr w:rsidR="002B41C2" w:rsidRPr="001B4CA2" w14:paraId="44D9F1EF" w14:textId="77777777" w:rsidTr="006C5C07">
        <w:trPr>
          <w:trHeight w:val="347"/>
        </w:trPr>
        <w:tc>
          <w:tcPr>
            <w:tcW w:w="1852" w:type="dxa"/>
            <w:shd w:val="clear" w:color="auto" w:fill="auto"/>
            <w:vAlign w:val="bottom"/>
            <w:hideMark/>
          </w:tcPr>
          <w:p w14:paraId="4A25FF46" w14:textId="77777777" w:rsidR="002B41C2" w:rsidRPr="001B4CA2" w:rsidRDefault="002B41C2" w:rsidP="004C3A47">
            <w:pPr>
              <w:jc w:val="left"/>
              <w:rPr>
                <w:rFonts w:eastAsia="Times New Roman"/>
                <w:sz w:val="18"/>
                <w:szCs w:val="18"/>
                <w:lang w:eastAsia="hr-HR"/>
              </w:rPr>
            </w:pPr>
            <w:r w:rsidRPr="001B4CA2">
              <w:rPr>
                <w:rFonts w:eastAsia="Times New Roman"/>
                <w:sz w:val="18"/>
                <w:szCs w:val="18"/>
                <w:lang w:eastAsia="hr-HR"/>
              </w:rPr>
              <w:t>Ostali zakoni</w:t>
            </w:r>
          </w:p>
        </w:tc>
        <w:tc>
          <w:tcPr>
            <w:tcW w:w="562" w:type="dxa"/>
            <w:shd w:val="clear" w:color="auto" w:fill="auto"/>
            <w:noWrap/>
            <w:vAlign w:val="center"/>
          </w:tcPr>
          <w:p w14:paraId="2EBF0DE7" w14:textId="77777777" w:rsidR="002B41C2" w:rsidRPr="001B4CA2" w:rsidRDefault="002B41C2" w:rsidP="002A38E7">
            <w:pPr>
              <w:jc w:val="center"/>
              <w:rPr>
                <w:color w:val="000000"/>
                <w:sz w:val="17"/>
                <w:szCs w:val="17"/>
              </w:rPr>
            </w:pPr>
            <w:r w:rsidRPr="001B4CA2">
              <w:rPr>
                <w:color w:val="000000"/>
                <w:sz w:val="17"/>
                <w:szCs w:val="17"/>
              </w:rPr>
              <w:t>171</w:t>
            </w:r>
          </w:p>
        </w:tc>
        <w:tc>
          <w:tcPr>
            <w:tcW w:w="568" w:type="dxa"/>
            <w:shd w:val="clear" w:color="auto" w:fill="auto"/>
            <w:noWrap/>
            <w:vAlign w:val="center"/>
          </w:tcPr>
          <w:p w14:paraId="728518DA" w14:textId="77777777" w:rsidR="002B41C2" w:rsidRPr="001B4CA2" w:rsidRDefault="002B41C2" w:rsidP="002A38E7">
            <w:pPr>
              <w:jc w:val="center"/>
              <w:rPr>
                <w:color w:val="000000"/>
                <w:sz w:val="17"/>
                <w:szCs w:val="17"/>
              </w:rPr>
            </w:pPr>
            <w:r w:rsidRPr="001B4CA2">
              <w:rPr>
                <w:color w:val="000000"/>
                <w:sz w:val="17"/>
                <w:szCs w:val="17"/>
              </w:rPr>
              <w:t>186</w:t>
            </w:r>
          </w:p>
        </w:tc>
        <w:tc>
          <w:tcPr>
            <w:tcW w:w="549" w:type="dxa"/>
            <w:tcBorders>
              <w:right w:val="single" w:sz="4" w:space="0" w:color="auto"/>
            </w:tcBorders>
            <w:shd w:val="clear" w:color="auto" w:fill="auto"/>
            <w:noWrap/>
            <w:vAlign w:val="center"/>
          </w:tcPr>
          <w:p w14:paraId="77175D66" w14:textId="77777777" w:rsidR="002B41C2" w:rsidRPr="001B4CA2" w:rsidRDefault="002B41C2" w:rsidP="002A38E7">
            <w:pPr>
              <w:jc w:val="center"/>
              <w:rPr>
                <w:color w:val="000000"/>
                <w:sz w:val="17"/>
                <w:szCs w:val="17"/>
              </w:rPr>
            </w:pPr>
            <w:r w:rsidRPr="001B4CA2">
              <w:rPr>
                <w:color w:val="000000"/>
                <w:sz w:val="17"/>
                <w:szCs w:val="17"/>
              </w:rPr>
              <w:t>178</w:t>
            </w:r>
          </w:p>
        </w:tc>
        <w:tc>
          <w:tcPr>
            <w:tcW w:w="461" w:type="dxa"/>
            <w:tcBorders>
              <w:left w:val="single" w:sz="4" w:space="0" w:color="auto"/>
            </w:tcBorders>
            <w:shd w:val="clear" w:color="auto" w:fill="auto"/>
            <w:vAlign w:val="center"/>
          </w:tcPr>
          <w:p w14:paraId="56671C26" w14:textId="77777777" w:rsidR="002B41C2" w:rsidRPr="001B4CA2" w:rsidRDefault="002B41C2" w:rsidP="002A38E7">
            <w:pPr>
              <w:jc w:val="center"/>
              <w:rPr>
                <w:color w:val="000000"/>
                <w:sz w:val="17"/>
                <w:szCs w:val="17"/>
              </w:rPr>
            </w:pPr>
            <w:r w:rsidRPr="001B4CA2">
              <w:rPr>
                <w:color w:val="000000"/>
                <w:sz w:val="17"/>
                <w:szCs w:val="17"/>
              </w:rPr>
              <w:t>9</w:t>
            </w:r>
          </w:p>
        </w:tc>
        <w:tc>
          <w:tcPr>
            <w:tcW w:w="718" w:type="dxa"/>
            <w:shd w:val="clear" w:color="auto" w:fill="auto"/>
            <w:noWrap/>
            <w:vAlign w:val="center"/>
          </w:tcPr>
          <w:p w14:paraId="4CAFAEA7" w14:textId="77777777" w:rsidR="002B41C2" w:rsidRPr="001B4CA2" w:rsidRDefault="002B41C2" w:rsidP="002A38E7">
            <w:pPr>
              <w:jc w:val="center"/>
              <w:rPr>
                <w:b/>
                <w:bCs/>
                <w:color w:val="000000"/>
                <w:sz w:val="17"/>
                <w:szCs w:val="17"/>
              </w:rPr>
            </w:pPr>
            <w:r w:rsidRPr="001B4CA2">
              <w:rPr>
                <w:b/>
                <w:bCs/>
                <w:color w:val="000000"/>
                <w:sz w:val="17"/>
                <w:szCs w:val="17"/>
              </w:rPr>
              <w:t>544</w:t>
            </w:r>
          </w:p>
        </w:tc>
        <w:tc>
          <w:tcPr>
            <w:tcW w:w="560" w:type="dxa"/>
            <w:shd w:val="clear" w:color="auto" w:fill="auto"/>
            <w:noWrap/>
            <w:vAlign w:val="center"/>
          </w:tcPr>
          <w:p w14:paraId="0ACC1623"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146</w:t>
            </w:r>
          </w:p>
        </w:tc>
        <w:tc>
          <w:tcPr>
            <w:tcW w:w="428" w:type="dxa"/>
            <w:shd w:val="clear" w:color="auto" w:fill="auto"/>
            <w:noWrap/>
            <w:vAlign w:val="center"/>
          </w:tcPr>
          <w:p w14:paraId="5279EB8B"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7</w:t>
            </w:r>
          </w:p>
        </w:tc>
        <w:tc>
          <w:tcPr>
            <w:tcW w:w="570" w:type="dxa"/>
            <w:shd w:val="clear" w:color="auto" w:fill="auto"/>
            <w:noWrap/>
            <w:vAlign w:val="center"/>
          </w:tcPr>
          <w:p w14:paraId="2A4E217E"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67</w:t>
            </w:r>
          </w:p>
        </w:tc>
        <w:tc>
          <w:tcPr>
            <w:tcW w:w="573" w:type="dxa"/>
            <w:shd w:val="clear" w:color="auto" w:fill="auto"/>
            <w:noWrap/>
            <w:vAlign w:val="center"/>
          </w:tcPr>
          <w:p w14:paraId="1267AB21"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220</w:t>
            </w:r>
          </w:p>
        </w:tc>
        <w:tc>
          <w:tcPr>
            <w:tcW w:w="570" w:type="dxa"/>
            <w:shd w:val="clear" w:color="auto" w:fill="auto"/>
            <w:noWrap/>
            <w:vAlign w:val="center"/>
          </w:tcPr>
          <w:p w14:paraId="2E1CC7FD"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139</w:t>
            </w:r>
          </w:p>
        </w:tc>
        <w:tc>
          <w:tcPr>
            <w:tcW w:w="711" w:type="dxa"/>
            <w:shd w:val="clear" w:color="auto" w:fill="auto"/>
            <w:noWrap/>
            <w:vAlign w:val="center"/>
          </w:tcPr>
          <w:p w14:paraId="2130F4D4"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127</w:t>
            </w:r>
          </w:p>
        </w:tc>
        <w:tc>
          <w:tcPr>
            <w:tcW w:w="579" w:type="dxa"/>
            <w:shd w:val="clear" w:color="auto" w:fill="auto"/>
            <w:noWrap/>
            <w:vAlign w:val="center"/>
          </w:tcPr>
          <w:p w14:paraId="6E2D1A2B"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22</w:t>
            </w:r>
          </w:p>
        </w:tc>
        <w:tc>
          <w:tcPr>
            <w:tcW w:w="585" w:type="dxa"/>
            <w:shd w:val="clear" w:color="auto" w:fill="auto"/>
            <w:noWrap/>
            <w:vAlign w:val="center"/>
          </w:tcPr>
          <w:p w14:paraId="5351C374"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6</w:t>
            </w:r>
          </w:p>
        </w:tc>
        <w:tc>
          <w:tcPr>
            <w:tcW w:w="579" w:type="dxa"/>
            <w:shd w:val="clear" w:color="auto" w:fill="auto"/>
            <w:noWrap/>
            <w:vAlign w:val="center"/>
          </w:tcPr>
          <w:p w14:paraId="02C41F46"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155</w:t>
            </w:r>
          </w:p>
        </w:tc>
        <w:tc>
          <w:tcPr>
            <w:tcW w:w="733" w:type="dxa"/>
            <w:shd w:val="clear" w:color="auto" w:fill="auto"/>
            <w:noWrap/>
            <w:vAlign w:val="center"/>
          </w:tcPr>
          <w:p w14:paraId="38F063A6"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184</w:t>
            </w:r>
          </w:p>
        </w:tc>
        <w:tc>
          <w:tcPr>
            <w:tcW w:w="636" w:type="dxa"/>
            <w:shd w:val="clear" w:color="auto" w:fill="auto"/>
            <w:noWrap/>
            <w:vAlign w:val="center"/>
          </w:tcPr>
          <w:p w14:paraId="792B9904"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0</w:t>
            </w:r>
          </w:p>
        </w:tc>
        <w:tc>
          <w:tcPr>
            <w:tcW w:w="729" w:type="dxa"/>
            <w:shd w:val="clear" w:color="auto" w:fill="auto"/>
            <w:noWrap/>
            <w:vAlign w:val="center"/>
          </w:tcPr>
          <w:p w14:paraId="189A2AC3"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114</w:t>
            </w:r>
          </w:p>
        </w:tc>
        <w:tc>
          <w:tcPr>
            <w:tcW w:w="729" w:type="dxa"/>
            <w:shd w:val="clear" w:color="auto" w:fill="auto"/>
            <w:noWrap/>
            <w:vAlign w:val="center"/>
          </w:tcPr>
          <w:p w14:paraId="6D673B80"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13</w:t>
            </w:r>
          </w:p>
        </w:tc>
        <w:tc>
          <w:tcPr>
            <w:tcW w:w="741" w:type="dxa"/>
            <w:shd w:val="clear" w:color="auto" w:fill="auto"/>
            <w:noWrap/>
            <w:vAlign w:val="center"/>
          </w:tcPr>
          <w:p w14:paraId="2C629456"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127</w:t>
            </w:r>
          </w:p>
        </w:tc>
        <w:tc>
          <w:tcPr>
            <w:tcW w:w="719" w:type="dxa"/>
            <w:shd w:val="clear" w:color="auto" w:fill="auto"/>
            <w:noWrap/>
            <w:vAlign w:val="center"/>
          </w:tcPr>
          <w:p w14:paraId="5CE18460"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13</w:t>
            </w:r>
          </w:p>
        </w:tc>
        <w:tc>
          <w:tcPr>
            <w:tcW w:w="800" w:type="dxa"/>
            <w:shd w:val="clear" w:color="auto" w:fill="auto"/>
            <w:noWrap/>
            <w:vAlign w:val="center"/>
          </w:tcPr>
          <w:p w14:paraId="52A04E9C"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17</w:t>
            </w:r>
          </w:p>
        </w:tc>
        <w:tc>
          <w:tcPr>
            <w:tcW w:w="780" w:type="dxa"/>
            <w:shd w:val="clear" w:color="auto" w:fill="auto"/>
            <w:noWrap/>
            <w:vAlign w:val="center"/>
          </w:tcPr>
          <w:p w14:paraId="6AF49A8D" w14:textId="77777777" w:rsidR="002B41C2" w:rsidRPr="001B4CA2" w:rsidRDefault="002B41C2" w:rsidP="002A38E7">
            <w:pPr>
              <w:jc w:val="center"/>
              <w:rPr>
                <w:rFonts w:eastAsia="Times New Roman"/>
                <w:sz w:val="17"/>
                <w:szCs w:val="17"/>
                <w:lang w:eastAsia="hr-HR"/>
              </w:rPr>
            </w:pPr>
            <w:r w:rsidRPr="001B4CA2">
              <w:rPr>
                <w:rFonts w:eastAsia="Times New Roman"/>
                <w:sz w:val="17"/>
                <w:szCs w:val="17"/>
                <w:lang w:eastAsia="hr-HR"/>
              </w:rPr>
              <w:t>7</w:t>
            </w:r>
          </w:p>
        </w:tc>
      </w:tr>
      <w:tr w:rsidR="002B41C2" w:rsidRPr="001B4CA2" w14:paraId="0DDF9D7F" w14:textId="77777777" w:rsidTr="006C5C07">
        <w:trPr>
          <w:trHeight w:val="488"/>
        </w:trPr>
        <w:tc>
          <w:tcPr>
            <w:tcW w:w="1852" w:type="dxa"/>
            <w:shd w:val="clear" w:color="auto" w:fill="auto"/>
            <w:noWrap/>
            <w:vAlign w:val="bottom"/>
            <w:hideMark/>
          </w:tcPr>
          <w:p w14:paraId="78232813" w14:textId="77777777" w:rsidR="002B41C2" w:rsidRPr="001B4CA2" w:rsidRDefault="002B41C2" w:rsidP="002A38E7">
            <w:pPr>
              <w:rPr>
                <w:rFonts w:eastAsia="Times New Roman"/>
                <w:b/>
                <w:bCs/>
                <w:sz w:val="18"/>
                <w:szCs w:val="18"/>
                <w:lang w:eastAsia="hr-HR"/>
              </w:rPr>
            </w:pPr>
            <w:r w:rsidRPr="001B4CA2">
              <w:rPr>
                <w:rFonts w:eastAsia="Times New Roman"/>
                <w:b/>
                <w:bCs/>
                <w:sz w:val="18"/>
                <w:szCs w:val="18"/>
                <w:lang w:eastAsia="hr-HR"/>
              </w:rPr>
              <w:t>UKUPNO</w:t>
            </w:r>
          </w:p>
        </w:tc>
        <w:tc>
          <w:tcPr>
            <w:tcW w:w="562" w:type="dxa"/>
            <w:shd w:val="clear" w:color="auto" w:fill="auto"/>
            <w:noWrap/>
            <w:vAlign w:val="center"/>
          </w:tcPr>
          <w:p w14:paraId="77C56154" w14:textId="77777777" w:rsidR="002B41C2" w:rsidRPr="001B4CA2" w:rsidRDefault="002B41C2" w:rsidP="002A38E7">
            <w:pPr>
              <w:rPr>
                <w:b/>
                <w:bCs/>
                <w:color w:val="000000"/>
                <w:sz w:val="17"/>
                <w:szCs w:val="17"/>
              </w:rPr>
            </w:pPr>
            <w:r w:rsidRPr="001B4CA2">
              <w:rPr>
                <w:b/>
                <w:bCs/>
                <w:color w:val="000000"/>
                <w:sz w:val="17"/>
                <w:szCs w:val="17"/>
              </w:rPr>
              <w:t>509</w:t>
            </w:r>
          </w:p>
        </w:tc>
        <w:tc>
          <w:tcPr>
            <w:tcW w:w="568" w:type="dxa"/>
            <w:shd w:val="clear" w:color="auto" w:fill="auto"/>
            <w:noWrap/>
            <w:vAlign w:val="center"/>
          </w:tcPr>
          <w:p w14:paraId="6A33BA3D" w14:textId="77777777" w:rsidR="002B41C2" w:rsidRPr="001B4CA2" w:rsidRDefault="002B41C2" w:rsidP="002A38E7">
            <w:pPr>
              <w:jc w:val="center"/>
              <w:rPr>
                <w:b/>
                <w:bCs/>
                <w:color w:val="000000"/>
                <w:sz w:val="17"/>
                <w:szCs w:val="17"/>
              </w:rPr>
            </w:pPr>
            <w:r w:rsidRPr="001B4CA2">
              <w:rPr>
                <w:b/>
                <w:bCs/>
                <w:color w:val="000000"/>
                <w:sz w:val="17"/>
                <w:szCs w:val="17"/>
              </w:rPr>
              <w:t>543</w:t>
            </w:r>
          </w:p>
        </w:tc>
        <w:tc>
          <w:tcPr>
            <w:tcW w:w="549" w:type="dxa"/>
            <w:tcBorders>
              <w:right w:val="single" w:sz="4" w:space="0" w:color="auto"/>
            </w:tcBorders>
            <w:shd w:val="clear" w:color="auto" w:fill="auto"/>
            <w:noWrap/>
            <w:vAlign w:val="center"/>
          </w:tcPr>
          <w:p w14:paraId="5D7CB78F" w14:textId="77777777" w:rsidR="002B41C2" w:rsidRPr="001B4CA2" w:rsidRDefault="002B41C2" w:rsidP="002A38E7">
            <w:pPr>
              <w:jc w:val="center"/>
              <w:rPr>
                <w:b/>
                <w:bCs/>
                <w:color w:val="000000"/>
                <w:sz w:val="17"/>
                <w:szCs w:val="17"/>
              </w:rPr>
            </w:pPr>
            <w:r w:rsidRPr="001B4CA2">
              <w:rPr>
                <w:b/>
                <w:bCs/>
                <w:color w:val="000000"/>
                <w:sz w:val="17"/>
                <w:szCs w:val="17"/>
              </w:rPr>
              <w:t>671</w:t>
            </w:r>
          </w:p>
        </w:tc>
        <w:tc>
          <w:tcPr>
            <w:tcW w:w="461" w:type="dxa"/>
            <w:tcBorders>
              <w:left w:val="single" w:sz="4" w:space="0" w:color="auto"/>
            </w:tcBorders>
            <w:shd w:val="clear" w:color="auto" w:fill="auto"/>
            <w:vAlign w:val="center"/>
          </w:tcPr>
          <w:p w14:paraId="149ADD64" w14:textId="77777777" w:rsidR="002B41C2" w:rsidRPr="001B4CA2" w:rsidRDefault="002B41C2" w:rsidP="002A38E7">
            <w:pPr>
              <w:jc w:val="center"/>
              <w:rPr>
                <w:b/>
                <w:bCs/>
                <w:color w:val="000000"/>
                <w:sz w:val="17"/>
                <w:szCs w:val="17"/>
              </w:rPr>
            </w:pPr>
            <w:r w:rsidRPr="001B4CA2">
              <w:rPr>
                <w:b/>
                <w:bCs/>
                <w:color w:val="000000"/>
                <w:sz w:val="17"/>
                <w:szCs w:val="17"/>
              </w:rPr>
              <w:t>26</w:t>
            </w:r>
          </w:p>
        </w:tc>
        <w:tc>
          <w:tcPr>
            <w:tcW w:w="718" w:type="dxa"/>
            <w:shd w:val="clear" w:color="auto" w:fill="auto"/>
            <w:noWrap/>
            <w:vAlign w:val="center"/>
          </w:tcPr>
          <w:p w14:paraId="142C0326" w14:textId="77777777" w:rsidR="002B41C2" w:rsidRPr="001B4CA2" w:rsidRDefault="002B41C2" w:rsidP="002A38E7">
            <w:pPr>
              <w:jc w:val="center"/>
              <w:rPr>
                <w:b/>
                <w:bCs/>
                <w:color w:val="000000"/>
                <w:sz w:val="17"/>
                <w:szCs w:val="17"/>
              </w:rPr>
            </w:pPr>
            <w:r w:rsidRPr="001B4CA2">
              <w:rPr>
                <w:b/>
                <w:bCs/>
                <w:color w:val="000000"/>
                <w:sz w:val="17"/>
                <w:szCs w:val="17"/>
              </w:rPr>
              <w:t>1749</w:t>
            </w:r>
          </w:p>
        </w:tc>
        <w:tc>
          <w:tcPr>
            <w:tcW w:w="560" w:type="dxa"/>
            <w:shd w:val="clear" w:color="auto" w:fill="auto"/>
            <w:noWrap/>
            <w:vAlign w:val="center"/>
          </w:tcPr>
          <w:p w14:paraId="778176A8"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637</w:t>
            </w:r>
          </w:p>
        </w:tc>
        <w:tc>
          <w:tcPr>
            <w:tcW w:w="428" w:type="dxa"/>
            <w:shd w:val="clear" w:color="auto" w:fill="auto"/>
            <w:noWrap/>
            <w:vAlign w:val="center"/>
          </w:tcPr>
          <w:p w14:paraId="3CB21187"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68</w:t>
            </w:r>
          </w:p>
        </w:tc>
        <w:tc>
          <w:tcPr>
            <w:tcW w:w="570" w:type="dxa"/>
            <w:shd w:val="clear" w:color="auto" w:fill="auto"/>
            <w:noWrap/>
            <w:vAlign w:val="center"/>
          </w:tcPr>
          <w:p w14:paraId="165743AF"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178</w:t>
            </w:r>
          </w:p>
        </w:tc>
        <w:tc>
          <w:tcPr>
            <w:tcW w:w="573" w:type="dxa"/>
            <w:shd w:val="clear" w:color="auto" w:fill="auto"/>
            <w:noWrap/>
            <w:vAlign w:val="center"/>
          </w:tcPr>
          <w:p w14:paraId="2CCC49AC"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883</w:t>
            </w:r>
          </w:p>
        </w:tc>
        <w:tc>
          <w:tcPr>
            <w:tcW w:w="570" w:type="dxa"/>
            <w:shd w:val="clear" w:color="auto" w:fill="auto"/>
            <w:noWrap/>
            <w:vAlign w:val="center"/>
          </w:tcPr>
          <w:p w14:paraId="34330EB2"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322</w:t>
            </w:r>
          </w:p>
        </w:tc>
        <w:tc>
          <w:tcPr>
            <w:tcW w:w="711" w:type="dxa"/>
            <w:shd w:val="clear" w:color="auto" w:fill="auto"/>
            <w:noWrap/>
            <w:vAlign w:val="center"/>
          </w:tcPr>
          <w:p w14:paraId="25C799E2"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513</w:t>
            </w:r>
          </w:p>
        </w:tc>
        <w:tc>
          <w:tcPr>
            <w:tcW w:w="579" w:type="dxa"/>
            <w:shd w:val="clear" w:color="auto" w:fill="auto"/>
            <w:noWrap/>
            <w:vAlign w:val="center"/>
          </w:tcPr>
          <w:p w14:paraId="7567370F"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33</w:t>
            </w:r>
          </w:p>
        </w:tc>
        <w:tc>
          <w:tcPr>
            <w:tcW w:w="585" w:type="dxa"/>
            <w:shd w:val="clear" w:color="auto" w:fill="auto"/>
            <w:noWrap/>
            <w:vAlign w:val="center"/>
          </w:tcPr>
          <w:p w14:paraId="13B830FD"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38</w:t>
            </w:r>
          </w:p>
        </w:tc>
        <w:tc>
          <w:tcPr>
            <w:tcW w:w="579" w:type="dxa"/>
            <w:shd w:val="clear" w:color="auto" w:fill="auto"/>
            <w:noWrap/>
            <w:vAlign w:val="center"/>
          </w:tcPr>
          <w:p w14:paraId="1C3C1B2D"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584</w:t>
            </w:r>
          </w:p>
        </w:tc>
        <w:tc>
          <w:tcPr>
            <w:tcW w:w="733" w:type="dxa"/>
            <w:shd w:val="clear" w:color="auto" w:fill="auto"/>
            <w:noWrap/>
            <w:vAlign w:val="center"/>
          </w:tcPr>
          <w:p w14:paraId="48EB48D7"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615</w:t>
            </w:r>
          </w:p>
        </w:tc>
        <w:tc>
          <w:tcPr>
            <w:tcW w:w="636" w:type="dxa"/>
            <w:shd w:val="clear" w:color="auto" w:fill="auto"/>
            <w:noWrap/>
            <w:vAlign w:val="center"/>
          </w:tcPr>
          <w:p w14:paraId="0556427D"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0</w:t>
            </w:r>
          </w:p>
        </w:tc>
        <w:tc>
          <w:tcPr>
            <w:tcW w:w="729" w:type="dxa"/>
            <w:shd w:val="clear" w:color="auto" w:fill="auto"/>
            <w:noWrap/>
            <w:vAlign w:val="center"/>
          </w:tcPr>
          <w:p w14:paraId="59417BD7"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468</w:t>
            </w:r>
          </w:p>
        </w:tc>
        <w:tc>
          <w:tcPr>
            <w:tcW w:w="729" w:type="dxa"/>
            <w:shd w:val="clear" w:color="auto" w:fill="auto"/>
            <w:noWrap/>
            <w:vAlign w:val="center"/>
          </w:tcPr>
          <w:p w14:paraId="4038DD6B"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45</w:t>
            </w:r>
          </w:p>
        </w:tc>
        <w:tc>
          <w:tcPr>
            <w:tcW w:w="741" w:type="dxa"/>
            <w:shd w:val="clear" w:color="auto" w:fill="auto"/>
            <w:noWrap/>
            <w:vAlign w:val="center"/>
          </w:tcPr>
          <w:p w14:paraId="60932471"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513</w:t>
            </w:r>
          </w:p>
        </w:tc>
        <w:tc>
          <w:tcPr>
            <w:tcW w:w="719" w:type="dxa"/>
            <w:shd w:val="clear" w:color="auto" w:fill="auto"/>
            <w:noWrap/>
            <w:vAlign w:val="center"/>
          </w:tcPr>
          <w:p w14:paraId="07E9E356"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52</w:t>
            </w:r>
          </w:p>
        </w:tc>
        <w:tc>
          <w:tcPr>
            <w:tcW w:w="800" w:type="dxa"/>
            <w:shd w:val="clear" w:color="auto" w:fill="auto"/>
            <w:noWrap/>
            <w:vAlign w:val="center"/>
          </w:tcPr>
          <w:p w14:paraId="32C31D61"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26</w:t>
            </w:r>
          </w:p>
        </w:tc>
        <w:tc>
          <w:tcPr>
            <w:tcW w:w="780" w:type="dxa"/>
            <w:shd w:val="clear" w:color="auto" w:fill="auto"/>
            <w:noWrap/>
            <w:vAlign w:val="center"/>
          </w:tcPr>
          <w:p w14:paraId="024AE27E" w14:textId="77777777" w:rsidR="002B41C2" w:rsidRPr="001B4CA2" w:rsidRDefault="002B41C2" w:rsidP="002A38E7">
            <w:pPr>
              <w:jc w:val="center"/>
              <w:rPr>
                <w:rFonts w:eastAsia="Times New Roman"/>
                <w:b/>
                <w:bCs/>
                <w:sz w:val="17"/>
                <w:szCs w:val="17"/>
                <w:lang w:eastAsia="hr-HR"/>
              </w:rPr>
            </w:pPr>
            <w:r w:rsidRPr="001B4CA2">
              <w:rPr>
                <w:rFonts w:eastAsia="Times New Roman"/>
                <w:b/>
                <w:bCs/>
                <w:sz w:val="17"/>
                <w:szCs w:val="17"/>
                <w:lang w:eastAsia="hr-HR"/>
              </w:rPr>
              <w:t>10</w:t>
            </w:r>
          </w:p>
        </w:tc>
      </w:tr>
    </w:tbl>
    <w:p w14:paraId="3B86FD95" w14:textId="77777777" w:rsidR="002B41C2" w:rsidRPr="001B4CA2" w:rsidRDefault="002B41C2" w:rsidP="002B41C2"/>
    <w:p w14:paraId="58B001FF" w14:textId="51C83259" w:rsidR="005723BD" w:rsidRPr="001B4CA2" w:rsidRDefault="005723BD" w:rsidP="009350E2">
      <w:pPr>
        <w:spacing w:after="200" w:line="276" w:lineRule="auto"/>
        <w:jc w:val="left"/>
        <w:sectPr w:rsidR="005723BD" w:rsidRPr="001B4CA2" w:rsidSect="007418AF">
          <w:pgSz w:w="16838" w:h="11906" w:orient="landscape"/>
          <w:pgMar w:top="1135" w:right="1417" w:bottom="993" w:left="1417" w:header="426" w:footer="709" w:gutter="0"/>
          <w:cols w:space="708"/>
          <w:docGrid w:linePitch="360"/>
        </w:sectPr>
      </w:pPr>
    </w:p>
    <w:p w14:paraId="5D9C001C" w14:textId="4DD7C8C6" w:rsidR="00BB4D48" w:rsidRPr="001B4CA2" w:rsidRDefault="00415CC9" w:rsidP="00B45008">
      <w:pPr>
        <w:pStyle w:val="Naslov3"/>
        <w:rPr>
          <w:rFonts w:ascii="Arial" w:hAnsi="Arial" w:cs="Arial"/>
        </w:rPr>
      </w:pPr>
      <w:r w:rsidRPr="001B4CA2">
        <w:rPr>
          <w:rFonts w:ascii="Arial" w:hAnsi="Arial" w:cs="Arial"/>
        </w:rPr>
        <w:lastRenderedPageBreak/>
        <w:t xml:space="preserve"> </w:t>
      </w:r>
      <w:bookmarkStart w:id="63" w:name="_Toc133394323"/>
      <w:r w:rsidR="00BB4D48" w:rsidRPr="001B4CA2">
        <w:rPr>
          <w:rFonts w:ascii="Arial" w:hAnsi="Arial" w:cs="Arial"/>
        </w:rPr>
        <w:t>Prikaz</w:t>
      </w:r>
      <w:r w:rsidRPr="001B4CA2">
        <w:rPr>
          <w:rFonts w:ascii="Arial" w:hAnsi="Arial" w:cs="Arial"/>
        </w:rPr>
        <w:t xml:space="preserve"> </w:t>
      </w:r>
      <w:r w:rsidR="00C81134" w:rsidRPr="001B4CA2">
        <w:rPr>
          <w:rFonts w:ascii="Arial" w:hAnsi="Arial" w:cs="Arial"/>
        </w:rPr>
        <w:t>rada</w:t>
      </w:r>
      <w:r w:rsidRPr="001B4CA2">
        <w:rPr>
          <w:rFonts w:ascii="Arial" w:hAnsi="Arial" w:cs="Arial"/>
        </w:rPr>
        <w:t xml:space="preserve"> </w:t>
      </w:r>
      <w:r w:rsidR="00C81134" w:rsidRPr="001B4CA2">
        <w:rPr>
          <w:rFonts w:ascii="Arial" w:hAnsi="Arial" w:cs="Arial"/>
        </w:rPr>
        <w:t>i</w:t>
      </w:r>
      <w:r w:rsidRPr="001B4CA2">
        <w:rPr>
          <w:rFonts w:ascii="Arial" w:hAnsi="Arial" w:cs="Arial"/>
        </w:rPr>
        <w:t xml:space="preserve"> </w:t>
      </w:r>
      <w:r w:rsidR="00BB4D48" w:rsidRPr="001B4CA2">
        <w:rPr>
          <w:rFonts w:ascii="Arial" w:hAnsi="Arial" w:cs="Arial"/>
        </w:rPr>
        <w:t>odluka</w:t>
      </w:r>
      <w:r w:rsidRPr="001B4CA2">
        <w:rPr>
          <w:rFonts w:ascii="Arial" w:hAnsi="Arial" w:cs="Arial"/>
        </w:rPr>
        <w:t xml:space="preserve"> </w:t>
      </w:r>
      <w:r w:rsidR="00BB4D48" w:rsidRPr="001B4CA2">
        <w:rPr>
          <w:rFonts w:ascii="Arial" w:hAnsi="Arial" w:cs="Arial"/>
        </w:rPr>
        <w:t>u</w:t>
      </w:r>
      <w:r w:rsidRPr="001B4CA2">
        <w:rPr>
          <w:rFonts w:ascii="Arial" w:hAnsi="Arial" w:cs="Arial"/>
        </w:rPr>
        <w:t xml:space="preserve"> </w:t>
      </w:r>
      <w:r w:rsidR="00BB4D48" w:rsidRPr="001B4CA2">
        <w:rPr>
          <w:rFonts w:ascii="Arial" w:hAnsi="Arial" w:cs="Arial"/>
        </w:rPr>
        <w:t>gra</w:t>
      </w:r>
      <w:r w:rsidR="00CE234E" w:rsidRPr="001B4CA2">
        <w:rPr>
          <w:rFonts w:ascii="Arial" w:hAnsi="Arial" w:cs="Arial"/>
        </w:rPr>
        <w:t>đanski</w:t>
      </w:r>
      <w:r w:rsidRPr="001B4CA2">
        <w:rPr>
          <w:rFonts w:ascii="Arial" w:hAnsi="Arial" w:cs="Arial"/>
        </w:rPr>
        <w:t xml:space="preserve">m i </w:t>
      </w:r>
      <w:r w:rsidR="00CE234E" w:rsidRPr="001B4CA2">
        <w:rPr>
          <w:rFonts w:ascii="Arial" w:hAnsi="Arial" w:cs="Arial"/>
        </w:rPr>
        <w:t>upravnim</w:t>
      </w:r>
      <w:r w:rsidRPr="001B4CA2">
        <w:rPr>
          <w:rFonts w:ascii="Arial" w:hAnsi="Arial" w:cs="Arial"/>
        </w:rPr>
        <w:t xml:space="preserve"> </w:t>
      </w:r>
      <w:r w:rsidR="00CE234E" w:rsidRPr="001B4CA2">
        <w:rPr>
          <w:rFonts w:ascii="Arial" w:hAnsi="Arial" w:cs="Arial"/>
        </w:rPr>
        <w:t>predmetima</w:t>
      </w:r>
      <w:bookmarkEnd w:id="63"/>
    </w:p>
    <w:p w14:paraId="6A3E3137" w14:textId="77777777" w:rsidR="00E262DD" w:rsidRPr="001B4CA2" w:rsidRDefault="00E262DD" w:rsidP="00E262DD"/>
    <w:p w14:paraId="46ADDC7B" w14:textId="4A38CB33" w:rsidR="00B010E6" w:rsidRPr="001B4CA2" w:rsidRDefault="00E262DD" w:rsidP="00E262DD">
      <w:pPr>
        <w:rPr>
          <w:szCs w:val="22"/>
        </w:rPr>
      </w:pPr>
      <w:r w:rsidRPr="001B4CA2">
        <w:rPr>
          <w:szCs w:val="22"/>
        </w:rPr>
        <w:tab/>
      </w:r>
      <w:r w:rsidR="00B010E6" w:rsidRPr="001B4CA2">
        <w:rPr>
          <w:szCs w:val="22"/>
        </w:rPr>
        <w:t>Općinska državna odvjetništva po zakonu zastupaju Republiku Hrvatsku pred općinskim sudovima i javnopravnim tijelima, a iznimno mogu zastupati temeljem posebne punomoći pravne osobe u vlasništvu ili pretežitom vlasništvu Republike Hrvatske i ustanove čiji je ona osnivač ili suosnivač.</w:t>
      </w:r>
    </w:p>
    <w:p w14:paraId="16F028FD" w14:textId="77777777" w:rsidR="00B010E6" w:rsidRPr="001B4CA2" w:rsidRDefault="00B010E6" w:rsidP="00B010E6">
      <w:pPr>
        <w:rPr>
          <w:szCs w:val="22"/>
        </w:rPr>
      </w:pPr>
    </w:p>
    <w:p w14:paraId="26D304ED" w14:textId="75F05E8F" w:rsidR="00B010E6" w:rsidRPr="001B4CA2" w:rsidRDefault="00B010E6" w:rsidP="00743EF4">
      <w:pPr>
        <w:numPr>
          <w:ilvl w:val="0"/>
          <w:numId w:val="16"/>
        </w:numPr>
        <w:ind w:left="720"/>
        <w:contextualSpacing/>
        <w:jc w:val="left"/>
        <w:rPr>
          <w:rFonts w:asciiTheme="minorHAnsi" w:hAnsiTheme="minorHAnsi" w:cstheme="minorBidi"/>
          <w:i/>
          <w:szCs w:val="22"/>
        </w:rPr>
      </w:pPr>
      <w:r w:rsidRPr="001B4CA2">
        <w:rPr>
          <w:rFonts w:asciiTheme="minorHAnsi" w:hAnsiTheme="minorHAnsi" w:cstheme="minorBidi"/>
          <w:i/>
          <w:szCs w:val="22"/>
        </w:rPr>
        <w:t>Kretanje i struktura zahtjeva u novim građanskim i upravnim predmetima 2018. – 2022.</w:t>
      </w: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78"/>
        <w:gridCol w:w="1778"/>
        <w:gridCol w:w="1867"/>
        <w:gridCol w:w="1730"/>
      </w:tblGrid>
      <w:tr w:rsidR="00B010E6" w:rsidRPr="001B4CA2" w14:paraId="6AA088F7" w14:textId="77777777" w:rsidTr="00FC6656">
        <w:trPr>
          <w:trHeight w:val="663"/>
          <w:jc w:val="center"/>
        </w:trPr>
        <w:tc>
          <w:tcPr>
            <w:tcW w:w="1000" w:type="pct"/>
            <w:shd w:val="clear" w:color="auto" w:fill="99CCFF"/>
            <w:noWrap/>
            <w:vAlign w:val="center"/>
            <w:hideMark/>
          </w:tcPr>
          <w:p w14:paraId="0870B2FF" w14:textId="77777777" w:rsidR="00B010E6" w:rsidRPr="001B4CA2" w:rsidRDefault="00B010E6" w:rsidP="00B010E6">
            <w:pPr>
              <w:jc w:val="center"/>
              <w:rPr>
                <w:b/>
                <w:sz w:val="18"/>
                <w:szCs w:val="18"/>
                <w:lang w:eastAsia="hr-HR"/>
              </w:rPr>
            </w:pPr>
            <w:r w:rsidRPr="001B4CA2">
              <w:rPr>
                <w:b/>
                <w:sz w:val="18"/>
                <w:szCs w:val="18"/>
                <w:lang w:eastAsia="hr-HR"/>
              </w:rPr>
              <w:t>Godina</w:t>
            </w:r>
          </w:p>
        </w:tc>
        <w:tc>
          <w:tcPr>
            <w:tcW w:w="1000" w:type="pct"/>
            <w:shd w:val="clear" w:color="auto" w:fill="99CCFF"/>
            <w:noWrap/>
            <w:vAlign w:val="center"/>
            <w:hideMark/>
          </w:tcPr>
          <w:p w14:paraId="668F8B45" w14:textId="77777777" w:rsidR="00B010E6" w:rsidRPr="001B4CA2" w:rsidRDefault="00B010E6" w:rsidP="00B010E6">
            <w:pPr>
              <w:jc w:val="center"/>
              <w:rPr>
                <w:b/>
                <w:sz w:val="18"/>
                <w:szCs w:val="18"/>
                <w:lang w:eastAsia="hr-HR"/>
              </w:rPr>
            </w:pPr>
            <w:r w:rsidRPr="001B4CA2">
              <w:rPr>
                <w:b/>
                <w:sz w:val="18"/>
                <w:szCs w:val="18"/>
                <w:lang w:eastAsia="hr-HR"/>
              </w:rPr>
              <w:t>Sudski predmeti</w:t>
            </w:r>
          </w:p>
        </w:tc>
        <w:tc>
          <w:tcPr>
            <w:tcW w:w="1000" w:type="pct"/>
            <w:shd w:val="clear" w:color="auto" w:fill="99CCFF"/>
            <w:noWrap/>
            <w:vAlign w:val="center"/>
            <w:hideMark/>
          </w:tcPr>
          <w:p w14:paraId="2BDEBD78" w14:textId="77777777" w:rsidR="00B010E6" w:rsidRPr="001B4CA2" w:rsidRDefault="00B010E6" w:rsidP="00B010E6">
            <w:pPr>
              <w:jc w:val="center"/>
              <w:rPr>
                <w:b/>
                <w:sz w:val="18"/>
                <w:szCs w:val="18"/>
                <w:lang w:eastAsia="hr-HR"/>
              </w:rPr>
            </w:pPr>
            <w:r w:rsidRPr="001B4CA2">
              <w:rPr>
                <w:b/>
                <w:sz w:val="18"/>
                <w:szCs w:val="18"/>
                <w:lang w:eastAsia="hr-HR"/>
              </w:rPr>
              <w:t>Upravni predmeti</w:t>
            </w:r>
          </w:p>
        </w:tc>
        <w:tc>
          <w:tcPr>
            <w:tcW w:w="1027" w:type="pct"/>
            <w:shd w:val="clear" w:color="auto" w:fill="99CCFF"/>
            <w:noWrap/>
            <w:vAlign w:val="center"/>
            <w:hideMark/>
          </w:tcPr>
          <w:p w14:paraId="1B17718C" w14:textId="77777777" w:rsidR="00B010E6" w:rsidRPr="001B4CA2" w:rsidRDefault="00B010E6" w:rsidP="00B010E6">
            <w:pPr>
              <w:jc w:val="center"/>
              <w:rPr>
                <w:b/>
                <w:sz w:val="18"/>
                <w:szCs w:val="18"/>
                <w:lang w:eastAsia="hr-HR"/>
              </w:rPr>
            </w:pPr>
            <w:proofErr w:type="spellStart"/>
            <w:r w:rsidRPr="001B4CA2">
              <w:rPr>
                <w:b/>
                <w:sz w:val="18"/>
                <w:szCs w:val="18"/>
                <w:lang w:eastAsia="hr-HR"/>
              </w:rPr>
              <w:t>Državnoodvjetnički</w:t>
            </w:r>
            <w:proofErr w:type="spellEnd"/>
            <w:r w:rsidRPr="001B4CA2">
              <w:rPr>
                <w:b/>
                <w:sz w:val="18"/>
                <w:szCs w:val="18"/>
                <w:lang w:eastAsia="hr-HR"/>
              </w:rPr>
              <w:t xml:space="preserve"> </w:t>
            </w:r>
          </w:p>
          <w:p w14:paraId="6D6BD03D" w14:textId="77777777" w:rsidR="00B010E6" w:rsidRPr="001B4CA2" w:rsidRDefault="00B010E6" w:rsidP="00B010E6">
            <w:pPr>
              <w:jc w:val="center"/>
              <w:rPr>
                <w:b/>
                <w:sz w:val="18"/>
                <w:szCs w:val="18"/>
                <w:lang w:eastAsia="hr-HR"/>
              </w:rPr>
            </w:pPr>
            <w:r w:rsidRPr="001B4CA2">
              <w:rPr>
                <w:b/>
                <w:sz w:val="18"/>
                <w:szCs w:val="18"/>
                <w:lang w:eastAsia="hr-HR"/>
              </w:rPr>
              <w:t>predmeti</w:t>
            </w:r>
          </w:p>
        </w:tc>
        <w:tc>
          <w:tcPr>
            <w:tcW w:w="973" w:type="pct"/>
            <w:shd w:val="clear" w:color="auto" w:fill="99CCFF"/>
            <w:noWrap/>
            <w:vAlign w:val="center"/>
            <w:hideMark/>
          </w:tcPr>
          <w:p w14:paraId="5C209FD5" w14:textId="77777777" w:rsidR="00B010E6" w:rsidRPr="001B4CA2" w:rsidRDefault="00B010E6" w:rsidP="00B010E6">
            <w:pPr>
              <w:jc w:val="center"/>
              <w:rPr>
                <w:b/>
                <w:sz w:val="18"/>
                <w:szCs w:val="18"/>
                <w:lang w:eastAsia="hr-HR"/>
              </w:rPr>
            </w:pPr>
            <w:r w:rsidRPr="001B4CA2">
              <w:rPr>
                <w:b/>
                <w:sz w:val="18"/>
                <w:szCs w:val="18"/>
                <w:lang w:eastAsia="hr-HR"/>
              </w:rPr>
              <w:t>Ukupno</w:t>
            </w:r>
          </w:p>
        </w:tc>
      </w:tr>
      <w:tr w:rsidR="00B010E6" w:rsidRPr="001B4CA2" w14:paraId="38155742" w14:textId="77777777" w:rsidTr="00FC6656">
        <w:trPr>
          <w:trHeight w:val="397"/>
          <w:jc w:val="center"/>
        </w:trPr>
        <w:tc>
          <w:tcPr>
            <w:tcW w:w="1000" w:type="pct"/>
            <w:shd w:val="clear" w:color="auto" w:fill="auto"/>
            <w:noWrap/>
            <w:vAlign w:val="center"/>
            <w:hideMark/>
          </w:tcPr>
          <w:p w14:paraId="2BB35CB9" w14:textId="77777777" w:rsidR="00B010E6" w:rsidRPr="001B4CA2" w:rsidRDefault="00B010E6" w:rsidP="00B010E6">
            <w:pPr>
              <w:jc w:val="center"/>
              <w:rPr>
                <w:sz w:val="18"/>
                <w:szCs w:val="18"/>
                <w:lang w:eastAsia="hr-HR"/>
              </w:rPr>
            </w:pPr>
            <w:r w:rsidRPr="001B4CA2">
              <w:rPr>
                <w:sz w:val="18"/>
                <w:szCs w:val="18"/>
                <w:lang w:eastAsia="hr-HR"/>
              </w:rPr>
              <w:t>2018.</w:t>
            </w:r>
          </w:p>
        </w:tc>
        <w:tc>
          <w:tcPr>
            <w:tcW w:w="1000" w:type="pct"/>
            <w:shd w:val="clear" w:color="auto" w:fill="auto"/>
            <w:noWrap/>
            <w:vAlign w:val="center"/>
          </w:tcPr>
          <w:p w14:paraId="1AF8FBC0"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40.659</w:t>
            </w:r>
          </w:p>
        </w:tc>
        <w:tc>
          <w:tcPr>
            <w:tcW w:w="1000" w:type="pct"/>
            <w:shd w:val="clear" w:color="auto" w:fill="auto"/>
            <w:noWrap/>
            <w:vAlign w:val="center"/>
          </w:tcPr>
          <w:p w14:paraId="5CDEC6B8"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2.841</w:t>
            </w:r>
          </w:p>
        </w:tc>
        <w:tc>
          <w:tcPr>
            <w:tcW w:w="1027" w:type="pct"/>
            <w:shd w:val="clear" w:color="auto" w:fill="auto"/>
            <w:noWrap/>
            <w:vAlign w:val="center"/>
          </w:tcPr>
          <w:p w14:paraId="697A761B"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13.908</w:t>
            </w:r>
          </w:p>
        </w:tc>
        <w:tc>
          <w:tcPr>
            <w:tcW w:w="973" w:type="pct"/>
            <w:shd w:val="clear" w:color="auto" w:fill="auto"/>
            <w:noWrap/>
            <w:vAlign w:val="center"/>
          </w:tcPr>
          <w:p w14:paraId="1A11CDEA" w14:textId="77777777" w:rsidR="00B010E6" w:rsidRPr="001B4CA2" w:rsidRDefault="00B010E6" w:rsidP="00B010E6">
            <w:pPr>
              <w:jc w:val="center"/>
              <w:rPr>
                <w:rFonts w:eastAsia="Times New Roman"/>
                <w:bCs/>
                <w:color w:val="000000"/>
                <w:sz w:val="18"/>
                <w:szCs w:val="18"/>
                <w:lang w:eastAsia="hr-HR"/>
              </w:rPr>
            </w:pPr>
            <w:r w:rsidRPr="001B4CA2">
              <w:rPr>
                <w:rFonts w:eastAsia="Times New Roman"/>
                <w:bCs/>
                <w:color w:val="000000"/>
                <w:sz w:val="18"/>
                <w:szCs w:val="18"/>
                <w:lang w:eastAsia="hr-HR"/>
              </w:rPr>
              <w:t>57.408</w:t>
            </w:r>
          </w:p>
        </w:tc>
      </w:tr>
      <w:tr w:rsidR="00B010E6" w:rsidRPr="001B4CA2" w14:paraId="0D2BDE70" w14:textId="77777777" w:rsidTr="00FC6656">
        <w:trPr>
          <w:trHeight w:val="397"/>
          <w:jc w:val="center"/>
        </w:trPr>
        <w:tc>
          <w:tcPr>
            <w:tcW w:w="1000" w:type="pct"/>
            <w:shd w:val="clear" w:color="auto" w:fill="auto"/>
            <w:noWrap/>
            <w:vAlign w:val="center"/>
          </w:tcPr>
          <w:p w14:paraId="25C1633C" w14:textId="77777777" w:rsidR="00B010E6" w:rsidRPr="001B4CA2" w:rsidRDefault="00B010E6" w:rsidP="00B010E6">
            <w:pPr>
              <w:jc w:val="center"/>
              <w:rPr>
                <w:sz w:val="18"/>
                <w:szCs w:val="18"/>
                <w:lang w:eastAsia="hr-HR"/>
              </w:rPr>
            </w:pPr>
            <w:r w:rsidRPr="001B4CA2">
              <w:rPr>
                <w:sz w:val="18"/>
                <w:szCs w:val="18"/>
                <w:lang w:eastAsia="hr-HR"/>
              </w:rPr>
              <w:t>2019.</w:t>
            </w:r>
          </w:p>
        </w:tc>
        <w:tc>
          <w:tcPr>
            <w:tcW w:w="1000" w:type="pct"/>
            <w:shd w:val="clear" w:color="auto" w:fill="auto"/>
            <w:noWrap/>
            <w:vAlign w:val="center"/>
          </w:tcPr>
          <w:p w14:paraId="0708A9A0"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47.110</w:t>
            </w:r>
          </w:p>
        </w:tc>
        <w:tc>
          <w:tcPr>
            <w:tcW w:w="1000" w:type="pct"/>
            <w:shd w:val="clear" w:color="auto" w:fill="auto"/>
            <w:noWrap/>
            <w:vAlign w:val="center"/>
          </w:tcPr>
          <w:p w14:paraId="726014C5"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3.529</w:t>
            </w:r>
          </w:p>
        </w:tc>
        <w:tc>
          <w:tcPr>
            <w:tcW w:w="1027" w:type="pct"/>
            <w:shd w:val="clear" w:color="auto" w:fill="auto"/>
            <w:noWrap/>
            <w:vAlign w:val="center"/>
          </w:tcPr>
          <w:p w14:paraId="6B09CBDD"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14.310</w:t>
            </w:r>
          </w:p>
        </w:tc>
        <w:tc>
          <w:tcPr>
            <w:tcW w:w="973" w:type="pct"/>
            <w:shd w:val="clear" w:color="auto" w:fill="auto"/>
            <w:noWrap/>
            <w:vAlign w:val="center"/>
          </w:tcPr>
          <w:p w14:paraId="71DED8B0" w14:textId="77777777" w:rsidR="00B010E6" w:rsidRPr="001B4CA2" w:rsidRDefault="00B010E6" w:rsidP="00B010E6">
            <w:pPr>
              <w:jc w:val="center"/>
              <w:rPr>
                <w:rFonts w:eastAsia="Times New Roman"/>
                <w:bCs/>
                <w:color w:val="000000"/>
                <w:sz w:val="18"/>
                <w:szCs w:val="18"/>
                <w:lang w:eastAsia="hr-HR"/>
              </w:rPr>
            </w:pPr>
            <w:r w:rsidRPr="001B4CA2">
              <w:rPr>
                <w:rFonts w:eastAsia="Times New Roman"/>
                <w:bCs/>
                <w:color w:val="000000"/>
                <w:sz w:val="18"/>
                <w:szCs w:val="18"/>
                <w:lang w:eastAsia="hr-HR"/>
              </w:rPr>
              <w:t>64.949</w:t>
            </w:r>
          </w:p>
        </w:tc>
      </w:tr>
      <w:tr w:rsidR="00B010E6" w:rsidRPr="001B4CA2" w14:paraId="3AA1B3A5" w14:textId="77777777" w:rsidTr="00FC6656">
        <w:trPr>
          <w:trHeight w:val="397"/>
          <w:jc w:val="center"/>
        </w:trPr>
        <w:tc>
          <w:tcPr>
            <w:tcW w:w="1000" w:type="pct"/>
            <w:shd w:val="clear" w:color="auto" w:fill="auto"/>
            <w:noWrap/>
            <w:vAlign w:val="center"/>
          </w:tcPr>
          <w:p w14:paraId="670123F6" w14:textId="77777777" w:rsidR="00B010E6" w:rsidRPr="001B4CA2" w:rsidRDefault="00B010E6" w:rsidP="00B010E6">
            <w:pPr>
              <w:jc w:val="center"/>
              <w:rPr>
                <w:sz w:val="18"/>
                <w:szCs w:val="18"/>
                <w:lang w:eastAsia="hr-HR"/>
              </w:rPr>
            </w:pPr>
            <w:r w:rsidRPr="001B4CA2">
              <w:rPr>
                <w:sz w:val="18"/>
                <w:szCs w:val="18"/>
                <w:lang w:eastAsia="hr-HR"/>
              </w:rPr>
              <w:t>2020.</w:t>
            </w:r>
          </w:p>
        </w:tc>
        <w:tc>
          <w:tcPr>
            <w:tcW w:w="1000" w:type="pct"/>
            <w:shd w:val="clear" w:color="auto" w:fill="auto"/>
            <w:noWrap/>
            <w:vAlign w:val="center"/>
          </w:tcPr>
          <w:p w14:paraId="31CD73D4" w14:textId="77777777" w:rsidR="00B010E6" w:rsidRPr="001B4CA2" w:rsidRDefault="00B010E6" w:rsidP="00B010E6">
            <w:pPr>
              <w:jc w:val="center"/>
              <w:rPr>
                <w:sz w:val="18"/>
                <w:szCs w:val="18"/>
                <w:lang w:eastAsia="hr-HR"/>
              </w:rPr>
            </w:pPr>
            <w:r w:rsidRPr="001B4CA2">
              <w:rPr>
                <w:sz w:val="18"/>
                <w:szCs w:val="18"/>
                <w:lang w:eastAsia="hr-HR"/>
              </w:rPr>
              <w:t>49.318</w:t>
            </w:r>
          </w:p>
        </w:tc>
        <w:tc>
          <w:tcPr>
            <w:tcW w:w="1000" w:type="pct"/>
            <w:shd w:val="clear" w:color="auto" w:fill="auto"/>
            <w:noWrap/>
            <w:vAlign w:val="center"/>
          </w:tcPr>
          <w:p w14:paraId="31E14F3A" w14:textId="77777777" w:rsidR="00B010E6" w:rsidRPr="001B4CA2" w:rsidRDefault="00B010E6" w:rsidP="00B010E6">
            <w:pPr>
              <w:jc w:val="center"/>
              <w:rPr>
                <w:sz w:val="18"/>
                <w:szCs w:val="18"/>
                <w:lang w:eastAsia="hr-HR"/>
              </w:rPr>
            </w:pPr>
            <w:r w:rsidRPr="001B4CA2">
              <w:rPr>
                <w:sz w:val="18"/>
                <w:szCs w:val="18"/>
                <w:lang w:eastAsia="hr-HR"/>
              </w:rPr>
              <w:t>3.304</w:t>
            </w:r>
          </w:p>
        </w:tc>
        <w:tc>
          <w:tcPr>
            <w:tcW w:w="1027" w:type="pct"/>
            <w:shd w:val="clear" w:color="auto" w:fill="auto"/>
            <w:noWrap/>
            <w:vAlign w:val="center"/>
          </w:tcPr>
          <w:p w14:paraId="2BA93B4A" w14:textId="77777777" w:rsidR="00B010E6" w:rsidRPr="001B4CA2" w:rsidRDefault="00B010E6" w:rsidP="00B010E6">
            <w:pPr>
              <w:jc w:val="center"/>
              <w:rPr>
                <w:sz w:val="18"/>
                <w:szCs w:val="18"/>
                <w:lang w:eastAsia="hr-HR"/>
              </w:rPr>
            </w:pPr>
            <w:r w:rsidRPr="001B4CA2">
              <w:rPr>
                <w:sz w:val="18"/>
                <w:szCs w:val="18"/>
                <w:lang w:eastAsia="hr-HR"/>
              </w:rPr>
              <w:t>14.671</w:t>
            </w:r>
          </w:p>
        </w:tc>
        <w:tc>
          <w:tcPr>
            <w:tcW w:w="973" w:type="pct"/>
            <w:shd w:val="clear" w:color="auto" w:fill="auto"/>
            <w:noWrap/>
            <w:vAlign w:val="center"/>
          </w:tcPr>
          <w:p w14:paraId="165449D8" w14:textId="77777777" w:rsidR="00B010E6" w:rsidRPr="001B4CA2" w:rsidRDefault="00B010E6" w:rsidP="00B010E6">
            <w:pPr>
              <w:jc w:val="center"/>
              <w:rPr>
                <w:sz w:val="18"/>
                <w:szCs w:val="18"/>
                <w:lang w:eastAsia="hr-HR"/>
              </w:rPr>
            </w:pPr>
            <w:r w:rsidRPr="001B4CA2">
              <w:rPr>
                <w:sz w:val="18"/>
                <w:szCs w:val="18"/>
                <w:lang w:eastAsia="hr-HR"/>
              </w:rPr>
              <w:t>67.293</w:t>
            </w:r>
          </w:p>
        </w:tc>
      </w:tr>
      <w:tr w:rsidR="00B010E6" w:rsidRPr="001B4CA2" w14:paraId="064B4B14" w14:textId="77777777" w:rsidTr="00FC6656">
        <w:trPr>
          <w:trHeight w:val="397"/>
          <w:jc w:val="center"/>
        </w:trPr>
        <w:tc>
          <w:tcPr>
            <w:tcW w:w="1000" w:type="pct"/>
            <w:shd w:val="clear" w:color="auto" w:fill="auto"/>
            <w:noWrap/>
            <w:vAlign w:val="center"/>
          </w:tcPr>
          <w:p w14:paraId="6875820D" w14:textId="77777777" w:rsidR="00B010E6" w:rsidRPr="001B4CA2" w:rsidRDefault="00B010E6" w:rsidP="00B010E6">
            <w:pPr>
              <w:jc w:val="center"/>
              <w:rPr>
                <w:sz w:val="18"/>
                <w:szCs w:val="18"/>
                <w:lang w:eastAsia="hr-HR"/>
              </w:rPr>
            </w:pPr>
            <w:r w:rsidRPr="001B4CA2">
              <w:rPr>
                <w:sz w:val="18"/>
                <w:szCs w:val="18"/>
                <w:lang w:eastAsia="hr-HR"/>
              </w:rPr>
              <w:t>2021.</w:t>
            </w:r>
          </w:p>
        </w:tc>
        <w:tc>
          <w:tcPr>
            <w:tcW w:w="1000" w:type="pct"/>
            <w:shd w:val="clear" w:color="auto" w:fill="auto"/>
            <w:noWrap/>
            <w:vAlign w:val="center"/>
          </w:tcPr>
          <w:p w14:paraId="7F0B2701" w14:textId="77777777" w:rsidR="00B010E6" w:rsidRPr="001B4CA2" w:rsidRDefault="00B010E6" w:rsidP="00B010E6">
            <w:pPr>
              <w:jc w:val="center"/>
              <w:rPr>
                <w:sz w:val="18"/>
                <w:szCs w:val="18"/>
                <w:lang w:eastAsia="hr-HR"/>
              </w:rPr>
            </w:pPr>
            <w:r w:rsidRPr="001B4CA2">
              <w:rPr>
                <w:sz w:val="18"/>
                <w:szCs w:val="18"/>
                <w:lang w:eastAsia="hr-HR"/>
              </w:rPr>
              <w:t>53.649</w:t>
            </w:r>
          </w:p>
        </w:tc>
        <w:tc>
          <w:tcPr>
            <w:tcW w:w="1000" w:type="pct"/>
            <w:shd w:val="clear" w:color="auto" w:fill="auto"/>
            <w:noWrap/>
            <w:vAlign w:val="center"/>
          </w:tcPr>
          <w:p w14:paraId="69E43BFC" w14:textId="77777777" w:rsidR="00B010E6" w:rsidRPr="001B4CA2" w:rsidRDefault="00B010E6" w:rsidP="00B010E6">
            <w:pPr>
              <w:jc w:val="center"/>
              <w:rPr>
                <w:sz w:val="18"/>
                <w:szCs w:val="18"/>
                <w:lang w:eastAsia="hr-HR"/>
              </w:rPr>
            </w:pPr>
            <w:r w:rsidRPr="001B4CA2">
              <w:rPr>
                <w:sz w:val="18"/>
                <w:szCs w:val="18"/>
                <w:lang w:eastAsia="hr-HR"/>
              </w:rPr>
              <w:t>3.625</w:t>
            </w:r>
          </w:p>
        </w:tc>
        <w:tc>
          <w:tcPr>
            <w:tcW w:w="1027" w:type="pct"/>
            <w:shd w:val="clear" w:color="auto" w:fill="auto"/>
            <w:noWrap/>
            <w:vAlign w:val="center"/>
          </w:tcPr>
          <w:p w14:paraId="73DE1EAA" w14:textId="77777777" w:rsidR="00B010E6" w:rsidRPr="001B4CA2" w:rsidRDefault="00B010E6" w:rsidP="00B010E6">
            <w:pPr>
              <w:jc w:val="center"/>
              <w:rPr>
                <w:sz w:val="18"/>
                <w:szCs w:val="18"/>
                <w:lang w:eastAsia="hr-HR"/>
              </w:rPr>
            </w:pPr>
            <w:r w:rsidRPr="001B4CA2">
              <w:rPr>
                <w:sz w:val="18"/>
                <w:szCs w:val="18"/>
                <w:lang w:eastAsia="hr-HR"/>
              </w:rPr>
              <w:t>22.392</w:t>
            </w:r>
          </w:p>
        </w:tc>
        <w:tc>
          <w:tcPr>
            <w:tcW w:w="973" w:type="pct"/>
            <w:shd w:val="clear" w:color="auto" w:fill="auto"/>
            <w:noWrap/>
            <w:vAlign w:val="center"/>
          </w:tcPr>
          <w:p w14:paraId="2B4B6415" w14:textId="77777777" w:rsidR="00B010E6" w:rsidRPr="001B4CA2" w:rsidRDefault="00B010E6" w:rsidP="00B010E6">
            <w:pPr>
              <w:jc w:val="center"/>
              <w:rPr>
                <w:sz w:val="18"/>
                <w:szCs w:val="18"/>
                <w:lang w:eastAsia="hr-HR"/>
              </w:rPr>
            </w:pPr>
            <w:r w:rsidRPr="001B4CA2">
              <w:rPr>
                <w:sz w:val="18"/>
                <w:szCs w:val="18"/>
                <w:lang w:eastAsia="hr-HR"/>
              </w:rPr>
              <w:t>79.666</w:t>
            </w:r>
          </w:p>
        </w:tc>
      </w:tr>
      <w:tr w:rsidR="00B010E6" w:rsidRPr="001B4CA2" w14:paraId="21439DAB" w14:textId="77777777" w:rsidTr="00FC6656">
        <w:trPr>
          <w:trHeight w:val="397"/>
          <w:jc w:val="center"/>
        </w:trPr>
        <w:tc>
          <w:tcPr>
            <w:tcW w:w="1000" w:type="pct"/>
            <w:shd w:val="clear" w:color="auto" w:fill="auto"/>
            <w:noWrap/>
            <w:vAlign w:val="center"/>
          </w:tcPr>
          <w:p w14:paraId="118C02C1" w14:textId="77777777" w:rsidR="00B010E6" w:rsidRPr="001B4CA2" w:rsidRDefault="00B010E6" w:rsidP="00B010E6">
            <w:pPr>
              <w:jc w:val="center"/>
              <w:rPr>
                <w:sz w:val="18"/>
                <w:szCs w:val="18"/>
                <w:lang w:eastAsia="hr-HR"/>
              </w:rPr>
            </w:pPr>
            <w:r w:rsidRPr="001B4CA2">
              <w:rPr>
                <w:sz w:val="18"/>
                <w:szCs w:val="18"/>
                <w:lang w:eastAsia="hr-HR"/>
              </w:rPr>
              <w:t>2022.</w:t>
            </w:r>
          </w:p>
        </w:tc>
        <w:tc>
          <w:tcPr>
            <w:tcW w:w="1000" w:type="pct"/>
            <w:shd w:val="clear" w:color="auto" w:fill="auto"/>
            <w:noWrap/>
            <w:vAlign w:val="center"/>
          </w:tcPr>
          <w:p w14:paraId="43525A57" w14:textId="77777777" w:rsidR="00B010E6" w:rsidRPr="001B4CA2" w:rsidRDefault="00B010E6" w:rsidP="00B010E6">
            <w:pPr>
              <w:jc w:val="center"/>
              <w:rPr>
                <w:sz w:val="18"/>
                <w:szCs w:val="18"/>
                <w:lang w:eastAsia="hr-HR"/>
              </w:rPr>
            </w:pPr>
            <w:r w:rsidRPr="001B4CA2">
              <w:rPr>
                <w:sz w:val="18"/>
                <w:szCs w:val="18"/>
                <w:lang w:eastAsia="hr-HR"/>
              </w:rPr>
              <w:t>47.715</w:t>
            </w:r>
          </w:p>
        </w:tc>
        <w:tc>
          <w:tcPr>
            <w:tcW w:w="1000" w:type="pct"/>
            <w:shd w:val="clear" w:color="auto" w:fill="auto"/>
            <w:noWrap/>
            <w:vAlign w:val="center"/>
          </w:tcPr>
          <w:p w14:paraId="4960863C" w14:textId="77777777" w:rsidR="00B010E6" w:rsidRPr="001B4CA2" w:rsidRDefault="00B010E6" w:rsidP="00B010E6">
            <w:pPr>
              <w:jc w:val="center"/>
              <w:rPr>
                <w:sz w:val="18"/>
                <w:szCs w:val="18"/>
                <w:lang w:eastAsia="hr-HR"/>
              </w:rPr>
            </w:pPr>
            <w:r w:rsidRPr="001B4CA2">
              <w:rPr>
                <w:sz w:val="18"/>
                <w:szCs w:val="18"/>
                <w:lang w:eastAsia="hr-HR"/>
              </w:rPr>
              <w:t>3.109</w:t>
            </w:r>
          </w:p>
        </w:tc>
        <w:tc>
          <w:tcPr>
            <w:tcW w:w="1027" w:type="pct"/>
            <w:shd w:val="clear" w:color="auto" w:fill="auto"/>
            <w:noWrap/>
            <w:vAlign w:val="center"/>
          </w:tcPr>
          <w:p w14:paraId="170A8258" w14:textId="77777777" w:rsidR="00B010E6" w:rsidRPr="001B4CA2" w:rsidRDefault="00B010E6" w:rsidP="00B010E6">
            <w:pPr>
              <w:jc w:val="center"/>
              <w:rPr>
                <w:sz w:val="18"/>
                <w:szCs w:val="18"/>
                <w:lang w:eastAsia="hr-HR"/>
              </w:rPr>
            </w:pPr>
            <w:r w:rsidRPr="001B4CA2">
              <w:rPr>
                <w:sz w:val="18"/>
                <w:szCs w:val="18"/>
                <w:lang w:eastAsia="hr-HR"/>
              </w:rPr>
              <w:t>12.726</w:t>
            </w:r>
          </w:p>
        </w:tc>
        <w:tc>
          <w:tcPr>
            <w:tcW w:w="973" w:type="pct"/>
            <w:shd w:val="clear" w:color="auto" w:fill="auto"/>
            <w:noWrap/>
            <w:vAlign w:val="center"/>
          </w:tcPr>
          <w:p w14:paraId="09371595" w14:textId="77777777" w:rsidR="00B010E6" w:rsidRPr="001B4CA2" w:rsidRDefault="00B010E6" w:rsidP="00B010E6">
            <w:pPr>
              <w:jc w:val="center"/>
              <w:rPr>
                <w:sz w:val="18"/>
                <w:szCs w:val="18"/>
                <w:lang w:eastAsia="hr-HR"/>
              </w:rPr>
            </w:pPr>
            <w:r w:rsidRPr="001B4CA2">
              <w:rPr>
                <w:sz w:val="18"/>
                <w:szCs w:val="18"/>
                <w:lang w:eastAsia="hr-HR"/>
              </w:rPr>
              <w:t>63.550</w:t>
            </w:r>
          </w:p>
        </w:tc>
      </w:tr>
    </w:tbl>
    <w:p w14:paraId="3A0466DD" w14:textId="77777777" w:rsidR="00B010E6" w:rsidRPr="001B4CA2" w:rsidRDefault="00B010E6" w:rsidP="00B010E6">
      <w:pPr>
        <w:rPr>
          <w:sz w:val="20"/>
          <w:szCs w:val="20"/>
        </w:rPr>
      </w:pPr>
    </w:p>
    <w:p w14:paraId="55EAF989" w14:textId="0DEAAD16" w:rsidR="00B010E6" w:rsidRPr="001B4CA2" w:rsidRDefault="00B010E6" w:rsidP="00B010E6">
      <w:pPr>
        <w:spacing w:after="200" w:line="276" w:lineRule="auto"/>
        <w:ind w:firstLine="708"/>
      </w:pPr>
      <w:r w:rsidRPr="001B4CA2">
        <w:t xml:space="preserve">Ukupan </w:t>
      </w:r>
      <w:r w:rsidR="008B7B29" w:rsidRPr="001B4CA2">
        <w:t xml:space="preserve">je </w:t>
      </w:r>
      <w:r w:rsidRPr="001B4CA2">
        <w:t>broj građanskih i upravnih predmeta koja su općinska državna odvjetništva primila u 2022. godini za 20,23</w:t>
      </w:r>
      <w:r w:rsidR="008B7B29">
        <w:t> </w:t>
      </w:r>
      <w:r w:rsidRPr="001B4CA2">
        <w:t>% manji nego u prethodnom izvještajnom razdoblju.</w:t>
      </w:r>
    </w:p>
    <w:p w14:paraId="3273E106" w14:textId="3B0B5CF9" w:rsidR="00B010E6" w:rsidRPr="001B4CA2" w:rsidRDefault="00B010E6" w:rsidP="00B010E6">
      <w:pPr>
        <w:spacing w:after="200" w:line="276" w:lineRule="auto"/>
        <w:ind w:firstLine="708"/>
      </w:pPr>
      <w:r w:rsidRPr="001B4CA2">
        <w:t xml:space="preserve">Ovo smanjenje </w:t>
      </w:r>
      <w:r w:rsidR="008B7B29">
        <w:t>razvidno</w:t>
      </w:r>
      <w:r w:rsidRPr="001B4CA2">
        <w:t xml:space="preserve"> je u svim vrstama novih predmeta, a najizraženije je u </w:t>
      </w:r>
      <w:proofErr w:type="spellStart"/>
      <w:r w:rsidRPr="001B4CA2">
        <w:t>državnoodvjetničkim</w:t>
      </w:r>
      <w:proofErr w:type="spellEnd"/>
      <w:r w:rsidRPr="001B4CA2">
        <w:t xml:space="preserve"> predmetima kojih je bilo 43,17</w:t>
      </w:r>
      <w:r w:rsidR="008B7B29">
        <w:t> </w:t>
      </w:r>
      <w:r w:rsidRPr="001B4CA2">
        <w:t>% manje.</w:t>
      </w:r>
    </w:p>
    <w:p w14:paraId="228C7E5F" w14:textId="58E2A501" w:rsidR="00B010E6" w:rsidRPr="001B4CA2" w:rsidRDefault="00B010E6" w:rsidP="00B010E6">
      <w:pPr>
        <w:spacing w:after="200" w:line="276" w:lineRule="auto"/>
        <w:ind w:firstLine="708"/>
      </w:pPr>
      <w:r w:rsidRPr="001B4CA2">
        <w:t xml:space="preserve">Razlog pada broja </w:t>
      </w:r>
      <w:proofErr w:type="spellStart"/>
      <w:r w:rsidRPr="001B4CA2">
        <w:t>državnoodvjetničkih</w:t>
      </w:r>
      <w:proofErr w:type="spellEnd"/>
      <w:r w:rsidRPr="001B4CA2">
        <w:t xml:space="preserve"> predmeta rezultat je smanjenja broja zahtjeva za mirno rješenje spora iz radnih odnosa</w:t>
      </w:r>
      <w:r w:rsidR="008B7B29">
        <w:t>,</w:t>
      </w:r>
      <w:r w:rsidRPr="001B4CA2">
        <w:t xml:space="preserve"> čiji je </w:t>
      </w:r>
      <w:r w:rsidR="008B7B29" w:rsidRPr="001B4CA2">
        <w:t xml:space="preserve">broj </w:t>
      </w:r>
      <w:r w:rsidRPr="001B4CA2">
        <w:t xml:space="preserve">u 2021. bio iznimno velik, a koji su </w:t>
      </w:r>
      <w:r w:rsidR="0020162B" w:rsidRPr="001B4CA2">
        <w:t>riješeni</w:t>
      </w:r>
      <w:r w:rsidRPr="001B4CA2">
        <w:t xml:space="preserve"> oglednim postupkom.</w:t>
      </w:r>
    </w:p>
    <w:p w14:paraId="4F1DD8D5" w14:textId="5F74D967" w:rsidR="00B010E6" w:rsidRPr="001B4CA2" w:rsidRDefault="00B010E6" w:rsidP="00B010E6">
      <w:pPr>
        <w:pStyle w:val="Odlomakpopisa"/>
        <w:numPr>
          <w:ilvl w:val="0"/>
          <w:numId w:val="16"/>
        </w:numPr>
        <w:jc w:val="left"/>
        <w:rPr>
          <w:rFonts w:asciiTheme="minorHAnsi" w:hAnsiTheme="minorHAnsi" w:cstheme="minorBidi"/>
          <w:i/>
          <w:szCs w:val="22"/>
        </w:rPr>
      </w:pPr>
      <w:r w:rsidRPr="001B4CA2">
        <w:rPr>
          <w:rFonts w:asciiTheme="minorHAnsi" w:hAnsiTheme="minorHAnsi" w:cstheme="minorBidi"/>
          <w:i/>
          <w:szCs w:val="22"/>
        </w:rPr>
        <w:t>Kretanje i struktura zahtjeva u novim predmetima</w:t>
      </w:r>
      <w:r w:rsidR="001B4CA2">
        <w:rPr>
          <w:rFonts w:asciiTheme="minorHAnsi" w:hAnsiTheme="minorHAnsi" w:cstheme="minorBidi"/>
          <w:i/>
          <w:szCs w:val="22"/>
        </w:rPr>
        <w:t xml:space="preserve"> </w:t>
      </w:r>
      <w:r w:rsidRPr="001B4CA2">
        <w:rPr>
          <w:rFonts w:asciiTheme="minorHAnsi" w:hAnsiTheme="minorHAnsi" w:cstheme="minorBidi"/>
          <w:i/>
          <w:szCs w:val="22"/>
        </w:rPr>
        <w:t>u odnosu na vrstu zastupanja 2018. – 2022.</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863"/>
        <w:gridCol w:w="851"/>
        <w:gridCol w:w="992"/>
        <w:gridCol w:w="850"/>
        <w:gridCol w:w="993"/>
        <w:gridCol w:w="992"/>
        <w:gridCol w:w="1021"/>
        <w:gridCol w:w="867"/>
        <w:gridCol w:w="805"/>
      </w:tblGrid>
      <w:tr w:rsidR="00B010E6" w:rsidRPr="001B4CA2" w14:paraId="1305D9CA" w14:textId="77777777" w:rsidTr="003E79A0">
        <w:trPr>
          <w:trHeight w:val="630"/>
          <w:jc w:val="center"/>
        </w:trPr>
        <w:tc>
          <w:tcPr>
            <w:tcW w:w="986" w:type="dxa"/>
            <w:vMerge w:val="restart"/>
            <w:shd w:val="clear" w:color="000000" w:fill="99CCFF"/>
            <w:noWrap/>
            <w:vAlign w:val="center"/>
            <w:hideMark/>
          </w:tcPr>
          <w:p w14:paraId="4714385A"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Vrste predmeta</w:t>
            </w:r>
          </w:p>
        </w:tc>
        <w:tc>
          <w:tcPr>
            <w:tcW w:w="1714" w:type="dxa"/>
            <w:gridSpan w:val="2"/>
            <w:shd w:val="clear" w:color="000000" w:fill="99CCFF"/>
            <w:vAlign w:val="center"/>
            <w:hideMark/>
          </w:tcPr>
          <w:p w14:paraId="6DC29E6C"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Sudski</w:t>
            </w:r>
            <w:r w:rsidRPr="001B4CA2">
              <w:rPr>
                <w:rFonts w:asciiTheme="minorHAnsi" w:eastAsia="Times New Roman" w:hAnsiTheme="minorHAnsi" w:cstheme="minorHAnsi"/>
                <w:color w:val="000000"/>
                <w:sz w:val="18"/>
                <w:szCs w:val="18"/>
                <w:lang w:eastAsia="hr-HR"/>
              </w:rPr>
              <w:t xml:space="preserve"> </w:t>
            </w:r>
            <w:r w:rsidRPr="001B4CA2">
              <w:rPr>
                <w:rFonts w:asciiTheme="minorHAnsi" w:eastAsia="Times New Roman" w:hAnsiTheme="minorHAnsi" w:cstheme="minorHAnsi"/>
                <w:b/>
                <w:bCs/>
                <w:color w:val="000000"/>
                <w:sz w:val="18"/>
                <w:szCs w:val="18"/>
                <w:lang w:eastAsia="hr-HR"/>
              </w:rPr>
              <w:t>predmeti</w:t>
            </w:r>
          </w:p>
        </w:tc>
        <w:tc>
          <w:tcPr>
            <w:tcW w:w="1842" w:type="dxa"/>
            <w:gridSpan w:val="2"/>
            <w:shd w:val="clear" w:color="000000" w:fill="99CCFF"/>
            <w:vAlign w:val="center"/>
            <w:hideMark/>
          </w:tcPr>
          <w:p w14:paraId="5E448B3F"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Upravni</w:t>
            </w:r>
            <w:r w:rsidRPr="001B4CA2">
              <w:rPr>
                <w:rFonts w:asciiTheme="minorHAnsi" w:eastAsia="Times New Roman" w:hAnsiTheme="minorHAnsi" w:cstheme="minorHAnsi"/>
                <w:color w:val="000000"/>
                <w:sz w:val="18"/>
                <w:szCs w:val="18"/>
                <w:lang w:eastAsia="hr-HR"/>
              </w:rPr>
              <w:t xml:space="preserve"> </w:t>
            </w:r>
            <w:r w:rsidRPr="001B4CA2">
              <w:rPr>
                <w:rFonts w:asciiTheme="minorHAnsi" w:eastAsia="Times New Roman" w:hAnsiTheme="minorHAnsi" w:cstheme="minorHAnsi"/>
                <w:b/>
                <w:bCs/>
                <w:color w:val="000000"/>
                <w:sz w:val="18"/>
                <w:szCs w:val="18"/>
                <w:lang w:eastAsia="hr-HR"/>
              </w:rPr>
              <w:t>predmeti</w:t>
            </w:r>
          </w:p>
        </w:tc>
        <w:tc>
          <w:tcPr>
            <w:tcW w:w="1985" w:type="dxa"/>
            <w:gridSpan w:val="2"/>
            <w:shd w:val="clear" w:color="000000" w:fill="99CCFF"/>
            <w:noWrap/>
            <w:vAlign w:val="center"/>
            <w:hideMark/>
          </w:tcPr>
          <w:p w14:paraId="069ECD07"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proofErr w:type="spellStart"/>
            <w:r w:rsidRPr="001B4CA2">
              <w:rPr>
                <w:rFonts w:asciiTheme="minorHAnsi" w:eastAsia="Times New Roman" w:hAnsiTheme="minorHAnsi" w:cstheme="minorHAnsi"/>
                <w:b/>
                <w:bCs/>
                <w:color w:val="000000"/>
                <w:sz w:val="18"/>
                <w:szCs w:val="18"/>
                <w:lang w:eastAsia="hr-HR"/>
              </w:rPr>
              <w:t>Državnoodvjetnički</w:t>
            </w:r>
            <w:proofErr w:type="spellEnd"/>
            <w:r w:rsidRPr="001B4CA2">
              <w:rPr>
                <w:rFonts w:asciiTheme="minorHAnsi" w:eastAsia="Times New Roman" w:hAnsiTheme="minorHAnsi" w:cstheme="minorHAnsi"/>
                <w:b/>
                <w:bCs/>
                <w:color w:val="000000"/>
                <w:sz w:val="18"/>
                <w:szCs w:val="18"/>
                <w:lang w:eastAsia="hr-HR"/>
              </w:rPr>
              <w:t xml:space="preserve"> </w:t>
            </w:r>
          </w:p>
          <w:p w14:paraId="152C308E"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predmeti</w:t>
            </w:r>
          </w:p>
        </w:tc>
        <w:tc>
          <w:tcPr>
            <w:tcW w:w="2693" w:type="dxa"/>
            <w:gridSpan w:val="3"/>
            <w:vMerge w:val="restart"/>
            <w:shd w:val="clear" w:color="000000" w:fill="99CCFF"/>
            <w:noWrap/>
            <w:vAlign w:val="center"/>
            <w:hideMark/>
          </w:tcPr>
          <w:p w14:paraId="5B4F751A"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Ukupno</w:t>
            </w:r>
          </w:p>
          <w:p w14:paraId="124C4528"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 xml:space="preserve"> zastupanje po</w:t>
            </w:r>
          </w:p>
        </w:tc>
      </w:tr>
      <w:tr w:rsidR="00B010E6" w:rsidRPr="001B4CA2" w14:paraId="49F55AB1" w14:textId="77777777" w:rsidTr="003E79A0">
        <w:trPr>
          <w:trHeight w:val="495"/>
          <w:jc w:val="center"/>
        </w:trPr>
        <w:tc>
          <w:tcPr>
            <w:tcW w:w="986" w:type="dxa"/>
            <w:vMerge/>
            <w:shd w:val="clear" w:color="000000" w:fill="99CCFF"/>
            <w:vAlign w:val="center"/>
            <w:hideMark/>
          </w:tcPr>
          <w:p w14:paraId="6280CE15" w14:textId="77777777" w:rsidR="00B010E6" w:rsidRPr="001B4CA2" w:rsidRDefault="00B010E6" w:rsidP="00B010E6">
            <w:pPr>
              <w:jc w:val="left"/>
              <w:rPr>
                <w:rFonts w:asciiTheme="minorHAnsi" w:eastAsia="Times New Roman" w:hAnsiTheme="minorHAnsi" w:cstheme="minorHAnsi"/>
                <w:b/>
                <w:bCs/>
                <w:color w:val="000000"/>
                <w:sz w:val="18"/>
                <w:szCs w:val="18"/>
                <w:lang w:eastAsia="hr-HR"/>
              </w:rPr>
            </w:pPr>
          </w:p>
        </w:tc>
        <w:tc>
          <w:tcPr>
            <w:tcW w:w="1714" w:type="dxa"/>
            <w:gridSpan w:val="2"/>
            <w:shd w:val="clear" w:color="000000" w:fill="99CCFF"/>
            <w:vAlign w:val="center"/>
            <w:hideMark/>
          </w:tcPr>
          <w:p w14:paraId="026EE236"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Zastupanje po</w:t>
            </w:r>
          </w:p>
        </w:tc>
        <w:tc>
          <w:tcPr>
            <w:tcW w:w="1842" w:type="dxa"/>
            <w:gridSpan w:val="2"/>
            <w:shd w:val="clear" w:color="000000" w:fill="99CCFF"/>
            <w:vAlign w:val="center"/>
            <w:hideMark/>
          </w:tcPr>
          <w:p w14:paraId="72E8D847"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Zastupanje po</w:t>
            </w:r>
          </w:p>
        </w:tc>
        <w:tc>
          <w:tcPr>
            <w:tcW w:w="1985" w:type="dxa"/>
            <w:gridSpan w:val="2"/>
            <w:shd w:val="clear" w:color="000000" w:fill="99CCFF"/>
            <w:noWrap/>
            <w:vAlign w:val="center"/>
            <w:hideMark/>
          </w:tcPr>
          <w:p w14:paraId="69BE1181"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Zastupanje po</w:t>
            </w:r>
          </w:p>
        </w:tc>
        <w:tc>
          <w:tcPr>
            <w:tcW w:w="2693" w:type="dxa"/>
            <w:gridSpan w:val="3"/>
            <w:vMerge/>
            <w:vAlign w:val="center"/>
            <w:hideMark/>
          </w:tcPr>
          <w:p w14:paraId="3BB2806B" w14:textId="77777777" w:rsidR="00B010E6" w:rsidRPr="001B4CA2" w:rsidRDefault="00B010E6" w:rsidP="00B010E6">
            <w:pPr>
              <w:jc w:val="left"/>
              <w:rPr>
                <w:rFonts w:asciiTheme="minorHAnsi" w:eastAsia="Times New Roman" w:hAnsiTheme="minorHAnsi" w:cstheme="minorHAnsi"/>
                <w:b/>
                <w:bCs/>
                <w:color w:val="000000"/>
                <w:sz w:val="18"/>
                <w:szCs w:val="18"/>
                <w:lang w:eastAsia="hr-HR"/>
              </w:rPr>
            </w:pPr>
          </w:p>
        </w:tc>
      </w:tr>
      <w:tr w:rsidR="00540F85" w:rsidRPr="001B4CA2" w14:paraId="0AEF2965" w14:textId="77777777" w:rsidTr="003E79A0">
        <w:trPr>
          <w:trHeight w:val="1131"/>
          <w:jc w:val="center"/>
        </w:trPr>
        <w:tc>
          <w:tcPr>
            <w:tcW w:w="986" w:type="dxa"/>
            <w:shd w:val="clear" w:color="000000" w:fill="99CCFF"/>
            <w:vAlign w:val="center"/>
            <w:hideMark/>
          </w:tcPr>
          <w:p w14:paraId="64A51FA0"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hAnsiTheme="minorHAnsi" w:cstheme="minorHAnsi"/>
                <w:b/>
                <w:sz w:val="18"/>
                <w:szCs w:val="18"/>
                <w:lang w:eastAsia="hr-HR"/>
              </w:rPr>
              <w:t>Godina</w:t>
            </w:r>
          </w:p>
        </w:tc>
        <w:tc>
          <w:tcPr>
            <w:tcW w:w="863" w:type="dxa"/>
            <w:shd w:val="clear" w:color="000000" w:fill="99CCFF"/>
            <w:noWrap/>
            <w:textDirection w:val="btLr"/>
            <w:vAlign w:val="center"/>
            <w:hideMark/>
          </w:tcPr>
          <w:p w14:paraId="2DBB2979" w14:textId="77777777" w:rsidR="00B010E6" w:rsidRPr="001B4CA2" w:rsidRDefault="00B010E6" w:rsidP="00B010E6">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zakonu</w:t>
            </w:r>
          </w:p>
        </w:tc>
        <w:tc>
          <w:tcPr>
            <w:tcW w:w="851" w:type="dxa"/>
            <w:shd w:val="clear" w:color="000000" w:fill="99CCFF"/>
            <w:textDirection w:val="btLr"/>
            <w:vAlign w:val="center"/>
            <w:hideMark/>
          </w:tcPr>
          <w:p w14:paraId="0032D377" w14:textId="77777777" w:rsidR="00B010E6" w:rsidRPr="001B4CA2" w:rsidRDefault="00B010E6" w:rsidP="00B010E6">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punomoći</w:t>
            </w:r>
          </w:p>
        </w:tc>
        <w:tc>
          <w:tcPr>
            <w:tcW w:w="992" w:type="dxa"/>
            <w:shd w:val="clear" w:color="000000" w:fill="99CCFF"/>
            <w:noWrap/>
            <w:textDirection w:val="btLr"/>
            <w:vAlign w:val="center"/>
            <w:hideMark/>
          </w:tcPr>
          <w:p w14:paraId="38E71ACD" w14:textId="77777777" w:rsidR="00B010E6" w:rsidRPr="001B4CA2" w:rsidRDefault="00B010E6" w:rsidP="00B010E6">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zakonu</w:t>
            </w:r>
          </w:p>
        </w:tc>
        <w:tc>
          <w:tcPr>
            <w:tcW w:w="850" w:type="dxa"/>
            <w:shd w:val="clear" w:color="000000" w:fill="99CCFF"/>
            <w:textDirection w:val="btLr"/>
            <w:vAlign w:val="center"/>
            <w:hideMark/>
          </w:tcPr>
          <w:p w14:paraId="14FC0883" w14:textId="77777777" w:rsidR="00B010E6" w:rsidRPr="001B4CA2" w:rsidRDefault="00B010E6" w:rsidP="00B010E6">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punomoći</w:t>
            </w:r>
          </w:p>
        </w:tc>
        <w:tc>
          <w:tcPr>
            <w:tcW w:w="993" w:type="dxa"/>
            <w:shd w:val="clear" w:color="000000" w:fill="99CCFF"/>
            <w:noWrap/>
            <w:textDirection w:val="btLr"/>
            <w:vAlign w:val="center"/>
            <w:hideMark/>
          </w:tcPr>
          <w:p w14:paraId="23DF49E1" w14:textId="77777777" w:rsidR="00B010E6" w:rsidRPr="001B4CA2" w:rsidRDefault="00B010E6" w:rsidP="00B010E6">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zakonu</w:t>
            </w:r>
          </w:p>
        </w:tc>
        <w:tc>
          <w:tcPr>
            <w:tcW w:w="992" w:type="dxa"/>
            <w:shd w:val="clear" w:color="000000" w:fill="99CCFF"/>
            <w:noWrap/>
            <w:textDirection w:val="btLr"/>
            <w:vAlign w:val="center"/>
            <w:hideMark/>
          </w:tcPr>
          <w:p w14:paraId="482210BC" w14:textId="77777777" w:rsidR="00B010E6" w:rsidRPr="001B4CA2" w:rsidRDefault="00B010E6" w:rsidP="00B010E6">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punomoći</w:t>
            </w:r>
          </w:p>
        </w:tc>
        <w:tc>
          <w:tcPr>
            <w:tcW w:w="1021" w:type="dxa"/>
            <w:shd w:val="clear" w:color="000000" w:fill="99CCFF"/>
            <w:noWrap/>
            <w:textDirection w:val="btLr"/>
            <w:vAlign w:val="center"/>
            <w:hideMark/>
          </w:tcPr>
          <w:p w14:paraId="5DE8C786" w14:textId="77777777" w:rsidR="00B010E6" w:rsidRPr="001B4CA2" w:rsidRDefault="00B010E6" w:rsidP="00B010E6">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 </w:t>
            </w:r>
          </w:p>
          <w:p w14:paraId="463B479B" w14:textId="77777777" w:rsidR="00B010E6" w:rsidRPr="001B4CA2" w:rsidRDefault="00B010E6" w:rsidP="00B010E6">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 xml:space="preserve">zakonu </w:t>
            </w:r>
          </w:p>
        </w:tc>
        <w:tc>
          <w:tcPr>
            <w:tcW w:w="867" w:type="dxa"/>
            <w:shd w:val="clear" w:color="000000" w:fill="99CCFF"/>
            <w:noWrap/>
            <w:textDirection w:val="btLr"/>
            <w:vAlign w:val="center"/>
            <w:hideMark/>
          </w:tcPr>
          <w:p w14:paraId="6B36DCAC" w14:textId="77777777" w:rsidR="00B010E6" w:rsidRPr="001B4CA2" w:rsidRDefault="00B010E6" w:rsidP="00B010E6">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punomoći</w:t>
            </w:r>
          </w:p>
        </w:tc>
        <w:tc>
          <w:tcPr>
            <w:tcW w:w="805" w:type="dxa"/>
            <w:shd w:val="clear" w:color="000000" w:fill="99CCFF"/>
            <w:textDirection w:val="btLr"/>
            <w:vAlign w:val="center"/>
            <w:hideMark/>
          </w:tcPr>
          <w:p w14:paraId="32BCAABF" w14:textId="77777777" w:rsidR="00B010E6" w:rsidRPr="001B4CA2" w:rsidRDefault="00B010E6" w:rsidP="00B010E6">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sveukupno</w:t>
            </w:r>
          </w:p>
        </w:tc>
      </w:tr>
      <w:tr w:rsidR="00B010E6" w:rsidRPr="001B4CA2" w14:paraId="512BB761" w14:textId="77777777" w:rsidTr="003E79A0">
        <w:trPr>
          <w:trHeight w:val="397"/>
          <w:jc w:val="center"/>
        </w:trPr>
        <w:tc>
          <w:tcPr>
            <w:tcW w:w="986" w:type="dxa"/>
            <w:shd w:val="clear" w:color="auto" w:fill="auto"/>
            <w:noWrap/>
            <w:vAlign w:val="center"/>
            <w:hideMark/>
          </w:tcPr>
          <w:p w14:paraId="1413D086"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2018.</w:t>
            </w:r>
          </w:p>
        </w:tc>
        <w:tc>
          <w:tcPr>
            <w:tcW w:w="863" w:type="dxa"/>
            <w:shd w:val="clear" w:color="auto" w:fill="auto"/>
            <w:noWrap/>
            <w:vAlign w:val="center"/>
          </w:tcPr>
          <w:p w14:paraId="57336D6F" w14:textId="77777777" w:rsidR="00B010E6" w:rsidRPr="00FB2B5D" w:rsidRDefault="00B010E6" w:rsidP="00B010E6">
            <w:pPr>
              <w:jc w:val="center"/>
              <w:rPr>
                <w:rFonts w:eastAsia="Times New Roman"/>
                <w:color w:val="000000"/>
                <w:sz w:val="16"/>
                <w:szCs w:val="16"/>
                <w:lang w:eastAsia="hr-HR"/>
              </w:rPr>
            </w:pPr>
            <w:r w:rsidRPr="00FB2B5D">
              <w:rPr>
                <w:rFonts w:eastAsia="Times New Roman"/>
                <w:color w:val="000000"/>
                <w:sz w:val="16"/>
                <w:szCs w:val="16"/>
                <w:lang w:eastAsia="hr-HR"/>
              </w:rPr>
              <w:t>40.633</w:t>
            </w:r>
          </w:p>
        </w:tc>
        <w:tc>
          <w:tcPr>
            <w:tcW w:w="851" w:type="dxa"/>
            <w:shd w:val="clear" w:color="auto" w:fill="auto"/>
            <w:vAlign w:val="center"/>
          </w:tcPr>
          <w:p w14:paraId="6AFA2379" w14:textId="77777777" w:rsidR="00B010E6" w:rsidRPr="00FB2B5D" w:rsidRDefault="00B010E6" w:rsidP="00B010E6">
            <w:pPr>
              <w:jc w:val="center"/>
              <w:rPr>
                <w:rFonts w:eastAsia="Times New Roman"/>
                <w:color w:val="000000"/>
                <w:sz w:val="16"/>
                <w:szCs w:val="16"/>
                <w:lang w:eastAsia="hr-HR"/>
              </w:rPr>
            </w:pPr>
            <w:r w:rsidRPr="00FB2B5D">
              <w:rPr>
                <w:rFonts w:eastAsia="Times New Roman"/>
                <w:color w:val="000000"/>
                <w:sz w:val="16"/>
                <w:szCs w:val="16"/>
                <w:lang w:eastAsia="hr-HR"/>
              </w:rPr>
              <w:t>26</w:t>
            </w:r>
          </w:p>
        </w:tc>
        <w:tc>
          <w:tcPr>
            <w:tcW w:w="992" w:type="dxa"/>
            <w:shd w:val="clear" w:color="auto" w:fill="auto"/>
            <w:noWrap/>
            <w:vAlign w:val="center"/>
          </w:tcPr>
          <w:p w14:paraId="192FC53B" w14:textId="77777777" w:rsidR="00B010E6" w:rsidRPr="00FB2B5D" w:rsidRDefault="00B010E6" w:rsidP="00B010E6">
            <w:pPr>
              <w:jc w:val="center"/>
              <w:rPr>
                <w:rFonts w:eastAsia="Times New Roman"/>
                <w:color w:val="000000"/>
                <w:sz w:val="16"/>
                <w:szCs w:val="16"/>
                <w:lang w:eastAsia="hr-HR"/>
              </w:rPr>
            </w:pPr>
            <w:r w:rsidRPr="00FB2B5D">
              <w:rPr>
                <w:rFonts w:eastAsia="Times New Roman"/>
                <w:color w:val="000000"/>
                <w:sz w:val="16"/>
                <w:szCs w:val="16"/>
                <w:lang w:eastAsia="hr-HR"/>
              </w:rPr>
              <w:t>2.837</w:t>
            </w:r>
          </w:p>
        </w:tc>
        <w:tc>
          <w:tcPr>
            <w:tcW w:w="850" w:type="dxa"/>
            <w:shd w:val="clear" w:color="auto" w:fill="auto"/>
            <w:vAlign w:val="center"/>
          </w:tcPr>
          <w:p w14:paraId="58AE2E0A" w14:textId="77777777" w:rsidR="00B010E6" w:rsidRPr="00FB2B5D" w:rsidRDefault="00B010E6" w:rsidP="00B010E6">
            <w:pPr>
              <w:jc w:val="center"/>
              <w:rPr>
                <w:rFonts w:eastAsia="Times New Roman"/>
                <w:color w:val="000000"/>
                <w:sz w:val="16"/>
                <w:szCs w:val="16"/>
                <w:lang w:eastAsia="hr-HR"/>
              </w:rPr>
            </w:pPr>
            <w:r w:rsidRPr="00FB2B5D">
              <w:rPr>
                <w:rFonts w:eastAsia="Times New Roman"/>
                <w:color w:val="000000"/>
                <w:sz w:val="16"/>
                <w:szCs w:val="16"/>
                <w:lang w:eastAsia="hr-HR"/>
              </w:rPr>
              <w:t>4</w:t>
            </w:r>
          </w:p>
        </w:tc>
        <w:tc>
          <w:tcPr>
            <w:tcW w:w="993" w:type="dxa"/>
            <w:shd w:val="clear" w:color="auto" w:fill="auto"/>
            <w:noWrap/>
            <w:vAlign w:val="center"/>
          </w:tcPr>
          <w:p w14:paraId="2D292C05" w14:textId="77777777" w:rsidR="00B010E6" w:rsidRPr="00FB2B5D" w:rsidRDefault="00B010E6" w:rsidP="00B010E6">
            <w:pPr>
              <w:jc w:val="center"/>
              <w:rPr>
                <w:rFonts w:eastAsia="Times New Roman"/>
                <w:color w:val="000000"/>
                <w:sz w:val="16"/>
                <w:szCs w:val="16"/>
                <w:lang w:eastAsia="hr-HR"/>
              </w:rPr>
            </w:pPr>
            <w:r w:rsidRPr="00FB2B5D">
              <w:rPr>
                <w:rFonts w:eastAsia="Times New Roman"/>
                <w:color w:val="000000"/>
                <w:sz w:val="16"/>
                <w:szCs w:val="16"/>
                <w:lang w:eastAsia="hr-HR"/>
              </w:rPr>
              <w:t>13.906</w:t>
            </w:r>
          </w:p>
        </w:tc>
        <w:tc>
          <w:tcPr>
            <w:tcW w:w="992" w:type="dxa"/>
            <w:shd w:val="clear" w:color="auto" w:fill="auto"/>
            <w:noWrap/>
            <w:vAlign w:val="center"/>
          </w:tcPr>
          <w:p w14:paraId="1F8A955C" w14:textId="77777777" w:rsidR="00B010E6" w:rsidRPr="00FB2B5D" w:rsidRDefault="00B010E6" w:rsidP="00B010E6">
            <w:pPr>
              <w:jc w:val="center"/>
              <w:rPr>
                <w:rFonts w:eastAsia="Times New Roman"/>
                <w:color w:val="000000"/>
                <w:sz w:val="16"/>
                <w:szCs w:val="16"/>
                <w:lang w:eastAsia="hr-HR"/>
              </w:rPr>
            </w:pPr>
            <w:r w:rsidRPr="00FB2B5D">
              <w:rPr>
                <w:rFonts w:eastAsia="Times New Roman"/>
                <w:color w:val="000000"/>
                <w:sz w:val="16"/>
                <w:szCs w:val="16"/>
                <w:lang w:eastAsia="hr-HR"/>
              </w:rPr>
              <w:t>2</w:t>
            </w:r>
          </w:p>
        </w:tc>
        <w:tc>
          <w:tcPr>
            <w:tcW w:w="1021" w:type="dxa"/>
            <w:shd w:val="clear" w:color="auto" w:fill="auto"/>
            <w:noWrap/>
            <w:vAlign w:val="center"/>
          </w:tcPr>
          <w:p w14:paraId="2290A039" w14:textId="77777777" w:rsidR="00B010E6" w:rsidRPr="00FB2B5D" w:rsidRDefault="00B010E6" w:rsidP="00B010E6">
            <w:pPr>
              <w:jc w:val="center"/>
              <w:rPr>
                <w:rFonts w:eastAsia="Times New Roman"/>
                <w:color w:val="000000"/>
                <w:sz w:val="16"/>
                <w:szCs w:val="16"/>
                <w:lang w:eastAsia="hr-HR"/>
              </w:rPr>
            </w:pPr>
            <w:r w:rsidRPr="00FB2B5D">
              <w:rPr>
                <w:rFonts w:eastAsia="Times New Roman"/>
                <w:color w:val="000000"/>
                <w:sz w:val="16"/>
                <w:szCs w:val="16"/>
                <w:lang w:eastAsia="hr-HR"/>
              </w:rPr>
              <w:t>57.376</w:t>
            </w:r>
          </w:p>
        </w:tc>
        <w:tc>
          <w:tcPr>
            <w:tcW w:w="867" w:type="dxa"/>
            <w:shd w:val="clear" w:color="auto" w:fill="auto"/>
            <w:noWrap/>
            <w:vAlign w:val="center"/>
          </w:tcPr>
          <w:p w14:paraId="215F6E38" w14:textId="77777777" w:rsidR="00B010E6" w:rsidRPr="00FB2B5D" w:rsidRDefault="00B010E6" w:rsidP="00B010E6">
            <w:pPr>
              <w:jc w:val="center"/>
              <w:rPr>
                <w:rFonts w:eastAsia="Times New Roman"/>
                <w:color w:val="000000"/>
                <w:sz w:val="16"/>
                <w:szCs w:val="16"/>
                <w:lang w:eastAsia="hr-HR"/>
              </w:rPr>
            </w:pPr>
            <w:r w:rsidRPr="00FB2B5D">
              <w:rPr>
                <w:rFonts w:eastAsia="Times New Roman"/>
                <w:color w:val="000000"/>
                <w:sz w:val="16"/>
                <w:szCs w:val="16"/>
                <w:lang w:eastAsia="hr-HR"/>
              </w:rPr>
              <w:t>32</w:t>
            </w:r>
          </w:p>
        </w:tc>
        <w:tc>
          <w:tcPr>
            <w:tcW w:w="805" w:type="dxa"/>
            <w:shd w:val="clear" w:color="auto" w:fill="auto"/>
            <w:vAlign w:val="center"/>
          </w:tcPr>
          <w:p w14:paraId="65142712" w14:textId="77777777" w:rsidR="00B010E6" w:rsidRPr="00FB2B5D" w:rsidRDefault="00B010E6" w:rsidP="00B010E6">
            <w:pPr>
              <w:jc w:val="center"/>
              <w:rPr>
                <w:rFonts w:eastAsia="Times New Roman"/>
                <w:bCs/>
                <w:color w:val="000000"/>
                <w:sz w:val="16"/>
                <w:szCs w:val="16"/>
                <w:lang w:eastAsia="hr-HR"/>
              </w:rPr>
            </w:pPr>
            <w:r w:rsidRPr="00FB2B5D">
              <w:rPr>
                <w:rFonts w:eastAsia="Times New Roman"/>
                <w:bCs/>
                <w:color w:val="000000"/>
                <w:sz w:val="16"/>
                <w:szCs w:val="16"/>
                <w:lang w:eastAsia="hr-HR"/>
              </w:rPr>
              <w:t>57.408</w:t>
            </w:r>
          </w:p>
        </w:tc>
      </w:tr>
      <w:tr w:rsidR="00B010E6" w:rsidRPr="001B4CA2" w14:paraId="6564775E" w14:textId="77777777" w:rsidTr="003E79A0">
        <w:trPr>
          <w:trHeight w:val="397"/>
          <w:jc w:val="center"/>
        </w:trPr>
        <w:tc>
          <w:tcPr>
            <w:tcW w:w="986" w:type="dxa"/>
            <w:shd w:val="clear" w:color="auto" w:fill="auto"/>
            <w:noWrap/>
            <w:vAlign w:val="center"/>
            <w:hideMark/>
          </w:tcPr>
          <w:p w14:paraId="1526D5EA"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2019.</w:t>
            </w:r>
          </w:p>
        </w:tc>
        <w:tc>
          <w:tcPr>
            <w:tcW w:w="863" w:type="dxa"/>
            <w:shd w:val="clear" w:color="auto" w:fill="auto"/>
            <w:noWrap/>
            <w:vAlign w:val="center"/>
          </w:tcPr>
          <w:p w14:paraId="0DE9250A" w14:textId="77777777" w:rsidR="00B010E6" w:rsidRPr="00FB2B5D" w:rsidRDefault="00B010E6" w:rsidP="00B010E6">
            <w:pPr>
              <w:jc w:val="center"/>
              <w:rPr>
                <w:rFonts w:eastAsia="Calibri"/>
                <w:color w:val="000000"/>
                <w:sz w:val="16"/>
                <w:szCs w:val="16"/>
              </w:rPr>
            </w:pPr>
            <w:r w:rsidRPr="00FB2B5D">
              <w:rPr>
                <w:rFonts w:eastAsia="Calibri"/>
                <w:color w:val="000000"/>
                <w:sz w:val="16"/>
                <w:szCs w:val="16"/>
              </w:rPr>
              <w:t>47.094</w:t>
            </w:r>
          </w:p>
        </w:tc>
        <w:tc>
          <w:tcPr>
            <w:tcW w:w="851" w:type="dxa"/>
            <w:shd w:val="clear" w:color="auto" w:fill="auto"/>
            <w:vAlign w:val="center"/>
          </w:tcPr>
          <w:p w14:paraId="443E987F" w14:textId="77777777" w:rsidR="00B010E6" w:rsidRPr="00FB2B5D" w:rsidRDefault="00B010E6" w:rsidP="00B010E6">
            <w:pPr>
              <w:jc w:val="center"/>
              <w:rPr>
                <w:rFonts w:eastAsia="Calibri"/>
                <w:color w:val="000000"/>
                <w:sz w:val="16"/>
                <w:szCs w:val="16"/>
              </w:rPr>
            </w:pPr>
            <w:r w:rsidRPr="00FB2B5D">
              <w:rPr>
                <w:rFonts w:eastAsia="Calibri"/>
                <w:color w:val="000000"/>
                <w:sz w:val="16"/>
                <w:szCs w:val="16"/>
              </w:rPr>
              <w:t>16</w:t>
            </w:r>
          </w:p>
        </w:tc>
        <w:tc>
          <w:tcPr>
            <w:tcW w:w="992" w:type="dxa"/>
            <w:shd w:val="clear" w:color="auto" w:fill="auto"/>
            <w:noWrap/>
            <w:vAlign w:val="center"/>
          </w:tcPr>
          <w:p w14:paraId="306D0BE4" w14:textId="77777777" w:rsidR="00B010E6" w:rsidRPr="00FB2B5D" w:rsidRDefault="00B010E6" w:rsidP="00B010E6">
            <w:pPr>
              <w:jc w:val="center"/>
              <w:rPr>
                <w:rFonts w:eastAsia="Times New Roman"/>
                <w:color w:val="000000"/>
                <w:sz w:val="16"/>
                <w:szCs w:val="16"/>
                <w:lang w:eastAsia="hr-HR"/>
              </w:rPr>
            </w:pPr>
            <w:r w:rsidRPr="00FB2B5D">
              <w:rPr>
                <w:rFonts w:eastAsia="Times New Roman"/>
                <w:color w:val="000000"/>
                <w:sz w:val="16"/>
                <w:szCs w:val="16"/>
                <w:lang w:eastAsia="hr-HR"/>
              </w:rPr>
              <w:t>3.529</w:t>
            </w:r>
          </w:p>
        </w:tc>
        <w:tc>
          <w:tcPr>
            <w:tcW w:w="850" w:type="dxa"/>
            <w:shd w:val="clear" w:color="auto" w:fill="auto"/>
            <w:vAlign w:val="center"/>
          </w:tcPr>
          <w:p w14:paraId="626DF5CE" w14:textId="77777777" w:rsidR="00B010E6" w:rsidRPr="00FB2B5D" w:rsidRDefault="00B010E6" w:rsidP="00B010E6">
            <w:pPr>
              <w:jc w:val="center"/>
              <w:rPr>
                <w:rFonts w:eastAsia="Times New Roman"/>
                <w:color w:val="000000"/>
                <w:sz w:val="16"/>
                <w:szCs w:val="16"/>
                <w:lang w:eastAsia="hr-HR"/>
              </w:rPr>
            </w:pPr>
            <w:r w:rsidRPr="00FB2B5D">
              <w:rPr>
                <w:rFonts w:eastAsia="Times New Roman"/>
                <w:color w:val="000000"/>
                <w:sz w:val="16"/>
                <w:szCs w:val="16"/>
                <w:lang w:eastAsia="hr-HR"/>
              </w:rPr>
              <w:t>-</w:t>
            </w:r>
          </w:p>
        </w:tc>
        <w:tc>
          <w:tcPr>
            <w:tcW w:w="993" w:type="dxa"/>
            <w:shd w:val="clear" w:color="auto" w:fill="auto"/>
            <w:noWrap/>
            <w:vAlign w:val="center"/>
          </w:tcPr>
          <w:p w14:paraId="2F7BC0B8" w14:textId="77777777" w:rsidR="00B010E6" w:rsidRPr="00FB2B5D" w:rsidRDefault="00B010E6" w:rsidP="00B010E6">
            <w:pPr>
              <w:jc w:val="center"/>
              <w:rPr>
                <w:rFonts w:eastAsia="Calibri"/>
                <w:sz w:val="16"/>
                <w:szCs w:val="16"/>
              </w:rPr>
            </w:pPr>
            <w:r w:rsidRPr="00FB2B5D">
              <w:rPr>
                <w:rFonts w:eastAsia="Calibri"/>
                <w:sz w:val="16"/>
                <w:szCs w:val="16"/>
              </w:rPr>
              <w:t>14.305</w:t>
            </w:r>
          </w:p>
        </w:tc>
        <w:tc>
          <w:tcPr>
            <w:tcW w:w="992" w:type="dxa"/>
            <w:shd w:val="clear" w:color="auto" w:fill="auto"/>
            <w:noWrap/>
            <w:vAlign w:val="center"/>
          </w:tcPr>
          <w:p w14:paraId="399D275D" w14:textId="77777777" w:rsidR="00B010E6" w:rsidRPr="00FB2B5D" w:rsidRDefault="00B010E6" w:rsidP="00B010E6">
            <w:pPr>
              <w:jc w:val="center"/>
              <w:rPr>
                <w:rFonts w:eastAsia="Calibri"/>
                <w:sz w:val="16"/>
                <w:szCs w:val="16"/>
              </w:rPr>
            </w:pPr>
            <w:r w:rsidRPr="00FB2B5D">
              <w:rPr>
                <w:rFonts w:eastAsia="Calibri"/>
                <w:sz w:val="16"/>
                <w:szCs w:val="16"/>
              </w:rPr>
              <w:t>5</w:t>
            </w:r>
          </w:p>
        </w:tc>
        <w:tc>
          <w:tcPr>
            <w:tcW w:w="1021" w:type="dxa"/>
            <w:shd w:val="clear" w:color="auto" w:fill="auto"/>
            <w:noWrap/>
            <w:vAlign w:val="center"/>
          </w:tcPr>
          <w:p w14:paraId="5CFBF06D" w14:textId="77777777" w:rsidR="00B010E6" w:rsidRPr="00FB2B5D" w:rsidRDefault="00B010E6" w:rsidP="00B010E6">
            <w:pPr>
              <w:jc w:val="center"/>
              <w:rPr>
                <w:rFonts w:eastAsia="Times New Roman"/>
                <w:bCs/>
                <w:color w:val="000000"/>
                <w:sz w:val="16"/>
                <w:szCs w:val="16"/>
                <w:lang w:eastAsia="hr-HR"/>
              </w:rPr>
            </w:pPr>
            <w:r w:rsidRPr="00FB2B5D">
              <w:rPr>
                <w:rFonts w:eastAsia="Times New Roman"/>
                <w:bCs/>
                <w:color w:val="000000"/>
                <w:sz w:val="16"/>
                <w:szCs w:val="16"/>
                <w:lang w:eastAsia="hr-HR"/>
              </w:rPr>
              <w:t>64.928</w:t>
            </w:r>
          </w:p>
        </w:tc>
        <w:tc>
          <w:tcPr>
            <w:tcW w:w="867" w:type="dxa"/>
            <w:shd w:val="clear" w:color="auto" w:fill="auto"/>
            <w:noWrap/>
            <w:vAlign w:val="center"/>
          </w:tcPr>
          <w:p w14:paraId="4843770A" w14:textId="77777777" w:rsidR="00B010E6" w:rsidRPr="00FB2B5D" w:rsidRDefault="00B010E6" w:rsidP="00B010E6">
            <w:pPr>
              <w:jc w:val="center"/>
              <w:rPr>
                <w:rFonts w:eastAsia="Times New Roman"/>
                <w:bCs/>
                <w:color w:val="000000"/>
                <w:sz w:val="16"/>
                <w:szCs w:val="16"/>
                <w:lang w:eastAsia="hr-HR"/>
              </w:rPr>
            </w:pPr>
            <w:r w:rsidRPr="00FB2B5D">
              <w:rPr>
                <w:rFonts w:eastAsia="Times New Roman"/>
                <w:bCs/>
                <w:color w:val="000000"/>
                <w:sz w:val="16"/>
                <w:szCs w:val="16"/>
                <w:lang w:eastAsia="hr-HR"/>
              </w:rPr>
              <w:t>21</w:t>
            </w:r>
          </w:p>
        </w:tc>
        <w:tc>
          <w:tcPr>
            <w:tcW w:w="805" w:type="dxa"/>
            <w:shd w:val="clear" w:color="auto" w:fill="auto"/>
            <w:vAlign w:val="center"/>
          </w:tcPr>
          <w:p w14:paraId="5F3A949F" w14:textId="77777777" w:rsidR="00B010E6" w:rsidRPr="00FB2B5D" w:rsidRDefault="00B010E6" w:rsidP="00B010E6">
            <w:pPr>
              <w:jc w:val="center"/>
              <w:rPr>
                <w:rFonts w:eastAsia="Times New Roman"/>
                <w:bCs/>
                <w:color w:val="000000"/>
                <w:sz w:val="16"/>
                <w:szCs w:val="16"/>
                <w:lang w:eastAsia="hr-HR"/>
              </w:rPr>
            </w:pPr>
            <w:r w:rsidRPr="00FB2B5D">
              <w:rPr>
                <w:rFonts w:eastAsia="Times New Roman"/>
                <w:bCs/>
                <w:color w:val="000000"/>
                <w:sz w:val="16"/>
                <w:szCs w:val="16"/>
                <w:lang w:eastAsia="hr-HR"/>
              </w:rPr>
              <w:t>64.949</w:t>
            </w:r>
          </w:p>
        </w:tc>
      </w:tr>
      <w:tr w:rsidR="00B010E6" w:rsidRPr="001B4CA2" w14:paraId="1F591251" w14:textId="77777777" w:rsidTr="003E79A0">
        <w:trPr>
          <w:trHeight w:val="397"/>
          <w:jc w:val="center"/>
        </w:trPr>
        <w:tc>
          <w:tcPr>
            <w:tcW w:w="986" w:type="dxa"/>
            <w:shd w:val="clear" w:color="auto" w:fill="auto"/>
            <w:noWrap/>
            <w:vAlign w:val="center"/>
            <w:hideMark/>
          </w:tcPr>
          <w:p w14:paraId="5A4448A8"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2020.</w:t>
            </w:r>
          </w:p>
        </w:tc>
        <w:tc>
          <w:tcPr>
            <w:tcW w:w="863" w:type="dxa"/>
            <w:shd w:val="clear" w:color="auto" w:fill="auto"/>
            <w:noWrap/>
            <w:vAlign w:val="center"/>
          </w:tcPr>
          <w:p w14:paraId="08A44A5F" w14:textId="77777777" w:rsidR="00B010E6" w:rsidRPr="00FB2B5D" w:rsidRDefault="00B010E6" w:rsidP="00B010E6">
            <w:pPr>
              <w:jc w:val="center"/>
              <w:rPr>
                <w:bCs/>
                <w:sz w:val="16"/>
                <w:szCs w:val="16"/>
              </w:rPr>
            </w:pPr>
            <w:r w:rsidRPr="00FB2B5D">
              <w:rPr>
                <w:bCs/>
                <w:sz w:val="16"/>
                <w:szCs w:val="16"/>
              </w:rPr>
              <w:t>49.307</w:t>
            </w:r>
          </w:p>
        </w:tc>
        <w:tc>
          <w:tcPr>
            <w:tcW w:w="851" w:type="dxa"/>
            <w:shd w:val="clear" w:color="auto" w:fill="auto"/>
            <w:vAlign w:val="center"/>
          </w:tcPr>
          <w:p w14:paraId="21C5E339" w14:textId="77777777" w:rsidR="00B010E6" w:rsidRPr="00FB2B5D" w:rsidRDefault="00B010E6" w:rsidP="00B010E6">
            <w:pPr>
              <w:jc w:val="center"/>
              <w:rPr>
                <w:bCs/>
                <w:sz w:val="16"/>
                <w:szCs w:val="16"/>
              </w:rPr>
            </w:pPr>
            <w:r w:rsidRPr="00FB2B5D">
              <w:rPr>
                <w:bCs/>
                <w:sz w:val="16"/>
                <w:szCs w:val="16"/>
              </w:rPr>
              <w:t>11</w:t>
            </w:r>
          </w:p>
        </w:tc>
        <w:tc>
          <w:tcPr>
            <w:tcW w:w="992" w:type="dxa"/>
            <w:shd w:val="clear" w:color="auto" w:fill="auto"/>
            <w:noWrap/>
            <w:vAlign w:val="center"/>
          </w:tcPr>
          <w:p w14:paraId="3FAACAD6" w14:textId="77777777" w:rsidR="00B010E6" w:rsidRPr="00FB2B5D" w:rsidRDefault="00B010E6" w:rsidP="00B010E6">
            <w:pPr>
              <w:jc w:val="center"/>
              <w:rPr>
                <w:bCs/>
                <w:sz w:val="16"/>
                <w:szCs w:val="16"/>
              </w:rPr>
            </w:pPr>
            <w:r w:rsidRPr="00FB2B5D">
              <w:rPr>
                <w:bCs/>
                <w:sz w:val="16"/>
                <w:szCs w:val="16"/>
              </w:rPr>
              <w:t>3.304</w:t>
            </w:r>
          </w:p>
        </w:tc>
        <w:tc>
          <w:tcPr>
            <w:tcW w:w="850" w:type="dxa"/>
            <w:shd w:val="clear" w:color="auto" w:fill="auto"/>
            <w:vAlign w:val="center"/>
          </w:tcPr>
          <w:p w14:paraId="16345860" w14:textId="77777777" w:rsidR="00B010E6" w:rsidRPr="00FB2B5D" w:rsidRDefault="00B010E6" w:rsidP="00B010E6">
            <w:pPr>
              <w:jc w:val="center"/>
              <w:rPr>
                <w:bCs/>
                <w:sz w:val="16"/>
                <w:szCs w:val="16"/>
              </w:rPr>
            </w:pPr>
            <w:r w:rsidRPr="00FB2B5D">
              <w:rPr>
                <w:bCs/>
                <w:sz w:val="16"/>
                <w:szCs w:val="16"/>
              </w:rPr>
              <w:t>-</w:t>
            </w:r>
          </w:p>
        </w:tc>
        <w:tc>
          <w:tcPr>
            <w:tcW w:w="993" w:type="dxa"/>
            <w:shd w:val="clear" w:color="auto" w:fill="auto"/>
            <w:noWrap/>
            <w:vAlign w:val="center"/>
          </w:tcPr>
          <w:p w14:paraId="712F0C2D" w14:textId="77777777" w:rsidR="00B010E6" w:rsidRPr="00FB2B5D" w:rsidRDefault="00B010E6" w:rsidP="00B010E6">
            <w:pPr>
              <w:jc w:val="center"/>
              <w:rPr>
                <w:bCs/>
                <w:sz w:val="16"/>
                <w:szCs w:val="16"/>
              </w:rPr>
            </w:pPr>
            <w:r w:rsidRPr="00FB2B5D">
              <w:rPr>
                <w:bCs/>
                <w:sz w:val="16"/>
                <w:szCs w:val="16"/>
              </w:rPr>
              <w:t>14.671</w:t>
            </w:r>
          </w:p>
        </w:tc>
        <w:tc>
          <w:tcPr>
            <w:tcW w:w="992" w:type="dxa"/>
            <w:shd w:val="clear" w:color="auto" w:fill="auto"/>
            <w:noWrap/>
            <w:vAlign w:val="center"/>
          </w:tcPr>
          <w:p w14:paraId="34F3081E" w14:textId="77777777" w:rsidR="00B010E6" w:rsidRPr="00FB2B5D" w:rsidRDefault="00B010E6" w:rsidP="00B010E6">
            <w:pPr>
              <w:jc w:val="center"/>
              <w:rPr>
                <w:bCs/>
                <w:sz w:val="16"/>
                <w:szCs w:val="16"/>
              </w:rPr>
            </w:pPr>
            <w:r w:rsidRPr="00FB2B5D">
              <w:rPr>
                <w:bCs/>
                <w:sz w:val="16"/>
                <w:szCs w:val="16"/>
              </w:rPr>
              <w:t>-</w:t>
            </w:r>
          </w:p>
        </w:tc>
        <w:tc>
          <w:tcPr>
            <w:tcW w:w="1021" w:type="dxa"/>
            <w:shd w:val="clear" w:color="auto" w:fill="auto"/>
            <w:noWrap/>
            <w:vAlign w:val="center"/>
          </w:tcPr>
          <w:p w14:paraId="6A8B44C8" w14:textId="77777777" w:rsidR="00B010E6" w:rsidRPr="00FB2B5D" w:rsidRDefault="00B010E6" w:rsidP="00B010E6">
            <w:pPr>
              <w:jc w:val="center"/>
              <w:rPr>
                <w:bCs/>
                <w:sz w:val="16"/>
                <w:szCs w:val="16"/>
              </w:rPr>
            </w:pPr>
            <w:r w:rsidRPr="00FB2B5D">
              <w:rPr>
                <w:bCs/>
                <w:sz w:val="16"/>
                <w:szCs w:val="16"/>
              </w:rPr>
              <w:t>67.282</w:t>
            </w:r>
          </w:p>
        </w:tc>
        <w:tc>
          <w:tcPr>
            <w:tcW w:w="867" w:type="dxa"/>
            <w:shd w:val="clear" w:color="auto" w:fill="auto"/>
            <w:noWrap/>
            <w:vAlign w:val="center"/>
          </w:tcPr>
          <w:p w14:paraId="7BDA9D58" w14:textId="77777777" w:rsidR="00B010E6" w:rsidRPr="00FB2B5D" w:rsidRDefault="00B010E6" w:rsidP="00B010E6">
            <w:pPr>
              <w:jc w:val="center"/>
              <w:rPr>
                <w:bCs/>
                <w:sz w:val="16"/>
                <w:szCs w:val="16"/>
              </w:rPr>
            </w:pPr>
            <w:r w:rsidRPr="00FB2B5D">
              <w:rPr>
                <w:bCs/>
                <w:sz w:val="16"/>
                <w:szCs w:val="16"/>
              </w:rPr>
              <w:t>11</w:t>
            </w:r>
          </w:p>
        </w:tc>
        <w:tc>
          <w:tcPr>
            <w:tcW w:w="805" w:type="dxa"/>
            <w:shd w:val="clear" w:color="auto" w:fill="auto"/>
            <w:vAlign w:val="center"/>
          </w:tcPr>
          <w:p w14:paraId="0CD3405E" w14:textId="77777777" w:rsidR="00B010E6" w:rsidRPr="00FB2B5D" w:rsidRDefault="00B010E6" w:rsidP="00B010E6">
            <w:pPr>
              <w:jc w:val="center"/>
              <w:rPr>
                <w:sz w:val="16"/>
                <w:szCs w:val="16"/>
                <w:lang w:eastAsia="hr-HR"/>
              </w:rPr>
            </w:pPr>
            <w:r w:rsidRPr="00FB2B5D">
              <w:rPr>
                <w:sz w:val="16"/>
                <w:szCs w:val="16"/>
                <w:lang w:eastAsia="hr-HR"/>
              </w:rPr>
              <w:t>67.293</w:t>
            </w:r>
          </w:p>
        </w:tc>
      </w:tr>
      <w:tr w:rsidR="00B010E6" w:rsidRPr="001B4CA2" w14:paraId="1330B070" w14:textId="77777777" w:rsidTr="003E79A0">
        <w:trPr>
          <w:trHeight w:val="397"/>
          <w:jc w:val="center"/>
        </w:trPr>
        <w:tc>
          <w:tcPr>
            <w:tcW w:w="986" w:type="dxa"/>
            <w:shd w:val="clear" w:color="auto" w:fill="auto"/>
            <w:noWrap/>
            <w:vAlign w:val="center"/>
          </w:tcPr>
          <w:p w14:paraId="372081CC"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2021.</w:t>
            </w:r>
          </w:p>
        </w:tc>
        <w:tc>
          <w:tcPr>
            <w:tcW w:w="863" w:type="dxa"/>
            <w:shd w:val="clear" w:color="auto" w:fill="auto"/>
            <w:noWrap/>
            <w:vAlign w:val="center"/>
          </w:tcPr>
          <w:p w14:paraId="752036D0" w14:textId="77777777" w:rsidR="00B010E6" w:rsidRPr="00FB2B5D" w:rsidRDefault="00B010E6" w:rsidP="00B010E6">
            <w:pPr>
              <w:jc w:val="center"/>
              <w:rPr>
                <w:bCs/>
                <w:sz w:val="16"/>
                <w:szCs w:val="16"/>
              </w:rPr>
            </w:pPr>
            <w:r w:rsidRPr="00FB2B5D">
              <w:rPr>
                <w:bCs/>
                <w:sz w:val="16"/>
                <w:szCs w:val="16"/>
              </w:rPr>
              <w:t>53.630</w:t>
            </w:r>
          </w:p>
        </w:tc>
        <w:tc>
          <w:tcPr>
            <w:tcW w:w="851" w:type="dxa"/>
            <w:shd w:val="clear" w:color="auto" w:fill="auto"/>
            <w:vAlign w:val="center"/>
          </w:tcPr>
          <w:p w14:paraId="6FE3C33E" w14:textId="77777777" w:rsidR="00B010E6" w:rsidRPr="00FB2B5D" w:rsidRDefault="00B010E6" w:rsidP="00B010E6">
            <w:pPr>
              <w:jc w:val="center"/>
              <w:rPr>
                <w:bCs/>
                <w:sz w:val="16"/>
                <w:szCs w:val="16"/>
              </w:rPr>
            </w:pPr>
            <w:r w:rsidRPr="00FB2B5D">
              <w:rPr>
                <w:bCs/>
                <w:sz w:val="16"/>
                <w:szCs w:val="16"/>
              </w:rPr>
              <w:t>19</w:t>
            </w:r>
          </w:p>
        </w:tc>
        <w:tc>
          <w:tcPr>
            <w:tcW w:w="992" w:type="dxa"/>
            <w:shd w:val="clear" w:color="auto" w:fill="auto"/>
            <w:noWrap/>
            <w:vAlign w:val="center"/>
          </w:tcPr>
          <w:p w14:paraId="0FC62121" w14:textId="77777777" w:rsidR="00B010E6" w:rsidRPr="00FB2B5D" w:rsidRDefault="00B010E6" w:rsidP="00B010E6">
            <w:pPr>
              <w:jc w:val="center"/>
              <w:rPr>
                <w:bCs/>
                <w:sz w:val="16"/>
                <w:szCs w:val="16"/>
              </w:rPr>
            </w:pPr>
            <w:r w:rsidRPr="00FB2B5D">
              <w:rPr>
                <w:bCs/>
                <w:sz w:val="16"/>
                <w:szCs w:val="16"/>
              </w:rPr>
              <w:t>3.624</w:t>
            </w:r>
          </w:p>
        </w:tc>
        <w:tc>
          <w:tcPr>
            <w:tcW w:w="850" w:type="dxa"/>
            <w:shd w:val="clear" w:color="auto" w:fill="auto"/>
            <w:vAlign w:val="center"/>
          </w:tcPr>
          <w:p w14:paraId="3EF1AF5A" w14:textId="77777777" w:rsidR="00B010E6" w:rsidRPr="00FB2B5D" w:rsidRDefault="00B010E6" w:rsidP="00B010E6">
            <w:pPr>
              <w:jc w:val="center"/>
              <w:rPr>
                <w:bCs/>
                <w:sz w:val="16"/>
                <w:szCs w:val="16"/>
              </w:rPr>
            </w:pPr>
            <w:r w:rsidRPr="00FB2B5D">
              <w:rPr>
                <w:bCs/>
                <w:sz w:val="16"/>
                <w:szCs w:val="16"/>
              </w:rPr>
              <w:t>1</w:t>
            </w:r>
          </w:p>
        </w:tc>
        <w:tc>
          <w:tcPr>
            <w:tcW w:w="993" w:type="dxa"/>
            <w:shd w:val="clear" w:color="auto" w:fill="auto"/>
            <w:noWrap/>
            <w:vAlign w:val="center"/>
          </w:tcPr>
          <w:p w14:paraId="58E0EAA8" w14:textId="77777777" w:rsidR="00B010E6" w:rsidRPr="00FB2B5D" w:rsidRDefault="00B010E6" w:rsidP="00B010E6">
            <w:pPr>
              <w:jc w:val="center"/>
              <w:rPr>
                <w:bCs/>
                <w:sz w:val="16"/>
                <w:szCs w:val="16"/>
              </w:rPr>
            </w:pPr>
            <w:r w:rsidRPr="00FB2B5D">
              <w:rPr>
                <w:bCs/>
                <w:sz w:val="16"/>
                <w:szCs w:val="16"/>
              </w:rPr>
              <w:t>22.392</w:t>
            </w:r>
          </w:p>
        </w:tc>
        <w:tc>
          <w:tcPr>
            <w:tcW w:w="992" w:type="dxa"/>
            <w:shd w:val="clear" w:color="auto" w:fill="auto"/>
            <w:noWrap/>
            <w:vAlign w:val="center"/>
          </w:tcPr>
          <w:p w14:paraId="47971C80" w14:textId="77777777" w:rsidR="00B010E6" w:rsidRPr="00FB2B5D" w:rsidRDefault="00B010E6" w:rsidP="00B010E6">
            <w:pPr>
              <w:jc w:val="center"/>
              <w:rPr>
                <w:bCs/>
                <w:sz w:val="16"/>
                <w:szCs w:val="16"/>
              </w:rPr>
            </w:pPr>
            <w:r w:rsidRPr="00FB2B5D">
              <w:rPr>
                <w:bCs/>
                <w:sz w:val="16"/>
                <w:szCs w:val="16"/>
              </w:rPr>
              <w:t>-</w:t>
            </w:r>
          </w:p>
        </w:tc>
        <w:tc>
          <w:tcPr>
            <w:tcW w:w="1021" w:type="dxa"/>
            <w:shd w:val="clear" w:color="auto" w:fill="auto"/>
            <w:noWrap/>
            <w:vAlign w:val="center"/>
          </w:tcPr>
          <w:p w14:paraId="0B2D42CE" w14:textId="77777777" w:rsidR="00B010E6" w:rsidRPr="00FB2B5D" w:rsidRDefault="00B010E6" w:rsidP="00B010E6">
            <w:pPr>
              <w:jc w:val="center"/>
              <w:rPr>
                <w:bCs/>
                <w:sz w:val="16"/>
                <w:szCs w:val="16"/>
              </w:rPr>
            </w:pPr>
            <w:r w:rsidRPr="00FB2B5D">
              <w:rPr>
                <w:bCs/>
                <w:sz w:val="16"/>
                <w:szCs w:val="16"/>
              </w:rPr>
              <w:t>79.646</w:t>
            </w:r>
          </w:p>
        </w:tc>
        <w:tc>
          <w:tcPr>
            <w:tcW w:w="867" w:type="dxa"/>
            <w:shd w:val="clear" w:color="auto" w:fill="auto"/>
            <w:noWrap/>
            <w:vAlign w:val="center"/>
          </w:tcPr>
          <w:p w14:paraId="62688651" w14:textId="77777777" w:rsidR="00B010E6" w:rsidRPr="00FB2B5D" w:rsidRDefault="00B010E6" w:rsidP="00B010E6">
            <w:pPr>
              <w:jc w:val="center"/>
              <w:rPr>
                <w:bCs/>
                <w:sz w:val="16"/>
                <w:szCs w:val="16"/>
              </w:rPr>
            </w:pPr>
            <w:r w:rsidRPr="00FB2B5D">
              <w:rPr>
                <w:bCs/>
                <w:sz w:val="16"/>
                <w:szCs w:val="16"/>
              </w:rPr>
              <w:t>20</w:t>
            </w:r>
          </w:p>
        </w:tc>
        <w:tc>
          <w:tcPr>
            <w:tcW w:w="805" w:type="dxa"/>
            <w:shd w:val="clear" w:color="auto" w:fill="auto"/>
            <w:vAlign w:val="center"/>
          </w:tcPr>
          <w:p w14:paraId="5EF5B514" w14:textId="77777777" w:rsidR="00B010E6" w:rsidRPr="00FB2B5D" w:rsidRDefault="00B010E6" w:rsidP="00B010E6">
            <w:pPr>
              <w:jc w:val="center"/>
              <w:rPr>
                <w:bCs/>
                <w:sz w:val="16"/>
                <w:szCs w:val="16"/>
              </w:rPr>
            </w:pPr>
            <w:r w:rsidRPr="00FB2B5D">
              <w:rPr>
                <w:bCs/>
                <w:sz w:val="16"/>
                <w:szCs w:val="16"/>
              </w:rPr>
              <w:t>79.666</w:t>
            </w:r>
          </w:p>
        </w:tc>
      </w:tr>
      <w:tr w:rsidR="00B010E6" w:rsidRPr="001B4CA2" w14:paraId="5A0092CC" w14:textId="77777777" w:rsidTr="003E79A0">
        <w:trPr>
          <w:trHeight w:val="397"/>
          <w:jc w:val="center"/>
        </w:trPr>
        <w:tc>
          <w:tcPr>
            <w:tcW w:w="986" w:type="dxa"/>
            <w:shd w:val="clear" w:color="auto" w:fill="auto"/>
            <w:noWrap/>
            <w:vAlign w:val="center"/>
          </w:tcPr>
          <w:p w14:paraId="4DED68F1"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2022.</w:t>
            </w:r>
          </w:p>
        </w:tc>
        <w:tc>
          <w:tcPr>
            <w:tcW w:w="863" w:type="dxa"/>
            <w:shd w:val="clear" w:color="auto" w:fill="auto"/>
            <w:noWrap/>
            <w:vAlign w:val="center"/>
          </w:tcPr>
          <w:p w14:paraId="27DFBE7E" w14:textId="77777777" w:rsidR="00B010E6" w:rsidRPr="00FB2B5D" w:rsidRDefault="00B010E6" w:rsidP="00B010E6">
            <w:pPr>
              <w:jc w:val="center"/>
              <w:rPr>
                <w:bCs/>
                <w:sz w:val="16"/>
                <w:szCs w:val="16"/>
              </w:rPr>
            </w:pPr>
            <w:r w:rsidRPr="00FB2B5D">
              <w:rPr>
                <w:bCs/>
                <w:sz w:val="16"/>
                <w:szCs w:val="16"/>
              </w:rPr>
              <w:t>47.674</w:t>
            </w:r>
          </w:p>
        </w:tc>
        <w:tc>
          <w:tcPr>
            <w:tcW w:w="851" w:type="dxa"/>
            <w:shd w:val="clear" w:color="auto" w:fill="auto"/>
            <w:vAlign w:val="center"/>
          </w:tcPr>
          <w:p w14:paraId="4D9BB28D" w14:textId="77777777" w:rsidR="00B010E6" w:rsidRPr="00FB2B5D" w:rsidRDefault="00B010E6" w:rsidP="00B010E6">
            <w:pPr>
              <w:jc w:val="center"/>
              <w:rPr>
                <w:bCs/>
                <w:sz w:val="16"/>
                <w:szCs w:val="16"/>
              </w:rPr>
            </w:pPr>
            <w:r w:rsidRPr="00FB2B5D">
              <w:rPr>
                <w:bCs/>
                <w:sz w:val="16"/>
                <w:szCs w:val="16"/>
              </w:rPr>
              <w:t>41</w:t>
            </w:r>
          </w:p>
        </w:tc>
        <w:tc>
          <w:tcPr>
            <w:tcW w:w="992" w:type="dxa"/>
            <w:shd w:val="clear" w:color="auto" w:fill="auto"/>
            <w:noWrap/>
            <w:vAlign w:val="center"/>
          </w:tcPr>
          <w:p w14:paraId="691DAFB3" w14:textId="77777777" w:rsidR="00B010E6" w:rsidRPr="00FB2B5D" w:rsidRDefault="00B010E6" w:rsidP="00B010E6">
            <w:pPr>
              <w:jc w:val="center"/>
              <w:rPr>
                <w:bCs/>
                <w:sz w:val="16"/>
                <w:szCs w:val="16"/>
              </w:rPr>
            </w:pPr>
            <w:r w:rsidRPr="00FB2B5D">
              <w:rPr>
                <w:bCs/>
                <w:sz w:val="16"/>
                <w:szCs w:val="16"/>
              </w:rPr>
              <w:t>3.109</w:t>
            </w:r>
          </w:p>
        </w:tc>
        <w:tc>
          <w:tcPr>
            <w:tcW w:w="850" w:type="dxa"/>
            <w:shd w:val="clear" w:color="auto" w:fill="auto"/>
            <w:vAlign w:val="center"/>
          </w:tcPr>
          <w:p w14:paraId="32EA561F" w14:textId="77777777" w:rsidR="00B010E6" w:rsidRPr="00FB2B5D" w:rsidRDefault="00B010E6" w:rsidP="00B010E6">
            <w:pPr>
              <w:jc w:val="center"/>
              <w:rPr>
                <w:bCs/>
                <w:sz w:val="16"/>
                <w:szCs w:val="16"/>
              </w:rPr>
            </w:pPr>
            <w:r w:rsidRPr="00FB2B5D">
              <w:rPr>
                <w:bCs/>
                <w:sz w:val="16"/>
                <w:szCs w:val="16"/>
              </w:rPr>
              <w:t>-</w:t>
            </w:r>
          </w:p>
        </w:tc>
        <w:tc>
          <w:tcPr>
            <w:tcW w:w="993" w:type="dxa"/>
            <w:shd w:val="clear" w:color="auto" w:fill="auto"/>
            <w:noWrap/>
            <w:vAlign w:val="center"/>
          </w:tcPr>
          <w:p w14:paraId="62F6B2E9" w14:textId="77777777" w:rsidR="00B010E6" w:rsidRPr="00FB2B5D" w:rsidRDefault="00B010E6" w:rsidP="00B010E6">
            <w:pPr>
              <w:jc w:val="center"/>
              <w:rPr>
                <w:bCs/>
                <w:sz w:val="16"/>
                <w:szCs w:val="16"/>
              </w:rPr>
            </w:pPr>
            <w:r w:rsidRPr="00FB2B5D">
              <w:rPr>
                <w:bCs/>
                <w:sz w:val="16"/>
                <w:szCs w:val="16"/>
              </w:rPr>
              <w:t>12.726</w:t>
            </w:r>
          </w:p>
        </w:tc>
        <w:tc>
          <w:tcPr>
            <w:tcW w:w="992" w:type="dxa"/>
            <w:shd w:val="clear" w:color="auto" w:fill="auto"/>
            <w:noWrap/>
            <w:vAlign w:val="center"/>
          </w:tcPr>
          <w:p w14:paraId="2D3A71B5" w14:textId="77777777" w:rsidR="00B010E6" w:rsidRPr="00FB2B5D" w:rsidRDefault="00B010E6" w:rsidP="00B010E6">
            <w:pPr>
              <w:jc w:val="center"/>
              <w:rPr>
                <w:bCs/>
                <w:sz w:val="16"/>
                <w:szCs w:val="16"/>
              </w:rPr>
            </w:pPr>
            <w:r w:rsidRPr="00FB2B5D">
              <w:rPr>
                <w:bCs/>
                <w:sz w:val="16"/>
                <w:szCs w:val="16"/>
              </w:rPr>
              <w:t>-</w:t>
            </w:r>
          </w:p>
        </w:tc>
        <w:tc>
          <w:tcPr>
            <w:tcW w:w="1021" w:type="dxa"/>
            <w:shd w:val="clear" w:color="auto" w:fill="auto"/>
            <w:noWrap/>
            <w:vAlign w:val="center"/>
          </w:tcPr>
          <w:p w14:paraId="3628F729" w14:textId="77777777" w:rsidR="00B010E6" w:rsidRPr="00FB2B5D" w:rsidRDefault="00B010E6" w:rsidP="00B010E6">
            <w:pPr>
              <w:jc w:val="center"/>
              <w:rPr>
                <w:bCs/>
                <w:sz w:val="16"/>
                <w:szCs w:val="16"/>
              </w:rPr>
            </w:pPr>
            <w:r w:rsidRPr="00FB2B5D">
              <w:rPr>
                <w:bCs/>
                <w:sz w:val="16"/>
                <w:szCs w:val="16"/>
              </w:rPr>
              <w:t>63.509</w:t>
            </w:r>
          </w:p>
        </w:tc>
        <w:tc>
          <w:tcPr>
            <w:tcW w:w="867" w:type="dxa"/>
            <w:shd w:val="clear" w:color="auto" w:fill="auto"/>
            <w:noWrap/>
            <w:vAlign w:val="center"/>
          </w:tcPr>
          <w:p w14:paraId="5C9EA188" w14:textId="77777777" w:rsidR="00B010E6" w:rsidRPr="00FB2B5D" w:rsidRDefault="00B010E6" w:rsidP="00B010E6">
            <w:pPr>
              <w:jc w:val="center"/>
              <w:rPr>
                <w:bCs/>
                <w:sz w:val="16"/>
                <w:szCs w:val="16"/>
              </w:rPr>
            </w:pPr>
            <w:r w:rsidRPr="00FB2B5D">
              <w:rPr>
                <w:bCs/>
                <w:sz w:val="16"/>
                <w:szCs w:val="16"/>
              </w:rPr>
              <w:t>41</w:t>
            </w:r>
          </w:p>
        </w:tc>
        <w:tc>
          <w:tcPr>
            <w:tcW w:w="805" w:type="dxa"/>
            <w:shd w:val="clear" w:color="auto" w:fill="auto"/>
            <w:vAlign w:val="center"/>
          </w:tcPr>
          <w:p w14:paraId="4CA7BCBE" w14:textId="77777777" w:rsidR="00B010E6" w:rsidRPr="00FB2B5D" w:rsidRDefault="00B010E6" w:rsidP="00B010E6">
            <w:pPr>
              <w:jc w:val="center"/>
              <w:rPr>
                <w:bCs/>
                <w:sz w:val="16"/>
                <w:szCs w:val="16"/>
              </w:rPr>
            </w:pPr>
            <w:r w:rsidRPr="00FB2B5D">
              <w:rPr>
                <w:bCs/>
                <w:sz w:val="16"/>
                <w:szCs w:val="16"/>
              </w:rPr>
              <w:t>63.550</w:t>
            </w:r>
          </w:p>
        </w:tc>
      </w:tr>
    </w:tbl>
    <w:p w14:paraId="630C8AC7" w14:textId="77777777" w:rsidR="00B010E6" w:rsidRPr="001B4CA2" w:rsidRDefault="00B010E6" w:rsidP="00B010E6">
      <w:pPr>
        <w:rPr>
          <w:color w:val="000000" w:themeColor="text1"/>
          <w:sz w:val="22"/>
          <w:szCs w:val="22"/>
        </w:rPr>
      </w:pPr>
    </w:p>
    <w:p w14:paraId="7334D8FE" w14:textId="22431C49" w:rsidR="00B010E6" w:rsidRPr="001B4CA2" w:rsidRDefault="00B010E6" w:rsidP="00B010E6">
      <w:pPr>
        <w:rPr>
          <w:color w:val="000000" w:themeColor="text1"/>
        </w:rPr>
      </w:pPr>
      <w:r w:rsidRPr="001B4CA2">
        <w:rPr>
          <w:color w:val="000000" w:themeColor="text1"/>
          <w:sz w:val="22"/>
          <w:szCs w:val="22"/>
        </w:rPr>
        <w:lastRenderedPageBreak/>
        <w:tab/>
      </w:r>
      <w:r w:rsidRPr="001B4CA2">
        <w:rPr>
          <w:color w:val="000000" w:themeColor="text1"/>
        </w:rPr>
        <w:t xml:space="preserve">Iz podataka o kretanju i strukturi predmeta u odnosu na vrstu zastupanja proizlazi da su općinska državna odvjetništva gotovo uvijek zastupala po zakonu, a u svega 41 predmetu temeljem punomoći. Ipak se može </w:t>
      </w:r>
      <w:r w:rsidR="00743EF4" w:rsidRPr="001B4CA2">
        <w:rPr>
          <w:color w:val="000000" w:themeColor="text1"/>
        </w:rPr>
        <w:t>primijetiti</w:t>
      </w:r>
      <w:r w:rsidRPr="001B4CA2">
        <w:rPr>
          <w:color w:val="000000" w:themeColor="text1"/>
        </w:rPr>
        <w:t xml:space="preserve"> da je broj zastupanja po punomoći u 2022. godini neznatno porastao.</w:t>
      </w:r>
    </w:p>
    <w:p w14:paraId="4D758D45" w14:textId="77777777" w:rsidR="00B010E6" w:rsidRPr="001B4CA2" w:rsidRDefault="00B010E6" w:rsidP="00B010E6">
      <w:pPr>
        <w:rPr>
          <w:color w:val="000000" w:themeColor="text1"/>
        </w:rPr>
      </w:pPr>
    </w:p>
    <w:p w14:paraId="31B979CB" w14:textId="09E0EAC3" w:rsidR="00B010E6" w:rsidRPr="001B4CA2" w:rsidRDefault="00B010E6" w:rsidP="00B010E6">
      <w:pPr>
        <w:rPr>
          <w:color w:val="000000" w:themeColor="text1"/>
        </w:rPr>
      </w:pPr>
      <w:r w:rsidRPr="001B4CA2">
        <w:rPr>
          <w:color w:val="000000" w:themeColor="text1"/>
        </w:rPr>
        <w:tab/>
        <w:t>Sva zastupanja temeljem punomoći odnos</w:t>
      </w:r>
      <w:r w:rsidR="009E6D91" w:rsidRPr="001B4CA2">
        <w:rPr>
          <w:color w:val="000000" w:themeColor="text1"/>
        </w:rPr>
        <w:t>ila su</w:t>
      </w:r>
      <w:r w:rsidRPr="001B4CA2">
        <w:rPr>
          <w:color w:val="000000" w:themeColor="text1"/>
        </w:rPr>
        <w:t xml:space="preserve"> se na sudske predmete</w:t>
      </w:r>
      <w:r w:rsidR="008B7B29">
        <w:rPr>
          <w:color w:val="000000" w:themeColor="text1"/>
        </w:rPr>
        <w:t>,</w:t>
      </w:r>
      <w:r w:rsidRPr="001B4CA2">
        <w:rPr>
          <w:color w:val="000000" w:themeColor="text1"/>
        </w:rPr>
        <w:t xml:space="preserve"> i to najvećim dijelom na regresne zahtjeve Državnih nekretnina d.o.o. za naplatu režijskih troškova u slučajevima kada su režijski troškovi naplaćeni od Republike Hrvatske umjesto od stvarnih korisnika nekretnina. </w:t>
      </w:r>
    </w:p>
    <w:p w14:paraId="33821F89" w14:textId="77777777" w:rsidR="00B010E6" w:rsidRPr="001B4CA2" w:rsidRDefault="00B010E6" w:rsidP="00B010E6">
      <w:pPr>
        <w:rPr>
          <w:color w:val="000000" w:themeColor="text1"/>
          <w:highlight w:val="yellow"/>
        </w:rPr>
      </w:pPr>
    </w:p>
    <w:p w14:paraId="2200ACDA" w14:textId="06BAF832" w:rsidR="00B010E6" w:rsidRPr="001B4CA2" w:rsidRDefault="00E262DD" w:rsidP="00B010E6">
      <w:pPr>
        <w:rPr>
          <w:color w:val="000000" w:themeColor="text1"/>
        </w:rPr>
      </w:pPr>
      <w:r w:rsidRPr="001B4CA2">
        <w:rPr>
          <w:color w:val="000000" w:themeColor="text1"/>
        </w:rPr>
        <w:tab/>
      </w:r>
      <w:r w:rsidR="00B010E6" w:rsidRPr="001B4CA2">
        <w:rPr>
          <w:color w:val="000000" w:themeColor="text1"/>
        </w:rPr>
        <w:t>Općinska državna odvjetništva kao zastupnici po zakonu Republike Hrvatske pokreću sudske postupke protiv fizičkih osoba kao korisnika poslovnih prostora i stanova u vlasništvu Republike Hrvatske pa često u tim postupcima temeljem punomoći zastupaju i Državne nekretnine d.o.o. (trgovačko društvo u vlasništvu Republike Hrvatske koje ne zastupaju po zakonu), koje između ostalog</w:t>
      </w:r>
      <w:r w:rsidR="008B7B29">
        <w:rPr>
          <w:color w:val="000000" w:themeColor="text1"/>
        </w:rPr>
        <w:t>a</w:t>
      </w:r>
      <w:r w:rsidR="00B010E6" w:rsidRPr="001B4CA2">
        <w:rPr>
          <w:color w:val="000000" w:themeColor="text1"/>
        </w:rPr>
        <w:t xml:space="preserve"> skrbi o naplati potraživanja od stvarnih korisnika državnih nekretnina. Često režijski troškovi korisnika budu naplaćeni od države pa Državne nekretnine d.o.o. pokreću postupke radi regresa naplaćenih iznosa od krajnjih korisnika, odnosno dužnika. </w:t>
      </w:r>
    </w:p>
    <w:p w14:paraId="0EF3F81F" w14:textId="77777777" w:rsidR="00B010E6" w:rsidRPr="001B4CA2" w:rsidRDefault="00B010E6" w:rsidP="00B010E6">
      <w:pPr>
        <w:rPr>
          <w:color w:val="000000" w:themeColor="text1"/>
          <w:sz w:val="22"/>
          <w:szCs w:val="22"/>
        </w:rPr>
      </w:pPr>
    </w:p>
    <w:p w14:paraId="40827755" w14:textId="77777777" w:rsidR="00B010E6" w:rsidRPr="001B4CA2" w:rsidRDefault="00B010E6" w:rsidP="00B010E6">
      <w:pPr>
        <w:rPr>
          <w:color w:val="000000" w:themeColor="text1"/>
          <w:sz w:val="22"/>
          <w:szCs w:val="22"/>
        </w:rPr>
      </w:pPr>
    </w:p>
    <w:p w14:paraId="597CA564" w14:textId="49F4E44C" w:rsidR="003C7AD5" w:rsidRPr="001B4CA2" w:rsidRDefault="003C7AD5" w:rsidP="003C7AD5">
      <w:pPr>
        <w:pStyle w:val="Odlomakpopisa"/>
        <w:ind w:left="360"/>
        <w:jc w:val="left"/>
        <w:rPr>
          <w:rFonts w:asciiTheme="minorHAnsi" w:hAnsiTheme="minorHAnsi" w:cstheme="minorBidi"/>
          <w:i/>
          <w:szCs w:val="22"/>
        </w:rPr>
      </w:pPr>
      <w:r w:rsidRPr="001B4CA2">
        <w:rPr>
          <w:rFonts w:asciiTheme="minorHAnsi" w:hAnsiTheme="minorHAnsi" w:cstheme="minorBidi"/>
          <w:i/>
          <w:szCs w:val="22"/>
        </w:rPr>
        <w:t xml:space="preserve">c) </w:t>
      </w:r>
      <w:r w:rsidR="00B010E6" w:rsidRPr="001B4CA2">
        <w:rPr>
          <w:rFonts w:asciiTheme="minorHAnsi" w:hAnsiTheme="minorHAnsi" w:cstheme="minorBidi"/>
          <w:i/>
          <w:szCs w:val="22"/>
        </w:rPr>
        <w:t>Kretanje i struktura zahtjeva u novim sudskim</w:t>
      </w:r>
      <w:r w:rsidR="001B4CA2">
        <w:rPr>
          <w:rFonts w:asciiTheme="minorHAnsi" w:hAnsiTheme="minorHAnsi" w:cstheme="minorBidi"/>
          <w:i/>
          <w:szCs w:val="22"/>
        </w:rPr>
        <w:t xml:space="preserve"> </w:t>
      </w:r>
      <w:r w:rsidR="00B010E6" w:rsidRPr="001B4CA2">
        <w:rPr>
          <w:rFonts w:asciiTheme="minorHAnsi" w:hAnsiTheme="minorHAnsi" w:cstheme="minorBidi"/>
          <w:i/>
          <w:szCs w:val="22"/>
        </w:rPr>
        <w:t xml:space="preserve">predmetima </w:t>
      </w:r>
    </w:p>
    <w:p w14:paraId="7FB200A5" w14:textId="05A679AD" w:rsidR="00B010E6" w:rsidRPr="001B4CA2" w:rsidRDefault="001B4CA2" w:rsidP="003C7AD5">
      <w:pPr>
        <w:pStyle w:val="Odlomakpopisa"/>
        <w:ind w:left="360"/>
        <w:jc w:val="left"/>
        <w:rPr>
          <w:rFonts w:asciiTheme="minorHAnsi" w:hAnsiTheme="minorHAnsi" w:cstheme="minorBidi"/>
          <w:i/>
          <w:szCs w:val="22"/>
        </w:rPr>
      </w:pPr>
      <w:r>
        <w:rPr>
          <w:rFonts w:asciiTheme="minorHAnsi" w:hAnsiTheme="minorHAnsi" w:cstheme="minorBidi"/>
          <w:i/>
          <w:szCs w:val="22"/>
        </w:rPr>
        <w:t xml:space="preserve"> </w:t>
      </w:r>
      <w:r w:rsidR="003C7AD5" w:rsidRPr="001B4CA2">
        <w:rPr>
          <w:rFonts w:asciiTheme="minorHAnsi" w:hAnsiTheme="minorHAnsi" w:cstheme="minorBidi"/>
          <w:i/>
          <w:szCs w:val="22"/>
        </w:rPr>
        <w:t xml:space="preserve"> </w:t>
      </w:r>
      <w:r w:rsidR="00B010E6" w:rsidRPr="001B4CA2">
        <w:rPr>
          <w:rFonts w:asciiTheme="minorHAnsi" w:hAnsiTheme="minorHAnsi" w:cstheme="minorBidi"/>
          <w:i/>
          <w:szCs w:val="22"/>
        </w:rPr>
        <w:t>2018. – 2022.</w:t>
      </w:r>
    </w:p>
    <w:tbl>
      <w:tblPr>
        <w:tblpPr w:leftFromText="180" w:rightFromText="180" w:vertAnchor="text" w:horzAnchor="page" w:tblpX="1798" w:tblpY="125"/>
        <w:tblW w:w="3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99"/>
        <w:gridCol w:w="1013"/>
        <w:gridCol w:w="1237"/>
        <w:gridCol w:w="948"/>
        <w:gridCol w:w="944"/>
      </w:tblGrid>
      <w:tr w:rsidR="003C7AD5" w:rsidRPr="001B4CA2" w14:paraId="12E59AD9" w14:textId="77777777" w:rsidTr="003C7AD5">
        <w:trPr>
          <w:trHeight w:val="500"/>
        </w:trPr>
        <w:tc>
          <w:tcPr>
            <w:tcW w:w="1214" w:type="pct"/>
            <w:shd w:val="clear" w:color="auto" w:fill="99CCFF"/>
            <w:noWrap/>
            <w:vAlign w:val="center"/>
            <w:hideMark/>
          </w:tcPr>
          <w:p w14:paraId="7B169BF9" w14:textId="77777777" w:rsidR="003C7AD5" w:rsidRPr="001B4CA2" w:rsidRDefault="003C7AD5" w:rsidP="003C7AD5">
            <w:pPr>
              <w:rPr>
                <w:rFonts w:asciiTheme="minorHAnsi" w:hAnsiTheme="minorHAnsi" w:cstheme="minorHAnsi"/>
                <w:b/>
                <w:sz w:val="18"/>
                <w:szCs w:val="18"/>
                <w:lang w:eastAsia="hr-HR"/>
              </w:rPr>
            </w:pPr>
            <w:r w:rsidRPr="001B4CA2">
              <w:rPr>
                <w:rFonts w:asciiTheme="minorHAnsi" w:hAnsiTheme="minorHAnsi" w:cstheme="minorHAnsi"/>
                <w:b/>
                <w:sz w:val="18"/>
                <w:szCs w:val="18"/>
                <w:lang w:eastAsia="hr-HR"/>
              </w:rPr>
              <w:t>Sudski predmeti</w:t>
            </w:r>
          </w:p>
        </w:tc>
        <w:tc>
          <w:tcPr>
            <w:tcW w:w="675" w:type="pct"/>
            <w:shd w:val="clear" w:color="auto" w:fill="99CCFF"/>
            <w:noWrap/>
            <w:vAlign w:val="center"/>
          </w:tcPr>
          <w:p w14:paraId="2D6A898F" w14:textId="77777777" w:rsidR="003C7AD5" w:rsidRPr="001B4CA2" w:rsidRDefault="003C7AD5" w:rsidP="003C7AD5">
            <w:pPr>
              <w:jc w:val="center"/>
              <w:rPr>
                <w:rFonts w:asciiTheme="minorHAnsi" w:hAnsiTheme="minorHAnsi" w:cstheme="minorHAnsi"/>
                <w:b/>
                <w:sz w:val="18"/>
                <w:szCs w:val="18"/>
                <w:lang w:eastAsia="hr-HR"/>
              </w:rPr>
            </w:pPr>
            <w:r w:rsidRPr="001B4CA2">
              <w:rPr>
                <w:rFonts w:asciiTheme="minorHAnsi" w:hAnsiTheme="minorHAnsi" w:cstheme="minorHAnsi"/>
                <w:sz w:val="18"/>
                <w:szCs w:val="18"/>
                <w:lang w:eastAsia="hr-HR"/>
              </w:rPr>
              <w:t>Parnice</w:t>
            </w:r>
          </w:p>
        </w:tc>
        <w:tc>
          <w:tcPr>
            <w:tcW w:w="761" w:type="pct"/>
            <w:shd w:val="clear" w:color="auto" w:fill="99CCFF"/>
            <w:noWrap/>
            <w:vAlign w:val="center"/>
          </w:tcPr>
          <w:p w14:paraId="6B2BEE37" w14:textId="77777777" w:rsidR="003C7AD5" w:rsidRPr="001B4CA2" w:rsidRDefault="003C7AD5" w:rsidP="003C7AD5">
            <w:pPr>
              <w:jc w:val="center"/>
              <w:rPr>
                <w:rFonts w:asciiTheme="minorHAnsi" w:hAnsiTheme="minorHAnsi" w:cstheme="minorHAnsi"/>
                <w:b/>
                <w:sz w:val="18"/>
                <w:szCs w:val="18"/>
                <w:lang w:eastAsia="hr-HR"/>
              </w:rPr>
            </w:pPr>
            <w:r w:rsidRPr="001B4CA2">
              <w:rPr>
                <w:rFonts w:asciiTheme="minorHAnsi" w:hAnsiTheme="minorHAnsi" w:cstheme="minorHAnsi"/>
                <w:sz w:val="18"/>
                <w:szCs w:val="18"/>
                <w:lang w:eastAsia="hr-HR"/>
              </w:rPr>
              <w:t>Ovrhe</w:t>
            </w:r>
          </w:p>
        </w:tc>
        <w:tc>
          <w:tcPr>
            <w:tcW w:w="929" w:type="pct"/>
            <w:shd w:val="clear" w:color="auto" w:fill="99CCFF"/>
            <w:vAlign w:val="center"/>
          </w:tcPr>
          <w:p w14:paraId="0F5EA7D3"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Stečaj potrošača</w:t>
            </w:r>
          </w:p>
        </w:tc>
        <w:tc>
          <w:tcPr>
            <w:tcW w:w="712" w:type="pct"/>
            <w:shd w:val="clear" w:color="auto" w:fill="99CCFF"/>
            <w:noWrap/>
            <w:vAlign w:val="center"/>
          </w:tcPr>
          <w:p w14:paraId="3D58F63C"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Ostalo*</w:t>
            </w:r>
          </w:p>
        </w:tc>
        <w:tc>
          <w:tcPr>
            <w:tcW w:w="709" w:type="pct"/>
            <w:shd w:val="clear" w:color="auto" w:fill="99CCFF"/>
            <w:vAlign w:val="center"/>
          </w:tcPr>
          <w:p w14:paraId="18EB3890"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Ukupno:</w:t>
            </w:r>
          </w:p>
        </w:tc>
      </w:tr>
      <w:tr w:rsidR="003C7AD5" w:rsidRPr="001B4CA2" w14:paraId="1CEA145A" w14:textId="77777777" w:rsidTr="003C7AD5">
        <w:trPr>
          <w:trHeight w:val="397"/>
        </w:trPr>
        <w:tc>
          <w:tcPr>
            <w:tcW w:w="1214" w:type="pct"/>
            <w:shd w:val="clear" w:color="auto" w:fill="auto"/>
            <w:noWrap/>
            <w:vAlign w:val="center"/>
            <w:hideMark/>
          </w:tcPr>
          <w:p w14:paraId="0D722298"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2018.</w:t>
            </w:r>
          </w:p>
        </w:tc>
        <w:tc>
          <w:tcPr>
            <w:tcW w:w="675" w:type="pct"/>
            <w:shd w:val="clear" w:color="auto" w:fill="auto"/>
            <w:noWrap/>
            <w:vAlign w:val="center"/>
          </w:tcPr>
          <w:p w14:paraId="6EA5D7B0"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4.646</w:t>
            </w:r>
          </w:p>
        </w:tc>
        <w:tc>
          <w:tcPr>
            <w:tcW w:w="761" w:type="pct"/>
            <w:shd w:val="clear" w:color="auto" w:fill="auto"/>
            <w:noWrap/>
            <w:vAlign w:val="center"/>
          </w:tcPr>
          <w:p w14:paraId="6B507D29"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18.799</w:t>
            </w:r>
          </w:p>
        </w:tc>
        <w:tc>
          <w:tcPr>
            <w:tcW w:w="929" w:type="pct"/>
            <w:vAlign w:val="center"/>
          </w:tcPr>
          <w:p w14:paraId="09DE8269"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97</w:t>
            </w:r>
          </w:p>
        </w:tc>
        <w:tc>
          <w:tcPr>
            <w:tcW w:w="712" w:type="pct"/>
            <w:shd w:val="clear" w:color="auto" w:fill="auto"/>
            <w:noWrap/>
            <w:vAlign w:val="center"/>
          </w:tcPr>
          <w:p w14:paraId="383DBB01"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17.225</w:t>
            </w:r>
          </w:p>
        </w:tc>
        <w:tc>
          <w:tcPr>
            <w:tcW w:w="709" w:type="pct"/>
            <w:vAlign w:val="center"/>
          </w:tcPr>
          <w:p w14:paraId="333BEC6E" w14:textId="77777777" w:rsidR="003C7AD5" w:rsidRPr="001B4CA2" w:rsidRDefault="003C7AD5" w:rsidP="003C7AD5">
            <w:pPr>
              <w:jc w:val="center"/>
              <w:rPr>
                <w:rFonts w:eastAsia="Times New Roman"/>
                <w:color w:val="000000"/>
                <w:sz w:val="18"/>
                <w:szCs w:val="18"/>
                <w:lang w:eastAsia="hr-HR"/>
              </w:rPr>
            </w:pPr>
            <w:r w:rsidRPr="001B4CA2">
              <w:rPr>
                <w:rFonts w:eastAsia="Times New Roman"/>
                <w:color w:val="000000"/>
                <w:sz w:val="18"/>
                <w:szCs w:val="18"/>
                <w:lang w:eastAsia="hr-HR"/>
              </w:rPr>
              <w:t>40.659</w:t>
            </w:r>
          </w:p>
        </w:tc>
      </w:tr>
      <w:tr w:rsidR="003C7AD5" w:rsidRPr="001B4CA2" w14:paraId="167D4780" w14:textId="77777777" w:rsidTr="003C7AD5">
        <w:trPr>
          <w:trHeight w:val="397"/>
        </w:trPr>
        <w:tc>
          <w:tcPr>
            <w:tcW w:w="1214" w:type="pct"/>
            <w:shd w:val="clear" w:color="auto" w:fill="auto"/>
            <w:noWrap/>
            <w:vAlign w:val="center"/>
            <w:hideMark/>
          </w:tcPr>
          <w:p w14:paraId="5B1B72BF"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2019.</w:t>
            </w:r>
          </w:p>
        </w:tc>
        <w:tc>
          <w:tcPr>
            <w:tcW w:w="675" w:type="pct"/>
            <w:shd w:val="clear" w:color="auto" w:fill="auto"/>
            <w:noWrap/>
            <w:vAlign w:val="center"/>
          </w:tcPr>
          <w:p w14:paraId="470DF01D"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5.483</w:t>
            </w:r>
          </w:p>
        </w:tc>
        <w:tc>
          <w:tcPr>
            <w:tcW w:w="761" w:type="pct"/>
            <w:shd w:val="clear" w:color="auto" w:fill="auto"/>
            <w:noWrap/>
            <w:vAlign w:val="center"/>
          </w:tcPr>
          <w:p w14:paraId="7CC1637F"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24.877</w:t>
            </w:r>
          </w:p>
        </w:tc>
        <w:tc>
          <w:tcPr>
            <w:tcW w:w="929" w:type="pct"/>
            <w:vAlign w:val="center"/>
          </w:tcPr>
          <w:p w14:paraId="2212EC9C"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2.518</w:t>
            </w:r>
          </w:p>
        </w:tc>
        <w:tc>
          <w:tcPr>
            <w:tcW w:w="712" w:type="pct"/>
            <w:shd w:val="clear" w:color="auto" w:fill="auto"/>
            <w:noWrap/>
            <w:vAlign w:val="center"/>
          </w:tcPr>
          <w:p w14:paraId="4B0BDEAF"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14.232</w:t>
            </w:r>
          </w:p>
        </w:tc>
        <w:tc>
          <w:tcPr>
            <w:tcW w:w="709" w:type="pct"/>
            <w:vAlign w:val="center"/>
          </w:tcPr>
          <w:p w14:paraId="216ABA64" w14:textId="77777777" w:rsidR="003C7AD5" w:rsidRPr="001B4CA2" w:rsidRDefault="003C7AD5" w:rsidP="003C7AD5">
            <w:pPr>
              <w:jc w:val="center"/>
              <w:rPr>
                <w:rFonts w:eastAsia="Times New Roman"/>
                <w:color w:val="000000"/>
                <w:sz w:val="18"/>
                <w:szCs w:val="18"/>
                <w:lang w:eastAsia="hr-HR"/>
              </w:rPr>
            </w:pPr>
            <w:r w:rsidRPr="001B4CA2">
              <w:rPr>
                <w:rFonts w:eastAsia="Times New Roman"/>
                <w:color w:val="000000"/>
                <w:sz w:val="18"/>
                <w:szCs w:val="18"/>
                <w:lang w:eastAsia="hr-HR"/>
              </w:rPr>
              <w:t>47.110</w:t>
            </w:r>
          </w:p>
        </w:tc>
      </w:tr>
      <w:tr w:rsidR="003C7AD5" w:rsidRPr="001B4CA2" w14:paraId="08E447AD" w14:textId="77777777" w:rsidTr="003C7AD5">
        <w:trPr>
          <w:trHeight w:val="397"/>
        </w:trPr>
        <w:tc>
          <w:tcPr>
            <w:tcW w:w="1214" w:type="pct"/>
            <w:shd w:val="clear" w:color="auto" w:fill="auto"/>
            <w:noWrap/>
            <w:vAlign w:val="center"/>
            <w:hideMark/>
          </w:tcPr>
          <w:p w14:paraId="5F2CC3AD"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2020.</w:t>
            </w:r>
          </w:p>
        </w:tc>
        <w:tc>
          <w:tcPr>
            <w:tcW w:w="675" w:type="pct"/>
            <w:shd w:val="clear" w:color="auto" w:fill="auto"/>
            <w:noWrap/>
            <w:vAlign w:val="center"/>
          </w:tcPr>
          <w:p w14:paraId="535BBD4E"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7.688</w:t>
            </w:r>
          </w:p>
        </w:tc>
        <w:tc>
          <w:tcPr>
            <w:tcW w:w="761" w:type="pct"/>
            <w:shd w:val="clear" w:color="auto" w:fill="auto"/>
            <w:noWrap/>
            <w:vAlign w:val="center"/>
          </w:tcPr>
          <w:p w14:paraId="017A440A"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18.078</w:t>
            </w:r>
          </w:p>
        </w:tc>
        <w:tc>
          <w:tcPr>
            <w:tcW w:w="929" w:type="pct"/>
            <w:vAlign w:val="center"/>
          </w:tcPr>
          <w:p w14:paraId="4A90D9EC"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3.106</w:t>
            </w:r>
          </w:p>
        </w:tc>
        <w:tc>
          <w:tcPr>
            <w:tcW w:w="712" w:type="pct"/>
            <w:shd w:val="clear" w:color="auto" w:fill="auto"/>
            <w:noWrap/>
            <w:vAlign w:val="center"/>
          </w:tcPr>
          <w:p w14:paraId="3205059B"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20.446</w:t>
            </w:r>
          </w:p>
        </w:tc>
        <w:tc>
          <w:tcPr>
            <w:tcW w:w="709" w:type="pct"/>
            <w:vAlign w:val="center"/>
          </w:tcPr>
          <w:p w14:paraId="05B4EC92"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49.318</w:t>
            </w:r>
          </w:p>
        </w:tc>
      </w:tr>
      <w:tr w:rsidR="003C7AD5" w:rsidRPr="001B4CA2" w14:paraId="5649CF4F" w14:textId="77777777" w:rsidTr="003C7AD5">
        <w:trPr>
          <w:trHeight w:val="397"/>
        </w:trPr>
        <w:tc>
          <w:tcPr>
            <w:tcW w:w="1214" w:type="pct"/>
            <w:shd w:val="clear" w:color="auto" w:fill="auto"/>
            <w:noWrap/>
            <w:vAlign w:val="center"/>
          </w:tcPr>
          <w:p w14:paraId="389E78E3"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2021.</w:t>
            </w:r>
          </w:p>
        </w:tc>
        <w:tc>
          <w:tcPr>
            <w:tcW w:w="675" w:type="pct"/>
            <w:shd w:val="clear" w:color="auto" w:fill="auto"/>
            <w:noWrap/>
            <w:vAlign w:val="center"/>
          </w:tcPr>
          <w:p w14:paraId="3290696B"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7.613</w:t>
            </w:r>
          </w:p>
        </w:tc>
        <w:tc>
          <w:tcPr>
            <w:tcW w:w="761" w:type="pct"/>
            <w:shd w:val="clear" w:color="auto" w:fill="auto"/>
            <w:noWrap/>
            <w:vAlign w:val="center"/>
          </w:tcPr>
          <w:p w14:paraId="6928F640"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21.258</w:t>
            </w:r>
          </w:p>
        </w:tc>
        <w:tc>
          <w:tcPr>
            <w:tcW w:w="929" w:type="pct"/>
            <w:vAlign w:val="center"/>
          </w:tcPr>
          <w:p w14:paraId="637BE0EC"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1.749</w:t>
            </w:r>
          </w:p>
        </w:tc>
        <w:tc>
          <w:tcPr>
            <w:tcW w:w="712" w:type="pct"/>
            <w:shd w:val="clear" w:color="auto" w:fill="auto"/>
            <w:noWrap/>
            <w:vAlign w:val="center"/>
          </w:tcPr>
          <w:p w14:paraId="22709840"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23.029</w:t>
            </w:r>
          </w:p>
        </w:tc>
        <w:tc>
          <w:tcPr>
            <w:tcW w:w="709" w:type="pct"/>
            <w:vAlign w:val="center"/>
          </w:tcPr>
          <w:p w14:paraId="548D92E9"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53.649</w:t>
            </w:r>
          </w:p>
        </w:tc>
      </w:tr>
      <w:tr w:rsidR="003C7AD5" w:rsidRPr="001B4CA2" w14:paraId="0862CFBC" w14:textId="77777777" w:rsidTr="003C7AD5">
        <w:trPr>
          <w:trHeight w:val="397"/>
        </w:trPr>
        <w:tc>
          <w:tcPr>
            <w:tcW w:w="1214" w:type="pct"/>
            <w:shd w:val="clear" w:color="auto" w:fill="auto"/>
            <w:noWrap/>
            <w:vAlign w:val="center"/>
          </w:tcPr>
          <w:p w14:paraId="68A2DB4B"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2022.</w:t>
            </w:r>
          </w:p>
        </w:tc>
        <w:tc>
          <w:tcPr>
            <w:tcW w:w="675" w:type="pct"/>
            <w:shd w:val="clear" w:color="auto" w:fill="auto"/>
            <w:noWrap/>
            <w:vAlign w:val="center"/>
          </w:tcPr>
          <w:p w14:paraId="4AC3C508"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4.627</w:t>
            </w:r>
          </w:p>
        </w:tc>
        <w:tc>
          <w:tcPr>
            <w:tcW w:w="761" w:type="pct"/>
            <w:shd w:val="clear" w:color="auto" w:fill="auto"/>
            <w:noWrap/>
            <w:vAlign w:val="center"/>
          </w:tcPr>
          <w:p w14:paraId="536A9640"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20.579</w:t>
            </w:r>
          </w:p>
        </w:tc>
        <w:tc>
          <w:tcPr>
            <w:tcW w:w="929" w:type="pct"/>
            <w:vAlign w:val="center"/>
          </w:tcPr>
          <w:p w14:paraId="3B1306FE"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1.938</w:t>
            </w:r>
          </w:p>
        </w:tc>
        <w:tc>
          <w:tcPr>
            <w:tcW w:w="712" w:type="pct"/>
            <w:shd w:val="clear" w:color="auto" w:fill="auto"/>
            <w:noWrap/>
            <w:vAlign w:val="center"/>
          </w:tcPr>
          <w:p w14:paraId="64000DC5"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20.571</w:t>
            </w:r>
          </w:p>
        </w:tc>
        <w:tc>
          <w:tcPr>
            <w:tcW w:w="709" w:type="pct"/>
            <w:vAlign w:val="center"/>
          </w:tcPr>
          <w:p w14:paraId="711D340D" w14:textId="77777777" w:rsidR="003C7AD5" w:rsidRPr="001B4CA2" w:rsidRDefault="003C7AD5" w:rsidP="003C7AD5">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47.715</w:t>
            </w:r>
          </w:p>
        </w:tc>
      </w:tr>
    </w:tbl>
    <w:p w14:paraId="78D9B7C5" w14:textId="77777777" w:rsidR="003C7AD5" w:rsidRPr="001B4CA2" w:rsidRDefault="003C7AD5" w:rsidP="003C7AD5">
      <w:pPr>
        <w:pStyle w:val="Odlomakpopisa"/>
        <w:ind w:left="360"/>
        <w:jc w:val="left"/>
        <w:rPr>
          <w:rFonts w:asciiTheme="minorHAnsi" w:hAnsiTheme="minorHAnsi" w:cstheme="minorBidi"/>
          <w:i/>
          <w:szCs w:val="22"/>
        </w:rPr>
      </w:pPr>
    </w:p>
    <w:p w14:paraId="55E7571E" w14:textId="77777777" w:rsidR="00B010E6" w:rsidRPr="001B4CA2" w:rsidRDefault="00B010E6" w:rsidP="00B010E6">
      <w:pPr>
        <w:contextualSpacing/>
        <w:jc w:val="left"/>
        <w:rPr>
          <w:rFonts w:eastAsia="Times New Roman"/>
          <w:u w:val="single"/>
          <w:lang w:eastAsia="hr-HR"/>
        </w:rPr>
      </w:pPr>
    </w:p>
    <w:p w14:paraId="058A7054" w14:textId="77777777" w:rsidR="003C7AD5" w:rsidRPr="001B4CA2" w:rsidRDefault="00B010E6" w:rsidP="00B010E6">
      <w:pPr>
        <w:contextualSpacing/>
        <w:rPr>
          <w:rFonts w:eastAsia="Times New Roman"/>
          <w:lang w:eastAsia="hr-HR"/>
        </w:rPr>
      </w:pPr>
      <w:r w:rsidRPr="001B4CA2">
        <w:rPr>
          <w:rFonts w:eastAsia="Times New Roman"/>
          <w:lang w:eastAsia="hr-HR"/>
        </w:rPr>
        <w:tab/>
      </w:r>
    </w:p>
    <w:p w14:paraId="509AADF7" w14:textId="77777777" w:rsidR="003C7AD5" w:rsidRPr="001B4CA2" w:rsidRDefault="003C7AD5" w:rsidP="00B010E6">
      <w:pPr>
        <w:contextualSpacing/>
        <w:rPr>
          <w:rFonts w:eastAsia="Times New Roman"/>
          <w:lang w:eastAsia="hr-HR"/>
        </w:rPr>
      </w:pPr>
    </w:p>
    <w:p w14:paraId="71D9C977" w14:textId="77777777" w:rsidR="003C7AD5" w:rsidRPr="001B4CA2" w:rsidRDefault="003C7AD5" w:rsidP="00B010E6">
      <w:pPr>
        <w:contextualSpacing/>
        <w:rPr>
          <w:rFonts w:eastAsia="Times New Roman"/>
          <w:lang w:eastAsia="hr-HR"/>
        </w:rPr>
      </w:pPr>
    </w:p>
    <w:p w14:paraId="2D2A67E2" w14:textId="77777777" w:rsidR="003C7AD5" w:rsidRPr="001B4CA2" w:rsidRDefault="003C7AD5" w:rsidP="00B010E6">
      <w:pPr>
        <w:contextualSpacing/>
        <w:rPr>
          <w:rFonts w:eastAsia="Times New Roman"/>
          <w:lang w:eastAsia="hr-HR"/>
        </w:rPr>
      </w:pPr>
    </w:p>
    <w:p w14:paraId="05C93ED3" w14:textId="77777777" w:rsidR="003C7AD5" w:rsidRPr="001B4CA2" w:rsidRDefault="003C7AD5" w:rsidP="00B010E6">
      <w:pPr>
        <w:contextualSpacing/>
        <w:rPr>
          <w:rFonts w:eastAsia="Times New Roman"/>
          <w:lang w:eastAsia="hr-HR"/>
        </w:rPr>
      </w:pPr>
    </w:p>
    <w:p w14:paraId="6DB4E071" w14:textId="77777777" w:rsidR="003C7AD5" w:rsidRPr="001B4CA2" w:rsidRDefault="003C7AD5" w:rsidP="00B010E6">
      <w:pPr>
        <w:contextualSpacing/>
        <w:rPr>
          <w:rFonts w:eastAsia="Times New Roman"/>
          <w:lang w:eastAsia="hr-HR"/>
        </w:rPr>
      </w:pPr>
    </w:p>
    <w:p w14:paraId="329DA4BE" w14:textId="77777777" w:rsidR="003C7AD5" w:rsidRPr="001B4CA2" w:rsidRDefault="003C7AD5" w:rsidP="00B010E6">
      <w:pPr>
        <w:contextualSpacing/>
        <w:rPr>
          <w:rFonts w:eastAsia="Times New Roman"/>
          <w:lang w:eastAsia="hr-HR"/>
        </w:rPr>
      </w:pPr>
    </w:p>
    <w:p w14:paraId="17619C05" w14:textId="77777777" w:rsidR="003C7AD5" w:rsidRPr="001B4CA2" w:rsidRDefault="003C7AD5" w:rsidP="00B010E6">
      <w:pPr>
        <w:contextualSpacing/>
        <w:rPr>
          <w:rFonts w:eastAsia="Times New Roman"/>
          <w:lang w:eastAsia="hr-HR"/>
        </w:rPr>
      </w:pPr>
    </w:p>
    <w:p w14:paraId="400718F5" w14:textId="77777777" w:rsidR="003C7AD5" w:rsidRPr="001B4CA2" w:rsidRDefault="003C7AD5" w:rsidP="00B010E6">
      <w:pPr>
        <w:contextualSpacing/>
        <w:rPr>
          <w:rFonts w:eastAsia="Times New Roman"/>
          <w:lang w:eastAsia="hr-HR"/>
        </w:rPr>
      </w:pPr>
    </w:p>
    <w:p w14:paraId="270606EC" w14:textId="548DD984" w:rsidR="00B010E6" w:rsidRPr="001B4CA2" w:rsidRDefault="00B010E6" w:rsidP="003C7AD5">
      <w:pPr>
        <w:ind w:firstLine="708"/>
        <w:contextualSpacing/>
        <w:rPr>
          <w:rFonts w:eastAsia="Times New Roman"/>
          <w:lang w:eastAsia="hr-HR"/>
        </w:rPr>
      </w:pPr>
      <w:r w:rsidRPr="001B4CA2">
        <w:rPr>
          <w:rFonts w:eastAsia="Times New Roman"/>
          <w:lang w:eastAsia="hr-HR"/>
        </w:rPr>
        <w:t xml:space="preserve">Sudski se </w:t>
      </w:r>
      <w:r w:rsidR="008B7B29" w:rsidRPr="001B4CA2">
        <w:rPr>
          <w:rFonts w:eastAsia="Times New Roman"/>
          <w:lang w:eastAsia="hr-HR"/>
        </w:rPr>
        <w:t xml:space="preserve">predmeti </w:t>
      </w:r>
      <w:r w:rsidRPr="001B4CA2">
        <w:rPr>
          <w:rFonts w:eastAsia="Times New Roman"/>
          <w:lang w:eastAsia="hr-HR"/>
        </w:rPr>
        <w:t>odnose na postupke koji se vode pred sudovima</w:t>
      </w:r>
      <w:r w:rsidR="009A1E7E" w:rsidRPr="001B4CA2">
        <w:rPr>
          <w:rFonts w:eastAsia="Times New Roman"/>
          <w:lang w:eastAsia="hr-HR"/>
        </w:rPr>
        <w:t>,</w:t>
      </w:r>
      <w:r w:rsidRPr="001B4CA2">
        <w:rPr>
          <w:rFonts w:eastAsia="Times New Roman"/>
          <w:lang w:eastAsia="hr-HR"/>
        </w:rPr>
        <w:t xml:space="preserve"> a dijele se na parnice, ovrhe, stečaj potrošača i ostalo. Ostali su izvanparnični, zemljišnoknjižni i adhezijski postupci.</w:t>
      </w:r>
    </w:p>
    <w:p w14:paraId="2D444A3A" w14:textId="77777777" w:rsidR="00B010E6" w:rsidRPr="001B4CA2" w:rsidRDefault="00B010E6" w:rsidP="00B010E6">
      <w:pPr>
        <w:contextualSpacing/>
        <w:jc w:val="left"/>
        <w:rPr>
          <w:rFonts w:eastAsia="Times New Roman"/>
          <w:lang w:eastAsia="hr-HR"/>
        </w:rPr>
      </w:pPr>
    </w:p>
    <w:p w14:paraId="2FE05948" w14:textId="3481EF34" w:rsidR="00B010E6" w:rsidRPr="001B4CA2" w:rsidRDefault="00B010E6" w:rsidP="00B010E6">
      <w:pPr>
        <w:rPr>
          <w:rFonts w:eastAsia="Times New Roman"/>
          <w:lang w:eastAsia="hr-HR"/>
        </w:rPr>
      </w:pPr>
      <w:r w:rsidRPr="001B4CA2">
        <w:rPr>
          <w:rFonts w:eastAsia="Times New Roman"/>
          <w:lang w:eastAsia="hr-HR"/>
        </w:rPr>
        <w:tab/>
        <w:t xml:space="preserve">U odnosu na broj novih sudskih predmeta u izvještajnom je </w:t>
      </w:r>
      <w:r w:rsidR="008B7B29" w:rsidRPr="001B4CA2">
        <w:rPr>
          <w:rFonts w:eastAsia="Times New Roman"/>
          <w:lang w:eastAsia="hr-HR"/>
        </w:rPr>
        <w:t xml:space="preserve">razdoblju </w:t>
      </w:r>
      <w:r w:rsidRPr="001B4CA2">
        <w:rPr>
          <w:rFonts w:eastAsia="Times New Roman"/>
          <w:lang w:eastAsia="hr-HR"/>
        </w:rPr>
        <w:t>došlo do smanjenja za 11,1</w:t>
      </w:r>
      <w:r w:rsidR="008B7B29">
        <w:rPr>
          <w:rFonts w:eastAsia="Times New Roman"/>
          <w:lang w:eastAsia="hr-HR"/>
        </w:rPr>
        <w:t> </w:t>
      </w:r>
      <w:r w:rsidRPr="001B4CA2">
        <w:rPr>
          <w:rFonts w:eastAsia="Times New Roman"/>
          <w:lang w:eastAsia="hr-HR"/>
        </w:rPr>
        <w:t>%. Najveće smanjenje očituje se u parnicama</w:t>
      </w:r>
      <w:r w:rsidR="008B7B29">
        <w:rPr>
          <w:rFonts w:eastAsia="Times New Roman"/>
          <w:lang w:eastAsia="hr-HR"/>
        </w:rPr>
        <w:t>,</w:t>
      </w:r>
      <w:r w:rsidRPr="001B4CA2">
        <w:rPr>
          <w:rFonts w:eastAsia="Times New Roman"/>
          <w:lang w:eastAsia="hr-HR"/>
        </w:rPr>
        <w:t xml:space="preserve"> kojih je čak 39,2</w:t>
      </w:r>
      <w:r w:rsidR="008B7B29">
        <w:rPr>
          <w:rFonts w:eastAsia="Times New Roman"/>
          <w:lang w:eastAsia="hr-HR"/>
        </w:rPr>
        <w:t> </w:t>
      </w:r>
      <w:r w:rsidRPr="001B4CA2">
        <w:rPr>
          <w:rFonts w:eastAsia="Times New Roman"/>
          <w:lang w:eastAsia="hr-HR"/>
        </w:rPr>
        <w:t xml:space="preserve">% manje nego 2021. Manji broj parničnih predmeta rezultat je značajnog smanjenja radnih sporova te činjenice da velik broj predmeta preventivne djelatnosti nije završio u parnici zbog korištenja instituta oglednog postupka koji je uveden u naš pravni sustav Zakonom o izmjenama i dopunama Zakona o parničnom postupku objavljenog u Narodnim novinama broj 70/19. Broj ostalih sudskih predmeta </w:t>
      </w:r>
      <w:r w:rsidR="008B7B29" w:rsidRPr="001B4CA2">
        <w:rPr>
          <w:rFonts w:eastAsia="Times New Roman"/>
          <w:lang w:eastAsia="hr-HR"/>
        </w:rPr>
        <w:t xml:space="preserve">manji </w:t>
      </w:r>
      <w:r w:rsidRPr="001B4CA2">
        <w:rPr>
          <w:rFonts w:eastAsia="Times New Roman"/>
          <w:lang w:eastAsia="hr-HR"/>
        </w:rPr>
        <w:t>je za 10,7</w:t>
      </w:r>
      <w:r w:rsidR="008B7B29">
        <w:rPr>
          <w:rFonts w:eastAsia="Times New Roman"/>
          <w:lang w:eastAsia="hr-HR"/>
        </w:rPr>
        <w:t> </w:t>
      </w:r>
      <w:r w:rsidRPr="001B4CA2">
        <w:rPr>
          <w:rFonts w:eastAsia="Times New Roman"/>
          <w:lang w:eastAsia="hr-HR"/>
        </w:rPr>
        <w:t>%, što je posljedica dovršetka zemljišnoknjižnih postupaka povezivanja zemljišnih knjiga i knjige položenih ugovora te postupaka obnove i preoblikovanja zemljišnih knjiga pojedinih katastarskih općina. Samo su predmeti stečaja potrošača nešto veći od broja iz prethodnog izvještajnog razdoblja</w:t>
      </w:r>
      <w:r w:rsidR="00F47D60">
        <w:rPr>
          <w:rFonts w:eastAsia="Times New Roman"/>
          <w:lang w:eastAsia="hr-HR"/>
        </w:rPr>
        <w:t>,</w:t>
      </w:r>
      <w:r w:rsidRPr="001B4CA2">
        <w:rPr>
          <w:rFonts w:eastAsia="Times New Roman"/>
          <w:lang w:eastAsia="hr-HR"/>
        </w:rPr>
        <w:t xml:space="preserve"> i to za 10,8</w:t>
      </w:r>
      <w:r w:rsidR="008B7B29">
        <w:rPr>
          <w:rFonts w:eastAsia="Times New Roman"/>
          <w:lang w:eastAsia="hr-HR"/>
        </w:rPr>
        <w:t> </w:t>
      </w:r>
      <w:r w:rsidRPr="001B4CA2">
        <w:rPr>
          <w:rFonts w:eastAsia="Times New Roman"/>
          <w:lang w:eastAsia="hr-HR"/>
        </w:rPr>
        <w:t>%.</w:t>
      </w:r>
    </w:p>
    <w:p w14:paraId="4CCDDA33" w14:textId="77777777" w:rsidR="00B010E6" w:rsidRPr="001B4CA2" w:rsidRDefault="00B010E6" w:rsidP="00B010E6">
      <w:pPr>
        <w:rPr>
          <w:rFonts w:eastAsia="Times New Roman"/>
          <w:lang w:eastAsia="hr-HR"/>
        </w:rPr>
      </w:pPr>
    </w:p>
    <w:p w14:paraId="1038B577" w14:textId="5CE699FA" w:rsidR="00B010E6" w:rsidRPr="001B4CA2" w:rsidRDefault="00B010E6" w:rsidP="00B010E6">
      <w:r w:rsidRPr="001B4CA2">
        <w:rPr>
          <w:rFonts w:eastAsia="Times New Roman"/>
          <w:lang w:eastAsia="hr-HR"/>
        </w:rPr>
        <w:lastRenderedPageBreak/>
        <w:tab/>
        <w:t xml:space="preserve">Struktura novih sudskih predmeta nije se bitno mijenjala kroz promatrano petogodišnje razdoblje. U 2022. godini sudski su se </w:t>
      </w:r>
      <w:r w:rsidR="008B7B29" w:rsidRPr="001B4CA2">
        <w:rPr>
          <w:rFonts w:eastAsia="Times New Roman"/>
          <w:lang w:eastAsia="hr-HR"/>
        </w:rPr>
        <w:t xml:space="preserve">predmeti </w:t>
      </w:r>
      <w:r w:rsidRPr="001B4CA2">
        <w:rPr>
          <w:rFonts w:eastAsia="Times New Roman"/>
          <w:lang w:eastAsia="hr-HR"/>
        </w:rPr>
        <w:t>najvećim djelom sastojali od ovrha (43</w:t>
      </w:r>
      <w:r w:rsidR="008B7B29">
        <w:rPr>
          <w:rFonts w:eastAsia="Times New Roman"/>
          <w:lang w:eastAsia="hr-HR"/>
        </w:rPr>
        <w:t> </w:t>
      </w:r>
      <w:r w:rsidRPr="001B4CA2">
        <w:rPr>
          <w:rFonts w:eastAsia="Times New Roman"/>
          <w:lang w:eastAsia="hr-HR"/>
        </w:rPr>
        <w:t>%)</w:t>
      </w:r>
      <w:r w:rsidR="001B4CA2">
        <w:rPr>
          <w:rFonts w:eastAsia="Times New Roman"/>
          <w:lang w:eastAsia="hr-HR"/>
        </w:rPr>
        <w:t xml:space="preserve"> </w:t>
      </w:r>
      <w:r w:rsidRPr="001B4CA2">
        <w:rPr>
          <w:rFonts w:eastAsia="Times New Roman"/>
          <w:lang w:eastAsia="hr-HR"/>
        </w:rPr>
        <w:t>i ostalih postupaka (43</w:t>
      </w:r>
      <w:r w:rsidR="008B7B29">
        <w:rPr>
          <w:rFonts w:eastAsia="Times New Roman"/>
          <w:lang w:eastAsia="hr-HR"/>
        </w:rPr>
        <w:t> </w:t>
      </w:r>
      <w:r w:rsidRPr="001B4CA2">
        <w:rPr>
          <w:rFonts w:eastAsia="Times New Roman"/>
          <w:lang w:eastAsia="hr-HR"/>
        </w:rPr>
        <w:t>%), a manjim dijelom od parničnih (10</w:t>
      </w:r>
      <w:r w:rsidR="008B7B29">
        <w:rPr>
          <w:rFonts w:eastAsia="Times New Roman"/>
          <w:lang w:eastAsia="hr-HR"/>
        </w:rPr>
        <w:t> </w:t>
      </w:r>
      <w:r w:rsidRPr="001B4CA2">
        <w:rPr>
          <w:rFonts w:eastAsia="Times New Roman"/>
          <w:lang w:eastAsia="hr-HR"/>
        </w:rPr>
        <w:t>%) i postupaka stečaja potrošača (4</w:t>
      </w:r>
      <w:r w:rsidR="008B7B29">
        <w:rPr>
          <w:rFonts w:eastAsia="Times New Roman"/>
          <w:lang w:eastAsia="hr-HR"/>
        </w:rPr>
        <w:t> </w:t>
      </w:r>
      <w:r w:rsidRPr="001B4CA2">
        <w:rPr>
          <w:rFonts w:eastAsia="Times New Roman"/>
          <w:lang w:eastAsia="hr-HR"/>
        </w:rPr>
        <w:t>%).</w:t>
      </w:r>
    </w:p>
    <w:p w14:paraId="46F59952" w14:textId="77777777" w:rsidR="00B010E6" w:rsidRPr="001B4CA2" w:rsidRDefault="00B010E6" w:rsidP="00B010E6"/>
    <w:p w14:paraId="5ED8436F" w14:textId="0EC743C0" w:rsidR="00B010E6" w:rsidRPr="001B4CA2" w:rsidRDefault="00C4437D" w:rsidP="003C7AD5">
      <w:pPr>
        <w:jc w:val="left"/>
        <w:rPr>
          <w:rFonts w:asciiTheme="minorHAnsi" w:hAnsiTheme="minorHAnsi" w:cstheme="minorBidi"/>
          <w:i/>
          <w:szCs w:val="22"/>
        </w:rPr>
      </w:pPr>
      <w:r>
        <w:rPr>
          <w:rFonts w:asciiTheme="minorHAnsi" w:hAnsiTheme="minorHAnsi" w:cstheme="minorBidi"/>
          <w:i/>
          <w:szCs w:val="22"/>
        </w:rPr>
        <w:t xml:space="preserve">   </w:t>
      </w:r>
      <w:r w:rsidR="003C7AD5" w:rsidRPr="001B4CA2">
        <w:rPr>
          <w:rFonts w:asciiTheme="minorHAnsi" w:hAnsiTheme="minorHAnsi" w:cstheme="minorBidi"/>
          <w:i/>
          <w:szCs w:val="22"/>
        </w:rPr>
        <w:t xml:space="preserve">d) </w:t>
      </w:r>
      <w:r w:rsidR="00B010E6" w:rsidRPr="001B4CA2">
        <w:rPr>
          <w:rFonts w:asciiTheme="minorHAnsi" w:hAnsiTheme="minorHAnsi" w:cstheme="minorBidi"/>
          <w:i/>
          <w:szCs w:val="22"/>
        </w:rPr>
        <w:t xml:space="preserve">Prikaz poduzetih radnji u sudskim i upravnim predmetima u 2022. </w:t>
      </w:r>
    </w:p>
    <w:tbl>
      <w:tblPr>
        <w:tblW w:w="8952" w:type="dxa"/>
        <w:jc w:val="center"/>
        <w:tblLook w:val="04A0" w:firstRow="1" w:lastRow="0" w:firstColumn="1" w:lastColumn="0" w:noHBand="0" w:noVBand="1"/>
      </w:tblPr>
      <w:tblGrid>
        <w:gridCol w:w="1039"/>
        <w:gridCol w:w="2019"/>
        <w:gridCol w:w="2017"/>
        <w:gridCol w:w="2017"/>
        <w:gridCol w:w="1860"/>
      </w:tblGrid>
      <w:tr w:rsidR="00B010E6" w:rsidRPr="001B4CA2" w14:paraId="52D1B75E" w14:textId="77777777" w:rsidTr="00540F85">
        <w:trPr>
          <w:trHeight w:val="361"/>
          <w:jc w:val="center"/>
        </w:trPr>
        <w:tc>
          <w:tcPr>
            <w:tcW w:w="3058" w:type="dxa"/>
            <w:gridSpan w:val="2"/>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299FE29A"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Općinsko državno odvjetništvo</w:t>
            </w:r>
          </w:p>
          <w:p w14:paraId="75C4E949"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2022.</w:t>
            </w:r>
          </w:p>
        </w:tc>
        <w:tc>
          <w:tcPr>
            <w:tcW w:w="5894" w:type="dxa"/>
            <w:gridSpan w:val="3"/>
            <w:tcBorders>
              <w:top w:val="single" w:sz="4" w:space="0" w:color="auto"/>
              <w:left w:val="nil"/>
              <w:bottom w:val="single" w:sz="4" w:space="0" w:color="auto"/>
              <w:right w:val="single" w:sz="4" w:space="0" w:color="auto"/>
            </w:tcBorders>
            <w:shd w:val="clear" w:color="auto" w:fill="99CCFF"/>
            <w:vAlign w:val="bottom"/>
            <w:hideMark/>
          </w:tcPr>
          <w:p w14:paraId="1E369054"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p>
          <w:p w14:paraId="2E4BB544"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Općinsko državno odvjetništvo</w:t>
            </w:r>
          </w:p>
          <w:p w14:paraId="2975C7DF"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2022.</w:t>
            </w:r>
          </w:p>
          <w:p w14:paraId="26818B82"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p>
        </w:tc>
      </w:tr>
      <w:tr w:rsidR="00B010E6" w:rsidRPr="001B4CA2" w14:paraId="44E9AB93" w14:textId="77777777" w:rsidTr="00540F85">
        <w:trPr>
          <w:trHeight w:val="419"/>
          <w:jc w:val="center"/>
        </w:trPr>
        <w:tc>
          <w:tcPr>
            <w:tcW w:w="3058" w:type="dxa"/>
            <w:gridSpan w:val="2"/>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52747361" w14:textId="77777777" w:rsidR="00B010E6" w:rsidRPr="001B4CA2" w:rsidRDefault="00B010E6" w:rsidP="00B010E6">
            <w:pPr>
              <w:jc w:val="left"/>
              <w:rPr>
                <w:rFonts w:asciiTheme="minorHAnsi" w:eastAsia="Times New Roman" w:hAnsiTheme="minorHAnsi" w:cstheme="minorHAnsi"/>
                <w:b/>
                <w:bCs/>
                <w:color w:val="000000"/>
                <w:sz w:val="18"/>
                <w:szCs w:val="18"/>
                <w:lang w:eastAsia="hr-HR"/>
              </w:rPr>
            </w:pPr>
          </w:p>
        </w:tc>
        <w:tc>
          <w:tcPr>
            <w:tcW w:w="2017" w:type="dxa"/>
            <w:tcBorders>
              <w:top w:val="nil"/>
              <w:left w:val="nil"/>
              <w:bottom w:val="single" w:sz="4" w:space="0" w:color="auto"/>
              <w:right w:val="single" w:sz="4" w:space="0" w:color="auto"/>
            </w:tcBorders>
            <w:shd w:val="clear" w:color="auto" w:fill="99CCFF"/>
            <w:vAlign w:val="center"/>
            <w:hideMark/>
          </w:tcPr>
          <w:p w14:paraId="587B2F19"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Broj</w:t>
            </w:r>
          </w:p>
        </w:tc>
        <w:tc>
          <w:tcPr>
            <w:tcW w:w="2017" w:type="dxa"/>
            <w:tcBorders>
              <w:top w:val="nil"/>
              <w:left w:val="nil"/>
              <w:bottom w:val="single" w:sz="4" w:space="0" w:color="auto"/>
              <w:right w:val="single" w:sz="4" w:space="0" w:color="auto"/>
            </w:tcBorders>
            <w:shd w:val="clear" w:color="auto" w:fill="99CCFF"/>
            <w:vAlign w:val="center"/>
            <w:hideMark/>
          </w:tcPr>
          <w:p w14:paraId="08CAAA47"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Ukupno</w:t>
            </w:r>
          </w:p>
        </w:tc>
        <w:tc>
          <w:tcPr>
            <w:tcW w:w="1860" w:type="dxa"/>
            <w:tcBorders>
              <w:top w:val="nil"/>
              <w:left w:val="nil"/>
              <w:bottom w:val="single" w:sz="4" w:space="0" w:color="auto"/>
              <w:right w:val="single" w:sz="4" w:space="0" w:color="auto"/>
            </w:tcBorders>
            <w:shd w:val="clear" w:color="auto" w:fill="99CCFF"/>
            <w:vAlign w:val="center"/>
            <w:hideMark/>
          </w:tcPr>
          <w:p w14:paraId="61F31140" w14:textId="0FA721E9"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Prosječno po prisutnim</w:t>
            </w:r>
            <w:r w:rsidR="001B4CA2">
              <w:rPr>
                <w:rFonts w:asciiTheme="minorHAnsi" w:eastAsia="Times New Roman" w:hAnsiTheme="minorHAnsi" w:cstheme="minorHAnsi"/>
                <w:b/>
                <w:bCs/>
                <w:color w:val="000000"/>
                <w:sz w:val="18"/>
                <w:szCs w:val="18"/>
                <w:lang w:eastAsia="hr-HR"/>
              </w:rPr>
              <w:t xml:space="preserve"> </w:t>
            </w:r>
            <w:proofErr w:type="spellStart"/>
            <w:r w:rsidRPr="001B4CA2">
              <w:rPr>
                <w:rFonts w:asciiTheme="minorHAnsi" w:eastAsia="Times New Roman" w:hAnsiTheme="minorHAnsi" w:cstheme="minorHAnsi"/>
                <w:b/>
                <w:bCs/>
                <w:color w:val="000000"/>
                <w:sz w:val="18"/>
                <w:szCs w:val="18"/>
                <w:lang w:eastAsia="hr-HR"/>
              </w:rPr>
              <w:t>rješavateljima</w:t>
            </w:r>
            <w:proofErr w:type="spellEnd"/>
          </w:p>
        </w:tc>
      </w:tr>
      <w:tr w:rsidR="00B010E6" w:rsidRPr="001B4CA2" w14:paraId="37A0444C" w14:textId="77777777" w:rsidTr="00540F85">
        <w:trPr>
          <w:trHeight w:val="454"/>
          <w:jc w:val="center"/>
        </w:trPr>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14:paraId="536812BF"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Rasprave</w:t>
            </w:r>
          </w:p>
        </w:tc>
        <w:tc>
          <w:tcPr>
            <w:tcW w:w="2019" w:type="dxa"/>
            <w:tcBorders>
              <w:top w:val="nil"/>
              <w:left w:val="nil"/>
              <w:bottom w:val="single" w:sz="4" w:space="0" w:color="auto"/>
              <w:right w:val="single" w:sz="4" w:space="0" w:color="auto"/>
            </w:tcBorders>
            <w:shd w:val="clear" w:color="auto" w:fill="auto"/>
            <w:noWrap/>
            <w:vAlign w:val="center"/>
            <w:hideMark/>
          </w:tcPr>
          <w:p w14:paraId="5AA41C40"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U sjedištu</w:t>
            </w:r>
          </w:p>
        </w:tc>
        <w:tc>
          <w:tcPr>
            <w:tcW w:w="2017" w:type="dxa"/>
            <w:tcBorders>
              <w:top w:val="nil"/>
              <w:left w:val="nil"/>
              <w:bottom w:val="single" w:sz="4" w:space="0" w:color="auto"/>
              <w:right w:val="single" w:sz="4" w:space="0" w:color="auto"/>
            </w:tcBorders>
            <w:shd w:val="clear" w:color="auto" w:fill="auto"/>
            <w:noWrap/>
            <w:vAlign w:val="center"/>
          </w:tcPr>
          <w:p w14:paraId="64DCAE8C" w14:textId="77777777" w:rsidR="00B010E6" w:rsidRPr="001B4CA2" w:rsidRDefault="00B010E6" w:rsidP="00B010E6">
            <w:pPr>
              <w:jc w:val="center"/>
              <w:rPr>
                <w:color w:val="000000"/>
                <w:sz w:val="18"/>
                <w:szCs w:val="18"/>
              </w:rPr>
            </w:pPr>
            <w:r w:rsidRPr="001B4CA2">
              <w:rPr>
                <w:color w:val="000000"/>
                <w:sz w:val="18"/>
                <w:szCs w:val="18"/>
              </w:rPr>
              <w:t>10.864</w:t>
            </w:r>
          </w:p>
        </w:tc>
        <w:tc>
          <w:tcPr>
            <w:tcW w:w="2017" w:type="dxa"/>
            <w:vMerge w:val="restart"/>
            <w:tcBorders>
              <w:top w:val="nil"/>
              <w:left w:val="single" w:sz="4" w:space="0" w:color="auto"/>
              <w:bottom w:val="single" w:sz="4" w:space="0" w:color="auto"/>
              <w:right w:val="single" w:sz="4" w:space="0" w:color="auto"/>
            </w:tcBorders>
            <w:shd w:val="clear" w:color="auto" w:fill="auto"/>
            <w:noWrap/>
            <w:vAlign w:val="center"/>
          </w:tcPr>
          <w:p w14:paraId="01210EE6" w14:textId="77777777" w:rsidR="00B010E6" w:rsidRPr="001B4CA2" w:rsidRDefault="00B010E6" w:rsidP="00B010E6">
            <w:pPr>
              <w:jc w:val="center"/>
              <w:rPr>
                <w:color w:val="000000"/>
                <w:sz w:val="18"/>
                <w:szCs w:val="18"/>
              </w:rPr>
            </w:pPr>
            <w:r w:rsidRPr="001B4CA2">
              <w:rPr>
                <w:color w:val="000000"/>
                <w:sz w:val="18"/>
                <w:szCs w:val="18"/>
              </w:rPr>
              <w:t>15.437</w:t>
            </w:r>
          </w:p>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tcPr>
          <w:p w14:paraId="6C453F74"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100</w:t>
            </w:r>
          </w:p>
        </w:tc>
      </w:tr>
      <w:tr w:rsidR="00B010E6" w:rsidRPr="001B4CA2" w14:paraId="145159A4" w14:textId="77777777" w:rsidTr="00540F85">
        <w:trPr>
          <w:trHeight w:val="454"/>
          <w:jc w:val="center"/>
        </w:trPr>
        <w:tc>
          <w:tcPr>
            <w:tcW w:w="1039" w:type="dxa"/>
            <w:vMerge/>
            <w:tcBorders>
              <w:top w:val="nil"/>
              <w:left w:val="single" w:sz="4" w:space="0" w:color="auto"/>
              <w:bottom w:val="single" w:sz="4" w:space="0" w:color="auto"/>
              <w:right w:val="single" w:sz="4" w:space="0" w:color="auto"/>
            </w:tcBorders>
            <w:vAlign w:val="center"/>
            <w:hideMark/>
          </w:tcPr>
          <w:p w14:paraId="1A68E011"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p>
        </w:tc>
        <w:tc>
          <w:tcPr>
            <w:tcW w:w="2019" w:type="dxa"/>
            <w:tcBorders>
              <w:top w:val="nil"/>
              <w:left w:val="nil"/>
              <w:bottom w:val="single" w:sz="4" w:space="0" w:color="auto"/>
              <w:right w:val="single" w:sz="4" w:space="0" w:color="auto"/>
            </w:tcBorders>
            <w:shd w:val="clear" w:color="auto" w:fill="auto"/>
            <w:noWrap/>
            <w:vAlign w:val="center"/>
            <w:hideMark/>
          </w:tcPr>
          <w:p w14:paraId="4468B874"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Izvan sjedišta</w:t>
            </w:r>
          </w:p>
        </w:tc>
        <w:tc>
          <w:tcPr>
            <w:tcW w:w="2017" w:type="dxa"/>
            <w:tcBorders>
              <w:top w:val="nil"/>
              <w:left w:val="nil"/>
              <w:bottom w:val="single" w:sz="4" w:space="0" w:color="auto"/>
              <w:right w:val="single" w:sz="4" w:space="0" w:color="auto"/>
            </w:tcBorders>
            <w:shd w:val="clear" w:color="auto" w:fill="auto"/>
            <w:noWrap/>
            <w:vAlign w:val="center"/>
          </w:tcPr>
          <w:p w14:paraId="0079108A" w14:textId="77777777" w:rsidR="00B010E6" w:rsidRPr="001B4CA2" w:rsidRDefault="00B010E6" w:rsidP="00B010E6">
            <w:pPr>
              <w:jc w:val="center"/>
              <w:rPr>
                <w:color w:val="000000"/>
                <w:sz w:val="18"/>
                <w:szCs w:val="18"/>
              </w:rPr>
            </w:pPr>
            <w:r w:rsidRPr="001B4CA2">
              <w:rPr>
                <w:color w:val="000000"/>
                <w:sz w:val="18"/>
                <w:szCs w:val="18"/>
              </w:rPr>
              <w:t>4.573</w:t>
            </w:r>
          </w:p>
        </w:tc>
        <w:tc>
          <w:tcPr>
            <w:tcW w:w="2017" w:type="dxa"/>
            <w:vMerge/>
            <w:tcBorders>
              <w:top w:val="nil"/>
              <w:left w:val="single" w:sz="4" w:space="0" w:color="auto"/>
              <w:bottom w:val="single" w:sz="4" w:space="0" w:color="auto"/>
              <w:right w:val="single" w:sz="4" w:space="0" w:color="auto"/>
            </w:tcBorders>
            <w:vAlign w:val="center"/>
          </w:tcPr>
          <w:p w14:paraId="3F7C1BCE"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p>
        </w:tc>
        <w:tc>
          <w:tcPr>
            <w:tcW w:w="1860" w:type="dxa"/>
            <w:vMerge/>
            <w:tcBorders>
              <w:top w:val="nil"/>
              <w:left w:val="single" w:sz="4" w:space="0" w:color="auto"/>
              <w:bottom w:val="single" w:sz="4" w:space="0" w:color="auto"/>
              <w:right w:val="single" w:sz="4" w:space="0" w:color="auto"/>
            </w:tcBorders>
            <w:vAlign w:val="center"/>
          </w:tcPr>
          <w:p w14:paraId="174384FB"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p>
        </w:tc>
      </w:tr>
      <w:tr w:rsidR="00B010E6" w:rsidRPr="001B4CA2" w14:paraId="260B3826" w14:textId="77777777" w:rsidTr="00540F85">
        <w:trPr>
          <w:trHeight w:val="454"/>
          <w:jc w:val="center"/>
        </w:trPr>
        <w:tc>
          <w:tcPr>
            <w:tcW w:w="1039" w:type="dxa"/>
            <w:vMerge w:val="restart"/>
            <w:tcBorders>
              <w:top w:val="nil"/>
              <w:left w:val="single" w:sz="4" w:space="0" w:color="auto"/>
              <w:bottom w:val="single" w:sz="4" w:space="0" w:color="auto"/>
              <w:right w:val="single" w:sz="4" w:space="0" w:color="auto"/>
            </w:tcBorders>
            <w:shd w:val="clear" w:color="auto" w:fill="auto"/>
            <w:vAlign w:val="center"/>
            <w:hideMark/>
          </w:tcPr>
          <w:p w14:paraId="0FE8B4DC"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Uloženi pravni lijekovi</w:t>
            </w:r>
          </w:p>
        </w:tc>
        <w:tc>
          <w:tcPr>
            <w:tcW w:w="2019" w:type="dxa"/>
            <w:tcBorders>
              <w:top w:val="nil"/>
              <w:left w:val="nil"/>
              <w:bottom w:val="single" w:sz="4" w:space="0" w:color="auto"/>
              <w:right w:val="single" w:sz="4" w:space="0" w:color="auto"/>
            </w:tcBorders>
            <w:shd w:val="clear" w:color="auto" w:fill="auto"/>
            <w:noWrap/>
            <w:vAlign w:val="center"/>
            <w:hideMark/>
          </w:tcPr>
          <w:p w14:paraId="6D6F0BF3"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Redovni</w:t>
            </w:r>
          </w:p>
        </w:tc>
        <w:tc>
          <w:tcPr>
            <w:tcW w:w="2017" w:type="dxa"/>
            <w:tcBorders>
              <w:top w:val="nil"/>
              <w:left w:val="nil"/>
              <w:bottom w:val="single" w:sz="4" w:space="0" w:color="auto"/>
              <w:right w:val="single" w:sz="4" w:space="0" w:color="auto"/>
            </w:tcBorders>
            <w:shd w:val="clear" w:color="auto" w:fill="auto"/>
            <w:noWrap/>
            <w:vAlign w:val="center"/>
          </w:tcPr>
          <w:p w14:paraId="582A53AD" w14:textId="77777777" w:rsidR="00B010E6" w:rsidRPr="001B4CA2" w:rsidRDefault="00B010E6" w:rsidP="00B010E6">
            <w:pPr>
              <w:jc w:val="center"/>
              <w:rPr>
                <w:color w:val="000000"/>
                <w:sz w:val="18"/>
                <w:szCs w:val="18"/>
              </w:rPr>
            </w:pPr>
            <w:r w:rsidRPr="001B4CA2">
              <w:rPr>
                <w:color w:val="000000"/>
                <w:sz w:val="18"/>
                <w:szCs w:val="18"/>
              </w:rPr>
              <w:t>2.985</w:t>
            </w:r>
          </w:p>
        </w:tc>
        <w:tc>
          <w:tcPr>
            <w:tcW w:w="2017" w:type="dxa"/>
            <w:vMerge w:val="restart"/>
            <w:tcBorders>
              <w:top w:val="nil"/>
              <w:left w:val="single" w:sz="4" w:space="0" w:color="auto"/>
              <w:bottom w:val="single" w:sz="4" w:space="0" w:color="auto"/>
              <w:right w:val="single" w:sz="4" w:space="0" w:color="auto"/>
            </w:tcBorders>
            <w:shd w:val="clear" w:color="auto" w:fill="auto"/>
            <w:noWrap/>
            <w:vAlign w:val="center"/>
          </w:tcPr>
          <w:p w14:paraId="6AD8EAFD" w14:textId="77777777" w:rsidR="00B010E6" w:rsidRPr="001B4CA2" w:rsidRDefault="00B010E6" w:rsidP="00B010E6">
            <w:pPr>
              <w:jc w:val="center"/>
              <w:rPr>
                <w:color w:val="000000"/>
                <w:sz w:val="18"/>
                <w:szCs w:val="18"/>
              </w:rPr>
            </w:pPr>
            <w:r w:rsidRPr="001B4CA2">
              <w:rPr>
                <w:color w:val="000000"/>
                <w:sz w:val="18"/>
                <w:szCs w:val="18"/>
              </w:rPr>
              <w:t>3.722</w:t>
            </w:r>
          </w:p>
        </w:tc>
        <w:tc>
          <w:tcPr>
            <w:tcW w:w="1860" w:type="dxa"/>
            <w:vMerge w:val="restart"/>
            <w:tcBorders>
              <w:top w:val="nil"/>
              <w:left w:val="single" w:sz="4" w:space="0" w:color="auto"/>
              <w:bottom w:val="single" w:sz="4" w:space="0" w:color="auto"/>
              <w:right w:val="single" w:sz="4" w:space="0" w:color="auto"/>
            </w:tcBorders>
            <w:shd w:val="clear" w:color="auto" w:fill="auto"/>
            <w:noWrap/>
            <w:vAlign w:val="center"/>
          </w:tcPr>
          <w:p w14:paraId="1EBBCF44"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24</w:t>
            </w:r>
          </w:p>
        </w:tc>
      </w:tr>
      <w:tr w:rsidR="00B010E6" w:rsidRPr="001B4CA2" w14:paraId="244DEFB3" w14:textId="77777777" w:rsidTr="00540F85">
        <w:trPr>
          <w:trHeight w:val="454"/>
          <w:jc w:val="center"/>
        </w:trPr>
        <w:tc>
          <w:tcPr>
            <w:tcW w:w="1039" w:type="dxa"/>
            <w:vMerge/>
            <w:tcBorders>
              <w:top w:val="nil"/>
              <w:left w:val="single" w:sz="4" w:space="0" w:color="auto"/>
              <w:bottom w:val="single" w:sz="4" w:space="0" w:color="auto"/>
              <w:right w:val="single" w:sz="4" w:space="0" w:color="auto"/>
            </w:tcBorders>
            <w:vAlign w:val="center"/>
            <w:hideMark/>
          </w:tcPr>
          <w:p w14:paraId="1775D87B"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p>
        </w:tc>
        <w:tc>
          <w:tcPr>
            <w:tcW w:w="2019" w:type="dxa"/>
            <w:tcBorders>
              <w:top w:val="nil"/>
              <w:left w:val="nil"/>
              <w:bottom w:val="single" w:sz="4" w:space="0" w:color="auto"/>
              <w:right w:val="single" w:sz="4" w:space="0" w:color="auto"/>
            </w:tcBorders>
            <w:shd w:val="clear" w:color="auto" w:fill="auto"/>
            <w:noWrap/>
            <w:vAlign w:val="center"/>
            <w:hideMark/>
          </w:tcPr>
          <w:p w14:paraId="1EFEB5E3"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Izvanredni</w:t>
            </w:r>
          </w:p>
        </w:tc>
        <w:tc>
          <w:tcPr>
            <w:tcW w:w="2017" w:type="dxa"/>
            <w:tcBorders>
              <w:top w:val="nil"/>
              <w:left w:val="nil"/>
              <w:bottom w:val="single" w:sz="4" w:space="0" w:color="auto"/>
              <w:right w:val="single" w:sz="4" w:space="0" w:color="auto"/>
            </w:tcBorders>
            <w:shd w:val="clear" w:color="auto" w:fill="auto"/>
            <w:noWrap/>
            <w:vAlign w:val="center"/>
          </w:tcPr>
          <w:p w14:paraId="2C9478B8" w14:textId="77777777" w:rsidR="00B010E6" w:rsidRPr="001B4CA2" w:rsidRDefault="00B010E6" w:rsidP="00B010E6">
            <w:pPr>
              <w:jc w:val="center"/>
              <w:rPr>
                <w:color w:val="000000"/>
                <w:sz w:val="18"/>
                <w:szCs w:val="18"/>
              </w:rPr>
            </w:pPr>
            <w:r w:rsidRPr="001B4CA2">
              <w:rPr>
                <w:color w:val="000000"/>
                <w:sz w:val="18"/>
                <w:szCs w:val="18"/>
              </w:rPr>
              <w:t>737</w:t>
            </w:r>
          </w:p>
        </w:tc>
        <w:tc>
          <w:tcPr>
            <w:tcW w:w="2017" w:type="dxa"/>
            <w:vMerge/>
            <w:tcBorders>
              <w:top w:val="nil"/>
              <w:left w:val="single" w:sz="4" w:space="0" w:color="auto"/>
              <w:bottom w:val="single" w:sz="4" w:space="0" w:color="auto"/>
              <w:right w:val="single" w:sz="4" w:space="0" w:color="auto"/>
            </w:tcBorders>
            <w:vAlign w:val="center"/>
          </w:tcPr>
          <w:p w14:paraId="56E7E79C" w14:textId="77777777" w:rsidR="00B010E6" w:rsidRPr="001B4CA2" w:rsidRDefault="00B010E6" w:rsidP="00B010E6">
            <w:pPr>
              <w:jc w:val="left"/>
              <w:rPr>
                <w:rFonts w:asciiTheme="minorHAnsi" w:eastAsia="Times New Roman" w:hAnsiTheme="minorHAnsi" w:cstheme="minorHAnsi"/>
                <w:b/>
                <w:bCs/>
                <w:color w:val="000000"/>
                <w:sz w:val="18"/>
                <w:szCs w:val="18"/>
                <w:lang w:eastAsia="hr-HR"/>
              </w:rPr>
            </w:pPr>
          </w:p>
        </w:tc>
        <w:tc>
          <w:tcPr>
            <w:tcW w:w="1860" w:type="dxa"/>
            <w:vMerge/>
            <w:tcBorders>
              <w:top w:val="nil"/>
              <w:left w:val="single" w:sz="4" w:space="0" w:color="auto"/>
              <w:bottom w:val="single" w:sz="4" w:space="0" w:color="auto"/>
              <w:right w:val="single" w:sz="4" w:space="0" w:color="auto"/>
            </w:tcBorders>
            <w:vAlign w:val="center"/>
          </w:tcPr>
          <w:p w14:paraId="19AD316D" w14:textId="77777777" w:rsidR="00B010E6" w:rsidRPr="001B4CA2" w:rsidRDefault="00B010E6" w:rsidP="00B010E6">
            <w:pPr>
              <w:jc w:val="left"/>
              <w:rPr>
                <w:rFonts w:asciiTheme="minorHAnsi" w:eastAsia="Times New Roman" w:hAnsiTheme="minorHAnsi" w:cstheme="minorHAnsi"/>
                <w:b/>
                <w:bCs/>
                <w:color w:val="000000"/>
                <w:sz w:val="18"/>
                <w:szCs w:val="18"/>
                <w:lang w:eastAsia="hr-HR"/>
              </w:rPr>
            </w:pPr>
          </w:p>
        </w:tc>
      </w:tr>
    </w:tbl>
    <w:p w14:paraId="5CF17C58" w14:textId="77777777" w:rsidR="00B010E6" w:rsidRPr="001B4CA2" w:rsidRDefault="00B010E6" w:rsidP="00B010E6">
      <w:pPr>
        <w:rPr>
          <w:color w:val="FF0000"/>
          <w:sz w:val="20"/>
          <w:szCs w:val="20"/>
        </w:rPr>
      </w:pPr>
    </w:p>
    <w:p w14:paraId="373C1F66" w14:textId="7A5514E0" w:rsidR="00B010E6" w:rsidRPr="001B4CA2" w:rsidRDefault="00B010E6" w:rsidP="00B010E6">
      <w:r w:rsidRPr="001B4CA2">
        <w:rPr>
          <w:sz w:val="20"/>
          <w:szCs w:val="20"/>
        </w:rPr>
        <w:tab/>
      </w:r>
      <w:r w:rsidRPr="001B4CA2">
        <w:t xml:space="preserve">Iz tabelarnog prikaza poduzetih radnji u sudskim i upravnim predmetima </w:t>
      </w:r>
      <w:r w:rsidR="008B7B29">
        <w:t>razvidan</w:t>
      </w:r>
      <w:r w:rsidRPr="001B4CA2">
        <w:t xml:space="preserve"> je pad broja rasprava na kojima su općinska državna odvjetništva zastupala za 15,8</w:t>
      </w:r>
      <w:r w:rsidR="008B7B29">
        <w:t> </w:t>
      </w:r>
      <w:r w:rsidRPr="001B4CA2">
        <w:t>% u odnosu na prethodno izvještajno razdoblje. Od ukupnog broja rasprava čak 42</w:t>
      </w:r>
      <w:r w:rsidR="008B7B29">
        <w:t> </w:t>
      </w:r>
      <w:r w:rsidRPr="001B4CA2">
        <w:t xml:space="preserve">% održano </w:t>
      </w:r>
      <w:r w:rsidR="008B7B29" w:rsidRPr="001B4CA2">
        <w:t xml:space="preserve">je </w:t>
      </w:r>
      <w:r w:rsidRPr="001B4CA2">
        <w:t>izvan sjedišta državnog odvjetništva</w:t>
      </w:r>
      <w:r w:rsidR="008B7B29">
        <w:t>,</w:t>
      </w:r>
      <w:r w:rsidRPr="001B4CA2">
        <w:t xml:space="preserve"> što dodatno opterećuje rad zbog organiziranja prijevoza</w:t>
      </w:r>
      <w:r w:rsidR="008B7B29">
        <w:t xml:space="preserve">, ali </w:t>
      </w:r>
      <w:r w:rsidRPr="001B4CA2">
        <w:t xml:space="preserve">i zbog značajnog vremena provedenog izvan ureda. Svaki je </w:t>
      </w:r>
      <w:proofErr w:type="spellStart"/>
      <w:r w:rsidRPr="001B4CA2">
        <w:t>rješavatelj</w:t>
      </w:r>
      <w:proofErr w:type="spellEnd"/>
      <w:r w:rsidRPr="001B4CA2">
        <w:t xml:space="preserve"> u 2022. godini zastupao prosječno na 100 rasprava</w:t>
      </w:r>
    </w:p>
    <w:p w14:paraId="188D6752" w14:textId="77777777" w:rsidR="00B010E6" w:rsidRPr="001B4CA2" w:rsidRDefault="00B010E6" w:rsidP="00B010E6">
      <w:pPr>
        <w:rPr>
          <w:color w:val="FF0000"/>
        </w:rPr>
      </w:pPr>
    </w:p>
    <w:p w14:paraId="03C17169" w14:textId="6D674560" w:rsidR="00B010E6" w:rsidRPr="001B4CA2" w:rsidRDefault="00B010E6" w:rsidP="00B010E6">
      <w:pPr>
        <w:ind w:firstLine="708"/>
      </w:pPr>
      <w:r w:rsidRPr="001B4CA2">
        <w:t>Broj pravnih lijekova koja su uložila općinska državna odvjetništva u sudskim i upravnim predmetima veći je za 6</w:t>
      </w:r>
      <w:r w:rsidR="008B7B29">
        <w:t> </w:t>
      </w:r>
      <w:r w:rsidRPr="001B4CA2">
        <w:t>% od prethodnog izvještajnog razdoblja</w:t>
      </w:r>
      <w:r w:rsidR="008B7B29">
        <w:t>,</w:t>
      </w:r>
      <w:r w:rsidRPr="001B4CA2">
        <w:t xml:space="preserve"> i to </w:t>
      </w:r>
      <w:r w:rsidR="008B7B29">
        <w:t>ponajprije</w:t>
      </w:r>
      <w:r w:rsidRPr="001B4CA2">
        <w:t xml:space="preserve"> zbog većeg broja uloženih izvanrednih pravnih lijekova. Prosječna godišnja opterećenost zamjenika općinskih državnih odvjetnika u odnosu na broj uloženih pravnih lijekova iznosi 24 pravna lijeka po prisutnim </w:t>
      </w:r>
      <w:proofErr w:type="spellStart"/>
      <w:r w:rsidRPr="001B4CA2">
        <w:t>rješavateljima</w:t>
      </w:r>
      <w:proofErr w:type="spellEnd"/>
      <w:r w:rsidRPr="001B4CA2">
        <w:t>.</w:t>
      </w:r>
    </w:p>
    <w:p w14:paraId="043160BA" w14:textId="77777777" w:rsidR="00A314C3" w:rsidRPr="001B4CA2" w:rsidRDefault="00A314C3" w:rsidP="007C50CA"/>
    <w:p w14:paraId="53004958" w14:textId="36161EC7" w:rsidR="00D620B2" w:rsidRPr="001B4CA2" w:rsidRDefault="00BB4D48" w:rsidP="00CD3DD1">
      <w:pPr>
        <w:pStyle w:val="Naslov4"/>
        <w:tabs>
          <w:tab w:val="left" w:pos="709"/>
          <w:tab w:val="left" w:pos="851"/>
        </w:tabs>
        <w:ind w:left="426"/>
        <w:rPr>
          <w:rFonts w:ascii="Arial" w:hAnsi="Arial" w:cs="Arial"/>
        </w:rPr>
      </w:pPr>
      <w:bookmarkStart w:id="64" w:name="_Toc133394324"/>
      <w:r w:rsidRPr="001B4CA2">
        <w:rPr>
          <w:rFonts w:ascii="Arial" w:hAnsi="Arial" w:cs="Arial"/>
        </w:rPr>
        <w:t>Predmeti iz</w:t>
      </w:r>
      <w:r w:rsidR="00CE234E" w:rsidRPr="001B4CA2">
        <w:rPr>
          <w:rFonts w:ascii="Arial" w:hAnsi="Arial" w:cs="Arial"/>
        </w:rPr>
        <w:t>vansudskog rješavanja sporova</w:t>
      </w:r>
      <w:bookmarkEnd w:id="64"/>
    </w:p>
    <w:p w14:paraId="4D0A9D45" w14:textId="77777777" w:rsidR="00D620B2" w:rsidRPr="001B4CA2" w:rsidRDefault="00D620B2" w:rsidP="007C50CA"/>
    <w:p w14:paraId="2B404AEA" w14:textId="460D1CC3" w:rsidR="00BB4D48" w:rsidRPr="001B4CA2" w:rsidRDefault="00BB4D48" w:rsidP="00CD3DD1">
      <w:pPr>
        <w:pStyle w:val="Naslov5"/>
        <w:tabs>
          <w:tab w:val="left" w:pos="993"/>
        </w:tabs>
        <w:ind w:left="709" w:hanging="567"/>
      </w:pPr>
      <w:bookmarkStart w:id="65" w:name="_Toc133394325"/>
      <w:r w:rsidRPr="001B4CA2">
        <w:t xml:space="preserve">Mirno rješavanje sporova (članak 186.a Zakona o parničnom </w:t>
      </w:r>
      <w:r w:rsidR="00E262DD" w:rsidRPr="001B4CA2">
        <w:tab/>
      </w:r>
      <w:r w:rsidRPr="001B4CA2">
        <w:t>postupku)</w:t>
      </w:r>
      <w:bookmarkEnd w:id="65"/>
    </w:p>
    <w:p w14:paraId="5C86CD98" w14:textId="77777777" w:rsidR="006806D3" w:rsidRPr="001B4CA2" w:rsidRDefault="006806D3" w:rsidP="006806D3"/>
    <w:p w14:paraId="47263FB5" w14:textId="36A29B4B" w:rsidR="00B010E6" w:rsidRPr="001B4CA2" w:rsidRDefault="00B010E6" w:rsidP="003C7AD5">
      <w:pPr>
        <w:pStyle w:val="Odlomakpopisa"/>
        <w:numPr>
          <w:ilvl w:val="0"/>
          <w:numId w:val="41"/>
        </w:numPr>
        <w:jc w:val="left"/>
        <w:rPr>
          <w:rFonts w:asciiTheme="minorHAnsi" w:hAnsiTheme="minorHAnsi" w:cstheme="minorBidi"/>
          <w:i/>
          <w:szCs w:val="22"/>
        </w:rPr>
      </w:pPr>
      <w:r w:rsidRPr="001B4CA2">
        <w:rPr>
          <w:rFonts w:asciiTheme="minorHAnsi" w:hAnsiTheme="minorHAnsi" w:cstheme="minorBidi"/>
          <w:i/>
          <w:szCs w:val="22"/>
        </w:rPr>
        <w:t>Zahtjev za mirno rješenje spora (186.a ZPP-a) 2018. – 2022.</w:t>
      </w:r>
    </w:p>
    <w:tbl>
      <w:tblPr>
        <w:tblW w:w="4893" w:type="pct"/>
        <w:tblLook w:val="04A0" w:firstRow="1" w:lastRow="0" w:firstColumn="1" w:lastColumn="0" w:noHBand="0" w:noVBand="1"/>
      </w:tblPr>
      <w:tblGrid>
        <w:gridCol w:w="888"/>
        <w:gridCol w:w="868"/>
        <w:gridCol w:w="1179"/>
        <w:gridCol w:w="1178"/>
        <w:gridCol w:w="1178"/>
        <w:gridCol w:w="1232"/>
        <w:gridCol w:w="1354"/>
        <w:gridCol w:w="1212"/>
      </w:tblGrid>
      <w:tr w:rsidR="00B010E6" w:rsidRPr="001B4CA2" w14:paraId="2FCD4032" w14:textId="77777777" w:rsidTr="00FC6656">
        <w:trPr>
          <w:trHeight w:val="921"/>
        </w:trPr>
        <w:tc>
          <w:tcPr>
            <w:tcW w:w="488"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2166D434"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477" w:type="pct"/>
            <w:tcBorders>
              <w:top w:val="single" w:sz="4" w:space="0" w:color="auto"/>
              <w:left w:val="nil"/>
              <w:bottom w:val="single" w:sz="4" w:space="0" w:color="auto"/>
              <w:right w:val="single" w:sz="4" w:space="0" w:color="auto"/>
            </w:tcBorders>
            <w:shd w:val="clear" w:color="auto" w:fill="99CCFF"/>
            <w:vAlign w:val="center"/>
            <w:hideMark/>
          </w:tcPr>
          <w:p w14:paraId="00E79361"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Ostalo u radu u DO</w:t>
            </w:r>
          </w:p>
        </w:tc>
        <w:tc>
          <w:tcPr>
            <w:tcW w:w="648" w:type="pct"/>
            <w:tcBorders>
              <w:top w:val="single" w:sz="4" w:space="0" w:color="auto"/>
              <w:left w:val="nil"/>
              <w:bottom w:val="single" w:sz="4" w:space="0" w:color="auto"/>
              <w:right w:val="single" w:sz="4" w:space="0" w:color="auto"/>
            </w:tcBorders>
            <w:shd w:val="clear" w:color="auto" w:fill="99CCFF"/>
            <w:vAlign w:val="center"/>
            <w:hideMark/>
          </w:tcPr>
          <w:p w14:paraId="4F0DA476"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Primljeno novih zahtjeva</w:t>
            </w:r>
          </w:p>
        </w:tc>
        <w:tc>
          <w:tcPr>
            <w:tcW w:w="648" w:type="pct"/>
            <w:tcBorders>
              <w:top w:val="single" w:sz="4" w:space="0" w:color="auto"/>
              <w:left w:val="nil"/>
              <w:bottom w:val="single" w:sz="4" w:space="0" w:color="auto"/>
              <w:right w:val="single" w:sz="4" w:space="0" w:color="auto"/>
            </w:tcBorders>
            <w:shd w:val="clear" w:color="auto" w:fill="99CCFF"/>
            <w:vAlign w:val="center"/>
            <w:hideMark/>
          </w:tcPr>
          <w:p w14:paraId="596B33DC"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Ukupno u radu u DO</w:t>
            </w:r>
          </w:p>
        </w:tc>
        <w:tc>
          <w:tcPr>
            <w:tcW w:w="648" w:type="pct"/>
            <w:tcBorders>
              <w:top w:val="single" w:sz="4" w:space="0" w:color="auto"/>
              <w:left w:val="nil"/>
              <w:bottom w:val="single" w:sz="4" w:space="0" w:color="auto"/>
              <w:right w:val="single" w:sz="4" w:space="0" w:color="auto"/>
            </w:tcBorders>
            <w:shd w:val="clear" w:color="auto" w:fill="99CCFF"/>
            <w:vAlign w:val="center"/>
            <w:hideMark/>
          </w:tcPr>
          <w:p w14:paraId="00B160EF"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Riješeno</w:t>
            </w:r>
          </w:p>
        </w:tc>
        <w:tc>
          <w:tcPr>
            <w:tcW w:w="678" w:type="pct"/>
            <w:tcBorders>
              <w:top w:val="single" w:sz="4" w:space="0" w:color="auto"/>
              <w:left w:val="nil"/>
              <w:bottom w:val="single" w:sz="4" w:space="0" w:color="auto"/>
              <w:right w:val="single" w:sz="4" w:space="0" w:color="auto"/>
            </w:tcBorders>
            <w:shd w:val="clear" w:color="auto" w:fill="99CCFF"/>
            <w:vAlign w:val="center"/>
            <w:hideMark/>
          </w:tcPr>
          <w:p w14:paraId="2FE0546B"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Vrijednost svih novih zahtjeva</w:t>
            </w:r>
          </w:p>
          <w:p w14:paraId="4C134B10"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 tisućama kuna)</w:t>
            </w:r>
          </w:p>
        </w:tc>
        <w:tc>
          <w:tcPr>
            <w:tcW w:w="745" w:type="pct"/>
            <w:tcBorders>
              <w:top w:val="single" w:sz="4" w:space="0" w:color="auto"/>
              <w:left w:val="nil"/>
              <w:bottom w:val="single" w:sz="4" w:space="0" w:color="auto"/>
              <w:right w:val="single" w:sz="4" w:space="0" w:color="auto"/>
            </w:tcBorders>
            <w:shd w:val="clear" w:color="auto" w:fill="99CCFF"/>
            <w:vAlign w:val="center"/>
            <w:hideMark/>
          </w:tcPr>
          <w:p w14:paraId="1B338104"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Broj sklopljenih nagodbi</w:t>
            </w:r>
          </w:p>
        </w:tc>
        <w:tc>
          <w:tcPr>
            <w:tcW w:w="667" w:type="pct"/>
            <w:tcBorders>
              <w:top w:val="single" w:sz="4" w:space="0" w:color="auto"/>
              <w:left w:val="nil"/>
              <w:bottom w:val="single" w:sz="4" w:space="0" w:color="auto"/>
              <w:right w:val="single" w:sz="4" w:space="0" w:color="auto"/>
            </w:tcBorders>
            <w:shd w:val="clear" w:color="auto" w:fill="99CCFF"/>
            <w:vAlign w:val="center"/>
            <w:hideMark/>
          </w:tcPr>
          <w:p w14:paraId="21E92A4E"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 xml:space="preserve">Vrijednost </w:t>
            </w:r>
            <w:r w:rsidRPr="001B4CA2">
              <w:rPr>
                <w:rFonts w:asciiTheme="minorHAnsi" w:eastAsia="Times New Roman" w:hAnsiTheme="minorHAnsi" w:cstheme="minorHAnsi"/>
                <w:b/>
                <w:bCs/>
                <w:sz w:val="18"/>
                <w:szCs w:val="18"/>
                <w:lang w:eastAsia="hr-HR"/>
              </w:rPr>
              <w:t>svih</w:t>
            </w:r>
            <w:r w:rsidRPr="001B4CA2">
              <w:rPr>
                <w:rFonts w:asciiTheme="minorHAnsi" w:eastAsia="Times New Roman" w:hAnsiTheme="minorHAnsi" w:cstheme="minorHAnsi"/>
                <w:b/>
                <w:bCs/>
                <w:color w:val="FF0000"/>
                <w:sz w:val="18"/>
                <w:szCs w:val="18"/>
                <w:lang w:eastAsia="hr-HR"/>
              </w:rPr>
              <w:t xml:space="preserve"> </w:t>
            </w:r>
            <w:r w:rsidRPr="001B4CA2">
              <w:rPr>
                <w:rFonts w:asciiTheme="minorHAnsi" w:eastAsia="Times New Roman" w:hAnsiTheme="minorHAnsi" w:cstheme="minorHAnsi"/>
                <w:b/>
                <w:bCs/>
                <w:color w:val="000000"/>
                <w:sz w:val="18"/>
                <w:szCs w:val="18"/>
                <w:lang w:eastAsia="hr-HR"/>
              </w:rPr>
              <w:t>sklopljenih nagodbi</w:t>
            </w:r>
          </w:p>
          <w:p w14:paraId="0908C07D"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 tisućama kuna)</w:t>
            </w:r>
          </w:p>
        </w:tc>
      </w:tr>
      <w:tr w:rsidR="00B010E6" w:rsidRPr="001B4CA2" w14:paraId="6D7B8355" w14:textId="77777777" w:rsidTr="00FC6656">
        <w:trPr>
          <w:trHeight w:val="397"/>
        </w:trPr>
        <w:tc>
          <w:tcPr>
            <w:tcW w:w="488" w:type="pct"/>
            <w:tcBorders>
              <w:top w:val="nil"/>
              <w:left w:val="single" w:sz="4" w:space="0" w:color="auto"/>
              <w:bottom w:val="single" w:sz="4" w:space="0" w:color="auto"/>
              <w:right w:val="single" w:sz="4" w:space="0" w:color="auto"/>
            </w:tcBorders>
            <w:shd w:val="clear" w:color="auto" w:fill="auto"/>
            <w:noWrap/>
            <w:vAlign w:val="center"/>
          </w:tcPr>
          <w:p w14:paraId="70248E43"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2018.</w:t>
            </w:r>
          </w:p>
        </w:tc>
        <w:tc>
          <w:tcPr>
            <w:tcW w:w="477" w:type="pct"/>
            <w:tcBorders>
              <w:top w:val="nil"/>
              <w:left w:val="nil"/>
              <w:bottom w:val="single" w:sz="4" w:space="0" w:color="auto"/>
              <w:right w:val="single" w:sz="4" w:space="0" w:color="auto"/>
            </w:tcBorders>
            <w:shd w:val="clear" w:color="auto" w:fill="auto"/>
            <w:noWrap/>
            <w:vAlign w:val="center"/>
          </w:tcPr>
          <w:p w14:paraId="457280D9"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1.760</w:t>
            </w:r>
          </w:p>
        </w:tc>
        <w:tc>
          <w:tcPr>
            <w:tcW w:w="648" w:type="pct"/>
            <w:tcBorders>
              <w:top w:val="nil"/>
              <w:left w:val="nil"/>
              <w:bottom w:val="single" w:sz="4" w:space="0" w:color="auto"/>
              <w:right w:val="single" w:sz="4" w:space="0" w:color="auto"/>
            </w:tcBorders>
            <w:shd w:val="clear" w:color="auto" w:fill="auto"/>
            <w:noWrap/>
            <w:vAlign w:val="center"/>
          </w:tcPr>
          <w:p w14:paraId="54C5DCDF"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5.616</w:t>
            </w:r>
          </w:p>
        </w:tc>
        <w:tc>
          <w:tcPr>
            <w:tcW w:w="648" w:type="pct"/>
            <w:tcBorders>
              <w:top w:val="nil"/>
              <w:left w:val="nil"/>
              <w:bottom w:val="single" w:sz="4" w:space="0" w:color="auto"/>
              <w:right w:val="single" w:sz="4" w:space="0" w:color="auto"/>
            </w:tcBorders>
            <w:shd w:val="clear" w:color="auto" w:fill="auto"/>
            <w:noWrap/>
            <w:vAlign w:val="center"/>
          </w:tcPr>
          <w:p w14:paraId="45B74143"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7.376</w:t>
            </w:r>
          </w:p>
        </w:tc>
        <w:tc>
          <w:tcPr>
            <w:tcW w:w="648" w:type="pct"/>
            <w:tcBorders>
              <w:top w:val="nil"/>
              <w:left w:val="nil"/>
              <w:bottom w:val="single" w:sz="4" w:space="0" w:color="auto"/>
              <w:right w:val="single" w:sz="4" w:space="0" w:color="auto"/>
            </w:tcBorders>
            <w:shd w:val="clear" w:color="auto" w:fill="auto"/>
            <w:noWrap/>
            <w:vAlign w:val="center"/>
          </w:tcPr>
          <w:p w14:paraId="224F708C"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6.042</w:t>
            </w:r>
          </w:p>
        </w:tc>
        <w:tc>
          <w:tcPr>
            <w:tcW w:w="678" w:type="pct"/>
            <w:tcBorders>
              <w:top w:val="nil"/>
              <w:left w:val="nil"/>
              <w:bottom w:val="single" w:sz="4" w:space="0" w:color="auto"/>
              <w:right w:val="single" w:sz="4" w:space="0" w:color="auto"/>
            </w:tcBorders>
            <w:shd w:val="clear" w:color="auto" w:fill="auto"/>
            <w:noWrap/>
            <w:vAlign w:val="center"/>
          </w:tcPr>
          <w:p w14:paraId="5C9D7017"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5.536.796</w:t>
            </w:r>
          </w:p>
        </w:tc>
        <w:tc>
          <w:tcPr>
            <w:tcW w:w="745" w:type="pct"/>
            <w:tcBorders>
              <w:top w:val="nil"/>
              <w:left w:val="nil"/>
              <w:bottom w:val="single" w:sz="4" w:space="0" w:color="auto"/>
              <w:right w:val="single" w:sz="4" w:space="0" w:color="auto"/>
            </w:tcBorders>
            <w:shd w:val="clear" w:color="auto" w:fill="auto"/>
            <w:noWrap/>
            <w:vAlign w:val="center"/>
          </w:tcPr>
          <w:p w14:paraId="1EE21C44"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864</w:t>
            </w:r>
          </w:p>
        </w:tc>
        <w:tc>
          <w:tcPr>
            <w:tcW w:w="667" w:type="pct"/>
            <w:tcBorders>
              <w:top w:val="nil"/>
              <w:left w:val="nil"/>
              <w:bottom w:val="single" w:sz="4" w:space="0" w:color="auto"/>
              <w:right w:val="single" w:sz="4" w:space="0" w:color="auto"/>
            </w:tcBorders>
            <w:shd w:val="clear" w:color="auto" w:fill="auto"/>
            <w:noWrap/>
            <w:vAlign w:val="center"/>
          </w:tcPr>
          <w:p w14:paraId="6363247C"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36.655</w:t>
            </w:r>
          </w:p>
        </w:tc>
      </w:tr>
      <w:tr w:rsidR="00B010E6" w:rsidRPr="001B4CA2" w14:paraId="2551901D" w14:textId="77777777" w:rsidTr="00FC6656">
        <w:trPr>
          <w:trHeight w:val="397"/>
        </w:trPr>
        <w:tc>
          <w:tcPr>
            <w:tcW w:w="488" w:type="pct"/>
            <w:tcBorders>
              <w:top w:val="nil"/>
              <w:left w:val="single" w:sz="4" w:space="0" w:color="auto"/>
              <w:bottom w:val="single" w:sz="4" w:space="0" w:color="auto"/>
              <w:right w:val="single" w:sz="4" w:space="0" w:color="auto"/>
            </w:tcBorders>
            <w:shd w:val="clear" w:color="auto" w:fill="auto"/>
            <w:noWrap/>
            <w:vAlign w:val="center"/>
          </w:tcPr>
          <w:p w14:paraId="366A4F5D" w14:textId="77777777" w:rsidR="00B010E6" w:rsidRPr="001B4CA2" w:rsidRDefault="00B010E6" w:rsidP="00B010E6">
            <w:pPr>
              <w:jc w:val="center"/>
              <w:rPr>
                <w:rFonts w:asciiTheme="minorHAnsi" w:eastAsia="Times New Roman" w:hAnsiTheme="minorHAnsi" w:cstheme="minorHAnsi"/>
                <w:bCs/>
                <w:color w:val="000000"/>
                <w:sz w:val="18"/>
                <w:szCs w:val="18"/>
                <w:highlight w:val="yellow"/>
                <w:lang w:eastAsia="hr-HR"/>
              </w:rPr>
            </w:pPr>
            <w:r w:rsidRPr="001B4CA2">
              <w:rPr>
                <w:rFonts w:asciiTheme="minorHAnsi" w:eastAsia="Times New Roman" w:hAnsiTheme="minorHAnsi" w:cstheme="minorHAnsi"/>
                <w:bCs/>
                <w:color w:val="000000"/>
                <w:sz w:val="18"/>
                <w:szCs w:val="18"/>
                <w:lang w:eastAsia="hr-HR"/>
              </w:rPr>
              <w:t>2019.</w:t>
            </w:r>
          </w:p>
        </w:tc>
        <w:tc>
          <w:tcPr>
            <w:tcW w:w="477" w:type="pct"/>
            <w:tcBorders>
              <w:top w:val="nil"/>
              <w:left w:val="nil"/>
              <w:bottom w:val="single" w:sz="4" w:space="0" w:color="auto"/>
              <w:right w:val="single" w:sz="4" w:space="0" w:color="auto"/>
            </w:tcBorders>
            <w:shd w:val="clear" w:color="auto" w:fill="auto"/>
            <w:noWrap/>
            <w:vAlign w:val="bottom"/>
          </w:tcPr>
          <w:p w14:paraId="27736373" w14:textId="77777777" w:rsidR="00B010E6" w:rsidRPr="001B4CA2" w:rsidRDefault="00B010E6" w:rsidP="00B010E6">
            <w:pPr>
              <w:jc w:val="center"/>
              <w:rPr>
                <w:rFonts w:eastAsia="Times New Roman"/>
                <w:bCs/>
                <w:color w:val="000000"/>
                <w:sz w:val="18"/>
                <w:szCs w:val="18"/>
                <w:lang w:eastAsia="hr-HR"/>
              </w:rPr>
            </w:pPr>
            <w:r w:rsidRPr="001B4CA2">
              <w:rPr>
                <w:rFonts w:eastAsia="Times New Roman"/>
                <w:bCs/>
                <w:color w:val="000000"/>
                <w:sz w:val="18"/>
                <w:szCs w:val="18"/>
                <w:lang w:eastAsia="hr-HR"/>
              </w:rPr>
              <w:t>1.198</w:t>
            </w:r>
          </w:p>
        </w:tc>
        <w:tc>
          <w:tcPr>
            <w:tcW w:w="648" w:type="pct"/>
            <w:tcBorders>
              <w:top w:val="nil"/>
              <w:left w:val="nil"/>
              <w:bottom w:val="single" w:sz="4" w:space="0" w:color="auto"/>
              <w:right w:val="single" w:sz="4" w:space="0" w:color="auto"/>
            </w:tcBorders>
            <w:shd w:val="clear" w:color="auto" w:fill="auto"/>
            <w:noWrap/>
            <w:vAlign w:val="bottom"/>
          </w:tcPr>
          <w:p w14:paraId="10BB0341"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6.036</w:t>
            </w:r>
          </w:p>
        </w:tc>
        <w:tc>
          <w:tcPr>
            <w:tcW w:w="648" w:type="pct"/>
            <w:tcBorders>
              <w:top w:val="nil"/>
              <w:left w:val="nil"/>
              <w:bottom w:val="single" w:sz="4" w:space="0" w:color="auto"/>
              <w:right w:val="single" w:sz="4" w:space="0" w:color="auto"/>
            </w:tcBorders>
            <w:shd w:val="clear" w:color="auto" w:fill="auto"/>
            <w:noWrap/>
            <w:vAlign w:val="bottom"/>
          </w:tcPr>
          <w:p w14:paraId="71788B3C" w14:textId="77777777" w:rsidR="00B010E6" w:rsidRPr="001B4CA2" w:rsidRDefault="00B010E6" w:rsidP="00B010E6">
            <w:pPr>
              <w:jc w:val="center"/>
              <w:rPr>
                <w:rFonts w:eastAsia="Times New Roman"/>
                <w:bCs/>
                <w:color w:val="000000"/>
                <w:sz w:val="18"/>
                <w:szCs w:val="18"/>
                <w:lang w:eastAsia="hr-HR"/>
              </w:rPr>
            </w:pPr>
            <w:r w:rsidRPr="001B4CA2">
              <w:rPr>
                <w:rFonts w:eastAsia="Times New Roman"/>
                <w:bCs/>
                <w:color w:val="000000"/>
                <w:sz w:val="18"/>
                <w:szCs w:val="18"/>
                <w:lang w:eastAsia="hr-HR"/>
              </w:rPr>
              <w:t>7.234</w:t>
            </w:r>
          </w:p>
        </w:tc>
        <w:tc>
          <w:tcPr>
            <w:tcW w:w="648" w:type="pct"/>
            <w:tcBorders>
              <w:top w:val="nil"/>
              <w:left w:val="nil"/>
              <w:bottom w:val="single" w:sz="4" w:space="0" w:color="auto"/>
              <w:right w:val="single" w:sz="4" w:space="0" w:color="auto"/>
            </w:tcBorders>
            <w:shd w:val="clear" w:color="auto" w:fill="auto"/>
            <w:noWrap/>
            <w:vAlign w:val="bottom"/>
          </w:tcPr>
          <w:p w14:paraId="38826699"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6.323</w:t>
            </w:r>
          </w:p>
        </w:tc>
        <w:tc>
          <w:tcPr>
            <w:tcW w:w="678" w:type="pct"/>
            <w:tcBorders>
              <w:top w:val="nil"/>
              <w:left w:val="nil"/>
              <w:bottom w:val="single" w:sz="4" w:space="0" w:color="auto"/>
              <w:right w:val="single" w:sz="4" w:space="0" w:color="auto"/>
            </w:tcBorders>
            <w:shd w:val="clear" w:color="auto" w:fill="auto"/>
            <w:noWrap/>
            <w:vAlign w:val="bottom"/>
          </w:tcPr>
          <w:p w14:paraId="7DA6C156"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1.363.883</w:t>
            </w:r>
          </w:p>
        </w:tc>
        <w:tc>
          <w:tcPr>
            <w:tcW w:w="745" w:type="pct"/>
            <w:tcBorders>
              <w:top w:val="nil"/>
              <w:left w:val="nil"/>
              <w:bottom w:val="single" w:sz="4" w:space="0" w:color="auto"/>
              <w:right w:val="single" w:sz="4" w:space="0" w:color="auto"/>
            </w:tcBorders>
            <w:shd w:val="clear" w:color="auto" w:fill="auto"/>
            <w:noWrap/>
            <w:vAlign w:val="bottom"/>
          </w:tcPr>
          <w:p w14:paraId="01540492"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1.247</w:t>
            </w:r>
          </w:p>
        </w:tc>
        <w:tc>
          <w:tcPr>
            <w:tcW w:w="667" w:type="pct"/>
            <w:tcBorders>
              <w:top w:val="nil"/>
              <w:left w:val="nil"/>
              <w:bottom w:val="single" w:sz="4" w:space="0" w:color="auto"/>
              <w:right w:val="single" w:sz="4" w:space="0" w:color="auto"/>
            </w:tcBorders>
            <w:shd w:val="clear" w:color="auto" w:fill="auto"/>
            <w:noWrap/>
            <w:vAlign w:val="bottom"/>
          </w:tcPr>
          <w:p w14:paraId="0F400020"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32.561</w:t>
            </w:r>
          </w:p>
        </w:tc>
      </w:tr>
      <w:tr w:rsidR="00B010E6" w:rsidRPr="001B4CA2" w14:paraId="080E8E2F" w14:textId="77777777" w:rsidTr="00FC6656">
        <w:trPr>
          <w:trHeight w:val="397"/>
        </w:trPr>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26843"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2020.</w:t>
            </w:r>
          </w:p>
        </w:tc>
        <w:tc>
          <w:tcPr>
            <w:tcW w:w="477" w:type="pct"/>
            <w:tcBorders>
              <w:top w:val="single" w:sz="4" w:space="0" w:color="auto"/>
              <w:left w:val="nil"/>
              <w:bottom w:val="single" w:sz="4" w:space="0" w:color="auto"/>
              <w:right w:val="single" w:sz="4" w:space="0" w:color="auto"/>
            </w:tcBorders>
            <w:shd w:val="clear" w:color="auto" w:fill="auto"/>
            <w:noWrap/>
            <w:vAlign w:val="center"/>
          </w:tcPr>
          <w:p w14:paraId="6E36AB9D"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1.016</w:t>
            </w:r>
          </w:p>
        </w:tc>
        <w:tc>
          <w:tcPr>
            <w:tcW w:w="648" w:type="pct"/>
            <w:tcBorders>
              <w:top w:val="single" w:sz="4" w:space="0" w:color="auto"/>
              <w:left w:val="nil"/>
              <w:bottom w:val="single" w:sz="4" w:space="0" w:color="auto"/>
              <w:right w:val="single" w:sz="4" w:space="0" w:color="auto"/>
            </w:tcBorders>
            <w:shd w:val="clear" w:color="auto" w:fill="auto"/>
            <w:noWrap/>
            <w:vAlign w:val="center"/>
          </w:tcPr>
          <w:p w14:paraId="4262A351"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7.577</w:t>
            </w:r>
          </w:p>
        </w:tc>
        <w:tc>
          <w:tcPr>
            <w:tcW w:w="648" w:type="pct"/>
            <w:tcBorders>
              <w:top w:val="single" w:sz="4" w:space="0" w:color="auto"/>
              <w:left w:val="nil"/>
              <w:bottom w:val="single" w:sz="4" w:space="0" w:color="auto"/>
              <w:right w:val="single" w:sz="4" w:space="0" w:color="auto"/>
            </w:tcBorders>
            <w:shd w:val="clear" w:color="auto" w:fill="auto"/>
            <w:noWrap/>
            <w:vAlign w:val="center"/>
          </w:tcPr>
          <w:p w14:paraId="5D2028E0"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8.593</w:t>
            </w:r>
          </w:p>
        </w:tc>
        <w:tc>
          <w:tcPr>
            <w:tcW w:w="648" w:type="pct"/>
            <w:tcBorders>
              <w:top w:val="single" w:sz="4" w:space="0" w:color="auto"/>
              <w:left w:val="nil"/>
              <w:bottom w:val="single" w:sz="4" w:space="0" w:color="auto"/>
              <w:right w:val="single" w:sz="4" w:space="0" w:color="auto"/>
            </w:tcBorders>
            <w:shd w:val="clear" w:color="auto" w:fill="auto"/>
            <w:noWrap/>
            <w:vAlign w:val="center"/>
          </w:tcPr>
          <w:p w14:paraId="35CCFA09"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7.194</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13A0EAE3"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1.003.298</w:t>
            </w:r>
          </w:p>
        </w:tc>
        <w:tc>
          <w:tcPr>
            <w:tcW w:w="745" w:type="pct"/>
            <w:tcBorders>
              <w:top w:val="single" w:sz="4" w:space="0" w:color="auto"/>
              <w:left w:val="nil"/>
              <w:bottom w:val="single" w:sz="4" w:space="0" w:color="auto"/>
              <w:right w:val="single" w:sz="4" w:space="0" w:color="auto"/>
            </w:tcBorders>
            <w:shd w:val="clear" w:color="auto" w:fill="auto"/>
            <w:noWrap/>
            <w:vAlign w:val="center"/>
          </w:tcPr>
          <w:p w14:paraId="1F5FC21C"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1.209</w:t>
            </w:r>
          </w:p>
        </w:tc>
        <w:tc>
          <w:tcPr>
            <w:tcW w:w="667" w:type="pct"/>
            <w:tcBorders>
              <w:top w:val="single" w:sz="4" w:space="0" w:color="auto"/>
              <w:left w:val="nil"/>
              <w:bottom w:val="single" w:sz="4" w:space="0" w:color="auto"/>
              <w:right w:val="single" w:sz="4" w:space="0" w:color="auto"/>
            </w:tcBorders>
            <w:shd w:val="clear" w:color="auto" w:fill="auto"/>
            <w:noWrap/>
            <w:vAlign w:val="center"/>
          </w:tcPr>
          <w:p w14:paraId="37A67620"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24.343</w:t>
            </w:r>
          </w:p>
        </w:tc>
      </w:tr>
      <w:tr w:rsidR="00B010E6" w:rsidRPr="001B4CA2" w14:paraId="016765C5" w14:textId="77777777" w:rsidTr="00FC6656">
        <w:trPr>
          <w:trHeight w:val="397"/>
        </w:trPr>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14B69"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2021.</w:t>
            </w:r>
          </w:p>
        </w:tc>
        <w:tc>
          <w:tcPr>
            <w:tcW w:w="477" w:type="pct"/>
            <w:tcBorders>
              <w:top w:val="single" w:sz="4" w:space="0" w:color="auto"/>
              <w:left w:val="nil"/>
              <w:bottom w:val="single" w:sz="4" w:space="0" w:color="auto"/>
              <w:right w:val="single" w:sz="4" w:space="0" w:color="auto"/>
            </w:tcBorders>
            <w:shd w:val="clear" w:color="auto" w:fill="auto"/>
            <w:noWrap/>
            <w:vAlign w:val="center"/>
          </w:tcPr>
          <w:p w14:paraId="6266C6AC"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1.186</w:t>
            </w:r>
          </w:p>
        </w:tc>
        <w:tc>
          <w:tcPr>
            <w:tcW w:w="648" w:type="pct"/>
            <w:tcBorders>
              <w:top w:val="single" w:sz="4" w:space="0" w:color="auto"/>
              <w:left w:val="nil"/>
              <w:bottom w:val="single" w:sz="4" w:space="0" w:color="auto"/>
              <w:right w:val="single" w:sz="4" w:space="0" w:color="auto"/>
            </w:tcBorders>
            <w:shd w:val="clear" w:color="auto" w:fill="auto"/>
            <w:noWrap/>
            <w:vAlign w:val="center"/>
          </w:tcPr>
          <w:p w14:paraId="1BE091EC"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15.548</w:t>
            </w:r>
          </w:p>
        </w:tc>
        <w:tc>
          <w:tcPr>
            <w:tcW w:w="648" w:type="pct"/>
            <w:tcBorders>
              <w:top w:val="single" w:sz="4" w:space="0" w:color="auto"/>
              <w:left w:val="nil"/>
              <w:bottom w:val="single" w:sz="4" w:space="0" w:color="auto"/>
              <w:right w:val="single" w:sz="4" w:space="0" w:color="auto"/>
            </w:tcBorders>
            <w:shd w:val="clear" w:color="auto" w:fill="auto"/>
            <w:noWrap/>
            <w:vAlign w:val="center"/>
          </w:tcPr>
          <w:p w14:paraId="114AD19F"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16.734</w:t>
            </w:r>
          </w:p>
        </w:tc>
        <w:tc>
          <w:tcPr>
            <w:tcW w:w="648" w:type="pct"/>
            <w:tcBorders>
              <w:top w:val="single" w:sz="4" w:space="0" w:color="auto"/>
              <w:left w:val="nil"/>
              <w:bottom w:val="single" w:sz="4" w:space="0" w:color="auto"/>
              <w:right w:val="single" w:sz="4" w:space="0" w:color="auto"/>
            </w:tcBorders>
            <w:shd w:val="clear" w:color="auto" w:fill="auto"/>
            <w:noWrap/>
            <w:vAlign w:val="center"/>
          </w:tcPr>
          <w:p w14:paraId="7E586DCA"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13.557</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2178E4F5"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9.193.374</w:t>
            </w:r>
          </w:p>
        </w:tc>
        <w:tc>
          <w:tcPr>
            <w:tcW w:w="745" w:type="pct"/>
            <w:tcBorders>
              <w:top w:val="single" w:sz="4" w:space="0" w:color="auto"/>
              <w:left w:val="nil"/>
              <w:bottom w:val="single" w:sz="4" w:space="0" w:color="auto"/>
              <w:right w:val="single" w:sz="4" w:space="0" w:color="auto"/>
            </w:tcBorders>
            <w:shd w:val="clear" w:color="auto" w:fill="auto"/>
            <w:noWrap/>
            <w:vAlign w:val="center"/>
          </w:tcPr>
          <w:p w14:paraId="35F4472C" w14:textId="77777777" w:rsidR="00B010E6" w:rsidRPr="001B4CA2" w:rsidRDefault="00B010E6" w:rsidP="00B010E6">
            <w:pPr>
              <w:jc w:val="center"/>
              <w:rPr>
                <w:sz w:val="18"/>
                <w:szCs w:val="18"/>
              </w:rPr>
            </w:pPr>
            <w:r w:rsidRPr="001B4CA2">
              <w:rPr>
                <w:sz w:val="18"/>
                <w:szCs w:val="18"/>
              </w:rPr>
              <w:t>981</w:t>
            </w:r>
          </w:p>
        </w:tc>
        <w:tc>
          <w:tcPr>
            <w:tcW w:w="667" w:type="pct"/>
            <w:tcBorders>
              <w:top w:val="single" w:sz="4" w:space="0" w:color="auto"/>
              <w:left w:val="nil"/>
              <w:bottom w:val="single" w:sz="4" w:space="0" w:color="auto"/>
              <w:right w:val="single" w:sz="4" w:space="0" w:color="auto"/>
            </w:tcBorders>
            <w:shd w:val="clear" w:color="auto" w:fill="auto"/>
            <w:noWrap/>
            <w:vAlign w:val="center"/>
          </w:tcPr>
          <w:p w14:paraId="775B375A" w14:textId="77777777" w:rsidR="00B010E6" w:rsidRPr="001B4CA2" w:rsidRDefault="00B010E6" w:rsidP="00B010E6">
            <w:pPr>
              <w:jc w:val="center"/>
              <w:rPr>
                <w:sz w:val="18"/>
                <w:szCs w:val="18"/>
              </w:rPr>
            </w:pPr>
            <w:r w:rsidRPr="001B4CA2">
              <w:rPr>
                <w:sz w:val="18"/>
                <w:szCs w:val="18"/>
              </w:rPr>
              <w:t>25.421</w:t>
            </w:r>
          </w:p>
        </w:tc>
      </w:tr>
      <w:tr w:rsidR="00B010E6" w:rsidRPr="001B4CA2" w14:paraId="2FD4764C" w14:textId="77777777" w:rsidTr="00FC6656">
        <w:trPr>
          <w:trHeight w:val="397"/>
        </w:trPr>
        <w:tc>
          <w:tcPr>
            <w:tcW w:w="4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B7E398"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2022.</w:t>
            </w:r>
          </w:p>
        </w:tc>
        <w:tc>
          <w:tcPr>
            <w:tcW w:w="477" w:type="pct"/>
            <w:tcBorders>
              <w:top w:val="single" w:sz="4" w:space="0" w:color="auto"/>
              <w:left w:val="nil"/>
              <w:bottom w:val="single" w:sz="4" w:space="0" w:color="auto"/>
              <w:right w:val="single" w:sz="4" w:space="0" w:color="auto"/>
            </w:tcBorders>
            <w:shd w:val="clear" w:color="auto" w:fill="auto"/>
            <w:noWrap/>
            <w:vAlign w:val="center"/>
          </w:tcPr>
          <w:p w14:paraId="07A344CB"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1.097</w:t>
            </w:r>
          </w:p>
        </w:tc>
        <w:tc>
          <w:tcPr>
            <w:tcW w:w="648" w:type="pct"/>
            <w:tcBorders>
              <w:top w:val="single" w:sz="4" w:space="0" w:color="auto"/>
              <w:left w:val="nil"/>
              <w:bottom w:val="single" w:sz="4" w:space="0" w:color="auto"/>
              <w:right w:val="single" w:sz="4" w:space="0" w:color="auto"/>
            </w:tcBorders>
            <w:shd w:val="clear" w:color="auto" w:fill="auto"/>
            <w:noWrap/>
            <w:vAlign w:val="center"/>
          </w:tcPr>
          <w:p w14:paraId="1D92E774"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6.593</w:t>
            </w:r>
          </w:p>
        </w:tc>
        <w:tc>
          <w:tcPr>
            <w:tcW w:w="648" w:type="pct"/>
            <w:tcBorders>
              <w:top w:val="single" w:sz="4" w:space="0" w:color="auto"/>
              <w:left w:val="nil"/>
              <w:bottom w:val="single" w:sz="4" w:space="0" w:color="auto"/>
              <w:right w:val="single" w:sz="4" w:space="0" w:color="auto"/>
            </w:tcBorders>
            <w:shd w:val="clear" w:color="auto" w:fill="auto"/>
            <w:noWrap/>
            <w:vAlign w:val="center"/>
          </w:tcPr>
          <w:p w14:paraId="27C62076"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7.690</w:t>
            </w:r>
          </w:p>
        </w:tc>
        <w:tc>
          <w:tcPr>
            <w:tcW w:w="648" w:type="pct"/>
            <w:tcBorders>
              <w:top w:val="single" w:sz="4" w:space="0" w:color="auto"/>
              <w:left w:val="nil"/>
              <w:bottom w:val="single" w:sz="4" w:space="0" w:color="auto"/>
              <w:right w:val="single" w:sz="4" w:space="0" w:color="auto"/>
            </w:tcBorders>
            <w:shd w:val="clear" w:color="auto" w:fill="auto"/>
            <w:noWrap/>
            <w:vAlign w:val="center"/>
          </w:tcPr>
          <w:p w14:paraId="76D8281B"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6.163</w:t>
            </w:r>
          </w:p>
        </w:tc>
        <w:tc>
          <w:tcPr>
            <w:tcW w:w="678" w:type="pct"/>
            <w:tcBorders>
              <w:top w:val="single" w:sz="4" w:space="0" w:color="auto"/>
              <w:left w:val="nil"/>
              <w:bottom w:val="single" w:sz="4" w:space="0" w:color="auto"/>
              <w:right w:val="single" w:sz="4" w:space="0" w:color="auto"/>
            </w:tcBorders>
            <w:shd w:val="clear" w:color="auto" w:fill="auto"/>
            <w:noWrap/>
            <w:vAlign w:val="center"/>
          </w:tcPr>
          <w:p w14:paraId="5D877A75"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1.114.109</w:t>
            </w:r>
          </w:p>
        </w:tc>
        <w:tc>
          <w:tcPr>
            <w:tcW w:w="745" w:type="pct"/>
            <w:tcBorders>
              <w:top w:val="single" w:sz="4" w:space="0" w:color="auto"/>
              <w:left w:val="nil"/>
              <w:bottom w:val="single" w:sz="4" w:space="0" w:color="auto"/>
              <w:right w:val="single" w:sz="4" w:space="0" w:color="auto"/>
            </w:tcBorders>
            <w:shd w:val="clear" w:color="auto" w:fill="auto"/>
            <w:noWrap/>
            <w:vAlign w:val="center"/>
          </w:tcPr>
          <w:p w14:paraId="3171D503" w14:textId="77777777" w:rsidR="00B010E6" w:rsidRPr="001B4CA2" w:rsidRDefault="00B010E6" w:rsidP="00B010E6">
            <w:pPr>
              <w:jc w:val="center"/>
              <w:rPr>
                <w:color w:val="000000"/>
                <w:sz w:val="18"/>
                <w:szCs w:val="18"/>
              </w:rPr>
            </w:pPr>
            <w:r w:rsidRPr="001B4CA2">
              <w:rPr>
                <w:color w:val="000000"/>
                <w:sz w:val="18"/>
                <w:szCs w:val="18"/>
              </w:rPr>
              <w:t>1.563</w:t>
            </w:r>
          </w:p>
        </w:tc>
        <w:tc>
          <w:tcPr>
            <w:tcW w:w="667" w:type="pct"/>
            <w:tcBorders>
              <w:top w:val="single" w:sz="4" w:space="0" w:color="auto"/>
              <w:left w:val="nil"/>
              <w:bottom w:val="single" w:sz="4" w:space="0" w:color="auto"/>
              <w:right w:val="single" w:sz="4" w:space="0" w:color="auto"/>
            </w:tcBorders>
            <w:shd w:val="clear" w:color="auto" w:fill="auto"/>
            <w:noWrap/>
            <w:vAlign w:val="center"/>
          </w:tcPr>
          <w:p w14:paraId="7705AD40" w14:textId="77777777" w:rsidR="00B010E6" w:rsidRPr="001B4CA2" w:rsidRDefault="00B010E6" w:rsidP="00B010E6">
            <w:pPr>
              <w:jc w:val="center"/>
              <w:rPr>
                <w:color w:val="000000"/>
                <w:sz w:val="18"/>
                <w:szCs w:val="18"/>
              </w:rPr>
            </w:pPr>
            <w:r w:rsidRPr="001B4CA2">
              <w:rPr>
                <w:color w:val="000000"/>
                <w:sz w:val="18"/>
                <w:szCs w:val="18"/>
              </w:rPr>
              <w:t>38.976</w:t>
            </w:r>
          </w:p>
        </w:tc>
      </w:tr>
    </w:tbl>
    <w:p w14:paraId="7EA99F4A" w14:textId="430E6BED" w:rsidR="00B010E6" w:rsidRPr="001B4CA2" w:rsidRDefault="00B010E6" w:rsidP="00B010E6">
      <w:pPr>
        <w:tabs>
          <w:tab w:val="left" w:pos="851"/>
        </w:tabs>
        <w:ind w:firstLine="708"/>
      </w:pPr>
      <w:r w:rsidRPr="001B4CA2">
        <w:lastRenderedPageBreak/>
        <w:t>U izvještajnom razdoblju zaprimljen</w:t>
      </w:r>
      <w:r w:rsidR="008B7B29">
        <w:t>a</w:t>
      </w:r>
      <w:r w:rsidRPr="001B4CA2">
        <w:t xml:space="preserve"> </w:t>
      </w:r>
      <w:r w:rsidR="008B7B29">
        <w:t>su</w:t>
      </w:r>
      <w:r w:rsidRPr="001B4CA2">
        <w:t xml:space="preserve"> 6.593 nov</w:t>
      </w:r>
      <w:r w:rsidR="008B7B29">
        <w:t>a</w:t>
      </w:r>
      <w:r w:rsidRPr="001B4CA2">
        <w:t xml:space="preserve"> zahtjeva za mirno rješenje spora, što u odnosu na 2021. predstavlja pad od 58</w:t>
      </w:r>
      <w:r w:rsidR="008B7B29">
        <w:t> </w:t>
      </w:r>
      <w:r w:rsidRPr="001B4CA2">
        <w:t>%. Razlog velikog povećanja zahtjeva za mirno rješenje spora u 2021. bili su istovrsni zahtjevi državnih službenika kojima su potraživali isplatu naknade na ime razlike plaće za 2016. godinu (tzv. ugovoreno povećanje plaće za 6</w:t>
      </w:r>
      <w:r w:rsidR="008B7B29">
        <w:t> </w:t>
      </w:r>
      <w:r w:rsidRPr="001B4CA2">
        <w:t xml:space="preserve">%), a koji su </w:t>
      </w:r>
      <w:r w:rsidR="008B7B29" w:rsidRPr="001B4CA2">
        <w:t xml:space="preserve">zahtjevi </w:t>
      </w:r>
      <w:r w:rsidRPr="001B4CA2">
        <w:t>2022. izostali nakon što je Vrhovni sud Republike Hrvatske u oglednom postupku provedenom sukladno odredbi članka 502.i Zakona o parničnom postupku donio odluku da su njihovi zahtjevi neosnovani.</w:t>
      </w:r>
    </w:p>
    <w:p w14:paraId="4C50E792" w14:textId="77777777" w:rsidR="00B010E6" w:rsidRPr="001B4CA2" w:rsidRDefault="00B010E6" w:rsidP="00B010E6">
      <w:pPr>
        <w:tabs>
          <w:tab w:val="left" w:pos="851"/>
        </w:tabs>
        <w:ind w:firstLine="708"/>
      </w:pPr>
    </w:p>
    <w:p w14:paraId="56D0B876" w14:textId="3F2E1515" w:rsidR="00B010E6" w:rsidRPr="001B4CA2" w:rsidRDefault="00B010E6" w:rsidP="00B010E6">
      <w:pPr>
        <w:tabs>
          <w:tab w:val="left" w:pos="851"/>
        </w:tabs>
        <w:ind w:firstLine="708"/>
      </w:pPr>
      <w:r w:rsidRPr="001B4CA2">
        <w:t xml:space="preserve">Broj novih zahtjeva za mirno rješenje spora u 2022. godini u odnosu na ostale godine promatranog petogodišnjeg razdoblja nije bitno različit. </w:t>
      </w:r>
    </w:p>
    <w:p w14:paraId="20415A57" w14:textId="77777777" w:rsidR="00B010E6" w:rsidRPr="001B4CA2" w:rsidRDefault="00B010E6" w:rsidP="00B010E6">
      <w:pPr>
        <w:tabs>
          <w:tab w:val="left" w:pos="709"/>
          <w:tab w:val="left" w:pos="1418"/>
          <w:tab w:val="left" w:pos="4284"/>
        </w:tabs>
      </w:pPr>
    </w:p>
    <w:p w14:paraId="06337C6C" w14:textId="74B571BD" w:rsidR="00B010E6" w:rsidRPr="001B4CA2" w:rsidRDefault="00B010E6" w:rsidP="00B010E6">
      <w:pPr>
        <w:tabs>
          <w:tab w:val="left" w:pos="709"/>
          <w:tab w:val="left" w:pos="1418"/>
          <w:tab w:val="left" w:pos="4284"/>
        </w:tabs>
      </w:pPr>
      <w:r w:rsidRPr="001B4CA2">
        <w:tab/>
        <w:t xml:space="preserve">Od 6.163 </w:t>
      </w:r>
      <w:r w:rsidR="009A1E7E" w:rsidRPr="001B4CA2">
        <w:t>rješenja</w:t>
      </w:r>
      <w:r w:rsidRPr="001B4CA2">
        <w:t xml:space="preserve"> zahtjev</w:t>
      </w:r>
      <w:r w:rsidR="008B7B29">
        <w:t>a</w:t>
      </w:r>
      <w:r w:rsidRPr="001B4CA2">
        <w:t xml:space="preserve"> 25</w:t>
      </w:r>
      <w:r w:rsidR="008B7B29">
        <w:t> </w:t>
      </w:r>
      <w:r w:rsidRPr="001B4CA2">
        <w:t>% se odnosi na sklopljene izvansudske nagodbe čija vrijednost iznosi 38.976.000,00 kn</w:t>
      </w:r>
      <w:r w:rsidR="008B7B29">
        <w:t xml:space="preserve"> </w:t>
      </w:r>
      <w:r w:rsidRPr="001B4CA2">
        <w:t>/</w:t>
      </w:r>
      <w:r w:rsidR="001C297A" w:rsidRPr="001B4CA2">
        <w:t xml:space="preserve"> </w:t>
      </w:r>
      <w:r w:rsidRPr="001B4CA2">
        <w:t>5.17</w:t>
      </w:r>
      <w:r w:rsidR="00C4437D">
        <w:t>3</w:t>
      </w:r>
      <w:r w:rsidRPr="001B4CA2">
        <w:t>.0</w:t>
      </w:r>
      <w:r w:rsidR="00C4437D">
        <w:t>04</w:t>
      </w:r>
      <w:r w:rsidRPr="001B4CA2">
        <w:t>,</w:t>
      </w:r>
      <w:r w:rsidR="00C4437D">
        <w:t>18</w:t>
      </w:r>
      <w:r w:rsidRPr="001B4CA2">
        <w:t xml:space="preserve"> </w:t>
      </w:r>
      <w:r w:rsidR="0020162B" w:rsidRPr="001B4CA2">
        <w:t>EUR</w:t>
      </w:r>
      <w:r w:rsidRPr="001B4CA2">
        <w:t xml:space="preserve">, što je najveći postotak i najveća vrijednost sklopljenih nagodbi u cijelom promatranom razdoblju. </w:t>
      </w:r>
    </w:p>
    <w:p w14:paraId="0038F349" w14:textId="77777777" w:rsidR="00B010E6" w:rsidRPr="001B4CA2" w:rsidRDefault="00B010E6" w:rsidP="00B010E6">
      <w:pPr>
        <w:tabs>
          <w:tab w:val="left" w:pos="709"/>
          <w:tab w:val="left" w:pos="1418"/>
          <w:tab w:val="left" w:pos="4284"/>
        </w:tabs>
      </w:pPr>
    </w:p>
    <w:p w14:paraId="23D9E5E7" w14:textId="6510C50D" w:rsidR="00B010E6" w:rsidRPr="001B4CA2" w:rsidRDefault="00B010E6" w:rsidP="00B010E6">
      <w:pPr>
        <w:tabs>
          <w:tab w:val="left" w:pos="709"/>
          <w:tab w:val="left" w:pos="1418"/>
          <w:tab w:val="left" w:pos="4284"/>
        </w:tabs>
      </w:pPr>
      <w:r w:rsidRPr="001B4CA2">
        <w:tab/>
        <w:t>Sklapanjem 1</w:t>
      </w:r>
      <w:r w:rsidR="0020162B" w:rsidRPr="001B4CA2">
        <w:t>.</w:t>
      </w:r>
      <w:r w:rsidRPr="001B4CA2">
        <w:t xml:space="preserve">563 nagodbe u postupku mirnog rješenja spora, primjenom odredbe članka 186.a Zakona o parničnom postupku, općinska državna odvjetništva </w:t>
      </w:r>
      <w:r w:rsidR="008B7B29" w:rsidRPr="001B4CA2">
        <w:t xml:space="preserve">upravo </w:t>
      </w:r>
      <w:r w:rsidRPr="001B4CA2">
        <w:t xml:space="preserve">su za taj broj spriječila dodatno opterećenje općinskih sudova novim predmetima. </w:t>
      </w:r>
    </w:p>
    <w:p w14:paraId="7955931A" w14:textId="77777777" w:rsidR="00B010E6" w:rsidRPr="001B4CA2" w:rsidRDefault="00B010E6" w:rsidP="00B010E6">
      <w:pPr>
        <w:rPr>
          <w:szCs w:val="22"/>
        </w:rPr>
      </w:pPr>
    </w:p>
    <w:p w14:paraId="51B1BBD6" w14:textId="77777777" w:rsidR="000567AB" w:rsidRPr="001B4CA2" w:rsidRDefault="000567AB" w:rsidP="006806D3"/>
    <w:p w14:paraId="06F67FFF" w14:textId="77777777" w:rsidR="000567AB" w:rsidRPr="001B4CA2" w:rsidRDefault="000567AB" w:rsidP="006806D3">
      <w:pPr>
        <w:sectPr w:rsidR="000567AB" w:rsidRPr="001B4CA2" w:rsidSect="007418AF">
          <w:pgSz w:w="11906" w:h="16838"/>
          <w:pgMar w:top="1417" w:right="1417" w:bottom="1417" w:left="1417" w:header="426" w:footer="709" w:gutter="0"/>
          <w:cols w:space="708"/>
          <w:docGrid w:linePitch="360"/>
        </w:sectPr>
      </w:pPr>
    </w:p>
    <w:p w14:paraId="4A500F7C" w14:textId="3750D20F" w:rsidR="00B010E6" w:rsidRPr="001B4CA2" w:rsidRDefault="00B010E6" w:rsidP="00B010E6">
      <w:pPr>
        <w:contextualSpacing/>
        <w:jc w:val="left"/>
        <w:rPr>
          <w:rFonts w:asciiTheme="minorHAnsi" w:hAnsiTheme="minorHAnsi" w:cstheme="minorBidi"/>
          <w:i/>
          <w:szCs w:val="22"/>
        </w:rPr>
      </w:pPr>
      <w:r w:rsidRPr="001B4CA2">
        <w:rPr>
          <w:rFonts w:asciiTheme="minorHAnsi" w:hAnsiTheme="minorHAnsi" w:cstheme="minorBidi"/>
          <w:i/>
          <w:szCs w:val="22"/>
        </w:rPr>
        <w:lastRenderedPageBreak/>
        <w:t>b) Zahtjev za mirno rješenje spora</w:t>
      </w:r>
      <w:r w:rsidR="00F47D60">
        <w:rPr>
          <w:rFonts w:asciiTheme="minorHAnsi" w:hAnsiTheme="minorHAnsi" w:cstheme="minorBidi"/>
          <w:i/>
          <w:szCs w:val="22"/>
        </w:rPr>
        <w:t xml:space="preserve"> – </w:t>
      </w:r>
      <w:r w:rsidRPr="001B4CA2">
        <w:rPr>
          <w:rFonts w:asciiTheme="minorHAnsi" w:hAnsiTheme="minorHAnsi" w:cstheme="minorBidi"/>
          <w:i/>
          <w:szCs w:val="22"/>
        </w:rPr>
        <w:t xml:space="preserve">prema vrsti i tijelima u 2022. </w:t>
      </w:r>
    </w:p>
    <w:tbl>
      <w:tblPr>
        <w:tblW w:w="15777" w:type="dxa"/>
        <w:jc w:val="center"/>
        <w:tblLayout w:type="fixed"/>
        <w:tblLook w:val="04A0" w:firstRow="1" w:lastRow="0" w:firstColumn="1" w:lastColumn="0" w:noHBand="0" w:noVBand="1"/>
      </w:tblPr>
      <w:tblGrid>
        <w:gridCol w:w="5558"/>
        <w:gridCol w:w="730"/>
        <w:gridCol w:w="734"/>
        <w:gridCol w:w="788"/>
        <w:gridCol w:w="733"/>
        <w:gridCol w:w="860"/>
        <w:gridCol w:w="718"/>
        <w:gridCol w:w="861"/>
        <w:gridCol w:w="861"/>
        <w:gridCol w:w="716"/>
        <w:gridCol w:w="719"/>
        <w:gridCol w:w="789"/>
        <w:gridCol w:w="789"/>
        <w:gridCol w:w="921"/>
      </w:tblGrid>
      <w:tr w:rsidR="00B010E6" w:rsidRPr="001B4CA2" w14:paraId="13937DF1" w14:textId="77777777" w:rsidTr="00FC6656">
        <w:trPr>
          <w:trHeight w:val="552"/>
          <w:jc w:val="center"/>
        </w:trPr>
        <w:tc>
          <w:tcPr>
            <w:tcW w:w="5558" w:type="dxa"/>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7C6EE747"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Naziv ministarstva ili drugog tijela</w:t>
            </w:r>
          </w:p>
        </w:tc>
        <w:tc>
          <w:tcPr>
            <w:tcW w:w="1464"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45AB89D3" w14:textId="77777777" w:rsidR="00B010E6" w:rsidRPr="001B4CA2" w:rsidRDefault="00B010E6" w:rsidP="00B010E6">
            <w:pPr>
              <w:jc w:val="center"/>
              <w:rPr>
                <w:rFonts w:asciiTheme="minorHAnsi" w:eastAsia="Times New Roman" w:hAnsiTheme="minorHAnsi" w:cstheme="minorHAnsi"/>
                <w:b/>
                <w:bCs/>
                <w:color w:val="000000" w:themeColor="text1"/>
                <w:sz w:val="18"/>
                <w:szCs w:val="18"/>
                <w:lang w:eastAsia="hr-HR"/>
              </w:rPr>
            </w:pPr>
            <w:proofErr w:type="spellStart"/>
            <w:r w:rsidRPr="001B4CA2">
              <w:rPr>
                <w:rFonts w:asciiTheme="minorHAnsi" w:eastAsia="Times New Roman" w:hAnsiTheme="minorHAnsi" w:cstheme="minorHAnsi"/>
                <w:b/>
                <w:bCs/>
                <w:color w:val="000000" w:themeColor="text1"/>
                <w:sz w:val="18"/>
                <w:szCs w:val="18"/>
                <w:lang w:eastAsia="hr-HR"/>
              </w:rPr>
              <w:t>Stvarnopravni</w:t>
            </w:r>
            <w:proofErr w:type="spellEnd"/>
            <w:r w:rsidRPr="001B4CA2">
              <w:rPr>
                <w:rFonts w:asciiTheme="minorHAnsi" w:eastAsia="Times New Roman" w:hAnsiTheme="minorHAnsi" w:cstheme="minorHAnsi"/>
                <w:b/>
                <w:bCs/>
                <w:color w:val="000000" w:themeColor="text1"/>
                <w:sz w:val="18"/>
                <w:szCs w:val="18"/>
                <w:lang w:eastAsia="hr-HR"/>
              </w:rPr>
              <w:t xml:space="preserve"> sporovi</w:t>
            </w:r>
          </w:p>
        </w:tc>
        <w:tc>
          <w:tcPr>
            <w:tcW w:w="1521" w:type="dxa"/>
            <w:gridSpan w:val="2"/>
            <w:tcBorders>
              <w:top w:val="single" w:sz="4" w:space="0" w:color="auto"/>
              <w:left w:val="single" w:sz="4" w:space="0" w:color="auto"/>
              <w:bottom w:val="single" w:sz="4" w:space="0" w:color="000000"/>
              <w:right w:val="single" w:sz="4" w:space="0" w:color="000000"/>
            </w:tcBorders>
            <w:shd w:val="clear" w:color="auto" w:fill="99CCFF"/>
            <w:vAlign w:val="center"/>
            <w:hideMark/>
          </w:tcPr>
          <w:p w14:paraId="60D34761" w14:textId="77777777" w:rsidR="00B010E6" w:rsidRPr="001B4CA2" w:rsidRDefault="00B010E6" w:rsidP="00B010E6">
            <w:pPr>
              <w:jc w:val="center"/>
              <w:rPr>
                <w:rFonts w:asciiTheme="minorHAnsi" w:eastAsia="Times New Roman" w:hAnsiTheme="minorHAnsi" w:cstheme="minorHAnsi"/>
                <w:b/>
                <w:bCs/>
                <w:color w:val="000000" w:themeColor="text1"/>
                <w:sz w:val="18"/>
                <w:szCs w:val="18"/>
                <w:lang w:eastAsia="hr-HR"/>
              </w:rPr>
            </w:pPr>
            <w:proofErr w:type="spellStart"/>
            <w:r w:rsidRPr="001B4CA2">
              <w:rPr>
                <w:rFonts w:asciiTheme="minorHAnsi" w:eastAsia="Times New Roman" w:hAnsiTheme="minorHAnsi" w:cstheme="minorHAnsi"/>
                <w:b/>
                <w:bCs/>
                <w:color w:val="000000" w:themeColor="text1"/>
                <w:sz w:val="18"/>
                <w:szCs w:val="18"/>
                <w:lang w:eastAsia="hr-HR"/>
              </w:rPr>
              <w:t>Obveznopravni</w:t>
            </w:r>
            <w:proofErr w:type="spellEnd"/>
            <w:r w:rsidRPr="001B4CA2">
              <w:rPr>
                <w:rFonts w:asciiTheme="minorHAnsi" w:hAnsiTheme="minorHAnsi" w:cstheme="minorHAnsi"/>
                <w:b/>
                <w:bCs/>
                <w:color w:val="000000" w:themeColor="text1"/>
                <w:sz w:val="18"/>
                <w:szCs w:val="18"/>
              </w:rPr>
              <w:t xml:space="preserve"> sporovi</w:t>
            </w:r>
          </w:p>
        </w:tc>
        <w:tc>
          <w:tcPr>
            <w:tcW w:w="1578"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24664B60" w14:textId="77777777" w:rsidR="00B010E6" w:rsidRPr="001B4CA2" w:rsidRDefault="00B010E6" w:rsidP="00B010E6">
            <w:pPr>
              <w:jc w:val="center"/>
              <w:rPr>
                <w:rFonts w:asciiTheme="minorHAnsi" w:eastAsia="Times New Roman" w:hAnsiTheme="minorHAnsi" w:cstheme="minorHAnsi"/>
                <w:b/>
                <w:bCs/>
                <w:color w:val="000000" w:themeColor="text1"/>
                <w:sz w:val="18"/>
                <w:szCs w:val="18"/>
                <w:lang w:eastAsia="hr-HR"/>
              </w:rPr>
            </w:pPr>
            <w:r w:rsidRPr="001B4CA2">
              <w:rPr>
                <w:rFonts w:asciiTheme="minorHAnsi" w:eastAsia="Times New Roman" w:hAnsiTheme="minorHAnsi" w:cstheme="minorHAnsi"/>
                <w:b/>
                <w:bCs/>
                <w:color w:val="000000" w:themeColor="text1"/>
                <w:sz w:val="18"/>
                <w:szCs w:val="18"/>
                <w:lang w:eastAsia="hr-HR"/>
              </w:rPr>
              <w:t>Naknada štete</w:t>
            </w:r>
          </w:p>
        </w:tc>
        <w:tc>
          <w:tcPr>
            <w:tcW w:w="1722"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03667460" w14:textId="77777777" w:rsidR="00B010E6" w:rsidRPr="001B4CA2" w:rsidRDefault="00B010E6" w:rsidP="00B010E6">
            <w:pPr>
              <w:jc w:val="center"/>
              <w:rPr>
                <w:rFonts w:asciiTheme="minorHAnsi" w:eastAsia="Times New Roman" w:hAnsiTheme="minorHAnsi" w:cstheme="minorHAnsi"/>
                <w:b/>
                <w:bCs/>
                <w:color w:val="000000" w:themeColor="text1"/>
                <w:sz w:val="18"/>
                <w:szCs w:val="18"/>
                <w:lang w:eastAsia="hr-HR"/>
              </w:rPr>
            </w:pPr>
            <w:r w:rsidRPr="001B4CA2">
              <w:rPr>
                <w:rFonts w:asciiTheme="minorHAnsi" w:eastAsia="Times New Roman" w:hAnsiTheme="minorHAnsi" w:cstheme="minorHAnsi"/>
                <w:b/>
                <w:bCs/>
                <w:color w:val="000000" w:themeColor="text1"/>
                <w:sz w:val="18"/>
                <w:szCs w:val="18"/>
                <w:lang w:eastAsia="hr-HR"/>
              </w:rPr>
              <w:t>Radni sporovi</w:t>
            </w:r>
          </w:p>
        </w:tc>
        <w:tc>
          <w:tcPr>
            <w:tcW w:w="1435"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0C8B39D4" w14:textId="77777777" w:rsidR="00B010E6" w:rsidRPr="001B4CA2" w:rsidRDefault="00B010E6" w:rsidP="00B010E6">
            <w:pPr>
              <w:jc w:val="center"/>
              <w:rPr>
                <w:rFonts w:asciiTheme="minorHAnsi" w:eastAsia="Times New Roman" w:hAnsiTheme="minorHAnsi" w:cstheme="minorHAnsi"/>
                <w:b/>
                <w:bCs/>
                <w:color w:val="000000" w:themeColor="text1"/>
                <w:sz w:val="16"/>
                <w:szCs w:val="16"/>
                <w:lang w:eastAsia="hr-HR"/>
              </w:rPr>
            </w:pPr>
            <w:r w:rsidRPr="001B4CA2">
              <w:rPr>
                <w:rFonts w:asciiTheme="minorHAnsi" w:eastAsia="Times New Roman" w:hAnsiTheme="minorHAnsi" w:cstheme="minorHAnsi"/>
                <w:b/>
                <w:bCs/>
                <w:color w:val="000000" w:themeColor="text1"/>
                <w:sz w:val="16"/>
                <w:szCs w:val="16"/>
                <w:lang w:eastAsia="hr-HR"/>
              </w:rPr>
              <w:t>Ostali parnični sporovi</w:t>
            </w:r>
          </w:p>
        </w:tc>
        <w:tc>
          <w:tcPr>
            <w:tcW w:w="1578"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54364146" w14:textId="77777777" w:rsidR="00B010E6" w:rsidRPr="001B4CA2" w:rsidRDefault="00B010E6" w:rsidP="00B010E6">
            <w:pPr>
              <w:jc w:val="center"/>
              <w:rPr>
                <w:rFonts w:asciiTheme="minorHAnsi" w:eastAsia="Times New Roman" w:hAnsiTheme="minorHAnsi" w:cstheme="minorHAnsi"/>
                <w:b/>
                <w:bCs/>
                <w:color w:val="000000" w:themeColor="text1"/>
                <w:sz w:val="18"/>
                <w:szCs w:val="18"/>
                <w:lang w:eastAsia="hr-HR"/>
              </w:rPr>
            </w:pPr>
            <w:r w:rsidRPr="001B4CA2">
              <w:rPr>
                <w:rFonts w:asciiTheme="minorHAnsi" w:eastAsia="Times New Roman" w:hAnsiTheme="minorHAnsi" w:cstheme="minorHAnsi"/>
                <w:b/>
                <w:bCs/>
                <w:color w:val="000000" w:themeColor="text1"/>
                <w:sz w:val="18"/>
                <w:szCs w:val="18"/>
                <w:lang w:eastAsia="hr-HR"/>
              </w:rPr>
              <w:t>Ukupno</w:t>
            </w:r>
          </w:p>
        </w:tc>
        <w:tc>
          <w:tcPr>
            <w:tcW w:w="921" w:type="dxa"/>
            <w:vMerge w:val="restart"/>
            <w:tcBorders>
              <w:top w:val="single" w:sz="4" w:space="0" w:color="auto"/>
              <w:left w:val="single" w:sz="4" w:space="0" w:color="auto"/>
              <w:right w:val="single" w:sz="4" w:space="0" w:color="auto"/>
            </w:tcBorders>
            <w:shd w:val="clear" w:color="auto" w:fill="99CCFF"/>
            <w:vAlign w:val="center"/>
          </w:tcPr>
          <w:p w14:paraId="4072EA4E" w14:textId="77777777" w:rsidR="00B010E6" w:rsidRPr="001B4CA2" w:rsidRDefault="00B010E6" w:rsidP="00B010E6">
            <w:pPr>
              <w:jc w:val="center"/>
              <w:rPr>
                <w:rFonts w:asciiTheme="minorHAnsi" w:eastAsia="Times New Roman" w:hAnsiTheme="minorHAnsi" w:cstheme="minorHAnsi"/>
                <w:b/>
                <w:bCs/>
                <w:color w:val="000000" w:themeColor="text1"/>
                <w:sz w:val="18"/>
                <w:szCs w:val="18"/>
                <w:lang w:eastAsia="hr-HR"/>
              </w:rPr>
            </w:pPr>
            <w:r w:rsidRPr="001B4CA2">
              <w:rPr>
                <w:rFonts w:asciiTheme="minorHAnsi" w:eastAsia="Times New Roman" w:hAnsiTheme="minorHAnsi" w:cstheme="minorHAnsi"/>
                <w:b/>
                <w:bCs/>
                <w:color w:val="000000" w:themeColor="text1"/>
                <w:sz w:val="18"/>
                <w:szCs w:val="18"/>
                <w:lang w:eastAsia="hr-HR"/>
              </w:rPr>
              <w:t>Ukupno zahtjev RH i zahtjev ostali</w:t>
            </w:r>
          </w:p>
        </w:tc>
      </w:tr>
      <w:tr w:rsidR="00B010E6" w:rsidRPr="001B4CA2" w14:paraId="6592C32F" w14:textId="77777777" w:rsidTr="00FC6656">
        <w:trPr>
          <w:cantSplit/>
          <w:trHeight w:val="1224"/>
          <w:jc w:val="center"/>
        </w:trPr>
        <w:tc>
          <w:tcPr>
            <w:tcW w:w="5558" w:type="dxa"/>
            <w:vMerge/>
            <w:tcBorders>
              <w:top w:val="single" w:sz="4" w:space="0" w:color="auto"/>
              <w:left w:val="single" w:sz="4" w:space="0" w:color="auto"/>
              <w:bottom w:val="single" w:sz="4" w:space="0" w:color="auto"/>
              <w:right w:val="single" w:sz="4" w:space="0" w:color="auto"/>
            </w:tcBorders>
            <w:vAlign w:val="center"/>
            <w:hideMark/>
          </w:tcPr>
          <w:p w14:paraId="1C534498" w14:textId="77777777" w:rsidR="00B010E6" w:rsidRPr="001B4CA2" w:rsidRDefault="00B010E6" w:rsidP="00B010E6">
            <w:pPr>
              <w:jc w:val="left"/>
              <w:rPr>
                <w:rFonts w:asciiTheme="minorHAnsi" w:eastAsia="Times New Roman" w:hAnsiTheme="minorHAnsi" w:cstheme="minorHAnsi"/>
                <w:b/>
                <w:bCs/>
                <w:color w:val="000000"/>
                <w:sz w:val="18"/>
                <w:szCs w:val="18"/>
                <w:lang w:eastAsia="hr-HR"/>
              </w:rPr>
            </w:pPr>
          </w:p>
        </w:tc>
        <w:tc>
          <w:tcPr>
            <w:tcW w:w="730" w:type="dxa"/>
            <w:tcBorders>
              <w:top w:val="nil"/>
              <w:left w:val="nil"/>
              <w:bottom w:val="single" w:sz="4" w:space="0" w:color="auto"/>
              <w:right w:val="single" w:sz="4" w:space="0" w:color="auto"/>
            </w:tcBorders>
            <w:shd w:val="clear" w:color="auto" w:fill="99CCFF"/>
            <w:textDirection w:val="btLr"/>
            <w:vAlign w:val="center"/>
            <w:hideMark/>
          </w:tcPr>
          <w:p w14:paraId="417B3DFB" w14:textId="77777777" w:rsidR="00B010E6" w:rsidRPr="001B4CA2" w:rsidRDefault="00B010E6" w:rsidP="00B010E6">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RH</w:t>
            </w:r>
          </w:p>
        </w:tc>
        <w:tc>
          <w:tcPr>
            <w:tcW w:w="734" w:type="dxa"/>
            <w:tcBorders>
              <w:top w:val="nil"/>
              <w:left w:val="nil"/>
              <w:bottom w:val="single" w:sz="4" w:space="0" w:color="auto"/>
              <w:right w:val="single" w:sz="4" w:space="0" w:color="auto"/>
            </w:tcBorders>
            <w:shd w:val="clear" w:color="auto" w:fill="99CCFF"/>
            <w:textDirection w:val="btLr"/>
            <w:vAlign w:val="center"/>
            <w:hideMark/>
          </w:tcPr>
          <w:p w14:paraId="300599F4" w14:textId="77777777" w:rsidR="00B010E6" w:rsidRPr="001B4CA2" w:rsidRDefault="00B010E6" w:rsidP="00B010E6">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ostali</w:t>
            </w:r>
          </w:p>
        </w:tc>
        <w:tc>
          <w:tcPr>
            <w:tcW w:w="788" w:type="dxa"/>
            <w:tcBorders>
              <w:top w:val="nil"/>
              <w:left w:val="nil"/>
              <w:bottom w:val="single" w:sz="4" w:space="0" w:color="auto"/>
              <w:right w:val="single" w:sz="4" w:space="0" w:color="auto"/>
            </w:tcBorders>
            <w:shd w:val="clear" w:color="auto" w:fill="99CCFF"/>
            <w:textDirection w:val="btLr"/>
            <w:vAlign w:val="center"/>
            <w:hideMark/>
          </w:tcPr>
          <w:p w14:paraId="61F00253" w14:textId="77777777" w:rsidR="00B010E6" w:rsidRPr="001B4CA2" w:rsidRDefault="00B010E6" w:rsidP="00B010E6">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RH</w:t>
            </w:r>
          </w:p>
        </w:tc>
        <w:tc>
          <w:tcPr>
            <w:tcW w:w="733" w:type="dxa"/>
            <w:tcBorders>
              <w:top w:val="nil"/>
              <w:left w:val="nil"/>
              <w:bottom w:val="single" w:sz="4" w:space="0" w:color="auto"/>
              <w:right w:val="single" w:sz="4" w:space="0" w:color="auto"/>
            </w:tcBorders>
            <w:shd w:val="clear" w:color="auto" w:fill="99CCFF"/>
            <w:textDirection w:val="btLr"/>
            <w:vAlign w:val="center"/>
            <w:hideMark/>
          </w:tcPr>
          <w:p w14:paraId="4F961E71" w14:textId="77777777" w:rsidR="00B010E6" w:rsidRPr="001B4CA2" w:rsidRDefault="00B010E6" w:rsidP="00B010E6">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ostali</w:t>
            </w:r>
          </w:p>
        </w:tc>
        <w:tc>
          <w:tcPr>
            <w:tcW w:w="860" w:type="dxa"/>
            <w:tcBorders>
              <w:top w:val="nil"/>
              <w:left w:val="nil"/>
              <w:bottom w:val="single" w:sz="4" w:space="0" w:color="auto"/>
              <w:right w:val="single" w:sz="4" w:space="0" w:color="auto"/>
            </w:tcBorders>
            <w:shd w:val="clear" w:color="auto" w:fill="99CCFF"/>
            <w:textDirection w:val="btLr"/>
            <w:vAlign w:val="center"/>
            <w:hideMark/>
          </w:tcPr>
          <w:p w14:paraId="4D1AAB4B" w14:textId="77777777" w:rsidR="00B010E6" w:rsidRPr="001B4CA2" w:rsidRDefault="00B010E6" w:rsidP="00B010E6">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RH</w:t>
            </w:r>
          </w:p>
        </w:tc>
        <w:tc>
          <w:tcPr>
            <w:tcW w:w="718" w:type="dxa"/>
            <w:tcBorders>
              <w:top w:val="nil"/>
              <w:left w:val="nil"/>
              <w:bottom w:val="single" w:sz="4" w:space="0" w:color="auto"/>
              <w:right w:val="single" w:sz="4" w:space="0" w:color="auto"/>
            </w:tcBorders>
            <w:shd w:val="clear" w:color="auto" w:fill="99CCFF"/>
            <w:textDirection w:val="btLr"/>
            <w:vAlign w:val="center"/>
            <w:hideMark/>
          </w:tcPr>
          <w:p w14:paraId="132A38B6" w14:textId="77777777" w:rsidR="00B010E6" w:rsidRPr="001B4CA2" w:rsidRDefault="00B010E6" w:rsidP="00B010E6">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ostali</w:t>
            </w:r>
          </w:p>
        </w:tc>
        <w:tc>
          <w:tcPr>
            <w:tcW w:w="861" w:type="dxa"/>
            <w:tcBorders>
              <w:top w:val="nil"/>
              <w:left w:val="nil"/>
              <w:bottom w:val="single" w:sz="4" w:space="0" w:color="auto"/>
              <w:right w:val="single" w:sz="4" w:space="0" w:color="auto"/>
            </w:tcBorders>
            <w:shd w:val="clear" w:color="auto" w:fill="99CCFF"/>
            <w:textDirection w:val="btLr"/>
            <w:vAlign w:val="center"/>
            <w:hideMark/>
          </w:tcPr>
          <w:p w14:paraId="55CE5723" w14:textId="77777777" w:rsidR="00B010E6" w:rsidRPr="001B4CA2" w:rsidRDefault="00B010E6" w:rsidP="00B010E6">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RH</w:t>
            </w:r>
          </w:p>
        </w:tc>
        <w:tc>
          <w:tcPr>
            <w:tcW w:w="861" w:type="dxa"/>
            <w:tcBorders>
              <w:top w:val="nil"/>
              <w:left w:val="nil"/>
              <w:bottom w:val="single" w:sz="4" w:space="0" w:color="auto"/>
              <w:right w:val="single" w:sz="4" w:space="0" w:color="auto"/>
            </w:tcBorders>
            <w:shd w:val="clear" w:color="auto" w:fill="99CCFF"/>
            <w:textDirection w:val="btLr"/>
            <w:vAlign w:val="center"/>
            <w:hideMark/>
          </w:tcPr>
          <w:p w14:paraId="67F1BC52" w14:textId="77777777" w:rsidR="00B010E6" w:rsidRPr="001B4CA2" w:rsidRDefault="00B010E6" w:rsidP="00B010E6">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ostali</w:t>
            </w:r>
          </w:p>
        </w:tc>
        <w:tc>
          <w:tcPr>
            <w:tcW w:w="716" w:type="dxa"/>
            <w:tcBorders>
              <w:top w:val="nil"/>
              <w:left w:val="nil"/>
              <w:bottom w:val="single" w:sz="4" w:space="0" w:color="auto"/>
              <w:right w:val="single" w:sz="4" w:space="0" w:color="auto"/>
            </w:tcBorders>
            <w:shd w:val="clear" w:color="auto" w:fill="99CCFF"/>
            <w:textDirection w:val="btLr"/>
            <w:vAlign w:val="center"/>
            <w:hideMark/>
          </w:tcPr>
          <w:p w14:paraId="3FD27121" w14:textId="5C252660" w:rsidR="00B010E6" w:rsidRPr="001B4CA2" w:rsidRDefault="00B010E6" w:rsidP="00B010E6">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w:t>
            </w:r>
            <w:r w:rsidR="001B4CA2">
              <w:rPr>
                <w:rFonts w:asciiTheme="minorHAnsi" w:eastAsia="Times New Roman" w:hAnsiTheme="minorHAnsi" w:cstheme="minorHAnsi"/>
                <w:color w:val="000000" w:themeColor="text1"/>
                <w:sz w:val="18"/>
                <w:szCs w:val="18"/>
                <w:lang w:eastAsia="hr-HR"/>
              </w:rPr>
              <w:t xml:space="preserve"> </w:t>
            </w:r>
            <w:r w:rsidRPr="001B4CA2">
              <w:rPr>
                <w:rFonts w:asciiTheme="minorHAnsi" w:eastAsia="Times New Roman" w:hAnsiTheme="minorHAnsi" w:cstheme="minorHAnsi"/>
                <w:color w:val="000000" w:themeColor="text1"/>
                <w:sz w:val="18"/>
                <w:szCs w:val="18"/>
                <w:lang w:eastAsia="hr-HR"/>
              </w:rPr>
              <w:t>RH</w:t>
            </w:r>
          </w:p>
        </w:tc>
        <w:tc>
          <w:tcPr>
            <w:tcW w:w="719" w:type="dxa"/>
            <w:tcBorders>
              <w:top w:val="nil"/>
              <w:left w:val="nil"/>
              <w:bottom w:val="single" w:sz="4" w:space="0" w:color="auto"/>
              <w:right w:val="single" w:sz="4" w:space="0" w:color="auto"/>
            </w:tcBorders>
            <w:shd w:val="clear" w:color="auto" w:fill="99CCFF"/>
            <w:textDirection w:val="btLr"/>
            <w:vAlign w:val="center"/>
            <w:hideMark/>
          </w:tcPr>
          <w:p w14:paraId="074AC294" w14:textId="77777777" w:rsidR="00B010E6" w:rsidRPr="001B4CA2" w:rsidRDefault="00B010E6" w:rsidP="00B010E6">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ostali</w:t>
            </w:r>
          </w:p>
        </w:tc>
        <w:tc>
          <w:tcPr>
            <w:tcW w:w="789"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5A175519" w14:textId="23A5ECAF" w:rsidR="00B010E6" w:rsidRPr="001B4CA2" w:rsidRDefault="00B010E6" w:rsidP="00B010E6">
            <w:pPr>
              <w:ind w:left="113" w:right="113"/>
              <w:jc w:val="left"/>
              <w:rPr>
                <w:rFonts w:asciiTheme="minorHAnsi" w:eastAsia="Times New Roman" w:hAnsiTheme="minorHAnsi" w:cstheme="minorHAnsi"/>
                <w:bCs/>
                <w:color w:val="000000" w:themeColor="text1"/>
                <w:sz w:val="18"/>
                <w:szCs w:val="18"/>
                <w:lang w:eastAsia="hr-HR"/>
              </w:rPr>
            </w:pPr>
            <w:r w:rsidRPr="001B4CA2">
              <w:rPr>
                <w:rFonts w:asciiTheme="minorHAnsi" w:eastAsia="Times New Roman" w:hAnsiTheme="minorHAnsi" w:cstheme="minorHAnsi"/>
                <w:bCs/>
                <w:color w:val="000000" w:themeColor="text1"/>
                <w:sz w:val="18"/>
                <w:szCs w:val="18"/>
                <w:lang w:eastAsia="hr-HR"/>
              </w:rPr>
              <w:t>Zahtjev</w:t>
            </w:r>
            <w:r w:rsidR="001B4CA2">
              <w:rPr>
                <w:rFonts w:asciiTheme="minorHAnsi" w:eastAsia="Times New Roman" w:hAnsiTheme="minorHAnsi" w:cstheme="minorHAnsi"/>
                <w:bCs/>
                <w:color w:val="000000" w:themeColor="text1"/>
                <w:sz w:val="18"/>
                <w:szCs w:val="18"/>
                <w:lang w:eastAsia="hr-HR"/>
              </w:rPr>
              <w:t xml:space="preserve"> </w:t>
            </w:r>
            <w:r w:rsidRPr="001B4CA2">
              <w:rPr>
                <w:rFonts w:asciiTheme="minorHAnsi" w:eastAsia="Times New Roman" w:hAnsiTheme="minorHAnsi" w:cstheme="minorHAnsi"/>
                <w:bCs/>
                <w:color w:val="000000" w:themeColor="text1"/>
                <w:sz w:val="18"/>
                <w:szCs w:val="18"/>
                <w:lang w:eastAsia="hr-HR"/>
              </w:rPr>
              <w:t>RH</w:t>
            </w:r>
          </w:p>
        </w:tc>
        <w:tc>
          <w:tcPr>
            <w:tcW w:w="789"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tcPr>
          <w:p w14:paraId="4C2875CD" w14:textId="77777777" w:rsidR="00B010E6" w:rsidRPr="001B4CA2" w:rsidRDefault="00B010E6" w:rsidP="00B010E6">
            <w:pPr>
              <w:ind w:left="113" w:right="113"/>
              <w:jc w:val="left"/>
              <w:rPr>
                <w:rFonts w:asciiTheme="minorHAnsi" w:eastAsia="Times New Roman" w:hAnsiTheme="minorHAnsi" w:cstheme="minorHAnsi"/>
                <w:bCs/>
                <w:color w:val="000000" w:themeColor="text1"/>
                <w:sz w:val="18"/>
                <w:szCs w:val="18"/>
                <w:lang w:eastAsia="hr-HR"/>
              </w:rPr>
            </w:pPr>
            <w:r w:rsidRPr="001B4CA2">
              <w:rPr>
                <w:rFonts w:asciiTheme="minorHAnsi" w:eastAsia="Times New Roman" w:hAnsiTheme="minorHAnsi" w:cstheme="minorHAnsi"/>
                <w:bCs/>
                <w:color w:val="000000" w:themeColor="text1"/>
                <w:sz w:val="18"/>
                <w:szCs w:val="18"/>
                <w:lang w:eastAsia="hr-HR"/>
              </w:rPr>
              <w:t>Zahtjev ostali</w:t>
            </w:r>
          </w:p>
        </w:tc>
        <w:tc>
          <w:tcPr>
            <w:tcW w:w="921" w:type="dxa"/>
            <w:vMerge/>
            <w:tcBorders>
              <w:left w:val="single" w:sz="4" w:space="0" w:color="auto"/>
              <w:bottom w:val="single" w:sz="4" w:space="0" w:color="auto"/>
              <w:right w:val="single" w:sz="4" w:space="0" w:color="auto"/>
            </w:tcBorders>
            <w:shd w:val="clear" w:color="auto" w:fill="99CCFF"/>
            <w:textDirection w:val="btLr"/>
          </w:tcPr>
          <w:p w14:paraId="473C0B85" w14:textId="77777777" w:rsidR="00B010E6" w:rsidRPr="001B4CA2" w:rsidRDefault="00B010E6" w:rsidP="00B010E6">
            <w:pPr>
              <w:jc w:val="center"/>
              <w:rPr>
                <w:rFonts w:asciiTheme="minorHAnsi" w:eastAsia="Times New Roman" w:hAnsiTheme="minorHAnsi" w:cstheme="minorHAnsi"/>
                <w:bCs/>
                <w:color w:val="000000" w:themeColor="text1"/>
                <w:sz w:val="18"/>
                <w:szCs w:val="18"/>
                <w:lang w:eastAsia="hr-HR"/>
              </w:rPr>
            </w:pPr>
          </w:p>
        </w:tc>
      </w:tr>
      <w:tr w:rsidR="00B010E6" w:rsidRPr="001B4CA2" w14:paraId="6988AE21"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6C20F"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Republika Hrvatska</w:t>
            </w:r>
          </w:p>
        </w:tc>
        <w:tc>
          <w:tcPr>
            <w:tcW w:w="730" w:type="dxa"/>
            <w:tcBorders>
              <w:top w:val="nil"/>
              <w:left w:val="nil"/>
              <w:bottom w:val="single" w:sz="4" w:space="0" w:color="auto"/>
              <w:right w:val="single" w:sz="4" w:space="0" w:color="auto"/>
            </w:tcBorders>
            <w:shd w:val="clear" w:color="auto" w:fill="auto"/>
            <w:noWrap/>
            <w:vAlign w:val="center"/>
          </w:tcPr>
          <w:p w14:paraId="7D5F8712"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13</w:t>
            </w:r>
          </w:p>
        </w:tc>
        <w:tc>
          <w:tcPr>
            <w:tcW w:w="734" w:type="dxa"/>
            <w:tcBorders>
              <w:top w:val="nil"/>
              <w:left w:val="nil"/>
              <w:bottom w:val="single" w:sz="4" w:space="0" w:color="auto"/>
              <w:right w:val="single" w:sz="4" w:space="0" w:color="auto"/>
            </w:tcBorders>
            <w:shd w:val="clear" w:color="auto" w:fill="auto"/>
            <w:noWrap/>
            <w:vAlign w:val="center"/>
          </w:tcPr>
          <w:p w14:paraId="54CDC4A2"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22</w:t>
            </w:r>
          </w:p>
        </w:tc>
        <w:tc>
          <w:tcPr>
            <w:tcW w:w="788" w:type="dxa"/>
            <w:tcBorders>
              <w:top w:val="nil"/>
              <w:left w:val="nil"/>
              <w:bottom w:val="single" w:sz="4" w:space="0" w:color="auto"/>
              <w:right w:val="single" w:sz="4" w:space="0" w:color="auto"/>
            </w:tcBorders>
            <w:shd w:val="clear" w:color="auto" w:fill="auto"/>
            <w:noWrap/>
            <w:vAlign w:val="center"/>
          </w:tcPr>
          <w:p w14:paraId="74FD67DF"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5</w:t>
            </w:r>
          </w:p>
        </w:tc>
        <w:tc>
          <w:tcPr>
            <w:tcW w:w="733" w:type="dxa"/>
            <w:tcBorders>
              <w:top w:val="nil"/>
              <w:left w:val="nil"/>
              <w:bottom w:val="single" w:sz="4" w:space="0" w:color="auto"/>
              <w:right w:val="single" w:sz="4" w:space="0" w:color="auto"/>
            </w:tcBorders>
            <w:shd w:val="clear" w:color="auto" w:fill="auto"/>
            <w:noWrap/>
            <w:vAlign w:val="center"/>
          </w:tcPr>
          <w:p w14:paraId="3886BADE"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13</w:t>
            </w:r>
          </w:p>
        </w:tc>
        <w:tc>
          <w:tcPr>
            <w:tcW w:w="860" w:type="dxa"/>
            <w:tcBorders>
              <w:top w:val="nil"/>
              <w:left w:val="nil"/>
              <w:bottom w:val="single" w:sz="4" w:space="0" w:color="auto"/>
              <w:right w:val="single" w:sz="4" w:space="0" w:color="auto"/>
            </w:tcBorders>
            <w:shd w:val="clear" w:color="auto" w:fill="auto"/>
            <w:noWrap/>
            <w:vAlign w:val="center"/>
          </w:tcPr>
          <w:p w14:paraId="23BB9D02" w14:textId="77777777" w:rsidR="00B010E6" w:rsidRPr="001B4CA2" w:rsidRDefault="00B010E6" w:rsidP="00B010E6">
            <w:pPr>
              <w:jc w:val="center"/>
              <w:rPr>
                <w:rFonts w:ascii="Calibri" w:hAnsi="Calibri" w:cs="Calibri"/>
                <w:color w:val="000000"/>
                <w:sz w:val="20"/>
                <w:szCs w:val="20"/>
              </w:rPr>
            </w:pPr>
          </w:p>
        </w:tc>
        <w:tc>
          <w:tcPr>
            <w:tcW w:w="718" w:type="dxa"/>
            <w:tcBorders>
              <w:top w:val="nil"/>
              <w:left w:val="nil"/>
              <w:bottom w:val="single" w:sz="4" w:space="0" w:color="auto"/>
              <w:right w:val="single" w:sz="4" w:space="0" w:color="auto"/>
            </w:tcBorders>
            <w:shd w:val="clear" w:color="auto" w:fill="auto"/>
            <w:noWrap/>
            <w:vAlign w:val="center"/>
          </w:tcPr>
          <w:p w14:paraId="6F831EB4"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18</w:t>
            </w:r>
          </w:p>
        </w:tc>
        <w:tc>
          <w:tcPr>
            <w:tcW w:w="861" w:type="dxa"/>
            <w:tcBorders>
              <w:top w:val="nil"/>
              <w:left w:val="nil"/>
              <w:bottom w:val="single" w:sz="4" w:space="0" w:color="auto"/>
              <w:right w:val="single" w:sz="4" w:space="0" w:color="auto"/>
            </w:tcBorders>
            <w:shd w:val="clear" w:color="auto" w:fill="auto"/>
            <w:noWrap/>
            <w:vAlign w:val="center"/>
          </w:tcPr>
          <w:p w14:paraId="143DDC73"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243EE166" w14:textId="77777777" w:rsidR="00B010E6" w:rsidRPr="001B4CA2" w:rsidRDefault="00B010E6" w:rsidP="00B010E6">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1B59D3AF" w14:textId="77777777" w:rsidR="00B010E6" w:rsidRPr="001B4CA2" w:rsidRDefault="00B010E6" w:rsidP="00B010E6">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601A9AF1"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789" w:type="dxa"/>
            <w:tcBorders>
              <w:top w:val="nil"/>
              <w:left w:val="nil"/>
              <w:bottom w:val="single" w:sz="4" w:space="0" w:color="auto"/>
              <w:right w:val="single" w:sz="4" w:space="0" w:color="auto"/>
            </w:tcBorders>
            <w:shd w:val="clear" w:color="auto" w:fill="auto"/>
            <w:noWrap/>
            <w:vAlign w:val="center"/>
          </w:tcPr>
          <w:p w14:paraId="77B6FC7E"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18</w:t>
            </w:r>
          </w:p>
        </w:tc>
        <w:tc>
          <w:tcPr>
            <w:tcW w:w="789" w:type="dxa"/>
            <w:tcBorders>
              <w:top w:val="nil"/>
              <w:left w:val="nil"/>
              <w:bottom w:val="single" w:sz="4" w:space="0" w:color="auto"/>
              <w:right w:val="single" w:sz="4" w:space="0" w:color="auto"/>
            </w:tcBorders>
            <w:shd w:val="clear" w:color="auto" w:fill="auto"/>
            <w:vAlign w:val="center"/>
          </w:tcPr>
          <w:p w14:paraId="42017206"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54</w:t>
            </w:r>
          </w:p>
        </w:tc>
        <w:tc>
          <w:tcPr>
            <w:tcW w:w="921" w:type="dxa"/>
            <w:tcBorders>
              <w:top w:val="nil"/>
              <w:left w:val="nil"/>
              <w:bottom w:val="single" w:sz="4" w:space="0" w:color="auto"/>
              <w:right w:val="single" w:sz="4" w:space="0" w:color="auto"/>
            </w:tcBorders>
            <w:vAlign w:val="center"/>
          </w:tcPr>
          <w:p w14:paraId="4C801A95"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72</w:t>
            </w:r>
          </w:p>
        </w:tc>
      </w:tr>
      <w:tr w:rsidR="00B010E6" w:rsidRPr="001B4CA2" w14:paraId="62CC42F1"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D0653"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pravosuđa i uprave</w:t>
            </w:r>
          </w:p>
        </w:tc>
        <w:tc>
          <w:tcPr>
            <w:tcW w:w="730" w:type="dxa"/>
            <w:tcBorders>
              <w:top w:val="nil"/>
              <w:left w:val="nil"/>
              <w:bottom w:val="single" w:sz="4" w:space="0" w:color="auto"/>
              <w:right w:val="single" w:sz="4" w:space="0" w:color="auto"/>
            </w:tcBorders>
            <w:shd w:val="clear" w:color="auto" w:fill="auto"/>
            <w:noWrap/>
            <w:vAlign w:val="center"/>
          </w:tcPr>
          <w:p w14:paraId="2C386BEE"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w:t>
            </w:r>
          </w:p>
        </w:tc>
        <w:tc>
          <w:tcPr>
            <w:tcW w:w="734" w:type="dxa"/>
            <w:tcBorders>
              <w:top w:val="nil"/>
              <w:left w:val="nil"/>
              <w:bottom w:val="single" w:sz="4" w:space="0" w:color="auto"/>
              <w:right w:val="single" w:sz="4" w:space="0" w:color="auto"/>
            </w:tcBorders>
            <w:shd w:val="clear" w:color="auto" w:fill="auto"/>
            <w:noWrap/>
            <w:vAlign w:val="center"/>
          </w:tcPr>
          <w:p w14:paraId="0B9151C5"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7</w:t>
            </w:r>
          </w:p>
        </w:tc>
        <w:tc>
          <w:tcPr>
            <w:tcW w:w="788" w:type="dxa"/>
            <w:tcBorders>
              <w:top w:val="nil"/>
              <w:left w:val="nil"/>
              <w:bottom w:val="single" w:sz="4" w:space="0" w:color="auto"/>
              <w:right w:val="single" w:sz="4" w:space="0" w:color="auto"/>
            </w:tcBorders>
            <w:shd w:val="clear" w:color="auto" w:fill="auto"/>
            <w:noWrap/>
            <w:vAlign w:val="center"/>
          </w:tcPr>
          <w:p w14:paraId="60FAB0E8"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19</w:t>
            </w:r>
          </w:p>
        </w:tc>
        <w:tc>
          <w:tcPr>
            <w:tcW w:w="733" w:type="dxa"/>
            <w:tcBorders>
              <w:top w:val="nil"/>
              <w:left w:val="nil"/>
              <w:bottom w:val="single" w:sz="4" w:space="0" w:color="auto"/>
              <w:right w:val="single" w:sz="4" w:space="0" w:color="auto"/>
            </w:tcBorders>
            <w:shd w:val="clear" w:color="auto" w:fill="auto"/>
            <w:noWrap/>
            <w:vAlign w:val="center"/>
          </w:tcPr>
          <w:p w14:paraId="0C6192EB"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33</w:t>
            </w:r>
          </w:p>
        </w:tc>
        <w:tc>
          <w:tcPr>
            <w:tcW w:w="860" w:type="dxa"/>
            <w:tcBorders>
              <w:top w:val="nil"/>
              <w:left w:val="nil"/>
              <w:bottom w:val="single" w:sz="4" w:space="0" w:color="auto"/>
              <w:right w:val="single" w:sz="4" w:space="0" w:color="auto"/>
            </w:tcBorders>
            <w:shd w:val="clear" w:color="auto" w:fill="auto"/>
            <w:noWrap/>
            <w:vAlign w:val="center"/>
          </w:tcPr>
          <w:p w14:paraId="164E04A9"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w:t>
            </w:r>
          </w:p>
        </w:tc>
        <w:tc>
          <w:tcPr>
            <w:tcW w:w="718" w:type="dxa"/>
            <w:tcBorders>
              <w:top w:val="nil"/>
              <w:left w:val="nil"/>
              <w:bottom w:val="single" w:sz="4" w:space="0" w:color="auto"/>
              <w:right w:val="single" w:sz="4" w:space="0" w:color="auto"/>
            </w:tcBorders>
            <w:shd w:val="clear" w:color="auto" w:fill="auto"/>
            <w:noWrap/>
            <w:vAlign w:val="center"/>
          </w:tcPr>
          <w:p w14:paraId="4A157F37"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278</w:t>
            </w:r>
          </w:p>
        </w:tc>
        <w:tc>
          <w:tcPr>
            <w:tcW w:w="861" w:type="dxa"/>
            <w:tcBorders>
              <w:top w:val="nil"/>
              <w:left w:val="nil"/>
              <w:bottom w:val="single" w:sz="4" w:space="0" w:color="auto"/>
              <w:right w:val="single" w:sz="4" w:space="0" w:color="auto"/>
            </w:tcBorders>
            <w:shd w:val="clear" w:color="auto" w:fill="auto"/>
            <w:noWrap/>
            <w:vAlign w:val="center"/>
          </w:tcPr>
          <w:p w14:paraId="35BE472F"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861" w:type="dxa"/>
            <w:tcBorders>
              <w:top w:val="nil"/>
              <w:left w:val="nil"/>
              <w:bottom w:val="single" w:sz="4" w:space="0" w:color="auto"/>
              <w:right w:val="single" w:sz="4" w:space="0" w:color="auto"/>
            </w:tcBorders>
            <w:shd w:val="clear" w:color="auto" w:fill="auto"/>
            <w:noWrap/>
            <w:vAlign w:val="center"/>
          </w:tcPr>
          <w:p w14:paraId="5FBDA69F"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317</w:t>
            </w:r>
          </w:p>
        </w:tc>
        <w:tc>
          <w:tcPr>
            <w:tcW w:w="716" w:type="dxa"/>
            <w:tcBorders>
              <w:top w:val="nil"/>
              <w:left w:val="nil"/>
              <w:bottom w:val="single" w:sz="4" w:space="0" w:color="auto"/>
              <w:right w:val="single" w:sz="4" w:space="0" w:color="auto"/>
            </w:tcBorders>
            <w:shd w:val="clear" w:color="auto" w:fill="auto"/>
            <w:noWrap/>
            <w:vAlign w:val="center"/>
          </w:tcPr>
          <w:p w14:paraId="09AE05B8"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719" w:type="dxa"/>
            <w:tcBorders>
              <w:top w:val="nil"/>
              <w:left w:val="nil"/>
              <w:bottom w:val="single" w:sz="4" w:space="0" w:color="auto"/>
              <w:right w:val="single" w:sz="4" w:space="0" w:color="auto"/>
            </w:tcBorders>
            <w:shd w:val="clear" w:color="auto" w:fill="auto"/>
            <w:noWrap/>
            <w:vAlign w:val="center"/>
          </w:tcPr>
          <w:p w14:paraId="741E2328"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7</w:t>
            </w:r>
          </w:p>
        </w:tc>
        <w:tc>
          <w:tcPr>
            <w:tcW w:w="789" w:type="dxa"/>
            <w:tcBorders>
              <w:top w:val="nil"/>
              <w:left w:val="nil"/>
              <w:bottom w:val="single" w:sz="4" w:space="0" w:color="auto"/>
              <w:right w:val="single" w:sz="4" w:space="0" w:color="auto"/>
            </w:tcBorders>
            <w:shd w:val="clear" w:color="auto" w:fill="auto"/>
            <w:noWrap/>
            <w:vAlign w:val="center"/>
          </w:tcPr>
          <w:p w14:paraId="4337A207"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25</w:t>
            </w:r>
          </w:p>
        </w:tc>
        <w:tc>
          <w:tcPr>
            <w:tcW w:w="789" w:type="dxa"/>
            <w:tcBorders>
              <w:top w:val="nil"/>
              <w:left w:val="nil"/>
              <w:bottom w:val="single" w:sz="4" w:space="0" w:color="auto"/>
              <w:right w:val="single" w:sz="4" w:space="0" w:color="auto"/>
            </w:tcBorders>
            <w:shd w:val="clear" w:color="auto" w:fill="auto"/>
            <w:vAlign w:val="center"/>
          </w:tcPr>
          <w:p w14:paraId="484FC0FB"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642</w:t>
            </w:r>
          </w:p>
        </w:tc>
        <w:tc>
          <w:tcPr>
            <w:tcW w:w="921" w:type="dxa"/>
            <w:tcBorders>
              <w:top w:val="nil"/>
              <w:left w:val="nil"/>
              <w:bottom w:val="single" w:sz="4" w:space="0" w:color="auto"/>
              <w:right w:val="single" w:sz="4" w:space="0" w:color="auto"/>
            </w:tcBorders>
            <w:vAlign w:val="center"/>
          </w:tcPr>
          <w:p w14:paraId="36AB403D"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667</w:t>
            </w:r>
          </w:p>
        </w:tc>
      </w:tr>
      <w:tr w:rsidR="00B010E6" w:rsidRPr="001B4CA2" w14:paraId="362C45F6"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10F23"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zdravstva</w:t>
            </w:r>
          </w:p>
        </w:tc>
        <w:tc>
          <w:tcPr>
            <w:tcW w:w="730" w:type="dxa"/>
            <w:tcBorders>
              <w:top w:val="nil"/>
              <w:left w:val="nil"/>
              <w:bottom w:val="single" w:sz="4" w:space="0" w:color="auto"/>
              <w:right w:val="single" w:sz="4" w:space="0" w:color="auto"/>
            </w:tcBorders>
            <w:shd w:val="clear" w:color="auto" w:fill="auto"/>
            <w:noWrap/>
            <w:vAlign w:val="center"/>
          </w:tcPr>
          <w:p w14:paraId="621E87A8" w14:textId="77777777" w:rsidR="00B010E6" w:rsidRPr="001B4CA2" w:rsidRDefault="00B010E6" w:rsidP="00B010E6">
            <w:pPr>
              <w:jc w:val="center"/>
              <w:rPr>
                <w:rFonts w:ascii="Calibri" w:hAnsi="Calibri" w:cs="Calibri"/>
                <w:color w:val="000000"/>
                <w:sz w:val="20"/>
                <w:szCs w:val="20"/>
              </w:rPr>
            </w:pPr>
          </w:p>
        </w:tc>
        <w:tc>
          <w:tcPr>
            <w:tcW w:w="734" w:type="dxa"/>
            <w:tcBorders>
              <w:top w:val="nil"/>
              <w:left w:val="nil"/>
              <w:bottom w:val="single" w:sz="4" w:space="0" w:color="auto"/>
              <w:right w:val="single" w:sz="4" w:space="0" w:color="auto"/>
            </w:tcBorders>
            <w:shd w:val="clear" w:color="auto" w:fill="auto"/>
            <w:noWrap/>
            <w:vAlign w:val="center"/>
          </w:tcPr>
          <w:p w14:paraId="48471EFC" w14:textId="77777777" w:rsidR="00B010E6" w:rsidRPr="001B4CA2" w:rsidRDefault="00B010E6" w:rsidP="00B010E6">
            <w:pPr>
              <w:jc w:val="center"/>
              <w:rPr>
                <w:rFonts w:ascii="Calibri" w:hAnsi="Calibri" w:cs="Calibri"/>
                <w:color w:val="000000"/>
                <w:sz w:val="20"/>
                <w:szCs w:val="20"/>
              </w:rPr>
            </w:pPr>
          </w:p>
        </w:tc>
        <w:tc>
          <w:tcPr>
            <w:tcW w:w="788" w:type="dxa"/>
            <w:tcBorders>
              <w:top w:val="nil"/>
              <w:left w:val="nil"/>
              <w:bottom w:val="single" w:sz="4" w:space="0" w:color="auto"/>
              <w:right w:val="single" w:sz="4" w:space="0" w:color="auto"/>
            </w:tcBorders>
            <w:shd w:val="clear" w:color="auto" w:fill="auto"/>
            <w:noWrap/>
            <w:vAlign w:val="center"/>
          </w:tcPr>
          <w:p w14:paraId="6B7C730D" w14:textId="77777777" w:rsidR="00B010E6" w:rsidRPr="001B4CA2" w:rsidRDefault="00B010E6" w:rsidP="00B010E6">
            <w:pPr>
              <w:jc w:val="center"/>
              <w:rPr>
                <w:rFonts w:ascii="Calibri" w:hAnsi="Calibri" w:cs="Calibri"/>
                <w:color w:val="000000"/>
                <w:sz w:val="20"/>
                <w:szCs w:val="20"/>
              </w:rPr>
            </w:pPr>
          </w:p>
        </w:tc>
        <w:tc>
          <w:tcPr>
            <w:tcW w:w="733" w:type="dxa"/>
            <w:tcBorders>
              <w:top w:val="nil"/>
              <w:left w:val="nil"/>
              <w:bottom w:val="single" w:sz="4" w:space="0" w:color="auto"/>
              <w:right w:val="single" w:sz="4" w:space="0" w:color="auto"/>
            </w:tcBorders>
            <w:shd w:val="clear" w:color="auto" w:fill="auto"/>
            <w:noWrap/>
            <w:vAlign w:val="center"/>
          </w:tcPr>
          <w:p w14:paraId="20569AD5" w14:textId="77777777" w:rsidR="00B010E6" w:rsidRPr="001B4CA2" w:rsidRDefault="00B010E6" w:rsidP="00B010E6">
            <w:pPr>
              <w:jc w:val="center"/>
              <w:rPr>
                <w:rFonts w:ascii="Calibri" w:hAnsi="Calibri" w:cs="Calibri"/>
                <w:color w:val="000000"/>
                <w:sz w:val="20"/>
                <w:szCs w:val="20"/>
              </w:rPr>
            </w:pPr>
          </w:p>
        </w:tc>
        <w:tc>
          <w:tcPr>
            <w:tcW w:w="860" w:type="dxa"/>
            <w:tcBorders>
              <w:top w:val="nil"/>
              <w:left w:val="nil"/>
              <w:bottom w:val="single" w:sz="4" w:space="0" w:color="auto"/>
              <w:right w:val="single" w:sz="4" w:space="0" w:color="auto"/>
            </w:tcBorders>
            <w:shd w:val="clear" w:color="auto" w:fill="auto"/>
            <w:noWrap/>
            <w:vAlign w:val="center"/>
          </w:tcPr>
          <w:p w14:paraId="357EA071" w14:textId="77777777" w:rsidR="00B010E6" w:rsidRPr="001B4CA2" w:rsidRDefault="00B010E6" w:rsidP="00B010E6">
            <w:pPr>
              <w:jc w:val="center"/>
              <w:rPr>
                <w:rFonts w:ascii="Calibri" w:hAnsi="Calibri" w:cs="Calibri"/>
                <w:color w:val="000000"/>
                <w:sz w:val="20"/>
                <w:szCs w:val="20"/>
              </w:rPr>
            </w:pPr>
          </w:p>
        </w:tc>
        <w:tc>
          <w:tcPr>
            <w:tcW w:w="718" w:type="dxa"/>
            <w:tcBorders>
              <w:top w:val="nil"/>
              <w:left w:val="nil"/>
              <w:bottom w:val="single" w:sz="4" w:space="0" w:color="auto"/>
              <w:right w:val="single" w:sz="4" w:space="0" w:color="auto"/>
            </w:tcBorders>
            <w:shd w:val="clear" w:color="auto" w:fill="auto"/>
            <w:noWrap/>
            <w:vAlign w:val="center"/>
          </w:tcPr>
          <w:p w14:paraId="55DDD854"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w:t>
            </w:r>
          </w:p>
        </w:tc>
        <w:tc>
          <w:tcPr>
            <w:tcW w:w="861" w:type="dxa"/>
            <w:tcBorders>
              <w:top w:val="nil"/>
              <w:left w:val="nil"/>
              <w:bottom w:val="single" w:sz="4" w:space="0" w:color="auto"/>
              <w:right w:val="single" w:sz="4" w:space="0" w:color="auto"/>
            </w:tcBorders>
            <w:shd w:val="clear" w:color="auto" w:fill="auto"/>
            <w:noWrap/>
            <w:vAlign w:val="center"/>
          </w:tcPr>
          <w:p w14:paraId="3AC10115"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1953520E" w14:textId="77777777" w:rsidR="00B010E6" w:rsidRPr="001B4CA2" w:rsidRDefault="00B010E6" w:rsidP="00B010E6">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2C7FAB3E" w14:textId="77777777" w:rsidR="00B010E6" w:rsidRPr="001B4CA2" w:rsidRDefault="00B010E6" w:rsidP="00B010E6">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38D9404B" w14:textId="77777777" w:rsidR="00B010E6" w:rsidRPr="001B4CA2" w:rsidRDefault="00B010E6" w:rsidP="00B010E6">
            <w:pPr>
              <w:jc w:val="center"/>
              <w:rPr>
                <w:rFonts w:ascii="Calibri" w:hAnsi="Calibri" w:cs="Calibri"/>
                <w:color w:val="000000"/>
                <w:sz w:val="22"/>
                <w:szCs w:val="22"/>
              </w:rPr>
            </w:pPr>
          </w:p>
        </w:tc>
        <w:tc>
          <w:tcPr>
            <w:tcW w:w="789" w:type="dxa"/>
            <w:tcBorders>
              <w:top w:val="nil"/>
              <w:left w:val="nil"/>
              <w:bottom w:val="single" w:sz="4" w:space="0" w:color="auto"/>
              <w:right w:val="single" w:sz="4" w:space="0" w:color="auto"/>
            </w:tcBorders>
            <w:shd w:val="clear" w:color="auto" w:fill="auto"/>
            <w:noWrap/>
            <w:vAlign w:val="center"/>
          </w:tcPr>
          <w:p w14:paraId="01843DC3" w14:textId="77777777" w:rsidR="00B010E6" w:rsidRPr="001B4CA2" w:rsidRDefault="00B010E6" w:rsidP="00B010E6">
            <w:pPr>
              <w:jc w:val="center"/>
              <w:rPr>
                <w:rFonts w:ascii="Calibri" w:hAnsi="Calibri" w:cs="Calibri"/>
                <w:bCs/>
                <w:color w:val="000000"/>
                <w:sz w:val="22"/>
                <w:szCs w:val="22"/>
              </w:rPr>
            </w:pPr>
          </w:p>
        </w:tc>
        <w:tc>
          <w:tcPr>
            <w:tcW w:w="789" w:type="dxa"/>
            <w:tcBorders>
              <w:top w:val="nil"/>
              <w:left w:val="nil"/>
              <w:bottom w:val="single" w:sz="4" w:space="0" w:color="auto"/>
              <w:right w:val="single" w:sz="4" w:space="0" w:color="auto"/>
            </w:tcBorders>
            <w:shd w:val="clear" w:color="auto" w:fill="auto"/>
            <w:vAlign w:val="center"/>
          </w:tcPr>
          <w:p w14:paraId="49422460"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2</w:t>
            </w:r>
          </w:p>
        </w:tc>
        <w:tc>
          <w:tcPr>
            <w:tcW w:w="921" w:type="dxa"/>
            <w:tcBorders>
              <w:top w:val="nil"/>
              <w:left w:val="nil"/>
              <w:bottom w:val="single" w:sz="4" w:space="0" w:color="auto"/>
              <w:right w:val="single" w:sz="4" w:space="0" w:color="auto"/>
            </w:tcBorders>
            <w:vAlign w:val="center"/>
          </w:tcPr>
          <w:p w14:paraId="097A5C1C"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2</w:t>
            </w:r>
          </w:p>
        </w:tc>
      </w:tr>
      <w:tr w:rsidR="00B010E6" w:rsidRPr="001B4CA2" w14:paraId="554FDCA5"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4B326"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hrvatskih branitelja</w:t>
            </w:r>
          </w:p>
        </w:tc>
        <w:tc>
          <w:tcPr>
            <w:tcW w:w="730" w:type="dxa"/>
            <w:tcBorders>
              <w:top w:val="nil"/>
              <w:left w:val="nil"/>
              <w:bottom w:val="single" w:sz="4" w:space="0" w:color="auto"/>
              <w:right w:val="single" w:sz="4" w:space="0" w:color="auto"/>
            </w:tcBorders>
            <w:shd w:val="clear" w:color="auto" w:fill="auto"/>
            <w:noWrap/>
            <w:vAlign w:val="center"/>
          </w:tcPr>
          <w:p w14:paraId="0CD9AF45"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w:t>
            </w:r>
          </w:p>
        </w:tc>
        <w:tc>
          <w:tcPr>
            <w:tcW w:w="734" w:type="dxa"/>
            <w:tcBorders>
              <w:top w:val="nil"/>
              <w:left w:val="nil"/>
              <w:bottom w:val="single" w:sz="4" w:space="0" w:color="auto"/>
              <w:right w:val="single" w:sz="4" w:space="0" w:color="auto"/>
            </w:tcBorders>
            <w:shd w:val="clear" w:color="auto" w:fill="auto"/>
            <w:noWrap/>
            <w:vAlign w:val="center"/>
          </w:tcPr>
          <w:p w14:paraId="1625A437"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center"/>
          </w:tcPr>
          <w:p w14:paraId="3D1983A9"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66</w:t>
            </w:r>
          </w:p>
        </w:tc>
        <w:tc>
          <w:tcPr>
            <w:tcW w:w="733" w:type="dxa"/>
            <w:tcBorders>
              <w:top w:val="nil"/>
              <w:left w:val="nil"/>
              <w:bottom w:val="single" w:sz="4" w:space="0" w:color="auto"/>
              <w:right w:val="single" w:sz="4" w:space="0" w:color="auto"/>
            </w:tcBorders>
            <w:shd w:val="clear" w:color="auto" w:fill="auto"/>
            <w:noWrap/>
            <w:vAlign w:val="center"/>
          </w:tcPr>
          <w:p w14:paraId="16DCAE48"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w:t>
            </w:r>
          </w:p>
        </w:tc>
        <w:tc>
          <w:tcPr>
            <w:tcW w:w="860" w:type="dxa"/>
            <w:tcBorders>
              <w:top w:val="nil"/>
              <w:left w:val="nil"/>
              <w:bottom w:val="single" w:sz="4" w:space="0" w:color="auto"/>
              <w:right w:val="single" w:sz="4" w:space="0" w:color="auto"/>
            </w:tcBorders>
            <w:shd w:val="clear" w:color="auto" w:fill="auto"/>
            <w:noWrap/>
            <w:vAlign w:val="center"/>
          </w:tcPr>
          <w:p w14:paraId="2B16C95D"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23</w:t>
            </w:r>
          </w:p>
        </w:tc>
        <w:tc>
          <w:tcPr>
            <w:tcW w:w="718" w:type="dxa"/>
            <w:tcBorders>
              <w:top w:val="nil"/>
              <w:left w:val="nil"/>
              <w:bottom w:val="single" w:sz="4" w:space="0" w:color="auto"/>
              <w:right w:val="single" w:sz="4" w:space="0" w:color="auto"/>
            </w:tcBorders>
            <w:shd w:val="clear" w:color="auto" w:fill="auto"/>
            <w:noWrap/>
            <w:vAlign w:val="center"/>
          </w:tcPr>
          <w:p w14:paraId="2437BA05"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w:t>
            </w:r>
          </w:p>
        </w:tc>
        <w:tc>
          <w:tcPr>
            <w:tcW w:w="861" w:type="dxa"/>
            <w:tcBorders>
              <w:top w:val="nil"/>
              <w:left w:val="nil"/>
              <w:bottom w:val="single" w:sz="4" w:space="0" w:color="auto"/>
              <w:right w:val="single" w:sz="4" w:space="0" w:color="auto"/>
            </w:tcBorders>
            <w:shd w:val="clear" w:color="auto" w:fill="auto"/>
            <w:noWrap/>
            <w:vAlign w:val="center"/>
          </w:tcPr>
          <w:p w14:paraId="08E8255D"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4CEE2891" w14:textId="77777777" w:rsidR="00B010E6" w:rsidRPr="001B4CA2" w:rsidRDefault="00B010E6" w:rsidP="00B010E6">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67971CF6" w14:textId="77777777" w:rsidR="00B010E6" w:rsidRPr="001B4CA2" w:rsidRDefault="00B010E6" w:rsidP="00B010E6">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2B3F04DA"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789" w:type="dxa"/>
            <w:tcBorders>
              <w:top w:val="nil"/>
              <w:left w:val="nil"/>
              <w:bottom w:val="single" w:sz="4" w:space="0" w:color="auto"/>
              <w:right w:val="single" w:sz="4" w:space="0" w:color="auto"/>
            </w:tcBorders>
            <w:shd w:val="clear" w:color="auto" w:fill="auto"/>
            <w:noWrap/>
            <w:vAlign w:val="center"/>
          </w:tcPr>
          <w:p w14:paraId="2BA9DFDC"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93</w:t>
            </w:r>
          </w:p>
        </w:tc>
        <w:tc>
          <w:tcPr>
            <w:tcW w:w="789" w:type="dxa"/>
            <w:tcBorders>
              <w:top w:val="nil"/>
              <w:left w:val="nil"/>
              <w:bottom w:val="single" w:sz="4" w:space="0" w:color="auto"/>
              <w:right w:val="single" w:sz="4" w:space="0" w:color="auto"/>
            </w:tcBorders>
            <w:shd w:val="clear" w:color="auto" w:fill="auto"/>
            <w:vAlign w:val="center"/>
          </w:tcPr>
          <w:p w14:paraId="2EFDCB65"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13</w:t>
            </w:r>
          </w:p>
        </w:tc>
        <w:tc>
          <w:tcPr>
            <w:tcW w:w="921" w:type="dxa"/>
            <w:tcBorders>
              <w:top w:val="nil"/>
              <w:left w:val="nil"/>
              <w:bottom w:val="single" w:sz="4" w:space="0" w:color="auto"/>
              <w:right w:val="single" w:sz="4" w:space="0" w:color="auto"/>
            </w:tcBorders>
            <w:vAlign w:val="center"/>
          </w:tcPr>
          <w:p w14:paraId="5970BEAD"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106</w:t>
            </w:r>
          </w:p>
        </w:tc>
      </w:tr>
      <w:tr w:rsidR="00B010E6" w:rsidRPr="001B4CA2" w14:paraId="3ED11A59"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920F"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regionalnog razvoja i fondova EU</w:t>
            </w:r>
          </w:p>
        </w:tc>
        <w:tc>
          <w:tcPr>
            <w:tcW w:w="730" w:type="dxa"/>
            <w:tcBorders>
              <w:top w:val="nil"/>
              <w:left w:val="nil"/>
              <w:bottom w:val="single" w:sz="4" w:space="0" w:color="auto"/>
              <w:right w:val="single" w:sz="4" w:space="0" w:color="auto"/>
            </w:tcBorders>
            <w:shd w:val="clear" w:color="auto" w:fill="auto"/>
            <w:noWrap/>
            <w:vAlign w:val="center"/>
          </w:tcPr>
          <w:p w14:paraId="23804DC6" w14:textId="77777777" w:rsidR="00B010E6" w:rsidRPr="001B4CA2" w:rsidRDefault="00B010E6" w:rsidP="00B010E6">
            <w:pPr>
              <w:jc w:val="center"/>
              <w:rPr>
                <w:rFonts w:ascii="Calibri" w:hAnsi="Calibri" w:cs="Calibri"/>
                <w:color w:val="000000"/>
                <w:sz w:val="20"/>
                <w:szCs w:val="20"/>
              </w:rPr>
            </w:pPr>
          </w:p>
        </w:tc>
        <w:tc>
          <w:tcPr>
            <w:tcW w:w="734" w:type="dxa"/>
            <w:tcBorders>
              <w:top w:val="nil"/>
              <w:left w:val="nil"/>
              <w:bottom w:val="single" w:sz="4" w:space="0" w:color="auto"/>
              <w:right w:val="single" w:sz="4" w:space="0" w:color="auto"/>
            </w:tcBorders>
            <w:shd w:val="clear" w:color="auto" w:fill="auto"/>
            <w:noWrap/>
            <w:vAlign w:val="center"/>
          </w:tcPr>
          <w:p w14:paraId="0C347661" w14:textId="77777777" w:rsidR="00B010E6" w:rsidRPr="001B4CA2" w:rsidRDefault="00B010E6" w:rsidP="00B010E6">
            <w:pPr>
              <w:jc w:val="center"/>
              <w:rPr>
                <w:rFonts w:ascii="Calibri" w:hAnsi="Calibri" w:cs="Calibri"/>
                <w:color w:val="000000"/>
                <w:sz w:val="20"/>
                <w:szCs w:val="20"/>
              </w:rPr>
            </w:pPr>
          </w:p>
        </w:tc>
        <w:tc>
          <w:tcPr>
            <w:tcW w:w="788" w:type="dxa"/>
            <w:tcBorders>
              <w:top w:val="nil"/>
              <w:left w:val="nil"/>
              <w:bottom w:val="single" w:sz="4" w:space="0" w:color="auto"/>
              <w:right w:val="single" w:sz="4" w:space="0" w:color="auto"/>
            </w:tcBorders>
            <w:shd w:val="clear" w:color="auto" w:fill="auto"/>
            <w:noWrap/>
            <w:vAlign w:val="center"/>
          </w:tcPr>
          <w:p w14:paraId="53AE2BB9" w14:textId="77777777" w:rsidR="00B010E6" w:rsidRPr="001B4CA2" w:rsidRDefault="00B010E6" w:rsidP="00B010E6">
            <w:pPr>
              <w:jc w:val="center"/>
              <w:rPr>
                <w:rFonts w:ascii="Calibri" w:hAnsi="Calibri" w:cs="Calibri"/>
                <w:color w:val="000000"/>
                <w:sz w:val="20"/>
                <w:szCs w:val="20"/>
              </w:rPr>
            </w:pPr>
          </w:p>
        </w:tc>
        <w:tc>
          <w:tcPr>
            <w:tcW w:w="733" w:type="dxa"/>
            <w:tcBorders>
              <w:top w:val="nil"/>
              <w:left w:val="nil"/>
              <w:bottom w:val="single" w:sz="4" w:space="0" w:color="auto"/>
              <w:right w:val="single" w:sz="4" w:space="0" w:color="auto"/>
            </w:tcBorders>
            <w:shd w:val="clear" w:color="auto" w:fill="auto"/>
            <w:noWrap/>
            <w:vAlign w:val="center"/>
          </w:tcPr>
          <w:p w14:paraId="5BD032CB" w14:textId="77777777" w:rsidR="00B010E6" w:rsidRPr="001B4CA2" w:rsidRDefault="00B010E6" w:rsidP="00B010E6">
            <w:pPr>
              <w:jc w:val="center"/>
              <w:rPr>
                <w:rFonts w:ascii="Calibri" w:hAnsi="Calibri" w:cs="Calibri"/>
                <w:color w:val="000000"/>
                <w:sz w:val="20"/>
                <w:szCs w:val="20"/>
              </w:rPr>
            </w:pPr>
          </w:p>
        </w:tc>
        <w:tc>
          <w:tcPr>
            <w:tcW w:w="860" w:type="dxa"/>
            <w:tcBorders>
              <w:top w:val="nil"/>
              <w:left w:val="nil"/>
              <w:bottom w:val="single" w:sz="4" w:space="0" w:color="auto"/>
              <w:right w:val="single" w:sz="4" w:space="0" w:color="auto"/>
            </w:tcBorders>
            <w:shd w:val="clear" w:color="auto" w:fill="auto"/>
            <w:noWrap/>
            <w:vAlign w:val="center"/>
          </w:tcPr>
          <w:p w14:paraId="5D3986BD" w14:textId="77777777" w:rsidR="00B010E6" w:rsidRPr="001B4CA2" w:rsidRDefault="00B010E6" w:rsidP="00B010E6">
            <w:pPr>
              <w:jc w:val="center"/>
              <w:rPr>
                <w:rFonts w:ascii="Calibri" w:hAnsi="Calibri" w:cs="Calibri"/>
                <w:color w:val="000000"/>
                <w:sz w:val="20"/>
                <w:szCs w:val="20"/>
              </w:rPr>
            </w:pPr>
          </w:p>
        </w:tc>
        <w:tc>
          <w:tcPr>
            <w:tcW w:w="718" w:type="dxa"/>
            <w:tcBorders>
              <w:top w:val="nil"/>
              <w:left w:val="nil"/>
              <w:bottom w:val="single" w:sz="4" w:space="0" w:color="auto"/>
              <w:right w:val="single" w:sz="4" w:space="0" w:color="auto"/>
            </w:tcBorders>
            <w:shd w:val="clear" w:color="auto" w:fill="auto"/>
            <w:noWrap/>
            <w:vAlign w:val="center"/>
          </w:tcPr>
          <w:p w14:paraId="02F2D735" w14:textId="77777777" w:rsidR="00B010E6" w:rsidRPr="001B4CA2" w:rsidRDefault="00B010E6" w:rsidP="00B010E6">
            <w:pPr>
              <w:jc w:val="center"/>
              <w:rPr>
                <w:rFonts w:ascii="Calibri" w:hAnsi="Calibri" w:cs="Calibri"/>
                <w:color w:val="000000"/>
                <w:sz w:val="20"/>
                <w:szCs w:val="20"/>
              </w:rPr>
            </w:pPr>
          </w:p>
        </w:tc>
        <w:tc>
          <w:tcPr>
            <w:tcW w:w="861" w:type="dxa"/>
            <w:tcBorders>
              <w:top w:val="nil"/>
              <w:left w:val="nil"/>
              <w:bottom w:val="single" w:sz="4" w:space="0" w:color="auto"/>
              <w:right w:val="single" w:sz="4" w:space="0" w:color="auto"/>
            </w:tcBorders>
            <w:shd w:val="clear" w:color="auto" w:fill="auto"/>
            <w:noWrap/>
            <w:vAlign w:val="center"/>
          </w:tcPr>
          <w:p w14:paraId="3936B7DD"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03386831"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716" w:type="dxa"/>
            <w:tcBorders>
              <w:top w:val="nil"/>
              <w:left w:val="nil"/>
              <w:bottom w:val="single" w:sz="4" w:space="0" w:color="auto"/>
              <w:right w:val="single" w:sz="4" w:space="0" w:color="auto"/>
            </w:tcBorders>
            <w:shd w:val="clear" w:color="auto" w:fill="auto"/>
            <w:noWrap/>
            <w:vAlign w:val="center"/>
          </w:tcPr>
          <w:p w14:paraId="2601CE2F" w14:textId="77777777" w:rsidR="00B010E6" w:rsidRPr="001B4CA2" w:rsidRDefault="00B010E6" w:rsidP="00B010E6">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2E4FA543"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789" w:type="dxa"/>
            <w:tcBorders>
              <w:top w:val="nil"/>
              <w:left w:val="nil"/>
              <w:bottom w:val="single" w:sz="4" w:space="0" w:color="auto"/>
              <w:right w:val="single" w:sz="4" w:space="0" w:color="auto"/>
            </w:tcBorders>
            <w:shd w:val="clear" w:color="auto" w:fill="auto"/>
            <w:noWrap/>
            <w:vAlign w:val="center"/>
          </w:tcPr>
          <w:p w14:paraId="4083D10F" w14:textId="77777777" w:rsidR="00B010E6" w:rsidRPr="001B4CA2" w:rsidRDefault="00B010E6" w:rsidP="00B010E6">
            <w:pPr>
              <w:jc w:val="center"/>
              <w:rPr>
                <w:rFonts w:ascii="Calibri" w:hAnsi="Calibri" w:cs="Calibri"/>
                <w:bCs/>
                <w:color w:val="000000"/>
                <w:sz w:val="22"/>
                <w:szCs w:val="22"/>
              </w:rPr>
            </w:pPr>
          </w:p>
        </w:tc>
        <w:tc>
          <w:tcPr>
            <w:tcW w:w="789" w:type="dxa"/>
            <w:tcBorders>
              <w:top w:val="nil"/>
              <w:left w:val="nil"/>
              <w:bottom w:val="single" w:sz="4" w:space="0" w:color="auto"/>
              <w:right w:val="single" w:sz="4" w:space="0" w:color="auto"/>
            </w:tcBorders>
            <w:shd w:val="clear" w:color="auto" w:fill="auto"/>
            <w:vAlign w:val="center"/>
          </w:tcPr>
          <w:p w14:paraId="1BF7FE80"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2</w:t>
            </w:r>
          </w:p>
        </w:tc>
        <w:tc>
          <w:tcPr>
            <w:tcW w:w="921" w:type="dxa"/>
            <w:tcBorders>
              <w:top w:val="nil"/>
              <w:left w:val="nil"/>
              <w:bottom w:val="single" w:sz="4" w:space="0" w:color="auto"/>
              <w:right w:val="single" w:sz="4" w:space="0" w:color="auto"/>
            </w:tcBorders>
            <w:vAlign w:val="center"/>
          </w:tcPr>
          <w:p w14:paraId="13EB2402"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2</w:t>
            </w:r>
          </w:p>
        </w:tc>
      </w:tr>
      <w:tr w:rsidR="00B010E6" w:rsidRPr="001B4CA2" w14:paraId="337A082D"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C95F4"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prostornoga uređenja, graditeljstva i državne imovine</w:t>
            </w:r>
          </w:p>
        </w:tc>
        <w:tc>
          <w:tcPr>
            <w:tcW w:w="730" w:type="dxa"/>
            <w:tcBorders>
              <w:top w:val="nil"/>
              <w:left w:val="nil"/>
              <w:bottom w:val="single" w:sz="4" w:space="0" w:color="auto"/>
              <w:right w:val="single" w:sz="4" w:space="0" w:color="auto"/>
            </w:tcBorders>
            <w:shd w:val="clear" w:color="auto" w:fill="auto"/>
            <w:noWrap/>
            <w:vAlign w:val="center"/>
          </w:tcPr>
          <w:p w14:paraId="6D41B8BC"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24</w:t>
            </w:r>
          </w:p>
        </w:tc>
        <w:tc>
          <w:tcPr>
            <w:tcW w:w="734" w:type="dxa"/>
            <w:tcBorders>
              <w:top w:val="nil"/>
              <w:left w:val="nil"/>
              <w:bottom w:val="single" w:sz="4" w:space="0" w:color="auto"/>
              <w:right w:val="single" w:sz="4" w:space="0" w:color="auto"/>
            </w:tcBorders>
            <w:shd w:val="clear" w:color="auto" w:fill="auto"/>
            <w:noWrap/>
            <w:vAlign w:val="center"/>
          </w:tcPr>
          <w:p w14:paraId="0D58F152"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1.195</w:t>
            </w:r>
          </w:p>
        </w:tc>
        <w:tc>
          <w:tcPr>
            <w:tcW w:w="788" w:type="dxa"/>
            <w:tcBorders>
              <w:top w:val="nil"/>
              <w:left w:val="nil"/>
              <w:bottom w:val="single" w:sz="4" w:space="0" w:color="auto"/>
              <w:right w:val="single" w:sz="4" w:space="0" w:color="auto"/>
            </w:tcBorders>
            <w:shd w:val="clear" w:color="auto" w:fill="auto"/>
            <w:noWrap/>
            <w:vAlign w:val="center"/>
          </w:tcPr>
          <w:p w14:paraId="282E955B"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31</w:t>
            </w:r>
          </w:p>
        </w:tc>
        <w:tc>
          <w:tcPr>
            <w:tcW w:w="733" w:type="dxa"/>
            <w:tcBorders>
              <w:top w:val="nil"/>
              <w:left w:val="nil"/>
              <w:bottom w:val="single" w:sz="4" w:space="0" w:color="auto"/>
              <w:right w:val="single" w:sz="4" w:space="0" w:color="auto"/>
            </w:tcBorders>
            <w:shd w:val="clear" w:color="auto" w:fill="auto"/>
            <w:noWrap/>
            <w:vAlign w:val="center"/>
          </w:tcPr>
          <w:p w14:paraId="1E24913D"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27</w:t>
            </w:r>
          </w:p>
        </w:tc>
        <w:tc>
          <w:tcPr>
            <w:tcW w:w="860" w:type="dxa"/>
            <w:tcBorders>
              <w:top w:val="nil"/>
              <w:left w:val="nil"/>
              <w:bottom w:val="single" w:sz="4" w:space="0" w:color="auto"/>
              <w:right w:val="single" w:sz="4" w:space="0" w:color="auto"/>
            </w:tcBorders>
            <w:shd w:val="clear" w:color="auto" w:fill="auto"/>
            <w:noWrap/>
            <w:vAlign w:val="center"/>
          </w:tcPr>
          <w:p w14:paraId="7BE48814"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w:t>
            </w:r>
          </w:p>
        </w:tc>
        <w:tc>
          <w:tcPr>
            <w:tcW w:w="718" w:type="dxa"/>
            <w:tcBorders>
              <w:top w:val="nil"/>
              <w:left w:val="nil"/>
              <w:bottom w:val="single" w:sz="4" w:space="0" w:color="auto"/>
              <w:right w:val="single" w:sz="4" w:space="0" w:color="auto"/>
            </w:tcBorders>
            <w:shd w:val="clear" w:color="auto" w:fill="auto"/>
            <w:noWrap/>
            <w:vAlign w:val="center"/>
          </w:tcPr>
          <w:p w14:paraId="09456CF1"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175</w:t>
            </w:r>
          </w:p>
        </w:tc>
        <w:tc>
          <w:tcPr>
            <w:tcW w:w="861" w:type="dxa"/>
            <w:tcBorders>
              <w:top w:val="nil"/>
              <w:left w:val="nil"/>
              <w:bottom w:val="single" w:sz="4" w:space="0" w:color="auto"/>
              <w:right w:val="single" w:sz="4" w:space="0" w:color="auto"/>
            </w:tcBorders>
            <w:shd w:val="clear" w:color="auto" w:fill="auto"/>
            <w:noWrap/>
            <w:vAlign w:val="center"/>
          </w:tcPr>
          <w:p w14:paraId="47710ED3"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5752941C"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716" w:type="dxa"/>
            <w:tcBorders>
              <w:top w:val="nil"/>
              <w:left w:val="nil"/>
              <w:bottom w:val="single" w:sz="4" w:space="0" w:color="auto"/>
              <w:right w:val="single" w:sz="4" w:space="0" w:color="auto"/>
            </w:tcBorders>
            <w:shd w:val="clear" w:color="auto" w:fill="auto"/>
            <w:noWrap/>
            <w:vAlign w:val="center"/>
          </w:tcPr>
          <w:p w14:paraId="1608DFC0"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719" w:type="dxa"/>
            <w:tcBorders>
              <w:top w:val="nil"/>
              <w:left w:val="nil"/>
              <w:bottom w:val="single" w:sz="4" w:space="0" w:color="auto"/>
              <w:right w:val="single" w:sz="4" w:space="0" w:color="auto"/>
            </w:tcBorders>
            <w:shd w:val="clear" w:color="auto" w:fill="auto"/>
            <w:noWrap/>
            <w:vAlign w:val="center"/>
          </w:tcPr>
          <w:p w14:paraId="6D7C799A"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5</w:t>
            </w:r>
          </w:p>
        </w:tc>
        <w:tc>
          <w:tcPr>
            <w:tcW w:w="789" w:type="dxa"/>
            <w:tcBorders>
              <w:top w:val="nil"/>
              <w:left w:val="nil"/>
              <w:bottom w:val="single" w:sz="4" w:space="0" w:color="auto"/>
              <w:right w:val="single" w:sz="4" w:space="0" w:color="auto"/>
            </w:tcBorders>
            <w:shd w:val="clear" w:color="auto" w:fill="auto"/>
            <w:noWrap/>
            <w:vAlign w:val="center"/>
          </w:tcPr>
          <w:p w14:paraId="5B51F344"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60</w:t>
            </w:r>
          </w:p>
        </w:tc>
        <w:tc>
          <w:tcPr>
            <w:tcW w:w="789" w:type="dxa"/>
            <w:tcBorders>
              <w:top w:val="nil"/>
              <w:left w:val="nil"/>
              <w:bottom w:val="single" w:sz="4" w:space="0" w:color="auto"/>
              <w:right w:val="single" w:sz="4" w:space="0" w:color="auto"/>
            </w:tcBorders>
            <w:shd w:val="clear" w:color="auto" w:fill="auto"/>
            <w:vAlign w:val="center"/>
          </w:tcPr>
          <w:p w14:paraId="71EE6E50"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1.403</w:t>
            </w:r>
          </w:p>
        </w:tc>
        <w:tc>
          <w:tcPr>
            <w:tcW w:w="921" w:type="dxa"/>
            <w:tcBorders>
              <w:top w:val="nil"/>
              <w:left w:val="nil"/>
              <w:bottom w:val="single" w:sz="4" w:space="0" w:color="auto"/>
              <w:right w:val="single" w:sz="4" w:space="0" w:color="auto"/>
            </w:tcBorders>
            <w:vAlign w:val="center"/>
          </w:tcPr>
          <w:p w14:paraId="630AE181"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1.463</w:t>
            </w:r>
          </w:p>
        </w:tc>
      </w:tr>
      <w:tr w:rsidR="00B010E6" w:rsidRPr="001B4CA2" w14:paraId="2D9020B0"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878EB"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unutarnjih poslova</w:t>
            </w:r>
          </w:p>
        </w:tc>
        <w:tc>
          <w:tcPr>
            <w:tcW w:w="730" w:type="dxa"/>
            <w:tcBorders>
              <w:top w:val="nil"/>
              <w:left w:val="nil"/>
              <w:bottom w:val="single" w:sz="4" w:space="0" w:color="auto"/>
              <w:right w:val="single" w:sz="4" w:space="0" w:color="auto"/>
            </w:tcBorders>
            <w:shd w:val="clear" w:color="auto" w:fill="auto"/>
            <w:noWrap/>
            <w:vAlign w:val="center"/>
          </w:tcPr>
          <w:p w14:paraId="5363AFA7"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734" w:type="dxa"/>
            <w:tcBorders>
              <w:top w:val="nil"/>
              <w:left w:val="nil"/>
              <w:bottom w:val="single" w:sz="4" w:space="0" w:color="auto"/>
              <w:right w:val="single" w:sz="4" w:space="0" w:color="auto"/>
            </w:tcBorders>
            <w:shd w:val="clear" w:color="auto" w:fill="auto"/>
            <w:noWrap/>
            <w:vAlign w:val="center"/>
          </w:tcPr>
          <w:p w14:paraId="3256833E"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center"/>
          </w:tcPr>
          <w:p w14:paraId="3BF5B8BE"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44</w:t>
            </w:r>
          </w:p>
        </w:tc>
        <w:tc>
          <w:tcPr>
            <w:tcW w:w="733" w:type="dxa"/>
            <w:tcBorders>
              <w:top w:val="nil"/>
              <w:left w:val="nil"/>
              <w:bottom w:val="single" w:sz="4" w:space="0" w:color="auto"/>
              <w:right w:val="single" w:sz="4" w:space="0" w:color="auto"/>
            </w:tcBorders>
            <w:shd w:val="clear" w:color="auto" w:fill="auto"/>
            <w:noWrap/>
            <w:vAlign w:val="center"/>
          </w:tcPr>
          <w:p w14:paraId="5CBD14FB"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10</w:t>
            </w:r>
          </w:p>
        </w:tc>
        <w:tc>
          <w:tcPr>
            <w:tcW w:w="860" w:type="dxa"/>
            <w:tcBorders>
              <w:top w:val="nil"/>
              <w:left w:val="nil"/>
              <w:bottom w:val="single" w:sz="4" w:space="0" w:color="auto"/>
              <w:right w:val="single" w:sz="4" w:space="0" w:color="auto"/>
            </w:tcBorders>
            <w:shd w:val="clear" w:color="auto" w:fill="auto"/>
            <w:noWrap/>
            <w:vAlign w:val="center"/>
          </w:tcPr>
          <w:p w14:paraId="5CDAD7B8"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32</w:t>
            </w:r>
          </w:p>
        </w:tc>
        <w:tc>
          <w:tcPr>
            <w:tcW w:w="718" w:type="dxa"/>
            <w:tcBorders>
              <w:top w:val="nil"/>
              <w:left w:val="nil"/>
              <w:bottom w:val="single" w:sz="4" w:space="0" w:color="auto"/>
              <w:right w:val="single" w:sz="4" w:space="0" w:color="auto"/>
            </w:tcBorders>
            <w:shd w:val="clear" w:color="auto" w:fill="auto"/>
            <w:noWrap/>
            <w:vAlign w:val="center"/>
          </w:tcPr>
          <w:p w14:paraId="52929552"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56</w:t>
            </w:r>
          </w:p>
        </w:tc>
        <w:tc>
          <w:tcPr>
            <w:tcW w:w="861" w:type="dxa"/>
            <w:tcBorders>
              <w:top w:val="nil"/>
              <w:left w:val="nil"/>
              <w:bottom w:val="single" w:sz="4" w:space="0" w:color="auto"/>
              <w:right w:val="single" w:sz="4" w:space="0" w:color="auto"/>
            </w:tcBorders>
            <w:shd w:val="clear" w:color="auto" w:fill="auto"/>
            <w:noWrap/>
            <w:vAlign w:val="center"/>
          </w:tcPr>
          <w:p w14:paraId="5C773EB5"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5</w:t>
            </w:r>
          </w:p>
        </w:tc>
        <w:tc>
          <w:tcPr>
            <w:tcW w:w="861" w:type="dxa"/>
            <w:tcBorders>
              <w:top w:val="nil"/>
              <w:left w:val="nil"/>
              <w:bottom w:val="single" w:sz="4" w:space="0" w:color="auto"/>
              <w:right w:val="single" w:sz="4" w:space="0" w:color="auto"/>
            </w:tcBorders>
            <w:shd w:val="clear" w:color="auto" w:fill="auto"/>
            <w:noWrap/>
            <w:vAlign w:val="center"/>
          </w:tcPr>
          <w:p w14:paraId="65AD9060"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642</w:t>
            </w:r>
          </w:p>
        </w:tc>
        <w:tc>
          <w:tcPr>
            <w:tcW w:w="716" w:type="dxa"/>
            <w:tcBorders>
              <w:top w:val="nil"/>
              <w:left w:val="nil"/>
              <w:bottom w:val="single" w:sz="4" w:space="0" w:color="auto"/>
              <w:right w:val="single" w:sz="4" w:space="0" w:color="auto"/>
            </w:tcBorders>
            <w:shd w:val="clear" w:color="auto" w:fill="auto"/>
            <w:noWrap/>
            <w:vAlign w:val="center"/>
          </w:tcPr>
          <w:p w14:paraId="4E889EEC"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719" w:type="dxa"/>
            <w:tcBorders>
              <w:top w:val="nil"/>
              <w:left w:val="nil"/>
              <w:bottom w:val="single" w:sz="4" w:space="0" w:color="auto"/>
              <w:right w:val="single" w:sz="4" w:space="0" w:color="auto"/>
            </w:tcBorders>
            <w:shd w:val="clear" w:color="auto" w:fill="auto"/>
            <w:noWrap/>
            <w:vAlign w:val="center"/>
          </w:tcPr>
          <w:p w14:paraId="6A459AB9"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6</w:t>
            </w:r>
          </w:p>
        </w:tc>
        <w:tc>
          <w:tcPr>
            <w:tcW w:w="789" w:type="dxa"/>
            <w:tcBorders>
              <w:top w:val="nil"/>
              <w:left w:val="nil"/>
              <w:bottom w:val="single" w:sz="4" w:space="0" w:color="auto"/>
              <w:right w:val="single" w:sz="4" w:space="0" w:color="auto"/>
            </w:tcBorders>
            <w:shd w:val="clear" w:color="auto" w:fill="auto"/>
            <w:noWrap/>
            <w:vAlign w:val="center"/>
          </w:tcPr>
          <w:p w14:paraId="0B4DA6FE"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83</w:t>
            </w:r>
          </w:p>
        </w:tc>
        <w:tc>
          <w:tcPr>
            <w:tcW w:w="789" w:type="dxa"/>
            <w:tcBorders>
              <w:top w:val="nil"/>
              <w:left w:val="nil"/>
              <w:bottom w:val="single" w:sz="4" w:space="0" w:color="auto"/>
              <w:right w:val="single" w:sz="4" w:space="0" w:color="auto"/>
            </w:tcBorders>
            <w:shd w:val="clear" w:color="auto" w:fill="auto"/>
            <w:vAlign w:val="center"/>
          </w:tcPr>
          <w:p w14:paraId="3D0C1472"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718</w:t>
            </w:r>
          </w:p>
        </w:tc>
        <w:tc>
          <w:tcPr>
            <w:tcW w:w="921" w:type="dxa"/>
            <w:tcBorders>
              <w:top w:val="nil"/>
              <w:left w:val="nil"/>
              <w:bottom w:val="single" w:sz="4" w:space="0" w:color="auto"/>
              <w:right w:val="single" w:sz="4" w:space="0" w:color="auto"/>
            </w:tcBorders>
            <w:vAlign w:val="center"/>
          </w:tcPr>
          <w:p w14:paraId="13793FC5"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801</w:t>
            </w:r>
          </w:p>
        </w:tc>
      </w:tr>
      <w:tr w:rsidR="00B010E6" w:rsidRPr="001B4CA2" w14:paraId="0993AA9C" w14:textId="77777777" w:rsidTr="00FC6656">
        <w:trPr>
          <w:trHeight w:hRule="exact" w:val="440"/>
          <w:jc w:val="center"/>
        </w:trPr>
        <w:tc>
          <w:tcPr>
            <w:tcW w:w="5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2DBA7"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rada, mirovinskoga sustava, obitelji i socijalne politike</w:t>
            </w:r>
          </w:p>
        </w:tc>
        <w:tc>
          <w:tcPr>
            <w:tcW w:w="730" w:type="dxa"/>
            <w:tcBorders>
              <w:top w:val="nil"/>
              <w:left w:val="nil"/>
              <w:bottom w:val="single" w:sz="4" w:space="0" w:color="auto"/>
              <w:right w:val="single" w:sz="4" w:space="0" w:color="auto"/>
            </w:tcBorders>
            <w:shd w:val="clear" w:color="auto" w:fill="auto"/>
            <w:noWrap/>
            <w:vAlign w:val="center"/>
          </w:tcPr>
          <w:p w14:paraId="58F155BB" w14:textId="77777777" w:rsidR="00B010E6" w:rsidRPr="001B4CA2" w:rsidRDefault="00B010E6" w:rsidP="00B010E6">
            <w:pPr>
              <w:jc w:val="center"/>
              <w:rPr>
                <w:rFonts w:ascii="Calibri" w:hAnsi="Calibri" w:cs="Calibri"/>
                <w:color w:val="000000"/>
                <w:sz w:val="20"/>
                <w:szCs w:val="20"/>
              </w:rPr>
            </w:pPr>
          </w:p>
        </w:tc>
        <w:tc>
          <w:tcPr>
            <w:tcW w:w="734" w:type="dxa"/>
            <w:tcBorders>
              <w:top w:val="nil"/>
              <w:left w:val="nil"/>
              <w:bottom w:val="single" w:sz="4" w:space="0" w:color="auto"/>
              <w:right w:val="single" w:sz="4" w:space="0" w:color="auto"/>
            </w:tcBorders>
            <w:shd w:val="clear" w:color="auto" w:fill="auto"/>
            <w:noWrap/>
            <w:vAlign w:val="center"/>
          </w:tcPr>
          <w:p w14:paraId="3D72CC63"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7</w:t>
            </w:r>
          </w:p>
        </w:tc>
        <w:tc>
          <w:tcPr>
            <w:tcW w:w="788" w:type="dxa"/>
            <w:tcBorders>
              <w:top w:val="nil"/>
              <w:left w:val="nil"/>
              <w:bottom w:val="single" w:sz="4" w:space="0" w:color="auto"/>
              <w:right w:val="single" w:sz="4" w:space="0" w:color="auto"/>
            </w:tcBorders>
            <w:shd w:val="clear" w:color="auto" w:fill="auto"/>
            <w:noWrap/>
            <w:vAlign w:val="center"/>
          </w:tcPr>
          <w:p w14:paraId="7817C98E"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38</w:t>
            </w:r>
          </w:p>
        </w:tc>
        <w:tc>
          <w:tcPr>
            <w:tcW w:w="733" w:type="dxa"/>
            <w:tcBorders>
              <w:top w:val="nil"/>
              <w:left w:val="nil"/>
              <w:bottom w:val="single" w:sz="4" w:space="0" w:color="auto"/>
              <w:right w:val="single" w:sz="4" w:space="0" w:color="auto"/>
            </w:tcBorders>
            <w:shd w:val="clear" w:color="auto" w:fill="auto"/>
            <w:noWrap/>
            <w:vAlign w:val="center"/>
          </w:tcPr>
          <w:p w14:paraId="439C3363"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w:t>
            </w:r>
          </w:p>
        </w:tc>
        <w:tc>
          <w:tcPr>
            <w:tcW w:w="860" w:type="dxa"/>
            <w:tcBorders>
              <w:top w:val="nil"/>
              <w:left w:val="nil"/>
              <w:bottom w:val="single" w:sz="4" w:space="0" w:color="auto"/>
              <w:right w:val="single" w:sz="4" w:space="0" w:color="auto"/>
            </w:tcBorders>
            <w:shd w:val="clear" w:color="auto" w:fill="auto"/>
            <w:noWrap/>
            <w:vAlign w:val="center"/>
          </w:tcPr>
          <w:p w14:paraId="5A6C3EE5"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130</w:t>
            </w:r>
          </w:p>
        </w:tc>
        <w:tc>
          <w:tcPr>
            <w:tcW w:w="718" w:type="dxa"/>
            <w:tcBorders>
              <w:top w:val="nil"/>
              <w:left w:val="nil"/>
              <w:bottom w:val="single" w:sz="4" w:space="0" w:color="auto"/>
              <w:right w:val="single" w:sz="4" w:space="0" w:color="auto"/>
            </w:tcBorders>
            <w:shd w:val="clear" w:color="auto" w:fill="auto"/>
            <w:noWrap/>
            <w:vAlign w:val="center"/>
          </w:tcPr>
          <w:p w14:paraId="05B5C08B"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w:t>
            </w:r>
          </w:p>
        </w:tc>
        <w:tc>
          <w:tcPr>
            <w:tcW w:w="861" w:type="dxa"/>
            <w:tcBorders>
              <w:top w:val="nil"/>
              <w:left w:val="nil"/>
              <w:bottom w:val="single" w:sz="4" w:space="0" w:color="auto"/>
              <w:right w:val="single" w:sz="4" w:space="0" w:color="auto"/>
            </w:tcBorders>
            <w:shd w:val="clear" w:color="auto" w:fill="auto"/>
            <w:noWrap/>
            <w:vAlign w:val="center"/>
          </w:tcPr>
          <w:p w14:paraId="28A856CF"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5D171385" w14:textId="77777777" w:rsidR="00B010E6" w:rsidRPr="001B4CA2" w:rsidRDefault="00B010E6" w:rsidP="00B010E6">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5954CABA" w14:textId="77777777" w:rsidR="00B010E6" w:rsidRPr="001B4CA2" w:rsidRDefault="00B010E6" w:rsidP="00B010E6">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24F2339D" w14:textId="77777777" w:rsidR="00B010E6" w:rsidRPr="001B4CA2" w:rsidRDefault="00B010E6" w:rsidP="00B010E6">
            <w:pPr>
              <w:jc w:val="center"/>
              <w:rPr>
                <w:rFonts w:ascii="Calibri" w:hAnsi="Calibri" w:cs="Calibri"/>
                <w:color w:val="000000"/>
                <w:sz w:val="22"/>
                <w:szCs w:val="22"/>
              </w:rPr>
            </w:pPr>
          </w:p>
        </w:tc>
        <w:tc>
          <w:tcPr>
            <w:tcW w:w="789" w:type="dxa"/>
            <w:tcBorders>
              <w:top w:val="nil"/>
              <w:left w:val="nil"/>
              <w:bottom w:val="single" w:sz="4" w:space="0" w:color="auto"/>
              <w:right w:val="single" w:sz="4" w:space="0" w:color="auto"/>
            </w:tcBorders>
            <w:shd w:val="clear" w:color="auto" w:fill="auto"/>
            <w:noWrap/>
            <w:vAlign w:val="center"/>
          </w:tcPr>
          <w:p w14:paraId="7AB2D30A"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168</w:t>
            </w:r>
          </w:p>
        </w:tc>
        <w:tc>
          <w:tcPr>
            <w:tcW w:w="789" w:type="dxa"/>
            <w:tcBorders>
              <w:top w:val="nil"/>
              <w:left w:val="nil"/>
              <w:bottom w:val="single" w:sz="4" w:space="0" w:color="auto"/>
              <w:right w:val="single" w:sz="4" w:space="0" w:color="auto"/>
            </w:tcBorders>
            <w:shd w:val="clear" w:color="auto" w:fill="auto"/>
            <w:vAlign w:val="center"/>
          </w:tcPr>
          <w:p w14:paraId="39573200"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12</w:t>
            </w:r>
          </w:p>
        </w:tc>
        <w:tc>
          <w:tcPr>
            <w:tcW w:w="921" w:type="dxa"/>
            <w:tcBorders>
              <w:top w:val="nil"/>
              <w:left w:val="nil"/>
              <w:bottom w:val="single" w:sz="4" w:space="0" w:color="auto"/>
              <w:right w:val="single" w:sz="4" w:space="0" w:color="auto"/>
            </w:tcBorders>
            <w:vAlign w:val="center"/>
          </w:tcPr>
          <w:p w14:paraId="6125FE25"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180</w:t>
            </w:r>
          </w:p>
        </w:tc>
      </w:tr>
      <w:tr w:rsidR="00B010E6" w:rsidRPr="001B4CA2" w14:paraId="50FE41FC"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4DBFF"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financija</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32787764"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5289022F"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20</w:t>
            </w:r>
          </w:p>
        </w:tc>
        <w:tc>
          <w:tcPr>
            <w:tcW w:w="788" w:type="dxa"/>
            <w:tcBorders>
              <w:top w:val="single" w:sz="4" w:space="0" w:color="auto"/>
              <w:left w:val="nil"/>
              <w:bottom w:val="single" w:sz="4" w:space="0" w:color="auto"/>
              <w:right w:val="single" w:sz="4" w:space="0" w:color="auto"/>
            </w:tcBorders>
            <w:shd w:val="clear" w:color="auto" w:fill="auto"/>
            <w:noWrap/>
            <w:vAlign w:val="center"/>
          </w:tcPr>
          <w:p w14:paraId="6D2595A8"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13</w:t>
            </w:r>
          </w:p>
        </w:tc>
        <w:tc>
          <w:tcPr>
            <w:tcW w:w="733" w:type="dxa"/>
            <w:tcBorders>
              <w:top w:val="single" w:sz="4" w:space="0" w:color="auto"/>
              <w:left w:val="nil"/>
              <w:bottom w:val="single" w:sz="4" w:space="0" w:color="auto"/>
              <w:right w:val="single" w:sz="4" w:space="0" w:color="auto"/>
            </w:tcBorders>
            <w:shd w:val="clear" w:color="auto" w:fill="auto"/>
            <w:noWrap/>
            <w:vAlign w:val="center"/>
          </w:tcPr>
          <w:p w14:paraId="55EB489D"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28</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3E4D8F2B"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07A402F"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11</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2CFD2391" w14:textId="77777777" w:rsidR="00B010E6" w:rsidRPr="001B4CA2" w:rsidRDefault="00B010E6" w:rsidP="00B010E6">
            <w:pPr>
              <w:jc w:val="center"/>
              <w:rPr>
                <w:rFonts w:ascii="Calibri" w:hAnsi="Calibri" w:cs="Calibri"/>
                <w:color w:val="000000"/>
                <w:sz w:val="22"/>
                <w:szCs w:val="22"/>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064A3903"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23</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6879D891" w14:textId="77777777" w:rsidR="00B010E6" w:rsidRPr="001B4CA2" w:rsidRDefault="00B010E6" w:rsidP="00B010E6">
            <w:pPr>
              <w:jc w:val="center"/>
              <w:rPr>
                <w:rFonts w:ascii="Calibri" w:hAnsi="Calibri" w:cs="Calibri"/>
                <w:color w:val="000000"/>
                <w:sz w:val="22"/>
                <w:szCs w:val="22"/>
              </w:rPr>
            </w:pP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25762086"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11</w:t>
            </w:r>
          </w:p>
        </w:tc>
        <w:tc>
          <w:tcPr>
            <w:tcW w:w="789" w:type="dxa"/>
            <w:tcBorders>
              <w:top w:val="single" w:sz="4" w:space="0" w:color="auto"/>
              <w:left w:val="nil"/>
              <w:bottom w:val="single" w:sz="4" w:space="0" w:color="auto"/>
              <w:right w:val="single" w:sz="4" w:space="0" w:color="auto"/>
            </w:tcBorders>
            <w:shd w:val="clear" w:color="auto" w:fill="auto"/>
            <w:noWrap/>
            <w:vAlign w:val="center"/>
          </w:tcPr>
          <w:p w14:paraId="3FCA7318"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15</w:t>
            </w:r>
          </w:p>
        </w:tc>
        <w:tc>
          <w:tcPr>
            <w:tcW w:w="789" w:type="dxa"/>
            <w:tcBorders>
              <w:top w:val="single" w:sz="4" w:space="0" w:color="auto"/>
              <w:left w:val="nil"/>
              <w:bottom w:val="single" w:sz="4" w:space="0" w:color="auto"/>
              <w:right w:val="single" w:sz="4" w:space="0" w:color="auto"/>
            </w:tcBorders>
            <w:shd w:val="clear" w:color="auto" w:fill="auto"/>
            <w:vAlign w:val="center"/>
          </w:tcPr>
          <w:p w14:paraId="54AE4552"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93</w:t>
            </w:r>
          </w:p>
        </w:tc>
        <w:tc>
          <w:tcPr>
            <w:tcW w:w="921" w:type="dxa"/>
            <w:tcBorders>
              <w:top w:val="single" w:sz="4" w:space="0" w:color="auto"/>
              <w:left w:val="nil"/>
              <w:bottom w:val="single" w:sz="4" w:space="0" w:color="auto"/>
              <w:right w:val="single" w:sz="4" w:space="0" w:color="auto"/>
            </w:tcBorders>
            <w:vAlign w:val="center"/>
          </w:tcPr>
          <w:p w14:paraId="3CA64051"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108</w:t>
            </w:r>
          </w:p>
        </w:tc>
      </w:tr>
      <w:tr w:rsidR="00B010E6" w:rsidRPr="001B4CA2" w14:paraId="4381BDBB"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6433A"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gospodarstva i održivog razvoja</w:t>
            </w:r>
          </w:p>
        </w:tc>
        <w:tc>
          <w:tcPr>
            <w:tcW w:w="730" w:type="dxa"/>
            <w:tcBorders>
              <w:top w:val="nil"/>
              <w:left w:val="nil"/>
              <w:bottom w:val="single" w:sz="4" w:space="0" w:color="auto"/>
              <w:right w:val="single" w:sz="4" w:space="0" w:color="auto"/>
            </w:tcBorders>
            <w:shd w:val="clear" w:color="auto" w:fill="auto"/>
            <w:noWrap/>
            <w:vAlign w:val="center"/>
          </w:tcPr>
          <w:p w14:paraId="4DBDEA60"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w:t>
            </w:r>
          </w:p>
        </w:tc>
        <w:tc>
          <w:tcPr>
            <w:tcW w:w="734" w:type="dxa"/>
            <w:tcBorders>
              <w:top w:val="nil"/>
              <w:left w:val="nil"/>
              <w:bottom w:val="single" w:sz="4" w:space="0" w:color="auto"/>
              <w:right w:val="single" w:sz="4" w:space="0" w:color="auto"/>
            </w:tcBorders>
            <w:shd w:val="clear" w:color="auto" w:fill="auto"/>
            <w:noWrap/>
            <w:vAlign w:val="center"/>
          </w:tcPr>
          <w:p w14:paraId="09D54AB5"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6</w:t>
            </w:r>
          </w:p>
        </w:tc>
        <w:tc>
          <w:tcPr>
            <w:tcW w:w="788" w:type="dxa"/>
            <w:tcBorders>
              <w:top w:val="nil"/>
              <w:left w:val="nil"/>
              <w:bottom w:val="single" w:sz="4" w:space="0" w:color="auto"/>
              <w:right w:val="single" w:sz="4" w:space="0" w:color="auto"/>
            </w:tcBorders>
            <w:shd w:val="clear" w:color="auto" w:fill="auto"/>
            <w:noWrap/>
            <w:vAlign w:val="center"/>
          </w:tcPr>
          <w:p w14:paraId="569FAF76"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11</w:t>
            </w:r>
          </w:p>
        </w:tc>
        <w:tc>
          <w:tcPr>
            <w:tcW w:w="733" w:type="dxa"/>
            <w:tcBorders>
              <w:top w:val="nil"/>
              <w:left w:val="nil"/>
              <w:bottom w:val="single" w:sz="4" w:space="0" w:color="auto"/>
              <w:right w:val="single" w:sz="4" w:space="0" w:color="auto"/>
            </w:tcBorders>
            <w:shd w:val="clear" w:color="auto" w:fill="auto"/>
            <w:noWrap/>
            <w:vAlign w:val="center"/>
          </w:tcPr>
          <w:p w14:paraId="471B1410"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860" w:type="dxa"/>
            <w:tcBorders>
              <w:top w:val="nil"/>
              <w:left w:val="nil"/>
              <w:bottom w:val="single" w:sz="4" w:space="0" w:color="auto"/>
              <w:right w:val="single" w:sz="4" w:space="0" w:color="auto"/>
            </w:tcBorders>
            <w:shd w:val="clear" w:color="auto" w:fill="auto"/>
            <w:noWrap/>
            <w:vAlign w:val="center"/>
          </w:tcPr>
          <w:p w14:paraId="74DD8D9D"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w:t>
            </w:r>
          </w:p>
        </w:tc>
        <w:tc>
          <w:tcPr>
            <w:tcW w:w="718" w:type="dxa"/>
            <w:tcBorders>
              <w:top w:val="nil"/>
              <w:left w:val="nil"/>
              <w:bottom w:val="single" w:sz="4" w:space="0" w:color="auto"/>
              <w:right w:val="single" w:sz="4" w:space="0" w:color="auto"/>
            </w:tcBorders>
            <w:shd w:val="clear" w:color="auto" w:fill="auto"/>
            <w:noWrap/>
            <w:vAlign w:val="center"/>
          </w:tcPr>
          <w:p w14:paraId="728EBE23"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w:t>
            </w:r>
          </w:p>
        </w:tc>
        <w:tc>
          <w:tcPr>
            <w:tcW w:w="861" w:type="dxa"/>
            <w:tcBorders>
              <w:top w:val="nil"/>
              <w:left w:val="nil"/>
              <w:bottom w:val="single" w:sz="4" w:space="0" w:color="auto"/>
              <w:right w:val="single" w:sz="4" w:space="0" w:color="auto"/>
            </w:tcBorders>
            <w:shd w:val="clear" w:color="auto" w:fill="auto"/>
            <w:noWrap/>
            <w:vAlign w:val="center"/>
          </w:tcPr>
          <w:p w14:paraId="69213987"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3AA8D0C7"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716" w:type="dxa"/>
            <w:tcBorders>
              <w:top w:val="nil"/>
              <w:left w:val="nil"/>
              <w:bottom w:val="single" w:sz="4" w:space="0" w:color="auto"/>
              <w:right w:val="single" w:sz="4" w:space="0" w:color="auto"/>
            </w:tcBorders>
            <w:shd w:val="clear" w:color="auto" w:fill="auto"/>
            <w:noWrap/>
            <w:vAlign w:val="center"/>
          </w:tcPr>
          <w:p w14:paraId="795E28DF" w14:textId="77777777" w:rsidR="00B010E6" w:rsidRPr="001B4CA2" w:rsidRDefault="00B010E6" w:rsidP="00B010E6">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2C52F743" w14:textId="77777777" w:rsidR="00B010E6" w:rsidRPr="001B4CA2" w:rsidRDefault="00B010E6" w:rsidP="00B010E6">
            <w:pPr>
              <w:jc w:val="center"/>
              <w:rPr>
                <w:rFonts w:ascii="Calibri" w:hAnsi="Calibri" w:cs="Calibri"/>
                <w:color w:val="000000"/>
                <w:sz w:val="22"/>
                <w:szCs w:val="22"/>
              </w:rPr>
            </w:pPr>
          </w:p>
        </w:tc>
        <w:tc>
          <w:tcPr>
            <w:tcW w:w="789" w:type="dxa"/>
            <w:tcBorders>
              <w:top w:val="nil"/>
              <w:left w:val="nil"/>
              <w:bottom w:val="single" w:sz="4" w:space="0" w:color="auto"/>
              <w:right w:val="single" w:sz="4" w:space="0" w:color="auto"/>
            </w:tcBorders>
            <w:shd w:val="clear" w:color="auto" w:fill="auto"/>
            <w:noWrap/>
            <w:vAlign w:val="center"/>
          </w:tcPr>
          <w:p w14:paraId="05E48FBF"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17</w:t>
            </w:r>
          </w:p>
        </w:tc>
        <w:tc>
          <w:tcPr>
            <w:tcW w:w="789" w:type="dxa"/>
            <w:tcBorders>
              <w:top w:val="nil"/>
              <w:left w:val="nil"/>
              <w:bottom w:val="single" w:sz="4" w:space="0" w:color="auto"/>
              <w:right w:val="single" w:sz="4" w:space="0" w:color="auto"/>
            </w:tcBorders>
            <w:shd w:val="clear" w:color="auto" w:fill="auto"/>
            <w:vAlign w:val="center"/>
          </w:tcPr>
          <w:p w14:paraId="2C6B5407"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12</w:t>
            </w:r>
          </w:p>
        </w:tc>
        <w:tc>
          <w:tcPr>
            <w:tcW w:w="921" w:type="dxa"/>
            <w:tcBorders>
              <w:top w:val="nil"/>
              <w:left w:val="nil"/>
              <w:bottom w:val="single" w:sz="4" w:space="0" w:color="auto"/>
              <w:right w:val="single" w:sz="4" w:space="0" w:color="auto"/>
            </w:tcBorders>
            <w:vAlign w:val="center"/>
          </w:tcPr>
          <w:p w14:paraId="2C834884"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29</w:t>
            </w:r>
          </w:p>
        </w:tc>
      </w:tr>
      <w:tr w:rsidR="00B010E6" w:rsidRPr="001B4CA2" w14:paraId="3D96E751"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8773D"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obrane</w:t>
            </w:r>
          </w:p>
        </w:tc>
        <w:tc>
          <w:tcPr>
            <w:tcW w:w="730" w:type="dxa"/>
            <w:tcBorders>
              <w:top w:val="nil"/>
              <w:left w:val="nil"/>
              <w:bottom w:val="single" w:sz="4" w:space="0" w:color="auto"/>
              <w:right w:val="single" w:sz="4" w:space="0" w:color="auto"/>
            </w:tcBorders>
            <w:shd w:val="clear" w:color="auto" w:fill="auto"/>
            <w:noWrap/>
            <w:vAlign w:val="center"/>
          </w:tcPr>
          <w:p w14:paraId="53E343DD"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10</w:t>
            </w:r>
          </w:p>
        </w:tc>
        <w:tc>
          <w:tcPr>
            <w:tcW w:w="734" w:type="dxa"/>
            <w:tcBorders>
              <w:top w:val="nil"/>
              <w:left w:val="nil"/>
              <w:bottom w:val="single" w:sz="4" w:space="0" w:color="auto"/>
              <w:right w:val="single" w:sz="4" w:space="0" w:color="auto"/>
            </w:tcBorders>
            <w:shd w:val="clear" w:color="auto" w:fill="auto"/>
            <w:noWrap/>
            <w:vAlign w:val="center"/>
          </w:tcPr>
          <w:p w14:paraId="50AF53EB"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10</w:t>
            </w:r>
          </w:p>
        </w:tc>
        <w:tc>
          <w:tcPr>
            <w:tcW w:w="788" w:type="dxa"/>
            <w:tcBorders>
              <w:top w:val="nil"/>
              <w:left w:val="nil"/>
              <w:bottom w:val="single" w:sz="4" w:space="0" w:color="auto"/>
              <w:right w:val="single" w:sz="4" w:space="0" w:color="auto"/>
            </w:tcBorders>
            <w:shd w:val="clear" w:color="auto" w:fill="auto"/>
            <w:noWrap/>
            <w:vAlign w:val="center"/>
          </w:tcPr>
          <w:p w14:paraId="71334804"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79</w:t>
            </w:r>
          </w:p>
        </w:tc>
        <w:tc>
          <w:tcPr>
            <w:tcW w:w="733" w:type="dxa"/>
            <w:tcBorders>
              <w:top w:val="nil"/>
              <w:left w:val="nil"/>
              <w:bottom w:val="single" w:sz="4" w:space="0" w:color="auto"/>
              <w:right w:val="single" w:sz="4" w:space="0" w:color="auto"/>
            </w:tcBorders>
            <w:shd w:val="clear" w:color="auto" w:fill="auto"/>
            <w:noWrap/>
            <w:vAlign w:val="center"/>
          </w:tcPr>
          <w:p w14:paraId="575EC600"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8</w:t>
            </w:r>
          </w:p>
        </w:tc>
        <w:tc>
          <w:tcPr>
            <w:tcW w:w="860" w:type="dxa"/>
            <w:tcBorders>
              <w:top w:val="nil"/>
              <w:left w:val="nil"/>
              <w:bottom w:val="single" w:sz="4" w:space="0" w:color="auto"/>
              <w:right w:val="single" w:sz="4" w:space="0" w:color="auto"/>
            </w:tcBorders>
            <w:shd w:val="clear" w:color="auto" w:fill="auto"/>
            <w:noWrap/>
            <w:vAlign w:val="center"/>
          </w:tcPr>
          <w:p w14:paraId="69DED446"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38</w:t>
            </w:r>
          </w:p>
        </w:tc>
        <w:tc>
          <w:tcPr>
            <w:tcW w:w="718" w:type="dxa"/>
            <w:tcBorders>
              <w:top w:val="nil"/>
              <w:left w:val="nil"/>
              <w:bottom w:val="single" w:sz="4" w:space="0" w:color="auto"/>
              <w:right w:val="single" w:sz="4" w:space="0" w:color="auto"/>
            </w:tcBorders>
            <w:shd w:val="clear" w:color="auto" w:fill="auto"/>
            <w:noWrap/>
            <w:vAlign w:val="center"/>
          </w:tcPr>
          <w:p w14:paraId="24827F50"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48</w:t>
            </w:r>
          </w:p>
        </w:tc>
        <w:tc>
          <w:tcPr>
            <w:tcW w:w="861" w:type="dxa"/>
            <w:tcBorders>
              <w:top w:val="nil"/>
              <w:left w:val="nil"/>
              <w:bottom w:val="single" w:sz="4" w:space="0" w:color="auto"/>
              <w:right w:val="single" w:sz="4" w:space="0" w:color="auto"/>
            </w:tcBorders>
            <w:shd w:val="clear" w:color="auto" w:fill="auto"/>
            <w:noWrap/>
            <w:vAlign w:val="center"/>
          </w:tcPr>
          <w:p w14:paraId="3D5AD988"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3</w:t>
            </w:r>
          </w:p>
        </w:tc>
        <w:tc>
          <w:tcPr>
            <w:tcW w:w="861" w:type="dxa"/>
            <w:tcBorders>
              <w:top w:val="nil"/>
              <w:left w:val="nil"/>
              <w:bottom w:val="single" w:sz="4" w:space="0" w:color="auto"/>
              <w:right w:val="single" w:sz="4" w:space="0" w:color="auto"/>
            </w:tcBorders>
            <w:shd w:val="clear" w:color="auto" w:fill="auto"/>
            <w:noWrap/>
            <w:vAlign w:val="center"/>
          </w:tcPr>
          <w:p w14:paraId="61581C75"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127</w:t>
            </w:r>
          </w:p>
        </w:tc>
        <w:tc>
          <w:tcPr>
            <w:tcW w:w="716" w:type="dxa"/>
            <w:tcBorders>
              <w:top w:val="nil"/>
              <w:left w:val="nil"/>
              <w:bottom w:val="single" w:sz="4" w:space="0" w:color="auto"/>
              <w:right w:val="single" w:sz="4" w:space="0" w:color="auto"/>
            </w:tcBorders>
            <w:shd w:val="clear" w:color="auto" w:fill="auto"/>
            <w:noWrap/>
            <w:vAlign w:val="center"/>
          </w:tcPr>
          <w:p w14:paraId="0C489D7B"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719" w:type="dxa"/>
            <w:tcBorders>
              <w:top w:val="nil"/>
              <w:left w:val="nil"/>
              <w:bottom w:val="single" w:sz="4" w:space="0" w:color="auto"/>
              <w:right w:val="single" w:sz="4" w:space="0" w:color="auto"/>
            </w:tcBorders>
            <w:shd w:val="clear" w:color="auto" w:fill="auto"/>
            <w:noWrap/>
            <w:vAlign w:val="center"/>
          </w:tcPr>
          <w:p w14:paraId="58CE3D84"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2</w:t>
            </w:r>
          </w:p>
        </w:tc>
        <w:tc>
          <w:tcPr>
            <w:tcW w:w="789" w:type="dxa"/>
            <w:tcBorders>
              <w:top w:val="nil"/>
              <w:left w:val="nil"/>
              <w:bottom w:val="single" w:sz="4" w:space="0" w:color="auto"/>
              <w:right w:val="single" w:sz="4" w:space="0" w:color="auto"/>
            </w:tcBorders>
            <w:shd w:val="clear" w:color="auto" w:fill="auto"/>
            <w:noWrap/>
            <w:vAlign w:val="center"/>
          </w:tcPr>
          <w:p w14:paraId="7B1AD5E1"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131</w:t>
            </w:r>
          </w:p>
        </w:tc>
        <w:tc>
          <w:tcPr>
            <w:tcW w:w="789" w:type="dxa"/>
            <w:tcBorders>
              <w:top w:val="nil"/>
              <w:left w:val="nil"/>
              <w:bottom w:val="single" w:sz="4" w:space="0" w:color="auto"/>
              <w:right w:val="single" w:sz="4" w:space="0" w:color="auto"/>
            </w:tcBorders>
            <w:shd w:val="clear" w:color="auto" w:fill="auto"/>
            <w:vAlign w:val="center"/>
          </w:tcPr>
          <w:p w14:paraId="4F8C0C47"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195</w:t>
            </w:r>
          </w:p>
        </w:tc>
        <w:tc>
          <w:tcPr>
            <w:tcW w:w="921" w:type="dxa"/>
            <w:tcBorders>
              <w:top w:val="nil"/>
              <w:left w:val="nil"/>
              <w:bottom w:val="single" w:sz="4" w:space="0" w:color="auto"/>
              <w:right w:val="single" w:sz="4" w:space="0" w:color="auto"/>
            </w:tcBorders>
            <w:vAlign w:val="center"/>
          </w:tcPr>
          <w:p w14:paraId="4ABFDD3A"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326</w:t>
            </w:r>
          </w:p>
        </w:tc>
      </w:tr>
      <w:tr w:rsidR="00B010E6" w:rsidRPr="001B4CA2" w14:paraId="512B528B"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4E1D2"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vanjskih i europskih poslova</w:t>
            </w:r>
          </w:p>
        </w:tc>
        <w:tc>
          <w:tcPr>
            <w:tcW w:w="730" w:type="dxa"/>
            <w:tcBorders>
              <w:top w:val="nil"/>
              <w:left w:val="nil"/>
              <w:bottom w:val="single" w:sz="4" w:space="0" w:color="auto"/>
              <w:right w:val="single" w:sz="4" w:space="0" w:color="auto"/>
            </w:tcBorders>
            <w:shd w:val="clear" w:color="auto" w:fill="auto"/>
            <w:noWrap/>
            <w:vAlign w:val="center"/>
          </w:tcPr>
          <w:p w14:paraId="44C8157F" w14:textId="77777777" w:rsidR="00B010E6" w:rsidRPr="001B4CA2" w:rsidRDefault="00B010E6" w:rsidP="00B010E6">
            <w:pPr>
              <w:jc w:val="center"/>
              <w:rPr>
                <w:rFonts w:ascii="Calibri" w:hAnsi="Calibri" w:cs="Calibri"/>
                <w:color w:val="000000"/>
                <w:sz w:val="20"/>
                <w:szCs w:val="20"/>
              </w:rPr>
            </w:pPr>
          </w:p>
        </w:tc>
        <w:tc>
          <w:tcPr>
            <w:tcW w:w="734" w:type="dxa"/>
            <w:tcBorders>
              <w:top w:val="nil"/>
              <w:left w:val="nil"/>
              <w:bottom w:val="single" w:sz="4" w:space="0" w:color="auto"/>
              <w:right w:val="single" w:sz="4" w:space="0" w:color="auto"/>
            </w:tcBorders>
            <w:shd w:val="clear" w:color="auto" w:fill="auto"/>
            <w:noWrap/>
            <w:vAlign w:val="center"/>
          </w:tcPr>
          <w:p w14:paraId="4AED8BAB" w14:textId="77777777" w:rsidR="00B010E6" w:rsidRPr="001B4CA2" w:rsidRDefault="00B010E6" w:rsidP="00B010E6">
            <w:pPr>
              <w:jc w:val="center"/>
              <w:rPr>
                <w:rFonts w:ascii="Calibri" w:hAnsi="Calibri" w:cs="Calibri"/>
                <w:color w:val="000000"/>
                <w:sz w:val="20"/>
                <w:szCs w:val="20"/>
              </w:rPr>
            </w:pPr>
          </w:p>
        </w:tc>
        <w:tc>
          <w:tcPr>
            <w:tcW w:w="788" w:type="dxa"/>
            <w:tcBorders>
              <w:top w:val="nil"/>
              <w:left w:val="nil"/>
              <w:bottom w:val="single" w:sz="4" w:space="0" w:color="auto"/>
              <w:right w:val="single" w:sz="4" w:space="0" w:color="auto"/>
            </w:tcBorders>
            <w:shd w:val="clear" w:color="auto" w:fill="auto"/>
            <w:noWrap/>
            <w:vAlign w:val="center"/>
          </w:tcPr>
          <w:p w14:paraId="1613F37E" w14:textId="77777777" w:rsidR="00B010E6" w:rsidRPr="001B4CA2" w:rsidRDefault="00B010E6" w:rsidP="00B010E6">
            <w:pPr>
              <w:jc w:val="center"/>
              <w:rPr>
                <w:rFonts w:ascii="Calibri" w:hAnsi="Calibri" w:cs="Calibri"/>
                <w:color w:val="000000"/>
                <w:sz w:val="20"/>
                <w:szCs w:val="20"/>
              </w:rPr>
            </w:pPr>
          </w:p>
        </w:tc>
        <w:tc>
          <w:tcPr>
            <w:tcW w:w="733" w:type="dxa"/>
            <w:tcBorders>
              <w:top w:val="nil"/>
              <w:left w:val="nil"/>
              <w:bottom w:val="single" w:sz="4" w:space="0" w:color="auto"/>
              <w:right w:val="single" w:sz="4" w:space="0" w:color="auto"/>
            </w:tcBorders>
            <w:shd w:val="clear" w:color="auto" w:fill="auto"/>
            <w:noWrap/>
            <w:vAlign w:val="center"/>
          </w:tcPr>
          <w:p w14:paraId="1670F07C" w14:textId="77777777" w:rsidR="00B010E6" w:rsidRPr="001B4CA2" w:rsidRDefault="00B010E6" w:rsidP="00B010E6">
            <w:pPr>
              <w:jc w:val="center"/>
              <w:rPr>
                <w:rFonts w:ascii="Calibri" w:hAnsi="Calibri" w:cs="Calibri"/>
                <w:color w:val="000000"/>
                <w:sz w:val="20"/>
                <w:szCs w:val="20"/>
              </w:rPr>
            </w:pPr>
          </w:p>
        </w:tc>
        <w:tc>
          <w:tcPr>
            <w:tcW w:w="860" w:type="dxa"/>
            <w:tcBorders>
              <w:top w:val="nil"/>
              <w:left w:val="nil"/>
              <w:bottom w:val="single" w:sz="4" w:space="0" w:color="auto"/>
              <w:right w:val="single" w:sz="4" w:space="0" w:color="auto"/>
            </w:tcBorders>
            <w:shd w:val="clear" w:color="auto" w:fill="auto"/>
            <w:noWrap/>
            <w:vAlign w:val="center"/>
          </w:tcPr>
          <w:p w14:paraId="05C67202" w14:textId="77777777" w:rsidR="00B010E6" w:rsidRPr="001B4CA2" w:rsidRDefault="00B010E6" w:rsidP="00B010E6">
            <w:pPr>
              <w:jc w:val="center"/>
              <w:rPr>
                <w:rFonts w:ascii="Calibri" w:hAnsi="Calibri" w:cs="Calibri"/>
                <w:color w:val="000000"/>
                <w:sz w:val="20"/>
                <w:szCs w:val="20"/>
              </w:rPr>
            </w:pPr>
          </w:p>
        </w:tc>
        <w:tc>
          <w:tcPr>
            <w:tcW w:w="718" w:type="dxa"/>
            <w:tcBorders>
              <w:top w:val="nil"/>
              <w:left w:val="nil"/>
              <w:bottom w:val="single" w:sz="4" w:space="0" w:color="auto"/>
              <w:right w:val="single" w:sz="4" w:space="0" w:color="auto"/>
            </w:tcBorders>
            <w:shd w:val="clear" w:color="auto" w:fill="auto"/>
            <w:noWrap/>
            <w:vAlign w:val="center"/>
          </w:tcPr>
          <w:p w14:paraId="2910699B" w14:textId="77777777" w:rsidR="00B010E6" w:rsidRPr="001B4CA2" w:rsidRDefault="00B010E6" w:rsidP="00B010E6">
            <w:pPr>
              <w:jc w:val="center"/>
              <w:rPr>
                <w:rFonts w:ascii="Calibri" w:hAnsi="Calibri" w:cs="Calibri"/>
                <w:color w:val="000000"/>
                <w:sz w:val="20"/>
                <w:szCs w:val="20"/>
              </w:rPr>
            </w:pPr>
          </w:p>
        </w:tc>
        <w:tc>
          <w:tcPr>
            <w:tcW w:w="861" w:type="dxa"/>
            <w:tcBorders>
              <w:top w:val="nil"/>
              <w:left w:val="nil"/>
              <w:bottom w:val="single" w:sz="4" w:space="0" w:color="auto"/>
              <w:right w:val="single" w:sz="4" w:space="0" w:color="auto"/>
            </w:tcBorders>
            <w:shd w:val="clear" w:color="auto" w:fill="auto"/>
            <w:noWrap/>
            <w:vAlign w:val="center"/>
          </w:tcPr>
          <w:p w14:paraId="75B01F98"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00B90495"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2</w:t>
            </w:r>
          </w:p>
        </w:tc>
        <w:tc>
          <w:tcPr>
            <w:tcW w:w="716" w:type="dxa"/>
            <w:tcBorders>
              <w:top w:val="nil"/>
              <w:left w:val="nil"/>
              <w:bottom w:val="single" w:sz="4" w:space="0" w:color="auto"/>
              <w:right w:val="single" w:sz="4" w:space="0" w:color="auto"/>
            </w:tcBorders>
            <w:shd w:val="clear" w:color="auto" w:fill="auto"/>
            <w:noWrap/>
            <w:vAlign w:val="center"/>
          </w:tcPr>
          <w:p w14:paraId="54F16D11" w14:textId="77777777" w:rsidR="00B010E6" w:rsidRPr="001B4CA2" w:rsidRDefault="00B010E6" w:rsidP="00B010E6">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4CF21412" w14:textId="77777777" w:rsidR="00B010E6" w:rsidRPr="001B4CA2" w:rsidRDefault="00B010E6" w:rsidP="00B010E6">
            <w:pPr>
              <w:jc w:val="center"/>
              <w:rPr>
                <w:rFonts w:ascii="Calibri" w:hAnsi="Calibri" w:cs="Calibri"/>
                <w:color w:val="000000"/>
                <w:sz w:val="22"/>
                <w:szCs w:val="22"/>
              </w:rPr>
            </w:pPr>
          </w:p>
        </w:tc>
        <w:tc>
          <w:tcPr>
            <w:tcW w:w="789" w:type="dxa"/>
            <w:tcBorders>
              <w:top w:val="nil"/>
              <w:left w:val="nil"/>
              <w:bottom w:val="single" w:sz="4" w:space="0" w:color="auto"/>
              <w:right w:val="single" w:sz="4" w:space="0" w:color="auto"/>
            </w:tcBorders>
            <w:shd w:val="clear" w:color="auto" w:fill="auto"/>
            <w:noWrap/>
            <w:vAlign w:val="center"/>
          </w:tcPr>
          <w:p w14:paraId="7DF8D53F" w14:textId="77777777" w:rsidR="00B010E6" w:rsidRPr="001B4CA2" w:rsidRDefault="00B010E6" w:rsidP="00B010E6">
            <w:pPr>
              <w:jc w:val="center"/>
              <w:rPr>
                <w:rFonts w:ascii="Calibri" w:hAnsi="Calibri" w:cs="Calibri"/>
                <w:bCs/>
                <w:color w:val="000000"/>
                <w:sz w:val="22"/>
                <w:szCs w:val="22"/>
              </w:rPr>
            </w:pPr>
          </w:p>
        </w:tc>
        <w:tc>
          <w:tcPr>
            <w:tcW w:w="789" w:type="dxa"/>
            <w:tcBorders>
              <w:top w:val="nil"/>
              <w:left w:val="nil"/>
              <w:bottom w:val="single" w:sz="4" w:space="0" w:color="auto"/>
              <w:right w:val="single" w:sz="4" w:space="0" w:color="auto"/>
            </w:tcBorders>
            <w:shd w:val="clear" w:color="auto" w:fill="auto"/>
            <w:vAlign w:val="center"/>
          </w:tcPr>
          <w:p w14:paraId="4E19C281"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2</w:t>
            </w:r>
          </w:p>
        </w:tc>
        <w:tc>
          <w:tcPr>
            <w:tcW w:w="921" w:type="dxa"/>
            <w:tcBorders>
              <w:top w:val="nil"/>
              <w:left w:val="nil"/>
              <w:bottom w:val="single" w:sz="4" w:space="0" w:color="auto"/>
              <w:right w:val="single" w:sz="4" w:space="0" w:color="auto"/>
            </w:tcBorders>
            <w:vAlign w:val="center"/>
          </w:tcPr>
          <w:p w14:paraId="4D47A900"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2</w:t>
            </w:r>
          </w:p>
        </w:tc>
      </w:tr>
      <w:tr w:rsidR="00B010E6" w:rsidRPr="001B4CA2" w14:paraId="78A1B616"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A8DC5"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mora, prometa i infrastrukture</w:t>
            </w:r>
          </w:p>
        </w:tc>
        <w:tc>
          <w:tcPr>
            <w:tcW w:w="730" w:type="dxa"/>
            <w:tcBorders>
              <w:top w:val="nil"/>
              <w:left w:val="nil"/>
              <w:bottom w:val="single" w:sz="4" w:space="0" w:color="auto"/>
              <w:right w:val="single" w:sz="4" w:space="0" w:color="auto"/>
            </w:tcBorders>
            <w:shd w:val="clear" w:color="auto" w:fill="auto"/>
            <w:noWrap/>
            <w:vAlign w:val="center"/>
          </w:tcPr>
          <w:p w14:paraId="5DED67ED"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38</w:t>
            </w:r>
          </w:p>
        </w:tc>
        <w:tc>
          <w:tcPr>
            <w:tcW w:w="734" w:type="dxa"/>
            <w:tcBorders>
              <w:top w:val="nil"/>
              <w:left w:val="nil"/>
              <w:bottom w:val="single" w:sz="4" w:space="0" w:color="auto"/>
              <w:right w:val="single" w:sz="4" w:space="0" w:color="auto"/>
            </w:tcBorders>
            <w:shd w:val="clear" w:color="auto" w:fill="auto"/>
            <w:noWrap/>
            <w:vAlign w:val="center"/>
          </w:tcPr>
          <w:p w14:paraId="77B8D320"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5</w:t>
            </w:r>
          </w:p>
        </w:tc>
        <w:tc>
          <w:tcPr>
            <w:tcW w:w="788" w:type="dxa"/>
            <w:tcBorders>
              <w:top w:val="nil"/>
              <w:left w:val="nil"/>
              <w:bottom w:val="single" w:sz="4" w:space="0" w:color="auto"/>
              <w:right w:val="single" w:sz="4" w:space="0" w:color="auto"/>
            </w:tcBorders>
            <w:shd w:val="clear" w:color="auto" w:fill="auto"/>
            <w:noWrap/>
            <w:vAlign w:val="center"/>
          </w:tcPr>
          <w:p w14:paraId="08885F46"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w:t>
            </w:r>
          </w:p>
        </w:tc>
        <w:tc>
          <w:tcPr>
            <w:tcW w:w="733" w:type="dxa"/>
            <w:tcBorders>
              <w:top w:val="nil"/>
              <w:left w:val="nil"/>
              <w:bottom w:val="single" w:sz="4" w:space="0" w:color="auto"/>
              <w:right w:val="single" w:sz="4" w:space="0" w:color="auto"/>
            </w:tcBorders>
            <w:shd w:val="clear" w:color="auto" w:fill="auto"/>
            <w:noWrap/>
            <w:vAlign w:val="center"/>
          </w:tcPr>
          <w:p w14:paraId="72BBC297"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w:t>
            </w:r>
          </w:p>
        </w:tc>
        <w:tc>
          <w:tcPr>
            <w:tcW w:w="860" w:type="dxa"/>
            <w:tcBorders>
              <w:top w:val="nil"/>
              <w:left w:val="nil"/>
              <w:bottom w:val="single" w:sz="4" w:space="0" w:color="auto"/>
              <w:right w:val="single" w:sz="4" w:space="0" w:color="auto"/>
            </w:tcBorders>
            <w:shd w:val="clear" w:color="auto" w:fill="auto"/>
            <w:noWrap/>
            <w:vAlign w:val="center"/>
          </w:tcPr>
          <w:p w14:paraId="2825039B" w14:textId="77777777" w:rsidR="00B010E6" w:rsidRPr="001B4CA2" w:rsidRDefault="00B010E6" w:rsidP="00B010E6">
            <w:pPr>
              <w:jc w:val="center"/>
              <w:rPr>
                <w:rFonts w:ascii="Calibri" w:hAnsi="Calibri" w:cs="Calibri"/>
                <w:color w:val="000000"/>
                <w:sz w:val="20"/>
                <w:szCs w:val="20"/>
              </w:rPr>
            </w:pPr>
          </w:p>
        </w:tc>
        <w:tc>
          <w:tcPr>
            <w:tcW w:w="718" w:type="dxa"/>
            <w:tcBorders>
              <w:top w:val="nil"/>
              <w:left w:val="nil"/>
              <w:bottom w:val="single" w:sz="4" w:space="0" w:color="auto"/>
              <w:right w:val="single" w:sz="4" w:space="0" w:color="auto"/>
            </w:tcBorders>
            <w:shd w:val="clear" w:color="auto" w:fill="auto"/>
            <w:noWrap/>
            <w:vAlign w:val="center"/>
          </w:tcPr>
          <w:p w14:paraId="2F0828C0"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w:t>
            </w:r>
          </w:p>
        </w:tc>
        <w:tc>
          <w:tcPr>
            <w:tcW w:w="861" w:type="dxa"/>
            <w:tcBorders>
              <w:top w:val="nil"/>
              <w:left w:val="nil"/>
              <w:bottom w:val="single" w:sz="4" w:space="0" w:color="auto"/>
              <w:right w:val="single" w:sz="4" w:space="0" w:color="auto"/>
            </w:tcBorders>
            <w:shd w:val="clear" w:color="auto" w:fill="auto"/>
            <w:noWrap/>
            <w:vAlign w:val="center"/>
          </w:tcPr>
          <w:p w14:paraId="6710269D"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71A63F35" w14:textId="77777777" w:rsidR="00B010E6" w:rsidRPr="001B4CA2" w:rsidRDefault="00B010E6" w:rsidP="00B010E6">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11D3BCDB" w14:textId="77777777" w:rsidR="00B010E6" w:rsidRPr="001B4CA2" w:rsidRDefault="00B010E6" w:rsidP="00B010E6">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0300E6EB" w14:textId="77777777" w:rsidR="00B010E6" w:rsidRPr="001B4CA2" w:rsidRDefault="00B010E6" w:rsidP="00B010E6">
            <w:pPr>
              <w:jc w:val="center"/>
              <w:rPr>
                <w:rFonts w:ascii="Calibri" w:hAnsi="Calibri" w:cs="Calibri"/>
                <w:color w:val="000000"/>
                <w:sz w:val="22"/>
                <w:szCs w:val="22"/>
              </w:rPr>
            </w:pPr>
          </w:p>
        </w:tc>
        <w:tc>
          <w:tcPr>
            <w:tcW w:w="789" w:type="dxa"/>
            <w:tcBorders>
              <w:top w:val="single" w:sz="4" w:space="0" w:color="auto"/>
              <w:left w:val="nil"/>
              <w:bottom w:val="single" w:sz="4" w:space="0" w:color="auto"/>
              <w:right w:val="single" w:sz="4" w:space="0" w:color="auto"/>
            </w:tcBorders>
            <w:shd w:val="clear" w:color="auto" w:fill="auto"/>
            <w:noWrap/>
            <w:vAlign w:val="center"/>
          </w:tcPr>
          <w:p w14:paraId="54A7722D"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41</w:t>
            </w:r>
          </w:p>
        </w:tc>
        <w:tc>
          <w:tcPr>
            <w:tcW w:w="789" w:type="dxa"/>
            <w:tcBorders>
              <w:top w:val="single" w:sz="4" w:space="0" w:color="auto"/>
              <w:left w:val="nil"/>
              <w:bottom w:val="single" w:sz="4" w:space="0" w:color="auto"/>
              <w:right w:val="single" w:sz="4" w:space="0" w:color="auto"/>
            </w:tcBorders>
            <w:shd w:val="clear" w:color="auto" w:fill="auto"/>
            <w:vAlign w:val="center"/>
          </w:tcPr>
          <w:p w14:paraId="36D41A04"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10</w:t>
            </w:r>
          </w:p>
        </w:tc>
        <w:tc>
          <w:tcPr>
            <w:tcW w:w="921" w:type="dxa"/>
            <w:tcBorders>
              <w:top w:val="single" w:sz="4" w:space="0" w:color="auto"/>
              <w:left w:val="nil"/>
              <w:bottom w:val="single" w:sz="4" w:space="0" w:color="auto"/>
              <w:right w:val="single" w:sz="4" w:space="0" w:color="auto"/>
            </w:tcBorders>
            <w:vAlign w:val="center"/>
          </w:tcPr>
          <w:p w14:paraId="01F6EAFE"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51</w:t>
            </w:r>
          </w:p>
        </w:tc>
      </w:tr>
      <w:tr w:rsidR="00B010E6" w:rsidRPr="001B4CA2" w14:paraId="59ED9FC2"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36373"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poljoprivrede</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3E9B347B"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310</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63391658"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1.070</w:t>
            </w:r>
          </w:p>
        </w:tc>
        <w:tc>
          <w:tcPr>
            <w:tcW w:w="788" w:type="dxa"/>
            <w:tcBorders>
              <w:top w:val="single" w:sz="4" w:space="0" w:color="auto"/>
              <w:left w:val="nil"/>
              <w:bottom w:val="single" w:sz="4" w:space="0" w:color="auto"/>
              <w:right w:val="single" w:sz="4" w:space="0" w:color="auto"/>
            </w:tcBorders>
            <w:shd w:val="clear" w:color="auto" w:fill="auto"/>
            <w:noWrap/>
            <w:vAlign w:val="center"/>
          </w:tcPr>
          <w:p w14:paraId="201B08A2"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303</w:t>
            </w:r>
          </w:p>
        </w:tc>
        <w:tc>
          <w:tcPr>
            <w:tcW w:w="733" w:type="dxa"/>
            <w:tcBorders>
              <w:top w:val="single" w:sz="4" w:space="0" w:color="auto"/>
              <w:left w:val="nil"/>
              <w:bottom w:val="single" w:sz="4" w:space="0" w:color="auto"/>
              <w:right w:val="single" w:sz="4" w:space="0" w:color="auto"/>
            </w:tcBorders>
            <w:shd w:val="clear" w:color="auto" w:fill="auto"/>
            <w:noWrap/>
            <w:vAlign w:val="center"/>
          </w:tcPr>
          <w:p w14:paraId="48270073"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29</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1B490E33"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5CB28CDF"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5</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48D338C1" w14:textId="77777777" w:rsidR="00B010E6" w:rsidRPr="001B4CA2" w:rsidRDefault="00B010E6" w:rsidP="00B010E6">
            <w:pPr>
              <w:jc w:val="center"/>
              <w:rPr>
                <w:rFonts w:ascii="Calibri" w:hAnsi="Calibri" w:cs="Calibri"/>
                <w:color w:val="000000"/>
                <w:sz w:val="22"/>
                <w:szCs w:val="22"/>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6A35139C"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3</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113E3D2A"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2</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BBD208B"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29</w:t>
            </w:r>
          </w:p>
        </w:tc>
        <w:tc>
          <w:tcPr>
            <w:tcW w:w="789" w:type="dxa"/>
            <w:tcBorders>
              <w:top w:val="single" w:sz="4" w:space="0" w:color="auto"/>
              <w:left w:val="nil"/>
              <w:bottom w:val="single" w:sz="4" w:space="0" w:color="auto"/>
              <w:right w:val="single" w:sz="4" w:space="0" w:color="auto"/>
            </w:tcBorders>
            <w:shd w:val="clear" w:color="auto" w:fill="auto"/>
            <w:noWrap/>
            <w:vAlign w:val="center"/>
          </w:tcPr>
          <w:p w14:paraId="41963562"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616</w:t>
            </w:r>
          </w:p>
        </w:tc>
        <w:tc>
          <w:tcPr>
            <w:tcW w:w="789" w:type="dxa"/>
            <w:tcBorders>
              <w:top w:val="single" w:sz="4" w:space="0" w:color="auto"/>
              <w:left w:val="nil"/>
              <w:bottom w:val="single" w:sz="4" w:space="0" w:color="auto"/>
              <w:right w:val="single" w:sz="4" w:space="0" w:color="auto"/>
            </w:tcBorders>
            <w:shd w:val="clear" w:color="auto" w:fill="auto"/>
            <w:vAlign w:val="center"/>
          </w:tcPr>
          <w:p w14:paraId="3A8AD5FB"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1.136</w:t>
            </w:r>
          </w:p>
        </w:tc>
        <w:tc>
          <w:tcPr>
            <w:tcW w:w="921" w:type="dxa"/>
            <w:tcBorders>
              <w:top w:val="single" w:sz="4" w:space="0" w:color="auto"/>
              <w:left w:val="nil"/>
              <w:bottom w:val="single" w:sz="4" w:space="0" w:color="auto"/>
              <w:right w:val="single" w:sz="4" w:space="0" w:color="auto"/>
            </w:tcBorders>
            <w:vAlign w:val="center"/>
          </w:tcPr>
          <w:p w14:paraId="7B3FCECE"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1.752</w:t>
            </w:r>
          </w:p>
        </w:tc>
      </w:tr>
      <w:tr w:rsidR="00B010E6" w:rsidRPr="001B4CA2" w14:paraId="50DDC989"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6B71D"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turizma i sporta</w:t>
            </w:r>
          </w:p>
        </w:tc>
        <w:tc>
          <w:tcPr>
            <w:tcW w:w="730" w:type="dxa"/>
            <w:tcBorders>
              <w:top w:val="nil"/>
              <w:left w:val="nil"/>
              <w:bottom w:val="single" w:sz="4" w:space="0" w:color="auto"/>
              <w:right w:val="single" w:sz="4" w:space="0" w:color="auto"/>
            </w:tcBorders>
            <w:shd w:val="clear" w:color="auto" w:fill="auto"/>
            <w:noWrap/>
            <w:vAlign w:val="center"/>
          </w:tcPr>
          <w:p w14:paraId="5E7B7AA5" w14:textId="77777777" w:rsidR="00B010E6" w:rsidRPr="001B4CA2" w:rsidRDefault="00B010E6" w:rsidP="00B010E6">
            <w:pPr>
              <w:jc w:val="center"/>
              <w:rPr>
                <w:rFonts w:ascii="Calibri" w:hAnsi="Calibri" w:cs="Calibri"/>
                <w:color w:val="000000"/>
                <w:sz w:val="20"/>
                <w:szCs w:val="20"/>
              </w:rPr>
            </w:pPr>
          </w:p>
        </w:tc>
        <w:tc>
          <w:tcPr>
            <w:tcW w:w="734" w:type="dxa"/>
            <w:tcBorders>
              <w:top w:val="nil"/>
              <w:left w:val="nil"/>
              <w:bottom w:val="single" w:sz="4" w:space="0" w:color="auto"/>
              <w:right w:val="single" w:sz="4" w:space="0" w:color="auto"/>
            </w:tcBorders>
            <w:shd w:val="clear" w:color="auto" w:fill="auto"/>
            <w:noWrap/>
            <w:vAlign w:val="center"/>
          </w:tcPr>
          <w:p w14:paraId="421D051A" w14:textId="77777777" w:rsidR="00B010E6" w:rsidRPr="001B4CA2" w:rsidRDefault="00B010E6" w:rsidP="00B010E6">
            <w:pPr>
              <w:jc w:val="center"/>
              <w:rPr>
                <w:rFonts w:ascii="Calibri" w:hAnsi="Calibri" w:cs="Calibri"/>
                <w:color w:val="000000"/>
                <w:sz w:val="20"/>
                <w:szCs w:val="20"/>
              </w:rPr>
            </w:pPr>
          </w:p>
        </w:tc>
        <w:tc>
          <w:tcPr>
            <w:tcW w:w="788" w:type="dxa"/>
            <w:tcBorders>
              <w:top w:val="nil"/>
              <w:left w:val="nil"/>
              <w:bottom w:val="single" w:sz="4" w:space="0" w:color="auto"/>
              <w:right w:val="single" w:sz="4" w:space="0" w:color="auto"/>
            </w:tcBorders>
            <w:shd w:val="clear" w:color="auto" w:fill="auto"/>
            <w:noWrap/>
            <w:vAlign w:val="center"/>
          </w:tcPr>
          <w:p w14:paraId="6E598544"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w:t>
            </w:r>
          </w:p>
        </w:tc>
        <w:tc>
          <w:tcPr>
            <w:tcW w:w="733" w:type="dxa"/>
            <w:tcBorders>
              <w:top w:val="nil"/>
              <w:left w:val="nil"/>
              <w:bottom w:val="single" w:sz="4" w:space="0" w:color="auto"/>
              <w:right w:val="single" w:sz="4" w:space="0" w:color="auto"/>
            </w:tcBorders>
            <w:shd w:val="clear" w:color="auto" w:fill="auto"/>
            <w:noWrap/>
            <w:vAlign w:val="center"/>
          </w:tcPr>
          <w:p w14:paraId="7B5A8533" w14:textId="77777777" w:rsidR="00B010E6" w:rsidRPr="001B4CA2" w:rsidRDefault="00B010E6" w:rsidP="00B010E6">
            <w:pPr>
              <w:jc w:val="center"/>
              <w:rPr>
                <w:rFonts w:ascii="Calibri" w:hAnsi="Calibri" w:cs="Calibri"/>
                <w:color w:val="000000"/>
                <w:sz w:val="20"/>
                <w:szCs w:val="20"/>
              </w:rPr>
            </w:pPr>
          </w:p>
        </w:tc>
        <w:tc>
          <w:tcPr>
            <w:tcW w:w="860" w:type="dxa"/>
            <w:tcBorders>
              <w:top w:val="nil"/>
              <w:left w:val="nil"/>
              <w:bottom w:val="single" w:sz="4" w:space="0" w:color="auto"/>
              <w:right w:val="single" w:sz="4" w:space="0" w:color="auto"/>
            </w:tcBorders>
            <w:shd w:val="clear" w:color="auto" w:fill="auto"/>
            <w:noWrap/>
            <w:vAlign w:val="center"/>
          </w:tcPr>
          <w:p w14:paraId="5AB4ED56" w14:textId="77777777" w:rsidR="00B010E6" w:rsidRPr="001B4CA2" w:rsidRDefault="00B010E6" w:rsidP="00B010E6">
            <w:pPr>
              <w:jc w:val="center"/>
              <w:rPr>
                <w:rFonts w:ascii="Calibri" w:hAnsi="Calibri" w:cs="Calibri"/>
                <w:color w:val="000000"/>
                <w:sz w:val="20"/>
                <w:szCs w:val="20"/>
              </w:rPr>
            </w:pPr>
          </w:p>
        </w:tc>
        <w:tc>
          <w:tcPr>
            <w:tcW w:w="718" w:type="dxa"/>
            <w:tcBorders>
              <w:top w:val="nil"/>
              <w:left w:val="nil"/>
              <w:bottom w:val="single" w:sz="4" w:space="0" w:color="auto"/>
              <w:right w:val="single" w:sz="4" w:space="0" w:color="auto"/>
            </w:tcBorders>
            <w:shd w:val="clear" w:color="auto" w:fill="auto"/>
            <w:noWrap/>
            <w:vAlign w:val="center"/>
          </w:tcPr>
          <w:p w14:paraId="6A01E72A"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center"/>
          </w:tcPr>
          <w:p w14:paraId="660E17D0"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45B4736F"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716" w:type="dxa"/>
            <w:tcBorders>
              <w:top w:val="nil"/>
              <w:left w:val="nil"/>
              <w:bottom w:val="single" w:sz="4" w:space="0" w:color="auto"/>
              <w:right w:val="single" w:sz="4" w:space="0" w:color="auto"/>
            </w:tcBorders>
            <w:shd w:val="clear" w:color="auto" w:fill="auto"/>
            <w:noWrap/>
            <w:vAlign w:val="center"/>
          </w:tcPr>
          <w:p w14:paraId="36BD403E" w14:textId="77777777" w:rsidR="00B010E6" w:rsidRPr="001B4CA2" w:rsidRDefault="00B010E6" w:rsidP="00B010E6">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155658FA" w14:textId="77777777" w:rsidR="00B010E6" w:rsidRPr="001B4CA2" w:rsidRDefault="00B010E6" w:rsidP="00B010E6">
            <w:pPr>
              <w:jc w:val="center"/>
              <w:rPr>
                <w:rFonts w:ascii="Calibri" w:hAnsi="Calibri" w:cs="Calibri"/>
                <w:color w:val="000000"/>
                <w:sz w:val="22"/>
                <w:szCs w:val="22"/>
              </w:rPr>
            </w:pPr>
          </w:p>
        </w:tc>
        <w:tc>
          <w:tcPr>
            <w:tcW w:w="789" w:type="dxa"/>
            <w:tcBorders>
              <w:top w:val="nil"/>
              <w:left w:val="nil"/>
              <w:bottom w:val="single" w:sz="4" w:space="0" w:color="auto"/>
              <w:right w:val="single" w:sz="4" w:space="0" w:color="auto"/>
            </w:tcBorders>
            <w:shd w:val="clear" w:color="auto" w:fill="auto"/>
            <w:noWrap/>
            <w:vAlign w:val="center"/>
          </w:tcPr>
          <w:p w14:paraId="2CA0291E"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2</w:t>
            </w:r>
          </w:p>
        </w:tc>
        <w:tc>
          <w:tcPr>
            <w:tcW w:w="789" w:type="dxa"/>
            <w:tcBorders>
              <w:top w:val="nil"/>
              <w:left w:val="nil"/>
              <w:bottom w:val="single" w:sz="4" w:space="0" w:color="auto"/>
              <w:right w:val="single" w:sz="4" w:space="0" w:color="auto"/>
            </w:tcBorders>
            <w:shd w:val="clear" w:color="auto" w:fill="auto"/>
            <w:vAlign w:val="center"/>
          </w:tcPr>
          <w:p w14:paraId="17562384"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2</w:t>
            </w:r>
          </w:p>
        </w:tc>
        <w:tc>
          <w:tcPr>
            <w:tcW w:w="921" w:type="dxa"/>
            <w:tcBorders>
              <w:top w:val="nil"/>
              <w:left w:val="nil"/>
              <w:bottom w:val="single" w:sz="4" w:space="0" w:color="auto"/>
              <w:right w:val="single" w:sz="4" w:space="0" w:color="auto"/>
            </w:tcBorders>
            <w:vAlign w:val="center"/>
          </w:tcPr>
          <w:p w14:paraId="5E9D3A98"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4</w:t>
            </w:r>
          </w:p>
        </w:tc>
      </w:tr>
      <w:tr w:rsidR="00B010E6" w:rsidRPr="001B4CA2" w14:paraId="12E3AFAC"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97152"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znanosti i obrazovanja</w:t>
            </w:r>
          </w:p>
        </w:tc>
        <w:tc>
          <w:tcPr>
            <w:tcW w:w="730" w:type="dxa"/>
            <w:tcBorders>
              <w:top w:val="nil"/>
              <w:left w:val="nil"/>
              <w:bottom w:val="single" w:sz="4" w:space="0" w:color="auto"/>
              <w:right w:val="single" w:sz="4" w:space="0" w:color="auto"/>
            </w:tcBorders>
            <w:shd w:val="clear" w:color="auto" w:fill="auto"/>
            <w:noWrap/>
            <w:vAlign w:val="center"/>
          </w:tcPr>
          <w:p w14:paraId="1ECD4DDA" w14:textId="77777777" w:rsidR="00B010E6" w:rsidRPr="001B4CA2" w:rsidRDefault="00B010E6" w:rsidP="00B010E6">
            <w:pPr>
              <w:jc w:val="center"/>
              <w:rPr>
                <w:rFonts w:ascii="Calibri" w:hAnsi="Calibri" w:cs="Calibri"/>
                <w:color w:val="000000"/>
                <w:sz w:val="20"/>
                <w:szCs w:val="20"/>
              </w:rPr>
            </w:pPr>
          </w:p>
        </w:tc>
        <w:tc>
          <w:tcPr>
            <w:tcW w:w="734" w:type="dxa"/>
            <w:tcBorders>
              <w:top w:val="nil"/>
              <w:left w:val="nil"/>
              <w:bottom w:val="single" w:sz="4" w:space="0" w:color="auto"/>
              <w:right w:val="single" w:sz="4" w:space="0" w:color="auto"/>
            </w:tcBorders>
            <w:shd w:val="clear" w:color="auto" w:fill="auto"/>
            <w:noWrap/>
            <w:vAlign w:val="center"/>
          </w:tcPr>
          <w:p w14:paraId="45306FB9" w14:textId="77777777" w:rsidR="00B010E6" w:rsidRPr="001B4CA2" w:rsidRDefault="00B010E6" w:rsidP="00B010E6">
            <w:pPr>
              <w:jc w:val="center"/>
              <w:rPr>
                <w:rFonts w:ascii="Calibri" w:hAnsi="Calibri" w:cs="Calibri"/>
                <w:color w:val="000000"/>
                <w:sz w:val="20"/>
                <w:szCs w:val="20"/>
              </w:rPr>
            </w:pPr>
          </w:p>
        </w:tc>
        <w:tc>
          <w:tcPr>
            <w:tcW w:w="788" w:type="dxa"/>
            <w:tcBorders>
              <w:top w:val="nil"/>
              <w:left w:val="nil"/>
              <w:bottom w:val="single" w:sz="4" w:space="0" w:color="auto"/>
              <w:right w:val="single" w:sz="4" w:space="0" w:color="auto"/>
            </w:tcBorders>
            <w:shd w:val="clear" w:color="auto" w:fill="auto"/>
            <w:noWrap/>
            <w:vAlign w:val="center"/>
          </w:tcPr>
          <w:p w14:paraId="6E3AE9A4"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6</w:t>
            </w:r>
          </w:p>
        </w:tc>
        <w:tc>
          <w:tcPr>
            <w:tcW w:w="733" w:type="dxa"/>
            <w:tcBorders>
              <w:top w:val="nil"/>
              <w:left w:val="nil"/>
              <w:bottom w:val="single" w:sz="4" w:space="0" w:color="auto"/>
              <w:right w:val="single" w:sz="4" w:space="0" w:color="auto"/>
            </w:tcBorders>
            <w:shd w:val="clear" w:color="auto" w:fill="auto"/>
            <w:noWrap/>
            <w:vAlign w:val="center"/>
          </w:tcPr>
          <w:p w14:paraId="652225D2" w14:textId="77777777" w:rsidR="00B010E6" w:rsidRPr="001B4CA2" w:rsidRDefault="00B010E6" w:rsidP="00B010E6">
            <w:pPr>
              <w:jc w:val="center"/>
              <w:rPr>
                <w:rFonts w:ascii="Calibri" w:hAnsi="Calibri" w:cs="Calibri"/>
                <w:color w:val="000000"/>
                <w:sz w:val="20"/>
                <w:szCs w:val="20"/>
              </w:rPr>
            </w:pPr>
          </w:p>
        </w:tc>
        <w:tc>
          <w:tcPr>
            <w:tcW w:w="860" w:type="dxa"/>
            <w:tcBorders>
              <w:top w:val="nil"/>
              <w:left w:val="nil"/>
              <w:bottom w:val="single" w:sz="4" w:space="0" w:color="auto"/>
              <w:right w:val="single" w:sz="4" w:space="0" w:color="auto"/>
            </w:tcBorders>
            <w:shd w:val="clear" w:color="auto" w:fill="auto"/>
            <w:noWrap/>
            <w:vAlign w:val="center"/>
          </w:tcPr>
          <w:p w14:paraId="6A11E332" w14:textId="77777777" w:rsidR="00B010E6" w:rsidRPr="001B4CA2" w:rsidRDefault="00B010E6" w:rsidP="00B010E6">
            <w:pPr>
              <w:jc w:val="center"/>
              <w:rPr>
                <w:rFonts w:ascii="Calibri" w:hAnsi="Calibri" w:cs="Calibri"/>
                <w:color w:val="000000"/>
                <w:sz w:val="20"/>
                <w:szCs w:val="20"/>
              </w:rPr>
            </w:pPr>
          </w:p>
        </w:tc>
        <w:tc>
          <w:tcPr>
            <w:tcW w:w="718" w:type="dxa"/>
            <w:tcBorders>
              <w:top w:val="nil"/>
              <w:left w:val="nil"/>
              <w:bottom w:val="single" w:sz="4" w:space="0" w:color="auto"/>
              <w:right w:val="single" w:sz="4" w:space="0" w:color="auto"/>
            </w:tcBorders>
            <w:shd w:val="clear" w:color="auto" w:fill="auto"/>
            <w:noWrap/>
            <w:vAlign w:val="center"/>
          </w:tcPr>
          <w:p w14:paraId="4B45E34F" w14:textId="77777777" w:rsidR="00B010E6" w:rsidRPr="001B4CA2" w:rsidRDefault="00B010E6" w:rsidP="00B010E6">
            <w:pPr>
              <w:jc w:val="center"/>
              <w:rPr>
                <w:rFonts w:ascii="Calibri" w:hAnsi="Calibri" w:cs="Calibri"/>
                <w:color w:val="000000"/>
                <w:sz w:val="20"/>
                <w:szCs w:val="20"/>
              </w:rPr>
            </w:pPr>
          </w:p>
        </w:tc>
        <w:tc>
          <w:tcPr>
            <w:tcW w:w="861" w:type="dxa"/>
            <w:tcBorders>
              <w:top w:val="nil"/>
              <w:left w:val="nil"/>
              <w:bottom w:val="single" w:sz="4" w:space="0" w:color="auto"/>
              <w:right w:val="single" w:sz="4" w:space="0" w:color="auto"/>
            </w:tcBorders>
            <w:shd w:val="clear" w:color="auto" w:fill="auto"/>
            <w:noWrap/>
            <w:vAlign w:val="center"/>
          </w:tcPr>
          <w:p w14:paraId="532E27FD"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2CC0EA08"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716" w:type="dxa"/>
            <w:tcBorders>
              <w:top w:val="nil"/>
              <w:left w:val="nil"/>
              <w:bottom w:val="single" w:sz="4" w:space="0" w:color="auto"/>
              <w:right w:val="single" w:sz="4" w:space="0" w:color="auto"/>
            </w:tcBorders>
            <w:shd w:val="clear" w:color="auto" w:fill="auto"/>
            <w:noWrap/>
            <w:vAlign w:val="center"/>
          </w:tcPr>
          <w:p w14:paraId="7FDEF591" w14:textId="77777777" w:rsidR="00B010E6" w:rsidRPr="001B4CA2" w:rsidRDefault="00B010E6" w:rsidP="00B010E6">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277FB284" w14:textId="77777777" w:rsidR="00B010E6" w:rsidRPr="001B4CA2" w:rsidRDefault="00B010E6" w:rsidP="00B010E6">
            <w:pPr>
              <w:jc w:val="center"/>
              <w:rPr>
                <w:rFonts w:ascii="Calibri" w:hAnsi="Calibri" w:cs="Calibri"/>
                <w:color w:val="000000"/>
                <w:sz w:val="22"/>
                <w:szCs w:val="22"/>
              </w:rPr>
            </w:pPr>
          </w:p>
        </w:tc>
        <w:tc>
          <w:tcPr>
            <w:tcW w:w="789" w:type="dxa"/>
            <w:tcBorders>
              <w:top w:val="nil"/>
              <w:left w:val="nil"/>
              <w:bottom w:val="single" w:sz="4" w:space="0" w:color="auto"/>
              <w:right w:val="single" w:sz="4" w:space="0" w:color="auto"/>
            </w:tcBorders>
            <w:shd w:val="clear" w:color="auto" w:fill="auto"/>
            <w:noWrap/>
            <w:vAlign w:val="center"/>
          </w:tcPr>
          <w:p w14:paraId="68F028B9"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6</w:t>
            </w:r>
          </w:p>
        </w:tc>
        <w:tc>
          <w:tcPr>
            <w:tcW w:w="789" w:type="dxa"/>
            <w:tcBorders>
              <w:top w:val="nil"/>
              <w:left w:val="nil"/>
              <w:bottom w:val="single" w:sz="4" w:space="0" w:color="auto"/>
              <w:right w:val="single" w:sz="4" w:space="0" w:color="auto"/>
            </w:tcBorders>
            <w:shd w:val="clear" w:color="auto" w:fill="auto"/>
            <w:vAlign w:val="center"/>
          </w:tcPr>
          <w:p w14:paraId="605738F1"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w:t>
            </w:r>
          </w:p>
        </w:tc>
        <w:tc>
          <w:tcPr>
            <w:tcW w:w="921" w:type="dxa"/>
            <w:tcBorders>
              <w:top w:val="nil"/>
              <w:left w:val="nil"/>
              <w:bottom w:val="single" w:sz="4" w:space="0" w:color="auto"/>
              <w:right w:val="single" w:sz="4" w:space="0" w:color="auto"/>
            </w:tcBorders>
            <w:vAlign w:val="center"/>
          </w:tcPr>
          <w:p w14:paraId="0D30596F"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7</w:t>
            </w:r>
          </w:p>
        </w:tc>
      </w:tr>
      <w:tr w:rsidR="00B010E6" w:rsidRPr="001B4CA2" w14:paraId="070003E6"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723BD"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kulture i medija</w:t>
            </w:r>
          </w:p>
        </w:tc>
        <w:tc>
          <w:tcPr>
            <w:tcW w:w="730" w:type="dxa"/>
            <w:tcBorders>
              <w:top w:val="nil"/>
              <w:left w:val="nil"/>
              <w:bottom w:val="single" w:sz="4" w:space="0" w:color="auto"/>
              <w:right w:val="single" w:sz="4" w:space="0" w:color="auto"/>
            </w:tcBorders>
            <w:shd w:val="clear" w:color="auto" w:fill="auto"/>
            <w:noWrap/>
            <w:vAlign w:val="center"/>
          </w:tcPr>
          <w:p w14:paraId="2F82E3BA" w14:textId="77777777" w:rsidR="00B010E6" w:rsidRPr="001B4CA2" w:rsidRDefault="00B010E6" w:rsidP="00B010E6">
            <w:pPr>
              <w:jc w:val="center"/>
              <w:rPr>
                <w:rFonts w:ascii="Calibri" w:hAnsi="Calibri" w:cs="Calibri"/>
                <w:color w:val="000000"/>
                <w:sz w:val="20"/>
                <w:szCs w:val="20"/>
              </w:rPr>
            </w:pPr>
          </w:p>
        </w:tc>
        <w:tc>
          <w:tcPr>
            <w:tcW w:w="734" w:type="dxa"/>
            <w:tcBorders>
              <w:top w:val="nil"/>
              <w:left w:val="nil"/>
              <w:bottom w:val="single" w:sz="4" w:space="0" w:color="auto"/>
              <w:right w:val="single" w:sz="4" w:space="0" w:color="auto"/>
            </w:tcBorders>
            <w:shd w:val="clear" w:color="auto" w:fill="auto"/>
            <w:noWrap/>
            <w:vAlign w:val="center"/>
          </w:tcPr>
          <w:p w14:paraId="4B6716C9" w14:textId="77777777" w:rsidR="00B010E6" w:rsidRPr="001B4CA2" w:rsidRDefault="00B010E6" w:rsidP="00B010E6">
            <w:pPr>
              <w:jc w:val="center"/>
              <w:rPr>
                <w:rFonts w:ascii="Calibri" w:hAnsi="Calibri" w:cs="Calibri"/>
                <w:color w:val="000000"/>
                <w:sz w:val="20"/>
                <w:szCs w:val="20"/>
              </w:rPr>
            </w:pPr>
          </w:p>
        </w:tc>
        <w:tc>
          <w:tcPr>
            <w:tcW w:w="788" w:type="dxa"/>
            <w:tcBorders>
              <w:top w:val="nil"/>
              <w:left w:val="nil"/>
              <w:bottom w:val="single" w:sz="4" w:space="0" w:color="auto"/>
              <w:right w:val="single" w:sz="4" w:space="0" w:color="auto"/>
            </w:tcBorders>
            <w:shd w:val="clear" w:color="auto" w:fill="auto"/>
            <w:noWrap/>
            <w:vAlign w:val="center"/>
          </w:tcPr>
          <w:p w14:paraId="4CE1EA0C"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733" w:type="dxa"/>
            <w:tcBorders>
              <w:top w:val="nil"/>
              <w:left w:val="nil"/>
              <w:bottom w:val="single" w:sz="4" w:space="0" w:color="auto"/>
              <w:right w:val="single" w:sz="4" w:space="0" w:color="auto"/>
            </w:tcBorders>
            <w:shd w:val="clear" w:color="auto" w:fill="auto"/>
            <w:noWrap/>
            <w:vAlign w:val="center"/>
          </w:tcPr>
          <w:p w14:paraId="11DC9DB6"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860" w:type="dxa"/>
            <w:tcBorders>
              <w:top w:val="nil"/>
              <w:left w:val="nil"/>
              <w:bottom w:val="single" w:sz="4" w:space="0" w:color="auto"/>
              <w:right w:val="single" w:sz="4" w:space="0" w:color="auto"/>
            </w:tcBorders>
            <w:shd w:val="clear" w:color="auto" w:fill="auto"/>
            <w:noWrap/>
            <w:vAlign w:val="center"/>
          </w:tcPr>
          <w:p w14:paraId="579B104E" w14:textId="77777777" w:rsidR="00B010E6" w:rsidRPr="001B4CA2" w:rsidRDefault="00B010E6" w:rsidP="00B010E6">
            <w:pPr>
              <w:jc w:val="center"/>
              <w:rPr>
                <w:rFonts w:ascii="Calibri" w:hAnsi="Calibri" w:cs="Calibri"/>
                <w:color w:val="000000"/>
                <w:sz w:val="20"/>
                <w:szCs w:val="20"/>
              </w:rPr>
            </w:pPr>
          </w:p>
        </w:tc>
        <w:tc>
          <w:tcPr>
            <w:tcW w:w="718" w:type="dxa"/>
            <w:tcBorders>
              <w:top w:val="nil"/>
              <w:left w:val="nil"/>
              <w:bottom w:val="single" w:sz="4" w:space="0" w:color="auto"/>
              <w:right w:val="single" w:sz="4" w:space="0" w:color="auto"/>
            </w:tcBorders>
            <w:shd w:val="clear" w:color="auto" w:fill="auto"/>
            <w:noWrap/>
            <w:vAlign w:val="center"/>
          </w:tcPr>
          <w:p w14:paraId="72CD5B39" w14:textId="77777777" w:rsidR="00B010E6" w:rsidRPr="001B4CA2" w:rsidRDefault="00B010E6" w:rsidP="00B010E6">
            <w:pPr>
              <w:jc w:val="center"/>
              <w:rPr>
                <w:rFonts w:ascii="Calibri" w:hAnsi="Calibri" w:cs="Calibri"/>
                <w:color w:val="000000"/>
                <w:sz w:val="20"/>
                <w:szCs w:val="20"/>
              </w:rPr>
            </w:pPr>
          </w:p>
        </w:tc>
        <w:tc>
          <w:tcPr>
            <w:tcW w:w="861" w:type="dxa"/>
            <w:tcBorders>
              <w:top w:val="nil"/>
              <w:left w:val="nil"/>
              <w:bottom w:val="single" w:sz="4" w:space="0" w:color="auto"/>
              <w:right w:val="single" w:sz="4" w:space="0" w:color="auto"/>
            </w:tcBorders>
            <w:shd w:val="clear" w:color="auto" w:fill="auto"/>
            <w:noWrap/>
            <w:vAlign w:val="center"/>
          </w:tcPr>
          <w:p w14:paraId="4B318035"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45105DAD" w14:textId="77777777" w:rsidR="00B010E6" w:rsidRPr="001B4CA2" w:rsidRDefault="00B010E6" w:rsidP="00B010E6">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1FE68952" w14:textId="77777777" w:rsidR="00B010E6" w:rsidRPr="001B4CA2" w:rsidRDefault="00B010E6" w:rsidP="00B010E6">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6A2ECF9A" w14:textId="77777777" w:rsidR="00B010E6" w:rsidRPr="001B4CA2" w:rsidRDefault="00B010E6" w:rsidP="00B010E6">
            <w:pPr>
              <w:jc w:val="center"/>
              <w:rPr>
                <w:rFonts w:ascii="Calibri" w:hAnsi="Calibri" w:cs="Calibri"/>
                <w:color w:val="000000"/>
                <w:sz w:val="22"/>
                <w:szCs w:val="22"/>
              </w:rPr>
            </w:pPr>
          </w:p>
        </w:tc>
        <w:tc>
          <w:tcPr>
            <w:tcW w:w="789" w:type="dxa"/>
            <w:tcBorders>
              <w:top w:val="nil"/>
              <w:left w:val="nil"/>
              <w:bottom w:val="single" w:sz="4" w:space="0" w:color="auto"/>
              <w:right w:val="single" w:sz="4" w:space="0" w:color="auto"/>
            </w:tcBorders>
            <w:shd w:val="clear" w:color="auto" w:fill="auto"/>
            <w:noWrap/>
            <w:vAlign w:val="center"/>
          </w:tcPr>
          <w:p w14:paraId="20DF255B"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w:t>
            </w:r>
          </w:p>
        </w:tc>
        <w:tc>
          <w:tcPr>
            <w:tcW w:w="789" w:type="dxa"/>
            <w:tcBorders>
              <w:top w:val="nil"/>
              <w:left w:val="nil"/>
              <w:bottom w:val="single" w:sz="4" w:space="0" w:color="auto"/>
              <w:right w:val="single" w:sz="4" w:space="0" w:color="auto"/>
            </w:tcBorders>
            <w:shd w:val="clear" w:color="auto" w:fill="auto"/>
            <w:vAlign w:val="center"/>
          </w:tcPr>
          <w:p w14:paraId="2BA8E8CE"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w:t>
            </w:r>
          </w:p>
        </w:tc>
        <w:tc>
          <w:tcPr>
            <w:tcW w:w="921" w:type="dxa"/>
            <w:tcBorders>
              <w:top w:val="nil"/>
              <w:left w:val="nil"/>
              <w:bottom w:val="single" w:sz="4" w:space="0" w:color="auto"/>
              <w:right w:val="single" w:sz="4" w:space="0" w:color="auto"/>
            </w:tcBorders>
            <w:vAlign w:val="center"/>
          </w:tcPr>
          <w:p w14:paraId="09F7EB06"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2</w:t>
            </w:r>
          </w:p>
        </w:tc>
      </w:tr>
      <w:tr w:rsidR="00B010E6" w:rsidRPr="001B4CA2" w14:paraId="3DA80046"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2434E"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Središnji državni ured za obnovu i stambeno zbrinjavanje</w:t>
            </w:r>
          </w:p>
        </w:tc>
        <w:tc>
          <w:tcPr>
            <w:tcW w:w="730" w:type="dxa"/>
            <w:tcBorders>
              <w:top w:val="nil"/>
              <w:left w:val="nil"/>
              <w:bottom w:val="single" w:sz="4" w:space="0" w:color="auto"/>
              <w:right w:val="single" w:sz="4" w:space="0" w:color="auto"/>
            </w:tcBorders>
            <w:shd w:val="clear" w:color="auto" w:fill="auto"/>
            <w:noWrap/>
            <w:vAlign w:val="center"/>
          </w:tcPr>
          <w:p w14:paraId="39FCDC61"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27</w:t>
            </w:r>
          </w:p>
        </w:tc>
        <w:tc>
          <w:tcPr>
            <w:tcW w:w="734" w:type="dxa"/>
            <w:tcBorders>
              <w:top w:val="nil"/>
              <w:left w:val="nil"/>
              <w:bottom w:val="single" w:sz="4" w:space="0" w:color="auto"/>
              <w:right w:val="single" w:sz="4" w:space="0" w:color="auto"/>
            </w:tcBorders>
            <w:shd w:val="clear" w:color="auto" w:fill="auto"/>
            <w:noWrap/>
            <w:vAlign w:val="center"/>
          </w:tcPr>
          <w:p w14:paraId="349F554C"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11</w:t>
            </w:r>
          </w:p>
        </w:tc>
        <w:tc>
          <w:tcPr>
            <w:tcW w:w="788" w:type="dxa"/>
            <w:tcBorders>
              <w:top w:val="nil"/>
              <w:left w:val="nil"/>
              <w:bottom w:val="single" w:sz="4" w:space="0" w:color="auto"/>
              <w:right w:val="single" w:sz="4" w:space="0" w:color="auto"/>
            </w:tcBorders>
            <w:shd w:val="clear" w:color="auto" w:fill="auto"/>
            <w:noWrap/>
            <w:vAlign w:val="center"/>
          </w:tcPr>
          <w:p w14:paraId="5F981934"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251</w:t>
            </w:r>
          </w:p>
        </w:tc>
        <w:tc>
          <w:tcPr>
            <w:tcW w:w="733" w:type="dxa"/>
            <w:tcBorders>
              <w:top w:val="nil"/>
              <w:left w:val="nil"/>
              <w:bottom w:val="single" w:sz="4" w:space="0" w:color="auto"/>
              <w:right w:val="single" w:sz="4" w:space="0" w:color="auto"/>
            </w:tcBorders>
            <w:shd w:val="clear" w:color="auto" w:fill="auto"/>
            <w:noWrap/>
            <w:vAlign w:val="center"/>
          </w:tcPr>
          <w:p w14:paraId="690BBC80"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275</w:t>
            </w:r>
          </w:p>
        </w:tc>
        <w:tc>
          <w:tcPr>
            <w:tcW w:w="860" w:type="dxa"/>
            <w:tcBorders>
              <w:top w:val="nil"/>
              <w:left w:val="nil"/>
              <w:bottom w:val="single" w:sz="4" w:space="0" w:color="auto"/>
              <w:right w:val="single" w:sz="4" w:space="0" w:color="auto"/>
            </w:tcBorders>
            <w:shd w:val="clear" w:color="auto" w:fill="auto"/>
            <w:noWrap/>
            <w:vAlign w:val="center"/>
          </w:tcPr>
          <w:p w14:paraId="024B67D3"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49</w:t>
            </w:r>
          </w:p>
        </w:tc>
        <w:tc>
          <w:tcPr>
            <w:tcW w:w="718" w:type="dxa"/>
            <w:tcBorders>
              <w:top w:val="nil"/>
              <w:left w:val="nil"/>
              <w:bottom w:val="single" w:sz="4" w:space="0" w:color="auto"/>
              <w:right w:val="single" w:sz="4" w:space="0" w:color="auto"/>
            </w:tcBorders>
            <w:shd w:val="clear" w:color="auto" w:fill="auto"/>
            <w:noWrap/>
            <w:vAlign w:val="center"/>
          </w:tcPr>
          <w:p w14:paraId="21DABDA8"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w:t>
            </w:r>
          </w:p>
        </w:tc>
        <w:tc>
          <w:tcPr>
            <w:tcW w:w="861" w:type="dxa"/>
            <w:tcBorders>
              <w:top w:val="nil"/>
              <w:left w:val="nil"/>
              <w:bottom w:val="single" w:sz="4" w:space="0" w:color="auto"/>
              <w:right w:val="single" w:sz="4" w:space="0" w:color="auto"/>
            </w:tcBorders>
            <w:shd w:val="clear" w:color="auto" w:fill="auto"/>
            <w:noWrap/>
            <w:vAlign w:val="center"/>
          </w:tcPr>
          <w:p w14:paraId="5FAA8BC1"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2CC06506" w14:textId="77777777" w:rsidR="00B010E6" w:rsidRPr="001B4CA2" w:rsidRDefault="00B010E6" w:rsidP="00B010E6">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6BF05EF5"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34</w:t>
            </w:r>
          </w:p>
        </w:tc>
        <w:tc>
          <w:tcPr>
            <w:tcW w:w="719" w:type="dxa"/>
            <w:tcBorders>
              <w:top w:val="nil"/>
              <w:left w:val="nil"/>
              <w:bottom w:val="single" w:sz="4" w:space="0" w:color="auto"/>
              <w:right w:val="single" w:sz="4" w:space="0" w:color="auto"/>
            </w:tcBorders>
            <w:shd w:val="clear" w:color="auto" w:fill="auto"/>
            <w:noWrap/>
            <w:vAlign w:val="center"/>
          </w:tcPr>
          <w:p w14:paraId="7F77DDA7"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2</w:t>
            </w:r>
          </w:p>
        </w:tc>
        <w:tc>
          <w:tcPr>
            <w:tcW w:w="789" w:type="dxa"/>
            <w:tcBorders>
              <w:top w:val="nil"/>
              <w:left w:val="nil"/>
              <w:bottom w:val="single" w:sz="4" w:space="0" w:color="auto"/>
              <w:right w:val="single" w:sz="4" w:space="0" w:color="auto"/>
            </w:tcBorders>
            <w:shd w:val="clear" w:color="auto" w:fill="auto"/>
            <w:noWrap/>
            <w:vAlign w:val="center"/>
          </w:tcPr>
          <w:p w14:paraId="347F4B3A"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361</w:t>
            </w:r>
          </w:p>
        </w:tc>
        <w:tc>
          <w:tcPr>
            <w:tcW w:w="789" w:type="dxa"/>
            <w:tcBorders>
              <w:top w:val="nil"/>
              <w:left w:val="nil"/>
              <w:bottom w:val="single" w:sz="4" w:space="0" w:color="auto"/>
              <w:right w:val="single" w:sz="4" w:space="0" w:color="auto"/>
            </w:tcBorders>
            <w:shd w:val="clear" w:color="auto" w:fill="auto"/>
            <w:vAlign w:val="center"/>
          </w:tcPr>
          <w:p w14:paraId="1275B7C8"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290</w:t>
            </w:r>
          </w:p>
        </w:tc>
        <w:tc>
          <w:tcPr>
            <w:tcW w:w="921" w:type="dxa"/>
            <w:tcBorders>
              <w:top w:val="nil"/>
              <w:left w:val="nil"/>
              <w:bottom w:val="single" w:sz="4" w:space="0" w:color="auto"/>
              <w:right w:val="single" w:sz="4" w:space="0" w:color="auto"/>
            </w:tcBorders>
            <w:vAlign w:val="center"/>
          </w:tcPr>
          <w:p w14:paraId="4918209D"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651</w:t>
            </w:r>
          </w:p>
        </w:tc>
      </w:tr>
      <w:tr w:rsidR="00B010E6" w:rsidRPr="001B4CA2" w14:paraId="74FCFE37"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F6414" w14:textId="77777777" w:rsidR="00B010E6" w:rsidRPr="001B4CA2" w:rsidRDefault="00B010E6" w:rsidP="00B010E6">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Državne nekretnine d.o.o.</w:t>
            </w:r>
          </w:p>
        </w:tc>
        <w:tc>
          <w:tcPr>
            <w:tcW w:w="730" w:type="dxa"/>
            <w:tcBorders>
              <w:top w:val="nil"/>
              <w:left w:val="nil"/>
              <w:bottom w:val="single" w:sz="4" w:space="0" w:color="auto"/>
              <w:right w:val="single" w:sz="4" w:space="0" w:color="auto"/>
            </w:tcBorders>
            <w:shd w:val="clear" w:color="auto" w:fill="auto"/>
            <w:noWrap/>
            <w:vAlign w:val="center"/>
          </w:tcPr>
          <w:p w14:paraId="5C4F4D9F"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44</w:t>
            </w:r>
          </w:p>
        </w:tc>
        <w:tc>
          <w:tcPr>
            <w:tcW w:w="734" w:type="dxa"/>
            <w:tcBorders>
              <w:top w:val="nil"/>
              <w:left w:val="nil"/>
              <w:bottom w:val="single" w:sz="4" w:space="0" w:color="auto"/>
              <w:right w:val="single" w:sz="4" w:space="0" w:color="auto"/>
            </w:tcBorders>
            <w:shd w:val="clear" w:color="auto" w:fill="auto"/>
            <w:noWrap/>
            <w:vAlign w:val="center"/>
          </w:tcPr>
          <w:p w14:paraId="6961BE6D"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w:t>
            </w:r>
          </w:p>
        </w:tc>
        <w:tc>
          <w:tcPr>
            <w:tcW w:w="788" w:type="dxa"/>
            <w:tcBorders>
              <w:top w:val="nil"/>
              <w:left w:val="nil"/>
              <w:bottom w:val="single" w:sz="4" w:space="0" w:color="auto"/>
              <w:right w:val="single" w:sz="4" w:space="0" w:color="auto"/>
            </w:tcBorders>
            <w:shd w:val="clear" w:color="auto" w:fill="auto"/>
            <w:noWrap/>
            <w:vAlign w:val="center"/>
          </w:tcPr>
          <w:p w14:paraId="65D34A7D"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239</w:t>
            </w:r>
          </w:p>
        </w:tc>
        <w:tc>
          <w:tcPr>
            <w:tcW w:w="733" w:type="dxa"/>
            <w:tcBorders>
              <w:top w:val="nil"/>
              <w:left w:val="nil"/>
              <w:bottom w:val="single" w:sz="4" w:space="0" w:color="auto"/>
              <w:right w:val="single" w:sz="4" w:space="0" w:color="auto"/>
            </w:tcBorders>
            <w:shd w:val="clear" w:color="auto" w:fill="auto"/>
            <w:noWrap/>
            <w:vAlign w:val="center"/>
          </w:tcPr>
          <w:p w14:paraId="75DD9704"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15</w:t>
            </w:r>
          </w:p>
        </w:tc>
        <w:tc>
          <w:tcPr>
            <w:tcW w:w="860" w:type="dxa"/>
            <w:tcBorders>
              <w:top w:val="nil"/>
              <w:left w:val="nil"/>
              <w:bottom w:val="single" w:sz="4" w:space="0" w:color="auto"/>
              <w:right w:val="single" w:sz="4" w:space="0" w:color="auto"/>
            </w:tcBorders>
            <w:shd w:val="clear" w:color="auto" w:fill="auto"/>
            <w:noWrap/>
            <w:vAlign w:val="center"/>
          </w:tcPr>
          <w:p w14:paraId="50F76D16"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5</w:t>
            </w:r>
          </w:p>
        </w:tc>
        <w:tc>
          <w:tcPr>
            <w:tcW w:w="718" w:type="dxa"/>
            <w:tcBorders>
              <w:top w:val="nil"/>
              <w:left w:val="nil"/>
              <w:bottom w:val="single" w:sz="4" w:space="0" w:color="auto"/>
              <w:right w:val="single" w:sz="4" w:space="0" w:color="auto"/>
            </w:tcBorders>
            <w:shd w:val="clear" w:color="auto" w:fill="auto"/>
            <w:noWrap/>
            <w:vAlign w:val="center"/>
          </w:tcPr>
          <w:p w14:paraId="3F20CFEA"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861" w:type="dxa"/>
            <w:tcBorders>
              <w:top w:val="nil"/>
              <w:left w:val="nil"/>
              <w:bottom w:val="single" w:sz="4" w:space="0" w:color="auto"/>
              <w:right w:val="single" w:sz="4" w:space="0" w:color="auto"/>
            </w:tcBorders>
            <w:shd w:val="clear" w:color="auto" w:fill="auto"/>
            <w:noWrap/>
            <w:vAlign w:val="center"/>
          </w:tcPr>
          <w:p w14:paraId="68D52590"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540EF22F" w14:textId="77777777" w:rsidR="00B010E6" w:rsidRPr="001B4CA2" w:rsidRDefault="00B010E6" w:rsidP="00B010E6">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5C6DCBFD"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1</w:t>
            </w:r>
          </w:p>
        </w:tc>
        <w:tc>
          <w:tcPr>
            <w:tcW w:w="719" w:type="dxa"/>
            <w:tcBorders>
              <w:top w:val="nil"/>
              <w:left w:val="nil"/>
              <w:bottom w:val="single" w:sz="4" w:space="0" w:color="auto"/>
              <w:right w:val="single" w:sz="4" w:space="0" w:color="auto"/>
            </w:tcBorders>
            <w:shd w:val="clear" w:color="auto" w:fill="auto"/>
            <w:noWrap/>
            <w:vAlign w:val="center"/>
          </w:tcPr>
          <w:p w14:paraId="7B379DB8" w14:textId="77777777" w:rsidR="00B010E6" w:rsidRPr="001B4CA2" w:rsidRDefault="00B010E6" w:rsidP="00B010E6">
            <w:pPr>
              <w:jc w:val="center"/>
              <w:rPr>
                <w:rFonts w:ascii="Calibri" w:hAnsi="Calibri" w:cs="Calibri"/>
                <w:color w:val="000000"/>
                <w:sz w:val="22"/>
                <w:szCs w:val="22"/>
              </w:rPr>
            </w:pPr>
          </w:p>
        </w:tc>
        <w:tc>
          <w:tcPr>
            <w:tcW w:w="789" w:type="dxa"/>
            <w:tcBorders>
              <w:top w:val="nil"/>
              <w:left w:val="nil"/>
              <w:bottom w:val="single" w:sz="4" w:space="0" w:color="auto"/>
              <w:right w:val="single" w:sz="4" w:space="0" w:color="auto"/>
            </w:tcBorders>
            <w:shd w:val="clear" w:color="auto" w:fill="auto"/>
            <w:noWrap/>
            <w:vAlign w:val="center"/>
          </w:tcPr>
          <w:p w14:paraId="1FAAA2DE"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289</w:t>
            </w:r>
          </w:p>
        </w:tc>
        <w:tc>
          <w:tcPr>
            <w:tcW w:w="789" w:type="dxa"/>
            <w:tcBorders>
              <w:top w:val="nil"/>
              <w:left w:val="nil"/>
              <w:bottom w:val="single" w:sz="4" w:space="0" w:color="auto"/>
              <w:right w:val="single" w:sz="4" w:space="0" w:color="auto"/>
            </w:tcBorders>
            <w:shd w:val="clear" w:color="auto" w:fill="auto"/>
            <w:vAlign w:val="center"/>
          </w:tcPr>
          <w:p w14:paraId="7036DE69"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19</w:t>
            </w:r>
          </w:p>
        </w:tc>
        <w:tc>
          <w:tcPr>
            <w:tcW w:w="921" w:type="dxa"/>
            <w:tcBorders>
              <w:top w:val="nil"/>
              <w:left w:val="nil"/>
              <w:bottom w:val="single" w:sz="4" w:space="0" w:color="auto"/>
              <w:right w:val="single" w:sz="4" w:space="0" w:color="auto"/>
            </w:tcBorders>
            <w:vAlign w:val="center"/>
          </w:tcPr>
          <w:p w14:paraId="03FF5217"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308</w:t>
            </w:r>
          </w:p>
        </w:tc>
      </w:tr>
      <w:tr w:rsidR="00B010E6" w:rsidRPr="001B4CA2" w14:paraId="7D16AAAE" w14:textId="77777777" w:rsidTr="00FC665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17739"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Ostali</w:t>
            </w:r>
          </w:p>
        </w:tc>
        <w:tc>
          <w:tcPr>
            <w:tcW w:w="730" w:type="dxa"/>
            <w:tcBorders>
              <w:top w:val="nil"/>
              <w:left w:val="nil"/>
              <w:bottom w:val="single" w:sz="4" w:space="0" w:color="auto"/>
              <w:right w:val="single" w:sz="4" w:space="0" w:color="auto"/>
            </w:tcBorders>
            <w:shd w:val="clear" w:color="auto" w:fill="auto"/>
            <w:noWrap/>
            <w:vAlign w:val="center"/>
          </w:tcPr>
          <w:p w14:paraId="3B378745" w14:textId="77777777" w:rsidR="00B010E6" w:rsidRPr="001B4CA2" w:rsidRDefault="00B010E6" w:rsidP="00B010E6">
            <w:pPr>
              <w:jc w:val="center"/>
              <w:rPr>
                <w:rFonts w:ascii="Calibri" w:hAnsi="Calibri" w:cs="Calibri"/>
                <w:color w:val="000000"/>
                <w:sz w:val="20"/>
                <w:szCs w:val="20"/>
              </w:rPr>
            </w:pPr>
          </w:p>
        </w:tc>
        <w:tc>
          <w:tcPr>
            <w:tcW w:w="734" w:type="dxa"/>
            <w:tcBorders>
              <w:top w:val="nil"/>
              <w:left w:val="nil"/>
              <w:bottom w:val="single" w:sz="4" w:space="0" w:color="auto"/>
              <w:right w:val="single" w:sz="4" w:space="0" w:color="auto"/>
            </w:tcBorders>
            <w:shd w:val="clear" w:color="auto" w:fill="auto"/>
            <w:noWrap/>
            <w:vAlign w:val="center"/>
          </w:tcPr>
          <w:p w14:paraId="5C4D396E"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w:t>
            </w:r>
          </w:p>
        </w:tc>
        <w:tc>
          <w:tcPr>
            <w:tcW w:w="788" w:type="dxa"/>
            <w:tcBorders>
              <w:top w:val="nil"/>
              <w:left w:val="nil"/>
              <w:bottom w:val="single" w:sz="4" w:space="0" w:color="auto"/>
              <w:right w:val="single" w:sz="4" w:space="0" w:color="auto"/>
            </w:tcBorders>
            <w:shd w:val="clear" w:color="auto" w:fill="auto"/>
            <w:noWrap/>
            <w:vAlign w:val="center"/>
          </w:tcPr>
          <w:p w14:paraId="19A12939"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23</w:t>
            </w:r>
          </w:p>
        </w:tc>
        <w:tc>
          <w:tcPr>
            <w:tcW w:w="733" w:type="dxa"/>
            <w:tcBorders>
              <w:top w:val="nil"/>
              <w:left w:val="nil"/>
              <w:bottom w:val="single" w:sz="4" w:space="0" w:color="auto"/>
              <w:right w:val="single" w:sz="4" w:space="0" w:color="auto"/>
            </w:tcBorders>
            <w:shd w:val="clear" w:color="auto" w:fill="auto"/>
            <w:noWrap/>
            <w:vAlign w:val="center"/>
          </w:tcPr>
          <w:p w14:paraId="56B737A3"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7</w:t>
            </w:r>
          </w:p>
        </w:tc>
        <w:tc>
          <w:tcPr>
            <w:tcW w:w="860" w:type="dxa"/>
            <w:tcBorders>
              <w:top w:val="nil"/>
              <w:left w:val="nil"/>
              <w:bottom w:val="single" w:sz="4" w:space="0" w:color="auto"/>
              <w:right w:val="single" w:sz="4" w:space="0" w:color="auto"/>
            </w:tcBorders>
            <w:shd w:val="clear" w:color="auto" w:fill="auto"/>
            <w:noWrap/>
            <w:vAlign w:val="center"/>
          </w:tcPr>
          <w:p w14:paraId="4DDE5071"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8</w:t>
            </w:r>
          </w:p>
        </w:tc>
        <w:tc>
          <w:tcPr>
            <w:tcW w:w="718" w:type="dxa"/>
            <w:tcBorders>
              <w:top w:val="nil"/>
              <w:left w:val="nil"/>
              <w:bottom w:val="single" w:sz="4" w:space="0" w:color="auto"/>
              <w:right w:val="single" w:sz="4" w:space="0" w:color="auto"/>
            </w:tcBorders>
            <w:shd w:val="clear" w:color="auto" w:fill="auto"/>
            <w:noWrap/>
            <w:vAlign w:val="center"/>
          </w:tcPr>
          <w:p w14:paraId="64C0CBED"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9</w:t>
            </w:r>
          </w:p>
        </w:tc>
        <w:tc>
          <w:tcPr>
            <w:tcW w:w="861" w:type="dxa"/>
            <w:tcBorders>
              <w:top w:val="nil"/>
              <w:left w:val="nil"/>
              <w:bottom w:val="single" w:sz="4" w:space="0" w:color="auto"/>
              <w:right w:val="single" w:sz="4" w:space="0" w:color="auto"/>
            </w:tcBorders>
            <w:shd w:val="clear" w:color="auto" w:fill="auto"/>
            <w:noWrap/>
            <w:vAlign w:val="center"/>
          </w:tcPr>
          <w:p w14:paraId="535C2ADF" w14:textId="77777777" w:rsidR="00B010E6" w:rsidRPr="001B4CA2" w:rsidRDefault="00B010E6" w:rsidP="00B010E6">
            <w:pPr>
              <w:jc w:val="center"/>
              <w:rPr>
                <w:rFonts w:ascii="Calibri" w:hAnsi="Calibri" w:cs="Calibri"/>
                <w:color w:val="000000"/>
                <w:sz w:val="22"/>
                <w:szCs w:val="22"/>
              </w:rPr>
            </w:pPr>
          </w:p>
        </w:tc>
        <w:tc>
          <w:tcPr>
            <w:tcW w:w="861" w:type="dxa"/>
            <w:tcBorders>
              <w:top w:val="nil"/>
              <w:left w:val="nil"/>
              <w:bottom w:val="single" w:sz="4" w:space="0" w:color="auto"/>
              <w:right w:val="single" w:sz="4" w:space="0" w:color="auto"/>
            </w:tcBorders>
            <w:shd w:val="clear" w:color="auto" w:fill="auto"/>
            <w:noWrap/>
            <w:vAlign w:val="center"/>
          </w:tcPr>
          <w:p w14:paraId="11E59CCF" w14:textId="77777777" w:rsidR="00B010E6" w:rsidRPr="001B4CA2" w:rsidRDefault="00B010E6" w:rsidP="00B010E6">
            <w:pPr>
              <w:jc w:val="center"/>
              <w:rPr>
                <w:rFonts w:ascii="Calibri" w:hAnsi="Calibri" w:cs="Calibri"/>
                <w:color w:val="000000"/>
                <w:sz w:val="22"/>
                <w:szCs w:val="22"/>
              </w:rPr>
            </w:pPr>
            <w:r w:rsidRPr="001B4CA2">
              <w:rPr>
                <w:rFonts w:ascii="Calibri" w:hAnsi="Calibri" w:cs="Calibri"/>
                <w:color w:val="000000"/>
                <w:sz w:val="22"/>
                <w:szCs w:val="22"/>
              </w:rPr>
              <w:t>9</w:t>
            </w:r>
          </w:p>
        </w:tc>
        <w:tc>
          <w:tcPr>
            <w:tcW w:w="716" w:type="dxa"/>
            <w:tcBorders>
              <w:top w:val="nil"/>
              <w:left w:val="nil"/>
              <w:bottom w:val="single" w:sz="4" w:space="0" w:color="auto"/>
              <w:right w:val="single" w:sz="4" w:space="0" w:color="auto"/>
            </w:tcBorders>
            <w:shd w:val="clear" w:color="auto" w:fill="auto"/>
            <w:noWrap/>
            <w:vAlign w:val="center"/>
          </w:tcPr>
          <w:p w14:paraId="30BD64FA" w14:textId="77777777" w:rsidR="00B010E6" w:rsidRPr="001B4CA2" w:rsidRDefault="00B010E6" w:rsidP="00B010E6">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6CD79200" w14:textId="77777777" w:rsidR="00B010E6" w:rsidRPr="001B4CA2" w:rsidRDefault="00B010E6" w:rsidP="00B010E6">
            <w:pPr>
              <w:jc w:val="center"/>
              <w:rPr>
                <w:rFonts w:ascii="Calibri" w:hAnsi="Calibri" w:cs="Calibri"/>
                <w:color w:val="000000"/>
                <w:sz w:val="22"/>
                <w:szCs w:val="22"/>
              </w:rPr>
            </w:pPr>
          </w:p>
        </w:tc>
        <w:tc>
          <w:tcPr>
            <w:tcW w:w="789" w:type="dxa"/>
            <w:tcBorders>
              <w:top w:val="nil"/>
              <w:left w:val="nil"/>
              <w:bottom w:val="single" w:sz="4" w:space="0" w:color="auto"/>
              <w:right w:val="single" w:sz="4" w:space="0" w:color="auto"/>
            </w:tcBorders>
            <w:shd w:val="clear" w:color="auto" w:fill="auto"/>
            <w:noWrap/>
            <w:vAlign w:val="center"/>
          </w:tcPr>
          <w:p w14:paraId="2508F945"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31</w:t>
            </w:r>
          </w:p>
        </w:tc>
        <w:tc>
          <w:tcPr>
            <w:tcW w:w="789" w:type="dxa"/>
            <w:tcBorders>
              <w:top w:val="nil"/>
              <w:left w:val="nil"/>
              <w:bottom w:val="single" w:sz="4" w:space="0" w:color="auto"/>
              <w:right w:val="single" w:sz="4" w:space="0" w:color="auto"/>
            </w:tcBorders>
            <w:shd w:val="clear" w:color="auto" w:fill="auto"/>
            <w:vAlign w:val="center"/>
          </w:tcPr>
          <w:p w14:paraId="644F9BDD" w14:textId="77777777" w:rsidR="00B010E6" w:rsidRPr="001B4CA2" w:rsidRDefault="00B010E6" w:rsidP="00B010E6">
            <w:pPr>
              <w:jc w:val="center"/>
              <w:rPr>
                <w:rFonts w:ascii="Calibri" w:hAnsi="Calibri" w:cs="Calibri"/>
                <w:bCs/>
                <w:color w:val="000000"/>
                <w:sz w:val="22"/>
                <w:szCs w:val="22"/>
              </w:rPr>
            </w:pPr>
            <w:r w:rsidRPr="001B4CA2">
              <w:rPr>
                <w:rFonts w:ascii="Calibri" w:hAnsi="Calibri" w:cs="Calibri"/>
                <w:bCs/>
                <w:color w:val="000000"/>
                <w:sz w:val="22"/>
                <w:szCs w:val="22"/>
              </w:rPr>
              <w:t>29</w:t>
            </w:r>
          </w:p>
        </w:tc>
        <w:tc>
          <w:tcPr>
            <w:tcW w:w="921" w:type="dxa"/>
            <w:tcBorders>
              <w:top w:val="nil"/>
              <w:left w:val="nil"/>
              <w:bottom w:val="single" w:sz="4" w:space="0" w:color="auto"/>
              <w:right w:val="single" w:sz="4" w:space="0" w:color="auto"/>
            </w:tcBorders>
            <w:vAlign w:val="center"/>
          </w:tcPr>
          <w:p w14:paraId="5D1B5848"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60</w:t>
            </w:r>
          </w:p>
        </w:tc>
      </w:tr>
      <w:tr w:rsidR="00B010E6" w:rsidRPr="001B4CA2" w14:paraId="089023F9" w14:textId="77777777" w:rsidTr="00FC6656">
        <w:trPr>
          <w:trHeight w:hRule="exact" w:val="248"/>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EBDF5" w14:textId="77777777" w:rsidR="00B010E6" w:rsidRPr="001B4CA2" w:rsidRDefault="00B010E6" w:rsidP="00B010E6">
            <w:pPr>
              <w:jc w:val="righ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UKUPNO</w:t>
            </w:r>
          </w:p>
        </w:tc>
        <w:tc>
          <w:tcPr>
            <w:tcW w:w="730" w:type="dxa"/>
            <w:tcBorders>
              <w:top w:val="nil"/>
              <w:left w:val="nil"/>
              <w:bottom w:val="single" w:sz="4" w:space="0" w:color="auto"/>
              <w:right w:val="single" w:sz="4" w:space="0" w:color="auto"/>
            </w:tcBorders>
            <w:shd w:val="clear" w:color="auto" w:fill="auto"/>
            <w:noWrap/>
            <w:vAlign w:val="center"/>
          </w:tcPr>
          <w:p w14:paraId="09EA5DD0" w14:textId="77777777" w:rsidR="00B010E6" w:rsidRPr="001B4CA2" w:rsidRDefault="00B010E6" w:rsidP="00B010E6">
            <w:pPr>
              <w:jc w:val="center"/>
              <w:rPr>
                <w:rFonts w:ascii="Calibri" w:hAnsi="Calibri" w:cs="Calibri"/>
                <w:b/>
                <w:bCs/>
                <w:color w:val="000000"/>
                <w:sz w:val="20"/>
                <w:szCs w:val="20"/>
              </w:rPr>
            </w:pPr>
            <w:r w:rsidRPr="001B4CA2">
              <w:rPr>
                <w:rFonts w:ascii="Calibri" w:hAnsi="Calibri" w:cs="Calibri"/>
                <w:b/>
                <w:bCs/>
                <w:color w:val="000000"/>
                <w:sz w:val="20"/>
                <w:szCs w:val="20"/>
              </w:rPr>
              <w:t>476</w:t>
            </w:r>
          </w:p>
        </w:tc>
        <w:tc>
          <w:tcPr>
            <w:tcW w:w="734" w:type="dxa"/>
            <w:tcBorders>
              <w:top w:val="nil"/>
              <w:left w:val="nil"/>
              <w:bottom w:val="single" w:sz="4" w:space="0" w:color="auto"/>
              <w:right w:val="single" w:sz="4" w:space="0" w:color="auto"/>
            </w:tcBorders>
            <w:shd w:val="clear" w:color="auto" w:fill="auto"/>
            <w:noWrap/>
            <w:vAlign w:val="center"/>
          </w:tcPr>
          <w:p w14:paraId="7F1DA710" w14:textId="77777777" w:rsidR="00B010E6" w:rsidRPr="001B4CA2" w:rsidRDefault="00B010E6" w:rsidP="00B010E6">
            <w:pPr>
              <w:jc w:val="center"/>
              <w:rPr>
                <w:rFonts w:ascii="Calibri" w:hAnsi="Calibri" w:cs="Calibri"/>
                <w:b/>
                <w:bCs/>
                <w:color w:val="000000"/>
                <w:sz w:val="20"/>
                <w:szCs w:val="20"/>
              </w:rPr>
            </w:pPr>
            <w:r w:rsidRPr="001B4CA2">
              <w:rPr>
                <w:rFonts w:ascii="Calibri" w:hAnsi="Calibri" w:cs="Calibri"/>
                <w:b/>
                <w:bCs/>
                <w:color w:val="000000"/>
                <w:sz w:val="20"/>
                <w:szCs w:val="20"/>
              </w:rPr>
              <w:t>2.368</w:t>
            </w:r>
          </w:p>
        </w:tc>
        <w:tc>
          <w:tcPr>
            <w:tcW w:w="788" w:type="dxa"/>
            <w:tcBorders>
              <w:top w:val="nil"/>
              <w:left w:val="nil"/>
              <w:bottom w:val="single" w:sz="4" w:space="0" w:color="auto"/>
              <w:right w:val="single" w:sz="4" w:space="0" w:color="auto"/>
            </w:tcBorders>
            <w:shd w:val="clear" w:color="auto" w:fill="auto"/>
            <w:noWrap/>
            <w:vAlign w:val="center"/>
          </w:tcPr>
          <w:p w14:paraId="2F9EFAFD" w14:textId="77777777" w:rsidR="00B010E6" w:rsidRPr="001B4CA2" w:rsidRDefault="00B010E6" w:rsidP="00B010E6">
            <w:pPr>
              <w:jc w:val="center"/>
              <w:rPr>
                <w:rFonts w:ascii="Calibri" w:hAnsi="Calibri" w:cs="Calibri"/>
                <w:b/>
                <w:bCs/>
                <w:color w:val="000000"/>
                <w:sz w:val="20"/>
                <w:szCs w:val="20"/>
              </w:rPr>
            </w:pPr>
            <w:r w:rsidRPr="001B4CA2">
              <w:rPr>
                <w:rFonts w:ascii="Calibri" w:hAnsi="Calibri" w:cs="Calibri"/>
                <w:b/>
                <w:bCs/>
                <w:color w:val="000000"/>
                <w:sz w:val="20"/>
                <w:szCs w:val="20"/>
              </w:rPr>
              <w:t>1.134</w:t>
            </w:r>
          </w:p>
        </w:tc>
        <w:tc>
          <w:tcPr>
            <w:tcW w:w="733" w:type="dxa"/>
            <w:tcBorders>
              <w:top w:val="nil"/>
              <w:left w:val="nil"/>
              <w:bottom w:val="single" w:sz="4" w:space="0" w:color="auto"/>
              <w:right w:val="single" w:sz="4" w:space="0" w:color="auto"/>
            </w:tcBorders>
            <w:shd w:val="clear" w:color="auto" w:fill="auto"/>
            <w:noWrap/>
            <w:vAlign w:val="center"/>
          </w:tcPr>
          <w:p w14:paraId="010F7E3A" w14:textId="77777777" w:rsidR="00B010E6" w:rsidRPr="001B4CA2" w:rsidRDefault="00B010E6" w:rsidP="00B010E6">
            <w:pPr>
              <w:jc w:val="center"/>
              <w:rPr>
                <w:rFonts w:ascii="Calibri" w:hAnsi="Calibri" w:cs="Calibri"/>
                <w:b/>
                <w:bCs/>
                <w:color w:val="000000"/>
                <w:sz w:val="20"/>
                <w:szCs w:val="20"/>
              </w:rPr>
            </w:pPr>
            <w:r w:rsidRPr="001B4CA2">
              <w:rPr>
                <w:rFonts w:ascii="Calibri" w:hAnsi="Calibri" w:cs="Calibri"/>
                <w:b/>
                <w:bCs/>
                <w:color w:val="000000"/>
                <w:sz w:val="20"/>
                <w:szCs w:val="20"/>
              </w:rPr>
              <w:t>456</w:t>
            </w:r>
          </w:p>
        </w:tc>
        <w:tc>
          <w:tcPr>
            <w:tcW w:w="860" w:type="dxa"/>
            <w:tcBorders>
              <w:top w:val="nil"/>
              <w:left w:val="nil"/>
              <w:bottom w:val="single" w:sz="4" w:space="0" w:color="auto"/>
              <w:right w:val="single" w:sz="4" w:space="0" w:color="auto"/>
            </w:tcBorders>
            <w:shd w:val="clear" w:color="auto" w:fill="auto"/>
            <w:noWrap/>
            <w:vAlign w:val="center"/>
          </w:tcPr>
          <w:p w14:paraId="4A6A2108" w14:textId="77777777" w:rsidR="00B010E6" w:rsidRPr="001B4CA2" w:rsidRDefault="00B010E6" w:rsidP="00B010E6">
            <w:pPr>
              <w:jc w:val="center"/>
              <w:rPr>
                <w:rFonts w:ascii="Calibri" w:hAnsi="Calibri" w:cs="Calibri"/>
                <w:b/>
                <w:bCs/>
                <w:color w:val="000000"/>
                <w:sz w:val="20"/>
                <w:szCs w:val="20"/>
              </w:rPr>
            </w:pPr>
            <w:r w:rsidRPr="001B4CA2">
              <w:rPr>
                <w:rFonts w:ascii="Calibri" w:hAnsi="Calibri" w:cs="Calibri"/>
                <w:b/>
                <w:bCs/>
                <w:color w:val="000000"/>
                <w:sz w:val="20"/>
                <w:szCs w:val="20"/>
              </w:rPr>
              <w:t>297</w:t>
            </w:r>
          </w:p>
        </w:tc>
        <w:tc>
          <w:tcPr>
            <w:tcW w:w="718" w:type="dxa"/>
            <w:tcBorders>
              <w:top w:val="nil"/>
              <w:left w:val="nil"/>
              <w:bottom w:val="single" w:sz="4" w:space="0" w:color="auto"/>
              <w:right w:val="single" w:sz="4" w:space="0" w:color="auto"/>
            </w:tcBorders>
            <w:shd w:val="clear" w:color="auto" w:fill="auto"/>
            <w:noWrap/>
            <w:vAlign w:val="center"/>
          </w:tcPr>
          <w:p w14:paraId="6481FEF4" w14:textId="77777777" w:rsidR="00B010E6" w:rsidRPr="001B4CA2" w:rsidRDefault="00B010E6" w:rsidP="00B010E6">
            <w:pPr>
              <w:jc w:val="center"/>
              <w:rPr>
                <w:rFonts w:ascii="Calibri" w:hAnsi="Calibri" w:cs="Calibri"/>
                <w:b/>
                <w:bCs/>
                <w:color w:val="000000"/>
                <w:sz w:val="20"/>
                <w:szCs w:val="20"/>
              </w:rPr>
            </w:pPr>
            <w:r w:rsidRPr="001B4CA2">
              <w:rPr>
                <w:rFonts w:ascii="Calibri" w:hAnsi="Calibri" w:cs="Calibri"/>
                <w:b/>
                <w:bCs/>
                <w:color w:val="000000"/>
                <w:sz w:val="20"/>
                <w:szCs w:val="20"/>
              </w:rPr>
              <w:t>619</w:t>
            </w:r>
          </w:p>
        </w:tc>
        <w:tc>
          <w:tcPr>
            <w:tcW w:w="861" w:type="dxa"/>
            <w:tcBorders>
              <w:top w:val="nil"/>
              <w:left w:val="nil"/>
              <w:bottom w:val="single" w:sz="4" w:space="0" w:color="auto"/>
              <w:right w:val="single" w:sz="4" w:space="0" w:color="auto"/>
            </w:tcBorders>
            <w:shd w:val="clear" w:color="auto" w:fill="auto"/>
            <w:noWrap/>
            <w:vAlign w:val="center"/>
          </w:tcPr>
          <w:p w14:paraId="6A1ED425"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9</w:t>
            </w:r>
          </w:p>
        </w:tc>
        <w:tc>
          <w:tcPr>
            <w:tcW w:w="861" w:type="dxa"/>
            <w:tcBorders>
              <w:top w:val="nil"/>
              <w:left w:val="nil"/>
              <w:bottom w:val="single" w:sz="4" w:space="0" w:color="auto"/>
              <w:right w:val="single" w:sz="4" w:space="0" w:color="auto"/>
            </w:tcBorders>
            <w:shd w:val="clear" w:color="auto" w:fill="auto"/>
            <w:noWrap/>
            <w:vAlign w:val="center"/>
          </w:tcPr>
          <w:p w14:paraId="3BBD72CC"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1.128</w:t>
            </w:r>
          </w:p>
        </w:tc>
        <w:tc>
          <w:tcPr>
            <w:tcW w:w="716" w:type="dxa"/>
            <w:tcBorders>
              <w:top w:val="nil"/>
              <w:left w:val="nil"/>
              <w:bottom w:val="single" w:sz="4" w:space="0" w:color="auto"/>
              <w:right w:val="single" w:sz="4" w:space="0" w:color="auto"/>
            </w:tcBorders>
            <w:shd w:val="clear" w:color="auto" w:fill="auto"/>
            <w:noWrap/>
            <w:vAlign w:val="center"/>
          </w:tcPr>
          <w:p w14:paraId="6DE9D067"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41</w:t>
            </w:r>
          </w:p>
        </w:tc>
        <w:tc>
          <w:tcPr>
            <w:tcW w:w="719" w:type="dxa"/>
            <w:tcBorders>
              <w:top w:val="nil"/>
              <w:left w:val="nil"/>
              <w:bottom w:val="single" w:sz="4" w:space="0" w:color="auto"/>
              <w:right w:val="single" w:sz="4" w:space="0" w:color="auto"/>
            </w:tcBorders>
            <w:shd w:val="clear" w:color="auto" w:fill="auto"/>
            <w:noWrap/>
            <w:vAlign w:val="center"/>
          </w:tcPr>
          <w:p w14:paraId="3DECE685"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65</w:t>
            </w:r>
          </w:p>
        </w:tc>
        <w:tc>
          <w:tcPr>
            <w:tcW w:w="789" w:type="dxa"/>
            <w:tcBorders>
              <w:top w:val="nil"/>
              <w:left w:val="nil"/>
              <w:bottom w:val="single" w:sz="4" w:space="0" w:color="auto"/>
              <w:right w:val="single" w:sz="4" w:space="0" w:color="auto"/>
            </w:tcBorders>
            <w:shd w:val="clear" w:color="auto" w:fill="auto"/>
            <w:noWrap/>
            <w:vAlign w:val="center"/>
          </w:tcPr>
          <w:p w14:paraId="445453C2"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1.957</w:t>
            </w:r>
          </w:p>
        </w:tc>
        <w:tc>
          <w:tcPr>
            <w:tcW w:w="789" w:type="dxa"/>
            <w:tcBorders>
              <w:top w:val="nil"/>
              <w:left w:val="nil"/>
              <w:bottom w:val="single" w:sz="4" w:space="0" w:color="auto"/>
              <w:right w:val="single" w:sz="4" w:space="0" w:color="auto"/>
            </w:tcBorders>
            <w:shd w:val="clear" w:color="auto" w:fill="auto"/>
            <w:vAlign w:val="center"/>
          </w:tcPr>
          <w:p w14:paraId="721E1257"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4.636</w:t>
            </w:r>
          </w:p>
        </w:tc>
        <w:tc>
          <w:tcPr>
            <w:tcW w:w="921" w:type="dxa"/>
            <w:tcBorders>
              <w:top w:val="nil"/>
              <w:left w:val="nil"/>
              <w:bottom w:val="single" w:sz="4" w:space="0" w:color="auto"/>
              <w:right w:val="single" w:sz="4" w:space="0" w:color="auto"/>
            </w:tcBorders>
            <w:vAlign w:val="center"/>
          </w:tcPr>
          <w:p w14:paraId="06B27DC8" w14:textId="77777777" w:rsidR="00B010E6" w:rsidRPr="001B4CA2" w:rsidRDefault="00B010E6" w:rsidP="00B010E6">
            <w:pPr>
              <w:jc w:val="center"/>
              <w:rPr>
                <w:rFonts w:ascii="Calibri" w:hAnsi="Calibri" w:cs="Calibri"/>
                <w:b/>
                <w:bCs/>
                <w:color w:val="000000"/>
                <w:sz w:val="22"/>
                <w:szCs w:val="22"/>
              </w:rPr>
            </w:pPr>
            <w:r w:rsidRPr="001B4CA2">
              <w:rPr>
                <w:rFonts w:ascii="Calibri" w:hAnsi="Calibri" w:cs="Calibri"/>
                <w:b/>
                <w:bCs/>
                <w:color w:val="000000"/>
                <w:sz w:val="22"/>
                <w:szCs w:val="22"/>
              </w:rPr>
              <w:t>6.593</w:t>
            </w:r>
          </w:p>
        </w:tc>
      </w:tr>
    </w:tbl>
    <w:p w14:paraId="1CC0B16B" w14:textId="77777777" w:rsidR="00B010E6" w:rsidRPr="001B4CA2" w:rsidRDefault="00B010E6" w:rsidP="00B010E6">
      <w:pPr>
        <w:rPr>
          <w:szCs w:val="22"/>
        </w:rPr>
      </w:pPr>
    </w:p>
    <w:p w14:paraId="37408DB7" w14:textId="61BFB290" w:rsidR="005B7CCC" w:rsidRPr="001B4CA2" w:rsidRDefault="005B7CCC" w:rsidP="005B7CCC">
      <w:pPr>
        <w:spacing w:after="200" w:line="276" w:lineRule="auto"/>
        <w:jc w:val="left"/>
        <w:sectPr w:rsidR="005B7CCC" w:rsidRPr="001B4CA2" w:rsidSect="007418AF">
          <w:type w:val="continuous"/>
          <w:pgSz w:w="16838" w:h="11906" w:orient="landscape"/>
          <w:pgMar w:top="851" w:right="1417" w:bottom="709" w:left="1417" w:header="709" w:footer="709" w:gutter="0"/>
          <w:cols w:space="708"/>
          <w:docGrid w:linePitch="360"/>
        </w:sectPr>
      </w:pPr>
    </w:p>
    <w:p w14:paraId="4D4FDBEA" w14:textId="4F648280" w:rsidR="00B010E6" w:rsidRPr="001B4CA2" w:rsidRDefault="00B010E6" w:rsidP="00B010E6">
      <w:pPr>
        <w:ind w:firstLine="708"/>
        <w:rPr>
          <w:rFonts w:eastAsia="Arial"/>
        </w:rPr>
      </w:pPr>
      <w:r w:rsidRPr="001B4CA2">
        <w:rPr>
          <w:rFonts w:eastAsia="Arial"/>
        </w:rPr>
        <w:lastRenderedPageBreak/>
        <w:t>Tijekom izvještajnog razdoblja podneseno je 6.593 zahtjeva za mirno rješenje spora od čega se 30</w:t>
      </w:r>
      <w:r w:rsidR="008B7B29">
        <w:rPr>
          <w:rFonts w:eastAsia="Arial"/>
        </w:rPr>
        <w:t> </w:t>
      </w:r>
      <w:r w:rsidRPr="001B4CA2">
        <w:rPr>
          <w:rFonts w:eastAsia="Arial"/>
        </w:rPr>
        <w:t xml:space="preserve">% odnosi na zahtjeve Republike Hrvatske. </w:t>
      </w:r>
    </w:p>
    <w:p w14:paraId="0BB48072" w14:textId="77777777" w:rsidR="00B010E6" w:rsidRPr="001B4CA2" w:rsidRDefault="00B010E6" w:rsidP="00B010E6">
      <w:pPr>
        <w:ind w:firstLine="708"/>
        <w:rPr>
          <w:rFonts w:eastAsia="Arial"/>
        </w:rPr>
      </w:pPr>
    </w:p>
    <w:p w14:paraId="26B04020" w14:textId="40C78FF4" w:rsidR="00B010E6" w:rsidRPr="001B4CA2" w:rsidRDefault="00B010E6" w:rsidP="00B010E6">
      <w:pPr>
        <w:ind w:firstLine="708"/>
        <w:rPr>
          <w:rFonts w:eastAsia="Arial"/>
        </w:rPr>
      </w:pPr>
      <w:r w:rsidRPr="001B4CA2">
        <w:rPr>
          <w:rFonts w:eastAsia="Arial"/>
        </w:rPr>
        <w:t>Promatrajući zahtjeve za mirno rješenje spora prema njihovoj vrsti</w:t>
      </w:r>
      <w:r w:rsidR="008B7B29">
        <w:rPr>
          <w:rFonts w:eastAsia="Arial"/>
        </w:rPr>
        <w:t>,</w:t>
      </w:r>
      <w:r w:rsidRPr="001B4CA2">
        <w:rPr>
          <w:rFonts w:eastAsia="Arial"/>
        </w:rPr>
        <w:t xml:space="preserve"> </w:t>
      </w:r>
      <w:r w:rsidR="008B7B29">
        <w:rPr>
          <w:rFonts w:eastAsia="Arial"/>
        </w:rPr>
        <w:t>razvidno</w:t>
      </w:r>
      <w:r w:rsidRPr="001B4CA2">
        <w:rPr>
          <w:rFonts w:eastAsia="Arial"/>
        </w:rPr>
        <w:t xml:space="preserve"> je da se 43</w:t>
      </w:r>
      <w:r w:rsidR="008B7B29">
        <w:rPr>
          <w:rFonts w:eastAsia="Arial"/>
        </w:rPr>
        <w:t> </w:t>
      </w:r>
      <w:r w:rsidRPr="001B4CA2">
        <w:rPr>
          <w:rFonts w:eastAsia="Arial"/>
        </w:rPr>
        <w:t xml:space="preserve">% </w:t>
      </w:r>
      <w:r w:rsidR="009E6D91" w:rsidRPr="001B4CA2">
        <w:rPr>
          <w:rFonts w:eastAsia="Arial"/>
        </w:rPr>
        <w:t>odnosilo</w:t>
      </w:r>
      <w:r w:rsidRPr="001B4CA2">
        <w:rPr>
          <w:rFonts w:eastAsia="Arial"/>
        </w:rPr>
        <w:t xml:space="preserve"> na </w:t>
      </w:r>
      <w:proofErr w:type="spellStart"/>
      <w:r w:rsidRPr="001B4CA2">
        <w:rPr>
          <w:rFonts w:eastAsia="Arial"/>
        </w:rPr>
        <w:t>stvarnopravne</w:t>
      </w:r>
      <w:proofErr w:type="spellEnd"/>
      <w:r w:rsidRPr="001B4CA2">
        <w:rPr>
          <w:rFonts w:eastAsia="Arial"/>
        </w:rPr>
        <w:t xml:space="preserve"> sporove, 24</w:t>
      </w:r>
      <w:r w:rsidR="008B7B29">
        <w:rPr>
          <w:rFonts w:eastAsia="Arial"/>
        </w:rPr>
        <w:t> </w:t>
      </w:r>
      <w:r w:rsidRPr="001B4CA2">
        <w:rPr>
          <w:rFonts w:eastAsia="Arial"/>
        </w:rPr>
        <w:t xml:space="preserve">% na </w:t>
      </w:r>
      <w:proofErr w:type="spellStart"/>
      <w:r w:rsidRPr="001B4CA2">
        <w:rPr>
          <w:rFonts w:eastAsia="Arial"/>
        </w:rPr>
        <w:t>obveznopravne</w:t>
      </w:r>
      <w:proofErr w:type="spellEnd"/>
      <w:r w:rsidRPr="001B4CA2">
        <w:rPr>
          <w:rFonts w:eastAsia="Arial"/>
        </w:rPr>
        <w:t xml:space="preserve"> sporove, 17</w:t>
      </w:r>
      <w:r w:rsidR="008B7B29">
        <w:rPr>
          <w:rFonts w:eastAsia="Arial"/>
        </w:rPr>
        <w:t> </w:t>
      </w:r>
      <w:r w:rsidRPr="001B4CA2">
        <w:rPr>
          <w:rFonts w:eastAsia="Arial"/>
        </w:rPr>
        <w:t>% na radne sporove, 14</w:t>
      </w:r>
      <w:r w:rsidR="008B7B29">
        <w:rPr>
          <w:rFonts w:eastAsia="Arial"/>
        </w:rPr>
        <w:t> </w:t>
      </w:r>
      <w:r w:rsidRPr="001B4CA2">
        <w:rPr>
          <w:rFonts w:eastAsia="Arial"/>
        </w:rPr>
        <w:t>% na sporove naknade štete</w:t>
      </w:r>
      <w:r w:rsidR="008B7B29">
        <w:rPr>
          <w:rFonts w:eastAsia="Arial"/>
        </w:rPr>
        <w:t>, a</w:t>
      </w:r>
      <w:r w:rsidRPr="001B4CA2">
        <w:rPr>
          <w:rFonts w:eastAsia="Arial"/>
        </w:rPr>
        <w:t xml:space="preserve"> samo 2</w:t>
      </w:r>
      <w:r w:rsidR="008B7B29">
        <w:rPr>
          <w:rFonts w:eastAsia="Arial"/>
        </w:rPr>
        <w:t> </w:t>
      </w:r>
      <w:r w:rsidRPr="001B4CA2">
        <w:rPr>
          <w:rFonts w:eastAsia="Arial"/>
        </w:rPr>
        <w:t>% na ostale parnične sporove.</w:t>
      </w:r>
    </w:p>
    <w:p w14:paraId="5298D3A1" w14:textId="77777777" w:rsidR="00B010E6" w:rsidRPr="001B4CA2" w:rsidRDefault="00B010E6" w:rsidP="00B010E6">
      <w:pPr>
        <w:rPr>
          <w:rFonts w:eastAsia="Arial"/>
        </w:rPr>
      </w:pPr>
    </w:p>
    <w:p w14:paraId="4BFBB6AE" w14:textId="42EA4AAC" w:rsidR="00B010E6" w:rsidRPr="001B4CA2" w:rsidRDefault="00B010E6" w:rsidP="00B010E6">
      <w:pPr>
        <w:rPr>
          <w:rFonts w:eastAsia="Arial"/>
        </w:rPr>
      </w:pPr>
      <w:r w:rsidRPr="001B4CA2">
        <w:rPr>
          <w:rFonts w:eastAsia="Arial"/>
        </w:rPr>
        <w:tab/>
        <w:t>U postupcima mirnog rješenja spora najzastupljenije tijelo bilo je Ministarstvo poljoprivrede</w:t>
      </w:r>
      <w:r w:rsidR="00FD08E9">
        <w:rPr>
          <w:rFonts w:eastAsia="Arial"/>
        </w:rPr>
        <w:t xml:space="preserve"> s </w:t>
      </w:r>
      <w:r w:rsidRPr="001B4CA2">
        <w:rPr>
          <w:rFonts w:eastAsia="Arial"/>
        </w:rPr>
        <w:t>26</w:t>
      </w:r>
      <w:r w:rsidR="008B7B29">
        <w:rPr>
          <w:rFonts w:eastAsia="Arial"/>
        </w:rPr>
        <w:t> </w:t>
      </w:r>
      <w:r w:rsidRPr="001B4CA2">
        <w:rPr>
          <w:rFonts w:eastAsia="Arial"/>
        </w:rPr>
        <w:t>% zahtjeva, slijedi Ministarstvo prostornog uređenja, graditeljstva i državne imovine</w:t>
      </w:r>
      <w:r w:rsidR="00FD08E9">
        <w:rPr>
          <w:rFonts w:eastAsia="Arial"/>
        </w:rPr>
        <w:t xml:space="preserve"> s </w:t>
      </w:r>
      <w:r w:rsidRPr="001B4CA2">
        <w:rPr>
          <w:rFonts w:eastAsia="Arial"/>
        </w:rPr>
        <w:t>22</w:t>
      </w:r>
      <w:r w:rsidR="008B7B29">
        <w:rPr>
          <w:rFonts w:eastAsia="Arial"/>
        </w:rPr>
        <w:t> </w:t>
      </w:r>
      <w:r w:rsidRPr="001B4CA2">
        <w:rPr>
          <w:rFonts w:eastAsia="Arial"/>
        </w:rPr>
        <w:t>% zahtjeva te Ministarstvo unutarnjih poslova</w:t>
      </w:r>
      <w:r w:rsidR="00FD08E9">
        <w:rPr>
          <w:rFonts w:eastAsia="Arial"/>
        </w:rPr>
        <w:t xml:space="preserve"> s </w:t>
      </w:r>
      <w:r w:rsidRPr="001B4CA2">
        <w:rPr>
          <w:rFonts w:eastAsia="Arial"/>
        </w:rPr>
        <w:t>12</w:t>
      </w:r>
      <w:r w:rsidR="008B7B29">
        <w:rPr>
          <w:rFonts w:eastAsia="Arial"/>
        </w:rPr>
        <w:t> </w:t>
      </w:r>
      <w:r w:rsidRPr="001B4CA2">
        <w:rPr>
          <w:rFonts w:eastAsia="Arial"/>
        </w:rPr>
        <w:t xml:space="preserve">% zahtjeva, dok su ostala tijela zastupljena u manjem </w:t>
      </w:r>
      <w:r w:rsidR="00B36A94" w:rsidRPr="001B4CA2">
        <w:rPr>
          <w:rFonts w:eastAsia="Arial"/>
        </w:rPr>
        <w:t>postotku</w:t>
      </w:r>
      <w:r w:rsidRPr="001B4CA2">
        <w:rPr>
          <w:rFonts w:eastAsia="Arial"/>
        </w:rPr>
        <w:t>.</w:t>
      </w:r>
    </w:p>
    <w:p w14:paraId="129C2055" w14:textId="77777777" w:rsidR="00B010E6" w:rsidRPr="001B4CA2" w:rsidRDefault="00B010E6" w:rsidP="00B010E6">
      <w:pPr>
        <w:rPr>
          <w:szCs w:val="22"/>
        </w:rPr>
      </w:pPr>
    </w:p>
    <w:p w14:paraId="0A911EAB" w14:textId="44125F85" w:rsidR="00B010E6" w:rsidRPr="001B4CA2" w:rsidRDefault="00B010E6" w:rsidP="00B010E6">
      <w:pPr>
        <w:rPr>
          <w:szCs w:val="22"/>
        </w:rPr>
      </w:pPr>
      <w:r w:rsidRPr="001B4CA2">
        <w:rPr>
          <w:szCs w:val="22"/>
        </w:rPr>
        <w:tab/>
        <w:t xml:space="preserve">U odnosu na </w:t>
      </w:r>
      <w:proofErr w:type="spellStart"/>
      <w:r w:rsidRPr="001B4CA2">
        <w:rPr>
          <w:szCs w:val="22"/>
        </w:rPr>
        <w:t>stvarnopravne</w:t>
      </w:r>
      <w:proofErr w:type="spellEnd"/>
      <w:r w:rsidRPr="001B4CA2">
        <w:rPr>
          <w:szCs w:val="22"/>
        </w:rPr>
        <w:t xml:space="preserve"> sporove najveći broj zahtjeva odnosi</w:t>
      </w:r>
      <w:r w:rsidR="009E6D91" w:rsidRPr="001B4CA2">
        <w:rPr>
          <w:szCs w:val="22"/>
        </w:rPr>
        <w:t>o</w:t>
      </w:r>
      <w:r w:rsidRPr="001B4CA2">
        <w:rPr>
          <w:szCs w:val="22"/>
        </w:rPr>
        <w:t xml:space="preserve"> </w:t>
      </w:r>
      <w:r w:rsidR="008B7B29" w:rsidRPr="001B4CA2">
        <w:rPr>
          <w:szCs w:val="22"/>
        </w:rPr>
        <w:t xml:space="preserve">se </w:t>
      </w:r>
      <w:r w:rsidRPr="001B4CA2">
        <w:rPr>
          <w:szCs w:val="22"/>
        </w:rPr>
        <w:t>na djelokrug rada Ministarstva poljoprivrede (49</w:t>
      </w:r>
      <w:r w:rsidR="008B7B29">
        <w:rPr>
          <w:rFonts w:eastAsia="Arial"/>
        </w:rPr>
        <w:t> </w:t>
      </w:r>
      <w:r w:rsidRPr="001B4CA2">
        <w:rPr>
          <w:szCs w:val="22"/>
        </w:rPr>
        <w:t>%) i Ministarstva prostornog uređenja, graditeljstva i državne imovine (43</w:t>
      </w:r>
      <w:r w:rsidR="008B7B29">
        <w:rPr>
          <w:rFonts w:eastAsia="Arial"/>
        </w:rPr>
        <w:t> </w:t>
      </w:r>
      <w:r w:rsidRPr="001B4CA2">
        <w:rPr>
          <w:szCs w:val="22"/>
        </w:rPr>
        <w:t>%).</w:t>
      </w:r>
    </w:p>
    <w:p w14:paraId="7C524C07" w14:textId="77777777" w:rsidR="00B010E6" w:rsidRPr="001B4CA2" w:rsidRDefault="00B010E6" w:rsidP="00B010E6">
      <w:pPr>
        <w:rPr>
          <w:szCs w:val="22"/>
        </w:rPr>
      </w:pPr>
    </w:p>
    <w:p w14:paraId="7C3B9470" w14:textId="0790B867" w:rsidR="00B010E6" w:rsidRPr="001B4CA2" w:rsidRDefault="00B010E6" w:rsidP="00B010E6">
      <w:pPr>
        <w:rPr>
          <w:szCs w:val="22"/>
        </w:rPr>
      </w:pPr>
      <w:r w:rsidRPr="001B4CA2">
        <w:rPr>
          <w:szCs w:val="22"/>
        </w:rPr>
        <w:tab/>
        <w:t xml:space="preserve">Od ukupnog broja </w:t>
      </w:r>
      <w:proofErr w:type="spellStart"/>
      <w:r w:rsidRPr="001B4CA2">
        <w:rPr>
          <w:szCs w:val="22"/>
        </w:rPr>
        <w:t>obveznopravnih</w:t>
      </w:r>
      <w:proofErr w:type="spellEnd"/>
      <w:r w:rsidRPr="001B4CA2">
        <w:rPr>
          <w:szCs w:val="22"/>
        </w:rPr>
        <w:t xml:space="preserve"> zahtjeva 33</w:t>
      </w:r>
      <w:r w:rsidR="00E459BE">
        <w:rPr>
          <w:szCs w:val="22"/>
        </w:rPr>
        <w:t> </w:t>
      </w:r>
      <w:r w:rsidRPr="001B4CA2">
        <w:rPr>
          <w:szCs w:val="22"/>
        </w:rPr>
        <w:t>% se odnosi</w:t>
      </w:r>
      <w:r w:rsidR="009E6D91" w:rsidRPr="001B4CA2">
        <w:rPr>
          <w:szCs w:val="22"/>
        </w:rPr>
        <w:t>lo</w:t>
      </w:r>
      <w:r w:rsidRPr="001B4CA2">
        <w:rPr>
          <w:szCs w:val="22"/>
        </w:rPr>
        <w:t xml:space="preserve"> na djelokrug rada Središnjeg državnog ureda za obnovu i stambeno zbrinjavanje, 21</w:t>
      </w:r>
      <w:r w:rsidR="008B7B29">
        <w:rPr>
          <w:szCs w:val="22"/>
        </w:rPr>
        <w:t> </w:t>
      </w:r>
      <w:r w:rsidRPr="001B4CA2">
        <w:rPr>
          <w:szCs w:val="22"/>
        </w:rPr>
        <w:t xml:space="preserve">% na Ministarstvo poljoprivrede, dok </w:t>
      </w:r>
      <w:r w:rsidR="009E6D91" w:rsidRPr="001B4CA2">
        <w:rPr>
          <w:szCs w:val="22"/>
        </w:rPr>
        <w:t xml:space="preserve">su </w:t>
      </w:r>
      <w:r w:rsidRPr="001B4CA2">
        <w:rPr>
          <w:szCs w:val="22"/>
        </w:rPr>
        <w:t>ostala ministarstva i tijela sudjel</w:t>
      </w:r>
      <w:r w:rsidR="009E6D91" w:rsidRPr="001B4CA2">
        <w:rPr>
          <w:szCs w:val="22"/>
        </w:rPr>
        <w:t>ovala</w:t>
      </w:r>
      <w:r w:rsidRPr="001B4CA2">
        <w:rPr>
          <w:szCs w:val="22"/>
        </w:rPr>
        <w:t xml:space="preserve"> s manjim udjelom u ovoj vrsti zahtjeva.</w:t>
      </w:r>
    </w:p>
    <w:p w14:paraId="14BA7C1C" w14:textId="77777777" w:rsidR="00B010E6" w:rsidRPr="001B4CA2" w:rsidRDefault="00B010E6" w:rsidP="00B010E6">
      <w:pPr>
        <w:rPr>
          <w:szCs w:val="22"/>
        </w:rPr>
      </w:pPr>
    </w:p>
    <w:p w14:paraId="5137F58B" w14:textId="1CEB0A0B" w:rsidR="00B010E6" w:rsidRPr="001B4CA2" w:rsidRDefault="00B010E6" w:rsidP="00B010E6">
      <w:pPr>
        <w:rPr>
          <w:szCs w:val="22"/>
        </w:rPr>
      </w:pPr>
      <w:r w:rsidRPr="001B4CA2">
        <w:rPr>
          <w:szCs w:val="22"/>
        </w:rPr>
        <w:tab/>
        <w:t>Zahtjevi za naknadu štete najvećim dijelom proizlaz</w:t>
      </w:r>
      <w:r w:rsidR="009E6D91" w:rsidRPr="001B4CA2">
        <w:rPr>
          <w:szCs w:val="22"/>
        </w:rPr>
        <w:t>ili su</w:t>
      </w:r>
      <w:r w:rsidRPr="001B4CA2">
        <w:rPr>
          <w:szCs w:val="22"/>
        </w:rPr>
        <w:t xml:space="preserve"> iz djelokruga rada Ministarstva pravosuđa i uprave (31</w:t>
      </w:r>
      <w:r w:rsidR="008B7B29">
        <w:rPr>
          <w:szCs w:val="22"/>
        </w:rPr>
        <w:t> </w:t>
      </w:r>
      <w:r w:rsidRPr="001B4CA2">
        <w:rPr>
          <w:szCs w:val="22"/>
        </w:rPr>
        <w:t>%) i Ministarstva prostornog uređenja, graditeljstva i državne imovine (20</w:t>
      </w:r>
      <w:r w:rsidR="008B7B29">
        <w:rPr>
          <w:szCs w:val="22"/>
        </w:rPr>
        <w:t> </w:t>
      </w:r>
      <w:r w:rsidRPr="001B4CA2">
        <w:rPr>
          <w:szCs w:val="22"/>
        </w:rPr>
        <w:t>%), dok se čak 57</w:t>
      </w:r>
      <w:r w:rsidR="008B7B29">
        <w:rPr>
          <w:szCs w:val="22"/>
        </w:rPr>
        <w:t> </w:t>
      </w:r>
      <w:r w:rsidRPr="001B4CA2">
        <w:rPr>
          <w:szCs w:val="22"/>
        </w:rPr>
        <w:t>% zahtjeva iz radnih sporova odnosi</w:t>
      </w:r>
      <w:r w:rsidR="009E6D91" w:rsidRPr="001B4CA2">
        <w:rPr>
          <w:szCs w:val="22"/>
        </w:rPr>
        <w:t>lo</w:t>
      </w:r>
      <w:r w:rsidRPr="001B4CA2">
        <w:rPr>
          <w:szCs w:val="22"/>
        </w:rPr>
        <w:t xml:space="preserve"> na Ministarstvo unutarnjih poslova.</w:t>
      </w:r>
    </w:p>
    <w:p w14:paraId="6AD3B840" w14:textId="77777777" w:rsidR="00B010E6" w:rsidRPr="001B4CA2" w:rsidRDefault="00B010E6" w:rsidP="00B010E6">
      <w:pPr>
        <w:rPr>
          <w:szCs w:val="22"/>
        </w:rPr>
      </w:pPr>
    </w:p>
    <w:p w14:paraId="4060EE76" w14:textId="4CA1DFC2" w:rsidR="00B010E6" w:rsidRPr="001B4CA2" w:rsidRDefault="00743EF4" w:rsidP="00B36A94">
      <w:pPr>
        <w:ind w:left="720" w:hanging="360"/>
        <w:contextualSpacing/>
        <w:jc w:val="left"/>
        <w:rPr>
          <w:rFonts w:asciiTheme="minorHAnsi" w:hAnsiTheme="minorHAnsi" w:cstheme="minorBidi"/>
          <w:i/>
          <w:szCs w:val="22"/>
        </w:rPr>
      </w:pPr>
      <w:r w:rsidRPr="001B4CA2">
        <w:rPr>
          <w:rFonts w:asciiTheme="minorHAnsi" w:hAnsiTheme="minorHAnsi" w:cstheme="minorBidi"/>
          <w:i/>
          <w:szCs w:val="22"/>
        </w:rPr>
        <w:t xml:space="preserve">c) </w:t>
      </w:r>
      <w:r w:rsidR="00B010E6" w:rsidRPr="001B4CA2">
        <w:rPr>
          <w:rFonts w:asciiTheme="minorHAnsi" w:hAnsiTheme="minorHAnsi" w:cstheme="minorBidi"/>
          <w:i/>
          <w:szCs w:val="22"/>
        </w:rPr>
        <w:t>Podnositelj zahtjeva Republika Hrvatska 2018. – 2022.</w:t>
      </w:r>
    </w:p>
    <w:tbl>
      <w:tblPr>
        <w:tblW w:w="4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730"/>
        <w:gridCol w:w="1730"/>
        <w:gridCol w:w="1849"/>
        <w:gridCol w:w="1784"/>
      </w:tblGrid>
      <w:tr w:rsidR="00B010E6" w:rsidRPr="001B4CA2" w14:paraId="2D03BB2B" w14:textId="77777777" w:rsidTr="00540F85">
        <w:trPr>
          <w:trHeight w:val="680"/>
          <w:jc w:val="center"/>
        </w:trPr>
        <w:tc>
          <w:tcPr>
            <w:tcW w:w="1003" w:type="pct"/>
            <w:shd w:val="clear" w:color="auto" w:fill="99CCFF"/>
            <w:vAlign w:val="center"/>
            <w:hideMark/>
          </w:tcPr>
          <w:p w14:paraId="61A90047"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974" w:type="pct"/>
            <w:shd w:val="clear" w:color="auto" w:fill="99CCFF"/>
            <w:vAlign w:val="center"/>
            <w:hideMark/>
          </w:tcPr>
          <w:p w14:paraId="2B7C94B6"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 xml:space="preserve">Broj </w:t>
            </w:r>
            <w:r w:rsidRPr="001B4CA2">
              <w:rPr>
                <w:rFonts w:asciiTheme="minorHAnsi" w:eastAsia="Times New Roman" w:hAnsiTheme="minorHAnsi" w:cstheme="minorHAnsi"/>
                <w:b/>
                <w:bCs/>
                <w:sz w:val="18"/>
                <w:szCs w:val="18"/>
                <w:lang w:eastAsia="hr-HR"/>
              </w:rPr>
              <w:t xml:space="preserve">podnesenih </w:t>
            </w:r>
            <w:r w:rsidRPr="001B4CA2">
              <w:rPr>
                <w:rFonts w:asciiTheme="minorHAnsi" w:eastAsia="Times New Roman" w:hAnsiTheme="minorHAnsi" w:cstheme="minorHAnsi"/>
                <w:b/>
                <w:bCs/>
                <w:color w:val="000000"/>
                <w:sz w:val="18"/>
                <w:szCs w:val="18"/>
                <w:lang w:eastAsia="hr-HR"/>
              </w:rPr>
              <w:t>zahtjeva</w:t>
            </w:r>
          </w:p>
        </w:tc>
        <w:tc>
          <w:tcPr>
            <w:tcW w:w="975" w:type="pct"/>
            <w:shd w:val="clear" w:color="auto" w:fill="99CCFF"/>
            <w:vAlign w:val="center"/>
            <w:hideMark/>
          </w:tcPr>
          <w:p w14:paraId="6561D9B0"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Broj sklopljenih nagodbi</w:t>
            </w:r>
          </w:p>
        </w:tc>
        <w:tc>
          <w:tcPr>
            <w:tcW w:w="1042" w:type="pct"/>
            <w:shd w:val="clear" w:color="auto" w:fill="99CCFF"/>
            <w:vAlign w:val="center"/>
            <w:hideMark/>
          </w:tcPr>
          <w:p w14:paraId="75E93164" w14:textId="77777777" w:rsidR="00B010E6" w:rsidRPr="001B4CA2" w:rsidRDefault="00B010E6" w:rsidP="00B010E6">
            <w:pPr>
              <w:jc w:val="center"/>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sz w:val="18"/>
                <w:szCs w:val="18"/>
                <w:lang w:eastAsia="hr-HR"/>
              </w:rPr>
              <w:t>% sklopljenih nagodbi u odnosu na broj podnesenih zahtjeva</w:t>
            </w:r>
          </w:p>
        </w:tc>
        <w:tc>
          <w:tcPr>
            <w:tcW w:w="1005" w:type="pct"/>
            <w:shd w:val="clear" w:color="auto" w:fill="99CCFF"/>
            <w:vAlign w:val="center"/>
            <w:hideMark/>
          </w:tcPr>
          <w:p w14:paraId="0E18BE38"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Vrijednost nagodbe</w:t>
            </w:r>
          </w:p>
          <w:p w14:paraId="66462B9B"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 tisućama kuna)</w:t>
            </w:r>
          </w:p>
        </w:tc>
      </w:tr>
      <w:tr w:rsidR="00B010E6" w:rsidRPr="001B4CA2" w14:paraId="1D9C93CA" w14:textId="77777777" w:rsidTr="00540F85">
        <w:trPr>
          <w:trHeight w:val="452"/>
          <w:jc w:val="center"/>
        </w:trPr>
        <w:tc>
          <w:tcPr>
            <w:tcW w:w="1003" w:type="pct"/>
            <w:shd w:val="clear" w:color="auto" w:fill="auto"/>
            <w:noWrap/>
            <w:vAlign w:val="center"/>
            <w:hideMark/>
          </w:tcPr>
          <w:p w14:paraId="03301CA5"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2018.</w:t>
            </w:r>
          </w:p>
        </w:tc>
        <w:tc>
          <w:tcPr>
            <w:tcW w:w="974" w:type="pct"/>
            <w:shd w:val="clear" w:color="auto" w:fill="auto"/>
            <w:noWrap/>
            <w:vAlign w:val="center"/>
          </w:tcPr>
          <w:p w14:paraId="67C78602"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1.684</w:t>
            </w:r>
          </w:p>
        </w:tc>
        <w:tc>
          <w:tcPr>
            <w:tcW w:w="975" w:type="pct"/>
            <w:shd w:val="clear" w:color="auto" w:fill="auto"/>
            <w:noWrap/>
            <w:vAlign w:val="center"/>
          </w:tcPr>
          <w:p w14:paraId="6C6CF10A"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308</w:t>
            </w:r>
          </w:p>
        </w:tc>
        <w:tc>
          <w:tcPr>
            <w:tcW w:w="1042" w:type="pct"/>
            <w:shd w:val="clear" w:color="auto" w:fill="auto"/>
            <w:noWrap/>
            <w:vAlign w:val="center"/>
          </w:tcPr>
          <w:p w14:paraId="2A67F635"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18%</w:t>
            </w:r>
          </w:p>
        </w:tc>
        <w:tc>
          <w:tcPr>
            <w:tcW w:w="1005" w:type="pct"/>
            <w:shd w:val="clear" w:color="auto" w:fill="auto"/>
            <w:noWrap/>
            <w:vAlign w:val="center"/>
          </w:tcPr>
          <w:p w14:paraId="715D268B"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7.500</w:t>
            </w:r>
          </w:p>
        </w:tc>
      </w:tr>
      <w:tr w:rsidR="00B010E6" w:rsidRPr="001B4CA2" w14:paraId="522DFCFD" w14:textId="77777777" w:rsidTr="00540F85">
        <w:trPr>
          <w:trHeight w:val="452"/>
          <w:jc w:val="center"/>
        </w:trPr>
        <w:tc>
          <w:tcPr>
            <w:tcW w:w="1003" w:type="pct"/>
            <w:shd w:val="clear" w:color="auto" w:fill="auto"/>
            <w:noWrap/>
            <w:vAlign w:val="center"/>
          </w:tcPr>
          <w:p w14:paraId="1ADE7870"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2019.</w:t>
            </w:r>
          </w:p>
        </w:tc>
        <w:tc>
          <w:tcPr>
            <w:tcW w:w="974" w:type="pct"/>
            <w:shd w:val="clear" w:color="auto" w:fill="auto"/>
            <w:noWrap/>
            <w:vAlign w:val="center"/>
          </w:tcPr>
          <w:p w14:paraId="63BF222C"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1.576</w:t>
            </w:r>
          </w:p>
        </w:tc>
        <w:tc>
          <w:tcPr>
            <w:tcW w:w="975" w:type="pct"/>
            <w:shd w:val="clear" w:color="auto" w:fill="auto"/>
            <w:noWrap/>
            <w:vAlign w:val="center"/>
          </w:tcPr>
          <w:p w14:paraId="368EE8BF"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383</w:t>
            </w:r>
          </w:p>
        </w:tc>
        <w:tc>
          <w:tcPr>
            <w:tcW w:w="1042" w:type="pct"/>
            <w:shd w:val="clear" w:color="auto" w:fill="auto"/>
            <w:noWrap/>
            <w:vAlign w:val="center"/>
          </w:tcPr>
          <w:p w14:paraId="2383BD68"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24%</w:t>
            </w:r>
          </w:p>
        </w:tc>
        <w:tc>
          <w:tcPr>
            <w:tcW w:w="1005" w:type="pct"/>
            <w:shd w:val="clear" w:color="auto" w:fill="auto"/>
            <w:noWrap/>
            <w:vAlign w:val="center"/>
          </w:tcPr>
          <w:p w14:paraId="10060657"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8.417</w:t>
            </w:r>
          </w:p>
        </w:tc>
      </w:tr>
      <w:tr w:rsidR="00B010E6" w:rsidRPr="001B4CA2" w14:paraId="47987236" w14:textId="77777777" w:rsidTr="00540F85">
        <w:trPr>
          <w:trHeight w:val="452"/>
          <w:jc w:val="center"/>
        </w:trPr>
        <w:tc>
          <w:tcPr>
            <w:tcW w:w="1003" w:type="pct"/>
            <w:shd w:val="clear" w:color="auto" w:fill="auto"/>
            <w:noWrap/>
            <w:vAlign w:val="center"/>
          </w:tcPr>
          <w:p w14:paraId="494F5764"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sz w:val="18"/>
                <w:szCs w:val="18"/>
                <w:lang w:eastAsia="hr-HR"/>
              </w:rPr>
              <w:t>2020.</w:t>
            </w:r>
          </w:p>
        </w:tc>
        <w:tc>
          <w:tcPr>
            <w:tcW w:w="974" w:type="pct"/>
            <w:shd w:val="clear" w:color="auto" w:fill="auto"/>
            <w:noWrap/>
            <w:vAlign w:val="center"/>
          </w:tcPr>
          <w:p w14:paraId="03D87D3C" w14:textId="77777777" w:rsidR="00B010E6" w:rsidRPr="001B4CA2" w:rsidRDefault="00B010E6" w:rsidP="00B010E6">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1.344</w:t>
            </w:r>
          </w:p>
        </w:tc>
        <w:tc>
          <w:tcPr>
            <w:tcW w:w="975" w:type="pct"/>
            <w:shd w:val="clear" w:color="auto" w:fill="auto"/>
            <w:noWrap/>
            <w:vAlign w:val="center"/>
          </w:tcPr>
          <w:p w14:paraId="23491B79" w14:textId="77777777" w:rsidR="00B010E6" w:rsidRPr="001B4CA2" w:rsidRDefault="00B010E6" w:rsidP="00B010E6">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326</w:t>
            </w:r>
          </w:p>
        </w:tc>
        <w:tc>
          <w:tcPr>
            <w:tcW w:w="1042" w:type="pct"/>
            <w:shd w:val="clear" w:color="auto" w:fill="auto"/>
            <w:noWrap/>
            <w:vAlign w:val="center"/>
          </w:tcPr>
          <w:p w14:paraId="46AFBF08" w14:textId="77777777" w:rsidR="00B010E6" w:rsidRPr="001B4CA2" w:rsidRDefault="00B010E6" w:rsidP="00B010E6">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24%</w:t>
            </w:r>
          </w:p>
        </w:tc>
        <w:tc>
          <w:tcPr>
            <w:tcW w:w="1005" w:type="pct"/>
            <w:shd w:val="clear" w:color="auto" w:fill="auto"/>
            <w:noWrap/>
            <w:vAlign w:val="center"/>
          </w:tcPr>
          <w:p w14:paraId="5F407A15" w14:textId="77777777" w:rsidR="00B010E6" w:rsidRPr="001B4CA2" w:rsidRDefault="00B010E6" w:rsidP="00B010E6">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5.935</w:t>
            </w:r>
          </w:p>
        </w:tc>
      </w:tr>
      <w:tr w:rsidR="00B010E6" w:rsidRPr="001B4CA2" w14:paraId="79A88075" w14:textId="77777777" w:rsidTr="00540F85">
        <w:trPr>
          <w:trHeight w:val="452"/>
          <w:jc w:val="center"/>
        </w:trPr>
        <w:tc>
          <w:tcPr>
            <w:tcW w:w="1003" w:type="pct"/>
            <w:shd w:val="clear" w:color="auto" w:fill="auto"/>
            <w:noWrap/>
            <w:vAlign w:val="center"/>
          </w:tcPr>
          <w:p w14:paraId="3E6261C0" w14:textId="77777777" w:rsidR="00B010E6" w:rsidRPr="001B4CA2" w:rsidRDefault="00B010E6" w:rsidP="00B010E6">
            <w:pPr>
              <w:jc w:val="center"/>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2021.</w:t>
            </w:r>
          </w:p>
        </w:tc>
        <w:tc>
          <w:tcPr>
            <w:tcW w:w="974" w:type="pct"/>
            <w:shd w:val="clear" w:color="auto" w:fill="auto"/>
            <w:noWrap/>
            <w:vAlign w:val="center"/>
          </w:tcPr>
          <w:p w14:paraId="5F4CDE50" w14:textId="77777777" w:rsidR="00B010E6" w:rsidRPr="001B4CA2" w:rsidRDefault="00B010E6" w:rsidP="00B010E6">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1.222</w:t>
            </w:r>
          </w:p>
        </w:tc>
        <w:tc>
          <w:tcPr>
            <w:tcW w:w="975" w:type="pct"/>
            <w:shd w:val="clear" w:color="auto" w:fill="auto"/>
            <w:noWrap/>
            <w:vAlign w:val="center"/>
          </w:tcPr>
          <w:p w14:paraId="22F97B8E" w14:textId="77777777" w:rsidR="00B010E6" w:rsidRPr="001B4CA2" w:rsidRDefault="00B010E6" w:rsidP="00B010E6">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297</w:t>
            </w:r>
          </w:p>
        </w:tc>
        <w:tc>
          <w:tcPr>
            <w:tcW w:w="1042" w:type="pct"/>
            <w:shd w:val="clear" w:color="auto" w:fill="auto"/>
            <w:noWrap/>
            <w:vAlign w:val="center"/>
          </w:tcPr>
          <w:p w14:paraId="5805BDEB" w14:textId="77777777" w:rsidR="00B010E6" w:rsidRPr="001B4CA2" w:rsidRDefault="00B010E6" w:rsidP="00B010E6">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24%</w:t>
            </w:r>
          </w:p>
        </w:tc>
        <w:tc>
          <w:tcPr>
            <w:tcW w:w="1005" w:type="pct"/>
            <w:shd w:val="clear" w:color="auto" w:fill="auto"/>
            <w:noWrap/>
            <w:vAlign w:val="center"/>
          </w:tcPr>
          <w:p w14:paraId="6F53B736" w14:textId="77777777" w:rsidR="00B010E6" w:rsidRPr="001B4CA2" w:rsidRDefault="00B010E6" w:rsidP="00B010E6">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4.936</w:t>
            </w:r>
          </w:p>
        </w:tc>
      </w:tr>
      <w:tr w:rsidR="00B010E6" w:rsidRPr="001B4CA2" w14:paraId="4CCF29BF" w14:textId="77777777" w:rsidTr="00540F85">
        <w:trPr>
          <w:trHeight w:val="452"/>
          <w:jc w:val="center"/>
        </w:trPr>
        <w:tc>
          <w:tcPr>
            <w:tcW w:w="1003" w:type="pct"/>
            <w:shd w:val="clear" w:color="auto" w:fill="auto"/>
            <w:noWrap/>
            <w:vAlign w:val="center"/>
          </w:tcPr>
          <w:p w14:paraId="505513CC" w14:textId="77777777" w:rsidR="00B010E6" w:rsidRPr="001B4CA2" w:rsidRDefault="00B010E6" w:rsidP="00B010E6">
            <w:pPr>
              <w:jc w:val="center"/>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2022.</w:t>
            </w:r>
          </w:p>
        </w:tc>
        <w:tc>
          <w:tcPr>
            <w:tcW w:w="974" w:type="pct"/>
            <w:shd w:val="clear" w:color="auto" w:fill="auto"/>
            <w:noWrap/>
            <w:vAlign w:val="center"/>
          </w:tcPr>
          <w:p w14:paraId="6AE5465C" w14:textId="77777777" w:rsidR="00B010E6" w:rsidRPr="001B4CA2" w:rsidRDefault="00B010E6" w:rsidP="00B010E6">
            <w:pPr>
              <w:jc w:val="center"/>
              <w:rPr>
                <w:rFonts w:ascii="Calibri" w:hAnsi="Calibri" w:cs="Calibri"/>
                <w:bCs/>
                <w:color w:val="000000"/>
                <w:sz w:val="20"/>
                <w:szCs w:val="20"/>
              </w:rPr>
            </w:pPr>
            <w:r w:rsidRPr="001B4CA2">
              <w:rPr>
                <w:rFonts w:ascii="Calibri" w:hAnsi="Calibri" w:cs="Calibri"/>
                <w:bCs/>
                <w:color w:val="000000"/>
                <w:sz w:val="20"/>
                <w:szCs w:val="20"/>
              </w:rPr>
              <w:t>1.707</w:t>
            </w:r>
          </w:p>
        </w:tc>
        <w:tc>
          <w:tcPr>
            <w:tcW w:w="975" w:type="pct"/>
            <w:shd w:val="clear" w:color="auto" w:fill="auto"/>
            <w:noWrap/>
            <w:vAlign w:val="center"/>
          </w:tcPr>
          <w:p w14:paraId="78C91BAC" w14:textId="77777777" w:rsidR="00B010E6" w:rsidRPr="001B4CA2" w:rsidRDefault="00B010E6" w:rsidP="00B010E6">
            <w:pPr>
              <w:jc w:val="center"/>
              <w:rPr>
                <w:rFonts w:ascii="Calibri" w:hAnsi="Calibri" w:cs="Calibri"/>
                <w:bCs/>
                <w:color w:val="000000"/>
                <w:sz w:val="20"/>
                <w:szCs w:val="20"/>
              </w:rPr>
            </w:pPr>
            <w:r w:rsidRPr="001B4CA2">
              <w:rPr>
                <w:rFonts w:ascii="Calibri" w:hAnsi="Calibri" w:cs="Calibri"/>
                <w:bCs/>
                <w:color w:val="000000"/>
                <w:sz w:val="20"/>
                <w:szCs w:val="20"/>
              </w:rPr>
              <w:t>476</w:t>
            </w:r>
          </w:p>
        </w:tc>
        <w:tc>
          <w:tcPr>
            <w:tcW w:w="1042" w:type="pct"/>
            <w:shd w:val="clear" w:color="auto" w:fill="auto"/>
            <w:noWrap/>
            <w:vAlign w:val="center"/>
          </w:tcPr>
          <w:p w14:paraId="5637972F" w14:textId="77777777" w:rsidR="00B010E6" w:rsidRPr="001B4CA2" w:rsidRDefault="00B010E6" w:rsidP="00B010E6">
            <w:pPr>
              <w:jc w:val="center"/>
              <w:rPr>
                <w:rFonts w:ascii="Calibri" w:hAnsi="Calibri" w:cs="Calibri"/>
                <w:bCs/>
                <w:color w:val="000000"/>
                <w:sz w:val="20"/>
                <w:szCs w:val="20"/>
              </w:rPr>
            </w:pPr>
            <w:r w:rsidRPr="001B4CA2">
              <w:rPr>
                <w:rFonts w:ascii="Calibri" w:hAnsi="Calibri" w:cs="Calibri"/>
                <w:bCs/>
                <w:color w:val="000000"/>
                <w:sz w:val="20"/>
                <w:szCs w:val="20"/>
              </w:rPr>
              <w:t>28%</w:t>
            </w:r>
          </w:p>
        </w:tc>
        <w:tc>
          <w:tcPr>
            <w:tcW w:w="1005" w:type="pct"/>
            <w:shd w:val="clear" w:color="auto" w:fill="auto"/>
            <w:noWrap/>
            <w:vAlign w:val="center"/>
          </w:tcPr>
          <w:p w14:paraId="2DAFD019" w14:textId="77777777" w:rsidR="00B010E6" w:rsidRPr="001B4CA2" w:rsidRDefault="00B010E6" w:rsidP="00B010E6">
            <w:pPr>
              <w:jc w:val="center"/>
              <w:rPr>
                <w:rFonts w:ascii="Calibri" w:hAnsi="Calibri" w:cs="Calibri"/>
                <w:bCs/>
                <w:color w:val="000000"/>
                <w:sz w:val="20"/>
                <w:szCs w:val="20"/>
              </w:rPr>
            </w:pPr>
            <w:r w:rsidRPr="001B4CA2">
              <w:rPr>
                <w:rFonts w:ascii="Calibri" w:hAnsi="Calibri" w:cs="Calibri"/>
                <w:bCs/>
                <w:color w:val="000000"/>
                <w:sz w:val="20"/>
                <w:szCs w:val="20"/>
              </w:rPr>
              <w:t>11.048</w:t>
            </w:r>
          </w:p>
        </w:tc>
      </w:tr>
    </w:tbl>
    <w:p w14:paraId="428155FC" w14:textId="77777777" w:rsidR="00B010E6" w:rsidRPr="001B4CA2" w:rsidRDefault="00B010E6" w:rsidP="00B010E6">
      <w:pPr>
        <w:ind w:left="709" w:right="690" w:hanging="709"/>
        <w:rPr>
          <w:sz w:val="20"/>
          <w:szCs w:val="20"/>
        </w:rPr>
      </w:pPr>
      <w:r w:rsidRPr="001B4CA2">
        <w:rPr>
          <w:sz w:val="20"/>
          <w:szCs w:val="20"/>
        </w:rPr>
        <w:tab/>
      </w:r>
    </w:p>
    <w:p w14:paraId="76CC76F7" w14:textId="2A8A3B19" w:rsidR="00B010E6" w:rsidRPr="001B4CA2" w:rsidRDefault="00B010E6" w:rsidP="00B010E6">
      <w:pPr>
        <w:spacing w:after="200" w:line="276" w:lineRule="auto"/>
        <w:rPr>
          <w:szCs w:val="22"/>
        </w:rPr>
      </w:pPr>
      <w:r w:rsidRPr="001B4CA2">
        <w:rPr>
          <w:szCs w:val="22"/>
        </w:rPr>
        <w:tab/>
        <w:t>Broj zahtjeva za mirno rješenje spora u kojima je Republika Hrvatska</w:t>
      </w:r>
      <w:r w:rsidR="001B4CA2">
        <w:rPr>
          <w:szCs w:val="22"/>
        </w:rPr>
        <w:t xml:space="preserve"> </w:t>
      </w:r>
      <w:r w:rsidRPr="001B4CA2">
        <w:rPr>
          <w:szCs w:val="22"/>
        </w:rPr>
        <w:t>podnositelj veći je n</w:t>
      </w:r>
      <w:r w:rsidR="00E459BE">
        <w:rPr>
          <w:szCs w:val="22"/>
        </w:rPr>
        <w:t>eg</w:t>
      </w:r>
      <w:r w:rsidRPr="001B4CA2">
        <w:rPr>
          <w:szCs w:val="22"/>
        </w:rPr>
        <w:t>o ikad u promatranom petogodišnjem razdoblju. Razlog tomu je pove</w:t>
      </w:r>
      <w:r w:rsidR="00B36A94" w:rsidRPr="001B4CA2">
        <w:rPr>
          <w:szCs w:val="22"/>
        </w:rPr>
        <w:t>ć</w:t>
      </w:r>
      <w:r w:rsidRPr="001B4CA2">
        <w:rPr>
          <w:szCs w:val="22"/>
        </w:rPr>
        <w:t>ana aktivnost Ministarstva poljoprivrede, Središnjeg državnog ureda za obnovu i stambeno zbrinjavanje te Državnih nekretnina d.o.o. radi naplate svojih tražbina od korisnika poljoprivrednog zemljišta, stanova i poslovnih prostora u vlasništvu Republike Hrvatske.</w:t>
      </w:r>
    </w:p>
    <w:p w14:paraId="1CFCDA71" w14:textId="6FD960AF" w:rsidR="00B010E6" w:rsidRPr="001B4CA2" w:rsidRDefault="00B010E6" w:rsidP="00B010E6">
      <w:pPr>
        <w:spacing w:after="200" w:line="276" w:lineRule="auto"/>
        <w:rPr>
          <w:szCs w:val="22"/>
        </w:rPr>
      </w:pPr>
      <w:r w:rsidRPr="001B4CA2">
        <w:rPr>
          <w:szCs w:val="22"/>
        </w:rPr>
        <w:lastRenderedPageBreak/>
        <w:tab/>
        <w:t>U 2022. godini od 1</w:t>
      </w:r>
      <w:r w:rsidR="00C4437D">
        <w:rPr>
          <w:szCs w:val="22"/>
        </w:rPr>
        <w:t>.</w:t>
      </w:r>
      <w:r w:rsidRPr="001B4CA2">
        <w:rPr>
          <w:szCs w:val="22"/>
        </w:rPr>
        <w:t>707 zahtjeva Republike Hrvatske sklapanjem nagodbe riješeno je njih 476, odnosno 28</w:t>
      </w:r>
      <w:r w:rsidR="00E459BE">
        <w:rPr>
          <w:szCs w:val="22"/>
        </w:rPr>
        <w:t> </w:t>
      </w:r>
      <w:r w:rsidRPr="001B4CA2">
        <w:rPr>
          <w:szCs w:val="22"/>
        </w:rPr>
        <w:t xml:space="preserve">%. </w:t>
      </w:r>
    </w:p>
    <w:p w14:paraId="534731FD" w14:textId="501AE0E0" w:rsidR="008461B4" w:rsidRPr="001B4CA2" w:rsidRDefault="00B010E6" w:rsidP="00743EF4">
      <w:pPr>
        <w:spacing w:after="200" w:line="276" w:lineRule="auto"/>
        <w:ind w:firstLine="708"/>
        <w:rPr>
          <w:szCs w:val="22"/>
        </w:rPr>
      </w:pPr>
      <w:r w:rsidRPr="001B4CA2">
        <w:rPr>
          <w:szCs w:val="22"/>
        </w:rPr>
        <w:t>Iako je broj sklopljenih nagodbi po zahtjevima Republike Hrvatske samo 4</w:t>
      </w:r>
      <w:r w:rsidR="00E459BE">
        <w:rPr>
          <w:szCs w:val="22"/>
        </w:rPr>
        <w:t> </w:t>
      </w:r>
      <w:r w:rsidRPr="001B4CA2">
        <w:rPr>
          <w:szCs w:val="22"/>
        </w:rPr>
        <w:t>% veći nego prethodne tri godine, vrijednost sklopljenih nagodbi znatno je veća u odnosu na 2021. i iznosi 11.048.000,00 kn</w:t>
      </w:r>
      <w:r w:rsidR="00E459BE">
        <w:rPr>
          <w:szCs w:val="22"/>
        </w:rPr>
        <w:t xml:space="preserve"> </w:t>
      </w:r>
      <w:r w:rsidRPr="001B4CA2">
        <w:rPr>
          <w:szCs w:val="22"/>
        </w:rPr>
        <w:t>/</w:t>
      </w:r>
      <w:r w:rsidR="001C297A" w:rsidRPr="001B4CA2">
        <w:rPr>
          <w:szCs w:val="22"/>
        </w:rPr>
        <w:t xml:space="preserve"> </w:t>
      </w:r>
      <w:r w:rsidRPr="001B4CA2">
        <w:rPr>
          <w:szCs w:val="22"/>
        </w:rPr>
        <w:t>1.</w:t>
      </w:r>
      <w:r w:rsidR="00540F85">
        <w:rPr>
          <w:szCs w:val="22"/>
        </w:rPr>
        <w:t>466</w:t>
      </w:r>
      <w:r w:rsidRPr="001B4CA2">
        <w:rPr>
          <w:szCs w:val="22"/>
        </w:rPr>
        <w:t>.</w:t>
      </w:r>
      <w:r w:rsidR="00540F85">
        <w:rPr>
          <w:szCs w:val="22"/>
        </w:rPr>
        <w:t>321</w:t>
      </w:r>
      <w:r w:rsidRPr="001B4CA2">
        <w:rPr>
          <w:szCs w:val="22"/>
        </w:rPr>
        <w:t>,</w:t>
      </w:r>
      <w:r w:rsidR="00540F85">
        <w:rPr>
          <w:szCs w:val="22"/>
        </w:rPr>
        <w:t>59</w:t>
      </w:r>
      <w:r w:rsidRPr="001B4CA2">
        <w:rPr>
          <w:szCs w:val="22"/>
        </w:rPr>
        <w:t xml:space="preserve"> </w:t>
      </w:r>
      <w:r w:rsidR="0020162B" w:rsidRPr="001B4CA2">
        <w:rPr>
          <w:szCs w:val="22"/>
        </w:rPr>
        <w:t>EUR</w:t>
      </w:r>
      <w:r w:rsidR="00743EF4" w:rsidRPr="001B4CA2">
        <w:rPr>
          <w:szCs w:val="22"/>
        </w:rPr>
        <w:t>.</w:t>
      </w:r>
    </w:p>
    <w:p w14:paraId="73FE655C" w14:textId="77777777" w:rsidR="00A53E16" w:rsidRPr="001B4CA2" w:rsidRDefault="00743EF4" w:rsidP="00743EF4">
      <w:pPr>
        <w:spacing w:after="200" w:line="276" w:lineRule="auto"/>
        <w:ind w:firstLine="708"/>
        <w:rPr>
          <w:szCs w:val="22"/>
        </w:rPr>
        <w:sectPr w:rsidR="00A53E16" w:rsidRPr="001B4CA2" w:rsidSect="0038564D">
          <w:pgSz w:w="11906" w:h="16838"/>
          <w:pgMar w:top="1417" w:right="1417" w:bottom="1417" w:left="1417" w:header="709" w:footer="709" w:gutter="0"/>
          <w:cols w:space="708"/>
          <w:titlePg/>
          <w:docGrid w:linePitch="360"/>
        </w:sectPr>
      </w:pPr>
      <w:r w:rsidRPr="001B4CA2">
        <w:rPr>
          <w:szCs w:val="22"/>
        </w:rPr>
        <w:br w:type="page"/>
      </w:r>
    </w:p>
    <w:p w14:paraId="590238D3" w14:textId="2F046C50" w:rsidR="00743EF4" w:rsidRPr="001B4CA2" w:rsidRDefault="008461B4" w:rsidP="008461B4">
      <w:pPr>
        <w:jc w:val="left"/>
        <w:rPr>
          <w:rFonts w:asciiTheme="minorHAnsi" w:hAnsiTheme="minorHAnsi" w:cstheme="minorBidi"/>
          <w:i/>
          <w:szCs w:val="22"/>
        </w:rPr>
      </w:pPr>
      <w:r w:rsidRPr="001B4CA2">
        <w:rPr>
          <w:rFonts w:asciiTheme="minorHAnsi" w:hAnsiTheme="minorHAnsi" w:cstheme="minorBidi"/>
          <w:i/>
          <w:szCs w:val="22"/>
        </w:rPr>
        <w:lastRenderedPageBreak/>
        <w:t xml:space="preserve">d) </w:t>
      </w:r>
      <w:r w:rsidR="00743EF4" w:rsidRPr="001B4CA2">
        <w:rPr>
          <w:rFonts w:asciiTheme="minorHAnsi" w:hAnsiTheme="minorHAnsi" w:cstheme="minorBidi"/>
          <w:i/>
          <w:szCs w:val="22"/>
        </w:rPr>
        <w:t>Sklopljene nagodbe prema zastupanom tijelu, vrsti i vrijednosti spora u 2022.</w:t>
      </w:r>
      <w:r w:rsidR="00E459BE">
        <w:rPr>
          <w:rFonts w:asciiTheme="minorHAnsi" w:hAnsiTheme="minorHAnsi" w:cstheme="minorBidi"/>
          <w:i/>
          <w:szCs w:val="22"/>
        </w:rPr>
        <w:t xml:space="preserve"> –</w:t>
      </w:r>
      <w:r w:rsidR="00743EF4" w:rsidRPr="001B4CA2">
        <w:rPr>
          <w:rFonts w:asciiTheme="minorHAnsi" w:hAnsiTheme="minorHAnsi" w:cstheme="minorBidi"/>
          <w:i/>
          <w:szCs w:val="22"/>
        </w:rPr>
        <w:t xml:space="preserve"> podnositelj zahtjeva</w:t>
      </w:r>
      <w:r w:rsidR="001B4CA2">
        <w:rPr>
          <w:rFonts w:asciiTheme="minorHAnsi" w:hAnsiTheme="minorHAnsi" w:cstheme="minorBidi"/>
          <w:i/>
          <w:szCs w:val="22"/>
        </w:rPr>
        <w:t xml:space="preserve"> </w:t>
      </w:r>
      <w:r w:rsidR="00743EF4" w:rsidRPr="001B4CA2">
        <w:rPr>
          <w:rFonts w:asciiTheme="minorHAnsi" w:hAnsiTheme="minorHAnsi" w:cstheme="minorBidi"/>
          <w:i/>
          <w:szCs w:val="22"/>
        </w:rPr>
        <w:t xml:space="preserve">RH </w:t>
      </w:r>
    </w:p>
    <w:tbl>
      <w:tblPr>
        <w:tblW w:w="5630" w:type="pct"/>
        <w:tblInd w:w="-817" w:type="dxa"/>
        <w:tblLook w:val="04A0" w:firstRow="1" w:lastRow="0" w:firstColumn="1" w:lastColumn="0" w:noHBand="0" w:noVBand="1"/>
      </w:tblPr>
      <w:tblGrid>
        <w:gridCol w:w="2480"/>
        <w:gridCol w:w="551"/>
        <w:gridCol w:w="554"/>
        <w:gridCol w:w="554"/>
        <w:gridCol w:w="629"/>
        <w:gridCol w:w="650"/>
        <w:gridCol w:w="695"/>
        <w:gridCol w:w="699"/>
        <w:gridCol w:w="699"/>
        <w:gridCol w:w="555"/>
        <w:gridCol w:w="419"/>
        <w:gridCol w:w="698"/>
        <w:gridCol w:w="629"/>
        <w:gridCol w:w="392"/>
        <w:gridCol w:w="421"/>
        <w:gridCol w:w="658"/>
        <w:gridCol w:w="400"/>
        <w:gridCol w:w="419"/>
        <w:gridCol w:w="395"/>
        <w:gridCol w:w="520"/>
        <w:gridCol w:w="434"/>
        <w:gridCol w:w="675"/>
        <w:gridCol w:w="549"/>
        <w:gridCol w:w="616"/>
        <w:gridCol w:w="721"/>
      </w:tblGrid>
      <w:tr w:rsidR="008461B4" w:rsidRPr="001B4CA2" w14:paraId="57BD429A" w14:textId="77777777" w:rsidTr="001D4F0F">
        <w:trPr>
          <w:trHeight w:val="283"/>
        </w:trPr>
        <w:tc>
          <w:tcPr>
            <w:tcW w:w="769" w:type="pct"/>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54AD596" w14:textId="77777777" w:rsidR="00743EF4" w:rsidRPr="001B4CA2" w:rsidRDefault="00743EF4" w:rsidP="00743EF4">
            <w:pPr>
              <w:jc w:val="center"/>
              <w:rPr>
                <w:b/>
                <w:bCs/>
                <w:sz w:val="14"/>
                <w:szCs w:val="16"/>
              </w:rPr>
            </w:pPr>
            <w:r w:rsidRPr="001B4CA2">
              <w:rPr>
                <w:b/>
                <w:bCs/>
                <w:sz w:val="14"/>
                <w:szCs w:val="16"/>
              </w:rPr>
              <w:t xml:space="preserve">Naziv ministarstva ili drugog tijela </w:t>
            </w:r>
          </w:p>
        </w:tc>
        <w:tc>
          <w:tcPr>
            <w:tcW w:w="715" w:type="pct"/>
            <w:gridSpan w:val="4"/>
            <w:tcBorders>
              <w:top w:val="single" w:sz="4" w:space="0" w:color="auto"/>
              <w:left w:val="nil"/>
              <w:bottom w:val="single" w:sz="4" w:space="0" w:color="auto"/>
              <w:right w:val="single" w:sz="4" w:space="0" w:color="auto"/>
            </w:tcBorders>
            <w:shd w:val="clear" w:color="auto" w:fill="99CCFF"/>
            <w:vAlign w:val="center"/>
            <w:hideMark/>
          </w:tcPr>
          <w:p w14:paraId="62F0BAA6" w14:textId="77777777" w:rsidR="00743EF4" w:rsidRPr="001B4CA2" w:rsidRDefault="00743EF4" w:rsidP="00743EF4">
            <w:pPr>
              <w:jc w:val="center"/>
              <w:rPr>
                <w:b/>
                <w:bCs/>
                <w:sz w:val="14"/>
                <w:szCs w:val="16"/>
              </w:rPr>
            </w:pPr>
            <w:proofErr w:type="spellStart"/>
            <w:r w:rsidRPr="001B4CA2">
              <w:rPr>
                <w:b/>
                <w:bCs/>
                <w:sz w:val="14"/>
                <w:szCs w:val="16"/>
              </w:rPr>
              <w:t>Stvarnopravni</w:t>
            </w:r>
            <w:proofErr w:type="spellEnd"/>
            <w:r w:rsidRPr="001B4CA2">
              <w:rPr>
                <w:b/>
                <w:bCs/>
                <w:sz w:val="14"/>
                <w:szCs w:val="16"/>
              </w:rPr>
              <w:t xml:space="preserve"> sporovi</w:t>
            </w:r>
          </w:p>
        </w:tc>
        <w:tc>
          <w:tcPr>
            <w:tcW w:w="860" w:type="pct"/>
            <w:gridSpan w:val="4"/>
            <w:tcBorders>
              <w:top w:val="single" w:sz="4" w:space="0" w:color="auto"/>
              <w:left w:val="nil"/>
              <w:bottom w:val="single" w:sz="4" w:space="0" w:color="auto"/>
              <w:right w:val="single" w:sz="4" w:space="0" w:color="000000"/>
            </w:tcBorders>
            <w:shd w:val="clear" w:color="auto" w:fill="99CCFF"/>
            <w:vAlign w:val="center"/>
            <w:hideMark/>
          </w:tcPr>
          <w:p w14:paraId="4835665E" w14:textId="77777777" w:rsidR="00743EF4" w:rsidRPr="001B4CA2" w:rsidRDefault="00743EF4" w:rsidP="00743EF4">
            <w:pPr>
              <w:jc w:val="center"/>
              <w:rPr>
                <w:b/>
                <w:bCs/>
                <w:color w:val="000000"/>
                <w:sz w:val="14"/>
                <w:szCs w:val="16"/>
              </w:rPr>
            </w:pPr>
            <w:proofErr w:type="spellStart"/>
            <w:r w:rsidRPr="001B4CA2">
              <w:rPr>
                <w:b/>
                <w:bCs/>
                <w:color w:val="000000"/>
                <w:sz w:val="14"/>
                <w:szCs w:val="16"/>
              </w:rPr>
              <w:t>Obveznopravni</w:t>
            </w:r>
            <w:proofErr w:type="spellEnd"/>
            <w:r w:rsidRPr="001B4CA2">
              <w:rPr>
                <w:b/>
                <w:bCs/>
                <w:color w:val="000000"/>
                <w:sz w:val="14"/>
                <w:szCs w:val="16"/>
              </w:rPr>
              <w:t xml:space="preserve"> sporovi</w:t>
            </w:r>
          </w:p>
        </w:tc>
        <w:tc>
          <w:tcPr>
            <w:tcW w:w="719" w:type="pct"/>
            <w:gridSpan w:val="4"/>
            <w:tcBorders>
              <w:top w:val="single" w:sz="4" w:space="0" w:color="auto"/>
              <w:left w:val="nil"/>
              <w:bottom w:val="single" w:sz="4" w:space="0" w:color="auto"/>
              <w:right w:val="single" w:sz="4" w:space="0" w:color="auto"/>
            </w:tcBorders>
            <w:shd w:val="clear" w:color="auto" w:fill="99CCFF"/>
            <w:vAlign w:val="center"/>
            <w:hideMark/>
          </w:tcPr>
          <w:p w14:paraId="43A50BD9" w14:textId="77777777" w:rsidR="00743EF4" w:rsidRPr="001B4CA2" w:rsidRDefault="00743EF4" w:rsidP="00743EF4">
            <w:pPr>
              <w:jc w:val="center"/>
              <w:rPr>
                <w:b/>
                <w:bCs/>
                <w:sz w:val="14"/>
                <w:szCs w:val="16"/>
              </w:rPr>
            </w:pPr>
            <w:r w:rsidRPr="001B4CA2">
              <w:rPr>
                <w:b/>
                <w:bCs/>
                <w:sz w:val="14"/>
                <w:szCs w:val="16"/>
              </w:rPr>
              <w:t>Naknada štete</w:t>
            </w:r>
          </w:p>
        </w:tc>
        <w:tc>
          <w:tcPr>
            <w:tcW w:w="585" w:type="pct"/>
            <w:gridSpan w:val="4"/>
            <w:tcBorders>
              <w:top w:val="single" w:sz="4" w:space="0" w:color="auto"/>
              <w:left w:val="nil"/>
              <w:bottom w:val="nil"/>
              <w:right w:val="single" w:sz="4" w:space="0" w:color="000000"/>
            </w:tcBorders>
            <w:shd w:val="clear" w:color="auto" w:fill="99CCFF"/>
            <w:vAlign w:val="center"/>
            <w:hideMark/>
          </w:tcPr>
          <w:p w14:paraId="2DC46CA8" w14:textId="77777777" w:rsidR="00743EF4" w:rsidRPr="001B4CA2" w:rsidRDefault="00743EF4" w:rsidP="00743EF4">
            <w:pPr>
              <w:jc w:val="center"/>
              <w:rPr>
                <w:b/>
                <w:bCs/>
                <w:sz w:val="14"/>
                <w:szCs w:val="16"/>
              </w:rPr>
            </w:pPr>
            <w:r w:rsidRPr="001B4CA2">
              <w:rPr>
                <w:b/>
                <w:bCs/>
                <w:sz w:val="14"/>
                <w:szCs w:val="16"/>
              </w:rPr>
              <w:t>Radni sporovi</w:t>
            </w:r>
          </w:p>
        </w:tc>
        <w:tc>
          <w:tcPr>
            <w:tcW w:w="553" w:type="pct"/>
            <w:gridSpan w:val="4"/>
            <w:tcBorders>
              <w:top w:val="single" w:sz="4" w:space="0" w:color="auto"/>
              <w:left w:val="nil"/>
              <w:bottom w:val="nil"/>
              <w:right w:val="single" w:sz="4" w:space="0" w:color="000000"/>
            </w:tcBorders>
            <w:shd w:val="clear" w:color="auto" w:fill="99CCFF"/>
            <w:vAlign w:val="center"/>
            <w:hideMark/>
          </w:tcPr>
          <w:p w14:paraId="6389474A" w14:textId="77777777" w:rsidR="00743EF4" w:rsidRPr="001B4CA2" w:rsidRDefault="00743EF4" w:rsidP="00743EF4">
            <w:pPr>
              <w:jc w:val="center"/>
              <w:rPr>
                <w:b/>
                <w:bCs/>
                <w:color w:val="000000"/>
                <w:sz w:val="14"/>
                <w:szCs w:val="16"/>
              </w:rPr>
            </w:pPr>
            <w:r w:rsidRPr="001B4CA2">
              <w:rPr>
                <w:b/>
                <w:bCs/>
                <w:color w:val="000000"/>
                <w:sz w:val="14"/>
                <w:szCs w:val="16"/>
              </w:rPr>
              <w:t>Ostali parnični sporovi</w:t>
            </w:r>
          </w:p>
        </w:tc>
        <w:tc>
          <w:tcPr>
            <w:tcW w:w="798" w:type="pct"/>
            <w:gridSpan w:val="4"/>
            <w:vMerge w:val="restart"/>
            <w:tcBorders>
              <w:top w:val="single" w:sz="4" w:space="0" w:color="auto"/>
              <w:left w:val="single" w:sz="4" w:space="0" w:color="auto"/>
              <w:right w:val="single" w:sz="4" w:space="0" w:color="000000"/>
            </w:tcBorders>
            <w:shd w:val="clear" w:color="auto" w:fill="99CCFF"/>
          </w:tcPr>
          <w:p w14:paraId="2480CF0E" w14:textId="77777777" w:rsidR="00743EF4" w:rsidRPr="001B4CA2" w:rsidRDefault="00743EF4" w:rsidP="00743EF4">
            <w:pPr>
              <w:jc w:val="center"/>
              <w:rPr>
                <w:b/>
                <w:bCs/>
                <w:color w:val="000000"/>
                <w:sz w:val="14"/>
                <w:szCs w:val="16"/>
              </w:rPr>
            </w:pPr>
          </w:p>
          <w:p w14:paraId="7C941882" w14:textId="77777777" w:rsidR="00743EF4" w:rsidRPr="001B4CA2" w:rsidRDefault="00743EF4" w:rsidP="00743EF4">
            <w:pPr>
              <w:jc w:val="center"/>
              <w:rPr>
                <w:b/>
                <w:bCs/>
                <w:color w:val="000000"/>
                <w:sz w:val="14"/>
                <w:szCs w:val="16"/>
              </w:rPr>
            </w:pPr>
            <w:r w:rsidRPr="001B4CA2">
              <w:rPr>
                <w:b/>
                <w:bCs/>
                <w:color w:val="000000"/>
                <w:sz w:val="14"/>
                <w:szCs w:val="16"/>
              </w:rPr>
              <w:t>Ukupno</w:t>
            </w:r>
          </w:p>
          <w:p w14:paraId="587D3DEB" w14:textId="77777777" w:rsidR="00743EF4" w:rsidRPr="001B4CA2" w:rsidRDefault="00743EF4" w:rsidP="00743EF4">
            <w:pPr>
              <w:jc w:val="center"/>
              <w:rPr>
                <w:b/>
                <w:bCs/>
                <w:color w:val="000000"/>
                <w:sz w:val="14"/>
                <w:szCs w:val="16"/>
              </w:rPr>
            </w:pPr>
            <w:r w:rsidRPr="001B4CA2">
              <w:rPr>
                <w:b/>
                <w:bCs/>
                <w:color w:val="000000"/>
                <w:sz w:val="14"/>
                <w:szCs w:val="16"/>
              </w:rPr>
              <w:t xml:space="preserve">Podnositelj zahtjeva RH </w:t>
            </w:r>
          </w:p>
        </w:tc>
      </w:tr>
      <w:tr w:rsidR="008461B4" w:rsidRPr="001B4CA2" w14:paraId="2B4876CE" w14:textId="77777777" w:rsidTr="001D4F0F">
        <w:trPr>
          <w:trHeight w:val="299"/>
        </w:trPr>
        <w:tc>
          <w:tcPr>
            <w:tcW w:w="769" w:type="pct"/>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12B0ECCF" w14:textId="77777777" w:rsidR="00743EF4" w:rsidRPr="001B4CA2" w:rsidRDefault="00743EF4" w:rsidP="00743EF4">
            <w:pPr>
              <w:rPr>
                <w:b/>
                <w:bCs/>
                <w:sz w:val="14"/>
                <w:szCs w:val="16"/>
              </w:rPr>
            </w:pPr>
          </w:p>
        </w:tc>
        <w:tc>
          <w:tcPr>
            <w:tcW w:w="715" w:type="pct"/>
            <w:gridSpan w:val="4"/>
            <w:tcBorders>
              <w:top w:val="single" w:sz="4" w:space="0" w:color="auto"/>
              <w:left w:val="nil"/>
              <w:bottom w:val="single" w:sz="4" w:space="0" w:color="auto"/>
              <w:right w:val="single" w:sz="4" w:space="0" w:color="000000"/>
            </w:tcBorders>
            <w:shd w:val="clear" w:color="auto" w:fill="99CCFF"/>
            <w:vAlign w:val="center"/>
            <w:hideMark/>
          </w:tcPr>
          <w:p w14:paraId="28797307" w14:textId="77777777" w:rsidR="00743EF4" w:rsidRPr="001B4CA2" w:rsidRDefault="00743EF4" w:rsidP="00743EF4">
            <w:pPr>
              <w:jc w:val="center"/>
              <w:rPr>
                <w:b/>
                <w:bCs/>
                <w:sz w:val="14"/>
                <w:szCs w:val="16"/>
              </w:rPr>
            </w:pPr>
            <w:r w:rsidRPr="001B4CA2">
              <w:rPr>
                <w:b/>
                <w:bCs/>
                <w:sz w:val="14"/>
                <w:szCs w:val="16"/>
              </w:rPr>
              <w:t xml:space="preserve">Podnositelj zahtjeva </w:t>
            </w:r>
          </w:p>
          <w:p w14:paraId="563EA55D" w14:textId="77777777" w:rsidR="00743EF4" w:rsidRPr="001B4CA2" w:rsidRDefault="00743EF4" w:rsidP="00743EF4">
            <w:pPr>
              <w:jc w:val="center"/>
              <w:rPr>
                <w:b/>
                <w:bCs/>
                <w:sz w:val="14"/>
                <w:szCs w:val="16"/>
              </w:rPr>
            </w:pPr>
            <w:r w:rsidRPr="001B4CA2">
              <w:rPr>
                <w:b/>
                <w:bCs/>
                <w:sz w:val="14"/>
                <w:szCs w:val="16"/>
              </w:rPr>
              <w:t>RH</w:t>
            </w:r>
          </w:p>
        </w:tc>
        <w:tc>
          <w:tcPr>
            <w:tcW w:w="860" w:type="pct"/>
            <w:gridSpan w:val="4"/>
            <w:tcBorders>
              <w:top w:val="single" w:sz="4" w:space="0" w:color="auto"/>
              <w:left w:val="nil"/>
              <w:bottom w:val="single" w:sz="4" w:space="0" w:color="auto"/>
              <w:right w:val="single" w:sz="4" w:space="0" w:color="000000"/>
            </w:tcBorders>
            <w:shd w:val="clear" w:color="auto" w:fill="99CCFF"/>
            <w:vAlign w:val="center"/>
            <w:hideMark/>
          </w:tcPr>
          <w:p w14:paraId="3C5AC81D" w14:textId="59345ED0" w:rsidR="00743EF4" w:rsidRPr="001B4CA2" w:rsidRDefault="00743EF4" w:rsidP="00743EF4">
            <w:pPr>
              <w:jc w:val="center"/>
              <w:rPr>
                <w:b/>
                <w:bCs/>
                <w:sz w:val="14"/>
                <w:szCs w:val="16"/>
              </w:rPr>
            </w:pPr>
            <w:r w:rsidRPr="001B4CA2">
              <w:rPr>
                <w:b/>
                <w:bCs/>
                <w:sz w:val="14"/>
                <w:szCs w:val="16"/>
              </w:rPr>
              <w:t>Podnositelj zahtjeva</w:t>
            </w:r>
            <w:r w:rsidR="001B4CA2">
              <w:rPr>
                <w:b/>
                <w:bCs/>
                <w:sz w:val="14"/>
                <w:szCs w:val="16"/>
              </w:rPr>
              <w:t xml:space="preserve"> </w:t>
            </w:r>
          </w:p>
          <w:p w14:paraId="01BBC686" w14:textId="77777777" w:rsidR="00743EF4" w:rsidRPr="001B4CA2" w:rsidRDefault="00743EF4" w:rsidP="00743EF4">
            <w:pPr>
              <w:jc w:val="center"/>
              <w:rPr>
                <w:b/>
                <w:bCs/>
                <w:sz w:val="14"/>
                <w:szCs w:val="16"/>
              </w:rPr>
            </w:pPr>
            <w:r w:rsidRPr="001B4CA2">
              <w:rPr>
                <w:b/>
                <w:bCs/>
                <w:sz w:val="14"/>
                <w:szCs w:val="16"/>
              </w:rPr>
              <w:t>RH</w:t>
            </w:r>
          </w:p>
        </w:tc>
        <w:tc>
          <w:tcPr>
            <w:tcW w:w="719" w:type="pct"/>
            <w:gridSpan w:val="4"/>
            <w:tcBorders>
              <w:top w:val="single" w:sz="4" w:space="0" w:color="auto"/>
              <w:left w:val="nil"/>
              <w:bottom w:val="single" w:sz="4" w:space="0" w:color="auto"/>
              <w:right w:val="single" w:sz="4" w:space="0" w:color="000000"/>
            </w:tcBorders>
            <w:shd w:val="clear" w:color="auto" w:fill="99CCFF"/>
            <w:vAlign w:val="center"/>
            <w:hideMark/>
          </w:tcPr>
          <w:p w14:paraId="1BBBA8D2" w14:textId="77777777" w:rsidR="00743EF4" w:rsidRPr="001B4CA2" w:rsidRDefault="00743EF4" w:rsidP="00743EF4">
            <w:pPr>
              <w:jc w:val="center"/>
              <w:rPr>
                <w:b/>
                <w:bCs/>
                <w:sz w:val="14"/>
                <w:szCs w:val="16"/>
              </w:rPr>
            </w:pPr>
            <w:r w:rsidRPr="001B4CA2">
              <w:rPr>
                <w:b/>
                <w:bCs/>
                <w:sz w:val="14"/>
                <w:szCs w:val="16"/>
              </w:rPr>
              <w:t xml:space="preserve">Podnositelj zahtjeva </w:t>
            </w:r>
          </w:p>
          <w:p w14:paraId="0948453B" w14:textId="77777777" w:rsidR="00743EF4" w:rsidRPr="001B4CA2" w:rsidRDefault="00743EF4" w:rsidP="00743EF4">
            <w:pPr>
              <w:jc w:val="center"/>
              <w:rPr>
                <w:b/>
                <w:bCs/>
                <w:sz w:val="14"/>
                <w:szCs w:val="16"/>
              </w:rPr>
            </w:pPr>
            <w:r w:rsidRPr="001B4CA2">
              <w:rPr>
                <w:b/>
                <w:bCs/>
                <w:sz w:val="14"/>
                <w:szCs w:val="16"/>
              </w:rPr>
              <w:t xml:space="preserve"> RH</w:t>
            </w:r>
          </w:p>
        </w:tc>
        <w:tc>
          <w:tcPr>
            <w:tcW w:w="585" w:type="pct"/>
            <w:gridSpan w:val="4"/>
            <w:tcBorders>
              <w:top w:val="single" w:sz="4" w:space="0" w:color="auto"/>
              <w:left w:val="nil"/>
              <w:bottom w:val="single" w:sz="4" w:space="0" w:color="auto"/>
              <w:right w:val="single" w:sz="4" w:space="0" w:color="000000"/>
            </w:tcBorders>
            <w:shd w:val="clear" w:color="auto" w:fill="99CCFF"/>
            <w:vAlign w:val="center"/>
            <w:hideMark/>
          </w:tcPr>
          <w:p w14:paraId="349490BF" w14:textId="589B1D3E" w:rsidR="00743EF4" w:rsidRPr="001B4CA2" w:rsidRDefault="00743EF4" w:rsidP="00743EF4">
            <w:pPr>
              <w:jc w:val="center"/>
              <w:rPr>
                <w:b/>
                <w:bCs/>
                <w:sz w:val="14"/>
                <w:szCs w:val="16"/>
              </w:rPr>
            </w:pPr>
            <w:r w:rsidRPr="001B4CA2">
              <w:rPr>
                <w:b/>
                <w:bCs/>
                <w:sz w:val="14"/>
                <w:szCs w:val="16"/>
              </w:rPr>
              <w:t>Podnositelj zahtjeva</w:t>
            </w:r>
            <w:r w:rsidR="001B4CA2">
              <w:rPr>
                <w:b/>
                <w:bCs/>
                <w:sz w:val="14"/>
                <w:szCs w:val="16"/>
              </w:rPr>
              <w:t xml:space="preserve"> </w:t>
            </w:r>
          </w:p>
          <w:p w14:paraId="4281BE96" w14:textId="77777777" w:rsidR="00743EF4" w:rsidRPr="001B4CA2" w:rsidRDefault="00743EF4" w:rsidP="00743EF4">
            <w:pPr>
              <w:jc w:val="center"/>
              <w:rPr>
                <w:b/>
                <w:bCs/>
                <w:sz w:val="14"/>
                <w:szCs w:val="16"/>
              </w:rPr>
            </w:pPr>
            <w:r w:rsidRPr="001B4CA2">
              <w:rPr>
                <w:b/>
                <w:bCs/>
                <w:sz w:val="14"/>
                <w:szCs w:val="16"/>
              </w:rPr>
              <w:t>RH</w:t>
            </w:r>
          </w:p>
        </w:tc>
        <w:tc>
          <w:tcPr>
            <w:tcW w:w="553" w:type="pct"/>
            <w:gridSpan w:val="4"/>
            <w:tcBorders>
              <w:top w:val="single" w:sz="4" w:space="0" w:color="auto"/>
              <w:left w:val="nil"/>
              <w:bottom w:val="single" w:sz="4" w:space="0" w:color="auto"/>
              <w:right w:val="single" w:sz="4" w:space="0" w:color="000000"/>
            </w:tcBorders>
            <w:shd w:val="clear" w:color="auto" w:fill="99CCFF"/>
            <w:vAlign w:val="center"/>
            <w:hideMark/>
          </w:tcPr>
          <w:p w14:paraId="06795A1C" w14:textId="78487112" w:rsidR="00743EF4" w:rsidRPr="001B4CA2" w:rsidRDefault="00743EF4" w:rsidP="00743EF4">
            <w:pPr>
              <w:jc w:val="center"/>
              <w:rPr>
                <w:b/>
                <w:bCs/>
                <w:color w:val="000000"/>
                <w:sz w:val="14"/>
                <w:szCs w:val="16"/>
              </w:rPr>
            </w:pPr>
            <w:r w:rsidRPr="001B4CA2">
              <w:rPr>
                <w:b/>
                <w:bCs/>
                <w:color w:val="000000"/>
                <w:sz w:val="14"/>
                <w:szCs w:val="16"/>
              </w:rPr>
              <w:t>Podnositelj zahtjeva</w:t>
            </w:r>
            <w:r w:rsidR="001B4CA2">
              <w:rPr>
                <w:b/>
                <w:bCs/>
                <w:color w:val="000000"/>
                <w:sz w:val="14"/>
                <w:szCs w:val="16"/>
              </w:rPr>
              <w:t xml:space="preserve"> </w:t>
            </w:r>
          </w:p>
          <w:p w14:paraId="7882A0F0" w14:textId="77777777" w:rsidR="00743EF4" w:rsidRPr="001B4CA2" w:rsidRDefault="00743EF4" w:rsidP="00743EF4">
            <w:pPr>
              <w:jc w:val="center"/>
              <w:rPr>
                <w:b/>
                <w:bCs/>
                <w:color w:val="000000"/>
                <w:sz w:val="14"/>
                <w:szCs w:val="16"/>
              </w:rPr>
            </w:pPr>
            <w:r w:rsidRPr="001B4CA2">
              <w:rPr>
                <w:b/>
                <w:bCs/>
                <w:color w:val="000000"/>
                <w:sz w:val="14"/>
                <w:szCs w:val="16"/>
              </w:rPr>
              <w:t>RH</w:t>
            </w:r>
          </w:p>
        </w:tc>
        <w:tc>
          <w:tcPr>
            <w:tcW w:w="798" w:type="pct"/>
            <w:gridSpan w:val="4"/>
            <w:vMerge/>
            <w:tcBorders>
              <w:left w:val="single" w:sz="4" w:space="0" w:color="auto"/>
              <w:bottom w:val="nil"/>
              <w:right w:val="single" w:sz="4" w:space="0" w:color="000000"/>
            </w:tcBorders>
            <w:shd w:val="clear" w:color="auto" w:fill="99CCFF"/>
          </w:tcPr>
          <w:p w14:paraId="4664FCF1" w14:textId="77777777" w:rsidR="00743EF4" w:rsidRPr="001B4CA2" w:rsidRDefault="00743EF4" w:rsidP="00743EF4">
            <w:pPr>
              <w:rPr>
                <w:b/>
                <w:bCs/>
                <w:color w:val="000000"/>
                <w:sz w:val="14"/>
                <w:szCs w:val="16"/>
              </w:rPr>
            </w:pPr>
          </w:p>
        </w:tc>
      </w:tr>
      <w:tr w:rsidR="001D4F0F" w:rsidRPr="001B4CA2" w14:paraId="524714B5" w14:textId="77777777" w:rsidTr="001D4F0F">
        <w:trPr>
          <w:trHeight w:val="1478"/>
        </w:trPr>
        <w:tc>
          <w:tcPr>
            <w:tcW w:w="769" w:type="pct"/>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16027ABB" w14:textId="77777777" w:rsidR="00743EF4" w:rsidRPr="001B4CA2" w:rsidRDefault="00743EF4" w:rsidP="00743EF4">
            <w:pPr>
              <w:rPr>
                <w:b/>
                <w:bCs/>
                <w:sz w:val="14"/>
                <w:szCs w:val="16"/>
              </w:rPr>
            </w:pPr>
          </w:p>
        </w:tc>
        <w:tc>
          <w:tcPr>
            <w:tcW w:w="173" w:type="pct"/>
            <w:tcBorders>
              <w:top w:val="nil"/>
              <w:left w:val="nil"/>
              <w:bottom w:val="single" w:sz="4" w:space="0" w:color="auto"/>
              <w:right w:val="single" w:sz="4" w:space="0" w:color="auto"/>
            </w:tcBorders>
            <w:shd w:val="clear" w:color="auto" w:fill="99CCFF"/>
            <w:textDirection w:val="btLr"/>
            <w:vAlign w:val="center"/>
            <w:hideMark/>
          </w:tcPr>
          <w:p w14:paraId="782B0CC1" w14:textId="77777777" w:rsidR="00743EF4" w:rsidRPr="001B4CA2" w:rsidRDefault="00743EF4" w:rsidP="00743EF4">
            <w:pPr>
              <w:jc w:val="left"/>
              <w:rPr>
                <w:sz w:val="14"/>
                <w:szCs w:val="16"/>
              </w:rPr>
            </w:pPr>
            <w:r w:rsidRPr="001B4CA2">
              <w:rPr>
                <w:sz w:val="14"/>
                <w:szCs w:val="16"/>
              </w:rPr>
              <w:t>Broj zahtjeva</w:t>
            </w:r>
          </w:p>
        </w:tc>
        <w:tc>
          <w:tcPr>
            <w:tcW w:w="174" w:type="pct"/>
            <w:tcBorders>
              <w:top w:val="nil"/>
              <w:left w:val="nil"/>
              <w:bottom w:val="single" w:sz="4" w:space="0" w:color="auto"/>
              <w:right w:val="single" w:sz="4" w:space="0" w:color="auto"/>
            </w:tcBorders>
            <w:shd w:val="clear" w:color="auto" w:fill="99CCFF"/>
            <w:textDirection w:val="btLr"/>
            <w:vAlign w:val="center"/>
            <w:hideMark/>
          </w:tcPr>
          <w:p w14:paraId="26954A7E" w14:textId="77777777" w:rsidR="00743EF4" w:rsidRPr="001B4CA2" w:rsidRDefault="00743EF4" w:rsidP="00743EF4">
            <w:pPr>
              <w:jc w:val="left"/>
              <w:rPr>
                <w:sz w:val="14"/>
                <w:szCs w:val="16"/>
              </w:rPr>
            </w:pPr>
            <w:r w:rsidRPr="001B4CA2">
              <w:rPr>
                <w:sz w:val="14"/>
                <w:szCs w:val="16"/>
              </w:rPr>
              <w:t>Broj sklopljenih nagodbi</w:t>
            </w:r>
          </w:p>
        </w:tc>
        <w:tc>
          <w:tcPr>
            <w:tcW w:w="174" w:type="pct"/>
            <w:tcBorders>
              <w:top w:val="nil"/>
              <w:left w:val="nil"/>
              <w:bottom w:val="single" w:sz="4" w:space="0" w:color="auto"/>
              <w:right w:val="single" w:sz="4" w:space="0" w:color="auto"/>
            </w:tcBorders>
            <w:shd w:val="clear" w:color="auto" w:fill="99CCFF"/>
            <w:textDirection w:val="btLr"/>
            <w:vAlign w:val="center"/>
            <w:hideMark/>
          </w:tcPr>
          <w:p w14:paraId="48577959" w14:textId="77777777" w:rsidR="00743EF4" w:rsidRPr="001B4CA2" w:rsidRDefault="00743EF4" w:rsidP="00743EF4">
            <w:pPr>
              <w:jc w:val="left"/>
              <w:rPr>
                <w:sz w:val="14"/>
                <w:szCs w:val="16"/>
              </w:rPr>
            </w:pPr>
            <w:r w:rsidRPr="001B4CA2">
              <w:rPr>
                <w:rFonts w:eastAsia="Times New Roman"/>
                <w:bCs/>
                <w:sz w:val="14"/>
                <w:szCs w:val="16"/>
                <w:lang w:eastAsia="hr-HR"/>
              </w:rPr>
              <w:t>% sklopljenih nagodbi u odnosu na broj podnesenih zahtjeva</w:t>
            </w:r>
          </w:p>
        </w:tc>
        <w:tc>
          <w:tcPr>
            <w:tcW w:w="195" w:type="pct"/>
            <w:tcBorders>
              <w:top w:val="nil"/>
              <w:left w:val="nil"/>
              <w:bottom w:val="single" w:sz="4" w:space="0" w:color="auto"/>
              <w:right w:val="single" w:sz="4" w:space="0" w:color="auto"/>
            </w:tcBorders>
            <w:shd w:val="clear" w:color="auto" w:fill="99CCFF"/>
            <w:textDirection w:val="btLr"/>
            <w:vAlign w:val="center"/>
          </w:tcPr>
          <w:p w14:paraId="5ED7204D" w14:textId="77777777" w:rsidR="00743EF4" w:rsidRPr="001B4CA2" w:rsidRDefault="00743EF4" w:rsidP="00743EF4">
            <w:pPr>
              <w:jc w:val="left"/>
              <w:rPr>
                <w:sz w:val="14"/>
                <w:szCs w:val="16"/>
              </w:rPr>
            </w:pPr>
            <w:r w:rsidRPr="001B4CA2">
              <w:rPr>
                <w:sz w:val="14"/>
                <w:szCs w:val="16"/>
              </w:rPr>
              <w:t>Vrijednost (u tis. kn)</w:t>
            </w:r>
          </w:p>
        </w:tc>
        <w:tc>
          <w:tcPr>
            <w:tcW w:w="204" w:type="pct"/>
            <w:tcBorders>
              <w:top w:val="nil"/>
              <w:left w:val="nil"/>
              <w:bottom w:val="single" w:sz="4" w:space="0" w:color="auto"/>
              <w:right w:val="single" w:sz="4" w:space="0" w:color="auto"/>
            </w:tcBorders>
            <w:shd w:val="clear" w:color="auto" w:fill="99CCFF"/>
            <w:textDirection w:val="btLr"/>
            <w:vAlign w:val="center"/>
          </w:tcPr>
          <w:p w14:paraId="7DFF030F" w14:textId="77777777" w:rsidR="00743EF4" w:rsidRPr="001B4CA2" w:rsidRDefault="00743EF4" w:rsidP="00743EF4">
            <w:pPr>
              <w:jc w:val="left"/>
              <w:rPr>
                <w:sz w:val="14"/>
                <w:szCs w:val="16"/>
              </w:rPr>
            </w:pPr>
            <w:r w:rsidRPr="001B4CA2">
              <w:rPr>
                <w:sz w:val="14"/>
                <w:szCs w:val="16"/>
              </w:rPr>
              <w:t>Broj zahtjeva</w:t>
            </w:r>
          </w:p>
        </w:tc>
        <w:tc>
          <w:tcPr>
            <w:tcW w:w="218" w:type="pct"/>
            <w:tcBorders>
              <w:top w:val="nil"/>
              <w:left w:val="nil"/>
              <w:bottom w:val="single" w:sz="4" w:space="0" w:color="auto"/>
              <w:right w:val="single" w:sz="4" w:space="0" w:color="auto"/>
            </w:tcBorders>
            <w:shd w:val="clear" w:color="auto" w:fill="99CCFF"/>
            <w:textDirection w:val="btLr"/>
            <w:vAlign w:val="center"/>
            <w:hideMark/>
          </w:tcPr>
          <w:p w14:paraId="3B255587" w14:textId="77777777" w:rsidR="00743EF4" w:rsidRPr="001B4CA2" w:rsidRDefault="00743EF4" w:rsidP="00743EF4">
            <w:pPr>
              <w:jc w:val="left"/>
              <w:rPr>
                <w:sz w:val="14"/>
                <w:szCs w:val="16"/>
              </w:rPr>
            </w:pPr>
            <w:r w:rsidRPr="001B4CA2">
              <w:rPr>
                <w:sz w:val="14"/>
                <w:szCs w:val="16"/>
              </w:rPr>
              <w:t>Broj sklopljenih nagodbi</w:t>
            </w:r>
          </w:p>
        </w:tc>
        <w:tc>
          <w:tcPr>
            <w:tcW w:w="219" w:type="pct"/>
            <w:tcBorders>
              <w:top w:val="nil"/>
              <w:left w:val="nil"/>
              <w:bottom w:val="single" w:sz="4" w:space="0" w:color="auto"/>
              <w:right w:val="single" w:sz="4" w:space="0" w:color="auto"/>
            </w:tcBorders>
            <w:shd w:val="clear" w:color="auto" w:fill="99CCFF"/>
            <w:textDirection w:val="btLr"/>
            <w:vAlign w:val="center"/>
            <w:hideMark/>
          </w:tcPr>
          <w:p w14:paraId="224EF848" w14:textId="77777777" w:rsidR="00743EF4" w:rsidRPr="001B4CA2" w:rsidRDefault="00743EF4" w:rsidP="00743EF4">
            <w:pPr>
              <w:jc w:val="left"/>
              <w:rPr>
                <w:sz w:val="14"/>
                <w:szCs w:val="16"/>
              </w:rPr>
            </w:pPr>
            <w:r w:rsidRPr="001B4CA2">
              <w:rPr>
                <w:rFonts w:eastAsia="Times New Roman"/>
                <w:bCs/>
                <w:sz w:val="14"/>
                <w:szCs w:val="16"/>
                <w:lang w:eastAsia="hr-HR"/>
              </w:rPr>
              <w:t>% sklopljenih nagodbi u odnosu na broj podnesenih zahtjeva</w:t>
            </w:r>
          </w:p>
        </w:tc>
        <w:tc>
          <w:tcPr>
            <w:tcW w:w="219" w:type="pct"/>
            <w:tcBorders>
              <w:top w:val="nil"/>
              <w:left w:val="nil"/>
              <w:bottom w:val="single" w:sz="4" w:space="0" w:color="auto"/>
              <w:right w:val="single" w:sz="4" w:space="0" w:color="auto"/>
            </w:tcBorders>
            <w:shd w:val="clear" w:color="auto" w:fill="99CCFF"/>
            <w:textDirection w:val="btLr"/>
            <w:vAlign w:val="center"/>
            <w:hideMark/>
          </w:tcPr>
          <w:p w14:paraId="4A97ACA2" w14:textId="77777777" w:rsidR="00743EF4" w:rsidRPr="001B4CA2" w:rsidRDefault="00743EF4" w:rsidP="00743EF4">
            <w:pPr>
              <w:jc w:val="left"/>
              <w:rPr>
                <w:sz w:val="14"/>
                <w:szCs w:val="16"/>
              </w:rPr>
            </w:pPr>
            <w:r w:rsidRPr="001B4CA2">
              <w:rPr>
                <w:sz w:val="14"/>
                <w:szCs w:val="16"/>
              </w:rPr>
              <w:t>Vrijednost (u tis. kn)</w:t>
            </w:r>
            <w:r w:rsidRPr="001B4CA2">
              <w:rPr>
                <w:sz w:val="14"/>
                <w:szCs w:val="16"/>
              </w:rPr>
              <w:br/>
            </w:r>
          </w:p>
        </w:tc>
        <w:tc>
          <w:tcPr>
            <w:tcW w:w="174" w:type="pct"/>
            <w:tcBorders>
              <w:top w:val="nil"/>
              <w:left w:val="nil"/>
              <w:bottom w:val="single" w:sz="4" w:space="0" w:color="auto"/>
              <w:right w:val="single" w:sz="4" w:space="0" w:color="auto"/>
            </w:tcBorders>
            <w:shd w:val="clear" w:color="auto" w:fill="99CCFF"/>
            <w:textDirection w:val="btLr"/>
            <w:vAlign w:val="center"/>
            <w:hideMark/>
          </w:tcPr>
          <w:p w14:paraId="37C6B1D2" w14:textId="77777777" w:rsidR="00743EF4" w:rsidRPr="001B4CA2" w:rsidRDefault="00743EF4" w:rsidP="00743EF4">
            <w:pPr>
              <w:jc w:val="left"/>
              <w:rPr>
                <w:sz w:val="14"/>
                <w:szCs w:val="16"/>
              </w:rPr>
            </w:pPr>
            <w:r w:rsidRPr="001B4CA2">
              <w:rPr>
                <w:sz w:val="14"/>
                <w:szCs w:val="16"/>
              </w:rPr>
              <w:t>Broj zahtjeva</w:t>
            </w:r>
          </w:p>
        </w:tc>
        <w:tc>
          <w:tcPr>
            <w:tcW w:w="131" w:type="pct"/>
            <w:tcBorders>
              <w:top w:val="nil"/>
              <w:left w:val="nil"/>
              <w:bottom w:val="single" w:sz="4" w:space="0" w:color="auto"/>
              <w:right w:val="single" w:sz="4" w:space="0" w:color="auto"/>
            </w:tcBorders>
            <w:shd w:val="clear" w:color="auto" w:fill="99CCFF"/>
            <w:textDirection w:val="btLr"/>
            <w:vAlign w:val="center"/>
            <w:hideMark/>
          </w:tcPr>
          <w:p w14:paraId="5CA09F80" w14:textId="77777777" w:rsidR="00743EF4" w:rsidRPr="001B4CA2" w:rsidRDefault="00743EF4" w:rsidP="00743EF4">
            <w:pPr>
              <w:jc w:val="left"/>
              <w:rPr>
                <w:sz w:val="14"/>
                <w:szCs w:val="16"/>
              </w:rPr>
            </w:pPr>
            <w:r w:rsidRPr="001B4CA2">
              <w:rPr>
                <w:sz w:val="14"/>
                <w:szCs w:val="16"/>
              </w:rPr>
              <w:t>Broj sklopljenih nagodbi</w:t>
            </w:r>
          </w:p>
        </w:tc>
        <w:tc>
          <w:tcPr>
            <w:tcW w:w="219" w:type="pct"/>
            <w:tcBorders>
              <w:top w:val="nil"/>
              <w:left w:val="nil"/>
              <w:bottom w:val="single" w:sz="4" w:space="0" w:color="auto"/>
              <w:right w:val="single" w:sz="4" w:space="0" w:color="auto"/>
            </w:tcBorders>
            <w:shd w:val="clear" w:color="auto" w:fill="99CCFF"/>
            <w:textDirection w:val="btLr"/>
            <w:vAlign w:val="center"/>
            <w:hideMark/>
          </w:tcPr>
          <w:p w14:paraId="1913E604" w14:textId="77777777" w:rsidR="00743EF4" w:rsidRPr="001B4CA2" w:rsidRDefault="00743EF4" w:rsidP="00743EF4">
            <w:pPr>
              <w:jc w:val="left"/>
              <w:rPr>
                <w:sz w:val="14"/>
                <w:szCs w:val="16"/>
              </w:rPr>
            </w:pPr>
            <w:r w:rsidRPr="001B4CA2">
              <w:rPr>
                <w:rFonts w:eastAsia="Times New Roman"/>
                <w:bCs/>
                <w:sz w:val="14"/>
                <w:szCs w:val="16"/>
                <w:lang w:eastAsia="hr-HR"/>
              </w:rPr>
              <w:t>% sklopljenih nagodbi u odnosu na broj podnesenih zahtjeva</w:t>
            </w:r>
          </w:p>
        </w:tc>
        <w:tc>
          <w:tcPr>
            <w:tcW w:w="195" w:type="pct"/>
            <w:tcBorders>
              <w:top w:val="nil"/>
              <w:left w:val="nil"/>
              <w:bottom w:val="single" w:sz="4" w:space="0" w:color="auto"/>
              <w:right w:val="single" w:sz="4" w:space="0" w:color="auto"/>
            </w:tcBorders>
            <w:shd w:val="clear" w:color="auto" w:fill="99CCFF"/>
            <w:textDirection w:val="btLr"/>
            <w:vAlign w:val="center"/>
            <w:hideMark/>
          </w:tcPr>
          <w:p w14:paraId="2B6BEC3D" w14:textId="77777777" w:rsidR="00743EF4" w:rsidRPr="001B4CA2" w:rsidRDefault="00743EF4" w:rsidP="00743EF4">
            <w:pPr>
              <w:jc w:val="left"/>
              <w:rPr>
                <w:sz w:val="14"/>
                <w:szCs w:val="16"/>
              </w:rPr>
            </w:pPr>
            <w:r w:rsidRPr="001B4CA2">
              <w:rPr>
                <w:sz w:val="14"/>
                <w:szCs w:val="16"/>
              </w:rPr>
              <w:t>Vrijednost (u tis. kn)</w:t>
            </w:r>
            <w:r w:rsidRPr="001B4CA2">
              <w:rPr>
                <w:sz w:val="14"/>
                <w:szCs w:val="16"/>
              </w:rPr>
              <w:br/>
            </w:r>
          </w:p>
        </w:tc>
        <w:tc>
          <w:tcPr>
            <w:tcW w:w="123" w:type="pct"/>
            <w:tcBorders>
              <w:top w:val="nil"/>
              <w:left w:val="nil"/>
              <w:bottom w:val="single" w:sz="4" w:space="0" w:color="auto"/>
              <w:right w:val="single" w:sz="4" w:space="0" w:color="auto"/>
            </w:tcBorders>
            <w:shd w:val="clear" w:color="auto" w:fill="99CCFF"/>
            <w:textDirection w:val="btLr"/>
            <w:vAlign w:val="center"/>
            <w:hideMark/>
          </w:tcPr>
          <w:p w14:paraId="6652B042" w14:textId="77777777" w:rsidR="00743EF4" w:rsidRPr="001B4CA2" w:rsidRDefault="00743EF4" w:rsidP="00743EF4">
            <w:pPr>
              <w:jc w:val="left"/>
              <w:rPr>
                <w:sz w:val="14"/>
                <w:szCs w:val="16"/>
              </w:rPr>
            </w:pPr>
            <w:r w:rsidRPr="001B4CA2">
              <w:rPr>
                <w:sz w:val="14"/>
                <w:szCs w:val="16"/>
              </w:rPr>
              <w:t>Broj zahtjeva</w:t>
            </w:r>
          </w:p>
        </w:tc>
        <w:tc>
          <w:tcPr>
            <w:tcW w:w="132" w:type="pct"/>
            <w:tcBorders>
              <w:top w:val="nil"/>
              <w:left w:val="nil"/>
              <w:bottom w:val="single" w:sz="4" w:space="0" w:color="auto"/>
              <w:right w:val="single" w:sz="4" w:space="0" w:color="auto"/>
            </w:tcBorders>
            <w:shd w:val="clear" w:color="auto" w:fill="99CCFF"/>
            <w:textDirection w:val="btLr"/>
            <w:vAlign w:val="center"/>
            <w:hideMark/>
          </w:tcPr>
          <w:p w14:paraId="0D40B47D" w14:textId="77777777" w:rsidR="00743EF4" w:rsidRPr="001B4CA2" w:rsidRDefault="00743EF4" w:rsidP="00743EF4">
            <w:pPr>
              <w:jc w:val="left"/>
              <w:rPr>
                <w:sz w:val="14"/>
                <w:szCs w:val="16"/>
              </w:rPr>
            </w:pPr>
            <w:r w:rsidRPr="001B4CA2">
              <w:rPr>
                <w:sz w:val="14"/>
                <w:szCs w:val="16"/>
              </w:rPr>
              <w:t>Broj sklopljenih nagodbi</w:t>
            </w:r>
          </w:p>
        </w:tc>
        <w:tc>
          <w:tcPr>
            <w:tcW w:w="206" w:type="pct"/>
            <w:tcBorders>
              <w:top w:val="nil"/>
              <w:left w:val="nil"/>
              <w:bottom w:val="single" w:sz="4" w:space="0" w:color="auto"/>
              <w:right w:val="single" w:sz="4" w:space="0" w:color="auto"/>
            </w:tcBorders>
            <w:shd w:val="clear" w:color="auto" w:fill="99CCFF"/>
            <w:textDirection w:val="btLr"/>
            <w:vAlign w:val="center"/>
            <w:hideMark/>
          </w:tcPr>
          <w:p w14:paraId="0658D117" w14:textId="77777777" w:rsidR="00743EF4" w:rsidRPr="001B4CA2" w:rsidRDefault="00743EF4" w:rsidP="00743EF4">
            <w:pPr>
              <w:jc w:val="left"/>
              <w:rPr>
                <w:sz w:val="14"/>
                <w:szCs w:val="16"/>
              </w:rPr>
            </w:pPr>
            <w:r w:rsidRPr="001B4CA2">
              <w:rPr>
                <w:rFonts w:eastAsia="Times New Roman"/>
                <w:bCs/>
                <w:sz w:val="14"/>
                <w:szCs w:val="16"/>
                <w:lang w:eastAsia="hr-HR"/>
              </w:rPr>
              <w:t>% sklopljenih nagodbi u odnosu na broj podnesenih zahtjeva</w:t>
            </w:r>
            <w:r w:rsidRPr="001B4CA2">
              <w:rPr>
                <w:sz w:val="14"/>
                <w:szCs w:val="16"/>
              </w:rPr>
              <w:t xml:space="preserve"> %</w:t>
            </w:r>
          </w:p>
        </w:tc>
        <w:tc>
          <w:tcPr>
            <w:tcW w:w="124" w:type="pct"/>
            <w:tcBorders>
              <w:top w:val="nil"/>
              <w:left w:val="nil"/>
              <w:bottom w:val="single" w:sz="4" w:space="0" w:color="auto"/>
              <w:right w:val="single" w:sz="4" w:space="0" w:color="auto"/>
            </w:tcBorders>
            <w:shd w:val="clear" w:color="auto" w:fill="99CCFF"/>
            <w:textDirection w:val="btLr"/>
            <w:vAlign w:val="center"/>
            <w:hideMark/>
          </w:tcPr>
          <w:p w14:paraId="185A233E" w14:textId="77777777" w:rsidR="00743EF4" w:rsidRPr="001B4CA2" w:rsidRDefault="00743EF4" w:rsidP="00743EF4">
            <w:pPr>
              <w:jc w:val="left"/>
              <w:rPr>
                <w:sz w:val="14"/>
                <w:szCs w:val="16"/>
              </w:rPr>
            </w:pPr>
            <w:r w:rsidRPr="001B4CA2">
              <w:rPr>
                <w:sz w:val="14"/>
                <w:szCs w:val="16"/>
              </w:rPr>
              <w:t>Vrijednost (u tis.kn)</w:t>
            </w:r>
            <w:r w:rsidRPr="001B4CA2">
              <w:rPr>
                <w:sz w:val="14"/>
                <w:szCs w:val="16"/>
              </w:rPr>
              <w:br/>
            </w:r>
          </w:p>
        </w:tc>
        <w:tc>
          <w:tcPr>
            <w:tcW w:w="130" w:type="pct"/>
            <w:tcBorders>
              <w:top w:val="nil"/>
              <w:left w:val="nil"/>
              <w:bottom w:val="single" w:sz="4" w:space="0" w:color="auto"/>
              <w:right w:val="single" w:sz="4" w:space="0" w:color="auto"/>
            </w:tcBorders>
            <w:shd w:val="clear" w:color="auto" w:fill="99CCFF"/>
            <w:textDirection w:val="btLr"/>
            <w:vAlign w:val="center"/>
            <w:hideMark/>
          </w:tcPr>
          <w:p w14:paraId="5506CABA" w14:textId="77777777" w:rsidR="00743EF4" w:rsidRPr="001B4CA2" w:rsidRDefault="00743EF4" w:rsidP="00743EF4">
            <w:pPr>
              <w:jc w:val="left"/>
              <w:rPr>
                <w:sz w:val="14"/>
                <w:szCs w:val="16"/>
              </w:rPr>
            </w:pPr>
            <w:r w:rsidRPr="001B4CA2">
              <w:rPr>
                <w:sz w:val="14"/>
                <w:szCs w:val="16"/>
              </w:rPr>
              <w:t>Broj zahtjeva</w:t>
            </w:r>
          </w:p>
        </w:tc>
        <w:tc>
          <w:tcPr>
            <w:tcW w:w="124" w:type="pct"/>
            <w:tcBorders>
              <w:top w:val="nil"/>
              <w:left w:val="nil"/>
              <w:bottom w:val="single" w:sz="4" w:space="0" w:color="auto"/>
              <w:right w:val="single" w:sz="4" w:space="0" w:color="auto"/>
            </w:tcBorders>
            <w:shd w:val="clear" w:color="auto" w:fill="99CCFF"/>
            <w:textDirection w:val="btLr"/>
            <w:vAlign w:val="center"/>
            <w:hideMark/>
          </w:tcPr>
          <w:p w14:paraId="009C2D2C" w14:textId="77777777" w:rsidR="00743EF4" w:rsidRPr="001B4CA2" w:rsidRDefault="00743EF4" w:rsidP="00743EF4">
            <w:pPr>
              <w:jc w:val="left"/>
              <w:rPr>
                <w:sz w:val="14"/>
                <w:szCs w:val="16"/>
              </w:rPr>
            </w:pPr>
            <w:r w:rsidRPr="001B4CA2">
              <w:rPr>
                <w:sz w:val="14"/>
                <w:szCs w:val="16"/>
              </w:rPr>
              <w:t>Broj sklopljenih nagodbi</w:t>
            </w:r>
          </w:p>
        </w:tc>
        <w:tc>
          <w:tcPr>
            <w:tcW w:w="163" w:type="pct"/>
            <w:tcBorders>
              <w:top w:val="nil"/>
              <w:left w:val="nil"/>
              <w:bottom w:val="single" w:sz="4" w:space="0" w:color="auto"/>
              <w:right w:val="single" w:sz="4" w:space="0" w:color="auto"/>
            </w:tcBorders>
            <w:shd w:val="clear" w:color="auto" w:fill="99CCFF"/>
            <w:textDirection w:val="btLr"/>
            <w:vAlign w:val="center"/>
            <w:hideMark/>
          </w:tcPr>
          <w:p w14:paraId="027D9E2C" w14:textId="77777777" w:rsidR="00743EF4" w:rsidRPr="001B4CA2" w:rsidRDefault="00743EF4" w:rsidP="00743EF4">
            <w:pPr>
              <w:jc w:val="left"/>
              <w:rPr>
                <w:sz w:val="14"/>
                <w:szCs w:val="16"/>
              </w:rPr>
            </w:pPr>
            <w:r w:rsidRPr="001B4CA2">
              <w:rPr>
                <w:rFonts w:eastAsia="Times New Roman"/>
                <w:bCs/>
                <w:sz w:val="14"/>
                <w:szCs w:val="16"/>
                <w:lang w:eastAsia="hr-HR"/>
              </w:rPr>
              <w:t>% sklopljenih nagodbi u odnosu na broj podnesenih zahtjeva</w:t>
            </w:r>
            <w:r w:rsidRPr="001B4CA2">
              <w:rPr>
                <w:sz w:val="14"/>
                <w:szCs w:val="16"/>
              </w:rPr>
              <w:t xml:space="preserve"> %</w:t>
            </w:r>
          </w:p>
        </w:tc>
        <w:tc>
          <w:tcPr>
            <w:tcW w:w="136" w:type="pct"/>
            <w:tcBorders>
              <w:top w:val="nil"/>
              <w:left w:val="nil"/>
              <w:bottom w:val="single" w:sz="4" w:space="0" w:color="auto"/>
              <w:right w:val="single" w:sz="4" w:space="0" w:color="auto"/>
            </w:tcBorders>
            <w:shd w:val="clear" w:color="auto" w:fill="99CCFF"/>
            <w:textDirection w:val="btLr"/>
            <w:vAlign w:val="center"/>
            <w:hideMark/>
          </w:tcPr>
          <w:p w14:paraId="28299F68" w14:textId="7D5D8760" w:rsidR="00743EF4" w:rsidRPr="001B4CA2" w:rsidRDefault="00743EF4" w:rsidP="00743EF4">
            <w:pPr>
              <w:jc w:val="left"/>
              <w:rPr>
                <w:sz w:val="14"/>
                <w:szCs w:val="16"/>
              </w:rPr>
            </w:pPr>
            <w:r w:rsidRPr="001B4CA2">
              <w:rPr>
                <w:sz w:val="14"/>
                <w:szCs w:val="16"/>
              </w:rPr>
              <w:t>Vrijednost</w:t>
            </w:r>
            <w:r w:rsidR="001B4CA2">
              <w:rPr>
                <w:sz w:val="14"/>
                <w:szCs w:val="16"/>
              </w:rPr>
              <w:t xml:space="preserve"> </w:t>
            </w:r>
            <w:r w:rsidRPr="001B4CA2">
              <w:rPr>
                <w:sz w:val="14"/>
                <w:szCs w:val="16"/>
              </w:rPr>
              <w:t>(u tis. kn)</w:t>
            </w:r>
            <w:r w:rsidRPr="001B4CA2">
              <w:rPr>
                <w:sz w:val="14"/>
                <w:szCs w:val="16"/>
              </w:rPr>
              <w:br/>
            </w:r>
          </w:p>
        </w:tc>
        <w:tc>
          <w:tcPr>
            <w:tcW w:w="209"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5FD51834" w14:textId="77777777" w:rsidR="00743EF4" w:rsidRPr="001B4CA2" w:rsidRDefault="00743EF4" w:rsidP="00743EF4">
            <w:pPr>
              <w:jc w:val="left"/>
              <w:rPr>
                <w:b/>
                <w:bCs/>
                <w:sz w:val="14"/>
                <w:szCs w:val="16"/>
              </w:rPr>
            </w:pPr>
            <w:r w:rsidRPr="001B4CA2">
              <w:rPr>
                <w:b/>
                <w:bCs/>
                <w:sz w:val="14"/>
                <w:szCs w:val="16"/>
              </w:rPr>
              <w:t>Broj zahtjeva</w:t>
            </w:r>
          </w:p>
        </w:tc>
        <w:tc>
          <w:tcPr>
            <w:tcW w:w="172" w:type="pct"/>
            <w:tcBorders>
              <w:top w:val="single" w:sz="4" w:space="0" w:color="auto"/>
              <w:left w:val="nil"/>
              <w:bottom w:val="single" w:sz="4" w:space="0" w:color="auto"/>
              <w:right w:val="single" w:sz="4" w:space="0" w:color="auto"/>
            </w:tcBorders>
            <w:shd w:val="clear" w:color="auto" w:fill="99CCFF"/>
            <w:textDirection w:val="btLr"/>
            <w:vAlign w:val="center"/>
          </w:tcPr>
          <w:p w14:paraId="0D0E7605" w14:textId="77777777" w:rsidR="00743EF4" w:rsidRPr="001B4CA2" w:rsidRDefault="00743EF4" w:rsidP="00743EF4">
            <w:pPr>
              <w:jc w:val="left"/>
              <w:rPr>
                <w:b/>
                <w:bCs/>
                <w:sz w:val="14"/>
                <w:szCs w:val="16"/>
              </w:rPr>
            </w:pPr>
            <w:r w:rsidRPr="001B4CA2">
              <w:rPr>
                <w:rFonts w:eastAsia="Times New Roman"/>
                <w:b/>
                <w:bCs/>
                <w:sz w:val="14"/>
                <w:szCs w:val="16"/>
                <w:lang w:eastAsia="hr-HR"/>
              </w:rPr>
              <w:t>Broj sklopljenih nagodbi</w:t>
            </w:r>
          </w:p>
        </w:tc>
        <w:tc>
          <w:tcPr>
            <w:tcW w:w="193" w:type="pct"/>
            <w:tcBorders>
              <w:top w:val="single" w:sz="4" w:space="0" w:color="auto"/>
              <w:left w:val="nil"/>
              <w:bottom w:val="single" w:sz="4" w:space="0" w:color="auto"/>
              <w:right w:val="single" w:sz="4" w:space="0" w:color="auto"/>
            </w:tcBorders>
            <w:shd w:val="clear" w:color="auto" w:fill="99CCFF"/>
            <w:textDirection w:val="btLr"/>
            <w:vAlign w:val="center"/>
          </w:tcPr>
          <w:p w14:paraId="7ED267FE" w14:textId="77777777" w:rsidR="00743EF4" w:rsidRPr="001B4CA2" w:rsidRDefault="00743EF4" w:rsidP="00743EF4">
            <w:pPr>
              <w:jc w:val="left"/>
              <w:rPr>
                <w:b/>
                <w:sz w:val="14"/>
                <w:szCs w:val="16"/>
              </w:rPr>
            </w:pPr>
            <w:r w:rsidRPr="001B4CA2">
              <w:rPr>
                <w:rFonts w:eastAsia="Times New Roman"/>
                <w:b/>
                <w:bCs/>
                <w:sz w:val="14"/>
                <w:szCs w:val="16"/>
                <w:lang w:eastAsia="hr-HR"/>
              </w:rPr>
              <w:t>% sklopljenih nagodbi u odnosu na broj podnesenih zahtjeva</w:t>
            </w:r>
            <w:r w:rsidRPr="001B4CA2">
              <w:rPr>
                <w:b/>
                <w:sz w:val="14"/>
                <w:szCs w:val="16"/>
              </w:rPr>
              <w:t xml:space="preserve"> %</w:t>
            </w:r>
          </w:p>
        </w:tc>
        <w:tc>
          <w:tcPr>
            <w:tcW w:w="224" w:type="pct"/>
            <w:tcBorders>
              <w:top w:val="single" w:sz="4" w:space="0" w:color="auto"/>
              <w:left w:val="single" w:sz="4" w:space="0" w:color="auto"/>
              <w:bottom w:val="single" w:sz="4" w:space="0" w:color="auto"/>
              <w:right w:val="single" w:sz="4" w:space="0" w:color="auto"/>
            </w:tcBorders>
            <w:shd w:val="clear" w:color="auto" w:fill="99CCFF"/>
            <w:textDirection w:val="btLr"/>
            <w:vAlign w:val="center"/>
          </w:tcPr>
          <w:p w14:paraId="68EC74BB" w14:textId="3595CC0E" w:rsidR="00743EF4" w:rsidRPr="001B4CA2" w:rsidRDefault="00743EF4" w:rsidP="00743EF4">
            <w:pPr>
              <w:jc w:val="left"/>
              <w:rPr>
                <w:b/>
                <w:bCs/>
                <w:sz w:val="14"/>
                <w:szCs w:val="16"/>
              </w:rPr>
            </w:pPr>
            <w:r w:rsidRPr="001B4CA2">
              <w:rPr>
                <w:b/>
                <w:bCs/>
                <w:sz w:val="14"/>
                <w:szCs w:val="16"/>
              </w:rPr>
              <w:t>Vrijednost sklopljenih</w:t>
            </w:r>
            <w:r w:rsidR="001B4CA2">
              <w:rPr>
                <w:b/>
                <w:bCs/>
                <w:sz w:val="14"/>
                <w:szCs w:val="16"/>
              </w:rPr>
              <w:t xml:space="preserve"> </w:t>
            </w:r>
            <w:r w:rsidRPr="001B4CA2">
              <w:rPr>
                <w:b/>
                <w:bCs/>
                <w:sz w:val="14"/>
                <w:szCs w:val="16"/>
              </w:rPr>
              <w:t>nagodbi (u tis. kn)</w:t>
            </w:r>
          </w:p>
        </w:tc>
      </w:tr>
      <w:tr w:rsidR="001D4F0F" w:rsidRPr="001B4CA2" w14:paraId="19C1411F"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0BF23761" w14:textId="77777777" w:rsidR="00743EF4" w:rsidRPr="001B4CA2" w:rsidRDefault="00743EF4" w:rsidP="00743EF4">
            <w:pPr>
              <w:jc w:val="left"/>
              <w:rPr>
                <w:bCs/>
                <w:sz w:val="16"/>
                <w:szCs w:val="16"/>
              </w:rPr>
            </w:pPr>
            <w:r w:rsidRPr="001B4CA2">
              <w:rPr>
                <w:bCs/>
                <w:sz w:val="16"/>
                <w:szCs w:val="16"/>
              </w:rPr>
              <w:t>Republika Hrvatska</w:t>
            </w:r>
          </w:p>
        </w:tc>
        <w:tc>
          <w:tcPr>
            <w:tcW w:w="173" w:type="pct"/>
            <w:tcBorders>
              <w:top w:val="nil"/>
              <w:left w:val="nil"/>
              <w:bottom w:val="single" w:sz="4" w:space="0" w:color="auto"/>
              <w:right w:val="single" w:sz="4" w:space="0" w:color="auto"/>
            </w:tcBorders>
            <w:shd w:val="clear" w:color="auto" w:fill="auto"/>
            <w:noWrap/>
            <w:vAlign w:val="center"/>
          </w:tcPr>
          <w:p w14:paraId="66432C9F"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13</w:t>
            </w:r>
          </w:p>
        </w:tc>
        <w:tc>
          <w:tcPr>
            <w:tcW w:w="174" w:type="pct"/>
            <w:tcBorders>
              <w:top w:val="nil"/>
              <w:left w:val="nil"/>
              <w:bottom w:val="single" w:sz="4" w:space="0" w:color="auto"/>
              <w:right w:val="single" w:sz="4" w:space="0" w:color="auto"/>
            </w:tcBorders>
            <w:shd w:val="clear" w:color="auto" w:fill="auto"/>
            <w:noWrap/>
            <w:vAlign w:val="center"/>
          </w:tcPr>
          <w:p w14:paraId="3A13CC4B"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24912EBE"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70BAEC2A"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4E02E97D"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5</w:t>
            </w:r>
          </w:p>
        </w:tc>
        <w:tc>
          <w:tcPr>
            <w:tcW w:w="218" w:type="pct"/>
            <w:tcBorders>
              <w:top w:val="nil"/>
              <w:left w:val="nil"/>
              <w:bottom w:val="single" w:sz="4" w:space="0" w:color="auto"/>
              <w:right w:val="single" w:sz="4" w:space="0" w:color="auto"/>
            </w:tcBorders>
            <w:shd w:val="clear" w:color="auto" w:fill="auto"/>
            <w:noWrap/>
            <w:vAlign w:val="center"/>
          </w:tcPr>
          <w:p w14:paraId="60C43F58"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63BEF220"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2F5BA9B1" w14:textId="77777777" w:rsidR="00743EF4" w:rsidRPr="001B4CA2" w:rsidRDefault="00743EF4" w:rsidP="00743EF4">
            <w:pPr>
              <w:jc w:val="center"/>
              <w:rPr>
                <w:rFonts w:ascii="Calibri" w:hAnsi="Calibri" w:cs="Calibri"/>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6A89ACA3"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131" w:type="pct"/>
            <w:tcBorders>
              <w:top w:val="nil"/>
              <w:left w:val="nil"/>
              <w:bottom w:val="single" w:sz="4" w:space="0" w:color="auto"/>
              <w:right w:val="single" w:sz="4" w:space="0" w:color="auto"/>
            </w:tcBorders>
            <w:shd w:val="clear" w:color="auto" w:fill="auto"/>
            <w:noWrap/>
            <w:vAlign w:val="center"/>
          </w:tcPr>
          <w:p w14:paraId="3EB0D20A" w14:textId="77777777" w:rsidR="00743EF4" w:rsidRPr="001B4CA2" w:rsidRDefault="00743EF4" w:rsidP="00743EF4">
            <w:pPr>
              <w:jc w:val="center"/>
              <w:rPr>
                <w:rFonts w:ascii="Calibri" w:hAnsi="Calibri" w:cs="Calibri"/>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14:paraId="2076A7E5"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0313C301" w14:textId="77777777" w:rsidR="00743EF4" w:rsidRPr="001B4CA2" w:rsidRDefault="00743EF4" w:rsidP="00743EF4">
            <w:pPr>
              <w:jc w:val="center"/>
              <w:rPr>
                <w:rFonts w:ascii="Calibri" w:hAnsi="Calibri" w:cs="Calibri"/>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282CA36E"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538670EE"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67A72D41"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13800BCE"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3251949C" w14:textId="77777777" w:rsidR="00743EF4" w:rsidRPr="001B4CA2" w:rsidRDefault="00743EF4" w:rsidP="00743EF4">
            <w:pPr>
              <w:jc w:val="center"/>
              <w:rPr>
                <w:rFonts w:ascii="Calibri" w:hAnsi="Calibri" w:cs="Calibri"/>
                <w:color w:val="000000"/>
                <w:sz w:val="20"/>
                <w:szCs w:val="20"/>
              </w:rPr>
            </w:pPr>
          </w:p>
        </w:tc>
        <w:tc>
          <w:tcPr>
            <w:tcW w:w="124" w:type="pct"/>
            <w:tcBorders>
              <w:top w:val="nil"/>
              <w:left w:val="nil"/>
              <w:bottom w:val="single" w:sz="4" w:space="0" w:color="auto"/>
              <w:right w:val="single" w:sz="4" w:space="0" w:color="auto"/>
            </w:tcBorders>
            <w:shd w:val="clear" w:color="auto" w:fill="auto"/>
            <w:noWrap/>
            <w:vAlign w:val="center"/>
          </w:tcPr>
          <w:p w14:paraId="7EBEF60A"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7EF1E7DF"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21595B29"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7C0B0530"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19</w:t>
            </w:r>
          </w:p>
        </w:tc>
        <w:tc>
          <w:tcPr>
            <w:tcW w:w="172" w:type="pct"/>
            <w:tcBorders>
              <w:top w:val="nil"/>
              <w:left w:val="nil"/>
              <w:bottom w:val="single" w:sz="4" w:space="0" w:color="auto"/>
              <w:right w:val="single" w:sz="4" w:space="0" w:color="auto"/>
            </w:tcBorders>
            <w:shd w:val="clear" w:color="auto" w:fill="auto"/>
            <w:noWrap/>
            <w:vAlign w:val="center"/>
          </w:tcPr>
          <w:p w14:paraId="4DD305B6" w14:textId="77777777" w:rsidR="00743EF4" w:rsidRPr="001B4CA2" w:rsidRDefault="00743EF4" w:rsidP="00743EF4">
            <w:pPr>
              <w:jc w:val="center"/>
              <w:rPr>
                <w:rFonts w:ascii="Calibri" w:hAnsi="Calibri" w:cs="Calibri"/>
                <w:bCs/>
                <w:color w:val="000000"/>
                <w:sz w:val="18"/>
                <w:szCs w:val="18"/>
              </w:rPr>
            </w:pPr>
          </w:p>
        </w:tc>
        <w:tc>
          <w:tcPr>
            <w:tcW w:w="193" w:type="pct"/>
            <w:tcBorders>
              <w:top w:val="single" w:sz="4" w:space="0" w:color="auto"/>
              <w:left w:val="nil"/>
              <w:bottom w:val="single" w:sz="4" w:space="0" w:color="auto"/>
              <w:right w:val="single" w:sz="4" w:space="0" w:color="auto"/>
            </w:tcBorders>
          </w:tcPr>
          <w:p w14:paraId="338EF9F3"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17A929" w14:textId="77777777" w:rsidR="00743EF4" w:rsidRPr="001B4CA2" w:rsidRDefault="00743EF4" w:rsidP="00743EF4">
            <w:pPr>
              <w:jc w:val="center"/>
              <w:rPr>
                <w:rFonts w:ascii="Calibri" w:hAnsi="Calibri" w:cs="Calibri"/>
                <w:b/>
                <w:bCs/>
                <w:color w:val="000000"/>
                <w:sz w:val="18"/>
                <w:szCs w:val="18"/>
              </w:rPr>
            </w:pPr>
          </w:p>
        </w:tc>
      </w:tr>
      <w:tr w:rsidR="001D4F0F" w:rsidRPr="001B4CA2" w14:paraId="62D671D1"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25EBF0B8" w14:textId="04B817CD" w:rsidR="00743EF4" w:rsidRPr="001B4CA2" w:rsidRDefault="00743EF4" w:rsidP="00743EF4">
            <w:pPr>
              <w:jc w:val="left"/>
              <w:rPr>
                <w:bCs/>
                <w:sz w:val="16"/>
                <w:szCs w:val="16"/>
              </w:rPr>
            </w:pPr>
            <w:r w:rsidRPr="001B4CA2">
              <w:rPr>
                <w:bCs/>
                <w:sz w:val="16"/>
                <w:szCs w:val="16"/>
              </w:rPr>
              <w:t>Ministarstvo pravosuđa i</w:t>
            </w:r>
            <w:r w:rsidR="001B4CA2">
              <w:rPr>
                <w:bCs/>
                <w:sz w:val="16"/>
                <w:szCs w:val="16"/>
              </w:rPr>
              <w:t xml:space="preserve"> </w:t>
            </w:r>
            <w:r w:rsidRPr="001B4CA2">
              <w:rPr>
                <w:bCs/>
                <w:sz w:val="16"/>
                <w:szCs w:val="16"/>
              </w:rPr>
              <w:t xml:space="preserve">uprave </w:t>
            </w:r>
          </w:p>
        </w:tc>
        <w:tc>
          <w:tcPr>
            <w:tcW w:w="173" w:type="pct"/>
            <w:tcBorders>
              <w:top w:val="nil"/>
              <w:left w:val="nil"/>
              <w:bottom w:val="single" w:sz="4" w:space="0" w:color="auto"/>
              <w:right w:val="single" w:sz="4" w:space="0" w:color="auto"/>
            </w:tcBorders>
            <w:shd w:val="clear" w:color="auto" w:fill="auto"/>
            <w:noWrap/>
            <w:vAlign w:val="center"/>
          </w:tcPr>
          <w:p w14:paraId="677E8DFF"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w:t>
            </w:r>
          </w:p>
        </w:tc>
        <w:tc>
          <w:tcPr>
            <w:tcW w:w="174" w:type="pct"/>
            <w:tcBorders>
              <w:top w:val="nil"/>
              <w:left w:val="nil"/>
              <w:bottom w:val="single" w:sz="4" w:space="0" w:color="auto"/>
              <w:right w:val="single" w:sz="4" w:space="0" w:color="auto"/>
            </w:tcBorders>
            <w:shd w:val="clear" w:color="auto" w:fill="auto"/>
            <w:noWrap/>
            <w:vAlign w:val="center"/>
          </w:tcPr>
          <w:p w14:paraId="7D1A5097"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7592B2B4"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17DE9B5B"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51FA9E31"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10</w:t>
            </w:r>
          </w:p>
        </w:tc>
        <w:tc>
          <w:tcPr>
            <w:tcW w:w="218" w:type="pct"/>
            <w:tcBorders>
              <w:top w:val="nil"/>
              <w:left w:val="nil"/>
              <w:bottom w:val="single" w:sz="4" w:space="0" w:color="auto"/>
              <w:right w:val="single" w:sz="4" w:space="0" w:color="auto"/>
            </w:tcBorders>
            <w:shd w:val="clear" w:color="auto" w:fill="auto"/>
            <w:noWrap/>
            <w:vAlign w:val="center"/>
          </w:tcPr>
          <w:p w14:paraId="1693971E"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8</w:t>
            </w:r>
          </w:p>
        </w:tc>
        <w:tc>
          <w:tcPr>
            <w:tcW w:w="219" w:type="pct"/>
            <w:tcBorders>
              <w:top w:val="nil"/>
              <w:left w:val="nil"/>
              <w:bottom w:val="single" w:sz="4" w:space="0" w:color="auto"/>
              <w:right w:val="single" w:sz="4" w:space="0" w:color="auto"/>
            </w:tcBorders>
            <w:shd w:val="clear" w:color="auto" w:fill="auto"/>
            <w:noWrap/>
            <w:vAlign w:val="center"/>
          </w:tcPr>
          <w:p w14:paraId="37192128"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5A19CB67"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1.726</w:t>
            </w:r>
          </w:p>
        </w:tc>
        <w:tc>
          <w:tcPr>
            <w:tcW w:w="174" w:type="pct"/>
            <w:tcBorders>
              <w:top w:val="nil"/>
              <w:left w:val="nil"/>
              <w:bottom w:val="single" w:sz="4" w:space="0" w:color="auto"/>
              <w:right w:val="single" w:sz="4" w:space="0" w:color="auto"/>
            </w:tcBorders>
            <w:shd w:val="clear" w:color="auto" w:fill="auto"/>
            <w:noWrap/>
            <w:vAlign w:val="center"/>
          </w:tcPr>
          <w:p w14:paraId="2A9D2063"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131" w:type="pct"/>
            <w:tcBorders>
              <w:top w:val="nil"/>
              <w:left w:val="nil"/>
              <w:bottom w:val="single" w:sz="4" w:space="0" w:color="auto"/>
              <w:right w:val="single" w:sz="4" w:space="0" w:color="auto"/>
            </w:tcBorders>
            <w:shd w:val="clear" w:color="auto" w:fill="auto"/>
            <w:noWrap/>
            <w:vAlign w:val="center"/>
          </w:tcPr>
          <w:p w14:paraId="68F03401" w14:textId="77777777" w:rsidR="00743EF4" w:rsidRPr="001B4CA2" w:rsidRDefault="00743EF4" w:rsidP="00743EF4">
            <w:pPr>
              <w:jc w:val="center"/>
              <w:rPr>
                <w:rFonts w:ascii="Calibri" w:hAnsi="Calibri" w:cs="Calibri"/>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14:paraId="6207F37C"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6614D62E" w14:textId="77777777" w:rsidR="00743EF4" w:rsidRPr="001B4CA2" w:rsidRDefault="00743EF4" w:rsidP="00743EF4">
            <w:pPr>
              <w:jc w:val="center"/>
              <w:rPr>
                <w:rFonts w:ascii="Calibri" w:hAnsi="Calibri" w:cs="Calibri"/>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48697F66"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132" w:type="pct"/>
            <w:tcBorders>
              <w:top w:val="nil"/>
              <w:left w:val="nil"/>
              <w:bottom w:val="single" w:sz="4" w:space="0" w:color="auto"/>
              <w:right w:val="single" w:sz="4" w:space="0" w:color="auto"/>
            </w:tcBorders>
            <w:shd w:val="clear" w:color="auto" w:fill="auto"/>
            <w:noWrap/>
            <w:vAlign w:val="center"/>
          </w:tcPr>
          <w:p w14:paraId="124939FC"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1E42286E"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6B15BA0F"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3B8FB0D5"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2</w:t>
            </w:r>
          </w:p>
        </w:tc>
        <w:tc>
          <w:tcPr>
            <w:tcW w:w="124" w:type="pct"/>
            <w:tcBorders>
              <w:top w:val="nil"/>
              <w:left w:val="nil"/>
              <w:bottom w:val="single" w:sz="4" w:space="0" w:color="auto"/>
              <w:right w:val="single" w:sz="4" w:space="0" w:color="auto"/>
            </w:tcBorders>
            <w:shd w:val="clear" w:color="auto" w:fill="auto"/>
            <w:noWrap/>
            <w:vAlign w:val="center"/>
          </w:tcPr>
          <w:p w14:paraId="127FBE10"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49AB27C1"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4620FCF1"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7A947D9E"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15</w:t>
            </w:r>
          </w:p>
        </w:tc>
        <w:tc>
          <w:tcPr>
            <w:tcW w:w="172" w:type="pct"/>
            <w:tcBorders>
              <w:top w:val="nil"/>
              <w:left w:val="nil"/>
              <w:bottom w:val="single" w:sz="4" w:space="0" w:color="auto"/>
              <w:right w:val="single" w:sz="4" w:space="0" w:color="auto"/>
            </w:tcBorders>
            <w:shd w:val="clear" w:color="auto" w:fill="auto"/>
            <w:noWrap/>
            <w:vAlign w:val="center"/>
          </w:tcPr>
          <w:p w14:paraId="2DA40EF6"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8</w:t>
            </w:r>
          </w:p>
        </w:tc>
        <w:tc>
          <w:tcPr>
            <w:tcW w:w="193" w:type="pct"/>
            <w:tcBorders>
              <w:top w:val="single" w:sz="4" w:space="0" w:color="auto"/>
              <w:left w:val="nil"/>
              <w:bottom w:val="single" w:sz="4" w:space="0" w:color="auto"/>
              <w:right w:val="single" w:sz="4" w:space="0" w:color="auto"/>
            </w:tcBorders>
          </w:tcPr>
          <w:p w14:paraId="09DEB0E3"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F34ACD0"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1.726</w:t>
            </w:r>
          </w:p>
        </w:tc>
      </w:tr>
      <w:tr w:rsidR="001D4F0F" w:rsidRPr="001B4CA2" w14:paraId="5923816B"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57D938FD" w14:textId="77777777" w:rsidR="00743EF4" w:rsidRPr="001B4CA2" w:rsidRDefault="00743EF4" w:rsidP="00743EF4">
            <w:pPr>
              <w:jc w:val="left"/>
              <w:rPr>
                <w:bCs/>
                <w:sz w:val="16"/>
                <w:szCs w:val="16"/>
              </w:rPr>
            </w:pPr>
            <w:r w:rsidRPr="001B4CA2">
              <w:rPr>
                <w:bCs/>
                <w:sz w:val="16"/>
                <w:szCs w:val="16"/>
              </w:rPr>
              <w:t>Ministarstvo zdravstva</w:t>
            </w:r>
          </w:p>
        </w:tc>
        <w:tc>
          <w:tcPr>
            <w:tcW w:w="173" w:type="pct"/>
            <w:tcBorders>
              <w:top w:val="nil"/>
              <w:left w:val="nil"/>
              <w:bottom w:val="single" w:sz="4" w:space="0" w:color="auto"/>
              <w:right w:val="single" w:sz="4" w:space="0" w:color="auto"/>
            </w:tcBorders>
            <w:shd w:val="clear" w:color="auto" w:fill="auto"/>
            <w:noWrap/>
            <w:vAlign w:val="center"/>
          </w:tcPr>
          <w:p w14:paraId="436C287D"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275A1070"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45356809"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2CE508D2"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69903B2D" w14:textId="77777777" w:rsidR="00743EF4" w:rsidRPr="001B4CA2" w:rsidRDefault="00743EF4" w:rsidP="00743EF4">
            <w:pPr>
              <w:jc w:val="center"/>
              <w:rPr>
                <w:rFonts w:ascii="Calibri" w:hAnsi="Calibri" w:cs="Calibri"/>
                <w:color w:val="000000"/>
                <w:sz w:val="18"/>
                <w:szCs w:val="18"/>
              </w:rPr>
            </w:pPr>
          </w:p>
        </w:tc>
        <w:tc>
          <w:tcPr>
            <w:tcW w:w="218" w:type="pct"/>
            <w:tcBorders>
              <w:top w:val="nil"/>
              <w:left w:val="nil"/>
              <w:bottom w:val="single" w:sz="4" w:space="0" w:color="auto"/>
              <w:right w:val="single" w:sz="4" w:space="0" w:color="auto"/>
            </w:tcBorders>
            <w:shd w:val="clear" w:color="auto" w:fill="auto"/>
            <w:noWrap/>
            <w:vAlign w:val="center"/>
          </w:tcPr>
          <w:p w14:paraId="5D3B13D9"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3E755841"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36C78916" w14:textId="77777777" w:rsidR="00743EF4" w:rsidRPr="001B4CA2" w:rsidRDefault="00743EF4" w:rsidP="00743EF4">
            <w:pPr>
              <w:jc w:val="center"/>
              <w:rPr>
                <w:rFonts w:ascii="Calibri" w:hAnsi="Calibri" w:cs="Calibri"/>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1FE2D1CF" w14:textId="77777777" w:rsidR="00743EF4" w:rsidRPr="001B4CA2" w:rsidRDefault="00743EF4" w:rsidP="00743EF4">
            <w:pPr>
              <w:jc w:val="center"/>
              <w:rPr>
                <w:rFonts w:ascii="Calibri" w:hAnsi="Calibri" w:cs="Calibri"/>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tcPr>
          <w:p w14:paraId="5B97AA3F" w14:textId="77777777" w:rsidR="00743EF4" w:rsidRPr="001B4CA2" w:rsidRDefault="00743EF4" w:rsidP="00743EF4">
            <w:pPr>
              <w:jc w:val="center"/>
              <w:rPr>
                <w:rFonts w:ascii="Calibri" w:hAnsi="Calibri" w:cs="Calibri"/>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14:paraId="646B07A1"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79109608" w14:textId="77777777" w:rsidR="00743EF4" w:rsidRPr="001B4CA2" w:rsidRDefault="00743EF4" w:rsidP="00743EF4">
            <w:pPr>
              <w:jc w:val="center"/>
              <w:rPr>
                <w:rFonts w:ascii="Calibri" w:hAnsi="Calibri" w:cs="Calibri"/>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0C58BC5A"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433E7D85"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4F623354"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0557F975"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1B09AC1D" w14:textId="77777777" w:rsidR="00743EF4" w:rsidRPr="001B4CA2" w:rsidRDefault="00743EF4" w:rsidP="00743EF4">
            <w:pPr>
              <w:jc w:val="center"/>
              <w:rPr>
                <w:rFonts w:ascii="Calibri" w:hAnsi="Calibri" w:cs="Calibri"/>
                <w:color w:val="000000"/>
                <w:sz w:val="20"/>
                <w:szCs w:val="20"/>
              </w:rPr>
            </w:pPr>
          </w:p>
        </w:tc>
        <w:tc>
          <w:tcPr>
            <w:tcW w:w="124" w:type="pct"/>
            <w:tcBorders>
              <w:top w:val="nil"/>
              <w:left w:val="nil"/>
              <w:bottom w:val="single" w:sz="4" w:space="0" w:color="auto"/>
              <w:right w:val="single" w:sz="4" w:space="0" w:color="auto"/>
            </w:tcBorders>
            <w:shd w:val="clear" w:color="auto" w:fill="auto"/>
            <w:noWrap/>
            <w:vAlign w:val="center"/>
          </w:tcPr>
          <w:p w14:paraId="5D1C8743"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2A7DEE0E"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3C226B53"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0F7C19A2" w14:textId="77777777" w:rsidR="00743EF4" w:rsidRPr="001B4CA2" w:rsidRDefault="00743EF4" w:rsidP="00743EF4">
            <w:pPr>
              <w:jc w:val="center"/>
              <w:rPr>
                <w:rFonts w:ascii="Calibri" w:hAnsi="Calibri" w:cs="Calibri"/>
                <w:bCs/>
                <w:color w:val="000000"/>
                <w:sz w:val="18"/>
                <w:szCs w:val="18"/>
              </w:rPr>
            </w:pPr>
          </w:p>
        </w:tc>
        <w:tc>
          <w:tcPr>
            <w:tcW w:w="172" w:type="pct"/>
            <w:tcBorders>
              <w:top w:val="nil"/>
              <w:left w:val="nil"/>
              <w:bottom w:val="single" w:sz="4" w:space="0" w:color="auto"/>
              <w:right w:val="single" w:sz="4" w:space="0" w:color="auto"/>
            </w:tcBorders>
            <w:shd w:val="clear" w:color="auto" w:fill="auto"/>
            <w:noWrap/>
            <w:vAlign w:val="center"/>
          </w:tcPr>
          <w:p w14:paraId="26F02475" w14:textId="77777777" w:rsidR="00743EF4" w:rsidRPr="001B4CA2" w:rsidRDefault="00743EF4" w:rsidP="00743EF4">
            <w:pPr>
              <w:jc w:val="center"/>
              <w:rPr>
                <w:rFonts w:ascii="Calibri" w:hAnsi="Calibri" w:cs="Calibri"/>
                <w:bCs/>
                <w:color w:val="000000"/>
                <w:sz w:val="18"/>
                <w:szCs w:val="18"/>
              </w:rPr>
            </w:pPr>
          </w:p>
        </w:tc>
        <w:tc>
          <w:tcPr>
            <w:tcW w:w="193" w:type="pct"/>
            <w:tcBorders>
              <w:top w:val="single" w:sz="4" w:space="0" w:color="auto"/>
              <w:left w:val="nil"/>
              <w:bottom w:val="single" w:sz="4" w:space="0" w:color="auto"/>
              <w:right w:val="single" w:sz="4" w:space="0" w:color="auto"/>
            </w:tcBorders>
          </w:tcPr>
          <w:p w14:paraId="65B376B7"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0DE3EFF" w14:textId="77777777" w:rsidR="00743EF4" w:rsidRPr="001B4CA2" w:rsidRDefault="00743EF4" w:rsidP="00743EF4">
            <w:pPr>
              <w:jc w:val="center"/>
              <w:rPr>
                <w:rFonts w:ascii="Calibri" w:hAnsi="Calibri" w:cs="Calibri"/>
                <w:b/>
                <w:bCs/>
                <w:color w:val="000000"/>
                <w:sz w:val="18"/>
                <w:szCs w:val="18"/>
              </w:rPr>
            </w:pPr>
          </w:p>
        </w:tc>
      </w:tr>
      <w:tr w:rsidR="001D4F0F" w:rsidRPr="001B4CA2" w14:paraId="78BFE6D4"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4228DC55" w14:textId="77777777" w:rsidR="00743EF4" w:rsidRPr="001B4CA2" w:rsidRDefault="00743EF4" w:rsidP="00743EF4">
            <w:pPr>
              <w:jc w:val="left"/>
              <w:rPr>
                <w:bCs/>
                <w:sz w:val="16"/>
                <w:szCs w:val="16"/>
              </w:rPr>
            </w:pPr>
            <w:r w:rsidRPr="001B4CA2">
              <w:rPr>
                <w:bCs/>
                <w:sz w:val="16"/>
                <w:szCs w:val="16"/>
              </w:rPr>
              <w:t xml:space="preserve">Ministarstvo hrvatskih branitelja </w:t>
            </w:r>
          </w:p>
        </w:tc>
        <w:tc>
          <w:tcPr>
            <w:tcW w:w="173" w:type="pct"/>
            <w:tcBorders>
              <w:top w:val="nil"/>
              <w:left w:val="nil"/>
              <w:bottom w:val="single" w:sz="4" w:space="0" w:color="auto"/>
              <w:right w:val="single" w:sz="4" w:space="0" w:color="auto"/>
            </w:tcBorders>
            <w:shd w:val="clear" w:color="auto" w:fill="auto"/>
            <w:noWrap/>
            <w:vAlign w:val="center"/>
          </w:tcPr>
          <w:p w14:paraId="34998963"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3</w:t>
            </w:r>
          </w:p>
        </w:tc>
        <w:tc>
          <w:tcPr>
            <w:tcW w:w="174" w:type="pct"/>
            <w:tcBorders>
              <w:top w:val="nil"/>
              <w:left w:val="nil"/>
              <w:bottom w:val="single" w:sz="4" w:space="0" w:color="auto"/>
              <w:right w:val="single" w:sz="4" w:space="0" w:color="auto"/>
            </w:tcBorders>
            <w:shd w:val="clear" w:color="auto" w:fill="auto"/>
            <w:noWrap/>
            <w:vAlign w:val="center"/>
          </w:tcPr>
          <w:p w14:paraId="01387302"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2</w:t>
            </w:r>
          </w:p>
        </w:tc>
        <w:tc>
          <w:tcPr>
            <w:tcW w:w="174" w:type="pct"/>
            <w:tcBorders>
              <w:top w:val="nil"/>
              <w:left w:val="nil"/>
              <w:bottom w:val="single" w:sz="4" w:space="0" w:color="auto"/>
              <w:right w:val="single" w:sz="4" w:space="0" w:color="auto"/>
            </w:tcBorders>
            <w:shd w:val="clear" w:color="auto" w:fill="auto"/>
            <w:noWrap/>
            <w:vAlign w:val="center"/>
          </w:tcPr>
          <w:p w14:paraId="6DA0D79C"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4E7C6B3E"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28</w:t>
            </w:r>
          </w:p>
        </w:tc>
        <w:tc>
          <w:tcPr>
            <w:tcW w:w="204" w:type="pct"/>
            <w:tcBorders>
              <w:top w:val="nil"/>
              <w:left w:val="nil"/>
              <w:bottom w:val="single" w:sz="4" w:space="0" w:color="auto"/>
              <w:right w:val="single" w:sz="4" w:space="0" w:color="auto"/>
            </w:tcBorders>
            <w:shd w:val="clear" w:color="auto" w:fill="auto"/>
            <w:noWrap/>
            <w:vAlign w:val="center"/>
          </w:tcPr>
          <w:p w14:paraId="162AFA60"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72</w:t>
            </w:r>
          </w:p>
        </w:tc>
        <w:tc>
          <w:tcPr>
            <w:tcW w:w="218" w:type="pct"/>
            <w:tcBorders>
              <w:top w:val="nil"/>
              <w:left w:val="nil"/>
              <w:bottom w:val="single" w:sz="4" w:space="0" w:color="auto"/>
              <w:right w:val="single" w:sz="4" w:space="0" w:color="auto"/>
            </w:tcBorders>
            <w:shd w:val="clear" w:color="auto" w:fill="auto"/>
            <w:noWrap/>
            <w:vAlign w:val="center"/>
          </w:tcPr>
          <w:p w14:paraId="09D3E7FB"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10</w:t>
            </w:r>
          </w:p>
        </w:tc>
        <w:tc>
          <w:tcPr>
            <w:tcW w:w="219" w:type="pct"/>
            <w:tcBorders>
              <w:top w:val="nil"/>
              <w:left w:val="nil"/>
              <w:bottom w:val="single" w:sz="4" w:space="0" w:color="auto"/>
              <w:right w:val="single" w:sz="4" w:space="0" w:color="auto"/>
            </w:tcBorders>
            <w:shd w:val="clear" w:color="auto" w:fill="auto"/>
            <w:noWrap/>
            <w:vAlign w:val="center"/>
          </w:tcPr>
          <w:p w14:paraId="21773704"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75865C15"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67</w:t>
            </w:r>
          </w:p>
        </w:tc>
        <w:tc>
          <w:tcPr>
            <w:tcW w:w="174" w:type="pct"/>
            <w:tcBorders>
              <w:top w:val="nil"/>
              <w:left w:val="nil"/>
              <w:bottom w:val="single" w:sz="4" w:space="0" w:color="auto"/>
              <w:right w:val="single" w:sz="4" w:space="0" w:color="auto"/>
            </w:tcBorders>
            <w:shd w:val="clear" w:color="auto" w:fill="auto"/>
            <w:noWrap/>
            <w:vAlign w:val="center"/>
          </w:tcPr>
          <w:p w14:paraId="3E878458"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19</w:t>
            </w:r>
          </w:p>
        </w:tc>
        <w:tc>
          <w:tcPr>
            <w:tcW w:w="131" w:type="pct"/>
            <w:tcBorders>
              <w:top w:val="nil"/>
              <w:left w:val="nil"/>
              <w:bottom w:val="single" w:sz="4" w:space="0" w:color="auto"/>
              <w:right w:val="single" w:sz="4" w:space="0" w:color="auto"/>
            </w:tcBorders>
            <w:shd w:val="clear" w:color="auto" w:fill="auto"/>
            <w:noWrap/>
            <w:vAlign w:val="center"/>
          </w:tcPr>
          <w:p w14:paraId="6FED0167"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3</w:t>
            </w:r>
          </w:p>
        </w:tc>
        <w:tc>
          <w:tcPr>
            <w:tcW w:w="219" w:type="pct"/>
            <w:tcBorders>
              <w:top w:val="nil"/>
              <w:left w:val="nil"/>
              <w:bottom w:val="single" w:sz="4" w:space="0" w:color="auto"/>
              <w:right w:val="single" w:sz="4" w:space="0" w:color="auto"/>
            </w:tcBorders>
            <w:shd w:val="clear" w:color="auto" w:fill="auto"/>
            <w:noWrap/>
            <w:vAlign w:val="center"/>
          </w:tcPr>
          <w:p w14:paraId="725BB9A9"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43EE824E"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34</w:t>
            </w:r>
          </w:p>
        </w:tc>
        <w:tc>
          <w:tcPr>
            <w:tcW w:w="123" w:type="pct"/>
            <w:tcBorders>
              <w:top w:val="nil"/>
              <w:left w:val="nil"/>
              <w:bottom w:val="single" w:sz="4" w:space="0" w:color="auto"/>
              <w:right w:val="single" w:sz="4" w:space="0" w:color="auto"/>
            </w:tcBorders>
            <w:shd w:val="clear" w:color="auto" w:fill="auto"/>
            <w:noWrap/>
            <w:vAlign w:val="center"/>
          </w:tcPr>
          <w:p w14:paraId="3009B232"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7F05E30E"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1FE48773"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1D2D07E4"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639489BF" w14:textId="77777777" w:rsidR="00743EF4" w:rsidRPr="001B4CA2" w:rsidRDefault="00743EF4" w:rsidP="00743EF4">
            <w:pPr>
              <w:jc w:val="center"/>
              <w:rPr>
                <w:rFonts w:ascii="Calibri" w:hAnsi="Calibri" w:cs="Calibri"/>
                <w:color w:val="000000"/>
                <w:sz w:val="20"/>
                <w:szCs w:val="20"/>
              </w:rPr>
            </w:pPr>
          </w:p>
        </w:tc>
        <w:tc>
          <w:tcPr>
            <w:tcW w:w="124" w:type="pct"/>
            <w:tcBorders>
              <w:top w:val="nil"/>
              <w:left w:val="nil"/>
              <w:bottom w:val="single" w:sz="4" w:space="0" w:color="auto"/>
              <w:right w:val="single" w:sz="4" w:space="0" w:color="auto"/>
            </w:tcBorders>
            <w:shd w:val="clear" w:color="auto" w:fill="auto"/>
            <w:noWrap/>
            <w:vAlign w:val="center"/>
          </w:tcPr>
          <w:p w14:paraId="54754F02"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3364EBC6"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41B5E1EC"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79A8F026"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94</w:t>
            </w:r>
          </w:p>
        </w:tc>
        <w:tc>
          <w:tcPr>
            <w:tcW w:w="172" w:type="pct"/>
            <w:tcBorders>
              <w:top w:val="nil"/>
              <w:left w:val="nil"/>
              <w:bottom w:val="single" w:sz="4" w:space="0" w:color="auto"/>
              <w:right w:val="single" w:sz="4" w:space="0" w:color="auto"/>
            </w:tcBorders>
            <w:shd w:val="clear" w:color="auto" w:fill="auto"/>
            <w:noWrap/>
            <w:vAlign w:val="center"/>
          </w:tcPr>
          <w:p w14:paraId="6111E4B4"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15</w:t>
            </w:r>
          </w:p>
        </w:tc>
        <w:tc>
          <w:tcPr>
            <w:tcW w:w="193" w:type="pct"/>
            <w:tcBorders>
              <w:top w:val="single" w:sz="4" w:space="0" w:color="auto"/>
              <w:left w:val="nil"/>
              <w:bottom w:val="single" w:sz="4" w:space="0" w:color="auto"/>
              <w:right w:val="single" w:sz="4" w:space="0" w:color="auto"/>
            </w:tcBorders>
          </w:tcPr>
          <w:p w14:paraId="067FB3D2"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223E60"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130</w:t>
            </w:r>
          </w:p>
        </w:tc>
      </w:tr>
      <w:tr w:rsidR="001D4F0F" w:rsidRPr="001B4CA2" w14:paraId="23408654"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750739E4" w14:textId="77777777" w:rsidR="00743EF4" w:rsidRPr="001B4CA2" w:rsidRDefault="00743EF4" w:rsidP="00743EF4">
            <w:pPr>
              <w:jc w:val="left"/>
              <w:rPr>
                <w:bCs/>
                <w:sz w:val="16"/>
                <w:szCs w:val="16"/>
              </w:rPr>
            </w:pPr>
            <w:r w:rsidRPr="001B4CA2">
              <w:rPr>
                <w:bCs/>
                <w:sz w:val="16"/>
                <w:szCs w:val="16"/>
              </w:rPr>
              <w:t>Ministarstvo regionalnog razvoja i fondova EU</w:t>
            </w:r>
          </w:p>
        </w:tc>
        <w:tc>
          <w:tcPr>
            <w:tcW w:w="173" w:type="pct"/>
            <w:tcBorders>
              <w:top w:val="nil"/>
              <w:left w:val="nil"/>
              <w:bottom w:val="single" w:sz="4" w:space="0" w:color="auto"/>
              <w:right w:val="single" w:sz="4" w:space="0" w:color="auto"/>
            </w:tcBorders>
            <w:shd w:val="clear" w:color="auto" w:fill="auto"/>
            <w:noWrap/>
            <w:vAlign w:val="center"/>
          </w:tcPr>
          <w:p w14:paraId="3144C8CE"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36D84CBF"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230500EC"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120126CB"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5139F10B" w14:textId="77777777" w:rsidR="00743EF4" w:rsidRPr="001B4CA2" w:rsidRDefault="00743EF4" w:rsidP="00743EF4">
            <w:pPr>
              <w:jc w:val="center"/>
              <w:rPr>
                <w:rFonts w:ascii="Calibri" w:hAnsi="Calibri" w:cs="Calibri"/>
                <w:color w:val="000000"/>
                <w:sz w:val="18"/>
                <w:szCs w:val="18"/>
              </w:rPr>
            </w:pPr>
          </w:p>
        </w:tc>
        <w:tc>
          <w:tcPr>
            <w:tcW w:w="218" w:type="pct"/>
            <w:tcBorders>
              <w:top w:val="nil"/>
              <w:left w:val="nil"/>
              <w:bottom w:val="single" w:sz="4" w:space="0" w:color="auto"/>
              <w:right w:val="single" w:sz="4" w:space="0" w:color="auto"/>
            </w:tcBorders>
            <w:shd w:val="clear" w:color="auto" w:fill="auto"/>
            <w:noWrap/>
            <w:vAlign w:val="center"/>
          </w:tcPr>
          <w:p w14:paraId="36E10EC9"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7300FC0C"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07D2600F" w14:textId="77777777" w:rsidR="00743EF4" w:rsidRPr="001B4CA2" w:rsidRDefault="00743EF4" w:rsidP="00743EF4">
            <w:pPr>
              <w:jc w:val="center"/>
              <w:rPr>
                <w:rFonts w:ascii="Calibri" w:hAnsi="Calibri" w:cs="Calibri"/>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2CBBD121" w14:textId="77777777" w:rsidR="00743EF4" w:rsidRPr="001B4CA2" w:rsidRDefault="00743EF4" w:rsidP="00743EF4">
            <w:pPr>
              <w:jc w:val="center"/>
              <w:rPr>
                <w:rFonts w:ascii="Calibri" w:hAnsi="Calibri" w:cs="Calibri"/>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tcPr>
          <w:p w14:paraId="3C52A2E0"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219" w:type="pct"/>
            <w:tcBorders>
              <w:top w:val="nil"/>
              <w:left w:val="nil"/>
              <w:bottom w:val="single" w:sz="4" w:space="0" w:color="auto"/>
              <w:right w:val="single" w:sz="4" w:space="0" w:color="auto"/>
            </w:tcBorders>
            <w:shd w:val="clear" w:color="auto" w:fill="auto"/>
            <w:noWrap/>
            <w:vAlign w:val="center"/>
          </w:tcPr>
          <w:p w14:paraId="493F3494"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18D0FD5E"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135</w:t>
            </w:r>
          </w:p>
        </w:tc>
        <w:tc>
          <w:tcPr>
            <w:tcW w:w="123" w:type="pct"/>
            <w:tcBorders>
              <w:top w:val="nil"/>
              <w:left w:val="nil"/>
              <w:bottom w:val="single" w:sz="4" w:space="0" w:color="auto"/>
              <w:right w:val="single" w:sz="4" w:space="0" w:color="auto"/>
            </w:tcBorders>
            <w:shd w:val="clear" w:color="auto" w:fill="auto"/>
            <w:noWrap/>
            <w:vAlign w:val="center"/>
          </w:tcPr>
          <w:p w14:paraId="2494AC55"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76A400A8"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0CBA2DB0"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5D7767C4"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48D4B833" w14:textId="77777777" w:rsidR="00743EF4" w:rsidRPr="001B4CA2" w:rsidRDefault="00743EF4" w:rsidP="00743EF4">
            <w:pPr>
              <w:jc w:val="center"/>
              <w:rPr>
                <w:rFonts w:ascii="Calibri" w:hAnsi="Calibri" w:cs="Calibri"/>
                <w:color w:val="000000"/>
                <w:sz w:val="20"/>
                <w:szCs w:val="20"/>
              </w:rPr>
            </w:pPr>
          </w:p>
        </w:tc>
        <w:tc>
          <w:tcPr>
            <w:tcW w:w="124" w:type="pct"/>
            <w:tcBorders>
              <w:top w:val="nil"/>
              <w:left w:val="nil"/>
              <w:bottom w:val="single" w:sz="4" w:space="0" w:color="auto"/>
              <w:right w:val="single" w:sz="4" w:space="0" w:color="auto"/>
            </w:tcBorders>
            <w:shd w:val="clear" w:color="auto" w:fill="auto"/>
            <w:noWrap/>
            <w:vAlign w:val="center"/>
          </w:tcPr>
          <w:p w14:paraId="23AB48E2"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7D17BD18"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12BE4E5D"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29D0F704" w14:textId="77777777" w:rsidR="00743EF4" w:rsidRPr="001B4CA2" w:rsidRDefault="00743EF4" w:rsidP="00743EF4">
            <w:pPr>
              <w:jc w:val="center"/>
              <w:rPr>
                <w:rFonts w:ascii="Calibri" w:hAnsi="Calibri" w:cs="Calibri"/>
                <w:bCs/>
                <w:color w:val="000000"/>
                <w:sz w:val="18"/>
                <w:szCs w:val="18"/>
              </w:rPr>
            </w:pPr>
          </w:p>
        </w:tc>
        <w:tc>
          <w:tcPr>
            <w:tcW w:w="172" w:type="pct"/>
            <w:tcBorders>
              <w:top w:val="nil"/>
              <w:left w:val="nil"/>
              <w:bottom w:val="single" w:sz="4" w:space="0" w:color="auto"/>
              <w:right w:val="single" w:sz="4" w:space="0" w:color="auto"/>
            </w:tcBorders>
            <w:shd w:val="clear" w:color="auto" w:fill="auto"/>
            <w:noWrap/>
            <w:vAlign w:val="center"/>
          </w:tcPr>
          <w:p w14:paraId="50A114E4"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1</w:t>
            </w:r>
          </w:p>
        </w:tc>
        <w:tc>
          <w:tcPr>
            <w:tcW w:w="193" w:type="pct"/>
            <w:tcBorders>
              <w:top w:val="single" w:sz="4" w:space="0" w:color="auto"/>
              <w:left w:val="nil"/>
              <w:bottom w:val="single" w:sz="4" w:space="0" w:color="auto"/>
              <w:right w:val="single" w:sz="4" w:space="0" w:color="auto"/>
            </w:tcBorders>
          </w:tcPr>
          <w:p w14:paraId="4EAB50C2"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D460BD4"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135</w:t>
            </w:r>
          </w:p>
        </w:tc>
      </w:tr>
      <w:tr w:rsidR="001D4F0F" w:rsidRPr="001B4CA2" w14:paraId="4A2563D8"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7D6E14D6" w14:textId="77777777" w:rsidR="00743EF4" w:rsidRPr="001B4CA2" w:rsidRDefault="00743EF4" w:rsidP="00743EF4">
            <w:pPr>
              <w:jc w:val="left"/>
              <w:rPr>
                <w:bCs/>
                <w:sz w:val="16"/>
                <w:szCs w:val="16"/>
              </w:rPr>
            </w:pPr>
            <w:r w:rsidRPr="001B4CA2">
              <w:rPr>
                <w:bCs/>
                <w:sz w:val="16"/>
                <w:szCs w:val="16"/>
              </w:rPr>
              <w:t>Ministarstvo prostornoga uređenja, graditeljstva i državne imovine</w:t>
            </w:r>
          </w:p>
        </w:tc>
        <w:tc>
          <w:tcPr>
            <w:tcW w:w="173" w:type="pct"/>
            <w:tcBorders>
              <w:top w:val="nil"/>
              <w:left w:val="nil"/>
              <w:bottom w:val="single" w:sz="4" w:space="0" w:color="auto"/>
              <w:right w:val="single" w:sz="4" w:space="0" w:color="auto"/>
            </w:tcBorders>
            <w:shd w:val="clear" w:color="auto" w:fill="auto"/>
            <w:noWrap/>
            <w:vAlign w:val="center"/>
          </w:tcPr>
          <w:p w14:paraId="03224B29"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21</w:t>
            </w:r>
          </w:p>
        </w:tc>
        <w:tc>
          <w:tcPr>
            <w:tcW w:w="174" w:type="pct"/>
            <w:tcBorders>
              <w:top w:val="nil"/>
              <w:left w:val="nil"/>
              <w:bottom w:val="single" w:sz="4" w:space="0" w:color="auto"/>
              <w:right w:val="single" w:sz="4" w:space="0" w:color="auto"/>
            </w:tcBorders>
            <w:shd w:val="clear" w:color="auto" w:fill="auto"/>
            <w:noWrap/>
            <w:vAlign w:val="center"/>
          </w:tcPr>
          <w:p w14:paraId="55AA0948"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3</w:t>
            </w:r>
          </w:p>
        </w:tc>
        <w:tc>
          <w:tcPr>
            <w:tcW w:w="174" w:type="pct"/>
            <w:tcBorders>
              <w:top w:val="nil"/>
              <w:left w:val="nil"/>
              <w:bottom w:val="single" w:sz="4" w:space="0" w:color="auto"/>
              <w:right w:val="single" w:sz="4" w:space="0" w:color="auto"/>
            </w:tcBorders>
            <w:shd w:val="clear" w:color="auto" w:fill="auto"/>
            <w:noWrap/>
            <w:vAlign w:val="center"/>
          </w:tcPr>
          <w:p w14:paraId="7733017F"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7ACD5D05"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68</w:t>
            </w:r>
          </w:p>
        </w:tc>
        <w:tc>
          <w:tcPr>
            <w:tcW w:w="204" w:type="pct"/>
            <w:tcBorders>
              <w:top w:val="nil"/>
              <w:left w:val="nil"/>
              <w:bottom w:val="single" w:sz="4" w:space="0" w:color="auto"/>
              <w:right w:val="single" w:sz="4" w:space="0" w:color="auto"/>
            </w:tcBorders>
            <w:shd w:val="clear" w:color="auto" w:fill="auto"/>
            <w:noWrap/>
            <w:vAlign w:val="center"/>
          </w:tcPr>
          <w:p w14:paraId="33767AA2"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31</w:t>
            </w:r>
          </w:p>
        </w:tc>
        <w:tc>
          <w:tcPr>
            <w:tcW w:w="218" w:type="pct"/>
            <w:tcBorders>
              <w:top w:val="nil"/>
              <w:left w:val="nil"/>
              <w:bottom w:val="single" w:sz="4" w:space="0" w:color="auto"/>
              <w:right w:val="single" w:sz="4" w:space="0" w:color="auto"/>
            </w:tcBorders>
            <w:shd w:val="clear" w:color="auto" w:fill="auto"/>
            <w:noWrap/>
            <w:vAlign w:val="center"/>
          </w:tcPr>
          <w:p w14:paraId="634B6F64"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6</w:t>
            </w:r>
          </w:p>
        </w:tc>
        <w:tc>
          <w:tcPr>
            <w:tcW w:w="219" w:type="pct"/>
            <w:tcBorders>
              <w:top w:val="nil"/>
              <w:left w:val="nil"/>
              <w:bottom w:val="single" w:sz="4" w:space="0" w:color="auto"/>
              <w:right w:val="single" w:sz="4" w:space="0" w:color="auto"/>
            </w:tcBorders>
            <w:shd w:val="clear" w:color="auto" w:fill="auto"/>
            <w:noWrap/>
            <w:vAlign w:val="center"/>
          </w:tcPr>
          <w:p w14:paraId="5FFD47A9"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12B313A9"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621</w:t>
            </w:r>
          </w:p>
        </w:tc>
        <w:tc>
          <w:tcPr>
            <w:tcW w:w="174" w:type="pct"/>
            <w:tcBorders>
              <w:top w:val="nil"/>
              <w:left w:val="nil"/>
              <w:bottom w:val="single" w:sz="4" w:space="0" w:color="auto"/>
              <w:right w:val="single" w:sz="4" w:space="0" w:color="auto"/>
            </w:tcBorders>
            <w:shd w:val="clear" w:color="auto" w:fill="auto"/>
            <w:noWrap/>
            <w:vAlign w:val="center"/>
          </w:tcPr>
          <w:p w14:paraId="7B05F822"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3</w:t>
            </w:r>
          </w:p>
        </w:tc>
        <w:tc>
          <w:tcPr>
            <w:tcW w:w="131" w:type="pct"/>
            <w:tcBorders>
              <w:top w:val="nil"/>
              <w:left w:val="nil"/>
              <w:bottom w:val="single" w:sz="4" w:space="0" w:color="auto"/>
              <w:right w:val="single" w:sz="4" w:space="0" w:color="auto"/>
            </w:tcBorders>
            <w:shd w:val="clear" w:color="auto" w:fill="auto"/>
            <w:noWrap/>
            <w:vAlign w:val="center"/>
          </w:tcPr>
          <w:p w14:paraId="2F0D23F8" w14:textId="77777777" w:rsidR="00743EF4" w:rsidRPr="001B4CA2" w:rsidRDefault="00743EF4" w:rsidP="00743EF4">
            <w:pPr>
              <w:jc w:val="center"/>
              <w:rPr>
                <w:rFonts w:ascii="Calibri" w:hAnsi="Calibri" w:cs="Calibri"/>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14:paraId="26299F10"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25C7E49B" w14:textId="77777777" w:rsidR="00743EF4" w:rsidRPr="001B4CA2" w:rsidRDefault="00743EF4" w:rsidP="00743EF4">
            <w:pPr>
              <w:jc w:val="center"/>
              <w:rPr>
                <w:rFonts w:ascii="Calibri" w:hAnsi="Calibri" w:cs="Calibri"/>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0099E634"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2B210ED7"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2E431F8E"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601E5A92"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07857C48"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2</w:t>
            </w:r>
          </w:p>
        </w:tc>
        <w:tc>
          <w:tcPr>
            <w:tcW w:w="124" w:type="pct"/>
            <w:tcBorders>
              <w:top w:val="nil"/>
              <w:left w:val="nil"/>
              <w:bottom w:val="single" w:sz="4" w:space="0" w:color="auto"/>
              <w:right w:val="single" w:sz="4" w:space="0" w:color="auto"/>
            </w:tcBorders>
            <w:shd w:val="clear" w:color="auto" w:fill="auto"/>
            <w:noWrap/>
            <w:vAlign w:val="center"/>
          </w:tcPr>
          <w:p w14:paraId="26FD7ADF"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163" w:type="pct"/>
            <w:tcBorders>
              <w:top w:val="nil"/>
              <w:left w:val="nil"/>
              <w:bottom w:val="single" w:sz="4" w:space="0" w:color="auto"/>
              <w:right w:val="single" w:sz="4" w:space="0" w:color="auto"/>
            </w:tcBorders>
            <w:shd w:val="clear" w:color="auto" w:fill="auto"/>
            <w:noWrap/>
            <w:vAlign w:val="center"/>
          </w:tcPr>
          <w:p w14:paraId="655F9700"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1F30BA9C"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2B73C3D2"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57</w:t>
            </w:r>
          </w:p>
        </w:tc>
        <w:tc>
          <w:tcPr>
            <w:tcW w:w="172" w:type="pct"/>
            <w:tcBorders>
              <w:top w:val="nil"/>
              <w:left w:val="nil"/>
              <w:bottom w:val="single" w:sz="4" w:space="0" w:color="auto"/>
              <w:right w:val="single" w:sz="4" w:space="0" w:color="auto"/>
            </w:tcBorders>
            <w:shd w:val="clear" w:color="auto" w:fill="auto"/>
            <w:noWrap/>
            <w:vAlign w:val="center"/>
          </w:tcPr>
          <w:p w14:paraId="132C1E44"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10</w:t>
            </w:r>
          </w:p>
        </w:tc>
        <w:tc>
          <w:tcPr>
            <w:tcW w:w="193" w:type="pct"/>
            <w:tcBorders>
              <w:top w:val="single" w:sz="4" w:space="0" w:color="auto"/>
              <w:left w:val="nil"/>
              <w:bottom w:val="single" w:sz="4" w:space="0" w:color="auto"/>
              <w:right w:val="single" w:sz="4" w:space="0" w:color="auto"/>
            </w:tcBorders>
          </w:tcPr>
          <w:p w14:paraId="1E91DB6A"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C9B3AA3"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689</w:t>
            </w:r>
          </w:p>
        </w:tc>
      </w:tr>
      <w:tr w:rsidR="001D4F0F" w:rsidRPr="001B4CA2" w14:paraId="6CAC1615"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17742D23" w14:textId="77777777" w:rsidR="00743EF4" w:rsidRPr="001B4CA2" w:rsidRDefault="00743EF4" w:rsidP="00743EF4">
            <w:pPr>
              <w:jc w:val="left"/>
              <w:rPr>
                <w:bCs/>
                <w:sz w:val="16"/>
                <w:szCs w:val="16"/>
              </w:rPr>
            </w:pPr>
            <w:r w:rsidRPr="001B4CA2">
              <w:rPr>
                <w:bCs/>
                <w:sz w:val="16"/>
                <w:szCs w:val="16"/>
              </w:rPr>
              <w:t xml:space="preserve">Ministarstvo unutarnjih poslova </w:t>
            </w:r>
          </w:p>
        </w:tc>
        <w:tc>
          <w:tcPr>
            <w:tcW w:w="173" w:type="pct"/>
            <w:tcBorders>
              <w:top w:val="nil"/>
              <w:left w:val="nil"/>
              <w:bottom w:val="single" w:sz="4" w:space="0" w:color="auto"/>
              <w:right w:val="single" w:sz="4" w:space="0" w:color="auto"/>
            </w:tcBorders>
            <w:shd w:val="clear" w:color="auto" w:fill="auto"/>
            <w:noWrap/>
            <w:vAlign w:val="center"/>
          </w:tcPr>
          <w:p w14:paraId="5EF45F1F"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w:t>
            </w:r>
          </w:p>
        </w:tc>
        <w:tc>
          <w:tcPr>
            <w:tcW w:w="174" w:type="pct"/>
            <w:tcBorders>
              <w:top w:val="nil"/>
              <w:left w:val="nil"/>
              <w:bottom w:val="single" w:sz="4" w:space="0" w:color="auto"/>
              <w:right w:val="single" w:sz="4" w:space="0" w:color="auto"/>
            </w:tcBorders>
            <w:shd w:val="clear" w:color="auto" w:fill="auto"/>
            <w:noWrap/>
            <w:vAlign w:val="center"/>
          </w:tcPr>
          <w:p w14:paraId="5FF20612"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62DFCA43"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3E5F517E"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69C630DA"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34</w:t>
            </w:r>
          </w:p>
        </w:tc>
        <w:tc>
          <w:tcPr>
            <w:tcW w:w="218" w:type="pct"/>
            <w:tcBorders>
              <w:top w:val="nil"/>
              <w:left w:val="nil"/>
              <w:bottom w:val="single" w:sz="4" w:space="0" w:color="auto"/>
              <w:right w:val="single" w:sz="4" w:space="0" w:color="auto"/>
            </w:tcBorders>
            <w:shd w:val="clear" w:color="auto" w:fill="auto"/>
            <w:noWrap/>
            <w:vAlign w:val="center"/>
          </w:tcPr>
          <w:p w14:paraId="734D127A"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8</w:t>
            </w:r>
          </w:p>
        </w:tc>
        <w:tc>
          <w:tcPr>
            <w:tcW w:w="219" w:type="pct"/>
            <w:tcBorders>
              <w:top w:val="nil"/>
              <w:left w:val="nil"/>
              <w:bottom w:val="single" w:sz="4" w:space="0" w:color="auto"/>
              <w:right w:val="single" w:sz="4" w:space="0" w:color="auto"/>
            </w:tcBorders>
            <w:shd w:val="clear" w:color="auto" w:fill="auto"/>
            <w:noWrap/>
            <w:vAlign w:val="center"/>
          </w:tcPr>
          <w:p w14:paraId="6ECAD91D"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76F8250B"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468</w:t>
            </w:r>
          </w:p>
        </w:tc>
        <w:tc>
          <w:tcPr>
            <w:tcW w:w="174" w:type="pct"/>
            <w:tcBorders>
              <w:top w:val="nil"/>
              <w:left w:val="nil"/>
              <w:bottom w:val="single" w:sz="4" w:space="0" w:color="auto"/>
              <w:right w:val="single" w:sz="4" w:space="0" w:color="auto"/>
            </w:tcBorders>
            <w:shd w:val="clear" w:color="auto" w:fill="auto"/>
            <w:noWrap/>
            <w:vAlign w:val="center"/>
          </w:tcPr>
          <w:p w14:paraId="28B20C69"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28</w:t>
            </w:r>
          </w:p>
        </w:tc>
        <w:tc>
          <w:tcPr>
            <w:tcW w:w="131" w:type="pct"/>
            <w:tcBorders>
              <w:top w:val="nil"/>
              <w:left w:val="nil"/>
              <w:bottom w:val="single" w:sz="4" w:space="0" w:color="auto"/>
              <w:right w:val="single" w:sz="4" w:space="0" w:color="auto"/>
            </w:tcBorders>
            <w:shd w:val="clear" w:color="auto" w:fill="auto"/>
            <w:noWrap/>
            <w:vAlign w:val="center"/>
          </w:tcPr>
          <w:p w14:paraId="5192E3E5"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21</w:t>
            </w:r>
          </w:p>
        </w:tc>
        <w:tc>
          <w:tcPr>
            <w:tcW w:w="219" w:type="pct"/>
            <w:tcBorders>
              <w:top w:val="nil"/>
              <w:left w:val="nil"/>
              <w:bottom w:val="single" w:sz="4" w:space="0" w:color="auto"/>
              <w:right w:val="single" w:sz="4" w:space="0" w:color="auto"/>
            </w:tcBorders>
            <w:shd w:val="clear" w:color="auto" w:fill="auto"/>
            <w:noWrap/>
            <w:vAlign w:val="center"/>
          </w:tcPr>
          <w:p w14:paraId="0B3DBA89"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5A29D44A"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188</w:t>
            </w:r>
          </w:p>
        </w:tc>
        <w:tc>
          <w:tcPr>
            <w:tcW w:w="123" w:type="pct"/>
            <w:tcBorders>
              <w:top w:val="nil"/>
              <w:left w:val="nil"/>
              <w:bottom w:val="single" w:sz="4" w:space="0" w:color="auto"/>
              <w:right w:val="single" w:sz="4" w:space="0" w:color="auto"/>
            </w:tcBorders>
            <w:shd w:val="clear" w:color="auto" w:fill="auto"/>
            <w:noWrap/>
            <w:vAlign w:val="center"/>
          </w:tcPr>
          <w:p w14:paraId="11C1EF68"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5</w:t>
            </w:r>
          </w:p>
        </w:tc>
        <w:tc>
          <w:tcPr>
            <w:tcW w:w="132" w:type="pct"/>
            <w:tcBorders>
              <w:top w:val="nil"/>
              <w:left w:val="nil"/>
              <w:bottom w:val="single" w:sz="4" w:space="0" w:color="auto"/>
              <w:right w:val="single" w:sz="4" w:space="0" w:color="auto"/>
            </w:tcBorders>
            <w:shd w:val="clear" w:color="auto" w:fill="auto"/>
            <w:noWrap/>
            <w:vAlign w:val="center"/>
          </w:tcPr>
          <w:p w14:paraId="580A180F"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4</w:t>
            </w:r>
          </w:p>
        </w:tc>
        <w:tc>
          <w:tcPr>
            <w:tcW w:w="206" w:type="pct"/>
            <w:tcBorders>
              <w:top w:val="nil"/>
              <w:left w:val="nil"/>
              <w:bottom w:val="single" w:sz="4" w:space="0" w:color="auto"/>
              <w:right w:val="single" w:sz="4" w:space="0" w:color="auto"/>
            </w:tcBorders>
            <w:shd w:val="clear" w:color="auto" w:fill="auto"/>
            <w:noWrap/>
            <w:vAlign w:val="center"/>
          </w:tcPr>
          <w:p w14:paraId="1649E8E5"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2C784CD2" w14:textId="77777777" w:rsidR="00743EF4" w:rsidRPr="001B4CA2" w:rsidRDefault="00743EF4" w:rsidP="00743EF4">
            <w:pPr>
              <w:ind w:right="1"/>
              <w:jc w:val="center"/>
              <w:rPr>
                <w:rFonts w:ascii="Calibri" w:hAnsi="Calibri" w:cs="Calibri"/>
                <w:color w:val="000000"/>
                <w:sz w:val="18"/>
                <w:szCs w:val="18"/>
              </w:rPr>
            </w:pPr>
            <w:r w:rsidRPr="001B4CA2">
              <w:rPr>
                <w:rFonts w:ascii="Calibri" w:hAnsi="Calibri" w:cs="Calibri"/>
                <w:color w:val="000000"/>
                <w:sz w:val="18"/>
                <w:szCs w:val="18"/>
              </w:rPr>
              <w:t>64</w:t>
            </w:r>
          </w:p>
        </w:tc>
        <w:tc>
          <w:tcPr>
            <w:tcW w:w="130" w:type="pct"/>
            <w:tcBorders>
              <w:top w:val="nil"/>
              <w:left w:val="nil"/>
              <w:bottom w:val="single" w:sz="4" w:space="0" w:color="auto"/>
              <w:right w:val="single" w:sz="4" w:space="0" w:color="auto"/>
            </w:tcBorders>
            <w:shd w:val="clear" w:color="auto" w:fill="auto"/>
            <w:noWrap/>
            <w:vAlign w:val="center"/>
          </w:tcPr>
          <w:p w14:paraId="1E27CD89"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124" w:type="pct"/>
            <w:tcBorders>
              <w:top w:val="nil"/>
              <w:left w:val="nil"/>
              <w:bottom w:val="single" w:sz="4" w:space="0" w:color="auto"/>
              <w:right w:val="single" w:sz="4" w:space="0" w:color="auto"/>
            </w:tcBorders>
            <w:shd w:val="clear" w:color="auto" w:fill="auto"/>
            <w:noWrap/>
            <w:vAlign w:val="center"/>
          </w:tcPr>
          <w:p w14:paraId="7804D1EA"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163" w:type="pct"/>
            <w:tcBorders>
              <w:top w:val="nil"/>
              <w:left w:val="nil"/>
              <w:bottom w:val="single" w:sz="4" w:space="0" w:color="auto"/>
              <w:right w:val="single" w:sz="4" w:space="0" w:color="auto"/>
            </w:tcBorders>
            <w:shd w:val="clear" w:color="auto" w:fill="auto"/>
            <w:noWrap/>
            <w:vAlign w:val="center"/>
          </w:tcPr>
          <w:p w14:paraId="6BF5F358"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55856231"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40</w:t>
            </w:r>
          </w:p>
        </w:tc>
        <w:tc>
          <w:tcPr>
            <w:tcW w:w="209" w:type="pct"/>
            <w:tcBorders>
              <w:top w:val="nil"/>
              <w:left w:val="nil"/>
              <w:bottom w:val="single" w:sz="4" w:space="0" w:color="auto"/>
              <w:right w:val="single" w:sz="4" w:space="0" w:color="auto"/>
            </w:tcBorders>
            <w:shd w:val="clear" w:color="auto" w:fill="auto"/>
            <w:noWrap/>
            <w:vAlign w:val="center"/>
          </w:tcPr>
          <w:p w14:paraId="7914C8F0"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69</w:t>
            </w:r>
          </w:p>
        </w:tc>
        <w:tc>
          <w:tcPr>
            <w:tcW w:w="172" w:type="pct"/>
            <w:tcBorders>
              <w:top w:val="nil"/>
              <w:left w:val="nil"/>
              <w:bottom w:val="single" w:sz="4" w:space="0" w:color="auto"/>
              <w:right w:val="single" w:sz="4" w:space="0" w:color="auto"/>
            </w:tcBorders>
            <w:shd w:val="clear" w:color="auto" w:fill="auto"/>
            <w:noWrap/>
            <w:vAlign w:val="center"/>
          </w:tcPr>
          <w:p w14:paraId="2D6DA8E8"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34</w:t>
            </w:r>
          </w:p>
        </w:tc>
        <w:tc>
          <w:tcPr>
            <w:tcW w:w="193" w:type="pct"/>
            <w:tcBorders>
              <w:top w:val="single" w:sz="4" w:space="0" w:color="auto"/>
              <w:left w:val="nil"/>
              <w:bottom w:val="single" w:sz="4" w:space="0" w:color="auto"/>
              <w:right w:val="single" w:sz="4" w:space="0" w:color="auto"/>
            </w:tcBorders>
          </w:tcPr>
          <w:p w14:paraId="62F5A0B9"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423CE40"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760</w:t>
            </w:r>
          </w:p>
        </w:tc>
      </w:tr>
      <w:tr w:rsidR="001D4F0F" w:rsidRPr="001B4CA2" w14:paraId="6877DA50"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20D8239C" w14:textId="77777777" w:rsidR="00743EF4" w:rsidRPr="001B4CA2" w:rsidRDefault="00743EF4" w:rsidP="00743EF4">
            <w:pPr>
              <w:jc w:val="left"/>
              <w:rPr>
                <w:bCs/>
                <w:sz w:val="16"/>
                <w:szCs w:val="16"/>
              </w:rPr>
            </w:pPr>
            <w:r w:rsidRPr="001B4CA2">
              <w:rPr>
                <w:bCs/>
                <w:sz w:val="16"/>
                <w:szCs w:val="16"/>
              </w:rPr>
              <w:t>Ministarstvo rada, mirovinskoga sustava, obitelji i socijalne politike</w:t>
            </w:r>
          </w:p>
        </w:tc>
        <w:tc>
          <w:tcPr>
            <w:tcW w:w="173" w:type="pct"/>
            <w:tcBorders>
              <w:top w:val="nil"/>
              <w:left w:val="nil"/>
              <w:bottom w:val="single" w:sz="4" w:space="0" w:color="auto"/>
              <w:right w:val="single" w:sz="4" w:space="0" w:color="auto"/>
            </w:tcBorders>
            <w:shd w:val="clear" w:color="auto" w:fill="auto"/>
            <w:noWrap/>
            <w:vAlign w:val="center"/>
          </w:tcPr>
          <w:p w14:paraId="1EDAD471"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4C14B271"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510E6627"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3071BC7D"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1658C47B"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32</w:t>
            </w:r>
          </w:p>
        </w:tc>
        <w:tc>
          <w:tcPr>
            <w:tcW w:w="218" w:type="pct"/>
            <w:tcBorders>
              <w:top w:val="nil"/>
              <w:left w:val="nil"/>
              <w:bottom w:val="single" w:sz="4" w:space="0" w:color="auto"/>
              <w:right w:val="single" w:sz="4" w:space="0" w:color="auto"/>
            </w:tcBorders>
            <w:shd w:val="clear" w:color="auto" w:fill="auto"/>
            <w:noWrap/>
            <w:vAlign w:val="center"/>
          </w:tcPr>
          <w:p w14:paraId="66765795"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12</w:t>
            </w:r>
          </w:p>
        </w:tc>
        <w:tc>
          <w:tcPr>
            <w:tcW w:w="219" w:type="pct"/>
            <w:tcBorders>
              <w:top w:val="nil"/>
              <w:left w:val="nil"/>
              <w:bottom w:val="single" w:sz="4" w:space="0" w:color="auto"/>
              <w:right w:val="single" w:sz="4" w:space="0" w:color="auto"/>
            </w:tcBorders>
            <w:shd w:val="clear" w:color="auto" w:fill="auto"/>
            <w:noWrap/>
            <w:vAlign w:val="center"/>
          </w:tcPr>
          <w:p w14:paraId="650AD21B"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6B2B53FC"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307</w:t>
            </w:r>
          </w:p>
        </w:tc>
        <w:tc>
          <w:tcPr>
            <w:tcW w:w="174" w:type="pct"/>
            <w:tcBorders>
              <w:top w:val="nil"/>
              <w:left w:val="nil"/>
              <w:bottom w:val="single" w:sz="4" w:space="0" w:color="auto"/>
              <w:right w:val="single" w:sz="4" w:space="0" w:color="auto"/>
            </w:tcBorders>
            <w:shd w:val="clear" w:color="auto" w:fill="auto"/>
            <w:noWrap/>
            <w:vAlign w:val="center"/>
          </w:tcPr>
          <w:p w14:paraId="7841E640"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114</w:t>
            </w:r>
          </w:p>
        </w:tc>
        <w:tc>
          <w:tcPr>
            <w:tcW w:w="131" w:type="pct"/>
            <w:tcBorders>
              <w:top w:val="nil"/>
              <w:left w:val="nil"/>
              <w:bottom w:val="single" w:sz="4" w:space="0" w:color="auto"/>
              <w:right w:val="single" w:sz="4" w:space="0" w:color="auto"/>
            </w:tcBorders>
            <w:shd w:val="clear" w:color="auto" w:fill="auto"/>
            <w:noWrap/>
            <w:vAlign w:val="center"/>
          </w:tcPr>
          <w:p w14:paraId="132B2142"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2</w:t>
            </w:r>
          </w:p>
        </w:tc>
        <w:tc>
          <w:tcPr>
            <w:tcW w:w="219" w:type="pct"/>
            <w:tcBorders>
              <w:top w:val="nil"/>
              <w:left w:val="nil"/>
              <w:bottom w:val="single" w:sz="4" w:space="0" w:color="auto"/>
              <w:right w:val="single" w:sz="4" w:space="0" w:color="auto"/>
            </w:tcBorders>
            <w:shd w:val="clear" w:color="auto" w:fill="auto"/>
            <w:noWrap/>
            <w:vAlign w:val="center"/>
          </w:tcPr>
          <w:p w14:paraId="78A7AC20"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53834EF2"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149</w:t>
            </w:r>
          </w:p>
        </w:tc>
        <w:tc>
          <w:tcPr>
            <w:tcW w:w="123" w:type="pct"/>
            <w:tcBorders>
              <w:top w:val="nil"/>
              <w:left w:val="nil"/>
              <w:bottom w:val="single" w:sz="4" w:space="0" w:color="auto"/>
              <w:right w:val="single" w:sz="4" w:space="0" w:color="auto"/>
            </w:tcBorders>
            <w:shd w:val="clear" w:color="auto" w:fill="auto"/>
            <w:noWrap/>
            <w:vAlign w:val="center"/>
          </w:tcPr>
          <w:p w14:paraId="6F78758C"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7B4281AE"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4175D9EF"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61368B0D"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04815AC7" w14:textId="77777777" w:rsidR="00743EF4" w:rsidRPr="001B4CA2" w:rsidRDefault="00743EF4" w:rsidP="00743EF4">
            <w:pPr>
              <w:jc w:val="center"/>
              <w:rPr>
                <w:rFonts w:ascii="Calibri" w:hAnsi="Calibri" w:cs="Calibri"/>
                <w:color w:val="000000"/>
                <w:sz w:val="20"/>
                <w:szCs w:val="20"/>
              </w:rPr>
            </w:pPr>
          </w:p>
        </w:tc>
        <w:tc>
          <w:tcPr>
            <w:tcW w:w="124" w:type="pct"/>
            <w:tcBorders>
              <w:top w:val="nil"/>
              <w:left w:val="nil"/>
              <w:bottom w:val="single" w:sz="4" w:space="0" w:color="auto"/>
              <w:right w:val="single" w:sz="4" w:space="0" w:color="auto"/>
            </w:tcBorders>
            <w:shd w:val="clear" w:color="auto" w:fill="auto"/>
            <w:noWrap/>
            <w:vAlign w:val="center"/>
          </w:tcPr>
          <w:p w14:paraId="71842ABA"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766828BD"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14EFCE94"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4ED4B73E"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146</w:t>
            </w:r>
          </w:p>
        </w:tc>
        <w:tc>
          <w:tcPr>
            <w:tcW w:w="172" w:type="pct"/>
            <w:tcBorders>
              <w:top w:val="nil"/>
              <w:left w:val="nil"/>
              <w:bottom w:val="single" w:sz="4" w:space="0" w:color="auto"/>
              <w:right w:val="single" w:sz="4" w:space="0" w:color="auto"/>
            </w:tcBorders>
            <w:shd w:val="clear" w:color="auto" w:fill="auto"/>
            <w:noWrap/>
            <w:vAlign w:val="center"/>
          </w:tcPr>
          <w:p w14:paraId="51869732"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14</w:t>
            </w:r>
          </w:p>
        </w:tc>
        <w:tc>
          <w:tcPr>
            <w:tcW w:w="193" w:type="pct"/>
            <w:tcBorders>
              <w:top w:val="single" w:sz="4" w:space="0" w:color="auto"/>
              <w:left w:val="nil"/>
              <w:bottom w:val="single" w:sz="4" w:space="0" w:color="auto"/>
              <w:right w:val="single" w:sz="4" w:space="0" w:color="auto"/>
            </w:tcBorders>
          </w:tcPr>
          <w:p w14:paraId="3363328E"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973FCF"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457</w:t>
            </w:r>
          </w:p>
        </w:tc>
      </w:tr>
      <w:tr w:rsidR="001D4F0F" w:rsidRPr="001B4CA2" w14:paraId="162740A3"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58FF217A" w14:textId="77777777" w:rsidR="00743EF4" w:rsidRPr="001B4CA2" w:rsidRDefault="00743EF4" w:rsidP="00743EF4">
            <w:pPr>
              <w:jc w:val="left"/>
              <w:rPr>
                <w:bCs/>
                <w:sz w:val="16"/>
                <w:szCs w:val="16"/>
              </w:rPr>
            </w:pPr>
            <w:r w:rsidRPr="001B4CA2">
              <w:rPr>
                <w:bCs/>
                <w:sz w:val="16"/>
                <w:szCs w:val="16"/>
              </w:rPr>
              <w:t xml:space="preserve">Ministarstvo financija </w:t>
            </w:r>
          </w:p>
        </w:tc>
        <w:tc>
          <w:tcPr>
            <w:tcW w:w="173" w:type="pct"/>
            <w:tcBorders>
              <w:top w:val="nil"/>
              <w:left w:val="nil"/>
              <w:bottom w:val="single" w:sz="4" w:space="0" w:color="auto"/>
              <w:right w:val="single" w:sz="4" w:space="0" w:color="auto"/>
            </w:tcBorders>
            <w:shd w:val="clear" w:color="auto" w:fill="auto"/>
            <w:noWrap/>
            <w:vAlign w:val="center"/>
          </w:tcPr>
          <w:p w14:paraId="4EB42D2C"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7135C161"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3648A29F"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1B937552"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0308902D"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9</w:t>
            </w:r>
          </w:p>
        </w:tc>
        <w:tc>
          <w:tcPr>
            <w:tcW w:w="218" w:type="pct"/>
            <w:tcBorders>
              <w:top w:val="nil"/>
              <w:left w:val="nil"/>
              <w:bottom w:val="single" w:sz="4" w:space="0" w:color="auto"/>
              <w:right w:val="single" w:sz="4" w:space="0" w:color="auto"/>
            </w:tcBorders>
            <w:shd w:val="clear" w:color="auto" w:fill="auto"/>
            <w:noWrap/>
            <w:vAlign w:val="center"/>
          </w:tcPr>
          <w:p w14:paraId="7A8FC976"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3</w:t>
            </w:r>
          </w:p>
        </w:tc>
        <w:tc>
          <w:tcPr>
            <w:tcW w:w="219" w:type="pct"/>
            <w:tcBorders>
              <w:top w:val="nil"/>
              <w:left w:val="nil"/>
              <w:bottom w:val="single" w:sz="4" w:space="0" w:color="auto"/>
              <w:right w:val="single" w:sz="4" w:space="0" w:color="auto"/>
            </w:tcBorders>
            <w:shd w:val="clear" w:color="auto" w:fill="auto"/>
            <w:noWrap/>
            <w:vAlign w:val="center"/>
          </w:tcPr>
          <w:p w14:paraId="7930C022"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5E47CA77"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181</w:t>
            </w:r>
          </w:p>
        </w:tc>
        <w:tc>
          <w:tcPr>
            <w:tcW w:w="174" w:type="pct"/>
            <w:tcBorders>
              <w:top w:val="nil"/>
              <w:left w:val="nil"/>
              <w:bottom w:val="single" w:sz="4" w:space="0" w:color="auto"/>
              <w:right w:val="single" w:sz="4" w:space="0" w:color="auto"/>
            </w:tcBorders>
            <w:shd w:val="clear" w:color="auto" w:fill="auto"/>
            <w:noWrap/>
            <w:vAlign w:val="center"/>
          </w:tcPr>
          <w:p w14:paraId="032F29A6"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131" w:type="pct"/>
            <w:tcBorders>
              <w:top w:val="nil"/>
              <w:left w:val="nil"/>
              <w:bottom w:val="single" w:sz="4" w:space="0" w:color="auto"/>
              <w:right w:val="single" w:sz="4" w:space="0" w:color="auto"/>
            </w:tcBorders>
            <w:shd w:val="clear" w:color="auto" w:fill="auto"/>
            <w:noWrap/>
            <w:vAlign w:val="center"/>
          </w:tcPr>
          <w:p w14:paraId="435D86CB" w14:textId="77777777" w:rsidR="00743EF4" w:rsidRPr="001B4CA2" w:rsidRDefault="00743EF4" w:rsidP="00743EF4">
            <w:pPr>
              <w:jc w:val="center"/>
              <w:rPr>
                <w:rFonts w:ascii="Calibri" w:hAnsi="Calibri" w:cs="Calibri"/>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14:paraId="7608EA25"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4F0B7A76" w14:textId="77777777" w:rsidR="00743EF4" w:rsidRPr="001B4CA2" w:rsidRDefault="00743EF4" w:rsidP="00743EF4">
            <w:pPr>
              <w:jc w:val="center"/>
              <w:rPr>
                <w:rFonts w:ascii="Calibri" w:hAnsi="Calibri" w:cs="Calibri"/>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0665E5CD"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0E2D904A"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05051DCF"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30554725"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52973214"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124" w:type="pct"/>
            <w:tcBorders>
              <w:top w:val="nil"/>
              <w:left w:val="nil"/>
              <w:bottom w:val="single" w:sz="4" w:space="0" w:color="auto"/>
              <w:right w:val="single" w:sz="4" w:space="0" w:color="auto"/>
            </w:tcBorders>
            <w:shd w:val="clear" w:color="auto" w:fill="auto"/>
            <w:noWrap/>
            <w:vAlign w:val="center"/>
          </w:tcPr>
          <w:p w14:paraId="0D6908BA"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11808AC9"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0B58F1E0"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6E43E255"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11</w:t>
            </w:r>
          </w:p>
        </w:tc>
        <w:tc>
          <w:tcPr>
            <w:tcW w:w="172" w:type="pct"/>
            <w:tcBorders>
              <w:top w:val="nil"/>
              <w:left w:val="nil"/>
              <w:bottom w:val="single" w:sz="4" w:space="0" w:color="auto"/>
              <w:right w:val="single" w:sz="4" w:space="0" w:color="auto"/>
            </w:tcBorders>
            <w:shd w:val="clear" w:color="auto" w:fill="auto"/>
            <w:noWrap/>
            <w:vAlign w:val="center"/>
          </w:tcPr>
          <w:p w14:paraId="3D4ECD6A"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3</w:t>
            </w:r>
          </w:p>
        </w:tc>
        <w:tc>
          <w:tcPr>
            <w:tcW w:w="193" w:type="pct"/>
            <w:tcBorders>
              <w:top w:val="single" w:sz="4" w:space="0" w:color="auto"/>
              <w:left w:val="nil"/>
              <w:bottom w:val="single" w:sz="4" w:space="0" w:color="auto"/>
              <w:right w:val="single" w:sz="4" w:space="0" w:color="auto"/>
            </w:tcBorders>
          </w:tcPr>
          <w:p w14:paraId="132B4323"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BB5134"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181</w:t>
            </w:r>
          </w:p>
        </w:tc>
      </w:tr>
      <w:tr w:rsidR="001D4F0F" w:rsidRPr="001B4CA2" w14:paraId="217506DA"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7AE773B8" w14:textId="77777777" w:rsidR="00743EF4" w:rsidRPr="001B4CA2" w:rsidRDefault="00743EF4" w:rsidP="00743EF4">
            <w:pPr>
              <w:jc w:val="left"/>
              <w:rPr>
                <w:bCs/>
                <w:sz w:val="16"/>
                <w:szCs w:val="16"/>
              </w:rPr>
            </w:pPr>
            <w:r w:rsidRPr="001B4CA2">
              <w:rPr>
                <w:bCs/>
                <w:sz w:val="16"/>
                <w:szCs w:val="16"/>
              </w:rPr>
              <w:t>Ministarstvo gospodarstva i održivog razvoja</w:t>
            </w:r>
          </w:p>
        </w:tc>
        <w:tc>
          <w:tcPr>
            <w:tcW w:w="173" w:type="pct"/>
            <w:tcBorders>
              <w:top w:val="nil"/>
              <w:left w:val="nil"/>
              <w:bottom w:val="single" w:sz="4" w:space="0" w:color="auto"/>
              <w:right w:val="single" w:sz="4" w:space="0" w:color="auto"/>
            </w:tcBorders>
            <w:shd w:val="clear" w:color="auto" w:fill="auto"/>
            <w:noWrap/>
            <w:vAlign w:val="center"/>
          </w:tcPr>
          <w:p w14:paraId="1C4F5720"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2</w:t>
            </w:r>
          </w:p>
        </w:tc>
        <w:tc>
          <w:tcPr>
            <w:tcW w:w="174" w:type="pct"/>
            <w:tcBorders>
              <w:top w:val="nil"/>
              <w:left w:val="nil"/>
              <w:bottom w:val="single" w:sz="4" w:space="0" w:color="auto"/>
              <w:right w:val="single" w:sz="4" w:space="0" w:color="auto"/>
            </w:tcBorders>
            <w:shd w:val="clear" w:color="auto" w:fill="auto"/>
            <w:noWrap/>
            <w:vAlign w:val="center"/>
          </w:tcPr>
          <w:p w14:paraId="2ACE3514"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2</w:t>
            </w:r>
          </w:p>
        </w:tc>
        <w:tc>
          <w:tcPr>
            <w:tcW w:w="174" w:type="pct"/>
            <w:tcBorders>
              <w:top w:val="nil"/>
              <w:left w:val="nil"/>
              <w:bottom w:val="single" w:sz="4" w:space="0" w:color="auto"/>
              <w:right w:val="single" w:sz="4" w:space="0" w:color="auto"/>
            </w:tcBorders>
            <w:shd w:val="clear" w:color="auto" w:fill="auto"/>
            <w:noWrap/>
            <w:vAlign w:val="center"/>
          </w:tcPr>
          <w:p w14:paraId="43D6FA8F"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295725EE"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100</w:t>
            </w:r>
          </w:p>
        </w:tc>
        <w:tc>
          <w:tcPr>
            <w:tcW w:w="204" w:type="pct"/>
            <w:tcBorders>
              <w:top w:val="nil"/>
              <w:left w:val="nil"/>
              <w:bottom w:val="single" w:sz="4" w:space="0" w:color="auto"/>
              <w:right w:val="single" w:sz="4" w:space="0" w:color="auto"/>
            </w:tcBorders>
            <w:shd w:val="clear" w:color="auto" w:fill="auto"/>
            <w:noWrap/>
            <w:vAlign w:val="center"/>
          </w:tcPr>
          <w:p w14:paraId="0F56D71B"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19</w:t>
            </w:r>
          </w:p>
        </w:tc>
        <w:tc>
          <w:tcPr>
            <w:tcW w:w="218" w:type="pct"/>
            <w:tcBorders>
              <w:top w:val="nil"/>
              <w:left w:val="nil"/>
              <w:bottom w:val="single" w:sz="4" w:space="0" w:color="auto"/>
              <w:right w:val="single" w:sz="4" w:space="0" w:color="auto"/>
            </w:tcBorders>
            <w:shd w:val="clear" w:color="auto" w:fill="auto"/>
            <w:noWrap/>
            <w:vAlign w:val="center"/>
          </w:tcPr>
          <w:p w14:paraId="1186F0C4"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3</w:t>
            </w:r>
          </w:p>
        </w:tc>
        <w:tc>
          <w:tcPr>
            <w:tcW w:w="219" w:type="pct"/>
            <w:tcBorders>
              <w:top w:val="nil"/>
              <w:left w:val="nil"/>
              <w:bottom w:val="single" w:sz="4" w:space="0" w:color="auto"/>
              <w:right w:val="single" w:sz="4" w:space="0" w:color="auto"/>
            </w:tcBorders>
            <w:shd w:val="clear" w:color="auto" w:fill="auto"/>
            <w:noWrap/>
            <w:vAlign w:val="center"/>
          </w:tcPr>
          <w:p w14:paraId="00CF4D66"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2BD8EC64"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112</w:t>
            </w:r>
          </w:p>
        </w:tc>
        <w:tc>
          <w:tcPr>
            <w:tcW w:w="174" w:type="pct"/>
            <w:tcBorders>
              <w:top w:val="nil"/>
              <w:left w:val="nil"/>
              <w:bottom w:val="single" w:sz="4" w:space="0" w:color="auto"/>
              <w:right w:val="single" w:sz="4" w:space="0" w:color="auto"/>
            </w:tcBorders>
            <w:shd w:val="clear" w:color="auto" w:fill="auto"/>
            <w:noWrap/>
            <w:vAlign w:val="center"/>
          </w:tcPr>
          <w:p w14:paraId="3BF183DC"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10</w:t>
            </w:r>
          </w:p>
        </w:tc>
        <w:tc>
          <w:tcPr>
            <w:tcW w:w="131" w:type="pct"/>
            <w:tcBorders>
              <w:top w:val="nil"/>
              <w:left w:val="nil"/>
              <w:bottom w:val="single" w:sz="4" w:space="0" w:color="auto"/>
              <w:right w:val="single" w:sz="4" w:space="0" w:color="auto"/>
            </w:tcBorders>
            <w:shd w:val="clear" w:color="auto" w:fill="auto"/>
            <w:noWrap/>
            <w:vAlign w:val="center"/>
          </w:tcPr>
          <w:p w14:paraId="3B5C517F"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219" w:type="pct"/>
            <w:tcBorders>
              <w:top w:val="nil"/>
              <w:left w:val="nil"/>
              <w:bottom w:val="single" w:sz="4" w:space="0" w:color="auto"/>
              <w:right w:val="single" w:sz="4" w:space="0" w:color="auto"/>
            </w:tcBorders>
            <w:shd w:val="clear" w:color="auto" w:fill="auto"/>
            <w:noWrap/>
            <w:vAlign w:val="center"/>
          </w:tcPr>
          <w:p w14:paraId="5FAF4AB4"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62D1C5DD"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8</w:t>
            </w:r>
          </w:p>
        </w:tc>
        <w:tc>
          <w:tcPr>
            <w:tcW w:w="123" w:type="pct"/>
            <w:tcBorders>
              <w:top w:val="nil"/>
              <w:left w:val="nil"/>
              <w:bottom w:val="single" w:sz="4" w:space="0" w:color="auto"/>
              <w:right w:val="single" w:sz="4" w:space="0" w:color="auto"/>
            </w:tcBorders>
            <w:shd w:val="clear" w:color="auto" w:fill="auto"/>
            <w:noWrap/>
            <w:vAlign w:val="center"/>
          </w:tcPr>
          <w:p w14:paraId="24A08D66"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3E5D3AED"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19AA6AC5"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39CEC4C9"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4C6015DB" w14:textId="77777777" w:rsidR="00743EF4" w:rsidRPr="001B4CA2" w:rsidRDefault="00743EF4" w:rsidP="00743EF4">
            <w:pPr>
              <w:jc w:val="center"/>
              <w:rPr>
                <w:rFonts w:ascii="Calibri" w:hAnsi="Calibri" w:cs="Calibri"/>
                <w:color w:val="000000"/>
                <w:sz w:val="20"/>
                <w:szCs w:val="20"/>
              </w:rPr>
            </w:pPr>
          </w:p>
        </w:tc>
        <w:tc>
          <w:tcPr>
            <w:tcW w:w="124" w:type="pct"/>
            <w:tcBorders>
              <w:top w:val="nil"/>
              <w:left w:val="nil"/>
              <w:bottom w:val="single" w:sz="4" w:space="0" w:color="auto"/>
              <w:right w:val="single" w:sz="4" w:space="0" w:color="auto"/>
            </w:tcBorders>
            <w:shd w:val="clear" w:color="auto" w:fill="auto"/>
            <w:noWrap/>
            <w:vAlign w:val="center"/>
          </w:tcPr>
          <w:p w14:paraId="1D334D4D"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5429352C"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4BE9CDA6"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63832C06"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31</w:t>
            </w:r>
          </w:p>
        </w:tc>
        <w:tc>
          <w:tcPr>
            <w:tcW w:w="172" w:type="pct"/>
            <w:tcBorders>
              <w:top w:val="nil"/>
              <w:left w:val="nil"/>
              <w:bottom w:val="single" w:sz="4" w:space="0" w:color="auto"/>
              <w:right w:val="single" w:sz="4" w:space="0" w:color="auto"/>
            </w:tcBorders>
            <w:shd w:val="clear" w:color="auto" w:fill="auto"/>
            <w:noWrap/>
            <w:vAlign w:val="center"/>
          </w:tcPr>
          <w:p w14:paraId="3A3CD066"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6</w:t>
            </w:r>
          </w:p>
        </w:tc>
        <w:tc>
          <w:tcPr>
            <w:tcW w:w="193" w:type="pct"/>
            <w:tcBorders>
              <w:top w:val="single" w:sz="4" w:space="0" w:color="auto"/>
              <w:left w:val="nil"/>
              <w:bottom w:val="single" w:sz="4" w:space="0" w:color="auto"/>
              <w:right w:val="single" w:sz="4" w:space="0" w:color="auto"/>
            </w:tcBorders>
          </w:tcPr>
          <w:p w14:paraId="4A13BA50"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DF600F"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220</w:t>
            </w:r>
          </w:p>
        </w:tc>
      </w:tr>
      <w:tr w:rsidR="001D4F0F" w:rsidRPr="001B4CA2" w14:paraId="333D33BD"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2194A626" w14:textId="77777777" w:rsidR="00743EF4" w:rsidRPr="001B4CA2" w:rsidRDefault="00743EF4" w:rsidP="00743EF4">
            <w:pPr>
              <w:jc w:val="left"/>
              <w:rPr>
                <w:bCs/>
                <w:sz w:val="16"/>
                <w:szCs w:val="16"/>
              </w:rPr>
            </w:pPr>
            <w:r w:rsidRPr="001B4CA2">
              <w:rPr>
                <w:bCs/>
                <w:sz w:val="16"/>
                <w:szCs w:val="16"/>
              </w:rPr>
              <w:t xml:space="preserve">Ministarstvo obrane </w:t>
            </w:r>
          </w:p>
        </w:tc>
        <w:tc>
          <w:tcPr>
            <w:tcW w:w="173" w:type="pct"/>
            <w:tcBorders>
              <w:top w:val="nil"/>
              <w:left w:val="nil"/>
              <w:bottom w:val="single" w:sz="4" w:space="0" w:color="auto"/>
              <w:right w:val="single" w:sz="4" w:space="0" w:color="auto"/>
            </w:tcBorders>
            <w:shd w:val="clear" w:color="auto" w:fill="auto"/>
            <w:noWrap/>
            <w:vAlign w:val="center"/>
          </w:tcPr>
          <w:p w14:paraId="5EB6C82F"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12</w:t>
            </w:r>
          </w:p>
        </w:tc>
        <w:tc>
          <w:tcPr>
            <w:tcW w:w="174" w:type="pct"/>
            <w:tcBorders>
              <w:top w:val="nil"/>
              <w:left w:val="nil"/>
              <w:bottom w:val="single" w:sz="4" w:space="0" w:color="auto"/>
              <w:right w:val="single" w:sz="4" w:space="0" w:color="auto"/>
            </w:tcBorders>
            <w:shd w:val="clear" w:color="auto" w:fill="auto"/>
            <w:noWrap/>
            <w:vAlign w:val="center"/>
          </w:tcPr>
          <w:p w14:paraId="252A9EC0"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w:t>
            </w:r>
          </w:p>
        </w:tc>
        <w:tc>
          <w:tcPr>
            <w:tcW w:w="174" w:type="pct"/>
            <w:tcBorders>
              <w:top w:val="nil"/>
              <w:left w:val="nil"/>
              <w:bottom w:val="single" w:sz="4" w:space="0" w:color="auto"/>
              <w:right w:val="single" w:sz="4" w:space="0" w:color="auto"/>
            </w:tcBorders>
            <w:shd w:val="clear" w:color="auto" w:fill="auto"/>
            <w:noWrap/>
            <w:vAlign w:val="center"/>
          </w:tcPr>
          <w:p w14:paraId="6F18DFE6"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28526494"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7BE95C80"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73</w:t>
            </w:r>
          </w:p>
        </w:tc>
        <w:tc>
          <w:tcPr>
            <w:tcW w:w="218" w:type="pct"/>
            <w:tcBorders>
              <w:top w:val="nil"/>
              <w:left w:val="nil"/>
              <w:bottom w:val="single" w:sz="4" w:space="0" w:color="auto"/>
              <w:right w:val="single" w:sz="4" w:space="0" w:color="auto"/>
            </w:tcBorders>
            <w:shd w:val="clear" w:color="auto" w:fill="auto"/>
            <w:noWrap/>
            <w:vAlign w:val="center"/>
          </w:tcPr>
          <w:p w14:paraId="428E996E"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13</w:t>
            </w:r>
          </w:p>
        </w:tc>
        <w:tc>
          <w:tcPr>
            <w:tcW w:w="219" w:type="pct"/>
            <w:tcBorders>
              <w:top w:val="nil"/>
              <w:left w:val="nil"/>
              <w:bottom w:val="single" w:sz="4" w:space="0" w:color="auto"/>
              <w:right w:val="single" w:sz="4" w:space="0" w:color="auto"/>
            </w:tcBorders>
            <w:shd w:val="clear" w:color="auto" w:fill="auto"/>
            <w:noWrap/>
            <w:vAlign w:val="center"/>
          </w:tcPr>
          <w:p w14:paraId="73A0DF68"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7DA79FCC"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1.199</w:t>
            </w:r>
          </w:p>
        </w:tc>
        <w:tc>
          <w:tcPr>
            <w:tcW w:w="174" w:type="pct"/>
            <w:tcBorders>
              <w:top w:val="nil"/>
              <w:left w:val="nil"/>
              <w:bottom w:val="single" w:sz="4" w:space="0" w:color="auto"/>
              <w:right w:val="single" w:sz="4" w:space="0" w:color="auto"/>
            </w:tcBorders>
            <w:shd w:val="clear" w:color="auto" w:fill="auto"/>
            <w:noWrap/>
            <w:vAlign w:val="center"/>
          </w:tcPr>
          <w:p w14:paraId="22AA619A"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39</w:t>
            </w:r>
          </w:p>
        </w:tc>
        <w:tc>
          <w:tcPr>
            <w:tcW w:w="131" w:type="pct"/>
            <w:tcBorders>
              <w:top w:val="nil"/>
              <w:left w:val="nil"/>
              <w:bottom w:val="single" w:sz="4" w:space="0" w:color="auto"/>
              <w:right w:val="single" w:sz="4" w:space="0" w:color="auto"/>
            </w:tcBorders>
            <w:shd w:val="clear" w:color="auto" w:fill="auto"/>
            <w:noWrap/>
            <w:vAlign w:val="center"/>
          </w:tcPr>
          <w:p w14:paraId="7D6F1A99"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11</w:t>
            </w:r>
          </w:p>
        </w:tc>
        <w:tc>
          <w:tcPr>
            <w:tcW w:w="219" w:type="pct"/>
            <w:tcBorders>
              <w:top w:val="nil"/>
              <w:left w:val="nil"/>
              <w:bottom w:val="single" w:sz="4" w:space="0" w:color="auto"/>
              <w:right w:val="single" w:sz="4" w:space="0" w:color="auto"/>
            </w:tcBorders>
            <w:shd w:val="clear" w:color="auto" w:fill="auto"/>
            <w:noWrap/>
            <w:vAlign w:val="center"/>
          </w:tcPr>
          <w:p w14:paraId="2A5C4EA1"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32413175"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406</w:t>
            </w:r>
          </w:p>
        </w:tc>
        <w:tc>
          <w:tcPr>
            <w:tcW w:w="123" w:type="pct"/>
            <w:tcBorders>
              <w:top w:val="nil"/>
              <w:left w:val="nil"/>
              <w:bottom w:val="single" w:sz="4" w:space="0" w:color="auto"/>
              <w:right w:val="single" w:sz="4" w:space="0" w:color="auto"/>
            </w:tcBorders>
            <w:shd w:val="clear" w:color="auto" w:fill="auto"/>
            <w:noWrap/>
            <w:vAlign w:val="center"/>
          </w:tcPr>
          <w:p w14:paraId="0A132D79"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2</w:t>
            </w:r>
          </w:p>
        </w:tc>
        <w:tc>
          <w:tcPr>
            <w:tcW w:w="132" w:type="pct"/>
            <w:tcBorders>
              <w:top w:val="nil"/>
              <w:left w:val="nil"/>
              <w:bottom w:val="single" w:sz="4" w:space="0" w:color="auto"/>
              <w:right w:val="single" w:sz="4" w:space="0" w:color="auto"/>
            </w:tcBorders>
            <w:shd w:val="clear" w:color="auto" w:fill="auto"/>
            <w:noWrap/>
            <w:vAlign w:val="center"/>
          </w:tcPr>
          <w:p w14:paraId="1CC437E0"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2EA059B4"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589E1340"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43555551"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124" w:type="pct"/>
            <w:tcBorders>
              <w:top w:val="nil"/>
              <w:left w:val="nil"/>
              <w:bottom w:val="single" w:sz="4" w:space="0" w:color="auto"/>
              <w:right w:val="single" w:sz="4" w:space="0" w:color="auto"/>
            </w:tcBorders>
            <w:shd w:val="clear" w:color="auto" w:fill="auto"/>
            <w:noWrap/>
            <w:vAlign w:val="center"/>
          </w:tcPr>
          <w:p w14:paraId="3BB6E0D0"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71DB63FA"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0897548D"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309359E6"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127</w:t>
            </w:r>
          </w:p>
        </w:tc>
        <w:tc>
          <w:tcPr>
            <w:tcW w:w="172" w:type="pct"/>
            <w:tcBorders>
              <w:top w:val="nil"/>
              <w:left w:val="nil"/>
              <w:bottom w:val="single" w:sz="4" w:space="0" w:color="auto"/>
              <w:right w:val="single" w:sz="4" w:space="0" w:color="auto"/>
            </w:tcBorders>
            <w:shd w:val="clear" w:color="auto" w:fill="auto"/>
            <w:noWrap/>
            <w:vAlign w:val="center"/>
          </w:tcPr>
          <w:p w14:paraId="1FEC9AA2"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25</w:t>
            </w:r>
          </w:p>
        </w:tc>
        <w:tc>
          <w:tcPr>
            <w:tcW w:w="193" w:type="pct"/>
            <w:tcBorders>
              <w:top w:val="single" w:sz="4" w:space="0" w:color="auto"/>
              <w:left w:val="nil"/>
              <w:bottom w:val="single" w:sz="4" w:space="0" w:color="auto"/>
              <w:right w:val="single" w:sz="4" w:space="0" w:color="auto"/>
            </w:tcBorders>
          </w:tcPr>
          <w:p w14:paraId="52F4F6AB"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A7D258"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1.605</w:t>
            </w:r>
          </w:p>
        </w:tc>
      </w:tr>
      <w:tr w:rsidR="001D4F0F" w:rsidRPr="001B4CA2" w14:paraId="1816B746"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4DF6B539" w14:textId="77777777" w:rsidR="00743EF4" w:rsidRPr="001B4CA2" w:rsidRDefault="00743EF4" w:rsidP="00743EF4">
            <w:pPr>
              <w:jc w:val="left"/>
              <w:rPr>
                <w:bCs/>
                <w:sz w:val="16"/>
                <w:szCs w:val="16"/>
              </w:rPr>
            </w:pPr>
            <w:r w:rsidRPr="001B4CA2">
              <w:rPr>
                <w:bCs/>
                <w:sz w:val="16"/>
                <w:szCs w:val="16"/>
              </w:rPr>
              <w:t xml:space="preserve">Ministarstvo vanjskih i europskih poslova </w:t>
            </w:r>
          </w:p>
        </w:tc>
        <w:tc>
          <w:tcPr>
            <w:tcW w:w="173" w:type="pct"/>
            <w:tcBorders>
              <w:top w:val="nil"/>
              <w:left w:val="nil"/>
              <w:bottom w:val="single" w:sz="4" w:space="0" w:color="auto"/>
              <w:right w:val="single" w:sz="4" w:space="0" w:color="auto"/>
            </w:tcBorders>
            <w:shd w:val="clear" w:color="auto" w:fill="auto"/>
            <w:noWrap/>
            <w:vAlign w:val="center"/>
          </w:tcPr>
          <w:p w14:paraId="0C932433"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03E07FDD"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5695F1C3"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5168B3AF"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38C2255B" w14:textId="77777777" w:rsidR="00743EF4" w:rsidRPr="001B4CA2" w:rsidRDefault="00743EF4" w:rsidP="00743EF4">
            <w:pPr>
              <w:jc w:val="center"/>
              <w:rPr>
                <w:rFonts w:ascii="Calibri" w:hAnsi="Calibri" w:cs="Calibri"/>
                <w:color w:val="000000"/>
                <w:sz w:val="18"/>
                <w:szCs w:val="18"/>
              </w:rPr>
            </w:pPr>
          </w:p>
        </w:tc>
        <w:tc>
          <w:tcPr>
            <w:tcW w:w="218" w:type="pct"/>
            <w:tcBorders>
              <w:top w:val="nil"/>
              <w:left w:val="nil"/>
              <w:bottom w:val="single" w:sz="4" w:space="0" w:color="auto"/>
              <w:right w:val="single" w:sz="4" w:space="0" w:color="auto"/>
            </w:tcBorders>
            <w:shd w:val="clear" w:color="auto" w:fill="auto"/>
            <w:noWrap/>
            <w:vAlign w:val="center"/>
          </w:tcPr>
          <w:p w14:paraId="0B1FD34D"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5EF9F023"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357E4D46" w14:textId="77777777" w:rsidR="00743EF4" w:rsidRPr="001B4CA2" w:rsidRDefault="00743EF4" w:rsidP="00743EF4">
            <w:pPr>
              <w:jc w:val="center"/>
              <w:rPr>
                <w:rFonts w:ascii="Calibri" w:hAnsi="Calibri" w:cs="Calibri"/>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4967591C" w14:textId="77777777" w:rsidR="00743EF4" w:rsidRPr="001B4CA2" w:rsidRDefault="00743EF4" w:rsidP="00743EF4">
            <w:pPr>
              <w:jc w:val="center"/>
              <w:rPr>
                <w:rFonts w:ascii="Calibri" w:hAnsi="Calibri" w:cs="Calibri"/>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tcPr>
          <w:p w14:paraId="1CD2697B" w14:textId="77777777" w:rsidR="00743EF4" w:rsidRPr="001B4CA2" w:rsidRDefault="00743EF4" w:rsidP="00743EF4">
            <w:pPr>
              <w:jc w:val="center"/>
              <w:rPr>
                <w:rFonts w:ascii="Calibri" w:hAnsi="Calibri" w:cs="Calibri"/>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14:paraId="4F255326"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65F3ACDF" w14:textId="77777777" w:rsidR="00743EF4" w:rsidRPr="001B4CA2" w:rsidRDefault="00743EF4" w:rsidP="00743EF4">
            <w:pPr>
              <w:jc w:val="center"/>
              <w:rPr>
                <w:rFonts w:ascii="Calibri" w:hAnsi="Calibri" w:cs="Calibri"/>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503BDF92"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23FCC7D8"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338B8136"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09E8C2FF"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418D63F6" w14:textId="77777777" w:rsidR="00743EF4" w:rsidRPr="001B4CA2" w:rsidRDefault="00743EF4" w:rsidP="00743EF4">
            <w:pPr>
              <w:jc w:val="center"/>
              <w:rPr>
                <w:rFonts w:ascii="Calibri" w:hAnsi="Calibri" w:cs="Calibri"/>
                <w:color w:val="000000"/>
                <w:sz w:val="20"/>
                <w:szCs w:val="20"/>
              </w:rPr>
            </w:pPr>
          </w:p>
        </w:tc>
        <w:tc>
          <w:tcPr>
            <w:tcW w:w="124" w:type="pct"/>
            <w:tcBorders>
              <w:top w:val="nil"/>
              <w:left w:val="nil"/>
              <w:bottom w:val="single" w:sz="4" w:space="0" w:color="auto"/>
              <w:right w:val="single" w:sz="4" w:space="0" w:color="auto"/>
            </w:tcBorders>
            <w:shd w:val="clear" w:color="auto" w:fill="auto"/>
            <w:noWrap/>
            <w:vAlign w:val="center"/>
          </w:tcPr>
          <w:p w14:paraId="6840BE77"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16D7BCDD"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6D7537C2"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44E906A3" w14:textId="77777777" w:rsidR="00743EF4" w:rsidRPr="001B4CA2" w:rsidRDefault="00743EF4" w:rsidP="00743EF4">
            <w:pPr>
              <w:jc w:val="center"/>
              <w:rPr>
                <w:rFonts w:ascii="Calibri" w:hAnsi="Calibri" w:cs="Calibri"/>
                <w:bCs/>
                <w:color w:val="000000"/>
                <w:sz w:val="18"/>
                <w:szCs w:val="18"/>
              </w:rPr>
            </w:pPr>
          </w:p>
        </w:tc>
        <w:tc>
          <w:tcPr>
            <w:tcW w:w="172" w:type="pct"/>
            <w:tcBorders>
              <w:top w:val="nil"/>
              <w:left w:val="nil"/>
              <w:bottom w:val="single" w:sz="4" w:space="0" w:color="auto"/>
              <w:right w:val="single" w:sz="4" w:space="0" w:color="auto"/>
            </w:tcBorders>
            <w:shd w:val="clear" w:color="auto" w:fill="auto"/>
            <w:noWrap/>
            <w:vAlign w:val="center"/>
          </w:tcPr>
          <w:p w14:paraId="3AB06A1D" w14:textId="77777777" w:rsidR="00743EF4" w:rsidRPr="001B4CA2" w:rsidRDefault="00743EF4" w:rsidP="00743EF4">
            <w:pPr>
              <w:jc w:val="center"/>
              <w:rPr>
                <w:rFonts w:ascii="Calibri" w:hAnsi="Calibri" w:cs="Calibri"/>
                <w:bCs/>
                <w:color w:val="000000"/>
                <w:sz w:val="18"/>
                <w:szCs w:val="18"/>
              </w:rPr>
            </w:pPr>
          </w:p>
        </w:tc>
        <w:tc>
          <w:tcPr>
            <w:tcW w:w="193" w:type="pct"/>
            <w:tcBorders>
              <w:top w:val="single" w:sz="4" w:space="0" w:color="auto"/>
              <w:left w:val="nil"/>
              <w:bottom w:val="single" w:sz="4" w:space="0" w:color="auto"/>
              <w:right w:val="single" w:sz="4" w:space="0" w:color="auto"/>
            </w:tcBorders>
          </w:tcPr>
          <w:p w14:paraId="1CE3BEA4"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1566D4" w14:textId="77777777" w:rsidR="00743EF4" w:rsidRPr="001B4CA2" w:rsidRDefault="00743EF4" w:rsidP="00743EF4">
            <w:pPr>
              <w:jc w:val="center"/>
              <w:rPr>
                <w:rFonts w:ascii="Calibri" w:hAnsi="Calibri" w:cs="Calibri"/>
                <w:b/>
                <w:bCs/>
                <w:color w:val="000000"/>
                <w:sz w:val="18"/>
                <w:szCs w:val="18"/>
              </w:rPr>
            </w:pPr>
          </w:p>
        </w:tc>
      </w:tr>
      <w:tr w:rsidR="001D4F0F" w:rsidRPr="001B4CA2" w14:paraId="30CEE8C8"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3A81AD41" w14:textId="77777777" w:rsidR="00743EF4" w:rsidRPr="001B4CA2" w:rsidRDefault="00743EF4" w:rsidP="00743EF4">
            <w:pPr>
              <w:jc w:val="left"/>
              <w:rPr>
                <w:bCs/>
                <w:sz w:val="16"/>
                <w:szCs w:val="16"/>
              </w:rPr>
            </w:pPr>
            <w:r w:rsidRPr="001B4CA2">
              <w:rPr>
                <w:bCs/>
                <w:sz w:val="16"/>
                <w:szCs w:val="16"/>
              </w:rPr>
              <w:t>Ministarstvo mora, prometa i infrastrukture</w:t>
            </w:r>
          </w:p>
        </w:tc>
        <w:tc>
          <w:tcPr>
            <w:tcW w:w="173" w:type="pct"/>
            <w:tcBorders>
              <w:top w:val="nil"/>
              <w:left w:val="nil"/>
              <w:bottom w:val="single" w:sz="4" w:space="0" w:color="auto"/>
              <w:right w:val="single" w:sz="4" w:space="0" w:color="auto"/>
            </w:tcBorders>
            <w:shd w:val="clear" w:color="auto" w:fill="auto"/>
            <w:noWrap/>
            <w:vAlign w:val="center"/>
          </w:tcPr>
          <w:p w14:paraId="1BE072A1"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38</w:t>
            </w:r>
          </w:p>
        </w:tc>
        <w:tc>
          <w:tcPr>
            <w:tcW w:w="174" w:type="pct"/>
            <w:tcBorders>
              <w:top w:val="nil"/>
              <w:left w:val="nil"/>
              <w:bottom w:val="single" w:sz="4" w:space="0" w:color="auto"/>
              <w:right w:val="single" w:sz="4" w:space="0" w:color="auto"/>
            </w:tcBorders>
            <w:shd w:val="clear" w:color="auto" w:fill="auto"/>
            <w:noWrap/>
            <w:vAlign w:val="center"/>
          </w:tcPr>
          <w:p w14:paraId="0C9A4011"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10</w:t>
            </w:r>
          </w:p>
        </w:tc>
        <w:tc>
          <w:tcPr>
            <w:tcW w:w="174" w:type="pct"/>
            <w:tcBorders>
              <w:top w:val="nil"/>
              <w:left w:val="nil"/>
              <w:bottom w:val="single" w:sz="4" w:space="0" w:color="auto"/>
              <w:right w:val="single" w:sz="4" w:space="0" w:color="auto"/>
            </w:tcBorders>
            <w:shd w:val="clear" w:color="auto" w:fill="auto"/>
            <w:noWrap/>
            <w:vAlign w:val="center"/>
          </w:tcPr>
          <w:p w14:paraId="14987AC9"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38AB23BF"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120</w:t>
            </w:r>
          </w:p>
        </w:tc>
        <w:tc>
          <w:tcPr>
            <w:tcW w:w="204" w:type="pct"/>
            <w:tcBorders>
              <w:top w:val="nil"/>
              <w:left w:val="nil"/>
              <w:bottom w:val="single" w:sz="4" w:space="0" w:color="auto"/>
              <w:right w:val="single" w:sz="4" w:space="0" w:color="auto"/>
            </w:tcBorders>
            <w:shd w:val="clear" w:color="auto" w:fill="auto"/>
            <w:noWrap/>
            <w:vAlign w:val="center"/>
          </w:tcPr>
          <w:p w14:paraId="18872F1B"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3</w:t>
            </w:r>
          </w:p>
        </w:tc>
        <w:tc>
          <w:tcPr>
            <w:tcW w:w="218" w:type="pct"/>
            <w:tcBorders>
              <w:top w:val="nil"/>
              <w:left w:val="nil"/>
              <w:bottom w:val="single" w:sz="4" w:space="0" w:color="auto"/>
              <w:right w:val="single" w:sz="4" w:space="0" w:color="auto"/>
            </w:tcBorders>
            <w:shd w:val="clear" w:color="auto" w:fill="auto"/>
            <w:noWrap/>
            <w:vAlign w:val="center"/>
          </w:tcPr>
          <w:p w14:paraId="1526D4AF"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w:t>
            </w:r>
          </w:p>
        </w:tc>
        <w:tc>
          <w:tcPr>
            <w:tcW w:w="219" w:type="pct"/>
            <w:tcBorders>
              <w:top w:val="nil"/>
              <w:left w:val="nil"/>
              <w:bottom w:val="single" w:sz="4" w:space="0" w:color="auto"/>
              <w:right w:val="single" w:sz="4" w:space="0" w:color="auto"/>
            </w:tcBorders>
            <w:shd w:val="clear" w:color="auto" w:fill="auto"/>
            <w:noWrap/>
            <w:vAlign w:val="center"/>
          </w:tcPr>
          <w:p w14:paraId="0DBA080E"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34D3C9B1"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44</w:t>
            </w:r>
          </w:p>
        </w:tc>
        <w:tc>
          <w:tcPr>
            <w:tcW w:w="174" w:type="pct"/>
            <w:tcBorders>
              <w:top w:val="nil"/>
              <w:left w:val="nil"/>
              <w:bottom w:val="single" w:sz="4" w:space="0" w:color="auto"/>
              <w:right w:val="single" w:sz="4" w:space="0" w:color="auto"/>
            </w:tcBorders>
            <w:shd w:val="clear" w:color="auto" w:fill="auto"/>
            <w:noWrap/>
            <w:vAlign w:val="center"/>
          </w:tcPr>
          <w:p w14:paraId="3BED6584" w14:textId="77777777" w:rsidR="00743EF4" w:rsidRPr="001B4CA2" w:rsidRDefault="00743EF4" w:rsidP="00743EF4">
            <w:pPr>
              <w:jc w:val="center"/>
              <w:rPr>
                <w:rFonts w:ascii="Calibri" w:hAnsi="Calibri" w:cs="Calibri"/>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tcPr>
          <w:p w14:paraId="1D5C471B" w14:textId="77777777" w:rsidR="00743EF4" w:rsidRPr="001B4CA2" w:rsidRDefault="00743EF4" w:rsidP="00743EF4">
            <w:pPr>
              <w:jc w:val="center"/>
              <w:rPr>
                <w:rFonts w:ascii="Calibri" w:hAnsi="Calibri" w:cs="Calibri"/>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14:paraId="78209B97"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15FDE652" w14:textId="77777777" w:rsidR="00743EF4" w:rsidRPr="001B4CA2" w:rsidRDefault="00743EF4" w:rsidP="00743EF4">
            <w:pPr>
              <w:jc w:val="center"/>
              <w:rPr>
                <w:rFonts w:ascii="Calibri" w:hAnsi="Calibri" w:cs="Calibri"/>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48799202"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7AE335BB"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7991536C"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573A4640"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71A5F45E" w14:textId="77777777" w:rsidR="00743EF4" w:rsidRPr="001B4CA2" w:rsidRDefault="00743EF4" w:rsidP="00743EF4">
            <w:pPr>
              <w:jc w:val="center"/>
              <w:rPr>
                <w:rFonts w:ascii="Calibri" w:hAnsi="Calibri" w:cs="Calibri"/>
                <w:color w:val="000000"/>
                <w:sz w:val="20"/>
                <w:szCs w:val="20"/>
              </w:rPr>
            </w:pPr>
          </w:p>
        </w:tc>
        <w:tc>
          <w:tcPr>
            <w:tcW w:w="124" w:type="pct"/>
            <w:tcBorders>
              <w:top w:val="nil"/>
              <w:left w:val="nil"/>
              <w:bottom w:val="single" w:sz="4" w:space="0" w:color="auto"/>
              <w:right w:val="single" w:sz="4" w:space="0" w:color="auto"/>
            </w:tcBorders>
            <w:shd w:val="clear" w:color="auto" w:fill="auto"/>
            <w:noWrap/>
            <w:vAlign w:val="center"/>
          </w:tcPr>
          <w:p w14:paraId="069CA24D"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420B2A08"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41584860"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72DD720C"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41</w:t>
            </w:r>
          </w:p>
        </w:tc>
        <w:tc>
          <w:tcPr>
            <w:tcW w:w="172" w:type="pct"/>
            <w:tcBorders>
              <w:top w:val="nil"/>
              <w:left w:val="nil"/>
              <w:bottom w:val="single" w:sz="4" w:space="0" w:color="auto"/>
              <w:right w:val="single" w:sz="4" w:space="0" w:color="auto"/>
            </w:tcBorders>
            <w:shd w:val="clear" w:color="auto" w:fill="auto"/>
            <w:noWrap/>
            <w:vAlign w:val="center"/>
          </w:tcPr>
          <w:p w14:paraId="346D3B22"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11</w:t>
            </w:r>
          </w:p>
        </w:tc>
        <w:tc>
          <w:tcPr>
            <w:tcW w:w="193" w:type="pct"/>
            <w:tcBorders>
              <w:top w:val="single" w:sz="4" w:space="0" w:color="auto"/>
              <w:left w:val="nil"/>
              <w:bottom w:val="single" w:sz="4" w:space="0" w:color="auto"/>
              <w:right w:val="single" w:sz="4" w:space="0" w:color="auto"/>
            </w:tcBorders>
          </w:tcPr>
          <w:p w14:paraId="5D825C18"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13EF44"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164</w:t>
            </w:r>
          </w:p>
        </w:tc>
      </w:tr>
      <w:tr w:rsidR="001D4F0F" w:rsidRPr="001B4CA2" w14:paraId="55F63980"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0CC51BD9" w14:textId="77777777" w:rsidR="00743EF4" w:rsidRPr="001B4CA2" w:rsidRDefault="00743EF4" w:rsidP="00743EF4">
            <w:pPr>
              <w:jc w:val="left"/>
              <w:rPr>
                <w:bCs/>
                <w:sz w:val="16"/>
                <w:szCs w:val="16"/>
              </w:rPr>
            </w:pPr>
            <w:r w:rsidRPr="001B4CA2">
              <w:rPr>
                <w:bCs/>
                <w:sz w:val="16"/>
                <w:szCs w:val="16"/>
              </w:rPr>
              <w:t>Ministarstvo poljoprivrede</w:t>
            </w:r>
          </w:p>
        </w:tc>
        <w:tc>
          <w:tcPr>
            <w:tcW w:w="173" w:type="pct"/>
            <w:tcBorders>
              <w:top w:val="nil"/>
              <w:left w:val="nil"/>
              <w:bottom w:val="single" w:sz="4" w:space="0" w:color="auto"/>
              <w:right w:val="single" w:sz="4" w:space="0" w:color="auto"/>
            </w:tcBorders>
            <w:shd w:val="clear" w:color="auto" w:fill="auto"/>
            <w:noWrap/>
            <w:vAlign w:val="center"/>
          </w:tcPr>
          <w:p w14:paraId="00CA097C"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296</w:t>
            </w:r>
          </w:p>
        </w:tc>
        <w:tc>
          <w:tcPr>
            <w:tcW w:w="174" w:type="pct"/>
            <w:tcBorders>
              <w:top w:val="nil"/>
              <w:left w:val="nil"/>
              <w:bottom w:val="single" w:sz="4" w:space="0" w:color="auto"/>
              <w:right w:val="single" w:sz="4" w:space="0" w:color="auto"/>
            </w:tcBorders>
            <w:shd w:val="clear" w:color="auto" w:fill="auto"/>
            <w:noWrap/>
            <w:vAlign w:val="center"/>
          </w:tcPr>
          <w:p w14:paraId="61DA8F9E"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192</w:t>
            </w:r>
          </w:p>
        </w:tc>
        <w:tc>
          <w:tcPr>
            <w:tcW w:w="174" w:type="pct"/>
            <w:tcBorders>
              <w:top w:val="nil"/>
              <w:left w:val="nil"/>
              <w:bottom w:val="single" w:sz="4" w:space="0" w:color="auto"/>
              <w:right w:val="single" w:sz="4" w:space="0" w:color="auto"/>
            </w:tcBorders>
            <w:shd w:val="clear" w:color="auto" w:fill="auto"/>
            <w:noWrap/>
            <w:vAlign w:val="center"/>
          </w:tcPr>
          <w:p w14:paraId="18C49BBC"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4997397D"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2.198</w:t>
            </w:r>
          </w:p>
        </w:tc>
        <w:tc>
          <w:tcPr>
            <w:tcW w:w="204" w:type="pct"/>
            <w:tcBorders>
              <w:top w:val="nil"/>
              <w:left w:val="nil"/>
              <w:bottom w:val="single" w:sz="4" w:space="0" w:color="auto"/>
              <w:right w:val="single" w:sz="4" w:space="0" w:color="auto"/>
            </w:tcBorders>
            <w:shd w:val="clear" w:color="auto" w:fill="auto"/>
            <w:noWrap/>
            <w:vAlign w:val="center"/>
          </w:tcPr>
          <w:p w14:paraId="4985411C"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233</w:t>
            </w:r>
          </w:p>
        </w:tc>
        <w:tc>
          <w:tcPr>
            <w:tcW w:w="218" w:type="pct"/>
            <w:tcBorders>
              <w:top w:val="nil"/>
              <w:left w:val="nil"/>
              <w:bottom w:val="single" w:sz="4" w:space="0" w:color="auto"/>
              <w:right w:val="single" w:sz="4" w:space="0" w:color="auto"/>
            </w:tcBorders>
            <w:shd w:val="clear" w:color="auto" w:fill="auto"/>
            <w:noWrap/>
            <w:vAlign w:val="center"/>
          </w:tcPr>
          <w:p w14:paraId="181F9AB4"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114</w:t>
            </w:r>
          </w:p>
        </w:tc>
        <w:tc>
          <w:tcPr>
            <w:tcW w:w="219" w:type="pct"/>
            <w:tcBorders>
              <w:top w:val="nil"/>
              <w:left w:val="nil"/>
              <w:bottom w:val="single" w:sz="4" w:space="0" w:color="auto"/>
              <w:right w:val="single" w:sz="4" w:space="0" w:color="auto"/>
            </w:tcBorders>
            <w:shd w:val="clear" w:color="auto" w:fill="auto"/>
            <w:noWrap/>
            <w:vAlign w:val="center"/>
          </w:tcPr>
          <w:p w14:paraId="0F7EA277"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082B761E"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1.754</w:t>
            </w:r>
          </w:p>
        </w:tc>
        <w:tc>
          <w:tcPr>
            <w:tcW w:w="174" w:type="pct"/>
            <w:tcBorders>
              <w:top w:val="nil"/>
              <w:left w:val="nil"/>
              <w:bottom w:val="single" w:sz="4" w:space="0" w:color="auto"/>
              <w:right w:val="single" w:sz="4" w:space="0" w:color="auto"/>
            </w:tcBorders>
            <w:shd w:val="clear" w:color="auto" w:fill="auto"/>
            <w:noWrap/>
            <w:vAlign w:val="center"/>
          </w:tcPr>
          <w:p w14:paraId="065F09EF"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131" w:type="pct"/>
            <w:tcBorders>
              <w:top w:val="nil"/>
              <w:left w:val="nil"/>
              <w:bottom w:val="single" w:sz="4" w:space="0" w:color="auto"/>
              <w:right w:val="single" w:sz="4" w:space="0" w:color="auto"/>
            </w:tcBorders>
            <w:shd w:val="clear" w:color="auto" w:fill="auto"/>
            <w:noWrap/>
            <w:vAlign w:val="center"/>
          </w:tcPr>
          <w:p w14:paraId="070CCFAC"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2</w:t>
            </w:r>
          </w:p>
        </w:tc>
        <w:tc>
          <w:tcPr>
            <w:tcW w:w="219" w:type="pct"/>
            <w:tcBorders>
              <w:top w:val="nil"/>
              <w:left w:val="nil"/>
              <w:bottom w:val="single" w:sz="4" w:space="0" w:color="auto"/>
              <w:right w:val="single" w:sz="4" w:space="0" w:color="auto"/>
            </w:tcBorders>
            <w:shd w:val="clear" w:color="auto" w:fill="auto"/>
            <w:noWrap/>
            <w:vAlign w:val="center"/>
          </w:tcPr>
          <w:p w14:paraId="1187B5A8"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1E509C0A"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46</w:t>
            </w:r>
          </w:p>
        </w:tc>
        <w:tc>
          <w:tcPr>
            <w:tcW w:w="123" w:type="pct"/>
            <w:tcBorders>
              <w:top w:val="nil"/>
              <w:left w:val="nil"/>
              <w:bottom w:val="single" w:sz="4" w:space="0" w:color="auto"/>
              <w:right w:val="single" w:sz="4" w:space="0" w:color="auto"/>
            </w:tcBorders>
            <w:shd w:val="clear" w:color="auto" w:fill="auto"/>
            <w:noWrap/>
            <w:vAlign w:val="center"/>
          </w:tcPr>
          <w:p w14:paraId="157EF358"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424A23ED"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31511457"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0E860DE6"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47CFDE30"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124" w:type="pct"/>
            <w:tcBorders>
              <w:top w:val="nil"/>
              <w:left w:val="nil"/>
              <w:bottom w:val="single" w:sz="4" w:space="0" w:color="auto"/>
              <w:right w:val="single" w:sz="4" w:space="0" w:color="auto"/>
            </w:tcBorders>
            <w:shd w:val="clear" w:color="auto" w:fill="auto"/>
            <w:noWrap/>
            <w:vAlign w:val="center"/>
          </w:tcPr>
          <w:p w14:paraId="0C8BA2AB"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163" w:type="pct"/>
            <w:tcBorders>
              <w:top w:val="nil"/>
              <w:left w:val="nil"/>
              <w:bottom w:val="single" w:sz="4" w:space="0" w:color="auto"/>
              <w:right w:val="single" w:sz="4" w:space="0" w:color="auto"/>
            </w:tcBorders>
            <w:shd w:val="clear" w:color="auto" w:fill="auto"/>
            <w:noWrap/>
            <w:vAlign w:val="center"/>
          </w:tcPr>
          <w:p w14:paraId="63EC3BAE"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78BA7FF0"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5</w:t>
            </w:r>
          </w:p>
        </w:tc>
        <w:tc>
          <w:tcPr>
            <w:tcW w:w="209" w:type="pct"/>
            <w:tcBorders>
              <w:top w:val="nil"/>
              <w:left w:val="nil"/>
              <w:bottom w:val="single" w:sz="4" w:space="0" w:color="auto"/>
              <w:right w:val="single" w:sz="4" w:space="0" w:color="auto"/>
            </w:tcBorders>
            <w:shd w:val="clear" w:color="auto" w:fill="auto"/>
            <w:noWrap/>
            <w:vAlign w:val="center"/>
          </w:tcPr>
          <w:p w14:paraId="25CB1273"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531</w:t>
            </w:r>
          </w:p>
        </w:tc>
        <w:tc>
          <w:tcPr>
            <w:tcW w:w="172" w:type="pct"/>
            <w:tcBorders>
              <w:top w:val="nil"/>
              <w:left w:val="nil"/>
              <w:bottom w:val="single" w:sz="4" w:space="0" w:color="auto"/>
              <w:right w:val="single" w:sz="4" w:space="0" w:color="auto"/>
            </w:tcBorders>
            <w:shd w:val="clear" w:color="auto" w:fill="auto"/>
            <w:noWrap/>
            <w:vAlign w:val="center"/>
          </w:tcPr>
          <w:p w14:paraId="7A8F8DC8"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309</w:t>
            </w:r>
          </w:p>
        </w:tc>
        <w:tc>
          <w:tcPr>
            <w:tcW w:w="193" w:type="pct"/>
            <w:tcBorders>
              <w:top w:val="single" w:sz="4" w:space="0" w:color="auto"/>
              <w:left w:val="nil"/>
              <w:bottom w:val="single" w:sz="4" w:space="0" w:color="auto"/>
              <w:right w:val="single" w:sz="4" w:space="0" w:color="auto"/>
            </w:tcBorders>
          </w:tcPr>
          <w:p w14:paraId="703F20D9"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DC13F3"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4.003</w:t>
            </w:r>
          </w:p>
        </w:tc>
      </w:tr>
      <w:tr w:rsidR="001D4F0F" w:rsidRPr="001B4CA2" w14:paraId="01120090"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6208D6BD" w14:textId="77777777" w:rsidR="00743EF4" w:rsidRPr="001B4CA2" w:rsidRDefault="00743EF4" w:rsidP="00743EF4">
            <w:pPr>
              <w:jc w:val="left"/>
              <w:rPr>
                <w:bCs/>
                <w:sz w:val="16"/>
                <w:szCs w:val="16"/>
              </w:rPr>
            </w:pPr>
            <w:r w:rsidRPr="001B4CA2">
              <w:rPr>
                <w:bCs/>
                <w:sz w:val="16"/>
                <w:szCs w:val="16"/>
              </w:rPr>
              <w:t>Ministarstvo turizma i sporta</w:t>
            </w:r>
          </w:p>
        </w:tc>
        <w:tc>
          <w:tcPr>
            <w:tcW w:w="173" w:type="pct"/>
            <w:tcBorders>
              <w:top w:val="nil"/>
              <w:left w:val="nil"/>
              <w:bottom w:val="single" w:sz="4" w:space="0" w:color="auto"/>
              <w:right w:val="single" w:sz="4" w:space="0" w:color="auto"/>
            </w:tcBorders>
            <w:shd w:val="clear" w:color="auto" w:fill="auto"/>
            <w:noWrap/>
            <w:vAlign w:val="center"/>
          </w:tcPr>
          <w:p w14:paraId="0822F871"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40A1AA1E"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15081B0A"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730215D0"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320BBBD5" w14:textId="77777777" w:rsidR="00743EF4" w:rsidRPr="001B4CA2" w:rsidRDefault="00743EF4" w:rsidP="00743EF4">
            <w:pPr>
              <w:jc w:val="center"/>
              <w:rPr>
                <w:rFonts w:ascii="Calibri" w:hAnsi="Calibri" w:cs="Calibri"/>
                <w:color w:val="000000"/>
                <w:sz w:val="18"/>
                <w:szCs w:val="18"/>
              </w:rPr>
            </w:pPr>
          </w:p>
        </w:tc>
        <w:tc>
          <w:tcPr>
            <w:tcW w:w="218" w:type="pct"/>
            <w:tcBorders>
              <w:top w:val="nil"/>
              <w:left w:val="nil"/>
              <w:bottom w:val="single" w:sz="4" w:space="0" w:color="auto"/>
              <w:right w:val="single" w:sz="4" w:space="0" w:color="auto"/>
            </w:tcBorders>
            <w:shd w:val="clear" w:color="auto" w:fill="auto"/>
            <w:noWrap/>
            <w:vAlign w:val="center"/>
          </w:tcPr>
          <w:p w14:paraId="0731AA2E"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175A6B59"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02D4F77F" w14:textId="77777777" w:rsidR="00743EF4" w:rsidRPr="001B4CA2" w:rsidRDefault="00743EF4" w:rsidP="00743EF4">
            <w:pPr>
              <w:jc w:val="center"/>
              <w:rPr>
                <w:rFonts w:ascii="Calibri" w:hAnsi="Calibri" w:cs="Calibri"/>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3F278586" w14:textId="77777777" w:rsidR="00743EF4" w:rsidRPr="001B4CA2" w:rsidRDefault="00743EF4" w:rsidP="00743EF4">
            <w:pPr>
              <w:jc w:val="center"/>
              <w:rPr>
                <w:rFonts w:ascii="Calibri" w:hAnsi="Calibri" w:cs="Calibri"/>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tcPr>
          <w:p w14:paraId="6A3A3CF9" w14:textId="77777777" w:rsidR="00743EF4" w:rsidRPr="001B4CA2" w:rsidRDefault="00743EF4" w:rsidP="00743EF4">
            <w:pPr>
              <w:jc w:val="center"/>
              <w:rPr>
                <w:rFonts w:ascii="Calibri" w:hAnsi="Calibri" w:cs="Calibri"/>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14:paraId="5741FE63"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19C90551" w14:textId="77777777" w:rsidR="00743EF4" w:rsidRPr="001B4CA2" w:rsidRDefault="00743EF4" w:rsidP="00743EF4">
            <w:pPr>
              <w:jc w:val="center"/>
              <w:rPr>
                <w:rFonts w:ascii="Calibri" w:hAnsi="Calibri" w:cs="Calibri"/>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4FDDB6BD"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07B840FD"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42A1D299"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55190342"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3B9EE659" w14:textId="77777777" w:rsidR="00743EF4" w:rsidRPr="001B4CA2" w:rsidRDefault="00743EF4" w:rsidP="00743EF4">
            <w:pPr>
              <w:jc w:val="center"/>
              <w:rPr>
                <w:rFonts w:ascii="Calibri" w:hAnsi="Calibri" w:cs="Calibri"/>
                <w:color w:val="000000"/>
                <w:sz w:val="20"/>
                <w:szCs w:val="20"/>
              </w:rPr>
            </w:pPr>
          </w:p>
        </w:tc>
        <w:tc>
          <w:tcPr>
            <w:tcW w:w="124" w:type="pct"/>
            <w:tcBorders>
              <w:top w:val="nil"/>
              <w:left w:val="nil"/>
              <w:bottom w:val="single" w:sz="4" w:space="0" w:color="auto"/>
              <w:right w:val="single" w:sz="4" w:space="0" w:color="auto"/>
            </w:tcBorders>
            <w:shd w:val="clear" w:color="auto" w:fill="auto"/>
            <w:noWrap/>
            <w:vAlign w:val="center"/>
          </w:tcPr>
          <w:p w14:paraId="59F7C956"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11F3BC64"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4E8EFB21"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5E4500AC" w14:textId="77777777" w:rsidR="00743EF4" w:rsidRPr="001B4CA2" w:rsidRDefault="00743EF4" w:rsidP="00743EF4">
            <w:pPr>
              <w:jc w:val="center"/>
              <w:rPr>
                <w:rFonts w:ascii="Calibri" w:hAnsi="Calibri" w:cs="Calibri"/>
                <w:bCs/>
                <w:color w:val="000000"/>
                <w:sz w:val="18"/>
                <w:szCs w:val="18"/>
              </w:rPr>
            </w:pPr>
          </w:p>
        </w:tc>
        <w:tc>
          <w:tcPr>
            <w:tcW w:w="172" w:type="pct"/>
            <w:tcBorders>
              <w:top w:val="nil"/>
              <w:left w:val="nil"/>
              <w:bottom w:val="single" w:sz="4" w:space="0" w:color="auto"/>
              <w:right w:val="single" w:sz="4" w:space="0" w:color="auto"/>
            </w:tcBorders>
            <w:shd w:val="clear" w:color="auto" w:fill="auto"/>
            <w:noWrap/>
            <w:vAlign w:val="center"/>
          </w:tcPr>
          <w:p w14:paraId="18379E9A" w14:textId="77777777" w:rsidR="00743EF4" w:rsidRPr="001B4CA2" w:rsidRDefault="00743EF4" w:rsidP="00743EF4">
            <w:pPr>
              <w:jc w:val="center"/>
              <w:rPr>
                <w:rFonts w:ascii="Calibri" w:hAnsi="Calibri" w:cs="Calibri"/>
                <w:bCs/>
                <w:color w:val="000000"/>
                <w:sz w:val="18"/>
                <w:szCs w:val="18"/>
              </w:rPr>
            </w:pPr>
          </w:p>
        </w:tc>
        <w:tc>
          <w:tcPr>
            <w:tcW w:w="193" w:type="pct"/>
            <w:tcBorders>
              <w:top w:val="single" w:sz="4" w:space="0" w:color="auto"/>
              <w:left w:val="nil"/>
              <w:bottom w:val="single" w:sz="4" w:space="0" w:color="auto"/>
              <w:right w:val="single" w:sz="4" w:space="0" w:color="auto"/>
            </w:tcBorders>
          </w:tcPr>
          <w:p w14:paraId="28CC44CD"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F78318F" w14:textId="77777777" w:rsidR="00743EF4" w:rsidRPr="001B4CA2" w:rsidRDefault="00743EF4" w:rsidP="00743EF4">
            <w:pPr>
              <w:jc w:val="center"/>
              <w:rPr>
                <w:rFonts w:ascii="Calibri" w:hAnsi="Calibri" w:cs="Calibri"/>
                <w:b/>
                <w:bCs/>
                <w:color w:val="000000"/>
                <w:sz w:val="18"/>
                <w:szCs w:val="18"/>
              </w:rPr>
            </w:pPr>
          </w:p>
        </w:tc>
      </w:tr>
      <w:tr w:rsidR="001D4F0F" w:rsidRPr="001B4CA2" w14:paraId="3679EE84"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2AAC3DF9" w14:textId="77777777" w:rsidR="00743EF4" w:rsidRPr="001B4CA2" w:rsidRDefault="00743EF4" w:rsidP="00743EF4">
            <w:pPr>
              <w:jc w:val="left"/>
              <w:rPr>
                <w:bCs/>
                <w:sz w:val="16"/>
                <w:szCs w:val="16"/>
              </w:rPr>
            </w:pPr>
            <w:r w:rsidRPr="001B4CA2">
              <w:rPr>
                <w:bCs/>
                <w:sz w:val="16"/>
                <w:szCs w:val="16"/>
              </w:rPr>
              <w:t xml:space="preserve">Ministarstvo znanosti i obrazovanja </w:t>
            </w:r>
          </w:p>
        </w:tc>
        <w:tc>
          <w:tcPr>
            <w:tcW w:w="173" w:type="pct"/>
            <w:tcBorders>
              <w:top w:val="nil"/>
              <w:left w:val="nil"/>
              <w:bottom w:val="single" w:sz="4" w:space="0" w:color="auto"/>
              <w:right w:val="single" w:sz="4" w:space="0" w:color="auto"/>
            </w:tcBorders>
            <w:shd w:val="clear" w:color="auto" w:fill="auto"/>
            <w:noWrap/>
            <w:vAlign w:val="center"/>
          </w:tcPr>
          <w:p w14:paraId="2CD25300"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1BC6E84D"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38CAA422"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5107797D"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26CC9D5C"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5</w:t>
            </w:r>
          </w:p>
        </w:tc>
        <w:tc>
          <w:tcPr>
            <w:tcW w:w="218" w:type="pct"/>
            <w:tcBorders>
              <w:top w:val="nil"/>
              <w:left w:val="nil"/>
              <w:bottom w:val="single" w:sz="4" w:space="0" w:color="auto"/>
              <w:right w:val="single" w:sz="4" w:space="0" w:color="auto"/>
            </w:tcBorders>
            <w:shd w:val="clear" w:color="auto" w:fill="auto"/>
            <w:noWrap/>
            <w:vAlign w:val="center"/>
          </w:tcPr>
          <w:p w14:paraId="12BD89F2"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0C61D33F"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1FF1D28F" w14:textId="77777777" w:rsidR="00743EF4" w:rsidRPr="001B4CA2" w:rsidRDefault="00743EF4" w:rsidP="00743EF4">
            <w:pPr>
              <w:jc w:val="center"/>
              <w:rPr>
                <w:rFonts w:ascii="Calibri" w:hAnsi="Calibri" w:cs="Calibri"/>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1B27740B" w14:textId="77777777" w:rsidR="00743EF4" w:rsidRPr="001B4CA2" w:rsidRDefault="00743EF4" w:rsidP="00743EF4">
            <w:pPr>
              <w:jc w:val="center"/>
              <w:rPr>
                <w:rFonts w:ascii="Calibri" w:hAnsi="Calibri" w:cs="Calibri"/>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tcPr>
          <w:p w14:paraId="539B9765" w14:textId="77777777" w:rsidR="00743EF4" w:rsidRPr="001B4CA2" w:rsidRDefault="00743EF4" w:rsidP="00743EF4">
            <w:pPr>
              <w:jc w:val="center"/>
              <w:rPr>
                <w:rFonts w:ascii="Calibri" w:hAnsi="Calibri" w:cs="Calibri"/>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14:paraId="130BEFE3"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4BFE840C" w14:textId="77777777" w:rsidR="00743EF4" w:rsidRPr="001B4CA2" w:rsidRDefault="00743EF4" w:rsidP="00743EF4">
            <w:pPr>
              <w:jc w:val="center"/>
              <w:rPr>
                <w:rFonts w:ascii="Calibri" w:hAnsi="Calibri" w:cs="Calibri"/>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7E1C9D1E"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2AC48328"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4FE867BA"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21E02E61"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305FF09E" w14:textId="77777777" w:rsidR="00743EF4" w:rsidRPr="001B4CA2" w:rsidRDefault="00743EF4" w:rsidP="00743EF4">
            <w:pPr>
              <w:jc w:val="center"/>
              <w:rPr>
                <w:rFonts w:ascii="Calibri" w:hAnsi="Calibri" w:cs="Calibri"/>
                <w:color w:val="000000"/>
                <w:sz w:val="20"/>
                <w:szCs w:val="20"/>
              </w:rPr>
            </w:pPr>
          </w:p>
        </w:tc>
        <w:tc>
          <w:tcPr>
            <w:tcW w:w="124" w:type="pct"/>
            <w:tcBorders>
              <w:top w:val="nil"/>
              <w:left w:val="nil"/>
              <w:bottom w:val="single" w:sz="4" w:space="0" w:color="auto"/>
              <w:right w:val="single" w:sz="4" w:space="0" w:color="auto"/>
            </w:tcBorders>
            <w:shd w:val="clear" w:color="auto" w:fill="auto"/>
            <w:noWrap/>
            <w:vAlign w:val="center"/>
          </w:tcPr>
          <w:p w14:paraId="6B9EABC5"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4130A49E"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02282B93"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5A1C68A3"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5</w:t>
            </w:r>
          </w:p>
        </w:tc>
        <w:tc>
          <w:tcPr>
            <w:tcW w:w="172" w:type="pct"/>
            <w:tcBorders>
              <w:top w:val="nil"/>
              <w:left w:val="nil"/>
              <w:bottom w:val="single" w:sz="4" w:space="0" w:color="auto"/>
              <w:right w:val="single" w:sz="4" w:space="0" w:color="auto"/>
            </w:tcBorders>
            <w:shd w:val="clear" w:color="auto" w:fill="auto"/>
            <w:noWrap/>
            <w:vAlign w:val="center"/>
          </w:tcPr>
          <w:p w14:paraId="0EE724F0" w14:textId="77777777" w:rsidR="00743EF4" w:rsidRPr="001B4CA2" w:rsidRDefault="00743EF4" w:rsidP="00743EF4">
            <w:pPr>
              <w:jc w:val="center"/>
              <w:rPr>
                <w:rFonts w:ascii="Calibri" w:hAnsi="Calibri" w:cs="Calibri"/>
                <w:bCs/>
                <w:color w:val="000000"/>
                <w:sz w:val="18"/>
                <w:szCs w:val="18"/>
              </w:rPr>
            </w:pPr>
          </w:p>
        </w:tc>
        <w:tc>
          <w:tcPr>
            <w:tcW w:w="193" w:type="pct"/>
            <w:tcBorders>
              <w:top w:val="single" w:sz="4" w:space="0" w:color="auto"/>
              <w:left w:val="nil"/>
              <w:bottom w:val="single" w:sz="4" w:space="0" w:color="auto"/>
              <w:right w:val="single" w:sz="4" w:space="0" w:color="auto"/>
            </w:tcBorders>
          </w:tcPr>
          <w:p w14:paraId="5480CEFF"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91F53C" w14:textId="77777777" w:rsidR="00743EF4" w:rsidRPr="001B4CA2" w:rsidRDefault="00743EF4" w:rsidP="00743EF4">
            <w:pPr>
              <w:jc w:val="center"/>
              <w:rPr>
                <w:rFonts w:ascii="Calibri" w:hAnsi="Calibri" w:cs="Calibri"/>
                <w:b/>
                <w:bCs/>
                <w:color w:val="000000"/>
                <w:sz w:val="18"/>
                <w:szCs w:val="18"/>
              </w:rPr>
            </w:pPr>
          </w:p>
        </w:tc>
      </w:tr>
      <w:tr w:rsidR="001D4F0F" w:rsidRPr="001B4CA2" w14:paraId="1A18DD95"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7EC01132" w14:textId="77777777" w:rsidR="00743EF4" w:rsidRPr="001B4CA2" w:rsidRDefault="00743EF4" w:rsidP="00743EF4">
            <w:pPr>
              <w:jc w:val="left"/>
              <w:rPr>
                <w:bCs/>
                <w:sz w:val="16"/>
                <w:szCs w:val="16"/>
              </w:rPr>
            </w:pPr>
            <w:r w:rsidRPr="001B4CA2">
              <w:rPr>
                <w:bCs/>
                <w:sz w:val="16"/>
                <w:szCs w:val="16"/>
              </w:rPr>
              <w:t>Ministarstvo kulture i medija</w:t>
            </w:r>
          </w:p>
        </w:tc>
        <w:tc>
          <w:tcPr>
            <w:tcW w:w="173" w:type="pct"/>
            <w:tcBorders>
              <w:top w:val="nil"/>
              <w:left w:val="nil"/>
              <w:bottom w:val="single" w:sz="4" w:space="0" w:color="auto"/>
              <w:right w:val="single" w:sz="4" w:space="0" w:color="auto"/>
            </w:tcBorders>
            <w:shd w:val="clear" w:color="auto" w:fill="auto"/>
            <w:noWrap/>
            <w:vAlign w:val="center"/>
          </w:tcPr>
          <w:p w14:paraId="2960A3CD"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7B78B407"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609F7876"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60DD33E3"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211C7052"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w:t>
            </w:r>
          </w:p>
        </w:tc>
        <w:tc>
          <w:tcPr>
            <w:tcW w:w="218" w:type="pct"/>
            <w:tcBorders>
              <w:top w:val="nil"/>
              <w:left w:val="nil"/>
              <w:bottom w:val="single" w:sz="4" w:space="0" w:color="auto"/>
              <w:right w:val="single" w:sz="4" w:space="0" w:color="auto"/>
            </w:tcBorders>
            <w:shd w:val="clear" w:color="auto" w:fill="auto"/>
            <w:noWrap/>
            <w:vAlign w:val="center"/>
          </w:tcPr>
          <w:p w14:paraId="5B0DBFFF"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398B7B0B"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36FC33EE" w14:textId="77777777" w:rsidR="00743EF4" w:rsidRPr="001B4CA2" w:rsidRDefault="00743EF4" w:rsidP="00743EF4">
            <w:pPr>
              <w:jc w:val="center"/>
              <w:rPr>
                <w:rFonts w:ascii="Calibri" w:hAnsi="Calibri" w:cs="Calibri"/>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046110A0" w14:textId="77777777" w:rsidR="00743EF4" w:rsidRPr="001B4CA2" w:rsidRDefault="00743EF4" w:rsidP="00743EF4">
            <w:pPr>
              <w:jc w:val="center"/>
              <w:rPr>
                <w:rFonts w:ascii="Calibri" w:hAnsi="Calibri" w:cs="Calibri"/>
                <w:color w:val="000000"/>
                <w:sz w:val="20"/>
                <w:szCs w:val="20"/>
              </w:rPr>
            </w:pPr>
          </w:p>
        </w:tc>
        <w:tc>
          <w:tcPr>
            <w:tcW w:w="131" w:type="pct"/>
            <w:tcBorders>
              <w:top w:val="nil"/>
              <w:left w:val="nil"/>
              <w:bottom w:val="single" w:sz="4" w:space="0" w:color="auto"/>
              <w:right w:val="single" w:sz="4" w:space="0" w:color="auto"/>
            </w:tcBorders>
            <w:shd w:val="clear" w:color="auto" w:fill="auto"/>
            <w:noWrap/>
            <w:vAlign w:val="center"/>
          </w:tcPr>
          <w:p w14:paraId="1AC77177" w14:textId="77777777" w:rsidR="00743EF4" w:rsidRPr="001B4CA2" w:rsidRDefault="00743EF4" w:rsidP="00743EF4">
            <w:pPr>
              <w:jc w:val="center"/>
              <w:rPr>
                <w:rFonts w:ascii="Calibri" w:hAnsi="Calibri" w:cs="Calibri"/>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14:paraId="7058A391"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1387DA81" w14:textId="77777777" w:rsidR="00743EF4" w:rsidRPr="001B4CA2" w:rsidRDefault="00743EF4" w:rsidP="00743EF4">
            <w:pPr>
              <w:jc w:val="center"/>
              <w:rPr>
                <w:rFonts w:ascii="Calibri" w:hAnsi="Calibri" w:cs="Calibri"/>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5DD63ED5"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7F356584"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3E84679F"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7888238A"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19C84ABD" w14:textId="77777777" w:rsidR="00743EF4" w:rsidRPr="001B4CA2" w:rsidRDefault="00743EF4" w:rsidP="00743EF4">
            <w:pPr>
              <w:jc w:val="center"/>
              <w:rPr>
                <w:rFonts w:ascii="Calibri" w:hAnsi="Calibri" w:cs="Calibri"/>
                <w:color w:val="000000"/>
                <w:sz w:val="20"/>
                <w:szCs w:val="20"/>
              </w:rPr>
            </w:pPr>
          </w:p>
        </w:tc>
        <w:tc>
          <w:tcPr>
            <w:tcW w:w="124" w:type="pct"/>
            <w:tcBorders>
              <w:top w:val="nil"/>
              <w:left w:val="nil"/>
              <w:bottom w:val="single" w:sz="4" w:space="0" w:color="auto"/>
              <w:right w:val="single" w:sz="4" w:space="0" w:color="auto"/>
            </w:tcBorders>
            <w:shd w:val="clear" w:color="auto" w:fill="auto"/>
            <w:noWrap/>
            <w:vAlign w:val="center"/>
          </w:tcPr>
          <w:p w14:paraId="33E7F3D3"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6481C436"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61512E4C"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0269FBEB"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1</w:t>
            </w:r>
          </w:p>
        </w:tc>
        <w:tc>
          <w:tcPr>
            <w:tcW w:w="172" w:type="pct"/>
            <w:tcBorders>
              <w:top w:val="nil"/>
              <w:left w:val="nil"/>
              <w:bottom w:val="single" w:sz="4" w:space="0" w:color="auto"/>
              <w:right w:val="single" w:sz="4" w:space="0" w:color="auto"/>
            </w:tcBorders>
            <w:shd w:val="clear" w:color="auto" w:fill="auto"/>
            <w:noWrap/>
            <w:vAlign w:val="center"/>
          </w:tcPr>
          <w:p w14:paraId="36F225D6" w14:textId="77777777" w:rsidR="00743EF4" w:rsidRPr="001B4CA2" w:rsidRDefault="00743EF4" w:rsidP="00743EF4">
            <w:pPr>
              <w:jc w:val="center"/>
              <w:rPr>
                <w:rFonts w:ascii="Calibri" w:hAnsi="Calibri" w:cs="Calibri"/>
                <w:bCs/>
                <w:color w:val="000000"/>
                <w:sz w:val="18"/>
                <w:szCs w:val="18"/>
              </w:rPr>
            </w:pPr>
          </w:p>
        </w:tc>
        <w:tc>
          <w:tcPr>
            <w:tcW w:w="193" w:type="pct"/>
            <w:tcBorders>
              <w:top w:val="single" w:sz="4" w:space="0" w:color="auto"/>
              <w:left w:val="nil"/>
              <w:bottom w:val="single" w:sz="4" w:space="0" w:color="auto"/>
              <w:right w:val="single" w:sz="4" w:space="0" w:color="auto"/>
            </w:tcBorders>
          </w:tcPr>
          <w:p w14:paraId="02A256D1"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8E952C3" w14:textId="77777777" w:rsidR="00743EF4" w:rsidRPr="001B4CA2" w:rsidRDefault="00743EF4" w:rsidP="00743EF4">
            <w:pPr>
              <w:jc w:val="center"/>
              <w:rPr>
                <w:rFonts w:ascii="Calibri" w:hAnsi="Calibri" w:cs="Calibri"/>
                <w:b/>
                <w:bCs/>
                <w:color w:val="000000"/>
                <w:sz w:val="18"/>
                <w:szCs w:val="18"/>
              </w:rPr>
            </w:pPr>
          </w:p>
        </w:tc>
      </w:tr>
      <w:tr w:rsidR="001D4F0F" w:rsidRPr="001B4CA2" w14:paraId="57D53BF1"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46F96655" w14:textId="77777777" w:rsidR="00743EF4" w:rsidRPr="001B4CA2" w:rsidRDefault="00743EF4" w:rsidP="00743EF4">
            <w:pPr>
              <w:jc w:val="left"/>
              <w:rPr>
                <w:bCs/>
                <w:sz w:val="16"/>
                <w:szCs w:val="16"/>
              </w:rPr>
            </w:pPr>
            <w:r w:rsidRPr="001B4CA2">
              <w:rPr>
                <w:bCs/>
                <w:sz w:val="16"/>
                <w:szCs w:val="16"/>
              </w:rPr>
              <w:t xml:space="preserve">Središnji državni ured za obnovu i stambeno zbrinjavanje </w:t>
            </w:r>
          </w:p>
        </w:tc>
        <w:tc>
          <w:tcPr>
            <w:tcW w:w="173" w:type="pct"/>
            <w:tcBorders>
              <w:top w:val="nil"/>
              <w:left w:val="nil"/>
              <w:bottom w:val="single" w:sz="4" w:space="0" w:color="auto"/>
              <w:right w:val="single" w:sz="4" w:space="0" w:color="auto"/>
            </w:tcBorders>
            <w:shd w:val="clear" w:color="auto" w:fill="auto"/>
            <w:noWrap/>
            <w:vAlign w:val="center"/>
          </w:tcPr>
          <w:p w14:paraId="68D7B679"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25</w:t>
            </w:r>
          </w:p>
        </w:tc>
        <w:tc>
          <w:tcPr>
            <w:tcW w:w="174" w:type="pct"/>
            <w:tcBorders>
              <w:top w:val="nil"/>
              <w:left w:val="nil"/>
              <w:bottom w:val="single" w:sz="4" w:space="0" w:color="auto"/>
              <w:right w:val="single" w:sz="4" w:space="0" w:color="auto"/>
            </w:tcBorders>
            <w:shd w:val="clear" w:color="auto" w:fill="auto"/>
            <w:noWrap/>
            <w:vAlign w:val="center"/>
          </w:tcPr>
          <w:p w14:paraId="368039DE"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7038C16D"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4C617340"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518F3371"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223</w:t>
            </w:r>
          </w:p>
        </w:tc>
        <w:tc>
          <w:tcPr>
            <w:tcW w:w="218" w:type="pct"/>
            <w:tcBorders>
              <w:top w:val="nil"/>
              <w:left w:val="nil"/>
              <w:bottom w:val="single" w:sz="4" w:space="0" w:color="auto"/>
              <w:right w:val="single" w:sz="4" w:space="0" w:color="auto"/>
            </w:tcBorders>
            <w:shd w:val="clear" w:color="auto" w:fill="auto"/>
            <w:noWrap/>
            <w:vAlign w:val="center"/>
          </w:tcPr>
          <w:p w14:paraId="7DB5640B"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8</w:t>
            </w:r>
          </w:p>
        </w:tc>
        <w:tc>
          <w:tcPr>
            <w:tcW w:w="219" w:type="pct"/>
            <w:tcBorders>
              <w:top w:val="nil"/>
              <w:left w:val="nil"/>
              <w:bottom w:val="single" w:sz="4" w:space="0" w:color="auto"/>
              <w:right w:val="single" w:sz="4" w:space="0" w:color="auto"/>
            </w:tcBorders>
            <w:shd w:val="clear" w:color="auto" w:fill="auto"/>
            <w:noWrap/>
            <w:vAlign w:val="center"/>
          </w:tcPr>
          <w:p w14:paraId="32CBECB6"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5444DF8D"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95</w:t>
            </w:r>
          </w:p>
        </w:tc>
        <w:tc>
          <w:tcPr>
            <w:tcW w:w="174" w:type="pct"/>
            <w:tcBorders>
              <w:top w:val="nil"/>
              <w:left w:val="nil"/>
              <w:bottom w:val="single" w:sz="4" w:space="0" w:color="auto"/>
              <w:right w:val="single" w:sz="4" w:space="0" w:color="auto"/>
            </w:tcBorders>
            <w:shd w:val="clear" w:color="auto" w:fill="auto"/>
            <w:noWrap/>
            <w:vAlign w:val="center"/>
          </w:tcPr>
          <w:p w14:paraId="71411177"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16</w:t>
            </w:r>
          </w:p>
        </w:tc>
        <w:tc>
          <w:tcPr>
            <w:tcW w:w="131" w:type="pct"/>
            <w:tcBorders>
              <w:top w:val="nil"/>
              <w:left w:val="nil"/>
              <w:bottom w:val="single" w:sz="4" w:space="0" w:color="auto"/>
              <w:right w:val="single" w:sz="4" w:space="0" w:color="auto"/>
            </w:tcBorders>
            <w:shd w:val="clear" w:color="auto" w:fill="auto"/>
            <w:noWrap/>
            <w:vAlign w:val="center"/>
          </w:tcPr>
          <w:p w14:paraId="6847FBFD" w14:textId="77777777" w:rsidR="00743EF4" w:rsidRPr="001B4CA2" w:rsidRDefault="00743EF4" w:rsidP="00743EF4">
            <w:pPr>
              <w:jc w:val="center"/>
              <w:rPr>
                <w:rFonts w:ascii="Calibri" w:hAnsi="Calibri" w:cs="Calibri"/>
                <w:color w:val="000000"/>
                <w:sz w:val="20"/>
                <w:szCs w:val="20"/>
              </w:rPr>
            </w:pPr>
          </w:p>
        </w:tc>
        <w:tc>
          <w:tcPr>
            <w:tcW w:w="219" w:type="pct"/>
            <w:tcBorders>
              <w:top w:val="nil"/>
              <w:left w:val="nil"/>
              <w:bottom w:val="single" w:sz="4" w:space="0" w:color="auto"/>
              <w:right w:val="single" w:sz="4" w:space="0" w:color="auto"/>
            </w:tcBorders>
            <w:shd w:val="clear" w:color="auto" w:fill="auto"/>
            <w:noWrap/>
            <w:vAlign w:val="center"/>
          </w:tcPr>
          <w:p w14:paraId="2C9AF932"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5056B64D" w14:textId="77777777" w:rsidR="00743EF4" w:rsidRPr="001B4CA2" w:rsidRDefault="00743EF4" w:rsidP="00743EF4">
            <w:pPr>
              <w:jc w:val="center"/>
              <w:rPr>
                <w:rFonts w:ascii="Calibri" w:hAnsi="Calibri" w:cs="Calibri"/>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299C7839"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72BCEAC9"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5488172E"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03EE2ACA"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62EC2A26"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18</w:t>
            </w:r>
          </w:p>
        </w:tc>
        <w:tc>
          <w:tcPr>
            <w:tcW w:w="124" w:type="pct"/>
            <w:tcBorders>
              <w:top w:val="nil"/>
              <w:left w:val="nil"/>
              <w:bottom w:val="single" w:sz="4" w:space="0" w:color="auto"/>
              <w:right w:val="single" w:sz="4" w:space="0" w:color="auto"/>
            </w:tcBorders>
            <w:shd w:val="clear" w:color="auto" w:fill="auto"/>
            <w:noWrap/>
            <w:vAlign w:val="center"/>
          </w:tcPr>
          <w:p w14:paraId="1919D870"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0F90F1FE"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46A064AE"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12434506"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282</w:t>
            </w:r>
          </w:p>
        </w:tc>
        <w:tc>
          <w:tcPr>
            <w:tcW w:w="172" w:type="pct"/>
            <w:tcBorders>
              <w:top w:val="nil"/>
              <w:left w:val="nil"/>
              <w:bottom w:val="single" w:sz="4" w:space="0" w:color="auto"/>
              <w:right w:val="single" w:sz="4" w:space="0" w:color="auto"/>
            </w:tcBorders>
            <w:shd w:val="clear" w:color="auto" w:fill="auto"/>
            <w:noWrap/>
            <w:vAlign w:val="center"/>
          </w:tcPr>
          <w:p w14:paraId="39BBBA8A"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8</w:t>
            </w:r>
          </w:p>
        </w:tc>
        <w:tc>
          <w:tcPr>
            <w:tcW w:w="193" w:type="pct"/>
            <w:tcBorders>
              <w:top w:val="single" w:sz="4" w:space="0" w:color="auto"/>
              <w:left w:val="nil"/>
              <w:bottom w:val="single" w:sz="4" w:space="0" w:color="auto"/>
              <w:right w:val="single" w:sz="4" w:space="0" w:color="auto"/>
            </w:tcBorders>
          </w:tcPr>
          <w:p w14:paraId="71F02549"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D3439A"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95</w:t>
            </w:r>
          </w:p>
        </w:tc>
      </w:tr>
      <w:tr w:rsidR="001D4F0F" w:rsidRPr="001B4CA2" w14:paraId="458ED226"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2A6973F4" w14:textId="77777777" w:rsidR="00743EF4" w:rsidRPr="001B4CA2" w:rsidRDefault="00743EF4" w:rsidP="00743EF4">
            <w:pPr>
              <w:jc w:val="left"/>
              <w:rPr>
                <w:bCs/>
                <w:sz w:val="16"/>
                <w:szCs w:val="16"/>
              </w:rPr>
            </w:pPr>
            <w:r w:rsidRPr="001B4CA2">
              <w:rPr>
                <w:bCs/>
                <w:sz w:val="16"/>
                <w:szCs w:val="16"/>
              </w:rPr>
              <w:t>Državne nekretnine d.o.o.</w:t>
            </w:r>
          </w:p>
        </w:tc>
        <w:tc>
          <w:tcPr>
            <w:tcW w:w="173" w:type="pct"/>
            <w:tcBorders>
              <w:top w:val="nil"/>
              <w:left w:val="nil"/>
              <w:bottom w:val="single" w:sz="4" w:space="0" w:color="auto"/>
              <w:right w:val="single" w:sz="4" w:space="0" w:color="auto"/>
            </w:tcBorders>
            <w:shd w:val="clear" w:color="auto" w:fill="auto"/>
            <w:noWrap/>
            <w:vAlign w:val="center"/>
          </w:tcPr>
          <w:p w14:paraId="2A922498"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42</w:t>
            </w:r>
          </w:p>
        </w:tc>
        <w:tc>
          <w:tcPr>
            <w:tcW w:w="174" w:type="pct"/>
            <w:tcBorders>
              <w:top w:val="nil"/>
              <w:left w:val="nil"/>
              <w:bottom w:val="single" w:sz="4" w:space="0" w:color="auto"/>
              <w:right w:val="single" w:sz="4" w:space="0" w:color="auto"/>
            </w:tcBorders>
            <w:shd w:val="clear" w:color="auto" w:fill="auto"/>
            <w:noWrap/>
            <w:vAlign w:val="center"/>
          </w:tcPr>
          <w:p w14:paraId="4392A399"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6</w:t>
            </w:r>
          </w:p>
        </w:tc>
        <w:tc>
          <w:tcPr>
            <w:tcW w:w="174" w:type="pct"/>
            <w:tcBorders>
              <w:top w:val="nil"/>
              <w:left w:val="nil"/>
              <w:bottom w:val="single" w:sz="4" w:space="0" w:color="auto"/>
              <w:right w:val="single" w:sz="4" w:space="0" w:color="auto"/>
            </w:tcBorders>
            <w:shd w:val="clear" w:color="auto" w:fill="auto"/>
            <w:noWrap/>
            <w:vAlign w:val="center"/>
          </w:tcPr>
          <w:p w14:paraId="6B9B1040"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36CB6821"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58</w:t>
            </w:r>
          </w:p>
        </w:tc>
        <w:tc>
          <w:tcPr>
            <w:tcW w:w="204" w:type="pct"/>
            <w:tcBorders>
              <w:top w:val="nil"/>
              <w:left w:val="nil"/>
              <w:bottom w:val="single" w:sz="4" w:space="0" w:color="auto"/>
              <w:right w:val="single" w:sz="4" w:space="0" w:color="auto"/>
            </w:tcBorders>
            <w:shd w:val="clear" w:color="auto" w:fill="auto"/>
            <w:noWrap/>
            <w:vAlign w:val="center"/>
          </w:tcPr>
          <w:p w14:paraId="34667DA6"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211</w:t>
            </w:r>
          </w:p>
        </w:tc>
        <w:tc>
          <w:tcPr>
            <w:tcW w:w="218" w:type="pct"/>
            <w:tcBorders>
              <w:top w:val="nil"/>
              <w:left w:val="nil"/>
              <w:bottom w:val="single" w:sz="4" w:space="0" w:color="auto"/>
              <w:right w:val="single" w:sz="4" w:space="0" w:color="auto"/>
            </w:tcBorders>
            <w:shd w:val="clear" w:color="auto" w:fill="auto"/>
            <w:noWrap/>
            <w:vAlign w:val="center"/>
          </w:tcPr>
          <w:p w14:paraId="5AEF23F7"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19</w:t>
            </w:r>
          </w:p>
        </w:tc>
        <w:tc>
          <w:tcPr>
            <w:tcW w:w="219" w:type="pct"/>
            <w:tcBorders>
              <w:top w:val="nil"/>
              <w:left w:val="nil"/>
              <w:bottom w:val="single" w:sz="4" w:space="0" w:color="auto"/>
              <w:right w:val="single" w:sz="4" w:space="0" w:color="auto"/>
            </w:tcBorders>
            <w:shd w:val="clear" w:color="auto" w:fill="auto"/>
            <w:noWrap/>
            <w:vAlign w:val="center"/>
          </w:tcPr>
          <w:p w14:paraId="2343B2B1"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772B02B8"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680</w:t>
            </w:r>
          </w:p>
        </w:tc>
        <w:tc>
          <w:tcPr>
            <w:tcW w:w="174" w:type="pct"/>
            <w:tcBorders>
              <w:top w:val="nil"/>
              <w:left w:val="nil"/>
              <w:bottom w:val="single" w:sz="4" w:space="0" w:color="auto"/>
              <w:right w:val="single" w:sz="4" w:space="0" w:color="auto"/>
            </w:tcBorders>
            <w:shd w:val="clear" w:color="auto" w:fill="auto"/>
            <w:noWrap/>
            <w:vAlign w:val="center"/>
          </w:tcPr>
          <w:p w14:paraId="4814458E"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4</w:t>
            </w:r>
          </w:p>
        </w:tc>
        <w:tc>
          <w:tcPr>
            <w:tcW w:w="131" w:type="pct"/>
            <w:tcBorders>
              <w:top w:val="nil"/>
              <w:left w:val="nil"/>
              <w:bottom w:val="single" w:sz="4" w:space="0" w:color="auto"/>
              <w:right w:val="single" w:sz="4" w:space="0" w:color="auto"/>
            </w:tcBorders>
            <w:shd w:val="clear" w:color="auto" w:fill="auto"/>
            <w:noWrap/>
            <w:vAlign w:val="center"/>
          </w:tcPr>
          <w:p w14:paraId="4CBD240A"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219" w:type="pct"/>
            <w:tcBorders>
              <w:top w:val="nil"/>
              <w:left w:val="nil"/>
              <w:bottom w:val="single" w:sz="4" w:space="0" w:color="auto"/>
              <w:right w:val="single" w:sz="4" w:space="0" w:color="auto"/>
            </w:tcBorders>
            <w:shd w:val="clear" w:color="auto" w:fill="auto"/>
            <w:noWrap/>
            <w:vAlign w:val="center"/>
          </w:tcPr>
          <w:p w14:paraId="0F1C6A1A"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501F3273"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3</w:t>
            </w:r>
          </w:p>
        </w:tc>
        <w:tc>
          <w:tcPr>
            <w:tcW w:w="123" w:type="pct"/>
            <w:tcBorders>
              <w:top w:val="nil"/>
              <w:left w:val="nil"/>
              <w:bottom w:val="single" w:sz="4" w:space="0" w:color="auto"/>
              <w:right w:val="single" w:sz="4" w:space="0" w:color="auto"/>
            </w:tcBorders>
            <w:shd w:val="clear" w:color="auto" w:fill="auto"/>
            <w:noWrap/>
            <w:vAlign w:val="center"/>
          </w:tcPr>
          <w:p w14:paraId="57DF38CC"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2992CDD7"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7FEF81E0"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2256673D"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67C3422F"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1</w:t>
            </w:r>
          </w:p>
        </w:tc>
        <w:tc>
          <w:tcPr>
            <w:tcW w:w="124" w:type="pct"/>
            <w:tcBorders>
              <w:top w:val="nil"/>
              <w:left w:val="nil"/>
              <w:bottom w:val="single" w:sz="4" w:space="0" w:color="auto"/>
              <w:right w:val="single" w:sz="4" w:space="0" w:color="auto"/>
            </w:tcBorders>
            <w:shd w:val="clear" w:color="auto" w:fill="auto"/>
            <w:noWrap/>
            <w:vAlign w:val="center"/>
          </w:tcPr>
          <w:p w14:paraId="48CEF9AA"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474CBA83"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659BFF91"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2CA83E8F"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258</w:t>
            </w:r>
          </w:p>
        </w:tc>
        <w:tc>
          <w:tcPr>
            <w:tcW w:w="172" w:type="pct"/>
            <w:tcBorders>
              <w:top w:val="nil"/>
              <w:left w:val="nil"/>
              <w:bottom w:val="single" w:sz="4" w:space="0" w:color="auto"/>
              <w:right w:val="single" w:sz="4" w:space="0" w:color="auto"/>
            </w:tcBorders>
            <w:shd w:val="clear" w:color="auto" w:fill="auto"/>
            <w:noWrap/>
            <w:vAlign w:val="center"/>
          </w:tcPr>
          <w:p w14:paraId="4D74C878"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26</w:t>
            </w:r>
          </w:p>
        </w:tc>
        <w:tc>
          <w:tcPr>
            <w:tcW w:w="193" w:type="pct"/>
            <w:tcBorders>
              <w:top w:val="single" w:sz="4" w:space="0" w:color="auto"/>
              <w:left w:val="nil"/>
              <w:bottom w:val="single" w:sz="4" w:space="0" w:color="auto"/>
              <w:right w:val="single" w:sz="4" w:space="0" w:color="auto"/>
            </w:tcBorders>
          </w:tcPr>
          <w:p w14:paraId="143B793D"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8A6E43D"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740</w:t>
            </w:r>
          </w:p>
        </w:tc>
      </w:tr>
      <w:tr w:rsidR="001D4F0F" w:rsidRPr="001B4CA2" w14:paraId="46E2CCCE" w14:textId="77777777" w:rsidTr="001D4F0F">
        <w:trPr>
          <w:cantSplit/>
          <w:trHeight w:val="249"/>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1320DB6B" w14:textId="77777777" w:rsidR="00743EF4" w:rsidRPr="001B4CA2" w:rsidRDefault="00743EF4" w:rsidP="00743EF4">
            <w:pPr>
              <w:jc w:val="left"/>
              <w:rPr>
                <w:bCs/>
                <w:sz w:val="16"/>
                <w:szCs w:val="16"/>
              </w:rPr>
            </w:pPr>
            <w:r w:rsidRPr="001B4CA2">
              <w:rPr>
                <w:bCs/>
                <w:sz w:val="16"/>
                <w:szCs w:val="16"/>
              </w:rPr>
              <w:t xml:space="preserve">Ostali </w:t>
            </w:r>
          </w:p>
        </w:tc>
        <w:tc>
          <w:tcPr>
            <w:tcW w:w="173" w:type="pct"/>
            <w:tcBorders>
              <w:top w:val="nil"/>
              <w:left w:val="nil"/>
              <w:bottom w:val="single" w:sz="4" w:space="0" w:color="auto"/>
              <w:right w:val="single" w:sz="4" w:space="0" w:color="auto"/>
            </w:tcBorders>
            <w:shd w:val="clear" w:color="auto" w:fill="auto"/>
            <w:noWrap/>
            <w:vAlign w:val="center"/>
          </w:tcPr>
          <w:p w14:paraId="6E8E42A7"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629FF601" w14:textId="77777777" w:rsidR="00743EF4" w:rsidRPr="001B4CA2" w:rsidRDefault="00743EF4" w:rsidP="00743EF4">
            <w:pPr>
              <w:jc w:val="center"/>
              <w:rPr>
                <w:rFonts w:ascii="Calibri" w:hAnsi="Calibri" w:cs="Calibri"/>
                <w:color w:val="000000"/>
                <w:sz w:val="18"/>
                <w:szCs w:val="18"/>
              </w:rPr>
            </w:pPr>
          </w:p>
        </w:tc>
        <w:tc>
          <w:tcPr>
            <w:tcW w:w="174" w:type="pct"/>
            <w:tcBorders>
              <w:top w:val="nil"/>
              <w:left w:val="nil"/>
              <w:bottom w:val="single" w:sz="4" w:space="0" w:color="auto"/>
              <w:right w:val="single" w:sz="4" w:space="0" w:color="auto"/>
            </w:tcBorders>
            <w:shd w:val="clear" w:color="auto" w:fill="auto"/>
            <w:noWrap/>
            <w:vAlign w:val="center"/>
          </w:tcPr>
          <w:p w14:paraId="2DAD6F96"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vAlign w:val="center"/>
          </w:tcPr>
          <w:p w14:paraId="719EA48E" w14:textId="77777777" w:rsidR="00743EF4" w:rsidRPr="001B4CA2" w:rsidRDefault="00743EF4" w:rsidP="00743EF4">
            <w:pPr>
              <w:jc w:val="center"/>
              <w:rPr>
                <w:rFonts w:ascii="Calibri" w:hAnsi="Calibri" w:cs="Calibri"/>
                <w:sz w:val="18"/>
                <w:szCs w:val="18"/>
              </w:rPr>
            </w:pPr>
          </w:p>
        </w:tc>
        <w:tc>
          <w:tcPr>
            <w:tcW w:w="204" w:type="pct"/>
            <w:tcBorders>
              <w:top w:val="nil"/>
              <w:left w:val="nil"/>
              <w:bottom w:val="single" w:sz="4" w:space="0" w:color="auto"/>
              <w:right w:val="single" w:sz="4" w:space="0" w:color="auto"/>
            </w:tcBorders>
            <w:shd w:val="clear" w:color="auto" w:fill="auto"/>
            <w:noWrap/>
            <w:vAlign w:val="center"/>
          </w:tcPr>
          <w:p w14:paraId="6E1BDE55"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15</w:t>
            </w:r>
          </w:p>
        </w:tc>
        <w:tc>
          <w:tcPr>
            <w:tcW w:w="218" w:type="pct"/>
            <w:tcBorders>
              <w:top w:val="nil"/>
              <w:left w:val="nil"/>
              <w:bottom w:val="single" w:sz="4" w:space="0" w:color="auto"/>
              <w:right w:val="single" w:sz="4" w:space="0" w:color="auto"/>
            </w:tcBorders>
            <w:shd w:val="clear" w:color="auto" w:fill="auto"/>
            <w:noWrap/>
            <w:vAlign w:val="center"/>
          </w:tcPr>
          <w:p w14:paraId="3E2D61BC" w14:textId="77777777" w:rsidR="00743EF4" w:rsidRPr="001B4CA2" w:rsidRDefault="00743EF4" w:rsidP="00743EF4">
            <w:pPr>
              <w:jc w:val="center"/>
              <w:rPr>
                <w:rFonts w:ascii="Calibri" w:hAnsi="Calibri" w:cs="Calibri"/>
                <w:color w:val="000000"/>
                <w:sz w:val="18"/>
                <w:szCs w:val="18"/>
              </w:rPr>
            </w:pPr>
            <w:r w:rsidRPr="001B4CA2">
              <w:rPr>
                <w:rFonts w:ascii="Calibri" w:hAnsi="Calibri" w:cs="Calibri"/>
                <w:color w:val="000000"/>
                <w:sz w:val="18"/>
                <w:szCs w:val="18"/>
              </w:rPr>
              <w:t>3</w:t>
            </w:r>
          </w:p>
        </w:tc>
        <w:tc>
          <w:tcPr>
            <w:tcW w:w="219" w:type="pct"/>
            <w:tcBorders>
              <w:top w:val="nil"/>
              <w:left w:val="nil"/>
              <w:bottom w:val="single" w:sz="4" w:space="0" w:color="auto"/>
              <w:right w:val="single" w:sz="4" w:space="0" w:color="auto"/>
            </w:tcBorders>
            <w:shd w:val="clear" w:color="auto" w:fill="auto"/>
            <w:noWrap/>
            <w:vAlign w:val="center"/>
          </w:tcPr>
          <w:p w14:paraId="6E0B30B3" w14:textId="77777777" w:rsidR="00743EF4" w:rsidRPr="001B4CA2" w:rsidRDefault="00743EF4" w:rsidP="00743EF4">
            <w:pPr>
              <w:jc w:val="center"/>
              <w:rPr>
                <w:rFonts w:ascii="Calibri" w:hAnsi="Calibri" w:cs="Calibri"/>
                <w:color w:val="000000"/>
                <w:sz w:val="18"/>
                <w:szCs w:val="18"/>
              </w:rPr>
            </w:pPr>
          </w:p>
        </w:tc>
        <w:tc>
          <w:tcPr>
            <w:tcW w:w="219" w:type="pct"/>
            <w:tcBorders>
              <w:top w:val="nil"/>
              <w:left w:val="nil"/>
              <w:bottom w:val="single" w:sz="4" w:space="0" w:color="auto"/>
              <w:right w:val="single" w:sz="4" w:space="0" w:color="auto"/>
            </w:tcBorders>
            <w:shd w:val="clear" w:color="auto" w:fill="auto"/>
            <w:noWrap/>
            <w:vAlign w:val="center"/>
          </w:tcPr>
          <w:p w14:paraId="3E584734"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25</w:t>
            </w:r>
          </w:p>
        </w:tc>
        <w:tc>
          <w:tcPr>
            <w:tcW w:w="174" w:type="pct"/>
            <w:tcBorders>
              <w:top w:val="nil"/>
              <w:left w:val="nil"/>
              <w:bottom w:val="single" w:sz="4" w:space="0" w:color="auto"/>
              <w:right w:val="single" w:sz="4" w:space="0" w:color="auto"/>
            </w:tcBorders>
            <w:shd w:val="clear" w:color="auto" w:fill="auto"/>
            <w:noWrap/>
            <w:vAlign w:val="center"/>
          </w:tcPr>
          <w:p w14:paraId="5BB05940"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5</w:t>
            </w:r>
          </w:p>
        </w:tc>
        <w:tc>
          <w:tcPr>
            <w:tcW w:w="131" w:type="pct"/>
            <w:tcBorders>
              <w:top w:val="nil"/>
              <w:left w:val="nil"/>
              <w:bottom w:val="single" w:sz="4" w:space="0" w:color="auto"/>
              <w:right w:val="single" w:sz="4" w:space="0" w:color="auto"/>
            </w:tcBorders>
            <w:shd w:val="clear" w:color="auto" w:fill="auto"/>
            <w:noWrap/>
            <w:vAlign w:val="center"/>
          </w:tcPr>
          <w:p w14:paraId="175CD168" w14:textId="77777777" w:rsidR="00743EF4" w:rsidRPr="001B4CA2" w:rsidRDefault="00743EF4" w:rsidP="00743EF4">
            <w:pPr>
              <w:jc w:val="center"/>
              <w:rPr>
                <w:rFonts w:ascii="Calibri" w:hAnsi="Calibri" w:cs="Calibri"/>
                <w:color w:val="000000"/>
                <w:sz w:val="20"/>
                <w:szCs w:val="20"/>
              </w:rPr>
            </w:pPr>
            <w:r w:rsidRPr="001B4CA2">
              <w:rPr>
                <w:rFonts w:ascii="Calibri" w:hAnsi="Calibri" w:cs="Calibri"/>
                <w:color w:val="000000"/>
                <w:sz w:val="20"/>
                <w:szCs w:val="20"/>
              </w:rPr>
              <w:t>3</w:t>
            </w:r>
          </w:p>
        </w:tc>
        <w:tc>
          <w:tcPr>
            <w:tcW w:w="219" w:type="pct"/>
            <w:tcBorders>
              <w:top w:val="nil"/>
              <w:left w:val="nil"/>
              <w:bottom w:val="single" w:sz="4" w:space="0" w:color="auto"/>
              <w:right w:val="single" w:sz="4" w:space="0" w:color="auto"/>
            </w:tcBorders>
            <w:shd w:val="clear" w:color="auto" w:fill="auto"/>
            <w:noWrap/>
            <w:vAlign w:val="center"/>
          </w:tcPr>
          <w:p w14:paraId="5EDA3E7F" w14:textId="77777777" w:rsidR="00743EF4" w:rsidRPr="001B4CA2" w:rsidRDefault="00743EF4" w:rsidP="00743EF4">
            <w:pPr>
              <w:jc w:val="center"/>
              <w:rPr>
                <w:rFonts w:ascii="Calibri" w:hAnsi="Calibri" w:cs="Calibri"/>
                <w:color w:val="000000"/>
                <w:sz w:val="18"/>
                <w:szCs w:val="18"/>
              </w:rPr>
            </w:pPr>
          </w:p>
        </w:tc>
        <w:tc>
          <w:tcPr>
            <w:tcW w:w="195" w:type="pct"/>
            <w:tcBorders>
              <w:top w:val="nil"/>
              <w:left w:val="nil"/>
              <w:bottom w:val="single" w:sz="4" w:space="0" w:color="auto"/>
              <w:right w:val="single" w:sz="4" w:space="0" w:color="auto"/>
            </w:tcBorders>
            <w:shd w:val="clear" w:color="auto" w:fill="auto"/>
            <w:noWrap/>
          </w:tcPr>
          <w:p w14:paraId="759C856B" w14:textId="77777777" w:rsidR="00743EF4" w:rsidRPr="001B4CA2" w:rsidRDefault="00743EF4" w:rsidP="00743EF4">
            <w:pPr>
              <w:jc w:val="center"/>
              <w:rPr>
                <w:rFonts w:ascii="Calibri" w:hAnsi="Calibri" w:cs="Calibri"/>
                <w:sz w:val="18"/>
                <w:szCs w:val="18"/>
              </w:rPr>
            </w:pPr>
            <w:r w:rsidRPr="001B4CA2">
              <w:rPr>
                <w:rFonts w:ascii="Calibri" w:hAnsi="Calibri" w:cs="Calibri"/>
                <w:sz w:val="18"/>
                <w:szCs w:val="18"/>
              </w:rPr>
              <w:t>119</w:t>
            </w:r>
          </w:p>
        </w:tc>
        <w:tc>
          <w:tcPr>
            <w:tcW w:w="123" w:type="pct"/>
            <w:tcBorders>
              <w:top w:val="nil"/>
              <w:left w:val="nil"/>
              <w:bottom w:val="single" w:sz="4" w:space="0" w:color="auto"/>
              <w:right w:val="single" w:sz="4" w:space="0" w:color="auto"/>
            </w:tcBorders>
            <w:shd w:val="clear" w:color="auto" w:fill="auto"/>
            <w:noWrap/>
            <w:vAlign w:val="center"/>
          </w:tcPr>
          <w:p w14:paraId="10B760AC" w14:textId="77777777" w:rsidR="00743EF4" w:rsidRPr="001B4CA2" w:rsidRDefault="00743EF4" w:rsidP="00743EF4">
            <w:pPr>
              <w:jc w:val="center"/>
              <w:rPr>
                <w:rFonts w:ascii="Calibri" w:hAnsi="Calibri" w:cs="Calibri"/>
                <w:color w:val="000000"/>
                <w:sz w:val="20"/>
                <w:szCs w:val="20"/>
              </w:rPr>
            </w:pPr>
          </w:p>
        </w:tc>
        <w:tc>
          <w:tcPr>
            <w:tcW w:w="132" w:type="pct"/>
            <w:tcBorders>
              <w:top w:val="nil"/>
              <w:left w:val="nil"/>
              <w:bottom w:val="single" w:sz="4" w:space="0" w:color="auto"/>
              <w:right w:val="single" w:sz="4" w:space="0" w:color="auto"/>
            </w:tcBorders>
            <w:shd w:val="clear" w:color="auto" w:fill="auto"/>
            <w:noWrap/>
            <w:vAlign w:val="center"/>
          </w:tcPr>
          <w:p w14:paraId="66045144" w14:textId="77777777" w:rsidR="00743EF4" w:rsidRPr="001B4CA2" w:rsidRDefault="00743EF4" w:rsidP="00743EF4">
            <w:pPr>
              <w:jc w:val="center"/>
              <w:rPr>
                <w:rFonts w:ascii="Calibri" w:hAnsi="Calibri" w:cs="Calibri"/>
                <w:color w:val="000000"/>
                <w:sz w:val="20"/>
                <w:szCs w:val="20"/>
              </w:rPr>
            </w:pPr>
          </w:p>
        </w:tc>
        <w:tc>
          <w:tcPr>
            <w:tcW w:w="206" w:type="pct"/>
            <w:tcBorders>
              <w:top w:val="nil"/>
              <w:left w:val="nil"/>
              <w:bottom w:val="single" w:sz="4" w:space="0" w:color="auto"/>
              <w:right w:val="single" w:sz="4" w:space="0" w:color="auto"/>
            </w:tcBorders>
            <w:shd w:val="clear" w:color="auto" w:fill="auto"/>
            <w:noWrap/>
            <w:vAlign w:val="center"/>
          </w:tcPr>
          <w:p w14:paraId="4EAE930A" w14:textId="77777777" w:rsidR="00743EF4" w:rsidRPr="001B4CA2" w:rsidRDefault="00743EF4" w:rsidP="00743EF4">
            <w:pPr>
              <w:jc w:val="center"/>
              <w:rPr>
                <w:rFonts w:ascii="Calibri" w:hAnsi="Calibri" w:cs="Calibri"/>
                <w:color w:val="000000"/>
                <w:sz w:val="18"/>
                <w:szCs w:val="18"/>
              </w:rPr>
            </w:pPr>
          </w:p>
        </w:tc>
        <w:tc>
          <w:tcPr>
            <w:tcW w:w="124" w:type="pct"/>
            <w:tcBorders>
              <w:top w:val="nil"/>
              <w:left w:val="nil"/>
              <w:bottom w:val="single" w:sz="4" w:space="0" w:color="auto"/>
              <w:right w:val="single" w:sz="4" w:space="0" w:color="auto"/>
            </w:tcBorders>
            <w:shd w:val="clear" w:color="auto" w:fill="auto"/>
            <w:noWrap/>
            <w:vAlign w:val="center"/>
          </w:tcPr>
          <w:p w14:paraId="1A4BD1B5" w14:textId="77777777" w:rsidR="00743EF4" w:rsidRPr="001B4CA2" w:rsidRDefault="00743EF4" w:rsidP="00743EF4">
            <w:pPr>
              <w:ind w:right="1"/>
              <w:jc w:val="center"/>
              <w:rPr>
                <w:rFonts w:ascii="Calibri" w:hAnsi="Calibri" w:cs="Calibri"/>
                <w:color w:val="000000"/>
                <w:sz w:val="18"/>
                <w:szCs w:val="18"/>
              </w:rPr>
            </w:pPr>
          </w:p>
        </w:tc>
        <w:tc>
          <w:tcPr>
            <w:tcW w:w="130" w:type="pct"/>
            <w:tcBorders>
              <w:top w:val="nil"/>
              <w:left w:val="nil"/>
              <w:bottom w:val="single" w:sz="4" w:space="0" w:color="auto"/>
              <w:right w:val="single" w:sz="4" w:space="0" w:color="auto"/>
            </w:tcBorders>
            <w:shd w:val="clear" w:color="auto" w:fill="auto"/>
            <w:noWrap/>
            <w:vAlign w:val="center"/>
          </w:tcPr>
          <w:p w14:paraId="69B8D5E2" w14:textId="77777777" w:rsidR="00743EF4" w:rsidRPr="001B4CA2" w:rsidRDefault="00743EF4" w:rsidP="00743EF4">
            <w:pPr>
              <w:jc w:val="center"/>
              <w:rPr>
                <w:rFonts w:ascii="Calibri" w:hAnsi="Calibri" w:cs="Calibri"/>
                <w:color w:val="000000"/>
                <w:sz w:val="20"/>
                <w:szCs w:val="20"/>
              </w:rPr>
            </w:pPr>
          </w:p>
        </w:tc>
        <w:tc>
          <w:tcPr>
            <w:tcW w:w="124" w:type="pct"/>
            <w:tcBorders>
              <w:top w:val="nil"/>
              <w:left w:val="nil"/>
              <w:bottom w:val="single" w:sz="4" w:space="0" w:color="auto"/>
              <w:right w:val="single" w:sz="4" w:space="0" w:color="auto"/>
            </w:tcBorders>
            <w:shd w:val="clear" w:color="auto" w:fill="auto"/>
            <w:noWrap/>
            <w:vAlign w:val="center"/>
          </w:tcPr>
          <w:p w14:paraId="72F223BA" w14:textId="77777777" w:rsidR="00743EF4" w:rsidRPr="001B4CA2" w:rsidRDefault="00743EF4" w:rsidP="00743EF4">
            <w:pPr>
              <w:jc w:val="center"/>
              <w:rPr>
                <w:rFonts w:ascii="Calibri" w:hAnsi="Calibri" w:cs="Calibri"/>
                <w:color w:val="000000"/>
                <w:sz w:val="20"/>
                <w:szCs w:val="20"/>
              </w:rPr>
            </w:pPr>
          </w:p>
        </w:tc>
        <w:tc>
          <w:tcPr>
            <w:tcW w:w="163" w:type="pct"/>
            <w:tcBorders>
              <w:top w:val="nil"/>
              <w:left w:val="nil"/>
              <w:bottom w:val="single" w:sz="4" w:space="0" w:color="auto"/>
              <w:right w:val="single" w:sz="4" w:space="0" w:color="auto"/>
            </w:tcBorders>
            <w:shd w:val="clear" w:color="auto" w:fill="auto"/>
            <w:noWrap/>
            <w:vAlign w:val="center"/>
          </w:tcPr>
          <w:p w14:paraId="4E519499" w14:textId="77777777" w:rsidR="00743EF4" w:rsidRPr="001B4CA2" w:rsidRDefault="00743EF4" w:rsidP="00743EF4">
            <w:pPr>
              <w:jc w:val="center"/>
              <w:rPr>
                <w:rFonts w:ascii="Calibri" w:hAnsi="Calibri" w:cs="Calibri"/>
                <w:color w:val="000000"/>
                <w:sz w:val="18"/>
                <w:szCs w:val="18"/>
              </w:rPr>
            </w:pPr>
          </w:p>
        </w:tc>
        <w:tc>
          <w:tcPr>
            <w:tcW w:w="136" w:type="pct"/>
            <w:tcBorders>
              <w:top w:val="nil"/>
              <w:left w:val="nil"/>
              <w:bottom w:val="single" w:sz="4" w:space="0" w:color="auto"/>
              <w:right w:val="single" w:sz="4" w:space="0" w:color="auto"/>
            </w:tcBorders>
            <w:shd w:val="clear" w:color="auto" w:fill="auto"/>
            <w:noWrap/>
            <w:vAlign w:val="center"/>
          </w:tcPr>
          <w:p w14:paraId="2ABE9F81" w14:textId="77777777" w:rsidR="00743EF4" w:rsidRPr="001B4CA2" w:rsidRDefault="00743EF4" w:rsidP="00743EF4">
            <w:pPr>
              <w:jc w:val="center"/>
              <w:rPr>
                <w:rFonts w:ascii="Calibri" w:hAnsi="Calibri" w:cs="Calibri"/>
                <w:color w:val="000000"/>
                <w:sz w:val="18"/>
                <w:szCs w:val="18"/>
              </w:rPr>
            </w:pPr>
          </w:p>
        </w:tc>
        <w:tc>
          <w:tcPr>
            <w:tcW w:w="209" w:type="pct"/>
            <w:tcBorders>
              <w:top w:val="nil"/>
              <w:left w:val="nil"/>
              <w:bottom w:val="single" w:sz="4" w:space="0" w:color="auto"/>
              <w:right w:val="single" w:sz="4" w:space="0" w:color="auto"/>
            </w:tcBorders>
            <w:shd w:val="clear" w:color="auto" w:fill="auto"/>
            <w:noWrap/>
            <w:vAlign w:val="center"/>
          </w:tcPr>
          <w:p w14:paraId="6DF9DD3F"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20</w:t>
            </w:r>
          </w:p>
        </w:tc>
        <w:tc>
          <w:tcPr>
            <w:tcW w:w="172" w:type="pct"/>
            <w:tcBorders>
              <w:top w:val="nil"/>
              <w:left w:val="nil"/>
              <w:bottom w:val="single" w:sz="4" w:space="0" w:color="auto"/>
              <w:right w:val="single" w:sz="4" w:space="0" w:color="auto"/>
            </w:tcBorders>
            <w:shd w:val="clear" w:color="auto" w:fill="auto"/>
            <w:noWrap/>
            <w:vAlign w:val="center"/>
          </w:tcPr>
          <w:p w14:paraId="25A99B5F" w14:textId="77777777" w:rsidR="00743EF4" w:rsidRPr="001B4CA2" w:rsidRDefault="00743EF4" w:rsidP="00743EF4">
            <w:pPr>
              <w:jc w:val="center"/>
              <w:rPr>
                <w:rFonts w:ascii="Calibri" w:hAnsi="Calibri" w:cs="Calibri"/>
                <w:bCs/>
                <w:color w:val="000000"/>
                <w:sz w:val="18"/>
                <w:szCs w:val="18"/>
              </w:rPr>
            </w:pPr>
            <w:r w:rsidRPr="001B4CA2">
              <w:rPr>
                <w:rFonts w:ascii="Calibri" w:hAnsi="Calibri" w:cs="Calibri"/>
                <w:bCs/>
                <w:color w:val="000000"/>
                <w:sz w:val="18"/>
                <w:szCs w:val="18"/>
              </w:rPr>
              <w:t>6</w:t>
            </w:r>
          </w:p>
        </w:tc>
        <w:tc>
          <w:tcPr>
            <w:tcW w:w="193" w:type="pct"/>
            <w:tcBorders>
              <w:top w:val="single" w:sz="4" w:space="0" w:color="auto"/>
              <w:left w:val="nil"/>
              <w:bottom w:val="single" w:sz="4" w:space="0" w:color="auto"/>
              <w:right w:val="single" w:sz="4" w:space="0" w:color="auto"/>
            </w:tcBorders>
          </w:tcPr>
          <w:p w14:paraId="76BA4B1F" w14:textId="77777777" w:rsidR="00743EF4" w:rsidRPr="001B4CA2" w:rsidRDefault="00743EF4" w:rsidP="00743EF4">
            <w:pPr>
              <w:jc w:val="center"/>
              <w:rPr>
                <w:rFonts w:ascii="Calibri" w:hAnsi="Calibri" w:cs="Calibri"/>
                <w:b/>
                <w:bCs/>
                <w:color w:val="000000"/>
                <w:sz w:val="18"/>
                <w:szCs w:val="18"/>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3E0ECA1"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144</w:t>
            </w:r>
          </w:p>
        </w:tc>
      </w:tr>
      <w:tr w:rsidR="001D4F0F" w:rsidRPr="001B4CA2" w14:paraId="459DAD35" w14:textId="77777777" w:rsidTr="001D4F0F">
        <w:trPr>
          <w:cantSplit/>
          <w:trHeight w:val="248"/>
        </w:trPr>
        <w:tc>
          <w:tcPr>
            <w:tcW w:w="769" w:type="pct"/>
            <w:tcBorders>
              <w:top w:val="nil"/>
              <w:left w:val="single" w:sz="4" w:space="0" w:color="auto"/>
              <w:bottom w:val="single" w:sz="4" w:space="0" w:color="auto"/>
              <w:right w:val="single" w:sz="4" w:space="0" w:color="auto"/>
            </w:tcBorders>
            <w:shd w:val="clear" w:color="auto" w:fill="auto"/>
            <w:vAlign w:val="center"/>
            <w:hideMark/>
          </w:tcPr>
          <w:p w14:paraId="05D7DF65" w14:textId="77777777" w:rsidR="00743EF4" w:rsidRPr="001B4CA2" w:rsidRDefault="00743EF4" w:rsidP="00743EF4">
            <w:pPr>
              <w:jc w:val="left"/>
              <w:rPr>
                <w:b/>
                <w:bCs/>
                <w:sz w:val="14"/>
                <w:szCs w:val="16"/>
              </w:rPr>
            </w:pPr>
            <w:r w:rsidRPr="001B4CA2">
              <w:rPr>
                <w:b/>
                <w:bCs/>
                <w:sz w:val="14"/>
                <w:szCs w:val="16"/>
              </w:rPr>
              <w:t>UKUPNO</w:t>
            </w:r>
          </w:p>
        </w:tc>
        <w:tc>
          <w:tcPr>
            <w:tcW w:w="173" w:type="pct"/>
            <w:tcBorders>
              <w:top w:val="nil"/>
              <w:left w:val="nil"/>
              <w:bottom w:val="single" w:sz="4" w:space="0" w:color="auto"/>
              <w:right w:val="single" w:sz="4" w:space="0" w:color="auto"/>
            </w:tcBorders>
            <w:shd w:val="clear" w:color="auto" w:fill="auto"/>
            <w:noWrap/>
            <w:vAlign w:val="center"/>
          </w:tcPr>
          <w:p w14:paraId="45A1D007"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454</w:t>
            </w:r>
          </w:p>
        </w:tc>
        <w:tc>
          <w:tcPr>
            <w:tcW w:w="174" w:type="pct"/>
            <w:tcBorders>
              <w:top w:val="nil"/>
              <w:left w:val="nil"/>
              <w:bottom w:val="single" w:sz="4" w:space="0" w:color="auto"/>
              <w:right w:val="single" w:sz="4" w:space="0" w:color="auto"/>
            </w:tcBorders>
            <w:shd w:val="clear" w:color="auto" w:fill="auto"/>
            <w:noWrap/>
            <w:vAlign w:val="center"/>
          </w:tcPr>
          <w:p w14:paraId="6BB66811"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216</w:t>
            </w:r>
          </w:p>
        </w:tc>
        <w:tc>
          <w:tcPr>
            <w:tcW w:w="174" w:type="pct"/>
            <w:tcBorders>
              <w:top w:val="nil"/>
              <w:left w:val="nil"/>
              <w:bottom w:val="single" w:sz="4" w:space="0" w:color="auto"/>
              <w:right w:val="single" w:sz="4" w:space="0" w:color="auto"/>
            </w:tcBorders>
            <w:shd w:val="clear" w:color="auto" w:fill="auto"/>
            <w:noWrap/>
            <w:vAlign w:val="center"/>
          </w:tcPr>
          <w:p w14:paraId="4FC357F9"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48</w:t>
            </w:r>
          </w:p>
        </w:tc>
        <w:tc>
          <w:tcPr>
            <w:tcW w:w="195" w:type="pct"/>
            <w:tcBorders>
              <w:top w:val="nil"/>
              <w:left w:val="nil"/>
              <w:bottom w:val="single" w:sz="4" w:space="0" w:color="auto"/>
              <w:right w:val="single" w:sz="4" w:space="0" w:color="auto"/>
            </w:tcBorders>
            <w:shd w:val="clear" w:color="auto" w:fill="auto"/>
            <w:vAlign w:val="center"/>
          </w:tcPr>
          <w:p w14:paraId="1412D8C8" w14:textId="77777777" w:rsidR="00743EF4" w:rsidRPr="001B4CA2" w:rsidRDefault="00743EF4" w:rsidP="00743EF4">
            <w:pPr>
              <w:jc w:val="center"/>
              <w:rPr>
                <w:rFonts w:ascii="Calibri" w:hAnsi="Calibri" w:cs="Calibri"/>
                <w:b/>
                <w:sz w:val="18"/>
                <w:szCs w:val="18"/>
              </w:rPr>
            </w:pPr>
            <w:r w:rsidRPr="001B4CA2">
              <w:rPr>
                <w:rFonts w:ascii="Calibri" w:hAnsi="Calibri" w:cs="Calibri"/>
                <w:b/>
                <w:sz w:val="18"/>
                <w:szCs w:val="18"/>
              </w:rPr>
              <w:t>2.573</w:t>
            </w:r>
          </w:p>
        </w:tc>
        <w:tc>
          <w:tcPr>
            <w:tcW w:w="204" w:type="pct"/>
            <w:tcBorders>
              <w:top w:val="nil"/>
              <w:left w:val="nil"/>
              <w:bottom w:val="single" w:sz="4" w:space="0" w:color="auto"/>
              <w:right w:val="single" w:sz="4" w:space="0" w:color="auto"/>
            </w:tcBorders>
            <w:shd w:val="clear" w:color="auto" w:fill="auto"/>
            <w:noWrap/>
            <w:vAlign w:val="center"/>
          </w:tcPr>
          <w:p w14:paraId="321324A8"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976</w:t>
            </w:r>
          </w:p>
        </w:tc>
        <w:tc>
          <w:tcPr>
            <w:tcW w:w="218" w:type="pct"/>
            <w:tcBorders>
              <w:top w:val="nil"/>
              <w:left w:val="nil"/>
              <w:bottom w:val="single" w:sz="4" w:space="0" w:color="auto"/>
              <w:right w:val="single" w:sz="4" w:space="0" w:color="auto"/>
            </w:tcBorders>
            <w:shd w:val="clear" w:color="auto" w:fill="auto"/>
            <w:noWrap/>
            <w:vAlign w:val="center"/>
          </w:tcPr>
          <w:p w14:paraId="23721D1F"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208</w:t>
            </w:r>
          </w:p>
        </w:tc>
        <w:tc>
          <w:tcPr>
            <w:tcW w:w="219" w:type="pct"/>
            <w:tcBorders>
              <w:top w:val="nil"/>
              <w:left w:val="nil"/>
              <w:bottom w:val="single" w:sz="4" w:space="0" w:color="auto"/>
              <w:right w:val="single" w:sz="4" w:space="0" w:color="auto"/>
            </w:tcBorders>
            <w:shd w:val="clear" w:color="auto" w:fill="auto"/>
            <w:noWrap/>
            <w:vAlign w:val="center"/>
          </w:tcPr>
          <w:p w14:paraId="6BD3EACD"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21</w:t>
            </w:r>
          </w:p>
        </w:tc>
        <w:tc>
          <w:tcPr>
            <w:tcW w:w="219" w:type="pct"/>
            <w:tcBorders>
              <w:top w:val="nil"/>
              <w:left w:val="nil"/>
              <w:bottom w:val="single" w:sz="4" w:space="0" w:color="auto"/>
              <w:right w:val="single" w:sz="4" w:space="0" w:color="auto"/>
            </w:tcBorders>
            <w:shd w:val="clear" w:color="auto" w:fill="auto"/>
            <w:noWrap/>
            <w:vAlign w:val="center"/>
          </w:tcPr>
          <w:p w14:paraId="3BE3B1AF" w14:textId="77777777" w:rsidR="00743EF4" w:rsidRPr="001B4CA2" w:rsidRDefault="00743EF4" w:rsidP="00743EF4">
            <w:pPr>
              <w:jc w:val="center"/>
              <w:rPr>
                <w:rFonts w:ascii="Calibri" w:hAnsi="Calibri" w:cs="Calibri"/>
                <w:b/>
                <w:sz w:val="18"/>
                <w:szCs w:val="18"/>
              </w:rPr>
            </w:pPr>
            <w:r w:rsidRPr="001B4CA2">
              <w:rPr>
                <w:rFonts w:ascii="Calibri" w:hAnsi="Calibri" w:cs="Calibri"/>
                <w:b/>
                <w:sz w:val="18"/>
                <w:szCs w:val="18"/>
              </w:rPr>
              <w:t>7.278</w:t>
            </w:r>
          </w:p>
        </w:tc>
        <w:tc>
          <w:tcPr>
            <w:tcW w:w="174" w:type="pct"/>
            <w:tcBorders>
              <w:top w:val="nil"/>
              <w:left w:val="nil"/>
              <w:bottom w:val="single" w:sz="4" w:space="0" w:color="auto"/>
              <w:right w:val="single" w:sz="4" w:space="0" w:color="auto"/>
            </w:tcBorders>
            <w:shd w:val="clear" w:color="auto" w:fill="auto"/>
            <w:noWrap/>
            <w:vAlign w:val="center"/>
          </w:tcPr>
          <w:p w14:paraId="2924601E" w14:textId="77777777" w:rsidR="00743EF4" w:rsidRPr="001B4CA2" w:rsidRDefault="00743EF4" w:rsidP="00743EF4">
            <w:pPr>
              <w:jc w:val="center"/>
              <w:rPr>
                <w:rFonts w:ascii="Calibri" w:hAnsi="Calibri" w:cs="Calibri"/>
                <w:b/>
                <w:bCs/>
                <w:color w:val="000000"/>
                <w:sz w:val="20"/>
                <w:szCs w:val="20"/>
              </w:rPr>
            </w:pPr>
            <w:r w:rsidRPr="001B4CA2">
              <w:rPr>
                <w:rFonts w:ascii="Calibri" w:hAnsi="Calibri" w:cs="Calibri"/>
                <w:b/>
                <w:bCs/>
                <w:color w:val="000000"/>
                <w:sz w:val="20"/>
                <w:szCs w:val="20"/>
              </w:rPr>
              <w:t>242</w:t>
            </w:r>
          </w:p>
        </w:tc>
        <w:tc>
          <w:tcPr>
            <w:tcW w:w="131" w:type="pct"/>
            <w:tcBorders>
              <w:top w:val="nil"/>
              <w:left w:val="nil"/>
              <w:bottom w:val="single" w:sz="4" w:space="0" w:color="auto"/>
              <w:right w:val="single" w:sz="4" w:space="0" w:color="auto"/>
            </w:tcBorders>
            <w:shd w:val="clear" w:color="auto" w:fill="auto"/>
            <w:noWrap/>
            <w:vAlign w:val="center"/>
          </w:tcPr>
          <w:p w14:paraId="738814B2" w14:textId="77777777" w:rsidR="00743EF4" w:rsidRPr="001B4CA2" w:rsidRDefault="00743EF4" w:rsidP="00743EF4">
            <w:pPr>
              <w:jc w:val="center"/>
              <w:rPr>
                <w:rFonts w:ascii="Calibri" w:hAnsi="Calibri" w:cs="Calibri"/>
                <w:b/>
                <w:bCs/>
                <w:color w:val="000000"/>
                <w:sz w:val="20"/>
                <w:szCs w:val="20"/>
              </w:rPr>
            </w:pPr>
            <w:r w:rsidRPr="001B4CA2">
              <w:rPr>
                <w:rFonts w:ascii="Calibri" w:hAnsi="Calibri" w:cs="Calibri"/>
                <w:b/>
                <w:bCs/>
                <w:color w:val="000000"/>
                <w:sz w:val="20"/>
                <w:szCs w:val="20"/>
              </w:rPr>
              <w:t>45</w:t>
            </w:r>
          </w:p>
        </w:tc>
        <w:tc>
          <w:tcPr>
            <w:tcW w:w="219" w:type="pct"/>
            <w:tcBorders>
              <w:top w:val="nil"/>
              <w:left w:val="nil"/>
              <w:bottom w:val="single" w:sz="4" w:space="0" w:color="auto"/>
              <w:right w:val="single" w:sz="4" w:space="0" w:color="auto"/>
            </w:tcBorders>
            <w:shd w:val="clear" w:color="auto" w:fill="auto"/>
            <w:noWrap/>
            <w:vAlign w:val="center"/>
          </w:tcPr>
          <w:p w14:paraId="468EDA8A"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19</w:t>
            </w:r>
          </w:p>
        </w:tc>
        <w:tc>
          <w:tcPr>
            <w:tcW w:w="195" w:type="pct"/>
            <w:tcBorders>
              <w:top w:val="nil"/>
              <w:left w:val="nil"/>
              <w:bottom w:val="single" w:sz="4" w:space="0" w:color="auto"/>
              <w:right w:val="single" w:sz="4" w:space="0" w:color="auto"/>
            </w:tcBorders>
            <w:shd w:val="clear" w:color="auto" w:fill="auto"/>
            <w:noWrap/>
          </w:tcPr>
          <w:p w14:paraId="7162ACEE" w14:textId="77777777" w:rsidR="00743EF4" w:rsidRPr="001B4CA2" w:rsidRDefault="00743EF4" w:rsidP="00743EF4">
            <w:pPr>
              <w:jc w:val="center"/>
              <w:rPr>
                <w:rFonts w:ascii="Calibri" w:hAnsi="Calibri" w:cs="Calibri"/>
                <w:b/>
                <w:sz w:val="18"/>
                <w:szCs w:val="18"/>
              </w:rPr>
            </w:pPr>
            <w:r w:rsidRPr="001B4CA2">
              <w:rPr>
                <w:rFonts w:ascii="Calibri" w:hAnsi="Calibri" w:cs="Calibri"/>
                <w:b/>
                <w:sz w:val="18"/>
                <w:szCs w:val="18"/>
              </w:rPr>
              <w:t>1.088</w:t>
            </w:r>
          </w:p>
        </w:tc>
        <w:tc>
          <w:tcPr>
            <w:tcW w:w="123" w:type="pct"/>
            <w:tcBorders>
              <w:top w:val="nil"/>
              <w:left w:val="nil"/>
              <w:bottom w:val="single" w:sz="4" w:space="0" w:color="auto"/>
              <w:right w:val="single" w:sz="4" w:space="0" w:color="auto"/>
            </w:tcBorders>
            <w:shd w:val="clear" w:color="auto" w:fill="auto"/>
            <w:noWrap/>
            <w:vAlign w:val="center"/>
          </w:tcPr>
          <w:p w14:paraId="71912DA1" w14:textId="77777777" w:rsidR="00743EF4" w:rsidRPr="001B4CA2" w:rsidRDefault="00743EF4" w:rsidP="00743EF4">
            <w:pPr>
              <w:jc w:val="center"/>
              <w:rPr>
                <w:rFonts w:ascii="Calibri" w:hAnsi="Calibri" w:cs="Calibri"/>
                <w:b/>
                <w:bCs/>
                <w:color w:val="000000"/>
                <w:sz w:val="20"/>
                <w:szCs w:val="20"/>
              </w:rPr>
            </w:pPr>
            <w:r w:rsidRPr="001B4CA2">
              <w:rPr>
                <w:rFonts w:ascii="Calibri" w:hAnsi="Calibri" w:cs="Calibri"/>
                <w:b/>
                <w:bCs/>
                <w:color w:val="000000"/>
                <w:sz w:val="20"/>
                <w:szCs w:val="20"/>
              </w:rPr>
              <w:t>8</w:t>
            </w:r>
          </w:p>
        </w:tc>
        <w:tc>
          <w:tcPr>
            <w:tcW w:w="132" w:type="pct"/>
            <w:tcBorders>
              <w:top w:val="nil"/>
              <w:left w:val="nil"/>
              <w:bottom w:val="single" w:sz="4" w:space="0" w:color="auto"/>
              <w:right w:val="single" w:sz="4" w:space="0" w:color="auto"/>
            </w:tcBorders>
            <w:shd w:val="clear" w:color="auto" w:fill="auto"/>
            <w:noWrap/>
            <w:vAlign w:val="center"/>
          </w:tcPr>
          <w:p w14:paraId="69906D66" w14:textId="77777777" w:rsidR="00743EF4" w:rsidRPr="001B4CA2" w:rsidRDefault="00743EF4" w:rsidP="00743EF4">
            <w:pPr>
              <w:jc w:val="center"/>
              <w:rPr>
                <w:rFonts w:ascii="Calibri" w:hAnsi="Calibri" w:cs="Calibri"/>
                <w:b/>
                <w:bCs/>
                <w:color w:val="000000"/>
                <w:sz w:val="20"/>
                <w:szCs w:val="20"/>
              </w:rPr>
            </w:pPr>
            <w:r w:rsidRPr="001B4CA2">
              <w:rPr>
                <w:rFonts w:ascii="Calibri" w:hAnsi="Calibri" w:cs="Calibri"/>
                <w:b/>
                <w:bCs/>
                <w:color w:val="000000"/>
                <w:sz w:val="20"/>
                <w:szCs w:val="20"/>
              </w:rPr>
              <w:t>4</w:t>
            </w:r>
          </w:p>
        </w:tc>
        <w:tc>
          <w:tcPr>
            <w:tcW w:w="206" w:type="pct"/>
            <w:tcBorders>
              <w:top w:val="nil"/>
              <w:left w:val="nil"/>
              <w:bottom w:val="single" w:sz="4" w:space="0" w:color="auto"/>
              <w:right w:val="single" w:sz="4" w:space="0" w:color="auto"/>
            </w:tcBorders>
            <w:shd w:val="clear" w:color="auto" w:fill="auto"/>
            <w:noWrap/>
            <w:vAlign w:val="center"/>
          </w:tcPr>
          <w:p w14:paraId="64C1E241"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50</w:t>
            </w:r>
          </w:p>
        </w:tc>
        <w:tc>
          <w:tcPr>
            <w:tcW w:w="124" w:type="pct"/>
            <w:tcBorders>
              <w:top w:val="nil"/>
              <w:left w:val="nil"/>
              <w:bottom w:val="single" w:sz="4" w:space="0" w:color="auto"/>
              <w:right w:val="single" w:sz="4" w:space="0" w:color="auto"/>
            </w:tcBorders>
            <w:shd w:val="clear" w:color="auto" w:fill="auto"/>
            <w:noWrap/>
            <w:vAlign w:val="center"/>
          </w:tcPr>
          <w:p w14:paraId="7D11CFA5"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64</w:t>
            </w:r>
          </w:p>
        </w:tc>
        <w:tc>
          <w:tcPr>
            <w:tcW w:w="130" w:type="pct"/>
            <w:tcBorders>
              <w:top w:val="nil"/>
              <w:left w:val="nil"/>
              <w:bottom w:val="single" w:sz="4" w:space="0" w:color="auto"/>
              <w:right w:val="single" w:sz="4" w:space="0" w:color="auto"/>
            </w:tcBorders>
            <w:shd w:val="clear" w:color="auto" w:fill="auto"/>
            <w:noWrap/>
            <w:vAlign w:val="center"/>
          </w:tcPr>
          <w:p w14:paraId="2F57ECB2" w14:textId="77777777" w:rsidR="00743EF4" w:rsidRPr="001B4CA2" w:rsidRDefault="00743EF4" w:rsidP="00743EF4">
            <w:pPr>
              <w:jc w:val="center"/>
              <w:rPr>
                <w:rFonts w:ascii="Calibri" w:hAnsi="Calibri" w:cs="Calibri"/>
                <w:b/>
                <w:bCs/>
                <w:color w:val="000000"/>
                <w:sz w:val="20"/>
                <w:szCs w:val="20"/>
              </w:rPr>
            </w:pPr>
            <w:r w:rsidRPr="001B4CA2">
              <w:rPr>
                <w:rFonts w:ascii="Calibri" w:hAnsi="Calibri" w:cs="Calibri"/>
                <w:b/>
                <w:bCs/>
                <w:color w:val="000000"/>
                <w:sz w:val="20"/>
                <w:szCs w:val="20"/>
              </w:rPr>
              <w:t>27</w:t>
            </w:r>
          </w:p>
        </w:tc>
        <w:tc>
          <w:tcPr>
            <w:tcW w:w="124" w:type="pct"/>
            <w:tcBorders>
              <w:top w:val="nil"/>
              <w:left w:val="nil"/>
              <w:bottom w:val="single" w:sz="4" w:space="0" w:color="auto"/>
              <w:right w:val="single" w:sz="4" w:space="0" w:color="auto"/>
            </w:tcBorders>
            <w:shd w:val="clear" w:color="auto" w:fill="auto"/>
            <w:noWrap/>
            <w:vAlign w:val="center"/>
          </w:tcPr>
          <w:p w14:paraId="5B2036F6" w14:textId="77777777" w:rsidR="00743EF4" w:rsidRPr="001B4CA2" w:rsidRDefault="00743EF4" w:rsidP="00743EF4">
            <w:pPr>
              <w:jc w:val="center"/>
              <w:rPr>
                <w:rFonts w:ascii="Calibri" w:hAnsi="Calibri" w:cs="Calibri"/>
                <w:b/>
                <w:bCs/>
                <w:color w:val="000000"/>
                <w:sz w:val="20"/>
                <w:szCs w:val="20"/>
              </w:rPr>
            </w:pPr>
            <w:r w:rsidRPr="001B4CA2">
              <w:rPr>
                <w:rFonts w:ascii="Calibri" w:hAnsi="Calibri" w:cs="Calibri"/>
                <w:b/>
                <w:bCs/>
                <w:color w:val="000000"/>
                <w:sz w:val="20"/>
                <w:szCs w:val="20"/>
              </w:rPr>
              <w:t>3</w:t>
            </w:r>
          </w:p>
        </w:tc>
        <w:tc>
          <w:tcPr>
            <w:tcW w:w="163" w:type="pct"/>
            <w:tcBorders>
              <w:top w:val="nil"/>
              <w:left w:val="nil"/>
              <w:bottom w:val="single" w:sz="4" w:space="0" w:color="auto"/>
              <w:right w:val="single" w:sz="4" w:space="0" w:color="auto"/>
            </w:tcBorders>
            <w:shd w:val="clear" w:color="auto" w:fill="auto"/>
            <w:noWrap/>
            <w:vAlign w:val="center"/>
          </w:tcPr>
          <w:p w14:paraId="7DE97473"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11</w:t>
            </w:r>
          </w:p>
        </w:tc>
        <w:tc>
          <w:tcPr>
            <w:tcW w:w="136" w:type="pct"/>
            <w:tcBorders>
              <w:top w:val="nil"/>
              <w:left w:val="nil"/>
              <w:bottom w:val="single" w:sz="4" w:space="0" w:color="auto"/>
              <w:right w:val="single" w:sz="4" w:space="0" w:color="auto"/>
            </w:tcBorders>
            <w:shd w:val="clear" w:color="auto" w:fill="auto"/>
            <w:noWrap/>
            <w:vAlign w:val="center"/>
          </w:tcPr>
          <w:p w14:paraId="00254E00"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45</w:t>
            </w:r>
          </w:p>
        </w:tc>
        <w:tc>
          <w:tcPr>
            <w:tcW w:w="209" w:type="pct"/>
            <w:tcBorders>
              <w:top w:val="nil"/>
              <w:left w:val="nil"/>
              <w:bottom w:val="single" w:sz="4" w:space="0" w:color="auto"/>
              <w:right w:val="single" w:sz="4" w:space="0" w:color="auto"/>
            </w:tcBorders>
            <w:shd w:val="clear" w:color="auto" w:fill="auto"/>
            <w:noWrap/>
            <w:vAlign w:val="center"/>
          </w:tcPr>
          <w:p w14:paraId="322E10F8" w14:textId="77777777" w:rsidR="00743EF4" w:rsidRPr="001B4CA2" w:rsidRDefault="00743EF4" w:rsidP="00743EF4">
            <w:pPr>
              <w:jc w:val="center"/>
              <w:rPr>
                <w:rFonts w:ascii="Calibri" w:hAnsi="Calibri" w:cs="Calibri"/>
                <w:b/>
                <w:bCs/>
                <w:color w:val="000000"/>
                <w:sz w:val="20"/>
                <w:szCs w:val="20"/>
              </w:rPr>
            </w:pPr>
            <w:r w:rsidRPr="001B4CA2">
              <w:rPr>
                <w:rFonts w:ascii="Calibri" w:hAnsi="Calibri" w:cs="Calibri"/>
                <w:b/>
                <w:bCs/>
                <w:color w:val="000000"/>
                <w:sz w:val="20"/>
                <w:szCs w:val="20"/>
              </w:rPr>
              <w:t>1.707</w:t>
            </w:r>
          </w:p>
        </w:tc>
        <w:tc>
          <w:tcPr>
            <w:tcW w:w="172" w:type="pct"/>
            <w:tcBorders>
              <w:top w:val="nil"/>
              <w:left w:val="nil"/>
              <w:bottom w:val="single" w:sz="4" w:space="0" w:color="auto"/>
              <w:right w:val="single" w:sz="4" w:space="0" w:color="auto"/>
            </w:tcBorders>
            <w:shd w:val="clear" w:color="auto" w:fill="auto"/>
            <w:noWrap/>
            <w:vAlign w:val="center"/>
          </w:tcPr>
          <w:p w14:paraId="2C4DD210" w14:textId="77777777" w:rsidR="00743EF4" w:rsidRPr="001B4CA2" w:rsidRDefault="00743EF4" w:rsidP="00743EF4">
            <w:pPr>
              <w:jc w:val="center"/>
              <w:rPr>
                <w:rFonts w:ascii="Calibri" w:hAnsi="Calibri" w:cs="Calibri"/>
                <w:b/>
                <w:bCs/>
                <w:color w:val="000000"/>
                <w:sz w:val="20"/>
                <w:szCs w:val="20"/>
              </w:rPr>
            </w:pPr>
            <w:r w:rsidRPr="001B4CA2">
              <w:rPr>
                <w:rFonts w:ascii="Calibri" w:hAnsi="Calibri" w:cs="Calibri"/>
                <w:b/>
                <w:bCs/>
                <w:color w:val="000000"/>
                <w:sz w:val="20"/>
                <w:szCs w:val="20"/>
              </w:rPr>
              <w:t>476</w:t>
            </w:r>
          </w:p>
        </w:tc>
        <w:tc>
          <w:tcPr>
            <w:tcW w:w="193" w:type="pct"/>
            <w:tcBorders>
              <w:top w:val="single" w:sz="4" w:space="0" w:color="auto"/>
              <w:left w:val="nil"/>
              <w:bottom w:val="single" w:sz="4" w:space="0" w:color="auto"/>
              <w:right w:val="single" w:sz="4" w:space="0" w:color="auto"/>
            </w:tcBorders>
            <w:vAlign w:val="center"/>
          </w:tcPr>
          <w:p w14:paraId="40807B1E"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28</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BFFF66E" w14:textId="77777777" w:rsidR="00743EF4" w:rsidRPr="001B4CA2" w:rsidRDefault="00743EF4" w:rsidP="00743EF4">
            <w:pPr>
              <w:jc w:val="center"/>
              <w:rPr>
                <w:rFonts w:ascii="Calibri" w:hAnsi="Calibri" w:cs="Calibri"/>
                <w:b/>
                <w:bCs/>
                <w:color w:val="000000"/>
                <w:sz w:val="18"/>
                <w:szCs w:val="18"/>
              </w:rPr>
            </w:pPr>
            <w:r w:rsidRPr="001B4CA2">
              <w:rPr>
                <w:rFonts w:ascii="Calibri" w:hAnsi="Calibri" w:cs="Calibri"/>
                <w:b/>
                <w:bCs/>
                <w:color w:val="000000"/>
                <w:sz w:val="18"/>
                <w:szCs w:val="18"/>
              </w:rPr>
              <w:t>11.048</w:t>
            </w:r>
          </w:p>
        </w:tc>
      </w:tr>
    </w:tbl>
    <w:p w14:paraId="6AE177A6" w14:textId="2FE15841" w:rsidR="00A553BC" w:rsidRPr="001B4CA2" w:rsidRDefault="00A553BC" w:rsidP="00B010E6">
      <w:pPr>
        <w:ind w:left="-142"/>
        <w:contextualSpacing/>
        <w:jc w:val="left"/>
        <w:sectPr w:rsidR="00A553BC" w:rsidRPr="001B4CA2" w:rsidSect="008461B4">
          <w:headerReference w:type="default" r:id="rId18"/>
          <w:pgSz w:w="16838" w:h="11906" w:orient="landscape"/>
          <w:pgMar w:top="1417" w:right="1417" w:bottom="709" w:left="1417" w:header="709" w:footer="709" w:gutter="0"/>
          <w:cols w:space="708"/>
          <w:docGrid w:linePitch="360"/>
        </w:sectPr>
      </w:pPr>
    </w:p>
    <w:p w14:paraId="138F69A4" w14:textId="085250FD" w:rsidR="00B010E6" w:rsidRPr="001B4CA2" w:rsidRDefault="00743EF4" w:rsidP="00B010E6">
      <w:r w:rsidRPr="001B4CA2">
        <w:lastRenderedPageBreak/>
        <w:tab/>
      </w:r>
      <w:r w:rsidR="00B010E6" w:rsidRPr="001B4CA2">
        <w:t>U predmetima mirnog rješenja spora po zahtjevima Republike Hrvatske najveći broj nagodbi sklopljenih</w:t>
      </w:r>
      <w:r w:rsidR="001B4CA2">
        <w:t xml:space="preserve"> </w:t>
      </w:r>
      <w:r w:rsidR="00B010E6" w:rsidRPr="001B4CA2">
        <w:t>tijekom 2022. godine odnosi</w:t>
      </w:r>
      <w:r w:rsidR="009E6D91" w:rsidRPr="001B4CA2">
        <w:t>o</w:t>
      </w:r>
      <w:r w:rsidR="00B010E6" w:rsidRPr="001B4CA2">
        <w:t xml:space="preserve"> se na Ministarstvo poljoprivrede, čak 65</w:t>
      </w:r>
      <w:r w:rsidR="00343018">
        <w:t> </w:t>
      </w:r>
      <w:r w:rsidR="00B010E6" w:rsidRPr="001B4CA2">
        <w:t>%. Ri</w:t>
      </w:r>
      <w:r w:rsidR="00343018">
        <w:t>ječ je</w:t>
      </w:r>
      <w:r w:rsidR="00B010E6" w:rsidRPr="001B4CA2">
        <w:t xml:space="preserve"> o nagodbama koje s</w:t>
      </w:r>
      <w:r w:rsidR="009E6D91" w:rsidRPr="001B4CA2">
        <w:t>u se</w:t>
      </w:r>
      <w:r w:rsidR="00B010E6" w:rsidRPr="001B4CA2">
        <w:t xml:space="preserve"> velikim dijelom odnos</w:t>
      </w:r>
      <w:r w:rsidR="009E6D91" w:rsidRPr="001B4CA2">
        <w:t>ile</w:t>
      </w:r>
      <w:r w:rsidR="00B010E6" w:rsidRPr="001B4CA2">
        <w:t xml:space="preserve"> na </w:t>
      </w:r>
      <w:proofErr w:type="spellStart"/>
      <w:r w:rsidR="00B010E6" w:rsidRPr="001B4CA2">
        <w:t>stvarnopravne</w:t>
      </w:r>
      <w:proofErr w:type="spellEnd"/>
      <w:r w:rsidR="00B010E6" w:rsidRPr="001B4CA2">
        <w:t xml:space="preserve"> (utvrđenje prava vlasništva poljoprivrednog zemljišta i sl.) i </w:t>
      </w:r>
      <w:proofErr w:type="spellStart"/>
      <w:r w:rsidR="00B010E6" w:rsidRPr="001B4CA2">
        <w:t>obveznopravne</w:t>
      </w:r>
      <w:proofErr w:type="spellEnd"/>
      <w:r w:rsidR="00B010E6" w:rsidRPr="001B4CA2">
        <w:t xml:space="preserve"> sporove (potraživanja s osnov</w:t>
      </w:r>
      <w:r w:rsidR="00343018">
        <w:t>e</w:t>
      </w:r>
      <w:r w:rsidR="00B010E6" w:rsidRPr="001B4CA2">
        <w:t xml:space="preserve"> neplaćene zakupnine poljoprivrednog zemljišta i sl.).</w:t>
      </w:r>
    </w:p>
    <w:p w14:paraId="7FD47711" w14:textId="77777777" w:rsidR="00B010E6" w:rsidRPr="001B4CA2" w:rsidRDefault="00B010E6" w:rsidP="00B010E6"/>
    <w:p w14:paraId="14E8B3C0" w14:textId="58F9B720" w:rsidR="00B010E6" w:rsidRPr="001B4CA2" w:rsidRDefault="00B010E6" w:rsidP="00B010E6">
      <w:r w:rsidRPr="001B4CA2">
        <w:tab/>
        <w:t>Ministarstvo unutarnjih poslova sudjel</w:t>
      </w:r>
      <w:r w:rsidR="009E6D91" w:rsidRPr="001B4CA2">
        <w:t>ovalo je</w:t>
      </w:r>
      <w:r w:rsidRPr="001B4CA2">
        <w:t xml:space="preserve"> u ukupnom broju sklopljenih nagodbi sa 7</w:t>
      </w:r>
      <w:r w:rsidR="00343018">
        <w:t> </w:t>
      </w:r>
      <w:r w:rsidRPr="001B4CA2">
        <w:t xml:space="preserve">%, koje </w:t>
      </w:r>
      <w:r w:rsidR="009E6D91" w:rsidRPr="001B4CA2">
        <w:t>su se</w:t>
      </w:r>
      <w:r w:rsidRPr="001B4CA2">
        <w:t xml:space="preserve"> najvećim dijelom odnos</w:t>
      </w:r>
      <w:r w:rsidR="009E6D91" w:rsidRPr="001B4CA2">
        <w:t>ile</w:t>
      </w:r>
      <w:r w:rsidRPr="001B4CA2">
        <w:t xml:space="preserve"> na sporove naknade štete.</w:t>
      </w:r>
    </w:p>
    <w:p w14:paraId="3E4487DE" w14:textId="77777777" w:rsidR="00B010E6" w:rsidRPr="001B4CA2" w:rsidRDefault="00B010E6" w:rsidP="00B010E6"/>
    <w:p w14:paraId="661D358D" w14:textId="6436221A" w:rsidR="00B010E6" w:rsidRPr="001B4CA2" w:rsidRDefault="00B010E6" w:rsidP="00B010E6">
      <w:r w:rsidRPr="001B4CA2">
        <w:tab/>
        <w:t>U zastupanju Državnih nekretnina d.o.o. sklopljeno je 5</w:t>
      </w:r>
      <w:r w:rsidR="00343018">
        <w:t> </w:t>
      </w:r>
      <w:r w:rsidRPr="001B4CA2">
        <w:t xml:space="preserve">% nagodbi kao i u zastupanju Ministarstva obrane, a koje se </w:t>
      </w:r>
      <w:r w:rsidR="00343018" w:rsidRPr="001B4CA2">
        <w:t xml:space="preserve">nagodbe </w:t>
      </w:r>
      <w:r w:rsidRPr="001B4CA2">
        <w:t xml:space="preserve">većinom odnose na </w:t>
      </w:r>
      <w:proofErr w:type="spellStart"/>
      <w:r w:rsidRPr="001B4CA2">
        <w:t>obveznopravne</w:t>
      </w:r>
      <w:proofErr w:type="spellEnd"/>
      <w:r w:rsidRPr="001B4CA2">
        <w:t xml:space="preserve"> sporove.</w:t>
      </w:r>
    </w:p>
    <w:p w14:paraId="099C3D44" w14:textId="77777777" w:rsidR="00B010E6" w:rsidRPr="001B4CA2" w:rsidRDefault="00B010E6" w:rsidP="00B010E6"/>
    <w:p w14:paraId="49E7016A" w14:textId="0BC731A4" w:rsidR="00B010E6" w:rsidRPr="001B4CA2" w:rsidRDefault="00B010E6" w:rsidP="00B010E6">
      <w:r w:rsidRPr="001B4CA2">
        <w:tab/>
        <w:t>Druga tijela u ukupnom broju sklopljenih nagodbi participira</w:t>
      </w:r>
      <w:r w:rsidR="009E6D91" w:rsidRPr="001B4CA2">
        <w:t>la su</w:t>
      </w:r>
      <w:r w:rsidRPr="001B4CA2">
        <w:t xml:space="preserve"> s manje od 5</w:t>
      </w:r>
      <w:r w:rsidR="00343018">
        <w:t> </w:t>
      </w:r>
      <w:r w:rsidRPr="001B4CA2">
        <w:t>%.</w:t>
      </w:r>
    </w:p>
    <w:p w14:paraId="3E2E23B0" w14:textId="77777777" w:rsidR="00B010E6" w:rsidRPr="001B4CA2" w:rsidRDefault="00B010E6" w:rsidP="00B010E6"/>
    <w:p w14:paraId="0B1BEB29" w14:textId="472DBC36" w:rsidR="00B010E6" w:rsidRPr="001B4CA2" w:rsidRDefault="00B010E6" w:rsidP="00B010E6">
      <w:r w:rsidRPr="001B4CA2">
        <w:tab/>
        <w:t xml:space="preserve">U odnosu na vrstu sporova okončanih sklapanjem izvansudske nagodbe </w:t>
      </w:r>
      <w:r w:rsidR="00343018">
        <w:t>razvidno</w:t>
      </w:r>
      <w:r w:rsidRPr="001B4CA2">
        <w:t xml:space="preserve"> je da se najvećim dijelom radi</w:t>
      </w:r>
      <w:r w:rsidR="009E6D91" w:rsidRPr="001B4CA2">
        <w:t>lo</w:t>
      </w:r>
      <w:r w:rsidRPr="001B4CA2">
        <w:t xml:space="preserve"> o </w:t>
      </w:r>
      <w:proofErr w:type="spellStart"/>
      <w:r w:rsidRPr="001B4CA2">
        <w:t>stvarnopravnim</w:t>
      </w:r>
      <w:proofErr w:type="spellEnd"/>
      <w:r w:rsidRPr="001B4CA2">
        <w:t xml:space="preserve"> (45</w:t>
      </w:r>
      <w:r w:rsidR="00343018">
        <w:t> </w:t>
      </w:r>
      <w:r w:rsidRPr="001B4CA2">
        <w:t xml:space="preserve">%) i </w:t>
      </w:r>
      <w:proofErr w:type="spellStart"/>
      <w:r w:rsidRPr="001B4CA2">
        <w:t>obveznopravnim</w:t>
      </w:r>
      <w:proofErr w:type="spellEnd"/>
      <w:r w:rsidRPr="001B4CA2">
        <w:t xml:space="preserve"> sporovima (44</w:t>
      </w:r>
      <w:r w:rsidR="00343018">
        <w:t> </w:t>
      </w:r>
      <w:r w:rsidRPr="001B4CA2">
        <w:t>%), dok se na sporove naknade štete odnosi</w:t>
      </w:r>
      <w:r w:rsidR="009E6D91" w:rsidRPr="001B4CA2">
        <w:t>lo</w:t>
      </w:r>
      <w:r w:rsidRPr="001B4CA2">
        <w:t xml:space="preserve"> samo 9</w:t>
      </w:r>
      <w:r w:rsidR="00343018">
        <w:t> </w:t>
      </w:r>
      <w:r w:rsidRPr="001B4CA2">
        <w:t>% sklopljenih nagodbi te po 1</w:t>
      </w:r>
      <w:r w:rsidR="00343018">
        <w:t> </w:t>
      </w:r>
      <w:r w:rsidRPr="001B4CA2">
        <w:t>% na radne i ostale sporove.</w:t>
      </w:r>
    </w:p>
    <w:p w14:paraId="49193DAA" w14:textId="77777777" w:rsidR="00B010E6" w:rsidRPr="001B4CA2" w:rsidRDefault="00B010E6" w:rsidP="00B010E6"/>
    <w:p w14:paraId="685F7E51" w14:textId="167ABD02" w:rsidR="00B010E6" w:rsidRPr="001B4CA2" w:rsidRDefault="00B010E6" w:rsidP="00B010E6">
      <w:r w:rsidRPr="001B4CA2">
        <w:tab/>
        <w:t xml:space="preserve">Nagodbe sklopljene u zastupanju Ministarstva poljoprivrede </w:t>
      </w:r>
      <w:r w:rsidR="009E6D91" w:rsidRPr="001B4CA2">
        <w:t>činile su</w:t>
      </w:r>
      <w:r w:rsidRPr="001B4CA2">
        <w:t xml:space="preserve"> 36</w:t>
      </w:r>
      <w:r w:rsidR="00343018">
        <w:t> </w:t>
      </w:r>
      <w:r w:rsidRPr="001B4CA2">
        <w:t>% ukupne vrijednosti sklopljenih nagodbi. Iako</w:t>
      </w:r>
      <w:r w:rsidR="009E6D91" w:rsidRPr="001B4CA2">
        <w:t xml:space="preserve"> je</w:t>
      </w:r>
      <w:r w:rsidRPr="001B4CA2">
        <w:t xml:space="preserve"> u ukupnom broju sklopljenih nagodbi Ministarstvo pravosuđa i uprave participira</w:t>
      </w:r>
      <w:r w:rsidR="009E6D91" w:rsidRPr="001B4CA2">
        <w:t>lo</w:t>
      </w:r>
      <w:r w:rsidRPr="001B4CA2">
        <w:t xml:space="preserve"> s malim brojem, njihova vrijednost čini</w:t>
      </w:r>
      <w:r w:rsidR="009E6D91" w:rsidRPr="001B4CA2">
        <w:t>la je</w:t>
      </w:r>
      <w:r w:rsidR="00343018">
        <w:t xml:space="preserve"> </w:t>
      </w:r>
      <w:r w:rsidRPr="001B4CA2">
        <w:t>16</w:t>
      </w:r>
      <w:r w:rsidR="00343018">
        <w:t> </w:t>
      </w:r>
      <w:r w:rsidRPr="001B4CA2">
        <w:t>% ukupne vrijednosti. Isto se može re</w:t>
      </w:r>
      <w:r w:rsidR="009E6D91" w:rsidRPr="001B4CA2">
        <w:t>ć</w:t>
      </w:r>
      <w:r w:rsidRPr="001B4CA2">
        <w:t>i i za Ministarstvo obrane</w:t>
      </w:r>
      <w:r w:rsidR="00343018">
        <w:t>,</w:t>
      </w:r>
      <w:r w:rsidRPr="001B4CA2">
        <w:t xml:space="preserve"> koje</w:t>
      </w:r>
      <w:r w:rsidR="00343018">
        <w:t xml:space="preserve"> je</w:t>
      </w:r>
      <w:r w:rsidRPr="001B4CA2">
        <w:t xml:space="preserve"> u ukupnoj vrijednosti sklopljenih nagodbi participira</w:t>
      </w:r>
      <w:r w:rsidR="009E6D91" w:rsidRPr="001B4CA2">
        <w:t>lo</w:t>
      </w:r>
      <w:r w:rsidRPr="001B4CA2">
        <w:t xml:space="preserve"> s 15</w:t>
      </w:r>
      <w:r w:rsidR="00343018">
        <w:t> </w:t>
      </w:r>
      <w:r w:rsidRPr="001B4CA2">
        <w:t xml:space="preserve">%. Udio ostalih tijela u ukupnoj vrijednosti sklopljenih nagodbi </w:t>
      </w:r>
      <w:r w:rsidR="009E6D91" w:rsidRPr="001B4CA2">
        <w:t xml:space="preserve">bio </w:t>
      </w:r>
      <w:r w:rsidRPr="001B4CA2">
        <w:t>je manji od 10</w:t>
      </w:r>
      <w:r w:rsidR="00343018">
        <w:t> </w:t>
      </w:r>
      <w:r w:rsidRPr="001B4CA2">
        <w:t>%.</w:t>
      </w:r>
    </w:p>
    <w:p w14:paraId="327DE848" w14:textId="77777777" w:rsidR="00B010E6" w:rsidRPr="001B4CA2" w:rsidRDefault="00B010E6" w:rsidP="00B010E6">
      <w:pPr>
        <w:rPr>
          <w:sz w:val="18"/>
          <w:szCs w:val="18"/>
        </w:rPr>
      </w:pPr>
    </w:p>
    <w:p w14:paraId="23586741" w14:textId="762699E0" w:rsidR="00B010E6" w:rsidRPr="001B4CA2" w:rsidRDefault="00B010E6" w:rsidP="00B36A94">
      <w:pPr>
        <w:pStyle w:val="Odlomakpopisa"/>
        <w:numPr>
          <w:ilvl w:val="0"/>
          <w:numId w:val="42"/>
        </w:numPr>
        <w:jc w:val="left"/>
        <w:rPr>
          <w:rFonts w:asciiTheme="minorHAnsi" w:hAnsiTheme="minorHAnsi" w:cstheme="minorBidi"/>
          <w:i/>
          <w:szCs w:val="22"/>
        </w:rPr>
      </w:pPr>
      <w:r w:rsidRPr="001B4CA2">
        <w:rPr>
          <w:rFonts w:asciiTheme="minorHAnsi" w:hAnsiTheme="minorHAnsi" w:cstheme="minorBidi"/>
          <w:i/>
          <w:szCs w:val="22"/>
        </w:rPr>
        <w:t>Podnositelj zahtjeva – druge osobe 2018. – 2022.</w:t>
      </w: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3"/>
        <w:gridCol w:w="1763"/>
        <w:gridCol w:w="1881"/>
        <w:gridCol w:w="1811"/>
      </w:tblGrid>
      <w:tr w:rsidR="00B010E6" w:rsidRPr="001B4CA2" w14:paraId="2E8D5F79" w14:textId="77777777" w:rsidTr="00FC6656">
        <w:trPr>
          <w:trHeight w:val="563"/>
          <w:jc w:val="center"/>
        </w:trPr>
        <w:tc>
          <w:tcPr>
            <w:tcW w:w="983" w:type="pct"/>
            <w:shd w:val="clear" w:color="auto" w:fill="99CCFF"/>
            <w:vAlign w:val="center"/>
            <w:hideMark/>
          </w:tcPr>
          <w:p w14:paraId="117DF019"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981" w:type="pct"/>
            <w:shd w:val="clear" w:color="auto" w:fill="99CCFF"/>
            <w:vAlign w:val="center"/>
            <w:hideMark/>
          </w:tcPr>
          <w:p w14:paraId="2770AD80"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 xml:space="preserve">Broj </w:t>
            </w:r>
            <w:r w:rsidRPr="001B4CA2">
              <w:rPr>
                <w:rFonts w:asciiTheme="minorHAnsi" w:eastAsia="Times New Roman" w:hAnsiTheme="minorHAnsi" w:cstheme="minorHAnsi"/>
                <w:b/>
                <w:bCs/>
                <w:sz w:val="18"/>
                <w:szCs w:val="18"/>
                <w:lang w:eastAsia="hr-HR"/>
              </w:rPr>
              <w:t xml:space="preserve">podnesenih </w:t>
            </w:r>
            <w:r w:rsidRPr="001B4CA2">
              <w:rPr>
                <w:rFonts w:asciiTheme="minorHAnsi" w:eastAsia="Times New Roman" w:hAnsiTheme="minorHAnsi" w:cstheme="minorHAnsi"/>
                <w:b/>
                <w:bCs/>
                <w:color w:val="000000"/>
                <w:sz w:val="18"/>
                <w:szCs w:val="18"/>
                <w:lang w:eastAsia="hr-HR"/>
              </w:rPr>
              <w:t>zahtjeva</w:t>
            </w:r>
          </w:p>
        </w:tc>
        <w:tc>
          <w:tcPr>
            <w:tcW w:w="981" w:type="pct"/>
            <w:shd w:val="clear" w:color="auto" w:fill="99CCFF"/>
            <w:vAlign w:val="center"/>
            <w:hideMark/>
          </w:tcPr>
          <w:p w14:paraId="28BCC6BE"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Broj sklopljenih nagodbi</w:t>
            </w:r>
          </w:p>
        </w:tc>
        <w:tc>
          <w:tcPr>
            <w:tcW w:w="1047" w:type="pct"/>
            <w:shd w:val="clear" w:color="auto" w:fill="99CCFF"/>
            <w:vAlign w:val="center"/>
            <w:hideMark/>
          </w:tcPr>
          <w:p w14:paraId="6D212630" w14:textId="77777777" w:rsidR="00B010E6" w:rsidRPr="001B4CA2" w:rsidRDefault="00B010E6" w:rsidP="00B010E6">
            <w:pPr>
              <w:jc w:val="center"/>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sz w:val="18"/>
                <w:szCs w:val="18"/>
                <w:lang w:eastAsia="hr-HR"/>
              </w:rPr>
              <w:t>% sklopljenih nagodbi u odnosu na broj podnesenih zahtjeva</w:t>
            </w:r>
          </w:p>
        </w:tc>
        <w:tc>
          <w:tcPr>
            <w:tcW w:w="1008" w:type="pct"/>
            <w:shd w:val="clear" w:color="auto" w:fill="99CCFF"/>
            <w:vAlign w:val="center"/>
            <w:hideMark/>
          </w:tcPr>
          <w:p w14:paraId="2BC2DE00"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Vrijednost nagodbe</w:t>
            </w:r>
          </w:p>
          <w:p w14:paraId="6DCB6277"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 tisućama kuna)</w:t>
            </w:r>
          </w:p>
        </w:tc>
      </w:tr>
      <w:tr w:rsidR="00B010E6" w:rsidRPr="001B4CA2" w14:paraId="0B760846" w14:textId="77777777" w:rsidTr="00FC6656">
        <w:trPr>
          <w:trHeight w:val="460"/>
          <w:jc w:val="center"/>
        </w:trPr>
        <w:tc>
          <w:tcPr>
            <w:tcW w:w="983" w:type="pct"/>
            <w:shd w:val="clear" w:color="auto" w:fill="auto"/>
            <w:noWrap/>
            <w:vAlign w:val="center"/>
            <w:hideMark/>
          </w:tcPr>
          <w:p w14:paraId="009482B2"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2018.</w:t>
            </w:r>
          </w:p>
        </w:tc>
        <w:tc>
          <w:tcPr>
            <w:tcW w:w="981" w:type="pct"/>
            <w:shd w:val="clear" w:color="auto" w:fill="auto"/>
            <w:noWrap/>
            <w:vAlign w:val="center"/>
          </w:tcPr>
          <w:p w14:paraId="5C66A30E"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3.930</w:t>
            </w:r>
          </w:p>
        </w:tc>
        <w:tc>
          <w:tcPr>
            <w:tcW w:w="981" w:type="pct"/>
            <w:shd w:val="clear" w:color="auto" w:fill="auto"/>
            <w:noWrap/>
            <w:vAlign w:val="center"/>
          </w:tcPr>
          <w:p w14:paraId="688A395C"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556</w:t>
            </w:r>
          </w:p>
        </w:tc>
        <w:tc>
          <w:tcPr>
            <w:tcW w:w="1047" w:type="pct"/>
            <w:shd w:val="clear" w:color="auto" w:fill="auto"/>
            <w:noWrap/>
            <w:vAlign w:val="center"/>
          </w:tcPr>
          <w:p w14:paraId="19C76B98"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14%</w:t>
            </w:r>
          </w:p>
        </w:tc>
        <w:tc>
          <w:tcPr>
            <w:tcW w:w="1008" w:type="pct"/>
            <w:shd w:val="clear" w:color="auto" w:fill="auto"/>
            <w:noWrap/>
            <w:vAlign w:val="center"/>
          </w:tcPr>
          <w:p w14:paraId="127772A6"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29.155</w:t>
            </w:r>
          </w:p>
        </w:tc>
      </w:tr>
      <w:tr w:rsidR="00B010E6" w:rsidRPr="001B4CA2" w14:paraId="3285A297" w14:textId="77777777" w:rsidTr="00FC6656">
        <w:trPr>
          <w:trHeight w:val="460"/>
          <w:jc w:val="center"/>
        </w:trPr>
        <w:tc>
          <w:tcPr>
            <w:tcW w:w="983" w:type="pct"/>
            <w:shd w:val="clear" w:color="auto" w:fill="auto"/>
            <w:noWrap/>
            <w:vAlign w:val="center"/>
          </w:tcPr>
          <w:p w14:paraId="4A282139"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2019.</w:t>
            </w:r>
          </w:p>
        </w:tc>
        <w:tc>
          <w:tcPr>
            <w:tcW w:w="981" w:type="pct"/>
            <w:shd w:val="clear" w:color="auto" w:fill="auto"/>
            <w:noWrap/>
            <w:vAlign w:val="center"/>
          </w:tcPr>
          <w:p w14:paraId="008F5F9A"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4.193</w:t>
            </w:r>
          </w:p>
        </w:tc>
        <w:tc>
          <w:tcPr>
            <w:tcW w:w="981" w:type="pct"/>
            <w:shd w:val="clear" w:color="auto" w:fill="auto"/>
            <w:noWrap/>
            <w:vAlign w:val="center"/>
          </w:tcPr>
          <w:p w14:paraId="17534CE6"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864</w:t>
            </w:r>
          </w:p>
        </w:tc>
        <w:tc>
          <w:tcPr>
            <w:tcW w:w="1047" w:type="pct"/>
            <w:shd w:val="clear" w:color="auto" w:fill="auto"/>
            <w:noWrap/>
            <w:vAlign w:val="center"/>
          </w:tcPr>
          <w:p w14:paraId="71B9BEA3"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21%</w:t>
            </w:r>
          </w:p>
        </w:tc>
        <w:tc>
          <w:tcPr>
            <w:tcW w:w="1008" w:type="pct"/>
            <w:shd w:val="clear" w:color="auto" w:fill="auto"/>
            <w:noWrap/>
            <w:vAlign w:val="center"/>
          </w:tcPr>
          <w:p w14:paraId="7DD36990"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24.144</w:t>
            </w:r>
          </w:p>
        </w:tc>
      </w:tr>
      <w:tr w:rsidR="00B010E6" w:rsidRPr="001B4CA2" w14:paraId="7CC9F9C6" w14:textId="77777777" w:rsidTr="00FC6656">
        <w:trPr>
          <w:trHeight w:val="460"/>
          <w:jc w:val="center"/>
        </w:trPr>
        <w:tc>
          <w:tcPr>
            <w:tcW w:w="983" w:type="pct"/>
            <w:shd w:val="clear" w:color="auto" w:fill="auto"/>
            <w:noWrap/>
            <w:vAlign w:val="center"/>
          </w:tcPr>
          <w:p w14:paraId="4BBB3646"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sz w:val="18"/>
                <w:szCs w:val="18"/>
                <w:lang w:eastAsia="hr-HR"/>
              </w:rPr>
              <w:t>2020.</w:t>
            </w:r>
          </w:p>
        </w:tc>
        <w:tc>
          <w:tcPr>
            <w:tcW w:w="981" w:type="pct"/>
            <w:shd w:val="clear" w:color="auto" w:fill="auto"/>
            <w:noWrap/>
            <w:vAlign w:val="center"/>
          </w:tcPr>
          <w:p w14:paraId="681DF6D7" w14:textId="77777777" w:rsidR="00B010E6" w:rsidRPr="001B4CA2" w:rsidRDefault="00B010E6" w:rsidP="00B010E6">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6.141</w:t>
            </w:r>
          </w:p>
        </w:tc>
        <w:tc>
          <w:tcPr>
            <w:tcW w:w="981" w:type="pct"/>
            <w:shd w:val="clear" w:color="auto" w:fill="auto"/>
            <w:noWrap/>
            <w:vAlign w:val="center"/>
          </w:tcPr>
          <w:p w14:paraId="60938705" w14:textId="77777777" w:rsidR="00B010E6" w:rsidRPr="001B4CA2" w:rsidRDefault="00B010E6" w:rsidP="00B010E6">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885</w:t>
            </w:r>
          </w:p>
        </w:tc>
        <w:tc>
          <w:tcPr>
            <w:tcW w:w="1047" w:type="pct"/>
            <w:shd w:val="clear" w:color="auto" w:fill="auto"/>
            <w:noWrap/>
            <w:vAlign w:val="center"/>
          </w:tcPr>
          <w:p w14:paraId="16AFC0C2" w14:textId="77777777" w:rsidR="00B010E6" w:rsidRPr="001B4CA2" w:rsidRDefault="00B010E6" w:rsidP="00B010E6">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14%</w:t>
            </w:r>
          </w:p>
        </w:tc>
        <w:tc>
          <w:tcPr>
            <w:tcW w:w="1008" w:type="pct"/>
            <w:shd w:val="clear" w:color="auto" w:fill="auto"/>
            <w:noWrap/>
            <w:vAlign w:val="center"/>
          </w:tcPr>
          <w:p w14:paraId="6F828234" w14:textId="77777777" w:rsidR="00B010E6" w:rsidRPr="001B4CA2" w:rsidRDefault="00B010E6" w:rsidP="00B010E6">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18.492</w:t>
            </w:r>
          </w:p>
        </w:tc>
      </w:tr>
      <w:tr w:rsidR="00B010E6" w:rsidRPr="001B4CA2" w14:paraId="35DE9795" w14:textId="77777777" w:rsidTr="00FC6656">
        <w:trPr>
          <w:trHeight w:val="460"/>
          <w:jc w:val="center"/>
        </w:trPr>
        <w:tc>
          <w:tcPr>
            <w:tcW w:w="983" w:type="pct"/>
            <w:shd w:val="clear" w:color="auto" w:fill="auto"/>
            <w:noWrap/>
            <w:vAlign w:val="center"/>
          </w:tcPr>
          <w:p w14:paraId="6B802EEB" w14:textId="77777777" w:rsidR="00B010E6" w:rsidRPr="001B4CA2" w:rsidRDefault="00B010E6" w:rsidP="00B010E6">
            <w:pPr>
              <w:jc w:val="center"/>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2021.</w:t>
            </w:r>
          </w:p>
        </w:tc>
        <w:tc>
          <w:tcPr>
            <w:tcW w:w="981" w:type="pct"/>
            <w:shd w:val="clear" w:color="auto" w:fill="auto"/>
            <w:noWrap/>
            <w:vAlign w:val="center"/>
          </w:tcPr>
          <w:p w14:paraId="2F94CF4E" w14:textId="77777777" w:rsidR="00B010E6" w:rsidRPr="001B4CA2" w:rsidRDefault="00B010E6" w:rsidP="00B010E6">
            <w:pPr>
              <w:jc w:val="center"/>
              <w:rPr>
                <w:rFonts w:asciiTheme="majorHAnsi" w:hAnsiTheme="majorHAnsi" w:cstheme="majorHAnsi"/>
                <w:bCs/>
                <w:color w:val="000000"/>
                <w:sz w:val="18"/>
                <w:szCs w:val="18"/>
              </w:rPr>
            </w:pPr>
            <w:r w:rsidRPr="001B4CA2">
              <w:rPr>
                <w:rFonts w:asciiTheme="majorHAnsi" w:hAnsiTheme="majorHAnsi" w:cstheme="majorHAnsi"/>
                <w:bCs/>
                <w:color w:val="000000"/>
                <w:sz w:val="18"/>
                <w:szCs w:val="18"/>
              </w:rPr>
              <w:t>14.066</w:t>
            </w:r>
          </w:p>
        </w:tc>
        <w:tc>
          <w:tcPr>
            <w:tcW w:w="981" w:type="pct"/>
            <w:shd w:val="clear" w:color="auto" w:fill="auto"/>
            <w:noWrap/>
            <w:vAlign w:val="center"/>
          </w:tcPr>
          <w:p w14:paraId="7AE1A665" w14:textId="77777777" w:rsidR="00B010E6" w:rsidRPr="001B4CA2" w:rsidRDefault="00B010E6" w:rsidP="00B010E6">
            <w:pPr>
              <w:jc w:val="center"/>
              <w:rPr>
                <w:rFonts w:asciiTheme="majorHAnsi" w:hAnsiTheme="majorHAnsi" w:cstheme="majorHAnsi"/>
                <w:bCs/>
                <w:color w:val="000000"/>
                <w:sz w:val="18"/>
                <w:szCs w:val="18"/>
              </w:rPr>
            </w:pPr>
            <w:r w:rsidRPr="001B4CA2">
              <w:rPr>
                <w:rFonts w:asciiTheme="majorHAnsi" w:hAnsiTheme="majorHAnsi" w:cstheme="majorHAnsi"/>
                <w:bCs/>
                <w:color w:val="000000"/>
                <w:sz w:val="18"/>
                <w:szCs w:val="18"/>
              </w:rPr>
              <w:t>684</w:t>
            </w:r>
          </w:p>
        </w:tc>
        <w:tc>
          <w:tcPr>
            <w:tcW w:w="1047" w:type="pct"/>
            <w:shd w:val="clear" w:color="auto" w:fill="auto"/>
            <w:noWrap/>
            <w:vAlign w:val="center"/>
          </w:tcPr>
          <w:p w14:paraId="3DB96056" w14:textId="77777777" w:rsidR="00B010E6" w:rsidRPr="001B4CA2" w:rsidRDefault="00B010E6" w:rsidP="00B010E6">
            <w:pPr>
              <w:jc w:val="center"/>
              <w:rPr>
                <w:rFonts w:asciiTheme="majorHAnsi" w:hAnsiTheme="majorHAnsi" w:cstheme="majorHAnsi"/>
                <w:bCs/>
                <w:color w:val="000000"/>
                <w:sz w:val="18"/>
                <w:szCs w:val="18"/>
              </w:rPr>
            </w:pPr>
            <w:r w:rsidRPr="001B4CA2">
              <w:rPr>
                <w:rFonts w:asciiTheme="majorHAnsi" w:hAnsiTheme="majorHAnsi" w:cstheme="majorHAnsi"/>
                <w:bCs/>
                <w:color w:val="000000"/>
                <w:sz w:val="18"/>
                <w:szCs w:val="18"/>
              </w:rPr>
              <w:t>5%</w:t>
            </w:r>
          </w:p>
        </w:tc>
        <w:tc>
          <w:tcPr>
            <w:tcW w:w="1008" w:type="pct"/>
            <w:shd w:val="clear" w:color="auto" w:fill="auto"/>
            <w:noWrap/>
            <w:vAlign w:val="center"/>
          </w:tcPr>
          <w:p w14:paraId="0BB18F99" w14:textId="77777777" w:rsidR="00B010E6" w:rsidRPr="001B4CA2" w:rsidRDefault="00B010E6" w:rsidP="00B010E6">
            <w:pPr>
              <w:jc w:val="center"/>
              <w:rPr>
                <w:rFonts w:asciiTheme="majorHAnsi" w:hAnsiTheme="majorHAnsi" w:cstheme="majorHAnsi"/>
                <w:bCs/>
                <w:color w:val="000000"/>
                <w:sz w:val="18"/>
                <w:szCs w:val="18"/>
              </w:rPr>
            </w:pPr>
            <w:r w:rsidRPr="001B4CA2">
              <w:rPr>
                <w:rFonts w:asciiTheme="majorHAnsi" w:hAnsiTheme="majorHAnsi" w:cstheme="majorHAnsi"/>
                <w:bCs/>
                <w:color w:val="000000"/>
                <w:sz w:val="18"/>
                <w:szCs w:val="18"/>
              </w:rPr>
              <w:t>20.505</w:t>
            </w:r>
          </w:p>
        </w:tc>
      </w:tr>
      <w:tr w:rsidR="00B010E6" w:rsidRPr="001B4CA2" w14:paraId="2DBC5EDD" w14:textId="77777777" w:rsidTr="00FC6656">
        <w:trPr>
          <w:trHeight w:val="460"/>
          <w:jc w:val="center"/>
        </w:trPr>
        <w:tc>
          <w:tcPr>
            <w:tcW w:w="983" w:type="pct"/>
            <w:shd w:val="clear" w:color="auto" w:fill="auto"/>
            <w:noWrap/>
            <w:vAlign w:val="center"/>
          </w:tcPr>
          <w:p w14:paraId="3769EF0B" w14:textId="77777777" w:rsidR="00B010E6" w:rsidRPr="001B4CA2" w:rsidRDefault="00B010E6" w:rsidP="00B010E6">
            <w:pPr>
              <w:jc w:val="center"/>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2022.</w:t>
            </w:r>
          </w:p>
        </w:tc>
        <w:tc>
          <w:tcPr>
            <w:tcW w:w="981" w:type="pct"/>
            <w:shd w:val="clear" w:color="auto" w:fill="auto"/>
            <w:noWrap/>
            <w:vAlign w:val="center"/>
          </w:tcPr>
          <w:p w14:paraId="76045082" w14:textId="77777777" w:rsidR="00B010E6" w:rsidRPr="001B4CA2" w:rsidRDefault="00B010E6" w:rsidP="00B010E6">
            <w:pPr>
              <w:jc w:val="center"/>
              <w:rPr>
                <w:rFonts w:ascii="Calibri" w:hAnsi="Calibri" w:cs="Calibri"/>
                <w:bCs/>
                <w:color w:val="000000"/>
                <w:sz w:val="20"/>
                <w:szCs w:val="20"/>
              </w:rPr>
            </w:pPr>
            <w:r w:rsidRPr="001B4CA2">
              <w:rPr>
                <w:rFonts w:ascii="Calibri" w:hAnsi="Calibri" w:cs="Calibri"/>
                <w:bCs/>
                <w:color w:val="000000"/>
                <w:sz w:val="20"/>
                <w:szCs w:val="20"/>
              </w:rPr>
              <w:t>4.636</w:t>
            </w:r>
          </w:p>
        </w:tc>
        <w:tc>
          <w:tcPr>
            <w:tcW w:w="981" w:type="pct"/>
            <w:shd w:val="clear" w:color="auto" w:fill="auto"/>
            <w:noWrap/>
            <w:vAlign w:val="center"/>
          </w:tcPr>
          <w:p w14:paraId="1E91916D" w14:textId="77777777" w:rsidR="00B010E6" w:rsidRPr="001B4CA2" w:rsidRDefault="00B010E6" w:rsidP="00B010E6">
            <w:pPr>
              <w:jc w:val="center"/>
              <w:rPr>
                <w:rFonts w:ascii="Calibri" w:hAnsi="Calibri" w:cs="Calibri"/>
                <w:bCs/>
                <w:color w:val="000000"/>
                <w:sz w:val="20"/>
                <w:szCs w:val="20"/>
              </w:rPr>
            </w:pPr>
            <w:r w:rsidRPr="001B4CA2">
              <w:rPr>
                <w:rFonts w:ascii="Calibri" w:hAnsi="Calibri" w:cs="Calibri"/>
                <w:bCs/>
                <w:color w:val="000000"/>
                <w:sz w:val="20"/>
                <w:szCs w:val="20"/>
              </w:rPr>
              <w:t>979</w:t>
            </w:r>
          </w:p>
        </w:tc>
        <w:tc>
          <w:tcPr>
            <w:tcW w:w="1047" w:type="pct"/>
            <w:shd w:val="clear" w:color="auto" w:fill="auto"/>
            <w:noWrap/>
            <w:vAlign w:val="center"/>
          </w:tcPr>
          <w:p w14:paraId="5184C25C" w14:textId="77777777" w:rsidR="00B010E6" w:rsidRPr="001B4CA2" w:rsidRDefault="00B010E6" w:rsidP="00B010E6">
            <w:pPr>
              <w:jc w:val="center"/>
              <w:rPr>
                <w:rFonts w:ascii="Calibri" w:hAnsi="Calibri" w:cs="Calibri"/>
                <w:bCs/>
                <w:color w:val="000000"/>
                <w:sz w:val="20"/>
                <w:szCs w:val="20"/>
              </w:rPr>
            </w:pPr>
            <w:r w:rsidRPr="001B4CA2">
              <w:rPr>
                <w:rFonts w:ascii="Calibri" w:hAnsi="Calibri" w:cs="Calibri"/>
                <w:bCs/>
                <w:color w:val="000000"/>
                <w:sz w:val="20"/>
                <w:szCs w:val="20"/>
              </w:rPr>
              <w:t>21%</w:t>
            </w:r>
          </w:p>
        </w:tc>
        <w:tc>
          <w:tcPr>
            <w:tcW w:w="1008" w:type="pct"/>
            <w:shd w:val="clear" w:color="auto" w:fill="auto"/>
            <w:noWrap/>
            <w:vAlign w:val="center"/>
          </w:tcPr>
          <w:p w14:paraId="6D21335D" w14:textId="77777777" w:rsidR="00B010E6" w:rsidRPr="001B4CA2" w:rsidRDefault="00B010E6" w:rsidP="00B010E6">
            <w:pPr>
              <w:jc w:val="center"/>
              <w:rPr>
                <w:rFonts w:ascii="Calibri" w:hAnsi="Calibri" w:cs="Calibri"/>
                <w:bCs/>
                <w:color w:val="000000"/>
                <w:sz w:val="20"/>
                <w:szCs w:val="20"/>
              </w:rPr>
            </w:pPr>
            <w:r w:rsidRPr="001B4CA2">
              <w:rPr>
                <w:rFonts w:ascii="Calibri" w:hAnsi="Calibri" w:cs="Calibri"/>
                <w:bCs/>
                <w:color w:val="000000"/>
                <w:sz w:val="20"/>
                <w:szCs w:val="20"/>
              </w:rPr>
              <w:t>26.463</w:t>
            </w:r>
          </w:p>
        </w:tc>
      </w:tr>
    </w:tbl>
    <w:p w14:paraId="2E90034D" w14:textId="77777777" w:rsidR="00B010E6" w:rsidRPr="001B4CA2" w:rsidRDefault="00B010E6" w:rsidP="00B010E6">
      <w:pPr>
        <w:rPr>
          <w:sz w:val="20"/>
          <w:szCs w:val="20"/>
        </w:rPr>
      </w:pPr>
      <w:r w:rsidRPr="001B4CA2">
        <w:rPr>
          <w:sz w:val="20"/>
          <w:szCs w:val="20"/>
        </w:rPr>
        <w:tab/>
      </w:r>
    </w:p>
    <w:p w14:paraId="2EA1BF25" w14:textId="476235F5" w:rsidR="00B010E6" w:rsidRPr="001B4CA2" w:rsidRDefault="00B010E6" w:rsidP="00B36A94">
      <w:pPr>
        <w:tabs>
          <w:tab w:val="left" w:pos="851"/>
        </w:tabs>
        <w:ind w:firstLine="708"/>
      </w:pPr>
      <w:r w:rsidRPr="001B4CA2">
        <w:rPr>
          <w:szCs w:val="22"/>
        </w:rPr>
        <w:t>Analizirajući broj zaprimljenih predmeta izvansudskog rješavanja sporova u kojima su podnositelji zahtjeva druge fizičke osobe</w:t>
      </w:r>
      <w:r w:rsidR="00343018">
        <w:rPr>
          <w:szCs w:val="22"/>
        </w:rPr>
        <w:t>,</w:t>
      </w:r>
      <w:r w:rsidRPr="001B4CA2">
        <w:rPr>
          <w:szCs w:val="22"/>
        </w:rPr>
        <w:t xml:space="preserve"> </w:t>
      </w:r>
      <w:r w:rsidR="00343018">
        <w:rPr>
          <w:szCs w:val="22"/>
        </w:rPr>
        <w:t>razvidno</w:t>
      </w:r>
      <w:r w:rsidRPr="001B4CA2">
        <w:rPr>
          <w:szCs w:val="22"/>
        </w:rPr>
        <w:t xml:space="preserve"> je enormno smanjenje broja podnesenih zahtjeva. Radi se o smanjenju od čak 67 %</w:t>
      </w:r>
      <w:r w:rsidRPr="001B4CA2">
        <w:rPr>
          <w:rFonts w:cstheme="minorBidi"/>
          <w:szCs w:val="22"/>
        </w:rPr>
        <w:t xml:space="preserve"> u </w:t>
      </w:r>
      <w:r w:rsidRPr="001B4CA2">
        <w:rPr>
          <w:szCs w:val="22"/>
        </w:rPr>
        <w:t xml:space="preserve">odnosu na prethodno izvještajno razdoblje. Rezultat je to smanjenja broja podnesenih zahtjeva koji se odnose na isplate iz radnih odnosa. </w:t>
      </w:r>
      <w:r w:rsidRPr="001B4CA2">
        <w:t>Razlog velikog povećanja zahtjeva za mirno rješenje spora u 2021. bili su istovrsni zahtjevi državnih službenika kojima su potraživali isplatu naknade na ime razlike plaće za 2016. godinu (tzv. ugovoreno povećanje plaće za 6</w:t>
      </w:r>
      <w:r w:rsidR="00343018">
        <w:t> </w:t>
      </w:r>
      <w:r w:rsidRPr="001B4CA2">
        <w:t xml:space="preserve">%), a koji su </w:t>
      </w:r>
      <w:r w:rsidR="00343018" w:rsidRPr="001B4CA2">
        <w:t xml:space="preserve">zahtjevi </w:t>
      </w:r>
      <w:r w:rsidRPr="001B4CA2">
        <w:t xml:space="preserve">2022. izostali nakon što je Vrhovni sud </w:t>
      </w:r>
      <w:r w:rsidRPr="001B4CA2">
        <w:lastRenderedPageBreak/>
        <w:t>Republike Hrvatske u oglednom postupku provedenom sukladno odredbi članka 502.i Zakona o parničnom postupku donio odluku da su njihovi zahtjevi neosnovani.</w:t>
      </w:r>
    </w:p>
    <w:p w14:paraId="62BED80C" w14:textId="77777777" w:rsidR="009E6D91" w:rsidRPr="001B4CA2" w:rsidRDefault="009E6D91" w:rsidP="00B36A94">
      <w:pPr>
        <w:tabs>
          <w:tab w:val="left" w:pos="851"/>
        </w:tabs>
        <w:ind w:firstLine="708"/>
      </w:pPr>
    </w:p>
    <w:p w14:paraId="0E2EA9A3" w14:textId="2C07CA26" w:rsidR="00B010E6" w:rsidRPr="001B4CA2" w:rsidRDefault="00B010E6" w:rsidP="00B010E6">
      <w:pPr>
        <w:ind w:firstLine="708"/>
        <w:rPr>
          <w:szCs w:val="22"/>
        </w:rPr>
      </w:pPr>
      <w:r w:rsidRPr="001B4CA2">
        <w:rPr>
          <w:szCs w:val="22"/>
        </w:rPr>
        <w:t>U odnosu na prethodno izvještajno razdoblje došlo je do povećanja broja sklopljenih nagodbi za 16</w:t>
      </w:r>
      <w:r w:rsidR="00343018">
        <w:rPr>
          <w:szCs w:val="22"/>
        </w:rPr>
        <w:t> </w:t>
      </w:r>
      <w:r w:rsidRPr="001B4CA2">
        <w:rPr>
          <w:szCs w:val="22"/>
        </w:rPr>
        <w:t xml:space="preserve">%. Ovo povećanje broja sklopljenih nagodbi rezultat je činjenice da su u izvještajnoj godini izostali </w:t>
      </w:r>
      <w:proofErr w:type="spellStart"/>
      <w:r w:rsidRPr="001B4CA2">
        <w:rPr>
          <w:szCs w:val="22"/>
        </w:rPr>
        <w:t>radnopravni</w:t>
      </w:r>
      <w:proofErr w:type="spellEnd"/>
      <w:r w:rsidRPr="001B4CA2">
        <w:rPr>
          <w:szCs w:val="22"/>
        </w:rPr>
        <w:t xml:space="preserve"> zahtjevi državnih službenika temeljem uvećane osnovice plaće za </w:t>
      </w:r>
      <w:r w:rsidR="00343018">
        <w:rPr>
          <w:szCs w:val="22"/>
        </w:rPr>
        <w:t>6 %,</w:t>
      </w:r>
      <w:r w:rsidRPr="001B4CA2">
        <w:rPr>
          <w:szCs w:val="22"/>
        </w:rPr>
        <w:t xml:space="preserve"> kojih je u prethodnoj godini bilo iznimno </w:t>
      </w:r>
      <w:r w:rsidR="00343018">
        <w:rPr>
          <w:szCs w:val="22"/>
        </w:rPr>
        <w:t>mnogo</w:t>
      </w:r>
      <w:r w:rsidRPr="001B4CA2">
        <w:rPr>
          <w:szCs w:val="22"/>
        </w:rPr>
        <w:t xml:space="preserve">, a koji su ocijenjeni kao neosnovani, što je potvrdio i Vrhovni sud Republike Hrvatske </w:t>
      </w:r>
      <w:r w:rsidR="00E262DD" w:rsidRPr="001B4CA2">
        <w:rPr>
          <w:szCs w:val="22"/>
        </w:rPr>
        <w:t>svojom</w:t>
      </w:r>
      <w:r w:rsidRPr="001B4CA2">
        <w:rPr>
          <w:szCs w:val="22"/>
        </w:rPr>
        <w:t xml:space="preserve"> odlukom u oglednom postupku.</w:t>
      </w:r>
    </w:p>
    <w:p w14:paraId="2F2E98B9" w14:textId="77777777" w:rsidR="00B010E6" w:rsidRPr="001B4CA2" w:rsidRDefault="00B010E6" w:rsidP="00B010E6">
      <w:pPr>
        <w:rPr>
          <w:szCs w:val="22"/>
        </w:rPr>
      </w:pPr>
    </w:p>
    <w:p w14:paraId="29A5C820" w14:textId="468B2D52" w:rsidR="00B010E6" w:rsidRPr="001B4CA2" w:rsidRDefault="00B010E6" w:rsidP="00B010E6">
      <w:pPr>
        <w:tabs>
          <w:tab w:val="left" w:pos="709"/>
        </w:tabs>
        <w:rPr>
          <w:szCs w:val="22"/>
        </w:rPr>
      </w:pPr>
      <w:r w:rsidRPr="001B4CA2">
        <w:rPr>
          <w:szCs w:val="22"/>
        </w:rPr>
        <w:tab/>
        <w:t xml:space="preserve">Generalno se može reći da se nagodbom </w:t>
      </w:r>
      <w:r w:rsidR="009E6D91" w:rsidRPr="001B4CA2">
        <w:rPr>
          <w:szCs w:val="22"/>
        </w:rPr>
        <w:t>nisu</w:t>
      </w:r>
      <w:r w:rsidRPr="001B4CA2">
        <w:rPr>
          <w:szCs w:val="22"/>
        </w:rPr>
        <w:t xml:space="preserve"> riješ</w:t>
      </w:r>
      <w:r w:rsidR="009E6D91" w:rsidRPr="001B4CA2">
        <w:rPr>
          <w:szCs w:val="22"/>
        </w:rPr>
        <w:t>ili</w:t>
      </w:r>
      <w:r w:rsidRPr="001B4CA2">
        <w:rPr>
          <w:szCs w:val="22"/>
        </w:rPr>
        <w:t xml:space="preserve"> zahtjevi u kojima se radi o spornim potraživanjima prema državi, a predlagatelj mirnog rješenja spora uz prijedlog n</w:t>
      </w:r>
      <w:r w:rsidR="009E6D91" w:rsidRPr="001B4CA2">
        <w:rPr>
          <w:szCs w:val="22"/>
        </w:rPr>
        <w:t>ije</w:t>
      </w:r>
      <w:r w:rsidRPr="001B4CA2">
        <w:rPr>
          <w:szCs w:val="22"/>
        </w:rPr>
        <w:t xml:space="preserve"> dostavi</w:t>
      </w:r>
      <w:r w:rsidR="009E6D91" w:rsidRPr="001B4CA2">
        <w:rPr>
          <w:szCs w:val="22"/>
        </w:rPr>
        <w:t>o</w:t>
      </w:r>
      <w:r w:rsidRPr="001B4CA2">
        <w:rPr>
          <w:szCs w:val="22"/>
        </w:rPr>
        <w:t xml:space="preserve"> potrebnu dokumentaciju i dokaze pa odluku u konačnici donose sudovi. Takvi su </w:t>
      </w:r>
      <w:r w:rsidR="00343018" w:rsidRPr="001B4CA2">
        <w:rPr>
          <w:szCs w:val="22"/>
        </w:rPr>
        <w:t xml:space="preserve">prijedlozi </w:t>
      </w:r>
      <w:r w:rsidRPr="001B4CA2">
        <w:rPr>
          <w:szCs w:val="22"/>
        </w:rPr>
        <w:t xml:space="preserve">uglavnom formalno postavljeni samo u cilju ispunjenja procesne pretpostavke za podnošenje tužbe sudu. </w:t>
      </w:r>
    </w:p>
    <w:p w14:paraId="57FB4213" w14:textId="77777777" w:rsidR="00B010E6" w:rsidRPr="001B4CA2" w:rsidRDefault="00B010E6" w:rsidP="00B010E6">
      <w:pPr>
        <w:tabs>
          <w:tab w:val="left" w:pos="709"/>
        </w:tabs>
        <w:rPr>
          <w:szCs w:val="22"/>
        </w:rPr>
      </w:pPr>
    </w:p>
    <w:p w14:paraId="5D22B38F" w14:textId="77777777" w:rsidR="00B010E6" w:rsidRPr="001B4CA2" w:rsidRDefault="00B010E6" w:rsidP="00B010E6">
      <w:pPr>
        <w:tabs>
          <w:tab w:val="left" w:pos="709"/>
        </w:tabs>
        <w:rPr>
          <w:szCs w:val="22"/>
        </w:rPr>
      </w:pPr>
      <w:r w:rsidRPr="001B4CA2">
        <w:rPr>
          <w:szCs w:val="22"/>
        </w:rPr>
        <w:tab/>
        <w:t xml:space="preserve">Posljedično većem broju sklopljenih nagodbi došlo je i do povećanja njihove vrijednosti. </w:t>
      </w:r>
    </w:p>
    <w:p w14:paraId="174F5AEE" w14:textId="77777777" w:rsidR="00B010E6" w:rsidRPr="001B4CA2" w:rsidRDefault="00B010E6" w:rsidP="00B010E6">
      <w:pPr>
        <w:rPr>
          <w:szCs w:val="22"/>
        </w:rPr>
      </w:pPr>
    </w:p>
    <w:p w14:paraId="709CE451" w14:textId="77777777" w:rsidR="00997D62" w:rsidRPr="001B4CA2" w:rsidRDefault="00997D62" w:rsidP="00AA68E5"/>
    <w:p w14:paraId="3E8E7B81" w14:textId="43021DD1" w:rsidR="00FD2F80" w:rsidRPr="001B4CA2" w:rsidRDefault="00FD2F80" w:rsidP="006806D3">
      <w:pPr>
        <w:sectPr w:rsidR="00FD2F80" w:rsidRPr="001B4CA2" w:rsidSect="007418AF">
          <w:pgSz w:w="11906" w:h="16838"/>
          <w:pgMar w:top="1417" w:right="1417" w:bottom="1417" w:left="1417" w:header="709" w:footer="709" w:gutter="0"/>
          <w:cols w:space="708"/>
          <w:docGrid w:linePitch="360"/>
        </w:sectPr>
      </w:pPr>
      <w:r w:rsidRPr="001B4CA2">
        <w:br w:type="page"/>
      </w:r>
    </w:p>
    <w:p w14:paraId="2E7C003D" w14:textId="56422867" w:rsidR="00B010E6" w:rsidRPr="001B4CA2" w:rsidRDefault="00B010E6" w:rsidP="00B36A94">
      <w:pPr>
        <w:pStyle w:val="Odlomakpopisa"/>
        <w:numPr>
          <w:ilvl w:val="0"/>
          <w:numId w:val="42"/>
        </w:numPr>
        <w:jc w:val="left"/>
        <w:rPr>
          <w:rFonts w:asciiTheme="minorHAnsi" w:hAnsiTheme="minorHAnsi" w:cstheme="minorBidi"/>
          <w:i/>
          <w:szCs w:val="22"/>
        </w:rPr>
      </w:pPr>
      <w:r w:rsidRPr="001B4CA2">
        <w:rPr>
          <w:rFonts w:asciiTheme="minorHAnsi" w:hAnsiTheme="minorHAnsi" w:cstheme="minorBidi"/>
          <w:i/>
          <w:szCs w:val="22"/>
        </w:rPr>
        <w:lastRenderedPageBreak/>
        <w:t>Sklopljene nagodbe prema zastupanom tijelu, vrsti i vrijednosti spora u 2022.</w:t>
      </w:r>
      <w:r w:rsidR="00343018">
        <w:rPr>
          <w:rFonts w:asciiTheme="minorHAnsi" w:hAnsiTheme="minorHAnsi" w:cstheme="minorBidi"/>
          <w:i/>
          <w:szCs w:val="22"/>
        </w:rPr>
        <w:t xml:space="preserve"> –</w:t>
      </w:r>
      <w:r w:rsidRPr="001B4CA2">
        <w:rPr>
          <w:rFonts w:asciiTheme="minorHAnsi" w:hAnsiTheme="minorHAnsi" w:cstheme="minorBidi"/>
          <w:i/>
          <w:szCs w:val="22"/>
        </w:rPr>
        <w:t xml:space="preserve"> podnositelj zahtjeva</w:t>
      </w:r>
      <w:r w:rsidR="001B4CA2">
        <w:rPr>
          <w:rFonts w:asciiTheme="minorHAnsi" w:hAnsiTheme="minorHAnsi" w:cstheme="minorBidi"/>
          <w:i/>
          <w:szCs w:val="22"/>
        </w:rPr>
        <w:t xml:space="preserve"> </w:t>
      </w:r>
      <w:r w:rsidRPr="001B4CA2">
        <w:rPr>
          <w:rFonts w:asciiTheme="minorHAnsi" w:hAnsiTheme="minorHAnsi" w:cstheme="minorBidi"/>
          <w:i/>
          <w:szCs w:val="22"/>
        </w:rPr>
        <w:t xml:space="preserve">druge osobe </w:t>
      </w:r>
    </w:p>
    <w:tbl>
      <w:tblPr>
        <w:tblW w:w="5532" w:type="pct"/>
        <w:jc w:val="center"/>
        <w:tblLook w:val="04A0" w:firstRow="1" w:lastRow="0" w:firstColumn="1" w:lastColumn="0" w:noHBand="0" w:noVBand="1"/>
      </w:tblPr>
      <w:tblGrid>
        <w:gridCol w:w="2517"/>
        <w:gridCol w:w="629"/>
        <w:gridCol w:w="490"/>
        <w:gridCol w:w="585"/>
        <w:gridCol w:w="721"/>
        <w:gridCol w:w="521"/>
        <w:gridCol w:w="521"/>
        <w:gridCol w:w="628"/>
        <w:gridCol w:w="490"/>
        <w:gridCol w:w="519"/>
        <w:gridCol w:w="416"/>
        <w:gridCol w:w="489"/>
        <w:gridCol w:w="629"/>
        <w:gridCol w:w="675"/>
        <w:gridCol w:w="521"/>
        <w:gridCol w:w="598"/>
        <w:gridCol w:w="629"/>
        <w:gridCol w:w="399"/>
        <w:gridCol w:w="388"/>
        <w:gridCol w:w="548"/>
        <w:gridCol w:w="399"/>
        <w:gridCol w:w="629"/>
        <w:gridCol w:w="490"/>
        <w:gridCol w:w="581"/>
        <w:gridCol w:w="721"/>
      </w:tblGrid>
      <w:tr w:rsidR="00BC6496" w:rsidRPr="001B4CA2" w14:paraId="0C944F78" w14:textId="77777777" w:rsidTr="00BC6496">
        <w:trPr>
          <w:trHeight w:val="318"/>
          <w:jc w:val="center"/>
        </w:trPr>
        <w:tc>
          <w:tcPr>
            <w:tcW w:w="801" w:type="pct"/>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622009F" w14:textId="77777777" w:rsidR="00B010E6" w:rsidRPr="001B4CA2" w:rsidRDefault="00B010E6" w:rsidP="00B010E6">
            <w:pPr>
              <w:jc w:val="center"/>
              <w:rPr>
                <w:b/>
                <w:bCs/>
                <w:sz w:val="14"/>
                <w:szCs w:val="16"/>
              </w:rPr>
            </w:pPr>
            <w:r w:rsidRPr="001B4CA2">
              <w:rPr>
                <w:b/>
                <w:bCs/>
                <w:sz w:val="14"/>
                <w:szCs w:val="16"/>
              </w:rPr>
              <w:t xml:space="preserve">Naziv ministarstva ili drugog tijela </w:t>
            </w:r>
          </w:p>
        </w:tc>
        <w:tc>
          <w:tcPr>
            <w:tcW w:w="773" w:type="pct"/>
            <w:gridSpan w:val="4"/>
            <w:tcBorders>
              <w:top w:val="single" w:sz="4" w:space="0" w:color="auto"/>
              <w:left w:val="nil"/>
              <w:bottom w:val="single" w:sz="4" w:space="0" w:color="auto"/>
              <w:right w:val="single" w:sz="4" w:space="0" w:color="auto"/>
            </w:tcBorders>
            <w:shd w:val="clear" w:color="auto" w:fill="99CCFF"/>
            <w:vAlign w:val="center"/>
            <w:hideMark/>
          </w:tcPr>
          <w:p w14:paraId="417EB325" w14:textId="77777777" w:rsidR="00B010E6" w:rsidRPr="001B4CA2" w:rsidRDefault="00B010E6" w:rsidP="00B010E6">
            <w:pPr>
              <w:jc w:val="center"/>
              <w:rPr>
                <w:b/>
                <w:bCs/>
                <w:sz w:val="14"/>
                <w:szCs w:val="16"/>
              </w:rPr>
            </w:pPr>
            <w:proofErr w:type="spellStart"/>
            <w:r w:rsidRPr="001B4CA2">
              <w:rPr>
                <w:b/>
                <w:bCs/>
                <w:sz w:val="14"/>
                <w:szCs w:val="16"/>
              </w:rPr>
              <w:t>Stvarnopravni</w:t>
            </w:r>
            <w:proofErr w:type="spellEnd"/>
            <w:r w:rsidRPr="001B4CA2">
              <w:rPr>
                <w:b/>
                <w:bCs/>
                <w:sz w:val="14"/>
                <w:szCs w:val="16"/>
              </w:rPr>
              <w:t xml:space="preserve"> sporovi</w:t>
            </w:r>
          </w:p>
        </w:tc>
        <w:tc>
          <w:tcPr>
            <w:tcW w:w="687" w:type="pct"/>
            <w:gridSpan w:val="4"/>
            <w:tcBorders>
              <w:top w:val="single" w:sz="4" w:space="0" w:color="auto"/>
              <w:left w:val="nil"/>
              <w:bottom w:val="single" w:sz="4" w:space="0" w:color="auto"/>
              <w:right w:val="single" w:sz="4" w:space="0" w:color="000000"/>
            </w:tcBorders>
            <w:shd w:val="clear" w:color="auto" w:fill="99CCFF"/>
            <w:vAlign w:val="center"/>
            <w:hideMark/>
          </w:tcPr>
          <w:p w14:paraId="34AB750C" w14:textId="77777777" w:rsidR="00B010E6" w:rsidRPr="001B4CA2" w:rsidRDefault="00B010E6" w:rsidP="00B010E6">
            <w:pPr>
              <w:jc w:val="center"/>
              <w:rPr>
                <w:b/>
                <w:bCs/>
                <w:color w:val="000000"/>
                <w:sz w:val="14"/>
                <w:szCs w:val="16"/>
              </w:rPr>
            </w:pPr>
            <w:proofErr w:type="spellStart"/>
            <w:r w:rsidRPr="001B4CA2">
              <w:rPr>
                <w:b/>
                <w:bCs/>
                <w:color w:val="000000"/>
                <w:sz w:val="14"/>
                <w:szCs w:val="16"/>
              </w:rPr>
              <w:t>Obveznopravni</w:t>
            </w:r>
            <w:proofErr w:type="spellEnd"/>
            <w:r w:rsidRPr="001B4CA2">
              <w:rPr>
                <w:b/>
                <w:bCs/>
                <w:color w:val="000000"/>
                <w:sz w:val="14"/>
                <w:szCs w:val="16"/>
              </w:rPr>
              <w:t xml:space="preserve"> sporovi</w:t>
            </w:r>
          </w:p>
        </w:tc>
        <w:tc>
          <w:tcPr>
            <w:tcW w:w="655" w:type="pct"/>
            <w:gridSpan w:val="4"/>
            <w:tcBorders>
              <w:top w:val="single" w:sz="4" w:space="0" w:color="auto"/>
              <w:left w:val="nil"/>
              <w:bottom w:val="single" w:sz="4" w:space="0" w:color="auto"/>
              <w:right w:val="single" w:sz="4" w:space="0" w:color="auto"/>
            </w:tcBorders>
            <w:shd w:val="clear" w:color="auto" w:fill="99CCFF"/>
            <w:vAlign w:val="center"/>
            <w:hideMark/>
          </w:tcPr>
          <w:p w14:paraId="30B628B3" w14:textId="77777777" w:rsidR="00B010E6" w:rsidRPr="001B4CA2" w:rsidRDefault="00B010E6" w:rsidP="00B010E6">
            <w:pPr>
              <w:jc w:val="center"/>
              <w:rPr>
                <w:b/>
                <w:bCs/>
                <w:sz w:val="14"/>
                <w:szCs w:val="16"/>
              </w:rPr>
            </w:pPr>
            <w:r w:rsidRPr="001B4CA2">
              <w:rPr>
                <w:b/>
                <w:bCs/>
                <w:sz w:val="14"/>
                <w:szCs w:val="16"/>
              </w:rPr>
              <w:t>Naknada štete</w:t>
            </w:r>
          </w:p>
        </w:tc>
        <w:tc>
          <w:tcPr>
            <w:tcW w:w="771" w:type="pct"/>
            <w:gridSpan w:val="4"/>
            <w:tcBorders>
              <w:top w:val="single" w:sz="4" w:space="0" w:color="auto"/>
              <w:left w:val="nil"/>
              <w:bottom w:val="nil"/>
              <w:right w:val="single" w:sz="4" w:space="0" w:color="000000"/>
            </w:tcBorders>
            <w:shd w:val="clear" w:color="auto" w:fill="99CCFF"/>
            <w:vAlign w:val="center"/>
            <w:hideMark/>
          </w:tcPr>
          <w:p w14:paraId="57441E9D" w14:textId="77777777" w:rsidR="00B010E6" w:rsidRPr="001B4CA2" w:rsidRDefault="00B010E6" w:rsidP="00B010E6">
            <w:pPr>
              <w:jc w:val="center"/>
              <w:rPr>
                <w:b/>
                <w:bCs/>
                <w:sz w:val="14"/>
                <w:szCs w:val="16"/>
              </w:rPr>
            </w:pPr>
            <w:r w:rsidRPr="001B4CA2">
              <w:rPr>
                <w:b/>
                <w:bCs/>
                <w:sz w:val="14"/>
                <w:szCs w:val="16"/>
              </w:rPr>
              <w:t>Radni sporovi</w:t>
            </w:r>
          </w:p>
        </w:tc>
        <w:tc>
          <w:tcPr>
            <w:tcW w:w="552" w:type="pct"/>
            <w:gridSpan w:val="4"/>
            <w:tcBorders>
              <w:top w:val="single" w:sz="4" w:space="0" w:color="auto"/>
              <w:left w:val="nil"/>
              <w:bottom w:val="nil"/>
              <w:right w:val="single" w:sz="4" w:space="0" w:color="000000"/>
            </w:tcBorders>
            <w:shd w:val="clear" w:color="auto" w:fill="99CCFF"/>
            <w:vAlign w:val="center"/>
            <w:hideMark/>
          </w:tcPr>
          <w:p w14:paraId="6B5740BA" w14:textId="77777777" w:rsidR="00B010E6" w:rsidRPr="001B4CA2" w:rsidRDefault="00B010E6" w:rsidP="00B010E6">
            <w:pPr>
              <w:jc w:val="center"/>
              <w:rPr>
                <w:b/>
                <w:bCs/>
                <w:color w:val="000000"/>
                <w:sz w:val="14"/>
                <w:szCs w:val="16"/>
              </w:rPr>
            </w:pPr>
            <w:r w:rsidRPr="001B4CA2">
              <w:rPr>
                <w:b/>
                <w:bCs/>
                <w:color w:val="000000"/>
                <w:sz w:val="14"/>
                <w:szCs w:val="16"/>
              </w:rPr>
              <w:t>Ostali parnični sporovi</w:t>
            </w:r>
          </w:p>
        </w:tc>
        <w:tc>
          <w:tcPr>
            <w:tcW w:w="762" w:type="pct"/>
            <w:gridSpan w:val="4"/>
            <w:vMerge w:val="restart"/>
            <w:tcBorders>
              <w:top w:val="single" w:sz="4" w:space="0" w:color="auto"/>
              <w:left w:val="single" w:sz="4" w:space="0" w:color="auto"/>
              <w:right w:val="single" w:sz="4" w:space="0" w:color="000000"/>
            </w:tcBorders>
            <w:shd w:val="clear" w:color="auto" w:fill="99CCFF"/>
          </w:tcPr>
          <w:p w14:paraId="0D5B1BA8" w14:textId="77777777" w:rsidR="00B010E6" w:rsidRPr="001B4CA2" w:rsidRDefault="00B010E6" w:rsidP="00B010E6">
            <w:pPr>
              <w:jc w:val="center"/>
              <w:rPr>
                <w:b/>
                <w:bCs/>
                <w:color w:val="000000"/>
                <w:sz w:val="14"/>
                <w:szCs w:val="16"/>
              </w:rPr>
            </w:pPr>
          </w:p>
          <w:p w14:paraId="7B40A7B6" w14:textId="77777777" w:rsidR="00B010E6" w:rsidRPr="001B4CA2" w:rsidRDefault="00B010E6" w:rsidP="00B010E6">
            <w:pPr>
              <w:jc w:val="center"/>
              <w:rPr>
                <w:b/>
                <w:bCs/>
                <w:color w:val="000000"/>
                <w:sz w:val="14"/>
                <w:szCs w:val="16"/>
              </w:rPr>
            </w:pPr>
            <w:r w:rsidRPr="001B4CA2">
              <w:rPr>
                <w:b/>
                <w:bCs/>
                <w:color w:val="000000"/>
                <w:sz w:val="14"/>
                <w:szCs w:val="16"/>
              </w:rPr>
              <w:t>Ukupno</w:t>
            </w:r>
          </w:p>
          <w:p w14:paraId="7A6EED58" w14:textId="77777777" w:rsidR="00B010E6" w:rsidRPr="001B4CA2" w:rsidRDefault="00B010E6" w:rsidP="00B010E6">
            <w:pPr>
              <w:jc w:val="center"/>
              <w:rPr>
                <w:b/>
                <w:bCs/>
                <w:color w:val="000000"/>
                <w:sz w:val="12"/>
                <w:szCs w:val="12"/>
              </w:rPr>
            </w:pPr>
            <w:r w:rsidRPr="001B4CA2">
              <w:rPr>
                <w:b/>
                <w:bCs/>
                <w:color w:val="000000"/>
                <w:sz w:val="12"/>
                <w:szCs w:val="12"/>
              </w:rPr>
              <w:t xml:space="preserve">Podnositelj zahtjeva druge osobe </w:t>
            </w:r>
          </w:p>
        </w:tc>
      </w:tr>
      <w:tr w:rsidR="00BC6496" w:rsidRPr="001B4CA2" w14:paraId="56778364" w14:textId="77777777" w:rsidTr="00BC6496">
        <w:trPr>
          <w:trHeight w:val="336"/>
          <w:jc w:val="center"/>
        </w:trPr>
        <w:tc>
          <w:tcPr>
            <w:tcW w:w="801" w:type="pct"/>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30B963DE" w14:textId="77777777" w:rsidR="00B010E6" w:rsidRPr="001B4CA2" w:rsidRDefault="00B010E6" w:rsidP="00B010E6">
            <w:pPr>
              <w:rPr>
                <w:b/>
                <w:bCs/>
                <w:sz w:val="14"/>
                <w:szCs w:val="16"/>
              </w:rPr>
            </w:pPr>
          </w:p>
        </w:tc>
        <w:tc>
          <w:tcPr>
            <w:tcW w:w="773" w:type="pct"/>
            <w:gridSpan w:val="4"/>
            <w:tcBorders>
              <w:top w:val="single" w:sz="4" w:space="0" w:color="auto"/>
              <w:left w:val="nil"/>
              <w:bottom w:val="single" w:sz="4" w:space="0" w:color="auto"/>
              <w:right w:val="single" w:sz="4" w:space="0" w:color="000000"/>
            </w:tcBorders>
            <w:shd w:val="clear" w:color="auto" w:fill="99CCFF"/>
            <w:vAlign w:val="center"/>
            <w:hideMark/>
          </w:tcPr>
          <w:p w14:paraId="53391B1B" w14:textId="77777777" w:rsidR="00B010E6" w:rsidRPr="001B4CA2" w:rsidRDefault="00B010E6" w:rsidP="00B010E6">
            <w:pPr>
              <w:jc w:val="center"/>
              <w:rPr>
                <w:b/>
                <w:bCs/>
                <w:sz w:val="14"/>
                <w:szCs w:val="16"/>
              </w:rPr>
            </w:pPr>
            <w:r w:rsidRPr="001B4CA2">
              <w:rPr>
                <w:b/>
                <w:bCs/>
                <w:sz w:val="14"/>
                <w:szCs w:val="16"/>
              </w:rPr>
              <w:t xml:space="preserve">Podnositelj zahtjeva </w:t>
            </w:r>
          </w:p>
          <w:p w14:paraId="50D1C462" w14:textId="77777777" w:rsidR="00B010E6" w:rsidRPr="001B4CA2" w:rsidRDefault="00B010E6" w:rsidP="00B010E6">
            <w:pPr>
              <w:jc w:val="center"/>
              <w:rPr>
                <w:b/>
                <w:bCs/>
                <w:sz w:val="14"/>
                <w:szCs w:val="16"/>
              </w:rPr>
            </w:pPr>
            <w:r w:rsidRPr="001B4CA2">
              <w:rPr>
                <w:b/>
                <w:bCs/>
                <w:sz w:val="14"/>
                <w:szCs w:val="16"/>
              </w:rPr>
              <w:t>druge osobe</w:t>
            </w:r>
          </w:p>
        </w:tc>
        <w:tc>
          <w:tcPr>
            <w:tcW w:w="687" w:type="pct"/>
            <w:gridSpan w:val="4"/>
            <w:tcBorders>
              <w:top w:val="single" w:sz="4" w:space="0" w:color="auto"/>
              <w:left w:val="nil"/>
              <w:bottom w:val="single" w:sz="4" w:space="0" w:color="auto"/>
              <w:right w:val="single" w:sz="4" w:space="0" w:color="000000"/>
            </w:tcBorders>
            <w:shd w:val="clear" w:color="auto" w:fill="99CCFF"/>
            <w:vAlign w:val="center"/>
            <w:hideMark/>
          </w:tcPr>
          <w:p w14:paraId="1A67BAD2" w14:textId="5944B7FF" w:rsidR="00B010E6" w:rsidRPr="001B4CA2" w:rsidRDefault="00B010E6" w:rsidP="00B010E6">
            <w:pPr>
              <w:jc w:val="center"/>
              <w:rPr>
                <w:b/>
                <w:bCs/>
                <w:sz w:val="14"/>
                <w:szCs w:val="16"/>
              </w:rPr>
            </w:pPr>
            <w:r w:rsidRPr="001B4CA2">
              <w:rPr>
                <w:b/>
                <w:bCs/>
                <w:sz w:val="14"/>
                <w:szCs w:val="16"/>
              </w:rPr>
              <w:t>Podnositelj zahtjeva</w:t>
            </w:r>
            <w:r w:rsidR="001B4CA2">
              <w:rPr>
                <w:b/>
                <w:bCs/>
                <w:sz w:val="14"/>
                <w:szCs w:val="16"/>
              </w:rPr>
              <w:t xml:space="preserve"> </w:t>
            </w:r>
          </w:p>
          <w:p w14:paraId="1876CE40" w14:textId="77777777" w:rsidR="00B010E6" w:rsidRPr="001B4CA2" w:rsidRDefault="00B010E6" w:rsidP="00B010E6">
            <w:pPr>
              <w:jc w:val="center"/>
              <w:rPr>
                <w:b/>
                <w:bCs/>
                <w:sz w:val="14"/>
                <w:szCs w:val="16"/>
              </w:rPr>
            </w:pPr>
            <w:r w:rsidRPr="001B4CA2">
              <w:rPr>
                <w:b/>
                <w:bCs/>
                <w:sz w:val="14"/>
                <w:szCs w:val="16"/>
              </w:rPr>
              <w:t>druge osobe</w:t>
            </w:r>
          </w:p>
        </w:tc>
        <w:tc>
          <w:tcPr>
            <w:tcW w:w="655" w:type="pct"/>
            <w:gridSpan w:val="4"/>
            <w:tcBorders>
              <w:top w:val="single" w:sz="4" w:space="0" w:color="auto"/>
              <w:left w:val="nil"/>
              <w:bottom w:val="single" w:sz="4" w:space="0" w:color="auto"/>
              <w:right w:val="single" w:sz="4" w:space="0" w:color="000000"/>
            </w:tcBorders>
            <w:shd w:val="clear" w:color="auto" w:fill="99CCFF"/>
            <w:vAlign w:val="center"/>
            <w:hideMark/>
          </w:tcPr>
          <w:p w14:paraId="20D33D6D" w14:textId="77777777" w:rsidR="00B010E6" w:rsidRPr="001B4CA2" w:rsidRDefault="00B010E6" w:rsidP="00B010E6">
            <w:pPr>
              <w:jc w:val="center"/>
              <w:rPr>
                <w:b/>
                <w:bCs/>
                <w:sz w:val="14"/>
                <w:szCs w:val="16"/>
              </w:rPr>
            </w:pPr>
            <w:r w:rsidRPr="001B4CA2">
              <w:rPr>
                <w:b/>
                <w:bCs/>
                <w:sz w:val="14"/>
                <w:szCs w:val="16"/>
              </w:rPr>
              <w:t xml:space="preserve">Podnositelj zahtjeva </w:t>
            </w:r>
          </w:p>
          <w:p w14:paraId="62E83FB5" w14:textId="77777777" w:rsidR="00B010E6" w:rsidRPr="001B4CA2" w:rsidRDefault="00B010E6" w:rsidP="00B010E6">
            <w:pPr>
              <w:jc w:val="center"/>
              <w:rPr>
                <w:b/>
                <w:bCs/>
                <w:sz w:val="14"/>
                <w:szCs w:val="16"/>
              </w:rPr>
            </w:pPr>
            <w:r w:rsidRPr="001B4CA2">
              <w:rPr>
                <w:b/>
                <w:bCs/>
                <w:sz w:val="14"/>
                <w:szCs w:val="16"/>
              </w:rPr>
              <w:t xml:space="preserve"> druge osobe</w:t>
            </w:r>
          </w:p>
        </w:tc>
        <w:tc>
          <w:tcPr>
            <w:tcW w:w="771" w:type="pct"/>
            <w:gridSpan w:val="4"/>
            <w:tcBorders>
              <w:top w:val="single" w:sz="4" w:space="0" w:color="auto"/>
              <w:left w:val="nil"/>
              <w:bottom w:val="single" w:sz="4" w:space="0" w:color="auto"/>
              <w:right w:val="single" w:sz="4" w:space="0" w:color="000000"/>
            </w:tcBorders>
            <w:shd w:val="clear" w:color="auto" w:fill="99CCFF"/>
            <w:vAlign w:val="center"/>
            <w:hideMark/>
          </w:tcPr>
          <w:p w14:paraId="02E0FD0A" w14:textId="6FD4EE0E" w:rsidR="00B010E6" w:rsidRPr="001B4CA2" w:rsidRDefault="00B010E6" w:rsidP="00B010E6">
            <w:pPr>
              <w:jc w:val="center"/>
              <w:rPr>
                <w:b/>
                <w:bCs/>
                <w:sz w:val="14"/>
                <w:szCs w:val="16"/>
              </w:rPr>
            </w:pPr>
            <w:r w:rsidRPr="001B4CA2">
              <w:rPr>
                <w:b/>
                <w:bCs/>
                <w:sz w:val="14"/>
                <w:szCs w:val="16"/>
              </w:rPr>
              <w:t>Podnositelj zahtjeva</w:t>
            </w:r>
            <w:r w:rsidR="001B4CA2">
              <w:rPr>
                <w:b/>
                <w:bCs/>
                <w:sz w:val="14"/>
                <w:szCs w:val="16"/>
              </w:rPr>
              <w:t xml:space="preserve"> </w:t>
            </w:r>
          </w:p>
          <w:p w14:paraId="0C582CE5" w14:textId="77777777" w:rsidR="00B010E6" w:rsidRPr="001B4CA2" w:rsidRDefault="00B010E6" w:rsidP="00B010E6">
            <w:pPr>
              <w:jc w:val="center"/>
              <w:rPr>
                <w:b/>
                <w:bCs/>
                <w:sz w:val="14"/>
                <w:szCs w:val="16"/>
              </w:rPr>
            </w:pPr>
            <w:r w:rsidRPr="001B4CA2">
              <w:rPr>
                <w:b/>
                <w:bCs/>
                <w:sz w:val="14"/>
                <w:szCs w:val="16"/>
              </w:rPr>
              <w:t>druge osobe</w:t>
            </w:r>
          </w:p>
        </w:tc>
        <w:tc>
          <w:tcPr>
            <w:tcW w:w="552" w:type="pct"/>
            <w:gridSpan w:val="4"/>
            <w:tcBorders>
              <w:top w:val="single" w:sz="4" w:space="0" w:color="auto"/>
              <w:left w:val="nil"/>
              <w:bottom w:val="single" w:sz="4" w:space="0" w:color="auto"/>
              <w:right w:val="single" w:sz="4" w:space="0" w:color="000000"/>
            </w:tcBorders>
            <w:shd w:val="clear" w:color="auto" w:fill="99CCFF"/>
            <w:vAlign w:val="center"/>
            <w:hideMark/>
          </w:tcPr>
          <w:p w14:paraId="2DBF12E1" w14:textId="3D4C4860" w:rsidR="00B010E6" w:rsidRPr="001B4CA2" w:rsidRDefault="00B010E6" w:rsidP="00B010E6">
            <w:pPr>
              <w:jc w:val="center"/>
              <w:rPr>
                <w:b/>
                <w:bCs/>
                <w:color w:val="000000"/>
                <w:sz w:val="14"/>
                <w:szCs w:val="16"/>
              </w:rPr>
            </w:pPr>
            <w:r w:rsidRPr="001B4CA2">
              <w:rPr>
                <w:b/>
                <w:bCs/>
                <w:color w:val="000000"/>
                <w:sz w:val="14"/>
                <w:szCs w:val="16"/>
              </w:rPr>
              <w:t>Podnositelj zahtjeva</w:t>
            </w:r>
            <w:r w:rsidR="001B4CA2">
              <w:rPr>
                <w:b/>
                <w:bCs/>
                <w:color w:val="000000"/>
                <w:sz w:val="14"/>
                <w:szCs w:val="16"/>
              </w:rPr>
              <w:t xml:space="preserve"> </w:t>
            </w:r>
          </w:p>
          <w:p w14:paraId="1644095D" w14:textId="77777777" w:rsidR="00B010E6" w:rsidRPr="001B4CA2" w:rsidRDefault="00B010E6" w:rsidP="00B010E6">
            <w:pPr>
              <w:jc w:val="center"/>
              <w:rPr>
                <w:b/>
                <w:bCs/>
                <w:color w:val="000000"/>
                <w:sz w:val="14"/>
                <w:szCs w:val="16"/>
              </w:rPr>
            </w:pPr>
            <w:r w:rsidRPr="001B4CA2">
              <w:rPr>
                <w:b/>
                <w:bCs/>
                <w:color w:val="000000"/>
                <w:sz w:val="14"/>
                <w:szCs w:val="16"/>
              </w:rPr>
              <w:t>druge osobe</w:t>
            </w:r>
          </w:p>
        </w:tc>
        <w:tc>
          <w:tcPr>
            <w:tcW w:w="762" w:type="pct"/>
            <w:gridSpan w:val="4"/>
            <w:vMerge/>
            <w:tcBorders>
              <w:left w:val="single" w:sz="4" w:space="0" w:color="auto"/>
              <w:bottom w:val="nil"/>
              <w:right w:val="single" w:sz="4" w:space="0" w:color="000000"/>
            </w:tcBorders>
            <w:shd w:val="clear" w:color="auto" w:fill="99CCFF"/>
          </w:tcPr>
          <w:p w14:paraId="4B27F1E4" w14:textId="77777777" w:rsidR="00B010E6" w:rsidRPr="001B4CA2" w:rsidRDefault="00B010E6" w:rsidP="00B010E6">
            <w:pPr>
              <w:rPr>
                <w:b/>
                <w:bCs/>
                <w:color w:val="000000"/>
                <w:sz w:val="14"/>
                <w:szCs w:val="16"/>
              </w:rPr>
            </w:pPr>
          </w:p>
        </w:tc>
      </w:tr>
      <w:tr w:rsidR="00BC6496" w:rsidRPr="001B4CA2" w14:paraId="081E5976" w14:textId="77777777" w:rsidTr="00BC6496">
        <w:trPr>
          <w:trHeight w:val="1654"/>
          <w:jc w:val="center"/>
        </w:trPr>
        <w:tc>
          <w:tcPr>
            <w:tcW w:w="801" w:type="pct"/>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41F88778" w14:textId="77777777" w:rsidR="00B010E6" w:rsidRPr="001B4CA2" w:rsidRDefault="00B010E6" w:rsidP="00B010E6">
            <w:pPr>
              <w:rPr>
                <w:b/>
                <w:bCs/>
                <w:sz w:val="14"/>
                <w:szCs w:val="16"/>
              </w:rPr>
            </w:pPr>
          </w:p>
        </w:tc>
        <w:tc>
          <w:tcPr>
            <w:tcW w:w="201" w:type="pct"/>
            <w:tcBorders>
              <w:top w:val="nil"/>
              <w:left w:val="nil"/>
              <w:bottom w:val="single" w:sz="4" w:space="0" w:color="auto"/>
              <w:right w:val="single" w:sz="4" w:space="0" w:color="auto"/>
            </w:tcBorders>
            <w:shd w:val="clear" w:color="auto" w:fill="99CCFF"/>
            <w:textDirection w:val="btLr"/>
            <w:vAlign w:val="center"/>
            <w:hideMark/>
          </w:tcPr>
          <w:p w14:paraId="7671CEE6" w14:textId="77777777" w:rsidR="00B010E6" w:rsidRPr="001B4CA2" w:rsidRDefault="00B010E6" w:rsidP="00B010E6">
            <w:pPr>
              <w:jc w:val="left"/>
              <w:rPr>
                <w:sz w:val="14"/>
                <w:szCs w:val="16"/>
              </w:rPr>
            </w:pPr>
            <w:r w:rsidRPr="001B4CA2">
              <w:rPr>
                <w:sz w:val="14"/>
                <w:szCs w:val="16"/>
              </w:rPr>
              <w:t>Broj zahtjeva</w:t>
            </w:r>
          </w:p>
        </w:tc>
        <w:tc>
          <w:tcPr>
            <w:tcW w:w="156" w:type="pct"/>
            <w:tcBorders>
              <w:top w:val="nil"/>
              <w:left w:val="nil"/>
              <w:bottom w:val="single" w:sz="4" w:space="0" w:color="auto"/>
              <w:right w:val="single" w:sz="4" w:space="0" w:color="auto"/>
            </w:tcBorders>
            <w:shd w:val="clear" w:color="auto" w:fill="99CCFF"/>
            <w:textDirection w:val="btLr"/>
            <w:vAlign w:val="center"/>
            <w:hideMark/>
          </w:tcPr>
          <w:p w14:paraId="071B3243" w14:textId="77777777" w:rsidR="00B010E6" w:rsidRPr="001B4CA2" w:rsidRDefault="00B010E6" w:rsidP="00B010E6">
            <w:pPr>
              <w:jc w:val="left"/>
              <w:rPr>
                <w:sz w:val="14"/>
                <w:szCs w:val="16"/>
              </w:rPr>
            </w:pPr>
            <w:r w:rsidRPr="001B4CA2">
              <w:rPr>
                <w:sz w:val="14"/>
                <w:szCs w:val="16"/>
              </w:rPr>
              <w:t>Broj sklopljenih nagodbi</w:t>
            </w:r>
          </w:p>
        </w:tc>
        <w:tc>
          <w:tcPr>
            <w:tcW w:w="187" w:type="pct"/>
            <w:tcBorders>
              <w:top w:val="nil"/>
              <w:left w:val="nil"/>
              <w:bottom w:val="single" w:sz="4" w:space="0" w:color="auto"/>
              <w:right w:val="single" w:sz="4" w:space="0" w:color="auto"/>
            </w:tcBorders>
            <w:shd w:val="clear" w:color="auto" w:fill="99CCFF"/>
            <w:textDirection w:val="btLr"/>
            <w:vAlign w:val="center"/>
            <w:hideMark/>
          </w:tcPr>
          <w:p w14:paraId="3963EC9D" w14:textId="77777777" w:rsidR="00B010E6" w:rsidRPr="001B4CA2" w:rsidRDefault="00B010E6" w:rsidP="00B010E6">
            <w:pPr>
              <w:jc w:val="left"/>
              <w:rPr>
                <w:sz w:val="14"/>
                <w:szCs w:val="16"/>
              </w:rPr>
            </w:pPr>
            <w:r w:rsidRPr="001B4CA2">
              <w:rPr>
                <w:rFonts w:eastAsia="Times New Roman"/>
                <w:bCs/>
                <w:sz w:val="14"/>
                <w:szCs w:val="16"/>
                <w:lang w:eastAsia="hr-HR"/>
              </w:rPr>
              <w:t>% sklopljenih nagodbi u odnosu na broj podnesenih zahtjeva</w:t>
            </w:r>
          </w:p>
        </w:tc>
        <w:tc>
          <w:tcPr>
            <w:tcW w:w="229" w:type="pct"/>
            <w:tcBorders>
              <w:top w:val="nil"/>
              <w:left w:val="nil"/>
              <w:bottom w:val="single" w:sz="4" w:space="0" w:color="auto"/>
              <w:right w:val="single" w:sz="4" w:space="0" w:color="auto"/>
            </w:tcBorders>
            <w:shd w:val="clear" w:color="auto" w:fill="99CCFF"/>
            <w:textDirection w:val="btLr"/>
            <w:vAlign w:val="center"/>
          </w:tcPr>
          <w:p w14:paraId="49790652" w14:textId="77777777" w:rsidR="00B010E6" w:rsidRPr="001B4CA2" w:rsidRDefault="00B010E6" w:rsidP="00B010E6">
            <w:pPr>
              <w:jc w:val="left"/>
              <w:rPr>
                <w:sz w:val="14"/>
                <w:szCs w:val="16"/>
              </w:rPr>
            </w:pPr>
            <w:r w:rsidRPr="001B4CA2">
              <w:rPr>
                <w:sz w:val="14"/>
                <w:szCs w:val="16"/>
              </w:rPr>
              <w:t>Vrijednost (u tis. kn)</w:t>
            </w:r>
          </w:p>
        </w:tc>
        <w:tc>
          <w:tcPr>
            <w:tcW w:w="166" w:type="pct"/>
            <w:tcBorders>
              <w:top w:val="nil"/>
              <w:left w:val="nil"/>
              <w:bottom w:val="single" w:sz="4" w:space="0" w:color="auto"/>
              <w:right w:val="single" w:sz="4" w:space="0" w:color="auto"/>
            </w:tcBorders>
            <w:shd w:val="clear" w:color="auto" w:fill="99CCFF"/>
            <w:textDirection w:val="btLr"/>
            <w:vAlign w:val="center"/>
          </w:tcPr>
          <w:p w14:paraId="42F455F9" w14:textId="77777777" w:rsidR="00B010E6" w:rsidRPr="001B4CA2" w:rsidRDefault="00B010E6" w:rsidP="00B010E6">
            <w:pPr>
              <w:jc w:val="left"/>
              <w:rPr>
                <w:sz w:val="14"/>
                <w:szCs w:val="16"/>
              </w:rPr>
            </w:pPr>
            <w:r w:rsidRPr="001B4CA2">
              <w:rPr>
                <w:sz w:val="14"/>
                <w:szCs w:val="16"/>
              </w:rPr>
              <w:t>Broj zahtjeva</w:t>
            </w:r>
          </w:p>
        </w:tc>
        <w:tc>
          <w:tcPr>
            <w:tcW w:w="166" w:type="pct"/>
            <w:tcBorders>
              <w:top w:val="nil"/>
              <w:left w:val="nil"/>
              <w:bottom w:val="single" w:sz="4" w:space="0" w:color="auto"/>
              <w:right w:val="single" w:sz="4" w:space="0" w:color="auto"/>
            </w:tcBorders>
            <w:shd w:val="clear" w:color="auto" w:fill="99CCFF"/>
            <w:textDirection w:val="btLr"/>
            <w:vAlign w:val="center"/>
            <w:hideMark/>
          </w:tcPr>
          <w:p w14:paraId="329317A9" w14:textId="77777777" w:rsidR="00B010E6" w:rsidRPr="001B4CA2" w:rsidRDefault="00B010E6" w:rsidP="00B010E6">
            <w:pPr>
              <w:jc w:val="left"/>
              <w:rPr>
                <w:sz w:val="14"/>
                <w:szCs w:val="16"/>
              </w:rPr>
            </w:pPr>
            <w:r w:rsidRPr="001B4CA2">
              <w:rPr>
                <w:sz w:val="14"/>
                <w:szCs w:val="16"/>
              </w:rPr>
              <w:t>Broj sklopljenih nagodbi</w:t>
            </w:r>
          </w:p>
        </w:tc>
        <w:tc>
          <w:tcPr>
            <w:tcW w:w="201" w:type="pct"/>
            <w:tcBorders>
              <w:top w:val="nil"/>
              <w:left w:val="nil"/>
              <w:bottom w:val="single" w:sz="4" w:space="0" w:color="auto"/>
              <w:right w:val="single" w:sz="4" w:space="0" w:color="auto"/>
            </w:tcBorders>
            <w:shd w:val="clear" w:color="auto" w:fill="99CCFF"/>
            <w:textDirection w:val="btLr"/>
            <w:vAlign w:val="center"/>
            <w:hideMark/>
          </w:tcPr>
          <w:p w14:paraId="4FFF7EF1" w14:textId="77777777" w:rsidR="00B010E6" w:rsidRPr="001B4CA2" w:rsidRDefault="00B010E6" w:rsidP="00B010E6">
            <w:pPr>
              <w:jc w:val="left"/>
              <w:rPr>
                <w:sz w:val="14"/>
                <w:szCs w:val="16"/>
              </w:rPr>
            </w:pPr>
            <w:r w:rsidRPr="001B4CA2">
              <w:rPr>
                <w:rFonts w:eastAsia="Times New Roman"/>
                <w:bCs/>
                <w:sz w:val="14"/>
                <w:szCs w:val="16"/>
                <w:lang w:eastAsia="hr-HR"/>
              </w:rPr>
              <w:t>% sklopljenih nagodbi u odnosu na broj podnesenih zahtjeva</w:t>
            </w:r>
          </w:p>
        </w:tc>
        <w:tc>
          <w:tcPr>
            <w:tcW w:w="156" w:type="pct"/>
            <w:tcBorders>
              <w:top w:val="nil"/>
              <w:left w:val="nil"/>
              <w:bottom w:val="single" w:sz="4" w:space="0" w:color="auto"/>
              <w:right w:val="single" w:sz="4" w:space="0" w:color="auto"/>
            </w:tcBorders>
            <w:shd w:val="clear" w:color="auto" w:fill="99CCFF"/>
            <w:textDirection w:val="btLr"/>
            <w:vAlign w:val="center"/>
            <w:hideMark/>
          </w:tcPr>
          <w:p w14:paraId="17B5C782" w14:textId="77777777" w:rsidR="00B010E6" w:rsidRPr="001B4CA2" w:rsidRDefault="00B010E6" w:rsidP="00B010E6">
            <w:pPr>
              <w:jc w:val="left"/>
              <w:rPr>
                <w:sz w:val="14"/>
                <w:szCs w:val="16"/>
              </w:rPr>
            </w:pPr>
            <w:r w:rsidRPr="001B4CA2">
              <w:rPr>
                <w:sz w:val="14"/>
                <w:szCs w:val="16"/>
              </w:rPr>
              <w:t>Vrijednost (u tis. kn)</w:t>
            </w:r>
            <w:r w:rsidRPr="001B4CA2">
              <w:rPr>
                <w:sz w:val="14"/>
                <w:szCs w:val="16"/>
              </w:rPr>
              <w:br/>
            </w:r>
          </w:p>
        </w:tc>
        <w:tc>
          <w:tcPr>
            <w:tcW w:w="166" w:type="pct"/>
            <w:tcBorders>
              <w:top w:val="nil"/>
              <w:left w:val="nil"/>
              <w:bottom w:val="single" w:sz="4" w:space="0" w:color="auto"/>
              <w:right w:val="single" w:sz="4" w:space="0" w:color="auto"/>
            </w:tcBorders>
            <w:shd w:val="clear" w:color="auto" w:fill="99CCFF"/>
            <w:textDirection w:val="btLr"/>
            <w:vAlign w:val="center"/>
            <w:hideMark/>
          </w:tcPr>
          <w:p w14:paraId="33B3858B" w14:textId="77777777" w:rsidR="00B010E6" w:rsidRPr="001B4CA2" w:rsidRDefault="00B010E6" w:rsidP="00B010E6">
            <w:pPr>
              <w:jc w:val="left"/>
              <w:rPr>
                <w:sz w:val="14"/>
                <w:szCs w:val="16"/>
              </w:rPr>
            </w:pPr>
            <w:r w:rsidRPr="001B4CA2">
              <w:rPr>
                <w:sz w:val="14"/>
                <w:szCs w:val="16"/>
              </w:rPr>
              <w:t>Broj zahtjeva</w:t>
            </w:r>
          </w:p>
        </w:tc>
        <w:tc>
          <w:tcPr>
            <w:tcW w:w="133" w:type="pct"/>
            <w:tcBorders>
              <w:top w:val="nil"/>
              <w:left w:val="nil"/>
              <w:bottom w:val="single" w:sz="4" w:space="0" w:color="auto"/>
              <w:right w:val="single" w:sz="4" w:space="0" w:color="auto"/>
            </w:tcBorders>
            <w:shd w:val="clear" w:color="auto" w:fill="99CCFF"/>
            <w:textDirection w:val="btLr"/>
            <w:vAlign w:val="center"/>
            <w:hideMark/>
          </w:tcPr>
          <w:p w14:paraId="0916EBA2" w14:textId="77777777" w:rsidR="00B010E6" w:rsidRPr="001B4CA2" w:rsidRDefault="00B010E6" w:rsidP="00B010E6">
            <w:pPr>
              <w:jc w:val="left"/>
              <w:rPr>
                <w:sz w:val="14"/>
                <w:szCs w:val="16"/>
              </w:rPr>
            </w:pPr>
            <w:r w:rsidRPr="001B4CA2">
              <w:rPr>
                <w:sz w:val="14"/>
                <w:szCs w:val="16"/>
              </w:rPr>
              <w:t>Broj sklopljenih nagodbi</w:t>
            </w:r>
          </w:p>
        </w:tc>
        <w:tc>
          <w:tcPr>
            <w:tcW w:w="156" w:type="pct"/>
            <w:tcBorders>
              <w:top w:val="nil"/>
              <w:left w:val="nil"/>
              <w:bottom w:val="single" w:sz="4" w:space="0" w:color="auto"/>
              <w:right w:val="single" w:sz="4" w:space="0" w:color="auto"/>
            </w:tcBorders>
            <w:shd w:val="clear" w:color="auto" w:fill="99CCFF"/>
            <w:textDirection w:val="btLr"/>
            <w:vAlign w:val="center"/>
            <w:hideMark/>
          </w:tcPr>
          <w:p w14:paraId="4F5A59ED" w14:textId="77777777" w:rsidR="00B010E6" w:rsidRPr="001B4CA2" w:rsidRDefault="00B010E6" w:rsidP="00B010E6">
            <w:pPr>
              <w:jc w:val="left"/>
              <w:rPr>
                <w:sz w:val="14"/>
                <w:szCs w:val="16"/>
              </w:rPr>
            </w:pPr>
            <w:r w:rsidRPr="001B4CA2">
              <w:rPr>
                <w:rFonts w:eastAsia="Times New Roman"/>
                <w:bCs/>
                <w:sz w:val="14"/>
                <w:szCs w:val="16"/>
                <w:lang w:eastAsia="hr-HR"/>
              </w:rPr>
              <w:t>% sklopljenih nagodbi u odnosu na broj podnesenih zahtjeva</w:t>
            </w:r>
          </w:p>
        </w:tc>
        <w:tc>
          <w:tcPr>
            <w:tcW w:w="200" w:type="pct"/>
            <w:tcBorders>
              <w:top w:val="nil"/>
              <w:left w:val="nil"/>
              <w:bottom w:val="single" w:sz="4" w:space="0" w:color="auto"/>
              <w:right w:val="single" w:sz="4" w:space="0" w:color="auto"/>
            </w:tcBorders>
            <w:shd w:val="clear" w:color="auto" w:fill="99CCFF"/>
            <w:textDirection w:val="btLr"/>
            <w:vAlign w:val="center"/>
            <w:hideMark/>
          </w:tcPr>
          <w:p w14:paraId="5838BC27" w14:textId="77777777" w:rsidR="00B010E6" w:rsidRPr="001B4CA2" w:rsidRDefault="00B010E6" w:rsidP="00B010E6">
            <w:pPr>
              <w:jc w:val="left"/>
              <w:rPr>
                <w:sz w:val="14"/>
                <w:szCs w:val="16"/>
              </w:rPr>
            </w:pPr>
            <w:r w:rsidRPr="001B4CA2">
              <w:rPr>
                <w:sz w:val="14"/>
                <w:szCs w:val="16"/>
              </w:rPr>
              <w:t>Vrijednost (u tis. kn)</w:t>
            </w:r>
            <w:r w:rsidRPr="001B4CA2">
              <w:rPr>
                <w:sz w:val="14"/>
                <w:szCs w:val="16"/>
              </w:rPr>
              <w:br/>
            </w:r>
          </w:p>
        </w:tc>
        <w:tc>
          <w:tcPr>
            <w:tcW w:w="215" w:type="pct"/>
            <w:tcBorders>
              <w:top w:val="nil"/>
              <w:left w:val="nil"/>
              <w:bottom w:val="single" w:sz="4" w:space="0" w:color="auto"/>
              <w:right w:val="single" w:sz="4" w:space="0" w:color="auto"/>
            </w:tcBorders>
            <w:shd w:val="clear" w:color="auto" w:fill="99CCFF"/>
            <w:textDirection w:val="btLr"/>
            <w:vAlign w:val="center"/>
            <w:hideMark/>
          </w:tcPr>
          <w:p w14:paraId="139702F5" w14:textId="77777777" w:rsidR="00B010E6" w:rsidRPr="001B4CA2" w:rsidRDefault="00B010E6" w:rsidP="00B010E6">
            <w:pPr>
              <w:jc w:val="left"/>
              <w:rPr>
                <w:sz w:val="14"/>
                <w:szCs w:val="16"/>
              </w:rPr>
            </w:pPr>
            <w:r w:rsidRPr="001B4CA2">
              <w:rPr>
                <w:sz w:val="14"/>
                <w:szCs w:val="16"/>
              </w:rPr>
              <w:t>Broj zahtjeva</w:t>
            </w:r>
          </w:p>
        </w:tc>
        <w:tc>
          <w:tcPr>
            <w:tcW w:w="166" w:type="pct"/>
            <w:tcBorders>
              <w:top w:val="nil"/>
              <w:left w:val="nil"/>
              <w:bottom w:val="single" w:sz="4" w:space="0" w:color="auto"/>
              <w:right w:val="single" w:sz="4" w:space="0" w:color="auto"/>
            </w:tcBorders>
            <w:shd w:val="clear" w:color="auto" w:fill="99CCFF"/>
            <w:textDirection w:val="btLr"/>
            <w:vAlign w:val="center"/>
            <w:hideMark/>
          </w:tcPr>
          <w:p w14:paraId="23591BDD" w14:textId="77777777" w:rsidR="00B010E6" w:rsidRPr="001B4CA2" w:rsidRDefault="00B010E6" w:rsidP="00B010E6">
            <w:pPr>
              <w:jc w:val="left"/>
              <w:rPr>
                <w:sz w:val="14"/>
                <w:szCs w:val="16"/>
              </w:rPr>
            </w:pPr>
            <w:r w:rsidRPr="001B4CA2">
              <w:rPr>
                <w:sz w:val="14"/>
                <w:szCs w:val="16"/>
              </w:rPr>
              <w:t>Broj sklopljenih nagodbi</w:t>
            </w:r>
          </w:p>
        </w:tc>
        <w:tc>
          <w:tcPr>
            <w:tcW w:w="191" w:type="pct"/>
            <w:tcBorders>
              <w:top w:val="nil"/>
              <w:left w:val="nil"/>
              <w:bottom w:val="single" w:sz="4" w:space="0" w:color="auto"/>
              <w:right w:val="single" w:sz="4" w:space="0" w:color="auto"/>
            </w:tcBorders>
            <w:shd w:val="clear" w:color="auto" w:fill="99CCFF"/>
            <w:textDirection w:val="btLr"/>
            <w:vAlign w:val="center"/>
            <w:hideMark/>
          </w:tcPr>
          <w:p w14:paraId="2C8EC33B" w14:textId="77777777" w:rsidR="00B010E6" w:rsidRPr="001B4CA2" w:rsidRDefault="00B010E6" w:rsidP="00B010E6">
            <w:pPr>
              <w:jc w:val="left"/>
              <w:rPr>
                <w:sz w:val="14"/>
                <w:szCs w:val="16"/>
              </w:rPr>
            </w:pPr>
            <w:r w:rsidRPr="001B4CA2">
              <w:rPr>
                <w:rFonts w:eastAsia="Times New Roman"/>
                <w:bCs/>
                <w:sz w:val="14"/>
                <w:szCs w:val="16"/>
                <w:lang w:eastAsia="hr-HR"/>
              </w:rPr>
              <w:t>% sklopljenih nagodbi u odnosu na broj podnesenih zahtjeva</w:t>
            </w:r>
            <w:r w:rsidRPr="001B4CA2">
              <w:rPr>
                <w:sz w:val="14"/>
                <w:szCs w:val="16"/>
              </w:rPr>
              <w:t xml:space="preserve"> %</w:t>
            </w:r>
          </w:p>
        </w:tc>
        <w:tc>
          <w:tcPr>
            <w:tcW w:w="200" w:type="pct"/>
            <w:tcBorders>
              <w:top w:val="nil"/>
              <w:left w:val="nil"/>
              <w:bottom w:val="single" w:sz="4" w:space="0" w:color="auto"/>
              <w:right w:val="single" w:sz="4" w:space="0" w:color="auto"/>
            </w:tcBorders>
            <w:shd w:val="clear" w:color="auto" w:fill="99CCFF"/>
            <w:textDirection w:val="btLr"/>
            <w:vAlign w:val="center"/>
            <w:hideMark/>
          </w:tcPr>
          <w:p w14:paraId="7BE46F05" w14:textId="77777777" w:rsidR="00B010E6" w:rsidRPr="001B4CA2" w:rsidRDefault="00B010E6" w:rsidP="00B010E6">
            <w:pPr>
              <w:jc w:val="left"/>
              <w:rPr>
                <w:sz w:val="14"/>
                <w:szCs w:val="16"/>
              </w:rPr>
            </w:pPr>
            <w:r w:rsidRPr="001B4CA2">
              <w:rPr>
                <w:sz w:val="14"/>
                <w:szCs w:val="16"/>
              </w:rPr>
              <w:t>Vrijednost (u tis.kn)</w:t>
            </w:r>
            <w:r w:rsidRPr="001B4CA2">
              <w:rPr>
                <w:sz w:val="14"/>
                <w:szCs w:val="16"/>
              </w:rPr>
              <w:br/>
            </w:r>
          </w:p>
        </w:tc>
        <w:tc>
          <w:tcPr>
            <w:tcW w:w="127" w:type="pct"/>
            <w:tcBorders>
              <w:top w:val="nil"/>
              <w:left w:val="nil"/>
              <w:bottom w:val="single" w:sz="4" w:space="0" w:color="auto"/>
              <w:right w:val="single" w:sz="4" w:space="0" w:color="auto"/>
            </w:tcBorders>
            <w:shd w:val="clear" w:color="auto" w:fill="99CCFF"/>
            <w:textDirection w:val="btLr"/>
            <w:vAlign w:val="center"/>
            <w:hideMark/>
          </w:tcPr>
          <w:p w14:paraId="058402B0" w14:textId="77777777" w:rsidR="00B010E6" w:rsidRPr="001B4CA2" w:rsidRDefault="00B010E6" w:rsidP="00B010E6">
            <w:pPr>
              <w:jc w:val="left"/>
              <w:rPr>
                <w:sz w:val="14"/>
                <w:szCs w:val="16"/>
              </w:rPr>
            </w:pPr>
            <w:r w:rsidRPr="001B4CA2">
              <w:rPr>
                <w:sz w:val="14"/>
                <w:szCs w:val="16"/>
              </w:rPr>
              <w:t>Broj zahtjeva</w:t>
            </w:r>
          </w:p>
        </w:tc>
        <w:tc>
          <w:tcPr>
            <w:tcW w:w="123" w:type="pct"/>
            <w:tcBorders>
              <w:top w:val="nil"/>
              <w:left w:val="nil"/>
              <w:bottom w:val="single" w:sz="4" w:space="0" w:color="auto"/>
              <w:right w:val="single" w:sz="4" w:space="0" w:color="auto"/>
            </w:tcBorders>
            <w:shd w:val="clear" w:color="auto" w:fill="99CCFF"/>
            <w:textDirection w:val="btLr"/>
            <w:vAlign w:val="center"/>
            <w:hideMark/>
          </w:tcPr>
          <w:p w14:paraId="3467D4C2" w14:textId="77777777" w:rsidR="00B010E6" w:rsidRPr="001B4CA2" w:rsidRDefault="00B010E6" w:rsidP="00B010E6">
            <w:pPr>
              <w:jc w:val="left"/>
              <w:rPr>
                <w:sz w:val="14"/>
                <w:szCs w:val="16"/>
              </w:rPr>
            </w:pPr>
            <w:r w:rsidRPr="001B4CA2">
              <w:rPr>
                <w:sz w:val="14"/>
                <w:szCs w:val="16"/>
              </w:rPr>
              <w:t>Broj sklopljenih nagodbi</w:t>
            </w:r>
          </w:p>
        </w:tc>
        <w:tc>
          <w:tcPr>
            <w:tcW w:w="175" w:type="pct"/>
            <w:tcBorders>
              <w:top w:val="nil"/>
              <w:left w:val="nil"/>
              <w:bottom w:val="single" w:sz="4" w:space="0" w:color="auto"/>
              <w:right w:val="single" w:sz="4" w:space="0" w:color="auto"/>
            </w:tcBorders>
            <w:shd w:val="clear" w:color="auto" w:fill="99CCFF"/>
            <w:textDirection w:val="btLr"/>
            <w:vAlign w:val="center"/>
            <w:hideMark/>
          </w:tcPr>
          <w:p w14:paraId="0E59E082" w14:textId="77777777" w:rsidR="00B010E6" w:rsidRPr="001B4CA2" w:rsidRDefault="00B010E6" w:rsidP="00B010E6">
            <w:pPr>
              <w:jc w:val="left"/>
              <w:rPr>
                <w:sz w:val="14"/>
                <w:szCs w:val="16"/>
              </w:rPr>
            </w:pPr>
            <w:r w:rsidRPr="001B4CA2">
              <w:rPr>
                <w:rFonts w:eastAsia="Times New Roman"/>
                <w:bCs/>
                <w:sz w:val="14"/>
                <w:szCs w:val="16"/>
                <w:lang w:eastAsia="hr-HR"/>
              </w:rPr>
              <w:t>% sklopljenih nagodbi u odnosu na broj podnesenih zahtjeva</w:t>
            </w:r>
            <w:r w:rsidRPr="001B4CA2">
              <w:rPr>
                <w:sz w:val="14"/>
                <w:szCs w:val="16"/>
              </w:rPr>
              <w:t xml:space="preserve"> %</w:t>
            </w:r>
          </w:p>
        </w:tc>
        <w:tc>
          <w:tcPr>
            <w:tcW w:w="127" w:type="pct"/>
            <w:tcBorders>
              <w:top w:val="nil"/>
              <w:left w:val="nil"/>
              <w:bottom w:val="single" w:sz="4" w:space="0" w:color="auto"/>
              <w:right w:val="single" w:sz="4" w:space="0" w:color="auto"/>
            </w:tcBorders>
            <w:shd w:val="clear" w:color="auto" w:fill="99CCFF"/>
            <w:textDirection w:val="btLr"/>
            <w:vAlign w:val="center"/>
            <w:hideMark/>
          </w:tcPr>
          <w:p w14:paraId="2906A063" w14:textId="2AF2DBC8" w:rsidR="00B010E6" w:rsidRPr="001B4CA2" w:rsidRDefault="00B010E6" w:rsidP="00B010E6">
            <w:pPr>
              <w:jc w:val="left"/>
              <w:rPr>
                <w:sz w:val="14"/>
                <w:szCs w:val="16"/>
              </w:rPr>
            </w:pPr>
            <w:r w:rsidRPr="001B4CA2">
              <w:rPr>
                <w:sz w:val="14"/>
                <w:szCs w:val="16"/>
              </w:rPr>
              <w:t>Vrijednost</w:t>
            </w:r>
            <w:r w:rsidR="001B4CA2">
              <w:rPr>
                <w:sz w:val="14"/>
                <w:szCs w:val="16"/>
              </w:rPr>
              <w:t xml:space="preserve"> </w:t>
            </w:r>
            <w:r w:rsidRPr="001B4CA2">
              <w:rPr>
                <w:sz w:val="14"/>
                <w:szCs w:val="16"/>
              </w:rPr>
              <w:t>(u tis. kn)</w:t>
            </w:r>
            <w:r w:rsidRPr="001B4CA2">
              <w:rPr>
                <w:sz w:val="14"/>
                <w:szCs w:val="16"/>
              </w:rPr>
              <w:br/>
            </w:r>
          </w:p>
        </w:tc>
        <w:tc>
          <w:tcPr>
            <w:tcW w:w="200"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7E43C28A" w14:textId="77777777" w:rsidR="00B010E6" w:rsidRPr="001B4CA2" w:rsidRDefault="00B010E6" w:rsidP="00B010E6">
            <w:pPr>
              <w:jc w:val="left"/>
              <w:rPr>
                <w:b/>
                <w:bCs/>
                <w:sz w:val="14"/>
                <w:szCs w:val="16"/>
              </w:rPr>
            </w:pPr>
            <w:r w:rsidRPr="001B4CA2">
              <w:rPr>
                <w:b/>
                <w:bCs/>
                <w:sz w:val="14"/>
                <w:szCs w:val="16"/>
              </w:rPr>
              <w:t>Broj zahtjeva</w:t>
            </w:r>
          </w:p>
        </w:tc>
        <w:tc>
          <w:tcPr>
            <w:tcW w:w="156" w:type="pct"/>
            <w:tcBorders>
              <w:top w:val="single" w:sz="4" w:space="0" w:color="auto"/>
              <w:left w:val="nil"/>
              <w:bottom w:val="single" w:sz="4" w:space="0" w:color="auto"/>
              <w:right w:val="single" w:sz="4" w:space="0" w:color="auto"/>
            </w:tcBorders>
            <w:shd w:val="clear" w:color="auto" w:fill="99CCFF"/>
            <w:textDirection w:val="btLr"/>
            <w:vAlign w:val="center"/>
          </w:tcPr>
          <w:p w14:paraId="088B1A67" w14:textId="77777777" w:rsidR="00B010E6" w:rsidRPr="001B4CA2" w:rsidRDefault="00B010E6" w:rsidP="00B010E6">
            <w:pPr>
              <w:jc w:val="left"/>
              <w:rPr>
                <w:b/>
                <w:sz w:val="14"/>
                <w:szCs w:val="16"/>
              </w:rPr>
            </w:pPr>
            <w:r w:rsidRPr="001B4CA2">
              <w:rPr>
                <w:b/>
                <w:sz w:val="14"/>
                <w:szCs w:val="16"/>
              </w:rPr>
              <w:t xml:space="preserve">Broj sklopljenih nagodbi </w:t>
            </w:r>
          </w:p>
        </w:tc>
        <w:tc>
          <w:tcPr>
            <w:tcW w:w="186" w:type="pct"/>
            <w:tcBorders>
              <w:top w:val="single" w:sz="4" w:space="0" w:color="auto"/>
              <w:left w:val="nil"/>
              <w:bottom w:val="single" w:sz="4" w:space="0" w:color="auto"/>
              <w:right w:val="single" w:sz="4" w:space="0" w:color="auto"/>
            </w:tcBorders>
            <w:shd w:val="clear" w:color="auto" w:fill="99CCFF"/>
            <w:textDirection w:val="btLr"/>
            <w:vAlign w:val="center"/>
          </w:tcPr>
          <w:p w14:paraId="5B80950B" w14:textId="77777777" w:rsidR="00B010E6" w:rsidRPr="001B4CA2" w:rsidRDefault="00B010E6" w:rsidP="00B010E6">
            <w:pPr>
              <w:jc w:val="left"/>
              <w:rPr>
                <w:b/>
                <w:sz w:val="14"/>
                <w:szCs w:val="16"/>
              </w:rPr>
            </w:pPr>
            <w:r w:rsidRPr="001B4CA2">
              <w:rPr>
                <w:rFonts w:eastAsia="Times New Roman"/>
                <w:b/>
                <w:bCs/>
                <w:sz w:val="14"/>
                <w:szCs w:val="16"/>
                <w:lang w:eastAsia="hr-HR"/>
              </w:rPr>
              <w:t>% sklopljenih nagodbi u odnosu na broj podnesenih zahtjeva</w:t>
            </w:r>
            <w:r w:rsidRPr="001B4CA2">
              <w:rPr>
                <w:b/>
                <w:sz w:val="14"/>
                <w:szCs w:val="16"/>
              </w:rPr>
              <w:t xml:space="preserve"> %</w:t>
            </w:r>
          </w:p>
        </w:tc>
        <w:tc>
          <w:tcPr>
            <w:tcW w:w="219" w:type="pct"/>
            <w:tcBorders>
              <w:top w:val="single" w:sz="4" w:space="0" w:color="auto"/>
              <w:left w:val="single" w:sz="4" w:space="0" w:color="auto"/>
              <w:bottom w:val="single" w:sz="4" w:space="0" w:color="auto"/>
              <w:right w:val="single" w:sz="4" w:space="0" w:color="auto"/>
            </w:tcBorders>
            <w:shd w:val="clear" w:color="auto" w:fill="99CCFF"/>
            <w:textDirection w:val="btLr"/>
            <w:vAlign w:val="center"/>
          </w:tcPr>
          <w:p w14:paraId="6EE2A69A" w14:textId="3ACA5E41" w:rsidR="00B010E6" w:rsidRPr="001B4CA2" w:rsidRDefault="00B010E6" w:rsidP="00B010E6">
            <w:pPr>
              <w:jc w:val="left"/>
              <w:rPr>
                <w:b/>
                <w:bCs/>
                <w:sz w:val="14"/>
                <w:szCs w:val="16"/>
              </w:rPr>
            </w:pPr>
            <w:r w:rsidRPr="001B4CA2">
              <w:rPr>
                <w:b/>
                <w:bCs/>
                <w:sz w:val="14"/>
                <w:szCs w:val="16"/>
              </w:rPr>
              <w:t>Vrijednost sklopljenih</w:t>
            </w:r>
            <w:r w:rsidR="001B4CA2">
              <w:rPr>
                <w:b/>
                <w:bCs/>
                <w:sz w:val="14"/>
                <w:szCs w:val="16"/>
              </w:rPr>
              <w:t xml:space="preserve"> </w:t>
            </w:r>
            <w:r w:rsidRPr="001B4CA2">
              <w:rPr>
                <w:b/>
                <w:bCs/>
                <w:sz w:val="14"/>
                <w:szCs w:val="16"/>
              </w:rPr>
              <w:t>nagodbi (u tis. kn)</w:t>
            </w:r>
          </w:p>
        </w:tc>
      </w:tr>
      <w:tr w:rsidR="00BC6496" w:rsidRPr="001B4CA2" w14:paraId="4B423A89"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0F5AAC8E" w14:textId="77777777" w:rsidR="00B010E6" w:rsidRPr="001B4CA2" w:rsidRDefault="00B010E6" w:rsidP="00B010E6">
            <w:pPr>
              <w:jc w:val="left"/>
              <w:rPr>
                <w:bCs/>
                <w:sz w:val="14"/>
                <w:szCs w:val="16"/>
              </w:rPr>
            </w:pPr>
            <w:r w:rsidRPr="001B4CA2">
              <w:rPr>
                <w:bCs/>
                <w:sz w:val="14"/>
                <w:szCs w:val="16"/>
              </w:rPr>
              <w:t>Republika Hrvatska</w:t>
            </w:r>
          </w:p>
        </w:tc>
        <w:tc>
          <w:tcPr>
            <w:tcW w:w="201" w:type="pct"/>
            <w:tcBorders>
              <w:top w:val="nil"/>
              <w:left w:val="nil"/>
              <w:bottom w:val="single" w:sz="4" w:space="0" w:color="auto"/>
              <w:right w:val="single" w:sz="4" w:space="0" w:color="auto"/>
            </w:tcBorders>
            <w:shd w:val="clear" w:color="auto" w:fill="auto"/>
            <w:noWrap/>
            <w:vAlign w:val="center"/>
          </w:tcPr>
          <w:p w14:paraId="249A8F44"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22</w:t>
            </w:r>
          </w:p>
        </w:tc>
        <w:tc>
          <w:tcPr>
            <w:tcW w:w="156" w:type="pct"/>
            <w:tcBorders>
              <w:top w:val="nil"/>
              <w:left w:val="nil"/>
              <w:bottom w:val="single" w:sz="4" w:space="0" w:color="auto"/>
              <w:right w:val="single" w:sz="4" w:space="0" w:color="auto"/>
            </w:tcBorders>
            <w:shd w:val="clear" w:color="auto" w:fill="auto"/>
            <w:noWrap/>
            <w:vAlign w:val="center"/>
          </w:tcPr>
          <w:p w14:paraId="5876E8B6"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7</w:t>
            </w:r>
          </w:p>
        </w:tc>
        <w:tc>
          <w:tcPr>
            <w:tcW w:w="187" w:type="pct"/>
            <w:tcBorders>
              <w:top w:val="nil"/>
              <w:left w:val="nil"/>
              <w:bottom w:val="single" w:sz="4" w:space="0" w:color="auto"/>
              <w:right w:val="single" w:sz="4" w:space="0" w:color="auto"/>
            </w:tcBorders>
            <w:shd w:val="clear" w:color="auto" w:fill="auto"/>
            <w:noWrap/>
            <w:vAlign w:val="center"/>
          </w:tcPr>
          <w:p w14:paraId="64CA731E"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45AF4068"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234</w:t>
            </w:r>
          </w:p>
        </w:tc>
        <w:tc>
          <w:tcPr>
            <w:tcW w:w="166" w:type="pct"/>
            <w:tcBorders>
              <w:top w:val="nil"/>
              <w:left w:val="nil"/>
              <w:bottom w:val="single" w:sz="4" w:space="0" w:color="auto"/>
              <w:right w:val="single" w:sz="4" w:space="0" w:color="auto"/>
            </w:tcBorders>
            <w:shd w:val="clear" w:color="auto" w:fill="auto"/>
            <w:noWrap/>
            <w:vAlign w:val="center"/>
          </w:tcPr>
          <w:p w14:paraId="6F46AEF1"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13</w:t>
            </w:r>
          </w:p>
        </w:tc>
        <w:tc>
          <w:tcPr>
            <w:tcW w:w="166" w:type="pct"/>
            <w:tcBorders>
              <w:top w:val="nil"/>
              <w:left w:val="nil"/>
              <w:bottom w:val="single" w:sz="4" w:space="0" w:color="auto"/>
              <w:right w:val="single" w:sz="4" w:space="0" w:color="auto"/>
            </w:tcBorders>
            <w:shd w:val="clear" w:color="auto" w:fill="auto"/>
            <w:noWrap/>
            <w:vAlign w:val="center"/>
          </w:tcPr>
          <w:p w14:paraId="05B2599A" w14:textId="77777777" w:rsidR="00B010E6" w:rsidRPr="001B4CA2" w:rsidRDefault="00B010E6" w:rsidP="00B010E6">
            <w:pPr>
              <w:jc w:val="center"/>
              <w:rPr>
                <w:rFonts w:ascii="Calibri" w:hAnsi="Calibri" w:cs="Calibri"/>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center"/>
          </w:tcPr>
          <w:p w14:paraId="26241AC6"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5223EFC0"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47B18013"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18</w:t>
            </w:r>
          </w:p>
        </w:tc>
        <w:tc>
          <w:tcPr>
            <w:tcW w:w="133" w:type="pct"/>
            <w:tcBorders>
              <w:top w:val="nil"/>
              <w:left w:val="nil"/>
              <w:bottom w:val="single" w:sz="4" w:space="0" w:color="auto"/>
              <w:right w:val="single" w:sz="4" w:space="0" w:color="auto"/>
            </w:tcBorders>
            <w:shd w:val="clear" w:color="auto" w:fill="auto"/>
            <w:noWrap/>
            <w:vAlign w:val="center"/>
          </w:tcPr>
          <w:p w14:paraId="7F8B453F"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1CEC74C1"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3647D520"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7CC7EB43" w14:textId="77777777" w:rsidR="00B010E6" w:rsidRPr="001B4CA2" w:rsidRDefault="00B010E6" w:rsidP="00B010E6">
            <w:pPr>
              <w:jc w:val="center"/>
              <w:rPr>
                <w:rFonts w:ascii="Calibri" w:hAnsi="Calibri" w:cs="Calibri"/>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14:paraId="1C9963DA"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center"/>
          </w:tcPr>
          <w:p w14:paraId="43985512"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46047A31"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2</w:t>
            </w:r>
          </w:p>
        </w:tc>
        <w:tc>
          <w:tcPr>
            <w:tcW w:w="127" w:type="pct"/>
            <w:tcBorders>
              <w:top w:val="nil"/>
              <w:left w:val="nil"/>
              <w:bottom w:val="single" w:sz="4" w:space="0" w:color="auto"/>
              <w:right w:val="single" w:sz="4" w:space="0" w:color="auto"/>
            </w:tcBorders>
            <w:shd w:val="clear" w:color="auto" w:fill="auto"/>
            <w:noWrap/>
            <w:vAlign w:val="center"/>
          </w:tcPr>
          <w:p w14:paraId="34D07DCC"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w:t>
            </w:r>
          </w:p>
        </w:tc>
        <w:tc>
          <w:tcPr>
            <w:tcW w:w="123" w:type="pct"/>
            <w:tcBorders>
              <w:top w:val="nil"/>
              <w:left w:val="nil"/>
              <w:bottom w:val="single" w:sz="4" w:space="0" w:color="auto"/>
              <w:right w:val="single" w:sz="4" w:space="0" w:color="auto"/>
            </w:tcBorders>
            <w:shd w:val="clear" w:color="auto" w:fill="auto"/>
            <w:noWrap/>
            <w:vAlign w:val="center"/>
          </w:tcPr>
          <w:p w14:paraId="3D76C656"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10A3B92C"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74037DFC"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450524CF"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54</w:t>
            </w:r>
          </w:p>
        </w:tc>
        <w:tc>
          <w:tcPr>
            <w:tcW w:w="156" w:type="pct"/>
            <w:tcBorders>
              <w:top w:val="nil"/>
              <w:left w:val="nil"/>
              <w:bottom w:val="single" w:sz="4" w:space="0" w:color="auto"/>
              <w:right w:val="single" w:sz="4" w:space="0" w:color="auto"/>
            </w:tcBorders>
            <w:shd w:val="clear" w:color="auto" w:fill="auto"/>
            <w:noWrap/>
            <w:vAlign w:val="center"/>
          </w:tcPr>
          <w:p w14:paraId="7161E134"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8</w:t>
            </w:r>
          </w:p>
        </w:tc>
        <w:tc>
          <w:tcPr>
            <w:tcW w:w="186" w:type="pct"/>
            <w:tcBorders>
              <w:top w:val="single" w:sz="4" w:space="0" w:color="auto"/>
              <w:left w:val="nil"/>
              <w:bottom w:val="single" w:sz="4" w:space="0" w:color="auto"/>
              <w:right w:val="single" w:sz="4" w:space="0" w:color="auto"/>
            </w:tcBorders>
          </w:tcPr>
          <w:p w14:paraId="53097715"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D2A4FC0" w14:textId="77777777" w:rsidR="00B010E6" w:rsidRPr="001B4CA2" w:rsidRDefault="00B010E6" w:rsidP="00B010E6">
            <w:pPr>
              <w:jc w:val="center"/>
              <w:rPr>
                <w:rFonts w:ascii="Calibri" w:hAnsi="Calibri" w:cs="Calibri"/>
                <w:b/>
                <w:bCs/>
                <w:color w:val="000000"/>
                <w:sz w:val="18"/>
                <w:szCs w:val="18"/>
              </w:rPr>
            </w:pPr>
            <w:r w:rsidRPr="001B4CA2">
              <w:rPr>
                <w:rFonts w:ascii="Calibri" w:hAnsi="Calibri" w:cs="Calibri"/>
                <w:b/>
                <w:bCs/>
                <w:color w:val="000000"/>
                <w:sz w:val="18"/>
                <w:szCs w:val="18"/>
              </w:rPr>
              <w:t>236</w:t>
            </w:r>
          </w:p>
        </w:tc>
      </w:tr>
      <w:tr w:rsidR="00BC6496" w:rsidRPr="001B4CA2" w14:paraId="6B351937"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46CC860A" w14:textId="7D99CD3C" w:rsidR="00B010E6" w:rsidRPr="001B4CA2" w:rsidRDefault="00B010E6" w:rsidP="00B010E6">
            <w:pPr>
              <w:jc w:val="left"/>
              <w:rPr>
                <w:bCs/>
                <w:sz w:val="14"/>
                <w:szCs w:val="16"/>
              </w:rPr>
            </w:pPr>
            <w:r w:rsidRPr="001B4CA2">
              <w:rPr>
                <w:bCs/>
                <w:sz w:val="14"/>
                <w:szCs w:val="16"/>
              </w:rPr>
              <w:t>Ministarstvo pravosuđa i</w:t>
            </w:r>
            <w:r w:rsidR="001B4CA2">
              <w:rPr>
                <w:bCs/>
                <w:sz w:val="14"/>
                <w:szCs w:val="16"/>
              </w:rPr>
              <w:t xml:space="preserve"> </w:t>
            </w:r>
            <w:r w:rsidRPr="001B4CA2">
              <w:rPr>
                <w:bCs/>
                <w:sz w:val="14"/>
                <w:szCs w:val="16"/>
              </w:rPr>
              <w:t xml:space="preserve">uprave </w:t>
            </w:r>
          </w:p>
        </w:tc>
        <w:tc>
          <w:tcPr>
            <w:tcW w:w="201" w:type="pct"/>
            <w:tcBorders>
              <w:top w:val="nil"/>
              <w:left w:val="nil"/>
              <w:bottom w:val="single" w:sz="4" w:space="0" w:color="auto"/>
              <w:right w:val="single" w:sz="4" w:space="0" w:color="auto"/>
            </w:tcBorders>
            <w:shd w:val="clear" w:color="auto" w:fill="auto"/>
            <w:noWrap/>
            <w:vAlign w:val="center"/>
          </w:tcPr>
          <w:p w14:paraId="2F3F1988"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7</w:t>
            </w:r>
          </w:p>
        </w:tc>
        <w:tc>
          <w:tcPr>
            <w:tcW w:w="156" w:type="pct"/>
            <w:tcBorders>
              <w:top w:val="nil"/>
              <w:left w:val="nil"/>
              <w:bottom w:val="single" w:sz="4" w:space="0" w:color="auto"/>
              <w:right w:val="single" w:sz="4" w:space="0" w:color="auto"/>
            </w:tcBorders>
            <w:shd w:val="clear" w:color="auto" w:fill="auto"/>
            <w:noWrap/>
            <w:vAlign w:val="center"/>
          </w:tcPr>
          <w:p w14:paraId="22C33F77"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37666F87"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6FD169D4"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4FD5D769"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33</w:t>
            </w:r>
          </w:p>
        </w:tc>
        <w:tc>
          <w:tcPr>
            <w:tcW w:w="166" w:type="pct"/>
            <w:tcBorders>
              <w:top w:val="nil"/>
              <w:left w:val="nil"/>
              <w:bottom w:val="single" w:sz="4" w:space="0" w:color="auto"/>
              <w:right w:val="single" w:sz="4" w:space="0" w:color="auto"/>
            </w:tcBorders>
            <w:shd w:val="clear" w:color="auto" w:fill="auto"/>
            <w:noWrap/>
            <w:vAlign w:val="center"/>
          </w:tcPr>
          <w:p w14:paraId="59B5B87A"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16</w:t>
            </w:r>
          </w:p>
        </w:tc>
        <w:tc>
          <w:tcPr>
            <w:tcW w:w="201" w:type="pct"/>
            <w:tcBorders>
              <w:top w:val="nil"/>
              <w:left w:val="nil"/>
              <w:bottom w:val="single" w:sz="4" w:space="0" w:color="auto"/>
              <w:right w:val="single" w:sz="4" w:space="0" w:color="auto"/>
            </w:tcBorders>
            <w:shd w:val="clear" w:color="auto" w:fill="auto"/>
            <w:noWrap/>
            <w:vAlign w:val="center"/>
          </w:tcPr>
          <w:p w14:paraId="2B72F84A"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74ABEBCC"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146</w:t>
            </w:r>
          </w:p>
        </w:tc>
        <w:tc>
          <w:tcPr>
            <w:tcW w:w="166" w:type="pct"/>
            <w:tcBorders>
              <w:top w:val="nil"/>
              <w:left w:val="nil"/>
              <w:bottom w:val="single" w:sz="4" w:space="0" w:color="auto"/>
              <w:right w:val="single" w:sz="4" w:space="0" w:color="auto"/>
            </w:tcBorders>
            <w:shd w:val="clear" w:color="auto" w:fill="auto"/>
            <w:noWrap/>
            <w:vAlign w:val="center"/>
          </w:tcPr>
          <w:p w14:paraId="0281E4CD"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278</w:t>
            </w:r>
          </w:p>
        </w:tc>
        <w:tc>
          <w:tcPr>
            <w:tcW w:w="133" w:type="pct"/>
            <w:tcBorders>
              <w:top w:val="nil"/>
              <w:left w:val="nil"/>
              <w:bottom w:val="single" w:sz="4" w:space="0" w:color="auto"/>
              <w:right w:val="single" w:sz="4" w:space="0" w:color="auto"/>
            </w:tcBorders>
            <w:shd w:val="clear" w:color="auto" w:fill="auto"/>
            <w:noWrap/>
            <w:vAlign w:val="center"/>
          </w:tcPr>
          <w:p w14:paraId="4C335155"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6</w:t>
            </w:r>
          </w:p>
        </w:tc>
        <w:tc>
          <w:tcPr>
            <w:tcW w:w="156" w:type="pct"/>
            <w:tcBorders>
              <w:top w:val="nil"/>
              <w:left w:val="nil"/>
              <w:bottom w:val="single" w:sz="4" w:space="0" w:color="auto"/>
              <w:right w:val="single" w:sz="4" w:space="0" w:color="auto"/>
            </w:tcBorders>
            <w:shd w:val="clear" w:color="auto" w:fill="auto"/>
            <w:noWrap/>
            <w:vAlign w:val="center"/>
          </w:tcPr>
          <w:p w14:paraId="67C400F2"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6565374D"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160</w:t>
            </w:r>
          </w:p>
        </w:tc>
        <w:tc>
          <w:tcPr>
            <w:tcW w:w="215" w:type="pct"/>
            <w:tcBorders>
              <w:top w:val="nil"/>
              <w:left w:val="nil"/>
              <w:bottom w:val="single" w:sz="4" w:space="0" w:color="auto"/>
              <w:right w:val="single" w:sz="4" w:space="0" w:color="auto"/>
            </w:tcBorders>
            <w:shd w:val="clear" w:color="auto" w:fill="auto"/>
            <w:noWrap/>
            <w:vAlign w:val="center"/>
          </w:tcPr>
          <w:p w14:paraId="77077AAF"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317</w:t>
            </w:r>
          </w:p>
        </w:tc>
        <w:tc>
          <w:tcPr>
            <w:tcW w:w="166" w:type="pct"/>
            <w:tcBorders>
              <w:top w:val="nil"/>
              <w:left w:val="nil"/>
              <w:bottom w:val="single" w:sz="4" w:space="0" w:color="auto"/>
              <w:right w:val="single" w:sz="4" w:space="0" w:color="auto"/>
            </w:tcBorders>
            <w:shd w:val="clear" w:color="auto" w:fill="auto"/>
            <w:noWrap/>
            <w:vAlign w:val="center"/>
          </w:tcPr>
          <w:p w14:paraId="74FA731F"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5</w:t>
            </w:r>
          </w:p>
        </w:tc>
        <w:tc>
          <w:tcPr>
            <w:tcW w:w="191" w:type="pct"/>
            <w:tcBorders>
              <w:top w:val="nil"/>
              <w:left w:val="nil"/>
              <w:bottom w:val="single" w:sz="4" w:space="0" w:color="auto"/>
              <w:right w:val="single" w:sz="4" w:space="0" w:color="auto"/>
            </w:tcBorders>
            <w:shd w:val="clear" w:color="auto" w:fill="auto"/>
            <w:noWrap/>
            <w:vAlign w:val="center"/>
          </w:tcPr>
          <w:p w14:paraId="471F6DAA"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1BBEE0E9"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2.008</w:t>
            </w:r>
          </w:p>
        </w:tc>
        <w:tc>
          <w:tcPr>
            <w:tcW w:w="127" w:type="pct"/>
            <w:tcBorders>
              <w:top w:val="nil"/>
              <w:left w:val="nil"/>
              <w:bottom w:val="single" w:sz="4" w:space="0" w:color="auto"/>
              <w:right w:val="single" w:sz="4" w:space="0" w:color="auto"/>
            </w:tcBorders>
            <w:shd w:val="clear" w:color="auto" w:fill="auto"/>
            <w:noWrap/>
            <w:vAlign w:val="center"/>
          </w:tcPr>
          <w:p w14:paraId="04C70F6F"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7</w:t>
            </w:r>
          </w:p>
        </w:tc>
        <w:tc>
          <w:tcPr>
            <w:tcW w:w="123" w:type="pct"/>
            <w:tcBorders>
              <w:top w:val="nil"/>
              <w:left w:val="nil"/>
              <w:bottom w:val="single" w:sz="4" w:space="0" w:color="auto"/>
              <w:right w:val="single" w:sz="4" w:space="0" w:color="auto"/>
            </w:tcBorders>
            <w:shd w:val="clear" w:color="auto" w:fill="auto"/>
            <w:noWrap/>
            <w:vAlign w:val="center"/>
          </w:tcPr>
          <w:p w14:paraId="63A7BF0F"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355982F5"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4601C90B"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4D8A953E"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642</w:t>
            </w:r>
          </w:p>
        </w:tc>
        <w:tc>
          <w:tcPr>
            <w:tcW w:w="156" w:type="pct"/>
            <w:tcBorders>
              <w:top w:val="nil"/>
              <w:left w:val="nil"/>
              <w:bottom w:val="single" w:sz="4" w:space="0" w:color="auto"/>
              <w:right w:val="single" w:sz="4" w:space="0" w:color="auto"/>
            </w:tcBorders>
            <w:shd w:val="clear" w:color="auto" w:fill="auto"/>
            <w:noWrap/>
            <w:vAlign w:val="center"/>
          </w:tcPr>
          <w:p w14:paraId="588C5B17"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27</w:t>
            </w:r>
          </w:p>
        </w:tc>
        <w:tc>
          <w:tcPr>
            <w:tcW w:w="186" w:type="pct"/>
            <w:tcBorders>
              <w:top w:val="single" w:sz="4" w:space="0" w:color="auto"/>
              <w:left w:val="nil"/>
              <w:bottom w:val="single" w:sz="4" w:space="0" w:color="auto"/>
              <w:right w:val="single" w:sz="4" w:space="0" w:color="auto"/>
            </w:tcBorders>
          </w:tcPr>
          <w:p w14:paraId="1B8F6CF4"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853A02F" w14:textId="77777777" w:rsidR="00B010E6" w:rsidRPr="001B4CA2" w:rsidRDefault="00B010E6" w:rsidP="00B010E6">
            <w:pPr>
              <w:jc w:val="center"/>
              <w:rPr>
                <w:rFonts w:ascii="Calibri" w:hAnsi="Calibri" w:cs="Calibri"/>
                <w:b/>
                <w:bCs/>
                <w:color w:val="000000"/>
                <w:sz w:val="18"/>
                <w:szCs w:val="18"/>
              </w:rPr>
            </w:pPr>
            <w:r w:rsidRPr="001B4CA2">
              <w:rPr>
                <w:rFonts w:ascii="Calibri" w:hAnsi="Calibri" w:cs="Calibri"/>
                <w:b/>
                <w:bCs/>
                <w:color w:val="000000"/>
                <w:sz w:val="18"/>
                <w:szCs w:val="18"/>
              </w:rPr>
              <w:t>2.314</w:t>
            </w:r>
          </w:p>
        </w:tc>
      </w:tr>
      <w:tr w:rsidR="00BC6496" w:rsidRPr="001B4CA2" w14:paraId="1ABCC257"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6F1553A1" w14:textId="77777777" w:rsidR="00B010E6" w:rsidRPr="001B4CA2" w:rsidRDefault="00B010E6" w:rsidP="00B010E6">
            <w:pPr>
              <w:jc w:val="left"/>
              <w:rPr>
                <w:bCs/>
                <w:sz w:val="14"/>
                <w:szCs w:val="16"/>
              </w:rPr>
            </w:pPr>
            <w:r w:rsidRPr="001B4CA2">
              <w:rPr>
                <w:bCs/>
                <w:sz w:val="14"/>
                <w:szCs w:val="16"/>
              </w:rPr>
              <w:t>Ministarstvo zdravstva</w:t>
            </w:r>
          </w:p>
        </w:tc>
        <w:tc>
          <w:tcPr>
            <w:tcW w:w="201" w:type="pct"/>
            <w:tcBorders>
              <w:top w:val="nil"/>
              <w:left w:val="nil"/>
              <w:bottom w:val="single" w:sz="4" w:space="0" w:color="auto"/>
              <w:right w:val="single" w:sz="4" w:space="0" w:color="auto"/>
            </w:tcBorders>
            <w:shd w:val="clear" w:color="auto" w:fill="auto"/>
            <w:noWrap/>
            <w:vAlign w:val="center"/>
          </w:tcPr>
          <w:p w14:paraId="2036430C"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5CB6EB10"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7064BE7E"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63ECE760"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1275349B" w14:textId="77777777" w:rsidR="00B010E6" w:rsidRPr="001B4CA2" w:rsidRDefault="00B010E6" w:rsidP="00B010E6">
            <w:pPr>
              <w:jc w:val="center"/>
              <w:rPr>
                <w:rFonts w:ascii="Calibri" w:hAnsi="Calibri" w:cs="Calibri"/>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14:paraId="356FD2E9" w14:textId="77777777" w:rsidR="00B010E6" w:rsidRPr="001B4CA2" w:rsidRDefault="00B010E6" w:rsidP="00B010E6">
            <w:pPr>
              <w:jc w:val="center"/>
              <w:rPr>
                <w:rFonts w:ascii="Calibri" w:hAnsi="Calibri" w:cs="Calibri"/>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center"/>
          </w:tcPr>
          <w:p w14:paraId="1DFAFBC1"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4098DD0D"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43650F91"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2</w:t>
            </w:r>
          </w:p>
        </w:tc>
        <w:tc>
          <w:tcPr>
            <w:tcW w:w="133" w:type="pct"/>
            <w:tcBorders>
              <w:top w:val="nil"/>
              <w:left w:val="nil"/>
              <w:bottom w:val="single" w:sz="4" w:space="0" w:color="auto"/>
              <w:right w:val="single" w:sz="4" w:space="0" w:color="auto"/>
            </w:tcBorders>
            <w:shd w:val="clear" w:color="auto" w:fill="auto"/>
            <w:noWrap/>
            <w:vAlign w:val="center"/>
          </w:tcPr>
          <w:p w14:paraId="17131155"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518CB3AF"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1DD61732"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39448BBE" w14:textId="77777777" w:rsidR="00B010E6" w:rsidRPr="001B4CA2" w:rsidRDefault="00B010E6" w:rsidP="00B010E6">
            <w:pPr>
              <w:jc w:val="center"/>
              <w:rPr>
                <w:rFonts w:ascii="Calibri" w:hAnsi="Calibri" w:cs="Calibri"/>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14:paraId="15B1C2CE" w14:textId="77777777" w:rsidR="00B010E6" w:rsidRPr="001B4CA2" w:rsidRDefault="00B010E6" w:rsidP="00B010E6">
            <w:pPr>
              <w:jc w:val="center"/>
              <w:rPr>
                <w:rFonts w:ascii="Calibri" w:hAnsi="Calibri" w:cs="Calibri"/>
                <w:color w:val="000000"/>
                <w:sz w:val="20"/>
                <w:szCs w:val="20"/>
              </w:rPr>
            </w:pPr>
          </w:p>
        </w:tc>
        <w:tc>
          <w:tcPr>
            <w:tcW w:w="191" w:type="pct"/>
            <w:tcBorders>
              <w:top w:val="nil"/>
              <w:left w:val="nil"/>
              <w:bottom w:val="single" w:sz="4" w:space="0" w:color="auto"/>
              <w:right w:val="single" w:sz="4" w:space="0" w:color="auto"/>
            </w:tcBorders>
            <w:shd w:val="clear" w:color="auto" w:fill="auto"/>
            <w:noWrap/>
            <w:vAlign w:val="center"/>
          </w:tcPr>
          <w:p w14:paraId="5F8B16F3"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75FC585E" w14:textId="77777777" w:rsidR="00B010E6" w:rsidRPr="001B4CA2" w:rsidRDefault="00B010E6" w:rsidP="00B010E6">
            <w:pPr>
              <w:jc w:val="center"/>
              <w:rPr>
                <w:rFonts w:ascii="Calibri" w:hAnsi="Calibri" w:cs="Calibri"/>
                <w:sz w:val="18"/>
                <w:szCs w:val="18"/>
              </w:rPr>
            </w:pPr>
          </w:p>
        </w:tc>
        <w:tc>
          <w:tcPr>
            <w:tcW w:w="127" w:type="pct"/>
            <w:tcBorders>
              <w:top w:val="nil"/>
              <w:left w:val="nil"/>
              <w:bottom w:val="single" w:sz="4" w:space="0" w:color="auto"/>
              <w:right w:val="single" w:sz="4" w:space="0" w:color="auto"/>
            </w:tcBorders>
            <w:shd w:val="clear" w:color="auto" w:fill="auto"/>
            <w:noWrap/>
            <w:vAlign w:val="center"/>
          </w:tcPr>
          <w:p w14:paraId="6CD70428" w14:textId="77777777" w:rsidR="00B010E6" w:rsidRPr="001B4CA2" w:rsidRDefault="00B010E6" w:rsidP="00B010E6">
            <w:pPr>
              <w:jc w:val="center"/>
              <w:rPr>
                <w:rFonts w:ascii="Calibri" w:hAnsi="Calibri" w:cs="Calibri"/>
                <w:color w:val="000000"/>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0FC77609"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7207E25A"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3383818B"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570D8C3C"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2</w:t>
            </w:r>
          </w:p>
        </w:tc>
        <w:tc>
          <w:tcPr>
            <w:tcW w:w="156" w:type="pct"/>
            <w:tcBorders>
              <w:top w:val="nil"/>
              <w:left w:val="nil"/>
              <w:bottom w:val="single" w:sz="4" w:space="0" w:color="auto"/>
              <w:right w:val="single" w:sz="4" w:space="0" w:color="auto"/>
            </w:tcBorders>
            <w:shd w:val="clear" w:color="auto" w:fill="auto"/>
            <w:noWrap/>
            <w:vAlign w:val="center"/>
          </w:tcPr>
          <w:p w14:paraId="3DC9B25D" w14:textId="77777777" w:rsidR="00B010E6" w:rsidRPr="001B4CA2" w:rsidRDefault="00B010E6" w:rsidP="00B010E6">
            <w:pPr>
              <w:jc w:val="center"/>
              <w:rPr>
                <w:rFonts w:ascii="Calibri" w:hAnsi="Calibri" w:cs="Calibri"/>
                <w:bCs/>
                <w:color w:val="000000"/>
                <w:sz w:val="18"/>
                <w:szCs w:val="18"/>
              </w:rPr>
            </w:pPr>
          </w:p>
        </w:tc>
        <w:tc>
          <w:tcPr>
            <w:tcW w:w="186" w:type="pct"/>
            <w:tcBorders>
              <w:top w:val="single" w:sz="4" w:space="0" w:color="auto"/>
              <w:left w:val="nil"/>
              <w:bottom w:val="single" w:sz="4" w:space="0" w:color="auto"/>
              <w:right w:val="single" w:sz="4" w:space="0" w:color="auto"/>
            </w:tcBorders>
          </w:tcPr>
          <w:p w14:paraId="7DCC6815"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5C1E6B7" w14:textId="77777777" w:rsidR="00B010E6" w:rsidRPr="001B4CA2" w:rsidRDefault="00B010E6" w:rsidP="00B010E6">
            <w:pPr>
              <w:jc w:val="center"/>
              <w:rPr>
                <w:rFonts w:ascii="Calibri" w:hAnsi="Calibri" w:cs="Calibri"/>
                <w:b/>
                <w:bCs/>
                <w:color w:val="000000"/>
                <w:sz w:val="18"/>
                <w:szCs w:val="18"/>
              </w:rPr>
            </w:pPr>
          </w:p>
        </w:tc>
      </w:tr>
      <w:tr w:rsidR="00BC6496" w:rsidRPr="001B4CA2" w14:paraId="1CA678C5"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56783E80" w14:textId="77777777" w:rsidR="00B010E6" w:rsidRPr="001B4CA2" w:rsidRDefault="00B010E6" w:rsidP="00B010E6">
            <w:pPr>
              <w:jc w:val="left"/>
              <w:rPr>
                <w:bCs/>
                <w:sz w:val="14"/>
                <w:szCs w:val="16"/>
              </w:rPr>
            </w:pPr>
            <w:r w:rsidRPr="001B4CA2">
              <w:rPr>
                <w:bCs/>
                <w:sz w:val="14"/>
                <w:szCs w:val="16"/>
              </w:rPr>
              <w:t xml:space="preserve">Ministarstvo hrvatskih branitelja </w:t>
            </w:r>
          </w:p>
        </w:tc>
        <w:tc>
          <w:tcPr>
            <w:tcW w:w="201" w:type="pct"/>
            <w:tcBorders>
              <w:top w:val="nil"/>
              <w:left w:val="nil"/>
              <w:bottom w:val="single" w:sz="4" w:space="0" w:color="auto"/>
              <w:right w:val="single" w:sz="4" w:space="0" w:color="auto"/>
            </w:tcBorders>
            <w:shd w:val="clear" w:color="auto" w:fill="auto"/>
            <w:noWrap/>
            <w:vAlign w:val="center"/>
          </w:tcPr>
          <w:p w14:paraId="5E02857F"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4</w:t>
            </w:r>
          </w:p>
        </w:tc>
        <w:tc>
          <w:tcPr>
            <w:tcW w:w="156" w:type="pct"/>
            <w:tcBorders>
              <w:top w:val="nil"/>
              <w:left w:val="nil"/>
              <w:bottom w:val="single" w:sz="4" w:space="0" w:color="auto"/>
              <w:right w:val="single" w:sz="4" w:space="0" w:color="auto"/>
            </w:tcBorders>
            <w:shd w:val="clear" w:color="auto" w:fill="auto"/>
            <w:noWrap/>
            <w:vAlign w:val="center"/>
          </w:tcPr>
          <w:p w14:paraId="21C8408A"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1A60BB16"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0BF60360"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77EC3F2E"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w:t>
            </w:r>
          </w:p>
        </w:tc>
        <w:tc>
          <w:tcPr>
            <w:tcW w:w="166" w:type="pct"/>
            <w:tcBorders>
              <w:top w:val="nil"/>
              <w:left w:val="nil"/>
              <w:bottom w:val="single" w:sz="4" w:space="0" w:color="auto"/>
              <w:right w:val="single" w:sz="4" w:space="0" w:color="auto"/>
            </w:tcBorders>
            <w:shd w:val="clear" w:color="auto" w:fill="auto"/>
            <w:noWrap/>
            <w:vAlign w:val="center"/>
          </w:tcPr>
          <w:p w14:paraId="3D40C897" w14:textId="77777777" w:rsidR="00B010E6" w:rsidRPr="001B4CA2" w:rsidRDefault="00B010E6" w:rsidP="00B010E6">
            <w:pPr>
              <w:jc w:val="center"/>
              <w:rPr>
                <w:rFonts w:ascii="Calibri" w:hAnsi="Calibri" w:cs="Calibri"/>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center"/>
          </w:tcPr>
          <w:p w14:paraId="795C0C83"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5B58FE9D"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002CC526"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4</w:t>
            </w:r>
          </w:p>
        </w:tc>
        <w:tc>
          <w:tcPr>
            <w:tcW w:w="133" w:type="pct"/>
            <w:tcBorders>
              <w:top w:val="nil"/>
              <w:left w:val="nil"/>
              <w:bottom w:val="single" w:sz="4" w:space="0" w:color="auto"/>
              <w:right w:val="single" w:sz="4" w:space="0" w:color="auto"/>
            </w:tcBorders>
            <w:shd w:val="clear" w:color="auto" w:fill="auto"/>
            <w:noWrap/>
            <w:vAlign w:val="center"/>
          </w:tcPr>
          <w:p w14:paraId="5093FCCC"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58560E94"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787A1E47"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7FE873D0" w14:textId="77777777" w:rsidR="00B010E6" w:rsidRPr="001B4CA2" w:rsidRDefault="00B010E6" w:rsidP="00B010E6">
            <w:pPr>
              <w:jc w:val="center"/>
              <w:rPr>
                <w:rFonts w:ascii="Calibri" w:hAnsi="Calibri" w:cs="Calibri"/>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14:paraId="13AFF3AB" w14:textId="77777777" w:rsidR="00B010E6" w:rsidRPr="001B4CA2" w:rsidRDefault="00B010E6" w:rsidP="00B010E6">
            <w:pPr>
              <w:jc w:val="center"/>
              <w:rPr>
                <w:rFonts w:ascii="Calibri" w:hAnsi="Calibri" w:cs="Calibri"/>
                <w:color w:val="000000"/>
                <w:sz w:val="20"/>
                <w:szCs w:val="20"/>
              </w:rPr>
            </w:pPr>
          </w:p>
        </w:tc>
        <w:tc>
          <w:tcPr>
            <w:tcW w:w="191" w:type="pct"/>
            <w:tcBorders>
              <w:top w:val="nil"/>
              <w:left w:val="nil"/>
              <w:bottom w:val="single" w:sz="4" w:space="0" w:color="auto"/>
              <w:right w:val="single" w:sz="4" w:space="0" w:color="auto"/>
            </w:tcBorders>
            <w:shd w:val="clear" w:color="auto" w:fill="auto"/>
            <w:noWrap/>
            <w:vAlign w:val="center"/>
          </w:tcPr>
          <w:p w14:paraId="60239965"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50C0B353" w14:textId="77777777" w:rsidR="00B010E6" w:rsidRPr="001B4CA2" w:rsidRDefault="00B010E6" w:rsidP="00B010E6">
            <w:pPr>
              <w:jc w:val="center"/>
              <w:rPr>
                <w:rFonts w:ascii="Calibri" w:hAnsi="Calibri" w:cs="Calibri"/>
                <w:sz w:val="18"/>
                <w:szCs w:val="18"/>
              </w:rPr>
            </w:pPr>
          </w:p>
        </w:tc>
        <w:tc>
          <w:tcPr>
            <w:tcW w:w="127" w:type="pct"/>
            <w:tcBorders>
              <w:top w:val="nil"/>
              <w:left w:val="nil"/>
              <w:bottom w:val="single" w:sz="4" w:space="0" w:color="auto"/>
              <w:right w:val="single" w:sz="4" w:space="0" w:color="auto"/>
            </w:tcBorders>
            <w:shd w:val="clear" w:color="auto" w:fill="auto"/>
            <w:noWrap/>
            <w:vAlign w:val="center"/>
          </w:tcPr>
          <w:p w14:paraId="0BAC45C1"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w:t>
            </w:r>
          </w:p>
        </w:tc>
        <w:tc>
          <w:tcPr>
            <w:tcW w:w="123" w:type="pct"/>
            <w:tcBorders>
              <w:top w:val="nil"/>
              <w:left w:val="nil"/>
              <w:bottom w:val="single" w:sz="4" w:space="0" w:color="auto"/>
              <w:right w:val="single" w:sz="4" w:space="0" w:color="auto"/>
            </w:tcBorders>
            <w:shd w:val="clear" w:color="auto" w:fill="auto"/>
            <w:noWrap/>
            <w:vAlign w:val="center"/>
          </w:tcPr>
          <w:p w14:paraId="6AFCC558"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7E2B9EB3"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6A744238"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091D4EAA"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13</w:t>
            </w:r>
          </w:p>
        </w:tc>
        <w:tc>
          <w:tcPr>
            <w:tcW w:w="156" w:type="pct"/>
            <w:tcBorders>
              <w:top w:val="nil"/>
              <w:left w:val="nil"/>
              <w:bottom w:val="single" w:sz="4" w:space="0" w:color="auto"/>
              <w:right w:val="single" w:sz="4" w:space="0" w:color="auto"/>
            </w:tcBorders>
            <w:shd w:val="clear" w:color="auto" w:fill="auto"/>
            <w:noWrap/>
            <w:vAlign w:val="center"/>
          </w:tcPr>
          <w:p w14:paraId="445F8DF3" w14:textId="77777777" w:rsidR="00B010E6" w:rsidRPr="001B4CA2" w:rsidRDefault="00B010E6" w:rsidP="00B010E6">
            <w:pPr>
              <w:jc w:val="center"/>
              <w:rPr>
                <w:rFonts w:ascii="Calibri" w:hAnsi="Calibri" w:cs="Calibri"/>
                <w:bCs/>
                <w:color w:val="000000"/>
                <w:sz w:val="18"/>
                <w:szCs w:val="18"/>
              </w:rPr>
            </w:pPr>
          </w:p>
        </w:tc>
        <w:tc>
          <w:tcPr>
            <w:tcW w:w="186" w:type="pct"/>
            <w:tcBorders>
              <w:top w:val="single" w:sz="4" w:space="0" w:color="auto"/>
              <w:left w:val="nil"/>
              <w:bottom w:val="single" w:sz="4" w:space="0" w:color="auto"/>
              <w:right w:val="single" w:sz="4" w:space="0" w:color="auto"/>
            </w:tcBorders>
          </w:tcPr>
          <w:p w14:paraId="20D573FA"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7CF0959" w14:textId="77777777" w:rsidR="00B010E6" w:rsidRPr="001B4CA2" w:rsidRDefault="00B010E6" w:rsidP="00B010E6">
            <w:pPr>
              <w:jc w:val="center"/>
              <w:rPr>
                <w:rFonts w:ascii="Calibri" w:hAnsi="Calibri" w:cs="Calibri"/>
                <w:b/>
                <w:bCs/>
                <w:color w:val="000000"/>
                <w:sz w:val="18"/>
                <w:szCs w:val="18"/>
              </w:rPr>
            </w:pPr>
          </w:p>
        </w:tc>
      </w:tr>
      <w:tr w:rsidR="00BC6496" w:rsidRPr="001B4CA2" w14:paraId="61D0671E"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3973E473" w14:textId="77777777" w:rsidR="00B010E6" w:rsidRPr="001B4CA2" w:rsidRDefault="00B010E6" w:rsidP="00B010E6">
            <w:pPr>
              <w:jc w:val="left"/>
              <w:rPr>
                <w:bCs/>
                <w:sz w:val="14"/>
                <w:szCs w:val="16"/>
              </w:rPr>
            </w:pPr>
            <w:r w:rsidRPr="001B4CA2">
              <w:rPr>
                <w:bCs/>
                <w:sz w:val="14"/>
                <w:szCs w:val="16"/>
              </w:rPr>
              <w:t>Ministarstvo regionalnog razvoja i fondova EU</w:t>
            </w:r>
          </w:p>
        </w:tc>
        <w:tc>
          <w:tcPr>
            <w:tcW w:w="201" w:type="pct"/>
            <w:tcBorders>
              <w:top w:val="nil"/>
              <w:left w:val="nil"/>
              <w:bottom w:val="single" w:sz="4" w:space="0" w:color="auto"/>
              <w:right w:val="single" w:sz="4" w:space="0" w:color="auto"/>
            </w:tcBorders>
            <w:shd w:val="clear" w:color="auto" w:fill="auto"/>
            <w:noWrap/>
            <w:vAlign w:val="center"/>
          </w:tcPr>
          <w:p w14:paraId="2E0FE32D"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328AEF32"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17070D56"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04974A41"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3B0840F5" w14:textId="77777777" w:rsidR="00B010E6" w:rsidRPr="001B4CA2" w:rsidRDefault="00B010E6" w:rsidP="00B010E6">
            <w:pPr>
              <w:jc w:val="center"/>
              <w:rPr>
                <w:rFonts w:ascii="Calibri" w:hAnsi="Calibri" w:cs="Calibri"/>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14:paraId="46B0CA53" w14:textId="77777777" w:rsidR="00B010E6" w:rsidRPr="001B4CA2" w:rsidRDefault="00B010E6" w:rsidP="00B010E6">
            <w:pPr>
              <w:jc w:val="center"/>
              <w:rPr>
                <w:rFonts w:ascii="Calibri" w:hAnsi="Calibri" w:cs="Calibri"/>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center"/>
          </w:tcPr>
          <w:p w14:paraId="074EAB65"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701201FA"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7DE2CE2D" w14:textId="77777777" w:rsidR="00B010E6" w:rsidRPr="001B4CA2" w:rsidRDefault="00B010E6" w:rsidP="00B010E6">
            <w:pPr>
              <w:jc w:val="center"/>
              <w:rPr>
                <w:rFonts w:ascii="Calibri" w:hAnsi="Calibri" w:cs="Calibri"/>
                <w:color w:val="000000"/>
                <w:sz w:val="18"/>
                <w:szCs w:val="18"/>
              </w:rPr>
            </w:pPr>
          </w:p>
        </w:tc>
        <w:tc>
          <w:tcPr>
            <w:tcW w:w="133" w:type="pct"/>
            <w:tcBorders>
              <w:top w:val="nil"/>
              <w:left w:val="nil"/>
              <w:bottom w:val="single" w:sz="4" w:space="0" w:color="auto"/>
              <w:right w:val="single" w:sz="4" w:space="0" w:color="auto"/>
            </w:tcBorders>
            <w:shd w:val="clear" w:color="auto" w:fill="auto"/>
            <w:noWrap/>
            <w:vAlign w:val="center"/>
          </w:tcPr>
          <w:p w14:paraId="010C8605"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587E100F"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773AE9A9"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2A22F860"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166" w:type="pct"/>
            <w:tcBorders>
              <w:top w:val="nil"/>
              <w:left w:val="nil"/>
              <w:bottom w:val="single" w:sz="4" w:space="0" w:color="auto"/>
              <w:right w:val="single" w:sz="4" w:space="0" w:color="auto"/>
            </w:tcBorders>
            <w:shd w:val="clear" w:color="auto" w:fill="auto"/>
            <w:noWrap/>
            <w:vAlign w:val="center"/>
          </w:tcPr>
          <w:p w14:paraId="1A9F37A5"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center"/>
          </w:tcPr>
          <w:p w14:paraId="69267454"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0349ADFC"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2</w:t>
            </w:r>
          </w:p>
        </w:tc>
        <w:tc>
          <w:tcPr>
            <w:tcW w:w="127" w:type="pct"/>
            <w:tcBorders>
              <w:top w:val="nil"/>
              <w:left w:val="nil"/>
              <w:bottom w:val="single" w:sz="4" w:space="0" w:color="auto"/>
              <w:right w:val="single" w:sz="4" w:space="0" w:color="auto"/>
            </w:tcBorders>
            <w:shd w:val="clear" w:color="auto" w:fill="auto"/>
            <w:noWrap/>
            <w:vAlign w:val="center"/>
          </w:tcPr>
          <w:p w14:paraId="3CA44C80"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w:t>
            </w:r>
          </w:p>
        </w:tc>
        <w:tc>
          <w:tcPr>
            <w:tcW w:w="123" w:type="pct"/>
            <w:tcBorders>
              <w:top w:val="nil"/>
              <w:left w:val="nil"/>
              <w:bottom w:val="single" w:sz="4" w:space="0" w:color="auto"/>
              <w:right w:val="single" w:sz="4" w:space="0" w:color="auto"/>
            </w:tcBorders>
            <w:shd w:val="clear" w:color="auto" w:fill="auto"/>
            <w:noWrap/>
            <w:vAlign w:val="center"/>
          </w:tcPr>
          <w:p w14:paraId="0617ADF0"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557875BA"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09493A7D"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59557FB0"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2</w:t>
            </w:r>
          </w:p>
        </w:tc>
        <w:tc>
          <w:tcPr>
            <w:tcW w:w="156" w:type="pct"/>
            <w:tcBorders>
              <w:top w:val="nil"/>
              <w:left w:val="nil"/>
              <w:bottom w:val="single" w:sz="4" w:space="0" w:color="auto"/>
              <w:right w:val="single" w:sz="4" w:space="0" w:color="auto"/>
            </w:tcBorders>
            <w:shd w:val="clear" w:color="auto" w:fill="auto"/>
            <w:noWrap/>
            <w:vAlign w:val="center"/>
          </w:tcPr>
          <w:p w14:paraId="40105835"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w:t>
            </w:r>
          </w:p>
        </w:tc>
        <w:tc>
          <w:tcPr>
            <w:tcW w:w="186" w:type="pct"/>
            <w:tcBorders>
              <w:top w:val="single" w:sz="4" w:space="0" w:color="auto"/>
              <w:left w:val="nil"/>
              <w:bottom w:val="single" w:sz="4" w:space="0" w:color="auto"/>
              <w:right w:val="single" w:sz="4" w:space="0" w:color="auto"/>
            </w:tcBorders>
          </w:tcPr>
          <w:p w14:paraId="4E14B7DA"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BDE14CB" w14:textId="77777777" w:rsidR="00B010E6" w:rsidRPr="001B4CA2" w:rsidRDefault="00B010E6" w:rsidP="00B010E6">
            <w:pPr>
              <w:jc w:val="center"/>
              <w:rPr>
                <w:rFonts w:ascii="Calibri" w:hAnsi="Calibri" w:cs="Calibri"/>
                <w:b/>
                <w:bCs/>
                <w:color w:val="000000"/>
                <w:sz w:val="18"/>
                <w:szCs w:val="18"/>
              </w:rPr>
            </w:pPr>
            <w:r w:rsidRPr="001B4CA2">
              <w:rPr>
                <w:rFonts w:ascii="Calibri" w:hAnsi="Calibri" w:cs="Calibri"/>
                <w:b/>
                <w:bCs/>
                <w:color w:val="000000"/>
                <w:sz w:val="18"/>
                <w:szCs w:val="18"/>
              </w:rPr>
              <w:t>2</w:t>
            </w:r>
          </w:p>
        </w:tc>
      </w:tr>
      <w:tr w:rsidR="00BC6496" w:rsidRPr="001B4CA2" w14:paraId="2611010C"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1310CCA8" w14:textId="77777777" w:rsidR="00B010E6" w:rsidRPr="001B4CA2" w:rsidRDefault="00B010E6" w:rsidP="00B010E6">
            <w:pPr>
              <w:jc w:val="left"/>
              <w:rPr>
                <w:bCs/>
                <w:sz w:val="14"/>
                <w:szCs w:val="16"/>
              </w:rPr>
            </w:pPr>
            <w:r w:rsidRPr="001B4CA2">
              <w:rPr>
                <w:bCs/>
                <w:sz w:val="14"/>
                <w:szCs w:val="16"/>
              </w:rPr>
              <w:t>Ministarstvo prostornoga uređenja, graditeljstva i državne imovine</w:t>
            </w:r>
          </w:p>
        </w:tc>
        <w:tc>
          <w:tcPr>
            <w:tcW w:w="201" w:type="pct"/>
            <w:tcBorders>
              <w:top w:val="nil"/>
              <w:left w:val="nil"/>
              <w:bottom w:val="single" w:sz="4" w:space="0" w:color="auto"/>
              <w:right w:val="single" w:sz="4" w:space="0" w:color="auto"/>
            </w:tcBorders>
            <w:shd w:val="clear" w:color="auto" w:fill="auto"/>
            <w:noWrap/>
            <w:vAlign w:val="center"/>
          </w:tcPr>
          <w:p w14:paraId="06880BF2"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1.195</w:t>
            </w:r>
          </w:p>
        </w:tc>
        <w:tc>
          <w:tcPr>
            <w:tcW w:w="156" w:type="pct"/>
            <w:tcBorders>
              <w:top w:val="nil"/>
              <w:left w:val="nil"/>
              <w:bottom w:val="single" w:sz="4" w:space="0" w:color="auto"/>
              <w:right w:val="single" w:sz="4" w:space="0" w:color="auto"/>
            </w:tcBorders>
            <w:shd w:val="clear" w:color="auto" w:fill="auto"/>
            <w:noWrap/>
            <w:vAlign w:val="center"/>
          </w:tcPr>
          <w:p w14:paraId="2C3EFE42"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207</w:t>
            </w:r>
          </w:p>
        </w:tc>
        <w:tc>
          <w:tcPr>
            <w:tcW w:w="187" w:type="pct"/>
            <w:tcBorders>
              <w:top w:val="nil"/>
              <w:left w:val="nil"/>
              <w:bottom w:val="single" w:sz="4" w:space="0" w:color="auto"/>
              <w:right w:val="single" w:sz="4" w:space="0" w:color="auto"/>
            </w:tcBorders>
            <w:shd w:val="clear" w:color="auto" w:fill="auto"/>
            <w:noWrap/>
            <w:vAlign w:val="center"/>
          </w:tcPr>
          <w:p w14:paraId="07ACFE6D"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12A943EA"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7.321</w:t>
            </w:r>
          </w:p>
        </w:tc>
        <w:tc>
          <w:tcPr>
            <w:tcW w:w="166" w:type="pct"/>
            <w:tcBorders>
              <w:top w:val="nil"/>
              <w:left w:val="nil"/>
              <w:bottom w:val="single" w:sz="4" w:space="0" w:color="auto"/>
              <w:right w:val="single" w:sz="4" w:space="0" w:color="auto"/>
            </w:tcBorders>
            <w:shd w:val="clear" w:color="auto" w:fill="auto"/>
            <w:noWrap/>
            <w:vAlign w:val="center"/>
          </w:tcPr>
          <w:p w14:paraId="029F10D9"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27</w:t>
            </w:r>
          </w:p>
        </w:tc>
        <w:tc>
          <w:tcPr>
            <w:tcW w:w="166" w:type="pct"/>
            <w:tcBorders>
              <w:top w:val="nil"/>
              <w:left w:val="nil"/>
              <w:bottom w:val="single" w:sz="4" w:space="0" w:color="auto"/>
              <w:right w:val="single" w:sz="4" w:space="0" w:color="auto"/>
            </w:tcBorders>
            <w:shd w:val="clear" w:color="auto" w:fill="auto"/>
            <w:noWrap/>
            <w:vAlign w:val="center"/>
          </w:tcPr>
          <w:p w14:paraId="2B560816"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w:t>
            </w:r>
          </w:p>
        </w:tc>
        <w:tc>
          <w:tcPr>
            <w:tcW w:w="201" w:type="pct"/>
            <w:tcBorders>
              <w:top w:val="nil"/>
              <w:left w:val="nil"/>
              <w:bottom w:val="single" w:sz="4" w:space="0" w:color="auto"/>
              <w:right w:val="single" w:sz="4" w:space="0" w:color="auto"/>
            </w:tcBorders>
            <w:shd w:val="clear" w:color="auto" w:fill="auto"/>
            <w:noWrap/>
            <w:vAlign w:val="center"/>
          </w:tcPr>
          <w:p w14:paraId="1E80F0C4"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53A13F3B"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7</w:t>
            </w:r>
          </w:p>
        </w:tc>
        <w:tc>
          <w:tcPr>
            <w:tcW w:w="166" w:type="pct"/>
            <w:tcBorders>
              <w:top w:val="nil"/>
              <w:left w:val="nil"/>
              <w:bottom w:val="single" w:sz="4" w:space="0" w:color="auto"/>
              <w:right w:val="single" w:sz="4" w:space="0" w:color="auto"/>
            </w:tcBorders>
            <w:shd w:val="clear" w:color="auto" w:fill="auto"/>
            <w:noWrap/>
            <w:vAlign w:val="center"/>
          </w:tcPr>
          <w:p w14:paraId="6C03A4D4"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175</w:t>
            </w:r>
          </w:p>
        </w:tc>
        <w:tc>
          <w:tcPr>
            <w:tcW w:w="133" w:type="pct"/>
            <w:tcBorders>
              <w:top w:val="nil"/>
              <w:left w:val="nil"/>
              <w:bottom w:val="single" w:sz="4" w:space="0" w:color="auto"/>
              <w:right w:val="single" w:sz="4" w:space="0" w:color="auto"/>
            </w:tcBorders>
            <w:shd w:val="clear" w:color="auto" w:fill="auto"/>
            <w:noWrap/>
            <w:vAlign w:val="center"/>
          </w:tcPr>
          <w:p w14:paraId="62D75685"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7A1F0FBE"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14ABEDA7"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22C8DC70"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166" w:type="pct"/>
            <w:tcBorders>
              <w:top w:val="nil"/>
              <w:left w:val="nil"/>
              <w:bottom w:val="single" w:sz="4" w:space="0" w:color="auto"/>
              <w:right w:val="single" w:sz="4" w:space="0" w:color="auto"/>
            </w:tcBorders>
            <w:shd w:val="clear" w:color="auto" w:fill="auto"/>
            <w:noWrap/>
            <w:vAlign w:val="center"/>
          </w:tcPr>
          <w:p w14:paraId="0EBD7415"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191" w:type="pct"/>
            <w:tcBorders>
              <w:top w:val="nil"/>
              <w:left w:val="nil"/>
              <w:bottom w:val="single" w:sz="4" w:space="0" w:color="auto"/>
              <w:right w:val="single" w:sz="4" w:space="0" w:color="auto"/>
            </w:tcBorders>
            <w:shd w:val="clear" w:color="auto" w:fill="auto"/>
            <w:noWrap/>
            <w:vAlign w:val="center"/>
          </w:tcPr>
          <w:p w14:paraId="151AF05F"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45841C77"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73</w:t>
            </w:r>
          </w:p>
        </w:tc>
        <w:tc>
          <w:tcPr>
            <w:tcW w:w="127" w:type="pct"/>
            <w:tcBorders>
              <w:top w:val="nil"/>
              <w:left w:val="nil"/>
              <w:bottom w:val="single" w:sz="4" w:space="0" w:color="auto"/>
              <w:right w:val="single" w:sz="4" w:space="0" w:color="auto"/>
            </w:tcBorders>
            <w:shd w:val="clear" w:color="auto" w:fill="auto"/>
            <w:noWrap/>
            <w:vAlign w:val="center"/>
          </w:tcPr>
          <w:p w14:paraId="7844E4A8"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5</w:t>
            </w:r>
          </w:p>
        </w:tc>
        <w:tc>
          <w:tcPr>
            <w:tcW w:w="123" w:type="pct"/>
            <w:tcBorders>
              <w:top w:val="nil"/>
              <w:left w:val="nil"/>
              <w:bottom w:val="single" w:sz="4" w:space="0" w:color="auto"/>
              <w:right w:val="single" w:sz="4" w:space="0" w:color="auto"/>
            </w:tcBorders>
            <w:shd w:val="clear" w:color="auto" w:fill="auto"/>
            <w:noWrap/>
            <w:vAlign w:val="center"/>
          </w:tcPr>
          <w:p w14:paraId="060502A9"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0943CA2A"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08AF6CA7"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4CE7E968"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1.403</w:t>
            </w:r>
          </w:p>
        </w:tc>
        <w:tc>
          <w:tcPr>
            <w:tcW w:w="156" w:type="pct"/>
            <w:tcBorders>
              <w:top w:val="nil"/>
              <w:left w:val="nil"/>
              <w:bottom w:val="single" w:sz="4" w:space="0" w:color="auto"/>
              <w:right w:val="single" w:sz="4" w:space="0" w:color="auto"/>
            </w:tcBorders>
            <w:shd w:val="clear" w:color="auto" w:fill="auto"/>
            <w:noWrap/>
            <w:vAlign w:val="center"/>
          </w:tcPr>
          <w:p w14:paraId="77F21118"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210</w:t>
            </w:r>
          </w:p>
        </w:tc>
        <w:tc>
          <w:tcPr>
            <w:tcW w:w="186" w:type="pct"/>
            <w:tcBorders>
              <w:top w:val="single" w:sz="4" w:space="0" w:color="auto"/>
              <w:left w:val="nil"/>
              <w:bottom w:val="single" w:sz="4" w:space="0" w:color="auto"/>
              <w:right w:val="single" w:sz="4" w:space="0" w:color="auto"/>
            </w:tcBorders>
          </w:tcPr>
          <w:p w14:paraId="1C86CF84"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AD3AFED" w14:textId="77777777" w:rsidR="00B010E6" w:rsidRPr="001B4CA2" w:rsidRDefault="00B010E6" w:rsidP="00B010E6">
            <w:pPr>
              <w:jc w:val="center"/>
              <w:rPr>
                <w:rFonts w:ascii="Calibri" w:hAnsi="Calibri" w:cs="Calibri"/>
                <w:b/>
                <w:bCs/>
                <w:color w:val="000000"/>
                <w:sz w:val="18"/>
                <w:szCs w:val="18"/>
              </w:rPr>
            </w:pPr>
            <w:r w:rsidRPr="001B4CA2">
              <w:rPr>
                <w:rFonts w:ascii="Calibri" w:hAnsi="Calibri" w:cs="Calibri"/>
                <w:b/>
                <w:bCs/>
                <w:color w:val="000000"/>
                <w:sz w:val="18"/>
                <w:szCs w:val="18"/>
              </w:rPr>
              <w:t>7.401</w:t>
            </w:r>
          </w:p>
        </w:tc>
      </w:tr>
      <w:tr w:rsidR="00BC6496" w:rsidRPr="001B4CA2" w14:paraId="71D64CF3"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7561FD34" w14:textId="77777777" w:rsidR="00B010E6" w:rsidRPr="001B4CA2" w:rsidRDefault="00B010E6" w:rsidP="00B010E6">
            <w:pPr>
              <w:jc w:val="left"/>
              <w:rPr>
                <w:bCs/>
                <w:sz w:val="14"/>
                <w:szCs w:val="16"/>
              </w:rPr>
            </w:pPr>
            <w:r w:rsidRPr="001B4CA2">
              <w:rPr>
                <w:bCs/>
                <w:sz w:val="14"/>
                <w:szCs w:val="16"/>
              </w:rPr>
              <w:t xml:space="preserve">Ministarstvo unutarnjih poslova </w:t>
            </w:r>
          </w:p>
        </w:tc>
        <w:tc>
          <w:tcPr>
            <w:tcW w:w="201" w:type="pct"/>
            <w:tcBorders>
              <w:top w:val="nil"/>
              <w:left w:val="nil"/>
              <w:bottom w:val="single" w:sz="4" w:space="0" w:color="auto"/>
              <w:right w:val="single" w:sz="4" w:space="0" w:color="auto"/>
            </w:tcBorders>
            <w:shd w:val="clear" w:color="auto" w:fill="auto"/>
            <w:noWrap/>
            <w:vAlign w:val="center"/>
          </w:tcPr>
          <w:p w14:paraId="4B3B978B"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4</w:t>
            </w:r>
          </w:p>
        </w:tc>
        <w:tc>
          <w:tcPr>
            <w:tcW w:w="156" w:type="pct"/>
            <w:tcBorders>
              <w:top w:val="nil"/>
              <w:left w:val="nil"/>
              <w:bottom w:val="single" w:sz="4" w:space="0" w:color="auto"/>
              <w:right w:val="single" w:sz="4" w:space="0" w:color="auto"/>
            </w:tcBorders>
            <w:shd w:val="clear" w:color="auto" w:fill="auto"/>
            <w:noWrap/>
            <w:vAlign w:val="center"/>
          </w:tcPr>
          <w:p w14:paraId="48319FD0"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32CCD31E"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76CBF698"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09C0171D"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10</w:t>
            </w:r>
          </w:p>
        </w:tc>
        <w:tc>
          <w:tcPr>
            <w:tcW w:w="166" w:type="pct"/>
            <w:tcBorders>
              <w:top w:val="nil"/>
              <w:left w:val="nil"/>
              <w:bottom w:val="single" w:sz="4" w:space="0" w:color="auto"/>
              <w:right w:val="single" w:sz="4" w:space="0" w:color="auto"/>
            </w:tcBorders>
            <w:shd w:val="clear" w:color="auto" w:fill="auto"/>
            <w:noWrap/>
            <w:vAlign w:val="center"/>
          </w:tcPr>
          <w:p w14:paraId="29436A9C"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w:t>
            </w:r>
          </w:p>
        </w:tc>
        <w:tc>
          <w:tcPr>
            <w:tcW w:w="201" w:type="pct"/>
            <w:tcBorders>
              <w:top w:val="nil"/>
              <w:left w:val="nil"/>
              <w:bottom w:val="single" w:sz="4" w:space="0" w:color="auto"/>
              <w:right w:val="single" w:sz="4" w:space="0" w:color="auto"/>
            </w:tcBorders>
            <w:shd w:val="clear" w:color="auto" w:fill="auto"/>
            <w:noWrap/>
            <w:vAlign w:val="center"/>
          </w:tcPr>
          <w:p w14:paraId="1A5DA98F"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163E7FFC"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54</w:t>
            </w:r>
          </w:p>
        </w:tc>
        <w:tc>
          <w:tcPr>
            <w:tcW w:w="166" w:type="pct"/>
            <w:tcBorders>
              <w:top w:val="nil"/>
              <w:left w:val="nil"/>
              <w:bottom w:val="single" w:sz="4" w:space="0" w:color="auto"/>
              <w:right w:val="single" w:sz="4" w:space="0" w:color="auto"/>
            </w:tcBorders>
            <w:shd w:val="clear" w:color="auto" w:fill="auto"/>
            <w:noWrap/>
            <w:vAlign w:val="center"/>
          </w:tcPr>
          <w:p w14:paraId="76C0A063"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56</w:t>
            </w:r>
          </w:p>
        </w:tc>
        <w:tc>
          <w:tcPr>
            <w:tcW w:w="133" w:type="pct"/>
            <w:tcBorders>
              <w:top w:val="nil"/>
              <w:left w:val="nil"/>
              <w:bottom w:val="single" w:sz="4" w:space="0" w:color="auto"/>
              <w:right w:val="single" w:sz="4" w:space="0" w:color="auto"/>
            </w:tcBorders>
            <w:shd w:val="clear" w:color="auto" w:fill="auto"/>
            <w:noWrap/>
            <w:vAlign w:val="center"/>
          </w:tcPr>
          <w:p w14:paraId="56D5FEDC"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16</w:t>
            </w:r>
          </w:p>
        </w:tc>
        <w:tc>
          <w:tcPr>
            <w:tcW w:w="156" w:type="pct"/>
            <w:tcBorders>
              <w:top w:val="nil"/>
              <w:left w:val="nil"/>
              <w:bottom w:val="single" w:sz="4" w:space="0" w:color="auto"/>
              <w:right w:val="single" w:sz="4" w:space="0" w:color="auto"/>
            </w:tcBorders>
            <w:shd w:val="clear" w:color="auto" w:fill="auto"/>
            <w:noWrap/>
            <w:vAlign w:val="center"/>
          </w:tcPr>
          <w:p w14:paraId="6A9F125D"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73906ED2"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642</w:t>
            </w:r>
          </w:p>
        </w:tc>
        <w:tc>
          <w:tcPr>
            <w:tcW w:w="215" w:type="pct"/>
            <w:tcBorders>
              <w:top w:val="nil"/>
              <w:left w:val="nil"/>
              <w:bottom w:val="single" w:sz="4" w:space="0" w:color="auto"/>
              <w:right w:val="single" w:sz="4" w:space="0" w:color="auto"/>
            </w:tcBorders>
            <w:shd w:val="clear" w:color="auto" w:fill="auto"/>
            <w:noWrap/>
            <w:vAlign w:val="center"/>
          </w:tcPr>
          <w:p w14:paraId="06F863DB"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642</w:t>
            </w:r>
          </w:p>
        </w:tc>
        <w:tc>
          <w:tcPr>
            <w:tcW w:w="166" w:type="pct"/>
            <w:tcBorders>
              <w:top w:val="nil"/>
              <w:left w:val="nil"/>
              <w:bottom w:val="single" w:sz="4" w:space="0" w:color="auto"/>
              <w:right w:val="single" w:sz="4" w:space="0" w:color="auto"/>
            </w:tcBorders>
            <w:shd w:val="clear" w:color="auto" w:fill="auto"/>
            <w:noWrap/>
            <w:vAlign w:val="center"/>
          </w:tcPr>
          <w:p w14:paraId="021B7BE3"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109</w:t>
            </w:r>
          </w:p>
        </w:tc>
        <w:tc>
          <w:tcPr>
            <w:tcW w:w="191" w:type="pct"/>
            <w:tcBorders>
              <w:top w:val="nil"/>
              <w:left w:val="nil"/>
              <w:bottom w:val="single" w:sz="4" w:space="0" w:color="auto"/>
              <w:right w:val="single" w:sz="4" w:space="0" w:color="auto"/>
            </w:tcBorders>
            <w:shd w:val="clear" w:color="auto" w:fill="auto"/>
            <w:noWrap/>
            <w:vAlign w:val="center"/>
          </w:tcPr>
          <w:p w14:paraId="736C7732"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2325C12A"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1.194</w:t>
            </w:r>
          </w:p>
        </w:tc>
        <w:tc>
          <w:tcPr>
            <w:tcW w:w="127" w:type="pct"/>
            <w:tcBorders>
              <w:top w:val="nil"/>
              <w:left w:val="nil"/>
              <w:bottom w:val="single" w:sz="4" w:space="0" w:color="auto"/>
              <w:right w:val="single" w:sz="4" w:space="0" w:color="auto"/>
            </w:tcBorders>
            <w:shd w:val="clear" w:color="auto" w:fill="auto"/>
            <w:noWrap/>
            <w:vAlign w:val="center"/>
          </w:tcPr>
          <w:p w14:paraId="7A70265F"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6</w:t>
            </w:r>
          </w:p>
        </w:tc>
        <w:tc>
          <w:tcPr>
            <w:tcW w:w="123" w:type="pct"/>
            <w:tcBorders>
              <w:top w:val="nil"/>
              <w:left w:val="nil"/>
              <w:bottom w:val="single" w:sz="4" w:space="0" w:color="auto"/>
              <w:right w:val="single" w:sz="4" w:space="0" w:color="auto"/>
            </w:tcBorders>
            <w:shd w:val="clear" w:color="auto" w:fill="auto"/>
            <w:noWrap/>
            <w:vAlign w:val="center"/>
          </w:tcPr>
          <w:p w14:paraId="3B7CFA9B"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4</w:t>
            </w:r>
          </w:p>
        </w:tc>
        <w:tc>
          <w:tcPr>
            <w:tcW w:w="175" w:type="pct"/>
            <w:tcBorders>
              <w:top w:val="nil"/>
              <w:left w:val="nil"/>
              <w:bottom w:val="single" w:sz="4" w:space="0" w:color="auto"/>
              <w:right w:val="single" w:sz="4" w:space="0" w:color="auto"/>
            </w:tcBorders>
            <w:shd w:val="clear" w:color="auto" w:fill="auto"/>
            <w:noWrap/>
            <w:vAlign w:val="center"/>
          </w:tcPr>
          <w:p w14:paraId="44A6DBF5"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50512310" w14:textId="77777777" w:rsidR="00B010E6" w:rsidRPr="001B4CA2" w:rsidRDefault="00B010E6" w:rsidP="00B010E6">
            <w:pPr>
              <w:jc w:val="center"/>
              <w:rPr>
                <w:rFonts w:ascii="Calibri" w:hAnsi="Calibri" w:cs="Calibri"/>
                <w:color w:val="000000"/>
                <w:sz w:val="16"/>
                <w:szCs w:val="16"/>
              </w:rPr>
            </w:pPr>
            <w:r w:rsidRPr="001B4CA2">
              <w:rPr>
                <w:rFonts w:ascii="Calibri" w:hAnsi="Calibri" w:cs="Calibri"/>
                <w:color w:val="000000"/>
                <w:sz w:val="16"/>
                <w:szCs w:val="16"/>
              </w:rPr>
              <w:t>11</w:t>
            </w:r>
          </w:p>
        </w:tc>
        <w:tc>
          <w:tcPr>
            <w:tcW w:w="200" w:type="pct"/>
            <w:tcBorders>
              <w:top w:val="nil"/>
              <w:left w:val="nil"/>
              <w:bottom w:val="single" w:sz="4" w:space="0" w:color="auto"/>
              <w:right w:val="single" w:sz="4" w:space="0" w:color="auto"/>
            </w:tcBorders>
            <w:shd w:val="clear" w:color="auto" w:fill="auto"/>
            <w:noWrap/>
            <w:vAlign w:val="center"/>
          </w:tcPr>
          <w:p w14:paraId="53BB0D94"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718</w:t>
            </w:r>
          </w:p>
        </w:tc>
        <w:tc>
          <w:tcPr>
            <w:tcW w:w="156" w:type="pct"/>
            <w:tcBorders>
              <w:top w:val="nil"/>
              <w:left w:val="nil"/>
              <w:bottom w:val="single" w:sz="4" w:space="0" w:color="auto"/>
              <w:right w:val="single" w:sz="4" w:space="0" w:color="auto"/>
            </w:tcBorders>
            <w:shd w:val="clear" w:color="auto" w:fill="auto"/>
            <w:noWrap/>
            <w:vAlign w:val="center"/>
          </w:tcPr>
          <w:p w14:paraId="4A04CEC4"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132</w:t>
            </w:r>
          </w:p>
        </w:tc>
        <w:tc>
          <w:tcPr>
            <w:tcW w:w="186" w:type="pct"/>
            <w:tcBorders>
              <w:top w:val="single" w:sz="4" w:space="0" w:color="auto"/>
              <w:left w:val="nil"/>
              <w:bottom w:val="single" w:sz="4" w:space="0" w:color="auto"/>
              <w:right w:val="single" w:sz="4" w:space="0" w:color="auto"/>
            </w:tcBorders>
          </w:tcPr>
          <w:p w14:paraId="357D138A"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A6362E9" w14:textId="77777777" w:rsidR="00B010E6" w:rsidRPr="001B4CA2" w:rsidRDefault="00B010E6" w:rsidP="00B010E6">
            <w:pPr>
              <w:jc w:val="center"/>
              <w:rPr>
                <w:rFonts w:ascii="Calibri" w:hAnsi="Calibri" w:cs="Calibri"/>
                <w:b/>
                <w:bCs/>
                <w:color w:val="000000"/>
                <w:sz w:val="18"/>
                <w:szCs w:val="18"/>
              </w:rPr>
            </w:pPr>
            <w:r w:rsidRPr="001B4CA2">
              <w:rPr>
                <w:rFonts w:ascii="Calibri" w:hAnsi="Calibri" w:cs="Calibri"/>
                <w:b/>
                <w:bCs/>
                <w:color w:val="000000"/>
                <w:sz w:val="18"/>
                <w:szCs w:val="18"/>
              </w:rPr>
              <w:t>1.901</w:t>
            </w:r>
          </w:p>
        </w:tc>
      </w:tr>
      <w:tr w:rsidR="00BC6496" w:rsidRPr="001B4CA2" w14:paraId="7616282D"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4552EAFB" w14:textId="77777777" w:rsidR="00B010E6" w:rsidRPr="001B4CA2" w:rsidRDefault="00B010E6" w:rsidP="00B010E6">
            <w:pPr>
              <w:jc w:val="left"/>
              <w:rPr>
                <w:bCs/>
                <w:sz w:val="14"/>
                <w:szCs w:val="16"/>
              </w:rPr>
            </w:pPr>
            <w:r w:rsidRPr="001B4CA2">
              <w:rPr>
                <w:bCs/>
                <w:sz w:val="14"/>
                <w:szCs w:val="16"/>
              </w:rPr>
              <w:t>Ministarstvo rada, mirovinskoga sustava, obitelji i socijalne politike</w:t>
            </w:r>
          </w:p>
        </w:tc>
        <w:tc>
          <w:tcPr>
            <w:tcW w:w="201" w:type="pct"/>
            <w:tcBorders>
              <w:top w:val="nil"/>
              <w:left w:val="nil"/>
              <w:bottom w:val="single" w:sz="4" w:space="0" w:color="auto"/>
              <w:right w:val="single" w:sz="4" w:space="0" w:color="auto"/>
            </w:tcBorders>
            <w:shd w:val="clear" w:color="auto" w:fill="auto"/>
            <w:noWrap/>
            <w:vAlign w:val="center"/>
          </w:tcPr>
          <w:p w14:paraId="190D7DD2"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7</w:t>
            </w:r>
          </w:p>
        </w:tc>
        <w:tc>
          <w:tcPr>
            <w:tcW w:w="156" w:type="pct"/>
            <w:tcBorders>
              <w:top w:val="nil"/>
              <w:left w:val="nil"/>
              <w:bottom w:val="single" w:sz="4" w:space="0" w:color="auto"/>
              <w:right w:val="single" w:sz="4" w:space="0" w:color="auto"/>
            </w:tcBorders>
            <w:shd w:val="clear" w:color="auto" w:fill="auto"/>
            <w:noWrap/>
            <w:vAlign w:val="center"/>
          </w:tcPr>
          <w:p w14:paraId="35A0A493"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6ED67996"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350355B2"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5BFB5E36"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w:t>
            </w:r>
          </w:p>
        </w:tc>
        <w:tc>
          <w:tcPr>
            <w:tcW w:w="166" w:type="pct"/>
            <w:tcBorders>
              <w:top w:val="nil"/>
              <w:left w:val="nil"/>
              <w:bottom w:val="single" w:sz="4" w:space="0" w:color="auto"/>
              <w:right w:val="single" w:sz="4" w:space="0" w:color="auto"/>
            </w:tcBorders>
            <w:shd w:val="clear" w:color="auto" w:fill="auto"/>
            <w:noWrap/>
            <w:vAlign w:val="center"/>
          </w:tcPr>
          <w:p w14:paraId="555A2192" w14:textId="77777777" w:rsidR="00B010E6" w:rsidRPr="001B4CA2" w:rsidRDefault="00B010E6" w:rsidP="00B010E6">
            <w:pPr>
              <w:jc w:val="center"/>
              <w:rPr>
                <w:rFonts w:ascii="Calibri" w:hAnsi="Calibri" w:cs="Calibri"/>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center"/>
          </w:tcPr>
          <w:p w14:paraId="7DC6C3B7"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4D4F2FFA"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71F06442"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3</w:t>
            </w:r>
          </w:p>
        </w:tc>
        <w:tc>
          <w:tcPr>
            <w:tcW w:w="133" w:type="pct"/>
            <w:tcBorders>
              <w:top w:val="nil"/>
              <w:left w:val="nil"/>
              <w:bottom w:val="single" w:sz="4" w:space="0" w:color="auto"/>
              <w:right w:val="single" w:sz="4" w:space="0" w:color="auto"/>
            </w:tcBorders>
            <w:shd w:val="clear" w:color="auto" w:fill="auto"/>
            <w:noWrap/>
            <w:vAlign w:val="center"/>
          </w:tcPr>
          <w:p w14:paraId="2E431B08"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5F70E0D7"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086E7745"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10E23968" w14:textId="77777777" w:rsidR="00B010E6" w:rsidRPr="001B4CA2" w:rsidRDefault="00B010E6" w:rsidP="00B010E6">
            <w:pPr>
              <w:jc w:val="center"/>
              <w:rPr>
                <w:rFonts w:ascii="Calibri" w:hAnsi="Calibri" w:cs="Calibri"/>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14:paraId="51C10C1E" w14:textId="77777777" w:rsidR="00B010E6" w:rsidRPr="001B4CA2" w:rsidRDefault="00B010E6" w:rsidP="00B010E6">
            <w:pPr>
              <w:jc w:val="center"/>
              <w:rPr>
                <w:rFonts w:ascii="Calibri" w:hAnsi="Calibri" w:cs="Calibri"/>
                <w:color w:val="000000"/>
                <w:sz w:val="20"/>
                <w:szCs w:val="20"/>
              </w:rPr>
            </w:pPr>
          </w:p>
        </w:tc>
        <w:tc>
          <w:tcPr>
            <w:tcW w:w="191" w:type="pct"/>
            <w:tcBorders>
              <w:top w:val="nil"/>
              <w:left w:val="nil"/>
              <w:bottom w:val="single" w:sz="4" w:space="0" w:color="auto"/>
              <w:right w:val="single" w:sz="4" w:space="0" w:color="auto"/>
            </w:tcBorders>
            <w:shd w:val="clear" w:color="auto" w:fill="auto"/>
            <w:noWrap/>
            <w:vAlign w:val="center"/>
          </w:tcPr>
          <w:p w14:paraId="75FAC3B8"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30336E78" w14:textId="77777777" w:rsidR="00B010E6" w:rsidRPr="001B4CA2" w:rsidRDefault="00B010E6" w:rsidP="00B010E6">
            <w:pPr>
              <w:jc w:val="center"/>
              <w:rPr>
                <w:rFonts w:ascii="Calibri" w:hAnsi="Calibri" w:cs="Calibri"/>
                <w:sz w:val="18"/>
                <w:szCs w:val="18"/>
              </w:rPr>
            </w:pPr>
          </w:p>
        </w:tc>
        <w:tc>
          <w:tcPr>
            <w:tcW w:w="127" w:type="pct"/>
            <w:tcBorders>
              <w:top w:val="nil"/>
              <w:left w:val="nil"/>
              <w:bottom w:val="single" w:sz="4" w:space="0" w:color="auto"/>
              <w:right w:val="single" w:sz="4" w:space="0" w:color="auto"/>
            </w:tcBorders>
            <w:shd w:val="clear" w:color="auto" w:fill="auto"/>
            <w:noWrap/>
            <w:vAlign w:val="center"/>
          </w:tcPr>
          <w:p w14:paraId="4021B88D" w14:textId="77777777" w:rsidR="00B010E6" w:rsidRPr="001B4CA2" w:rsidRDefault="00B010E6" w:rsidP="00B010E6">
            <w:pPr>
              <w:jc w:val="center"/>
              <w:rPr>
                <w:rFonts w:ascii="Calibri" w:hAnsi="Calibri" w:cs="Calibri"/>
                <w:color w:val="000000"/>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68B1D396"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090EFD95"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1F22F9AC"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1BD10C56"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12</w:t>
            </w:r>
          </w:p>
        </w:tc>
        <w:tc>
          <w:tcPr>
            <w:tcW w:w="156" w:type="pct"/>
            <w:tcBorders>
              <w:top w:val="nil"/>
              <w:left w:val="nil"/>
              <w:bottom w:val="single" w:sz="4" w:space="0" w:color="auto"/>
              <w:right w:val="single" w:sz="4" w:space="0" w:color="auto"/>
            </w:tcBorders>
            <w:shd w:val="clear" w:color="auto" w:fill="auto"/>
            <w:noWrap/>
            <w:vAlign w:val="center"/>
          </w:tcPr>
          <w:p w14:paraId="3DD2F258" w14:textId="77777777" w:rsidR="00B010E6" w:rsidRPr="001B4CA2" w:rsidRDefault="00B010E6" w:rsidP="00B010E6">
            <w:pPr>
              <w:jc w:val="center"/>
              <w:rPr>
                <w:rFonts w:ascii="Calibri" w:hAnsi="Calibri" w:cs="Calibri"/>
                <w:bCs/>
                <w:color w:val="000000"/>
                <w:sz w:val="18"/>
                <w:szCs w:val="18"/>
              </w:rPr>
            </w:pPr>
          </w:p>
        </w:tc>
        <w:tc>
          <w:tcPr>
            <w:tcW w:w="186" w:type="pct"/>
            <w:tcBorders>
              <w:top w:val="single" w:sz="4" w:space="0" w:color="auto"/>
              <w:left w:val="nil"/>
              <w:bottom w:val="single" w:sz="4" w:space="0" w:color="auto"/>
              <w:right w:val="single" w:sz="4" w:space="0" w:color="auto"/>
            </w:tcBorders>
          </w:tcPr>
          <w:p w14:paraId="60A7EF29"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58EE5E4" w14:textId="77777777" w:rsidR="00B010E6" w:rsidRPr="001B4CA2" w:rsidRDefault="00B010E6" w:rsidP="00B010E6">
            <w:pPr>
              <w:jc w:val="center"/>
              <w:rPr>
                <w:rFonts w:ascii="Calibri" w:hAnsi="Calibri" w:cs="Calibri"/>
                <w:b/>
                <w:bCs/>
                <w:color w:val="000000"/>
                <w:sz w:val="18"/>
                <w:szCs w:val="18"/>
              </w:rPr>
            </w:pPr>
          </w:p>
        </w:tc>
      </w:tr>
      <w:tr w:rsidR="00BC6496" w:rsidRPr="001B4CA2" w14:paraId="4F83B9CA"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4B104A12" w14:textId="77777777" w:rsidR="00B010E6" w:rsidRPr="001B4CA2" w:rsidRDefault="00B010E6" w:rsidP="00B010E6">
            <w:pPr>
              <w:jc w:val="left"/>
              <w:rPr>
                <w:bCs/>
                <w:sz w:val="14"/>
                <w:szCs w:val="16"/>
              </w:rPr>
            </w:pPr>
            <w:r w:rsidRPr="001B4CA2">
              <w:rPr>
                <w:bCs/>
                <w:sz w:val="14"/>
                <w:szCs w:val="16"/>
              </w:rPr>
              <w:t xml:space="preserve">Ministarstvo financija </w:t>
            </w:r>
          </w:p>
        </w:tc>
        <w:tc>
          <w:tcPr>
            <w:tcW w:w="201" w:type="pct"/>
            <w:tcBorders>
              <w:top w:val="nil"/>
              <w:left w:val="nil"/>
              <w:bottom w:val="single" w:sz="4" w:space="0" w:color="auto"/>
              <w:right w:val="single" w:sz="4" w:space="0" w:color="auto"/>
            </w:tcBorders>
            <w:shd w:val="clear" w:color="auto" w:fill="auto"/>
            <w:noWrap/>
            <w:vAlign w:val="center"/>
          </w:tcPr>
          <w:p w14:paraId="4AF67AF7"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20</w:t>
            </w:r>
          </w:p>
        </w:tc>
        <w:tc>
          <w:tcPr>
            <w:tcW w:w="156" w:type="pct"/>
            <w:tcBorders>
              <w:top w:val="nil"/>
              <w:left w:val="nil"/>
              <w:bottom w:val="single" w:sz="4" w:space="0" w:color="auto"/>
              <w:right w:val="single" w:sz="4" w:space="0" w:color="auto"/>
            </w:tcBorders>
            <w:shd w:val="clear" w:color="auto" w:fill="auto"/>
            <w:noWrap/>
            <w:vAlign w:val="center"/>
          </w:tcPr>
          <w:p w14:paraId="6CD83B2E"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3E6351AA"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0340CDA3"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681DA8C0"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28</w:t>
            </w:r>
          </w:p>
        </w:tc>
        <w:tc>
          <w:tcPr>
            <w:tcW w:w="166" w:type="pct"/>
            <w:tcBorders>
              <w:top w:val="nil"/>
              <w:left w:val="nil"/>
              <w:bottom w:val="single" w:sz="4" w:space="0" w:color="auto"/>
              <w:right w:val="single" w:sz="4" w:space="0" w:color="auto"/>
            </w:tcBorders>
            <w:shd w:val="clear" w:color="auto" w:fill="auto"/>
            <w:noWrap/>
            <w:vAlign w:val="center"/>
          </w:tcPr>
          <w:p w14:paraId="54DFB2FB"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w:t>
            </w:r>
          </w:p>
        </w:tc>
        <w:tc>
          <w:tcPr>
            <w:tcW w:w="201" w:type="pct"/>
            <w:tcBorders>
              <w:top w:val="nil"/>
              <w:left w:val="nil"/>
              <w:bottom w:val="single" w:sz="4" w:space="0" w:color="auto"/>
              <w:right w:val="single" w:sz="4" w:space="0" w:color="auto"/>
            </w:tcBorders>
            <w:shd w:val="clear" w:color="auto" w:fill="auto"/>
            <w:noWrap/>
            <w:vAlign w:val="center"/>
          </w:tcPr>
          <w:p w14:paraId="24E220E0"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1213F51D"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172</w:t>
            </w:r>
          </w:p>
        </w:tc>
        <w:tc>
          <w:tcPr>
            <w:tcW w:w="166" w:type="pct"/>
            <w:tcBorders>
              <w:top w:val="nil"/>
              <w:left w:val="nil"/>
              <w:bottom w:val="single" w:sz="4" w:space="0" w:color="auto"/>
              <w:right w:val="single" w:sz="4" w:space="0" w:color="auto"/>
            </w:tcBorders>
            <w:shd w:val="clear" w:color="auto" w:fill="auto"/>
            <w:noWrap/>
            <w:vAlign w:val="center"/>
          </w:tcPr>
          <w:p w14:paraId="22AF14CE"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11</w:t>
            </w:r>
          </w:p>
        </w:tc>
        <w:tc>
          <w:tcPr>
            <w:tcW w:w="133" w:type="pct"/>
            <w:tcBorders>
              <w:top w:val="nil"/>
              <w:left w:val="nil"/>
              <w:bottom w:val="single" w:sz="4" w:space="0" w:color="auto"/>
              <w:right w:val="single" w:sz="4" w:space="0" w:color="auto"/>
            </w:tcBorders>
            <w:shd w:val="clear" w:color="auto" w:fill="auto"/>
            <w:noWrap/>
            <w:vAlign w:val="center"/>
          </w:tcPr>
          <w:p w14:paraId="31BDF050"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5EB8FFDB"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7A3C69BE"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7AB1A185"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23</w:t>
            </w:r>
          </w:p>
        </w:tc>
        <w:tc>
          <w:tcPr>
            <w:tcW w:w="166" w:type="pct"/>
            <w:tcBorders>
              <w:top w:val="nil"/>
              <w:left w:val="nil"/>
              <w:bottom w:val="single" w:sz="4" w:space="0" w:color="auto"/>
              <w:right w:val="single" w:sz="4" w:space="0" w:color="auto"/>
            </w:tcBorders>
            <w:shd w:val="clear" w:color="auto" w:fill="auto"/>
            <w:noWrap/>
            <w:vAlign w:val="center"/>
          </w:tcPr>
          <w:p w14:paraId="0B8E6321" w14:textId="77777777" w:rsidR="00B010E6" w:rsidRPr="001B4CA2" w:rsidRDefault="00B010E6" w:rsidP="00B010E6">
            <w:pPr>
              <w:jc w:val="center"/>
              <w:rPr>
                <w:rFonts w:ascii="Calibri" w:hAnsi="Calibri" w:cs="Calibri"/>
                <w:color w:val="000000"/>
                <w:sz w:val="20"/>
                <w:szCs w:val="20"/>
              </w:rPr>
            </w:pPr>
          </w:p>
        </w:tc>
        <w:tc>
          <w:tcPr>
            <w:tcW w:w="191" w:type="pct"/>
            <w:tcBorders>
              <w:top w:val="nil"/>
              <w:left w:val="nil"/>
              <w:bottom w:val="single" w:sz="4" w:space="0" w:color="auto"/>
              <w:right w:val="single" w:sz="4" w:space="0" w:color="auto"/>
            </w:tcBorders>
            <w:shd w:val="clear" w:color="auto" w:fill="auto"/>
            <w:noWrap/>
            <w:vAlign w:val="center"/>
          </w:tcPr>
          <w:p w14:paraId="707DAD8C"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2077B56B" w14:textId="77777777" w:rsidR="00B010E6" w:rsidRPr="001B4CA2" w:rsidRDefault="00B010E6" w:rsidP="00B010E6">
            <w:pPr>
              <w:jc w:val="center"/>
              <w:rPr>
                <w:rFonts w:ascii="Calibri" w:hAnsi="Calibri" w:cs="Calibri"/>
                <w:sz w:val="18"/>
                <w:szCs w:val="18"/>
              </w:rPr>
            </w:pPr>
          </w:p>
        </w:tc>
        <w:tc>
          <w:tcPr>
            <w:tcW w:w="127" w:type="pct"/>
            <w:tcBorders>
              <w:top w:val="nil"/>
              <w:left w:val="nil"/>
              <w:bottom w:val="single" w:sz="4" w:space="0" w:color="auto"/>
              <w:right w:val="single" w:sz="4" w:space="0" w:color="auto"/>
            </w:tcBorders>
            <w:shd w:val="clear" w:color="auto" w:fill="auto"/>
            <w:noWrap/>
            <w:vAlign w:val="center"/>
          </w:tcPr>
          <w:p w14:paraId="2B779088"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11</w:t>
            </w:r>
          </w:p>
        </w:tc>
        <w:tc>
          <w:tcPr>
            <w:tcW w:w="123" w:type="pct"/>
            <w:tcBorders>
              <w:top w:val="nil"/>
              <w:left w:val="nil"/>
              <w:bottom w:val="single" w:sz="4" w:space="0" w:color="auto"/>
              <w:right w:val="single" w:sz="4" w:space="0" w:color="auto"/>
            </w:tcBorders>
            <w:shd w:val="clear" w:color="auto" w:fill="auto"/>
            <w:noWrap/>
            <w:vAlign w:val="center"/>
          </w:tcPr>
          <w:p w14:paraId="24F06FE6"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w:t>
            </w:r>
          </w:p>
        </w:tc>
        <w:tc>
          <w:tcPr>
            <w:tcW w:w="175" w:type="pct"/>
            <w:tcBorders>
              <w:top w:val="nil"/>
              <w:left w:val="nil"/>
              <w:bottom w:val="single" w:sz="4" w:space="0" w:color="auto"/>
              <w:right w:val="single" w:sz="4" w:space="0" w:color="auto"/>
            </w:tcBorders>
            <w:shd w:val="clear" w:color="auto" w:fill="auto"/>
            <w:noWrap/>
            <w:vAlign w:val="center"/>
          </w:tcPr>
          <w:p w14:paraId="370190C3"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521B6A3F" w14:textId="77777777" w:rsidR="00B010E6" w:rsidRPr="001B4CA2" w:rsidRDefault="00B010E6" w:rsidP="00B010E6">
            <w:pPr>
              <w:jc w:val="center"/>
              <w:rPr>
                <w:rFonts w:ascii="Calibri" w:hAnsi="Calibri" w:cs="Calibri"/>
                <w:color w:val="000000"/>
                <w:sz w:val="16"/>
                <w:szCs w:val="16"/>
              </w:rPr>
            </w:pPr>
            <w:r w:rsidRPr="001B4CA2">
              <w:rPr>
                <w:rFonts w:ascii="Calibri" w:hAnsi="Calibri" w:cs="Calibri"/>
                <w:color w:val="000000"/>
                <w:sz w:val="16"/>
                <w:szCs w:val="16"/>
              </w:rPr>
              <w:t>50</w:t>
            </w:r>
          </w:p>
        </w:tc>
        <w:tc>
          <w:tcPr>
            <w:tcW w:w="200" w:type="pct"/>
            <w:tcBorders>
              <w:top w:val="nil"/>
              <w:left w:val="nil"/>
              <w:bottom w:val="single" w:sz="4" w:space="0" w:color="auto"/>
              <w:right w:val="single" w:sz="4" w:space="0" w:color="auto"/>
            </w:tcBorders>
            <w:shd w:val="clear" w:color="auto" w:fill="auto"/>
            <w:noWrap/>
            <w:vAlign w:val="center"/>
          </w:tcPr>
          <w:p w14:paraId="00C7D1D3"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93</w:t>
            </w:r>
          </w:p>
        </w:tc>
        <w:tc>
          <w:tcPr>
            <w:tcW w:w="156" w:type="pct"/>
            <w:tcBorders>
              <w:top w:val="nil"/>
              <w:left w:val="nil"/>
              <w:bottom w:val="single" w:sz="4" w:space="0" w:color="auto"/>
              <w:right w:val="single" w:sz="4" w:space="0" w:color="auto"/>
            </w:tcBorders>
            <w:shd w:val="clear" w:color="auto" w:fill="auto"/>
            <w:noWrap/>
            <w:vAlign w:val="center"/>
          </w:tcPr>
          <w:p w14:paraId="0CC94474"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4</w:t>
            </w:r>
          </w:p>
        </w:tc>
        <w:tc>
          <w:tcPr>
            <w:tcW w:w="186" w:type="pct"/>
            <w:tcBorders>
              <w:top w:val="single" w:sz="4" w:space="0" w:color="auto"/>
              <w:left w:val="nil"/>
              <w:bottom w:val="single" w:sz="4" w:space="0" w:color="auto"/>
              <w:right w:val="single" w:sz="4" w:space="0" w:color="auto"/>
            </w:tcBorders>
          </w:tcPr>
          <w:p w14:paraId="2053BD7B"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798E486" w14:textId="77777777" w:rsidR="00B010E6" w:rsidRPr="001B4CA2" w:rsidRDefault="00B010E6" w:rsidP="00B010E6">
            <w:pPr>
              <w:jc w:val="center"/>
              <w:rPr>
                <w:rFonts w:ascii="Calibri" w:hAnsi="Calibri" w:cs="Calibri"/>
                <w:b/>
                <w:bCs/>
                <w:color w:val="000000"/>
                <w:sz w:val="18"/>
                <w:szCs w:val="18"/>
              </w:rPr>
            </w:pPr>
            <w:r w:rsidRPr="001B4CA2">
              <w:rPr>
                <w:rFonts w:ascii="Calibri" w:hAnsi="Calibri" w:cs="Calibri"/>
                <w:b/>
                <w:bCs/>
                <w:color w:val="000000"/>
                <w:sz w:val="18"/>
                <w:szCs w:val="18"/>
              </w:rPr>
              <w:t>222</w:t>
            </w:r>
          </w:p>
        </w:tc>
      </w:tr>
      <w:tr w:rsidR="00BC6496" w:rsidRPr="001B4CA2" w14:paraId="6392DD7F"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0B7B5919" w14:textId="77777777" w:rsidR="00B010E6" w:rsidRPr="001B4CA2" w:rsidRDefault="00B010E6" w:rsidP="00B010E6">
            <w:pPr>
              <w:jc w:val="left"/>
              <w:rPr>
                <w:bCs/>
                <w:sz w:val="14"/>
                <w:szCs w:val="16"/>
              </w:rPr>
            </w:pPr>
            <w:r w:rsidRPr="001B4CA2">
              <w:rPr>
                <w:bCs/>
                <w:sz w:val="14"/>
                <w:szCs w:val="16"/>
              </w:rPr>
              <w:t>Ministarstvo gospodarstva i održivog razvoja</w:t>
            </w:r>
          </w:p>
        </w:tc>
        <w:tc>
          <w:tcPr>
            <w:tcW w:w="201" w:type="pct"/>
            <w:tcBorders>
              <w:top w:val="nil"/>
              <w:left w:val="nil"/>
              <w:bottom w:val="single" w:sz="4" w:space="0" w:color="auto"/>
              <w:right w:val="single" w:sz="4" w:space="0" w:color="auto"/>
            </w:tcBorders>
            <w:shd w:val="clear" w:color="auto" w:fill="auto"/>
            <w:noWrap/>
            <w:vAlign w:val="center"/>
          </w:tcPr>
          <w:p w14:paraId="1615B7FA"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6</w:t>
            </w:r>
          </w:p>
        </w:tc>
        <w:tc>
          <w:tcPr>
            <w:tcW w:w="156" w:type="pct"/>
            <w:tcBorders>
              <w:top w:val="nil"/>
              <w:left w:val="nil"/>
              <w:bottom w:val="single" w:sz="4" w:space="0" w:color="auto"/>
              <w:right w:val="single" w:sz="4" w:space="0" w:color="auto"/>
            </w:tcBorders>
            <w:shd w:val="clear" w:color="auto" w:fill="auto"/>
            <w:noWrap/>
            <w:vAlign w:val="center"/>
          </w:tcPr>
          <w:p w14:paraId="5A3FA585"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56BDC5E4"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495DAF38"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2A17C6B2"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166" w:type="pct"/>
            <w:tcBorders>
              <w:top w:val="nil"/>
              <w:left w:val="nil"/>
              <w:bottom w:val="single" w:sz="4" w:space="0" w:color="auto"/>
              <w:right w:val="single" w:sz="4" w:space="0" w:color="auto"/>
            </w:tcBorders>
            <w:shd w:val="clear" w:color="auto" w:fill="auto"/>
            <w:noWrap/>
            <w:vAlign w:val="center"/>
          </w:tcPr>
          <w:p w14:paraId="6D2E5BD9" w14:textId="77777777" w:rsidR="00B010E6" w:rsidRPr="001B4CA2" w:rsidRDefault="00B010E6" w:rsidP="00B010E6">
            <w:pPr>
              <w:jc w:val="center"/>
              <w:rPr>
                <w:rFonts w:ascii="Calibri" w:hAnsi="Calibri" w:cs="Calibri"/>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center"/>
          </w:tcPr>
          <w:p w14:paraId="26869516"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14122D35"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185D1748"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4</w:t>
            </w:r>
          </w:p>
        </w:tc>
        <w:tc>
          <w:tcPr>
            <w:tcW w:w="133" w:type="pct"/>
            <w:tcBorders>
              <w:top w:val="nil"/>
              <w:left w:val="nil"/>
              <w:bottom w:val="single" w:sz="4" w:space="0" w:color="auto"/>
              <w:right w:val="single" w:sz="4" w:space="0" w:color="auto"/>
            </w:tcBorders>
            <w:shd w:val="clear" w:color="auto" w:fill="auto"/>
            <w:noWrap/>
            <w:vAlign w:val="center"/>
          </w:tcPr>
          <w:p w14:paraId="4652F481"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777AE069"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40001D65"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5F749244"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166" w:type="pct"/>
            <w:tcBorders>
              <w:top w:val="nil"/>
              <w:left w:val="nil"/>
              <w:bottom w:val="single" w:sz="4" w:space="0" w:color="auto"/>
              <w:right w:val="single" w:sz="4" w:space="0" w:color="auto"/>
            </w:tcBorders>
            <w:shd w:val="clear" w:color="auto" w:fill="auto"/>
            <w:noWrap/>
            <w:vAlign w:val="center"/>
          </w:tcPr>
          <w:p w14:paraId="161C2E18" w14:textId="77777777" w:rsidR="00B010E6" w:rsidRPr="001B4CA2" w:rsidRDefault="00B010E6" w:rsidP="00B010E6">
            <w:pPr>
              <w:jc w:val="center"/>
              <w:rPr>
                <w:rFonts w:ascii="Calibri" w:hAnsi="Calibri" w:cs="Calibri"/>
                <w:color w:val="000000"/>
                <w:sz w:val="20"/>
                <w:szCs w:val="20"/>
              </w:rPr>
            </w:pPr>
          </w:p>
        </w:tc>
        <w:tc>
          <w:tcPr>
            <w:tcW w:w="191" w:type="pct"/>
            <w:tcBorders>
              <w:top w:val="nil"/>
              <w:left w:val="nil"/>
              <w:bottom w:val="single" w:sz="4" w:space="0" w:color="auto"/>
              <w:right w:val="single" w:sz="4" w:space="0" w:color="auto"/>
            </w:tcBorders>
            <w:shd w:val="clear" w:color="auto" w:fill="auto"/>
            <w:noWrap/>
            <w:vAlign w:val="center"/>
          </w:tcPr>
          <w:p w14:paraId="52211E11"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5B8B59BA" w14:textId="77777777" w:rsidR="00B010E6" w:rsidRPr="001B4CA2" w:rsidRDefault="00B010E6" w:rsidP="00B010E6">
            <w:pPr>
              <w:jc w:val="center"/>
              <w:rPr>
                <w:rFonts w:ascii="Calibri" w:hAnsi="Calibri" w:cs="Calibri"/>
                <w:sz w:val="18"/>
                <w:szCs w:val="18"/>
              </w:rPr>
            </w:pPr>
          </w:p>
        </w:tc>
        <w:tc>
          <w:tcPr>
            <w:tcW w:w="127" w:type="pct"/>
            <w:tcBorders>
              <w:top w:val="nil"/>
              <w:left w:val="nil"/>
              <w:bottom w:val="single" w:sz="4" w:space="0" w:color="auto"/>
              <w:right w:val="single" w:sz="4" w:space="0" w:color="auto"/>
            </w:tcBorders>
            <w:shd w:val="clear" w:color="auto" w:fill="auto"/>
            <w:noWrap/>
            <w:vAlign w:val="center"/>
          </w:tcPr>
          <w:p w14:paraId="0BFE0F76" w14:textId="77777777" w:rsidR="00B010E6" w:rsidRPr="001B4CA2" w:rsidRDefault="00B010E6" w:rsidP="00B010E6">
            <w:pPr>
              <w:jc w:val="center"/>
              <w:rPr>
                <w:rFonts w:ascii="Calibri" w:hAnsi="Calibri" w:cs="Calibri"/>
                <w:color w:val="000000"/>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2CA3E202"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26222CC9"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081CEE7E"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58F61896"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12</w:t>
            </w:r>
          </w:p>
        </w:tc>
        <w:tc>
          <w:tcPr>
            <w:tcW w:w="156" w:type="pct"/>
            <w:tcBorders>
              <w:top w:val="nil"/>
              <w:left w:val="nil"/>
              <w:bottom w:val="single" w:sz="4" w:space="0" w:color="auto"/>
              <w:right w:val="single" w:sz="4" w:space="0" w:color="auto"/>
            </w:tcBorders>
            <w:shd w:val="clear" w:color="auto" w:fill="auto"/>
            <w:noWrap/>
            <w:vAlign w:val="center"/>
          </w:tcPr>
          <w:p w14:paraId="741A10E6" w14:textId="77777777" w:rsidR="00B010E6" w:rsidRPr="001B4CA2" w:rsidRDefault="00B010E6" w:rsidP="00B010E6">
            <w:pPr>
              <w:jc w:val="center"/>
              <w:rPr>
                <w:rFonts w:ascii="Calibri" w:hAnsi="Calibri" w:cs="Calibri"/>
                <w:bCs/>
                <w:color w:val="000000"/>
                <w:sz w:val="18"/>
                <w:szCs w:val="18"/>
              </w:rPr>
            </w:pPr>
          </w:p>
        </w:tc>
        <w:tc>
          <w:tcPr>
            <w:tcW w:w="186" w:type="pct"/>
            <w:tcBorders>
              <w:top w:val="single" w:sz="4" w:space="0" w:color="auto"/>
              <w:left w:val="nil"/>
              <w:bottom w:val="single" w:sz="4" w:space="0" w:color="auto"/>
              <w:right w:val="single" w:sz="4" w:space="0" w:color="auto"/>
            </w:tcBorders>
          </w:tcPr>
          <w:p w14:paraId="270742AA"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953804" w14:textId="77777777" w:rsidR="00B010E6" w:rsidRPr="001B4CA2" w:rsidRDefault="00B010E6" w:rsidP="00B010E6">
            <w:pPr>
              <w:jc w:val="center"/>
              <w:rPr>
                <w:rFonts w:ascii="Calibri" w:hAnsi="Calibri" w:cs="Calibri"/>
                <w:b/>
                <w:bCs/>
                <w:color w:val="000000"/>
                <w:sz w:val="18"/>
                <w:szCs w:val="18"/>
              </w:rPr>
            </w:pPr>
          </w:p>
        </w:tc>
      </w:tr>
      <w:tr w:rsidR="00BC6496" w:rsidRPr="001B4CA2" w14:paraId="7DE986FE"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14484E7F" w14:textId="77777777" w:rsidR="00B010E6" w:rsidRPr="001B4CA2" w:rsidRDefault="00B010E6" w:rsidP="00B010E6">
            <w:pPr>
              <w:jc w:val="left"/>
              <w:rPr>
                <w:bCs/>
                <w:sz w:val="14"/>
                <w:szCs w:val="16"/>
              </w:rPr>
            </w:pPr>
            <w:r w:rsidRPr="001B4CA2">
              <w:rPr>
                <w:bCs/>
                <w:sz w:val="14"/>
                <w:szCs w:val="16"/>
              </w:rPr>
              <w:t xml:space="preserve">Ministarstvo obrane </w:t>
            </w:r>
          </w:p>
        </w:tc>
        <w:tc>
          <w:tcPr>
            <w:tcW w:w="201" w:type="pct"/>
            <w:tcBorders>
              <w:top w:val="nil"/>
              <w:left w:val="nil"/>
              <w:bottom w:val="single" w:sz="4" w:space="0" w:color="auto"/>
              <w:right w:val="single" w:sz="4" w:space="0" w:color="auto"/>
            </w:tcBorders>
            <w:shd w:val="clear" w:color="auto" w:fill="auto"/>
            <w:noWrap/>
            <w:vAlign w:val="center"/>
          </w:tcPr>
          <w:p w14:paraId="34F80D31"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10</w:t>
            </w:r>
          </w:p>
        </w:tc>
        <w:tc>
          <w:tcPr>
            <w:tcW w:w="156" w:type="pct"/>
            <w:tcBorders>
              <w:top w:val="nil"/>
              <w:left w:val="nil"/>
              <w:bottom w:val="single" w:sz="4" w:space="0" w:color="auto"/>
              <w:right w:val="single" w:sz="4" w:space="0" w:color="auto"/>
            </w:tcBorders>
            <w:shd w:val="clear" w:color="auto" w:fill="auto"/>
            <w:noWrap/>
            <w:vAlign w:val="center"/>
          </w:tcPr>
          <w:p w14:paraId="2B1EED57"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4</w:t>
            </w:r>
          </w:p>
        </w:tc>
        <w:tc>
          <w:tcPr>
            <w:tcW w:w="187" w:type="pct"/>
            <w:tcBorders>
              <w:top w:val="nil"/>
              <w:left w:val="nil"/>
              <w:bottom w:val="single" w:sz="4" w:space="0" w:color="auto"/>
              <w:right w:val="single" w:sz="4" w:space="0" w:color="auto"/>
            </w:tcBorders>
            <w:shd w:val="clear" w:color="auto" w:fill="auto"/>
            <w:noWrap/>
            <w:vAlign w:val="center"/>
          </w:tcPr>
          <w:p w14:paraId="5C83E298"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4A98BFB4"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60</w:t>
            </w:r>
          </w:p>
        </w:tc>
        <w:tc>
          <w:tcPr>
            <w:tcW w:w="166" w:type="pct"/>
            <w:tcBorders>
              <w:top w:val="nil"/>
              <w:left w:val="nil"/>
              <w:bottom w:val="single" w:sz="4" w:space="0" w:color="auto"/>
              <w:right w:val="single" w:sz="4" w:space="0" w:color="auto"/>
            </w:tcBorders>
            <w:shd w:val="clear" w:color="auto" w:fill="auto"/>
            <w:noWrap/>
            <w:vAlign w:val="center"/>
          </w:tcPr>
          <w:p w14:paraId="60FF381A"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8</w:t>
            </w:r>
          </w:p>
        </w:tc>
        <w:tc>
          <w:tcPr>
            <w:tcW w:w="166" w:type="pct"/>
            <w:tcBorders>
              <w:top w:val="nil"/>
              <w:left w:val="nil"/>
              <w:bottom w:val="single" w:sz="4" w:space="0" w:color="auto"/>
              <w:right w:val="single" w:sz="4" w:space="0" w:color="auto"/>
            </w:tcBorders>
            <w:shd w:val="clear" w:color="auto" w:fill="auto"/>
            <w:noWrap/>
            <w:vAlign w:val="center"/>
          </w:tcPr>
          <w:p w14:paraId="3A1823DF" w14:textId="77777777" w:rsidR="00B010E6" w:rsidRPr="001B4CA2" w:rsidRDefault="00B010E6" w:rsidP="00B010E6">
            <w:pPr>
              <w:jc w:val="center"/>
              <w:rPr>
                <w:rFonts w:ascii="Calibri" w:hAnsi="Calibri" w:cs="Calibri"/>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center"/>
          </w:tcPr>
          <w:p w14:paraId="4B250777"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669C37D2"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12165A18"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48</w:t>
            </w:r>
          </w:p>
        </w:tc>
        <w:tc>
          <w:tcPr>
            <w:tcW w:w="133" w:type="pct"/>
            <w:tcBorders>
              <w:top w:val="nil"/>
              <w:left w:val="nil"/>
              <w:bottom w:val="single" w:sz="4" w:space="0" w:color="auto"/>
              <w:right w:val="single" w:sz="4" w:space="0" w:color="auto"/>
            </w:tcBorders>
            <w:shd w:val="clear" w:color="auto" w:fill="auto"/>
            <w:noWrap/>
            <w:vAlign w:val="center"/>
          </w:tcPr>
          <w:p w14:paraId="7E8B0649"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8</w:t>
            </w:r>
          </w:p>
        </w:tc>
        <w:tc>
          <w:tcPr>
            <w:tcW w:w="156" w:type="pct"/>
            <w:tcBorders>
              <w:top w:val="nil"/>
              <w:left w:val="nil"/>
              <w:bottom w:val="single" w:sz="4" w:space="0" w:color="auto"/>
              <w:right w:val="single" w:sz="4" w:space="0" w:color="auto"/>
            </w:tcBorders>
            <w:shd w:val="clear" w:color="auto" w:fill="auto"/>
            <w:noWrap/>
            <w:vAlign w:val="center"/>
          </w:tcPr>
          <w:p w14:paraId="367D07DF"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75A3B878"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1.945</w:t>
            </w:r>
          </w:p>
        </w:tc>
        <w:tc>
          <w:tcPr>
            <w:tcW w:w="215" w:type="pct"/>
            <w:tcBorders>
              <w:top w:val="nil"/>
              <w:left w:val="nil"/>
              <w:bottom w:val="single" w:sz="4" w:space="0" w:color="auto"/>
              <w:right w:val="single" w:sz="4" w:space="0" w:color="auto"/>
            </w:tcBorders>
            <w:shd w:val="clear" w:color="auto" w:fill="auto"/>
            <w:noWrap/>
            <w:vAlign w:val="center"/>
          </w:tcPr>
          <w:p w14:paraId="24E8D838"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127</w:t>
            </w:r>
          </w:p>
        </w:tc>
        <w:tc>
          <w:tcPr>
            <w:tcW w:w="166" w:type="pct"/>
            <w:tcBorders>
              <w:top w:val="nil"/>
              <w:left w:val="nil"/>
              <w:bottom w:val="single" w:sz="4" w:space="0" w:color="auto"/>
              <w:right w:val="single" w:sz="4" w:space="0" w:color="auto"/>
            </w:tcBorders>
            <w:shd w:val="clear" w:color="auto" w:fill="auto"/>
            <w:noWrap/>
            <w:vAlign w:val="center"/>
          </w:tcPr>
          <w:p w14:paraId="13BBA34E"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w:t>
            </w:r>
          </w:p>
        </w:tc>
        <w:tc>
          <w:tcPr>
            <w:tcW w:w="191" w:type="pct"/>
            <w:tcBorders>
              <w:top w:val="nil"/>
              <w:left w:val="nil"/>
              <w:bottom w:val="single" w:sz="4" w:space="0" w:color="auto"/>
              <w:right w:val="single" w:sz="4" w:space="0" w:color="auto"/>
            </w:tcBorders>
            <w:shd w:val="clear" w:color="auto" w:fill="auto"/>
            <w:noWrap/>
            <w:vAlign w:val="center"/>
          </w:tcPr>
          <w:p w14:paraId="20749B57"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34780E55"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14</w:t>
            </w:r>
          </w:p>
        </w:tc>
        <w:tc>
          <w:tcPr>
            <w:tcW w:w="127" w:type="pct"/>
            <w:tcBorders>
              <w:top w:val="nil"/>
              <w:left w:val="nil"/>
              <w:bottom w:val="single" w:sz="4" w:space="0" w:color="auto"/>
              <w:right w:val="single" w:sz="4" w:space="0" w:color="auto"/>
            </w:tcBorders>
            <w:shd w:val="clear" w:color="auto" w:fill="auto"/>
            <w:noWrap/>
            <w:vAlign w:val="center"/>
          </w:tcPr>
          <w:p w14:paraId="7CCA8F6B"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2</w:t>
            </w:r>
          </w:p>
        </w:tc>
        <w:tc>
          <w:tcPr>
            <w:tcW w:w="123" w:type="pct"/>
            <w:tcBorders>
              <w:top w:val="nil"/>
              <w:left w:val="nil"/>
              <w:bottom w:val="single" w:sz="4" w:space="0" w:color="auto"/>
              <w:right w:val="single" w:sz="4" w:space="0" w:color="auto"/>
            </w:tcBorders>
            <w:shd w:val="clear" w:color="auto" w:fill="auto"/>
            <w:noWrap/>
            <w:vAlign w:val="center"/>
          </w:tcPr>
          <w:p w14:paraId="01ECF316"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7A36462A"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0F2EBBCA"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0EE6E89C"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195</w:t>
            </w:r>
          </w:p>
        </w:tc>
        <w:tc>
          <w:tcPr>
            <w:tcW w:w="156" w:type="pct"/>
            <w:tcBorders>
              <w:top w:val="nil"/>
              <w:left w:val="nil"/>
              <w:bottom w:val="single" w:sz="4" w:space="0" w:color="auto"/>
              <w:right w:val="single" w:sz="4" w:space="0" w:color="auto"/>
            </w:tcBorders>
            <w:shd w:val="clear" w:color="auto" w:fill="auto"/>
            <w:noWrap/>
            <w:vAlign w:val="center"/>
          </w:tcPr>
          <w:p w14:paraId="4B76734D"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14</w:t>
            </w:r>
          </w:p>
        </w:tc>
        <w:tc>
          <w:tcPr>
            <w:tcW w:w="186" w:type="pct"/>
            <w:tcBorders>
              <w:top w:val="single" w:sz="4" w:space="0" w:color="auto"/>
              <w:left w:val="nil"/>
              <w:bottom w:val="single" w:sz="4" w:space="0" w:color="auto"/>
              <w:right w:val="single" w:sz="4" w:space="0" w:color="auto"/>
            </w:tcBorders>
          </w:tcPr>
          <w:p w14:paraId="1A322784"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22C4EE" w14:textId="77777777" w:rsidR="00B010E6" w:rsidRPr="001B4CA2" w:rsidRDefault="00B010E6" w:rsidP="00B010E6">
            <w:pPr>
              <w:jc w:val="center"/>
              <w:rPr>
                <w:rFonts w:ascii="Calibri" w:hAnsi="Calibri" w:cs="Calibri"/>
                <w:b/>
                <w:bCs/>
                <w:color w:val="000000"/>
                <w:sz w:val="18"/>
                <w:szCs w:val="18"/>
              </w:rPr>
            </w:pPr>
            <w:r w:rsidRPr="001B4CA2">
              <w:rPr>
                <w:rFonts w:ascii="Calibri" w:hAnsi="Calibri" w:cs="Calibri"/>
                <w:b/>
                <w:bCs/>
                <w:color w:val="000000"/>
                <w:sz w:val="18"/>
                <w:szCs w:val="18"/>
              </w:rPr>
              <w:t>2.019</w:t>
            </w:r>
          </w:p>
        </w:tc>
      </w:tr>
      <w:tr w:rsidR="00BC6496" w:rsidRPr="001B4CA2" w14:paraId="32DA5C58"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02ECC8BF" w14:textId="77777777" w:rsidR="00B010E6" w:rsidRPr="001B4CA2" w:rsidRDefault="00B010E6" w:rsidP="00B010E6">
            <w:pPr>
              <w:jc w:val="left"/>
              <w:rPr>
                <w:bCs/>
                <w:sz w:val="14"/>
                <w:szCs w:val="16"/>
              </w:rPr>
            </w:pPr>
            <w:r w:rsidRPr="001B4CA2">
              <w:rPr>
                <w:bCs/>
                <w:sz w:val="14"/>
                <w:szCs w:val="16"/>
              </w:rPr>
              <w:t xml:space="preserve">Ministarstvo vanjskih i europskih poslova </w:t>
            </w:r>
          </w:p>
        </w:tc>
        <w:tc>
          <w:tcPr>
            <w:tcW w:w="201" w:type="pct"/>
            <w:tcBorders>
              <w:top w:val="nil"/>
              <w:left w:val="nil"/>
              <w:bottom w:val="single" w:sz="4" w:space="0" w:color="auto"/>
              <w:right w:val="single" w:sz="4" w:space="0" w:color="auto"/>
            </w:tcBorders>
            <w:shd w:val="clear" w:color="auto" w:fill="auto"/>
            <w:noWrap/>
            <w:vAlign w:val="center"/>
          </w:tcPr>
          <w:p w14:paraId="50DDEE46"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6D0AD7AF"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540146C4"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5004A026"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5C80AE91" w14:textId="77777777" w:rsidR="00B010E6" w:rsidRPr="001B4CA2" w:rsidRDefault="00B010E6" w:rsidP="00B010E6">
            <w:pPr>
              <w:jc w:val="center"/>
              <w:rPr>
                <w:rFonts w:ascii="Calibri" w:hAnsi="Calibri" w:cs="Calibri"/>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14:paraId="4FB5C592" w14:textId="77777777" w:rsidR="00B010E6" w:rsidRPr="001B4CA2" w:rsidRDefault="00B010E6" w:rsidP="00B010E6">
            <w:pPr>
              <w:jc w:val="center"/>
              <w:rPr>
                <w:rFonts w:ascii="Calibri" w:hAnsi="Calibri" w:cs="Calibri"/>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center"/>
          </w:tcPr>
          <w:p w14:paraId="0B69442A"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6068B5BB"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2C10A2CC" w14:textId="77777777" w:rsidR="00B010E6" w:rsidRPr="001B4CA2" w:rsidRDefault="00B010E6" w:rsidP="00B010E6">
            <w:pPr>
              <w:jc w:val="center"/>
              <w:rPr>
                <w:rFonts w:ascii="Calibri" w:hAnsi="Calibri" w:cs="Calibri"/>
                <w:color w:val="000000"/>
                <w:sz w:val="18"/>
                <w:szCs w:val="18"/>
              </w:rPr>
            </w:pPr>
          </w:p>
        </w:tc>
        <w:tc>
          <w:tcPr>
            <w:tcW w:w="133" w:type="pct"/>
            <w:tcBorders>
              <w:top w:val="nil"/>
              <w:left w:val="nil"/>
              <w:bottom w:val="single" w:sz="4" w:space="0" w:color="auto"/>
              <w:right w:val="single" w:sz="4" w:space="0" w:color="auto"/>
            </w:tcBorders>
            <w:shd w:val="clear" w:color="auto" w:fill="auto"/>
            <w:noWrap/>
            <w:vAlign w:val="center"/>
          </w:tcPr>
          <w:p w14:paraId="15423A1D"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28BC2162"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545984F1"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094DF150"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w:t>
            </w:r>
          </w:p>
        </w:tc>
        <w:tc>
          <w:tcPr>
            <w:tcW w:w="166" w:type="pct"/>
            <w:tcBorders>
              <w:top w:val="nil"/>
              <w:left w:val="nil"/>
              <w:bottom w:val="single" w:sz="4" w:space="0" w:color="auto"/>
              <w:right w:val="single" w:sz="4" w:space="0" w:color="auto"/>
            </w:tcBorders>
            <w:shd w:val="clear" w:color="auto" w:fill="auto"/>
            <w:noWrap/>
            <w:vAlign w:val="center"/>
          </w:tcPr>
          <w:p w14:paraId="0E2F42C9" w14:textId="77777777" w:rsidR="00B010E6" w:rsidRPr="001B4CA2" w:rsidRDefault="00B010E6" w:rsidP="00B010E6">
            <w:pPr>
              <w:jc w:val="center"/>
              <w:rPr>
                <w:rFonts w:ascii="Calibri" w:hAnsi="Calibri" w:cs="Calibri"/>
                <w:color w:val="000000"/>
                <w:sz w:val="20"/>
                <w:szCs w:val="20"/>
              </w:rPr>
            </w:pPr>
          </w:p>
        </w:tc>
        <w:tc>
          <w:tcPr>
            <w:tcW w:w="191" w:type="pct"/>
            <w:tcBorders>
              <w:top w:val="nil"/>
              <w:left w:val="nil"/>
              <w:bottom w:val="single" w:sz="4" w:space="0" w:color="auto"/>
              <w:right w:val="single" w:sz="4" w:space="0" w:color="auto"/>
            </w:tcBorders>
            <w:shd w:val="clear" w:color="auto" w:fill="auto"/>
            <w:noWrap/>
            <w:vAlign w:val="center"/>
          </w:tcPr>
          <w:p w14:paraId="4621DFC0"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1C91B493" w14:textId="77777777" w:rsidR="00B010E6" w:rsidRPr="001B4CA2" w:rsidRDefault="00B010E6" w:rsidP="00B010E6">
            <w:pPr>
              <w:jc w:val="center"/>
              <w:rPr>
                <w:rFonts w:ascii="Calibri" w:hAnsi="Calibri" w:cs="Calibri"/>
                <w:sz w:val="18"/>
                <w:szCs w:val="18"/>
              </w:rPr>
            </w:pPr>
          </w:p>
        </w:tc>
        <w:tc>
          <w:tcPr>
            <w:tcW w:w="127" w:type="pct"/>
            <w:tcBorders>
              <w:top w:val="nil"/>
              <w:left w:val="nil"/>
              <w:bottom w:val="single" w:sz="4" w:space="0" w:color="auto"/>
              <w:right w:val="single" w:sz="4" w:space="0" w:color="auto"/>
            </w:tcBorders>
            <w:shd w:val="clear" w:color="auto" w:fill="auto"/>
            <w:noWrap/>
            <w:vAlign w:val="center"/>
          </w:tcPr>
          <w:p w14:paraId="1CC92D7E" w14:textId="77777777" w:rsidR="00B010E6" w:rsidRPr="001B4CA2" w:rsidRDefault="00B010E6" w:rsidP="00B010E6">
            <w:pPr>
              <w:jc w:val="center"/>
              <w:rPr>
                <w:rFonts w:ascii="Calibri" w:hAnsi="Calibri" w:cs="Calibri"/>
                <w:color w:val="000000"/>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6CE2F630"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5A0B9136"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08CEB58A"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7D171857"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2</w:t>
            </w:r>
          </w:p>
        </w:tc>
        <w:tc>
          <w:tcPr>
            <w:tcW w:w="156" w:type="pct"/>
            <w:tcBorders>
              <w:top w:val="nil"/>
              <w:left w:val="nil"/>
              <w:bottom w:val="single" w:sz="4" w:space="0" w:color="auto"/>
              <w:right w:val="single" w:sz="4" w:space="0" w:color="auto"/>
            </w:tcBorders>
            <w:shd w:val="clear" w:color="auto" w:fill="auto"/>
            <w:noWrap/>
            <w:vAlign w:val="center"/>
          </w:tcPr>
          <w:p w14:paraId="7A0DBE0F" w14:textId="77777777" w:rsidR="00B010E6" w:rsidRPr="001B4CA2" w:rsidRDefault="00B010E6" w:rsidP="00B010E6">
            <w:pPr>
              <w:jc w:val="center"/>
              <w:rPr>
                <w:rFonts w:ascii="Calibri" w:hAnsi="Calibri" w:cs="Calibri"/>
                <w:bCs/>
                <w:color w:val="000000"/>
                <w:sz w:val="18"/>
                <w:szCs w:val="18"/>
              </w:rPr>
            </w:pPr>
          </w:p>
        </w:tc>
        <w:tc>
          <w:tcPr>
            <w:tcW w:w="186" w:type="pct"/>
            <w:tcBorders>
              <w:top w:val="single" w:sz="4" w:space="0" w:color="auto"/>
              <w:left w:val="nil"/>
              <w:bottom w:val="single" w:sz="4" w:space="0" w:color="auto"/>
              <w:right w:val="single" w:sz="4" w:space="0" w:color="auto"/>
            </w:tcBorders>
          </w:tcPr>
          <w:p w14:paraId="7C413A69"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D6ABCD0" w14:textId="77777777" w:rsidR="00B010E6" w:rsidRPr="001B4CA2" w:rsidRDefault="00B010E6" w:rsidP="00B010E6">
            <w:pPr>
              <w:jc w:val="center"/>
              <w:rPr>
                <w:rFonts w:ascii="Calibri" w:hAnsi="Calibri" w:cs="Calibri"/>
                <w:b/>
                <w:bCs/>
                <w:color w:val="000000"/>
                <w:sz w:val="18"/>
                <w:szCs w:val="18"/>
              </w:rPr>
            </w:pPr>
          </w:p>
        </w:tc>
      </w:tr>
      <w:tr w:rsidR="00BC6496" w:rsidRPr="001B4CA2" w14:paraId="6652E72B"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7E155B48" w14:textId="77777777" w:rsidR="00B010E6" w:rsidRPr="001B4CA2" w:rsidRDefault="00B010E6" w:rsidP="00B010E6">
            <w:pPr>
              <w:jc w:val="left"/>
              <w:rPr>
                <w:bCs/>
                <w:sz w:val="14"/>
                <w:szCs w:val="16"/>
              </w:rPr>
            </w:pPr>
            <w:r w:rsidRPr="001B4CA2">
              <w:rPr>
                <w:bCs/>
                <w:sz w:val="14"/>
                <w:szCs w:val="16"/>
              </w:rPr>
              <w:t>Ministarstvo mora, prometa i infrastrukture</w:t>
            </w:r>
          </w:p>
        </w:tc>
        <w:tc>
          <w:tcPr>
            <w:tcW w:w="201" w:type="pct"/>
            <w:tcBorders>
              <w:top w:val="nil"/>
              <w:left w:val="nil"/>
              <w:bottom w:val="single" w:sz="4" w:space="0" w:color="auto"/>
              <w:right w:val="single" w:sz="4" w:space="0" w:color="auto"/>
            </w:tcBorders>
            <w:shd w:val="clear" w:color="auto" w:fill="auto"/>
            <w:noWrap/>
            <w:vAlign w:val="center"/>
          </w:tcPr>
          <w:p w14:paraId="145BC5A8"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5</w:t>
            </w:r>
          </w:p>
        </w:tc>
        <w:tc>
          <w:tcPr>
            <w:tcW w:w="156" w:type="pct"/>
            <w:tcBorders>
              <w:top w:val="nil"/>
              <w:left w:val="nil"/>
              <w:bottom w:val="single" w:sz="4" w:space="0" w:color="auto"/>
              <w:right w:val="single" w:sz="4" w:space="0" w:color="auto"/>
            </w:tcBorders>
            <w:shd w:val="clear" w:color="auto" w:fill="auto"/>
            <w:noWrap/>
            <w:vAlign w:val="center"/>
          </w:tcPr>
          <w:p w14:paraId="1FBA721C"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4EB858DD"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1135F513"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5E0784C3"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w:t>
            </w:r>
          </w:p>
        </w:tc>
        <w:tc>
          <w:tcPr>
            <w:tcW w:w="166" w:type="pct"/>
            <w:tcBorders>
              <w:top w:val="nil"/>
              <w:left w:val="nil"/>
              <w:bottom w:val="single" w:sz="4" w:space="0" w:color="auto"/>
              <w:right w:val="single" w:sz="4" w:space="0" w:color="auto"/>
            </w:tcBorders>
            <w:shd w:val="clear" w:color="auto" w:fill="auto"/>
            <w:noWrap/>
            <w:vAlign w:val="center"/>
          </w:tcPr>
          <w:p w14:paraId="617D02C8"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201" w:type="pct"/>
            <w:tcBorders>
              <w:top w:val="nil"/>
              <w:left w:val="nil"/>
              <w:bottom w:val="single" w:sz="4" w:space="0" w:color="auto"/>
              <w:right w:val="single" w:sz="4" w:space="0" w:color="auto"/>
            </w:tcBorders>
            <w:shd w:val="clear" w:color="auto" w:fill="auto"/>
            <w:noWrap/>
            <w:vAlign w:val="center"/>
          </w:tcPr>
          <w:p w14:paraId="13E0999C"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2A71BF2E"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15</w:t>
            </w:r>
          </w:p>
        </w:tc>
        <w:tc>
          <w:tcPr>
            <w:tcW w:w="166" w:type="pct"/>
            <w:tcBorders>
              <w:top w:val="nil"/>
              <w:left w:val="nil"/>
              <w:bottom w:val="single" w:sz="4" w:space="0" w:color="auto"/>
              <w:right w:val="single" w:sz="4" w:space="0" w:color="auto"/>
            </w:tcBorders>
            <w:shd w:val="clear" w:color="auto" w:fill="auto"/>
            <w:noWrap/>
            <w:vAlign w:val="center"/>
          </w:tcPr>
          <w:p w14:paraId="68C00274"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2</w:t>
            </w:r>
          </w:p>
        </w:tc>
        <w:tc>
          <w:tcPr>
            <w:tcW w:w="133" w:type="pct"/>
            <w:tcBorders>
              <w:top w:val="nil"/>
              <w:left w:val="nil"/>
              <w:bottom w:val="single" w:sz="4" w:space="0" w:color="auto"/>
              <w:right w:val="single" w:sz="4" w:space="0" w:color="auto"/>
            </w:tcBorders>
            <w:shd w:val="clear" w:color="auto" w:fill="auto"/>
            <w:noWrap/>
            <w:vAlign w:val="center"/>
          </w:tcPr>
          <w:p w14:paraId="292B0591"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728154F4"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66A50734"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64124BC0" w14:textId="77777777" w:rsidR="00B010E6" w:rsidRPr="001B4CA2" w:rsidRDefault="00B010E6" w:rsidP="00B010E6">
            <w:pPr>
              <w:jc w:val="center"/>
              <w:rPr>
                <w:rFonts w:ascii="Calibri" w:hAnsi="Calibri" w:cs="Calibri"/>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14:paraId="2CF0FA3D" w14:textId="77777777" w:rsidR="00B010E6" w:rsidRPr="001B4CA2" w:rsidRDefault="00B010E6" w:rsidP="00B010E6">
            <w:pPr>
              <w:jc w:val="center"/>
              <w:rPr>
                <w:rFonts w:ascii="Calibri" w:hAnsi="Calibri" w:cs="Calibri"/>
                <w:color w:val="000000"/>
                <w:sz w:val="20"/>
                <w:szCs w:val="20"/>
              </w:rPr>
            </w:pPr>
          </w:p>
        </w:tc>
        <w:tc>
          <w:tcPr>
            <w:tcW w:w="191" w:type="pct"/>
            <w:tcBorders>
              <w:top w:val="nil"/>
              <w:left w:val="nil"/>
              <w:bottom w:val="single" w:sz="4" w:space="0" w:color="auto"/>
              <w:right w:val="single" w:sz="4" w:space="0" w:color="auto"/>
            </w:tcBorders>
            <w:shd w:val="clear" w:color="auto" w:fill="auto"/>
            <w:noWrap/>
            <w:vAlign w:val="center"/>
          </w:tcPr>
          <w:p w14:paraId="33BCC8CF"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6C706E16" w14:textId="77777777" w:rsidR="00B010E6" w:rsidRPr="001B4CA2" w:rsidRDefault="00B010E6" w:rsidP="00B010E6">
            <w:pPr>
              <w:jc w:val="center"/>
              <w:rPr>
                <w:rFonts w:ascii="Calibri" w:hAnsi="Calibri" w:cs="Calibri"/>
                <w:sz w:val="18"/>
                <w:szCs w:val="18"/>
              </w:rPr>
            </w:pPr>
          </w:p>
        </w:tc>
        <w:tc>
          <w:tcPr>
            <w:tcW w:w="127" w:type="pct"/>
            <w:tcBorders>
              <w:top w:val="nil"/>
              <w:left w:val="nil"/>
              <w:bottom w:val="single" w:sz="4" w:space="0" w:color="auto"/>
              <w:right w:val="single" w:sz="4" w:space="0" w:color="auto"/>
            </w:tcBorders>
            <w:shd w:val="clear" w:color="auto" w:fill="auto"/>
            <w:noWrap/>
            <w:vAlign w:val="center"/>
          </w:tcPr>
          <w:p w14:paraId="303C275F" w14:textId="77777777" w:rsidR="00B010E6" w:rsidRPr="001B4CA2" w:rsidRDefault="00B010E6" w:rsidP="00B010E6">
            <w:pPr>
              <w:jc w:val="center"/>
              <w:rPr>
                <w:rFonts w:ascii="Calibri" w:hAnsi="Calibri" w:cs="Calibri"/>
                <w:color w:val="000000"/>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0EBF3836"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58DC3B25"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13D5D7E1"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0DC799A0"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10</w:t>
            </w:r>
          </w:p>
        </w:tc>
        <w:tc>
          <w:tcPr>
            <w:tcW w:w="156" w:type="pct"/>
            <w:tcBorders>
              <w:top w:val="nil"/>
              <w:left w:val="nil"/>
              <w:bottom w:val="single" w:sz="4" w:space="0" w:color="auto"/>
              <w:right w:val="single" w:sz="4" w:space="0" w:color="auto"/>
            </w:tcBorders>
            <w:shd w:val="clear" w:color="auto" w:fill="auto"/>
            <w:noWrap/>
            <w:vAlign w:val="center"/>
          </w:tcPr>
          <w:p w14:paraId="3D5D3C28"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w:t>
            </w:r>
          </w:p>
        </w:tc>
        <w:tc>
          <w:tcPr>
            <w:tcW w:w="186" w:type="pct"/>
            <w:tcBorders>
              <w:top w:val="single" w:sz="4" w:space="0" w:color="auto"/>
              <w:left w:val="nil"/>
              <w:bottom w:val="single" w:sz="4" w:space="0" w:color="auto"/>
              <w:right w:val="single" w:sz="4" w:space="0" w:color="auto"/>
            </w:tcBorders>
          </w:tcPr>
          <w:p w14:paraId="3CD9AABD"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577F732" w14:textId="77777777" w:rsidR="00B010E6" w:rsidRPr="001B4CA2" w:rsidRDefault="00B010E6" w:rsidP="00B010E6">
            <w:pPr>
              <w:jc w:val="center"/>
              <w:rPr>
                <w:rFonts w:ascii="Calibri" w:hAnsi="Calibri" w:cs="Calibri"/>
                <w:b/>
                <w:bCs/>
                <w:color w:val="000000"/>
                <w:sz w:val="18"/>
                <w:szCs w:val="18"/>
              </w:rPr>
            </w:pPr>
            <w:r w:rsidRPr="001B4CA2">
              <w:rPr>
                <w:rFonts w:ascii="Calibri" w:hAnsi="Calibri" w:cs="Calibri"/>
                <w:b/>
                <w:bCs/>
                <w:color w:val="000000"/>
                <w:sz w:val="18"/>
                <w:szCs w:val="18"/>
              </w:rPr>
              <w:t>15</w:t>
            </w:r>
          </w:p>
        </w:tc>
      </w:tr>
      <w:tr w:rsidR="00BC6496" w:rsidRPr="001B4CA2" w14:paraId="265A771D"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157B4AB2" w14:textId="77777777" w:rsidR="00B010E6" w:rsidRPr="001B4CA2" w:rsidRDefault="00B010E6" w:rsidP="00B010E6">
            <w:pPr>
              <w:jc w:val="left"/>
              <w:rPr>
                <w:bCs/>
                <w:sz w:val="14"/>
                <w:szCs w:val="16"/>
              </w:rPr>
            </w:pPr>
            <w:r w:rsidRPr="001B4CA2">
              <w:rPr>
                <w:bCs/>
                <w:sz w:val="14"/>
                <w:szCs w:val="16"/>
              </w:rPr>
              <w:t>Ministarstvo poljoprivrede</w:t>
            </w:r>
          </w:p>
        </w:tc>
        <w:tc>
          <w:tcPr>
            <w:tcW w:w="201" w:type="pct"/>
            <w:tcBorders>
              <w:top w:val="nil"/>
              <w:left w:val="nil"/>
              <w:bottom w:val="single" w:sz="4" w:space="0" w:color="auto"/>
              <w:right w:val="single" w:sz="4" w:space="0" w:color="auto"/>
            </w:tcBorders>
            <w:shd w:val="clear" w:color="auto" w:fill="auto"/>
            <w:noWrap/>
            <w:vAlign w:val="center"/>
          </w:tcPr>
          <w:p w14:paraId="35ED3B9F"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1.070</w:t>
            </w:r>
          </w:p>
        </w:tc>
        <w:tc>
          <w:tcPr>
            <w:tcW w:w="156" w:type="pct"/>
            <w:tcBorders>
              <w:top w:val="nil"/>
              <w:left w:val="nil"/>
              <w:bottom w:val="single" w:sz="4" w:space="0" w:color="auto"/>
              <w:right w:val="single" w:sz="4" w:space="0" w:color="auto"/>
            </w:tcBorders>
            <w:shd w:val="clear" w:color="auto" w:fill="auto"/>
            <w:noWrap/>
            <w:vAlign w:val="center"/>
          </w:tcPr>
          <w:p w14:paraId="69151C00"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342</w:t>
            </w:r>
          </w:p>
        </w:tc>
        <w:tc>
          <w:tcPr>
            <w:tcW w:w="187" w:type="pct"/>
            <w:tcBorders>
              <w:top w:val="nil"/>
              <w:left w:val="nil"/>
              <w:bottom w:val="single" w:sz="4" w:space="0" w:color="auto"/>
              <w:right w:val="single" w:sz="4" w:space="0" w:color="auto"/>
            </w:tcBorders>
            <w:shd w:val="clear" w:color="auto" w:fill="auto"/>
            <w:noWrap/>
            <w:vAlign w:val="center"/>
          </w:tcPr>
          <w:p w14:paraId="69E012A6"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543864A9"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11.721</w:t>
            </w:r>
          </w:p>
        </w:tc>
        <w:tc>
          <w:tcPr>
            <w:tcW w:w="166" w:type="pct"/>
            <w:tcBorders>
              <w:top w:val="nil"/>
              <w:left w:val="nil"/>
              <w:bottom w:val="single" w:sz="4" w:space="0" w:color="auto"/>
              <w:right w:val="single" w:sz="4" w:space="0" w:color="auto"/>
            </w:tcBorders>
            <w:shd w:val="clear" w:color="auto" w:fill="auto"/>
            <w:noWrap/>
            <w:vAlign w:val="center"/>
          </w:tcPr>
          <w:p w14:paraId="127A98FD"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29</w:t>
            </w:r>
          </w:p>
        </w:tc>
        <w:tc>
          <w:tcPr>
            <w:tcW w:w="166" w:type="pct"/>
            <w:tcBorders>
              <w:top w:val="nil"/>
              <w:left w:val="nil"/>
              <w:bottom w:val="single" w:sz="4" w:space="0" w:color="auto"/>
              <w:right w:val="single" w:sz="4" w:space="0" w:color="auto"/>
            </w:tcBorders>
            <w:shd w:val="clear" w:color="auto" w:fill="auto"/>
            <w:noWrap/>
            <w:vAlign w:val="center"/>
          </w:tcPr>
          <w:p w14:paraId="044BE37A"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9</w:t>
            </w:r>
          </w:p>
        </w:tc>
        <w:tc>
          <w:tcPr>
            <w:tcW w:w="201" w:type="pct"/>
            <w:tcBorders>
              <w:top w:val="nil"/>
              <w:left w:val="nil"/>
              <w:bottom w:val="single" w:sz="4" w:space="0" w:color="auto"/>
              <w:right w:val="single" w:sz="4" w:space="0" w:color="auto"/>
            </w:tcBorders>
            <w:shd w:val="clear" w:color="auto" w:fill="auto"/>
            <w:noWrap/>
            <w:vAlign w:val="center"/>
          </w:tcPr>
          <w:p w14:paraId="6E627052"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517BF20C"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96</w:t>
            </w:r>
          </w:p>
        </w:tc>
        <w:tc>
          <w:tcPr>
            <w:tcW w:w="166" w:type="pct"/>
            <w:tcBorders>
              <w:top w:val="nil"/>
              <w:left w:val="nil"/>
              <w:bottom w:val="single" w:sz="4" w:space="0" w:color="auto"/>
              <w:right w:val="single" w:sz="4" w:space="0" w:color="auto"/>
            </w:tcBorders>
            <w:shd w:val="clear" w:color="auto" w:fill="auto"/>
            <w:noWrap/>
            <w:vAlign w:val="center"/>
          </w:tcPr>
          <w:p w14:paraId="1B01A4BB"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5</w:t>
            </w:r>
          </w:p>
        </w:tc>
        <w:tc>
          <w:tcPr>
            <w:tcW w:w="133" w:type="pct"/>
            <w:tcBorders>
              <w:top w:val="nil"/>
              <w:left w:val="nil"/>
              <w:bottom w:val="single" w:sz="4" w:space="0" w:color="auto"/>
              <w:right w:val="single" w:sz="4" w:space="0" w:color="auto"/>
            </w:tcBorders>
            <w:shd w:val="clear" w:color="auto" w:fill="auto"/>
            <w:noWrap/>
            <w:vAlign w:val="center"/>
          </w:tcPr>
          <w:p w14:paraId="291962C4"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2</w:t>
            </w:r>
          </w:p>
        </w:tc>
        <w:tc>
          <w:tcPr>
            <w:tcW w:w="156" w:type="pct"/>
            <w:tcBorders>
              <w:top w:val="nil"/>
              <w:left w:val="nil"/>
              <w:bottom w:val="single" w:sz="4" w:space="0" w:color="auto"/>
              <w:right w:val="single" w:sz="4" w:space="0" w:color="auto"/>
            </w:tcBorders>
            <w:shd w:val="clear" w:color="auto" w:fill="auto"/>
            <w:noWrap/>
            <w:vAlign w:val="center"/>
          </w:tcPr>
          <w:p w14:paraId="4DEEC1F5"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5B93BC27"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58</w:t>
            </w:r>
          </w:p>
        </w:tc>
        <w:tc>
          <w:tcPr>
            <w:tcW w:w="215" w:type="pct"/>
            <w:tcBorders>
              <w:top w:val="nil"/>
              <w:left w:val="nil"/>
              <w:bottom w:val="single" w:sz="4" w:space="0" w:color="auto"/>
              <w:right w:val="single" w:sz="4" w:space="0" w:color="auto"/>
            </w:tcBorders>
            <w:shd w:val="clear" w:color="auto" w:fill="auto"/>
            <w:noWrap/>
            <w:vAlign w:val="center"/>
          </w:tcPr>
          <w:p w14:paraId="4DA61070"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3</w:t>
            </w:r>
          </w:p>
        </w:tc>
        <w:tc>
          <w:tcPr>
            <w:tcW w:w="166" w:type="pct"/>
            <w:tcBorders>
              <w:top w:val="nil"/>
              <w:left w:val="nil"/>
              <w:bottom w:val="single" w:sz="4" w:space="0" w:color="auto"/>
              <w:right w:val="single" w:sz="4" w:space="0" w:color="auto"/>
            </w:tcBorders>
            <w:shd w:val="clear" w:color="auto" w:fill="auto"/>
            <w:noWrap/>
            <w:vAlign w:val="center"/>
          </w:tcPr>
          <w:p w14:paraId="76D18495"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4</w:t>
            </w:r>
          </w:p>
        </w:tc>
        <w:tc>
          <w:tcPr>
            <w:tcW w:w="191" w:type="pct"/>
            <w:tcBorders>
              <w:top w:val="nil"/>
              <w:left w:val="nil"/>
              <w:bottom w:val="single" w:sz="4" w:space="0" w:color="auto"/>
              <w:right w:val="single" w:sz="4" w:space="0" w:color="auto"/>
            </w:tcBorders>
            <w:shd w:val="clear" w:color="auto" w:fill="auto"/>
            <w:noWrap/>
            <w:vAlign w:val="center"/>
          </w:tcPr>
          <w:p w14:paraId="5ED8378C"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27D7D399"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24</w:t>
            </w:r>
          </w:p>
        </w:tc>
        <w:tc>
          <w:tcPr>
            <w:tcW w:w="127" w:type="pct"/>
            <w:tcBorders>
              <w:top w:val="nil"/>
              <w:left w:val="nil"/>
              <w:bottom w:val="single" w:sz="4" w:space="0" w:color="auto"/>
              <w:right w:val="single" w:sz="4" w:space="0" w:color="auto"/>
            </w:tcBorders>
            <w:shd w:val="clear" w:color="auto" w:fill="auto"/>
            <w:noWrap/>
            <w:vAlign w:val="center"/>
          </w:tcPr>
          <w:p w14:paraId="1DDD50FA"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29</w:t>
            </w:r>
          </w:p>
        </w:tc>
        <w:tc>
          <w:tcPr>
            <w:tcW w:w="123" w:type="pct"/>
            <w:tcBorders>
              <w:top w:val="nil"/>
              <w:left w:val="nil"/>
              <w:bottom w:val="single" w:sz="4" w:space="0" w:color="auto"/>
              <w:right w:val="single" w:sz="4" w:space="0" w:color="auto"/>
            </w:tcBorders>
            <w:shd w:val="clear" w:color="auto" w:fill="auto"/>
            <w:noWrap/>
            <w:vAlign w:val="center"/>
          </w:tcPr>
          <w:p w14:paraId="4E7849BB"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77B16CA3"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6CA1A405"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101E48EF"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1.136</w:t>
            </w:r>
          </w:p>
        </w:tc>
        <w:tc>
          <w:tcPr>
            <w:tcW w:w="156" w:type="pct"/>
            <w:tcBorders>
              <w:top w:val="nil"/>
              <w:left w:val="nil"/>
              <w:bottom w:val="single" w:sz="4" w:space="0" w:color="auto"/>
              <w:right w:val="single" w:sz="4" w:space="0" w:color="auto"/>
            </w:tcBorders>
            <w:shd w:val="clear" w:color="auto" w:fill="auto"/>
            <w:noWrap/>
            <w:vAlign w:val="center"/>
          </w:tcPr>
          <w:p w14:paraId="74E0A8B3"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357</w:t>
            </w:r>
          </w:p>
        </w:tc>
        <w:tc>
          <w:tcPr>
            <w:tcW w:w="186" w:type="pct"/>
            <w:tcBorders>
              <w:top w:val="single" w:sz="4" w:space="0" w:color="auto"/>
              <w:left w:val="nil"/>
              <w:bottom w:val="single" w:sz="4" w:space="0" w:color="auto"/>
              <w:right w:val="single" w:sz="4" w:space="0" w:color="auto"/>
            </w:tcBorders>
          </w:tcPr>
          <w:p w14:paraId="69B4DDDA"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AAFD3BA" w14:textId="77777777" w:rsidR="00B010E6" w:rsidRPr="001B4CA2" w:rsidRDefault="00B010E6" w:rsidP="00B010E6">
            <w:pPr>
              <w:jc w:val="center"/>
              <w:rPr>
                <w:rFonts w:ascii="Calibri" w:hAnsi="Calibri" w:cs="Calibri"/>
                <w:b/>
                <w:bCs/>
                <w:color w:val="000000"/>
                <w:sz w:val="18"/>
                <w:szCs w:val="18"/>
              </w:rPr>
            </w:pPr>
            <w:r w:rsidRPr="001B4CA2">
              <w:rPr>
                <w:rFonts w:ascii="Calibri" w:hAnsi="Calibri" w:cs="Calibri"/>
                <w:b/>
                <w:bCs/>
                <w:color w:val="000000"/>
                <w:sz w:val="18"/>
                <w:szCs w:val="18"/>
              </w:rPr>
              <w:t>11.898</w:t>
            </w:r>
          </w:p>
        </w:tc>
      </w:tr>
      <w:tr w:rsidR="00BC6496" w:rsidRPr="001B4CA2" w14:paraId="5ECF50BB"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779866A1" w14:textId="77777777" w:rsidR="00B010E6" w:rsidRPr="001B4CA2" w:rsidRDefault="00B010E6" w:rsidP="00B010E6">
            <w:pPr>
              <w:jc w:val="left"/>
              <w:rPr>
                <w:bCs/>
                <w:sz w:val="14"/>
                <w:szCs w:val="16"/>
              </w:rPr>
            </w:pPr>
            <w:r w:rsidRPr="001B4CA2">
              <w:rPr>
                <w:bCs/>
                <w:sz w:val="14"/>
                <w:szCs w:val="16"/>
              </w:rPr>
              <w:t>Ministarstvo turizma i sporta</w:t>
            </w:r>
          </w:p>
        </w:tc>
        <w:tc>
          <w:tcPr>
            <w:tcW w:w="201" w:type="pct"/>
            <w:tcBorders>
              <w:top w:val="nil"/>
              <w:left w:val="nil"/>
              <w:bottom w:val="single" w:sz="4" w:space="0" w:color="auto"/>
              <w:right w:val="single" w:sz="4" w:space="0" w:color="auto"/>
            </w:tcBorders>
            <w:shd w:val="clear" w:color="auto" w:fill="auto"/>
            <w:noWrap/>
            <w:vAlign w:val="center"/>
          </w:tcPr>
          <w:p w14:paraId="2CA61930"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7B211316"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3EE62C3A"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1F3B8304"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491DF10B" w14:textId="77777777" w:rsidR="00B010E6" w:rsidRPr="001B4CA2" w:rsidRDefault="00B010E6" w:rsidP="00B010E6">
            <w:pPr>
              <w:jc w:val="center"/>
              <w:rPr>
                <w:rFonts w:ascii="Calibri" w:hAnsi="Calibri" w:cs="Calibri"/>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14:paraId="1CB4FC81" w14:textId="77777777" w:rsidR="00B010E6" w:rsidRPr="001B4CA2" w:rsidRDefault="00B010E6" w:rsidP="00B010E6">
            <w:pPr>
              <w:jc w:val="center"/>
              <w:rPr>
                <w:rFonts w:ascii="Calibri" w:hAnsi="Calibri" w:cs="Calibri"/>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center"/>
          </w:tcPr>
          <w:p w14:paraId="66479B9B"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642972BB"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25235F94"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w:t>
            </w:r>
          </w:p>
        </w:tc>
        <w:tc>
          <w:tcPr>
            <w:tcW w:w="133" w:type="pct"/>
            <w:tcBorders>
              <w:top w:val="nil"/>
              <w:left w:val="nil"/>
              <w:bottom w:val="single" w:sz="4" w:space="0" w:color="auto"/>
              <w:right w:val="single" w:sz="4" w:space="0" w:color="auto"/>
            </w:tcBorders>
            <w:shd w:val="clear" w:color="auto" w:fill="auto"/>
            <w:noWrap/>
            <w:vAlign w:val="center"/>
          </w:tcPr>
          <w:p w14:paraId="59167CF7"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4EC50584"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77718778"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596703B9"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166" w:type="pct"/>
            <w:tcBorders>
              <w:top w:val="nil"/>
              <w:left w:val="nil"/>
              <w:bottom w:val="single" w:sz="4" w:space="0" w:color="auto"/>
              <w:right w:val="single" w:sz="4" w:space="0" w:color="auto"/>
            </w:tcBorders>
            <w:shd w:val="clear" w:color="auto" w:fill="auto"/>
            <w:noWrap/>
            <w:vAlign w:val="center"/>
          </w:tcPr>
          <w:p w14:paraId="6006B73B" w14:textId="77777777" w:rsidR="00B010E6" w:rsidRPr="001B4CA2" w:rsidRDefault="00B010E6" w:rsidP="00B010E6">
            <w:pPr>
              <w:jc w:val="center"/>
              <w:rPr>
                <w:rFonts w:ascii="Calibri" w:hAnsi="Calibri" w:cs="Calibri"/>
                <w:color w:val="000000"/>
                <w:sz w:val="20"/>
                <w:szCs w:val="20"/>
              </w:rPr>
            </w:pPr>
          </w:p>
        </w:tc>
        <w:tc>
          <w:tcPr>
            <w:tcW w:w="191" w:type="pct"/>
            <w:tcBorders>
              <w:top w:val="nil"/>
              <w:left w:val="nil"/>
              <w:bottom w:val="single" w:sz="4" w:space="0" w:color="auto"/>
              <w:right w:val="single" w:sz="4" w:space="0" w:color="auto"/>
            </w:tcBorders>
            <w:shd w:val="clear" w:color="auto" w:fill="auto"/>
            <w:noWrap/>
            <w:vAlign w:val="center"/>
          </w:tcPr>
          <w:p w14:paraId="7CB04944"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11F7B90E" w14:textId="77777777" w:rsidR="00B010E6" w:rsidRPr="001B4CA2" w:rsidRDefault="00B010E6" w:rsidP="00B010E6">
            <w:pPr>
              <w:jc w:val="center"/>
              <w:rPr>
                <w:rFonts w:ascii="Calibri" w:hAnsi="Calibri" w:cs="Calibri"/>
                <w:sz w:val="18"/>
                <w:szCs w:val="18"/>
              </w:rPr>
            </w:pPr>
          </w:p>
        </w:tc>
        <w:tc>
          <w:tcPr>
            <w:tcW w:w="127" w:type="pct"/>
            <w:tcBorders>
              <w:top w:val="nil"/>
              <w:left w:val="nil"/>
              <w:bottom w:val="single" w:sz="4" w:space="0" w:color="auto"/>
              <w:right w:val="single" w:sz="4" w:space="0" w:color="auto"/>
            </w:tcBorders>
            <w:shd w:val="clear" w:color="auto" w:fill="auto"/>
            <w:noWrap/>
            <w:vAlign w:val="center"/>
          </w:tcPr>
          <w:p w14:paraId="67831198" w14:textId="77777777" w:rsidR="00B010E6" w:rsidRPr="001B4CA2" w:rsidRDefault="00B010E6" w:rsidP="00B010E6">
            <w:pPr>
              <w:jc w:val="center"/>
              <w:rPr>
                <w:rFonts w:ascii="Calibri" w:hAnsi="Calibri" w:cs="Calibri"/>
                <w:color w:val="000000"/>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2A46E74F"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7D249B89"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006FCECF"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5C5D8E60"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2</w:t>
            </w:r>
          </w:p>
        </w:tc>
        <w:tc>
          <w:tcPr>
            <w:tcW w:w="156" w:type="pct"/>
            <w:tcBorders>
              <w:top w:val="nil"/>
              <w:left w:val="nil"/>
              <w:bottom w:val="single" w:sz="4" w:space="0" w:color="auto"/>
              <w:right w:val="single" w:sz="4" w:space="0" w:color="auto"/>
            </w:tcBorders>
            <w:shd w:val="clear" w:color="auto" w:fill="auto"/>
            <w:noWrap/>
            <w:vAlign w:val="center"/>
          </w:tcPr>
          <w:p w14:paraId="0C2BD50B" w14:textId="77777777" w:rsidR="00B010E6" w:rsidRPr="001B4CA2" w:rsidRDefault="00B010E6" w:rsidP="00B010E6">
            <w:pPr>
              <w:jc w:val="center"/>
              <w:rPr>
                <w:rFonts w:ascii="Calibri" w:hAnsi="Calibri" w:cs="Calibri"/>
                <w:bCs/>
                <w:color w:val="000000"/>
                <w:sz w:val="18"/>
                <w:szCs w:val="18"/>
              </w:rPr>
            </w:pPr>
          </w:p>
        </w:tc>
        <w:tc>
          <w:tcPr>
            <w:tcW w:w="186" w:type="pct"/>
            <w:tcBorders>
              <w:top w:val="single" w:sz="4" w:space="0" w:color="auto"/>
              <w:left w:val="nil"/>
              <w:bottom w:val="single" w:sz="4" w:space="0" w:color="auto"/>
              <w:right w:val="single" w:sz="4" w:space="0" w:color="auto"/>
            </w:tcBorders>
          </w:tcPr>
          <w:p w14:paraId="0898AF9C"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495B861" w14:textId="77777777" w:rsidR="00B010E6" w:rsidRPr="001B4CA2" w:rsidRDefault="00B010E6" w:rsidP="00B010E6">
            <w:pPr>
              <w:jc w:val="center"/>
              <w:rPr>
                <w:rFonts w:ascii="Calibri" w:hAnsi="Calibri" w:cs="Calibri"/>
                <w:b/>
                <w:bCs/>
                <w:color w:val="000000"/>
                <w:sz w:val="18"/>
                <w:szCs w:val="18"/>
              </w:rPr>
            </w:pPr>
          </w:p>
        </w:tc>
      </w:tr>
      <w:tr w:rsidR="00BC6496" w:rsidRPr="001B4CA2" w14:paraId="61C01D81"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5258FA90" w14:textId="77777777" w:rsidR="00B010E6" w:rsidRPr="001B4CA2" w:rsidRDefault="00B010E6" w:rsidP="00B010E6">
            <w:pPr>
              <w:jc w:val="left"/>
              <w:rPr>
                <w:bCs/>
                <w:sz w:val="14"/>
                <w:szCs w:val="16"/>
              </w:rPr>
            </w:pPr>
            <w:r w:rsidRPr="001B4CA2">
              <w:rPr>
                <w:bCs/>
                <w:sz w:val="14"/>
                <w:szCs w:val="16"/>
              </w:rPr>
              <w:t xml:space="preserve">Ministarstvo znanosti i obrazovanja </w:t>
            </w:r>
          </w:p>
        </w:tc>
        <w:tc>
          <w:tcPr>
            <w:tcW w:w="201" w:type="pct"/>
            <w:tcBorders>
              <w:top w:val="nil"/>
              <w:left w:val="nil"/>
              <w:bottom w:val="single" w:sz="4" w:space="0" w:color="auto"/>
              <w:right w:val="single" w:sz="4" w:space="0" w:color="auto"/>
            </w:tcBorders>
            <w:shd w:val="clear" w:color="auto" w:fill="auto"/>
            <w:noWrap/>
            <w:vAlign w:val="center"/>
          </w:tcPr>
          <w:p w14:paraId="3A913DFB"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71038D96"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305BB7AB"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49A1DE7B"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61E0F9D6" w14:textId="77777777" w:rsidR="00B010E6" w:rsidRPr="001B4CA2" w:rsidRDefault="00B010E6" w:rsidP="00B010E6">
            <w:pPr>
              <w:jc w:val="center"/>
              <w:rPr>
                <w:rFonts w:ascii="Calibri" w:hAnsi="Calibri" w:cs="Calibri"/>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14:paraId="0EDD68D4" w14:textId="77777777" w:rsidR="00B010E6" w:rsidRPr="001B4CA2" w:rsidRDefault="00B010E6" w:rsidP="00B010E6">
            <w:pPr>
              <w:jc w:val="center"/>
              <w:rPr>
                <w:rFonts w:ascii="Calibri" w:hAnsi="Calibri" w:cs="Calibri"/>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center"/>
          </w:tcPr>
          <w:p w14:paraId="5F0B3793"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4C5FE2D6"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158DFCD1" w14:textId="77777777" w:rsidR="00B010E6" w:rsidRPr="001B4CA2" w:rsidRDefault="00B010E6" w:rsidP="00B010E6">
            <w:pPr>
              <w:jc w:val="center"/>
              <w:rPr>
                <w:rFonts w:ascii="Calibri" w:hAnsi="Calibri" w:cs="Calibri"/>
                <w:color w:val="000000"/>
                <w:sz w:val="18"/>
                <w:szCs w:val="18"/>
              </w:rPr>
            </w:pPr>
          </w:p>
        </w:tc>
        <w:tc>
          <w:tcPr>
            <w:tcW w:w="133" w:type="pct"/>
            <w:tcBorders>
              <w:top w:val="nil"/>
              <w:left w:val="nil"/>
              <w:bottom w:val="single" w:sz="4" w:space="0" w:color="auto"/>
              <w:right w:val="single" w:sz="4" w:space="0" w:color="auto"/>
            </w:tcBorders>
            <w:shd w:val="clear" w:color="auto" w:fill="auto"/>
            <w:noWrap/>
            <w:vAlign w:val="center"/>
          </w:tcPr>
          <w:p w14:paraId="0328A5F0"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49728AA7"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4A3E17CA"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4B23792C"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166" w:type="pct"/>
            <w:tcBorders>
              <w:top w:val="nil"/>
              <w:left w:val="nil"/>
              <w:bottom w:val="single" w:sz="4" w:space="0" w:color="auto"/>
              <w:right w:val="single" w:sz="4" w:space="0" w:color="auto"/>
            </w:tcBorders>
            <w:shd w:val="clear" w:color="auto" w:fill="auto"/>
            <w:noWrap/>
            <w:vAlign w:val="center"/>
          </w:tcPr>
          <w:p w14:paraId="2AEC7031" w14:textId="77777777" w:rsidR="00B010E6" w:rsidRPr="001B4CA2" w:rsidRDefault="00B010E6" w:rsidP="00B010E6">
            <w:pPr>
              <w:jc w:val="center"/>
              <w:rPr>
                <w:rFonts w:ascii="Calibri" w:hAnsi="Calibri" w:cs="Calibri"/>
                <w:color w:val="000000"/>
                <w:sz w:val="20"/>
                <w:szCs w:val="20"/>
              </w:rPr>
            </w:pPr>
          </w:p>
        </w:tc>
        <w:tc>
          <w:tcPr>
            <w:tcW w:w="191" w:type="pct"/>
            <w:tcBorders>
              <w:top w:val="nil"/>
              <w:left w:val="nil"/>
              <w:bottom w:val="single" w:sz="4" w:space="0" w:color="auto"/>
              <w:right w:val="single" w:sz="4" w:space="0" w:color="auto"/>
            </w:tcBorders>
            <w:shd w:val="clear" w:color="auto" w:fill="auto"/>
            <w:noWrap/>
            <w:vAlign w:val="center"/>
          </w:tcPr>
          <w:p w14:paraId="4B98CE28"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4029C3E0" w14:textId="77777777" w:rsidR="00B010E6" w:rsidRPr="001B4CA2" w:rsidRDefault="00B010E6" w:rsidP="00B010E6">
            <w:pPr>
              <w:jc w:val="center"/>
              <w:rPr>
                <w:rFonts w:ascii="Calibri" w:hAnsi="Calibri" w:cs="Calibri"/>
                <w:sz w:val="18"/>
                <w:szCs w:val="18"/>
              </w:rPr>
            </w:pPr>
          </w:p>
        </w:tc>
        <w:tc>
          <w:tcPr>
            <w:tcW w:w="127" w:type="pct"/>
            <w:tcBorders>
              <w:top w:val="nil"/>
              <w:left w:val="nil"/>
              <w:bottom w:val="single" w:sz="4" w:space="0" w:color="auto"/>
              <w:right w:val="single" w:sz="4" w:space="0" w:color="auto"/>
            </w:tcBorders>
            <w:shd w:val="clear" w:color="auto" w:fill="auto"/>
            <w:noWrap/>
            <w:vAlign w:val="center"/>
          </w:tcPr>
          <w:p w14:paraId="1D4C3F12" w14:textId="77777777" w:rsidR="00B010E6" w:rsidRPr="001B4CA2" w:rsidRDefault="00B010E6" w:rsidP="00B010E6">
            <w:pPr>
              <w:jc w:val="center"/>
              <w:rPr>
                <w:rFonts w:ascii="Calibri" w:hAnsi="Calibri" w:cs="Calibri"/>
                <w:color w:val="000000"/>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111C4F16"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0612C5A7"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19355629"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2E37291B"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w:t>
            </w:r>
          </w:p>
        </w:tc>
        <w:tc>
          <w:tcPr>
            <w:tcW w:w="156" w:type="pct"/>
            <w:tcBorders>
              <w:top w:val="nil"/>
              <w:left w:val="nil"/>
              <w:bottom w:val="single" w:sz="4" w:space="0" w:color="auto"/>
              <w:right w:val="single" w:sz="4" w:space="0" w:color="auto"/>
            </w:tcBorders>
            <w:shd w:val="clear" w:color="auto" w:fill="auto"/>
            <w:noWrap/>
            <w:vAlign w:val="center"/>
          </w:tcPr>
          <w:p w14:paraId="1530ABDB" w14:textId="77777777" w:rsidR="00B010E6" w:rsidRPr="001B4CA2" w:rsidRDefault="00B010E6" w:rsidP="00B010E6">
            <w:pPr>
              <w:jc w:val="center"/>
              <w:rPr>
                <w:rFonts w:ascii="Calibri" w:hAnsi="Calibri" w:cs="Calibri"/>
                <w:bCs/>
                <w:color w:val="000000"/>
                <w:sz w:val="18"/>
                <w:szCs w:val="18"/>
              </w:rPr>
            </w:pPr>
          </w:p>
        </w:tc>
        <w:tc>
          <w:tcPr>
            <w:tcW w:w="186" w:type="pct"/>
            <w:tcBorders>
              <w:top w:val="single" w:sz="4" w:space="0" w:color="auto"/>
              <w:left w:val="nil"/>
              <w:bottom w:val="single" w:sz="4" w:space="0" w:color="auto"/>
              <w:right w:val="single" w:sz="4" w:space="0" w:color="auto"/>
            </w:tcBorders>
          </w:tcPr>
          <w:p w14:paraId="073DA922"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38E3625" w14:textId="77777777" w:rsidR="00B010E6" w:rsidRPr="001B4CA2" w:rsidRDefault="00B010E6" w:rsidP="00B010E6">
            <w:pPr>
              <w:jc w:val="center"/>
              <w:rPr>
                <w:rFonts w:ascii="Calibri" w:hAnsi="Calibri" w:cs="Calibri"/>
                <w:b/>
                <w:bCs/>
                <w:color w:val="000000"/>
                <w:sz w:val="18"/>
                <w:szCs w:val="18"/>
              </w:rPr>
            </w:pPr>
          </w:p>
        </w:tc>
      </w:tr>
      <w:tr w:rsidR="00BC6496" w:rsidRPr="001B4CA2" w14:paraId="60D5E7B6"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2238C591" w14:textId="77777777" w:rsidR="00B010E6" w:rsidRPr="001B4CA2" w:rsidRDefault="00B010E6" w:rsidP="00B010E6">
            <w:pPr>
              <w:jc w:val="left"/>
              <w:rPr>
                <w:bCs/>
                <w:sz w:val="14"/>
                <w:szCs w:val="16"/>
              </w:rPr>
            </w:pPr>
            <w:r w:rsidRPr="001B4CA2">
              <w:rPr>
                <w:bCs/>
                <w:sz w:val="14"/>
                <w:szCs w:val="16"/>
              </w:rPr>
              <w:t>Ministarstvo kulture i medija</w:t>
            </w:r>
          </w:p>
        </w:tc>
        <w:tc>
          <w:tcPr>
            <w:tcW w:w="201" w:type="pct"/>
            <w:tcBorders>
              <w:top w:val="nil"/>
              <w:left w:val="nil"/>
              <w:bottom w:val="single" w:sz="4" w:space="0" w:color="auto"/>
              <w:right w:val="single" w:sz="4" w:space="0" w:color="auto"/>
            </w:tcBorders>
            <w:shd w:val="clear" w:color="auto" w:fill="auto"/>
            <w:noWrap/>
            <w:vAlign w:val="center"/>
          </w:tcPr>
          <w:p w14:paraId="77000E22"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582B32F9"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0C4F67C8"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5D4D17A8"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7191641E"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166" w:type="pct"/>
            <w:tcBorders>
              <w:top w:val="nil"/>
              <w:left w:val="nil"/>
              <w:bottom w:val="single" w:sz="4" w:space="0" w:color="auto"/>
              <w:right w:val="single" w:sz="4" w:space="0" w:color="auto"/>
            </w:tcBorders>
            <w:shd w:val="clear" w:color="auto" w:fill="auto"/>
            <w:noWrap/>
            <w:vAlign w:val="center"/>
          </w:tcPr>
          <w:p w14:paraId="71BAB5CD" w14:textId="77777777" w:rsidR="00B010E6" w:rsidRPr="001B4CA2" w:rsidRDefault="00B010E6" w:rsidP="00B010E6">
            <w:pPr>
              <w:jc w:val="center"/>
              <w:rPr>
                <w:rFonts w:ascii="Calibri" w:hAnsi="Calibri" w:cs="Calibri"/>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center"/>
          </w:tcPr>
          <w:p w14:paraId="22DD70B0"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2438C31E"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30A20BB3" w14:textId="77777777" w:rsidR="00B010E6" w:rsidRPr="001B4CA2" w:rsidRDefault="00B010E6" w:rsidP="00B010E6">
            <w:pPr>
              <w:jc w:val="center"/>
              <w:rPr>
                <w:rFonts w:ascii="Calibri" w:hAnsi="Calibri" w:cs="Calibri"/>
                <w:color w:val="000000"/>
                <w:sz w:val="18"/>
                <w:szCs w:val="18"/>
              </w:rPr>
            </w:pPr>
          </w:p>
        </w:tc>
        <w:tc>
          <w:tcPr>
            <w:tcW w:w="133" w:type="pct"/>
            <w:tcBorders>
              <w:top w:val="nil"/>
              <w:left w:val="nil"/>
              <w:bottom w:val="single" w:sz="4" w:space="0" w:color="auto"/>
              <w:right w:val="single" w:sz="4" w:space="0" w:color="auto"/>
            </w:tcBorders>
            <w:shd w:val="clear" w:color="auto" w:fill="auto"/>
            <w:noWrap/>
            <w:vAlign w:val="center"/>
          </w:tcPr>
          <w:p w14:paraId="53A79589"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5F209BDC"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010820C4"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2FDDAA83" w14:textId="77777777" w:rsidR="00B010E6" w:rsidRPr="001B4CA2" w:rsidRDefault="00B010E6" w:rsidP="00B010E6">
            <w:pPr>
              <w:jc w:val="center"/>
              <w:rPr>
                <w:rFonts w:ascii="Calibri" w:hAnsi="Calibri" w:cs="Calibri"/>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14:paraId="65E33CFA" w14:textId="77777777" w:rsidR="00B010E6" w:rsidRPr="001B4CA2" w:rsidRDefault="00B010E6" w:rsidP="00B010E6">
            <w:pPr>
              <w:jc w:val="center"/>
              <w:rPr>
                <w:rFonts w:ascii="Calibri" w:hAnsi="Calibri" w:cs="Calibri"/>
                <w:color w:val="000000"/>
                <w:sz w:val="20"/>
                <w:szCs w:val="20"/>
              </w:rPr>
            </w:pPr>
          </w:p>
        </w:tc>
        <w:tc>
          <w:tcPr>
            <w:tcW w:w="191" w:type="pct"/>
            <w:tcBorders>
              <w:top w:val="nil"/>
              <w:left w:val="nil"/>
              <w:bottom w:val="single" w:sz="4" w:space="0" w:color="auto"/>
              <w:right w:val="single" w:sz="4" w:space="0" w:color="auto"/>
            </w:tcBorders>
            <w:shd w:val="clear" w:color="auto" w:fill="auto"/>
            <w:noWrap/>
            <w:vAlign w:val="center"/>
          </w:tcPr>
          <w:p w14:paraId="59A742E9"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00BEBF03" w14:textId="77777777" w:rsidR="00B010E6" w:rsidRPr="001B4CA2" w:rsidRDefault="00B010E6" w:rsidP="00B010E6">
            <w:pPr>
              <w:jc w:val="center"/>
              <w:rPr>
                <w:rFonts w:ascii="Calibri" w:hAnsi="Calibri" w:cs="Calibri"/>
                <w:sz w:val="18"/>
                <w:szCs w:val="18"/>
              </w:rPr>
            </w:pPr>
          </w:p>
        </w:tc>
        <w:tc>
          <w:tcPr>
            <w:tcW w:w="127" w:type="pct"/>
            <w:tcBorders>
              <w:top w:val="nil"/>
              <w:left w:val="nil"/>
              <w:bottom w:val="single" w:sz="4" w:space="0" w:color="auto"/>
              <w:right w:val="single" w:sz="4" w:space="0" w:color="auto"/>
            </w:tcBorders>
            <w:shd w:val="clear" w:color="auto" w:fill="auto"/>
            <w:noWrap/>
            <w:vAlign w:val="center"/>
          </w:tcPr>
          <w:p w14:paraId="30B28BD1" w14:textId="77777777" w:rsidR="00B010E6" w:rsidRPr="001B4CA2" w:rsidRDefault="00B010E6" w:rsidP="00B010E6">
            <w:pPr>
              <w:jc w:val="center"/>
              <w:rPr>
                <w:rFonts w:ascii="Calibri" w:hAnsi="Calibri" w:cs="Calibri"/>
                <w:color w:val="000000"/>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4CAA8D78"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460210F1"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5850D5B3"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3023204D"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w:t>
            </w:r>
          </w:p>
        </w:tc>
        <w:tc>
          <w:tcPr>
            <w:tcW w:w="156" w:type="pct"/>
            <w:tcBorders>
              <w:top w:val="nil"/>
              <w:left w:val="nil"/>
              <w:bottom w:val="single" w:sz="4" w:space="0" w:color="auto"/>
              <w:right w:val="single" w:sz="4" w:space="0" w:color="auto"/>
            </w:tcBorders>
            <w:shd w:val="clear" w:color="auto" w:fill="auto"/>
            <w:noWrap/>
            <w:vAlign w:val="center"/>
          </w:tcPr>
          <w:p w14:paraId="4E9AEF81" w14:textId="77777777" w:rsidR="00B010E6" w:rsidRPr="001B4CA2" w:rsidRDefault="00B010E6" w:rsidP="00B010E6">
            <w:pPr>
              <w:jc w:val="center"/>
              <w:rPr>
                <w:rFonts w:ascii="Calibri" w:hAnsi="Calibri" w:cs="Calibri"/>
                <w:bCs/>
                <w:color w:val="000000"/>
                <w:sz w:val="18"/>
                <w:szCs w:val="18"/>
              </w:rPr>
            </w:pPr>
          </w:p>
        </w:tc>
        <w:tc>
          <w:tcPr>
            <w:tcW w:w="186" w:type="pct"/>
            <w:tcBorders>
              <w:top w:val="single" w:sz="4" w:space="0" w:color="auto"/>
              <w:left w:val="nil"/>
              <w:bottom w:val="single" w:sz="4" w:space="0" w:color="auto"/>
              <w:right w:val="single" w:sz="4" w:space="0" w:color="auto"/>
            </w:tcBorders>
          </w:tcPr>
          <w:p w14:paraId="28E31749"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B0102D1" w14:textId="77777777" w:rsidR="00B010E6" w:rsidRPr="001B4CA2" w:rsidRDefault="00B010E6" w:rsidP="00B010E6">
            <w:pPr>
              <w:jc w:val="center"/>
              <w:rPr>
                <w:rFonts w:ascii="Calibri" w:hAnsi="Calibri" w:cs="Calibri"/>
                <w:b/>
                <w:bCs/>
                <w:color w:val="000000"/>
                <w:sz w:val="18"/>
                <w:szCs w:val="18"/>
              </w:rPr>
            </w:pPr>
          </w:p>
        </w:tc>
      </w:tr>
      <w:tr w:rsidR="00BC6496" w:rsidRPr="001B4CA2" w14:paraId="63CDFB91"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09271E84" w14:textId="77777777" w:rsidR="00B010E6" w:rsidRPr="001B4CA2" w:rsidRDefault="00B010E6" w:rsidP="00B010E6">
            <w:pPr>
              <w:jc w:val="left"/>
              <w:rPr>
                <w:bCs/>
                <w:sz w:val="14"/>
                <w:szCs w:val="16"/>
              </w:rPr>
            </w:pPr>
            <w:r w:rsidRPr="001B4CA2">
              <w:rPr>
                <w:bCs/>
                <w:sz w:val="14"/>
                <w:szCs w:val="16"/>
              </w:rPr>
              <w:t xml:space="preserve">Središnji državni ured za obnovu i stambeno zbrinjavanje </w:t>
            </w:r>
          </w:p>
        </w:tc>
        <w:tc>
          <w:tcPr>
            <w:tcW w:w="201" w:type="pct"/>
            <w:tcBorders>
              <w:top w:val="nil"/>
              <w:left w:val="nil"/>
              <w:bottom w:val="single" w:sz="4" w:space="0" w:color="auto"/>
              <w:right w:val="single" w:sz="4" w:space="0" w:color="auto"/>
            </w:tcBorders>
            <w:shd w:val="clear" w:color="auto" w:fill="auto"/>
            <w:noWrap/>
            <w:vAlign w:val="center"/>
          </w:tcPr>
          <w:p w14:paraId="3CCA68EC"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11</w:t>
            </w:r>
          </w:p>
        </w:tc>
        <w:tc>
          <w:tcPr>
            <w:tcW w:w="156" w:type="pct"/>
            <w:tcBorders>
              <w:top w:val="nil"/>
              <w:left w:val="nil"/>
              <w:bottom w:val="single" w:sz="4" w:space="0" w:color="auto"/>
              <w:right w:val="single" w:sz="4" w:space="0" w:color="auto"/>
            </w:tcBorders>
            <w:shd w:val="clear" w:color="auto" w:fill="auto"/>
            <w:noWrap/>
            <w:vAlign w:val="center"/>
          </w:tcPr>
          <w:p w14:paraId="3C27FDB3"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653C9F4E"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61B86706"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7A553C66"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275</w:t>
            </w:r>
          </w:p>
        </w:tc>
        <w:tc>
          <w:tcPr>
            <w:tcW w:w="166" w:type="pct"/>
            <w:tcBorders>
              <w:top w:val="nil"/>
              <w:left w:val="nil"/>
              <w:bottom w:val="single" w:sz="4" w:space="0" w:color="auto"/>
              <w:right w:val="single" w:sz="4" w:space="0" w:color="auto"/>
            </w:tcBorders>
            <w:shd w:val="clear" w:color="auto" w:fill="auto"/>
            <w:noWrap/>
            <w:vAlign w:val="center"/>
          </w:tcPr>
          <w:p w14:paraId="32FB127C"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222</w:t>
            </w:r>
          </w:p>
        </w:tc>
        <w:tc>
          <w:tcPr>
            <w:tcW w:w="201" w:type="pct"/>
            <w:tcBorders>
              <w:top w:val="nil"/>
              <w:left w:val="nil"/>
              <w:bottom w:val="single" w:sz="4" w:space="0" w:color="auto"/>
              <w:right w:val="single" w:sz="4" w:space="0" w:color="auto"/>
            </w:tcBorders>
            <w:shd w:val="clear" w:color="auto" w:fill="auto"/>
            <w:noWrap/>
            <w:vAlign w:val="center"/>
          </w:tcPr>
          <w:p w14:paraId="6500FB95"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71C0697A"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275</w:t>
            </w:r>
          </w:p>
        </w:tc>
        <w:tc>
          <w:tcPr>
            <w:tcW w:w="166" w:type="pct"/>
            <w:tcBorders>
              <w:top w:val="nil"/>
              <w:left w:val="nil"/>
              <w:bottom w:val="single" w:sz="4" w:space="0" w:color="auto"/>
              <w:right w:val="single" w:sz="4" w:space="0" w:color="auto"/>
            </w:tcBorders>
            <w:shd w:val="clear" w:color="auto" w:fill="auto"/>
            <w:noWrap/>
            <w:vAlign w:val="center"/>
          </w:tcPr>
          <w:p w14:paraId="7D9B722A"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2</w:t>
            </w:r>
          </w:p>
        </w:tc>
        <w:tc>
          <w:tcPr>
            <w:tcW w:w="133" w:type="pct"/>
            <w:tcBorders>
              <w:top w:val="nil"/>
              <w:left w:val="nil"/>
              <w:bottom w:val="single" w:sz="4" w:space="0" w:color="auto"/>
              <w:right w:val="single" w:sz="4" w:space="0" w:color="auto"/>
            </w:tcBorders>
            <w:shd w:val="clear" w:color="auto" w:fill="auto"/>
            <w:noWrap/>
            <w:vAlign w:val="center"/>
          </w:tcPr>
          <w:p w14:paraId="4F77B768"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3EC3FE40"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7FFDC58C"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45908611" w14:textId="77777777" w:rsidR="00B010E6" w:rsidRPr="001B4CA2" w:rsidRDefault="00B010E6" w:rsidP="00B010E6">
            <w:pPr>
              <w:jc w:val="center"/>
              <w:rPr>
                <w:rFonts w:ascii="Calibri" w:hAnsi="Calibri" w:cs="Calibri"/>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14:paraId="54741DE8" w14:textId="77777777" w:rsidR="00B010E6" w:rsidRPr="001B4CA2" w:rsidRDefault="00B010E6" w:rsidP="00B010E6">
            <w:pPr>
              <w:jc w:val="center"/>
              <w:rPr>
                <w:rFonts w:ascii="Calibri" w:hAnsi="Calibri" w:cs="Calibri"/>
                <w:color w:val="000000"/>
                <w:sz w:val="20"/>
                <w:szCs w:val="20"/>
              </w:rPr>
            </w:pPr>
          </w:p>
        </w:tc>
        <w:tc>
          <w:tcPr>
            <w:tcW w:w="191" w:type="pct"/>
            <w:tcBorders>
              <w:top w:val="nil"/>
              <w:left w:val="nil"/>
              <w:bottom w:val="single" w:sz="4" w:space="0" w:color="auto"/>
              <w:right w:val="single" w:sz="4" w:space="0" w:color="auto"/>
            </w:tcBorders>
            <w:shd w:val="clear" w:color="auto" w:fill="auto"/>
            <w:noWrap/>
            <w:vAlign w:val="center"/>
          </w:tcPr>
          <w:p w14:paraId="05AC1E0F"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3709D195" w14:textId="77777777" w:rsidR="00B010E6" w:rsidRPr="001B4CA2" w:rsidRDefault="00B010E6" w:rsidP="00B010E6">
            <w:pPr>
              <w:jc w:val="center"/>
              <w:rPr>
                <w:rFonts w:ascii="Calibri" w:hAnsi="Calibri" w:cs="Calibri"/>
                <w:sz w:val="18"/>
                <w:szCs w:val="18"/>
              </w:rPr>
            </w:pPr>
          </w:p>
        </w:tc>
        <w:tc>
          <w:tcPr>
            <w:tcW w:w="127" w:type="pct"/>
            <w:tcBorders>
              <w:top w:val="nil"/>
              <w:left w:val="nil"/>
              <w:bottom w:val="single" w:sz="4" w:space="0" w:color="auto"/>
              <w:right w:val="single" w:sz="4" w:space="0" w:color="auto"/>
            </w:tcBorders>
            <w:shd w:val="clear" w:color="auto" w:fill="auto"/>
            <w:noWrap/>
            <w:vAlign w:val="center"/>
          </w:tcPr>
          <w:p w14:paraId="0EBA1A72"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2</w:t>
            </w:r>
          </w:p>
        </w:tc>
        <w:tc>
          <w:tcPr>
            <w:tcW w:w="123" w:type="pct"/>
            <w:tcBorders>
              <w:top w:val="nil"/>
              <w:left w:val="nil"/>
              <w:bottom w:val="single" w:sz="4" w:space="0" w:color="auto"/>
              <w:right w:val="single" w:sz="4" w:space="0" w:color="auto"/>
            </w:tcBorders>
            <w:shd w:val="clear" w:color="auto" w:fill="auto"/>
            <w:noWrap/>
            <w:vAlign w:val="center"/>
          </w:tcPr>
          <w:p w14:paraId="14954EAD"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3EF7EC5C"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48335106"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73B83795"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290</w:t>
            </w:r>
          </w:p>
        </w:tc>
        <w:tc>
          <w:tcPr>
            <w:tcW w:w="156" w:type="pct"/>
            <w:tcBorders>
              <w:top w:val="nil"/>
              <w:left w:val="nil"/>
              <w:bottom w:val="single" w:sz="4" w:space="0" w:color="auto"/>
              <w:right w:val="single" w:sz="4" w:space="0" w:color="auto"/>
            </w:tcBorders>
            <w:shd w:val="clear" w:color="auto" w:fill="auto"/>
            <w:noWrap/>
            <w:vAlign w:val="center"/>
          </w:tcPr>
          <w:p w14:paraId="7D393840"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222</w:t>
            </w:r>
          </w:p>
        </w:tc>
        <w:tc>
          <w:tcPr>
            <w:tcW w:w="186" w:type="pct"/>
            <w:tcBorders>
              <w:top w:val="single" w:sz="4" w:space="0" w:color="auto"/>
              <w:left w:val="nil"/>
              <w:bottom w:val="single" w:sz="4" w:space="0" w:color="auto"/>
              <w:right w:val="single" w:sz="4" w:space="0" w:color="auto"/>
            </w:tcBorders>
          </w:tcPr>
          <w:p w14:paraId="172FE976"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41C113C" w14:textId="77777777" w:rsidR="00B010E6" w:rsidRPr="001B4CA2" w:rsidRDefault="00B010E6" w:rsidP="00B010E6">
            <w:pPr>
              <w:jc w:val="center"/>
              <w:rPr>
                <w:rFonts w:ascii="Calibri" w:hAnsi="Calibri" w:cs="Calibri"/>
                <w:b/>
                <w:bCs/>
                <w:color w:val="000000"/>
                <w:sz w:val="18"/>
                <w:szCs w:val="18"/>
              </w:rPr>
            </w:pPr>
            <w:r w:rsidRPr="001B4CA2">
              <w:rPr>
                <w:rFonts w:ascii="Calibri" w:hAnsi="Calibri" w:cs="Calibri"/>
                <w:b/>
                <w:bCs/>
                <w:color w:val="000000"/>
                <w:sz w:val="18"/>
                <w:szCs w:val="18"/>
              </w:rPr>
              <w:t>275</w:t>
            </w:r>
          </w:p>
        </w:tc>
      </w:tr>
      <w:tr w:rsidR="00BC6496" w:rsidRPr="001B4CA2" w14:paraId="4D18F412"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7038E288" w14:textId="77777777" w:rsidR="00B010E6" w:rsidRPr="001B4CA2" w:rsidRDefault="00B010E6" w:rsidP="00B010E6">
            <w:pPr>
              <w:jc w:val="left"/>
              <w:rPr>
                <w:bCs/>
                <w:sz w:val="14"/>
                <w:szCs w:val="16"/>
              </w:rPr>
            </w:pPr>
            <w:r w:rsidRPr="001B4CA2">
              <w:rPr>
                <w:bCs/>
                <w:sz w:val="14"/>
                <w:szCs w:val="16"/>
              </w:rPr>
              <w:t>Državne nekretnine d.o.o.</w:t>
            </w:r>
          </w:p>
        </w:tc>
        <w:tc>
          <w:tcPr>
            <w:tcW w:w="201" w:type="pct"/>
            <w:tcBorders>
              <w:top w:val="nil"/>
              <w:left w:val="nil"/>
              <w:bottom w:val="single" w:sz="4" w:space="0" w:color="auto"/>
              <w:right w:val="single" w:sz="4" w:space="0" w:color="auto"/>
            </w:tcBorders>
            <w:shd w:val="clear" w:color="auto" w:fill="auto"/>
            <w:noWrap/>
            <w:vAlign w:val="center"/>
          </w:tcPr>
          <w:p w14:paraId="51577B15"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3</w:t>
            </w:r>
          </w:p>
        </w:tc>
        <w:tc>
          <w:tcPr>
            <w:tcW w:w="156" w:type="pct"/>
            <w:tcBorders>
              <w:top w:val="nil"/>
              <w:left w:val="nil"/>
              <w:bottom w:val="single" w:sz="4" w:space="0" w:color="auto"/>
              <w:right w:val="single" w:sz="4" w:space="0" w:color="auto"/>
            </w:tcBorders>
            <w:shd w:val="clear" w:color="auto" w:fill="auto"/>
            <w:noWrap/>
            <w:vAlign w:val="center"/>
          </w:tcPr>
          <w:p w14:paraId="2419C240"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0B3DE121"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5FF2543A"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6E961979"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15</w:t>
            </w:r>
          </w:p>
        </w:tc>
        <w:tc>
          <w:tcPr>
            <w:tcW w:w="166" w:type="pct"/>
            <w:tcBorders>
              <w:top w:val="nil"/>
              <w:left w:val="nil"/>
              <w:bottom w:val="single" w:sz="4" w:space="0" w:color="auto"/>
              <w:right w:val="single" w:sz="4" w:space="0" w:color="auto"/>
            </w:tcBorders>
            <w:shd w:val="clear" w:color="auto" w:fill="auto"/>
            <w:noWrap/>
            <w:vAlign w:val="center"/>
          </w:tcPr>
          <w:p w14:paraId="0F5C2016" w14:textId="77777777" w:rsidR="00B010E6" w:rsidRPr="001B4CA2" w:rsidRDefault="00B010E6" w:rsidP="00B010E6">
            <w:pPr>
              <w:jc w:val="center"/>
              <w:rPr>
                <w:rFonts w:ascii="Calibri" w:hAnsi="Calibri" w:cs="Calibri"/>
                <w:color w:val="000000"/>
                <w:sz w:val="20"/>
                <w:szCs w:val="20"/>
              </w:rPr>
            </w:pPr>
          </w:p>
        </w:tc>
        <w:tc>
          <w:tcPr>
            <w:tcW w:w="201" w:type="pct"/>
            <w:tcBorders>
              <w:top w:val="nil"/>
              <w:left w:val="nil"/>
              <w:bottom w:val="single" w:sz="4" w:space="0" w:color="auto"/>
              <w:right w:val="single" w:sz="4" w:space="0" w:color="auto"/>
            </w:tcBorders>
            <w:shd w:val="clear" w:color="auto" w:fill="auto"/>
            <w:noWrap/>
            <w:vAlign w:val="center"/>
          </w:tcPr>
          <w:p w14:paraId="5C479979"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41D79A9D"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075342D8"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1</w:t>
            </w:r>
          </w:p>
        </w:tc>
        <w:tc>
          <w:tcPr>
            <w:tcW w:w="133" w:type="pct"/>
            <w:tcBorders>
              <w:top w:val="nil"/>
              <w:left w:val="nil"/>
              <w:bottom w:val="single" w:sz="4" w:space="0" w:color="auto"/>
              <w:right w:val="single" w:sz="4" w:space="0" w:color="auto"/>
            </w:tcBorders>
            <w:shd w:val="clear" w:color="auto" w:fill="auto"/>
            <w:noWrap/>
            <w:vAlign w:val="center"/>
          </w:tcPr>
          <w:p w14:paraId="203808BA"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20B37A26"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2061CE96"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633F0E9B" w14:textId="77777777" w:rsidR="00B010E6" w:rsidRPr="001B4CA2" w:rsidRDefault="00B010E6" w:rsidP="00B010E6">
            <w:pPr>
              <w:jc w:val="center"/>
              <w:rPr>
                <w:rFonts w:ascii="Calibri" w:hAnsi="Calibri" w:cs="Calibri"/>
                <w:color w:val="000000"/>
                <w:sz w:val="20"/>
                <w:szCs w:val="20"/>
              </w:rPr>
            </w:pPr>
          </w:p>
        </w:tc>
        <w:tc>
          <w:tcPr>
            <w:tcW w:w="166" w:type="pct"/>
            <w:tcBorders>
              <w:top w:val="nil"/>
              <w:left w:val="nil"/>
              <w:bottom w:val="single" w:sz="4" w:space="0" w:color="auto"/>
              <w:right w:val="single" w:sz="4" w:space="0" w:color="auto"/>
            </w:tcBorders>
            <w:shd w:val="clear" w:color="auto" w:fill="auto"/>
            <w:noWrap/>
            <w:vAlign w:val="center"/>
          </w:tcPr>
          <w:p w14:paraId="05204068" w14:textId="77777777" w:rsidR="00B010E6" w:rsidRPr="001B4CA2" w:rsidRDefault="00B010E6" w:rsidP="00B010E6">
            <w:pPr>
              <w:jc w:val="center"/>
              <w:rPr>
                <w:rFonts w:ascii="Calibri" w:hAnsi="Calibri" w:cs="Calibri"/>
                <w:color w:val="000000"/>
                <w:sz w:val="20"/>
                <w:szCs w:val="20"/>
              </w:rPr>
            </w:pPr>
          </w:p>
        </w:tc>
        <w:tc>
          <w:tcPr>
            <w:tcW w:w="191" w:type="pct"/>
            <w:tcBorders>
              <w:top w:val="nil"/>
              <w:left w:val="nil"/>
              <w:bottom w:val="single" w:sz="4" w:space="0" w:color="auto"/>
              <w:right w:val="single" w:sz="4" w:space="0" w:color="auto"/>
            </w:tcBorders>
            <w:shd w:val="clear" w:color="auto" w:fill="auto"/>
            <w:noWrap/>
            <w:vAlign w:val="center"/>
          </w:tcPr>
          <w:p w14:paraId="41537F11"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3B3E8C3D" w14:textId="77777777" w:rsidR="00B010E6" w:rsidRPr="001B4CA2" w:rsidRDefault="00B010E6" w:rsidP="00B010E6">
            <w:pPr>
              <w:jc w:val="center"/>
              <w:rPr>
                <w:rFonts w:ascii="Calibri" w:hAnsi="Calibri" w:cs="Calibri"/>
                <w:sz w:val="18"/>
                <w:szCs w:val="18"/>
              </w:rPr>
            </w:pPr>
          </w:p>
        </w:tc>
        <w:tc>
          <w:tcPr>
            <w:tcW w:w="127" w:type="pct"/>
            <w:tcBorders>
              <w:top w:val="nil"/>
              <w:left w:val="nil"/>
              <w:bottom w:val="single" w:sz="4" w:space="0" w:color="auto"/>
              <w:right w:val="single" w:sz="4" w:space="0" w:color="auto"/>
            </w:tcBorders>
            <w:shd w:val="clear" w:color="auto" w:fill="auto"/>
            <w:noWrap/>
            <w:vAlign w:val="center"/>
          </w:tcPr>
          <w:p w14:paraId="6996CA90" w14:textId="77777777" w:rsidR="00B010E6" w:rsidRPr="001B4CA2" w:rsidRDefault="00B010E6" w:rsidP="00B010E6">
            <w:pPr>
              <w:jc w:val="center"/>
              <w:rPr>
                <w:rFonts w:ascii="Calibri" w:hAnsi="Calibri" w:cs="Calibri"/>
                <w:color w:val="000000"/>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58E5DE50"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058E8167"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4706F3D5"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70C4FAAF"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19</w:t>
            </w:r>
          </w:p>
        </w:tc>
        <w:tc>
          <w:tcPr>
            <w:tcW w:w="156" w:type="pct"/>
            <w:tcBorders>
              <w:top w:val="nil"/>
              <w:left w:val="nil"/>
              <w:bottom w:val="single" w:sz="4" w:space="0" w:color="auto"/>
              <w:right w:val="single" w:sz="4" w:space="0" w:color="auto"/>
            </w:tcBorders>
            <w:shd w:val="clear" w:color="auto" w:fill="auto"/>
            <w:noWrap/>
            <w:vAlign w:val="center"/>
          </w:tcPr>
          <w:p w14:paraId="4FD1F047" w14:textId="77777777" w:rsidR="00B010E6" w:rsidRPr="001B4CA2" w:rsidRDefault="00B010E6" w:rsidP="00B010E6">
            <w:pPr>
              <w:jc w:val="center"/>
              <w:rPr>
                <w:rFonts w:ascii="Calibri" w:hAnsi="Calibri" w:cs="Calibri"/>
                <w:bCs/>
                <w:color w:val="000000"/>
                <w:sz w:val="18"/>
                <w:szCs w:val="18"/>
              </w:rPr>
            </w:pPr>
          </w:p>
        </w:tc>
        <w:tc>
          <w:tcPr>
            <w:tcW w:w="186" w:type="pct"/>
            <w:tcBorders>
              <w:top w:val="single" w:sz="4" w:space="0" w:color="auto"/>
              <w:left w:val="nil"/>
              <w:bottom w:val="single" w:sz="4" w:space="0" w:color="auto"/>
              <w:right w:val="single" w:sz="4" w:space="0" w:color="auto"/>
            </w:tcBorders>
          </w:tcPr>
          <w:p w14:paraId="43FBB26D"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9F8E940" w14:textId="77777777" w:rsidR="00B010E6" w:rsidRPr="001B4CA2" w:rsidRDefault="00B010E6" w:rsidP="00B010E6">
            <w:pPr>
              <w:jc w:val="center"/>
              <w:rPr>
                <w:rFonts w:ascii="Calibri" w:hAnsi="Calibri" w:cs="Calibri"/>
                <w:b/>
                <w:bCs/>
                <w:color w:val="000000"/>
                <w:sz w:val="18"/>
                <w:szCs w:val="18"/>
              </w:rPr>
            </w:pPr>
          </w:p>
        </w:tc>
      </w:tr>
      <w:tr w:rsidR="00BC6496" w:rsidRPr="001B4CA2" w14:paraId="3EC27BCF" w14:textId="77777777" w:rsidTr="00BC6496">
        <w:trPr>
          <w:cantSplit/>
          <w:trHeight w:val="279"/>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51583CBE" w14:textId="77777777" w:rsidR="00B010E6" w:rsidRPr="001B4CA2" w:rsidRDefault="00B010E6" w:rsidP="00B010E6">
            <w:pPr>
              <w:jc w:val="left"/>
              <w:rPr>
                <w:bCs/>
                <w:sz w:val="14"/>
                <w:szCs w:val="16"/>
              </w:rPr>
            </w:pPr>
            <w:r w:rsidRPr="001B4CA2">
              <w:rPr>
                <w:bCs/>
                <w:sz w:val="14"/>
                <w:szCs w:val="16"/>
              </w:rPr>
              <w:t xml:space="preserve">Ostali </w:t>
            </w:r>
          </w:p>
        </w:tc>
        <w:tc>
          <w:tcPr>
            <w:tcW w:w="201" w:type="pct"/>
            <w:tcBorders>
              <w:top w:val="nil"/>
              <w:left w:val="nil"/>
              <w:bottom w:val="single" w:sz="4" w:space="0" w:color="auto"/>
              <w:right w:val="single" w:sz="4" w:space="0" w:color="auto"/>
            </w:tcBorders>
            <w:shd w:val="clear" w:color="auto" w:fill="auto"/>
            <w:noWrap/>
            <w:vAlign w:val="center"/>
          </w:tcPr>
          <w:p w14:paraId="411F1592"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4</w:t>
            </w:r>
          </w:p>
        </w:tc>
        <w:tc>
          <w:tcPr>
            <w:tcW w:w="156" w:type="pct"/>
            <w:tcBorders>
              <w:top w:val="nil"/>
              <w:left w:val="nil"/>
              <w:bottom w:val="single" w:sz="4" w:space="0" w:color="auto"/>
              <w:right w:val="single" w:sz="4" w:space="0" w:color="auto"/>
            </w:tcBorders>
            <w:shd w:val="clear" w:color="auto" w:fill="auto"/>
            <w:noWrap/>
            <w:vAlign w:val="center"/>
          </w:tcPr>
          <w:p w14:paraId="608B65FE" w14:textId="77777777" w:rsidR="00B010E6" w:rsidRPr="001B4CA2" w:rsidRDefault="00B010E6" w:rsidP="00B010E6">
            <w:pPr>
              <w:jc w:val="center"/>
              <w:rPr>
                <w:rFonts w:ascii="Calibri" w:hAnsi="Calibri" w:cs="Calibri"/>
                <w:color w:val="000000"/>
                <w:sz w:val="18"/>
                <w:szCs w:val="18"/>
              </w:rPr>
            </w:pPr>
          </w:p>
        </w:tc>
        <w:tc>
          <w:tcPr>
            <w:tcW w:w="187" w:type="pct"/>
            <w:tcBorders>
              <w:top w:val="nil"/>
              <w:left w:val="nil"/>
              <w:bottom w:val="single" w:sz="4" w:space="0" w:color="auto"/>
              <w:right w:val="single" w:sz="4" w:space="0" w:color="auto"/>
            </w:tcBorders>
            <w:shd w:val="clear" w:color="auto" w:fill="auto"/>
            <w:noWrap/>
            <w:vAlign w:val="center"/>
          </w:tcPr>
          <w:p w14:paraId="5ED4A6F3" w14:textId="77777777" w:rsidR="00B010E6" w:rsidRPr="001B4CA2" w:rsidRDefault="00B010E6" w:rsidP="00B010E6">
            <w:pPr>
              <w:jc w:val="center"/>
              <w:rPr>
                <w:rFonts w:ascii="Calibri" w:hAnsi="Calibri" w:cs="Calibri"/>
                <w:color w:val="000000"/>
                <w:sz w:val="18"/>
                <w:szCs w:val="18"/>
              </w:rPr>
            </w:pPr>
          </w:p>
        </w:tc>
        <w:tc>
          <w:tcPr>
            <w:tcW w:w="229" w:type="pct"/>
            <w:tcBorders>
              <w:top w:val="nil"/>
              <w:left w:val="nil"/>
              <w:bottom w:val="single" w:sz="4" w:space="0" w:color="auto"/>
              <w:right w:val="single" w:sz="4" w:space="0" w:color="auto"/>
            </w:tcBorders>
            <w:shd w:val="clear" w:color="auto" w:fill="auto"/>
            <w:vAlign w:val="center"/>
          </w:tcPr>
          <w:p w14:paraId="1F15A4C7" w14:textId="77777777" w:rsidR="00B010E6" w:rsidRPr="001B4CA2" w:rsidRDefault="00B010E6" w:rsidP="00B010E6">
            <w:pPr>
              <w:jc w:val="center"/>
              <w:rPr>
                <w:rFonts w:ascii="Calibri" w:hAnsi="Calibri" w:cs="Calibri"/>
                <w:sz w:val="18"/>
                <w:szCs w:val="18"/>
              </w:rPr>
            </w:pPr>
          </w:p>
        </w:tc>
        <w:tc>
          <w:tcPr>
            <w:tcW w:w="166" w:type="pct"/>
            <w:tcBorders>
              <w:top w:val="nil"/>
              <w:left w:val="nil"/>
              <w:bottom w:val="single" w:sz="4" w:space="0" w:color="auto"/>
              <w:right w:val="single" w:sz="4" w:space="0" w:color="auto"/>
            </w:tcBorders>
            <w:shd w:val="clear" w:color="auto" w:fill="auto"/>
            <w:noWrap/>
            <w:vAlign w:val="center"/>
          </w:tcPr>
          <w:p w14:paraId="1C5F1A5F"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7</w:t>
            </w:r>
          </w:p>
        </w:tc>
        <w:tc>
          <w:tcPr>
            <w:tcW w:w="166" w:type="pct"/>
            <w:tcBorders>
              <w:top w:val="nil"/>
              <w:left w:val="nil"/>
              <w:bottom w:val="single" w:sz="4" w:space="0" w:color="auto"/>
              <w:right w:val="single" w:sz="4" w:space="0" w:color="auto"/>
            </w:tcBorders>
            <w:shd w:val="clear" w:color="auto" w:fill="auto"/>
            <w:noWrap/>
            <w:vAlign w:val="center"/>
          </w:tcPr>
          <w:p w14:paraId="07836B35"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1</w:t>
            </w:r>
          </w:p>
        </w:tc>
        <w:tc>
          <w:tcPr>
            <w:tcW w:w="201" w:type="pct"/>
            <w:tcBorders>
              <w:top w:val="nil"/>
              <w:left w:val="nil"/>
              <w:bottom w:val="single" w:sz="4" w:space="0" w:color="auto"/>
              <w:right w:val="single" w:sz="4" w:space="0" w:color="auto"/>
            </w:tcBorders>
            <w:shd w:val="clear" w:color="auto" w:fill="auto"/>
            <w:noWrap/>
            <w:vAlign w:val="center"/>
          </w:tcPr>
          <w:p w14:paraId="57B488AC" w14:textId="77777777" w:rsidR="00B010E6" w:rsidRPr="001B4CA2" w:rsidRDefault="00B010E6" w:rsidP="00B010E6">
            <w:pPr>
              <w:jc w:val="center"/>
              <w:rPr>
                <w:rFonts w:ascii="Calibri" w:hAnsi="Calibri" w:cs="Calibri"/>
                <w:color w:val="000000"/>
                <w:sz w:val="16"/>
                <w:szCs w:val="16"/>
              </w:rPr>
            </w:pPr>
          </w:p>
        </w:tc>
        <w:tc>
          <w:tcPr>
            <w:tcW w:w="156" w:type="pct"/>
            <w:tcBorders>
              <w:top w:val="nil"/>
              <w:left w:val="nil"/>
              <w:bottom w:val="single" w:sz="4" w:space="0" w:color="auto"/>
              <w:right w:val="single" w:sz="4" w:space="0" w:color="auto"/>
            </w:tcBorders>
            <w:shd w:val="clear" w:color="auto" w:fill="auto"/>
            <w:noWrap/>
            <w:vAlign w:val="center"/>
          </w:tcPr>
          <w:p w14:paraId="43EC2612"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9</w:t>
            </w:r>
          </w:p>
        </w:tc>
        <w:tc>
          <w:tcPr>
            <w:tcW w:w="166" w:type="pct"/>
            <w:tcBorders>
              <w:top w:val="nil"/>
              <w:left w:val="nil"/>
              <w:bottom w:val="single" w:sz="4" w:space="0" w:color="auto"/>
              <w:right w:val="single" w:sz="4" w:space="0" w:color="auto"/>
            </w:tcBorders>
            <w:shd w:val="clear" w:color="auto" w:fill="auto"/>
            <w:noWrap/>
            <w:vAlign w:val="center"/>
          </w:tcPr>
          <w:p w14:paraId="557D567B" w14:textId="77777777" w:rsidR="00B010E6" w:rsidRPr="001B4CA2" w:rsidRDefault="00B010E6" w:rsidP="00B010E6">
            <w:pPr>
              <w:jc w:val="center"/>
              <w:rPr>
                <w:rFonts w:ascii="Calibri" w:hAnsi="Calibri" w:cs="Calibri"/>
                <w:color w:val="000000"/>
                <w:sz w:val="18"/>
                <w:szCs w:val="18"/>
              </w:rPr>
            </w:pPr>
            <w:r w:rsidRPr="001B4CA2">
              <w:rPr>
                <w:rFonts w:ascii="Calibri" w:hAnsi="Calibri" w:cs="Calibri"/>
                <w:color w:val="000000"/>
                <w:sz w:val="18"/>
                <w:szCs w:val="18"/>
              </w:rPr>
              <w:t>9</w:t>
            </w:r>
          </w:p>
        </w:tc>
        <w:tc>
          <w:tcPr>
            <w:tcW w:w="133" w:type="pct"/>
            <w:tcBorders>
              <w:top w:val="nil"/>
              <w:left w:val="nil"/>
              <w:bottom w:val="single" w:sz="4" w:space="0" w:color="auto"/>
              <w:right w:val="single" w:sz="4" w:space="0" w:color="auto"/>
            </w:tcBorders>
            <w:shd w:val="clear" w:color="auto" w:fill="auto"/>
            <w:noWrap/>
            <w:vAlign w:val="center"/>
          </w:tcPr>
          <w:p w14:paraId="446B93A3" w14:textId="77777777" w:rsidR="00B010E6" w:rsidRPr="001B4CA2" w:rsidRDefault="00B010E6" w:rsidP="00B010E6">
            <w:pPr>
              <w:jc w:val="center"/>
              <w:rPr>
                <w:rFonts w:ascii="Calibri" w:hAnsi="Calibri" w:cs="Calibri"/>
                <w:color w:val="000000"/>
                <w:sz w:val="18"/>
                <w:szCs w:val="18"/>
              </w:rPr>
            </w:pPr>
          </w:p>
        </w:tc>
        <w:tc>
          <w:tcPr>
            <w:tcW w:w="156" w:type="pct"/>
            <w:tcBorders>
              <w:top w:val="nil"/>
              <w:left w:val="nil"/>
              <w:bottom w:val="single" w:sz="4" w:space="0" w:color="auto"/>
              <w:right w:val="single" w:sz="4" w:space="0" w:color="auto"/>
            </w:tcBorders>
            <w:shd w:val="clear" w:color="auto" w:fill="auto"/>
            <w:noWrap/>
            <w:vAlign w:val="center"/>
          </w:tcPr>
          <w:p w14:paraId="6E0B9DB8"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4EAE7CF3" w14:textId="77777777" w:rsidR="00B010E6" w:rsidRPr="001B4CA2" w:rsidRDefault="00B010E6" w:rsidP="00B010E6">
            <w:pPr>
              <w:jc w:val="center"/>
              <w:rPr>
                <w:rFonts w:ascii="Calibri" w:hAnsi="Calibri" w:cs="Calibri"/>
                <w:sz w:val="18"/>
                <w:szCs w:val="18"/>
              </w:rPr>
            </w:pPr>
          </w:p>
        </w:tc>
        <w:tc>
          <w:tcPr>
            <w:tcW w:w="215" w:type="pct"/>
            <w:tcBorders>
              <w:top w:val="nil"/>
              <w:left w:val="nil"/>
              <w:bottom w:val="single" w:sz="4" w:space="0" w:color="auto"/>
              <w:right w:val="single" w:sz="4" w:space="0" w:color="auto"/>
            </w:tcBorders>
            <w:shd w:val="clear" w:color="auto" w:fill="auto"/>
            <w:noWrap/>
            <w:vAlign w:val="center"/>
          </w:tcPr>
          <w:p w14:paraId="16FC5FB4"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9</w:t>
            </w:r>
          </w:p>
        </w:tc>
        <w:tc>
          <w:tcPr>
            <w:tcW w:w="166" w:type="pct"/>
            <w:tcBorders>
              <w:top w:val="nil"/>
              <w:left w:val="nil"/>
              <w:bottom w:val="single" w:sz="4" w:space="0" w:color="auto"/>
              <w:right w:val="single" w:sz="4" w:space="0" w:color="auto"/>
            </w:tcBorders>
            <w:shd w:val="clear" w:color="auto" w:fill="auto"/>
            <w:noWrap/>
            <w:vAlign w:val="center"/>
          </w:tcPr>
          <w:p w14:paraId="6AF045AB" w14:textId="77777777" w:rsidR="00B010E6" w:rsidRPr="001B4CA2" w:rsidRDefault="00B010E6" w:rsidP="00B010E6">
            <w:pPr>
              <w:jc w:val="center"/>
              <w:rPr>
                <w:rFonts w:ascii="Calibri" w:hAnsi="Calibri" w:cs="Calibri"/>
                <w:color w:val="000000"/>
                <w:sz w:val="20"/>
                <w:szCs w:val="20"/>
              </w:rPr>
            </w:pPr>
            <w:r w:rsidRPr="001B4CA2">
              <w:rPr>
                <w:rFonts w:ascii="Calibri" w:hAnsi="Calibri" w:cs="Calibri"/>
                <w:color w:val="000000"/>
                <w:sz w:val="20"/>
                <w:szCs w:val="20"/>
              </w:rPr>
              <w:t>2</w:t>
            </w:r>
          </w:p>
        </w:tc>
        <w:tc>
          <w:tcPr>
            <w:tcW w:w="191" w:type="pct"/>
            <w:tcBorders>
              <w:top w:val="nil"/>
              <w:left w:val="nil"/>
              <w:bottom w:val="single" w:sz="4" w:space="0" w:color="auto"/>
              <w:right w:val="single" w:sz="4" w:space="0" w:color="auto"/>
            </w:tcBorders>
            <w:shd w:val="clear" w:color="auto" w:fill="auto"/>
            <w:noWrap/>
            <w:vAlign w:val="center"/>
          </w:tcPr>
          <w:p w14:paraId="1EADA3B0"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066D6671" w14:textId="77777777" w:rsidR="00B010E6" w:rsidRPr="001B4CA2" w:rsidRDefault="00B010E6" w:rsidP="00B010E6">
            <w:pPr>
              <w:jc w:val="center"/>
              <w:rPr>
                <w:rFonts w:ascii="Calibri" w:hAnsi="Calibri" w:cs="Calibri"/>
                <w:sz w:val="18"/>
                <w:szCs w:val="18"/>
              </w:rPr>
            </w:pPr>
            <w:r w:rsidRPr="001B4CA2">
              <w:rPr>
                <w:rFonts w:ascii="Calibri" w:hAnsi="Calibri" w:cs="Calibri"/>
                <w:sz w:val="18"/>
                <w:szCs w:val="18"/>
              </w:rPr>
              <w:t>171</w:t>
            </w:r>
          </w:p>
        </w:tc>
        <w:tc>
          <w:tcPr>
            <w:tcW w:w="127" w:type="pct"/>
            <w:tcBorders>
              <w:top w:val="nil"/>
              <w:left w:val="nil"/>
              <w:bottom w:val="single" w:sz="4" w:space="0" w:color="auto"/>
              <w:right w:val="single" w:sz="4" w:space="0" w:color="auto"/>
            </w:tcBorders>
            <w:shd w:val="clear" w:color="auto" w:fill="auto"/>
            <w:noWrap/>
            <w:vAlign w:val="center"/>
          </w:tcPr>
          <w:p w14:paraId="2DFFA5D0" w14:textId="77777777" w:rsidR="00B010E6" w:rsidRPr="001B4CA2" w:rsidRDefault="00B010E6" w:rsidP="00B010E6">
            <w:pPr>
              <w:jc w:val="center"/>
              <w:rPr>
                <w:rFonts w:ascii="Calibri" w:hAnsi="Calibri" w:cs="Calibri"/>
                <w:color w:val="000000"/>
                <w:sz w:val="18"/>
                <w:szCs w:val="18"/>
              </w:rPr>
            </w:pPr>
          </w:p>
        </w:tc>
        <w:tc>
          <w:tcPr>
            <w:tcW w:w="123" w:type="pct"/>
            <w:tcBorders>
              <w:top w:val="nil"/>
              <w:left w:val="nil"/>
              <w:bottom w:val="single" w:sz="4" w:space="0" w:color="auto"/>
              <w:right w:val="single" w:sz="4" w:space="0" w:color="auto"/>
            </w:tcBorders>
            <w:shd w:val="clear" w:color="auto" w:fill="auto"/>
            <w:noWrap/>
            <w:vAlign w:val="center"/>
          </w:tcPr>
          <w:p w14:paraId="4388EF35" w14:textId="77777777" w:rsidR="00B010E6" w:rsidRPr="001B4CA2" w:rsidRDefault="00B010E6" w:rsidP="00B010E6">
            <w:pPr>
              <w:jc w:val="center"/>
              <w:rPr>
                <w:rFonts w:ascii="Calibri" w:hAnsi="Calibri" w:cs="Calibri"/>
                <w:color w:val="000000"/>
                <w:sz w:val="18"/>
                <w:szCs w:val="18"/>
              </w:rPr>
            </w:pPr>
          </w:p>
        </w:tc>
        <w:tc>
          <w:tcPr>
            <w:tcW w:w="175" w:type="pct"/>
            <w:tcBorders>
              <w:top w:val="nil"/>
              <w:left w:val="nil"/>
              <w:bottom w:val="single" w:sz="4" w:space="0" w:color="auto"/>
              <w:right w:val="single" w:sz="4" w:space="0" w:color="auto"/>
            </w:tcBorders>
            <w:shd w:val="clear" w:color="auto" w:fill="auto"/>
            <w:noWrap/>
            <w:vAlign w:val="center"/>
          </w:tcPr>
          <w:p w14:paraId="774DAB81" w14:textId="77777777" w:rsidR="00B010E6" w:rsidRPr="001B4CA2" w:rsidRDefault="00B010E6" w:rsidP="00B010E6">
            <w:pPr>
              <w:jc w:val="center"/>
              <w:rPr>
                <w:rFonts w:ascii="Calibri" w:hAnsi="Calibri" w:cs="Calibri"/>
                <w:color w:val="000000"/>
                <w:sz w:val="16"/>
                <w:szCs w:val="16"/>
              </w:rPr>
            </w:pPr>
          </w:p>
        </w:tc>
        <w:tc>
          <w:tcPr>
            <w:tcW w:w="127" w:type="pct"/>
            <w:tcBorders>
              <w:top w:val="nil"/>
              <w:left w:val="nil"/>
              <w:bottom w:val="single" w:sz="4" w:space="0" w:color="auto"/>
              <w:right w:val="single" w:sz="4" w:space="0" w:color="auto"/>
            </w:tcBorders>
            <w:shd w:val="clear" w:color="auto" w:fill="auto"/>
            <w:noWrap/>
            <w:vAlign w:val="center"/>
          </w:tcPr>
          <w:p w14:paraId="79B9593D" w14:textId="77777777" w:rsidR="00B010E6" w:rsidRPr="001B4CA2" w:rsidRDefault="00B010E6" w:rsidP="00B010E6">
            <w:pPr>
              <w:jc w:val="center"/>
              <w:rPr>
                <w:rFonts w:ascii="Calibri" w:hAnsi="Calibri" w:cs="Calibri"/>
                <w:color w:val="000000"/>
                <w:sz w:val="16"/>
                <w:szCs w:val="16"/>
              </w:rPr>
            </w:pPr>
          </w:p>
        </w:tc>
        <w:tc>
          <w:tcPr>
            <w:tcW w:w="200" w:type="pct"/>
            <w:tcBorders>
              <w:top w:val="nil"/>
              <w:left w:val="nil"/>
              <w:bottom w:val="single" w:sz="4" w:space="0" w:color="auto"/>
              <w:right w:val="single" w:sz="4" w:space="0" w:color="auto"/>
            </w:tcBorders>
            <w:shd w:val="clear" w:color="auto" w:fill="auto"/>
            <w:noWrap/>
            <w:vAlign w:val="center"/>
          </w:tcPr>
          <w:p w14:paraId="56A17038"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29</w:t>
            </w:r>
          </w:p>
        </w:tc>
        <w:tc>
          <w:tcPr>
            <w:tcW w:w="156" w:type="pct"/>
            <w:tcBorders>
              <w:top w:val="nil"/>
              <w:left w:val="nil"/>
              <w:bottom w:val="single" w:sz="4" w:space="0" w:color="auto"/>
              <w:right w:val="single" w:sz="4" w:space="0" w:color="auto"/>
            </w:tcBorders>
            <w:shd w:val="clear" w:color="auto" w:fill="auto"/>
            <w:noWrap/>
            <w:vAlign w:val="center"/>
          </w:tcPr>
          <w:p w14:paraId="0A5B0650" w14:textId="77777777" w:rsidR="00B010E6" w:rsidRPr="001B4CA2" w:rsidRDefault="00B010E6" w:rsidP="00B010E6">
            <w:pPr>
              <w:jc w:val="center"/>
              <w:rPr>
                <w:rFonts w:ascii="Calibri" w:hAnsi="Calibri" w:cs="Calibri"/>
                <w:bCs/>
                <w:color w:val="000000"/>
                <w:sz w:val="18"/>
                <w:szCs w:val="18"/>
              </w:rPr>
            </w:pPr>
            <w:r w:rsidRPr="001B4CA2">
              <w:rPr>
                <w:rFonts w:ascii="Calibri" w:hAnsi="Calibri" w:cs="Calibri"/>
                <w:bCs/>
                <w:color w:val="000000"/>
                <w:sz w:val="18"/>
                <w:szCs w:val="18"/>
              </w:rPr>
              <w:t>3</w:t>
            </w:r>
          </w:p>
        </w:tc>
        <w:tc>
          <w:tcPr>
            <w:tcW w:w="186" w:type="pct"/>
            <w:tcBorders>
              <w:top w:val="single" w:sz="4" w:space="0" w:color="auto"/>
              <w:left w:val="nil"/>
              <w:bottom w:val="single" w:sz="4" w:space="0" w:color="auto"/>
              <w:right w:val="single" w:sz="4" w:space="0" w:color="auto"/>
            </w:tcBorders>
          </w:tcPr>
          <w:p w14:paraId="610DE91A" w14:textId="77777777" w:rsidR="00B010E6" w:rsidRPr="001B4CA2" w:rsidRDefault="00B010E6" w:rsidP="00B010E6">
            <w:pPr>
              <w:jc w:val="center"/>
              <w:rPr>
                <w:rFonts w:ascii="Calibri" w:hAnsi="Calibri" w:cs="Calibri"/>
                <w:b/>
                <w:bCs/>
                <w:color w:val="000000"/>
                <w:sz w:val="16"/>
                <w:szCs w:val="16"/>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DB47391" w14:textId="77777777" w:rsidR="00B010E6" w:rsidRPr="001B4CA2" w:rsidRDefault="00B010E6" w:rsidP="00B010E6">
            <w:pPr>
              <w:jc w:val="center"/>
              <w:rPr>
                <w:rFonts w:ascii="Calibri" w:hAnsi="Calibri" w:cs="Calibri"/>
                <w:b/>
                <w:bCs/>
                <w:color w:val="000000"/>
                <w:sz w:val="18"/>
                <w:szCs w:val="18"/>
              </w:rPr>
            </w:pPr>
            <w:r w:rsidRPr="001B4CA2">
              <w:rPr>
                <w:rFonts w:ascii="Calibri" w:hAnsi="Calibri" w:cs="Calibri"/>
                <w:b/>
                <w:bCs/>
                <w:color w:val="000000"/>
                <w:sz w:val="18"/>
                <w:szCs w:val="18"/>
              </w:rPr>
              <w:t>180</w:t>
            </w:r>
          </w:p>
        </w:tc>
      </w:tr>
      <w:tr w:rsidR="00BC6496" w:rsidRPr="001B4CA2" w14:paraId="3FEF59FE" w14:textId="77777777" w:rsidTr="00BC6496">
        <w:trPr>
          <w:cantSplit/>
          <w:trHeight w:val="278"/>
          <w:jc w:val="center"/>
        </w:trPr>
        <w:tc>
          <w:tcPr>
            <w:tcW w:w="801" w:type="pct"/>
            <w:tcBorders>
              <w:top w:val="nil"/>
              <w:left w:val="single" w:sz="4" w:space="0" w:color="auto"/>
              <w:bottom w:val="single" w:sz="4" w:space="0" w:color="auto"/>
              <w:right w:val="single" w:sz="4" w:space="0" w:color="auto"/>
            </w:tcBorders>
            <w:shd w:val="clear" w:color="auto" w:fill="auto"/>
            <w:vAlign w:val="center"/>
            <w:hideMark/>
          </w:tcPr>
          <w:p w14:paraId="46149109" w14:textId="77777777" w:rsidR="00B010E6" w:rsidRPr="001B4CA2" w:rsidRDefault="00B010E6" w:rsidP="00B010E6">
            <w:pPr>
              <w:jc w:val="left"/>
              <w:rPr>
                <w:b/>
                <w:bCs/>
                <w:sz w:val="16"/>
                <w:szCs w:val="16"/>
              </w:rPr>
            </w:pPr>
            <w:r w:rsidRPr="001B4CA2">
              <w:rPr>
                <w:b/>
                <w:bCs/>
                <w:sz w:val="16"/>
                <w:szCs w:val="16"/>
              </w:rPr>
              <w:t>UKUPNO</w:t>
            </w:r>
          </w:p>
        </w:tc>
        <w:tc>
          <w:tcPr>
            <w:tcW w:w="201" w:type="pct"/>
            <w:tcBorders>
              <w:top w:val="nil"/>
              <w:left w:val="nil"/>
              <w:bottom w:val="single" w:sz="4" w:space="0" w:color="auto"/>
              <w:right w:val="single" w:sz="4" w:space="0" w:color="auto"/>
            </w:tcBorders>
            <w:shd w:val="clear" w:color="auto" w:fill="auto"/>
            <w:noWrap/>
            <w:vAlign w:val="center"/>
          </w:tcPr>
          <w:p w14:paraId="1E0CE222"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2.368</w:t>
            </w:r>
          </w:p>
        </w:tc>
        <w:tc>
          <w:tcPr>
            <w:tcW w:w="156" w:type="pct"/>
            <w:tcBorders>
              <w:top w:val="nil"/>
              <w:left w:val="nil"/>
              <w:bottom w:val="single" w:sz="4" w:space="0" w:color="auto"/>
              <w:right w:val="single" w:sz="4" w:space="0" w:color="auto"/>
            </w:tcBorders>
            <w:shd w:val="clear" w:color="auto" w:fill="auto"/>
            <w:noWrap/>
            <w:vAlign w:val="center"/>
          </w:tcPr>
          <w:p w14:paraId="6F4C0059"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560</w:t>
            </w:r>
          </w:p>
        </w:tc>
        <w:tc>
          <w:tcPr>
            <w:tcW w:w="187" w:type="pct"/>
            <w:tcBorders>
              <w:top w:val="nil"/>
              <w:left w:val="nil"/>
              <w:bottom w:val="single" w:sz="4" w:space="0" w:color="auto"/>
              <w:right w:val="single" w:sz="4" w:space="0" w:color="auto"/>
            </w:tcBorders>
            <w:shd w:val="clear" w:color="auto" w:fill="auto"/>
            <w:noWrap/>
            <w:vAlign w:val="center"/>
          </w:tcPr>
          <w:p w14:paraId="51B659E8"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24</w:t>
            </w:r>
          </w:p>
        </w:tc>
        <w:tc>
          <w:tcPr>
            <w:tcW w:w="229" w:type="pct"/>
            <w:tcBorders>
              <w:top w:val="nil"/>
              <w:left w:val="nil"/>
              <w:bottom w:val="single" w:sz="4" w:space="0" w:color="auto"/>
              <w:right w:val="single" w:sz="4" w:space="0" w:color="auto"/>
            </w:tcBorders>
            <w:shd w:val="clear" w:color="auto" w:fill="auto"/>
            <w:vAlign w:val="center"/>
          </w:tcPr>
          <w:p w14:paraId="5BA3F19F" w14:textId="77777777" w:rsidR="00B010E6" w:rsidRPr="00C4437D" w:rsidRDefault="00B010E6" w:rsidP="00B010E6">
            <w:pPr>
              <w:jc w:val="center"/>
              <w:rPr>
                <w:rFonts w:ascii="Calibri" w:hAnsi="Calibri" w:cs="Calibri"/>
                <w:b/>
                <w:sz w:val="18"/>
                <w:szCs w:val="18"/>
              </w:rPr>
            </w:pPr>
            <w:r w:rsidRPr="00C4437D">
              <w:rPr>
                <w:rFonts w:ascii="Calibri" w:hAnsi="Calibri" w:cs="Calibri"/>
                <w:b/>
                <w:sz w:val="18"/>
                <w:szCs w:val="18"/>
              </w:rPr>
              <w:t>19.336</w:t>
            </w:r>
          </w:p>
        </w:tc>
        <w:tc>
          <w:tcPr>
            <w:tcW w:w="166" w:type="pct"/>
            <w:tcBorders>
              <w:top w:val="nil"/>
              <w:left w:val="nil"/>
              <w:bottom w:val="single" w:sz="4" w:space="0" w:color="auto"/>
              <w:right w:val="single" w:sz="4" w:space="0" w:color="auto"/>
            </w:tcBorders>
            <w:shd w:val="clear" w:color="auto" w:fill="auto"/>
            <w:noWrap/>
            <w:vAlign w:val="center"/>
          </w:tcPr>
          <w:p w14:paraId="3B794085"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456</w:t>
            </w:r>
          </w:p>
        </w:tc>
        <w:tc>
          <w:tcPr>
            <w:tcW w:w="166" w:type="pct"/>
            <w:tcBorders>
              <w:top w:val="nil"/>
              <w:left w:val="nil"/>
              <w:bottom w:val="single" w:sz="4" w:space="0" w:color="auto"/>
              <w:right w:val="single" w:sz="4" w:space="0" w:color="auto"/>
            </w:tcBorders>
            <w:shd w:val="clear" w:color="auto" w:fill="auto"/>
            <w:noWrap/>
            <w:vAlign w:val="center"/>
          </w:tcPr>
          <w:p w14:paraId="35AD0D67"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257</w:t>
            </w:r>
          </w:p>
        </w:tc>
        <w:tc>
          <w:tcPr>
            <w:tcW w:w="201" w:type="pct"/>
            <w:tcBorders>
              <w:top w:val="nil"/>
              <w:left w:val="nil"/>
              <w:bottom w:val="single" w:sz="4" w:space="0" w:color="auto"/>
              <w:right w:val="single" w:sz="4" w:space="0" w:color="auto"/>
            </w:tcBorders>
            <w:shd w:val="clear" w:color="auto" w:fill="auto"/>
            <w:noWrap/>
            <w:vAlign w:val="center"/>
          </w:tcPr>
          <w:p w14:paraId="4AE7EF26"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56</w:t>
            </w:r>
          </w:p>
        </w:tc>
        <w:tc>
          <w:tcPr>
            <w:tcW w:w="156" w:type="pct"/>
            <w:tcBorders>
              <w:top w:val="nil"/>
              <w:left w:val="nil"/>
              <w:bottom w:val="single" w:sz="4" w:space="0" w:color="auto"/>
              <w:right w:val="single" w:sz="4" w:space="0" w:color="auto"/>
            </w:tcBorders>
            <w:shd w:val="clear" w:color="auto" w:fill="auto"/>
            <w:noWrap/>
            <w:vAlign w:val="center"/>
          </w:tcPr>
          <w:p w14:paraId="3ECE70A0" w14:textId="77777777" w:rsidR="00B010E6" w:rsidRPr="00C4437D" w:rsidRDefault="00B010E6" w:rsidP="00B010E6">
            <w:pPr>
              <w:jc w:val="center"/>
              <w:rPr>
                <w:rFonts w:ascii="Calibri" w:hAnsi="Calibri" w:cs="Calibri"/>
                <w:b/>
                <w:sz w:val="18"/>
                <w:szCs w:val="18"/>
              </w:rPr>
            </w:pPr>
            <w:r w:rsidRPr="00C4437D">
              <w:rPr>
                <w:rFonts w:ascii="Calibri" w:hAnsi="Calibri" w:cs="Calibri"/>
                <w:b/>
                <w:sz w:val="18"/>
                <w:szCs w:val="18"/>
              </w:rPr>
              <w:t>774</w:t>
            </w:r>
          </w:p>
        </w:tc>
        <w:tc>
          <w:tcPr>
            <w:tcW w:w="166" w:type="pct"/>
            <w:tcBorders>
              <w:top w:val="nil"/>
              <w:left w:val="nil"/>
              <w:bottom w:val="single" w:sz="4" w:space="0" w:color="auto"/>
              <w:right w:val="single" w:sz="4" w:space="0" w:color="auto"/>
            </w:tcBorders>
            <w:shd w:val="clear" w:color="auto" w:fill="auto"/>
            <w:noWrap/>
            <w:vAlign w:val="center"/>
          </w:tcPr>
          <w:p w14:paraId="10C39294"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619</w:t>
            </w:r>
          </w:p>
        </w:tc>
        <w:tc>
          <w:tcPr>
            <w:tcW w:w="133" w:type="pct"/>
            <w:tcBorders>
              <w:top w:val="nil"/>
              <w:left w:val="nil"/>
              <w:bottom w:val="single" w:sz="4" w:space="0" w:color="auto"/>
              <w:right w:val="single" w:sz="4" w:space="0" w:color="auto"/>
            </w:tcBorders>
            <w:shd w:val="clear" w:color="auto" w:fill="auto"/>
            <w:noWrap/>
            <w:vAlign w:val="center"/>
          </w:tcPr>
          <w:p w14:paraId="39DAF32F"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32</w:t>
            </w:r>
          </w:p>
        </w:tc>
        <w:tc>
          <w:tcPr>
            <w:tcW w:w="156" w:type="pct"/>
            <w:tcBorders>
              <w:top w:val="nil"/>
              <w:left w:val="nil"/>
              <w:bottom w:val="single" w:sz="4" w:space="0" w:color="auto"/>
              <w:right w:val="single" w:sz="4" w:space="0" w:color="auto"/>
            </w:tcBorders>
            <w:shd w:val="clear" w:color="auto" w:fill="auto"/>
            <w:noWrap/>
            <w:vAlign w:val="center"/>
          </w:tcPr>
          <w:p w14:paraId="1FB02D7D"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5</w:t>
            </w:r>
          </w:p>
        </w:tc>
        <w:tc>
          <w:tcPr>
            <w:tcW w:w="200" w:type="pct"/>
            <w:tcBorders>
              <w:top w:val="nil"/>
              <w:left w:val="nil"/>
              <w:bottom w:val="single" w:sz="4" w:space="0" w:color="auto"/>
              <w:right w:val="single" w:sz="4" w:space="0" w:color="auto"/>
            </w:tcBorders>
            <w:shd w:val="clear" w:color="auto" w:fill="auto"/>
            <w:noWrap/>
            <w:vAlign w:val="center"/>
          </w:tcPr>
          <w:p w14:paraId="44CDDEF7" w14:textId="77777777" w:rsidR="00B010E6" w:rsidRPr="00C4437D" w:rsidRDefault="00B010E6" w:rsidP="00B010E6">
            <w:pPr>
              <w:jc w:val="center"/>
              <w:rPr>
                <w:rFonts w:ascii="Calibri" w:hAnsi="Calibri" w:cs="Calibri"/>
                <w:b/>
                <w:sz w:val="18"/>
                <w:szCs w:val="18"/>
              </w:rPr>
            </w:pPr>
            <w:r w:rsidRPr="00C4437D">
              <w:rPr>
                <w:rFonts w:ascii="Calibri" w:hAnsi="Calibri" w:cs="Calibri"/>
                <w:b/>
                <w:sz w:val="18"/>
                <w:szCs w:val="18"/>
              </w:rPr>
              <w:t>2.805</w:t>
            </w:r>
          </w:p>
        </w:tc>
        <w:tc>
          <w:tcPr>
            <w:tcW w:w="215" w:type="pct"/>
            <w:tcBorders>
              <w:top w:val="nil"/>
              <w:left w:val="nil"/>
              <w:bottom w:val="single" w:sz="4" w:space="0" w:color="auto"/>
              <w:right w:val="single" w:sz="4" w:space="0" w:color="auto"/>
            </w:tcBorders>
            <w:shd w:val="clear" w:color="auto" w:fill="auto"/>
            <w:noWrap/>
            <w:vAlign w:val="center"/>
          </w:tcPr>
          <w:p w14:paraId="28EF794E"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1.128</w:t>
            </w:r>
          </w:p>
        </w:tc>
        <w:tc>
          <w:tcPr>
            <w:tcW w:w="166" w:type="pct"/>
            <w:tcBorders>
              <w:top w:val="nil"/>
              <w:left w:val="nil"/>
              <w:bottom w:val="single" w:sz="4" w:space="0" w:color="auto"/>
              <w:right w:val="single" w:sz="4" w:space="0" w:color="auto"/>
            </w:tcBorders>
            <w:shd w:val="clear" w:color="auto" w:fill="auto"/>
            <w:noWrap/>
            <w:vAlign w:val="center"/>
          </w:tcPr>
          <w:p w14:paraId="060D7B6F"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125</w:t>
            </w:r>
          </w:p>
        </w:tc>
        <w:tc>
          <w:tcPr>
            <w:tcW w:w="191" w:type="pct"/>
            <w:tcBorders>
              <w:top w:val="nil"/>
              <w:left w:val="nil"/>
              <w:bottom w:val="single" w:sz="4" w:space="0" w:color="auto"/>
              <w:right w:val="single" w:sz="4" w:space="0" w:color="auto"/>
            </w:tcBorders>
            <w:shd w:val="clear" w:color="auto" w:fill="auto"/>
            <w:noWrap/>
            <w:vAlign w:val="center"/>
          </w:tcPr>
          <w:p w14:paraId="4E44F97C"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11</w:t>
            </w:r>
          </w:p>
        </w:tc>
        <w:tc>
          <w:tcPr>
            <w:tcW w:w="200" w:type="pct"/>
            <w:tcBorders>
              <w:top w:val="nil"/>
              <w:left w:val="nil"/>
              <w:bottom w:val="single" w:sz="4" w:space="0" w:color="auto"/>
              <w:right w:val="single" w:sz="4" w:space="0" w:color="auto"/>
            </w:tcBorders>
            <w:shd w:val="clear" w:color="auto" w:fill="auto"/>
            <w:noWrap/>
            <w:vAlign w:val="center"/>
          </w:tcPr>
          <w:p w14:paraId="4723F1AC" w14:textId="77777777" w:rsidR="00B010E6" w:rsidRPr="00C4437D" w:rsidRDefault="00B010E6" w:rsidP="00B010E6">
            <w:pPr>
              <w:jc w:val="center"/>
              <w:rPr>
                <w:rFonts w:ascii="Calibri" w:hAnsi="Calibri" w:cs="Calibri"/>
                <w:b/>
                <w:sz w:val="18"/>
                <w:szCs w:val="18"/>
              </w:rPr>
            </w:pPr>
            <w:r w:rsidRPr="00C4437D">
              <w:rPr>
                <w:rFonts w:ascii="Calibri" w:hAnsi="Calibri" w:cs="Calibri"/>
                <w:b/>
                <w:sz w:val="18"/>
                <w:szCs w:val="18"/>
              </w:rPr>
              <w:t>3.487</w:t>
            </w:r>
          </w:p>
        </w:tc>
        <w:tc>
          <w:tcPr>
            <w:tcW w:w="127" w:type="pct"/>
            <w:tcBorders>
              <w:top w:val="nil"/>
              <w:left w:val="nil"/>
              <w:bottom w:val="single" w:sz="4" w:space="0" w:color="auto"/>
              <w:right w:val="single" w:sz="4" w:space="0" w:color="auto"/>
            </w:tcBorders>
            <w:shd w:val="clear" w:color="auto" w:fill="auto"/>
            <w:noWrap/>
            <w:vAlign w:val="center"/>
          </w:tcPr>
          <w:p w14:paraId="48FB3557"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65</w:t>
            </w:r>
          </w:p>
        </w:tc>
        <w:tc>
          <w:tcPr>
            <w:tcW w:w="123" w:type="pct"/>
            <w:tcBorders>
              <w:top w:val="nil"/>
              <w:left w:val="nil"/>
              <w:bottom w:val="single" w:sz="4" w:space="0" w:color="auto"/>
              <w:right w:val="single" w:sz="4" w:space="0" w:color="auto"/>
            </w:tcBorders>
            <w:shd w:val="clear" w:color="auto" w:fill="auto"/>
            <w:noWrap/>
            <w:vAlign w:val="center"/>
          </w:tcPr>
          <w:p w14:paraId="683A2CFC"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5</w:t>
            </w:r>
          </w:p>
        </w:tc>
        <w:tc>
          <w:tcPr>
            <w:tcW w:w="175" w:type="pct"/>
            <w:tcBorders>
              <w:top w:val="nil"/>
              <w:left w:val="nil"/>
              <w:bottom w:val="single" w:sz="4" w:space="0" w:color="auto"/>
              <w:right w:val="single" w:sz="4" w:space="0" w:color="auto"/>
            </w:tcBorders>
            <w:shd w:val="clear" w:color="auto" w:fill="auto"/>
            <w:noWrap/>
            <w:vAlign w:val="center"/>
          </w:tcPr>
          <w:p w14:paraId="1ADCAC58"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8</w:t>
            </w:r>
          </w:p>
        </w:tc>
        <w:tc>
          <w:tcPr>
            <w:tcW w:w="127" w:type="pct"/>
            <w:tcBorders>
              <w:top w:val="nil"/>
              <w:left w:val="nil"/>
              <w:bottom w:val="single" w:sz="4" w:space="0" w:color="auto"/>
              <w:right w:val="single" w:sz="4" w:space="0" w:color="auto"/>
            </w:tcBorders>
            <w:shd w:val="clear" w:color="auto" w:fill="auto"/>
            <w:noWrap/>
            <w:vAlign w:val="center"/>
          </w:tcPr>
          <w:p w14:paraId="1ECC7BEB"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61</w:t>
            </w:r>
          </w:p>
        </w:tc>
        <w:tc>
          <w:tcPr>
            <w:tcW w:w="200" w:type="pct"/>
            <w:tcBorders>
              <w:top w:val="nil"/>
              <w:left w:val="nil"/>
              <w:bottom w:val="single" w:sz="4" w:space="0" w:color="auto"/>
              <w:right w:val="single" w:sz="4" w:space="0" w:color="auto"/>
            </w:tcBorders>
            <w:shd w:val="clear" w:color="auto" w:fill="auto"/>
            <w:noWrap/>
            <w:vAlign w:val="center"/>
          </w:tcPr>
          <w:p w14:paraId="25BAB8F2"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4.636</w:t>
            </w:r>
          </w:p>
        </w:tc>
        <w:tc>
          <w:tcPr>
            <w:tcW w:w="156" w:type="pct"/>
            <w:tcBorders>
              <w:top w:val="nil"/>
              <w:left w:val="nil"/>
              <w:bottom w:val="single" w:sz="4" w:space="0" w:color="auto"/>
              <w:right w:val="single" w:sz="4" w:space="0" w:color="auto"/>
            </w:tcBorders>
            <w:shd w:val="clear" w:color="auto" w:fill="auto"/>
            <w:noWrap/>
            <w:vAlign w:val="center"/>
          </w:tcPr>
          <w:p w14:paraId="0755D5D6"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979</w:t>
            </w:r>
          </w:p>
        </w:tc>
        <w:tc>
          <w:tcPr>
            <w:tcW w:w="186" w:type="pct"/>
            <w:tcBorders>
              <w:top w:val="single" w:sz="4" w:space="0" w:color="auto"/>
              <w:left w:val="nil"/>
              <w:bottom w:val="single" w:sz="4" w:space="0" w:color="auto"/>
              <w:right w:val="single" w:sz="4" w:space="0" w:color="auto"/>
            </w:tcBorders>
            <w:vAlign w:val="center"/>
          </w:tcPr>
          <w:p w14:paraId="02F935E2"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21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D94C8FD" w14:textId="77777777" w:rsidR="00B010E6" w:rsidRPr="00C4437D" w:rsidRDefault="00B010E6" w:rsidP="00B010E6">
            <w:pPr>
              <w:jc w:val="center"/>
              <w:rPr>
                <w:rFonts w:ascii="Calibri" w:hAnsi="Calibri" w:cs="Calibri"/>
                <w:b/>
                <w:bCs/>
                <w:color w:val="000000"/>
                <w:sz w:val="18"/>
                <w:szCs w:val="18"/>
              </w:rPr>
            </w:pPr>
            <w:r w:rsidRPr="00C4437D">
              <w:rPr>
                <w:rFonts w:ascii="Calibri" w:hAnsi="Calibri" w:cs="Calibri"/>
                <w:b/>
                <w:bCs/>
                <w:color w:val="000000"/>
                <w:sz w:val="18"/>
                <w:szCs w:val="18"/>
              </w:rPr>
              <w:t>26.463</w:t>
            </w:r>
          </w:p>
        </w:tc>
      </w:tr>
    </w:tbl>
    <w:p w14:paraId="0111A34F" w14:textId="77777777" w:rsidR="007A0D62" w:rsidRPr="001B4CA2" w:rsidRDefault="007A0D62" w:rsidP="006806D3"/>
    <w:p w14:paraId="4427E260" w14:textId="77777777" w:rsidR="00384838" w:rsidRPr="001B4CA2" w:rsidRDefault="00384838" w:rsidP="006806D3">
      <w:pPr>
        <w:sectPr w:rsidR="00384838" w:rsidRPr="001B4CA2" w:rsidSect="00B36A94">
          <w:pgSz w:w="16838" w:h="11906" w:orient="landscape"/>
          <w:pgMar w:top="1417" w:right="1417" w:bottom="0" w:left="1417" w:header="709" w:footer="709" w:gutter="0"/>
          <w:cols w:space="708"/>
          <w:docGrid w:linePitch="360"/>
        </w:sectPr>
      </w:pPr>
    </w:p>
    <w:p w14:paraId="00FA0881" w14:textId="4314CD70" w:rsidR="00B010E6" w:rsidRPr="001B4CA2" w:rsidRDefault="00B010E6" w:rsidP="00B010E6">
      <w:pPr>
        <w:ind w:firstLine="708"/>
        <w:rPr>
          <w:rFonts w:eastAsiaTheme="majorEastAsia"/>
          <w:bCs/>
          <w:szCs w:val="26"/>
        </w:rPr>
      </w:pPr>
      <w:r w:rsidRPr="001B4CA2">
        <w:lastRenderedPageBreak/>
        <w:t>Najveći broj nagodbi po zahtjevima drugih osoba sklopljen je u zastupanju Ministarstva poljoprivrede (36</w:t>
      </w:r>
      <w:r w:rsidR="00343018">
        <w:t> </w:t>
      </w:r>
      <w:r w:rsidRPr="001B4CA2">
        <w:t xml:space="preserve">%), </w:t>
      </w:r>
      <w:r w:rsidRPr="001B4CA2">
        <w:rPr>
          <w:rFonts w:eastAsiaTheme="majorEastAsia"/>
          <w:bCs/>
          <w:szCs w:val="26"/>
        </w:rPr>
        <w:t>a pretežno se radi o zahtjevima za utvrđenje prava vlasništva na poljoprivrednom zemljištu. Posljedično tome je i vrijednost ovih nagodbi najveća.</w:t>
      </w:r>
    </w:p>
    <w:p w14:paraId="1324F955" w14:textId="77777777" w:rsidR="00B010E6" w:rsidRPr="001B4CA2" w:rsidRDefault="00B010E6" w:rsidP="00B010E6">
      <w:pPr>
        <w:rPr>
          <w:rFonts w:eastAsiaTheme="majorEastAsia"/>
          <w:bCs/>
          <w:szCs w:val="26"/>
        </w:rPr>
      </w:pPr>
    </w:p>
    <w:p w14:paraId="0C7DFBC3" w14:textId="6C807666" w:rsidR="00B010E6" w:rsidRPr="001B4CA2" w:rsidRDefault="00B010E6" w:rsidP="00B010E6">
      <w:pPr>
        <w:ind w:firstLine="708"/>
        <w:rPr>
          <w:rFonts w:eastAsia="Arial"/>
        </w:rPr>
      </w:pPr>
      <w:r w:rsidRPr="001B4CA2">
        <w:t xml:space="preserve">Zatim slijede nagodbe </w:t>
      </w:r>
      <w:r w:rsidR="009E6D91" w:rsidRPr="001B4CA2">
        <w:t xml:space="preserve">koje su </w:t>
      </w:r>
      <w:r w:rsidRPr="001B4CA2">
        <w:t>sklopljene u zastupanju Središnjeg državnog ureda za obnovu i stambeno zbrinjavanje</w:t>
      </w:r>
      <w:r w:rsidR="00343018">
        <w:t>,</w:t>
      </w:r>
      <w:r w:rsidRPr="001B4CA2">
        <w:t xml:space="preserve"> </w:t>
      </w:r>
      <w:r w:rsidR="009E6D91" w:rsidRPr="001B4CA2">
        <w:t>i to</w:t>
      </w:r>
      <w:r w:rsidR="001B4CA2">
        <w:t xml:space="preserve"> </w:t>
      </w:r>
      <w:r w:rsidRPr="001B4CA2">
        <w:t>22</w:t>
      </w:r>
      <w:r w:rsidR="00343018">
        <w:t> </w:t>
      </w:r>
      <w:r w:rsidRPr="001B4CA2">
        <w:t>%. N</w:t>
      </w:r>
      <w:r w:rsidRPr="001B4CA2">
        <w:rPr>
          <w:rFonts w:eastAsia="Arial"/>
        </w:rPr>
        <w:t>ajveći broj ovih nagodbi odnosi</w:t>
      </w:r>
      <w:r w:rsidR="009E6D91" w:rsidRPr="001B4CA2">
        <w:rPr>
          <w:rFonts w:eastAsia="Arial"/>
        </w:rPr>
        <w:t xml:space="preserve">o </w:t>
      </w:r>
      <w:r w:rsidRPr="001B4CA2">
        <w:rPr>
          <w:rFonts w:eastAsia="Arial"/>
        </w:rPr>
        <w:t xml:space="preserve">se na </w:t>
      </w:r>
      <w:proofErr w:type="spellStart"/>
      <w:r w:rsidRPr="001B4CA2">
        <w:rPr>
          <w:rFonts w:eastAsia="Arial"/>
        </w:rPr>
        <w:t>obveznopravne</w:t>
      </w:r>
      <w:proofErr w:type="spellEnd"/>
      <w:r w:rsidRPr="001B4CA2">
        <w:rPr>
          <w:rFonts w:eastAsia="Arial"/>
        </w:rPr>
        <w:t xml:space="preserve"> sporove male vrijednosti pa je i ukupna vrijednost sklopljenih nagodbi relativno niska.</w:t>
      </w:r>
    </w:p>
    <w:p w14:paraId="58302A90" w14:textId="77777777" w:rsidR="00B010E6" w:rsidRPr="001B4CA2" w:rsidRDefault="00B010E6" w:rsidP="00B010E6"/>
    <w:p w14:paraId="4ADDB9C8" w14:textId="60BD9D9C" w:rsidR="00B010E6" w:rsidRPr="001B4CA2" w:rsidRDefault="00B010E6" w:rsidP="00B010E6">
      <w:pPr>
        <w:ind w:firstLine="708"/>
      </w:pPr>
      <w:r w:rsidRPr="001B4CA2">
        <w:t>Ministarstvo prostornoga uređenja, graditeljstva i državne imovine participira</w:t>
      </w:r>
      <w:r w:rsidR="009E6D91" w:rsidRPr="001B4CA2">
        <w:t>lo je</w:t>
      </w:r>
      <w:r w:rsidRPr="001B4CA2">
        <w:t xml:space="preserve"> u ukupnom broju ovih nagodbi s 21</w:t>
      </w:r>
      <w:r w:rsidR="00343018">
        <w:t> </w:t>
      </w:r>
      <w:r w:rsidRPr="001B4CA2">
        <w:t xml:space="preserve">%, </w:t>
      </w:r>
      <w:r w:rsidR="009E6D91" w:rsidRPr="001B4CA2">
        <w:t xml:space="preserve">a </w:t>
      </w:r>
      <w:r w:rsidRPr="001B4CA2">
        <w:t xml:space="preserve">koje </w:t>
      </w:r>
      <w:r w:rsidR="009E6D91" w:rsidRPr="001B4CA2">
        <w:t xml:space="preserve">su </w:t>
      </w:r>
      <w:r w:rsidRPr="001B4CA2">
        <w:t xml:space="preserve">se </w:t>
      </w:r>
      <w:r w:rsidR="00343018" w:rsidRPr="001B4CA2">
        <w:t xml:space="preserve">nagodbe </w:t>
      </w:r>
      <w:r w:rsidRPr="001B4CA2">
        <w:t>najvećim dijelom odnos</w:t>
      </w:r>
      <w:r w:rsidR="009E6D91" w:rsidRPr="001B4CA2">
        <w:t xml:space="preserve">ile </w:t>
      </w:r>
      <w:r w:rsidRPr="001B4CA2">
        <w:t xml:space="preserve">na </w:t>
      </w:r>
      <w:proofErr w:type="spellStart"/>
      <w:r w:rsidRPr="001B4CA2">
        <w:t>stvarnopravne</w:t>
      </w:r>
      <w:proofErr w:type="spellEnd"/>
      <w:r w:rsidRPr="001B4CA2">
        <w:t xml:space="preserve"> sporove.</w:t>
      </w:r>
    </w:p>
    <w:p w14:paraId="372CF92F" w14:textId="77777777" w:rsidR="00B010E6" w:rsidRPr="001B4CA2" w:rsidRDefault="00B010E6" w:rsidP="00B010E6">
      <w:pPr>
        <w:ind w:firstLine="708"/>
      </w:pPr>
    </w:p>
    <w:p w14:paraId="53605D82" w14:textId="3812A108" w:rsidR="00B010E6" w:rsidRPr="001B4CA2" w:rsidRDefault="00B010E6" w:rsidP="00B010E6">
      <w:pPr>
        <w:ind w:firstLine="708"/>
      </w:pPr>
      <w:r w:rsidRPr="001B4CA2">
        <w:t xml:space="preserve"> Ministarstvo unutarnjih poslova participira</w:t>
      </w:r>
      <w:r w:rsidR="009E6D91" w:rsidRPr="001B4CA2">
        <w:t>lo je</w:t>
      </w:r>
      <w:r w:rsidRPr="001B4CA2">
        <w:t xml:space="preserve"> u ukupnom broju ovih nagodbi s 13</w:t>
      </w:r>
      <w:r w:rsidR="00343018">
        <w:t> </w:t>
      </w:r>
      <w:r w:rsidRPr="001B4CA2">
        <w:t xml:space="preserve">%, koje </w:t>
      </w:r>
      <w:r w:rsidR="009E6D91" w:rsidRPr="001B4CA2">
        <w:t xml:space="preserve">su </w:t>
      </w:r>
      <w:r w:rsidRPr="001B4CA2">
        <w:t>se najvećim dijelom odnos</w:t>
      </w:r>
      <w:r w:rsidR="009E6D91" w:rsidRPr="001B4CA2">
        <w:t>ile</w:t>
      </w:r>
      <w:r w:rsidRPr="001B4CA2">
        <w:t xml:space="preserve"> na radne sporove.</w:t>
      </w:r>
    </w:p>
    <w:p w14:paraId="32F03179" w14:textId="77777777" w:rsidR="00B010E6" w:rsidRPr="001B4CA2" w:rsidRDefault="00B010E6" w:rsidP="00B010E6"/>
    <w:p w14:paraId="716C153F" w14:textId="3DB89031" w:rsidR="001975FC" w:rsidRPr="001B4CA2" w:rsidRDefault="00B010E6" w:rsidP="001975FC">
      <w:pPr>
        <w:ind w:firstLine="708"/>
      </w:pPr>
      <w:r w:rsidRPr="001B4CA2">
        <w:t>Druga</w:t>
      </w:r>
      <w:r w:rsidR="001B4CA2">
        <w:t xml:space="preserve"> </w:t>
      </w:r>
      <w:r w:rsidRPr="001B4CA2">
        <w:t>zastupana tijela sudjel</w:t>
      </w:r>
      <w:r w:rsidR="009E6D91" w:rsidRPr="001B4CA2">
        <w:t>ovala su</w:t>
      </w:r>
      <w:r w:rsidRPr="001B4CA2">
        <w:t xml:space="preserve"> u ukupnom broju sklopljenih nagodbi s manje od 10</w:t>
      </w:r>
      <w:r w:rsidR="00343018">
        <w:t> </w:t>
      </w:r>
      <w:r w:rsidRPr="001B4CA2">
        <w:t>%.</w:t>
      </w:r>
    </w:p>
    <w:p w14:paraId="49020935" w14:textId="77777777" w:rsidR="001975FC" w:rsidRPr="001B4CA2" w:rsidRDefault="001975FC" w:rsidP="001975FC">
      <w:pPr>
        <w:ind w:firstLine="708"/>
      </w:pPr>
    </w:p>
    <w:p w14:paraId="56933E73" w14:textId="234D6874" w:rsidR="00B010E6" w:rsidRPr="001B4CA2" w:rsidRDefault="001975FC" w:rsidP="001975FC">
      <w:r w:rsidRPr="001B4CA2">
        <w:tab/>
      </w:r>
      <w:r w:rsidR="00B010E6" w:rsidRPr="001B4CA2">
        <w:t>U strukturi sklopljenih nagodbi po zahtjevima drugih osoba najzastupljeniji su</w:t>
      </w:r>
      <w:r w:rsidR="009E6D91" w:rsidRPr="001B4CA2">
        <w:t xml:space="preserve"> bili</w:t>
      </w:r>
      <w:r w:rsidR="00B010E6" w:rsidRPr="001B4CA2">
        <w:t xml:space="preserve"> </w:t>
      </w:r>
      <w:proofErr w:type="spellStart"/>
      <w:r w:rsidR="00B010E6" w:rsidRPr="001B4CA2">
        <w:t>stvarnopravni</w:t>
      </w:r>
      <w:proofErr w:type="spellEnd"/>
      <w:r w:rsidR="00B010E6" w:rsidRPr="001B4CA2">
        <w:t xml:space="preserve"> sporovi koji </w:t>
      </w:r>
      <w:r w:rsidR="009E6D91" w:rsidRPr="001B4CA2">
        <w:t xml:space="preserve">su </w:t>
      </w:r>
      <w:r w:rsidR="00B010E6" w:rsidRPr="001B4CA2">
        <w:t>se najvećim dijelom odnos</w:t>
      </w:r>
      <w:r w:rsidR="009E6D91" w:rsidRPr="001B4CA2">
        <w:t>ili</w:t>
      </w:r>
      <w:r w:rsidR="00B010E6" w:rsidRPr="001B4CA2">
        <w:t xml:space="preserve"> na priznanje prava vlasništva</w:t>
      </w:r>
      <w:r w:rsidR="00343018">
        <w:t>,</w:t>
      </w:r>
      <w:r w:rsidR="009E6D91" w:rsidRPr="001B4CA2">
        <w:t xml:space="preserve"> i to </w:t>
      </w:r>
      <w:r w:rsidR="00B010E6" w:rsidRPr="001B4CA2">
        <w:t>57</w:t>
      </w:r>
      <w:r w:rsidR="00343018">
        <w:t> </w:t>
      </w:r>
      <w:r w:rsidR="00B010E6" w:rsidRPr="001B4CA2">
        <w:t xml:space="preserve">%. Zatim slijede </w:t>
      </w:r>
      <w:proofErr w:type="spellStart"/>
      <w:r w:rsidR="00B010E6" w:rsidRPr="001B4CA2">
        <w:t>obveznopravni</w:t>
      </w:r>
      <w:proofErr w:type="spellEnd"/>
      <w:r w:rsidR="00B010E6" w:rsidRPr="001B4CA2">
        <w:t xml:space="preserve"> sporovi</w:t>
      </w:r>
      <w:r w:rsidR="00FD08E9">
        <w:t xml:space="preserve"> s </w:t>
      </w:r>
      <w:r w:rsidR="00B010E6" w:rsidRPr="001B4CA2">
        <w:t>26</w:t>
      </w:r>
      <w:r w:rsidR="00343018">
        <w:t> </w:t>
      </w:r>
      <w:r w:rsidR="00B010E6" w:rsidRPr="001B4CA2">
        <w:t>%, radni sporovi</w:t>
      </w:r>
      <w:r w:rsidR="00FD08E9">
        <w:t xml:space="preserve"> s </w:t>
      </w:r>
      <w:r w:rsidR="00B010E6" w:rsidRPr="001B4CA2">
        <w:t>13</w:t>
      </w:r>
      <w:r w:rsidR="00343018">
        <w:t> </w:t>
      </w:r>
      <w:r w:rsidR="00B010E6" w:rsidRPr="001B4CA2">
        <w:t>% te sporovi naknade štete i ostali sporovi</w:t>
      </w:r>
      <w:r w:rsidR="00FD08E9">
        <w:t xml:space="preserve"> s </w:t>
      </w:r>
      <w:r w:rsidR="00B010E6" w:rsidRPr="001B4CA2">
        <w:t>neznatnim udjelom.</w:t>
      </w:r>
      <w:r w:rsidR="001B4CA2">
        <w:t xml:space="preserve"> </w:t>
      </w:r>
    </w:p>
    <w:p w14:paraId="555946AD" w14:textId="77777777" w:rsidR="00B010E6" w:rsidRPr="001B4CA2" w:rsidRDefault="00B010E6" w:rsidP="00B010E6">
      <w:pPr>
        <w:keepNext/>
        <w:keepLines/>
        <w:outlineLvl w:val="4"/>
      </w:pPr>
    </w:p>
    <w:p w14:paraId="56A62418" w14:textId="77777777" w:rsidR="00BB4D48" w:rsidRPr="001B4CA2" w:rsidRDefault="00BB4D48" w:rsidP="00E262DD">
      <w:pPr>
        <w:pStyle w:val="Naslov4"/>
        <w:ind w:left="993" w:hanging="850"/>
        <w:rPr>
          <w:rFonts w:ascii="Arial" w:hAnsi="Arial" w:cs="Arial"/>
        </w:rPr>
      </w:pPr>
      <w:bookmarkStart w:id="66" w:name="_Toc133394326"/>
      <w:r w:rsidRPr="001B4CA2">
        <w:rPr>
          <w:rFonts w:ascii="Arial" w:hAnsi="Arial" w:cs="Arial"/>
        </w:rPr>
        <w:t>Odluke državnog odvjetništva u parn</w:t>
      </w:r>
      <w:r w:rsidR="00CE234E" w:rsidRPr="001B4CA2">
        <w:rPr>
          <w:rFonts w:ascii="Arial" w:hAnsi="Arial" w:cs="Arial"/>
        </w:rPr>
        <w:t>icama pred općinskim sudovima</w:t>
      </w:r>
      <w:bookmarkEnd w:id="66"/>
    </w:p>
    <w:p w14:paraId="3EC39E3C" w14:textId="77777777" w:rsidR="006806D3" w:rsidRPr="001B4CA2" w:rsidRDefault="006806D3" w:rsidP="006806D3"/>
    <w:p w14:paraId="2A087E07" w14:textId="1BCB8EEA" w:rsidR="00B010E6" w:rsidRPr="001B4CA2" w:rsidRDefault="00B010E6" w:rsidP="00B010E6">
      <w:pPr>
        <w:numPr>
          <w:ilvl w:val="0"/>
          <w:numId w:val="35"/>
        </w:numPr>
        <w:contextualSpacing/>
        <w:jc w:val="left"/>
        <w:rPr>
          <w:rFonts w:asciiTheme="minorHAnsi" w:hAnsiTheme="minorHAnsi" w:cstheme="minorBidi"/>
          <w:i/>
          <w:szCs w:val="22"/>
        </w:rPr>
      </w:pPr>
      <w:r w:rsidRPr="001B4CA2">
        <w:rPr>
          <w:rFonts w:asciiTheme="minorHAnsi" w:hAnsiTheme="minorHAnsi" w:cstheme="minorBidi"/>
          <w:i/>
          <w:szCs w:val="22"/>
        </w:rPr>
        <w:t>Odluke i postupanje državnih odvjetništava u parnicama 2018.</w:t>
      </w:r>
      <w:r w:rsidR="00343018">
        <w:rPr>
          <w:rFonts w:asciiTheme="minorHAnsi" w:hAnsiTheme="minorHAnsi" w:cstheme="minorBidi"/>
          <w:i/>
          <w:szCs w:val="22"/>
        </w:rPr>
        <w:t xml:space="preserve"> – </w:t>
      </w:r>
      <w:r w:rsidRPr="001B4CA2">
        <w:rPr>
          <w:rFonts w:asciiTheme="minorHAnsi" w:hAnsiTheme="minorHAnsi" w:cstheme="minorBidi"/>
          <w:i/>
          <w:szCs w:val="22"/>
        </w:rPr>
        <w:t>2022.</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909"/>
        <w:gridCol w:w="854"/>
        <w:gridCol w:w="824"/>
        <w:gridCol w:w="717"/>
        <w:gridCol w:w="803"/>
        <w:gridCol w:w="802"/>
        <w:gridCol w:w="782"/>
        <w:gridCol w:w="790"/>
        <w:gridCol w:w="774"/>
        <w:gridCol w:w="868"/>
      </w:tblGrid>
      <w:tr w:rsidR="00B010E6" w:rsidRPr="001B4CA2" w14:paraId="148E3B44" w14:textId="77777777" w:rsidTr="009A1E7E">
        <w:trPr>
          <w:trHeight w:val="486"/>
          <w:jc w:val="center"/>
        </w:trPr>
        <w:tc>
          <w:tcPr>
            <w:tcW w:w="915" w:type="dxa"/>
            <w:vMerge w:val="restart"/>
            <w:shd w:val="clear" w:color="auto" w:fill="99CCFF"/>
            <w:textDirection w:val="btLr"/>
            <w:vAlign w:val="center"/>
            <w:hideMark/>
          </w:tcPr>
          <w:p w14:paraId="22D7984E" w14:textId="77777777" w:rsidR="00B010E6" w:rsidRPr="001B4CA2" w:rsidRDefault="00B010E6" w:rsidP="00B010E6">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909" w:type="dxa"/>
            <w:vMerge w:val="restart"/>
            <w:shd w:val="clear" w:color="auto" w:fill="99CCFF"/>
            <w:textDirection w:val="btLr"/>
            <w:vAlign w:val="center"/>
            <w:hideMark/>
          </w:tcPr>
          <w:p w14:paraId="43FA9FEF" w14:textId="77777777" w:rsidR="00B010E6" w:rsidRPr="001B4CA2" w:rsidRDefault="00B010E6" w:rsidP="00B010E6">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Ostalo u radu u DO</w:t>
            </w:r>
          </w:p>
        </w:tc>
        <w:tc>
          <w:tcPr>
            <w:tcW w:w="854" w:type="dxa"/>
            <w:vMerge w:val="restart"/>
            <w:shd w:val="clear" w:color="auto" w:fill="99CCFF"/>
            <w:textDirection w:val="btLr"/>
            <w:vAlign w:val="center"/>
            <w:hideMark/>
          </w:tcPr>
          <w:p w14:paraId="00D66520" w14:textId="77777777" w:rsidR="00B010E6" w:rsidRPr="001B4CA2" w:rsidRDefault="00B010E6" w:rsidP="00B010E6">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 xml:space="preserve">Primljeno </w:t>
            </w:r>
            <w:r w:rsidRPr="001B4CA2">
              <w:rPr>
                <w:rFonts w:asciiTheme="minorHAnsi" w:eastAsia="Times New Roman" w:hAnsiTheme="minorHAnsi" w:cstheme="minorHAnsi"/>
                <w:b/>
                <w:bCs/>
                <w:color w:val="000000" w:themeColor="text1"/>
                <w:sz w:val="18"/>
                <w:szCs w:val="18"/>
                <w:lang w:eastAsia="hr-HR"/>
              </w:rPr>
              <w:t>novih zahtjeva</w:t>
            </w:r>
          </w:p>
        </w:tc>
        <w:tc>
          <w:tcPr>
            <w:tcW w:w="3146" w:type="dxa"/>
            <w:gridSpan w:val="4"/>
            <w:shd w:val="clear" w:color="auto" w:fill="99CCFF"/>
            <w:vAlign w:val="center"/>
            <w:hideMark/>
          </w:tcPr>
          <w:p w14:paraId="3BF2332C"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Odluke</w:t>
            </w:r>
            <w:r w:rsidRPr="001B4CA2">
              <w:rPr>
                <w:rFonts w:asciiTheme="minorHAnsi" w:eastAsia="Times New Roman" w:hAnsiTheme="minorHAnsi" w:cstheme="minorHAnsi"/>
                <w:b/>
                <w:bCs/>
                <w:color w:val="000000" w:themeColor="text1"/>
                <w:sz w:val="18"/>
                <w:szCs w:val="18"/>
                <w:lang w:eastAsia="hr-HR"/>
              </w:rPr>
              <w:t xml:space="preserve"> DO</w:t>
            </w:r>
          </w:p>
        </w:tc>
        <w:tc>
          <w:tcPr>
            <w:tcW w:w="782" w:type="dxa"/>
            <w:vMerge w:val="restart"/>
            <w:shd w:val="clear" w:color="auto" w:fill="99CCFF"/>
            <w:textDirection w:val="btLr"/>
            <w:vAlign w:val="center"/>
            <w:hideMark/>
          </w:tcPr>
          <w:p w14:paraId="55A201D1" w14:textId="77777777" w:rsidR="00B010E6" w:rsidRPr="001B4CA2" w:rsidRDefault="00B010E6" w:rsidP="00B010E6">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Rasprave</w:t>
            </w:r>
          </w:p>
        </w:tc>
        <w:tc>
          <w:tcPr>
            <w:tcW w:w="790" w:type="dxa"/>
            <w:vMerge w:val="restart"/>
            <w:shd w:val="clear" w:color="auto" w:fill="99CCFF"/>
            <w:textDirection w:val="btLr"/>
            <w:vAlign w:val="center"/>
            <w:hideMark/>
          </w:tcPr>
          <w:p w14:paraId="432C8445" w14:textId="77777777" w:rsidR="00B010E6" w:rsidRPr="001B4CA2" w:rsidRDefault="00B010E6" w:rsidP="00B010E6">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Postupci pred sudom u kojima nije donijeta I-stup. Odluka</w:t>
            </w:r>
          </w:p>
        </w:tc>
        <w:tc>
          <w:tcPr>
            <w:tcW w:w="774" w:type="dxa"/>
            <w:vMerge w:val="restart"/>
            <w:shd w:val="clear" w:color="auto" w:fill="99CCFF"/>
            <w:textDirection w:val="btLr"/>
            <w:vAlign w:val="center"/>
            <w:hideMark/>
          </w:tcPr>
          <w:p w14:paraId="1DDB20A3" w14:textId="77777777" w:rsidR="00B010E6" w:rsidRPr="001B4CA2" w:rsidRDefault="00B010E6" w:rsidP="00B010E6">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Žalbe DO</w:t>
            </w:r>
          </w:p>
        </w:tc>
        <w:tc>
          <w:tcPr>
            <w:tcW w:w="868" w:type="dxa"/>
            <w:vMerge w:val="restart"/>
            <w:shd w:val="clear" w:color="auto" w:fill="99CCFF"/>
            <w:textDirection w:val="btLr"/>
            <w:vAlign w:val="center"/>
            <w:hideMark/>
          </w:tcPr>
          <w:p w14:paraId="7A7FD152" w14:textId="77777777" w:rsidR="00B010E6" w:rsidRPr="001B4CA2" w:rsidRDefault="00B010E6" w:rsidP="00B010E6">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Izvanredni pravni lijekovi</w:t>
            </w:r>
          </w:p>
        </w:tc>
      </w:tr>
      <w:tr w:rsidR="00B010E6" w:rsidRPr="001B4CA2" w14:paraId="36ADA13C" w14:textId="77777777" w:rsidTr="009A1E7E">
        <w:trPr>
          <w:trHeight w:val="2324"/>
          <w:jc w:val="center"/>
        </w:trPr>
        <w:tc>
          <w:tcPr>
            <w:tcW w:w="915" w:type="dxa"/>
            <w:vMerge/>
            <w:vAlign w:val="center"/>
            <w:hideMark/>
          </w:tcPr>
          <w:p w14:paraId="2F845893"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p>
        </w:tc>
        <w:tc>
          <w:tcPr>
            <w:tcW w:w="909" w:type="dxa"/>
            <w:vMerge/>
            <w:vAlign w:val="center"/>
            <w:hideMark/>
          </w:tcPr>
          <w:p w14:paraId="0346D413"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p>
        </w:tc>
        <w:tc>
          <w:tcPr>
            <w:tcW w:w="854" w:type="dxa"/>
            <w:vMerge/>
            <w:vAlign w:val="center"/>
            <w:hideMark/>
          </w:tcPr>
          <w:p w14:paraId="4F429A1E"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p>
        </w:tc>
        <w:tc>
          <w:tcPr>
            <w:tcW w:w="824" w:type="dxa"/>
            <w:shd w:val="clear" w:color="auto" w:fill="99CCFF"/>
            <w:textDirection w:val="btLr"/>
            <w:vAlign w:val="center"/>
            <w:hideMark/>
          </w:tcPr>
          <w:p w14:paraId="491F5A1A" w14:textId="03BDBD9A" w:rsidR="00B010E6" w:rsidRPr="001B4CA2" w:rsidRDefault="00B010E6" w:rsidP="00B010E6">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themeColor="text1"/>
                <w:sz w:val="18"/>
                <w:szCs w:val="18"/>
                <w:lang w:eastAsia="hr-HR"/>
              </w:rPr>
              <w:t>Odbijanje</w:t>
            </w:r>
            <w:r w:rsidR="001B4CA2">
              <w:rPr>
                <w:rFonts w:asciiTheme="minorHAnsi" w:eastAsia="Times New Roman" w:hAnsiTheme="minorHAnsi" w:cstheme="minorHAnsi"/>
                <w:b/>
                <w:color w:val="000000" w:themeColor="text1"/>
                <w:sz w:val="18"/>
                <w:szCs w:val="18"/>
                <w:lang w:eastAsia="hr-HR"/>
              </w:rPr>
              <w:t xml:space="preserve"> </w:t>
            </w:r>
            <w:r w:rsidRPr="001B4CA2">
              <w:rPr>
                <w:rFonts w:asciiTheme="minorHAnsi" w:eastAsia="Times New Roman" w:hAnsiTheme="minorHAnsi" w:cstheme="minorHAnsi"/>
                <w:b/>
                <w:color w:val="000000" w:themeColor="text1"/>
                <w:sz w:val="18"/>
                <w:szCs w:val="18"/>
                <w:lang w:eastAsia="hr-HR"/>
              </w:rPr>
              <w:t>inicijative</w:t>
            </w:r>
          </w:p>
        </w:tc>
        <w:tc>
          <w:tcPr>
            <w:tcW w:w="717" w:type="dxa"/>
            <w:shd w:val="clear" w:color="auto" w:fill="99CCFF"/>
            <w:textDirection w:val="btLr"/>
            <w:vAlign w:val="center"/>
            <w:hideMark/>
          </w:tcPr>
          <w:p w14:paraId="52D062D3" w14:textId="77777777" w:rsidR="00B010E6" w:rsidRPr="001B4CA2" w:rsidRDefault="00B010E6" w:rsidP="00B010E6">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 xml:space="preserve">Tužba </w:t>
            </w:r>
          </w:p>
        </w:tc>
        <w:tc>
          <w:tcPr>
            <w:tcW w:w="803" w:type="dxa"/>
            <w:shd w:val="clear" w:color="auto" w:fill="99CCFF"/>
            <w:textDirection w:val="btLr"/>
            <w:vAlign w:val="center"/>
            <w:hideMark/>
          </w:tcPr>
          <w:p w14:paraId="1F6C0827" w14:textId="77777777" w:rsidR="00B010E6" w:rsidRPr="001B4CA2" w:rsidRDefault="00B010E6" w:rsidP="00B010E6">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Odgovor na tužbu</w:t>
            </w:r>
          </w:p>
        </w:tc>
        <w:tc>
          <w:tcPr>
            <w:tcW w:w="802" w:type="dxa"/>
            <w:shd w:val="clear" w:color="auto" w:fill="99CCFF"/>
            <w:textDirection w:val="btLr"/>
            <w:vAlign w:val="center"/>
            <w:hideMark/>
          </w:tcPr>
          <w:p w14:paraId="0E818F4C" w14:textId="77777777" w:rsidR="00B010E6" w:rsidRPr="001B4CA2" w:rsidRDefault="00B010E6" w:rsidP="00B010E6">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 xml:space="preserve">Druge odluke </w:t>
            </w:r>
          </w:p>
        </w:tc>
        <w:tc>
          <w:tcPr>
            <w:tcW w:w="782" w:type="dxa"/>
            <w:vMerge/>
            <w:vAlign w:val="center"/>
            <w:hideMark/>
          </w:tcPr>
          <w:p w14:paraId="1B6302E5"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p>
        </w:tc>
        <w:tc>
          <w:tcPr>
            <w:tcW w:w="790" w:type="dxa"/>
            <w:vMerge/>
            <w:vAlign w:val="center"/>
            <w:hideMark/>
          </w:tcPr>
          <w:p w14:paraId="4072CC14"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p>
        </w:tc>
        <w:tc>
          <w:tcPr>
            <w:tcW w:w="774" w:type="dxa"/>
            <w:vMerge/>
            <w:vAlign w:val="center"/>
            <w:hideMark/>
          </w:tcPr>
          <w:p w14:paraId="0F0C00A6"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p>
        </w:tc>
        <w:tc>
          <w:tcPr>
            <w:tcW w:w="868" w:type="dxa"/>
            <w:vMerge/>
            <w:vAlign w:val="center"/>
            <w:hideMark/>
          </w:tcPr>
          <w:p w14:paraId="5A818A90" w14:textId="77777777" w:rsidR="00B010E6" w:rsidRPr="001B4CA2" w:rsidRDefault="00B010E6" w:rsidP="00B010E6">
            <w:pPr>
              <w:jc w:val="left"/>
              <w:rPr>
                <w:rFonts w:asciiTheme="minorHAnsi" w:eastAsia="Times New Roman" w:hAnsiTheme="minorHAnsi" w:cstheme="minorHAnsi"/>
                <w:bCs/>
                <w:color w:val="000000"/>
                <w:sz w:val="18"/>
                <w:szCs w:val="18"/>
                <w:lang w:eastAsia="hr-HR"/>
              </w:rPr>
            </w:pPr>
          </w:p>
        </w:tc>
      </w:tr>
      <w:tr w:rsidR="00B010E6" w:rsidRPr="001B4CA2" w14:paraId="4E2B6F96" w14:textId="77777777" w:rsidTr="009A1E7E">
        <w:trPr>
          <w:trHeight w:val="397"/>
          <w:jc w:val="center"/>
        </w:trPr>
        <w:tc>
          <w:tcPr>
            <w:tcW w:w="915" w:type="dxa"/>
            <w:shd w:val="clear" w:color="auto" w:fill="auto"/>
            <w:noWrap/>
            <w:vAlign w:val="center"/>
            <w:hideMark/>
          </w:tcPr>
          <w:p w14:paraId="3E0F5C5B"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2018.</w:t>
            </w:r>
          </w:p>
        </w:tc>
        <w:tc>
          <w:tcPr>
            <w:tcW w:w="909" w:type="dxa"/>
            <w:shd w:val="clear" w:color="auto" w:fill="auto"/>
            <w:noWrap/>
            <w:vAlign w:val="center"/>
          </w:tcPr>
          <w:p w14:paraId="6E56D590"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123</w:t>
            </w:r>
          </w:p>
        </w:tc>
        <w:tc>
          <w:tcPr>
            <w:tcW w:w="854" w:type="dxa"/>
            <w:shd w:val="clear" w:color="auto" w:fill="auto"/>
            <w:noWrap/>
            <w:vAlign w:val="center"/>
          </w:tcPr>
          <w:p w14:paraId="144BF298"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4.646</w:t>
            </w:r>
          </w:p>
        </w:tc>
        <w:tc>
          <w:tcPr>
            <w:tcW w:w="824" w:type="dxa"/>
            <w:shd w:val="clear" w:color="auto" w:fill="auto"/>
            <w:noWrap/>
            <w:vAlign w:val="center"/>
          </w:tcPr>
          <w:p w14:paraId="40A67FAB"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47</w:t>
            </w:r>
          </w:p>
        </w:tc>
        <w:tc>
          <w:tcPr>
            <w:tcW w:w="717" w:type="dxa"/>
            <w:shd w:val="clear" w:color="auto" w:fill="auto"/>
            <w:noWrap/>
            <w:vAlign w:val="center"/>
          </w:tcPr>
          <w:p w14:paraId="4E7CA3C7"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1.079</w:t>
            </w:r>
          </w:p>
        </w:tc>
        <w:tc>
          <w:tcPr>
            <w:tcW w:w="803" w:type="dxa"/>
            <w:shd w:val="clear" w:color="auto" w:fill="auto"/>
            <w:noWrap/>
            <w:vAlign w:val="center"/>
          </w:tcPr>
          <w:p w14:paraId="1EA3EF46"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3.113</w:t>
            </w:r>
          </w:p>
        </w:tc>
        <w:tc>
          <w:tcPr>
            <w:tcW w:w="802" w:type="dxa"/>
            <w:shd w:val="clear" w:color="auto" w:fill="auto"/>
            <w:noWrap/>
            <w:vAlign w:val="center"/>
          </w:tcPr>
          <w:p w14:paraId="121F0C13"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403</w:t>
            </w:r>
          </w:p>
        </w:tc>
        <w:tc>
          <w:tcPr>
            <w:tcW w:w="782" w:type="dxa"/>
            <w:shd w:val="clear" w:color="auto" w:fill="auto"/>
            <w:noWrap/>
            <w:vAlign w:val="center"/>
          </w:tcPr>
          <w:p w14:paraId="4C1EFEDB"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14.879</w:t>
            </w:r>
          </w:p>
        </w:tc>
        <w:tc>
          <w:tcPr>
            <w:tcW w:w="790" w:type="dxa"/>
            <w:shd w:val="clear" w:color="auto" w:fill="auto"/>
            <w:noWrap/>
            <w:vAlign w:val="center"/>
          </w:tcPr>
          <w:p w14:paraId="5C23FC1C"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7.322</w:t>
            </w:r>
          </w:p>
        </w:tc>
        <w:tc>
          <w:tcPr>
            <w:tcW w:w="774" w:type="dxa"/>
            <w:shd w:val="clear" w:color="auto" w:fill="auto"/>
            <w:noWrap/>
            <w:vAlign w:val="center"/>
          </w:tcPr>
          <w:p w14:paraId="6B8BB53B"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1.160</w:t>
            </w:r>
          </w:p>
        </w:tc>
        <w:tc>
          <w:tcPr>
            <w:tcW w:w="868" w:type="dxa"/>
            <w:shd w:val="clear" w:color="auto" w:fill="auto"/>
            <w:noWrap/>
            <w:vAlign w:val="center"/>
          </w:tcPr>
          <w:p w14:paraId="69B48A53"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147</w:t>
            </w:r>
          </w:p>
        </w:tc>
      </w:tr>
      <w:tr w:rsidR="00B010E6" w:rsidRPr="001B4CA2" w14:paraId="45C6095C" w14:textId="77777777" w:rsidTr="009A1E7E">
        <w:trPr>
          <w:trHeight w:val="397"/>
          <w:jc w:val="center"/>
        </w:trPr>
        <w:tc>
          <w:tcPr>
            <w:tcW w:w="915" w:type="dxa"/>
            <w:shd w:val="clear" w:color="auto" w:fill="auto"/>
            <w:noWrap/>
            <w:vAlign w:val="center"/>
          </w:tcPr>
          <w:p w14:paraId="7364BABC"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2019.</w:t>
            </w:r>
          </w:p>
        </w:tc>
        <w:tc>
          <w:tcPr>
            <w:tcW w:w="909" w:type="dxa"/>
            <w:shd w:val="clear" w:color="auto" w:fill="auto"/>
            <w:noWrap/>
            <w:vAlign w:val="center"/>
          </w:tcPr>
          <w:p w14:paraId="7A5CB80D"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103</w:t>
            </w:r>
          </w:p>
        </w:tc>
        <w:tc>
          <w:tcPr>
            <w:tcW w:w="854" w:type="dxa"/>
            <w:shd w:val="clear" w:color="auto" w:fill="auto"/>
            <w:noWrap/>
            <w:vAlign w:val="center"/>
          </w:tcPr>
          <w:p w14:paraId="520DD15E"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5.483</w:t>
            </w:r>
          </w:p>
        </w:tc>
        <w:tc>
          <w:tcPr>
            <w:tcW w:w="824" w:type="dxa"/>
            <w:shd w:val="clear" w:color="auto" w:fill="auto"/>
            <w:noWrap/>
            <w:vAlign w:val="center"/>
          </w:tcPr>
          <w:p w14:paraId="7725ECB8"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184</w:t>
            </w:r>
          </w:p>
        </w:tc>
        <w:tc>
          <w:tcPr>
            <w:tcW w:w="717" w:type="dxa"/>
            <w:shd w:val="clear" w:color="auto" w:fill="auto"/>
            <w:noWrap/>
            <w:vAlign w:val="center"/>
          </w:tcPr>
          <w:p w14:paraId="04F74C6D"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1.063</w:t>
            </w:r>
          </w:p>
        </w:tc>
        <w:tc>
          <w:tcPr>
            <w:tcW w:w="803" w:type="dxa"/>
            <w:shd w:val="clear" w:color="auto" w:fill="auto"/>
            <w:noWrap/>
            <w:vAlign w:val="center"/>
          </w:tcPr>
          <w:p w14:paraId="1E3BB58F"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3.634</w:t>
            </w:r>
          </w:p>
        </w:tc>
        <w:tc>
          <w:tcPr>
            <w:tcW w:w="802" w:type="dxa"/>
            <w:shd w:val="clear" w:color="auto" w:fill="auto"/>
            <w:noWrap/>
            <w:vAlign w:val="center"/>
          </w:tcPr>
          <w:p w14:paraId="73B0FF1F"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603</w:t>
            </w:r>
          </w:p>
        </w:tc>
        <w:tc>
          <w:tcPr>
            <w:tcW w:w="782" w:type="dxa"/>
            <w:shd w:val="clear" w:color="auto" w:fill="auto"/>
            <w:noWrap/>
            <w:vAlign w:val="center"/>
          </w:tcPr>
          <w:p w14:paraId="68382FBC"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14.944</w:t>
            </w:r>
          </w:p>
        </w:tc>
        <w:tc>
          <w:tcPr>
            <w:tcW w:w="790" w:type="dxa"/>
            <w:shd w:val="clear" w:color="auto" w:fill="auto"/>
            <w:noWrap/>
            <w:vAlign w:val="center"/>
          </w:tcPr>
          <w:p w14:paraId="4E8C39A7"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7.293</w:t>
            </w:r>
          </w:p>
        </w:tc>
        <w:tc>
          <w:tcPr>
            <w:tcW w:w="774" w:type="dxa"/>
            <w:shd w:val="clear" w:color="auto" w:fill="auto"/>
            <w:noWrap/>
            <w:vAlign w:val="center"/>
          </w:tcPr>
          <w:p w14:paraId="748CAD42"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1.444</w:t>
            </w:r>
          </w:p>
        </w:tc>
        <w:tc>
          <w:tcPr>
            <w:tcW w:w="868" w:type="dxa"/>
            <w:shd w:val="clear" w:color="auto" w:fill="auto"/>
            <w:noWrap/>
            <w:vAlign w:val="center"/>
          </w:tcPr>
          <w:p w14:paraId="53DFA4E7"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216</w:t>
            </w:r>
          </w:p>
        </w:tc>
      </w:tr>
      <w:tr w:rsidR="00B010E6" w:rsidRPr="001B4CA2" w14:paraId="7FD94D37" w14:textId="77777777" w:rsidTr="009A1E7E">
        <w:trPr>
          <w:trHeight w:val="397"/>
          <w:jc w:val="center"/>
        </w:trPr>
        <w:tc>
          <w:tcPr>
            <w:tcW w:w="915" w:type="dxa"/>
            <w:shd w:val="clear" w:color="auto" w:fill="auto"/>
            <w:noWrap/>
            <w:vAlign w:val="center"/>
          </w:tcPr>
          <w:p w14:paraId="5961E749"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2020.</w:t>
            </w:r>
          </w:p>
        </w:tc>
        <w:tc>
          <w:tcPr>
            <w:tcW w:w="909" w:type="dxa"/>
            <w:shd w:val="clear" w:color="auto" w:fill="auto"/>
            <w:noWrap/>
            <w:vAlign w:val="center"/>
          </w:tcPr>
          <w:p w14:paraId="1BF2C5B2"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280</w:t>
            </w:r>
          </w:p>
        </w:tc>
        <w:tc>
          <w:tcPr>
            <w:tcW w:w="854" w:type="dxa"/>
            <w:shd w:val="clear" w:color="auto" w:fill="auto"/>
            <w:noWrap/>
            <w:vAlign w:val="center"/>
          </w:tcPr>
          <w:p w14:paraId="4B96FFE6"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7.688</w:t>
            </w:r>
          </w:p>
        </w:tc>
        <w:tc>
          <w:tcPr>
            <w:tcW w:w="824" w:type="dxa"/>
            <w:shd w:val="clear" w:color="auto" w:fill="auto"/>
            <w:noWrap/>
            <w:vAlign w:val="center"/>
          </w:tcPr>
          <w:p w14:paraId="7AE40A45" w14:textId="77777777" w:rsidR="00B010E6" w:rsidRPr="001B4CA2" w:rsidRDefault="00B010E6" w:rsidP="00B010E6">
            <w:pPr>
              <w:jc w:val="center"/>
              <w:rPr>
                <w:sz w:val="18"/>
                <w:szCs w:val="18"/>
              </w:rPr>
            </w:pPr>
            <w:r w:rsidRPr="001B4CA2">
              <w:rPr>
                <w:sz w:val="18"/>
                <w:szCs w:val="18"/>
              </w:rPr>
              <w:t>54</w:t>
            </w:r>
          </w:p>
        </w:tc>
        <w:tc>
          <w:tcPr>
            <w:tcW w:w="717" w:type="dxa"/>
            <w:shd w:val="clear" w:color="auto" w:fill="auto"/>
            <w:noWrap/>
            <w:vAlign w:val="center"/>
          </w:tcPr>
          <w:p w14:paraId="196AF29A" w14:textId="77777777" w:rsidR="00B010E6" w:rsidRPr="001B4CA2" w:rsidRDefault="00B010E6" w:rsidP="00B010E6">
            <w:pPr>
              <w:jc w:val="center"/>
              <w:rPr>
                <w:sz w:val="18"/>
                <w:szCs w:val="18"/>
              </w:rPr>
            </w:pPr>
            <w:r w:rsidRPr="001B4CA2">
              <w:rPr>
                <w:sz w:val="18"/>
                <w:szCs w:val="18"/>
              </w:rPr>
              <w:t>1.146</w:t>
            </w:r>
          </w:p>
        </w:tc>
        <w:tc>
          <w:tcPr>
            <w:tcW w:w="803" w:type="dxa"/>
            <w:shd w:val="clear" w:color="auto" w:fill="auto"/>
            <w:noWrap/>
            <w:vAlign w:val="center"/>
          </w:tcPr>
          <w:p w14:paraId="36E9C966"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3.964</w:t>
            </w:r>
          </w:p>
        </w:tc>
        <w:tc>
          <w:tcPr>
            <w:tcW w:w="802" w:type="dxa"/>
            <w:shd w:val="clear" w:color="auto" w:fill="auto"/>
            <w:noWrap/>
            <w:vAlign w:val="center"/>
          </w:tcPr>
          <w:p w14:paraId="41E02486"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2.419</w:t>
            </w:r>
          </w:p>
        </w:tc>
        <w:tc>
          <w:tcPr>
            <w:tcW w:w="782" w:type="dxa"/>
            <w:shd w:val="clear" w:color="auto" w:fill="auto"/>
            <w:noWrap/>
            <w:vAlign w:val="center"/>
          </w:tcPr>
          <w:p w14:paraId="4EE5F3AF"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8.470</w:t>
            </w:r>
          </w:p>
        </w:tc>
        <w:tc>
          <w:tcPr>
            <w:tcW w:w="790" w:type="dxa"/>
            <w:shd w:val="clear" w:color="auto" w:fill="auto"/>
            <w:noWrap/>
            <w:vAlign w:val="center"/>
          </w:tcPr>
          <w:p w14:paraId="66C25398"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3.502</w:t>
            </w:r>
          </w:p>
        </w:tc>
        <w:tc>
          <w:tcPr>
            <w:tcW w:w="774" w:type="dxa"/>
            <w:shd w:val="clear" w:color="auto" w:fill="auto"/>
            <w:noWrap/>
            <w:vAlign w:val="center"/>
          </w:tcPr>
          <w:p w14:paraId="480DD1F3"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2.473</w:t>
            </w:r>
          </w:p>
        </w:tc>
        <w:tc>
          <w:tcPr>
            <w:tcW w:w="868" w:type="dxa"/>
            <w:shd w:val="clear" w:color="auto" w:fill="auto"/>
            <w:noWrap/>
            <w:vAlign w:val="center"/>
          </w:tcPr>
          <w:p w14:paraId="553C280D"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398</w:t>
            </w:r>
          </w:p>
        </w:tc>
      </w:tr>
      <w:tr w:rsidR="00B010E6" w:rsidRPr="001B4CA2" w14:paraId="418B60EC" w14:textId="77777777" w:rsidTr="009A1E7E">
        <w:trPr>
          <w:trHeight w:val="397"/>
          <w:jc w:val="center"/>
        </w:trPr>
        <w:tc>
          <w:tcPr>
            <w:tcW w:w="915" w:type="dxa"/>
            <w:shd w:val="clear" w:color="auto" w:fill="auto"/>
            <w:noWrap/>
            <w:vAlign w:val="center"/>
          </w:tcPr>
          <w:p w14:paraId="4E7436A8"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2021.</w:t>
            </w:r>
          </w:p>
        </w:tc>
        <w:tc>
          <w:tcPr>
            <w:tcW w:w="909" w:type="dxa"/>
            <w:shd w:val="clear" w:color="auto" w:fill="auto"/>
            <w:noWrap/>
            <w:vAlign w:val="center"/>
          </w:tcPr>
          <w:p w14:paraId="5B61B8A6"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293</w:t>
            </w:r>
          </w:p>
        </w:tc>
        <w:tc>
          <w:tcPr>
            <w:tcW w:w="854" w:type="dxa"/>
            <w:shd w:val="clear" w:color="auto" w:fill="auto"/>
            <w:noWrap/>
            <w:vAlign w:val="center"/>
          </w:tcPr>
          <w:p w14:paraId="4EF5AE8A"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7.613</w:t>
            </w:r>
          </w:p>
        </w:tc>
        <w:tc>
          <w:tcPr>
            <w:tcW w:w="824" w:type="dxa"/>
            <w:shd w:val="clear" w:color="auto" w:fill="auto"/>
            <w:noWrap/>
            <w:vAlign w:val="center"/>
          </w:tcPr>
          <w:p w14:paraId="4235D619" w14:textId="77777777" w:rsidR="00B010E6" w:rsidRPr="001B4CA2" w:rsidRDefault="00B010E6" w:rsidP="00B010E6">
            <w:pPr>
              <w:jc w:val="center"/>
              <w:rPr>
                <w:sz w:val="18"/>
                <w:szCs w:val="18"/>
              </w:rPr>
            </w:pPr>
            <w:r w:rsidRPr="001B4CA2">
              <w:rPr>
                <w:sz w:val="18"/>
                <w:szCs w:val="18"/>
              </w:rPr>
              <w:t>681</w:t>
            </w:r>
          </w:p>
        </w:tc>
        <w:tc>
          <w:tcPr>
            <w:tcW w:w="717" w:type="dxa"/>
            <w:shd w:val="clear" w:color="auto" w:fill="auto"/>
            <w:noWrap/>
            <w:vAlign w:val="center"/>
          </w:tcPr>
          <w:p w14:paraId="2663617D" w14:textId="77777777" w:rsidR="00B010E6" w:rsidRPr="001B4CA2" w:rsidRDefault="00B010E6" w:rsidP="00B010E6">
            <w:pPr>
              <w:jc w:val="center"/>
              <w:rPr>
                <w:sz w:val="18"/>
                <w:szCs w:val="18"/>
              </w:rPr>
            </w:pPr>
            <w:r w:rsidRPr="001B4CA2">
              <w:rPr>
                <w:sz w:val="18"/>
                <w:szCs w:val="18"/>
              </w:rPr>
              <w:t>949</w:t>
            </w:r>
          </w:p>
        </w:tc>
        <w:tc>
          <w:tcPr>
            <w:tcW w:w="803" w:type="dxa"/>
            <w:shd w:val="clear" w:color="auto" w:fill="auto"/>
            <w:noWrap/>
            <w:vAlign w:val="center"/>
          </w:tcPr>
          <w:p w14:paraId="4D9FBB2C"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3.385</w:t>
            </w:r>
          </w:p>
        </w:tc>
        <w:tc>
          <w:tcPr>
            <w:tcW w:w="802" w:type="dxa"/>
            <w:shd w:val="clear" w:color="auto" w:fill="auto"/>
            <w:noWrap/>
            <w:vAlign w:val="center"/>
          </w:tcPr>
          <w:p w14:paraId="03DC5AC2"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2.941</w:t>
            </w:r>
          </w:p>
        </w:tc>
        <w:tc>
          <w:tcPr>
            <w:tcW w:w="782" w:type="dxa"/>
            <w:shd w:val="clear" w:color="auto" w:fill="auto"/>
            <w:noWrap/>
            <w:vAlign w:val="center"/>
          </w:tcPr>
          <w:p w14:paraId="37927ACD"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10.194</w:t>
            </w:r>
          </w:p>
        </w:tc>
        <w:tc>
          <w:tcPr>
            <w:tcW w:w="790" w:type="dxa"/>
            <w:shd w:val="clear" w:color="auto" w:fill="auto"/>
            <w:noWrap/>
            <w:vAlign w:val="center"/>
          </w:tcPr>
          <w:p w14:paraId="097DD867"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10.955</w:t>
            </w:r>
          </w:p>
        </w:tc>
        <w:tc>
          <w:tcPr>
            <w:tcW w:w="774" w:type="dxa"/>
            <w:shd w:val="clear" w:color="auto" w:fill="auto"/>
            <w:noWrap/>
            <w:vAlign w:val="center"/>
          </w:tcPr>
          <w:p w14:paraId="3BE3974C"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1.844</w:t>
            </w:r>
          </w:p>
        </w:tc>
        <w:tc>
          <w:tcPr>
            <w:tcW w:w="868" w:type="dxa"/>
            <w:shd w:val="clear" w:color="auto" w:fill="auto"/>
            <w:noWrap/>
            <w:vAlign w:val="center"/>
          </w:tcPr>
          <w:p w14:paraId="25301B13"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531</w:t>
            </w:r>
          </w:p>
        </w:tc>
      </w:tr>
      <w:tr w:rsidR="00B010E6" w:rsidRPr="001B4CA2" w14:paraId="06D85EDF" w14:textId="77777777" w:rsidTr="009A1E7E">
        <w:trPr>
          <w:trHeight w:val="397"/>
          <w:jc w:val="center"/>
        </w:trPr>
        <w:tc>
          <w:tcPr>
            <w:tcW w:w="915" w:type="dxa"/>
            <w:shd w:val="clear" w:color="auto" w:fill="auto"/>
            <w:noWrap/>
            <w:vAlign w:val="center"/>
          </w:tcPr>
          <w:p w14:paraId="1B122058"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2022.</w:t>
            </w:r>
          </w:p>
        </w:tc>
        <w:tc>
          <w:tcPr>
            <w:tcW w:w="909" w:type="dxa"/>
            <w:shd w:val="clear" w:color="auto" w:fill="auto"/>
            <w:noWrap/>
            <w:vAlign w:val="center"/>
          </w:tcPr>
          <w:p w14:paraId="216F84F2"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141</w:t>
            </w:r>
          </w:p>
        </w:tc>
        <w:tc>
          <w:tcPr>
            <w:tcW w:w="854" w:type="dxa"/>
            <w:shd w:val="clear" w:color="auto" w:fill="auto"/>
            <w:noWrap/>
            <w:vAlign w:val="center"/>
          </w:tcPr>
          <w:p w14:paraId="4E4BFB80"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4.627</w:t>
            </w:r>
          </w:p>
        </w:tc>
        <w:tc>
          <w:tcPr>
            <w:tcW w:w="824" w:type="dxa"/>
            <w:shd w:val="clear" w:color="auto" w:fill="auto"/>
            <w:noWrap/>
            <w:vAlign w:val="center"/>
          </w:tcPr>
          <w:p w14:paraId="53FC3132" w14:textId="77777777" w:rsidR="00B010E6" w:rsidRPr="001B4CA2" w:rsidRDefault="00B010E6" w:rsidP="00B010E6">
            <w:pPr>
              <w:jc w:val="center"/>
              <w:rPr>
                <w:sz w:val="18"/>
                <w:szCs w:val="18"/>
              </w:rPr>
            </w:pPr>
            <w:r w:rsidRPr="001B4CA2">
              <w:rPr>
                <w:sz w:val="18"/>
                <w:szCs w:val="18"/>
              </w:rPr>
              <w:t>506</w:t>
            </w:r>
          </w:p>
        </w:tc>
        <w:tc>
          <w:tcPr>
            <w:tcW w:w="717" w:type="dxa"/>
            <w:shd w:val="clear" w:color="auto" w:fill="auto"/>
            <w:noWrap/>
            <w:vAlign w:val="center"/>
          </w:tcPr>
          <w:p w14:paraId="0CF820E3" w14:textId="77777777" w:rsidR="00B010E6" w:rsidRPr="001B4CA2" w:rsidRDefault="00B010E6" w:rsidP="00B010E6">
            <w:pPr>
              <w:jc w:val="center"/>
              <w:rPr>
                <w:sz w:val="18"/>
                <w:szCs w:val="18"/>
              </w:rPr>
            </w:pPr>
            <w:r w:rsidRPr="001B4CA2">
              <w:rPr>
                <w:sz w:val="18"/>
                <w:szCs w:val="18"/>
              </w:rPr>
              <w:t>1.184</w:t>
            </w:r>
          </w:p>
        </w:tc>
        <w:tc>
          <w:tcPr>
            <w:tcW w:w="803" w:type="dxa"/>
            <w:shd w:val="clear" w:color="auto" w:fill="auto"/>
            <w:noWrap/>
            <w:vAlign w:val="center"/>
          </w:tcPr>
          <w:p w14:paraId="26125026"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2.100</w:t>
            </w:r>
          </w:p>
        </w:tc>
        <w:tc>
          <w:tcPr>
            <w:tcW w:w="802" w:type="dxa"/>
            <w:shd w:val="clear" w:color="auto" w:fill="auto"/>
            <w:noWrap/>
            <w:vAlign w:val="center"/>
          </w:tcPr>
          <w:p w14:paraId="279997AD"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969</w:t>
            </w:r>
          </w:p>
        </w:tc>
        <w:tc>
          <w:tcPr>
            <w:tcW w:w="782" w:type="dxa"/>
            <w:shd w:val="clear" w:color="auto" w:fill="auto"/>
            <w:noWrap/>
            <w:vAlign w:val="center"/>
          </w:tcPr>
          <w:p w14:paraId="4A5C8178"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8.505</w:t>
            </w:r>
          </w:p>
        </w:tc>
        <w:tc>
          <w:tcPr>
            <w:tcW w:w="790" w:type="dxa"/>
            <w:shd w:val="clear" w:color="auto" w:fill="auto"/>
            <w:noWrap/>
            <w:vAlign w:val="center"/>
          </w:tcPr>
          <w:p w14:paraId="59DFA638"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9.289</w:t>
            </w:r>
          </w:p>
        </w:tc>
        <w:tc>
          <w:tcPr>
            <w:tcW w:w="774" w:type="dxa"/>
            <w:shd w:val="clear" w:color="auto" w:fill="auto"/>
            <w:noWrap/>
            <w:vAlign w:val="center"/>
          </w:tcPr>
          <w:p w14:paraId="73F89313"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2.030</w:t>
            </w:r>
          </w:p>
        </w:tc>
        <w:tc>
          <w:tcPr>
            <w:tcW w:w="868" w:type="dxa"/>
            <w:shd w:val="clear" w:color="auto" w:fill="auto"/>
            <w:noWrap/>
            <w:vAlign w:val="center"/>
          </w:tcPr>
          <w:p w14:paraId="222F2CDA"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652</w:t>
            </w:r>
          </w:p>
        </w:tc>
      </w:tr>
    </w:tbl>
    <w:p w14:paraId="35BC42EA" w14:textId="77777777" w:rsidR="00B010E6" w:rsidRPr="001B4CA2" w:rsidRDefault="00B010E6" w:rsidP="00B010E6">
      <w:pPr>
        <w:ind w:left="720"/>
        <w:contextualSpacing/>
        <w:jc w:val="left"/>
        <w:rPr>
          <w:i/>
          <w:sz w:val="20"/>
          <w:szCs w:val="20"/>
        </w:rPr>
      </w:pPr>
    </w:p>
    <w:p w14:paraId="03B2EC52" w14:textId="254F6D0A" w:rsidR="00B010E6" w:rsidRPr="001B4CA2" w:rsidRDefault="00B010E6" w:rsidP="00B010E6">
      <w:pPr>
        <w:tabs>
          <w:tab w:val="left" w:pos="851"/>
        </w:tabs>
        <w:ind w:firstLine="708"/>
      </w:pPr>
      <w:r w:rsidRPr="001B4CA2">
        <w:tab/>
        <w:t>Tijekom 2022. godine primljeno je 4</w:t>
      </w:r>
      <w:r w:rsidR="00343018">
        <w:t>.</w:t>
      </w:r>
      <w:r w:rsidRPr="001B4CA2">
        <w:t>627 novih zahtjeva u parničnim postupcima</w:t>
      </w:r>
      <w:r w:rsidR="00343018">
        <w:t>,</w:t>
      </w:r>
      <w:r w:rsidRPr="001B4CA2">
        <w:t xml:space="preserve"> što je najmanji priljev u promatranom petogodišnjem razdoblju. U odnosu na 2021. zaprimljeno je 2</w:t>
      </w:r>
      <w:r w:rsidR="00343018">
        <w:t>.</w:t>
      </w:r>
      <w:r w:rsidRPr="001B4CA2">
        <w:t>986 ili 39</w:t>
      </w:r>
      <w:r w:rsidR="00343018">
        <w:t> </w:t>
      </w:r>
      <w:r w:rsidRPr="001B4CA2">
        <w:t>% manje zahtjeva u parničnim predmetima.</w:t>
      </w:r>
    </w:p>
    <w:p w14:paraId="0220A5CA" w14:textId="106CDC89" w:rsidR="00B010E6" w:rsidRPr="001B4CA2" w:rsidRDefault="00B010E6" w:rsidP="00B010E6">
      <w:pPr>
        <w:tabs>
          <w:tab w:val="left" w:pos="851"/>
        </w:tabs>
        <w:ind w:firstLine="708"/>
      </w:pPr>
      <w:r w:rsidRPr="001B4CA2">
        <w:lastRenderedPageBreak/>
        <w:t xml:space="preserve">Razlog smanjenju broja primljenih predmeta na razini općinskih državnih odvjetništava izostanak </w:t>
      </w:r>
      <w:r w:rsidR="00343018" w:rsidRPr="001B4CA2">
        <w:t xml:space="preserve">je </w:t>
      </w:r>
      <w:r w:rsidRPr="001B4CA2">
        <w:t xml:space="preserve">radnih sporova kojih je u prethodnim godinama bio velik broj. </w:t>
      </w:r>
    </w:p>
    <w:p w14:paraId="3984D900" w14:textId="77777777" w:rsidR="00B010E6" w:rsidRPr="001B4CA2" w:rsidRDefault="00B010E6" w:rsidP="00B010E6">
      <w:pPr>
        <w:tabs>
          <w:tab w:val="left" w:pos="851"/>
        </w:tabs>
        <w:ind w:firstLine="708"/>
      </w:pPr>
    </w:p>
    <w:p w14:paraId="3885ABB2" w14:textId="5383F045" w:rsidR="00B010E6" w:rsidRPr="001B4CA2" w:rsidRDefault="00B010E6" w:rsidP="00B010E6">
      <w:pPr>
        <w:tabs>
          <w:tab w:val="left" w:pos="851"/>
        </w:tabs>
        <w:ind w:firstLine="708"/>
      </w:pPr>
      <w:r w:rsidRPr="001B4CA2">
        <w:t xml:space="preserve">Jedan od razloga smanjenja ovog broja </w:t>
      </w:r>
      <w:r w:rsidR="00343018" w:rsidRPr="001B4CA2">
        <w:t xml:space="preserve">svakako </w:t>
      </w:r>
      <w:r w:rsidRPr="001B4CA2">
        <w:t>je i intenzivan rad na predmetima preventivne djelatnosti te velik broj zaključenih nagodbi kao i obrazloženih odluka kojima se zahtjevi za mirno rješenje spora odbijaju</w:t>
      </w:r>
      <w:r w:rsidR="00343018">
        <w:t>,</w:t>
      </w:r>
      <w:r w:rsidRPr="001B4CA2">
        <w:t xml:space="preserve"> nakon čega ne dolazi do pokretanja parničnih postupaka. </w:t>
      </w:r>
    </w:p>
    <w:p w14:paraId="7B189C35" w14:textId="77777777" w:rsidR="00B010E6" w:rsidRPr="001B4CA2" w:rsidRDefault="00B010E6" w:rsidP="00B010E6">
      <w:pPr>
        <w:tabs>
          <w:tab w:val="left" w:pos="851"/>
        </w:tabs>
        <w:ind w:firstLine="708"/>
      </w:pPr>
    </w:p>
    <w:p w14:paraId="7A2DA791" w14:textId="0D5C61C0" w:rsidR="00B010E6" w:rsidRPr="001B4CA2" w:rsidRDefault="00B010E6" w:rsidP="00B010E6">
      <w:pPr>
        <w:tabs>
          <w:tab w:val="left" w:pos="851"/>
        </w:tabs>
        <w:ind w:firstLine="708"/>
      </w:pPr>
      <w:r w:rsidRPr="001B4CA2">
        <w:t xml:space="preserve">Nadalje, iz tabele proizlazi da je ažurnost donošenja odluka vrlo visoka budući </w:t>
      </w:r>
      <w:r w:rsidR="00343018">
        <w:t xml:space="preserve">da </w:t>
      </w:r>
      <w:r w:rsidRPr="001B4CA2">
        <w:t>su gotovo svi predmeti u radu riješeni tijekom izvještajnog razdoblja, od čega je u 506 predmeta odbijena inicijativa nadležnih tijela za postupanje jer je ocijenjena kao pravno neutemeljena.</w:t>
      </w:r>
    </w:p>
    <w:p w14:paraId="448271DE" w14:textId="77777777" w:rsidR="00B010E6" w:rsidRPr="001B4CA2" w:rsidRDefault="00B010E6" w:rsidP="00B010E6"/>
    <w:p w14:paraId="5B5725CB" w14:textId="6171D8D8" w:rsidR="00B010E6" w:rsidRPr="001B4CA2" w:rsidRDefault="00B010E6" w:rsidP="00B010E6">
      <w:pPr>
        <w:ind w:firstLine="705"/>
      </w:pPr>
      <w:r w:rsidRPr="001B4CA2">
        <w:t>Pred prvostupanjskim sudovima u tijeku je 9</w:t>
      </w:r>
      <w:r w:rsidR="00343018">
        <w:t>.</w:t>
      </w:r>
      <w:r w:rsidRPr="001B4CA2">
        <w:t>289 postupaka u kojima sud nije donio odluku</w:t>
      </w:r>
      <w:r w:rsidR="00343018">
        <w:t>,</w:t>
      </w:r>
      <w:r w:rsidRPr="001B4CA2">
        <w:t xml:space="preserve"> što je nešto manje nego u prethodnoj godini. Kako bi se dobila slika stvarnog opterećenja</w:t>
      </w:r>
      <w:r w:rsidR="001B4CA2">
        <w:t xml:space="preserve"> </w:t>
      </w:r>
      <w:r w:rsidRPr="001B4CA2">
        <w:t>općinskih državnih odvjetništava, tom broju treba pribrojiti 4</w:t>
      </w:r>
      <w:r w:rsidR="00343018">
        <w:t>.</w:t>
      </w:r>
      <w:r w:rsidRPr="001B4CA2">
        <w:t>627 novih predmeta zaprimljenih u izvještajnoj godini.</w:t>
      </w:r>
    </w:p>
    <w:p w14:paraId="75AE0F04" w14:textId="77777777" w:rsidR="00B010E6" w:rsidRPr="001B4CA2" w:rsidRDefault="00B010E6" w:rsidP="00B010E6">
      <w:pPr>
        <w:rPr>
          <w:sz w:val="20"/>
          <w:szCs w:val="20"/>
        </w:rPr>
      </w:pPr>
      <w:r w:rsidRPr="001B4CA2">
        <w:rPr>
          <w:sz w:val="20"/>
          <w:szCs w:val="20"/>
        </w:rPr>
        <w:tab/>
      </w:r>
    </w:p>
    <w:p w14:paraId="0C585178" w14:textId="16CD6D8C" w:rsidR="00B010E6" w:rsidRPr="001B4CA2" w:rsidRDefault="00B010E6" w:rsidP="00B010E6">
      <w:pPr>
        <w:pStyle w:val="Odlomakpopisa"/>
        <w:numPr>
          <w:ilvl w:val="0"/>
          <w:numId w:val="35"/>
        </w:numPr>
        <w:jc w:val="left"/>
        <w:rPr>
          <w:rFonts w:asciiTheme="minorHAnsi" w:hAnsiTheme="minorHAnsi" w:cstheme="minorBidi"/>
          <w:i/>
          <w:szCs w:val="22"/>
        </w:rPr>
      </w:pPr>
      <w:r w:rsidRPr="001B4CA2">
        <w:rPr>
          <w:rFonts w:asciiTheme="minorHAnsi" w:hAnsiTheme="minorHAnsi" w:cstheme="minorBidi"/>
          <w:i/>
          <w:szCs w:val="22"/>
        </w:rPr>
        <w:t>Broj tužbenih zahtjeva u parničnim predmetima po procesnom položaju tužitelj/tuženik/</w:t>
      </w:r>
      <w:proofErr w:type="spellStart"/>
      <w:r w:rsidRPr="001B4CA2">
        <w:rPr>
          <w:rFonts w:asciiTheme="minorHAnsi" w:hAnsiTheme="minorHAnsi" w:cstheme="minorBidi"/>
          <w:i/>
          <w:szCs w:val="22"/>
        </w:rPr>
        <w:t>umješač</w:t>
      </w:r>
      <w:proofErr w:type="spellEnd"/>
      <w:r w:rsidRPr="001B4CA2">
        <w:rPr>
          <w:rFonts w:asciiTheme="minorHAnsi" w:hAnsiTheme="minorHAnsi" w:cstheme="minorBidi"/>
          <w:i/>
          <w:szCs w:val="22"/>
        </w:rPr>
        <w:t xml:space="preserve"> i vrijednosti</w:t>
      </w:r>
      <w:r w:rsidR="001B4CA2">
        <w:rPr>
          <w:rFonts w:asciiTheme="minorHAnsi" w:hAnsiTheme="minorHAnsi" w:cstheme="minorBidi"/>
          <w:i/>
          <w:szCs w:val="22"/>
        </w:rPr>
        <w:t xml:space="preserve"> </w:t>
      </w:r>
      <w:r w:rsidRPr="001B4CA2">
        <w:rPr>
          <w:rFonts w:asciiTheme="minorHAnsi" w:hAnsiTheme="minorHAnsi" w:cstheme="minorBidi"/>
          <w:i/>
          <w:szCs w:val="22"/>
        </w:rPr>
        <w:t>2018.</w:t>
      </w:r>
      <w:r w:rsidR="00F47D60">
        <w:rPr>
          <w:rFonts w:asciiTheme="minorHAnsi" w:hAnsiTheme="minorHAnsi" w:cstheme="minorBidi"/>
          <w:i/>
          <w:szCs w:val="22"/>
        </w:rPr>
        <w:t xml:space="preserve"> – </w:t>
      </w:r>
      <w:r w:rsidRPr="001B4CA2">
        <w:rPr>
          <w:rFonts w:asciiTheme="minorHAnsi" w:hAnsiTheme="minorHAnsi" w:cstheme="minorBidi"/>
          <w:i/>
          <w:szCs w:val="22"/>
        </w:rPr>
        <w:t xml:space="preserve">2022. </w:t>
      </w:r>
    </w:p>
    <w:tbl>
      <w:tblPr>
        <w:tblW w:w="9036" w:type="dxa"/>
        <w:jc w:val="center"/>
        <w:tblLook w:val="04A0" w:firstRow="1" w:lastRow="0" w:firstColumn="1" w:lastColumn="0" w:noHBand="0" w:noVBand="1"/>
      </w:tblPr>
      <w:tblGrid>
        <w:gridCol w:w="667"/>
        <w:gridCol w:w="3031"/>
        <w:gridCol w:w="1377"/>
        <w:gridCol w:w="1605"/>
        <w:gridCol w:w="1309"/>
        <w:gridCol w:w="1047"/>
      </w:tblGrid>
      <w:tr w:rsidR="00B010E6" w:rsidRPr="001B4CA2" w14:paraId="2E1571CE" w14:textId="77777777" w:rsidTr="001D4F0F">
        <w:trPr>
          <w:trHeight w:val="759"/>
          <w:jc w:val="center"/>
        </w:trPr>
        <w:tc>
          <w:tcPr>
            <w:tcW w:w="3530" w:type="dxa"/>
            <w:gridSpan w:val="2"/>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333A2CC8" w14:textId="77777777" w:rsidR="00B010E6" w:rsidRPr="001B4CA2" w:rsidRDefault="00B010E6" w:rsidP="00B010E6">
            <w:pPr>
              <w:jc w:val="center"/>
              <w:rPr>
                <w:rFonts w:eastAsia="Times New Roman"/>
                <w:b/>
                <w:sz w:val="18"/>
                <w:szCs w:val="18"/>
                <w:lang w:eastAsia="hr-HR"/>
              </w:rPr>
            </w:pPr>
            <w:r w:rsidRPr="001B4CA2">
              <w:rPr>
                <w:rFonts w:eastAsia="Times New Roman"/>
                <w:b/>
                <w:sz w:val="18"/>
                <w:szCs w:val="18"/>
                <w:lang w:eastAsia="hr-HR"/>
              </w:rPr>
              <w:t>Zastupanje RH</w:t>
            </w:r>
          </w:p>
        </w:tc>
        <w:tc>
          <w:tcPr>
            <w:tcW w:w="1377" w:type="dxa"/>
            <w:tcBorders>
              <w:top w:val="single" w:sz="4" w:space="0" w:color="auto"/>
              <w:left w:val="nil"/>
              <w:bottom w:val="single" w:sz="4" w:space="0" w:color="auto"/>
              <w:right w:val="single" w:sz="4" w:space="0" w:color="auto"/>
            </w:tcBorders>
            <w:shd w:val="clear" w:color="000000" w:fill="99CCFF"/>
            <w:noWrap/>
            <w:vAlign w:val="center"/>
            <w:hideMark/>
          </w:tcPr>
          <w:p w14:paraId="59D4B35F" w14:textId="77777777" w:rsidR="00B010E6" w:rsidRPr="001B4CA2" w:rsidRDefault="00B010E6" w:rsidP="00B010E6">
            <w:pPr>
              <w:jc w:val="center"/>
              <w:rPr>
                <w:rFonts w:eastAsia="Times New Roman"/>
                <w:b/>
                <w:sz w:val="18"/>
                <w:szCs w:val="18"/>
                <w:lang w:eastAsia="hr-HR"/>
              </w:rPr>
            </w:pPr>
            <w:r w:rsidRPr="001B4CA2">
              <w:rPr>
                <w:rFonts w:eastAsia="Times New Roman"/>
                <w:b/>
                <w:sz w:val="18"/>
                <w:szCs w:val="18"/>
                <w:lang w:eastAsia="hr-HR"/>
              </w:rPr>
              <w:t>Tužitelj</w:t>
            </w:r>
          </w:p>
        </w:tc>
        <w:tc>
          <w:tcPr>
            <w:tcW w:w="1605" w:type="dxa"/>
            <w:tcBorders>
              <w:top w:val="single" w:sz="4" w:space="0" w:color="auto"/>
              <w:left w:val="nil"/>
              <w:bottom w:val="single" w:sz="4" w:space="0" w:color="auto"/>
              <w:right w:val="single" w:sz="4" w:space="0" w:color="auto"/>
            </w:tcBorders>
            <w:shd w:val="clear" w:color="000000" w:fill="99CCFF"/>
            <w:noWrap/>
            <w:vAlign w:val="center"/>
            <w:hideMark/>
          </w:tcPr>
          <w:p w14:paraId="4FF21EA0" w14:textId="77777777" w:rsidR="00B010E6" w:rsidRPr="001B4CA2" w:rsidRDefault="00B010E6" w:rsidP="00B010E6">
            <w:pPr>
              <w:jc w:val="center"/>
              <w:rPr>
                <w:rFonts w:eastAsia="Times New Roman"/>
                <w:b/>
                <w:sz w:val="18"/>
                <w:szCs w:val="18"/>
                <w:lang w:eastAsia="hr-HR"/>
              </w:rPr>
            </w:pPr>
            <w:r w:rsidRPr="001B4CA2">
              <w:rPr>
                <w:rFonts w:eastAsia="Times New Roman"/>
                <w:b/>
                <w:sz w:val="18"/>
                <w:szCs w:val="18"/>
                <w:lang w:eastAsia="hr-HR"/>
              </w:rPr>
              <w:t>Tuženik</w:t>
            </w:r>
          </w:p>
        </w:tc>
        <w:tc>
          <w:tcPr>
            <w:tcW w:w="1477" w:type="dxa"/>
            <w:tcBorders>
              <w:top w:val="single" w:sz="4" w:space="0" w:color="auto"/>
              <w:left w:val="nil"/>
              <w:bottom w:val="single" w:sz="4" w:space="0" w:color="auto"/>
              <w:right w:val="single" w:sz="4" w:space="0" w:color="auto"/>
            </w:tcBorders>
            <w:shd w:val="clear" w:color="000000" w:fill="99CCFF"/>
            <w:vAlign w:val="center"/>
          </w:tcPr>
          <w:p w14:paraId="168DB52C" w14:textId="77777777" w:rsidR="00B010E6" w:rsidRPr="001B4CA2" w:rsidRDefault="00B010E6" w:rsidP="00B010E6">
            <w:pPr>
              <w:jc w:val="center"/>
              <w:rPr>
                <w:rFonts w:eastAsia="Times New Roman"/>
                <w:b/>
                <w:bCs/>
                <w:sz w:val="18"/>
                <w:szCs w:val="18"/>
                <w:lang w:eastAsia="hr-HR"/>
              </w:rPr>
            </w:pPr>
            <w:proofErr w:type="spellStart"/>
            <w:r w:rsidRPr="001B4CA2">
              <w:rPr>
                <w:rFonts w:eastAsia="Times New Roman"/>
                <w:b/>
                <w:bCs/>
                <w:sz w:val="18"/>
                <w:szCs w:val="18"/>
                <w:lang w:eastAsia="hr-HR"/>
              </w:rPr>
              <w:t>Umješač</w:t>
            </w:r>
            <w:proofErr w:type="spellEnd"/>
          </w:p>
        </w:tc>
        <w:tc>
          <w:tcPr>
            <w:tcW w:w="1047"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556C12AE" w14:textId="77777777" w:rsidR="00B010E6" w:rsidRPr="001B4CA2" w:rsidRDefault="00B010E6" w:rsidP="00B010E6">
            <w:pPr>
              <w:jc w:val="center"/>
              <w:rPr>
                <w:rFonts w:eastAsia="Times New Roman"/>
                <w:b/>
                <w:bCs/>
                <w:sz w:val="18"/>
                <w:szCs w:val="18"/>
                <w:lang w:eastAsia="hr-HR"/>
              </w:rPr>
            </w:pPr>
            <w:r w:rsidRPr="001B4CA2">
              <w:rPr>
                <w:rFonts w:eastAsia="Times New Roman"/>
                <w:b/>
                <w:bCs/>
                <w:sz w:val="18"/>
                <w:szCs w:val="18"/>
                <w:lang w:eastAsia="hr-HR"/>
              </w:rPr>
              <w:t>Ukupno</w:t>
            </w:r>
          </w:p>
        </w:tc>
      </w:tr>
      <w:tr w:rsidR="00B010E6" w:rsidRPr="001B4CA2" w14:paraId="56A6ABDB" w14:textId="77777777" w:rsidTr="001D4F0F">
        <w:trPr>
          <w:trHeight w:val="399"/>
          <w:jc w:val="center"/>
        </w:trPr>
        <w:tc>
          <w:tcPr>
            <w:tcW w:w="419" w:type="dxa"/>
            <w:vMerge w:val="restart"/>
            <w:tcBorders>
              <w:top w:val="single" w:sz="4" w:space="0" w:color="auto"/>
              <w:left w:val="single" w:sz="4" w:space="0" w:color="auto"/>
              <w:bottom w:val="single" w:sz="4" w:space="0" w:color="auto"/>
              <w:right w:val="single" w:sz="4" w:space="0" w:color="auto"/>
            </w:tcBorders>
            <w:shd w:val="clear" w:color="000000" w:fill="99CCFF"/>
            <w:noWrap/>
            <w:vAlign w:val="center"/>
          </w:tcPr>
          <w:p w14:paraId="07BBC873"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2018.</w:t>
            </w:r>
          </w:p>
        </w:tc>
        <w:tc>
          <w:tcPr>
            <w:tcW w:w="3111" w:type="dxa"/>
            <w:tcBorders>
              <w:top w:val="single" w:sz="4" w:space="0" w:color="auto"/>
              <w:left w:val="nil"/>
              <w:bottom w:val="single" w:sz="4" w:space="0" w:color="auto"/>
              <w:right w:val="single" w:sz="4" w:space="0" w:color="auto"/>
            </w:tcBorders>
            <w:shd w:val="clear" w:color="auto" w:fill="auto"/>
            <w:vAlign w:val="center"/>
          </w:tcPr>
          <w:p w14:paraId="4A05AABC"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Broj zahtjeva</w:t>
            </w:r>
          </w:p>
        </w:tc>
        <w:tc>
          <w:tcPr>
            <w:tcW w:w="1377" w:type="dxa"/>
            <w:tcBorders>
              <w:top w:val="nil"/>
              <w:left w:val="nil"/>
              <w:bottom w:val="single" w:sz="4" w:space="0" w:color="auto"/>
              <w:right w:val="single" w:sz="4" w:space="0" w:color="auto"/>
            </w:tcBorders>
            <w:shd w:val="clear" w:color="auto" w:fill="auto"/>
            <w:noWrap/>
            <w:vAlign w:val="center"/>
          </w:tcPr>
          <w:p w14:paraId="5673C8A9"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1.218</w:t>
            </w:r>
          </w:p>
        </w:tc>
        <w:tc>
          <w:tcPr>
            <w:tcW w:w="1605" w:type="dxa"/>
            <w:tcBorders>
              <w:top w:val="nil"/>
              <w:left w:val="nil"/>
              <w:bottom w:val="single" w:sz="4" w:space="0" w:color="auto"/>
              <w:right w:val="single" w:sz="4" w:space="0" w:color="auto"/>
            </w:tcBorders>
            <w:shd w:val="clear" w:color="auto" w:fill="auto"/>
            <w:noWrap/>
            <w:vAlign w:val="center"/>
          </w:tcPr>
          <w:p w14:paraId="32E5D77C"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3.428</w:t>
            </w:r>
          </w:p>
        </w:tc>
        <w:tc>
          <w:tcPr>
            <w:tcW w:w="1477" w:type="dxa"/>
            <w:tcBorders>
              <w:top w:val="single" w:sz="4" w:space="0" w:color="auto"/>
              <w:left w:val="nil"/>
              <w:bottom w:val="single" w:sz="4" w:space="0" w:color="auto"/>
              <w:right w:val="single" w:sz="4" w:space="0" w:color="auto"/>
            </w:tcBorders>
            <w:vAlign w:val="center"/>
          </w:tcPr>
          <w:p w14:paraId="36886C97" w14:textId="77777777" w:rsidR="00B010E6" w:rsidRPr="001B4CA2" w:rsidRDefault="00B010E6" w:rsidP="00B010E6">
            <w:pPr>
              <w:jc w:val="center"/>
              <w:rPr>
                <w:rFonts w:eastAsia="Times New Roman"/>
                <w:b/>
                <w:bCs/>
                <w:sz w:val="18"/>
                <w:szCs w:val="18"/>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AADB4" w14:textId="77777777" w:rsidR="00B010E6" w:rsidRPr="001B4CA2" w:rsidRDefault="00B010E6" w:rsidP="00B010E6">
            <w:pPr>
              <w:jc w:val="center"/>
              <w:rPr>
                <w:rFonts w:eastAsia="Times New Roman"/>
                <w:b/>
                <w:bCs/>
                <w:sz w:val="18"/>
                <w:szCs w:val="18"/>
                <w:lang w:eastAsia="hr-HR"/>
              </w:rPr>
            </w:pPr>
            <w:r w:rsidRPr="001B4CA2">
              <w:rPr>
                <w:rFonts w:eastAsia="Times New Roman"/>
                <w:b/>
                <w:bCs/>
                <w:color w:val="000000"/>
                <w:sz w:val="18"/>
                <w:szCs w:val="18"/>
                <w:lang w:eastAsia="hr-HR"/>
              </w:rPr>
              <w:t>4.646</w:t>
            </w:r>
          </w:p>
        </w:tc>
      </w:tr>
      <w:tr w:rsidR="00B010E6" w:rsidRPr="001B4CA2" w14:paraId="01463294" w14:textId="77777777" w:rsidTr="001D4F0F">
        <w:trPr>
          <w:trHeight w:val="399"/>
          <w:jc w:val="center"/>
        </w:trPr>
        <w:tc>
          <w:tcPr>
            <w:tcW w:w="419" w:type="dxa"/>
            <w:vMerge/>
            <w:tcBorders>
              <w:top w:val="single" w:sz="4" w:space="0" w:color="auto"/>
              <w:left w:val="single" w:sz="4" w:space="0" w:color="auto"/>
              <w:bottom w:val="single" w:sz="4" w:space="0" w:color="auto"/>
              <w:right w:val="single" w:sz="4" w:space="0" w:color="auto"/>
            </w:tcBorders>
            <w:vAlign w:val="center"/>
          </w:tcPr>
          <w:p w14:paraId="531BC5C0" w14:textId="77777777" w:rsidR="00B010E6" w:rsidRPr="001B4CA2" w:rsidRDefault="00B010E6" w:rsidP="00B010E6">
            <w:pPr>
              <w:jc w:val="left"/>
              <w:rPr>
                <w:rFonts w:eastAsia="Times New Roman"/>
                <w:sz w:val="18"/>
                <w:szCs w:val="18"/>
                <w:lang w:eastAsia="hr-HR"/>
              </w:rPr>
            </w:pPr>
          </w:p>
        </w:tc>
        <w:tc>
          <w:tcPr>
            <w:tcW w:w="3111" w:type="dxa"/>
            <w:tcBorders>
              <w:top w:val="single" w:sz="4" w:space="0" w:color="auto"/>
              <w:left w:val="nil"/>
              <w:bottom w:val="single" w:sz="4" w:space="0" w:color="auto"/>
              <w:right w:val="single" w:sz="4" w:space="0" w:color="auto"/>
            </w:tcBorders>
            <w:shd w:val="clear" w:color="auto" w:fill="auto"/>
            <w:vAlign w:val="center"/>
          </w:tcPr>
          <w:p w14:paraId="6B7E44BE"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w:t>
            </w:r>
          </w:p>
        </w:tc>
        <w:tc>
          <w:tcPr>
            <w:tcW w:w="1377" w:type="dxa"/>
            <w:tcBorders>
              <w:top w:val="nil"/>
              <w:left w:val="nil"/>
              <w:bottom w:val="single" w:sz="4" w:space="0" w:color="auto"/>
              <w:right w:val="single" w:sz="4" w:space="0" w:color="auto"/>
            </w:tcBorders>
            <w:shd w:val="clear" w:color="auto" w:fill="auto"/>
            <w:noWrap/>
            <w:vAlign w:val="center"/>
          </w:tcPr>
          <w:p w14:paraId="66201FBD"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26,20</w:t>
            </w:r>
          </w:p>
        </w:tc>
        <w:tc>
          <w:tcPr>
            <w:tcW w:w="1605" w:type="dxa"/>
            <w:tcBorders>
              <w:top w:val="nil"/>
              <w:left w:val="nil"/>
              <w:bottom w:val="single" w:sz="4" w:space="0" w:color="auto"/>
              <w:right w:val="single" w:sz="4" w:space="0" w:color="auto"/>
            </w:tcBorders>
            <w:shd w:val="clear" w:color="auto" w:fill="auto"/>
            <w:noWrap/>
            <w:vAlign w:val="center"/>
          </w:tcPr>
          <w:p w14:paraId="796E7318"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73,80</w:t>
            </w:r>
          </w:p>
        </w:tc>
        <w:tc>
          <w:tcPr>
            <w:tcW w:w="1477" w:type="dxa"/>
            <w:tcBorders>
              <w:top w:val="single" w:sz="4" w:space="0" w:color="auto"/>
              <w:left w:val="nil"/>
              <w:bottom w:val="single" w:sz="4" w:space="0" w:color="auto"/>
              <w:right w:val="single" w:sz="4" w:space="0" w:color="auto"/>
            </w:tcBorders>
            <w:vAlign w:val="center"/>
          </w:tcPr>
          <w:p w14:paraId="1D424CF7" w14:textId="77777777" w:rsidR="00B010E6" w:rsidRPr="001B4CA2" w:rsidRDefault="00B010E6" w:rsidP="00B010E6">
            <w:pPr>
              <w:jc w:val="center"/>
              <w:rPr>
                <w:rFonts w:eastAsia="Times New Roman"/>
                <w:b/>
                <w:bCs/>
                <w:sz w:val="18"/>
                <w:szCs w:val="18"/>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F7347" w14:textId="77777777" w:rsidR="00B010E6" w:rsidRPr="001B4CA2" w:rsidRDefault="00B010E6" w:rsidP="00B010E6">
            <w:pPr>
              <w:jc w:val="center"/>
              <w:rPr>
                <w:rFonts w:eastAsia="Times New Roman"/>
                <w:b/>
                <w:bCs/>
                <w:sz w:val="18"/>
                <w:szCs w:val="18"/>
                <w:lang w:eastAsia="hr-HR"/>
              </w:rPr>
            </w:pPr>
            <w:r w:rsidRPr="001B4CA2">
              <w:rPr>
                <w:rFonts w:eastAsia="Times New Roman"/>
                <w:b/>
                <w:bCs/>
                <w:color w:val="000000"/>
                <w:sz w:val="18"/>
                <w:szCs w:val="18"/>
                <w:lang w:eastAsia="hr-HR"/>
              </w:rPr>
              <w:t>100</w:t>
            </w:r>
          </w:p>
        </w:tc>
      </w:tr>
      <w:tr w:rsidR="00B010E6" w:rsidRPr="001B4CA2" w14:paraId="39E1910E" w14:textId="77777777" w:rsidTr="001D4F0F">
        <w:trPr>
          <w:trHeight w:val="399"/>
          <w:jc w:val="center"/>
        </w:trPr>
        <w:tc>
          <w:tcPr>
            <w:tcW w:w="419" w:type="dxa"/>
            <w:vMerge/>
            <w:tcBorders>
              <w:top w:val="single" w:sz="4" w:space="0" w:color="auto"/>
              <w:left w:val="single" w:sz="4" w:space="0" w:color="auto"/>
              <w:bottom w:val="single" w:sz="4" w:space="0" w:color="auto"/>
              <w:right w:val="single" w:sz="4" w:space="0" w:color="auto"/>
            </w:tcBorders>
            <w:vAlign w:val="center"/>
          </w:tcPr>
          <w:p w14:paraId="7D0F0BB0" w14:textId="77777777" w:rsidR="00B010E6" w:rsidRPr="001B4CA2" w:rsidRDefault="00B010E6" w:rsidP="00B010E6">
            <w:pPr>
              <w:jc w:val="left"/>
              <w:rPr>
                <w:rFonts w:eastAsia="Times New Roman"/>
                <w:sz w:val="18"/>
                <w:szCs w:val="18"/>
                <w:lang w:eastAsia="hr-HR"/>
              </w:rPr>
            </w:pPr>
          </w:p>
        </w:tc>
        <w:tc>
          <w:tcPr>
            <w:tcW w:w="3111" w:type="dxa"/>
            <w:tcBorders>
              <w:top w:val="single" w:sz="4" w:space="0" w:color="auto"/>
              <w:left w:val="nil"/>
              <w:bottom w:val="single" w:sz="4" w:space="0" w:color="auto"/>
              <w:right w:val="single" w:sz="4" w:space="0" w:color="auto"/>
            </w:tcBorders>
            <w:shd w:val="clear" w:color="auto" w:fill="auto"/>
            <w:vAlign w:val="center"/>
          </w:tcPr>
          <w:p w14:paraId="45405A6C"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377" w:type="dxa"/>
            <w:tcBorders>
              <w:top w:val="nil"/>
              <w:left w:val="nil"/>
              <w:bottom w:val="single" w:sz="4" w:space="0" w:color="auto"/>
              <w:right w:val="single" w:sz="4" w:space="0" w:color="auto"/>
            </w:tcBorders>
            <w:shd w:val="clear" w:color="auto" w:fill="auto"/>
            <w:noWrap/>
            <w:vAlign w:val="center"/>
          </w:tcPr>
          <w:p w14:paraId="50D9AD70"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141.781</w:t>
            </w:r>
          </w:p>
        </w:tc>
        <w:tc>
          <w:tcPr>
            <w:tcW w:w="1605" w:type="dxa"/>
            <w:tcBorders>
              <w:top w:val="nil"/>
              <w:left w:val="nil"/>
              <w:bottom w:val="single" w:sz="4" w:space="0" w:color="auto"/>
              <w:right w:val="single" w:sz="4" w:space="0" w:color="auto"/>
            </w:tcBorders>
            <w:shd w:val="clear" w:color="auto" w:fill="auto"/>
            <w:noWrap/>
            <w:vAlign w:val="center"/>
          </w:tcPr>
          <w:p w14:paraId="49DF711C"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464.541</w:t>
            </w:r>
          </w:p>
        </w:tc>
        <w:tc>
          <w:tcPr>
            <w:tcW w:w="1477" w:type="dxa"/>
            <w:tcBorders>
              <w:top w:val="single" w:sz="4" w:space="0" w:color="auto"/>
              <w:left w:val="nil"/>
              <w:bottom w:val="single" w:sz="4" w:space="0" w:color="auto"/>
              <w:right w:val="single" w:sz="4" w:space="0" w:color="auto"/>
            </w:tcBorders>
            <w:vAlign w:val="center"/>
          </w:tcPr>
          <w:p w14:paraId="1C032DB2" w14:textId="77777777" w:rsidR="00B010E6" w:rsidRPr="001B4CA2" w:rsidRDefault="00B010E6" w:rsidP="00B010E6">
            <w:pPr>
              <w:jc w:val="center"/>
              <w:rPr>
                <w:rFonts w:eastAsia="Times New Roman"/>
                <w:b/>
                <w:bCs/>
                <w:sz w:val="18"/>
                <w:szCs w:val="18"/>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CB611" w14:textId="77777777" w:rsidR="00B010E6" w:rsidRPr="001B4CA2" w:rsidRDefault="00B010E6" w:rsidP="00B010E6">
            <w:pPr>
              <w:jc w:val="center"/>
              <w:rPr>
                <w:rFonts w:eastAsia="Times New Roman"/>
                <w:b/>
                <w:bCs/>
                <w:sz w:val="18"/>
                <w:szCs w:val="18"/>
                <w:lang w:eastAsia="hr-HR"/>
              </w:rPr>
            </w:pPr>
            <w:r w:rsidRPr="001B4CA2">
              <w:rPr>
                <w:rFonts w:eastAsia="Times New Roman"/>
                <w:b/>
                <w:bCs/>
                <w:color w:val="000000"/>
                <w:sz w:val="18"/>
                <w:szCs w:val="18"/>
                <w:lang w:eastAsia="hr-HR"/>
              </w:rPr>
              <w:t>606.322</w:t>
            </w:r>
          </w:p>
        </w:tc>
      </w:tr>
      <w:tr w:rsidR="00B010E6" w:rsidRPr="001B4CA2" w14:paraId="5BD4D1D9" w14:textId="77777777" w:rsidTr="001D4F0F">
        <w:trPr>
          <w:trHeight w:val="399"/>
          <w:jc w:val="center"/>
        </w:trPr>
        <w:tc>
          <w:tcPr>
            <w:tcW w:w="419" w:type="dxa"/>
            <w:vMerge w:val="restart"/>
            <w:tcBorders>
              <w:top w:val="single" w:sz="4" w:space="0" w:color="auto"/>
              <w:left w:val="single" w:sz="4" w:space="0" w:color="auto"/>
              <w:bottom w:val="single" w:sz="4" w:space="0" w:color="auto"/>
              <w:right w:val="single" w:sz="4" w:space="0" w:color="auto"/>
            </w:tcBorders>
            <w:shd w:val="clear" w:color="000000" w:fill="99CCFF"/>
            <w:noWrap/>
            <w:vAlign w:val="center"/>
          </w:tcPr>
          <w:p w14:paraId="1D8688A0"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2019.</w:t>
            </w:r>
          </w:p>
        </w:tc>
        <w:tc>
          <w:tcPr>
            <w:tcW w:w="3111" w:type="dxa"/>
            <w:tcBorders>
              <w:top w:val="single" w:sz="4" w:space="0" w:color="auto"/>
              <w:left w:val="nil"/>
              <w:bottom w:val="single" w:sz="4" w:space="0" w:color="auto"/>
              <w:right w:val="single" w:sz="4" w:space="0" w:color="auto"/>
            </w:tcBorders>
            <w:shd w:val="clear" w:color="auto" w:fill="auto"/>
            <w:vAlign w:val="center"/>
          </w:tcPr>
          <w:p w14:paraId="4D3420FD"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Broj zahtjeva</w:t>
            </w:r>
          </w:p>
        </w:tc>
        <w:tc>
          <w:tcPr>
            <w:tcW w:w="1377" w:type="dxa"/>
            <w:tcBorders>
              <w:top w:val="nil"/>
              <w:left w:val="nil"/>
              <w:bottom w:val="single" w:sz="4" w:space="0" w:color="auto"/>
              <w:right w:val="single" w:sz="4" w:space="0" w:color="auto"/>
            </w:tcBorders>
            <w:shd w:val="clear" w:color="auto" w:fill="auto"/>
            <w:noWrap/>
            <w:vAlign w:val="center"/>
          </w:tcPr>
          <w:p w14:paraId="63E272F5"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1.134</w:t>
            </w:r>
          </w:p>
        </w:tc>
        <w:tc>
          <w:tcPr>
            <w:tcW w:w="1605" w:type="dxa"/>
            <w:tcBorders>
              <w:top w:val="nil"/>
              <w:left w:val="nil"/>
              <w:bottom w:val="single" w:sz="4" w:space="0" w:color="auto"/>
              <w:right w:val="single" w:sz="4" w:space="0" w:color="auto"/>
            </w:tcBorders>
            <w:shd w:val="clear" w:color="auto" w:fill="auto"/>
            <w:noWrap/>
            <w:vAlign w:val="center"/>
          </w:tcPr>
          <w:p w14:paraId="0161142C"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4.349</w:t>
            </w:r>
          </w:p>
        </w:tc>
        <w:tc>
          <w:tcPr>
            <w:tcW w:w="1477" w:type="dxa"/>
            <w:tcBorders>
              <w:top w:val="single" w:sz="4" w:space="0" w:color="auto"/>
              <w:left w:val="nil"/>
              <w:bottom w:val="single" w:sz="4" w:space="0" w:color="auto"/>
              <w:right w:val="single" w:sz="4" w:space="0" w:color="auto"/>
            </w:tcBorders>
            <w:vAlign w:val="center"/>
          </w:tcPr>
          <w:p w14:paraId="044F966F" w14:textId="77777777" w:rsidR="00B010E6" w:rsidRPr="001B4CA2" w:rsidRDefault="00B010E6" w:rsidP="00B010E6">
            <w:pPr>
              <w:jc w:val="center"/>
              <w:rPr>
                <w:rFonts w:eastAsia="Times New Roman"/>
                <w:b/>
                <w:bCs/>
                <w:sz w:val="18"/>
                <w:szCs w:val="18"/>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AC782" w14:textId="77777777" w:rsidR="00B010E6" w:rsidRPr="001B4CA2" w:rsidRDefault="00B010E6" w:rsidP="00B010E6">
            <w:pPr>
              <w:jc w:val="center"/>
              <w:rPr>
                <w:rFonts w:eastAsia="Times New Roman"/>
                <w:b/>
                <w:bCs/>
                <w:sz w:val="18"/>
                <w:szCs w:val="18"/>
                <w:lang w:eastAsia="hr-HR"/>
              </w:rPr>
            </w:pPr>
            <w:r w:rsidRPr="001B4CA2">
              <w:rPr>
                <w:rFonts w:eastAsia="Times New Roman"/>
                <w:b/>
                <w:bCs/>
                <w:color w:val="000000"/>
                <w:sz w:val="18"/>
                <w:szCs w:val="18"/>
                <w:lang w:eastAsia="hr-HR"/>
              </w:rPr>
              <w:t>5.483</w:t>
            </w:r>
          </w:p>
        </w:tc>
      </w:tr>
      <w:tr w:rsidR="00B010E6" w:rsidRPr="001B4CA2" w14:paraId="64AEE2BD" w14:textId="77777777" w:rsidTr="001D4F0F">
        <w:trPr>
          <w:trHeight w:val="399"/>
          <w:jc w:val="center"/>
        </w:trPr>
        <w:tc>
          <w:tcPr>
            <w:tcW w:w="419" w:type="dxa"/>
            <w:vMerge/>
            <w:tcBorders>
              <w:top w:val="nil"/>
              <w:left w:val="single" w:sz="4" w:space="0" w:color="auto"/>
              <w:bottom w:val="single" w:sz="4" w:space="0" w:color="auto"/>
              <w:right w:val="single" w:sz="4" w:space="0" w:color="auto"/>
            </w:tcBorders>
            <w:vAlign w:val="center"/>
          </w:tcPr>
          <w:p w14:paraId="0E8369F2" w14:textId="77777777" w:rsidR="00B010E6" w:rsidRPr="001B4CA2" w:rsidRDefault="00B010E6" w:rsidP="00B010E6">
            <w:pPr>
              <w:jc w:val="left"/>
              <w:rPr>
                <w:rFonts w:eastAsia="Times New Roman"/>
                <w:sz w:val="18"/>
                <w:szCs w:val="18"/>
                <w:lang w:eastAsia="hr-HR"/>
              </w:rPr>
            </w:pPr>
          </w:p>
        </w:tc>
        <w:tc>
          <w:tcPr>
            <w:tcW w:w="3111" w:type="dxa"/>
            <w:tcBorders>
              <w:top w:val="nil"/>
              <w:left w:val="nil"/>
              <w:bottom w:val="single" w:sz="4" w:space="0" w:color="auto"/>
              <w:right w:val="single" w:sz="4" w:space="0" w:color="auto"/>
            </w:tcBorders>
            <w:shd w:val="clear" w:color="auto" w:fill="auto"/>
            <w:vAlign w:val="center"/>
          </w:tcPr>
          <w:p w14:paraId="628422E8"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w:t>
            </w:r>
          </w:p>
        </w:tc>
        <w:tc>
          <w:tcPr>
            <w:tcW w:w="1377" w:type="dxa"/>
            <w:tcBorders>
              <w:top w:val="nil"/>
              <w:left w:val="nil"/>
              <w:bottom w:val="single" w:sz="4" w:space="0" w:color="auto"/>
              <w:right w:val="single" w:sz="4" w:space="0" w:color="auto"/>
            </w:tcBorders>
            <w:shd w:val="clear" w:color="auto" w:fill="auto"/>
            <w:noWrap/>
            <w:vAlign w:val="center"/>
          </w:tcPr>
          <w:p w14:paraId="023C0EC1"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20,68</w:t>
            </w:r>
          </w:p>
        </w:tc>
        <w:tc>
          <w:tcPr>
            <w:tcW w:w="1605" w:type="dxa"/>
            <w:tcBorders>
              <w:top w:val="nil"/>
              <w:left w:val="nil"/>
              <w:bottom w:val="single" w:sz="4" w:space="0" w:color="auto"/>
              <w:right w:val="single" w:sz="4" w:space="0" w:color="auto"/>
            </w:tcBorders>
            <w:shd w:val="clear" w:color="auto" w:fill="auto"/>
            <w:noWrap/>
            <w:vAlign w:val="center"/>
          </w:tcPr>
          <w:p w14:paraId="550EA7E0"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79,32</w:t>
            </w:r>
          </w:p>
        </w:tc>
        <w:tc>
          <w:tcPr>
            <w:tcW w:w="1477" w:type="dxa"/>
            <w:tcBorders>
              <w:top w:val="single" w:sz="4" w:space="0" w:color="auto"/>
              <w:left w:val="nil"/>
              <w:bottom w:val="single" w:sz="4" w:space="0" w:color="auto"/>
              <w:right w:val="single" w:sz="4" w:space="0" w:color="auto"/>
            </w:tcBorders>
            <w:vAlign w:val="center"/>
          </w:tcPr>
          <w:p w14:paraId="2E4B2B33" w14:textId="77777777" w:rsidR="00B010E6" w:rsidRPr="001B4CA2" w:rsidRDefault="00B010E6" w:rsidP="00B010E6">
            <w:pPr>
              <w:jc w:val="center"/>
              <w:rPr>
                <w:rFonts w:eastAsia="Times New Roman"/>
                <w:b/>
                <w:bCs/>
                <w:sz w:val="18"/>
                <w:szCs w:val="18"/>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50072" w14:textId="77777777" w:rsidR="00B010E6" w:rsidRPr="001B4CA2" w:rsidRDefault="00B010E6" w:rsidP="00B010E6">
            <w:pPr>
              <w:jc w:val="center"/>
              <w:rPr>
                <w:rFonts w:eastAsia="Times New Roman"/>
                <w:b/>
                <w:bCs/>
                <w:sz w:val="18"/>
                <w:szCs w:val="18"/>
                <w:lang w:eastAsia="hr-HR"/>
              </w:rPr>
            </w:pPr>
            <w:r w:rsidRPr="001B4CA2">
              <w:rPr>
                <w:rFonts w:eastAsia="Times New Roman"/>
                <w:b/>
                <w:bCs/>
                <w:color w:val="000000"/>
                <w:sz w:val="18"/>
                <w:szCs w:val="18"/>
                <w:lang w:eastAsia="hr-HR"/>
              </w:rPr>
              <w:t>100</w:t>
            </w:r>
          </w:p>
        </w:tc>
      </w:tr>
      <w:tr w:rsidR="00B010E6" w:rsidRPr="001B4CA2" w14:paraId="2A6525A9" w14:textId="77777777" w:rsidTr="001D4F0F">
        <w:trPr>
          <w:trHeight w:val="399"/>
          <w:jc w:val="center"/>
        </w:trPr>
        <w:tc>
          <w:tcPr>
            <w:tcW w:w="419" w:type="dxa"/>
            <w:vMerge/>
            <w:tcBorders>
              <w:top w:val="nil"/>
              <w:left w:val="single" w:sz="4" w:space="0" w:color="auto"/>
              <w:bottom w:val="single" w:sz="4" w:space="0" w:color="auto"/>
              <w:right w:val="single" w:sz="4" w:space="0" w:color="auto"/>
            </w:tcBorders>
            <w:vAlign w:val="center"/>
          </w:tcPr>
          <w:p w14:paraId="243D57E2" w14:textId="77777777" w:rsidR="00B010E6" w:rsidRPr="001B4CA2" w:rsidRDefault="00B010E6" w:rsidP="00B010E6">
            <w:pPr>
              <w:jc w:val="left"/>
              <w:rPr>
                <w:rFonts w:eastAsia="Times New Roman"/>
                <w:sz w:val="18"/>
                <w:szCs w:val="18"/>
                <w:lang w:eastAsia="hr-HR"/>
              </w:rPr>
            </w:pPr>
          </w:p>
        </w:tc>
        <w:tc>
          <w:tcPr>
            <w:tcW w:w="3111" w:type="dxa"/>
            <w:tcBorders>
              <w:top w:val="nil"/>
              <w:left w:val="nil"/>
              <w:bottom w:val="single" w:sz="4" w:space="0" w:color="auto"/>
              <w:right w:val="single" w:sz="4" w:space="0" w:color="auto"/>
            </w:tcBorders>
            <w:shd w:val="clear" w:color="auto" w:fill="auto"/>
            <w:vAlign w:val="center"/>
          </w:tcPr>
          <w:p w14:paraId="6061502B"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377" w:type="dxa"/>
            <w:tcBorders>
              <w:top w:val="nil"/>
              <w:left w:val="nil"/>
              <w:bottom w:val="single" w:sz="4" w:space="0" w:color="auto"/>
              <w:right w:val="single" w:sz="4" w:space="0" w:color="auto"/>
            </w:tcBorders>
            <w:shd w:val="clear" w:color="auto" w:fill="auto"/>
            <w:noWrap/>
            <w:vAlign w:val="center"/>
          </w:tcPr>
          <w:p w14:paraId="104D5E03"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117.376</w:t>
            </w:r>
          </w:p>
        </w:tc>
        <w:tc>
          <w:tcPr>
            <w:tcW w:w="1605" w:type="dxa"/>
            <w:tcBorders>
              <w:top w:val="nil"/>
              <w:left w:val="nil"/>
              <w:bottom w:val="single" w:sz="4" w:space="0" w:color="auto"/>
              <w:right w:val="single" w:sz="4" w:space="0" w:color="auto"/>
            </w:tcBorders>
            <w:shd w:val="clear" w:color="auto" w:fill="auto"/>
            <w:noWrap/>
            <w:vAlign w:val="center"/>
          </w:tcPr>
          <w:p w14:paraId="031C4B25"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1.457.347</w:t>
            </w:r>
          </w:p>
        </w:tc>
        <w:tc>
          <w:tcPr>
            <w:tcW w:w="1477" w:type="dxa"/>
            <w:tcBorders>
              <w:top w:val="single" w:sz="4" w:space="0" w:color="auto"/>
              <w:left w:val="nil"/>
              <w:bottom w:val="single" w:sz="4" w:space="0" w:color="auto"/>
              <w:right w:val="single" w:sz="4" w:space="0" w:color="auto"/>
            </w:tcBorders>
            <w:vAlign w:val="center"/>
          </w:tcPr>
          <w:p w14:paraId="6F7B8ACD" w14:textId="77777777" w:rsidR="00B010E6" w:rsidRPr="001B4CA2" w:rsidRDefault="00B010E6" w:rsidP="00B010E6">
            <w:pPr>
              <w:jc w:val="center"/>
              <w:rPr>
                <w:rFonts w:eastAsia="Times New Roman"/>
                <w:b/>
                <w:bCs/>
                <w:sz w:val="18"/>
                <w:szCs w:val="18"/>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8DBCC" w14:textId="77777777" w:rsidR="00B010E6" w:rsidRPr="001B4CA2" w:rsidRDefault="00B010E6" w:rsidP="00B010E6">
            <w:pPr>
              <w:jc w:val="center"/>
              <w:rPr>
                <w:rFonts w:eastAsia="Times New Roman"/>
                <w:b/>
                <w:bCs/>
                <w:sz w:val="18"/>
                <w:szCs w:val="18"/>
                <w:lang w:eastAsia="hr-HR"/>
              </w:rPr>
            </w:pPr>
            <w:r w:rsidRPr="001B4CA2">
              <w:rPr>
                <w:rFonts w:eastAsia="Times New Roman"/>
                <w:b/>
                <w:bCs/>
                <w:color w:val="000000"/>
                <w:sz w:val="18"/>
                <w:szCs w:val="18"/>
                <w:lang w:eastAsia="hr-HR"/>
              </w:rPr>
              <w:t>1.574.723</w:t>
            </w:r>
          </w:p>
        </w:tc>
      </w:tr>
      <w:tr w:rsidR="00B010E6" w:rsidRPr="001B4CA2" w14:paraId="7E2586A9" w14:textId="77777777" w:rsidTr="001D4F0F">
        <w:trPr>
          <w:trHeight w:val="399"/>
          <w:jc w:val="center"/>
        </w:trPr>
        <w:tc>
          <w:tcPr>
            <w:tcW w:w="419" w:type="dxa"/>
            <w:vMerge w:val="restart"/>
            <w:tcBorders>
              <w:top w:val="nil"/>
              <w:left w:val="single" w:sz="4" w:space="0" w:color="auto"/>
              <w:bottom w:val="single" w:sz="4" w:space="0" w:color="auto"/>
              <w:right w:val="single" w:sz="4" w:space="0" w:color="auto"/>
            </w:tcBorders>
            <w:shd w:val="clear" w:color="000000" w:fill="99CCFF"/>
            <w:noWrap/>
            <w:vAlign w:val="center"/>
          </w:tcPr>
          <w:p w14:paraId="05628450" w14:textId="77777777" w:rsidR="00B010E6" w:rsidRPr="001B4CA2" w:rsidRDefault="00B010E6" w:rsidP="00B010E6">
            <w:pPr>
              <w:jc w:val="center"/>
              <w:rPr>
                <w:rFonts w:eastAsia="Times New Roman"/>
                <w:sz w:val="18"/>
                <w:szCs w:val="18"/>
                <w:lang w:eastAsia="hr-HR"/>
              </w:rPr>
            </w:pPr>
            <w:r w:rsidRPr="001B4CA2">
              <w:rPr>
                <w:rFonts w:eastAsia="Times New Roman"/>
                <w:sz w:val="18"/>
                <w:szCs w:val="18"/>
                <w:lang w:eastAsia="hr-HR"/>
              </w:rPr>
              <w:t>2020.</w:t>
            </w:r>
          </w:p>
        </w:tc>
        <w:tc>
          <w:tcPr>
            <w:tcW w:w="3111" w:type="dxa"/>
            <w:tcBorders>
              <w:top w:val="nil"/>
              <w:left w:val="nil"/>
              <w:bottom w:val="single" w:sz="4" w:space="0" w:color="auto"/>
              <w:right w:val="single" w:sz="4" w:space="0" w:color="auto"/>
            </w:tcBorders>
            <w:shd w:val="clear" w:color="auto" w:fill="auto"/>
            <w:vAlign w:val="center"/>
          </w:tcPr>
          <w:p w14:paraId="2F7AA238"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Broj zahtjeva</w:t>
            </w:r>
          </w:p>
        </w:tc>
        <w:tc>
          <w:tcPr>
            <w:tcW w:w="1377" w:type="dxa"/>
            <w:tcBorders>
              <w:top w:val="nil"/>
              <w:left w:val="nil"/>
              <w:bottom w:val="single" w:sz="4" w:space="0" w:color="auto"/>
              <w:right w:val="single" w:sz="4" w:space="0" w:color="auto"/>
            </w:tcBorders>
            <w:shd w:val="clear" w:color="auto" w:fill="auto"/>
            <w:noWrap/>
            <w:vAlign w:val="center"/>
          </w:tcPr>
          <w:p w14:paraId="0EADF7D1"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1.328</w:t>
            </w:r>
          </w:p>
        </w:tc>
        <w:tc>
          <w:tcPr>
            <w:tcW w:w="1605" w:type="dxa"/>
            <w:tcBorders>
              <w:top w:val="nil"/>
              <w:left w:val="nil"/>
              <w:bottom w:val="single" w:sz="4" w:space="0" w:color="auto"/>
              <w:right w:val="single" w:sz="4" w:space="0" w:color="auto"/>
            </w:tcBorders>
            <w:shd w:val="clear" w:color="auto" w:fill="auto"/>
            <w:noWrap/>
            <w:vAlign w:val="center"/>
          </w:tcPr>
          <w:p w14:paraId="4308CC9D"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4.087</w:t>
            </w:r>
          </w:p>
        </w:tc>
        <w:tc>
          <w:tcPr>
            <w:tcW w:w="1477" w:type="dxa"/>
            <w:tcBorders>
              <w:top w:val="single" w:sz="4" w:space="0" w:color="auto"/>
              <w:left w:val="nil"/>
              <w:bottom w:val="single" w:sz="4" w:space="0" w:color="auto"/>
              <w:right w:val="single" w:sz="4" w:space="0" w:color="auto"/>
            </w:tcBorders>
            <w:vAlign w:val="center"/>
          </w:tcPr>
          <w:p w14:paraId="439E8C03" w14:textId="77777777" w:rsidR="00B010E6" w:rsidRPr="001B4CA2" w:rsidRDefault="00B010E6" w:rsidP="00B010E6">
            <w:pPr>
              <w:jc w:val="center"/>
              <w:rPr>
                <w:rFonts w:eastAsia="Times New Roman"/>
                <w:b/>
                <w:bCs/>
                <w:sz w:val="18"/>
                <w:szCs w:val="18"/>
                <w:lang w:eastAsia="hr-HR"/>
              </w:rPr>
            </w:pPr>
            <w:r w:rsidRPr="001B4CA2">
              <w:rPr>
                <w:rFonts w:eastAsia="Times New Roman"/>
                <w:bCs/>
                <w:color w:val="000000"/>
                <w:sz w:val="18"/>
                <w:szCs w:val="18"/>
                <w:lang w:eastAsia="hr-HR"/>
              </w:rPr>
              <w:t>2.273</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E14ED" w14:textId="77777777" w:rsidR="00B010E6" w:rsidRPr="001B4CA2" w:rsidRDefault="00B010E6" w:rsidP="00B010E6">
            <w:pPr>
              <w:jc w:val="center"/>
              <w:rPr>
                <w:rFonts w:eastAsia="Times New Roman"/>
                <w:b/>
                <w:bCs/>
                <w:sz w:val="18"/>
                <w:szCs w:val="18"/>
                <w:lang w:eastAsia="hr-HR"/>
              </w:rPr>
            </w:pPr>
            <w:r w:rsidRPr="001B4CA2">
              <w:rPr>
                <w:rFonts w:eastAsia="Times New Roman"/>
                <w:b/>
                <w:bCs/>
                <w:color w:val="000000"/>
                <w:sz w:val="18"/>
                <w:szCs w:val="18"/>
                <w:lang w:eastAsia="hr-HR"/>
              </w:rPr>
              <w:t>7.688</w:t>
            </w:r>
          </w:p>
        </w:tc>
      </w:tr>
      <w:tr w:rsidR="00B010E6" w:rsidRPr="001B4CA2" w14:paraId="071E1AEC" w14:textId="77777777" w:rsidTr="001D4F0F">
        <w:trPr>
          <w:trHeight w:val="399"/>
          <w:jc w:val="center"/>
        </w:trPr>
        <w:tc>
          <w:tcPr>
            <w:tcW w:w="419" w:type="dxa"/>
            <w:vMerge/>
            <w:tcBorders>
              <w:top w:val="nil"/>
              <w:left w:val="single" w:sz="4" w:space="0" w:color="auto"/>
              <w:bottom w:val="single" w:sz="4" w:space="0" w:color="auto"/>
              <w:right w:val="single" w:sz="4" w:space="0" w:color="auto"/>
            </w:tcBorders>
            <w:vAlign w:val="center"/>
          </w:tcPr>
          <w:p w14:paraId="00ABF4F0" w14:textId="77777777" w:rsidR="00B010E6" w:rsidRPr="001B4CA2" w:rsidRDefault="00B010E6" w:rsidP="00B010E6">
            <w:pPr>
              <w:jc w:val="left"/>
              <w:rPr>
                <w:rFonts w:eastAsia="Times New Roman"/>
                <w:sz w:val="18"/>
                <w:szCs w:val="18"/>
                <w:lang w:eastAsia="hr-HR"/>
              </w:rPr>
            </w:pPr>
          </w:p>
        </w:tc>
        <w:tc>
          <w:tcPr>
            <w:tcW w:w="3111" w:type="dxa"/>
            <w:tcBorders>
              <w:top w:val="nil"/>
              <w:left w:val="nil"/>
              <w:bottom w:val="single" w:sz="4" w:space="0" w:color="auto"/>
              <w:right w:val="single" w:sz="4" w:space="0" w:color="auto"/>
            </w:tcBorders>
            <w:shd w:val="clear" w:color="auto" w:fill="auto"/>
            <w:vAlign w:val="center"/>
          </w:tcPr>
          <w:p w14:paraId="5FE05242"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w:t>
            </w:r>
          </w:p>
        </w:tc>
        <w:tc>
          <w:tcPr>
            <w:tcW w:w="1377" w:type="dxa"/>
            <w:tcBorders>
              <w:top w:val="nil"/>
              <w:left w:val="nil"/>
              <w:bottom w:val="single" w:sz="4" w:space="0" w:color="auto"/>
              <w:right w:val="single" w:sz="4" w:space="0" w:color="auto"/>
            </w:tcBorders>
            <w:shd w:val="clear" w:color="auto" w:fill="auto"/>
            <w:noWrap/>
            <w:vAlign w:val="center"/>
          </w:tcPr>
          <w:p w14:paraId="3BC09B39"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17,27</w:t>
            </w:r>
          </w:p>
        </w:tc>
        <w:tc>
          <w:tcPr>
            <w:tcW w:w="1605" w:type="dxa"/>
            <w:tcBorders>
              <w:top w:val="nil"/>
              <w:left w:val="nil"/>
              <w:bottom w:val="single" w:sz="4" w:space="0" w:color="auto"/>
              <w:right w:val="single" w:sz="4" w:space="0" w:color="auto"/>
            </w:tcBorders>
            <w:shd w:val="clear" w:color="auto" w:fill="auto"/>
            <w:noWrap/>
            <w:vAlign w:val="center"/>
          </w:tcPr>
          <w:p w14:paraId="670FB890"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53,16</w:t>
            </w:r>
          </w:p>
        </w:tc>
        <w:tc>
          <w:tcPr>
            <w:tcW w:w="1477" w:type="dxa"/>
            <w:tcBorders>
              <w:top w:val="single" w:sz="4" w:space="0" w:color="auto"/>
              <w:left w:val="nil"/>
              <w:bottom w:val="single" w:sz="4" w:space="0" w:color="auto"/>
              <w:right w:val="single" w:sz="4" w:space="0" w:color="auto"/>
            </w:tcBorders>
            <w:vAlign w:val="center"/>
          </w:tcPr>
          <w:p w14:paraId="61286ADD" w14:textId="77777777" w:rsidR="00B010E6" w:rsidRPr="001B4CA2" w:rsidRDefault="00B010E6" w:rsidP="00B010E6">
            <w:pPr>
              <w:jc w:val="center"/>
              <w:rPr>
                <w:rFonts w:eastAsia="Times New Roman"/>
                <w:b/>
                <w:bCs/>
                <w:sz w:val="18"/>
                <w:szCs w:val="18"/>
                <w:lang w:eastAsia="hr-HR"/>
              </w:rPr>
            </w:pPr>
            <w:r w:rsidRPr="001B4CA2">
              <w:rPr>
                <w:rFonts w:eastAsia="Times New Roman"/>
                <w:bCs/>
                <w:color w:val="000000"/>
                <w:sz w:val="18"/>
                <w:szCs w:val="18"/>
                <w:lang w:eastAsia="hr-HR"/>
              </w:rPr>
              <w:t>29,57</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89878" w14:textId="77777777" w:rsidR="00B010E6" w:rsidRPr="001B4CA2" w:rsidRDefault="00B010E6" w:rsidP="00B010E6">
            <w:pPr>
              <w:jc w:val="center"/>
              <w:rPr>
                <w:rFonts w:eastAsia="Times New Roman"/>
                <w:b/>
                <w:bCs/>
                <w:sz w:val="18"/>
                <w:szCs w:val="18"/>
                <w:lang w:eastAsia="hr-HR"/>
              </w:rPr>
            </w:pPr>
            <w:r w:rsidRPr="001B4CA2">
              <w:rPr>
                <w:rFonts w:eastAsia="Times New Roman"/>
                <w:b/>
                <w:bCs/>
                <w:color w:val="000000"/>
                <w:sz w:val="18"/>
                <w:szCs w:val="18"/>
                <w:lang w:eastAsia="hr-HR"/>
              </w:rPr>
              <w:t>100</w:t>
            </w:r>
          </w:p>
        </w:tc>
      </w:tr>
      <w:tr w:rsidR="00B010E6" w:rsidRPr="001B4CA2" w14:paraId="7B17DE68" w14:textId="77777777" w:rsidTr="001D4F0F">
        <w:trPr>
          <w:trHeight w:val="399"/>
          <w:jc w:val="center"/>
        </w:trPr>
        <w:tc>
          <w:tcPr>
            <w:tcW w:w="419" w:type="dxa"/>
            <w:vMerge/>
            <w:tcBorders>
              <w:top w:val="nil"/>
              <w:left w:val="single" w:sz="4" w:space="0" w:color="auto"/>
              <w:bottom w:val="single" w:sz="4" w:space="0" w:color="auto"/>
              <w:right w:val="single" w:sz="4" w:space="0" w:color="auto"/>
            </w:tcBorders>
            <w:vAlign w:val="center"/>
          </w:tcPr>
          <w:p w14:paraId="28FB95B8" w14:textId="77777777" w:rsidR="00B010E6" w:rsidRPr="001B4CA2" w:rsidRDefault="00B010E6" w:rsidP="00B010E6">
            <w:pPr>
              <w:jc w:val="left"/>
              <w:rPr>
                <w:rFonts w:eastAsia="Times New Roman"/>
                <w:sz w:val="18"/>
                <w:szCs w:val="18"/>
                <w:lang w:eastAsia="hr-HR"/>
              </w:rPr>
            </w:pPr>
          </w:p>
        </w:tc>
        <w:tc>
          <w:tcPr>
            <w:tcW w:w="3111" w:type="dxa"/>
            <w:tcBorders>
              <w:top w:val="nil"/>
              <w:left w:val="nil"/>
              <w:bottom w:val="single" w:sz="4" w:space="0" w:color="auto"/>
              <w:right w:val="single" w:sz="4" w:space="0" w:color="auto"/>
            </w:tcBorders>
            <w:shd w:val="clear" w:color="auto" w:fill="auto"/>
            <w:vAlign w:val="center"/>
          </w:tcPr>
          <w:p w14:paraId="56AB8058"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377" w:type="dxa"/>
            <w:tcBorders>
              <w:top w:val="nil"/>
              <w:left w:val="nil"/>
              <w:bottom w:val="single" w:sz="4" w:space="0" w:color="auto"/>
              <w:right w:val="single" w:sz="4" w:space="0" w:color="auto"/>
            </w:tcBorders>
            <w:shd w:val="clear" w:color="auto" w:fill="auto"/>
            <w:noWrap/>
            <w:vAlign w:val="center"/>
          </w:tcPr>
          <w:p w14:paraId="0C679B45" w14:textId="77777777" w:rsidR="00B010E6" w:rsidRPr="001B4CA2" w:rsidRDefault="00B010E6" w:rsidP="00B010E6">
            <w:pPr>
              <w:jc w:val="center"/>
              <w:rPr>
                <w:rFonts w:eastAsia="Times New Roman"/>
                <w:sz w:val="18"/>
                <w:szCs w:val="18"/>
                <w:lang w:eastAsia="hr-HR"/>
              </w:rPr>
            </w:pPr>
            <w:r w:rsidRPr="001B4CA2">
              <w:rPr>
                <w:sz w:val="18"/>
                <w:szCs w:val="18"/>
              </w:rPr>
              <w:t>144.188</w:t>
            </w:r>
          </w:p>
        </w:tc>
        <w:tc>
          <w:tcPr>
            <w:tcW w:w="1605" w:type="dxa"/>
            <w:tcBorders>
              <w:top w:val="nil"/>
              <w:left w:val="nil"/>
              <w:bottom w:val="single" w:sz="4" w:space="0" w:color="auto"/>
              <w:right w:val="single" w:sz="4" w:space="0" w:color="auto"/>
            </w:tcBorders>
            <w:shd w:val="clear" w:color="auto" w:fill="auto"/>
            <w:noWrap/>
            <w:vAlign w:val="center"/>
          </w:tcPr>
          <w:p w14:paraId="7DBC5DBC" w14:textId="77777777" w:rsidR="00B010E6" w:rsidRPr="001B4CA2" w:rsidRDefault="00B010E6" w:rsidP="00B010E6">
            <w:pPr>
              <w:jc w:val="center"/>
              <w:rPr>
                <w:rFonts w:eastAsia="Times New Roman"/>
                <w:sz w:val="18"/>
                <w:szCs w:val="18"/>
                <w:lang w:eastAsia="hr-HR"/>
              </w:rPr>
            </w:pPr>
            <w:r w:rsidRPr="001B4CA2">
              <w:rPr>
                <w:sz w:val="18"/>
                <w:szCs w:val="18"/>
              </w:rPr>
              <w:t>8.046.916</w:t>
            </w:r>
          </w:p>
        </w:tc>
        <w:tc>
          <w:tcPr>
            <w:tcW w:w="1477" w:type="dxa"/>
            <w:tcBorders>
              <w:top w:val="single" w:sz="4" w:space="0" w:color="auto"/>
              <w:left w:val="nil"/>
              <w:bottom w:val="single" w:sz="4" w:space="0" w:color="auto"/>
              <w:right w:val="single" w:sz="4" w:space="0" w:color="auto"/>
            </w:tcBorders>
            <w:vAlign w:val="center"/>
          </w:tcPr>
          <w:p w14:paraId="3E64F3ED" w14:textId="77777777" w:rsidR="00B010E6" w:rsidRPr="001B4CA2" w:rsidRDefault="00B010E6" w:rsidP="00B010E6">
            <w:pPr>
              <w:jc w:val="center"/>
              <w:rPr>
                <w:rFonts w:eastAsia="Times New Roman"/>
                <w:b/>
                <w:bCs/>
                <w:sz w:val="18"/>
                <w:szCs w:val="18"/>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EA40A" w14:textId="77777777" w:rsidR="00B010E6" w:rsidRPr="001B4CA2" w:rsidRDefault="00B010E6" w:rsidP="00B010E6">
            <w:pPr>
              <w:jc w:val="center"/>
              <w:rPr>
                <w:rFonts w:eastAsia="Times New Roman"/>
                <w:b/>
                <w:bCs/>
                <w:sz w:val="18"/>
                <w:szCs w:val="18"/>
                <w:lang w:eastAsia="hr-HR"/>
              </w:rPr>
            </w:pPr>
            <w:r w:rsidRPr="001B4CA2">
              <w:rPr>
                <w:rFonts w:eastAsia="Times New Roman"/>
                <w:b/>
                <w:bCs/>
                <w:color w:val="000000"/>
                <w:sz w:val="18"/>
                <w:szCs w:val="18"/>
                <w:lang w:eastAsia="hr-HR"/>
              </w:rPr>
              <w:t>8.191.104</w:t>
            </w:r>
          </w:p>
        </w:tc>
      </w:tr>
      <w:tr w:rsidR="00B010E6" w:rsidRPr="001B4CA2" w14:paraId="4BC67CB2" w14:textId="77777777" w:rsidTr="001D4F0F">
        <w:trPr>
          <w:trHeight w:val="399"/>
          <w:jc w:val="center"/>
        </w:trPr>
        <w:tc>
          <w:tcPr>
            <w:tcW w:w="419" w:type="dxa"/>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14:paraId="5DBC469F" w14:textId="77777777" w:rsidR="00B010E6" w:rsidRPr="001B4CA2" w:rsidRDefault="00B010E6" w:rsidP="00B010E6">
            <w:pPr>
              <w:jc w:val="center"/>
              <w:rPr>
                <w:rFonts w:eastAsia="Times New Roman"/>
                <w:sz w:val="18"/>
                <w:szCs w:val="18"/>
                <w:lang w:eastAsia="hr-HR"/>
              </w:rPr>
            </w:pPr>
            <w:r w:rsidRPr="001B4CA2">
              <w:rPr>
                <w:rFonts w:eastAsia="Times New Roman"/>
                <w:sz w:val="18"/>
                <w:szCs w:val="18"/>
                <w:lang w:eastAsia="hr-HR"/>
              </w:rPr>
              <w:t>2021.</w:t>
            </w:r>
          </w:p>
        </w:tc>
        <w:tc>
          <w:tcPr>
            <w:tcW w:w="3111" w:type="dxa"/>
            <w:tcBorders>
              <w:top w:val="single" w:sz="4" w:space="0" w:color="auto"/>
              <w:left w:val="nil"/>
              <w:bottom w:val="single" w:sz="4" w:space="0" w:color="auto"/>
              <w:right w:val="single" w:sz="4" w:space="0" w:color="auto"/>
            </w:tcBorders>
            <w:shd w:val="clear" w:color="auto" w:fill="auto"/>
            <w:vAlign w:val="center"/>
          </w:tcPr>
          <w:p w14:paraId="1AEE31EF"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Broj zahtjeva</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3EFE4E14" w14:textId="77777777" w:rsidR="00B010E6" w:rsidRPr="001B4CA2" w:rsidRDefault="00B010E6" w:rsidP="00B010E6">
            <w:pPr>
              <w:jc w:val="center"/>
              <w:rPr>
                <w:rFonts w:eastAsia="Times New Roman"/>
                <w:sz w:val="18"/>
                <w:szCs w:val="18"/>
                <w:lang w:eastAsia="hr-HR"/>
              </w:rPr>
            </w:pPr>
            <w:r w:rsidRPr="001B4CA2">
              <w:rPr>
                <w:sz w:val="18"/>
                <w:szCs w:val="18"/>
              </w:rPr>
              <w:t>1.042</w:t>
            </w: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3D062E35" w14:textId="77777777" w:rsidR="00B010E6" w:rsidRPr="001B4CA2" w:rsidRDefault="00B010E6" w:rsidP="00B010E6">
            <w:pPr>
              <w:jc w:val="center"/>
              <w:rPr>
                <w:rFonts w:eastAsia="Times New Roman"/>
                <w:sz w:val="18"/>
                <w:szCs w:val="18"/>
                <w:lang w:eastAsia="hr-HR"/>
              </w:rPr>
            </w:pPr>
            <w:r w:rsidRPr="001B4CA2">
              <w:rPr>
                <w:sz w:val="18"/>
                <w:szCs w:val="18"/>
              </w:rPr>
              <w:t>4.638</w:t>
            </w:r>
          </w:p>
        </w:tc>
        <w:tc>
          <w:tcPr>
            <w:tcW w:w="1477" w:type="dxa"/>
            <w:tcBorders>
              <w:top w:val="single" w:sz="4" w:space="0" w:color="auto"/>
              <w:left w:val="nil"/>
              <w:bottom w:val="single" w:sz="4" w:space="0" w:color="auto"/>
              <w:right w:val="single" w:sz="4" w:space="0" w:color="auto"/>
            </w:tcBorders>
            <w:vAlign w:val="center"/>
          </w:tcPr>
          <w:p w14:paraId="31277209" w14:textId="77777777" w:rsidR="00B010E6" w:rsidRPr="001B4CA2" w:rsidRDefault="00B010E6" w:rsidP="00B010E6">
            <w:pPr>
              <w:jc w:val="center"/>
              <w:rPr>
                <w:rFonts w:eastAsia="Times New Roman"/>
                <w:bCs/>
                <w:sz w:val="18"/>
                <w:szCs w:val="18"/>
                <w:lang w:eastAsia="hr-HR"/>
              </w:rPr>
            </w:pPr>
            <w:r w:rsidRPr="001B4CA2">
              <w:rPr>
                <w:sz w:val="18"/>
                <w:szCs w:val="18"/>
              </w:rPr>
              <w:t>1.933</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E8162" w14:textId="77777777" w:rsidR="00B010E6" w:rsidRPr="001B4CA2" w:rsidRDefault="00B010E6" w:rsidP="00B010E6">
            <w:pPr>
              <w:jc w:val="center"/>
              <w:rPr>
                <w:rFonts w:eastAsia="Times New Roman"/>
                <w:b/>
                <w:bCs/>
                <w:sz w:val="18"/>
                <w:szCs w:val="18"/>
                <w:lang w:eastAsia="hr-HR"/>
              </w:rPr>
            </w:pPr>
            <w:r w:rsidRPr="001B4CA2">
              <w:rPr>
                <w:rFonts w:eastAsia="Times New Roman"/>
                <w:b/>
                <w:bCs/>
                <w:color w:val="000000"/>
                <w:sz w:val="18"/>
                <w:szCs w:val="18"/>
                <w:lang w:eastAsia="hr-HR"/>
              </w:rPr>
              <w:t>7.613</w:t>
            </w:r>
          </w:p>
        </w:tc>
      </w:tr>
      <w:tr w:rsidR="00B010E6" w:rsidRPr="001B4CA2" w14:paraId="318311D7" w14:textId="77777777" w:rsidTr="001D4F0F">
        <w:trPr>
          <w:trHeight w:val="399"/>
          <w:jc w:val="center"/>
        </w:trPr>
        <w:tc>
          <w:tcPr>
            <w:tcW w:w="419" w:type="dxa"/>
            <w:vMerge/>
            <w:tcBorders>
              <w:top w:val="single" w:sz="4" w:space="0" w:color="auto"/>
              <w:left w:val="single" w:sz="4" w:space="0" w:color="auto"/>
              <w:bottom w:val="single" w:sz="4" w:space="0" w:color="auto"/>
              <w:right w:val="single" w:sz="4" w:space="0" w:color="auto"/>
            </w:tcBorders>
            <w:shd w:val="clear" w:color="auto" w:fill="99CCFF"/>
            <w:vAlign w:val="center"/>
          </w:tcPr>
          <w:p w14:paraId="18AA8851" w14:textId="77777777" w:rsidR="00B010E6" w:rsidRPr="001B4CA2" w:rsidRDefault="00B010E6" w:rsidP="00B010E6">
            <w:pPr>
              <w:jc w:val="left"/>
              <w:rPr>
                <w:rFonts w:eastAsia="Times New Roman"/>
                <w:sz w:val="18"/>
                <w:szCs w:val="18"/>
                <w:lang w:eastAsia="hr-HR"/>
              </w:rPr>
            </w:pPr>
          </w:p>
        </w:tc>
        <w:tc>
          <w:tcPr>
            <w:tcW w:w="3111" w:type="dxa"/>
            <w:tcBorders>
              <w:top w:val="single" w:sz="4" w:space="0" w:color="auto"/>
              <w:left w:val="nil"/>
              <w:bottom w:val="single" w:sz="4" w:space="0" w:color="auto"/>
              <w:right w:val="single" w:sz="4" w:space="0" w:color="auto"/>
            </w:tcBorders>
            <w:shd w:val="clear" w:color="auto" w:fill="auto"/>
            <w:vAlign w:val="center"/>
          </w:tcPr>
          <w:p w14:paraId="613C421F"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5FC19007"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13,68</w:t>
            </w: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1FBF448C" w14:textId="77777777" w:rsidR="00B010E6" w:rsidRPr="001B4CA2" w:rsidRDefault="00B010E6" w:rsidP="00B010E6">
            <w:pPr>
              <w:jc w:val="center"/>
              <w:rPr>
                <w:rFonts w:eastAsia="Times New Roman"/>
                <w:sz w:val="18"/>
                <w:szCs w:val="18"/>
                <w:lang w:eastAsia="hr-HR"/>
              </w:rPr>
            </w:pPr>
            <w:r w:rsidRPr="001B4CA2">
              <w:rPr>
                <w:rFonts w:eastAsia="Times New Roman"/>
                <w:color w:val="000000"/>
                <w:sz w:val="18"/>
                <w:szCs w:val="18"/>
                <w:lang w:eastAsia="hr-HR"/>
              </w:rPr>
              <w:t>60,92</w:t>
            </w:r>
          </w:p>
        </w:tc>
        <w:tc>
          <w:tcPr>
            <w:tcW w:w="1477" w:type="dxa"/>
            <w:tcBorders>
              <w:top w:val="single" w:sz="4" w:space="0" w:color="auto"/>
              <w:left w:val="nil"/>
              <w:bottom w:val="single" w:sz="4" w:space="0" w:color="auto"/>
              <w:right w:val="single" w:sz="4" w:space="0" w:color="auto"/>
            </w:tcBorders>
            <w:vAlign w:val="center"/>
          </w:tcPr>
          <w:p w14:paraId="07B566D6" w14:textId="77777777" w:rsidR="00B010E6" w:rsidRPr="001B4CA2" w:rsidRDefault="00B010E6" w:rsidP="00B010E6">
            <w:pPr>
              <w:jc w:val="center"/>
              <w:rPr>
                <w:rFonts w:eastAsia="Times New Roman"/>
                <w:b/>
                <w:bCs/>
                <w:sz w:val="18"/>
                <w:szCs w:val="18"/>
                <w:lang w:eastAsia="hr-HR"/>
              </w:rPr>
            </w:pPr>
            <w:r w:rsidRPr="001B4CA2">
              <w:rPr>
                <w:rFonts w:eastAsia="Times New Roman"/>
                <w:bCs/>
                <w:color w:val="000000"/>
                <w:sz w:val="18"/>
                <w:szCs w:val="18"/>
                <w:lang w:eastAsia="hr-HR"/>
              </w:rPr>
              <w:t>25,39</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6C727" w14:textId="77777777" w:rsidR="00B010E6" w:rsidRPr="001B4CA2" w:rsidRDefault="00B010E6" w:rsidP="00B010E6">
            <w:pPr>
              <w:jc w:val="center"/>
              <w:rPr>
                <w:rFonts w:eastAsia="Times New Roman"/>
                <w:b/>
                <w:bCs/>
                <w:sz w:val="18"/>
                <w:szCs w:val="18"/>
                <w:lang w:eastAsia="hr-HR"/>
              </w:rPr>
            </w:pPr>
            <w:r w:rsidRPr="001B4CA2">
              <w:rPr>
                <w:rFonts w:eastAsia="Times New Roman"/>
                <w:b/>
                <w:bCs/>
                <w:color w:val="000000"/>
                <w:sz w:val="18"/>
                <w:szCs w:val="18"/>
                <w:lang w:eastAsia="hr-HR"/>
              </w:rPr>
              <w:t>100</w:t>
            </w:r>
          </w:p>
        </w:tc>
      </w:tr>
      <w:tr w:rsidR="00B010E6" w:rsidRPr="001B4CA2" w14:paraId="3260F5AD" w14:textId="77777777" w:rsidTr="001D4F0F">
        <w:trPr>
          <w:trHeight w:val="399"/>
          <w:jc w:val="center"/>
        </w:trPr>
        <w:tc>
          <w:tcPr>
            <w:tcW w:w="419" w:type="dxa"/>
            <w:vMerge/>
            <w:tcBorders>
              <w:top w:val="single" w:sz="4" w:space="0" w:color="auto"/>
              <w:left w:val="single" w:sz="4" w:space="0" w:color="auto"/>
              <w:bottom w:val="single" w:sz="4" w:space="0" w:color="auto"/>
              <w:right w:val="single" w:sz="4" w:space="0" w:color="auto"/>
            </w:tcBorders>
            <w:shd w:val="clear" w:color="auto" w:fill="99CCFF"/>
            <w:vAlign w:val="center"/>
          </w:tcPr>
          <w:p w14:paraId="0C502373" w14:textId="77777777" w:rsidR="00B010E6" w:rsidRPr="001B4CA2" w:rsidRDefault="00B010E6" w:rsidP="00B010E6">
            <w:pPr>
              <w:jc w:val="left"/>
              <w:rPr>
                <w:rFonts w:eastAsia="Times New Roman"/>
                <w:sz w:val="18"/>
                <w:szCs w:val="18"/>
                <w:lang w:eastAsia="hr-HR"/>
              </w:rPr>
            </w:pPr>
          </w:p>
        </w:tc>
        <w:tc>
          <w:tcPr>
            <w:tcW w:w="3111" w:type="dxa"/>
            <w:tcBorders>
              <w:top w:val="single" w:sz="4" w:space="0" w:color="auto"/>
              <w:left w:val="nil"/>
              <w:bottom w:val="single" w:sz="4" w:space="0" w:color="auto"/>
              <w:right w:val="single" w:sz="4" w:space="0" w:color="auto"/>
            </w:tcBorders>
            <w:shd w:val="clear" w:color="auto" w:fill="auto"/>
            <w:vAlign w:val="center"/>
          </w:tcPr>
          <w:p w14:paraId="796CAB0C"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58EAD502" w14:textId="77777777" w:rsidR="00B010E6" w:rsidRPr="001B4CA2" w:rsidRDefault="00B010E6" w:rsidP="00B010E6">
            <w:pPr>
              <w:jc w:val="center"/>
              <w:rPr>
                <w:rFonts w:eastAsia="Times New Roman"/>
                <w:sz w:val="18"/>
                <w:szCs w:val="18"/>
                <w:lang w:eastAsia="hr-HR"/>
              </w:rPr>
            </w:pPr>
            <w:r w:rsidRPr="001B4CA2">
              <w:rPr>
                <w:sz w:val="18"/>
                <w:szCs w:val="18"/>
              </w:rPr>
              <w:t>78.034</w:t>
            </w: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43FA8C10" w14:textId="77777777" w:rsidR="00B010E6" w:rsidRPr="001B4CA2" w:rsidRDefault="00B010E6" w:rsidP="00B010E6">
            <w:pPr>
              <w:jc w:val="center"/>
              <w:rPr>
                <w:rFonts w:eastAsia="Times New Roman"/>
                <w:sz w:val="18"/>
                <w:szCs w:val="18"/>
                <w:lang w:eastAsia="hr-HR"/>
              </w:rPr>
            </w:pPr>
            <w:r w:rsidRPr="001B4CA2">
              <w:rPr>
                <w:sz w:val="18"/>
                <w:szCs w:val="18"/>
              </w:rPr>
              <w:t>7.562.060</w:t>
            </w:r>
          </w:p>
        </w:tc>
        <w:tc>
          <w:tcPr>
            <w:tcW w:w="1477" w:type="dxa"/>
            <w:tcBorders>
              <w:top w:val="single" w:sz="4" w:space="0" w:color="auto"/>
              <w:left w:val="nil"/>
              <w:bottom w:val="single" w:sz="4" w:space="0" w:color="auto"/>
              <w:right w:val="single" w:sz="4" w:space="0" w:color="auto"/>
            </w:tcBorders>
            <w:vAlign w:val="center"/>
          </w:tcPr>
          <w:p w14:paraId="7DDC0F96" w14:textId="77777777" w:rsidR="00B010E6" w:rsidRPr="001B4CA2" w:rsidRDefault="00B010E6" w:rsidP="00B010E6">
            <w:pPr>
              <w:jc w:val="center"/>
              <w:rPr>
                <w:rFonts w:eastAsia="Times New Roman"/>
                <w:b/>
                <w:bCs/>
                <w:sz w:val="18"/>
                <w:szCs w:val="18"/>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EDC28" w14:textId="77777777" w:rsidR="00B010E6" w:rsidRPr="001B4CA2" w:rsidRDefault="00B010E6" w:rsidP="00B010E6">
            <w:pPr>
              <w:jc w:val="center"/>
              <w:rPr>
                <w:rFonts w:eastAsia="Times New Roman"/>
                <w:b/>
                <w:bCs/>
                <w:sz w:val="18"/>
                <w:szCs w:val="18"/>
                <w:lang w:eastAsia="hr-HR"/>
              </w:rPr>
            </w:pPr>
            <w:r w:rsidRPr="001B4CA2">
              <w:rPr>
                <w:rFonts w:eastAsia="Times New Roman"/>
                <w:b/>
                <w:bCs/>
                <w:color w:val="000000"/>
                <w:sz w:val="18"/>
                <w:szCs w:val="18"/>
                <w:lang w:eastAsia="hr-HR"/>
              </w:rPr>
              <w:t>7.640.094</w:t>
            </w:r>
          </w:p>
        </w:tc>
      </w:tr>
      <w:tr w:rsidR="00B010E6" w:rsidRPr="001B4CA2" w14:paraId="2858D1C2" w14:textId="77777777" w:rsidTr="001D4F0F">
        <w:trPr>
          <w:trHeight w:val="399"/>
          <w:jc w:val="center"/>
        </w:trPr>
        <w:tc>
          <w:tcPr>
            <w:tcW w:w="419" w:type="dxa"/>
            <w:vMerge w:val="restart"/>
            <w:tcBorders>
              <w:top w:val="single" w:sz="4" w:space="0" w:color="auto"/>
              <w:left w:val="single" w:sz="4" w:space="0" w:color="auto"/>
              <w:right w:val="single" w:sz="4" w:space="0" w:color="auto"/>
            </w:tcBorders>
            <w:shd w:val="clear" w:color="auto" w:fill="99CCFF"/>
            <w:vAlign w:val="center"/>
          </w:tcPr>
          <w:p w14:paraId="4CBDAD29" w14:textId="77777777" w:rsidR="00B010E6" w:rsidRPr="001B4CA2" w:rsidRDefault="00B010E6" w:rsidP="00B010E6">
            <w:pPr>
              <w:jc w:val="center"/>
              <w:rPr>
                <w:rFonts w:eastAsia="Times New Roman"/>
                <w:sz w:val="18"/>
                <w:szCs w:val="18"/>
                <w:lang w:eastAsia="hr-HR"/>
              </w:rPr>
            </w:pPr>
            <w:r w:rsidRPr="001B4CA2">
              <w:rPr>
                <w:rFonts w:eastAsia="Times New Roman"/>
                <w:sz w:val="18"/>
                <w:szCs w:val="18"/>
                <w:lang w:eastAsia="hr-HR"/>
              </w:rPr>
              <w:t>2022.</w:t>
            </w:r>
          </w:p>
        </w:tc>
        <w:tc>
          <w:tcPr>
            <w:tcW w:w="3111" w:type="dxa"/>
            <w:tcBorders>
              <w:top w:val="single" w:sz="4" w:space="0" w:color="auto"/>
              <w:left w:val="nil"/>
              <w:bottom w:val="single" w:sz="4" w:space="0" w:color="auto"/>
              <w:right w:val="single" w:sz="4" w:space="0" w:color="auto"/>
            </w:tcBorders>
            <w:shd w:val="clear" w:color="auto" w:fill="auto"/>
            <w:vAlign w:val="center"/>
          </w:tcPr>
          <w:p w14:paraId="23A8EA65"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Broj zahtjeva</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2234D8C5" w14:textId="77777777" w:rsidR="00B010E6" w:rsidRPr="001B4CA2" w:rsidRDefault="00B010E6" w:rsidP="00B010E6">
            <w:pPr>
              <w:jc w:val="center"/>
              <w:rPr>
                <w:sz w:val="18"/>
                <w:szCs w:val="18"/>
              </w:rPr>
            </w:pPr>
            <w:r w:rsidRPr="001B4CA2">
              <w:rPr>
                <w:sz w:val="18"/>
                <w:szCs w:val="18"/>
              </w:rPr>
              <w:t>1.322</w:t>
            </w: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606CBA42" w14:textId="77777777" w:rsidR="00B010E6" w:rsidRPr="001B4CA2" w:rsidRDefault="00B010E6" w:rsidP="00B010E6">
            <w:pPr>
              <w:jc w:val="center"/>
              <w:rPr>
                <w:sz w:val="18"/>
                <w:szCs w:val="18"/>
              </w:rPr>
            </w:pPr>
            <w:r w:rsidRPr="001B4CA2">
              <w:rPr>
                <w:sz w:val="18"/>
                <w:szCs w:val="18"/>
              </w:rPr>
              <w:t>2.680</w:t>
            </w:r>
          </w:p>
        </w:tc>
        <w:tc>
          <w:tcPr>
            <w:tcW w:w="1477" w:type="dxa"/>
            <w:tcBorders>
              <w:top w:val="single" w:sz="4" w:space="0" w:color="auto"/>
              <w:left w:val="nil"/>
              <w:bottom w:val="single" w:sz="4" w:space="0" w:color="auto"/>
              <w:right w:val="single" w:sz="4" w:space="0" w:color="auto"/>
            </w:tcBorders>
            <w:vAlign w:val="center"/>
          </w:tcPr>
          <w:p w14:paraId="463254C3" w14:textId="77777777" w:rsidR="00B010E6" w:rsidRPr="001B4CA2" w:rsidRDefault="00B010E6" w:rsidP="00B010E6">
            <w:pPr>
              <w:jc w:val="center"/>
              <w:rPr>
                <w:sz w:val="18"/>
                <w:szCs w:val="18"/>
              </w:rPr>
            </w:pPr>
            <w:r w:rsidRPr="001B4CA2">
              <w:rPr>
                <w:sz w:val="18"/>
                <w:szCs w:val="18"/>
              </w:rPr>
              <w:t>625</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A8E11" w14:textId="77777777" w:rsidR="00B010E6" w:rsidRPr="001B4CA2" w:rsidRDefault="00B010E6" w:rsidP="00B010E6">
            <w:pPr>
              <w:jc w:val="center"/>
              <w:rPr>
                <w:sz w:val="18"/>
                <w:szCs w:val="18"/>
              </w:rPr>
            </w:pPr>
            <w:r w:rsidRPr="001B4CA2">
              <w:rPr>
                <w:sz w:val="18"/>
                <w:szCs w:val="18"/>
              </w:rPr>
              <w:t>4.627</w:t>
            </w:r>
          </w:p>
        </w:tc>
      </w:tr>
      <w:tr w:rsidR="00B010E6" w:rsidRPr="001B4CA2" w14:paraId="6D19F478" w14:textId="77777777" w:rsidTr="001D4F0F">
        <w:trPr>
          <w:trHeight w:val="399"/>
          <w:jc w:val="center"/>
        </w:trPr>
        <w:tc>
          <w:tcPr>
            <w:tcW w:w="419" w:type="dxa"/>
            <w:vMerge/>
            <w:tcBorders>
              <w:left w:val="single" w:sz="4" w:space="0" w:color="auto"/>
              <w:right w:val="single" w:sz="4" w:space="0" w:color="auto"/>
            </w:tcBorders>
            <w:shd w:val="clear" w:color="auto" w:fill="99CCFF"/>
            <w:vAlign w:val="center"/>
          </w:tcPr>
          <w:p w14:paraId="7273C010" w14:textId="77777777" w:rsidR="00B010E6" w:rsidRPr="001B4CA2" w:rsidRDefault="00B010E6" w:rsidP="00B010E6">
            <w:pPr>
              <w:jc w:val="left"/>
              <w:rPr>
                <w:rFonts w:eastAsia="Times New Roman"/>
                <w:sz w:val="18"/>
                <w:szCs w:val="18"/>
                <w:lang w:eastAsia="hr-HR"/>
              </w:rPr>
            </w:pPr>
          </w:p>
        </w:tc>
        <w:tc>
          <w:tcPr>
            <w:tcW w:w="3111" w:type="dxa"/>
            <w:tcBorders>
              <w:top w:val="single" w:sz="4" w:space="0" w:color="auto"/>
              <w:left w:val="nil"/>
              <w:bottom w:val="single" w:sz="4" w:space="0" w:color="auto"/>
              <w:right w:val="single" w:sz="4" w:space="0" w:color="auto"/>
            </w:tcBorders>
            <w:shd w:val="clear" w:color="auto" w:fill="auto"/>
            <w:vAlign w:val="center"/>
          </w:tcPr>
          <w:p w14:paraId="5D9C15AE"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47F89565" w14:textId="77777777" w:rsidR="00B010E6" w:rsidRPr="001B4CA2" w:rsidRDefault="00B010E6" w:rsidP="00B010E6">
            <w:pPr>
              <w:jc w:val="center"/>
              <w:rPr>
                <w:rFonts w:eastAsia="Times New Roman"/>
                <w:sz w:val="18"/>
                <w:szCs w:val="18"/>
                <w:lang w:eastAsia="hr-HR"/>
              </w:rPr>
            </w:pPr>
            <w:r w:rsidRPr="001B4CA2">
              <w:rPr>
                <w:rFonts w:eastAsia="Times New Roman"/>
                <w:sz w:val="18"/>
                <w:szCs w:val="18"/>
                <w:lang w:eastAsia="hr-HR"/>
              </w:rPr>
              <w:t>29</w:t>
            </w: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26880DB9" w14:textId="77777777" w:rsidR="00B010E6" w:rsidRPr="001B4CA2" w:rsidRDefault="00B010E6" w:rsidP="00B010E6">
            <w:pPr>
              <w:jc w:val="center"/>
              <w:rPr>
                <w:rFonts w:eastAsia="Times New Roman"/>
                <w:sz w:val="18"/>
                <w:szCs w:val="18"/>
                <w:lang w:eastAsia="hr-HR"/>
              </w:rPr>
            </w:pPr>
            <w:r w:rsidRPr="001B4CA2">
              <w:rPr>
                <w:rFonts w:eastAsia="Times New Roman"/>
                <w:sz w:val="18"/>
                <w:szCs w:val="18"/>
                <w:lang w:eastAsia="hr-HR"/>
              </w:rPr>
              <w:t>58</w:t>
            </w:r>
          </w:p>
        </w:tc>
        <w:tc>
          <w:tcPr>
            <w:tcW w:w="1477" w:type="dxa"/>
            <w:tcBorders>
              <w:top w:val="single" w:sz="4" w:space="0" w:color="auto"/>
              <w:left w:val="nil"/>
              <w:bottom w:val="single" w:sz="4" w:space="0" w:color="auto"/>
              <w:right w:val="single" w:sz="4" w:space="0" w:color="auto"/>
            </w:tcBorders>
            <w:vAlign w:val="center"/>
          </w:tcPr>
          <w:p w14:paraId="4C83375E" w14:textId="77777777" w:rsidR="00B010E6" w:rsidRPr="001B4CA2" w:rsidRDefault="00B010E6" w:rsidP="00B010E6">
            <w:pPr>
              <w:jc w:val="center"/>
              <w:rPr>
                <w:rFonts w:eastAsia="Times New Roman"/>
                <w:bCs/>
                <w:sz w:val="18"/>
                <w:szCs w:val="18"/>
                <w:lang w:eastAsia="hr-HR"/>
              </w:rPr>
            </w:pPr>
            <w:r w:rsidRPr="001B4CA2">
              <w:rPr>
                <w:rFonts w:eastAsia="Times New Roman"/>
                <w:bCs/>
                <w:sz w:val="18"/>
                <w:szCs w:val="18"/>
                <w:lang w:eastAsia="hr-HR"/>
              </w:rPr>
              <w:t>13</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FDDB9" w14:textId="77777777" w:rsidR="00B010E6" w:rsidRPr="001B4CA2" w:rsidRDefault="00B010E6" w:rsidP="00B010E6">
            <w:pPr>
              <w:jc w:val="center"/>
              <w:rPr>
                <w:rFonts w:eastAsia="Times New Roman"/>
                <w:b/>
                <w:bCs/>
                <w:sz w:val="18"/>
                <w:szCs w:val="18"/>
                <w:lang w:eastAsia="hr-HR"/>
              </w:rPr>
            </w:pPr>
            <w:r w:rsidRPr="001B4CA2">
              <w:rPr>
                <w:rFonts w:eastAsia="Times New Roman"/>
                <w:b/>
                <w:bCs/>
                <w:sz w:val="18"/>
                <w:szCs w:val="18"/>
                <w:lang w:eastAsia="hr-HR"/>
              </w:rPr>
              <w:t>100</w:t>
            </w:r>
          </w:p>
        </w:tc>
      </w:tr>
      <w:tr w:rsidR="00B010E6" w:rsidRPr="001B4CA2" w14:paraId="5685C3BA" w14:textId="77777777" w:rsidTr="001D4F0F">
        <w:trPr>
          <w:trHeight w:val="399"/>
          <w:jc w:val="center"/>
        </w:trPr>
        <w:tc>
          <w:tcPr>
            <w:tcW w:w="419" w:type="dxa"/>
            <w:vMerge/>
            <w:tcBorders>
              <w:left w:val="single" w:sz="4" w:space="0" w:color="auto"/>
              <w:bottom w:val="single" w:sz="4" w:space="0" w:color="auto"/>
              <w:right w:val="single" w:sz="4" w:space="0" w:color="auto"/>
            </w:tcBorders>
            <w:shd w:val="clear" w:color="auto" w:fill="99CCFF"/>
            <w:vAlign w:val="center"/>
          </w:tcPr>
          <w:p w14:paraId="17C49FE0" w14:textId="77777777" w:rsidR="00B010E6" w:rsidRPr="001B4CA2" w:rsidRDefault="00B010E6" w:rsidP="00B010E6">
            <w:pPr>
              <w:jc w:val="left"/>
              <w:rPr>
                <w:rFonts w:eastAsia="Times New Roman"/>
                <w:sz w:val="18"/>
                <w:szCs w:val="18"/>
                <w:lang w:eastAsia="hr-HR"/>
              </w:rPr>
            </w:pPr>
          </w:p>
        </w:tc>
        <w:tc>
          <w:tcPr>
            <w:tcW w:w="3111" w:type="dxa"/>
            <w:tcBorders>
              <w:top w:val="single" w:sz="4" w:space="0" w:color="auto"/>
              <w:left w:val="nil"/>
              <w:bottom w:val="single" w:sz="4" w:space="0" w:color="auto"/>
              <w:right w:val="single" w:sz="4" w:space="0" w:color="auto"/>
            </w:tcBorders>
            <w:shd w:val="clear" w:color="auto" w:fill="auto"/>
            <w:vAlign w:val="center"/>
          </w:tcPr>
          <w:p w14:paraId="6D3606A6" w14:textId="77777777" w:rsidR="00B010E6" w:rsidRPr="001B4CA2" w:rsidRDefault="00B010E6" w:rsidP="00B010E6">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4CAA09F0" w14:textId="77777777" w:rsidR="00B010E6" w:rsidRPr="001B4CA2" w:rsidRDefault="00B010E6" w:rsidP="00B010E6">
            <w:pPr>
              <w:jc w:val="center"/>
              <w:rPr>
                <w:sz w:val="18"/>
                <w:szCs w:val="18"/>
              </w:rPr>
            </w:pPr>
            <w:r w:rsidRPr="001B4CA2">
              <w:rPr>
                <w:sz w:val="18"/>
                <w:szCs w:val="18"/>
              </w:rPr>
              <w:t>128.244</w:t>
            </w:r>
          </w:p>
        </w:tc>
        <w:tc>
          <w:tcPr>
            <w:tcW w:w="1605" w:type="dxa"/>
            <w:tcBorders>
              <w:top w:val="single" w:sz="4" w:space="0" w:color="auto"/>
              <w:left w:val="nil"/>
              <w:bottom w:val="single" w:sz="4" w:space="0" w:color="auto"/>
              <w:right w:val="single" w:sz="4" w:space="0" w:color="auto"/>
            </w:tcBorders>
            <w:shd w:val="clear" w:color="auto" w:fill="auto"/>
            <w:noWrap/>
            <w:vAlign w:val="center"/>
          </w:tcPr>
          <w:p w14:paraId="324C0AF0" w14:textId="77777777" w:rsidR="00B010E6" w:rsidRPr="001B4CA2" w:rsidRDefault="00B010E6" w:rsidP="00B010E6">
            <w:pPr>
              <w:jc w:val="center"/>
              <w:rPr>
                <w:sz w:val="18"/>
                <w:szCs w:val="18"/>
              </w:rPr>
            </w:pPr>
            <w:r w:rsidRPr="001B4CA2">
              <w:rPr>
                <w:sz w:val="18"/>
                <w:szCs w:val="18"/>
              </w:rPr>
              <w:t>3.390.593</w:t>
            </w:r>
          </w:p>
        </w:tc>
        <w:tc>
          <w:tcPr>
            <w:tcW w:w="1477" w:type="dxa"/>
            <w:tcBorders>
              <w:top w:val="single" w:sz="4" w:space="0" w:color="auto"/>
              <w:left w:val="nil"/>
              <w:bottom w:val="single" w:sz="4" w:space="0" w:color="auto"/>
              <w:right w:val="single" w:sz="4" w:space="0" w:color="auto"/>
            </w:tcBorders>
            <w:vAlign w:val="center"/>
          </w:tcPr>
          <w:p w14:paraId="2A4C6F5B" w14:textId="77777777" w:rsidR="00B010E6" w:rsidRPr="001B4CA2" w:rsidRDefault="00B010E6" w:rsidP="00B010E6">
            <w:pPr>
              <w:jc w:val="center"/>
              <w:rPr>
                <w:rFonts w:eastAsia="Times New Roman"/>
                <w:b/>
                <w:bCs/>
                <w:sz w:val="18"/>
                <w:szCs w:val="18"/>
                <w:lang w:eastAsia="hr-HR"/>
              </w:rPr>
            </w:pP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8CB8D" w14:textId="77777777" w:rsidR="00B010E6" w:rsidRPr="001B4CA2" w:rsidRDefault="00B010E6" w:rsidP="00B010E6">
            <w:pPr>
              <w:jc w:val="center"/>
              <w:rPr>
                <w:rFonts w:eastAsia="Times New Roman"/>
                <w:b/>
                <w:bCs/>
                <w:sz w:val="18"/>
                <w:szCs w:val="18"/>
                <w:lang w:eastAsia="hr-HR"/>
              </w:rPr>
            </w:pPr>
            <w:r w:rsidRPr="001B4CA2">
              <w:rPr>
                <w:rFonts w:eastAsia="Times New Roman"/>
                <w:b/>
                <w:bCs/>
                <w:sz w:val="18"/>
                <w:szCs w:val="18"/>
                <w:lang w:eastAsia="hr-HR"/>
              </w:rPr>
              <w:t>3.518.837</w:t>
            </w:r>
          </w:p>
        </w:tc>
      </w:tr>
    </w:tbl>
    <w:p w14:paraId="329CCF55" w14:textId="77777777" w:rsidR="00B010E6" w:rsidRPr="001B4CA2" w:rsidRDefault="00B010E6" w:rsidP="00B010E6"/>
    <w:p w14:paraId="326A2C5D" w14:textId="09EE4F4B" w:rsidR="00B010E6" w:rsidRPr="001B4CA2" w:rsidRDefault="00B010E6" w:rsidP="00B010E6">
      <w:pPr>
        <w:ind w:firstLine="705"/>
        <w:rPr>
          <w:rFonts w:eastAsia="Times New Roman" w:cs="Times New Roman"/>
          <w:lang w:eastAsia="hr-HR"/>
        </w:rPr>
      </w:pPr>
      <w:r w:rsidRPr="001B4CA2">
        <w:rPr>
          <w:rFonts w:eastAsia="Times New Roman" w:cs="Times New Roman"/>
          <w:lang w:eastAsia="hr-HR"/>
        </w:rPr>
        <w:t xml:space="preserve">Od ukupnog broja zahtjeva primljenih tijekom 2022. godine Republika Hrvatska </w:t>
      </w:r>
      <w:r w:rsidR="009E6D91" w:rsidRPr="001B4CA2">
        <w:rPr>
          <w:rFonts w:eastAsia="Times New Roman" w:cs="Times New Roman"/>
          <w:lang w:eastAsia="hr-HR"/>
        </w:rPr>
        <w:t>bila</w:t>
      </w:r>
      <w:r w:rsidRPr="001B4CA2">
        <w:rPr>
          <w:rFonts w:eastAsia="Times New Roman" w:cs="Times New Roman"/>
          <w:lang w:eastAsia="hr-HR"/>
        </w:rPr>
        <w:t xml:space="preserve"> </w:t>
      </w:r>
      <w:r w:rsidR="00840C0E" w:rsidRPr="001B4CA2">
        <w:rPr>
          <w:rFonts w:eastAsia="Times New Roman" w:cs="Times New Roman"/>
          <w:lang w:eastAsia="hr-HR"/>
        </w:rPr>
        <w:t xml:space="preserve">je </w:t>
      </w:r>
      <w:r w:rsidRPr="001B4CA2">
        <w:rPr>
          <w:rFonts w:eastAsia="Times New Roman" w:cs="Times New Roman"/>
          <w:lang w:eastAsia="hr-HR"/>
        </w:rPr>
        <w:t>tužitelj u 29</w:t>
      </w:r>
      <w:r w:rsidR="00840C0E">
        <w:rPr>
          <w:rFonts w:eastAsia="Times New Roman" w:cs="Times New Roman"/>
          <w:lang w:eastAsia="hr-HR"/>
        </w:rPr>
        <w:t> </w:t>
      </w:r>
      <w:r w:rsidRPr="001B4CA2">
        <w:rPr>
          <w:rFonts w:eastAsia="Times New Roman" w:cs="Times New Roman"/>
          <w:lang w:eastAsia="hr-HR"/>
        </w:rPr>
        <w:t>%,</w:t>
      </w:r>
      <w:r w:rsidR="00840C0E">
        <w:rPr>
          <w:rFonts w:eastAsia="Times New Roman" w:cs="Times New Roman"/>
          <w:lang w:eastAsia="hr-HR"/>
        </w:rPr>
        <w:t xml:space="preserve"> </w:t>
      </w:r>
      <w:r w:rsidRPr="001B4CA2">
        <w:rPr>
          <w:rFonts w:eastAsia="Times New Roman" w:cs="Times New Roman"/>
          <w:lang w:eastAsia="hr-HR"/>
        </w:rPr>
        <w:t>a tužena je u 58</w:t>
      </w:r>
      <w:r w:rsidR="00840C0E">
        <w:rPr>
          <w:rFonts w:eastAsia="Times New Roman" w:cs="Times New Roman"/>
          <w:lang w:eastAsia="hr-HR"/>
        </w:rPr>
        <w:t> </w:t>
      </w:r>
      <w:r w:rsidRPr="001B4CA2">
        <w:rPr>
          <w:rFonts w:eastAsia="Times New Roman" w:cs="Times New Roman"/>
          <w:lang w:eastAsia="hr-HR"/>
        </w:rPr>
        <w:t>% parnica.</w:t>
      </w:r>
    </w:p>
    <w:p w14:paraId="2E34ACC0" w14:textId="09D5309C" w:rsidR="00B010E6" w:rsidRPr="001B4CA2" w:rsidRDefault="00B010E6" w:rsidP="00B010E6">
      <w:pPr>
        <w:ind w:firstLine="705"/>
      </w:pPr>
      <w:r w:rsidRPr="001B4CA2">
        <w:lastRenderedPageBreak/>
        <w:t>Smanjen je broj predmeta u kojima se Republika Hrvatska pojavlj</w:t>
      </w:r>
      <w:r w:rsidR="009E6D91" w:rsidRPr="001B4CA2">
        <w:t>ivala</w:t>
      </w:r>
      <w:r w:rsidRPr="001B4CA2">
        <w:t xml:space="preserve"> kao </w:t>
      </w:r>
      <w:proofErr w:type="spellStart"/>
      <w:r w:rsidRPr="001B4CA2">
        <w:t>umješač</w:t>
      </w:r>
      <w:proofErr w:type="spellEnd"/>
      <w:r w:rsidRPr="001B4CA2">
        <w:t xml:space="preserve"> u parničnim postupcima koji s</w:t>
      </w:r>
      <w:r w:rsidR="009E6D91" w:rsidRPr="001B4CA2">
        <w:t>u se</w:t>
      </w:r>
      <w:r w:rsidRPr="001B4CA2">
        <w:t xml:space="preserve"> vod</w:t>
      </w:r>
      <w:r w:rsidR="009E6D91" w:rsidRPr="001B4CA2">
        <w:t>ili</w:t>
      </w:r>
      <w:r w:rsidRPr="001B4CA2">
        <w:t xml:space="preserve"> među drugim osobama</w:t>
      </w:r>
      <w:r w:rsidR="00840C0E">
        <w:t>,</w:t>
      </w:r>
      <w:r w:rsidRPr="001B4CA2">
        <w:t xml:space="preserve"> i to na 13</w:t>
      </w:r>
      <w:r w:rsidR="00840C0E">
        <w:t> </w:t>
      </w:r>
      <w:r w:rsidRPr="001B4CA2">
        <w:t>%. U pravilu se radi</w:t>
      </w:r>
      <w:r w:rsidR="009E6D91" w:rsidRPr="001B4CA2">
        <w:t>lo</w:t>
      </w:r>
      <w:r w:rsidRPr="001B4CA2">
        <w:t xml:space="preserve"> o miješanju u radne sporove gdje zaposlenici potražuju isplatu razlike plaće od ustanove kao poslodavca, čiji je </w:t>
      </w:r>
      <w:r w:rsidR="00840C0E" w:rsidRPr="001B4CA2">
        <w:t xml:space="preserve">osnivač </w:t>
      </w:r>
      <w:r w:rsidRPr="001B4CA2">
        <w:t xml:space="preserve">Republika Hrvatska, a kojih je u izvještajnoj godini bilo znatno manje nego u prethodnim godinama. </w:t>
      </w:r>
    </w:p>
    <w:p w14:paraId="35D407BC" w14:textId="77777777" w:rsidR="00B010E6" w:rsidRPr="001B4CA2" w:rsidRDefault="00B010E6" w:rsidP="00B010E6">
      <w:pPr>
        <w:rPr>
          <w:rFonts w:eastAsia="Times New Roman" w:cs="Times New Roman"/>
          <w:lang w:eastAsia="hr-HR"/>
        </w:rPr>
      </w:pPr>
    </w:p>
    <w:p w14:paraId="223983CD" w14:textId="6643038D" w:rsidR="00B010E6" w:rsidRPr="001B4CA2" w:rsidRDefault="00B010E6" w:rsidP="00B010E6">
      <w:pPr>
        <w:ind w:firstLine="705"/>
        <w:rPr>
          <w:rFonts w:eastAsia="Times New Roman"/>
          <w:lang w:eastAsia="hr-HR"/>
        </w:rPr>
      </w:pPr>
      <w:r w:rsidRPr="001B4CA2">
        <w:rPr>
          <w:rFonts w:eastAsia="Times New Roman" w:cs="Times New Roman"/>
          <w:lang w:eastAsia="hr-HR"/>
        </w:rPr>
        <w:t>Protiv Republike Hrvatske podnijeto je 2680 zahtjeva ukupne vrijednosti predmeta spora 3.390.593.000</w:t>
      </w:r>
      <w:r w:rsidR="00C4437D">
        <w:rPr>
          <w:rFonts w:eastAsia="Times New Roman" w:cs="Times New Roman"/>
          <w:lang w:eastAsia="hr-HR"/>
        </w:rPr>
        <w:t>,00</w:t>
      </w:r>
      <w:r w:rsidRPr="001B4CA2">
        <w:rPr>
          <w:rFonts w:eastAsia="Times New Roman" w:cs="Times New Roman"/>
          <w:lang w:eastAsia="hr-HR"/>
        </w:rPr>
        <w:t xml:space="preserve"> kn</w:t>
      </w:r>
      <w:r w:rsidR="00840C0E">
        <w:rPr>
          <w:rFonts w:eastAsia="Times New Roman" w:cs="Times New Roman"/>
          <w:lang w:eastAsia="hr-HR"/>
        </w:rPr>
        <w:t xml:space="preserve"> </w:t>
      </w:r>
      <w:r w:rsidRPr="001B4CA2">
        <w:rPr>
          <w:rFonts w:eastAsia="Times New Roman" w:cs="Times New Roman"/>
          <w:lang w:eastAsia="hr-HR"/>
        </w:rPr>
        <w:t>/</w:t>
      </w:r>
      <w:r w:rsidR="001C297A" w:rsidRPr="001B4CA2">
        <w:rPr>
          <w:rFonts w:eastAsia="Times New Roman" w:cs="Times New Roman"/>
          <w:lang w:eastAsia="hr-HR"/>
        </w:rPr>
        <w:t xml:space="preserve"> </w:t>
      </w:r>
      <w:r w:rsidRPr="001B4CA2">
        <w:rPr>
          <w:rFonts w:eastAsia="Times New Roman" w:cs="Times New Roman"/>
          <w:lang w:eastAsia="hr-HR"/>
        </w:rPr>
        <w:t>450.</w:t>
      </w:r>
      <w:r w:rsidR="00C4437D">
        <w:rPr>
          <w:rFonts w:eastAsia="Times New Roman" w:cs="Times New Roman"/>
          <w:lang w:eastAsia="hr-HR"/>
        </w:rPr>
        <w:t>009</w:t>
      </w:r>
      <w:r w:rsidRPr="001B4CA2">
        <w:rPr>
          <w:rFonts w:eastAsia="Times New Roman" w:cs="Times New Roman"/>
          <w:lang w:eastAsia="hr-HR"/>
        </w:rPr>
        <w:t>.</w:t>
      </w:r>
      <w:r w:rsidR="00C4437D">
        <w:rPr>
          <w:rFonts w:eastAsia="Times New Roman" w:cs="Times New Roman"/>
          <w:lang w:eastAsia="hr-HR"/>
        </w:rPr>
        <w:t>025</w:t>
      </w:r>
      <w:r w:rsidRPr="001B4CA2">
        <w:rPr>
          <w:rFonts w:eastAsia="Times New Roman" w:cs="Times New Roman"/>
          <w:lang w:eastAsia="hr-HR"/>
        </w:rPr>
        <w:t>,</w:t>
      </w:r>
      <w:r w:rsidR="00C4437D">
        <w:rPr>
          <w:rFonts w:eastAsia="Times New Roman" w:cs="Times New Roman"/>
          <w:lang w:eastAsia="hr-HR"/>
        </w:rPr>
        <w:t>15</w:t>
      </w:r>
      <w:r w:rsidRPr="001B4CA2">
        <w:rPr>
          <w:rFonts w:eastAsia="Times New Roman" w:cs="Times New Roman"/>
          <w:lang w:eastAsia="hr-HR"/>
        </w:rPr>
        <w:t xml:space="preserve"> </w:t>
      </w:r>
      <w:r w:rsidR="0020162B" w:rsidRPr="001B4CA2">
        <w:rPr>
          <w:rFonts w:eastAsia="Times New Roman" w:cs="Times New Roman"/>
          <w:lang w:eastAsia="hr-HR"/>
        </w:rPr>
        <w:t>EUR</w:t>
      </w:r>
      <w:r w:rsidRPr="001B4CA2">
        <w:rPr>
          <w:rFonts w:eastAsia="Times New Roman" w:cs="Times New Roman"/>
          <w:lang w:eastAsia="hr-HR"/>
        </w:rPr>
        <w:t>, a Republika Hrvatska</w:t>
      </w:r>
      <w:r w:rsidR="009E6D91" w:rsidRPr="001B4CA2">
        <w:rPr>
          <w:rFonts w:eastAsia="Times New Roman" w:cs="Times New Roman"/>
          <w:lang w:eastAsia="hr-HR"/>
        </w:rPr>
        <w:t xml:space="preserve"> </w:t>
      </w:r>
      <w:r w:rsidRPr="001B4CA2">
        <w:rPr>
          <w:rFonts w:eastAsia="Times New Roman" w:cs="Times New Roman"/>
          <w:lang w:eastAsia="hr-HR"/>
        </w:rPr>
        <w:t>kao tužitelj u 1</w:t>
      </w:r>
      <w:r w:rsidR="0020162B" w:rsidRPr="001B4CA2">
        <w:rPr>
          <w:rFonts w:eastAsia="Times New Roman" w:cs="Times New Roman"/>
          <w:lang w:eastAsia="hr-HR"/>
        </w:rPr>
        <w:t>.</w:t>
      </w:r>
      <w:r w:rsidRPr="001B4CA2">
        <w:rPr>
          <w:rFonts w:eastAsia="Times New Roman" w:cs="Times New Roman"/>
          <w:lang w:eastAsia="hr-HR"/>
        </w:rPr>
        <w:t xml:space="preserve">322 parnice </w:t>
      </w:r>
      <w:r w:rsidR="009E6D91" w:rsidRPr="001B4CA2">
        <w:rPr>
          <w:rFonts w:eastAsia="Times New Roman" w:cs="Times New Roman"/>
          <w:lang w:eastAsia="hr-HR"/>
        </w:rPr>
        <w:t>potraživala</w:t>
      </w:r>
      <w:r w:rsidRPr="001B4CA2">
        <w:rPr>
          <w:rFonts w:eastAsia="Times New Roman" w:cs="Times New Roman"/>
          <w:lang w:eastAsia="hr-HR"/>
        </w:rPr>
        <w:t xml:space="preserve"> </w:t>
      </w:r>
      <w:r w:rsidR="00840C0E" w:rsidRPr="001B4CA2">
        <w:rPr>
          <w:rFonts w:eastAsia="Times New Roman" w:cs="Times New Roman"/>
          <w:lang w:eastAsia="hr-HR"/>
        </w:rPr>
        <w:t xml:space="preserve">je </w:t>
      </w:r>
      <w:r w:rsidRPr="001B4CA2">
        <w:rPr>
          <w:rFonts w:eastAsia="Times New Roman" w:cs="Times New Roman"/>
          <w:lang w:eastAsia="hr-HR"/>
        </w:rPr>
        <w:t>iznos od 128.244.000,00 kn</w:t>
      </w:r>
      <w:r w:rsidR="00840C0E">
        <w:rPr>
          <w:rFonts w:eastAsia="Times New Roman" w:cs="Times New Roman"/>
          <w:lang w:eastAsia="hr-HR"/>
        </w:rPr>
        <w:t xml:space="preserve"> </w:t>
      </w:r>
      <w:r w:rsidRPr="001B4CA2">
        <w:rPr>
          <w:rFonts w:eastAsia="Times New Roman" w:cs="Times New Roman"/>
          <w:lang w:eastAsia="hr-HR"/>
        </w:rPr>
        <w:t>/</w:t>
      </w:r>
      <w:r w:rsidR="00840C0E">
        <w:rPr>
          <w:rFonts w:eastAsia="Times New Roman" w:cs="Times New Roman"/>
          <w:lang w:eastAsia="hr-HR"/>
        </w:rPr>
        <w:t xml:space="preserve"> </w:t>
      </w:r>
      <w:r w:rsidRPr="001B4CA2">
        <w:rPr>
          <w:rFonts w:eastAsia="Times New Roman" w:cs="Times New Roman"/>
          <w:lang w:eastAsia="hr-HR"/>
        </w:rPr>
        <w:t>17.</w:t>
      </w:r>
      <w:r w:rsidR="00540F85">
        <w:rPr>
          <w:rFonts w:eastAsia="Times New Roman" w:cs="Times New Roman"/>
          <w:lang w:eastAsia="hr-HR"/>
        </w:rPr>
        <w:t>020</w:t>
      </w:r>
      <w:r w:rsidRPr="001B4CA2">
        <w:rPr>
          <w:rFonts w:eastAsia="Times New Roman" w:cs="Times New Roman"/>
          <w:lang w:eastAsia="hr-HR"/>
        </w:rPr>
        <w:t>.</w:t>
      </w:r>
      <w:r w:rsidR="00540F85">
        <w:rPr>
          <w:rFonts w:eastAsia="Times New Roman" w:cs="Times New Roman"/>
          <w:lang w:eastAsia="hr-HR"/>
        </w:rPr>
        <w:t>903</w:t>
      </w:r>
      <w:r w:rsidRPr="001B4CA2">
        <w:rPr>
          <w:rFonts w:eastAsia="Times New Roman" w:cs="Times New Roman"/>
          <w:lang w:eastAsia="hr-HR"/>
        </w:rPr>
        <w:t>,</w:t>
      </w:r>
      <w:r w:rsidR="00540F85">
        <w:rPr>
          <w:rFonts w:eastAsia="Times New Roman" w:cs="Times New Roman"/>
          <w:lang w:eastAsia="hr-HR"/>
        </w:rPr>
        <w:t>80</w:t>
      </w:r>
      <w:r w:rsidRPr="001B4CA2">
        <w:rPr>
          <w:rFonts w:eastAsia="Times New Roman" w:cs="Times New Roman"/>
          <w:lang w:eastAsia="hr-HR"/>
        </w:rPr>
        <w:t xml:space="preserve"> </w:t>
      </w:r>
      <w:r w:rsidR="0020162B" w:rsidRPr="001B4CA2">
        <w:rPr>
          <w:rFonts w:eastAsia="Times New Roman" w:cs="Times New Roman"/>
          <w:lang w:eastAsia="hr-HR"/>
        </w:rPr>
        <w:t>EUR</w:t>
      </w:r>
      <w:r w:rsidRPr="001B4CA2">
        <w:rPr>
          <w:rFonts w:eastAsia="Times New Roman" w:cs="Times New Roman"/>
          <w:lang w:eastAsia="hr-HR"/>
        </w:rPr>
        <w:t>.</w:t>
      </w:r>
    </w:p>
    <w:p w14:paraId="0B227ADE" w14:textId="77777777" w:rsidR="00B010E6" w:rsidRPr="001B4CA2" w:rsidRDefault="00B010E6" w:rsidP="00B010E6">
      <w:pPr>
        <w:contextualSpacing/>
        <w:rPr>
          <w:sz w:val="22"/>
          <w:szCs w:val="22"/>
        </w:rPr>
      </w:pPr>
    </w:p>
    <w:p w14:paraId="0496435B" w14:textId="097FF88C" w:rsidR="00B010E6" w:rsidRPr="001B4CA2" w:rsidRDefault="00B010E6" w:rsidP="00B010E6">
      <w:pPr>
        <w:pStyle w:val="Odlomakpopisa"/>
        <w:numPr>
          <w:ilvl w:val="0"/>
          <w:numId w:val="35"/>
        </w:numPr>
        <w:jc w:val="left"/>
        <w:rPr>
          <w:rFonts w:asciiTheme="minorHAnsi" w:hAnsiTheme="minorHAnsi" w:cstheme="minorBidi"/>
          <w:i/>
          <w:szCs w:val="22"/>
        </w:rPr>
      </w:pPr>
      <w:r w:rsidRPr="001B4CA2">
        <w:rPr>
          <w:rFonts w:asciiTheme="minorHAnsi" w:hAnsiTheme="minorHAnsi" w:cstheme="minorBidi"/>
          <w:i/>
          <w:szCs w:val="22"/>
        </w:rPr>
        <w:t>Kretanje</w:t>
      </w:r>
      <w:r w:rsidR="001B4CA2">
        <w:rPr>
          <w:rFonts w:asciiTheme="minorHAnsi" w:hAnsiTheme="minorHAnsi" w:cstheme="minorBidi"/>
          <w:i/>
          <w:szCs w:val="22"/>
        </w:rPr>
        <w:t xml:space="preserve"> </w:t>
      </w:r>
      <w:r w:rsidRPr="001B4CA2">
        <w:rPr>
          <w:rFonts w:asciiTheme="minorHAnsi" w:hAnsiTheme="minorHAnsi" w:cstheme="minorBidi"/>
          <w:i/>
          <w:szCs w:val="22"/>
        </w:rPr>
        <w:t>tužbenih zahtjeva u parničnim predmetima po vrsti spora 2018. – 2022.</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375"/>
        <w:gridCol w:w="1375"/>
        <w:gridCol w:w="1375"/>
        <w:gridCol w:w="1375"/>
        <w:gridCol w:w="1161"/>
      </w:tblGrid>
      <w:tr w:rsidR="00B010E6" w:rsidRPr="001B4CA2" w14:paraId="5B23DA8F" w14:textId="77777777" w:rsidTr="007D12C6">
        <w:trPr>
          <w:trHeight w:val="1183"/>
          <w:jc w:val="center"/>
        </w:trPr>
        <w:tc>
          <w:tcPr>
            <w:tcW w:w="2343" w:type="dxa"/>
            <w:shd w:val="clear" w:color="000000" w:fill="99CCFF"/>
            <w:noWrap/>
            <w:vAlign w:val="center"/>
            <w:hideMark/>
          </w:tcPr>
          <w:p w14:paraId="13A2B554" w14:textId="77777777" w:rsidR="00B010E6" w:rsidRPr="001D4F0F" w:rsidRDefault="00B010E6" w:rsidP="00B010E6">
            <w:pPr>
              <w:jc w:val="center"/>
              <w:rPr>
                <w:rFonts w:eastAsia="Times New Roman"/>
                <w:b/>
                <w:bCs/>
                <w:color w:val="000000"/>
                <w:sz w:val="18"/>
                <w:szCs w:val="18"/>
                <w:lang w:eastAsia="hr-HR"/>
              </w:rPr>
            </w:pPr>
            <w:r w:rsidRPr="001D4F0F">
              <w:rPr>
                <w:rFonts w:eastAsia="Times New Roman"/>
                <w:b/>
                <w:bCs/>
                <w:color w:val="000000"/>
                <w:sz w:val="18"/>
                <w:szCs w:val="18"/>
                <w:lang w:eastAsia="hr-HR"/>
              </w:rPr>
              <w:t>Godina</w:t>
            </w:r>
          </w:p>
        </w:tc>
        <w:tc>
          <w:tcPr>
            <w:tcW w:w="1375" w:type="dxa"/>
            <w:shd w:val="clear" w:color="000000" w:fill="99CCFF"/>
            <w:vAlign w:val="center"/>
          </w:tcPr>
          <w:p w14:paraId="641324FD" w14:textId="77777777" w:rsidR="00B010E6" w:rsidRPr="001D4F0F" w:rsidRDefault="00B010E6" w:rsidP="001D4F0F">
            <w:pPr>
              <w:jc w:val="center"/>
              <w:rPr>
                <w:rFonts w:eastAsia="Times New Roman"/>
                <w:b/>
                <w:bCs/>
                <w:color w:val="000000"/>
                <w:sz w:val="18"/>
                <w:szCs w:val="18"/>
                <w:lang w:eastAsia="hr-HR"/>
              </w:rPr>
            </w:pPr>
            <w:r w:rsidRPr="001D4F0F">
              <w:rPr>
                <w:rFonts w:eastAsia="Times New Roman"/>
                <w:b/>
                <w:bCs/>
                <w:color w:val="000000"/>
                <w:sz w:val="18"/>
                <w:szCs w:val="18"/>
                <w:lang w:eastAsia="hr-HR"/>
              </w:rPr>
              <w:t>2018.</w:t>
            </w:r>
          </w:p>
        </w:tc>
        <w:tc>
          <w:tcPr>
            <w:tcW w:w="1375" w:type="dxa"/>
            <w:shd w:val="clear" w:color="000000" w:fill="99CCFF"/>
            <w:vAlign w:val="center"/>
          </w:tcPr>
          <w:p w14:paraId="4D7EF712" w14:textId="77777777" w:rsidR="00B010E6" w:rsidRPr="001D4F0F" w:rsidRDefault="00B010E6" w:rsidP="001D4F0F">
            <w:pPr>
              <w:jc w:val="center"/>
              <w:rPr>
                <w:rFonts w:eastAsia="Times New Roman"/>
                <w:b/>
                <w:bCs/>
                <w:color w:val="000000"/>
                <w:sz w:val="18"/>
                <w:szCs w:val="18"/>
                <w:lang w:eastAsia="hr-HR"/>
              </w:rPr>
            </w:pPr>
            <w:r w:rsidRPr="001D4F0F">
              <w:rPr>
                <w:rFonts w:eastAsia="Times New Roman"/>
                <w:b/>
                <w:bCs/>
                <w:color w:val="000000"/>
                <w:sz w:val="18"/>
                <w:szCs w:val="18"/>
                <w:lang w:eastAsia="hr-HR"/>
              </w:rPr>
              <w:t>2019.</w:t>
            </w:r>
          </w:p>
        </w:tc>
        <w:tc>
          <w:tcPr>
            <w:tcW w:w="1375" w:type="dxa"/>
            <w:shd w:val="clear" w:color="000000" w:fill="99CCFF"/>
            <w:vAlign w:val="center"/>
          </w:tcPr>
          <w:p w14:paraId="1AD93C5E" w14:textId="77777777" w:rsidR="00B010E6" w:rsidRPr="001D4F0F" w:rsidRDefault="00B010E6" w:rsidP="001D4F0F">
            <w:pPr>
              <w:jc w:val="center"/>
              <w:rPr>
                <w:rFonts w:eastAsia="Times New Roman"/>
                <w:b/>
                <w:bCs/>
                <w:color w:val="000000"/>
                <w:sz w:val="18"/>
                <w:szCs w:val="18"/>
                <w:lang w:eastAsia="hr-HR"/>
              </w:rPr>
            </w:pPr>
            <w:r w:rsidRPr="001D4F0F">
              <w:rPr>
                <w:rFonts w:eastAsia="Times New Roman"/>
                <w:b/>
                <w:bCs/>
                <w:color w:val="000000"/>
                <w:sz w:val="18"/>
                <w:szCs w:val="18"/>
                <w:lang w:eastAsia="hr-HR"/>
              </w:rPr>
              <w:t>2020.</w:t>
            </w:r>
          </w:p>
        </w:tc>
        <w:tc>
          <w:tcPr>
            <w:tcW w:w="1375" w:type="dxa"/>
            <w:shd w:val="clear" w:color="000000" w:fill="99CCFF"/>
            <w:vAlign w:val="center"/>
          </w:tcPr>
          <w:p w14:paraId="1AED98EC" w14:textId="77777777" w:rsidR="00B010E6" w:rsidRPr="001D4F0F" w:rsidRDefault="00B010E6" w:rsidP="001D4F0F">
            <w:pPr>
              <w:jc w:val="center"/>
              <w:rPr>
                <w:rFonts w:eastAsia="Times New Roman"/>
                <w:b/>
                <w:bCs/>
                <w:color w:val="000000"/>
                <w:sz w:val="18"/>
                <w:szCs w:val="18"/>
                <w:lang w:eastAsia="hr-HR"/>
              </w:rPr>
            </w:pPr>
            <w:r w:rsidRPr="001D4F0F">
              <w:rPr>
                <w:rFonts w:eastAsia="Times New Roman"/>
                <w:b/>
                <w:bCs/>
                <w:color w:val="000000"/>
                <w:sz w:val="18"/>
                <w:szCs w:val="18"/>
                <w:lang w:eastAsia="hr-HR"/>
              </w:rPr>
              <w:t>2021.</w:t>
            </w:r>
          </w:p>
        </w:tc>
        <w:tc>
          <w:tcPr>
            <w:tcW w:w="1161" w:type="dxa"/>
            <w:shd w:val="clear" w:color="000000" w:fill="99CCFF"/>
          </w:tcPr>
          <w:p w14:paraId="2810671C" w14:textId="77777777" w:rsidR="00B010E6" w:rsidRPr="001D4F0F" w:rsidRDefault="00B010E6" w:rsidP="001D4F0F">
            <w:pPr>
              <w:jc w:val="center"/>
              <w:rPr>
                <w:rFonts w:eastAsia="Times New Roman"/>
                <w:b/>
                <w:bCs/>
                <w:color w:val="000000"/>
                <w:sz w:val="18"/>
                <w:szCs w:val="18"/>
                <w:lang w:eastAsia="hr-HR"/>
              </w:rPr>
            </w:pPr>
          </w:p>
          <w:p w14:paraId="18505AB1" w14:textId="29D976DC" w:rsidR="00B010E6" w:rsidRDefault="00B010E6" w:rsidP="001D4F0F">
            <w:pPr>
              <w:jc w:val="center"/>
              <w:rPr>
                <w:rFonts w:eastAsia="Times New Roman"/>
                <w:sz w:val="18"/>
                <w:szCs w:val="18"/>
                <w:lang w:eastAsia="hr-HR"/>
              </w:rPr>
            </w:pPr>
          </w:p>
          <w:p w14:paraId="5DB3F0A5" w14:textId="77777777" w:rsidR="00B010E6" w:rsidRPr="001D4F0F" w:rsidRDefault="00B010E6" w:rsidP="001D4F0F">
            <w:pPr>
              <w:jc w:val="center"/>
              <w:rPr>
                <w:rFonts w:eastAsia="Times New Roman"/>
                <w:b/>
                <w:sz w:val="18"/>
                <w:szCs w:val="18"/>
                <w:lang w:eastAsia="hr-HR"/>
              </w:rPr>
            </w:pPr>
            <w:r w:rsidRPr="001D4F0F">
              <w:rPr>
                <w:rFonts w:eastAsia="Times New Roman"/>
                <w:b/>
                <w:sz w:val="18"/>
                <w:szCs w:val="18"/>
                <w:lang w:eastAsia="hr-HR"/>
              </w:rPr>
              <w:t>2022.</w:t>
            </w:r>
          </w:p>
        </w:tc>
      </w:tr>
      <w:tr w:rsidR="00B010E6" w:rsidRPr="001B4CA2" w14:paraId="6BE74D6F" w14:textId="77777777" w:rsidTr="007D12C6">
        <w:trPr>
          <w:trHeight w:val="397"/>
          <w:jc w:val="center"/>
        </w:trPr>
        <w:tc>
          <w:tcPr>
            <w:tcW w:w="2343" w:type="dxa"/>
            <w:shd w:val="clear" w:color="auto" w:fill="FFFFFF" w:themeFill="background1"/>
            <w:vAlign w:val="center"/>
            <w:hideMark/>
          </w:tcPr>
          <w:p w14:paraId="09847A04" w14:textId="77777777" w:rsidR="00B010E6" w:rsidRPr="001B4CA2" w:rsidRDefault="00B010E6" w:rsidP="00B010E6">
            <w:pPr>
              <w:jc w:val="left"/>
              <w:rPr>
                <w:rFonts w:eastAsia="Times New Roman"/>
                <w:b/>
                <w:bCs/>
                <w:color w:val="000000"/>
                <w:sz w:val="18"/>
                <w:szCs w:val="18"/>
                <w:lang w:eastAsia="hr-HR"/>
              </w:rPr>
            </w:pPr>
            <w:proofErr w:type="spellStart"/>
            <w:r w:rsidRPr="001B4CA2">
              <w:rPr>
                <w:rFonts w:eastAsia="Times New Roman"/>
                <w:b/>
                <w:bCs/>
                <w:color w:val="000000"/>
                <w:sz w:val="18"/>
                <w:szCs w:val="18"/>
                <w:lang w:eastAsia="hr-HR"/>
              </w:rPr>
              <w:t>Stvarnopravni</w:t>
            </w:r>
            <w:proofErr w:type="spellEnd"/>
            <w:r w:rsidRPr="001B4CA2">
              <w:rPr>
                <w:rFonts w:eastAsia="Times New Roman"/>
                <w:b/>
                <w:bCs/>
                <w:color w:val="000000"/>
                <w:sz w:val="18"/>
                <w:szCs w:val="18"/>
                <w:lang w:eastAsia="hr-HR"/>
              </w:rPr>
              <w:t xml:space="preserve"> sporovi</w:t>
            </w:r>
          </w:p>
        </w:tc>
        <w:tc>
          <w:tcPr>
            <w:tcW w:w="1375" w:type="dxa"/>
            <w:shd w:val="clear" w:color="auto" w:fill="auto"/>
            <w:noWrap/>
            <w:vAlign w:val="center"/>
          </w:tcPr>
          <w:p w14:paraId="3A49ABAB"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955</w:t>
            </w:r>
          </w:p>
        </w:tc>
        <w:tc>
          <w:tcPr>
            <w:tcW w:w="1375" w:type="dxa"/>
            <w:shd w:val="clear" w:color="auto" w:fill="auto"/>
            <w:noWrap/>
            <w:vAlign w:val="center"/>
          </w:tcPr>
          <w:p w14:paraId="374B8C26"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1.099</w:t>
            </w:r>
          </w:p>
        </w:tc>
        <w:tc>
          <w:tcPr>
            <w:tcW w:w="1375" w:type="dxa"/>
            <w:shd w:val="clear" w:color="auto" w:fill="auto"/>
            <w:noWrap/>
            <w:vAlign w:val="center"/>
          </w:tcPr>
          <w:p w14:paraId="684C5D27"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1.291</w:t>
            </w:r>
          </w:p>
        </w:tc>
        <w:tc>
          <w:tcPr>
            <w:tcW w:w="1375" w:type="dxa"/>
            <w:shd w:val="clear" w:color="auto" w:fill="auto"/>
            <w:noWrap/>
            <w:vAlign w:val="center"/>
          </w:tcPr>
          <w:p w14:paraId="549E88B8"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1.220</w:t>
            </w:r>
          </w:p>
        </w:tc>
        <w:tc>
          <w:tcPr>
            <w:tcW w:w="1161" w:type="dxa"/>
            <w:vAlign w:val="center"/>
          </w:tcPr>
          <w:p w14:paraId="60EFD5BB" w14:textId="77777777" w:rsidR="00B010E6" w:rsidRPr="001B4CA2" w:rsidRDefault="00B010E6" w:rsidP="00B010E6">
            <w:pPr>
              <w:jc w:val="center"/>
              <w:rPr>
                <w:sz w:val="18"/>
                <w:szCs w:val="18"/>
              </w:rPr>
            </w:pPr>
            <w:r w:rsidRPr="001B4CA2">
              <w:rPr>
                <w:sz w:val="18"/>
                <w:szCs w:val="18"/>
              </w:rPr>
              <w:t>1.455</w:t>
            </w:r>
          </w:p>
        </w:tc>
      </w:tr>
      <w:tr w:rsidR="00B010E6" w:rsidRPr="001B4CA2" w14:paraId="6DEB6C72" w14:textId="77777777" w:rsidTr="007D12C6">
        <w:trPr>
          <w:trHeight w:val="397"/>
          <w:jc w:val="center"/>
        </w:trPr>
        <w:tc>
          <w:tcPr>
            <w:tcW w:w="2343" w:type="dxa"/>
            <w:shd w:val="clear" w:color="auto" w:fill="FFFFFF" w:themeFill="background1"/>
            <w:vAlign w:val="center"/>
            <w:hideMark/>
          </w:tcPr>
          <w:p w14:paraId="239287BF" w14:textId="77777777" w:rsidR="00B010E6" w:rsidRPr="001B4CA2" w:rsidRDefault="00B010E6" w:rsidP="00B010E6">
            <w:pPr>
              <w:jc w:val="left"/>
              <w:rPr>
                <w:rFonts w:eastAsia="Times New Roman"/>
                <w:b/>
                <w:bCs/>
                <w:color w:val="000000"/>
                <w:sz w:val="18"/>
                <w:szCs w:val="18"/>
                <w:lang w:eastAsia="hr-HR"/>
              </w:rPr>
            </w:pPr>
            <w:r w:rsidRPr="001B4CA2">
              <w:rPr>
                <w:rFonts w:eastAsia="Times New Roman"/>
                <w:b/>
                <w:bCs/>
                <w:color w:val="000000"/>
                <w:sz w:val="18"/>
                <w:szCs w:val="18"/>
                <w:lang w:eastAsia="hr-HR"/>
              </w:rPr>
              <w:t>Naknada štete</w:t>
            </w:r>
          </w:p>
        </w:tc>
        <w:tc>
          <w:tcPr>
            <w:tcW w:w="1375" w:type="dxa"/>
            <w:shd w:val="clear" w:color="auto" w:fill="auto"/>
            <w:noWrap/>
            <w:vAlign w:val="center"/>
          </w:tcPr>
          <w:p w14:paraId="476E7DEE"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562</w:t>
            </w:r>
          </w:p>
        </w:tc>
        <w:tc>
          <w:tcPr>
            <w:tcW w:w="1375" w:type="dxa"/>
            <w:shd w:val="clear" w:color="auto" w:fill="auto"/>
            <w:noWrap/>
            <w:vAlign w:val="center"/>
          </w:tcPr>
          <w:p w14:paraId="74E2019A"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502</w:t>
            </w:r>
          </w:p>
        </w:tc>
        <w:tc>
          <w:tcPr>
            <w:tcW w:w="1375" w:type="dxa"/>
            <w:shd w:val="clear" w:color="auto" w:fill="auto"/>
            <w:noWrap/>
            <w:vAlign w:val="center"/>
          </w:tcPr>
          <w:p w14:paraId="1D64719A"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1.429</w:t>
            </w:r>
          </w:p>
        </w:tc>
        <w:tc>
          <w:tcPr>
            <w:tcW w:w="1375" w:type="dxa"/>
            <w:shd w:val="clear" w:color="auto" w:fill="auto"/>
            <w:noWrap/>
            <w:vAlign w:val="center"/>
          </w:tcPr>
          <w:p w14:paraId="3166CFC7"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1.348</w:t>
            </w:r>
          </w:p>
        </w:tc>
        <w:tc>
          <w:tcPr>
            <w:tcW w:w="1161" w:type="dxa"/>
            <w:vAlign w:val="center"/>
          </w:tcPr>
          <w:p w14:paraId="503DCCEC" w14:textId="77777777" w:rsidR="00B010E6" w:rsidRPr="001B4CA2" w:rsidRDefault="00B010E6" w:rsidP="00B010E6">
            <w:pPr>
              <w:jc w:val="center"/>
              <w:rPr>
                <w:sz w:val="18"/>
                <w:szCs w:val="18"/>
              </w:rPr>
            </w:pPr>
            <w:r w:rsidRPr="001B4CA2">
              <w:rPr>
                <w:sz w:val="18"/>
                <w:szCs w:val="18"/>
              </w:rPr>
              <w:t>660</w:t>
            </w:r>
          </w:p>
        </w:tc>
      </w:tr>
      <w:tr w:rsidR="00B010E6" w:rsidRPr="001B4CA2" w14:paraId="414A051E" w14:textId="77777777" w:rsidTr="007D12C6">
        <w:trPr>
          <w:trHeight w:val="397"/>
          <w:jc w:val="center"/>
        </w:trPr>
        <w:tc>
          <w:tcPr>
            <w:tcW w:w="2343" w:type="dxa"/>
            <w:shd w:val="clear" w:color="auto" w:fill="FFFFFF" w:themeFill="background1"/>
            <w:vAlign w:val="center"/>
            <w:hideMark/>
          </w:tcPr>
          <w:p w14:paraId="7BAC5522" w14:textId="77777777" w:rsidR="00B010E6" w:rsidRPr="001B4CA2" w:rsidRDefault="00B010E6" w:rsidP="00B010E6">
            <w:pPr>
              <w:jc w:val="left"/>
              <w:rPr>
                <w:rFonts w:eastAsia="Times New Roman"/>
                <w:b/>
                <w:bCs/>
                <w:color w:val="000000"/>
                <w:sz w:val="18"/>
                <w:szCs w:val="18"/>
                <w:lang w:eastAsia="hr-HR"/>
              </w:rPr>
            </w:pPr>
            <w:r w:rsidRPr="001B4CA2">
              <w:rPr>
                <w:rFonts w:eastAsia="Times New Roman"/>
                <w:b/>
                <w:bCs/>
                <w:color w:val="000000"/>
                <w:sz w:val="18"/>
                <w:szCs w:val="18"/>
                <w:lang w:eastAsia="hr-HR"/>
              </w:rPr>
              <w:t>Radni sporovi</w:t>
            </w:r>
          </w:p>
        </w:tc>
        <w:tc>
          <w:tcPr>
            <w:tcW w:w="1375" w:type="dxa"/>
            <w:shd w:val="clear" w:color="auto" w:fill="auto"/>
            <w:noWrap/>
            <w:vAlign w:val="center"/>
          </w:tcPr>
          <w:p w14:paraId="1D4B0625"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2.064</w:t>
            </w:r>
          </w:p>
        </w:tc>
        <w:tc>
          <w:tcPr>
            <w:tcW w:w="1375" w:type="dxa"/>
            <w:shd w:val="clear" w:color="auto" w:fill="auto"/>
            <w:noWrap/>
            <w:vAlign w:val="center"/>
          </w:tcPr>
          <w:p w14:paraId="6237789B"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2.544</w:t>
            </w:r>
          </w:p>
        </w:tc>
        <w:tc>
          <w:tcPr>
            <w:tcW w:w="1375" w:type="dxa"/>
            <w:shd w:val="clear" w:color="auto" w:fill="auto"/>
            <w:noWrap/>
            <w:vAlign w:val="center"/>
          </w:tcPr>
          <w:p w14:paraId="051AB0DF"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3.764</w:t>
            </w:r>
          </w:p>
        </w:tc>
        <w:tc>
          <w:tcPr>
            <w:tcW w:w="1375" w:type="dxa"/>
            <w:shd w:val="clear" w:color="auto" w:fill="auto"/>
            <w:noWrap/>
            <w:vAlign w:val="center"/>
          </w:tcPr>
          <w:p w14:paraId="6C001754"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3.928</w:t>
            </w:r>
          </w:p>
        </w:tc>
        <w:tc>
          <w:tcPr>
            <w:tcW w:w="1161" w:type="dxa"/>
            <w:vAlign w:val="center"/>
          </w:tcPr>
          <w:p w14:paraId="5A8BD3D2" w14:textId="77777777" w:rsidR="00B010E6" w:rsidRPr="001B4CA2" w:rsidRDefault="00B010E6" w:rsidP="00B010E6">
            <w:pPr>
              <w:jc w:val="center"/>
              <w:rPr>
                <w:sz w:val="18"/>
                <w:szCs w:val="18"/>
              </w:rPr>
            </w:pPr>
            <w:r w:rsidRPr="001B4CA2">
              <w:rPr>
                <w:sz w:val="18"/>
                <w:szCs w:val="18"/>
              </w:rPr>
              <w:t>1.269</w:t>
            </w:r>
          </w:p>
        </w:tc>
      </w:tr>
      <w:tr w:rsidR="00B010E6" w:rsidRPr="001B4CA2" w14:paraId="3D4CE9D5" w14:textId="77777777" w:rsidTr="007D12C6">
        <w:trPr>
          <w:trHeight w:val="397"/>
          <w:jc w:val="center"/>
        </w:trPr>
        <w:tc>
          <w:tcPr>
            <w:tcW w:w="2343" w:type="dxa"/>
            <w:shd w:val="clear" w:color="auto" w:fill="FFFFFF" w:themeFill="background1"/>
            <w:vAlign w:val="center"/>
            <w:hideMark/>
          </w:tcPr>
          <w:p w14:paraId="4FB323F8" w14:textId="77777777" w:rsidR="00B010E6" w:rsidRPr="001B4CA2" w:rsidRDefault="00B010E6" w:rsidP="00B010E6">
            <w:pPr>
              <w:jc w:val="left"/>
              <w:rPr>
                <w:rFonts w:eastAsia="Times New Roman"/>
                <w:b/>
                <w:bCs/>
                <w:color w:val="000000"/>
                <w:sz w:val="18"/>
                <w:szCs w:val="18"/>
                <w:lang w:eastAsia="hr-HR"/>
              </w:rPr>
            </w:pPr>
            <w:proofErr w:type="spellStart"/>
            <w:r w:rsidRPr="001B4CA2">
              <w:rPr>
                <w:rFonts w:eastAsia="Times New Roman"/>
                <w:b/>
                <w:bCs/>
                <w:color w:val="000000"/>
                <w:sz w:val="18"/>
                <w:szCs w:val="18"/>
                <w:lang w:eastAsia="hr-HR"/>
              </w:rPr>
              <w:t>Obveznopravni</w:t>
            </w:r>
            <w:proofErr w:type="spellEnd"/>
            <w:r w:rsidRPr="001B4CA2">
              <w:rPr>
                <w:rFonts w:eastAsia="Times New Roman"/>
                <w:b/>
                <w:bCs/>
                <w:color w:val="000000"/>
                <w:sz w:val="18"/>
                <w:szCs w:val="18"/>
                <w:lang w:eastAsia="hr-HR"/>
              </w:rPr>
              <w:t xml:space="preserve"> sporovi</w:t>
            </w:r>
          </w:p>
          <w:p w14:paraId="2677B34B" w14:textId="77777777" w:rsidR="00B010E6" w:rsidRPr="001B4CA2" w:rsidRDefault="00B010E6" w:rsidP="00B010E6">
            <w:pPr>
              <w:jc w:val="left"/>
              <w:rPr>
                <w:rFonts w:eastAsia="Times New Roman"/>
                <w:b/>
                <w:bCs/>
                <w:color w:val="000000"/>
                <w:sz w:val="18"/>
                <w:szCs w:val="18"/>
                <w:lang w:eastAsia="hr-HR"/>
              </w:rPr>
            </w:pPr>
          </w:p>
        </w:tc>
        <w:tc>
          <w:tcPr>
            <w:tcW w:w="1375" w:type="dxa"/>
            <w:shd w:val="clear" w:color="auto" w:fill="auto"/>
            <w:noWrap/>
            <w:vAlign w:val="center"/>
          </w:tcPr>
          <w:p w14:paraId="592601B0"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830</w:t>
            </w:r>
          </w:p>
        </w:tc>
        <w:tc>
          <w:tcPr>
            <w:tcW w:w="1375" w:type="dxa"/>
            <w:shd w:val="clear" w:color="auto" w:fill="auto"/>
            <w:noWrap/>
            <w:vAlign w:val="center"/>
          </w:tcPr>
          <w:p w14:paraId="221B94AE"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1.171</w:t>
            </w:r>
          </w:p>
        </w:tc>
        <w:tc>
          <w:tcPr>
            <w:tcW w:w="1375" w:type="dxa"/>
            <w:shd w:val="clear" w:color="auto" w:fill="auto"/>
            <w:noWrap/>
            <w:vAlign w:val="center"/>
          </w:tcPr>
          <w:p w14:paraId="1723A597"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1.081</w:t>
            </w:r>
          </w:p>
        </w:tc>
        <w:tc>
          <w:tcPr>
            <w:tcW w:w="1375" w:type="dxa"/>
            <w:shd w:val="clear" w:color="auto" w:fill="auto"/>
            <w:noWrap/>
            <w:vAlign w:val="center"/>
          </w:tcPr>
          <w:p w14:paraId="4D94452E" w14:textId="6C9C2FD8" w:rsidR="00B010E6" w:rsidRPr="001B4CA2" w:rsidRDefault="001B4CA2" w:rsidP="00B010E6">
            <w:pPr>
              <w:jc w:val="center"/>
              <w:rPr>
                <w:rFonts w:eastAsia="Times New Roman"/>
                <w:color w:val="000000"/>
                <w:sz w:val="18"/>
                <w:szCs w:val="18"/>
                <w:lang w:eastAsia="hr-HR"/>
              </w:rPr>
            </w:pPr>
            <w:r>
              <w:rPr>
                <w:rFonts w:eastAsia="Times New Roman"/>
                <w:color w:val="000000"/>
                <w:sz w:val="18"/>
                <w:szCs w:val="18"/>
                <w:lang w:eastAsia="hr-HR"/>
              </w:rPr>
              <w:t xml:space="preserve"> </w:t>
            </w:r>
            <w:r w:rsidR="00B010E6" w:rsidRPr="001B4CA2">
              <w:rPr>
                <w:rFonts w:eastAsia="Times New Roman"/>
                <w:color w:val="000000"/>
                <w:sz w:val="18"/>
                <w:szCs w:val="18"/>
                <w:lang w:eastAsia="hr-HR"/>
              </w:rPr>
              <w:t>986</w:t>
            </w:r>
          </w:p>
        </w:tc>
        <w:tc>
          <w:tcPr>
            <w:tcW w:w="1161" w:type="dxa"/>
            <w:vAlign w:val="center"/>
          </w:tcPr>
          <w:p w14:paraId="4C2EDFCF"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1.102</w:t>
            </w:r>
          </w:p>
        </w:tc>
      </w:tr>
      <w:tr w:rsidR="00B010E6" w:rsidRPr="001B4CA2" w14:paraId="385E253C" w14:textId="77777777" w:rsidTr="007D12C6">
        <w:trPr>
          <w:trHeight w:val="397"/>
          <w:jc w:val="center"/>
        </w:trPr>
        <w:tc>
          <w:tcPr>
            <w:tcW w:w="2343" w:type="dxa"/>
            <w:shd w:val="clear" w:color="auto" w:fill="FFFFFF" w:themeFill="background1"/>
            <w:vAlign w:val="center"/>
            <w:hideMark/>
          </w:tcPr>
          <w:p w14:paraId="4AB35DDB" w14:textId="77777777" w:rsidR="00B010E6" w:rsidRPr="001B4CA2" w:rsidRDefault="00B010E6" w:rsidP="00B010E6">
            <w:pPr>
              <w:jc w:val="left"/>
              <w:rPr>
                <w:rFonts w:eastAsia="Times New Roman"/>
                <w:b/>
                <w:bCs/>
                <w:color w:val="000000"/>
                <w:sz w:val="18"/>
                <w:szCs w:val="18"/>
                <w:lang w:eastAsia="hr-HR"/>
              </w:rPr>
            </w:pPr>
            <w:r w:rsidRPr="001B4CA2">
              <w:rPr>
                <w:rFonts w:eastAsia="Times New Roman"/>
                <w:b/>
                <w:bCs/>
                <w:color w:val="000000"/>
                <w:sz w:val="18"/>
                <w:szCs w:val="18"/>
                <w:lang w:eastAsia="hr-HR"/>
              </w:rPr>
              <w:t xml:space="preserve">Ostali parnični sporovi </w:t>
            </w:r>
          </w:p>
        </w:tc>
        <w:tc>
          <w:tcPr>
            <w:tcW w:w="1375" w:type="dxa"/>
            <w:shd w:val="clear" w:color="auto" w:fill="auto"/>
            <w:noWrap/>
            <w:vAlign w:val="center"/>
          </w:tcPr>
          <w:p w14:paraId="5E246D5A"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169</w:t>
            </w:r>
          </w:p>
        </w:tc>
        <w:tc>
          <w:tcPr>
            <w:tcW w:w="1375" w:type="dxa"/>
            <w:shd w:val="clear" w:color="auto" w:fill="auto"/>
            <w:noWrap/>
            <w:vAlign w:val="center"/>
          </w:tcPr>
          <w:p w14:paraId="36840AE2"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180</w:t>
            </w:r>
          </w:p>
        </w:tc>
        <w:tc>
          <w:tcPr>
            <w:tcW w:w="1375" w:type="dxa"/>
            <w:shd w:val="clear" w:color="auto" w:fill="auto"/>
            <w:noWrap/>
            <w:vAlign w:val="center"/>
          </w:tcPr>
          <w:p w14:paraId="02A25D3E"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123</w:t>
            </w:r>
          </w:p>
        </w:tc>
        <w:tc>
          <w:tcPr>
            <w:tcW w:w="1375" w:type="dxa"/>
            <w:shd w:val="clear" w:color="auto" w:fill="auto"/>
            <w:noWrap/>
            <w:vAlign w:val="center"/>
          </w:tcPr>
          <w:p w14:paraId="29DFBE89"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131</w:t>
            </w:r>
          </w:p>
        </w:tc>
        <w:tc>
          <w:tcPr>
            <w:tcW w:w="1161" w:type="dxa"/>
            <w:vAlign w:val="center"/>
          </w:tcPr>
          <w:p w14:paraId="079D4B4B"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141</w:t>
            </w:r>
          </w:p>
        </w:tc>
      </w:tr>
    </w:tbl>
    <w:p w14:paraId="0EC72FFD" w14:textId="77777777" w:rsidR="00B010E6" w:rsidRPr="001B4CA2" w:rsidRDefault="00B010E6" w:rsidP="00B010E6">
      <w:pPr>
        <w:tabs>
          <w:tab w:val="left" w:pos="838"/>
          <w:tab w:val="left" w:pos="1102"/>
        </w:tabs>
        <w:ind w:right="690"/>
        <w:contextualSpacing/>
        <w:rPr>
          <w:sz w:val="20"/>
          <w:szCs w:val="20"/>
        </w:rPr>
      </w:pPr>
    </w:p>
    <w:p w14:paraId="0A88B170" w14:textId="27B56BA3" w:rsidR="00B010E6" w:rsidRPr="001B4CA2" w:rsidRDefault="00B010E6" w:rsidP="00B010E6">
      <w:pPr>
        <w:ind w:firstLine="708"/>
        <w:rPr>
          <w:szCs w:val="22"/>
        </w:rPr>
      </w:pPr>
      <w:r w:rsidRPr="001B4CA2">
        <w:rPr>
          <w:szCs w:val="22"/>
        </w:rPr>
        <w:t xml:space="preserve"> Analizom podataka o vrstama tužbenih zahtjeva u parničnim predmetima </w:t>
      </w:r>
      <w:r w:rsidR="00840C0E">
        <w:rPr>
          <w:szCs w:val="22"/>
        </w:rPr>
        <w:t>razvidno</w:t>
      </w:r>
      <w:r w:rsidRPr="001B4CA2">
        <w:rPr>
          <w:szCs w:val="22"/>
        </w:rPr>
        <w:t xml:space="preserve"> je da se 31</w:t>
      </w:r>
      <w:r w:rsidR="00840C0E">
        <w:rPr>
          <w:szCs w:val="22"/>
        </w:rPr>
        <w:t> </w:t>
      </w:r>
      <w:r w:rsidRPr="001B4CA2">
        <w:rPr>
          <w:szCs w:val="22"/>
        </w:rPr>
        <w:t>% predmeta odnosi</w:t>
      </w:r>
      <w:r w:rsidR="009E6D91" w:rsidRPr="001B4CA2">
        <w:rPr>
          <w:szCs w:val="22"/>
        </w:rPr>
        <w:t xml:space="preserve">lo </w:t>
      </w:r>
      <w:r w:rsidRPr="001B4CA2">
        <w:rPr>
          <w:szCs w:val="22"/>
        </w:rPr>
        <w:t xml:space="preserve">na </w:t>
      </w:r>
      <w:proofErr w:type="spellStart"/>
      <w:r w:rsidRPr="001B4CA2">
        <w:rPr>
          <w:szCs w:val="22"/>
        </w:rPr>
        <w:t>stvarnopravne</w:t>
      </w:r>
      <w:proofErr w:type="spellEnd"/>
      <w:r w:rsidRPr="001B4CA2">
        <w:rPr>
          <w:szCs w:val="22"/>
        </w:rPr>
        <w:t xml:space="preserve"> sporove, 27</w:t>
      </w:r>
      <w:r w:rsidR="00840C0E">
        <w:rPr>
          <w:szCs w:val="22"/>
        </w:rPr>
        <w:t> </w:t>
      </w:r>
      <w:r w:rsidRPr="001B4CA2">
        <w:rPr>
          <w:szCs w:val="22"/>
        </w:rPr>
        <w:t>% na radne sporove, 24</w:t>
      </w:r>
      <w:r w:rsidR="00840C0E">
        <w:rPr>
          <w:szCs w:val="22"/>
        </w:rPr>
        <w:t> </w:t>
      </w:r>
      <w:r w:rsidRPr="001B4CA2">
        <w:rPr>
          <w:szCs w:val="22"/>
        </w:rPr>
        <w:t xml:space="preserve">% na </w:t>
      </w:r>
      <w:proofErr w:type="spellStart"/>
      <w:r w:rsidRPr="001B4CA2">
        <w:rPr>
          <w:szCs w:val="22"/>
        </w:rPr>
        <w:t>obveznopravne</w:t>
      </w:r>
      <w:proofErr w:type="spellEnd"/>
      <w:r w:rsidRPr="001B4CA2">
        <w:rPr>
          <w:szCs w:val="22"/>
        </w:rPr>
        <w:t>, 14</w:t>
      </w:r>
      <w:r w:rsidR="00840C0E">
        <w:rPr>
          <w:szCs w:val="22"/>
        </w:rPr>
        <w:t> </w:t>
      </w:r>
      <w:r w:rsidRPr="001B4CA2">
        <w:rPr>
          <w:szCs w:val="22"/>
        </w:rPr>
        <w:t>% na naknadu štete te svega 4</w:t>
      </w:r>
      <w:r w:rsidR="00840C0E">
        <w:rPr>
          <w:szCs w:val="22"/>
        </w:rPr>
        <w:t> </w:t>
      </w:r>
      <w:r w:rsidRPr="001B4CA2">
        <w:rPr>
          <w:szCs w:val="22"/>
        </w:rPr>
        <w:t>% na ostale parnične sporove.</w:t>
      </w:r>
    </w:p>
    <w:p w14:paraId="390BD5D4" w14:textId="77777777" w:rsidR="00B010E6" w:rsidRPr="001B4CA2" w:rsidRDefault="00B010E6" w:rsidP="00B010E6">
      <w:pPr>
        <w:ind w:firstLine="708"/>
        <w:rPr>
          <w:szCs w:val="22"/>
        </w:rPr>
      </w:pPr>
    </w:p>
    <w:p w14:paraId="1616EC14" w14:textId="7606CA31" w:rsidR="00B010E6" w:rsidRPr="001B4CA2" w:rsidRDefault="00B010E6" w:rsidP="00B010E6">
      <w:pPr>
        <w:ind w:firstLine="708"/>
        <w:rPr>
          <w:szCs w:val="22"/>
        </w:rPr>
      </w:pPr>
      <w:r w:rsidRPr="001B4CA2">
        <w:rPr>
          <w:szCs w:val="22"/>
        </w:rPr>
        <w:t xml:space="preserve">U odnosu na strukturu parničnih predmeta u 2022. godini došlo </w:t>
      </w:r>
      <w:r w:rsidR="00840C0E" w:rsidRPr="001B4CA2">
        <w:rPr>
          <w:szCs w:val="22"/>
        </w:rPr>
        <w:t xml:space="preserve">je </w:t>
      </w:r>
      <w:r w:rsidRPr="001B4CA2">
        <w:rPr>
          <w:szCs w:val="22"/>
        </w:rPr>
        <w:t>do znatnog smanjenja radnih sporova</w:t>
      </w:r>
      <w:r w:rsidR="00840C0E">
        <w:rPr>
          <w:szCs w:val="22"/>
        </w:rPr>
        <w:t>,</w:t>
      </w:r>
      <w:r w:rsidRPr="001B4CA2">
        <w:rPr>
          <w:szCs w:val="22"/>
        </w:rPr>
        <w:t xml:space="preserve"> i to za 68</w:t>
      </w:r>
      <w:r w:rsidR="00840C0E">
        <w:rPr>
          <w:szCs w:val="22"/>
        </w:rPr>
        <w:t> </w:t>
      </w:r>
      <w:r w:rsidRPr="001B4CA2">
        <w:rPr>
          <w:szCs w:val="22"/>
        </w:rPr>
        <w:t>% iz već naprijed navedenih razloga te sporova naknade štete kojih je bilo 51</w:t>
      </w:r>
      <w:r w:rsidR="00840C0E">
        <w:rPr>
          <w:szCs w:val="22"/>
        </w:rPr>
        <w:t> </w:t>
      </w:r>
      <w:r w:rsidRPr="001B4CA2">
        <w:rPr>
          <w:szCs w:val="22"/>
        </w:rPr>
        <w:t xml:space="preserve">% manje nego u prethodnoj godini. Broj </w:t>
      </w:r>
      <w:proofErr w:type="spellStart"/>
      <w:r w:rsidRPr="001B4CA2">
        <w:rPr>
          <w:szCs w:val="22"/>
        </w:rPr>
        <w:t>stvarnopravnih</w:t>
      </w:r>
      <w:proofErr w:type="spellEnd"/>
      <w:r w:rsidRPr="001B4CA2">
        <w:rPr>
          <w:szCs w:val="22"/>
        </w:rPr>
        <w:t xml:space="preserve"> sporova porastao </w:t>
      </w:r>
      <w:r w:rsidR="00840C0E" w:rsidRPr="001B4CA2">
        <w:rPr>
          <w:szCs w:val="22"/>
        </w:rPr>
        <w:t xml:space="preserve">je </w:t>
      </w:r>
      <w:r w:rsidRPr="001B4CA2">
        <w:rPr>
          <w:szCs w:val="22"/>
        </w:rPr>
        <w:t>za 19</w:t>
      </w:r>
      <w:r w:rsidR="00840C0E">
        <w:rPr>
          <w:szCs w:val="22"/>
        </w:rPr>
        <w:t> </w:t>
      </w:r>
      <w:r w:rsidRPr="001B4CA2">
        <w:rPr>
          <w:szCs w:val="22"/>
        </w:rPr>
        <w:t xml:space="preserve">%, dok su </w:t>
      </w:r>
      <w:proofErr w:type="spellStart"/>
      <w:r w:rsidRPr="001B4CA2">
        <w:rPr>
          <w:szCs w:val="22"/>
        </w:rPr>
        <w:t>obveznopravni</w:t>
      </w:r>
      <w:proofErr w:type="spellEnd"/>
      <w:r w:rsidRPr="001B4CA2">
        <w:rPr>
          <w:szCs w:val="22"/>
        </w:rPr>
        <w:t xml:space="preserve"> i ostali parnični sporovi ostali na istoj razini.</w:t>
      </w:r>
    </w:p>
    <w:p w14:paraId="1A4F41A5" w14:textId="77777777" w:rsidR="00102951" w:rsidRPr="001B4CA2" w:rsidRDefault="00102951" w:rsidP="006806D3"/>
    <w:p w14:paraId="3727016E" w14:textId="77777777" w:rsidR="002F2E8D" w:rsidRPr="001B4CA2" w:rsidRDefault="002F2E8D" w:rsidP="006806D3"/>
    <w:p w14:paraId="6E6EA190" w14:textId="77777777" w:rsidR="002F2E8D" w:rsidRPr="001B4CA2" w:rsidRDefault="002F2E8D" w:rsidP="006806D3">
      <w:pPr>
        <w:sectPr w:rsidR="002F2E8D" w:rsidRPr="001B4CA2" w:rsidSect="007418AF">
          <w:pgSz w:w="11906" w:h="16838"/>
          <w:pgMar w:top="1417" w:right="1417" w:bottom="1417" w:left="1417" w:header="709" w:footer="709" w:gutter="0"/>
          <w:cols w:space="708"/>
          <w:docGrid w:linePitch="360"/>
        </w:sectPr>
      </w:pPr>
    </w:p>
    <w:p w14:paraId="45EDBD48" w14:textId="4854663E" w:rsidR="00B010E6" w:rsidRPr="001B4CA2" w:rsidRDefault="00646253" w:rsidP="00B010E6">
      <w:pPr>
        <w:pStyle w:val="Odlomakpopisa"/>
        <w:rPr>
          <w:rFonts w:asciiTheme="minorHAnsi" w:hAnsiTheme="minorHAnsi" w:cstheme="minorBidi"/>
          <w:i/>
          <w:szCs w:val="22"/>
        </w:rPr>
      </w:pPr>
      <w:r w:rsidRPr="001B4CA2">
        <w:rPr>
          <w:i/>
        </w:rPr>
        <w:lastRenderedPageBreak/>
        <w:t>d</w:t>
      </w:r>
      <w:r w:rsidR="00B03CEB" w:rsidRPr="001B4CA2">
        <w:rPr>
          <w:i/>
        </w:rPr>
        <w:t xml:space="preserve">) </w:t>
      </w:r>
      <w:r w:rsidR="00B010E6" w:rsidRPr="001B4CA2">
        <w:rPr>
          <w:rFonts w:asciiTheme="minorHAnsi" w:hAnsiTheme="minorHAnsi" w:cstheme="minorBidi"/>
          <w:i/>
          <w:szCs w:val="22"/>
        </w:rPr>
        <w:t>Novi tužbeni zahtjevi</w:t>
      </w:r>
      <w:r w:rsidR="00840C0E">
        <w:rPr>
          <w:rFonts w:asciiTheme="minorHAnsi" w:hAnsiTheme="minorHAnsi" w:cstheme="minorBidi"/>
          <w:i/>
          <w:szCs w:val="22"/>
        </w:rPr>
        <w:t xml:space="preserve"> –</w:t>
      </w:r>
      <w:r w:rsidR="00B010E6" w:rsidRPr="001B4CA2">
        <w:rPr>
          <w:rFonts w:asciiTheme="minorHAnsi" w:hAnsiTheme="minorHAnsi" w:cstheme="minorBidi"/>
          <w:i/>
          <w:szCs w:val="22"/>
        </w:rPr>
        <w:t xml:space="preserve"> prema vrsti spora, zastupanom tijelu i procesnom položaju u 2022. </w:t>
      </w:r>
    </w:p>
    <w:tbl>
      <w:tblPr>
        <w:tblW w:w="5639" w:type="pct"/>
        <w:jc w:val="center"/>
        <w:tblLook w:val="04A0" w:firstRow="1" w:lastRow="0" w:firstColumn="1" w:lastColumn="0" w:noHBand="0" w:noVBand="1"/>
      </w:tblPr>
      <w:tblGrid>
        <w:gridCol w:w="3224"/>
        <w:gridCol w:w="1010"/>
        <w:gridCol w:w="1086"/>
        <w:gridCol w:w="1008"/>
        <w:gridCol w:w="1085"/>
        <w:gridCol w:w="1008"/>
        <w:gridCol w:w="1085"/>
        <w:gridCol w:w="1008"/>
        <w:gridCol w:w="1085"/>
        <w:gridCol w:w="1165"/>
        <w:gridCol w:w="1085"/>
        <w:gridCol w:w="1084"/>
        <w:gridCol w:w="1098"/>
        <w:gridCol w:w="6"/>
      </w:tblGrid>
      <w:tr w:rsidR="00B010E6" w:rsidRPr="001B4CA2" w14:paraId="64158C2A" w14:textId="77777777" w:rsidTr="001D4F0F">
        <w:trPr>
          <w:trHeight w:val="517"/>
          <w:jc w:val="center"/>
        </w:trPr>
        <w:tc>
          <w:tcPr>
            <w:tcW w:w="3224" w:type="dxa"/>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C834A39" w14:textId="77777777" w:rsidR="00B010E6" w:rsidRPr="001B4CA2" w:rsidRDefault="00B010E6" w:rsidP="00B010E6">
            <w:pPr>
              <w:jc w:val="center"/>
              <w:rPr>
                <w:b/>
                <w:bCs/>
                <w:color w:val="000000"/>
                <w:sz w:val="18"/>
                <w:szCs w:val="18"/>
                <w:lang w:eastAsia="hr-HR"/>
              </w:rPr>
            </w:pPr>
            <w:r w:rsidRPr="001B4CA2">
              <w:rPr>
                <w:b/>
                <w:bCs/>
                <w:color w:val="000000"/>
                <w:sz w:val="18"/>
                <w:szCs w:val="18"/>
                <w:lang w:eastAsia="hr-HR"/>
              </w:rPr>
              <w:t xml:space="preserve">Naziv ministarstva </w:t>
            </w:r>
          </w:p>
          <w:p w14:paraId="63C34917" w14:textId="77777777" w:rsidR="00B010E6" w:rsidRPr="001B4CA2" w:rsidRDefault="00B010E6" w:rsidP="00B010E6">
            <w:pPr>
              <w:jc w:val="center"/>
              <w:rPr>
                <w:b/>
                <w:bCs/>
                <w:color w:val="000000"/>
                <w:sz w:val="18"/>
                <w:szCs w:val="18"/>
                <w:lang w:eastAsia="hr-HR"/>
              </w:rPr>
            </w:pPr>
            <w:r w:rsidRPr="001B4CA2">
              <w:rPr>
                <w:b/>
                <w:bCs/>
                <w:color w:val="000000"/>
                <w:sz w:val="18"/>
                <w:szCs w:val="18"/>
                <w:lang w:eastAsia="hr-HR"/>
              </w:rPr>
              <w:t xml:space="preserve">ili drugog tijela </w:t>
            </w:r>
          </w:p>
        </w:tc>
        <w:tc>
          <w:tcPr>
            <w:tcW w:w="2096" w:type="dxa"/>
            <w:gridSpan w:val="2"/>
            <w:vMerge w:val="restart"/>
            <w:tcBorders>
              <w:top w:val="single" w:sz="4" w:space="0" w:color="auto"/>
              <w:left w:val="single" w:sz="4" w:space="0" w:color="auto"/>
              <w:bottom w:val="single" w:sz="4" w:space="0" w:color="000000"/>
              <w:right w:val="single" w:sz="4" w:space="0" w:color="000000"/>
            </w:tcBorders>
            <w:shd w:val="clear" w:color="auto" w:fill="99CCFF"/>
            <w:noWrap/>
            <w:vAlign w:val="center"/>
            <w:hideMark/>
          </w:tcPr>
          <w:p w14:paraId="55D7F622" w14:textId="77777777" w:rsidR="00B010E6" w:rsidRPr="001B4CA2" w:rsidRDefault="00B010E6" w:rsidP="00B010E6">
            <w:pPr>
              <w:jc w:val="center"/>
              <w:rPr>
                <w:b/>
                <w:bCs/>
                <w:sz w:val="18"/>
                <w:szCs w:val="18"/>
                <w:lang w:eastAsia="hr-HR"/>
              </w:rPr>
            </w:pPr>
            <w:proofErr w:type="spellStart"/>
            <w:r w:rsidRPr="001B4CA2">
              <w:rPr>
                <w:b/>
                <w:bCs/>
                <w:sz w:val="18"/>
                <w:szCs w:val="18"/>
                <w:lang w:eastAsia="hr-HR"/>
              </w:rPr>
              <w:t>Stvarnopravni</w:t>
            </w:r>
            <w:proofErr w:type="spellEnd"/>
            <w:r w:rsidRPr="001B4CA2">
              <w:rPr>
                <w:b/>
                <w:bCs/>
                <w:sz w:val="18"/>
                <w:szCs w:val="18"/>
                <w:lang w:eastAsia="hr-HR"/>
              </w:rPr>
              <w:t xml:space="preserve"> sporovi</w:t>
            </w:r>
          </w:p>
        </w:tc>
        <w:tc>
          <w:tcPr>
            <w:tcW w:w="2093" w:type="dxa"/>
            <w:gridSpan w:val="2"/>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590A5D14" w14:textId="5B5CF714" w:rsidR="00B010E6" w:rsidRPr="001B4CA2" w:rsidRDefault="00B010E6" w:rsidP="00B010E6">
            <w:pPr>
              <w:jc w:val="center"/>
              <w:rPr>
                <w:b/>
                <w:bCs/>
                <w:sz w:val="18"/>
                <w:szCs w:val="18"/>
                <w:lang w:eastAsia="hr-HR"/>
              </w:rPr>
            </w:pPr>
            <w:proofErr w:type="spellStart"/>
            <w:r w:rsidRPr="001B4CA2">
              <w:rPr>
                <w:b/>
                <w:bCs/>
                <w:sz w:val="18"/>
                <w:szCs w:val="18"/>
                <w:lang w:eastAsia="hr-HR"/>
              </w:rPr>
              <w:t>Obveznopravni</w:t>
            </w:r>
            <w:proofErr w:type="spellEnd"/>
            <w:r w:rsidR="001B4CA2">
              <w:rPr>
                <w:b/>
                <w:bCs/>
                <w:sz w:val="18"/>
                <w:szCs w:val="18"/>
                <w:lang w:eastAsia="hr-HR"/>
              </w:rPr>
              <w:t xml:space="preserve"> </w:t>
            </w:r>
            <w:r w:rsidRPr="001B4CA2">
              <w:rPr>
                <w:b/>
                <w:bCs/>
                <w:sz w:val="18"/>
                <w:szCs w:val="18"/>
                <w:lang w:eastAsia="hr-HR"/>
              </w:rPr>
              <w:t>sporovi</w:t>
            </w:r>
          </w:p>
        </w:tc>
        <w:tc>
          <w:tcPr>
            <w:tcW w:w="2093" w:type="dxa"/>
            <w:gridSpan w:val="2"/>
            <w:vMerge w:val="restart"/>
            <w:tcBorders>
              <w:top w:val="single" w:sz="4" w:space="0" w:color="auto"/>
              <w:left w:val="single" w:sz="4" w:space="0" w:color="auto"/>
              <w:bottom w:val="single" w:sz="4" w:space="0" w:color="000000"/>
              <w:right w:val="single" w:sz="4" w:space="0" w:color="000000"/>
            </w:tcBorders>
            <w:shd w:val="clear" w:color="auto" w:fill="99CCFF"/>
            <w:vAlign w:val="center"/>
            <w:hideMark/>
          </w:tcPr>
          <w:p w14:paraId="7DA1A33A" w14:textId="77777777" w:rsidR="00B010E6" w:rsidRPr="001B4CA2" w:rsidRDefault="00B010E6" w:rsidP="00B010E6">
            <w:pPr>
              <w:jc w:val="center"/>
              <w:rPr>
                <w:b/>
                <w:bCs/>
                <w:sz w:val="18"/>
                <w:szCs w:val="18"/>
                <w:lang w:eastAsia="hr-HR"/>
              </w:rPr>
            </w:pPr>
            <w:r w:rsidRPr="001B4CA2">
              <w:rPr>
                <w:b/>
                <w:bCs/>
                <w:sz w:val="18"/>
                <w:szCs w:val="18"/>
                <w:lang w:eastAsia="hr-HR"/>
              </w:rPr>
              <w:t xml:space="preserve">Naknade štete </w:t>
            </w:r>
          </w:p>
        </w:tc>
        <w:tc>
          <w:tcPr>
            <w:tcW w:w="2093" w:type="dxa"/>
            <w:gridSpan w:val="2"/>
            <w:vMerge w:val="restart"/>
            <w:tcBorders>
              <w:top w:val="single" w:sz="4" w:space="0" w:color="auto"/>
              <w:left w:val="single" w:sz="4" w:space="0" w:color="auto"/>
              <w:bottom w:val="single" w:sz="4" w:space="0" w:color="000000"/>
              <w:right w:val="single" w:sz="4" w:space="0" w:color="000000"/>
            </w:tcBorders>
            <w:shd w:val="clear" w:color="auto" w:fill="99CCFF"/>
            <w:vAlign w:val="center"/>
            <w:hideMark/>
          </w:tcPr>
          <w:p w14:paraId="3CFFD58B" w14:textId="77777777" w:rsidR="00B010E6" w:rsidRPr="001B4CA2" w:rsidRDefault="00B010E6" w:rsidP="00B010E6">
            <w:pPr>
              <w:jc w:val="center"/>
              <w:rPr>
                <w:b/>
                <w:bCs/>
                <w:sz w:val="18"/>
                <w:szCs w:val="18"/>
                <w:lang w:eastAsia="hr-HR"/>
              </w:rPr>
            </w:pPr>
            <w:r w:rsidRPr="001B4CA2">
              <w:rPr>
                <w:b/>
                <w:bCs/>
                <w:sz w:val="18"/>
                <w:szCs w:val="18"/>
                <w:lang w:eastAsia="hr-HR"/>
              </w:rPr>
              <w:t>Radni sporovi</w:t>
            </w:r>
          </w:p>
        </w:tc>
        <w:tc>
          <w:tcPr>
            <w:tcW w:w="2250" w:type="dxa"/>
            <w:gridSpan w:val="2"/>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3DAFF782" w14:textId="77777777" w:rsidR="00B010E6" w:rsidRPr="001B4CA2" w:rsidRDefault="00B010E6" w:rsidP="00B010E6">
            <w:pPr>
              <w:jc w:val="center"/>
              <w:rPr>
                <w:b/>
                <w:bCs/>
                <w:sz w:val="18"/>
                <w:szCs w:val="18"/>
                <w:lang w:eastAsia="hr-HR"/>
              </w:rPr>
            </w:pPr>
            <w:r w:rsidRPr="001B4CA2">
              <w:rPr>
                <w:b/>
                <w:bCs/>
                <w:sz w:val="18"/>
                <w:szCs w:val="18"/>
                <w:lang w:eastAsia="hr-HR"/>
              </w:rPr>
              <w:t>Ostali parnični sporovi</w:t>
            </w:r>
          </w:p>
        </w:tc>
        <w:tc>
          <w:tcPr>
            <w:tcW w:w="2188" w:type="dxa"/>
            <w:gridSpan w:val="3"/>
            <w:vMerge w:val="restart"/>
            <w:tcBorders>
              <w:top w:val="single" w:sz="4" w:space="0" w:color="auto"/>
              <w:left w:val="single" w:sz="4" w:space="0" w:color="auto"/>
              <w:bottom w:val="single" w:sz="4" w:space="0" w:color="000000"/>
              <w:right w:val="single" w:sz="4" w:space="0" w:color="auto"/>
            </w:tcBorders>
            <w:shd w:val="clear" w:color="auto" w:fill="99CCFF"/>
            <w:vAlign w:val="center"/>
            <w:hideMark/>
          </w:tcPr>
          <w:p w14:paraId="22B7110B" w14:textId="77777777" w:rsidR="00B010E6" w:rsidRPr="001B4CA2" w:rsidRDefault="00B010E6" w:rsidP="00B010E6">
            <w:pPr>
              <w:jc w:val="center"/>
              <w:rPr>
                <w:b/>
                <w:bCs/>
                <w:color w:val="000000"/>
                <w:sz w:val="18"/>
                <w:szCs w:val="18"/>
                <w:lang w:eastAsia="hr-HR"/>
              </w:rPr>
            </w:pPr>
            <w:r w:rsidRPr="001B4CA2">
              <w:rPr>
                <w:b/>
                <w:bCs/>
                <w:color w:val="000000"/>
                <w:sz w:val="18"/>
                <w:szCs w:val="18"/>
                <w:lang w:eastAsia="hr-HR"/>
              </w:rPr>
              <w:t xml:space="preserve">Ukupno </w:t>
            </w:r>
          </w:p>
        </w:tc>
      </w:tr>
      <w:tr w:rsidR="00B010E6" w:rsidRPr="001B4CA2" w14:paraId="2BB28707" w14:textId="77777777" w:rsidTr="001D4F0F">
        <w:trPr>
          <w:trHeight w:val="517"/>
          <w:jc w:val="center"/>
        </w:trPr>
        <w:tc>
          <w:tcPr>
            <w:tcW w:w="3224" w:type="dxa"/>
            <w:vMerge/>
            <w:tcBorders>
              <w:top w:val="single" w:sz="4" w:space="0" w:color="auto"/>
              <w:left w:val="single" w:sz="4" w:space="0" w:color="auto"/>
              <w:bottom w:val="single" w:sz="4" w:space="0" w:color="auto"/>
              <w:right w:val="single" w:sz="4" w:space="0" w:color="auto"/>
            </w:tcBorders>
            <w:vAlign w:val="center"/>
            <w:hideMark/>
          </w:tcPr>
          <w:p w14:paraId="29AF17CD" w14:textId="77777777" w:rsidR="00B010E6" w:rsidRPr="001B4CA2" w:rsidRDefault="00B010E6" w:rsidP="00B010E6">
            <w:pPr>
              <w:jc w:val="left"/>
              <w:rPr>
                <w:b/>
                <w:bCs/>
                <w:color w:val="000000"/>
                <w:sz w:val="18"/>
                <w:szCs w:val="18"/>
                <w:lang w:eastAsia="hr-HR"/>
              </w:rPr>
            </w:pPr>
          </w:p>
        </w:tc>
        <w:tc>
          <w:tcPr>
            <w:tcW w:w="2096" w:type="dxa"/>
            <w:gridSpan w:val="2"/>
            <w:vMerge/>
            <w:tcBorders>
              <w:top w:val="single" w:sz="4" w:space="0" w:color="auto"/>
              <w:left w:val="single" w:sz="4" w:space="0" w:color="auto"/>
              <w:bottom w:val="single" w:sz="4" w:space="0" w:color="000000"/>
              <w:right w:val="single" w:sz="4" w:space="0" w:color="000000"/>
            </w:tcBorders>
            <w:vAlign w:val="center"/>
            <w:hideMark/>
          </w:tcPr>
          <w:p w14:paraId="3D30E692" w14:textId="77777777" w:rsidR="00B010E6" w:rsidRPr="001B4CA2" w:rsidRDefault="00B010E6" w:rsidP="00B010E6">
            <w:pPr>
              <w:jc w:val="left"/>
              <w:rPr>
                <w:b/>
                <w:bCs/>
                <w:sz w:val="14"/>
                <w:szCs w:val="14"/>
                <w:lang w:eastAsia="hr-HR"/>
              </w:rPr>
            </w:pP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14:paraId="180A3360" w14:textId="77777777" w:rsidR="00B010E6" w:rsidRPr="001B4CA2" w:rsidRDefault="00B010E6" w:rsidP="00B010E6">
            <w:pPr>
              <w:jc w:val="left"/>
              <w:rPr>
                <w:b/>
                <w:bCs/>
                <w:sz w:val="14"/>
                <w:szCs w:val="14"/>
                <w:lang w:eastAsia="hr-HR"/>
              </w:rPr>
            </w:pPr>
          </w:p>
        </w:tc>
        <w:tc>
          <w:tcPr>
            <w:tcW w:w="2093" w:type="dxa"/>
            <w:gridSpan w:val="2"/>
            <w:vMerge/>
            <w:tcBorders>
              <w:top w:val="single" w:sz="4" w:space="0" w:color="auto"/>
              <w:left w:val="single" w:sz="4" w:space="0" w:color="auto"/>
              <w:bottom w:val="single" w:sz="4" w:space="0" w:color="000000"/>
              <w:right w:val="single" w:sz="4" w:space="0" w:color="000000"/>
            </w:tcBorders>
            <w:vAlign w:val="center"/>
            <w:hideMark/>
          </w:tcPr>
          <w:p w14:paraId="5A61B686" w14:textId="77777777" w:rsidR="00B010E6" w:rsidRPr="001B4CA2" w:rsidRDefault="00B010E6" w:rsidP="00B010E6">
            <w:pPr>
              <w:jc w:val="left"/>
              <w:rPr>
                <w:b/>
                <w:bCs/>
                <w:sz w:val="14"/>
                <w:szCs w:val="14"/>
                <w:lang w:eastAsia="hr-HR"/>
              </w:rPr>
            </w:pPr>
          </w:p>
        </w:tc>
        <w:tc>
          <w:tcPr>
            <w:tcW w:w="2093" w:type="dxa"/>
            <w:gridSpan w:val="2"/>
            <w:vMerge/>
            <w:tcBorders>
              <w:top w:val="single" w:sz="4" w:space="0" w:color="auto"/>
              <w:left w:val="single" w:sz="4" w:space="0" w:color="auto"/>
              <w:bottom w:val="single" w:sz="4" w:space="0" w:color="000000"/>
              <w:right w:val="single" w:sz="4" w:space="0" w:color="000000"/>
            </w:tcBorders>
            <w:vAlign w:val="center"/>
            <w:hideMark/>
          </w:tcPr>
          <w:p w14:paraId="71A42BE9" w14:textId="77777777" w:rsidR="00B010E6" w:rsidRPr="001B4CA2" w:rsidRDefault="00B010E6" w:rsidP="00B010E6">
            <w:pPr>
              <w:jc w:val="left"/>
              <w:rPr>
                <w:b/>
                <w:bCs/>
                <w:sz w:val="14"/>
                <w:szCs w:val="14"/>
                <w:lang w:eastAsia="hr-HR"/>
              </w:rPr>
            </w:pPr>
          </w:p>
        </w:tc>
        <w:tc>
          <w:tcPr>
            <w:tcW w:w="2250" w:type="dxa"/>
            <w:gridSpan w:val="2"/>
            <w:vMerge/>
            <w:tcBorders>
              <w:top w:val="single" w:sz="4" w:space="0" w:color="auto"/>
              <w:left w:val="single" w:sz="4" w:space="0" w:color="auto"/>
              <w:bottom w:val="single" w:sz="4" w:space="0" w:color="auto"/>
              <w:right w:val="single" w:sz="4" w:space="0" w:color="auto"/>
            </w:tcBorders>
            <w:vAlign w:val="center"/>
            <w:hideMark/>
          </w:tcPr>
          <w:p w14:paraId="423585CD" w14:textId="77777777" w:rsidR="00B010E6" w:rsidRPr="001B4CA2" w:rsidRDefault="00B010E6" w:rsidP="00B010E6">
            <w:pPr>
              <w:jc w:val="left"/>
              <w:rPr>
                <w:b/>
                <w:bCs/>
                <w:sz w:val="14"/>
                <w:szCs w:val="14"/>
                <w:lang w:eastAsia="hr-HR"/>
              </w:rPr>
            </w:pPr>
          </w:p>
        </w:tc>
        <w:tc>
          <w:tcPr>
            <w:tcW w:w="2188" w:type="dxa"/>
            <w:gridSpan w:val="3"/>
            <w:vMerge/>
            <w:tcBorders>
              <w:top w:val="single" w:sz="4" w:space="0" w:color="auto"/>
              <w:left w:val="single" w:sz="4" w:space="0" w:color="auto"/>
              <w:bottom w:val="single" w:sz="4" w:space="0" w:color="auto"/>
              <w:right w:val="single" w:sz="4" w:space="0" w:color="auto"/>
            </w:tcBorders>
            <w:vAlign w:val="center"/>
            <w:hideMark/>
          </w:tcPr>
          <w:p w14:paraId="1A5AE291" w14:textId="77777777" w:rsidR="00B010E6" w:rsidRPr="001B4CA2" w:rsidRDefault="00B010E6" w:rsidP="00B010E6">
            <w:pPr>
              <w:jc w:val="left"/>
              <w:rPr>
                <w:b/>
                <w:bCs/>
                <w:color w:val="000000"/>
                <w:sz w:val="14"/>
                <w:szCs w:val="14"/>
                <w:lang w:eastAsia="hr-HR"/>
              </w:rPr>
            </w:pPr>
          </w:p>
        </w:tc>
      </w:tr>
      <w:tr w:rsidR="00B010E6" w:rsidRPr="001B4CA2" w14:paraId="24B3E581" w14:textId="77777777" w:rsidTr="001D4F0F">
        <w:trPr>
          <w:gridAfter w:val="1"/>
          <w:wAfter w:w="6" w:type="dxa"/>
          <w:trHeight w:val="290"/>
          <w:jc w:val="center"/>
        </w:trPr>
        <w:tc>
          <w:tcPr>
            <w:tcW w:w="3224" w:type="dxa"/>
            <w:vMerge/>
            <w:tcBorders>
              <w:top w:val="single" w:sz="4" w:space="0" w:color="auto"/>
              <w:left w:val="single" w:sz="4" w:space="0" w:color="auto"/>
              <w:bottom w:val="single" w:sz="4" w:space="0" w:color="auto"/>
              <w:right w:val="single" w:sz="4" w:space="0" w:color="auto"/>
            </w:tcBorders>
            <w:vAlign w:val="center"/>
            <w:hideMark/>
          </w:tcPr>
          <w:p w14:paraId="7AF2F3C7" w14:textId="77777777" w:rsidR="00B010E6" w:rsidRPr="001B4CA2" w:rsidRDefault="00B010E6" w:rsidP="00B010E6">
            <w:pPr>
              <w:jc w:val="left"/>
              <w:rPr>
                <w:b/>
                <w:bCs/>
                <w:color w:val="000000"/>
                <w:sz w:val="18"/>
                <w:szCs w:val="18"/>
                <w:lang w:eastAsia="hr-HR"/>
              </w:rPr>
            </w:pPr>
          </w:p>
        </w:tc>
        <w:tc>
          <w:tcPr>
            <w:tcW w:w="1010" w:type="dxa"/>
            <w:tcBorders>
              <w:top w:val="nil"/>
              <w:left w:val="nil"/>
              <w:bottom w:val="single" w:sz="4" w:space="0" w:color="auto"/>
              <w:right w:val="single" w:sz="4" w:space="0" w:color="auto"/>
            </w:tcBorders>
            <w:shd w:val="clear" w:color="auto" w:fill="99CCFF"/>
            <w:vAlign w:val="center"/>
            <w:hideMark/>
          </w:tcPr>
          <w:p w14:paraId="557F0A22" w14:textId="77777777" w:rsidR="00B010E6" w:rsidRPr="001B4CA2" w:rsidRDefault="00B010E6" w:rsidP="00B010E6">
            <w:pPr>
              <w:jc w:val="center"/>
              <w:rPr>
                <w:sz w:val="18"/>
                <w:szCs w:val="18"/>
                <w:lang w:eastAsia="hr-HR"/>
              </w:rPr>
            </w:pPr>
            <w:r w:rsidRPr="001B4CA2">
              <w:rPr>
                <w:sz w:val="18"/>
                <w:szCs w:val="18"/>
                <w:lang w:eastAsia="hr-HR"/>
              </w:rPr>
              <w:t>Tužitelj</w:t>
            </w:r>
          </w:p>
        </w:tc>
        <w:tc>
          <w:tcPr>
            <w:tcW w:w="1085" w:type="dxa"/>
            <w:tcBorders>
              <w:top w:val="nil"/>
              <w:left w:val="nil"/>
              <w:bottom w:val="single" w:sz="4" w:space="0" w:color="auto"/>
              <w:right w:val="single" w:sz="4" w:space="0" w:color="auto"/>
            </w:tcBorders>
            <w:shd w:val="clear" w:color="auto" w:fill="99CCFF"/>
            <w:vAlign w:val="center"/>
            <w:hideMark/>
          </w:tcPr>
          <w:p w14:paraId="05B4A979" w14:textId="77777777" w:rsidR="00B010E6" w:rsidRPr="001B4CA2" w:rsidRDefault="00B010E6" w:rsidP="00B010E6">
            <w:pPr>
              <w:jc w:val="center"/>
              <w:rPr>
                <w:sz w:val="18"/>
                <w:szCs w:val="18"/>
                <w:lang w:eastAsia="hr-HR"/>
              </w:rPr>
            </w:pPr>
            <w:r w:rsidRPr="001B4CA2">
              <w:rPr>
                <w:sz w:val="18"/>
                <w:szCs w:val="18"/>
                <w:lang w:eastAsia="hr-HR"/>
              </w:rPr>
              <w:t>Tuženik</w:t>
            </w:r>
          </w:p>
        </w:tc>
        <w:tc>
          <w:tcPr>
            <w:tcW w:w="1008" w:type="dxa"/>
            <w:tcBorders>
              <w:top w:val="nil"/>
              <w:left w:val="nil"/>
              <w:bottom w:val="single" w:sz="4" w:space="0" w:color="auto"/>
              <w:right w:val="single" w:sz="4" w:space="0" w:color="auto"/>
            </w:tcBorders>
            <w:shd w:val="clear" w:color="auto" w:fill="99CCFF"/>
            <w:vAlign w:val="center"/>
            <w:hideMark/>
          </w:tcPr>
          <w:p w14:paraId="7ED648BE" w14:textId="77777777" w:rsidR="00B010E6" w:rsidRPr="001B4CA2" w:rsidRDefault="00B010E6" w:rsidP="00B010E6">
            <w:pPr>
              <w:jc w:val="center"/>
              <w:rPr>
                <w:sz w:val="18"/>
                <w:szCs w:val="18"/>
                <w:lang w:eastAsia="hr-HR"/>
              </w:rPr>
            </w:pPr>
            <w:r w:rsidRPr="001B4CA2">
              <w:rPr>
                <w:sz w:val="18"/>
                <w:szCs w:val="18"/>
                <w:lang w:eastAsia="hr-HR"/>
              </w:rPr>
              <w:t>Tužitelj</w:t>
            </w:r>
          </w:p>
        </w:tc>
        <w:tc>
          <w:tcPr>
            <w:tcW w:w="1084" w:type="dxa"/>
            <w:tcBorders>
              <w:top w:val="nil"/>
              <w:left w:val="nil"/>
              <w:bottom w:val="single" w:sz="4" w:space="0" w:color="auto"/>
              <w:right w:val="single" w:sz="4" w:space="0" w:color="auto"/>
            </w:tcBorders>
            <w:shd w:val="clear" w:color="auto" w:fill="99CCFF"/>
            <w:vAlign w:val="center"/>
            <w:hideMark/>
          </w:tcPr>
          <w:p w14:paraId="7DB18D4B" w14:textId="77777777" w:rsidR="00B010E6" w:rsidRPr="001B4CA2" w:rsidRDefault="00B010E6" w:rsidP="00B010E6">
            <w:pPr>
              <w:jc w:val="center"/>
              <w:rPr>
                <w:sz w:val="18"/>
                <w:szCs w:val="18"/>
                <w:lang w:eastAsia="hr-HR"/>
              </w:rPr>
            </w:pPr>
            <w:r w:rsidRPr="001B4CA2">
              <w:rPr>
                <w:sz w:val="18"/>
                <w:szCs w:val="18"/>
                <w:lang w:eastAsia="hr-HR"/>
              </w:rPr>
              <w:t>Tuženik</w:t>
            </w:r>
          </w:p>
        </w:tc>
        <w:tc>
          <w:tcPr>
            <w:tcW w:w="1008" w:type="dxa"/>
            <w:tcBorders>
              <w:top w:val="nil"/>
              <w:left w:val="nil"/>
              <w:bottom w:val="single" w:sz="4" w:space="0" w:color="auto"/>
              <w:right w:val="single" w:sz="4" w:space="0" w:color="auto"/>
            </w:tcBorders>
            <w:shd w:val="clear" w:color="auto" w:fill="99CCFF"/>
            <w:vAlign w:val="center"/>
            <w:hideMark/>
          </w:tcPr>
          <w:p w14:paraId="1F866238" w14:textId="77777777" w:rsidR="00B010E6" w:rsidRPr="001B4CA2" w:rsidRDefault="00B010E6" w:rsidP="00B010E6">
            <w:pPr>
              <w:jc w:val="center"/>
              <w:rPr>
                <w:sz w:val="18"/>
                <w:szCs w:val="18"/>
                <w:lang w:eastAsia="hr-HR"/>
              </w:rPr>
            </w:pPr>
            <w:r w:rsidRPr="001B4CA2">
              <w:rPr>
                <w:sz w:val="18"/>
                <w:szCs w:val="18"/>
                <w:lang w:eastAsia="hr-HR"/>
              </w:rPr>
              <w:t>Tužitelj</w:t>
            </w:r>
          </w:p>
        </w:tc>
        <w:tc>
          <w:tcPr>
            <w:tcW w:w="1084" w:type="dxa"/>
            <w:tcBorders>
              <w:top w:val="nil"/>
              <w:left w:val="nil"/>
              <w:bottom w:val="single" w:sz="4" w:space="0" w:color="auto"/>
              <w:right w:val="single" w:sz="4" w:space="0" w:color="auto"/>
            </w:tcBorders>
            <w:shd w:val="clear" w:color="auto" w:fill="99CCFF"/>
            <w:vAlign w:val="center"/>
            <w:hideMark/>
          </w:tcPr>
          <w:p w14:paraId="0172CE72" w14:textId="77777777" w:rsidR="00B010E6" w:rsidRPr="001B4CA2" w:rsidRDefault="00B010E6" w:rsidP="00B010E6">
            <w:pPr>
              <w:jc w:val="center"/>
              <w:rPr>
                <w:sz w:val="18"/>
                <w:szCs w:val="18"/>
                <w:lang w:eastAsia="hr-HR"/>
              </w:rPr>
            </w:pPr>
            <w:r w:rsidRPr="001B4CA2">
              <w:rPr>
                <w:sz w:val="18"/>
                <w:szCs w:val="18"/>
                <w:lang w:eastAsia="hr-HR"/>
              </w:rPr>
              <w:t>Tuženik</w:t>
            </w:r>
          </w:p>
        </w:tc>
        <w:tc>
          <w:tcPr>
            <w:tcW w:w="1008" w:type="dxa"/>
            <w:tcBorders>
              <w:top w:val="nil"/>
              <w:left w:val="nil"/>
              <w:bottom w:val="single" w:sz="4" w:space="0" w:color="auto"/>
              <w:right w:val="single" w:sz="4" w:space="0" w:color="auto"/>
            </w:tcBorders>
            <w:shd w:val="clear" w:color="auto" w:fill="99CCFF"/>
            <w:vAlign w:val="center"/>
            <w:hideMark/>
          </w:tcPr>
          <w:p w14:paraId="2C66A58F" w14:textId="77777777" w:rsidR="00B010E6" w:rsidRPr="001B4CA2" w:rsidRDefault="00B010E6" w:rsidP="00B010E6">
            <w:pPr>
              <w:jc w:val="center"/>
              <w:rPr>
                <w:sz w:val="18"/>
                <w:szCs w:val="18"/>
                <w:lang w:eastAsia="hr-HR"/>
              </w:rPr>
            </w:pPr>
            <w:r w:rsidRPr="001B4CA2">
              <w:rPr>
                <w:sz w:val="18"/>
                <w:szCs w:val="18"/>
                <w:lang w:eastAsia="hr-HR"/>
              </w:rPr>
              <w:t>Tužitelj</w:t>
            </w:r>
          </w:p>
        </w:tc>
        <w:tc>
          <w:tcPr>
            <w:tcW w:w="1084" w:type="dxa"/>
            <w:tcBorders>
              <w:top w:val="nil"/>
              <w:left w:val="nil"/>
              <w:bottom w:val="single" w:sz="4" w:space="0" w:color="auto"/>
              <w:right w:val="single" w:sz="4" w:space="0" w:color="auto"/>
            </w:tcBorders>
            <w:shd w:val="clear" w:color="auto" w:fill="99CCFF"/>
            <w:vAlign w:val="center"/>
            <w:hideMark/>
          </w:tcPr>
          <w:p w14:paraId="78EA36FD" w14:textId="77777777" w:rsidR="00B010E6" w:rsidRPr="001B4CA2" w:rsidRDefault="00B010E6" w:rsidP="00B010E6">
            <w:pPr>
              <w:jc w:val="center"/>
              <w:rPr>
                <w:sz w:val="18"/>
                <w:szCs w:val="18"/>
                <w:lang w:eastAsia="hr-HR"/>
              </w:rPr>
            </w:pPr>
            <w:r w:rsidRPr="001B4CA2">
              <w:rPr>
                <w:sz w:val="18"/>
                <w:szCs w:val="18"/>
                <w:lang w:eastAsia="hr-HR"/>
              </w:rPr>
              <w:t>Tuženik</w:t>
            </w:r>
          </w:p>
        </w:tc>
        <w:tc>
          <w:tcPr>
            <w:tcW w:w="1165" w:type="dxa"/>
            <w:tcBorders>
              <w:top w:val="nil"/>
              <w:left w:val="nil"/>
              <w:bottom w:val="single" w:sz="4" w:space="0" w:color="auto"/>
              <w:right w:val="single" w:sz="4" w:space="0" w:color="auto"/>
            </w:tcBorders>
            <w:shd w:val="clear" w:color="auto" w:fill="99CCFF"/>
            <w:vAlign w:val="center"/>
            <w:hideMark/>
          </w:tcPr>
          <w:p w14:paraId="4C4C7DA9" w14:textId="77777777" w:rsidR="00B010E6" w:rsidRPr="001B4CA2" w:rsidRDefault="00B010E6" w:rsidP="00B010E6">
            <w:pPr>
              <w:jc w:val="center"/>
              <w:rPr>
                <w:sz w:val="18"/>
                <w:szCs w:val="18"/>
                <w:lang w:eastAsia="hr-HR"/>
              </w:rPr>
            </w:pPr>
            <w:r w:rsidRPr="001B4CA2">
              <w:rPr>
                <w:sz w:val="18"/>
                <w:szCs w:val="18"/>
                <w:lang w:eastAsia="hr-HR"/>
              </w:rPr>
              <w:t>Tužitelj</w:t>
            </w:r>
          </w:p>
        </w:tc>
        <w:tc>
          <w:tcPr>
            <w:tcW w:w="1084" w:type="dxa"/>
            <w:tcBorders>
              <w:top w:val="nil"/>
              <w:left w:val="nil"/>
              <w:bottom w:val="single" w:sz="4" w:space="0" w:color="auto"/>
              <w:right w:val="single" w:sz="4" w:space="0" w:color="auto"/>
            </w:tcBorders>
            <w:shd w:val="clear" w:color="auto" w:fill="99CCFF"/>
            <w:vAlign w:val="center"/>
            <w:hideMark/>
          </w:tcPr>
          <w:p w14:paraId="2D7D9449" w14:textId="77777777" w:rsidR="00B010E6" w:rsidRPr="001B4CA2" w:rsidRDefault="00B010E6" w:rsidP="00B010E6">
            <w:pPr>
              <w:jc w:val="center"/>
              <w:rPr>
                <w:sz w:val="18"/>
                <w:szCs w:val="18"/>
                <w:lang w:eastAsia="hr-HR"/>
              </w:rPr>
            </w:pPr>
            <w:r w:rsidRPr="001B4CA2">
              <w:rPr>
                <w:sz w:val="18"/>
                <w:szCs w:val="18"/>
                <w:lang w:eastAsia="hr-HR"/>
              </w:rPr>
              <w:t>Tuženik</w:t>
            </w:r>
          </w:p>
        </w:tc>
        <w:tc>
          <w:tcPr>
            <w:tcW w:w="1084" w:type="dxa"/>
            <w:tcBorders>
              <w:top w:val="single" w:sz="4" w:space="0" w:color="auto"/>
              <w:left w:val="single" w:sz="4" w:space="0" w:color="auto"/>
              <w:bottom w:val="single" w:sz="4" w:space="0" w:color="000000"/>
              <w:right w:val="single" w:sz="4" w:space="0" w:color="auto"/>
            </w:tcBorders>
            <w:shd w:val="clear" w:color="auto" w:fill="99CCFF"/>
            <w:vAlign w:val="center"/>
            <w:hideMark/>
          </w:tcPr>
          <w:p w14:paraId="45AE90D5" w14:textId="77777777" w:rsidR="00B010E6" w:rsidRPr="001B4CA2" w:rsidRDefault="00B010E6" w:rsidP="00B010E6">
            <w:pPr>
              <w:jc w:val="center"/>
              <w:rPr>
                <w:b/>
                <w:bCs/>
                <w:color w:val="000000"/>
                <w:sz w:val="18"/>
                <w:szCs w:val="18"/>
                <w:lang w:eastAsia="hr-HR"/>
              </w:rPr>
            </w:pPr>
            <w:r w:rsidRPr="001B4CA2">
              <w:rPr>
                <w:sz w:val="18"/>
                <w:szCs w:val="18"/>
                <w:lang w:eastAsia="hr-HR"/>
              </w:rPr>
              <w:t>Tužitelj</w:t>
            </w:r>
          </w:p>
        </w:tc>
        <w:tc>
          <w:tcPr>
            <w:tcW w:w="1103" w:type="dxa"/>
            <w:tcBorders>
              <w:top w:val="single" w:sz="4" w:space="0" w:color="auto"/>
              <w:left w:val="single" w:sz="4" w:space="0" w:color="auto"/>
              <w:bottom w:val="single" w:sz="4" w:space="0" w:color="000000"/>
              <w:right w:val="single" w:sz="4" w:space="0" w:color="auto"/>
            </w:tcBorders>
            <w:shd w:val="clear" w:color="auto" w:fill="99CCFF"/>
            <w:vAlign w:val="center"/>
          </w:tcPr>
          <w:p w14:paraId="54F70CD3" w14:textId="77777777" w:rsidR="00B010E6" w:rsidRPr="001B4CA2" w:rsidRDefault="00B010E6" w:rsidP="00B010E6">
            <w:pPr>
              <w:jc w:val="center"/>
              <w:rPr>
                <w:b/>
                <w:bCs/>
                <w:color w:val="000000"/>
                <w:sz w:val="18"/>
                <w:szCs w:val="18"/>
                <w:lang w:eastAsia="hr-HR"/>
              </w:rPr>
            </w:pPr>
            <w:r w:rsidRPr="001B4CA2">
              <w:rPr>
                <w:sz w:val="18"/>
                <w:szCs w:val="18"/>
                <w:lang w:eastAsia="hr-HR"/>
              </w:rPr>
              <w:t>Tuženik</w:t>
            </w:r>
          </w:p>
        </w:tc>
      </w:tr>
      <w:tr w:rsidR="00B010E6" w:rsidRPr="001B4CA2" w14:paraId="128BF55F"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24783A17" w14:textId="77777777" w:rsidR="00B010E6" w:rsidRPr="001B4CA2" w:rsidRDefault="00B010E6" w:rsidP="00B010E6">
            <w:pPr>
              <w:jc w:val="left"/>
              <w:rPr>
                <w:bCs/>
                <w:sz w:val="16"/>
                <w:szCs w:val="16"/>
                <w:lang w:eastAsia="hr-HR"/>
              </w:rPr>
            </w:pPr>
            <w:r w:rsidRPr="001B4CA2">
              <w:rPr>
                <w:bCs/>
                <w:sz w:val="16"/>
                <w:szCs w:val="16"/>
                <w:lang w:eastAsia="hr-HR"/>
              </w:rPr>
              <w:t>Republika Hrvatska</w:t>
            </w:r>
          </w:p>
        </w:tc>
        <w:tc>
          <w:tcPr>
            <w:tcW w:w="1010" w:type="dxa"/>
            <w:tcBorders>
              <w:top w:val="nil"/>
              <w:left w:val="nil"/>
              <w:bottom w:val="single" w:sz="4" w:space="0" w:color="auto"/>
              <w:right w:val="single" w:sz="4" w:space="0" w:color="auto"/>
            </w:tcBorders>
            <w:shd w:val="clear" w:color="auto" w:fill="auto"/>
            <w:noWrap/>
            <w:vAlign w:val="center"/>
          </w:tcPr>
          <w:p w14:paraId="33594EFC" w14:textId="77777777" w:rsidR="00B010E6" w:rsidRPr="001B4CA2" w:rsidRDefault="00B010E6" w:rsidP="00B010E6">
            <w:pPr>
              <w:jc w:val="center"/>
              <w:rPr>
                <w:sz w:val="18"/>
                <w:szCs w:val="18"/>
              </w:rPr>
            </w:pPr>
            <w:r w:rsidRPr="001B4CA2">
              <w:rPr>
                <w:sz w:val="18"/>
                <w:szCs w:val="18"/>
              </w:rPr>
              <w:t>4</w:t>
            </w:r>
          </w:p>
        </w:tc>
        <w:tc>
          <w:tcPr>
            <w:tcW w:w="1085" w:type="dxa"/>
            <w:tcBorders>
              <w:top w:val="nil"/>
              <w:left w:val="nil"/>
              <w:bottom w:val="single" w:sz="4" w:space="0" w:color="auto"/>
              <w:right w:val="single" w:sz="4" w:space="0" w:color="auto"/>
            </w:tcBorders>
            <w:shd w:val="clear" w:color="auto" w:fill="auto"/>
            <w:noWrap/>
            <w:vAlign w:val="center"/>
          </w:tcPr>
          <w:p w14:paraId="0437F018" w14:textId="77777777" w:rsidR="00B010E6" w:rsidRPr="001B4CA2" w:rsidRDefault="00B010E6" w:rsidP="00B010E6">
            <w:pPr>
              <w:jc w:val="center"/>
              <w:rPr>
                <w:sz w:val="18"/>
                <w:szCs w:val="18"/>
              </w:rPr>
            </w:pPr>
            <w:r w:rsidRPr="001B4CA2">
              <w:rPr>
                <w:sz w:val="18"/>
                <w:szCs w:val="18"/>
              </w:rPr>
              <w:t>21</w:t>
            </w:r>
          </w:p>
        </w:tc>
        <w:tc>
          <w:tcPr>
            <w:tcW w:w="1008" w:type="dxa"/>
            <w:tcBorders>
              <w:top w:val="nil"/>
              <w:left w:val="nil"/>
              <w:bottom w:val="single" w:sz="4" w:space="0" w:color="auto"/>
              <w:right w:val="single" w:sz="4" w:space="0" w:color="auto"/>
            </w:tcBorders>
            <w:shd w:val="clear" w:color="auto" w:fill="auto"/>
            <w:noWrap/>
            <w:vAlign w:val="center"/>
          </w:tcPr>
          <w:p w14:paraId="71027453" w14:textId="77777777" w:rsidR="00B010E6" w:rsidRPr="001B4CA2" w:rsidRDefault="00B010E6" w:rsidP="00B010E6">
            <w:pPr>
              <w:jc w:val="center"/>
              <w:rPr>
                <w:sz w:val="18"/>
                <w:szCs w:val="18"/>
              </w:rPr>
            </w:pPr>
            <w:r w:rsidRPr="001B4CA2">
              <w:rPr>
                <w:sz w:val="18"/>
                <w:szCs w:val="18"/>
              </w:rPr>
              <w:t>2</w:t>
            </w:r>
          </w:p>
        </w:tc>
        <w:tc>
          <w:tcPr>
            <w:tcW w:w="1084" w:type="dxa"/>
            <w:tcBorders>
              <w:top w:val="nil"/>
              <w:left w:val="nil"/>
              <w:bottom w:val="single" w:sz="4" w:space="0" w:color="auto"/>
              <w:right w:val="single" w:sz="4" w:space="0" w:color="auto"/>
            </w:tcBorders>
            <w:shd w:val="clear" w:color="auto" w:fill="auto"/>
            <w:noWrap/>
            <w:vAlign w:val="center"/>
          </w:tcPr>
          <w:p w14:paraId="0635896B" w14:textId="77777777" w:rsidR="00B010E6" w:rsidRPr="001B4CA2" w:rsidRDefault="00B010E6" w:rsidP="00B010E6">
            <w:pPr>
              <w:jc w:val="center"/>
              <w:rPr>
                <w:sz w:val="18"/>
                <w:szCs w:val="18"/>
              </w:rPr>
            </w:pPr>
            <w:r w:rsidRPr="001B4CA2">
              <w:rPr>
                <w:sz w:val="18"/>
                <w:szCs w:val="18"/>
              </w:rPr>
              <w:t>16</w:t>
            </w:r>
          </w:p>
        </w:tc>
        <w:tc>
          <w:tcPr>
            <w:tcW w:w="1008" w:type="dxa"/>
            <w:tcBorders>
              <w:top w:val="nil"/>
              <w:left w:val="nil"/>
              <w:bottom w:val="single" w:sz="4" w:space="0" w:color="auto"/>
              <w:right w:val="single" w:sz="4" w:space="0" w:color="auto"/>
            </w:tcBorders>
            <w:shd w:val="clear" w:color="auto" w:fill="auto"/>
            <w:noWrap/>
            <w:vAlign w:val="center"/>
          </w:tcPr>
          <w:p w14:paraId="4EE58BB0" w14:textId="77777777" w:rsidR="00B010E6" w:rsidRPr="001B4CA2" w:rsidRDefault="00B010E6" w:rsidP="00B010E6">
            <w:pPr>
              <w:jc w:val="center"/>
              <w:rPr>
                <w:sz w:val="18"/>
                <w:szCs w:val="18"/>
              </w:rPr>
            </w:pPr>
            <w:r w:rsidRPr="001B4CA2">
              <w:rPr>
                <w:sz w:val="18"/>
                <w:szCs w:val="18"/>
              </w:rPr>
              <w:t>1</w:t>
            </w:r>
          </w:p>
        </w:tc>
        <w:tc>
          <w:tcPr>
            <w:tcW w:w="1084" w:type="dxa"/>
            <w:tcBorders>
              <w:top w:val="nil"/>
              <w:left w:val="nil"/>
              <w:bottom w:val="single" w:sz="4" w:space="0" w:color="auto"/>
              <w:right w:val="single" w:sz="4" w:space="0" w:color="auto"/>
            </w:tcBorders>
            <w:shd w:val="clear" w:color="auto" w:fill="auto"/>
            <w:noWrap/>
            <w:vAlign w:val="center"/>
          </w:tcPr>
          <w:p w14:paraId="572CB328" w14:textId="77777777" w:rsidR="00B010E6" w:rsidRPr="001B4CA2" w:rsidRDefault="00B010E6" w:rsidP="00B010E6">
            <w:pPr>
              <w:jc w:val="center"/>
              <w:rPr>
                <w:sz w:val="18"/>
                <w:szCs w:val="18"/>
              </w:rPr>
            </w:pPr>
            <w:r w:rsidRPr="001B4CA2">
              <w:rPr>
                <w:sz w:val="18"/>
                <w:szCs w:val="18"/>
              </w:rPr>
              <w:t>19</w:t>
            </w:r>
          </w:p>
        </w:tc>
        <w:tc>
          <w:tcPr>
            <w:tcW w:w="1008" w:type="dxa"/>
            <w:tcBorders>
              <w:top w:val="nil"/>
              <w:left w:val="nil"/>
              <w:bottom w:val="single" w:sz="4" w:space="0" w:color="auto"/>
              <w:right w:val="single" w:sz="4" w:space="0" w:color="auto"/>
            </w:tcBorders>
            <w:shd w:val="clear" w:color="auto" w:fill="auto"/>
            <w:noWrap/>
            <w:vAlign w:val="center"/>
          </w:tcPr>
          <w:p w14:paraId="68E1E5A9"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3D348652" w14:textId="77777777" w:rsidR="00B010E6" w:rsidRPr="001B4CA2" w:rsidRDefault="00B010E6" w:rsidP="00B010E6">
            <w:pPr>
              <w:jc w:val="center"/>
              <w:rPr>
                <w:sz w:val="18"/>
                <w:szCs w:val="18"/>
              </w:rPr>
            </w:pPr>
            <w:r w:rsidRPr="001B4CA2">
              <w:rPr>
                <w:sz w:val="18"/>
                <w:szCs w:val="18"/>
              </w:rPr>
              <w:t>2</w:t>
            </w:r>
          </w:p>
        </w:tc>
        <w:tc>
          <w:tcPr>
            <w:tcW w:w="1165" w:type="dxa"/>
            <w:tcBorders>
              <w:top w:val="nil"/>
              <w:left w:val="nil"/>
              <w:bottom w:val="single" w:sz="4" w:space="0" w:color="auto"/>
              <w:right w:val="single" w:sz="4" w:space="0" w:color="auto"/>
            </w:tcBorders>
            <w:shd w:val="clear" w:color="auto" w:fill="auto"/>
            <w:noWrap/>
            <w:vAlign w:val="center"/>
          </w:tcPr>
          <w:p w14:paraId="2311D048" w14:textId="77777777" w:rsidR="00B010E6" w:rsidRPr="001B4CA2" w:rsidRDefault="00B010E6" w:rsidP="00B010E6">
            <w:pPr>
              <w:jc w:val="center"/>
              <w:rPr>
                <w:sz w:val="18"/>
                <w:szCs w:val="18"/>
              </w:rPr>
            </w:pPr>
            <w:r w:rsidRPr="001B4CA2">
              <w:rPr>
                <w:sz w:val="18"/>
                <w:szCs w:val="18"/>
              </w:rPr>
              <w:t>1</w:t>
            </w:r>
          </w:p>
        </w:tc>
        <w:tc>
          <w:tcPr>
            <w:tcW w:w="1084" w:type="dxa"/>
            <w:tcBorders>
              <w:top w:val="nil"/>
              <w:left w:val="nil"/>
              <w:bottom w:val="single" w:sz="4" w:space="0" w:color="auto"/>
              <w:right w:val="single" w:sz="4" w:space="0" w:color="auto"/>
            </w:tcBorders>
            <w:shd w:val="clear" w:color="auto" w:fill="auto"/>
            <w:noWrap/>
            <w:vAlign w:val="center"/>
          </w:tcPr>
          <w:p w14:paraId="7D70217C" w14:textId="77777777" w:rsidR="00B010E6" w:rsidRPr="001B4CA2" w:rsidRDefault="00B010E6" w:rsidP="00B010E6">
            <w:pPr>
              <w:jc w:val="center"/>
              <w:rPr>
                <w:sz w:val="18"/>
                <w:szCs w:val="18"/>
              </w:rPr>
            </w:pPr>
            <w:r w:rsidRPr="001B4CA2">
              <w:rPr>
                <w:sz w:val="18"/>
                <w:szCs w:val="18"/>
              </w:rPr>
              <w:t>7</w:t>
            </w:r>
          </w:p>
        </w:tc>
        <w:tc>
          <w:tcPr>
            <w:tcW w:w="1084" w:type="dxa"/>
            <w:tcBorders>
              <w:top w:val="nil"/>
              <w:left w:val="nil"/>
              <w:bottom w:val="single" w:sz="4" w:space="0" w:color="auto"/>
              <w:right w:val="single" w:sz="4" w:space="0" w:color="auto"/>
            </w:tcBorders>
            <w:shd w:val="clear" w:color="auto" w:fill="auto"/>
            <w:noWrap/>
            <w:vAlign w:val="center"/>
          </w:tcPr>
          <w:p w14:paraId="51C18F40" w14:textId="77777777" w:rsidR="00B010E6" w:rsidRPr="001B4CA2" w:rsidRDefault="00B010E6" w:rsidP="00B010E6">
            <w:pPr>
              <w:jc w:val="center"/>
              <w:rPr>
                <w:sz w:val="18"/>
                <w:szCs w:val="18"/>
              </w:rPr>
            </w:pPr>
            <w:r w:rsidRPr="001B4CA2">
              <w:rPr>
                <w:sz w:val="18"/>
                <w:szCs w:val="18"/>
              </w:rPr>
              <w:t>8</w:t>
            </w:r>
          </w:p>
        </w:tc>
        <w:tc>
          <w:tcPr>
            <w:tcW w:w="1103" w:type="dxa"/>
            <w:tcBorders>
              <w:top w:val="nil"/>
              <w:left w:val="nil"/>
              <w:bottom w:val="single" w:sz="4" w:space="0" w:color="auto"/>
              <w:right w:val="single" w:sz="4" w:space="0" w:color="auto"/>
            </w:tcBorders>
            <w:shd w:val="clear" w:color="auto" w:fill="auto"/>
            <w:vAlign w:val="center"/>
          </w:tcPr>
          <w:p w14:paraId="09A1782C" w14:textId="77777777" w:rsidR="00B010E6" w:rsidRPr="001B4CA2" w:rsidRDefault="00B010E6" w:rsidP="00B010E6">
            <w:pPr>
              <w:jc w:val="center"/>
              <w:rPr>
                <w:sz w:val="18"/>
                <w:szCs w:val="18"/>
              </w:rPr>
            </w:pPr>
            <w:r w:rsidRPr="001B4CA2">
              <w:rPr>
                <w:sz w:val="18"/>
                <w:szCs w:val="18"/>
              </w:rPr>
              <w:t>65</w:t>
            </w:r>
          </w:p>
        </w:tc>
      </w:tr>
      <w:tr w:rsidR="00B010E6" w:rsidRPr="001B4CA2" w14:paraId="45272E70"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1E50F8A2" w14:textId="715901DE" w:rsidR="00B010E6" w:rsidRPr="001B4CA2" w:rsidRDefault="00B010E6" w:rsidP="00B010E6">
            <w:pPr>
              <w:jc w:val="left"/>
              <w:rPr>
                <w:bCs/>
                <w:sz w:val="16"/>
                <w:szCs w:val="16"/>
                <w:lang w:eastAsia="hr-HR"/>
              </w:rPr>
            </w:pPr>
            <w:r w:rsidRPr="001B4CA2">
              <w:rPr>
                <w:bCs/>
                <w:sz w:val="16"/>
                <w:szCs w:val="16"/>
                <w:lang w:eastAsia="hr-HR"/>
              </w:rPr>
              <w:t>Ministarstvo pravosuđa i</w:t>
            </w:r>
            <w:r w:rsidR="001B4CA2">
              <w:rPr>
                <w:bCs/>
                <w:sz w:val="16"/>
                <w:szCs w:val="16"/>
                <w:lang w:eastAsia="hr-HR"/>
              </w:rPr>
              <w:t xml:space="preserve"> </w:t>
            </w:r>
            <w:r w:rsidRPr="001B4CA2">
              <w:rPr>
                <w:bCs/>
                <w:sz w:val="16"/>
                <w:szCs w:val="16"/>
                <w:lang w:eastAsia="hr-HR"/>
              </w:rPr>
              <w:t xml:space="preserve">uprave </w:t>
            </w:r>
          </w:p>
        </w:tc>
        <w:tc>
          <w:tcPr>
            <w:tcW w:w="1010" w:type="dxa"/>
            <w:tcBorders>
              <w:top w:val="nil"/>
              <w:left w:val="nil"/>
              <w:bottom w:val="single" w:sz="4" w:space="0" w:color="auto"/>
              <w:right w:val="single" w:sz="4" w:space="0" w:color="auto"/>
            </w:tcBorders>
            <w:shd w:val="clear" w:color="auto" w:fill="auto"/>
            <w:noWrap/>
            <w:vAlign w:val="center"/>
          </w:tcPr>
          <w:p w14:paraId="235F1E65" w14:textId="77777777" w:rsidR="00B010E6" w:rsidRPr="001B4CA2" w:rsidRDefault="00B010E6" w:rsidP="00B010E6">
            <w:pPr>
              <w:jc w:val="center"/>
              <w:rPr>
                <w:sz w:val="18"/>
                <w:szCs w:val="18"/>
              </w:rPr>
            </w:pPr>
            <w:r w:rsidRPr="001B4CA2">
              <w:rPr>
                <w:sz w:val="18"/>
                <w:szCs w:val="18"/>
              </w:rPr>
              <w:t>30</w:t>
            </w:r>
          </w:p>
        </w:tc>
        <w:tc>
          <w:tcPr>
            <w:tcW w:w="1085" w:type="dxa"/>
            <w:tcBorders>
              <w:top w:val="nil"/>
              <w:left w:val="nil"/>
              <w:bottom w:val="single" w:sz="4" w:space="0" w:color="auto"/>
              <w:right w:val="single" w:sz="4" w:space="0" w:color="auto"/>
            </w:tcBorders>
            <w:shd w:val="clear" w:color="auto" w:fill="auto"/>
            <w:noWrap/>
            <w:vAlign w:val="center"/>
          </w:tcPr>
          <w:p w14:paraId="131DBD5E" w14:textId="77777777" w:rsidR="00B010E6" w:rsidRPr="001B4CA2" w:rsidRDefault="00B010E6" w:rsidP="00B010E6">
            <w:pPr>
              <w:jc w:val="center"/>
              <w:rPr>
                <w:sz w:val="18"/>
                <w:szCs w:val="18"/>
              </w:rPr>
            </w:pPr>
            <w:r w:rsidRPr="001B4CA2">
              <w:rPr>
                <w:sz w:val="18"/>
                <w:szCs w:val="18"/>
              </w:rPr>
              <w:t>4</w:t>
            </w:r>
          </w:p>
        </w:tc>
        <w:tc>
          <w:tcPr>
            <w:tcW w:w="1008" w:type="dxa"/>
            <w:tcBorders>
              <w:top w:val="nil"/>
              <w:left w:val="nil"/>
              <w:bottom w:val="single" w:sz="4" w:space="0" w:color="auto"/>
              <w:right w:val="single" w:sz="4" w:space="0" w:color="auto"/>
            </w:tcBorders>
            <w:shd w:val="clear" w:color="auto" w:fill="auto"/>
            <w:noWrap/>
            <w:vAlign w:val="center"/>
          </w:tcPr>
          <w:p w14:paraId="76F68D38" w14:textId="77777777" w:rsidR="00B010E6" w:rsidRPr="001B4CA2" w:rsidRDefault="00B010E6" w:rsidP="00B010E6">
            <w:pPr>
              <w:jc w:val="center"/>
              <w:rPr>
                <w:sz w:val="18"/>
                <w:szCs w:val="18"/>
              </w:rPr>
            </w:pPr>
            <w:r w:rsidRPr="001B4CA2">
              <w:rPr>
                <w:sz w:val="18"/>
                <w:szCs w:val="18"/>
              </w:rPr>
              <w:t>12</w:t>
            </w:r>
          </w:p>
        </w:tc>
        <w:tc>
          <w:tcPr>
            <w:tcW w:w="1084" w:type="dxa"/>
            <w:tcBorders>
              <w:top w:val="nil"/>
              <w:left w:val="nil"/>
              <w:bottom w:val="single" w:sz="4" w:space="0" w:color="auto"/>
              <w:right w:val="single" w:sz="4" w:space="0" w:color="auto"/>
            </w:tcBorders>
            <w:shd w:val="clear" w:color="auto" w:fill="auto"/>
            <w:noWrap/>
            <w:vAlign w:val="center"/>
          </w:tcPr>
          <w:p w14:paraId="6B94A7E2" w14:textId="77777777" w:rsidR="00B010E6" w:rsidRPr="001B4CA2" w:rsidRDefault="00B010E6" w:rsidP="00B010E6">
            <w:pPr>
              <w:jc w:val="center"/>
              <w:rPr>
                <w:sz w:val="18"/>
                <w:szCs w:val="18"/>
              </w:rPr>
            </w:pPr>
            <w:r w:rsidRPr="001B4CA2">
              <w:rPr>
                <w:sz w:val="18"/>
                <w:szCs w:val="18"/>
              </w:rPr>
              <w:t>17</w:t>
            </w:r>
          </w:p>
        </w:tc>
        <w:tc>
          <w:tcPr>
            <w:tcW w:w="1008" w:type="dxa"/>
            <w:tcBorders>
              <w:top w:val="nil"/>
              <w:left w:val="nil"/>
              <w:bottom w:val="single" w:sz="4" w:space="0" w:color="auto"/>
              <w:right w:val="single" w:sz="4" w:space="0" w:color="auto"/>
            </w:tcBorders>
            <w:shd w:val="clear" w:color="auto" w:fill="auto"/>
            <w:noWrap/>
            <w:vAlign w:val="center"/>
          </w:tcPr>
          <w:p w14:paraId="40F983C2" w14:textId="77777777" w:rsidR="00B010E6" w:rsidRPr="001B4CA2" w:rsidRDefault="00B010E6" w:rsidP="00B010E6">
            <w:pPr>
              <w:jc w:val="center"/>
              <w:rPr>
                <w:sz w:val="18"/>
                <w:szCs w:val="18"/>
              </w:rPr>
            </w:pPr>
            <w:r w:rsidRPr="001B4CA2">
              <w:rPr>
                <w:sz w:val="18"/>
                <w:szCs w:val="18"/>
              </w:rPr>
              <w:t>7</w:t>
            </w:r>
          </w:p>
        </w:tc>
        <w:tc>
          <w:tcPr>
            <w:tcW w:w="1084" w:type="dxa"/>
            <w:tcBorders>
              <w:top w:val="nil"/>
              <w:left w:val="nil"/>
              <w:bottom w:val="single" w:sz="4" w:space="0" w:color="auto"/>
              <w:right w:val="single" w:sz="4" w:space="0" w:color="auto"/>
            </w:tcBorders>
            <w:shd w:val="clear" w:color="auto" w:fill="auto"/>
            <w:noWrap/>
            <w:vAlign w:val="center"/>
          </w:tcPr>
          <w:p w14:paraId="3F4090A7" w14:textId="77777777" w:rsidR="00B010E6" w:rsidRPr="001B4CA2" w:rsidRDefault="00B010E6" w:rsidP="00B010E6">
            <w:pPr>
              <w:jc w:val="center"/>
              <w:rPr>
                <w:sz w:val="18"/>
                <w:szCs w:val="18"/>
              </w:rPr>
            </w:pPr>
            <w:r w:rsidRPr="001B4CA2">
              <w:rPr>
                <w:sz w:val="18"/>
                <w:szCs w:val="18"/>
              </w:rPr>
              <w:t>177</w:t>
            </w:r>
          </w:p>
        </w:tc>
        <w:tc>
          <w:tcPr>
            <w:tcW w:w="1008" w:type="dxa"/>
            <w:tcBorders>
              <w:top w:val="nil"/>
              <w:left w:val="nil"/>
              <w:bottom w:val="single" w:sz="4" w:space="0" w:color="auto"/>
              <w:right w:val="single" w:sz="4" w:space="0" w:color="auto"/>
            </w:tcBorders>
            <w:shd w:val="clear" w:color="auto" w:fill="auto"/>
            <w:noWrap/>
            <w:vAlign w:val="center"/>
          </w:tcPr>
          <w:p w14:paraId="2AFA3514"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5BD31502" w14:textId="77777777" w:rsidR="00B010E6" w:rsidRPr="001B4CA2" w:rsidRDefault="00B010E6" w:rsidP="00B010E6">
            <w:pPr>
              <w:jc w:val="center"/>
              <w:rPr>
                <w:sz w:val="18"/>
                <w:szCs w:val="18"/>
              </w:rPr>
            </w:pPr>
            <w:r w:rsidRPr="001B4CA2">
              <w:rPr>
                <w:sz w:val="18"/>
                <w:szCs w:val="18"/>
              </w:rPr>
              <w:t>86</w:t>
            </w:r>
          </w:p>
        </w:tc>
        <w:tc>
          <w:tcPr>
            <w:tcW w:w="1165" w:type="dxa"/>
            <w:tcBorders>
              <w:top w:val="nil"/>
              <w:left w:val="nil"/>
              <w:bottom w:val="single" w:sz="4" w:space="0" w:color="auto"/>
              <w:right w:val="single" w:sz="4" w:space="0" w:color="auto"/>
            </w:tcBorders>
            <w:shd w:val="clear" w:color="auto" w:fill="auto"/>
            <w:noWrap/>
            <w:vAlign w:val="center"/>
          </w:tcPr>
          <w:p w14:paraId="4BD9D846" w14:textId="77777777" w:rsidR="00B010E6" w:rsidRPr="001B4CA2" w:rsidRDefault="00B010E6" w:rsidP="00B010E6">
            <w:pPr>
              <w:jc w:val="center"/>
              <w:rPr>
                <w:sz w:val="18"/>
                <w:szCs w:val="18"/>
              </w:rPr>
            </w:pPr>
            <w:r w:rsidRPr="001B4CA2">
              <w:rPr>
                <w:sz w:val="18"/>
                <w:szCs w:val="18"/>
              </w:rPr>
              <w:t>2</w:t>
            </w:r>
          </w:p>
        </w:tc>
        <w:tc>
          <w:tcPr>
            <w:tcW w:w="1084" w:type="dxa"/>
            <w:tcBorders>
              <w:top w:val="nil"/>
              <w:left w:val="nil"/>
              <w:bottom w:val="single" w:sz="4" w:space="0" w:color="auto"/>
              <w:right w:val="single" w:sz="4" w:space="0" w:color="auto"/>
            </w:tcBorders>
            <w:shd w:val="clear" w:color="auto" w:fill="auto"/>
            <w:noWrap/>
            <w:vAlign w:val="center"/>
          </w:tcPr>
          <w:p w14:paraId="7F4ADA81" w14:textId="77777777" w:rsidR="00B010E6" w:rsidRPr="001B4CA2" w:rsidRDefault="00B010E6" w:rsidP="00B010E6">
            <w:pPr>
              <w:jc w:val="center"/>
              <w:rPr>
                <w:sz w:val="18"/>
                <w:szCs w:val="18"/>
              </w:rPr>
            </w:pPr>
            <w:r w:rsidRPr="001B4CA2">
              <w:rPr>
                <w:sz w:val="18"/>
                <w:szCs w:val="18"/>
              </w:rPr>
              <w:t>23</w:t>
            </w:r>
          </w:p>
        </w:tc>
        <w:tc>
          <w:tcPr>
            <w:tcW w:w="1084" w:type="dxa"/>
            <w:tcBorders>
              <w:top w:val="nil"/>
              <w:left w:val="nil"/>
              <w:bottom w:val="single" w:sz="4" w:space="0" w:color="auto"/>
              <w:right w:val="single" w:sz="4" w:space="0" w:color="auto"/>
            </w:tcBorders>
            <w:shd w:val="clear" w:color="auto" w:fill="auto"/>
            <w:noWrap/>
            <w:vAlign w:val="center"/>
          </w:tcPr>
          <w:p w14:paraId="75AD8856" w14:textId="77777777" w:rsidR="00B010E6" w:rsidRPr="001B4CA2" w:rsidRDefault="00B010E6" w:rsidP="00B010E6">
            <w:pPr>
              <w:jc w:val="center"/>
              <w:rPr>
                <w:sz w:val="18"/>
                <w:szCs w:val="18"/>
              </w:rPr>
            </w:pPr>
            <w:r w:rsidRPr="001B4CA2">
              <w:rPr>
                <w:sz w:val="18"/>
                <w:szCs w:val="18"/>
              </w:rPr>
              <w:t>51</w:t>
            </w:r>
          </w:p>
        </w:tc>
        <w:tc>
          <w:tcPr>
            <w:tcW w:w="1103" w:type="dxa"/>
            <w:tcBorders>
              <w:top w:val="nil"/>
              <w:left w:val="nil"/>
              <w:bottom w:val="single" w:sz="4" w:space="0" w:color="auto"/>
              <w:right w:val="single" w:sz="4" w:space="0" w:color="auto"/>
            </w:tcBorders>
            <w:shd w:val="clear" w:color="auto" w:fill="auto"/>
            <w:vAlign w:val="center"/>
          </w:tcPr>
          <w:p w14:paraId="1D5446A7" w14:textId="77777777" w:rsidR="00B010E6" w:rsidRPr="001B4CA2" w:rsidRDefault="00B010E6" w:rsidP="00B010E6">
            <w:pPr>
              <w:jc w:val="center"/>
              <w:rPr>
                <w:sz w:val="18"/>
                <w:szCs w:val="18"/>
              </w:rPr>
            </w:pPr>
            <w:r w:rsidRPr="001B4CA2">
              <w:rPr>
                <w:sz w:val="18"/>
                <w:szCs w:val="18"/>
              </w:rPr>
              <w:t>307</w:t>
            </w:r>
          </w:p>
        </w:tc>
      </w:tr>
      <w:tr w:rsidR="00B010E6" w:rsidRPr="001B4CA2" w14:paraId="466BBFED"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0B2D5A41" w14:textId="77777777" w:rsidR="00B010E6" w:rsidRPr="001B4CA2" w:rsidRDefault="00B010E6" w:rsidP="00B010E6">
            <w:pPr>
              <w:jc w:val="left"/>
              <w:rPr>
                <w:bCs/>
                <w:sz w:val="16"/>
                <w:szCs w:val="16"/>
                <w:lang w:eastAsia="hr-HR"/>
              </w:rPr>
            </w:pPr>
            <w:r w:rsidRPr="001B4CA2">
              <w:rPr>
                <w:bCs/>
                <w:sz w:val="16"/>
                <w:szCs w:val="16"/>
                <w:lang w:eastAsia="hr-HR"/>
              </w:rPr>
              <w:t>Ministarstvo zdravstva</w:t>
            </w:r>
          </w:p>
        </w:tc>
        <w:tc>
          <w:tcPr>
            <w:tcW w:w="1010" w:type="dxa"/>
            <w:tcBorders>
              <w:top w:val="nil"/>
              <w:left w:val="nil"/>
              <w:bottom w:val="single" w:sz="4" w:space="0" w:color="auto"/>
              <w:right w:val="single" w:sz="4" w:space="0" w:color="auto"/>
            </w:tcBorders>
            <w:shd w:val="clear" w:color="auto" w:fill="auto"/>
            <w:noWrap/>
            <w:vAlign w:val="center"/>
          </w:tcPr>
          <w:p w14:paraId="65EC21BD" w14:textId="77777777" w:rsidR="00B010E6" w:rsidRPr="001B4CA2" w:rsidRDefault="00B010E6" w:rsidP="00B010E6">
            <w:pPr>
              <w:jc w:val="center"/>
              <w:rPr>
                <w:sz w:val="18"/>
                <w:szCs w:val="18"/>
              </w:rPr>
            </w:pPr>
          </w:p>
        </w:tc>
        <w:tc>
          <w:tcPr>
            <w:tcW w:w="1085" w:type="dxa"/>
            <w:tcBorders>
              <w:top w:val="nil"/>
              <w:left w:val="nil"/>
              <w:bottom w:val="single" w:sz="4" w:space="0" w:color="auto"/>
              <w:right w:val="single" w:sz="4" w:space="0" w:color="auto"/>
            </w:tcBorders>
            <w:shd w:val="clear" w:color="auto" w:fill="auto"/>
            <w:noWrap/>
            <w:vAlign w:val="center"/>
          </w:tcPr>
          <w:p w14:paraId="2ED73D5B"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1259A2E7"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13CB3F67"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774C10D5"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3C2EA0FB" w14:textId="77777777" w:rsidR="00B010E6" w:rsidRPr="001B4CA2" w:rsidRDefault="00B010E6" w:rsidP="00B010E6">
            <w:pPr>
              <w:jc w:val="center"/>
              <w:rPr>
                <w:sz w:val="18"/>
                <w:szCs w:val="18"/>
              </w:rPr>
            </w:pPr>
            <w:r w:rsidRPr="001B4CA2">
              <w:rPr>
                <w:sz w:val="18"/>
                <w:szCs w:val="18"/>
              </w:rPr>
              <w:t>1</w:t>
            </w:r>
          </w:p>
        </w:tc>
        <w:tc>
          <w:tcPr>
            <w:tcW w:w="1008" w:type="dxa"/>
            <w:tcBorders>
              <w:top w:val="nil"/>
              <w:left w:val="nil"/>
              <w:bottom w:val="single" w:sz="4" w:space="0" w:color="auto"/>
              <w:right w:val="single" w:sz="4" w:space="0" w:color="auto"/>
            </w:tcBorders>
            <w:shd w:val="clear" w:color="auto" w:fill="auto"/>
            <w:noWrap/>
            <w:vAlign w:val="center"/>
          </w:tcPr>
          <w:p w14:paraId="63E2A2B6"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0888FEAE" w14:textId="77777777" w:rsidR="00B010E6" w:rsidRPr="001B4CA2" w:rsidRDefault="00B010E6" w:rsidP="00B010E6">
            <w:pPr>
              <w:jc w:val="center"/>
              <w:rPr>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0A9F1588"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1409BE5A"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54D84229" w14:textId="77777777" w:rsidR="00B010E6" w:rsidRPr="001B4CA2" w:rsidRDefault="00B010E6" w:rsidP="00B010E6">
            <w:pPr>
              <w:jc w:val="center"/>
              <w:rPr>
                <w:sz w:val="18"/>
                <w:szCs w:val="18"/>
              </w:rPr>
            </w:pPr>
          </w:p>
        </w:tc>
        <w:tc>
          <w:tcPr>
            <w:tcW w:w="1103" w:type="dxa"/>
            <w:tcBorders>
              <w:top w:val="nil"/>
              <w:left w:val="nil"/>
              <w:bottom w:val="single" w:sz="4" w:space="0" w:color="auto"/>
              <w:right w:val="single" w:sz="4" w:space="0" w:color="auto"/>
            </w:tcBorders>
            <w:shd w:val="clear" w:color="auto" w:fill="auto"/>
            <w:vAlign w:val="center"/>
          </w:tcPr>
          <w:p w14:paraId="076EF2F8" w14:textId="77777777" w:rsidR="00B010E6" w:rsidRPr="001B4CA2" w:rsidRDefault="00B010E6" w:rsidP="00B010E6">
            <w:pPr>
              <w:jc w:val="center"/>
              <w:rPr>
                <w:sz w:val="18"/>
                <w:szCs w:val="18"/>
              </w:rPr>
            </w:pPr>
            <w:r w:rsidRPr="001B4CA2">
              <w:rPr>
                <w:sz w:val="18"/>
                <w:szCs w:val="18"/>
              </w:rPr>
              <w:t>1</w:t>
            </w:r>
          </w:p>
        </w:tc>
      </w:tr>
      <w:tr w:rsidR="00B010E6" w:rsidRPr="001B4CA2" w14:paraId="1BD33BBF"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2EAECAE7" w14:textId="77777777" w:rsidR="00B010E6" w:rsidRPr="001B4CA2" w:rsidRDefault="00B010E6" w:rsidP="00B010E6">
            <w:pPr>
              <w:jc w:val="left"/>
              <w:rPr>
                <w:bCs/>
                <w:sz w:val="16"/>
                <w:szCs w:val="16"/>
                <w:lang w:eastAsia="hr-HR"/>
              </w:rPr>
            </w:pPr>
            <w:r w:rsidRPr="001B4CA2">
              <w:rPr>
                <w:bCs/>
                <w:sz w:val="16"/>
                <w:szCs w:val="16"/>
                <w:lang w:eastAsia="hr-HR"/>
              </w:rPr>
              <w:t xml:space="preserve">Ministarstvo hrvatskih branitelja </w:t>
            </w:r>
          </w:p>
        </w:tc>
        <w:tc>
          <w:tcPr>
            <w:tcW w:w="1010" w:type="dxa"/>
            <w:tcBorders>
              <w:top w:val="nil"/>
              <w:left w:val="nil"/>
              <w:bottom w:val="single" w:sz="4" w:space="0" w:color="auto"/>
              <w:right w:val="single" w:sz="4" w:space="0" w:color="auto"/>
            </w:tcBorders>
            <w:shd w:val="clear" w:color="auto" w:fill="auto"/>
            <w:noWrap/>
            <w:vAlign w:val="center"/>
          </w:tcPr>
          <w:p w14:paraId="02AAD7AA" w14:textId="77777777" w:rsidR="00B010E6" w:rsidRPr="001B4CA2" w:rsidRDefault="00B010E6" w:rsidP="00B010E6">
            <w:pPr>
              <w:jc w:val="center"/>
              <w:rPr>
                <w:sz w:val="18"/>
                <w:szCs w:val="18"/>
              </w:rPr>
            </w:pPr>
            <w:r w:rsidRPr="001B4CA2">
              <w:rPr>
                <w:sz w:val="18"/>
                <w:szCs w:val="18"/>
              </w:rPr>
              <w:t>6</w:t>
            </w:r>
          </w:p>
        </w:tc>
        <w:tc>
          <w:tcPr>
            <w:tcW w:w="1085" w:type="dxa"/>
            <w:tcBorders>
              <w:top w:val="nil"/>
              <w:left w:val="nil"/>
              <w:bottom w:val="single" w:sz="4" w:space="0" w:color="auto"/>
              <w:right w:val="single" w:sz="4" w:space="0" w:color="auto"/>
            </w:tcBorders>
            <w:shd w:val="clear" w:color="auto" w:fill="auto"/>
            <w:noWrap/>
            <w:vAlign w:val="center"/>
          </w:tcPr>
          <w:p w14:paraId="6F203CC4"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42C82B42" w14:textId="77777777" w:rsidR="00B010E6" w:rsidRPr="001B4CA2" w:rsidRDefault="00B010E6" w:rsidP="00B010E6">
            <w:pPr>
              <w:jc w:val="center"/>
              <w:rPr>
                <w:sz w:val="18"/>
                <w:szCs w:val="18"/>
              </w:rPr>
            </w:pPr>
            <w:r w:rsidRPr="001B4CA2">
              <w:rPr>
                <w:sz w:val="18"/>
                <w:szCs w:val="18"/>
              </w:rPr>
              <w:t>66</w:t>
            </w:r>
          </w:p>
        </w:tc>
        <w:tc>
          <w:tcPr>
            <w:tcW w:w="1084" w:type="dxa"/>
            <w:tcBorders>
              <w:top w:val="nil"/>
              <w:left w:val="nil"/>
              <w:bottom w:val="single" w:sz="4" w:space="0" w:color="auto"/>
              <w:right w:val="single" w:sz="4" w:space="0" w:color="auto"/>
            </w:tcBorders>
            <w:shd w:val="clear" w:color="auto" w:fill="auto"/>
            <w:noWrap/>
            <w:vAlign w:val="center"/>
          </w:tcPr>
          <w:p w14:paraId="14305DB8" w14:textId="77777777" w:rsidR="00B010E6" w:rsidRPr="001B4CA2" w:rsidRDefault="00B010E6" w:rsidP="00B010E6">
            <w:pPr>
              <w:jc w:val="center"/>
              <w:rPr>
                <w:sz w:val="18"/>
                <w:szCs w:val="18"/>
              </w:rPr>
            </w:pPr>
            <w:r w:rsidRPr="001B4CA2">
              <w:rPr>
                <w:sz w:val="18"/>
                <w:szCs w:val="18"/>
              </w:rPr>
              <w:t>37</w:t>
            </w:r>
          </w:p>
        </w:tc>
        <w:tc>
          <w:tcPr>
            <w:tcW w:w="1008" w:type="dxa"/>
            <w:tcBorders>
              <w:top w:val="nil"/>
              <w:left w:val="nil"/>
              <w:bottom w:val="single" w:sz="4" w:space="0" w:color="auto"/>
              <w:right w:val="single" w:sz="4" w:space="0" w:color="auto"/>
            </w:tcBorders>
            <w:shd w:val="clear" w:color="auto" w:fill="auto"/>
            <w:noWrap/>
            <w:vAlign w:val="center"/>
          </w:tcPr>
          <w:p w14:paraId="1E880E0C" w14:textId="77777777" w:rsidR="00B010E6" w:rsidRPr="001B4CA2" w:rsidRDefault="00B010E6" w:rsidP="00B010E6">
            <w:pPr>
              <w:jc w:val="center"/>
              <w:rPr>
                <w:sz w:val="18"/>
                <w:szCs w:val="18"/>
              </w:rPr>
            </w:pPr>
            <w:r w:rsidRPr="001B4CA2">
              <w:rPr>
                <w:sz w:val="18"/>
                <w:szCs w:val="18"/>
              </w:rPr>
              <w:t>21</w:t>
            </w:r>
          </w:p>
        </w:tc>
        <w:tc>
          <w:tcPr>
            <w:tcW w:w="1084" w:type="dxa"/>
            <w:tcBorders>
              <w:top w:val="nil"/>
              <w:left w:val="nil"/>
              <w:bottom w:val="single" w:sz="4" w:space="0" w:color="auto"/>
              <w:right w:val="single" w:sz="4" w:space="0" w:color="auto"/>
            </w:tcBorders>
            <w:shd w:val="clear" w:color="auto" w:fill="auto"/>
            <w:noWrap/>
            <w:vAlign w:val="center"/>
          </w:tcPr>
          <w:p w14:paraId="648FB0A8" w14:textId="77777777" w:rsidR="00B010E6" w:rsidRPr="001B4CA2" w:rsidRDefault="00B010E6" w:rsidP="00B010E6">
            <w:pPr>
              <w:jc w:val="center"/>
              <w:rPr>
                <w:sz w:val="18"/>
                <w:szCs w:val="18"/>
              </w:rPr>
            </w:pPr>
            <w:r w:rsidRPr="001B4CA2">
              <w:rPr>
                <w:sz w:val="18"/>
                <w:szCs w:val="18"/>
              </w:rPr>
              <w:t>3</w:t>
            </w:r>
          </w:p>
        </w:tc>
        <w:tc>
          <w:tcPr>
            <w:tcW w:w="1008" w:type="dxa"/>
            <w:tcBorders>
              <w:top w:val="nil"/>
              <w:left w:val="nil"/>
              <w:bottom w:val="single" w:sz="4" w:space="0" w:color="auto"/>
              <w:right w:val="single" w:sz="4" w:space="0" w:color="auto"/>
            </w:tcBorders>
            <w:shd w:val="clear" w:color="auto" w:fill="auto"/>
            <w:noWrap/>
            <w:vAlign w:val="center"/>
          </w:tcPr>
          <w:p w14:paraId="7779161D"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7B5244C0" w14:textId="77777777" w:rsidR="00B010E6" w:rsidRPr="001B4CA2" w:rsidRDefault="00B010E6" w:rsidP="00B010E6">
            <w:pPr>
              <w:jc w:val="center"/>
              <w:rPr>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1E248173"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7986CA74" w14:textId="77777777" w:rsidR="00B010E6" w:rsidRPr="001B4CA2" w:rsidRDefault="00B010E6" w:rsidP="00B010E6">
            <w:pPr>
              <w:jc w:val="center"/>
              <w:rPr>
                <w:sz w:val="18"/>
                <w:szCs w:val="18"/>
              </w:rPr>
            </w:pPr>
            <w:r w:rsidRPr="001B4CA2">
              <w:rPr>
                <w:sz w:val="18"/>
                <w:szCs w:val="18"/>
              </w:rPr>
              <w:t>2</w:t>
            </w:r>
          </w:p>
        </w:tc>
        <w:tc>
          <w:tcPr>
            <w:tcW w:w="1084" w:type="dxa"/>
            <w:tcBorders>
              <w:top w:val="nil"/>
              <w:left w:val="nil"/>
              <w:bottom w:val="single" w:sz="4" w:space="0" w:color="auto"/>
              <w:right w:val="single" w:sz="4" w:space="0" w:color="auto"/>
            </w:tcBorders>
            <w:shd w:val="clear" w:color="auto" w:fill="auto"/>
            <w:noWrap/>
            <w:vAlign w:val="center"/>
          </w:tcPr>
          <w:p w14:paraId="4311AE64" w14:textId="77777777" w:rsidR="00B010E6" w:rsidRPr="001B4CA2" w:rsidRDefault="00B010E6" w:rsidP="00B010E6">
            <w:pPr>
              <w:jc w:val="center"/>
              <w:rPr>
                <w:sz w:val="18"/>
                <w:szCs w:val="18"/>
              </w:rPr>
            </w:pPr>
            <w:r w:rsidRPr="001B4CA2">
              <w:rPr>
                <w:sz w:val="18"/>
                <w:szCs w:val="18"/>
              </w:rPr>
              <w:t>93</w:t>
            </w:r>
          </w:p>
        </w:tc>
        <w:tc>
          <w:tcPr>
            <w:tcW w:w="1103" w:type="dxa"/>
            <w:tcBorders>
              <w:top w:val="nil"/>
              <w:left w:val="nil"/>
              <w:bottom w:val="single" w:sz="4" w:space="0" w:color="auto"/>
              <w:right w:val="single" w:sz="4" w:space="0" w:color="auto"/>
            </w:tcBorders>
            <w:shd w:val="clear" w:color="auto" w:fill="auto"/>
            <w:vAlign w:val="center"/>
          </w:tcPr>
          <w:p w14:paraId="185BFBB0" w14:textId="77777777" w:rsidR="00B010E6" w:rsidRPr="001B4CA2" w:rsidRDefault="00B010E6" w:rsidP="00B010E6">
            <w:pPr>
              <w:jc w:val="center"/>
              <w:rPr>
                <w:sz w:val="18"/>
                <w:szCs w:val="18"/>
              </w:rPr>
            </w:pPr>
            <w:r w:rsidRPr="001B4CA2">
              <w:rPr>
                <w:sz w:val="18"/>
                <w:szCs w:val="18"/>
              </w:rPr>
              <w:t>42</w:t>
            </w:r>
          </w:p>
        </w:tc>
      </w:tr>
      <w:tr w:rsidR="00B010E6" w:rsidRPr="001B4CA2" w14:paraId="4B1186CE"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11A7D9B1" w14:textId="77777777" w:rsidR="00B010E6" w:rsidRPr="001B4CA2" w:rsidRDefault="00B010E6" w:rsidP="00B010E6">
            <w:pPr>
              <w:jc w:val="left"/>
              <w:rPr>
                <w:bCs/>
                <w:sz w:val="16"/>
                <w:szCs w:val="16"/>
                <w:lang w:eastAsia="hr-HR"/>
              </w:rPr>
            </w:pPr>
            <w:r w:rsidRPr="001B4CA2">
              <w:rPr>
                <w:bCs/>
                <w:sz w:val="16"/>
                <w:szCs w:val="16"/>
                <w:lang w:eastAsia="hr-HR"/>
              </w:rPr>
              <w:t>Ministarstvo regionalnog razvoja i fondova EU</w:t>
            </w:r>
          </w:p>
        </w:tc>
        <w:tc>
          <w:tcPr>
            <w:tcW w:w="1010" w:type="dxa"/>
            <w:tcBorders>
              <w:top w:val="nil"/>
              <w:left w:val="nil"/>
              <w:bottom w:val="single" w:sz="4" w:space="0" w:color="auto"/>
              <w:right w:val="single" w:sz="4" w:space="0" w:color="auto"/>
            </w:tcBorders>
            <w:shd w:val="clear" w:color="auto" w:fill="auto"/>
            <w:noWrap/>
            <w:vAlign w:val="center"/>
          </w:tcPr>
          <w:p w14:paraId="6F5723D4" w14:textId="77777777" w:rsidR="00B010E6" w:rsidRPr="001B4CA2" w:rsidRDefault="00B010E6" w:rsidP="00B010E6">
            <w:pPr>
              <w:jc w:val="center"/>
              <w:rPr>
                <w:sz w:val="18"/>
                <w:szCs w:val="18"/>
              </w:rPr>
            </w:pPr>
          </w:p>
        </w:tc>
        <w:tc>
          <w:tcPr>
            <w:tcW w:w="1085" w:type="dxa"/>
            <w:tcBorders>
              <w:top w:val="nil"/>
              <w:left w:val="nil"/>
              <w:bottom w:val="single" w:sz="4" w:space="0" w:color="auto"/>
              <w:right w:val="single" w:sz="4" w:space="0" w:color="auto"/>
            </w:tcBorders>
            <w:shd w:val="clear" w:color="auto" w:fill="auto"/>
            <w:noWrap/>
            <w:vAlign w:val="center"/>
          </w:tcPr>
          <w:p w14:paraId="7D06759F"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7BDB4D78"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2737E669"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268F20B0"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5BE5D1E8"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1AB2A68C"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52AC0699" w14:textId="77777777" w:rsidR="00B010E6" w:rsidRPr="001B4CA2" w:rsidRDefault="00B010E6" w:rsidP="00B010E6">
            <w:pPr>
              <w:jc w:val="center"/>
              <w:rPr>
                <w:sz w:val="18"/>
                <w:szCs w:val="18"/>
              </w:rPr>
            </w:pPr>
            <w:r w:rsidRPr="001B4CA2">
              <w:rPr>
                <w:sz w:val="18"/>
                <w:szCs w:val="18"/>
              </w:rPr>
              <w:t>2</w:t>
            </w:r>
          </w:p>
        </w:tc>
        <w:tc>
          <w:tcPr>
            <w:tcW w:w="1165" w:type="dxa"/>
            <w:tcBorders>
              <w:top w:val="nil"/>
              <w:left w:val="nil"/>
              <w:bottom w:val="single" w:sz="4" w:space="0" w:color="auto"/>
              <w:right w:val="single" w:sz="4" w:space="0" w:color="auto"/>
            </w:tcBorders>
            <w:shd w:val="clear" w:color="auto" w:fill="auto"/>
            <w:noWrap/>
            <w:vAlign w:val="center"/>
          </w:tcPr>
          <w:p w14:paraId="2C860F33"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2E01D56B"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17654510" w14:textId="77777777" w:rsidR="00B010E6" w:rsidRPr="001B4CA2" w:rsidRDefault="00B010E6" w:rsidP="00B010E6">
            <w:pPr>
              <w:jc w:val="center"/>
              <w:rPr>
                <w:sz w:val="18"/>
                <w:szCs w:val="18"/>
              </w:rPr>
            </w:pPr>
          </w:p>
        </w:tc>
        <w:tc>
          <w:tcPr>
            <w:tcW w:w="1103" w:type="dxa"/>
            <w:tcBorders>
              <w:top w:val="nil"/>
              <w:left w:val="nil"/>
              <w:bottom w:val="single" w:sz="4" w:space="0" w:color="auto"/>
              <w:right w:val="single" w:sz="4" w:space="0" w:color="auto"/>
            </w:tcBorders>
            <w:shd w:val="clear" w:color="auto" w:fill="auto"/>
            <w:vAlign w:val="center"/>
          </w:tcPr>
          <w:p w14:paraId="23172C77" w14:textId="77777777" w:rsidR="00B010E6" w:rsidRPr="001B4CA2" w:rsidRDefault="00B010E6" w:rsidP="00B010E6">
            <w:pPr>
              <w:jc w:val="center"/>
              <w:rPr>
                <w:sz w:val="18"/>
                <w:szCs w:val="18"/>
              </w:rPr>
            </w:pPr>
            <w:r w:rsidRPr="001B4CA2">
              <w:rPr>
                <w:sz w:val="18"/>
                <w:szCs w:val="18"/>
              </w:rPr>
              <w:t>2</w:t>
            </w:r>
          </w:p>
        </w:tc>
      </w:tr>
      <w:tr w:rsidR="00B010E6" w:rsidRPr="001B4CA2" w14:paraId="01C5CFF8"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vAlign w:val="center"/>
            <w:hideMark/>
          </w:tcPr>
          <w:p w14:paraId="7A6D61CD" w14:textId="77777777" w:rsidR="00B010E6" w:rsidRPr="001B4CA2" w:rsidRDefault="00B010E6" w:rsidP="00B010E6">
            <w:pPr>
              <w:jc w:val="left"/>
              <w:rPr>
                <w:bCs/>
                <w:sz w:val="16"/>
                <w:szCs w:val="16"/>
                <w:lang w:eastAsia="hr-HR"/>
              </w:rPr>
            </w:pPr>
            <w:r w:rsidRPr="001B4CA2">
              <w:rPr>
                <w:bCs/>
                <w:sz w:val="16"/>
                <w:szCs w:val="16"/>
                <w:lang w:eastAsia="hr-HR"/>
              </w:rPr>
              <w:t>Ministarstvo prostornoga uređenja, graditeljstva i državne imovine</w:t>
            </w:r>
          </w:p>
        </w:tc>
        <w:tc>
          <w:tcPr>
            <w:tcW w:w="1010" w:type="dxa"/>
            <w:tcBorders>
              <w:top w:val="nil"/>
              <w:left w:val="nil"/>
              <w:bottom w:val="single" w:sz="4" w:space="0" w:color="auto"/>
              <w:right w:val="single" w:sz="4" w:space="0" w:color="auto"/>
            </w:tcBorders>
            <w:shd w:val="clear" w:color="auto" w:fill="auto"/>
            <w:noWrap/>
            <w:vAlign w:val="center"/>
          </w:tcPr>
          <w:p w14:paraId="514DF4ED" w14:textId="77777777" w:rsidR="00B010E6" w:rsidRPr="001B4CA2" w:rsidRDefault="00B010E6" w:rsidP="00B010E6">
            <w:pPr>
              <w:jc w:val="center"/>
              <w:rPr>
                <w:sz w:val="18"/>
                <w:szCs w:val="18"/>
              </w:rPr>
            </w:pPr>
            <w:r w:rsidRPr="001B4CA2">
              <w:rPr>
                <w:sz w:val="18"/>
                <w:szCs w:val="18"/>
              </w:rPr>
              <w:t>20</w:t>
            </w:r>
          </w:p>
        </w:tc>
        <w:tc>
          <w:tcPr>
            <w:tcW w:w="1085" w:type="dxa"/>
            <w:tcBorders>
              <w:top w:val="nil"/>
              <w:left w:val="nil"/>
              <w:bottom w:val="single" w:sz="4" w:space="0" w:color="auto"/>
              <w:right w:val="single" w:sz="4" w:space="0" w:color="auto"/>
            </w:tcBorders>
            <w:shd w:val="clear" w:color="auto" w:fill="auto"/>
            <w:noWrap/>
            <w:vAlign w:val="center"/>
          </w:tcPr>
          <w:p w14:paraId="36BA00E3" w14:textId="77777777" w:rsidR="00B010E6" w:rsidRPr="001B4CA2" w:rsidRDefault="00B010E6" w:rsidP="00B010E6">
            <w:pPr>
              <w:jc w:val="center"/>
              <w:rPr>
                <w:sz w:val="18"/>
                <w:szCs w:val="18"/>
              </w:rPr>
            </w:pPr>
            <w:r w:rsidRPr="001B4CA2">
              <w:rPr>
                <w:sz w:val="18"/>
                <w:szCs w:val="18"/>
              </w:rPr>
              <w:t>714</w:t>
            </w:r>
          </w:p>
        </w:tc>
        <w:tc>
          <w:tcPr>
            <w:tcW w:w="1008" w:type="dxa"/>
            <w:tcBorders>
              <w:top w:val="nil"/>
              <w:left w:val="nil"/>
              <w:bottom w:val="single" w:sz="4" w:space="0" w:color="auto"/>
              <w:right w:val="single" w:sz="4" w:space="0" w:color="auto"/>
            </w:tcBorders>
            <w:shd w:val="clear" w:color="auto" w:fill="auto"/>
            <w:vAlign w:val="center"/>
          </w:tcPr>
          <w:p w14:paraId="18C0E7AC" w14:textId="77777777" w:rsidR="00B010E6" w:rsidRPr="001B4CA2" w:rsidRDefault="00B010E6" w:rsidP="00B010E6">
            <w:pPr>
              <w:jc w:val="center"/>
              <w:rPr>
                <w:sz w:val="18"/>
                <w:szCs w:val="18"/>
              </w:rPr>
            </w:pPr>
            <w:r w:rsidRPr="001B4CA2">
              <w:rPr>
                <w:sz w:val="18"/>
                <w:szCs w:val="18"/>
              </w:rPr>
              <w:t>38</w:t>
            </w:r>
          </w:p>
        </w:tc>
        <w:tc>
          <w:tcPr>
            <w:tcW w:w="1084" w:type="dxa"/>
            <w:tcBorders>
              <w:top w:val="nil"/>
              <w:left w:val="nil"/>
              <w:bottom w:val="single" w:sz="4" w:space="0" w:color="auto"/>
              <w:right w:val="single" w:sz="4" w:space="0" w:color="auto"/>
            </w:tcBorders>
            <w:shd w:val="clear" w:color="auto" w:fill="auto"/>
            <w:noWrap/>
            <w:vAlign w:val="center"/>
          </w:tcPr>
          <w:p w14:paraId="3B8477D8" w14:textId="77777777" w:rsidR="00B010E6" w:rsidRPr="001B4CA2" w:rsidRDefault="00B010E6" w:rsidP="00B010E6">
            <w:pPr>
              <w:jc w:val="center"/>
              <w:rPr>
                <w:sz w:val="18"/>
                <w:szCs w:val="18"/>
              </w:rPr>
            </w:pPr>
            <w:r w:rsidRPr="001B4CA2">
              <w:rPr>
                <w:sz w:val="18"/>
                <w:szCs w:val="18"/>
              </w:rPr>
              <w:t>109</w:t>
            </w:r>
          </w:p>
        </w:tc>
        <w:tc>
          <w:tcPr>
            <w:tcW w:w="1008" w:type="dxa"/>
            <w:tcBorders>
              <w:top w:val="nil"/>
              <w:left w:val="nil"/>
              <w:bottom w:val="single" w:sz="4" w:space="0" w:color="auto"/>
              <w:right w:val="single" w:sz="4" w:space="0" w:color="auto"/>
            </w:tcBorders>
            <w:shd w:val="clear" w:color="auto" w:fill="auto"/>
            <w:noWrap/>
            <w:vAlign w:val="center"/>
          </w:tcPr>
          <w:p w14:paraId="63F66272" w14:textId="77777777" w:rsidR="00B010E6" w:rsidRPr="001B4CA2" w:rsidRDefault="00B010E6" w:rsidP="00B010E6">
            <w:pPr>
              <w:jc w:val="center"/>
              <w:rPr>
                <w:sz w:val="18"/>
                <w:szCs w:val="18"/>
              </w:rPr>
            </w:pPr>
            <w:r w:rsidRPr="001B4CA2">
              <w:rPr>
                <w:sz w:val="18"/>
                <w:szCs w:val="18"/>
              </w:rPr>
              <w:t>1</w:t>
            </w:r>
          </w:p>
        </w:tc>
        <w:tc>
          <w:tcPr>
            <w:tcW w:w="1084" w:type="dxa"/>
            <w:tcBorders>
              <w:top w:val="nil"/>
              <w:left w:val="nil"/>
              <w:bottom w:val="single" w:sz="4" w:space="0" w:color="auto"/>
              <w:right w:val="single" w:sz="4" w:space="0" w:color="auto"/>
            </w:tcBorders>
            <w:shd w:val="clear" w:color="auto" w:fill="auto"/>
            <w:noWrap/>
            <w:vAlign w:val="center"/>
          </w:tcPr>
          <w:p w14:paraId="7E2BAC77" w14:textId="77777777" w:rsidR="00B010E6" w:rsidRPr="001B4CA2" w:rsidRDefault="00B010E6" w:rsidP="00B010E6">
            <w:pPr>
              <w:jc w:val="center"/>
              <w:rPr>
                <w:sz w:val="18"/>
                <w:szCs w:val="18"/>
              </w:rPr>
            </w:pPr>
            <w:r w:rsidRPr="001B4CA2">
              <w:rPr>
                <w:sz w:val="18"/>
                <w:szCs w:val="18"/>
              </w:rPr>
              <w:t>140</w:t>
            </w:r>
          </w:p>
        </w:tc>
        <w:tc>
          <w:tcPr>
            <w:tcW w:w="1008" w:type="dxa"/>
            <w:tcBorders>
              <w:top w:val="nil"/>
              <w:left w:val="nil"/>
              <w:bottom w:val="single" w:sz="4" w:space="0" w:color="auto"/>
              <w:right w:val="single" w:sz="4" w:space="0" w:color="auto"/>
            </w:tcBorders>
            <w:shd w:val="clear" w:color="auto" w:fill="auto"/>
            <w:noWrap/>
            <w:vAlign w:val="center"/>
          </w:tcPr>
          <w:p w14:paraId="6C845780" w14:textId="77777777" w:rsidR="00B010E6" w:rsidRPr="001B4CA2" w:rsidRDefault="00B010E6" w:rsidP="00B010E6">
            <w:pPr>
              <w:jc w:val="center"/>
              <w:rPr>
                <w:sz w:val="18"/>
                <w:szCs w:val="18"/>
              </w:rPr>
            </w:pPr>
            <w:r w:rsidRPr="001B4CA2">
              <w:rPr>
                <w:sz w:val="18"/>
                <w:szCs w:val="18"/>
              </w:rPr>
              <w:t>1</w:t>
            </w:r>
          </w:p>
        </w:tc>
        <w:tc>
          <w:tcPr>
            <w:tcW w:w="1084" w:type="dxa"/>
            <w:tcBorders>
              <w:top w:val="nil"/>
              <w:left w:val="nil"/>
              <w:bottom w:val="single" w:sz="4" w:space="0" w:color="auto"/>
              <w:right w:val="single" w:sz="4" w:space="0" w:color="auto"/>
            </w:tcBorders>
            <w:shd w:val="clear" w:color="auto" w:fill="auto"/>
            <w:noWrap/>
            <w:vAlign w:val="center"/>
          </w:tcPr>
          <w:p w14:paraId="2C1DB686" w14:textId="77777777" w:rsidR="00B010E6" w:rsidRPr="001B4CA2" w:rsidRDefault="00B010E6" w:rsidP="00B010E6">
            <w:pPr>
              <w:jc w:val="center"/>
              <w:rPr>
                <w:sz w:val="18"/>
                <w:szCs w:val="18"/>
              </w:rPr>
            </w:pPr>
            <w:r w:rsidRPr="001B4CA2">
              <w:rPr>
                <w:sz w:val="18"/>
                <w:szCs w:val="18"/>
              </w:rPr>
              <w:t>2</w:t>
            </w:r>
          </w:p>
        </w:tc>
        <w:tc>
          <w:tcPr>
            <w:tcW w:w="1165" w:type="dxa"/>
            <w:tcBorders>
              <w:top w:val="nil"/>
              <w:left w:val="nil"/>
              <w:bottom w:val="single" w:sz="4" w:space="0" w:color="auto"/>
              <w:right w:val="single" w:sz="4" w:space="0" w:color="auto"/>
            </w:tcBorders>
            <w:shd w:val="clear" w:color="auto" w:fill="auto"/>
            <w:noWrap/>
            <w:vAlign w:val="center"/>
          </w:tcPr>
          <w:p w14:paraId="0AEFF140"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3206CB10" w14:textId="77777777" w:rsidR="00B010E6" w:rsidRPr="001B4CA2" w:rsidRDefault="00B010E6" w:rsidP="00B010E6">
            <w:pPr>
              <w:jc w:val="center"/>
              <w:rPr>
                <w:sz w:val="18"/>
                <w:szCs w:val="18"/>
              </w:rPr>
            </w:pPr>
            <w:r w:rsidRPr="001B4CA2">
              <w:rPr>
                <w:sz w:val="18"/>
                <w:szCs w:val="18"/>
              </w:rPr>
              <w:t>18</w:t>
            </w:r>
          </w:p>
        </w:tc>
        <w:tc>
          <w:tcPr>
            <w:tcW w:w="1084" w:type="dxa"/>
            <w:tcBorders>
              <w:top w:val="nil"/>
              <w:left w:val="nil"/>
              <w:bottom w:val="single" w:sz="4" w:space="0" w:color="auto"/>
              <w:right w:val="single" w:sz="4" w:space="0" w:color="auto"/>
            </w:tcBorders>
            <w:shd w:val="clear" w:color="auto" w:fill="auto"/>
            <w:noWrap/>
            <w:vAlign w:val="center"/>
          </w:tcPr>
          <w:p w14:paraId="49A90219" w14:textId="77777777" w:rsidR="00B010E6" w:rsidRPr="001B4CA2" w:rsidRDefault="00B010E6" w:rsidP="00B010E6">
            <w:pPr>
              <w:jc w:val="center"/>
              <w:rPr>
                <w:sz w:val="18"/>
                <w:szCs w:val="18"/>
              </w:rPr>
            </w:pPr>
            <w:r w:rsidRPr="001B4CA2">
              <w:rPr>
                <w:sz w:val="18"/>
                <w:szCs w:val="18"/>
              </w:rPr>
              <w:t>60</w:t>
            </w:r>
          </w:p>
        </w:tc>
        <w:tc>
          <w:tcPr>
            <w:tcW w:w="1103" w:type="dxa"/>
            <w:tcBorders>
              <w:top w:val="nil"/>
              <w:left w:val="nil"/>
              <w:bottom w:val="single" w:sz="4" w:space="0" w:color="auto"/>
              <w:right w:val="single" w:sz="4" w:space="0" w:color="auto"/>
            </w:tcBorders>
            <w:shd w:val="clear" w:color="auto" w:fill="auto"/>
            <w:vAlign w:val="center"/>
          </w:tcPr>
          <w:p w14:paraId="73C25863" w14:textId="77777777" w:rsidR="00B010E6" w:rsidRPr="001B4CA2" w:rsidRDefault="00B010E6" w:rsidP="00B010E6">
            <w:pPr>
              <w:jc w:val="center"/>
              <w:rPr>
                <w:sz w:val="18"/>
                <w:szCs w:val="18"/>
              </w:rPr>
            </w:pPr>
            <w:r w:rsidRPr="001B4CA2">
              <w:rPr>
                <w:sz w:val="18"/>
                <w:szCs w:val="18"/>
              </w:rPr>
              <w:t>983</w:t>
            </w:r>
          </w:p>
        </w:tc>
      </w:tr>
      <w:tr w:rsidR="00B010E6" w:rsidRPr="001B4CA2" w14:paraId="5DF324EF"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1CC81644" w14:textId="77777777" w:rsidR="00B010E6" w:rsidRPr="001B4CA2" w:rsidRDefault="00B010E6" w:rsidP="00B010E6">
            <w:pPr>
              <w:jc w:val="left"/>
              <w:rPr>
                <w:bCs/>
                <w:sz w:val="16"/>
                <w:szCs w:val="16"/>
                <w:lang w:eastAsia="hr-HR"/>
              </w:rPr>
            </w:pPr>
            <w:r w:rsidRPr="001B4CA2">
              <w:rPr>
                <w:bCs/>
                <w:sz w:val="16"/>
                <w:szCs w:val="16"/>
                <w:lang w:eastAsia="hr-HR"/>
              </w:rPr>
              <w:t xml:space="preserve">Ministarstvo unutarnjih poslova </w:t>
            </w:r>
          </w:p>
        </w:tc>
        <w:tc>
          <w:tcPr>
            <w:tcW w:w="1010" w:type="dxa"/>
            <w:tcBorders>
              <w:top w:val="nil"/>
              <w:left w:val="nil"/>
              <w:bottom w:val="single" w:sz="4" w:space="0" w:color="auto"/>
              <w:right w:val="single" w:sz="4" w:space="0" w:color="auto"/>
            </w:tcBorders>
            <w:shd w:val="clear" w:color="auto" w:fill="auto"/>
            <w:noWrap/>
            <w:vAlign w:val="center"/>
          </w:tcPr>
          <w:p w14:paraId="430AF8E2" w14:textId="77777777" w:rsidR="00B010E6" w:rsidRPr="001B4CA2" w:rsidRDefault="00B010E6" w:rsidP="00B010E6">
            <w:pPr>
              <w:jc w:val="center"/>
              <w:rPr>
                <w:sz w:val="18"/>
                <w:szCs w:val="18"/>
              </w:rPr>
            </w:pPr>
            <w:r w:rsidRPr="001B4CA2">
              <w:rPr>
                <w:sz w:val="18"/>
                <w:szCs w:val="18"/>
              </w:rPr>
              <w:t>3</w:t>
            </w:r>
          </w:p>
        </w:tc>
        <w:tc>
          <w:tcPr>
            <w:tcW w:w="1085" w:type="dxa"/>
            <w:tcBorders>
              <w:top w:val="nil"/>
              <w:left w:val="nil"/>
              <w:bottom w:val="single" w:sz="4" w:space="0" w:color="auto"/>
              <w:right w:val="single" w:sz="4" w:space="0" w:color="auto"/>
            </w:tcBorders>
            <w:shd w:val="clear" w:color="auto" w:fill="auto"/>
            <w:noWrap/>
            <w:vAlign w:val="center"/>
          </w:tcPr>
          <w:p w14:paraId="16FAE034"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3177E629" w14:textId="77777777" w:rsidR="00B010E6" w:rsidRPr="001B4CA2" w:rsidRDefault="00B010E6" w:rsidP="00B010E6">
            <w:pPr>
              <w:jc w:val="center"/>
              <w:rPr>
                <w:sz w:val="18"/>
                <w:szCs w:val="18"/>
              </w:rPr>
            </w:pPr>
            <w:r w:rsidRPr="001B4CA2">
              <w:rPr>
                <w:sz w:val="18"/>
                <w:szCs w:val="18"/>
              </w:rPr>
              <w:t>36</w:t>
            </w:r>
          </w:p>
        </w:tc>
        <w:tc>
          <w:tcPr>
            <w:tcW w:w="1084" w:type="dxa"/>
            <w:tcBorders>
              <w:top w:val="nil"/>
              <w:left w:val="nil"/>
              <w:bottom w:val="single" w:sz="4" w:space="0" w:color="auto"/>
              <w:right w:val="single" w:sz="4" w:space="0" w:color="auto"/>
            </w:tcBorders>
            <w:shd w:val="clear" w:color="auto" w:fill="auto"/>
            <w:noWrap/>
            <w:vAlign w:val="center"/>
          </w:tcPr>
          <w:p w14:paraId="5FC5805E" w14:textId="77777777" w:rsidR="00B010E6" w:rsidRPr="001B4CA2" w:rsidRDefault="00B010E6" w:rsidP="00B010E6">
            <w:pPr>
              <w:jc w:val="center"/>
              <w:rPr>
                <w:sz w:val="18"/>
                <w:szCs w:val="18"/>
              </w:rPr>
            </w:pPr>
            <w:r w:rsidRPr="001B4CA2">
              <w:rPr>
                <w:sz w:val="18"/>
                <w:szCs w:val="18"/>
              </w:rPr>
              <w:t>12</w:t>
            </w:r>
          </w:p>
        </w:tc>
        <w:tc>
          <w:tcPr>
            <w:tcW w:w="1008" w:type="dxa"/>
            <w:tcBorders>
              <w:top w:val="nil"/>
              <w:left w:val="nil"/>
              <w:bottom w:val="single" w:sz="4" w:space="0" w:color="auto"/>
              <w:right w:val="single" w:sz="4" w:space="0" w:color="auto"/>
            </w:tcBorders>
            <w:shd w:val="clear" w:color="auto" w:fill="auto"/>
            <w:noWrap/>
            <w:vAlign w:val="center"/>
          </w:tcPr>
          <w:p w14:paraId="36DA8F4F" w14:textId="77777777" w:rsidR="00B010E6" w:rsidRPr="001B4CA2" w:rsidRDefault="00B010E6" w:rsidP="00B010E6">
            <w:pPr>
              <w:jc w:val="center"/>
              <w:rPr>
                <w:sz w:val="18"/>
                <w:szCs w:val="18"/>
              </w:rPr>
            </w:pPr>
            <w:r w:rsidRPr="001B4CA2">
              <w:rPr>
                <w:sz w:val="18"/>
                <w:szCs w:val="18"/>
              </w:rPr>
              <w:t>8</w:t>
            </w:r>
          </w:p>
        </w:tc>
        <w:tc>
          <w:tcPr>
            <w:tcW w:w="1084" w:type="dxa"/>
            <w:tcBorders>
              <w:top w:val="nil"/>
              <w:left w:val="nil"/>
              <w:bottom w:val="single" w:sz="4" w:space="0" w:color="auto"/>
              <w:right w:val="single" w:sz="4" w:space="0" w:color="auto"/>
            </w:tcBorders>
            <w:shd w:val="clear" w:color="auto" w:fill="auto"/>
            <w:noWrap/>
            <w:vAlign w:val="center"/>
          </w:tcPr>
          <w:p w14:paraId="79B89885" w14:textId="77777777" w:rsidR="00B010E6" w:rsidRPr="001B4CA2" w:rsidRDefault="00B010E6" w:rsidP="00B010E6">
            <w:pPr>
              <w:jc w:val="center"/>
              <w:rPr>
                <w:sz w:val="18"/>
                <w:szCs w:val="18"/>
              </w:rPr>
            </w:pPr>
            <w:r w:rsidRPr="001B4CA2">
              <w:rPr>
                <w:sz w:val="18"/>
                <w:szCs w:val="18"/>
              </w:rPr>
              <w:t>40</w:t>
            </w:r>
          </w:p>
        </w:tc>
        <w:tc>
          <w:tcPr>
            <w:tcW w:w="1008" w:type="dxa"/>
            <w:tcBorders>
              <w:top w:val="nil"/>
              <w:left w:val="nil"/>
              <w:bottom w:val="single" w:sz="4" w:space="0" w:color="auto"/>
              <w:right w:val="single" w:sz="4" w:space="0" w:color="auto"/>
            </w:tcBorders>
            <w:shd w:val="clear" w:color="auto" w:fill="auto"/>
            <w:noWrap/>
            <w:vAlign w:val="center"/>
          </w:tcPr>
          <w:p w14:paraId="39C029D1" w14:textId="77777777" w:rsidR="00B010E6" w:rsidRPr="001B4CA2" w:rsidRDefault="00B010E6" w:rsidP="00B010E6">
            <w:pPr>
              <w:jc w:val="center"/>
              <w:rPr>
                <w:sz w:val="18"/>
                <w:szCs w:val="18"/>
              </w:rPr>
            </w:pPr>
            <w:r w:rsidRPr="001B4CA2">
              <w:rPr>
                <w:sz w:val="18"/>
                <w:szCs w:val="18"/>
              </w:rPr>
              <w:t>1</w:t>
            </w:r>
          </w:p>
        </w:tc>
        <w:tc>
          <w:tcPr>
            <w:tcW w:w="1084" w:type="dxa"/>
            <w:tcBorders>
              <w:top w:val="nil"/>
              <w:left w:val="nil"/>
              <w:bottom w:val="single" w:sz="4" w:space="0" w:color="auto"/>
              <w:right w:val="single" w:sz="4" w:space="0" w:color="auto"/>
            </w:tcBorders>
            <w:shd w:val="clear" w:color="auto" w:fill="auto"/>
            <w:noWrap/>
            <w:vAlign w:val="center"/>
          </w:tcPr>
          <w:p w14:paraId="1C110860" w14:textId="77777777" w:rsidR="00B010E6" w:rsidRPr="001B4CA2" w:rsidRDefault="00B010E6" w:rsidP="00B010E6">
            <w:pPr>
              <w:jc w:val="center"/>
              <w:rPr>
                <w:sz w:val="18"/>
                <w:szCs w:val="18"/>
              </w:rPr>
            </w:pPr>
            <w:r w:rsidRPr="001B4CA2">
              <w:rPr>
                <w:sz w:val="18"/>
                <w:szCs w:val="18"/>
              </w:rPr>
              <w:t>326</w:t>
            </w:r>
          </w:p>
        </w:tc>
        <w:tc>
          <w:tcPr>
            <w:tcW w:w="1165" w:type="dxa"/>
            <w:tcBorders>
              <w:top w:val="nil"/>
              <w:left w:val="nil"/>
              <w:bottom w:val="single" w:sz="4" w:space="0" w:color="auto"/>
              <w:right w:val="single" w:sz="4" w:space="0" w:color="auto"/>
            </w:tcBorders>
            <w:shd w:val="clear" w:color="auto" w:fill="auto"/>
            <w:noWrap/>
            <w:vAlign w:val="center"/>
          </w:tcPr>
          <w:p w14:paraId="547B0F5C" w14:textId="77777777" w:rsidR="00B010E6" w:rsidRPr="001B4CA2" w:rsidRDefault="00B010E6" w:rsidP="00B010E6">
            <w:pPr>
              <w:jc w:val="center"/>
              <w:rPr>
                <w:sz w:val="18"/>
                <w:szCs w:val="18"/>
              </w:rPr>
            </w:pPr>
            <w:r w:rsidRPr="001B4CA2">
              <w:rPr>
                <w:sz w:val="18"/>
                <w:szCs w:val="18"/>
              </w:rPr>
              <w:t>1</w:t>
            </w:r>
          </w:p>
        </w:tc>
        <w:tc>
          <w:tcPr>
            <w:tcW w:w="1084" w:type="dxa"/>
            <w:tcBorders>
              <w:top w:val="nil"/>
              <w:left w:val="nil"/>
              <w:bottom w:val="single" w:sz="4" w:space="0" w:color="auto"/>
              <w:right w:val="single" w:sz="4" w:space="0" w:color="auto"/>
            </w:tcBorders>
            <w:shd w:val="clear" w:color="auto" w:fill="auto"/>
            <w:noWrap/>
            <w:vAlign w:val="center"/>
          </w:tcPr>
          <w:p w14:paraId="10091703" w14:textId="77777777" w:rsidR="00B010E6" w:rsidRPr="001B4CA2" w:rsidRDefault="00B010E6" w:rsidP="00B010E6">
            <w:pPr>
              <w:jc w:val="center"/>
              <w:rPr>
                <w:sz w:val="18"/>
                <w:szCs w:val="18"/>
              </w:rPr>
            </w:pPr>
            <w:r w:rsidRPr="001B4CA2">
              <w:rPr>
                <w:sz w:val="18"/>
                <w:szCs w:val="18"/>
              </w:rPr>
              <w:t>1</w:t>
            </w:r>
          </w:p>
        </w:tc>
        <w:tc>
          <w:tcPr>
            <w:tcW w:w="1084" w:type="dxa"/>
            <w:tcBorders>
              <w:top w:val="nil"/>
              <w:left w:val="nil"/>
              <w:bottom w:val="single" w:sz="4" w:space="0" w:color="auto"/>
              <w:right w:val="single" w:sz="4" w:space="0" w:color="auto"/>
            </w:tcBorders>
            <w:shd w:val="clear" w:color="auto" w:fill="auto"/>
            <w:noWrap/>
            <w:vAlign w:val="center"/>
          </w:tcPr>
          <w:p w14:paraId="47C498B8" w14:textId="77777777" w:rsidR="00B010E6" w:rsidRPr="001B4CA2" w:rsidRDefault="00B010E6" w:rsidP="00B010E6">
            <w:pPr>
              <w:jc w:val="center"/>
              <w:rPr>
                <w:sz w:val="18"/>
                <w:szCs w:val="18"/>
              </w:rPr>
            </w:pPr>
            <w:r w:rsidRPr="001B4CA2">
              <w:rPr>
                <w:sz w:val="18"/>
                <w:szCs w:val="18"/>
              </w:rPr>
              <w:t>49</w:t>
            </w:r>
          </w:p>
        </w:tc>
        <w:tc>
          <w:tcPr>
            <w:tcW w:w="1103" w:type="dxa"/>
            <w:tcBorders>
              <w:top w:val="nil"/>
              <w:left w:val="nil"/>
              <w:bottom w:val="single" w:sz="4" w:space="0" w:color="auto"/>
              <w:right w:val="single" w:sz="4" w:space="0" w:color="auto"/>
            </w:tcBorders>
            <w:shd w:val="clear" w:color="auto" w:fill="auto"/>
            <w:vAlign w:val="center"/>
          </w:tcPr>
          <w:p w14:paraId="5C23A162" w14:textId="77777777" w:rsidR="00B010E6" w:rsidRPr="001B4CA2" w:rsidRDefault="00B010E6" w:rsidP="00B010E6">
            <w:pPr>
              <w:jc w:val="center"/>
              <w:rPr>
                <w:sz w:val="18"/>
                <w:szCs w:val="18"/>
              </w:rPr>
            </w:pPr>
            <w:r w:rsidRPr="001B4CA2">
              <w:rPr>
                <w:sz w:val="18"/>
                <w:szCs w:val="18"/>
              </w:rPr>
              <w:t>379</w:t>
            </w:r>
          </w:p>
        </w:tc>
      </w:tr>
      <w:tr w:rsidR="00B010E6" w:rsidRPr="001B4CA2" w14:paraId="7AFBD257"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vAlign w:val="center"/>
            <w:hideMark/>
          </w:tcPr>
          <w:p w14:paraId="53DCDA16" w14:textId="77777777" w:rsidR="00B010E6" w:rsidRPr="001B4CA2" w:rsidRDefault="00B010E6" w:rsidP="00B010E6">
            <w:pPr>
              <w:jc w:val="left"/>
              <w:rPr>
                <w:bCs/>
                <w:sz w:val="16"/>
                <w:szCs w:val="16"/>
                <w:lang w:eastAsia="hr-HR"/>
              </w:rPr>
            </w:pPr>
            <w:r w:rsidRPr="001B4CA2">
              <w:rPr>
                <w:bCs/>
                <w:sz w:val="16"/>
                <w:szCs w:val="16"/>
                <w:lang w:eastAsia="hr-HR"/>
              </w:rPr>
              <w:t>Ministarstvo rada, mirovinskoga sustava, obitelji i socijalne politike</w:t>
            </w:r>
          </w:p>
        </w:tc>
        <w:tc>
          <w:tcPr>
            <w:tcW w:w="1010" w:type="dxa"/>
            <w:tcBorders>
              <w:top w:val="nil"/>
              <w:left w:val="nil"/>
              <w:bottom w:val="single" w:sz="4" w:space="0" w:color="auto"/>
              <w:right w:val="single" w:sz="4" w:space="0" w:color="auto"/>
            </w:tcBorders>
            <w:shd w:val="clear" w:color="auto" w:fill="auto"/>
            <w:noWrap/>
            <w:vAlign w:val="center"/>
          </w:tcPr>
          <w:p w14:paraId="5AA76218" w14:textId="77777777" w:rsidR="00B010E6" w:rsidRPr="001B4CA2" w:rsidRDefault="00B010E6" w:rsidP="00B010E6">
            <w:pPr>
              <w:jc w:val="center"/>
              <w:rPr>
                <w:sz w:val="18"/>
                <w:szCs w:val="18"/>
              </w:rPr>
            </w:pPr>
            <w:r w:rsidRPr="001B4CA2">
              <w:rPr>
                <w:sz w:val="18"/>
                <w:szCs w:val="18"/>
              </w:rPr>
              <w:t>2</w:t>
            </w:r>
          </w:p>
        </w:tc>
        <w:tc>
          <w:tcPr>
            <w:tcW w:w="1085" w:type="dxa"/>
            <w:tcBorders>
              <w:top w:val="nil"/>
              <w:left w:val="nil"/>
              <w:bottom w:val="single" w:sz="4" w:space="0" w:color="auto"/>
              <w:right w:val="single" w:sz="4" w:space="0" w:color="auto"/>
            </w:tcBorders>
            <w:shd w:val="clear" w:color="auto" w:fill="auto"/>
            <w:noWrap/>
            <w:vAlign w:val="center"/>
          </w:tcPr>
          <w:p w14:paraId="626B2655" w14:textId="77777777" w:rsidR="00B010E6" w:rsidRPr="001B4CA2" w:rsidRDefault="00B010E6" w:rsidP="00B010E6">
            <w:pPr>
              <w:jc w:val="center"/>
              <w:rPr>
                <w:sz w:val="18"/>
                <w:szCs w:val="18"/>
              </w:rPr>
            </w:pPr>
            <w:r w:rsidRPr="001B4CA2">
              <w:rPr>
                <w:sz w:val="18"/>
                <w:szCs w:val="18"/>
              </w:rPr>
              <w:t>1</w:t>
            </w:r>
          </w:p>
        </w:tc>
        <w:tc>
          <w:tcPr>
            <w:tcW w:w="1008" w:type="dxa"/>
            <w:tcBorders>
              <w:top w:val="nil"/>
              <w:left w:val="nil"/>
              <w:bottom w:val="single" w:sz="4" w:space="0" w:color="auto"/>
              <w:right w:val="single" w:sz="4" w:space="0" w:color="auto"/>
            </w:tcBorders>
            <w:shd w:val="clear" w:color="auto" w:fill="auto"/>
            <w:noWrap/>
            <w:vAlign w:val="center"/>
          </w:tcPr>
          <w:p w14:paraId="43AA6F22" w14:textId="77777777" w:rsidR="00B010E6" w:rsidRPr="001B4CA2" w:rsidRDefault="00B010E6" w:rsidP="00B010E6">
            <w:pPr>
              <w:jc w:val="center"/>
              <w:rPr>
                <w:sz w:val="18"/>
                <w:szCs w:val="18"/>
              </w:rPr>
            </w:pPr>
            <w:r w:rsidRPr="001B4CA2">
              <w:rPr>
                <w:sz w:val="18"/>
                <w:szCs w:val="18"/>
              </w:rPr>
              <w:t>29</w:t>
            </w:r>
          </w:p>
        </w:tc>
        <w:tc>
          <w:tcPr>
            <w:tcW w:w="1084" w:type="dxa"/>
            <w:tcBorders>
              <w:top w:val="nil"/>
              <w:left w:val="nil"/>
              <w:bottom w:val="single" w:sz="4" w:space="0" w:color="auto"/>
              <w:right w:val="single" w:sz="4" w:space="0" w:color="auto"/>
            </w:tcBorders>
            <w:shd w:val="clear" w:color="auto" w:fill="auto"/>
            <w:noWrap/>
            <w:vAlign w:val="center"/>
          </w:tcPr>
          <w:p w14:paraId="7C764689" w14:textId="77777777" w:rsidR="00B010E6" w:rsidRPr="001B4CA2" w:rsidRDefault="00B010E6" w:rsidP="00B010E6">
            <w:pPr>
              <w:jc w:val="center"/>
              <w:rPr>
                <w:sz w:val="18"/>
                <w:szCs w:val="18"/>
              </w:rPr>
            </w:pPr>
            <w:r w:rsidRPr="001B4CA2">
              <w:rPr>
                <w:sz w:val="18"/>
                <w:szCs w:val="18"/>
              </w:rPr>
              <w:t>14</w:t>
            </w:r>
          </w:p>
        </w:tc>
        <w:tc>
          <w:tcPr>
            <w:tcW w:w="1008" w:type="dxa"/>
            <w:tcBorders>
              <w:top w:val="nil"/>
              <w:left w:val="nil"/>
              <w:bottom w:val="single" w:sz="4" w:space="0" w:color="auto"/>
              <w:right w:val="single" w:sz="4" w:space="0" w:color="auto"/>
            </w:tcBorders>
            <w:shd w:val="clear" w:color="auto" w:fill="auto"/>
            <w:noWrap/>
            <w:vAlign w:val="center"/>
          </w:tcPr>
          <w:p w14:paraId="607CF825" w14:textId="77777777" w:rsidR="00B010E6" w:rsidRPr="001B4CA2" w:rsidRDefault="00B010E6" w:rsidP="00B010E6">
            <w:pPr>
              <w:jc w:val="center"/>
              <w:rPr>
                <w:sz w:val="18"/>
                <w:szCs w:val="18"/>
              </w:rPr>
            </w:pPr>
            <w:r w:rsidRPr="001B4CA2">
              <w:rPr>
                <w:sz w:val="18"/>
                <w:szCs w:val="18"/>
              </w:rPr>
              <w:t>129</w:t>
            </w:r>
          </w:p>
        </w:tc>
        <w:tc>
          <w:tcPr>
            <w:tcW w:w="1084" w:type="dxa"/>
            <w:tcBorders>
              <w:top w:val="nil"/>
              <w:left w:val="nil"/>
              <w:bottom w:val="single" w:sz="4" w:space="0" w:color="auto"/>
              <w:right w:val="single" w:sz="4" w:space="0" w:color="auto"/>
            </w:tcBorders>
            <w:shd w:val="clear" w:color="auto" w:fill="auto"/>
            <w:noWrap/>
            <w:vAlign w:val="center"/>
          </w:tcPr>
          <w:p w14:paraId="35487F61" w14:textId="77777777" w:rsidR="00B010E6" w:rsidRPr="001B4CA2" w:rsidRDefault="00B010E6" w:rsidP="00B010E6">
            <w:pPr>
              <w:jc w:val="center"/>
              <w:rPr>
                <w:sz w:val="18"/>
                <w:szCs w:val="18"/>
              </w:rPr>
            </w:pPr>
            <w:r w:rsidRPr="001B4CA2">
              <w:rPr>
                <w:sz w:val="18"/>
                <w:szCs w:val="18"/>
              </w:rPr>
              <w:t>8</w:t>
            </w:r>
          </w:p>
        </w:tc>
        <w:tc>
          <w:tcPr>
            <w:tcW w:w="1008" w:type="dxa"/>
            <w:tcBorders>
              <w:top w:val="nil"/>
              <w:left w:val="nil"/>
              <w:bottom w:val="single" w:sz="4" w:space="0" w:color="auto"/>
              <w:right w:val="single" w:sz="4" w:space="0" w:color="auto"/>
            </w:tcBorders>
            <w:shd w:val="clear" w:color="auto" w:fill="auto"/>
            <w:noWrap/>
            <w:vAlign w:val="center"/>
          </w:tcPr>
          <w:p w14:paraId="394B8135"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20A8A759" w14:textId="77777777" w:rsidR="00B010E6" w:rsidRPr="001B4CA2" w:rsidRDefault="00B010E6" w:rsidP="00B010E6">
            <w:pPr>
              <w:jc w:val="center"/>
              <w:rPr>
                <w:sz w:val="18"/>
                <w:szCs w:val="18"/>
              </w:rPr>
            </w:pPr>
            <w:r w:rsidRPr="001B4CA2">
              <w:rPr>
                <w:sz w:val="18"/>
                <w:szCs w:val="18"/>
              </w:rPr>
              <w:t>1</w:t>
            </w:r>
          </w:p>
        </w:tc>
        <w:tc>
          <w:tcPr>
            <w:tcW w:w="1165" w:type="dxa"/>
            <w:tcBorders>
              <w:top w:val="nil"/>
              <w:left w:val="nil"/>
              <w:bottom w:val="single" w:sz="4" w:space="0" w:color="auto"/>
              <w:right w:val="single" w:sz="4" w:space="0" w:color="auto"/>
            </w:tcBorders>
            <w:shd w:val="clear" w:color="auto" w:fill="auto"/>
            <w:noWrap/>
            <w:vAlign w:val="center"/>
          </w:tcPr>
          <w:p w14:paraId="0128B3B0"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11821CD0" w14:textId="77777777" w:rsidR="00B010E6" w:rsidRPr="001B4CA2" w:rsidRDefault="00B010E6" w:rsidP="00B010E6">
            <w:pPr>
              <w:jc w:val="center"/>
              <w:rPr>
                <w:sz w:val="18"/>
                <w:szCs w:val="18"/>
              </w:rPr>
            </w:pPr>
            <w:r w:rsidRPr="001B4CA2">
              <w:rPr>
                <w:sz w:val="18"/>
                <w:szCs w:val="18"/>
              </w:rPr>
              <w:t>2</w:t>
            </w:r>
          </w:p>
        </w:tc>
        <w:tc>
          <w:tcPr>
            <w:tcW w:w="1084" w:type="dxa"/>
            <w:tcBorders>
              <w:top w:val="nil"/>
              <w:left w:val="nil"/>
              <w:bottom w:val="single" w:sz="4" w:space="0" w:color="auto"/>
              <w:right w:val="single" w:sz="4" w:space="0" w:color="auto"/>
            </w:tcBorders>
            <w:shd w:val="clear" w:color="auto" w:fill="auto"/>
            <w:noWrap/>
            <w:vAlign w:val="center"/>
          </w:tcPr>
          <w:p w14:paraId="4798220B" w14:textId="77777777" w:rsidR="00B010E6" w:rsidRPr="001B4CA2" w:rsidRDefault="00B010E6" w:rsidP="00B010E6">
            <w:pPr>
              <w:jc w:val="center"/>
              <w:rPr>
                <w:sz w:val="18"/>
                <w:szCs w:val="18"/>
              </w:rPr>
            </w:pPr>
            <w:r w:rsidRPr="001B4CA2">
              <w:rPr>
                <w:sz w:val="18"/>
                <w:szCs w:val="18"/>
              </w:rPr>
              <w:t>160</w:t>
            </w:r>
          </w:p>
        </w:tc>
        <w:tc>
          <w:tcPr>
            <w:tcW w:w="1103" w:type="dxa"/>
            <w:tcBorders>
              <w:top w:val="nil"/>
              <w:left w:val="nil"/>
              <w:bottom w:val="single" w:sz="4" w:space="0" w:color="auto"/>
              <w:right w:val="single" w:sz="4" w:space="0" w:color="auto"/>
            </w:tcBorders>
            <w:shd w:val="clear" w:color="auto" w:fill="auto"/>
            <w:vAlign w:val="center"/>
          </w:tcPr>
          <w:p w14:paraId="325ED41B" w14:textId="77777777" w:rsidR="00B010E6" w:rsidRPr="001B4CA2" w:rsidRDefault="00B010E6" w:rsidP="00B010E6">
            <w:pPr>
              <w:jc w:val="center"/>
              <w:rPr>
                <w:sz w:val="18"/>
                <w:szCs w:val="18"/>
              </w:rPr>
            </w:pPr>
            <w:r w:rsidRPr="001B4CA2">
              <w:rPr>
                <w:sz w:val="18"/>
                <w:szCs w:val="18"/>
              </w:rPr>
              <w:t>26</w:t>
            </w:r>
          </w:p>
        </w:tc>
      </w:tr>
      <w:tr w:rsidR="00B010E6" w:rsidRPr="001B4CA2" w14:paraId="6148CA67"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29C15F33" w14:textId="77777777" w:rsidR="00B010E6" w:rsidRPr="001B4CA2" w:rsidRDefault="00B010E6" w:rsidP="00B010E6">
            <w:pPr>
              <w:jc w:val="left"/>
              <w:rPr>
                <w:bCs/>
                <w:sz w:val="16"/>
                <w:szCs w:val="16"/>
                <w:lang w:eastAsia="hr-HR"/>
              </w:rPr>
            </w:pPr>
            <w:r w:rsidRPr="001B4CA2">
              <w:rPr>
                <w:bCs/>
                <w:sz w:val="16"/>
                <w:szCs w:val="16"/>
                <w:lang w:eastAsia="hr-HR"/>
              </w:rPr>
              <w:t xml:space="preserve">Ministarstvo financija </w:t>
            </w:r>
          </w:p>
        </w:tc>
        <w:tc>
          <w:tcPr>
            <w:tcW w:w="1010" w:type="dxa"/>
            <w:tcBorders>
              <w:top w:val="nil"/>
              <w:left w:val="nil"/>
              <w:bottom w:val="single" w:sz="4" w:space="0" w:color="auto"/>
              <w:right w:val="single" w:sz="4" w:space="0" w:color="auto"/>
            </w:tcBorders>
            <w:shd w:val="clear" w:color="auto" w:fill="auto"/>
            <w:noWrap/>
            <w:vAlign w:val="center"/>
          </w:tcPr>
          <w:p w14:paraId="7A6DEA49" w14:textId="77777777" w:rsidR="00B010E6" w:rsidRPr="001B4CA2" w:rsidRDefault="00B010E6" w:rsidP="00B010E6">
            <w:pPr>
              <w:jc w:val="center"/>
              <w:rPr>
                <w:sz w:val="18"/>
                <w:szCs w:val="18"/>
              </w:rPr>
            </w:pPr>
          </w:p>
        </w:tc>
        <w:tc>
          <w:tcPr>
            <w:tcW w:w="1085" w:type="dxa"/>
            <w:tcBorders>
              <w:top w:val="nil"/>
              <w:left w:val="nil"/>
              <w:bottom w:val="single" w:sz="4" w:space="0" w:color="auto"/>
              <w:right w:val="single" w:sz="4" w:space="0" w:color="auto"/>
            </w:tcBorders>
            <w:shd w:val="clear" w:color="auto" w:fill="auto"/>
            <w:noWrap/>
            <w:vAlign w:val="center"/>
          </w:tcPr>
          <w:p w14:paraId="65C1ECA7" w14:textId="77777777" w:rsidR="00B010E6" w:rsidRPr="001B4CA2" w:rsidRDefault="00B010E6" w:rsidP="00B010E6">
            <w:pPr>
              <w:jc w:val="center"/>
              <w:rPr>
                <w:sz w:val="18"/>
                <w:szCs w:val="18"/>
              </w:rPr>
            </w:pPr>
            <w:r w:rsidRPr="001B4CA2">
              <w:rPr>
                <w:sz w:val="18"/>
                <w:szCs w:val="18"/>
              </w:rPr>
              <w:t>8</w:t>
            </w:r>
          </w:p>
        </w:tc>
        <w:tc>
          <w:tcPr>
            <w:tcW w:w="1008" w:type="dxa"/>
            <w:tcBorders>
              <w:top w:val="nil"/>
              <w:left w:val="nil"/>
              <w:bottom w:val="single" w:sz="4" w:space="0" w:color="auto"/>
              <w:right w:val="single" w:sz="4" w:space="0" w:color="auto"/>
            </w:tcBorders>
            <w:shd w:val="clear" w:color="auto" w:fill="auto"/>
            <w:noWrap/>
            <w:vAlign w:val="center"/>
          </w:tcPr>
          <w:p w14:paraId="5BA09F81" w14:textId="77777777" w:rsidR="00B010E6" w:rsidRPr="001B4CA2" w:rsidRDefault="00B010E6" w:rsidP="00B010E6">
            <w:pPr>
              <w:jc w:val="center"/>
              <w:rPr>
                <w:sz w:val="18"/>
                <w:szCs w:val="18"/>
              </w:rPr>
            </w:pPr>
            <w:r w:rsidRPr="001B4CA2">
              <w:rPr>
                <w:sz w:val="18"/>
                <w:szCs w:val="18"/>
              </w:rPr>
              <w:t>36</w:t>
            </w:r>
          </w:p>
        </w:tc>
        <w:tc>
          <w:tcPr>
            <w:tcW w:w="1084" w:type="dxa"/>
            <w:tcBorders>
              <w:top w:val="nil"/>
              <w:left w:val="nil"/>
              <w:bottom w:val="single" w:sz="4" w:space="0" w:color="auto"/>
              <w:right w:val="single" w:sz="4" w:space="0" w:color="auto"/>
            </w:tcBorders>
            <w:shd w:val="clear" w:color="auto" w:fill="auto"/>
            <w:noWrap/>
            <w:vAlign w:val="center"/>
          </w:tcPr>
          <w:p w14:paraId="3C13F3BA" w14:textId="77777777" w:rsidR="00B010E6" w:rsidRPr="001B4CA2" w:rsidRDefault="00B010E6" w:rsidP="00B010E6">
            <w:pPr>
              <w:jc w:val="center"/>
              <w:rPr>
                <w:sz w:val="18"/>
                <w:szCs w:val="18"/>
              </w:rPr>
            </w:pPr>
            <w:r w:rsidRPr="001B4CA2">
              <w:rPr>
                <w:sz w:val="18"/>
                <w:szCs w:val="18"/>
              </w:rPr>
              <w:t>21</w:t>
            </w:r>
          </w:p>
        </w:tc>
        <w:tc>
          <w:tcPr>
            <w:tcW w:w="1008" w:type="dxa"/>
            <w:tcBorders>
              <w:top w:val="nil"/>
              <w:left w:val="nil"/>
              <w:bottom w:val="single" w:sz="4" w:space="0" w:color="auto"/>
              <w:right w:val="single" w:sz="4" w:space="0" w:color="auto"/>
            </w:tcBorders>
            <w:shd w:val="clear" w:color="auto" w:fill="auto"/>
            <w:noWrap/>
            <w:vAlign w:val="center"/>
          </w:tcPr>
          <w:p w14:paraId="6479F492" w14:textId="77777777" w:rsidR="00B010E6" w:rsidRPr="001B4CA2" w:rsidRDefault="00B010E6" w:rsidP="00B010E6">
            <w:pPr>
              <w:jc w:val="center"/>
              <w:rPr>
                <w:sz w:val="18"/>
                <w:szCs w:val="18"/>
              </w:rPr>
            </w:pPr>
            <w:r w:rsidRPr="001B4CA2">
              <w:rPr>
                <w:sz w:val="18"/>
                <w:szCs w:val="18"/>
              </w:rPr>
              <w:t>6</w:t>
            </w:r>
          </w:p>
        </w:tc>
        <w:tc>
          <w:tcPr>
            <w:tcW w:w="1084" w:type="dxa"/>
            <w:tcBorders>
              <w:top w:val="nil"/>
              <w:left w:val="nil"/>
              <w:bottom w:val="single" w:sz="4" w:space="0" w:color="auto"/>
              <w:right w:val="single" w:sz="4" w:space="0" w:color="auto"/>
            </w:tcBorders>
            <w:shd w:val="clear" w:color="auto" w:fill="auto"/>
            <w:noWrap/>
            <w:vAlign w:val="center"/>
          </w:tcPr>
          <w:p w14:paraId="35A86240" w14:textId="77777777" w:rsidR="00B010E6" w:rsidRPr="001B4CA2" w:rsidRDefault="00B010E6" w:rsidP="00B010E6">
            <w:pPr>
              <w:jc w:val="center"/>
              <w:rPr>
                <w:sz w:val="18"/>
                <w:szCs w:val="18"/>
              </w:rPr>
            </w:pPr>
            <w:r w:rsidRPr="001B4CA2">
              <w:rPr>
                <w:sz w:val="18"/>
                <w:szCs w:val="18"/>
              </w:rPr>
              <w:t>3</w:t>
            </w:r>
          </w:p>
        </w:tc>
        <w:tc>
          <w:tcPr>
            <w:tcW w:w="1008" w:type="dxa"/>
            <w:tcBorders>
              <w:top w:val="nil"/>
              <w:left w:val="nil"/>
              <w:bottom w:val="single" w:sz="4" w:space="0" w:color="auto"/>
              <w:right w:val="single" w:sz="4" w:space="0" w:color="auto"/>
            </w:tcBorders>
            <w:shd w:val="clear" w:color="auto" w:fill="auto"/>
            <w:noWrap/>
            <w:vAlign w:val="center"/>
          </w:tcPr>
          <w:p w14:paraId="17CE0998"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5652C59D" w14:textId="77777777" w:rsidR="00B010E6" w:rsidRPr="001B4CA2" w:rsidRDefault="00B010E6" w:rsidP="00B010E6">
            <w:pPr>
              <w:jc w:val="center"/>
              <w:rPr>
                <w:sz w:val="18"/>
                <w:szCs w:val="18"/>
              </w:rPr>
            </w:pPr>
            <w:r w:rsidRPr="001B4CA2">
              <w:rPr>
                <w:sz w:val="18"/>
                <w:szCs w:val="18"/>
              </w:rPr>
              <w:t>23</w:t>
            </w:r>
          </w:p>
        </w:tc>
        <w:tc>
          <w:tcPr>
            <w:tcW w:w="1165" w:type="dxa"/>
            <w:tcBorders>
              <w:top w:val="nil"/>
              <w:left w:val="nil"/>
              <w:bottom w:val="single" w:sz="4" w:space="0" w:color="auto"/>
              <w:right w:val="single" w:sz="4" w:space="0" w:color="auto"/>
            </w:tcBorders>
            <w:shd w:val="clear" w:color="auto" w:fill="auto"/>
            <w:noWrap/>
            <w:vAlign w:val="center"/>
          </w:tcPr>
          <w:p w14:paraId="4073F71F" w14:textId="77777777" w:rsidR="00B010E6" w:rsidRPr="001B4CA2" w:rsidRDefault="00B010E6" w:rsidP="00B010E6">
            <w:pPr>
              <w:jc w:val="center"/>
              <w:rPr>
                <w:sz w:val="18"/>
                <w:szCs w:val="18"/>
              </w:rPr>
            </w:pPr>
            <w:r w:rsidRPr="001B4CA2">
              <w:rPr>
                <w:sz w:val="18"/>
                <w:szCs w:val="18"/>
              </w:rPr>
              <w:t>5</w:t>
            </w:r>
          </w:p>
        </w:tc>
        <w:tc>
          <w:tcPr>
            <w:tcW w:w="1084" w:type="dxa"/>
            <w:tcBorders>
              <w:top w:val="nil"/>
              <w:left w:val="nil"/>
              <w:bottom w:val="single" w:sz="4" w:space="0" w:color="auto"/>
              <w:right w:val="single" w:sz="4" w:space="0" w:color="auto"/>
            </w:tcBorders>
            <w:shd w:val="clear" w:color="auto" w:fill="auto"/>
            <w:noWrap/>
            <w:vAlign w:val="center"/>
          </w:tcPr>
          <w:p w14:paraId="3BDC26FF" w14:textId="77777777" w:rsidR="00B010E6" w:rsidRPr="001B4CA2" w:rsidRDefault="00B010E6" w:rsidP="00B010E6">
            <w:pPr>
              <w:jc w:val="center"/>
              <w:rPr>
                <w:sz w:val="18"/>
                <w:szCs w:val="18"/>
              </w:rPr>
            </w:pPr>
            <w:r w:rsidRPr="001B4CA2">
              <w:rPr>
                <w:sz w:val="18"/>
                <w:szCs w:val="18"/>
              </w:rPr>
              <w:t>51</w:t>
            </w:r>
          </w:p>
        </w:tc>
        <w:tc>
          <w:tcPr>
            <w:tcW w:w="1084" w:type="dxa"/>
            <w:tcBorders>
              <w:top w:val="nil"/>
              <w:left w:val="nil"/>
              <w:bottom w:val="single" w:sz="4" w:space="0" w:color="auto"/>
              <w:right w:val="single" w:sz="4" w:space="0" w:color="auto"/>
            </w:tcBorders>
            <w:shd w:val="clear" w:color="auto" w:fill="auto"/>
            <w:noWrap/>
            <w:vAlign w:val="center"/>
          </w:tcPr>
          <w:p w14:paraId="07D0CA19" w14:textId="77777777" w:rsidR="00B010E6" w:rsidRPr="001B4CA2" w:rsidRDefault="00B010E6" w:rsidP="00B010E6">
            <w:pPr>
              <w:jc w:val="center"/>
              <w:rPr>
                <w:sz w:val="18"/>
                <w:szCs w:val="18"/>
              </w:rPr>
            </w:pPr>
            <w:r w:rsidRPr="001B4CA2">
              <w:rPr>
                <w:sz w:val="18"/>
                <w:szCs w:val="18"/>
              </w:rPr>
              <w:t>47</w:t>
            </w:r>
          </w:p>
        </w:tc>
        <w:tc>
          <w:tcPr>
            <w:tcW w:w="1103" w:type="dxa"/>
            <w:tcBorders>
              <w:top w:val="nil"/>
              <w:left w:val="nil"/>
              <w:bottom w:val="single" w:sz="4" w:space="0" w:color="auto"/>
              <w:right w:val="single" w:sz="4" w:space="0" w:color="auto"/>
            </w:tcBorders>
            <w:shd w:val="clear" w:color="auto" w:fill="auto"/>
            <w:vAlign w:val="center"/>
          </w:tcPr>
          <w:p w14:paraId="6FE5E32B" w14:textId="77777777" w:rsidR="00B010E6" w:rsidRPr="001B4CA2" w:rsidRDefault="00B010E6" w:rsidP="00B010E6">
            <w:pPr>
              <w:jc w:val="center"/>
              <w:rPr>
                <w:sz w:val="18"/>
                <w:szCs w:val="18"/>
              </w:rPr>
            </w:pPr>
            <w:r w:rsidRPr="001B4CA2">
              <w:rPr>
                <w:sz w:val="18"/>
                <w:szCs w:val="18"/>
              </w:rPr>
              <w:t>106</w:t>
            </w:r>
          </w:p>
        </w:tc>
      </w:tr>
      <w:tr w:rsidR="00B010E6" w:rsidRPr="001B4CA2" w14:paraId="45645184"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4089ACE8" w14:textId="77777777" w:rsidR="00B010E6" w:rsidRPr="001B4CA2" w:rsidRDefault="00B010E6" w:rsidP="00B010E6">
            <w:pPr>
              <w:jc w:val="left"/>
              <w:rPr>
                <w:bCs/>
                <w:sz w:val="16"/>
                <w:szCs w:val="16"/>
                <w:lang w:eastAsia="hr-HR"/>
              </w:rPr>
            </w:pPr>
            <w:r w:rsidRPr="001B4CA2">
              <w:rPr>
                <w:bCs/>
                <w:sz w:val="16"/>
                <w:szCs w:val="16"/>
                <w:lang w:eastAsia="hr-HR"/>
              </w:rPr>
              <w:t>Ministarstvo gospodarstva i održivog razvoja</w:t>
            </w:r>
          </w:p>
        </w:tc>
        <w:tc>
          <w:tcPr>
            <w:tcW w:w="1010" w:type="dxa"/>
            <w:tcBorders>
              <w:top w:val="nil"/>
              <w:left w:val="nil"/>
              <w:bottom w:val="single" w:sz="4" w:space="0" w:color="auto"/>
              <w:right w:val="single" w:sz="4" w:space="0" w:color="auto"/>
            </w:tcBorders>
            <w:shd w:val="clear" w:color="auto" w:fill="auto"/>
            <w:noWrap/>
            <w:vAlign w:val="center"/>
          </w:tcPr>
          <w:p w14:paraId="7CBB11CD" w14:textId="77777777" w:rsidR="00B010E6" w:rsidRPr="001B4CA2" w:rsidRDefault="00B010E6" w:rsidP="00B010E6">
            <w:pPr>
              <w:jc w:val="center"/>
              <w:rPr>
                <w:sz w:val="18"/>
                <w:szCs w:val="18"/>
              </w:rPr>
            </w:pPr>
          </w:p>
        </w:tc>
        <w:tc>
          <w:tcPr>
            <w:tcW w:w="1085" w:type="dxa"/>
            <w:tcBorders>
              <w:top w:val="nil"/>
              <w:left w:val="nil"/>
              <w:bottom w:val="single" w:sz="4" w:space="0" w:color="auto"/>
              <w:right w:val="single" w:sz="4" w:space="0" w:color="auto"/>
            </w:tcBorders>
            <w:shd w:val="clear" w:color="auto" w:fill="auto"/>
            <w:noWrap/>
            <w:vAlign w:val="center"/>
          </w:tcPr>
          <w:p w14:paraId="2FA6D74A" w14:textId="77777777" w:rsidR="00B010E6" w:rsidRPr="001B4CA2" w:rsidRDefault="00B010E6" w:rsidP="00B010E6">
            <w:pPr>
              <w:jc w:val="center"/>
              <w:rPr>
                <w:sz w:val="18"/>
                <w:szCs w:val="18"/>
              </w:rPr>
            </w:pPr>
            <w:r w:rsidRPr="001B4CA2">
              <w:rPr>
                <w:sz w:val="18"/>
                <w:szCs w:val="18"/>
              </w:rPr>
              <w:t>3</w:t>
            </w:r>
          </w:p>
        </w:tc>
        <w:tc>
          <w:tcPr>
            <w:tcW w:w="1008" w:type="dxa"/>
            <w:tcBorders>
              <w:top w:val="nil"/>
              <w:left w:val="nil"/>
              <w:bottom w:val="single" w:sz="4" w:space="0" w:color="auto"/>
              <w:right w:val="single" w:sz="4" w:space="0" w:color="auto"/>
            </w:tcBorders>
            <w:shd w:val="clear" w:color="auto" w:fill="auto"/>
            <w:noWrap/>
            <w:vAlign w:val="center"/>
          </w:tcPr>
          <w:p w14:paraId="2E9E086D" w14:textId="77777777" w:rsidR="00B010E6" w:rsidRPr="001B4CA2" w:rsidRDefault="00B010E6" w:rsidP="00B010E6">
            <w:pPr>
              <w:jc w:val="center"/>
              <w:rPr>
                <w:sz w:val="18"/>
                <w:szCs w:val="18"/>
              </w:rPr>
            </w:pPr>
            <w:r w:rsidRPr="001B4CA2">
              <w:rPr>
                <w:sz w:val="18"/>
                <w:szCs w:val="18"/>
              </w:rPr>
              <w:t>54</w:t>
            </w:r>
          </w:p>
        </w:tc>
        <w:tc>
          <w:tcPr>
            <w:tcW w:w="1084" w:type="dxa"/>
            <w:tcBorders>
              <w:top w:val="nil"/>
              <w:left w:val="nil"/>
              <w:bottom w:val="single" w:sz="4" w:space="0" w:color="auto"/>
              <w:right w:val="single" w:sz="4" w:space="0" w:color="auto"/>
            </w:tcBorders>
            <w:shd w:val="clear" w:color="auto" w:fill="auto"/>
            <w:noWrap/>
            <w:vAlign w:val="center"/>
          </w:tcPr>
          <w:p w14:paraId="7FB60F91" w14:textId="77777777" w:rsidR="00B010E6" w:rsidRPr="001B4CA2" w:rsidRDefault="00B010E6" w:rsidP="00B010E6">
            <w:pPr>
              <w:jc w:val="center"/>
              <w:rPr>
                <w:sz w:val="18"/>
                <w:szCs w:val="18"/>
              </w:rPr>
            </w:pPr>
            <w:r w:rsidRPr="001B4CA2">
              <w:rPr>
                <w:sz w:val="18"/>
                <w:szCs w:val="18"/>
              </w:rPr>
              <w:t>3</w:t>
            </w:r>
          </w:p>
        </w:tc>
        <w:tc>
          <w:tcPr>
            <w:tcW w:w="1008" w:type="dxa"/>
            <w:tcBorders>
              <w:top w:val="nil"/>
              <w:left w:val="nil"/>
              <w:bottom w:val="single" w:sz="4" w:space="0" w:color="auto"/>
              <w:right w:val="single" w:sz="4" w:space="0" w:color="auto"/>
            </w:tcBorders>
            <w:shd w:val="clear" w:color="auto" w:fill="auto"/>
            <w:noWrap/>
            <w:vAlign w:val="center"/>
          </w:tcPr>
          <w:p w14:paraId="068022F1" w14:textId="77777777" w:rsidR="00B010E6" w:rsidRPr="001B4CA2" w:rsidRDefault="00B010E6" w:rsidP="00B010E6">
            <w:pPr>
              <w:jc w:val="center"/>
              <w:rPr>
                <w:sz w:val="18"/>
                <w:szCs w:val="18"/>
              </w:rPr>
            </w:pPr>
            <w:r w:rsidRPr="001B4CA2">
              <w:rPr>
                <w:sz w:val="18"/>
                <w:szCs w:val="18"/>
              </w:rPr>
              <w:t>20</w:t>
            </w:r>
          </w:p>
        </w:tc>
        <w:tc>
          <w:tcPr>
            <w:tcW w:w="1084" w:type="dxa"/>
            <w:tcBorders>
              <w:top w:val="nil"/>
              <w:left w:val="nil"/>
              <w:bottom w:val="single" w:sz="4" w:space="0" w:color="auto"/>
              <w:right w:val="single" w:sz="4" w:space="0" w:color="auto"/>
            </w:tcBorders>
            <w:shd w:val="clear" w:color="auto" w:fill="auto"/>
            <w:noWrap/>
            <w:vAlign w:val="center"/>
          </w:tcPr>
          <w:p w14:paraId="7CC9355D" w14:textId="77777777" w:rsidR="00B010E6" w:rsidRPr="001B4CA2" w:rsidRDefault="00B010E6" w:rsidP="00B010E6">
            <w:pPr>
              <w:jc w:val="center"/>
              <w:rPr>
                <w:sz w:val="18"/>
                <w:szCs w:val="18"/>
              </w:rPr>
            </w:pPr>
            <w:r w:rsidRPr="001B4CA2">
              <w:rPr>
                <w:sz w:val="18"/>
                <w:szCs w:val="18"/>
              </w:rPr>
              <w:t>4</w:t>
            </w:r>
          </w:p>
        </w:tc>
        <w:tc>
          <w:tcPr>
            <w:tcW w:w="1008" w:type="dxa"/>
            <w:tcBorders>
              <w:top w:val="nil"/>
              <w:left w:val="nil"/>
              <w:bottom w:val="single" w:sz="4" w:space="0" w:color="auto"/>
              <w:right w:val="single" w:sz="4" w:space="0" w:color="auto"/>
            </w:tcBorders>
            <w:shd w:val="clear" w:color="auto" w:fill="auto"/>
            <w:noWrap/>
            <w:vAlign w:val="center"/>
          </w:tcPr>
          <w:p w14:paraId="4E112B5E"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03B99549" w14:textId="77777777" w:rsidR="00B010E6" w:rsidRPr="001B4CA2" w:rsidRDefault="00B010E6" w:rsidP="00B010E6">
            <w:pPr>
              <w:jc w:val="center"/>
              <w:rPr>
                <w:sz w:val="18"/>
                <w:szCs w:val="18"/>
              </w:rPr>
            </w:pPr>
            <w:r w:rsidRPr="001B4CA2">
              <w:rPr>
                <w:sz w:val="18"/>
                <w:szCs w:val="18"/>
              </w:rPr>
              <w:t>1</w:t>
            </w:r>
          </w:p>
        </w:tc>
        <w:tc>
          <w:tcPr>
            <w:tcW w:w="1165" w:type="dxa"/>
            <w:tcBorders>
              <w:top w:val="nil"/>
              <w:left w:val="nil"/>
              <w:bottom w:val="single" w:sz="4" w:space="0" w:color="auto"/>
              <w:right w:val="single" w:sz="4" w:space="0" w:color="auto"/>
            </w:tcBorders>
            <w:shd w:val="clear" w:color="auto" w:fill="auto"/>
            <w:noWrap/>
            <w:vAlign w:val="center"/>
          </w:tcPr>
          <w:p w14:paraId="01A0C6B9"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0FF45956"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2C13FF94" w14:textId="77777777" w:rsidR="00B010E6" w:rsidRPr="001B4CA2" w:rsidRDefault="00B010E6" w:rsidP="00B010E6">
            <w:pPr>
              <w:jc w:val="center"/>
              <w:rPr>
                <w:sz w:val="18"/>
                <w:szCs w:val="18"/>
              </w:rPr>
            </w:pPr>
            <w:r w:rsidRPr="001B4CA2">
              <w:rPr>
                <w:sz w:val="18"/>
                <w:szCs w:val="18"/>
              </w:rPr>
              <w:t>74</w:t>
            </w:r>
          </w:p>
        </w:tc>
        <w:tc>
          <w:tcPr>
            <w:tcW w:w="1103" w:type="dxa"/>
            <w:tcBorders>
              <w:top w:val="nil"/>
              <w:left w:val="nil"/>
              <w:bottom w:val="single" w:sz="4" w:space="0" w:color="auto"/>
              <w:right w:val="single" w:sz="4" w:space="0" w:color="auto"/>
            </w:tcBorders>
            <w:shd w:val="clear" w:color="auto" w:fill="auto"/>
            <w:vAlign w:val="center"/>
          </w:tcPr>
          <w:p w14:paraId="16408CC0" w14:textId="77777777" w:rsidR="00B010E6" w:rsidRPr="001B4CA2" w:rsidRDefault="00B010E6" w:rsidP="00B010E6">
            <w:pPr>
              <w:jc w:val="center"/>
              <w:rPr>
                <w:sz w:val="18"/>
                <w:szCs w:val="18"/>
              </w:rPr>
            </w:pPr>
            <w:r w:rsidRPr="001B4CA2">
              <w:rPr>
                <w:sz w:val="18"/>
                <w:szCs w:val="18"/>
              </w:rPr>
              <w:t>11</w:t>
            </w:r>
          </w:p>
        </w:tc>
      </w:tr>
      <w:tr w:rsidR="00B010E6" w:rsidRPr="001B4CA2" w14:paraId="74D3AB3F"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34981A25" w14:textId="77777777" w:rsidR="00B010E6" w:rsidRPr="001B4CA2" w:rsidRDefault="00B010E6" w:rsidP="00B010E6">
            <w:pPr>
              <w:jc w:val="left"/>
              <w:rPr>
                <w:bCs/>
                <w:sz w:val="16"/>
                <w:szCs w:val="16"/>
                <w:lang w:eastAsia="hr-HR"/>
              </w:rPr>
            </w:pPr>
            <w:r w:rsidRPr="001B4CA2">
              <w:rPr>
                <w:bCs/>
                <w:sz w:val="16"/>
                <w:szCs w:val="16"/>
                <w:lang w:eastAsia="hr-HR"/>
              </w:rPr>
              <w:t xml:space="preserve">Ministarstvo obrane </w:t>
            </w:r>
          </w:p>
        </w:tc>
        <w:tc>
          <w:tcPr>
            <w:tcW w:w="1010" w:type="dxa"/>
            <w:tcBorders>
              <w:top w:val="nil"/>
              <w:left w:val="nil"/>
              <w:bottom w:val="single" w:sz="4" w:space="0" w:color="auto"/>
              <w:right w:val="single" w:sz="4" w:space="0" w:color="auto"/>
            </w:tcBorders>
            <w:shd w:val="clear" w:color="auto" w:fill="auto"/>
            <w:noWrap/>
            <w:vAlign w:val="center"/>
          </w:tcPr>
          <w:p w14:paraId="4A2FCFDD" w14:textId="77777777" w:rsidR="00B010E6" w:rsidRPr="001B4CA2" w:rsidRDefault="00B010E6" w:rsidP="00B010E6">
            <w:pPr>
              <w:jc w:val="center"/>
              <w:rPr>
                <w:sz w:val="18"/>
                <w:szCs w:val="18"/>
              </w:rPr>
            </w:pPr>
            <w:r w:rsidRPr="001B4CA2">
              <w:rPr>
                <w:sz w:val="18"/>
                <w:szCs w:val="18"/>
              </w:rPr>
              <w:t>22</w:t>
            </w:r>
          </w:p>
        </w:tc>
        <w:tc>
          <w:tcPr>
            <w:tcW w:w="1085" w:type="dxa"/>
            <w:tcBorders>
              <w:top w:val="nil"/>
              <w:left w:val="nil"/>
              <w:bottom w:val="single" w:sz="4" w:space="0" w:color="auto"/>
              <w:right w:val="single" w:sz="4" w:space="0" w:color="auto"/>
            </w:tcBorders>
            <w:shd w:val="clear" w:color="auto" w:fill="auto"/>
            <w:noWrap/>
            <w:vAlign w:val="center"/>
          </w:tcPr>
          <w:p w14:paraId="274623A2" w14:textId="77777777" w:rsidR="00B010E6" w:rsidRPr="001B4CA2" w:rsidRDefault="00B010E6" w:rsidP="00B010E6">
            <w:pPr>
              <w:jc w:val="center"/>
              <w:rPr>
                <w:sz w:val="18"/>
                <w:szCs w:val="18"/>
              </w:rPr>
            </w:pPr>
            <w:r w:rsidRPr="001B4CA2">
              <w:rPr>
                <w:sz w:val="18"/>
                <w:szCs w:val="18"/>
              </w:rPr>
              <w:t>4</w:t>
            </w:r>
          </w:p>
        </w:tc>
        <w:tc>
          <w:tcPr>
            <w:tcW w:w="1008" w:type="dxa"/>
            <w:tcBorders>
              <w:top w:val="nil"/>
              <w:left w:val="nil"/>
              <w:bottom w:val="single" w:sz="4" w:space="0" w:color="auto"/>
              <w:right w:val="single" w:sz="4" w:space="0" w:color="auto"/>
            </w:tcBorders>
            <w:shd w:val="clear" w:color="auto" w:fill="auto"/>
            <w:noWrap/>
            <w:vAlign w:val="center"/>
          </w:tcPr>
          <w:p w14:paraId="48D1C93B" w14:textId="77777777" w:rsidR="00B010E6" w:rsidRPr="001B4CA2" w:rsidRDefault="00B010E6" w:rsidP="00B010E6">
            <w:pPr>
              <w:jc w:val="center"/>
              <w:rPr>
                <w:sz w:val="18"/>
                <w:szCs w:val="18"/>
              </w:rPr>
            </w:pPr>
            <w:r w:rsidRPr="001B4CA2">
              <w:rPr>
                <w:sz w:val="18"/>
                <w:szCs w:val="18"/>
              </w:rPr>
              <w:t>109</w:t>
            </w:r>
          </w:p>
        </w:tc>
        <w:tc>
          <w:tcPr>
            <w:tcW w:w="1084" w:type="dxa"/>
            <w:tcBorders>
              <w:top w:val="nil"/>
              <w:left w:val="nil"/>
              <w:bottom w:val="single" w:sz="4" w:space="0" w:color="auto"/>
              <w:right w:val="single" w:sz="4" w:space="0" w:color="auto"/>
            </w:tcBorders>
            <w:shd w:val="clear" w:color="auto" w:fill="auto"/>
            <w:noWrap/>
            <w:vAlign w:val="center"/>
          </w:tcPr>
          <w:p w14:paraId="3321ABEF" w14:textId="77777777" w:rsidR="00B010E6" w:rsidRPr="001B4CA2" w:rsidRDefault="00B010E6" w:rsidP="00B010E6">
            <w:pPr>
              <w:jc w:val="center"/>
              <w:rPr>
                <w:sz w:val="18"/>
                <w:szCs w:val="18"/>
              </w:rPr>
            </w:pPr>
            <w:r w:rsidRPr="001B4CA2">
              <w:rPr>
                <w:sz w:val="18"/>
                <w:szCs w:val="18"/>
              </w:rPr>
              <w:t>32</w:t>
            </w:r>
          </w:p>
        </w:tc>
        <w:tc>
          <w:tcPr>
            <w:tcW w:w="1008" w:type="dxa"/>
            <w:tcBorders>
              <w:top w:val="nil"/>
              <w:left w:val="nil"/>
              <w:bottom w:val="single" w:sz="4" w:space="0" w:color="auto"/>
              <w:right w:val="single" w:sz="4" w:space="0" w:color="auto"/>
            </w:tcBorders>
            <w:shd w:val="clear" w:color="auto" w:fill="auto"/>
            <w:noWrap/>
            <w:vAlign w:val="center"/>
          </w:tcPr>
          <w:p w14:paraId="2DCDBEF3" w14:textId="77777777" w:rsidR="00B010E6" w:rsidRPr="001B4CA2" w:rsidRDefault="00B010E6" w:rsidP="00B010E6">
            <w:pPr>
              <w:jc w:val="center"/>
              <w:rPr>
                <w:sz w:val="18"/>
                <w:szCs w:val="18"/>
              </w:rPr>
            </w:pPr>
            <w:r w:rsidRPr="001B4CA2">
              <w:rPr>
                <w:sz w:val="18"/>
                <w:szCs w:val="18"/>
              </w:rPr>
              <w:t>17</w:t>
            </w:r>
          </w:p>
        </w:tc>
        <w:tc>
          <w:tcPr>
            <w:tcW w:w="1084" w:type="dxa"/>
            <w:tcBorders>
              <w:top w:val="nil"/>
              <w:left w:val="nil"/>
              <w:bottom w:val="single" w:sz="4" w:space="0" w:color="auto"/>
              <w:right w:val="single" w:sz="4" w:space="0" w:color="auto"/>
            </w:tcBorders>
            <w:shd w:val="clear" w:color="auto" w:fill="auto"/>
            <w:noWrap/>
            <w:vAlign w:val="center"/>
          </w:tcPr>
          <w:p w14:paraId="492342EC" w14:textId="77777777" w:rsidR="00B010E6" w:rsidRPr="001B4CA2" w:rsidRDefault="00B010E6" w:rsidP="00B010E6">
            <w:pPr>
              <w:jc w:val="center"/>
              <w:rPr>
                <w:sz w:val="18"/>
                <w:szCs w:val="18"/>
              </w:rPr>
            </w:pPr>
            <w:r w:rsidRPr="001B4CA2">
              <w:rPr>
                <w:sz w:val="18"/>
                <w:szCs w:val="18"/>
              </w:rPr>
              <w:t>17</w:t>
            </w:r>
          </w:p>
        </w:tc>
        <w:tc>
          <w:tcPr>
            <w:tcW w:w="1008" w:type="dxa"/>
            <w:tcBorders>
              <w:top w:val="nil"/>
              <w:left w:val="nil"/>
              <w:bottom w:val="single" w:sz="4" w:space="0" w:color="auto"/>
              <w:right w:val="single" w:sz="4" w:space="0" w:color="auto"/>
            </w:tcBorders>
            <w:shd w:val="clear" w:color="auto" w:fill="auto"/>
            <w:noWrap/>
            <w:vAlign w:val="center"/>
          </w:tcPr>
          <w:p w14:paraId="68CB3EFC" w14:textId="77777777" w:rsidR="00B010E6" w:rsidRPr="001B4CA2" w:rsidRDefault="00B010E6" w:rsidP="00B010E6">
            <w:pPr>
              <w:jc w:val="center"/>
              <w:rPr>
                <w:sz w:val="18"/>
                <w:szCs w:val="18"/>
              </w:rPr>
            </w:pPr>
            <w:r w:rsidRPr="001B4CA2">
              <w:rPr>
                <w:sz w:val="18"/>
                <w:szCs w:val="18"/>
              </w:rPr>
              <w:t>11</w:t>
            </w:r>
          </w:p>
        </w:tc>
        <w:tc>
          <w:tcPr>
            <w:tcW w:w="1084" w:type="dxa"/>
            <w:tcBorders>
              <w:top w:val="nil"/>
              <w:left w:val="nil"/>
              <w:bottom w:val="single" w:sz="4" w:space="0" w:color="auto"/>
              <w:right w:val="single" w:sz="4" w:space="0" w:color="auto"/>
            </w:tcBorders>
            <w:shd w:val="clear" w:color="auto" w:fill="auto"/>
            <w:noWrap/>
            <w:vAlign w:val="center"/>
          </w:tcPr>
          <w:p w14:paraId="583C2EEC" w14:textId="77777777" w:rsidR="00B010E6" w:rsidRPr="001B4CA2" w:rsidRDefault="00B010E6" w:rsidP="00B010E6">
            <w:pPr>
              <w:jc w:val="center"/>
              <w:rPr>
                <w:sz w:val="18"/>
                <w:szCs w:val="18"/>
              </w:rPr>
            </w:pPr>
            <w:r w:rsidRPr="001B4CA2">
              <w:rPr>
                <w:sz w:val="18"/>
                <w:szCs w:val="18"/>
              </w:rPr>
              <w:t>210</w:t>
            </w:r>
          </w:p>
        </w:tc>
        <w:tc>
          <w:tcPr>
            <w:tcW w:w="1165" w:type="dxa"/>
            <w:tcBorders>
              <w:top w:val="nil"/>
              <w:left w:val="nil"/>
              <w:bottom w:val="single" w:sz="4" w:space="0" w:color="auto"/>
              <w:right w:val="single" w:sz="4" w:space="0" w:color="auto"/>
            </w:tcBorders>
            <w:shd w:val="clear" w:color="auto" w:fill="auto"/>
            <w:noWrap/>
            <w:vAlign w:val="center"/>
          </w:tcPr>
          <w:p w14:paraId="17E10AB9" w14:textId="77777777" w:rsidR="00B010E6" w:rsidRPr="001B4CA2" w:rsidRDefault="00B010E6" w:rsidP="00B010E6">
            <w:pPr>
              <w:jc w:val="center"/>
              <w:rPr>
                <w:sz w:val="18"/>
                <w:szCs w:val="18"/>
              </w:rPr>
            </w:pPr>
            <w:r w:rsidRPr="001B4CA2">
              <w:rPr>
                <w:sz w:val="18"/>
                <w:szCs w:val="18"/>
              </w:rPr>
              <w:t>2</w:t>
            </w:r>
          </w:p>
        </w:tc>
        <w:tc>
          <w:tcPr>
            <w:tcW w:w="1084" w:type="dxa"/>
            <w:tcBorders>
              <w:top w:val="nil"/>
              <w:left w:val="nil"/>
              <w:bottom w:val="single" w:sz="4" w:space="0" w:color="auto"/>
              <w:right w:val="single" w:sz="4" w:space="0" w:color="auto"/>
            </w:tcBorders>
            <w:shd w:val="clear" w:color="auto" w:fill="auto"/>
            <w:noWrap/>
            <w:vAlign w:val="center"/>
          </w:tcPr>
          <w:p w14:paraId="2F651FC5" w14:textId="77777777" w:rsidR="00B010E6" w:rsidRPr="001B4CA2" w:rsidRDefault="00B010E6" w:rsidP="00B010E6">
            <w:pPr>
              <w:jc w:val="center"/>
              <w:rPr>
                <w:sz w:val="18"/>
                <w:szCs w:val="18"/>
              </w:rPr>
            </w:pPr>
            <w:r w:rsidRPr="001B4CA2">
              <w:rPr>
                <w:sz w:val="18"/>
                <w:szCs w:val="18"/>
              </w:rPr>
              <w:t>6</w:t>
            </w:r>
          </w:p>
        </w:tc>
        <w:tc>
          <w:tcPr>
            <w:tcW w:w="1084" w:type="dxa"/>
            <w:tcBorders>
              <w:top w:val="nil"/>
              <w:left w:val="nil"/>
              <w:bottom w:val="single" w:sz="4" w:space="0" w:color="auto"/>
              <w:right w:val="single" w:sz="4" w:space="0" w:color="auto"/>
            </w:tcBorders>
            <w:shd w:val="clear" w:color="auto" w:fill="auto"/>
            <w:noWrap/>
            <w:vAlign w:val="center"/>
          </w:tcPr>
          <w:p w14:paraId="558083C2" w14:textId="77777777" w:rsidR="00B010E6" w:rsidRPr="001B4CA2" w:rsidRDefault="00B010E6" w:rsidP="00B010E6">
            <w:pPr>
              <w:jc w:val="center"/>
              <w:rPr>
                <w:sz w:val="18"/>
                <w:szCs w:val="18"/>
              </w:rPr>
            </w:pPr>
            <w:r w:rsidRPr="001B4CA2">
              <w:rPr>
                <w:sz w:val="18"/>
                <w:szCs w:val="18"/>
              </w:rPr>
              <w:t>161</w:t>
            </w:r>
          </w:p>
        </w:tc>
        <w:tc>
          <w:tcPr>
            <w:tcW w:w="1103" w:type="dxa"/>
            <w:tcBorders>
              <w:top w:val="nil"/>
              <w:left w:val="nil"/>
              <w:bottom w:val="single" w:sz="4" w:space="0" w:color="auto"/>
              <w:right w:val="single" w:sz="4" w:space="0" w:color="auto"/>
            </w:tcBorders>
            <w:shd w:val="clear" w:color="auto" w:fill="auto"/>
            <w:vAlign w:val="center"/>
          </w:tcPr>
          <w:p w14:paraId="3E4B9659" w14:textId="77777777" w:rsidR="00B010E6" w:rsidRPr="001B4CA2" w:rsidRDefault="00B010E6" w:rsidP="00B010E6">
            <w:pPr>
              <w:jc w:val="center"/>
              <w:rPr>
                <w:sz w:val="18"/>
                <w:szCs w:val="18"/>
              </w:rPr>
            </w:pPr>
            <w:r w:rsidRPr="001B4CA2">
              <w:rPr>
                <w:sz w:val="18"/>
                <w:szCs w:val="18"/>
              </w:rPr>
              <w:t>269</w:t>
            </w:r>
          </w:p>
        </w:tc>
      </w:tr>
      <w:tr w:rsidR="00B010E6" w:rsidRPr="001B4CA2" w14:paraId="0702CDA7"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775D84B2" w14:textId="77777777" w:rsidR="00B010E6" w:rsidRPr="001B4CA2" w:rsidRDefault="00B010E6" w:rsidP="00B010E6">
            <w:pPr>
              <w:jc w:val="left"/>
              <w:rPr>
                <w:bCs/>
                <w:sz w:val="16"/>
                <w:szCs w:val="16"/>
                <w:lang w:eastAsia="hr-HR"/>
              </w:rPr>
            </w:pPr>
            <w:r w:rsidRPr="001B4CA2">
              <w:rPr>
                <w:bCs/>
                <w:sz w:val="16"/>
                <w:szCs w:val="16"/>
                <w:lang w:eastAsia="hr-HR"/>
              </w:rPr>
              <w:t xml:space="preserve">Ministarstvo vanjskih i europskih poslova </w:t>
            </w:r>
          </w:p>
        </w:tc>
        <w:tc>
          <w:tcPr>
            <w:tcW w:w="1010" w:type="dxa"/>
            <w:tcBorders>
              <w:top w:val="nil"/>
              <w:left w:val="nil"/>
              <w:bottom w:val="single" w:sz="4" w:space="0" w:color="auto"/>
              <w:right w:val="single" w:sz="4" w:space="0" w:color="auto"/>
            </w:tcBorders>
            <w:shd w:val="clear" w:color="auto" w:fill="auto"/>
            <w:noWrap/>
            <w:vAlign w:val="center"/>
          </w:tcPr>
          <w:p w14:paraId="59B8A7C2" w14:textId="77777777" w:rsidR="00B010E6" w:rsidRPr="001B4CA2" w:rsidRDefault="00B010E6" w:rsidP="00B010E6">
            <w:pPr>
              <w:jc w:val="center"/>
              <w:rPr>
                <w:sz w:val="18"/>
                <w:szCs w:val="18"/>
              </w:rPr>
            </w:pPr>
          </w:p>
        </w:tc>
        <w:tc>
          <w:tcPr>
            <w:tcW w:w="1085" w:type="dxa"/>
            <w:tcBorders>
              <w:top w:val="nil"/>
              <w:left w:val="nil"/>
              <w:bottom w:val="single" w:sz="4" w:space="0" w:color="auto"/>
              <w:right w:val="single" w:sz="4" w:space="0" w:color="auto"/>
            </w:tcBorders>
            <w:shd w:val="clear" w:color="auto" w:fill="auto"/>
            <w:noWrap/>
            <w:vAlign w:val="center"/>
          </w:tcPr>
          <w:p w14:paraId="1C08AA80"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1381AEFE"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71230C7B"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68A2AC17"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43B0CD4A"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70C06F0A"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2170C6B3" w14:textId="77777777" w:rsidR="00B010E6" w:rsidRPr="001B4CA2" w:rsidRDefault="00B010E6" w:rsidP="00B010E6">
            <w:pPr>
              <w:jc w:val="center"/>
              <w:rPr>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7E838270"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162FF27C"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487632D2" w14:textId="77777777" w:rsidR="00B010E6" w:rsidRPr="001B4CA2" w:rsidRDefault="00B010E6" w:rsidP="00B010E6">
            <w:pPr>
              <w:jc w:val="center"/>
              <w:rPr>
                <w:sz w:val="18"/>
                <w:szCs w:val="18"/>
              </w:rPr>
            </w:pPr>
          </w:p>
        </w:tc>
        <w:tc>
          <w:tcPr>
            <w:tcW w:w="1103" w:type="dxa"/>
            <w:tcBorders>
              <w:top w:val="nil"/>
              <w:left w:val="nil"/>
              <w:bottom w:val="single" w:sz="4" w:space="0" w:color="auto"/>
              <w:right w:val="single" w:sz="4" w:space="0" w:color="auto"/>
            </w:tcBorders>
            <w:shd w:val="clear" w:color="auto" w:fill="auto"/>
            <w:vAlign w:val="center"/>
          </w:tcPr>
          <w:p w14:paraId="79888FD5" w14:textId="77777777" w:rsidR="00B010E6" w:rsidRPr="001B4CA2" w:rsidRDefault="00B010E6" w:rsidP="00B010E6">
            <w:pPr>
              <w:jc w:val="center"/>
              <w:rPr>
                <w:sz w:val="18"/>
                <w:szCs w:val="18"/>
              </w:rPr>
            </w:pPr>
          </w:p>
        </w:tc>
      </w:tr>
      <w:tr w:rsidR="00B010E6" w:rsidRPr="001B4CA2" w14:paraId="5A32D722"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1198291B" w14:textId="77777777" w:rsidR="00B010E6" w:rsidRPr="001B4CA2" w:rsidRDefault="00B010E6" w:rsidP="00B010E6">
            <w:pPr>
              <w:jc w:val="left"/>
              <w:rPr>
                <w:bCs/>
                <w:sz w:val="16"/>
                <w:szCs w:val="16"/>
                <w:lang w:eastAsia="hr-HR"/>
              </w:rPr>
            </w:pPr>
            <w:r w:rsidRPr="001B4CA2">
              <w:rPr>
                <w:bCs/>
                <w:sz w:val="16"/>
                <w:szCs w:val="16"/>
                <w:lang w:eastAsia="hr-HR"/>
              </w:rPr>
              <w:t>Ministarstvo mora, prometa i infrastrukture</w:t>
            </w:r>
          </w:p>
        </w:tc>
        <w:tc>
          <w:tcPr>
            <w:tcW w:w="1010" w:type="dxa"/>
            <w:tcBorders>
              <w:top w:val="nil"/>
              <w:left w:val="nil"/>
              <w:bottom w:val="single" w:sz="4" w:space="0" w:color="auto"/>
              <w:right w:val="single" w:sz="4" w:space="0" w:color="auto"/>
            </w:tcBorders>
            <w:shd w:val="clear" w:color="auto" w:fill="auto"/>
            <w:noWrap/>
            <w:vAlign w:val="center"/>
          </w:tcPr>
          <w:p w14:paraId="156DB572" w14:textId="77777777" w:rsidR="00B010E6" w:rsidRPr="001B4CA2" w:rsidRDefault="00B010E6" w:rsidP="00B010E6">
            <w:pPr>
              <w:jc w:val="center"/>
              <w:rPr>
                <w:sz w:val="18"/>
                <w:szCs w:val="18"/>
              </w:rPr>
            </w:pPr>
            <w:r w:rsidRPr="001B4CA2">
              <w:rPr>
                <w:sz w:val="18"/>
                <w:szCs w:val="18"/>
              </w:rPr>
              <w:t>19</w:t>
            </w:r>
          </w:p>
        </w:tc>
        <w:tc>
          <w:tcPr>
            <w:tcW w:w="1085" w:type="dxa"/>
            <w:tcBorders>
              <w:top w:val="nil"/>
              <w:left w:val="nil"/>
              <w:bottom w:val="single" w:sz="4" w:space="0" w:color="auto"/>
              <w:right w:val="single" w:sz="4" w:space="0" w:color="auto"/>
            </w:tcBorders>
            <w:shd w:val="clear" w:color="auto" w:fill="auto"/>
            <w:noWrap/>
            <w:vAlign w:val="center"/>
          </w:tcPr>
          <w:p w14:paraId="2CD69894" w14:textId="77777777" w:rsidR="00B010E6" w:rsidRPr="001B4CA2" w:rsidRDefault="00B010E6" w:rsidP="00B010E6">
            <w:pPr>
              <w:jc w:val="center"/>
              <w:rPr>
                <w:sz w:val="18"/>
                <w:szCs w:val="18"/>
              </w:rPr>
            </w:pPr>
            <w:r w:rsidRPr="001B4CA2">
              <w:rPr>
                <w:sz w:val="18"/>
                <w:szCs w:val="18"/>
              </w:rPr>
              <w:t>8</w:t>
            </w:r>
          </w:p>
        </w:tc>
        <w:tc>
          <w:tcPr>
            <w:tcW w:w="1008" w:type="dxa"/>
            <w:tcBorders>
              <w:top w:val="nil"/>
              <w:left w:val="nil"/>
              <w:bottom w:val="single" w:sz="4" w:space="0" w:color="auto"/>
              <w:right w:val="single" w:sz="4" w:space="0" w:color="auto"/>
            </w:tcBorders>
            <w:shd w:val="clear" w:color="auto" w:fill="auto"/>
            <w:noWrap/>
            <w:vAlign w:val="center"/>
          </w:tcPr>
          <w:p w14:paraId="3FA82827" w14:textId="77777777" w:rsidR="00B010E6" w:rsidRPr="001B4CA2" w:rsidRDefault="00B010E6" w:rsidP="00B010E6">
            <w:pPr>
              <w:jc w:val="center"/>
              <w:rPr>
                <w:sz w:val="18"/>
                <w:szCs w:val="18"/>
              </w:rPr>
            </w:pPr>
            <w:r w:rsidRPr="001B4CA2">
              <w:rPr>
                <w:sz w:val="18"/>
                <w:szCs w:val="18"/>
              </w:rPr>
              <w:t>1</w:t>
            </w:r>
          </w:p>
        </w:tc>
        <w:tc>
          <w:tcPr>
            <w:tcW w:w="1084" w:type="dxa"/>
            <w:tcBorders>
              <w:top w:val="nil"/>
              <w:left w:val="nil"/>
              <w:bottom w:val="single" w:sz="4" w:space="0" w:color="auto"/>
              <w:right w:val="single" w:sz="4" w:space="0" w:color="auto"/>
            </w:tcBorders>
            <w:shd w:val="clear" w:color="auto" w:fill="auto"/>
            <w:noWrap/>
            <w:vAlign w:val="center"/>
          </w:tcPr>
          <w:p w14:paraId="31193776" w14:textId="77777777" w:rsidR="00B010E6" w:rsidRPr="001B4CA2" w:rsidRDefault="00B010E6" w:rsidP="00B010E6">
            <w:pPr>
              <w:jc w:val="center"/>
              <w:rPr>
                <w:sz w:val="18"/>
                <w:szCs w:val="18"/>
              </w:rPr>
            </w:pPr>
            <w:r w:rsidRPr="001B4CA2">
              <w:rPr>
                <w:sz w:val="18"/>
                <w:szCs w:val="18"/>
              </w:rPr>
              <w:t>3</w:t>
            </w:r>
          </w:p>
        </w:tc>
        <w:tc>
          <w:tcPr>
            <w:tcW w:w="1008" w:type="dxa"/>
            <w:tcBorders>
              <w:top w:val="nil"/>
              <w:left w:val="nil"/>
              <w:bottom w:val="single" w:sz="4" w:space="0" w:color="auto"/>
              <w:right w:val="single" w:sz="4" w:space="0" w:color="auto"/>
            </w:tcBorders>
            <w:shd w:val="clear" w:color="auto" w:fill="auto"/>
            <w:noWrap/>
            <w:vAlign w:val="center"/>
          </w:tcPr>
          <w:p w14:paraId="2F7174CC"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2E9A822A"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788046BE"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6C26DDC8" w14:textId="77777777" w:rsidR="00B010E6" w:rsidRPr="001B4CA2" w:rsidRDefault="00B010E6" w:rsidP="00B010E6">
            <w:pPr>
              <w:jc w:val="center"/>
              <w:rPr>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2A173E1D"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58B6AD22"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731CDFF1" w14:textId="77777777" w:rsidR="00B010E6" w:rsidRPr="001B4CA2" w:rsidRDefault="00B010E6" w:rsidP="00B010E6">
            <w:pPr>
              <w:jc w:val="center"/>
              <w:rPr>
                <w:sz w:val="18"/>
                <w:szCs w:val="18"/>
              </w:rPr>
            </w:pPr>
            <w:r w:rsidRPr="001B4CA2">
              <w:rPr>
                <w:sz w:val="18"/>
                <w:szCs w:val="18"/>
              </w:rPr>
              <w:t>20</w:t>
            </w:r>
          </w:p>
        </w:tc>
        <w:tc>
          <w:tcPr>
            <w:tcW w:w="1103" w:type="dxa"/>
            <w:tcBorders>
              <w:top w:val="nil"/>
              <w:left w:val="nil"/>
              <w:bottom w:val="single" w:sz="4" w:space="0" w:color="auto"/>
              <w:right w:val="single" w:sz="4" w:space="0" w:color="auto"/>
            </w:tcBorders>
            <w:shd w:val="clear" w:color="auto" w:fill="auto"/>
            <w:vAlign w:val="center"/>
          </w:tcPr>
          <w:p w14:paraId="35C824A6" w14:textId="77777777" w:rsidR="00B010E6" w:rsidRPr="001B4CA2" w:rsidRDefault="00B010E6" w:rsidP="00B010E6">
            <w:pPr>
              <w:jc w:val="center"/>
              <w:rPr>
                <w:sz w:val="18"/>
                <w:szCs w:val="18"/>
              </w:rPr>
            </w:pPr>
            <w:r w:rsidRPr="001B4CA2">
              <w:rPr>
                <w:sz w:val="18"/>
                <w:szCs w:val="18"/>
              </w:rPr>
              <w:t>11</w:t>
            </w:r>
          </w:p>
        </w:tc>
      </w:tr>
      <w:tr w:rsidR="00B010E6" w:rsidRPr="001B4CA2" w14:paraId="7D053F69"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6B742398" w14:textId="77777777" w:rsidR="00B010E6" w:rsidRPr="001B4CA2" w:rsidRDefault="00B010E6" w:rsidP="00B010E6">
            <w:pPr>
              <w:jc w:val="left"/>
              <w:rPr>
                <w:bCs/>
                <w:sz w:val="16"/>
                <w:szCs w:val="16"/>
                <w:lang w:eastAsia="hr-HR"/>
              </w:rPr>
            </w:pPr>
            <w:r w:rsidRPr="001B4CA2">
              <w:rPr>
                <w:bCs/>
                <w:sz w:val="16"/>
                <w:szCs w:val="16"/>
                <w:lang w:eastAsia="hr-HR"/>
              </w:rPr>
              <w:t>Ministarstvo poljoprivrede</w:t>
            </w:r>
          </w:p>
        </w:tc>
        <w:tc>
          <w:tcPr>
            <w:tcW w:w="1010" w:type="dxa"/>
            <w:tcBorders>
              <w:top w:val="nil"/>
              <w:left w:val="nil"/>
              <w:bottom w:val="single" w:sz="4" w:space="0" w:color="auto"/>
              <w:right w:val="single" w:sz="4" w:space="0" w:color="auto"/>
            </w:tcBorders>
            <w:shd w:val="clear" w:color="auto" w:fill="auto"/>
            <w:noWrap/>
            <w:vAlign w:val="center"/>
          </w:tcPr>
          <w:p w14:paraId="61865BCD" w14:textId="77777777" w:rsidR="00B010E6" w:rsidRPr="001B4CA2" w:rsidRDefault="00B010E6" w:rsidP="00B010E6">
            <w:pPr>
              <w:jc w:val="center"/>
              <w:rPr>
                <w:sz w:val="18"/>
                <w:szCs w:val="18"/>
              </w:rPr>
            </w:pPr>
            <w:r w:rsidRPr="001B4CA2">
              <w:rPr>
                <w:sz w:val="18"/>
                <w:szCs w:val="18"/>
              </w:rPr>
              <w:t>147</w:t>
            </w:r>
          </w:p>
        </w:tc>
        <w:tc>
          <w:tcPr>
            <w:tcW w:w="1085" w:type="dxa"/>
            <w:tcBorders>
              <w:top w:val="nil"/>
              <w:left w:val="nil"/>
              <w:bottom w:val="single" w:sz="4" w:space="0" w:color="auto"/>
              <w:right w:val="single" w:sz="4" w:space="0" w:color="auto"/>
            </w:tcBorders>
            <w:shd w:val="clear" w:color="auto" w:fill="auto"/>
            <w:noWrap/>
            <w:vAlign w:val="center"/>
          </w:tcPr>
          <w:p w14:paraId="7A7CC2BA" w14:textId="77777777" w:rsidR="00B010E6" w:rsidRPr="001B4CA2" w:rsidRDefault="00B010E6" w:rsidP="00B010E6">
            <w:pPr>
              <w:jc w:val="center"/>
              <w:rPr>
                <w:sz w:val="18"/>
                <w:szCs w:val="18"/>
              </w:rPr>
            </w:pPr>
            <w:r w:rsidRPr="001B4CA2">
              <w:rPr>
                <w:sz w:val="18"/>
                <w:szCs w:val="18"/>
              </w:rPr>
              <w:t>354</w:t>
            </w:r>
          </w:p>
        </w:tc>
        <w:tc>
          <w:tcPr>
            <w:tcW w:w="1008" w:type="dxa"/>
            <w:tcBorders>
              <w:top w:val="nil"/>
              <w:left w:val="nil"/>
              <w:bottom w:val="single" w:sz="4" w:space="0" w:color="auto"/>
              <w:right w:val="single" w:sz="4" w:space="0" w:color="auto"/>
            </w:tcBorders>
            <w:shd w:val="clear" w:color="auto" w:fill="auto"/>
            <w:noWrap/>
            <w:vAlign w:val="center"/>
          </w:tcPr>
          <w:p w14:paraId="1F47520F" w14:textId="77777777" w:rsidR="00B010E6" w:rsidRPr="001B4CA2" w:rsidRDefault="00B010E6" w:rsidP="00B010E6">
            <w:pPr>
              <w:jc w:val="center"/>
              <w:rPr>
                <w:sz w:val="18"/>
                <w:szCs w:val="18"/>
              </w:rPr>
            </w:pPr>
            <w:r w:rsidRPr="001B4CA2">
              <w:rPr>
                <w:sz w:val="18"/>
                <w:szCs w:val="18"/>
              </w:rPr>
              <w:t>57</w:t>
            </w:r>
          </w:p>
        </w:tc>
        <w:tc>
          <w:tcPr>
            <w:tcW w:w="1084" w:type="dxa"/>
            <w:tcBorders>
              <w:top w:val="nil"/>
              <w:left w:val="nil"/>
              <w:bottom w:val="single" w:sz="4" w:space="0" w:color="auto"/>
              <w:right w:val="single" w:sz="4" w:space="0" w:color="auto"/>
            </w:tcBorders>
            <w:shd w:val="clear" w:color="auto" w:fill="auto"/>
            <w:noWrap/>
            <w:vAlign w:val="center"/>
          </w:tcPr>
          <w:p w14:paraId="0E23BFED" w14:textId="77777777" w:rsidR="00B010E6" w:rsidRPr="001B4CA2" w:rsidRDefault="00B010E6" w:rsidP="00B010E6">
            <w:pPr>
              <w:jc w:val="center"/>
              <w:rPr>
                <w:sz w:val="18"/>
                <w:szCs w:val="18"/>
              </w:rPr>
            </w:pPr>
            <w:r w:rsidRPr="001B4CA2">
              <w:rPr>
                <w:sz w:val="18"/>
                <w:szCs w:val="18"/>
              </w:rPr>
              <w:t>11</w:t>
            </w:r>
          </w:p>
        </w:tc>
        <w:tc>
          <w:tcPr>
            <w:tcW w:w="1008" w:type="dxa"/>
            <w:tcBorders>
              <w:top w:val="nil"/>
              <w:left w:val="nil"/>
              <w:bottom w:val="single" w:sz="4" w:space="0" w:color="auto"/>
              <w:right w:val="single" w:sz="4" w:space="0" w:color="auto"/>
            </w:tcBorders>
            <w:shd w:val="clear" w:color="auto" w:fill="auto"/>
            <w:noWrap/>
            <w:vAlign w:val="center"/>
          </w:tcPr>
          <w:p w14:paraId="0C869C9A" w14:textId="77777777" w:rsidR="00B010E6" w:rsidRPr="001B4CA2" w:rsidRDefault="00B010E6" w:rsidP="00B010E6">
            <w:pPr>
              <w:jc w:val="center"/>
              <w:rPr>
                <w:sz w:val="18"/>
                <w:szCs w:val="18"/>
              </w:rPr>
            </w:pPr>
            <w:r w:rsidRPr="001B4CA2">
              <w:rPr>
                <w:sz w:val="18"/>
                <w:szCs w:val="18"/>
              </w:rPr>
              <w:t>3</w:t>
            </w:r>
          </w:p>
        </w:tc>
        <w:tc>
          <w:tcPr>
            <w:tcW w:w="1084" w:type="dxa"/>
            <w:tcBorders>
              <w:top w:val="nil"/>
              <w:left w:val="nil"/>
              <w:bottom w:val="single" w:sz="4" w:space="0" w:color="auto"/>
              <w:right w:val="single" w:sz="4" w:space="0" w:color="auto"/>
            </w:tcBorders>
            <w:shd w:val="clear" w:color="auto" w:fill="auto"/>
            <w:noWrap/>
            <w:vAlign w:val="center"/>
          </w:tcPr>
          <w:p w14:paraId="23326796" w14:textId="77777777" w:rsidR="00B010E6" w:rsidRPr="001B4CA2" w:rsidRDefault="00B010E6" w:rsidP="00B010E6">
            <w:pPr>
              <w:jc w:val="center"/>
              <w:rPr>
                <w:sz w:val="18"/>
                <w:szCs w:val="18"/>
              </w:rPr>
            </w:pPr>
            <w:r w:rsidRPr="001B4CA2">
              <w:rPr>
                <w:sz w:val="18"/>
                <w:szCs w:val="18"/>
              </w:rPr>
              <w:t>6</w:t>
            </w:r>
          </w:p>
        </w:tc>
        <w:tc>
          <w:tcPr>
            <w:tcW w:w="1008" w:type="dxa"/>
            <w:tcBorders>
              <w:top w:val="nil"/>
              <w:left w:val="nil"/>
              <w:bottom w:val="single" w:sz="4" w:space="0" w:color="auto"/>
              <w:right w:val="single" w:sz="4" w:space="0" w:color="auto"/>
            </w:tcBorders>
            <w:shd w:val="clear" w:color="auto" w:fill="auto"/>
            <w:noWrap/>
            <w:vAlign w:val="center"/>
          </w:tcPr>
          <w:p w14:paraId="5FBC9C57"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61C68DF2" w14:textId="77777777" w:rsidR="00B010E6" w:rsidRPr="001B4CA2" w:rsidRDefault="00B010E6" w:rsidP="00B010E6">
            <w:pPr>
              <w:jc w:val="center"/>
              <w:rPr>
                <w:sz w:val="18"/>
                <w:szCs w:val="18"/>
              </w:rPr>
            </w:pPr>
            <w:r w:rsidRPr="001B4CA2">
              <w:rPr>
                <w:sz w:val="18"/>
                <w:szCs w:val="18"/>
              </w:rPr>
              <w:t>4</w:t>
            </w:r>
          </w:p>
        </w:tc>
        <w:tc>
          <w:tcPr>
            <w:tcW w:w="1165" w:type="dxa"/>
            <w:tcBorders>
              <w:top w:val="nil"/>
              <w:left w:val="nil"/>
              <w:bottom w:val="single" w:sz="4" w:space="0" w:color="auto"/>
              <w:right w:val="single" w:sz="4" w:space="0" w:color="auto"/>
            </w:tcBorders>
            <w:shd w:val="clear" w:color="auto" w:fill="auto"/>
            <w:noWrap/>
            <w:vAlign w:val="center"/>
          </w:tcPr>
          <w:p w14:paraId="19405CAD"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55301191" w14:textId="77777777" w:rsidR="00B010E6" w:rsidRPr="001B4CA2" w:rsidRDefault="00B010E6" w:rsidP="00B010E6">
            <w:pPr>
              <w:jc w:val="center"/>
              <w:rPr>
                <w:sz w:val="18"/>
                <w:szCs w:val="18"/>
              </w:rPr>
            </w:pPr>
            <w:r w:rsidRPr="001B4CA2">
              <w:rPr>
                <w:sz w:val="18"/>
                <w:szCs w:val="18"/>
              </w:rPr>
              <w:t>4</w:t>
            </w:r>
          </w:p>
        </w:tc>
        <w:tc>
          <w:tcPr>
            <w:tcW w:w="1084" w:type="dxa"/>
            <w:tcBorders>
              <w:top w:val="nil"/>
              <w:left w:val="nil"/>
              <w:bottom w:val="single" w:sz="4" w:space="0" w:color="auto"/>
              <w:right w:val="single" w:sz="4" w:space="0" w:color="auto"/>
            </w:tcBorders>
            <w:shd w:val="clear" w:color="auto" w:fill="auto"/>
            <w:noWrap/>
            <w:vAlign w:val="center"/>
          </w:tcPr>
          <w:p w14:paraId="301ED4C6" w14:textId="77777777" w:rsidR="00B010E6" w:rsidRPr="001B4CA2" w:rsidRDefault="00B010E6" w:rsidP="00B010E6">
            <w:pPr>
              <w:jc w:val="center"/>
              <w:rPr>
                <w:sz w:val="18"/>
                <w:szCs w:val="18"/>
              </w:rPr>
            </w:pPr>
            <w:r w:rsidRPr="001B4CA2">
              <w:rPr>
                <w:sz w:val="18"/>
                <w:szCs w:val="18"/>
              </w:rPr>
              <w:t>207</w:t>
            </w:r>
          </w:p>
        </w:tc>
        <w:tc>
          <w:tcPr>
            <w:tcW w:w="1103" w:type="dxa"/>
            <w:tcBorders>
              <w:top w:val="nil"/>
              <w:left w:val="nil"/>
              <w:bottom w:val="single" w:sz="4" w:space="0" w:color="auto"/>
              <w:right w:val="single" w:sz="4" w:space="0" w:color="auto"/>
            </w:tcBorders>
            <w:shd w:val="clear" w:color="auto" w:fill="auto"/>
            <w:vAlign w:val="center"/>
          </w:tcPr>
          <w:p w14:paraId="29D57564" w14:textId="77777777" w:rsidR="00B010E6" w:rsidRPr="001B4CA2" w:rsidRDefault="00B010E6" w:rsidP="00B010E6">
            <w:pPr>
              <w:jc w:val="center"/>
              <w:rPr>
                <w:sz w:val="18"/>
                <w:szCs w:val="18"/>
              </w:rPr>
            </w:pPr>
            <w:r w:rsidRPr="001B4CA2">
              <w:rPr>
                <w:sz w:val="18"/>
                <w:szCs w:val="18"/>
              </w:rPr>
              <w:t>379</w:t>
            </w:r>
          </w:p>
        </w:tc>
      </w:tr>
      <w:tr w:rsidR="00B010E6" w:rsidRPr="001B4CA2" w14:paraId="5819B758"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4D5EA74A" w14:textId="77777777" w:rsidR="00B010E6" w:rsidRPr="001B4CA2" w:rsidRDefault="00B010E6" w:rsidP="00B010E6">
            <w:pPr>
              <w:jc w:val="left"/>
              <w:rPr>
                <w:bCs/>
                <w:sz w:val="16"/>
                <w:szCs w:val="16"/>
                <w:lang w:eastAsia="hr-HR"/>
              </w:rPr>
            </w:pPr>
            <w:r w:rsidRPr="001B4CA2">
              <w:rPr>
                <w:bCs/>
                <w:sz w:val="16"/>
                <w:szCs w:val="16"/>
                <w:lang w:eastAsia="hr-HR"/>
              </w:rPr>
              <w:t>Ministarstvo turizma i sporta</w:t>
            </w:r>
          </w:p>
        </w:tc>
        <w:tc>
          <w:tcPr>
            <w:tcW w:w="1010" w:type="dxa"/>
            <w:tcBorders>
              <w:top w:val="nil"/>
              <w:left w:val="nil"/>
              <w:bottom w:val="single" w:sz="4" w:space="0" w:color="auto"/>
              <w:right w:val="single" w:sz="4" w:space="0" w:color="auto"/>
            </w:tcBorders>
            <w:shd w:val="clear" w:color="auto" w:fill="auto"/>
            <w:noWrap/>
            <w:vAlign w:val="center"/>
          </w:tcPr>
          <w:p w14:paraId="43449D5F" w14:textId="77777777" w:rsidR="00B010E6" w:rsidRPr="001B4CA2" w:rsidRDefault="00B010E6" w:rsidP="00B010E6">
            <w:pPr>
              <w:jc w:val="center"/>
              <w:rPr>
                <w:sz w:val="18"/>
                <w:szCs w:val="18"/>
              </w:rPr>
            </w:pPr>
          </w:p>
        </w:tc>
        <w:tc>
          <w:tcPr>
            <w:tcW w:w="1085" w:type="dxa"/>
            <w:tcBorders>
              <w:top w:val="nil"/>
              <w:left w:val="nil"/>
              <w:bottom w:val="single" w:sz="4" w:space="0" w:color="auto"/>
              <w:right w:val="single" w:sz="4" w:space="0" w:color="auto"/>
            </w:tcBorders>
            <w:shd w:val="clear" w:color="auto" w:fill="auto"/>
            <w:noWrap/>
            <w:vAlign w:val="center"/>
          </w:tcPr>
          <w:p w14:paraId="3A561709"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13BE7FBA"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0E36B2AD"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637161D9"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0FC3BB38" w14:textId="77777777" w:rsidR="00B010E6" w:rsidRPr="001B4CA2" w:rsidRDefault="00B010E6" w:rsidP="00B010E6">
            <w:pPr>
              <w:jc w:val="center"/>
              <w:rPr>
                <w:sz w:val="18"/>
                <w:szCs w:val="18"/>
              </w:rPr>
            </w:pPr>
            <w:r w:rsidRPr="001B4CA2">
              <w:rPr>
                <w:sz w:val="18"/>
                <w:szCs w:val="18"/>
              </w:rPr>
              <w:t>1</w:t>
            </w:r>
          </w:p>
        </w:tc>
        <w:tc>
          <w:tcPr>
            <w:tcW w:w="1008" w:type="dxa"/>
            <w:tcBorders>
              <w:top w:val="nil"/>
              <w:left w:val="nil"/>
              <w:bottom w:val="single" w:sz="4" w:space="0" w:color="auto"/>
              <w:right w:val="single" w:sz="4" w:space="0" w:color="auto"/>
            </w:tcBorders>
            <w:shd w:val="clear" w:color="auto" w:fill="auto"/>
            <w:noWrap/>
            <w:vAlign w:val="center"/>
          </w:tcPr>
          <w:p w14:paraId="62F210B5"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7B77E6E3" w14:textId="77777777" w:rsidR="00B010E6" w:rsidRPr="001B4CA2" w:rsidRDefault="00B010E6" w:rsidP="00B010E6">
            <w:pPr>
              <w:jc w:val="center"/>
              <w:rPr>
                <w:sz w:val="18"/>
                <w:szCs w:val="18"/>
              </w:rPr>
            </w:pPr>
            <w:r w:rsidRPr="001B4CA2">
              <w:rPr>
                <w:sz w:val="18"/>
                <w:szCs w:val="18"/>
              </w:rPr>
              <w:t>0</w:t>
            </w:r>
          </w:p>
        </w:tc>
        <w:tc>
          <w:tcPr>
            <w:tcW w:w="1165" w:type="dxa"/>
            <w:tcBorders>
              <w:top w:val="nil"/>
              <w:left w:val="nil"/>
              <w:bottom w:val="single" w:sz="4" w:space="0" w:color="auto"/>
              <w:right w:val="single" w:sz="4" w:space="0" w:color="auto"/>
            </w:tcBorders>
            <w:shd w:val="clear" w:color="auto" w:fill="auto"/>
            <w:noWrap/>
            <w:vAlign w:val="center"/>
          </w:tcPr>
          <w:p w14:paraId="41E18B53"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04AAC88C"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26DC4AB9" w14:textId="77777777" w:rsidR="00B010E6" w:rsidRPr="001B4CA2" w:rsidRDefault="00B010E6" w:rsidP="00B010E6">
            <w:pPr>
              <w:jc w:val="center"/>
              <w:rPr>
                <w:sz w:val="18"/>
                <w:szCs w:val="18"/>
              </w:rPr>
            </w:pPr>
          </w:p>
        </w:tc>
        <w:tc>
          <w:tcPr>
            <w:tcW w:w="1103" w:type="dxa"/>
            <w:tcBorders>
              <w:top w:val="nil"/>
              <w:left w:val="nil"/>
              <w:bottom w:val="single" w:sz="4" w:space="0" w:color="auto"/>
              <w:right w:val="single" w:sz="4" w:space="0" w:color="auto"/>
            </w:tcBorders>
            <w:shd w:val="clear" w:color="auto" w:fill="auto"/>
            <w:vAlign w:val="center"/>
          </w:tcPr>
          <w:p w14:paraId="6C2B66F5" w14:textId="77777777" w:rsidR="00B010E6" w:rsidRPr="001B4CA2" w:rsidRDefault="00B010E6" w:rsidP="00B010E6">
            <w:pPr>
              <w:jc w:val="center"/>
              <w:rPr>
                <w:sz w:val="18"/>
                <w:szCs w:val="18"/>
              </w:rPr>
            </w:pPr>
            <w:r w:rsidRPr="001B4CA2">
              <w:rPr>
                <w:sz w:val="18"/>
                <w:szCs w:val="18"/>
              </w:rPr>
              <w:t>1</w:t>
            </w:r>
          </w:p>
        </w:tc>
      </w:tr>
      <w:tr w:rsidR="00B010E6" w:rsidRPr="001B4CA2" w14:paraId="411141EE"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6D9B8C00" w14:textId="77777777" w:rsidR="00B010E6" w:rsidRPr="001B4CA2" w:rsidRDefault="00B010E6" w:rsidP="00B010E6">
            <w:pPr>
              <w:jc w:val="left"/>
              <w:rPr>
                <w:bCs/>
                <w:sz w:val="16"/>
                <w:szCs w:val="16"/>
                <w:lang w:eastAsia="hr-HR"/>
              </w:rPr>
            </w:pPr>
            <w:r w:rsidRPr="001B4CA2">
              <w:rPr>
                <w:bCs/>
                <w:sz w:val="16"/>
                <w:szCs w:val="16"/>
                <w:lang w:eastAsia="hr-HR"/>
              </w:rPr>
              <w:t xml:space="preserve">Ministarstvo znanosti i obrazovanja </w:t>
            </w:r>
          </w:p>
        </w:tc>
        <w:tc>
          <w:tcPr>
            <w:tcW w:w="1010" w:type="dxa"/>
            <w:tcBorders>
              <w:top w:val="nil"/>
              <w:left w:val="nil"/>
              <w:bottom w:val="single" w:sz="4" w:space="0" w:color="auto"/>
              <w:right w:val="single" w:sz="4" w:space="0" w:color="auto"/>
            </w:tcBorders>
            <w:shd w:val="clear" w:color="auto" w:fill="auto"/>
            <w:noWrap/>
            <w:vAlign w:val="center"/>
          </w:tcPr>
          <w:p w14:paraId="0356BE76" w14:textId="77777777" w:rsidR="00B010E6" w:rsidRPr="001B4CA2" w:rsidRDefault="00B010E6" w:rsidP="00B010E6">
            <w:pPr>
              <w:jc w:val="center"/>
              <w:rPr>
                <w:sz w:val="18"/>
                <w:szCs w:val="18"/>
              </w:rPr>
            </w:pPr>
          </w:p>
        </w:tc>
        <w:tc>
          <w:tcPr>
            <w:tcW w:w="1085" w:type="dxa"/>
            <w:tcBorders>
              <w:top w:val="nil"/>
              <w:left w:val="nil"/>
              <w:bottom w:val="single" w:sz="4" w:space="0" w:color="auto"/>
              <w:right w:val="single" w:sz="4" w:space="0" w:color="auto"/>
            </w:tcBorders>
            <w:shd w:val="clear" w:color="auto" w:fill="auto"/>
            <w:noWrap/>
            <w:vAlign w:val="center"/>
          </w:tcPr>
          <w:p w14:paraId="31D55C0E"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61395ED9" w14:textId="77777777" w:rsidR="00B010E6" w:rsidRPr="001B4CA2" w:rsidRDefault="00B010E6" w:rsidP="00B010E6">
            <w:pPr>
              <w:jc w:val="center"/>
              <w:rPr>
                <w:sz w:val="18"/>
                <w:szCs w:val="18"/>
              </w:rPr>
            </w:pPr>
            <w:r w:rsidRPr="001B4CA2">
              <w:rPr>
                <w:sz w:val="18"/>
                <w:szCs w:val="18"/>
              </w:rPr>
              <w:t>6</w:t>
            </w:r>
          </w:p>
        </w:tc>
        <w:tc>
          <w:tcPr>
            <w:tcW w:w="1084" w:type="dxa"/>
            <w:tcBorders>
              <w:top w:val="nil"/>
              <w:left w:val="nil"/>
              <w:bottom w:val="single" w:sz="4" w:space="0" w:color="auto"/>
              <w:right w:val="single" w:sz="4" w:space="0" w:color="auto"/>
            </w:tcBorders>
            <w:shd w:val="clear" w:color="auto" w:fill="auto"/>
            <w:noWrap/>
            <w:vAlign w:val="center"/>
          </w:tcPr>
          <w:p w14:paraId="70F89BE5" w14:textId="77777777" w:rsidR="00B010E6" w:rsidRPr="001B4CA2" w:rsidRDefault="00B010E6" w:rsidP="00B010E6">
            <w:pPr>
              <w:jc w:val="center"/>
              <w:rPr>
                <w:sz w:val="18"/>
                <w:szCs w:val="18"/>
              </w:rPr>
            </w:pPr>
            <w:r w:rsidRPr="001B4CA2">
              <w:rPr>
                <w:sz w:val="18"/>
                <w:szCs w:val="18"/>
              </w:rPr>
              <w:t>2</w:t>
            </w:r>
          </w:p>
        </w:tc>
        <w:tc>
          <w:tcPr>
            <w:tcW w:w="1008" w:type="dxa"/>
            <w:tcBorders>
              <w:top w:val="nil"/>
              <w:left w:val="nil"/>
              <w:bottom w:val="single" w:sz="4" w:space="0" w:color="auto"/>
              <w:right w:val="single" w:sz="4" w:space="0" w:color="auto"/>
            </w:tcBorders>
            <w:shd w:val="clear" w:color="auto" w:fill="auto"/>
            <w:noWrap/>
            <w:vAlign w:val="center"/>
          </w:tcPr>
          <w:p w14:paraId="0C81A412"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647FEE06"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1ADB51D2"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6ADE9F82" w14:textId="77777777" w:rsidR="00B010E6" w:rsidRPr="001B4CA2" w:rsidRDefault="00B010E6" w:rsidP="00B010E6">
            <w:pPr>
              <w:jc w:val="center"/>
              <w:rPr>
                <w:sz w:val="18"/>
                <w:szCs w:val="18"/>
              </w:rPr>
            </w:pPr>
            <w:r w:rsidRPr="001B4CA2">
              <w:rPr>
                <w:sz w:val="18"/>
                <w:szCs w:val="18"/>
              </w:rPr>
              <w:t>1</w:t>
            </w:r>
          </w:p>
        </w:tc>
        <w:tc>
          <w:tcPr>
            <w:tcW w:w="1165" w:type="dxa"/>
            <w:tcBorders>
              <w:top w:val="nil"/>
              <w:left w:val="nil"/>
              <w:bottom w:val="single" w:sz="4" w:space="0" w:color="auto"/>
              <w:right w:val="single" w:sz="4" w:space="0" w:color="auto"/>
            </w:tcBorders>
            <w:shd w:val="clear" w:color="auto" w:fill="auto"/>
            <w:noWrap/>
            <w:vAlign w:val="center"/>
          </w:tcPr>
          <w:p w14:paraId="799A1D3C"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28606CED"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163F89C1" w14:textId="77777777" w:rsidR="00B010E6" w:rsidRPr="001B4CA2" w:rsidRDefault="00B010E6" w:rsidP="00B010E6">
            <w:pPr>
              <w:jc w:val="center"/>
              <w:rPr>
                <w:sz w:val="18"/>
                <w:szCs w:val="18"/>
              </w:rPr>
            </w:pPr>
            <w:r w:rsidRPr="001B4CA2">
              <w:rPr>
                <w:sz w:val="18"/>
                <w:szCs w:val="18"/>
              </w:rPr>
              <w:t>6</w:t>
            </w:r>
          </w:p>
        </w:tc>
        <w:tc>
          <w:tcPr>
            <w:tcW w:w="1103" w:type="dxa"/>
            <w:tcBorders>
              <w:top w:val="nil"/>
              <w:left w:val="nil"/>
              <w:bottom w:val="single" w:sz="4" w:space="0" w:color="auto"/>
              <w:right w:val="single" w:sz="4" w:space="0" w:color="auto"/>
            </w:tcBorders>
            <w:shd w:val="clear" w:color="auto" w:fill="auto"/>
            <w:vAlign w:val="center"/>
          </w:tcPr>
          <w:p w14:paraId="1E9479CC" w14:textId="77777777" w:rsidR="00B010E6" w:rsidRPr="001B4CA2" w:rsidRDefault="00B010E6" w:rsidP="00B010E6">
            <w:pPr>
              <w:jc w:val="center"/>
              <w:rPr>
                <w:sz w:val="18"/>
                <w:szCs w:val="18"/>
              </w:rPr>
            </w:pPr>
            <w:r w:rsidRPr="001B4CA2">
              <w:rPr>
                <w:sz w:val="18"/>
                <w:szCs w:val="18"/>
              </w:rPr>
              <w:t>3</w:t>
            </w:r>
          </w:p>
        </w:tc>
      </w:tr>
      <w:tr w:rsidR="00B010E6" w:rsidRPr="001B4CA2" w14:paraId="03A9D7C8"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4E1B117D" w14:textId="77777777" w:rsidR="00B010E6" w:rsidRPr="001B4CA2" w:rsidRDefault="00B010E6" w:rsidP="00B010E6">
            <w:pPr>
              <w:jc w:val="left"/>
              <w:rPr>
                <w:bCs/>
                <w:sz w:val="16"/>
                <w:szCs w:val="16"/>
                <w:lang w:eastAsia="hr-HR"/>
              </w:rPr>
            </w:pPr>
            <w:r w:rsidRPr="001B4CA2">
              <w:rPr>
                <w:bCs/>
                <w:sz w:val="16"/>
                <w:szCs w:val="16"/>
                <w:lang w:eastAsia="hr-HR"/>
              </w:rPr>
              <w:t>Ministarstvo kulture i medija</w:t>
            </w:r>
          </w:p>
        </w:tc>
        <w:tc>
          <w:tcPr>
            <w:tcW w:w="1010" w:type="dxa"/>
            <w:tcBorders>
              <w:top w:val="nil"/>
              <w:left w:val="nil"/>
              <w:bottom w:val="single" w:sz="4" w:space="0" w:color="auto"/>
              <w:right w:val="single" w:sz="4" w:space="0" w:color="auto"/>
            </w:tcBorders>
            <w:shd w:val="clear" w:color="auto" w:fill="auto"/>
            <w:noWrap/>
            <w:vAlign w:val="center"/>
          </w:tcPr>
          <w:p w14:paraId="7F7AD3EE" w14:textId="77777777" w:rsidR="00B010E6" w:rsidRPr="001B4CA2" w:rsidRDefault="00B010E6" w:rsidP="00B010E6">
            <w:pPr>
              <w:jc w:val="center"/>
              <w:rPr>
                <w:sz w:val="18"/>
                <w:szCs w:val="18"/>
              </w:rPr>
            </w:pPr>
          </w:p>
        </w:tc>
        <w:tc>
          <w:tcPr>
            <w:tcW w:w="1085" w:type="dxa"/>
            <w:tcBorders>
              <w:top w:val="nil"/>
              <w:left w:val="nil"/>
              <w:bottom w:val="single" w:sz="4" w:space="0" w:color="auto"/>
              <w:right w:val="single" w:sz="4" w:space="0" w:color="auto"/>
            </w:tcBorders>
            <w:shd w:val="clear" w:color="auto" w:fill="auto"/>
            <w:noWrap/>
            <w:vAlign w:val="center"/>
          </w:tcPr>
          <w:p w14:paraId="26214467"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6549EF78" w14:textId="77777777" w:rsidR="00B010E6" w:rsidRPr="001B4CA2" w:rsidRDefault="00B010E6" w:rsidP="00B010E6">
            <w:pPr>
              <w:jc w:val="center"/>
              <w:rPr>
                <w:sz w:val="18"/>
                <w:szCs w:val="18"/>
              </w:rPr>
            </w:pPr>
            <w:r w:rsidRPr="001B4CA2">
              <w:rPr>
                <w:sz w:val="18"/>
                <w:szCs w:val="18"/>
              </w:rPr>
              <w:t>1</w:t>
            </w:r>
          </w:p>
        </w:tc>
        <w:tc>
          <w:tcPr>
            <w:tcW w:w="1084" w:type="dxa"/>
            <w:tcBorders>
              <w:top w:val="nil"/>
              <w:left w:val="nil"/>
              <w:bottom w:val="single" w:sz="4" w:space="0" w:color="auto"/>
              <w:right w:val="single" w:sz="4" w:space="0" w:color="auto"/>
            </w:tcBorders>
            <w:shd w:val="clear" w:color="auto" w:fill="auto"/>
            <w:noWrap/>
            <w:vAlign w:val="center"/>
          </w:tcPr>
          <w:p w14:paraId="6074B671" w14:textId="77777777" w:rsidR="00B010E6" w:rsidRPr="001B4CA2" w:rsidRDefault="00B010E6" w:rsidP="00B010E6">
            <w:pPr>
              <w:jc w:val="center"/>
              <w:rPr>
                <w:sz w:val="18"/>
                <w:szCs w:val="18"/>
              </w:rPr>
            </w:pPr>
            <w:r w:rsidRPr="001B4CA2">
              <w:rPr>
                <w:sz w:val="18"/>
                <w:szCs w:val="18"/>
              </w:rPr>
              <w:t>1</w:t>
            </w:r>
          </w:p>
        </w:tc>
        <w:tc>
          <w:tcPr>
            <w:tcW w:w="1008" w:type="dxa"/>
            <w:tcBorders>
              <w:top w:val="nil"/>
              <w:left w:val="nil"/>
              <w:bottom w:val="single" w:sz="4" w:space="0" w:color="auto"/>
              <w:right w:val="single" w:sz="4" w:space="0" w:color="auto"/>
            </w:tcBorders>
            <w:shd w:val="clear" w:color="auto" w:fill="auto"/>
            <w:noWrap/>
            <w:vAlign w:val="center"/>
          </w:tcPr>
          <w:p w14:paraId="788803CF"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15071895"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4C46D3AF"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5433CC52" w14:textId="77777777" w:rsidR="00B010E6" w:rsidRPr="001B4CA2" w:rsidRDefault="00B010E6" w:rsidP="00B010E6">
            <w:pPr>
              <w:jc w:val="center"/>
              <w:rPr>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62324745"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3DE507F8"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166F9022" w14:textId="77777777" w:rsidR="00B010E6" w:rsidRPr="001B4CA2" w:rsidRDefault="00B010E6" w:rsidP="00B010E6">
            <w:pPr>
              <w:jc w:val="center"/>
              <w:rPr>
                <w:sz w:val="18"/>
                <w:szCs w:val="18"/>
              </w:rPr>
            </w:pPr>
            <w:r w:rsidRPr="001B4CA2">
              <w:rPr>
                <w:sz w:val="18"/>
                <w:szCs w:val="18"/>
              </w:rPr>
              <w:t>1</w:t>
            </w:r>
          </w:p>
        </w:tc>
        <w:tc>
          <w:tcPr>
            <w:tcW w:w="1103" w:type="dxa"/>
            <w:tcBorders>
              <w:top w:val="nil"/>
              <w:left w:val="nil"/>
              <w:bottom w:val="single" w:sz="4" w:space="0" w:color="auto"/>
              <w:right w:val="single" w:sz="4" w:space="0" w:color="auto"/>
            </w:tcBorders>
            <w:shd w:val="clear" w:color="auto" w:fill="auto"/>
            <w:vAlign w:val="center"/>
          </w:tcPr>
          <w:p w14:paraId="50F9366D" w14:textId="77777777" w:rsidR="00B010E6" w:rsidRPr="001B4CA2" w:rsidRDefault="00B010E6" w:rsidP="00B010E6">
            <w:pPr>
              <w:jc w:val="center"/>
              <w:rPr>
                <w:sz w:val="18"/>
                <w:szCs w:val="18"/>
              </w:rPr>
            </w:pPr>
            <w:r w:rsidRPr="001B4CA2">
              <w:rPr>
                <w:sz w:val="18"/>
                <w:szCs w:val="18"/>
              </w:rPr>
              <w:t>1</w:t>
            </w:r>
          </w:p>
        </w:tc>
      </w:tr>
      <w:tr w:rsidR="00B010E6" w:rsidRPr="001B4CA2" w14:paraId="0482ECC4"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vAlign w:val="center"/>
            <w:hideMark/>
          </w:tcPr>
          <w:p w14:paraId="25C7C184" w14:textId="77777777" w:rsidR="00B010E6" w:rsidRPr="001B4CA2" w:rsidRDefault="00B010E6" w:rsidP="00B010E6">
            <w:pPr>
              <w:jc w:val="left"/>
              <w:rPr>
                <w:bCs/>
                <w:sz w:val="16"/>
                <w:szCs w:val="16"/>
                <w:lang w:eastAsia="hr-HR"/>
              </w:rPr>
            </w:pPr>
            <w:r w:rsidRPr="001B4CA2">
              <w:rPr>
                <w:bCs/>
                <w:sz w:val="16"/>
                <w:szCs w:val="16"/>
                <w:lang w:eastAsia="hr-HR"/>
              </w:rPr>
              <w:t xml:space="preserve">Središnji državni ured za obnovu i stambeno zbrinjavanje </w:t>
            </w:r>
          </w:p>
        </w:tc>
        <w:tc>
          <w:tcPr>
            <w:tcW w:w="1010" w:type="dxa"/>
            <w:tcBorders>
              <w:top w:val="nil"/>
              <w:left w:val="nil"/>
              <w:bottom w:val="single" w:sz="4" w:space="0" w:color="auto"/>
              <w:right w:val="single" w:sz="4" w:space="0" w:color="auto"/>
            </w:tcBorders>
            <w:shd w:val="clear" w:color="auto" w:fill="auto"/>
            <w:noWrap/>
            <w:vAlign w:val="center"/>
          </w:tcPr>
          <w:p w14:paraId="7B579EB8" w14:textId="77777777" w:rsidR="00B010E6" w:rsidRPr="001B4CA2" w:rsidRDefault="00B010E6" w:rsidP="00B010E6">
            <w:pPr>
              <w:jc w:val="center"/>
              <w:rPr>
                <w:sz w:val="18"/>
                <w:szCs w:val="18"/>
              </w:rPr>
            </w:pPr>
            <w:r w:rsidRPr="001B4CA2">
              <w:rPr>
                <w:sz w:val="18"/>
                <w:szCs w:val="18"/>
              </w:rPr>
              <w:t>6</w:t>
            </w:r>
          </w:p>
        </w:tc>
        <w:tc>
          <w:tcPr>
            <w:tcW w:w="1085" w:type="dxa"/>
            <w:tcBorders>
              <w:top w:val="nil"/>
              <w:left w:val="nil"/>
              <w:bottom w:val="single" w:sz="4" w:space="0" w:color="auto"/>
              <w:right w:val="single" w:sz="4" w:space="0" w:color="auto"/>
            </w:tcBorders>
            <w:shd w:val="clear" w:color="auto" w:fill="auto"/>
            <w:noWrap/>
            <w:vAlign w:val="center"/>
          </w:tcPr>
          <w:p w14:paraId="6B70FAC4" w14:textId="77777777" w:rsidR="00B010E6" w:rsidRPr="001B4CA2" w:rsidRDefault="00B010E6" w:rsidP="00B010E6">
            <w:pPr>
              <w:jc w:val="center"/>
              <w:rPr>
                <w:sz w:val="18"/>
                <w:szCs w:val="18"/>
              </w:rPr>
            </w:pPr>
            <w:r w:rsidRPr="001B4CA2">
              <w:rPr>
                <w:sz w:val="18"/>
                <w:szCs w:val="18"/>
              </w:rPr>
              <w:t>6</w:t>
            </w:r>
          </w:p>
        </w:tc>
        <w:tc>
          <w:tcPr>
            <w:tcW w:w="1008" w:type="dxa"/>
            <w:tcBorders>
              <w:top w:val="nil"/>
              <w:left w:val="nil"/>
              <w:bottom w:val="single" w:sz="4" w:space="0" w:color="auto"/>
              <w:right w:val="single" w:sz="4" w:space="0" w:color="auto"/>
            </w:tcBorders>
            <w:shd w:val="clear" w:color="auto" w:fill="auto"/>
            <w:noWrap/>
            <w:vAlign w:val="center"/>
          </w:tcPr>
          <w:p w14:paraId="68513034" w14:textId="77777777" w:rsidR="00B010E6" w:rsidRPr="001B4CA2" w:rsidRDefault="00B010E6" w:rsidP="00B010E6">
            <w:pPr>
              <w:jc w:val="center"/>
              <w:rPr>
                <w:sz w:val="18"/>
                <w:szCs w:val="18"/>
              </w:rPr>
            </w:pPr>
            <w:r w:rsidRPr="001B4CA2">
              <w:rPr>
                <w:sz w:val="18"/>
                <w:szCs w:val="18"/>
              </w:rPr>
              <w:t>169</w:t>
            </w:r>
          </w:p>
        </w:tc>
        <w:tc>
          <w:tcPr>
            <w:tcW w:w="1084" w:type="dxa"/>
            <w:tcBorders>
              <w:top w:val="nil"/>
              <w:left w:val="nil"/>
              <w:bottom w:val="single" w:sz="4" w:space="0" w:color="auto"/>
              <w:right w:val="single" w:sz="4" w:space="0" w:color="auto"/>
            </w:tcBorders>
            <w:shd w:val="clear" w:color="auto" w:fill="auto"/>
            <w:noWrap/>
            <w:vAlign w:val="center"/>
          </w:tcPr>
          <w:p w14:paraId="0DB3369A" w14:textId="77777777" w:rsidR="00B010E6" w:rsidRPr="001B4CA2" w:rsidRDefault="00B010E6" w:rsidP="00B010E6">
            <w:pPr>
              <w:jc w:val="center"/>
              <w:rPr>
                <w:sz w:val="18"/>
                <w:szCs w:val="18"/>
              </w:rPr>
            </w:pPr>
            <w:r w:rsidRPr="001B4CA2">
              <w:rPr>
                <w:sz w:val="18"/>
                <w:szCs w:val="18"/>
              </w:rPr>
              <w:t>30</w:t>
            </w:r>
          </w:p>
        </w:tc>
        <w:tc>
          <w:tcPr>
            <w:tcW w:w="1008" w:type="dxa"/>
            <w:tcBorders>
              <w:top w:val="nil"/>
              <w:left w:val="nil"/>
              <w:bottom w:val="single" w:sz="4" w:space="0" w:color="auto"/>
              <w:right w:val="single" w:sz="4" w:space="0" w:color="auto"/>
            </w:tcBorders>
            <w:shd w:val="clear" w:color="auto" w:fill="auto"/>
            <w:noWrap/>
            <w:vAlign w:val="center"/>
          </w:tcPr>
          <w:p w14:paraId="2F426127" w14:textId="77777777" w:rsidR="00B010E6" w:rsidRPr="001B4CA2" w:rsidRDefault="00B010E6" w:rsidP="00B010E6">
            <w:pPr>
              <w:jc w:val="center"/>
              <w:rPr>
                <w:sz w:val="18"/>
                <w:szCs w:val="18"/>
              </w:rPr>
            </w:pPr>
            <w:r w:rsidRPr="001B4CA2">
              <w:rPr>
                <w:sz w:val="18"/>
                <w:szCs w:val="18"/>
              </w:rPr>
              <w:t>11</w:t>
            </w:r>
          </w:p>
        </w:tc>
        <w:tc>
          <w:tcPr>
            <w:tcW w:w="1084" w:type="dxa"/>
            <w:tcBorders>
              <w:top w:val="nil"/>
              <w:left w:val="nil"/>
              <w:bottom w:val="single" w:sz="4" w:space="0" w:color="auto"/>
              <w:right w:val="single" w:sz="4" w:space="0" w:color="auto"/>
            </w:tcBorders>
            <w:shd w:val="clear" w:color="auto" w:fill="auto"/>
            <w:noWrap/>
            <w:vAlign w:val="center"/>
          </w:tcPr>
          <w:p w14:paraId="2095D948" w14:textId="77777777" w:rsidR="00B010E6" w:rsidRPr="001B4CA2" w:rsidRDefault="00B010E6" w:rsidP="00B010E6">
            <w:pPr>
              <w:jc w:val="center"/>
              <w:rPr>
                <w:sz w:val="18"/>
                <w:szCs w:val="18"/>
              </w:rPr>
            </w:pPr>
            <w:r w:rsidRPr="001B4CA2">
              <w:rPr>
                <w:sz w:val="18"/>
                <w:szCs w:val="18"/>
              </w:rPr>
              <w:t>3</w:t>
            </w:r>
          </w:p>
        </w:tc>
        <w:tc>
          <w:tcPr>
            <w:tcW w:w="1008" w:type="dxa"/>
            <w:tcBorders>
              <w:top w:val="nil"/>
              <w:left w:val="nil"/>
              <w:bottom w:val="single" w:sz="4" w:space="0" w:color="auto"/>
              <w:right w:val="single" w:sz="4" w:space="0" w:color="auto"/>
            </w:tcBorders>
            <w:shd w:val="clear" w:color="auto" w:fill="auto"/>
            <w:noWrap/>
            <w:vAlign w:val="center"/>
          </w:tcPr>
          <w:p w14:paraId="2FBD56E7"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0DBBBB28" w14:textId="77777777" w:rsidR="00B010E6" w:rsidRPr="001B4CA2" w:rsidRDefault="00B010E6" w:rsidP="00B010E6">
            <w:pPr>
              <w:jc w:val="center"/>
              <w:rPr>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76079BD5" w14:textId="77777777" w:rsidR="00B010E6" w:rsidRPr="001B4CA2" w:rsidRDefault="00B010E6" w:rsidP="00B010E6">
            <w:pPr>
              <w:jc w:val="center"/>
              <w:rPr>
                <w:sz w:val="18"/>
                <w:szCs w:val="18"/>
              </w:rPr>
            </w:pPr>
            <w:r w:rsidRPr="001B4CA2">
              <w:rPr>
                <w:sz w:val="18"/>
                <w:szCs w:val="18"/>
              </w:rPr>
              <w:t>1</w:t>
            </w:r>
          </w:p>
        </w:tc>
        <w:tc>
          <w:tcPr>
            <w:tcW w:w="1084" w:type="dxa"/>
            <w:tcBorders>
              <w:top w:val="nil"/>
              <w:left w:val="nil"/>
              <w:bottom w:val="single" w:sz="4" w:space="0" w:color="auto"/>
              <w:right w:val="single" w:sz="4" w:space="0" w:color="auto"/>
            </w:tcBorders>
            <w:shd w:val="clear" w:color="auto" w:fill="auto"/>
            <w:noWrap/>
            <w:vAlign w:val="center"/>
          </w:tcPr>
          <w:p w14:paraId="1CF24453" w14:textId="77777777" w:rsidR="00B010E6" w:rsidRPr="001B4CA2" w:rsidRDefault="00B010E6" w:rsidP="00B010E6">
            <w:pPr>
              <w:jc w:val="center"/>
              <w:rPr>
                <w:sz w:val="18"/>
                <w:szCs w:val="18"/>
              </w:rPr>
            </w:pPr>
            <w:r w:rsidRPr="001B4CA2">
              <w:rPr>
                <w:sz w:val="18"/>
                <w:szCs w:val="18"/>
              </w:rPr>
              <w:t>4</w:t>
            </w:r>
          </w:p>
        </w:tc>
        <w:tc>
          <w:tcPr>
            <w:tcW w:w="1084" w:type="dxa"/>
            <w:tcBorders>
              <w:top w:val="nil"/>
              <w:left w:val="nil"/>
              <w:bottom w:val="single" w:sz="4" w:space="0" w:color="auto"/>
              <w:right w:val="single" w:sz="4" w:space="0" w:color="auto"/>
            </w:tcBorders>
            <w:shd w:val="clear" w:color="auto" w:fill="auto"/>
            <w:noWrap/>
            <w:vAlign w:val="center"/>
          </w:tcPr>
          <w:p w14:paraId="1533E711" w14:textId="77777777" w:rsidR="00B010E6" w:rsidRPr="001B4CA2" w:rsidRDefault="00B010E6" w:rsidP="00B010E6">
            <w:pPr>
              <w:jc w:val="center"/>
              <w:rPr>
                <w:sz w:val="18"/>
                <w:szCs w:val="18"/>
              </w:rPr>
            </w:pPr>
            <w:r w:rsidRPr="001B4CA2">
              <w:rPr>
                <w:sz w:val="18"/>
                <w:szCs w:val="18"/>
              </w:rPr>
              <w:t>187</w:t>
            </w:r>
          </w:p>
        </w:tc>
        <w:tc>
          <w:tcPr>
            <w:tcW w:w="1103" w:type="dxa"/>
            <w:tcBorders>
              <w:top w:val="nil"/>
              <w:left w:val="nil"/>
              <w:bottom w:val="single" w:sz="4" w:space="0" w:color="auto"/>
              <w:right w:val="single" w:sz="4" w:space="0" w:color="auto"/>
            </w:tcBorders>
            <w:shd w:val="clear" w:color="auto" w:fill="auto"/>
            <w:vAlign w:val="center"/>
          </w:tcPr>
          <w:p w14:paraId="03343286" w14:textId="77777777" w:rsidR="00B010E6" w:rsidRPr="001B4CA2" w:rsidRDefault="00B010E6" w:rsidP="00B010E6">
            <w:pPr>
              <w:jc w:val="center"/>
              <w:rPr>
                <w:sz w:val="18"/>
                <w:szCs w:val="18"/>
              </w:rPr>
            </w:pPr>
            <w:r w:rsidRPr="001B4CA2">
              <w:rPr>
                <w:sz w:val="18"/>
                <w:szCs w:val="18"/>
              </w:rPr>
              <w:t>43</w:t>
            </w:r>
          </w:p>
        </w:tc>
      </w:tr>
      <w:tr w:rsidR="00B010E6" w:rsidRPr="001B4CA2" w14:paraId="0C78FB3E"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2DC1C385" w14:textId="77777777" w:rsidR="00B010E6" w:rsidRPr="001B4CA2" w:rsidRDefault="00B010E6" w:rsidP="00B010E6">
            <w:pPr>
              <w:jc w:val="left"/>
              <w:rPr>
                <w:bCs/>
                <w:sz w:val="16"/>
                <w:szCs w:val="16"/>
                <w:lang w:eastAsia="hr-HR"/>
              </w:rPr>
            </w:pPr>
            <w:r w:rsidRPr="001B4CA2">
              <w:rPr>
                <w:bCs/>
                <w:sz w:val="16"/>
                <w:szCs w:val="16"/>
                <w:lang w:eastAsia="hr-HR"/>
              </w:rPr>
              <w:t>Državne nekretnine d.o.o.</w:t>
            </w:r>
          </w:p>
        </w:tc>
        <w:tc>
          <w:tcPr>
            <w:tcW w:w="1010" w:type="dxa"/>
            <w:tcBorders>
              <w:top w:val="nil"/>
              <w:left w:val="nil"/>
              <w:bottom w:val="single" w:sz="4" w:space="0" w:color="auto"/>
              <w:right w:val="single" w:sz="4" w:space="0" w:color="auto"/>
            </w:tcBorders>
            <w:shd w:val="clear" w:color="auto" w:fill="auto"/>
            <w:noWrap/>
            <w:vAlign w:val="center"/>
          </w:tcPr>
          <w:p w14:paraId="7D768524" w14:textId="77777777" w:rsidR="00B010E6" w:rsidRPr="001B4CA2" w:rsidRDefault="00B010E6" w:rsidP="00B010E6">
            <w:pPr>
              <w:jc w:val="center"/>
              <w:rPr>
                <w:sz w:val="18"/>
                <w:szCs w:val="18"/>
              </w:rPr>
            </w:pPr>
            <w:r w:rsidRPr="001B4CA2">
              <w:rPr>
                <w:sz w:val="18"/>
                <w:szCs w:val="18"/>
              </w:rPr>
              <w:t>34</w:t>
            </w:r>
          </w:p>
        </w:tc>
        <w:tc>
          <w:tcPr>
            <w:tcW w:w="1085" w:type="dxa"/>
            <w:tcBorders>
              <w:top w:val="nil"/>
              <w:left w:val="nil"/>
              <w:bottom w:val="single" w:sz="4" w:space="0" w:color="auto"/>
              <w:right w:val="single" w:sz="4" w:space="0" w:color="auto"/>
            </w:tcBorders>
            <w:shd w:val="clear" w:color="auto" w:fill="auto"/>
            <w:noWrap/>
            <w:vAlign w:val="center"/>
          </w:tcPr>
          <w:p w14:paraId="46DEC41B" w14:textId="77777777" w:rsidR="00B010E6" w:rsidRPr="001B4CA2" w:rsidRDefault="00B010E6" w:rsidP="00B010E6">
            <w:pPr>
              <w:jc w:val="center"/>
              <w:rPr>
                <w:sz w:val="18"/>
                <w:szCs w:val="18"/>
              </w:rPr>
            </w:pPr>
            <w:r w:rsidRPr="001B4CA2">
              <w:rPr>
                <w:sz w:val="18"/>
                <w:szCs w:val="18"/>
              </w:rPr>
              <w:t>6</w:t>
            </w:r>
          </w:p>
        </w:tc>
        <w:tc>
          <w:tcPr>
            <w:tcW w:w="1008" w:type="dxa"/>
            <w:tcBorders>
              <w:top w:val="nil"/>
              <w:left w:val="nil"/>
              <w:bottom w:val="single" w:sz="4" w:space="0" w:color="auto"/>
              <w:right w:val="single" w:sz="4" w:space="0" w:color="auto"/>
            </w:tcBorders>
            <w:shd w:val="clear" w:color="auto" w:fill="auto"/>
            <w:noWrap/>
            <w:vAlign w:val="center"/>
          </w:tcPr>
          <w:p w14:paraId="6B161201" w14:textId="77777777" w:rsidR="00B010E6" w:rsidRPr="001B4CA2" w:rsidRDefault="00B010E6" w:rsidP="00B010E6">
            <w:pPr>
              <w:jc w:val="center"/>
              <w:rPr>
                <w:sz w:val="18"/>
                <w:szCs w:val="18"/>
              </w:rPr>
            </w:pPr>
            <w:r w:rsidRPr="001B4CA2">
              <w:rPr>
                <w:sz w:val="18"/>
                <w:szCs w:val="18"/>
              </w:rPr>
              <w:t>145</w:t>
            </w:r>
          </w:p>
        </w:tc>
        <w:tc>
          <w:tcPr>
            <w:tcW w:w="1084" w:type="dxa"/>
            <w:tcBorders>
              <w:top w:val="nil"/>
              <w:left w:val="nil"/>
              <w:bottom w:val="single" w:sz="4" w:space="0" w:color="auto"/>
              <w:right w:val="single" w:sz="4" w:space="0" w:color="auto"/>
            </w:tcBorders>
            <w:shd w:val="clear" w:color="auto" w:fill="auto"/>
            <w:noWrap/>
            <w:vAlign w:val="center"/>
          </w:tcPr>
          <w:p w14:paraId="48BD942B" w14:textId="77777777" w:rsidR="00B010E6" w:rsidRPr="001B4CA2" w:rsidRDefault="00B010E6" w:rsidP="00B010E6">
            <w:pPr>
              <w:jc w:val="center"/>
              <w:rPr>
                <w:sz w:val="18"/>
                <w:szCs w:val="18"/>
              </w:rPr>
            </w:pPr>
            <w:r w:rsidRPr="001B4CA2">
              <w:rPr>
                <w:sz w:val="18"/>
                <w:szCs w:val="18"/>
              </w:rPr>
              <w:t>6</w:t>
            </w:r>
          </w:p>
        </w:tc>
        <w:tc>
          <w:tcPr>
            <w:tcW w:w="1008" w:type="dxa"/>
            <w:tcBorders>
              <w:top w:val="nil"/>
              <w:left w:val="nil"/>
              <w:bottom w:val="single" w:sz="4" w:space="0" w:color="auto"/>
              <w:right w:val="single" w:sz="4" w:space="0" w:color="auto"/>
            </w:tcBorders>
            <w:shd w:val="clear" w:color="auto" w:fill="auto"/>
            <w:noWrap/>
            <w:vAlign w:val="center"/>
          </w:tcPr>
          <w:p w14:paraId="2BEA0D5D" w14:textId="77777777" w:rsidR="00B010E6" w:rsidRPr="001B4CA2" w:rsidRDefault="00B010E6" w:rsidP="00B010E6">
            <w:pPr>
              <w:jc w:val="center"/>
              <w:rPr>
                <w:sz w:val="18"/>
                <w:szCs w:val="18"/>
              </w:rPr>
            </w:pPr>
            <w:r w:rsidRPr="001B4CA2">
              <w:rPr>
                <w:sz w:val="18"/>
                <w:szCs w:val="18"/>
              </w:rPr>
              <w:t>3</w:t>
            </w:r>
          </w:p>
        </w:tc>
        <w:tc>
          <w:tcPr>
            <w:tcW w:w="1084" w:type="dxa"/>
            <w:tcBorders>
              <w:top w:val="nil"/>
              <w:left w:val="nil"/>
              <w:bottom w:val="single" w:sz="4" w:space="0" w:color="auto"/>
              <w:right w:val="single" w:sz="4" w:space="0" w:color="auto"/>
            </w:tcBorders>
            <w:shd w:val="clear" w:color="auto" w:fill="auto"/>
            <w:noWrap/>
            <w:vAlign w:val="center"/>
          </w:tcPr>
          <w:p w14:paraId="4D0F7729"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655B3995" w14:textId="77777777" w:rsidR="00B010E6" w:rsidRPr="001B4CA2" w:rsidRDefault="00B010E6" w:rsidP="00B010E6">
            <w:pPr>
              <w:jc w:val="center"/>
              <w:rPr>
                <w:sz w:val="18"/>
                <w:szCs w:val="18"/>
              </w:rPr>
            </w:pPr>
            <w:r w:rsidRPr="001B4CA2">
              <w:rPr>
                <w:sz w:val="18"/>
                <w:szCs w:val="18"/>
              </w:rPr>
              <w:t>1</w:t>
            </w:r>
          </w:p>
        </w:tc>
        <w:tc>
          <w:tcPr>
            <w:tcW w:w="1084" w:type="dxa"/>
            <w:tcBorders>
              <w:top w:val="nil"/>
              <w:left w:val="nil"/>
              <w:bottom w:val="single" w:sz="4" w:space="0" w:color="auto"/>
              <w:right w:val="single" w:sz="4" w:space="0" w:color="auto"/>
            </w:tcBorders>
            <w:shd w:val="clear" w:color="auto" w:fill="auto"/>
            <w:noWrap/>
            <w:vAlign w:val="center"/>
          </w:tcPr>
          <w:p w14:paraId="77BCF339" w14:textId="77777777" w:rsidR="00B010E6" w:rsidRPr="001B4CA2" w:rsidRDefault="00B010E6" w:rsidP="00B010E6">
            <w:pPr>
              <w:jc w:val="center"/>
              <w:rPr>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26CBD9B4" w14:textId="77777777" w:rsidR="00B010E6" w:rsidRPr="001B4CA2" w:rsidRDefault="00B010E6" w:rsidP="00B010E6">
            <w:pPr>
              <w:jc w:val="center"/>
              <w:rPr>
                <w:sz w:val="18"/>
                <w:szCs w:val="18"/>
              </w:rPr>
            </w:pPr>
            <w:r w:rsidRPr="001B4CA2">
              <w:rPr>
                <w:sz w:val="18"/>
                <w:szCs w:val="18"/>
              </w:rPr>
              <w:t>1</w:t>
            </w:r>
          </w:p>
        </w:tc>
        <w:tc>
          <w:tcPr>
            <w:tcW w:w="1084" w:type="dxa"/>
            <w:tcBorders>
              <w:top w:val="nil"/>
              <w:left w:val="nil"/>
              <w:bottom w:val="single" w:sz="4" w:space="0" w:color="auto"/>
              <w:right w:val="single" w:sz="4" w:space="0" w:color="auto"/>
            </w:tcBorders>
            <w:shd w:val="clear" w:color="auto" w:fill="auto"/>
            <w:noWrap/>
            <w:vAlign w:val="center"/>
          </w:tcPr>
          <w:p w14:paraId="756B9BF0" w14:textId="77777777" w:rsidR="00B010E6" w:rsidRPr="001B4CA2" w:rsidRDefault="00B010E6" w:rsidP="00B010E6">
            <w:pPr>
              <w:jc w:val="center"/>
              <w:rPr>
                <w:sz w:val="18"/>
                <w:szCs w:val="18"/>
              </w:rPr>
            </w:pPr>
            <w:r w:rsidRPr="001B4CA2">
              <w:rPr>
                <w:sz w:val="18"/>
                <w:szCs w:val="18"/>
              </w:rPr>
              <w:t>4</w:t>
            </w:r>
          </w:p>
        </w:tc>
        <w:tc>
          <w:tcPr>
            <w:tcW w:w="1084" w:type="dxa"/>
            <w:tcBorders>
              <w:top w:val="nil"/>
              <w:left w:val="nil"/>
              <w:bottom w:val="single" w:sz="4" w:space="0" w:color="auto"/>
              <w:right w:val="single" w:sz="4" w:space="0" w:color="auto"/>
            </w:tcBorders>
            <w:shd w:val="clear" w:color="auto" w:fill="auto"/>
            <w:noWrap/>
            <w:vAlign w:val="center"/>
          </w:tcPr>
          <w:p w14:paraId="3C4A4651" w14:textId="77777777" w:rsidR="00B010E6" w:rsidRPr="001B4CA2" w:rsidRDefault="00B010E6" w:rsidP="00B010E6">
            <w:pPr>
              <w:jc w:val="center"/>
              <w:rPr>
                <w:sz w:val="18"/>
                <w:szCs w:val="18"/>
              </w:rPr>
            </w:pPr>
            <w:r w:rsidRPr="001B4CA2">
              <w:rPr>
                <w:sz w:val="18"/>
                <w:szCs w:val="18"/>
              </w:rPr>
              <w:t>184</w:t>
            </w:r>
          </w:p>
        </w:tc>
        <w:tc>
          <w:tcPr>
            <w:tcW w:w="1103" w:type="dxa"/>
            <w:tcBorders>
              <w:top w:val="nil"/>
              <w:left w:val="nil"/>
              <w:bottom w:val="single" w:sz="4" w:space="0" w:color="auto"/>
              <w:right w:val="single" w:sz="4" w:space="0" w:color="auto"/>
            </w:tcBorders>
            <w:shd w:val="clear" w:color="auto" w:fill="auto"/>
            <w:vAlign w:val="center"/>
          </w:tcPr>
          <w:p w14:paraId="08785C48" w14:textId="77777777" w:rsidR="00B010E6" w:rsidRPr="001B4CA2" w:rsidRDefault="00B010E6" w:rsidP="00B010E6">
            <w:pPr>
              <w:jc w:val="center"/>
              <w:rPr>
                <w:sz w:val="18"/>
                <w:szCs w:val="18"/>
              </w:rPr>
            </w:pPr>
            <w:r w:rsidRPr="001B4CA2">
              <w:rPr>
                <w:sz w:val="18"/>
                <w:szCs w:val="18"/>
              </w:rPr>
              <w:t>16</w:t>
            </w:r>
          </w:p>
        </w:tc>
      </w:tr>
      <w:tr w:rsidR="00B010E6" w:rsidRPr="001B4CA2" w14:paraId="678CCBC5"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184B3F22" w14:textId="77777777" w:rsidR="00B010E6" w:rsidRPr="001B4CA2" w:rsidRDefault="00B010E6" w:rsidP="00B010E6">
            <w:pPr>
              <w:jc w:val="left"/>
              <w:rPr>
                <w:bCs/>
                <w:sz w:val="16"/>
                <w:szCs w:val="16"/>
                <w:lang w:eastAsia="hr-HR"/>
              </w:rPr>
            </w:pPr>
            <w:r w:rsidRPr="001B4CA2">
              <w:rPr>
                <w:bCs/>
                <w:sz w:val="16"/>
                <w:szCs w:val="16"/>
                <w:lang w:eastAsia="hr-HR"/>
              </w:rPr>
              <w:t xml:space="preserve">Ostali </w:t>
            </w:r>
          </w:p>
        </w:tc>
        <w:tc>
          <w:tcPr>
            <w:tcW w:w="1010" w:type="dxa"/>
            <w:tcBorders>
              <w:top w:val="nil"/>
              <w:left w:val="nil"/>
              <w:bottom w:val="single" w:sz="4" w:space="0" w:color="auto"/>
              <w:right w:val="single" w:sz="4" w:space="0" w:color="auto"/>
            </w:tcBorders>
            <w:shd w:val="clear" w:color="auto" w:fill="auto"/>
            <w:noWrap/>
            <w:vAlign w:val="center"/>
          </w:tcPr>
          <w:p w14:paraId="19C1CB61" w14:textId="77777777" w:rsidR="00B010E6" w:rsidRPr="001B4CA2" w:rsidRDefault="00B010E6" w:rsidP="00B010E6">
            <w:pPr>
              <w:jc w:val="center"/>
              <w:rPr>
                <w:sz w:val="18"/>
                <w:szCs w:val="18"/>
              </w:rPr>
            </w:pPr>
            <w:r w:rsidRPr="001B4CA2">
              <w:rPr>
                <w:sz w:val="18"/>
                <w:szCs w:val="18"/>
              </w:rPr>
              <w:t>3</w:t>
            </w:r>
          </w:p>
        </w:tc>
        <w:tc>
          <w:tcPr>
            <w:tcW w:w="1085" w:type="dxa"/>
            <w:tcBorders>
              <w:top w:val="nil"/>
              <w:left w:val="nil"/>
              <w:bottom w:val="single" w:sz="4" w:space="0" w:color="auto"/>
              <w:right w:val="single" w:sz="4" w:space="0" w:color="auto"/>
            </w:tcBorders>
            <w:shd w:val="clear" w:color="auto" w:fill="auto"/>
            <w:noWrap/>
            <w:vAlign w:val="center"/>
          </w:tcPr>
          <w:p w14:paraId="3AA3FB6A" w14:textId="77777777" w:rsidR="00B010E6" w:rsidRPr="001B4CA2" w:rsidRDefault="00B010E6" w:rsidP="00B010E6">
            <w:pPr>
              <w:jc w:val="center"/>
              <w:rPr>
                <w:sz w:val="18"/>
                <w:szCs w:val="18"/>
              </w:rPr>
            </w:pPr>
            <w:r w:rsidRPr="001B4CA2">
              <w:rPr>
                <w:sz w:val="18"/>
                <w:szCs w:val="18"/>
              </w:rPr>
              <w:t>10</w:t>
            </w:r>
          </w:p>
        </w:tc>
        <w:tc>
          <w:tcPr>
            <w:tcW w:w="1008" w:type="dxa"/>
            <w:tcBorders>
              <w:top w:val="nil"/>
              <w:left w:val="nil"/>
              <w:bottom w:val="single" w:sz="4" w:space="0" w:color="auto"/>
              <w:right w:val="single" w:sz="4" w:space="0" w:color="auto"/>
            </w:tcBorders>
            <w:shd w:val="clear" w:color="auto" w:fill="auto"/>
            <w:noWrap/>
            <w:vAlign w:val="center"/>
          </w:tcPr>
          <w:p w14:paraId="3FF0EDAC" w14:textId="77777777" w:rsidR="00B010E6" w:rsidRPr="001B4CA2" w:rsidRDefault="00B010E6" w:rsidP="00B010E6">
            <w:pPr>
              <w:jc w:val="center"/>
              <w:rPr>
                <w:sz w:val="18"/>
                <w:szCs w:val="18"/>
              </w:rPr>
            </w:pPr>
            <w:r w:rsidRPr="001B4CA2">
              <w:rPr>
                <w:sz w:val="18"/>
                <w:szCs w:val="18"/>
              </w:rPr>
              <w:t>10</w:t>
            </w:r>
          </w:p>
        </w:tc>
        <w:tc>
          <w:tcPr>
            <w:tcW w:w="1084" w:type="dxa"/>
            <w:tcBorders>
              <w:top w:val="nil"/>
              <w:left w:val="nil"/>
              <w:bottom w:val="single" w:sz="4" w:space="0" w:color="auto"/>
              <w:right w:val="single" w:sz="4" w:space="0" w:color="auto"/>
            </w:tcBorders>
            <w:shd w:val="clear" w:color="auto" w:fill="auto"/>
            <w:noWrap/>
            <w:vAlign w:val="center"/>
          </w:tcPr>
          <w:p w14:paraId="18DAA2FF" w14:textId="77777777" w:rsidR="00B010E6" w:rsidRPr="001B4CA2" w:rsidRDefault="00B010E6" w:rsidP="00B010E6">
            <w:pPr>
              <w:jc w:val="center"/>
              <w:rPr>
                <w:sz w:val="18"/>
                <w:szCs w:val="18"/>
              </w:rPr>
            </w:pPr>
            <w:r w:rsidRPr="001B4CA2">
              <w:rPr>
                <w:sz w:val="18"/>
                <w:szCs w:val="18"/>
              </w:rPr>
              <w:t>1</w:t>
            </w:r>
          </w:p>
        </w:tc>
        <w:tc>
          <w:tcPr>
            <w:tcW w:w="1008" w:type="dxa"/>
            <w:tcBorders>
              <w:top w:val="nil"/>
              <w:left w:val="nil"/>
              <w:bottom w:val="single" w:sz="4" w:space="0" w:color="auto"/>
              <w:right w:val="single" w:sz="4" w:space="0" w:color="auto"/>
            </w:tcBorders>
            <w:shd w:val="clear" w:color="auto" w:fill="auto"/>
            <w:noWrap/>
            <w:vAlign w:val="center"/>
          </w:tcPr>
          <w:p w14:paraId="16ABDD5E" w14:textId="77777777" w:rsidR="00B010E6" w:rsidRPr="001B4CA2" w:rsidRDefault="00B010E6" w:rsidP="00B010E6">
            <w:pPr>
              <w:jc w:val="center"/>
              <w:rPr>
                <w:sz w:val="18"/>
                <w:szCs w:val="18"/>
              </w:rPr>
            </w:pPr>
            <w:r w:rsidRPr="001B4CA2">
              <w:rPr>
                <w:sz w:val="18"/>
                <w:szCs w:val="18"/>
              </w:rPr>
              <w:t>1</w:t>
            </w:r>
          </w:p>
        </w:tc>
        <w:tc>
          <w:tcPr>
            <w:tcW w:w="1084" w:type="dxa"/>
            <w:tcBorders>
              <w:top w:val="nil"/>
              <w:left w:val="nil"/>
              <w:bottom w:val="single" w:sz="4" w:space="0" w:color="auto"/>
              <w:right w:val="single" w:sz="4" w:space="0" w:color="auto"/>
            </w:tcBorders>
            <w:shd w:val="clear" w:color="auto" w:fill="auto"/>
            <w:noWrap/>
            <w:vAlign w:val="center"/>
          </w:tcPr>
          <w:p w14:paraId="5A58129F" w14:textId="77777777" w:rsidR="00B010E6" w:rsidRPr="001B4CA2" w:rsidRDefault="00B010E6" w:rsidP="00B010E6">
            <w:pPr>
              <w:jc w:val="center"/>
              <w:rPr>
                <w:sz w:val="18"/>
                <w:szCs w:val="18"/>
              </w:rPr>
            </w:pPr>
            <w:r w:rsidRPr="001B4CA2">
              <w:rPr>
                <w:sz w:val="18"/>
                <w:szCs w:val="18"/>
              </w:rPr>
              <w:t>8</w:t>
            </w:r>
          </w:p>
        </w:tc>
        <w:tc>
          <w:tcPr>
            <w:tcW w:w="1008" w:type="dxa"/>
            <w:tcBorders>
              <w:top w:val="nil"/>
              <w:left w:val="nil"/>
              <w:bottom w:val="single" w:sz="4" w:space="0" w:color="auto"/>
              <w:right w:val="single" w:sz="4" w:space="0" w:color="auto"/>
            </w:tcBorders>
            <w:shd w:val="clear" w:color="auto" w:fill="auto"/>
            <w:noWrap/>
            <w:vAlign w:val="center"/>
          </w:tcPr>
          <w:p w14:paraId="7FCF55CB" w14:textId="77777777" w:rsidR="00B010E6" w:rsidRPr="001B4CA2" w:rsidRDefault="00B010E6" w:rsidP="00B010E6">
            <w:pPr>
              <w:jc w:val="center"/>
              <w:rPr>
                <w:sz w:val="18"/>
                <w:szCs w:val="18"/>
              </w:rPr>
            </w:pPr>
            <w:r w:rsidRPr="001B4CA2">
              <w:rPr>
                <w:sz w:val="18"/>
                <w:szCs w:val="18"/>
              </w:rPr>
              <w:t>0</w:t>
            </w:r>
          </w:p>
        </w:tc>
        <w:tc>
          <w:tcPr>
            <w:tcW w:w="1084" w:type="dxa"/>
            <w:tcBorders>
              <w:top w:val="nil"/>
              <w:left w:val="nil"/>
              <w:bottom w:val="single" w:sz="4" w:space="0" w:color="auto"/>
              <w:right w:val="single" w:sz="4" w:space="0" w:color="auto"/>
            </w:tcBorders>
            <w:shd w:val="clear" w:color="auto" w:fill="auto"/>
            <w:noWrap/>
            <w:vAlign w:val="center"/>
          </w:tcPr>
          <w:p w14:paraId="501B4C80" w14:textId="77777777" w:rsidR="00B010E6" w:rsidRPr="001B4CA2" w:rsidRDefault="00B010E6" w:rsidP="00B010E6">
            <w:pPr>
              <w:jc w:val="center"/>
              <w:rPr>
                <w:sz w:val="18"/>
                <w:szCs w:val="18"/>
              </w:rPr>
            </w:pPr>
            <w:r w:rsidRPr="001B4CA2">
              <w:rPr>
                <w:sz w:val="18"/>
                <w:szCs w:val="18"/>
              </w:rPr>
              <w:t>11</w:t>
            </w:r>
          </w:p>
        </w:tc>
        <w:tc>
          <w:tcPr>
            <w:tcW w:w="1165" w:type="dxa"/>
            <w:tcBorders>
              <w:top w:val="nil"/>
              <w:left w:val="nil"/>
              <w:bottom w:val="single" w:sz="4" w:space="0" w:color="auto"/>
              <w:right w:val="single" w:sz="4" w:space="0" w:color="auto"/>
            </w:tcBorders>
            <w:shd w:val="clear" w:color="auto" w:fill="auto"/>
            <w:noWrap/>
            <w:vAlign w:val="center"/>
          </w:tcPr>
          <w:p w14:paraId="425298CD"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75BCC331" w14:textId="77777777" w:rsidR="00B010E6" w:rsidRPr="001B4CA2" w:rsidRDefault="00B010E6" w:rsidP="00B010E6">
            <w:pPr>
              <w:jc w:val="center"/>
              <w:rPr>
                <w:sz w:val="18"/>
                <w:szCs w:val="18"/>
              </w:rPr>
            </w:pPr>
            <w:r w:rsidRPr="001B4CA2">
              <w:rPr>
                <w:sz w:val="18"/>
                <w:szCs w:val="18"/>
              </w:rPr>
              <w:t>2</w:t>
            </w:r>
          </w:p>
        </w:tc>
        <w:tc>
          <w:tcPr>
            <w:tcW w:w="1084" w:type="dxa"/>
            <w:tcBorders>
              <w:top w:val="nil"/>
              <w:left w:val="nil"/>
              <w:bottom w:val="single" w:sz="4" w:space="0" w:color="auto"/>
              <w:right w:val="single" w:sz="4" w:space="0" w:color="auto"/>
            </w:tcBorders>
            <w:shd w:val="clear" w:color="auto" w:fill="auto"/>
            <w:noWrap/>
            <w:vAlign w:val="center"/>
          </w:tcPr>
          <w:p w14:paraId="65991D05" w14:textId="77777777" w:rsidR="00B010E6" w:rsidRPr="001B4CA2" w:rsidRDefault="00B010E6" w:rsidP="00B010E6">
            <w:pPr>
              <w:jc w:val="center"/>
              <w:rPr>
                <w:sz w:val="18"/>
                <w:szCs w:val="18"/>
              </w:rPr>
            </w:pPr>
            <w:r w:rsidRPr="001B4CA2">
              <w:rPr>
                <w:sz w:val="18"/>
                <w:szCs w:val="18"/>
              </w:rPr>
              <w:t>14</w:t>
            </w:r>
          </w:p>
        </w:tc>
        <w:tc>
          <w:tcPr>
            <w:tcW w:w="1103" w:type="dxa"/>
            <w:tcBorders>
              <w:top w:val="nil"/>
              <w:left w:val="nil"/>
              <w:bottom w:val="single" w:sz="4" w:space="0" w:color="auto"/>
              <w:right w:val="single" w:sz="4" w:space="0" w:color="auto"/>
            </w:tcBorders>
            <w:shd w:val="clear" w:color="auto" w:fill="auto"/>
            <w:vAlign w:val="center"/>
          </w:tcPr>
          <w:p w14:paraId="3DFB2A26" w14:textId="77777777" w:rsidR="00B010E6" w:rsidRPr="001B4CA2" w:rsidRDefault="00B010E6" w:rsidP="00B010E6">
            <w:pPr>
              <w:jc w:val="center"/>
              <w:rPr>
                <w:sz w:val="18"/>
                <w:szCs w:val="18"/>
              </w:rPr>
            </w:pPr>
            <w:r w:rsidRPr="001B4CA2">
              <w:rPr>
                <w:sz w:val="18"/>
                <w:szCs w:val="18"/>
              </w:rPr>
              <w:t>32</w:t>
            </w:r>
          </w:p>
        </w:tc>
      </w:tr>
      <w:tr w:rsidR="00B010E6" w:rsidRPr="001B4CA2" w14:paraId="0FA86CA3" w14:textId="77777777" w:rsidTr="001D4F0F">
        <w:trPr>
          <w:gridAfter w:val="1"/>
          <w:wAfter w:w="6" w:type="dxa"/>
          <w:trHeight w:val="332"/>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1F7227D9" w14:textId="5DB48D65" w:rsidR="00B010E6" w:rsidRPr="001B4CA2" w:rsidRDefault="00B010E6" w:rsidP="00B010E6">
            <w:pPr>
              <w:jc w:val="left"/>
              <w:rPr>
                <w:bCs/>
                <w:sz w:val="16"/>
                <w:szCs w:val="16"/>
                <w:lang w:eastAsia="hr-HR"/>
              </w:rPr>
            </w:pPr>
            <w:r w:rsidRPr="001B4CA2">
              <w:rPr>
                <w:bCs/>
                <w:sz w:val="16"/>
                <w:szCs w:val="16"/>
                <w:lang w:eastAsia="hr-HR"/>
              </w:rPr>
              <w:t>Državno odvjetništvo</w:t>
            </w:r>
            <w:r w:rsidR="00F47D60">
              <w:rPr>
                <w:bCs/>
                <w:sz w:val="16"/>
                <w:szCs w:val="16"/>
                <w:lang w:eastAsia="hr-HR"/>
              </w:rPr>
              <w:t xml:space="preserve"> – </w:t>
            </w:r>
            <w:r w:rsidRPr="001B4CA2">
              <w:rPr>
                <w:bCs/>
                <w:sz w:val="16"/>
                <w:szCs w:val="16"/>
                <w:lang w:eastAsia="hr-HR"/>
              </w:rPr>
              <w:t>zaštita javnog interesa</w:t>
            </w:r>
          </w:p>
        </w:tc>
        <w:tc>
          <w:tcPr>
            <w:tcW w:w="1010" w:type="dxa"/>
            <w:tcBorders>
              <w:top w:val="nil"/>
              <w:left w:val="nil"/>
              <w:bottom w:val="single" w:sz="4" w:space="0" w:color="auto"/>
              <w:right w:val="single" w:sz="4" w:space="0" w:color="auto"/>
            </w:tcBorders>
            <w:shd w:val="clear" w:color="auto" w:fill="auto"/>
            <w:noWrap/>
            <w:vAlign w:val="center"/>
          </w:tcPr>
          <w:p w14:paraId="796F7D28" w14:textId="77777777" w:rsidR="00B010E6" w:rsidRPr="001B4CA2" w:rsidRDefault="00B010E6" w:rsidP="00B010E6">
            <w:pPr>
              <w:jc w:val="center"/>
              <w:rPr>
                <w:sz w:val="18"/>
                <w:szCs w:val="18"/>
              </w:rPr>
            </w:pPr>
          </w:p>
        </w:tc>
        <w:tc>
          <w:tcPr>
            <w:tcW w:w="1085" w:type="dxa"/>
            <w:tcBorders>
              <w:top w:val="nil"/>
              <w:left w:val="nil"/>
              <w:bottom w:val="single" w:sz="4" w:space="0" w:color="auto"/>
              <w:right w:val="single" w:sz="4" w:space="0" w:color="auto"/>
            </w:tcBorders>
            <w:shd w:val="clear" w:color="auto" w:fill="auto"/>
            <w:noWrap/>
            <w:vAlign w:val="center"/>
          </w:tcPr>
          <w:p w14:paraId="452152C1"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2A708D42"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3AE7D9F8" w14:textId="77777777" w:rsidR="00B010E6" w:rsidRPr="001B4CA2" w:rsidRDefault="00B010E6" w:rsidP="00B010E6">
            <w:pPr>
              <w:jc w:val="center"/>
              <w:rPr>
                <w:sz w:val="18"/>
                <w:szCs w:val="18"/>
              </w:rPr>
            </w:pPr>
            <w:r w:rsidRPr="001B4CA2">
              <w:rPr>
                <w:sz w:val="18"/>
                <w:szCs w:val="18"/>
              </w:rPr>
              <w:t>3</w:t>
            </w:r>
          </w:p>
        </w:tc>
        <w:tc>
          <w:tcPr>
            <w:tcW w:w="1008" w:type="dxa"/>
            <w:tcBorders>
              <w:top w:val="nil"/>
              <w:left w:val="nil"/>
              <w:bottom w:val="single" w:sz="4" w:space="0" w:color="auto"/>
              <w:right w:val="single" w:sz="4" w:space="0" w:color="auto"/>
            </w:tcBorders>
            <w:shd w:val="clear" w:color="auto" w:fill="auto"/>
            <w:noWrap/>
            <w:vAlign w:val="center"/>
          </w:tcPr>
          <w:p w14:paraId="6BA1D363"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3A376411" w14:textId="77777777" w:rsidR="00B010E6" w:rsidRPr="001B4CA2" w:rsidRDefault="00B010E6" w:rsidP="00B010E6">
            <w:pPr>
              <w:jc w:val="center"/>
              <w:rPr>
                <w:sz w:val="18"/>
                <w:szCs w:val="18"/>
              </w:rPr>
            </w:pPr>
          </w:p>
        </w:tc>
        <w:tc>
          <w:tcPr>
            <w:tcW w:w="1008" w:type="dxa"/>
            <w:tcBorders>
              <w:top w:val="nil"/>
              <w:left w:val="nil"/>
              <w:bottom w:val="single" w:sz="4" w:space="0" w:color="auto"/>
              <w:right w:val="single" w:sz="4" w:space="0" w:color="auto"/>
            </w:tcBorders>
            <w:shd w:val="clear" w:color="auto" w:fill="auto"/>
            <w:noWrap/>
            <w:vAlign w:val="center"/>
          </w:tcPr>
          <w:p w14:paraId="7A06B79D"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6EBF0143" w14:textId="77777777" w:rsidR="00B010E6" w:rsidRPr="001B4CA2" w:rsidRDefault="00B010E6" w:rsidP="00B010E6">
            <w:pPr>
              <w:jc w:val="center"/>
              <w:rPr>
                <w:sz w:val="18"/>
                <w:szCs w:val="18"/>
              </w:rPr>
            </w:pPr>
          </w:p>
        </w:tc>
        <w:tc>
          <w:tcPr>
            <w:tcW w:w="1165" w:type="dxa"/>
            <w:tcBorders>
              <w:top w:val="nil"/>
              <w:left w:val="nil"/>
              <w:bottom w:val="single" w:sz="4" w:space="0" w:color="auto"/>
              <w:right w:val="single" w:sz="4" w:space="0" w:color="auto"/>
            </w:tcBorders>
            <w:shd w:val="clear" w:color="auto" w:fill="auto"/>
            <w:noWrap/>
            <w:vAlign w:val="center"/>
          </w:tcPr>
          <w:p w14:paraId="30A051AA"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1169B702" w14:textId="77777777" w:rsidR="00B010E6" w:rsidRPr="001B4CA2" w:rsidRDefault="00B010E6" w:rsidP="00B010E6">
            <w:pPr>
              <w:jc w:val="center"/>
              <w:rPr>
                <w:sz w:val="18"/>
                <w:szCs w:val="18"/>
              </w:rPr>
            </w:pPr>
          </w:p>
        </w:tc>
        <w:tc>
          <w:tcPr>
            <w:tcW w:w="1084" w:type="dxa"/>
            <w:tcBorders>
              <w:top w:val="nil"/>
              <w:left w:val="nil"/>
              <w:bottom w:val="single" w:sz="4" w:space="0" w:color="auto"/>
              <w:right w:val="single" w:sz="4" w:space="0" w:color="auto"/>
            </w:tcBorders>
            <w:shd w:val="clear" w:color="auto" w:fill="auto"/>
            <w:noWrap/>
            <w:vAlign w:val="center"/>
          </w:tcPr>
          <w:p w14:paraId="1F9E8FCF" w14:textId="77777777" w:rsidR="00B010E6" w:rsidRPr="001B4CA2" w:rsidRDefault="00B010E6" w:rsidP="00B010E6">
            <w:pPr>
              <w:jc w:val="center"/>
              <w:rPr>
                <w:sz w:val="18"/>
                <w:szCs w:val="18"/>
              </w:rPr>
            </w:pPr>
          </w:p>
        </w:tc>
        <w:tc>
          <w:tcPr>
            <w:tcW w:w="1103" w:type="dxa"/>
            <w:tcBorders>
              <w:top w:val="nil"/>
              <w:left w:val="nil"/>
              <w:bottom w:val="single" w:sz="4" w:space="0" w:color="auto"/>
              <w:right w:val="single" w:sz="4" w:space="0" w:color="auto"/>
            </w:tcBorders>
            <w:shd w:val="clear" w:color="auto" w:fill="auto"/>
            <w:vAlign w:val="center"/>
          </w:tcPr>
          <w:p w14:paraId="20FFC800" w14:textId="77777777" w:rsidR="00B010E6" w:rsidRPr="001B4CA2" w:rsidRDefault="00B010E6" w:rsidP="00B010E6">
            <w:pPr>
              <w:jc w:val="center"/>
              <w:rPr>
                <w:sz w:val="18"/>
                <w:szCs w:val="18"/>
              </w:rPr>
            </w:pPr>
            <w:r w:rsidRPr="001B4CA2">
              <w:rPr>
                <w:sz w:val="18"/>
                <w:szCs w:val="18"/>
              </w:rPr>
              <w:t>3</w:t>
            </w:r>
          </w:p>
        </w:tc>
      </w:tr>
      <w:tr w:rsidR="00B010E6" w:rsidRPr="001B4CA2" w14:paraId="54B2DE8B" w14:textId="77777777" w:rsidTr="001D4F0F">
        <w:trPr>
          <w:gridAfter w:val="1"/>
          <w:wAfter w:w="6" w:type="dxa"/>
          <w:trHeight w:val="290"/>
          <w:jc w:val="center"/>
        </w:trPr>
        <w:tc>
          <w:tcPr>
            <w:tcW w:w="3224" w:type="dxa"/>
            <w:tcBorders>
              <w:top w:val="nil"/>
              <w:left w:val="single" w:sz="4" w:space="0" w:color="auto"/>
              <w:bottom w:val="single" w:sz="4" w:space="0" w:color="auto"/>
              <w:right w:val="single" w:sz="4" w:space="0" w:color="auto"/>
            </w:tcBorders>
            <w:shd w:val="clear" w:color="auto" w:fill="auto"/>
            <w:noWrap/>
            <w:vAlign w:val="center"/>
            <w:hideMark/>
          </w:tcPr>
          <w:p w14:paraId="4B5C6B60" w14:textId="7B341398" w:rsidR="00B010E6" w:rsidRPr="001B4CA2" w:rsidRDefault="00B010E6" w:rsidP="00B010E6">
            <w:pPr>
              <w:jc w:val="left"/>
              <w:rPr>
                <w:b/>
                <w:bCs/>
                <w:sz w:val="16"/>
                <w:szCs w:val="16"/>
                <w:lang w:eastAsia="hr-HR"/>
              </w:rPr>
            </w:pPr>
            <w:r w:rsidRPr="001B4CA2">
              <w:rPr>
                <w:b/>
                <w:bCs/>
                <w:sz w:val="16"/>
                <w:szCs w:val="16"/>
                <w:lang w:eastAsia="hr-HR"/>
              </w:rPr>
              <w:t>UKUPNO</w:t>
            </w:r>
          </w:p>
        </w:tc>
        <w:tc>
          <w:tcPr>
            <w:tcW w:w="1010" w:type="dxa"/>
            <w:tcBorders>
              <w:top w:val="nil"/>
              <w:left w:val="nil"/>
              <w:bottom w:val="single" w:sz="4" w:space="0" w:color="auto"/>
              <w:right w:val="single" w:sz="4" w:space="0" w:color="auto"/>
            </w:tcBorders>
            <w:shd w:val="clear" w:color="auto" w:fill="auto"/>
            <w:noWrap/>
            <w:vAlign w:val="center"/>
          </w:tcPr>
          <w:p w14:paraId="33902AA0" w14:textId="77777777" w:rsidR="00B010E6" w:rsidRPr="00C4437D" w:rsidRDefault="00B010E6" w:rsidP="00B010E6">
            <w:pPr>
              <w:jc w:val="center"/>
              <w:rPr>
                <w:rFonts w:ascii="Calibri" w:hAnsi="Calibri" w:cs="Calibri"/>
                <w:b/>
                <w:bCs/>
                <w:sz w:val="20"/>
                <w:szCs w:val="20"/>
              </w:rPr>
            </w:pPr>
            <w:r w:rsidRPr="00C4437D">
              <w:rPr>
                <w:rFonts w:ascii="Calibri" w:hAnsi="Calibri" w:cs="Calibri"/>
                <w:b/>
                <w:bCs/>
                <w:sz w:val="20"/>
                <w:szCs w:val="20"/>
              </w:rPr>
              <w:t>296</w:t>
            </w:r>
          </w:p>
        </w:tc>
        <w:tc>
          <w:tcPr>
            <w:tcW w:w="1085" w:type="dxa"/>
            <w:tcBorders>
              <w:top w:val="nil"/>
              <w:left w:val="nil"/>
              <w:bottom w:val="single" w:sz="4" w:space="0" w:color="auto"/>
              <w:right w:val="single" w:sz="4" w:space="0" w:color="auto"/>
            </w:tcBorders>
            <w:shd w:val="clear" w:color="auto" w:fill="auto"/>
            <w:noWrap/>
            <w:vAlign w:val="center"/>
          </w:tcPr>
          <w:p w14:paraId="3CC0136B" w14:textId="77777777" w:rsidR="00B010E6" w:rsidRPr="00C4437D" w:rsidRDefault="00B010E6" w:rsidP="00B010E6">
            <w:pPr>
              <w:jc w:val="center"/>
              <w:rPr>
                <w:rFonts w:ascii="Calibri" w:hAnsi="Calibri" w:cs="Calibri"/>
                <w:b/>
                <w:bCs/>
                <w:sz w:val="20"/>
                <w:szCs w:val="20"/>
              </w:rPr>
            </w:pPr>
            <w:r w:rsidRPr="00C4437D">
              <w:rPr>
                <w:rFonts w:ascii="Calibri" w:hAnsi="Calibri" w:cs="Calibri"/>
                <w:b/>
                <w:bCs/>
                <w:sz w:val="20"/>
                <w:szCs w:val="20"/>
              </w:rPr>
              <w:t>1.139</w:t>
            </w:r>
          </w:p>
        </w:tc>
        <w:tc>
          <w:tcPr>
            <w:tcW w:w="1008" w:type="dxa"/>
            <w:tcBorders>
              <w:top w:val="nil"/>
              <w:left w:val="nil"/>
              <w:bottom w:val="single" w:sz="4" w:space="0" w:color="auto"/>
              <w:right w:val="single" w:sz="4" w:space="0" w:color="auto"/>
            </w:tcBorders>
            <w:shd w:val="clear" w:color="auto" w:fill="auto"/>
            <w:noWrap/>
            <w:vAlign w:val="center"/>
          </w:tcPr>
          <w:p w14:paraId="2FB5BACD" w14:textId="77777777" w:rsidR="00B010E6" w:rsidRPr="00C4437D" w:rsidRDefault="00B010E6" w:rsidP="00B010E6">
            <w:pPr>
              <w:jc w:val="center"/>
              <w:rPr>
                <w:rFonts w:ascii="Calibri" w:hAnsi="Calibri" w:cs="Calibri"/>
                <w:b/>
                <w:bCs/>
                <w:sz w:val="20"/>
                <w:szCs w:val="20"/>
              </w:rPr>
            </w:pPr>
            <w:r w:rsidRPr="00C4437D">
              <w:rPr>
                <w:rFonts w:ascii="Calibri" w:hAnsi="Calibri" w:cs="Calibri"/>
                <w:b/>
                <w:bCs/>
                <w:sz w:val="20"/>
                <w:szCs w:val="20"/>
              </w:rPr>
              <w:t>771</w:t>
            </w:r>
          </w:p>
        </w:tc>
        <w:tc>
          <w:tcPr>
            <w:tcW w:w="1084" w:type="dxa"/>
            <w:tcBorders>
              <w:top w:val="nil"/>
              <w:left w:val="nil"/>
              <w:bottom w:val="single" w:sz="4" w:space="0" w:color="auto"/>
              <w:right w:val="single" w:sz="4" w:space="0" w:color="auto"/>
            </w:tcBorders>
            <w:shd w:val="clear" w:color="auto" w:fill="auto"/>
            <w:noWrap/>
            <w:vAlign w:val="center"/>
          </w:tcPr>
          <w:p w14:paraId="69CC1686" w14:textId="77777777" w:rsidR="00B010E6" w:rsidRPr="00C4437D" w:rsidRDefault="00B010E6" w:rsidP="00B010E6">
            <w:pPr>
              <w:jc w:val="center"/>
              <w:rPr>
                <w:rFonts w:ascii="Calibri" w:hAnsi="Calibri" w:cs="Calibri"/>
                <w:b/>
                <w:bCs/>
                <w:sz w:val="20"/>
                <w:szCs w:val="20"/>
              </w:rPr>
            </w:pPr>
            <w:r w:rsidRPr="00C4437D">
              <w:rPr>
                <w:rFonts w:ascii="Calibri" w:hAnsi="Calibri" w:cs="Calibri"/>
                <w:b/>
                <w:bCs/>
                <w:sz w:val="20"/>
                <w:szCs w:val="20"/>
              </w:rPr>
              <w:t>318</w:t>
            </w:r>
          </w:p>
        </w:tc>
        <w:tc>
          <w:tcPr>
            <w:tcW w:w="1008" w:type="dxa"/>
            <w:tcBorders>
              <w:top w:val="nil"/>
              <w:left w:val="nil"/>
              <w:bottom w:val="single" w:sz="4" w:space="0" w:color="auto"/>
              <w:right w:val="single" w:sz="4" w:space="0" w:color="auto"/>
            </w:tcBorders>
            <w:shd w:val="clear" w:color="auto" w:fill="auto"/>
            <w:noWrap/>
            <w:vAlign w:val="center"/>
          </w:tcPr>
          <w:p w14:paraId="5588FA88" w14:textId="77777777" w:rsidR="00B010E6" w:rsidRPr="00C4437D" w:rsidRDefault="00B010E6" w:rsidP="00B010E6">
            <w:pPr>
              <w:jc w:val="center"/>
              <w:rPr>
                <w:rFonts w:ascii="Calibri" w:hAnsi="Calibri" w:cs="Calibri"/>
                <w:b/>
                <w:bCs/>
                <w:sz w:val="20"/>
                <w:szCs w:val="20"/>
              </w:rPr>
            </w:pPr>
            <w:r w:rsidRPr="00C4437D">
              <w:rPr>
                <w:rFonts w:ascii="Calibri" w:hAnsi="Calibri" w:cs="Calibri"/>
                <w:b/>
                <w:bCs/>
                <w:sz w:val="20"/>
                <w:szCs w:val="20"/>
              </w:rPr>
              <w:t>228</w:t>
            </w:r>
          </w:p>
        </w:tc>
        <w:tc>
          <w:tcPr>
            <w:tcW w:w="1084" w:type="dxa"/>
            <w:tcBorders>
              <w:top w:val="nil"/>
              <w:left w:val="nil"/>
              <w:bottom w:val="single" w:sz="4" w:space="0" w:color="auto"/>
              <w:right w:val="single" w:sz="4" w:space="0" w:color="auto"/>
            </w:tcBorders>
            <w:shd w:val="clear" w:color="auto" w:fill="auto"/>
            <w:noWrap/>
            <w:vAlign w:val="center"/>
          </w:tcPr>
          <w:p w14:paraId="030003CF" w14:textId="77777777" w:rsidR="00B010E6" w:rsidRPr="00C4437D" w:rsidRDefault="00B010E6" w:rsidP="00B010E6">
            <w:pPr>
              <w:jc w:val="center"/>
              <w:rPr>
                <w:rFonts w:ascii="Calibri" w:hAnsi="Calibri" w:cs="Calibri"/>
                <w:b/>
                <w:bCs/>
                <w:sz w:val="20"/>
                <w:szCs w:val="20"/>
              </w:rPr>
            </w:pPr>
            <w:r w:rsidRPr="00C4437D">
              <w:rPr>
                <w:rFonts w:ascii="Calibri" w:hAnsi="Calibri" w:cs="Calibri"/>
                <w:b/>
                <w:bCs/>
                <w:sz w:val="20"/>
                <w:szCs w:val="20"/>
              </w:rPr>
              <w:t>430</w:t>
            </w:r>
          </w:p>
        </w:tc>
        <w:tc>
          <w:tcPr>
            <w:tcW w:w="1008" w:type="dxa"/>
            <w:tcBorders>
              <w:top w:val="nil"/>
              <w:left w:val="nil"/>
              <w:bottom w:val="single" w:sz="4" w:space="0" w:color="auto"/>
              <w:right w:val="single" w:sz="4" w:space="0" w:color="auto"/>
            </w:tcBorders>
            <w:shd w:val="clear" w:color="auto" w:fill="auto"/>
            <w:noWrap/>
            <w:vAlign w:val="center"/>
          </w:tcPr>
          <w:p w14:paraId="329ECBDB" w14:textId="77777777" w:rsidR="00B010E6" w:rsidRPr="00C4437D" w:rsidRDefault="00B010E6" w:rsidP="00B010E6">
            <w:pPr>
              <w:jc w:val="center"/>
              <w:rPr>
                <w:rFonts w:ascii="Calibri" w:hAnsi="Calibri" w:cs="Calibri"/>
                <w:b/>
                <w:bCs/>
                <w:sz w:val="20"/>
                <w:szCs w:val="20"/>
              </w:rPr>
            </w:pPr>
            <w:r w:rsidRPr="00C4437D">
              <w:rPr>
                <w:rFonts w:ascii="Calibri" w:hAnsi="Calibri" w:cs="Calibri"/>
                <w:b/>
                <w:bCs/>
                <w:sz w:val="20"/>
                <w:szCs w:val="20"/>
              </w:rPr>
              <w:t>14</w:t>
            </w:r>
          </w:p>
        </w:tc>
        <w:tc>
          <w:tcPr>
            <w:tcW w:w="1084" w:type="dxa"/>
            <w:tcBorders>
              <w:top w:val="nil"/>
              <w:left w:val="nil"/>
              <w:bottom w:val="single" w:sz="4" w:space="0" w:color="auto"/>
              <w:right w:val="single" w:sz="4" w:space="0" w:color="auto"/>
            </w:tcBorders>
            <w:shd w:val="clear" w:color="auto" w:fill="auto"/>
            <w:noWrap/>
            <w:vAlign w:val="center"/>
          </w:tcPr>
          <w:p w14:paraId="10FF581F" w14:textId="77777777" w:rsidR="00B010E6" w:rsidRPr="00C4437D" w:rsidRDefault="00B010E6" w:rsidP="00B010E6">
            <w:pPr>
              <w:jc w:val="center"/>
              <w:rPr>
                <w:rFonts w:ascii="Calibri" w:hAnsi="Calibri" w:cs="Calibri"/>
                <w:b/>
                <w:bCs/>
                <w:sz w:val="20"/>
                <w:szCs w:val="20"/>
              </w:rPr>
            </w:pPr>
            <w:r w:rsidRPr="00C4437D">
              <w:rPr>
                <w:rFonts w:ascii="Calibri" w:hAnsi="Calibri" w:cs="Calibri"/>
                <w:b/>
                <w:bCs/>
                <w:sz w:val="20"/>
                <w:szCs w:val="20"/>
              </w:rPr>
              <w:t>669</w:t>
            </w:r>
          </w:p>
        </w:tc>
        <w:tc>
          <w:tcPr>
            <w:tcW w:w="1165" w:type="dxa"/>
            <w:tcBorders>
              <w:top w:val="nil"/>
              <w:left w:val="nil"/>
              <w:bottom w:val="single" w:sz="4" w:space="0" w:color="auto"/>
              <w:right w:val="single" w:sz="4" w:space="0" w:color="auto"/>
            </w:tcBorders>
            <w:shd w:val="clear" w:color="auto" w:fill="auto"/>
            <w:noWrap/>
            <w:vAlign w:val="center"/>
          </w:tcPr>
          <w:p w14:paraId="2EE45349" w14:textId="77777777" w:rsidR="00B010E6" w:rsidRPr="00C4437D" w:rsidRDefault="00B010E6" w:rsidP="00B010E6">
            <w:pPr>
              <w:jc w:val="center"/>
              <w:rPr>
                <w:rFonts w:ascii="Calibri" w:hAnsi="Calibri" w:cs="Calibri"/>
                <w:b/>
                <w:bCs/>
                <w:sz w:val="20"/>
                <w:szCs w:val="20"/>
              </w:rPr>
            </w:pPr>
            <w:r w:rsidRPr="00C4437D">
              <w:rPr>
                <w:rFonts w:ascii="Calibri" w:hAnsi="Calibri" w:cs="Calibri"/>
                <w:b/>
                <w:bCs/>
                <w:sz w:val="20"/>
                <w:szCs w:val="20"/>
              </w:rPr>
              <w:t>13</w:t>
            </w:r>
          </w:p>
        </w:tc>
        <w:tc>
          <w:tcPr>
            <w:tcW w:w="1084" w:type="dxa"/>
            <w:tcBorders>
              <w:top w:val="nil"/>
              <w:left w:val="nil"/>
              <w:bottom w:val="single" w:sz="4" w:space="0" w:color="auto"/>
              <w:right w:val="single" w:sz="4" w:space="0" w:color="auto"/>
            </w:tcBorders>
            <w:shd w:val="clear" w:color="auto" w:fill="auto"/>
            <w:noWrap/>
            <w:vAlign w:val="center"/>
          </w:tcPr>
          <w:p w14:paraId="085BEFF0" w14:textId="77777777" w:rsidR="00B010E6" w:rsidRPr="00C4437D" w:rsidRDefault="00B010E6" w:rsidP="00B010E6">
            <w:pPr>
              <w:jc w:val="center"/>
              <w:rPr>
                <w:rFonts w:ascii="Calibri" w:hAnsi="Calibri" w:cs="Calibri"/>
                <w:b/>
                <w:bCs/>
                <w:sz w:val="20"/>
                <w:szCs w:val="20"/>
              </w:rPr>
            </w:pPr>
            <w:r w:rsidRPr="00C4437D">
              <w:rPr>
                <w:rFonts w:ascii="Calibri" w:hAnsi="Calibri" w:cs="Calibri"/>
                <w:b/>
                <w:bCs/>
                <w:sz w:val="20"/>
                <w:szCs w:val="20"/>
              </w:rPr>
              <w:t>124</w:t>
            </w:r>
          </w:p>
        </w:tc>
        <w:tc>
          <w:tcPr>
            <w:tcW w:w="1084" w:type="dxa"/>
            <w:tcBorders>
              <w:top w:val="nil"/>
              <w:left w:val="nil"/>
              <w:bottom w:val="single" w:sz="4" w:space="0" w:color="auto"/>
              <w:right w:val="single" w:sz="4" w:space="0" w:color="auto"/>
            </w:tcBorders>
            <w:shd w:val="clear" w:color="auto" w:fill="auto"/>
            <w:noWrap/>
            <w:vAlign w:val="center"/>
          </w:tcPr>
          <w:p w14:paraId="4A108A8D" w14:textId="77777777" w:rsidR="00B010E6" w:rsidRPr="00C4437D" w:rsidRDefault="00B010E6" w:rsidP="00B010E6">
            <w:pPr>
              <w:jc w:val="center"/>
              <w:rPr>
                <w:rFonts w:ascii="Calibri" w:hAnsi="Calibri" w:cs="Calibri"/>
                <w:b/>
                <w:bCs/>
                <w:sz w:val="20"/>
                <w:szCs w:val="20"/>
              </w:rPr>
            </w:pPr>
            <w:r w:rsidRPr="00C4437D">
              <w:rPr>
                <w:rFonts w:ascii="Calibri" w:hAnsi="Calibri" w:cs="Calibri"/>
                <w:b/>
                <w:bCs/>
                <w:sz w:val="20"/>
                <w:szCs w:val="20"/>
              </w:rPr>
              <w:t>1.322</w:t>
            </w:r>
          </w:p>
        </w:tc>
        <w:tc>
          <w:tcPr>
            <w:tcW w:w="1103" w:type="dxa"/>
            <w:tcBorders>
              <w:top w:val="nil"/>
              <w:left w:val="nil"/>
              <w:bottom w:val="single" w:sz="4" w:space="0" w:color="auto"/>
              <w:right w:val="single" w:sz="4" w:space="0" w:color="auto"/>
            </w:tcBorders>
            <w:shd w:val="clear" w:color="auto" w:fill="auto"/>
            <w:vAlign w:val="center"/>
          </w:tcPr>
          <w:p w14:paraId="77A01E2F" w14:textId="77777777" w:rsidR="00B010E6" w:rsidRPr="00C4437D" w:rsidRDefault="00B010E6" w:rsidP="00B010E6">
            <w:pPr>
              <w:jc w:val="center"/>
              <w:rPr>
                <w:rFonts w:ascii="Calibri" w:hAnsi="Calibri" w:cs="Calibri"/>
                <w:b/>
                <w:bCs/>
                <w:sz w:val="20"/>
                <w:szCs w:val="20"/>
              </w:rPr>
            </w:pPr>
            <w:r w:rsidRPr="00C4437D">
              <w:rPr>
                <w:rFonts w:ascii="Calibri" w:hAnsi="Calibri" w:cs="Calibri"/>
                <w:b/>
                <w:bCs/>
                <w:sz w:val="20"/>
                <w:szCs w:val="20"/>
              </w:rPr>
              <w:t>2.680</w:t>
            </w:r>
          </w:p>
        </w:tc>
      </w:tr>
    </w:tbl>
    <w:p w14:paraId="7BD1BE1F" w14:textId="77777777" w:rsidR="00B03CEB" w:rsidRPr="001B4CA2" w:rsidRDefault="00B03CEB" w:rsidP="006806D3">
      <w:pPr>
        <w:sectPr w:rsidR="00B03CEB" w:rsidRPr="001B4CA2" w:rsidSect="007418AF">
          <w:pgSz w:w="16838" w:h="11906" w:orient="landscape"/>
          <w:pgMar w:top="1417" w:right="1417" w:bottom="568" w:left="1417" w:header="709" w:footer="709" w:gutter="0"/>
          <w:cols w:space="708"/>
          <w:docGrid w:linePitch="360"/>
        </w:sectPr>
      </w:pPr>
    </w:p>
    <w:p w14:paraId="2A2EA2DA" w14:textId="77777777" w:rsidR="00012A23" w:rsidRPr="001B4CA2" w:rsidRDefault="00012A23" w:rsidP="00012A23">
      <w:pPr>
        <w:tabs>
          <w:tab w:val="left" w:pos="709"/>
          <w:tab w:val="left" w:pos="1418"/>
          <w:tab w:val="left" w:pos="4284"/>
        </w:tabs>
        <w:rPr>
          <w:rFonts w:eastAsia="Times New Roman"/>
          <w:lang w:eastAsia="hr-HR"/>
        </w:rPr>
      </w:pPr>
    </w:p>
    <w:p w14:paraId="0147274E" w14:textId="36C8E0CC" w:rsidR="00B010E6" w:rsidRPr="001B4CA2" w:rsidRDefault="00B010E6" w:rsidP="00B010E6">
      <w:pPr>
        <w:ind w:firstLine="708"/>
        <w:rPr>
          <w:rFonts w:asciiTheme="minorHAnsi" w:hAnsiTheme="minorHAnsi" w:cstheme="minorBidi"/>
          <w:szCs w:val="22"/>
        </w:rPr>
      </w:pPr>
      <w:r w:rsidRPr="001B4CA2">
        <w:rPr>
          <w:rFonts w:asciiTheme="minorHAnsi" w:hAnsiTheme="minorHAnsi" w:cstheme="minorBidi"/>
          <w:szCs w:val="22"/>
        </w:rPr>
        <w:t>Tijekom 2022. godine 26</w:t>
      </w:r>
      <w:r w:rsidR="00840C0E">
        <w:rPr>
          <w:rFonts w:asciiTheme="minorHAnsi" w:hAnsiTheme="minorHAnsi" w:cstheme="minorBidi"/>
          <w:szCs w:val="22"/>
        </w:rPr>
        <w:t> </w:t>
      </w:r>
      <w:r w:rsidRPr="001B4CA2">
        <w:rPr>
          <w:rFonts w:asciiTheme="minorHAnsi" w:hAnsiTheme="minorHAnsi" w:cstheme="minorBidi"/>
          <w:szCs w:val="22"/>
        </w:rPr>
        <w:t>% sporova proiz</w:t>
      </w:r>
      <w:r w:rsidR="00840C0E">
        <w:rPr>
          <w:rFonts w:asciiTheme="minorHAnsi" w:hAnsiTheme="minorHAnsi" w:cstheme="minorBidi"/>
          <w:szCs w:val="22"/>
        </w:rPr>
        <w:t>i</w:t>
      </w:r>
      <w:r w:rsidRPr="001B4CA2">
        <w:rPr>
          <w:rFonts w:asciiTheme="minorHAnsi" w:hAnsiTheme="minorHAnsi" w:cstheme="minorBidi"/>
          <w:szCs w:val="22"/>
        </w:rPr>
        <w:t xml:space="preserve">šlo je iz djelokruga rada Ministarstva prostornog uređenja, graditeljstva i državne imovine, a najvećim se </w:t>
      </w:r>
      <w:r w:rsidR="00840C0E" w:rsidRPr="001B4CA2">
        <w:rPr>
          <w:rFonts w:asciiTheme="minorHAnsi" w:hAnsiTheme="minorHAnsi" w:cstheme="minorBidi"/>
          <w:szCs w:val="22"/>
        </w:rPr>
        <w:t xml:space="preserve">dijelom </w:t>
      </w:r>
      <w:r w:rsidRPr="001B4CA2">
        <w:rPr>
          <w:rFonts w:asciiTheme="minorHAnsi" w:hAnsiTheme="minorHAnsi" w:cstheme="minorBidi"/>
          <w:szCs w:val="22"/>
        </w:rPr>
        <w:t>radi</w:t>
      </w:r>
      <w:r w:rsidR="009E6D91" w:rsidRPr="001B4CA2">
        <w:rPr>
          <w:rFonts w:asciiTheme="minorHAnsi" w:hAnsiTheme="minorHAnsi" w:cstheme="minorBidi"/>
          <w:szCs w:val="22"/>
        </w:rPr>
        <w:t>lo</w:t>
      </w:r>
      <w:r w:rsidRPr="001B4CA2">
        <w:rPr>
          <w:rFonts w:asciiTheme="minorHAnsi" w:hAnsiTheme="minorHAnsi" w:cstheme="minorBidi"/>
          <w:szCs w:val="22"/>
        </w:rPr>
        <w:t xml:space="preserve"> o </w:t>
      </w:r>
      <w:proofErr w:type="spellStart"/>
      <w:r w:rsidRPr="001B4CA2">
        <w:rPr>
          <w:rFonts w:asciiTheme="minorHAnsi" w:hAnsiTheme="minorHAnsi" w:cstheme="minorBidi"/>
          <w:szCs w:val="22"/>
        </w:rPr>
        <w:t>stvarnopravnim</w:t>
      </w:r>
      <w:proofErr w:type="spellEnd"/>
      <w:r w:rsidRPr="001B4CA2">
        <w:rPr>
          <w:rFonts w:asciiTheme="minorHAnsi" w:hAnsiTheme="minorHAnsi" w:cstheme="minorBidi"/>
          <w:szCs w:val="22"/>
        </w:rPr>
        <w:t xml:space="preserve"> sporovima u kojima se </w:t>
      </w:r>
      <w:r w:rsidR="00840C0E">
        <w:rPr>
          <w:rFonts w:asciiTheme="minorHAnsi" w:hAnsiTheme="minorHAnsi" w:cstheme="minorBidi"/>
          <w:szCs w:val="22"/>
        </w:rPr>
        <w:t>M</w:t>
      </w:r>
      <w:r w:rsidRPr="001B4CA2">
        <w:rPr>
          <w:rFonts w:asciiTheme="minorHAnsi" w:hAnsiTheme="minorHAnsi" w:cstheme="minorBidi"/>
          <w:szCs w:val="22"/>
        </w:rPr>
        <w:t>inistarstvo nalazi</w:t>
      </w:r>
      <w:r w:rsidR="009E6D91" w:rsidRPr="001B4CA2">
        <w:rPr>
          <w:rFonts w:asciiTheme="minorHAnsi" w:hAnsiTheme="minorHAnsi" w:cstheme="minorBidi"/>
          <w:szCs w:val="22"/>
        </w:rPr>
        <w:t>lo</w:t>
      </w:r>
      <w:r w:rsidRPr="001B4CA2">
        <w:rPr>
          <w:rFonts w:asciiTheme="minorHAnsi" w:hAnsiTheme="minorHAnsi" w:cstheme="minorBidi"/>
          <w:szCs w:val="22"/>
        </w:rPr>
        <w:t xml:space="preserve"> na tuženoj strani.</w:t>
      </w:r>
    </w:p>
    <w:p w14:paraId="21BB9ACD" w14:textId="77777777" w:rsidR="00B010E6" w:rsidRPr="001B4CA2" w:rsidRDefault="00B010E6" w:rsidP="00B010E6">
      <w:pPr>
        <w:ind w:firstLine="708"/>
        <w:rPr>
          <w:rFonts w:asciiTheme="minorHAnsi" w:hAnsiTheme="minorHAnsi" w:cstheme="minorBidi"/>
          <w:szCs w:val="22"/>
        </w:rPr>
      </w:pPr>
    </w:p>
    <w:p w14:paraId="352E7E8B" w14:textId="160B64CC" w:rsidR="00B010E6" w:rsidRPr="001B4CA2" w:rsidRDefault="00B010E6" w:rsidP="00B010E6">
      <w:pPr>
        <w:ind w:firstLine="708"/>
        <w:rPr>
          <w:rFonts w:asciiTheme="minorHAnsi" w:hAnsiTheme="minorHAnsi" w:cstheme="minorBidi"/>
          <w:szCs w:val="22"/>
        </w:rPr>
      </w:pPr>
      <w:r w:rsidRPr="001B4CA2">
        <w:rPr>
          <w:rFonts w:asciiTheme="minorHAnsi" w:hAnsiTheme="minorHAnsi" w:cstheme="minorBidi"/>
          <w:szCs w:val="22"/>
        </w:rPr>
        <w:t>Iz djelokruga rada Ministarstva poljoprivrede proiz</w:t>
      </w:r>
      <w:r w:rsidR="00840C0E">
        <w:rPr>
          <w:rFonts w:asciiTheme="minorHAnsi" w:hAnsiTheme="minorHAnsi" w:cstheme="minorBidi"/>
          <w:szCs w:val="22"/>
        </w:rPr>
        <w:t>i</w:t>
      </w:r>
      <w:r w:rsidRPr="001B4CA2">
        <w:rPr>
          <w:rFonts w:asciiTheme="minorHAnsi" w:hAnsiTheme="minorHAnsi" w:cstheme="minorBidi"/>
          <w:szCs w:val="22"/>
        </w:rPr>
        <w:t>šlo je 15</w:t>
      </w:r>
      <w:r w:rsidR="00840C0E">
        <w:rPr>
          <w:rFonts w:asciiTheme="minorHAnsi" w:hAnsiTheme="minorHAnsi" w:cstheme="minorBidi"/>
          <w:szCs w:val="22"/>
        </w:rPr>
        <w:t> </w:t>
      </w:r>
      <w:r w:rsidRPr="001B4CA2">
        <w:rPr>
          <w:rFonts w:asciiTheme="minorHAnsi" w:hAnsiTheme="minorHAnsi" w:cstheme="minorBidi"/>
          <w:szCs w:val="22"/>
        </w:rPr>
        <w:t>% sporova koji</w:t>
      </w:r>
      <w:r w:rsidR="009E6D91" w:rsidRPr="001B4CA2">
        <w:rPr>
          <w:rFonts w:asciiTheme="minorHAnsi" w:hAnsiTheme="minorHAnsi" w:cstheme="minorBidi"/>
          <w:szCs w:val="22"/>
        </w:rPr>
        <w:t xml:space="preserve"> su</w:t>
      </w:r>
      <w:r w:rsidRPr="001B4CA2">
        <w:rPr>
          <w:rFonts w:asciiTheme="minorHAnsi" w:hAnsiTheme="minorHAnsi" w:cstheme="minorBidi"/>
          <w:szCs w:val="22"/>
        </w:rPr>
        <w:t xml:space="preserve"> se većinom odnos</w:t>
      </w:r>
      <w:r w:rsidR="009E6D91" w:rsidRPr="001B4CA2">
        <w:rPr>
          <w:rFonts w:asciiTheme="minorHAnsi" w:hAnsiTheme="minorHAnsi" w:cstheme="minorBidi"/>
          <w:szCs w:val="22"/>
        </w:rPr>
        <w:t>ili</w:t>
      </w:r>
      <w:r w:rsidRPr="001B4CA2">
        <w:rPr>
          <w:rFonts w:asciiTheme="minorHAnsi" w:hAnsiTheme="minorHAnsi" w:cstheme="minorBidi"/>
          <w:szCs w:val="22"/>
        </w:rPr>
        <w:t xml:space="preserve"> na </w:t>
      </w:r>
      <w:proofErr w:type="spellStart"/>
      <w:r w:rsidRPr="001B4CA2">
        <w:rPr>
          <w:rFonts w:asciiTheme="minorHAnsi" w:hAnsiTheme="minorHAnsi" w:cstheme="minorBidi"/>
          <w:szCs w:val="22"/>
        </w:rPr>
        <w:t>stvarnopravne</w:t>
      </w:r>
      <w:proofErr w:type="spellEnd"/>
      <w:r w:rsidRPr="001B4CA2">
        <w:rPr>
          <w:rFonts w:asciiTheme="minorHAnsi" w:hAnsiTheme="minorHAnsi" w:cstheme="minorBidi"/>
          <w:szCs w:val="22"/>
        </w:rPr>
        <w:t xml:space="preserve"> sporove.</w:t>
      </w:r>
    </w:p>
    <w:p w14:paraId="53B97831" w14:textId="77777777" w:rsidR="00B010E6" w:rsidRPr="001B4CA2" w:rsidRDefault="00B010E6" w:rsidP="00B010E6">
      <w:pPr>
        <w:ind w:firstLine="708"/>
        <w:rPr>
          <w:rFonts w:asciiTheme="minorHAnsi" w:hAnsiTheme="minorHAnsi" w:cstheme="minorBidi"/>
          <w:szCs w:val="22"/>
        </w:rPr>
      </w:pPr>
    </w:p>
    <w:p w14:paraId="0D44E242" w14:textId="32FD9622" w:rsidR="00B010E6" w:rsidRPr="001B4CA2" w:rsidRDefault="00B010E6" w:rsidP="00B010E6">
      <w:pPr>
        <w:ind w:firstLine="708"/>
        <w:rPr>
          <w:rFonts w:asciiTheme="minorHAnsi" w:hAnsiTheme="minorHAnsi" w:cstheme="minorBidi"/>
          <w:szCs w:val="22"/>
        </w:rPr>
      </w:pPr>
      <w:r w:rsidRPr="001B4CA2">
        <w:rPr>
          <w:rFonts w:asciiTheme="minorHAnsi" w:hAnsiTheme="minorHAnsi" w:cstheme="minorBidi"/>
          <w:szCs w:val="22"/>
        </w:rPr>
        <w:t>Ministarstvo obrane sudjel</w:t>
      </w:r>
      <w:r w:rsidR="009E6D91" w:rsidRPr="001B4CA2">
        <w:rPr>
          <w:rFonts w:asciiTheme="minorHAnsi" w:hAnsiTheme="minorHAnsi" w:cstheme="minorBidi"/>
          <w:szCs w:val="22"/>
        </w:rPr>
        <w:t>ovalo je</w:t>
      </w:r>
      <w:r w:rsidRPr="001B4CA2">
        <w:rPr>
          <w:rFonts w:asciiTheme="minorHAnsi" w:hAnsiTheme="minorHAnsi" w:cstheme="minorBidi"/>
          <w:szCs w:val="22"/>
        </w:rPr>
        <w:t xml:space="preserve"> u ukupnom broju parničnih sporova s 11</w:t>
      </w:r>
      <w:r w:rsidR="00840C0E">
        <w:rPr>
          <w:rFonts w:asciiTheme="minorHAnsi" w:hAnsiTheme="minorHAnsi" w:cstheme="minorBidi"/>
          <w:szCs w:val="22"/>
        </w:rPr>
        <w:t> </w:t>
      </w:r>
      <w:r w:rsidRPr="001B4CA2">
        <w:rPr>
          <w:rFonts w:asciiTheme="minorHAnsi" w:hAnsiTheme="minorHAnsi" w:cstheme="minorBidi"/>
          <w:szCs w:val="22"/>
        </w:rPr>
        <w:t>%, a radi</w:t>
      </w:r>
      <w:r w:rsidR="009E6D91" w:rsidRPr="001B4CA2">
        <w:rPr>
          <w:rFonts w:asciiTheme="minorHAnsi" w:hAnsiTheme="minorHAnsi" w:cstheme="minorBidi"/>
          <w:szCs w:val="22"/>
        </w:rPr>
        <w:t>lo</w:t>
      </w:r>
      <w:r w:rsidRPr="001B4CA2">
        <w:rPr>
          <w:rFonts w:asciiTheme="minorHAnsi" w:hAnsiTheme="minorHAnsi" w:cstheme="minorBidi"/>
          <w:szCs w:val="22"/>
        </w:rPr>
        <w:t xml:space="preserve"> se pretežno o radnim i </w:t>
      </w:r>
      <w:proofErr w:type="spellStart"/>
      <w:r w:rsidRPr="001B4CA2">
        <w:rPr>
          <w:rFonts w:asciiTheme="minorHAnsi" w:hAnsiTheme="minorHAnsi" w:cstheme="minorBidi"/>
          <w:szCs w:val="22"/>
        </w:rPr>
        <w:t>obveznopravnim</w:t>
      </w:r>
      <w:proofErr w:type="spellEnd"/>
      <w:r w:rsidRPr="001B4CA2">
        <w:rPr>
          <w:rFonts w:asciiTheme="minorHAnsi" w:hAnsiTheme="minorHAnsi" w:cstheme="minorBidi"/>
          <w:szCs w:val="22"/>
        </w:rPr>
        <w:t xml:space="preserve"> sporovima, dok</w:t>
      </w:r>
      <w:r w:rsidR="009E6D91" w:rsidRPr="001B4CA2">
        <w:rPr>
          <w:rFonts w:asciiTheme="minorHAnsi" w:hAnsiTheme="minorHAnsi" w:cstheme="minorBidi"/>
          <w:szCs w:val="22"/>
        </w:rPr>
        <w:t xml:space="preserve"> je</w:t>
      </w:r>
      <w:r w:rsidRPr="001B4CA2">
        <w:rPr>
          <w:rFonts w:asciiTheme="minorHAnsi" w:hAnsiTheme="minorHAnsi" w:cstheme="minorBidi"/>
          <w:szCs w:val="22"/>
        </w:rPr>
        <w:t xml:space="preserve"> Ministarstvo unutarnjih poslova u ukupnom broju sudjel</w:t>
      </w:r>
      <w:r w:rsidR="009E6D91" w:rsidRPr="001B4CA2">
        <w:rPr>
          <w:rFonts w:asciiTheme="minorHAnsi" w:hAnsiTheme="minorHAnsi" w:cstheme="minorBidi"/>
          <w:szCs w:val="22"/>
        </w:rPr>
        <w:t>ovalo</w:t>
      </w:r>
      <w:r w:rsidRPr="001B4CA2">
        <w:rPr>
          <w:rFonts w:asciiTheme="minorHAnsi" w:hAnsiTheme="minorHAnsi" w:cstheme="minorBidi"/>
          <w:szCs w:val="22"/>
        </w:rPr>
        <w:t xml:space="preserve"> također s 11</w:t>
      </w:r>
      <w:r w:rsidR="00840C0E">
        <w:rPr>
          <w:rFonts w:asciiTheme="minorHAnsi" w:hAnsiTheme="minorHAnsi" w:cstheme="minorBidi"/>
          <w:szCs w:val="22"/>
        </w:rPr>
        <w:t> </w:t>
      </w:r>
      <w:r w:rsidRPr="001B4CA2">
        <w:rPr>
          <w:rFonts w:asciiTheme="minorHAnsi" w:hAnsiTheme="minorHAnsi" w:cstheme="minorBidi"/>
          <w:szCs w:val="22"/>
        </w:rPr>
        <w:t>% pretežno radnih sporova.</w:t>
      </w:r>
    </w:p>
    <w:p w14:paraId="26A8AFBB" w14:textId="77777777" w:rsidR="00B010E6" w:rsidRPr="001B4CA2" w:rsidRDefault="00B010E6" w:rsidP="00B010E6">
      <w:pPr>
        <w:ind w:firstLine="708"/>
        <w:rPr>
          <w:rFonts w:asciiTheme="minorHAnsi" w:hAnsiTheme="minorHAnsi" w:cstheme="minorBidi"/>
          <w:szCs w:val="22"/>
        </w:rPr>
      </w:pPr>
    </w:p>
    <w:p w14:paraId="306A63CA" w14:textId="23133D66" w:rsidR="00B010E6" w:rsidRPr="001B4CA2" w:rsidRDefault="00B010E6" w:rsidP="00B010E6">
      <w:pPr>
        <w:ind w:firstLine="708"/>
        <w:rPr>
          <w:rFonts w:asciiTheme="minorHAnsi" w:hAnsiTheme="minorHAnsi" w:cstheme="minorBidi"/>
          <w:szCs w:val="22"/>
        </w:rPr>
      </w:pPr>
      <w:r w:rsidRPr="001B4CA2">
        <w:rPr>
          <w:rFonts w:asciiTheme="minorHAnsi" w:hAnsiTheme="minorHAnsi" w:cstheme="minorBidi"/>
          <w:szCs w:val="22"/>
        </w:rPr>
        <w:t>Ostala državna tijela sudjel</w:t>
      </w:r>
      <w:r w:rsidR="009E6D91" w:rsidRPr="001B4CA2">
        <w:rPr>
          <w:rFonts w:asciiTheme="minorHAnsi" w:hAnsiTheme="minorHAnsi" w:cstheme="minorBidi"/>
          <w:szCs w:val="22"/>
        </w:rPr>
        <w:t>ovala su</w:t>
      </w:r>
      <w:r w:rsidRPr="001B4CA2">
        <w:rPr>
          <w:rFonts w:asciiTheme="minorHAnsi" w:hAnsiTheme="minorHAnsi" w:cstheme="minorBidi"/>
          <w:szCs w:val="22"/>
        </w:rPr>
        <w:t xml:space="preserve"> u ukupnom broju sporova s manje od 10</w:t>
      </w:r>
      <w:r w:rsidR="00840C0E">
        <w:rPr>
          <w:rFonts w:asciiTheme="minorHAnsi" w:hAnsiTheme="minorHAnsi" w:cstheme="minorBidi"/>
          <w:szCs w:val="22"/>
        </w:rPr>
        <w:t> </w:t>
      </w:r>
      <w:r w:rsidRPr="001B4CA2">
        <w:rPr>
          <w:rFonts w:asciiTheme="minorHAnsi" w:hAnsiTheme="minorHAnsi" w:cstheme="minorBidi"/>
          <w:szCs w:val="22"/>
        </w:rPr>
        <w:t>%.</w:t>
      </w:r>
    </w:p>
    <w:p w14:paraId="7C830177" w14:textId="77777777" w:rsidR="00B010E6" w:rsidRPr="001B4CA2" w:rsidRDefault="00B010E6" w:rsidP="00B010E6">
      <w:pPr>
        <w:ind w:firstLine="708"/>
        <w:rPr>
          <w:rFonts w:asciiTheme="minorHAnsi" w:hAnsiTheme="minorHAnsi" w:cstheme="minorBidi"/>
          <w:szCs w:val="22"/>
        </w:rPr>
      </w:pPr>
    </w:p>
    <w:p w14:paraId="48DC1E34" w14:textId="34A7A303" w:rsidR="00B010E6" w:rsidRPr="001B4CA2" w:rsidRDefault="00B010E6" w:rsidP="00B010E6">
      <w:pPr>
        <w:ind w:firstLine="708"/>
        <w:rPr>
          <w:rFonts w:asciiTheme="minorHAnsi" w:hAnsiTheme="minorHAnsi" w:cstheme="minorBidi"/>
          <w:szCs w:val="22"/>
        </w:rPr>
      </w:pPr>
      <w:r w:rsidRPr="001B4CA2">
        <w:rPr>
          <w:rFonts w:asciiTheme="minorHAnsi" w:hAnsiTheme="minorHAnsi" w:cstheme="minorBidi"/>
          <w:szCs w:val="22"/>
        </w:rPr>
        <w:t xml:space="preserve">Iz podataka u gornjoj tablici proizlazi da je Republika Hrvatska prema procesnom položaju samo u </w:t>
      </w:r>
      <w:proofErr w:type="spellStart"/>
      <w:r w:rsidRPr="001B4CA2">
        <w:rPr>
          <w:rFonts w:asciiTheme="minorHAnsi" w:hAnsiTheme="minorHAnsi" w:cstheme="minorBidi"/>
          <w:szCs w:val="22"/>
        </w:rPr>
        <w:t>obveznopravnim</w:t>
      </w:r>
      <w:proofErr w:type="spellEnd"/>
      <w:r w:rsidRPr="001B4CA2">
        <w:rPr>
          <w:rFonts w:asciiTheme="minorHAnsi" w:hAnsiTheme="minorHAnsi" w:cstheme="minorBidi"/>
          <w:szCs w:val="22"/>
        </w:rPr>
        <w:t xml:space="preserve"> sporovima</w:t>
      </w:r>
      <w:r w:rsidR="009E6D91" w:rsidRPr="001B4CA2">
        <w:rPr>
          <w:rFonts w:asciiTheme="minorHAnsi" w:hAnsiTheme="minorHAnsi" w:cstheme="minorBidi"/>
          <w:szCs w:val="22"/>
        </w:rPr>
        <w:t xml:space="preserve"> bila</w:t>
      </w:r>
      <w:r w:rsidRPr="001B4CA2">
        <w:rPr>
          <w:rFonts w:asciiTheme="minorHAnsi" w:hAnsiTheme="minorHAnsi" w:cstheme="minorBidi"/>
          <w:szCs w:val="22"/>
        </w:rPr>
        <w:t xml:space="preserve"> u većem broju na strani tužitelja nego na tuženoj strani, dok je u svim ostalim sporovima situacija obrnuta.</w:t>
      </w:r>
    </w:p>
    <w:p w14:paraId="65587846" w14:textId="77777777" w:rsidR="0092494A" w:rsidRPr="001B4CA2" w:rsidRDefault="0092494A" w:rsidP="00856CD1">
      <w:pPr>
        <w:tabs>
          <w:tab w:val="left" w:pos="709"/>
          <w:tab w:val="left" w:pos="1418"/>
          <w:tab w:val="left" w:pos="4284"/>
        </w:tabs>
        <w:rPr>
          <w:rFonts w:eastAsia="Times New Roman"/>
          <w:lang w:eastAsia="hr-HR"/>
        </w:rPr>
      </w:pPr>
    </w:p>
    <w:p w14:paraId="15D717CD" w14:textId="4440DA86" w:rsidR="002A30A5" w:rsidRPr="001B4CA2" w:rsidRDefault="00BB4D48" w:rsidP="003555B6">
      <w:pPr>
        <w:pStyle w:val="Naslov4"/>
        <w:ind w:left="709" w:hanging="709"/>
        <w:rPr>
          <w:rFonts w:ascii="Arial" w:hAnsi="Arial" w:cs="Arial"/>
        </w:rPr>
      </w:pPr>
      <w:bookmarkStart w:id="67" w:name="_Toc133394327"/>
      <w:r w:rsidRPr="001B4CA2">
        <w:rPr>
          <w:rFonts w:ascii="Arial" w:hAnsi="Arial" w:cs="Arial"/>
        </w:rPr>
        <w:t>Odluke općinskih sudova u parni</w:t>
      </w:r>
      <w:r w:rsidR="00B24E4C" w:rsidRPr="001B4CA2">
        <w:rPr>
          <w:rFonts w:ascii="Arial" w:hAnsi="Arial" w:cs="Arial"/>
        </w:rPr>
        <w:t xml:space="preserve">cama u kojima zastupa državno </w:t>
      </w:r>
      <w:r w:rsidR="00CE234E" w:rsidRPr="001B4CA2">
        <w:rPr>
          <w:rFonts w:ascii="Arial" w:hAnsi="Arial" w:cs="Arial"/>
        </w:rPr>
        <w:t>odvjetništvo</w:t>
      </w:r>
      <w:bookmarkEnd w:id="67"/>
    </w:p>
    <w:p w14:paraId="070C13B6" w14:textId="77777777" w:rsidR="00AC6AE5" w:rsidRPr="001B4CA2" w:rsidRDefault="00AC6AE5" w:rsidP="00AC6AE5"/>
    <w:p w14:paraId="63828294" w14:textId="589A3C3C" w:rsidR="00B010E6" w:rsidRPr="001B4CA2" w:rsidRDefault="00B010E6" w:rsidP="00B010E6">
      <w:pPr>
        <w:pStyle w:val="Odlomakpopisa"/>
        <w:numPr>
          <w:ilvl w:val="0"/>
          <w:numId w:val="36"/>
        </w:numPr>
        <w:rPr>
          <w:rFonts w:asciiTheme="minorHAnsi" w:hAnsiTheme="minorHAnsi" w:cstheme="minorBidi"/>
          <w:i/>
          <w:szCs w:val="22"/>
        </w:rPr>
      </w:pPr>
      <w:r w:rsidRPr="001B4CA2">
        <w:rPr>
          <w:rFonts w:asciiTheme="minorHAnsi" w:hAnsiTheme="minorHAnsi" w:cstheme="minorBidi"/>
          <w:i/>
          <w:szCs w:val="22"/>
        </w:rPr>
        <w:t>Uspjeh u parnicama pred općinskim sudovima 2018. – 2022. (prema broju predmeta)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673"/>
        <w:gridCol w:w="709"/>
        <w:gridCol w:w="708"/>
        <w:gridCol w:w="851"/>
        <w:gridCol w:w="850"/>
        <w:gridCol w:w="851"/>
        <w:gridCol w:w="850"/>
        <w:gridCol w:w="851"/>
        <w:gridCol w:w="992"/>
        <w:gridCol w:w="851"/>
      </w:tblGrid>
      <w:tr w:rsidR="00B010E6" w:rsidRPr="001B4CA2" w14:paraId="36389831" w14:textId="77777777" w:rsidTr="0012703C">
        <w:trPr>
          <w:trHeight w:val="891"/>
          <w:jc w:val="center"/>
        </w:trPr>
        <w:tc>
          <w:tcPr>
            <w:tcW w:w="799" w:type="dxa"/>
            <w:vMerge w:val="restart"/>
            <w:shd w:val="clear" w:color="auto" w:fill="99CCFF"/>
            <w:noWrap/>
            <w:vAlign w:val="center"/>
            <w:hideMark/>
          </w:tcPr>
          <w:p w14:paraId="20D85CCE" w14:textId="77777777" w:rsidR="00B010E6" w:rsidRPr="001B4CA2" w:rsidRDefault="00B010E6" w:rsidP="0012703C">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2941" w:type="dxa"/>
            <w:gridSpan w:val="4"/>
            <w:shd w:val="clear" w:color="auto" w:fill="99CCFF"/>
            <w:vAlign w:val="center"/>
          </w:tcPr>
          <w:p w14:paraId="62389E2F" w14:textId="0FF92667" w:rsidR="00B010E6" w:rsidRPr="001B4CA2" w:rsidRDefault="00B010E6" w:rsidP="0012703C">
            <w:pPr>
              <w:tabs>
                <w:tab w:val="left" w:pos="1182"/>
              </w:tabs>
              <w:jc w:val="center"/>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Sudske odluke</w:t>
            </w:r>
          </w:p>
        </w:tc>
        <w:tc>
          <w:tcPr>
            <w:tcW w:w="5245" w:type="dxa"/>
            <w:gridSpan w:val="6"/>
            <w:shd w:val="clear" w:color="auto" w:fill="99CCFF"/>
            <w:noWrap/>
            <w:vAlign w:val="center"/>
            <w:hideMark/>
          </w:tcPr>
          <w:p w14:paraId="311964B1" w14:textId="77777777" w:rsidR="00B010E6" w:rsidRPr="001B4CA2" w:rsidRDefault="00B010E6" w:rsidP="0012703C">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Uspjeh u parnicama-</w:t>
            </w:r>
            <w:r w:rsidRPr="001B4CA2">
              <w:rPr>
                <w:rFonts w:asciiTheme="minorHAnsi" w:eastAsia="Times New Roman" w:hAnsiTheme="minorHAnsi" w:cstheme="minorHAnsi"/>
                <w:b/>
                <w:bCs/>
                <w:color w:val="FF0000"/>
                <w:sz w:val="18"/>
                <w:szCs w:val="18"/>
                <w:lang w:eastAsia="hr-HR"/>
              </w:rPr>
              <w:t xml:space="preserve"> </w:t>
            </w:r>
            <w:r w:rsidRPr="001B4CA2">
              <w:rPr>
                <w:rFonts w:asciiTheme="minorHAnsi" w:eastAsia="Times New Roman" w:hAnsiTheme="minorHAnsi" w:cstheme="minorHAnsi"/>
                <w:b/>
                <w:bCs/>
                <w:sz w:val="18"/>
                <w:szCs w:val="18"/>
                <w:lang w:eastAsia="hr-HR"/>
              </w:rPr>
              <w:t>presude/rješenja</w:t>
            </w:r>
          </w:p>
        </w:tc>
      </w:tr>
      <w:tr w:rsidR="0012703C" w:rsidRPr="001B4CA2" w14:paraId="716AB02E" w14:textId="77777777" w:rsidTr="0012703C">
        <w:trPr>
          <w:cantSplit/>
          <w:trHeight w:val="2227"/>
          <w:jc w:val="center"/>
        </w:trPr>
        <w:tc>
          <w:tcPr>
            <w:tcW w:w="799" w:type="dxa"/>
            <w:vMerge/>
            <w:shd w:val="clear" w:color="auto" w:fill="99CCFF"/>
            <w:vAlign w:val="center"/>
            <w:hideMark/>
          </w:tcPr>
          <w:p w14:paraId="34336AFD"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p>
        </w:tc>
        <w:tc>
          <w:tcPr>
            <w:tcW w:w="673" w:type="dxa"/>
            <w:shd w:val="clear" w:color="auto" w:fill="99CCFF"/>
            <w:textDirection w:val="btLr"/>
            <w:vAlign w:val="center"/>
          </w:tcPr>
          <w:p w14:paraId="339C47EC" w14:textId="77777777" w:rsidR="00B010E6" w:rsidRPr="0012703C" w:rsidRDefault="00B010E6" w:rsidP="00B010E6">
            <w:pPr>
              <w:jc w:val="left"/>
              <w:rPr>
                <w:rFonts w:asciiTheme="minorHAnsi" w:eastAsia="Times New Roman" w:hAnsiTheme="minorHAnsi" w:cstheme="minorHAnsi"/>
                <w:b/>
                <w:bCs/>
                <w:color w:val="000000"/>
                <w:sz w:val="16"/>
                <w:szCs w:val="16"/>
                <w:lang w:eastAsia="hr-HR"/>
              </w:rPr>
            </w:pPr>
            <w:r w:rsidRPr="0012703C">
              <w:rPr>
                <w:rFonts w:asciiTheme="minorHAnsi" w:eastAsia="Times New Roman" w:hAnsiTheme="minorHAnsi" w:cstheme="minorHAnsi"/>
                <w:b/>
                <w:bCs/>
                <w:color w:val="000000"/>
                <w:sz w:val="16"/>
                <w:szCs w:val="16"/>
                <w:lang w:eastAsia="hr-HR"/>
              </w:rPr>
              <w:t xml:space="preserve">Presude/ rješenja </w:t>
            </w:r>
          </w:p>
          <w:p w14:paraId="0D8004AD" w14:textId="77777777" w:rsidR="00B010E6" w:rsidRPr="0012703C" w:rsidRDefault="00B010E6" w:rsidP="00B010E6">
            <w:pPr>
              <w:jc w:val="left"/>
              <w:rPr>
                <w:rFonts w:asciiTheme="minorHAnsi" w:eastAsia="Times New Roman" w:hAnsiTheme="minorHAnsi" w:cstheme="minorHAnsi"/>
                <w:b/>
                <w:bCs/>
                <w:color w:val="000000"/>
                <w:sz w:val="16"/>
                <w:szCs w:val="16"/>
                <w:lang w:eastAsia="hr-HR"/>
              </w:rPr>
            </w:pPr>
            <w:r w:rsidRPr="0012703C">
              <w:rPr>
                <w:rFonts w:asciiTheme="minorHAnsi" w:eastAsia="Times New Roman" w:hAnsiTheme="minorHAnsi" w:cstheme="minorHAnsi"/>
                <w:b/>
                <w:bCs/>
                <w:color w:val="000000"/>
                <w:sz w:val="16"/>
                <w:szCs w:val="16"/>
                <w:lang w:eastAsia="hr-HR"/>
              </w:rPr>
              <w:t>(broj)</w:t>
            </w:r>
          </w:p>
        </w:tc>
        <w:tc>
          <w:tcPr>
            <w:tcW w:w="709" w:type="dxa"/>
            <w:shd w:val="clear" w:color="auto" w:fill="99CCFF"/>
            <w:textDirection w:val="btLr"/>
            <w:vAlign w:val="center"/>
          </w:tcPr>
          <w:p w14:paraId="03400F75" w14:textId="77777777" w:rsidR="00B010E6" w:rsidRPr="0012703C" w:rsidRDefault="00B010E6" w:rsidP="00B010E6">
            <w:pPr>
              <w:jc w:val="left"/>
              <w:rPr>
                <w:rFonts w:asciiTheme="minorHAnsi" w:eastAsia="Times New Roman" w:hAnsiTheme="minorHAnsi" w:cstheme="minorHAnsi"/>
                <w:b/>
                <w:color w:val="000000"/>
                <w:sz w:val="16"/>
                <w:szCs w:val="16"/>
                <w:lang w:eastAsia="hr-HR"/>
              </w:rPr>
            </w:pPr>
            <w:r w:rsidRPr="0012703C">
              <w:rPr>
                <w:rFonts w:asciiTheme="minorHAnsi" w:eastAsia="Times New Roman" w:hAnsiTheme="minorHAnsi" w:cstheme="minorHAnsi"/>
                <w:b/>
                <w:color w:val="000000"/>
                <w:sz w:val="16"/>
                <w:szCs w:val="16"/>
                <w:lang w:eastAsia="hr-HR"/>
              </w:rPr>
              <w:t>Sudska nagodba</w:t>
            </w:r>
          </w:p>
          <w:p w14:paraId="4B9DAE3B" w14:textId="77777777" w:rsidR="00B010E6" w:rsidRPr="0012703C" w:rsidRDefault="00B010E6" w:rsidP="00B010E6">
            <w:pPr>
              <w:jc w:val="left"/>
              <w:rPr>
                <w:rFonts w:asciiTheme="minorHAnsi" w:eastAsia="Times New Roman" w:hAnsiTheme="minorHAnsi" w:cstheme="minorHAnsi"/>
                <w:b/>
                <w:color w:val="000000"/>
                <w:sz w:val="16"/>
                <w:szCs w:val="16"/>
                <w:lang w:eastAsia="hr-HR"/>
              </w:rPr>
            </w:pPr>
            <w:r w:rsidRPr="0012703C">
              <w:rPr>
                <w:rFonts w:asciiTheme="minorHAnsi" w:eastAsia="Times New Roman" w:hAnsiTheme="minorHAnsi" w:cstheme="minorHAnsi"/>
                <w:b/>
                <w:color w:val="000000"/>
                <w:sz w:val="16"/>
                <w:szCs w:val="16"/>
                <w:lang w:eastAsia="hr-HR"/>
              </w:rPr>
              <w:t xml:space="preserve"> (broj)</w:t>
            </w:r>
          </w:p>
        </w:tc>
        <w:tc>
          <w:tcPr>
            <w:tcW w:w="708" w:type="dxa"/>
            <w:shd w:val="clear" w:color="auto" w:fill="99CCFF"/>
            <w:textDirection w:val="btLr"/>
            <w:vAlign w:val="center"/>
          </w:tcPr>
          <w:p w14:paraId="7B31E626" w14:textId="77777777" w:rsidR="00B010E6" w:rsidRPr="0012703C" w:rsidRDefault="00B010E6" w:rsidP="00B010E6">
            <w:pPr>
              <w:jc w:val="left"/>
              <w:rPr>
                <w:rFonts w:asciiTheme="minorHAnsi" w:eastAsia="Times New Roman" w:hAnsiTheme="minorHAnsi" w:cstheme="minorHAnsi"/>
                <w:b/>
                <w:color w:val="000000"/>
                <w:sz w:val="16"/>
                <w:szCs w:val="16"/>
                <w:lang w:eastAsia="hr-HR"/>
              </w:rPr>
            </w:pPr>
            <w:r w:rsidRPr="0012703C">
              <w:rPr>
                <w:rFonts w:asciiTheme="minorHAnsi" w:eastAsia="Times New Roman" w:hAnsiTheme="minorHAnsi" w:cstheme="minorHAnsi"/>
                <w:b/>
                <w:color w:val="000000"/>
                <w:sz w:val="16"/>
                <w:szCs w:val="16"/>
                <w:lang w:eastAsia="hr-HR"/>
              </w:rPr>
              <w:t>Riješeno na drugi način</w:t>
            </w:r>
          </w:p>
        </w:tc>
        <w:tc>
          <w:tcPr>
            <w:tcW w:w="851" w:type="dxa"/>
            <w:shd w:val="clear" w:color="auto" w:fill="99CCFF"/>
            <w:textDirection w:val="btLr"/>
            <w:vAlign w:val="center"/>
            <w:hideMark/>
          </w:tcPr>
          <w:p w14:paraId="4457330B" w14:textId="77777777" w:rsidR="00B010E6" w:rsidRPr="0012703C" w:rsidRDefault="00B010E6" w:rsidP="00B010E6">
            <w:pPr>
              <w:tabs>
                <w:tab w:val="left" w:pos="3469"/>
              </w:tabs>
              <w:ind w:right="113"/>
              <w:rPr>
                <w:rFonts w:asciiTheme="minorHAnsi" w:eastAsia="Times New Roman" w:hAnsiTheme="minorHAnsi" w:cstheme="minorHAnsi"/>
                <w:b/>
                <w:sz w:val="16"/>
                <w:szCs w:val="16"/>
              </w:rPr>
            </w:pPr>
            <w:r w:rsidRPr="0012703C">
              <w:rPr>
                <w:rFonts w:asciiTheme="minorHAnsi" w:eastAsia="Times New Roman" w:hAnsiTheme="minorHAnsi" w:cstheme="minorHAnsi"/>
                <w:b/>
                <w:sz w:val="16"/>
                <w:szCs w:val="16"/>
                <w:lang w:eastAsia="hr-HR"/>
              </w:rPr>
              <w:t>Ukupno sudskih odluka</w:t>
            </w:r>
          </w:p>
        </w:tc>
        <w:tc>
          <w:tcPr>
            <w:tcW w:w="850" w:type="dxa"/>
            <w:shd w:val="clear" w:color="auto" w:fill="99CCFF"/>
            <w:textDirection w:val="btLr"/>
            <w:vAlign w:val="center"/>
            <w:hideMark/>
          </w:tcPr>
          <w:p w14:paraId="604E14EC" w14:textId="3AC6A7EC" w:rsidR="00B010E6" w:rsidRPr="0012703C" w:rsidRDefault="00B010E6" w:rsidP="00B010E6">
            <w:pPr>
              <w:jc w:val="left"/>
              <w:rPr>
                <w:rFonts w:asciiTheme="minorHAnsi" w:eastAsia="Times New Roman" w:hAnsiTheme="minorHAnsi" w:cstheme="minorHAnsi"/>
                <w:b/>
                <w:color w:val="000000"/>
                <w:sz w:val="16"/>
                <w:szCs w:val="16"/>
                <w:lang w:eastAsia="hr-HR"/>
              </w:rPr>
            </w:pPr>
            <w:r w:rsidRPr="0012703C">
              <w:rPr>
                <w:rFonts w:asciiTheme="minorHAnsi" w:eastAsia="Times New Roman" w:hAnsiTheme="minorHAnsi" w:cstheme="minorHAnsi"/>
                <w:b/>
                <w:color w:val="000000"/>
                <w:sz w:val="16"/>
                <w:szCs w:val="16"/>
                <w:lang w:eastAsia="hr-HR"/>
              </w:rPr>
              <w:t>Dobiven u cijelosti</w:t>
            </w:r>
            <w:r w:rsidR="001B4CA2" w:rsidRPr="0012703C">
              <w:rPr>
                <w:rFonts w:asciiTheme="minorHAnsi" w:eastAsia="Times New Roman" w:hAnsiTheme="minorHAnsi" w:cstheme="minorHAnsi"/>
                <w:b/>
                <w:color w:val="000000"/>
                <w:sz w:val="16"/>
                <w:szCs w:val="16"/>
                <w:lang w:eastAsia="hr-HR"/>
              </w:rPr>
              <w:t xml:space="preserve">  </w:t>
            </w:r>
            <w:r w:rsidRPr="0012703C">
              <w:rPr>
                <w:rFonts w:asciiTheme="minorHAnsi" w:eastAsia="Times New Roman" w:hAnsiTheme="minorHAnsi" w:cstheme="minorHAnsi"/>
                <w:b/>
                <w:color w:val="000000"/>
                <w:sz w:val="16"/>
                <w:szCs w:val="16"/>
                <w:lang w:eastAsia="hr-HR"/>
              </w:rPr>
              <w:t>(</w:t>
            </w:r>
            <w:r w:rsidRPr="0012703C">
              <w:rPr>
                <w:rFonts w:asciiTheme="minorHAnsi" w:eastAsia="Times New Roman" w:hAnsiTheme="minorHAnsi" w:cstheme="minorHAnsi"/>
                <w:b/>
                <w:bCs/>
                <w:color w:val="000000"/>
                <w:sz w:val="16"/>
                <w:szCs w:val="16"/>
                <w:lang w:eastAsia="hr-HR"/>
              </w:rPr>
              <w:t>broj)</w:t>
            </w:r>
          </w:p>
        </w:tc>
        <w:tc>
          <w:tcPr>
            <w:tcW w:w="851" w:type="dxa"/>
            <w:shd w:val="clear" w:color="auto" w:fill="99CCFF"/>
            <w:textDirection w:val="btLr"/>
            <w:vAlign w:val="center"/>
            <w:hideMark/>
          </w:tcPr>
          <w:p w14:paraId="2E85791A" w14:textId="77777777" w:rsidR="00B010E6" w:rsidRPr="0012703C" w:rsidRDefault="00B010E6" w:rsidP="00B010E6">
            <w:pPr>
              <w:jc w:val="left"/>
              <w:rPr>
                <w:rFonts w:asciiTheme="minorHAnsi" w:eastAsia="Times New Roman" w:hAnsiTheme="minorHAnsi" w:cstheme="minorHAnsi"/>
                <w:b/>
                <w:color w:val="000000"/>
                <w:sz w:val="16"/>
                <w:szCs w:val="16"/>
                <w:lang w:eastAsia="hr-HR"/>
              </w:rPr>
            </w:pPr>
            <w:r w:rsidRPr="0012703C">
              <w:rPr>
                <w:rFonts w:asciiTheme="minorHAnsi" w:eastAsia="Times New Roman" w:hAnsiTheme="minorHAnsi" w:cstheme="minorHAnsi"/>
                <w:b/>
                <w:color w:val="000000"/>
                <w:sz w:val="16"/>
                <w:szCs w:val="16"/>
                <w:lang w:eastAsia="hr-HR"/>
              </w:rPr>
              <w:t>Postotak dobivenih</w:t>
            </w:r>
          </w:p>
        </w:tc>
        <w:tc>
          <w:tcPr>
            <w:tcW w:w="850" w:type="dxa"/>
            <w:shd w:val="clear" w:color="auto" w:fill="99CCFF"/>
            <w:textDirection w:val="btLr"/>
            <w:vAlign w:val="center"/>
            <w:hideMark/>
          </w:tcPr>
          <w:p w14:paraId="5183AC57" w14:textId="0D4E44FB" w:rsidR="00B010E6" w:rsidRPr="0012703C" w:rsidRDefault="00B010E6" w:rsidP="00B010E6">
            <w:pPr>
              <w:jc w:val="left"/>
              <w:rPr>
                <w:rFonts w:asciiTheme="minorHAnsi" w:eastAsia="Times New Roman" w:hAnsiTheme="minorHAnsi" w:cstheme="minorHAnsi"/>
                <w:b/>
                <w:color w:val="000000"/>
                <w:sz w:val="16"/>
                <w:szCs w:val="16"/>
                <w:lang w:eastAsia="hr-HR"/>
              </w:rPr>
            </w:pPr>
            <w:r w:rsidRPr="0012703C">
              <w:rPr>
                <w:rFonts w:asciiTheme="minorHAnsi" w:eastAsia="Times New Roman" w:hAnsiTheme="minorHAnsi" w:cstheme="minorHAnsi"/>
                <w:b/>
                <w:color w:val="000000"/>
                <w:sz w:val="16"/>
                <w:szCs w:val="16"/>
                <w:lang w:eastAsia="hr-HR"/>
              </w:rPr>
              <w:t>Izgubljen u cijelosti</w:t>
            </w:r>
            <w:r w:rsidR="001B4CA2" w:rsidRPr="0012703C">
              <w:rPr>
                <w:rFonts w:asciiTheme="minorHAnsi" w:eastAsia="Times New Roman" w:hAnsiTheme="minorHAnsi" w:cstheme="minorHAnsi"/>
                <w:b/>
                <w:color w:val="000000"/>
                <w:sz w:val="16"/>
                <w:szCs w:val="16"/>
                <w:lang w:eastAsia="hr-HR"/>
              </w:rPr>
              <w:t xml:space="preserve"> </w:t>
            </w:r>
            <w:r w:rsidRPr="0012703C">
              <w:rPr>
                <w:rFonts w:asciiTheme="minorHAnsi" w:eastAsia="Times New Roman" w:hAnsiTheme="minorHAnsi" w:cstheme="minorHAnsi"/>
                <w:b/>
                <w:color w:val="000000"/>
                <w:sz w:val="16"/>
                <w:szCs w:val="16"/>
                <w:lang w:eastAsia="hr-HR"/>
              </w:rPr>
              <w:t xml:space="preserve"> (</w:t>
            </w:r>
            <w:r w:rsidRPr="0012703C">
              <w:rPr>
                <w:rFonts w:asciiTheme="minorHAnsi" w:eastAsia="Times New Roman" w:hAnsiTheme="minorHAnsi" w:cstheme="minorHAnsi"/>
                <w:b/>
                <w:bCs/>
                <w:color w:val="000000"/>
                <w:sz w:val="16"/>
                <w:szCs w:val="16"/>
                <w:lang w:eastAsia="hr-HR"/>
              </w:rPr>
              <w:t>broj)</w:t>
            </w:r>
          </w:p>
        </w:tc>
        <w:tc>
          <w:tcPr>
            <w:tcW w:w="851" w:type="dxa"/>
            <w:shd w:val="clear" w:color="auto" w:fill="99CCFF"/>
            <w:textDirection w:val="btLr"/>
            <w:vAlign w:val="center"/>
            <w:hideMark/>
          </w:tcPr>
          <w:p w14:paraId="437773E6" w14:textId="77777777" w:rsidR="00B010E6" w:rsidRPr="0012703C" w:rsidRDefault="00B010E6" w:rsidP="00B010E6">
            <w:pPr>
              <w:jc w:val="left"/>
              <w:rPr>
                <w:rFonts w:asciiTheme="minorHAnsi" w:eastAsia="Times New Roman" w:hAnsiTheme="minorHAnsi" w:cstheme="minorHAnsi"/>
                <w:b/>
                <w:color w:val="000000"/>
                <w:sz w:val="16"/>
                <w:szCs w:val="16"/>
                <w:lang w:eastAsia="hr-HR"/>
              </w:rPr>
            </w:pPr>
            <w:r w:rsidRPr="0012703C">
              <w:rPr>
                <w:rFonts w:asciiTheme="minorHAnsi" w:eastAsia="Times New Roman" w:hAnsiTheme="minorHAnsi" w:cstheme="minorHAnsi"/>
                <w:b/>
                <w:color w:val="000000"/>
                <w:sz w:val="16"/>
                <w:szCs w:val="16"/>
                <w:lang w:eastAsia="hr-HR"/>
              </w:rPr>
              <w:t>Postotak izgubljenih</w:t>
            </w:r>
          </w:p>
        </w:tc>
        <w:tc>
          <w:tcPr>
            <w:tcW w:w="992" w:type="dxa"/>
            <w:shd w:val="clear" w:color="auto" w:fill="99CCFF"/>
            <w:textDirection w:val="btLr"/>
            <w:vAlign w:val="center"/>
            <w:hideMark/>
          </w:tcPr>
          <w:p w14:paraId="58A626C7" w14:textId="46733332" w:rsidR="00B010E6" w:rsidRPr="0012703C" w:rsidRDefault="00B010E6" w:rsidP="00B010E6">
            <w:pPr>
              <w:jc w:val="left"/>
              <w:rPr>
                <w:rFonts w:asciiTheme="minorHAnsi" w:eastAsia="Times New Roman" w:hAnsiTheme="minorHAnsi" w:cstheme="minorHAnsi"/>
                <w:b/>
                <w:color w:val="000000"/>
                <w:sz w:val="16"/>
                <w:szCs w:val="16"/>
                <w:lang w:eastAsia="hr-HR"/>
              </w:rPr>
            </w:pPr>
            <w:r w:rsidRPr="0012703C">
              <w:rPr>
                <w:rFonts w:asciiTheme="minorHAnsi" w:eastAsia="Times New Roman" w:hAnsiTheme="minorHAnsi" w:cstheme="minorHAnsi"/>
                <w:b/>
                <w:color w:val="000000"/>
                <w:sz w:val="16"/>
                <w:szCs w:val="16"/>
                <w:lang w:eastAsia="hr-HR"/>
              </w:rPr>
              <w:t>Djelomično dobiven/izgubljen</w:t>
            </w:r>
            <w:r w:rsidR="001B4CA2" w:rsidRPr="0012703C">
              <w:rPr>
                <w:rFonts w:asciiTheme="minorHAnsi" w:eastAsia="Times New Roman" w:hAnsiTheme="minorHAnsi" w:cstheme="minorHAnsi"/>
                <w:b/>
                <w:color w:val="000000"/>
                <w:sz w:val="16"/>
                <w:szCs w:val="16"/>
                <w:lang w:eastAsia="hr-HR"/>
              </w:rPr>
              <w:t xml:space="preserve">  </w:t>
            </w:r>
            <w:r w:rsidRPr="0012703C">
              <w:rPr>
                <w:rFonts w:asciiTheme="minorHAnsi" w:eastAsia="Times New Roman" w:hAnsiTheme="minorHAnsi" w:cstheme="minorHAnsi"/>
                <w:b/>
                <w:color w:val="000000"/>
                <w:sz w:val="16"/>
                <w:szCs w:val="16"/>
                <w:lang w:eastAsia="hr-HR"/>
              </w:rPr>
              <w:t>(</w:t>
            </w:r>
            <w:r w:rsidRPr="0012703C">
              <w:rPr>
                <w:rFonts w:asciiTheme="minorHAnsi" w:eastAsia="Times New Roman" w:hAnsiTheme="minorHAnsi" w:cstheme="minorHAnsi"/>
                <w:b/>
                <w:bCs/>
                <w:color w:val="000000"/>
                <w:sz w:val="16"/>
                <w:szCs w:val="16"/>
                <w:lang w:eastAsia="hr-HR"/>
              </w:rPr>
              <w:t>broj)</w:t>
            </w:r>
            <w:r w:rsidR="001B4CA2" w:rsidRPr="0012703C">
              <w:rPr>
                <w:rFonts w:asciiTheme="minorHAnsi" w:eastAsia="Times New Roman" w:hAnsiTheme="minorHAnsi" w:cstheme="minorHAnsi"/>
                <w:b/>
                <w:bCs/>
                <w:color w:val="000000"/>
                <w:sz w:val="16"/>
                <w:szCs w:val="16"/>
                <w:lang w:eastAsia="hr-HR"/>
              </w:rPr>
              <w:t xml:space="preserve"> </w:t>
            </w:r>
          </w:p>
        </w:tc>
        <w:tc>
          <w:tcPr>
            <w:tcW w:w="851" w:type="dxa"/>
            <w:shd w:val="clear" w:color="auto" w:fill="99CCFF"/>
            <w:textDirection w:val="btLr"/>
            <w:vAlign w:val="center"/>
            <w:hideMark/>
          </w:tcPr>
          <w:p w14:paraId="792A9388" w14:textId="77777777" w:rsidR="00B010E6" w:rsidRPr="0012703C" w:rsidRDefault="00B010E6" w:rsidP="00B010E6">
            <w:pPr>
              <w:jc w:val="left"/>
              <w:rPr>
                <w:rFonts w:asciiTheme="minorHAnsi" w:eastAsia="Times New Roman" w:hAnsiTheme="minorHAnsi" w:cstheme="minorHAnsi"/>
                <w:b/>
                <w:color w:val="000000"/>
                <w:sz w:val="16"/>
                <w:szCs w:val="16"/>
                <w:lang w:eastAsia="hr-HR"/>
              </w:rPr>
            </w:pPr>
            <w:r w:rsidRPr="0012703C">
              <w:rPr>
                <w:rFonts w:asciiTheme="minorHAnsi" w:eastAsia="Times New Roman" w:hAnsiTheme="minorHAnsi" w:cstheme="minorHAnsi"/>
                <w:b/>
                <w:color w:val="000000"/>
                <w:sz w:val="16"/>
                <w:szCs w:val="16"/>
                <w:lang w:eastAsia="hr-HR"/>
              </w:rPr>
              <w:t>Postotak djelomično dobivenih/izgubljenih</w:t>
            </w:r>
          </w:p>
        </w:tc>
      </w:tr>
      <w:tr w:rsidR="00B010E6" w:rsidRPr="001B4CA2" w14:paraId="11BDD0E3" w14:textId="77777777" w:rsidTr="0012703C">
        <w:trPr>
          <w:trHeight w:val="397"/>
          <w:jc w:val="center"/>
        </w:trPr>
        <w:tc>
          <w:tcPr>
            <w:tcW w:w="799" w:type="dxa"/>
            <w:shd w:val="clear" w:color="auto" w:fill="auto"/>
            <w:noWrap/>
            <w:vAlign w:val="center"/>
            <w:hideMark/>
          </w:tcPr>
          <w:p w14:paraId="24F5C495"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2018.</w:t>
            </w:r>
          </w:p>
        </w:tc>
        <w:tc>
          <w:tcPr>
            <w:tcW w:w="673" w:type="dxa"/>
            <w:shd w:val="clear" w:color="auto" w:fill="auto"/>
            <w:noWrap/>
            <w:vAlign w:val="center"/>
          </w:tcPr>
          <w:p w14:paraId="038342F4"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2.749</w:t>
            </w:r>
          </w:p>
        </w:tc>
        <w:tc>
          <w:tcPr>
            <w:tcW w:w="709" w:type="dxa"/>
            <w:vAlign w:val="center"/>
          </w:tcPr>
          <w:p w14:paraId="5DAC2E4E"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305</w:t>
            </w:r>
          </w:p>
        </w:tc>
        <w:tc>
          <w:tcPr>
            <w:tcW w:w="708" w:type="dxa"/>
            <w:shd w:val="clear" w:color="auto" w:fill="auto"/>
            <w:noWrap/>
            <w:vAlign w:val="center"/>
          </w:tcPr>
          <w:p w14:paraId="317951DC"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675</w:t>
            </w:r>
          </w:p>
        </w:tc>
        <w:tc>
          <w:tcPr>
            <w:tcW w:w="851" w:type="dxa"/>
            <w:shd w:val="clear" w:color="auto" w:fill="auto"/>
            <w:noWrap/>
            <w:vAlign w:val="center"/>
          </w:tcPr>
          <w:p w14:paraId="16463180" w14:textId="77777777" w:rsidR="00B010E6" w:rsidRPr="0012703C" w:rsidRDefault="00B010E6" w:rsidP="00B010E6">
            <w:pPr>
              <w:jc w:val="center"/>
              <w:rPr>
                <w:rFonts w:eastAsia="Times New Roman"/>
                <w:sz w:val="16"/>
                <w:szCs w:val="16"/>
              </w:rPr>
            </w:pPr>
            <w:r w:rsidRPr="0012703C">
              <w:rPr>
                <w:rFonts w:eastAsia="Times New Roman"/>
                <w:sz w:val="16"/>
                <w:szCs w:val="16"/>
                <w:lang w:eastAsia="hr-HR"/>
              </w:rPr>
              <w:t>3.729</w:t>
            </w:r>
          </w:p>
        </w:tc>
        <w:tc>
          <w:tcPr>
            <w:tcW w:w="850" w:type="dxa"/>
            <w:shd w:val="clear" w:color="auto" w:fill="auto"/>
            <w:noWrap/>
            <w:vAlign w:val="center"/>
          </w:tcPr>
          <w:p w14:paraId="1DE5C768"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1.161</w:t>
            </w:r>
          </w:p>
        </w:tc>
        <w:tc>
          <w:tcPr>
            <w:tcW w:w="851" w:type="dxa"/>
            <w:shd w:val="clear" w:color="auto" w:fill="auto"/>
            <w:noWrap/>
            <w:vAlign w:val="center"/>
          </w:tcPr>
          <w:p w14:paraId="131F9456"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42,23%</w:t>
            </w:r>
          </w:p>
        </w:tc>
        <w:tc>
          <w:tcPr>
            <w:tcW w:w="850" w:type="dxa"/>
            <w:shd w:val="clear" w:color="auto" w:fill="auto"/>
            <w:noWrap/>
            <w:vAlign w:val="center"/>
          </w:tcPr>
          <w:p w14:paraId="3D8A5985"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1.261</w:t>
            </w:r>
          </w:p>
        </w:tc>
        <w:tc>
          <w:tcPr>
            <w:tcW w:w="851" w:type="dxa"/>
            <w:shd w:val="clear" w:color="auto" w:fill="auto"/>
            <w:noWrap/>
            <w:vAlign w:val="center"/>
          </w:tcPr>
          <w:p w14:paraId="7F991895"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45,87%</w:t>
            </w:r>
          </w:p>
        </w:tc>
        <w:tc>
          <w:tcPr>
            <w:tcW w:w="992" w:type="dxa"/>
            <w:shd w:val="clear" w:color="auto" w:fill="auto"/>
            <w:noWrap/>
            <w:vAlign w:val="center"/>
          </w:tcPr>
          <w:p w14:paraId="2F510118"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327</w:t>
            </w:r>
          </w:p>
        </w:tc>
        <w:tc>
          <w:tcPr>
            <w:tcW w:w="851" w:type="dxa"/>
            <w:shd w:val="clear" w:color="auto" w:fill="auto"/>
            <w:noWrap/>
            <w:vAlign w:val="center"/>
          </w:tcPr>
          <w:p w14:paraId="51A3BE06"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11,90%</w:t>
            </w:r>
          </w:p>
        </w:tc>
      </w:tr>
      <w:tr w:rsidR="00B010E6" w:rsidRPr="001B4CA2" w14:paraId="29DA0084" w14:textId="77777777" w:rsidTr="0012703C">
        <w:trPr>
          <w:trHeight w:val="397"/>
          <w:jc w:val="center"/>
        </w:trPr>
        <w:tc>
          <w:tcPr>
            <w:tcW w:w="799" w:type="dxa"/>
            <w:shd w:val="clear" w:color="auto" w:fill="auto"/>
            <w:noWrap/>
            <w:vAlign w:val="center"/>
          </w:tcPr>
          <w:p w14:paraId="3A034CBD"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2019.</w:t>
            </w:r>
          </w:p>
        </w:tc>
        <w:tc>
          <w:tcPr>
            <w:tcW w:w="673" w:type="dxa"/>
            <w:shd w:val="clear" w:color="auto" w:fill="auto"/>
            <w:noWrap/>
            <w:vAlign w:val="center"/>
          </w:tcPr>
          <w:p w14:paraId="2BA3B1F3"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2.535</w:t>
            </w:r>
          </w:p>
        </w:tc>
        <w:tc>
          <w:tcPr>
            <w:tcW w:w="709" w:type="dxa"/>
            <w:vAlign w:val="center"/>
          </w:tcPr>
          <w:p w14:paraId="41EE6F19"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223</w:t>
            </w:r>
          </w:p>
        </w:tc>
        <w:tc>
          <w:tcPr>
            <w:tcW w:w="708" w:type="dxa"/>
            <w:shd w:val="clear" w:color="auto" w:fill="auto"/>
            <w:noWrap/>
            <w:vAlign w:val="center"/>
          </w:tcPr>
          <w:p w14:paraId="7328F848"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1.034</w:t>
            </w:r>
          </w:p>
        </w:tc>
        <w:tc>
          <w:tcPr>
            <w:tcW w:w="851" w:type="dxa"/>
            <w:shd w:val="clear" w:color="auto" w:fill="auto"/>
            <w:noWrap/>
            <w:vAlign w:val="center"/>
          </w:tcPr>
          <w:p w14:paraId="05C9D912" w14:textId="77777777" w:rsidR="00B010E6" w:rsidRPr="0012703C" w:rsidRDefault="00B010E6" w:rsidP="00B010E6">
            <w:pPr>
              <w:jc w:val="center"/>
              <w:rPr>
                <w:rFonts w:eastAsia="Times New Roman"/>
                <w:sz w:val="16"/>
                <w:szCs w:val="16"/>
              </w:rPr>
            </w:pPr>
            <w:r w:rsidRPr="0012703C">
              <w:rPr>
                <w:rFonts w:eastAsia="Times New Roman"/>
                <w:sz w:val="16"/>
                <w:szCs w:val="16"/>
                <w:lang w:eastAsia="hr-HR"/>
              </w:rPr>
              <w:t>3.792</w:t>
            </w:r>
          </w:p>
        </w:tc>
        <w:tc>
          <w:tcPr>
            <w:tcW w:w="850" w:type="dxa"/>
            <w:shd w:val="clear" w:color="auto" w:fill="auto"/>
            <w:noWrap/>
            <w:vAlign w:val="center"/>
          </w:tcPr>
          <w:p w14:paraId="2B994535"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1.076</w:t>
            </w:r>
          </w:p>
        </w:tc>
        <w:tc>
          <w:tcPr>
            <w:tcW w:w="851" w:type="dxa"/>
            <w:shd w:val="clear" w:color="auto" w:fill="auto"/>
            <w:noWrap/>
            <w:vAlign w:val="center"/>
          </w:tcPr>
          <w:p w14:paraId="3200C88A"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 xml:space="preserve">42,44% </w:t>
            </w:r>
          </w:p>
        </w:tc>
        <w:tc>
          <w:tcPr>
            <w:tcW w:w="850" w:type="dxa"/>
            <w:shd w:val="clear" w:color="auto" w:fill="auto"/>
            <w:noWrap/>
            <w:vAlign w:val="center"/>
          </w:tcPr>
          <w:p w14:paraId="631A1825"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1.163</w:t>
            </w:r>
          </w:p>
        </w:tc>
        <w:tc>
          <w:tcPr>
            <w:tcW w:w="851" w:type="dxa"/>
            <w:shd w:val="clear" w:color="auto" w:fill="auto"/>
            <w:noWrap/>
            <w:vAlign w:val="center"/>
          </w:tcPr>
          <w:p w14:paraId="7B1D1E40"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45,87%</w:t>
            </w:r>
          </w:p>
        </w:tc>
        <w:tc>
          <w:tcPr>
            <w:tcW w:w="992" w:type="dxa"/>
            <w:shd w:val="clear" w:color="auto" w:fill="auto"/>
            <w:noWrap/>
            <w:vAlign w:val="center"/>
          </w:tcPr>
          <w:p w14:paraId="271E8326"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296</w:t>
            </w:r>
          </w:p>
        </w:tc>
        <w:tc>
          <w:tcPr>
            <w:tcW w:w="851" w:type="dxa"/>
            <w:shd w:val="clear" w:color="auto" w:fill="auto"/>
            <w:noWrap/>
            <w:vAlign w:val="center"/>
          </w:tcPr>
          <w:p w14:paraId="589A130F" w14:textId="77777777" w:rsidR="00B010E6" w:rsidRPr="0012703C" w:rsidRDefault="00B010E6" w:rsidP="00B010E6">
            <w:pPr>
              <w:jc w:val="center"/>
              <w:rPr>
                <w:rFonts w:eastAsia="Times New Roman"/>
                <w:bCs/>
                <w:color w:val="000000"/>
                <w:sz w:val="16"/>
                <w:szCs w:val="16"/>
                <w:lang w:eastAsia="hr-HR"/>
              </w:rPr>
            </w:pPr>
            <w:r w:rsidRPr="0012703C">
              <w:rPr>
                <w:rFonts w:eastAsia="Times New Roman"/>
                <w:bCs/>
                <w:color w:val="000000"/>
                <w:sz w:val="16"/>
                <w:szCs w:val="16"/>
                <w:lang w:eastAsia="hr-HR"/>
              </w:rPr>
              <w:t>11,67%</w:t>
            </w:r>
          </w:p>
        </w:tc>
      </w:tr>
      <w:tr w:rsidR="00B010E6" w:rsidRPr="001B4CA2" w14:paraId="15649BD6" w14:textId="77777777" w:rsidTr="0012703C">
        <w:trPr>
          <w:trHeight w:val="397"/>
          <w:jc w:val="center"/>
        </w:trPr>
        <w:tc>
          <w:tcPr>
            <w:tcW w:w="799" w:type="dxa"/>
            <w:shd w:val="clear" w:color="auto" w:fill="auto"/>
            <w:noWrap/>
            <w:vAlign w:val="center"/>
          </w:tcPr>
          <w:p w14:paraId="2B52882B"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2020.</w:t>
            </w:r>
          </w:p>
        </w:tc>
        <w:tc>
          <w:tcPr>
            <w:tcW w:w="673" w:type="dxa"/>
            <w:shd w:val="clear" w:color="auto" w:fill="auto"/>
            <w:noWrap/>
            <w:vAlign w:val="center"/>
          </w:tcPr>
          <w:p w14:paraId="183EA6A6" w14:textId="77777777" w:rsidR="00B010E6" w:rsidRPr="0012703C" w:rsidRDefault="00B010E6" w:rsidP="00B010E6">
            <w:pPr>
              <w:jc w:val="center"/>
              <w:rPr>
                <w:bCs/>
                <w:sz w:val="16"/>
                <w:szCs w:val="16"/>
              </w:rPr>
            </w:pPr>
            <w:r w:rsidRPr="0012703C">
              <w:rPr>
                <w:bCs/>
                <w:sz w:val="16"/>
                <w:szCs w:val="16"/>
              </w:rPr>
              <w:t>2.932</w:t>
            </w:r>
          </w:p>
        </w:tc>
        <w:tc>
          <w:tcPr>
            <w:tcW w:w="709" w:type="dxa"/>
            <w:vAlign w:val="center"/>
          </w:tcPr>
          <w:p w14:paraId="368BFDA8" w14:textId="77777777" w:rsidR="00B010E6" w:rsidRPr="0012703C" w:rsidRDefault="00B010E6" w:rsidP="00B010E6">
            <w:pPr>
              <w:jc w:val="center"/>
              <w:rPr>
                <w:sz w:val="16"/>
                <w:szCs w:val="16"/>
              </w:rPr>
            </w:pPr>
            <w:r w:rsidRPr="0012703C">
              <w:rPr>
                <w:sz w:val="16"/>
                <w:szCs w:val="16"/>
              </w:rPr>
              <w:t>171</w:t>
            </w:r>
          </w:p>
        </w:tc>
        <w:tc>
          <w:tcPr>
            <w:tcW w:w="708" w:type="dxa"/>
            <w:shd w:val="clear" w:color="auto" w:fill="auto"/>
            <w:noWrap/>
            <w:vAlign w:val="center"/>
          </w:tcPr>
          <w:p w14:paraId="338ED738" w14:textId="77777777" w:rsidR="00B010E6" w:rsidRPr="0012703C" w:rsidRDefault="00B010E6" w:rsidP="00B010E6">
            <w:pPr>
              <w:jc w:val="center"/>
              <w:rPr>
                <w:sz w:val="16"/>
                <w:szCs w:val="16"/>
              </w:rPr>
            </w:pPr>
            <w:r w:rsidRPr="0012703C">
              <w:rPr>
                <w:sz w:val="16"/>
                <w:szCs w:val="16"/>
              </w:rPr>
              <w:t>-</w:t>
            </w:r>
          </w:p>
        </w:tc>
        <w:tc>
          <w:tcPr>
            <w:tcW w:w="851" w:type="dxa"/>
            <w:shd w:val="clear" w:color="auto" w:fill="auto"/>
            <w:noWrap/>
            <w:vAlign w:val="center"/>
          </w:tcPr>
          <w:p w14:paraId="09E35A3C" w14:textId="77777777" w:rsidR="00B010E6" w:rsidRPr="0012703C" w:rsidRDefault="00B010E6" w:rsidP="00B010E6">
            <w:pPr>
              <w:tabs>
                <w:tab w:val="left" w:pos="3469"/>
              </w:tabs>
              <w:jc w:val="center"/>
              <w:rPr>
                <w:rFonts w:asciiTheme="minorHAnsi" w:eastAsia="Times New Roman" w:hAnsiTheme="minorHAnsi" w:cstheme="minorHAnsi"/>
                <w:sz w:val="16"/>
                <w:szCs w:val="16"/>
              </w:rPr>
            </w:pPr>
            <w:r w:rsidRPr="0012703C">
              <w:rPr>
                <w:rFonts w:asciiTheme="minorHAnsi" w:eastAsia="Times New Roman" w:hAnsiTheme="minorHAnsi" w:cstheme="minorHAnsi"/>
                <w:sz w:val="16"/>
                <w:szCs w:val="16"/>
              </w:rPr>
              <w:t>3.103</w:t>
            </w:r>
          </w:p>
        </w:tc>
        <w:tc>
          <w:tcPr>
            <w:tcW w:w="850" w:type="dxa"/>
            <w:shd w:val="clear" w:color="auto" w:fill="auto"/>
            <w:noWrap/>
            <w:vAlign w:val="center"/>
          </w:tcPr>
          <w:p w14:paraId="72096FEF" w14:textId="77777777" w:rsidR="00B010E6" w:rsidRPr="0012703C" w:rsidRDefault="00B010E6" w:rsidP="00B010E6">
            <w:pPr>
              <w:jc w:val="center"/>
              <w:rPr>
                <w:rFonts w:asciiTheme="minorHAnsi" w:eastAsia="Times New Roman" w:hAnsiTheme="minorHAnsi" w:cstheme="minorHAnsi"/>
                <w:bCs/>
                <w:color w:val="000000" w:themeColor="text1"/>
                <w:sz w:val="16"/>
                <w:szCs w:val="16"/>
                <w:lang w:eastAsia="hr-HR"/>
              </w:rPr>
            </w:pPr>
            <w:r w:rsidRPr="0012703C">
              <w:rPr>
                <w:rFonts w:asciiTheme="minorHAnsi" w:eastAsia="Times New Roman" w:hAnsiTheme="minorHAnsi" w:cstheme="minorHAnsi"/>
                <w:bCs/>
                <w:color w:val="000000" w:themeColor="text1"/>
                <w:sz w:val="16"/>
                <w:szCs w:val="16"/>
                <w:lang w:eastAsia="hr-HR"/>
              </w:rPr>
              <w:t>1.191</w:t>
            </w:r>
          </w:p>
        </w:tc>
        <w:tc>
          <w:tcPr>
            <w:tcW w:w="851" w:type="dxa"/>
            <w:shd w:val="clear" w:color="auto" w:fill="auto"/>
            <w:noWrap/>
            <w:vAlign w:val="center"/>
          </w:tcPr>
          <w:p w14:paraId="6F18103E"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40,62%</w:t>
            </w:r>
          </w:p>
        </w:tc>
        <w:tc>
          <w:tcPr>
            <w:tcW w:w="850" w:type="dxa"/>
            <w:shd w:val="clear" w:color="auto" w:fill="auto"/>
            <w:noWrap/>
            <w:vAlign w:val="center"/>
          </w:tcPr>
          <w:p w14:paraId="0934146F"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1.399</w:t>
            </w:r>
          </w:p>
        </w:tc>
        <w:tc>
          <w:tcPr>
            <w:tcW w:w="851" w:type="dxa"/>
            <w:shd w:val="clear" w:color="auto" w:fill="auto"/>
            <w:noWrap/>
            <w:vAlign w:val="center"/>
          </w:tcPr>
          <w:p w14:paraId="2E00AE2F"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47,71%</w:t>
            </w:r>
          </w:p>
        </w:tc>
        <w:tc>
          <w:tcPr>
            <w:tcW w:w="992" w:type="dxa"/>
            <w:shd w:val="clear" w:color="auto" w:fill="auto"/>
            <w:noWrap/>
            <w:vAlign w:val="center"/>
          </w:tcPr>
          <w:p w14:paraId="6B26FBF7"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342</w:t>
            </w:r>
          </w:p>
        </w:tc>
        <w:tc>
          <w:tcPr>
            <w:tcW w:w="851" w:type="dxa"/>
            <w:shd w:val="clear" w:color="auto" w:fill="auto"/>
            <w:noWrap/>
            <w:vAlign w:val="center"/>
          </w:tcPr>
          <w:p w14:paraId="519D2A17"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11,66%</w:t>
            </w:r>
          </w:p>
        </w:tc>
      </w:tr>
      <w:tr w:rsidR="00B010E6" w:rsidRPr="001B4CA2" w14:paraId="6D518F61" w14:textId="77777777" w:rsidTr="0012703C">
        <w:trPr>
          <w:trHeight w:val="397"/>
          <w:jc w:val="center"/>
        </w:trPr>
        <w:tc>
          <w:tcPr>
            <w:tcW w:w="799" w:type="dxa"/>
            <w:shd w:val="clear" w:color="auto" w:fill="auto"/>
            <w:noWrap/>
            <w:vAlign w:val="center"/>
          </w:tcPr>
          <w:p w14:paraId="4FBB0E4C"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2021.</w:t>
            </w:r>
          </w:p>
        </w:tc>
        <w:tc>
          <w:tcPr>
            <w:tcW w:w="673" w:type="dxa"/>
            <w:shd w:val="clear" w:color="auto" w:fill="auto"/>
            <w:noWrap/>
            <w:vAlign w:val="center"/>
          </w:tcPr>
          <w:p w14:paraId="5620643B" w14:textId="77777777" w:rsidR="00B010E6" w:rsidRPr="0012703C" w:rsidRDefault="00B010E6" w:rsidP="00B010E6">
            <w:pPr>
              <w:jc w:val="center"/>
              <w:rPr>
                <w:bCs/>
                <w:sz w:val="16"/>
                <w:szCs w:val="16"/>
              </w:rPr>
            </w:pPr>
            <w:r w:rsidRPr="0012703C">
              <w:rPr>
                <w:bCs/>
                <w:sz w:val="16"/>
                <w:szCs w:val="16"/>
              </w:rPr>
              <w:t>3.637</w:t>
            </w:r>
          </w:p>
        </w:tc>
        <w:tc>
          <w:tcPr>
            <w:tcW w:w="709" w:type="dxa"/>
            <w:vAlign w:val="center"/>
          </w:tcPr>
          <w:p w14:paraId="33B2177B" w14:textId="77777777" w:rsidR="00B010E6" w:rsidRPr="0012703C" w:rsidRDefault="00B010E6" w:rsidP="00B010E6">
            <w:pPr>
              <w:jc w:val="center"/>
              <w:rPr>
                <w:sz w:val="16"/>
                <w:szCs w:val="16"/>
              </w:rPr>
            </w:pPr>
            <w:r w:rsidRPr="0012703C">
              <w:rPr>
                <w:sz w:val="16"/>
                <w:szCs w:val="16"/>
              </w:rPr>
              <w:t>348</w:t>
            </w:r>
          </w:p>
        </w:tc>
        <w:tc>
          <w:tcPr>
            <w:tcW w:w="708" w:type="dxa"/>
            <w:shd w:val="clear" w:color="auto" w:fill="auto"/>
            <w:noWrap/>
            <w:vAlign w:val="center"/>
          </w:tcPr>
          <w:p w14:paraId="523BA0AD" w14:textId="77777777" w:rsidR="00B010E6" w:rsidRPr="0012703C" w:rsidRDefault="00B010E6" w:rsidP="00B010E6">
            <w:pPr>
              <w:jc w:val="center"/>
              <w:rPr>
                <w:sz w:val="16"/>
                <w:szCs w:val="16"/>
              </w:rPr>
            </w:pPr>
            <w:r w:rsidRPr="0012703C">
              <w:rPr>
                <w:sz w:val="16"/>
                <w:szCs w:val="16"/>
              </w:rPr>
              <w:t>-</w:t>
            </w:r>
          </w:p>
        </w:tc>
        <w:tc>
          <w:tcPr>
            <w:tcW w:w="851" w:type="dxa"/>
            <w:shd w:val="clear" w:color="auto" w:fill="auto"/>
            <w:noWrap/>
            <w:vAlign w:val="center"/>
          </w:tcPr>
          <w:p w14:paraId="548FE244" w14:textId="77777777" w:rsidR="00B010E6" w:rsidRPr="0012703C" w:rsidRDefault="00B010E6" w:rsidP="00B010E6">
            <w:pPr>
              <w:tabs>
                <w:tab w:val="left" w:pos="3469"/>
              </w:tabs>
              <w:jc w:val="center"/>
              <w:rPr>
                <w:rFonts w:asciiTheme="minorHAnsi" w:eastAsia="Times New Roman" w:hAnsiTheme="minorHAnsi" w:cstheme="minorHAnsi"/>
                <w:sz w:val="16"/>
                <w:szCs w:val="16"/>
              </w:rPr>
            </w:pPr>
            <w:r w:rsidRPr="0012703C">
              <w:rPr>
                <w:rFonts w:asciiTheme="minorHAnsi" w:eastAsia="Times New Roman" w:hAnsiTheme="minorHAnsi" w:cstheme="minorHAnsi"/>
                <w:sz w:val="16"/>
                <w:szCs w:val="16"/>
              </w:rPr>
              <w:t>3.985</w:t>
            </w:r>
          </w:p>
        </w:tc>
        <w:tc>
          <w:tcPr>
            <w:tcW w:w="850" w:type="dxa"/>
            <w:shd w:val="clear" w:color="auto" w:fill="auto"/>
            <w:noWrap/>
            <w:vAlign w:val="center"/>
          </w:tcPr>
          <w:p w14:paraId="2EE8273E" w14:textId="77777777" w:rsidR="00B010E6" w:rsidRPr="0012703C" w:rsidRDefault="00B010E6" w:rsidP="00B010E6">
            <w:pPr>
              <w:jc w:val="center"/>
              <w:rPr>
                <w:rFonts w:asciiTheme="minorHAnsi" w:eastAsia="Times New Roman" w:hAnsiTheme="minorHAnsi" w:cstheme="minorHAnsi"/>
                <w:bCs/>
                <w:color w:val="000000" w:themeColor="text1"/>
                <w:sz w:val="16"/>
                <w:szCs w:val="16"/>
                <w:lang w:eastAsia="hr-HR"/>
              </w:rPr>
            </w:pPr>
            <w:r w:rsidRPr="0012703C">
              <w:rPr>
                <w:rFonts w:asciiTheme="minorHAnsi" w:eastAsia="Times New Roman" w:hAnsiTheme="minorHAnsi" w:cstheme="minorHAnsi"/>
                <w:bCs/>
                <w:color w:val="000000" w:themeColor="text1"/>
                <w:sz w:val="16"/>
                <w:szCs w:val="16"/>
                <w:lang w:eastAsia="hr-HR"/>
              </w:rPr>
              <w:t>1.524</w:t>
            </w:r>
          </w:p>
        </w:tc>
        <w:tc>
          <w:tcPr>
            <w:tcW w:w="851" w:type="dxa"/>
            <w:shd w:val="clear" w:color="auto" w:fill="auto"/>
            <w:noWrap/>
            <w:vAlign w:val="center"/>
          </w:tcPr>
          <w:p w14:paraId="1B363584" w14:textId="3B7801AA"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42%</w:t>
            </w:r>
          </w:p>
        </w:tc>
        <w:tc>
          <w:tcPr>
            <w:tcW w:w="850" w:type="dxa"/>
            <w:shd w:val="clear" w:color="auto" w:fill="auto"/>
            <w:noWrap/>
            <w:vAlign w:val="center"/>
          </w:tcPr>
          <w:p w14:paraId="09AFC114"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1.668</w:t>
            </w:r>
          </w:p>
        </w:tc>
        <w:tc>
          <w:tcPr>
            <w:tcW w:w="851" w:type="dxa"/>
            <w:shd w:val="clear" w:color="auto" w:fill="auto"/>
            <w:noWrap/>
            <w:vAlign w:val="center"/>
          </w:tcPr>
          <w:p w14:paraId="368ED19E"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46%</w:t>
            </w:r>
          </w:p>
        </w:tc>
        <w:tc>
          <w:tcPr>
            <w:tcW w:w="992" w:type="dxa"/>
            <w:shd w:val="clear" w:color="auto" w:fill="auto"/>
            <w:noWrap/>
            <w:vAlign w:val="center"/>
          </w:tcPr>
          <w:p w14:paraId="200C5A77"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445</w:t>
            </w:r>
          </w:p>
        </w:tc>
        <w:tc>
          <w:tcPr>
            <w:tcW w:w="851" w:type="dxa"/>
            <w:shd w:val="clear" w:color="auto" w:fill="auto"/>
            <w:noWrap/>
            <w:vAlign w:val="center"/>
          </w:tcPr>
          <w:p w14:paraId="14F74653"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12%</w:t>
            </w:r>
          </w:p>
        </w:tc>
      </w:tr>
      <w:tr w:rsidR="00B010E6" w:rsidRPr="001B4CA2" w14:paraId="5996809A" w14:textId="77777777" w:rsidTr="0012703C">
        <w:trPr>
          <w:trHeight w:val="397"/>
          <w:jc w:val="center"/>
        </w:trPr>
        <w:tc>
          <w:tcPr>
            <w:tcW w:w="799" w:type="dxa"/>
            <w:shd w:val="clear" w:color="auto" w:fill="auto"/>
            <w:noWrap/>
            <w:vAlign w:val="center"/>
          </w:tcPr>
          <w:p w14:paraId="6CF6630A"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2022.</w:t>
            </w:r>
          </w:p>
        </w:tc>
        <w:tc>
          <w:tcPr>
            <w:tcW w:w="673" w:type="dxa"/>
            <w:shd w:val="clear" w:color="auto" w:fill="auto"/>
            <w:noWrap/>
            <w:vAlign w:val="center"/>
          </w:tcPr>
          <w:p w14:paraId="43425890" w14:textId="77777777" w:rsidR="00B010E6" w:rsidRPr="0012703C" w:rsidRDefault="00B010E6" w:rsidP="00B010E6">
            <w:pPr>
              <w:jc w:val="center"/>
              <w:rPr>
                <w:bCs/>
                <w:sz w:val="16"/>
                <w:szCs w:val="16"/>
              </w:rPr>
            </w:pPr>
            <w:r w:rsidRPr="0012703C">
              <w:rPr>
                <w:bCs/>
                <w:sz w:val="16"/>
                <w:szCs w:val="16"/>
              </w:rPr>
              <w:t>5.086</w:t>
            </w:r>
          </w:p>
        </w:tc>
        <w:tc>
          <w:tcPr>
            <w:tcW w:w="709" w:type="dxa"/>
            <w:vAlign w:val="center"/>
          </w:tcPr>
          <w:p w14:paraId="634C75BC" w14:textId="77777777" w:rsidR="00B010E6" w:rsidRPr="0012703C" w:rsidRDefault="00B010E6" w:rsidP="00B010E6">
            <w:pPr>
              <w:jc w:val="center"/>
              <w:rPr>
                <w:sz w:val="16"/>
                <w:szCs w:val="16"/>
              </w:rPr>
            </w:pPr>
            <w:r w:rsidRPr="0012703C">
              <w:rPr>
                <w:sz w:val="16"/>
                <w:szCs w:val="16"/>
              </w:rPr>
              <w:t>219</w:t>
            </w:r>
          </w:p>
        </w:tc>
        <w:tc>
          <w:tcPr>
            <w:tcW w:w="708" w:type="dxa"/>
            <w:shd w:val="clear" w:color="auto" w:fill="auto"/>
            <w:noWrap/>
            <w:vAlign w:val="center"/>
          </w:tcPr>
          <w:p w14:paraId="074D9CF2" w14:textId="77777777" w:rsidR="00B010E6" w:rsidRPr="0012703C" w:rsidRDefault="00B010E6" w:rsidP="00B010E6">
            <w:pPr>
              <w:jc w:val="center"/>
              <w:rPr>
                <w:sz w:val="16"/>
                <w:szCs w:val="16"/>
              </w:rPr>
            </w:pPr>
            <w:r w:rsidRPr="0012703C">
              <w:rPr>
                <w:sz w:val="16"/>
                <w:szCs w:val="16"/>
              </w:rPr>
              <w:t>-</w:t>
            </w:r>
          </w:p>
        </w:tc>
        <w:tc>
          <w:tcPr>
            <w:tcW w:w="851" w:type="dxa"/>
            <w:shd w:val="clear" w:color="auto" w:fill="auto"/>
            <w:noWrap/>
            <w:vAlign w:val="center"/>
          </w:tcPr>
          <w:p w14:paraId="478A95C1" w14:textId="77777777" w:rsidR="00B010E6" w:rsidRPr="0012703C" w:rsidRDefault="00B010E6" w:rsidP="00B010E6">
            <w:pPr>
              <w:tabs>
                <w:tab w:val="left" w:pos="3469"/>
              </w:tabs>
              <w:jc w:val="center"/>
              <w:rPr>
                <w:rFonts w:asciiTheme="minorHAnsi" w:eastAsia="Times New Roman" w:hAnsiTheme="minorHAnsi" w:cstheme="minorHAnsi"/>
                <w:sz w:val="16"/>
                <w:szCs w:val="16"/>
              </w:rPr>
            </w:pPr>
            <w:r w:rsidRPr="0012703C">
              <w:rPr>
                <w:rFonts w:asciiTheme="minorHAnsi" w:eastAsia="Times New Roman" w:hAnsiTheme="minorHAnsi" w:cstheme="minorHAnsi"/>
                <w:sz w:val="16"/>
                <w:szCs w:val="16"/>
              </w:rPr>
              <w:t>5.305</w:t>
            </w:r>
          </w:p>
        </w:tc>
        <w:tc>
          <w:tcPr>
            <w:tcW w:w="850" w:type="dxa"/>
            <w:shd w:val="clear" w:color="auto" w:fill="auto"/>
            <w:noWrap/>
            <w:vAlign w:val="center"/>
          </w:tcPr>
          <w:p w14:paraId="2A9FDC8A" w14:textId="77777777" w:rsidR="00B010E6" w:rsidRPr="0012703C" w:rsidRDefault="00B010E6" w:rsidP="00B010E6">
            <w:pPr>
              <w:jc w:val="center"/>
              <w:rPr>
                <w:rFonts w:asciiTheme="minorHAnsi" w:eastAsia="Times New Roman" w:hAnsiTheme="minorHAnsi" w:cstheme="minorHAnsi"/>
                <w:bCs/>
                <w:color w:val="000000" w:themeColor="text1"/>
                <w:sz w:val="16"/>
                <w:szCs w:val="16"/>
                <w:lang w:eastAsia="hr-HR"/>
              </w:rPr>
            </w:pPr>
            <w:r w:rsidRPr="0012703C">
              <w:rPr>
                <w:rFonts w:asciiTheme="minorHAnsi" w:eastAsia="Times New Roman" w:hAnsiTheme="minorHAnsi" w:cstheme="minorHAnsi"/>
                <w:bCs/>
                <w:color w:val="000000" w:themeColor="text1"/>
                <w:sz w:val="16"/>
                <w:szCs w:val="16"/>
                <w:lang w:eastAsia="hr-HR"/>
              </w:rPr>
              <w:t>2.491</w:t>
            </w:r>
          </w:p>
        </w:tc>
        <w:tc>
          <w:tcPr>
            <w:tcW w:w="851" w:type="dxa"/>
            <w:shd w:val="clear" w:color="auto" w:fill="auto"/>
            <w:noWrap/>
            <w:vAlign w:val="center"/>
          </w:tcPr>
          <w:p w14:paraId="51DC624A" w14:textId="05E4B5D8"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49%</w:t>
            </w:r>
          </w:p>
        </w:tc>
        <w:tc>
          <w:tcPr>
            <w:tcW w:w="850" w:type="dxa"/>
            <w:shd w:val="clear" w:color="auto" w:fill="auto"/>
            <w:noWrap/>
            <w:vAlign w:val="center"/>
          </w:tcPr>
          <w:p w14:paraId="0EB387A7"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2.119</w:t>
            </w:r>
          </w:p>
        </w:tc>
        <w:tc>
          <w:tcPr>
            <w:tcW w:w="851" w:type="dxa"/>
            <w:shd w:val="clear" w:color="auto" w:fill="auto"/>
            <w:noWrap/>
            <w:vAlign w:val="center"/>
          </w:tcPr>
          <w:p w14:paraId="1867D22F"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 xml:space="preserve">42% </w:t>
            </w:r>
          </w:p>
        </w:tc>
        <w:tc>
          <w:tcPr>
            <w:tcW w:w="992" w:type="dxa"/>
            <w:shd w:val="clear" w:color="auto" w:fill="auto"/>
            <w:noWrap/>
            <w:vAlign w:val="center"/>
          </w:tcPr>
          <w:p w14:paraId="61F7179C"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476</w:t>
            </w:r>
          </w:p>
        </w:tc>
        <w:tc>
          <w:tcPr>
            <w:tcW w:w="851" w:type="dxa"/>
            <w:shd w:val="clear" w:color="auto" w:fill="auto"/>
            <w:noWrap/>
            <w:vAlign w:val="center"/>
          </w:tcPr>
          <w:p w14:paraId="5F51A0E6" w14:textId="77777777" w:rsidR="00B010E6" w:rsidRPr="0012703C" w:rsidRDefault="00B010E6" w:rsidP="00B010E6">
            <w:pPr>
              <w:jc w:val="center"/>
              <w:rPr>
                <w:rFonts w:asciiTheme="minorHAnsi" w:eastAsia="Times New Roman" w:hAnsiTheme="minorHAnsi" w:cstheme="minorHAnsi"/>
                <w:bCs/>
                <w:color w:val="000000"/>
                <w:sz w:val="16"/>
                <w:szCs w:val="16"/>
                <w:lang w:eastAsia="hr-HR"/>
              </w:rPr>
            </w:pPr>
            <w:r w:rsidRPr="0012703C">
              <w:rPr>
                <w:rFonts w:asciiTheme="minorHAnsi" w:eastAsia="Times New Roman" w:hAnsiTheme="minorHAnsi" w:cstheme="minorHAnsi"/>
                <w:bCs/>
                <w:color w:val="000000"/>
                <w:sz w:val="16"/>
                <w:szCs w:val="16"/>
                <w:lang w:eastAsia="hr-HR"/>
              </w:rPr>
              <w:t xml:space="preserve">9% </w:t>
            </w:r>
          </w:p>
        </w:tc>
      </w:tr>
    </w:tbl>
    <w:p w14:paraId="7DD0871B" w14:textId="77777777" w:rsidR="00B010E6" w:rsidRPr="001B4CA2" w:rsidRDefault="00B010E6" w:rsidP="00B010E6">
      <w:pPr>
        <w:rPr>
          <w:color w:val="FF0000"/>
          <w:szCs w:val="22"/>
        </w:rPr>
      </w:pPr>
    </w:p>
    <w:p w14:paraId="43DC1DFB" w14:textId="7AA15DC0" w:rsidR="00B010E6" w:rsidRPr="001B4CA2" w:rsidRDefault="00B010E6" w:rsidP="00B010E6">
      <w:pPr>
        <w:ind w:firstLine="708"/>
      </w:pPr>
      <w:r w:rsidRPr="001B4CA2">
        <w:t xml:space="preserve">Općinska </w:t>
      </w:r>
      <w:r w:rsidR="00840C0E" w:rsidRPr="001B4CA2">
        <w:t xml:space="preserve">su </w:t>
      </w:r>
      <w:r w:rsidRPr="001B4CA2">
        <w:t>državna odvjetništva tijekom 2022. godine primila ukupno 5</w:t>
      </w:r>
      <w:r w:rsidR="00840C0E">
        <w:t>.</w:t>
      </w:r>
      <w:r w:rsidRPr="001B4CA2">
        <w:t>305 odluka prvostupanjskih sudova, od čega se 219 odnosi na sudske nagodbe.</w:t>
      </w:r>
    </w:p>
    <w:p w14:paraId="6E76F3BB" w14:textId="77777777" w:rsidR="00B010E6" w:rsidRPr="001B4CA2" w:rsidRDefault="00B010E6" w:rsidP="00B010E6">
      <w:pPr>
        <w:ind w:firstLine="708"/>
      </w:pPr>
    </w:p>
    <w:p w14:paraId="69A629AA" w14:textId="6DB602C4" w:rsidR="00B010E6" w:rsidRPr="001B4CA2" w:rsidRDefault="00B010E6" w:rsidP="00B010E6">
      <w:pPr>
        <w:ind w:firstLine="708"/>
      </w:pPr>
      <w:r w:rsidRPr="001B4CA2">
        <w:t>U 49</w:t>
      </w:r>
      <w:r w:rsidR="00840C0E">
        <w:t> </w:t>
      </w:r>
      <w:r w:rsidRPr="001B4CA2">
        <w:t xml:space="preserve">% predmeta Republika Hrvatska spor </w:t>
      </w:r>
      <w:r w:rsidR="00840C0E" w:rsidRPr="001B4CA2">
        <w:t xml:space="preserve">je </w:t>
      </w:r>
      <w:r w:rsidRPr="001B4CA2">
        <w:t>dobila u cijelosti, u 42</w:t>
      </w:r>
      <w:r w:rsidR="00840C0E">
        <w:t> </w:t>
      </w:r>
      <w:r w:rsidRPr="001B4CA2">
        <w:t xml:space="preserve">% spor </w:t>
      </w:r>
      <w:r w:rsidR="00840C0E" w:rsidRPr="001B4CA2">
        <w:t xml:space="preserve">je </w:t>
      </w:r>
      <w:r w:rsidRPr="001B4CA2">
        <w:t>izgubila, dok je u 9</w:t>
      </w:r>
      <w:r w:rsidR="00840C0E">
        <w:t> </w:t>
      </w:r>
      <w:r w:rsidRPr="001B4CA2">
        <w:t>% predmeta uspjeh bio djelomičan.</w:t>
      </w:r>
    </w:p>
    <w:p w14:paraId="26994A35" w14:textId="4DAE8C25" w:rsidR="00B010E6" w:rsidRPr="001B4CA2" w:rsidRDefault="00B010E6" w:rsidP="00B010E6">
      <w:pPr>
        <w:ind w:firstLine="708"/>
      </w:pPr>
      <w:r w:rsidRPr="001B4CA2">
        <w:lastRenderedPageBreak/>
        <w:t>Od ukupnog broja svih izgubljenih parnica (2</w:t>
      </w:r>
      <w:r w:rsidR="00840C0E">
        <w:t>.</w:t>
      </w:r>
      <w:r w:rsidRPr="001B4CA2">
        <w:t>119) čak 908 odnosi</w:t>
      </w:r>
      <w:r w:rsidR="009E6D91" w:rsidRPr="001B4CA2">
        <w:t>o</w:t>
      </w:r>
      <w:r w:rsidRPr="001B4CA2">
        <w:t xml:space="preserve"> </w:t>
      </w:r>
      <w:r w:rsidR="00840C0E" w:rsidRPr="001B4CA2">
        <w:t xml:space="preserve">se </w:t>
      </w:r>
      <w:r w:rsidRPr="001B4CA2">
        <w:t>na radne sporove, što čini 43</w:t>
      </w:r>
      <w:r w:rsidR="00840C0E">
        <w:t> </w:t>
      </w:r>
      <w:r w:rsidRPr="001B4CA2">
        <w:t>%, a od ukupno 2</w:t>
      </w:r>
      <w:r w:rsidR="00840C0E">
        <w:t>.</w:t>
      </w:r>
      <w:r w:rsidRPr="001B4CA2">
        <w:t>491 dobiven</w:t>
      </w:r>
      <w:r w:rsidR="00840C0E">
        <w:t>e</w:t>
      </w:r>
      <w:r w:rsidRPr="001B4CA2">
        <w:t xml:space="preserve"> parnic</w:t>
      </w:r>
      <w:r w:rsidR="00840C0E">
        <w:t>e</w:t>
      </w:r>
      <w:r w:rsidRPr="001B4CA2">
        <w:t xml:space="preserve"> čak 1</w:t>
      </w:r>
      <w:r w:rsidR="00840C0E">
        <w:t>.</w:t>
      </w:r>
      <w:r w:rsidRPr="001B4CA2">
        <w:t xml:space="preserve">053 </w:t>
      </w:r>
      <w:r w:rsidR="00840C0E" w:rsidRPr="001B4CA2">
        <w:t xml:space="preserve">također </w:t>
      </w:r>
      <w:r w:rsidRPr="001B4CA2">
        <w:t xml:space="preserve">se </w:t>
      </w:r>
      <w:r w:rsidR="009E6D91" w:rsidRPr="001B4CA2">
        <w:t>odnosio</w:t>
      </w:r>
      <w:r w:rsidRPr="001B4CA2">
        <w:t xml:space="preserve"> na radne sporove, što čini 42</w:t>
      </w:r>
      <w:r w:rsidR="00840C0E">
        <w:t> </w:t>
      </w:r>
      <w:r w:rsidRPr="001B4CA2">
        <w:t>%. Slijedom navedenog</w:t>
      </w:r>
      <w:r w:rsidR="00840C0E">
        <w:t>a</w:t>
      </w:r>
      <w:r w:rsidRPr="001B4CA2">
        <w:t xml:space="preserve"> na uspješnost zastupanja u parničnim postupcima </w:t>
      </w:r>
      <w:r w:rsidR="009E6D91" w:rsidRPr="001B4CA2">
        <w:t>utjecali su</w:t>
      </w:r>
      <w:r w:rsidRPr="001B4CA2">
        <w:t xml:space="preserve"> radni sporovi koji su posljedica povrede prava s osnove rada priznatih zakonom ili kolektivnim ugovorom</w:t>
      </w:r>
      <w:r w:rsidR="00840C0E">
        <w:t>.</w:t>
      </w:r>
      <w:r w:rsidRPr="001B4CA2">
        <w:t xml:space="preserve"> Međutim</w:t>
      </w:r>
      <w:r w:rsidR="00840C0E">
        <w:t>,</w:t>
      </w:r>
      <w:r w:rsidRPr="001B4CA2">
        <w:t xml:space="preserve"> iz navedenih podataka može se zaključiti da ni zahtjevi iz radnih odnosa nisu uvijek</w:t>
      </w:r>
      <w:r w:rsidR="009E6D91" w:rsidRPr="001B4CA2">
        <w:t xml:space="preserve"> bili</w:t>
      </w:r>
      <w:r w:rsidRPr="001B4CA2">
        <w:t xml:space="preserve"> opravdani</w:t>
      </w:r>
      <w:r w:rsidR="00840C0E">
        <w:t>,</w:t>
      </w:r>
      <w:r w:rsidRPr="001B4CA2">
        <w:t xml:space="preserve"> što </w:t>
      </w:r>
      <w:r w:rsidR="009E6D91" w:rsidRPr="001B4CA2">
        <w:t>je rezultiralo</w:t>
      </w:r>
      <w:r w:rsidRPr="001B4CA2">
        <w:t xml:space="preserve"> u određenim sporovima uspjehom na strani tužene Republike Hrvatske.</w:t>
      </w:r>
    </w:p>
    <w:p w14:paraId="61C098DC" w14:textId="77777777" w:rsidR="00B010E6" w:rsidRPr="001B4CA2" w:rsidRDefault="00B010E6" w:rsidP="00B010E6">
      <w:pPr>
        <w:rPr>
          <w:sz w:val="20"/>
          <w:szCs w:val="20"/>
        </w:rPr>
      </w:pPr>
      <w:r w:rsidRPr="001B4CA2">
        <w:rPr>
          <w:sz w:val="20"/>
          <w:szCs w:val="20"/>
        </w:rPr>
        <w:tab/>
      </w:r>
      <w:r w:rsidRPr="001B4CA2">
        <w:rPr>
          <w:sz w:val="20"/>
          <w:szCs w:val="20"/>
        </w:rPr>
        <w:tab/>
      </w:r>
    </w:p>
    <w:p w14:paraId="248B7E3E" w14:textId="290E842C" w:rsidR="00B010E6" w:rsidRPr="001B4CA2" w:rsidRDefault="00B010E6" w:rsidP="00B010E6">
      <w:pPr>
        <w:pStyle w:val="Odlomakpopisa"/>
        <w:numPr>
          <w:ilvl w:val="0"/>
          <w:numId w:val="36"/>
        </w:numPr>
        <w:jc w:val="left"/>
        <w:rPr>
          <w:rFonts w:asciiTheme="minorHAnsi" w:hAnsiTheme="minorHAnsi" w:cstheme="minorBidi"/>
          <w:i/>
          <w:szCs w:val="22"/>
        </w:rPr>
      </w:pPr>
      <w:r w:rsidRPr="001B4CA2">
        <w:rPr>
          <w:rFonts w:asciiTheme="minorHAnsi" w:hAnsiTheme="minorHAnsi" w:cstheme="minorBidi"/>
          <w:i/>
          <w:szCs w:val="22"/>
        </w:rPr>
        <w:t xml:space="preserve">Uspjeh u parnicama pred općinskim sudovima 2018. – 2022. (prema vrijednosti spora) </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319"/>
        <w:gridCol w:w="1319"/>
        <w:gridCol w:w="1319"/>
        <w:gridCol w:w="1319"/>
        <w:gridCol w:w="1319"/>
        <w:gridCol w:w="1320"/>
      </w:tblGrid>
      <w:tr w:rsidR="00B010E6" w:rsidRPr="001B4CA2" w14:paraId="01DCC5E4" w14:textId="77777777" w:rsidTr="00540F85">
        <w:trPr>
          <w:trHeight w:val="528"/>
          <w:jc w:val="center"/>
        </w:trPr>
        <w:tc>
          <w:tcPr>
            <w:tcW w:w="998" w:type="dxa"/>
            <w:vMerge w:val="restart"/>
            <w:shd w:val="clear" w:color="auto" w:fill="99CCFF"/>
            <w:noWrap/>
            <w:vAlign w:val="center"/>
            <w:hideMark/>
          </w:tcPr>
          <w:p w14:paraId="1676C653"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2638" w:type="dxa"/>
            <w:gridSpan w:val="2"/>
            <w:vMerge w:val="restart"/>
            <w:shd w:val="clear" w:color="auto" w:fill="99CCFF"/>
            <w:vAlign w:val="center"/>
            <w:hideMark/>
          </w:tcPr>
          <w:p w14:paraId="65A321A9"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Sudske odluke</w:t>
            </w:r>
          </w:p>
        </w:tc>
        <w:tc>
          <w:tcPr>
            <w:tcW w:w="5277" w:type="dxa"/>
            <w:gridSpan w:val="4"/>
            <w:vMerge w:val="restart"/>
            <w:shd w:val="clear" w:color="auto" w:fill="99CCFF"/>
            <w:noWrap/>
            <w:vAlign w:val="center"/>
            <w:hideMark/>
          </w:tcPr>
          <w:p w14:paraId="3E4F437C"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Uspjeh prema vrijednosti spora-</w:t>
            </w:r>
            <w:r w:rsidRPr="001B4CA2">
              <w:rPr>
                <w:rFonts w:asciiTheme="minorHAnsi" w:hAnsiTheme="minorHAnsi" w:cstheme="minorHAnsi"/>
                <w:sz w:val="18"/>
                <w:szCs w:val="18"/>
              </w:rPr>
              <w:t xml:space="preserve"> </w:t>
            </w:r>
            <w:r w:rsidRPr="001B4CA2">
              <w:rPr>
                <w:rFonts w:asciiTheme="minorHAnsi" w:eastAsia="Times New Roman" w:hAnsiTheme="minorHAnsi" w:cstheme="minorHAnsi"/>
                <w:b/>
                <w:bCs/>
                <w:sz w:val="18"/>
                <w:szCs w:val="18"/>
                <w:lang w:eastAsia="hr-HR"/>
              </w:rPr>
              <w:t>presude/rješenja/sudske nagodbe</w:t>
            </w:r>
          </w:p>
        </w:tc>
      </w:tr>
      <w:tr w:rsidR="00B010E6" w:rsidRPr="001B4CA2" w14:paraId="7282AA51" w14:textId="77777777" w:rsidTr="00540F85">
        <w:trPr>
          <w:trHeight w:val="528"/>
          <w:jc w:val="center"/>
        </w:trPr>
        <w:tc>
          <w:tcPr>
            <w:tcW w:w="998" w:type="dxa"/>
            <w:vMerge/>
            <w:shd w:val="clear" w:color="auto" w:fill="99CCFF"/>
            <w:vAlign w:val="center"/>
            <w:hideMark/>
          </w:tcPr>
          <w:p w14:paraId="0DA06724"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p>
        </w:tc>
        <w:tc>
          <w:tcPr>
            <w:tcW w:w="2638" w:type="dxa"/>
            <w:gridSpan w:val="2"/>
            <w:vMerge/>
            <w:shd w:val="clear" w:color="auto" w:fill="99CCFF"/>
            <w:vAlign w:val="center"/>
            <w:hideMark/>
          </w:tcPr>
          <w:p w14:paraId="5DA1831B"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p>
        </w:tc>
        <w:tc>
          <w:tcPr>
            <w:tcW w:w="5277" w:type="dxa"/>
            <w:gridSpan w:val="4"/>
            <w:vMerge/>
            <w:shd w:val="clear" w:color="auto" w:fill="99CCFF"/>
            <w:vAlign w:val="center"/>
            <w:hideMark/>
          </w:tcPr>
          <w:p w14:paraId="182F880A"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p>
        </w:tc>
      </w:tr>
      <w:tr w:rsidR="00B010E6" w:rsidRPr="001B4CA2" w14:paraId="4288EA26" w14:textId="77777777" w:rsidTr="00540F85">
        <w:trPr>
          <w:cantSplit/>
          <w:trHeight w:val="1726"/>
          <w:jc w:val="center"/>
        </w:trPr>
        <w:tc>
          <w:tcPr>
            <w:tcW w:w="998" w:type="dxa"/>
            <w:vMerge/>
            <w:shd w:val="clear" w:color="auto" w:fill="99CCFF"/>
            <w:vAlign w:val="center"/>
            <w:hideMark/>
          </w:tcPr>
          <w:p w14:paraId="19CCD898" w14:textId="77777777" w:rsidR="00B010E6" w:rsidRPr="001B4CA2" w:rsidRDefault="00B010E6" w:rsidP="00B010E6">
            <w:pPr>
              <w:jc w:val="center"/>
              <w:rPr>
                <w:rFonts w:asciiTheme="minorHAnsi" w:eastAsia="Times New Roman" w:hAnsiTheme="minorHAnsi" w:cstheme="minorHAnsi"/>
                <w:b/>
                <w:bCs/>
                <w:color w:val="000000"/>
                <w:sz w:val="18"/>
                <w:szCs w:val="18"/>
                <w:lang w:eastAsia="hr-HR"/>
              </w:rPr>
            </w:pPr>
          </w:p>
        </w:tc>
        <w:tc>
          <w:tcPr>
            <w:tcW w:w="1319" w:type="dxa"/>
            <w:shd w:val="clear" w:color="auto" w:fill="99CCFF"/>
            <w:vAlign w:val="center"/>
          </w:tcPr>
          <w:p w14:paraId="629DF9BC" w14:textId="5EBDD080" w:rsidR="00B010E6" w:rsidRPr="001B4CA2" w:rsidRDefault="00B010E6" w:rsidP="00B010E6">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Presude/ rješenja</w:t>
            </w:r>
            <w:r w:rsidR="001B4CA2">
              <w:rPr>
                <w:rFonts w:asciiTheme="minorHAnsi" w:eastAsia="Times New Roman" w:hAnsiTheme="minorHAnsi" w:cstheme="minorHAnsi"/>
                <w:b/>
                <w:bCs/>
                <w:color w:val="000000"/>
                <w:sz w:val="18"/>
                <w:szCs w:val="18"/>
                <w:lang w:eastAsia="hr-HR"/>
              </w:rPr>
              <w:t xml:space="preserve"> </w:t>
            </w:r>
            <w:r w:rsidRPr="001B4CA2">
              <w:rPr>
                <w:rFonts w:asciiTheme="minorHAnsi" w:eastAsia="Times New Roman" w:hAnsiTheme="minorHAnsi" w:cstheme="minorHAnsi"/>
                <w:b/>
                <w:bCs/>
                <w:color w:val="000000"/>
                <w:sz w:val="18"/>
                <w:szCs w:val="18"/>
                <w:lang w:eastAsia="hr-HR"/>
              </w:rPr>
              <w:t>(broj)</w:t>
            </w:r>
          </w:p>
        </w:tc>
        <w:tc>
          <w:tcPr>
            <w:tcW w:w="1319" w:type="dxa"/>
            <w:shd w:val="clear" w:color="auto" w:fill="99CCFF"/>
            <w:vAlign w:val="center"/>
          </w:tcPr>
          <w:p w14:paraId="61829C2D" w14:textId="77777777" w:rsidR="00B010E6" w:rsidRPr="001B4CA2" w:rsidRDefault="00B010E6" w:rsidP="007D12C6">
            <w:pPr>
              <w:jc w:val="left"/>
              <w:rPr>
                <w:rFonts w:asciiTheme="minorHAnsi" w:eastAsia="Times New Roman" w:hAnsiTheme="minorHAnsi" w:cstheme="minorHAnsi"/>
                <w:b/>
                <w:sz w:val="18"/>
                <w:szCs w:val="18"/>
              </w:rPr>
            </w:pPr>
            <w:r w:rsidRPr="001B4CA2">
              <w:rPr>
                <w:rFonts w:asciiTheme="minorHAnsi" w:eastAsia="Times New Roman" w:hAnsiTheme="minorHAnsi" w:cstheme="minorHAnsi"/>
                <w:b/>
                <w:sz w:val="18"/>
                <w:szCs w:val="18"/>
                <w:lang w:eastAsia="hr-HR"/>
              </w:rPr>
              <w:t>Sudska nagodba (broj)</w:t>
            </w:r>
          </w:p>
        </w:tc>
        <w:tc>
          <w:tcPr>
            <w:tcW w:w="1319" w:type="dxa"/>
            <w:shd w:val="clear" w:color="auto" w:fill="99CCFF"/>
            <w:vAlign w:val="center"/>
            <w:hideMark/>
          </w:tcPr>
          <w:p w14:paraId="6AAE665A" w14:textId="77777777" w:rsidR="00B010E6" w:rsidRPr="001B4CA2" w:rsidRDefault="00B010E6" w:rsidP="00B010E6">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Ukupna vrijednost dobivenog</w:t>
            </w:r>
            <w:r w:rsidRPr="001B4CA2">
              <w:rPr>
                <w:rFonts w:asciiTheme="minorHAnsi" w:eastAsia="Times New Roman" w:hAnsiTheme="minorHAnsi" w:cstheme="minorHAnsi"/>
                <w:b/>
                <w:color w:val="000000"/>
                <w:sz w:val="18"/>
                <w:szCs w:val="18"/>
                <w:lang w:eastAsia="hr-HR"/>
              </w:rPr>
              <w:br/>
              <w:t>(u tisućama kuna)</w:t>
            </w:r>
          </w:p>
        </w:tc>
        <w:tc>
          <w:tcPr>
            <w:tcW w:w="1319" w:type="dxa"/>
            <w:shd w:val="clear" w:color="auto" w:fill="99CCFF"/>
            <w:vAlign w:val="center"/>
            <w:hideMark/>
          </w:tcPr>
          <w:p w14:paraId="3F997C23" w14:textId="713C5CF5" w:rsidR="00B010E6" w:rsidRPr="001B4CA2" w:rsidRDefault="00B010E6" w:rsidP="00B010E6">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Postotak dobivenog</w:t>
            </w:r>
            <w:r w:rsidR="001B4CA2">
              <w:rPr>
                <w:rFonts w:asciiTheme="minorHAnsi" w:eastAsia="Times New Roman" w:hAnsiTheme="minorHAnsi" w:cstheme="minorHAnsi"/>
                <w:b/>
                <w:color w:val="000000"/>
                <w:sz w:val="18"/>
                <w:szCs w:val="18"/>
                <w:lang w:eastAsia="hr-HR"/>
              </w:rPr>
              <w:t xml:space="preserve"> </w:t>
            </w:r>
            <w:r w:rsidRPr="001B4CA2">
              <w:rPr>
                <w:rFonts w:asciiTheme="minorHAnsi" w:eastAsia="Times New Roman" w:hAnsiTheme="minorHAnsi" w:cstheme="minorHAnsi"/>
                <w:b/>
                <w:color w:val="000000"/>
                <w:sz w:val="18"/>
                <w:szCs w:val="18"/>
                <w:lang w:eastAsia="hr-HR"/>
              </w:rPr>
              <w:t>u odnosu na vrijednost</w:t>
            </w:r>
          </w:p>
        </w:tc>
        <w:tc>
          <w:tcPr>
            <w:tcW w:w="1319" w:type="dxa"/>
            <w:shd w:val="clear" w:color="auto" w:fill="99CCFF"/>
            <w:vAlign w:val="center"/>
            <w:hideMark/>
          </w:tcPr>
          <w:p w14:paraId="7E3C24B3" w14:textId="77777777" w:rsidR="00B010E6" w:rsidRPr="001B4CA2" w:rsidRDefault="00B010E6" w:rsidP="00B010E6">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Ukupna vrijednost izgubljenog</w:t>
            </w:r>
            <w:r w:rsidRPr="001B4CA2">
              <w:rPr>
                <w:rFonts w:asciiTheme="minorHAnsi" w:eastAsia="Times New Roman" w:hAnsiTheme="minorHAnsi" w:cstheme="minorHAnsi"/>
                <w:b/>
                <w:color w:val="000000"/>
                <w:sz w:val="18"/>
                <w:szCs w:val="18"/>
                <w:lang w:eastAsia="hr-HR"/>
              </w:rPr>
              <w:br/>
              <w:t>(u tisućama kuna)</w:t>
            </w:r>
          </w:p>
        </w:tc>
        <w:tc>
          <w:tcPr>
            <w:tcW w:w="1320" w:type="dxa"/>
            <w:shd w:val="clear" w:color="auto" w:fill="99CCFF"/>
            <w:vAlign w:val="center"/>
            <w:hideMark/>
          </w:tcPr>
          <w:p w14:paraId="6458ECFF" w14:textId="78E0C288" w:rsidR="00B010E6" w:rsidRPr="001B4CA2" w:rsidRDefault="00B010E6" w:rsidP="00B010E6">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Postotak izgubljenog</w:t>
            </w:r>
            <w:r w:rsidR="001B4CA2">
              <w:rPr>
                <w:rFonts w:asciiTheme="minorHAnsi" w:eastAsia="Times New Roman" w:hAnsiTheme="minorHAnsi" w:cstheme="minorHAnsi"/>
                <w:b/>
                <w:color w:val="000000"/>
                <w:sz w:val="18"/>
                <w:szCs w:val="18"/>
                <w:lang w:eastAsia="hr-HR"/>
              </w:rPr>
              <w:t xml:space="preserve"> </w:t>
            </w:r>
            <w:r w:rsidRPr="001B4CA2">
              <w:rPr>
                <w:rFonts w:asciiTheme="minorHAnsi" w:eastAsia="Times New Roman" w:hAnsiTheme="minorHAnsi" w:cstheme="minorHAnsi"/>
                <w:b/>
                <w:color w:val="000000"/>
                <w:sz w:val="18"/>
                <w:szCs w:val="18"/>
                <w:lang w:eastAsia="hr-HR"/>
              </w:rPr>
              <w:t>u odnosu na vrijednost</w:t>
            </w:r>
          </w:p>
        </w:tc>
      </w:tr>
      <w:tr w:rsidR="00B010E6" w:rsidRPr="001B4CA2" w14:paraId="1B4498E0" w14:textId="77777777" w:rsidTr="00540F85">
        <w:trPr>
          <w:trHeight w:val="397"/>
          <w:jc w:val="center"/>
        </w:trPr>
        <w:tc>
          <w:tcPr>
            <w:tcW w:w="998" w:type="dxa"/>
            <w:shd w:val="clear" w:color="auto" w:fill="auto"/>
            <w:noWrap/>
            <w:vAlign w:val="center"/>
            <w:hideMark/>
          </w:tcPr>
          <w:p w14:paraId="198B82C8"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2018.</w:t>
            </w:r>
          </w:p>
        </w:tc>
        <w:tc>
          <w:tcPr>
            <w:tcW w:w="1319" w:type="dxa"/>
            <w:shd w:val="clear" w:color="auto" w:fill="auto"/>
            <w:noWrap/>
            <w:vAlign w:val="center"/>
          </w:tcPr>
          <w:p w14:paraId="1824F75E"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2.749</w:t>
            </w:r>
          </w:p>
        </w:tc>
        <w:tc>
          <w:tcPr>
            <w:tcW w:w="1319" w:type="dxa"/>
            <w:shd w:val="clear" w:color="auto" w:fill="auto"/>
            <w:noWrap/>
            <w:vAlign w:val="center"/>
          </w:tcPr>
          <w:p w14:paraId="5D329A47" w14:textId="77777777" w:rsidR="00B010E6" w:rsidRPr="001B4CA2" w:rsidRDefault="00B010E6" w:rsidP="00B010E6">
            <w:pPr>
              <w:contextualSpacing/>
              <w:jc w:val="center"/>
              <w:rPr>
                <w:rFonts w:eastAsia="Times New Roman"/>
                <w:sz w:val="18"/>
                <w:szCs w:val="18"/>
              </w:rPr>
            </w:pPr>
            <w:r w:rsidRPr="001B4CA2">
              <w:rPr>
                <w:rFonts w:eastAsia="Times New Roman"/>
                <w:sz w:val="18"/>
                <w:szCs w:val="18"/>
                <w:lang w:eastAsia="hr-HR"/>
              </w:rPr>
              <w:t>305</w:t>
            </w:r>
          </w:p>
        </w:tc>
        <w:tc>
          <w:tcPr>
            <w:tcW w:w="1319" w:type="dxa"/>
            <w:shd w:val="clear" w:color="auto" w:fill="auto"/>
            <w:noWrap/>
            <w:vAlign w:val="center"/>
          </w:tcPr>
          <w:p w14:paraId="79557A6B"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170.305</w:t>
            </w:r>
          </w:p>
        </w:tc>
        <w:tc>
          <w:tcPr>
            <w:tcW w:w="1319" w:type="dxa"/>
            <w:shd w:val="clear" w:color="auto" w:fill="auto"/>
            <w:noWrap/>
            <w:vAlign w:val="center"/>
          </w:tcPr>
          <w:p w14:paraId="5F4658E6"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61,12%</w:t>
            </w:r>
          </w:p>
        </w:tc>
        <w:tc>
          <w:tcPr>
            <w:tcW w:w="1319" w:type="dxa"/>
            <w:shd w:val="clear" w:color="auto" w:fill="auto"/>
            <w:noWrap/>
            <w:vAlign w:val="center"/>
          </w:tcPr>
          <w:p w14:paraId="28CD5D7A"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108.353</w:t>
            </w:r>
          </w:p>
        </w:tc>
        <w:tc>
          <w:tcPr>
            <w:tcW w:w="1320" w:type="dxa"/>
            <w:shd w:val="clear" w:color="auto" w:fill="auto"/>
            <w:noWrap/>
            <w:vAlign w:val="center"/>
          </w:tcPr>
          <w:p w14:paraId="6987D6B4"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38,88%</w:t>
            </w:r>
          </w:p>
        </w:tc>
      </w:tr>
      <w:tr w:rsidR="00B010E6" w:rsidRPr="001B4CA2" w14:paraId="463A8047" w14:textId="77777777" w:rsidTr="00540F85">
        <w:trPr>
          <w:trHeight w:val="397"/>
          <w:jc w:val="center"/>
        </w:trPr>
        <w:tc>
          <w:tcPr>
            <w:tcW w:w="998" w:type="dxa"/>
            <w:shd w:val="clear" w:color="auto" w:fill="auto"/>
            <w:noWrap/>
            <w:vAlign w:val="center"/>
          </w:tcPr>
          <w:p w14:paraId="31A988EA"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2019.</w:t>
            </w:r>
          </w:p>
        </w:tc>
        <w:tc>
          <w:tcPr>
            <w:tcW w:w="1319" w:type="dxa"/>
            <w:shd w:val="clear" w:color="auto" w:fill="auto"/>
            <w:noWrap/>
            <w:vAlign w:val="center"/>
          </w:tcPr>
          <w:p w14:paraId="4FF6540C"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2.535</w:t>
            </w:r>
          </w:p>
        </w:tc>
        <w:tc>
          <w:tcPr>
            <w:tcW w:w="1319" w:type="dxa"/>
            <w:shd w:val="clear" w:color="auto" w:fill="auto"/>
            <w:noWrap/>
            <w:vAlign w:val="center"/>
          </w:tcPr>
          <w:p w14:paraId="38031E6F" w14:textId="77777777" w:rsidR="00B010E6" w:rsidRPr="001B4CA2" w:rsidRDefault="00B010E6" w:rsidP="00B010E6">
            <w:pPr>
              <w:contextualSpacing/>
              <w:jc w:val="center"/>
              <w:rPr>
                <w:rFonts w:eastAsia="Times New Roman"/>
                <w:sz w:val="18"/>
                <w:szCs w:val="18"/>
              </w:rPr>
            </w:pPr>
            <w:r w:rsidRPr="001B4CA2">
              <w:rPr>
                <w:rFonts w:eastAsia="Times New Roman"/>
                <w:sz w:val="18"/>
                <w:szCs w:val="18"/>
                <w:lang w:eastAsia="hr-HR"/>
              </w:rPr>
              <w:t>223</w:t>
            </w:r>
          </w:p>
        </w:tc>
        <w:tc>
          <w:tcPr>
            <w:tcW w:w="1319" w:type="dxa"/>
            <w:shd w:val="clear" w:color="auto" w:fill="auto"/>
            <w:noWrap/>
            <w:vAlign w:val="center"/>
          </w:tcPr>
          <w:p w14:paraId="6AB36C80"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45.885</w:t>
            </w:r>
          </w:p>
        </w:tc>
        <w:tc>
          <w:tcPr>
            <w:tcW w:w="1319" w:type="dxa"/>
            <w:shd w:val="clear" w:color="auto" w:fill="auto"/>
            <w:noWrap/>
            <w:vAlign w:val="center"/>
          </w:tcPr>
          <w:p w14:paraId="00566516"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54,60%</w:t>
            </w:r>
          </w:p>
        </w:tc>
        <w:tc>
          <w:tcPr>
            <w:tcW w:w="1319" w:type="dxa"/>
            <w:shd w:val="clear" w:color="auto" w:fill="auto"/>
            <w:noWrap/>
            <w:vAlign w:val="center"/>
          </w:tcPr>
          <w:p w14:paraId="0D70B6C4" w14:textId="01DB1026" w:rsidR="00B010E6" w:rsidRPr="001B4CA2" w:rsidRDefault="001B4CA2" w:rsidP="00B010E6">
            <w:pPr>
              <w:jc w:val="center"/>
              <w:rPr>
                <w:rFonts w:eastAsia="Times New Roman"/>
                <w:color w:val="000000"/>
                <w:sz w:val="18"/>
                <w:szCs w:val="18"/>
                <w:lang w:eastAsia="hr-HR"/>
              </w:rPr>
            </w:pPr>
            <w:r>
              <w:rPr>
                <w:rFonts w:eastAsia="Times New Roman"/>
                <w:color w:val="000000"/>
                <w:sz w:val="18"/>
                <w:szCs w:val="18"/>
                <w:lang w:eastAsia="hr-HR"/>
              </w:rPr>
              <w:t xml:space="preserve"> </w:t>
            </w:r>
            <w:r w:rsidR="00B010E6" w:rsidRPr="001B4CA2">
              <w:rPr>
                <w:rFonts w:eastAsia="Times New Roman"/>
                <w:color w:val="000000"/>
                <w:sz w:val="18"/>
                <w:szCs w:val="18"/>
                <w:lang w:eastAsia="hr-HR"/>
              </w:rPr>
              <w:t>38.163</w:t>
            </w:r>
          </w:p>
        </w:tc>
        <w:tc>
          <w:tcPr>
            <w:tcW w:w="1320" w:type="dxa"/>
            <w:shd w:val="clear" w:color="auto" w:fill="auto"/>
            <w:noWrap/>
            <w:vAlign w:val="center"/>
          </w:tcPr>
          <w:p w14:paraId="38203268" w14:textId="77777777" w:rsidR="00B010E6" w:rsidRPr="001B4CA2" w:rsidRDefault="00B010E6" w:rsidP="00B010E6">
            <w:pPr>
              <w:jc w:val="center"/>
              <w:rPr>
                <w:rFonts w:eastAsia="Times New Roman"/>
                <w:color w:val="000000"/>
                <w:sz w:val="18"/>
                <w:szCs w:val="18"/>
                <w:lang w:eastAsia="hr-HR"/>
              </w:rPr>
            </w:pPr>
            <w:r w:rsidRPr="001B4CA2">
              <w:rPr>
                <w:rFonts w:eastAsia="Times New Roman"/>
                <w:color w:val="000000"/>
                <w:sz w:val="18"/>
                <w:szCs w:val="18"/>
                <w:lang w:eastAsia="hr-HR"/>
              </w:rPr>
              <w:t>45,40%</w:t>
            </w:r>
          </w:p>
        </w:tc>
      </w:tr>
      <w:tr w:rsidR="00B010E6" w:rsidRPr="001B4CA2" w14:paraId="35CFD389" w14:textId="77777777" w:rsidTr="00540F85">
        <w:trPr>
          <w:trHeight w:val="397"/>
          <w:jc w:val="center"/>
        </w:trPr>
        <w:tc>
          <w:tcPr>
            <w:tcW w:w="998" w:type="dxa"/>
            <w:shd w:val="clear" w:color="auto" w:fill="auto"/>
            <w:noWrap/>
            <w:vAlign w:val="center"/>
          </w:tcPr>
          <w:p w14:paraId="4D57EE32"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2020.</w:t>
            </w:r>
          </w:p>
        </w:tc>
        <w:tc>
          <w:tcPr>
            <w:tcW w:w="1319" w:type="dxa"/>
            <w:shd w:val="clear" w:color="auto" w:fill="auto"/>
            <w:noWrap/>
            <w:vAlign w:val="center"/>
          </w:tcPr>
          <w:p w14:paraId="4159DC2A" w14:textId="77777777" w:rsidR="00B010E6" w:rsidRPr="001B4CA2" w:rsidRDefault="00B010E6" w:rsidP="00B010E6">
            <w:pPr>
              <w:jc w:val="center"/>
              <w:rPr>
                <w:bCs/>
                <w:sz w:val="18"/>
                <w:szCs w:val="18"/>
              </w:rPr>
            </w:pPr>
            <w:r w:rsidRPr="001B4CA2">
              <w:rPr>
                <w:bCs/>
                <w:sz w:val="18"/>
                <w:szCs w:val="18"/>
              </w:rPr>
              <w:t>2.932</w:t>
            </w:r>
          </w:p>
        </w:tc>
        <w:tc>
          <w:tcPr>
            <w:tcW w:w="1319" w:type="dxa"/>
            <w:shd w:val="clear" w:color="auto" w:fill="auto"/>
            <w:noWrap/>
            <w:vAlign w:val="center"/>
          </w:tcPr>
          <w:p w14:paraId="2F601598" w14:textId="77777777" w:rsidR="00B010E6" w:rsidRPr="001B4CA2" w:rsidRDefault="00B010E6" w:rsidP="00B010E6">
            <w:pPr>
              <w:jc w:val="center"/>
              <w:rPr>
                <w:sz w:val="18"/>
                <w:szCs w:val="18"/>
              </w:rPr>
            </w:pPr>
            <w:r w:rsidRPr="001B4CA2">
              <w:rPr>
                <w:sz w:val="18"/>
                <w:szCs w:val="18"/>
              </w:rPr>
              <w:t>171</w:t>
            </w:r>
          </w:p>
        </w:tc>
        <w:tc>
          <w:tcPr>
            <w:tcW w:w="1319" w:type="dxa"/>
            <w:shd w:val="clear" w:color="auto" w:fill="auto"/>
            <w:noWrap/>
            <w:vAlign w:val="center"/>
          </w:tcPr>
          <w:p w14:paraId="142935FF" w14:textId="77777777" w:rsidR="00B010E6" w:rsidRPr="001B4CA2" w:rsidRDefault="00B010E6" w:rsidP="00B010E6">
            <w:pPr>
              <w:jc w:val="center"/>
              <w:rPr>
                <w:sz w:val="18"/>
                <w:szCs w:val="18"/>
              </w:rPr>
            </w:pPr>
            <w:r w:rsidRPr="001B4CA2">
              <w:rPr>
                <w:sz w:val="18"/>
                <w:szCs w:val="18"/>
              </w:rPr>
              <w:t>162.393</w:t>
            </w:r>
          </w:p>
        </w:tc>
        <w:tc>
          <w:tcPr>
            <w:tcW w:w="1319" w:type="dxa"/>
            <w:shd w:val="clear" w:color="auto" w:fill="auto"/>
            <w:noWrap/>
            <w:vAlign w:val="center"/>
          </w:tcPr>
          <w:p w14:paraId="0C093FF2" w14:textId="77777777" w:rsidR="00B010E6" w:rsidRPr="001B4CA2" w:rsidRDefault="00B010E6" w:rsidP="00B010E6">
            <w:pPr>
              <w:jc w:val="center"/>
              <w:rPr>
                <w:sz w:val="18"/>
                <w:szCs w:val="18"/>
              </w:rPr>
            </w:pPr>
            <w:r w:rsidRPr="001B4CA2">
              <w:rPr>
                <w:sz w:val="18"/>
                <w:szCs w:val="18"/>
              </w:rPr>
              <w:t>59,92%</w:t>
            </w:r>
          </w:p>
        </w:tc>
        <w:tc>
          <w:tcPr>
            <w:tcW w:w="1319" w:type="dxa"/>
            <w:shd w:val="clear" w:color="auto" w:fill="auto"/>
            <w:noWrap/>
            <w:vAlign w:val="center"/>
          </w:tcPr>
          <w:p w14:paraId="59E6E541"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108.596</w:t>
            </w:r>
          </w:p>
        </w:tc>
        <w:tc>
          <w:tcPr>
            <w:tcW w:w="1320" w:type="dxa"/>
            <w:shd w:val="clear" w:color="auto" w:fill="auto"/>
            <w:noWrap/>
            <w:vAlign w:val="center"/>
          </w:tcPr>
          <w:p w14:paraId="09F5CD40"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40,08%</w:t>
            </w:r>
          </w:p>
        </w:tc>
      </w:tr>
      <w:tr w:rsidR="00B010E6" w:rsidRPr="001B4CA2" w14:paraId="742C7EFB" w14:textId="77777777" w:rsidTr="00540F85">
        <w:trPr>
          <w:trHeight w:val="397"/>
          <w:jc w:val="center"/>
        </w:trPr>
        <w:tc>
          <w:tcPr>
            <w:tcW w:w="998" w:type="dxa"/>
            <w:shd w:val="clear" w:color="auto" w:fill="auto"/>
            <w:noWrap/>
            <w:vAlign w:val="center"/>
          </w:tcPr>
          <w:p w14:paraId="00F30CF5"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2021.</w:t>
            </w:r>
          </w:p>
        </w:tc>
        <w:tc>
          <w:tcPr>
            <w:tcW w:w="1319" w:type="dxa"/>
            <w:shd w:val="clear" w:color="auto" w:fill="auto"/>
            <w:noWrap/>
            <w:vAlign w:val="center"/>
          </w:tcPr>
          <w:p w14:paraId="0744D2D9" w14:textId="77777777" w:rsidR="00B010E6" w:rsidRPr="001B4CA2" w:rsidRDefault="00B010E6" w:rsidP="00B010E6">
            <w:pPr>
              <w:jc w:val="center"/>
              <w:rPr>
                <w:bCs/>
                <w:sz w:val="18"/>
                <w:szCs w:val="18"/>
              </w:rPr>
            </w:pPr>
            <w:r w:rsidRPr="001B4CA2">
              <w:rPr>
                <w:bCs/>
                <w:sz w:val="18"/>
                <w:szCs w:val="18"/>
              </w:rPr>
              <w:t>3.637</w:t>
            </w:r>
          </w:p>
        </w:tc>
        <w:tc>
          <w:tcPr>
            <w:tcW w:w="1319" w:type="dxa"/>
            <w:shd w:val="clear" w:color="auto" w:fill="auto"/>
            <w:noWrap/>
            <w:vAlign w:val="center"/>
          </w:tcPr>
          <w:p w14:paraId="76597904" w14:textId="77777777" w:rsidR="00B010E6" w:rsidRPr="001B4CA2" w:rsidRDefault="00B010E6" w:rsidP="00B010E6">
            <w:pPr>
              <w:jc w:val="center"/>
              <w:rPr>
                <w:sz w:val="18"/>
                <w:szCs w:val="18"/>
              </w:rPr>
            </w:pPr>
            <w:r w:rsidRPr="001B4CA2">
              <w:rPr>
                <w:sz w:val="18"/>
                <w:szCs w:val="18"/>
              </w:rPr>
              <w:t>348</w:t>
            </w:r>
          </w:p>
        </w:tc>
        <w:tc>
          <w:tcPr>
            <w:tcW w:w="1319" w:type="dxa"/>
            <w:shd w:val="clear" w:color="auto" w:fill="auto"/>
            <w:noWrap/>
            <w:vAlign w:val="center"/>
          </w:tcPr>
          <w:p w14:paraId="61847DE8" w14:textId="77777777" w:rsidR="00B010E6" w:rsidRPr="001B4CA2" w:rsidRDefault="00B010E6" w:rsidP="00B010E6">
            <w:pPr>
              <w:jc w:val="center"/>
              <w:rPr>
                <w:sz w:val="18"/>
                <w:szCs w:val="18"/>
              </w:rPr>
            </w:pPr>
            <w:r w:rsidRPr="001B4CA2">
              <w:rPr>
                <w:sz w:val="18"/>
                <w:szCs w:val="18"/>
              </w:rPr>
              <w:t>791.821</w:t>
            </w:r>
          </w:p>
        </w:tc>
        <w:tc>
          <w:tcPr>
            <w:tcW w:w="1319" w:type="dxa"/>
            <w:shd w:val="clear" w:color="auto" w:fill="auto"/>
            <w:noWrap/>
            <w:vAlign w:val="center"/>
          </w:tcPr>
          <w:p w14:paraId="32DF21A5" w14:textId="77777777" w:rsidR="00B010E6" w:rsidRPr="001B4CA2" w:rsidRDefault="00B010E6" w:rsidP="00B010E6">
            <w:pPr>
              <w:jc w:val="center"/>
              <w:rPr>
                <w:sz w:val="18"/>
                <w:szCs w:val="18"/>
              </w:rPr>
            </w:pPr>
            <w:r w:rsidRPr="001B4CA2">
              <w:rPr>
                <w:sz w:val="18"/>
                <w:szCs w:val="18"/>
              </w:rPr>
              <w:t>85%</w:t>
            </w:r>
          </w:p>
        </w:tc>
        <w:tc>
          <w:tcPr>
            <w:tcW w:w="1319" w:type="dxa"/>
            <w:shd w:val="clear" w:color="auto" w:fill="auto"/>
            <w:noWrap/>
            <w:vAlign w:val="center"/>
          </w:tcPr>
          <w:p w14:paraId="351A9427"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139.047</w:t>
            </w:r>
          </w:p>
        </w:tc>
        <w:tc>
          <w:tcPr>
            <w:tcW w:w="1320" w:type="dxa"/>
            <w:shd w:val="clear" w:color="auto" w:fill="auto"/>
            <w:noWrap/>
            <w:vAlign w:val="center"/>
          </w:tcPr>
          <w:p w14:paraId="57B27482"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15%</w:t>
            </w:r>
          </w:p>
        </w:tc>
      </w:tr>
      <w:tr w:rsidR="00B010E6" w:rsidRPr="001B4CA2" w14:paraId="2D1E3A81" w14:textId="77777777" w:rsidTr="00540F85">
        <w:trPr>
          <w:trHeight w:val="397"/>
          <w:jc w:val="center"/>
        </w:trPr>
        <w:tc>
          <w:tcPr>
            <w:tcW w:w="998" w:type="dxa"/>
            <w:shd w:val="clear" w:color="auto" w:fill="auto"/>
            <w:noWrap/>
            <w:vAlign w:val="center"/>
          </w:tcPr>
          <w:p w14:paraId="6A1068A1" w14:textId="77777777" w:rsidR="00B010E6" w:rsidRPr="001B4CA2" w:rsidRDefault="00B010E6" w:rsidP="00B010E6">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2022.</w:t>
            </w:r>
          </w:p>
        </w:tc>
        <w:tc>
          <w:tcPr>
            <w:tcW w:w="1319" w:type="dxa"/>
            <w:shd w:val="clear" w:color="auto" w:fill="auto"/>
            <w:noWrap/>
            <w:vAlign w:val="center"/>
          </w:tcPr>
          <w:p w14:paraId="128AD5A9" w14:textId="77777777" w:rsidR="00B010E6" w:rsidRPr="001B4CA2" w:rsidRDefault="00B010E6" w:rsidP="00B010E6">
            <w:pPr>
              <w:jc w:val="center"/>
              <w:rPr>
                <w:bCs/>
                <w:sz w:val="18"/>
                <w:szCs w:val="18"/>
              </w:rPr>
            </w:pPr>
            <w:r w:rsidRPr="001B4CA2">
              <w:rPr>
                <w:bCs/>
                <w:sz w:val="18"/>
                <w:szCs w:val="18"/>
              </w:rPr>
              <w:t>5.086</w:t>
            </w:r>
          </w:p>
        </w:tc>
        <w:tc>
          <w:tcPr>
            <w:tcW w:w="1319" w:type="dxa"/>
            <w:shd w:val="clear" w:color="auto" w:fill="auto"/>
            <w:noWrap/>
            <w:vAlign w:val="center"/>
          </w:tcPr>
          <w:p w14:paraId="733380D2" w14:textId="77777777" w:rsidR="00B010E6" w:rsidRPr="001B4CA2" w:rsidRDefault="00B010E6" w:rsidP="00B010E6">
            <w:pPr>
              <w:jc w:val="center"/>
              <w:rPr>
                <w:sz w:val="18"/>
                <w:szCs w:val="18"/>
              </w:rPr>
            </w:pPr>
            <w:r w:rsidRPr="001B4CA2">
              <w:rPr>
                <w:sz w:val="18"/>
                <w:szCs w:val="18"/>
              </w:rPr>
              <w:t>219</w:t>
            </w:r>
          </w:p>
        </w:tc>
        <w:tc>
          <w:tcPr>
            <w:tcW w:w="1319" w:type="dxa"/>
            <w:shd w:val="clear" w:color="auto" w:fill="auto"/>
            <w:noWrap/>
            <w:vAlign w:val="center"/>
          </w:tcPr>
          <w:p w14:paraId="19E1DC9F" w14:textId="77777777" w:rsidR="00B010E6" w:rsidRPr="001B4CA2" w:rsidRDefault="00B010E6" w:rsidP="00B010E6">
            <w:pPr>
              <w:jc w:val="center"/>
              <w:rPr>
                <w:sz w:val="18"/>
                <w:szCs w:val="18"/>
              </w:rPr>
            </w:pPr>
            <w:r w:rsidRPr="001B4CA2">
              <w:rPr>
                <w:sz w:val="18"/>
                <w:szCs w:val="18"/>
              </w:rPr>
              <w:t>5.780.981</w:t>
            </w:r>
          </w:p>
        </w:tc>
        <w:tc>
          <w:tcPr>
            <w:tcW w:w="1319" w:type="dxa"/>
            <w:shd w:val="clear" w:color="auto" w:fill="auto"/>
            <w:noWrap/>
            <w:vAlign w:val="center"/>
          </w:tcPr>
          <w:p w14:paraId="08D97BA2" w14:textId="77777777" w:rsidR="00B010E6" w:rsidRPr="001B4CA2" w:rsidRDefault="00B010E6" w:rsidP="00B010E6">
            <w:pPr>
              <w:jc w:val="center"/>
              <w:rPr>
                <w:sz w:val="18"/>
                <w:szCs w:val="18"/>
              </w:rPr>
            </w:pPr>
            <w:r w:rsidRPr="001B4CA2">
              <w:rPr>
                <w:sz w:val="18"/>
                <w:szCs w:val="18"/>
              </w:rPr>
              <w:t xml:space="preserve">96% </w:t>
            </w:r>
          </w:p>
        </w:tc>
        <w:tc>
          <w:tcPr>
            <w:tcW w:w="1319" w:type="dxa"/>
            <w:shd w:val="clear" w:color="auto" w:fill="auto"/>
            <w:noWrap/>
            <w:vAlign w:val="center"/>
          </w:tcPr>
          <w:p w14:paraId="1A68AE5A"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244.028</w:t>
            </w:r>
          </w:p>
        </w:tc>
        <w:tc>
          <w:tcPr>
            <w:tcW w:w="1320" w:type="dxa"/>
            <w:shd w:val="clear" w:color="auto" w:fill="auto"/>
            <w:noWrap/>
            <w:vAlign w:val="center"/>
          </w:tcPr>
          <w:p w14:paraId="3CF56486" w14:textId="77777777" w:rsidR="00B010E6" w:rsidRPr="001B4CA2" w:rsidRDefault="00B010E6" w:rsidP="00B010E6">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4%</w:t>
            </w:r>
          </w:p>
        </w:tc>
      </w:tr>
    </w:tbl>
    <w:p w14:paraId="3C7FB600" w14:textId="77777777" w:rsidR="00B010E6" w:rsidRPr="001B4CA2" w:rsidRDefault="00B010E6" w:rsidP="00B010E6">
      <w:pPr>
        <w:rPr>
          <w:sz w:val="22"/>
          <w:szCs w:val="22"/>
        </w:rPr>
      </w:pPr>
    </w:p>
    <w:p w14:paraId="600CFD73" w14:textId="02FB1DBE" w:rsidR="00102951" w:rsidRPr="001B4CA2" w:rsidRDefault="00B010E6" w:rsidP="00BC6496">
      <w:r w:rsidRPr="001B4CA2">
        <w:tab/>
        <w:t>Uspjeh u parnicama prema vrijednosti predmeta spora pokazuje da je Republika Hrvatska u 2022. godini dobila 96</w:t>
      </w:r>
      <w:r w:rsidR="00840C0E">
        <w:t> </w:t>
      </w:r>
      <w:r w:rsidRPr="001B4CA2">
        <w:t>%, a izgubila svega 4</w:t>
      </w:r>
      <w:r w:rsidR="00840C0E">
        <w:t> </w:t>
      </w:r>
      <w:r w:rsidRPr="001B4CA2">
        <w:t>% sporova. Najveći dio dobivenih parnica prema njihovoj vrijednosti odnosi</w:t>
      </w:r>
      <w:r w:rsidR="009E6D91" w:rsidRPr="001B4CA2">
        <w:t>o</w:t>
      </w:r>
      <w:r w:rsidRPr="001B4CA2">
        <w:t xml:space="preserve"> se na sporove naknade štete</w:t>
      </w:r>
    </w:p>
    <w:p w14:paraId="6101E2AC" w14:textId="2061BE5F" w:rsidR="00BC6496" w:rsidRPr="001B4CA2" w:rsidRDefault="00BC6496" w:rsidP="00BC6496"/>
    <w:p w14:paraId="60D10CD7" w14:textId="03E23F64" w:rsidR="00BC6496" w:rsidRPr="001B4CA2" w:rsidRDefault="00BC6496" w:rsidP="00BC6496"/>
    <w:p w14:paraId="19A684DF" w14:textId="3B76C3E9" w:rsidR="00BC6496" w:rsidRPr="001B4CA2" w:rsidRDefault="00BC6496" w:rsidP="00BC6496"/>
    <w:p w14:paraId="5646903E" w14:textId="378426AF" w:rsidR="00BC6496" w:rsidRPr="001B4CA2" w:rsidRDefault="00BC6496" w:rsidP="00BC6496"/>
    <w:p w14:paraId="63CCD174" w14:textId="5D27B77B" w:rsidR="00BC6496" w:rsidRPr="001B4CA2" w:rsidRDefault="00BC6496" w:rsidP="00BC6496"/>
    <w:p w14:paraId="57B6CAB7" w14:textId="018FD0B0" w:rsidR="00BC6496" w:rsidRPr="001B4CA2" w:rsidRDefault="00BC6496" w:rsidP="00BC6496"/>
    <w:p w14:paraId="05459C86" w14:textId="52DE7832" w:rsidR="00BC6496" w:rsidRPr="001B4CA2" w:rsidRDefault="00BC6496" w:rsidP="00BC6496"/>
    <w:p w14:paraId="3BB5F5D9" w14:textId="024F2371" w:rsidR="00BC6496" w:rsidRPr="001B4CA2" w:rsidRDefault="00BC6496" w:rsidP="00BC6496"/>
    <w:p w14:paraId="310F454C" w14:textId="70A654C9" w:rsidR="00BC6496" w:rsidRPr="001B4CA2" w:rsidRDefault="00BC6496" w:rsidP="00BC6496"/>
    <w:p w14:paraId="380F8DB8" w14:textId="276D0985" w:rsidR="00BC6496" w:rsidRPr="001B4CA2" w:rsidRDefault="00BC6496" w:rsidP="00BC6496"/>
    <w:p w14:paraId="1D130C55" w14:textId="5D844B4D" w:rsidR="00BC6496" w:rsidRPr="001B4CA2" w:rsidRDefault="00BC6496" w:rsidP="00BC6496"/>
    <w:p w14:paraId="3749A30A" w14:textId="6D24DA45" w:rsidR="00BC6496" w:rsidRPr="001B4CA2" w:rsidRDefault="00BC6496" w:rsidP="00BC6496"/>
    <w:p w14:paraId="39D670B1" w14:textId="26FA797C" w:rsidR="00BC6496" w:rsidRPr="001B4CA2" w:rsidRDefault="00BC6496" w:rsidP="00BC6496"/>
    <w:p w14:paraId="721341F1" w14:textId="58A97B0D" w:rsidR="00BC6496" w:rsidRPr="001B4CA2" w:rsidRDefault="00BC6496" w:rsidP="00BC6496"/>
    <w:p w14:paraId="78E27FC1" w14:textId="73897082" w:rsidR="00BC6496" w:rsidRPr="001B4CA2" w:rsidRDefault="00BC6496" w:rsidP="00BC6496"/>
    <w:p w14:paraId="7AAE0FB4" w14:textId="77777777" w:rsidR="00BC6496" w:rsidRPr="001B4CA2" w:rsidRDefault="00BC6496" w:rsidP="00BC6496"/>
    <w:p w14:paraId="37619F80" w14:textId="0F13A784" w:rsidR="00BB4D48" w:rsidRPr="001B4CA2" w:rsidRDefault="00847ED1" w:rsidP="00CD3DD1">
      <w:pPr>
        <w:pStyle w:val="Naslov4"/>
        <w:tabs>
          <w:tab w:val="left" w:pos="993"/>
        </w:tabs>
        <w:rPr>
          <w:rFonts w:ascii="Arial" w:hAnsi="Arial" w:cs="Arial"/>
        </w:rPr>
      </w:pPr>
      <w:bookmarkStart w:id="68" w:name="_Toc133394328"/>
      <w:r w:rsidRPr="001B4CA2">
        <w:rPr>
          <w:rFonts w:ascii="Arial" w:hAnsi="Arial" w:cs="Arial"/>
        </w:rPr>
        <w:lastRenderedPageBreak/>
        <w:t>Stečaj potrošača</w:t>
      </w:r>
      <w:bookmarkEnd w:id="68"/>
    </w:p>
    <w:p w14:paraId="3398DF70" w14:textId="77777777" w:rsidR="001A5DAD" w:rsidRPr="001B4CA2" w:rsidRDefault="001A5DAD" w:rsidP="001A5DAD">
      <w:pPr>
        <w:contextualSpacing/>
        <w:jc w:val="left"/>
      </w:pPr>
    </w:p>
    <w:p w14:paraId="1AE2A341" w14:textId="4CAD1479" w:rsidR="001A5DAD" w:rsidRPr="001B4CA2" w:rsidRDefault="001B4CA2" w:rsidP="001A5DAD">
      <w:pPr>
        <w:contextualSpacing/>
        <w:jc w:val="left"/>
        <w:rPr>
          <w:rFonts w:asciiTheme="minorHAnsi" w:hAnsiTheme="minorHAnsi" w:cstheme="minorBidi"/>
          <w:i/>
          <w:szCs w:val="22"/>
        </w:rPr>
      </w:pPr>
      <w:r>
        <w:rPr>
          <w:rFonts w:asciiTheme="minorHAnsi" w:hAnsiTheme="minorHAnsi" w:cstheme="minorBidi"/>
          <w:i/>
          <w:szCs w:val="22"/>
        </w:rPr>
        <w:t xml:space="preserve"> </w:t>
      </w:r>
      <w:r w:rsidR="001D4F0F">
        <w:rPr>
          <w:rFonts w:asciiTheme="minorHAnsi" w:hAnsiTheme="minorHAnsi" w:cstheme="minorBidi"/>
          <w:i/>
          <w:szCs w:val="22"/>
        </w:rPr>
        <w:t xml:space="preserve"> </w:t>
      </w:r>
      <w:r w:rsidR="001A5DAD" w:rsidRPr="001B4CA2">
        <w:rPr>
          <w:rFonts w:asciiTheme="minorHAnsi" w:hAnsiTheme="minorHAnsi" w:cstheme="minorBidi"/>
          <w:i/>
          <w:szCs w:val="22"/>
        </w:rPr>
        <w:t>Stečaj potrošača</w:t>
      </w:r>
      <w:r>
        <w:rPr>
          <w:rFonts w:asciiTheme="minorHAnsi" w:hAnsiTheme="minorHAnsi" w:cstheme="minorBidi"/>
          <w:i/>
          <w:szCs w:val="22"/>
        </w:rPr>
        <w:t xml:space="preserve"> </w:t>
      </w:r>
      <w:r w:rsidR="001A5DAD" w:rsidRPr="001B4CA2">
        <w:rPr>
          <w:rFonts w:asciiTheme="minorHAnsi" w:hAnsiTheme="minorHAnsi" w:cstheme="minorBidi"/>
          <w:i/>
          <w:szCs w:val="22"/>
        </w:rPr>
        <w:t>2020.</w:t>
      </w:r>
      <w:r w:rsidR="00F47D60">
        <w:rPr>
          <w:rFonts w:asciiTheme="minorHAnsi" w:hAnsiTheme="minorHAnsi" w:cstheme="minorBidi"/>
          <w:i/>
          <w:szCs w:val="22"/>
        </w:rPr>
        <w:t xml:space="preserve"> – </w:t>
      </w:r>
      <w:r w:rsidR="001A5DAD" w:rsidRPr="001B4CA2">
        <w:rPr>
          <w:rFonts w:asciiTheme="minorHAnsi" w:hAnsiTheme="minorHAnsi" w:cstheme="minorBidi"/>
          <w:i/>
          <w:szCs w:val="22"/>
        </w:rPr>
        <w:t xml:space="preserve">2022. </w:t>
      </w:r>
    </w:p>
    <w:tbl>
      <w:tblPr>
        <w:tblW w:w="8989" w:type="dxa"/>
        <w:jc w:val="center"/>
        <w:tblLook w:val="04A0" w:firstRow="1" w:lastRow="0" w:firstColumn="1" w:lastColumn="0" w:noHBand="0" w:noVBand="1"/>
      </w:tblPr>
      <w:tblGrid>
        <w:gridCol w:w="760"/>
        <w:gridCol w:w="667"/>
        <w:gridCol w:w="758"/>
        <w:gridCol w:w="792"/>
        <w:gridCol w:w="767"/>
        <w:gridCol w:w="792"/>
        <w:gridCol w:w="851"/>
        <w:gridCol w:w="567"/>
        <w:gridCol w:w="767"/>
        <w:gridCol w:w="863"/>
        <w:gridCol w:w="738"/>
        <w:gridCol w:w="667"/>
      </w:tblGrid>
      <w:tr w:rsidR="007D12C6" w:rsidRPr="001B4CA2" w14:paraId="3780B314" w14:textId="77777777" w:rsidTr="007D12C6">
        <w:trPr>
          <w:trHeight w:val="1100"/>
          <w:jc w:val="center"/>
        </w:trPr>
        <w:tc>
          <w:tcPr>
            <w:tcW w:w="760" w:type="dxa"/>
            <w:vMerge w:val="restart"/>
            <w:tcBorders>
              <w:top w:val="single" w:sz="4" w:space="0" w:color="auto"/>
              <w:left w:val="single" w:sz="4" w:space="0" w:color="auto"/>
              <w:bottom w:val="single" w:sz="4" w:space="0" w:color="auto"/>
              <w:right w:val="single" w:sz="4" w:space="0" w:color="auto"/>
            </w:tcBorders>
            <w:shd w:val="clear" w:color="auto" w:fill="99CCFF"/>
            <w:noWrap/>
            <w:textDirection w:val="btLr"/>
            <w:vAlign w:val="center"/>
            <w:hideMark/>
          </w:tcPr>
          <w:p w14:paraId="039DA40C" w14:textId="77777777" w:rsidR="001A5DAD" w:rsidRPr="001B4CA2" w:rsidRDefault="001A5DAD" w:rsidP="001A5DAD">
            <w:pP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 xml:space="preserve">Godina </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51AB1303" w14:textId="77777777" w:rsidR="001A5DAD" w:rsidRPr="001B4CA2" w:rsidRDefault="001A5DAD" w:rsidP="001A5DAD">
            <w:pP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Ostalo u radu u DO</w:t>
            </w:r>
          </w:p>
        </w:tc>
        <w:tc>
          <w:tcPr>
            <w:tcW w:w="1550" w:type="dxa"/>
            <w:gridSpan w:val="2"/>
            <w:tcBorders>
              <w:top w:val="single" w:sz="4" w:space="0" w:color="auto"/>
              <w:left w:val="nil"/>
              <w:bottom w:val="single" w:sz="4" w:space="0" w:color="auto"/>
              <w:right w:val="single" w:sz="4" w:space="0" w:color="auto"/>
            </w:tcBorders>
            <w:shd w:val="clear" w:color="auto" w:fill="99CCFF"/>
            <w:vAlign w:val="center"/>
            <w:hideMark/>
          </w:tcPr>
          <w:p w14:paraId="2B052BD7"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Primljeno</w:t>
            </w:r>
          </w:p>
        </w:tc>
        <w:tc>
          <w:tcPr>
            <w:tcW w:w="767" w:type="dxa"/>
            <w:vMerge w:val="restart"/>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006F911B" w14:textId="397F5A3A" w:rsidR="001A5DAD" w:rsidRPr="001B4CA2" w:rsidRDefault="001A5DAD" w:rsidP="001A5DAD">
            <w:pP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Ukupno primljeno</w:t>
            </w:r>
            <w:r w:rsidR="001B4CA2">
              <w:rPr>
                <w:rFonts w:asciiTheme="minorHAnsi" w:eastAsia="Times New Roman" w:hAnsiTheme="minorHAnsi" w:cstheme="minorHAnsi"/>
                <w:b/>
                <w:bCs/>
                <w:color w:val="000000"/>
                <w:sz w:val="18"/>
                <w:szCs w:val="18"/>
                <w:lang w:eastAsia="hr-HR"/>
              </w:rPr>
              <w:t xml:space="preserve"> </w:t>
            </w:r>
          </w:p>
        </w:tc>
        <w:tc>
          <w:tcPr>
            <w:tcW w:w="792" w:type="dxa"/>
            <w:vMerge w:val="restart"/>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531E5C8C" w14:textId="77777777" w:rsidR="001A5DAD" w:rsidRPr="001B4CA2" w:rsidRDefault="001A5DAD" w:rsidP="001A5DAD">
            <w:pP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Ukupno u radu u DO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4ED1595A" w14:textId="77777777" w:rsidR="001A5DAD" w:rsidRPr="001B4CA2" w:rsidRDefault="001A5DAD" w:rsidP="001A5DAD">
            <w:pP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Ukupno donesenih odluka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505DA59D" w14:textId="77777777" w:rsidR="001A5DAD" w:rsidRPr="001B4CA2" w:rsidRDefault="001A5DAD" w:rsidP="001A5DAD">
            <w:pP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Rasprave</w:t>
            </w:r>
          </w:p>
        </w:tc>
        <w:tc>
          <w:tcPr>
            <w:tcW w:w="3035" w:type="dxa"/>
            <w:gridSpan w:val="4"/>
            <w:tcBorders>
              <w:top w:val="single" w:sz="4" w:space="0" w:color="auto"/>
              <w:left w:val="nil"/>
              <w:bottom w:val="single" w:sz="4" w:space="0" w:color="auto"/>
              <w:right w:val="single" w:sz="4" w:space="0" w:color="auto"/>
            </w:tcBorders>
            <w:shd w:val="clear" w:color="auto" w:fill="99CCFF"/>
            <w:noWrap/>
            <w:vAlign w:val="center"/>
            <w:hideMark/>
          </w:tcPr>
          <w:p w14:paraId="33A762A9"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Odluke suda</w:t>
            </w:r>
          </w:p>
        </w:tc>
      </w:tr>
      <w:tr w:rsidR="007D12C6" w:rsidRPr="001B4CA2" w14:paraId="0BA7A751" w14:textId="77777777" w:rsidTr="007D12C6">
        <w:trPr>
          <w:cantSplit/>
          <w:trHeight w:val="3040"/>
          <w:jc w:val="center"/>
        </w:trPr>
        <w:tc>
          <w:tcPr>
            <w:tcW w:w="760" w:type="dxa"/>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5F62DD41" w14:textId="77777777" w:rsidR="001A5DAD" w:rsidRPr="001B4CA2" w:rsidRDefault="001A5DAD" w:rsidP="001A5DAD">
            <w:pPr>
              <w:rPr>
                <w:rFonts w:asciiTheme="minorHAnsi" w:eastAsia="Times New Roman" w:hAnsiTheme="minorHAnsi" w:cstheme="minorHAnsi"/>
                <w:bCs/>
                <w:color w:val="000000"/>
                <w:sz w:val="18"/>
                <w:szCs w:val="18"/>
                <w:lang w:eastAsia="hr-HR"/>
              </w:rPr>
            </w:pPr>
          </w:p>
        </w:tc>
        <w:tc>
          <w:tcPr>
            <w:tcW w:w="667" w:type="dxa"/>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6ECF0264" w14:textId="77777777" w:rsidR="001A5DAD" w:rsidRPr="001B4CA2" w:rsidRDefault="001A5DAD" w:rsidP="001A5DAD">
            <w:pPr>
              <w:rPr>
                <w:rFonts w:asciiTheme="minorHAnsi" w:eastAsia="Times New Roman" w:hAnsiTheme="minorHAnsi" w:cstheme="minorHAnsi"/>
                <w:bCs/>
                <w:color w:val="000000"/>
                <w:sz w:val="18"/>
                <w:szCs w:val="18"/>
                <w:lang w:eastAsia="hr-HR"/>
              </w:rPr>
            </w:pPr>
          </w:p>
        </w:tc>
        <w:tc>
          <w:tcPr>
            <w:tcW w:w="758" w:type="dxa"/>
            <w:tcBorders>
              <w:top w:val="nil"/>
              <w:left w:val="nil"/>
              <w:bottom w:val="single" w:sz="4" w:space="0" w:color="auto"/>
              <w:right w:val="single" w:sz="4" w:space="0" w:color="auto"/>
            </w:tcBorders>
            <w:shd w:val="clear" w:color="auto" w:fill="99CCFF"/>
            <w:textDirection w:val="btLr"/>
            <w:vAlign w:val="center"/>
            <w:hideMark/>
          </w:tcPr>
          <w:p w14:paraId="169BB93B" w14:textId="77777777" w:rsidR="001A5DAD" w:rsidRPr="001B4CA2" w:rsidRDefault="001A5DAD" w:rsidP="001A5DAD">
            <w:pP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 xml:space="preserve">Stečaj potrošača </w:t>
            </w:r>
          </w:p>
        </w:tc>
        <w:tc>
          <w:tcPr>
            <w:tcW w:w="792" w:type="dxa"/>
            <w:tcBorders>
              <w:top w:val="nil"/>
              <w:left w:val="nil"/>
              <w:bottom w:val="single" w:sz="4" w:space="0" w:color="auto"/>
              <w:right w:val="single" w:sz="4" w:space="0" w:color="auto"/>
            </w:tcBorders>
            <w:shd w:val="clear" w:color="auto" w:fill="99CCFF"/>
            <w:textDirection w:val="btLr"/>
            <w:vAlign w:val="center"/>
            <w:hideMark/>
          </w:tcPr>
          <w:p w14:paraId="6F1DCC7F" w14:textId="77777777" w:rsidR="001A5DAD" w:rsidRPr="001B4CA2" w:rsidRDefault="001A5DAD" w:rsidP="001A5DAD">
            <w:pP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Jednostavni stečaj potrošača</w:t>
            </w:r>
          </w:p>
        </w:tc>
        <w:tc>
          <w:tcPr>
            <w:tcW w:w="767" w:type="dxa"/>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653B0996" w14:textId="77777777" w:rsidR="001A5DAD" w:rsidRPr="001B4CA2" w:rsidRDefault="001A5DAD" w:rsidP="001A5DAD">
            <w:pPr>
              <w:rPr>
                <w:rFonts w:asciiTheme="minorHAnsi" w:eastAsia="Times New Roman" w:hAnsiTheme="minorHAnsi" w:cstheme="minorHAnsi"/>
                <w:bCs/>
                <w:color w:val="000000"/>
                <w:sz w:val="18"/>
                <w:szCs w:val="18"/>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24EBBD99" w14:textId="77777777" w:rsidR="001A5DAD" w:rsidRPr="001B4CA2" w:rsidRDefault="001A5DAD" w:rsidP="001A5DAD">
            <w:pPr>
              <w:rPr>
                <w:rFonts w:asciiTheme="minorHAnsi" w:eastAsia="Times New Roman" w:hAnsiTheme="minorHAnsi" w:cstheme="minorHAnsi"/>
                <w:bCs/>
                <w:color w:val="000000"/>
                <w:sz w:val="18"/>
                <w:szCs w:val="18"/>
                <w:lang w:eastAsia="hr-HR"/>
              </w:rPr>
            </w:pPr>
          </w:p>
        </w:tc>
        <w:tc>
          <w:tcPr>
            <w:tcW w:w="851" w:type="dxa"/>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02D564F6" w14:textId="77777777" w:rsidR="001A5DAD" w:rsidRPr="001B4CA2" w:rsidRDefault="001A5DAD" w:rsidP="001A5DAD">
            <w:pPr>
              <w:rPr>
                <w:rFonts w:asciiTheme="minorHAnsi" w:eastAsia="Times New Roman" w:hAnsiTheme="minorHAnsi" w:cstheme="minorHAnsi"/>
                <w:bCs/>
                <w:color w:val="000000"/>
                <w:sz w:val="18"/>
                <w:szCs w:val="18"/>
                <w:lang w:eastAsia="hr-HR"/>
              </w:rPr>
            </w:pPr>
          </w:p>
        </w:tc>
        <w:tc>
          <w:tcPr>
            <w:tcW w:w="567" w:type="dxa"/>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4F8EE4B1" w14:textId="77777777" w:rsidR="001A5DAD" w:rsidRPr="001B4CA2" w:rsidRDefault="001A5DAD" w:rsidP="001A5DAD">
            <w:pPr>
              <w:rPr>
                <w:rFonts w:asciiTheme="minorHAnsi" w:eastAsia="Times New Roman" w:hAnsiTheme="minorHAnsi" w:cstheme="minorHAnsi"/>
                <w:bCs/>
                <w:color w:val="000000"/>
                <w:sz w:val="18"/>
                <w:szCs w:val="18"/>
                <w:lang w:eastAsia="hr-HR"/>
              </w:rPr>
            </w:pPr>
          </w:p>
        </w:tc>
        <w:tc>
          <w:tcPr>
            <w:tcW w:w="767" w:type="dxa"/>
            <w:tcBorders>
              <w:top w:val="nil"/>
              <w:left w:val="nil"/>
              <w:bottom w:val="single" w:sz="4" w:space="0" w:color="auto"/>
              <w:right w:val="single" w:sz="4" w:space="0" w:color="auto"/>
            </w:tcBorders>
            <w:shd w:val="clear" w:color="auto" w:fill="99CCFF"/>
            <w:textDirection w:val="btLr"/>
            <w:vAlign w:val="center"/>
            <w:hideMark/>
          </w:tcPr>
          <w:p w14:paraId="37E84467" w14:textId="723CA75A" w:rsidR="001A5DAD" w:rsidRPr="001B4CA2" w:rsidRDefault="001A5DAD" w:rsidP="001A5DAD">
            <w:pPr>
              <w:ind w:left="113" w:right="113"/>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Oslobođenje dužnika od</w:t>
            </w:r>
            <w:r w:rsidR="001B4CA2">
              <w:rPr>
                <w:rFonts w:asciiTheme="minorHAnsi" w:eastAsia="Times New Roman" w:hAnsiTheme="minorHAnsi" w:cstheme="minorHAnsi"/>
                <w:color w:val="000000"/>
                <w:sz w:val="18"/>
                <w:szCs w:val="18"/>
                <w:lang w:eastAsia="hr-HR"/>
              </w:rPr>
              <w:t xml:space="preserve"> </w:t>
            </w:r>
            <w:r w:rsidRPr="001B4CA2">
              <w:rPr>
                <w:rFonts w:asciiTheme="minorHAnsi" w:eastAsia="Times New Roman" w:hAnsiTheme="minorHAnsi" w:cstheme="minorHAnsi"/>
                <w:color w:val="000000"/>
                <w:sz w:val="18"/>
                <w:szCs w:val="18"/>
                <w:lang w:eastAsia="hr-HR"/>
              </w:rPr>
              <w:t xml:space="preserve"> tražbine RH (broj odluka)</w:t>
            </w:r>
          </w:p>
        </w:tc>
        <w:tc>
          <w:tcPr>
            <w:tcW w:w="863" w:type="dxa"/>
            <w:tcBorders>
              <w:top w:val="nil"/>
              <w:left w:val="nil"/>
              <w:bottom w:val="single" w:sz="4" w:space="0" w:color="auto"/>
              <w:right w:val="single" w:sz="4" w:space="0" w:color="auto"/>
            </w:tcBorders>
            <w:shd w:val="clear" w:color="auto" w:fill="99CCFF"/>
            <w:textDirection w:val="btLr"/>
            <w:vAlign w:val="center"/>
            <w:hideMark/>
          </w:tcPr>
          <w:p w14:paraId="6494F5B0" w14:textId="72CD438F" w:rsidR="001A5DAD" w:rsidRPr="001B4CA2" w:rsidRDefault="001A5DAD" w:rsidP="001A5DAD">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Iznos</w:t>
            </w:r>
            <w:r w:rsidR="001B4CA2">
              <w:rPr>
                <w:rFonts w:asciiTheme="minorHAnsi" w:eastAsia="Times New Roman" w:hAnsiTheme="minorHAnsi" w:cstheme="minorHAnsi"/>
                <w:color w:val="000000"/>
                <w:sz w:val="18"/>
                <w:szCs w:val="18"/>
                <w:lang w:eastAsia="hr-HR"/>
              </w:rPr>
              <w:t xml:space="preserve"> </w:t>
            </w:r>
            <w:r w:rsidRPr="001B4CA2">
              <w:rPr>
                <w:rFonts w:asciiTheme="minorHAnsi" w:eastAsia="Times New Roman" w:hAnsiTheme="minorHAnsi" w:cstheme="minorHAnsi"/>
                <w:color w:val="000000"/>
                <w:sz w:val="18"/>
                <w:szCs w:val="18"/>
                <w:lang w:eastAsia="hr-HR"/>
              </w:rPr>
              <w:t xml:space="preserve">oslobođenja od tražbine RH </w:t>
            </w:r>
          </w:p>
          <w:p w14:paraId="41A24BB6" w14:textId="77777777" w:rsidR="001A5DAD" w:rsidRPr="001B4CA2" w:rsidRDefault="001A5DAD" w:rsidP="001A5DAD">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(u tisućama kuna)</w:t>
            </w:r>
          </w:p>
        </w:tc>
        <w:tc>
          <w:tcPr>
            <w:tcW w:w="738" w:type="dxa"/>
            <w:tcBorders>
              <w:top w:val="nil"/>
              <w:left w:val="nil"/>
              <w:bottom w:val="single" w:sz="4" w:space="0" w:color="auto"/>
              <w:right w:val="single" w:sz="4" w:space="0" w:color="auto"/>
            </w:tcBorders>
            <w:shd w:val="clear" w:color="auto" w:fill="99CCFF"/>
            <w:textDirection w:val="btLr"/>
            <w:vAlign w:val="center"/>
            <w:hideMark/>
          </w:tcPr>
          <w:p w14:paraId="0A3F58BE" w14:textId="77777777" w:rsidR="001A5DAD" w:rsidRPr="001B4CA2" w:rsidRDefault="001A5DAD" w:rsidP="001A5DAD">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Ostale odluke</w:t>
            </w:r>
          </w:p>
        </w:tc>
        <w:tc>
          <w:tcPr>
            <w:tcW w:w="667" w:type="dxa"/>
            <w:tcBorders>
              <w:top w:val="nil"/>
              <w:left w:val="nil"/>
              <w:bottom w:val="single" w:sz="4" w:space="0" w:color="auto"/>
              <w:right w:val="single" w:sz="4" w:space="0" w:color="auto"/>
            </w:tcBorders>
            <w:shd w:val="clear" w:color="auto" w:fill="99CCFF"/>
            <w:textDirection w:val="btLr"/>
            <w:vAlign w:val="center"/>
            <w:hideMark/>
          </w:tcPr>
          <w:p w14:paraId="3B3C1969" w14:textId="77777777" w:rsidR="001A5DAD" w:rsidRPr="001B4CA2" w:rsidRDefault="001A5DAD" w:rsidP="001A5DAD">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Ukupno odluka suda</w:t>
            </w:r>
          </w:p>
        </w:tc>
      </w:tr>
      <w:tr w:rsidR="007D12C6" w:rsidRPr="001B4CA2" w14:paraId="08BC35E8" w14:textId="77777777" w:rsidTr="007D12C6">
        <w:trPr>
          <w:trHeight w:val="624"/>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39CA7D8E"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2020.</w:t>
            </w:r>
          </w:p>
        </w:tc>
        <w:tc>
          <w:tcPr>
            <w:tcW w:w="667" w:type="dxa"/>
            <w:tcBorders>
              <w:top w:val="single" w:sz="4" w:space="0" w:color="auto"/>
              <w:left w:val="nil"/>
              <w:bottom w:val="single" w:sz="4" w:space="0" w:color="auto"/>
              <w:right w:val="single" w:sz="4" w:space="0" w:color="auto"/>
            </w:tcBorders>
            <w:noWrap/>
            <w:vAlign w:val="center"/>
          </w:tcPr>
          <w:p w14:paraId="283F9418"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61</w:t>
            </w:r>
          </w:p>
        </w:tc>
        <w:tc>
          <w:tcPr>
            <w:tcW w:w="758" w:type="dxa"/>
            <w:tcBorders>
              <w:top w:val="single" w:sz="4" w:space="0" w:color="auto"/>
              <w:left w:val="nil"/>
              <w:bottom w:val="single" w:sz="4" w:space="0" w:color="auto"/>
              <w:right w:val="single" w:sz="4" w:space="0" w:color="auto"/>
            </w:tcBorders>
            <w:noWrap/>
            <w:vAlign w:val="center"/>
          </w:tcPr>
          <w:p w14:paraId="2A211897" w14:textId="77777777" w:rsidR="001A5DAD" w:rsidRPr="001B4CA2" w:rsidRDefault="001A5DAD" w:rsidP="001A5DAD">
            <w:pPr>
              <w:jc w:val="center"/>
              <w:rPr>
                <w:sz w:val="18"/>
                <w:szCs w:val="18"/>
              </w:rPr>
            </w:pPr>
            <w:r w:rsidRPr="001B4CA2">
              <w:rPr>
                <w:sz w:val="18"/>
                <w:szCs w:val="18"/>
              </w:rPr>
              <w:t>97</w:t>
            </w:r>
          </w:p>
        </w:tc>
        <w:tc>
          <w:tcPr>
            <w:tcW w:w="792" w:type="dxa"/>
            <w:tcBorders>
              <w:top w:val="single" w:sz="4" w:space="0" w:color="auto"/>
              <w:left w:val="nil"/>
              <w:bottom w:val="single" w:sz="4" w:space="0" w:color="auto"/>
              <w:right w:val="single" w:sz="4" w:space="0" w:color="auto"/>
            </w:tcBorders>
            <w:noWrap/>
            <w:vAlign w:val="center"/>
          </w:tcPr>
          <w:p w14:paraId="52B9115A" w14:textId="77777777" w:rsidR="001A5DAD" w:rsidRPr="001B4CA2" w:rsidRDefault="001A5DAD" w:rsidP="001A5DAD">
            <w:pPr>
              <w:jc w:val="center"/>
              <w:rPr>
                <w:sz w:val="18"/>
                <w:szCs w:val="18"/>
              </w:rPr>
            </w:pPr>
            <w:r w:rsidRPr="001B4CA2">
              <w:rPr>
                <w:sz w:val="18"/>
                <w:szCs w:val="18"/>
              </w:rPr>
              <w:t>3.009</w:t>
            </w:r>
          </w:p>
        </w:tc>
        <w:tc>
          <w:tcPr>
            <w:tcW w:w="767" w:type="dxa"/>
            <w:tcBorders>
              <w:top w:val="single" w:sz="4" w:space="0" w:color="auto"/>
              <w:left w:val="nil"/>
              <w:bottom w:val="single" w:sz="4" w:space="0" w:color="auto"/>
              <w:right w:val="single" w:sz="4" w:space="0" w:color="auto"/>
            </w:tcBorders>
            <w:noWrap/>
            <w:vAlign w:val="center"/>
          </w:tcPr>
          <w:p w14:paraId="20DB81E3"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3.106</w:t>
            </w:r>
          </w:p>
        </w:tc>
        <w:tc>
          <w:tcPr>
            <w:tcW w:w="792" w:type="dxa"/>
            <w:tcBorders>
              <w:top w:val="single" w:sz="4" w:space="0" w:color="auto"/>
              <w:left w:val="nil"/>
              <w:bottom w:val="single" w:sz="4" w:space="0" w:color="auto"/>
              <w:right w:val="single" w:sz="4" w:space="0" w:color="auto"/>
            </w:tcBorders>
            <w:noWrap/>
            <w:vAlign w:val="center"/>
          </w:tcPr>
          <w:p w14:paraId="2012B34A"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3.167</w:t>
            </w:r>
          </w:p>
        </w:tc>
        <w:tc>
          <w:tcPr>
            <w:tcW w:w="851" w:type="dxa"/>
            <w:tcBorders>
              <w:top w:val="single" w:sz="4" w:space="0" w:color="auto"/>
              <w:left w:val="nil"/>
              <w:bottom w:val="single" w:sz="4" w:space="0" w:color="auto"/>
              <w:right w:val="single" w:sz="4" w:space="0" w:color="auto"/>
            </w:tcBorders>
            <w:noWrap/>
            <w:vAlign w:val="center"/>
          </w:tcPr>
          <w:p w14:paraId="0874DED9"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3.049</w:t>
            </w:r>
          </w:p>
        </w:tc>
        <w:tc>
          <w:tcPr>
            <w:tcW w:w="567" w:type="dxa"/>
            <w:tcBorders>
              <w:top w:val="single" w:sz="4" w:space="0" w:color="auto"/>
              <w:left w:val="nil"/>
              <w:bottom w:val="single" w:sz="4" w:space="0" w:color="auto"/>
              <w:right w:val="single" w:sz="4" w:space="0" w:color="auto"/>
            </w:tcBorders>
            <w:noWrap/>
            <w:vAlign w:val="center"/>
          </w:tcPr>
          <w:p w14:paraId="0695F0D2"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23</w:t>
            </w:r>
          </w:p>
        </w:tc>
        <w:tc>
          <w:tcPr>
            <w:tcW w:w="767" w:type="dxa"/>
            <w:tcBorders>
              <w:top w:val="single" w:sz="4" w:space="0" w:color="auto"/>
              <w:left w:val="nil"/>
              <w:bottom w:val="single" w:sz="4" w:space="0" w:color="auto"/>
              <w:right w:val="single" w:sz="4" w:space="0" w:color="auto"/>
            </w:tcBorders>
            <w:noWrap/>
            <w:vAlign w:val="center"/>
          </w:tcPr>
          <w:p w14:paraId="41444E6E" w14:textId="77777777" w:rsidR="001A5DAD" w:rsidRPr="001B4CA2" w:rsidRDefault="001A5DAD" w:rsidP="001A5DAD">
            <w:pPr>
              <w:jc w:val="center"/>
              <w:rPr>
                <w:bCs/>
                <w:sz w:val="18"/>
                <w:szCs w:val="18"/>
              </w:rPr>
            </w:pPr>
            <w:r w:rsidRPr="001B4CA2">
              <w:rPr>
                <w:bCs/>
                <w:sz w:val="18"/>
                <w:szCs w:val="18"/>
              </w:rPr>
              <w:t>2.153</w:t>
            </w:r>
          </w:p>
        </w:tc>
        <w:tc>
          <w:tcPr>
            <w:tcW w:w="863" w:type="dxa"/>
            <w:tcBorders>
              <w:top w:val="single" w:sz="4" w:space="0" w:color="auto"/>
              <w:left w:val="nil"/>
              <w:bottom w:val="single" w:sz="4" w:space="0" w:color="auto"/>
              <w:right w:val="single" w:sz="4" w:space="0" w:color="auto"/>
            </w:tcBorders>
            <w:noWrap/>
            <w:vAlign w:val="center"/>
          </w:tcPr>
          <w:p w14:paraId="748196E4" w14:textId="77777777" w:rsidR="001A5DAD" w:rsidRPr="001B4CA2" w:rsidRDefault="001A5DAD" w:rsidP="001A5DAD">
            <w:pPr>
              <w:jc w:val="center"/>
              <w:rPr>
                <w:bCs/>
                <w:sz w:val="18"/>
                <w:szCs w:val="18"/>
              </w:rPr>
            </w:pPr>
            <w:r w:rsidRPr="001B4CA2">
              <w:rPr>
                <w:bCs/>
                <w:sz w:val="18"/>
                <w:szCs w:val="18"/>
              </w:rPr>
              <w:t>11.476</w:t>
            </w:r>
          </w:p>
        </w:tc>
        <w:tc>
          <w:tcPr>
            <w:tcW w:w="738" w:type="dxa"/>
            <w:tcBorders>
              <w:top w:val="single" w:sz="4" w:space="0" w:color="auto"/>
              <w:left w:val="nil"/>
              <w:bottom w:val="single" w:sz="4" w:space="0" w:color="auto"/>
              <w:right w:val="single" w:sz="4" w:space="0" w:color="auto"/>
            </w:tcBorders>
            <w:noWrap/>
            <w:vAlign w:val="center"/>
          </w:tcPr>
          <w:p w14:paraId="2A86AD3A" w14:textId="77777777" w:rsidR="001A5DAD" w:rsidRPr="001B4CA2" w:rsidRDefault="001A5DAD" w:rsidP="001A5DAD">
            <w:pPr>
              <w:jc w:val="center"/>
              <w:rPr>
                <w:bCs/>
                <w:sz w:val="18"/>
                <w:szCs w:val="18"/>
              </w:rPr>
            </w:pPr>
            <w:r w:rsidRPr="001B4CA2">
              <w:rPr>
                <w:bCs/>
                <w:sz w:val="18"/>
                <w:szCs w:val="18"/>
              </w:rPr>
              <w:t>412</w:t>
            </w:r>
          </w:p>
        </w:tc>
        <w:tc>
          <w:tcPr>
            <w:tcW w:w="667" w:type="dxa"/>
            <w:tcBorders>
              <w:top w:val="single" w:sz="4" w:space="0" w:color="auto"/>
              <w:left w:val="nil"/>
              <w:bottom w:val="single" w:sz="4" w:space="0" w:color="auto"/>
              <w:right w:val="single" w:sz="4" w:space="0" w:color="auto"/>
            </w:tcBorders>
            <w:noWrap/>
            <w:vAlign w:val="center"/>
          </w:tcPr>
          <w:p w14:paraId="0BB0626A" w14:textId="77777777" w:rsidR="001A5DAD" w:rsidRPr="001B4CA2" w:rsidRDefault="001A5DAD" w:rsidP="001A5DAD">
            <w:pPr>
              <w:jc w:val="center"/>
              <w:rPr>
                <w:bCs/>
                <w:sz w:val="18"/>
                <w:szCs w:val="18"/>
              </w:rPr>
            </w:pPr>
            <w:r w:rsidRPr="001B4CA2">
              <w:rPr>
                <w:bCs/>
                <w:sz w:val="18"/>
                <w:szCs w:val="18"/>
              </w:rPr>
              <w:t>2.565</w:t>
            </w:r>
          </w:p>
        </w:tc>
      </w:tr>
      <w:tr w:rsidR="007D12C6" w:rsidRPr="001B4CA2" w14:paraId="7158E52A" w14:textId="77777777" w:rsidTr="007D12C6">
        <w:trPr>
          <w:trHeight w:val="624"/>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376CBE01"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2021.</w:t>
            </w:r>
          </w:p>
        </w:tc>
        <w:tc>
          <w:tcPr>
            <w:tcW w:w="667" w:type="dxa"/>
            <w:tcBorders>
              <w:top w:val="single" w:sz="4" w:space="0" w:color="auto"/>
              <w:left w:val="nil"/>
              <w:bottom w:val="single" w:sz="4" w:space="0" w:color="auto"/>
              <w:right w:val="single" w:sz="4" w:space="0" w:color="auto"/>
            </w:tcBorders>
            <w:noWrap/>
            <w:vAlign w:val="center"/>
          </w:tcPr>
          <w:p w14:paraId="61C1F318"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44</w:t>
            </w:r>
          </w:p>
        </w:tc>
        <w:tc>
          <w:tcPr>
            <w:tcW w:w="758" w:type="dxa"/>
            <w:tcBorders>
              <w:top w:val="single" w:sz="4" w:space="0" w:color="auto"/>
              <w:left w:val="nil"/>
              <w:bottom w:val="single" w:sz="4" w:space="0" w:color="auto"/>
              <w:right w:val="single" w:sz="4" w:space="0" w:color="auto"/>
            </w:tcBorders>
            <w:noWrap/>
            <w:vAlign w:val="center"/>
          </w:tcPr>
          <w:p w14:paraId="6897CB8A" w14:textId="77777777" w:rsidR="001A5DAD" w:rsidRPr="001B4CA2" w:rsidRDefault="001A5DAD" w:rsidP="001A5DAD">
            <w:pPr>
              <w:jc w:val="center"/>
              <w:rPr>
                <w:sz w:val="18"/>
                <w:szCs w:val="18"/>
              </w:rPr>
            </w:pPr>
            <w:r w:rsidRPr="001B4CA2">
              <w:rPr>
                <w:sz w:val="18"/>
                <w:szCs w:val="18"/>
              </w:rPr>
              <w:t>44</w:t>
            </w:r>
          </w:p>
        </w:tc>
        <w:tc>
          <w:tcPr>
            <w:tcW w:w="792" w:type="dxa"/>
            <w:tcBorders>
              <w:top w:val="single" w:sz="4" w:space="0" w:color="auto"/>
              <w:left w:val="nil"/>
              <w:bottom w:val="single" w:sz="4" w:space="0" w:color="auto"/>
              <w:right w:val="single" w:sz="4" w:space="0" w:color="auto"/>
            </w:tcBorders>
            <w:noWrap/>
            <w:vAlign w:val="center"/>
          </w:tcPr>
          <w:p w14:paraId="22685596" w14:textId="77777777" w:rsidR="001A5DAD" w:rsidRPr="001B4CA2" w:rsidRDefault="001A5DAD" w:rsidP="001A5DAD">
            <w:pPr>
              <w:jc w:val="center"/>
              <w:rPr>
                <w:sz w:val="18"/>
                <w:szCs w:val="18"/>
              </w:rPr>
            </w:pPr>
            <w:r w:rsidRPr="001B4CA2">
              <w:rPr>
                <w:sz w:val="18"/>
                <w:szCs w:val="18"/>
              </w:rPr>
              <w:t>1705</w:t>
            </w:r>
          </w:p>
        </w:tc>
        <w:tc>
          <w:tcPr>
            <w:tcW w:w="767" w:type="dxa"/>
            <w:tcBorders>
              <w:top w:val="single" w:sz="4" w:space="0" w:color="auto"/>
              <w:left w:val="nil"/>
              <w:bottom w:val="single" w:sz="4" w:space="0" w:color="auto"/>
              <w:right w:val="single" w:sz="4" w:space="0" w:color="auto"/>
            </w:tcBorders>
            <w:noWrap/>
            <w:vAlign w:val="center"/>
          </w:tcPr>
          <w:p w14:paraId="17A816EA" w14:textId="77777777" w:rsidR="001A5DAD" w:rsidRPr="001B4CA2" w:rsidRDefault="001A5DAD" w:rsidP="001A5DAD">
            <w:pPr>
              <w:jc w:val="center"/>
              <w:rPr>
                <w:bCs/>
                <w:sz w:val="18"/>
                <w:szCs w:val="18"/>
              </w:rPr>
            </w:pPr>
            <w:r w:rsidRPr="001B4CA2">
              <w:rPr>
                <w:bCs/>
                <w:sz w:val="18"/>
                <w:szCs w:val="18"/>
              </w:rPr>
              <w:t>1749</w:t>
            </w:r>
          </w:p>
        </w:tc>
        <w:tc>
          <w:tcPr>
            <w:tcW w:w="792" w:type="dxa"/>
            <w:tcBorders>
              <w:top w:val="single" w:sz="4" w:space="0" w:color="auto"/>
              <w:left w:val="nil"/>
              <w:bottom w:val="single" w:sz="4" w:space="0" w:color="auto"/>
              <w:right w:val="single" w:sz="4" w:space="0" w:color="auto"/>
            </w:tcBorders>
            <w:noWrap/>
            <w:vAlign w:val="center"/>
          </w:tcPr>
          <w:p w14:paraId="2683C40F"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1.793</w:t>
            </w:r>
          </w:p>
        </w:tc>
        <w:tc>
          <w:tcPr>
            <w:tcW w:w="851" w:type="dxa"/>
            <w:tcBorders>
              <w:top w:val="single" w:sz="4" w:space="0" w:color="auto"/>
              <w:left w:val="nil"/>
              <w:bottom w:val="single" w:sz="4" w:space="0" w:color="auto"/>
              <w:right w:val="single" w:sz="4" w:space="0" w:color="auto"/>
            </w:tcBorders>
            <w:noWrap/>
            <w:vAlign w:val="center"/>
          </w:tcPr>
          <w:p w14:paraId="28053E01"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1.643</w:t>
            </w:r>
          </w:p>
        </w:tc>
        <w:tc>
          <w:tcPr>
            <w:tcW w:w="567" w:type="dxa"/>
            <w:tcBorders>
              <w:top w:val="single" w:sz="4" w:space="0" w:color="auto"/>
              <w:left w:val="nil"/>
              <w:bottom w:val="single" w:sz="4" w:space="0" w:color="auto"/>
              <w:right w:val="single" w:sz="4" w:space="0" w:color="auto"/>
            </w:tcBorders>
            <w:noWrap/>
            <w:vAlign w:val="center"/>
          </w:tcPr>
          <w:p w14:paraId="6C287BEF"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18</w:t>
            </w:r>
          </w:p>
        </w:tc>
        <w:tc>
          <w:tcPr>
            <w:tcW w:w="767" w:type="dxa"/>
            <w:tcBorders>
              <w:top w:val="single" w:sz="4" w:space="0" w:color="auto"/>
              <w:left w:val="nil"/>
              <w:bottom w:val="single" w:sz="4" w:space="0" w:color="auto"/>
              <w:right w:val="single" w:sz="4" w:space="0" w:color="auto"/>
            </w:tcBorders>
            <w:noWrap/>
            <w:vAlign w:val="center"/>
          </w:tcPr>
          <w:p w14:paraId="68277C47" w14:textId="77777777" w:rsidR="001A5DAD" w:rsidRPr="001B4CA2" w:rsidRDefault="001A5DAD" w:rsidP="001A5DAD">
            <w:pPr>
              <w:jc w:val="center"/>
              <w:rPr>
                <w:bCs/>
                <w:sz w:val="18"/>
                <w:szCs w:val="18"/>
              </w:rPr>
            </w:pPr>
            <w:r w:rsidRPr="001B4CA2">
              <w:rPr>
                <w:bCs/>
                <w:sz w:val="18"/>
                <w:szCs w:val="18"/>
              </w:rPr>
              <w:t>862</w:t>
            </w:r>
          </w:p>
        </w:tc>
        <w:tc>
          <w:tcPr>
            <w:tcW w:w="863" w:type="dxa"/>
            <w:tcBorders>
              <w:top w:val="single" w:sz="4" w:space="0" w:color="auto"/>
              <w:left w:val="nil"/>
              <w:bottom w:val="single" w:sz="4" w:space="0" w:color="auto"/>
              <w:right w:val="single" w:sz="4" w:space="0" w:color="auto"/>
            </w:tcBorders>
            <w:noWrap/>
            <w:vAlign w:val="center"/>
          </w:tcPr>
          <w:p w14:paraId="4DD7A4C1" w14:textId="77777777" w:rsidR="001A5DAD" w:rsidRPr="001B4CA2" w:rsidRDefault="001A5DAD" w:rsidP="001A5DAD">
            <w:pPr>
              <w:jc w:val="center"/>
              <w:rPr>
                <w:bCs/>
                <w:sz w:val="18"/>
                <w:szCs w:val="18"/>
              </w:rPr>
            </w:pPr>
            <w:r w:rsidRPr="001B4CA2">
              <w:rPr>
                <w:bCs/>
                <w:sz w:val="18"/>
                <w:szCs w:val="18"/>
              </w:rPr>
              <w:t>4.079</w:t>
            </w:r>
          </w:p>
        </w:tc>
        <w:tc>
          <w:tcPr>
            <w:tcW w:w="738" w:type="dxa"/>
            <w:tcBorders>
              <w:top w:val="single" w:sz="4" w:space="0" w:color="auto"/>
              <w:left w:val="nil"/>
              <w:bottom w:val="single" w:sz="4" w:space="0" w:color="auto"/>
              <w:right w:val="single" w:sz="4" w:space="0" w:color="auto"/>
            </w:tcBorders>
            <w:noWrap/>
            <w:vAlign w:val="center"/>
          </w:tcPr>
          <w:p w14:paraId="64D86EB5" w14:textId="77777777" w:rsidR="001A5DAD" w:rsidRPr="001B4CA2" w:rsidRDefault="001A5DAD" w:rsidP="001A5DAD">
            <w:pPr>
              <w:jc w:val="center"/>
              <w:rPr>
                <w:bCs/>
                <w:sz w:val="18"/>
                <w:szCs w:val="18"/>
              </w:rPr>
            </w:pPr>
            <w:r w:rsidRPr="001B4CA2">
              <w:rPr>
                <w:bCs/>
                <w:sz w:val="18"/>
                <w:szCs w:val="18"/>
              </w:rPr>
              <w:t>351</w:t>
            </w:r>
          </w:p>
        </w:tc>
        <w:tc>
          <w:tcPr>
            <w:tcW w:w="667" w:type="dxa"/>
            <w:tcBorders>
              <w:top w:val="single" w:sz="4" w:space="0" w:color="auto"/>
              <w:left w:val="nil"/>
              <w:bottom w:val="single" w:sz="4" w:space="0" w:color="auto"/>
              <w:right w:val="single" w:sz="4" w:space="0" w:color="auto"/>
            </w:tcBorders>
            <w:noWrap/>
            <w:vAlign w:val="center"/>
          </w:tcPr>
          <w:p w14:paraId="5E1BF37D" w14:textId="77777777" w:rsidR="001A5DAD" w:rsidRPr="001B4CA2" w:rsidRDefault="001A5DAD" w:rsidP="001A5DAD">
            <w:pPr>
              <w:jc w:val="center"/>
              <w:rPr>
                <w:bCs/>
                <w:sz w:val="18"/>
                <w:szCs w:val="18"/>
              </w:rPr>
            </w:pPr>
            <w:r w:rsidRPr="001B4CA2">
              <w:rPr>
                <w:bCs/>
                <w:sz w:val="18"/>
                <w:szCs w:val="18"/>
              </w:rPr>
              <w:t>1.213</w:t>
            </w:r>
          </w:p>
        </w:tc>
      </w:tr>
      <w:tr w:rsidR="007D12C6" w:rsidRPr="001B4CA2" w14:paraId="1A6C3A18" w14:textId="77777777" w:rsidTr="007D12C6">
        <w:trPr>
          <w:trHeight w:val="624"/>
          <w:jc w:val="center"/>
        </w:trPr>
        <w:tc>
          <w:tcPr>
            <w:tcW w:w="760" w:type="dxa"/>
            <w:tcBorders>
              <w:top w:val="single" w:sz="4" w:space="0" w:color="auto"/>
              <w:left w:val="single" w:sz="4" w:space="0" w:color="auto"/>
              <w:bottom w:val="single" w:sz="4" w:space="0" w:color="auto"/>
              <w:right w:val="single" w:sz="4" w:space="0" w:color="auto"/>
            </w:tcBorders>
            <w:noWrap/>
            <w:vAlign w:val="center"/>
          </w:tcPr>
          <w:p w14:paraId="7A5C6587"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2022.</w:t>
            </w:r>
          </w:p>
        </w:tc>
        <w:tc>
          <w:tcPr>
            <w:tcW w:w="667" w:type="dxa"/>
            <w:tcBorders>
              <w:top w:val="single" w:sz="4" w:space="0" w:color="auto"/>
              <w:left w:val="nil"/>
              <w:bottom w:val="single" w:sz="4" w:space="0" w:color="auto"/>
              <w:right w:val="single" w:sz="4" w:space="0" w:color="auto"/>
            </w:tcBorders>
            <w:noWrap/>
            <w:vAlign w:val="center"/>
          </w:tcPr>
          <w:p w14:paraId="45AFF430"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31</w:t>
            </w:r>
          </w:p>
        </w:tc>
        <w:tc>
          <w:tcPr>
            <w:tcW w:w="758" w:type="dxa"/>
            <w:tcBorders>
              <w:top w:val="single" w:sz="4" w:space="0" w:color="auto"/>
              <w:left w:val="nil"/>
              <w:bottom w:val="single" w:sz="4" w:space="0" w:color="auto"/>
              <w:right w:val="single" w:sz="4" w:space="0" w:color="auto"/>
            </w:tcBorders>
            <w:noWrap/>
            <w:vAlign w:val="center"/>
          </w:tcPr>
          <w:p w14:paraId="0A37B0EE" w14:textId="77777777" w:rsidR="001A5DAD" w:rsidRPr="001B4CA2" w:rsidRDefault="001A5DAD" w:rsidP="001A5DAD">
            <w:pPr>
              <w:jc w:val="center"/>
              <w:rPr>
                <w:sz w:val="18"/>
                <w:szCs w:val="18"/>
              </w:rPr>
            </w:pPr>
            <w:r w:rsidRPr="001B4CA2">
              <w:rPr>
                <w:sz w:val="18"/>
                <w:szCs w:val="18"/>
              </w:rPr>
              <w:t>61</w:t>
            </w:r>
          </w:p>
        </w:tc>
        <w:tc>
          <w:tcPr>
            <w:tcW w:w="792" w:type="dxa"/>
            <w:tcBorders>
              <w:top w:val="single" w:sz="4" w:space="0" w:color="auto"/>
              <w:left w:val="nil"/>
              <w:bottom w:val="single" w:sz="4" w:space="0" w:color="auto"/>
              <w:right w:val="single" w:sz="4" w:space="0" w:color="auto"/>
            </w:tcBorders>
            <w:noWrap/>
            <w:vAlign w:val="center"/>
          </w:tcPr>
          <w:p w14:paraId="158B459F" w14:textId="77777777" w:rsidR="001A5DAD" w:rsidRPr="001B4CA2" w:rsidRDefault="001A5DAD" w:rsidP="001A5DAD">
            <w:pPr>
              <w:jc w:val="center"/>
              <w:rPr>
                <w:sz w:val="18"/>
                <w:szCs w:val="18"/>
              </w:rPr>
            </w:pPr>
            <w:r w:rsidRPr="001B4CA2">
              <w:rPr>
                <w:sz w:val="18"/>
                <w:szCs w:val="18"/>
              </w:rPr>
              <w:t>1877</w:t>
            </w:r>
          </w:p>
        </w:tc>
        <w:tc>
          <w:tcPr>
            <w:tcW w:w="767" w:type="dxa"/>
            <w:tcBorders>
              <w:top w:val="single" w:sz="4" w:space="0" w:color="auto"/>
              <w:left w:val="nil"/>
              <w:bottom w:val="single" w:sz="4" w:space="0" w:color="auto"/>
              <w:right w:val="single" w:sz="4" w:space="0" w:color="auto"/>
            </w:tcBorders>
            <w:noWrap/>
            <w:vAlign w:val="center"/>
          </w:tcPr>
          <w:p w14:paraId="1AFAB038" w14:textId="77777777" w:rsidR="001A5DAD" w:rsidRPr="001B4CA2" w:rsidRDefault="001A5DAD" w:rsidP="001A5DAD">
            <w:pPr>
              <w:jc w:val="center"/>
              <w:rPr>
                <w:bCs/>
                <w:sz w:val="18"/>
                <w:szCs w:val="18"/>
              </w:rPr>
            </w:pPr>
            <w:r w:rsidRPr="001B4CA2">
              <w:rPr>
                <w:bCs/>
                <w:sz w:val="18"/>
                <w:szCs w:val="18"/>
              </w:rPr>
              <w:t>1938</w:t>
            </w:r>
          </w:p>
        </w:tc>
        <w:tc>
          <w:tcPr>
            <w:tcW w:w="792" w:type="dxa"/>
            <w:tcBorders>
              <w:top w:val="single" w:sz="4" w:space="0" w:color="auto"/>
              <w:left w:val="nil"/>
              <w:bottom w:val="single" w:sz="4" w:space="0" w:color="auto"/>
              <w:right w:val="single" w:sz="4" w:space="0" w:color="auto"/>
            </w:tcBorders>
            <w:noWrap/>
            <w:vAlign w:val="center"/>
          </w:tcPr>
          <w:p w14:paraId="1E470473"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1.969</w:t>
            </w:r>
          </w:p>
        </w:tc>
        <w:tc>
          <w:tcPr>
            <w:tcW w:w="851" w:type="dxa"/>
            <w:tcBorders>
              <w:top w:val="single" w:sz="4" w:space="0" w:color="auto"/>
              <w:left w:val="nil"/>
              <w:bottom w:val="single" w:sz="4" w:space="0" w:color="auto"/>
              <w:right w:val="single" w:sz="4" w:space="0" w:color="auto"/>
            </w:tcBorders>
            <w:noWrap/>
            <w:vAlign w:val="center"/>
          </w:tcPr>
          <w:p w14:paraId="25827AC8"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1.925</w:t>
            </w:r>
          </w:p>
        </w:tc>
        <w:tc>
          <w:tcPr>
            <w:tcW w:w="567" w:type="dxa"/>
            <w:tcBorders>
              <w:top w:val="single" w:sz="4" w:space="0" w:color="auto"/>
              <w:left w:val="nil"/>
              <w:bottom w:val="single" w:sz="4" w:space="0" w:color="auto"/>
              <w:right w:val="single" w:sz="4" w:space="0" w:color="auto"/>
            </w:tcBorders>
            <w:noWrap/>
            <w:vAlign w:val="center"/>
          </w:tcPr>
          <w:p w14:paraId="19AD1DAE"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17</w:t>
            </w:r>
          </w:p>
        </w:tc>
        <w:tc>
          <w:tcPr>
            <w:tcW w:w="767" w:type="dxa"/>
            <w:tcBorders>
              <w:top w:val="single" w:sz="4" w:space="0" w:color="auto"/>
              <w:left w:val="nil"/>
              <w:bottom w:val="single" w:sz="4" w:space="0" w:color="auto"/>
              <w:right w:val="single" w:sz="4" w:space="0" w:color="auto"/>
            </w:tcBorders>
            <w:noWrap/>
            <w:vAlign w:val="center"/>
          </w:tcPr>
          <w:p w14:paraId="21585994" w14:textId="77777777" w:rsidR="001A5DAD" w:rsidRPr="001B4CA2" w:rsidRDefault="001A5DAD" w:rsidP="001A5DAD">
            <w:pPr>
              <w:jc w:val="center"/>
              <w:rPr>
                <w:bCs/>
                <w:sz w:val="18"/>
                <w:szCs w:val="18"/>
              </w:rPr>
            </w:pPr>
            <w:r w:rsidRPr="001B4CA2">
              <w:rPr>
                <w:bCs/>
                <w:sz w:val="18"/>
                <w:szCs w:val="18"/>
              </w:rPr>
              <w:t>869</w:t>
            </w:r>
          </w:p>
        </w:tc>
        <w:tc>
          <w:tcPr>
            <w:tcW w:w="863" w:type="dxa"/>
            <w:tcBorders>
              <w:top w:val="single" w:sz="4" w:space="0" w:color="auto"/>
              <w:left w:val="nil"/>
              <w:bottom w:val="single" w:sz="4" w:space="0" w:color="auto"/>
              <w:right w:val="single" w:sz="4" w:space="0" w:color="auto"/>
            </w:tcBorders>
            <w:noWrap/>
            <w:vAlign w:val="center"/>
          </w:tcPr>
          <w:p w14:paraId="5571538A" w14:textId="77777777" w:rsidR="001A5DAD" w:rsidRPr="001B4CA2" w:rsidRDefault="001A5DAD" w:rsidP="001A5DAD">
            <w:pPr>
              <w:jc w:val="center"/>
              <w:rPr>
                <w:bCs/>
                <w:sz w:val="18"/>
                <w:szCs w:val="18"/>
              </w:rPr>
            </w:pPr>
            <w:r w:rsidRPr="001B4CA2">
              <w:rPr>
                <w:bCs/>
                <w:sz w:val="18"/>
                <w:szCs w:val="18"/>
              </w:rPr>
              <w:t>3.414</w:t>
            </w:r>
          </w:p>
        </w:tc>
        <w:tc>
          <w:tcPr>
            <w:tcW w:w="738" w:type="dxa"/>
            <w:tcBorders>
              <w:top w:val="single" w:sz="4" w:space="0" w:color="auto"/>
              <w:left w:val="nil"/>
              <w:bottom w:val="single" w:sz="4" w:space="0" w:color="auto"/>
              <w:right w:val="single" w:sz="4" w:space="0" w:color="auto"/>
            </w:tcBorders>
            <w:noWrap/>
            <w:vAlign w:val="center"/>
          </w:tcPr>
          <w:p w14:paraId="779EA7A0" w14:textId="77777777" w:rsidR="001A5DAD" w:rsidRPr="001B4CA2" w:rsidRDefault="001A5DAD" w:rsidP="001A5DAD">
            <w:pPr>
              <w:jc w:val="center"/>
              <w:rPr>
                <w:bCs/>
                <w:sz w:val="18"/>
                <w:szCs w:val="18"/>
              </w:rPr>
            </w:pPr>
            <w:r w:rsidRPr="001B4CA2">
              <w:rPr>
                <w:bCs/>
                <w:sz w:val="18"/>
                <w:szCs w:val="18"/>
              </w:rPr>
              <w:t>456</w:t>
            </w:r>
          </w:p>
        </w:tc>
        <w:tc>
          <w:tcPr>
            <w:tcW w:w="667" w:type="dxa"/>
            <w:tcBorders>
              <w:top w:val="single" w:sz="4" w:space="0" w:color="auto"/>
              <w:left w:val="nil"/>
              <w:bottom w:val="single" w:sz="4" w:space="0" w:color="auto"/>
              <w:right w:val="single" w:sz="4" w:space="0" w:color="auto"/>
            </w:tcBorders>
            <w:noWrap/>
            <w:vAlign w:val="center"/>
          </w:tcPr>
          <w:p w14:paraId="1C91A4CE" w14:textId="77777777" w:rsidR="001A5DAD" w:rsidRPr="001B4CA2" w:rsidRDefault="001A5DAD" w:rsidP="001A5DAD">
            <w:pPr>
              <w:jc w:val="center"/>
              <w:rPr>
                <w:bCs/>
                <w:sz w:val="18"/>
                <w:szCs w:val="18"/>
              </w:rPr>
            </w:pPr>
            <w:r w:rsidRPr="001B4CA2">
              <w:rPr>
                <w:bCs/>
                <w:sz w:val="18"/>
                <w:szCs w:val="18"/>
              </w:rPr>
              <w:t>1.325</w:t>
            </w:r>
          </w:p>
        </w:tc>
      </w:tr>
    </w:tbl>
    <w:p w14:paraId="4DEF280F" w14:textId="77777777" w:rsidR="00BC6496" w:rsidRPr="001B4CA2" w:rsidRDefault="00BC6496" w:rsidP="001A5DAD">
      <w:pPr>
        <w:tabs>
          <w:tab w:val="left" w:pos="709"/>
        </w:tabs>
        <w:ind w:firstLine="708"/>
        <w:contextualSpacing/>
        <w:rPr>
          <w:sz w:val="20"/>
          <w:szCs w:val="20"/>
        </w:rPr>
      </w:pPr>
    </w:p>
    <w:p w14:paraId="47841AF3" w14:textId="77777777" w:rsidR="00BC6496" w:rsidRPr="001B4CA2" w:rsidRDefault="00BC6496" w:rsidP="001A5DAD">
      <w:pPr>
        <w:tabs>
          <w:tab w:val="left" w:pos="709"/>
        </w:tabs>
        <w:ind w:firstLine="708"/>
        <w:contextualSpacing/>
        <w:rPr>
          <w:sz w:val="20"/>
          <w:szCs w:val="20"/>
        </w:rPr>
      </w:pPr>
    </w:p>
    <w:p w14:paraId="4B54E4D2" w14:textId="76B0A430" w:rsidR="001A5DAD" w:rsidRPr="001B4CA2" w:rsidRDefault="001A5DAD" w:rsidP="001A5DAD">
      <w:pPr>
        <w:tabs>
          <w:tab w:val="left" w:pos="709"/>
        </w:tabs>
        <w:ind w:firstLine="708"/>
        <w:contextualSpacing/>
        <w:rPr>
          <w:rFonts w:asciiTheme="minorHAnsi" w:eastAsia="Arial" w:hAnsiTheme="minorHAnsi"/>
          <w:color w:val="000000"/>
          <w:szCs w:val="22"/>
        </w:rPr>
      </w:pPr>
      <w:r w:rsidRPr="001B4CA2">
        <w:rPr>
          <w:rFonts w:asciiTheme="minorHAnsi" w:eastAsia="Arial" w:hAnsiTheme="minorHAnsi"/>
          <w:color w:val="000000"/>
          <w:szCs w:val="22"/>
        </w:rPr>
        <w:t>Tijekom izvještajne godine općinska državna odvjetništva primila su 1</w:t>
      </w:r>
      <w:r w:rsidR="00CD3DD1" w:rsidRPr="001B4CA2">
        <w:rPr>
          <w:rFonts w:asciiTheme="minorHAnsi" w:eastAsia="Arial" w:hAnsiTheme="minorHAnsi"/>
          <w:color w:val="000000"/>
          <w:szCs w:val="22"/>
        </w:rPr>
        <w:t>.</w:t>
      </w:r>
      <w:r w:rsidRPr="001B4CA2">
        <w:rPr>
          <w:rFonts w:asciiTheme="minorHAnsi" w:eastAsia="Arial" w:hAnsiTheme="minorHAnsi"/>
          <w:color w:val="000000"/>
          <w:szCs w:val="22"/>
        </w:rPr>
        <w:t>938 zahtjeva stečaja potrošača, od čega se 61 zahtjev odnosi</w:t>
      </w:r>
      <w:r w:rsidR="009E6D91" w:rsidRPr="001B4CA2">
        <w:rPr>
          <w:rFonts w:asciiTheme="minorHAnsi" w:eastAsia="Arial" w:hAnsiTheme="minorHAnsi"/>
          <w:color w:val="000000"/>
          <w:szCs w:val="22"/>
        </w:rPr>
        <w:t>o</w:t>
      </w:r>
      <w:r w:rsidRPr="001B4CA2">
        <w:rPr>
          <w:rFonts w:asciiTheme="minorHAnsi" w:eastAsia="Arial" w:hAnsiTheme="minorHAnsi"/>
          <w:color w:val="000000"/>
          <w:szCs w:val="22"/>
        </w:rPr>
        <w:t xml:space="preserve"> na redovni postupak, a 1</w:t>
      </w:r>
      <w:r w:rsidR="00840C0E">
        <w:rPr>
          <w:rFonts w:asciiTheme="minorHAnsi" w:eastAsia="Arial" w:hAnsiTheme="minorHAnsi"/>
          <w:color w:val="000000"/>
          <w:szCs w:val="22"/>
        </w:rPr>
        <w:t>.</w:t>
      </w:r>
      <w:r w:rsidRPr="001B4CA2">
        <w:rPr>
          <w:rFonts w:asciiTheme="minorHAnsi" w:eastAsia="Arial" w:hAnsiTheme="minorHAnsi"/>
          <w:color w:val="000000"/>
          <w:szCs w:val="22"/>
        </w:rPr>
        <w:t>877 na jednostavni stečaj potrošača. Ovi po</w:t>
      </w:r>
      <w:r w:rsidR="00FD08E9">
        <w:rPr>
          <w:rFonts w:asciiTheme="minorHAnsi" w:eastAsia="Arial" w:hAnsiTheme="minorHAnsi"/>
          <w:color w:val="000000"/>
          <w:szCs w:val="22"/>
        </w:rPr>
        <w:t>datci</w:t>
      </w:r>
      <w:r w:rsidRPr="001B4CA2">
        <w:rPr>
          <w:rFonts w:asciiTheme="minorHAnsi" w:eastAsia="Arial" w:hAnsiTheme="minorHAnsi"/>
          <w:color w:val="000000"/>
          <w:szCs w:val="22"/>
        </w:rPr>
        <w:t xml:space="preserve"> ne predstavljaju znatno odstupanje u odnosu na prethodno izvještajno razdoblje, ali kao i prethodne godine, predstavljaju znatno smanjenje broja predmeta te vrste u odnosu na 2020.</w:t>
      </w:r>
    </w:p>
    <w:p w14:paraId="12DB30B2" w14:textId="77777777" w:rsidR="001A5DAD" w:rsidRPr="001B4CA2" w:rsidRDefault="001A5DAD" w:rsidP="001A5DAD">
      <w:pPr>
        <w:tabs>
          <w:tab w:val="left" w:pos="709"/>
        </w:tabs>
        <w:contextualSpacing/>
        <w:rPr>
          <w:rFonts w:asciiTheme="minorHAnsi" w:eastAsia="Arial" w:hAnsiTheme="minorHAnsi"/>
          <w:color w:val="000000"/>
          <w:szCs w:val="22"/>
        </w:rPr>
      </w:pPr>
    </w:p>
    <w:p w14:paraId="7DE7DF6C" w14:textId="6175E16E" w:rsidR="001A5DAD" w:rsidRPr="001B4CA2" w:rsidRDefault="001A5DAD" w:rsidP="001A5DAD">
      <w:pPr>
        <w:tabs>
          <w:tab w:val="left" w:pos="709"/>
        </w:tabs>
        <w:ind w:firstLine="708"/>
        <w:contextualSpacing/>
        <w:rPr>
          <w:rFonts w:asciiTheme="minorHAnsi" w:eastAsia="Arial" w:hAnsiTheme="minorHAnsi"/>
          <w:color w:val="000000"/>
          <w:szCs w:val="22"/>
        </w:rPr>
      </w:pPr>
      <w:r w:rsidRPr="001B4CA2">
        <w:rPr>
          <w:rFonts w:asciiTheme="minorHAnsi" w:eastAsia="Arial" w:hAnsiTheme="minorHAnsi"/>
          <w:color w:val="000000"/>
          <w:szCs w:val="22"/>
        </w:rPr>
        <w:t xml:space="preserve">U odnosu na 2020. tijekom izvještajne godine zaprimljeno je 38 % zahtjeva manje. Znatan pad broja predmeta jednostavnog postupka stečaja potrošača u razdoblju nakon 2020. posljedica je toga što je Zakon o izmjenama i dopunama Zakona o stečaju potrošača (Narodne novine 67/2018.) stupio na snagu 1. siječnja 2019. te je u 2019. i 2020. došlo do masovnog oslobođenja potrošača od dugovanja </w:t>
      </w:r>
      <w:r w:rsidR="00F47D60">
        <w:rPr>
          <w:rFonts w:asciiTheme="minorHAnsi" w:eastAsia="Arial" w:hAnsiTheme="minorHAnsi"/>
          <w:color w:val="000000"/>
          <w:szCs w:val="22"/>
        </w:rPr>
        <w:t>(</w:t>
      </w:r>
      <w:r w:rsidR="00840C0E">
        <w:rPr>
          <w:rFonts w:asciiTheme="minorHAnsi" w:eastAsia="Arial" w:hAnsiTheme="minorHAnsi"/>
          <w:color w:val="000000"/>
          <w:szCs w:val="22"/>
        </w:rPr>
        <w:t>budući</w:t>
      </w:r>
      <w:r w:rsidRPr="001B4CA2">
        <w:rPr>
          <w:rFonts w:asciiTheme="minorHAnsi" w:eastAsia="Arial" w:hAnsiTheme="minorHAnsi"/>
          <w:color w:val="000000"/>
          <w:szCs w:val="22"/>
        </w:rPr>
        <w:t xml:space="preserve"> da je sud kao nesporno utvrdio da su ispunjeni zakonski uvjeti za otpis potraživanja, odnosno obveza potroša</w:t>
      </w:r>
      <w:r w:rsidR="0020162B" w:rsidRPr="001B4CA2">
        <w:rPr>
          <w:rFonts w:asciiTheme="minorHAnsi" w:eastAsia="Arial" w:hAnsiTheme="minorHAnsi"/>
          <w:color w:val="000000"/>
          <w:szCs w:val="22"/>
        </w:rPr>
        <w:t>č</w:t>
      </w:r>
      <w:r w:rsidRPr="001B4CA2">
        <w:rPr>
          <w:rFonts w:asciiTheme="minorHAnsi" w:eastAsia="Arial" w:hAnsiTheme="minorHAnsi"/>
          <w:color w:val="000000"/>
          <w:szCs w:val="22"/>
        </w:rPr>
        <w:t>a do iznosa od 20.000,00 kn</w:t>
      </w:r>
      <w:r w:rsidR="00840C0E">
        <w:rPr>
          <w:rFonts w:asciiTheme="minorHAnsi" w:eastAsia="Arial" w:hAnsiTheme="minorHAnsi"/>
          <w:color w:val="000000"/>
          <w:szCs w:val="22"/>
        </w:rPr>
        <w:t xml:space="preserve"> </w:t>
      </w:r>
      <w:r w:rsidR="00CD3DD1" w:rsidRPr="001B4CA2">
        <w:rPr>
          <w:rFonts w:asciiTheme="minorHAnsi" w:eastAsia="Arial" w:hAnsiTheme="minorHAnsi"/>
          <w:color w:val="000000"/>
          <w:szCs w:val="22"/>
        </w:rPr>
        <w:t>/</w:t>
      </w:r>
      <w:r w:rsidR="001C297A" w:rsidRPr="001B4CA2">
        <w:rPr>
          <w:rFonts w:asciiTheme="minorHAnsi" w:eastAsia="Arial" w:hAnsiTheme="minorHAnsi"/>
          <w:color w:val="000000"/>
          <w:szCs w:val="22"/>
        </w:rPr>
        <w:t xml:space="preserve"> </w:t>
      </w:r>
      <w:r w:rsidR="00CD3DD1" w:rsidRPr="001B4CA2">
        <w:rPr>
          <w:rFonts w:asciiTheme="minorHAnsi" w:eastAsia="Arial" w:hAnsiTheme="minorHAnsi"/>
          <w:color w:val="000000"/>
          <w:szCs w:val="22"/>
        </w:rPr>
        <w:t>2.654</w:t>
      </w:r>
      <w:r w:rsidR="003E79A0">
        <w:rPr>
          <w:rFonts w:asciiTheme="minorHAnsi" w:eastAsia="Arial" w:hAnsiTheme="minorHAnsi"/>
          <w:color w:val="000000"/>
          <w:szCs w:val="22"/>
        </w:rPr>
        <w:t>,</w:t>
      </w:r>
      <w:r w:rsidR="00CD3DD1" w:rsidRPr="001B4CA2">
        <w:rPr>
          <w:rFonts w:asciiTheme="minorHAnsi" w:eastAsia="Arial" w:hAnsiTheme="minorHAnsi"/>
          <w:color w:val="000000"/>
          <w:szCs w:val="22"/>
        </w:rPr>
        <w:t>45 EUR</w:t>
      </w:r>
      <w:r w:rsidRPr="001B4CA2">
        <w:rPr>
          <w:rFonts w:asciiTheme="minorHAnsi" w:eastAsia="Arial" w:hAnsiTheme="minorHAnsi"/>
          <w:color w:val="000000"/>
          <w:szCs w:val="22"/>
        </w:rPr>
        <w:t xml:space="preserve">), </w:t>
      </w:r>
      <w:r w:rsidR="00840C0E">
        <w:rPr>
          <w:rFonts w:asciiTheme="minorHAnsi" w:eastAsia="Arial" w:hAnsiTheme="minorHAnsi"/>
          <w:color w:val="000000"/>
          <w:szCs w:val="22"/>
        </w:rPr>
        <w:t>zbog</w:t>
      </w:r>
      <w:r w:rsidRPr="001B4CA2">
        <w:rPr>
          <w:rFonts w:asciiTheme="minorHAnsi" w:eastAsia="Arial" w:hAnsiTheme="minorHAnsi"/>
          <w:color w:val="000000"/>
          <w:szCs w:val="22"/>
        </w:rPr>
        <w:t xml:space="preserve"> čega je u Očevidnicima redoslijeda naplate Financijske agencije znatno smanjen broj dužnika koji ispunjavaju uvjete za pokretanje i otvaranje jednostavnog postupka stečaja potrošača. </w:t>
      </w:r>
    </w:p>
    <w:p w14:paraId="43732C5E" w14:textId="77777777" w:rsidR="001A5DAD" w:rsidRPr="001B4CA2" w:rsidRDefault="001A5DAD" w:rsidP="001A5DAD">
      <w:pPr>
        <w:tabs>
          <w:tab w:val="left" w:pos="709"/>
        </w:tabs>
        <w:ind w:firstLine="708"/>
        <w:contextualSpacing/>
        <w:rPr>
          <w:rFonts w:asciiTheme="minorHAnsi" w:eastAsia="Arial" w:hAnsiTheme="minorHAnsi"/>
          <w:color w:val="000000"/>
          <w:szCs w:val="22"/>
        </w:rPr>
      </w:pPr>
    </w:p>
    <w:p w14:paraId="3479EEFC" w14:textId="4D705DB3" w:rsidR="001A5DAD" w:rsidRPr="001B4CA2" w:rsidRDefault="001A5DAD" w:rsidP="001A5DAD">
      <w:pPr>
        <w:tabs>
          <w:tab w:val="left" w:pos="709"/>
        </w:tabs>
        <w:ind w:firstLine="708"/>
        <w:contextualSpacing/>
        <w:rPr>
          <w:rFonts w:asciiTheme="minorHAnsi" w:eastAsia="Arial" w:hAnsiTheme="minorHAnsi"/>
          <w:color w:val="000000"/>
          <w:szCs w:val="22"/>
        </w:rPr>
      </w:pPr>
      <w:r w:rsidRPr="001B4CA2">
        <w:rPr>
          <w:rFonts w:asciiTheme="minorHAnsi" w:eastAsia="Arial" w:hAnsiTheme="minorHAnsi"/>
          <w:color w:val="000000"/>
          <w:szCs w:val="22"/>
        </w:rPr>
        <w:t>Čak 73</w:t>
      </w:r>
      <w:r w:rsidR="00840C0E">
        <w:rPr>
          <w:rFonts w:asciiTheme="minorHAnsi" w:eastAsia="Arial" w:hAnsiTheme="minorHAnsi"/>
          <w:color w:val="000000"/>
          <w:szCs w:val="22"/>
        </w:rPr>
        <w:t> </w:t>
      </w:r>
      <w:r w:rsidRPr="001B4CA2">
        <w:rPr>
          <w:rFonts w:asciiTheme="minorHAnsi" w:eastAsia="Arial" w:hAnsiTheme="minorHAnsi"/>
          <w:color w:val="000000"/>
          <w:szCs w:val="22"/>
        </w:rPr>
        <w:t>% novih zahtjeva u predmetima stečaja potrošača odnosi</w:t>
      </w:r>
      <w:r w:rsidR="009E6D91" w:rsidRPr="001B4CA2">
        <w:rPr>
          <w:rFonts w:asciiTheme="minorHAnsi" w:eastAsia="Arial" w:hAnsiTheme="minorHAnsi"/>
          <w:color w:val="000000"/>
          <w:szCs w:val="22"/>
        </w:rPr>
        <w:t>o</w:t>
      </w:r>
      <w:r w:rsidRPr="001B4CA2">
        <w:rPr>
          <w:rFonts w:asciiTheme="minorHAnsi" w:eastAsia="Arial" w:hAnsiTheme="minorHAnsi"/>
          <w:color w:val="000000"/>
          <w:szCs w:val="22"/>
        </w:rPr>
        <w:t xml:space="preserve"> se na potraživanja Ministarstva financija s osnove javnih davanja, poreza, doprinosa i slično, a 23</w:t>
      </w:r>
      <w:r w:rsidR="00840C0E">
        <w:rPr>
          <w:rFonts w:asciiTheme="minorHAnsi" w:eastAsia="Arial" w:hAnsiTheme="minorHAnsi"/>
          <w:color w:val="000000"/>
          <w:szCs w:val="22"/>
        </w:rPr>
        <w:t> </w:t>
      </w:r>
      <w:r w:rsidRPr="001B4CA2">
        <w:rPr>
          <w:rFonts w:asciiTheme="minorHAnsi" w:eastAsia="Arial" w:hAnsiTheme="minorHAnsi"/>
          <w:color w:val="000000"/>
          <w:szCs w:val="22"/>
        </w:rPr>
        <w:t>% odnosi</w:t>
      </w:r>
      <w:r w:rsidR="009E6D91" w:rsidRPr="001B4CA2">
        <w:rPr>
          <w:rFonts w:asciiTheme="minorHAnsi" w:eastAsia="Arial" w:hAnsiTheme="minorHAnsi"/>
          <w:color w:val="000000"/>
          <w:szCs w:val="22"/>
        </w:rPr>
        <w:t>o</w:t>
      </w:r>
      <w:r w:rsidRPr="001B4CA2">
        <w:rPr>
          <w:rFonts w:asciiTheme="minorHAnsi" w:eastAsia="Arial" w:hAnsiTheme="minorHAnsi"/>
          <w:color w:val="000000"/>
          <w:szCs w:val="22"/>
        </w:rPr>
        <w:t xml:space="preserve"> </w:t>
      </w:r>
      <w:r w:rsidR="00840C0E" w:rsidRPr="001B4CA2">
        <w:rPr>
          <w:rFonts w:asciiTheme="minorHAnsi" w:eastAsia="Arial" w:hAnsiTheme="minorHAnsi"/>
          <w:color w:val="000000"/>
          <w:szCs w:val="22"/>
        </w:rPr>
        <w:t xml:space="preserve">se </w:t>
      </w:r>
      <w:r w:rsidRPr="001B4CA2">
        <w:rPr>
          <w:rFonts w:asciiTheme="minorHAnsi" w:eastAsia="Arial" w:hAnsiTheme="minorHAnsi"/>
          <w:color w:val="000000"/>
          <w:szCs w:val="22"/>
        </w:rPr>
        <w:t>na tražbine Ministarstva pravosuđa i uprave s osnove troškova postupaka i sudskih pristojbi.</w:t>
      </w:r>
    </w:p>
    <w:p w14:paraId="44D21569" w14:textId="77777777" w:rsidR="001A5DAD" w:rsidRPr="001B4CA2" w:rsidRDefault="001A5DAD" w:rsidP="001A5DAD"/>
    <w:p w14:paraId="4A8C2B25" w14:textId="45976767" w:rsidR="001A5DAD" w:rsidRPr="001B4CA2" w:rsidRDefault="001A5DAD" w:rsidP="001A5DAD">
      <w:pPr>
        <w:ind w:firstLine="708"/>
      </w:pPr>
      <w:r w:rsidRPr="001B4CA2">
        <w:rPr>
          <w:rFonts w:asciiTheme="minorHAnsi" w:eastAsia="Arial" w:hAnsiTheme="minorHAnsi"/>
          <w:color w:val="000000"/>
          <w:szCs w:val="22"/>
        </w:rPr>
        <w:t>Od 1</w:t>
      </w:r>
      <w:r w:rsidR="0020162B" w:rsidRPr="001B4CA2">
        <w:rPr>
          <w:rFonts w:asciiTheme="minorHAnsi" w:eastAsia="Arial" w:hAnsiTheme="minorHAnsi"/>
          <w:color w:val="000000"/>
          <w:szCs w:val="22"/>
        </w:rPr>
        <w:t>.</w:t>
      </w:r>
      <w:r w:rsidRPr="001B4CA2">
        <w:rPr>
          <w:rFonts w:asciiTheme="minorHAnsi" w:eastAsia="Arial" w:hAnsiTheme="minorHAnsi"/>
          <w:color w:val="000000"/>
          <w:szCs w:val="22"/>
        </w:rPr>
        <w:t>325 odluka suda primljenih u izvještajnoj godini 66</w:t>
      </w:r>
      <w:r w:rsidR="00840C0E">
        <w:rPr>
          <w:rFonts w:asciiTheme="minorHAnsi" w:eastAsia="Arial" w:hAnsiTheme="minorHAnsi"/>
          <w:color w:val="000000"/>
          <w:szCs w:val="22"/>
        </w:rPr>
        <w:t> </w:t>
      </w:r>
      <w:r w:rsidRPr="001B4CA2">
        <w:rPr>
          <w:rFonts w:asciiTheme="minorHAnsi" w:eastAsia="Arial" w:hAnsiTheme="minorHAnsi"/>
          <w:color w:val="000000"/>
          <w:szCs w:val="22"/>
        </w:rPr>
        <w:t>% odnosi</w:t>
      </w:r>
      <w:r w:rsidR="009E6D91" w:rsidRPr="001B4CA2">
        <w:rPr>
          <w:rFonts w:asciiTheme="minorHAnsi" w:eastAsia="Arial" w:hAnsiTheme="minorHAnsi"/>
          <w:color w:val="000000"/>
          <w:szCs w:val="22"/>
        </w:rPr>
        <w:t>o se</w:t>
      </w:r>
      <w:r w:rsidRPr="001B4CA2">
        <w:rPr>
          <w:rFonts w:asciiTheme="minorHAnsi" w:eastAsia="Arial" w:hAnsiTheme="minorHAnsi"/>
          <w:color w:val="000000"/>
          <w:szCs w:val="22"/>
        </w:rPr>
        <w:t xml:space="preserve"> na odluke kojima je potrošač oslobođen od preostalih obveza, što po vrijednosti zahtjeva </w:t>
      </w:r>
      <w:r w:rsidRPr="001B4CA2">
        <w:rPr>
          <w:rFonts w:asciiTheme="minorHAnsi" w:eastAsia="Arial" w:hAnsiTheme="minorHAnsi"/>
          <w:color w:val="000000"/>
          <w:szCs w:val="22"/>
        </w:rPr>
        <w:lastRenderedPageBreak/>
        <w:t>vjerovnika Republike Hrvatske iznosi oslobođenje od ukupno 3.414.000,00 kn</w:t>
      </w:r>
      <w:r w:rsidR="00840C0E">
        <w:rPr>
          <w:rFonts w:asciiTheme="minorHAnsi" w:eastAsia="Arial" w:hAnsiTheme="minorHAnsi"/>
          <w:color w:val="000000"/>
          <w:szCs w:val="22"/>
        </w:rPr>
        <w:t xml:space="preserve"> </w:t>
      </w:r>
      <w:r w:rsidRPr="001B4CA2">
        <w:rPr>
          <w:rFonts w:asciiTheme="minorHAnsi" w:eastAsia="Arial" w:hAnsiTheme="minorHAnsi"/>
          <w:color w:val="000000"/>
          <w:szCs w:val="22"/>
        </w:rPr>
        <w:t>/</w:t>
      </w:r>
      <w:r w:rsidR="00840C0E">
        <w:rPr>
          <w:rFonts w:asciiTheme="minorHAnsi" w:eastAsia="Arial" w:hAnsiTheme="minorHAnsi"/>
          <w:color w:val="000000"/>
          <w:szCs w:val="22"/>
        </w:rPr>
        <w:t xml:space="preserve"> </w:t>
      </w:r>
      <w:r w:rsidRPr="001B4CA2">
        <w:rPr>
          <w:rFonts w:asciiTheme="minorHAnsi" w:eastAsia="Arial" w:hAnsiTheme="minorHAnsi"/>
          <w:color w:val="000000"/>
          <w:szCs w:val="22"/>
        </w:rPr>
        <w:t>453.</w:t>
      </w:r>
      <w:r w:rsidR="003E79A0">
        <w:rPr>
          <w:rFonts w:asciiTheme="minorHAnsi" w:eastAsia="Arial" w:hAnsiTheme="minorHAnsi"/>
          <w:color w:val="000000"/>
          <w:szCs w:val="22"/>
        </w:rPr>
        <w:t>115</w:t>
      </w:r>
      <w:r w:rsidRPr="001B4CA2">
        <w:rPr>
          <w:rFonts w:asciiTheme="minorHAnsi" w:eastAsia="Arial" w:hAnsiTheme="minorHAnsi"/>
          <w:color w:val="000000"/>
          <w:szCs w:val="22"/>
        </w:rPr>
        <w:t>,</w:t>
      </w:r>
      <w:r w:rsidR="003E79A0">
        <w:rPr>
          <w:rFonts w:asciiTheme="minorHAnsi" w:eastAsia="Arial" w:hAnsiTheme="minorHAnsi"/>
          <w:color w:val="000000"/>
          <w:szCs w:val="22"/>
        </w:rPr>
        <w:t>67</w:t>
      </w:r>
      <w:r w:rsidR="0020162B" w:rsidRPr="001B4CA2">
        <w:rPr>
          <w:rFonts w:asciiTheme="minorHAnsi" w:eastAsia="Arial" w:hAnsiTheme="minorHAnsi"/>
          <w:color w:val="000000"/>
          <w:szCs w:val="22"/>
        </w:rPr>
        <w:t xml:space="preserve"> EUR</w:t>
      </w:r>
      <w:r w:rsidRPr="001B4CA2">
        <w:rPr>
          <w:rFonts w:asciiTheme="minorHAnsi" w:eastAsia="Arial" w:hAnsiTheme="minorHAnsi"/>
          <w:color w:val="000000"/>
          <w:szCs w:val="22"/>
        </w:rPr>
        <w:t>. Ostale odluke sadržajno predstavljaju odluke u kojima se uskrać</w:t>
      </w:r>
      <w:r w:rsidR="009E6D91" w:rsidRPr="001B4CA2">
        <w:rPr>
          <w:rFonts w:asciiTheme="minorHAnsi" w:eastAsia="Arial" w:hAnsiTheme="minorHAnsi"/>
          <w:color w:val="000000"/>
          <w:szCs w:val="22"/>
        </w:rPr>
        <w:t>ivalo</w:t>
      </w:r>
      <w:r w:rsidRPr="001B4CA2">
        <w:rPr>
          <w:rFonts w:asciiTheme="minorHAnsi" w:eastAsia="Arial" w:hAnsiTheme="minorHAnsi"/>
          <w:color w:val="000000"/>
          <w:szCs w:val="22"/>
        </w:rPr>
        <w:t xml:space="preserve"> oslobođenje od preostalih obveza ili se njima </w:t>
      </w:r>
      <w:r w:rsidR="009E6D91" w:rsidRPr="001B4CA2">
        <w:rPr>
          <w:rFonts w:asciiTheme="minorHAnsi" w:eastAsia="Arial" w:hAnsiTheme="minorHAnsi"/>
          <w:color w:val="000000"/>
          <w:szCs w:val="22"/>
        </w:rPr>
        <w:t>odbacivalo</w:t>
      </w:r>
      <w:r w:rsidRPr="001B4CA2">
        <w:rPr>
          <w:rFonts w:asciiTheme="minorHAnsi" w:eastAsia="Arial" w:hAnsiTheme="minorHAnsi"/>
          <w:color w:val="000000"/>
          <w:szCs w:val="22"/>
        </w:rPr>
        <w:t xml:space="preserve"> ili odbija</w:t>
      </w:r>
      <w:r w:rsidR="009E6D91" w:rsidRPr="001B4CA2">
        <w:rPr>
          <w:rFonts w:asciiTheme="minorHAnsi" w:eastAsia="Arial" w:hAnsiTheme="minorHAnsi"/>
          <w:color w:val="000000"/>
          <w:szCs w:val="22"/>
        </w:rPr>
        <w:t>lo</w:t>
      </w:r>
      <w:r w:rsidRPr="001B4CA2">
        <w:rPr>
          <w:rFonts w:asciiTheme="minorHAnsi" w:eastAsia="Arial" w:hAnsiTheme="minorHAnsi"/>
          <w:color w:val="000000"/>
          <w:szCs w:val="22"/>
        </w:rPr>
        <w:t xml:space="preserve"> podneseni prijedlog za provedbu postupka jednostavnog stečaja potrošača.</w:t>
      </w:r>
    </w:p>
    <w:p w14:paraId="2622D4AD" w14:textId="77777777" w:rsidR="005E2C2A" w:rsidRPr="001B4CA2" w:rsidRDefault="005E2C2A" w:rsidP="00CF370B">
      <w:pPr>
        <w:pStyle w:val="Odlomakpopisa"/>
        <w:ind w:left="0"/>
      </w:pPr>
    </w:p>
    <w:p w14:paraId="3AC6BE26" w14:textId="79143FA9" w:rsidR="00BB4D48" w:rsidRPr="001B4CA2" w:rsidRDefault="00CE234E" w:rsidP="008930E8">
      <w:pPr>
        <w:pStyle w:val="Naslov4"/>
        <w:tabs>
          <w:tab w:val="left" w:pos="993"/>
        </w:tabs>
        <w:rPr>
          <w:rFonts w:ascii="Arial" w:hAnsi="Arial" w:cs="Arial"/>
        </w:rPr>
      </w:pPr>
      <w:bookmarkStart w:id="69" w:name="_Toc133394329"/>
      <w:r w:rsidRPr="001B4CA2">
        <w:rPr>
          <w:rFonts w:ascii="Arial" w:hAnsi="Arial" w:cs="Arial"/>
        </w:rPr>
        <w:t xml:space="preserve">Odluke u </w:t>
      </w:r>
      <w:r w:rsidR="00C81134" w:rsidRPr="001B4CA2">
        <w:rPr>
          <w:rFonts w:ascii="Arial" w:hAnsi="Arial" w:cs="Arial"/>
        </w:rPr>
        <w:t>izvanparničnim i zemljišnoknjižnim predmetima</w:t>
      </w:r>
      <w:bookmarkEnd w:id="69"/>
    </w:p>
    <w:p w14:paraId="29B9F05F" w14:textId="77777777" w:rsidR="00712389" w:rsidRPr="001B4CA2" w:rsidRDefault="00712389" w:rsidP="00740362"/>
    <w:p w14:paraId="45354F0F" w14:textId="0E4E1D7E" w:rsidR="001A5DAD" w:rsidRPr="001B4CA2" w:rsidRDefault="001A5DAD" w:rsidP="001A5DAD">
      <w:pPr>
        <w:pStyle w:val="Odlomakpopisa"/>
        <w:numPr>
          <w:ilvl w:val="0"/>
          <w:numId w:val="37"/>
        </w:numPr>
        <w:jc w:val="left"/>
        <w:rPr>
          <w:rFonts w:asciiTheme="minorHAnsi" w:hAnsiTheme="minorHAnsi" w:cstheme="minorBidi"/>
          <w:i/>
          <w:szCs w:val="22"/>
        </w:rPr>
      </w:pPr>
      <w:r w:rsidRPr="001B4CA2">
        <w:rPr>
          <w:rFonts w:asciiTheme="minorHAnsi" w:hAnsiTheme="minorHAnsi" w:cstheme="minorBidi"/>
          <w:i/>
          <w:szCs w:val="22"/>
        </w:rPr>
        <w:t>Zbirna tablica izvanparnični i zemljišnoknjižni predmeti 2018.</w:t>
      </w:r>
      <w:r w:rsidR="00F47D60">
        <w:rPr>
          <w:rFonts w:asciiTheme="minorHAnsi" w:hAnsiTheme="minorHAnsi" w:cstheme="minorBidi"/>
          <w:i/>
          <w:szCs w:val="22"/>
        </w:rPr>
        <w:t xml:space="preserve"> – </w:t>
      </w:r>
      <w:r w:rsidRPr="001B4CA2">
        <w:rPr>
          <w:rFonts w:asciiTheme="minorHAnsi" w:hAnsiTheme="minorHAnsi" w:cstheme="minorBidi"/>
          <w:i/>
          <w:szCs w:val="22"/>
        </w:rPr>
        <w:t>2022.</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67"/>
        <w:gridCol w:w="767"/>
        <w:gridCol w:w="767"/>
        <w:gridCol w:w="767"/>
        <w:gridCol w:w="797"/>
        <w:gridCol w:w="767"/>
        <w:gridCol w:w="767"/>
        <w:gridCol w:w="767"/>
        <w:gridCol w:w="767"/>
        <w:gridCol w:w="774"/>
      </w:tblGrid>
      <w:tr w:rsidR="001A5DAD" w:rsidRPr="001B4CA2" w14:paraId="1073C563" w14:textId="77777777" w:rsidTr="009A1E7E">
        <w:trPr>
          <w:trHeight w:val="397"/>
          <w:jc w:val="center"/>
        </w:trPr>
        <w:tc>
          <w:tcPr>
            <w:tcW w:w="822" w:type="pct"/>
            <w:vMerge w:val="restart"/>
            <w:shd w:val="clear" w:color="000000" w:fill="99CCFF"/>
            <w:noWrap/>
            <w:vAlign w:val="center"/>
            <w:hideMark/>
          </w:tcPr>
          <w:p w14:paraId="2926C193"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Vrsta predmeta</w:t>
            </w:r>
          </w:p>
        </w:tc>
        <w:tc>
          <w:tcPr>
            <w:tcW w:w="826" w:type="pct"/>
            <w:gridSpan w:val="2"/>
            <w:shd w:val="clear" w:color="000000" w:fill="99CCFF"/>
            <w:noWrap/>
            <w:vAlign w:val="center"/>
          </w:tcPr>
          <w:p w14:paraId="4EDCF70C"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2018.</w:t>
            </w:r>
          </w:p>
        </w:tc>
        <w:tc>
          <w:tcPr>
            <w:tcW w:w="826" w:type="pct"/>
            <w:gridSpan w:val="2"/>
            <w:shd w:val="clear" w:color="000000" w:fill="99CCFF"/>
            <w:noWrap/>
            <w:vAlign w:val="center"/>
          </w:tcPr>
          <w:p w14:paraId="0DFE6E9D"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2019.</w:t>
            </w:r>
          </w:p>
        </w:tc>
        <w:tc>
          <w:tcPr>
            <w:tcW w:w="844" w:type="pct"/>
            <w:gridSpan w:val="2"/>
            <w:shd w:val="clear" w:color="000000" w:fill="99CCFF"/>
            <w:noWrap/>
            <w:vAlign w:val="center"/>
          </w:tcPr>
          <w:p w14:paraId="74E63C0C" w14:textId="77777777" w:rsidR="001A5DAD" w:rsidRPr="001B4CA2" w:rsidRDefault="001A5DAD" w:rsidP="001A5DAD">
            <w:pPr>
              <w:ind w:right="447"/>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 xml:space="preserve">         2020.</w:t>
            </w:r>
          </w:p>
        </w:tc>
        <w:tc>
          <w:tcPr>
            <w:tcW w:w="826" w:type="pct"/>
            <w:gridSpan w:val="2"/>
            <w:shd w:val="clear" w:color="000000" w:fill="99CCFF"/>
            <w:vAlign w:val="center"/>
          </w:tcPr>
          <w:p w14:paraId="3F9A8F59"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2021.</w:t>
            </w:r>
          </w:p>
        </w:tc>
        <w:tc>
          <w:tcPr>
            <w:tcW w:w="856" w:type="pct"/>
            <w:gridSpan w:val="2"/>
            <w:shd w:val="clear" w:color="000000" w:fill="99CCFF"/>
            <w:vAlign w:val="center"/>
          </w:tcPr>
          <w:p w14:paraId="277A0DE5"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2022.</w:t>
            </w:r>
          </w:p>
        </w:tc>
      </w:tr>
      <w:tr w:rsidR="009A1E7E" w:rsidRPr="001B4CA2" w14:paraId="3F9B0D11" w14:textId="77777777" w:rsidTr="009A1E7E">
        <w:trPr>
          <w:cantSplit/>
          <w:trHeight w:val="1134"/>
          <w:jc w:val="center"/>
        </w:trPr>
        <w:tc>
          <w:tcPr>
            <w:tcW w:w="822" w:type="pct"/>
            <w:vMerge/>
            <w:vAlign w:val="center"/>
            <w:hideMark/>
          </w:tcPr>
          <w:p w14:paraId="44682D79" w14:textId="77777777" w:rsidR="001A5DAD" w:rsidRPr="001B4CA2" w:rsidRDefault="001A5DAD" w:rsidP="001A5DAD">
            <w:pPr>
              <w:jc w:val="left"/>
              <w:rPr>
                <w:rFonts w:asciiTheme="minorHAnsi" w:eastAsia="Times New Roman" w:hAnsiTheme="minorHAnsi" w:cstheme="minorHAnsi"/>
                <w:b/>
                <w:bCs/>
                <w:color w:val="000000"/>
                <w:sz w:val="18"/>
                <w:szCs w:val="18"/>
                <w:lang w:eastAsia="hr-HR"/>
              </w:rPr>
            </w:pPr>
          </w:p>
        </w:tc>
        <w:tc>
          <w:tcPr>
            <w:tcW w:w="413" w:type="pct"/>
            <w:shd w:val="clear" w:color="000000" w:fill="99CCFF"/>
            <w:noWrap/>
            <w:textDirection w:val="btLr"/>
            <w:vAlign w:val="center"/>
          </w:tcPr>
          <w:p w14:paraId="6BA551DF" w14:textId="77777777" w:rsidR="001A5DAD" w:rsidRPr="001B4CA2" w:rsidRDefault="001A5DAD" w:rsidP="009A1E7E">
            <w:pPr>
              <w:ind w:left="113" w:right="113"/>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 xml:space="preserve">Primljeno </w:t>
            </w:r>
          </w:p>
        </w:tc>
        <w:tc>
          <w:tcPr>
            <w:tcW w:w="413" w:type="pct"/>
            <w:shd w:val="clear" w:color="000000" w:fill="99CCFF"/>
            <w:noWrap/>
            <w:textDirection w:val="btLr"/>
            <w:vAlign w:val="center"/>
          </w:tcPr>
          <w:p w14:paraId="4042CCD3" w14:textId="0D08CD59" w:rsidR="001A5DAD" w:rsidRPr="001B4CA2" w:rsidRDefault="001A5DAD" w:rsidP="009A1E7E">
            <w:pPr>
              <w:ind w:left="113" w:right="113"/>
              <w:jc w:val="left"/>
              <w:rPr>
                <w:rFonts w:asciiTheme="minorHAnsi" w:eastAsia="Times New Roman" w:hAnsiTheme="minorHAnsi" w:cstheme="minorHAnsi"/>
                <w:color w:val="000000"/>
                <w:sz w:val="18"/>
                <w:szCs w:val="18"/>
                <w:highlight w:val="yellow"/>
                <w:lang w:eastAsia="hr-HR"/>
              </w:rPr>
            </w:pPr>
            <w:r w:rsidRPr="001B4CA2">
              <w:rPr>
                <w:rFonts w:asciiTheme="minorHAnsi" w:eastAsia="Times New Roman" w:hAnsiTheme="minorHAnsi" w:cstheme="minorHAnsi"/>
                <w:color w:val="000000"/>
                <w:sz w:val="18"/>
                <w:szCs w:val="18"/>
                <w:lang w:eastAsia="hr-HR"/>
              </w:rPr>
              <w:t>Riješeno</w:t>
            </w:r>
            <w:r w:rsidR="001B4CA2">
              <w:rPr>
                <w:rFonts w:asciiTheme="minorHAnsi" w:eastAsia="Times New Roman" w:hAnsiTheme="minorHAnsi" w:cstheme="minorHAnsi"/>
                <w:color w:val="000000"/>
                <w:sz w:val="18"/>
                <w:szCs w:val="18"/>
                <w:lang w:eastAsia="hr-HR"/>
              </w:rPr>
              <w:t xml:space="preserve">  </w:t>
            </w:r>
            <w:r w:rsidR="008930E8" w:rsidRPr="001B4CA2">
              <w:rPr>
                <w:rFonts w:asciiTheme="minorHAnsi" w:eastAsia="Times New Roman" w:hAnsiTheme="minorHAnsi" w:cstheme="minorHAnsi"/>
                <w:color w:val="000000"/>
                <w:sz w:val="18"/>
                <w:szCs w:val="18"/>
                <w:lang w:eastAsia="hr-HR"/>
              </w:rPr>
              <w:t xml:space="preserve">   </w:t>
            </w:r>
          </w:p>
        </w:tc>
        <w:tc>
          <w:tcPr>
            <w:tcW w:w="413" w:type="pct"/>
            <w:shd w:val="clear" w:color="000000" w:fill="99CCFF"/>
            <w:noWrap/>
            <w:textDirection w:val="btLr"/>
            <w:vAlign w:val="center"/>
          </w:tcPr>
          <w:p w14:paraId="5DB89B62" w14:textId="77777777" w:rsidR="001A5DAD" w:rsidRPr="001B4CA2" w:rsidRDefault="001A5DAD" w:rsidP="009A1E7E">
            <w:pPr>
              <w:ind w:left="113" w:right="113"/>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 xml:space="preserve">Primljeno </w:t>
            </w:r>
          </w:p>
        </w:tc>
        <w:tc>
          <w:tcPr>
            <w:tcW w:w="413" w:type="pct"/>
            <w:shd w:val="clear" w:color="000000" w:fill="99CCFF"/>
            <w:noWrap/>
            <w:textDirection w:val="btLr"/>
            <w:vAlign w:val="center"/>
          </w:tcPr>
          <w:p w14:paraId="0E2DEB8D" w14:textId="77777777" w:rsidR="001A5DAD" w:rsidRPr="001B4CA2" w:rsidRDefault="001A5DAD" w:rsidP="009A1E7E">
            <w:pPr>
              <w:ind w:left="113" w:right="113"/>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Riješeno</w:t>
            </w:r>
          </w:p>
        </w:tc>
        <w:tc>
          <w:tcPr>
            <w:tcW w:w="430" w:type="pct"/>
            <w:shd w:val="clear" w:color="000000" w:fill="99CCFF"/>
            <w:noWrap/>
            <w:textDirection w:val="btLr"/>
            <w:vAlign w:val="center"/>
          </w:tcPr>
          <w:p w14:paraId="12B237BF" w14:textId="77777777" w:rsidR="001A5DAD" w:rsidRPr="001B4CA2" w:rsidRDefault="001A5DAD" w:rsidP="009A1E7E">
            <w:pPr>
              <w:ind w:left="113" w:right="113"/>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 xml:space="preserve">Primljeno </w:t>
            </w:r>
          </w:p>
        </w:tc>
        <w:tc>
          <w:tcPr>
            <w:tcW w:w="413" w:type="pct"/>
            <w:shd w:val="clear" w:color="000000" w:fill="99CCFF"/>
            <w:noWrap/>
            <w:textDirection w:val="btLr"/>
            <w:vAlign w:val="center"/>
          </w:tcPr>
          <w:p w14:paraId="5A1164B7" w14:textId="77777777" w:rsidR="001A5DAD" w:rsidRPr="001B4CA2" w:rsidRDefault="001A5DAD" w:rsidP="009A1E7E">
            <w:pPr>
              <w:ind w:left="113" w:right="113"/>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Riješeno</w:t>
            </w:r>
          </w:p>
        </w:tc>
        <w:tc>
          <w:tcPr>
            <w:tcW w:w="413" w:type="pct"/>
            <w:shd w:val="clear" w:color="000000" w:fill="99CCFF"/>
            <w:textDirection w:val="btLr"/>
            <w:vAlign w:val="center"/>
          </w:tcPr>
          <w:p w14:paraId="6851A183" w14:textId="77777777" w:rsidR="001A5DAD" w:rsidRPr="001B4CA2" w:rsidRDefault="001A5DAD" w:rsidP="009A1E7E">
            <w:pPr>
              <w:ind w:left="113" w:right="113"/>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 xml:space="preserve">Primljeno </w:t>
            </w:r>
          </w:p>
        </w:tc>
        <w:tc>
          <w:tcPr>
            <w:tcW w:w="413" w:type="pct"/>
            <w:shd w:val="clear" w:color="000000" w:fill="99CCFF"/>
            <w:textDirection w:val="btLr"/>
            <w:vAlign w:val="center"/>
          </w:tcPr>
          <w:p w14:paraId="1EAE010C" w14:textId="77777777" w:rsidR="001A5DAD" w:rsidRPr="001B4CA2" w:rsidRDefault="001A5DAD" w:rsidP="009A1E7E">
            <w:pPr>
              <w:ind w:left="113" w:right="113"/>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Riješeno</w:t>
            </w:r>
          </w:p>
        </w:tc>
        <w:tc>
          <w:tcPr>
            <w:tcW w:w="413" w:type="pct"/>
            <w:shd w:val="clear" w:color="000000" w:fill="99CCFF"/>
            <w:textDirection w:val="btLr"/>
            <w:vAlign w:val="center"/>
          </w:tcPr>
          <w:p w14:paraId="146AF6C3" w14:textId="77777777" w:rsidR="001A5DAD" w:rsidRPr="001B4CA2" w:rsidRDefault="001A5DAD" w:rsidP="009A1E7E">
            <w:pPr>
              <w:ind w:left="113" w:right="113"/>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 xml:space="preserve">Primljeno </w:t>
            </w:r>
          </w:p>
        </w:tc>
        <w:tc>
          <w:tcPr>
            <w:tcW w:w="442" w:type="pct"/>
            <w:shd w:val="clear" w:color="000000" w:fill="99CCFF"/>
            <w:textDirection w:val="btLr"/>
            <w:vAlign w:val="center"/>
          </w:tcPr>
          <w:p w14:paraId="668962AA" w14:textId="77777777" w:rsidR="001A5DAD" w:rsidRPr="001B4CA2" w:rsidRDefault="001A5DAD" w:rsidP="009A1E7E">
            <w:pPr>
              <w:ind w:left="113" w:right="113"/>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Riješeno</w:t>
            </w:r>
          </w:p>
        </w:tc>
      </w:tr>
      <w:tr w:rsidR="009A1E7E" w:rsidRPr="001B4CA2" w14:paraId="2F1A7E4E" w14:textId="77777777" w:rsidTr="009A1E7E">
        <w:trPr>
          <w:trHeight w:val="510"/>
          <w:jc w:val="center"/>
        </w:trPr>
        <w:tc>
          <w:tcPr>
            <w:tcW w:w="822" w:type="pct"/>
            <w:shd w:val="clear" w:color="auto" w:fill="auto"/>
            <w:vAlign w:val="center"/>
            <w:hideMark/>
          </w:tcPr>
          <w:p w14:paraId="3A5121F0" w14:textId="77777777" w:rsidR="001A5DAD" w:rsidRPr="001B4CA2" w:rsidRDefault="001A5DAD" w:rsidP="001A5DAD">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Izvanparnični predmeti</w:t>
            </w:r>
          </w:p>
        </w:tc>
        <w:tc>
          <w:tcPr>
            <w:tcW w:w="413" w:type="pct"/>
            <w:shd w:val="clear" w:color="auto" w:fill="auto"/>
            <w:noWrap/>
            <w:vAlign w:val="center"/>
          </w:tcPr>
          <w:p w14:paraId="558FC915"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17.001</w:t>
            </w:r>
          </w:p>
        </w:tc>
        <w:tc>
          <w:tcPr>
            <w:tcW w:w="413" w:type="pct"/>
            <w:shd w:val="clear" w:color="auto" w:fill="auto"/>
            <w:noWrap/>
            <w:vAlign w:val="center"/>
          </w:tcPr>
          <w:p w14:paraId="0821FCC1"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16.953</w:t>
            </w:r>
          </w:p>
        </w:tc>
        <w:tc>
          <w:tcPr>
            <w:tcW w:w="413" w:type="pct"/>
            <w:shd w:val="clear" w:color="auto" w:fill="auto"/>
            <w:noWrap/>
            <w:vAlign w:val="center"/>
          </w:tcPr>
          <w:p w14:paraId="1AEA2E97"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15.206</w:t>
            </w:r>
          </w:p>
        </w:tc>
        <w:tc>
          <w:tcPr>
            <w:tcW w:w="413" w:type="pct"/>
            <w:shd w:val="clear" w:color="auto" w:fill="auto"/>
            <w:noWrap/>
            <w:vAlign w:val="center"/>
          </w:tcPr>
          <w:p w14:paraId="250A0C5B"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15.153</w:t>
            </w:r>
          </w:p>
        </w:tc>
        <w:tc>
          <w:tcPr>
            <w:tcW w:w="430" w:type="pct"/>
            <w:shd w:val="clear" w:color="auto" w:fill="auto"/>
            <w:noWrap/>
            <w:vAlign w:val="center"/>
          </w:tcPr>
          <w:p w14:paraId="0D88CD10"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1.370</w:t>
            </w:r>
          </w:p>
        </w:tc>
        <w:tc>
          <w:tcPr>
            <w:tcW w:w="413" w:type="pct"/>
            <w:shd w:val="clear" w:color="auto" w:fill="auto"/>
            <w:noWrap/>
            <w:vAlign w:val="center"/>
          </w:tcPr>
          <w:p w14:paraId="542F95A9"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1.451</w:t>
            </w:r>
          </w:p>
        </w:tc>
        <w:tc>
          <w:tcPr>
            <w:tcW w:w="413" w:type="pct"/>
            <w:shd w:val="clear" w:color="auto" w:fill="auto"/>
            <w:noWrap/>
            <w:vAlign w:val="center"/>
          </w:tcPr>
          <w:p w14:paraId="408D4CBC"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997</w:t>
            </w:r>
          </w:p>
        </w:tc>
        <w:tc>
          <w:tcPr>
            <w:tcW w:w="413" w:type="pct"/>
            <w:shd w:val="clear" w:color="auto" w:fill="auto"/>
            <w:noWrap/>
            <w:vAlign w:val="center"/>
          </w:tcPr>
          <w:p w14:paraId="07C5A80F"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1.070</w:t>
            </w:r>
          </w:p>
        </w:tc>
        <w:tc>
          <w:tcPr>
            <w:tcW w:w="413" w:type="pct"/>
            <w:shd w:val="clear" w:color="auto" w:fill="auto"/>
            <w:vAlign w:val="center"/>
          </w:tcPr>
          <w:p w14:paraId="44CD002C"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878</w:t>
            </w:r>
          </w:p>
        </w:tc>
        <w:tc>
          <w:tcPr>
            <w:tcW w:w="442" w:type="pct"/>
            <w:shd w:val="clear" w:color="auto" w:fill="auto"/>
            <w:vAlign w:val="center"/>
          </w:tcPr>
          <w:p w14:paraId="078C5EB8"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914</w:t>
            </w:r>
          </w:p>
        </w:tc>
      </w:tr>
      <w:tr w:rsidR="009A1E7E" w:rsidRPr="001B4CA2" w14:paraId="00FFFF49" w14:textId="77777777" w:rsidTr="009A1E7E">
        <w:trPr>
          <w:trHeight w:val="510"/>
          <w:jc w:val="center"/>
        </w:trPr>
        <w:tc>
          <w:tcPr>
            <w:tcW w:w="822" w:type="pct"/>
            <w:shd w:val="clear" w:color="auto" w:fill="auto"/>
            <w:vAlign w:val="center"/>
            <w:hideMark/>
          </w:tcPr>
          <w:p w14:paraId="266C386D" w14:textId="77777777" w:rsidR="001A5DAD" w:rsidRPr="001B4CA2" w:rsidRDefault="001A5DAD" w:rsidP="001A5DAD">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Zemljišnoknjižni predmeti</w:t>
            </w:r>
          </w:p>
        </w:tc>
        <w:tc>
          <w:tcPr>
            <w:tcW w:w="413" w:type="pct"/>
            <w:shd w:val="clear" w:color="auto" w:fill="auto"/>
            <w:noWrap/>
            <w:vAlign w:val="center"/>
          </w:tcPr>
          <w:p w14:paraId="20BD6905"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3.791</w:t>
            </w:r>
          </w:p>
        </w:tc>
        <w:tc>
          <w:tcPr>
            <w:tcW w:w="413" w:type="pct"/>
            <w:shd w:val="clear" w:color="auto" w:fill="auto"/>
            <w:noWrap/>
            <w:vAlign w:val="center"/>
          </w:tcPr>
          <w:p w14:paraId="1D7299DE"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3.779</w:t>
            </w:r>
          </w:p>
        </w:tc>
        <w:tc>
          <w:tcPr>
            <w:tcW w:w="413" w:type="pct"/>
            <w:shd w:val="clear" w:color="auto" w:fill="auto"/>
            <w:noWrap/>
            <w:vAlign w:val="center"/>
          </w:tcPr>
          <w:p w14:paraId="5085A434"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6.993</w:t>
            </w:r>
          </w:p>
        </w:tc>
        <w:tc>
          <w:tcPr>
            <w:tcW w:w="413" w:type="pct"/>
            <w:shd w:val="clear" w:color="auto" w:fill="auto"/>
            <w:noWrap/>
            <w:vAlign w:val="center"/>
          </w:tcPr>
          <w:p w14:paraId="31F92E77"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6.893</w:t>
            </w:r>
          </w:p>
        </w:tc>
        <w:tc>
          <w:tcPr>
            <w:tcW w:w="430" w:type="pct"/>
            <w:shd w:val="clear" w:color="auto" w:fill="auto"/>
            <w:noWrap/>
            <w:vAlign w:val="center"/>
          </w:tcPr>
          <w:p w14:paraId="3F786153"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19.012</w:t>
            </w:r>
          </w:p>
        </w:tc>
        <w:tc>
          <w:tcPr>
            <w:tcW w:w="413" w:type="pct"/>
            <w:shd w:val="clear" w:color="auto" w:fill="auto"/>
            <w:noWrap/>
            <w:vAlign w:val="center"/>
          </w:tcPr>
          <w:p w14:paraId="083A7BAE"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19.484</w:t>
            </w:r>
          </w:p>
        </w:tc>
        <w:tc>
          <w:tcPr>
            <w:tcW w:w="413" w:type="pct"/>
            <w:shd w:val="clear" w:color="auto" w:fill="auto"/>
            <w:noWrap/>
            <w:vAlign w:val="center"/>
          </w:tcPr>
          <w:p w14:paraId="46A78379"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21.755</w:t>
            </w:r>
          </w:p>
        </w:tc>
        <w:tc>
          <w:tcPr>
            <w:tcW w:w="413" w:type="pct"/>
            <w:shd w:val="clear" w:color="auto" w:fill="auto"/>
            <w:noWrap/>
            <w:vAlign w:val="center"/>
          </w:tcPr>
          <w:p w14:paraId="236B9AD1"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22.114</w:t>
            </w:r>
          </w:p>
        </w:tc>
        <w:tc>
          <w:tcPr>
            <w:tcW w:w="413" w:type="pct"/>
            <w:shd w:val="clear" w:color="auto" w:fill="auto"/>
            <w:vAlign w:val="center"/>
          </w:tcPr>
          <w:p w14:paraId="721EFFF1"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19.596</w:t>
            </w:r>
          </w:p>
        </w:tc>
        <w:tc>
          <w:tcPr>
            <w:tcW w:w="442" w:type="pct"/>
            <w:shd w:val="clear" w:color="auto" w:fill="auto"/>
            <w:vAlign w:val="center"/>
          </w:tcPr>
          <w:p w14:paraId="2A4DAD59"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19.828</w:t>
            </w:r>
          </w:p>
        </w:tc>
      </w:tr>
      <w:tr w:rsidR="009A1E7E" w:rsidRPr="001B4CA2" w14:paraId="72AFA324" w14:textId="77777777" w:rsidTr="009A1E7E">
        <w:trPr>
          <w:trHeight w:val="510"/>
          <w:jc w:val="center"/>
        </w:trPr>
        <w:tc>
          <w:tcPr>
            <w:tcW w:w="822" w:type="pct"/>
            <w:shd w:val="clear" w:color="auto" w:fill="auto"/>
            <w:vAlign w:val="center"/>
            <w:hideMark/>
          </w:tcPr>
          <w:p w14:paraId="77F13FB9" w14:textId="77777777" w:rsidR="001A5DAD" w:rsidRPr="001B4CA2" w:rsidRDefault="001A5DAD" w:rsidP="001A5DAD">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 xml:space="preserve">Ukupno: </w:t>
            </w:r>
          </w:p>
        </w:tc>
        <w:tc>
          <w:tcPr>
            <w:tcW w:w="413" w:type="pct"/>
            <w:shd w:val="clear" w:color="auto" w:fill="auto"/>
            <w:noWrap/>
            <w:vAlign w:val="center"/>
          </w:tcPr>
          <w:p w14:paraId="7D26A2DA" w14:textId="77777777" w:rsidR="001A5DAD" w:rsidRPr="001B4CA2" w:rsidRDefault="001A5DAD" w:rsidP="001A5DAD">
            <w:pPr>
              <w:jc w:val="center"/>
              <w:rPr>
                <w:rFonts w:eastAsia="Times New Roman"/>
                <w:b/>
                <w:color w:val="000000"/>
                <w:sz w:val="18"/>
                <w:szCs w:val="18"/>
                <w:lang w:eastAsia="hr-HR"/>
              </w:rPr>
            </w:pPr>
            <w:r w:rsidRPr="001B4CA2">
              <w:rPr>
                <w:rFonts w:eastAsia="Times New Roman"/>
                <w:b/>
                <w:color w:val="000000"/>
                <w:sz w:val="18"/>
                <w:szCs w:val="18"/>
                <w:lang w:eastAsia="hr-HR"/>
              </w:rPr>
              <w:t>20.792</w:t>
            </w:r>
          </w:p>
        </w:tc>
        <w:tc>
          <w:tcPr>
            <w:tcW w:w="413" w:type="pct"/>
            <w:shd w:val="clear" w:color="auto" w:fill="auto"/>
            <w:noWrap/>
            <w:vAlign w:val="center"/>
          </w:tcPr>
          <w:p w14:paraId="4E427A4F" w14:textId="77777777" w:rsidR="001A5DAD" w:rsidRPr="001B4CA2" w:rsidRDefault="001A5DAD" w:rsidP="001A5DAD">
            <w:pPr>
              <w:jc w:val="center"/>
              <w:rPr>
                <w:rFonts w:eastAsia="Times New Roman"/>
                <w:b/>
                <w:color w:val="000000"/>
                <w:sz w:val="18"/>
                <w:szCs w:val="18"/>
                <w:lang w:eastAsia="hr-HR"/>
              </w:rPr>
            </w:pPr>
            <w:r w:rsidRPr="001B4CA2">
              <w:rPr>
                <w:rFonts w:eastAsia="Times New Roman"/>
                <w:b/>
                <w:color w:val="000000"/>
                <w:sz w:val="18"/>
                <w:szCs w:val="18"/>
                <w:lang w:eastAsia="hr-HR"/>
              </w:rPr>
              <w:t>20.732</w:t>
            </w:r>
          </w:p>
        </w:tc>
        <w:tc>
          <w:tcPr>
            <w:tcW w:w="413" w:type="pct"/>
            <w:shd w:val="clear" w:color="auto" w:fill="auto"/>
            <w:noWrap/>
            <w:vAlign w:val="center"/>
          </w:tcPr>
          <w:p w14:paraId="675AFEF1" w14:textId="77777777" w:rsidR="001A5DAD" w:rsidRPr="001B4CA2" w:rsidRDefault="001A5DAD" w:rsidP="001A5DAD">
            <w:pPr>
              <w:jc w:val="center"/>
              <w:rPr>
                <w:rFonts w:eastAsia="Times New Roman"/>
                <w:b/>
                <w:color w:val="000000"/>
                <w:sz w:val="18"/>
                <w:szCs w:val="18"/>
                <w:lang w:eastAsia="hr-HR"/>
              </w:rPr>
            </w:pPr>
            <w:r w:rsidRPr="001B4CA2">
              <w:rPr>
                <w:rFonts w:eastAsia="Times New Roman"/>
                <w:b/>
                <w:color w:val="000000"/>
                <w:sz w:val="18"/>
                <w:szCs w:val="18"/>
                <w:lang w:eastAsia="hr-HR"/>
              </w:rPr>
              <w:t>22.199</w:t>
            </w:r>
          </w:p>
        </w:tc>
        <w:tc>
          <w:tcPr>
            <w:tcW w:w="413" w:type="pct"/>
            <w:shd w:val="clear" w:color="auto" w:fill="auto"/>
            <w:noWrap/>
            <w:vAlign w:val="center"/>
          </w:tcPr>
          <w:p w14:paraId="28F34004" w14:textId="77777777" w:rsidR="001A5DAD" w:rsidRPr="001B4CA2" w:rsidRDefault="001A5DAD" w:rsidP="001A5DAD">
            <w:pPr>
              <w:jc w:val="center"/>
              <w:rPr>
                <w:rFonts w:eastAsia="Times New Roman"/>
                <w:b/>
                <w:color w:val="000000"/>
                <w:sz w:val="18"/>
                <w:szCs w:val="18"/>
                <w:lang w:eastAsia="hr-HR"/>
              </w:rPr>
            </w:pPr>
            <w:r w:rsidRPr="001B4CA2">
              <w:rPr>
                <w:rFonts w:eastAsia="Times New Roman"/>
                <w:b/>
                <w:color w:val="000000"/>
                <w:sz w:val="18"/>
                <w:szCs w:val="18"/>
                <w:lang w:eastAsia="hr-HR"/>
              </w:rPr>
              <w:t>22.046</w:t>
            </w:r>
          </w:p>
        </w:tc>
        <w:tc>
          <w:tcPr>
            <w:tcW w:w="430" w:type="pct"/>
            <w:shd w:val="clear" w:color="auto" w:fill="auto"/>
            <w:noWrap/>
            <w:vAlign w:val="center"/>
          </w:tcPr>
          <w:p w14:paraId="16EB927A" w14:textId="77777777" w:rsidR="001A5DAD" w:rsidRPr="001B4CA2" w:rsidRDefault="001A5DAD" w:rsidP="001A5DAD">
            <w:pPr>
              <w:jc w:val="center"/>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20.382</w:t>
            </w:r>
          </w:p>
        </w:tc>
        <w:tc>
          <w:tcPr>
            <w:tcW w:w="413" w:type="pct"/>
            <w:shd w:val="clear" w:color="auto" w:fill="auto"/>
            <w:noWrap/>
            <w:vAlign w:val="center"/>
          </w:tcPr>
          <w:p w14:paraId="665F0E90" w14:textId="77777777" w:rsidR="001A5DAD" w:rsidRPr="001B4CA2" w:rsidRDefault="001A5DAD" w:rsidP="001A5DAD">
            <w:pPr>
              <w:jc w:val="center"/>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20.935</w:t>
            </w:r>
          </w:p>
        </w:tc>
        <w:tc>
          <w:tcPr>
            <w:tcW w:w="413" w:type="pct"/>
            <w:shd w:val="clear" w:color="auto" w:fill="auto"/>
            <w:noWrap/>
            <w:vAlign w:val="center"/>
          </w:tcPr>
          <w:p w14:paraId="67BE85A6" w14:textId="77777777" w:rsidR="001A5DAD" w:rsidRPr="001B4CA2" w:rsidRDefault="001A5DAD" w:rsidP="001A5DAD">
            <w:pPr>
              <w:jc w:val="center"/>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22.752</w:t>
            </w:r>
          </w:p>
        </w:tc>
        <w:tc>
          <w:tcPr>
            <w:tcW w:w="413" w:type="pct"/>
            <w:shd w:val="clear" w:color="auto" w:fill="auto"/>
            <w:noWrap/>
            <w:vAlign w:val="center"/>
          </w:tcPr>
          <w:p w14:paraId="131A1B42" w14:textId="77777777" w:rsidR="001A5DAD" w:rsidRPr="001B4CA2" w:rsidRDefault="001A5DAD" w:rsidP="001A5DAD">
            <w:pPr>
              <w:jc w:val="center"/>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23.184</w:t>
            </w:r>
          </w:p>
        </w:tc>
        <w:tc>
          <w:tcPr>
            <w:tcW w:w="413" w:type="pct"/>
            <w:shd w:val="clear" w:color="auto" w:fill="auto"/>
            <w:vAlign w:val="center"/>
          </w:tcPr>
          <w:p w14:paraId="6B94604E" w14:textId="77777777" w:rsidR="001A5DAD" w:rsidRPr="001B4CA2" w:rsidRDefault="001A5DAD" w:rsidP="001A5DAD">
            <w:pPr>
              <w:jc w:val="center"/>
              <w:rPr>
                <w:rFonts w:asciiTheme="minorHAnsi" w:eastAsia="Times New Roman" w:hAnsiTheme="minorHAnsi" w:cstheme="minorHAnsi"/>
                <w:b/>
                <w:color w:val="000000"/>
                <w:sz w:val="18"/>
                <w:szCs w:val="18"/>
                <w:lang w:eastAsia="hr-HR"/>
              </w:rPr>
            </w:pPr>
          </w:p>
          <w:p w14:paraId="363F8C6B" w14:textId="77777777" w:rsidR="001A5DAD" w:rsidRPr="001B4CA2" w:rsidRDefault="001A5DAD" w:rsidP="001A5DAD">
            <w:pPr>
              <w:jc w:val="center"/>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20.474</w:t>
            </w:r>
          </w:p>
          <w:p w14:paraId="3EFAB6EB" w14:textId="77777777" w:rsidR="001A5DAD" w:rsidRPr="001B4CA2" w:rsidRDefault="001A5DAD" w:rsidP="001A5DAD">
            <w:pPr>
              <w:jc w:val="center"/>
              <w:rPr>
                <w:rFonts w:asciiTheme="minorHAnsi" w:eastAsia="Times New Roman" w:hAnsiTheme="minorHAnsi" w:cstheme="minorHAnsi"/>
                <w:b/>
                <w:color w:val="000000"/>
                <w:sz w:val="18"/>
                <w:szCs w:val="18"/>
                <w:lang w:eastAsia="hr-HR"/>
              </w:rPr>
            </w:pPr>
          </w:p>
        </w:tc>
        <w:tc>
          <w:tcPr>
            <w:tcW w:w="442" w:type="pct"/>
            <w:shd w:val="clear" w:color="auto" w:fill="auto"/>
            <w:vAlign w:val="center"/>
          </w:tcPr>
          <w:p w14:paraId="33482B3D" w14:textId="77777777" w:rsidR="001A5DAD" w:rsidRPr="001B4CA2" w:rsidRDefault="001A5DAD" w:rsidP="001A5DAD">
            <w:pPr>
              <w:jc w:val="center"/>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20.742</w:t>
            </w:r>
          </w:p>
        </w:tc>
      </w:tr>
    </w:tbl>
    <w:p w14:paraId="57129011" w14:textId="77777777" w:rsidR="001A5DAD" w:rsidRPr="001B4CA2" w:rsidRDefault="001A5DAD" w:rsidP="001A5DAD">
      <w:pPr>
        <w:rPr>
          <w:sz w:val="20"/>
          <w:szCs w:val="20"/>
        </w:rPr>
      </w:pPr>
    </w:p>
    <w:p w14:paraId="7E2DBCE8" w14:textId="77777777" w:rsidR="001A5DAD" w:rsidRPr="001B4CA2" w:rsidRDefault="001A5DAD" w:rsidP="001A5DAD">
      <w:pPr>
        <w:ind w:left="568"/>
        <w:rPr>
          <w:sz w:val="20"/>
          <w:szCs w:val="20"/>
        </w:rPr>
      </w:pPr>
      <w:r w:rsidRPr="001B4CA2">
        <w:rPr>
          <w:sz w:val="20"/>
          <w:szCs w:val="20"/>
        </w:rPr>
        <w:t>*U 2020. godini promijenjen je način iskazivanja izvanparničnih predmeta tako da se sada posebno iskazuju izvanparnični, a posebno zemljišnoknjižni predmeti. U prethodnim godinama zemljišnoknjižni predmeti bili su uključeni u ukupan broj izvanparničnih predmeta.</w:t>
      </w:r>
    </w:p>
    <w:p w14:paraId="3BB4FD3A" w14:textId="77777777" w:rsidR="001A5DAD" w:rsidRPr="001B4CA2" w:rsidRDefault="001A5DAD" w:rsidP="001A5DAD">
      <w:pPr>
        <w:ind w:left="568"/>
        <w:rPr>
          <w:sz w:val="20"/>
          <w:szCs w:val="20"/>
        </w:rPr>
      </w:pPr>
    </w:p>
    <w:p w14:paraId="2963781B" w14:textId="0A0841B5" w:rsidR="001A5DAD" w:rsidRPr="001B4CA2" w:rsidRDefault="001A5DAD" w:rsidP="001A5DAD">
      <w:pPr>
        <w:tabs>
          <w:tab w:val="left" w:pos="709"/>
        </w:tabs>
        <w:rPr>
          <w:szCs w:val="22"/>
        </w:rPr>
      </w:pPr>
      <w:r w:rsidRPr="001B4CA2">
        <w:rPr>
          <w:szCs w:val="22"/>
        </w:rPr>
        <w:tab/>
        <w:t>U 2022. godini primljeno je 878 izvanparničnih i 19</w:t>
      </w:r>
      <w:r w:rsidR="00840C0E">
        <w:rPr>
          <w:szCs w:val="22"/>
        </w:rPr>
        <w:t>.</w:t>
      </w:r>
      <w:r w:rsidRPr="001B4CA2">
        <w:rPr>
          <w:szCs w:val="22"/>
        </w:rPr>
        <w:t xml:space="preserve">596 zemljišnoknjižnih predmeta, što je neznatno smanjenje u odnosu na 2021. godinu. </w:t>
      </w:r>
    </w:p>
    <w:p w14:paraId="68037C12" w14:textId="77777777" w:rsidR="001A5DAD" w:rsidRPr="001B4CA2" w:rsidRDefault="001A5DAD" w:rsidP="001A5DAD">
      <w:pPr>
        <w:tabs>
          <w:tab w:val="left" w:pos="709"/>
        </w:tabs>
        <w:rPr>
          <w:szCs w:val="22"/>
        </w:rPr>
      </w:pPr>
    </w:p>
    <w:p w14:paraId="68BBBDB1" w14:textId="51DE27CB" w:rsidR="001A5DAD" w:rsidRPr="001B4CA2" w:rsidRDefault="001A5DAD" w:rsidP="001A5DAD">
      <w:pPr>
        <w:tabs>
          <w:tab w:val="left" w:pos="709"/>
        </w:tabs>
        <w:rPr>
          <w:szCs w:val="22"/>
        </w:rPr>
      </w:pPr>
      <w:r w:rsidRPr="001B4CA2">
        <w:rPr>
          <w:szCs w:val="22"/>
        </w:rPr>
        <w:tab/>
        <w:t xml:space="preserve">Izvanparnični predmeti najvećim </w:t>
      </w:r>
      <w:r w:rsidR="00840C0E" w:rsidRPr="001B4CA2">
        <w:rPr>
          <w:szCs w:val="22"/>
        </w:rPr>
        <w:t xml:space="preserve">su se </w:t>
      </w:r>
      <w:r w:rsidRPr="001B4CA2">
        <w:rPr>
          <w:szCs w:val="22"/>
        </w:rPr>
        <w:t>dijelom odnos</w:t>
      </w:r>
      <w:r w:rsidR="009E6D91" w:rsidRPr="001B4CA2">
        <w:rPr>
          <w:szCs w:val="22"/>
        </w:rPr>
        <w:t xml:space="preserve">ili </w:t>
      </w:r>
      <w:r w:rsidRPr="001B4CA2">
        <w:rPr>
          <w:szCs w:val="22"/>
        </w:rPr>
        <w:t>na postupke osiguranja dokaza, proglašenja nestalih osoba umrlim, razvrgnuća suvlasničke zajednice i ostale postupke.</w:t>
      </w:r>
    </w:p>
    <w:p w14:paraId="05691282" w14:textId="77777777" w:rsidR="001A5DAD" w:rsidRPr="001B4CA2" w:rsidRDefault="001A5DAD" w:rsidP="001A5DAD">
      <w:pPr>
        <w:tabs>
          <w:tab w:val="left" w:pos="851"/>
        </w:tabs>
        <w:rPr>
          <w:szCs w:val="22"/>
        </w:rPr>
      </w:pPr>
    </w:p>
    <w:p w14:paraId="4DAE639B" w14:textId="75642F24" w:rsidR="00FC59DA" w:rsidRPr="001B4CA2" w:rsidRDefault="001A5DAD" w:rsidP="001A5DAD">
      <w:pPr>
        <w:rPr>
          <w:rFonts w:asciiTheme="minorHAnsi" w:hAnsiTheme="minorHAnsi"/>
          <w:szCs w:val="22"/>
        </w:rPr>
      </w:pPr>
      <w:r w:rsidRPr="001B4CA2">
        <w:rPr>
          <w:rFonts w:asciiTheme="minorHAnsi" w:hAnsiTheme="minorHAnsi"/>
          <w:szCs w:val="22"/>
        </w:rPr>
        <w:tab/>
        <w:t xml:space="preserve">Zemljišnoknjižni predmeti najvećim </w:t>
      </w:r>
      <w:r w:rsidR="009E6D91" w:rsidRPr="001B4CA2">
        <w:rPr>
          <w:rFonts w:asciiTheme="minorHAnsi" w:hAnsiTheme="minorHAnsi"/>
          <w:szCs w:val="22"/>
        </w:rPr>
        <w:t xml:space="preserve">su </w:t>
      </w:r>
      <w:r w:rsidRPr="001B4CA2">
        <w:rPr>
          <w:rFonts w:asciiTheme="minorHAnsi" w:hAnsiTheme="minorHAnsi"/>
          <w:szCs w:val="22"/>
        </w:rPr>
        <w:t xml:space="preserve">se </w:t>
      </w:r>
      <w:r w:rsidR="00840C0E" w:rsidRPr="001B4CA2">
        <w:rPr>
          <w:rFonts w:asciiTheme="minorHAnsi" w:hAnsiTheme="minorHAnsi"/>
          <w:szCs w:val="22"/>
        </w:rPr>
        <w:t xml:space="preserve">dijelom </w:t>
      </w:r>
      <w:r w:rsidRPr="001B4CA2">
        <w:rPr>
          <w:rFonts w:asciiTheme="minorHAnsi" w:hAnsiTheme="minorHAnsi"/>
          <w:szCs w:val="22"/>
        </w:rPr>
        <w:t>odnos</w:t>
      </w:r>
      <w:r w:rsidR="009E6D91" w:rsidRPr="001B4CA2">
        <w:rPr>
          <w:rFonts w:asciiTheme="minorHAnsi" w:hAnsiTheme="minorHAnsi"/>
          <w:szCs w:val="22"/>
        </w:rPr>
        <w:t>ili</w:t>
      </w:r>
      <w:r w:rsidRPr="001B4CA2">
        <w:rPr>
          <w:rFonts w:asciiTheme="minorHAnsi" w:hAnsiTheme="minorHAnsi"/>
          <w:szCs w:val="22"/>
        </w:rPr>
        <w:t xml:space="preserve"> na postupke obnove i osnivanja zemljišne knjige, upisa ili brisanja raznih zabilježbi, zemljišnoknjižne ispravne postupke, uknjižbu javnog dobra – vlasništvo Republike Hrvatske, te uknjižbu vlasništva Republike Hrvatske.</w:t>
      </w:r>
    </w:p>
    <w:p w14:paraId="38F9663D" w14:textId="52D40435" w:rsidR="00847ED1" w:rsidRPr="001B4CA2" w:rsidRDefault="00847ED1" w:rsidP="001A5DAD">
      <w:pPr>
        <w:rPr>
          <w:rFonts w:asciiTheme="minorHAnsi" w:hAnsiTheme="minorHAnsi"/>
          <w:szCs w:val="22"/>
        </w:rPr>
      </w:pPr>
    </w:p>
    <w:p w14:paraId="2AB248C3" w14:textId="149E1CB6" w:rsidR="00847ED1" w:rsidRPr="001B4CA2" w:rsidRDefault="00847ED1" w:rsidP="001A5DAD">
      <w:pPr>
        <w:rPr>
          <w:rFonts w:asciiTheme="minorHAnsi" w:hAnsiTheme="minorHAnsi"/>
          <w:szCs w:val="22"/>
        </w:rPr>
      </w:pPr>
    </w:p>
    <w:p w14:paraId="10C02A9E" w14:textId="372FA13A" w:rsidR="00847ED1" w:rsidRPr="001B4CA2" w:rsidRDefault="00847ED1" w:rsidP="001A5DAD">
      <w:pPr>
        <w:rPr>
          <w:rFonts w:asciiTheme="minorHAnsi" w:hAnsiTheme="minorHAnsi"/>
          <w:szCs w:val="22"/>
        </w:rPr>
      </w:pPr>
    </w:p>
    <w:p w14:paraId="3948FFE5" w14:textId="408DB528" w:rsidR="00847ED1" w:rsidRPr="001B4CA2" w:rsidRDefault="00847ED1" w:rsidP="001A5DAD">
      <w:pPr>
        <w:rPr>
          <w:rFonts w:asciiTheme="minorHAnsi" w:hAnsiTheme="minorHAnsi"/>
          <w:szCs w:val="22"/>
        </w:rPr>
      </w:pPr>
    </w:p>
    <w:p w14:paraId="176B8584" w14:textId="12EDE575" w:rsidR="00847ED1" w:rsidRPr="001B4CA2" w:rsidRDefault="00847ED1" w:rsidP="001A5DAD">
      <w:pPr>
        <w:rPr>
          <w:rFonts w:asciiTheme="minorHAnsi" w:hAnsiTheme="minorHAnsi"/>
          <w:szCs w:val="22"/>
        </w:rPr>
      </w:pPr>
    </w:p>
    <w:p w14:paraId="4B887E70" w14:textId="4E676CB9" w:rsidR="00847ED1" w:rsidRPr="001B4CA2" w:rsidRDefault="00847ED1" w:rsidP="001A5DAD">
      <w:pPr>
        <w:rPr>
          <w:rFonts w:asciiTheme="minorHAnsi" w:hAnsiTheme="minorHAnsi"/>
          <w:szCs w:val="22"/>
        </w:rPr>
      </w:pPr>
    </w:p>
    <w:p w14:paraId="70C2CD78" w14:textId="7C5173BE" w:rsidR="00847ED1" w:rsidRPr="001B4CA2" w:rsidRDefault="00847ED1" w:rsidP="001A5DAD">
      <w:pPr>
        <w:rPr>
          <w:rFonts w:asciiTheme="minorHAnsi" w:hAnsiTheme="minorHAnsi"/>
          <w:szCs w:val="22"/>
        </w:rPr>
      </w:pPr>
    </w:p>
    <w:p w14:paraId="5BD249AA" w14:textId="2D60F286" w:rsidR="00847ED1" w:rsidRPr="001B4CA2" w:rsidRDefault="00847ED1" w:rsidP="001A5DAD">
      <w:pPr>
        <w:rPr>
          <w:rFonts w:asciiTheme="minorHAnsi" w:hAnsiTheme="minorHAnsi"/>
          <w:szCs w:val="22"/>
        </w:rPr>
      </w:pPr>
    </w:p>
    <w:p w14:paraId="7B44CA81" w14:textId="1919B02D" w:rsidR="00847ED1" w:rsidRPr="001B4CA2" w:rsidRDefault="00847ED1" w:rsidP="001A5DAD">
      <w:pPr>
        <w:rPr>
          <w:rFonts w:asciiTheme="minorHAnsi" w:hAnsiTheme="minorHAnsi"/>
          <w:szCs w:val="22"/>
        </w:rPr>
      </w:pPr>
    </w:p>
    <w:p w14:paraId="098864D3" w14:textId="5090A827" w:rsidR="00847ED1" w:rsidRPr="001B4CA2" w:rsidRDefault="00847ED1" w:rsidP="001A5DAD">
      <w:pPr>
        <w:rPr>
          <w:rFonts w:asciiTheme="minorHAnsi" w:hAnsiTheme="minorHAnsi"/>
          <w:szCs w:val="22"/>
        </w:rPr>
      </w:pPr>
    </w:p>
    <w:p w14:paraId="588FAE2B" w14:textId="1B1984D6" w:rsidR="00847ED1" w:rsidRPr="001B4CA2" w:rsidRDefault="00847ED1" w:rsidP="001A5DAD">
      <w:pPr>
        <w:rPr>
          <w:rFonts w:asciiTheme="minorHAnsi" w:hAnsiTheme="minorHAnsi"/>
          <w:szCs w:val="22"/>
        </w:rPr>
      </w:pPr>
    </w:p>
    <w:p w14:paraId="3D09B7B8" w14:textId="38D9ED9A" w:rsidR="00847ED1" w:rsidRPr="001B4CA2" w:rsidRDefault="00847ED1" w:rsidP="001A5DAD">
      <w:pPr>
        <w:rPr>
          <w:rFonts w:asciiTheme="minorHAnsi" w:hAnsiTheme="minorHAnsi"/>
          <w:szCs w:val="22"/>
        </w:rPr>
      </w:pPr>
    </w:p>
    <w:p w14:paraId="1B7D0C08" w14:textId="77777777" w:rsidR="00847ED1" w:rsidRPr="001B4CA2" w:rsidRDefault="00847ED1" w:rsidP="001A5DAD">
      <w:pPr>
        <w:rPr>
          <w:rFonts w:asciiTheme="minorHAnsi" w:hAnsiTheme="minorHAnsi"/>
          <w:szCs w:val="22"/>
        </w:rPr>
      </w:pPr>
    </w:p>
    <w:p w14:paraId="34499CAD" w14:textId="77777777" w:rsidR="001A5DAD" w:rsidRPr="001B4CA2" w:rsidRDefault="001A5DAD" w:rsidP="001A5DAD"/>
    <w:p w14:paraId="49CD817D" w14:textId="607DD976" w:rsidR="00712389" w:rsidRPr="001B4CA2" w:rsidRDefault="00CE234E" w:rsidP="008930E8">
      <w:pPr>
        <w:pStyle w:val="Naslov4"/>
        <w:tabs>
          <w:tab w:val="left" w:pos="993"/>
          <w:tab w:val="left" w:pos="1276"/>
        </w:tabs>
        <w:rPr>
          <w:rFonts w:ascii="Arial" w:hAnsi="Arial" w:cs="Arial"/>
        </w:rPr>
      </w:pPr>
      <w:bookmarkStart w:id="70" w:name="_Toc133394330"/>
      <w:r w:rsidRPr="001B4CA2">
        <w:rPr>
          <w:rFonts w:ascii="Arial" w:hAnsi="Arial" w:cs="Arial"/>
        </w:rPr>
        <w:lastRenderedPageBreak/>
        <w:t xml:space="preserve">Odluke u </w:t>
      </w:r>
      <w:r w:rsidR="00C81134" w:rsidRPr="001B4CA2">
        <w:rPr>
          <w:rFonts w:ascii="Arial" w:hAnsi="Arial" w:cs="Arial"/>
        </w:rPr>
        <w:t>ovršnim</w:t>
      </w:r>
      <w:r w:rsidRPr="001B4CA2">
        <w:rPr>
          <w:rFonts w:ascii="Arial" w:hAnsi="Arial" w:cs="Arial"/>
        </w:rPr>
        <w:t xml:space="preserve"> predmetima</w:t>
      </w:r>
      <w:bookmarkEnd w:id="70"/>
    </w:p>
    <w:p w14:paraId="6BED80B5" w14:textId="77777777" w:rsidR="00712389" w:rsidRPr="001B4CA2" w:rsidRDefault="00712389" w:rsidP="00210AD0"/>
    <w:p w14:paraId="625EAB13" w14:textId="7E8F787F" w:rsidR="001A5DAD" w:rsidRPr="001B4CA2" w:rsidRDefault="001A5DAD" w:rsidP="009A1E7E">
      <w:pPr>
        <w:pStyle w:val="Odlomakpopisa"/>
        <w:numPr>
          <w:ilvl w:val="0"/>
          <w:numId w:val="38"/>
        </w:numPr>
        <w:jc w:val="left"/>
        <w:rPr>
          <w:rFonts w:asciiTheme="minorHAnsi" w:hAnsiTheme="minorHAnsi" w:cstheme="minorBidi"/>
          <w:i/>
          <w:szCs w:val="22"/>
        </w:rPr>
      </w:pPr>
      <w:r w:rsidRPr="001B4CA2">
        <w:rPr>
          <w:rFonts w:asciiTheme="minorHAnsi" w:hAnsiTheme="minorHAnsi" w:cstheme="minorBidi"/>
          <w:i/>
          <w:szCs w:val="22"/>
        </w:rPr>
        <w:t>Ovršni predmeti</w:t>
      </w:r>
      <w:r w:rsidR="001B4CA2">
        <w:rPr>
          <w:rFonts w:asciiTheme="minorHAnsi" w:hAnsiTheme="minorHAnsi" w:cstheme="minorBidi"/>
          <w:i/>
          <w:szCs w:val="22"/>
        </w:rPr>
        <w:t xml:space="preserve"> </w:t>
      </w:r>
      <w:r w:rsidRPr="001B4CA2">
        <w:rPr>
          <w:rFonts w:asciiTheme="minorHAnsi" w:hAnsiTheme="minorHAnsi" w:cstheme="minorBidi"/>
          <w:i/>
          <w:szCs w:val="22"/>
        </w:rPr>
        <w:t xml:space="preserve">2020.-2022. </w:t>
      </w:r>
    </w:p>
    <w:tbl>
      <w:tblPr>
        <w:tblStyle w:val="Reetkatablice1"/>
        <w:tblW w:w="9072" w:type="dxa"/>
        <w:jc w:val="center"/>
        <w:tblLook w:val="04A0" w:firstRow="1" w:lastRow="0" w:firstColumn="1" w:lastColumn="0" w:noHBand="0" w:noVBand="1"/>
      </w:tblPr>
      <w:tblGrid>
        <w:gridCol w:w="667"/>
        <w:gridCol w:w="854"/>
        <w:gridCol w:w="767"/>
        <w:gridCol w:w="678"/>
        <w:gridCol w:w="533"/>
        <w:gridCol w:w="703"/>
        <w:gridCol w:w="526"/>
        <w:gridCol w:w="672"/>
        <w:gridCol w:w="6"/>
        <w:gridCol w:w="767"/>
        <w:gridCol w:w="767"/>
        <w:gridCol w:w="771"/>
        <w:gridCol w:w="712"/>
        <w:gridCol w:w="649"/>
      </w:tblGrid>
      <w:tr w:rsidR="001A5DAD" w:rsidRPr="001B4CA2" w14:paraId="217B50D6" w14:textId="77777777" w:rsidTr="009A1E7E">
        <w:trPr>
          <w:trHeight w:val="668"/>
          <w:jc w:val="center"/>
        </w:trPr>
        <w:tc>
          <w:tcPr>
            <w:tcW w:w="382" w:type="dxa"/>
            <w:vMerge w:val="restart"/>
            <w:shd w:val="clear" w:color="auto" w:fill="99CCFF"/>
            <w:noWrap/>
            <w:textDirection w:val="btLr"/>
            <w:vAlign w:val="center"/>
            <w:hideMark/>
          </w:tcPr>
          <w:p w14:paraId="64D5D7A9" w14:textId="0B0A05D5" w:rsidR="001A5DAD" w:rsidRPr="001B4CA2" w:rsidRDefault="001B4CA2" w:rsidP="001A5DAD">
            <w:pPr>
              <w:rPr>
                <w:rFonts w:asciiTheme="minorHAnsi" w:hAnsiTheme="minorHAnsi" w:cstheme="minorHAnsi"/>
                <w:b/>
                <w:sz w:val="18"/>
                <w:szCs w:val="18"/>
              </w:rPr>
            </w:pPr>
            <w:r>
              <w:rPr>
                <w:rFonts w:asciiTheme="minorHAnsi" w:hAnsiTheme="minorHAnsi" w:cstheme="minorHAnsi"/>
                <w:b/>
                <w:sz w:val="18"/>
                <w:szCs w:val="18"/>
              </w:rPr>
              <w:t xml:space="preserve"> </w:t>
            </w:r>
            <w:r w:rsidR="001A5DAD" w:rsidRPr="001B4CA2">
              <w:rPr>
                <w:rFonts w:asciiTheme="minorHAnsi" w:hAnsiTheme="minorHAnsi" w:cstheme="minorHAnsi"/>
                <w:b/>
                <w:sz w:val="18"/>
                <w:szCs w:val="18"/>
              </w:rPr>
              <w:t>Godina</w:t>
            </w:r>
          </w:p>
        </w:tc>
        <w:tc>
          <w:tcPr>
            <w:tcW w:w="854" w:type="dxa"/>
            <w:vMerge w:val="restart"/>
            <w:shd w:val="clear" w:color="auto" w:fill="99CCFF"/>
            <w:noWrap/>
            <w:textDirection w:val="btLr"/>
            <w:vAlign w:val="center"/>
            <w:hideMark/>
          </w:tcPr>
          <w:p w14:paraId="7ABF4D7A" w14:textId="67C47AF1" w:rsidR="001A5DAD" w:rsidRPr="001B4CA2" w:rsidRDefault="001B4CA2" w:rsidP="001A5DAD">
            <w:pPr>
              <w:rPr>
                <w:rFonts w:asciiTheme="minorHAnsi" w:hAnsiTheme="minorHAnsi" w:cstheme="minorHAnsi"/>
                <w:b/>
                <w:bCs/>
                <w:sz w:val="18"/>
                <w:szCs w:val="18"/>
              </w:rPr>
            </w:pPr>
            <w:r>
              <w:rPr>
                <w:rFonts w:asciiTheme="minorHAnsi" w:hAnsiTheme="minorHAnsi" w:cstheme="minorHAnsi"/>
                <w:b/>
                <w:bCs/>
                <w:sz w:val="18"/>
                <w:szCs w:val="18"/>
              </w:rPr>
              <w:t xml:space="preserve"> </w:t>
            </w:r>
            <w:r w:rsidR="001A5DAD" w:rsidRPr="001B4CA2">
              <w:rPr>
                <w:rFonts w:asciiTheme="minorHAnsi" w:hAnsiTheme="minorHAnsi" w:cstheme="minorHAnsi"/>
                <w:b/>
                <w:bCs/>
                <w:sz w:val="18"/>
                <w:szCs w:val="18"/>
              </w:rPr>
              <w:t>Ostalo u radu u DO-u</w:t>
            </w:r>
          </w:p>
        </w:tc>
        <w:tc>
          <w:tcPr>
            <w:tcW w:w="4933" w:type="dxa"/>
            <w:gridSpan w:val="8"/>
            <w:tcBorders>
              <w:bottom w:val="single" w:sz="4" w:space="0" w:color="auto"/>
            </w:tcBorders>
            <w:shd w:val="clear" w:color="auto" w:fill="99CCFF"/>
            <w:vAlign w:val="center"/>
          </w:tcPr>
          <w:p w14:paraId="180C2E6B" w14:textId="77777777" w:rsidR="001A5DAD" w:rsidRPr="001B4CA2" w:rsidRDefault="001A5DAD" w:rsidP="001A5DAD">
            <w:pPr>
              <w:jc w:val="center"/>
              <w:rPr>
                <w:rFonts w:asciiTheme="minorHAnsi" w:hAnsiTheme="minorHAnsi" w:cstheme="minorHAnsi"/>
                <w:b/>
                <w:bCs/>
                <w:sz w:val="18"/>
                <w:szCs w:val="18"/>
              </w:rPr>
            </w:pPr>
            <w:r w:rsidRPr="001B4CA2">
              <w:rPr>
                <w:rFonts w:asciiTheme="minorHAnsi" w:hAnsiTheme="minorHAnsi" w:cstheme="minorHAnsi"/>
                <w:b/>
                <w:bCs/>
                <w:sz w:val="18"/>
                <w:szCs w:val="18"/>
              </w:rPr>
              <w:t>Primljeno</w:t>
            </w:r>
          </w:p>
          <w:p w14:paraId="265D8455" w14:textId="77777777" w:rsidR="001A5DAD" w:rsidRPr="001B4CA2" w:rsidRDefault="001A5DAD" w:rsidP="001A5DAD">
            <w:pPr>
              <w:jc w:val="center"/>
              <w:rPr>
                <w:rFonts w:asciiTheme="minorHAnsi" w:hAnsiTheme="minorHAnsi" w:cstheme="minorHAnsi"/>
                <w:b/>
                <w:bCs/>
                <w:sz w:val="18"/>
                <w:szCs w:val="18"/>
              </w:rPr>
            </w:pPr>
            <w:r w:rsidRPr="001B4CA2">
              <w:rPr>
                <w:rFonts w:asciiTheme="minorHAnsi" w:hAnsiTheme="minorHAnsi" w:cstheme="minorHAnsi"/>
                <w:b/>
                <w:bCs/>
                <w:sz w:val="18"/>
                <w:szCs w:val="18"/>
              </w:rPr>
              <w:t>novih predmeta</w:t>
            </w:r>
          </w:p>
        </w:tc>
        <w:tc>
          <w:tcPr>
            <w:tcW w:w="767" w:type="dxa"/>
            <w:vMerge w:val="restart"/>
            <w:tcBorders>
              <w:bottom w:val="single" w:sz="4" w:space="0" w:color="auto"/>
            </w:tcBorders>
            <w:shd w:val="clear" w:color="auto" w:fill="99CCFF"/>
            <w:noWrap/>
            <w:textDirection w:val="btLr"/>
            <w:vAlign w:val="center"/>
            <w:hideMark/>
          </w:tcPr>
          <w:p w14:paraId="6CAA72F7" w14:textId="4FBF9DA9" w:rsidR="001A5DAD" w:rsidRPr="001B4CA2" w:rsidRDefault="001B4CA2" w:rsidP="001A5DAD">
            <w:pPr>
              <w:rPr>
                <w:rFonts w:asciiTheme="minorHAnsi" w:hAnsiTheme="minorHAnsi" w:cstheme="minorHAnsi"/>
                <w:b/>
                <w:bCs/>
                <w:sz w:val="18"/>
                <w:szCs w:val="18"/>
              </w:rPr>
            </w:pPr>
            <w:r>
              <w:rPr>
                <w:rFonts w:asciiTheme="minorHAnsi" w:hAnsiTheme="minorHAnsi" w:cstheme="minorHAnsi"/>
                <w:b/>
                <w:bCs/>
                <w:sz w:val="18"/>
                <w:szCs w:val="18"/>
              </w:rPr>
              <w:t xml:space="preserve"> </w:t>
            </w:r>
            <w:r w:rsidR="001A5DAD" w:rsidRPr="001B4CA2">
              <w:rPr>
                <w:rFonts w:asciiTheme="minorHAnsi" w:hAnsiTheme="minorHAnsi" w:cstheme="minorHAnsi"/>
                <w:b/>
                <w:bCs/>
                <w:sz w:val="18"/>
                <w:szCs w:val="18"/>
              </w:rPr>
              <w:t>Ukupno u radu</w:t>
            </w:r>
          </w:p>
        </w:tc>
        <w:tc>
          <w:tcPr>
            <w:tcW w:w="775" w:type="dxa"/>
            <w:vMerge w:val="restart"/>
            <w:tcBorders>
              <w:bottom w:val="single" w:sz="4" w:space="0" w:color="auto"/>
            </w:tcBorders>
            <w:shd w:val="clear" w:color="auto" w:fill="99CCFF"/>
            <w:textDirection w:val="btLr"/>
            <w:vAlign w:val="center"/>
          </w:tcPr>
          <w:p w14:paraId="62094F83" w14:textId="5B845BE1" w:rsidR="001A5DAD" w:rsidRPr="001B4CA2" w:rsidRDefault="001B4CA2" w:rsidP="001A5DAD">
            <w:pPr>
              <w:rPr>
                <w:rFonts w:asciiTheme="minorHAnsi" w:hAnsiTheme="minorHAnsi" w:cstheme="minorHAnsi"/>
                <w:b/>
                <w:sz w:val="18"/>
                <w:szCs w:val="18"/>
              </w:rPr>
            </w:pPr>
            <w:r>
              <w:rPr>
                <w:rFonts w:asciiTheme="minorHAnsi" w:hAnsiTheme="minorHAnsi" w:cstheme="minorHAnsi"/>
                <w:b/>
                <w:sz w:val="18"/>
                <w:szCs w:val="18"/>
              </w:rPr>
              <w:t xml:space="preserve"> </w:t>
            </w:r>
            <w:r w:rsidR="001A5DAD" w:rsidRPr="001B4CA2">
              <w:rPr>
                <w:rFonts w:asciiTheme="minorHAnsi" w:hAnsiTheme="minorHAnsi" w:cstheme="minorHAnsi"/>
                <w:b/>
                <w:sz w:val="18"/>
                <w:szCs w:val="18"/>
              </w:rPr>
              <w:t>Ukupno donesenih odluka</w:t>
            </w:r>
          </w:p>
        </w:tc>
        <w:tc>
          <w:tcPr>
            <w:tcW w:w="712" w:type="dxa"/>
            <w:vMerge w:val="restart"/>
            <w:tcBorders>
              <w:bottom w:val="single" w:sz="4" w:space="0" w:color="auto"/>
            </w:tcBorders>
            <w:shd w:val="clear" w:color="auto" w:fill="99CCFF"/>
            <w:noWrap/>
            <w:textDirection w:val="btLr"/>
            <w:vAlign w:val="center"/>
            <w:hideMark/>
          </w:tcPr>
          <w:p w14:paraId="1A3C3014" w14:textId="5DDBC659" w:rsidR="001A5DAD" w:rsidRPr="001B4CA2" w:rsidRDefault="001B4CA2" w:rsidP="001A5DAD">
            <w:pPr>
              <w:rPr>
                <w:rFonts w:asciiTheme="minorHAnsi" w:hAnsiTheme="minorHAnsi" w:cstheme="minorHAnsi"/>
                <w:b/>
                <w:sz w:val="18"/>
                <w:szCs w:val="18"/>
              </w:rPr>
            </w:pPr>
            <w:r>
              <w:rPr>
                <w:rFonts w:asciiTheme="minorHAnsi" w:hAnsiTheme="minorHAnsi" w:cstheme="minorHAnsi"/>
                <w:b/>
                <w:sz w:val="18"/>
                <w:szCs w:val="18"/>
              </w:rPr>
              <w:t xml:space="preserve"> </w:t>
            </w:r>
            <w:r w:rsidR="001A5DAD" w:rsidRPr="001B4CA2">
              <w:rPr>
                <w:rFonts w:asciiTheme="minorHAnsi" w:hAnsiTheme="minorHAnsi" w:cstheme="minorHAnsi"/>
                <w:b/>
                <w:sz w:val="18"/>
                <w:szCs w:val="18"/>
              </w:rPr>
              <w:t>Rasprave</w:t>
            </w:r>
          </w:p>
        </w:tc>
        <w:tc>
          <w:tcPr>
            <w:tcW w:w="649" w:type="dxa"/>
            <w:vMerge w:val="restart"/>
            <w:tcBorders>
              <w:bottom w:val="single" w:sz="4" w:space="0" w:color="auto"/>
            </w:tcBorders>
            <w:shd w:val="clear" w:color="auto" w:fill="99CCFF"/>
            <w:noWrap/>
            <w:textDirection w:val="btLr"/>
            <w:vAlign w:val="center"/>
            <w:hideMark/>
          </w:tcPr>
          <w:p w14:paraId="120D40CA" w14:textId="044DC5D5" w:rsidR="001A5DAD" w:rsidRPr="001B4CA2" w:rsidRDefault="001B4CA2" w:rsidP="001A5DAD">
            <w:pPr>
              <w:rPr>
                <w:rFonts w:asciiTheme="minorHAnsi" w:hAnsiTheme="minorHAnsi" w:cstheme="minorHAnsi"/>
                <w:b/>
                <w:sz w:val="18"/>
                <w:szCs w:val="18"/>
              </w:rPr>
            </w:pPr>
            <w:r>
              <w:rPr>
                <w:rFonts w:asciiTheme="minorHAnsi" w:hAnsiTheme="minorHAnsi" w:cstheme="minorHAnsi"/>
                <w:b/>
                <w:sz w:val="18"/>
                <w:szCs w:val="18"/>
              </w:rPr>
              <w:t xml:space="preserve"> </w:t>
            </w:r>
            <w:r w:rsidR="001A5DAD" w:rsidRPr="001B4CA2">
              <w:rPr>
                <w:rFonts w:asciiTheme="minorHAnsi" w:hAnsiTheme="minorHAnsi" w:cstheme="minorHAnsi"/>
                <w:b/>
                <w:sz w:val="18"/>
                <w:szCs w:val="18"/>
              </w:rPr>
              <w:t>Pravni lijekovi DO</w:t>
            </w:r>
          </w:p>
        </w:tc>
      </w:tr>
      <w:tr w:rsidR="001A5DAD" w:rsidRPr="001B4CA2" w14:paraId="0FD43656" w14:textId="77777777" w:rsidTr="009A1E7E">
        <w:trPr>
          <w:cantSplit/>
          <w:trHeight w:val="2282"/>
          <w:jc w:val="center"/>
        </w:trPr>
        <w:tc>
          <w:tcPr>
            <w:tcW w:w="382" w:type="dxa"/>
            <w:vMerge/>
            <w:vAlign w:val="center"/>
            <w:hideMark/>
          </w:tcPr>
          <w:p w14:paraId="12D8F836" w14:textId="77777777" w:rsidR="001A5DAD" w:rsidRPr="001B4CA2" w:rsidRDefault="001A5DAD" w:rsidP="001A5DAD">
            <w:pPr>
              <w:rPr>
                <w:rFonts w:asciiTheme="minorHAnsi" w:hAnsiTheme="minorHAnsi" w:cstheme="minorHAnsi"/>
                <w:sz w:val="18"/>
                <w:szCs w:val="18"/>
              </w:rPr>
            </w:pPr>
          </w:p>
        </w:tc>
        <w:tc>
          <w:tcPr>
            <w:tcW w:w="854" w:type="dxa"/>
            <w:vMerge/>
            <w:vAlign w:val="center"/>
            <w:hideMark/>
          </w:tcPr>
          <w:p w14:paraId="28B6FA9F" w14:textId="77777777" w:rsidR="001A5DAD" w:rsidRPr="001B4CA2" w:rsidRDefault="001A5DAD" w:rsidP="001A5DAD">
            <w:pPr>
              <w:rPr>
                <w:rFonts w:asciiTheme="minorHAnsi" w:hAnsiTheme="minorHAnsi" w:cstheme="minorHAnsi"/>
                <w:b/>
                <w:bCs/>
                <w:sz w:val="18"/>
                <w:szCs w:val="18"/>
              </w:rPr>
            </w:pPr>
          </w:p>
        </w:tc>
        <w:tc>
          <w:tcPr>
            <w:tcW w:w="767" w:type="dxa"/>
            <w:tcBorders>
              <w:bottom w:val="single" w:sz="4" w:space="0" w:color="auto"/>
            </w:tcBorders>
            <w:shd w:val="clear" w:color="auto" w:fill="99CCFF"/>
            <w:textDirection w:val="btLr"/>
            <w:vAlign w:val="center"/>
          </w:tcPr>
          <w:p w14:paraId="0EB978C9" w14:textId="77777777" w:rsidR="001A5DAD" w:rsidRPr="001B4CA2" w:rsidRDefault="001A5DAD" w:rsidP="001A5DAD">
            <w:pPr>
              <w:ind w:left="113" w:right="113"/>
              <w:jc w:val="left"/>
              <w:rPr>
                <w:rFonts w:asciiTheme="minorHAnsi" w:hAnsiTheme="minorHAnsi" w:cstheme="minorHAnsi"/>
                <w:b/>
                <w:bCs/>
                <w:sz w:val="18"/>
                <w:szCs w:val="18"/>
              </w:rPr>
            </w:pPr>
            <w:r w:rsidRPr="001B4CA2">
              <w:rPr>
                <w:rFonts w:asciiTheme="minorHAnsi" w:hAnsiTheme="minorHAnsi" w:cstheme="minorHAnsi"/>
                <w:b/>
                <w:bCs/>
                <w:sz w:val="18"/>
                <w:szCs w:val="18"/>
              </w:rPr>
              <w:t xml:space="preserve">Zahtjev za izravnu naplatu </w:t>
            </w:r>
            <w:r w:rsidRPr="001B4CA2">
              <w:rPr>
                <w:rFonts w:asciiTheme="minorHAnsi" w:hAnsiTheme="minorHAnsi" w:cstheme="minorHAnsi"/>
                <w:b/>
                <w:bCs/>
                <w:sz w:val="18"/>
                <w:szCs w:val="18"/>
              </w:rPr>
              <w:tab/>
            </w:r>
          </w:p>
        </w:tc>
        <w:tc>
          <w:tcPr>
            <w:tcW w:w="691" w:type="dxa"/>
            <w:tcBorders>
              <w:bottom w:val="single" w:sz="4" w:space="0" w:color="auto"/>
            </w:tcBorders>
            <w:shd w:val="clear" w:color="auto" w:fill="99CCFF"/>
            <w:textDirection w:val="btLr"/>
            <w:vAlign w:val="center"/>
          </w:tcPr>
          <w:p w14:paraId="7C5B7462" w14:textId="77777777" w:rsidR="001A5DAD" w:rsidRPr="001B4CA2" w:rsidRDefault="001A5DAD" w:rsidP="001A5DAD">
            <w:pPr>
              <w:ind w:left="113" w:right="113"/>
              <w:jc w:val="left"/>
              <w:rPr>
                <w:rFonts w:asciiTheme="minorHAnsi" w:hAnsiTheme="minorHAnsi" w:cstheme="minorHAnsi"/>
                <w:b/>
                <w:bCs/>
                <w:sz w:val="18"/>
                <w:szCs w:val="18"/>
              </w:rPr>
            </w:pPr>
            <w:r w:rsidRPr="001B4CA2">
              <w:rPr>
                <w:rFonts w:asciiTheme="minorHAnsi" w:hAnsiTheme="minorHAnsi" w:cstheme="minorHAnsi"/>
                <w:b/>
                <w:bCs/>
                <w:sz w:val="18"/>
                <w:szCs w:val="18"/>
              </w:rPr>
              <w:t>Ovrha novčane tražbine</w:t>
            </w:r>
          </w:p>
        </w:tc>
        <w:tc>
          <w:tcPr>
            <w:tcW w:w="644" w:type="dxa"/>
            <w:tcBorders>
              <w:bottom w:val="single" w:sz="4" w:space="0" w:color="auto"/>
            </w:tcBorders>
            <w:shd w:val="clear" w:color="auto" w:fill="99CCFF"/>
            <w:textDirection w:val="btLr"/>
            <w:vAlign w:val="center"/>
          </w:tcPr>
          <w:p w14:paraId="5B8CCABC" w14:textId="77777777" w:rsidR="001A5DAD" w:rsidRPr="001B4CA2" w:rsidRDefault="001A5DAD" w:rsidP="001A5DAD">
            <w:pPr>
              <w:ind w:left="113" w:right="113"/>
              <w:jc w:val="left"/>
              <w:rPr>
                <w:rFonts w:asciiTheme="minorHAnsi" w:hAnsiTheme="minorHAnsi" w:cstheme="minorHAnsi"/>
                <w:b/>
                <w:bCs/>
                <w:sz w:val="18"/>
                <w:szCs w:val="18"/>
              </w:rPr>
            </w:pPr>
            <w:r w:rsidRPr="001B4CA2">
              <w:rPr>
                <w:rFonts w:asciiTheme="minorHAnsi" w:hAnsiTheme="minorHAnsi" w:cstheme="minorHAnsi"/>
                <w:b/>
                <w:bCs/>
                <w:sz w:val="18"/>
                <w:szCs w:val="18"/>
              </w:rPr>
              <w:t>Ovrha nenovčane tražbine</w:t>
            </w:r>
          </w:p>
        </w:tc>
        <w:tc>
          <w:tcPr>
            <w:tcW w:w="743" w:type="dxa"/>
            <w:tcBorders>
              <w:bottom w:val="single" w:sz="4" w:space="0" w:color="auto"/>
            </w:tcBorders>
            <w:shd w:val="clear" w:color="auto" w:fill="99CCFF"/>
            <w:textDirection w:val="btLr"/>
            <w:vAlign w:val="center"/>
          </w:tcPr>
          <w:p w14:paraId="434A874E" w14:textId="77777777" w:rsidR="001A5DAD" w:rsidRPr="001B4CA2" w:rsidRDefault="001A5DAD" w:rsidP="001A5DAD">
            <w:pPr>
              <w:ind w:left="113" w:right="113"/>
              <w:jc w:val="left"/>
              <w:rPr>
                <w:rFonts w:asciiTheme="minorHAnsi" w:hAnsiTheme="minorHAnsi" w:cstheme="minorHAnsi"/>
                <w:b/>
                <w:bCs/>
                <w:sz w:val="18"/>
                <w:szCs w:val="18"/>
              </w:rPr>
            </w:pPr>
            <w:r w:rsidRPr="001B4CA2">
              <w:rPr>
                <w:rFonts w:asciiTheme="minorHAnsi" w:hAnsiTheme="minorHAnsi" w:cstheme="minorHAnsi"/>
                <w:b/>
                <w:bCs/>
                <w:sz w:val="18"/>
                <w:szCs w:val="18"/>
              </w:rPr>
              <w:t>Osiguranje tražbine</w:t>
            </w:r>
          </w:p>
        </w:tc>
        <w:tc>
          <w:tcPr>
            <w:tcW w:w="630" w:type="dxa"/>
            <w:tcBorders>
              <w:bottom w:val="single" w:sz="4" w:space="0" w:color="auto"/>
            </w:tcBorders>
            <w:shd w:val="clear" w:color="auto" w:fill="99CCFF"/>
            <w:textDirection w:val="btLr"/>
            <w:vAlign w:val="center"/>
          </w:tcPr>
          <w:p w14:paraId="1D35A297" w14:textId="77777777" w:rsidR="001A5DAD" w:rsidRPr="001B4CA2" w:rsidRDefault="001A5DAD" w:rsidP="001A5DAD">
            <w:pPr>
              <w:ind w:left="113" w:right="113"/>
              <w:jc w:val="left"/>
              <w:rPr>
                <w:rFonts w:asciiTheme="minorHAnsi" w:hAnsiTheme="minorHAnsi" w:cstheme="minorHAnsi"/>
                <w:b/>
                <w:bCs/>
                <w:sz w:val="18"/>
                <w:szCs w:val="18"/>
              </w:rPr>
            </w:pPr>
            <w:r w:rsidRPr="001B4CA2">
              <w:rPr>
                <w:rFonts w:asciiTheme="minorHAnsi" w:hAnsiTheme="minorHAnsi" w:cstheme="minorHAnsi"/>
                <w:b/>
                <w:bCs/>
                <w:sz w:val="18"/>
                <w:szCs w:val="18"/>
              </w:rPr>
              <w:t>Europski ovršni nalog</w:t>
            </w:r>
          </w:p>
        </w:tc>
        <w:tc>
          <w:tcPr>
            <w:tcW w:w="684" w:type="dxa"/>
            <w:tcBorders>
              <w:bottom w:val="single" w:sz="4" w:space="0" w:color="auto"/>
            </w:tcBorders>
            <w:shd w:val="clear" w:color="auto" w:fill="99CCFF"/>
            <w:textDirection w:val="btLr"/>
            <w:vAlign w:val="center"/>
          </w:tcPr>
          <w:p w14:paraId="2DAB39DF" w14:textId="77777777" w:rsidR="001A5DAD" w:rsidRPr="001B4CA2" w:rsidRDefault="001A5DAD" w:rsidP="001A5DAD">
            <w:pPr>
              <w:ind w:left="113" w:right="113"/>
              <w:jc w:val="left"/>
              <w:rPr>
                <w:rFonts w:asciiTheme="minorHAnsi" w:hAnsiTheme="minorHAnsi" w:cstheme="minorHAnsi"/>
                <w:b/>
                <w:bCs/>
                <w:sz w:val="18"/>
                <w:szCs w:val="18"/>
              </w:rPr>
            </w:pPr>
            <w:r w:rsidRPr="001B4CA2">
              <w:rPr>
                <w:rFonts w:asciiTheme="minorHAnsi" w:hAnsiTheme="minorHAnsi" w:cstheme="minorHAnsi"/>
                <w:b/>
                <w:bCs/>
                <w:sz w:val="18"/>
                <w:szCs w:val="18"/>
              </w:rPr>
              <w:t>Ostalo</w:t>
            </w:r>
          </w:p>
        </w:tc>
        <w:tc>
          <w:tcPr>
            <w:tcW w:w="774" w:type="dxa"/>
            <w:gridSpan w:val="2"/>
            <w:tcBorders>
              <w:bottom w:val="single" w:sz="4" w:space="0" w:color="auto"/>
            </w:tcBorders>
            <w:shd w:val="clear" w:color="auto" w:fill="99CCFF"/>
            <w:textDirection w:val="btLr"/>
            <w:vAlign w:val="center"/>
          </w:tcPr>
          <w:p w14:paraId="1CD7F0A3" w14:textId="77777777" w:rsidR="001A5DAD" w:rsidRPr="001B4CA2" w:rsidRDefault="001A5DAD" w:rsidP="001A5DAD">
            <w:pPr>
              <w:ind w:left="113" w:right="113"/>
              <w:jc w:val="left"/>
              <w:rPr>
                <w:rFonts w:asciiTheme="minorHAnsi" w:hAnsiTheme="minorHAnsi" w:cstheme="minorHAnsi"/>
                <w:b/>
                <w:bCs/>
                <w:sz w:val="18"/>
                <w:szCs w:val="18"/>
              </w:rPr>
            </w:pPr>
            <w:r w:rsidRPr="001B4CA2">
              <w:rPr>
                <w:rFonts w:asciiTheme="minorHAnsi" w:hAnsiTheme="minorHAnsi" w:cstheme="minorHAnsi"/>
                <w:b/>
                <w:bCs/>
                <w:sz w:val="18"/>
                <w:szCs w:val="18"/>
              </w:rPr>
              <w:t>Ukupno primljeno</w:t>
            </w:r>
          </w:p>
        </w:tc>
        <w:tc>
          <w:tcPr>
            <w:tcW w:w="767" w:type="dxa"/>
            <w:vMerge/>
            <w:tcBorders>
              <w:bottom w:val="single" w:sz="4" w:space="0" w:color="auto"/>
            </w:tcBorders>
            <w:vAlign w:val="center"/>
            <w:hideMark/>
          </w:tcPr>
          <w:p w14:paraId="233761C7" w14:textId="77777777" w:rsidR="001A5DAD" w:rsidRPr="001B4CA2" w:rsidRDefault="001A5DAD" w:rsidP="001A5DAD">
            <w:pPr>
              <w:rPr>
                <w:rFonts w:asciiTheme="minorHAnsi" w:hAnsiTheme="minorHAnsi" w:cstheme="minorHAnsi"/>
                <w:b/>
                <w:bCs/>
                <w:sz w:val="18"/>
                <w:szCs w:val="18"/>
              </w:rPr>
            </w:pPr>
          </w:p>
        </w:tc>
        <w:tc>
          <w:tcPr>
            <w:tcW w:w="775" w:type="dxa"/>
            <w:vMerge/>
            <w:tcBorders>
              <w:bottom w:val="single" w:sz="4" w:space="0" w:color="auto"/>
            </w:tcBorders>
            <w:vAlign w:val="center"/>
          </w:tcPr>
          <w:p w14:paraId="1EAECA7D" w14:textId="77777777" w:rsidR="001A5DAD" w:rsidRPr="001B4CA2" w:rsidRDefault="001A5DAD" w:rsidP="001A5DAD">
            <w:pPr>
              <w:rPr>
                <w:rFonts w:asciiTheme="minorHAnsi" w:hAnsiTheme="minorHAnsi" w:cstheme="minorHAnsi"/>
                <w:b/>
                <w:sz w:val="18"/>
                <w:szCs w:val="18"/>
              </w:rPr>
            </w:pPr>
          </w:p>
        </w:tc>
        <w:tc>
          <w:tcPr>
            <w:tcW w:w="712" w:type="dxa"/>
            <w:vMerge/>
            <w:tcBorders>
              <w:bottom w:val="single" w:sz="4" w:space="0" w:color="auto"/>
            </w:tcBorders>
            <w:vAlign w:val="center"/>
            <w:hideMark/>
          </w:tcPr>
          <w:p w14:paraId="329AE3EB" w14:textId="77777777" w:rsidR="001A5DAD" w:rsidRPr="001B4CA2" w:rsidRDefault="001A5DAD" w:rsidP="001A5DAD">
            <w:pPr>
              <w:rPr>
                <w:rFonts w:asciiTheme="minorHAnsi" w:hAnsiTheme="minorHAnsi" w:cstheme="minorHAnsi"/>
                <w:sz w:val="18"/>
                <w:szCs w:val="18"/>
              </w:rPr>
            </w:pPr>
          </w:p>
        </w:tc>
        <w:tc>
          <w:tcPr>
            <w:tcW w:w="649" w:type="dxa"/>
            <w:vMerge/>
            <w:tcBorders>
              <w:bottom w:val="single" w:sz="4" w:space="0" w:color="auto"/>
            </w:tcBorders>
            <w:vAlign w:val="center"/>
            <w:hideMark/>
          </w:tcPr>
          <w:p w14:paraId="7B268549" w14:textId="77777777" w:rsidR="001A5DAD" w:rsidRPr="001B4CA2" w:rsidRDefault="001A5DAD" w:rsidP="001A5DAD">
            <w:pPr>
              <w:rPr>
                <w:rFonts w:asciiTheme="minorHAnsi" w:hAnsiTheme="minorHAnsi" w:cstheme="minorHAnsi"/>
                <w:sz w:val="18"/>
                <w:szCs w:val="18"/>
              </w:rPr>
            </w:pPr>
          </w:p>
        </w:tc>
      </w:tr>
      <w:tr w:rsidR="001A5DAD" w:rsidRPr="001B4CA2" w14:paraId="480DD9A5" w14:textId="77777777" w:rsidTr="009A1E7E">
        <w:trPr>
          <w:trHeight w:val="510"/>
          <w:jc w:val="center"/>
        </w:trPr>
        <w:tc>
          <w:tcPr>
            <w:tcW w:w="382" w:type="dxa"/>
            <w:vAlign w:val="center"/>
            <w:hideMark/>
          </w:tcPr>
          <w:p w14:paraId="5B353B9C"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2020.</w:t>
            </w:r>
          </w:p>
        </w:tc>
        <w:tc>
          <w:tcPr>
            <w:tcW w:w="854" w:type="dxa"/>
            <w:noWrap/>
            <w:vAlign w:val="center"/>
          </w:tcPr>
          <w:p w14:paraId="243CBC9F" w14:textId="77777777" w:rsidR="001A5DAD" w:rsidRPr="001B4CA2" w:rsidRDefault="001A5DAD" w:rsidP="001A5DAD">
            <w:pPr>
              <w:jc w:val="center"/>
              <w:rPr>
                <w:rFonts w:asciiTheme="minorHAnsi" w:hAnsiTheme="minorHAnsi" w:cstheme="minorHAnsi"/>
                <w:bCs/>
                <w:sz w:val="18"/>
                <w:szCs w:val="18"/>
              </w:rPr>
            </w:pPr>
            <w:r w:rsidRPr="001B4CA2">
              <w:rPr>
                <w:rFonts w:asciiTheme="minorHAnsi" w:hAnsiTheme="minorHAnsi" w:cstheme="minorHAnsi"/>
                <w:bCs/>
                <w:sz w:val="18"/>
                <w:szCs w:val="18"/>
              </w:rPr>
              <w:t>927</w:t>
            </w:r>
          </w:p>
        </w:tc>
        <w:tc>
          <w:tcPr>
            <w:tcW w:w="767" w:type="dxa"/>
            <w:tcBorders>
              <w:top w:val="single" w:sz="4" w:space="0" w:color="auto"/>
              <w:bottom w:val="single" w:sz="4" w:space="0" w:color="auto"/>
              <w:right w:val="single" w:sz="4" w:space="0" w:color="auto"/>
            </w:tcBorders>
            <w:vAlign w:val="center"/>
          </w:tcPr>
          <w:p w14:paraId="491CD749" w14:textId="77777777" w:rsidR="001A5DAD" w:rsidRPr="001B4CA2" w:rsidRDefault="001A5DAD" w:rsidP="001A5DAD">
            <w:pPr>
              <w:jc w:val="center"/>
              <w:rPr>
                <w:rFonts w:asciiTheme="minorHAnsi" w:hAnsiTheme="minorHAnsi" w:cstheme="minorHAnsi"/>
                <w:bCs/>
                <w:sz w:val="18"/>
                <w:szCs w:val="18"/>
              </w:rPr>
            </w:pPr>
            <w:r w:rsidRPr="001B4CA2">
              <w:rPr>
                <w:rFonts w:asciiTheme="minorHAnsi" w:hAnsiTheme="minorHAnsi" w:cstheme="minorHAnsi"/>
                <w:bCs/>
                <w:sz w:val="18"/>
                <w:szCs w:val="18"/>
              </w:rPr>
              <w:t>13.359</w:t>
            </w:r>
          </w:p>
        </w:tc>
        <w:tc>
          <w:tcPr>
            <w:tcW w:w="691" w:type="dxa"/>
            <w:tcBorders>
              <w:top w:val="single" w:sz="4" w:space="0" w:color="auto"/>
              <w:left w:val="single" w:sz="4" w:space="0" w:color="auto"/>
              <w:bottom w:val="single" w:sz="4" w:space="0" w:color="auto"/>
              <w:right w:val="single" w:sz="4" w:space="0" w:color="auto"/>
            </w:tcBorders>
            <w:vAlign w:val="center"/>
          </w:tcPr>
          <w:p w14:paraId="727BD5D8" w14:textId="77777777" w:rsidR="001A5DAD" w:rsidRPr="001B4CA2" w:rsidRDefault="001A5DAD" w:rsidP="001A5DAD">
            <w:pPr>
              <w:jc w:val="center"/>
              <w:rPr>
                <w:rFonts w:asciiTheme="minorHAnsi" w:hAnsiTheme="minorHAnsi" w:cstheme="minorHAnsi"/>
                <w:bCs/>
                <w:sz w:val="18"/>
                <w:szCs w:val="18"/>
              </w:rPr>
            </w:pPr>
            <w:r w:rsidRPr="001B4CA2">
              <w:rPr>
                <w:rFonts w:asciiTheme="minorHAnsi" w:hAnsiTheme="minorHAnsi" w:cstheme="minorHAnsi"/>
                <w:bCs/>
                <w:sz w:val="18"/>
                <w:szCs w:val="18"/>
              </w:rPr>
              <w:t>2.814</w:t>
            </w:r>
          </w:p>
        </w:tc>
        <w:tc>
          <w:tcPr>
            <w:tcW w:w="644" w:type="dxa"/>
            <w:tcBorders>
              <w:top w:val="single" w:sz="4" w:space="0" w:color="auto"/>
              <w:left w:val="single" w:sz="4" w:space="0" w:color="auto"/>
              <w:bottom w:val="single" w:sz="4" w:space="0" w:color="auto"/>
              <w:right w:val="single" w:sz="4" w:space="0" w:color="auto"/>
            </w:tcBorders>
            <w:vAlign w:val="center"/>
          </w:tcPr>
          <w:p w14:paraId="13C7C6DE" w14:textId="77777777" w:rsidR="001A5DAD" w:rsidRPr="001B4CA2" w:rsidRDefault="001A5DAD" w:rsidP="001A5DAD">
            <w:pPr>
              <w:jc w:val="center"/>
              <w:rPr>
                <w:rFonts w:asciiTheme="minorHAnsi" w:hAnsiTheme="minorHAnsi" w:cstheme="minorHAnsi"/>
                <w:bCs/>
                <w:sz w:val="18"/>
                <w:szCs w:val="18"/>
              </w:rPr>
            </w:pPr>
            <w:r w:rsidRPr="001B4CA2">
              <w:rPr>
                <w:rFonts w:asciiTheme="minorHAnsi" w:hAnsiTheme="minorHAnsi" w:cstheme="minorHAnsi"/>
                <w:bCs/>
                <w:sz w:val="18"/>
                <w:szCs w:val="18"/>
              </w:rPr>
              <w:t>64</w:t>
            </w:r>
          </w:p>
        </w:tc>
        <w:tc>
          <w:tcPr>
            <w:tcW w:w="743" w:type="dxa"/>
            <w:tcBorders>
              <w:top w:val="single" w:sz="4" w:space="0" w:color="auto"/>
              <w:left w:val="single" w:sz="4" w:space="0" w:color="auto"/>
              <w:bottom w:val="single" w:sz="4" w:space="0" w:color="auto"/>
              <w:right w:val="single" w:sz="4" w:space="0" w:color="auto"/>
            </w:tcBorders>
            <w:vAlign w:val="center"/>
          </w:tcPr>
          <w:p w14:paraId="7224EED0" w14:textId="77777777" w:rsidR="001A5DAD" w:rsidRPr="001B4CA2" w:rsidRDefault="001A5DAD" w:rsidP="001A5DAD">
            <w:pPr>
              <w:jc w:val="center"/>
              <w:rPr>
                <w:rFonts w:asciiTheme="minorHAnsi" w:hAnsiTheme="minorHAnsi" w:cstheme="minorHAnsi"/>
                <w:bCs/>
                <w:sz w:val="18"/>
                <w:szCs w:val="18"/>
              </w:rPr>
            </w:pPr>
            <w:r w:rsidRPr="001B4CA2">
              <w:rPr>
                <w:rFonts w:asciiTheme="minorHAnsi" w:hAnsiTheme="minorHAnsi" w:cstheme="minorHAnsi"/>
                <w:bCs/>
                <w:sz w:val="18"/>
                <w:szCs w:val="18"/>
              </w:rPr>
              <w:t>1.147</w:t>
            </w:r>
          </w:p>
        </w:tc>
        <w:tc>
          <w:tcPr>
            <w:tcW w:w="630" w:type="dxa"/>
            <w:tcBorders>
              <w:top w:val="single" w:sz="4" w:space="0" w:color="auto"/>
              <w:left w:val="single" w:sz="4" w:space="0" w:color="auto"/>
              <w:bottom w:val="single" w:sz="4" w:space="0" w:color="auto"/>
              <w:right w:val="single" w:sz="4" w:space="0" w:color="auto"/>
            </w:tcBorders>
            <w:vAlign w:val="center"/>
          </w:tcPr>
          <w:p w14:paraId="0DEA9C4C" w14:textId="77777777" w:rsidR="001A5DAD" w:rsidRPr="001B4CA2" w:rsidRDefault="001A5DAD" w:rsidP="001A5DAD">
            <w:pPr>
              <w:jc w:val="center"/>
              <w:rPr>
                <w:rFonts w:asciiTheme="minorHAnsi" w:hAnsiTheme="minorHAnsi" w:cstheme="minorHAnsi"/>
                <w:bCs/>
                <w:sz w:val="18"/>
                <w:szCs w:val="18"/>
              </w:rPr>
            </w:pPr>
            <w:r w:rsidRPr="001B4CA2">
              <w:rPr>
                <w:rFonts w:asciiTheme="minorHAnsi" w:hAnsiTheme="minorHAnsi" w:cstheme="minorHAnsi"/>
                <w:bCs/>
                <w:sz w:val="18"/>
                <w:szCs w:val="18"/>
              </w:rPr>
              <w:t>0</w:t>
            </w: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7C7AD776" w14:textId="77777777" w:rsidR="001A5DAD" w:rsidRPr="001B4CA2" w:rsidRDefault="001A5DAD" w:rsidP="001A5DAD">
            <w:pPr>
              <w:jc w:val="center"/>
              <w:rPr>
                <w:rFonts w:ascii="Arial" w:hAnsi="Arial" w:cs="Arial"/>
                <w:bCs/>
                <w:sz w:val="18"/>
                <w:szCs w:val="18"/>
              </w:rPr>
            </w:pPr>
            <w:r w:rsidRPr="001B4CA2">
              <w:rPr>
                <w:rFonts w:ascii="Arial" w:hAnsi="Arial" w:cs="Arial"/>
                <w:bCs/>
                <w:sz w:val="18"/>
                <w:szCs w:val="18"/>
              </w:rPr>
              <w:t>694</w:t>
            </w:r>
          </w:p>
        </w:tc>
        <w:tc>
          <w:tcPr>
            <w:tcW w:w="768" w:type="dxa"/>
            <w:tcBorders>
              <w:top w:val="single" w:sz="4" w:space="0" w:color="auto"/>
              <w:left w:val="single" w:sz="4" w:space="0" w:color="auto"/>
              <w:bottom w:val="single" w:sz="4" w:space="0" w:color="auto"/>
              <w:right w:val="single" w:sz="4" w:space="0" w:color="auto"/>
            </w:tcBorders>
            <w:vAlign w:val="center"/>
          </w:tcPr>
          <w:p w14:paraId="0FA8D17E" w14:textId="77777777" w:rsidR="001A5DAD" w:rsidRPr="001B4CA2" w:rsidRDefault="001A5DAD" w:rsidP="001A5DAD">
            <w:pPr>
              <w:jc w:val="center"/>
              <w:rPr>
                <w:rFonts w:ascii="Arial" w:hAnsi="Arial" w:cs="Arial"/>
                <w:bCs/>
                <w:sz w:val="18"/>
                <w:szCs w:val="18"/>
              </w:rPr>
            </w:pPr>
            <w:r w:rsidRPr="001B4CA2">
              <w:rPr>
                <w:rFonts w:ascii="Arial" w:hAnsi="Arial" w:cs="Arial"/>
                <w:bCs/>
                <w:sz w:val="18"/>
                <w:szCs w:val="18"/>
              </w:rPr>
              <w:t>18.078</w:t>
            </w:r>
          </w:p>
        </w:tc>
        <w:tc>
          <w:tcPr>
            <w:tcW w:w="767" w:type="dxa"/>
            <w:tcBorders>
              <w:top w:val="single" w:sz="4" w:space="0" w:color="auto"/>
              <w:left w:val="single" w:sz="4" w:space="0" w:color="auto"/>
              <w:bottom w:val="single" w:sz="4" w:space="0" w:color="auto"/>
              <w:right w:val="single" w:sz="4" w:space="0" w:color="auto"/>
            </w:tcBorders>
            <w:noWrap/>
            <w:vAlign w:val="center"/>
          </w:tcPr>
          <w:p w14:paraId="5A79798E" w14:textId="77777777" w:rsidR="001A5DAD" w:rsidRPr="001B4CA2" w:rsidRDefault="001A5DAD" w:rsidP="001A5DAD">
            <w:pPr>
              <w:jc w:val="center"/>
              <w:rPr>
                <w:rFonts w:asciiTheme="minorHAnsi" w:hAnsiTheme="minorHAnsi" w:cstheme="minorHAnsi"/>
                <w:bCs/>
                <w:sz w:val="18"/>
                <w:szCs w:val="18"/>
              </w:rPr>
            </w:pPr>
            <w:r w:rsidRPr="001B4CA2">
              <w:rPr>
                <w:rFonts w:asciiTheme="minorHAnsi" w:hAnsiTheme="minorHAnsi" w:cstheme="minorHAnsi"/>
                <w:bCs/>
                <w:sz w:val="18"/>
                <w:szCs w:val="18"/>
              </w:rPr>
              <w:t>19.005</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013931EE" w14:textId="77777777" w:rsidR="001A5DAD" w:rsidRPr="001B4CA2" w:rsidRDefault="001A5DAD" w:rsidP="001A5DAD">
            <w:pPr>
              <w:jc w:val="center"/>
              <w:rPr>
                <w:rFonts w:asciiTheme="minorHAnsi" w:hAnsiTheme="minorHAnsi" w:cstheme="minorHAnsi"/>
                <w:bCs/>
                <w:sz w:val="18"/>
                <w:szCs w:val="18"/>
              </w:rPr>
            </w:pPr>
            <w:r w:rsidRPr="001B4CA2">
              <w:rPr>
                <w:rFonts w:asciiTheme="minorHAnsi" w:hAnsiTheme="minorHAnsi" w:cstheme="minorHAnsi"/>
                <w:bCs/>
                <w:sz w:val="18"/>
                <w:szCs w:val="18"/>
              </w:rPr>
              <w:t>18.245</w:t>
            </w:r>
          </w:p>
        </w:tc>
        <w:tc>
          <w:tcPr>
            <w:tcW w:w="712" w:type="dxa"/>
            <w:tcBorders>
              <w:top w:val="single" w:sz="4" w:space="0" w:color="auto"/>
              <w:left w:val="single" w:sz="4" w:space="0" w:color="auto"/>
              <w:bottom w:val="single" w:sz="4" w:space="0" w:color="auto"/>
              <w:right w:val="single" w:sz="4" w:space="0" w:color="auto"/>
            </w:tcBorders>
            <w:noWrap/>
            <w:vAlign w:val="center"/>
          </w:tcPr>
          <w:p w14:paraId="0A3D15CF" w14:textId="77777777" w:rsidR="001A5DAD" w:rsidRPr="001B4CA2" w:rsidRDefault="001A5DAD" w:rsidP="001A5DAD">
            <w:pPr>
              <w:jc w:val="center"/>
              <w:rPr>
                <w:rFonts w:asciiTheme="minorHAnsi" w:hAnsiTheme="minorHAnsi" w:cstheme="minorHAnsi"/>
                <w:bCs/>
                <w:sz w:val="18"/>
                <w:szCs w:val="18"/>
              </w:rPr>
            </w:pPr>
            <w:r w:rsidRPr="001B4CA2">
              <w:rPr>
                <w:rFonts w:asciiTheme="minorHAnsi" w:hAnsiTheme="minorHAnsi" w:cstheme="minorHAnsi"/>
                <w:bCs/>
                <w:sz w:val="18"/>
                <w:szCs w:val="18"/>
              </w:rPr>
              <w:t>359</w:t>
            </w:r>
          </w:p>
        </w:tc>
        <w:tc>
          <w:tcPr>
            <w:tcW w:w="649" w:type="dxa"/>
            <w:tcBorders>
              <w:top w:val="single" w:sz="4" w:space="0" w:color="auto"/>
              <w:left w:val="single" w:sz="4" w:space="0" w:color="auto"/>
              <w:bottom w:val="single" w:sz="4" w:space="0" w:color="auto"/>
            </w:tcBorders>
            <w:noWrap/>
            <w:vAlign w:val="center"/>
          </w:tcPr>
          <w:p w14:paraId="647A6F54" w14:textId="77777777" w:rsidR="001A5DAD" w:rsidRPr="001B4CA2" w:rsidRDefault="001A5DAD" w:rsidP="001A5DAD">
            <w:pPr>
              <w:jc w:val="center"/>
              <w:rPr>
                <w:rFonts w:asciiTheme="minorHAnsi" w:hAnsiTheme="minorHAnsi" w:cstheme="minorHAnsi"/>
                <w:bCs/>
                <w:sz w:val="18"/>
                <w:szCs w:val="18"/>
              </w:rPr>
            </w:pPr>
            <w:r w:rsidRPr="001B4CA2">
              <w:rPr>
                <w:rFonts w:asciiTheme="minorHAnsi" w:hAnsiTheme="minorHAnsi" w:cstheme="minorHAnsi"/>
                <w:bCs/>
                <w:sz w:val="18"/>
                <w:szCs w:val="18"/>
              </w:rPr>
              <w:t>213</w:t>
            </w:r>
          </w:p>
        </w:tc>
      </w:tr>
      <w:tr w:rsidR="001A5DAD" w:rsidRPr="001B4CA2" w14:paraId="59C118E0" w14:textId="77777777" w:rsidTr="009A1E7E">
        <w:trPr>
          <w:trHeight w:val="510"/>
          <w:jc w:val="center"/>
        </w:trPr>
        <w:tc>
          <w:tcPr>
            <w:tcW w:w="382" w:type="dxa"/>
            <w:vAlign w:val="center"/>
          </w:tcPr>
          <w:p w14:paraId="5663754B"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2021.</w:t>
            </w:r>
          </w:p>
        </w:tc>
        <w:tc>
          <w:tcPr>
            <w:tcW w:w="854" w:type="dxa"/>
            <w:noWrap/>
            <w:vAlign w:val="center"/>
          </w:tcPr>
          <w:p w14:paraId="40979CBB"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849</w:t>
            </w:r>
          </w:p>
        </w:tc>
        <w:tc>
          <w:tcPr>
            <w:tcW w:w="767" w:type="dxa"/>
            <w:tcBorders>
              <w:top w:val="single" w:sz="4" w:space="0" w:color="auto"/>
              <w:bottom w:val="single" w:sz="4" w:space="0" w:color="auto"/>
              <w:right w:val="single" w:sz="4" w:space="0" w:color="auto"/>
            </w:tcBorders>
            <w:vAlign w:val="center"/>
          </w:tcPr>
          <w:p w14:paraId="13648DA6"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14.600</w:t>
            </w:r>
          </w:p>
        </w:tc>
        <w:tc>
          <w:tcPr>
            <w:tcW w:w="691" w:type="dxa"/>
            <w:tcBorders>
              <w:top w:val="single" w:sz="4" w:space="0" w:color="auto"/>
              <w:left w:val="single" w:sz="4" w:space="0" w:color="auto"/>
              <w:bottom w:val="single" w:sz="4" w:space="0" w:color="auto"/>
              <w:right w:val="single" w:sz="4" w:space="0" w:color="auto"/>
            </w:tcBorders>
            <w:vAlign w:val="center"/>
          </w:tcPr>
          <w:p w14:paraId="139AD95F"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2.990</w:t>
            </w:r>
          </w:p>
        </w:tc>
        <w:tc>
          <w:tcPr>
            <w:tcW w:w="644" w:type="dxa"/>
            <w:tcBorders>
              <w:top w:val="single" w:sz="4" w:space="0" w:color="auto"/>
              <w:left w:val="single" w:sz="4" w:space="0" w:color="auto"/>
              <w:bottom w:val="single" w:sz="4" w:space="0" w:color="auto"/>
              <w:right w:val="single" w:sz="4" w:space="0" w:color="auto"/>
            </w:tcBorders>
            <w:vAlign w:val="center"/>
          </w:tcPr>
          <w:p w14:paraId="3691D09A"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95</w:t>
            </w:r>
          </w:p>
        </w:tc>
        <w:tc>
          <w:tcPr>
            <w:tcW w:w="743" w:type="dxa"/>
            <w:tcBorders>
              <w:top w:val="single" w:sz="4" w:space="0" w:color="auto"/>
              <w:left w:val="single" w:sz="4" w:space="0" w:color="auto"/>
              <w:bottom w:val="single" w:sz="4" w:space="0" w:color="auto"/>
              <w:right w:val="single" w:sz="4" w:space="0" w:color="auto"/>
            </w:tcBorders>
            <w:vAlign w:val="center"/>
          </w:tcPr>
          <w:p w14:paraId="12FC7B8A"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2.389</w:t>
            </w:r>
          </w:p>
        </w:tc>
        <w:tc>
          <w:tcPr>
            <w:tcW w:w="630" w:type="dxa"/>
            <w:tcBorders>
              <w:top w:val="single" w:sz="4" w:space="0" w:color="auto"/>
              <w:left w:val="single" w:sz="4" w:space="0" w:color="auto"/>
              <w:bottom w:val="single" w:sz="4" w:space="0" w:color="auto"/>
              <w:right w:val="single" w:sz="4" w:space="0" w:color="auto"/>
            </w:tcBorders>
            <w:vAlign w:val="center"/>
          </w:tcPr>
          <w:p w14:paraId="7B1C1D91"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0</w:t>
            </w: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00A74BF9" w14:textId="77777777" w:rsidR="001A5DAD" w:rsidRPr="001B4CA2" w:rsidRDefault="001A5DAD" w:rsidP="001A5DAD">
            <w:pPr>
              <w:jc w:val="center"/>
              <w:rPr>
                <w:rFonts w:ascii="Arial" w:hAnsi="Arial" w:cs="Arial"/>
                <w:bCs/>
                <w:sz w:val="18"/>
                <w:szCs w:val="18"/>
              </w:rPr>
            </w:pPr>
            <w:r w:rsidRPr="001B4CA2">
              <w:rPr>
                <w:rFonts w:ascii="Arial" w:hAnsi="Arial" w:cs="Arial"/>
                <w:bCs/>
                <w:sz w:val="18"/>
                <w:szCs w:val="18"/>
              </w:rPr>
              <w:t>1.184</w:t>
            </w:r>
          </w:p>
        </w:tc>
        <w:tc>
          <w:tcPr>
            <w:tcW w:w="768" w:type="dxa"/>
            <w:tcBorders>
              <w:top w:val="single" w:sz="4" w:space="0" w:color="auto"/>
              <w:left w:val="single" w:sz="4" w:space="0" w:color="auto"/>
              <w:bottom w:val="single" w:sz="4" w:space="0" w:color="auto"/>
              <w:right w:val="single" w:sz="4" w:space="0" w:color="auto"/>
            </w:tcBorders>
            <w:vAlign w:val="center"/>
          </w:tcPr>
          <w:p w14:paraId="2D1A5285" w14:textId="77777777" w:rsidR="001A5DAD" w:rsidRPr="001B4CA2" w:rsidRDefault="001A5DAD" w:rsidP="001A5DAD">
            <w:pPr>
              <w:jc w:val="center"/>
              <w:rPr>
                <w:rFonts w:ascii="Arial" w:hAnsi="Arial" w:cs="Arial"/>
                <w:bCs/>
                <w:sz w:val="18"/>
                <w:szCs w:val="18"/>
              </w:rPr>
            </w:pPr>
            <w:r w:rsidRPr="001B4CA2">
              <w:rPr>
                <w:rFonts w:ascii="Arial" w:hAnsi="Arial" w:cs="Arial"/>
                <w:bCs/>
                <w:sz w:val="18"/>
                <w:szCs w:val="18"/>
              </w:rPr>
              <w:t>21.258</w:t>
            </w:r>
          </w:p>
        </w:tc>
        <w:tc>
          <w:tcPr>
            <w:tcW w:w="767" w:type="dxa"/>
            <w:tcBorders>
              <w:top w:val="single" w:sz="4" w:space="0" w:color="auto"/>
              <w:left w:val="single" w:sz="4" w:space="0" w:color="auto"/>
              <w:bottom w:val="single" w:sz="4" w:space="0" w:color="auto"/>
              <w:right w:val="single" w:sz="4" w:space="0" w:color="auto"/>
            </w:tcBorders>
            <w:noWrap/>
            <w:vAlign w:val="center"/>
          </w:tcPr>
          <w:p w14:paraId="65DC8198"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22.107</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5764A249"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24.114</w:t>
            </w:r>
          </w:p>
        </w:tc>
        <w:tc>
          <w:tcPr>
            <w:tcW w:w="712" w:type="dxa"/>
            <w:tcBorders>
              <w:top w:val="single" w:sz="4" w:space="0" w:color="auto"/>
              <w:left w:val="single" w:sz="4" w:space="0" w:color="auto"/>
              <w:bottom w:val="single" w:sz="4" w:space="0" w:color="auto"/>
              <w:right w:val="single" w:sz="4" w:space="0" w:color="auto"/>
            </w:tcBorders>
            <w:noWrap/>
            <w:vAlign w:val="center"/>
          </w:tcPr>
          <w:p w14:paraId="4AB2A8A1"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692</w:t>
            </w:r>
          </w:p>
        </w:tc>
        <w:tc>
          <w:tcPr>
            <w:tcW w:w="649" w:type="dxa"/>
            <w:tcBorders>
              <w:top w:val="single" w:sz="4" w:space="0" w:color="auto"/>
              <w:left w:val="single" w:sz="4" w:space="0" w:color="auto"/>
              <w:bottom w:val="single" w:sz="4" w:space="0" w:color="auto"/>
            </w:tcBorders>
            <w:noWrap/>
            <w:vAlign w:val="center"/>
          </w:tcPr>
          <w:p w14:paraId="42FC07B9"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400</w:t>
            </w:r>
          </w:p>
        </w:tc>
      </w:tr>
      <w:tr w:rsidR="001A5DAD" w:rsidRPr="001B4CA2" w14:paraId="6F7AFF67" w14:textId="77777777" w:rsidTr="009A1E7E">
        <w:trPr>
          <w:trHeight w:val="510"/>
          <w:jc w:val="center"/>
        </w:trPr>
        <w:tc>
          <w:tcPr>
            <w:tcW w:w="382" w:type="dxa"/>
            <w:vAlign w:val="center"/>
          </w:tcPr>
          <w:p w14:paraId="5FE42CF4"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2022.</w:t>
            </w:r>
          </w:p>
        </w:tc>
        <w:tc>
          <w:tcPr>
            <w:tcW w:w="854" w:type="dxa"/>
            <w:noWrap/>
            <w:vAlign w:val="center"/>
          </w:tcPr>
          <w:p w14:paraId="4F9D75D7"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810</w:t>
            </w:r>
          </w:p>
        </w:tc>
        <w:tc>
          <w:tcPr>
            <w:tcW w:w="767" w:type="dxa"/>
            <w:tcBorders>
              <w:top w:val="single" w:sz="4" w:space="0" w:color="auto"/>
              <w:bottom w:val="single" w:sz="4" w:space="0" w:color="auto"/>
              <w:right w:val="single" w:sz="4" w:space="0" w:color="auto"/>
            </w:tcBorders>
            <w:vAlign w:val="center"/>
          </w:tcPr>
          <w:p w14:paraId="66BE93D7"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13.812</w:t>
            </w:r>
          </w:p>
        </w:tc>
        <w:tc>
          <w:tcPr>
            <w:tcW w:w="691" w:type="dxa"/>
            <w:tcBorders>
              <w:top w:val="single" w:sz="4" w:space="0" w:color="auto"/>
              <w:left w:val="single" w:sz="4" w:space="0" w:color="auto"/>
              <w:bottom w:val="single" w:sz="4" w:space="0" w:color="auto"/>
              <w:right w:val="single" w:sz="4" w:space="0" w:color="auto"/>
            </w:tcBorders>
            <w:vAlign w:val="center"/>
          </w:tcPr>
          <w:p w14:paraId="383A9E09"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2.704</w:t>
            </w:r>
          </w:p>
        </w:tc>
        <w:tc>
          <w:tcPr>
            <w:tcW w:w="644" w:type="dxa"/>
            <w:tcBorders>
              <w:top w:val="single" w:sz="4" w:space="0" w:color="auto"/>
              <w:left w:val="single" w:sz="4" w:space="0" w:color="auto"/>
              <w:bottom w:val="single" w:sz="4" w:space="0" w:color="auto"/>
              <w:right w:val="single" w:sz="4" w:space="0" w:color="auto"/>
            </w:tcBorders>
            <w:vAlign w:val="center"/>
          </w:tcPr>
          <w:p w14:paraId="3BCD8D92"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92</w:t>
            </w:r>
          </w:p>
        </w:tc>
        <w:tc>
          <w:tcPr>
            <w:tcW w:w="743" w:type="dxa"/>
            <w:tcBorders>
              <w:top w:val="single" w:sz="4" w:space="0" w:color="auto"/>
              <w:left w:val="single" w:sz="4" w:space="0" w:color="auto"/>
              <w:bottom w:val="single" w:sz="4" w:space="0" w:color="auto"/>
              <w:right w:val="single" w:sz="4" w:space="0" w:color="auto"/>
            </w:tcBorders>
            <w:vAlign w:val="center"/>
          </w:tcPr>
          <w:p w14:paraId="57BCECC2"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3.230</w:t>
            </w:r>
          </w:p>
        </w:tc>
        <w:tc>
          <w:tcPr>
            <w:tcW w:w="630" w:type="dxa"/>
            <w:tcBorders>
              <w:top w:val="single" w:sz="4" w:space="0" w:color="auto"/>
              <w:left w:val="single" w:sz="4" w:space="0" w:color="auto"/>
              <w:bottom w:val="single" w:sz="4" w:space="0" w:color="auto"/>
              <w:right w:val="single" w:sz="4" w:space="0" w:color="auto"/>
            </w:tcBorders>
            <w:vAlign w:val="center"/>
          </w:tcPr>
          <w:p w14:paraId="05D3BCB3"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0</w:t>
            </w: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26FAD9EC" w14:textId="77777777" w:rsidR="001A5DAD" w:rsidRPr="001B4CA2" w:rsidRDefault="001A5DAD" w:rsidP="001A5DAD">
            <w:pPr>
              <w:jc w:val="center"/>
              <w:rPr>
                <w:rFonts w:ascii="Arial" w:hAnsi="Arial" w:cs="Arial"/>
                <w:bCs/>
                <w:sz w:val="18"/>
                <w:szCs w:val="18"/>
              </w:rPr>
            </w:pPr>
            <w:r w:rsidRPr="001B4CA2">
              <w:rPr>
                <w:rFonts w:ascii="Arial" w:hAnsi="Arial" w:cs="Arial"/>
                <w:bCs/>
                <w:sz w:val="18"/>
                <w:szCs w:val="18"/>
              </w:rPr>
              <w:t>739</w:t>
            </w:r>
          </w:p>
        </w:tc>
        <w:tc>
          <w:tcPr>
            <w:tcW w:w="768" w:type="dxa"/>
            <w:tcBorders>
              <w:top w:val="single" w:sz="4" w:space="0" w:color="auto"/>
              <w:left w:val="single" w:sz="4" w:space="0" w:color="auto"/>
              <w:bottom w:val="single" w:sz="4" w:space="0" w:color="auto"/>
              <w:right w:val="single" w:sz="4" w:space="0" w:color="auto"/>
            </w:tcBorders>
            <w:vAlign w:val="center"/>
          </w:tcPr>
          <w:p w14:paraId="008703BC" w14:textId="77777777" w:rsidR="001A5DAD" w:rsidRPr="001B4CA2" w:rsidRDefault="001A5DAD" w:rsidP="001A5DAD">
            <w:pPr>
              <w:jc w:val="center"/>
              <w:rPr>
                <w:rFonts w:ascii="Arial" w:hAnsi="Arial" w:cs="Arial"/>
                <w:bCs/>
                <w:sz w:val="18"/>
                <w:szCs w:val="18"/>
              </w:rPr>
            </w:pPr>
            <w:r w:rsidRPr="001B4CA2">
              <w:rPr>
                <w:rFonts w:ascii="Arial" w:hAnsi="Arial" w:cs="Arial"/>
                <w:bCs/>
                <w:sz w:val="18"/>
                <w:szCs w:val="18"/>
              </w:rPr>
              <w:t>20.579</w:t>
            </w:r>
          </w:p>
        </w:tc>
        <w:tc>
          <w:tcPr>
            <w:tcW w:w="767" w:type="dxa"/>
            <w:tcBorders>
              <w:top w:val="single" w:sz="4" w:space="0" w:color="auto"/>
              <w:left w:val="single" w:sz="4" w:space="0" w:color="auto"/>
              <w:bottom w:val="single" w:sz="4" w:space="0" w:color="auto"/>
              <w:right w:val="single" w:sz="4" w:space="0" w:color="auto"/>
            </w:tcBorders>
            <w:noWrap/>
            <w:vAlign w:val="center"/>
          </w:tcPr>
          <w:p w14:paraId="56A70455"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21.389</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605E2431"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22.137</w:t>
            </w:r>
          </w:p>
        </w:tc>
        <w:tc>
          <w:tcPr>
            <w:tcW w:w="712" w:type="dxa"/>
            <w:tcBorders>
              <w:top w:val="single" w:sz="4" w:space="0" w:color="auto"/>
              <w:left w:val="single" w:sz="4" w:space="0" w:color="auto"/>
              <w:bottom w:val="single" w:sz="4" w:space="0" w:color="auto"/>
              <w:right w:val="single" w:sz="4" w:space="0" w:color="auto"/>
            </w:tcBorders>
            <w:noWrap/>
            <w:vAlign w:val="center"/>
          </w:tcPr>
          <w:p w14:paraId="169F6603"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699</w:t>
            </w:r>
          </w:p>
        </w:tc>
        <w:tc>
          <w:tcPr>
            <w:tcW w:w="649" w:type="dxa"/>
            <w:tcBorders>
              <w:top w:val="single" w:sz="4" w:space="0" w:color="auto"/>
              <w:left w:val="single" w:sz="4" w:space="0" w:color="auto"/>
              <w:bottom w:val="single" w:sz="4" w:space="0" w:color="auto"/>
            </w:tcBorders>
            <w:noWrap/>
            <w:vAlign w:val="center"/>
          </w:tcPr>
          <w:p w14:paraId="7C193E61" w14:textId="77777777" w:rsidR="001A5DAD" w:rsidRPr="001B4CA2" w:rsidRDefault="001A5DAD" w:rsidP="001A5DAD">
            <w:pPr>
              <w:jc w:val="center"/>
              <w:rPr>
                <w:rFonts w:asciiTheme="majorHAnsi" w:hAnsiTheme="majorHAnsi" w:cstheme="majorHAnsi"/>
                <w:bCs/>
                <w:sz w:val="18"/>
                <w:szCs w:val="18"/>
              </w:rPr>
            </w:pPr>
            <w:r w:rsidRPr="001B4CA2">
              <w:rPr>
                <w:rFonts w:asciiTheme="majorHAnsi" w:hAnsiTheme="majorHAnsi" w:cstheme="majorHAnsi"/>
                <w:bCs/>
                <w:sz w:val="18"/>
                <w:szCs w:val="18"/>
              </w:rPr>
              <w:t>369</w:t>
            </w:r>
          </w:p>
        </w:tc>
      </w:tr>
    </w:tbl>
    <w:p w14:paraId="434F74F1" w14:textId="36AB291D" w:rsidR="001A5DAD" w:rsidRPr="001B4CA2" w:rsidRDefault="001A5DAD" w:rsidP="001A5DAD">
      <w:pPr>
        <w:tabs>
          <w:tab w:val="left" w:pos="8139"/>
        </w:tabs>
        <w:rPr>
          <w:color w:val="000000" w:themeColor="text1"/>
          <w:sz w:val="20"/>
          <w:szCs w:val="20"/>
        </w:rPr>
      </w:pPr>
      <w:r w:rsidRPr="001B4CA2">
        <w:rPr>
          <w:color w:val="000000" w:themeColor="text1"/>
          <w:sz w:val="20"/>
          <w:szCs w:val="20"/>
        </w:rPr>
        <w:tab/>
      </w:r>
    </w:p>
    <w:p w14:paraId="5A460F2D" w14:textId="266B4C6D" w:rsidR="001A5DAD" w:rsidRPr="001B4CA2" w:rsidRDefault="001A5DAD" w:rsidP="001A5DAD">
      <w:pPr>
        <w:ind w:firstLine="708"/>
        <w:rPr>
          <w:color w:val="000000" w:themeColor="text1"/>
        </w:rPr>
      </w:pPr>
      <w:r w:rsidRPr="001B4CA2">
        <w:rPr>
          <w:color w:val="000000" w:themeColor="text1"/>
        </w:rPr>
        <w:t>Ovršnih predmeta primljeno je tijekom 2022. ukupno 20</w:t>
      </w:r>
      <w:r w:rsidR="00840C0E">
        <w:rPr>
          <w:color w:val="000000" w:themeColor="text1"/>
        </w:rPr>
        <w:t>.</w:t>
      </w:r>
      <w:r w:rsidRPr="001B4CA2">
        <w:rPr>
          <w:color w:val="000000" w:themeColor="text1"/>
        </w:rPr>
        <w:t>579, što je neznatno manje u odnosu na prethodnu godinu. 67</w:t>
      </w:r>
      <w:r w:rsidR="00840C0E">
        <w:rPr>
          <w:color w:val="000000" w:themeColor="text1"/>
        </w:rPr>
        <w:t> </w:t>
      </w:r>
      <w:r w:rsidRPr="001B4CA2">
        <w:rPr>
          <w:color w:val="000000" w:themeColor="text1"/>
        </w:rPr>
        <w:t>% primljenih ovršnih predmeta odnosi</w:t>
      </w:r>
      <w:r w:rsidR="009E6D91" w:rsidRPr="001B4CA2">
        <w:rPr>
          <w:color w:val="000000" w:themeColor="text1"/>
        </w:rPr>
        <w:t xml:space="preserve">lo </w:t>
      </w:r>
      <w:r w:rsidRPr="001B4CA2">
        <w:rPr>
          <w:color w:val="000000" w:themeColor="text1"/>
        </w:rPr>
        <w:t>se na zahtjeve za izravnu naplatu, 16</w:t>
      </w:r>
      <w:r w:rsidR="00840C0E">
        <w:rPr>
          <w:color w:val="000000" w:themeColor="text1"/>
        </w:rPr>
        <w:t> </w:t>
      </w:r>
      <w:r w:rsidRPr="001B4CA2">
        <w:rPr>
          <w:color w:val="000000" w:themeColor="text1"/>
        </w:rPr>
        <w:t>% na osiguranje tražbine, 13</w:t>
      </w:r>
      <w:r w:rsidR="00840C0E">
        <w:rPr>
          <w:color w:val="000000" w:themeColor="text1"/>
        </w:rPr>
        <w:t> </w:t>
      </w:r>
      <w:r w:rsidRPr="001B4CA2">
        <w:rPr>
          <w:color w:val="000000" w:themeColor="text1"/>
        </w:rPr>
        <w:t>% na ovrhe novčanih tražbina, dok se u preostalom dijelu radi</w:t>
      </w:r>
      <w:r w:rsidR="009E6D91" w:rsidRPr="001B4CA2">
        <w:rPr>
          <w:color w:val="000000" w:themeColor="text1"/>
        </w:rPr>
        <w:t>lo</w:t>
      </w:r>
      <w:r w:rsidRPr="001B4CA2">
        <w:rPr>
          <w:color w:val="000000" w:themeColor="text1"/>
        </w:rPr>
        <w:t xml:space="preserve"> o ovrhama nenovčanih tražbina i ostalim predmetima.</w:t>
      </w:r>
    </w:p>
    <w:p w14:paraId="4CC11214" w14:textId="77777777" w:rsidR="001A5DAD" w:rsidRPr="001B4CA2" w:rsidRDefault="001A5DAD" w:rsidP="001A5DAD">
      <w:pPr>
        <w:ind w:firstLine="708"/>
        <w:rPr>
          <w:color w:val="000000" w:themeColor="text1"/>
        </w:rPr>
      </w:pPr>
    </w:p>
    <w:p w14:paraId="25DF7637" w14:textId="512F4EE2" w:rsidR="001A5DAD" w:rsidRPr="001B4CA2" w:rsidRDefault="001A5DAD" w:rsidP="001A5DAD">
      <w:pPr>
        <w:ind w:firstLine="708"/>
        <w:rPr>
          <w:color w:val="000000" w:themeColor="text1"/>
        </w:rPr>
      </w:pPr>
      <w:r w:rsidRPr="001B4CA2">
        <w:rPr>
          <w:color w:val="000000" w:themeColor="text1"/>
        </w:rPr>
        <w:t xml:space="preserve">U velikoj većini predmeta koji </w:t>
      </w:r>
      <w:r w:rsidR="009E6D91" w:rsidRPr="001B4CA2">
        <w:rPr>
          <w:color w:val="000000" w:themeColor="text1"/>
        </w:rPr>
        <w:t xml:space="preserve">su </w:t>
      </w:r>
      <w:r w:rsidRPr="001B4CA2">
        <w:rPr>
          <w:color w:val="000000" w:themeColor="text1"/>
        </w:rPr>
        <w:t>se odnos</w:t>
      </w:r>
      <w:r w:rsidR="009E6D91" w:rsidRPr="001B4CA2">
        <w:rPr>
          <w:color w:val="000000" w:themeColor="text1"/>
        </w:rPr>
        <w:t>ili</w:t>
      </w:r>
      <w:r w:rsidRPr="001B4CA2">
        <w:rPr>
          <w:color w:val="000000" w:themeColor="text1"/>
        </w:rPr>
        <w:t xml:space="preserve"> na zahtjeve za izravnu naplatu kao i na ovrhe novčane tražbine Republika Hrvatska </w:t>
      </w:r>
      <w:r w:rsidR="00840C0E" w:rsidRPr="001B4CA2">
        <w:rPr>
          <w:color w:val="000000" w:themeColor="text1"/>
        </w:rPr>
        <w:t xml:space="preserve">bila </w:t>
      </w:r>
      <w:r w:rsidRPr="001B4CA2">
        <w:rPr>
          <w:color w:val="000000" w:themeColor="text1"/>
        </w:rPr>
        <w:t>je</w:t>
      </w:r>
      <w:r w:rsidR="009E6D91" w:rsidRPr="001B4CA2">
        <w:rPr>
          <w:color w:val="000000" w:themeColor="text1"/>
        </w:rPr>
        <w:t xml:space="preserve"> </w:t>
      </w:r>
      <w:r w:rsidRPr="001B4CA2">
        <w:rPr>
          <w:color w:val="000000" w:themeColor="text1"/>
        </w:rPr>
        <w:t xml:space="preserve">ovrhovoditelj, a zahtjevi </w:t>
      </w:r>
      <w:r w:rsidR="009E6D91" w:rsidRPr="001B4CA2">
        <w:rPr>
          <w:color w:val="000000" w:themeColor="text1"/>
        </w:rPr>
        <w:t xml:space="preserve">su </w:t>
      </w:r>
      <w:r w:rsidRPr="001B4CA2">
        <w:rPr>
          <w:color w:val="000000" w:themeColor="text1"/>
        </w:rPr>
        <w:t>se najčešće podnos</w:t>
      </w:r>
      <w:r w:rsidR="009E6D91" w:rsidRPr="001B4CA2">
        <w:rPr>
          <w:color w:val="000000" w:themeColor="text1"/>
        </w:rPr>
        <w:t>ili</w:t>
      </w:r>
      <w:r w:rsidRPr="001B4CA2">
        <w:rPr>
          <w:color w:val="000000" w:themeColor="text1"/>
        </w:rPr>
        <w:t xml:space="preserve"> radi namirenja tražbina Ministarstva pravosuđa i uprave s osnove naplate troškova sudskih postupka.</w:t>
      </w:r>
    </w:p>
    <w:p w14:paraId="08C6D382" w14:textId="77777777" w:rsidR="001A5DAD" w:rsidRPr="001B4CA2" w:rsidRDefault="001A5DAD" w:rsidP="001A5DAD">
      <w:pPr>
        <w:ind w:firstLine="708"/>
        <w:rPr>
          <w:color w:val="000000" w:themeColor="text1"/>
        </w:rPr>
      </w:pPr>
    </w:p>
    <w:p w14:paraId="4EACC631" w14:textId="72A8989A" w:rsidR="001A5DAD" w:rsidRPr="001B4CA2" w:rsidRDefault="001A5DAD" w:rsidP="001A5DAD">
      <w:pPr>
        <w:ind w:firstLine="708"/>
        <w:rPr>
          <w:color w:val="000000" w:themeColor="text1"/>
        </w:rPr>
      </w:pPr>
      <w:r w:rsidRPr="001B4CA2">
        <w:rPr>
          <w:color w:val="000000" w:themeColor="text1"/>
        </w:rPr>
        <w:t xml:space="preserve">U predmetima osiguranja tražbine Republika Hrvatska </w:t>
      </w:r>
      <w:r w:rsidR="00840C0E" w:rsidRPr="001B4CA2">
        <w:rPr>
          <w:color w:val="000000" w:themeColor="text1"/>
        </w:rPr>
        <w:t xml:space="preserve">također </w:t>
      </w:r>
      <w:r w:rsidRPr="001B4CA2">
        <w:rPr>
          <w:color w:val="000000" w:themeColor="text1"/>
        </w:rPr>
        <w:t xml:space="preserve">je gotovo </w:t>
      </w:r>
      <w:r w:rsidR="009E6D91" w:rsidRPr="001B4CA2">
        <w:rPr>
          <w:color w:val="000000" w:themeColor="text1"/>
        </w:rPr>
        <w:t>uvijek</w:t>
      </w:r>
      <w:r w:rsidRPr="001B4CA2">
        <w:rPr>
          <w:color w:val="000000" w:themeColor="text1"/>
        </w:rPr>
        <w:t xml:space="preserve"> </w:t>
      </w:r>
      <w:r w:rsidR="009E6D91" w:rsidRPr="001B4CA2">
        <w:rPr>
          <w:color w:val="000000" w:themeColor="text1"/>
        </w:rPr>
        <w:t xml:space="preserve">bila </w:t>
      </w:r>
      <w:r w:rsidRPr="001B4CA2">
        <w:rPr>
          <w:color w:val="000000" w:themeColor="text1"/>
        </w:rPr>
        <w:t>predlagatelj osiguranja, a najčešće se radi</w:t>
      </w:r>
      <w:r w:rsidR="009E6D91" w:rsidRPr="001B4CA2">
        <w:rPr>
          <w:color w:val="000000" w:themeColor="text1"/>
        </w:rPr>
        <w:t>lo</w:t>
      </w:r>
      <w:r w:rsidRPr="001B4CA2">
        <w:rPr>
          <w:color w:val="000000" w:themeColor="text1"/>
        </w:rPr>
        <w:t xml:space="preserve"> o tražbinama Ministarstva financija s osnov</w:t>
      </w:r>
      <w:r w:rsidR="00840C0E">
        <w:rPr>
          <w:color w:val="000000" w:themeColor="text1"/>
        </w:rPr>
        <w:t>e</w:t>
      </w:r>
      <w:r w:rsidRPr="001B4CA2">
        <w:rPr>
          <w:color w:val="000000" w:themeColor="text1"/>
        </w:rPr>
        <w:t xml:space="preserve"> poreza, doprinosa i drugih javnih davanja (u slučaju kad obveznik ne podmiri svoju obvezu). Tada se provodi postupak osiguranja radi eventualne naplate dugovanja iz vrijednosti nekretnine dužnika.</w:t>
      </w:r>
    </w:p>
    <w:p w14:paraId="553C26D5" w14:textId="77777777" w:rsidR="001A5DAD" w:rsidRPr="001B4CA2" w:rsidRDefault="001A5DAD" w:rsidP="001A5DAD">
      <w:pPr>
        <w:ind w:firstLine="708"/>
        <w:rPr>
          <w:color w:val="000000" w:themeColor="text1"/>
        </w:rPr>
      </w:pPr>
    </w:p>
    <w:p w14:paraId="7FAA9BD5" w14:textId="30229D8A" w:rsidR="001A5DAD" w:rsidRPr="001B4CA2" w:rsidRDefault="001A5DAD" w:rsidP="001A5DAD">
      <w:pPr>
        <w:ind w:firstLine="708"/>
        <w:rPr>
          <w:color w:val="000000" w:themeColor="text1"/>
        </w:rPr>
      </w:pPr>
      <w:r w:rsidRPr="001B4CA2">
        <w:rPr>
          <w:color w:val="000000" w:themeColor="text1"/>
        </w:rPr>
        <w:t xml:space="preserve">U ovršnim predmetima općinska državna odvjetništva </w:t>
      </w:r>
      <w:r w:rsidR="00840C0E" w:rsidRPr="001B4CA2">
        <w:rPr>
          <w:color w:val="000000" w:themeColor="text1"/>
        </w:rPr>
        <w:t xml:space="preserve">zastupala </w:t>
      </w:r>
      <w:r w:rsidRPr="001B4CA2">
        <w:rPr>
          <w:color w:val="000000" w:themeColor="text1"/>
        </w:rPr>
        <w:t xml:space="preserve">su na 699 rasprava i izjavila su 369 pravnih lijekova. </w:t>
      </w:r>
    </w:p>
    <w:p w14:paraId="56704B83" w14:textId="274355A4" w:rsidR="001A5DAD" w:rsidRPr="001B4CA2" w:rsidRDefault="001A5DAD" w:rsidP="001A5DAD">
      <w:pPr>
        <w:tabs>
          <w:tab w:val="left" w:pos="8139"/>
        </w:tabs>
        <w:rPr>
          <w:color w:val="000000" w:themeColor="text1"/>
          <w:sz w:val="20"/>
          <w:szCs w:val="20"/>
        </w:rPr>
      </w:pPr>
    </w:p>
    <w:p w14:paraId="5D393A09" w14:textId="777453B7" w:rsidR="00847ED1" w:rsidRPr="001B4CA2" w:rsidRDefault="00847ED1" w:rsidP="001A5DAD">
      <w:pPr>
        <w:tabs>
          <w:tab w:val="left" w:pos="8139"/>
        </w:tabs>
        <w:rPr>
          <w:color w:val="000000" w:themeColor="text1"/>
          <w:sz w:val="20"/>
          <w:szCs w:val="20"/>
        </w:rPr>
      </w:pPr>
    </w:p>
    <w:p w14:paraId="733D40A1" w14:textId="7A8DB907" w:rsidR="00847ED1" w:rsidRPr="001B4CA2" w:rsidRDefault="00847ED1" w:rsidP="001A5DAD">
      <w:pPr>
        <w:tabs>
          <w:tab w:val="left" w:pos="8139"/>
        </w:tabs>
        <w:rPr>
          <w:color w:val="000000" w:themeColor="text1"/>
          <w:sz w:val="20"/>
          <w:szCs w:val="20"/>
        </w:rPr>
      </w:pPr>
    </w:p>
    <w:p w14:paraId="2A004CE9" w14:textId="68935AC9" w:rsidR="009A1E7E" w:rsidRPr="001B4CA2" w:rsidRDefault="009A1E7E" w:rsidP="001A5DAD">
      <w:pPr>
        <w:tabs>
          <w:tab w:val="left" w:pos="8139"/>
        </w:tabs>
        <w:rPr>
          <w:color w:val="000000" w:themeColor="text1"/>
          <w:sz w:val="20"/>
          <w:szCs w:val="20"/>
        </w:rPr>
      </w:pPr>
    </w:p>
    <w:p w14:paraId="780ED08B" w14:textId="6B636A8A" w:rsidR="009A1E7E" w:rsidRPr="001B4CA2" w:rsidRDefault="009A1E7E" w:rsidP="001A5DAD">
      <w:pPr>
        <w:tabs>
          <w:tab w:val="left" w:pos="8139"/>
        </w:tabs>
        <w:rPr>
          <w:color w:val="000000" w:themeColor="text1"/>
          <w:sz w:val="20"/>
          <w:szCs w:val="20"/>
        </w:rPr>
      </w:pPr>
    </w:p>
    <w:p w14:paraId="5FFB2EAF" w14:textId="423AE7D6" w:rsidR="009A1E7E" w:rsidRPr="001B4CA2" w:rsidRDefault="009A1E7E" w:rsidP="001A5DAD">
      <w:pPr>
        <w:tabs>
          <w:tab w:val="left" w:pos="8139"/>
        </w:tabs>
        <w:rPr>
          <w:color w:val="000000" w:themeColor="text1"/>
          <w:sz w:val="20"/>
          <w:szCs w:val="20"/>
        </w:rPr>
      </w:pPr>
    </w:p>
    <w:p w14:paraId="68DCC4AC" w14:textId="7871E2B5" w:rsidR="009A1E7E" w:rsidRPr="001B4CA2" w:rsidRDefault="009A1E7E" w:rsidP="001A5DAD">
      <w:pPr>
        <w:tabs>
          <w:tab w:val="left" w:pos="8139"/>
        </w:tabs>
        <w:rPr>
          <w:color w:val="000000" w:themeColor="text1"/>
          <w:sz w:val="20"/>
          <w:szCs w:val="20"/>
        </w:rPr>
      </w:pPr>
    </w:p>
    <w:p w14:paraId="44132CFE" w14:textId="2EB1F433" w:rsidR="009A1E7E" w:rsidRPr="001B4CA2" w:rsidRDefault="009A1E7E" w:rsidP="001A5DAD">
      <w:pPr>
        <w:tabs>
          <w:tab w:val="left" w:pos="8139"/>
        </w:tabs>
        <w:rPr>
          <w:color w:val="000000" w:themeColor="text1"/>
          <w:sz w:val="20"/>
          <w:szCs w:val="20"/>
        </w:rPr>
      </w:pPr>
    </w:p>
    <w:p w14:paraId="7BF21FE4" w14:textId="12BE6617" w:rsidR="009A1E7E" w:rsidRPr="001B4CA2" w:rsidRDefault="009A1E7E" w:rsidP="001A5DAD">
      <w:pPr>
        <w:tabs>
          <w:tab w:val="left" w:pos="8139"/>
        </w:tabs>
        <w:rPr>
          <w:color w:val="000000" w:themeColor="text1"/>
          <w:sz w:val="20"/>
          <w:szCs w:val="20"/>
        </w:rPr>
      </w:pPr>
    </w:p>
    <w:p w14:paraId="2D5F485D" w14:textId="3B67E09E" w:rsidR="009A1E7E" w:rsidRPr="001B4CA2" w:rsidRDefault="009A1E7E" w:rsidP="001A5DAD">
      <w:pPr>
        <w:tabs>
          <w:tab w:val="left" w:pos="8139"/>
        </w:tabs>
        <w:rPr>
          <w:color w:val="000000" w:themeColor="text1"/>
          <w:sz w:val="20"/>
          <w:szCs w:val="20"/>
        </w:rPr>
      </w:pPr>
    </w:p>
    <w:p w14:paraId="1B20D628" w14:textId="77777777" w:rsidR="009A1E7E" w:rsidRPr="001B4CA2" w:rsidRDefault="009A1E7E" w:rsidP="001A5DAD">
      <w:pPr>
        <w:tabs>
          <w:tab w:val="left" w:pos="8139"/>
        </w:tabs>
        <w:rPr>
          <w:color w:val="000000" w:themeColor="text1"/>
          <w:sz w:val="20"/>
          <w:szCs w:val="20"/>
        </w:rPr>
      </w:pPr>
    </w:p>
    <w:p w14:paraId="2D0DBBEE" w14:textId="77777777" w:rsidR="001A5DAD" w:rsidRPr="001B4CA2" w:rsidRDefault="001A5DAD" w:rsidP="001A5DAD">
      <w:pPr>
        <w:tabs>
          <w:tab w:val="left" w:pos="8139"/>
        </w:tabs>
        <w:rPr>
          <w:color w:val="000000" w:themeColor="text1"/>
          <w:sz w:val="20"/>
          <w:szCs w:val="20"/>
        </w:rPr>
      </w:pPr>
    </w:p>
    <w:p w14:paraId="03B813CF" w14:textId="08E03BF8" w:rsidR="001A5DAD" w:rsidRPr="001B4CA2" w:rsidRDefault="001A5DAD" w:rsidP="001A5DAD">
      <w:pPr>
        <w:pStyle w:val="Odlomakpopisa"/>
        <w:numPr>
          <w:ilvl w:val="0"/>
          <w:numId w:val="38"/>
        </w:numPr>
        <w:jc w:val="left"/>
        <w:rPr>
          <w:rFonts w:asciiTheme="minorHAnsi" w:hAnsiTheme="minorHAnsi" w:cstheme="minorBidi"/>
          <w:i/>
          <w:szCs w:val="22"/>
        </w:rPr>
      </w:pPr>
      <w:r w:rsidRPr="001B4CA2">
        <w:rPr>
          <w:rFonts w:asciiTheme="minorHAnsi" w:hAnsiTheme="minorHAnsi" w:cstheme="minorBidi"/>
          <w:i/>
          <w:szCs w:val="22"/>
        </w:rPr>
        <w:lastRenderedPageBreak/>
        <w:t xml:space="preserve">Broj predmeta i vrijednost zahtjeva po procesnom položaju u ovršnim predmetima </w:t>
      </w:r>
      <w:r w:rsidRPr="001B4CA2">
        <w:rPr>
          <w:i/>
          <w:color w:val="000000" w:themeColor="text1"/>
          <w:szCs w:val="22"/>
        </w:rPr>
        <w:t xml:space="preserve">radi naplate novčane tražbine </w:t>
      </w:r>
      <w:r w:rsidRPr="001B4CA2">
        <w:rPr>
          <w:i/>
          <w:szCs w:val="22"/>
        </w:rPr>
        <w:t xml:space="preserve">u 2022. </w:t>
      </w:r>
    </w:p>
    <w:tbl>
      <w:tblPr>
        <w:tblStyle w:val="Reetkatablice3"/>
        <w:tblW w:w="0" w:type="auto"/>
        <w:jc w:val="center"/>
        <w:tblLook w:val="04A0" w:firstRow="1" w:lastRow="0" w:firstColumn="1" w:lastColumn="0" w:noHBand="0" w:noVBand="1"/>
      </w:tblPr>
      <w:tblGrid>
        <w:gridCol w:w="565"/>
        <w:gridCol w:w="1028"/>
        <w:gridCol w:w="2732"/>
        <w:gridCol w:w="1496"/>
        <w:gridCol w:w="1893"/>
        <w:gridCol w:w="1574"/>
      </w:tblGrid>
      <w:tr w:rsidR="001A5DAD" w:rsidRPr="001B4CA2" w14:paraId="5C764F3C" w14:textId="77777777" w:rsidTr="00FC6656">
        <w:trPr>
          <w:trHeight w:val="723"/>
          <w:jc w:val="center"/>
        </w:trPr>
        <w:tc>
          <w:tcPr>
            <w:tcW w:w="5070" w:type="dxa"/>
            <w:gridSpan w:val="3"/>
            <w:shd w:val="clear" w:color="auto" w:fill="99CCFF"/>
            <w:vAlign w:val="center"/>
          </w:tcPr>
          <w:p w14:paraId="47DCAEE3" w14:textId="77777777" w:rsidR="001A5DAD" w:rsidRPr="001D4F0F" w:rsidRDefault="001A5DAD" w:rsidP="001A5DAD">
            <w:pPr>
              <w:jc w:val="center"/>
              <w:rPr>
                <w:rFonts w:cs="Arial"/>
                <w:b/>
                <w:sz w:val="20"/>
                <w:szCs w:val="20"/>
              </w:rPr>
            </w:pPr>
          </w:p>
        </w:tc>
        <w:tc>
          <w:tcPr>
            <w:tcW w:w="1842" w:type="dxa"/>
            <w:shd w:val="clear" w:color="auto" w:fill="99CCFF"/>
            <w:vAlign w:val="center"/>
          </w:tcPr>
          <w:p w14:paraId="782E0743" w14:textId="77777777" w:rsidR="001A5DAD" w:rsidRPr="00540F85" w:rsidRDefault="001A5DAD" w:rsidP="001A5DAD">
            <w:pPr>
              <w:jc w:val="center"/>
              <w:rPr>
                <w:rFonts w:cs="Arial"/>
                <w:b/>
                <w:sz w:val="18"/>
                <w:szCs w:val="18"/>
              </w:rPr>
            </w:pPr>
            <w:r w:rsidRPr="00540F85">
              <w:rPr>
                <w:rFonts w:cs="Arial"/>
                <w:b/>
                <w:sz w:val="18"/>
                <w:szCs w:val="18"/>
              </w:rPr>
              <w:t>Broj predmeta</w:t>
            </w:r>
          </w:p>
        </w:tc>
        <w:tc>
          <w:tcPr>
            <w:tcW w:w="2207" w:type="dxa"/>
            <w:shd w:val="clear" w:color="auto" w:fill="99CCFF"/>
            <w:vAlign w:val="center"/>
          </w:tcPr>
          <w:p w14:paraId="18D99C83" w14:textId="77777777" w:rsidR="001A5DAD" w:rsidRPr="00540F85" w:rsidRDefault="001A5DAD" w:rsidP="001A5DAD">
            <w:pPr>
              <w:jc w:val="center"/>
              <w:rPr>
                <w:rFonts w:cs="Arial"/>
                <w:b/>
                <w:sz w:val="18"/>
                <w:szCs w:val="18"/>
              </w:rPr>
            </w:pPr>
            <w:r w:rsidRPr="00540F85">
              <w:rPr>
                <w:rFonts w:cs="Arial"/>
                <w:b/>
                <w:sz w:val="18"/>
                <w:szCs w:val="18"/>
              </w:rPr>
              <w:t>Vrijednost</w:t>
            </w:r>
          </w:p>
          <w:p w14:paraId="6F561B23" w14:textId="77777777" w:rsidR="001A5DAD" w:rsidRPr="00540F85" w:rsidRDefault="001A5DAD" w:rsidP="001A5DAD">
            <w:pPr>
              <w:jc w:val="center"/>
              <w:rPr>
                <w:rFonts w:cs="Arial"/>
                <w:b/>
                <w:sz w:val="18"/>
                <w:szCs w:val="18"/>
              </w:rPr>
            </w:pPr>
            <w:r w:rsidRPr="00540F85">
              <w:rPr>
                <w:rFonts w:cs="Arial"/>
                <w:b/>
                <w:sz w:val="18"/>
                <w:szCs w:val="18"/>
              </w:rPr>
              <w:t xml:space="preserve"> (u kunama)</w:t>
            </w:r>
          </w:p>
        </w:tc>
        <w:tc>
          <w:tcPr>
            <w:tcW w:w="1727" w:type="dxa"/>
            <w:shd w:val="clear" w:color="auto" w:fill="99CCFF"/>
            <w:vAlign w:val="center"/>
          </w:tcPr>
          <w:p w14:paraId="555C0DD7" w14:textId="77777777" w:rsidR="001A5DAD" w:rsidRPr="00540F85" w:rsidRDefault="001A5DAD" w:rsidP="001A5DAD">
            <w:pPr>
              <w:jc w:val="center"/>
              <w:rPr>
                <w:rFonts w:cs="Arial"/>
                <w:b/>
                <w:sz w:val="18"/>
                <w:szCs w:val="18"/>
              </w:rPr>
            </w:pPr>
            <w:r w:rsidRPr="00540F85">
              <w:rPr>
                <w:rFonts w:cs="Arial"/>
                <w:b/>
                <w:sz w:val="18"/>
                <w:szCs w:val="18"/>
              </w:rPr>
              <w:t>Naplaćeno</w:t>
            </w:r>
          </w:p>
          <w:p w14:paraId="478BE252" w14:textId="77777777" w:rsidR="001A5DAD" w:rsidRPr="00540F85" w:rsidRDefault="001A5DAD" w:rsidP="001A5DAD">
            <w:pPr>
              <w:jc w:val="center"/>
              <w:rPr>
                <w:rFonts w:cs="Arial"/>
                <w:b/>
                <w:sz w:val="18"/>
                <w:szCs w:val="18"/>
              </w:rPr>
            </w:pPr>
            <w:r w:rsidRPr="00540F85">
              <w:rPr>
                <w:rFonts w:cs="Arial"/>
                <w:b/>
                <w:sz w:val="18"/>
                <w:szCs w:val="18"/>
              </w:rPr>
              <w:t xml:space="preserve">(u kunama) </w:t>
            </w:r>
          </w:p>
        </w:tc>
      </w:tr>
      <w:tr w:rsidR="001A5DAD" w:rsidRPr="001B4CA2" w14:paraId="6D8BA78A" w14:textId="77777777" w:rsidTr="00FC6656">
        <w:trPr>
          <w:cantSplit/>
          <w:trHeight w:val="454"/>
          <w:jc w:val="center"/>
        </w:trPr>
        <w:tc>
          <w:tcPr>
            <w:tcW w:w="626" w:type="dxa"/>
            <w:vMerge w:val="restart"/>
            <w:shd w:val="clear" w:color="auto" w:fill="99CCFF"/>
            <w:textDirection w:val="btLr"/>
            <w:vAlign w:val="center"/>
          </w:tcPr>
          <w:p w14:paraId="41CA9CC5" w14:textId="77777777" w:rsidR="001A5DAD" w:rsidRPr="001B4CA2" w:rsidRDefault="001A5DAD" w:rsidP="001A5DAD">
            <w:pPr>
              <w:ind w:left="113" w:right="113"/>
              <w:jc w:val="center"/>
              <w:rPr>
                <w:rFonts w:cs="Arial"/>
                <w:b/>
                <w:sz w:val="22"/>
                <w:szCs w:val="22"/>
              </w:rPr>
            </w:pPr>
            <w:r w:rsidRPr="001B4CA2">
              <w:rPr>
                <w:rFonts w:cs="Arial"/>
                <w:b/>
                <w:sz w:val="22"/>
                <w:szCs w:val="22"/>
              </w:rPr>
              <w:t>RH ovrhovoditelj</w:t>
            </w:r>
          </w:p>
        </w:tc>
        <w:tc>
          <w:tcPr>
            <w:tcW w:w="1028" w:type="dxa"/>
            <w:vMerge w:val="restart"/>
            <w:shd w:val="clear" w:color="auto" w:fill="99CCFF"/>
            <w:vAlign w:val="center"/>
          </w:tcPr>
          <w:p w14:paraId="14ED0198" w14:textId="77777777" w:rsidR="001A5DAD" w:rsidRPr="001B4CA2" w:rsidRDefault="001A5DAD" w:rsidP="001A5DAD">
            <w:pPr>
              <w:jc w:val="center"/>
              <w:rPr>
                <w:rFonts w:cs="Arial"/>
                <w:b/>
                <w:color w:val="000000"/>
                <w:sz w:val="20"/>
                <w:szCs w:val="20"/>
                <w:lang w:eastAsia="hr-HR"/>
              </w:rPr>
            </w:pPr>
            <w:r w:rsidRPr="001B4CA2">
              <w:rPr>
                <w:rFonts w:cs="Arial"/>
                <w:b/>
                <w:color w:val="000000"/>
                <w:sz w:val="20"/>
                <w:szCs w:val="20"/>
                <w:lang w:eastAsia="hr-HR"/>
              </w:rPr>
              <w:t>Izravna naplata</w:t>
            </w:r>
          </w:p>
        </w:tc>
        <w:tc>
          <w:tcPr>
            <w:tcW w:w="3416" w:type="dxa"/>
            <w:vAlign w:val="center"/>
          </w:tcPr>
          <w:p w14:paraId="6362D765" w14:textId="77777777" w:rsidR="001A5DAD" w:rsidRPr="001B4CA2" w:rsidRDefault="001A5DAD" w:rsidP="001D4F0F">
            <w:pPr>
              <w:jc w:val="left"/>
              <w:rPr>
                <w:rFonts w:cs="Arial"/>
                <w:color w:val="000000"/>
                <w:sz w:val="18"/>
                <w:szCs w:val="18"/>
                <w:lang w:eastAsia="hr-HR"/>
              </w:rPr>
            </w:pPr>
            <w:r w:rsidRPr="001B4CA2">
              <w:rPr>
                <w:rFonts w:cs="Arial"/>
                <w:color w:val="000000"/>
                <w:sz w:val="18"/>
                <w:szCs w:val="18"/>
                <w:lang w:eastAsia="hr-HR"/>
              </w:rPr>
              <w:t>Potraživanje iz parničnog/upravnog postupka</w:t>
            </w:r>
          </w:p>
        </w:tc>
        <w:tc>
          <w:tcPr>
            <w:tcW w:w="1842" w:type="dxa"/>
            <w:vAlign w:val="bottom"/>
          </w:tcPr>
          <w:p w14:paraId="61EE19DA"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2.464</w:t>
            </w:r>
          </w:p>
        </w:tc>
        <w:tc>
          <w:tcPr>
            <w:tcW w:w="2207" w:type="dxa"/>
            <w:vAlign w:val="bottom"/>
          </w:tcPr>
          <w:p w14:paraId="0662AA13"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72.613.325,71</w:t>
            </w:r>
          </w:p>
        </w:tc>
        <w:tc>
          <w:tcPr>
            <w:tcW w:w="1727" w:type="dxa"/>
            <w:vAlign w:val="bottom"/>
          </w:tcPr>
          <w:p w14:paraId="12234145"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24.736.461,42</w:t>
            </w:r>
          </w:p>
        </w:tc>
      </w:tr>
      <w:tr w:rsidR="001A5DAD" w:rsidRPr="001B4CA2" w14:paraId="086556A0" w14:textId="77777777" w:rsidTr="00FC6656">
        <w:trPr>
          <w:cantSplit/>
          <w:trHeight w:val="454"/>
          <w:jc w:val="center"/>
        </w:trPr>
        <w:tc>
          <w:tcPr>
            <w:tcW w:w="626" w:type="dxa"/>
            <w:vMerge/>
            <w:shd w:val="clear" w:color="auto" w:fill="99CCFF"/>
            <w:vAlign w:val="center"/>
          </w:tcPr>
          <w:p w14:paraId="21A7512C" w14:textId="77777777" w:rsidR="001A5DAD" w:rsidRPr="001B4CA2" w:rsidRDefault="001A5DAD" w:rsidP="001A5DAD">
            <w:pPr>
              <w:jc w:val="center"/>
              <w:rPr>
                <w:rFonts w:cs="Arial"/>
                <w:b/>
                <w:sz w:val="22"/>
                <w:szCs w:val="22"/>
              </w:rPr>
            </w:pPr>
          </w:p>
        </w:tc>
        <w:tc>
          <w:tcPr>
            <w:tcW w:w="1028" w:type="dxa"/>
            <w:vMerge/>
            <w:shd w:val="clear" w:color="auto" w:fill="99CCFF"/>
            <w:textDirection w:val="btLr"/>
            <w:vAlign w:val="center"/>
          </w:tcPr>
          <w:p w14:paraId="2AE1B829" w14:textId="77777777" w:rsidR="001A5DAD" w:rsidRPr="001B4CA2" w:rsidRDefault="001A5DAD" w:rsidP="001A5DAD">
            <w:pPr>
              <w:ind w:left="113" w:right="113"/>
              <w:jc w:val="center"/>
              <w:rPr>
                <w:rFonts w:cs="Arial"/>
                <w:b/>
                <w:color w:val="000000"/>
                <w:sz w:val="20"/>
                <w:szCs w:val="20"/>
                <w:lang w:eastAsia="hr-HR"/>
              </w:rPr>
            </w:pPr>
          </w:p>
        </w:tc>
        <w:tc>
          <w:tcPr>
            <w:tcW w:w="3416" w:type="dxa"/>
            <w:vAlign w:val="center"/>
          </w:tcPr>
          <w:p w14:paraId="3062D90F" w14:textId="77777777" w:rsidR="001A5DAD" w:rsidRPr="001B4CA2" w:rsidRDefault="001A5DAD" w:rsidP="001D4F0F">
            <w:pPr>
              <w:jc w:val="left"/>
              <w:rPr>
                <w:rFonts w:cs="Arial"/>
                <w:color w:val="000000"/>
                <w:sz w:val="18"/>
                <w:szCs w:val="18"/>
                <w:lang w:eastAsia="hr-HR"/>
              </w:rPr>
            </w:pPr>
            <w:r w:rsidRPr="001B4CA2">
              <w:rPr>
                <w:rFonts w:cs="Arial"/>
                <w:color w:val="000000"/>
                <w:sz w:val="18"/>
                <w:szCs w:val="18"/>
                <w:lang w:eastAsia="hr-HR"/>
              </w:rPr>
              <w:t>oduzeta imovinska korist</w:t>
            </w:r>
          </w:p>
        </w:tc>
        <w:tc>
          <w:tcPr>
            <w:tcW w:w="1842" w:type="dxa"/>
            <w:vAlign w:val="bottom"/>
          </w:tcPr>
          <w:p w14:paraId="5B2DD7F5"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1.182</w:t>
            </w:r>
          </w:p>
        </w:tc>
        <w:tc>
          <w:tcPr>
            <w:tcW w:w="2207" w:type="dxa"/>
            <w:vAlign w:val="bottom"/>
          </w:tcPr>
          <w:p w14:paraId="08C2C519"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298.171.363,70</w:t>
            </w:r>
          </w:p>
        </w:tc>
        <w:tc>
          <w:tcPr>
            <w:tcW w:w="1727" w:type="dxa"/>
            <w:vAlign w:val="bottom"/>
          </w:tcPr>
          <w:p w14:paraId="3310038F"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2.113.237,71</w:t>
            </w:r>
          </w:p>
        </w:tc>
      </w:tr>
      <w:tr w:rsidR="001A5DAD" w:rsidRPr="001B4CA2" w14:paraId="1F20F9A3" w14:textId="77777777" w:rsidTr="00FC6656">
        <w:trPr>
          <w:cantSplit/>
          <w:trHeight w:val="454"/>
          <w:jc w:val="center"/>
        </w:trPr>
        <w:tc>
          <w:tcPr>
            <w:tcW w:w="626" w:type="dxa"/>
            <w:vMerge/>
            <w:shd w:val="clear" w:color="auto" w:fill="99CCFF"/>
            <w:vAlign w:val="center"/>
          </w:tcPr>
          <w:p w14:paraId="32B8EB27" w14:textId="77777777" w:rsidR="001A5DAD" w:rsidRPr="001B4CA2" w:rsidRDefault="001A5DAD" w:rsidP="001A5DAD">
            <w:pPr>
              <w:jc w:val="center"/>
              <w:rPr>
                <w:rFonts w:cs="Arial"/>
                <w:b/>
                <w:sz w:val="22"/>
                <w:szCs w:val="22"/>
              </w:rPr>
            </w:pPr>
          </w:p>
        </w:tc>
        <w:tc>
          <w:tcPr>
            <w:tcW w:w="1028" w:type="dxa"/>
            <w:vMerge/>
            <w:shd w:val="clear" w:color="auto" w:fill="99CCFF"/>
            <w:textDirection w:val="btLr"/>
            <w:vAlign w:val="center"/>
          </w:tcPr>
          <w:p w14:paraId="7B220564" w14:textId="77777777" w:rsidR="001A5DAD" w:rsidRPr="001B4CA2" w:rsidRDefault="001A5DAD" w:rsidP="001A5DAD">
            <w:pPr>
              <w:ind w:left="113" w:right="113"/>
              <w:jc w:val="center"/>
              <w:rPr>
                <w:rFonts w:cs="Arial"/>
                <w:b/>
                <w:color w:val="000000"/>
                <w:sz w:val="20"/>
                <w:szCs w:val="20"/>
                <w:lang w:eastAsia="hr-HR"/>
              </w:rPr>
            </w:pPr>
          </w:p>
        </w:tc>
        <w:tc>
          <w:tcPr>
            <w:tcW w:w="3416" w:type="dxa"/>
            <w:vAlign w:val="center"/>
          </w:tcPr>
          <w:p w14:paraId="6335BF71" w14:textId="77777777" w:rsidR="001A5DAD" w:rsidRPr="001B4CA2" w:rsidRDefault="001A5DAD" w:rsidP="001D4F0F">
            <w:pPr>
              <w:jc w:val="left"/>
              <w:rPr>
                <w:rFonts w:cs="Arial"/>
                <w:color w:val="000000"/>
                <w:sz w:val="18"/>
                <w:szCs w:val="18"/>
                <w:lang w:eastAsia="hr-HR"/>
              </w:rPr>
            </w:pPr>
            <w:r w:rsidRPr="001B4CA2">
              <w:rPr>
                <w:rFonts w:cs="Arial"/>
                <w:sz w:val="18"/>
                <w:szCs w:val="18"/>
                <w:lang w:eastAsia="hr-HR"/>
              </w:rPr>
              <w:t>imovinskopravni zahtjev</w:t>
            </w:r>
          </w:p>
        </w:tc>
        <w:tc>
          <w:tcPr>
            <w:tcW w:w="1842" w:type="dxa"/>
            <w:vAlign w:val="bottom"/>
          </w:tcPr>
          <w:p w14:paraId="1FFE4478"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118</w:t>
            </w:r>
          </w:p>
        </w:tc>
        <w:tc>
          <w:tcPr>
            <w:tcW w:w="2207" w:type="dxa"/>
            <w:vAlign w:val="bottom"/>
          </w:tcPr>
          <w:p w14:paraId="78957114"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35.146.375,75</w:t>
            </w:r>
          </w:p>
        </w:tc>
        <w:tc>
          <w:tcPr>
            <w:tcW w:w="1727" w:type="dxa"/>
            <w:vAlign w:val="bottom"/>
          </w:tcPr>
          <w:p w14:paraId="18200308"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404.117,98</w:t>
            </w:r>
          </w:p>
        </w:tc>
      </w:tr>
      <w:tr w:rsidR="001A5DAD" w:rsidRPr="001B4CA2" w14:paraId="5338E696" w14:textId="77777777" w:rsidTr="00FC6656">
        <w:trPr>
          <w:cantSplit/>
          <w:trHeight w:val="454"/>
          <w:jc w:val="center"/>
        </w:trPr>
        <w:tc>
          <w:tcPr>
            <w:tcW w:w="626" w:type="dxa"/>
            <w:vMerge/>
            <w:shd w:val="clear" w:color="auto" w:fill="99CCFF"/>
            <w:vAlign w:val="center"/>
          </w:tcPr>
          <w:p w14:paraId="4F15B0BD" w14:textId="77777777" w:rsidR="001A5DAD" w:rsidRPr="001B4CA2" w:rsidRDefault="001A5DAD" w:rsidP="001A5DAD">
            <w:pPr>
              <w:jc w:val="center"/>
              <w:rPr>
                <w:rFonts w:cs="Arial"/>
                <w:b/>
                <w:sz w:val="22"/>
                <w:szCs w:val="22"/>
              </w:rPr>
            </w:pPr>
          </w:p>
        </w:tc>
        <w:tc>
          <w:tcPr>
            <w:tcW w:w="1028" w:type="dxa"/>
            <w:vMerge/>
            <w:shd w:val="clear" w:color="auto" w:fill="99CCFF"/>
            <w:textDirection w:val="btLr"/>
            <w:vAlign w:val="center"/>
          </w:tcPr>
          <w:p w14:paraId="0E2A2A4A" w14:textId="77777777" w:rsidR="001A5DAD" w:rsidRPr="001B4CA2" w:rsidRDefault="001A5DAD" w:rsidP="001A5DAD">
            <w:pPr>
              <w:ind w:left="113" w:right="113"/>
              <w:jc w:val="center"/>
              <w:rPr>
                <w:rFonts w:cs="Arial"/>
                <w:b/>
                <w:color w:val="000000"/>
                <w:sz w:val="20"/>
                <w:szCs w:val="20"/>
                <w:lang w:eastAsia="hr-HR"/>
              </w:rPr>
            </w:pPr>
          </w:p>
        </w:tc>
        <w:tc>
          <w:tcPr>
            <w:tcW w:w="3416" w:type="dxa"/>
            <w:vAlign w:val="center"/>
          </w:tcPr>
          <w:p w14:paraId="02A51461" w14:textId="77777777" w:rsidR="001A5DAD" w:rsidRPr="001B4CA2" w:rsidRDefault="001A5DAD" w:rsidP="001D4F0F">
            <w:pPr>
              <w:jc w:val="left"/>
              <w:rPr>
                <w:rFonts w:cs="Arial"/>
                <w:color w:val="000000"/>
                <w:sz w:val="18"/>
                <w:szCs w:val="18"/>
                <w:lang w:eastAsia="hr-HR"/>
              </w:rPr>
            </w:pPr>
            <w:r w:rsidRPr="001B4CA2">
              <w:rPr>
                <w:rFonts w:cs="Arial"/>
                <w:sz w:val="18"/>
                <w:szCs w:val="18"/>
              </w:rPr>
              <w:t>trošak kaznenog postupka</w:t>
            </w:r>
          </w:p>
        </w:tc>
        <w:tc>
          <w:tcPr>
            <w:tcW w:w="1842" w:type="dxa"/>
            <w:vAlign w:val="bottom"/>
          </w:tcPr>
          <w:p w14:paraId="120B8942"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7.867</w:t>
            </w:r>
          </w:p>
        </w:tc>
        <w:tc>
          <w:tcPr>
            <w:tcW w:w="2207" w:type="dxa"/>
            <w:vAlign w:val="bottom"/>
          </w:tcPr>
          <w:p w14:paraId="5F9D6F69"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25.980.797,83</w:t>
            </w:r>
          </w:p>
        </w:tc>
        <w:tc>
          <w:tcPr>
            <w:tcW w:w="1727" w:type="dxa"/>
            <w:vAlign w:val="bottom"/>
          </w:tcPr>
          <w:p w14:paraId="35C7F619"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3.578.806,48</w:t>
            </w:r>
          </w:p>
        </w:tc>
      </w:tr>
      <w:tr w:rsidR="001A5DAD" w:rsidRPr="001B4CA2" w14:paraId="18760188" w14:textId="77777777" w:rsidTr="00FC6656">
        <w:trPr>
          <w:cantSplit/>
          <w:trHeight w:val="454"/>
          <w:jc w:val="center"/>
        </w:trPr>
        <w:tc>
          <w:tcPr>
            <w:tcW w:w="626" w:type="dxa"/>
            <w:vMerge/>
            <w:shd w:val="clear" w:color="auto" w:fill="99CCFF"/>
            <w:vAlign w:val="center"/>
          </w:tcPr>
          <w:p w14:paraId="48F2E999" w14:textId="77777777" w:rsidR="001A5DAD" w:rsidRPr="001B4CA2" w:rsidRDefault="001A5DAD" w:rsidP="001A5DAD">
            <w:pPr>
              <w:jc w:val="center"/>
              <w:rPr>
                <w:rFonts w:cs="Arial"/>
                <w:b/>
                <w:sz w:val="22"/>
                <w:szCs w:val="22"/>
              </w:rPr>
            </w:pPr>
          </w:p>
        </w:tc>
        <w:tc>
          <w:tcPr>
            <w:tcW w:w="1028" w:type="dxa"/>
            <w:vMerge/>
            <w:shd w:val="clear" w:color="auto" w:fill="99CCFF"/>
            <w:textDirection w:val="btLr"/>
            <w:vAlign w:val="center"/>
          </w:tcPr>
          <w:p w14:paraId="29F87C02" w14:textId="77777777" w:rsidR="001A5DAD" w:rsidRPr="001B4CA2" w:rsidRDefault="001A5DAD" w:rsidP="001A5DAD">
            <w:pPr>
              <w:ind w:left="113" w:right="113"/>
              <w:jc w:val="center"/>
              <w:rPr>
                <w:rFonts w:cs="Arial"/>
                <w:b/>
                <w:color w:val="000000"/>
                <w:sz w:val="20"/>
                <w:szCs w:val="20"/>
                <w:lang w:eastAsia="hr-HR"/>
              </w:rPr>
            </w:pPr>
          </w:p>
        </w:tc>
        <w:tc>
          <w:tcPr>
            <w:tcW w:w="3416" w:type="dxa"/>
            <w:vAlign w:val="center"/>
          </w:tcPr>
          <w:p w14:paraId="3CBA2202" w14:textId="77777777" w:rsidR="001A5DAD" w:rsidRPr="001B4CA2" w:rsidRDefault="001A5DAD" w:rsidP="001D4F0F">
            <w:pPr>
              <w:jc w:val="left"/>
              <w:rPr>
                <w:rFonts w:cs="Arial"/>
                <w:color w:val="000000"/>
                <w:sz w:val="18"/>
                <w:szCs w:val="18"/>
                <w:lang w:eastAsia="hr-HR"/>
              </w:rPr>
            </w:pPr>
            <w:r w:rsidRPr="001B4CA2">
              <w:rPr>
                <w:rFonts w:cs="Arial"/>
                <w:sz w:val="18"/>
                <w:szCs w:val="18"/>
              </w:rPr>
              <w:t>trošak parničnog/ovršnog postupka</w:t>
            </w:r>
          </w:p>
        </w:tc>
        <w:tc>
          <w:tcPr>
            <w:tcW w:w="1842" w:type="dxa"/>
            <w:vAlign w:val="bottom"/>
          </w:tcPr>
          <w:p w14:paraId="4BB772EE"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1.385</w:t>
            </w:r>
          </w:p>
        </w:tc>
        <w:tc>
          <w:tcPr>
            <w:tcW w:w="2207" w:type="dxa"/>
            <w:vAlign w:val="bottom"/>
          </w:tcPr>
          <w:p w14:paraId="57C0E3E2"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17.761.239,26</w:t>
            </w:r>
          </w:p>
        </w:tc>
        <w:tc>
          <w:tcPr>
            <w:tcW w:w="1727" w:type="dxa"/>
            <w:vAlign w:val="bottom"/>
          </w:tcPr>
          <w:p w14:paraId="1DF343A0"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4.060.449,70</w:t>
            </w:r>
          </w:p>
        </w:tc>
      </w:tr>
      <w:tr w:rsidR="001A5DAD" w:rsidRPr="001B4CA2" w14:paraId="1B51FA55" w14:textId="77777777" w:rsidTr="00FC6656">
        <w:trPr>
          <w:cantSplit/>
          <w:trHeight w:val="454"/>
          <w:jc w:val="center"/>
        </w:trPr>
        <w:tc>
          <w:tcPr>
            <w:tcW w:w="626" w:type="dxa"/>
            <w:vMerge/>
            <w:shd w:val="clear" w:color="auto" w:fill="99CCFF"/>
            <w:vAlign w:val="center"/>
          </w:tcPr>
          <w:p w14:paraId="02257EEC" w14:textId="77777777" w:rsidR="001A5DAD" w:rsidRPr="001B4CA2" w:rsidRDefault="001A5DAD" w:rsidP="001A5DAD">
            <w:pPr>
              <w:jc w:val="center"/>
              <w:rPr>
                <w:rFonts w:cs="Arial"/>
                <w:b/>
                <w:sz w:val="22"/>
              </w:rPr>
            </w:pPr>
          </w:p>
        </w:tc>
        <w:tc>
          <w:tcPr>
            <w:tcW w:w="1028" w:type="dxa"/>
            <w:vMerge w:val="restart"/>
            <w:shd w:val="clear" w:color="auto" w:fill="99CCFF"/>
            <w:vAlign w:val="center"/>
          </w:tcPr>
          <w:p w14:paraId="7382E645" w14:textId="77777777" w:rsidR="001A5DAD" w:rsidRPr="001B4CA2" w:rsidRDefault="001A5DAD" w:rsidP="001A5DAD">
            <w:pPr>
              <w:jc w:val="center"/>
              <w:rPr>
                <w:rFonts w:cs="Arial"/>
                <w:b/>
                <w:color w:val="000000"/>
                <w:sz w:val="20"/>
                <w:szCs w:val="20"/>
                <w:lang w:eastAsia="hr-HR"/>
              </w:rPr>
            </w:pPr>
            <w:r w:rsidRPr="001B4CA2">
              <w:rPr>
                <w:rFonts w:cs="Arial"/>
                <w:b/>
                <w:color w:val="000000"/>
                <w:sz w:val="20"/>
                <w:szCs w:val="20"/>
                <w:lang w:eastAsia="hr-HR"/>
              </w:rPr>
              <w:t>Ovrha novčane tražbine</w:t>
            </w:r>
          </w:p>
        </w:tc>
        <w:tc>
          <w:tcPr>
            <w:tcW w:w="3416" w:type="dxa"/>
            <w:vAlign w:val="center"/>
          </w:tcPr>
          <w:p w14:paraId="7FC8CA4B" w14:textId="77777777" w:rsidR="001A5DAD" w:rsidRPr="001B4CA2" w:rsidRDefault="001A5DAD" w:rsidP="001D4F0F">
            <w:pPr>
              <w:jc w:val="left"/>
              <w:rPr>
                <w:rFonts w:cs="Arial"/>
                <w:color w:val="000000"/>
                <w:sz w:val="18"/>
                <w:szCs w:val="18"/>
                <w:lang w:eastAsia="hr-HR"/>
              </w:rPr>
            </w:pPr>
            <w:r w:rsidRPr="001B4CA2">
              <w:rPr>
                <w:rFonts w:cs="Arial"/>
                <w:color w:val="000000"/>
                <w:sz w:val="18"/>
                <w:szCs w:val="18"/>
                <w:lang w:eastAsia="hr-HR"/>
              </w:rPr>
              <w:t>vjerodostojna isprava</w:t>
            </w:r>
          </w:p>
        </w:tc>
        <w:tc>
          <w:tcPr>
            <w:tcW w:w="1842" w:type="dxa"/>
            <w:vAlign w:val="bottom"/>
          </w:tcPr>
          <w:p w14:paraId="55059F4C"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690</w:t>
            </w:r>
          </w:p>
        </w:tc>
        <w:tc>
          <w:tcPr>
            <w:tcW w:w="2207" w:type="dxa"/>
            <w:vAlign w:val="bottom"/>
          </w:tcPr>
          <w:p w14:paraId="53BD10C8"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15.504.269,67</w:t>
            </w:r>
          </w:p>
        </w:tc>
        <w:tc>
          <w:tcPr>
            <w:tcW w:w="1727" w:type="dxa"/>
            <w:vAlign w:val="bottom"/>
          </w:tcPr>
          <w:p w14:paraId="1739B142"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682.618,38</w:t>
            </w:r>
          </w:p>
        </w:tc>
      </w:tr>
      <w:tr w:rsidR="001A5DAD" w:rsidRPr="001B4CA2" w14:paraId="4908F478" w14:textId="77777777" w:rsidTr="00FC6656">
        <w:trPr>
          <w:cantSplit/>
          <w:trHeight w:val="454"/>
          <w:jc w:val="center"/>
        </w:trPr>
        <w:tc>
          <w:tcPr>
            <w:tcW w:w="626" w:type="dxa"/>
            <w:vMerge/>
            <w:shd w:val="clear" w:color="auto" w:fill="99CCFF"/>
            <w:vAlign w:val="center"/>
          </w:tcPr>
          <w:p w14:paraId="32FD620D" w14:textId="77777777" w:rsidR="001A5DAD" w:rsidRPr="001B4CA2" w:rsidRDefault="001A5DAD" w:rsidP="001A5DAD">
            <w:pPr>
              <w:jc w:val="center"/>
              <w:rPr>
                <w:rFonts w:cs="Arial"/>
                <w:b/>
                <w:sz w:val="22"/>
                <w:szCs w:val="22"/>
              </w:rPr>
            </w:pPr>
          </w:p>
        </w:tc>
        <w:tc>
          <w:tcPr>
            <w:tcW w:w="1028" w:type="dxa"/>
            <w:vMerge/>
            <w:shd w:val="clear" w:color="auto" w:fill="99CCFF"/>
            <w:vAlign w:val="center"/>
          </w:tcPr>
          <w:p w14:paraId="3DA75807" w14:textId="77777777" w:rsidR="001A5DAD" w:rsidRPr="001B4CA2" w:rsidRDefault="001A5DAD" w:rsidP="001A5DAD">
            <w:pPr>
              <w:jc w:val="center"/>
              <w:rPr>
                <w:rFonts w:cs="Arial"/>
                <w:b/>
                <w:color w:val="000000"/>
                <w:sz w:val="20"/>
                <w:szCs w:val="20"/>
                <w:lang w:eastAsia="hr-HR"/>
              </w:rPr>
            </w:pPr>
          </w:p>
        </w:tc>
        <w:tc>
          <w:tcPr>
            <w:tcW w:w="3416" w:type="dxa"/>
            <w:vAlign w:val="center"/>
          </w:tcPr>
          <w:p w14:paraId="57E8CD13" w14:textId="77777777" w:rsidR="001A5DAD" w:rsidRPr="001B4CA2" w:rsidRDefault="001A5DAD" w:rsidP="001D4F0F">
            <w:pPr>
              <w:jc w:val="left"/>
              <w:rPr>
                <w:rFonts w:cs="Arial"/>
                <w:color w:val="000000"/>
                <w:sz w:val="18"/>
                <w:szCs w:val="18"/>
                <w:lang w:eastAsia="hr-HR"/>
              </w:rPr>
            </w:pPr>
            <w:r w:rsidRPr="001B4CA2">
              <w:rPr>
                <w:rFonts w:cs="Arial"/>
                <w:color w:val="000000"/>
                <w:sz w:val="18"/>
                <w:szCs w:val="18"/>
                <w:lang w:eastAsia="hr-HR"/>
              </w:rPr>
              <w:t>potraživanje iz parničnog/upravnog postupka</w:t>
            </w:r>
          </w:p>
        </w:tc>
        <w:tc>
          <w:tcPr>
            <w:tcW w:w="1842" w:type="dxa"/>
            <w:vAlign w:val="bottom"/>
          </w:tcPr>
          <w:p w14:paraId="19102526"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352</w:t>
            </w:r>
          </w:p>
        </w:tc>
        <w:tc>
          <w:tcPr>
            <w:tcW w:w="2207" w:type="dxa"/>
            <w:vAlign w:val="bottom"/>
          </w:tcPr>
          <w:p w14:paraId="1B6DF514"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161.546.468,06</w:t>
            </w:r>
          </w:p>
        </w:tc>
        <w:tc>
          <w:tcPr>
            <w:tcW w:w="1727" w:type="dxa"/>
            <w:vAlign w:val="bottom"/>
          </w:tcPr>
          <w:p w14:paraId="645FC4AC"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25.101.641,87</w:t>
            </w:r>
          </w:p>
        </w:tc>
      </w:tr>
      <w:tr w:rsidR="001A5DAD" w:rsidRPr="001B4CA2" w14:paraId="5C35ABF6" w14:textId="77777777" w:rsidTr="00FC6656">
        <w:trPr>
          <w:cantSplit/>
          <w:trHeight w:val="454"/>
          <w:jc w:val="center"/>
        </w:trPr>
        <w:tc>
          <w:tcPr>
            <w:tcW w:w="626" w:type="dxa"/>
            <w:vMerge/>
            <w:shd w:val="clear" w:color="auto" w:fill="99CCFF"/>
            <w:vAlign w:val="center"/>
          </w:tcPr>
          <w:p w14:paraId="77976E57" w14:textId="77777777" w:rsidR="001A5DAD" w:rsidRPr="001B4CA2" w:rsidRDefault="001A5DAD" w:rsidP="001A5DAD">
            <w:pPr>
              <w:jc w:val="center"/>
              <w:rPr>
                <w:rFonts w:cs="Arial"/>
                <w:b/>
                <w:sz w:val="22"/>
                <w:szCs w:val="22"/>
              </w:rPr>
            </w:pPr>
          </w:p>
        </w:tc>
        <w:tc>
          <w:tcPr>
            <w:tcW w:w="1028" w:type="dxa"/>
            <w:vMerge/>
            <w:shd w:val="clear" w:color="auto" w:fill="99CCFF"/>
            <w:vAlign w:val="center"/>
          </w:tcPr>
          <w:p w14:paraId="0770FC24" w14:textId="77777777" w:rsidR="001A5DAD" w:rsidRPr="001B4CA2" w:rsidRDefault="001A5DAD" w:rsidP="001A5DAD">
            <w:pPr>
              <w:jc w:val="center"/>
              <w:rPr>
                <w:rFonts w:cs="Arial"/>
                <w:b/>
                <w:color w:val="000000"/>
                <w:sz w:val="18"/>
                <w:szCs w:val="18"/>
                <w:lang w:eastAsia="hr-HR"/>
              </w:rPr>
            </w:pPr>
          </w:p>
        </w:tc>
        <w:tc>
          <w:tcPr>
            <w:tcW w:w="3416" w:type="dxa"/>
            <w:vAlign w:val="center"/>
          </w:tcPr>
          <w:p w14:paraId="1485A05C" w14:textId="77777777" w:rsidR="001A5DAD" w:rsidRPr="001B4CA2" w:rsidRDefault="001A5DAD" w:rsidP="001D4F0F">
            <w:pPr>
              <w:jc w:val="left"/>
              <w:rPr>
                <w:rFonts w:cs="Arial"/>
                <w:color w:val="000000"/>
                <w:sz w:val="18"/>
                <w:szCs w:val="18"/>
                <w:lang w:eastAsia="hr-HR"/>
              </w:rPr>
            </w:pPr>
            <w:r w:rsidRPr="001B4CA2">
              <w:rPr>
                <w:rFonts w:cs="Arial"/>
                <w:color w:val="000000"/>
                <w:sz w:val="18"/>
                <w:szCs w:val="18"/>
                <w:lang w:eastAsia="hr-HR"/>
              </w:rPr>
              <w:t>oduzeta imovinska korist</w:t>
            </w:r>
          </w:p>
        </w:tc>
        <w:tc>
          <w:tcPr>
            <w:tcW w:w="1842" w:type="dxa"/>
            <w:vAlign w:val="bottom"/>
          </w:tcPr>
          <w:p w14:paraId="6565B480"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140</w:t>
            </w:r>
          </w:p>
        </w:tc>
        <w:tc>
          <w:tcPr>
            <w:tcW w:w="2207" w:type="dxa"/>
            <w:vAlign w:val="bottom"/>
          </w:tcPr>
          <w:p w14:paraId="09CA6C7E"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29.137.575,44</w:t>
            </w:r>
          </w:p>
        </w:tc>
        <w:tc>
          <w:tcPr>
            <w:tcW w:w="1727" w:type="dxa"/>
            <w:vAlign w:val="bottom"/>
          </w:tcPr>
          <w:p w14:paraId="35B0D705"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592.829,53</w:t>
            </w:r>
          </w:p>
        </w:tc>
      </w:tr>
      <w:tr w:rsidR="001A5DAD" w:rsidRPr="001B4CA2" w14:paraId="35FD7C1C" w14:textId="77777777" w:rsidTr="00FC6656">
        <w:trPr>
          <w:cantSplit/>
          <w:trHeight w:val="454"/>
          <w:jc w:val="center"/>
        </w:trPr>
        <w:tc>
          <w:tcPr>
            <w:tcW w:w="626" w:type="dxa"/>
            <w:vMerge/>
            <w:shd w:val="clear" w:color="auto" w:fill="99CCFF"/>
            <w:vAlign w:val="center"/>
          </w:tcPr>
          <w:p w14:paraId="1212F1B5" w14:textId="77777777" w:rsidR="001A5DAD" w:rsidRPr="001B4CA2" w:rsidRDefault="001A5DAD" w:rsidP="001A5DAD">
            <w:pPr>
              <w:jc w:val="center"/>
              <w:rPr>
                <w:rFonts w:cs="Arial"/>
                <w:b/>
                <w:sz w:val="22"/>
                <w:szCs w:val="22"/>
              </w:rPr>
            </w:pPr>
          </w:p>
        </w:tc>
        <w:tc>
          <w:tcPr>
            <w:tcW w:w="1028" w:type="dxa"/>
            <w:vMerge/>
            <w:shd w:val="clear" w:color="auto" w:fill="99CCFF"/>
            <w:vAlign w:val="center"/>
          </w:tcPr>
          <w:p w14:paraId="7BCF7176" w14:textId="77777777" w:rsidR="001A5DAD" w:rsidRPr="001B4CA2" w:rsidRDefault="001A5DAD" w:rsidP="001A5DAD">
            <w:pPr>
              <w:jc w:val="center"/>
              <w:rPr>
                <w:rFonts w:cs="Arial"/>
                <w:b/>
                <w:color w:val="000000"/>
                <w:sz w:val="18"/>
                <w:szCs w:val="18"/>
                <w:lang w:eastAsia="hr-HR"/>
              </w:rPr>
            </w:pPr>
          </w:p>
        </w:tc>
        <w:tc>
          <w:tcPr>
            <w:tcW w:w="3416" w:type="dxa"/>
            <w:vAlign w:val="center"/>
          </w:tcPr>
          <w:p w14:paraId="6040AB5C" w14:textId="77777777" w:rsidR="001A5DAD" w:rsidRPr="001B4CA2" w:rsidRDefault="001A5DAD" w:rsidP="001D4F0F">
            <w:pPr>
              <w:jc w:val="left"/>
              <w:rPr>
                <w:rFonts w:cs="Arial"/>
                <w:color w:val="000000"/>
                <w:sz w:val="18"/>
                <w:szCs w:val="18"/>
                <w:lang w:eastAsia="hr-HR"/>
              </w:rPr>
            </w:pPr>
            <w:r w:rsidRPr="001B4CA2">
              <w:rPr>
                <w:rFonts w:cs="Arial"/>
                <w:sz w:val="18"/>
                <w:szCs w:val="18"/>
                <w:lang w:eastAsia="hr-HR"/>
              </w:rPr>
              <w:t>imovinskopravni zahtjev</w:t>
            </w:r>
          </w:p>
        </w:tc>
        <w:tc>
          <w:tcPr>
            <w:tcW w:w="1842" w:type="dxa"/>
            <w:vAlign w:val="bottom"/>
          </w:tcPr>
          <w:p w14:paraId="2BFACD0D"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15</w:t>
            </w:r>
          </w:p>
        </w:tc>
        <w:tc>
          <w:tcPr>
            <w:tcW w:w="2207" w:type="dxa"/>
            <w:vAlign w:val="bottom"/>
          </w:tcPr>
          <w:p w14:paraId="4F994363"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2.109.228,20</w:t>
            </w:r>
          </w:p>
        </w:tc>
        <w:tc>
          <w:tcPr>
            <w:tcW w:w="1727" w:type="dxa"/>
            <w:vAlign w:val="bottom"/>
          </w:tcPr>
          <w:p w14:paraId="45BB1ABC"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196.803,12</w:t>
            </w:r>
          </w:p>
        </w:tc>
      </w:tr>
      <w:tr w:rsidR="001A5DAD" w:rsidRPr="001B4CA2" w14:paraId="1EA1EB7A" w14:textId="77777777" w:rsidTr="00FC6656">
        <w:trPr>
          <w:cantSplit/>
          <w:trHeight w:val="454"/>
          <w:jc w:val="center"/>
        </w:trPr>
        <w:tc>
          <w:tcPr>
            <w:tcW w:w="626" w:type="dxa"/>
            <w:vMerge/>
            <w:shd w:val="clear" w:color="auto" w:fill="99CCFF"/>
            <w:vAlign w:val="center"/>
          </w:tcPr>
          <w:p w14:paraId="588F0188" w14:textId="77777777" w:rsidR="001A5DAD" w:rsidRPr="001B4CA2" w:rsidRDefault="001A5DAD" w:rsidP="001A5DAD">
            <w:pPr>
              <w:jc w:val="center"/>
              <w:rPr>
                <w:rFonts w:cs="Arial"/>
                <w:b/>
                <w:sz w:val="22"/>
                <w:szCs w:val="22"/>
              </w:rPr>
            </w:pPr>
          </w:p>
        </w:tc>
        <w:tc>
          <w:tcPr>
            <w:tcW w:w="1028" w:type="dxa"/>
            <w:vMerge/>
            <w:shd w:val="clear" w:color="auto" w:fill="99CCFF"/>
            <w:vAlign w:val="center"/>
          </w:tcPr>
          <w:p w14:paraId="013AA390" w14:textId="77777777" w:rsidR="001A5DAD" w:rsidRPr="001B4CA2" w:rsidRDefault="001A5DAD" w:rsidP="001A5DAD">
            <w:pPr>
              <w:jc w:val="center"/>
              <w:rPr>
                <w:rFonts w:cs="Arial"/>
                <w:b/>
                <w:color w:val="000000"/>
                <w:sz w:val="18"/>
                <w:szCs w:val="18"/>
                <w:lang w:eastAsia="hr-HR"/>
              </w:rPr>
            </w:pPr>
          </w:p>
        </w:tc>
        <w:tc>
          <w:tcPr>
            <w:tcW w:w="3416" w:type="dxa"/>
            <w:tcBorders>
              <w:bottom w:val="single" w:sz="4" w:space="0" w:color="auto"/>
            </w:tcBorders>
            <w:vAlign w:val="center"/>
          </w:tcPr>
          <w:p w14:paraId="41A18708" w14:textId="77777777" w:rsidR="001A5DAD" w:rsidRPr="001B4CA2" w:rsidRDefault="001A5DAD" w:rsidP="001D4F0F">
            <w:pPr>
              <w:jc w:val="left"/>
              <w:rPr>
                <w:rFonts w:cs="Arial"/>
                <w:color w:val="000000"/>
                <w:sz w:val="18"/>
                <w:szCs w:val="18"/>
                <w:lang w:eastAsia="hr-HR"/>
              </w:rPr>
            </w:pPr>
            <w:r w:rsidRPr="001B4CA2">
              <w:rPr>
                <w:rFonts w:cs="Arial"/>
                <w:sz w:val="18"/>
                <w:szCs w:val="18"/>
              </w:rPr>
              <w:t>trošak kaznenog postupka</w:t>
            </w:r>
          </w:p>
        </w:tc>
        <w:tc>
          <w:tcPr>
            <w:tcW w:w="1842" w:type="dxa"/>
            <w:vAlign w:val="bottom"/>
          </w:tcPr>
          <w:p w14:paraId="6CC60ED4"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267</w:t>
            </w:r>
          </w:p>
        </w:tc>
        <w:tc>
          <w:tcPr>
            <w:tcW w:w="2207" w:type="dxa"/>
            <w:vAlign w:val="bottom"/>
          </w:tcPr>
          <w:p w14:paraId="0533C6EB"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5.607.278,36</w:t>
            </w:r>
          </w:p>
        </w:tc>
        <w:tc>
          <w:tcPr>
            <w:tcW w:w="1727" w:type="dxa"/>
            <w:vAlign w:val="bottom"/>
          </w:tcPr>
          <w:p w14:paraId="2E62C810"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1.863.748,21</w:t>
            </w:r>
          </w:p>
        </w:tc>
      </w:tr>
      <w:tr w:rsidR="001A5DAD" w:rsidRPr="001B4CA2" w14:paraId="5DA07A62" w14:textId="77777777" w:rsidTr="00FC6656">
        <w:trPr>
          <w:cantSplit/>
          <w:trHeight w:val="454"/>
          <w:jc w:val="center"/>
        </w:trPr>
        <w:tc>
          <w:tcPr>
            <w:tcW w:w="626" w:type="dxa"/>
            <w:vMerge/>
            <w:shd w:val="clear" w:color="auto" w:fill="99CCFF"/>
            <w:vAlign w:val="center"/>
          </w:tcPr>
          <w:p w14:paraId="44D35CBF" w14:textId="77777777" w:rsidR="001A5DAD" w:rsidRPr="001B4CA2" w:rsidRDefault="001A5DAD" w:rsidP="001A5DAD">
            <w:pPr>
              <w:jc w:val="center"/>
              <w:rPr>
                <w:rFonts w:cs="Arial"/>
                <w:b/>
                <w:sz w:val="22"/>
                <w:szCs w:val="22"/>
              </w:rPr>
            </w:pPr>
          </w:p>
        </w:tc>
        <w:tc>
          <w:tcPr>
            <w:tcW w:w="1028" w:type="dxa"/>
            <w:vMerge/>
            <w:shd w:val="clear" w:color="auto" w:fill="99CCFF"/>
            <w:vAlign w:val="center"/>
          </w:tcPr>
          <w:p w14:paraId="7B99D26A" w14:textId="77777777" w:rsidR="001A5DAD" w:rsidRPr="001B4CA2" w:rsidRDefault="001A5DAD" w:rsidP="001A5DAD">
            <w:pPr>
              <w:jc w:val="center"/>
              <w:rPr>
                <w:rFonts w:cs="Arial"/>
                <w:b/>
                <w:color w:val="000000"/>
                <w:sz w:val="18"/>
                <w:szCs w:val="18"/>
                <w:lang w:eastAsia="hr-HR"/>
              </w:rPr>
            </w:pPr>
          </w:p>
        </w:tc>
        <w:tc>
          <w:tcPr>
            <w:tcW w:w="3416" w:type="dxa"/>
            <w:tcBorders>
              <w:bottom w:val="single" w:sz="4" w:space="0" w:color="auto"/>
            </w:tcBorders>
            <w:vAlign w:val="center"/>
          </w:tcPr>
          <w:p w14:paraId="572A3434" w14:textId="77777777" w:rsidR="001A5DAD" w:rsidRPr="001B4CA2" w:rsidRDefault="001A5DAD" w:rsidP="001D4F0F">
            <w:pPr>
              <w:jc w:val="left"/>
              <w:rPr>
                <w:rFonts w:cs="Arial"/>
                <w:color w:val="000000"/>
                <w:sz w:val="18"/>
                <w:szCs w:val="18"/>
                <w:lang w:eastAsia="hr-HR"/>
              </w:rPr>
            </w:pPr>
            <w:r w:rsidRPr="001B4CA2">
              <w:rPr>
                <w:rFonts w:cs="Arial"/>
                <w:sz w:val="18"/>
                <w:szCs w:val="18"/>
              </w:rPr>
              <w:t>trošak parničnog/ovršnog postupka</w:t>
            </w:r>
          </w:p>
        </w:tc>
        <w:tc>
          <w:tcPr>
            <w:tcW w:w="1842" w:type="dxa"/>
            <w:vAlign w:val="bottom"/>
          </w:tcPr>
          <w:p w14:paraId="092186EF"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172</w:t>
            </w:r>
          </w:p>
        </w:tc>
        <w:tc>
          <w:tcPr>
            <w:tcW w:w="2207" w:type="dxa"/>
            <w:vAlign w:val="bottom"/>
          </w:tcPr>
          <w:p w14:paraId="664242B5"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3.821.017,26</w:t>
            </w:r>
          </w:p>
        </w:tc>
        <w:tc>
          <w:tcPr>
            <w:tcW w:w="1727" w:type="dxa"/>
            <w:vAlign w:val="bottom"/>
          </w:tcPr>
          <w:p w14:paraId="17060953"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2.062.278,69</w:t>
            </w:r>
          </w:p>
        </w:tc>
      </w:tr>
      <w:tr w:rsidR="001A5DAD" w:rsidRPr="001B4CA2" w14:paraId="2CA73721" w14:textId="77777777" w:rsidTr="00FC6656">
        <w:trPr>
          <w:cantSplit/>
          <w:trHeight w:val="454"/>
          <w:jc w:val="center"/>
        </w:trPr>
        <w:tc>
          <w:tcPr>
            <w:tcW w:w="626" w:type="dxa"/>
            <w:vMerge/>
            <w:shd w:val="clear" w:color="auto" w:fill="99CCFF"/>
            <w:vAlign w:val="center"/>
          </w:tcPr>
          <w:p w14:paraId="7083FB82" w14:textId="77777777" w:rsidR="001A5DAD" w:rsidRPr="001B4CA2" w:rsidRDefault="001A5DAD" w:rsidP="001A5DAD">
            <w:pPr>
              <w:jc w:val="center"/>
              <w:rPr>
                <w:rFonts w:cs="Arial"/>
                <w:b/>
                <w:sz w:val="22"/>
              </w:rPr>
            </w:pPr>
          </w:p>
        </w:tc>
        <w:tc>
          <w:tcPr>
            <w:tcW w:w="1028" w:type="dxa"/>
            <w:vMerge/>
            <w:shd w:val="clear" w:color="auto" w:fill="99CCFF"/>
            <w:vAlign w:val="center"/>
          </w:tcPr>
          <w:p w14:paraId="12549860" w14:textId="77777777" w:rsidR="001A5DAD" w:rsidRPr="001B4CA2" w:rsidRDefault="001A5DAD" w:rsidP="001A5DAD">
            <w:pPr>
              <w:jc w:val="center"/>
              <w:rPr>
                <w:rFonts w:cs="Arial"/>
                <w:b/>
                <w:color w:val="000000"/>
                <w:sz w:val="18"/>
                <w:szCs w:val="18"/>
                <w:lang w:eastAsia="hr-HR"/>
              </w:rPr>
            </w:pPr>
          </w:p>
        </w:tc>
        <w:tc>
          <w:tcPr>
            <w:tcW w:w="3416" w:type="dxa"/>
            <w:tcBorders>
              <w:bottom w:val="single" w:sz="4" w:space="0" w:color="auto"/>
            </w:tcBorders>
            <w:vAlign w:val="center"/>
          </w:tcPr>
          <w:p w14:paraId="52664EF3" w14:textId="77777777" w:rsidR="001A5DAD" w:rsidRPr="001B4CA2" w:rsidRDefault="001A5DAD" w:rsidP="001D4F0F">
            <w:pPr>
              <w:jc w:val="left"/>
              <w:rPr>
                <w:rFonts w:cs="Arial"/>
                <w:sz w:val="18"/>
                <w:szCs w:val="18"/>
              </w:rPr>
            </w:pPr>
            <w:r w:rsidRPr="001B4CA2">
              <w:rPr>
                <w:rFonts w:cs="Arial"/>
                <w:sz w:val="18"/>
                <w:szCs w:val="18"/>
              </w:rPr>
              <w:t>Ostale ovršne isprave</w:t>
            </w:r>
          </w:p>
        </w:tc>
        <w:tc>
          <w:tcPr>
            <w:tcW w:w="1842" w:type="dxa"/>
            <w:vAlign w:val="bottom"/>
          </w:tcPr>
          <w:p w14:paraId="39EFA355"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230</w:t>
            </w:r>
          </w:p>
        </w:tc>
        <w:tc>
          <w:tcPr>
            <w:tcW w:w="2207" w:type="dxa"/>
            <w:vAlign w:val="bottom"/>
          </w:tcPr>
          <w:p w14:paraId="3959D2AA"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116.789.507,76</w:t>
            </w:r>
          </w:p>
        </w:tc>
        <w:tc>
          <w:tcPr>
            <w:tcW w:w="1727" w:type="dxa"/>
            <w:vAlign w:val="bottom"/>
          </w:tcPr>
          <w:p w14:paraId="45F394FB"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563.622,11</w:t>
            </w:r>
          </w:p>
        </w:tc>
      </w:tr>
      <w:tr w:rsidR="001A5DAD" w:rsidRPr="001B4CA2" w14:paraId="5A03A3F3" w14:textId="77777777" w:rsidTr="00FC6656">
        <w:trPr>
          <w:trHeight w:val="420"/>
          <w:jc w:val="center"/>
        </w:trPr>
        <w:tc>
          <w:tcPr>
            <w:tcW w:w="626" w:type="dxa"/>
            <w:vMerge/>
            <w:shd w:val="clear" w:color="auto" w:fill="99CCFF"/>
            <w:vAlign w:val="center"/>
          </w:tcPr>
          <w:p w14:paraId="25FAAD94" w14:textId="77777777" w:rsidR="001A5DAD" w:rsidRPr="001B4CA2" w:rsidRDefault="001A5DAD" w:rsidP="001A5DAD">
            <w:pPr>
              <w:jc w:val="center"/>
              <w:rPr>
                <w:rFonts w:cs="Arial"/>
                <w:b/>
                <w:sz w:val="22"/>
                <w:szCs w:val="22"/>
              </w:rPr>
            </w:pPr>
          </w:p>
        </w:tc>
        <w:tc>
          <w:tcPr>
            <w:tcW w:w="4444" w:type="dxa"/>
            <w:gridSpan w:val="2"/>
            <w:tcBorders>
              <w:bottom w:val="single" w:sz="4" w:space="0" w:color="auto"/>
            </w:tcBorders>
            <w:shd w:val="clear" w:color="auto" w:fill="auto"/>
            <w:vAlign w:val="center"/>
          </w:tcPr>
          <w:p w14:paraId="1CE1D046" w14:textId="77777777" w:rsidR="001A5DAD" w:rsidRPr="00540F85" w:rsidRDefault="001A5DAD" w:rsidP="001A5DAD">
            <w:pPr>
              <w:jc w:val="right"/>
              <w:rPr>
                <w:rFonts w:cs="Arial"/>
                <w:b/>
                <w:color w:val="000000"/>
                <w:sz w:val="20"/>
                <w:szCs w:val="20"/>
                <w:lang w:eastAsia="hr-HR"/>
              </w:rPr>
            </w:pPr>
            <w:r w:rsidRPr="00540F85">
              <w:rPr>
                <w:rFonts w:cs="Arial"/>
                <w:b/>
                <w:color w:val="000000"/>
                <w:sz w:val="20"/>
                <w:szCs w:val="20"/>
                <w:lang w:eastAsia="hr-HR"/>
              </w:rPr>
              <w:t>RH OVRHOVODITELJ UKUPNO:</w:t>
            </w:r>
          </w:p>
        </w:tc>
        <w:tc>
          <w:tcPr>
            <w:tcW w:w="1842" w:type="dxa"/>
            <w:vAlign w:val="bottom"/>
          </w:tcPr>
          <w:p w14:paraId="1DFFC82D" w14:textId="77777777" w:rsidR="001A5DAD" w:rsidRPr="001D4F0F" w:rsidRDefault="001A5DAD" w:rsidP="001A5DAD">
            <w:pPr>
              <w:jc w:val="center"/>
              <w:rPr>
                <w:rFonts w:asciiTheme="minorHAnsi" w:hAnsiTheme="minorHAnsi" w:cstheme="minorHAnsi"/>
                <w:b/>
                <w:bCs/>
                <w:color w:val="000000"/>
                <w:sz w:val="18"/>
                <w:szCs w:val="18"/>
              </w:rPr>
            </w:pPr>
            <w:r w:rsidRPr="001D4F0F">
              <w:rPr>
                <w:rFonts w:asciiTheme="minorHAnsi" w:hAnsiTheme="minorHAnsi" w:cstheme="minorHAnsi"/>
                <w:b/>
                <w:bCs/>
                <w:color w:val="000000"/>
                <w:sz w:val="18"/>
                <w:szCs w:val="18"/>
              </w:rPr>
              <w:t>14.882</w:t>
            </w:r>
          </w:p>
        </w:tc>
        <w:tc>
          <w:tcPr>
            <w:tcW w:w="2207" w:type="dxa"/>
            <w:vAlign w:val="bottom"/>
          </w:tcPr>
          <w:p w14:paraId="78AF2968" w14:textId="77777777" w:rsidR="001A5DAD" w:rsidRPr="001D4F0F" w:rsidRDefault="001A5DAD" w:rsidP="001A5DAD">
            <w:pPr>
              <w:jc w:val="center"/>
              <w:rPr>
                <w:rFonts w:asciiTheme="minorHAnsi" w:hAnsiTheme="minorHAnsi" w:cstheme="minorHAnsi"/>
                <w:b/>
                <w:bCs/>
                <w:sz w:val="18"/>
                <w:szCs w:val="18"/>
              </w:rPr>
            </w:pPr>
            <w:r w:rsidRPr="001D4F0F">
              <w:rPr>
                <w:rFonts w:asciiTheme="minorHAnsi" w:hAnsiTheme="minorHAnsi" w:cstheme="minorHAnsi"/>
                <w:b/>
                <w:bCs/>
                <w:sz w:val="18"/>
                <w:szCs w:val="18"/>
              </w:rPr>
              <w:t>784.188.447,01</w:t>
            </w:r>
          </w:p>
        </w:tc>
        <w:tc>
          <w:tcPr>
            <w:tcW w:w="1727" w:type="dxa"/>
            <w:vAlign w:val="bottom"/>
          </w:tcPr>
          <w:p w14:paraId="72D46A6C" w14:textId="77777777" w:rsidR="001A5DAD" w:rsidRPr="001D4F0F" w:rsidRDefault="001A5DAD" w:rsidP="001A5DAD">
            <w:pPr>
              <w:jc w:val="center"/>
              <w:rPr>
                <w:rFonts w:asciiTheme="minorHAnsi" w:hAnsiTheme="minorHAnsi" w:cstheme="minorHAnsi"/>
                <w:b/>
                <w:bCs/>
                <w:sz w:val="18"/>
                <w:szCs w:val="18"/>
              </w:rPr>
            </w:pPr>
            <w:r w:rsidRPr="001D4F0F">
              <w:rPr>
                <w:rFonts w:asciiTheme="minorHAnsi" w:hAnsiTheme="minorHAnsi" w:cstheme="minorHAnsi"/>
                <w:b/>
                <w:bCs/>
                <w:sz w:val="18"/>
                <w:szCs w:val="18"/>
              </w:rPr>
              <w:t>65.956.615,20</w:t>
            </w:r>
          </w:p>
        </w:tc>
      </w:tr>
      <w:tr w:rsidR="001A5DAD" w:rsidRPr="001B4CA2" w14:paraId="3C0E7597" w14:textId="77777777" w:rsidTr="00FC6656">
        <w:trPr>
          <w:cantSplit/>
          <w:trHeight w:val="454"/>
          <w:jc w:val="center"/>
        </w:trPr>
        <w:tc>
          <w:tcPr>
            <w:tcW w:w="626" w:type="dxa"/>
            <w:vMerge w:val="restart"/>
            <w:tcBorders>
              <w:right w:val="single" w:sz="4" w:space="0" w:color="auto"/>
            </w:tcBorders>
            <w:shd w:val="clear" w:color="auto" w:fill="99CCFF"/>
            <w:textDirection w:val="btLr"/>
            <w:vAlign w:val="center"/>
          </w:tcPr>
          <w:p w14:paraId="58B57EB6" w14:textId="77777777" w:rsidR="001A5DAD" w:rsidRPr="001B4CA2" w:rsidRDefault="001A5DAD" w:rsidP="001A5DAD">
            <w:pPr>
              <w:ind w:left="113" w:right="113"/>
              <w:jc w:val="center"/>
              <w:rPr>
                <w:rFonts w:cs="Arial"/>
                <w:b/>
                <w:sz w:val="22"/>
                <w:szCs w:val="22"/>
              </w:rPr>
            </w:pPr>
            <w:r w:rsidRPr="001B4CA2">
              <w:rPr>
                <w:rFonts w:cs="Arial"/>
                <w:b/>
                <w:sz w:val="22"/>
                <w:szCs w:val="22"/>
              </w:rPr>
              <w:t xml:space="preserve">RH </w:t>
            </w:r>
            <w:proofErr w:type="spellStart"/>
            <w:r w:rsidRPr="001B4CA2">
              <w:rPr>
                <w:rFonts w:cs="Arial"/>
                <w:b/>
                <w:sz w:val="22"/>
                <w:szCs w:val="22"/>
              </w:rPr>
              <w:t>ovršenik</w:t>
            </w:r>
            <w:proofErr w:type="spellEnd"/>
          </w:p>
        </w:tc>
        <w:tc>
          <w:tcPr>
            <w:tcW w:w="1028" w:type="dxa"/>
            <w:vMerge w:val="restart"/>
            <w:tcBorders>
              <w:top w:val="single" w:sz="4" w:space="0" w:color="auto"/>
              <w:left w:val="single" w:sz="4" w:space="0" w:color="auto"/>
              <w:bottom w:val="single" w:sz="4" w:space="0" w:color="auto"/>
              <w:right w:val="single" w:sz="4" w:space="0" w:color="auto"/>
            </w:tcBorders>
            <w:shd w:val="clear" w:color="auto" w:fill="99CCFF"/>
            <w:vAlign w:val="center"/>
          </w:tcPr>
          <w:p w14:paraId="45CAF95D" w14:textId="77777777" w:rsidR="001A5DAD" w:rsidRPr="001B4CA2" w:rsidRDefault="001A5DAD" w:rsidP="001A5DAD">
            <w:pPr>
              <w:jc w:val="center"/>
              <w:rPr>
                <w:rFonts w:cs="Arial"/>
                <w:b/>
                <w:color w:val="000000"/>
                <w:sz w:val="20"/>
                <w:szCs w:val="20"/>
                <w:lang w:eastAsia="hr-HR"/>
              </w:rPr>
            </w:pPr>
            <w:r w:rsidRPr="001B4CA2">
              <w:rPr>
                <w:rFonts w:cs="Arial"/>
                <w:b/>
                <w:color w:val="000000"/>
                <w:sz w:val="20"/>
                <w:szCs w:val="20"/>
                <w:lang w:eastAsia="hr-HR"/>
              </w:rPr>
              <w:t>Izravna naplata</w:t>
            </w:r>
          </w:p>
        </w:tc>
        <w:tc>
          <w:tcPr>
            <w:tcW w:w="3416" w:type="dxa"/>
            <w:tcBorders>
              <w:left w:val="single" w:sz="4" w:space="0" w:color="auto"/>
            </w:tcBorders>
            <w:vAlign w:val="center"/>
          </w:tcPr>
          <w:p w14:paraId="16CD382F" w14:textId="77777777" w:rsidR="001A5DAD" w:rsidRPr="001B4CA2" w:rsidRDefault="001A5DAD" w:rsidP="001D4F0F">
            <w:pPr>
              <w:jc w:val="left"/>
              <w:rPr>
                <w:rFonts w:cs="Arial"/>
                <w:color w:val="000000"/>
                <w:sz w:val="18"/>
                <w:szCs w:val="18"/>
                <w:lang w:eastAsia="hr-HR"/>
              </w:rPr>
            </w:pPr>
            <w:r w:rsidRPr="001B4CA2">
              <w:rPr>
                <w:rFonts w:cs="Arial"/>
                <w:color w:val="000000"/>
                <w:sz w:val="18"/>
                <w:szCs w:val="18"/>
                <w:lang w:eastAsia="hr-HR"/>
              </w:rPr>
              <w:t>potraživanje iz parničnog/upravnog postupka</w:t>
            </w:r>
          </w:p>
        </w:tc>
        <w:tc>
          <w:tcPr>
            <w:tcW w:w="1842" w:type="dxa"/>
            <w:vAlign w:val="bottom"/>
          </w:tcPr>
          <w:p w14:paraId="59F11CEB"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565</w:t>
            </w:r>
          </w:p>
        </w:tc>
        <w:tc>
          <w:tcPr>
            <w:tcW w:w="2207" w:type="dxa"/>
            <w:vAlign w:val="bottom"/>
          </w:tcPr>
          <w:p w14:paraId="11EF45E8"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15.133.125,99</w:t>
            </w:r>
          </w:p>
        </w:tc>
        <w:tc>
          <w:tcPr>
            <w:tcW w:w="1727" w:type="dxa"/>
            <w:vAlign w:val="bottom"/>
          </w:tcPr>
          <w:p w14:paraId="2359834A"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18.522.846,09</w:t>
            </w:r>
          </w:p>
        </w:tc>
      </w:tr>
      <w:tr w:rsidR="001A5DAD" w:rsidRPr="001B4CA2" w14:paraId="4BB1EF31" w14:textId="77777777" w:rsidTr="00FC6656">
        <w:trPr>
          <w:cantSplit/>
          <w:trHeight w:val="454"/>
          <w:jc w:val="center"/>
        </w:trPr>
        <w:tc>
          <w:tcPr>
            <w:tcW w:w="626" w:type="dxa"/>
            <w:vMerge/>
            <w:tcBorders>
              <w:right w:val="single" w:sz="4" w:space="0" w:color="auto"/>
            </w:tcBorders>
            <w:shd w:val="clear" w:color="auto" w:fill="99CCFF"/>
            <w:textDirection w:val="btLr"/>
            <w:vAlign w:val="center"/>
          </w:tcPr>
          <w:p w14:paraId="11C1F52E" w14:textId="77777777" w:rsidR="001A5DAD" w:rsidRPr="001B4CA2" w:rsidRDefault="001A5DAD" w:rsidP="001A5DAD">
            <w:pPr>
              <w:ind w:left="113" w:right="113"/>
              <w:jc w:val="center"/>
              <w:rPr>
                <w:rFonts w:cs="Arial"/>
                <w:sz w:val="18"/>
                <w:szCs w:val="18"/>
              </w:rPr>
            </w:pPr>
          </w:p>
        </w:tc>
        <w:tc>
          <w:tcPr>
            <w:tcW w:w="1028" w:type="dxa"/>
            <w:vMerge/>
            <w:tcBorders>
              <w:top w:val="single" w:sz="4" w:space="0" w:color="auto"/>
              <w:left w:val="single" w:sz="4" w:space="0" w:color="auto"/>
              <w:bottom w:val="single" w:sz="4" w:space="0" w:color="auto"/>
              <w:right w:val="single" w:sz="4" w:space="0" w:color="auto"/>
            </w:tcBorders>
            <w:shd w:val="clear" w:color="auto" w:fill="99CCFF"/>
            <w:textDirection w:val="btLr"/>
            <w:vAlign w:val="center"/>
          </w:tcPr>
          <w:p w14:paraId="58E79896" w14:textId="77777777" w:rsidR="001A5DAD" w:rsidRPr="001B4CA2" w:rsidRDefault="001A5DAD" w:rsidP="001A5DAD">
            <w:pPr>
              <w:ind w:left="113" w:right="113"/>
              <w:jc w:val="center"/>
              <w:rPr>
                <w:rFonts w:cs="Arial"/>
                <w:color w:val="000000"/>
                <w:sz w:val="20"/>
                <w:szCs w:val="20"/>
                <w:lang w:eastAsia="hr-HR"/>
              </w:rPr>
            </w:pPr>
          </w:p>
        </w:tc>
        <w:tc>
          <w:tcPr>
            <w:tcW w:w="3416" w:type="dxa"/>
            <w:tcBorders>
              <w:left w:val="single" w:sz="4" w:space="0" w:color="auto"/>
            </w:tcBorders>
            <w:vAlign w:val="center"/>
          </w:tcPr>
          <w:p w14:paraId="47D59925" w14:textId="77777777" w:rsidR="001A5DAD" w:rsidRPr="001B4CA2" w:rsidRDefault="001A5DAD" w:rsidP="001D4F0F">
            <w:pPr>
              <w:jc w:val="left"/>
              <w:rPr>
                <w:rFonts w:cs="Arial"/>
                <w:color w:val="000000"/>
                <w:sz w:val="18"/>
                <w:szCs w:val="18"/>
                <w:lang w:eastAsia="hr-HR"/>
              </w:rPr>
            </w:pPr>
            <w:r w:rsidRPr="001B4CA2">
              <w:rPr>
                <w:rFonts w:cs="Arial"/>
                <w:sz w:val="18"/>
                <w:szCs w:val="18"/>
              </w:rPr>
              <w:t>trošak kaznenog postupka</w:t>
            </w:r>
          </w:p>
        </w:tc>
        <w:tc>
          <w:tcPr>
            <w:tcW w:w="1842" w:type="dxa"/>
            <w:vAlign w:val="bottom"/>
          </w:tcPr>
          <w:p w14:paraId="6860F46F"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4</w:t>
            </w:r>
          </w:p>
        </w:tc>
        <w:tc>
          <w:tcPr>
            <w:tcW w:w="2207" w:type="dxa"/>
            <w:vAlign w:val="bottom"/>
          </w:tcPr>
          <w:p w14:paraId="6A8E37EA"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68.326,03</w:t>
            </w:r>
          </w:p>
        </w:tc>
        <w:tc>
          <w:tcPr>
            <w:tcW w:w="1727" w:type="dxa"/>
            <w:vAlign w:val="bottom"/>
          </w:tcPr>
          <w:p w14:paraId="6D03F3EE"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700,00</w:t>
            </w:r>
          </w:p>
        </w:tc>
      </w:tr>
      <w:tr w:rsidR="001A5DAD" w:rsidRPr="001B4CA2" w14:paraId="5140AC32" w14:textId="77777777" w:rsidTr="00FC6656">
        <w:trPr>
          <w:cantSplit/>
          <w:trHeight w:val="454"/>
          <w:jc w:val="center"/>
        </w:trPr>
        <w:tc>
          <w:tcPr>
            <w:tcW w:w="626" w:type="dxa"/>
            <w:vMerge/>
            <w:tcBorders>
              <w:right w:val="single" w:sz="4" w:space="0" w:color="auto"/>
            </w:tcBorders>
            <w:shd w:val="clear" w:color="auto" w:fill="99CCFF"/>
            <w:textDirection w:val="btLr"/>
            <w:vAlign w:val="center"/>
          </w:tcPr>
          <w:p w14:paraId="0431FCDA" w14:textId="77777777" w:rsidR="001A5DAD" w:rsidRPr="001B4CA2" w:rsidRDefault="001A5DAD" w:rsidP="001A5DAD">
            <w:pPr>
              <w:ind w:left="113" w:right="113"/>
              <w:jc w:val="center"/>
              <w:rPr>
                <w:rFonts w:cs="Arial"/>
                <w:sz w:val="18"/>
                <w:szCs w:val="18"/>
              </w:rPr>
            </w:pPr>
          </w:p>
        </w:tc>
        <w:tc>
          <w:tcPr>
            <w:tcW w:w="1028" w:type="dxa"/>
            <w:vMerge/>
            <w:tcBorders>
              <w:top w:val="single" w:sz="4" w:space="0" w:color="auto"/>
              <w:left w:val="single" w:sz="4" w:space="0" w:color="auto"/>
              <w:bottom w:val="single" w:sz="4" w:space="0" w:color="auto"/>
              <w:right w:val="single" w:sz="4" w:space="0" w:color="auto"/>
            </w:tcBorders>
            <w:shd w:val="clear" w:color="auto" w:fill="99CCFF"/>
            <w:textDirection w:val="btLr"/>
            <w:vAlign w:val="center"/>
          </w:tcPr>
          <w:p w14:paraId="0CBDE6B4" w14:textId="77777777" w:rsidR="001A5DAD" w:rsidRPr="001B4CA2" w:rsidRDefault="001A5DAD" w:rsidP="001A5DAD">
            <w:pPr>
              <w:ind w:left="113" w:right="113"/>
              <w:jc w:val="center"/>
              <w:rPr>
                <w:rFonts w:cs="Arial"/>
                <w:color w:val="000000"/>
                <w:sz w:val="20"/>
                <w:szCs w:val="20"/>
                <w:lang w:eastAsia="hr-HR"/>
              </w:rPr>
            </w:pPr>
          </w:p>
        </w:tc>
        <w:tc>
          <w:tcPr>
            <w:tcW w:w="3416" w:type="dxa"/>
            <w:tcBorders>
              <w:left w:val="single" w:sz="4" w:space="0" w:color="auto"/>
            </w:tcBorders>
            <w:vAlign w:val="center"/>
          </w:tcPr>
          <w:p w14:paraId="6C484102" w14:textId="77777777" w:rsidR="001A5DAD" w:rsidRPr="001B4CA2" w:rsidRDefault="001A5DAD" w:rsidP="001D4F0F">
            <w:pPr>
              <w:jc w:val="left"/>
              <w:rPr>
                <w:rFonts w:cs="Arial"/>
                <w:color w:val="000000"/>
                <w:sz w:val="18"/>
                <w:szCs w:val="18"/>
                <w:lang w:eastAsia="hr-HR"/>
              </w:rPr>
            </w:pPr>
            <w:r w:rsidRPr="001B4CA2">
              <w:rPr>
                <w:rFonts w:cs="Arial"/>
                <w:sz w:val="18"/>
                <w:szCs w:val="18"/>
              </w:rPr>
              <w:t>trošak parničnog/ovršnog postupka</w:t>
            </w:r>
          </w:p>
        </w:tc>
        <w:tc>
          <w:tcPr>
            <w:tcW w:w="1842" w:type="dxa"/>
            <w:vAlign w:val="bottom"/>
          </w:tcPr>
          <w:p w14:paraId="2AF2DDB8"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226</w:t>
            </w:r>
          </w:p>
        </w:tc>
        <w:tc>
          <w:tcPr>
            <w:tcW w:w="2207" w:type="dxa"/>
            <w:vAlign w:val="bottom"/>
          </w:tcPr>
          <w:p w14:paraId="42309637"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1.838.461,57</w:t>
            </w:r>
          </w:p>
        </w:tc>
        <w:tc>
          <w:tcPr>
            <w:tcW w:w="1727" w:type="dxa"/>
            <w:vAlign w:val="bottom"/>
          </w:tcPr>
          <w:p w14:paraId="5CFF8290"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3.712.127,41</w:t>
            </w:r>
          </w:p>
        </w:tc>
      </w:tr>
      <w:tr w:rsidR="001A5DAD" w:rsidRPr="001B4CA2" w14:paraId="1FF07B74" w14:textId="77777777" w:rsidTr="00FC6656">
        <w:trPr>
          <w:cantSplit/>
          <w:trHeight w:val="454"/>
          <w:jc w:val="center"/>
        </w:trPr>
        <w:tc>
          <w:tcPr>
            <w:tcW w:w="626" w:type="dxa"/>
            <w:vMerge/>
            <w:tcBorders>
              <w:right w:val="single" w:sz="4" w:space="0" w:color="auto"/>
            </w:tcBorders>
            <w:shd w:val="clear" w:color="auto" w:fill="99CCFF"/>
            <w:textDirection w:val="btLr"/>
            <w:vAlign w:val="center"/>
          </w:tcPr>
          <w:p w14:paraId="391AEADB" w14:textId="77777777" w:rsidR="001A5DAD" w:rsidRPr="001B4CA2" w:rsidRDefault="001A5DAD" w:rsidP="001A5DAD">
            <w:pPr>
              <w:ind w:left="113" w:right="113"/>
              <w:jc w:val="center"/>
              <w:rPr>
                <w:rFonts w:cs="Arial"/>
                <w:sz w:val="18"/>
                <w:szCs w:val="18"/>
              </w:rPr>
            </w:pPr>
          </w:p>
        </w:tc>
        <w:tc>
          <w:tcPr>
            <w:tcW w:w="1028" w:type="dxa"/>
            <w:vMerge w:val="restart"/>
            <w:tcBorders>
              <w:top w:val="single" w:sz="4" w:space="0" w:color="auto"/>
              <w:left w:val="single" w:sz="4" w:space="0" w:color="auto"/>
              <w:right w:val="single" w:sz="4" w:space="0" w:color="auto"/>
            </w:tcBorders>
            <w:shd w:val="clear" w:color="auto" w:fill="99CCFF"/>
            <w:vAlign w:val="center"/>
          </w:tcPr>
          <w:p w14:paraId="58B0B497" w14:textId="77777777" w:rsidR="001A5DAD" w:rsidRPr="001B4CA2" w:rsidRDefault="001A5DAD" w:rsidP="001A5DAD">
            <w:pPr>
              <w:jc w:val="center"/>
              <w:rPr>
                <w:rFonts w:cs="Arial"/>
                <w:b/>
                <w:color w:val="000000"/>
                <w:sz w:val="20"/>
                <w:szCs w:val="20"/>
                <w:lang w:eastAsia="hr-HR"/>
              </w:rPr>
            </w:pPr>
            <w:r w:rsidRPr="001B4CA2">
              <w:rPr>
                <w:rFonts w:cs="Arial"/>
                <w:b/>
                <w:color w:val="000000"/>
                <w:sz w:val="20"/>
                <w:szCs w:val="20"/>
                <w:lang w:eastAsia="hr-HR"/>
              </w:rPr>
              <w:t>Ovrha</w:t>
            </w:r>
            <w:r w:rsidRPr="001B4CA2">
              <w:rPr>
                <w:rFonts w:cs="Arial"/>
                <w:sz w:val="20"/>
                <w:szCs w:val="20"/>
              </w:rPr>
              <w:t xml:space="preserve"> </w:t>
            </w:r>
            <w:r w:rsidRPr="001B4CA2">
              <w:rPr>
                <w:rFonts w:cs="Arial"/>
                <w:b/>
                <w:color w:val="000000"/>
                <w:sz w:val="20"/>
                <w:szCs w:val="20"/>
                <w:lang w:eastAsia="hr-HR"/>
              </w:rPr>
              <w:t>novčane tražbine</w:t>
            </w:r>
          </w:p>
        </w:tc>
        <w:tc>
          <w:tcPr>
            <w:tcW w:w="3416" w:type="dxa"/>
            <w:tcBorders>
              <w:left w:val="single" w:sz="4" w:space="0" w:color="auto"/>
            </w:tcBorders>
            <w:vAlign w:val="center"/>
          </w:tcPr>
          <w:p w14:paraId="0E0CE751" w14:textId="77777777" w:rsidR="001A5DAD" w:rsidRPr="001B4CA2" w:rsidRDefault="001A5DAD" w:rsidP="001D4F0F">
            <w:pPr>
              <w:jc w:val="left"/>
              <w:rPr>
                <w:rFonts w:cs="Arial"/>
                <w:sz w:val="18"/>
                <w:szCs w:val="18"/>
              </w:rPr>
            </w:pPr>
            <w:r w:rsidRPr="001B4CA2">
              <w:rPr>
                <w:rFonts w:cs="Arial"/>
                <w:sz w:val="18"/>
                <w:szCs w:val="18"/>
              </w:rPr>
              <w:t xml:space="preserve">Vjerodostojna isprava </w:t>
            </w:r>
          </w:p>
        </w:tc>
        <w:tc>
          <w:tcPr>
            <w:tcW w:w="1842" w:type="dxa"/>
            <w:vAlign w:val="bottom"/>
          </w:tcPr>
          <w:p w14:paraId="2012B577"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213</w:t>
            </w:r>
          </w:p>
        </w:tc>
        <w:tc>
          <w:tcPr>
            <w:tcW w:w="2207" w:type="dxa"/>
            <w:vAlign w:val="bottom"/>
          </w:tcPr>
          <w:p w14:paraId="08C86210"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1.209.273,78</w:t>
            </w:r>
          </w:p>
        </w:tc>
        <w:tc>
          <w:tcPr>
            <w:tcW w:w="1727" w:type="dxa"/>
            <w:vAlign w:val="bottom"/>
          </w:tcPr>
          <w:p w14:paraId="0A66AC66"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32.824,63</w:t>
            </w:r>
          </w:p>
        </w:tc>
      </w:tr>
      <w:tr w:rsidR="001A5DAD" w:rsidRPr="001B4CA2" w14:paraId="293F6091" w14:textId="77777777" w:rsidTr="00FC6656">
        <w:trPr>
          <w:cantSplit/>
          <w:trHeight w:val="454"/>
          <w:jc w:val="center"/>
        </w:trPr>
        <w:tc>
          <w:tcPr>
            <w:tcW w:w="626" w:type="dxa"/>
            <w:vMerge/>
            <w:tcBorders>
              <w:right w:val="single" w:sz="4" w:space="0" w:color="auto"/>
            </w:tcBorders>
            <w:shd w:val="clear" w:color="auto" w:fill="99CCFF"/>
            <w:textDirection w:val="btLr"/>
            <w:vAlign w:val="center"/>
          </w:tcPr>
          <w:p w14:paraId="67BCE608" w14:textId="77777777" w:rsidR="001A5DAD" w:rsidRPr="001B4CA2" w:rsidRDefault="001A5DAD" w:rsidP="001A5DAD">
            <w:pPr>
              <w:ind w:left="113" w:right="113"/>
              <w:jc w:val="center"/>
              <w:rPr>
                <w:rFonts w:cs="Arial"/>
                <w:sz w:val="18"/>
                <w:szCs w:val="18"/>
              </w:rPr>
            </w:pPr>
          </w:p>
        </w:tc>
        <w:tc>
          <w:tcPr>
            <w:tcW w:w="1028" w:type="dxa"/>
            <w:vMerge/>
            <w:tcBorders>
              <w:left w:val="single" w:sz="4" w:space="0" w:color="auto"/>
              <w:right w:val="single" w:sz="4" w:space="0" w:color="auto"/>
            </w:tcBorders>
            <w:shd w:val="clear" w:color="auto" w:fill="99CCFF"/>
            <w:vAlign w:val="center"/>
          </w:tcPr>
          <w:p w14:paraId="54D1B964" w14:textId="77777777" w:rsidR="001A5DAD" w:rsidRPr="001B4CA2" w:rsidRDefault="001A5DAD" w:rsidP="001A5DAD">
            <w:pPr>
              <w:jc w:val="center"/>
              <w:rPr>
                <w:rFonts w:cs="Arial"/>
                <w:b/>
                <w:color w:val="000000"/>
                <w:sz w:val="20"/>
                <w:szCs w:val="20"/>
                <w:lang w:eastAsia="hr-HR"/>
              </w:rPr>
            </w:pPr>
          </w:p>
        </w:tc>
        <w:tc>
          <w:tcPr>
            <w:tcW w:w="3416" w:type="dxa"/>
            <w:tcBorders>
              <w:left w:val="single" w:sz="4" w:space="0" w:color="auto"/>
            </w:tcBorders>
            <w:vAlign w:val="center"/>
          </w:tcPr>
          <w:p w14:paraId="0CC20E2B" w14:textId="77777777" w:rsidR="001A5DAD" w:rsidRPr="001B4CA2" w:rsidRDefault="001A5DAD" w:rsidP="001D4F0F">
            <w:pPr>
              <w:jc w:val="left"/>
              <w:rPr>
                <w:rFonts w:cs="Arial"/>
                <w:color w:val="000000"/>
                <w:sz w:val="18"/>
                <w:szCs w:val="18"/>
                <w:lang w:eastAsia="hr-HR"/>
              </w:rPr>
            </w:pPr>
            <w:r w:rsidRPr="001B4CA2">
              <w:rPr>
                <w:rFonts w:cs="Arial"/>
                <w:sz w:val="18"/>
                <w:szCs w:val="18"/>
              </w:rPr>
              <w:t>potraživanje iz parničnog/upravnog postupka</w:t>
            </w:r>
          </w:p>
        </w:tc>
        <w:tc>
          <w:tcPr>
            <w:tcW w:w="1842" w:type="dxa"/>
            <w:vAlign w:val="bottom"/>
          </w:tcPr>
          <w:p w14:paraId="0BA63D20"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59</w:t>
            </w:r>
          </w:p>
        </w:tc>
        <w:tc>
          <w:tcPr>
            <w:tcW w:w="2207" w:type="dxa"/>
            <w:vAlign w:val="bottom"/>
          </w:tcPr>
          <w:p w14:paraId="03839C44"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14.031.016,96</w:t>
            </w:r>
          </w:p>
        </w:tc>
        <w:tc>
          <w:tcPr>
            <w:tcW w:w="1727" w:type="dxa"/>
            <w:vAlign w:val="bottom"/>
          </w:tcPr>
          <w:p w14:paraId="6B0E938C"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3.532.504,80</w:t>
            </w:r>
          </w:p>
        </w:tc>
      </w:tr>
      <w:tr w:rsidR="001A5DAD" w:rsidRPr="001B4CA2" w14:paraId="0E831527" w14:textId="77777777" w:rsidTr="00FC6656">
        <w:trPr>
          <w:cantSplit/>
          <w:trHeight w:val="454"/>
          <w:jc w:val="center"/>
        </w:trPr>
        <w:tc>
          <w:tcPr>
            <w:tcW w:w="626" w:type="dxa"/>
            <w:vMerge/>
            <w:tcBorders>
              <w:right w:val="single" w:sz="4" w:space="0" w:color="auto"/>
            </w:tcBorders>
            <w:shd w:val="clear" w:color="auto" w:fill="99CCFF"/>
            <w:vAlign w:val="center"/>
          </w:tcPr>
          <w:p w14:paraId="7F685424" w14:textId="77777777" w:rsidR="001A5DAD" w:rsidRPr="001B4CA2" w:rsidRDefault="001A5DAD" w:rsidP="001A5DAD">
            <w:pPr>
              <w:jc w:val="center"/>
              <w:rPr>
                <w:rFonts w:cs="Arial"/>
                <w:sz w:val="18"/>
                <w:szCs w:val="18"/>
              </w:rPr>
            </w:pPr>
          </w:p>
        </w:tc>
        <w:tc>
          <w:tcPr>
            <w:tcW w:w="1028" w:type="dxa"/>
            <w:vMerge/>
            <w:tcBorders>
              <w:left w:val="single" w:sz="4" w:space="0" w:color="auto"/>
              <w:right w:val="single" w:sz="4" w:space="0" w:color="auto"/>
            </w:tcBorders>
            <w:shd w:val="clear" w:color="auto" w:fill="99CCFF"/>
            <w:vAlign w:val="center"/>
          </w:tcPr>
          <w:p w14:paraId="6070F57E" w14:textId="77777777" w:rsidR="001A5DAD" w:rsidRPr="001B4CA2" w:rsidRDefault="001A5DAD" w:rsidP="001A5DAD">
            <w:pPr>
              <w:jc w:val="center"/>
              <w:rPr>
                <w:rFonts w:cs="Arial"/>
                <w:color w:val="000000"/>
                <w:sz w:val="18"/>
                <w:szCs w:val="18"/>
                <w:lang w:eastAsia="hr-HR"/>
              </w:rPr>
            </w:pPr>
          </w:p>
        </w:tc>
        <w:tc>
          <w:tcPr>
            <w:tcW w:w="3416" w:type="dxa"/>
            <w:tcBorders>
              <w:left w:val="single" w:sz="4" w:space="0" w:color="auto"/>
            </w:tcBorders>
            <w:vAlign w:val="center"/>
          </w:tcPr>
          <w:p w14:paraId="6886CBE5" w14:textId="77777777" w:rsidR="001A5DAD" w:rsidRPr="001B4CA2" w:rsidRDefault="001A5DAD" w:rsidP="001A5DAD">
            <w:pPr>
              <w:rPr>
                <w:rFonts w:cs="Arial"/>
                <w:color w:val="000000"/>
                <w:sz w:val="18"/>
                <w:szCs w:val="18"/>
                <w:lang w:eastAsia="hr-HR"/>
              </w:rPr>
            </w:pPr>
            <w:r w:rsidRPr="001B4CA2">
              <w:rPr>
                <w:rFonts w:cs="Arial"/>
                <w:sz w:val="18"/>
                <w:szCs w:val="18"/>
              </w:rPr>
              <w:t>trošak kaznenog postupka</w:t>
            </w:r>
          </w:p>
        </w:tc>
        <w:tc>
          <w:tcPr>
            <w:tcW w:w="1842" w:type="dxa"/>
            <w:vAlign w:val="bottom"/>
          </w:tcPr>
          <w:p w14:paraId="16490A54"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0</w:t>
            </w:r>
          </w:p>
        </w:tc>
        <w:tc>
          <w:tcPr>
            <w:tcW w:w="2207" w:type="dxa"/>
            <w:vAlign w:val="bottom"/>
          </w:tcPr>
          <w:p w14:paraId="0B1DEED8"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0,00</w:t>
            </w:r>
          </w:p>
        </w:tc>
        <w:tc>
          <w:tcPr>
            <w:tcW w:w="1727" w:type="dxa"/>
            <w:vAlign w:val="bottom"/>
          </w:tcPr>
          <w:p w14:paraId="16607C09"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0,00</w:t>
            </w:r>
          </w:p>
        </w:tc>
      </w:tr>
      <w:tr w:rsidR="001A5DAD" w:rsidRPr="001B4CA2" w14:paraId="62E3B9C3" w14:textId="77777777" w:rsidTr="00FC6656">
        <w:trPr>
          <w:cantSplit/>
          <w:trHeight w:val="454"/>
          <w:jc w:val="center"/>
        </w:trPr>
        <w:tc>
          <w:tcPr>
            <w:tcW w:w="626" w:type="dxa"/>
            <w:vMerge/>
            <w:tcBorders>
              <w:right w:val="single" w:sz="4" w:space="0" w:color="auto"/>
            </w:tcBorders>
            <w:shd w:val="clear" w:color="auto" w:fill="99CCFF"/>
            <w:vAlign w:val="center"/>
          </w:tcPr>
          <w:p w14:paraId="55CF2F44" w14:textId="77777777" w:rsidR="001A5DAD" w:rsidRPr="001B4CA2" w:rsidRDefault="001A5DAD" w:rsidP="001A5DAD">
            <w:pPr>
              <w:jc w:val="center"/>
              <w:rPr>
                <w:rFonts w:cs="Arial"/>
                <w:sz w:val="18"/>
                <w:szCs w:val="18"/>
              </w:rPr>
            </w:pPr>
          </w:p>
        </w:tc>
        <w:tc>
          <w:tcPr>
            <w:tcW w:w="1028" w:type="dxa"/>
            <w:vMerge/>
            <w:tcBorders>
              <w:left w:val="single" w:sz="4" w:space="0" w:color="auto"/>
              <w:right w:val="single" w:sz="4" w:space="0" w:color="auto"/>
            </w:tcBorders>
            <w:shd w:val="clear" w:color="auto" w:fill="99CCFF"/>
            <w:vAlign w:val="center"/>
          </w:tcPr>
          <w:p w14:paraId="08552317" w14:textId="77777777" w:rsidR="001A5DAD" w:rsidRPr="001B4CA2" w:rsidRDefault="001A5DAD" w:rsidP="001A5DAD">
            <w:pPr>
              <w:jc w:val="center"/>
              <w:rPr>
                <w:rFonts w:cs="Arial"/>
                <w:color w:val="000000"/>
                <w:sz w:val="18"/>
                <w:szCs w:val="18"/>
                <w:lang w:eastAsia="hr-HR"/>
              </w:rPr>
            </w:pPr>
          </w:p>
        </w:tc>
        <w:tc>
          <w:tcPr>
            <w:tcW w:w="3416" w:type="dxa"/>
            <w:tcBorders>
              <w:left w:val="single" w:sz="4" w:space="0" w:color="auto"/>
            </w:tcBorders>
            <w:vAlign w:val="center"/>
          </w:tcPr>
          <w:p w14:paraId="452FE599" w14:textId="45879061" w:rsidR="001A5DAD" w:rsidRPr="001B4CA2" w:rsidRDefault="001A5DAD" w:rsidP="001D4F0F">
            <w:pPr>
              <w:jc w:val="left"/>
              <w:rPr>
                <w:rFonts w:cs="Arial"/>
                <w:color w:val="000000"/>
                <w:sz w:val="18"/>
                <w:szCs w:val="18"/>
                <w:lang w:eastAsia="hr-HR"/>
              </w:rPr>
            </w:pPr>
            <w:r w:rsidRPr="001B4CA2">
              <w:rPr>
                <w:rFonts w:cs="Arial"/>
                <w:sz w:val="18"/>
                <w:szCs w:val="18"/>
              </w:rPr>
              <w:t>trošak</w:t>
            </w:r>
            <w:r w:rsidR="001D4F0F">
              <w:rPr>
                <w:rFonts w:cs="Arial"/>
                <w:sz w:val="18"/>
                <w:szCs w:val="18"/>
              </w:rPr>
              <w:t xml:space="preserve"> </w:t>
            </w:r>
            <w:r w:rsidRPr="001B4CA2">
              <w:rPr>
                <w:rFonts w:cs="Arial"/>
                <w:sz w:val="18"/>
                <w:szCs w:val="18"/>
              </w:rPr>
              <w:t>parničnog/ovršnog postupka</w:t>
            </w:r>
          </w:p>
        </w:tc>
        <w:tc>
          <w:tcPr>
            <w:tcW w:w="1842" w:type="dxa"/>
            <w:vAlign w:val="bottom"/>
          </w:tcPr>
          <w:p w14:paraId="5987F9EB"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281</w:t>
            </w:r>
          </w:p>
        </w:tc>
        <w:tc>
          <w:tcPr>
            <w:tcW w:w="2207" w:type="dxa"/>
            <w:vAlign w:val="bottom"/>
          </w:tcPr>
          <w:p w14:paraId="508B9652"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669.664,98</w:t>
            </w:r>
          </w:p>
        </w:tc>
        <w:tc>
          <w:tcPr>
            <w:tcW w:w="1727" w:type="dxa"/>
            <w:vAlign w:val="bottom"/>
          </w:tcPr>
          <w:p w14:paraId="16129B7D"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256.789,42</w:t>
            </w:r>
          </w:p>
        </w:tc>
      </w:tr>
      <w:tr w:rsidR="001A5DAD" w:rsidRPr="001B4CA2" w14:paraId="6A59A741" w14:textId="77777777" w:rsidTr="00FC6656">
        <w:trPr>
          <w:cantSplit/>
          <w:trHeight w:val="454"/>
          <w:jc w:val="center"/>
        </w:trPr>
        <w:tc>
          <w:tcPr>
            <w:tcW w:w="626" w:type="dxa"/>
            <w:vMerge/>
            <w:tcBorders>
              <w:right w:val="single" w:sz="4" w:space="0" w:color="auto"/>
            </w:tcBorders>
            <w:shd w:val="clear" w:color="auto" w:fill="99CCFF"/>
            <w:vAlign w:val="center"/>
          </w:tcPr>
          <w:p w14:paraId="555A6640" w14:textId="77777777" w:rsidR="001A5DAD" w:rsidRPr="001B4CA2" w:rsidRDefault="001A5DAD" w:rsidP="001A5DAD">
            <w:pPr>
              <w:jc w:val="center"/>
              <w:rPr>
                <w:rFonts w:cs="Arial"/>
                <w:sz w:val="18"/>
                <w:szCs w:val="18"/>
              </w:rPr>
            </w:pPr>
          </w:p>
        </w:tc>
        <w:tc>
          <w:tcPr>
            <w:tcW w:w="1028" w:type="dxa"/>
            <w:vMerge/>
            <w:tcBorders>
              <w:left w:val="single" w:sz="4" w:space="0" w:color="auto"/>
              <w:bottom w:val="single" w:sz="4" w:space="0" w:color="auto"/>
              <w:right w:val="single" w:sz="4" w:space="0" w:color="auto"/>
            </w:tcBorders>
            <w:shd w:val="clear" w:color="auto" w:fill="99CCFF"/>
            <w:vAlign w:val="center"/>
          </w:tcPr>
          <w:p w14:paraId="08117B1F" w14:textId="77777777" w:rsidR="001A5DAD" w:rsidRPr="001B4CA2" w:rsidRDefault="001A5DAD" w:rsidP="001A5DAD">
            <w:pPr>
              <w:jc w:val="center"/>
              <w:rPr>
                <w:rFonts w:cs="Arial"/>
                <w:color w:val="000000"/>
                <w:sz w:val="18"/>
                <w:szCs w:val="18"/>
                <w:lang w:eastAsia="hr-HR"/>
              </w:rPr>
            </w:pPr>
          </w:p>
        </w:tc>
        <w:tc>
          <w:tcPr>
            <w:tcW w:w="3416" w:type="dxa"/>
            <w:tcBorders>
              <w:left w:val="single" w:sz="4" w:space="0" w:color="auto"/>
            </w:tcBorders>
            <w:vAlign w:val="center"/>
          </w:tcPr>
          <w:p w14:paraId="21AD0DE2" w14:textId="77777777" w:rsidR="001A5DAD" w:rsidRPr="001B4CA2" w:rsidRDefault="001A5DAD" w:rsidP="001A5DAD">
            <w:pPr>
              <w:rPr>
                <w:rFonts w:cs="Arial"/>
                <w:sz w:val="18"/>
                <w:szCs w:val="18"/>
              </w:rPr>
            </w:pPr>
            <w:r w:rsidRPr="001B4CA2">
              <w:rPr>
                <w:rFonts w:cs="Arial"/>
                <w:sz w:val="18"/>
                <w:szCs w:val="18"/>
              </w:rPr>
              <w:t>Ostale ovršne isprave</w:t>
            </w:r>
          </w:p>
        </w:tc>
        <w:tc>
          <w:tcPr>
            <w:tcW w:w="1842" w:type="dxa"/>
            <w:vAlign w:val="bottom"/>
          </w:tcPr>
          <w:p w14:paraId="06FA64BB"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14</w:t>
            </w:r>
          </w:p>
        </w:tc>
        <w:tc>
          <w:tcPr>
            <w:tcW w:w="2207" w:type="dxa"/>
            <w:vAlign w:val="bottom"/>
          </w:tcPr>
          <w:p w14:paraId="4EF7144D"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787.783,46</w:t>
            </w:r>
          </w:p>
        </w:tc>
        <w:tc>
          <w:tcPr>
            <w:tcW w:w="1727" w:type="dxa"/>
            <w:vAlign w:val="bottom"/>
          </w:tcPr>
          <w:p w14:paraId="77D2BAEA" w14:textId="77777777" w:rsidR="001A5DAD" w:rsidRPr="001D4F0F" w:rsidRDefault="001A5DAD" w:rsidP="001A5DAD">
            <w:pPr>
              <w:jc w:val="center"/>
              <w:rPr>
                <w:rFonts w:asciiTheme="minorHAnsi" w:hAnsiTheme="minorHAnsi" w:cstheme="minorHAnsi"/>
                <w:sz w:val="18"/>
                <w:szCs w:val="18"/>
              </w:rPr>
            </w:pPr>
            <w:r w:rsidRPr="001D4F0F">
              <w:rPr>
                <w:rFonts w:asciiTheme="minorHAnsi" w:hAnsiTheme="minorHAnsi" w:cstheme="minorHAnsi"/>
                <w:sz w:val="18"/>
                <w:szCs w:val="18"/>
              </w:rPr>
              <w:t>3.287,07</w:t>
            </w:r>
          </w:p>
        </w:tc>
      </w:tr>
      <w:tr w:rsidR="001A5DAD" w:rsidRPr="001B4CA2" w14:paraId="7504A3D7" w14:textId="77777777" w:rsidTr="00FC6656">
        <w:trPr>
          <w:cantSplit/>
          <w:trHeight w:val="454"/>
          <w:jc w:val="center"/>
        </w:trPr>
        <w:tc>
          <w:tcPr>
            <w:tcW w:w="626" w:type="dxa"/>
            <w:vMerge/>
            <w:tcBorders>
              <w:right w:val="single" w:sz="4" w:space="0" w:color="auto"/>
            </w:tcBorders>
            <w:shd w:val="clear" w:color="auto" w:fill="99CCFF"/>
            <w:vAlign w:val="center"/>
          </w:tcPr>
          <w:p w14:paraId="0C725962" w14:textId="77777777" w:rsidR="001A5DAD" w:rsidRPr="001B4CA2" w:rsidRDefault="001A5DAD" w:rsidP="001A5DAD">
            <w:pPr>
              <w:jc w:val="center"/>
              <w:rPr>
                <w:rFonts w:cs="Arial"/>
                <w:sz w:val="22"/>
                <w:szCs w:val="22"/>
              </w:rPr>
            </w:pPr>
          </w:p>
        </w:tc>
        <w:tc>
          <w:tcPr>
            <w:tcW w:w="4444" w:type="dxa"/>
            <w:gridSpan w:val="2"/>
            <w:tcBorders>
              <w:top w:val="single" w:sz="4" w:space="0" w:color="auto"/>
              <w:left w:val="single" w:sz="4" w:space="0" w:color="auto"/>
            </w:tcBorders>
            <w:vAlign w:val="center"/>
          </w:tcPr>
          <w:p w14:paraId="19DBC63E" w14:textId="77777777" w:rsidR="001A5DAD" w:rsidRPr="00540F85" w:rsidRDefault="001A5DAD" w:rsidP="001A5DAD">
            <w:pPr>
              <w:jc w:val="right"/>
              <w:rPr>
                <w:rFonts w:cs="Arial"/>
                <w:b/>
                <w:color w:val="000000"/>
                <w:sz w:val="20"/>
                <w:szCs w:val="20"/>
                <w:lang w:eastAsia="hr-HR"/>
              </w:rPr>
            </w:pPr>
            <w:r w:rsidRPr="00540F85">
              <w:rPr>
                <w:rFonts w:cs="Arial"/>
                <w:b/>
                <w:color w:val="000000"/>
                <w:sz w:val="20"/>
                <w:szCs w:val="20"/>
                <w:lang w:eastAsia="hr-HR"/>
              </w:rPr>
              <w:t>RH OVRŠENIK UKUPNO:</w:t>
            </w:r>
          </w:p>
        </w:tc>
        <w:tc>
          <w:tcPr>
            <w:tcW w:w="1842" w:type="dxa"/>
            <w:vAlign w:val="center"/>
          </w:tcPr>
          <w:p w14:paraId="1F50F07F" w14:textId="77777777" w:rsidR="001A5DAD" w:rsidRPr="001D4F0F" w:rsidRDefault="001A5DAD" w:rsidP="001A5DAD">
            <w:pPr>
              <w:jc w:val="center"/>
              <w:rPr>
                <w:rFonts w:asciiTheme="minorHAnsi" w:hAnsiTheme="minorHAnsi" w:cstheme="minorHAnsi"/>
                <w:b/>
                <w:bCs/>
                <w:color w:val="000000"/>
                <w:sz w:val="18"/>
                <w:szCs w:val="18"/>
              </w:rPr>
            </w:pPr>
            <w:r w:rsidRPr="001D4F0F">
              <w:rPr>
                <w:rFonts w:asciiTheme="minorHAnsi" w:hAnsiTheme="minorHAnsi" w:cstheme="minorHAnsi"/>
                <w:b/>
                <w:bCs/>
                <w:color w:val="000000"/>
                <w:sz w:val="18"/>
                <w:szCs w:val="18"/>
              </w:rPr>
              <w:t>1.362</w:t>
            </w:r>
          </w:p>
        </w:tc>
        <w:tc>
          <w:tcPr>
            <w:tcW w:w="2207" w:type="dxa"/>
            <w:vAlign w:val="center"/>
          </w:tcPr>
          <w:p w14:paraId="7F2705E9" w14:textId="77777777" w:rsidR="001A5DAD" w:rsidRPr="001D4F0F" w:rsidRDefault="001A5DAD" w:rsidP="001A5DAD">
            <w:pPr>
              <w:jc w:val="center"/>
              <w:rPr>
                <w:rFonts w:asciiTheme="minorHAnsi" w:hAnsiTheme="minorHAnsi" w:cstheme="minorHAnsi"/>
                <w:b/>
                <w:bCs/>
                <w:sz w:val="18"/>
                <w:szCs w:val="18"/>
              </w:rPr>
            </w:pPr>
            <w:r w:rsidRPr="001D4F0F">
              <w:rPr>
                <w:rFonts w:asciiTheme="minorHAnsi" w:hAnsiTheme="minorHAnsi" w:cstheme="minorHAnsi"/>
                <w:b/>
                <w:bCs/>
                <w:sz w:val="18"/>
                <w:szCs w:val="18"/>
              </w:rPr>
              <w:t>33.737.652,77</w:t>
            </w:r>
          </w:p>
        </w:tc>
        <w:tc>
          <w:tcPr>
            <w:tcW w:w="1727" w:type="dxa"/>
            <w:vAlign w:val="center"/>
          </w:tcPr>
          <w:p w14:paraId="171AAA51" w14:textId="77777777" w:rsidR="001A5DAD" w:rsidRPr="001D4F0F" w:rsidRDefault="001A5DAD" w:rsidP="001A5DAD">
            <w:pPr>
              <w:jc w:val="center"/>
              <w:rPr>
                <w:rFonts w:asciiTheme="minorHAnsi" w:hAnsiTheme="minorHAnsi" w:cstheme="minorHAnsi"/>
                <w:b/>
                <w:bCs/>
                <w:sz w:val="18"/>
                <w:szCs w:val="18"/>
              </w:rPr>
            </w:pPr>
            <w:r w:rsidRPr="001D4F0F">
              <w:rPr>
                <w:rFonts w:asciiTheme="minorHAnsi" w:hAnsiTheme="minorHAnsi" w:cstheme="minorHAnsi"/>
                <w:b/>
                <w:bCs/>
                <w:sz w:val="18"/>
                <w:szCs w:val="18"/>
              </w:rPr>
              <w:t>26.061.079,42</w:t>
            </w:r>
          </w:p>
        </w:tc>
      </w:tr>
    </w:tbl>
    <w:p w14:paraId="4E0E54B5" w14:textId="77777777" w:rsidR="001A5DAD" w:rsidRPr="001B4CA2" w:rsidRDefault="001A5DAD" w:rsidP="001A5DAD">
      <w:pPr>
        <w:rPr>
          <w:sz w:val="20"/>
          <w:szCs w:val="20"/>
        </w:rPr>
      </w:pPr>
      <w:r w:rsidRPr="001B4CA2">
        <w:rPr>
          <w:sz w:val="20"/>
          <w:szCs w:val="20"/>
        </w:rPr>
        <w:t xml:space="preserve">        </w:t>
      </w:r>
    </w:p>
    <w:p w14:paraId="16D48949" w14:textId="5351FD09" w:rsidR="001A5DAD" w:rsidRPr="001B4CA2" w:rsidRDefault="001A5DAD" w:rsidP="001A5DAD">
      <w:pPr>
        <w:spacing w:after="200" w:line="276" w:lineRule="auto"/>
        <w:ind w:firstLine="708"/>
        <w:rPr>
          <w:rFonts w:eastAsia="Times New Roman"/>
          <w:lang w:eastAsia="hr-HR"/>
        </w:rPr>
      </w:pPr>
      <w:r w:rsidRPr="001B4CA2">
        <w:rPr>
          <w:rFonts w:eastAsia="Times New Roman"/>
          <w:lang w:eastAsia="hr-HR"/>
        </w:rPr>
        <w:t>Od 16</w:t>
      </w:r>
      <w:r w:rsidR="00840C0E">
        <w:rPr>
          <w:rFonts w:eastAsia="Times New Roman"/>
          <w:lang w:eastAsia="hr-HR"/>
        </w:rPr>
        <w:t>.</w:t>
      </w:r>
      <w:r w:rsidRPr="001B4CA2">
        <w:rPr>
          <w:rFonts w:eastAsia="Times New Roman"/>
          <w:lang w:eastAsia="hr-HR"/>
        </w:rPr>
        <w:t xml:space="preserve">244 ovršna predmeta radi naplate novčane tražbine Republika Hrvatska ovrhovoditelj </w:t>
      </w:r>
      <w:r w:rsidR="00840C0E" w:rsidRPr="001B4CA2">
        <w:rPr>
          <w:rFonts w:eastAsia="Times New Roman"/>
          <w:lang w:eastAsia="hr-HR"/>
        </w:rPr>
        <w:t xml:space="preserve">je </w:t>
      </w:r>
      <w:r w:rsidRPr="001B4CA2">
        <w:rPr>
          <w:rFonts w:eastAsia="Times New Roman"/>
          <w:lang w:eastAsia="hr-HR"/>
        </w:rPr>
        <w:t>u 92</w:t>
      </w:r>
      <w:r w:rsidR="00840C0E">
        <w:rPr>
          <w:rFonts w:eastAsia="Times New Roman"/>
          <w:lang w:eastAsia="hr-HR"/>
        </w:rPr>
        <w:t> </w:t>
      </w:r>
      <w:r w:rsidRPr="001B4CA2">
        <w:rPr>
          <w:rFonts w:eastAsia="Times New Roman"/>
          <w:lang w:eastAsia="hr-HR"/>
        </w:rPr>
        <w:t xml:space="preserve">%, dok je </w:t>
      </w:r>
      <w:proofErr w:type="spellStart"/>
      <w:r w:rsidRPr="001B4CA2">
        <w:rPr>
          <w:rFonts w:eastAsia="Times New Roman"/>
          <w:lang w:eastAsia="hr-HR"/>
        </w:rPr>
        <w:t>ovršenik</w:t>
      </w:r>
      <w:proofErr w:type="spellEnd"/>
      <w:r w:rsidRPr="001B4CA2">
        <w:rPr>
          <w:rFonts w:eastAsia="Times New Roman"/>
          <w:lang w:eastAsia="hr-HR"/>
        </w:rPr>
        <w:t xml:space="preserve"> u samo 8</w:t>
      </w:r>
      <w:r w:rsidR="00840C0E">
        <w:rPr>
          <w:rFonts w:eastAsia="Times New Roman"/>
          <w:lang w:eastAsia="hr-HR"/>
        </w:rPr>
        <w:t> </w:t>
      </w:r>
      <w:r w:rsidRPr="001B4CA2">
        <w:rPr>
          <w:rFonts w:eastAsia="Times New Roman"/>
          <w:lang w:eastAsia="hr-HR"/>
        </w:rPr>
        <w:t>% postupaka.</w:t>
      </w:r>
    </w:p>
    <w:p w14:paraId="72A36DB7" w14:textId="7A72522D" w:rsidR="001A5DAD" w:rsidRPr="001B4CA2" w:rsidRDefault="001A5DAD" w:rsidP="001A5DAD">
      <w:pPr>
        <w:spacing w:after="200" w:line="276" w:lineRule="auto"/>
        <w:ind w:firstLine="708"/>
        <w:rPr>
          <w:rFonts w:eastAsia="Times New Roman"/>
          <w:lang w:eastAsia="hr-HR"/>
        </w:rPr>
      </w:pPr>
      <w:r w:rsidRPr="001B4CA2">
        <w:rPr>
          <w:rFonts w:eastAsia="Times New Roman"/>
          <w:lang w:eastAsia="hr-HR"/>
        </w:rPr>
        <w:t xml:space="preserve">U odnosu na brojnost postupaka u kojima je Republika Hrvatska </w:t>
      </w:r>
      <w:r w:rsidR="009E6D91" w:rsidRPr="001B4CA2">
        <w:rPr>
          <w:rFonts w:eastAsia="Times New Roman"/>
          <w:lang w:eastAsia="hr-HR"/>
        </w:rPr>
        <w:t xml:space="preserve">bila </w:t>
      </w:r>
      <w:r w:rsidRPr="001B4CA2">
        <w:rPr>
          <w:rFonts w:eastAsia="Times New Roman"/>
          <w:lang w:eastAsia="hr-HR"/>
        </w:rPr>
        <w:t xml:space="preserve">ovrhovoditelj, najzastupljeniji su </w:t>
      </w:r>
      <w:r w:rsidR="009E6D91" w:rsidRPr="001B4CA2">
        <w:rPr>
          <w:rFonts w:eastAsia="Times New Roman"/>
          <w:lang w:eastAsia="hr-HR"/>
        </w:rPr>
        <w:t xml:space="preserve">bili </w:t>
      </w:r>
      <w:r w:rsidRPr="001B4CA2">
        <w:rPr>
          <w:rFonts w:eastAsia="Times New Roman"/>
          <w:lang w:eastAsia="hr-HR"/>
        </w:rPr>
        <w:t>postupci naplate trošk</w:t>
      </w:r>
      <w:r w:rsidR="009E6D91" w:rsidRPr="001B4CA2">
        <w:rPr>
          <w:rFonts w:eastAsia="Times New Roman"/>
          <w:lang w:eastAsia="hr-HR"/>
        </w:rPr>
        <w:t>ova</w:t>
      </w:r>
      <w:r w:rsidRPr="001B4CA2">
        <w:rPr>
          <w:rFonts w:eastAsia="Times New Roman"/>
          <w:lang w:eastAsia="hr-HR"/>
        </w:rPr>
        <w:t xml:space="preserve"> kaznenog postupka koji</w:t>
      </w:r>
      <w:r w:rsidR="009E6D91" w:rsidRPr="001B4CA2">
        <w:rPr>
          <w:rFonts w:eastAsia="Times New Roman"/>
          <w:lang w:eastAsia="hr-HR"/>
        </w:rPr>
        <w:t xml:space="preserve"> su</w:t>
      </w:r>
      <w:r w:rsidRPr="001B4CA2">
        <w:rPr>
          <w:rFonts w:eastAsia="Times New Roman"/>
          <w:lang w:eastAsia="hr-HR"/>
        </w:rPr>
        <w:t xml:space="preserve"> čin</w:t>
      </w:r>
      <w:r w:rsidR="009E6D91" w:rsidRPr="001B4CA2">
        <w:rPr>
          <w:rFonts w:eastAsia="Times New Roman"/>
          <w:lang w:eastAsia="hr-HR"/>
        </w:rPr>
        <w:t>ili</w:t>
      </w:r>
      <w:r w:rsidRPr="001B4CA2">
        <w:rPr>
          <w:rFonts w:eastAsia="Times New Roman"/>
          <w:lang w:eastAsia="hr-HR"/>
        </w:rPr>
        <w:t xml:space="preserve"> 55</w:t>
      </w:r>
      <w:r w:rsidR="00840C0E">
        <w:rPr>
          <w:rFonts w:eastAsia="Times New Roman"/>
          <w:lang w:eastAsia="hr-HR"/>
        </w:rPr>
        <w:t> </w:t>
      </w:r>
      <w:r w:rsidRPr="001B4CA2">
        <w:rPr>
          <w:rFonts w:eastAsia="Times New Roman"/>
          <w:lang w:eastAsia="hr-HR"/>
        </w:rPr>
        <w:t>% ovih postupaka, zatim slijede potraživanja iz parničnog/upravnog postupka</w:t>
      </w:r>
      <w:r w:rsidR="00FD08E9">
        <w:rPr>
          <w:rFonts w:eastAsia="Times New Roman"/>
          <w:lang w:eastAsia="hr-HR"/>
        </w:rPr>
        <w:t xml:space="preserve"> s </w:t>
      </w:r>
      <w:r w:rsidRPr="001B4CA2">
        <w:rPr>
          <w:rFonts w:eastAsia="Times New Roman"/>
          <w:lang w:eastAsia="hr-HR"/>
        </w:rPr>
        <w:t>19</w:t>
      </w:r>
      <w:r w:rsidR="00840C0E">
        <w:rPr>
          <w:rFonts w:eastAsia="Times New Roman"/>
          <w:lang w:eastAsia="hr-HR"/>
        </w:rPr>
        <w:t> </w:t>
      </w:r>
      <w:r w:rsidRPr="001B4CA2">
        <w:rPr>
          <w:rFonts w:eastAsia="Times New Roman"/>
          <w:lang w:eastAsia="hr-HR"/>
        </w:rPr>
        <w:t>%, a 10</w:t>
      </w:r>
      <w:r w:rsidR="00840C0E">
        <w:rPr>
          <w:rFonts w:eastAsia="Times New Roman"/>
          <w:lang w:eastAsia="hr-HR"/>
        </w:rPr>
        <w:t> </w:t>
      </w:r>
      <w:r w:rsidRPr="001B4CA2">
        <w:rPr>
          <w:rFonts w:eastAsia="Times New Roman"/>
          <w:lang w:eastAsia="hr-HR"/>
        </w:rPr>
        <w:t xml:space="preserve">% postupaka </w:t>
      </w:r>
      <w:r w:rsidR="00840C0E" w:rsidRPr="001B4CA2">
        <w:rPr>
          <w:rFonts w:eastAsia="Times New Roman"/>
          <w:lang w:eastAsia="hr-HR"/>
        </w:rPr>
        <w:t xml:space="preserve">odnosilo </w:t>
      </w:r>
      <w:r w:rsidRPr="001B4CA2">
        <w:rPr>
          <w:rFonts w:eastAsia="Times New Roman"/>
          <w:lang w:eastAsia="hr-HR"/>
        </w:rPr>
        <w:t xml:space="preserve">se na naplate troškova </w:t>
      </w:r>
      <w:r w:rsidRPr="001B4CA2">
        <w:rPr>
          <w:rFonts w:eastAsia="Times New Roman"/>
          <w:lang w:eastAsia="hr-HR"/>
        </w:rPr>
        <w:lastRenderedPageBreak/>
        <w:t xml:space="preserve">parničnog/ovršnog postupka, dok </w:t>
      </w:r>
      <w:r w:rsidR="009E6D91" w:rsidRPr="001B4CA2">
        <w:rPr>
          <w:rFonts w:eastAsia="Times New Roman"/>
          <w:lang w:eastAsia="hr-HR"/>
        </w:rPr>
        <w:t xml:space="preserve">su </w:t>
      </w:r>
      <w:r w:rsidRPr="001B4CA2">
        <w:rPr>
          <w:rFonts w:eastAsia="Times New Roman"/>
          <w:lang w:eastAsia="hr-HR"/>
        </w:rPr>
        <w:t>novčana potraživanja s ostalih osnova sudjel</w:t>
      </w:r>
      <w:r w:rsidR="009E6D91" w:rsidRPr="001B4CA2">
        <w:rPr>
          <w:rFonts w:eastAsia="Times New Roman"/>
          <w:lang w:eastAsia="hr-HR"/>
        </w:rPr>
        <w:t>ovala</w:t>
      </w:r>
      <w:r w:rsidRPr="001B4CA2">
        <w:rPr>
          <w:rFonts w:eastAsia="Times New Roman"/>
          <w:lang w:eastAsia="hr-HR"/>
        </w:rPr>
        <w:t xml:space="preserve"> s</w:t>
      </w:r>
      <w:r w:rsidR="009E6D91" w:rsidRPr="001B4CA2">
        <w:rPr>
          <w:rFonts w:eastAsia="Times New Roman"/>
          <w:lang w:eastAsia="hr-HR"/>
        </w:rPr>
        <w:t xml:space="preserve"> </w:t>
      </w:r>
      <w:r w:rsidRPr="001B4CA2">
        <w:rPr>
          <w:rFonts w:eastAsia="Times New Roman"/>
          <w:lang w:eastAsia="hr-HR"/>
        </w:rPr>
        <w:t>manje od 9</w:t>
      </w:r>
      <w:r w:rsidR="00840C0E">
        <w:rPr>
          <w:rFonts w:eastAsia="Times New Roman"/>
          <w:lang w:eastAsia="hr-HR"/>
        </w:rPr>
        <w:t> </w:t>
      </w:r>
      <w:r w:rsidRPr="001B4CA2">
        <w:rPr>
          <w:rFonts w:eastAsia="Times New Roman"/>
          <w:lang w:eastAsia="hr-HR"/>
        </w:rPr>
        <w:t>%.</w:t>
      </w:r>
    </w:p>
    <w:p w14:paraId="02B4E82A" w14:textId="652E8A94" w:rsidR="001A5DAD" w:rsidRPr="001B4CA2" w:rsidRDefault="001A5DAD" w:rsidP="001A5DAD">
      <w:pPr>
        <w:spacing w:after="200" w:line="276" w:lineRule="auto"/>
        <w:ind w:firstLine="708"/>
        <w:rPr>
          <w:rFonts w:eastAsia="Times New Roman"/>
          <w:lang w:eastAsia="hr-HR"/>
        </w:rPr>
      </w:pPr>
      <w:r w:rsidRPr="001B4CA2">
        <w:rPr>
          <w:rFonts w:eastAsia="Times New Roman"/>
          <w:lang w:eastAsia="hr-HR"/>
        </w:rPr>
        <w:t>Republika Hrvatska kao ovrhovoditelj u ovršnim je postupcima potraživala 784.188.447,01 kn</w:t>
      </w:r>
      <w:r w:rsidR="00840C0E">
        <w:rPr>
          <w:rFonts w:eastAsia="Times New Roman"/>
          <w:lang w:eastAsia="hr-HR"/>
        </w:rPr>
        <w:t xml:space="preserve"> </w:t>
      </w:r>
      <w:r w:rsidRPr="001B4CA2">
        <w:rPr>
          <w:rFonts w:eastAsia="Times New Roman"/>
          <w:lang w:eastAsia="hr-HR"/>
        </w:rPr>
        <w:t>/</w:t>
      </w:r>
      <w:r w:rsidR="001C297A" w:rsidRPr="001B4CA2">
        <w:rPr>
          <w:rFonts w:eastAsia="Times New Roman"/>
          <w:lang w:eastAsia="hr-HR"/>
        </w:rPr>
        <w:t xml:space="preserve"> </w:t>
      </w:r>
      <w:r w:rsidRPr="001B4CA2">
        <w:rPr>
          <w:rFonts w:eastAsia="Times New Roman"/>
          <w:lang w:eastAsia="hr-HR"/>
        </w:rPr>
        <w:t>104.</w:t>
      </w:r>
      <w:r w:rsidR="00C4437D">
        <w:rPr>
          <w:rFonts w:eastAsia="Times New Roman"/>
          <w:lang w:eastAsia="hr-HR"/>
        </w:rPr>
        <w:t>079</w:t>
      </w:r>
      <w:r w:rsidRPr="001B4CA2">
        <w:rPr>
          <w:rFonts w:eastAsia="Times New Roman"/>
          <w:lang w:eastAsia="hr-HR"/>
        </w:rPr>
        <w:t>.</w:t>
      </w:r>
      <w:r w:rsidR="00C4437D">
        <w:rPr>
          <w:rFonts w:eastAsia="Times New Roman"/>
          <w:lang w:eastAsia="hr-HR"/>
        </w:rPr>
        <w:t>693</w:t>
      </w:r>
      <w:r w:rsidRPr="001B4CA2">
        <w:rPr>
          <w:rFonts w:eastAsia="Times New Roman"/>
          <w:lang w:eastAsia="hr-HR"/>
        </w:rPr>
        <w:t>,0</w:t>
      </w:r>
      <w:r w:rsidR="00C4437D">
        <w:rPr>
          <w:rFonts w:eastAsia="Times New Roman"/>
          <w:lang w:eastAsia="hr-HR"/>
        </w:rPr>
        <w:t>1</w:t>
      </w:r>
      <w:r w:rsidRPr="001B4CA2">
        <w:rPr>
          <w:rFonts w:eastAsia="Times New Roman"/>
          <w:lang w:eastAsia="hr-HR"/>
        </w:rPr>
        <w:t xml:space="preserve"> </w:t>
      </w:r>
      <w:r w:rsidR="0020162B" w:rsidRPr="001B4CA2">
        <w:rPr>
          <w:rFonts w:eastAsia="Times New Roman"/>
          <w:lang w:eastAsia="hr-HR"/>
        </w:rPr>
        <w:t>EUR</w:t>
      </w:r>
      <w:r w:rsidRPr="001B4CA2">
        <w:rPr>
          <w:rFonts w:eastAsia="Times New Roman"/>
          <w:lang w:eastAsia="hr-HR"/>
        </w:rPr>
        <w:t xml:space="preserve">, a kao </w:t>
      </w:r>
      <w:proofErr w:type="spellStart"/>
      <w:r w:rsidRPr="001B4CA2">
        <w:rPr>
          <w:rFonts w:eastAsia="Times New Roman"/>
          <w:lang w:eastAsia="hr-HR"/>
        </w:rPr>
        <w:t>ovršenik</w:t>
      </w:r>
      <w:proofErr w:type="spellEnd"/>
      <w:r w:rsidRPr="001B4CA2">
        <w:rPr>
          <w:rFonts w:eastAsia="Times New Roman"/>
          <w:lang w:eastAsia="hr-HR"/>
        </w:rPr>
        <w:t xml:space="preserve"> bila </w:t>
      </w:r>
      <w:r w:rsidR="00840C0E" w:rsidRPr="001B4CA2">
        <w:rPr>
          <w:rFonts w:eastAsia="Times New Roman"/>
          <w:lang w:eastAsia="hr-HR"/>
        </w:rPr>
        <w:t xml:space="preserve">je </w:t>
      </w:r>
      <w:r w:rsidRPr="001B4CA2">
        <w:rPr>
          <w:rFonts w:eastAsia="Times New Roman"/>
          <w:lang w:eastAsia="hr-HR"/>
        </w:rPr>
        <w:t>u obvezi platiti 33.737.652,77 kn</w:t>
      </w:r>
      <w:r w:rsidR="00840C0E">
        <w:rPr>
          <w:rFonts w:eastAsia="Times New Roman"/>
          <w:lang w:eastAsia="hr-HR"/>
        </w:rPr>
        <w:t xml:space="preserve"> </w:t>
      </w:r>
      <w:r w:rsidRPr="001B4CA2">
        <w:rPr>
          <w:rFonts w:eastAsia="Times New Roman"/>
          <w:lang w:eastAsia="hr-HR"/>
        </w:rPr>
        <w:t>/</w:t>
      </w:r>
      <w:r w:rsidR="001C297A" w:rsidRPr="001B4CA2">
        <w:rPr>
          <w:rFonts w:eastAsia="Times New Roman"/>
          <w:lang w:eastAsia="hr-HR"/>
        </w:rPr>
        <w:t xml:space="preserve"> </w:t>
      </w:r>
      <w:r w:rsidRPr="001B4CA2">
        <w:rPr>
          <w:rFonts w:eastAsia="Times New Roman"/>
          <w:lang w:eastAsia="hr-HR"/>
        </w:rPr>
        <w:t>4.</w:t>
      </w:r>
      <w:r w:rsidR="00C4437D">
        <w:rPr>
          <w:rFonts w:eastAsia="Times New Roman"/>
          <w:lang w:eastAsia="hr-HR"/>
        </w:rPr>
        <w:t>477</w:t>
      </w:r>
      <w:r w:rsidRPr="001B4CA2">
        <w:rPr>
          <w:rFonts w:eastAsia="Times New Roman"/>
          <w:lang w:eastAsia="hr-HR"/>
        </w:rPr>
        <w:t>.</w:t>
      </w:r>
      <w:r w:rsidR="00C4437D">
        <w:rPr>
          <w:rFonts w:eastAsia="Times New Roman"/>
          <w:lang w:eastAsia="hr-HR"/>
        </w:rPr>
        <w:t>756</w:t>
      </w:r>
      <w:r w:rsidRPr="001B4CA2">
        <w:rPr>
          <w:rFonts w:eastAsia="Times New Roman"/>
          <w:lang w:eastAsia="hr-HR"/>
        </w:rPr>
        <w:t>,</w:t>
      </w:r>
      <w:r w:rsidR="00C4437D">
        <w:rPr>
          <w:rFonts w:eastAsia="Times New Roman"/>
          <w:lang w:eastAsia="hr-HR"/>
        </w:rPr>
        <w:t>02</w:t>
      </w:r>
      <w:r w:rsidRPr="001B4CA2">
        <w:rPr>
          <w:rFonts w:eastAsia="Times New Roman"/>
          <w:lang w:eastAsia="hr-HR"/>
        </w:rPr>
        <w:t xml:space="preserve"> </w:t>
      </w:r>
      <w:r w:rsidR="0020162B" w:rsidRPr="001B4CA2">
        <w:rPr>
          <w:rFonts w:eastAsia="Times New Roman"/>
          <w:lang w:eastAsia="hr-HR"/>
        </w:rPr>
        <w:t>EUR</w:t>
      </w:r>
      <w:r w:rsidRPr="001B4CA2">
        <w:rPr>
          <w:rFonts w:eastAsia="Times New Roman"/>
          <w:lang w:eastAsia="hr-HR"/>
        </w:rPr>
        <w:t>.</w:t>
      </w:r>
    </w:p>
    <w:p w14:paraId="713B4F46" w14:textId="1D4B021A" w:rsidR="001A5DAD" w:rsidRPr="001B4CA2" w:rsidRDefault="001A5DAD" w:rsidP="001A5DAD">
      <w:pPr>
        <w:spacing w:after="200" w:line="276" w:lineRule="auto"/>
        <w:ind w:firstLine="708"/>
        <w:rPr>
          <w:rFonts w:eastAsia="Times New Roman"/>
          <w:lang w:eastAsia="hr-HR"/>
        </w:rPr>
      </w:pPr>
      <w:r w:rsidRPr="001B4CA2">
        <w:rPr>
          <w:rFonts w:eastAsia="Times New Roman"/>
          <w:lang w:eastAsia="hr-HR"/>
        </w:rPr>
        <w:t xml:space="preserve">U odnosu na vrijednost postupaka u kojima je Republika Hrvatska </w:t>
      </w:r>
      <w:r w:rsidR="009E6D91" w:rsidRPr="001B4CA2">
        <w:rPr>
          <w:rFonts w:eastAsia="Times New Roman"/>
          <w:lang w:eastAsia="hr-HR"/>
        </w:rPr>
        <w:t xml:space="preserve">bila </w:t>
      </w:r>
      <w:r w:rsidRPr="001B4CA2">
        <w:rPr>
          <w:rFonts w:eastAsia="Times New Roman"/>
          <w:lang w:eastAsia="hr-HR"/>
        </w:rPr>
        <w:t>ovrhovoditelj, najve</w:t>
      </w:r>
      <w:r w:rsidR="009E6D91" w:rsidRPr="001B4CA2">
        <w:rPr>
          <w:rFonts w:eastAsia="Times New Roman"/>
          <w:lang w:eastAsia="hr-HR"/>
        </w:rPr>
        <w:t>ć</w:t>
      </w:r>
      <w:r w:rsidRPr="001B4CA2">
        <w:rPr>
          <w:rFonts w:eastAsia="Times New Roman"/>
          <w:lang w:eastAsia="hr-HR"/>
        </w:rPr>
        <w:t>e su vrijednosti</w:t>
      </w:r>
      <w:r w:rsidR="009E6D91" w:rsidRPr="001B4CA2">
        <w:rPr>
          <w:rFonts w:eastAsia="Times New Roman"/>
          <w:lang w:eastAsia="hr-HR"/>
        </w:rPr>
        <w:t xml:space="preserve"> bili</w:t>
      </w:r>
      <w:r w:rsidRPr="001B4CA2">
        <w:rPr>
          <w:rFonts w:eastAsia="Times New Roman"/>
          <w:lang w:eastAsia="hr-HR"/>
        </w:rPr>
        <w:t xml:space="preserve"> ovršni postupci </w:t>
      </w:r>
      <w:r w:rsidR="009E6D91" w:rsidRPr="001B4CA2">
        <w:rPr>
          <w:rFonts w:eastAsia="Times New Roman"/>
          <w:lang w:eastAsia="hr-HR"/>
        </w:rPr>
        <w:t xml:space="preserve">radi </w:t>
      </w:r>
      <w:r w:rsidRPr="001B4CA2">
        <w:rPr>
          <w:rFonts w:eastAsia="Times New Roman"/>
          <w:lang w:eastAsia="hr-HR"/>
        </w:rPr>
        <w:t>naplate oduzete imovinske koristi (42</w:t>
      </w:r>
      <w:r w:rsidR="00840C0E">
        <w:rPr>
          <w:rFonts w:eastAsia="Times New Roman"/>
          <w:lang w:eastAsia="hr-HR"/>
        </w:rPr>
        <w:t> </w:t>
      </w:r>
      <w:r w:rsidRPr="001B4CA2">
        <w:rPr>
          <w:rFonts w:eastAsia="Times New Roman"/>
          <w:lang w:eastAsia="hr-HR"/>
        </w:rPr>
        <w:t>%), naplate potraživanja iz parničnog/upravnog postupka (30</w:t>
      </w:r>
      <w:r w:rsidR="00840C0E">
        <w:rPr>
          <w:rFonts w:eastAsia="Times New Roman"/>
          <w:lang w:eastAsia="hr-HR"/>
        </w:rPr>
        <w:t> </w:t>
      </w:r>
      <w:r w:rsidRPr="001B4CA2">
        <w:rPr>
          <w:rFonts w:eastAsia="Times New Roman"/>
          <w:lang w:eastAsia="hr-HR"/>
        </w:rPr>
        <w:t>%) i</w:t>
      </w:r>
      <w:r w:rsidR="001B4CA2">
        <w:rPr>
          <w:rFonts w:eastAsia="Times New Roman"/>
          <w:lang w:eastAsia="hr-HR"/>
        </w:rPr>
        <w:t xml:space="preserve"> </w:t>
      </w:r>
      <w:r w:rsidRPr="001B4CA2">
        <w:rPr>
          <w:rFonts w:eastAsia="Times New Roman"/>
          <w:lang w:eastAsia="hr-HR"/>
        </w:rPr>
        <w:t>naplate temeljem ostalih ovršnih isprava (15</w:t>
      </w:r>
      <w:r w:rsidR="00840C0E">
        <w:rPr>
          <w:rFonts w:eastAsia="Times New Roman"/>
          <w:lang w:eastAsia="hr-HR"/>
        </w:rPr>
        <w:t> </w:t>
      </w:r>
      <w:r w:rsidRPr="001B4CA2">
        <w:rPr>
          <w:rFonts w:eastAsia="Times New Roman"/>
          <w:lang w:eastAsia="hr-HR"/>
        </w:rPr>
        <w:t xml:space="preserve">%), dok </w:t>
      </w:r>
      <w:r w:rsidR="009E6D91" w:rsidRPr="001B4CA2">
        <w:rPr>
          <w:rFonts w:eastAsia="Times New Roman"/>
          <w:lang w:eastAsia="hr-HR"/>
        </w:rPr>
        <w:t xml:space="preserve">su </w:t>
      </w:r>
      <w:r w:rsidRPr="001B4CA2">
        <w:rPr>
          <w:rFonts w:eastAsia="Times New Roman"/>
          <w:lang w:eastAsia="hr-HR"/>
        </w:rPr>
        <w:t xml:space="preserve">naplate potraživanja s drugih osnova </w:t>
      </w:r>
      <w:r w:rsidR="009E6D91" w:rsidRPr="001B4CA2">
        <w:rPr>
          <w:rFonts w:eastAsia="Times New Roman"/>
          <w:lang w:eastAsia="hr-HR"/>
        </w:rPr>
        <w:t>imala</w:t>
      </w:r>
      <w:r w:rsidRPr="001B4CA2">
        <w:rPr>
          <w:rFonts w:eastAsia="Times New Roman"/>
          <w:lang w:eastAsia="hr-HR"/>
        </w:rPr>
        <w:t xml:space="preserve"> znatno manji udio.</w:t>
      </w:r>
    </w:p>
    <w:p w14:paraId="0B5D1D3B" w14:textId="59B905EA" w:rsidR="001A5DAD" w:rsidRPr="001B4CA2" w:rsidRDefault="001A5DAD" w:rsidP="001A5DAD">
      <w:pPr>
        <w:spacing w:after="200" w:line="276" w:lineRule="auto"/>
        <w:ind w:firstLine="708"/>
        <w:rPr>
          <w:rFonts w:eastAsia="Times New Roman"/>
          <w:lang w:eastAsia="hr-HR"/>
        </w:rPr>
      </w:pPr>
      <w:r w:rsidRPr="001B4CA2">
        <w:rPr>
          <w:rFonts w:eastAsia="Times New Roman"/>
          <w:lang w:eastAsia="hr-HR"/>
        </w:rPr>
        <w:t xml:space="preserve">Postupci u kojima je Republika Hrvatska </w:t>
      </w:r>
      <w:r w:rsidR="009E6D91" w:rsidRPr="001B4CA2">
        <w:rPr>
          <w:rFonts w:eastAsia="Times New Roman"/>
          <w:lang w:eastAsia="hr-HR"/>
        </w:rPr>
        <w:t xml:space="preserve">bila </w:t>
      </w:r>
      <w:proofErr w:type="spellStart"/>
      <w:r w:rsidRPr="001B4CA2">
        <w:rPr>
          <w:rFonts w:eastAsia="Times New Roman"/>
          <w:lang w:eastAsia="hr-HR"/>
        </w:rPr>
        <w:t>ovršenik</w:t>
      </w:r>
      <w:proofErr w:type="spellEnd"/>
      <w:r w:rsidRPr="001B4CA2">
        <w:rPr>
          <w:rFonts w:eastAsia="Times New Roman"/>
          <w:lang w:eastAsia="hr-HR"/>
        </w:rPr>
        <w:t xml:space="preserve"> odnos</w:t>
      </w:r>
      <w:r w:rsidR="009E6D91" w:rsidRPr="001B4CA2">
        <w:rPr>
          <w:rFonts w:eastAsia="Times New Roman"/>
          <w:lang w:eastAsia="hr-HR"/>
        </w:rPr>
        <w:t>ila su</w:t>
      </w:r>
      <w:r w:rsidRPr="001B4CA2">
        <w:rPr>
          <w:rFonts w:eastAsia="Times New Roman"/>
          <w:lang w:eastAsia="hr-HR"/>
        </w:rPr>
        <w:t xml:space="preserve"> se najvećim dijelom na potraživanja iz parničnog/upravnog postupka (46</w:t>
      </w:r>
      <w:r w:rsidR="00840C0E">
        <w:rPr>
          <w:rFonts w:eastAsia="Times New Roman"/>
          <w:lang w:eastAsia="hr-HR"/>
        </w:rPr>
        <w:t> </w:t>
      </w:r>
      <w:r w:rsidRPr="001B4CA2">
        <w:rPr>
          <w:rFonts w:eastAsia="Times New Roman"/>
          <w:lang w:eastAsia="hr-HR"/>
        </w:rPr>
        <w:t>%), zatim na naplatu troškova parničnog/ovršnog postupka 37</w:t>
      </w:r>
      <w:r w:rsidR="00840C0E">
        <w:rPr>
          <w:rFonts w:eastAsia="Times New Roman"/>
          <w:lang w:eastAsia="hr-HR"/>
        </w:rPr>
        <w:t> </w:t>
      </w:r>
      <w:r w:rsidRPr="001B4CA2">
        <w:rPr>
          <w:rFonts w:eastAsia="Times New Roman"/>
          <w:lang w:eastAsia="hr-HR"/>
        </w:rPr>
        <w:t>%, na potraživanja koja se temelje na vjerodostojnoj ispravi</w:t>
      </w:r>
      <w:r w:rsidR="001B4CA2">
        <w:rPr>
          <w:rFonts w:eastAsia="Times New Roman"/>
          <w:lang w:eastAsia="hr-HR"/>
        </w:rPr>
        <w:t xml:space="preserve"> </w:t>
      </w:r>
      <w:r w:rsidRPr="001B4CA2">
        <w:rPr>
          <w:rFonts w:eastAsia="Times New Roman"/>
          <w:lang w:eastAsia="hr-HR"/>
        </w:rPr>
        <w:t>16</w:t>
      </w:r>
      <w:r w:rsidR="00840C0E">
        <w:rPr>
          <w:rFonts w:eastAsia="Times New Roman"/>
          <w:lang w:eastAsia="hr-HR"/>
        </w:rPr>
        <w:t> </w:t>
      </w:r>
      <w:r w:rsidRPr="001B4CA2">
        <w:rPr>
          <w:rFonts w:eastAsia="Times New Roman"/>
          <w:lang w:eastAsia="hr-HR"/>
        </w:rPr>
        <w:t xml:space="preserve">%, dok </w:t>
      </w:r>
      <w:r w:rsidR="00C12AD2" w:rsidRPr="001B4CA2">
        <w:rPr>
          <w:rFonts w:eastAsia="Times New Roman"/>
          <w:lang w:eastAsia="hr-HR"/>
        </w:rPr>
        <w:t xml:space="preserve">su </w:t>
      </w:r>
      <w:r w:rsidRPr="001B4CA2">
        <w:rPr>
          <w:rFonts w:eastAsia="Times New Roman"/>
          <w:lang w:eastAsia="hr-HR"/>
        </w:rPr>
        <w:t>potraživanja s ostalih osnova ima</w:t>
      </w:r>
      <w:r w:rsidR="00C12AD2" w:rsidRPr="001B4CA2">
        <w:rPr>
          <w:rFonts w:eastAsia="Times New Roman"/>
          <w:lang w:eastAsia="hr-HR"/>
        </w:rPr>
        <w:t>la</w:t>
      </w:r>
      <w:r w:rsidRPr="001B4CA2">
        <w:rPr>
          <w:rFonts w:eastAsia="Times New Roman"/>
          <w:lang w:eastAsia="hr-HR"/>
        </w:rPr>
        <w:t xml:space="preserve"> znatno manji udio.</w:t>
      </w:r>
    </w:p>
    <w:p w14:paraId="16A3E45B" w14:textId="05E37530" w:rsidR="001A5DAD" w:rsidRPr="001B4CA2" w:rsidRDefault="001A5DAD" w:rsidP="008930E8">
      <w:pPr>
        <w:spacing w:after="200" w:line="276" w:lineRule="auto"/>
        <w:ind w:firstLine="708"/>
        <w:rPr>
          <w:rFonts w:eastAsia="Times New Roman"/>
          <w:lang w:eastAsia="hr-HR"/>
        </w:rPr>
      </w:pPr>
      <w:r w:rsidRPr="001B4CA2">
        <w:rPr>
          <w:rFonts w:eastAsia="Times New Roman"/>
          <w:lang w:eastAsia="hr-HR"/>
        </w:rPr>
        <w:t xml:space="preserve">U odnosu na vrijednost postupaka u kojima je Republika Hrvatska </w:t>
      </w:r>
      <w:r w:rsidR="00C12AD2" w:rsidRPr="001B4CA2">
        <w:rPr>
          <w:rFonts w:eastAsia="Times New Roman"/>
          <w:lang w:eastAsia="hr-HR"/>
        </w:rPr>
        <w:t xml:space="preserve">bila </w:t>
      </w:r>
      <w:proofErr w:type="spellStart"/>
      <w:r w:rsidRPr="001B4CA2">
        <w:rPr>
          <w:rFonts w:eastAsia="Times New Roman"/>
          <w:lang w:eastAsia="hr-HR"/>
        </w:rPr>
        <w:t>ovršenik</w:t>
      </w:r>
      <w:proofErr w:type="spellEnd"/>
      <w:r w:rsidRPr="001B4CA2">
        <w:rPr>
          <w:rFonts w:eastAsia="Times New Roman"/>
          <w:lang w:eastAsia="hr-HR"/>
        </w:rPr>
        <w:t>, 86</w:t>
      </w:r>
      <w:r w:rsidR="00840C0E">
        <w:rPr>
          <w:rFonts w:eastAsia="Times New Roman"/>
          <w:lang w:eastAsia="hr-HR"/>
        </w:rPr>
        <w:t> </w:t>
      </w:r>
      <w:r w:rsidRPr="001B4CA2">
        <w:rPr>
          <w:rFonts w:eastAsia="Times New Roman"/>
          <w:lang w:eastAsia="hr-HR"/>
        </w:rPr>
        <w:t>% čin</w:t>
      </w:r>
      <w:r w:rsidR="00C12AD2" w:rsidRPr="001B4CA2">
        <w:rPr>
          <w:rFonts w:eastAsia="Times New Roman"/>
          <w:lang w:eastAsia="hr-HR"/>
        </w:rPr>
        <w:t>ili</w:t>
      </w:r>
      <w:r w:rsidRPr="001B4CA2">
        <w:rPr>
          <w:rFonts w:eastAsia="Times New Roman"/>
          <w:lang w:eastAsia="hr-HR"/>
        </w:rPr>
        <w:t xml:space="preserve"> </w:t>
      </w:r>
      <w:r w:rsidR="00840C0E" w:rsidRPr="001B4CA2">
        <w:rPr>
          <w:rFonts w:eastAsia="Times New Roman"/>
          <w:lang w:eastAsia="hr-HR"/>
        </w:rPr>
        <w:t xml:space="preserve">su </w:t>
      </w:r>
      <w:r w:rsidRPr="001B4CA2">
        <w:rPr>
          <w:rFonts w:eastAsia="Times New Roman"/>
          <w:lang w:eastAsia="hr-HR"/>
        </w:rPr>
        <w:t>ovršni postupci koji</w:t>
      </w:r>
      <w:r w:rsidR="00C12AD2" w:rsidRPr="001B4CA2">
        <w:rPr>
          <w:rFonts w:eastAsia="Times New Roman"/>
          <w:lang w:eastAsia="hr-HR"/>
        </w:rPr>
        <w:t xml:space="preserve"> su</w:t>
      </w:r>
      <w:r w:rsidRPr="001B4CA2">
        <w:rPr>
          <w:rFonts w:eastAsia="Times New Roman"/>
          <w:lang w:eastAsia="hr-HR"/>
        </w:rPr>
        <w:t xml:space="preserve"> se vod</w:t>
      </w:r>
      <w:r w:rsidR="00C12AD2" w:rsidRPr="001B4CA2">
        <w:rPr>
          <w:rFonts w:eastAsia="Times New Roman"/>
          <w:lang w:eastAsia="hr-HR"/>
        </w:rPr>
        <w:t>ili</w:t>
      </w:r>
      <w:r w:rsidRPr="001B4CA2">
        <w:rPr>
          <w:rFonts w:eastAsia="Times New Roman"/>
          <w:lang w:eastAsia="hr-HR"/>
        </w:rPr>
        <w:t xml:space="preserve"> radi naplate potraživanja iz parničnog/upravnog postupka. </w:t>
      </w:r>
    </w:p>
    <w:p w14:paraId="19AF5167" w14:textId="5306769C" w:rsidR="003C0C6F" w:rsidRPr="001B4CA2" w:rsidRDefault="00BB4D48" w:rsidP="008930E8">
      <w:pPr>
        <w:pStyle w:val="Naslov4"/>
        <w:tabs>
          <w:tab w:val="left" w:pos="709"/>
        </w:tabs>
        <w:ind w:left="0" w:firstLine="0"/>
        <w:rPr>
          <w:rFonts w:ascii="Arial" w:hAnsi="Arial" w:cs="Arial"/>
        </w:rPr>
      </w:pPr>
      <w:bookmarkStart w:id="71" w:name="_Toc133394331"/>
      <w:r w:rsidRPr="001B4CA2">
        <w:rPr>
          <w:rFonts w:ascii="Arial" w:hAnsi="Arial" w:cs="Arial"/>
        </w:rPr>
        <w:t xml:space="preserve">Odluke u </w:t>
      </w:r>
      <w:r w:rsidR="00C81134" w:rsidRPr="001B4CA2">
        <w:rPr>
          <w:rFonts w:ascii="Arial" w:hAnsi="Arial" w:cs="Arial"/>
        </w:rPr>
        <w:t>upravnim predmetima</w:t>
      </w:r>
      <w:bookmarkEnd w:id="71"/>
    </w:p>
    <w:p w14:paraId="7B81438F" w14:textId="77777777" w:rsidR="00CD5EC8" w:rsidRPr="001B4CA2" w:rsidRDefault="00CD5EC8" w:rsidP="00C81134"/>
    <w:p w14:paraId="24D25F09" w14:textId="3D43790E" w:rsidR="001A5DAD" w:rsidRPr="001B4CA2" w:rsidRDefault="0020162B" w:rsidP="009A1E7E">
      <w:pPr>
        <w:pStyle w:val="Odlomakpopisa"/>
        <w:numPr>
          <w:ilvl w:val="0"/>
          <w:numId w:val="39"/>
        </w:numPr>
        <w:ind w:left="-142" w:right="-1" w:hanging="142"/>
        <w:jc w:val="left"/>
        <w:rPr>
          <w:i/>
          <w:sz w:val="20"/>
          <w:szCs w:val="20"/>
        </w:rPr>
      </w:pPr>
      <w:r w:rsidRPr="001B4CA2">
        <w:rPr>
          <w:rFonts w:asciiTheme="minorHAnsi" w:hAnsiTheme="minorHAnsi" w:cstheme="minorBidi"/>
          <w:i/>
          <w:szCs w:val="22"/>
        </w:rPr>
        <w:t xml:space="preserve"> </w:t>
      </w:r>
      <w:r w:rsidR="001A5DAD" w:rsidRPr="001B4CA2">
        <w:rPr>
          <w:rFonts w:asciiTheme="minorHAnsi" w:hAnsiTheme="minorHAnsi" w:cstheme="minorBidi"/>
          <w:i/>
          <w:szCs w:val="22"/>
        </w:rPr>
        <w:t xml:space="preserve">Upravni predmeti (U-DO upisnik) 2018. – 2022. </w:t>
      </w:r>
      <w:r w:rsidR="001A5DAD" w:rsidRPr="001B4CA2">
        <w:rPr>
          <w:i/>
          <w:sz w:val="20"/>
          <w:szCs w:val="20"/>
        </w:rPr>
        <w:t xml:space="preserve">    </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667"/>
        <w:gridCol w:w="846"/>
        <w:gridCol w:w="696"/>
        <w:gridCol w:w="845"/>
        <w:gridCol w:w="846"/>
        <w:gridCol w:w="845"/>
        <w:gridCol w:w="846"/>
        <w:gridCol w:w="571"/>
        <w:gridCol w:w="847"/>
        <w:gridCol w:w="673"/>
        <w:gridCol w:w="670"/>
      </w:tblGrid>
      <w:tr w:rsidR="001A5DAD" w:rsidRPr="001B4CA2" w14:paraId="026CA2B2" w14:textId="77777777" w:rsidTr="007D12C6">
        <w:trPr>
          <w:trHeight w:val="1052"/>
          <w:jc w:val="center"/>
        </w:trPr>
        <w:tc>
          <w:tcPr>
            <w:tcW w:w="837" w:type="dxa"/>
            <w:vMerge w:val="restart"/>
            <w:tcBorders>
              <w:bottom w:val="single" w:sz="4" w:space="0" w:color="auto"/>
            </w:tcBorders>
            <w:shd w:val="clear" w:color="000000" w:fill="99CCFF"/>
            <w:noWrap/>
            <w:vAlign w:val="center"/>
            <w:hideMark/>
          </w:tcPr>
          <w:p w14:paraId="35949511"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667" w:type="dxa"/>
            <w:vMerge w:val="restart"/>
            <w:tcBorders>
              <w:bottom w:val="single" w:sz="4" w:space="0" w:color="auto"/>
            </w:tcBorders>
            <w:shd w:val="clear" w:color="000000" w:fill="99CCFF"/>
            <w:textDirection w:val="btLr"/>
            <w:vAlign w:val="center"/>
            <w:hideMark/>
          </w:tcPr>
          <w:p w14:paraId="20277AE1" w14:textId="77777777" w:rsidR="001A5DAD" w:rsidRPr="001B4CA2" w:rsidRDefault="001A5DAD" w:rsidP="001A5DAD">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Ostalo u radu u DO</w:t>
            </w:r>
          </w:p>
        </w:tc>
        <w:tc>
          <w:tcPr>
            <w:tcW w:w="1542" w:type="dxa"/>
            <w:gridSpan w:val="2"/>
            <w:tcBorders>
              <w:bottom w:val="single" w:sz="4" w:space="0" w:color="auto"/>
            </w:tcBorders>
            <w:shd w:val="clear" w:color="000000" w:fill="99CCFF"/>
            <w:vAlign w:val="center"/>
            <w:hideMark/>
          </w:tcPr>
          <w:p w14:paraId="25A1CB14"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Primljeno</w:t>
            </w:r>
          </w:p>
        </w:tc>
        <w:tc>
          <w:tcPr>
            <w:tcW w:w="845" w:type="dxa"/>
            <w:vMerge w:val="restart"/>
            <w:tcBorders>
              <w:bottom w:val="single" w:sz="4" w:space="0" w:color="auto"/>
            </w:tcBorders>
            <w:shd w:val="clear" w:color="000000" w:fill="99CCFF"/>
            <w:textDirection w:val="btLr"/>
            <w:vAlign w:val="center"/>
            <w:hideMark/>
          </w:tcPr>
          <w:p w14:paraId="4AF880BA" w14:textId="77777777" w:rsidR="001A5DAD" w:rsidRPr="001B4CA2" w:rsidRDefault="001A5DAD" w:rsidP="001A5DAD">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Ukupno u radu u DO</w:t>
            </w:r>
          </w:p>
        </w:tc>
        <w:tc>
          <w:tcPr>
            <w:tcW w:w="846" w:type="dxa"/>
            <w:vMerge w:val="restart"/>
            <w:tcBorders>
              <w:bottom w:val="single" w:sz="4" w:space="0" w:color="auto"/>
            </w:tcBorders>
            <w:shd w:val="clear" w:color="000000" w:fill="99CCFF"/>
            <w:textDirection w:val="btLr"/>
            <w:vAlign w:val="center"/>
            <w:hideMark/>
          </w:tcPr>
          <w:p w14:paraId="3A6F3DD5" w14:textId="77777777" w:rsidR="001A5DAD" w:rsidRPr="001B4CA2" w:rsidRDefault="001A5DAD" w:rsidP="001A5DAD">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Ukupno donesenih odluka</w:t>
            </w:r>
          </w:p>
        </w:tc>
        <w:tc>
          <w:tcPr>
            <w:tcW w:w="845" w:type="dxa"/>
            <w:vMerge w:val="restart"/>
            <w:tcBorders>
              <w:bottom w:val="single" w:sz="4" w:space="0" w:color="auto"/>
            </w:tcBorders>
            <w:shd w:val="clear" w:color="000000" w:fill="99CCFF"/>
            <w:textDirection w:val="btLr"/>
            <w:vAlign w:val="center"/>
            <w:hideMark/>
          </w:tcPr>
          <w:p w14:paraId="58A3DB2F" w14:textId="77777777" w:rsidR="001A5DAD" w:rsidRPr="001B4CA2" w:rsidRDefault="001A5DAD" w:rsidP="001A5DAD">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Rasprave</w:t>
            </w:r>
          </w:p>
        </w:tc>
        <w:tc>
          <w:tcPr>
            <w:tcW w:w="2264" w:type="dxa"/>
            <w:gridSpan w:val="3"/>
            <w:tcBorders>
              <w:bottom w:val="single" w:sz="4" w:space="0" w:color="auto"/>
            </w:tcBorders>
            <w:shd w:val="clear" w:color="000000" w:fill="99CCFF"/>
            <w:vAlign w:val="center"/>
            <w:hideMark/>
          </w:tcPr>
          <w:p w14:paraId="211C8CDE"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Odluke JPT-a po prijedlogu DO</w:t>
            </w:r>
          </w:p>
        </w:tc>
        <w:tc>
          <w:tcPr>
            <w:tcW w:w="673" w:type="dxa"/>
            <w:vMerge w:val="restart"/>
            <w:tcBorders>
              <w:bottom w:val="single" w:sz="4" w:space="0" w:color="auto"/>
            </w:tcBorders>
            <w:shd w:val="clear" w:color="000000" w:fill="99CCFF"/>
            <w:textDirection w:val="btLr"/>
            <w:vAlign w:val="center"/>
            <w:hideMark/>
          </w:tcPr>
          <w:p w14:paraId="5F54DE9D" w14:textId="77777777" w:rsidR="001A5DAD" w:rsidRPr="001B4CA2" w:rsidRDefault="001A5DAD" w:rsidP="001A5DAD">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Predmeti u kojima JPT nije donio I-stup. Odluku</w:t>
            </w:r>
          </w:p>
        </w:tc>
        <w:tc>
          <w:tcPr>
            <w:tcW w:w="670" w:type="dxa"/>
            <w:vMerge w:val="restart"/>
            <w:tcBorders>
              <w:bottom w:val="single" w:sz="4" w:space="0" w:color="auto"/>
            </w:tcBorders>
            <w:shd w:val="clear" w:color="000000" w:fill="99CCFF"/>
            <w:textDirection w:val="btLr"/>
            <w:vAlign w:val="center"/>
            <w:hideMark/>
          </w:tcPr>
          <w:p w14:paraId="55ED0F31" w14:textId="77777777" w:rsidR="001A5DAD" w:rsidRPr="001B4CA2" w:rsidRDefault="001A5DAD" w:rsidP="001A5DAD">
            <w:pPr>
              <w:jc w:val="left"/>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sz w:val="18"/>
                <w:szCs w:val="18"/>
                <w:lang w:eastAsia="hr-HR"/>
              </w:rPr>
              <w:t>Inicijativa za pokretanje upravnog spora</w:t>
            </w:r>
          </w:p>
        </w:tc>
      </w:tr>
      <w:tr w:rsidR="001A5DAD" w:rsidRPr="001B4CA2" w14:paraId="045CEDA7" w14:textId="77777777" w:rsidTr="007D12C6">
        <w:trPr>
          <w:trHeight w:val="1679"/>
          <w:jc w:val="center"/>
        </w:trPr>
        <w:tc>
          <w:tcPr>
            <w:tcW w:w="837" w:type="dxa"/>
            <w:vMerge/>
            <w:vAlign w:val="center"/>
            <w:hideMark/>
          </w:tcPr>
          <w:p w14:paraId="1CAA3C9D" w14:textId="77777777" w:rsidR="001A5DAD" w:rsidRPr="001B4CA2" w:rsidRDefault="001A5DAD" w:rsidP="001A5DAD">
            <w:pPr>
              <w:jc w:val="left"/>
              <w:rPr>
                <w:rFonts w:asciiTheme="minorHAnsi" w:eastAsia="Times New Roman" w:hAnsiTheme="minorHAnsi" w:cstheme="minorHAnsi"/>
                <w:b/>
                <w:bCs/>
                <w:color w:val="000000"/>
                <w:sz w:val="18"/>
                <w:szCs w:val="18"/>
                <w:lang w:eastAsia="hr-HR"/>
              </w:rPr>
            </w:pPr>
          </w:p>
        </w:tc>
        <w:tc>
          <w:tcPr>
            <w:tcW w:w="667" w:type="dxa"/>
            <w:vMerge/>
            <w:vAlign w:val="center"/>
            <w:hideMark/>
          </w:tcPr>
          <w:p w14:paraId="49E4247C" w14:textId="77777777" w:rsidR="001A5DAD" w:rsidRPr="001B4CA2" w:rsidRDefault="001A5DAD" w:rsidP="001A5DAD">
            <w:pPr>
              <w:jc w:val="left"/>
              <w:rPr>
                <w:rFonts w:asciiTheme="minorHAnsi" w:eastAsia="Times New Roman" w:hAnsiTheme="minorHAnsi" w:cstheme="minorHAnsi"/>
                <w:b/>
                <w:bCs/>
                <w:color w:val="000000"/>
                <w:sz w:val="18"/>
                <w:szCs w:val="18"/>
                <w:lang w:eastAsia="hr-HR"/>
              </w:rPr>
            </w:pPr>
          </w:p>
        </w:tc>
        <w:tc>
          <w:tcPr>
            <w:tcW w:w="846" w:type="dxa"/>
            <w:shd w:val="clear" w:color="000000" w:fill="99CCFF"/>
            <w:textDirection w:val="btLr"/>
            <w:vAlign w:val="center"/>
            <w:hideMark/>
          </w:tcPr>
          <w:p w14:paraId="50588489" w14:textId="77777777" w:rsidR="001A5DAD" w:rsidRPr="001B4CA2" w:rsidRDefault="001A5DAD" w:rsidP="001A5DAD">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Predlagatelj</w:t>
            </w:r>
          </w:p>
        </w:tc>
        <w:tc>
          <w:tcPr>
            <w:tcW w:w="696" w:type="dxa"/>
            <w:shd w:val="clear" w:color="000000" w:fill="99CCFF"/>
            <w:textDirection w:val="btLr"/>
            <w:vAlign w:val="center"/>
            <w:hideMark/>
          </w:tcPr>
          <w:p w14:paraId="6EE14D4A" w14:textId="77777777" w:rsidR="001A5DAD" w:rsidRPr="001B4CA2" w:rsidRDefault="001A5DAD" w:rsidP="001A5DAD">
            <w:pPr>
              <w:jc w:val="left"/>
              <w:rPr>
                <w:rFonts w:asciiTheme="minorHAnsi" w:eastAsia="Times New Roman" w:hAnsiTheme="minorHAnsi" w:cstheme="minorHAnsi"/>
                <w:color w:val="000000"/>
                <w:sz w:val="18"/>
                <w:szCs w:val="18"/>
                <w:lang w:eastAsia="hr-HR"/>
              </w:rPr>
            </w:pPr>
            <w:proofErr w:type="spellStart"/>
            <w:r w:rsidRPr="001B4CA2">
              <w:rPr>
                <w:rFonts w:asciiTheme="minorHAnsi" w:eastAsia="Times New Roman" w:hAnsiTheme="minorHAnsi" w:cstheme="minorHAnsi"/>
                <w:color w:val="000000"/>
                <w:sz w:val="18"/>
                <w:szCs w:val="18"/>
                <w:lang w:eastAsia="hr-HR"/>
              </w:rPr>
              <w:t>Protustranka</w:t>
            </w:r>
            <w:proofErr w:type="spellEnd"/>
          </w:p>
        </w:tc>
        <w:tc>
          <w:tcPr>
            <w:tcW w:w="845" w:type="dxa"/>
            <w:vMerge/>
            <w:vAlign w:val="center"/>
            <w:hideMark/>
          </w:tcPr>
          <w:p w14:paraId="545F01B3" w14:textId="77777777" w:rsidR="001A5DAD" w:rsidRPr="001B4CA2" w:rsidRDefault="001A5DAD" w:rsidP="001A5DAD">
            <w:pPr>
              <w:jc w:val="left"/>
              <w:rPr>
                <w:rFonts w:asciiTheme="minorHAnsi" w:eastAsia="Times New Roman" w:hAnsiTheme="minorHAnsi" w:cstheme="minorHAnsi"/>
                <w:b/>
                <w:bCs/>
                <w:color w:val="000000"/>
                <w:sz w:val="18"/>
                <w:szCs w:val="18"/>
                <w:lang w:eastAsia="hr-HR"/>
              </w:rPr>
            </w:pPr>
          </w:p>
        </w:tc>
        <w:tc>
          <w:tcPr>
            <w:tcW w:w="846" w:type="dxa"/>
            <w:vMerge/>
            <w:vAlign w:val="center"/>
            <w:hideMark/>
          </w:tcPr>
          <w:p w14:paraId="5BD10691" w14:textId="77777777" w:rsidR="001A5DAD" w:rsidRPr="001B4CA2" w:rsidRDefault="001A5DAD" w:rsidP="001A5DAD">
            <w:pPr>
              <w:jc w:val="left"/>
              <w:rPr>
                <w:rFonts w:asciiTheme="minorHAnsi" w:eastAsia="Times New Roman" w:hAnsiTheme="minorHAnsi" w:cstheme="minorHAnsi"/>
                <w:b/>
                <w:bCs/>
                <w:color w:val="000000"/>
                <w:sz w:val="18"/>
                <w:szCs w:val="18"/>
                <w:lang w:eastAsia="hr-HR"/>
              </w:rPr>
            </w:pPr>
          </w:p>
        </w:tc>
        <w:tc>
          <w:tcPr>
            <w:tcW w:w="845" w:type="dxa"/>
            <w:vMerge/>
            <w:vAlign w:val="center"/>
            <w:hideMark/>
          </w:tcPr>
          <w:p w14:paraId="7CF5E102" w14:textId="77777777" w:rsidR="001A5DAD" w:rsidRPr="001B4CA2" w:rsidRDefault="001A5DAD" w:rsidP="001A5DAD">
            <w:pPr>
              <w:jc w:val="left"/>
              <w:rPr>
                <w:rFonts w:asciiTheme="minorHAnsi" w:eastAsia="Times New Roman" w:hAnsiTheme="minorHAnsi" w:cstheme="minorHAnsi"/>
                <w:b/>
                <w:bCs/>
                <w:color w:val="000000"/>
                <w:sz w:val="18"/>
                <w:szCs w:val="18"/>
                <w:lang w:eastAsia="hr-HR"/>
              </w:rPr>
            </w:pPr>
          </w:p>
        </w:tc>
        <w:tc>
          <w:tcPr>
            <w:tcW w:w="846" w:type="dxa"/>
            <w:shd w:val="clear" w:color="000000" w:fill="99CCFF"/>
            <w:textDirection w:val="btLr"/>
            <w:vAlign w:val="center"/>
            <w:hideMark/>
          </w:tcPr>
          <w:p w14:paraId="7FC5FEFC" w14:textId="34E816BB" w:rsidR="001A5DAD" w:rsidRPr="001B4CA2" w:rsidRDefault="001A5DAD" w:rsidP="001A5DAD">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Prijedlog</w:t>
            </w:r>
            <w:r w:rsidR="001B4CA2">
              <w:rPr>
                <w:rFonts w:asciiTheme="minorHAnsi" w:eastAsia="Times New Roman" w:hAnsiTheme="minorHAnsi" w:cstheme="minorHAnsi"/>
                <w:color w:val="000000"/>
                <w:sz w:val="18"/>
                <w:szCs w:val="18"/>
                <w:lang w:eastAsia="hr-HR"/>
              </w:rPr>
              <w:t xml:space="preserve"> </w:t>
            </w:r>
            <w:r w:rsidRPr="001B4CA2">
              <w:rPr>
                <w:rFonts w:asciiTheme="minorHAnsi" w:eastAsia="Times New Roman" w:hAnsiTheme="minorHAnsi" w:cstheme="minorHAnsi"/>
                <w:color w:val="000000"/>
                <w:sz w:val="18"/>
                <w:szCs w:val="18"/>
                <w:lang w:eastAsia="hr-HR"/>
              </w:rPr>
              <w:t>usvojen</w:t>
            </w:r>
          </w:p>
        </w:tc>
        <w:tc>
          <w:tcPr>
            <w:tcW w:w="571" w:type="dxa"/>
            <w:shd w:val="clear" w:color="000000" w:fill="99CCFF"/>
            <w:textDirection w:val="btLr"/>
            <w:vAlign w:val="center"/>
            <w:hideMark/>
          </w:tcPr>
          <w:p w14:paraId="69D41416" w14:textId="578EDB59" w:rsidR="001A5DAD" w:rsidRPr="001B4CA2" w:rsidRDefault="001A5DAD" w:rsidP="001A5DAD">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Prijedlog</w:t>
            </w:r>
            <w:r w:rsidR="001B4CA2">
              <w:rPr>
                <w:rFonts w:asciiTheme="minorHAnsi" w:eastAsia="Times New Roman" w:hAnsiTheme="minorHAnsi" w:cstheme="minorHAnsi"/>
                <w:color w:val="000000"/>
                <w:sz w:val="18"/>
                <w:szCs w:val="18"/>
                <w:lang w:eastAsia="hr-HR"/>
              </w:rPr>
              <w:t xml:space="preserve"> </w:t>
            </w:r>
            <w:r w:rsidRPr="001B4CA2">
              <w:rPr>
                <w:rFonts w:asciiTheme="minorHAnsi" w:eastAsia="Times New Roman" w:hAnsiTheme="minorHAnsi" w:cstheme="minorHAnsi"/>
                <w:color w:val="000000"/>
                <w:sz w:val="18"/>
                <w:szCs w:val="18"/>
                <w:lang w:eastAsia="hr-HR"/>
              </w:rPr>
              <w:t>odbijen</w:t>
            </w:r>
          </w:p>
        </w:tc>
        <w:tc>
          <w:tcPr>
            <w:tcW w:w="847" w:type="dxa"/>
            <w:shd w:val="clear" w:color="000000" w:fill="99CCFF"/>
            <w:textDirection w:val="btLr"/>
            <w:vAlign w:val="center"/>
            <w:hideMark/>
          </w:tcPr>
          <w:p w14:paraId="08138AA7" w14:textId="77777777" w:rsidR="001A5DAD" w:rsidRPr="001B4CA2" w:rsidRDefault="001A5DAD" w:rsidP="001A5DAD">
            <w:pPr>
              <w:jc w:val="left"/>
              <w:rPr>
                <w:rFonts w:asciiTheme="minorHAnsi" w:eastAsia="Times New Roman" w:hAnsiTheme="minorHAnsi" w:cstheme="minorHAnsi"/>
                <w:color w:val="FF0000"/>
                <w:sz w:val="18"/>
                <w:szCs w:val="18"/>
                <w:lang w:eastAsia="hr-HR"/>
              </w:rPr>
            </w:pPr>
            <w:r w:rsidRPr="001B4CA2">
              <w:rPr>
                <w:rFonts w:asciiTheme="minorHAnsi" w:eastAsia="Times New Roman" w:hAnsiTheme="minorHAnsi" w:cstheme="minorHAnsi"/>
                <w:sz w:val="18"/>
                <w:szCs w:val="18"/>
                <w:lang w:eastAsia="hr-HR"/>
              </w:rPr>
              <w:t>Ostale odluke</w:t>
            </w:r>
          </w:p>
        </w:tc>
        <w:tc>
          <w:tcPr>
            <w:tcW w:w="673" w:type="dxa"/>
            <w:vMerge/>
            <w:vAlign w:val="center"/>
            <w:hideMark/>
          </w:tcPr>
          <w:p w14:paraId="70BAE967" w14:textId="77777777" w:rsidR="001A5DAD" w:rsidRPr="001B4CA2" w:rsidRDefault="001A5DAD" w:rsidP="001A5DAD">
            <w:pPr>
              <w:jc w:val="left"/>
              <w:rPr>
                <w:rFonts w:asciiTheme="minorHAnsi" w:eastAsia="Times New Roman" w:hAnsiTheme="minorHAnsi" w:cstheme="minorHAnsi"/>
                <w:b/>
                <w:bCs/>
                <w:color w:val="000000"/>
                <w:sz w:val="18"/>
                <w:szCs w:val="18"/>
                <w:lang w:eastAsia="hr-HR"/>
              </w:rPr>
            </w:pPr>
          </w:p>
        </w:tc>
        <w:tc>
          <w:tcPr>
            <w:tcW w:w="670" w:type="dxa"/>
            <w:vMerge/>
            <w:vAlign w:val="center"/>
            <w:hideMark/>
          </w:tcPr>
          <w:p w14:paraId="4D991239" w14:textId="77777777" w:rsidR="001A5DAD" w:rsidRPr="001B4CA2" w:rsidRDefault="001A5DAD" w:rsidP="001A5DAD">
            <w:pPr>
              <w:jc w:val="left"/>
              <w:rPr>
                <w:rFonts w:asciiTheme="minorHAnsi" w:eastAsia="Times New Roman" w:hAnsiTheme="minorHAnsi" w:cstheme="minorHAnsi"/>
                <w:b/>
                <w:bCs/>
                <w:sz w:val="18"/>
                <w:szCs w:val="18"/>
                <w:lang w:eastAsia="hr-HR"/>
              </w:rPr>
            </w:pPr>
          </w:p>
        </w:tc>
      </w:tr>
      <w:tr w:rsidR="001A5DAD" w:rsidRPr="001B4CA2" w14:paraId="13064CAE" w14:textId="77777777" w:rsidTr="007D12C6">
        <w:trPr>
          <w:trHeight w:val="397"/>
          <w:jc w:val="center"/>
        </w:trPr>
        <w:tc>
          <w:tcPr>
            <w:tcW w:w="837" w:type="dxa"/>
            <w:shd w:val="clear" w:color="auto" w:fill="auto"/>
            <w:noWrap/>
            <w:vAlign w:val="center"/>
            <w:hideMark/>
          </w:tcPr>
          <w:p w14:paraId="7C15C414"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2018.</w:t>
            </w:r>
          </w:p>
        </w:tc>
        <w:tc>
          <w:tcPr>
            <w:tcW w:w="667" w:type="dxa"/>
            <w:shd w:val="clear" w:color="auto" w:fill="auto"/>
            <w:noWrap/>
            <w:vAlign w:val="center"/>
          </w:tcPr>
          <w:p w14:paraId="6A103E1B" w14:textId="77777777" w:rsidR="001A5DAD" w:rsidRPr="001B4CA2" w:rsidRDefault="001A5DAD" w:rsidP="001A5DAD">
            <w:pPr>
              <w:jc w:val="center"/>
              <w:rPr>
                <w:rFonts w:eastAsia="Times New Roman"/>
                <w:bCs/>
                <w:color w:val="000000"/>
                <w:sz w:val="18"/>
                <w:szCs w:val="18"/>
                <w:lang w:eastAsia="hr-HR"/>
              </w:rPr>
            </w:pPr>
            <w:r w:rsidRPr="001B4CA2">
              <w:rPr>
                <w:rFonts w:eastAsia="Times New Roman"/>
                <w:bCs/>
                <w:color w:val="000000"/>
                <w:sz w:val="18"/>
                <w:szCs w:val="18"/>
                <w:lang w:eastAsia="hr-HR"/>
              </w:rPr>
              <w:t>316</w:t>
            </w:r>
          </w:p>
        </w:tc>
        <w:tc>
          <w:tcPr>
            <w:tcW w:w="846" w:type="dxa"/>
            <w:shd w:val="clear" w:color="auto" w:fill="auto"/>
            <w:noWrap/>
            <w:vAlign w:val="center"/>
          </w:tcPr>
          <w:p w14:paraId="0C2B81FB"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1.539</w:t>
            </w:r>
          </w:p>
        </w:tc>
        <w:tc>
          <w:tcPr>
            <w:tcW w:w="696" w:type="dxa"/>
            <w:shd w:val="clear" w:color="auto" w:fill="auto"/>
            <w:vAlign w:val="center"/>
          </w:tcPr>
          <w:p w14:paraId="7C262A6F"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1.571</w:t>
            </w:r>
          </w:p>
        </w:tc>
        <w:tc>
          <w:tcPr>
            <w:tcW w:w="845" w:type="dxa"/>
            <w:shd w:val="clear" w:color="auto" w:fill="auto"/>
            <w:noWrap/>
            <w:vAlign w:val="center"/>
          </w:tcPr>
          <w:p w14:paraId="5F36E3A0" w14:textId="77777777" w:rsidR="001A5DAD" w:rsidRPr="001B4CA2" w:rsidRDefault="001A5DAD" w:rsidP="001A5DAD">
            <w:pPr>
              <w:jc w:val="center"/>
              <w:rPr>
                <w:rFonts w:eastAsia="Times New Roman"/>
                <w:b/>
                <w:bCs/>
                <w:color w:val="000000"/>
                <w:sz w:val="18"/>
                <w:szCs w:val="18"/>
                <w:lang w:eastAsia="hr-HR"/>
              </w:rPr>
            </w:pPr>
            <w:r w:rsidRPr="001B4CA2">
              <w:rPr>
                <w:rFonts w:eastAsia="Times New Roman"/>
                <w:b/>
                <w:bCs/>
                <w:color w:val="000000"/>
                <w:sz w:val="18"/>
                <w:szCs w:val="18"/>
                <w:lang w:eastAsia="hr-HR"/>
              </w:rPr>
              <w:t>3.426</w:t>
            </w:r>
          </w:p>
        </w:tc>
        <w:tc>
          <w:tcPr>
            <w:tcW w:w="846" w:type="dxa"/>
            <w:shd w:val="clear" w:color="auto" w:fill="auto"/>
            <w:noWrap/>
            <w:vAlign w:val="center"/>
          </w:tcPr>
          <w:p w14:paraId="57C76257" w14:textId="77777777" w:rsidR="001A5DAD" w:rsidRPr="001B4CA2" w:rsidRDefault="001A5DAD" w:rsidP="001A5DAD">
            <w:pPr>
              <w:jc w:val="center"/>
              <w:rPr>
                <w:rFonts w:eastAsia="Times New Roman"/>
                <w:b/>
                <w:color w:val="000000"/>
                <w:sz w:val="18"/>
                <w:szCs w:val="18"/>
                <w:lang w:eastAsia="hr-HR"/>
              </w:rPr>
            </w:pPr>
            <w:r w:rsidRPr="001B4CA2">
              <w:rPr>
                <w:rFonts w:eastAsia="Times New Roman"/>
                <w:b/>
                <w:color w:val="000000"/>
                <w:sz w:val="18"/>
                <w:szCs w:val="18"/>
                <w:lang w:eastAsia="hr-HR"/>
              </w:rPr>
              <w:t>3.186</w:t>
            </w:r>
          </w:p>
        </w:tc>
        <w:tc>
          <w:tcPr>
            <w:tcW w:w="845" w:type="dxa"/>
            <w:shd w:val="clear" w:color="auto" w:fill="auto"/>
            <w:noWrap/>
            <w:vAlign w:val="center"/>
          </w:tcPr>
          <w:p w14:paraId="17148F0E"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2.305</w:t>
            </w:r>
          </w:p>
        </w:tc>
        <w:tc>
          <w:tcPr>
            <w:tcW w:w="846" w:type="dxa"/>
            <w:shd w:val="clear" w:color="auto" w:fill="auto"/>
            <w:noWrap/>
            <w:vAlign w:val="center"/>
          </w:tcPr>
          <w:p w14:paraId="0AC0D1B3"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1.653</w:t>
            </w:r>
          </w:p>
        </w:tc>
        <w:tc>
          <w:tcPr>
            <w:tcW w:w="571" w:type="dxa"/>
            <w:shd w:val="clear" w:color="auto" w:fill="auto"/>
            <w:vAlign w:val="center"/>
          </w:tcPr>
          <w:p w14:paraId="223969B1"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103</w:t>
            </w:r>
          </w:p>
        </w:tc>
        <w:tc>
          <w:tcPr>
            <w:tcW w:w="847" w:type="dxa"/>
            <w:shd w:val="clear" w:color="auto" w:fill="auto"/>
            <w:noWrap/>
          </w:tcPr>
          <w:p w14:paraId="0F985E7B"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w:t>
            </w:r>
          </w:p>
        </w:tc>
        <w:tc>
          <w:tcPr>
            <w:tcW w:w="673" w:type="dxa"/>
            <w:shd w:val="clear" w:color="auto" w:fill="auto"/>
            <w:vAlign w:val="center"/>
          </w:tcPr>
          <w:p w14:paraId="636D4A7B" w14:textId="77777777" w:rsidR="001A5DAD" w:rsidRPr="001B4CA2" w:rsidRDefault="001A5DAD" w:rsidP="001A5DAD">
            <w:pPr>
              <w:jc w:val="center"/>
              <w:rPr>
                <w:rFonts w:eastAsia="Times New Roman"/>
                <w:bCs/>
                <w:color w:val="000000"/>
                <w:sz w:val="18"/>
                <w:szCs w:val="18"/>
                <w:lang w:eastAsia="hr-HR"/>
              </w:rPr>
            </w:pPr>
            <w:r w:rsidRPr="001B4CA2">
              <w:rPr>
                <w:rFonts w:eastAsia="Times New Roman"/>
                <w:bCs/>
                <w:color w:val="000000"/>
                <w:sz w:val="18"/>
                <w:szCs w:val="18"/>
                <w:lang w:eastAsia="hr-HR"/>
              </w:rPr>
              <w:t>316</w:t>
            </w:r>
          </w:p>
        </w:tc>
        <w:tc>
          <w:tcPr>
            <w:tcW w:w="670" w:type="dxa"/>
            <w:shd w:val="clear" w:color="auto" w:fill="auto"/>
            <w:vAlign w:val="center"/>
          </w:tcPr>
          <w:p w14:paraId="72CF3A8E"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w:t>
            </w:r>
          </w:p>
        </w:tc>
      </w:tr>
      <w:tr w:rsidR="001A5DAD" w:rsidRPr="001B4CA2" w14:paraId="62A896B1" w14:textId="77777777" w:rsidTr="007D12C6">
        <w:trPr>
          <w:trHeight w:val="397"/>
          <w:jc w:val="center"/>
        </w:trPr>
        <w:tc>
          <w:tcPr>
            <w:tcW w:w="837" w:type="dxa"/>
            <w:shd w:val="clear" w:color="auto" w:fill="auto"/>
            <w:noWrap/>
            <w:vAlign w:val="center"/>
            <w:hideMark/>
          </w:tcPr>
          <w:p w14:paraId="73B862AF"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2019.</w:t>
            </w:r>
          </w:p>
        </w:tc>
        <w:tc>
          <w:tcPr>
            <w:tcW w:w="667" w:type="dxa"/>
            <w:shd w:val="clear" w:color="auto" w:fill="auto"/>
            <w:noWrap/>
            <w:vAlign w:val="center"/>
          </w:tcPr>
          <w:p w14:paraId="03AECB9D" w14:textId="77777777" w:rsidR="001A5DAD" w:rsidRPr="001B4CA2" w:rsidRDefault="001A5DAD" w:rsidP="001A5DAD">
            <w:pPr>
              <w:jc w:val="center"/>
              <w:rPr>
                <w:rFonts w:eastAsia="Times New Roman"/>
                <w:bCs/>
                <w:color w:val="000000"/>
                <w:sz w:val="18"/>
                <w:szCs w:val="18"/>
                <w:lang w:eastAsia="hr-HR"/>
              </w:rPr>
            </w:pPr>
            <w:r w:rsidRPr="001B4CA2">
              <w:rPr>
                <w:rFonts w:eastAsia="Times New Roman"/>
                <w:bCs/>
                <w:color w:val="000000"/>
                <w:sz w:val="18"/>
                <w:szCs w:val="18"/>
                <w:lang w:eastAsia="hr-HR"/>
              </w:rPr>
              <w:t>1.337</w:t>
            </w:r>
          </w:p>
        </w:tc>
        <w:tc>
          <w:tcPr>
            <w:tcW w:w="846" w:type="dxa"/>
            <w:shd w:val="clear" w:color="auto" w:fill="auto"/>
            <w:noWrap/>
            <w:vAlign w:val="center"/>
          </w:tcPr>
          <w:p w14:paraId="63C5F936"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1.886</w:t>
            </w:r>
          </w:p>
        </w:tc>
        <w:tc>
          <w:tcPr>
            <w:tcW w:w="696" w:type="dxa"/>
            <w:shd w:val="clear" w:color="auto" w:fill="auto"/>
            <w:vAlign w:val="center"/>
          </w:tcPr>
          <w:p w14:paraId="3CF668C8"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1.643</w:t>
            </w:r>
          </w:p>
        </w:tc>
        <w:tc>
          <w:tcPr>
            <w:tcW w:w="845" w:type="dxa"/>
            <w:shd w:val="clear" w:color="auto" w:fill="auto"/>
            <w:noWrap/>
            <w:vAlign w:val="center"/>
          </w:tcPr>
          <w:p w14:paraId="541E842A" w14:textId="77777777" w:rsidR="001A5DAD" w:rsidRPr="001B4CA2" w:rsidRDefault="001A5DAD" w:rsidP="001A5DAD">
            <w:pPr>
              <w:jc w:val="center"/>
              <w:rPr>
                <w:rFonts w:eastAsia="Times New Roman"/>
                <w:b/>
                <w:bCs/>
                <w:color w:val="000000"/>
                <w:sz w:val="18"/>
                <w:szCs w:val="18"/>
                <w:lang w:eastAsia="hr-HR"/>
              </w:rPr>
            </w:pPr>
            <w:r w:rsidRPr="001B4CA2">
              <w:rPr>
                <w:rFonts w:eastAsia="Times New Roman"/>
                <w:b/>
                <w:bCs/>
                <w:color w:val="000000"/>
                <w:sz w:val="18"/>
                <w:szCs w:val="18"/>
                <w:lang w:eastAsia="hr-HR"/>
              </w:rPr>
              <w:t>4.866</w:t>
            </w:r>
          </w:p>
        </w:tc>
        <w:tc>
          <w:tcPr>
            <w:tcW w:w="846" w:type="dxa"/>
            <w:shd w:val="clear" w:color="auto" w:fill="auto"/>
            <w:noWrap/>
            <w:vAlign w:val="center"/>
          </w:tcPr>
          <w:p w14:paraId="31C13259" w14:textId="77777777" w:rsidR="001A5DAD" w:rsidRPr="001B4CA2" w:rsidRDefault="001A5DAD" w:rsidP="001A5DAD">
            <w:pPr>
              <w:jc w:val="center"/>
              <w:rPr>
                <w:rFonts w:eastAsia="Times New Roman"/>
                <w:b/>
                <w:color w:val="000000"/>
                <w:sz w:val="18"/>
                <w:szCs w:val="18"/>
                <w:lang w:eastAsia="hr-HR"/>
              </w:rPr>
            </w:pPr>
            <w:r w:rsidRPr="001B4CA2">
              <w:rPr>
                <w:rFonts w:eastAsia="Times New Roman"/>
                <w:b/>
                <w:color w:val="000000"/>
                <w:sz w:val="18"/>
                <w:szCs w:val="18"/>
                <w:lang w:eastAsia="hr-HR"/>
              </w:rPr>
              <w:t>4.009</w:t>
            </w:r>
          </w:p>
        </w:tc>
        <w:tc>
          <w:tcPr>
            <w:tcW w:w="845" w:type="dxa"/>
            <w:shd w:val="clear" w:color="auto" w:fill="auto"/>
            <w:noWrap/>
            <w:vAlign w:val="center"/>
          </w:tcPr>
          <w:p w14:paraId="5BB55A2B"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739</w:t>
            </w:r>
          </w:p>
        </w:tc>
        <w:tc>
          <w:tcPr>
            <w:tcW w:w="846" w:type="dxa"/>
            <w:shd w:val="clear" w:color="auto" w:fill="auto"/>
            <w:noWrap/>
            <w:vAlign w:val="center"/>
          </w:tcPr>
          <w:p w14:paraId="57511BA8"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1.375</w:t>
            </w:r>
          </w:p>
        </w:tc>
        <w:tc>
          <w:tcPr>
            <w:tcW w:w="571" w:type="dxa"/>
            <w:shd w:val="clear" w:color="auto" w:fill="auto"/>
            <w:vAlign w:val="center"/>
          </w:tcPr>
          <w:p w14:paraId="5D9ED56B"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65</w:t>
            </w:r>
          </w:p>
        </w:tc>
        <w:tc>
          <w:tcPr>
            <w:tcW w:w="847" w:type="dxa"/>
            <w:shd w:val="clear" w:color="auto" w:fill="auto"/>
            <w:noWrap/>
            <w:vAlign w:val="center"/>
          </w:tcPr>
          <w:p w14:paraId="316E5E76"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4.738</w:t>
            </w:r>
          </w:p>
        </w:tc>
        <w:tc>
          <w:tcPr>
            <w:tcW w:w="673" w:type="dxa"/>
            <w:shd w:val="clear" w:color="auto" w:fill="auto"/>
            <w:vAlign w:val="center"/>
          </w:tcPr>
          <w:p w14:paraId="722AA09E" w14:textId="77777777" w:rsidR="001A5DAD" w:rsidRPr="001B4CA2" w:rsidRDefault="001A5DAD" w:rsidP="001A5DAD">
            <w:pPr>
              <w:jc w:val="center"/>
              <w:rPr>
                <w:rFonts w:eastAsia="Times New Roman"/>
                <w:bCs/>
                <w:color w:val="000000"/>
                <w:sz w:val="18"/>
                <w:szCs w:val="18"/>
                <w:lang w:eastAsia="hr-HR"/>
              </w:rPr>
            </w:pPr>
            <w:r w:rsidRPr="001B4CA2">
              <w:rPr>
                <w:rFonts w:eastAsia="Times New Roman"/>
                <w:bCs/>
                <w:color w:val="000000"/>
                <w:sz w:val="18"/>
                <w:szCs w:val="18"/>
                <w:lang w:eastAsia="hr-HR"/>
              </w:rPr>
              <w:t>1.337</w:t>
            </w:r>
          </w:p>
        </w:tc>
        <w:tc>
          <w:tcPr>
            <w:tcW w:w="670" w:type="dxa"/>
            <w:shd w:val="clear" w:color="auto" w:fill="auto"/>
            <w:vAlign w:val="center"/>
          </w:tcPr>
          <w:p w14:paraId="6860BFBD"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7</w:t>
            </w:r>
          </w:p>
        </w:tc>
      </w:tr>
      <w:tr w:rsidR="001A5DAD" w:rsidRPr="001B4CA2" w14:paraId="498CB1AF" w14:textId="77777777" w:rsidTr="007D12C6">
        <w:trPr>
          <w:trHeight w:val="397"/>
          <w:jc w:val="center"/>
        </w:trPr>
        <w:tc>
          <w:tcPr>
            <w:tcW w:w="837" w:type="dxa"/>
            <w:shd w:val="clear" w:color="auto" w:fill="auto"/>
            <w:noWrap/>
            <w:vAlign w:val="center"/>
            <w:hideMark/>
          </w:tcPr>
          <w:p w14:paraId="78A9E6C1"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2020.</w:t>
            </w:r>
          </w:p>
        </w:tc>
        <w:tc>
          <w:tcPr>
            <w:tcW w:w="667" w:type="dxa"/>
            <w:shd w:val="clear" w:color="auto" w:fill="auto"/>
            <w:noWrap/>
            <w:vAlign w:val="center"/>
          </w:tcPr>
          <w:p w14:paraId="29066DE1" w14:textId="77777777" w:rsidR="001A5DAD" w:rsidRPr="001B4CA2" w:rsidRDefault="001A5DAD" w:rsidP="001A5DAD">
            <w:pPr>
              <w:jc w:val="center"/>
              <w:rPr>
                <w:rFonts w:eastAsia="Times New Roman"/>
                <w:bCs/>
                <w:color w:val="000000"/>
                <w:sz w:val="18"/>
                <w:szCs w:val="18"/>
                <w:lang w:eastAsia="hr-HR"/>
              </w:rPr>
            </w:pPr>
            <w:r w:rsidRPr="001B4CA2">
              <w:rPr>
                <w:rFonts w:eastAsia="Times New Roman"/>
                <w:bCs/>
                <w:color w:val="000000"/>
                <w:sz w:val="18"/>
                <w:szCs w:val="18"/>
                <w:lang w:eastAsia="hr-HR"/>
              </w:rPr>
              <w:t>323</w:t>
            </w:r>
          </w:p>
        </w:tc>
        <w:tc>
          <w:tcPr>
            <w:tcW w:w="846" w:type="dxa"/>
            <w:shd w:val="clear" w:color="auto" w:fill="auto"/>
            <w:noWrap/>
            <w:vAlign w:val="center"/>
          </w:tcPr>
          <w:p w14:paraId="76B21CA3"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1.352</w:t>
            </w:r>
          </w:p>
        </w:tc>
        <w:tc>
          <w:tcPr>
            <w:tcW w:w="696" w:type="dxa"/>
            <w:shd w:val="clear" w:color="auto" w:fill="auto"/>
            <w:vAlign w:val="center"/>
          </w:tcPr>
          <w:p w14:paraId="2A01997E"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1.827</w:t>
            </w:r>
          </w:p>
        </w:tc>
        <w:tc>
          <w:tcPr>
            <w:tcW w:w="845" w:type="dxa"/>
            <w:shd w:val="clear" w:color="auto" w:fill="auto"/>
            <w:noWrap/>
            <w:vAlign w:val="center"/>
          </w:tcPr>
          <w:p w14:paraId="1A6A4F6B" w14:textId="77777777" w:rsidR="001A5DAD" w:rsidRPr="001B4CA2" w:rsidRDefault="001A5DAD" w:rsidP="001A5DAD">
            <w:pPr>
              <w:jc w:val="center"/>
              <w:rPr>
                <w:rFonts w:eastAsia="Times New Roman"/>
                <w:b/>
                <w:bCs/>
                <w:color w:val="000000"/>
                <w:sz w:val="18"/>
                <w:szCs w:val="18"/>
                <w:lang w:eastAsia="hr-HR"/>
              </w:rPr>
            </w:pPr>
            <w:r w:rsidRPr="001B4CA2">
              <w:rPr>
                <w:rFonts w:eastAsia="Times New Roman"/>
                <w:b/>
                <w:bCs/>
                <w:color w:val="000000"/>
                <w:sz w:val="18"/>
                <w:szCs w:val="18"/>
                <w:lang w:eastAsia="hr-HR"/>
              </w:rPr>
              <w:t>3.502</w:t>
            </w:r>
          </w:p>
        </w:tc>
        <w:tc>
          <w:tcPr>
            <w:tcW w:w="846" w:type="dxa"/>
            <w:shd w:val="clear" w:color="auto" w:fill="auto"/>
            <w:noWrap/>
            <w:vAlign w:val="center"/>
          </w:tcPr>
          <w:p w14:paraId="7B756AC6" w14:textId="77777777" w:rsidR="001A5DAD" w:rsidRPr="001B4CA2" w:rsidRDefault="001A5DAD" w:rsidP="001A5DAD">
            <w:pPr>
              <w:jc w:val="center"/>
              <w:rPr>
                <w:rFonts w:eastAsia="Times New Roman"/>
                <w:b/>
                <w:color w:val="000000"/>
                <w:sz w:val="18"/>
                <w:szCs w:val="18"/>
                <w:lang w:eastAsia="hr-HR"/>
              </w:rPr>
            </w:pPr>
            <w:r w:rsidRPr="001B4CA2">
              <w:rPr>
                <w:rFonts w:eastAsia="Times New Roman"/>
                <w:b/>
                <w:color w:val="000000"/>
                <w:sz w:val="18"/>
                <w:szCs w:val="18"/>
                <w:lang w:eastAsia="hr-HR"/>
              </w:rPr>
              <w:t>3.389</w:t>
            </w:r>
          </w:p>
        </w:tc>
        <w:tc>
          <w:tcPr>
            <w:tcW w:w="845" w:type="dxa"/>
            <w:shd w:val="clear" w:color="auto" w:fill="auto"/>
            <w:noWrap/>
            <w:vAlign w:val="center"/>
          </w:tcPr>
          <w:p w14:paraId="628E22E4"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607</w:t>
            </w:r>
          </w:p>
        </w:tc>
        <w:tc>
          <w:tcPr>
            <w:tcW w:w="846" w:type="dxa"/>
            <w:shd w:val="clear" w:color="auto" w:fill="auto"/>
            <w:noWrap/>
            <w:vAlign w:val="center"/>
          </w:tcPr>
          <w:p w14:paraId="01DD7380" w14:textId="77777777" w:rsidR="001A5DAD" w:rsidRPr="001B4CA2" w:rsidRDefault="001A5DAD" w:rsidP="001A5DAD">
            <w:pPr>
              <w:jc w:val="center"/>
              <w:rPr>
                <w:bCs/>
                <w:sz w:val="18"/>
                <w:szCs w:val="18"/>
              </w:rPr>
            </w:pPr>
            <w:r w:rsidRPr="001B4CA2">
              <w:rPr>
                <w:bCs/>
                <w:sz w:val="18"/>
                <w:szCs w:val="18"/>
              </w:rPr>
              <w:t>1.044</w:t>
            </w:r>
          </w:p>
        </w:tc>
        <w:tc>
          <w:tcPr>
            <w:tcW w:w="571" w:type="dxa"/>
            <w:shd w:val="clear" w:color="auto" w:fill="auto"/>
            <w:vAlign w:val="center"/>
          </w:tcPr>
          <w:p w14:paraId="27A4B3D8" w14:textId="77777777" w:rsidR="001A5DAD" w:rsidRPr="001B4CA2" w:rsidRDefault="001A5DAD" w:rsidP="001A5DAD">
            <w:pPr>
              <w:jc w:val="center"/>
              <w:rPr>
                <w:bCs/>
                <w:sz w:val="18"/>
                <w:szCs w:val="18"/>
              </w:rPr>
            </w:pPr>
            <w:r w:rsidRPr="001B4CA2">
              <w:rPr>
                <w:bCs/>
                <w:sz w:val="18"/>
                <w:szCs w:val="18"/>
              </w:rPr>
              <w:t>28</w:t>
            </w:r>
          </w:p>
        </w:tc>
        <w:tc>
          <w:tcPr>
            <w:tcW w:w="847" w:type="dxa"/>
            <w:shd w:val="clear" w:color="auto" w:fill="auto"/>
            <w:noWrap/>
            <w:vAlign w:val="center"/>
          </w:tcPr>
          <w:p w14:paraId="74941DBD" w14:textId="77777777" w:rsidR="001A5DAD" w:rsidRPr="001B4CA2" w:rsidRDefault="001A5DAD" w:rsidP="001A5DAD">
            <w:pPr>
              <w:jc w:val="center"/>
              <w:rPr>
                <w:bCs/>
                <w:sz w:val="18"/>
                <w:szCs w:val="18"/>
              </w:rPr>
            </w:pPr>
            <w:r w:rsidRPr="001B4CA2">
              <w:rPr>
                <w:bCs/>
                <w:sz w:val="18"/>
                <w:szCs w:val="18"/>
              </w:rPr>
              <w:t>141</w:t>
            </w:r>
          </w:p>
        </w:tc>
        <w:tc>
          <w:tcPr>
            <w:tcW w:w="673" w:type="dxa"/>
            <w:shd w:val="clear" w:color="auto" w:fill="auto"/>
            <w:vAlign w:val="center"/>
          </w:tcPr>
          <w:p w14:paraId="7145DC4F" w14:textId="77777777" w:rsidR="001A5DAD" w:rsidRPr="001B4CA2" w:rsidRDefault="001A5DAD" w:rsidP="001A5DAD">
            <w:pPr>
              <w:jc w:val="center"/>
              <w:rPr>
                <w:rFonts w:eastAsia="Times New Roman"/>
                <w:bCs/>
                <w:color w:val="000000"/>
                <w:sz w:val="18"/>
                <w:szCs w:val="18"/>
                <w:lang w:eastAsia="hr-HR"/>
              </w:rPr>
            </w:pPr>
            <w:r w:rsidRPr="001B4CA2">
              <w:rPr>
                <w:rFonts w:eastAsia="Times New Roman"/>
                <w:bCs/>
                <w:color w:val="000000"/>
                <w:sz w:val="18"/>
                <w:szCs w:val="18"/>
                <w:lang w:eastAsia="hr-HR"/>
              </w:rPr>
              <w:t>1.257</w:t>
            </w:r>
          </w:p>
        </w:tc>
        <w:tc>
          <w:tcPr>
            <w:tcW w:w="670" w:type="dxa"/>
            <w:shd w:val="clear" w:color="auto" w:fill="auto"/>
            <w:vAlign w:val="center"/>
          </w:tcPr>
          <w:p w14:paraId="2021BE42"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w:t>
            </w:r>
          </w:p>
        </w:tc>
      </w:tr>
      <w:tr w:rsidR="001A5DAD" w:rsidRPr="001B4CA2" w14:paraId="551A7AEB" w14:textId="77777777" w:rsidTr="007D12C6">
        <w:trPr>
          <w:trHeight w:val="397"/>
          <w:jc w:val="center"/>
        </w:trPr>
        <w:tc>
          <w:tcPr>
            <w:tcW w:w="837" w:type="dxa"/>
            <w:shd w:val="clear" w:color="auto" w:fill="auto"/>
            <w:noWrap/>
            <w:vAlign w:val="center"/>
          </w:tcPr>
          <w:p w14:paraId="358959E5"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2021.</w:t>
            </w:r>
          </w:p>
        </w:tc>
        <w:tc>
          <w:tcPr>
            <w:tcW w:w="667" w:type="dxa"/>
            <w:shd w:val="clear" w:color="auto" w:fill="auto"/>
            <w:noWrap/>
            <w:vAlign w:val="center"/>
          </w:tcPr>
          <w:p w14:paraId="714A7F6E" w14:textId="77777777" w:rsidR="001A5DAD" w:rsidRPr="001B4CA2" w:rsidRDefault="001A5DAD" w:rsidP="001A5DAD">
            <w:pPr>
              <w:jc w:val="center"/>
              <w:rPr>
                <w:rFonts w:eastAsia="Times New Roman"/>
                <w:bCs/>
                <w:color w:val="000000"/>
                <w:sz w:val="18"/>
                <w:szCs w:val="18"/>
                <w:lang w:eastAsia="hr-HR"/>
              </w:rPr>
            </w:pPr>
            <w:r w:rsidRPr="001B4CA2">
              <w:rPr>
                <w:rFonts w:eastAsia="Times New Roman"/>
                <w:bCs/>
                <w:color w:val="000000"/>
                <w:sz w:val="18"/>
                <w:szCs w:val="18"/>
                <w:lang w:eastAsia="hr-HR"/>
              </w:rPr>
              <w:t>183</w:t>
            </w:r>
          </w:p>
        </w:tc>
        <w:tc>
          <w:tcPr>
            <w:tcW w:w="846" w:type="dxa"/>
            <w:shd w:val="clear" w:color="auto" w:fill="auto"/>
            <w:noWrap/>
            <w:vAlign w:val="center"/>
          </w:tcPr>
          <w:p w14:paraId="5207859D"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1.280</w:t>
            </w:r>
          </w:p>
        </w:tc>
        <w:tc>
          <w:tcPr>
            <w:tcW w:w="696" w:type="dxa"/>
            <w:shd w:val="clear" w:color="auto" w:fill="auto"/>
            <w:vAlign w:val="center"/>
          </w:tcPr>
          <w:p w14:paraId="059DAC2F" w14:textId="77777777" w:rsidR="001A5DAD" w:rsidRPr="001B4CA2" w:rsidRDefault="001A5DAD" w:rsidP="001A5DAD">
            <w:pPr>
              <w:jc w:val="center"/>
              <w:rPr>
                <w:bCs/>
                <w:sz w:val="18"/>
                <w:szCs w:val="18"/>
              </w:rPr>
            </w:pPr>
            <w:r w:rsidRPr="001B4CA2">
              <w:rPr>
                <w:bCs/>
                <w:sz w:val="18"/>
                <w:szCs w:val="18"/>
              </w:rPr>
              <w:t>1.810</w:t>
            </w:r>
          </w:p>
        </w:tc>
        <w:tc>
          <w:tcPr>
            <w:tcW w:w="845" w:type="dxa"/>
            <w:shd w:val="clear" w:color="auto" w:fill="auto"/>
            <w:noWrap/>
            <w:vAlign w:val="center"/>
          </w:tcPr>
          <w:p w14:paraId="0CE339E1" w14:textId="77777777" w:rsidR="001A5DAD" w:rsidRPr="001B4CA2" w:rsidRDefault="001A5DAD" w:rsidP="001A5DAD">
            <w:pPr>
              <w:jc w:val="center"/>
              <w:rPr>
                <w:b/>
                <w:bCs/>
                <w:sz w:val="18"/>
                <w:szCs w:val="18"/>
              </w:rPr>
            </w:pPr>
            <w:r w:rsidRPr="001B4CA2">
              <w:rPr>
                <w:b/>
                <w:bCs/>
                <w:sz w:val="18"/>
                <w:szCs w:val="18"/>
              </w:rPr>
              <w:t>3.273</w:t>
            </w:r>
          </w:p>
        </w:tc>
        <w:tc>
          <w:tcPr>
            <w:tcW w:w="846" w:type="dxa"/>
            <w:shd w:val="clear" w:color="auto" w:fill="auto"/>
            <w:noWrap/>
            <w:vAlign w:val="center"/>
          </w:tcPr>
          <w:p w14:paraId="04302610" w14:textId="77777777" w:rsidR="001A5DAD" w:rsidRPr="001B4CA2" w:rsidRDefault="001A5DAD" w:rsidP="001A5DAD">
            <w:pPr>
              <w:jc w:val="center"/>
              <w:rPr>
                <w:rFonts w:eastAsia="Times New Roman"/>
                <w:b/>
                <w:color w:val="000000"/>
                <w:sz w:val="18"/>
                <w:szCs w:val="18"/>
                <w:lang w:eastAsia="hr-HR"/>
              </w:rPr>
            </w:pPr>
            <w:r w:rsidRPr="001B4CA2">
              <w:rPr>
                <w:rFonts w:eastAsia="Times New Roman"/>
                <w:b/>
                <w:color w:val="000000"/>
                <w:sz w:val="18"/>
                <w:szCs w:val="18"/>
                <w:lang w:eastAsia="hr-HR"/>
              </w:rPr>
              <w:t>3.197</w:t>
            </w:r>
          </w:p>
        </w:tc>
        <w:tc>
          <w:tcPr>
            <w:tcW w:w="845" w:type="dxa"/>
            <w:shd w:val="clear" w:color="auto" w:fill="auto"/>
            <w:noWrap/>
            <w:vAlign w:val="center"/>
          </w:tcPr>
          <w:p w14:paraId="4630E591"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601</w:t>
            </w:r>
          </w:p>
        </w:tc>
        <w:tc>
          <w:tcPr>
            <w:tcW w:w="846" w:type="dxa"/>
            <w:shd w:val="clear" w:color="auto" w:fill="auto"/>
            <w:noWrap/>
            <w:vAlign w:val="center"/>
          </w:tcPr>
          <w:p w14:paraId="5CE3B687" w14:textId="77777777" w:rsidR="001A5DAD" w:rsidRPr="001B4CA2" w:rsidRDefault="001A5DAD" w:rsidP="001A5DAD">
            <w:pPr>
              <w:jc w:val="center"/>
              <w:rPr>
                <w:bCs/>
                <w:sz w:val="18"/>
                <w:szCs w:val="18"/>
              </w:rPr>
            </w:pPr>
            <w:r w:rsidRPr="001B4CA2">
              <w:rPr>
                <w:bCs/>
                <w:sz w:val="18"/>
                <w:szCs w:val="18"/>
              </w:rPr>
              <w:t>939</w:t>
            </w:r>
          </w:p>
        </w:tc>
        <w:tc>
          <w:tcPr>
            <w:tcW w:w="571" w:type="dxa"/>
            <w:shd w:val="clear" w:color="auto" w:fill="auto"/>
            <w:vAlign w:val="center"/>
          </w:tcPr>
          <w:p w14:paraId="26DE447E" w14:textId="77777777" w:rsidR="001A5DAD" w:rsidRPr="001B4CA2" w:rsidRDefault="001A5DAD" w:rsidP="001A5DAD">
            <w:pPr>
              <w:jc w:val="center"/>
              <w:rPr>
                <w:bCs/>
                <w:sz w:val="18"/>
                <w:szCs w:val="18"/>
              </w:rPr>
            </w:pPr>
            <w:r w:rsidRPr="001B4CA2">
              <w:rPr>
                <w:bCs/>
                <w:sz w:val="18"/>
                <w:szCs w:val="18"/>
              </w:rPr>
              <w:t>37</w:t>
            </w:r>
          </w:p>
        </w:tc>
        <w:tc>
          <w:tcPr>
            <w:tcW w:w="847" w:type="dxa"/>
            <w:shd w:val="clear" w:color="auto" w:fill="auto"/>
            <w:noWrap/>
            <w:vAlign w:val="center"/>
          </w:tcPr>
          <w:p w14:paraId="37F65B62" w14:textId="77777777" w:rsidR="001A5DAD" w:rsidRPr="001B4CA2" w:rsidRDefault="001A5DAD" w:rsidP="001A5DAD">
            <w:pPr>
              <w:jc w:val="center"/>
              <w:rPr>
                <w:bCs/>
                <w:sz w:val="18"/>
                <w:szCs w:val="18"/>
              </w:rPr>
            </w:pPr>
            <w:r w:rsidRPr="001B4CA2">
              <w:rPr>
                <w:bCs/>
                <w:sz w:val="18"/>
                <w:szCs w:val="18"/>
              </w:rPr>
              <w:t>157</w:t>
            </w:r>
          </w:p>
        </w:tc>
        <w:tc>
          <w:tcPr>
            <w:tcW w:w="673" w:type="dxa"/>
            <w:shd w:val="clear" w:color="auto" w:fill="auto"/>
            <w:vAlign w:val="center"/>
          </w:tcPr>
          <w:p w14:paraId="011C8EA1" w14:textId="77777777" w:rsidR="001A5DAD" w:rsidRPr="001B4CA2" w:rsidRDefault="001A5DAD" w:rsidP="001A5DAD">
            <w:pPr>
              <w:jc w:val="center"/>
              <w:rPr>
                <w:bCs/>
                <w:sz w:val="18"/>
                <w:szCs w:val="18"/>
              </w:rPr>
            </w:pPr>
            <w:r w:rsidRPr="001B4CA2">
              <w:rPr>
                <w:bCs/>
                <w:sz w:val="18"/>
                <w:szCs w:val="18"/>
              </w:rPr>
              <w:t>2.665</w:t>
            </w:r>
          </w:p>
        </w:tc>
        <w:tc>
          <w:tcPr>
            <w:tcW w:w="670" w:type="dxa"/>
            <w:shd w:val="clear" w:color="auto" w:fill="auto"/>
            <w:vAlign w:val="center"/>
          </w:tcPr>
          <w:p w14:paraId="3F9869AA"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w:t>
            </w:r>
          </w:p>
        </w:tc>
      </w:tr>
      <w:tr w:rsidR="001A5DAD" w:rsidRPr="001B4CA2" w14:paraId="6060344C" w14:textId="77777777" w:rsidTr="007D12C6">
        <w:trPr>
          <w:trHeight w:val="397"/>
          <w:jc w:val="center"/>
        </w:trPr>
        <w:tc>
          <w:tcPr>
            <w:tcW w:w="837" w:type="dxa"/>
            <w:shd w:val="clear" w:color="auto" w:fill="auto"/>
            <w:noWrap/>
            <w:vAlign w:val="center"/>
          </w:tcPr>
          <w:p w14:paraId="73EA7EB5"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2022.</w:t>
            </w:r>
          </w:p>
        </w:tc>
        <w:tc>
          <w:tcPr>
            <w:tcW w:w="667" w:type="dxa"/>
            <w:shd w:val="clear" w:color="auto" w:fill="auto"/>
            <w:noWrap/>
            <w:vAlign w:val="center"/>
          </w:tcPr>
          <w:p w14:paraId="060BD0D5" w14:textId="77777777" w:rsidR="001A5DAD" w:rsidRPr="001B4CA2" w:rsidRDefault="001A5DAD" w:rsidP="001A5DAD">
            <w:pPr>
              <w:jc w:val="center"/>
              <w:rPr>
                <w:rFonts w:eastAsia="Times New Roman"/>
                <w:bCs/>
                <w:color w:val="000000"/>
                <w:sz w:val="18"/>
                <w:szCs w:val="18"/>
                <w:lang w:eastAsia="hr-HR"/>
              </w:rPr>
            </w:pPr>
            <w:r w:rsidRPr="001B4CA2">
              <w:rPr>
                <w:rFonts w:eastAsia="Times New Roman"/>
                <w:bCs/>
                <w:color w:val="000000"/>
                <w:sz w:val="18"/>
                <w:szCs w:val="18"/>
                <w:lang w:eastAsia="hr-HR"/>
              </w:rPr>
              <w:t>116</w:t>
            </w:r>
          </w:p>
        </w:tc>
        <w:tc>
          <w:tcPr>
            <w:tcW w:w="846" w:type="dxa"/>
            <w:shd w:val="clear" w:color="auto" w:fill="auto"/>
            <w:noWrap/>
            <w:vAlign w:val="center"/>
          </w:tcPr>
          <w:p w14:paraId="0E571E39"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1.139</w:t>
            </w:r>
          </w:p>
        </w:tc>
        <w:tc>
          <w:tcPr>
            <w:tcW w:w="696" w:type="dxa"/>
            <w:shd w:val="clear" w:color="auto" w:fill="auto"/>
            <w:vAlign w:val="center"/>
          </w:tcPr>
          <w:p w14:paraId="3F2F35F1" w14:textId="77777777" w:rsidR="001A5DAD" w:rsidRPr="001B4CA2" w:rsidRDefault="001A5DAD" w:rsidP="001A5DAD">
            <w:pPr>
              <w:jc w:val="center"/>
              <w:rPr>
                <w:bCs/>
                <w:sz w:val="18"/>
                <w:szCs w:val="18"/>
              </w:rPr>
            </w:pPr>
            <w:r w:rsidRPr="001B4CA2">
              <w:rPr>
                <w:bCs/>
                <w:sz w:val="18"/>
                <w:szCs w:val="18"/>
              </w:rPr>
              <w:t>1.687</w:t>
            </w:r>
          </w:p>
        </w:tc>
        <w:tc>
          <w:tcPr>
            <w:tcW w:w="845" w:type="dxa"/>
            <w:shd w:val="clear" w:color="auto" w:fill="auto"/>
            <w:noWrap/>
            <w:vAlign w:val="center"/>
          </w:tcPr>
          <w:p w14:paraId="11353219" w14:textId="77777777" w:rsidR="001A5DAD" w:rsidRPr="001B4CA2" w:rsidRDefault="001A5DAD" w:rsidP="001A5DAD">
            <w:pPr>
              <w:jc w:val="center"/>
              <w:rPr>
                <w:b/>
                <w:bCs/>
                <w:sz w:val="18"/>
                <w:szCs w:val="18"/>
              </w:rPr>
            </w:pPr>
            <w:r w:rsidRPr="001B4CA2">
              <w:rPr>
                <w:b/>
                <w:bCs/>
                <w:sz w:val="18"/>
                <w:szCs w:val="18"/>
              </w:rPr>
              <w:t>2.942</w:t>
            </w:r>
          </w:p>
        </w:tc>
        <w:tc>
          <w:tcPr>
            <w:tcW w:w="846" w:type="dxa"/>
            <w:shd w:val="clear" w:color="auto" w:fill="auto"/>
            <w:noWrap/>
            <w:vAlign w:val="center"/>
          </w:tcPr>
          <w:p w14:paraId="40CFB0DD" w14:textId="77777777" w:rsidR="001A5DAD" w:rsidRPr="001B4CA2" w:rsidRDefault="001A5DAD" w:rsidP="001A5DAD">
            <w:pPr>
              <w:jc w:val="center"/>
              <w:rPr>
                <w:rFonts w:eastAsia="Times New Roman"/>
                <w:b/>
                <w:color w:val="000000"/>
                <w:sz w:val="18"/>
                <w:szCs w:val="18"/>
                <w:lang w:eastAsia="hr-HR"/>
              </w:rPr>
            </w:pPr>
            <w:r w:rsidRPr="001B4CA2">
              <w:rPr>
                <w:rFonts w:eastAsia="Times New Roman"/>
                <w:b/>
                <w:color w:val="000000"/>
                <w:sz w:val="18"/>
                <w:szCs w:val="18"/>
                <w:lang w:eastAsia="hr-HR"/>
              </w:rPr>
              <w:t>2.880</w:t>
            </w:r>
          </w:p>
        </w:tc>
        <w:tc>
          <w:tcPr>
            <w:tcW w:w="845" w:type="dxa"/>
            <w:shd w:val="clear" w:color="auto" w:fill="auto"/>
            <w:noWrap/>
            <w:vAlign w:val="center"/>
          </w:tcPr>
          <w:p w14:paraId="7AC0E892"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540</w:t>
            </w:r>
          </w:p>
        </w:tc>
        <w:tc>
          <w:tcPr>
            <w:tcW w:w="846" w:type="dxa"/>
            <w:shd w:val="clear" w:color="auto" w:fill="auto"/>
            <w:noWrap/>
            <w:vAlign w:val="center"/>
          </w:tcPr>
          <w:p w14:paraId="55A72485" w14:textId="77777777" w:rsidR="001A5DAD" w:rsidRPr="001B4CA2" w:rsidRDefault="001A5DAD" w:rsidP="001A5DAD">
            <w:pPr>
              <w:jc w:val="center"/>
              <w:rPr>
                <w:bCs/>
                <w:sz w:val="18"/>
                <w:szCs w:val="18"/>
              </w:rPr>
            </w:pPr>
            <w:r w:rsidRPr="001B4CA2">
              <w:rPr>
                <w:bCs/>
                <w:sz w:val="18"/>
                <w:szCs w:val="18"/>
              </w:rPr>
              <w:t>936</w:t>
            </w:r>
          </w:p>
        </w:tc>
        <w:tc>
          <w:tcPr>
            <w:tcW w:w="571" w:type="dxa"/>
            <w:shd w:val="clear" w:color="auto" w:fill="auto"/>
            <w:vAlign w:val="center"/>
          </w:tcPr>
          <w:p w14:paraId="0830E959" w14:textId="77777777" w:rsidR="001A5DAD" w:rsidRPr="001B4CA2" w:rsidRDefault="001A5DAD" w:rsidP="001A5DAD">
            <w:pPr>
              <w:jc w:val="center"/>
              <w:rPr>
                <w:bCs/>
                <w:sz w:val="18"/>
                <w:szCs w:val="18"/>
              </w:rPr>
            </w:pPr>
            <w:r w:rsidRPr="001B4CA2">
              <w:rPr>
                <w:bCs/>
                <w:sz w:val="18"/>
                <w:szCs w:val="18"/>
              </w:rPr>
              <w:t>13</w:t>
            </w:r>
          </w:p>
        </w:tc>
        <w:tc>
          <w:tcPr>
            <w:tcW w:w="847" w:type="dxa"/>
            <w:shd w:val="clear" w:color="auto" w:fill="auto"/>
            <w:noWrap/>
            <w:vAlign w:val="center"/>
          </w:tcPr>
          <w:p w14:paraId="5774A571" w14:textId="77777777" w:rsidR="001A5DAD" w:rsidRPr="001B4CA2" w:rsidRDefault="001A5DAD" w:rsidP="001A5DAD">
            <w:pPr>
              <w:jc w:val="center"/>
              <w:rPr>
                <w:bCs/>
                <w:sz w:val="18"/>
                <w:szCs w:val="18"/>
              </w:rPr>
            </w:pPr>
            <w:r w:rsidRPr="001B4CA2">
              <w:rPr>
                <w:bCs/>
                <w:sz w:val="18"/>
                <w:szCs w:val="18"/>
              </w:rPr>
              <w:t>81</w:t>
            </w:r>
          </w:p>
        </w:tc>
        <w:tc>
          <w:tcPr>
            <w:tcW w:w="673" w:type="dxa"/>
            <w:shd w:val="clear" w:color="auto" w:fill="auto"/>
            <w:vAlign w:val="center"/>
          </w:tcPr>
          <w:p w14:paraId="30FBBD0A" w14:textId="77777777" w:rsidR="001A5DAD" w:rsidRPr="001B4CA2" w:rsidRDefault="001A5DAD" w:rsidP="001A5DAD">
            <w:pPr>
              <w:jc w:val="center"/>
              <w:rPr>
                <w:bCs/>
                <w:sz w:val="18"/>
                <w:szCs w:val="18"/>
              </w:rPr>
            </w:pPr>
            <w:r w:rsidRPr="001B4CA2">
              <w:rPr>
                <w:bCs/>
                <w:sz w:val="18"/>
                <w:szCs w:val="18"/>
              </w:rPr>
              <w:t>3.254</w:t>
            </w:r>
          </w:p>
        </w:tc>
        <w:tc>
          <w:tcPr>
            <w:tcW w:w="670" w:type="dxa"/>
            <w:shd w:val="clear" w:color="auto" w:fill="auto"/>
            <w:vAlign w:val="center"/>
          </w:tcPr>
          <w:p w14:paraId="448FEC11" w14:textId="77777777" w:rsidR="001A5DAD" w:rsidRPr="001B4CA2" w:rsidRDefault="001A5DAD" w:rsidP="001A5DAD">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10</w:t>
            </w:r>
          </w:p>
        </w:tc>
      </w:tr>
    </w:tbl>
    <w:p w14:paraId="56F6567F" w14:textId="77777777" w:rsidR="0020162B" w:rsidRPr="001B4CA2" w:rsidRDefault="0020162B" w:rsidP="001A5DAD">
      <w:pPr>
        <w:ind w:right="-1"/>
        <w:contextualSpacing/>
        <w:rPr>
          <w:i/>
          <w:sz w:val="20"/>
          <w:szCs w:val="20"/>
        </w:rPr>
      </w:pPr>
    </w:p>
    <w:p w14:paraId="30A97728" w14:textId="0AB22DEF" w:rsidR="001A5DAD" w:rsidRPr="001B4CA2" w:rsidRDefault="001A5DAD" w:rsidP="001A5DAD">
      <w:pPr>
        <w:tabs>
          <w:tab w:val="left" w:pos="709"/>
        </w:tabs>
        <w:ind w:firstLine="708"/>
        <w:contextualSpacing/>
        <w:rPr>
          <w:rFonts w:asciiTheme="minorHAnsi" w:eastAsia="Arial" w:hAnsiTheme="minorHAnsi"/>
        </w:rPr>
      </w:pPr>
      <w:r w:rsidRPr="001B4CA2">
        <w:rPr>
          <w:rFonts w:asciiTheme="minorHAnsi" w:eastAsia="Arial" w:hAnsiTheme="minorHAnsi"/>
        </w:rPr>
        <w:t>Tijekom izvještajnog razdoblja zaprimljeno je ukupno 2</w:t>
      </w:r>
      <w:r w:rsidR="00436C25">
        <w:rPr>
          <w:rFonts w:asciiTheme="minorHAnsi" w:eastAsia="Arial" w:hAnsiTheme="minorHAnsi"/>
        </w:rPr>
        <w:t>.</w:t>
      </w:r>
      <w:r w:rsidRPr="001B4CA2">
        <w:rPr>
          <w:rFonts w:asciiTheme="minorHAnsi" w:eastAsia="Arial" w:hAnsiTheme="minorHAnsi"/>
        </w:rPr>
        <w:t>826 novih upravnih predmeta.</w:t>
      </w:r>
    </w:p>
    <w:p w14:paraId="704CF5FF" w14:textId="77777777" w:rsidR="001A5DAD" w:rsidRPr="001B4CA2" w:rsidRDefault="001A5DAD" w:rsidP="001A5DAD">
      <w:pPr>
        <w:tabs>
          <w:tab w:val="left" w:pos="709"/>
        </w:tabs>
        <w:contextualSpacing/>
        <w:rPr>
          <w:rFonts w:asciiTheme="minorHAnsi" w:eastAsia="Arial" w:hAnsiTheme="minorHAnsi"/>
        </w:rPr>
      </w:pPr>
    </w:p>
    <w:p w14:paraId="538627E1" w14:textId="3CB439D5" w:rsidR="001A5DAD" w:rsidRPr="001B4CA2" w:rsidRDefault="001A5DAD" w:rsidP="001A5DAD">
      <w:pPr>
        <w:tabs>
          <w:tab w:val="left" w:pos="709"/>
        </w:tabs>
        <w:contextualSpacing/>
        <w:rPr>
          <w:rFonts w:asciiTheme="minorHAnsi" w:eastAsia="Arial" w:hAnsiTheme="minorHAnsi"/>
        </w:rPr>
      </w:pPr>
      <w:r w:rsidRPr="001B4CA2">
        <w:rPr>
          <w:rFonts w:asciiTheme="minorHAnsi" w:eastAsia="Arial" w:hAnsiTheme="minorHAnsi"/>
        </w:rPr>
        <w:lastRenderedPageBreak/>
        <w:tab/>
        <w:t>Republika Hrvatska kao predlagatelj pojavlj</w:t>
      </w:r>
      <w:r w:rsidR="00C12AD2" w:rsidRPr="001B4CA2">
        <w:rPr>
          <w:rFonts w:asciiTheme="minorHAnsi" w:eastAsia="Arial" w:hAnsiTheme="minorHAnsi"/>
        </w:rPr>
        <w:t>ivala</w:t>
      </w:r>
      <w:r w:rsidRPr="001B4CA2">
        <w:rPr>
          <w:rFonts w:asciiTheme="minorHAnsi" w:eastAsia="Arial" w:hAnsiTheme="minorHAnsi"/>
        </w:rPr>
        <w:t xml:space="preserve"> </w:t>
      </w:r>
      <w:r w:rsidR="00436C25" w:rsidRPr="001B4CA2">
        <w:rPr>
          <w:rFonts w:asciiTheme="minorHAnsi" w:eastAsia="Arial" w:hAnsiTheme="minorHAnsi"/>
        </w:rPr>
        <w:t xml:space="preserve">se </w:t>
      </w:r>
      <w:r w:rsidRPr="001B4CA2">
        <w:rPr>
          <w:rFonts w:asciiTheme="minorHAnsi" w:eastAsia="Arial" w:hAnsiTheme="minorHAnsi"/>
        </w:rPr>
        <w:t>u 40</w:t>
      </w:r>
      <w:r w:rsidR="00436C25">
        <w:rPr>
          <w:rFonts w:asciiTheme="minorHAnsi" w:eastAsia="Arial" w:hAnsiTheme="minorHAnsi"/>
        </w:rPr>
        <w:t> </w:t>
      </w:r>
      <w:r w:rsidRPr="001B4CA2">
        <w:rPr>
          <w:rFonts w:asciiTheme="minorHAnsi" w:eastAsia="Arial" w:hAnsiTheme="minorHAnsi"/>
        </w:rPr>
        <w:t xml:space="preserve">%, a kao </w:t>
      </w:r>
      <w:proofErr w:type="spellStart"/>
      <w:r w:rsidRPr="001B4CA2">
        <w:rPr>
          <w:rFonts w:asciiTheme="minorHAnsi" w:eastAsia="Arial" w:hAnsiTheme="minorHAnsi"/>
        </w:rPr>
        <w:t>protustranka</w:t>
      </w:r>
      <w:proofErr w:type="spellEnd"/>
      <w:r w:rsidRPr="001B4CA2">
        <w:rPr>
          <w:rFonts w:asciiTheme="minorHAnsi" w:eastAsia="Arial" w:hAnsiTheme="minorHAnsi"/>
        </w:rPr>
        <w:t xml:space="preserve"> u 60</w:t>
      </w:r>
      <w:r w:rsidR="00436C25">
        <w:rPr>
          <w:rFonts w:asciiTheme="minorHAnsi" w:eastAsia="Arial" w:hAnsiTheme="minorHAnsi"/>
        </w:rPr>
        <w:t> </w:t>
      </w:r>
      <w:r w:rsidRPr="001B4CA2">
        <w:rPr>
          <w:rFonts w:asciiTheme="minorHAnsi" w:eastAsia="Arial" w:hAnsiTheme="minorHAnsi"/>
        </w:rPr>
        <w:t>% predmeta</w:t>
      </w:r>
      <w:r w:rsidR="00436C25">
        <w:rPr>
          <w:rFonts w:asciiTheme="minorHAnsi" w:eastAsia="Arial" w:hAnsiTheme="minorHAnsi"/>
        </w:rPr>
        <w:t>,</w:t>
      </w:r>
      <w:r w:rsidRPr="001B4CA2">
        <w:rPr>
          <w:rFonts w:asciiTheme="minorHAnsi" w:eastAsia="Arial" w:hAnsiTheme="minorHAnsi"/>
        </w:rPr>
        <w:t xml:space="preserve"> iz čega je razvidno da je kao i u prošlom izvještajnom razdoblju Republika Hrvatska u većini predmeta</w:t>
      </w:r>
      <w:r w:rsidR="00C12AD2" w:rsidRPr="001B4CA2">
        <w:rPr>
          <w:rFonts w:asciiTheme="minorHAnsi" w:eastAsia="Arial" w:hAnsiTheme="minorHAnsi"/>
        </w:rPr>
        <w:t xml:space="preserve"> bila</w:t>
      </w:r>
      <w:r w:rsidRPr="001B4CA2">
        <w:rPr>
          <w:rFonts w:asciiTheme="minorHAnsi" w:eastAsia="Arial" w:hAnsiTheme="minorHAnsi"/>
        </w:rPr>
        <w:t xml:space="preserve"> </w:t>
      </w:r>
      <w:proofErr w:type="spellStart"/>
      <w:r w:rsidRPr="001B4CA2">
        <w:rPr>
          <w:rFonts w:asciiTheme="minorHAnsi" w:eastAsia="Arial" w:hAnsiTheme="minorHAnsi"/>
        </w:rPr>
        <w:t>protustranka</w:t>
      </w:r>
      <w:proofErr w:type="spellEnd"/>
      <w:r w:rsidRPr="001B4CA2">
        <w:rPr>
          <w:rFonts w:asciiTheme="minorHAnsi" w:eastAsia="Arial" w:hAnsiTheme="minorHAnsi"/>
        </w:rPr>
        <w:t xml:space="preserve">. </w:t>
      </w:r>
    </w:p>
    <w:p w14:paraId="5CB4C079" w14:textId="77777777" w:rsidR="001A5DAD" w:rsidRPr="001B4CA2" w:rsidRDefault="001A5DAD" w:rsidP="001A5DAD">
      <w:pPr>
        <w:tabs>
          <w:tab w:val="left" w:pos="709"/>
        </w:tabs>
        <w:contextualSpacing/>
        <w:rPr>
          <w:rFonts w:asciiTheme="minorHAnsi" w:eastAsia="Arial" w:hAnsiTheme="minorHAnsi"/>
        </w:rPr>
      </w:pPr>
    </w:p>
    <w:p w14:paraId="1D48C4B7" w14:textId="794574BD" w:rsidR="001A5DAD" w:rsidRPr="001B4CA2" w:rsidRDefault="001A5DAD" w:rsidP="001A5DAD">
      <w:pPr>
        <w:tabs>
          <w:tab w:val="left" w:pos="709"/>
        </w:tabs>
        <w:contextualSpacing/>
        <w:rPr>
          <w:rFonts w:asciiTheme="minorHAnsi" w:eastAsia="Arial" w:hAnsiTheme="minorHAnsi"/>
        </w:rPr>
      </w:pPr>
      <w:r w:rsidRPr="001B4CA2">
        <w:rPr>
          <w:rFonts w:asciiTheme="minorHAnsi" w:eastAsia="Arial" w:hAnsiTheme="minorHAnsi"/>
        </w:rPr>
        <w:tab/>
        <w:t>U 60</w:t>
      </w:r>
      <w:r w:rsidR="00436C25">
        <w:rPr>
          <w:rFonts w:asciiTheme="minorHAnsi" w:eastAsia="Arial" w:hAnsiTheme="minorHAnsi"/>
        </w:rPr>
        <w:t> </w:t>
      </w:r>
      <w:r w:rsidRPr="001B4CA2">
        <w:rPr>
          <w:rFonts w:asciiTheme="minorHAnsi" w:eastAsia="Arial" w:hAnsiTheme="minorHAnsi"/>
        </w:rPr>
        <w:t>% upravnih predmeta u kojima je Republika Hrvatska</w:t>
      </w:r>
      <w:r w:rsidR="00C12AD2" w:rsidRPr="001B4CA2">
        <w:rPr>
          <w:rFonts w:asciiTheme="minorHAnsi" w:eastAsia="Arial" w:hAnsiTheme="minorHAnsi"/>
        </w:rPr>
        <w:t xml:space="preserve"> bila</w:t>
      </w:r>
      <w:r w:rsidRPr="001B4CA2">
        <w:rPr>
          <w:rFonts w:asciiTheme="minorHAnsi" w:eastAsia="Arial" w:hAnsiTheme="minorHAnsi"/>
        </w:rPr>
        <w:t xml:space="preserve"> predlagatelj radi</w:t>
      </w:r>
      <w:r w:rsidR="00C12AD2" w:rsidRPr="001B4CA2">
        <w:rPr>
          <w:rFonts w:asciiTheme="minorHAnsi" w:eastAsia="Arial" w:hAnsiTheme="minorHAnsi"/>
        </w:rPr>
        <w:t>lo</w:t>
      </w:r>
      <w:r w:rsidRPr="001B4CA2">
        <w:rPr>
          <w:rFonts w:asciiTheme="minorHAnsi" w:eastAsia="Arial" w:hAnsiTheme="minorHAnsi"/>
        </w:rPr>
        <w:t xml:space="preserve"> se o postupcima </w:t>
      </w:r>
      <w:r w:rsidR="00C12AD2" w:rsidRPr="001B4CA2">
        <w:rPr>
          <w:rFonts w:asciiTheme="minorHAnsi" w:eastAsia="Arial" w:hAnsiTheme="minorHAnsi"/>
        </w:rPr>
        <w:t xml:space="preserve">koji su se </w:t>
      </w:r>
      <w:r w:rsidRPr="001B4CA2">
        <w:rPr>
          <w:rFonts w:asciiTheme="minorHAnsi" w:eastAsia="Arial" w:hAnsiTheme="minorHAnsi"/>
        </w:rPr>
        <w:t>odnosi</w:t>
      </w:r>
      <w:r w:rsidR="00C12AD2" w:rsidRPr="001B4CA2">
        <w:rPr>
          <w:rFonts w:asciiTheme="minorHAnsi" w:eastAsia="Arial" w:hAnsiTheme="minorHAnsi"/>
        </w:rPr>
        <w:t>li</w:t>
      </w:r>
      <w:r w:rsidRPr="001B4CA2">
        <w:rPr>
          <w:rFonts w:asciiTheme="minorHAnsi" w:eastAsia="Arial" w:hAnsiTheme="minorHAnsi"/>
        </w:rPr>
        <w:t xml:space="preserve"> na postupke promjen</w:t>
      </w:r>
      <w:r w:rsidR="00C12AD2" w:rsidRPr="001B4CA2">
        <w:rPr>
          <w:rFonts w:asciiTheme="minorHAnsi" w:eastAsia="Arial" w:hAnsiTheme="minorHAnsi"/>
        </w:rPr>
        <w:t>e</w:t>
      </w:r>
      <w:r w:rsidRPr="001B4CA2">
        <w:rPr>
          <w:rFonts w:asciiTheme="minorHAnsi" w:eastAsia="Arial" w:hAnsiTheme="minorHAnsi"/>
        </w:rPr>
        <w:t xml:space="preserve"> u katastarskom </w:t>
      </w:r>
      <w:proofErr w:type="spellStart"/>
      <w:r w:rsidRPr="001B4CA2">
        <w:rPr>
          <w:rFonts w:asciiTheme="minorHAnsi" w:eastAsia="Arial" w:hAnsiTheme="minorHAnsi"/>
        </w:rPr>
        <w:t>operatu</w:t>
      </w:r>
      <w:proofErr w:type="spellEnd"/>
      <w:r w:rsidRPr="001B4CA2">
        <w:rPr>
          <w:rFonts w:asciiTheme="minorHAnsi" w:eastAsia="Arial" w:hAnsiTheme="minorHAnsi"/>
        </w:rPr>
        <w:t>, u 24</w:t>
      </w:r>
      <w:r w:rsidR="00436C25">
        <w:rPr>
          <w:rFonts w:asciiTheme="minorHAnsi" w:eastAsia="Arial" w:hAnsiTheme="minorHAnsi"/>
        </w:rPr>
        <w:t> </w:t>
      </w:r>
      <w:r w:rsidRPr="001B4CA2">
        <w:rPr>
          <w:rFonts w:asciiTheme="minorHAnsi" w:eastAsia="Arial" w:hAnsiTheme="minorHAnsi"/>
        </w:rPr>
        <w:t>% na postupke utvrđenja vlasništva Republike Hrvatske temeljem odredbe članka 77. Zakona o naknadi za imovinu oduzetu za vrijeme jugoslavenske komunističke vladavine, a 18</w:t>
      </w:r>
      <w:r w:rsidR="00436C25">
        <w:rPr>
          <w:rFonts w:asciiTheme="minorHAnsi" w:eastAsia="Arial" w:hAnsiTheme="minorHAnsi"/>
        </w:rPr>
        <w:t> </w:t>
      </w:r>
      <w:r w:rsidRPr="001B4CA2">
        <w:rPr>
          <w:rFonts w:asciiTheme="minorHAnsi" w:eastAsia="Arial" w:hAnsiTheme="minorHAnsi"/>
        </w:rPr>
        <w:t>% predmeta čin</w:t>
      </w:r>
      <w:r w:rsidR="00C12AD2" w:rsidRPr="001B4CA2">
        <w:rPr>
          <w:rFonts w:asciiTheme="minorHAnsi" w:eastAsia="Arial" w:hAnsiTheme="minorHAnsi"/>
        </w:rPr>
        <w:t>ili su</w:t>
      </w:r>
      <w:r w:rsidRPr="001B4CA2">
        <w:rPr>
          <w:rFonts w:asciiTheme="minorHAnsi" w:eastAsia="Arial" w:hAnsiTheme="minorHAnsi"/>
        </w:rPr>
        <w:t xml:space="preserve"> ostali upravni postupci.</w:t>
      </w:r>
    </w:p>
    <w:p w14:paraId="0BAF6365" w14:textId="77777777" w:rsidR="001A5DAD" w:rsidRPr="001B4CA2" w:rsidRDefault="001A5DAD" w:rsidP="001A5DAD">
      <w:pPr>
        <w:tabs>
          <w:tab w:val="left" w:pos="709"/>
        </w:tabs>
        <w:contextualSpacing/>
        <w:rPr>
          <w:rFonts w:asciiTheme="minorHAnsi" w:eastAsia="Arial" w:hAnsiTheme="minorHAnsi"/>
        </w:rPr>
      </w:pPr>
    </w:p>
    <w:p w14:paraId="6284D508" w14:textId="45F0FA88" w:rsidR="001A5DAD" w:rsidRPr="001B4CA2" w:rsidRDefault="001A5DAD" w:rsidP="001A5DAD">
      <w:pPr>
        <w:tabs>
          <w:tab w:val="left" w:pos="709"/>
        </w:tabs>
        <w:contextualSpacing/>
        <w:rPr>
          <w:rFonts w:asciiTheme="minorHAnsi" w:eastAsia="Arial" w:hAnsiTheme="minorHAnsi"/>
        </w:rPr>
      </w:pPr>
      <w:r w:rsidRPr="001B4CA2">
        <w:rPr>
          <w:rFonts w:asciiTheme="minorHAnsi" w:eastAsia="Arial" w:hAnsiTheme="minorHAnsi"/>
        </w:rPr>
        <w:tab/>
        <w:t xml:space="preserve">Od ukupnog broja upravnih predmeta u kojima je Republika Hrvatska </w:t>
      </w:r>
      <w:r w:rsidR="00C12AD2" w:rsidRPr="001B4CA2">
        <w:rPr>
          <w:rFonts w:asciiTheme="minorHAnsi" w:eastAsia="Arial" w:hAnsiTheme="minorHAnsi"/>
        </w:rPr>
        <w:t xml:space="preserve">bila </w:t>
      </w:r>
      <w:proofErr w:type="spellStart"/>
      <w:r w:rsidRPr="001B4CA2">
        <w:rPr>
          <w:rFonts w:asciiTheme="minorHAnsi" w:eastAsia="Arial" w:hAnsiTheme="minorHAnsi"/>
        </w:rPr>
        <w:t>protustranka</w:t>
      </w:r>
      <w:proofErr w:type="spellEnd"/>
      <w:r w:rsidRPr="001B4CA2">
        <w:rPr>
          <w:rFonts w:asciiTheme="minorHAnsi" w:eastAsia="Arial" w:hAnsiTheme="minorHAnsi"/>
        </w:rPr>
        <w:t>, 49</w:t>
      </w:r>
      <w:r w:rsidR="00436C25">
        <w:rPr>
          <w:rFonts w:asciiTheme="minorHAnsi" w:eastAsia="Arial" w:hAnsiTheme="minorHAnsi"/>
        </w:rPr>
        <w:t> </w:t>
      </w:r>
      <w:r w:rsidRPr="001B4CA2">
        <w:rPr>
          <w:rFonts w:asciiTheme="minorHAnsi" w:eastAsia="Arial" w:hAnsiTheme="minorHAnsi"/>
        </w:rPr>
        <w:t>% se odnosi</w:t>
      </w:r>
      <w:r w:rsidR="00C12AD2" w:rsidRPr="001B4CA2">
        <w:rPr>
          <w:rFonts w:asciiTheme="minorHAnsi" w:eastAsia="Arial" w:hAnsiTheme="minorHAnsi"/>
        </w:rPr>
        <w:t>lo</w:t>
      </w:r>
      <w:r w:rsidRPr="001B4CA2">
        <w:rPr>
          <w:rFonts w:asciiTheme="minorHAnsi" w:eastAsia="Arial" w:hAnsiTheme="minorHAnsi"/>
        </w:rPr>
        <w:t xml:space="preserve"> na promjene u katastarskom </w:t>
      </w:r>
      <w:proofErr w:type="spellStart"/>
      <w:r w:rsidRPr="001B4CA2">
        <w:rPr>
          <w:rFonts w:asciiTheme="minorHAnsi" w:eastAsia="Arial" w:hAnsiTheme="minorHAnsi"/>
        </w:rPr>
        <w:t>operatu</w:t>
      </w:r>
      <w:proofErr w:type="spellEnd"/>
      <w:r w:rsidRPr="001B4CA2">
        <w:rPr>
          <w:rFonts w:asciiTheme="minorHAnsi" w:eastAsia="Arial" w:hAnsiTheme="minorHAnsi"/>
        </w:rPr>
        <w:t>, 27</w:t>
      </w:r>
      <w:r w:rsidR="00436C25">
        <w:rPr>
          <w:rFonts w:asciiTheme="minorHAnsi" w:eastAsia="Arial" w:hAnsiTheme="minorHAnsi"/>
        </w:rPr>
        <w:t> </w:t>
      </w:r>
      <w:r w:rsidRPr="001B4CA2">
        <w:rPr>
          <w:rFonts w:asciiTheme="minorHAnsi" w:eastAsia="Arial" w:hAnsiTheme="minorHAnsi"/>
        </w:rPr>
        <w:t>% na postupke otpisa i obročne otplate tražbine Republike Hrvatske koji</w:t>
      </w:r>
      <w:r w:rsidR="00C12AD2" w:rsidRPr="001B4CA2">
        <w:rPr>
          <w:rFonts w:asciiTheme="minorHAnsi" w:eastAsia="Arial" w:hAnsiTheme="minorHAnsi"/>
        </w:rPr>
        <w:t xml:space="preserve"> su</w:t>
      </w:r>
      <w:r w:rsidRPr="001B4CA2">
        <w:rPr>
          <w:rFonts w:asciiTheme="minorHAnsi" w:eastAsia="Arial" w:hAnsiTheme="minorHAnsi"/>
        </w:rPr>
        <w:t xml:space="preserve"> se </w:t>
      </w:r>
      <w:r w:rsidR="00C12AD2" w:rsidRPr="001B4CA2">
        <w:rPr>
          <w:rFonts w:asciiTheme="minorHAnsi" w:eastAsia="Arial" w:hAnsiTheme="minorHAnsi"/>
        </w:rPr>
        <w:t>vodili</w:t>
      </w:r>
      <w:r w:rsidRPr="001B4CA2">
        <w:rPr>
          <w:rFonts w:asciiTheme="minorHAnsi" w:eastAsia="Arial" w:hAnsiTheme="minorHAnsi"/>
        </w:rPr>
        <w:t xml:space="preserve"> temeljem Uredbe o kriterijima, mjerilima i postupku za odgodu plaćanja, obročnu otplatu duga te prodaju, otpis ili djelomičan otpis potraživanja (Narodne novine broj 52/2013 i 95/2014), a 24</w:t>
      </w:r>
      <w:r w:rsidR="00436C25">
        <w:rPr>
          <w:rFonts w:asciiTheme="minorHAnsi" w:eastAsia="Arial" w:hAnsiTheme="minorHAnsi"/>
        </w:rPr>
        <w:t> </w:t>
      </w:r>
      <w:r w:rsidRPr="001B4CA2">
        <w:rPr>
          <w:rFonts w:asciiTheme="minorHAnsi" w:eastAsia="Arial" w:hAnsiTheme="minorHAnsi"/>
        </w:rPr>
        <w:t>% čin</w:t>
      </w:r>
      <w:r w:rsidR="00C12AD2" w:rsidRPr="001B4CA2">
        <w:rPr>
          <w:rFonts w:asciiTheme="minorHAnsi" w:eastAsia="Arial" w:hAnsiTheme="minorHAnsi"/>
        </w:rPr>
        <w:t>ili</w:t>
      </w:r>
      <w:r w:rsidRPr="001B4CA2">
        <w:rPr>
          <w:rFonts w:asciiTheme="minorHAnsi" w:eastAsia="Arial" w:hAnsiTheme="minorHAnsi"/>
        </w:rPr>
        <w:t xml:space="preserve"> </w:t>
      </w:r>
      <w:r w:rsidR="00436C25" w:rsidRPr="001B4CA2">
        <w:rPr>
          <w:rFonts w:asciiTheme="minorHAnsi" w:eastAsia="Arial" w:hAnsiTheme="minorHAnsi"/>
        </w:rPr>
        <w:t xml:space="preserve">su </w:t>
      </w:r>
      <w:r w:rsidRPr="001B4CA2">
        <w:rPr>
          <w:rFonts w:asciiTheme="minorHAnsi" w:eastAsia="Arial" w:hAnsiTheme="minorHAnsi"/>
        </w:rPr>
        <w:t>ostali upravni postupci.</w:t>
      </w:r>
    </w:p>
    <w:p w14:paraId="1CED8EB7" w14:textId="77777777" w:rsidR="001A5DAD" w:rsidRPr="001B4CA2" w:rsidRDefault="001A5DAD" w:rsidP="001A5DAD">
      <w:pPr>
        <w:tabs>
          <w:tab w:val="left" w:pos="709"/>
        </w:tabs>
        <w:contextualSpacing/>
        <w:rPr>
          <w:rFonts w:asciiTheme="minorHAnsi" w:eastAsia="Arial" w:hAnsiTheme="minorHAnsi"/>
        </w:rPr>
      </w:pPr>
    </w:p>
    <w:p w14:paraId="6088D127" w14:textId="761C1FFC" w:rsidR="001A5DAD" w:rsidRPr="001B4CA2" w:rsidRDefault="001A5DAD" w:rsidP="001A5DAD">
      <w:pPr>
        <w:tabs>
          <w:tab w:val="left" w:pos="709"/>
        </w:tabs>
        <w:contextualSpacing/>
        <w:rPr>
          <w:rFonts w:asciiTheme="minorHAnsi" w:eastAsia="Arial" w:hAnsiTheme="minorHAnsi"/>
        </w:rPr>
      </w:pPr>
      <w:r w:rsidRPr="001B4CA2">
        <w:rPr>
          <w:rFonts w:asciiTheme="minorHAnsi" w:eastAsia="Arial" w:hAnsiTheme="minorHAnsi"/>
        </w:rPr>
        <w:tab/>
        <w:t>Tijekom izvještajnog razdoblja u upravnim predmetima doneseno je ukupno 2</w:t>
      </w:r>
      <w:r w:rsidR="00436C25">
        <w:rPr>
          <w:rFonts w:asciiTheme="minorHAnsi" w:eastAsia="Arial" w:hAnsiTheme="minorHAnsi"/>
        </w:rPr>
        <w:t>.</w:t>
      </w:r>
      <w:r w:rsidRPr="001B4CA2">
        <w:rPr>
          <w:rFonts w:asciiTheme="minorHAnsi" w:eastAsia="Arial" w:hAnsiTheme="minorHAnsi"/>
        </w:rPr>
        <w:t xml:space="preserve">880 meritornih </w:t>
      </w:r>
      <w:proofErr w:type="spellStart"/>
      <w:r w:rsidRPr="001B4CA2">
        <w:rPr>
          <w:rFonts w:asciiTheme="minorHAnsi" w:eastAsia="Arial" w:hAnsiTheme="minorHAnsi"/>
        </w:rPr>
        <w:t>državnoodvjetničkih</w:t>
      </w:r>
      <w:proofErr w:type="spellEnd"/>
      <w:r w:rsidRPr="001B4CA2">
        <w:rPr>
          <w:rFonts w:asciiTheme="minorHAnsi" w:eastAsia="Arial" w:hAnsiTheme="minorHAnsi"/>
        </w:rPr>
        <w:t xml:space="preserve"> odluka, dok su javnopravna tijela donijela ukupno 1</w:t>
      </w:r>
      <w:r w:rsidR="0020162B" w:rsidRPr="001B4CA2">
        <w:rPr>
          <w:rFonts w:asciiTheme="minorHAnsi" w:eastAsia="Arial" w:hAnsiTheme="minorHAnsi"/>
        </w:rPr>
        <w:t>.</w:t>
      </w:r>
      <w:r w:rsidRPr="001B4CA2">
        <w:rPr>
          <w:rFonts w:asciiTheme="minorHAnsi" w:eastAsia="Arial" w:hAnsiTheme="minorHAnsi"/>
        </w:rPr>
        <w:t>030 odluka</w:t>
      </w:r>
      <w:r w:rsidR="00436C25">
        <w:rPr>
          <w:rFonts w:asciiTheme="minorHAnsi" w:eastAsia="Arial" w:hAnsiTheme="minorHAnsi"/>
        </w:rPr>
        <w:t>,</w:t>
      </w:r>
      <w:r w:rsidRPr="001B4CA2">
        <w:rPr>
          <w:rFonts w:asciiTheme="minorHAnsi" w:eastAsia="Arial" w:hAnsiTheme="minorHAnsi"/>
        </w:rPr>
        <w:t xml:space="preserve"> od čega su u 936 predmeta prijedlozi usvojeni, u 13 je prijedlog odbijen, dok je 81 predmet okončan donošenjem ostalih odluka.</w:t>
      </w:r>
      <w:r w:rsidR="001B4CA2">
        <w:rPr>
          <w:rFonts w:asciiTheme="minorHAnsi" w:eastAsia="Arial" w:hAnsiTheme="minorHAnsi"/>
        </w:rPr>
        <w:t xml:space="preserve"> </w:t>
      </w:r>
      <w:r w:rsidRPr="001B4CA2">
        <w:rPr>
          <w:rFonts w:asciiTheme="minorHAnsi" w:eastAsia="Arial" w:hAnsiTheme="minorHAnsi"/>
        </w:rPr>
        <w:t>U 3</w:t>
      </w:r>
      <w:r w:rsidR="00436C25">
        <w:rPr>
          <w:rFonts w:asciiTheme="minorHAnsi" w:eastAsia="Arial" w:hAnsiTheme="minorHAnsi"/>
        </w:rPr>
        <w:t>.</w:t>
      </w:r>
      <w:r w:rsidRPr="001B4CA2">
        <w:rPr>
          <w:rFonts w:asciiTheme="minorHAnsi" w:eastAsia="Arial" w:hAnsiTheme="minorHAnsi"/>
        </w:rPr>
        <w:t xml:space="preserve">254 predmeta javnopravna tijela nisu donijela prvostupanjske odluke. </w:t>
      </w:r>
    </w:p>
    <w:p w14:paraId="7BCCBABA" w14:textId="77777777" w:rsidR="001A5DAD" w:rsidRPr="001B4CA2" w:rsidRDefault="001A5DAD" w:rsidP="001A5DAD">
      <w:pPr>
        <w:tabs>
          <w:tab w:val="left" w:pos="709"/>
        </w:tabs>
        <w:contextualSpacing/>
        <w:rPr>
          <w:rFonts w:asciiTheme="minorHAnsi" w:eastAsia="Arial" w:hAnsiTheme="minorHAnsi"/>
        </w:rPr>
      </w:pPr>
    </w:p>
    <w:p w14:paraId="7824718B" w14:textId="7902CEDB" w:rsidR="001A5DAD" w:rsidRPr="001B4CA2" w:rsidRDefault="001A5DAD" w:rsidP="001A5DAD">
      <w:pPr>
        <w:tabs>
          <w:tab w:val="left" w:pos="709"/>
        </w:tabs>
        <w:contextualSpacing/>
        <w:rPr>
          <w:rFonts w:asciiTheme="minorHAnsi" w:eastAsia="Arial" w:hAnsiTheme="minorHAnsi"/>
        </w:rPr>
      </w:pPr>
      <w:r w:rsidRPr="001B4CA2">
        <w:rPr>
          <w:rFonts w:asciiTheme="minorHAnsi" w:eastAsia="Arial" w:hAnsiTheme="minorHAnsi"/>
        </w:rPr>
        <w:tab/>
        <w:t xml:space="preserve">Tijekom izvještajne godine u upravnim je </w:t>
      </w:r>
      <w:r w:rsidR="00436C25" w:rsidRPr="001B4CA2">
        <w:rPr>
          <w:rFonts w:asciiTheme="minorHAnsi" w:eastAsia="Arial" w:hAnsiTheme="minorHAnsi"/>
        </w:rPr>
        <w:t xml:space="preserve">predmetima </w:t>
      </w:r>
      <w:r w:rsidRPr="001B4CA2">
        <w:rPr>
          <w:rFonts w:asciiTheme="minorHAnsi" w:eastAsia="Arial" w:hAnsiTheme="minorHAnsi"/>
        </w:rPr>
        <w:t xml:space="preserve">održano 540 rasprava </w:t>
      </w:r>
      <w:r w:rsidR="00436C25">
        <w:rPr>
          <w:rFonts w:asciiTheme="minorHAnsi" w:eastAsia="Arial" w:hAnsiTheme="minorHAnsi"/>
        </w:rPr>
        <w:t>te su</w:t>
      </w:r>
      <w:r w:rsidRPr="001B4CA2">
        <w:rPr>
          <w:rFonts w:asciiTheme="minorHAnsi" w:eastAsia="Arial" w:hAnsiTheme="minorHAnsi"/>
        </w:rPr>
        <w:t xml:space="preserve"> uložena 63 redovna pravna lijeka.</w:t>
      </w:r>
    </w:p>
    <w:p w14:paraId="2924EAFE" w14:textId="77777777" w:rsidR="001A5DAD" w:rsidRPr="001B4CA2" w:rsidRDefault="001A5DAD" w:rsidP="001A5DAD">
      <w:r w:rsidRPr="001B4CA2">
        <w:rPr>
          <w:i/>
          <w:sz w:val="20"/>
          <w:szCs w:val="20"/>
        </w:rPr>
        <w:t xml:space="preserve"> </w:t>
      </w:r>
    </w:p>
    <w:p w14:paraId="2C1613BB" w14:textId="729FAF73" w:rsidR="001A5DAD" w:rsidRPr="001B4CA2" w:rsidRDefault="001A5DAD" w:rsidP="00540F85">
      <w:pPr>
        <w:pStyle w:val="Odlomakpopisa"/>
        <w:numPr>
          <w:ilvl w:val="0"/>
          <w:numId w:val="39"/>
        </w:numPr>
        <w:tabs>
          <w:tab w:val="left" w:pos="426"/>
        </w:tabs>
        <w:ind w:left="142" w:hanging="142"/>
        <w:jc w:val="left"/>
        <w:rPr>
          <w:rFonts w:asciiTheme="minorHAnsi" w:hAnsiTheme="minorHAnsi" w:cstheme="minorBidi"/>
          <w:i/>
          <w:szCs w:val="22"/>
        </w:rPr>
      </w:pPr>
      <w:r w:rsidRPr="001B4CA2">
        <w:rPr>
          <w:rFonts w:asciiTheme="minorHAnsi" w:hAnsiTheme="minorHAnsi" w:cstheme="minorBidi"/>
          <w:i/>
          <w:szCs w:val="22"/>
        </w:rPr>
        <w:t>Upravni predmeti naknade za oduzetu imovinu 2020.</w:t>
      </w:r>
      <w:r w:rsidR="00436C25">
        <w:rPr>
          <w:rFonts w:asciiTheme="minorHAnsi" w:hAnsiTheme="minorHAnsi" w:cstheme="minorBidi"/>
          <w:i/>
          <w:szCs w:val="22"/>
        </w:rPr>
        <w:t xml:space="preserve"> – </w:t>
      </w:r>
      <w:r w:rsidRPr="001B4CA2">
        <w:rPr>
          <w:rFonts w:asciiTheme="minorHAnsi" w:hAnsiTheme="minorHAnsi" w:cstheme="minorBidi"/>
          <w:i/>
          <w:szCs w:val="22"/>
        </w:rPr>
        <w:t>2022</w:t>
      </w:r>
      <w:r w:rsidR="009E6D91" w:rsidRPr="001B4CA2">
        <w:rPr>
          <w:rFonts w:asciiTheme="minorHAnsi" w:hAnsiTheme="minorHAnsi" w:cstheme="minorBidi"/>
          <w:i/>
          <w:szCs w:val="22"/>
        </w:rPr>
        <w:t>.</w:t>
      </w:r>
      <w:r w:rsidRPr="001B4CA2">
        <w:rPr>
          <w:rFonts w:asciiTheme="minorHAnsi" w:hAnsiTheme="minorHAnsi" w:cstheme="minorBidi"/>
          <w:i/>
          <w:szCs w:val="22"/>
        </w:rPr>
        <w:t xml:space="preserve"> (</w:t>
      </w:r>
      <w:proofErr w:type="spellStart"/>
      <w:r w:rsidRPr="001B4CA2">
        <w:rPr>
          <w:rFonts w:asciiTheme="minorHAnsi" w:hAnsiTheme="minorHAnsi" w:cstheme="minorBidi"/>
          <w:i/>
          <w:szCs w:val="22"/>
        </w:rPr>
        <w:t>Un</w:t>
      </w:r>
      <w:proofErr w:type="spellEnd"/>
      <w:r w:rsidRPr="001B4CA2">
        <w:rPr>
          <w:rFonts w:asciiTheme="minorHAnsi" w:hAnsiTheme="minorHAnsi" w:cstheme="minorBidi"/>
          <w:i/>
          <w:szCs w:val="22"/>
        </w:rPr>
        <w:t>-DO upisnik)</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
        <w:gridCol w:w="993"/>
        <w:gridCol w:w="850"/>
        <w:gridCol w:w="709"/>
        <w:gridCol w:w="731"/>
        <w:gridCol w:w="709"/>
        <w:gridCol w:w="709"/>
        <w:gridCol w:w="708"/>
        <w:gridCol w:w="851"/>
        <w:gridCol w:w="709"/>
        <w:gridCol w:w="708"/>
      </w:tblGrid>
      <w:tr w:rsidR="00540F85" w:rsidRPr="001B4CA2" w14:paraId="4E3C1B58" w14:textId="77777777" w:rsidTr="00540F85">
        <w:trPr>
          <w:trHeight w:val="812"/>
          <w:jc w:val="center"/>
        </w:trPr>
        <w:tc>
          <w:tcPr>
            <w:tcW w:w="709" w:type="dxa"/>
            <w:vMerge w:val="restart"/>
            <w:shd w:val="clear" w:color="auto" w:fill="99CCFF"/>
            <w:noWrap/>
            <w:textDirection w:val="btLr"/>
            <w:vAlign w:val="center"/>
            <w:hideMark/>
          </w:tcPr>
          <w:p w14:paraId="65FFBF21" w14:textId="77777777" w:rsidR="001A5DAD" w:rsidRPr="00540F85" w:rsidRDefault="001A5DAD" w:rsidP="00540F85">
            <w:pPr>
              <w:ind w:left="113" w:right="113"/>
              <w:jc w:val="left"/>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Godina</w:t>
            </w:r>
          </w:p>
        </w:tc>
        <w:tc>
          <w:tcPr>
            <w:tcW w:w="850" w:type="dxa"/>
            <w:vMerge w:val="restart"/>
            <w:shd w:val="clear" w:color="auto" w:fill="99CCFF"/>
            <w:textDirection w:val="btLr"/>
            <w:vAlign w:val="center"/>
            <w:hideMark/>
          </w:tcPr>
          <w:p w14:paraId="1F5438CC" w14:textId="77777777" w:rsidR="001A5DAD" w:rsidRPr="00540F85" w:rsidRDefault="001A5DAD" w:rsidP="001A5DAD">
            <w:pPr>
              <w:jc w:val="left"/>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Ostalo u radu u DO</w:t>
            </w:r>
          </w:p>
        </w:tc>
        <w:tc>
          <w:tcPr>
            <w:tcW w:w="993" w:type="dxa"/>
            <w:shd w:val="clear" w:color="auto" w:fill="99CCFF"/>
            <w:vAlign w:val="center"/>
          </w:tcPr>
          <w:p w14:paraId="7D139B7C" w14:textId="77777777" w:rsidR="001A5DAD" w:rsidRPr="00540F85" w:rsidRDefault="001A5DAD" w:rsidP="001A5DAD">
            <w:pPr>
              <w:jc w:val="center"/>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Primljeno</w:t>
            </w:r>
          </w:p>
        </w:tc>
        <w:tc>
          <w:tcPr>
            <w:tcW w:w="850" w:type="dxa"/>
            <w:vMerge w:val="restart"/>
            <w:shd w:val="clear" w:color="auto" w:fill="99CCFF"/>
            <w:textDirection w:val="btLr"/>
            <w:vAlign w:val="center"/>
            <w:hideMark/>
          </w:tcPr>
          <w:p w14:paraId="7440D8C8" w14:textId="77777777" w:rsidR="001A5DAD" w:rsidRPr="00540F85" w:rsidRDefault="001A5DAD" w:rsidP="001A5DAD">
            <w:pPr>
              <w:jc w:val="left"/>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Ukupno u radu u DO</w:t>
            </w:r>
          </w:p>
        </w:tc>
        <w:tc>
          <w:tcPr>
            <w:tcW w:w="709" w:type="dxa"/>
            <w:vMerge w:val="restart"/>
            <w:shd w:val="clear" w:color="auto" w:fill="99CCFF"/>
            <w:textDirection w:val="btLr"/>
            <w:vAlign w:val="center"/>
            <w:hideMark/>
          </w:tcPr>
          <w:p w14:paraId="76C970DB" w14:textId="77777777" w:rsidR="001A5DAD" w:rsidRPr="00540F85" w:rsidRDefault="001A5DAD" w:rsidP="001A5DAD">
            <w:pPr>
              <w:jc w:val="left"/>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Ukupno donesenih odluka</w:t>
            </w:r>
          </w:p>
        </w:tc>
        <w:tc>
          <w:tcPr>
            <w:tcW w:w="731" w:type="dxa"/>
            <w:vMerge w:val="restart"/>
            <w:shd w:val="clear" w:color="auto" w:fill="99CCFF"/>
            <w:textDirection w:val="btLr"/>
            <w:vAlign w:val="center"/>
            <w:hideMark/>
          </w:tcPr>
          <w:p w14:paraId="28FB79AC" w14:textId="77777777" w:rsidR="001A5DAD" w:rsidRPr="00540F85" w:rsidRDefault="001A5DAD" w:rsidP="001A5DAD">
            <w:pPr>
              <w:jc w:val="left"/>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Rasprave</w:t>
            </w:r>
          </w:p>
        </w:tc>
        <w:tc>
          <w:tcPr>
            <w:tcW w:w="2126" w:type="dxa"/>
            <w:gridSpan w:val="3"/>
            <w:tcBorders>
              <w:right w:val="single" w:sz="4" w:space="0" w:color="auto"/>
            </w:tcBorders>
            <w:shd w:val="clear" w:color="auto" w:fill="99CCFF"/>
            <w:vAlign w:val="center"/>
          </w:tcPr>
          <w:p w14:paraId="5277758E" w14:textId="77777777" w:rsidR="001A5DAD" w:rsidRPr="00540F85" w:rsidRDefault="001A5DAD" w:rsidP="001A5DAD">
            <w:pPr>
              <w:jc w:val="center"/>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 xml:space="preserve">Odluke JPT </w:t>
            </w:r>
            <w:r w:rsidRPr="00540F85">
              <w:rPr>
                <w:rFonts w:asciiTheme="minorHAnsi" w:hAnsiTheme="minorHAnsi" w:cstheme="minorHAnsi"/>
                <w:b/>
                <w:sz w:val="16"/>
                <w:szCs w:val="16"/>
              </w:rPr>
              <w:t>o zahtjevu predlagatelja</w:t>
            </w:r>
          </w:p>
        </w:tc>
        <w:tc>
          <w:tcPr>
            <w:tcW w:w="851" w:type="dxa"/>
            <w:vMerge w:val="restart"/>
            <w:tcBorders>
              <w:left w:val="single" w:sz="4" w:space="0" w:color="auto"/>
            </w:tcBorders>
            <w:shd w:val="clear" w:color="auto" w:fill="99CCFF"/>
            <w:textDirection w:val="btLr"/>
            <w:vAlign w:val="center"/>
          </w:tcPr>
          <w:p w14:paraId="4BE599A8" w14:textId="77777777" w:rsidR="001A5DAD" w:rsidRPr="00540F85" w:rsidRDefault="001A5DAD" w:rsidP="001A5DAD">
            <w:pPr>
              <w:ind w:right="113"/>
              <w:jc w:val="left"/>
              <w:rPr>
                <w:rFonts w:asciiTheme="minorHAnsi" w:eastAsia="Times New Roman" w:hAnsiTheme="minorHAnsi" w:cstheme="minorHAnsi"/>
                <w:b/>
                <w:bCs/>
                <w:color w:val="000000"/>
                <w:sz w:val="16"/>
                <w:szCs w:val="16"/>
                <w:lang w:eastAsia="hr-HR"/>
              </w:rPr>
            </w:pPr>
          </w:p>
          <w:p w14:paraId="4244B067" w14:textId="77777777" w:rsidR="001A5DAD" w:rsidRPr="00540F85" w:rsidRDefault="001A5DAD" w:rsidP="001A5DAD">
            <w:pPr>
              <w:ind w:right="113"/>
              <w:jc w:val="left"/>
              <w:rPr>
                <w:rFonts w:asciiTheme="minorHAnsi" w:eastAsia="Times New Roman" w:hAnsiTheme="minorHAnsi" w:cstheme="minorHAnsi"/>
                <w:b/>
                <w:bCs/>
                <w:color w:val="000000"/>
                <w:sz w:val="16"/>
                <w:szCs w:val="16"/>
                <w:lang w:eastAsia="hr-HR"/>
              </w:rPr>
            </w:pPr>
          </w:p>
          <w:p w14:paraId="6030283F" w14:textId="77777777" w:rsidR="001A5DAD" w:rsidRPr="00540F85" w:rsidRDefault="001A5DAD" w:rsidP="001A5DAD">
            <w:pPr>
              <w:ind w:right="113"/>
              <w:jc w:val="left"/>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Predmeti u kojima JPT nije donio I-stup. odluku</w:t>
            </w:r>
          </w:p>
          <w:p w14:paraId="3284E802" w14:textId="77777777" w:rsidR="001A5DAD" w:rsidRPr="00540F85" w:rsidRDefault="001A5DAD" w:rsidP="001A5DAD">
            <w:pPr>
              <w:ind w:right="113"/>
              <w:jc w:val="left"/>
              <w:rPr>
                <w:rFonts w:asciiTheme="minorHAnsi" w:eastAsia="Times New Roman" w:hAnsiTheme="minorHAnsi" w:cstheme="minorHAnsi"/>
                <w:b/>
                <w:bCs/>
                <w:color w:val="000000"/>
                <w:sz w:val="16"/>
                <w:szCs w:val="16"/>
                <w:lang w:eastAsia="hr-HR"/>
              </w:rPr>
            </w:pPr>
          </w:p>
          <w:p w14:paraId="2FC55684" w14:textId="77777777" w:rsidR="001A5DAD" w:rsidRPr="00540F85" w:rsidRDefault="001A5DAD" w:rsidP="001A5DAD">
            <w:pPr>
              <w:ind w:right="113"/>
              <w:jc w:val="left"/>
              <w:rPr>
                <w:rFonts w:asciiTheme="minorHAnsi" w:eastAsia="Times New Roman" w:hAnsiTheme="minorHAnsi" w:cstheme="minorHAnsi"/>
                <w:b/>
                <w:bCs/>
                <w:color w:val="000000"/>
                <w:sz w:val="16"/>
                <w:szCs w:val="16"/>
                <w:lang w:eastAsia="hr-HR"/>
              </w:rPr>
            </w:pPr>
          </w:p>
        </w:tc>
        <w:tc>
          <w:tcPr>
            <w:tcW w:w="709" w:type="dxa"/>
            <w:vMerge w:val="restart"/>
            <w:shd w:val="clear" w:color="auto" w:fill="99CCFF"/>
            <w:textDirection w:val="btLr"/>
            <w:vAlign w:val="center"/>
          </w:tcPr>
          <w:p w14:paraId="4094CBDD" w14:textId="77777777" w:rsidR="001A5DAD" w:rsidRPr="00540F85" w:rsidRDefault="001A5DAD" w:rsidP="001A5DAD">
            <w:pPr>
              <w:ind w:right="113"/>
              <w:jc w:val="left"/>
              <w:rPr>
                <w:rFonts w:asciiTheme="minorHAnsi" w:eastAsia="Times New Roman" w:hAnsiTheme="minorHAnsi" w:cstheme="minorHAnsi"/>
                <w:b/>
                <w:bCs/>
                <w:sz w:val="16"/>
                <w:szCs w:val="16"/>
                <w:lang w:eastAsia="hr-HR"/>
              </w:rPr>
            </w:pPr>
            <w:r w:rsidRPr="00540F85">
              <w:rPr>
                <w:rFonts w:asciiTheme="minorHAnsi" w:eastAsia="Times New Roman" w:hAnsiTheme="minorHAnsi" w:cstheme="minorHAnsi"/>
                <w:b/>
                <w:bCs/>
                <w:sz w:val="16"/>
                <w:szCs w:val="16"/>
                <w:lang w:eastAsia="hr-HR"/>
              </w:rPr>
              <w:t>Pravni lijek DO</w:t>
            </w:r>
          </w:p>
        </w:tc>
        <w:tc>
          <w:tcPr>
            <w:tcW w:w="708" w:type="dxa"/>
            <w:vMerge w:val="restart"/>
            <w:shd w:val="clear" w:color="auto" w:fill="99CCFF"/>
            <w:textDirection w:val="btLr"/>
            <w:vAlign w:val="center"/>
          </w:tcPr>
          <w:p w14:paraId="275DA2D2" w14:textId="77777777" w:rsidR="001A5DAD" w:rsidRPr="00540F85" w:rsidRDefault="001A5DAD" w:rsidP="001A5DAD">
            <w:pPr>
              <w:ind w:right="113"/>
              <w:jc w:val="left"/>
              <w:rPr>
                <w:rFonts w:asciiTheme="minorHAnsi" w:eastAsia="Times New Roman" w:hAnsiTheme="minorHAnsi" w:cstheme="minorHAnsi"/>
                <w:b/>
                <w:bCs/>
                <w:sz w:val="16"/>
                <w:szCs w:val="16"/>
                <w:lang w:eastAsia="hr-HR"/>
              </w:rPr>
            </w:pPr>
            <w:r w:rsidRPr="00540F85">
              <w:rPr>
                <w:rFonts w:asciiTheme="minorHAnsi" w:eastAsia="Times New Roman" w:hAnsiTheme="minorHAnsi" w:cstheme="minorHAnsi"/>
                <w:b/>
                <w:bCs/>
                <w:sz w:val="16"/>
                <w:szCs w:val="16"/>
                <w:lang w:eastAsia="hr-HR"/>
              </w:rPr>
              <w:t>Inicijativa za pokretanje upravnog spora</w:t>
            </w:r>
          </w:p>
        </w:tc>
      </w:tr>
      <w:tr w:rsidR="00540F85" w:rsidRPr="001B4CA2" w14:paraId="2F8BBA4C" w14:textId="77777777" w:rsidTr="00540F85">
        <w:trPr>
          <w:trHeight w:val="1832"/>
          <w:jc w:val="center"/>
        </w:trPr>
        <w:tc>
          <w:tcPr>
            <w:tcW w:w="709" w:type="dxa"/>
            <w:vMerge/>
            <w:shd w:val="clear" w:color="auto" w:fill="99CCFF"/>
            <w:vAlign w:val="center"/>
            <w:hideMark/>
          </w:tcPr>
          <w:p w14:paraId="72F1DCA0" w14:textId="77777777" w:rsidR="001A5DAD" w:rsidRPr="00540F85" w:rsidRDefault="001A5DAD" w:rsidP="001A5DAD">
            <w:pPr>
              <w:jc w:val="left"/>
              <w:rPr>
                <w:rFonts w:asciiTheme="minorHAnsi" w:eastAsia="Times New Roman" w:hAnsiTheme="minorHAnsi" w:cstheme="minorHAnsi"/>
                <w:b/>
                <w:bCs/>
                <w:color w:val="000000"/>
                <w:sz w:val="16"/>
                <w:szCs w:val="16"/>
                <w:lang w:eastAsia="hr-HR"/>
              </w:rPr>
            </w:pPr>
          </w:p>
        </w:tc>
        <w:tc>
          <w:tcPr>
            <w:tcW w:w="850" w:type="dxa"/>
            <w:vMerge/>
            <w:shd w:val="clear" w:color="auto" w:fill="99CCFF"/>
            <w:vAlign w:val="center"/>
            <w:hideMark/>
          </w:tcPr>
          <w:p w14:paraId="43A9E847" w14:textId="77777777" w:rsidR="001A5DAD" w:rsidRPr="00540F85" w:rsidRDefault="001A5DAD" w:rsidP="001A5DAD">
            <w:pPr>
              <w:jc w:val="left"/>
              <w:rPr>
                <w:rFonts w:asciiTheme="minorHAnsi" w:eastAsia="Times New Roman" w:hAnsiTheme="minorHAnsi" w:cstheme="minorHAnsi"/>
                <w:bCs/>
                <w:color w:val="000000"/>
                <w:sz w:val="16"/>
                <w:szCs w:val="16"/>
                <w:lang w:eastAsia="hr-HR"/>
              </w:rPr>
            </w:pPr>
          </w:p>
        </w:tc>
        <w:tc>
          <w:tcPr>
            <w:tcW w:w="993" w:type="dxa"/>
            <w:shd w:val="clear" w:color="auto" w:fill="99CCFF"/>
            <w:textDirection w:val="btLr"/>
            <w:vAlign w:val="center"/>
          </w:tcPr>
          <w:p w14:paraId="6840B2E6" w14:textId="77777777" w:rsidR="001A5DAD" w:rsidRPr="00540F85" w:rsidRDefault="001A5DAD" w:rsidP="001A5DAD">
            <w:pPr>
              <w:jc w:val="left"/>
              <w:rPr>
                <w:rFonts w:asciiTheme="minorHAnsi" w:eastAsia="Times New Roman" w:hAnsiTheme="minorHAnsi" w:cstheme="minorHAnsi"/>
                <w:color w:val="FF0000"/>
                <w:sz w:val="16"/>
                <w:szCs w:val="16"/>
                <w:lang w:eastAsia="hr-HR"/>
              </w:rPr>
            </w:pPr>
            <w:r w:rsidRPr="00540F85">
              <w:rPr>
                <w:rFonts w:asciiTheme="minorHAnsi" w:eastAsia="Times New Roman" w:hAnsiTheme="minorHAnsi" w:cstheme="minorHAnsi"/>
                <w:sz w:val="16"/>
                <w:szCs w:val="16"/>
                <w:lang w:eastAsia="hr-HR"/>
              </w:rPr>
              <w:t>Naknada za oduzetu imovinu</w:t>
            </w:r>
          </w:p>
        </w:tc>
        <w:tc>
          <w:tcPr>
            <w:tcW w:w="850" w:type="dxa"/>
            <w:vMerge/>
            <w:shd w:val="clear" w:color="auto" w:fill="99CCFF"/>
            <w:vAlign w:val="center"/>
            <w:hideMark/>
          </w:tcPr>
          <w:p w14:paraId="151C09DC" w14:textId="77777777" w:rsidR="001A5DAD" w:rsidRPr="00540F85" w:rsidRDefault="001A5DAD" w:rsidP="001A5DAD">
            <w:pPr>
              <w:jc w:val="left"/>
              <w:rPr>
                <w:rFonts w:asciiTheme="minorHAnsi" w:eastAsia="Times New Roman" w:hAnsiTheme="minorHAnsi" w:cstheme="minorHAnsi"/>
                <w:b/>
                <w:bCs/>
                <w:color w:val="000000"/>
                <w:sz w:val="16"/>
                <w:szCs w:val="16"/>
                <w:lang w:eastAsia="hr-HR"/>
              </w:rPr>
            </w:pPr>
          </w:p>
        </w:tc>
        <w:tc>
          <w:tcPr>
            <w:tcW w:w="709" w:type="dxa"/>
            <w:vMerge/>
            <w:shd w:val="clear" w:color="auto" w:fill="99CCFF"/>
            <w:vAlign w:val="center"/>
            <w:hideMark/>
          </w:tcPr>
          <w:p w14:paraId="6FB2EA67" w14:textId="77777777" w:rsidR="001A5DAD" w:rsidRPr="00540F85" w:rsidRDefault="001A5DAD" w:rsidP="001A5DAD">
            <w:pPr>
              <w:jc w:val="left"/>
              <w:rPr>
                <w:rFonts w:asciiTheme="minorHAnsi" w:eastAsia="Times New Roman" w:hAnsiTheme="minorHAnsi" w:cstheme="minorHAnsi"/>
                <w:b/>
                <w:bCs/>
                <w:color w:val="000000"/>
                <w:sz w:val="16"/>
                <w:szCs w:val="16"/>
                <w:lang w:eastAsia="hr-HR"/>
              </w:rPr>
            </w:pPr>
          </w:p>
        </w:tc>
        <w:tc>
          <w:tcPr>
            <w:tcW w:w="731" w:type="dxa"/>
            <w:vMerge/>
            <w:shd w:val="clear" w:color="auto" w:fill="99CCFF"/>
            <w:vAlign w:val="center"/>
            <w:hideMark/>
          </w:tcPr>
          <w:p w14:paraId="3DD75513" w14:textId="77777777" w:rsidR="001A5DAD" w:rsidRPr="00540F85" w:rsidRDefault="001A5DAD" w:rsidP="001A5DAD">
            <w:pPr>
              <w:jc w:val="left"/>
              <w:rPr>
                <w:rFonts w:asciiTheme="minorHAnsi" w:eastAsia="Times New Roman" w:hAnsiTheme="minorHAnsi" w:cstheme="minorHAnsi"/>
                <w:b/>
                <w:bCs/>
                <w:color w:val="000000"/>
                <w:sz w:val="16"/>
                <w:szCs w:val="16"/>
                <w:lang w:eastAsia="hr-HR"/>
              </w:rPr>
            </w:pPr>
          </w:p>
        </w:tc>
        <w:tc>
          <w:tcPr>
            <w:tcW w:w="709" w:type="dxa"/>
            <w:shd w:val="clear" w:color="auto" w:fill="99CCFF"/>
            <w:textDirection w:val="btLr"/>
            <w:vAlign w:val="center"/>
            <w:hideMark/>
          </w:tcPr>
          <w:p w14:paraId="08E783DC" w14:textId="2A676A52" w:rsidR="001A5DAD" w:rsidRPr="00540F85" w:rsidRDefault="001A5DAD" w:rsidP="001A5DAD">
            <w:pPr>
              <w:jc w:val="left"/>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Prijedlog</w:t>
            </w:r>
            <w:r w:rsidR="001B4CA2" w:rsidRPr="00540F85">
              <w:rPr>
                <w:rFonts w:asciiTheme="minorHAnsi" w:eastAsia="Times New Roman" w:hAnsiTheme="minorHAnsi" w:cstheme="minorHAnsi"/>
                <w:color w:val="000000"/>
                <w:sz w:val="16"/>
                <w:szCs w:val="16"/>
                <w:lang w:eastAsia="hr-HR"/>
              </w:rPr>
              <w:t xml:space="preserve"> </w:t>
            </w:r>
            <w:r w:rsidRPr="00540F85">
              <w:rPr>
                <w:rFonts w:asciiTheme="minorHAnsi" w:eastAsia="Times New Roman" w:hAnsiTheme="minorHAnsi" w:cstheme="minorHAnsi"/>
                <w:color w:val="000000"/>
                <w:sz w:val="16"/>
                <w:szCs w:val="16"/>
                <w:lang w:eastAsia="hr-HR"/>
              </w:rPr>
              <w:t>usvojen</w:t>
            </w:r>
          </w:p>
        </w:tc>
        <w:tc>
          <w:tcPr>
            <w:tcW w:w="709" w:type="dxa"/>
            <w:shd w:val="clear" w:color="auto" w:fill="99CCFF"/>
            <w:textDirection w:val="btLr"/>
            <w:vAlign w:val="center"/>
          </w:tcPr>
          <w:p w14:paraId="34BA4D1D" w14:textId="67BF10BD" w:rsidR="001A5DAD" w:rsidRPr="00540F85" w:rsidRDefault="001A5DAD" w:rsidP="001A5DAD">
            <w:pPr>
              <w:jc w:val="left"/>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Prijedlog</w:t>
            </w:r>
            <w:r w:rsidR="001B4CA2" w:rsidRPr="00540F85">
              <w:rPr>
                <w:rFonts w:asciiTheme="minorHAnsi" w:eastAsia="Times New Roman" w:hAnsiTheme="minorHAnsi" w:cstheme="minorHAnsi"/>
                <w:color w:val="000000"/>
                <w:sz w:val="16"/>
                <w:szCs w:val="16"/>
                <w:lang w:eastAsia="hr-HR"/>
              </w:rPr>
              <w:t xml:space="preserve"> </w:t>
            </w:r>
            <w:r w:rsidRPr="00540F85">
              <w:rPr>
                <w:rFonts w:asciiTheme="minorHAnsi" w:eastAsia="Times New Roman" w:hAnsiTheme="minorHAnsi" w:cstheme="minorHAnsi"/>
                <w:color w:val="000000"/>
                <w:sz w:val="16"/>
                <w:szCs w:val="16"/>
                <w:lang w:eastAsia="hr-HR"/>
              </w:rPr>
              <w:t>odbijen</w:t>
            </w:r>
          </w:p>
        </w:tc>
        <w:tc>
          <w:tcPr>
            <w:tcW w:w="708" w:type="dxa"/>
            <w:tcBorders>
              <w:right w:val="single" w:sz="4" w:space="0" w:color="auto"/>
            </w:tcBorders>
            <w:shd w:val="clear" w:color="auto" w:fill="99CCFF"/>
            <w:textDirection w:val="btLr"/>
            <w:vAlign w:val="center"/>
            <w:hideMark/>
          </w:tcPr>
          <w:p w14:paraId="6A2D223B" w14:textId="77777777" w:rsidR="001A5DAD" w:rsidRPr="00540F85" w:rsidRDefault="001A5DAD" w:rsidP="001A5DAD">
            <w:pP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Ostale odluke</w:t>
            </w:r>
          </w:p>
          <w:p w14:paraId="60872353" w14:textId="77777777" w:rsidR="001A5DAD" w:rsidRPr="00540F85" w:rsidRDefault="001A5DAD" w:rsidP="001A5DAD">
            <w:pPr>
              <w:jc w:val="left"/>
              <w:rPr>
                <w:rFonts w:asciiTheme="minorHAnsi" w:eastAsia="Times New Roman" w:hAnsiTheme="minorHAnsi" w:cstheme="minorHAnsi"/>
                <w:color w:val="000000"/>
                <w:sz w:val="16"/>
                <w:szCs w:val="16"/>
                <w:lang w:eastAsia="hr-HR"/>
              </w:rPr>
            </w:pPr>
          </w:p>
        </w:tc>
        <w:tc>
          <w:tcPr>
            <w:tcW w:w="851" w:type="dxa"/>
            <w:vMerge/>
            <w:tcBorders>
              <w:left w:val="single" w:sz="4" w:space="0" w:color="auto"/>
            </w:tcBorders>
            <w:shd w:val="clear" w:color="auto" w:fill="99CCFF"/>
            <w:vAlign w:val="center"/>
          </w:tcPr>
          <w:p w14:paraId="3B630497" w14:textId="77777777" w:rsidR="001A5DAD" w:rsidRPr="00540F85" w:rsidRDefault="001A5DAD" w:rsidP="001A5DAD">
            <w:pPr>
              <w:jc w:val="left"/>
              <w:rPr>
                <w:rFonts w:asciiTheme="minorHAnsi" w:eastAsia="Times New Roman" w:hAnsiTheme="minorHAnsi" w:cstheme="minorHAnsi"/>
                <w:bCs/>
                <w:color w:val="000000"/>
                <w:sz w:val="16"/>
                <w:szCs w:val="16"/>
                <w:lang w:eastAsia="hr-HR"/>
              </w:rPr>
            </w:pPr>
          </w:p>
        </w:tc>
        <w:tc>
          <w:tcPr>
            <w:tcW w:w="709" w:type="dxa"/>
            <w:vMerge/>
            <w:shd w:val="clear" w:color="auto" w:fill="99CCFF"/>
            <w:vAlign w:val="center"/>
          </w:tcPr>
          <w:p w14:paraId="60B3DBBC" w14:textId="77777777" w:rsidR="001A5DAD" w:rsidRPr="00540F85" w:rsidRDefault="001A5DAD" w:rsidP="001A5DAD">
            <w:pPr>
              <w:jc w:val="left"/>
              <w:rPr>
                <w:rFonts w:asciiTheme="minorHAnsi" w:eastAsia="Times New Roman" w:hAnsiTheme="minorHAnsi" w:cstheme="minorHAnsi"/>
                <w:bCs/>
                <w:sz w:val="16"/>
                <w:szCs w:val="16"/>
                <w:lang w:eastAsia="hr-HR"/>
              </w:rPr>
            </w:pPr>
          </w:p>
        </w:tc>
        <w:tc>
          <w:tcPr>
            <w:tcW w:w="708" w:type="dxa"/>
            <w:vMerge/>
            <w:shd w:val="clear" w:color="auto" w:fill="99CCFF"/>
            <w:vAlign w:val="center"/>
          </w:tcPr>
          <w:p w14:paraId="6F01B50E" w14:textId="77777777" w:rsidR="001A5DAD" w:rsidRPr="00540F85" w:rsidRDefault="001A5DAD" w:rsidP="001A5DAD">
            <w:pPr>
              <w:jc w:val="left"/>
              <w:rPr>
                <w:rFonts w:asciiTheme="minorHAnsi" w:eastAsia="Times New Roman" w:hAnsiTheme="minorHAnsi" w:cstheme="minorHAnsi"/>
                <w:bCs/>
                <w:sz w:val="16"/>
                <w:szCs w:val="16"/>
                <w:lang w:eastAsia="hr-HR"/>
              </w:rPr>
            </w:pPr>
          </w:p>
        </w:tc>
      </w:tr>
      <w:tr w:rsidR="001A5DAD" w:rsidRPr="001B4CA2" w14:paraId="33AF4B90" w14:textId="77777777" w:rsidTr="00540F85">
        <w:trPr>
          <w:trHeight w:val="397"/>
          <w:jc w:val="center"/>
        </w:trPr>
        <w:tc>
          <w:tcPr>
            <w:tcW w:w="709" w:type="dxa"/>
            <w:shd w:val="clear" w:color="auto" w:fill="auto"/>
            <w:noWrap/>
            <w:vAlign w:val="center"/>
          </w:tcPr>
          <w:p w14:paraId="1E76B1C7" w14:textId="77777777" w:rsidR="001A5DAD" w:rsidRPr="00540F85" w:rsidRDefault="001A5DAD" w:rsidP="001A5DAD">
            <w:pPr>
              <w:jc w:val="center"/>
              <w:rPr>
                <w:rFonts w:asciiTheme="minorHAnsi" w:eastAsia="Times New Roman" w:hAnsiTheme="minorHAnsi" w:cstheme="minorHAnsi"/>
                <w:bCs/>
                <w:color w:val="000000"/>
                <w:sz w:val="16"/>
                <w:szCs w:val="16"/>
                <w:lang w:eastAsia="hr-HR"/>
              </w:rPr>
            </w:pPr>
            <w:r w:rsidRPr="00540F85">
              <w:rPr>
                <w:rFonts w:asciiTheme="minorHAnsi" w:eastAsia="Times New Roman" w:hAnsiTheme="minorHAnsi" w:cstheme="minorHAnsi"/>
                <w:bCs/>
                <w:color w:val="000000"/>
                <w:sz w:val="16"/>
                <w:szCs w:val="16"/>
                <w:lang w:eastAsia="hr-HR"/>
              </w:rPr>
              <w:t>2020.</w:t>
            </w:r>
          </w:p>
        </w:tc>
        <w:tc>
          <w:tcPr>
            <w:tcW w:w="850" w:type="dxa"/>
            <w:shd w:val="clear" w:color="auto" w:fill="auto"/>
            <w:noWrap/>
            <w:vAlign w:val="center"/>
          </w:tcPr>
          <w:p w14:paraId="4A8EF3A9" w14:textId="77777777" w:rsidR="001A5DAD" w:rsidRPr="00540F85" w:rsidRDefault="001A5DAD" w:rsidP="001A5DAD">
            <w:pPr>
              <w:jc w:val="cente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421</w:t>
            </w:r>
          </w:p>
        </w:tc>
        <w:tc>
          <w:tcPr>
            <w:tcW w:w="993" w:type="dxa"/>
            <w:shd w:val="clear" w:color="auto" w:fill="auto"/>
            <w:noWrap/>
            <w:vAlign w:val="center"/>
          </w:tcPr>
          <w:p w14:paraId="69268876" w14:textId="77777777" w:rsidR="001A5DAD" w:rsidRPr="00540F85" w:rsidRDefault="001A5DAD" w:rsidP="001A5DAD">
            <w:pPr>
              <w:jc w:val="cente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125</w:t>
            </w:r>
          </w:p>
        </w:tc>
        <w:tc>
          <w:tcPr>
            <w:tcW w:w="850" w:type="dxa"/>
            <w:vAlign w:val="center"/>
          </w:tcPr>
          <w:p w14:paraId="064E108E" w14:textId="77777777" w:rsidR="001A5DAD" w:rsidRPr="00540F85" w:rsidRDefault="001A5DAD" w:rsidP="001A5DAD">
            <w:pPr>
              <w:jc w:val="cente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546</w:t>
            </w:r>
          </w:p>
        </w:tc>
        <w:tc>
          <w:tcPr>
            <w:tcW w:w="709" w:type="dxa"/>
            <w:shd w:val="clear" w:color="auto" w:fill="auto"/>
            <w:noWrap/>
            <w:vAlign w:val="center"/>
          </w:tcPr>
          <w:p w14:paraId="7BDDCA75" w14:textId="77777777" w:rsidR="001A5DAD" w:rsidRPr="00540F85" w:rsidRDefault="001A5DAD" w:rsidP="001A5DAD">
            <w:pPr>
              <w:jc w:val="cente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521</w:t>
            </w:r>
          </w:p>
        </w:tc>
        <w:tc>
          <w:tcPr>
            <w:tcW w:w="731" w:type="dxa"/>
            <w:shd w:val="clear" w:color="auto" w:fill="auto"/>
            <w:noWrap/>
            <w:vAlign w:val="center"/>
          </w:tcPr>
          <w:p w14:paraId="06ACF786" w14:textId="77777777" w:rsidR="001A5DAD" w:rsidRPr="00540F85" w:rsidRDefault="001A5DAD" w:rsidP="001A5DAD">
            <w:pPr>
              <w:jc w:val="cente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596</w:t>
            </w:r>
          </w:p>
        </w:tc>
        <w:tc>
          <w:tcPr>
            <w:tcW w:w="709" w:type="dxa"/>
            <w:shd w:val="clear" w:color="auto" w:fill="auto"/>
            <w:noWrap/>
            <w:vAlign w:val="center"/>
          </w:tcPr>
          <w:p w14:paraId="34A07D76"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334</w:t>
            </w:r>
          </w:p>
        </w:tc>
        <w:tc>
          <w:tcPr>
            <w:tcW w:w="709" w:type="dxa"/>
            <w:vAlign w:val="center"/>
          </w:tcPr>
          <w:p w14:paraId="0BF9F109"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82</w:t>
            </w:r>
          </w:p>
        </w:tc>
        <w:tc>
          <w:tcPr>
            <w:tcW w:w="708" w:type="dxa"/>
            <w:shd w:val="clear" w:color="auto" w:fill="auto"/>
            <w:noWrap/>
            <w:vAlign w:val="center"/>
          </w:tcPr>
          <w:p w14:paraId="0EA09F98"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128</w:t>
            </w:r>
          </w:p>
        </w:tc>
        <w:tc>
          <w:tcPr>
            <w:tcW w:w="851" w:type="dxa"/>
            <w:vAlign w:val="center"/>
          </w:tcPr>
          <w:p w14:paraId="43173BF9" w14:textId="77777777" w:rsidR="001A5DAD" w:rsidRPr="00540F85" w:rsidRDefault="001A5DAD" w:rsidP="001A5DAD">
            <w:pPr>
              <w:jc w:val="cente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1.474</w:t>
            </w:r>
          </w:p>
        </w:tc>
        <w:tc>
          <w:tcPr>
            <w:tcW w:w="709" w:type="dxa"/>
            <w:vAlign w:val="center"/>
          </w:tcPr>
          <w:p w14:paraId="6D648A4F" w14:textId="77777777" w:rsidR="001A5DAD" w:rsidRPr="00540F85" w:rsidRDefault="001A5DAD" w:rsidP="001A5DAD">
            <w:pPr>
              <w:jc w:val="center"/>
              <w:rPr>
                <w:rFonts w:asciiTheme="minorHAnsi" w:eastAsia="Times New Roman" w:hAnsiTheme="minorHAnsi" w:cstheme="minorHAnsi"/>
                <w:sz w:val="16"/>
                <w:szCs w:val="16"/>
                <w:lang w:eastAsia="hr-HR"/>
              </w:rPr>
            </w:pPr>
            <w:r w:rsidRPr="00540F85">
              <w:rPr>
                <w:rFonts w:asciiTheme="minorHAnsi" w:eastAsia="Times New Roman" w:hAnsiTheme="minorHAnsi" w:cstheme="minorHAnsi"/>
                <w:sz w:val="16"/>
                <w:szCs w:val="16"/>
                <w:lang w:eastAsia="hr-HR"/>
              </w:rPr>
              <w:t>63</w:t>
            </w:r>
          </w:p>
        </w:tc>
        <w:tc>
          <w:tcPr>
            <w:tcW w:w="708" w:type="dxa"/>
            <w:vAlign w:val="center"/>
          </w:tcPr>
          <w:p w14:paraId="451AE425" w14:textId="77777777" w:rsidR="001A5DAD" w:rsidRPr="00540F85" w:rsidRDefault="001A5DAD" w:rsidP="001A5DAD">
            <w:pPr>
              <w:jc w:val="center"/>
              <w:rPr>
                <w:rFonts w:asciiTheme="minorHAnsi" w:eastAsia="Times New Roman" w:hAnsiTheme="minorHAnsi" w:cstheme="minorHAnsi"/>
                <w:sz w:val="16"/>
                <w:szCs w:val="16"/>
                <w:lang w:eastAsia="hr-HR"/>
              </w:rPr>
            </w:pPr>
            <w:r w:rsidRPr="00540F85">
              <w:rPr>
                <w:rFonts w:asciiTheme="minorHAnsi" w:eastAsia="Times New Roman" w:hAnsiTheme="minorHAnsi" w:cstheme="minorHAnsi"/>
                <w:sz w:val="16"/>
                <w:szCs w:val="16"/>
                <w:lang w:eastAsia="hr-HR"/>
              </w:rPr>
              <w:t>2</w:t>
            </w:r>
          </w:p>
        </w:tc>
      </w:tr>
      <w:tr w:rsidR="001A5DAD" w:rsidRPr="001B4CA2" w14:paraId="20AEA6F3" w14:textId="77777777" w:rsidTr="00540F85">
        <w:trPr>
          <w:trHeight w:val="397"/>
          <w:jc w:val="center"/>
        </w:trPr>
        <w:tc>
          <w:tcPr>
            <w:tcW w:w="709" w:type="dxa"/>
            <w:shd w:val="clear" w:color="auto" w:fill="auto"/>
            <w:noWrap/>
            <w:vAlign w:val="center"/>
          </w:tcPr>
          <w:p w14:paraId="66F2B145" w14:textId="77777777" w:rsidR="001A5DAD" w:rsidRPr="00540F85" w:rsidRDefault="001A5DAD" w:rsidP="001A5DAD">
            <w:pPr>
              <w:jc w:val="center"/>
              <w:rPr>
                <w:rFonts w:asciiTheme="minorHAnsi" w:eastAsia="Times New Roman" w:hAnsiTheme="minorHAnsi" w:cstheme="minorHAnsi"/>
                <w:bCs/>
                <w:color w:val="000000"/>
                <w:sz w:val="16"/>
                <w:szCs w:val="16"/>
                <w:lang w:eastAsia="hr-HR"/>
              </w:rPr>
            </w:pPr>
            <w:r w:rsidRPr="00540F85">
              <w:rPr>
                <w:rFonts w:asciiTheme="minorHAnsi" w:eastAsia="Times New Roman" w:hAnsiTheme="minorHAnsi" w:cstheme="minorHAnsi"/>
                <w:bCs/>
                <w:color w:val="000000"/>
                <w:sz w:val="16"/>
                <w:szCs w:val="16"/>
                <w:lang w:eastAsia="hr-HR"/>
              </w:rPr>
              <w:t>2021.</w:t>
            </w:r>
          </w:p>
        </w:tc>
        <w:tc>
          <w:tcPr>
            <w:tcW w:w="850" w:type="dxa"/>
            <w:shd w:val="clear" w:color="auto" w:fill="auto"/>
            <w:noWrap/>
            <w:vAlign w:val="center"/>
          </w:tcPr>
          <w:p w14:paraId="07879BBB" w14:textId="77777777" w:rsidR="001A5DAD" w:rsidRPr="00540F85" w:rsidRDefault="001A5DAD" w:rsidP="001A5DAD">
            <w:pPr>
              <w:jc w:val="cente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73</w:t>
            </w:r>
          </w:p>
        </w:tc>
        <w:tc>
          <w:tcPr>
            <w:tcW w:w="993" w:type="dxa"/>
            <w:shd w:val="clear" w:color="auto" w:fill="auto"/>
            <w:noWrap/>
            <w:vAlign w:val="center"/>
          </w:tcPr>
          <w:p w14:paraId="786E0B7A"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535</w:t>
            </w:r>
          </w:p>
        </w:tc>
        <w:tc>
          <w:tcPr>
            <w:tcW w:w="850" w:type="dxa"/>
            <w:vAlign w:val="center"/>
          </w:tcPr>
          <w:p w14:paraId="30BB5084"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608</w:t>
            </w:r>
          </w:p>
        </w:tc>
        <w:tc>
          <w:tcPr>
            <w:tcW w:w="709" w:type="dxa"/>
            <w:shd w:val="clear" w:color="auto" w:fill="auto"/>
            <w:noWrap/>
            <w:vAlign w:val="center"/>
          </w:tcPr>
          <w:p w14:paraId="1D0CA1E9" w14:textId="77777777" w:rsidR="001A5DAD" w:rsidRPr="00540F85" w:rsidRDefault="001A5DAD" w:rsidP="001A5DAD">
            <w:pPr>
              <w:jc w:val="cente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617</w:t>
            </w:r>
          </w:p>
        </w:tc>
        <w:tc>
          <w:tcPr>
            <w:tcW w:w="731" w:type="dxa"/>
            <w:shd w:val="clear" w:color="auto" w:fill="auto"/>
            <w:noWrap/>
            <w:vAlign w:val="center"/>
          </w:tcPr>
          <w:p w14:paraId="08AC25D7" w14:textId="77777777" w:rsidR="001A5DAD" w:rsidRPr="00540F85" w:rsidRDefault="001A5DAD" w:rsidP="001A5DAD">
            <w:pPr>
              <w:jc w:val="cente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682</w:t>
            </w:r>
          </w:p>
        </w:tc>
        <w:tc>
          <w:tcPr>
            <w:tcW w:w="709" w:type="dxa"/>
            <w:shd w:val="clear" w:color="auto" w:fill="auto"/>
            <w:noWrap/>
            <w:vAlign w:val="center"/>
          </w:tcPr>
          <w:p w14:paraId="4F345370"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198</w:t>
            </w:r>
          </w:p>
        </w:tc>
        <w:tc>
          <w:tcPr>
            <w:tcW w:w="709" w:type="dxa"/>
            <w:vAlign w:val="center"/>
          </w:tcPr>
          <w:p w14:paraId="2571E195"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52</w:t>
            </w:r>
          </w:p>
        </w:tc>
        <w:tc>
          <w:tcPr>
            <w:tcW w:w="708" w:type="dxa"/>
            <w:shd w:val="clear" w:color="auto" w:fill="auto"/>
            <w:noWrap/>
            <w:vAlign w:val="center"/>
          </w:tcPr>
          <w:p w14:paraId="1CE7C834"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60</w:t>
            </w:r>
          </w:p>
        </w:tc>
        <w:tc>
          <w:tcPr>
            <w:tcW w:w="851" w:type="dxa"/>
            <w:vAlign w:val="center"/>
          </w:tcPr>
          <w:p w14:paraId="02F839C7" w14:textId="77777777" w:rsidR="001A5DAD" w:rsidRPr="00540F85" w:rsidRDefault="001A5DAD" w:rsidP="001A5DAD">
            <w:pPr>
              <w:jc w:val="cente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1.324</w:t>
            </w:r>
          </w:p>
        </w:tc>
        <w:tc>
          <w:tcPr>
            <w:tcW w:w="709" w:type="dxa"/>
            <w:vAlign w:val="center"/>
          </w:tcPr>
          <w:p w14:paraId="07CD3454"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72</w:t>
            </w:r>
          </w:p>
        </w:tc>
        <w:tc>
          <w:tcPr>
            <w:tcW w:w="708" w:type="dxa"/>
            <w:vAlign w:val="center"/>
          </w:tcPr>
          <w:p w14:paraId="665D345C"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24</w:t>
            </w:r>
          </w:p>
        </w:tc>
      </w:tr>
      <w:tr w:rsidR="001A5DAD" w:rsidRPr="001B4CA2" w14:paraId="7C41750E" w14:textId="77777777" w:rsidTr="00540F85">
        <w:trPr>
          <w:trHeight w:val="397"/>
          <w:jc w:val="center"/>
        </w:trPr>
        <w:tc>
          <w:tcPr>
            <w:tcW w:w="709" w:type="dxa"/>
            <w:shd w:val="clear" w:color="auto" w:fill="auto"/>
            <w:noWrap/>
            <w:vAlign w:val="center"/>
          </w:tcPr>
          <w:p w14:paraId="6747744B" w14:textId="77777777" w:rsidR="001A5DAD" w:rsidRPr="00540F85" w:rsidRDefault="001A5DAD" w:rsidP="001A5DAD">
            <w:pPr>
              <w:jc w:val="center"/>
              <w:rPr>
                <w:rFonts w:asciiTheme="minorHAnsi" w:eastAsia="Times New Roman" w:hAnsiTheme="minorHAnsi" w:cstheme="minorHAnsi"/>
                <w:bCs/>
                <w:color w:val="000000"/>
                <w:sz w:val="16"/>
                <w:szCs w:val="16"/>
                <w:lang w:eastAsia="hr-HR"/>
              </w:rPr>
            </w:pPr>
            <w:r w:rsidRPr="00540F85">
              <w:rPr>
                <w:rFonts w:asciiTheme="minorHAnsi" w:eastAsia="Times New Roman" w:hAnsiTheme="minorHAnsi" w:cstheme="minorHAnsi"/>
                <w:bCs/>
                <w:color w:val="000000"/>
                <w:sz w:val="16"/>
                <w:szCs w:val="16"/>
                <w:lang w:eastAsia="hr-HR"/>
              </w:rPr>
              <w:t>2022.</w:t>
            </w:r>
          </w:p>
        </w:tc>
        <w:tc>
          <w:tcPr>
            <w:tcW w:w="850" w:type="dxa"/>
            <w:shd w:val="clear" w:color="auto" w:fill="auto"/>
            <w:noWrap/>
            <w:vAlign w:val="center"/>
          </w:tcPr>
          <w:p w14:paraId="3B454E0B" w14:textId="77777777" w:rsidR="001A5DAD" w:rsidRPr="00540F85" w:rsidRDefault="001A5DAD" w:rsidP="001A5DAD">
            <w:pPr>
              <w:jc w:val="cente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25</w:t>
            </w:r>
          </w:p>
        </w:tc>
        <w:tc>
          <w:tcPr>
            <w:tcW w:w="993" w:type="dxa"/>
            <w:shd w:val="clear" w:color="auto" w:fill="auto"/>
            <w:noWrap/>
            <w:vAlign w:val="center"/>
          </w:tcPr>
          <w:p w14:paraId="6CCFCBF1"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282</w:t>
            </w:r>
          </w:p>
        </w:tc>
        <w:tc>
          <w:tcPr>
            <w:tcW w:w="850" w:type="dxa"/>
            <w:vAlign w:val="center"/>
          </w:tcPr>
          <w:p w14:paraId="7ACFD57B"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307</w:t>
            </w:r>
          </w:p>
        </w:tc>
        <w:tc>
          <w:tcPr>
            <w:tcW w:w="709" w:type="dxa"/>
            <w:shd w:val="clear" w:color="auto" w:fill="auto"/>
            <w:noWrap/>
            <w:vAlign w:val="center"/>
          </w:tcPr>
          <w:p w14:paraId="123DD67C" w14:textId="77777777" w:rsidR="001A5DAD" w:rsidRPr="00540F85" w:rsidRDefault="001A5DAD" w:rsidP="001A5DAD">
            <w:pPr>
              <w:jc w:val="cente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308</w:t>
            </w:r>
          </w:p>
        </w:tc>
        <w:tc>
          <w:tcPr>
            <w:tcW w:w="731" w:type="dxa"/>
            <w:shd w:val="clear" w:color="auto" w:fill="auto"/>
            <w:noWrap/>
            <w:vAlign w:val="center"/>
          </w:tcPr>
          <w:p w14:paraId="6959FDD4" w14:textId="77777777" w:rsidR="001A5DAD" w:rsidRPr="00540F85" w:rsidRDefault="001A5DAD" w:rsidP="001A5DAD">
            <w:pPr>
              <w:jc w:val="center"/>
              <w:rPr>
                <w:rFonts w:asciiTheme="minorHAnsi" w:eastAsia="Times New Roman" w:hAnsiTheme="minorHAnsi" w:cstheme="minorHAnsi"/>
                <w:color w:val="000000"/>
                <w:sz w:val="16"/>
                <w:szCs w:val="16"/>
                <w:lang w:eastAsia="hr-HR"/>
              </w:rPr>
            </w:pPr>
            <w:r w:rsidRPr="00540F85">
              <w:rPr>
                <w:rFonts w:asciiTheme="minorHAnsi" w:eastAsia="Times New Roman" w:hAnsiTheme="minorHAnsi" w:cstheme="minorHAnsi"/>
                <w:color w:val="000000"/>
                <w:sz w:val="16"/>
                <w:szCs w:val="16"/>
                <w:lang w:eastAsia="hr-HR"/>
              </w:rPr>
              <w:t>599</w:t>
            </w:r>
          </w:p>
        </w:tc>
        <w:tc>
          <w:tcPr>
            <w:tcW w:w="709" w:type="dxa"/>
            <w:shd w:val="clear" w:color="auto" w:fill="auto"/>
            <w:noWrap/>
            <w:vAlign w:val="center"/>
          </w:tcPr>
          <w:p w14:paraId="3C6BA35B"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217</w:t>
            </w:r>
          </w:p>
        </w:tc>
        <w:tc>
          <w:tcPr>
            <w:tcW w:w="709" w:type="dxa"/>
            <w:vAlign w:val="center"/>
          </w:tcPr>
          <w:p w14:paraId="08669EC6"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35</w:t>
            </w:r>
          </w:p>
        </w:tc>
        <w:tc>
          <w:tcPr>
            <w:tcW w:w="708" w:type="dxa"/>
            <w:shd w:val="clear" w:color="auto" w:fill="auto"/>
            <w:noWrap/>
            <w:vAlign w:val="center"/>
          </w:tcPr>
          <w:p w14:paraId="63E5B4B2"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47</w:t>
            </w:r>
          </w:p>
        </w:tc>
        <w:tc>
          <w:tcPr>
            <w:tcW w:w="851" w:type="dxa"/>
            <w:vAlign w:val="center"/>
          </w:tcPr>
          <w:p w14:paraId="7E51F54A"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2.940</w:t>
            </w:r>
          </w:p>
        </w:tc>
        <w:tc>
          <w:tcPr>
            <w:tcW w:w="709" w:type="dxa"/>
            <w:vAlign w:val="center"/>
          </w:tcPr>
          <w:p w14:paraId="293C15EA"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65</w:t>
            </w:r>
          </w:p>
        </w:tc>
        <w:tc>
          <w:tcPr>
            <w:tcW w:w="708" w:type="dxa"/>
            <w:vAlign w:val="center"/>
          </w:tcPr>
          <w:p w14:paraId="01217992" w14:textId="77777777" w:rsidR="001A5DAD" w:rsidRPr="00540F85" w:rsidRDefault="001A5DAD" w:rsidP="001A5DAD">
            <w:pPr>
              <w:jc w:val="center"/>
              <w:rPr>
                <w:rFonts w:asciiTheme="minorHAnsi" w:hAnsiTheme="minorHAnsi" w:cstheme="minorHAnsi"/>
                <w:sz w:val="16"/>
                <w:szCs w:val="16"/>
              </w:rPr>
            </w:pPr>
            <w:r w:rsidRPr="00540F85">
              <w:rPr>
                <w:rFonts w:asciiTheme="minorHAnsi" w:hAnsiTheme="minorHAnsi" w:cstheme="minorHAnsi"/>
                <w:sz w:val="16"/>
                <w:szCs w:val="16"/>
              </w:rPr>
              <w:t>11</w:t>
            </w:r>
          </w:p>
        </w:tc>
      </w:tr>
    </w:tbl>
    <w:p w14:paraId="7634A1EE" w14:textId="77777777" w:rsidR="001A5DAD" w:rsidRPr="001B4CA2" w:rsidRDefault="001A5DAD" w:rsidP="001A5DAD">
      <w:pPr>
        <w:rPr>
          <w:szCs w:val="22"/>
        </w:rPr>
      </w:pPr>
    </w:p>
    <w:p w14:paraId="5C3518FA" w14:textId="67E4F7C7" w:rsidR="001A5DAD" w:rsidRPr="001B4CA2" w:rsidRDefault="001A5DAD" w:rsidP="001A5DAD">
      <w:pPr>
        <w:rPr>
          <w:szCs w:val="22"/>
        </w:rPr>
      </w:pPr>
      <w:r w:rsidRPr="001B4CA2">
        <w:rPr>
          <w:szCs w:val="22"/>
        </w:rPr>
        <w:tab/>
        <w:t>Tijekom izvještajne godine općinska državna odvjetništva imala su u radu 307 predmeta naknade za oduzetu imovinu</w:t>
      </w:r>
      <w:r w:rsidR="00436C25">
        <w:rPr>
          <w:szCs w:val="22"/>
        </w:rPr>
        <w:t>,</w:t>
      </w:r>
      <w:r w:rsidRPr="001B4CA2">
        <w:rPr>
          <w:szCs w:val="22"/>
        </w:rPr>
        <w:t xml:space="preserve"> što u odnosu na prethodnu godinu čini smanjenje od 50</w:t>
      </w:r>
      <w:r w:rsidR="00436C25">
        <w:rPr>
          <w:szCs w:val="22"/>
        </w:rPr>
        <w:t> </w:t>
      </w:r>
      <w:r w:rsidRPr="001B4CA2">
        <w:rPr>
          <w:szCs w:val="22"/>
        </w:rPr>
        <w:t xml:space="preserve">%. </w:t>
      </w:r>
      <w:r w:rsidR="00436C25">
        <w:rPr>
          <w:szCs w:val="22"/>
        </w:rPr>
        <w:t>S o</w:t>
      </w:r>
      <w:r w:rsidRPr="001B4CA2">
        <w:rPr>
          <w:szCs w:val="22"/>
        </w:rPr>
        <w:t xml:space="preserve">bzirom na protek </w:t>
      </w:r>
      <w:proofErr w:type="spellStart"/>
      <w:r w:rsidRPr="001B4CA2">
        <w:rPr>
          <w:szCs w:val="22"/>
        </w:rPr>
        <w:t>prekluzivnog</w:t>
      </w:r>
      <w:proofErr w:type="spellEnd"/>
      <w:r w:rsidRPr="001B4CA2">
        <w:rPr>
          <w:szCs w:val="22"/>
        </w:rPr>
        <w:t xml:space="preserve"> roka za podnošenje zahtjeva za povrat, ovo je </w:t>
      </w:r>
      <w:r w:rsidR="00436C25" w:rsidRPr="001B4CA2">
        <w:rPr>
          <w:szCs w:val="22"/>
        </w:rPr>
        <w:t xml:space="preserve">smanjenje </w:t>
      </w:r>
      <w:r w:rsidRPr="001B4CA2">
        <w:rPr>
          <w:szCs w:val="22"/>
        </w:rPr>
        <w:t>očekivano.</w:t>
      </w:r>
    </w:p>
    <w:p w14:paraId="7C0C0FD9" w14:textId="77777777" w:rsidR="001A5DAD" w:rsidRPr="001B4CA2" w:rsidRDefault="001A5DAD" w:rsidP="001A5DAD">
      <w:pPr>
        <w:rPr>
          <w:szCs w:val="22"/>
        </w:rPr>
      </w:pPr>
    </w:p>
    <w:p w14:paraId="75C900A6" w14:textId="4C3C7DCD" w:rsidR="001A5DAD" w:rsidRPr="001B4CA2" w:rsidRDefault="001A5DAD" w:rsidP="001A5DAD">
      <w:pPr>
        <w:rPr>
          <w:rFonts w:asciiTheme="minorHAnsi" w:eastAsia="Arial" w:hAnsiTheme="minorHAnsi"/>
        </w:rPr>
      </w:pPr>
      <w:r w:rsidRPr="001B4CA2">
        <w:rPr>
          <w:szCs w:val="22"/>
        </w:rPr>
        <w:tab/>
        <w:t>Velik broj predmeta u kojima javnopravno tijelo nije donijelo prvostupanjsku odluku posljedica</w:t>
      </w:r>
      <w:r w:rsidRPr="001B4CA2">
        <w:rPr>
          <w:rFonts w:asciiTheme="minorHAnsi" w:eastAsia="Arial" w:hAnsiTheme="minorHAnsi"/>
        </w:rPr>
        <w:t xml:space="preserve"> je dugotrajnosti ovih postupaka</w:t>
      </w:r>
      <w:r w:rsidR="00436C25">
        <w:rPr>
          <w:rFonts w:asciiTheme="minorHAnsi" w:eastAsia="Arial" w:hAnsiTheme="minorHAnsi"/>
        </w:rPr>
        <w:t>,</w:t>
      </w:r>
      <w:r w:rsidRPr="001B4CA2">
        <w:rPr>
          <w:rFonts w:asciiTheme="minorHAnsi" w:eastAsia="Arial" w:hAnsiTheme="minorHAnsi"/>
        </w:rPr>
        <w:t xml:space="preserve"> što je u znatnoj mjeri rezultat neažurnosti prvostupanjskih i drugostupanjskih tijela, </w:t>
      </w:r>
      <w:r w:rsidR="00436C25">
        <w:rPr>
          <w:rFonts w:asciiTheme="minorHAnsi" w:eastAsia="Arial" w:hAnsiTheme="minorHAnsi"/>
        </w:rPr>
        <w:t>ali</w:t>
      </w:r>
      <w:r w:rsidRPr="001B4CA2">
        <w:rPr>
          <w:rFonts w:asciiTheme="minorHAnsi" w:eastAsia="Arial" w:hAnsiTheme="minorHAnsi"/>
        </w:rPr>
        <w:t xml:space="preserve"> i neaktivnosti samih </w:t>
      </w:r>
      <w:r w:rsidRPr="001B4CA2">
        <w:rPr>
          <w:rFonts w:asciiTheme="minorHAnsi" w:eastAsia="Arial" w:hAnsiTheme="minorHAnsi"/>
        </w:rPr>
        <w:lastRenderedPageBreak/>
        <w:t xml:space="preserve">podnositelja prijedloga. Naime, prijašnji vlasnici uz svoje prijedloge za povrat nisu priložili potpunu dokumentaciju, što je uglavnom posljedica nedostatka isprava temeljem kojih je prijašnjim vlasnicima oduzeta imovina kao i problema vezanih za identifikaciju nekretnina koje su oduzete. </w:t>
      </w:r>
    </w:p>
    <w:p w14:paraId="3B2AD438" w14:textId="77777777" w:rsidR="001A5DAD" w:rsidRPr="001B4CA2" w:rsidRDefault="001A5DAD" w:rsidP="001A5DAD">
      <w:pPr>
        <w:rPr>
          <w:rFonts w:asciiTheme="minorHAnsi" w:eastAsia="Arial" w:hAnsiTheme="minorHAnsi"/>
        </w:rPr>
      </w:pPr>
    </w:p>
    <w:p w14:paraId="751C422E" w14:textId="47B2F22C" w:rsidR="001A5DAD" w:rsidRPr="001B4CA2" w:rsidRDefault="001A5DAD" w:rsidP="001A5DAD">
      <w:pPr>
        <w:rPr>
          <w:szCs w:val="22"/>
        </w:rPr>
      </w:pPr>
      <w:r w:rsidRPr="001B4CA2">
        <w:rPr>
          <w:rFonts w:asciiTheme="minorHAnsi" w:eastAsia="Arial" w:hAnsiTheme="minorHAnsi"/>
        </w:rPr>
        <w:tab/>
        <w:t>Zastupano je na 599 upravnih ročišta te je izjavljeno 65 pravnih lijekova.</w:t>
      </w:r>
    </w:p>
    <w:p w14:paraId="01073257" w14:textId="77777777" w:rsidR="007379D7" w:rsidRPr="001B4CA2" w:rsidRDefault="007379D7" w:rsidP="007379D7"/>
    <w:p w14:paraId="2704642B" w14:textId="1946F87B" w:rsidR="007A393B" w:rsidRPr="001B4CA2" w:rsidRDefault="00C81134" w:rsidP="009E6D91">
      <w:pPr>
        <w:pStyle w:val="Naslov4"/>
        <w:ind w:left="426"/>
        <w:rPr>
          <w:rFonts w:ascii="Arial" w:hAnsi="Arial" w:cs="Arial"/>
        </w:rPr>
      </w:pPr>
      <w:bookmarkStart w:id="72" w:name="_Toc133394332"/>
      <w:r w:rsidRPr="001B4CA2">
        <w:rPr>
          <w:rFonts w:ascii="Arial" w:hAnsi="Arial" w:cs="Arial"/>
        </w:rPr>
        <w:t>Odluke u ostalim predmetima</w:t>
      </w:r>
      <w:r w:rsidR="007D12C6" w:rsidRPr="001B4CA2">
        <w:rPr>
          <w:rFonts w:ascii="Arial" w:hAnsi="Arial" w:cs="Arial"/>
        </w:rPr>
        <w:t xml:space="preserve"> (adhezijski predmeti i pravna mišljenja)</w:t>
      </w:r>
      <w:bookmarkEnd w:id="72"/>
    </w:p>
    <w:p w14:paraId="680D2C0E" w14:textId="77777777" w:rsidR="00FF72E7" w:rsidRPr="001B4CA2" w:rsidRDefault="00FF72E7" w:rsidP="00B121A8"/>
    <w:p w14:paraId="79D55163" w14:textId="7E244EC6" w:rsidR="001A5DAD" w:rsidRPr="001B4CA2" w:rsidRDefault="001A5DAD" w:rsidP="001A5DAD">
      <w:pPr>
        <w:pStyle w:val="Odlomakpopisa"/>
        <w:numPr>
          <w:ilvl w:val="0"/>
          <w:numId w:val="40"/>
        </w:numPr>
        <w:rPr>
          <w:rFonts w:asciiTheme="minorHAnsi" w:hAnsiTheme="minorHAnsi" w:cstheme="minorBidi"/>
          <w:i/>
          <w:szCs w:val="22"/>
        </w:rPr>
      </w:pPr>
      <w:r w:rsidRPr="001B4CA2">
        <w:rPr>
          <w:rFonts w:asciiTheme="minorHAnsi" w:hAnsiTheme="minorHAnsi" w:cstheme="minorBidi"/>
          <w:i/>
          <w:szCs w:val="22"/>
        </w:rPr>
        <w:t xml:space="preserve"> Adhezijski predmeti 2018. – 2022. </w:t>
      </w: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50"/>
        <w:gridCol w:w="965"/>
        <w:gridCol w:w="825"/>
        <w:gridCol w:w="1045"/>
        <w:gridCol w:w="1557"/>
        <w:gridCol w:w="1133"/>
        <w:gridCol w:w="840"/>
        <w:gridCol w:w="1020"/>
      </w:tblGrid>
      <w:tr w:rsidR="00540F85" w:rsidRPr="001B4CA2" w14:paraId="392C8C92" w14:textId="77777777" w:rsidTr="00540F85">
        <w:trPr>
          <w:trHeight w:val="633"/>
          <w:jc w:val="center"/>
        </w:trPr>
        <w:tc>
          <w:tcPr>
            <w:tcW w:w="399" w:type="pct"/>
            <w:vMerge w:val="restart"/>
            <w:shd w:val="clear" w:color="auto" w:fill="99CCFF"/>
            <w:noWrap/>
            <w:textDirection w:val="btLr"/>
            <w:vAlign w:val="center"/>
            <w:hideMark/>
          </w:tcPr>
          <w:p w14:paraId="07A03828" w14:textId="77777777" w:rsidR="001A5DAD" w:rsidRPr="001B4CA2" w:rsidRDefault="001A5DAD" w:rsidP="00540F85">
            <w:pPr>
              <w:ind w:left="113" w:right="113"/>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475" w:type="pct"/>
            <w:vMerge w:val="restart"/>
            <w:shd w:val="clear" w:color="auto" w:fill="99CCFF"/>
            <w:vAlign w:val="center"/>
            <w:hideMark/>
          </w:tcPr>
          <w:p w14:paraId="28970D4E" w14:textId="77777777" w:rsidR="001A5DAD" w:rsidRPr="00540F85" w:rsidRDefault="001A5DAD" w:rsidP="001A5DAD">
            <w:pPr>
              <w:jc w:val="center"/>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Ostalo u radu u DO</w:t>
            </w:r>
          </w:p>
        </w:tc>
        <w:tc>
          <w:tcPr>
            <w:tcW w:w="539" w:type="pct"/>
            <w:vMerge w:val="restart"/>
            <w:shd w:val="clear" w:color="auto" w:fill="99CCFF"/>
            <w:vAlign w:val="center"/>
            <w:hideMark/>
          </w:tcPr>
          <w:p w14:paraId="45E63AB5" w14:textId="77777777" w:rsidR="001A5DAD" w:rsidRPr="00540F85" w:rsidRDefault="001A5DAD" w:rsidP="001A5DAD">
            <w:pPr>
              <w:jc w:val="center"/>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Primljeno novih predmeta</w:t>
            </w:r>
          </w:p>
        </w:tc>
        <w:tc>
          <w:tcPr>
            <w:tcW w:w="461" w:type="pct"/>
            <w:vMerge w:val="restart"/>
            <w:shd w:val="clear" w:color="auto" w:fill="99CCFF"/>
            <w:vAlign w:val="center"/>
            <w:hideMark/>
          </w:tcPr>
          <w:p w14:paraId="2C6715A3" w14:textId="77777777" w:rsidR="001A5DAD" w:rsidRPr="00540F85" w:rsidRDefault="001A5DAD" w:rsidP="001A5DAD">
            <w:pPr>
              <w:jc w:val="center"/>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Ukupno u radu u DO</w:t>
            </w:r>
          </w:p>
        </w:tc>
        <w:tc>
          <w:tcPr>
            <w:tcW w:w="584" w:type="pct"/>
            <w:vMerge w:val="restart"/>
            <w:shd w:val="clear" w:color="auto" w:fill="99CCFF"/>
            <w:noWrap/>
            <w:vAlign w:val="center"/>
            <w:hideMark/>
          </w:tcPr>
          <w:p w14:paraId="09B5C691" w14:textId="77777777" w:rsidR="001A5DAD" w:rsidRPr="00540F85" w:rsidRDefault="001A5DAD" w:rsidP="001A5DAD">
            <w:pPr>
              <w:jc w:val="center"/>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Ukupno</w:t>
            </w:r>
          </w:p>
          <w:p w14:paraId="1D8F4C92" w14:textId="77777777" w:rsidR="001A5DAD" w:rsidRPr="00540F85" w:rsidRDefault="001A5DAD" w:rsidP="001A5DAD">
            <w:pPr>
              <w:jc w:val="center"/>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donesenih</w:t>
            </w:r>
          </w:p>
          <w:p w14:paraId="1D7930BE" w14:textId="77777777" w:rsidR="001A5DAD" w:rsidRPr="00540F85" w:rsidRDefault="001A5DAD" w:rsidP="001A5DAD">
            <w:pPr>
              <w:jc w:val="center"/>
              <w:rPr>
                <w:rFonts w:asciiTheme="minorHAnsi" w:eastAsia="Times New Roman" w:hAnsiTheme="minorHAnsi" w:cstheme="minorHAnsi"/>
                <w:b/>
                <w:bCs/>
                <w:color w:val="000000"/>
                <w:sz w:val="16"/>
                <w:szCs w:val="16"/>
                <w:lang w:eastAsia="hr-HR"/>
              </w:rPr>
            </w:pPr>
            <w:r w:rsidRPr="00540F85">
              <w:rPr>
                <w:rFonts w:asciiTheme="minorHAnsi" w:eastAsia="Times New Roman" w:hAnsiTheme="minorHAnsi" w:cstheme="minorHAnsi"/>
                <w:b/>
                <w:bCs/>
                <w:color w:val="000000"/>
                <w:sz w:val="16"/>
                <w:szCs w:val="16"/>
                <w:lang w:eastAsia="hr-HR"/>
              </w:rPr>
              <w:t>odluka</w:t>
            </w:r>
          </w:p>
        </w:tc>
        <w:tc>
          <w:tcPr>
            <w:tcW w:w="870" w:type="pct"/>
            <w:vMerge w:val="restart"/>
            <w:shd w:val="clear" w:color="auto" w:fill="99CCFF"/>
            <w:vAlign w:val="center"/>
            <w:hideMark/>
          </w:tcPr>
          <w:p w14:paraId="4D4FA93D" w14:textId="77777777" w:rsidR="001A5DAD" w:rsidRPr="00540F85" w:rsidRDefault="001A5DAD" w:rsidP="001A5DAD">
            <w:pPr>
              <w:jc w:val="center"/>
              <w:rPr>
                <w:rFonts w:asciiTheme="minorHAnsi" w:eastAsia="Times New Roman" w:hAnsiTheme="minorHAnsi" w:cstheme="minorHAnsi"/>
                <w:b/>
                <w:bCs/>
                <w:color w:val="0D0D0D" w:themeColor="text1" w:themeTint="F2"/>
                <w:sz w:val="16"/>
                <w:szCs w:val="16"/>
                <w:lang w:eastAsia="hr-HR"/>
              </w:rPr>
            </w:pPr>
            <w:r w:rsidRPr="00540F85">
              <w:rPr>
                <w:rFonts w:asciiTheme="minorHAnsi" w:eastAsia="Times New Roman" w:hAnsiTheme="minorHAnsi" w:cstheme="minorHAnsi"/>
                <w:b/>
                <w:bCs/>
                <w:color w:val="0D0D0D" w:themeColor="text1" w:themeTint="F2"/>
                <w:sz w:val="16"/>
                <w:szCs w:val="16"/>
                <w:lang w:eastAsia="hr-HR"/>
              </w:rPr>
              <w:t xml:space="preserve">Vrijednost postavljenih imovinskopravnih zahtjeva </w:t>
            </w:r>
          </w:p>
          <w:p w14:paraId="041C5631" w14:textId="77777777" w:rsidR="001A5DAD" w:rsidRPr="00540F85" w:rsidRDefault="001A5DAD" w:rsidP="001A5DAD">
            <w:pPr>
              <w:jc w:val="center"/>
              <w:rPr>
                <w:rFonts w:asciiTheme="minorHAnsi" w:eastAsia="Times New Roman" w:hAnsiTheme="minorHAnsi" w:cstheme="minorHAnsi"/>
                <w:b/>
                <w:bCs/>
                <w:color w:val="0D0D0D" w:themeColor="text1" w:themeTint="F2"/>
                <w:sz w:val="16"/>
                <w:szCs w:val="16"/>
                <w:lang w:eastAsia="hr-HR"/>
              </w:rPr>
            </w:pPr>
            <w:r w:rsidRPr="00540F85">
              <w:rPr>
                <w:rFonts w:asciiTheme="minorHAnsi" w:eastAsia="Times New Roman" w:hAnsiTheme="minorHAnsi" w:cstheme="minorHAnsi"/>
                <w:b/>
                <w:bCs/>
                <w:color w:val="0D0D0D" w:themeColor="text1" w:themeTint="F2"/>
                <w:sz w:val="16"/>
                <w:szCs w:val="16"/>
                <w:lang w:eastAsia="hr-HR"/>
              </w:rPr>
              <w:t>(u tisućama kn)</w:t>
            </w:r>
          </w:p>
        </w:tc>
        <w:tc>
          <w:tcPr>
            <w:tcW w:w="1672" w:type="pct"/>
            <w:gridSpan w:val="3"/>
            <w:shd w:val="clear" w:color="auto" w:fill="99CCFF"/>
            <w:vAlign w:val="center"/>
          </w:tcPr>
          <w:p w14:paraId="4E233EC9" w14:textId="77777777" w:rsidR="001A5DAD" w:rsidRPr="001B4CA2" w:rsidRDefault="001A5DAD" w:rsidP="001A5DAD">
            <w:pPr>
              <w:jc w:val="center"/>
              <w:rPr>
                <w:rFonts w:asciiTheme="minorHAnsi" w:eastAsia="Times New Roman" w:hAnsiTheme="minorHAnsi" w:cstheme="minorHAnsi"/>
                <w:b/>
                <w:bCs/>
                <w:color w:val="0D0D0D" w:themeColor="text1" w:themeTint="F2"/>
                <w:sz w:val="18"/>
                <w:szCs w:val="18"/>
                <w:lang w:eastAsia="hr-HR"/>
              </w:rPr>
            </w:pPr>
            <w:r w:rsidRPr="001B4CA2">
              <w:rPr>
                <w:rFonts w:asciiTheme="minorHAnsi" w:eastAsia="Times New Roman" w:hAnsiTheme="minorHAnsi" w:cstheme="minorHAnsi"/>
                <w:b/>
                <w:bCs/>
                <w:color w:val="0D0D0D" w:themeColor="text1" w:themeTint="F2"/>
                <w:sz w:val="18"/>
                <w:szCs w:val="18"/>
                <w:lang w:eastAsia="hr-HR"/>
              </w:rPr>
              <w:t>Sudske odluke</w:t>
            </w:r>
          </w:p>
        </w:tc>
      </w:tr>
      <w:tr w:rsidR="00540F85" w:rsidRPr="001B4CA2" w14:paraId="7DEA1E83" w14:textId="77777777" w:rsidTr="00540F85">
        <w:trPr>
          <w:trHeight w:val="333"/>
          <w:jc w:val="center"/>
        </w:trPr>
        <w:tc>
          <w:tcPr>
            <w:tcW w:w="399" w:type="pct"/>
            <w:vMerge/>
            <w:shd w:val="clear" w:color="auto" w:fill="00B0F0"/>
            <w:vAlign w:val="center"/>
            <w:hideMark/>
          </w:tcPr>
          <w:p w14:paraId="7D1997EC"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p>
        </w:tc>
        <w:tc>
          <w:tcPr>
            <w:tcW w:w="475" w:type="pct"/>
            <w:vMerge/>
            <w:vAlign w:val="center"/>
            <w:hideMark/>
          </w:tcPr>
          <w:p w14:paraId="59E64599"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p>
        </w:tc>
        <w:tc>
          <w:tcPr>
            <w:tcW w:w="539" w:type="pct"/>
            <w:vMerge/>
            <w:vAlign w:val="center"/>
            <w:hideMark/>
          </w:tcPr>
          <w:p w14:paraId="7208EB00"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p>
        </w:tc>
        <w:tc>
          <w:tcPr>
            <w:tcW w:w="461" w:type="pct"/>
            <w:vMerge/>
            <w:vAlign w:val="center"/>
            <w:hideMark/>
          </w:tcPr>
          <w:p w14:paraId="5B2C58D5"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p>
        </w:tc>
        <w:tc>
          <w:tcPr>
            <w:tcW w:w="584" w:type="pct"/>
            <w:vMerge/>
            <w:vAlign w:val="center"/>
            <w:hideMark/>
          </w:tcPr>
          <w:p w14:paraId="4F58CAB4"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p>
        </w:tc>
        <w:tc>
          <w:tcPr>
            <w:tcW w:w="870" w:type="pct"/>
            <w:vMerge/>
            <w:vAlign w:val="center"/>
            <w:hideMark/>
          </w:tcPr>
          <w:p w14:paraId="1C6547BD" w14:textId="77777777" w:rsidR="001A5DAD" w:rsidRPr="001B4CA2" w:rsidRDefault="001A5DAD" w:rsidP="001A5DAD">
            <w:pPr>
              <w:jc w:val="center"/>
              <w:rPr>
                <w:rFonts w:asciiTheme="minorHAnsi" w:eastAsia="Times New Roman" w:hAnsiTheme="minorHAnsi" w:cstheme="minorHAnsi"/>
                <w:b/>
                <w:bCs/>
                <w:color w:val="000000"/>
                <w:sz w:val="18"/>
                <w:szCs w:val="18"/>
                <w:lang w:eastAsia="hr-HR"/>
              </w:rPr>
            </w:pPr>
          </w:p>
        </w:tc>
        <w:tc>
          <w:tcPr>
            <w:tcW w:w="633" w:type="pct"/>
            <w:shd w:val="clear" w:color="auto" w:fill="99CCFF"/>
            <w:noWrap/>
            <w:vAlign w:val="center"/>
            <w:hideMark/>
          </w:tcPr>
          <w:p w14:paraId="747DEA29"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Dosuđeno</w:t>
            </w:r>
          </w:p>
        </w:tc>
        <w:tc>
          <w:tcPr>
            <w:tcW w:w="469" w:type="pct"/>
            <w:shd w:val="clear" w:color="auto" w:fill="99CCFF"/>
            <w:vAlign w:val="center"/>
          </w:tcPr>
          <w:p w14:paraId="1D8D1232" w14:textId="77777777" w:rsidR="001A5DAD" w:rsidRPr="001B4CA2" w:rsidRDefault="001A5DAD" w:rsidP="001A5DAD">
            <w:pPr>
              <w:jc w:val="center"/>
              <w:rPr>
                <w:rFonts w:asciiTheme="minorHAnsi" w:eastAsia="Times New Roman" w:hAnsiTheme="minorHAnsi" w:cstheme="minorHAnsi"/>
                <w:bCs/>
                <w:color w:val="0D0D0D" w:themeColor="text1" w:themeTint="F2"/>
                <w:sz w:val="18"/>
                <w:szCs w:val="18"/>
                <w:lang w:eastAsia="hr-HR"/>
              </w:rPr>
            </w:pPr>
            <w:r w:rsidRPr="001B4CA2">
              <w:rPr>
                <w:rFonts w:asciiTheme="minorHAnsi" w:eastAsia="Times New Roman" w:hAnsiTheme="minorHAnsi" w:cstheme="minorHAnsi"/>
                <w:bCs/>
                <w:color w:val="0D0D0D" w:themeColor="text1" w:themeTint="F2"/>
                <w:sz w:val="18"/>
                <w:szCs w:val="18"/>
                <w:lang w:eastAsia="hr-HR"/>
              </w:rPr>
              <w:t>Visina</w:t>
            </w:r>
          </w:p>
          <w:p w14:paraId="47FFBFD6"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D0D0D" w:themeColor="text1" w:themeTint="F2"/>
                <w:sz w:val="18"/>
                <w:szCs w:val="18"/>
                <w:lang w:eastAsia="hr-HR"/>
              </w:rPr>
              <w:t>(u tisućama kn)</w:t>
            </w:r>
          </w:p>
        </w:tc>
        <w:tc>
          <w:tcPr>
            <w:tcW w:w="570" w:type="pct"/>
            <w:shd w:val="clear" w:color="auto" w:fill="99CCFF"/>
            <w:noWrap/>
            <w:vAlign w:val="center"/>
            <w:hideMark/>
          </w:tcPr>
          <w:p w14:paraId="396F4D02"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Upućeno u parnicu</w:t>
            </w:r>
          </w:p>
        </w:tc>
      </w:tr>
      <w:tr w:rsidR="00540F85" w:rsidRPr="001B4CA2" w14:paraId="7DEA0238" w14:textId="77777777" w:rsidTr="00540F85">
        <w:trPr>
          <w:trHeight w:val="397"/>
          <w:jc w:val="center"/>
        </w:trPr>
        <w:tc>
          <w:tcPr>
            <w:tcW w:w="399" w:type="pct"/>
            <w:shd w:val="clear" w:color="auto" w:fill="auto"/>
            <w:noWrap/>
            <w:vAlign w:val="center"/>
            <w:hideMark/>
          </w:tcPr>
          <w:p w14:paraId="19A19129"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2018.</w:t>
            </w:r>
          </w:p>
        </w:tc>
        <w:tc>
          <w:tcPr>
            <w:tcW w:w="475" w:type="pct"/>
            <w:shd w:val="clear" w:color="auto" w:fill="auto"/>
            <w:noWrap/>
            <w:vAlign w:val="center"/>
          </w:tcPr>
          <w:p w14:paraId="664A9840" w14:textId="77777777" w:rsidR="001A5DAD" w:rsidRPr="001B4CA2" w:rsidRDefault="001A5DAD" w:rsidP="001A5DAD">
            <w:pPr>
              <w:jc w:val="center"/>
              <w:rPr>
                <w:rFonts w:eastAsia="Times New Roman"/>
                <w:bCs/>
                <w:color w:val="000000"/>
                <w:sz w:val="18"/>
                <w:szCs w:val="18"/>
                <w:lang w:eastAsia="hr-HR"/>
              </w:rPr>
            </w:pPr>
            <w:r w:rsidRPr="001B4CA2">
              <w:rPr>
                <w:rFonts w:eastAsia="Times New Roman"/>
                <w:bCs/>
                <w:color w:val="000000"/>
                <w:sz w:val="18"/>
                <w:szCs w:val="18"/>
                <w:lang w:eastAsia="hr-HR"/>
              </w:rPr>
              <w:t>5</w:t>
            </w:r>
          </w:p>
        </w:tc>
        <w:tc>
          <w:tcPr>
            <w:tcW w:w="539" w:type="pct"/>
            <w:shd w:val="clear" w:color="auto" w:fill="auto"/>
            <w:noWrap/>
            <w:vAlign w:val="center"/>
          </w:tcPr>
          <w:p w14:paraId="56BFBE98"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68</w:t>
            </w:r>
          </w:p>
        </w:tc>
        <w:tc>
          <w:tcPr>
            <w:tcW w:w="461" w:type="pct"/>
            <w:shd w:val="clear" w:color="auto" w:fill="auto"/>
            <w:noWrap/>
            <w:vAlign w:val="center"/>
          </w:tcPr>
          <w:p w14:paraId="14FFA3EA" w14:textId="77777777" w:rsidR="001A5DAD" w:rsidRPr="001B4CA2" w:rsidRDefault="001A5DAD" w:rsidP="001A5DAD">
            <w:pPr>
              <w:jc w:val="center"/>
              <w:rPr>
                <w:rFonts w:eastAsia="Times New Roman"/>
                <w:bCs/>
                <w:color w:val="000000"/>
                <w:sz w:val="18"/>
                <w:szCs w:val="18"/>
                <w:lang w:eastAsia="hr-HR"/>
              </w:rPr>
            </w:pPr>
            <w:r w:rsidRPr="001B4CA2">
              <w:rPr>
                <w:rFonts w:eastAsia="Times New Roman"/>
                <w:bCs/>
                <w:color w:val="000000"/>
                <w:sz w:val="18"/>
                <w:szCs w:val="18"/>
                <w:lang w:eastAsia="hr-HR"/>
              </w:rPr>
              <w:t>73</w:t>
            </w:r>
          </w:p>
        </w:tc>
        <w:tc>
          <w:tcPr>
            <w:tcW w:w="584" w:type="pct"/>
            <w:shd w:val="clear" w:color="auto" w:fill="auto"/>
            <w:noWrap/>
            <w:vAlign w:val="center"/>
          </w:tcPr>
          <w:p w14:paraId="2E40018E"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64</w:t>
            </w:r>
          </w:p>
        </w:tc>
        <w:tc>
          <w:tcPr>
            <w:tcW w:w="870" w:type="pct"/>
            <w:shd w:val="clear" w:color="auto" w:fill="auto"/>
            <w:noWrap/>
            <w:vAlign w:val="center"/>
          </w:tcPr>
          <w:p w14:paraId="68886B3E"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20.669</w:t>
            </w:r>
          </w:p>
        </w:tc>
        <w:tc>
          <w:tcPr>
            <w:tcW w:w="633" w:type="pct"/>
            <w:shd w:val="clear" w:color="auto" w:fill="auto"/>
            <w:noWrap/>
            <w:vAlign w:val="center"/>
          </w:tcPr>
          <w:p w14:paraId="54870E60"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15</w:t>
            </w:r>
          </w:p>
        </w:tc>
        <w:tc>
          <w:tcPr>
            <w:tcW w:w="469" w:type="pct"/>
            <w:vAlign w:val="center"/>
          </w:tcPr>
          <w:p w14:paraId="5C3F6572"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2.667</w:t>
            </w:r>
          </w:p>
        </w:tc>
        <w:tc>
          <w:tcPr>
            <w:tcW w:w="570" w:type="pct"/>
            <w:shd w:val="clear" w:color="auto" w:fill="auto"/>
            <w:noWrap/>
            <w:vAlign w:val="center"/>
          </w:tcPr>
          <w:p w14:paraId="0723A7D3"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5</w:t>
            </w:r>
          </w:p>
        </w:tc>
      </w:tr>
      <w:tr w:rsidR="00540F85" w:rsidRPr="001B4CA2" w14:paraId="1D2430AA" w14:textId="77777777" w:rsidTr="00540F85">
        <w:trPr>
          <w:trHeight w:val="397"/>
          <w:jc w:val="center"/>
        </w:trPr>
        <w:tc>
          <w:tcPr>
            <w:tcW w:w="399" w:type="pct"/>
            <w:shd w:val="clear" w:color="auto" w:fill="auto"/>
            <w:noWrap/>
            <w:vAlign w:val="center"/>
          </w:tcPr>
          <w:p w14:paraId="156423DE"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2019.</w:t>
            </w:r>
          </w:p>
        </w:tc>
        <w:tc>
          <w:tcPr>
            <w:tcW w:w="475" w:type="pct"/>
            <w:shd w:val="clear" w:color="auto" w:fill="auto"/>
            <w:noWrap/>
            <w:vAlign w:val="center"/>
          </w:tcPr>
          <w:p w14:paraId="3DC0C980" w14:textId="77777777" w:rsidR="001A5DAD" w:rsidRPr="001B4CA2" w:rsidRDefault="001A5DAD" w:rsidP="001A5DAD">
            <w:pPr>
              <w:jc w:val="center"/>
              <w:rPr>
                <w:rFonts w:eastAsia="Times New Roman"/>
                <w:bCs/>
                <w:color w:val="000000"/>
                <w:sz w:val="18"/>
                <w:szCs w:val="18"/>
                <w:lang w:eastAsia="hr-HR"/>
              </w:rPr>
            </w:pPr>
            <w:r w:rsidRPr="001B4CA2">
              <w:rPr>
                <w:rFonts w:eastAsia="Times New Roman"/>
                <w:bCs/>
                <w:color w:val="000000"/>
                <w:sz w:val="18"/>
                <w:szCs w:val="18"/>
                <w:lang w:eastAsia="hr-HR"/>
              </w:rPr>
              <w:t>4</w:t>
            </w:r>
          </w:p>
        </w:tc>
        <w:tc>
          <w:tcPr>
            <w:tcW w:w="539" w:type="pct"/>
            <w:shd w:val="clear" w:color="auto" w:fill="auto"/>
            <w:noWrap/>
            <w:vAlign w:val="center"/>
          </w:tcPr>
          <w:p w14:paraId="27FF02C7"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51</w:t>
            </w:r>
          </w:p>
        </w:tc>
        <w:tc>
          <w:tcPr>
            <w:tcW w:w="461" w:type="pct"/>
            <w:shd w:val="clear" w:color="auto" w:fill="auto"/>
            <w:noWrap/>
            <w:vAlign w:val="center"/>
          </w:tcPr>
          <w:p w14:paraId="7D1A4682" w14:textId="77777777" w:rsidR="001A5DAD" w:rsidRPr="001B4CA2" w:rsidRDefault="001A5DAD" w:rsidP="001A5DAD">
            <w:pPr>
              <w:jc w:val="center"/>
              <w:rPr>
                <w:rFonts w:eastAsia="Times New Roman"/>
                <w:bCs/>
                <w:color w:val="000000"/>
                <w:sz w:val="18"/>
                <w:szCs w:val="18"/>
                <w:lang w:eastAsia="hr-HR"/>
              </w:rPr>
            </w:pPr>
            <w:r w:rsidRPr="001B4CA2">
              <w:rPr>
                <w:rFonts w:eastAsia="Times New Roman"/>
                <w:bCs/>
                <w:color w:val="000000"/>
                <w:sz w:val="18"/>
                <w:szCs w:val="18"/>
                <w:lang w:eastAsia="hr-HR"/>
              </w:rPr>
              <w:t>55</w:t>
            </w:r>
          </w:p>
        </w:tc>
        <w:tc>
          <w:tcPr>
            <w:tcW w:w="584" w:type="pct"/>
            <w:shd w:val="clear" w:color="auto" w:fill="auto"/>
            <w:noWrap/>
            <w:vAlign w:val="center"/>
          </w:tcPr>
          <w:p w14:paraId="740FEE99"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52</w:t>
            </w:r>
          </w:p>
        </w:tc>
        <w:tc>
          <w:tcPr>
            <w:tcW w:w="870" w:type="pct"/>
            <w:shd w:val="clear" w:color="auto" w:fill="auto"/>
            <w:noWrap/>
            <w:vAlign w:val="center"/>
          </w:tcPr>
          <w:p w14:paraId="224149B6"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23.493</w:t>
            </w:r>
          </w:p>
        </w:tc>
        <w:tc>
          <w:tcPr>
            <w:tcW w:w="633" w:type="pct"/>
            <w:shd w:val="clear" w:color="auto" w:fill="auto"/>
            <w:noWrap/>
            <w:vAlign w:val="center"/>
          </w:tcPr>
          <w:p w14:paraId="3DB594C6"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16</w:t>
            </w:r>
          </w:p>
        </w:tc>
        <w:tc>
          <w:tcPr>
            <w:tcW w:w="469" w:type="pct"/>
            <w:vAlign w:val="center"/>
          </w:tcPr>
          <w:p w14:paraId="7A19389B"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4.503</w:t>
            </w:r>
          </w:p>
        </w:tc>
        <w:tc>
          <w:tcPr>
            <w:tcW w:w="570" w:type="pct"/>
            <w:shd w:val="clear" w:color="auto" w:fill="auto"/>
            <w:noWrap/>
            <w:vAlign w:val="center"/>
          </w:tcPr>
          <w:p w14:paraId="349D99DB"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2</w:t>
            </w:r>
          </w:p>
        </w:tc>
      </w:tr>
      <w:tr w:rsidR="00540F85" w:rsidRPr="001B4CA2" w14:paraId="38138362" w14:textId="77777777" w:rsidTr="00540F85">
        <w:trPr>
          <w:trHeight w:val="397"/>
          <w:jc w:val="center"/>
        </w:trPr>
        <w:tc>
          <w:tcPr>
            <w:tcW w:w="399" w:type="pct"/>
            <w:shd w:val="clear" w:color="auto" w:fill="auto"/>
            <w:noWrap/>
            <w:vAlign w:val="center"/>
          </w:tcPr>
          <w:p w14:paraId="106BB5E3"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2020.</w:t>
            </w:r>
          </w:p>
        </w:tc>
        <w:tc>
          <w:tcPr>
            <w:tcW w:w="475" w:type="pct"/>
            <w:shd w:val="clear" w:color="auto" w:fill="auto"/>
            <w:noWrap/>
            <w:vAlign w:val="center"/>
          </w:tcPr>
          <w:p w14:paraId="0F2D8DEC"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5</w:t>
            </w:r>
          </w:p>
        </w:tc>
        <w:tc>
          <w:tcPr>
            <w:tcW w:w="539" w:type="pct"/>
            <w:shd w:val="clear" w:color="auto" w:fill="auto"/>
            <w:noWrap/>
            <w:vAlign w:val="center"/>
          </w:tcPr>
          <w:p w14:paraId="61AA6302"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44</w:t>
            </w:r>
          </w:p>
        </w:tc>
        <w:tc>
          <w:tcPr>
            <w:tcW w:w="461" w:type="pct"/>
            <w:shd w:val="clear" w:color="auto" w:fill="auto"/>
            <w:noWrap/>
            <w:vAlign w:val="center"/>
          </w:tcPr>
          <w:p w14:paraId="60A5407B"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49</w:t>
            </w:r>
          </w:p>
        </w:tc>
        <w:tc>
          <w:tcPr>
            <w:tcW w:w="584" w:type="pct"/>
            <w:shd w:val="clear" w:color="auto" w:fill="auto"/>
            <w:noWrap/>
            <w:vAlign w:val="center"/>
          </w:tcPr>
          <w:p w14:paraId="3EA79915"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sz w:val="18"/>
                <w:szCs w:val="18"/>
                <w:lang w:eastAsia="hr-HR"/>
              </w:rPr>
              <w:t>46</w:t>
            </w:r>
          </w:p>
        </w:tc>
        <w:tc>
          <w:tcPr>
            <w:tcW w:w="870" w:type="pct"/>
            <w:shd w:val="clear" w:color="auto" w:fill="auto"/>
            <w:noWrap/>
            <w:vAlign w:val="center"/>
          </w:tcPr>
          <w:p w14:paraId="3EA891C5"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22.837</w:t>
            </w:r>
          </w:p>
        </w:tc>
        <w:tc>
          <w:tcPr>
            <w:tcW w:w="633" w:type="pct"/>
            <w:shd w:val="clear" w:color="auto" w:fill="auto"/>
            <w:noWrap/>
            <w:vAlign w:val="center"/>
          </w:tcPr>
          <w:p w14:paraId="63ED15EB" w14:textId="77777777" w:rsidR="001A5DAD" w:rsidRPr="001B4CA2" w:rsidRDefault="001A5DAD" w:rsidP="001A5DAD">
            <w:pPr>
              <w:jc w:val="center"/>
              <w:rPr>
                <w:bCs/>
                <w:sz w:val="18"/>
                <w:szCs w:val="18"/>
              </w:rPr>
            </w:pPr>
            <w:r w:rsidRPr="001B4CA2">
              <w:rPr>
                <w:bCs/>
                <w:sz w:val="18"/>
                <w:szCs w:val="18"/>
              </w:rPr>
              <w:t>21</w:t>
            </w:r>
          </w:p>
        </w:tc>
        <w:tc>
          <w:tcPr>
            <w:tcW w:w="469" w:type="pct"/>
            <w:vAlign w:val="center"/>
          </w:tcPr>
          <w:p w14:paraId="196ED308" w14:textId="77777777" w:rsidR="001A5DAD" w:rsidRPr="001B4CA2" w:rsidRDefault="001A5DAD" w:rsidP="001A5DAD">
            <w:pPr>
              <w:jc w:val="center"/>
              <w:rPr>
                <w:bCs/>
                <w:sz w:val="18"/>
                <w:szCs w:val="18"/>
              </w:rPr>
            </w:pPr>
            <w:r w:rsidRPr="001B4CA2">
              <w:rPr>
                <w:bCs/>
                <w:sz w:val="18"/>
                <w:szCs w:val="18"/>
              </w:rPr>
              <w:t>4.921</w:t>
            </w:r>
          </w:p>
        </w:tc>
        <w:tc>
          <w:tcPr>
            <w:tcW w:w="570" w:type="pct"/>
            <w:shd w:val="clear" w:color="auto" w:fill="auto"/>
            <w:noWrap/>
            <w:vAlign w:val="center"/>
          </w:tcPr>
          <w:p w14:paraId="4BA29AA5" w14:textId="77777777" w:rsidR="001A5DAD" w:rsidRPr="001B4CA2" w:rsidRDefault="001A5DAD" w:rsidP="001A5DAD">
            <w:pPr>
              <w:jc w:val="center"/>
              <w:rPr>
                <w:bCs/>
                <w:sz w:val="18"/>
                <w:szCs w:val="18"/>
              </w:rPr>
            </w:pPr>
            <w:r w:rsidRPr="001B4CA2">
              <w:rPr>
                <w:bCs/>
                <w:sz w:val="18"/>
                <w:szCs w:val="18"/>
              </w:rPr>
              <w:t>4</w:t>
            </w:r>
          </w:p>
        </w:tc>
      </w:tr>
      <w:tr w:rsidR="00540F85" w:rsidRPr="001B4CA2" w14:paraId="66AFEFD9" w14:textId="77777777" w:rsidTr="00540F85">
        <w:trPr>
          <w:trHeight w:val="397"/>
          <w:jc w:val="center"/>
        </w:trPr>
        <w:tc>
          <w:tcPr>
            <w:tcW w:w="399" w:type="pct"/>
            <w:shd w:val="clear" w:color="auto" w:fill="auto"/>
            <w:noWrap/>
            <w:vAlign w:val="center"/>
          </w:tcPr>
          <w:p w14:paraId="5FA41F77"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2021.</w:t>
            </w:r>
          </w:p>
        </w:tc>
        <w:tc>
          <w:tcPr>
            <w:tcW w:w="475" w:type="pct"/>
            <w:shd w:val="clear" w:color="auto" w:fill="auto"/>
            <w:noWrap/>
            <w:vAlign w:val="center"/>
          </w:tcPr>
          <w:p w14:paraId="36580268"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7</w:t>
            </w:r>
          </w:p>
        </w:tc>
        <w:tc>
          <w:tcPr>
            <w:tcW w:w="539" w:type="pct"/>
            <w:shd w:val="clear" w:color="auto" w:fill="auto"/>
            <w:noWrap/>
            <w:vAlign w:val="center"/>
          </w:tcPr>
          <w:p w14:paraId="69611204" w14:textId="77777777" w:rsidR="001A5DAD" w:rsidRPr="001B4CA2" w:rsidRDefault="001A5DAD" w:rsidP="001A5DAD">
            <w:pPr>
              <w:jc w:val="center"/>
              <w:rPr>
                <w:bCs/>
                <w:sz w:val="18"/>
                <w:szCs w:val="18"/>
              </w:rPr>
            </w:pPr>
            <w:r w:rsidRPr="001B4CA2">
              <w:rPr>
                <w:bCs/>
                <w:sz w:val="18"/>
                <w:szCs w:val="18"/>
              </w:rPr>
              <w:t>70</w:t>
            </w:r>
          </w:p>
        </w:tc>
        <w:tc>
          <w:tcPr>
            <w:tcW w:w="461" w:type="pct"/>
            <w:shd w:val="clear" w:color="auto" w:fill="auto"/>
            <w:noWrap/>
            <w:vAlign w:val="center"/>
          </w:tcPr>
          <w:p w14:paraId="4BFD132C" w14:textId="77777777" w:rsidR="001A5DAD" w:rsidRPr="001B4CA2" w:rsidRDefault="001A5DAD" w:rsidP="001A5DAD">
            <w:pPr>
              <w:jc w:val="center"/>
              <w:rPr>
                <w:bCs/>
                <w:sz w:val="18"/>
                <w:szCs w:val="18"/>
              </w:rPr>
            </w:pPr>
            <w:r w:rsidRPr="001B4CA2">
              <w:rPr>
                <w:bCs/>
                <w:sz w:val="18"/>
                <w:szCs w:val="18"/>
              </w:rPr>
              <w:t>77</w:t>
            </w:r>
          </w:p>
        </w:tc>
        <w:tc>
          <w:tcPr>
            <w:tcW w:w="584" w:type="pct"/>
            <w:shd w:val="clear" w:color="auto" w:fill="auto"/>
            <w:noWrap/>
            <w:vAlign w:val="center"/>
          </w:tcPr>
          <w:p w14:paraId="46D55228" w14:textId="77777777" w:rsidR="001A5DAD" w:rsidRPr="001B4CA2" w:rsidRDefault="001A5DAD" w:rsidP="001A5DAD">
            <w:pPr>
              <w:jc w:val="center"/>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84</w:t>
            </w:r>
          </w:p>
        </w:tc>
        <w:tc>
          <w:tcPr>
            <w:tcW w:w="870" w:type="pct"/>
            <w:shd w:val="clear" w:color="auto" w:fill="auto"/>
            <w:noWrap/>
            <w:vAlign w:val="center"/>
          </w:tcPr>
          <w:p w14:paraId="00BD93D7"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28.051</w:t>
            </w:r>
          </w:p>
        </w:tc>
        <w:tc>
          <w:tcPr>
            <w:tcW w:w="633" w:type="pct"/>
            <w:shd w:val="clear" w:color="auto" w:fill="auto"/>
            <w:noWrap/>
            <w:vAlign w:val="center"/>
          </w:tcPr>
          <w:p w14:paraId="03DD4147" w14:textId="77777777" w:rsidR="001A5DAD" w:rsidRPr="001B4CA2" w:rsidRDefault="001A5DAD" w:rsidP="001A5DAD">
            <w:pPr>
              <w:jc w:val="center"/>
              <w:rPr>
                <w:bCs/>
                <w:sz w:val="18"/>
                <w:szCs w:val="18"/>
              </w:rPr>
            </w:pPr>
            <w:r w:rsidRPr="001B4CA2">
              <w:rPr>
                <w:bCs/>
                <w:sz w:val="18"/>
                <w:szCs w:val="18"/>
              </w:rPr>
              <w:t>16</w:t>
            </w:r>
          </w:p>
        </w:tc>
        <w:tc>
          <w:tcPr>
            <w:tcW w:w="469" w:type="pct"/>
            <w:vAlign w:val="center"/>
          </w:tcPr>
          <w:p w14:paraId="5A1DEDAD" w14:textId="77777777" w:rsidR="001A5DAD" w:rsidRPr="001B4CA2" w:rsidRDefault="001A5DAD" w:rsidP="001A5DAD">
            <w:pPr>
              <w:jc w:val="center"/>
              <w:rPr>
                <w:bCs/>
                <w:sz w:val="18"/>
                <w:szCs w:val="18"/>
              </w:rPr>
            </w:pPr>
            <w:r w:rsidRPr="001B4CA2">
              <w:rPr>
                <w:bCs/>
                <w:sz w:val="18"/>
                <w:szCs w:val="18"/>
              </w:rPr>
              <w:t>4.740</w:t>
            </w:r>
          </w:p>
        </w:tc>
        <w:tc>
          <w:tcPr>
            <w:tcW w:w="570" w:type="pct"/>
            <w:shd w:val="clear" w:color="auto" w:fill="auto"/>
            <w:noWrap/>
            <w:vAlign w:val="center"/>
          </w:tcPr>
          <w:p w14:paraId="4933E39E" w14:textId="77777777" w:rsidR="001A5DAD" w:rsidRPr="001B4CA2" w:rsidRDefault="001A5DAD" w:rsidP="001A5DAD">
            <w:pPr>
              <w:jc w:val="center"/>
              <w:rPr>
                <w:bCs/>
                <w:sz w:val="18"/>
                <w:szCs w:val="18"/>
              </w:rPr>
            </w:pPr>
            <w:r w:rsidRPr="001B4CA2">
              <w:rPr>
                <w:bCs/>
                <w:sz w:val="18"/>
                <w:szCs w:val="18"/>
              </w:rPr>
              <w:t>4</w:t>
            </w:r>
          </w:p>
        </w:tc>
      </w:tr>
      <w:tr w:rsidR="00540F85" w:rsidRPr="001B4CA2" w14:paraId="3F1D666A" w14:textId="77777777" w:rsidTr="00540F85">
        <w:trPr>
          <w:trHeight w:val="397"/>
          <w:jc w:val="center"/>
        </w:trPr>
        <w:tc>
          <w:tcPr>
            <w:tcW w:w="399" w:type="pct"/>
            <w:shd w:val="clear" w:color="auto" w:fill="auto"/>
            <w:noWrap/>
            <w:vAlign w:val="center"/>
          </w:tcPr>
          <w:p w14:paraId="069154AB"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2022.</w:t>
            </w:r>
          </w:p>
        </w:tc>
        <w:tc>
          <w:tcPr>
            <w:tcW w:w="475" w:type="pct"/>
            <w:shd w:val="clear" w:color="auto" w:fill="auto"/>
            <w:noWrap/>
            <w:vAlign w:val="center"/>
          </w:tcPr>
          <w:p w14:paraId="1069C8C4"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3</w:t>
            </w:r>
          </w:p>
        </w:tc>
        <w:tc>
          <w:tcPr>
            <w:tcW w:w="539" w:type="pct"/>
            <w:shd w:val="clear" w:color="auto" w:fill="auto"/>
            <w:noWrap/>
            <w:vAlign w:val="center"/>
          </w:tcPr>
          <w:p w14:paraId="4547B3DC" w14:textId="77777777" w:rsidR="001A5DAD" w:rsidRPr="001B4CA2" w:rsidRDefault="001A5DAD" w:rsidP="001A5DAD">
            <w:pPr>
              <w:jc w:val="center"/>
              <w:rPr>
                <w:bCs/>
                <w:sz w:val="18"/>
                <w:szCs w:val="18"/>
              </w:rPr>
            </w:pPr>
            <w:r w:rsidRPr="001B4CA2">
              <w:rPr>
                <w:bCs/>
                <w:sz w:val="18"/>
                <w:szCs w:val="18"/>
              </w:rPr>
              <w:t>65</w:t>
            </w:r>
          </w:p>
        </w:tc>
        <w:tc>
          <w:tcPr>
            <w:tcW w:w="461" w:type="pct"/>
            <w:shd w:val="clear" w:color="auto" w:fill="auto"/>
            <w:noWrap/>
            <w:vAlign w:val="center"/>
          </w:tcPr>
          <w:p w14:paraId="6ACBE2A6" w14:textId="77777777" w:rsidR="001A5DAD" w:rsidRPr="001B4CA2" w:rsidRDefault="001A5DAD" w:rsidP="001A5DAD">
            <w:pPr>
              <w:jc w:val="center"/>
              <w:rPr>
                <w:bCs/>
                <w:sz w:val="18"/>
                <w:szCs w:val="18"/>
              </w:rPr>
            </w:pPr>
            <w:r w:rsidRPr="001B4CA2">
              <w:rPr>
                <w:bCs/>
                <w:sz w:val="18"/>
                <w:szCs w:val="18"/>
              </w:rPr>
              <w:t>68</w:t>
            </w:r>
          </w:p>
        </w:tc>
        <w:tc>
          <w:tcPr>
            <w:tcW w:w="584" w:type="pct"/>
            <w:shd w:val="clear" w:color="auto" w:fill="auto"/>
            <w:noWrap/>
            <w:vAlign w:val="center"/>
          </w:tcPr>
          <w:p w14:paraId="2AC2F171" w14:textId="77777777" w:rsidR="001A5DAD" w:rsidRPr="001B4CA2" w:rsidRDefault="001A5DAD" w:rsidP="001A5DAD">
            <w:pPr>
              <w:jc w:val="center"/>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69</w:t>
            </w:r>
          </w:p>
        </w:tc>
        <w:tc>
          <w:tcPr>
            <w:tcW w:w="870" w:type="pct"/>
            <w:shd w:val="clear" w:color="auto" w:fill="auto"/>
            <w:noWrap/>
            <w:vAlign w:val="center"/>
          </w:tcPr>
          <w:p w14:paraId="13B54EB3" w14:textId="77777777" w:rsidR="001A5DAD" w:rsidRPr="001B4CA2" w:rsidRDefault="001A5DAD" w:rsidP="001A5DAD">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77.827</w:t>
            </w:r>
          </w:p>
        </w:tc>
        <w:tc>
          <w:tcPr>
            <w:tcW w:w="633" w:type="pct"/>
            <w:shd w:val="clear" w:color="auto" w:fill="auto"/>
            <w:noWrap/>
            <w:vAlign w:val="center"/>
          </w:tcPr>
          <w:p w14:paraId="2D98E9EB" w14:textId="77777777" w:rsidR="001A5DAD" w:rsidRPr="001B4CA2" w:rsidRDefault="001A5DAD" w:rsidP="001A5DAD">
            <w:pPr>
              <w:jc w:val="center"/>
              <w:rPr>
                <w:bCs/>
                <w:sz w:val="18"/>
                <w:szCs w:val="18"/>
              </w:rPr>
            </w:pPr>
            <w:r w:rsidRPr="001B4CA2">
              <w:rPr>
                <w:bCs/>
                <w:sz w:val="18"/>
                <w:szCs w:val="18"/>
              </w:rPr>
              <w:t>21</w:t>
            </w:r>
          </w:p>
        </w:tc>
        <w:tc>
          <w:tcPr>
            <w:tcW w:w="469" w:type="pct"/>
            <w:vAlign w:val="center"/>
          </w:tcPr>
          <w:p w14:paraId="5E529B62" w14:textId="77777777" w:rsidR="001A5DAD" w:rsidRPr="001B4CA2" w:rsidRDefault="001A5DAD" w:rsidP="001A5DAD">
            <w:pPr>
              <w:jc w:val="center"/>
              <w:rPr>
                <w:bCs/>
                <w:sz w:val="18"/>
                <w:szCs w:val="18"/>
              </w:rPr>
            </w:pPr>
            <w:r w:rsidRPr="001B4CA2">
              <w:rPr>
                <w:bCs/>
                <w:sz w:val="18"/>
                <w:szCs w:val="18"/>
              </w:rPr>
              <w:t>2.649</w:t>
            </w:r>
          </w:p>
        </w:tc>
        <w:tc>
          <w:tcPr>
            <w:tcW w:w="570" w:type="pct"/>
            <w:shd w:val="clear" w:color="auto" w:fill="auto"/>
            <w:noWrap/>
            <w:vAlign w:val="center"/>
          </w:tcPr>
          <w:p w14:paraId="221FF597" w14:textId="77777777" w:rsidR="001A5DAD" w:rsidRPr="001B4CA2" w:rsidRDefault="001A5DAD" w:rsidP="001A5DAD">
            <w:pPr>
              <w:jc w:val="center"/>
              <w:rPr>
                <w:bCs/>
                <w:sz w:val="18"/>
                <w:szCs w:val="18"/>
              </w:rPr>
            </w:pPr>
            <w:r w:rsidRPr="001B4CA2">
              <w:rPr>
                <w:bCs/>
                <w:sz w:val="18"/>
                <w:szCs w:val="18"/>
              </w:rPr>
              <w:t>3</w:t>
            </w:r>
          </w:p>
        </w:tc>
      </w:tr>
    </w:tbl>
    <w:p w14:paraId="4AD834C2" w14:textId="77777777" w:rsidR="00847ED1" w:rsidRPr="001B4CA2" w:rsidRDefault="00847ED1" w:rsidP="001A5DAD">
      <w:pPr>
        <w:ind w:firstLine="709"/>
        <w:rPr>
          <w:rFonts w:eastAsia="Times New Roman"/>
          <w:lang w:eastAsia="hr-HR"/>
        </w:rPr>
      </w:pPr>
    </w:p>
    <w:p w14:paraId="15FD9CB0" w14:textId="48077806" w:rsidR="001A5DAD" w:rsidRPr="001B4CA2" w:rsidRDefault="001A5DAD" w:rsidP="001A5DAD">
      <w:pPr>
        <w:ind w:firstLine="709"/>
        <w:rPr>
          <w:rFonts w:eastAsia="Times New Roman"/>
          <w:lang w:eastAsia="hr-HR"/>
        </w:rPr>
      </w:pPr>
      <w:r w:rsidRPr="001B4CA2">
        <w:rPr>
          <w:rFonts w:eastAsia="Times New Roman"/>
          <w:lang w:eastAsia="hr-HR"/>
        </w:rPr>
        <w:t xml:space="preserve">U izvještajnoj godini </w:t>
      </w:r>
      <w:r w:rsidR="00436C25">
        <w:rPr>
          <w:rFonts w:eastAsia="Times New Roman"/>
          <w:lang w:eastAsia="hr-HR"/>
        </w:rPr>
        <w:t>za</w:t>
      </w:r>
      <w:r w:rsidRPr="001B4CA2">
        <w:rPr>
          <w:rFonts w:eastAsia="Times New Roman"/>
          <w:lang w:eastAsia="hr-HR"/>
        </w:rPr>
        <w:t xml:space="preserve">primljeno je 65 adhezijskih predmeta (postavljanje imovinskopravnog zahtjeva u kaznenom postupku Republike Hrvatske kao oštećenika). </w:t>
      </w:r>
    </w:p>
    <w:p w14:paraId="3D70BC7E" w14:textId="77777777" w:rsidR="001A5DAD" w:rsidRPr="001B4CA2" w:rsidRDefault="001A5DAD" w:rsidP="001A5DAD">
      <w:pPr>
        <w:ind w:firstLine="709"/>
        <w:rPr>
          <w:rFonts w:eastAsia="Times New Roman"/>
          <w:lang w:eastAsia="hr-HR"/>
        </w:rPr>
      </w:pPr>
    </w:p>
    <w:p w14:paraId="28FBFC3A" w14:textId="61946B6C" w:rsidR="001A5DAD" w:rsidRPr="001B4CA2" w:rsidRDefault="001A5DAD" w:rsidP="001A5DAD">
      <w:pPr>
        <w:ind w:firstLine="709"/>
        <w:rPr>
          <w:rFonts w:eastAsia="Times New Roman"/>
          <w:lang w:eastAsia="hr-HR"/>
        </w:rPr>
      </w:pPr>
      <w:r w:rsidRPr="001B4CA2">
        <w:rPr>
          <w:rFonts w:eastAsia="Times New Roman"/>
          <w:lang w:eastAsia="hr-HR"/>
        </w:rPr>
        <w:t>Ukupna vrijednost postavljenih imovinskopravnih zahtjeva pokazuje znatnu tendenciju rasta u odnosu na prethodno razdoblje</w:t>
      </w:r>
      <w:r w:rsidR="00436C25">
        <w:rPr>
          <w:rFonts w:eastAsia="Times New Roman"/>
          <w:lang w:eastAsia="hr-HR"/>
        </w:rPr>
        <w:t>,</w:t>
      </w:r>
      <w:r w:rsidRPr="001B4CA2">
        <w:rPr>
          <w:rFonts w:eastAsia="Times New Roman"/>
          <w:lang w:eastAsia="hr-HR"/>
        </w:rPr>
        <w:t xml:space="preserve"> što je odraz strukture počinjenih kaznenih dijela u kojima se Republika Hrvatska pojavljuje kao oštećenik.</w:t>
      </w:r>
    </w:p>
    <w:p w14:paraId="6607F75D" w14:textId="77777777" w:rsidR="001A5DAD" w:rsidRPr="001B4CA2" w:rsidRDefault="001A5DAD" w:rsidP="001A5DAD">
      <w:pPr>
        <w:ind w:firstLine="709"/>
        <w:rPr>
          <w:rFonts w:eastAsia="Times New Roman"/>
          <w:lang w:eastAsia="hr-HR"/>
        </w:rPr>
      </w:pPr>
    </w:p>
    <w:p w14:paraId="5AA990C3" w14:textId="29F218A6" w:rsidR="001A5DAD" w:rsidRPr="001B4CA2" w:rsidRDefault="00C12AD2" w:rsidP="001A5DAD">
      <w:pPr>
        <w:ind w:firstLine="709"/>
        <w:rPr>
          <w:rFonts w:eastAsia="Times New Roman"/>
          <w:lang w:eastAsia="hr-HR"/>
        </w:rPr>
      </w:pPr>
      <w:r w:rsidRPr="001B4CA2">
        <w:rPr>
          <w:rFonts w:eastAsia="Times New Roman"/>
          <w:lang w:eastAsia="hr-HR"/>
        </w:rPr>
        <w:t>Donesena</w:t>
      </w:r>
      <w:r w:rsidR="001A5DAD" w:rsidRPr="001B4CA2">
        <w:rPr>
          <w:rFonts w:eastAsia="Times New Roman"/>
          <w:lang w:eastAsia="hr-HR"/>
        </w:rPr>
        <w:t xml:space="preserve"> je 21 sudska odluka kojom je prihvaćen postavljeni imovinskopravni zahtjev u visini od 2.649.000,00 kn</w:t>
      </w:r>
      <w:r w:rsidR="00436C25">
        <w:rPr>
          <w:rFonts w:eastAsia="Times New Roman"/>
          <w:lang w:eastAsia="hr-HR"/>
        </w:rPr>
        <w:t xml:space="preserve"> </w:t>
      </w:r>
      <w:r w:rsidR="001A5DAD" w:rsidRPr="001B4CA2">
        <w:rPr>
          <w:rFonts w:eastAsia="Times New Roman"/>
          <w:lang w:eastAsia="hr-HR"/>
        </w:rPr>
        <w:t>/</w:t>
      </w:r>
      <w:r w:rsidR="001C297A" w:rsidRPr="001B4CA2">
        <w:rPr>
          <w:rFonts w:eastAsia="Times New Roman"/>
          <w:lang w:eastAsia="hr-HR"/>
        </w:rPr>
        <w:t xml:space="preserve"> </w:t>
      </w:r>
      <w:r w:rsidR="001A5DAD" w:rsidRPr="001B4CA2">
        <w:rPr>
          <w:rFonts w:eastAsia="Times New Roman"/>
          <w:lang w:eastAsia="hr-HR"/>
        </w:rPr>
        <w:t>351.</w:t>
      </w:r>
      <w:r w:rsidR="00C4437D">
        <w:rPr>
          <w:rFonts w:eastAsia="Times New Roman"/>
          <w:lang w:eastAsia="hr-HR"/>
        </w:rPr>
        <w:t>582</w:t>
      </w:r>
      <w:r w:rsidR="001A5DAD" w:rsidRPr="001B4CA2">
        <w:rPr>
          <w:rFonts w:eastAsia="Times New Roman"/>
          <w:lang w:eastAsia="hr-HR"/>
        </w:rPr>
        <w:t>,</w:t>
      </w:r>
      <w:r w:rsidR="00C4437D">
        <w:rPr>
          <w:rFonts w:eastAsia="Times New Roman"/>
          <w:lang w:eastAsia="hr-HR"/>
        </w:rPr>
        <w:t>71</w:t>
      </w:r>
      <w:r w:rsidR="001A5DAD" w:rsidRPr="001B4CA2">
        <w:rPr>
          <w:rFonts w:eastAsia="Times New Roman"/>
          <w:lang w:eastAsia="hr-HR"/>
        </w:rPr>
        <w:t xml:space="preserve"> </w:t>
      </w:r>
      <w:r w:rsidR="0020162B" w:rsidRPr="001B4CA2">
        <w:rPr>
          <w:rFonts w:eastAsia="Times New Roman"/>
          <w:lang w:eastAsia="hr-HR"/>
        </w:rPr>
        <w:t>EUR</w:t>
      </w:r>
      <w:r w:rsidR="001A5DAD" w:rsidRPr="001B4CA2">
        <w:rPr>
          <w:rFonts w:eastAsia="Times New Roman"/>
          <w:lang w:eastAsia="hr-HR"/>
        </w:rPr>
        <w:t xml:space="preserve">. U </w:t>
      </w:r>
      <w:r w:rsidR="008930E8" w:rsidRPr="001B4CA2">
        <w:rPr>
          <w:rFonts w:eastAsia="Times New Roman"/>
          <w:lang w:eastAsia="hr-HR"/>
        </w:rPr>
        <w:t>tri</w:t>
      </w:r>
      <w:r w:rsidR="001A5DAD" w:rsidRPr="001B4CA2">
        <w:rPr>
          <w:rFonts w:eastAsia="Times New Roman"/>
          <w:lang w:eastAsia="hr-HR"/>
        </w:rPr>
        <w:t xml:space="preserve"> </w:t>
      </w:r>
      <w:r w:rsidR="00436C25" w:rsidRPr="001B4CA2">
        <w:rPr>
          <w:rFonts w:eastAsia="Times New Roman"/>
          <w:lang w:eastAsia="hr-HR"/>
        </w:rPr>
        <w:t xml:space="preserve">je </w:t>
      </w:r>
      <w:r w:rsidR="001A5DAD" w:rsidRPr="001B4CA2">
        <w:rPr>
          <w:rFonts w:eastAsia="Times New Roman"/>
          <w:lang w:eastAsia="hr-HR"/>
        </w:rPr>
        <w:t>predmeta Republika Hrvatska upućena ostvarivati svoj zahtjev u građanskoj parnici.</w:t>
      </w:r>
    </w:p>
    <w:p w14:paraId="36236AD9" w14:textId="77777777" w:rsidR="001A5DAD" w:rsidRPr="001B4CA2" w:rsidRDefault="001A5DAD" w:rsidP="001A5DAD">
      <w:pPr>
        <w:rPr>
          <w:szCs w:val="22"/>
        </w:rPr>
      </w:pPr>
    </w:p>
    <w:p w14:paraId="71449392" w14:textId="5FE093B2" w:rsidR="001A5DAD" w:rsidRPr="001B4CA2" w:rsidRDefault="001A5DAD" w:rsidP="001A5DAD">
      <w:pPr>
        <w:pStyle w:val="Odlomakpopisa"/>
        <w:numPr>
          <w:ilvl w:val="0"/>
          <w:numId w:val="40"/>
        </w:numPr>
        <w:jc w:val="left"/>
        <w:rPr>
          <w:rFonts w:asciiTheme="minorHAnsi" w:hAnsiTheme="minorHAnsi" w:cstheme="minorBidi"/>
          <w:i/>
          <w:szCs w:val="22"/>
        </w:rPr>
      </w:pPr>
      <w:r w:rsidRPr="001B4CA2">
        <w:rPr>
          <w:rFonts w:asciiTheme="minorHAnsi" w:hAnsiTheme="minorHAnsi" w:cstheme="minorBidi"/>
          <w:i/>
          <w:szCs w:val="22"/>
        </w:rPr>
        <w:t>Zbirna tablica</w:t>
      </w:r>
      <w:r w:rsidR="00F47D60">
        <w:rPr>
          <w:rFonts w:asciiTheme="minorHAnsi" w:hAnsiTheme="minorHAnsi" w:cstheme="minorBidi"/>
          <w:i/>
          <w:szCs w:val="22"/>
        </w:rPr>
        <w:t xml:space="preserve"> – </w:t>
      </w:r>
      <w:r w:rsidRPr="001B4CA2">
        <w:rPr>
          <w:rFonts w:asciiTheme="minorHAnsi" w:hAnsiTheme="minorHAnsi" w:cstheme="minorBidi"/>
          <w:i/>
          <w:szCs w:val="22"/>
        </w:rPr>
        <w:t>pravna mišljenja i razno 2018.</w:t>
      </w:r>
      <w:r w:rsidR="00F47D60">
        <w:rPr>
          <w:rFonts w:asciiTheme="minorHAnsi" w:hAnsiTheme="minorHAnsi" w:cstheme="minorBidi"/>
          <w:i/>
          <w:szCs w:val="22"/>
        </w:rPr>
        <w:t xml:space="preserve"> – </w:t>
      </w:r>
      <w:r w:rsidRPr="001B4CA2">
        <w:rPr>
          <w:rFonts w:asciiTheme="minorHAnsi" w:hAnsiTheme="minorHAnsi" w:cstheme="minorBidi"/>
          <w:i/>
          <w:szCs w:val="22"/>
        </w:rPr>
        <w:t>2022.</w:t>
      </w:r>
    </w:p>
    <w:tbl>
      <w:tblPr>
        <w:tblW w:w="46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34"/>
        <w:gridCol w:w="697"/>
        <w:gridCol w:w="735"/>
        <w:gridCol w:w="697"/>
        <w:gridCol w:w="735"/>
        <w:gridCol w:w="697"/>
        <w:gridCol w:w="735"/>
        <w:gridCol w:w="697"/>
        <w:gridCol w:w="735"/>
        <w:gridCol w:w="692"/>
      </w:tblGrid>
      <w:tr w:rsidR="001A5DAD" w:rsidRPr="001B4CA2" w14:paraId="3196DD9B" w14:textId="77777777" w:rsidTr="00FC6656">
        <w:trPr>
          <w:trHeight w:val="463"/>
          <w:jc w:val="center"/>
        </w:trPr>
        <w:tc>
          <w:tcPr>
            <w:tcW w:w="753" w:type="pct"/>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EDE3F19" w14:textId="77777777" w:rsidR="001A5DAD" w:rsidRPr="001B4CA2" w:rsidRDefault="001A5DAD" w:rsidP="001A5DAD">
            <w:pPr>
              <w:jc w:val="center"/>
              <w:rPr>
                <w:rFonts w:eastAsia="Times New Roman"/>
                <w:b/>
                <w:bCs/>
                <w:color w:val="000000"/>
                <w:sz w:val="18"/>
                <w:szCs w:val="18"/>
                <w:lang w:eastAsia="hr-HR"/>
              </w:rPr>
            </w:pPr>
            <w:r w:rsidRPr="001B4CA2">
              <w:rPr>
                <w:rFonts w:eastAsia="Times New Roman"/>
                <w:b/>
                <w:bCs/>
                <w:color w:val="000000"/>
                <w:sz w:val="18"/>
                <w:szCs w:val="18"/>
                <w:lang w:eastAsia="hr-HR"/>
              </w:rPr>
              <w:t>Vrsta predmeta</w:t>
            </w:r>
          </w:p>
        </w:tc>
        <w:tc>
          <w:tcPr>
            <w:tcW w:w="849" w:type="pct"/>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5F27940C" w14:textId="77777777" w:rsidR="001A5DAD" w:rsidRPr="001B4CA2" w:rsidRDefault="001A5DAD" w:rsidP="001A5DAD">
            <w:pPr>
              <w:jc w:val="center"/>
              <w:rPr>
                <w:rFonts w:eastAsia="Times New Roman"/>
                <w:b/>
                <w:bCs/>
                <w:color w:val="000000"/>
                <w:sz w:val="18"/>
                <w:szCs w:val="18"/>
                <w:lang w:eastAsia="hr-HR"/>
              </w:rPr>
            </w:pPr>
            <w:r w:rsidRPr="001B4CA2">
              <w:rPr>
                <w:rFonts w:eastAsia="Times New Roman"/>
                <w:b/>
                <w:bCs/>
                <w:color w:val="000000"/>
                <w:sz w:val="18"/>
                <w:szCs w:val="18"/>
                <w:lang w:eastAsia="hr-HR"/>
              </w:rPr>
              <w:t>2018.</w:t>
            </w:r>
          </w:p>
        </w:tc>
        <w:tc>
          <w:tcPr>
            <w:tcW w:w="849" w:type="pct"/>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C6774D7" w14:textId="77777777" w:rsidR="001A5DAD" w:rsidRPr="001B4CA2" w:rsidRDefault="001A5DAD" w:rsidP="001A5DAD">
            <w:pPr>
              <w:jc w:val="center"/>
              <w:rPr>
                <w:rFonts w:eastAsia="Times New Roman"/>
                <w:b/>
                <w:bCs/>
                <w:color w:val="000000"/>
                <w:sz w:val="18"/>
                <w:szCs w:val="18"/>
                <w:lang w:eastAsia="hr-HR"/>
              </w:rPr>
            </w:pPr>
            <w:r w:rsidRPr="001B4CA2">
              <w:rPr>
                <w:rFonts w:eastAsia="Times New Roman"/>
                <w:b/>
                <w:bCs/>
                <w:color w:val="000000"/>
                <w:sz w:val="18"/>
                <w:szCs w:val="18"/>
                <w:lang w:eastAsia="hr-HR"/>
              </w:rPr>
              <w:t>2019.</w:t>
            </w:r>
          </w:p>
        </w:tc>
        <w:tc>
          <w:tcPr>
            <w:tcW w:w="849" w:type="pct"/>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77FA25D5" w14:textId="77777777" w:rsidR="001A5DAD" w:rsidRPr="001B4CA2" w:rsidRDefault="001A5DAD" w:rsidP="001A5DAD">
            <w:pPr>
              <w:jc w:val="center"/>
              <w:rPr>
                <w:rFonts w:eastAsia="Times New Roman"/>
                <w:b/>
                <w:bCs/>
                <w:color w:val="000000"/>
                <w:sz w:val="18"/>
                <w:szCs w:val="18"/>
                <w:lang w:eastAsia="hr-HR"/>
              </w:rPr>
            </w:pPr>
            <w:r w:rsidRPr="001B4CA2">
              <w:rPr>
                <w:rFonts w:eastAsia="Times New Roman"/>
                <w:b/>
                <w:bCs/>
                <w:color w:val="000000"/>
                <w:sz w:val="18"/>
                <w:szCs w:val="18"/>
                <w:lang w:eastAsia="hr-HR"/>
              </w:rPr>
              <w:t>2020.</w:t>
            </w:r>
          </w:p>
        </w:tc>
        <w:tc>
          <w:tcPr>
            <w:tcW w:w="849" w:type="pct"/>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528A5264" w14:textId="77777777" w:rsidR="001A5DAD" w:rsidRPr="001B4CA2" w:rsidRDefault="001A5DAD" w:rsidP="001A5DAD">
            <w:pPr>
              <w:jc w:val="center"/>
              <w:rPr>
                <w:rFonts w:eastAsia="Times New Roman"/>
                <w:b/>
                <w:bCs/>
                <w:color w:val="000000"/>
                <w:sz w:val="18"/>
                <w:szCs w:val="18"/>
                <w:lang w:eastAsia="hr-HR"/>
              </w:rPr>
            </w:pPr>
            <w:r w:rsidRPr="001B4CA2">
              <w:rPr>
                <w:rFonts w:eastAsia="Times New Roman"/>
                <w:b/>
                <w:bCs/>
                <w:color w:val="000000"/>
                <w:sz w:val="18"/>
                <w:szCs w:val="18"/>
                <w:lang w:eastAsia="hr-HR"/>
              </w:rPr>
              <w:t>2021.</w:t>
            </w:r>
          </w:p>
        </w:tc>
        <w:tc>
          <w:tcPr>
            <w:tcW w:w="849" w:type="pct"/>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1F87A377" w14:textId="77777777" w:rsidR="001A5DAD" w:rsidRPr="001B4CA2" w:rsidRDefault="001A5DAD" w:rsidP="001A5DAD">
            <w:pPr>
              <w:jc w:val="center"/>
              <w:rPr>
                <w:rFonts w:eastAsia="Times New Roman"/>
                <w:b/>
                <w:bCs/>
                <w:color w:val="000000"/>
                <w:sz w:val="18"/>
                <w:szCs w:val="18"/>
                <w:lang w:eastAsia="hr-HR"/>
              </w:rPr>
            </w:pPr>
            <w:r w:rsidRPr="001B4CA2">
              <w:rPr>
                <w:rFonts w:eastAsia="Times New Roman"/>
                <w:b/>
                <w:bCs/>
                <w:color w:val="000000"/>
                <w:sz w:val="18"/>
                <w:szCs w:val="18"/>
                <w:lang w:eastAsia="hr-HR"/>
              </w:rPr>
              <w:t>2022.</w:t>
            </w:r>
          </w:p>
        </w:tc>
      </w:tr>
      <w:tr w:rsidR="001A5DAD" w:rsidRPr="001B4CA2" w14:paraId="71018326" w14:textId="77777777" w:rsidTr="009A1E7E">
        <w:trPr>
          <w:cantSplit/>
          <w:trHeight w:val="1134"/>
          <w:jc w:val="center"/>
        </w:trPr>
        <w:tc>
          <w:tcPr>
            <w:tcW w:w="753" w:type="pct"/>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03C040D4" w14:textId="77777777" w:rsidR="001A5DAD" w:rsidRPr="001B4CA2" w:rsidRDefault="001A5DAD" w:rsidP="001A5DAD">
            <w:pPr>
              <w:jc w:val="left"/>
              <w:rPr>
                <w:rFonts w:eastAsia="Times New Roman"/>
                <w:bCs/>
                <w:color w:val="000000"/>
                <w:sz w:val="18"/>
                <w:szCs w:val="18"/>
                <w:lang w:eastAsia="hr-HR"/>
              </w:rPr>
            </w:pPr>
          </w:p>
        </w:tc>
        <w:tc>
          <w:tcPr>
            <w:tcW w:w="436" w:type="pct"/>
            <w:tcBorders>
              <w:top w:val="single" w:sz="4" w:space="0" w:color="auto"/>
              <w:left w:val="single" w:sz="4" w:space="0" w:color="auto"/>
              <w:bottom w:val="single" w:sz="4" w:space="0" w:color="auto"/>
              <w:right w:val="single" w:sz="4" w:space="0" w:color="auto"/>
            </w:tcBorders>
            <w:shd w:val="clear" w:color="auto" w:fill="99CCFF"/>
            <w:noWrap/>
            <w:textDirection w:val="btLr"/>
            <w:vAlign w:val="center"/>
          </w:tcPr>
          <w:p w14:paraId="0183BD5E" w14:textId="77777777" w:rsidR="001A5DAD" w:rsidRPr="001B4CA2" w:rsidRDefault="001A5DAD" w:rsidP="009A1E7E">
            <w:pPr>
              <w:ind w:left="113" w:right="113"/>
              <w:jc w:val="left"/>
              <w:rPr>
                <w:rFonts w:eastAsia="Times New Roman"/>
                <w:color w:val="000000"/>
                <w:sz w:val="18"/>
                <w:szCs w:val="18"/>
                <w:lang w:eastAsia="hr-HR"/>
              </w:rPr>
            </w:pPr>
            <w:r w:rsidRPr="001B4CA2">
              <w:rPr>
                <w:rFonts w:eastAsia="Times New Roman"/>
                <w:color w:val="000000"/>
                <w:sz w:val="18"/>
                <w:szCs w:val="18"/>
                <w:lang w:eastAsia="hr-HR"/>
              </w:rPr>
              <w:t>Primljeno</w:t>
            </w:r>
          </w:p>
        </w:tc>
        <w:tc>
          <w:tcPr>
            <w:tcW w:w="414" w:type="pct"/>
            <w:tcBorders>
              <w:top w:val="single" w:sz="4" w:space="0" w:color="auto"/>
              <w:left w:val="single" w:sz="4" w:space="0" w:color="auto"/>
              <w:bottom w:val="single" w:sz="4" w:space="0" w:color="auto"/>
              <w:right w:val="single" w:sz="4" w:space="0" w:color="auto"/>
            </w:tcBorders>
            <w:shd w:val="clear" w:color="auto" w:fill="99CCFF"/>
            <w:noWrap/>
            <w:textDirection w:val="btLr"/>
            <w:vAlign w:val="center"/>
          </w:tcPr>
          <w:p w14:paraId="3604630A" w14:textId="0AFA5A75" w:rsidR="001A5DAD" w:rsidRPr="001B4CA2" w:rsidRDefault="001A5DAD" w:rsidP="009A1E7E">
            <w:pPr>
              <w:ind w:left="113" w:right="113"/>
              <w:jc w:val="left"/>
              <w:rPr>
                <w:rFonts w:eastAsia="Times New Roman"/>
                <w:color w:val="000000"/>
                <w:sz w:val="18"/>
                <w:szCs w:val="18"/>
                <w:highlight w:val="yellow"/>
                <w:lang w:eastAsia="hr-HR"/>
              </w:rPr>
            </w:pPr>
            <w:r w:rsidRPr="001B4CA2">
              <w:rPr>
                <w:rFonts w:eastAsia="Times New Roman"/>
                <w:color w:val="000000"/>
                <w:sz w:val="18"/>
                <w:szCs w:val="18"/>
                <w:lang w:eastAsia="hr-HR"/>
              </w:rPr>
              <w:t>Riješeno</w:t>
            </w:r>
            <w:r w:rsidR="001B4CA2">
              <w:rPr>
                <w:rFonts w:eastAsia="Times New Roman"/>
                <w:color w:val="000000"/>
                <w:sz w:val="18"/>
                <w:szCs w:val="18"/>
                <w:lang w:eastAsia="hr-HR"/>
              </w:rPr>
              <w:t xml:space="preserve"> </w:t>
            </w:r>
            <w:r w:rsidR="007D12C6" w:rsidRPr="001B4CA2">
              <w:rPr>
                <w:rFonts w:eastAsia="Times New Roman"/>
                <w:color w:val="000000"/>
                <w:sz w:val="18"/>
                <w:szCs w:val="18"/>
                <w:lang w:eastAsia="hr-HR"/>
              </w:rPr>
              <w:t xml:space="preserve">     </w:t>
            </w:r>
          </w:p>
        </w:tc>
        <w:tc>
          <w:tcPr>
            <w:tcW w:w="436" w:type="pct"/>
            <w:tcBorders>
              <w:top w:val="single" w:sz="4" w:space="0" w:color="auto"/>
              <w:left w:val="single" w:sz="4" w:space="0" w:color="auto"/>
              <w:bottom w:val="single" w:sz="4" w:space="0" w:color="auto"/>
              <w:right w:val="single" w:sz="4" w:space="0" w:color="auto"/>
            </w:tcBorders>
            <w:shd w:val="clear" w:color="auto" w:fill="99CCFF"/>
            <w:noWrap/>
            <w:textDirection w:val="btLr"/>
            <w:vAlign w:val="center"/>
          </w:tcPr>
          <w:p w14:paraId="615850B2" w14:textId="77777777" w:rsidR="001A5DAD" w:rsidRPr="001B4CA2" w:rsidRDefault="001A5DAD" w:rsidP="009A1E7E">
            <w:pPr>
              <w:ind w:left="113" w:right="113"/>
              <w:jc w:val="left"/>
              <w:rPr>
                <w:rFonts w:eastAsia="Times New Roman"/>
                <w:color w:val="000000"/>
                <w:sz w:val="18"/>
                <w:szCs w:val="18"/>
                <w:lang w:eastAsia="hr-HR"/>
              </w:rPr>
            </w:pPr>
            <w:r w:rsidRPr="001B4CA2">
              <w:rPr>
                <w:rFonts w:eastAsia="Times New Roman"/>
                <w:color w:val="000000"/>
                <w:sz w:val="18"/>
                <w:szCs w:val="18"/>
                <w:lang w:eastAsia="hr-HR"/>
              </w:rPr>
              <w:t>Primljeno</w:t>
            </w:r>
          </w:p>
        </w:tc>
        <w:tc>
          <w:tcPr>
            <w:tcW w:w="414" w:type="pct"/>
            <w:tcBorders>
              <w:top w:val="single" w:sz="4" w:space="0" w:color="auto"/>
              <w:left w:val="single" w:sz="4" w:space="0" w:color="auto"/>
              <w:bottom w:val="single" w:sz="4" w:space="0" w:color="auto"/>
              <w:right w:val="single" w:sz="4" w:space="0" w:color="auto"/>
            </w:tcBorders>
            <w:shd w:val="clear" w:color="auto" w:fill="99CCFF"/>
            <w:noWrap/>
            <w:textDirection w:val="btLr"/>
            <w:vAlign w:val="center"/>
          </w:tcPr>
          <w:p w14:paraId="141CAEB5" w14:textId="77777777" w:rsidR="001A5DAD" w:rsidRPr="001B4CA2" w:rsidRDefault="001A5DAD" w:rsidP="009A1E7E">
            <w:pPr>
              <w:ind w:left="113" w:right="113"/>
              <w:jc w:val="left"/>
              <w:rPr>
                <w:rFonts w:eastAsia="Times New Roman"/>
                <w:color w:val="000000"/>
                <w:sz w:val="18"/>
                <w:szCs w:val="18"/>
                <w:lang w:eastAsia="hr-HR"/>
              </w:rPr>
            </w:pPr>
            <w:r w:rsidRPr="001B4CA2">
              <w:rPr>
                <w:rFonts w:eastAsia="Times New Roman"/>
                <w:color w:val="000000"/>
                <w:sz w:val="18"/>
                <w:szCs w:val="18"/>
                <w:lang w:eastAsia="hr-HR"/>
              </w:rPr>
              <w:t>Riješeno</w:t>
            </w:r>
          </w:p>
        </w:tc>
        <w:tc>
          <w:tcPr>
            <w:tcW w:w="436" w:type="pct"/>
            <w:tcBorders>
              <w:top w:val="single" w:sz="4" w:space="0" w:color="auto"/>
              <w:left w:val="single" w:sz="4" w:space="0" w:color="auto"/>
              <w:bottom w:val="single" w:sz="4" w:space="0" w:color="auto"/>
              <w:right w:val="single" w:sz="4" w:space="0" w:color="auto"/>
            </w:tcBorders>
            <w:shd w:val="clear" w:color="auto" w:fill="99CCFF"/>
            <w:noWrap/>
            <w:textDirection w:val="btLr"/>
            <w:vAlign w:val="center"/>
          </w:tcPr>
          <w:p w14:paraId="2B671AC4" w14:textId="77777777" w:rsidR="001A5DAD" w:rsidRPr="001B4CA2" w:rsidRDefault="001A5DAD" w:rsidP="009A1E7E">
            <w:pPr>
              <w:ind w:left="113" w:right="113"/>
              <w:jc w:val="left"/>
              <w:rPr>
                <w:rFonts w:eastAsia="Times New Roman"/>
                <w:color w:val="000000"/>
                <w:sz w:val="18"/>
                <w:szCs w:val="18"/>
                <w:lang w:eastAsia="hr-HR"/>
              </w:rPr>
            </w:pPr>
            <w:r w:rsidRPr="001B4CA2">
              <w:rPr>
                <w:rFonts w:eastAsia="Times New Roman"/>
                <w:color w:val="000000"/>
                <w:sz w:val="18"/>
                <w:szCs w:val="18"/>
                <w:lang w:eastAsia="hr-HR"/>
              </w:rPr>
              <w:t>Primljeno</w:t>
            </w:r>
          </w:p>
        </w:tc>
        <w:tc>
          <w:tcPr>
            <w:tcW w:w="414" w:type="pct"/>
            <w:tcBorders>
              <w:top w:val="single" w:sz="4" w:space="0" w:color="auto"/>
              <w:left w:val="single" w:sz="4" w:space="0" w:color="auto"/>
              <w:bottom w:val="single" w:sz="4" w:space="0" w:color="auto"/>
              <w:right w:val="single" w:sz="4" w:space="0" w:color="auto"/>
            </w:tcBorders>
            <w:shd w:val="clear" w:color="auto" w:fill="99CCFF"/>
            <w:noWrap/>
            <w:textDirection w:val="btLr"/>
            <w:vAlign w:val="center"/>
          </w:tcPr>
          <w:p w14:paraId="2D7A8FD8" w14:textId="77777777" w:rsidR="001A5DAD" w:rsidRPr="001B4CA2" w:rsidRDefault="001A5DAD" w:rsidP="009A1E7E">
            <w:pPr>
              <w:ind w:left="113" w:right="113"/>
              <w:jc w:val="left"/>
              <w:rPr>
                <w:rFonts w:eastAsia="Times New Roman"/>
                <w:color w:val="000000"/>
                <w:sz w:val="18"/>
                <w:szCs w:val="18"/>
                <w:lang w:eastAsia="hr-HR"/>
              </w:rPr>
            </w:pPr>
            <w:r w:rsidRPr="001B4CA2">
              <w:rPr>
                <w:rFonts w:eastAsia="Times New Roman"/>
                <w:color w:val="000000"/>
                <w:sz w:val="18"/>
                <w:szCs w:val="18"/>
                <w:lang w:eastAsia="hr-HR"/>
              </w:rPr>
              <w:t>Riješeno</w:t>
            </w:r>
          </w:p>
        </w:tc>
        <w:tc>
          <w:tcPr>
            <w:tcW w:w="436" w:type="pct"/>
            <w:tcBorders>
              <w:top w:val="single" w:sz="4" w:space="0" w:color="auto"/>
              <w:left w:val="single" w:sz="4" w:space="0" w:color="auto"/>
              <w:bottom w:val="single" w:sz="4" w:space="0" w:color="auto"/>
              <w:right w:val="single" w:sz="4" w:space="0" w:color="auto"/>
            </w:tcBorders>
            <w:shd w:val="clear" w:color="auto" w:fill="99CCFF"/>
            <w:textDirection w:val="btLr"/>
            <w:vAlign w:val="center"/>
          </w:tcPr>
          <w:p w14:paraId="51ED259D" w14:textId="77777777" w:rsidR="001A5DAD" w:rsidRPr="001B4CA2" w:rsidRDefault="001A5DAD" w:rsidP="009A1E7E">
            <w:pPr>
              <w:ind w:left="113" w:right="113"/>
              <w:jc w:val="left"/>
              <w:rPr>
                <w:rFonts w:eastAsia="Times New Roman"/>
                <w:color w:val="000000"/>
                <w:sz w:val="18"/>
                <w:szCs w:val="18"/>
                <w:lang w:eastAsia="hr-HR"/>
              </w:rPr>
            </w:pPr>
            <w:r w:rsidRPr="001B4CA2">
              <w:rPr>
                <w:rFonts w:eastAsia="Times New Roman"/>
                <w:color w:val="000000"/>
                <w:sz w:val="18"/>
                <w:szCs w:val="18"/>
                <w:lang w:eastAsia="hr-HR"/>
              </w:rPr>
              <w:t>Primljeno</w:t>
            </w:r>
          </w:p>
        </w:tc>
        <w:tc>
          <w:tcPr>
            <w:tcW w:w="414" w:type="pct"/>
            <w:tcBorders>
              <w:top w:val="single" w:sz="4" w:space="0" w:color="auto"/>
              <w:left w:val="single" w:sz="4" w:space="0" w:color="auto"/>
              <w:bottom w:val="single" w:sz="4" w:space="0" w:color="auto"/>
              <w:right w:val="single" w:sz="4" w:space="0" w:color="auto"/>
            </w:tcBorders>
            <w:shd w:val="clear" w:color="auto" w:fill="99CCFF"/>
            <w:textDirection w:val="btLr"/>
            <w:vAlign w:val="center"/>
          </w:tcPr>
          <w:p w14:paraId="11C8D134" w14:textId="77777777" w:rsidR="001A5DAD" w:rsidRPr="001B4CA2" w:rsidRDefault="001A5DAD" w:rsidP="009A1E7E">
            <w:pPr>
              <w:ind w:left="113" w:right="113"/>
              <w:jc w:val="left"/>
              <w:rPr>
                <w:rFonts w:eastAsia="Times New Roman"/>
                <w:color w:val="000000"/>
                <w:sz w:val="18"/>
                <w:szCs w:val="18"/>
                <w:lang w:eastAsia="hr-HR"/>
              </w:rPr>
            </w:pPr>
            <w:r w:rsidRPr="001B4CA2">
              <w:rPr>
                <w:rFonts w:eastAsia="Times New Roman"/>
                <w:color w:val="000000"/>
                <w:sz w:val="18"/>
                <w:szCs w:val="18"/>
                <w:lang w:eastAsia="hr-HR"/>
              </w:rPr>
              <w:t>Riješeno</w:t>
            </w:r>
          </w:p>
        </w:tc>
        <w:tc>
          <w:tcPr>
            <w:tcW w:w="436" w:type="pct"/>
            <w:tcBorders>
              <w:top w:val="single" w:sz="4" w:space="0" w:color="auto"/>
              <w:left w:val="single" w:sz="4" w:space="0" w:color="auto"/>
              <w:bottom w:val="single" w:sz="4" w:space="0" w:color="auto"/>
              <w:right w:val="single" w:sz="4" w:space="0" w:color="auto"/>
            </w:tcBorders>
            <w:shd w:val="clear" w:color="auto" w:fill="99CCFF"/>
            <w:textDirection w:val="btLr"/>
            <w:vAlign w:val="center"/>
          </w:tcPr>
          <w:p w14:paraId="600E7136" w14:textId="77777777" w:rsidR="001A5DAD" w:rsidRPr="001B4CA2" w:rsidRDefault="001A5DAD" w:rsidP="009A1E7E">
            <w:pPr>
              <w:ind w:left="113" w:right="113"/>
              <w:jc w:val="left"/>
              <w:rPr>
                <w:rFonts w:eastAsia="Times New Roman"/>
                <w:color w:val="000000"/>
                <w:sz w:val="18"/>
                <w:szCs w:val="18"/>
                <w:lang w:eastAsia="hr-HR"/>
              </w:rPr>
            </w:pPr>
            <w:r w:rsidRPr="001B4CA2">
              <w:rPr>
                <w:rFonts w:eastAsia="Times New Roman"/>
                <w:color w:val="000000"/>
                <w:sz w:val="18"/>
                <w:szCs w:val="18"/>
                <w:lang w:eastAsia="hr-HR"/>
              </w:rPr>
              <w:t>Primljeno</w:t>
            </w:r>
          </w:p>
        </w:tc>
        <w:tc>
          <w:tcPr>
            <w:tcW w:w="414" w:type="pct"/>
            <w:tcBorders>
              <w:top w:val="single" w:sz="4" w:space="0" w:color="auto"/>
              <w:left w:val="single" w:sz="4" w:space="0" w:color="auto"/>
              <w:bottom w:val="single" w:sz="4" w:space="0" w:color="auto"/>
              <w:right w:val="single" w:sz="4" w:space="0" w:color="auto"/>
            </w:tcBorders>
            <w:shd w:val="clear" w:color="auto" w:fill="99CCFF"/>
            <w:textDirection w:val="btLr"/>
            <w:vAlign w:val="center"/>
          </w:tcPr>
          <w:p w14:paraId="2519FCBC" w14:textId="77777777" w:rsidR="001A5DAD" w:rsidRPr="001B4CA2" w:rsidRDefault="001A5DAD" w:rsidP="009A1E7E">
            <w:pPr>
              <w:ind w:left="113" w:right="113"/>
              <w:jc w:val="left"/>
              <w:rPr>
                <w:rFonts w:eastAsia="Times New Roman"/>
                <w:color w:val="000000"/>
                <w:sz w:val="18"/>
                <w:szCs w:val="18"/>
                <w:lang w:eastAsia="hr-HR"/>
              </w:rPr>
            </w:pPr>
            <w:r w:rsidRPr="001B4CA2">
              <w:rPr>
                <w:rFonts w:eastAsia="Times New Roman"/>
                <w:color w:val="000000"/>
                <w:sz w:val="18"/>
                <w:szCs w:val="18"/>
                <w:lang w:eastAsia="hr-HR"/>
              </w:rPr>
              <w:t>Riješeno</w:t>
            </w:r>
          </w:p>
        </w:tc>
      </w:tr>
      <w:tr w:rsidR="001A5DAD" w:rsidRPr="001B4CA2" w14:paraId="41E1DBC5" w14:textId="77777777" w:rsidTr="007D12C6">
        <w:trPr>
          <w:trHeight w:val="414"/>
          <w:jc w:val="center"/>
        </w:trPr>
        <w:tc>
          <w:tcPr>
            <w:tcW w:w="753" w:type="pct"/>
            <w:tcBorders>
              <w:top w:val="single" w:sz="4" w:space="0" w:color="auto"/>
              <w:left w:val="single" w:sz="4" w:space="0" w:color="auto"/>
              <w:bottom w:val="single" w:sz="4" w:space="0" w:color="auto"/>
              <w:right w:val="single" w:sz="4" w:space="0" w:color="auto"/>
            </w:tcBorders>
            <w:vAlign w:val="center"/>
            <w:hideMark/>
          </w:tcPr>
          <w:p w14:paraId="62113440" w14:textId="77777777" w:rsidR="001A5DAD" w:rsidRPr="001B4CA2" w:rsidRDefault="001A5DAD" w:rsidP="001A5DAD">
            <w:pPr>
              <w:jc w:val="left"/>
              <w:rPr>
                <w:rFonts w:eastAsia="Times New Roman"/>
                <w:bCs/>
                <w:color w:val="000000"/>
                <w:sz w:val="18"/>
                <w:szCs w:val="18"/>
                <w:lang w:eastAsia="hr-HR"/>
              </w:rPr>
            </w:pPr>
            <w:r w:rsidRPr="001B4CA2">
              <w:rPr>
                <w:rFonts w:eastAsia="Times New Roman"/>
                <w:bCs/>
                <w:color w:val="000000"/>
                <w:sz w:val="18"/>
                <w:szCs w:val="18"/>
                <w:lang w:eastAsia="hr-HR"/>
              </w:rPr>
              <w:t>Pravna mišljenja</w:t>
            </w:r>
          </w:p>
        </w:tc>
        <w:tc>
          <w:tcPr>
            <w:tcW w:w="436" w:type="pct"/>
            <w:tcBorders>
              <w:top w:val="single" w:sz="4" w:space="0" w:color="auto"/>
              <w:left w:val="single" w:sz="4" w:space="0" w:color="auto"/>
              <w:bottom w:val="single" w:sz="4" w:space="0" w:color="auto"/>
              <w:right w:val="single" w:sz="4" w:space="0" w:color="auto"/>
            </w:tcBorders>
            <w:noWrap/>
            <w:vAlign w:val="center"/>
          </w:tcPr>
          <w:p w14:paraId="490E675F"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 2.604</w:t>
            </w:r>
          </w:p>
        </w:tc>
        <w:tc>
          <w:tcPr>
            <w:tcW w:w="414" w:type="pct"/>
            <w:tcBorders>
              <w:top w:val="single" w:sz="4" w:space="0" w:color="auto"/>
              <w:left w:val="single" w:sz="4" w:space="0" w:color="auto"/>
              <w:bottom w:val="single" w:sz="4" w:space="0" w:color="auto"/>
              <w:right w:val="single" w:sz="4" w:space="0" w:color="auto"/>
            </w:tcBorders>
            <w:noWrap/>
            <w:vAlign w:val="center"/>
          </w:tcPr>
          <w:p w14:paraId="48A08579"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2.671</w:t>
            </w:r>
          </w:p>
        </w:tc>
        <w:tc>
          <w:tcPr>
            <w:tcW w:w="436" w:type="pct"/>
            <w:tcBorders>
              <w:top w:val="single" w:sz="4" w:space="0" w:color="auto"/>
              <w:left w:val="single" w:sz="4" w:space="0" w:color="auto"/>
              <w:bottom w:val="single" w:sz="4" w:space="0" w:color="auto"/>
              <w:right w:val="single" w:sz="4" w:space="0" w:color="auto"/>
            </w:tcBorders>
            <w:noWrap/>
            <w:vAlign w:val="center"/>
          </w:tcPr>
          <w:p w14:paraId="512D4441"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2.803</w:t>
            </w:r>
          </w:p>
        </w:tc>
        <w:tc>
          <w:tcPr>
            <w:tcW w:w="414" w:type="pct"/>
            <w:tcBorders>
              <w:top w:val="single" w:sz="4" w:space="0" w:color="auto"/>
              <w:left w:val="single" w:sz="4" w:space="0" w:color="auto"/>
              <w:bottom w:val="single" w:sz="4" w:space="0" w:color="auto"/>
              <w:right w:val="single" w:sz="4" w:space="0" w:color="auto"/>
            </w:tcBorders>
            <w:noWrap/>
            <w:vAlign w:val="center"/>
          </w:tcPr>
          <w:p w14:paraId="50A04E86"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2.722</w:t>
            </w:r>
          </w:p>
        </w:tc>
        <w:tc>
          <w:tcPr>
            <w:tcW w:w="436" w:type="pct"/>
            <w:tcBorders>
              <w:top w:val="single" w:sz="4" w:space="0" w:color="auto"/>
              <w:left w:val="single" w:sz="4" w:space="0" w:color="auto"/>
              <w:bottom w:val="single" w:sz="4" w:space="0" w:color="auto"/>
              <w:right w:val="single" w:sz="4" w:space="0" w:color="auto"/>
            </w:tcBorders>
            <w:noWrap/>
            <w:vAlign w:val="center"/>
          </w:tcPr>
          <w:p w14:paraId="30F14D83"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2.153</w:t>
            </w:r>
          </w:p>
        </w:tc>
        <w:tc>
          <w:tcPr>
            <w:tcW w:w="414" w:type="pct"/>
            <w:tcBorders>
              <w:top w:val="single" w:sz="4" w:space="0" w:color="auto"/>
              <w:left w:val="single" w:sz="4" w:space="0" w:color="auto"/>
              <w:bottom w:val="single" w:sz="4" w:space="0" w:color="auto"/>
              <w:right w:val="single" w:sz="4" w:space="0" w:color="auto"/>
            </w:tcBorders>
            <w:noWrap/>
            <w:vAlign w:val="center"/>
          </w:tcPr>
          <w:p w14:paraId="34376478"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2.197</w:t>
            </w:r>
          </w:p>
        </w:tc>
        <w:tc>
          <w:tcPr>
            <w:tcW w:w="436" w:type="pct"/>
            <w:tcBorders>
              <w:top w:val="single" w:sz="4" w:space="0" w:color="auto"/>
              <w:left w:val="single" w:sz="4" w:space="0" w:color="auto"/>
              <w:bottom w:val="single" w:sz="4" w:space="0" w:color="auto"/>
              <w:right w:val="single" w:sz="4" w:space="0" w:color="auto"/>
            </w:tcBorders>
            <w:vAlign w:val="center"/>
          </w:tcPr>
          <w:p w14:paraId="4C162D2E"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2.098</w:t>
            </w:r>
          </w:p>
        </w:tc>
        <w:tc>
          <w:tcPr>
            <w:tcW w:w="414" w:type="pct"/>
            <w:tcBorders>
              <w:top w:val="single" w:sz="4" w:space="0" w:color="auto"/>
              <w:left w:val="single" w:sz="4" w:space="0" w:color="auto"/>
              <w:bottom w:val="single" w:sz="4" w:space="0" w:color="auto"/>
              <w:right w:val="single" w:sz="4" w:space="0" w:color="auto"/>
            </w:tcBorders>
            <w:vAlign w:val="center"/>
          </w:tcPr>
          <w:p w14:paraId="09D01289"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2.116</w:t>
            </w:r>
          </w:p>
        </w:tc>
        <w:tc>
          <w:tcPr>
            <w:tcW w:w="436" w:type="pct"/>
            <w:tcBorders>
              <w:top w:val="single" w:sz="4" w:space="0" w:color="auto"/>
              <w:left w:val="single" w:sz="4" w:space="0" w:color="auto"/>
              <w:bottom w:val="single" w:sz="4" w:space="0" w:color="auto"/>
              <w:right w:val="single" w:sz="4" w:space="0" w:color="auto"/>
            </w:tcBorders>
            <w:vAlign w:val="center"/>
          </w:tcPr>
          <w:p w14:paraId="0E63B690"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1.980</w:t>
            </w:r>
          </w:p>
        </w:tc>
        <w:tc>
          <w:tcPr>
            <w:tcW w:w="414" w:type="pct"/>
            <w:tcBorders>
              <w:top w:val="single" w:sz="4" w:space="0" w:color="auto"/>
              <w:left w:val="single" w:sz="4" w:space="0" w:color="auto"/>
              <w:bottom w:val="single" w:sz="4" w:space="0" w:color="auto"/>
              <w:right w:val="single" w:sz="4" w:space="0" w:color="auto"/>
            </w:tcBorders>
            <w:vAlign w:val="center"/>
          </w:tcPr>
          <w:p w14:paraId="225F6CE9"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1.967</w:t>
            </w:r>
          </w:p>
        </w:tc>
      </w:tr>
      <w:tr w:rsidR="001A5DAD" w:rsidRPr="001B4CA2" w14:paraId="088ACE5F" w14:textId="77777777" w:rsidTr="007D12C6">
        <w:trPr>
          <w:trHeight w:val="414"/>
          <w:jc w:val="center"/>
        </w:trPr>
        <w:tc>
          <w:tcPr>
            <w:tcW w:w="753" w:type="pct"/>
            <w:tcBorders>
              <w:top w:val="single" w:sz="4" w:space="0" w:color="auto"/>
              <w:left w:val="single" w:sz="4" w:space="0" w:color="auto"/>
              <w:bottom w:val="single" w:sz="4" w:space="0" w:color="auto"/>
              <w:right w:val="single" w:sz="4" w:space="0" w:color="auto"/>
            </w:tcBorders>
            <w:vAlign w:val="center"/>
            <w:hideMark/>
          </w:tcPr>
          <w:p w14:paraId="10B8E617" w14:textId="77777777" w:rsidR="001A5DAD" w:rsidRPr="001B4CA2" w:rsidRDefault="001A5DAD" w:rsidP="001A5DAD">
            <w:pPr>
              <w:jc w:val="left"/>
              <w:rPr>
                <w:rFonts w:eastAsia="Times New Roman"/>
                <w:bCs/>
                <w:color w:val="000000"/>
                <w:sz w:val="18"/>
                <w:szCs w:val="18"/>
                <w:lang w:eastAsia="hr-HR"/>
              </w:rPr>
            </w:pPr>
            <w:r w:rsidRPr="001B4CA2">
              <w:rPr>
                <w:rFonts w:eastAsia="Times New Roman"/>
                <w:bCs/>
                <w:color w:val="000000"/>
                <w:sz w:val="18"/>
                <w:szCs w:val="18"/>
                <w:lang w:eastAsia="hr-HR"/>
              </w:rPr>
              <w:t xml:space="preserve">Razno </w:t>
            </w:r>
          </w:p>
        </w:tc>
        <w:tc>
          <w:tcPr>
            <w:tcW w:w="436" w:type="pct"/>
            <w:tcBorders>
              <w:top w:val="single" w:sz="4" w:space="0" w:color="auto"/>
              <w:left w:val="single" w:sz="4" w:space="0" w:color="auto"/>
              <w:bottom w:val="single" w:sz="4" w:space="0" w:color="auto"/>
              <w:right w:val="single" w:sz="4" w:space="0" w:color="auto"/>
            </w:tcBorders>
            <w:noWrap/>
            <w:vAlign w:val="center"/>
          </w:tcPr>
          <w:p w14:paraId="205FCBCF"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 5.701</w:t>
            </w:r>
          </w:p>
        </w:tc>
        <w:tc>
          <w:tcPr>
            <w:tcW w:w="414" w:type="pct"/>
            <w:tcBorders>
              <w:top w:val="single" w:sz="4" w:space="0" w:color="auto"/>
              <w:left w:val="single" w:sz="4" w:space="0" w:color="auto"/>
              <w:bottom w:val="single" w:sz="4" w:space="0" w:color="auto"/>
              <w:right w:val="single" w:sz="4" w:space="0" w:color="auto"/>
            </w:tcBorders>
            <w:noWrap/>
            <w:vAlign w:val="center"/>
          </w:tcPr>
          <w:p w14:paraId="161A9AAB"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5.872</w:t>
            </w:r>
          </w:p>
        </w:tc>
        <w:tc>
          <w:tcPr>
            <w:tcW w:w="436" w:type="pct"/>
            <w:tcBorders>
              <w:top w:val="single" w:sz="4" w:space="0" w:color="auto"/>
              <w:left w:val="single" w:sz="4" w:space="0" w:color="auto"/>
              <w:bottom w:val="single" w:sz="4" w:space="0" w:color="auto"/>
              <w:right w:val="single" w:sz="4" w:space="0" w:color="auto"/>
            </w:tcBorders>
            <w:noWrap/>
            <w:vAlign w:val="center"/>
          </w:tcPr>
          <w:p w14:paraId="15AC5D21"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6.207</w:t>
            </w:r>
          </w:p>
        </w:tc>
        <w:tc>
          <w:tcPr>
            <w:tcW w:w="414" w:type="pct"/>
            <w:tcBorders>
              <w:top w:val="single" w:sz="4" w:space="0" w:color="auto"/>
              <w:left w:val="single" w:sz="4" w:space="0" w:color="auto"/>
              <w:bottom w:val="single" w:sz="4" w:space="0" w:color="auto"/>
              <w:right w:val="single" w:sz="4" w:space="0" w:color="auto"/>
            </w:tcBorders>
            <w:noWrap/>
            <w:vAlign w:val="center"/>
          </w:tcPr>
          <w:p w14:paraId="107D67A6"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5.631</w:t>
            </w:r>
          </w:p>
        </w:tc>
        <w:tc>
          <w:tcPr>
            <w:tcW w:w="436" w:type="pct"/>
            <w:tcBorders>
              <w:top w:val="single" w:sz="4" w:space="0" w:color="auto"/>
              <w:left w:val="single" w:sz="4" w:space="0" w:color="auto"/>
              <w:bottom w:val="single" w:sz="4" w:space="0" w:color="auto"/>
              <w:right w:val="single" w:sz="4" w:space="0" w:color="auto"/>
            </w:tcBorders>
            <w:noWrap/>
            <w:vAlign w:val="center"/>
          </w:tcPr>
          <w:p w14:paraId="35FE08AC"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4.941</w:t>
            </w:r>
          </w:p>
        </w:tc>
        <w:tc>
          <w:tcPr>
            <w:tcW w:w="414" w:type="pct"/>
            <w:tcBorders>
              <w:top w:val="single" w:sz="4" w:space="0" w:color="auto"/>
              <w:left w:val="single" w:sz="4" w:space="0" w:color="auto"/>
              <w:bottom w:val="single" w:sz="4" w:space="0" w:color="auto"/>
              <w:right w:val="single" w:sz="4" w:space="0" w:color="auto"/>
            </w:tcBorders>
            <w:noWrap/>
            <w:vAlign w:val="center"/>
          </w:tcPr>
          <w:p w14:paraId="6D9F7F41"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5.029</w:t>
            </w:r>
          </w:p>
        </w:tc>
        <w:tc>
          <w:tcPr>
            <w:tcW w:w="436" w:type="pct"/>
            <w:tcBorders>
              <w:top w:val="single" w:sz="4" w:space="0" w:color="auto"/>
              <w:left w:val="single" w:sz="4" w:space="0" w:color="auto"/>
              <w:bottom w:val="single" w:sz="4" w:space="0" w:color="auto"/>
              <w:right w:val="single" w:sz="4" w:space="0" w:color="auto"/>
            </w:tcBorders>
            <w:vAlign w:val="center"/>
          </w:tcPr>
          <w:p w14:paraId="1AE1D97A"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4.746</w:t>
            </w:r>
          </w:p>
        </w:tc>
        <w:tc>
          <w:tcPr>
            <w:tcW w:w="414" w:type="pct"/>
            <w:tcBorders>
              <w:top w:val="single" w:sz="4" w:space="0" w:color="auto"/>
              <w:left w:val="single" w:sz="4" w:space="0" w:color="auto"/>
              <w:bottom w:val="single" w:sz="4" w:space="0" w:color="auto"/>
              <w:right w:val="single" w:sz="4" w:space="0" w:color="auto"/>
            </w:tcBorders>
            <w:vAlign w:val="center"/>
          </w:tcPr>
          <w:p w14:paraId="6560D058"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4.983</w:t>
            </w:r>
          </w:p>
        </w:tc>
        <w:tc>
          <w:tcPr>
            <w:tcW w:w="436" w:type="pct"/>
            <w:tcBorders>
              <w:top w:val="single" w:sz="4" w:space="0" w:color="auto"/>
              <w:left w:val="single" w:sz="4" w:space="0" w:color="auto"/>
              <w:bottom w:val="single" w:sz="4" w:space="0" w:color="auto"/>
              <w:right w:val="single" w:sz="4" w:space="0" w:color="auto"/>
            </w:tcBorders>
            <w:vAlign w:val="center"/>
          </w:tcPr>
          <w:p w14:paraId="4E25B48E"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4.119</w:t>
            </w:r>
          </w:p>
        </w:tc>
        <w:tc>
          <w:tcPr>
            <w:tcW w:w="414" w:type="pct"/>
            <w:tcBorders>
              <w:top w:val="single" w:sz="4" w:space="0" w:color="auto"/>
              <w:left w:val="single" w:sz="4" w:space="0" w:color="auto"/>
              <w:bottom w:val="single" w:sz="4" w:space="0" w:color="auto"/>
              <w:right w:val="single" w:sz="4" w:space="0" w:color="auto"/>
            </w:tcBorders>
            <w:vAlign w:val="center"/>
          </w:tcPr>
          <w:p w14:paraId="178C9DB4" w14:textId="77777777" w:rsidR="001A5DAD" w:rsidRPr="001B4CA2" w:rsidRDefault="001A5DAD" w:rsidP="001A5DAD">
            <w:pPr>
              <w:jc w:val="center"/>
              <w:rPr>
                <w:rFonts w:eastAsia="Times New Roman"/>
                <w:color w:val="000000"/>
                <w:sz w:val="18"/>
                <w:szCs w:val="18"/>
                <w:lang w:eastAsia="hr-HR"/>
              </w:rPr>
            </w:pPr>
            <w:r w:rsidRPr="001B4CA2">
              <w:rPr>
                <w:rFonts w:eastAsia="Times New Roman"/>
                <w:color w:val="000000"/>
                <w:sz w:val="18"/>
                <w:szCs w:val="18"/>
                <w:lang w:eastAsia="hr-HR"/>
              </w:rPr>
              <w:t>4.159</w:t>
            </w:r>
          </w:p>
        </w:tc>
      </w:tr>
    </w:tbl>
    <w:p w14:paraId="501BCD08" w14:textId="77777777" w:rsidR="001A5DAD" w:rsidRPr="001B4CA2" w:rsidRDefault="001A5DAD" w:rsidP="001A5DAD">
      <w:pPr>
        <w:rPr>
          <w:sz w:val="20"/>
          <w:szCs w:val="20"/>
        </w:rPr>
      </w:pPr>
    </w:p>
    <w:p w14:paraId="5595806D" w14:textId="77777777" w:rsidR="001A5DAD" w:rsidRPr="001B4CA2" w:rsidRDefault="001A5DAD" w:rsidP="001A5DAD">
      <w:pPr>
        <w:rPr>
          <w:sz w:val="20"/>
          <w:szCs w:val="20"/>
        </w:rPr>
      </w:pPr>
    </w:p>
    <w:p w14:paraId="636CAB3D" w14:textId="4B9F5DE8" w:rsidR="001A5DAD" w:rsidRPr="001B4CA2" w:rsidRDefault="001A5DAD" w:rsidP="001A5DAD">
      <w:r w:rsidRPr="001B4CA2">
        <w:rPr>
          <w:sz w:val="20"/>
          <w:szCs w:val="20"/>
        </w:rPr>
        <w:tab/>
      </w:r>
      <w:r w:rsidRPr="001B4CA2">
        <w:t>Broj predmeta pravnih mišljenja već je tri godine u blagom padu. Od 1</w:t>
      </w:r>
      <w:r w:rsidR="00436C25">
        <w:t>.</w:t>
      </w:r>
      <w:r w:rsidRPr="001B4CA2">
        <w:t>980 ovih predmeta 80</w:t>
      </w:r>
      <w:r w:rsidR="00436C25">
        <w:t> </w:t>
      </w:r>
      <w:r w:rsidRPr="001B4CA2">
        <w:t xml:space="preserve">% </w:t>
      </w:r>
      <w:r w:rsidR="00436C25" w:rsidRPr="001B4CA2">
        <w:t xml:space="preserve">odnosilo </w:t>
      </w:r>
      <w:r w:rsidRPr="001B4CA2">
        <w:t xml:space="preserve">se na mišljenja koja općinska državna odvjetništva daju </w:t>
      </w:r>
      <w:r w:rsidRPr="001B4CA2">
        <w:lastRenderedPageBreak/>
        <w:t>temeljem Zakona o državnom odvjetništvu, 18</w:t>
      </w:r>
      <w:r w:rsidR="00436C25">
        <w:t> </w:t>
      </w:r>
      <w:r w:rsidRPr="001B4CA2">
        <w:t>% na mišljenja po posebnim propisima te 2</w:t>
      </w:r>
      <w:r w:rsidR="00436C25">
        <w:t> </w:t>
      </w:r>
      <w:r w:rsidRPr="001B4CA2">
        <w:t>% na druga mišljenja.</w:t>
      </w:r>
    </w:p>
    <w:p w14:paraId="5AF2349A" w14:textId="77777777" w:rsidR="001A5DAD" w:rsidRPr="001B4CA2" w:rsidRDefault="001A5DAD" w:rsidP="001A5DAD"/>
    <w:p w14:paraId="18D8D1F0" w14:textId="3BE27D86" w:rsidR="001A5DAD" w:rsidRPr="001B4CA2" w:rsidRDefault="001A5DAD" w:rsidP="001A5DAD">
      <w:r w:rsidRPr="001B4CA2">
        <w:tab/>
        <w:t>Najveći dio mišljenja koja se daju temeljem Zakona o državnom odvjetništvu odnosi</w:t>
      </w:r>
      <w:r w:rsidR="00C12AD2" w:rsidRPr="001B4CA2">
        <w:t>lo</w:t>
      </w:r>
      <w:r w:rsidRPr="001B4CA2">
        <w:t xml:space="preserve"> se na ugovore o prodaji koje sklapa Središnji državni ured za obnovu i stambeno zbrinjavanje, Ministarstvo hrvatskih branitelja i Ministarstvo unutarnjih poslova te na ugovore o darovanju koje</w:t>
      </w:r>
      <w:r w:rsidR="00C12AD2" w:rsidRPr="001B4CA2">
        <w:t xml:space="preserve"> je</w:t>
      </w:r>
      <w:r w:rsidRPr="001B4CA2">
        <w:t xml:space="preserve"> također sklapa</w:t>
      </w:r>
      <w:r w:rsidR="00C12AD2" w:rsidRPr="001B4CA2">
        <w:t>o</w:t>
      </w:r>
      <w:r w:rsidRPr="001B4CA2">
        <w:t xml:space="preserve"> Središnji državni ured za obnovu i stambeno zbrinjavanje kao i Ministarstvo prostornog uređenja, graditeljstva i državne imovine.</w:t>
      </w:r>
    </w:p>
    <w:p w14:paraId="50FA9D6F" w14:textId="77777777" w:rsidR="001A5DAD" w:rsidRPr="001B4CA2" w:rsidRDefault="001A5DAD" w:rsidP="001A5DAD"/>
    <w:p w14:paraId="39767C79" w14:textId="1C785977" w:rsidR="001A5DAD" w:rsidRPr="001B4CA2" w:rsidRDefault="001A5DAD" w:rsidP="001A5DAD">
      <w:r w:rsidRPr="001B4CA2">
        <w:tab/>
        <w:t>Mišljenja po posebnim propisima</w:t>
      </w:r>
      <w:r w:rsidR="00C12AD2" w:rsidRPr="001B4CA2">
        <w:t xml:space="preserve"> </w:t>
      </w:r>
      <w:r w:rsidR="00436C25" w:rsidRPr="001B4CA2">
        <w:t xml:space="preserve">najvećim </w:t>
      </w:r>
      <w:r w:rsidR="00C12AD2" w:rsidRPr="001B4CA2">
        <w:t>su</w:t>
      </w:r>
      <w:r w:rsidRPr="001B4CA2">
        <w:t xml:space="preserve"> se dijelom temelj</w:t>
      </w:r>
      <w:r w:rsidR="00C12AD2" w:rsidRPr="001B4CA2">
        <w:t>ila</w:t>
      </w:r>
      <w:r w:rsidRPr="001B4CA2">
        <w:t xml:space="preserve"> na Zakonu o prodaji stanova na kojima postoji stanarsko pravo, a uglavnom se radi</w:t>
      </w:r>
      <w:r w:rsidR="00C12AD2" w:rsidRPr="001B4CA2">
        <w:t>lo</w:t>
      </w:r>
      <w:r w:rsidRPr="001B4CA2">
        <w:t xml:space="preserve"> o aneksima ranije sklopljenih ugovora radi jednokratne otplate cijene stana.</w:t>
      </w:r>
    </w:p>
    <w:p w14:paraId="678A18C3" w14:textId="6D6919B8" w:rsidR="00344C18" w:rsidRPr="001B4CA2" w:rsidRDefault="00344C18">
      <w:pPr>
        <w:spacing w:after="200" w:line="276" w:lineRule="auto"/>
        <w:jc w:val="left"/>
      </w:pPr>
      <w:r w:rsidRPr="001B4CA2">
        <w:br w:type="page"/>
      </w:r>
    </w:p>
    <w:p w14:paraId="6CC473DB" w14:textId="37D8CE53" w:rsidR="00BB4D48" w:rsidRPr="001B4CA2" w:rsidRDefault="00B7150A" w:rsidP="007C50CA">
      <w:pPr>
        <w:pStyle w:val="Naslov2"/>
        <w:rPr>
          <w:rFonts w:ascii="Arial" w:hAnsi="Arial" w:cs="Arial"/>
        </w:rPr>
      </w:pPr>
      <w:r w:rsidRPr="001B4CA2">
        <w:rPr>
          <w:rFonts w:ascii="Arial" w:hAnsi="Arial" w:cs="Arial"/>
        </w:rPr>
        <w:lastRenderedPageBreak/>
        <w:t xml:space="preserve"> </w:t>
      </w:r>
      <w:bookmarkStart w:id="73" w:name="_Toc133394333"/>
      <w:r w:rsidR="00BB4D48" w:rsidRPr="001B4CA2">
        <w:rPr>
          <w:rFonts w:ascii="Arial" w:hAnsi="Arial" w:cs="Arial"/>
        </w:rPr>
        <w:t xml:space="preserve">Prikaz </w:t>
      </w:r>
      <w:r w:rsidR="00C81134" w:rsidRPr="001B4CA2">
        <w:rPr>
          <w:rFonts w:ascii="Arial" w:hAnsi="Arial" w:cs="Arial"/>
        </w:rPr>
        <w:t xml:space="preserve">rada i </w:t>
      </w:r>
      <w:r w:rsidR="00BB4D48" w:rsidRPr="001B4CA2">
        <w:rPr>
          <w:rFonts w:ascii="Arial" w:hAnsi="Arial" w:cs="Arial"/>
        </w:rPr>
        <w:t>odluka županijskih državnih odvjetništava</w:t>
      </w:r>
      <w:bookmarkEnd w:id="73"/>
    </w:p>
    <w:p w14:paraId="3234E484" w14:textId="77777777" w:rsidR="00EE0AD1" w:rsidRPr="001B4CA2" w:rsidRDefault="00EE0AD1" w:rsidP="007C50CA"/>
    <w:p w14:paraId="479D7E63" w14:textId="3B21DCDB" w:rsidR="00BB4D48" w:rsidRPr="001B4CA2" w:rsidRDefault="00B7150A" w:rsidP="00BB27EB">
      <w:pPr>
        <w:pStyle w:val="Naslov3"/>
        <w:tabs>
          <w:tab w:val="left" w:pos="851"/>
        </w:tabs>
        <w:rPr>
          <w:rFonts w:ascii="Arial" w:hAnsi="Arial" w:cs="Arial"/>
        </w:rPr>
      </w:pPr>
      <w:r w:rsidRPr="001B4CA2">
        <w:rPr>
          <w:rFonts w:ascii="Arial" w:hAnsi="Arial" w:cs="Arial"/>
        </w:rPr>
        <w:t xml:space="preserve"> </w:t>
      </w:r>
      <w:bookmarkStart w:id="74" w:name="_Toc133394334"/>
      <w:r w:rsidR="00BB4D48" w:rsidRPr="001B4CA2">
        <w:rPr>
          <w:rFonts w:ascii="Arial" w:hAnsi="Arial" w:cs="Arial"/>
        </w:rPr>
        <w:t>Prikaz rada i</w:t>
      </w:r>
      <w:r w:rsidR="00CE234E" w:rsidRPr="001B4CA2">
        <w:rPr>
          <w:rFonts w:ascii="Arial" w:hAnsi="Arial" w:cs="Arial"/>
        </w:rPr>
        <w:t xml:space="preserve"> odluka u kaznenim predmetima</w:t>
      </w:r>
      <w:bookmarkEnd w:id="74"/>
    </w:p>
    <w:p w14:paraId="5DD7D2A6" w14:textId="77777777" w:rsidR="00E153B6" w:rsidRPr="001B4CA2" w:rsidRDefault="00E153B6" w:rsidP="00605DF9"/>
    <w:p w14:paraId="5C10F0CA" w14:textId="2823E0A4" w:rsidR="00727AFE" w:rsidRPr="001B4CA2" w:rsidRDefault="001B4CA2" w:rsidP="006454CC">
      <w:pPr>
        <w:ind w:left="-426"/>
        <w:rPr>
          <w:i/>
        </w:rPr>
      </w:pPr>
      <w:r>
        <w:rPr>
          <w:i/>
        </w:rPr>
        <w:tab/>
      </w:r>
      <w:r w:rsidR="00540F85">
        <w:rPr>
          <w:i/>
        </w:rPr>
        <w:t xml:space="preserve">  </w:t>
      </w:r>
      <w:r w:rsidR="00727AFE" w:rsidRPr="001B4CA2">
        <w:rPr>
          <w:i/>
        </w:rPr>
        <w:t xml:space="preserve">Struktura prijavljenih </w:t>
      </w:r>
      <w:r w:rsidR="00F874F5" w:rsidRPr="001B4CA2">
        <w:rPr>
          <w:i/>
        </w:rPr>
        <w:t xml:space="preserve">poznatih </w:t>
      </w:r>
      <w:r w:rsidR="00727AFE" w:rsidRPr="001B4CA2">
        <w:rPr>
          <w:i/>
        </w:rPr>
        <w:t>osoba</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34"/>
        <w:gridCol w:w="666"/>
        <w:gridCol w:w="894"/>
        <w:gridCol w:w="722"/>
        <w:gridCol w:w="837"/>
        <w:gridCol w:w="779"/>
        <w:gridCol w:w="780"/>
        <w:gridCol w:w="836"/>
        <w:gridCol w:w="865"/>
        <w:gridCol w:w="751"/>
        <w:gridCol w:w="808"/>
      </w:tblGrid>
      <w:tr w:rsidR="00532C41" w:rsidRPr="001B4CA2" w14:paraId="06C430CF" w14:textId="77777777" w:rsidTr="00540F85">
        <w:trPr>
          <w:trHeight w:val="370"/>
        </w:trPr>
        <w:tc>
          <w:tcPr>
            <w:tcW w:w="1134" w:type="dxa"/>
            <w:vMerge w:val="restart"/>
            <w:shd w:val="clear" w:color="auto" w:fill="99CCFF"/>
            <w:noWrap/>
            <w:vAlign w:val="center"/>
            <w:hideMark/>
          </w:tcPr>
          <w:p w14:paraId="0E24AA9B" w14:textId="77777777" w:rsidR="00727AFE" w:rsidRPr="00540F85" w:rsidRDefault="00727AFE" w:rsidP="00727AFE">
            <w:pPr>
              <w:jc w:val="center"/>
              <w:rPr>
                <w:rFonts w:asciiTheme="majorHAnsi" w:eastAsia="Times New Roman" w:hAnsiTheme="majorHAnsi" w:cstheme="majorHAnsi"/>
                <w:b/>
                <w:sz w:val="16"/>
                <w:szCs w:val="16"/>
                <w:lang w:eastAsia="hr-HR"/>
              </w:rPr>
            </w:pPr>
            <w:r w:rsidRPr="00540F85">
              <w:rPr>
                <w:rFonts w:asciiTheme="majorHAnsi" w:eastAsia="Times New Roman" w:hAnsiTheme="majorHAnsi" w:cstheme="majorHAnsi"/>
                <w:b/>
                <w:sz w:val="16"/>
                <w:szCs w:val="16"/>
                <w:lang w:eastAsia="hr-HR"/>
              </w:rPr>
              <w:t>Prijavljene osobe</w:t>
            </w:r>
          </w:p>
        </w:tc>
        <w:tc>
          <w:tcPr>
            <w:tcW w:w="1560" w:type="dxa"/>
            <w:gridSpan w:val="2"/>
            <w:shd w:val="clear" w:color="auto" w:fill="99CCFF"/>
            <w:noWrap/>
            <w:vAlign w:val="center"/>
            <w:hideMark/>
          </w:tcPr>
          <w:p w14:paraId="2FB1B182" w14:textId="4A729059" w:rsidR="00727AFE" w:rsidRPr="00540F85" w:rsidRDefault="005C4846" w:rsidP="00727AFE">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201</w:t>
            </w:r>
            <w:r w:rsidR="00F874F5" w:rsidRPr="00540F85">
              <w:rPr>
                <w:rFonts w:asciiTheme="majorHAnsi" w:eastAsia="Times New Roman" w:hAnsiTheme="majorHAnsi" w:cstheme="majorHAnsi"/>
                <w:b/>
                <w:bCs/>
                <w:sz w:val="16"/>
                <w:szCs w:val="16"/>
                <w:lang w:eastAsia="hr-HR"/>
              </w:rPr>
              <w:t>8</w:t>
            </w:r>
            <w:r w:rsidR="00727AFE" w:rsidRPr="00540F85">
              <w:rPr>
                <w:rFonts w:asciiTheme="majorHAnsi" w:eastAsia="Times New Roman" w:hAnsiTheme="majorHAnsi" w:cstheme="majorHAnsi"/>
                <w:b/>
                <w:bCs/>
                <w:sz w:val="16"/>
                <w:szCs w:val="16"/>
                <w:lang w:eastAsia="hr-HR"/>
              </w:rPr>
              <w:t>.</w:t>
            </w:r>
          </w:p>
        </w:tc>
        <w:tc>
          <w:tcPr>
            <w:tcW w:w="1559" w:type="dxa"/>
            <w:gridSpan w:val="2"/>
            <w:shd w:val="clear" w:color="auto" w:fill="99CCFF"/>
            <w:noWrap/>
            <w:vAlign w:val="center"/>
            <w:hideMark/>
          </w:tcPr>
          <w:p w14:paraId="4EF3A0B7" w14:textId="4F3EE68D" w:rsidR="00727AFE" w:rsidRPr="00540F85" w:rsidRDefault="005C4846" w:rsidP="00727AFE">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201</w:t>
            </w:r>
            <w:r w:rsidR="00F874F5" w:rsidRPr="00540F85">
              <w:rPr>
                <w:rFonts w:asciiTheme="majorHAnsi" w:eastAsia="Times New Roman" w:hAnsiTheme="majorHAnsi" w:cstheme="majorHAnsi"/>
                <w:b/>
                <w:bCs/>
                <w:sz w:val="16"/>
                <w:szCs w:val="16"/>
                <w:lang w:eastAsia="hr-HR"/>
              </w:rPr>
              <w:t>9</w:t>
            </w:r>
            <w:r w:rsidR="00727AFE" w:rsidRPr="00540F85">
              <w:rPr>
                <w:rFonts w:asciiTheme="majorHAnsi" w:eastAsia="Times New Roman" w:hAnsiTheme="majorHAnsi" w:cstheme="majorHAnsi"/>
                <w:b/>
                <w:bCs/>
                <w:sz w:val="16"/>
                <w:szCs w:val="16"/>
                <w:lang w:eastAsia="hr-HR"/>
              </w:rPr>
              <w:t>.</w:t>
            </w:r>
          </w:p>
        </w:tc>
        <w:tc>
          <w:tcPr>
            <w:tcW w:w="1559" w:type="dxa"/>
            <w:gridSpan w:val="2"/>
            <w:shd w:val="clear" w:color="auto" w:fill="99CCFF"/>
            <w:noWrap/>
            <w:vAlign w:val="center"/>
            <w:hideMark/>
          </w:tcPr>
          <w:p w14:paraId="73697A2C" w14:textId="0DA9337F" w:rsidR="00727AFE" w:rsidRPr="00540F85" w:rsidRDefault="00727AFE" w:rsidP="005C4846">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20</w:t>
            </w:r>
            <w:r w:rsidR="00F874F5" w:rsidRPr="00540F85">
              <w:rPr>
                <w:rFonts w:asciiTheme="majorHAnsi" w:eastAsia="Times New Roman" w:hAnsiTheme="majorHAnsi" w:cstheme="majorHAnsi"/>
                <w:b/>
                <w:bCs/>
                <w:sz w:val="16"/>
                <w:szCs w:val="16"/>
                <w:lang w:eastAsia="hr-HR"/>
              </w:rPr>
              <w:t>20</w:t>
            </w:r>
            <w:r w:rsidRPr="00540F85">
              <w:rPr>
                <w:rFonts w:asciiTheme="majorHAnsi" w:eastAsia="Times New Roman" w:hAnsiTheme="majorHAnsi" w:cstheme="majorHAnsi"/>
                <w:b/>
                <w:bCs/>
                <w:sz w:val="16"/>
                <w:szCs w:val="16"/>
                <w:lang w:eastAsia="hr-HR"/>
              </w:rPr>
              <w:t>.</w:t>
            </w:r>
          </w:p>
        </w:tc>
        <w:tc>
          <w:tcPr>
            <w:tcW w:w="1701" w:type="dxa"/>
            <w:gridSpan w:val="2"/>
            <w:shd w:val="clear" w:color="auto" w:fill="99CCFF"/>
            <w:noWrap/>
            <w:vAlign w:val="center"/>
            <w:hideMark/>
          </w:tcPr>
          <w:p w14:paraId="3080E731" w14:textId="5EF87B2B" w:rsidR="00727AFE" w:rsidRPr="00540F85" w:rsidRDefault="005C4846" w:rsidP="005C4846">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202</w:t>
            </w:r>
            <w:r w:rsidR="00F874F5" w:rsidRPr="00540F85">
              <w:rPr>
                <w:rFonts w:asciiTheme="majorHAnsi" w:eastAsia="Times New Roman" w:hAnsiTheme="majorHAnsi" w:cstheme="majorHAnsi"/>
                <w:b/>
                <w:bCs/>
                <w:sz w:val="16"/>
                <w:szCs w:val="16"/>
                <w:lang w:eastAsia="hr-HR"/>
              </w:rPr>
              <w:t>1</w:t>
            </w:r>
            <w:r w:rsidR="00727AFE" w:rsidRPr="00540F85">
              <w:rPr>
                <w:rFonts w:asciiTheme="majorHAnsi" w:eastAsia="Times New Roman" w:hAnsiTheme="majorHAnsi" w:cstheme="majorHAnsi"/>
                <w:b/>
                <w:bCs/>
                <w:sz w:val="16"/>
                <w:szCs w:val="16"/>
                <w:lang w:eastAsia="hr-HR"/>
              </w:rPr>
              <w:t>.</w:t>
            </w:r>
          </w:p>
        </w:tc>
        <w:tc>
          <w:tcPr>
            <w:tcW w:w="1559" w:type="dxa"/>
            <w:gridSpan w:val="2"/>
            <w:shd w:val="clear" w:color="auto" w:fill="99CCFF"/>
            <w:noWrap/>
            <w:vAlign w:val="center"/>
            <w:hideMark/>
          </w:tcPr>
          <w:p w14:paraId="5C320A5B" w14:textId="19AE3593" w:rsidR="00727AFE" w:rsidRPr="00540F85" w:rsidRDefault="005C4846" w:rsidP="00727AFE">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202</w:t>
            </w:r>
            <w:r w:rsidR="00F874F5" w:rsidRPr="00540F85">
              <w:rPr>
                <w:rFonts w:asciiTheme="majorHAnsi" w:eastAsia="Times New Roman" w:hAnsiTheme="majorHAnsi" w:cstheme="majorHAnsi"/>
                <w:b/>
                <w:bCs/>
                <w:sz w:val="16"/>
                <w:szCs w:val="16"/>
                <w:lang w:eastAsia="hr-HR"/>
              </w:rPr>
              <w:t>2</w:t>
            </w:r>
            <w:r w:rsidR="00727AFE" w:rsidRPr="00540F85">
              <w:rPr>
                <w:rFonts w:asciiTheme="majorHAnsi" w:eastAsia="Times New Roman" w:hAnsiTheme="majorHAnsi" w:cstheme="majorHAnsi"/>
                <w:b/>
                <w:bCs/>
                <w:sz w:val="16"/>
                <w:szCs w:val="16"/>
                <w:lang w:eastAsia="hr-HR"/>
              </w:rPr>
              <w:t>.</w:t>
            </w:r>
          </w:p>
        </w:tc>
      </w:tr>
      <w:tr w:rsidR="00F874F5" w:rsidRPr="001B4CA2" w14:paraId="61DE8783" w14:textId="77777777" w:rsidTr="00540F85">
        <w:trPr>
          <w:cantSplit/>
          <w:trHeight w:val="1846"/>
        </w:trPr>
        <w:tc>
          <w:tcPr>
            <w:tcW w:w="1134" w:type="dxa"/>
            <w:vMerge/>
            <w:shd w:val="clear" w:color="auto" w:fill="99CCFF"/>
            <w:vAlign w:val="center"/>
            <w:hideMark/>
          </w:tcPr>
          <w:p w14:paraId="2F913052" w14:textId="77777777" w:rsidR="00727AFE" w:rsidRPr="00540F85" w:rsidRDefault="00727AFE" w:rsidP="00727AFE">
            <w:pPr>
              <w:jc w:val="left"/>
              <w:rPr>
                <w:rFonts w:asciiTheme="majorHAnsi" w:eastAsia="Times New Roman" w:hAnsiTheme="majorHAnsi" w:cstheme="majorHAnsi"/>
                <w:sz w:val="16"/>
                <w:szCs w:val="16"/>
                <w:lang w:eastAsia="hr-HR"/>
              </w:rPr>
            </w:pPr>
          </w:p>
        </w:tc>
        <w:tc>
          <w:tcPr>
            <w:tcW w:w="666" w:type="dxa"/>
            <w:shd w:val="clear" w:color="auto" w:fill="99CCFF"/>
            <w:textDirection w:val="btLr"/>
            <w:vAlign w:val="center"/>
            <w:hideMark/>
          </w:tcPr>
          <w:p w14:paraId="6FF77953" w14:textId="77777777" w:rsidR="00727AFE" w:rsidRPr="00540F85" w:rsidRDefault="00727AFE" w:rsidP="00727AFE">
            <w:pPr>
              <w:ind w:left="113" w:right="113"/>
              <w:jc w:val="left"/>
              <w:rPr>
                <w:rFonts w:asciiTheme="majorHAnsi" w:eastAsia="Times New Roman" w:hAnsiTheme="majorHAnsi" w:cstheme="majorHAnsi"/>
                <w:b/>
                <w:sz w:val="16"/>
                <w:szCs w:val="16"/>
                <w:lang w:eastAsia="hr-HR"/>
              </w:rPr>
            </w:pPr>
            <w:r w:rsidRPr="00540F85">
              <w:rPr>
                <w:rFonts w:asciiTheme="majorHAnsi" w:eastAsia="Times New Roman" w:hAnsiTheme="majorHAnsi" w:cstheme="majorHAnsi"/>
                <w:b/>
                <w:sz w:val="16"/>
                <w:szCs w:val="16"/>
                <w:lang w:eastAsia="hr-HR"/>
              </w:rPr>
              <w:t>Prijavljeno u izvještajnom razdoblju</w:t>
            </w:r>
          </w:p>
        </w:tc>
        <w:tc>
          <w:tcPr>
            <w:tcW w:w="894" w:type="dxa"/>
            <w:shd w:val="clear" w:color="auto" w:fill="99CCFF"/>
            <w:textDirection w:val="btLr"/>
            <w:vAlign w:val="center"/>
            <w:hideMark/>
          </w:tcPr>
          <w:p w14:paraId="03F6668F" w14:textId="77777777" w:rsidR="00727AFE" w:rsidRPr="00540F85" w:rsidRDefault="00727AFE" w:rsidP="00727AFE">
            <w:pPr>
              <w:ind w:left="113" w:right="113"/>
              <w:jc w:val="left"/>
              <w:rPr>
                <w:rFonts w:asciiTheme="majorHAnsi" w:eastAsia="Times New Roman" w:hAnsiTheme="majorHAnsi" w:cstheme="majorHAnsi"/>
                <w:b/>
                <w:sz w:val="16"/>
                <w:szCs w:val="16"/>
                <w:lang w:eastAsia="hr-HR"/>
              </w:rPr>
            </w:pPr>
            <w:r w:rsidRPr="00540F85">
              <w:rPr>
                <w:rFonts w:asciiTheme="majorHAnsi" w:eastAsia="Times New Roman" w:hAnsiTheme="majorHAnsi" w:cstheme="majorHAnsi"/>
                <w:b/>
                <w:sz w:val="16"/>
                <w:szCs w:val="16"/>
                <w:lang w:eastAsia="hr-HR"/>
              </w:rPr>
              <w:t>Ukupno u radu</w:t>
            </w:r>
          </w:p>
        </w:tc>
        <w:tc>
          <w:tcPr>
            <w:tcW w:w="722" w:type="dxa"/>
            <w:shd w:val="clear" w:color="auto" w:fill="99CCFF"/>
            <w:textDirection w:val="btLr"/>
            <w:vAlign w:val="center"/>
            <w:hideMark/>
          </w:tcPr>
          <w:p w14:paraId="1EC923BD" w14:textId="77777777" w:rsidR="00727AFE" w:rsidRPr="00540F85" w:rsidRDefault="00727AFE" w:rsidP="00727AFE">
            <w:pPr>
              <w:ind w:left="113" w:right="113"/>
              <w:jc w:val="left"/>
              <w:rPr>
                <w:rFonts w:asciiTheme="majorHAnsi" w:eastAsia="Times New Roman" w:hAnsiTheme="majorHAnsi" w:cstheme="majorHAnsi"/>
                <w:b/>
                <w:sz w:val="16"/>
                <w:szCs w:val="16"/>
                <w:lang w:eastAsia="hr-HR"/>
              </w:rPr>
            </w:pPr>
            <w:r w:rsidRPr="00540F85">
              <w:rPr>
                <w:rFonts w:asciiTheme="majorHAnsi" w:eastAsia="Times New Roman" w:hAnsiTheme="majorHAnsi" w:cstheme="majorHAnsi"/>
                <w:b/>
                <w:sz w:val="16"/>
                <w:szCs w:val="16"/>
                <w:lang w:eastAsia="hr-HR"/>
              </w:rPr>
              <w:t>Prijavljeno u izvještajnom razdoblju</w:t>
            </w:r>
          </w:p>
        </w:tc>
        <w:tc>
          <w:tcPr>
            <w:tcW w:w="837" w:type="dxa"/>
            <w:shd w:val="clear" w:color="auto" w:fill="99CCFF"/>
            <w:textDirection w:val="btLr"/>
            <w:vAlign w:val="center"/>
            <w:hideMark/>
          </w:tcPr>
          <w:p w14:paraId="256CCE72" w14:textId="77777777" w:rsidR="00727AFE" w:rsidRPr="00540F85" w:rsidRDefault="00727AFE" w:rsidP="00727AFE">
            <w:pPr>
              <w:ind w:left="113" w:right="113"/>
              <w:jc w:val="left"/>
              <w:rPr>
                <w:rFonts w:asciiTheme="majorHAnsi" w:eastAsia="Times New Roman" w:hAnsiTheme="majorHAnsi" w:cstheme="majorHAnsi"/>
                <w:b/>
                <w:sz w:val="16"/>
                <w:szCs w:val="16"/>
                <w:lang w:eastAsia="hr-HR"/>
              </w:rPr>
            </w:pPr>
            <w:r w:rsidRPr="00540F85">
              <w:rPr>
                <w:rFonts w:asciiTheme="majorHAnsi" w:eastAsia="Times New Roman" w:hAnsiTheme="majorHAnsi" w:cstheme="majorHAnsi"/>
                <w:b/>
                <w:sz w:val="16"/>
                <w:szCs w:val="16"/>
                <w:lang w:eastAsia="hr-HR"/>
              </w:rPr>
              <w:t>Ukupno u radu</w:t>
            </w:r>
          </w:p>
        </w:tc>
        <w:tc>
          <w:tcPr>
            <w:tcW w:w="779" w:type="dxa"/>
            <w:shd w:val="clear" w:color="auto" w:fill="99CCFF"/>
            <w:textDirection w:val="btLr"/>
            <w:vAlign w:val="center"/>
            <w:hideMark/>
          </w:tcPr>
          <w:p w14:paraId="5A38BB83" w14:textId="77777777" w:rsidR="00727AFE" w:rsidRPr="00540F85" w:rsidRDefault="00727AFE" w:rsidP="00727AFE">
            <w:pPr>
              <w:ind w:left="113" w:right="113"/>
              <w:jc w:val="left"/>
              <w:rPr>
                <w:rFonts w:asciiTheme="majorHAnsi" w:eastAsia="Times New Roman" w:hAnsiTheme="majorHAnsi" w:cstheme="majorHAnsi"/>
                <w:b/>
                <w:sz w:val="16"/>
                <w:szCs w:val="16"/>
                <w:lang w:eastAsia="hr-HR"/>
              </w:rPr>
            </w:pPr>
            <w:r w:rsidRPr="00540F85">
              <w:rPr>
                <w:rFonts w:asciiTheme="majorHAnsi" w:eastAsia="Times New Roman" w:hAnsiTheme="majorHAnsi" w:cstheme="majorHAnsi"/>
                <w:b/>
                <w:sz w:val="16"/>
                <w:szCs w:val="16"/>
                <w:lang w:eastAsia="hr-HR"/>
              </w:rPr>
              <w:t>Prijavljeno u izvještajnom razdoblju</w:t>
            </w:r>
          </w:p>
        </w:tc>
        <w:tc>
          <w:tcPr>
            <w:tcW w:w="780" w:type="dxa"/>
            <w:shd w:val="clear" w:color="auto" w:fill="99CCFF"/>
            <w:textDirection w:val="btLr"/>
            <w:vAlign w:val="center"/>
            <w:hideMark/>
          </w:tcPr>
          <w:p w14:paraId="4D7E7119" w14:textId="77777777" w:rsidR="00727AFE" w:rsidRPr="00540F85" w:rsidRDefault="00727AFE" w:rsidP="00727AFE">
            <w:pPr>
              <w:ind w:left="113" w:right="113"/>
              <w:jc w:val="left"/>
              <w:rPr>
                <w:rFonts w:asciiTheme="majorHAnsi" w:eastAsia="Times New Roman" w:hAnsiTheme="majorHAnsi" w:cstheme="majorHAnsi"/>
                <w:b/>
                <w:sz w:val="16"/>
                <w:szCs w:val="16"/>
                <w:lang w:eastAsia="hr-HR"/>
              </w:rPr>
            </w:pPr>
            <w:r w:rsidRPr="00540F85">
              <w:rPr>
                <w:rFonts w:asciiTheme="majorHAnsi" w:eastAsia="Times New Roman" w:hAnsiTheme="majorHAnsi" w:cstheme="majorHAnsi"/>
                <w:b/>
                <w:sz w:val="16"/>
                <w:szCs w:val="16"/>
                <w:lang w:eastAsia="hr-HR"/>
              </w:rPr>
              <w:t>Ukupno u radu</w:t>
            </w:r>
          </w:p>
        </w:tc>
        <w:tc>
          <w:tcPr>
            <w:tcW w:w="836" w:type="dxa"/>
            <w:shd w:val="clear" w:color="auto" w:fill="99CCFF"/>
            <w:textDirection w:val="btLr"/>
            <w:vAlign w:val="center"/>
            <w:hideMark/>
          </w:tcPr>
          <w:p w14:paraId="06C5A420" w14:textId="77777777" w:rsidR="00727AFE" w:rsidRPr="00540F85" w:rsidRDefault="00727AFE" w:rsidP="00727AFE">
            <w:pPr>
              <w:ind w:left="113" w:right="113"/>
              <w:jc w:val="left"/>
              <w:rPr>
                <w:rFonts w:asciiTheme="majorHAnsi" w:eastAsia="Times New Roman" w:hAnsiTheme="majorHAnsi" w:cstheme="majorHAnsi"/>
                <w:b/>
                <w:sz w:val="16"/>
                <w:szCs w:val="16"/>
                <w:lang w:eastAsia="hr-HR"/>
              </w:rPr>
            </w:pPr>
            <w:r w:rsidRPr="00540F85">
              <w:rPr>
                <w:rFonts w:asciiTheme="majorHAnsi" w:eastAsia="Times New Roman" w:hAnsiTheme="majorHAnsi" w:cstheme="majorHAnsi"/>
                <w:b/>
                <w:sz w:val="16"/>
                <w:szCs w:val="16"/>
                <w:lang w:eastAsia="hr-HR"/>
              </w:rPr>
              <w:t>Prijavljeno u izvještajnom razdoblju</w:t>
            </w:r>
          </w:p>
        </w:tc>
        <w:tc>
          <w:tcPr>
            <w:tcW w:w="865" w:type="dxa"/>
            <w:shd w:val="clear" w:color="auto" w:fill="99CCFF"/>
            <w:textDirection w:val="btLr"/>
            <w:vAlign w:val="center"/>
            <w:hideMark/>
          </w:tcPr>
          <w:p w14:paraId="67362382" w14:textId="77777777" w:rsidR="00727AFE" w:rsidRPr="00540F85" w:rsidRDefault="00727AFE" w:rsidP="00727AFE">
            <w:pPr>
              <w:ind w:left="113" w:right="113"/>
              <w:jc w:val="left"/>
              <w:rPr>
                <w:rFonts w:asciiTheme="majorHAnsi" w:eastAsia="Times New Roman" w:hAnsiTheme="majorHAnsi" w:cstheme="majorHAnsi"/>
                <w:b/>
                <w:sz w:val="16"/>
                <w:szCs w:val="16"/>
                <w:lang w:eastAsia="hr-HR"/>
              </w:rPr>
            </w:pPr>
            <w:r w:rsidRPr="00540F85">
              <w:rPr>
                <w:rFonts w:asciiTheme="majorHAnsi" w:eastAsia="Times New Roman" w:hAnsiTheme="majorHAnsi" w:cstheme="majorHAnsi"/>
                <w:b/>
                <w:sz w:val="16"/>
                <w:szCs w:val="16"/>
                <w:lang w:eastAsia="hr-HR"/>
              </w:rPr>
              <w:t>Ukupno u radu</w:t>
            </w:r>
          </w:p>
        </w:tc>
        <w:tc>
          <w:tcPr>
            <w:tcW w:w="751" w:type="dxa"/>
            <w:shd w:val="clear" w:color="auto" w:fill="99CCFF"/>
            <w:textDirection w:val="btLr"/>
            <w:vAlign w:val="center"/>
            <w:hideMark/>
          </w:tcPr>
          <w:p w14:paraId="22FD21CC" w14:textId="77777777" w:rsidR="00727AFE" w:rsidRPr="00540F85" w:rsidRDefault="00727AFE" w:rsidP="00727AFE">
            <w:pPr>
              <w:ind w:left="113" w:right="113"/>
              <w:jc w:val="left"/>
              <w:rPr>
                <w:rFonts w:asciiTheme="majorHAnsi" w:eastAsia="Times New Roman" w:hAnsiTheme="majorHAnsi" w:cstheme="majorHAnsi"/>
                <w:b/>
                <w:sz w:val="16"/>
                <w:szCs w:val="16"/>
                <w:lang w:eastAsia="hr-HR"/>
              </w:rPr>
            </w:pPr>
            <w:r w:rsidRPr="00540F85">
              <w:rPr>
                <w:rFonts w:asciiTheme="majorHAnsi" w:eastAsia="Times New Roman" w:hAnsiTheme="majorHAnsi" w:cstheme="majorHAnsi"/>
                <w:b/>
                <w:sz w:val="16"/>
                <w:szCs w:val="16"/>
                <w:lang w:eastAsia="hr-HR"/>
              </w:rPr>
              <w:t>Prijavljeno u izvještajnom razdoblju</w:t>
            </w:r>
          </w:p>
        </w:tc>
        <w:tc>
          <w:tcPr>
            <w:tcW w:w="808" w:type="dxa"/>
            <w:shd w:val="clear" w:color="auto" w:fill="99CCFF"/>
            <w:textDirection w:val="btLr"/>
            <w:vAlign w:val="center"/>
            <w:hideMark/>
          </w:tcPr>
          <w:p w14:paraId="64065457" w14:textId="77777777" w:rsidR="00727AFE" w:rsidRPr="00540F85" w:rsidRDefault="00727AFE" w:rsidP="00727AFE">
            <w:pPr>
              <w:ind w:left="113" w:right="113"/>
              <w:jc w:val="left"/>
              <w:rPr>
                <w:rFonts w:asciiTheme="majorHAnsi" w:eastAsia="Times New Roman" w:hAnsiTheme="majorHAnsi" w:cstheme="majorHAnsi"/>
                <w:b/>
                <w:sz w:val="16"/>
                <w:szCs w:val="16"/>
                <w:lang w:eastAsia="hr-HR"/>
              </w:rPr>
            </w:pPr>
            <w:r w:rsidRPr="00540F85">
              <w:rPr>
                <w:rFonts w:asciiTheme="majorHAnsi" w:eastAsia="Times New Roman" w:hAnsiTheme="majorHAnsi" w:cstheme="majorHAnsi"/>
                <w:b/>
                <w:sz w:val="16"/>
                <w:szCs w:val="16"/>
                <w:lang w:eastAsia="hr-HR"/>
              </w:rPr>
              <w:t>Ukupno u radu</w:t>
            </w:r>
          </w:p>
        </w:tc>
      </w:tr>
      <w:tr w:rsidR="00F874F5" w:rsidRPr="001B4CA2" w14:paraId="379BB06F" w14:textId="77777777" w:rsidTr="00540F85">
        <w:trPr>
          <w:trHeight w:val="370"/>
        </w:trPr>
        <w:tc>
          <w:tcPr>
            <w:tcW w:w="1134" w:type="dxa"/>
            <w:shd w:val="clear" w:color="auto" w:fill="auto"/>
            <w:noWrap/>
            <w:vAlign w:val="center"/>
            <w:hideMark/>
          </w:tcPr>
          <w:p w14:paraId="31019ABC" w14:textId="77777777" w:rsidR="005C4846" w:rsidRPr="001B4CA2" w:rsidRDefault="005C4846" w:rsidP="00727AFE">
            <w:pPr>
              <w:jc w:val="left"/>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Odrasle osobe</w:t>
            </w:r>
          </w:p>
        </w:tc>
        <w:tc>
          <w:tcPr>
            <w:tcW w:w="666" w:type="dxa"/>
            <w:shd w:val="clear" w:color="auto" w:fill="auto"/>
            <w:noWrap/>
            <w:vAlign w:val="center"/>
          </w:tcPr>
          <w:p w14:paraId="2599F896" w14:textId="6DA9DAE8" w:rsidR="005C4846" w:rsidRPr="00540F85" w:rsidRDefault="005C4846"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w:t>
            </w:r>
            <w:r w:rsidR="00F874F5" w:rsidRPr="00540F85">
              <w:rPr>
                <w:rFonts w:asciiTheme="majorHAnsi" w:eastAsia="Times New Roman" w:hAnsiTheme="majorHAnsi" w:cstheme="majorHAnsi"/>
                <w:sz w:val="16"/>
                <w:szCs w:val="16"/>
                <w:lang w:eastAsia="hr-HR"/>
              </w:rPr>
              <w:t>134</w:t>
            </w:r>
          </w:p>
        </w:tc>
        <w:tc>
          <w:tcPr>
            <w:tcW w:w="894" w:type="dxa"/>
            <w:shd w:val="clear" w:color="auto" w:fill="auto"/>
            <w:noWrap/>
            <w:vAlign w:val="center"/>
          </w:tcPr>
          <w:p w14:paraId="1EE2679D" w14:textId="65371ECC" w:rsidR="005C4846" w:rsidRPr="00540F85" w:rsidRDefault="005C4846"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w:t>
            </w:r>
            <w:r w:rsidR="00F874F5" w:rsidRPr="00540F85">
              <w:rPr>
                <w:rFonts w:asciiTheme="majorHAnsi" w:eastAsia="Times New Roman" w:hAnsiTheme="majorHAnsi" w:cstheme="majorHAnsi"/>
                <w:sz w:val="16"/>
                <w:szCs w:val="16"/>
                <w:lang w:eastAsia="hr-HR"/>
              </w:rPr>
              <w:t>575</w:t>
            </w:r>
          </w:p>
        </w:tc>
        <w:tc>
          <w:tcPr>
            <w:tcW w:w="722" w:type="dxa"/>
            <w:shd w:val="clear" w:color="auto" w:fill="auto"/>
            <w:noWrap/>
            <w:vAlign w:val="center"/>
            <w:hideMark/>
          </w:tcPr>
          <w:p w14:paraId="6EADB2B2" w14:textId="074F75B7" w:rsidR="005C4846" w:rsidRPr="00540F85" w:rsidRDefault="005C4846"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w:t>
            </w:r>
            <w:r w:rsidR="00F874F5" w:rsidRPr="00540F85">
              <w:rPr>
                <w:rFonts w:asciiTheme="majorHAnsi" w:eastAsia="Times New Roman" w:hAnsiTheme="majorHAnsi" w:cstheme="majorHAnsi"/>
                <w:sz w:val="16"/>
                <w:szCs w:val="16"/>
                <w:lang w:eastAsia="hr-HR"/>
              </w:rPr>
              <w:t>141</w:t>
            </w:r>
          </w:p>
        </w:tc>
        <w:tc>
          <w:tcPr>
            <w:tcW w:w="837" w:type="dxa"/>
            <w:shd w:val="clear" w:color="auto" w:fill="auto"/>
            <w:noWrap/>
            <w:vAlign w:val="center"/>
            <w:hideMark/>
          </w:tcPr>
          <w:p w14:paraId="18AD4D81" w14:textId="762F0873" w:rsidR="005C4846" w:rsidRPr="00540F85" w:rsidRDefault="005C4846"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w:t>
            </w:r>
            <w:r w:rsidR="00F874F5" w:rsidRPr="00540F85">
              <w:rPr>
                <w:rFonts w:asciiTheme="majorHAnsi" w:eastAsia="Times New Roman" w:hAnsiTheme="majorHAnsi" w:cstheme="majorHAnsi"/>
                <w:sz w:val="16"/>
                <w:szCs w:val="16"/>
                <w:lang w:eastAsia="hr-HR"/>
              </w:rPr>
              <w:t>644</w:t>
            </w:r>
          </w:p>
        </w:tc>
        <w:tc>
          <w:tcPr>
            <w:tcW w:w="779" w:type="dxa"/>
            <w:shd w:val="clear" w:color="auto" w:fill="auto"/>
            <w:noWrap/>
            <w:vAlign w:val="center"/>
            <w:hideMark/>
          </w:tcPr>
          <w:p w14:paraId="4B83047C" w14:textId="5886FBD1" w:rsidR="005C4846" w:rsidRPr="00540F85" w:rsidRDefault="005C4846"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w:t>
            </w:r>
            <w:r w:rsidR="00F874F5" w:rsidRPr="00540F85">
              <w:rPr>
                <w:rFonts w:asciiTheme="majorHAnsi" w:eastAsia="Times New Roman" w:hAnsiTheme="majorHAnsi" w:cstheme="majorHAnsi"/>
                <w:sz w:val="16"/>
                <w:szCs w:val="16"/>
                <w:lang w:eastAsia="hr-HR"/>
              </w:rPr>
              <w:t>469</w:t>
            </w:r>
          </w:p>
        </w:tc>
        <w:tc>
          <w:tcPr>
            <w:tcW w:w="780" w:type="dxa"/>
            <w:shd w:val="clear" w:color="auto" w:fill="auto"/>
            <w:noWrap/>
            <w:vAlign w:val="center"/>
            <w:hideMark/>
          </w:tcPr>
          <w:p w14:paraId="7C4FF2D8" w14:textId="512345D9"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2.197</w:t>
            </w:r>
          </w:p>
        </w:tc>
        <w:tc>
          <w:tcPr>
            <w:tcW w:w="836" w:type="dxa"/>
            <w:shd w:val="clear" w:color="auto" w:fill="auto"/>
            <w:noWrap/>
            <w:vAlign w:val="center"/>
            <w:hideMark/>
          </w:tcPr>
          <w:p w14:paraId="22243498" w14:textId="14B39988"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1.355</w:t>
            </w:r>
          </w:p>
        </w:tc>
        <w:tc>
          <w:tcPr>
            <w:tcW w:w="865" w:type="dxa"/>
            <w:shd w:val="clear" w:color="auto" w:fill="auto"/>
            <w:noWrap/>
            <w:vAlign w:val="center"/>
            <w:hideMark/>
          </w:tcPr>
          <w:p w14:paraId="620262E4" w14:textId="6633E6E5" w:rsidR="005C4846" w:rsidRPr="00540F85" w:rsidRDefault="005C4846"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2</w:t>
            </w:r>
            <w:r w:rsidR="00F874F5" w:rsidRPr="00540F85">
              <w:rPr>
                <w:rFonts w:asciiTheme="majorHAnsi" w:eastAsia="Times New Roman" w:hAnsiTheme="majorHAnsi" w:cstheme="majorHAnsi"/>
                <w:sz w:val="16"/>
                <w:szCs w:val="16"/>
                <w:lang w:eastAsia="hr-HR"/>
              </w:rPr>
              <w:t>.083</w:t>
            </w:r>
          </w:p>
        </w:tc>
        <w:tc>
          <w:tcPr>
            <w:tcW w:w="751" w:type="dxa"/>
            <w:shd w:val="clear" w:color="auto" w:fill="auto"/>
            <w:noWrap/>
            <w:vAlign w:val="center"/>
          </w:tcPr>
          <w:p w14:paraId="10989D19" w14:textId="579C62FE" w:rsidR="005C4846" w:rsidRPr="00540F85" w:rsidRDefault="006F2526"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w:t>
            </w:r>
            <w:r w:rsidR="00F874F5" w:rsidRPr="00540F85">
              <w:rPr>
                <w:rFonts w:asciiTheme="majorHAnsi" w:eastAsia="Times New Roman" w:hAnsiTheme="majorHAnsi" w:cstheme="majorHAnsi"/>
                <w:sz w:val="16"/>
                <w:szCs w:val="16"/>
                <w:lang w:eastAsia="hr-HR"/>
              </w:rPr>
              <w:t>183</w:t>
            </w:r>
          </w:p>
        </w:tc>
        <w:tc>
          <w:tcPr>
            <w:tcW w:w="808" w:type="dxa"/>
            <w:shd w:val="clear" w:color="auto" w:fill="auto"/>
            <w:noWrap/>
            <w:vAlign w:val="center"/>
          </w:tcPr>
          <w:p w14:paraId="49CF7A82" w14:textId="09DAD954"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1.949</w:t>
            </w:r>
          </w:p>
        </w:tc>
      </w:tr>
      <w:tr w:rsidR="00F874F5" w:rsidRPr="001B4CA2" w14:paraId="68FB8B2E" w14:textId="77777777" w:rsidTr="00540F85">
        <w:trPr>
          <w:trHeight w:val="370"/>
        </w:trPr>
        <w:tc>
          <w:tcPr>
            <w:tcW w:w="1134" w:type="dxa"/>
            <w:shd w:val="clear" w:color="auto" w:fill="auto"/>
            <w:noWrap/>
            <w:vAlign w:val="center"/>
            <w:hideMark/>
          </w:tcPr>
          <w:p w14:paraId="6ACC58AE" w14:textId="77777777" w:rsidR="005C4846" w:rsidRPr="001B4CA2" w:rsidRDefault="005C4846" w:rsidP="00727AFE">
            <w:pPr>
              <w:jc w:val="left"/>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Mlađi punoljetnici</w:t>
            </w:r>
          </w:p>
        </w:tc>
        <w:tc>
          <w:tcPr>
            <w:tcW w:w="666" w:type="dxa"/>
            <w:shd w:val="clear" w:color="auto" w:fill="auto"/>
            <w:noWrap/>
            <w:vAlign w:val="center"/>
          </w:tcPr>
          <w:p w14:paraId="3C72FA8E" w14:textId="34A901A3"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58</w:t>
            </w:r>
          </w:p>
        </w:tc>
        <w:tc>
          <w:tcPr>
            <w:tcW w:w="894" w:type="dxa"/>
            <w:shd w:val="clear" w:color="auto" w:fill="auto"/>
            <w:noWrap/>
            <w:vAlign w:val="center"/>
          </w:tcPr>
          <w:p w14:paraId="2202F048" w14:textId="634C2F1E"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64</w:t>
            </w:r>
          </w:p>
        </w:tc>
        <w:tc>
          <w:tcPr>
            <w:tcW w:w="722" w:type="dxa"/>
            <w:shd w:val="clear" w:color="auto" w:fill="auto"/>
            <w:noWrap/>
            <w:vAlign w:val="center"/>
            <w:hideMark/>
          </w:tcPr>
          <w:p w14:paraId="65C8B3B3" w14:textId="3D5E1D6B"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82</w:t>
            </w:r>
          </w:p>
        </w:tc>
        <w:tc>
          <w:tcPr>
            <w:tcW w:w="837" w:type="dxa"/>
            <w:shd w:val="clear" w:color="auto" w:fill="auto"/>
            <w:noWrap/>
            <w:vAlign w:val="center"/>
            <w:hideMark/>
          </w:tcPr>
          <w:p w14:paraId="5FA2C70C" w14:textId="3B19A85B"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87</w:t>
            </w:r>
          </w:p>
        </w:tc>
        <w:tc>
          <w:tcPr>
            <w:tcW w:w="779" w:type="dxa"/>
            <w:shd w:val="clear" w:color="auto" w:fill="auto"/>
            <w:noWrap/>
            <w:vAlign w:val="center"/>
            <w:hideMark/>
          </w:tcPr>
          <w:p w14:paraId="02BAFC38" w14:textId="47C81D36"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66</w:t>
            </w:r>
          </w:p>
        </w:tc>
        <w:tc>
          <w:tcPr>
            <w:tcW w:w="780" w:type="dxa"/>
            <w:shd w:val="clear" w:color="auto" w:fill="auto"/>
            <w:noWrap/>
            <w:vAlign w:val="center"/>
            <w:hideMark/>
          </w:tcPr>
          <w:p w14:paraId="5A6A9030" w14:textId="5EA3E110"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101</w:t>
            </w:r>
          </w:p>
        </w:tc>
        <w:tc>
          <w:tcPr>
            <w:tcW w:w="836" w:type="dxa"/>
            <w:shd w:val="clear" w:color="auto" w:fill="auto"/>
            <w:noWrap/>
            <w:vAlign w:val="center"/>
            <w:hideMark/>
          </w:tcPr>
          <w:p w14:paraId="452A62D9" w14:textId="6370573B"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77</w:t>
            </w:r>
          </w:p>
        </w:tc>
        <w:tc>
          <w:tcPr>
            <w:tcW w:w="865" w:type="dxa"/>
            <w:shd w:val="clear" w:color="auto" w:fill="auto"/>
            <w:noWrap/>
            <w:vAlign w:val="center"/>
            <w:hideMark/>
          </w:tcPr>
          <w:p w14:paraId="061EEE69" w14:textId="24EFD949"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94</w:t>
            </w:r>
          </w:p>
        </w:tc>
        <w:tc>
          <w:tcPr>
            <w:tcW w:w="751" w:type="dxa"/>
            <w:shd w:val="clear" w:color="auto" w:fill="auto"/>
            <w:noWrap/>
            <w:vAlign w:val="center"/>
          </w:tcPr>
          <w:p w14:paraId="6BACE1DF" w14:textId="6B96AE5B"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4</w:t>
            </w:r>
            <w:r w:rsidR="006F2526" w:rsidRPr="00540F85">
              <w:rPr>
                <w:rFonts w:asciiTheme="majorHAnsi" w:eastAsia="Times New Roman" w:hAnsiTheme="majorHAnsi" w:cstheme="majorHAnsi"/>
                <w:sz w:val="16"/>
                <w:szCs w:val="16"/>
                <w:lang w:eastAsia="hr-HR"/>
              </w:rPr>
              <w:t>7</w:t>
            </w:r>
          </w:p>
        </w:tc>
        <w:tc>
          <w:tcPr>
            <w:tcW w:w="808" w:type="dxa"/>
            <w:shd w:val="clear" w:color="auto" w:fill="auto"/>
            <w:noWrap/>
            <w:vAlign w:val="center"/>
          </w:tcPr>
          <w:p w14:paraId="62621CE6" w14:textId="7ED188EB"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51</w:t>
            </w:r>
          </w:p>
        </w:tc>
      </w:tr>
      <w:tr w:rsidR="00F874F5" w:rsidRPr="001B4CA2" w14:paraId="1C37FCA0" w14:textId="77777777" w:rsidTr="00540F85">
        <w:trPr>
          <w:trHeight w:val="370"/>
        </w:trPr>
        <w:tc>
          <w:tcPr>
            <w:tcW w:w="1134" w:type="dxa"/>
            <w:shd w:val="clear" w:color="auto" w:fill="auto"/>
            <w:noWrap/>
            <w:vAlign w:val="center"/>
            <w:hideMark/>
          </w:tcPr>
          <w:p w14:paraId="15174592" w14:textId="77777777" w:rsidR="005C4846" w:rsidRPr="001B4CA2" w:rsidRDefault="005C4846" w:rsidP="00727AFE">
            <w:pPr>
              <w:jc w:val="left"/>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Pravne osobe</w:t>
            </w:r>
          </w:p>
        </w:tc>
        <w:tc>
          <w:tcPr>
            <w:tcW w:w="666" w:type="dxa"/>
            <w:shd w:val="clear" w:color="auto" w:fill="auto"/>
            <w:noWrap/>
            <w:vAlign w:val="center"/>
          </w:tcPr>
          <w:p w14:paraId="38D4AE0F" w14:textId="321F518D"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91</w:t>
            </w:r>
          </w:p>
        </w:tc>
        <w:tc>
          <w:tcPr>
            <w:tcW w:w="894" w:type="dxa"/>
            <w:shd w:val="clear" w:color="auto" w:fill="auto"/>
            <w:noWrap/>
            <w:vAlign w:val="center"/>
          </w:tcPr>
          <w:p w14:paraId="52263BE2" w14:textId="7CC475A9"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165</w:t>
            </w:r>
          </w:p>
        </w:tc>
        <w:tc>
          <w:tcPr>
            <w:tcW w:w="722" w:type="dxa"/>
            <w:shd w:val="clear" w:color="auto" w:fill="auto"/>
            <w:noWrap/>
            <w:vAlign w:val="center"/>
            <w:hideMark/>
          </w:tcPr>
          <w:p w14:paraId="1FD41D0D" w14:textId="00A27BA9"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68</w:t>
            </w:r>
          </w:p>
        </w:tc>
        <w:tc>
          <w:tcPr>
            <w:tcW w:w="837" w:type="dxa"/>
            <w:shd w:val="clear" w:color="auto" w:fill="auto"/>
            <w:noWrap/>
            <w:vAlign w:val="center"/>
            <w:hideMark/>
          </w:tcPr>
          <w:p w14:paraId="276B4E4C" w14:textId="1BC40BE5"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136</w:t>
            </w:r>
          </w:p>
        </w:tc>
        <w:tc>
          <w:tcPr>
            <w:tcW w:w="779" w:type="dxa"/>
            <w:shd w:val="clear" w:color="auto" w:fill="auto"/>
            <w:noWrap/>
            <w:vAlign w:val="center"/>
            <w:hideMark/>
          </w:tcPr>
          <w:p w14:paraId="5AA77387" w14:textId="0E543A10"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146</w:t>
            </w:r>
          </w:p>
        </w:tc>
        <w:tc>
          <w:tcPr>
            <w:tcW w:w="780" w:type="dxa"/>
            <w:shd w:val="clear" w:color="auto" w:fill="auto"/>
            <w:noWrap/>
            <w:vAlign w:val="center"/>
            <w:hideMark/>
          </w:tcPr>
          <w:p w14:paraId="6507EB8A" w14:textId="666B12AD"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231</w:t>
            </w:r>
          </w:p>
        </w:tc>
        <w:tc>
          <w:tcPr>
            <w:tcW w:w="836" w:type="dxa"/>
            <w:shd w:val="clear" w:color="auto" w:fill="auto"/>
            <w:noWrap/>
            <w:vAlign w:val="center"/>
            <w:hideMark/>
          </w:tcPr>
          <w:p w14:paraId="7BE403BE" w14:textId="61C1DE84"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118</w:t>
            </w:r>
          </w:p>
        </w:tc>
        <w:tc>
          <w:tcPr>
            <w:tcW w:w="865" w:type="dxa"/>
            <w:shd w:val="clear" w:color="auto" w:fill="auto"/>
            <w:noWrap/>
            <w:vAlign w:val="center"/>
            <w:hideMark/>
          </w:tcPr>
          <w:p w14:paraId="75707E77" w14:textId="53F9C97C"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233</w:t>
            </w:r>
          </w:p>
        </w:tc>
        <w:tc>
          <w:tcPr>
            <w:tcW w:w="751" w:type="dxa"/>
            <w:shd w:val="clear" w:color="auto" w:fill="auto"/>
            <w:noWrap/>
            <w:vAlign w:val="center"/>
          </w:tcPr>
          <w:p w14:paraId="77B09164" w14:textId="061AAD48" w:rsidR="005C4846" w:rsidRPr="00540F85" w:rsidRDefault="006F2526"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1</w:t>
            </w:r>
            <w:r w:rsidR="00F874F5" w:rsidRPr="00540F85">
              <w:rPr>
                <w:rFonts w:asciiTheme="majorHAnsi" w:eastAsia="Times New Roman" w:hAnsiTheme="majorHAnsi" w:cstheme="majorHAnsi"/>
                <w:sz w:val="16"/>
                <w:szCs w:val="16"/>
                <w:lang w:eastAsia="hr-HR"/>
              </w:rPr>
              <w:t>09</w:t>
            </w:r>
          </w:p>
        </w:tc>
        <w:tc>
          <w:tcPr>
            <w:tcW w:w="808" w:type="dxa"/>
            <w:shd w:val="clear" w:color="auto" w:fill="auto"/>
            <w:noWrap/>
            <w:vAlign w:val="center"/>
          </w:tcPr>
          <w:p w14:paraId="4BC69466" w14:textId="7B12C04C" w:rsidR="005C4846" w:rsidRPr="00540F85" w:rsidRDefault="006F2526"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233</w:t>
            </w:r>
          </w:p>
        </w:tc>
      </w:tr>
      <w:tr w:rsidR="00F874F5" w:rsidRPr="001B4CA2" w14:paraId="3E327CCD" w14:textId="77777777" w:rsidTr="00540F85">
        <w:trPr>
          <w:trHeight w:val="388"/>
        </w:trPr>
        <w:tc>
          <w:tcPr>
            <w:tcW w:w="1134" w:type="dxa"/>
            <w:shd w:val="clear" w:color="auto" w:fill="auto"/>
            <w:noWrap/>
            <w:vAlign w:val="center"/>
            <w:hideMark/>
          </w:tcPr>
          <w:p w14:paraId="2AE34B5C" w14:textId="77777777" w:rsidR="005C4846" w:rsidRPr="001B4CA2" w:rsidRDefault="005C4846" w:rsidP="00727AFE">
            <w:pPr>
              <w:jc w:val="left"/>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Maloljetne osobe</w:t>
            </w:r>
          </w:p>
        </w:tc>
        <w:tc>
          <w:tcPr>
            <w:tcW w:w="666" w:type="dxa"/>
            <w:shd w:val="clear" w:color="auto" w:fill="auto"/>
            <w:noWrap/>
            <w:vAlign w:val="center"/>
          </w:tcPr>
          <w:p w14:paraId="6CCEDBF7" w14:textId="0B6BD15F"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45</w:t>
            </w:r>
          </w:p>
        </w:tc>
        <w:tc>
          <w:tcPr>
            <w:tcW w:w="894" w:type="dxa"/>
            <w:shd w:val="clear" w:color="auto" w:fill="auto"/>
            <w:noWrap/>
            <w:vAlign w:val="center"/>
          </w:tcPr>
          <w:p w14:paraId="56D980E0" w14:textId="73C06E70"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51</w:t>
            </w:r>
          </w:p>
        </w:tc>
        <w:tc>
          <w:tcPr>
            <w:tcW w:w="722" w:type="dxa"/>
            <w:shd w:val="clear" w:color="auto" w:fill="auto"/>
            <w:noWrap/>
            <w:vAlign w:val="center"/>
            <w:hideMark/>
          </w:tcPr>
          <w:p w14:paraId="7131EBA9" w14:textId="7DC074E7"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64</w:t>
            </w:r>
          </w:p>
        </w:tc>
        <w:tc>
          <w:tcPr>
            <w:tcW w:w="837" w:type="dxa"/>
            <w:shd w:val="clear" w:color="auto" w:fill="auto"/>
            <w:noWrap/>
            <w:vAlign w:val="center"/>
            <w:hideMark/>
          </w:tcPr>
          <w:p w14:paraId="232AADE1" w14:textId="501473C8"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69</w:t>
            </w:r>
          </w:p>
        </w:tc>
        <w:tc>
          <w:tcPr>
            <w:tcW w:w="779" w:type="dxa"/>
            <w:shd w:val="clear" w:color="auto" w:fill="auto"/>
            <w:noWrap/>
            <w:vAlign w:val="center"/>
            <w:hideMark/>
          </w:tcPr>
          <w:p w14:paraId="375D5167" w14:textId="7EE26AC3"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61</w:t>
            </w:r>
          </w:p>
        </w:tc>
        <w:tc>
          <w:tcPr>
            <w:tcW w:w="780" w:type="dxa"/>
            <w:shd w:val="clear" w:color="auto" w:fill="auto"/>
            <w:noWrap/>
            <w:vAlign w:val="center"/>
            <w:hideMark/>
          </w:tcPr>
          <w:p w14:paraId="1208ACE5" w14:textId="2FFDF09A"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75</w:t>
            </w:r>
          </w:p>
        </w:tc>
        <w:tc>
          <w:tcPr>
            <w:tcW w:w="836" w:type="dxa"/>
            <w:shd w:val="clear" w:color="auto" w:fill="auto"/>
            <w:noWrap/>
            <w:vAlign w:val="center"/>
            <w:hideMark/>
          </w:tcPr>
          <w:p w14:paraId="71DD83D0" w14:textId="0E35D010" w:rsidR="005C4846" w:rsidRPr="00540F85" w:rsidRDefault="00F874F5"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55</w:t>
            </w:r>
          </w:p>
        </w:tc>
        <w:tc>
          <w:tcPr>
            <w:tcW w:w="865" w:type="dxa"/>
            <w:shd w:val="clear" w:color="auto" w:fill="auto"/>
            <w:noWrap/>
            <w:vAlign w:val="center"/>
            <w:hideMark/>
          </w:tcPr>
          <w:p w14:paraId="5A16AC5C" w14:textId="729678EC" w:rsidR="005C4846" w:rsidRPr="00540F85" w:rsidRDefault="005C4846"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7</w:t>
            </w:r>
            <w:r w:rsidR="00F874F5" w:rsidRPr="00540F85">
              <w:rPr>
                <w:rFonts w:asciiTheme="majorHAnsi" w:eastAsia="Times New Roman" w:hAnsiTheme="majorHAnsi" w:cstheme="majorHAnsi"/>
                <w:sz w:val="16"/>
                <w:szCs w:val="16"/>
                <w:lang w:eastAsia="hr-HR"/>
              </w:rPr>
              <w:t>2</w:t>
            </w:r>
          </w:p>
        </w:tc>
        <w:tc>
          <w:tcPr>
            <w:tcW w:w="751" w:type="dxa"/>
            <w:shd w:val="clear" w:color="auto" w:fill="auto"/>
            <w:noWrap/>
            <w:vAlign w:val="center"/>
          </w:tcPr>
          <w:p w14:paraId="32DF318B" w14:textId="7CBE6F5A" w:rsidR="005C4846" w:rsidRPr="00540F85" w:rsidRDefault="006F2526"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5</w:t>
            </w:r>
            <w:r w:rsidR="00F874F5" w:rsidRPr="00540F85">
              <w:rPr>
                <w:rFonts w:asciiTheme="majorHAnsi" w:eastAsia="Times New Roman" w:hAnsiTheme="majorHAnsi" w:cstheme="majorHAnsi"/>
                <w:sz w:val="16"/>
                <w:szCs w:val="16"/>
                <w:lang w:eastAsia="hr-HR"/>
              </w:rPr>
              <w:t>9</w:t>
            </w:r>
          </w:p>
        </w:tc>
        <w:tc>
          <w:tcPr>
            <w:tcW w:w="808" w:type="dxa"/>
            <w:shd w:val="clear" w:color="auto" w:fill="auto"/>
            <w:noWrap/>
            <w:vAlign w:val="center"/>
          </w:tcPr>
          <w:p w14:paraId="377C7F75" w14:textId="19681D38" w:rsidR="005C4846" w:rsidRPr="00540F85" w:rsidRDefault="006F2526" w:rsidP="00B632E0">
            <w:pPr>
              <w:jc w:val="center"/>
              <w:rPr>
                <w:rFonts w:asciiTheme="majorHAnsi" w:eastAsia="Times New Roman" w:hAnsiTheme="majorHAnsi" w:cstheme="majorHAnsi"/>
                <w:sz w:val="16"/>
                <w:szCs w:val="16"/>
                <w:lang w:eastAsia="hr-HR"/>
              </w:rPr>
            </w:pPr>
            <w:r w:rsidRPr="00540F85">
              <w:rPr>
                <w:rFonts w:asciiTheme="majorHAnsi" w:eastAsia="Times New Roman" w:hAnsiTheme="majorHAnsi" w:cstheme="majorHAnsi"/>
                <w:sz w:val="16"/>
                <w:szCs w:val="16"/>
                <w:lang w:eastAsia="hr-HR"/>
              </w:rPr>
              <w:t>72</w:t>
            </w:r>
          </w:p>
        </w:tc>
      </w:tr>
      <w:tr w:rsidR="00F874F5" w:rsidRPr="001B4CA2" w14:paraId="495AEAEC" w14:textId="77777777" w:rsidTr="00540F85">
        <w:trPr>
          <w:trHeight w:val="388"/>
        </w:trPr>
        <w:tc>
          <w:tcPr>
            <w:tcW w:w="1134" w:type="dxa"/>
            <w:shd w:val="clear" w:color="auto" w:fill="auto"/>
            <w:noWrap/>
            <w:vAlign w:val="center"/>
            <w:hideMark/>
          </w:tcPr>
          <w:p w14:paraId="31EAA163" w14:textId="0116DAAD" w:rsidR="005C4846" w:rsidRPr="001B4CA2" w:rsidRDefault="005C4846" w:rsidP="00727AFE">
            <w:pPr>
              <w:jc w:val="left"/>
              <w:rPr>
                <w:rFonts w:asciiTheme="majorHAnsi" w:eastAsia="Times New Roman" w:hAnsiTheme="majorHAnsi" w:cstheme="majorHAnsi"/>
                <w:b/>
                <w:bCs/>
                <w:sz w:val="18"/>
                <w:szCs w:val="18"/>
                <w:lang w:eastAsia="hr-HR"/>
              </w:rPr>
            </w:pPr>
            <w:r w:rsidRPr="001B4CA2">
              <w:rPr>
                <w:rFonts w:asciiTheme="majorHAnsi" w:eastAsia="Times New Roman" w:hAnsiTheme="majorHAnsi" w:cstheme="majorHAnsi"/>
                <w:b/>
                <w:bCs/>
                <w:sz w:val="18"/>
                <w:szCs w:val="18"/>
                <w:lang w:eastAsia="hr-HR"/>
              </w:rPr>
              <w:t>UKUPNO</w:t>
            </w:r>
          </w:p>
        </w:tc>
        <w:tc>
          <w:tcPr>
            <w:tcW w:w="666" w:type="dxa"/>
            <w:shd w:val="clear" w:color="auto" w:fill="auto"/>
            <w:noWrap/>
            <w:vAlign w:val="center"/>
          </w:tcPr>
          <w:p w14:paraId="113E0F6F" w14:textId="4FC8490E" w:rsidR="005C4846" w:rsidRPr="00540F85" w:rsidRDefault="00F874F5" w:rsidP="00B632E0">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1.328</w:t>
            </w:r>
          </w:p>
        </w:tc>
        <w:tc>
          <w:tcPr>
            <w:tcW w:w="894" w:type="dxa"/>
            <w:shd w:val="clear" w:color="auto" w:fill="auto"/>
            <w:noWrap/>
            <w:vAlign w:val="center"/>
          </w:tcPr>
          <w:p w14:paraId="14E2DF35" w14:textId="7C2D4B24" w:rsidR="005C4846" w:rsidRPr="00540F85" w:rsidRDefault="00F874F5" w:rsidP="00B632E0">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1.855</w:t>
            </w:r>
          </w:p>
        </w:tc>
        <w:tc>
          <w:tcPr>
            <w:tcW w:w="722" w:type="dxa"/>
            <w:shd w:val="clear" w:color="auto" w:fill="auto"/>
            <w:noWrap/>
            <w:vAlign w:val="center"/>
            <w:hideMark/>
          </w:tcPr>
          <w:p w14:paraId="5E99AB79" w14:textId="530BFC90" w:rsidR="005C4846" w:rsidRPr="00540F85" w:rsidRDefault="005C4846" w:rsidP="00B632E0">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1.3</w:t>
            </w:r>
            <w:r w:rsidR="00F874F5" w:rsidRPr="00540F85">
              <w:rPr>
                <w:rFonts w:asciiTheme="majorHAnsi" w:eastAsia="Times New Roman" w:hAnsiTheme="majorHAnsi" w:cstheme="majorHAnsi"/>
                <w:b/>
                <w:bCs/>
                <w:sz w:val="16"/>
                <w:szCs w:val="16"/>
                <w:lang w:eastAsia="hr-HR"/>
              </w:rPr>
              <w:t>55</w:t>
            </w:r>
          </w:p>
        </w:tc>
        <w:tc>
          <w:tcPr>
            <w:tcW w:w="837" w:type="dxa"/>
            <w:shd w:val="clear" w:color="auto" w:fill="auto"/>
            <w:noWrap/>
            <w:vAlign w:val="center"/>
            <w:hideMark/>
          </w:tcPr>
          <w:p w14:paraId="48543C24" w14:textId="602A442C" w:rsidR="005C4846" w:rsidRPr="00540F85" w:rsidRDefault="005C4846" w:rsidP="00B632E0">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1.</w:t>
            </w:r>
            <w:r w:rsidR="00F874F5" w:rsidRPr="00540F85">
              <w:rPr>
                <w:rFonts w:asciiTheme="majorHAnsi" w:eastAsia="Times New Roman" w:hAnsiTheme="majorHAnsi" w:cstheme="majorHAnsi"/>
                <w:b/>
                <w:bCs/>
                <w:sz w:val="16"/>
                <w:szCs w:val="16"/>
                <w:lang w:eastAsia="hr-HR"/>
              </w:rPr>
              <w:t>936</w:t>
            </w:r>
          </w:p>
        </w:tc>
        <w:tc>
          <w:tcPr>
            <w:tcW w:w="779" w:type="dxa"/>
            <w:shd w:val="clear" w:color="auto" w:fill="auto"/>
            <w:noWrap/>
            <w:vAlign w:val="center"/>
            <w:hideMark/>
          </w:tcPr>
          <w:p w14:paraId="6293FC3B" w14:textId="73D2417A" w:rsidR="005C4846" w:rsidRPr="00540F85" w:rsidRDefault="00F874F5" w:rsidP="00B632E0">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1</w:t>
            </w:r>
            <w:r w:rsidR="005C4846" w:rsidRPr="00540F85">
              <w:rPr>
                <w:rFonts w:asciiTheme="majorHAnsi" w:eastAsia="Times New Roman" w:hAnsiTheme="majorHAnsi" w:cstheme="majorHAnsi"/>
                <w:b/>
                <w:bCs/>
                <w:sz w:val="16"/>
                <w:szCs w:val="16"/>
                <w:lang w:eastAsia="hr-HR"/>
              </w:rPr>
              <w:t>.</w:t>
            </w:r>
            <w:r w:rsidRPr="00540F85">
              <w:rPr>
                <w:rFonts w:asciiTheme="majorHAnsi" w:eastAsia="Times New Roman" w:hAnsiTheme="majorHAnsi" w:cstheme="majorHAnsi"/>
                <w:b/>
                <w:bCs/>
                <w:sz w:val="16"/>
                <w:szCs w:val="16"/>
                <w:lang w:eastAsia="hr-HR"/>
              </w:rPr>
              <w:t>742</w:t>
            </w:r>
          </w:p>
        </w:tc>
        <w:tc>
          <w:tcPr>
            <w:tcW w:w="780" w:type="dxa"/>
            <w:shd w:val="clear" w:color="auto" w:fill="auto"/>
            <w:noWrap/>
            <w:vAlign w:val="center"/>
            <w:hideMark/>
          </w:tcPr>
          <w:p w14:paraId="62404464" w14:textId="7F0E1E0E" w:rsidR="005C4846" w:rsidRPr="00540F85" w:rsidRDefault="005C4846" w:rsidP="00B632E0">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1.</w:t>
            </w:r>
            <w:r w:rsidR="00F874F5" w:rsidRPr="00540F85">
              <w:rPr>
                <w:rFonts w:asciiTheme="majorHAnsi" w:eastAsia="Times New Roman" w:hAnsiTheme="majorHAnsi" w:cstheme="majorHAnsi"/>
                <w:b/>
                <w:bCs/>
                <w:sz w:val="16"/>
                <w:szCs w:val="16"/>
                <w:lang w:eastAsia="hr-HR"/>
              </w:rPr>
              <w:t>604</w:t>
            </w:r>
          </w:p>
        </w:tc>
        <w:tc>
          <w:tcPr>
            <w:tcW w:w="836" w:type="dxa"/>
            <w:shd w:val="clear" w:color="auto" w:fill="auto"/>
            <w:noWrap/>
            <w:vAlign w:val="center"/>
            <w:hideMark/>
          </w:tcPr>
          <w:p w14:paraId="568C8BD1" w14:textId="5F5785EE" w:rsidR="005C4846" w:rsidRPr="00540F85" w:rsidRDefault="005C4846" w:rsidP="00B632E0">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1.</w:t>
            </w:r>
            <w:r w:rsidR="00F874F5" w:rsidRPr="00540F85">
              <w:rPr>
                <w:rFonts w:asciiTheme="majorHAnsi" w:eastAsia="Times New Roman" w:hAnsiTheme="majorHAnsi" w:cstheme="majorHAnsi"/>
                <w:b/>
                <w:bCs/>
                <w:sz w:val="16"/>
                <w:szCs w:val="16"/>
                <w:lang w:eastAsia="hr-HR"/>
              </w:rPr>
              <w:t>605</w:t>
            </w:r>
          </w:p>
        </w:tc>
        <w:tc>
          <w:tcPr>
            <w:tcW w:w="865" w:type="dxa"/>
            <w:shd w:val="clear" w:color="auto" w:fill="auto"/>
            <w:noWrap/>
            <w:vAlign w:val="center"/>
            <w:hideMark/>
          </w:tcPr>
          <w:p w14:paraId="68DCA272" w14:textId="25B1B5DE" w:rsidR="005C4846" w:rsidRPr="00540F85" w:rsidRDefault="005C4846" w:rsidP="00B632E0">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2.</w:t>
            </w:r>
            <w:r w:rsidR="00F874F5" w:rsidRPr="00540F85">
              <w:rPr>
                <w:rFonts w:asciiTheme="majorHAnsi" w:eastAsia="Times New Roman" w:hAnsiTheme="majorHAnsi" w:cstheme="majorHAnsi"/>
                <w:b/>
                <w:bCs/>
                <w:sz w:val="16"/>
                <w:szCs w:val="16"/>
                <w:lang w:eastAsia="hr-HR"/>
              </w:rPr>
              <w:t>482</w:t>
            </w:r>
          </w:p>
        </w:tc>
        <w:tc>
          <w:tcPr>
            <w:tcW w:w="751" w:type="dxa"/>
            <w:shd w:val="clear" w:color="auto" w:fill="auto"/>
            <w:noWrap/>
            <w:vAlign w:val="center"/>
          </w:tcPr>
          <w:p w14:paraId="7350E13A" w14:textId="00395CD7" w:rsidR="005C4846" w:rsidRPr="00540F85" w:rsidRDefault="006F2526" w:rsidP="00B632E0">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1.</w:t>
            </w:r>
            <w:r w:rsidR="00F874F5" w:rsidRPr="00540F85">
              <w:rPr>
                <w:rFonts w:asciiTheme="majorHAnsi" w:eastAsia="Times New Roman" w:hAnsiTheme="majorHAnsi" w:cstheme="majorHAnsi"/>
                <w:b/>
                <w:bCs/>
                <w:sz w:val="16"/>
                <w:szCs w:val="16"/>
                <w:lang w:eastAsia="hr-HR"/>
              </w:rPr>
              <w:t>398</w:t>
            </w:r>
          </w:p>
        </w:tc>
        <w:tc>
          <w:tcPr>
            <w:tcW w:w="808" w:type="dxa"/>
            <w:shd w:val="clear" w:color="auto" w:fill="auto"/>
            <w:noWrap/>
            <w:vAlign w:val="center"/>
          </w:tcPr>
          <w:p w14:paraId="00DD6AE8" w14:textId="273A20E6" w:rsidR="005C4846" w:rsidRPr="00540F85" w:rsidRDefault="006F2526" w:rsidP="00B632E0">
            <w:pPr>
              <w:jc w:val="center"/>
              <w:rPr>
                <w:rFonts w:asciiTheme="majorHAnsi" w:eastAsia="Times New Roman" w:hAnsiTheme="majorHAnsi" w:cstheme="majorHAnsi"/>
                <w:b/>
                <w:bCs/>
                <w:sz w:val="16"/>
                <w:szCs w:val="16"/>
                <w:lang w:eastAsia="hr-HR"/>
              </w:rPr>
            </w:pPr>
            <w:r w:rsidRPr="00540F85">
              <w:rPr>
                <w:rFonts w:asciiTheme="majorHAnsi" w:eastAsia="Times New Roman" w:hAnsiTheme="majorHAnsi" w:cstheme="majorHAnsi"/>
                <w:b/>
                <w:bCs/>
                <w:sz w:val="16"/>
                <w:szCs w:val="16"/>
                <w:lang w:eastAsia="hr-HR"/>
              </w:rPr>
              <w:t>2.</w:t>
            </w:r>
            <w:r w:rsidR="00F874F5" w:rsidRPr="00540F85">
              <w:rPr>
                <w:rFonts w:asciiTheme="majorHAnsi" w:eastAsia="Times New Roman" w:hAnsiTheme="majorHAnsi" w:cstheme="majorHAnsi"/>
                <w:b/>
                <w:bCs/>
                <w:sz w:val="16"/>
                <w:szCs w:val="16"/>
                <w:lang w:eastAsia="hr-HR"/>
              </w:rPr>
              <w:t>305</w:t>
            </w:r>
          </w:p>
        </w:tc>
      </w:tr>
    </w:tbl>
    <w:p w14:paraId="756D733E" w14:textId="77777777" w:rsidR="00727AFE" w:rsidRPr="001B4CA2" w:rsidRDefault="00727AFE" w:rsidP="00727AFE"/>
    <w:p w14:paraId="40C8ACFE" w14:textId="10EF9908" w:rsidR="00F874F5" w:rsidRPr="001B4CA2" w:rsidRDefault="005B2800" w:rsidP="00F874F5">
      <w:r w:rsidRPr="001B4CA2">
        <w:tab/>
      </w:r>
      <w:r w:rsidR="00F874F5" w:rsidRPr="001B4CA2">
        <w:t xml:space="preserve">Županijska državna odvjetništva tijekom 2022. godine zaprimila </w:t>
      </w:r>
      <w:r w:rsidR="00436C25" w:rsidRPr="001B4CA2">
        <w:t xml:space="preserve">su </w:t>
      </w:r>
      <w:r w:rsidR="00F874F5" w:rsidRPr="001B4CA2">
        <w:t>207 kaznenih prijava protiv poznatih počinitelja (sve fizičke i pravne osobe) manje nego 2021. godine, što predstavlja pad od 12,9</w:t>
      </w:r>
      <w:r w:rsidR="00436C25">
        <w:t> </w:t>
      </w:r>
      <w:r w:rsidR="00F874F5" w:rsidRPr="001B4CA2">
        <w:t>%. Naime, tijekom 2022. godine zaprimljeno je 1.398 kaznenih prijava protiv poznatih počinitelja, dok je u 2021. godini bilo prijavljeno 1.605 osoba.</w:t>
      </w:r>
    </w:p>
    <w:p w14:paraId="6DA15BC5" w14:textId="77777777" w:rsidR="00F874F5" w:rsidRPr="001B4CA2" w:rsidRDefault="00F874F5" w:rsidP="00F874F5">
      <w:r w:rsidRPr="001B4CA2">
        <w:tab/>
        <w:t xml:space="preserve">  </w:t>
      </w:r>
    </w:p>
    <w:p w14:paraId="624A9584" w14:textId="500CEBA4" w:rsidR="00F874F5" w:rsidRPr="001B4CA2" w:rsidRDefault="001B4CA2" w:rsidP="00F874F5">
      <w:r>
        <w:tab/>
      </w:r>
      <w:r w:rsidR="00F874F5" w:rsidRPr="001B4CA2">
        <w:t>Pritom se 1.289 kaznenih prijava odnosi na poznate fizičke osobe koje bilježe pad od 13,3</w:t>
      </w:r>
      <w:r w:rsidR="00436C25">
        <w:t> </w:t>
      </w:r>
      <w:r w:rsidR="00F874F5" w:rsidRPr="001B4CA2">
        <w:t>% u odnosu na prethodnu godinu (2021. – 1.487 prijavljenih fizičkih osoba). Kaznene prijave protiv poznatih fizičkih osoba uključuju kaznene prijave protiv odraslih osoba (od navršene 21. godine života), mlađe punoljetne osobe (od 18. do 21. godine života) i maloljetnike (od 14. do 18. godine života).</w:t>
      </w:r>
    </w:p>
    <w:p w14:paraId="6256DA05" w14:textId="77777777" w:rsidR="00F874F5" w:rsidRPr="001B4CA2" w:rsidRDefault="00F874F5" w:rsidP="00F874F5"/>
    <w:p w14:paraId="38F6CF54" w14:textId="5AA5432E" w:rsidR="00F874F5" w:rsidRPr="001B4CA2" w:rsidRDefault="001B4CA2" w:rsidP="00F874F5">
      <w:r>
        <w:tab/>
      </w:r>
      <w:r w:rsidR="00F874F5" w:rsidRPr="001B4CA2">
        <w:t xml:space="preserve">U izvještajnom razdoblju </w:t>
      </w:r>
      <w:r w:rsidR="00436C25" w:rsidRPr="001B4CA2">
        <w:t xml:space="preserve">prijavljeno </w:t>
      </w:r>
      <w:r w:rsidR="00F874F5" w:rsidRPr="001B4CA2">
        <w:t>je 109 pravnih osoba, što je 9 prijavljenih pravnih osoba manje nego prethodne godine (2021. – 118 prijavljenih pravnih osoba) i predstavlja pad od 7,6</w:t>
      </w:r>
      <w:r w:rsidR="00436C25">
        <w:t> </w:t>
      </w:r>
      <w:r w:rsidR="00F874F5" w:rsidRPr="001B4CA2">
        <w:t xml:space="preserve">%. </w:t>
      </w:r>
    </w:p>
    <w:p w14:paraId="6F7C975D" w14:textId="77777777" w:rsidR="00F874F5" w:rsidRPr="001B4CA2" w:rsidRDefault="00F874F5" w:rsidP="00F874F5"/>
    <w:p w14:paraId="19C7C06D" w14:textId="19B7C7BE" w:rsidR="00F874F5" w:rsidRPr="001B4CA2" w:rsidRDefault="00F874F5" w:rsidP="00F874F5">
      <w:r w:rsidRPr="001B4CA2">
        <w:tab/>
        <w:t xml:space="preserve">Međutim, iako se od 2020. godine uočava blagi pad u broju prijavljenih pravnih osoba, kada se broj prijavljenih pravnih osoba u 2022. usporedi s ranijim izvještajnim razdobljima (2018. – 91 te 2019. – 68 prijavljenih pravnih osoba), </w:t>
      </w:r>
      <w:r w:rsidR="00436C25">
        <w:t>razvidno</w:t>
      </w:r>
      <w:r w:rsidRPr="001B4CA2">
        <w:t xml:space="preserve"> je da se prijavljeni broj pravnih osoba kreće u rasponu uobičajenih oscilacija.  </w:t>
      </w:r>
    </w:p>
    <w:p w14:paraId="1F2DCFF8" w14:textId="77777777" w:rsidR="00F874F5" w:rsidRPr="001B4CA2" w:rsidRDefault="00F874F5" w:rsidP="00F874F5"/>
    <w:p w14:paraId="3B9023AD" w14:textId="79315850" w:rsidR="00F874F5" w:rsidRPr="001B4CA2" w:rsidRDefault="001B4CA2" w:rsidP="00F874F5">
      <w:r>
        <w:tab/>
      </w:r>
      <w:r w:rsidR="00F874F5" w:rsidRPr="001B4CA2">
        <w:t xml:space="preserve">Što se tiče dobnih skupina prijavljenih fizičkih osoba, </w:t>
      </w:r>
      <w:r w:rsidR="00436C25">
        <w:t>razvidno</w:t>
      </w:r>
      <w:r w:rsidR="00F874F5" w:rsidRPr="001B4CA2">
        <w:t xml:space="preserve"> je da su i u 2022. godini najzastupljenije kaznene prijave podnesene protiv odraslih osoba s 1.183 prijave (84,6</w:t>
      </w:r>
      <w:r w:rsidR="00436C25">
        <w:t> </w:t>
      </w:r>
      <w:r w:rsidR="00F874F5" w:rsidRPr="001B4CA2">
        <w:t>%)</w:t>
      </w:r>
      <w:r w:rsidR="00436C25">
        <w:t>,</w:t>
      </w:r>
      <w:r w:rsidR="00F874F5" w:rsidRPr="001B4CA2">
        <w:t xml:space="preserve"> iza kojih slijede maloljetne osobe s 59 prijava (4,2</w:t>
      </w:r>
      <w:r w:rsidR="00436C25">
        <w:t> </w:t>
      </w:r>
      <w:r w:rsidR="00F874F5" w:rsidRPr="001B4CA2">
        <w:t>%) te mlađe punoljetne osobe s 47 prijava (3,4</w:t>
      </w:r>
      <w:r w:rsidR="00436C25">
        <w:t> </w:t>
      </w:r>
      <w:r w:rsidR="00F874F5" w:rsidRPr="001B4CA2">
        <w:t>%). U strukturi prijavljenih osoba na pravne osobe, sa 109 prijava, otpada udio od 7,8</w:t>
      </w:r>
      <w:r w:rsidR="00436C25">
        <w:t> </w:t>
      </w:r>
      <w:r w:rsidR="00F874F5" w:rsidRPr="001B4CA2">
        <w:t xml:space="preserve">%. </w:t>
      </w:r>
    </w:p>
    <w:p w14:paraId="23B581BC" w14:textId="77777777" w:rsidR="00F874F5" w:rsidRPr="001B4CA2" w:rsidRDefault="00F874F5" w:rsidP="00F874F5"/>
    <w:p w14:paraId="053ED3A1" w14:textId="77777777" w:rsidR="00F874F5" w:rsidRPr="001B4CA2" w:rsidRDefault="00F874F5" w:rsidP="00F874F5">
      <w:pPr>
        <w:rPr>
          <w:i/>
        </w:rPr>
      </w:pPr>
    </w:p>
    <w:p w14:paraId="6BFD44F6" w14:textId="381838AA" w:rsidR="00F874F5" w:rsidRPr="001B4CA2" w:rsidRDefault="00F874F5" w:rsidP="00F874F5">
      <w:pPr>
        <w:rPr>
          <w:i/>
        </w:rPr>
      </w:pPr>
    </w:p>
    <w:p w14:paraId="4B4A5549" w14:textId="229D5E4D" w:rsidR="00F874F5" w:rsidRPr="001B4CA2" w:rsidRDefault="001B4CA2" w:rsidP="00F874F5">
      <w:pPr>
        <w:rPr>
          <w:i/>
        </w:rPr>
      </w:pPr>
      <w:r>
        <w:rPr>
          <w:i/>
        </w:rPr>
        <w:lastRenderedPageBreak/>
        <w:tab/>
      </w:r>
      <w:r w:rsidR="00F874F5" w:rsidRPr="001B4CA2">
        <w:rPr>
          <w:i/>
        </w:rPr>
        <w:t>Struktura kriminaliteta</w:t>
      </w:r>
    </w:p>
    <w:tbl>
      <w:tblPr>
        <w:tblW w:w="7060" w:type="dxa"/>
        <w:tblInd w:w="533" w:type="dxa"/>
        <w:tblLook w:val="04A0" w:firstRow="1" w:lastRow="0" w:firstColumn="1" w:lastColumn="0" w:noHBand="0" w:noVBand="1"/>
      </w:tblPr>
      <w:tblGrid>
        <w:gridCol w:w="2580"/>
        <w:gridCol w:w="1351"/>
        <w:gridCol w:w="1479"/>
        <w:gridCol w:w="1650"/>
      </w:tblGrid>
      <w:tr w:rsidR="00F874F5" w:rsidRPr="001B4CA2" w14:paraId="6096B359" w14:textId="77777777" w:rsidTr="00F874F5">
        <w:trPr>
          <w:trHeight w:val="915"/>
        </w:trPr>
        <w:tc>
          <w:tcPr>
            <w:tcW w:w="2580" w:type="dxa"/>
            <w:tcBorders>
              <w:top w:val="single" w:sz="8" w:space="0" w:color="auto"/>
              <w:left w:val="single" w:sz="8" w:space="0" w:color="auto"/>
              <w:bottom w:val="single" w:sz="8" w:space="0" w:color="auto"/>
              <w:right w:val="single" w:sz="8" w:space="0" w:color="auto"/>
            </w:tcBorders>
            <w:shd w:val="clear" w:color="000000" w:fill="99CCFF"/>
            <w:noWrap/>
            <w:vAlign w:val="center"/>
            <w:hideMark/>
          </w:tcPr>
          <w:p w14:paraId="7DB6AE5A" w14:textId="2D2E540B" w:rsidR="00F874F5" w:rsidRPr="001B4CA2" w:rsidRDefault="00F874F5"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Kazneno djelo</w:t>
            </w:r>
          </w:p>
        </w:tc>
        <w:tc>
          <w:tcPr>
            <w:tcW w:w="1351" w:type="dxa"/>
            <w:tcBorders>
              <w:top w:val="single" w:sz="8" w:space="0" w:color="auto"/>
              <w:left w:val="nil"/>
              <w:bottom w:val="single" w:sz="8" w:space="0" w:color="auto"/>
              <w:right w:val="single" w:sz="8" w:space="0" w:color="auto"/>
            </w:tcBorders>
            <w:shd w:val="clear" w:color="000000" w:fill="99CCFF"/>
            <w:vAlign w:val="center"/>
            <w:hideMark/>
          </w:tcPr>
          <w:p w14:paraId="644BB4EB" w14:textId="77777777" w:rsidR="00F874F5" w:rsidRPr="001B4CA2" w:rsidRDefault="00F874F5"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Broj prijavljenih u 2021.</w:t>
            </w:r>
          </w:p>
        </w:tc>
        <w:tc>
          <w:tcPr>
            <w:tcW w:w="1479" w:type="dxa"/>
            <w:tcBorders>
              <w:top w:val="single" w:sz="8" w:space="0" w:color="auto"/>
              <w:left w:val="nil"/>
              <w:bottom w:val="single" w:sz="8" w:space="0" w:color="auto"/>
              <w:right w:val="single" w:sz="8" w:space="0" w:color="auto"/>
            </w:tcBorders>
            <w:shd w:val="clear" w:color="000000" w:fill="99CCFF"/>
            <w:vAlign w:val="center"/>
            <w:hideMark/>
          </w:tcPr>
          <w:p w14:paraId="47688FE2" w14:textId="77777777" w:rsidR="00F874F5" w:rsidRPr="001B4CA2" w:rsidRDefault="00F874F5"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Broj prijavljenih u 2022.</w:t>
            </w:r>
          </w:p>
        </w:tc>
        <w:tc>
          <w:tcPr>
            <w:tcW w:w="1650" w:type="dxa"/>
            <w:tcBorders>
              <w:top w:val="single" w:sz="8" w:space="0" w:color="auto"/>
              <w:left w:val="nil"/>
              <w:bottom w:val="single" w:sz="8" w:space="0" w:color="auto"/>
              <w:right w:val="single" w:sz="8" w:space="0" w:color="auto"/>
            </w:tcBorders>
            <w:shd w:val="clear" w:color="000000" w:fill="99CCFF"/>
            <w:vAlign w:val="center"/>
            <w:hideMark/>
          </w:tcPr>
          <w:p w14:paraId="1164BC41" w14:textId="77777777" w:rsidR="00F874F5" w:rsidRPr="001B4CA2" w:rsidRDefault="00F874F5"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Porast – pad</w:t>
            </w:r>
          </w:p>
        </w:tc>
      </w:tr>
      <w:tr w:rsidR="00F874F5" w:rsidRPr="001B4CA2" w14:paraId="147FAD34" w14:textId="77777777" w:rsidTr="00F874F5">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106B3DD8" w14:textId="77777777" w:rsidR="00F874F5" w:rsidRPr="001B4CA2" w:rsidRDefault="00F874F5"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246. KZ/11</w:t>
            </w:r>
          </w:p>
        </w:tc>
        <w:tc>
          <w:tcPr>
            <w:tcW w:w="1351" w:type="dxa"/>
            <w:tcBorders>
              <w:top w:val="nil"/>
              <w:left w:val="nil"/>
              <w:bottom w:val="single" w:sz="8" w:space="0" w:color="auto"/>
              <w:right w:val="single" w:sz="8" w:space="0" w:color="auto"/>
            </w:tcBorders>
            <w:shd w:val="clear" w:color="auto" w:fill="auto"/>
            <w:noWrap/>
            <w:vAlign w:val="center"/>
            <w:hideMark/>
          </w:tcPr>
          <w:p w14:paraId="7D303925"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539 (33%)</w:t>
            </w:r>
          </w:p>
        </w:tc>
        <w:tc>
          <w:tcPr>
            <w:tcW w:w="1479" w:type="dxa"/>
            <w:tcBorders>
              <w:top w:val="nil"/>
              <w:left w:val="nil"/>
              <w:bottom w:val="single" w:sz="8" w:space="0" w:color="auto"/>
              <w:right w:val="single" w:sz="8" w:space="0" w:color="auto"/>
            </w:tcBorders>
            <w:shd w:val="clear" w:color="auto" w:fill="auto"/>
            <w:noWrap/>
            <w:vAlign w:val="center"/>
            <w:hideMark/>
          </w:tcPr>
          <w:p w14:paraId="3E0D2AB1"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436 (31,2%)</w:t>
            </w:r>
          </w:p>
        </w:tc>
        <w:tc>
          <w:tcPr>
            <w:tcW w:w="1650" w:type="dxa"/>
            <w:tcBorders>
              <w:top w:val="nil"/>
              <w:left w:val="nil"/>
              <w:bottom w:val="single" w:sz="8" w:space="0" w:color="auto"/>
              <w:right w:val="single" w:sz="8" w:space="0" w:color="auto"/>
            </w:tcBorders>
            <w:shd w:val="clear" w:color="auto" w:fill="auto"/>
            <w:noWrap/>
            <w:vAlign w:val="center"/>
            <w:hideMark/>
          </w:tcPr>
          <w:p w14:paraId="1A2B91A9"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19,1% pad</w:t>
            </w:r>
          </w:p>
        </w:tc>
      </w:tr>
      <w:tr w:rsidR="00F874F5" w:rsidRPr="001B4CA2" w14:paraId="566F87BC" w14:textId="77777777" w:rsidTr="00F874F5">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01246F33" w14:textId="77777777" w:rsidR="00F874F5" w:rsidRPr="001B4CA2" w:rsidRDefault="00F874F5"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291. KZ/11</w:t>
            </w:r>
          </w:p>
        </w:tc>
        <w:tc>
          <w:tcPr>
            <w:tcW w:w="1351" w:type="dxa"/>
            <w:tcBorders>
              <w:top w:val="nil"/>
              <w:left w:val="nil"/>
              <w:bottom w:val="single" w:sz="8" w:space="0" w:color="auto"/>
              <w:right w:val="single" w:sz="8" w:space="0" w:color="auto"/>
            </w:tcBorders>
            <w:shd w:val="clear" w:color="auto" w:fill="auto"/>
            <w:noWrap/>
            <w:vAlign w:val="center"/>
            <w:hideMark/>
          </w:tcPr>
          <w:p w14:paraId="6DCA99B1"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153 (9,5%)</w:t>
            </w:r>
          </w:p>
        </w:tc>
        <w:tc>
          <w:tcPr>
            <w:tcW w:w="1479" w:type="dxa"/>
            <w:tcBorders>
              <w:top w:val="nil"/>
              <w:left w:val="nil"/>
              <w:bottom w:val="single" w:sz="8" w:space="0" w:color="auto"/>
              <w:right w:val="single" w:sz="8" w:space="0" w:color="auto"/>
            </w:tcBorders>
            <w:shd w:val="clear" w:color="auto" w:fill="auto"/>
            <w:noWrap/>
            <w:vAlign w:val="center"/>
            <w:hideMark/>
          </w:tcPr>
          <w:p w14:paraId="107714EA"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131 (9,4%)</w:t>
            </w:r>
          </w:p>
        </w:tc>
        <w:tc>
          <w:tcPr>
            <w:tcW w:w="1650" w:type="dxa"/>
            <w:tcBorders>
              <w:top w:val="nil"/>
              <w:left w:val="nil"/>
              <w:bottom w:val="single" w:sz="8" w:space="0" w:color="auto"/>
              <w:right w:val="single" w:sz="8" w:space="0" w:color="auto"/>
            </w:tcBorders>
            <w:shd w:val="clear" w:color="auto" w:fill="auto"/>
            <w:noWrap/>
            <w:vAlign w:val="center"/>
            <w:hideMark/>
          </w:tcPr>
          <w:p w14:paraId="436A0C88"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14,4% pad</w:t>
            </w:r>
          </w:p>
        </w:tc>
      </w:tr>
      <w:tr w:rsidR="00F874F5" w:rsidRPr="001B4CA2" w14:paraId="16E20492" w14:textId="77777777" w:rsidTr="00F874F5">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0FB71855" w14:textId="77777777" w:rsidR="00F874F5" w:rsidRPr="001B4CA2" w:rsidRDefault="00F874F5"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230. KZ/11</w:t>
            </w:r>
          </w:p>
        </w:tc>
        <w:tc>
          <w:tcPr>
            <w:tcW w:w="1351" w:type="dxa"/>
            <w:tcBorders>
              <w:top w:val="nil"/>
              <w:left w:val="nil"/>
              <w:bottom w:val="single" w:sz="8" w:space="0" w:color="auto"/>
              <w:right w:val="single" w:sz="8" w:space="0" w:color="auto"/>
            </w:tcBorders>
            <w:shd w:val="clear" w:color="auto" w:fill="auto"/>
            <w:noWrap/>
            <w:vAlign w:val="center"/>
            <w:hideMark/>
          </w:tcPr>
          <w:p w14:paraId="7E2D30F8"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116 (7,2%)</w:t>
            </w:r>
          </w:p>
        </w:tc>
        <w:tc>
          <w:tcPr>
            <w:tcW w:w="1479" w:type="dxa"/>
            <w:tcBorders>
              <w:top w:val="nil"/>
              <w:left w:val="nil"/>
              <w:bottom w:val="single" w:sz="8" w:space="0" w:color="auto"/>
              <w:right w:val="single" w:sz="8" w:space="0" w:color="auto"/>
            </w:tcBorders>
            <w:shd w:val="clear" w:color="auto" w:fill="auto"/>
            <w:noWrap/>
            <w:vAlign w:val="center"/>
            <w:hideMark/>
          </w:tcPr>
          <w:p w14:paraId="26BC8DDC"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88 (6,3%)</w:t>
            </w:r>
          </w:p>
        </w:tc>
        <w:tc>
          <w:tcPr>
            <w:tcW w:w="1650" w:type="dxa"/>
            <w:tcBorders>
              <w:top w:val="nil"/>
              <w:left w:val="nil"/>
              <w:bottom w:val="single" w:sz="8" w:space="0" w:color="auto"/>
              <w:right w:val="single" w:sz="8" w:space="0" w:color="auto"/>
            </w:tcBorders>
            <w:shd w:val="clear" w:color="auto" w:fill="auto"/>
            <w:noWrap/>
            <w:vAlign w:val="center"/>
            <w:hideMark/>
          </w:tcPr>
          <w:p w14:paraId="2A9AFCD3"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24,1% pad </w:t>
            </w:r>
          </w:p>
        </w:tc>
      </w:tr>
      <w:tr w:rsidR="00F874F5" w:rsidRPr="001B4CA2" w14:paraId="387DBC7E" w14:textId="77777777" w:rsidTr="00F874F5">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77D60750" w14:textId="77777777" w:rsidR="00F874F5" w:rsidRPr="001B4CA2" w:rsidRDefault="00F874F5"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110. KZ/11</w:t>
            </w:r>
          </w:p>
        </w:tc>
        <w:tc>
          <w:tcPr>
            <w:tcW w:w="1351" w:type="dxa"/>
            <w:tcBorders>
              <w:top w:val="nil"/>
              <w:left w:val="nil"/>
              <w:bottom w:val="single" w:sz="8" w:space="0" w:color="auto"/>
              <w:right w:val="single" w:sz="8" w:space="0" w:color="auto"/>
            </w:tcBorders>
            <w:shd w:val="clear" w:color="auto" w:fill="auto"/>
            <w:noWrap/>
            <w:vAlign w:val="center"/>
            <w:hideMark/>
          </w:tcPr>
          <w:p w14:paraId="68E383B1"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106 (6,6%)</w:t>
            </w:r>
          </w:p>
        </w:tc>
        <w:tc>
          <w:tcPr>
            <w:tcW w:w="1479" w:type="dxa"/>
            <w:tcBorders>
              <w:top w:val="nil"/>
              <w:left w:val="nil"/>
              <w:bottom w:val="single" w:sz="8" w:space="0" w:color="auto"/>
              <w:right w:val="single" w:sz="8" w:space="0" w:color="auto"/>
            </w:tcBorders>
            <w:shd w:val="clear" w:color="auto" w:fill="auto"/>
            <w:noWrap/>
            <w:vAlign w:val="center"/>
            <w:hideMark/>
          </w:tcPr>
          <w:p w14:paraId="7B401269"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106 (7,6%)</w:t>
            </w:r>
          </w:p>
        </w:tc>
        <w:tc>
          <w:tcPr>
            <w:tcW w:w="1650" w:type="dxa"/>
            <w:tcBorders>
              <w:top w:val="nil"/>
              <w:left w:val="nil"/>
              <w:bottom w:val="single" w:sz="8" w:space="0" w:color="auto"/>
              <w:right w:val="single" w:sz="8" w:space="0" w:color="auto"/>
            </w:tcBorders>
            <w:shd w:val="clear" w:color="auto" w:fill="auto"/>
            <w:noWrap/>
            <w:vAlign w:val="center"/>
            <w:hideMark/>
          </w:tcPr>
          <w:p w14:paraId="640F42AC"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0% </w:t>
            </w:r>
          </w:p>
        </w:tc>
      </w:tr>
      <w:tr w:rsidR="00F874F5" w:rsidRPr="001B4CA2" w14:paraId="5489F52E" w14:textId="77777777" w:rsidTr="00F874F5">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4AB4F8DA" w14:textId="77777777" w:rsidR="00F874F5" w:rsidRPr="001B4CA2" w:rsidRDefault="00F874F5"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153. KZ/11</w:t>
            </w:r>
          </w:p>
        </w:tc>
        <w:tc>
          <w:tcPr>
            <w:tcW w:w="1351" w:type="dxa"/>
            <w:tcBorders>
              <w:top w:val="nil"/>
              <w:left w:val="nil"/>
              <w:bottom w:val="single" w:sz="8" w:space="0" w:color="auto"/>
              <w:right w:val="single" w:sz="8" w:space="0" w:color="auto"/>
            </w:tcBorders>
            <w:shd w:val="clear" w:color="auto" w:fill="auto"/>
            <w:noWrap/>
            <w:vAlign w:val="center"/>
            <w:hideMark/>
          </w:tcPr>
          <w:p w14:paraId="1BBB9D30"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97 (9,6%)</w:t>
            </w:r>
          </w:p>
        </w:tc>
        <w:tc>
          <w:tcPr>
            <w:tcW w:w="1479" w:type="dxa"/>
            <w:tcBorders>
              <w:top w:val="nil"/>
              <w:left w:val="nil"/>
              <w:bottom w:val="single" w:sz="8" w:space="0" w:color="auto"/>
              <w:right w:val="single" w:sz="8" w:space="0" w:color="auto"/>
            </w:tcBorders>
            <w:shd w:val="clear" w:color="auto" w:fill="auto"/>
            <w:noWrap/>
            <w:vAlign w:val="center"/>
            <w:hideMark/>
          </w:tcPr>
          <w:p w14:paraId="0789F3B0"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114 (8,2%)</w:t>
            </w:r>
          </w:p>
        </w:tc>
        <w:tc>
          <w:tcPr>
            <w:tcW w:w="1650" w:type="dxa"/>
            <w:tcBorders>
              <w:top w:val="nil"/>
              <w:left w:val="nil"/>
              <w:bottom w:val="single" w:sz="8" w:space="0" w:color="auto"/>
              <w:right w:val="single" w:sz="8" w:space="0" w:color="auto"/>
            </w:tcBorders>
            <w:shd w:val="clear" w:color="auto" w:fill="auto"/>
            <w:noWrap/>
            <w:vAlign w:val="center"/>
            <w:hideMark/>
          </w:tcPr>
          <w:p w14:paraId="525651B9"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17,5% porast</w:t>
            </w:r>
          </w:p>
        </w:tc>
      </w:tr>
      <w:tr w:rsidR="00F874F5" w:rsidRPr="001B4CA2" w14:paraId="0B62EAAF" w14:textId="77777777" w:rsidTr="00F874F5">
        <w:trPr>
          <w:trHeight w:val="300"/>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4B8FD0C8" w14:textId="77777777" w:rsidR="00F874F5" w:rsidRPr="001B4CA2" w:rsidRDefault="00F874F5"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154. KZ/11</w:t>
            </w:r>
          </w:p>
        </w:tc>
        <w:tc>
          <w:tcPr>
            <w:tcW w:w="1351" w:type="dxa"/>
            <w:tcBorders>
              <w:top w:val="nil"/>
              <w:left w:val="nil"/>
              <w:bottom w:val="single" w:sz="8" w:space="0" w:color="auto"/>
              <w:right w:val="single" w:sz="8" w:space="0" w:color="auto"/>
            </w:tcBorders>
            <w:shd w:val="clear" w:color="auto" w:fill="auto"/>
            <w:noWrap/>
            <w:vAlign w:val="center"/>
            <w:hideMark/>
          </w:tcPr>
          <w:p w14:paraId="67497826"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66 (4,1%)</w:t>
            </w:r>
          </w:p>
        </w:tc>
        <w:tc>
          <w:tcPr>
            <w:tcW w:w="1479" w:type="dxa"/>
            <w:tcBorders>
              <w:top w:val="nil"/>
              <w:left w:val="nil"/>
              <w:bottom w:val="single" w:sz="8" w:space="0" w:color="auto"/>
              <w:right w:val="single" w:sz="8" w:space="0" w:color="auto"/>
            </w:tcBorders>
            <w:shd w:val="clear" w:color="auto" w:fill="auto"/>
            <w:noWrap/>
            <w:vAlign w:val="center"/>
            <w:hideMark/>
          </w:tcPr>
          <w:p w14:paraId="08932E70"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89 (6,4%)</w:t>
            </w:r>
          </w:p>
        </w:tc>
        <w:tc>
          <w:tcPr>
            <w:tcW w:w="1650" w:type="dxa"/>
            <w:tcBorders>
              <w:top w:val="nil"/>
              <w:left w:val="nil"/>
              <w:bottom w:val="single" w:sz="8" w:space="0" w:color="auto"/>
              <w:right w:val="single" w:sz="8" w:space="0" w:color="auto"/>
            </w:tcBorders>
            <w:shd w:val="clear" w:color="auto" w:fill="auto"/>
            <w:noWrap/>
            <w:vAlign w:val="center"/>
            <w:hideMark/>
          </w:tcPr>
          <w:p w14:paraId="11692FFE"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34,8% porast </w:t>
            </w:r>
          </w:p>
        </w:tc>
      </w:tr>
      <w:tr w:rsidR="00F874F5" w:rsidRPr="001B4CA2" w14:paraId="5C99B3C2" w14:textId="77777777" w:rsidTr="00F874F5">
        <w:trPr>
          <w:trHeight w:val="300"/>
        </w:trPr>
        <w:tc>
          <w:tcPr>
            <w:tcW w:w="2580" w:type="dxa"/>
            <w:tcBorders>
              <w:top w:val="nil"/>
              <w:left w:val="single" w:sz="8" w:space="0" w:color="auto"/>
              <w:bottom w:val="nil"/>
              <w:right w:val="single" w:sz="8" w:space="0" w:color="auto"/>
            </w:tcBorders>
            <w:shd w:val="clear" w:color="auto" w:fill="auto"/>
            <w:noWrap/>
            <w:vAlign w:val="center"/>
            <w:hideMark/>
          </w:tcPr>
          <w:p w14:paraId="6CD1F305" w14:textId="77777777" w:rsidR="00F874F5" w:rsidRPr="001B4CA2" w:rsidRDefault="00F874F5"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91. KZ/11</w:t>
            </w:r>
          </w:p>
        </w:tc>
        <w:tc>
          <w:tcPr>
            <w:tcW w:w="1351" w:type="dxa"/>
            <w:tcBorders>
              <w:top w:val="nil"/>
              <w:left w:val="nil"/>
              <w:bottom w:val="nil"/>
              <w:right w:val="single" w:sz="8" w:space="0" w:color="auto"/>
            </w:tcBorders>
            <w:shd w:val="clear" w:color="auto" w:fill="auto"/>
            <w:noWrap/>
            <w:vAlign w:val="center"/>
            <w:hideMark/>
          </w:tcPr>
          <w:p w14:paraId="4D64F08A"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35 (2,2%)</w:t>
            </w:r>
          </w:p>
        </w:tc>
        <w:tc>
          <w:tcPr>
            <w:tcW w:w="1479" w:type="dxa"/>
            <w:tcBorders>
              <w:top w:val="nil"/>
              <w:left w:val="nil"/>
              <w:bottom w:val="nil"/>
              <w:right w:val="single" w:sz="8" w:space="0" w:color="auto"/>
            </w:tcBorders>
            <w:shd w:val="clear" w:color="auto" w:fill="auto"/>
            <w:noWrap/>
            <w:vAlign w:val="center"/>
            <w:hideMark/>
          </w:tcPr>
          <w:p w14:paraId="346CC35D"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47 (3,4%)</w:t>
            </w:r>
          </w:p>
        </w:tc>
        <w:tc>
          <w:tcPr>
            <w:tcW w:w="1650" w:type="dxa"/>
            <w:tcBorders>
              <w:top w:val="nil"/>
              <w:left w:val="nil"/>
              <w:bottom w:val="nil"/>
              <w:right w:val="single" w:sz="8" w:space="0" w:color="auto"/>
            </w:tcBorders>
            <w:shd w:val="clear" w:color="auto" w:fill="auto"/>
            <w:noWrap/>
            <w:vAlign w:val="center"/>
            <w:hideMark/>
          </w:tcPr>
          <w:p w14:paraId="4B8F8979"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34,3% porast </w:t>
            </w:r>
          </w:p>
        </w:tc>
      </w:tr>
      <w:tr w:rsidR="00F874F5" w:rsidRPr="001B4CA2" w14:paraId="227587F6" w14:textId="77777777" w:rsidTr="00F874F5">
        <w:trPr>
          <w:trHeight w:val="300"/>
        </w:trPr>
        <w:tc>
          <w:tcPr>
            <w:tcW w:w="2580" w:type="dxa"/>
            <w:tcBorders>
              <w:top w:val="single" w:sz="8" w:space="0" w:color="auto"/>
              <w:left w:val="single" w:sz="8" w:space="0" w:color="auto"/>
              <w:bottom w:val="nil"/>
              <w:right w:val="single" w:sz="8" w:space="0" w:color="auto"/>
            </w:tcBorders>
            <w:shd w:val="clear" w:color="auto" w:fill="auto"/>
            <w:noWrap/>
            <w:vAlign w:val="center"/>
            <w:hideMark/>
          </w:tcPr>
          <w:p w14:paraId="0F91FA4A" w14:textId="77777777" w:rsidR="00F874F5" w:rsidRPr="001B4CA2" w:rsidRDefault="00F874F5"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166. KZ/11</w:t>
            </w:r>
          </w:p>
        </w:tc>
        <w:tc>
          <w:tcPr>
            <w:tcW w:w="1351" w:type="dxa"/>
            <w:tcBorders>
              <w:top w:val="single" w:sz="8" w:space="0" w:color="auto"/>
              <w:left w:val="nil"/>
              <w:bottom w:val="nil"/>
              <w:right w:val="single" w:sz="8" w:space="0" w:color="auto"/>
            </w:tcBorders>
            <w:shd w:val="clear" w:color="auto" w:fill="auto"/>
            <w:noWrap/>
            <w:vAlign w:val="center"/>
            <w:hideMark/>
          </w:tcPr>
          <w:p w14:paraId="6E3B9011"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32 (1,9%)</w:t>
            </w:r>
          </w:p>
        </w:tc>
        <w:tc>
          <w:tcPr>
            <w:tcW w:w="1479" w:type="dxa"/>
            <w:tcBorders>
              <w:top w:val="single" w:sz="8" w:space="0" w:color="auto"/>
              <w:left w:val="nil"/>
              <w:bottom w:val="nil"/>
              <w:right w:val="single" w:sz="8" w:space="0" w:color="auto"/>
            </w:tcBorders>
            <w:shd w:val="clear" w:color="auto" w:fill="auto"/>
            <w:noWrap/>
            <w:vAlign w:val="center"/>
            <w:hideMark/>
          </w:tcPr>
          <w:p w14:paraId="7E12DC4D"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50 (3,6%)</w:t>
            </w:r>
          </w:p>
        </w:tc>
        <w:tc>
          <w:tcPr>
            <w:tcW w:w="1650" w:type="dxa"/>
            <w:tcBorders>
              <w:top w:val="single" w:sz="8" w:space="0" w:color="auto"/>
              <w:left w:val="nil"/>
              <w:bottom w:val="nil"/>
              <w:right w:val="single" w:sz="8" w:space="0" w:color="auto"/>
            </w:tcBorders>
            <w:shd w:val="clear" w:color="auto" w:fill="auto"/>
            <w:noWrap/>
            <w:vAlign w:val="center"/>
            <w:hideMark/>
          </w:tcPr>
          <w:p w14:paraId="349A6731"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56,2% porast </w:t>
            </w:r>
          </w:p>
        </w:tc>
      </w:tr>
      <w:tr w:rsidR="00F874F5" w:rsidRPr="001B4CA2" w14:paraId="307E46A8" w14:textId="77777777" w:rsidTr="00F874F5">
        <w:trPr>
          <w:trHeight w:val="300"/>
        </w:trPr>
        <w:tc>
          <w:tcPr>
            <w:tcW w:w="2580" w:type="dxa"/>
            <w:tcBorders>
              <w:top w:val="single" w:sz="8" w:space="0" w:color="auto"/>
              <w:left w:val="single" w:sz="8" w:space="0" w:color="auto"/>
              <w:bottom w:val="nil"/>
              <w:right w:val="single" w:sz="8" w:space="0" w:color="auto"/>
            </w:tcBorders>
            <w:shd w:val="clear" w:color="auto" w:fill="auto"/>
            <w:noWrap/>
            <w:vAlign w:val="center"/>
            <w:hideMark/>
          </w:tcPr>
          <w:p w14:paraId="11EDB4F2" w14:textId="77777777" w:rsidR="00F874F5" w:rsidRPr="001B4CA2" w:rsidRDefault="00F874F5"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227. st.4 KZ/11</w:t>
            </w:r>
          </w:p>
        </w:tc>
        <w:tc>
          <w:tcPr>
            <w:tcW w:w="1351" w:type="dxa"/>
            <w:tcBorders>
              <w:top w:val="single" w:sz="8" w:space="0" w:color="auto"/>
              <w:left w:val="nil"/>
              <w:bottom w:val="nil"/>
              <w:right w:val="single" w:sz="8" w:space="0" w:color="auto"/>
            </w:tcBorders>
            <w:shd w:val="clear" w:color="auto" w:fill="auto"/>
            <w:noWrap/>
            <w:vAlign w:val="center"/>
            <w:hideMark/>
          </w:tcPr>
          <w:p w14:paraId="674373D0"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28 (1,7%)</w:t>
            </w:r>
          </w:p>
        </w:tc>
        <w:tc>
          <w:tcPr>
            <w:tcW w:w="1479" w:type="dxa"/>
            <w:tcBorders>
              <w:top w:val="single" w:sz="8" w:space="0" w:color="auto"/>
              <w:left w:val="nil"/>
              <w:bottom w:val="nil"/>
              <w:right w:val="single" w:sz="8" w:space="0" w:color="auto"/>
            </w:tcBorders>
            <w:shd w:val="clear" w:color="auto" w:fill="auto"/>
            <w:noWrap/>
            <w:vAlign w:val="center"/>
            <w:hideMark/>
          </w:tcPr>
          <w:p w14:paraId="21BEF2D8"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29 (2,1%)</w:t>
            </w:r>
          </w:p>
        </w:tc>
        <w:tc>
          <w:tcPr>
            <w:tcW w:w="1650" w:type="dxa"/>
            <w:tcBorders>
              <w:top w:val="single" w:sz="8" w:space="0" w:color="auto"/>
              <w:left w:val="nil"/>
              <w:bottom w:val="nil"/>
              <w:right w:val="single" w:sz="8" w:space="0" w:color="auto"/>
            </w:tcBorders>
            <w:shd w:val="clear" w:color="auto" w:fill="auto"/>
            <w:noWrap/>
            <w:vAlign w:val="center"/>
            <w:hideMark/>
          </w:tcPr>
          <w:p w14:paraId="3576FABF"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3,6% porast </w:t>
            </w:r>
          </w:p>
        </w:tc>
      </w:tr>
      <w:tr w:rsidR="00F874F5" w:rsidRPr="001B4CA2" w14:paraId="1C944069" w14:textId="77777777" w:rsidTr="00F874F5">
        <w:trPr>
          <w:trHeight w:val="300"/>
        </w:trPr>
        <w:tc>
          <w:tcPr>
            <w:tcW w:w="2580" w:type="dxa"/>
            <w:tcBorders>
              <w:top w:val="single" w:sz="8" w:space="0" w:color="auto"/>
              <w:left w:val="single" w:sz="8" w:space="0" w:color="auto"/>
              <w:bottom w:val="nil"/>
              <w:right w:val="single" w:sz="8" w:space="0" w:color="auto"/>
            </w:tcBorders>
            <w:shd w:val="clear" w:color="auto" w:fill="auto"/>
            <w:noWrap/>
            <w:vAlign w:val="center"/>
            <w:hideMark/>
          </w:tcPr>
          <w:p w14:paraId="776969A1" w14:textId="77777777" w:rsidR="00F874F5" w:rsidRPr="001B4CA2" w:rsidRDefault="00F874F5" w:rsidP="002A38E7">
            <w:pP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Članak 190. st.3.KZ/11</w:t>
            </w:r>
          </w:p>
        </w:tc>
        <w:tc>
          <w:tcPr>
            <w:tcW w:w="1351" w:type="dxa"/>
            <w:tcBorders>
              <w:top w:val="single" w:sz="8" w:space="0" w:color="auto"/>
              <w:left w:val="nil"/>
              <w:bottom w:val="nil"/>
              <w:right w:val="single" w:sz="8" w:space="0" w:color="auto"/>
            </w:tcBorders>
            <w:shd w:val="clear" w:color="auto" w:fill="auto"/>
            <w:noWrap/>
            <w:vAlign w:val="center"/>
            <w:hideMark/>
          </w:tcPr>
          <w:p w14:paraId="22063416"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26 (1,6%)</w:t>
            </w:r>
          </w:p>
        </w:tc>
        <w:tc>
          <w:tcPr>
            <w:tcW w:w="1479" w:type="dxa"/>
            <w:tcBorders>
              <w:top w:val="single" w:sz="8" w:space="0" w:color="auto"/>
              <w:left w:val="nil"/>
              <w:bottom w:val="nil"/>
              <w:right w:val="single" w:sz="8" w:space="0" w:color="auto"/>
            </w:tcBorders>
            <w:shd w:val="clear" w:color="auto" w:fill="auto"/>
            <w:noWrap/>
            <w:vAlign w:val="center"/>
            <w:hideMark/>
          </w:tcPr>
          <w:p w14:paraId="6308E75D"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35 (2,5%)</w:t>
            </w:r>
          </w:p>
        </w:tc>
        <w:tc>
          <w:tcPr>
            <w:tcW w:w="1650" w:type="dxa"/>
            <w:tcBorders>
              <w:top w:val="single" w:sz="8" w:space="0" w:color="auto"/>
              <w:left w:val="nil"/>
              <w:bottom w:val="nil"/>
              <w:right w:val="single" w:sz="8" w:space="0" w:color="auto"/>
            </w:tcBorders>
            <w:shd w:val="clear" w:color="auto" w:fill="auto"/>
            <w:noWrap/>
            <w:vAlign w:val="center"/>
            <w:hideMark/>
          </w:tcPr>
          <w:p w14:paraId="67A0BD8A" w14:textId="77777777" w:rsidR="00F874F5" w:rsidRPr="001B4CA2" w:rsidRDefault="00F874F5" w:rsidP="002A38E7">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 34,6% porast</w:t>
            </w:r>
          </w:p>
        </w:tc>
      </w:tr>
      <w:tr w:rsidR="00F874F5" w:rsidRPr="001B4CA2" w14:paraId="49721095" w14:textId="77777777" w:rsidTr="00F874F5">
        <w:trPr>
          <w:trHeight w:val="315"/>
        </w:trPr>
        <w:tc>
          <w:tcPr>
            <w:tcW w:w="2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77B77C" w14:textId="77777777" w:rsidR="00F874F5" w:rsidRPr="001B4CA2" w:rsidRDefault="00F874F5" w:rsidP="002A38E7">
            <w:pP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Ostalo</w:t>
            </w:r>
          </w:p>
        </w:tc>
        <w:tc>
          <w:tcPr>
            <w:tcW w:w="1351" w:type="dxa"/>
            <w:tcBorders>
              <w:top w:val="single" w:sz="8" w:space="0" w:color="auto"/>
              <w:left w:val="nil"/>
              <w:bottom w:val="single" w:sz="8" w:space="0" w:color="auto"/>
              <w:right w:val="single" w:sz="8" w:space="0" w:color="auto"/>
            </w:tcBorders>
            <w:shd w:val="clear" w:color="auto" w:fill="auto"/>
            <w:noWrap/>
            <w:vAlign w:val="center"/>
            <w:hideMark/>
          </w:tcPr>
          <w:p w14:paraId="51C70ADB" w14:textId="77777777" w:rsidR="00F874F5" w:rsidRPr="001B4CA2" w:rsidRDefault="00F874F5"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407 (25,4%)</w:t>
            </w:r>
          </w:p>
        </w:tc>
        <w:tc>
          <w:tcPr>
            <w:tcW w:w="1479" w:type="dxa"/>
            <w:tcBorders>
              <w:top w:val="single" w:sz="8" w:space="0" w:color="auto"/>
              <w:left w:val="nil"/>
              <w:bottom w:val="single" w:sz="8" w:space="0" w:color="auto"/>
              <w:right w:val="single" w:sz="8" w:space="0" w:color="auto"/>
            </w:tcBorders>
            <w:shd w:val="clear" w:color="auto" w:fill="auto"/>
            <w:noWrap/>
            <w:vAlign w:val="center"/>
            <w:hideMark/>
          </w:tcPr>
          <w:p w14:paraId="5BF8424F" w14:textId="77777777" w:rsidR="00F874F5" w:rsidRPr="001B4CA2" w:rsidRDefault="00F874F5"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273</w:t>
            </w:r>
          </w:p>
          <w:p w14:paraId="5E14A6DE" w14:textId="77777777" w:rsidR="00F874F5" w:rsidRPr="001B4CA2" w:rsidRDefault="00F874F5"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(19,5%)</w:t>
            </w:r>
          </w:p>
        </w:tc>
        <w:tc>
          <w:tcPr>
            <w:tcW w:w="1650" w:type="dxa"/>
            <w:tcBorders>
              <w:top w:val="single" w:sz="8" w:space="0" w:color="auto"/>
              <w:left w:val="nil"/>
              <w:bottom w:val="single" w:sz="8" w:space="0" w:color="auto"/>
              <w:right w:val="single" w:sz="8" w:space="0" w:color="auto"/>
            </w:tcBorders>
            <w:shd w:val="clear" w:color="auto" w:fill="auto"/>
            <w:noWrap/>
            <w:vAlign w:val="center"/>
            <w:hideMark/>
          </w:tcPr>
          <w:p w14:paraId="59526824" w14:textId="77777777" w:rsidR="00F874F5" w:rsidRPr="001B4CA2" w:rsidRDefault="00F874F5"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 </w:t>
            </w:r>
          </w:p>
        </w:tc>
      </w:tr>
      <w:tr w:rsidR="00F874F5" w:rsidRPr="001B4CA2" w14:paraId="60D84555" w14:textId="77777777" w:rsidTr="00F874F5">
        <w:trPr>
          <w:trHeight w:val="315"/>
        </w:trPr>
        <w:tc>
          <w:tcPr>
            <w:tcW w:w="2580" w:type="dxa"/>
            <w:tcBorders>
              <w:top w:val="nil"/>
              <w:left w:val="single" w:sz="8" w:space="0" w:color="auto"/>
              <w:bottom w:val="single" w:sz="8" w:space="0" w:color="auto"/>
              <w:right w:val="single" w:sz="8" w:space="0" w:color="auto"/>
            </w:tcBorders>
            <w:shd w:val="clear" w:color="auto" w:fill="auto"/>
            <w:noWrap/>
            <w:vAlign w:val="center"/>
            <w:hideMark/>
          </w:tcPr>
          <w:p w14:paraId="37F3065C" w14:textId="77777777" w:rsidR="00F874F5" w:rsidRPr="001B4CA2" w:rsidRDefault="00F874F5" w:rsidP="002A38E7">
            <w:pPr>
              <w:jc w:val="right"/>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Ukupno</w:t>
            </w:r>
          </w:p>
        </w:tc>
        <w:tc>
          <w:tcPr>
            <w:tcW w:w="1351" w:type="dxa"/>
            <w:tcBorders>
              <w:top w:val="nil"/>
              <w:left w:val="nil"/>
              <w:bottom w:val="single" w:sz="8" w:space="0" w:color="auto"/>
              <w:right w:val="single" w:sz="8" w:space="0" w:color="auto"/>
            </w:tcBorders>
            <w:shd w:val="clear" w:color="auto" w:fill="auto"/>
            <w:noWrap/>
            <w:vAlign w:val="center"/>
            <w:hideMark/>
          </w:tcPr>
          <w:p w14:paraId="0147D649" w14:textId="77777777" w:rsidR="00F874F5" w:rsidRPr="001B4CA2" w:rsidRDefault="00F874F5"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1.605 (100%)</w:t>
            </w:r>
          </w:p>
        </w:tc>
        <w:tc>
          <w:tcPr>
            <w:tcW w:w="1479" w:type="dxa"/>
            <w:tcBorders>
              <w:top w:val="nil"/>
              <w:left w:val="nil"/>
              <w:bottom w:val="single" w:sz="8" w:space="0" w:color="auto"/>
              <w:right w:val="single" w:sz="8" w:space="0" w:color="auto"/>
            </w:tcBorders>
            <w:shd w:val="clear" w:color="auto" w:fill="auto"/>
            <w:noWrap/>
            <w:vAlign w:val="center"/>
            <w:hideMark/>
          </w:tcPr>
          <w:p w14:paraId="3BF46059" w14:textId="77777777" w:rsidR="00F874F5" w:rsidRPr="001B4CA2" w:rsidRDefault="00F874F5"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1.398</w:t>
            </w:r>
          </w:p>
          <w:p w14:paraId="29210828" w14:textId="77777777" w:rsidR="00F874F5" w:rsidRPr="001B4CA2" w:rsidRDefault="00F874F5"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(100%)</w:t>
            </w:r>
          </w:p>
        </w:tc>
        <w:tc>
          <w:tcPr>
            <w:tcW w:w="1650" w:type="dxa"/>
            <w:tcBorders>
              <w:top w:val="nil"/>
              <w:left w:val="nil"/>
              <w:bottom w:val="single" w:sz="8" w:space="0" w:color="auto"/>
              <w:right w:val="single" w:sz="8" w:space="0" w:color="auto"/>
            </w:tcBorders>
            <w:shd w:val="clear" w:color="auto" w:fill="auto"/>
            <w:noWrap/>
            <w:vAlign w:val="center"/>
            <w:hideMark/>
          </w:tcPr>
          <w:p w14:paraId="7342B2F5" w14:textId="77777777" w:rsidR="00F874F5" w:rsidRPr="001B4CA2" w:rsidRDefault="00F874F5" w:rsidP="002A38E7">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 </w:t>
            </w:r>
          </w:p>
        </w:tc>
      </w:tr>
    </w:tbl>
    <w:p w14:paraId="70B90107" w14:textId="29294EC0" w:rsidR="00F874F5" w:rsidRPr="001B4CA2" w:rsidRDefault="00F874F5" w:rsidP="00F874F5"/>
    <w:p w14:paraId="0469681A" w14:textId="0179B223" w:rsidR="00F874F5" w:rsidRPr="001B4CA2" w:rsidRDefault="001B4CA2" w:rsidP="00F874F5">
      <w:r>
        <w:tab/>
      </w:r>
      <w:r w:rsidR="00F874F5" w:rsidRPr="001B4CA2">
        <w:rPr>
          <w:rFonts w:eastAsia="Times New Roman"/>
          <w:lang w:eastAsia="hr-HR"/>
        </w:rPr>
        <w:t xml:space="preserve">Najzastupljenije kazneno djelo u strukturi kriminaliteta kaznenih djela iz županijske nadležnosti kazneno </w:t>
      </w:r>
      <w:r w:rsidR="00436C25" w:rsidRPr="001B4CA2">
        <w:rPr>
          <w:rFonts w:eastAsia="Times New Roman"/>
          <w:lang w:eastAsia="hr-HR"/>
        </w:rPr>
        <w:t xml:space="preserve">je </w:t>
      </w:r>
      <w:r w:rsidR="00F874F5" w:rsidRPr="001B4CA2">
        <w:rPr>
          <w:rFonts w:eastAsia="Times New Roman"/>
          <w:lang w:eastAsia="hr-HR"/>
        </w:rPr>
        <w:t>djelo zlouporabe povjerenja u gospodarskom poslovanju iz članka 246. Kaznenog zakona/11</w:t>
      </w:r>
      <w:r w:rsidR="00025805">
        <w:rPr>
          <w:rFonts w:eastAsia="Times New Roman"/>
          <w:lang w:eastAsia="hr-HR"/>
        </w:rPr>
        <w:t>,</w:t>
      </w:r>
      <w:r w:rsidR="00F874F5" w:rsidRPr="001B4CA2">
        <w:t xml:space="preserve"> za koje je evidentirano ukupno 436 kaznenih prijava ili 31,2</w:t>
      </w:r>
      <w:r w:rsidR="00436C25">
        <w:t> </w:t>
      </w:r>
      <w:r w:rsidR="00F874F5" w:rsidRPr="001B4CA2">
        <w:t xml:space="preserve">% od ukupnog broja zaprimljenih prijava u 2022. godini. Kod predmetnog </w:t>
      </w:r>
      <w:r w:rsidR="00436C25" w:rsidRPr="001B4CA2">
        <w:t xml:space="preserve">se </w:t>
      </w:r>
      <w:r w:rsidR="00F874F5" w:rsidRPr="001B4CA2">
        <w:t>kaznenog djela, u odnosu na 2021. godinu, bilježi pad broja prijava od 19,1</w:t>
      </w:r>
      <w:r w:rsidR="00436C25">
        <w:t> </w:t>
      </w:r>
      <w:r w:rsidR="00F874F5" w:rsidRPr="001B4CA2">
        <w:t xml:space="preserve">%. Nadalje se u strukturi kriminaliteta brojem ističe kazneno djelo zlouporabe položaja i ovlasti </w:t>
      </w:r>
      <w:r w:rsidR="00F874F5" w:rsidRPr="001B4CA2">
        <w:rPr>
          <w:rFonts w:eastAsia="Times New Roman"/>
          <w:lang w:eastAsia="hr-HR"/>
        </w:rPr>
        <w:t>iz članka 291. Kaznenog zakona/11</w:t>
      </w:r>
      <w:r w:rsidR="00436C25">
        <w:rPr>
          <w:rFonts w:eastAsia="Times New Roman"/>
          <w:lang w:eastAsia="hr-HR"/>
        </w:rPr>
        <w:t>,</w:t>
      </w:r>
      <w:r w:rsidR="00F874F5" w:rsidRPr="001B4CA2">
        <w:rPr>
          <w:rFonts w:eastAsia="Times New Roman"/>
          <w:lang w:eastAsia="hr-HR"/>
        </w:rPr>
        <w:t xml:space="preserve"> kod kojeg se također uočava pad broja prijava od 14,4</w:t>
      </w:r>
      <w:r w:rsidR="00436C25">
        <w:rPr>
          <w:rFonts w:eastAsia="Times New Roman"/>
          <w:lang w:eastAsia="hr-HR"/>
        </w:rPr>
        <w:t> </w:t>
      </w:r>
      <w:r w:rsidR="00F874F5" w:rsidRPr="001B4CA2">
        <w:rPr>
          <w:rFonts w:eastAsia="Times New Roman"/>
          <w:lang w:eastAsia="hr-HR"/>
        </w:rPr>
        <w:t>% u odnosu na 2021. godinu.</w:t>
      </w:r>
      <w:r w:rsidR="00F874F5" w:rsidRPr="001B4CA2">
        <w:t xml:space="preserve"> </w:t>
      </w:r>
    </w:p>
    <w:p w14:paraId="5ACB58FA" w14:textId="77777777" w:rsidR="00F874F5" w:rsidRPr="001B4CA2" w:rsidRDefault="00F874F5" w:rsidP="00F874F5">
      <w:pPr>
        <w:rPr>
          <w:rFonts w:eastAsia="Times New Roman"/>
          <w:lang w:eastAsia="hr-HR"/>
        </w:rPr>
      </w:pPr>
    </w:p>
    <w:p w14:paraId="46215D1D" w14:textId="06DE5650" w:rsidR="00F874F5" w:rsidRPr="001B4CA2" w:rsidRDefault="001B4CA2" w:rsidP="00F874F5">
      <w:r>
        <w:tab/>
      </w:r>
      <w:r w:rsidR="00F874F5" w:rsidRPr="001B4CA2">
        <w:t>Iako se kod teških kaznenih djela spolnog zlostavljanja i iskorištavanja djeteta iz članka 166. Kaznenog zakona/11 uočava porast od 56,2</w:t>
      </w:r>
      <w:r w:rsidR="00436C25">
        <w:rPr>
          <w:rFonts w:eastAsia="Times New Roman"/>
          <w:lang w:eastAsia="hr-HR"/>
        </w:rPr>
        <w:t> </w:t>
      </w:r>
      <w:r w:rsidR="00F874F5" w:rsidRPr="001B4CA2">
        <w:t>%, a kod teškog kaznenog djela protiv spolne slobode iz članka 154. Kaznenog zakona/11, kaznenog djela ratnog zločina iz članka 91. Kaznenog zakona/11 i kaznenog djela neovlaštene proizvodnje i prometa drogama iz članka 190. stavka 3. Kaznenog zakona/11 porast od oko 34</w:t>
      </w:r>
      <w:r w:rsidR="00436C25">
        <w:rPr>
          <w:rFonts w:eastAsia="Times New Roman"/>
          <w:lang w:eastAsia="hr-HR"/>
        </w:rPr>
        <w:t> </w:t>
      </w:r>
      <w:r w:rsidR="00F874F5" w:rsidRPr="001B4CA2">
        <w:t xml:space="preserve">%, potrebno je istaknuti da se radi o brojčano manje zastupljenim kaznenim djelima pa navedeni porast u odnosu na 2021. godinu faktično predstavlja 18 prijavljenih osoba više kod teških kaznenih djela spolnog zlostavljanja i iskorištavanja djeteta, 23 prijavljene osobe više kod teškog kaznenog djela protiv spolne slobode, 12 prijavljenih osoba više kod kaznenog djela ratnog zločina te 9 prijavljenih osoba više kod kaznenog djela neovlaštene proizvodnje i prometa drogama. Porast broja prijava za kazneno djelo iz članka 154. Kaznenog zakona/11 moguće je tumačiti izmjenama Kaznenog zakona (NN 84/2021) koje su stupile na snagu 23. srpnja 2021., a kojima je proširen krug bliskih osoba iz članka 87. stavka 9. Kaznenog zakona/11 na sadašnje ili bivše partnere u intimnoj vezi, a upravo to predstavlja </w:t>
      </w:r>
      <w:proofErr w:type="spellStart"/>
      <w:r w:rsidR="00F874F5" w:rsidRPr="001B4CA2">
        <w:t>kvalifikatorni</w:t>
      </w:r>
      <w:proofErr w:type="spellEnd"/>
      <w:r w:rsidR="00F874F5" w:rsidRPr="001B4CA2">
        <w:t xml:space="preserve"> element teškog kaznenog djela protiv spolne slobode iz članka 154. stavka 1. točke 1. Kaznenog zakona/11. </w:t>
      </w:r>
    </w:p>
    <w:p w14:paraId="6F137FBB" w14:textId="5A182D8E" w:rsidR="004C3A47" w:rsidRPr="001B4CA2" w:rsidRDefault="004C3A47" w:rsidP="00F874F5"/>
    <w:p w14:paraId="6C988DE7" w14:textId="77777777" w:rsidR="004C3A47" w:rsidRPr="001B4CA2" w:rsidRDefault="004C3A47" w:rsidP="00F874F5"/>
    <w:p w14:paraId="5C6B2211" w14:textId="77777777" w:rsidR="00682FF4" w:rsidRPr="001B4CA2" w:rsidRDefault="00682FF4" w:rsidP="00164A70"/>
    <w:p w14:paraId="30B89B0E" w14:textId="5D986EE7" w:rsidR="008850EC" w:rsidRPr="001B4CA2" w:rsidRDefault="00BB4D48" w:rsidP="00801AC4">
      <w:pPr>
        <w:pStyle w:val="Naslov4"/>
        <w:tabs>
          <w:tab w:val="left" w:pos="1134"/>
        </w:tabs>
        <w:ind w:left="284" w:firstLine="0"/>
        <w:rPr>
          <w:rFonts w:ascii="Arial" w:hAnsi="Arial" w:cs="Arial"/>
        </w:rPr>
      </w:pPr>
      <w:bookmarkStart w:id="75" w:name="_Toc133394335"/>
      <w:r w:rsidRPr="001B4CA2">
        <w:rPr>
          <w:rFonts w:ascii="Arial" w:hAnsi="Arial" w:cs="Arial"/>
        </w:rPr>
        <w:lastRenderedPageBreak/>
        <w:t>O</w:t>
      </w:r>
      <w:r w:rsidR="00CE234E" w:rsidRPr="001B4CA2">
        <w:rPr>
          <w:rFonts w:ascii="Arial" w:hAnsi="Arial" w:cs="Arial"/>
        </w:rPr>
        <w:t>dluke povodom kaznene prijave</w:t>
      </w:r>
      <w:bookmarkEnd w:id="75"/>
    </w:p>
    <w:p w14:paraId="29AA0A39" w14:textId="77777777" w:rsidR="008850EC" w:rsidRPr="001B4CA2" w:rsidRDefault="008850EC" w:rsidP="008850EC"/>
    <w:p w14:paraId="73B944D6" w14:textId="62E8DF81" w:rsidR="001D6DE1" w:rsidRPr="001B4CA2" w:rsidRDefault="008850EC" w:rsidP="00E76142">
      <w:pPr>
        <w:rPr>
          <w:i/>
        </w:rPr>
      </w:pPr>
      <w:r w:rsidRPr="001B4CA2">
        <w:rPr>
          <w:i/>
        </w:rPr>
        <w:t>Odluke o kaznenim</w:t>
      </w:r>
      <w:r w:rsidR="001D6DE1" w:rsidRPr="001B4CA2">
        <w:rPr>
          <w:i/>
        </w:rPr>
        <w:t xml:space="preserve"> prijava</w:t>
      </w:r>
      <w:r w:rsidR="002D6310" w:rsidRPr="001B4CA2">
        <w:rPr>
          <w:i/>
        </w:rPr>
        <w:t>ma</w:t>
      </w:r>
      <w:r w:rsidR="001D6DE1" w:rsidRPr="001B4CA2">
        <w:rPr>
          <w:i/>
        </w:rPr>
        <w:t xml:space="preserve"> (bez maloljetnih osoba)</w:t>
      </w:r>
    </w:p>
    <w:tbl>
      <w:tblPr>
        <w:tblW w:w="90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7"/>
        <w:gridCol w:w="852"/>
        <w:gridCol w:w="709"/>
        <w:gridCol w:w="852"/>
        <w:gridCol w:w="710"/>
        <w:gridCol w:w="851"/>
        <w:gridCol w:w="676"/>
        <w:gridCol w:w="852"/>
        <w:gridCol w:w="993"/>
        <w:gridCol w:w="568"/>
        <w:gridCol w:w="710"/>
        <w:gridCol w:w="657"/>
      </w:tblGrid>
      <w:tr w:rsidR="00532C41" w:rsidRPr="001B4CA2" w14:paraId="343987D6" w14:textId="77777777" w:rsidTr="00540F85">
        <w:trPr>
          <w:cantSplit/>
          <w:trHeight w:val="1464"/>
          <w:jc w:val="center"/>
        </w:trPr>
        <w:tc>
          <w:tcPr>
            <w:tcW w:w="597" w:type="dxa"/>
            <w:shd w:val="clear" w:color="auto" w:fill="99CCFF"/>
            <w:textDirection w:val="btLr"/>
            <w:vAlign w:val="center"/>
            <w:hideMark/>
          </w:tcPr>
          <w:p w14:paraId="05D228AB" w14:textId="77777777" w:rsidR="008850EC" w:rsidRPr="00540F85" w:rsidRDefault="008850EC" w:rsidP="00540F85">
            <w:pPr>
              <w:ind w:left="113" w:right="113"/>
              <w:jc w:val="left"/>
              <w:rPr>
                <w:rFonts w:eastAsia="Times New Roman"/>
                <w:b/>
                <w:sz w:val="18"/>
                <w:szCs w:val="18"/>
                <w:lang w:eastAsia="hr-HR"/>
              </w:rPr>
            </w:pPr>
            <w:r w:rsidRPr="00540F85">
              <w:rPr>
                <w:rFonts w:eastAsia="Times New Roman"/>
                <w:b/>
                <w:sz w:val="18"/>
                <w:szCs w:val="18"/>
                <w:lang w:eastAsia="hr-HR"/>
              </w:rPr>
              <w:t>Godina</w:t>
            </w:r>
          </w:p>
        </w:tc>
        <w:tc>
          <w:tcPr>
            <w:tcW w:w="852" w:type="dxa"/>
            <w:shd w:val="clear" w:color="auto" w:fill="99CCFF"/>
            <w:textDirection w:val="btLr"/>
            <w:vAlign w:val="center"/>
            <w:hideMark/>
          </w:tcPr>
          <w:p w14:paraId="6A6EE64F" w14:textId="77777777" w:rsidR="008850EC" w:rsidRPr="001B4CA2" w:rsidRDefault="008850EC" w:rsidP="00E70EED">
            <w:pPr>
              <w:ind w:left="113" w:right="113"/>
              <w:jc w:val="left"/>
              <w:rPr>
                <w:rFonts w:eastAsia="Times New Roman"/>
                <w:b/>
                <w:sz w:val="18"/>
                <w:szCs w:val="18"/>
                <w:lang w:eastAsia="hr-HR"/>
              </w:rPr>
            </w:pPr>
            <w:r w:rsidRPr="001B4CA2">
              <w:rPr>
                <w:rFonts w:eastAsia="Times New Roman"/>
                <w:b/>
                <w:sz w:val="18"/>
                <w:szCs w:val="18"/>
                <w:lang w:eastAsia="hr-HR"/>
              </w:rPr>
              <w:t>Zaprimljeno kaznenih prijava</w:t>
            </w:r>
          </w:p>
        </w:tc>
        <w:tc>
          <w:tcPr>
            <w:tcW w:w="709" w:type="dxa"/>
            <w:shd w:val="clear" w:color="auto" w:fill="99CCFF"/>
            <w:textDirection w:val="btLr"/>
            <w:vAlign w:val="center"/>
            <w:hideMark/>
          </w:tcPr>
          <w:p w14:paraId="3B865BC3" w14:textId="77777777" w:rsidR="008850EC" w:rsidRPr="001B4CA2" w:rsidRDefault="008850EC" w:rsidP="00E70EED">
            <w:pPr>
              <w:ind w:left="113" w:right="113"/>
              <w:jc w:val="left"/>
              <w:rPr>
                <w:rFonts w:eastAsia="Times New Roman"/>
                <w:b/>
                <w:sz w:val="18"/>
                <w:szCs w:val="18"/>
                <w:lang w:eastAsia="hr-HR"/>
              </w:rPr>
            </w:pPr>
            <w:r w:rsidRPr="001B4CA2">
              <w:rPr>
                <w:rFonts w:eastAsia="Times New Roman"/>
                <w:b/>
                <w:sz w:val="18"/>
                <w:szCs w:val="18"/>
                <w:lang w:eastAsia="hr-HR"/>
              </w:rPr>
              <w:t>Ukupno u radu</w:t>
            </w:r>
          </w:p>
        </w:tc>
        <w:tc>
          <w:tcPr>
            <w:tcW w:w="852" w:type="dxa"/>
            <w:shd w:val="clear" w:color="auto" w:fill="99CCFF"/>
            <w:textDirection w:val="btLr"/>
            <w:vAlign w:val="center"/>
            <w:hideMark/>
          </w:tcPr>
          <w:p w14:paraId="2C7B135E" w14:textId="77777777" w:rsidR="008850EC" w:rsidRPr="001B4CA2" w:rsidRDefault="008850EC" w:rsidP="00E70EED">
            <w:pPr>
              <w:ind w:left="113" w:right="113"/>
              <w:jc w:val="left"/>
              <w:rPr>
                <w:rFonts w:eastAsia="Times New Roman"/>
                <w:b/>
                <w:sz w:val="18"/>
                <w:szCs w:val="18"/>
                <w:lang w:eastAsia="hr-HR"/>
              </w:rPr>
            </w:pPr>
            <w:r w:rsidRPr="001B4CA2">
              <w:rPr>
                <w:rFonts w:eastAsia="Times New Roman"/>
                <w:b/>
                <w:sz w:val="18"/>
                <w:szCs w:val="18"/>
                <w:lang w:eastAsia="hr-HR"/>
              </w:rPr>
              <w:t>Neriješeno</w:t>
            </w:r>
          </w:p>
        </w:tc>
        <w:tc>
          <w:tcPr>
            <w:tcW w:w="710" w:type="dxa"/>
            <w:shd w:val="clear" w:color="auto" w:fill="99CCFF"/>
            <w:textDirection w:val="btLr"/>
            <w:vAlign w:val="center"/>
            <w:hideMark/>
          </w:tcPr>
          <w:p w14:paraId="08A2DA96" w14:textId="77777777" w:rsidR="008850EC" w:rsidRPr="001B4CA2" w:rsidRDefault="008850EC" w:rsidP="00E70EED">
            <w:pPr>
              <w:ind w:left="113" w:right="113"/>
              <w:jc w:val="left"/>
              <w:rPr>
                <w:rFonts w:eastAsia="Times New Roman"/>
                <w:b/>
                <w:sz w:val="18"/>
                <w:szCs w:val="18"/>
                <w:lang w:eastAsia="hr-HR"/>
              </w:rPr>
            </w:pPr>
            <w:r w:rsidRPr="001B4CA2">
              <w:rPr>
                <w:rFonts w:eastAsia="Times New Roman"/>
                <w:b/>
                <w:sz w:val="18"/>
                <w:szCs w:val="18"/>
                <w:lang w:eastAsia="hr-HR"/>
              </w:rPr>
              <w:t>Otvorena istraživanja</w:t>
            </w:r>
          </w:p>
        </w:tc>
        <w:tc>
          <w:tcPr>
            <w:tcW w:w="851" w:type="dxa"/>
            <w:shd w:val="clear" w:color="auto" w:fill="99CCFF"/>
            <w:textDirection w:val="btLr"/>
            <w:vAlign w:val="center"/>
            <w:hideMark/>
          </w:tcPr>
          <w:p w14:paraId="6AA8735F" w14:textId="77777777" w:rsidR="008850EC" w:rsidRPr="001B4CA2" w:rsidRDefault="008850EC" w:rsidP="00E70EED">
            <w:pPr>
              <w:ind w:left="113" w:right="113"/>
              <w:jc w:val="left"/>
              <w:rPr>
                <w:rFonts w:eastAsia="Times New Roman"/>
                <w:b/>
                <w:sz w:val="18"/>
                <w:szCs w:val="18"/>
                <w:lang w:eastAsia="hr-HR"/>
              </w:rPr>
            </w:pPr>
            <w:r w:rsidRPr="001B4CA2">
              <w:rPr>
                <w:rFonts w:eastAsia="Times New Roman"/>
                <w:b/>
                <w:sz w:val="18"/>
                <w:szCs w:val="18"/>
                <w:lang w:eastAsia="hr-HR"/>
              </w:rPr>
              <w:t>Odbačaj</w:t>
            </w:r>
          </w:p>
        </w:tc>
        <w:tc>
          <w:tcPr>
            <w:tcW w:w="676" w:type="dxa"/>
            <w:shd w:val="clear" w:color="auto" w:fill="99CCFF"/>
            <w:textDirection w:val="btLr"/>
            <w:vAlign w:val="center"/>
            <w:hideMark/>
          </w:tcPr>
          <w:p w14:paraId="5B5EFD45" w14:textId="77777777" w:rsidR="008850EC" w:rsidRPr="001B4CA2" w:rsidRDefault="008850EC" w:rsidP="00E70EED">
            <w:pPr>
              <w:ind w:left="113" w:right="113"/>
              <w:jc w:val="left"/>
              <w:rPr>
                <w:rFonts w:eastAsia="Times New Roman"/>
                <w:b/>
                <w:sz w:val="18"/>
                <w:szCs w:val="18"/>
                <w:lang w:eastAsia="hr-HR"/>
              </w:rPr>
            </w:pPr>
            <w:r w:rsidRPr="001B4CA2">
              <w:rPr>
                <w:rFonts w:eastAsia="Times New Roman"/>
                <w:b/>
                <w:sz w:val="18"/>
                <w:szCs w:val="18"/>
                <w:lang w:eastAsia="hr-HR"/>
              </w:rPr>
              <w:t>Neposredna optužnica</w:t>
            </w:r>
          </w:p>
        </w:tc>
        <w:tc>
          <w:tcPr>
            <w:tcW w:w="852" w:type="dxa"/>
            <w:shd w:val="clear" w:color="auto" w:fill="99CCFF"/>
            <w:textDirection w:val="btLr"/>
            <w:vAlign w:val="center"/>
            <w:hideMark/>
          </w:tcPr>
          <w:p w14:paraId="66272046" w14:textId="77777777" w:rsidR="008850EC" w:rsidRPr="001B4CA2" w:rsidRDefault="008850EC" w:rsidP="00E70EED">
            <w:pPr>
              <w:ind w:left="113" w:right="113"/>
              <w:jc w:val="left"/>
              <w:rPr>
                <w:rFonts w:eastAsia="Times New Roman"/>
                <w:b/>
                <w:sz w:val="18"/>
                <w:szCs w:val="18"/>
                <w:lang w:eastAsia="hr-HR"/>
              </w:rPr>
            </w:pPr>
            <w:r w:rsidRPr="001B4CA2">
              <w:rPr>
                <w:rFonts w:eastAsia="Times New Roman"/>
                <w:b/>
                <w:sz w:val="18"/>
                <w:szCs w:val="18"/>
                <w:lang w:eastAsia="hr-HR"/>
              </w:rPr>
              <w:t>Optužnica s kaznenim nalogom</w:t>
            </w:r>
          </w:p>
        </w:tc>
        <w:tc>
          <w:tcPr>
            <w:tcW w:w="993" w:type="dxa"/>
            <w:shd w:val="clear" w:color="auto" w:fill="99CCFF"/>
            <w:textDirection w:val="btLr"/>
            <w:vAlign w:val="center"/>
            <w:hideMark/>
          </w:tcPr>
          <w:p w14:paraId="060DFFF7" w14:textId="77777777" w:rsidR="008850EC" w:rsidRPr="001B4CA2" w:rsidRDefault="008850EC" w:rsidP="00E70EED">
            <w:pPr>
              <w:ind w:left="113" w:right="113"/>
              <w:jc w:val="left"/>
              <w:rPr>
                <w:rFonts w:eastAsia="Times New Roman"/>
                <w:b/>
                <w:sz w:val="18"/>
                <w:szCs w:val="18"/>
                <w:lang w:eastAsia="hr-HR"/>
              </w:rPr>
            </w:pPr>
            <w:r w:rsidRPr="001B4CA2">
              <w:rPr>
                <w:rFonts w:eastAsia="Times New Roman"/>
                <w:b/>
                <w:sz w:val="18"/>
                <w:szCs w:val="18"/>
                <w:lang w:eastAsia="hr-HR"/>
              </w:rPr>
              <w:t>Rješenje o provođenju istrage</w:t>
            </w:r>
          </w:p>
        </w:tc>
        <w:tc>
          <w:tcPr>
            <w:tcW w:w="568" w:type="dxa"/>
            <w:shd w:val="clear" w:color="auto" w:fill="99CCFF"/>
            <w:textDirection w:val="btLr"/>
            <w:vAlign w:val="center"/>
            <w:hideMark/>
          </w:tcPr>
          <w:p w14:paraId="622154BC" w14:textId="77777777" w:rsidR="008850EC" w:rsidRPr="001B4CA2" w:rsidRDefault="008850EC" w:rsidP="00E70EED">
            <w:pPr>
              <w:ind w:left="113" w:right="113"/>
              <w:jc w:val="left"/>
              <w:rPr>
                <w:rFonts w:eastAsia="Times New Roman"/>
                <w:b/>
                <w:sz w:val="18"/>
                <w:szCs w:val="18"/>
                <w:lang w:eastAsia="hr-HR"/>
              </w:rPr>
            </w:pPr>
            <w:r w:rsidRPr="001B4CA2">
              <w:rPr>
                <w:rFonts w:eastAsia="Times New Roman"/>
                <w:b/>
                <w:sz w:val="18"/>
                <w:szCs w:val="18"/>
                <w:lang w:eastAsia="hr-HR"/>
              </w:rPr>
              <w:t>Ustup</w:t>
            </w:r>
          </w:p>
        </w:tc>
        <w:tc>
          <w:tcPr>
            <w:tcW w:w="710" w:type="dxa"/>
            <w:shd w:val="clear" w:color="auto" w:fill="99CCFF"/>
            <w:textDirection w:val="btLr"/>
            <w:vAlign w:val="center"/>
            <w:hideMark/>
          </w:tcPr>
          <w:p w14:paraId="33BC9E5E" w14:textId="77777777" w:rsidR="008850EC" w:rsidRPr="001B4CA2" w:rsidRDefault="008850EC" w:rsidP="00E70EED">
            <w:pPr>
              <w:ind w:left="113" w:right="113"/>
              <w:jc w:val="left"/>
              <w:rPr>
                <w:rFonts w:eastAsia="Times New Roman"/>
                <w:b/>
                <w:sz w:val="18"/>
                <w:szCs w:val="18"/>
                <w:lang w:eastAsia="hr-HR"/>
              </w:rPr>
            </w:pPr>
            <w:r w:rsidRPr="001B4CA2">
              <w:rPr>
                <w:rFonts w:eastAsia="Times New Roman"/>
                <w:b/>
                <w:sz w:val="18"/>
                <w:szCs w:val="18"/>
                <w:lang w:eastAsia="hr-HR"/>
              </w:rPr>
              <w:t>Riješeno na drugi način</w:t>
            </w:r>
          </w:p>
        </w:tc>
        <w:tc>
          <w:tcPr>
            <w:tcW w:w="657" w:type="dxa"/>
            <w:shd w:val="clear" w:color="auto" w:fill="99CCFF"/>
            <w:textDirection w:val="btLr"/>
            <w:vAlign w:val="center"/>
            <w:hideMark/>
          </w:tcPr>
          <w:p w14:paraId="66144F77" w14:textId="77777777" w:rsidR="008850EC" w:rsidRPr="001B4CA2" w:rsidRDefault="008850EC" w:rsidP="00E70EED">
            <w:pPr>
              <w:ind w:left="113" w:right="113"/>
              <w:jc w:val="left"/>
              <w:rPr>
                <w:rFonts w:eastAsia="Times New Roman"/>
                <w:b/>
                <w:sz w:val="18"/>
                <w:szCs w:val="18"/>
                <w:lang w:eastAsia="hr-HR"/>
              </w:rPr>
            </w:pPr>
            <w:r w:rsidRPr="001B4CA2">
              <w:rPr>
                <w:rFonts w:eastAsia="Times New Roman"/>
                <w:b/>
                <w:sz w:val="18"/>
                <w:szCs w:val="18"/>
                <w:lang w:eastAsia="hr-HR"/>
              </w:rPr>
              <w:t>Ukupno odluka</w:t>
            </w:r>
          </w:p>
        </w:tc>
      </w:tr>
      <w:tr w:rsidR="00D34C36" w:rsidRPr="001B4CA2" w14:paraId="61A37973" w14:textId="77777777" w:rsidTr="00540F85">
        <w:trPr>
          <w:trHeight w:val="314"/>
          <w:jc w:val="center"/>
        </w:trPr>
        <w:tc>
          <w:tcPr>
            <w:tcW w:w="597" w:type="dxa"/>
            <w:shd w:val="clear" w:color="auto" w:fill="auto"/>
            <w:noWrap/>
            <w:vAlign w:val="center"/>
          </w:tcPr>
          <w:p w14:paraId="1E1CDD08" w14:textId="2AF76782"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201</w:t>
            </w:r>
            <w:r w:rsidR="00F874F5" w:rsidRPr="00540F85">
              <w:rPr>
                <w:rFonts w:eastAsia="Times New Roman"/>
                <w:sz w:val="16"/>
                <w:szCs w:val="16"/>
                <w:lang w:eastAsia="hr-HR"/>
              </w:rPr>
              <w:t>8</w:t>
            </w:r>
            <w:r w:rsidRPr="00540F85">
              <w:rPr>
                <w:rFonts w:eastAsia="Times New Roman"/>
                <w:sz w:val="16"/>
                <w:szCs w:val="16"/>
                <w:lang w:eastAsia="hr-HR"/>
              </w:rPr>
              <w:t>.</w:t>
            </w:r>
          </w:p>
        </w:tc>
        <w:tc>
          <w:tcPr>
            <w:tcW w:w="852" w:type="dxa"/>
            <w:shd w:val="clear" w:color="auto" w:fill="auto"/>
            <w:noWrap/>
            <w:vAlign w:val="center"/>
          </w:tcPr>
          <w:p w14:paraId="54584FE6" w14:textId="05DE0D5E"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1.</w:t>
            </w:r>
            <w:r w:rsidR="00F874F5" w:rsidRPr="00540F85">
              <w:rPr>
                <w:rFonts w:eastAsia="Times New Roman"/>
                <w:sz w:val="16"/>
                <w:szCs w:val="16"/>
                <w:lang w:eastAsia="hr-HR"/>
              </w:rPr>
              <w:t>283</w:t>
            </w:r>
          </w:p>
        </w:tc>
        <w:tc>
          <w:tcPr>
            <w:tcW w:w="709" w:type="dxa"/>
            <w:shd w:val="clear" w:color="auto" w:fill="auto"/>
            <w:noWrap/>
            <w:vAlign w:val="center"/>
          </w:tcPr>
          <w:p w14:paraId="5AFE1C25" w14:textId="0C38B0DF"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1.</w:t>
            </w:r>
            <w:r w:rsidR="00F874F5" w:rsidRPr="00540F85">
              <w:rPr>
                <w:rFonts w:eastAsia="Times New Roman"/>
                <w:sz w:val="16"/>
                <w:szCs w:val="16"/>
                <w:lang w:eastAsia="hr-HR"/>
              </w:rPr>
              <w:t>804</w:t>
            </w:r>
          </w:p>
        </w:tc>
        <w:tc>
          <w:tcPr>
            <w:tcW w:w="852" w:type="dxa"/>
            <w:shd w:val="clear" w:color="auto" w:fill="auto"/>
            <w:noWrap/>
            <w:vAlign w:val="center"/>
          </w:tcPr>
          <w:p w14:paraId="618A9F5D" w14:textId="297B62CF"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573</w:t>
            </w:r>
          </w:p>
        </w:tc>
        <w:tc>
          <w:tcPr>
            <w:tcW w:w="710" w:type="dxa"/>
            <w:shd w:val="clear" w:color="auto" w:fill="auto"/>
            <w:noWrap/>
            <w:vAlign w:val="center"/>
          </w:tcPr>
          <w:p w14:paraId="1E10B084" w14:textId="5C1E72F8" w:rsidR="00D34C36" w:rsidRPr="00540F85" w:rsidRDefault="00D34C36" w:rsidP="004F0E66">
            <w:pPr>
              <w:jc w:val="center"/>
              <w:rPr>
                <w:rFonts w:eastAsia="Times New Roman"/>
                <w:sz w:val="16"/>
                <w:szCs w:val="16"/>
                <w:lang w:eastAsia="hr-HR"/>
              </w:rPr>
            </w:pPr>
          </w:p>
        </w:tc>
        <w:tc>
          <w:tcPr>
            <w:tcW w:w="851" w:type="dxa"/>
            <w:shd w:val="clear" w:color="auto" w:fill="auto"/>
            <w:noWrap/>
            <w:vAlign w:val="center"/>
          </w:tcPr>
          <w:p w14:paraId="015089DB" w14:textId="4862E091"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522</w:t>
            </w:r>
          </w:p>
        </w:tc>
        <w:tc>
          <w:tcPr>
            <w:tcW w:w="676" w:type="dxa"/>
            <w:shd w:val="clear" w:color="auto" w:fill="auto"/>
            <w:noWrap/>
            <w:vAlign w:val="center"/>
          </w:tcPr>
          <w:p w14:paraId="09C53821" w14:textId="7C09FB31"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7</w:t>
            </w:r>
          </w:p>
        </w:tc>
        <w:tc>
          <w:tcPr>
            <w:tcW w:w="852" w:type="dxa"/>
            <w:shd w:val="clear" w:color="auto" w:fill="auto"/>
            <w:noWrap/>
            <w:vAlign w:val="center"/>
          </w:tcPr>
          <w:p w14:paraId="6E070BD9" w14:textId="5B8400F2" w:rsidR="00D34C36" w:rsidRPr="00540F85" w:rsidRDefault="00D34C36" w:rsidP="004F0E66">
            <w:pPr>
              <w:jc w:val="center"/>
              <w:rPr>
                <w:rFonts w:eastAsia="Times New Roman"/>
                <w:sz w:val="16"/>
                <w:szCs w:val="16"/>
                <w:lang w:eastAsia="hr-HR"/>
              </w:rPr>
            </w:pPr>
          </w:p>
        </w:tc>
        <w:tc>
          <w:tcPr>
            <w:tcW w:w="993" w:type="dxa"/>
            <w:shd w:val="clear" w:color="auto" w:fill="auto"/>
            <w:noWrap/>
            <w:vAlign w:val="center"/>
          </w:tcPr>
          <w:p w14:paraId="1F5E8293" w14:textId="6FEE530D"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577</w:t>
            </w:r>
          </w:p>
        </w:tc>
        <w:tc>
          <w:tcPr>
            <w:tcW w:w="568" w:type="dxa"/>
            <w:shd w:val="clear" w:color="auto" w:fill="auto"/>
            <w:noWrap/>
            <w:vAlign w:val="center"/>
          </w:tcPr>
          <w:p w14:paraId="07C41181" w14:textId="172D8A8F" w:rsidR="00D34C36" w:rsidRPr="00540F85" w:rsidRDefault="00D34C36" w:rsidP="004F0E66">
            <w:pPr>
              <w:jc w:val="center"/>
              <w:rPr>
                <w:rFonts w:eastAsia="Times New Roman"/>
                <w:sz w:val="16"/>
                <w:szCs w:val="16"/>
                <w:lang w:eastAsia="hr-HR"/>
              </w:rPr>
            </w:pPr>
          </w:p>
        </w:tc>
        <w:tc>
          <w:tcPr>
            <w:tcW w:w="710" w:type="dxa"/>
            <w:shd w:val="clear" w:color="auto" w:fill="auto"/>
            <w:noWrap/>
            <w:vAlign w:val="center"/>
          </w:tcPr>
          <w:p w14:paraId="07E03C03" w14:textId="4CECC5F1"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125</w:t>
            </w:r>
          </w:p>
        </w:tc>
        <w:tc>
          <w:tcPr>
            <w:tcW w:w="657" w:type="dxa"/>
            <w:shd w:val="clear" w:color="auto" w:fill="auto"/>
            <w:noWrap/>
            <w:vAlign w:val="center"/>
          </w:tcPr>
          <w:p w14:paraId="406AF0C5" w14:textId="7A113AE2"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1.</w:t>
            </w:r>
            <w:r w:rsidR="00F874F5" w:rsidRPr="00540F85">
              <w:rPr>
                <w:rFonts w:eastAsia="Times New Roman"/>
                <w:sz w:val="16"/>
                <w:szCs w:val="16"/>
                <w:lang w:eastAsia="hr-HR"/>
              </w:rPr>
              <w:t>231</w:t>
            </w:r>
          </w:p>
        </w:tc>
      </w:tr>
      <w:tr w:rsidR="00D34C36" w:rsidRPr="001B4CA2" w14:paraId="064E0063" w14:textId="77777777" w:rsidTr="00540F85">
        <w:trPr>
          <w:trHeight w:val="314"/>
          <w:jc w:val="center"/>
        </w:trPr>
        <w:tc>
          <w:tcPr>
            <w:tcW w:w="597" w:type="dxa"/>
            <w:shd w:val="clear" w:color="auto" w:fill="auto"/>
            <w:noWrap/>
            <w:vAlign w:val="center"/>
            <w:hideMark/>
          </w:tcPr>
          <w:p w14:paraId="57772058" w14:textId="7C8F36AD"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201</w:t>
            </w:r>
            <w:r w:rsidR="00F874F5" w:rsidRPr="00540F85">
              <w:rPr>
                <w:rFonts w:eastAsia="Times New Roman"/>
                <w:sz w:val="16"/>
                <w:szCs w:val="16"/>
                <w:lang w:eastAsia="hr-HR"/>
              </w:rPr>
              <w:t>9</w:t>
            </w:r>
            <w:r w:rsidRPr="00540F85">
              <w:rPr>
                <w:rFonts w:eastAsia="Times New Roman"/>
                <w:sz w:val="16"/>
                <w:szCs w:val="16"/>
                <w:lang w:eastAsia="hr-HR"/>
              </w:rPr>
              <w:t>.</w:t>
            </w:r>
          </w:p>
        </w:tc>
        <w:tc>
          <w:tcPr>
            <w:tcW w:w="852" w:type="dxa"/>
            <w:shd w:val="clear" w:color="auto" w:fill="auto"/>
            <w:noWrap/>
            <w:vAlign w:val="center"/>
            <w:hideMark/>
          </w:tcPr>
          <w:p w14:paraId="1020BB92" w14:textId="6C7443DB"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1.</w:t>
            </w:r>
            <w:r w:rsidR="00F874F5" w:rsidRPr="00540F85">
              <w:rPr>
                <w:rFonts w:eastAsia="Times New Roman"/>
                <w:sz w:val="16"/>
                <w:szCs w:val="16"/>
                <w:lang w:eastAsia="hr-HR"/>
              </w:rPr>
              <w:t>291</w:t>
            </w:r>
          </w:p>
        </w:tc>
        <w:tc>
          <w:tcPr>
            <w:tcW w:w="709" w:type="dxa"/>
            <w:shd w:val="clear" w:color="auto" w:fill="auto"/>
            <w:noWrap/>
            <w:vAlign w:val="center"/>
            <w:hideMark/>
          </w:tcPr>
          <w:p w14:paraId="52C87D38" w14:textId="54663EEA"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1.</w:t>
            </w:r>
            <w:r w:rsidR="00F874F5" w:rsidRPr="00540F85">
              <w:rPr>
                <w:rFonts w:eastAsia="Times New Roman"/>
                <w:sz w:val="16"/>
                <w:szCs w:val="16"/>
                <w:lang w:eastAsia="hr-HR"/>
              </w:rPr>
              <w:t>867</w:t>
            </w:r>
          </w:p>
        </w:tc>
        <w:tc>
          <w:tcPr>
            <w:tcW w:w="852" w:type="dxa"/>
            <w:shd w:val="clear" w:color="auto" w:fill="auto"/>
            <w:noWrap/>
            <w:vAlign w:val="center"/>
            <w:hideMark/>
          </w:tcPr>
          <w:p w14:paraId="7078BB7C" w14:textId="41DA32B6"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668</w:t>
            </w:r>
          </w:p>
        </w:tc>
        <w:tc>
          <w:tcPr>
            <w:tcW w:w="710" w:type="dxa"/>
            <w:shd w:val="clear" w:color="auto" w:fill="auto"/>
            <w:noWrap/>
            <w:vAlign w:val="center"/>
            <w:hideMark/>
          </w:tcPr>
          <w:p w14:paraId="62BD84B2" w14:textId="49294A18" w:rsidR="00D34C36" w:rsidRPr="00540F85" w:rsidRDefault="00D34C36" w:rsidP="004F0E66">
            <w:pPr>
              <w:jc w:val="center"/>
              <w:rPr>
                <w:rFonts w:eastAsia="Times New Roman"/>
                <w:sz w:val="16"/>
                <w:szCs w:val="16"/>
                <w:lang w:eastAsia="hr-HR"/>
              </w:rPr>
            </w:pPr>
          </w:p>
        </w:tc>
        <w:tc>
          <w:tcPr>
            <w:tcW w:w="851" w:type="dxa"/>
            <w:shd w:val="clear" w:color="auto" w:fill="auto"/>
            <w:noWrap/>
            <w:vAlign w:val="center"/>
            <w:hideMark/>
          </w:tcPr>
          <w:p w14:paraId="1B989C39" w14:textId="09124D1D"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410</w:t>
            </w:r>
          </w:p>
        </w:tc>
        <w:tc>
          <w:tcPr>
            <w:tcW w:w="676" w:type="dxa"/>
            <w:shd w:val="clear" w:color="auto" w:fill="auto"/>
            <w:noWrap/>
            <w:vAlign w:val="center"/>
            <w:hideMark/>
          </w:tcPr>
          <w:p w14:paraId="48ADFE57" w14:textId="47AC5B2B"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32</w:t>
            </w:r>
          </w:p>
        </w:tc>
        <w:tc>
          <w:tcPr>
            <w:tcW w:w="852" w:type="dxa"/>
            <w:shd w:val="clear" w:color="auto" w:fill="auto"/>
            <w:noWrap/>
            <w:vAlign w:val="center"/>
          </w:tcPr>
          <w:p w14:paraId="56031BF5" w14:textId="72252CE3" w:rsidR="00D34C36" w:rsidRPr="00540F85" w:rsidRDefault="00D34C36" w:rsidP="004F0E66">
            <w:pPr>
              <w:jc w:val="center"/>
              <w:rPr>
                <w:rFonts w:eastAsia="Times New Roman"/>
                <w:sz w:val="16"/>
                <w:szCs w:val="16"/>
                <w:lang w:eastAsia="hr-HR"/>
              </w:rPr>
            </w:pPr>
          </w:p>
        </w:tc>
        <w:tc>
          <w:tcPr>
            <w:tcW w:w="993" w:type="dxa"/>
            <w:shd w:val="clear" w:color="auto" w:fill="auto"/>
            <w:noWrap/>
            <w:vAlign w:val="center"/>
            <w:hideMark/>
          </w:tcPr>
          <w:p w14:paraId="5054635D" w14:textId="546CA383"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694</w:t>
            </w:r>
          </w:p>
        </w:tc>
        <w:tc>
          <w:tcPr>
            <w:tcW w:w="568" w:type="dxa"/>
            <w:shd w:val="clear" w:color="auto" w:fill="auto"/>
            <w:noWrap/>
            <w:vAlign w:val="center"/>
            <w:hideMark/>
          </w:tcPr>
          <w:p w14:paraId="5074CD10" w14:textId="500C52C2" w:rsidR="00D34C36" w:rsidRPr="00540F85" w:rsidRDefault="00D34C36" w:rsidP="004F0E66">
            <w:pPr>
              <w:jc w:val="center"/>
              <w:rPr>
                <w:rFonts w:eastAsia="Times New Roman"/>
                <w:sz w:val="16"/>
                <w:szCs w:val="16"/>
                <w:lang w:eastAsia="hr-HR"/>
              </w:rPr>
            </w:pPr>
          </w:p>
        </w:tc>
        <w:tc>
          <w:tcPr>
            <w:tcW w:w="710" w:type="dxa"/>
            <w:shd w:val="clear" w:color="auto" w:fill="auto"/>
            <w:noWrap/>
            <w:vAlign w:val="center"/>
            <w:hideMark/>
          </w:tcPr>
          <w:p w14:paraId="2BEBB655" w14:textId="49B91032"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63</w:t>
            </w:r>
          </w:p>
        </w:tc>
        <w:tc>
          <w:tcPr>
            <w:tcW w:w="657" w:type="dxa"/>
            <w:shd w:val="clear" w:color="auto" w:fill="auto"/>
            <w:noWrap/>
            <w:vAlign w:val="center"/>
            <w:hideMark/>
          </w:tcPr>
          <w:p w14:paraId="0CBE945A" w14:textId="3C043DC4"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1.</w:t>
            </w:r>
            <w:r w:rsidR="00F874F5" w:rsidRPr="00540F85">
              <w:rPr>
                <w:rFonts w:eastAsia="Times New Roman"/>
                <w:sz w:val="16"/>
                <w:szCs w:val="16"/>
                <w:lang w:eastAsia="hr-HR"/>
              </w:rPr>
              <w:t>199</w:t>
            </w:r>
          </w:p>
        </w:tc>
      </w:tr>
      <w:tr w:rsidR="00D34C36" w:rsidRPr="001B4CA2" w14:paraId="32A5460B" w14:textId="77777777" w:rsidTr="00540F85">
        <w:trPr>
          <w:trHeight w:val="314"/>
          <w:jc w:val="center"/>
        </w:trPr>
        <w:tc>
          <w:tcPr>
            <w:tcW w:w="597" w:type="dxa"/>
            <w:shd w:val="clear" w:color="auto" w:fill="auto"/>
            <w:noWrap/>
            <w:vAlign w:val="center"/>
            <w:hideMark/>
          </w:tcPr>
          <w:p w14:paraId="79719893" w14:textId="3C571D01"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20</w:t>
            </w:r>
            <w:r w:rsidR="00F874F5" w:rsidRPr="00540F85">
              <w:rPr>
                <w:rFonts w:eastAsia="Times New Roman"/>
                <w:sz w:val="16"/>
                <w:szCs w:val="16"/>
                <w:lang w:eastAsia="hr-HR"/>
              </w:rPr>
              <w:t>20</w:t>
            </w:r>
            <w:r w:rsidRPr="00540F85">
              <w:rPr>
                <w:rFonts w:eastAsia="Times New Roman"/>
                <w:sz w:val="16"/>
                <w:szCs w:val="16"/>
                <w:lang w:eastAsia="hr-HR"/>
              </w:rPr>
              <w:t>.</w:t>
            </w:r>
          </w:p>
        </w:tc>
        <w:tc>
          <w:tcPr>
            <w:tcW w:w="852" w:type="dxa"/>
            <w:shd w:val="clear" w:color="auto" w:fill="auto"/>
            <w:noWrap/>
            <w:vAlign w:val="center"/>
            <w:hideMark/>
          </w:tcPr>
          <w:p w14:paraId="15F72B9A" w14:textId="3CC77844"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1.</w:t>
            </w:r>
            <w:r w:rsidR="00F874F5" w:rsidRPr="00540F85">
              <w:rPr>
                <w:rFonts w:eastAsia="Times New Roman"/>
                <w:sz w:val="16"/>
                <w:szCs w:val="16"/>
                <w:lang w:eastAsia="hr-HR"/>
              </w:rPr>
              <w:t>681</w:t>
            </w:r>
          </w:p>
        </w:tc>
        <w:tc>
          <w:tcPr>
            <w:tcW w:w="709" w:type="dxa"/>
            <w:shd w:val="clear" w:color="auto" w:fill="auto"/>
            <w:noWrap/>
            <w:vAlign w:val="center"/>
            <w:hideMark/>
          </w:tcPr>
          <w:p w14:paraId="46507183" w14:textId="6D7514A6"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2.529</w:t>
            </w:r>
          </w:p>
        </w:tc>
        <w:tc>
          <w:tcPr>
            <w:tcW w:w="852" w:type="dxa"/>
            <w:shd w:val="clear" w:color="auto" w:fill="auto"/>
            <w:noWrap/>
            <w:vAlign w:val="center"/>
            <w:hideMark/>
          </w:tcPr>
          <w:p w14:paraId="171F7BC5" w14:textId="20F22968"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853</w:t>
            </w:r>
          </w:p>
        </w:tc>
        <w:tc>
          <w:tcPr>
            <w:tcW w:w="710" w:type="dxa"/>
            <w:shd w:val="clear" w:color="auto" w:fill="auto"/>
            <w:noWrap/>
            <w:vAlign w:val="center"/>
            <w:hideMark/>
          </w:tcPr>
          <w:p w14:paraId="2DDBEB7E" w14:textId="00782B12"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8</w:t>
            </w:r>
          </w:p>
        </w:tc>
        <w:tc>
          <w:tcPr>
            <w:tcW w:w="851" w:type="dxa"/>
            <w:shd w:val="clear" w:color="auto" w:fill="auto"/>
            <w:noWrap/>
            <w:vAlign w:val="center"/>
            <w:hideMark/>
          </w:tcPr>
          <w:p w14:paraId="68E5F9B7" w14:textId="24421529"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384</w:t>
            </w:r>
          </w:p>
        </w:tc>
        <w:tc>
          <w:tcPr>
            <w:tcW w:w="676" w:type="dxa"/>
            <w:shd w:val="clear" w:color="auto" w:fill="auto"/>
            <w:noWrap/>
            <w:vAlign w:val="center"/>
            <w:hideMark/>
          </w:tcPr>
          <w:p w14:paraId="59A9E37B" w14:textId="20144FD4"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3</w:t>
            </w:r>
          </w:p>
        </w:tc>
        <w:tc>
          <w:tcPr>
            <w:tcW w:w="852" w:type="dxa"/>
            <w:shd w:val="clear" w:color="auto" w:fill="auto"/>
            <w:noWrap/>
            <w:vAlign w:val="center"/>
          </w:tcPr>
          <w:p w14:paraId="6588C524" w14:textId="1737ECAA" w:rsidR="00D34C36" w:rsidRPr="00540F85" w:rsidRDefault="00D34C36" w:rsidP="004F0E66">
            <w:pPr>
              <w:jc w:val="center"/>
              <w:rPr>
                <w:rFonts w:eastAsia="Times New Roman"/>
                <w:sz w:val="16"/>
                <w:szCs w:val="16"/>
                <w:lang w:eastAsia="hr-HR"/>
              </w:rPr>
            </w:pPr>
          </w:p>
        </w:tc>
        <w:tc>
          <w:tcPr>
            <w:tcW w:w="993" w:type="dxa"/>
            <w:shd w:val="clear" w:color="auto" w:fill="auto"/>
            <w:noWrap/>
            <w:vAlign w:val="center"/>
            <w:hideMark/>
          </w:tcPr>
          <w:p w14:paraId="4AFFDFA7" w14:textId="46DE38D6"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690</w:t>
            </w:r>
          </w:p>
        </w:tc>
        <w:tc>
          <w:tcPr>
            <w:tcW w:w="568" w:type="dxa"/>
            <w:shd w:val="clear" w:color="auto" w:fill="auto"/>
            <w:noWrap/>
            <w:vAlign w:val="center"/>
            <w:hideMark/>
          </w:tcPr>
          <w:p w14:paraId="5533E0E2" w14:textId="45929B62"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254</w:t>
            </w:r>
          </w:p>
        </w:tc>
        <w:tc>
          <w:tcPr>
            <w:tcW w:w="710" w:type="dxa"/>
            <w:shd w:val="clear" w:color="auto" w:fill="auto"/>
            <w:noWrap/>
            <w:vAlign w:val="center"/>
            <w:hideMark/>
          </w:tcPr>
          <w:p w14:paraId="4247286D" w14:textId="7DC202D8"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337</w:t>
            </w:r>
          </w:p>
        </w:tc>
        <w:tc>
          <w:tcPr>
            <w:tcW w:w="657" w:type="dxa"/>
            <w:shd w:val="clear" w:color="auto" w:fill="auto"/>
            <w:noWrap/>
            <w:vAlign w:val="center"/>
            <w:hideMark/>
          </w:tcPr>
          <w:p w14:paraId="3EE6ADC5" w14:textId="5CCAD7C5"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1.</w:t>
            </w:r>
            <w:r w:rsidR="00F874F5" w:rsidRPr="00540F85">
              <w:rPr>
                <w:rFonts w:eastAsia="Times New Roman"/>
                <w:sz w:val="16"/>
                <w:szCs w:val="16"/>
                <w:lang w:eastAsia="hr-HR"/>
              </w:rPr>
              <w:t>676</w:t>
            </w:r>
          </w:p>
        </w:tc>
      </w:tr>
      <w:tr w:rsidR="00D34C36" w:rsidRPr="001B4CA2" w14:paraId="68396DDB" w14:textId="77777777" w:rsidTr="00540F85">
        <w:trPr>
          <w:trHeight w:val="314"/>
          <w:jc w:val="center"/>
        </w:trPr>
        <w:tc>
          <w:tcPr>
            <w:tcW w:w="597" w:type="dxa"/>
            <w:shd w:val="clear" w:color="auto" w:fill="auto"/>
            <w:noWrap/>
            <w:vAlign w:val="center"/>
            <w:hideMark/>
          </w:tcPr>
          <w:p w14:paraId="097CE7EB" w14:textId="2E82D9BF"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202</w:t>
            </w:r>
            <w:r w:rsidR="00F874F5" w:rsidRPr="00540F85">
              <w:rPr>
                <w:rFonts w:eastAsia="Times New Roman"/>
                <w:sz w:val="16"/>
                <w:szCs w:val="16"/>
                <w:lang w:eastAsia="hr-HR"/>
              </w:rPr>
              <w:t>1</w:t>
            </w:r>
            <w:r w:rsidRPr="00540F85">
              <w:rPr>
                <w:rFonts w:eastAsia="Times New Roman"/>
                <w:sz w:val="16"/>
                <w:szCs w:val="16"/>
                <w:lang w:eastAsia="hr-HR"/>
              </w:rPr>
              <w:t>.</w:t>
            </w:r>
          </w:p>
        </w:tc>
        <w:tc>
          <w:tcPr>
            <w:tcW w:w="852" w:type="dxa"/>
            <w:shd w:val="clear" w:color="auto" w:fill="auto"/>
            <w:noWrap/>
            <w:vAlign w:val="center"/>
            <w:hideMark/>
          </w:tcPr>
          <w:p w14:paraId="17D9E6A2" w14:textId="4783B504"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1.</w:t>
            </w:r>
            <w:r w:rsidR="00F874F5" w:rsidRPr="00540F85">
              <w:rPr>
                <w:rFonts w:eastAsia="Times New Roman"/>
                <w:sz w:val="16"/>
                <w:szCs w:val="16"/>
                <w:lang w:eastAsia="hr-HR"/>
              </w:rPr>
              <w:t>550</w:t>
            </w:r>
          </w:p>
        </w:tc>
        <w:tc>
          <w:tcPr>
            <w:tcW w:w="709" w:type="dxa"/>
            <w:shd w:val="clear" w:color="auto" w:fill="auto"/>
            <w:noWrap/>
            <w:vAlign w:val="center"/>
            <w:hideMark/>
          </w:tcPr>
          <w:p w14:paraId="1D719A8A" w14:textId="24DC7750"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2.</w:t>
            </w:r>
            <w:r w:rsidR="00F874F5" w:rsidRPr="00540F85">
              <w:rPr>
                <w:rFonts w:eastAsia="Times New Roman"/>
                <w:sz w:val="16"/>
                <w:szCs w:val="16"/>
                <w:lang w:eastAsia="hr-HR"/>
              </w:rPr>
              <w:t>410</w:t>
            </w:r>
          </w:p>
        </w:tc>
        <w:tc>
          <w:tcPr>
            <w:tcW w:w="852" w:type="dxa"/>
            <w:shd w:val="clear" w:color="auto" w:fill="auto"/>
            <w:noWrap/>
            <w:vAlign w:val="center"/>
            <w:hideMark/>
          </w:tcPr>
          <w:p w14:paraId="2A4250C3" w14:textId="7D858C07"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8</w:t>
            </w:r>
            <w:r w:rsidR="00F874F5" w:rsidRPr="00540F85">
              <w:rPr>
                <w:rFonts w:eastAsia="Times New Roman"/>
                <w:sz w:val="16"/>
                <w:szCs w:val="16"/>
                <w:lang w:eastAsia="hr-HR"/>
              </w:rPr>
              <w:t>82</w:t>
            </w:r>
          </w:p>
        </w:tc>
        <w:tc>
          <w:tcPr>
            <w:tcW w:w="710" w:type="dxa"/>
            <w:shd w:val="clear" w:color="auto" w:fill="auto"/>
            <w:noWrap/>
            <w:vAlign w:val="center"/>
            <w:hideMark/>
          </w:tcPr>
          <w:p w14:paraId="4D211E42" w14:textId="6778F946"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8</w:t>
            </w:r>
          </w:p>
        </w:tc>
        <w:tc>
          <w:tcPr>
            <w:tcW w:w="851" w:type="dxa"/>
            <w:shd w:val="clear" w:color="auto" w:fill="auto"/>
            <w:noWrap/>
            <w:vAlign w:val="center"/>
            <w:hideMark/>
          </w:tcPr>
          <w:p w14:paraId="0A92A684" w14:textId="62C1857F"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436</w:t>
            </w:r>
          </w:p>
        </w:tc>
        <w:tc>
          <w:tcPr>
            <w:tcW w:w="676" w:type="dxa"/>
            <w:shd w:val="clear" w:color="auto" w:fill="auto"/>
            <w:noWrap/>
            <w:vAlign w:val="center"/>
            <w:hideMark/>
          </w:tcPr>
          <w:p w14:paraId="370AD5F1" w14:textId="376A03C2"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3</w:t>
            </w:r>
          </w:p>
        </w:tc>
        <w:tc>
          <w:tcPr>
            <w:tcW w:w="852" w:type="dxa"/>
            <w:shd w:val="clear" w:color="auto" w:fill="auto"/>
            <w:noWrap/>
            <w:vAlign w:val="center"/>
          </w:tcPr>
          <w:p w14:paraId="35BE5D09" w14:textId="577EF452" w:rsidR="00D34C36" w:rsidRPr="00540F85" w:rsidRDefault="00D34C36" w:rsidP="004F0E66">
            <w:pPr>
              <w:jc w:val="center"/>
              <w:rPr>
                <w:rFonts w:eastAsia="Times New Roman"/>
                <w:sz w:val="16"/>
                <w:szCs w:val="16"/>
                <w:lang w:eastAsia="hr-HR"/>
              </w:rPr>
            </w:pPr>
          </w:p>
        </w:tc>
        <w:tc>
          <w:tcPr>
            <w:tcW w:w="993" w:type="dxa"/>
            <w:shd w:val="clear" w:color="auto" w:fill="auto"/>
            <w:noWrap/>
            <w:vAlign w:val="center"/>
            <w:hideMark/>
          </w:tcPr>
          <w:p w14:paraId="6303FDFB" w14:textId="7D7FE6F2"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693</w:t>
            </w:r>
          </w:p>
        </w:tc>
        <w:tc>
          <w:tcPr>
            <w:tcW w:w="568" w:type="dxa"/>
            <w:shd w:val="clear" w:color="auto" w:fill="auto"/>
            <w:noWrap/>
            <w:vAlign w:val="center"/>
            <w:hideMark/>
          </w:tcPr>
          <w:p w14:paraId="2B336C9D" w14:textId="597A28CB"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311</w:t>
            </w:r>
          </w:p>
        </w:tc>
        <w:tc>
          <w:tcPr>
            <w:tcW w:w="710" w:type="dxa"/>
            <w:shd w:val="clear" w:color="auto" w:fill="auto"/>
            <w:noWrap/>
            <w:vAlign w:val="center"/>
            <w:hideMark/>
          </w:tcPr>
          <w:p w14:paraId="6EDA821F" w14:textId="4E4C3A8F"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78</w:t>
            </w:r>
          </w:p>
        </w:tc>
        <w:tc>
          <w:tcPr>
            <w:tcW w:w="657" w:type="dxa"/>
            <w:shd w:val="clear" w:color="auto" w:fill="auto"/>
            <w:noWrap/>
            <w:vAlign w:val="center"/>
            <w:hideMark/>
          </w:tcPr>
          <w:p w14:paraId="4FBEDD37" w14:textId="6B1F28B7"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1.</w:t>
            </w:r>
            <w:r w:rsidR="00F874F5" w:rsidRPr="00540F85">
              <w:rPr>
                <w:rFonts w:eastAsia="Times New Roman"/>
                <w:sz w:val="16"/>
                <w:szCs w:val="16"/>
                <w:lang w:eastAsia="hr-HR"/>
              </w:rPr>
              <w:t>529</w:t>
            </w:r>
          </w:p>
        </w:tc>
      </w:tr>
      <w:tr w:rsidR="00D34C36" w:rsidRPr="001B4CA2" w14:paraId="7D3CC5B7" w14:textId="77777777" w:rsidTr="00540F85">
        <w:trPr>
          <w:trHeight w:val="330"/>
          <w:jc w:val="center"/>
        </w:trPr>
        <w:tc>
          <w:tcPr>
            <w:tcW w:w="597" w:type="dxa"/>
            <w:shd w:val="clear" w:color="auto" w:fill="auto"/>
            <w:noWrap/>
            <w:vAlign w:val="center"/>
          </w:tcPr>
          <w:p w14:paraId="7E385374" w14:textId="2780D392" w:rsidR="00D34C36" w:rsidRPr="00540F85" w:rsidRDefault="00D34C36" w:rsidP="004F0E66">
            <w:pPr>
              <w:jc w:val="center"/>
              <w:rPr>
                <w:rFonts w:eastAsia="Times New Roman"/>
                <w:sz w:val="16"/>
                <w:szCs w:val="16"/>
                <w:lang w:eastAsia="hr-HR"/>
              </w:rPr>
            </w:pPr>
            <w:r w:rsidRPr="00540F85">
              <w:rPr>
                <w:rFonts w:eastAsia="Times New Roman"/>
                <w:sz w:val="16"/>
                <w:szCs w:val="16"/>
                <w:lang w:eastAsia="hr-HR"/>
              </w:rPr>
              <w:t>202</w:t>
            </w:r>
            <w:r w:rsidR="00F874F5" w:rsidRPr="00540F85">
              <w:rPr>
                <w:rFonts w:eastAsia="Times New Roman"/>
                <w:sz w:val="16"/>
                <w:szCs w:val="16"/>
                <w:lang w:eastAsia="hr-HR"/>
              </w:rPr>
              <w:t>2</w:t>
            </w:r>
            <w:r w:rsidRPr="00540F85">
              <w:rPr>
                <w:rFonts w:eastAsia="Times New Roman"/>
                <w:sz w:val="16"/>
                <w:szCs w:val="16"/>
                <w:lang w:eastAsia="hr-HR"/>
              </w:rPr>
              <w:t>.</w:t>
            </w:r>
          </w:p>
        </w:tc>
        <w:tc>
          <w:tcPr>
            <w:tcW w:w="852" w:type="dxa"/>
            <w:shd w:val="clear" w:color="auto" w:fill="auto"/>
            <w:noWrap/>
            <w:vAlign w:val="center"/>
          </w:tcPr>
          <w:p w14:paraId="51E694BB" w14:textId="085CAAE5" w:rsidR="00D34C36" w:rsidRPr="00540F85" w:rsidRDefault="004A445A" w:rsidP="004F0E66">
            <w:pPr>
              <w:jc w:val="center"/>
              <w:rPr>
                <w:rFonts w:eastAsia="Times New Roman"/>
                <w:sz w:val="16"/>
                <w:szCs w:val="16"/>
                <w:lang w:eastAsia="hr-HR"/>
              </w:rPr>
            </w:pPr>
            <w:r w:rsidRPr="00540F85">
              <w:rPr>
                <w:rFonts w:eastAsia="Times New Roman"/>
                <w:sz w:val="16"/>
                <w:szCs w:val="16"/>
                <w:lang w:eastAsia="hr-HR"/>
              </w:rPr>
              <w:t>1.</w:t>
            </w:r>
            <w:r w:rsidR="00F874F5" w:rsidRPr="00540F85">
              <w:rPr>
                <w:rFonts w:eastAsia="Times New Roman"/>
                <w:sz w:val="16"/>
                <w:szCs w:val="16"/>
                <w:lang w:eastAsia="hr-HR"/>
              </w:rPr>
              <w:t>339</w:t>
            </w:r>
          </w:p>
        </w:tc>
        <w:tc>
          <w:tcPr>
            <w:tcW w:w="709" w:type="dxa"/>
            <w:shd w:val="clear" w:color="auto" w:fill="auto"/>
            <w:noWrap/>
            <w:vAlign w:val="center"/>
          </w:tcPr>
          <w:p w14:paraId="15E4B310" w14:textId="29FE6A38" w:rsidR="00D34C36" w:rsidRPr="00540F85" w:rsidRDefault="004A445A" w:rsidP="004F0E66">
            <w:pPr>
              <w:jc w:val="center"/>
              <w:rPr>
                <w:rFonts w:eastAsia="Times New Roman"/>
                <w:sz w:val="16"/>
                <w:szCs w:val="16"/>
                <w:lang w:eastAsia="hr-HR"/>
              </w:rPr>
            </w:pPr>
            <w:r w:rsidRPr="00540F85">
              <w:rPr>
                <w:rFonts w:eastAsia="Times New Roman"/>
                <w:sz w:val="16"/>
                <w:szCs w:val="16"/>
                <w:lang w:eastAsia="hr-HR"/>
              </w:rPr>
              <w:t>2.</w:t>
            </w:r>
            <w:r w:rsidR="00F874F5" w:rsidRPr="00540F85">
              <w:rPr>
                <w:rFonts w:eastAsia="Times New Roman"/>
                <w:sz w:val="16"/>
                <w:szCs w:val="16"/>
                <w:lang w:eastAsia="hr-HR"/>
              </w:rPr>
              <w:t>233</w:t>
            </w:r>
          </w:p>
        </w:tc>
        <w:tc>
          <w:tcPr>
            <w:tcW w:w="852" w:type="dxa"/>
            <w:shd w:val="clear" w:color="auto" w:fill="auto"/>
            <w:noWrap/>
            <w:vAlign w:val="center"/>
          </w:tcPr>
          <w:p w14:paraId="01B61A39" w14:textId="169F832E" w:rsidR="00D34C36" w:rsidRPr="00540F85" w:rsidRDefault="004A445A" w:rsidP="004F0E66">
            <w:pPr>
              <w:jc w:val="center"/>
              <w:rPr>
                <w:rFonts w:eastAsia="Times New Roman"/>
                <w:sz w:val="16"/>
                <w:szCs w:val="16"/>
                <w:lang w:eastAsia="hr-HR"/>
              </w:rPr>
            </w:pPr>
            <w:r w:rsidRPr="00540F85">
              <w:rPr>
                <w:rFonts w:eastAsia="Times New Roman"/>
                <w:sz w:val="16"/>
                <w:szCs w:val="16"/>
                <w:lang w:eastAsia="hr-HR"/>
              </w:rPr>
              <w:t>8</w:t>
            </w:r>
            <w:r w:rsidR="00F874F5" w:rsidRPr="00540F85">
              <w:rPr>
                <w:rFonts w:eastAsia="Times New Roman"/>
                <w:sz w:val="16"/>
                <w:szCs w:val="16"/>
                <w:lang w:eastAsia="hr-HR"/>
              </w:rPr>
              <w:t>50</w:t>
            </w:r>
          </w:p>
        </w:tc>
        <w:tc>
          <w:tcPr>
            <w:tcW w:w="710" w:type="dxa"/>
            <w:shd w:val="clear" w:color="auto" w:fill="auto"/>
            <w:noWrap/>
            <w:vAlign w:val="center"/>
          </w:tcPr>
          <w:p w14:paraId="4218B308" w14:textId="647085B9"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3</w:t>
            </w:r>
          </w:p>
        </w:tc>
        <w:tc>
          <w:tcPr>
            <w:tcW w:w="851" w:type="dxa"/>
            <w:shd w:val="clear" w:color="auto" w:fill="auto"/>
            <w:noWrap/>
            <w:vAlign w:val="center"/>
          </w:tcPr>
          <w:p w14:paraId="489907D5" w14:textId="0BF3950D"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397</w:t>
            </w:r>
          </w:p>
        </w:tc>
        <w:tc>
          <w:tcPr>
            <w:tcW w:w="676" w:type="dxa"/>
            <w:shd w:val="clear" w:color="auto" w:fill="auto"/>
            <w:noWrap/>
            <w:vAlign w:val="center"/>
          </w:tcPr>
          <w:p w14:paraId="31CE63A0" w14:textId="37029E43"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0</w:t>
            </w:r>
          </w:p>
        </w:tc>
        <w:tc>
          <w:tcPr>
            <w:tcW w:w="852" w:type="dxa"/>
            <w:shd w:val="clear" w:color="auto" w:fill="auto"/>
            <w:noWrap/>
            <w:vAlign w:val="center"/>
          </w:tcPr>
          <w:p w14:paraId="55D0C485" w14:textId="7A7E36D8"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0</w:t>
            </w:r>
          </w:p>
        </w:tc>
        <w:tc>
          <w:tcPr>
            <w:tcW w:w="993" w:type="dxa"/>
            <w:shd w:val="clear" w:color="auto" w:fill="auto"/>
            <w:noWrap/>
            <w:vAlign w:val="center"/>
          </w:tcPr>
          <w:p w14:paraId="45100286" w14:textId="475E34E8"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721</w:t>
            </w:r>
          </w:p>
        </w:tc>
        <w:tc>
          <w:tcPr>
            <w:tcW w:w="568" w:type="dxa"/>
            <w:shd w:val="clear" w:color="auto" w:fill="auto"/>
            <w:noWrap/>
            <w:vAlign w:val="center"/>
          </w:tcPr>
          <w:p w14:paraId="123DB137" w14:textId="6413015F"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218</w:t>
            </w:r>
          </w:p>
        </w:tc>
        <w:tc>
          <w:tcPr>
            <w:tcW w:w="710" w:type="dxa"/>
            <w:shd w:val="clear" w:color="auto" w:fill="auto"/>
            <w:noWrap/>
            <w:vAlign w:val="center"/>
          </w:tcPr>
          <w:p w14:paraId="63C438FC" w14:textId="78CE76A1" w:rsidR="00D34C36" w:rsidRPr="00540F85" w:rsidRDefault="00F874F5" w:rsidP="004F0E66">
            <w:pPr>
              <w:jc w:val="center"/>
              <w:rPr>
                <w:rFonts w:eastAsia="Times New Roman"/>
                <w:sz w:val="16"/>
                <w:szCs w:val="16"/>
                <w:lang w:eastAsia="hr-HR"/>
              </w:rPr>
            </w:pPr>
            <w:r w:rsidRPr="00540F85">
              <w:rPr>
                <w:rFonts w:eastAsia="Times New Roman"/>
                <w:sz w:val="16"/>
                <w:szCs w:val="16"/>
                <w:lang w:eastAsia="hr-HR"/>
              </w:rPr>
              <w:t>44</w:t>
            </w:r>
          </w:p>
        </w:tc>
        <w:tc>
          <w:tcPr>
            <w:tcW w:w="657" w:type="dxa"/>
            <w:shd w:val="clear" w:color="auto" w:fill="auto"/>
            <w:noWrap/>
            <w:vAlign w:val="center"/>
          </w:tcPr>
          <w:p w14:paraId="79CB099D" w14:textId="32DBF5E8" w:rsidR="00D34C36" w:rsidRPr="00540F85" w:rsidRDefault="004A445A" w:rsidP="004F0E66">
            <w:pPr>
              <w:jc w:val="center"/>
              <w:rPr>
                <w:rFonts w:eastAsia="Times New Roman"/>
                <w:sz w:val="16"/>
                <w:szCs w:val="16"/>
                <w:lang w:eastAsia="hr-HR"/>
              </w:rPr>
            </w:pPr>
            <w:r w:rsidRPr="00540F85">
              <w:rPr>
                <w:rFonts w:eastAsia="Times New Roman"/>
                <w:sz w:val="16"/>
                <w:szCs w:val="16"/>
                <w:lang w:eastAsia="hr-HR"/>
              </w:rPr>
              <w:t>1.</w:t>
            </w:r>
            <w:r w:rsidR="00F874F5" w:rsidRPr="00540F85">
              <w:rPr>
                <w:rFonts w:eastAsia="Times New Roman"/>
                <w:sz w:val="16"/>
                <w:szCs w:val="16"/>
                <w:lang w:eastAsia="hr-HR"/>
              </w:rPr>
              <w:t>383</w:t>
            </w:r>
          </w:p>
        </w:tc>
      </w:tr>
    </w:tbl>
    <w:p w14:paraId="5661247C" w14:textId="77777777" w:rsidR="008850EC" w:rsidRPr="001B4CA2" w:rsidRDefault="008850EC" w:rsidP="008850EC"/>
    <w:p w14:paraId="07FBED9A" w14:textId="1442AD9F" w:rsidR="00F874F5" w:rsidRPr="001B4CA2" w:rsidRDefault="005B2800" w:rsidP="00F874F5">
      <w:r w:rsidRPr="001B4CA2">
        <w:tab/>
      </w:r>
      <w:r w:rsidR="00F874F5" w:rsidRPr="001B4CA2">
        <w:t xml:space="preserve">Tijekom 2022. godine županijska državna odvjetništva (bez kaznenih prijava protiv maloljetnih osoba) zaprimila su ukupno 1.339 kaznenih prijava, a kada se navedenom dodaju neriješene prijave iz 2021. godine, u radu su imala ukupno 2.233 prijave. </w:t>
      </w:r>
    </w:p>
    <w:p w14:paraId="66D6D03C" w14:textId="77777777" w:rsidR="00F874F5" w:rsidRPr="001B4CA2" w:rsidRDefault="00F874F5" w:rsidP="00F874F5"/>
    <w:p w14:paraId="59FF7CD7" w14:textId="4FD3B4EC" w:rsidR="00F874F5" w:rsidRPr="001B4CA2" w:rsidRDefault="001B4CA2" w:rsidP="00F874F5">
      <w:r>
        <w:tab/>
      </w:r>
      <w:r w:rsidR="00F874F5" w:rsidRPr="001B4CA2">
        <w:t xml:space="preserve">U ovom izvještajnom razdoblju županijska državna odvjetništva </w:t>
      </w:r>
      <w:r w:rsidR="00166CCE" w:rsidRPr="001B4CA2">
        <w:t xml:space="preserve">zaprimila </w:t>
      </w:r>
      <w:r w:rsidR="00F874F5" w:rsidRPr="001B4CA2">
        <w:t xml:space="preserve">su 211 kaznenih prijava manje nego 2021. godine. </w:t>
      </w:r>
    </w:p>
    <w:p w14:paraId="3965254A" w14:textId="77777777" w:rsidR="00F874F5" w:rsidRPr="001B4CA2" w:rsidRDefault="00F874F5" w:rsidP="00F874F5"/>
    <w:p w14:paraId="785451E9" w14:textId="71C5CDBE" w:rsidR="00F874F5" w:rsidRPr="001B4CA2" w:rsidRDefault="001B4CA2" w:rsidP="00F874F5">
      <w:pPr>
        <w:rPr>
          <w:color w:val="FF0000"/>
        </w:rPr>
      </w:pPr>
      <w:r>
        <w:tab/>
      </w:r>
      <w:r w:rsidR="00F874F5" w:rsidRPr="001B4CA2">
        <w:t>Na kraju izvještajnog razdoblja od ukupnog broja prijava u radu ostalo je neriješeno 850 prijava (38,1</w:t>
      </w:r>
      <w:r w:rsidR="00166CCE">
        <w:t> </w:t>
      </w:r>
      <w:r w:rsidR="00F874F5" w:rsidRPr="001B4CA2">
        <w:t>%). Usporedbom broja neriješenih prijava iz 2022. godine i broja neriješenih prijava u 2021. godini (882 prijave) uočava se da je došlo do pada broja neriješenih prijava od 3,6</w:t>
      </w:r>
      <w:r w:rsidR="00166CCE">
        <w:t> </w:t>
      </w:r>
      <w:r w:rsidR="00F874F5" w:rsidRPr="001B4CA2">
        <w:t xml:space="preserve">%. </w:t>
      </w:r>
    </w:p>
    <w:p w14:paraId="55D7432A" w14:textId="77777777" w:rsidR="00F874F5" w:rsidRPr="001B4CA2" w:rsidRDefault="00F874F5" w:rsidP="00F874F5"/>
    <w:p w14:paraId="3E389546" w14:textId="798AD848" w:rsidR="00F874F5" w:rsidRPr="001B4CA2" w:rsidRDefault="001B4CA2" w:rsidP="00F874F5">
      <w:pPr>
        <w:rPr>
          <w:i/>
        </w:rPr>
      </w:pPr>
      <w:r>
        <w:tab/>
      </w:r>
      <w:r w:rsidR="00F874F5" w:rsidRPr="001B4CA2">
        <w:t xml:space="preserve">Iz podataka u tablici </w:t>
      </w:r>
      <w:r w:rsidR="00166CCE" w:rsidRPr="001B4CA2">
        <w:t xml:space="preserve">također </w:t>
      </w:r>
      <w:r w:rsidR="00F874F5" w:rsidRPr="001B4CA2">
        <w:t>je vidljivo da su županijska državna odvjetništva tijekom 2022. godine riješila 1.383 kaznene prijave od ukupnog broja kaznenih prijava u radu, što predstavlja 61,9</w:t>
      </w:r>
      <w:r w:rsidR="00166CCE">
        <w:t> </w:t>
      </w:r>
      <w:r w:rsidR="00F874F5" w:rsidRPr="001B4CA2">
        <w:t>%. Kada se navedeni postotak usporedi s postotkom kaznenih prijava riješenih tijekom 2021. godine (63,4</w:t>
      </w:r>
      <w:r w:rsidR="00166CCE">
        <w:t> </w:t>
      </w:r>
      <w:r w:rsidR="00F874F5" w:rsidRPr="001B4CA2">
        <w:t xml:space="preserve">%), </w:t>
      </w:r>
      <w:r w:rsidR="00166CCE">
        <w:t>razvidan</w:t>
      </w:r>
      <w:r w:rsidR="00F874F5" w:rsidRPr="001B4CA2">
        <w:t xml:space="preserve"> je blagi pad u broju riješenih prijava.  </w:t>
      </w:r>
    </w:p>
    <w:p w14:paraId="1BC3714E" w14:textId="77777777" w:rsidR="00F874F5" w:rsidRPr="001B4CA2" w:rsidRDefault="00F874F5" w:rsidP="00F874F5"/>
    <w:p w14:paraId="33DE6CC4" w14:textId="5E984820" w:rsidR="00F874F5" w:rsidRPr="001B4CA2" w:rsidRDefault="001B4CA2" w:rsidP="00F874F5">
      <w:r>
        <w:tab/>
      </w:r>
      <w:r w:rsidR="00F874F5" w:rsidRPr="001B4CA2">
        <w:t>Od ukupnog broja riješenih prijava donošenjem meritorne odluke (rješenje o odbačaju, optužnica i rješenje o provođenju istrage) riješeno je 1.118 prijava (80,8</w:t>
      </w:r>
      <w:r w:rsidR="00166CCE">
        <w:t> </w:t>
      </w:r>
      <w:r w:rsidR="00F874F5" w:rsidRPr="001B4CA2">
        <w:t xml:space="preserve">%), </w:t>
      </w:r>
      <w:r w:rsidR="00F874F5" w:rsidRPr="001B4CA2">
        <w:rPr>
          <w:rFonts w:eastAsia="Arial"/>
        </w:rPr>
        <w:t>broj otvorenih istraživanja je na razini od 0,2</w:t>
      </w:r>
      <w:r w:rsidR="00166CCE">
        <w:t> </w:t>
      </w:r>
      <w:r w:rsidR="00F874F5" w:rsidRPr="001B4CA2">
        <w:rPr>
          <w:rFonts w:eastAsia="Arial"/>
        </w:rPr>
        <w:t xml:space="preserve">%, </w:t>
      </w:r>
      <w:r w:rsidR="00F874F5" w:rsidRPr="001B4CA2">
        <w:t>dok je 218 prijava (15,8</w:t>
      </w:r>
      <w:r w:rsidR="00166CCE">
        <w:t> </w:t>
      </w:r>
      <w:r w:rsidR="00F874F5" w:rsidRPr="001B4CA2">
        <w:t>%) riješeno ustupom predmeta drugom državnom odvjetništvu, a 44 prijave (3,2</w:t>
      </w:r>
      <w:r w:rsidR="00166CCE">
        <w:t> </w:t>
      </w:r>
      <w:r w:rsidR="00F874F5" w:rsidRPr="001B4CA2">
        <w:t>%) riješene su na drugi način (spajanjem predmeta i sl.).</w:t>
      </w:r>
    </w:p>
    <w:p w14:paraId="76FF7437" w14:textId="77777777" w:rsidR="00F874F5" w:rsidRPr="001B4CA2" w:rsidRDefault="00F874F5" w:rsidP="00F874F5"/>
    <w:p w14:paraId="411A5A17" w14:textId="394446C9" w:rsidR="00F874F5" w:rsidRPr="001B4CA2" w:rsidRDefault="001B4CA2" w:rsidP="00F874F5">
      <w:r>
        <w:tab/>
      </w:r>
      <w:r w:rsidR="00F874F5" w:rsidRPr="001B4CA2">
        <w:t>Kada se promatra struktura meritornih odluka povodom kaznenih prijava protiv poznatih osoba (bez maloljetnih osoba), vidljivo je da su najzastupljenija rješenja o provođenju istrage (721</w:t>
      </w:r>
      <w:r w:rsidR="00166CCE">
        <w:t>,</w:t>
      </w:r>
      <w:r w:rsidR="00F874F5" w:rsidRPr="001B4CA2">
        <w:t xml:space="preserve"> odnosno 64,5%), iza kojih slijede rješenja o odbačaju kaznene prijave (397</w:t>
      </w:r>
      <w:r w:rsidR="00166CCE">
        <w:t>,</w:t>
      </w:r>
      <w:r w:rsidR="00F874F5" w:rsidRPr="001B4CA2">
        <w:t xml:space="preserve"> odnosno 35,5%). U ovom izvještajnom razdoblju nije bilo nijedne neposredne optužnice, dok su u prošlogodišnjem razdoblju podignute 3 neposredne optužnice. </w:t>
      </w:r>
    </w:p>
    <w:p w14:paraId="2AFF04CA" w14:textId="77777777" w:rsidR="00F874F5" w:rsidRPr="001B4CA2" w:rsidRDefault="00F874F5" w:rsidP="00F874F5"/>
    <w:p w14:paraId="7EF68FB6" w14:textId="2CD45C03" w:rsidR="004A70AD" w:rsidRPr="001B4CA2" w:rsidRDefault="001B4CA2" w:rsidP="00C13798">
      <w:r>
        <w:tab/>
      </w:r>
      <w:r w:rsidR="00F874F5" w:rsidRPr="001B4CA2">
        <w:t>Struktura meritornih odluka ne pokazuje znatnija odstupanja u odnosu na prethodnu 2021. godinu kada su rješenja o provođenju istrage participirala s</w:t>
      </w:r>
      <w:r w:rsidR="00166CCE">
        <w:t>a</w:t>
      </w:r>
      <w:r w:rsidR="00F874F5" w:rsidRPr="001B4CA2">
        <w:t xml:space="preserve"> 61,2</w:t>
      </w:r>
      <w:r w:rsidR="00166CCE">
        <w:t> </w:t>
      </w:r>
      <w:r w:rsidR="00F874F5" w:rsidRPr="001B4CA2">
        <w:t>%, a rješenja o odbačaju kaznene prijave s 38,5</w:t>
      </w:r>
      <w:r w:rsidR="00166CCE">
        <w:t> </w:t>
      </w:r>
      <w:r w:rsidR="00F874F5" w:rsidRPr="001B4CA2">
        <w:t>%.</w:t>
      </w:r>
    </w:p>
    <w:p w14:paraId="1207BB57" w14:textId="59C9AEAC" w:rsidR="00BB4D48" w:rsidRPr="001B4CA2" w:rsidRDefault="00542189" w:rsidP="007F746A">
      <w:pPr>
        <w:pStyle w:val="Naslov5"/>
        <w:tabs>
          <w:tab w:val="left" w:pos="1134"/>
          <w:tab w:val="left" w:pos="1276"/>
          <w:tab w:val="left" w:pos="1560"/>
        </w:tabs>
        <w:ind w:left="426" w:firstLine="0"/>
        <w:rPr>
          <w:rFonts w:ascii="Arial" w:hAnsi="Arial" w:cs="Arial"/>
        </w:rPr>
      </w:pPr>
      <w:bookmarkStart w:id="76" w:name="_Toc133394336"/>
      <w:r w:rsidRPr="001B4CA2">
        <w:rPr>
          <w:rFonts w:ascii="Arial" w:hAnsi="Arial" w:cs="Arial"/>
        </w:rPr>
        <w:lastRenderedPageBreak/>
        <w:t>Odluke</w:t>
      </w:r>
      <w:r w:rsidR="007C50CA" w:rsidRPr="001B4CA2">
        <w:rPr>
          <w:rFonts w:ascii="Arial" w:hAnsi="Arial" w:cs="Arial"/>
        </w:rPr>
        <w:t xml:space="preserve"> </w:t>
      </w:r>
      <w:r w:rsidRPr="001B4CA2">
        <w:rPr>
          <w:rFonts w:ascii="Arial" w:hAnsi="Arial" w:cs="Arial"/>
        </w:rPr>
        <w:t>povodom</w:t>
      </w:r>
      <w:r w:rsidR="007C50CA" w:rsidRPr="001B4CA2">
        <w:rPr>
          <w:rFonts w:ascii="Arial" w:hAnsi="Arial" w:cs="Arial"/>
        </w:rPr>
        <w:t xml:space="preserve"> </w:t>
      </w:r>
      <w:r w:rsidRPr="001B4CA2">
        <w:rPr>
          <w:rFonts w:ascii="Arial" w:hAnsi="Arial" w:cs="Arial"/>
        </w:rPr>
        <w:t>kaznene</w:t>
      </w:r>
      <w:r w:rsidR="007C50CA" w:rsidRPr="001B4CA2">
        <w:rPr>
          <w:rFonts w:ascii="Arial" w:hAnsi="Arial" w:cs="Arial"/>
        </w:rPr>
        <w:t xml:space="preserve"> </w:t>
      </w:r>
      <w:r w:rsidRPr="001B4CA2">
        <w:rPr>
          <w:rFonts w:ascii="Arial" w:hAnsi="Arial" w:cs="Arial"/>
        </w:rPr>
        <w:t>prijave</w:t>
      </w:r>
      <w:r w:rsidR="007C50CA" w:rsidRPr="001B4CA2">
        <w:rPr>
          <w:rFonts w:ascii="Arial" w:hAnsi="Arial" w:cs="Arial"/>
        </w:rPr>
        <w:t xml:space="preserve"> </w:t>
      </w:r>
      <w:r w:rsidR="008443EC" w:rsidRPr="001B4CA2">
        <w:rPr>
          <w:rFonts w:ascii="Arial" w:hAnsi="Arial" w:cs="Arial"/>
        </w:rPr>
        <w:t>–</w:t>
      </w:r>
      <w:r w:rsidR="00751391" w:rsidRPr="001B4CA2">
        <w:rPr>
          <w:rFonts w:ascii="Arial" w:hAnsi="Arial" w:cs="Arial"/>
        </w:rPr>
        <w:t xml:space="preserve"> </w:t>
      </w:r>
      <w:r w:rsidRPr="001B4CA2">
        <w:rPr>
          <w:rFonts w:ascii="Arial" w:hAnsi="Arial" w:cs="Arial"/>
        </w:rPr>
        <w:t>maloljetnici</w:t>
      </w:r>
      <w:bookmarkEnd w:id="76"/>
    </w:p>
    <w:p w14:paraId="568C6CA8" w14:textId="64E9CF2F" w:rsidR="00674FCB" w:rsidRPr="001B4CA2" w:rsidRDefault="00674FCB" w:rsidP="00AB15F3"/>
    <w:p w14:paraId="010C335C" w14:textId="03B3B9A4" w:rsidR="00674FCB" w:rsidRPr="001B4CA2" w:rsidRDefault="00674FCB" w:rsidP="00674FCB">
      <w:pPr>
        <w:ind w:firstLine="708"/>
      </w:pPr>
      <w:r w:rsidRPr="001B4CA2">
        <w:t>U ukupnom broju poznatih prijavljenih fizičkih osoba u radu svih županijskih državnih odvjetništava u izvještajnom razdoblju (1.289) maloljetnici participiraju s 4,6</w:t>
      </w:r>
      <w:r w:rsidR="00166CCE">
        <w:t> </w:t>
      </w:r>
      <w:r w:rsidRPr="001B4CA2">
        <w:t>%.</w:t>
      </w:r>
    </w:p>
    <w:p w14:paraId="00F98FBF" w14:textId="77777777" w:rsidR="00674FCB" w:rsidRPr="001B4CA2" w:rsidRDefault="00674FCB" w:rsidP="00AB15F3"/>
    <w:p w14:paraId="1D658453" w14:textId="1A97EB7B" w:rsidR="00C13798" w:rsidRPr="001B4CA2" w:rsidRDefault="00674FCB" w:rsidP="00920FF9">
      <w:pPr>
        <w:rPr>
          <w:i/>
        </w:rPr>
      </w:pPr>
      <w:r w:rsidRPr="001B4CA2">
        <w:rPr>
          <w:i/>
        </w:rPr>
        <w:t xml:space="preserve"> </w:t>
      </w:r>
      <w:r w:rsidR="00223ABD">
        <w:rPr>
          <w:i/>
        </w:rPr>
        <w:t xml:space="preserve"> </w:t>
      </w:r>
      <w:r w:rsidR="00504DFD" w:rsidRPr="001B4CA2">
        <w:rPr>
          <w:i/>
        </w:rPr>
        <w:t>Odluke povodom kaznene prijave</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851"/>
        <w:gridCol w:w="708"/>
        <w:gridCol w:w="709"/>
        <w:gridCol w:w="709"/>
        <w:gridCol w:w="709"/>
        <w:gridCol w:w="708"/>
        <w:gridCol w:w="709"/>
        <w:gridCol w:w="850"/>
        <w:gridCol w:w="851"/>
        <w:gridCol w:w="642"/>
        <w:gridCol w:w="709"/>
      </w:tblGrid>
      <w:tr w:rsidR="00532C41" w:rsidRPr="001B4CA2" w14:paraId="14E63593" w14:textId="77777777" w:rsidTr="00674FCB">
        <w:trPr>
          <w:cantSplit/>
          <w:trHeight w:val="2567"/>
          <w:jc w:val="center"/>
        </w:trPr>
        <w:tc>
          <w:tcPr>
            <w:tcW w:w="858" w:type="dxa"/>
            <w:shd w:val="clear" w:color="auto" w:fill="99CCFF"/>
            <w:vAlign w:val="center"/>
            <w:hideMark/>
          </w:tcPr>
          <w:p w14:paraId="6ACB5211" w14:textId="77777777" w:rsidR="00C13798" w:rsidRPr="001B4CA2" w:rsidRDefault="00C13798" w:rsidP="00C13798">
            <w:pPr>
              <w:jc w:val="center"/>
              <w:rPr>
                <w:rFonts w:eastAsia="Times New Roman"/>
                <w:b/>
                <w:sz w:val="18"/>
                <w:szCs w:val="18"/>
                <w:lang w:eastAsia="hr-HR"/>
              </w:rPr>
            </w:pPr>
            <w:r w:rsidRPr="001B4CA2">
              <w:rPr>
                <w:rFonts w:eastAsia="Times New Roman"/>
                <w:b/>
                <w:sz w:val="18"/>
                <w:szCs w:val="18"/>
                <w:lang w:eastAsia="hr-HR"/>
              </w:rPr>
              <w:t>Godina</w:t>
            </w:r>
          </w:p>
        </w:tc>
        <w:tc>
          <w:tcPr>
            <w:tcW w:w="851" w:type="dxa"/>
            <w:shd w:val="clear" w:color="auto" w:fill="99CCFF"/>
            <w:textDirection w:val="btLr"/>
            <w:vAlign w:val="center"/>
            <w:hideMark/>
          </w:tcPr>
          <w:p w14:paraId="15183D21" w14:textId="76C54BE8" w:rsidR="00C13798" w:rsidRPr="001B4CA2" w:rsidRDefault="00C13798" w:rsidP="00C13798">
            <w:pPr>
              <w:ind w:left="113" w:right="113"/>
              <w:jc w:val="left"/>
              <w:rPr>
                <w:rFonts w:eastAsia="Times New Roman"/>
                <w:b/>
                <w:sz w:val="18"/>
                <w:szCs w:val="18"/>
                <w:lang w:eastAsia="hr-HR"/>
              </w:rPr>
            </w:pPr>
            <w:r w:rsidRPr="001B4CA2">
              <w:rPr>
                <w:rFonts w:eastAsia="Times New Roman"/>
                <w:b/>
                <w:sz w:val="18"/>
                <w:szCs w:val="18"/>
                <w:lang w:eastAsia="hr-HR"/>
              </w:rPr>
              <w:t>Zaprimljeno</w:t>
            </w:r>
            <w:r w:rsidR="00B3768E" w:rsidRPr="001B4CA2">
              <w:rPr>
                <w:rFonts w:eastAsia="Times New Roman"/>
                <w:b/>
                <w:sz w:val="18"/>
                <w:szCs w:val="18"/>
                <w:lang w:eastAsia="hr-HR"/>
              </w:rPr>
              <w:t xml:space="preserve"> kaznenih</w:t>
            </w:r>
            <w:r w:rsidRPr="001B4CA2">
              <w:rPr>
                <w:rFonts w:eastAsia="Times New Roman"/>
                <w:b/>
                <w:sz w:val="18"/>
                <w:szCs w:val="18"/>
                <w:lang w:eastAsia="hr-HR"/>
              </w:rPr>
              <w:t xml:space="preserve"> prijava</w:t>
            </w:r>
          </w:p>
        </w:tc>
        <w:tc>
          <w:tcPr>
            <w:tcW w:w="708" w:type="dxa"/>
            <w:shd w:val="clear" w:color="auto" w:fill="99CCFF"/>
            <w:textDirection w:val="btLr"/>
            <w:vAlign w:val="center"/>
            <w:hideMark/>
          </w:tcPr>
          <w:p w14:paraId="5DEDE47E" w14:textId="77777777" w:rsidR="00C13798" w:rsidRPr="001B4CA2" w:rsidRDefault="00C13798" w:rsidP="00C13798">
            <w:pPr>
              <w:ind w:left="113" w:right="113"/>
              <w:jc w:val="left"/>
              <w:rPr>
                <w:rFonts w:eastAsia="Times New Roman"/>
                <w:b/>
                <w:sz w:val="18"/>
                <w:szCs w:val="18"/>
                <w:lang w:eastAsia="hr-HR"/>
              </w:rPr>
            </w:pPr>
            <w:r w:rsidRPr="001B4CA2">
              <w:rPr>
                <w:rFonts w:eastAsia="Times New Roman"/>
                <w:b/>
                <w:sz w:val="18"/>
                <w:szCs w:val="18"/>
                <w:lang w:eastAsia="hr-HR"/>
              </w:rPr>
              <w:t>Ukupno u radu</w:t>
            </w:r>
          </w:p>
        </w:tc>
        <w:tc>
          <w:tcPr>
            <w:tcW w:w="709" w:type="dxa"/>
            <w:shd w:val="clear" w:color="auto" w:fill="99CCFF"/>
            <w:textDirection w:val="btLr"/>
            <w:vAlign w:val="center"/>
            <w:hideMark/>
          </w:tcPr>
          <w:p w14:paraId="0A6396E2" w14:textId="77777777" w:rsidR="00C13798" w:rsidRPr="001B4CA2" w:rsidRDefault="00C13798" w:rsidP="00C13798">
            <w:pPr>
              <w:ind w:left="113" w:right="113"/>
              <w:jc w:val="left"/>
              <w:rPr>
                <w:rFonts w:eastAsia="Times New Roman"/>
                <w:b/>
                <w:sz w:val="18"/>
                <w:szCs w:val="18"/>
                <w:lang w:eastAsia="hr-HR"/>
              </w:rPr>
            </w:pPr>
            <w:r w:rsidRPr="001B4CA2">
              <w:rPr>
                <w:rFonts w:eastAsia="Times New Roman"/>
                <w:b/>
                <w:sz w:val="18"/>
                <w:szCs w:val="18"/>
                <w:lang w:eastAsia="hr-HR"/>
              </w:rPr>
              <w:t>Neriješeno</w:t>
            </w:r>
          </w:p>
        </w:tc>
        <w:tc>
          <w:tcPr>
            <w:tcW w:w="709" w:type="dxa"/>
            <w:shd w:val="clear" w:color="auto" w:fill="99CCFF"/>
            <w:textDirection w:val="btLr"/>
            <w:vAlign w:val="center"/>
            <w:hideMark/>
          </w:tcPr>
          <w:p w14:paraId="29A01F2A" w14:textId="71CF41B9" w:rsidR="00C13798" w:rsidRPr="001B4CA2" w:rsidRDefault="00B3768E" w:rsidP="00C13798">
            <w:pPr>
              <w:ind w:left="113" w:right="113"/>
              <w:jc w:val="left"/>
              <w:rPr>
                <w:rFonts w:eastAsia="Times New Roman"/>
                <w:b/>
                <w:sz w:val="18"/>
                <w:szCs w:val="18"/>
                <w:lang w:eastAsia="hr-HR"/>
              </w:rPr>
            </w:pPr>
            <w:r w:rsidRPr="001B4CA2">
              <w:rPr>
                <w:rFonts w:eastAsia="Times New Roman"/>
                <w:b/>
                <w:sz w:val="18"/>
                <w:szCs w:val="18"/>
                <w:lang w:eastAsia="hr-HR"/>
              </w:rPr>
              <w:t>Ukupno o</w:t>
            </w:r>
            <w:r w:rsidR="00C13798" w:rsidRPr="001B4CA2">
              <w:rPr>
                <w:rFonts w:eastAsia="Times New Roman"/>
                <w:b/>
                <w:sz w:val="18"/>
                <w:szCs w:val="18"/>
                <w:lang w:eastAsia="hr-HR"/>
              </w:rPr>
              <w:t>dbačaj</w:t>
            </w:r>
            <w:r w:rsidRPr="001B4CA2">
              <w:rPr>
                <w:rFonts w:eastAsia="Times New Roman"/>
                <w:b/>
                <w:sz w:val="18"/>
                <w:szCs w:val="18"/>
                <w:lang w:eastAsia="hr-HR"/>
              </w:rPr>
              <w:t>a</w:t>
            </w:r>
          </w:p>
        </w:tc>
        <w:tc>
          <w:tcPr>
            <w:tcW w:w="709" w:type="dxa"/>
            <w:shd w:val="clear" w:color="auto" w:fill="99CCFF"/>
            <w:textDirection w:val="btLr"/>
            <w:vAlign w:val="center"/>
            <w:hideMark/>
          </w:tcPr>
          <w:p w14:paraId="7ED85789" w14:textId="0A20DA44" w:rsidR="00C13798" w:rsidRPr="001B4CA2" w:rsidRDefault="00B3768E" w:rsidP="00C13798">
            <w:pPr>
              <w:ind w:left="113" w:right="113"/>
              <w:jc w:val="left"/>
              <w:rPr>
                <w:rFonts w:eastAsia="Times New Roman"/>
                <w:b/>
                <w:sz w:val="18"/>
                <w:szCs w:val="18"/>
                <w:lang w:eastAsia="hr-HR"/>
              </w:rPr>
            </w:pPr>
            <w:r w:rsidRPr="001B4CA2">
              <w:rPr>
                <w:rFonts w:eastAsia="Times New Roman"/>
                <w:b/>
                <w:sz w:val="18"/>
                <w:szCs w:val="18"/>
                <w:lang w:eastAsia="hr-HR"/>
              </w:rPr>
              <w:t xml:space="preserve">Od toga </w:t>
            </w:r>
            <w:proofErr w:type="spellStart"/>
            <w:r w:rsidRPr="001B4CA2">
              <w:rPr>
                <w:rFonts w:eastAsia="Times New Roman"/>
                <w:b/>
                <w:sz w:val="18"/>
                <w:szCs w:val="18"/>
                <w:lang w:eastAsia="hr-HR"/>
              </w:rPr>
              <w:t>oportunitet</w:t>
            </w:r>
            <w:proofErr w:type="spellEnd"/>
            <w:r w:rsidRPr="001B4CA2">
              <w:rPr>
                <w:rFonts w:eastAsia="Times New Roman"/>
                <w:b/>
                <w:sz w:val="18"/>
                <w:szCs w:val="18"/>
                <w:lang w:eastAsia="hr-HR"/>
              </w:rPr>
              <w:t xml:space="preserve"> čl. 71., 72. i 73. ZSM</w:t>
            </w:r>
          </w:p>
        </w:tc>
        <w:tc>
          <w:tcPr>
            <w:tcW w:w="708" w:type="dxa"/>
            <w:shd w:val="clear" w:color="auto" w:fill="99CCFF"/>
            <w:textDirection w:val="btLr"/>
            <w:vAlign w:val="center"/>
            <w:hideMark/>
          </w:tcPr>
          <w:p w14:paraId="4CA31556" w14:textId="30C36DDC" w:rsidR="00C13798" w:rsidRPr="001B4CA2" w:rsidRDefault="00B3768E" w:rsidP="00C13798">
            <w:pPr>
              <w:ind w:left="113" w:right="113"/>
              <w:jc w:val="left"/>
              <w:rPr>
                <w:rFonts w:eastAsia="Times New Roman"/>
                <w:b/>
                <w:sz w:val="18"/>
                <w:szCs w:val="18"/>
                <w:lang w:eastAsia="hr-HR"/>
              </w:rPr>
            </w:pPr>
            <w:r w:rsidRPr="001B4CA2">
              <w:rPr>
                <w:rFonts w:eastAsia="Times New Roman"/>
                <w:b/>
                <w:sz w:val="18"/>
                <w:szCs w:val="18"/>
                <w:lang w:eastAsia="hr-HR"/>
              </w:rPr>
              <w:t>Otvoreno istraživanje</w:t>
            </w:r>
          </w:p>
        </w:tc>
        <w:tc>
          <w:tcPr>
            <w:tcW w:w="709" w:type="dxa"/>
            <w:shd w:val="clear" w:color="auto" w:fill="99CCFF"/>
            <w:textDirection w:val="btLr"/>
            <w:vAlign w:val="center"/>
            <w:hideMark/>
          </w:tcPr>
          <w:p w14:paraId="277653BE" w14:textId="4006C906" w:rsidR="00C13798" w:rsidRPr="001B4CA2" w:rsidRDefault="00B3768E" w:rsidP="00C13798">
            <w:pPr>
              <w:ind w:left="113" w:right="113"/>
              <w:jc w:val="left"/>
              <w:rPr>
                <w:rFonts w:eastAsia="Times New Roman"/>
                <w:b/>
                <w:sz w:val="18"/>
                <w:szCs w:val="18"/>
                <w:lang w:eastAsia="hr-HR"/>
              </w:rPr>
            </w:pPr>
            <w:r w:rsidRPr="001B4CA2">
              <w:rPr>
                <w:rFonts w:eastAsia="Times New Roman"/>
                <w:b/>
                <w:sz w:val="18"/>
                <w:szCs w:val="18"/>
                <w:lang w:eastAsia="hr-HR"/>
              </w:rPr>
              <w:t xml:space="preserve">Neposredni prijedlog za </w:t>
            </w:r>
            <w:proofErr w:type="spellStart"/>
            <w:r w:rsidRPr="001B4CA2">
              <w:rPr>
                <w:rFonts w:eastAsia="Times New Roman"/>
                <w:b/>
                <w:sz w:val="18"/>
                <w:szCs w:val="18"/>
                <w:lang w:eastAsia="hr-HR"/>
              </w:rPr>
              <w:t>mlt</w:t>
            </w:r>
            <w:proofErr w:type="spellEnd"/>
            <w:r w:rsidRPr="001B4CA2">
              <w:rPr>
                <w:rFonts w:eastAsia="Times New Roman"/>
                <w:b/>
                <w:sz w:val="18"/>
                <w:szCs w:val="18"/>
                <w:lang w:eastAsia="hr-HR"/>
              </w:rPr>
              <w:t>. sankciju čl. 82. ZSM</w:t>
            </w:r>
          </w:p>
        </w:tc>
        <w:tc>
          <w:tcPr>
            <w:tcW w:w="850" w:type="dxa"/>
            <w:shd w:val="clear" w:color="auto" w:fill="99CCFF"/>
            <w:textDirection w:val="btLr"/>
            <w:vAlign w:val="center"/>
            <w:hideMark/>
          </w:tcPr>
          <w:p w14:paraId="01776F27" w14:textId="4B3E57A4" w:rsidR="00C13798" w:rsidRPr="001B4CA2" w:rsidRDefault="00B3768E" w:rsidP="00C13798">
            <w:pPr>
              <w:ind w:left="113" w:right="113"/>
              <w:jc w:val="left"/>
              <w:rPr>
                <w:rFonts w:eastAsia="Times New Roman"/>
                <w:b/>
                <w:sz w:val="18"/>
                <w:szCs w:val="18"/>
                <w:lang w:eastAsia="hr-HR"/>
              </w:rPr>
            </w:pPr>
            <w:r w:rsidRPr="001B4CA2">
              <w:rPr>
                <w:rFonts w:eastAsia="Times New Roman"/>
                <w:b/>
                <w:sz w:val="18"/>
                <w:szCs w:val="18"/>
                <w:lang w:eastAsia="hr-HR"/>
              </w:rPr>
              <w:t>Rješenje o provođenju pripremnog postupka</w:t>
            </w:r>
          </w:p>
        </w:tc>
        <w:tc>
          <w:tcPr>
            <w:tcW w:w="851" w:type="dxa"/>
            <w:shd w:val="clear" w:color="auto" w:fill="99CCFF"/>
            <w:textDirection w:val="btLr"/>
            <w:vAlign w:val="center"/>
            <w:hideMark/>
          </w:tcPr>
          <w:p w14:paraId="5DEFD773" w14:textId="31B4FFE0" w:rsidR="00C13798" w:rsidRPr="001B4CA2" w:rsidRDefault="00B3768E" w:rsidP="00C13798">
            <w:pPr>
              <w:ind w:left="113" w:right="113"/>
              <w:jc w:val="left"/>
              <w:rPr>
                <w:rFonts w:eastAsia="Times New Roman"/>
                <w:b/>
                <w:sz w:val="18"/>
                <w:szCs w:val="18"/>
                <w:lang w:eastAsia="hr-HR"/>
              </w:rPr>
            </w:pPr>
            <w:r w:rsidRPr="001B4CA2">
              <w:rPr>
                <w:rFonts w:eastAsia="Times New Roman"/>
                <w:b/>
                <w:sz w:val="18"/>
                <w:szCs w:val="18"/>
                <w:lang w:eastAsia="hr-HR"/>
              </w:rPr>
              <w:t>Ustup</w:t>
            </w:r>
          </w:p>
        </w:tc>
        <w:tc>
          <w:tcPr>
            <w:tcW w:w="642" w:type="dxa"/>
            <w:shd w:val="clear" w:color="auto" w:fill="99CCFF"/>
            <w:textDirection w:val="btLr"/>
            <w:vAlign w:val="center"/>
            <w:hideMark/>
          </w:tcPr>
          <w:p w14:paraId="55293E07" w14:textId="77777777" w:rsidR="00C13798" w:rsidRPr="001B4CA2" w:rsidRDefault="00C13798" w:rsidP="00C13798">
            <w:pPr>
              <w:ind w:left="113" w:right="113"/>
              <w:jc w:val="left"/>
              <w:rPr>
                <w:rFonts w:eastAsia="Times New Roman"/>
                <w:b/>
                <w:sz w:val="18"/>
                <w:szCs w:val="18"/>
                <w:lang w:eastAsia="hr-HR"/>
              </w:rPr>
            </w:pPr>
            <w:r w:rsidRPr="001B4CA2">
              <w:rPr>
                <w:rFonts w:eastAsia="Times New Roman"/>
                <w:b/>
                <w:sz w:val="18"/>
                <w:szCs w:val="18"/>
                <w:lang w:eastAsia="hr-HR"/>
              </w:rPr>
              <w:t>Riješeno na drugi način</w:t>
            </w:r>
          </w:p>
        </w:tc>
        <w:tc>
          <w:tcPr>
            <w:tcW w:w="709" w:type="dxa"/>
            <w:shd w:val="clear" w:color="auto" w:fill="99CCFF"/>
            <w:textDirection w:val="btLr"/>
            <w:vAlign w:val="center"/>
            <w:hideMark/>
          </w:tcPr>
          <w:p w14:paraId="2A3D8363" w14:textId="77777777" w:rsidR="00C13798" w:rsidRPr="001B4CA2" w:rsidRDefault="00C13798" w:rsidP="00C13798">
            <w:pPr>
              <w:ind w:left="113" w:right="113"/>
              <w:jc w:val="left"/>
              <w:rPr>
                <w:rFonts w:eastAsia="Times New Roman"/>
                <w:b/>
                <w:sz w:val="18"/>
                <w:szCs w:val="18"/>
                <w:lang w:eastAsia="hr-HR"/>
              </w:rPr>
            </w:pPr>
            <w:r w:rsidRPr="001B4CA2">
              <w:rPr>
                <w:rFonts w:eastAsia="Times New Roman"/>
                <w:b/>
                <w:sz w:val="18"/>
                <w:szCs w:val="18"/>
                <w:lang w:eastAsia="hr-HR"/>
              </w:rPr>
              <w:t>Prijave u radu izvan DO</w:t>
            </w:r>
          </w:p>
        </w:tc>
      </w:tr>
      <w:tr w:rsidR="00532C41" w:rsidRPr="001B4CA2" w14:paraId="5C20C19F" w14:textId="77777777" w:rsidTr="00674FCB">
        <w:trPr>
          <w:trHeight w:val="300"/>
          <w:jc w:val="center"/>
        </w:trPr>
        <w:tc>
          <w:tcPr>
            <w:tcW w:w="858" w:type="dxa"/>
            <w:shd w:val="clear" w:color="auto" w:fill="auto"/>
            <w:noWrap/>
            <w:vAlign w:val="center"/>
          </w:tcPr>
          <w:p w14:paraId="5EA1FC40" w14:textId="1A0A5D92" w:rsidR="00920FF9" w:rsidRPr="001B4CA2" w:rsidRDefault="00920FF9" w:rsidP="00206547">
            <w:pPr>
              <w:jc w:val="center"/>
              <w:rPr>
                <w:rFonts w:eastAsia="Times New Roman"/>
                <w:sz w:val="18"/>
                <w:szCs w:val="18"/>
                <w:lang w:eastAsia="hr-HR"/>
              </w:rPr>
            </w:pPr>
            <w:r w:rsidRPr="001B4CA2">
              <w:rPr>
                <w:rFonts w:eastAsia="Times New Roman"/>
                <w:sz w:val="18"/>
                <w:szCs w:val="18"/>
                <w:lang w:eastAsia="hr-HR"/>
              </w:rPr>
              <w:t>201</w:t>
            </w:r>
            <w:r w:rsidR="00674FCB" w:rsidRPr="001B4CA2">
              <w:rPr>
                <w:rFonts w:eastAsia="Times New Roman"/>
                <w:sz w:val="18"/>
                <w:szCs w:val="18"/>
                <w:lang w:eastAsia="hr-HR"/>
              </w:rPr>
              <w:t>8</w:t>
            </w:r>
            <w:r w:rsidRPr="001B4CA2">
              <w:rPr>
                <w:rFonts w:eastAsia="Times New Roman"/>
                <w:sz w:val="18"/>
                <w:szCs w:val="18"/>
                <w:lang w:eastAsia="hr-HR"/>
              </w:rPr>
              <w:t>.</w:t>
            </w:r>
          </w:p>
        </w:tc>
        <w:tc>
          <w:tcPr>
            <w:tcW w:w="851" w:type="dxa"/>
            <w:shd w:val="clear" w:color="auto" w:fill="auto"/>
            <w:noWrap/>
            <w:vAlign w:val="center"/>
          </w:tcPr>
          <w:p w14:paraId="075717C4" w14:textId="22A0DC58"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45</w:t>
            </w:r>
          </w:p>
        </w:tc>
        <w:tc>
          <w:tcPr>
            <w:tcW w:w="708" w:type="dxa"/>
            <w:shd w:val="clear" w:color="auto" w:fill="auto"/>
            <w:noWrap/>
            <w:vAlign w:val="center"/>
          </w:tcPr>
          <w:p w14:paraId="33377EFD" w14:textId="744BE5A8"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51</w:t>
            </w:r>
          </w:p>
        </w:tc>
        <w:tc>
          <w:tcPr>
            <w:tcW w:w="709" w:type="dxa"/>
            <w:shd w:val="clear" w:color="auto" w:fill="auto"/>
            <w:noWrap/>
            <w:vAlign w:val="center"/>
          </w:tcPr>
          <w:p w14:paraId="730F8001" w14:textId="065EACC7"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5</w:t>
            </w:r>
          </w:p>
        </w:tc>
        <w:tc>
          <w:tcPr>
            <w:tcW w:w="709" w:type="dxa"/>
            <w:shd w:val="clear" w:color="auto" w:fill="auto"/>
            <w:noWrap/>
            <w:vAlign w:val="center"/>
          </w:tcPr>
          <w:p w14:paraId="34AEAD3C" w14:textId="0A8AA5BF"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22</w:t>
            </w:r>
          </w:p>
        </w:tc>
        <w:tc>
          <w:tcPr>
            <w:tcW w:w="709" w:type="dxa"/>
            <w:shd w:val="clear" w:color="auto" w:fill="auto"/>
            <w:noWrap/>
            <w:vAlign w:val="center"/>
          </w:tcPr>
          <w:p w14:paraId="2C38AED7" w14:textId="040558C5" w:rsidR="00920FF9" w:rsidRPr="001B4CA2" w:rsidRDefault="00920FF9" w:rsidP="00206547">
            <w:pPr>
              <w:jc w:val="center"/>
              <w:rPr>
                <w:rFonts w:eastAsia="Times New Roman"/>
                <w:sz w:val="18"/>
                <w:szCs w:val="18"/>
                <w:lang w:eastAsia="hr-HR"/>
              </w:rPr>
            </w:pPr>
          </w:p>
        </w:tc>
        <w:tc>
          <w:tcPr>
            <w:tcW w:w="708" w:type="dxa"/>
            <w:shd w:val="clear" w:color="auto" w:fill="auto"/>
            <w:noWrap/>
            <w:vAlign w:val="center"/>
          </w:tcPr>
          <w:p w14:paraId="159831FE" w14:textId="2904A536" w:rsidR="00920FF9" w:rsidRPr="001B4CA2" w:rsidRDefault="00920FF9" w:rsidP="00206547">
            <w:pPr>
              <w:jc w:val="center"/>
              <w:rPr>
                <w:rFonts w:eastAsia="Times New Roman"/>
                <w:sz w:val="18"/>
                <w:szCs w:val="18"/>
                <w:lang w:eastAsia="hr-HR"/>
              </w:rPr>
            </w:pPr>
          </w:p>
        </w:tc>
        <w:tc>
          <w:tcPr>
            <w:tcW w:w="709" w:type="dxa"/>
            <w:shd w:val="clear" w:color="auto" w:fill="auto"/>
            <w:noWrap/>
            <w:vAlign w:val="center"/>
          </w:tcPr>
          <w:p w14:paraId="0AC2A67B" w14:textId="18BB1681" w:rsidR="00920FF9" w:rsidRPr="001B4CA2" w:rsidRDefault="00920FF9" w:rsidP="00206547">
            <w:pPr>
              <w:jc w:val="center"/>
              <w:rPr>
                <w:rFonts w:eastAsia="Times New Roman"/>
                <w:sz w:val="18"/>
                <w:szCs w:val="18"/>
                <w:lang w:eastAsia="hr-HR"/>
              </w:rPr>
            </w:pPr>
          </w:p>
        </w:tc>
        <w:tc>
          <w:tcPr>
            <w:tcW w:w="850" w:type="dxa"/>
            <w:shd w:val="clear" w:color="auto" w:fill="auto"/>
            <w:noWrap/>
            <w:vAlign w:val="center"/>
          </w:tcPr>
          <w:p w14:paraId="687981EA" w14:textId="310F083B"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35</w:t>
            </w:r>
          </w:p>
        </w:tc>
        <w:tc>
          <w:tcPr>
            <w:tcW w:w="851" w:type="dxa"/>
            <w:shd w:val="clear" w:color="auto" w:fill="auto"/>
            <w:noWrap/>
            <w:vAlign w:val="center"/>
          </w:tcPr>
          <w:p w14:paraId="1879E7EB" w14:textId="5CD809B2" w:rsidR="00920FF9" w:rsidRPr="001B4CA2" w:rsidRDefault="00920FF9" w:rsidP="00206547">
            <w:pPr>
              <w:jc w:val="center"/>
              <w:rPr>
                <w:rFonts w:eastAsia="Times New Roman"/>
                <w:sz w:val="18"/>
                <w:szCs w:val="18"/>
                <w:lang w:eastAsia="hr-HR"/>
              </w:rPr>
            </w:pPr>
          </w:p>
        </w:tc>
        <w:tc>
          <w:tcPr>
            <w:tcW w:w="642" w:type="dxa"/>
            <w:shd w:val="clear" w:color="auto" w:fill="auto"/>
            <w:noWrap/>
            <w:vAlign w:val="center"/>
          </w:tcPr>
          <w:p w14:paraId="17C2EA28" w14:textId="07D254DC" w:rsidR="00920FF9" w:rsidRPr="001B4CA2" w:rsidRDefault="00920FF9" w:rsidP="00206547">
            <w:pPr>
              <w:jc w:val="center"/>
              <w:rPr>
                <w:rFonts w:eastAsia="Times New Roman"/>
                <w:sz w:val="18"/>
                <w:szCs w:val="18"/>
                <w:lang w:eastAsia="hr-HR"/>
              </w:rPr>
            </w:pPr>
          </w:p>
        </w:tc>
        <w:tc>
          <w:tcPr>
            <w:tcW w:w="709" w:type="dxa"/>
            <w:shd w:val="clear" w:color="auto" w:fill="auto"/>
            <w:noWrap/>
            <w:vAlign w:val="center"/>
          </w:tcPr>
          <w:p w14:paraId="2B9DB475" w14:textId="4A820609"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5</w:t>
            </w:r>
          </w:p>
        </w:tc>
      </w:tr>
      <w:tr w:rsidR="00532C41" w:rsidRPr="001B4CA2" w14:paraId="56C52A4C" w14:textId="77777777" w:rsidTr="00674FCB">
        <w:trPr>
          <w:trHeight w:val="300"/>
          <w:jc w:val="center"/>
        </w:trPr>
        <w:tc>
          <w:tcPr>
            <w:tcW w:w="858" w:type="dxa"/>
            <w:shd w:val="clear" w:color="auto" w:fill="auto"/>
            <w:noWrap/>
            <w:vAlign w:val="center"/>
            <w:hideMark/>
          </w:tcPr>
          <w:p w14:paraId="6FB0D7C9" w14:textId="15155B63" w:rsidR="00920FF9" w:rsidRPr="001B4CA2" w:rsidRDefault="00920FF9" w:rsidP="00206547">
            <w:pPr>
              <w:jc w:val="center"/>
              <w:rPr>
                <w:rFonts w:eastAsia="Times New Roman"/>
                <w:sz w:val="18"/>
                <w:szCs w:val="18"/>
                <w:lang w:eastAsia="hr-HR"/>
              </w:rPr>
            </w:pPr>
            <w:r w:rsidRPr="001B4CA2">
              <w:rPr>
                <w:rFonts w:eastAsia="Times New Roman"/>
                <w:sz w:val="18"/>
                <w:szCs w:val="18"/>
                <w:lang w:eastAsia="hr-HR"/>
              </w:rPr>
              <w:t>201</w:t>
            </w:r>
            <w:r w:rsidR="00674FCB" w:rsidRPr="001B4CA2">
              <w:rPr>
                <w:rFonts w:eastAsia="Times New Roman"/>
                <w:sz w:val="18"/>
                <w:szCs w:val="18"/>
                <w:lang w:eastAsia="hr-HR"/>
              </w:rPr>
              <w:t>9</w:t>
            </w:r>
            <w:r w:rsidRPr="001B4CA2">
              <w:rPr>
                <w:rFonts w:eastAsia="Times New Roman"/>
                <w:sz w:val="18"/>
                <w:szCs w:val="18"/>
                <w:lang w:eastAsia="hr-HR"/>
              </w:rPr>
              <w:t>.</w:t>
            </w:r>
          </w:p>
        </w:tc>
        <w:tc>
          <w:tcPr>
            <w:tcW w:w="851" w:type="dxa"/>
            <w:shd w:val="clear" w:color="auto" w:fill="auto"/>
            <w:noWrap/>
            <w:vAlign w:val="center"/>
            <w:hideMark/>
          </w:tcPr>
          <w:p w14:paraId="6E5330DA" w14:textId="5CC947D9"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64</w:t>
            </w:r>
          </w:p>
        </w:tc>
        <w:tc>
          <w:tcPr>
            <w:tcW w:w="708" w:type="dxa"/>
            <w:shd w:val="clear" w:color="auto" w:fill="auto"/>
            <w:noWrap/>
            <w:vAlign w:val="center"/>
            <w:hideMark/>
          </w:tcPr>
          <w:p w14:paraId="08861E8C" w14:textId="4E149D66"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69</w:t>
            </w:r>
          </w:p>
        </w:tc>
        <w:tc>
          <w:tcPr>
            <w:tcW w:w="709" w:type="dxa"/>
            <w:shd w:val="clear" w:color="auto" w:fill="auto"/>
            <w:noWrap/>
            <w:vAlign w:val="center"/>
            <w:hideMark/>
          </w:tcPr>
          <w:p w14:paraId="1C4EA45F" w14:textId="04AE3D18"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9</w:t>
            </w:r>
          </w:p>
        </w:tc>
        <w:tc>
          <w:tcPr>
            <w:tcW w:w="709" w:type="dxa"/>
            <w:shd w:val="clear" w:color="auto" w:fill="auto"/>
            <w:noWrap/>
            <w:vAlign w:val="center"/>
          </w:tcPr>
          <w:p w14:paraId="10049D3E" w14:textId="6C94A46D" w:rsidR="00920FF9" w:rsidRPr="001B4CA2" w:rsidRDefault="00801AC4" w:rsidP="00206547">
            <w:pPr>
              <w:jc w:val="center"/>
              <w:rPr>
                <w:rFonts w:eastAsia="Times New Roman"/>
                <w:sz w:val="18"/>
                <w:szCs w:val="18"/>
                <w:lang w:eastAsia="hr-HR"/>
              </w:rPr>
            </w:pPr>
            <w:r w:rsidRPr="001B4CA2">
              <w:rPr>
                <w:rFonts w:eastAsia="Times New Roman"/>
                <w:sz w:val="18"/>
                <w:szCs w:val="18"/>
                <w:lang w:eastAsia="hr-HR"/>
              </w:rPr>
              <w:t>14</w:t>
            </w:r>
          </w:p>
        </w:tc>
        <w:tc>
          <w:tcPr>
            <w:tcW w:w="709" w:type="dxa"/>
            <w:shd w:val="clear" w:color="auto" w:fill="auto"/>
            <w:noWrap/>
            <w:vAlign w:val="center"/>
          </w:tcPr>
          <w:p w14:paraId="1C110700" w14:textId="0580F316" w:rsidR="00920FF9" w:rsidRPr="001B4CA2" w:rsidRDefault="00920FF9" w:rsidP="00206547">
            <w:pPr>
              <w:jc w:val="center"/>
              <w:rPr>
                <w:rFonts w:eastAsia="Times New Roman"/>
                <w:sz w:val="18"/>
                <w:szCs w:val="18"/>
                <w:lang w:eastAsia="hr-HR"/>
              </w:rPr>
            </w:pPr>
          </w:p>
        </w:tc>
        <w:tc>
          <w:tcPr>
            <w:tcW w:w="708" w:type="dxa"/>
            <w:shd w:val="clear" w:color="auto" w:fill="auto"/>
            <w:noWrap/>
            <w:vAlign w:val="center"/>
            <w:hideMark/>
          </w:tcPr>
          <w:p w14:paraId="54465CAC" w14:textId="77777777" w:rsidR="00920FF9" w:rsidRPr="001B4CA2" w:rsidRDefault="00920FF9" w:rsidP="00206547">
            <w:pPr>
              <w:jc w:val="center"/>
              <w:rPr>
                <w:rFonts w:eastAsia="Times New Roman"/>
                <w:sz w:val="18"/>
                <w:szCs w:val="18"/>
                <w:lang w:eastAsia="hr-HR"/>
              </w:rPr>
            </w:pPr>
          </w:p>
        </w:tc>
        <w:tc>
          <w:tcPr>
            <w:tcW w:w="709" w:type="dxa"/>
            <w:shd w:val="clear" w:color="auto" w:fill="auto"/>
            <w:noWrap/>
            <w:vAlign w:val="center"/>
            <w:hideMark/>
          </w:tcPr>
          <w:p w14:paraId="2A5E0BE0" w14:textId="3EFA4E56" w:rsidR="00920FF9" w:rsidRPr="001B4CA2" w:rsidRDefault="00920FF9" w:rsidP="00206547">
            <w:pPr>
              <w:jc w:val="center"/>
              <w:rPr>
                <w:rFonts w:eastAsia="Times New Roman"/>
                <w:sz w:val="18"/>
                <w:szCs w:val="18"/>
                <w:lang w:eastAsia="hr-HR"/>
              </w:rPr>
            </w:pPr>
          </w:p>
        </w:tc>
        <w:tc>
          <w:tcPr>
            <w:tcW w:w="850" w:type="dxa"/>
            <w:shd w:val="clear" w:color="auto" w:fill="auto"/>
            <w:noWrap/>
            <w:vAlign w:val="center"/>
            <w:hideMark/>
          </w:tcPr>
          <w:p w14:paraId="74FA5E99" w14:textId="1F064FFA"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52</w:t>
            </w:r>
          </w:p>
        </w:tc>
        <w:tc>
          <w:tcPr>
            <w:tcW w:w="851" w:type="dxa"/>
            <w:shd w:val="clear" w:color="auto" w:fill="auto"/>
            <w:noWrap/>
            <w:vAlign w:val="center"/>
          </w:tcPr>
          <w:p w14:paraId="440C05B3" w14:textId="66F8DC5C" w:rsidR="00920FF9" w:rsidRPr="001B4CA2" w:rsidRDefault="00920FF9" w:rsidP="00206547">
            <w:pPr>
              <w:jc w:val="center"/>
              <w:rPr>
                <w:rFonts w:eastAsia="Times New Roman"/>
                <w:sz w:val="18"/>
                <w:szCs w:val="18"/>
                <w:lang w:eastAsia="hr-HR"/>
              </w:rPr>
            </w:pPr>
          </w:p>
        </w:tc>
        <w:tc>
          <w:tcPr>
            <w:tcW w:w="642" w:type="dxa"/>
            <w:shd w:val="clear" w:color="auto" w:fill="auto"/>
            <w:noWrap/>
            <w:vAlign w:val="center"/>
            <w:hideMark/>
          </w:tcPr>
          <w:p w14:paraId="1C437015" w14:textId="2B0E2655"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1</w:t>
            </w:r>
          </w:p>
        </w:tc>
        <w:tc>
          <w:tcPr>
            <w:tcW w:w="709" w:type="dxa"/>
            <w:shd w:val="clear" w:color="auto" w:fill="auto"/>
            <w:noWrap/>
            <w:vAlign w:val="center"/>
            <w:hideMark/>
          </w:tcPr>
          <w:p w14:paraId="622F971D" w14:textId="03BD7BEF"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9</w:t>
            </w:r>
          </w:p>
        </w:tc>
      </w:tr>
      <w:tr w:rsidR="00532C41" w:rsidRPr="001B4CA2" w14:paraId="121B8CC0" w14:textId="77777777" w:rsidTr="00674FCB">
        <w:trPr>
          <w:trHeight w:val="300"/>
          <w:jc w:val="center"/>
        </w:trPr>
        <w:tc>
          <w:tcPr>
            <w:tcW w:w="858" w:type="dxa"/>
            <w:shd w:val="clear" w:color="auto" w:fill="auto"/>
            <w:noWrap/>
            <w:vAlign w:val="center"/>
            <w:hideMark/>
          </w:tcPr>
          <w:p w14:paraId="64F47BA0" w14:textId="751A1AF7" w:rsidR="00920FF9" w:rsidRPr="001B4CA2" w:rsidRDefault="00920FF9" w:rsidP="00206547">
            <w:pPr>
              <w:jc w:val="center"/>
              <w:rPr>
                <w:rFonts w:eastAsia="Times New Roman"/>
                <w:sz w:val="18"/>
                <w:szCs w:val="18"/>
                <w:lang w:eastAsia="hr-HR"/>
              </w:rPr>
            </w:pPr>
            <w:r w:rsidRPr="001B4CA2">
              <w:rPr>
                <w:rFonts w:eastAsia="Times New Roman"/>
                <w:sz w:val="18"/>
                <w:szCs w:val="18"/>
                <w:lang w:eastAsia="hr-HR"/>
              </w:rPr>
              <w:t>20</w:t>
            </w:r>
            <w:r w:rsidR="00674FCB" w:rsidRPr="001B4CA2">
              <w:rPr>
                <w:rFonts w:eastAsia="Times New Roman"/>
                <w:sz w:val="18"/>
                <w:szCs w:val="18"/>
                <w:lang w:eastAsia="hr-HR"/>
              </w:rPr>
              <w:t>20</w:t>
            </w:r>
            <w:r w:rsidRPr="001B4CA2">
              <w:rPr>
                <w:rFonts w:eastAsia="Times New Roman"/>
                <w:sz w:val="18"/>
                <w:szCs w:val="18"/>
                <w:lang w:eastAsia="hr-HR"/>
              </w:rPr>
              <w:t>.</w:t>
            </w:r>
          </w:p>
        </w:tc>
        <w:tc>
          <w:tcPr>
            <w:tcW w:w="851" w:type="dxa"/>
            <w:shd w:val="clear" w:color="auto" w:fill="auto"/>
            <w:noWrap/>
            <w:vAlign w:val="center"/>
            <w:hideMark/>
          </w:tcPr>
          <w:p w14:paraId="1237970C" w14:textId="6468B8FE"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61</w:t>
            </w:r>
          </w:p>
        </w:tc>
        <w:tc>
          <w:tcPr>
            <w:tcW w:w="708" w:type="dxa"/>
            <w:shd w:val="clear" w:color="auto" w:fill="auto"/>
            <w:noWrap/>
            <w:vAlign w:val="center"/>
            <w:hideMark/>
          </w:tcPr>
          <w:p w14:paraId="79AA6CBD" w14:textId="5FF46C79"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75</w:t>
            </w:r>
          </w:p>
        </w:tc>
        <w:tc>
          <w:tcPr>
            <w:tcW w:w="709" w:type="dxa"/>
            <w:shd w:val="clear" w:color="auto" w:fill="auto"/>
            <w:noWrap/>
            <w:vAlign w:val="center"/>
            <w:hideMark/>
          </w:tcPr>
          <w:p w14:paraId="1A1A9682" w14:textId="61B00478"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17</w:t>
            </w:r>
          </w:p>
        </w:tc>
        <w:tc>
          <w:tcPr>
            <w:tcW w:w="709" w:type="dxa"/>
            <w:shd w:val="clear" w:color="auto" w:fill="auto"/>
            <w:noWrap/>
            <w:vAlign w:val="center"/>
          </w:tcPr>
          <w:p w14:paraId="090CB8D8" w14:textId="145E7E00" w:rsidR="00920FF9" w:rsidRPr="001B4CA2" w:rsidRDefault="00920FF9" w:rsidP="00206547">
            <w:pPr>
              <w:jc w:val="center"/>
              <w:rPr>
                <w:rFonts w:eastAsia="Times New Roman"/>
                <w:sz w:val="18"/>
                <w:szCs w:val="18"/>
                <w:lang w:eastAsia="hr-HR"/>
              </w:rPr>
            </w:pPr>
            <w:r w:rsidRPr="001B4CA2">
              <w:rPr>
                <w:rFonts w:eastAsia="Times New Roman"/>
                <w:sz w:val="18"/>
                <w:szCs w:val="18"/>
                <w:lang w:eastAsia="hr-HR"/>
              </w:rPr>
              <w:t>14</w:t>
            </w:r>
          </w:p>
        </w:tc>
        <w:tc>
          <w:tcPr>
            <w:tcW w:w="709" w:type="dxa"/>
            <w:shd w:val="clear" w:color="auto" w:fill="auto"/>
            <w:noWrap/>
            <w:vAlign w:val="center"/>
          </w:tcPr>
          <w:p w14:paraId="481BF21D" w14:textId="5C2B42E0"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3</w:t>
            </w:r>
          </w:p>
        </w:tc>
        <w:tc>
          <w:tcPr>
            <w:tcW w:w="708" w:type="dxa"/>
            <w:shd w:val="clear" w:color="auto" w:fill="auto"/>
            <w:noWrap/>
            <w:vAlign w:val="center"/>
            <w:hideMark/>
          </w:tcPr>
          <w:p w14:paraId="73240C7D" w14:textId="6A9E9F7C"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1</w:t>
            </w:r>
          </w:p>
        </w:tc>
        <w:tc>
          <w:tcPr>
            <w:tcW w:w="709" w:type="dxa"/>
            <w:shd w:val="clear" w:color="auto" w:fill="auto"/>
            <w:noWrap/>
            <w:vAlign w:val="center"/>
            <w:hideMark/>
          </w:tcPr>
          <w:p w14:paraId="48FFFBF7" w14:textId="5C5B1C37"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3</w:t>
            </w:r>
          </w:p>
        </w:tc>
        <w:tc>
          <w:tcPr>
            <w:tcW w:w="850" w:type="dxa"/>
            <w:shd w:val="clear" w:color="auto" w:fill="auto"/>
            <w:noWrap/>
            <w:vAlign w:val="center"/>
            <w:hideMark/>
          </w:tcPr>
          <w:p w14:paraId="1F72036E" w14:textId="131D2A25"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34</w:t>
            </w:r>
          </w:p>
        </w:tc>
        <w:tc>
          <w:tcPr>
            <w:tcW w:w="851" w:type="dxa"/>
            <w:shd w:val="clear" w:color="auto" w:fill="auto"/>
            <w:noWrap/>
            <w:vAlign w:val="center"/>
          </w:tcPr>
          <w:p w14:paraId="73FA5E7C" w14:textId="3B3C0C22"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3</w:t>
            </w:r>
          </w:p>
        </w:tc>
        <w:tc>
          <w:tcPr>
            <w:tcW w:w="642" w:type="dxa"/>
            <w:shd w:val="clear" w:color="auto" w:fill="auto"/>
            <w:noWrap/>
            <w:vAlign w:val="center"/>
            <w:hideMark/>
          </w:tcPr>
          <w:p w14:paraId="6707BED8" w14:textId="58E15D60" w:rsidR="00920FF9" w:rsidRPr="001B4CA2" w:rsidRDefault="00920FF9" w:rsidP="00206547">
            <w:pPr>
              <w:jc w:val="center"/>
              <w:rPr>
                <w:rFonts w:eastAsia="Times New Roman"/>
                <w:sz w:val="18"/>
                <w:szCs w:val="18"/>
                <w:lang w:eastAsia="hr-HR"/>
              </w:rPr>
            </w:pPr>
          </w:p>
        </w:tc>
        <w:tc>
          <w:tcPr>
            <w:tcW w:w="709" w:type="dxa"/>
            <w:shd w:val="clear" w:color="auto" w:fill="auto"/>
            <w:noWrap/>
            <w:vAlign w:val="center"/>
            <w:hideMark/>
          </w:tcPr>
          <w:p w14:paraId="2F3151CA" w14:textId="78D25A5E"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2</w:t>
            </w:r>
          </w:p>
        </w:tc>
      </w:tr>
      <w:tr w:rsidR="00532C41" w:rsidRPr="001B4CA2" w14:paraId="15F1A593" w14:textId="77777777" w:rsidTr="00674FCB">
        <w:trPr>
          <w:trHeight w:val="300"/>
          <w:jc w:val="center"/>
        </w:trPr>
        <w:tc>
          <w:tcPr>
            <w:tcW w:w="858" w:type="dxa"/>
            <w:shd w:val="clear" w:color="auto" w:fill="auto"/>
            <w:noWrap/>
            <w:vAlign w:val="center"/>
          </w:tcPr>
          <w:p w14:paraId="32C66C13" w14:textId="05056902" w:rsidR="00920FF9" w:rsidRPr="001B4CA2" w:rsidRDefault="00920FF9" w:rsidP="00206547">
            <w:pPr>
              <w:jc w:val="center"/>
              <w:rPr>
                <w:rFonts w:eastAsia="Times New Roman"/>
                <w:sz w:val="18"/>
                <w:szCs w:val="18"/>
                <w:lang w:eastAsia="hr-HR"/>
              </w:rPr>
            </w:pPr>
            <w:r w:rsidRPr="001B4CA2">
              <w:rPr>
                <w:rFonts w:eastAsia="Times New Roman"/>
                <w:sz w:val="18"/>
                <w:szCs w:val="18"/>
                <w:lang w:eastAsia="hr-HR"/>
              </w:rPr>
              <w:t>202</w:t>
            </w:r>
            <w:r w:rsidR="00674FCB" w:rsidRPr="001B4CA2">
              <w:rPr>
                <w:rFonts w:eastAsia="Times New Roman"/>
                <w:sz w:val="18"/>
                <w:szCs w:val="18"/>
                <w:lang w:eastAsia="hr-HR"/>
              </w:rPr>
              <w:t>1</w:t>
            </w:r>
            <w:r w:rsidRPr="001B4CA2">
              <w:rPr>
                <w:rFonts w:eastAsia="Times New Roman"/>
                <w:sz w:val="18"/>
                <w:szCs w:val="18"/>
                <w:lang w:eastAsia="hr-HR"/>
              </w:rPr>
              <w:t>.</w:t>
            </w:r>
          </w:p>
        </w:tc>
        <w:tc>
          <w:tcPr>
            <w:tcW w:w="851" w:type="dxa"/>
            <w:shd w:val="clear" w:color="auto" w:fill="auto"/>
            <w:noWrap/>
            <w:vAlign w:val="center"/>
          </w:tcPr>
          <w:p w14:paraId="012CD771" w14:textId="15CBFE86"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55</w:t>
            </w:r>
          </w:p>
        </w:tc>
        <w:tc>
          <w:tcPr>
            <w:tcW w:w="708" w:type="dxa"/>
            <w:shd w:val="clear" w:color="auto" w:fill="auto"/>
            <w:noWrap/>
            <w:vAlign w:val="center"/>
          </w:tcPr>
          <w:p w14:paraId="3051C8EB" w14:textId="79D36430"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72</w:t>
            </w:r>
          </w:p>
        </w:tc>
        <w:tc>
          <w:tcPr>
            <w:tcW w:w="709" w:type="dxa"/>
            <w:shd w:val="clear" w:color="auto" w:fill="auto"/>
            <w:noWrap/>
            <w:vAlign w:val="center"/>
          </w:tcPr>
          <w:p w14:paraId="4C95A20F" w14:textId="7B878748"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13</w:t>
            </w:r>
          </w:p>
        </w:tc>
        <w:tc>
          <w:tcPr>
            <w:tcW w:w="709" w:type="dxa"/>
            <w:shd w:val="clear" w:color="auto" w:fill="auto"/>
            <w:noWrap/>
            <w:vAlign w:val="center"/>
          </w:tcPr>
          <w:p w14:paraId="2376F1C1" w14:textId="7BA55F75" w:rsidR="00920FF9" w:rsidRPr="001B4CA2" w:rsidRDefault="00801AC4" w:rsidP="00206547">
            <w:pPr>
              <w:jc w:val="center"/>
              <w:rPr>
                <w:rFonts w:eastAsia="Times New Roman"/>
                <w:sz w:val="18"/>
                <w:szCs w:val="18"/>
                <w:lang w:eastAsia="hr-HR"/>
              </w:rPr>
            </w:pPr>
            <w:r w:rsidRPr="001B4CA2">
              <w:rPr>
                <w:rFonts w:eastAsia="Times New Roman"/>
                <w:sz w:val="18"/>
                <w:szCs w:val="18"/>
                <w:lang w:eastAsia="hr-HR"/>
              </w:rPr>
              <w:t>16</w:t>
            </w:r>
          </w:p>
        </w:tc>
        <w:tc>
          <w:tcPr>
            <w:tcW w:w="709" w:type="dxa"/>
            <w:shd w:val="clear" w:color="auto" w:fill="auto"/>
            <w:noWrap/>
            <w:vAlign w:val="center"/>
          </w:tcPr>
          <w:p w14:paraId="2525423F" w14:textId="02B165E4" w:rsidR="00920FF9" w:rsidRPr="001B4CA2" w:rsidRDefault="00920FF9" w:rsidP="00206547">
            <w:pPr>
              <w:jc w:val="center"/>
              <w:rPr>
                <w:rFonts w:eastAsia="Times New Roman"/>
                <w:sz w:val="18"/>
                <w:szCs w:val="18"/>
                <w:lang w:eastAsia="hr-HR"/>
              </w:rPr>
            </w:pPr>
          </w:p>
        </w:tc>
        <w:tc>
          <w:tcPr>
            <w:tcW w:w="708" w:type="dxa"/>
            <w:shd w:val="clear" w:color="auto" w:fill="auto"/>
            <w:noWrap/>
            <w:vAlign w:val="center"/>
          </w:tcPr>
          <w:p w14:paraId="216B2928" w14:textId="62595913" w:rsidR="00920FF9" w:rsidRPr="001B4CA2" w:rsidRDefault="00920FF9" w:rsidP="00206547">
            <w:pPr>
              <w:jc w:val="center"/>
              <w:rPr>
                <w:rFonts w:eastAsia="Times New Roman"/>
                <w:sz w:val="18"/>
                <w:szCs w:val="18"/>
                <w:lang w:eastAsia="hr-HR"/>
              </w:rPr>
            </w:pPr>
          </w:p>
        </w:tc>
        <w:tc>
          <w:tcPr>
            <w:tcW w:w="709" w:type="dxa"/>
            <w:shd w:val="clear" w:color="auto" w:fill="auto"/>
            <w:noWrap/>
            <w:vAlign w:val="center"/>
          </w:tcPr>
          <w:p w14:paraId="271694D6" w14:textId="2E566384" w:rsidR="00920FF9" w:rsidRPr="001B4CA2" w:rsidRDefault="00920FF9" w:rsidP="00206547">
            <w:pPr>
              <w:jc w:val="center"/>
              <w:rPr>
                <w:rFonts w:eastAsia="Times New Roman"/>
                <w:sz w:val="18"/>
                <w:szCs w:val="18"/>
                <w:lang w:eastAsia="hr-HR"/>
              </w:rPr>
            </w:pPr>
          </w:p>
        </w:tc>
        <w:tc>
          <w:tcPr>
            <w:tcW w:w="850" w:type="dxa"/>
            <w:shd w:val="clear" w:color="auto" w:fill="auto"/>
            <w:noWrap/>
            <w:vAlign w:val="center"/>
          </w:tcPr>
          <w:p w14:paraId="28589D27" w14:textId="53201422"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33</w:t>
            </w:r>
          </w:p>
        </w:tc>
        <w:tc>
          <w:tcPr>
            <w:tcW w:w="851" w:type="dxa"/>
            <w:shd w:val="clear" w:color="auto" w:fill="auto"/>
            <w:noWrap/>
            <w:vAlign w:val="center"/>
          </w:tcPr>
          <w:p w14:paraId="6A91989D" w14:textId="635E984D"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6</w:t>
            </w:r>
          </w:p>
        </w:tc>
        <w:tc>
          <w:tcPr>
            <w:tcW w:w="642" w:type="dxa"/>
            <w:shd w:val="clear" w:color="auto" w:fill="auto"/>
            <w:noWrap/>
            <w:vAlign w:val="center"/>
          </w:tcPr>
          <w:p w14:paraId="6E98A8C2" w14:textId="58C80530"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4</w:t>
            </w:r>
          </w:p>
        </w:tc>
        <w:tc>
          <w:tcPr>
            <w:tcW w:w="709" w:type="dxa"/>
            <w:shd w:val="clear" w:color="auto" w:fill="auto"/>
            <w:noWrap/>
            <w:vAlign w:val="center"/>
          </w:tcPr>
          <w:p w14:paraId="718EFFA1" w14:textId="490973DB"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3</w:t>
            </w:r>
          </w:p>
        </w:tc>
      </w:tr>
      <w:tr w:rsidR="00920FF9" w:rsidRPr="001B4CA2" w14:paraId="3C57F522" w14:textId="77777777" w:rsidTr="00674FCB">
        <w:trPr>
          <w:trHeight w:val="315"/>
          <w:jc w:val="center"/>
        </w:trPr>
        <w:tc>
          <w:tcPr>
            <w:tcW w:w="858" w:type="dxa"/>
            <w:shd w:val="clear" w:color="auto" w:fill="auto"/>
            <w:noWrap/>
            <w:vAlign w:val="center"/>
          </w:tcPr>
          <w:p w14:paraId="45F35779" w14:textId="21BD82A5" w:rsidR="00920FF9" w:rsidRPr="001B4CA2" w:rsidRDefault="00920FF9" w:rsidP="00206547">
            <w:pPr>
              <w:jc w:val="center"/>
              <w:rPr>
                <w:rFonts w:eastAsia="Times New Roman"/>
                <w:sz w:val="18"/>
                <w:szCs w:val="18"/>
                <w:lang w:eastAsia="hr-HR"/>
              </w:rPr>
            </w:pPr>
            <w:r w:rsidRPr="001B4CA2">
              <w:rPr>
                <w:rFonts w:eastAsia="Times New Roman"/>
                <w:sz w:val="18"/>
                <w:szCs w:val="18"/>
                <w:lang w:eastAsia="hr-HR"/>
              </w:rPr>
              <w:t>202</w:t>
            </w:r>
            <w:r w:rsidR="00674FCB" w:rsidRPr="001B4CA2">
              <w:rPr>
                <w:rFonts w:eastAsia="Times New Roman"/>
                <w:sz w:val="18"/>
                <w:szCs w:val="18"/>
                <w:lang w:eastAsia="hr-HR"/>
              </w:rPr>
              <w:t>2</w:t>
            </w:r>
            <w:r w:rsidRPr="001B4CA2">
              <w:rPr>
                <w:rFonts w:eastAsia="Times New Roman"/>
                <w:sz w:val="18"/>
                <w:szCs w:val="18"/>
                <w:lang w:eastAsia="hr-HR"/>
              </w:rPr>
              <w:t>.</w:t>
            </w:r>
          </w:p>
        </w:tc>
        <w:tc>
          <w:tcPr>
            <w:tcW w:w="851" w:type="dxa"/>
            <w:shd w:val="clear" w:color="auto" w:fill="auto"/>
            <w:noWrap/>
            <w:vAlign w:val="center"/>
          </w:tcPr>
          <w:p w14:paraId="236F9FDD" w14:textId="50496872"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59</w:t>
            </w:r>
          </w:p>
        </w:tc>
        <w:tc>
          <w:tcPr>
            <w:tcW w:w="708" w:type="dxa"/>
            <w:shd w:val="clear" w:color="auto" w:fill="auto"/>
            <w:noWrap/>
            <w:vAlign w:val="center"/>
          </w:tcPr>
          <w:p w14:paraId="0C54B223" w14:textId="1FEFABF9"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72</w:t>
            </w:r>
          </w:p>
        </w:tc>
        <w:tc>
          <w:tcPr>
            <w:tcW w:w="709" w:type="dxa"/>
            <w:shd w:val="clear" w:color="auto" w:fill="auto"/>
            <w:noWrap/>
            <w:vAlign w:val="center"/>
          </w:tcPr>
          <w:p w14:paraId="28429BD1" w14:textId="109B8BD6"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8</w:t>
            </w:r>
          </w:p>
        </w:tc>
        <w:tc>
          <w:tcPr>
            <w:tcW w:w="709" w:type="dxa"/>
            <w:shd w:val="clear" w:color="auto" w:fill="auto"/>
            <w:noWrap/>
            <w:vAlign w:val="center"/>
          </w:tcPr>
          <w:p w14:paraId="1E60761F" w14:textId="6975EC1C" w:rsidR="00920FF9" w:rsidRPr="001B4CA2" w:rsidRDefault="00AB6D2A" w:rsidP="00206547">
            <w:pPr>
              <w:jc w:val="center"/>
              <w:rPr>
                <w:rFonts w:eastAsia="Times New Roman"/>
                <w:sz w:val="18"/>
                <w:szCs w:val="18"/>
                <w:lang w:eastAsia="hr-HR"/>
              </w:rPr>
            </w:pPr>
            <w:r w:rsidRPr="001B4CA2">
              <w:rPr>
                <w:rFonts w:eastAsia="Times New Roman"/>
                <w:sz w:val="18"/>
                <w:szCs w:val="18"/>
                <w:lang w:eastAsia="hr-HR"/>
              </w:rPr>
              <w:t>16</w:t>
            </w:r>
          </w:p>
        </w:tc>
        <w:tc>
          <w:tcPr>
            <w:tcW w:w="709" w:type="dxa"/>
            <w:shd w:val="clear" w:color="auto" w:fill="auto"/>
            <w:noWrap/>
            <w:vAlign w:val="center"/>
          </w:tcPr>
          <w:p w14:paraId="75A04AE4" w14:textId="59445F4B" w:rsidR="00920FF9" w:rsidRPr="001B4CA2" w:rsidRDefault="00920FF9" w:rsidP="00206547">
            <w:pPr>
              <w:jc w:val="center"/>
              <w:rPr>
                <w:rFonts w:eastAsia="Times New Roman"/>
                <w:sz w:val="18"/>
                <w:szCs w:val="18"/>
                <w:lang w:eastAsia="hr-HR"/>
              </w:rPr>
            </w:pPr>
          </w:p>
        </w:tc>
        <w:tc>
          <w:tcPr>
            <w:tcW w:w="708" w:type="dxa"/>
            <w:shd w:val="clear" w:color="auto" w:fill="auto"/>
            <w:noWrap/>
            <w:vAlign w:val="center"/>
          </w:tcPr>
          <w:p w14:paraId="2165FF8C" w14:textId="267107C9" w:rsidR="00920FF9" w:rsidRPr="001B4CA2" w:rsidRDefault="00920FF9" w:rsidP="00206547">
            <w:pPr>
              <w:jc w:val="center"/>
              <w:rPr>
                <w:rFonts w:eastAsia="Times New Roman"/>
                <w:sz w:val="18"/>
                <w:szCs w:val="18"/>
                <w:lang w:eastAsia="hr-HR"/>
              </w:rPr>
            </w:pPr>
          </w:p>
        </w:tc>
        <w:tc>
          <w:tcPr>
            <w:tcW w:w="709" w:type="dxa"/>
            <w:shd w:val="clear" w:color="auto" w:fill="auto"/>
            <w:noWrap/>
            <w:vAlign w:val="center"/>
          </w:tcPr>
          <w:p w14:paraId="610954EE" w14:textId="2B2430CE" w:rsidR="00920FF9" w:rsidRPr="001B4CA2" w:rsidRDefault="00920FF9" w:rsidP="00206547">
            <w:pPr>
              <w:jc w:val="center"/>
              <w:rPr>
                <w:rFonts w:eastAsia="Times New Roman"/>
                <w:sz w:val="18"/>
                <w:szCs w:val="18"/>
                <w:lang w:eastAsia="hr-HR"/>
              </w:rPr>
            </w:pPr>
          </w:p>
        </w:tc>
        <w:tc>
          <w:tcPr>
            <w:tcW w:w="850" w:type="dxa"/>
            <w:shd w:val="clear" w:color="auto" w:fill="auto"/>
            <w:noWrap/>
            <w:vAlign w:val="center"/>
          </w:tcPr>
          <w:p w14:paraId="3E0C1BB5" w14:textId="29E7C34C"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39</w:t>
            </w:r>
          </w:p>
        </w:tc>
        <w:tc>
          <w:tcPr>
            <w:tcW w:w="851" w:type="dxa"/>
            <w:shd w:val="clear" w:color="auto" w:fill="auto"/>
            <w:noWrap/>
            <w:vAlign w:val="center"/>
          </w:tcPr>
          <w:p w14:paraId="718FC225" w14:textId="58BDE3A0"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3</w:t>
            </w:r>
          </w:p>
        </w:tc>
        <w:tc>
          <w:tcPr>
            <w:tcW w:w="642" w:type="dxa"/>
            <w:shd w:val="clear" w:color="auto" w:fill="auto"/>
            <w:noWrap/>
            <w:vAlign w:val="center"/>
          </w:tcPr>
          <w:p w14:paraId="33180C04" w14:textId="09B53F54"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6</w:t>
            </w:r>
          </w:p>
        </w:tc>
        <w:tc>
          <w:tcPr>
            <w:tcW w:w="709" w:type="dxa"/>
            <w:shd w:val="clear" w:color="auto" w:fill="auto"/>
            <w:noWrap/>
            <w:vAlign w:val="center"/>
          </w:tcPr>
          <w:p w14:paraId="3C91B19F" w14:textId="6187234D" w:rsidR="00920FF9" w:rsidRPr="001B4CA2" w:rsidRDefault="00674FCB" w:rsidP="00206547">
            <w:pPr>
              <w:jc w:val="center"/>
              <w:rPr>
                <w:rFonts w:eastAsia="Times New Roman"/>
                <w:sz w:val="18"/>
                <w:szCs w:val="18"/>
                <w:lang w:eastAsia="hr-HR"/>
              </w:rPr>
            </w:pPr>
            <w:r w:rsidRPr="001B4CA2">
              <w:rPr>
                <w:rFonts w:eastAsia="Times New Roman"/>
                <w:sz w:val="18"/>
                <w:szCs w:val="18"/>
                <w:lang w:eastAsia="hr-HR"/>
              </w:rPr>
              <w:t>2</w:t>
            </w:r>
          </w:p>
        </w:tc>
      </w:tr>
    </w:tbl>
    <w:p w14:paraId="5A921335" w14:textId="77777777" w:rsidR="00C13798" w:rsidRPr="001B4CA2" w:rsidRDefault="00C13798" w:rsidP="00C13798"/>
    <w:p w14:paraId="48D245A2" w14:textId="3F744F05" w:rsidR="00674FCB" w:rsidRPr="001B4CA2" w:rsidRDefault="00674FCB" w:rsidP="00674FCB">
      <w:pPr>
        <w:ind w:firstLine="708"/>
      </w:pPr>
      <w:r w:rsidRPr="001B4CA2">
        <w:t>U odnosu na prethodno izvještajno razdoblje u ovom nema značajnijih odstupanja u radu županijskih državnih odvjetništava po zaprimljenim kaznenim prijavama prema maloljetnim počiniteljima kaznenih djela</w:t>
      </w:r>
      <w:r w:rsidR="00166CCE">
        <w:t xml:space="preserve"> </w:t>
      </w:r>
      <w:r w:rsidRPr="001B4CA2">
        <w:t xml:space="preserve">u odnosu na odbačaj kaznene prijave, </w:t>
      </w:r>
      <w:r w:rsidR="00166CCE">
        <w:t>ali</w:t>
      </w:r>
      <w:r w:rsidRPr="001B4CA2">
        <w:t xml:space="preserve"> i u odnosu na broj donesenih rješenja o provođenju pripremnog postupka.</w:t>
      </w:r>
    </w:p>
    <w:p w14:paraId="45C633CA" w14:textId="77777777" w:rsidR="00674FCB" w:rsidRPr="001B4CA2" w:rsidRDefault="00674FCB" w:rsidP="00674FCB"/>
    <w:p w14:paraId="5FBDA15A" w14:textId="17E17FD8" w:rsidR="00674FCB" w:rsidRPr="001B4CA2" w:rsidRDefault="00674FCB" w:rsidP="00674FCB">
      <w:pPr>
        <w:ind w:firstLine="708"/>
      </w:pPr>
      <w:r w:rsidRPr="001B4CA2">
        <w:t xml:space="preserve">Kako županijska nadležnost pokriva kaznena djela za koja je zakonom propisana kazna zatvora preko dvanaest godina ili dugotrajni zatvor, za koja </w:t>
      </w:r>
      <w:r w:rsidR="00166CCE" w:rsidRPr="001B4CA2">
        <w:t xml:space="preserve">je </w:t>
      </w:r>
      <w:r w:rsidRPr="001B4CA2">
        <w:t>kaznena djela Zakonom o sudovima za mladež propisano provođenje pripremnog postupka</w:t>
      </w:r>
      <w:r w:rsidR="00166CCE">
        <w:t>,</w:t>
      </w:r>
      <w:r w:rsidRPr="001B4CA2">
        <w:t xml:space="preserve"> u nadležnosti ovih državnih odvjetništava nema primjene </w:t>
      </w:r>
      <w:proofErr w:type="spellStart"/>
      <w:r w:rsidRPr="001B4CA2">
        <w:t>oportuniteta</w:t>
      </w:r>
      <w:proofErr w:type="spellEnd"/>
      <w:r w:rsidRPr="001B4CA2">
        <w:t xml:space="preserve"> iz članka 71., 72. i 73. Zakona o sudovima za mladež niti se provodi istraživanje.</w:t>
      </w:r>
    </w:p>
    <w:p w14:paraId="4F1CB485" w14:textId="77777777" w:rsidR="00AC6803" w:rsidRPr="001B4CA2" w:rsidRDefault="00AC6803" w:rsidP="00C13798"/>
    <w:p w14:paraId="32B6F2B6" w14:textId="0E02ACDE" w:rsidR="00C45F97" w:rsidRPr="001B4CA2" w:rsidRDefault="00BB4D48" w:rsidP="007F746A">
      <w:pPr>
        <w:pStyle w:val="Naslov4"/>
        <w:tabs>
          <w:tab w:val="left" w:pos="993"/>
        </w:tabs>
        <w:ind w:left="567"/>
        <w:rPr>
          <w:rFonts w:ascii="Arial" w:hAnsi="Arial" w:cs="Arial"/>
        </w:rPr>
      </w:pPr>
      <w:bookmarkStart w:id="77" w:name="_Toc133394337"/>
      <w:r w:rsidRPr="001B4CA2">
        <w:rPr>
          <w:rFonts w:ascii="Arial" w:hAnsi="Arial" w:cs="Arial"/>
        </w:rPr>
        <w:t xml:space="preserve">Istrage </w:t>
      </w:r>
      <w:r w:rsidR="00CE234E" w:rsidRPr="001B4CA2">
        <w:rPr>
          <w:rFonts w:ascii="Arial" w:hAnsi="Arial" w:cs="Arial"/>
        </w:rPr>
        <w:t>i odluke po dovršenoj istrazi</w:t>
      </w:r>
      <w:bookmarkEnd w:id="77"/>
    </w:p>
    <w:p w14:paraId="54D2FBC2" w14:textId="77777777" w:rsidR="006E12F8" w:rsidRPr="001B4CA2" w:rsidRDefault="006E12F8" w:rsidP="006E12F8"/>
    <w:p w14:paraId="3D11153F" w14:textId="678DA814" w:rsidR="006E12F8" w:rsidRPr="001B4CA2" w:rsidRDefault="006E12F8" w:rsidP="00F452E6">
      <w:pPr>
        <w:ind w:left="709"/>
        <w:rPr>
          <w:i/>
        </w:rPr>
      </w:pPr>
      <w:r w:rsidRPr="001B4CA2">
        <w:rPr>
          <w:i/>
        </w:rPr>
        <w:t>Odluke po dovršenoj istrazi (bez maloljetnih osoba)</w:t>
      </w:r>
    </w:p>
    <w:tbl>
      <w:tblPr>
        <w:tblW w:w="7854" w:type="dxa"/>
        <w:tblInd w:w="7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6"/>
        <w:gridCol w:w="937"/>
        <w:gridCol w:w="1064"/>
        <w:gridCol w:w="1115"/>
        <w:gridCol w:w="964"/>
        <w:gridCol w:w="992"/>
        <w:gridCol w:w="909"/>
        <w:gridCol w:w="937"/>
      </w:tblGrid>
      <w:tr w:rsidR="00532C41" w:rsidRPr="001B4CA2" w14:paraId="0B5FAB60" w14:textId="77777777" w:rsidTr="001206B2">
        <w:trPr>
          <w:trHeight w:val="315"/>
        </w:trPr>
        <w:tc>
          <w:tcPr>
            <w:tcW w:w="936" w:type="dxa"/>
            <w:vMerge w:val="restart"/>
            <w:shd w:val="clear" w:color="auto" w:fill="99CCFF"/>
            <w:vAlign w:val="center"/>
            <w:hideMark/>
          </w:tcPr>
          <w:p w14:paraId="0E925AAF"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Godina</w:t>
            </w:r>
          </w:p>
        </w:tc>
        <w:tc>
          <w:tcPr>
            <w:tcW w:w="937" w:type="dxa"/>
            <w:vMerge w:val="restart"/>
            <w:shd w:val="clear" w:color="auto" w:fill="99CCFF"/>
            <w:vAlign w:val="center"/>
            <w:hideMark/>
          </w:tcPr>
          <w:p w14:paraId="1FAD91F1"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Ukupno u radu</w:t>
            </w:r>
          </w:p>
        </w:tc>
        <w:tc>
          <w:tcPr>
            <w:tcW w:w="5044" w:type="dxa"/>
            <w:gridSpan w:val="5"/>
            <w:shd w:val="clear" w:color="auto" w:fill="99CCFF"/>
            <w:noWrap/>
            <w:vAlign w:val="center"/>
            <w:hideMark/>
          </w:tcPr>
          <w:p w14:paraId="60C47E06"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ODLUKE</w:t>
            </w:r>
          </w:p>
        </w:tc>
        <w:tc>
          <w:tcPr>
            <w:tcW w:w="937" w:type="dxa"/>
            <w:vMerge w:val="restart"/>
            <w:shd w:val="clear" w:color="auto" w:fill="99CCFF"/>
            <w:noWrap/>
            <w:vAlign w:val="center"/>
            <w:hideMark/>
          </w:tcPr>
          <w:p w14:paraId="6D23A436"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Ostalo u radu</w:t>
            </w:r>
          </w:p>
        </w:tc>
      </w:tr>
      <w:tr w:rsidR="00532C41" w:rsidRPr="001B4CA2" w14:paraId="4C960529" w14:textId="77777777" w:rsidTr="001206B2">
        <w:trPr>
          <w:trHeight w:val="495"/>
        </w:trPr>
        <w:tc>
          <w:tcPr>
            <w:tcW w:w="936" w:type="dxa"/>
            <w:vMerge/>
            <w:vAlign w:val="center"/>
            <w:hideMark/>
          </w:tcPr>
          <w:p w14:paraId="703E29CF" w14:textId="77777777" w:rsidR="006E12F8" w:rsidRPr="001B4CA2" w:rsidRDefault="006E12F8" w:rsidP="006E12F8">
            <w:pPr>
              <w:jc w:val="left"/>
              <w:rPr>
                <w:rFonts w:eastAsia="Times New Roman"/>
                <w:sz w:val="18"/>
                <w:szCs w:val="18"/>
                <w:lang w:eastAsia="hr-HR"/>
              </w:rPr>
            </w:pPr>
          </w:p>
        </w:tc>
        <w:tc>
          <w:tcPr>
            <w:tcW w:w="937" w:type="dxa"/>
            <w:vMerge/>
            <w:vAlign w:val="center"/>
            <w:hideMark/>
          </w:tcPr>
          <w:p w14:paraId="1BD6E349" w14:textId="77777777" w:rsidR="006E12F8" w:rsidRPr="001B4CA2" w:rsidRDefault="006E12F8" w:rsidP="006E12F8">
            <w:pPr>
              <w:jc w:val="left"/>
              <w:rPr>
                <w:rFonts w:eastAsia="Times New Roman"/>
                <w:sz w:val="18"/>
                <w:szCs w:val="18"/>
                <w:lang w:eastAsia="hr-HR"/>
              </w:rPr>
            </w:pPr>
          </w:p>
        </w:tc>
        <w:tc>
          <w:tcPr>
            <w:tcW w:w="1064" w:type="dxa"/>
            <w:shd w:val="clear" w:color="auto" w:fill="99CCFF"/>
            <w:vAlign w:val="center"/>
            <w:hideMark/>
          </w:tcPr>
          <w:p w14:paraId="1DDA2F61"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Obustava</w:t>
            </w:r>
          </w:p>
        </w:tc>
        <w:tc>
          <w:tcPr>
            <w:tcW w:w="1115" w:type="dxa"/>
            <w:shd w:val="clear" w:color="auto" w:fill="99CCFF"/>
            <w:vAlign w:val="center"/>
            <w:hideMark/>
          </w:tcPr>
          <w:p w14:paraId="56585722"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Optužnica</w:t>
            </w:r>
          </w:p>
        </w:tc>
        <w:tc>
          <w:tcPr>
            <w:tcW w:w="964" w:type="dxa"/>
            <w:shd w:val="clear" w:color="auto" w:fill="99CCFF"/>
            <w:vAlign w:val="center"/>
            <w:hideMark/>
          </w:tcPr>
          <w:p w14:paraId="1613845A"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Ustup</w:t>
            </w:r>
          </w:p>
        </w:tc>
        <w:tc>
          <w:tcPr>
            <w:tcW w:w="992" w:type="dxa"/>
            <w:shd w:val="clear" w:color="auto" w:fill="99CCFF"/>
            <w:vAlign w:val="center"/>
            <w:hideMark/>
          </w:tcPr>
          <w:p w14:paraId="05C931BD"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Riješeno na drugi način</w:t>
            </w:r>
          </w:p>
        </w:tc>
        <w:tc>
          <w:tcPr>
            <w:tcW w:w="909" w:type="dxa"/>
            <w:shd w:val="clear" w:color="auto" w:fill="99CCFF"/>
            <w:vAlign w:val="center"/>
            <w:hideMark/>
          </w:tcPr>
          <w:p w14:paraId="1285C640"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Ukupno odluka</w:t>
            </w:r>
          </w:p>
        </w:tc>
        <w:tc>
          <w:tcPr>
            <w:tcW w:w="937" w:type="dxa"/>
            <w:vMerge/>
            <w:vAlign w:val="center"/>
            <w:hideMark/>
          </w:tcPr>
          <w:p w14:paraId="31134DA2" w14:textId="77777777" w:rsidR="006E12F8" w:rsidRPr="001B4CA2" w:rsidRDefault="006E12F8" w:rsidP="006E12F8">
            <w:pPr>
              <w:jc w:val="left"/>
              <w:rPr>
                <w:rFonts w:eastAsia="Times New Roman"/>
                <w:sz w:val="18"/>
                <w:szCs w:val="18"/>
                <w:lang w:eastAsia="hr-HR"/>
              </w:rPr>
            </w:pPr>
          </w:p>
        </w:tc>
      </w:tr>
      <w:tr w:rsidR="002E7BEA" w:rsidRPr="001B4CA2" w14:paraId="19C41DD7" w14:textId="77777777" w:rsidTr="001206B2">
        <w:trPr>
          <w:trHeight w:val="300"/>
        </w:trPr>
        <w:tc>
          <w:tcPr>
            <w:tcW w:w="936" w:type="dxa"/>
            <w:shd w:val="clear" w:color="auto" w:fill="auto"/>
            <w:noWrap/>
            <w:vAlign w:val="center"/>
          </w:tcPr>
          <w:p w14:paraId="3250D069" w14:textId="09C4F3A6" w:rsidR="002E7BEA" w:rsidRPr="001B4CA2" w:rsidRDefault="002E7BEA" w:rsidP="002D4597">
            <w:pPr>
              <w:jc w:val="center"/>
              <w:rPr>
                <w:rFonts w:eastAsia="Times New Roman"/>
                <w:sz w:val="18"/>
                <w:szCs w:val="18"/>
                <w:lang w:eastAsia="hr-HR"/>
              </w:rPr>
            </w:pPr>
            <w:r w:rsidRPr="001B4CA2">
              <w:rPr>
                <w:rFonts w:eastAsia="Times New Roman"/>
                <w:sz w:val="18"/>
                <w:szCs w:val="18"/>
                <w:lang w:eastAsia="hr-HR"/>
              </w:rPr>
              <w:t>201</w:t>
            </w:r>
            <w:r w:rsidR="00F874F5" w:rsidRPr="001B4CA2">
              <w:rPr>
                <w:rFonts w:eastAsia="Times New Roman"/>
                <w:sz w:val="18"/>
                <w:szCs w:val="18"/>
                <w:lang w:eastAsia="hr-HR"/>
              </w:rPr>
              <w:t>8</w:t>
            </w:r>
            <w:r w:rsidRPr="001B4CA2">
              <w:rPr>
                <w:rFonts w:eastAsia="Times New Roman"/>
                <w:sz w:val="18"/>
                <w:szCs w:val="18"/>
                <w:lang w:eastAsia="hr-HR"/>
              </w:rPr>
              <w:t>.</w:t>
            </w:r>
          </w:p>
        </w:tc>
        <w:tc>
          <w:tcPr>
            <w:tcW w:w="937" w:type="dxa"/>
            <w:shd w:val="clear" w:color="auto" w:fill="auto"/>
            <w:noWrap/>
            <w:vAlign w:val="center"/>
          </w:tcPr>
          <w:p w14:paraId="61580FCE" w14:textId="3E87F806" w:rsidR="002E7BEA" w:rsidRPr="001B4CA2" w:rsidRDefault="002E7BEA" w:rsidP="002D4597">
            <w:pPr>
              <w:jc w:val="center"/>
              <w:rPr>
                <w:rFonts w:eastAsia="Times New Roman"/>
                <w:sz w:val="18"/>
                <w:szCs w:val="18"/>
                <w:lang w:eastAsia="hr-HR"/>
              </w:rPr>
            </w:pPr>
          </w:p>
        </w:tc>
        <w:tc>
          <w:tcPr>
            <w:tcW w:w="1064" w:type="dxa"/>
            <w:shd w:val="clear" w:color="auto" w:fill="auto"/>
            <w:noWrap/>
            <w:vAlign w:val="center"/>
          </w:tcPr>
          <w:p w14:paraId="0A632C81" w14:textId="4F7821CE"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67</w:t>
            </w:r>
          </w:p>
        </w:tc>
        <w:tc>
          <w:tcPr>
            <w:tcW w:w="1115" w:type="dxa"/>
            <w:shd w:val="clear" w:color="auto" w:fill="auto"/>
            <w:noWrap/>
            <w:vAlign w:val="center"/>
          </w:tcPr>
          <w:p w14:paraId="19AEFC19" w14:textId="73428AA4"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447</w:t>
            </w:r>
          </w:p>
        </w:tc>
        <w:tc>
          <w:tcPr>
            <w:tcW w:w="964" w:type="dxa"/>
            <w:shd w:val="clear" w:color="auto" w:fill="auto"/>
            <w:noWrap/>
            <w:vAlign w:val="center"/>
          </w:tcPr>
          <w:p w14:paraId="690A1D80" w14:textId="0142D8FF" w:rsidR="002E7BEA" w:rsidRPr="001B4CA2" w:rsidRDefault="002E7BEA" w:rsidP="002D4597">
            <w:pPr>
              <w:jc w:val="center"/>
              <w:rPr>
                <w:rFonts w:eastAsia="Times New Roman"/>
                <w:sz w:val="18"/>
                <w:szCs w:val="18"/>
                <w:lang w:eastAsia="hr-HR"/>
              </w:rPr>
            </w:pPr>
          </w:p>
        </w:tc>
        <w:tc>
          <w:tcPr>
            <w:tcW w:w="992" w:type="dxa"/>
            <w:shd w:val="clear" w:color="auto" w:fill="auto"/>
            <w:noWrap/>
            <w:vAlign w:val="center"/>
          </w:tcPr>
          <w:p w14:paraId="441AB036" w14:textId="01F70868"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30</w:t>
            </w:r>
          </w:p>
        </w:tc>
        <w:tc>
          <w:tcPr>
            <w:tcW w:w="909" w:type="dxa"/>
            <w:shd w:val="clear" w:color="auto" w:fill="auto"/>
            <w:noWrap/>
            <w:vAlign w:val="center"/>
          </w:tcPr>
          <w:p w14:paraId="4EE6D2FF" w14:textId="7C8B67CE" w:rsidR="002E7BEA" w:rsidRPr="001B4CA2" w:rsidRDefault="002E7BEA" w:rsidP="002D4597">
            <w:pPr>
              <w:jc w:val="center"/>
              <w:rPr>
                <w:rFonts w:eastAsia="Times New Roman"/>
                <w:sz w:val="18"/>
                <w:szCs w:val="18"/>
                <w:lang w:eastAsia="hr-HR"/>
              </w:rPr>
            </w:pPr>
          </w:p>
        </w:tc>
        <w:tc>
          <w:tcPr>
            <w:tcW w:w="937" w:type="dxa"/>
            <w:shd w:val="clear" w:color="auto" w:fill="auto"/>
            <w:noWrap/>
            <w:vAlign w:val="center"/>
          </w:tcPr>
          <w:p w14:paraId="08395024" w14:textId="0B1A3A62" w:rsidR="002E7BEA" w:rsidRPr="001B4CA2" w:rsidRDefault="002E7BEA" w:rsidP="002D4597">
            <w:pPr>
              <w:jc w:val="center"/>
              <w:rPr>
                <w:rFonts w:eastAsia="Times New Roman"/>
                <w:sz w:val="18"/>
                <w:szCs w:val="18"/>
                <w:lang w:eastAsia="hr-HR"/>
              </w:rPr>
            </w:pPr>
          </w:p>
        </w:tc>
      </w:tr>
      <w:tr w:rsidR="002E7BEA" w:rsidRPr="001B4CA2" w14:paraId="79CD3A06" w14:textId="77777777" w:rsidTr="001206B2">
        <w:trPr>
          <w:trHeight w:val="300"/>
        </w:trPr>
        <w:tc>
          <w:tcPr>
            <w:tcW w:w="936" w:type="dxa"/>
            <w:shd w:val="clear" w:color="auto" w:fill="auto"/>
            <w:noWrap/>
            <w:vAlign w:val="center"/>
            <w:hideMark/>
          </w:tcPr>
          <w:p w14:paraId="13B993C1" w14:textId="6E3F3EB6" w:rsidR="002E7BEA" w:rsidRPr="001B4CA2" w:rsidRDefault="002E7BEA" w:rsidP="002D4597">
            <w:pPr>
              <w:jc w:val="center"/>
              <w:rPr>
                <w:rFonts w:eastAsia="Times New Roman"/>
                <w:sz w:val="18"/>
                <w:szCs w:val="18"/>
                <w:lang w:eastAsia="hr-HR"/>
              </w:rPr>
            </w:pPr>
            <w:r w:rsidRPr="001B4CA2">
              <w:rPr>
                <w:rFonts w:eastAsia="Times New Roman"/>
                <w:sz w:val="18"/>
                <w:szCs w:val="18"/>
                <w:lang w:eastAsia="hr-HR"/>
              </w:rPr>
              <w:t>201</w:t>
            </w:r>
            <w:r w:rsidR="00F874F5" w:rsidRPr="001B4CA2">
              <w:rPr>
                <w:rFonts w:eastAsia="Times New Roman"/>
                <w:sz w:val="18"/>
                <w:szCs w:val="18"/>
                <w:lang w:eastAsia="hr-HR"/>
              </w:rPr>
              <w:t>9</w:t>
            </w:r>
            <w:r w:rsidRPr="001B4CA2">
              <w:rPr>
                <w:rFonts w:eastAsia="Times New Roman"/>
                <w:sz w:val="18"/>
                <w:szCs w:val="18"/>
                <w:lang w:eastAsia="hr-HR"/>
              </w:rPr>
              <w:t>.</w:t>
            </w:r>
          </w:p>
        </w:tc>
        <w:tc>
          <w:tcPr>
            <w:tcW w:w="937" w:type="dxa"/>
            <w:shd w:val="clear" w:color="auto" w:fill="auto"/>
            <w:noWrap/>
            <w:vAlign w:val="center"/>
            <w:hideMark/>
          </w:tcPr>
          <w:p w14:paraId="51661400" w14:textId="083E79E0" w:rsidR="002E7BEA" w:rsidRPr="001B4CA2" w:rsidRDefault="002E7BEA" w:rsidP="002D4597">
            <w:pPr>
              <w:jc w:val="center"/>
              <w:rPr>
                <w:rFonts w:eastAsia="Times New Roman"/>
                <w:sz w:val="18"/>
                <w:szCs w:val="18"/>
                <w:lang w:eastAsia="hr-HR"/>
              </w:rPr>
            </w:pPr>
          </w:p>
        </w:tc>
        <w:tc>
          <w:tcPr>
            <w:tcW w:w="1064" w:type="dxa"/>
            <w:shd w:val="clear" w:color="auto" w:fill="auto"/>
            <w:noWrap/>
            <w:vAlign w:val="center"/>
            <w:hideMark/>
          </w:tcPr>
          <w:p w14:paraId="541A2961" w14:textId="2DA90ED7"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109</w:t>
            </w:r>
          </w:p>
        </w:tc>
        <w:tc>
          <w:tcPr>
            <w:tcW w:w="1115" w:type="dxa"/>
            <w:shd w:val="clear" w:color="auto" w:fill="auto"/>
            <w:noWrap/>
            <w:vAlign w:val="center"/>
            <w:hideMark/>
          </w:tcPr>
          <w:p w14:paraId="0AB23EDD" w14:textId="1C83C2B9"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511</w:t>
            </w:r>
          </w:p>
        </w:tc>
        <w:tc>
          <w:tcPr>
            <w:tcW w:w="964" w:type="dxa"/>
            <w:shd w:val="clear" w:color="auto" w:fill="auto"/>
            <w:noWrap/>
            <w:vAlign w:val="center"/>
            <w:hideMark/>
          </w:tcPr>
          <w:p w14:paraId="732268D7" w14:textId="5FD649A9" w:rsidR="002E7BEA" w:rsidRPr="001B4CA2" w:rsidRDefault="002E7BEA" w:rsidP="002D4597">
            <w:pPr>
              <w:jc w:val="center"/>
              <w:rPr>
                <w:rFonts w:eastAsia="Times New Roman"/>
                <w:sz w:val="18"/>
                <w:szCs w:val="18"/>
                <w:lang w:eastAsia="hr-HR"/>
              </w:rPr>
            </w:pPr>
          </w:p>
        </w:tc>
        <w:tc>
          <w:tcPr>
            <w:tcW w:w="992" w:type="dxa"/>
            <w:shd w:val="clear" w:color="auto" w:fill="auto"/>
            <w:noWrap/>
            <w:vAlign w:val="center"/>
            <w:hideMark/>
          </w:tcPr>
          <w:p w14:paraId="0A1D0807" w14:textId="4CA9CF5E"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28</w:t>
            </w:r>
          </w:p>
        </w:tc>
        <w:tc>
          <w:tcPr>
            <w:tcW w:w="909" w:type="dxa"/>
            <w:shd w:val="clear" w:color="auto" w:fill="auto"/>
            <w:noWrap/>
            <w:vAlign w:val="center"/>
            <w:hideMark/>
          </w:tcPr>
          <w:p w14:paraId="16C9BB0E" w14:textId="3AD4B694" w:rsidR="002E7BEA" w:rsidRPr="001B4CA2" w:rsidRDefault="002E7BEA" w:rsidP="002D4597">
            <w:pPr>
              <w:jc w:val="center"/>
              <w:rPr>
                <w:rFonts w:eastAsia="Times New Roman"/>
                <w:sz w:val="18"/>
                <w:szCs w:val="18"/>
                <w:lang w:eastAsia="hr-HR"/>
              </w:rPr>
            </w:pPr>
          </w:p>
        </w:tc>
        <w:tc>
          <w:tcPr>
            <w:tcW w:w="937" w:type="dxa"/>
            <w:shd w:val="clear" w:color="auto" w:fill="auto"/>
            <w:noWrap/>
            <w:vAlign w:val="center"/>
            <w:hideMark/>
          </w:tcPr>
          <w:p w14:paraId="5419B8A3" w14:textId="0D6D31F9" w:rsidR="002E7BEA" w:rsidRPr="001B4CA2" w:rsidRDefault="002E7BEA" w:rsidP="002D4597">
            <w:pPr>
              <w:jc w:val="center"/>
              <w:rPr>
                <w:rFonts w:eastAsia="Times New Roman"/>
                <w:sz w:val="18"/>
                <w:szCs w:val="18"/>
                <w:lang w:eastAsia="hr-HR"/>
              </w:rPr>
            </w:pPr>
          </w:p>
        </w:tc>
      </w:tr>
      <w:tr w:rsidR="002E7BEA" w:rsidRPr="001B4CA2" w14:paraId="1CE859BD" w14:textId="77777777" w:rsidTr="001206B2">
        <w:trPr>
          <w:trHeight w:val="300"/>
        </w:trPr>
        <w:tc>
          <w:tcPr>
            <w:tcW w:w="936" w:type="dxa"/>
            <w:shd w:val="clear" w:color="auto" w:fill="auto"/>
            <w:noWrap/>
            <w:vAlign w:val="center"/>
            <w:hideMark/>
          </w:tcPr>
          <w:p w14:paraId="5137FF33" w14:textId="2A4F0DAB" w:rsidR="002E7BEA" w:rsidRPr="001B4CA2" w:rsidRDefault="002E7BEA" w:rsidP="002D4597">
            <w:pPr>
              <w:jc w:val="center"/>
              <w:rPr>
                <w:rFonts w:eastAsia="Times New Roman"/>
                <w:sz w:val="18"/>
                <w:szCs w:val="18"/>
                <w:lang w:eastAsia="hr-HR"/>
              </w:rPr>
            </w:pPr>
            <w:r w:rsidRPr="001B4CA2">
              <w:rPr>
                <w:rFonts w:eastAsia="Times New Roman"/>
                <w:sz w:val="18"/>
                <w:szCs w:val="18"/>
                <w:lang w:eastAsia="hr-HR"/>
              </w:rPr>
              <w:t>20</w:t>
            </w:r>
            <w:r w:rsidR="00F874F5" w:rsidRPr="001B4CA2">
              <w:rPr>
                <w:rFonts w:eastAsia="Times New Roman"/>
                <w:sz w:val="18"/>
                <w:szCs w:val="18"/>
                <w:lang w:eastAsia="hr-HR"/>
              </w:rPr>
              <w:t>20</w:t>
            </w:r>
            <w:r w:rsidRPr="001B4CA2">
              <w:rPr>
                <w:rFonts w:eastAsia="Times New Roman"/>
                <w:sz w:val="18"/>
                <w:szCs w:val="18"/>
                <w:lang w:eastAsia="hr-HR"/>
              </w:rPr>
              <w:t>.</w:t>
            </w:r>
          </w:p>
        </w:tc>
        <w:tc>
          <w:tcPr>
            <w:tcW w:w="937" w:type="dxa"/>
            <w:shd w:val="clear" w:color="auto" w:fill="auto"/>
            <w:noWrap/>
            <w:vAlign w:val="center"/>
            <w:hideMark/>
          </w:tcPr>
          <w:p w14:paraId="6C462D81" w14:textId="1CF3D9F2"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1.358</w:t>
            </w:r>
          </w:p>
        </w:tc>
        <w:tc>
          <w:tcPr>
            <w:tcW w:w="1064" w:type="dxa"/>
            <w:shd w:val="clear" w:color="auto" w:fill="auto"/>
            <w:noWrap/>
            <w:vAlign w:val="center"/>
            <w:hideMark/>
          </w:tcPr>
          <w:p w14:paraId="5B4C8FDE" w14:textId="49300606"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94</w:t>
            </w:r>
          </w:p>
        </w:tc>
        <w:tc>
          <w:tcPr>
            <w:tcW w:w="1115" w:type="dxa"/>
            <w:shd w:val="clear" w:color="auto" w:fill="auto"/>
            <w:noWrap/>
            <w:vAlign w:val="center"/>
            <w:hideMark/>
          </w:tcPr>
          <w:p w14:paraId="233827F8" w14:textId="5D0EAE43"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524</w:t>
            </w:r>
          </w:p>
        </w:tc>
        <w:tc>
          <w:tcPr>
            <w:tcW w:w="964" w:type="dxa"/>
            <w:shd w:val="clear" w:color="auto" w:fill="auto"/>
            <w:noWrap/>
            <w:vAlign w:val="center"/>
            <w:hideMark/>
          </w:tcPr>
          <w:p w14:paraId="3C621349" w14:textId="3F8D00CF"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41</w:t>
            </w:r>
          </w:p>
        </w:tc>
        <w:tc>
          <w:tcPr>
            <w:tcW w:w="992" w:type="dxa"/>
            <w:shd w:val="clear" w:color="auto" w:fill="auto"/>
            <w:noWrap/>
            <w:vAlign w:val="center"/>
            <w:hideMark/>
          </w:tcPr>
          <w:p w14:paraId="198AA838" w14:textId="72D5BE81"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6</w:t>
            </w:r>
            <w:r w:rsidR="002E7BEA" w:rsidRPr="001B4CA2">
              <w:rPr>
                <w:rFonts w:eastAsia="Times New Roman"/>
                <w:sz w:val="18"/>
                <w:szCs w:val="18"/>
                <w:lang w:eastAsia="hr-HR"/>
              </w:rPr>
              <w:t>8</w:t>
            </w:r>
          </w:p>
        </w:tc>
        <w:tc>
          <w:tcPr>
            <w:tcW w:w="909" w:type="dxa"/>
            <w:shd w:val="clear" w:color="auto" w:fill="auto"/>
            <w:noWrap/>
            <w:vAlign w:val="center"/>
            <w:hideMark/>
          </w:tcPr>
          <w:p w14:paraId="776437DE" w14:textId="22CEEDE6"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727</w:t>
            </w:r>
          </w:p>
        </w:tc>
        <w:tc>
          <w:tcPr>
            <w:tcW w:w="937" w:type="dxa"/>
            <w:shd w:val="clear" w:color="auto" w:fill="auto"/>
            <w:noWrap/>
            <w:vAlign w:val="center"/>
            <w:hideMark/>
          </w:tcPr>
          <w:p w14:paraId="5AC04372" w14:textId="248CFA5C"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631</w:t>
            </w:r>
          </w:p>
        </w:tc>
      </w:tr>
      <w:tr w:rsidR="002E7BEA" w:rsidRPr="001B4CA2" w14:paraId="3D4C4FE9" w14:textId="77777777" w:rsidTr="001206B2">
        <w:trPr>
          <w:trHeight w:val="300"/>
        </w:trPr>
        <w:tc>
          <w:tcPr>
            <w:tcW w:w="936" w:type="dxa"/>
            <w:shd w:val="clear" w:color="auto" w:fill="auto"/>
            <w:noWrap/>
            <w:vAlign w:val="center"/>
            <w:hideMark/>
          </w:tcPr>
          <w:p w14:paraId="18C75BAA" w14:textId="4A48003F" w:rsidR="002E7BEA" w:rsidRPr="001B4CA2" w:rsidRDefault="002E7BEA" w:rsidP="002D4597">
            <w:pPr>
              <w:jc w:val="center"/>
              <w:rPr>
                <w:rFonts w:eastAsia="Times New Roman"/>
                <w:sz w:val="18"/>
                <w:szCs w:val="18"/>
                <w:lang w:eastAsia="hr-HR"/>
              </w:rPr>
            </w:pPr>
            <w:r w:rsidRPr="001B4CA2">
              <w:rPr>
                <w:rFonts w:eastAsia="Times New Roman"/>
                <w:sz w:val="18"/>
                <w:szCs w:val="18"/>
                <w:lang w:eastAsia="hr-HR"/>
              </w:rPr>
              <w:t>202</w:t>
            </w:r>
            <w:r w:rsidR="00F874F5" w:rsidRPr="001B4CA2">
              <w:rPr>
                <w:rFonts w:eastAsia="Times New Roman"/>
                <w:sz w:val="18"/>
                <w:szCs w:val="18"/>
                <w:lang w:eastAsia="hr-HR"/>
              </w:rPr>
              <w:t>1</w:t>
            </w:r>
            <w:r w:rsidRPr="001B4CA2">
              <w:rPr>
                <w:rFonts w:eastAsia="Times New Roman"/>
                <w:sz w:val="18"/>
                <w:szCs w:val="18"/>
                <w:lang w:eastAsia="hr-HR"/>
              </w:rPr>
              <w:t>.</w:t>
            </w:r>
          </w:p>
        </w:tc>
        <w:tc>
          <w:tcPr>
            <w:tcW w:w="937" w:type="dxa"/>
            <w:shd w:val="clear" w:color="auto" w:fill="auto"/>
            <w:noWrap/>
            <w:vAlign w:val="center"/>
            <w:hideMark/>
          </w:tcPr>
          <w:p w14:paraId="33143E7C" w14:textId="404BFBB1" w:rsidR="002E7BEA" w:rsidRPr="001B4CA2" w:rsidRDefault="002E7BEA" w:rsidP="002D4597">
            <w:pPr>
              <w:jc w:val="center"/>
              <w:rPr>
                <w:rFonts w:eastAsia="Times New Roman"/>
                <w:sz w:val="18"/>
                <w:szCs w:val="18"/>
                <w:lang w:eastAsia="hr-HR"/>
              </w:rPr>
            </w:pPr>
            <w:r w:rsidRPr="001B4CA2">
              <w:rPr>
                <w:rFonts w:eastAsia="Times New Roman"/>
                <w:sz w:val="18"/>
                <w:szCs w:val="18"/>
                <w:lang w:eastAsia="hr-HR"/>
              </w:rPr>
              <w:t>1.</w:t>
            </w:r>
            <w:r w:rsidR="00F874F5" w:rsidRPr="001B4CA2">
              <w:rPr>
                <w:rFonts w:eastAsia="Times New Roman"/>
                <w:sz w:val="18"/>
                <w:szCs w:val="18"/>
                <w:lang w:eastAsia="hr-HR"/>
              </w:rPr>
              <w:t>386</w:t>
            </w:r>
          </w:p>
        </w:tc>
        <w:tc>
          <w:tcPr>
            <w:tcW w:w="1064" w:type="dxa"/>
            <w:shd w:val="clear" w:color="auto" w:fill="auto"/>
            <w:noWrap/>
            <w:vAlign w:val="center"/>
            <w:hideMark/>
          </w:tcPr>
          <w:p w14:paraId="2AADD797" w14:textId="2283CDB3"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168</w:t>
            </w:r>
          </w:p>
        </w:tc>
        <w:tc>
          <w:tcPr>
            <w:tcW w:w="1115" w:type="dxa"/>
            <w:shd w:val="clear" w:color="auto" w:fill="auto"/>
            <w:noWrap/>
            <w:vAlign w:val="center"/>
            <w:hideMark/>
          </w:tcPr>
          <w:p w14:paraId="6A348CB3" w14:textId="5F42D22F"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603</w:t>
            </w:r>
          </w:p>
        </w:tc>
        <w:tc>
          <w:tcPr>
            <w:tcW w:w="964" w:type="dxa"/>
            <w:shd w:val="clear" w:color="auto" w:fill="auto"/>
            <w:noWrap/>
            <w:vAlign w:val="center"/>
            <w:hideMark/>
          </w:tcPr>
          <w:p w14:paraId="7D06AEDA" w14:textId="18E8BC43"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22</w:t>
            </w:r>
          </w:p>
        </w:tc>
        <w:tc>
          <w:tcPr>
            <w:tcW w:w="992" w:type="dxa"/>
            <w:shd w:val="clear" w:color="auto" w:fill="auto"/>
            <w:noWrap/>
            <w:vAlign w:val="center"/>
            <w:hideMark/>
          </w:tcPr>
          <w:p w14:paraId="046EDCC2" w14:textId="63DF9DC9"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18</w:t>
            </w:r>
          </w:p>
        </w:tc>
        <w:tc>
          <w:tcPr>
            <w:tcW w:w="909" w:type="dxa"/>
            <w:shd w:val="clear" w:color="auto" w:fill="auto"/>
            <w:noWrap/>
            <w:vAlign w:val="center"/>
            <w:hideMark/>
          </w:tcPr>
          <w:p w14:paraId="2C179FD2" w14:textId="183DA2F7"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811</w:t>
            </w:r>
          </w:p>
        </w:tc>
        <w:tc>
          <w:tcPr>
            <w:tcW w:w="937" w:type="dxa"/>
            <w:shd w:val="clear" w:color="auto" w:fill="auto"/>
            <w:noWrap/>
            <w:vAlign w:val="center"/>
            <w:hideMark/>
          </w:tcPr>
          <w:p w14:paraId="215B0E9D" w14:textId="7C171414"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575</w:t>
            </w:r>
          </w:p>
        </w:tc>
      </w:tr>
      <w:tr w:rsidR="002E7BEA" w:rsidRPr="001B4CA2" w14:paraId="503208D6" w14:textId="77777777" w:rsidTr="001206B2">
        <w:trPr>
          <w:trHeight w:val="315"/>
        </w:trPr>
        <w:tc>
          <w:tcPr>
            <w:tcW w:w="936" w:type="dxa"/>
            <w:shd w:val="clear" w:color="auto" w:fill="auto"/>
            <w:noWrap/>
            <w:vAlign w:val="center"/>
          </w:tcPr>
          <w:p w14:paraId="33A2844C" w14:textId="3E8013D1" w:rsidR="002E7BEA" w:rsidRPr="001B4CA2" w:rsidRDefault="002E7BEA" w:rsidP="002D4597">
            <w:pPr>
              <w:jc w:val="center"/>
              <w:rPr>
                <w:rFonts w:eastAsia="Times New Roman"/>
                <w:sz w:val="18"/>
                <w:szCs w:val="18"/>
                <w:lang w:eastAsia="hr-HR"/>
              </w:rPr>
            </w:pPr>
            <w:r w:rsidRPr="001B4CA2">
              <w:rPr>
                <w:rFonts w:eastAsia="Times New Roman"/>
                <w:sz w:val="18"/>
                <w:szCs w:val="18"/>
                <w:lang w:eastAsia="hr-HR"/>
              </w:rPr>
              <w:t>202</w:t>
            </w:r>
            <w:r w:rsidR="00F874F5" w:rsidRPr="001B4CA2">
              <w:rPr>
                <w:rFonts w:eastAsia="Times New Roman"/>
                <w:sz w:val="18"/>
                <w:szCs w:val="18"/>
                <w:lang w:eastAsia="hr-HR"/>
              </w:rPr>
              <w:t>2</w:t>
            </w:r>
            <w:r w:rsidRPr="001B4CA2">
              <w:rPr>
                <w:rFonts w:eastAsia="Times New Roman"/>
                <w:sz w:val="18"/>
                <w:szCs w:val="18"/>
                <w:lang w:eastAsia="hr-HR"/>
              </w:rPr>
              <w:t>.</w:t>
            </w:r>
          </w:p>
        </w:tc>
        <w:tc>
          <w:tcPr>
            <w:tcW w:w="937" w:type="dxa"/>
            <w:shd w:val="clear" w:color="auto" w:fill="auto"/>
            <w:noWrap/>
            <w:vAlign w:val="center"/>
          </w:tcPr>
          <w:p w14:paraId="7CBA2B9A" w14:textId="15AA2010" w:rsidR="002E7BEA" w:rsidRPr="001B4CA2" w:rsidRDefault="002D4597" w:rsidP="002D4597">
            <w:pPr>
              <w:jc w:val="center"/>
              <w:rPr>
                <w:rFonts w:eastAsia="Times New Roman"/>
                <w:sz w:val="18"/>
                <w:szCs w:val="18"/>
                <w:lang w:eastAsia="hr-HR"/>
              </w:rPr>
            </w:pPr>
            <w:r w:rsidRPr="001B4CA2">
              <w:rPr>
                <w:rFonts w:eastAsia="Times New Roman"/>
                <w:sz w:val="18"/>
                <w:szCs w:val="18"/>
                <w:lang w:eastAsia="hr-HR"/>
              </w:rPr>
              <w:t>1.</w:t>
            </w:r>
            <w:r w:rsidR="00F874F5" w:rsidRPr="001B4CA2">
              <w:rPr>
                <w:rFonts w:eastAsia="Times New Roman"/>
                <w:sz w:val="18"/>
                <w:szCs w:val="18"/>
                <w:lang w:eastAsia="hr-HR"/>
              </w:rPr>
              <w:t>394</w:t>
            </w:r>
          </w:p>
        </w:tc>
        <w:tc>
          <w:tcPr>
            <w:tcW w:w="1064" w:type="dxa"/>
            <w:shd w:val="clear" w:color="auto" w:fill="auto"/>
            <w:noWrap/>
            <w:vAlign w:val="center"/>
          </w:tcPr>
          <w:p w14:paraId="0D27A48A" w14:textId="603DA6EF"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135</w:t>
            </w:r>
          </w:p>
        </w:tc>
        <w:tc>
          <w:tcPr>
            <w:tcW w:w="1115" w:type="dxa"/>
            <w:shd w:val="clear" w:color="auto" w:fill="auto"/>
            <w:noWrap/>
            <w:vAlign w:val="center"/>
          </w:tcPr>
          <w:p w14:paraId="44E003B2" w14:textId="1A0D67A6"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629</w:t>
            </w:r>
          </w:p>
        </w:tc>
        <w:tc>
          <w:tcPr>
            <w:tcW w:w="964" w:type="dxa"/>
            <w:shd w:val="clear" w:color="auto" w:fill="auto"/>
            <w:noWrap/>
            <w:vAlign w:val="center"/>
          </w:tcPr>
          <w:p w14:paraId="60FA9B07" w14:textId="79185C2E"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4</w:t>
            </w:r>
            <w:r w:rsidR="002D4597" w:rsidRPr="001B4CA2">
              <w:rPr>
                <w:rFonts w:eastAsia="Times New Roman"/>
                <w:sz w:val="18"/>
                <w:szCs w:val="18"/>
                <w:lang w:eastAsia="hr-HR"/>
              </w:rPr>
              <w:t>2</w:t>
            </w:r>
          </w:p>
        </w:tc>
        <w:tc>
          <w:tcPr>
            <w:tcW w:w="992" w:type="dxa"/>
            <w:shd w:val="clear" w:color="auto" w:fill="auto"/>
            <w:noWrap/>
            <w:vAlign w:val="center"/>
          </w:tcPr>
          <w:p w14:paraId="091A53CE" w14:textId="14B51CD6" w:rsidR="002E7BEA" w:rsidRPr="001B4CA2" w:rsidRDefault="002D4597" w:rsidP="002D4597">
            <w:pPr>
              <w:jc w:val="center"/>
              <w:rPr>
                <w:rFonts w:eastAsia="Times New Roman"/>
                <w:sz w:val="18"/>
                <w:szCs w:val="18"/>
                <w:lang w:eastAsia="hr-HR"/>
              </w:rPr>
            </w:pPr>
            <w:r w:rsidRPr="001B4CA2">
              <w:rPr>
                <w:rFonts w:eastAsia="Times New Roman"/>
                <w:sz w:val="18"/>
                <w:szCs w:val="18"/>
                <w:lang w:eastAsia="hr-HR"/>
              </w:rPr>
              <w:t>8</w:t>
            </w:r>
          </w:p>
        </w:tc>
        <w:tc>
          <w:tcPr>
            <w:tcW w:w="909" w:type="dxa"/>
            <w:shd w:val="clear" w:color="auto" w:fill="auto"/>
            <w:noWrap/>
            <w:vAlign w:val="center"/>
          </w:tcPr>
          <w:p w14:paraId="520DCDC4" w14:textId="47C787D6" w:rsidR="002E7BEA" w:rsidRPr="001B4CA2" w:rsidRDefault="002D4597" w:rsidP="002D4597">
            <w:pPr>
              <w:jc w:val="center"/>
              <w:rPr>
                <w:rFonts w:eastAsia="Times New Roman"/>
                <w:sz w:val="18"/>
                <w:szCs w:val="18"/>
                <w:lang w:eastAsia="hr-HR"/>
              </w:rPr>
            </w:pPr>
            <w:r w:rsidRPr="001B4CA2">
              <w:rPr>
                <w:rFonts w:eastAsia="Times New Roman"/>
                <w:sz w:val="18"/>
                <w:szCs w:val="18"/>
                <w:lang w:eastAsia="hr-HR"/>
              </w:rPr>
              <w:t>81</w:t>
            </w:r>
            <w:r w:rsidR="00F874F5" w:rsidRPr="001B4CA2">
              <w:rPr>
                <w:rFonts w:eastAsia="Times New Roman"/>
                <w:sz w:val="18"/>
                <w:szCs w:val="18"/>
                <w:lang w:eastAsia="hr-HR"/>
              </w:rPr>
              <w:t>4</w:t>
            </w:r>
          </w:p>
        </w:tc>
        <w:tc>
          <w:tcPr>
            <w:tcW w:w="937" w:type="dxa"/>
            <w:shd w:val="clear" w:color="auto" w:fill="auto"/>
            <w:noWrap/>
            <w:vAlign w:val="center"/>
          </w:tcPr>
          <w:p w14:paraId="769BC06D" w14:textId="0F0CF610" w:rsidR="002E7BEA" w:rsidRPr="001B4CA2" w:rsidRDefault="00F874F5" w:rsidP="002D4597">
            <w:pPr>
              <w:jc w:val="center"/>
              <w:rPr>
                <w:rFonts w:eastAsia="Times New Roman"/>
                <w:sz w:val="18"/>
                <w:szCs w:val="18"/>
                <w:lang w:eastAsia="hr-HR"/>
              </w:rPr>
            </w:pPr>
            <w:r w:rsidRPr="001B4CA2">
              <w:rPr>
                <w:rFonts w:eastAsia="Times New Roman"/>
                <w:sz w:val="18"/>
                <w:szCs w:val="18"/>
                <w:lang w:eastAsia="hr-HR"/>
              </w:rPr>
              <w:t>580</w:t>
            </w:r>
          </w:p>
        </w:tc>
      </w:tr>
    </w:tbl>
    <w:p w14:paraId="7C5183CC" w14:textId="77777777" w:rsidR="006E12F8" w:rsidRPr="001B4CA2" w:rsidRDefault="006E12F8" w:rsidP="00C45F97"/>
    <w:p w14:paraId="256206EC" w14:textId="4230A57B" w:rsidR="00F874F5" w:rsidRPr="001B4CA2" w:rsidRDefault="00F874F5" w:rsidP="00F874F5">
      <w:r w:rsidRPr="001B4CA2">
        <w:t xml:space="preserve"> </w:t>
      </w:r>
      <w:r w:rsidR="004C3A47" w:rsidRPr="001B4CA2">
        <w:tab/>
      </w:r>
      <w:r w:rsidRPr="001B4CA2">
        <w:t xml:space="preserve">U 2022. godini županijska </w:t>
      </w:r>
      <w:r w:rsidR="00166CCE" w:rsidRPr="001B4CA2">
        <w:t xml:space="preserve">su </w:t>
      </w:r>
      <w:r w:rsidRPr="001B4CA2">
        <w:t xml:space="preserve">državna odvjetništva, po dovršenoj istrazi, optužila 629 osoba, što je za 26 osoba više nego prethodne godine i predstavlja </w:t>
      </w:r>
      <w:r w:rsidRPr="001B4CA2">
        <w:lastRenderedPageBreak/>
        <w:t>povećanje za 4,3</w:t>
      </w:r>
      <w:r w:rsidR="00166CCE">
        <w:t> </w:t>
      </w:r>
      <w:r w:rsidRPr="001B4CA2">
        <w:t>%. Broj podignutih optužnica participira u svim odlukama po dovršenoj istrazi sa 77,3</w:t>
      </w:r>
      <w:r w:rsidR="00166CCE">
        <w:t> </w:t>
      </w:r>
      <w:r w:rsidRPr="001B4CA2">
        <w:t>%. Po zastupljenosti slijede rješenja o obustavi istrage (16,6</w:t>
      </w:r>
      <w:r w:rsidR="00166CCE">
        <w:t> </w:t>
      </w:r>
      <w:r w:rsidRPr="001B4CA2">
        <w:t>%). Ustupom su riješene 42 istrage (5,2</w:t>
      </w:r>
      <w:r w:rsidR="00166CCE">
        <w:t> </w:t>
      </w:r>
      <w:r w:rsidRPr="001B4CA2">
        <w:t>%), dok je na drugi način (spajanje postupaka i slično) riješeno 8 istraga (0,9</w:t>
      </w:r>
      <w:r w:rsidR="00166CCE">
        <w:t> </w:t>
      </w:r>
      <w:r w:rsidRPr="001B4CA2">
        <w:t>%).</w:t>
      </w:r>
    </w:p>
    <w:p w14:paraId="3CB063A0" w14:textId="77777777" w:rsidR="00F874F5" w:rsidRPr="001B4CA2" w:rsidRDefault="00F874F5" w:rsidP="00F874F5"/>
    <w:p w14:paraId="55EACD70" w14:textId="6D60CEB2" w:rsidR="00F874F5" w:rsidRPr="001B4CA2" w:rsidRDefault="001B4CA2" w:rsidP="00F874F5">
      <w:pPr>
        <w:rPr>
          <w:rFonts w:eastAsia="Times New Roman" w:cs="Times New Roman"/>
          <w:lang w:eastAsia="hr-HR"/>
        </w:rPr>
      </w:pPr>
      <w:r>
        <w:rPr>
          <w:rFonts w:eastAsia="Times New Roman"/>
          <w:lang w:eastAsia="hr-HR"/>
        </w:rPr>
        <w:tab/>
      </w:r>
      <w:r w:rsidR="00F874F5" w:rsidRPr="001B4CA2">
        <w:rPr>
          <w:rFonts w:eastAsia="Times New Roman"/>
          <w:lang w:eastAsia="hr-HR"/>
        </w:rPr>
        <w:t>U radu je, od ukupnog broja otvorenih istraga, ostalo 580 istraga (41,6</w:t>
      </w:r>
      <w:r w:rsidR="00166CCE">
        <w:t> </w:t>
      </w:r>
      <w:r w:rsidR="00F874F5" w:rsidRPr="001B4CA2">
        <w:rPr>
          <w:rFonts w:eastAsia="Times New Roman"/>
          <w:lang w:eastAsia="hr-HR"/>
        </w:rPr>
        <w:t>%),</w:t>
      </w:r>
      <w:r>
        <w:rPr>
          <w:rFonts w:eastAsia="Times New Roman"/>
          <w:lang w:eastAsia="hr-HR"/>
        </w:rPr>
        <w:t xml:space="preserve"> </w:t>
      </w:r>
      <w:r w:rsidR="00F874F5" w:rsidRPr="001B4CA2">
        <w:rPr>
          <w:rFonts w:eastAsia="Times New Roman" w:cs="Times New Roman"/>
          <w:lang w:eastAsia="hr-HR"/>
        </w:rPr>
        <w:t>a razlozi nerješavanja su objektivni</w:t>
      </w:r>
      <w:r w:rsidR="00F47D60">
        <w:rPr>
          <w:rFonts w:eastAsia="Times New Roman" w:cs="Times New Roman"/>
          <w:lang w:eastAsia="hr-HR"/>
        </w:rPr>
        <w:t xml:space="preserve"> – </w:t>
      </w:r>
      <w:r w:rsidR="00F874F5" w:rsidRPr="001B4CA2">
        <w:rPr>
          <w:rFonts w:eastAsia="Times New Roman" w:cs="Times New Roman"/>
          <w:lang w:eastAsia="hr-HR"/>
        </w:rPr>
        <w:t xml:space="preserve">složenost predmeta (primjerice gospodarski predmeti u kojima je potrebno provesti financijsko-knjigovodstveno vještačenje obimne dokumentacije), velik broj svjedoka koje je potrebno ispitati, prikupljanje dokaza putem međunarodne pravne pomoći, nedostupnost okrivljenika i slično.  </w:t>
      </w:r>
      <w:r w:rsidR="00F874F5" w:rsidRPr="001B4CA2">
        <w:rPr>
          <w:rFonts w:eastAsia="Times New Roman"/>
          <w:lang w:eastAsia="hr-HR"/>
        </w:rPr>
        <w:t xml:space="preserve"> </w:t>
      </w:r>
    </w:p>
    <w:p w14:paraId="7544DE1F" w14:textId="77777777" w:rsidR="00FC2249" w:rsidRPr="001B4CA2" w:rsidRDefault="00FC2249" w:rsidP="00FC2249">
      <w:pPr>
        <w:rPr>
          <w:rFonts w:eastAsia="Times New Roman" w:cs="Times New Roman"/>
          <w:lang w:eastAsia="hr-HR"/>
        </w:rPr>
      </w:pPr>
    </w:p>
    <w:p w14:paraId="707C16B5" w14:textId="14567C34" w:rsidR="006E12F8" w:rsidRPr="001B4CA2" w:rsidRDefault="006E12F8" w:rsidP="002E6881">
      <w:pPr>
        <w:pStyle w:val="Tekstualnidio"/>
        <w:ind w:left="1134"/>
        <w:rPr>
          <w:rFonts w:cs="Arial"/>
          <w:i/>
        </w:rPr>
      </w:pPr>
      <w:r w:rsidRPr="001B4CA2">
        <w:rPr>
          <w:rFonts w:cs="Arial"/>
          <w:i/>
        </w:rPr>
        <w:t>Trajanje istrage</w:t>
      </w:r>
      <w:r w:rsidR="00166CCE">
        <w:rPr>
          <w:rFonts w:cs="Arial"/>
          <w:i/>
        </w:rPr>
        <w:t xml:space="preserve"> </w:t>
      </w:r>
      <w:r w:rsidRPr="001B4CA2">
        <w:rPr>
          <w:rFonts w:cs="Arial"/>
          <w:i/>
        </w:rPr>
        <w:t>/</w:t>
      </w:r>
      <w:r w:rsidR="00166CCE">
        <w:rPr>
          <w:rFonts w:cs="Arial"/>
          <w:i/>
        </w:rPr>
        <w:t xml:space="preserve"> </w:t>
      </w:r>
      <w:r w:rsidRPr="001B4CA2">
        <w:rPr>
          <w:rFonts w:cs="Arial"/>
          <w:i/>
        </w:rPr>
        <w:t>pripremnog postupka za maloljetnike</w:t>
      </w:r>
    </w:p>
    <w:tbl>
      <w:tblPr>
        <w:tblW w:w="6913" w:type="dxa"/>
        <w:tblInd w:w="10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87"/>
        <w:gridCol w:w="988"/>
        <w:gridCol w:w="987"/>
        <w:gridCol w:w="988"/>
        <w:gridCol w:w="987"/>
        <w:gridCol w:w="988"/>
        <w:gridCol w:w="988"/>
      </w:tblGrid>
      <w:tr w:rsidR="00532C41" w:rsidRPr="001B4CA2" w14:paraId="5EE599CF" w14:textId="77777777" w:rsidTr="00513F72">
        <w:trPr>
          <w:trHeight w:val="615"/>
        </w:trPr>
        <w:tc>
          <w:tcPr>
            <w:tcW w:w="987" w:type="dxa"/>
            <w:shd w:val="clear" w:color="auto" w:fill="99CCFF"/>
            <w:vAlign w:val="center"/>
            <w:hideMark/>
          </w:tcPr>
          <w:p w14:paraId="13B3F59B"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Godina</w:t>
            </w:r>
          </w:p>
        </w:tc>
        <w:tc>
          <w:tcPr>
            <w:tcW w:w="988" w:type="dxa"/>
            <w:shd w:val="clear" w:color="auto" w:fill="99CCFF"/>
            <w:vAlign w:val="center"/>
            <w:hideMark/>
          </w:tcPr>
          <w:p w14:paraId="79E1E6FD"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Do 1 mjeseca</w:t>
            </w:r>
          </w:p>
        </w:tc>
        <w:tc>
          <w:tcPr>
            <w:tcW w:w="987" w:type="dxa"/>
            <w:shd w:val="clear" w:color="auto" w:fill="99CCFF"/>
            <w:vAlign w:val="center"/>
            <w:hideMark/>
          </w:tcPr>
          <w:p w14:paraId="6A677424"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Do 3 mjeseca</w:t>
            </w:r>
          </w:p>
        </w:tc>
        <w:tc>
          <w:tcPr>
            <w:tcW w:w="988" w:type="dxa"/>
            <w:shd w:val="clear" w:color="auto" w:fill="99CCFF"/>
            <w:vAlign w:val="center"/>
            <w:hideMark/>
          </w:tcPr>
          <w:p w14:paraId="1DDF6910"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DO 6 mjeseci</w:t>
            </w:r>
          </w:p>
        </w:tc>
        <w:tc>
          <w:tcPr>
            <w:tcW w:w="987" w:type="dxa"/>
            <w:shd w:val="clear" w:color="auto" w:fill="99CCFF"/>
            <w:vAlign w:val="center"/>
            <w:hideMark/>
          </w:tcPr>
          <w:p w14:paraId="1ECE5871"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Do 12 mjeseci</w:t>
            </w:r>
          </w:p>
        </w:tc>
        <w:tc>
          <w:tcPr>
            <w:tcW w:w="988" w:type="dxa"/>
            <w:shd w:val="clear" w:color="auto" w:fill="99CCFF"/>
            <w:vAlign w:val="center"/>
            <w:hideMark/>
          </w:tcPr>
          <w:p w14:paraId="6D23A16B"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Do 18 mjeseci</w:t>
            </w:r>
          </w:p>
        </w:tc>
        <w:tc>
          <w:tcPr>
            <w:tcW w:w="988" w:type="dxa"/>
            <w:shd w:val="clear" w:color="auto" w:fill="99CCFF"/>
            <w:vAlign w:val="center"/>
            <w:hideMark/>
          </w:tcPr>
          <w:p w14:paraId="0AF472D2" w14:textId="77777777" w:rsidR="006E12F8" w:rsidRPr="001B4CA2" w:rsidRDefault="006E12F8" w:rsidP="006E12F8">
            <w:pPr>
              <w:jc w:val="center"/>
              <w:rPr>
                <w:rFonts w:eastAsia="Times New Roman"/>
                <w:b/>
                <w:sz w:val="18"/>
                <w:szCs w:val="18"/>
                <w:lang w:eastAsia="hr-HR"/>
              </w:rPr>
            </w:pPr>
            <w:r w:rsidRPr="001B4CA2">
              <w:rPr>
                <w:rFonts w:eastAsia="Times New Roman"/>
                <w:b/>
                <w:sz w:val="18"/>
                <w:szCs w:val="18"/>
                <w:lang w:eastAsia="hr-HR"/>
              </w:rPr>
              <w:t>Više od 18 mjeseci</w:t>
            </w:r>
          </w:p>
        </w:tc>
      </w:tr>
      <w:tr w:rsidR="0061314B" w:rsidRPr="001B4CA2" w14:paraId="4387CDC6" w14:textId="77777777" w:rsidTr="00513F72">
        <w:trPr>
          <w:trHeight w:val="303"/>
        </w:trPr>
        <w:tc>
          <w:tcPr>
            <w:tcW w:w="987" w:type="dxa"/>
            <w:shd w:val="clear" w:color="auto" w:fill="auto"/>
            <w:noWrap/>
            <w:vAlign w:val="center"/>
          </w:tcPr>
          <w:p w14:paraId="294A8AE5" w14:textId="3555843B" w:rsidR="0061314B" w:rsidRPr="001B4CA2" w:rsidRDefault="0061314B" w:rsidP="008D7F00">
            <w:pPr>
              <w:jc w:val="center"/>
              <w:rPr>
                <w:rFonts w:eastAsia="Times New Roman"/>
                <w:sz w:val="18"/>
                <w:szCs w:val="18"/>
                <w:lang w:eastAsia="hr-HR"/>
              </w:rPr>
            </w:pPr>
            <w:r w:rsidRPr="001B4CA2">
              <w:rPr>
                <w:rFonts w:eastAsia="Times New Roman"/>
                <w:sz w:val="18"/>
                <w:szCs w:val="18"/>
                <w:lang w:eastAsia="hr-HR"/>
              </w:rPr>
              <w:t>201</w:t>
            </w:r>
            <w:r w:rsidR="00F874F5" w:rsidRPr="001B4CA2">
              <w:rPr>
                <w:rFonts w:eastAsia="Times New Roman"/>
                <w:sz w:val="18"/>
                <w:szCs w:val="18"/>
                <w:lang w:eastAsia="hr-HR"/>
              </w:rPr>
              <w:t>8</w:t>
            </w:r>
            <w:r w:rsidRPr="001B4CA2">
              <w:rPr>
                <w:rFonts w:eastAsia="Times New Roman"/>
                <w:sz w:val="18"/>
                <w:szCs w:val="18"/>
                <w:lang w:eastAsia="hr-HR"/>
              </w:rPr>
              <w:t>.</w:t>
            </w:r>
          </w:p>
        </w:tc>
        <w:tc>
          <w:tcPr>
            <w:tcW w:w="988" w:type="dxa"/>
            <w:shd w:val="clear" w:color="auto" w:fill="auto"/>
            <w:noWrap/>
            <w:vAlign w:val="center"/>
          </w:tcPr>
          <w:p w14:paraId="2BBF2DDD" w14:textId="566A5D07" w:rsidR="0061314B" w:rsidRPr="001B4CA2" w:rsidRDefault="00F874F5" w:rsidP="008D7F00">
            <w:pPr>
              <w:jc w:val="center"/>
              <w:rPr>
                <w:rFonts w:eastAsia="Times New Roman"/>
                <w:sz w:val="18"/>
                <w:szCs w:val="18"/>
                <w:lang w:eastAsia="hr-HR"/>
              </w:rPr>
            </w:pPr>
            <w:r w:rsidRPr="001B4CA2">
              <w:rPr>
                <w:rFonts w:eastAsia="Times New Roman"/>
                <w:sz w:val="18"/>
                <w:szCs w:val="18"/>
                <w:lang w:eastAsia="hr-HR"/>
              </w:rPr>
              <w:t>447</w:t>
            </w:r>
          </w:p>
        </w:tc>
        <w:tc>
          <w:tcPr>
            <w:tcW w:w="987" w:type="dxa"/>
            <w:shd w:val="clear" w:color="auto" w:fill="auto"/>
            <w:noWrap/>
            <w:vAlign w:val="center"/>
          </w:tcPr>
          <w:p w14:paraId="604F3360" w14:textId="01B95BA8"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67</w:t>
            </w:r>
          </w:p>
        </w:tc>
        <w:tc>
          <w:tcPr>
            <w:tcW w:w="988" w:type="dxa"/>
            <w:shd w:val="clear" w:color="auto" w:fill="auto"/>
            <w:noWrap/>
            <w:vAlign w:val="center"/>
          </w:tcPr>
          <w:p w14:paraId="5972DDA3" w14:textId="368602D1"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11</w:t>
            </w:r>
          </w:p>
        </w:tc>
        <w:tc>
          <w:tcPr>
            <w:tcW w:w="987" w:type="dxa"/>
            <w:shd w:val="clear" w:color="auto" w:fill="auto"/>
            <w:noWrap/>
            <w:vAlign w:val="center"/>
          </w:tcPr>
          <w:p w14:paraId="26ADA868" w14:textId="2E1F2C5F"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3</w:t>
            </w:r>
          </w:p>
        </w:tc>
        <w:tc>
          <w:tcPr>
            <w:tcW w:w="988" w:type="dxa"/>
            <w:shd w:val="clear" w:color="auto" w:fill="auto"/>
            <w:noWrap/>
            <w:vAlign w:val="center"/>
          </w:tcPr>
          <w:p w14:paraId="6F2270B9" w14:textId="5062CBF2" w:rsidR="0061314B" w:rsidRPr="001B4CA2" w:rsidRDefault="0061314B" w:rsidP="008D7F00">
            <w:pPr>
              <w:jc w:val="center"/>
              <w:rPr>
                <w:rFonts w:eastAsia="Times New Roman"/>
                <w:sz w:val="18"/>
                <w:szCs w:val="18"/>
                <w:lang w:eastAsia="hr-HR"/>
              </w:rPr>
            </w:pPr>
          </w:p>
        </w:tc>
        <w:tc>
          <w:tcPr>
            <w:tcW w:w="988" w:type="dxa"/>
            <w:shd w:val="clear" w:color="auto" w:fill="auto"/>
            <w:noWrap/>
            <w:vAlign w:val="center"/>
          </w:tcPr>
          <w:p w14:paraId="174B6C56" w14:textId="31EB4B00"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30</w:t>
            </w:r>
          </w:p>
        </w:tc>
      </w:tr>
      <w:tr w:rsidR="0061314B" w:rsidRPr="001B4CA2" w14:paraId="36CA79BD" w14:textId="77777777" w:rsidTr="00513F72">
        <w:trPr>
          <w:trHeight w:val="303"/>
        </w:trPr>
        <w:tc>
          <w:tcPr>
            <w:tcW w:w="987" w:type="dxa"/>
            <w:shd w:val="clear" w:color="auto" w:fill="auto"/>
            <w:noWrap/>
            <w:vAlign w:val="center"/>
            <w:hideMark/>
          </w:tcPr>
          <w:p w14:paraId="4BEDF70D" w14:textId="26701BC7" w:rsidR="0061314B" w:rsidRPr="001B4CA2" w:rsidRDefault="0061314B" w:rsidP="008D7F00">
            <w:pPr>
              <w:jc w:val="center"/>
              <w:rPr>
                <w:rFonts w:eastAsia="Times New Roman"/>
                <w:sz w:val="18"/>
                <w:szCs w:val="18"/>
                <w:lang w:eastAsia="hr-HR"/>
              </w:rPr>
            </w:pPr>
            <w:r w:rsidRPr="001B4CA2">
              <w:rPr>
                <w:rFonts w:eastAsia="Times New Roman"/>
                <w:sz w:val="18"/>
                <w:szCs w:val="18"/>
                <w:lang w:eastAsia="hr-HR"/>
              </w:rPr>
              <w:t>201</w:t>
            </w:r>
            <w:r w:rsidR="00F874F5" w:rsidRPr="001B4CA2">
              <w:rPr>
                <w:rFonts w:eastAsia="Times New Roman"/>
                <w:sz w:val="18"/>
                <w:szCs w:val="18"/>
                <w:lang w:eastAsia="hr-HR"/>
              </w:rPr>
              <w:t>9</w:t>
            </w:r>
            <w:r w:rsidRPr="001B4CA2">
              <w:rPr>
                <w:rFonts w:eastAsia="Times New Roman"/>
                <w:sz w:val="18"/>
                <w:szCs w:val="18"/>
                <w:lang w:eastAsia="hr-HR"/>
              </w:rPr>
              <w:t>.</w:t>
            </w:r>
          </w:p>
        </w:tc>
        <w:tc>
          <w:tcPr>
            <w:tcW w:w="988" w:type="dxa"/>
            <w:shd w:val="clear" w:color="auto" w:fill="auto"/>
            <w:noWrap/>
            <w:vAlign w:val="center"/>
            <w:hideMark/>
          </w:tcPr>
          <w:p w14:paraId="032B8A90" w14:textId="722DCC04" w:rsidR="0061314B" w:rsidRPr="001B4CA2" w:rsidRDefault="00F874F5" w:rsidP="008D7F00">
            <w:pPr>
              <w:jc w:val="center"/>
              <w:rPr>
                <w:rFonts w:eastAsia="Times New Roman"/>
                <w:sz w:val="18"/>
                <w:szCs w:val="18"/>
                <w:lang w:eastAsia="hr-HR"/>
              </w:rPr>
            </w:pPr>
            <w:r w:rsidRPr="001B4CA2">
              <w:rPr>
                <w:rFonts w:eastAsia="Times New Roman"/>
                <w:sz w:val="18"/>
                <w:szCs w:val="18"/>
                <w:lang w:eastAsia="hr-HR"/>
              </w:rPr>
              <w:t>511</w:t>
            </w:r>
          </w:p>
        </w:tc>
        <w:tc>
          <w:tcPr>
            <w:tcW w:w="987" w:type="dxa"/>
            <w:shd w:val="clear" w:color="auto" w:fill="auto"/>
            <w:noWrap/>
            <w:vAlign w:val="center"/>
            <w:hideMark/>
          </w:tcPr>
          <w:p w14:paraId="386F6BD0" w14:textId="3FF2D6A7"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109</w:t>
            </w:r>
          </w:p>
        </w:tc>
        <w:tc>
          <w:tcPr>
            <w:tcW w:w="988" w:type="dxa"/>
            <w:shd w:val="clear" w:color="auto" w:fill="auto"/>
            <w:noWrap/>
            <w:vAlign w:val="center"/>
            <w:hideMark/>
          </w:tcPr>
          <w:p w14:paraId="2587D891" w14:textId="1DAE311B"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11</w:t>
            </w:r>
          </w:p>
        </w:tc>
        <w:tc>
          <w:tcPr>
            <w:tcW w:w="987" w:type="dxa"/>
            <w:shd w:val="clear" w:color="auto" w:fill="auto"/>
            <w:noWrap/>
            <w:vAlign w:val="center"/>
            <w:hideMark/>
          </w:tcPr>
          <w:p w14:paraId="678C0086" w14:textId="7CF5FA12" w:rsidR="0061314B" w:rsidRPr="001B4CA2" w:rsidRDefault="0061314B" w:rsidP="008D7F00">
            <w:pPr>
              <w:jc w:val="center"/>
              <w:rPr>
                <w:rFonts w:eastAsia="Times New Roman"/>
                <w:sz w:val="18"/>
                <w:szCs w:val="18"/>
                <w:lang w:eastAsia="hr-HR"/>
              </w:rPr>
            </w:pPr>
          </w:p>
        </w:tc>
        <w:tc>
          <w:tcPr>
            <w:tcW w:w="988" w:type="dxa"/>
            <w:shd w:val="clear" w:color="auto" w:fill="auto"/>
            <w:noWrap/>
            <w:vAlign w:val="center"/>
            <w:hideMark/>
          </w:tcPr>
          <w:p w14:paraId="00FD0A52" w14:textId="7936ED3C" w:rsidR="0061314B" w:rsidRPr="001B4CA2" w:rsidRDefault="0061314B" w:rsidP="008D7F00">
            <w:pPr>
              <w:jc w:val="center"/>
              <w:rPr>
                <w:rFonts w:eastAsia="Times New Roman"/>
                <w:sz w:val="18"/>
                <w:szCs w:val="18"/>
                <w:lang w:eastAsia="hr-HR"/>
              </w:rPr>
            </w:pPr>
          </w:p>
        </w:tc>
        <w:tc>
          <w:tcPr>
            <w:tcW w:w="988" w:type="dxa"/>
            <w:shd w:val="clear" w:color="auto" w:fill="auto"/>
            <w:noWrap/>
            <w:vAlign w:val="center"/>
            <w:hideMark/>
          </w:tcPr>
          <w:p w14:paraId="0681A603" w14:textId="19FA7BF8"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28</w:t>
            </w:r>
          </w:p>
        </w:tc>
      </w:tr>
      <w:tr w:rsidR="0061314B" w:rsidRPr="001B4CA2" w14:paraId="49E25554" w14:textId="77777777" w:rsidTr="00513F72">
        <w:trPr>
          <w:trHeight w:val="303"/>
        </w:trPr>
        <w:tc>
          <w:tcPr>
            <w:tcW w:w="987" w:type="dxa"/>
            <w:shd w:val="clear" w:color="auto" w:fill="auto"/>
            <w:noWrap/>
            <w:vAlign w:val="center"/>
            <w:hideMark/>
          </w:tcPr>
          <w:p w14:paraId="10AD12EE" w14:textId="615270D4" w:rsidR="0061314B" w:rsidRPr="001B4CA2" w:rsidRDefault="0061314B" w:rsidP="008D7F00">
            <w:pPr>
              <w:jc w:val="center"/>
              <w:rPr>
                <w:rFonts w:eastAsia="Times New Roman"/>
                <w:sz w:val="18"/>
                <w:szCs w:val="18"/>
                <w:lang w:eastAsia="hr-HR"/>
              </w:rPr>
            </w:pPr>
            <w:r w:rsidRPr="001B4CA2">
              <w:rPr>
                <w:rFonts w:eastAsia="Times New Roman"/>
                <w:sz w:val="18"/>
                <w:szCs w:val="18"/>
                <w:lang w:eastAsia="hr-HR"/>
              </w:rPr>
              <w:t>20</w:t>
            </w:r>
            <w:r w:rsidR="00F874F5" w:rsidRPr="001B4CA2">
              <w:rPr>
                <w:rFonts w:eastAsia="Times New Roman"/>
                <w:sz w:val="18"/>
                <w:szCs w:val="18"/>
                <w:lang w:eastAsia="hr-HR"/>
              </w:rPr>
              <w:t>20</w:t>
            </w:r>
            <w:r w:rsidRPr="001B4CA2">
              <w:rPr>
                <w:rFonts w:eastAsia="Times New Roman"/>
                <w:sz w:val="18"/>
                <w:szCs w:val="18"/>
                <w:lang w:eastAsia="hr-HR"/>
              </w:rPr>
              <w:t>.</w:t>
            </w:r>
          </w:p>
        </w:tc>
        <w:tc>
          <w:tcPr>
            <w:tcW w:w="988" w:type="dxa"/>
            <w:shd w:val="clear" w:color="auto" w:fill="auto"/>
            <w:noWrap/>
            <w:vAlign w:val="center"/>
            <w:hideMark/>
          </w:tcPr>
          <w:p w14:paraId="5ABBE65D" w14:textId="48DB23B3" w:rsidR="0061314B" w:rsidRPr="001B4CA2" w:rsidRDefault="00F874F5" w:rsidP="008D7F00">
            <w:pPr>
              <w:jc w:val="center"/>
              <w:rPr>
                <w:rFonts w:eastAsia="Times New Roman"/>
                <w:sz w:val="18"/>
                <w:szCs w:val="18"/>
                <w:lang w:eastAsia="hr-HR"/>
              </w:rPr>
            </w:pPr>
            <w:r w:rsidRPr="001B4CA2">
              <w:rPr>
                <w:rFonts w:eastAsia="Times New Roman"/>
                <w:sz w:val="18"/>
                <w:szCs w:val="18"/>
                <w:lang w:eastAsia="hr-HR"/>
              </w:rPr>
              <w:t>27</w:t>
            </w:r>
          </w:p>
        </w:tc>
        <w:tc>
          <w:tcPr>
            <w:tcW w:w="987" w:type="dxa"/>
            <w:shd w:val="clear" w:color="auto" w:fill="auto"/>
            <w:noWrap/>
            <w:vAlign w:val="center"/>
            <w:hideMark/>
          </w:tcPr>
          <w:p w14:paraId="75815692" w14:textId="6964A692"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181</w:t>
            </w:r>
          </w:p>
        </w:tc>
        <w:tc>
          <w:tcPr>
            <w:tcW w:w="988" w:type="dxa"/>
            <w:shd w:val="clear" w:color="auto" w:fill="auto"/>
            <w:noWrap/>
            <w:vAlign w:val="center"/>
            <w:hideMark/>
          </w:tcPr>
          <w:p w14:paraId="7DE3289B" w14:textId="4F3F258B"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243</w:t>
            </w:r>
          </w:p>
        </w:tc>
        <w:tc>
          <w:tcPr>
            <w:tcW w:w="987" w:type="dxa"/>
            <w:shd w:val="clear" w:color="auto" w:fill="auto"/>
            <w:noWrap/>
            <w:vAlign w:val="center"/>
            <w:hideMark/>
          </w:tcPr>
          <w:p w14:paraId="0E99AF08" w14:textId="30F02567"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129</w:t>
            </w:r>
          </w:p>
        </w:tc>
        <w:tc>
          <w:tcPr>
            <w:tcW w:w="988" w:type="dxa"/>
            <w:shd w:val="clear" w:color="auto" w:fill="auto"/>
            <w:noWrap/>
            <w:vAlign w:val="center"/>
            <w:hideMark/>
          </w:tcPr>
          <w:p w14:paraId="38DC8EF6" w14:textId="2604B147"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49</w:t>
            </w:r>
          </w:p>
        </w:tc>
        <w:tc>
          <w:tcPr>
            <w:tcW w:w="988" w:type="dxa"/>
            <w:shd w:val="clear" w:color="auto" w:fill="auto"/>
            <w:noWrap/>
            <w:vAlign w:val="center"/>
            <w:hideMark/>
          </w:tcPr>
          <w:p w14:paraId="00655108" w14:textId="4F152E82"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67</w:t>
            </w:r>
          </w:p>
        </w:tc>
      </w:tr>
      <w:tr w:rsidR="0061314B" w:rsidRPr="001B4CA2" w14:paraId="7FCD5974" w14:textId="77777777" w:rsidTr="00513F72">
        <w:trPr>
          <w:trHeight w:val="303"/>
        </w:trPr>
        <w:tc>
          <w:tcPr>
            <w:tcW w:w="987" w:type="dxa"/>
            <w:shd w:val="clear" w:color="auto" w:fill="auto"/>
            <w:noWrap/>
            <w:vAlign w:val="center"/>
            <w:hideMark/>
          </w:tcPr>
          <w:p w14:paraId="0AF064EA" w14:textId="7479C89A" w:rsidR="0061314B" w:rsidRPr="001B4CA2" w:rsidRDefault="0061314B" w:rsidP="008D7F00">
            <w:pPr>
              <w:jc w:val="center"/>
              <w:rPr>
                <w:rFonts w:eastAsia="Times New Roman"/>
                <w:sz w:val="18"/>
                <w:szCs w:val="18"/>
                <w:lang w:eastAsia="hr-HR"/>
              </w:rPr>
            </w:pPr>
            <w:r w:rsidRPr="001B4CA2">
              <w:rPr>
                <w:rFonts w:eastAsia="Times New Roman"/>
                <w:sz w:val="18"/>
                <w:szCs w:val="18"/>
                <w:lang w:eastAsia="hr-HR"/>
              </w:rPr>
              <w:t>202</w:t>
            </w:r>
            <w:r w:rsidR="00F874F5" w:rsidRPr="001B4CA2">
              <w:rPr>
                <w:rFonts w:eastAsia="Times New Roman"/>
                <w:sz w:val="18"/>
                <w:szCs w:val="18"/>
                <w:lang w:eastAsia="hr-HR"/>
              </w:rPr>
              <w:t>1</w:t>
            </w:r>
            <w:r w:rsidRPr="001B4CA2">
              <w:rPr>
                <w:rFonts w:eastAsia="Times New Roman"/>
                <w:sz w:val="18"/>
                <w:szCs w:val="18"/>
                <w:lang w:eastAsia="hr-HR"/>
              </w:rPr>
              <w:t>.</w:t>
            </w:r>
          </w:p>
        </w:tc>
        <w:tc>
          <w:tcPr>
            <w:tcW w:w="988" w:type="dxa"/>
            <w:shd w:val="clear" w:color="auto" w:fill="auto"/>
            <w:noWrap/>
            <w:vAlign w:val="center"/>
            <w:hideMark/>
          </w:tcPr>
          <w:p w14:paraId="435C2E5D" w14:textId="0A69D574"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53</w:t>
            </w:r>
          </w:p>
        </w:tc>
        <w:tc>
          <w:tcPr>
            <w:tcW w:w="987" w:type="dxa"/>
            <w:shd w:val="clear" w:color="auto" w:fill="auto"/>
            <w:noWrap/>
            <w:vAlign w:val="center"/>
            <w:hideMark/>
          </w:tcPr>
          <w:p w14:paraId="426B78F5" w14:textId="5E586725"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170</w:t>
            </w:r>
          </w:p>
        </w:tc>
        <w:tc>
          <w:tcPr>
            <w:tcW w:w="988" w:type="dxa"/>
            <w:shd w:val="clear" w:color="auto" w:fill="auto"/>
            <w:noWrap/>
            <w:vAlign w:val="center"/>
            <w:hideMark/>
          </w:tcPr>
          <w:p w14:paraId="300C1A4F" w14:textId="673D215A" w:rsidR="0061314B" w:rsidRPr="001B4CA2" w:rsidRDefault="0061314B" w:rsidP="008D7F00">
            <w:pPr>
              <w:jc w:val="center"/>
              <w:rPr>
                <w:rFonts w:eastAsia="Times New Roman"/>
                <w:sz w:val="18"/>
                <w:szCs w:val="18"/>
                <w:lang w:eastAsia="hr-HR"/>
              </w:rPr>
            </w:pPr>
            <w:r w:rsidRPr="001B4CA2">
              <w:rPr>
                <w:rFonts w:eastAsia="Times New Roman"/>
                <w:sz w:val="18"/>
                <w:szCs w:val="18"/>
                <w:lang w:eastAsia="hr-HR"/>
              </w:rPr>
              <w:t>24</w:t>
            </w:r>
            <w:r w:rsidR="002D7F32" w:rsidRPr="001B4CA2">
              <w:rPr>
                <w:rFonts w:eastAsia="Times New Roman"/>
                <w:sz w:val="18"/>
                <w:szCs w:val="18"/>
                <w:lang w:eastAsia="hr-HR"/>
              </w:rPr>
              <w:t>0</w:t>
            </w:r>
          </w:p>
        </w:tc>
        <w:tc>
          <w:tcPr>
            <w:tcW w:w="987" w:type="dxa"/>
            <w:shd w:val="clear" w:color="auto" w:fill="auto"/>
            <w:noWrap/>
            <w:vAlign w:val="center"/>
            <w:hideMark/>
          </w:tcPr>
          <w:p w14:paraId="5B5A113A" w14:textId="50F79DD8" w:rsidR="0061314B" w:rsidRPr="001B4CA2" w:rsidRDefault="0061314B" w:rsidP="008D7F00">
            <w:pPr>
              <w:jc w:val="center"/>
              <w:rPr>
                <w:rFonts w:eastAsia="Times New Roman"/>
                <w:sz w:val="18"/>
                <w:szCs w:val="18"/>
                <w:lang w:eastAsia="hr-HR"/>
              </w:rPr>
            </w:pPr>
            <w:r w:rsidRPr="001B4CA2">
              <w:rPr>
                <w:rFonts w:eastAsia="Times New Roman"/>
                <w:sz w:val="18"/>
                <w:szCs w:val="18"/>
                <w:lang w:eastAsia="hr-HR"/>
              </w:rPr>
              <w:t>1</w:t>
            </w:r>
            <w:r w:rsidR="002D7F32" w:rsidRPr="001B4CA2">
              <w:rPr>
                <w:rFonts w:eastAsia="Times New Roman"/>
                <w:sz w:val="18"/>
                <w:szCs w:val="18"/>
                <w:lang w:eastAsia="hr-HR"/>
              </w:rPr>
              <w:t>14</w:t>
            </w:r>
          </w:p>
        </w:tc>
        <w:tc>
          <w:tcPr>
            <w:tcW w:w="988" w:type="dxa"/>
            <w:shd w:val="clear" w:color="auto" w:fill="auto"/>
            <w:noWrap/>
            <w:vAlign w:val="center"/>
            <w:hideMark/>
          </w:tcPr>
          <w:p w14:paraId="2953D7AE" w14:textId="1E7076C6"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58</w:t>
            </w:r>
          </w:p>
        </w:tc>
        <w:tc>
          <w:tcPr>
            <w:tcW w:w="988" w:type="dxa"/>
            <w:shd w:val="clear" w:color="auto" w:fill="auto"/>
            <w:noWrap/>
            <w:vAlign w:val="center"/>
            <w:hideMark/>
          </w:tcPr>
          <w:p w14:paraId="1086007C" w14:textId="028FBC98"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72</w:t>
            </w:r>
          </w:p>
        </w:tc>
      </w:tr>
      <w:tr w:rsidR="0061314B" w:rsidRPr="001B4CA2" w14:paraId="75EF4F01" w14:textId="77777777" w:rsidTr="00513F72">
        <w:trPr>
          <w:trHeight w:val="303"/>
        </w:trPr>
        <w:tc>
          <w:tcPr>
            <w:tcW w:w="987" w:type="dxa"/>
            <w:shd w:val="clear" w:color="auto" w:fill="auto"/>
            <w:noWrap/>
            <w:vAlign w:val="center"/>
          </w:tcPr>
          <w:p w14:paraId="03EDB121" w14:textId="641BAA31" w:rsidR="0061314B" w:rsidRPr="001B4CA2" w:rsidRDefault="0061314B" w:rsidP="008D7F00">
            <w:pPr>
              <w:jc w:val="center"/>
              <w:rPr>
                <w:rFonts w:eastAsia="Times New Roman"/>
                <w:sz w:val="18"/>
                <w:szCs w:val="18"/>
                <w:lang w:eastAsia="hr-HR"/>
              </w:rPr>
            </w:pPr>
            <w:r w:rsidRPr="001B4CA2">
              <w:rPr>
                <w:rFonts w:eastAsia="Times New Roman"/>
                <w:sz w:val="18"/>
                <w:szCs w:val="18"/>
                <w:lang w:eastAsia="hr-HR"/>
              </w:rPr>
              <w:t>202</w:t>
            </w:r>
            <w:r w:rsidR="00F874F5" w:rsidRPr="001B4CA2">
              <w:rPr>
                <w:rFonts w:eastAsia="Times New Roman"/>
                <w:sz w:val="18"/>
                <w:szCs w:val="18"/>
                <w:lang w:eastAsia="hr-HR"/>
              </w:rPr>
              <w:t>2</w:t>
            </w:r>
            <w:r w:rsidRPr="001B4CA2">
              <w:rPr>
                <w:rFonts w:eastAsia="Times New Roman"/>
                <w:sz w:val="18"/>
                <w:szCs w:val="18"/>
                <w:lang w:eastAsia="hr-HR"/>
              </w:rPr>
              <w:t>.</w:t>
            </w:r>
          </w:p>
        </w:tc>
        <w:tc>
          <w:tcPr>
            <w:tcW w:w="988" w:type="dxa"/>
            <w:shd w:val="clear" w:color="auto" w:fill="auto"/>
            <w:noWrap/>
            <w:vAlign w:val="center"/>
          </w:tcPr>
          <w:p w14:paraId="50B0E760" w14:textId="26A7AA12"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65</w:t>
            </w:r>
          </w:p>
        </w:tc>
        <w:tc>
          <w:tcPr>
            <w:tcW w:w="987" w:type="dxa"/>
            <w:shd w:val="clear" w:color="auto" w:fill="auto"/>
            <w:noWrap/>
            <w:vAlign w:val="center"/>
          </w:tcPr>
          <w:p w14:paraId="2DA9240B" w14:textId="6FF91D69"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201</w:t>
            </w:r>
          </w:p>
        </w:tc>
        <w:tc>
          <w:tcPr>
            <w:tcW w:w="988" w:type="dxa"/>
            <w:shd w:val="clear" w:color="auto" w:fill="auto"/>
            <w:noWrap/>
            <w:vAlign w:val="center"/>
          </w:tcPr>
          <w:p w14:paraId="4CD88F7D" w14:textId="2B170B74" w:rsidR="0061314B" w:rsidRPr="001B4CA2" w:rsidRDefault="008D7F00" w:rsidP="008D7F00">
            <w:pPr>
              <w:jc w:val="center"/>
              <w:rPr>
                <w:rFonts w:eastAsia="Times New Roman"/>
                <w:sz w:val="18"/>
                <w:szCs w:val="18"/>
                <w:lang w:eastAsia="hr-HR"/>
              </w:rPr>
            </w:pPr>
            <w:r w:rsidRPr="001B4CA2">
              <w:rPr>
                <w:rFonts w:eastAsia="Times New Roman"/>
                <w:sz w:val="18"/>
                <w:szCs w:val="18"/>
                <w:lang w:eastAsia="hr-HR"/>
              </w:rPr>
              <w:t>2</w:t>
            </w:r>
            <w:r w:rsidR="002D7F32" w:rsidRPr="001B4CA2">
              <w:rPr>
                <w:rFonts w:eastAsia="Times New Roman"/>
                <w:sz w:val="18"/>
                <w:szCs w:val="18"/>
                <w:lang w:eastAsia="hr-HR"/>
              </w:rPr>
              <w:t>92</w:t>
            </w:r>
          </w:p>
        </w:tc>
        <w:tc>
          <w:tcPr>
            <w:tcW w:w="987" w:type="dxa"/>
            <w:shd w:val="clear" w:color="auto" w:fill="auto"/>
            <w:noWrap/>
            <w:vAlign w:val="center"/>
          </w:tcPr>
          <w:p w14:paraId="2B0591EB" w14:textId="37540C69" w:rsidR="0061314B" w:rsidRPr="001B4CA2" w:rsidRDefault="008D7F00" w:rsidP="008D7F00">
            <w:pPr>
              <w:jc w:val="center"/>
              <w:rPr>
                <w:rFonts w:eastAsia="Times New Roman"/>
                <w:sz w:val="18"/>
                <w:szCs w:val="18"/>
                <w:lang w:eastAsia="hr-HR"/>
              </w:rPr>
            </w:pPr>
            <w:r w:rsidRPr="001B4CA2">
              <w:rPr>
                <w:rFonts w:eastAsia="Times New Roman"/>
                <w:sz w:val="18"/>
                <w:szCs w:val="18"/>
                <w:lang w:eastAsia="hr-HR"/>
              </w:rPr>
              <w:t>11</w:t>
            </w:r>
            <w:r w:rsidR="002D7F32" w:rsidRPr="001B4CA2">
              <w:rPr>
                <w:rFonts w:eastAsia="Times New Roman"/>
                <w:sz w:val="18"/>
                <w:szCs w:val="18"/>
                <w:lang w:eastAsia="hr-HR"/>
              </w:rPr>
              <w:t>9</w:t>
            </w:r>
          </w:p>
        </w:tc>
        <w:tc>
          <w:tcPr>
            <w:tcW w:w="988" w:type="dxa"/>
            <w:shd w:val="clear" w:color="auto" w:fill="auto"/>
            <w:noWrap/>
            <w:vAlign w:val="center"/>
          </w:tcPr>
          <w:p w14:paraId="0FBBA03E" w14:textId="3C9DBE17" w:rsidR="0061314B" w:rsidRPr="001B4CA2" w:rsidRDefault="008D7F00" w:rsidP="008D7F00">
            <w:pPr>
              <w:jc w:val="center"/>
              <w:rPr>
                <w:rFonts w:eastAsia="Times New Roman"/>
                <w:sz w:val="18"/>
                <w:szCs w:val="18"/>
                <w:lang w:eastAsia="hr-HR"/>
              </w:rPr>
            </w:pPr>
            <w:r w:rsidRPr="001B4CA2">
              <w:rPr>
                <w:rFonts w:eastAsia="Times New Roman"/>
                <w:sz w:val="18"/>
                <w:szCs w:val="18"/>
                <w:lang w:eastAsia="hr-HR"/>
              </w:rPr>
              <w:t>5</w:t>
            </w:r>
            <w:r w:rsidR="002D7F32" w:rsidRPr="001B4CA2">
              <w:rPr>
                <w:rFonts w:eastAsia="Times New Roman"/>
                <w:sz w:val="18"/>
                <w:szCs w:val="18"/>
                <w:lang w:eastAsia="hr-HR"/>
              </w:rPr>
              <w:t>6</w:t>
            </w:r>
          </w:p>
        </w:tc>
        <w:tc>
          <w:tcPr>
            <w:tcW w:w="988" w:type="dxa"/>
            <w:shd w:val="clear" w:color="auto" w:fill="auto"/>
            <w:noWrap/>
            <w:vAlign w:val="center"/>
          </w:tcPr>
          <w:p w14:paraId="2BFF2305" w14:textId="1815EE56" w:rsidR="0061314B" w:rsidRPr="001B4CA2" w:rsidRDefault="002D7F32" w:rsidP="008D7F00">
            <w:pPr>
              <w:jc w:val="center"/>
              <w:rPr>
                <w:rFonts w:eastAsia="Times New Roman"/>
                <w:sz w:val="18"/>
                <w:szCs w:val="18"/>
                <w:lang w:eastAsia="hr-HR"/>
              </w:rPr>
            </w:pPr>
            <w:r w:rsidRPr="001B4CA2">
              <w:rPr>
                <w:rFonts w:eastAsia="Times New Roman"/>
                <w:sz w:val="18"/>
                <w:szCs w:val="18"/>
                <w:lang w:eastAsia="hr-HR"/>
              </w:rPr>
              <w:t>39</w:t>
            </w:r>
          </w:p>
        </w:tc>
      </w:tr>
    </w:tbl>
    <w:p w14:paraId="1EC4F2EF" w14:textId="77777777" w:rsidR="00C07B24" w:rsidRPr="001B4CA2" w:rsidRDefault="00C07B24" w:rsidP="00C45F97"/>
    <w:p w14:paraId="2DBC16E7" w14:textId="66AB4580" w:rsidR="002D7F32" w:rsidRPr="001B4CA2" w:rsidRDefault="004C3A47" w:rsidP="002D7F32">
      <w:r w:rsidRPr="001B4CA2">
        <w:tab/>
      </w:r>
      <w:r w:rsidR="002D7F32" w:rsidRPr="001B4CA2">
        <w:t xml:space="preserve">Tijekom 2022. godine u roku od 6 mjeseci dovršeno </w:t>
      </w:r>
      <w:r w:rsidR="00166CCE" w:rsidRPr="001B4CA2">
        <w:t xml:space="preserve">je </w:t>
      </w:r>
      <w:r w:rsidR="002D7F32" w:rsidRPr="001B4CA2">
        <w:t>558 istraga (72,3</w:t>
      </w:r>
      <w:r w:rsidR="00166CCE">
        <w:t> </w:t>
      </w:r>
      <w:r w:rsidR="002D7F32" w:rsidRPr="001B4CA2">
        <w:t>%), do 12 mjeseci 119 istraga (15,4</w:t>
      </w:r>
      <w:r w:rsidR="00166CCE">
        <w:t> </w:t>
      </w:r>
      <w:r w:rsidR="002D7F32" w:rsidRPr="001B4CA2">
        <w:t>%), do 18 mjeseci 56 istraga (7,3</w:t>
      </w:r>
      <w:r w:rsidR="00166CCE">
        <w:t> </w:t>
      </w:r>
      <w:r w:rsidR="002D7F32" w:rsidRPr="001B4CA2">
        <w:t>%), a više od 18 mjeseci 39 istraga (5</w:t>
      </w:r>
      <w:r w:rsidR="00166CCE">
        <w:t> </w:t>
      </w:r>
      <w:r w:rsidR="002D7F32" w:rsidRPr="001B4CA2">
        <w:t>%). Imajući u vidu složenost predmeta u kojima je vođena istraga, županijska državna odvjetništva zadržala su ažurnost u postupanju s obzirom na to da je 72,3</w:t>
      </w:r>
      <w:r w:rsidR="00166CCE">
        <w:t> </w:t>
      </w:r>
      <w:r w:rsidR="002D7F32" w:rsidRPr="001B4CA2">
        <w:t>% istraga riješeno u zakonskom roku od 6 mjeseci.</w:t>
      </w:r>
    </w:p>
    <w:p w14:paraId="23C76CB1" w14:textId="77777777" w:rsidR="002D7F32" w:rsidRPr="001B4CA2" w:rsidRDefault="002D7F32" w:rsidP="002D7F32"/>
    <w:p w14:paraId="34A194CC" w14:textId="5D328BD7" w:rsidR="002D7F32" w:rsidRPr="001B4CA2" w:rsidRDefault="001B4CA2" w:rsidP="002D7F32">
      <w:r>
        <w:tab/>
      </w:r>
      <w:r w:rsidR="002D7F32" w:rsidRPr="001B4CA2">
        <w:t xml:space="preserve">Produljeno trajanje istrage najčešće se odnosi na predmete ratnih zločina i složenije predmete gospodarskog kriminaliteta (velik broj okrivljenika/svjedoka koje je potrebno ispitati, pribavljanje opsežne dokumentacije, složena vještačenja, pribavljanje dokaza putem međunarodne pravne pomoći i slično). </w:t>
      </w:r>
    </w:p>
    <w:p w14:paraId="474EB17B" w14:textId="77777777" w:rsidR="00531495" w:rsidRPr="001B4CA2" w:rsidRDefault="00531495" w:rsidP="007C50CA"/>
    <w:p w14:paraId="37D1195E" w14:textId="08DBD5A4" w:rsidR="00C45F97" w:rsidRPr="001B4CA2" w:rsidRDefault="006A1678" w:rsidP="00BB27EB">
      <w:pPr>
        <w:pStyle w:val="Naslov5"/>
        <w:tabs>
          <w:tab w:val="left" w:pos="1276"/>
          <w:tab w:val="left" w:pos="1843"/>
        </w:tabs>
        <w:ind w:left="284" w:firstLine="0"/>
        <w:rPr>
          <w:rFonts w:ascii="Arial" w:hAnsi="Arial" w:cs="Arial"/>
        </w:rPr>
      </w:pPr>
      <w:bookmarkStart w:id="78" w:name="_Toc133394338"/>
      <w:r w:rsidRPr="001B4CA2">
        <w:rPr>
          <w:rFonts w:ascii="Arial" w:hAnsi="Arial" w:cs="Arial"/>
        </w:rPr>
        <w:t>Odluke po dovršenom pripremnom postupku</w:t>
      </w:r>
      <w:r w:rsidR="00AB15F3" w:rsidRPr="001B4CA2">
        <w:rPr>
          <w:rFonts w:ascii="Arial" w:hAnsi="Arial" w:cs="Arial"/>
        </w:rPr>
        <w:t xml:space="preserve"> – maloljetnici</w:t>
      </w:r>
      <w:bookmarkEnd w:id="78"/>
    </w:p>
    <w:p w14:paraId="1A0CDA3E" w14:textId="77777777" w:rsidR="00531495" w:rsidRPr="001B4CA2" w:rsidRDefault="00531495" w:rsidP="00C13798"/>
    <w:p w14:paraId="4AF25793" w14:textId="7979D098" w:rsidR="000E4567" w:rsidRPr="001B4CA2" w:rsidRDefault="001B4CA2" w:rsidP="000E4567">
      <w:pPr>
        <w:rPr>
          <w:i/>
          <w:iCs/>
        </w:rPr>
      </w:pPr>
      <w:r>
        <w:rPr>
          <w:i/>
          <w:iCs/>
        </w:rPr>
        <w:tab/>
      </w:r>
      <w:r w:rsidR="000E4567" w:rsidRPr="001B4CA2">
        <w:rPr>
          <w:i/>
          <w:iCs/>
        </w:rPr>
        <w:t>Odluke po dovršenom pripremnom postupku</w:t>
      </w:r>
    </w:p>
    <w:tbl>
      <w:tblPr>
        <w:tblW w:w="9072" w:type="dxa"/>
        <w:tblInd w:w="108" w:type="dxa"/>
        <w:tblLook w:val="04A0" w:firstRow="1" w:lastRow="0" w:firstColumn="1" w:lastColumn="0" w:noHBand="0" w:noVBand="1"/>
      </w:tblPr>
      <w:tblGrid>
        <w:gridCol w:w="923"/>
        <w:gridCol w:w="968"/>
        <w:gridCol w:w="1037"/>
        <w:gridCol w:w="1325"/>
        <w:gridCol w:w="1276"/>
        <w:gridCol w:w="835"/>
        <w:gridCol w:w="1008"/>
        <w:gridCol w:w="923"/>
        <w:gridCol w:w="777"/>
      </w:tblGrid>
      <w:tr w:rsidR="000E4567" w:rsidRPr="001B4CA2" w14:paraId="4129A02B" w14:textId="77777777" w:rsidTr="000E4567">
        <w:trPr>
          <w:trHeight w:val="315"/>
        </w:trPr>
        <w:tc>
          <w:tcPr>
            <w:tcW w:w="923"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4E1690B2" w14:textId="77777777" w:rsidR="000E4567" w:rsidRPr="001B4CA2" w:rsidRDefault="000E4567" w:rsidP="002A38E7">
            <w:pPr>
              <w:jc w:val="center"/>
              <w:rPr>
                <w:b/>
                <w:bCs/>
                <w:color w:val="000000"/>
                <w:sz w:val="18"/>
                <w:szCs w:val="18"/>
              </w:rPr>
            </w:pPr>
            <w:r w:rsidRPr="001B4CA2">
              <w:rPr>
                <w:b/>
                <w:bCs/>
                <w:color w:val="000000"/>
                <w:sz w:val="18"/>
                <w:szCs w:val="18"/>
              </w:rPr>
              <w:t>Godina</w:t>
            </w:r>
          </w:p>
        </w:tc>
        <w:tc>
          <w:tcPr>
            <w:tcW w:w="968" w:type="dxa"/>
            <w:vMerge w:val="restart"/>
            <w:tcBorders>
              <w:top w:val="single" w:sz="8" w:space="0" w:color="auto"/>
              <w:left w:val="single" w:sz="8" w:space="0" w:color="auto"/>
              <w:bottom w:val="single" w:sz="8" w:space="0" w:color="000000"/>
              <w:right w:val="single" w:sz="8" w:space="0" w:color="auto"/>
            </w:tcBorders>
            <w:shd w:val="clear" w:color="000000" w:fill="99CCFF"/>
            <w:vAlign w:val="center"/>
            <w:hideMark/>
          </w:tcPr>
          <w:p w14:paraId="52B9E4E3" w14:textId="77777777" w:rsidR="000E4567" w:rsidRPr="001B4CA2" w:rsidRDefault="000E4567" w:rsidP="002A38E7">
            <w:pPr>
              <w:jc w:val="center"/>
              <w:rPr>
                <w:b/>
                <w:bCs/>
                <w:color w:val="000000"/>
                <w:sz w:val="18"/>
                <w:szCs w:val="18"/>
              </w:rPr>
            </w:pPr>
            <w:r w:rsidRPr="001B4CA2">
              <w:rPr>
                <w:b/>
                <w:bCs/>
                <w:color w:val="000000"/>
                <w:sz w:val="18"/>
                <w:szCs w:val="18"/>
              </w:rPr>
              <w:t>Ukupno u radu</w:t>
            </w:r>
          </w:p>
        </w:tc>
        <w:tc>
          <w:tcPr>
            <w:tcW w:w="7181" w:type="dxa"/>
            <w:gridSpan w:val="7"/>
            <w:tcBorders>
              <w:top w:val="single" w:sz="8" w:space="0" w:color="auto"/>
              <w:left w:val="nil"/>
              <w:bottom w:val="single" w:sz="8" w:space="0" w:color="auto"/>
              <w:right w:val="single" w:sz="8" w:space="0" w:color="000000"/>
            </w:tcBorders>
            <w:shd w:val="clear" w:color="000000" w:fill="99CCFF"/>
            <w:vAlign w:val="center"/>
            <w:hideMark/>
          </w:tcPr>
          <w:p w14:paraId="408ECBB4" w14:textId="77777777" w:rsidR="000E4567" w:rsidRPr="001B4CA2" w:rsidRDefault="000E4567" w:rsidP="002A38E7">
            <w:pPr>
              <w:jc w:val="center"/>
              <w:rPr>
                <w:b/>
                <w:bCs/>
                <w:color w:val="000000"/>
                <w:sz w:val="18"/>
                <w:szCs w:val="18"/>
              </w:rPr>
            </w:pPr>
            <w:r w:rsidRPr="001B4CA2">
              <w:rPr>
                <w:b/>
                <w:bCs/>
                <w:color w:val="000000"/>
                <w:sz w:val="18"/>
                <w:szCs w:val="18"/>
              </w:rPr>
              <w:t>ODLUKE</w:t>
            </w:r>
          </w:p>
        </w:tc>
      </w:tr>
      <w:tr w:rsidR="000E4567" w:rsidRPr="001B4CA2" w14:paraId="52E49E2D" w14:textId="77777777" w:rsidTr="000E4567">
        <w:trPr>
          <w:trHeight w:val="915"/>
        </w:trPr>
        <w:tc>
          <w:tcPr>
            <w:tcW w:w="923" w:type="dxa"/>
            <w:vMerge/>
            <w:tcBorders>
              <w:top w:val="single" w:sz="8" w:space="0" w:color="auto"/>
              <w:left w:val="single" w:sz="8" w:space="0" w:color="auto"/>
              <w:bottom w:val="single" w:sz="8" w:space="0" w:color="000000"/>
              <w:right w:val="single" w:sz="8" w:space="0" w:color="auto"/>
            </w:tcBorders>
            <w:vAlign w:val="center"/>
            <w:hideMark/>
          </w:tcPr>
          <w:p w14:paraId="74F25B0C" w14:textId="77777777" w:rsidR="000E4567" w:rsidRPr="001B4CA2" w:rsidRDefault="000E4567" w:rsidP="002A38E7">
            <w:pPr>
              <w:rPr>
                <w:b/>
                <w:bCs/>
                <w:color w:val="000000"/>
                <w:sz w:val="18"/>
                <w:szCs w:val="18"/>
              </w:rPr>
            </w:pPr>
          </w:p>
        </w:tc>
        <w:tc>
          <w:tcPr>
            <w:tcW w:w="968" w:type="dxa"/>
            <w:vMerge/>
            <w:tcBorders>
              <w:top w:val="single" w:sz="8" w:space="0" w:color="auto"/>
              <w:left w:val="single" w:sz="8" w:space="0" w:color="auto"/>
              <w:bottom w:val="single" w:sz="8" w:space="0" w:color="000000"/>
              <w:right w:val="single" w:sz="8" w:space="0" w:color="auto"/>
            </w:tcBorders>
            <w:vAlign w:val="center"/>
            <w:hideMark/>
          </w:tcPr>
          <w:p w14:paraId="109BDBDD" w14:textId="77777777" w:rsidR="000E4567" w:rsidRPr="001B4CA2" w:rsidRDefault="000E4567" w:rsidP="002A38E7">
            <w:pPr>
              <w:rPr>
                <w:b/>
                <w:bCs/>
                <w:color w:val="000000"/>
                <w:sz w:val="18"/>
                <w:szCs w:val="18"/>
              </w:rPr>
            </w:pPr>
          </w:p>
        </w:tc>
        <w:tc>
          <w:tcPr>
            <w:tcW w:w="1037" w:type="dxa"/>
            <w:tcBorders>
              <w:top w:val="nil"/>
              <w:left w:val="nil"/>
              <w:bottom w:val="single" w:sz="8" w:space="0" w:color="auto"/>
              <w:right w:val="single" w:sz="8" w:space="0" w:color="auto"/>
            </w:tcBorders>
            <w:shd w:val="clear" w:color="000000" w:fill="99CCFF"/>
            <w:vAlign w:val="center"/>
            <w:hideMark/>
          </w:tcPr>
          <w:p w14:paraId="464E748B" w14:textId="77777777" w:rsidR="000E4567" w:rsidRPr="001B4CA2" w:rsidRDefault="000E4567" w:rsidP="002A38E7">
            <w:pPr>
              <w:jc w:val="center"/>
              <w:rPr>
                <w:b/>
                <w:bCs/>
                <w:color w:val="000000"/>
                <w:sz w:val="18"/>
                <w:szCs w:val="18"/>
              </w:rPr>
            </w:pPr>
            <w:r w:rsidRPr="001B4CA2">
              <w:rPr>
                <w:b/>
                <w:bCs/>
                <w:color w:val="000000"/>
                <w:sz w:val="18"/>
                <w:szCs w:val="18"/>
              </w:rPr>
              <w:t>Obustava</w:t>
            </w:r>
          </w:p>
        </w:tc>
        <w:tc>
          <w:tcPr>
            <w:tcW w:w="1325" w:type="dxa"/>
            <w:tcBorders>
              <w:top w:val="nil"/>
              <w:left w:val="nil"/>
              <w:bottom w:val="single" w:sz="8" w:space="0" w:color="auto"/>
              <w:right w:val="single" w:sz="8" w:space="0" w:color="auto"/>
            </w:tcBorders>
            <w:shd w:val="clear" w:color="000000" w:fill="99CCFF"/>
            <w:vAlign w:val="center"/>
            <w:hideMark/>
          </w:tcPr>
          <w:p w14:paraId="4AD9C85F" w14:textId="77777777" w:rsidR="000E4567" w:rsidRPr="001B4CA2" w:rsidRDefault="000E4567" w:rsidP="002A38E7">
            <w:pPr>
              <w:jc w:val="center"/>
              <w:rPr>
                <w:b/>
                <w:bCs/>
                <w:color w:val="000000"/>
                <w:sz w:val="18"/>
                <w:szCs w:val="18"/>
              </w:rPr>
            </w:pPr>
            <w:r w:rsidRPr="001B4CA2">
              <w:rPr>
                <w:b/>
                <w:bCs/>
                <w:color w:val="000000"/>
                <w:sz w:val="18"/>
                <w:szCs w:val="18"/>
              </w:rPr>
              <w:t xml:space="preserve">Od toga obustava po </w:t>
            </w:r>
            <w:proofErr w:type="spellStart"/>
            <w:r w:rsidRPr="001B4CA2">
              <w:rPr>
                <w:b/>
                <w:bCs/>
                <w:color w:val="000000"/>
                <w:sz w:val="18"/>
                <w:szCs w:val="18"/>
              </w:rPr>
              <w:t>oportunitetu</w:t>
            </w:r>
            <w:proofErr w:type="spellEnd"/>
          </w:p>
        </w:tc>
        <w:tc>
          <w:tcPr>
            <w:tcW w:w="1276" w:type="dxa"/>
            <w:tcBorders>
              <w:top w:val="nil"/>
              <w:left w:val="nil"/>
              <w:bottom w:val="single" w:sz="8" w:space="0" w:color="auto"/>
              <w:right w:val="single" w:sz="8" w:space="0" w:color="auto"/>
            </w:tcBorders>
            <w:shd w:val="clear" w:color="000000" w:fill="99CCFF"/>
            <w:vAlign w:val="center"/>
            <w:hideMark/>
          </w:tcPr>
          <w:p w14:paraId="1FE8B01E" w14:textId="77777777" w:rsidR="000E4567" w:rsidRPr="001B4CA2" w:rsidRDefault="000E4567" w:rsidP="002A38E7">
            <w:pPr>
              <w:jc w:val="center"/>
              <w:rPr>
                <w:b/>
                <w:bCs/>
                <w:color w:val="000000"/>
                <w:sz w:val="18"/>
                <w:szCs w:val="18"/>
              </w:rPr>
            </w:pPr>
            <w:r w:rsidRPr="001B4CA2">
              <w:rPr>
                <w:b/>
                <w:bCs/>
                <w:color w:val="000000"/>
                <w:sz w:val="18"/>
                <w:szCs w:val="18"/>
              </w:rPr>
              <w:t xml:space="preserve">Prijedlog za izricanje </w:t>
            </w:r>
            <w:proofErr w:type="spellStart"/>
            <w:r w:rsidRPr="001B4CA2">
              <w:rPr>
                <w:b/>
                <w:bCs/>
                <w:color w:val="000000"/>
                <w:sz w:val="18"/>
                <w:szCs w:val="18"/>
              </w:rPr>
              <w:t>mlt</w:t>
            </w:r>
            <w:proofErr w:type="spellEnd"/>
            <w:r w:rsidRPr="001B4CA2">
              <w:rPr>
                <w:b/>
                <w:bCs/>
                <w:color w:val="000000"/>
                <w:sz w:val="18"/>
                <w:szCs w:val="18"/>
              </w:rPr>
              <w:t>. sankcije</w:t>
            </w:r>
          </w:p>
        </w:tc>
        <w:tc>
          <w:tcPr>
            <w:tcW w:w="835" w:type="dxa"/>
            <w:tcBorders>
              <w:top w:val="nil"/>
              <w:left w:val="nil"/>
              <w:bottom w:val="single" w:sz="8" w:space="0" w:color="auto"/>
              <w:right w:val="single" w:sz="8" w:space="0" w:color="auto"/>
            </w:tcBorders>
            <w:shd w:val="clear" w:color="000000" w:fill="99CCFF"/>
            <w:vAlign w:val="center"/>
            <w:hideMark/>
          </w:tcPr>
          <w:p w14:paraId="3CB92CF1" w14:textId="77777777" w:rsidR="000E4567" w:rsidRPr="001B4CA2" w:rsidRDefault="000E4567" w:rsidP="002A38E7">
            <w:pPr>
              <w:jc w:val="center"/>
              <w:rPr>
                <w:b/>
                <w:bCs/>
                <w:color w:val="000000"/>
                <w:sz w:val="18"/>
                <w:szCs w:val="18"/>
              </w:rPr>
            </w:pPr>
            <w:r w:rsidRPr="001B4CA2">
              <w:rPr>
                <w:b/>
                <w:bCs/>
                <w:color w:val="000000"/>
                <w:sz w:val="18"/>
                <w:szCs w:val="18"/>
              </w:rPr>
              <w:t>Ustup</w:t>
            </w:r>
          </w:p>
        </w:tc>
        <w:tc>
          <w:tcPr>
            <w:tcW w:w="1008" w:type="dxa"/>
            <w:tcBorders>
              <w:top w:val="nil"/>
              <w:left w:val="nil"/>
              <w:bottom w:val="single" w:sz="8" w:space="0" w:color="auto"/>
              <w:right w:val="single" w:sz="8" w:space="0" w:color="auto"/>
            </w:tcBorders>
            <w:shd w:val="clear" w:color="000000" w:fill="99CCFF"/>
            <w:vAlign w:val="center"/>
            <w:hideMark/>
          </w:tcPr>
          <w:p w14:paraId="26FDDC50" w14:textId="77777777" w:rsidR="000E4567" w:rsidRPr="001B4CA2" w:rsidRDefault="000E4567" w:rsidP="002A38E7">
            <w:pPr>
              <w:jc w:val="center"/>
              <w:rPr>
                <w:b/>
                <w:bCs/>
                <w:color w:val="000000"/>
                <w:sz w:val="18"/>
                <w:szCs w:val="18"/>
              </w:rPr>
            </w:pPr>
            <w:r w:rsidRPr="001B4CA2">
              <w:rPr>
                <w:b/>
                <w:bCs/>
                <w:color w:val="000000"/>
                <w:sz w:val="18"/>
                <w:szCs w:val="18"/>
              </w:rPr>
              <w:t>Riješeno na drugi način</w:t>
            </w:r>
          </w:p>
        </w:tc>
        <w:tc>
          <w:tcPr>
            <w:tcW w:w="923" w:type="dxa"/>
            <w:tcBorders>
              <w:top w:val="nil"/>
              <w:left w:val="nil"/>
              <w:bottom w:val="single" w:sz="8" w:space="0" w:color="auto"/>
              <w:right w:val="single" w:sz="8" w:space="0" w:color="auto"/>
            </w:tcBorders>
            <w:shd w:val="clear" w:color="000000" w:fill="99CCFF"/>
            <w:vAlign w:val="center"/>
            <w:hideMark/>
          </w:tcPr>
          <w:p w14:paraId="73F9BCD4" w14:textId="77777777" w:rsidR="000E4567" w:rsidRPr="001B4CA2" w:rsidRDefault="000E4567" w:rsidP="002A38E7">
            <w:pPr>
              <w:jc w:val="center"/>
              <w:rPr>
                <w:b/>
                <w:bCs/>
                <w:color w:val="000000"/>
                <w:sz w:val="18"/>
                <w:szCs w:val="18"/>
              </w:rPr>
            </w:pPr>
            <w:r w:rsidRPr="001B4CA2">
              <w:rPr>
                <w:b/>
                <w:bCs/>
                <w:color w:val="000000"/>
                <w:sz w:val="18"/>
                <w:szCs w:val="18"/>
              </w:rPr>
              <w:t>Ukupno odluka</w:t>
            </w:r>
          </w:p>
        </w:tc>
        <w:tc>
          <w:tcPr>
            <w:tcW w:w="777" w:type="dxa"/>
            <w:tcBorders>
              <w:top w:val="nil"/>
              <w:left w:val="nil"/>
              <w:bottom w:val="single" w:sz="8" w:space="0" w:color="auto"/>
              <w:right w:val="single" w:sz="8" w:space="0" w:color="auto"/>
            </w:tcBorders>
            <w:shd w:val="clear" w:color="000000" w:fill="99CCFF"/>
            <w:vAlign w:val="center"/>
            <w:hideMark/>
          </w:tcPr>
          <w:p w14:paraId="4ECE1411" w14:textId="77777777" w:rsidR="000E4567" w:rsidRPr="001B4CA2" w:rsidRDefault="000E4567" w:rsidP="002A38E7">
            <w:pPr>
              <w:jc w:val="center"/>
              <w:rPr>
                <w:b/>
                <w:bCs/>
                <w:color w:val="000000"/>
                <w:sz w:val="18"/>
                <w:szCs w:val="18"/>
              </w:rPr>
            </w:pPr>
            <w:r w:rsidRPr="001B4CA2">
              <w:rPr>
                <w:b/>
                <w:bCs/>
                <w:color w:val="000000"/>
                <w:sz w:val="18"/>
                <w:szCs w:val="18"/>
              </w:rPr>
              <w:t>Ostalo u radu</w:t>
            </w:r>
          </w:p>
        </w:tc>
      </w:tr>
      <w:tr w:rsidR="000E4567" w:rsidRPr="001B4CA2" w14:paraId="09CA33B7" w14:textId="77777777" w:rsidTr="000E4567">
        <w:trPr>
          <w:trHeight w:val="300"/>
        </w:trPr>
        <w:tc>
          <w:tcPr>
            <w:tcW w:w="923" w:type="dxa"/>
            <w:tcBorders>
              <w:top w:val="nil"/>
              <w:left w:val="single" w:sz="8" w:space="0" w:color="auto"/>
              <w:bottom w:val="single" w:sz="8" w:space="0" w:color="auto"/>
              <w:right w:val="single" w:sz="8" w:space="0" w:color="auto"/>
            </w:tcBorders>
            <w:shd w:val="clear" w:color="auto" w:fill="auto"/>
            <w:noWrap/>
            <w:vAlign w:val="center"/>
            <w:hideMark/>
          </w:tcPr>
          <w:p w14:paraId="2795018F" w14:textId="77777777" w:rsidR="000E4567" w:rsidRPr="001B4CA2" w:rsidRDefault="000E4567" w:rsidP="002A38E7">
            <w:pPr>
              <w:jc w:val="center"/>
              <w:rPr>
                <w:color w:val="000000"/>
                <w:sz w:val="18"/>
                <w:szCs w:val="18"/>
              </w:rPr>
            </w:pPr>
            <w:r w:rsidRPr="001B4CA2">
              <w:rPr>
                <w:color w:val="000000"/>
                <w:sz w:val="18"/>
                <w:szCs w:val="18"/>
              </w:rPr>
              <w:t>2018.</w:t>
            </w:r>
          </w:p>
        </w:tc>
        <w:tc>
          <w:tcPr>
            <w:tcW w:w="968" w:type="dxa"/>
            <w:tcBorders>
              <w:top w:val="nil"/>
              <w:left w:val="nil"/>
              <w:bottom w:val="single" w:sz="8" w:space="0" w:color="auto"/>
              <w:right w:val="single" w:sz="8" w:space="0" w:color="auto"/>
            </w:tcBorders>
            <w:shd w:val="clear" w:color="auto" w:fill="auto"/>
            <w:noWrap/>
            <w:vAlign w:val="center"/>
            <w:hideMark/>
          </w:tcPr>
          <w:p w14:paraId="1A69A34B" w14:textId="77777777" w:rsidR="000E4567" w:rsidRPr="001B4CA2" w:rsidRDefault="000E4567" w:rsidP="002A38E7">
            <w:pPr>
              <w:jc w:val="center"/>
              <w:rPr>
                <w:color w:val="000000"/>
                <w:sz w:val="18"/>
                <w:szCs w:val="18"/>
              </w:rPr>
            </w:pPr>
            <w:r w:rsidRPr="001B4CA2">
              <w:rPr>
                <w:color w:val="000000"/>
                <w:sz w:val="18"/>
                <w:szCs w:val="18"/>
              </w:rPr>
              <w:t>35</w:t>
            </w:r>
          </w:p>
        </w:tc>
        <w:tc>
          <w:tcPr>
            <w:tcW w:w="1037" w:type="dxa"/>
            <w:tcBorders>
              <w:top w:val="nil"/>
              <w:left w:val="nil"/>
              <w:bottom w:val="single" w:sz="8" w:space="0" w:color="auto"/>
              <w:right w:val="single" w:sz="8" w:space="0" w:color="auto"/>
            </w:tcBorders>
            <w:shd w:val="clear" w:color="auto" w:fill="auto"/>
            <w:noWrap/>
            <w:vAlign w:val="center"/>
            <w:hideMark/>
          </w:tcPr>
          <w:p w14:paraId="61AA2DA4" w14:textId="77777777" w:rsidR="000E4567" w:rsidRPr="001B4CA2" w:rsidRDefault="000E4567" w:rsidP="002A38E7">
            <w:pPr>
              <w:jc w:val="center"/>
              <w:rPr>
                <w:color w:val="000000"/>
                <w:sz w:val="18"/>
                <w:szCs w:val="18"/>
              </w:rPr>
            </w:pPr>
            <w:r w:rsidRPr="001B4CA2">
              <w:rPr>
                <w:color w:val="000000"/>
                <w:sz w:val="18"/>
                <w:szCs w:val="18"/>
              </w:rPr>
              <w:t>3</w:t>
            </w:r>
          </w:p>
        </w:tc>
        <w:tc>
          <w:tcPr>
            <w:tcW w:w="1325" w:type="dxa"/>
            <w:tcBorders>
              <w:top w:val="nil"/>
              <w:left w:val="nil"/>
              <w:bottom w:val="single" w:sz="8" w:space="0" w:color="auto"/>
              <w:right w:val="single" w:sz="8" w:space="0" w:color="auto"/>
            </w:tcBorders>
            <w:shd w:val="clear" w:color="auto" w:fill="auto"/>
            <w:noWrap/>
            <w:vAlign w:val="center"/>
            <w:hideMark/>
          </w:tcPr>
          <w:p w14:paraId="58A5CBA9" w14:textId="77777777" w:rsidR="000E4567" w:rsidRPr="001B4CA2" w:rsidRDefault="000E4567" w:rsidP="002A38E7">
            <w:pPr>
              <w:jc w:val="center"/>
              <w:rPr>
                <w:color w:val="000000"/>
                <w:sz w:val="18"/>
                <w:szCs w:val="18"/>
              </w:rPr>
            </w:pPr>
            <w:r w:rsidRPr="001B4CA2">
              <w:rPr>
                <w:color w:val="000000"/>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14:paraId="6B82FF7D" w14:textId="77777777" w:rsidR="000E4567" w:rsidRPr="001B4CA2" w:rsidRDefault="000E4567" w:rsidP="002A38E7">
            <w:pPr>
              <w:jc w:val="center"/>
              <w:rPr>
                <w:color w:val="000000"/>
                <w:sz w:val="18"/>
                <w:szCs w:val="18"/>
              </w:rPr>
            </w:pPr>
            <w:r w:rsidRPr="001B4CA2">
              <w:rPr>
                <w:color w:val="000000"/>
                <w:sz w:val="18"/>
                <w:szCs w:val="18"/>
              </w:rPr>
              <w:t>31</w:t>
            </w:r>
          </w:p>
        </w:tc>
        <w:tc>
          <w:tcPr>
            <w:tcW w:w="835" w:type="dxa"/>
            <w:tcBorders>
              <w:top w:val="nil"/>
              <w:left w:val="nil"/>
              <w:bottom w:val="single" w:sz="8" w:space="0" w:color="auto"/>
              <w:right w:val="single" w:sz="8" w:space="0" w:color="auto"/>
            </w:tcBorders>
            <w:shd w:val="clear" w:color="auto" w:fill="auto"/>
            <w:vAlign w:val="center"/>
            <w:hideMark/>
          </w:tcPr>
          <w:p w14:paraId="1B904A3C" w14:textId="77777777" w:rsidR="000E4567" w:rsidRPr="001B4CA2" w:rsidRDefault="000E4567" w:rsidP="002A38E7">
            <w:pPr>
              <w:jc w:val="center"/>
              <w:rPr>
                <w:color w:val="000000"/>
                <w:sz w:val="18"/>
                <w:szCs w:val="18"/>
              </w:rPr>
            </w:pPr>
            <w:r w:rsidRPr="001B4CA2">
              <w:rPr>
                <w:color w:val="000000"/>
                <w:sz w:val="18"/>
                <w:szCs w:val="18"/>
              </w:rPr>
              <w:t> </w:t>
            </w:r>
          </w:p>
        </w:tc>
        <w:tc>
          <w:tcPr>
            <w:tcW w:w="1008" w:type="dxa"/>
            <w:tcBorders>
              <w:top w:val="nil"/>
              <w:left w:val="nil"/>
              <w:bottom w:val="single" w:sz="8" w:space="0" w:color="auto"/>
              <w:right w:val="single" w:sz="8" w:space="0" w:color="auto"/>
            </w:tcBorders>
            <w:shd w:val="clear" w:color="auto" w:fill="auto"/>
            <w:vAlign w:val="center"/>
            <w:hideMark/>
          </w:tcPr>
          <w:p w14:paraId="097CA1F6" w14:textId="77777777" w:rsidR="000E4567" w:rsidRPr="001B4CA2" w:rsidRDefault="000E4567" w:rsidP="002A38E7">
            <w:pPr>
              <w:jc w:val="center"/>
              <w:rPr>
                <w:color w:val="000000"/>
                <w:sz w:val="18"/>
                <w:szCs w:val="18"/>
              </w:rPr>
            </w:pPr>
            <w:r w:rsidRPr="001B4CA2">
              <w:rPr>
                <w:color w:val="000000"/>
                <w:sz w:val="18"/>
                <w:szCs w:val="18"/>
              </w:rPr>
              <w:t> </w:t>
            </w:r>
          </w:p>
        </w:tc>
        <w:tc>
          <w:tcPr>
            <w:tcW w:w="923" w:type="dxa"/>
            <w:tcBorders>
              <w:top w:val="nil"/>
              <w:left w:val="nil"/>
              <w:bottom w:val="single" w:sz="8" w:space="0" w:color="auto"/>
              <w:right w:val="single" w:sz="8" w:space="0" w:color="auto"/>
            </w:tcBorders>
            <w:shd w:val="clear" w:color="auto" w:fill="auto"/>
            <w:vAlign w:val="center"/>
            <w:hideMark/>
          </w:tcPr>
          <w:p w14:paraId="0D5E1CC2" w14:textId="77777777" w:rsidR="000E4567" w:rsidRPr="001B4CA2" w:rsidRDefault="000E4567" w:rsidP="002A38E7">
            <w:pPr>
              <w:jc w:val="center"/>
              <w:rPr>
                <w:color w:val="000000"/>
                <w:sz w:val="18"/>
                <w:szCs w:val="18"/>
              </w:rPr>
            </w:pPr>
            <w:r w:rsidRPr="001B4CA2">
              <w:rPr>
                <w:color w:val="000000"/>
                <w:sz w:val="18"/>
                <w:szCs w:val="18"/>
              </w:rPr>
              <w:t>35</w:t>
            </w:r>
          </w:p>
        </w:tc>
        <w:tc>
          <w:tcPr>
            <w:tcW w:w="777" w:type="dxa"/>
            <w:tcBorders>
              <w:top w:val="nil"/>
              <w:left w:val="nil"/>
              <w:bottom w:val="single" w:sz="8" w:space="0" w:color="auto"/>
              <w:right w:val="single" w:sz="8" w:space="0" w:color="auto"/>
            </w:tcBorders>
            <w:shd w:val="clear" w:color="auto" w:fill="auto"/>
            <w:noWrap/>
            <w:vAlign w:val="center"/>
            <w:hideMark/>
          </w:tcPr>
          <w:p w14:paraId="6E81EF67" w14:textId="77777777" w:rsidR="000E4567" w:rsidRPr="001B4CA2" w:rsidRDefault="000E4567" w:rsidP="002A38E7">
            <w:pPr>
              <w:jc w:val="center"/>
              <w:rPr>
                <w:color w:val="000000"/>
                <w:sz w:val="18"/>
                <w:szCs w:val="18"/>
              </w:rPr>
            </w:pPr>
            <w:r w:rsidRPr="001B4CA2">
              <w:rPr>
                <w:color w:val="000000"/>
                <w:sz w:val="18"/>
                <w:szCs w:val="18"/>
              </w:rPr>
              <w:t> </w:t>
            </w:r>
          </w:p>
        </w:tc>
      </w:tr>
      <w:tr w:rsidR="000E4567" w:rsidRPr="001B4CA2" w14:paraId="176831FD" w14:textId="77777777" w:rsidTr="000E4567">
        <w:trPr>
          <w:trHeight w:val="300"/>
        </w:trPr>
        <w:tc>
          <w:tcPr>
            <w:tcW w:w="923" w:type="dxa"/>
            <w:tcBorders>
              <w:top w:val="nil"/>
              <w:left w:val="single" w:sz="8" w:space="0" w:color="auto"/>
              <w:bottom w:val="single" w:sz="8" w:space="0" w:color="auto"/>
              <w:right w:val="single" w:sz="8" w:space="0" w:color="auto"/>
            </w:tcBorders>
            <w:shd w:val="clear" w:color="auto" w:fill="auto"/>
            <w:noWrap/>
            <w:vAlign w:val="center"/>
            <w:hideMark/>
          </w:tcPr>
          <w:p w14:paraId="2D2E992C" w14:textId="77777777" w:rsidR="000E4567" w:rsidRPr="001B4CA2" w:rsidRDefault="000E4567" w:rsidP="002A38E7">
            <w:pPr>
              <w:jc w:val="center"/>
              <w:rPr>
                <w:color w:val="000000"/>
                <w:sz w:val="18"/>
                <w:szCs w:val="18"/>
              </w:rPr>
            </w:pPr>
            <w:r w:rsidRPr="001B4CA2">
              <w:rPr>
                <w:color w:val="000000"/>
                <w:sz w:val="18"/>
                <w:szCs w:val="18"/>
              </w:rPr>
              <w:t>2019.</w:t>
            </w:r>
          </w:p>
        </w:tc>
        <w:tc>
          <w:tcPr>
            <w:tcW w:w="968" w:type="dxa"/>
            <w:tcBorders>
              <w:top w:val="nil"/>
              <w:left w:val="nil"/>
              <w:bottom w:val="single" w:sz="8" w:space="0" w:color="auto"/>
              <w:right w:val="single" w:sz="8" w:space="0" w:color="auto"/>
            </w:tcBorders>
            <w:shd w:val="clear" w:color="auto" w:fill="auto"/>
            <w:noWrap/>
            <w:vAlign w:val="center"/>
            <w:hideMark/>
          </w:tcPr>
          <w:p w14:paraId="6FB6EE78" w14:textId="77777777" w:rsidR="000E4567" w:rsidRPr="001B4CA2" w:rsidRDefault="000E4567" w:rsidP="002A38E7">
            <w:pPr>
              <w:jc w:val="center"/>
              <w:rPr>
                <w:color w:val="000000"/>
                <w:sz w:val="18"/>
                <w:szCs w:val="18"/>
              </w:rPr>
            </w:pPr>
            <w:r w:rsidRPr="001B4CA2">
              <w:rPr>
                <w:color w:val="000000"/>
                <w:sz w:val="18"/>
                <w:szCs w:val="18"/>
              </w:rPr>
              <w:t>47</w:t>
            </w:r>
          </w:p>
        </w:tc>
        <w:tc>
          <w:tcPr>
            <w:tcW w:w="1037" w:type="dxa"/>
            <w:tcBorders>
              <w:top w:val="nil"/>
              <w:left w:val="nil"/>
              <w:bottom w:val="single" w:sz="8" w:space="0" w:color="auto"/>
              <w:right w:val="single" w:sz="8" w:space="0" w:color="auto"/>
            </w:tcBorders>
            <w:shd w:val="clear" w:color="auto" w:fill="auto"/>
            <w:noWrap/>
            <w:vAlign w:val="center"/>
            <w:hideMark/>
          </w:tcPr>
          <w:p w14:paraId="57E7685B" w14:textId="77777777" w:rsidR="000E4567" w:rsidRPr="001B4CA2" w:rsidRDefault="000E4567" w:rsidP="002A38E7">
            <w:pPr>
              <w:jc w:val="center"/>
              <w:rPr>
                <w:color w:val="000000"/>
                <w:sz w:val="18"/>
                <w:szCs w:val="18"/>
              </w:rPr>
            </w:pPr>
            <w:r w:rsidRPr="001B4CA2">
              <w:rPr>
                <w:color w:val="000000"/>
                <w:sz w:val="18"/>
                <w:szCs w:val="18"/>
              </w:rPr>
              <w:t>7</w:t>
            </w:r>
          </w:p>
        </w:tc>
        <w:tc>
          <w:tcPr>
            <w:tcW w:w="1325" w:type="dxa"/>
            <w:tcBorders>
              <w:top w:val="nil"/>
              <w:left w:val="nil"/>
              <w:bottom w:val="single" w:sz="8" w:space="0" w:color="auto"/>
              <w:right w:val="single" w:sz="8" w:space="0" w:color="auto"/>
            </w:tcBorders>
            <w:shd w:val="clear" w:color="auto" w:fill="auto"/>
            <w:noWrap/>
            <w:vAlign w:val="center"/>
            <w:hideMark/>
          </w:tcPr>
          <w:p w14:paraId="639B4126" w14:textId="77777777" w:rsidR="000E4567" w:rsidRPr="001B4CA2" w:rsidRDefault="000E4567" w:rsidP="002A38E7">
            <w:pPr>
              <w:jc w:val="center"/>
              <w:rPr>
                <w:color w:val="000000"/>
                <w:sz w:val="18"/>
                <w:szCs w:val="18"/>
              </w:rPr>
            </w:pPr>
            <w:r w:rsidRPr="001B4CA2">
              <w:rPr>
                <w:color w:val="000000"/>
                <w:sz w:val="18"/>
                <w:szCs w:val="18"/>
              </w:rPr>
              <w:t>2</w:t>
            </w:r>
          </w:p>
        </w:tc>
        <w:tc>
          <w:tcPr>
            <w:tcW w:w="1276" w:type="dxa"/>
            <w:tcBorders>
              <w:top w:val="nil"/>
              <w:left w:val="nil"/>
              <w:bottom w:val="single" w:sz="8" w:space="0" w:color="auto"/>
              <w:right w:val="single" w:sz="8" w:space="0" w:color="auto"/>
            </w:tcBorders>
            <w:shd w:val="clear" w:color="auto" w:fill="auto"/>
            <w:noWrap/>
            <w:vAlign w:val="center"/>
            <w:hideMark/>
          </w:tcPr>
          <w:p w14:paraId="561F43B1" w14:textId="77777777" w:rsidR="000E4567" w:rsidRPr="001B4CA2" w:rsidRDefault="000E4567" w:rsidP="002A38E7">
            <w:pPr>
              <w:jc w:val="center"/>
              <w:rPr>
                <w:color w:val="000000"/>
                <w:sz w:val="18"/>
                <w:szCs w:val="18"/>
              </w:rPr>
            </w:pPr>
            <w:r w:rsidRPr="001B4CA2">
              <w:rPr>
                <w:color w:val="000000"/>
                <w:sz w:val="18"/>
                <w:szCs w:val="18"/>
              </w:rPr>
              <w:t>39</w:t>
            </w:r>
          </w:p>
        </w:tc>
        <w:tc>
          <w:tcPr>
            <w:tcW w:w="835" w:type="dxa"/>
            <w:tcBorders>
              <w:top w:val="nil"/>
              <w:left w:val="nil"/>
              <w:bottom w:val="single" w:sz="8" w:space="0" w:color="auto"/>
              <w:right w:val="single" w:sz="8" w:space="0" w:color="auto"/>
            </w:tcBorders>
            <w:shd w:val="clear" w:color="auto" w:fill="auto"/>
            <w:vAlign w:val="center"/>
            <w:hideMark/>
          </w:tcPr>
          <w:p w14:paraId="0874C4EE" w14:textId="77777777" w:rsidR="000E4567" w:rsidRPr="001B4CA2" w:rsidRDefault="000E4567" w:rsidP="002A38E7">
            <w:pPr>
              <w:jc w:val="center"/>
              <w:rPr>
                <w:color w:val="000000"/>
                <w:sz w:val="18"/>
                <w:szCs w:val="18"/>
              </w:rPr>
            </w:pPr>
            <w:r w:rsidRPr="001B4CA2">
              <w:rPr>
                <w:color w:val="000000"/>
                <w:sz w:val="18"/>
                <w:szCs w:val="18"/>
              </w:rPr>
              <w:t> </w:t>
            </w:r>
          </w:p>
        </w:tc>
        <w:tc>
          <w:tcPr>
            <w:tcW w:w="1008" w:type="dxa"/>
            <w:tcBorders>
              <w:top w:val="nil"/>
              <w:left w:val="nil"/>
              <w:bottom w:val="single" w:sz="8" w:space="0" w:color="auto"/>
              <w:right w:val="single" w:sz="8" w:space="0" w:color="auto"/>
            </w:tcBorders>
            <w:shd w:val="clear" w:color="auto" w:fill="auto"/>
            <w:vAlign w:val="center"/>
            <w:hideMark/>
          </w:tcPr>
          <w:p w14:paraId="02B399F5" w14:textId="77777777" w:rsidR="000E4567" w:rsidRPr="001B4CA2" w:rsidRDefault="000E4567" w:rsidP="002A38E7">
            <w:pPr>
              <w:jc w:val="center"/>
              <w:rPr>
                <w:color w:val="000000"/>
                <w:sz w:val="18"/>
                <w:szCs w:val="18"/>
              </w:rPr>
            </w:pPr>
            <w:r w:rsidRPr="001B4CA2">
              <w:rPr>
                <w:color w:val="000000"/>
                <w:sz w:val="18"/>
                <w:szCs w:val="18"/>
              </w:rPr>
              <w:t> </w:t>
            </w:r>
          </w:p>
        </w:tc>
        <w:tc>
          <w:tcPr>
            <w:tcW w:w="923" w:type="dxa"/>
            <w:tcBorders>
              <w:top w:val="nil"/>
              <w:left w:val="nil"/>
              <w:bottom w:val="single" w:sz="8" w:space="0" w:color="auto"/>
              <w:right w:val="single" w:sz="8" w:space="0" w:color="auto"/>
            </w:tcBorders>
            <w:shd w:val="clear" w:color="auto" w:fill="auto"/>
            <w:vAlign w:val="center"/>
            <w:hideMark/>
          </w:tcPr>
          <w:p w14:paraId="3F260806" w14:textId="77777777" w:rsidR="000E4567" w:rsidRPr="001B4CA2" w:rsidRDefault="000E4567" w:rsidP="002A38E7">
            <w:pPr>
              <w:jc w:val="center"/>
              <w:rPr>
                <w:color w:val="000000"/>
                <w:sz w:val="18"/>
                <w:szCs w:val="18"/>
              </w:rPr>
            </w:pPr>
            <w:r w:rsidRPr="001B4CA2">
              <w:rPr>
                <w:color w:val="000000"/>
                <w:sz w:val="18"/>
                <w:szCs w:val="18"/>
              </w:rPr>
              <w:t>49</w:t>
            </w:r>
          </w:p>
        </w:tc>
        <w:tc>
          <w:tcPr>
            <w:tcW w:w="777" w:type="dxa"/>
            <w:tcBorders>
              <w:top w:val="nil"/>
              <w:left w:val="nil"/>
              <w:bottom w:val="single" w:sz="8" w:space="0" w:color="auto"/>
              <w:right w:val="single" w:sz="8" w:space="0" w:color="auto"/>
            </w:tcBorders>
            <w:shd w:val="clear" w:color="auto" w:fill="auto"/>
            <w:noWrap/>
            <w:vAlign w:val="center"/>
            <w:hideMark/>
          </w:tcPr>
          <w:p w14:paraId="310E949E" w14:textId="77777777" w:rsidR="000E4567" w:rsidRPr="001B4CA2" w:rsidRDefault="000E4567" w:rsidP="002A38E7">
            <w:pPr>
              <w:jc w:val="center"/>
              <w:rPr>
                <w:color w:val="000000"/>
                <w:sz w:val="18"/>
                <w:szCs w:val="18"/>
              </w:rPr>
            </w:pPr>
            <w:r w:rsidRPr="001B4CA2">
              <w:rPr>
                <w:color w:val="000000"/>
                <w:sz w:val="18"/>
                <w:szCs w:val="18"/>
              </w:rPr>
              <w:t> </w:t>
            </w:r>
          </w:p>
        </w:tc>
      </w:tr>
      <w:tr w:rsidR="000E4567" w:rsidRPr="001B4CA2" w14:paraId="2274E2CA" w14:textId="77777777" w:rsidTr="000E4567">
        <w:trPr>
          <w:trHeight w:val="300"/>
        </w:trPr>
        <w:tc>
          <w:tcPr>
            <w:tcW w:w="923" w:type="dxa"/>
            <w:tcBorders>
              <w:top w:val="nil"/>
              <w:left w:val="single" w:sz="8" w:space="0" w:color="auto"/>
              <w:bottom w:val="single" w:sz="8" w:space="0" w:color="auto"/>
              <w:right w:val="single" w:sz="8" w:space="0" w:color="auto"/>
            </w:tcBorders>
            <w:shd w:val="clear" w:color="auto" w:fill="auto"/>
            <w:noWrap/>
            <w:vAlign w:val="center"/>
            <w:hideMark/>
          </w:tcPr>
          <w:p w14:paraId="1352806B" w14:textId="77777777" w:rsidR="000E4567" w:rsidRPr="001B4CA2" w:rsidRDefault="000E4567" w:rsidP="002A38E7">
            <w:pPr>
              <w:jc w:val="center"/>
              <w:rPr>
                <w:color w:val="000000"/>
                <w:sz w:val="18"/>
                <w:szCs w:val="18"/>
              </w:rPr>
            </w:pPr>
            <w:r w:rsidRPr="001B4CA2">
              <w:rPr>
                <w:color w:val="000000"/>
                <w:sz w:val="18"/>
                <w:szCs w:val="18"/>
              </w:rPr>
              <w:t>2020.</w:t>
            </w:r>
          </w:p>
        </w:tc>
        <w:tc>
          <w:tcPr>
            <w:tcW w:w="968" w:type="dxa"/>
            <w:tcBorders>
              <w:top w:val="nil"/>
              <w:left w:val="nil"/>
              <w:bottom w:val="single" w:sz="8" w:space="0" w:color="auto"/>
              <w:right w:val="single" w:sz="8" w:space="0" w:color="auto"/>
            </w:tcBorders>
            <w:shd w:val="clear" w:color="auto" w:fill="auto"/>
            <w:noWrap/>
            <w:vAlign w:val="center"/>
            <w:hideMark/>
          </w:tcPr>
          <w:p w14:paraId="5F15439D" w14:textId="77777777" w:rsidR="000E4567" w:rsidRPr="001B4CA2" w:rsidRDefault="000E4567" w:rsidP="002A38E7">
            <w:pPr>
              <w:jc w:val="center"/>
              <w:rPr>
                <w:color w:val="000000"/>
                <w:sz w:val="18"/>
                <w:szCs w:val="18"/>
              </w:rPr>
            </w:pPr>
            <w:r w:rsidRPr="001B4CA2">
              <w:rPr>
                <w:color w:val="000000"/>
                <w:sz w:val="18"/>
                <w:szCs w:val="18"/>
              </w:rPr>
              <w:t>54</w:t>
            </w:r>
          </w:p>
        </w:tc>
        <w:tc>
          <w:tcPr>
            <w:tcW w:w="1037" w:type="dxa"/>
            <w:tcBorders>
              <w:top w:val="nil"/>
              <w:left w:val="nil"/>
              <w:bottom w:val="single" w:sz="8" w:space="0" w:color="auto"/>
              <w:right w:val="single" w:sz="8" w:space="0" w:color="auto"/>
            </w:tcBorders>
            <w:shd w:val="clear" w:color="auto" w:fill="auto"/>
            <w:noWrap/>
            <w:vAlign w:val="center"/>
            <w:hideMark/>
          </w:tcPr>
          <w:p w14:paraId="4DCFC775" w14:textId="77777777" w:rsidR="000E4567" w:rsidRPr="001B4CA2" w:rsidRDefault="000E4567" w:rsidP="002A38E7">
            <w:pPr>
              <w:jc w:val="center"/>
              <w:rPr>
                <w:color w:val="000000"/>
                <w:sz w:val="18"/>
                <w:szCs w:val="18"/>
              </w:rPr>
            </w:pPr>
            <w:r w:rsidRPr="001B4CA2">
              <w:rPr>
                <w:color w:val="000000"/>
                <w:sz w:val="18"/>
                <w:szCs w:val="18"/>
              </w:rPr>
              <w:t>6</w:t>
            </w:r>
          </w:p>
        </w:tc>
        <w:tc>
          <w:tcPr>
            <w:tcW w:w="1325" w:type="dxa"/>
            <w:tcBorders>
              <w:top w:val="nil"/>
              <w:left w:val="nil"/>
              <w:bottom w:val="single" w:sz="8" w:space="0" w:color="auto"/>
              <w:right w:val="single" w:sz="8" w:space="0" w:color="auto"/>
            </w:tcBorders>
            <w:shd w:val="clear" w:color="auto" w:fill="auto"/>
            <w:noWrap/>
            <w:vAlign w:val="center"/>
            <w:hideMark/>
          </w:tcPr>
          <w:p w14:paraId="3723C326" w14:textId="77777777" w:rsidR="000E4567" w:rsidRPr="001B4CA2" w:rsidRDefault="000E4567" w:rsidP="002A38E7">
            <w:pPr>
              <w:jc w:val="center"/>
              <w:rPr>
                <w:color w:val="000000"/>
                <w:sz w:val="18"/>
                <w:szCs w:val="18"/>
              </w:rPr>
            </w:pPr>
            <w:r w:rsidRPr="001B4CA2">
              <w:rPr>
                <w:color w:val="000000"/>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14:paraId="72025501" w14:textId="77777777" w:rsidR="000E4567" w:rsidRPr="001B4CA2" w:rsidRDefault="000E4567" w:rsidP="002A38E7">
            <w:pPr>
              <w:jc w:val="center"/>
              <w:rPr>
                <w:color w:val="000000"/>
                <w:sz w:val="18"/>
                <w:szCs w:val="18"/>
              </w:rPr>
            </w:pPr>
            <w:r w:rsidRPr="001B4CA2">
              <w:rPr>
                <w:color w:val="000000"/>
                <w:sz w:val="18"/>
                <w:szCs w:val="18"/>
              </w:rPr>
              <w:t>33</w:t>
            </w:r>
          </w:p>
        </w:tc>
        <w:tc>
          <w:tcPr>
            <w:tcW w:w="835" w:type="dxa"/>
            <w:tcBorders>
              <w:top w:val="nil"/>
              <w:left w:val="nil"/>
              <w:bottom w:val="single" w:sz="8" w:space="0" w:color="auto"/>
              <w:right w:val="single" w:sz="8" w:space="0" w:color="auto"/>
            </w:tcBorders>
            <w:shd w:val="clear" w:color="auto" w:fill="auto"/>
            <w:vAlign w:val="center"/>
            <w:hideMark/>
          </w:tcPr>
          <w:p w14:paraId="5E83FD26" w14:textId="77777777" w:rsidR="000E4567" w:rsidRPr="001B4CA2" w:rsidRDefault="000E4567" w:rsidP="002A38E7">
            <w:pPr>
              <w:jc w:val="center"/>
              <w:rPr>
                <w:color w:val="000000"/>
                <w:sz w:val="18"/>
                <w:szCs w:val="18"/>
              </w:rPr>
            </w:pPr>
            <w:r w:rsidRPr="001B4CA2">
              <w:rPr>
                <w:color w:val="000000"/>
                <w:sz w:val="18"/>
                <w:szCs w:val="18"/>
              </w:rPr>
              <w:t> </w:t>
            </w:r>
          </w:p>
        </w:tc>
        <w:tc>
          <w:tcPr>
            <w:tcW w:w="1008" w:type="dxa"/>
            <w:tcBorders>
              <w:top w:val="nil"/>
              <w:left w:val="nil"/>
              <w:bottom w:val="single" w:sz="8" w:space="0" w:color="auto"/>
              <w:right w:val="single" w:sz="8" w:space="0" w:color="auto"/>
            </w:tcBorders>
            <w:shd w:val="clear" w:color="auto" w:fill="auto"/>
            <w:vAlign w:val="center"/>
            <w:hideMark/>
          </w:tcPr>
          <w:p w14:paraId="08938954" w14:textId="77777777" w:rsidR="000E4567" w:rsidRPr="001B4CA2" w:rsidRDefault="000E4567" w:rsidP="002A38E7">
            <w:pPr>
              <w:jc w:val="center"/>
              <w:rPr>
                <w:color w:val="000000"/>
                <w:sz w:val="18"/>
                <w:szCs w:val="18"/>
              </w:rPr>
            </w:pPr>
            <w:r w:rsidRPr="001B4CA2">
              <w:rPr>
                <w:color w:val="000000"/>
                <w:sz w:val="18"/>
                <w:szCs w:val="18"/>
              </w:rPr>
              <w:t>4</w:t>
            </w:r>
          </w:p>
        </w:tc>
        <w:tc>
          <w:tcPr>
            <w:tcW w:w="923" w:type="dxa"/>
            <w:tcBorders>
              <w:top w:val="nil"/>
              <w:left w:val="nil"/>
              <w:bottom w:val="single" w:sz="8" w:space="0" w:color="auto"/>
              <w:right w:val="single" w:sz="8" w:space="0" w:color="auto"/>
            </w:tcBorders>
            <w:shd w:val="clear" w:color="auto" w:fill="auto"/>
            <w:vAlign w:val="center"/>
            <w:hideMark/>
          </w:tcPr>
          <w:p w14:paraId="1F080BEC" w14:textId="77777777" w:rsidR="000E4567" w:rsidRPr="001B4CA2" w:rsidRDefault="000E4567" w:rsidP="002A38E7">
            <w:pPr>
              <w:jc w:val="center"/>
              <w:rPr>
                <w:color w:val="000000"/>
                <w:sz w:val="18"/>
                <w:szCs w:val="18"/>
              </w:rPr>
            </w:pPr>
            <w:r w:rsidRPr="001B4CA2">
              <w:rPr>
                <w:color w:val="000000"/>
                <w:sz w:val="18"/>
                <w:szCs w:val="18"/>
              </w:rPr>
              <w:t>43</w:t>
            </w:r>
          </w:p>
        </w:tc>
        <w:tc>
          <w:tcPr>
            <w:tcW w:w="777" w:type="dxa"/>
            <w:tcBorders>
              <w:top w:val="nil"/>
              <w:left w:val="nil"/>
              <w:bottom w:val="single" w:sz="8" w:space="0" w:color="auto"/>
              <w:right w:val="single" w:sz="8" w:space="0" w:color="auto"/>
            </w:tcBorders>
            <w:shd w:val="clear" w:color="auto" w:fill="auto"/>
            <w:noWrap/>
            <w:vAlign w:val="center"/>
            <w:hideMark/>
          </w:tcPr>
          <w:p w14:paraId="12BE1D40" w14:textId="77777777" w:rsidR="000E4567" w:rsidRPr="001B4CA2" w:rsidRDefault="000E4567" w:rsidP="002A38E7">
            <w:pPr>
              <w:jc w:val="center"/>
              <w:rPr>
                <w:color w:val="000000"/>
                <w:sz w:val="18"/>
                <w:szCs w:val="18"/>
              </w:rPr>
            </w:pPr>
            <w:r w:rsidRPr="001B4CA2">
              <w:rPr>
                <w:color w:val="000000"/>
                <w:sz w:val="18"/>
                <w:szCs w:val="18"/>
              </w:rPr>
              <w:t>11</w:t>
            </w:r>
          </w:p>
        </w:tc>
      </w:tr>
      <w:tr w:rsidR="000E4567" w:rsidRPr="001B4CA2" w14:paraId="6D67EC47" w14:textId="77777777" w:rsidTr="000E4567">
        <w:trPr>
          <w:trHeight w:val="300"/>
        </w:trPr>
        <w:tc>
          <w:tcPr>
            <w:tcW w:w="923" w:type="dxa"/>
            <w:tcBorders>
              <w:top w:val="nil"/>
              <w:left w:val="single" w:sz="8" w:space="0" w:color="auto"/>
              <w:bottom w:val="single" w:sz="8" w:space="0" w:color="auto"/>
              <w:right w:val="single" w:sz="8" w:space="0" w:color="auto"/>
            </w:tcBorders>
            <w:shd w:val="clear" w:color="auto" w:fill="auto"/>
            <w:noWrap/>
            <w:vAlign w:val="center"/>
            <w:hideMark/>
          </w:tcPr>
          <w:p w14:paraId="792D1E3F" w14:textId="77777777" w:rsidR="000E4567" w:rsidRPr="001B4CA2" w:rsidRDefault="000E4567" w:rsidP="002A38E7">
            <w:pPr>
              <w:jc w:val="center"/>
              <w:rPr>
                <w:color w:val="000000"/>
                <w:sz w:val="18"/>
                <w:szCs w:val="18"/>
              </w:rPr>
            </w:pPr>
            <w:r w:rsidRPr="001B4CA2">
              <w:rPr>
                <w:color w:val="000000"/>
                <w:sz w:val="18"/>
                <w:szCs w:val="18"/>
              </w:rPr>
              <w:t>2021.</w:t>
            </w:r>
          </w:p>
        </w:tc>
        <w:tc>
          <w:tcPr>
            <w:tcW w:w="968" w:type="dxa"/>
            <w:tcBorders>
              <w:top w:val="nil"/>
              <w:left w:val="nil"/>
              <w:bottom w:val="single" w:sz="8" w:space="0" w:color="auto"/>
              <w:right w:val="single" w:sz="8" w:space="0" w:color="auto"/>
            </w:tcBorders>
            <w:shd w:val="clear" w:color="auto" w:fill="auto"/>
            <w:noWrap/>
            <w:vAlign w:val="center"/>
            <w:hideMark/>
          </w:tcPr>
          <w:p w14:paraId="52EE3FEF" w14:textId="77777777" w:rsidR="000E4567" w:rsidRPr="001B4CA2" w:rsidRDefault="000E4567" w:rsidP="002A38E7">
            <w:pPr>
              <w:jc w:val="center"/>
              <w:rPr>
                <w:color w:val="000000"/>
                <w:sz w:val="18"/>
                <w:szCs w:val="18"/>
              </w:rPr>
            </w:pPr>
            <w:r w:rsidRPr="001B4CA2">
              <w:rPr>
                <w:color w:val="000000"/>
                <w:sz w:val="18"/>
                <w:szCs w:val="18"/>
              </w:rPr>
              <w:t>45</w:t>
            </w:r>
          </w:p>
        </w:tc>
        <w:tc>
          <w:tcPr>
            <w:tcW w:w="1037" w:type="dxa"/>
            <w:tcBorders>
              <w:top w:val="nil"/>
              <w:left w:val="nil"/>
              <w:bottom w:val="single" w:sz="8" w:space="0" w:color="auto"/>
              <w:right w:val="single" w:sz="8" w:space="0" w:color="auto"/>
            </w:tcBorders>
            <w:shd w:val="clear" w:color="auto" w:fill="auto"/>
            <w:noWrap/>
            <w:vAlign w:val="center"/>
            <w:hideMark/>
          </w:tcPr>
          <w:p w14:paraId="1917A724" w14:textId="77777777" w:rsidR="000E4567" w:rsidRPr="001B4CA2" w:rsidRDefault="000E4567" w:rsidP="002A38E7">
            <w:pPr>
              <w:jc w:val="center"/>
              <w:rPr>
                <w:color w:val="000000"/>
                <w:sz w:val="18"/>
                <w:szCs w:val="18"/>
              </w:rPr>
            </w:pPr>
            <w:r w:rsidRPr="001B4CA2">
              <w:rPr>
                <w:color w:val="000000"/>
                <w:sz w:val="18"/>
                <w:szCs w:val="18"/>
              </w:rPr>
              <w:t>5</w:t>
            </w:r>
          </w:p>
        </w:tc>
        <w:tc>
          <w:tcPr>
            <w:tcW w:w="1325" w:type="dxa"/>
            <w:tcBorders>
              <w:top w:val="nil"/>
              <w:left w:val="nil"/>
              <w:bottom w:val="single" w:sz="8" w:space="0" w:color="auto"/>
              <w:right w:val="single" w:sz="8" w:space="0" w:color="auto"/>
            </w:tcBorders>
            <w:shd w:val="clear" w:color="auto" w:fill="auto"/>
            <w:noWrap/>
            <w:vAlign w:val="center"/>
            <w:hideMark/>
          </w:tcPr>
          <w:p w14:paraId="3B73D876" w14:textId="77777777" w:rsidR="000E4567" w:rsidRPr="001B4CA2" w:rsidRDefault="000E4567" w:rsidP="002A38E7">
            <w:pPr>
              <w:jc w:val="center"/>
              <w:rPr>
                <w:color w:val="000000"/>
                <w:sz w:val="18"/>
                <w:szCs w:val="18"/>
              </w:rPr>
            </w:pPr>
            <w:r w:rsidRPr="001B4CA2">
              <w:rPr>
                <w:color w:val="000000"/>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14:paraId="6643EC2D" w14:textId="77777777" w:rsidR="000E4567" w:rsidRPr="001B4CA2" w:rsidRDefault="000E4567" w:rsidP="002A38E7">
            <w:pPr>
              <w:jc w:val="center"/>
              <w:rPr>
                <w:color w:val="000000"/>
                <w:sz w:val="18"/>
                <w:szCs w:val="18"/>
              </w:rPr>
            </w:pPr>
            <w:r w:rsidRPr="001B4CA2">
              <w:rPr>
                <w:color w:val="000000"/>
                <w:sz w:val="18"/>
                <w:szCs w:val="18"/>
              </w:rPr>
              <w:t>24</w:t>
            </w:r>
          </w:p>
        </w:tc>
        <w:tc>
          <w:tcPr>
            <w:tcW w:w="835" w:type="dxa"/>
            <w:tcBorders>
              <w:top w:val="nil"/>
              <w:left w:val="nil"/>
              <w:bottom w:val="single" w:sz="8" w:space="0" w:color="auto"/>
              <w:right w:val="single" w:sz="8" w:space="0" w:color="auto"/>
            </w:tcBorders>
            <w:shd w:val="clear" w:color="auto" w:fill="auto"/>
            <w:vAlign w:val="center"/>
            <w:hideMark/>
          </w:tcPr>
          <w:p w14:paraId="56C854DC" w14:textId="77777777" w:rsidR="000E4567" w:rsidRPr="001B4CA2" w:rsidRDefault="000E4567" w:rsidP="002A38E7">
            <w:pPr>
              <w:jc w:val="center"/>
              <w:rPr>
                <w:color w:val="000000"/>
                <w:sz w:val="18"/>
                <w:szCs w:val="18"/>
              </w:rPr>
            </w:pPr>
            <w:r w:rsidRPr="001B4CA2">
              <w:rPr>
                <w:color w:val="000000"/>
                <w:sz w:val="18"/>
                <w:szCs w:val="18"/>
              </w:rPr>
              <w:t>2</w:t>
            </w:r>
          </w:p>
        </w:tc>
        <w:tc>
          <w:tcPr>
            <w:tcW w:w="1008" w:type="dxa"/>
            <w:tcBorders>
              <w:top w:val="nil"/>
              <w:left w:val="nil"/>
              <w:bottom w:val="single" w:sz="8" w:space="0" w:color="auto"/>
              <w:right w:val="single" w:sz="8" w:space="0" w:color="auto"/>
            </w:tcBorders>
            <w:shd w:val="clear" w:color="auto" w:fill="auto"/>
            <w:vAlign w:val="center"/>
            <w:hideMark/>
          </w:tcPr>
          <w:p w14:paraId="5E6C65F2" w14:textId="77777777" w:rsidR="000E4567" w:rsidRPr="001B4CA2" w:rsidRDefault="000E4567" w:rsidP="002A38E7">
            <w:pPr>
              <w:jc w:val="center"/>
              <w:rPr>
                <w:color w:val="000000"/>
                <w:sz w:val="18"/>
                <w:szCs w:val="18"/>
              </w:rPr>
            </w:pPr>
            <w:r w:rsidRPr="001B4CA2">
              <w:rPr>
                <w:color w:val="000000"/>
                <w:sz w:val="18"/>
                <w:szCs w:val="18"/>
              </w:rPr>
              <w:t>2</w:t>
            </w:r>
          </w:p>
        </w:tc>
        <w:tc>
          <w:tcPr>
            <w:tcW w:w="923" w:type="dxa"/>
            <w:tcBorders>
              <w:top w:val="nil"/>
              <w:left w:val="nil"/>
              <w:bottom w:val="single" w:sz="8" w:space="0" w:color="auto"/>
              <w:right w:val="single" w:sz="8" w:space="0" w:color="auto"/>
            </w:tcBorders>
            <w:shd w:val="clear" w:color="auto" w:fill="auto"/>
            <w:vAlign w:val="center"/>
            <w:hideMark/>
          </w:tcPr>
          <w:p w14:paraId="7F8FCF93" w14:textId="77777777" w:rsidR="000E4567" w:rsidRPr="001B4CA2" w:rsidRDefault="000E4567" w:rsidP="002A38E7">
            <w:pPr>
              <w:jc w:val="center"/>
              <w:rPr>
                <w:color w:val="000000"/>
                <w:sz w:val="18"/>
                <w:szCs w:val="18"/>
              </w:rPr>
            </w:pPr>
            <w:r w:rsidRPr="001B4CA2">
              <w:rPr>
                <w:color w:val="000000"/>
                <w:sz w:val="18"/>
                <w:szCs w:val="18"/>
              </w:rPr>
              <w:t>36</w:t>
            </w:r>
          </w:p>
        </w:tc>
        <w:tc>
          <w:tcPr>
            <w:tcW w:w="777" w:type="dxa"/>
            <w:tcBorders>
              <w:top w:val="nil"/>
              <w:left w:val="nil"/>
              <w:bottom w:val="single" w:sz="8" w:space="0" w:color="auto"/>
              <w:right w:val="single" w:sz="8" w:space="0" w:color="auto"/>
            </w:tcBorders>
            <w:shd w:val="clear" w:color="auto" w:fill="auto"/>
            <w:noWrap/>
            <w:vAlign w:val="center"/>
            <w:hideMark/>
          </w:tcPr>
          <w:p w14:paraId="4B1B325D" w14:textId="77777777" w:rsidR="000E4567" w:rsidRPr="001B4CA2" w:rsidRDefault="000E4567" w:rsidP="002A38E7">
            <w:pPr>
              <w:jc w:val="center"/>
              <w:rPr>
                <w:color w:val="000000"/>
                <w:sz w:val="18"/>
                <w:szCs w:val="18"/>
              </w:rPr>
            </w:pPr>
            <w:r w:rsidRPr="001B4CA2">
              <w:rPr>
                <w:color w:val="000000"/>
                <w:sz w:val="18"/>
                <w:szCs w:val="18"/>
              </w:rPr>
              <w:t>9</w:t>
            </w:r>
          </w:p>
        </w:tc>
      </w:tr>
      <w:tr w:rsidR="000E4567" w:rsidRPr="001B4CA2" w14:paraId="712B550F" w14:textId="77777777" w:rsidTr="000E4567">
        <w:trPr>
          <w:trHeight w:val="300"/>
        </w:trPr>
        <w:tc>
          <w:tcPr>
            <w:tcW w:w="923" w:type="dxa"/>
            <w:tcBorders>
              <w:top w:val="nil"/>
              <w:left w:val="single" w:sz="8" w:space="0" w:color="auto"/>
              <w:bottom w:val="single" w:sz="8" w:space="0" w:color="auto"/>
              <w:right w:val="single" w:sz="8" w:space="0" w:color="auto"/>
            </w:tcBorders>
            <w:shd w:val="clear" w:color="auto" w:fill="auto"/>
            <w:noWrap/>
            <w:vAlign w:val="center"/>
            <w:hideMark/>
          </w:tcPr>
          <w:p w14:paraId="46E05F78" w14:textId="77777777" w:rsidR="000E4567" w:rsidRPr="001B4CA2" w:rsidRDefault="000E4567" w:rsidP="002A38E7">
            <w:pPr>
              <w:jc w:val="center"/>
              <w:rPr>
                <w:color w:val="000000"/>
                <w:sz w:val="18"/>
                <w:szCs w:val="18"/>
              </w:rPr>
            </w:pPr>
            <w:r w:rsidRPr="001B4CA2">
              <w:rPr>
                <w:color w:val="000000"/>
                <w:sz w:val="18"/>
                <w:szCs w:val="18"/>
              </w:rPr>
              <w:t>2022.</w:t>
            </w:r>
          </w:p>
        </w:tc>
        <w:tc>
          <w:tcPr>
            <w:tcW w:w="968" w:type="dxa"/>
            <w:tcBorders>
              <w:top w:val="nil"/>
              <w:left w:val="nil"/>
              <w:bottom w:val="single" w:sz="8" w:space="0" w:color="auto"/>
              <w:right w:val="single" w:sz="8" w:space="0" w:color="auto"/>
            </w:tcBorders>
            <w:shd w:val="clear" w:color="auto" w:fill="auto"/>
            <w:noWrap/>
            <w:vAlign w:val="center"/>
            <w:hideMark/>
          </w:tcPr>
          <w:p w14:paraId="28BB6C37" w14:textId="77777777" w:rsidR="000E4567" w:rsidRPr="001B4CA2" w:rsidRDefault="000E4567" w:rsidP="002A38E7">
            <w:pPr>
              <w:jc w:val="center"/>
              <w:rPr>
                <w:color w:val="000000"/>
                <w:sz w:val="18"/>
                <w:szCs w:val="18"/>
              </w:rPr>
            </w:pPr>
            <w:r w:rsidRPr="001B4CA2">
              <w:rPr>
                <w:color w:val="000000"/>
                <w:sz w:val="18"/>
                <w:szCs w:val="18"/>
              </w:rPr>
              <w:t>49</w:t>
            </w:r>
          </w:p>
        </w:tc>
        <w:tc>
          <w:tcPr>
            <w:tcW w:w="1037" w:type="dxa"/>
            <w:tcBorders>
              <w:top w:val="nil"/>
              <w:left w:val="nil"/>
              <w:bottom w:val="single" w:sz="8" w:space="0" w:color="auto"/>
              <w:right w:val="single" w:sz="8" w:space="0" w:color="auto"/>
            </w:tcBorders>
            <w:shd w:val="clear" w:color="auto" w:fill="auto"/>
            <w:noWrap/>
            <w:vAlign w:val="center"/>
            <w:hideMark/>
          </w:tcPr>
          <w:p w14:paraId="393349DB" w14:textId="77777777" w:rsidR="000E4567" w:rsidRPr="001B4CA2" w:rsidRDefault="000E4567" w:rsidP="002A38E7">
            <w:pPr>
              <w:jc w:val="center"/>
              <w:rPr>
                <w:color w:val="000000"/>
                <w:sz w:val="18"/>
                <w:szCs w:val="18"/>
              </w:rPr>
            </w:pPr>
            <w:r w:rsidRPr="001B4CA2">
              <w:rPr>
                <w:color w:val="000000"/>
                <w:sz w:val="18"/>
                <w:szCs w:val="18"/>
              </w:rPr>
              <w:t>5</w:t>
            </w:r>
          </w:p>
        </w:tc>
        <w:tc>
          <w:tcPr>
            <w:tcW w:w="1325" w:type="dxa"/>
            <w:tcBorders>
              <w:top w:val="nil"/>
              <w:left w:val="nil"/>
              <w:bottom w:val="single" w:sz="8" w:space="0" w:color="auto"/>
              <w:right w:val="single" w:sz="8" w:space="0" w:color="auto"/>
            </w:tcBorders>
            <w:shd w:val="clear" w:color="auto" w:fill="auto"/>
            <w:noWrap/>
            <w:vAlign w:val="center"/>
            <w:hideMark/>
          </w:tcPr>
          <w:p w14:paraId="7FA52228" w14:textId="77777777" w:rsidR="000E4567" w:rsidRPr="001B4CA2" w:rsidRDefault="000E4567" w:rsidP="002A38E7">
            <w:pPr>
              <w:jc w:val="center"/>
              <w:rPr>
                <w:color w:val="000000"/>
                <w:sz w:val="18"/>
                <w:szCs w:val="18"/>
              </w:rPr>
            </w:pPr>
            <w:r w:rsidRPr="001B4CA2">
              <w:rPr>
                <w:color w:val="000000"/>
                <w:sz w:val="18"/>
                <w:szCs w:val="18"/>
              </w:rPr>
              <w:t> </w:t>
            </w:r>
          </w:p>
        </w:tc>
        <w:tc>
          <w:tcPr>
            <w:tcW w:w="1276" w:type="dxa"/>
            <w:tcBorders>
              <w:top w:val="nil"/>
              <w:left w:val="nil"/>
              <w:bottom w:val="single" w:sz="8" w:space="0" w:color="auto"/>
              <w:right w:val="single" w:sz="8" w:space="0" w:color="auto"/>
            </w:tcBorders>
            <w:shd w:val="clear" w:color="auto" w:fill="auto"/>
            <w:noWrap/>
            <w:vAlign w:val="center"/>
            <w:hideMark/>
          </w:tcPr>
          <w:p w14:paraId="7D1C634C" w14:textId="77777777" w:rsidR="000E4567" w:rsidRPr="001B4CA2" w:rsidRDefault="000E4567" w:rsidP="002A38E7">
            <w:pPr>
              <w:jc w:val="center"/>
              <w:rPr>
                <w:color w:val="000000"/>
                <w:sz w:val="18"/>
                <w:szCs w:val="18"/>
              </w:rPr>
            </w:pPr>
            <w:r w:rsidRPr="001B4CA2">
              <w:rPr>
                <w:color w:val="000000"/>
                <w:sz w:val="18"/>
                <w:szCs w:val="18"/>
              </w:rPr>
              <w:t>25</w:t>
            </w:r>
          </w:p>
        </w:tc>
        <w:tc>
          <w:tcPr>
            <w:tcW w:w="835" w:type="dxa"/>
            <w:tcBorders>
              <w:top w:val="nil"/>
              <w:left w:val="nil"/>
              <w:bottom w:val="single" w:sz="8" w:space="0" w:color="auto"/>
              <w:right w:val="single" w:sz="8" w:space="0" w:color="auto"/>
            </w:tcBorders>
            <w:shd w:val="clear" w:color="auto" w:fill="auto"/>
            <w:vAlign w:val="center"/>
            <w:hideMark/>
          </w:tcPr>
          <w:p w14:paraId="451A43BC" w14:textId="77777777" w:rsidR="000E4567" w:rsidRPr="001B4CA2" w:rsidRDefault="000E4567" w:rsidP="002A38E7">
            <w:pPr>
              <w:jc w:val="center"/>
              <w:rPr>
                <w:color w:val="000000"/>
                <w:sz w:val="18"/>
                <w:szCs w:val="18"/>
              </w:rPr>
            </w:pPr>
            <w:r w:rsidRPr="001B4CA2">
              <w:rPr>
                <w:color w:val="000000"/>
                <w:sz w:val="18"/>
                <w:szCs w:val="18"/>
              </w:rPr>
              <w:t> </w:t>
            </w:r>
          </w:p>
        </w:tc>
        <w:tc>
          <w:tcPr>
            <w:tcW w:w="1008" w:type="dxa"/>
            <w:tcBorders>
              <w:top w:val="nil"/>
              <w:left w:val="nil"/>
              <w:bottom w:val="single" w:sz="8" w:space="0" w:color="auto"/>
              <w:right w:val="single" w:sz="8" w:space="0" w:color="auto"/>
            </w:tcBorders>
            <w:shd w:val="clear" w:color="auto" w:fill="auto"/>
            <w:vAlign w:val="center"/>
            <w:hideMark/>
          </w:tcPr>
          <w:p w14:paraId="1BA55725" w14:textId="77777777" w:rsidR="000E4567" w:rsidRPr="001B4CA2" w:rsidRDefault="000E4567" w:rsidP="002A38E7">
            <w:pPr>
              <w:jc w:val="center"/>
              <w:rPr>
                <w:color w:val="000000"/>
                <w:sz w:val="18"/>
                <w:szCs w:val="18"/>
              </w:rPr>
            </w:pPr>
            <w:r w:rsidRPr="001B4CA2">
              <w:rPr>
                <w:color w:val="000000"/>
                <w:sz w:val="18"/>
                <w:szCs w:val="18"/>
              </w:rPr>
              <w:t>5</w:t>
            </w:r>
          </w:p>
        </w:tc>
        <w:tc>
          <w:tcPr>
            <w:tcW w:w="923" w:type="dxa"/>
            <w:tcBorders>
              <w:top w:val="nil"/>
              <w:left w:val="nil"/>
              <w:bottom w:val="single" w:sz="8" w:space="0" w:color="auto"/>
              <w:right w:val="single" w:sz="8" w:space="0" w:color="auto"/>
            </w:tcBorders>
            <w:shd w:val="clear" w:color="auto" w:fill="auto"/>
            <w:vAlign w:val="center"/>
            <w:hideMark/>
          </w:tcPr>
          <w:p w14:paraId="310CE3BC" w14:textId="77777777" w:rsidR="000E4567" w:rsidRPr="001B4CA2" w:rsidRDefault="000E4567" w:rsidP="002A38E7">
            <w:pPr>
              <w:jc w:val="center"/>
              <w:rPr>
                <w:color w:val="000000"/>
                <w:sz w:val="18"/>
                <w:szCs w:val="18"/>
              </w:rPr>
            </w:pPr>
            <w:r w:rsidRPr="001B4CA2">
              <w:rPr>
                <w:color w:val="000000"/>
                <w:sz w:val="18"/>
                <w:szCs w:val="18"/>
              </w:rPr>
              <w:t>35</w:t>
            </w:r>
          </w:p>
        </w:tc>
        <w:tc>
          <w:tcPr>
            <w:tcW w:w="777" w:type="dxa"/>
            <w:tcBorders>
              <w:top w:val="nil"/>
              <w:left w:val="nil"/>
              <w:bottom w:val="single" w:sz="8" w:space="0" w:color="auto"/>
              <w:right w:val="single" w:sz="8" w:space="0" w:color="auto"/>
            </w:tcBorders>
            <w:shd w:val="clear" w:color="auto" w:fill="auto"/>
            <w:noWrap/>
            <w:vAlign w:val="center"/>
            <w:hideMark/>
          </w:tcPr>
          <w:p w14:paraId="56896D1A" w14:textId="77777777" w:rsidR="000E4567" w:rsidRPr="001B4CA2" w:rsidRDefault="000E4567" w:rsidP="002A38E7">
            <w:pPr>
              <w:jc w:val="center"/>
              <w:rPr>
                <w:color w:val="000000"/>
                <w:sz w:val="18"/>
                <w:szCs w:val="18"/>
              </w:rPr>
            </w:pPr>
            <w:r w:rsidRPr="001B4CA2">
              <w:rPr>
                <w:color w:val="000000"/>
                <w:sz w:val="18"/>
                <w:szCs w:val="18"/>
              </w:rPr>
              <w:t>14</w:t>
            </w:r>
          </w:p>
        </w:tc>
      </w:tr>
    </w:tbl>
    <w:p w14:paraId="266B1FC1" w14:textId="77777777" w:rsidR="000E4567" w:rsidRPr="001B4CA2" w:rsidRDefault="000E4567" w:rsidP="000E4567"/>
    <w:p w14:paraId="76ADF9F7" w14:textId="77777777" w:rsidR="000E4567" w:rsidRPr="001B4CA2" w:rsidRDefault="000E4567" w:rsidP="000E4567">
      <w:pPr>
        <w:ind w:firstLine="708"/>
      </w:pPr>
      <w:r w:rsidRPr="001B4CA2">
        <w:t xml:space="preserve">U odnosu na ovu fazu kaznenog postupka prema maloljetnicima nema značajnijih odstupanja u odnosu na prethodno izvještajno razdoblje. </w:t>
      </w:r>
    </w:p>
    <w:p w14:paraId="0B9A4D58" w14:textId="77777777" w:rsidR="00884786" w:rsidRPr="001B4CA2" w:rsidRDefault="00884786" w:rsidP="00C13798"/>
    <w:p w14:paraId="3995E6B6" w14:textId="77777777" w:rsidR="00884786" w:rsidRPr="001B4CA2" w:rsidRDefault="00884786" w:rsidP="007C50CA"/>
    <w:p w14:paraId="67E633B5" w14:textId="73920AB4" w:rsidR="00F44FA4" w:rsidRPr="001B4CA2" w:rsidRDefault="00BB4D48" w:rsidP="00276E9F">
      <w:pPr>
        <w:pStyle w:val="Naslov4"/>
        <w:tabs>
          <w:tab w:val="left" w:pos="1134"/>
        </w:tabs>
        <w:rPr>
          <w:rFonts w:ascii="Arial" w:hAnsi="Arial" w:cs="Arial"/>
        </w:rPr>
      </w:pPr>
      <w:bookmarkStart w:id="79" w:name="_Toc133394339"/>
      <w:r w:rsidRPr="001B4CA2">
        <w:rPr>
          <w:rFonts w:ascii="Arial" w:hAnsi="Arial" w:cs="Arial"/>
        </w:rPr>
        <w:lastRenderedPageBreak/>
        <w:t>Optuženja i od</w:t>
      </w:r>
      <w:r w:rsidR="00A60F77" w:rsidRPr="001B4CA2">
        <w:rPr>
          <w:rFonts w:ascii="Arial" w:hAnsi="Arial" w:cs="Arial"/>
        </w:rPr>
        <w:t>luke sudova povodom optuženja</w:t>
      </w:r>
      <w:bookmarkEnd w:id="79"/>
    </w:p>
    <w:p w14:paraId="055A9DAB" w14:textId="77777777" w:rsidR="00F44FA4" w:rsidRPr="001B4CA2" w:rsidRDefault="00F44FA4" w:rsidP="007C5E8A"/>
    <w:p w14:paraId="1A41A236" w14:textId="51C4CCEA" w:rsidR="00F44FA4" w:rsidRPr="001B4CA2" w:rsidRDefault="00F44FA4" w:rsidP="00A847F6">
      <w:pPr>
        <w:rPr>
          <w:i/>
        </w:rPr>
      </w:pPr>
      <w:r w:rsidRPr="001B4CA2">
        <w:rPr>
          <w:i/>
        </w:rPr>
        <w:t>Optužnice u radu u državnom odvjetništvu (bez maloljetnih osoba)</w:t>
      </w:r>
    </w:p>
    <w:tbl>
      <w:tblPr>
        <w:tblW w:w="9348"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8"/>
        <w:gridCol w:w="839"/>
        <w:gridCol w:w="1079"/>
        <w:gridCol w:w="961"/>
        <w:gridCol w:w="1272"/>
        <w:gridCol w:w="1110"/>
        <w:gridCol w:w="1091"/>
        <w:gridCol w:w="1059"/>
        <w:gridCol w:w="1059"/>
      </w:tblGrid>
      <w:tr w:rsidR="0038714B" w:rsidRPr="001B4CA2" w14:paraId="2899E1CF" w14:textId="77777777" w:rsidTr="006B1C43">
        <w:trPr>
          <w:trHeight w:val="327"/>
        </w:trPr>
        <w:tc>
          <w:tcPr>
            <w:tcW w:w="878" w:type="dxa"/>
            <w:vMerge w:val="restart"/>
            <w:shd w:val="clear" w:color="000000" w:fill="99CCFF"/>
            <w:vAlign w:val="center"/>
            <w:hideMark/>
          </w:tcPr>
          <w:p w14:paraId="60F57367" w14:textId="77777777" w:rsidR="0038714B" w:rsidRPr="001B4CA2" w:rsidRDefault="0038714B" w:rsidP="0038714B">
            <w:pPr>
              <w:jc w:val="center"/>
              <w:rPr>
                <w:rFonts w:eastAsia="Times New Roman"/>
                <w:b/>
                <w:bCs/>
                <w:color w:val="000000"/>
                <w:sz w:val="18"/>
                <w:szCs w:val="18"/>
                <w:lang w:eastAsia="hr-HR"/>
              </w:rPr>
            </w:pPr>
            <w:r w:rsidRPr="001B4CA2">
              <w:rPr>
                <w:rFonts w:eastAsia="Times New Roman"/>
                <w:b/>
                <w:bCs/>
                <w:color w:val="000000"/>
                <w:sz w:val="18"/>
                <w:szCs w:val="18"/>
                <w:lang w:eastAsia="hr-HR"/>
              </w:rPr>
              <w:t>Godina</w:t>
            </w:r>
          </w:p>
        </w:tc>
        <w:tc>
          <w:tcPr>
            <w:tcW w:w="839" w:type="dxa"/>
            <w:vMerge w:val="restart"/>
            <w:shd w:val="clear" w:color="000000" w:fill="99CCFF"/>
            <w:vAlign w:val="center"/>
            <w:hideMark/>
          </w:tcPr>
          <w:p w14:paraId="43592D54" w14:textId="77777777" w:rsidR="0038714B" w:rsidRPr="001B4CA2" w:rsidRDefault="0038714B" w:rsidP="0038714B">
            <w:pPr>
              <w:jc w:val="center"/>
              <w:rPr>
                <w:rFonts w:eastAsia="Times New Roman"/>
                <w:b/>
                <w:bCs/>
                <w:color w:val="000000"/>
                <w:sz w:val="18"/>
                <w:szCs w:val="18"/>
                <w:lang w:eastAsia="hr-HR"/>
              </w:rPr>
            </w:pPr>
            <w:r w:rsidRPr="001B4CA2">
              <w:rPr>
                <w:rFonts w:eastAsia="Times New Roman"/>
                <w:b/>
                <w:bCs/>
                <w:color w:val="000000"/>
                <w:sz w:val="18"/>
                <w:szCs w:val="18"/>
                <w:lang w:eastAsia="hr-HR"/>
              </w:rPr>
              <w:t xml:space="preserve">Ostalo u radu pred sudom </w:t>
            </w:r>
          </w:p>
        </w:tc>
        <w:tc>
          <w:tcPr>
            <w:tcW w:w="1079" w:type="dxa"/>
            <w:vMerge w:val="restart"/>
            <w:shd w:val="clear" w:color="000000" w:fill="99CCFF"/>
            <w:vAlign w:val="center"/>
            <w:hideMark/>
          </w:tcPr>
          <w:p w14:paraId="4F2CD378" w14:textId="77777777" w:rsidR="0038714B" w:rsidRPr="001B4CA2" w:rsidRDefault="0038714B" w:rsidP="0038714B">
            <w:pPr>
              <w:jc w:val="center"/>
              <w:rPr>
                <w:rFonts w:eastAsia="Times New Roman"/>
                <w:b/>
                <w:bCs/>
                <w:color w:val="000000"/>
                <w:sz w:val="18"/>
                <w:szCs w:val="18"/>
                <w:lang w:eastAsia="hr-HR"/>
              </w:rPr>
            </w:pPr>
            <w:r w:rsidRPr="001B4CA2">
              <w:rPr>
                <w:rFonts w:eastAsia="Times New Roman"/>
                <w:b/>
                <w:bCs/>
                <w:color w:val="000000"/>
                <w:sz w:val="18"/>
                <w:szCs w:val="18"/>
                <w:lang w:eastAsia="hr-HR"/>
              </w:rPr>
              <w:t>Od toga pred optužnim vijećem</w:t>
            </w:r>
          </w:p>
        </w:tc>
        <w:tc>
          <w:tcPr>
            <w:tcW w:w="961" w:type="dxa"/>
            <w:vMerge w:val="restart"/>
            <w:shd w:val="clear" w:color="000000" w:fill="99CCFF"/>
            <w:vAlign w:val="center"/>
            <w:hideMark/>
          </w:tcPr>
          <w:p w14:paraId="05B98846" w14:textId="77777777" w:rsidR="0038714B" w:rsidRPr="001B4CA2" w:rsidRDefault="0038714B" w:rsidP="0038714B">
            <w:pPr>
              <w:jc w:val="center"/>
              <w:rPr>
                <w:rFonts w:eastAsia="Times New Roman"/>
                <w:b/>
                <w:bCs/>
                <w:color w:val="000000"/>
                <w:sz w:val="18"/>
                <w:szCs w:val="18"/>
                <w:lang w:eastAsia="hr-HR"/>
              </w:rPr>
            </w:pPr>
            <w:r w:rsidRPr="001B4CA2">
              <w:rPr>
                <w:rFonts w:eastAsia="Times New Roman"/>
                <w:b/>
                <w:bCs/>
                <w:color w:val="000000"/>
                <w:sz w:val="18"/>
                <w:szCs w:val="18"/>
                <w:lang w:eastAsia="hr-HR"/>
              </w:rPr>
              <w:t xml:space="preserve">Pred sudom nakon </w:t>
            </w:r>
            <w:proofErr w:type="spellStart"/>
            <w:r w:rsidRPr="001B4CA2">
              <w:rPr>
                <w:rFonts w:eastAsia="Times New Roman"/>
                <w:b/>
                <w:bCs/>
                <w:color w:val="000000"/>
                <w:sz w:val="18"/>
                <w:szCs w:val="18"/>
                <w:lang w:eastAsia="hr-HR"/>
              </w:rPr>
              <w:t>ukidne</w:t>
            </w:r>
            <w:proofErr w:type="spellEnd"/>
            <w:r w:rsidRPr="001B4CA2">
              <w:rPr>
                <w:rFonts w:eastAsia="Times New Roman"/>
                <w:b/>
                <w:bCs/>
                <w:color w:val="000000"/>
                <w:sz w:val="18"/>
                <w:szCs w:val="18"/>
                <w:lang w:eastAsia="hr-HR"/>
              </w:rPr>
              <w:t xml:space="preserve"> odluke</w:t>
            </w:r>
          </w:p>
        </w:tc>
        <w:tc>
          <w:tcPr>
            <w:tcW w:w="4532" w:type="dxa"/>
            <w:gridSpan w:val="4"/>
            <w:shd w:val="clear" w:color="000000" w:fill="99CCFF"/>
            <w:vAlign w:val="center"/>
            <w:hideMark/>
          </w:tcPr>
          <w:p w14:paraId="39ADAB90" w14:textId="77777777" w:rsidR="0038714B" w:rsidRPr="001B4CA2" w:rsidRDefault="0038714B" w:rsidP="0038714B">
            <w:pPr>
              <w:jc w:val="center"/>
              <w:rPr>
                <w:rFonts w:eastAsia="Times New Roman"/>
                <w:b/>
                <w:bCs/>
                <w:color w:val="000000"/>
                <w:sz w:val="18"/>
                <w:szCs w:val="18"/>
                <w:lang w:eastAsia="hr-HR"/>
              </w:rPr>
            </w:pPr>
            <w:r w:rsidRPr="001B4CA2">
              <w:rPr>
                <w:rFonts w:eastAsia="Times New Roman"/>
                <w:b/>
                <w:bCs/>
                <w:color w:val="000000"/>
                <w:sz w:val="18"/>
                <w:szCs w:val="18"/>
                <w:lang w:eastAsia="hr-HR"/>
              </w:rPr>
              <w:t>Odluke DO – optužnice</w:t>
            </w:r>
          </w:p>
        </w:tc>
        <w:tc>
          <w:tcPr>
            <w:tcW w:w="1059" w:type="dxa"/>
            <w:vMerge w:val="restart"/>
            <w:shd w:val="clear" w:color="000000" w:fill="99CCFF"/>
            <w:vAlign w:val="center"/>
            <w:hideMark/>
          </w:tcPr>
          <w:p w14:paraId="569B8DC0" w14:textId="77777777" w:rsidR="0038714B" w:rsidRPr="001B4CA2" w:rsidRDefault="0038714B" w:rsidP="0038714B">
            <w:pPr>
              <w:jc w:val="center"/>
              <w:rPr>
                <w:rFonts w:eastAsia="Times New Roman"/>
                <w:b/>
                <w:bCs/>
                <w:color w:val="000000"/>
                <w:sz w:val="18"/>
                <w:szCs w:val="18"/>
                <w:lang w:eastAsia="hr-HR"/>
              </w:rPr>
            </w:pPr>
            <w:r w:rsidRPr="001B4CA2">
              <w:rPr>
                <w:rFonts w:eastAsia="Times New Roman"/>
                <w:b/>
                <w:bCs/>
                <w:color w:val="000000"/>
                <w:sz w:val="18"/>
                <w:szCs w:val="18"/>
                <w:lang w:eastAsia="hr-HR"/>
              </w:rPr>
              <w:t>Ukupno optužnica u radu</w:t>
            </w:r>
          </w:p>
        </w:tc>
      </w:tr>
      <w:tr w:rsidR="0038714B" w:rsidRPr="001B4CA2" w14:paraId="62C8F0FB" w14:textId="77777777" w:rsidTr="006B1C43">
        <w:trPr>
          <w:trHeight w:val="949"/>
        </w:trPr>
        <w:tc>
          <w:tcPr>
            <w:tcW w:w="878" w:type="dxa"/>
            <w:vMerge/>
            <w:vAlign w:val="center"/>
            <w:hideMark/>
          </w:tcPr>
          <w:p w14:paraId="32787A9F" w14:textId="77777777" w:rsidR="0038714B" w:rsidRPr="001B4CA2" w:rsidRDefault="0038714B" w:rsidP="0038714B">
            <w:pPr>
              <w:jc w:val="left"/>
              <w:rPr>
                <w:rFonts w:eastAsia="Times New Roman"/>
                <w:b/>
                <w:bCs/>
                <w:color w:val="000000"/>
                <w:sz w:val="18"/>
                <w:szCs w:val="18"/>
                <w:lang w:eastAsia="hr-HR"/>
              </w:rPr>
            </w:pPr>
          </w:p>
        </w:tc>
        <w:tc>
          <w:tcPr>
            <w:tcW w:w="839" w:type="dxa"/>
            <w:vMerge/>
            <w:vAlign w:val="center"/>
            <w:hideMark/>
          </w:tcPr>
          <w:p w14:paraId="5304F6FC" w14:textId="77777777" w:rsidR="0038714B" w:rsidRPr="001B4CA2" w:rsidRDefault="0038714B" w:rsidP="0038714B">
            <w:pPr>
              <w:jc w:val="left"/>
              <w:rPr>
                <w:rFonts w:eastAsia="Times New Roman"/>
                <w:b/>
                <w:bCs/>
                <w:color w:val="000000"/>
                <w:sz w:val="18"/>
                <w:szCs w:val="18"/>
                <w:lang w:eastAsia="hr-HR"/>
              </w:rPr>
            </w:pPr>
          </w:p>
        </w:tc>
        <w:tc>
          <w:tcPr>
            <w:tcW w:w="1079" w:type="dxa"/>
            <w:vMerge/>
            <w:vAlign w:val="center"/>
            <w:hideMark/>
          </w:tcPr>
          <w:p w14:paraId="0083F77E" w14:textId="77777777" w:rsidR="0038714B" w:rsidRPr="001B4CA2" w:rsidRDefault="0038714B" w:rsidP="0038714B">
            <w:pPr>
              <w:jc w:val="left"/>
              <w:rPr>
                <w:rFonts w:eastAsia="Times New Roman"/>
                <w:b/>
                <w:bCs/>
                <w:color w:val="000000"/>
                <w:sz w:val="18"/>
                <w:szCs w:val="18"/>
                <w:lang w:eastAsia="hr-HR"/>
              </w:rPr>
            </w:pPr>
          </w:p>
        </w:tc>
        <w:tc>
          <w:tcPr>
            <w:tcW w:w="961" w:type="dxa"/>
            <w:vMerge/>
            <w:vAlign w:val="center"/>
            <w:hideMark/>
          </w:tcPr>
          <w:p w14:paraId="61BA5D5C" w14:textId="77777777" w:rsidR="0038714B" w:rsidRPr="001B4CA2" w:rsidRDefault="0038714B" w:rsidP="0038714B">
            <w:pPr>
              <w:jc w:val="left"/>
              <w:rPr>
                <w:rFonts w:eastAsia="Times New Roman"/>
                <w:b/>
                <w:bCs/>
                <w:color w:val="000000"/>
                <w:sz w:val="18"/>
                <w:szCs w:val="18"/>
                <w:lang w:eastAsia="hr-HR"/>
              </w:rPr>
            </w:pPr>
          </w:p>
        </w:tc>
        <w:tc>
          <w:tcPr>
            <w:tcW w:w="1272" w:type="dxa"/>
            <w:shd w:val="clear" w:color="000000" w:fill="99CCFF"/>
            <w:vAlign w:val="center"/>
            <w:hideMark/>
          </w:tcPr>
          <w:p w14:paraId="459C824A" w14:textId="77777777" w:rsidR="0038714B" w:rsidRPr="001B4CA2" w:rsidRDefault="0038714B" w:rsidP="0038714B">
            <w:pPr>
              <w:jc w:val="center"/>
              <w:rPr>
                <w:rFonts w:eastAsia="Times New Roman"/>
                <w:b/>
                <w:bCs/>
                <w:color w:val="000000"/>
                <w:sz w:val="18"/>
                <w:szCs w:val="18"/>
                <w:lang w:eastAsia="hr-HR"/>
              </w:rPr>
            </w:pPr>
            <w:r w:rsidRPr="001B4CA2">
              <w:rPr>
                <w:rFonts w:eastAsia="Times New Roman"/>
                <w:b/>
                <w:bCs/>
                <w:color w:val="000000"/>
                <w:sz w:val="18"/>
                <w:szCs w:val="18"/>
                <w:lang w:eastAsia="hr-HR"/>
              </w:rPr>
              <w:t>Neposredna optužnica</w:t>
            </w:r>
          </w:p>
        </w:tc>
        <w:tc>
          <w:tcPr>
            <w:tcW w:w="1110" w:type="dxa"/>
            <w:shd w:val="clear" w:color="000000" w:fill="99CCFF"/>
            <w:vAlign w:val="center"/>
            <w:hideMark/>
          </w:tcPr>
          <w:p w14:paraId="203F3D75" w14:textId="77777777" w:rsidR="0038714B" w:rsidRPr="001B4CA2" w:rsidRDefault="0038714B" w:rsidP="0038714B">
            <w:pPr>
              <w:jc w:val="center"/>
              <w:rPr>
                <w:rFonts w:eastAsia="Times New Roman"/>
                <w:b/>
                <w:bCs/>
                <w:color w:val="000000"/>
                <w:sz w:val="18"/>
                <w:szCs w:val="18"/>
                <w:lang w:eastAsia="hr-HR"/>
              </w:rPr>
            </w:pPr>
            <w:r w:rsidRPr="001B4CA2">
              <w:rPr>
                <w:rFonts w:eastAsia="Times New Roman"/>
                <w:b/>
                <w:bCs/>
                <w:color w:val="000000"/>
                <w:sz w:val="18"/>
                <w:szCs w:val="18"/>
                <w:lang w:eastAsia="hr-HR"/>
              </w:rPr>
              <w:t>Optužnica s kaznenim nalogom</w:t>
            </w:r>
          </w:p>
        </w:tc>
        <w:tc>
          <w:tcPr>
            <w:tcW w:w="1091" w:type="dxa"/>
            <w:shd w:val="clear" w:color="000000" w:fill="99CCFF"/>
            <w:vAlign w:val="center"/>
            <w:hideMark/>
          </w:tcPr>
          <w:p w14:paraId="35256C8C" w14:textId="77777777" w:rsidR="0038714B" w:rsidRPr="001B4CA2" w:rsidRDefault="0038714B" w:rsidP="0038714B">
            <w:pPr>
              <w:jc w:val="center"/>
              <w:rPr>
                <w:rFonts w:eastAsia="Times New Roman"/>
                <w:b/>
                <w:bCs/>
                <w:color w:val="000000"/>
                <w:sz w:val="18"/>
                <w:szCs w:val="18"/>
                <w:lang w:eastAsia="hr-HR"/>
              </w:rPr>
            </w:pPr>
            <w:r w:rsidRPr="001B4CA2">
              <w:rPr>
                <w:rFonts w:eastAsia="Times New Roman"/>
                <w:b/>
                <w:bCs/>
                <w:color w:val="000000"/>
                <w:sz w:val="18"/>
                <w:szCs w:val="18"/>
                <w:lang w:eastAsia="hr-HR"/>
              </w:rPr>
              <w:t>Optužnica nakon istrage</w:t>
            </w:r>
          </w:p>
        </w:tc>
        <w:tc>
          <w:tcPr>
            <w:tcW w:w="1059" w:type="dxa"/>
            <w:shd w:val="clear" w:color="000000" w:fill="99CCFF"/>
            <w:vAlign w:val="center"/>
            <w:hideMark/>
          </w:tcPr>
          <w:p w14:paraId="77C215CA" w14:textId="77777777" w:rsidR="0038714B" w:rsidRPr="001B4CA2" w:rsidRDefault="0038714B" w:rsidP="0038714B">
            <w:pPr>
              <w:jc w:val="center"/>
              <w:rPr>
                <w:rFonts w:eastAsia="Times New Roman"/>
                <w:b/>
                <w:bCs/>
                <w:color w:val="000000"/>
                <w:sz w:val="18"/>
                <w:szCs w:val="18"/>
                <w:lang w:eastAsia="hr-HR"/>
              </w:rPr>
            </w:pPr>
            <w:r w:rsidRPr="001B4CA2">
              <w:rPr>
                <w:rFonts w:eastAsia="Times New Roman"/>
                <w:b/>
                <w:bCs/>
                <w:color w:val="000000"/>
                <w:sz w:val="18"/>
                <w:szCs w:val="18"/>
                <w:lang w:eastAsia="hr-HR"/>
              </w:rPr>
              <w:t>Ukupno optužnica</w:t>
            </w:r>
          </w:p>
        </w:tc>
        <w:tc>
          <w:tcPr>
            <w:tcW w:w="1059" w:type="dxa"/>
            <w:vMerge/>
            <w:vAlign w:val="center"/>
            <w:hideMark/>
          </w:tcPr>
          <w:p w14:paraId="6BCAEBE7" w14:textId="77777777" w:rsidR="0038714B" w:rsidRPr="001B4CA2" w:rsidRDefault="0038714B" w:rsidP="0038714B">
            <w:pPr>
              <w:jc w:val="left"/>
              <w:rPr>
                <w:rFonts w:eastAsia="Times New Roman"/>
                <w:b/>
                <w:bCs/>
                <w:color w:val="000000"/>
                <w:sz w:val="18"/>
                <w:szCs w:val="18"/>
                <w:lang w:eastAsia="hr-HR"/>
              </w:rPr>
            </w:pPr>
          </w:p>
        </w:tc>
      </w:tr>
      <w:tr w:rsidR="0038714B" w:rsidRPr="001B4CA2" w14:paraId="6D34A30E" w14:textId="77777777" w:rsidTr="004754FC">
        <w:trPr>
          <w:trHeight w:val="312"/>
        </w:trPr>
        <w:tc>
          <w:tcPr>
            <w:tcW w:w="878" w:type="dxa"/>
            <w:shd w:val="clear" w:color="auto" w:fill="auto"/>
            <w:vAlign w:val="center"/>
            <w:hideMark/>
          </w:tcPr>
          <w:p w14:paraId="51D1B4F5" w14:textId="12755C88" w:rsidR="0038714B" w:rsidRPr="001B4CA2" w:rsidRDefault="0038714B" w:rsidP="0038714B">
            <w:pPr>
              <w:jc w:val="center"/>
              <w:rPr>
                <w:rFonts w:eastAsia="Times New Roman"/>
                <w:color w:val="000000"/>
                <w:sz w:val="18"/>
                <w:szCs w:val="18"/>
                <w:lang w:eastAsia="hr-HR"/>
              </w:rPr>
            </w:pPr>
            <w:r w:rsidRPr="001B4CA2">
              <w:rPr>
                <w:rFonts w:eastAsia="Times New Roman"/>
                <w:color w:val="000000"/>
                <w:sz w:val="18"/>
                <w:szCs w:val="18"/>
                <w:lang w:eastAsia="hr-HR"/>
              </w:rPr>
              <w:t>201</w:t>
            </w:r>
            <w:r w:rsidR="007B163C" w:rsidRPr="001B4CA2">
              <w:rPr>
                <w:rFonts w:eastAsia="Times New Roman"/>
                <w:color w:val="000000"/>
                <w:sz w:val="18"/>
                <w:szCs w:val="18"/>
                <w:lang w:eastAsia="hr-HR"/>
              </w:rPr>
              <w:t>8</w:t>
            </w:r>
            <w:r w:rsidRPr="001B4CA2">
              <w:rPr>
                <w:rFonts w:eastAsia="Times New Roman"/>
                <w:color w:val="000000"/>
                <w:sz w:val="18"/>
                <w:szCs w:val="18"/>
                <w:lang w:eastAsia="hr-HR"/>
              </w:rPr>
              <w:t>.</w:t>
            </w:r>
          </w:p>
        </w:tc>
        <w:tc>
          <w:tcPr>
            <w:tcW w:w="839" w:type="dxa"/>
            <w:shd w:val="clear" w:color="auto" w:fill="auto"/>
            <w:vAlign w:val="center"/>
            <w:hideMark/>
          </w:tcPr>
          <w:p w14:paraId="75180ACB" w14:textId="1F690BED" w:rsidR="0038714B" w:rsidRPr="001B4CA2" w:rsidRDefault="0038714B" w:rsidP="0038714B">
            <w:pPr>
              <w:jc w:val="center"/>
              <w:rPr>
                <w:rFonts w:eastAsia="Times New Roman"/>
                <w:color w:val="000000"/>
                <w:sz w:val="18"/>
                <w:szCs w:val="18"/>
                <w:lang w:eastAsia="hr-HR"/>
              </w:rPr>
            </w:pPr>
          </w:p>
        </w:tc>
        <w:tc>
          <w:tcPr>
            <w:tcW w:w="1079" w:type="dxa"/>
            <w:shd w:val="clear" w:color="auto" w:fill="auto"/>
            <w:vAlign w:val="center"/>
            <w:hideMark/>
          </w:tcPr>
          <w:p w14:paraId="36630E40" w14:textId="1BFB4DBB" w:rsidR="0038714B" w:rsidRPr="001B4CA2" w:rsidRDefault="0038714B" w:rsidP="0038714B">
            <w:pPr>
              <w:jc w:val="center"/>
              <w:rPr>
                <w:rFonts w:eastAsia="Times New Roman"/>
                <w:color w:val="000000"/>
                <w:sz w:val="18"/>
                <w:szCs w:val="18"/>
                <w:lang w:eastAsia="hr-HR"/>
              </w:rPr>
            </w:pPr>
          </w:p>
        </w:tc>
        <w:tc>
          <w:tcPr>
            <w:tcW w:w="961" w:type="dxa"/>
            <w:shd w:val="clear" w:color="auto" w:fill="auto"/>
            <w:vAlign w:val="center"/>
            <w:hideMark/>
          </w:tcPr>
          <w:p w14:paraId="11267483" w14:textId="12E1BA9E" w:rsidR="0038714B" w:rsidRPr="001B4CA2" w:rsidRDefault="0038714B" w:rsidP="0038714B">
            <w:pPr>
              <w:jc w:val="center"/>
              <w:rPr>
                <w:rFonts w:eastAsia="Times New Roman"/>
                <w:color w:val="000000"/>
                <w:sz w:val="18"/>
                <w:szCs w:val="18"/>
                <w:lang w:eastAsia="hr-HR"/>
              </w:rPr>
            </w:pPr>
          </w:p>
        </w:tc>
        <w:tc>
          <w:tcPr>
            <w:tcW w:w="1272" w:type="dxa"/>
            <w:shd w:val="clear" w:color="000000" w:fill="FFFFFF"/>
            <w:vAlign w:val="center"/>
            <w:hideMark/>
          </w:tcPr>
          <w:p w14:paraId="0B506F1B" w14:textId="734496E1"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7</w:t>
            </w:r>
          </w:p>
        </w:tc>
        <w:tc>
          <w:tcPr>
            <w:tcW w:w="1110" w:type="dxa"/>
            <w:shd w:val="clear" w:color="000000" w:fill="FFFFFF"/>
            <w:vAlign w:val="center"/>
          </w:tcPr>
          <w:p w14:paraId="27C3040D" w14:textId="23538F19" w:rsidR="0038714B" w:rsidRPr="001B4CA2" w:rsidRDefault="0038714B" w:rsidP="0038714B">
            <w:pPr>
              <w:jc w:val="center"/>
              <w:rPr>
                <w:rFonts w:eastAsia="Times New Roman"/>
                <w:color w:val="000000"/>
                <w:sz w:val="18"/>
                <w:szCs w:val="18"/>
                <w:lang w:eastAsia="hr-HR"/>
              </w:rPr>
            </w:pPr>
          </w:p>
        </w:tc>
        <w:tc>
          <w:tcPr>
            <w:tcW w:w="1091" w:type="dxa"/>
            <w:shd w:val="clear" w:color="000000" w:fill="FFFFFF"/>
            <w:vAlign w:val="center"/>
            <w:hideMark/>
          </w:tcPr>
          <w:p w14:paraId="7F7F24C2" w14:textId="1E4CCEF8"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447</w:t>
            </w:r>
          </w:p>
        </w:tc>
        <w:tc>
          <w:tcPr>
            <w:tcW w:w="1059" w:type="dxa"/>
            <w:shd w:val="clear" w:color="auto" w:fill="auto"/>
            <w:vAlign w:val="center"/>
            <w:hideMark/>
          </w:tcPr>
          <w:p w14:paraId="4BB235F7" w14:textId="27FA34B4"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454</w:t>
            </w:r>
          </w:p>
        </w:tc>
        <w:tc>
          <w:tcPr>
            <w:tcW w:w="1059" w:type="dxa"/>
            <w:shd w:val="clear" w:color="auto" w:fill="auto"/>
            <w:vAlign w:val="center"/>
            <w:hideMark/>
          </w:tcPr>
          <w:p w14:paraId="0ECD1894" w14:textId="78C0F9A7" w:rsidR="0038714B" w:rsidRPr="001B4CA2" w:rsidRDefault="0038714B" w:rsidP="0038714B">
            <w:pPr>
              <w:jc w:val="center"/>
              <w:rPr>
                <w:rFonts w:eastAsia="Times New Roman"/>
                <w:color w:val="000000"/>
                <w:sz w:val="18"/>
                <w:szCs w:val="18"/>
                <w:lang w:eastAsia="hr-HR"/>
              </w:rPr>
            </w:pPr>
          </w:p>
        </w:tc>
      </w:tr>
      <w:tr w:rsidR="0038714B" w:rsidRPr="001B4CA2" w14:paraId="5385B3C6" w14:textId="77777777" w:rsidTr="004754FC">
        <w:trPr>
          <w:trHeight w:val="312"/>
        </w:trPr>
        <w:tc>
          <w:tcPr>
            <w:tcW w:w="878" w:type="dxa"/>
            <w:shd w:val="clear" w:color="auto" w:fill="auto"/>
            <w:vAlign w:val="center"/>
            <w:hideMark/>
          </w:tcPr>
          <w:p w14:paraId="17604042" w14:textId="2672D8D2" w:rsidR="0038714B" w:rsidRPr="001B4CA2" w:rsidRDefault="0038714B" w:rsidP="0038714B">
            <w:pPr>
              <w:jc w:val="center"/>
              <w:rPr>
                <w:rFonts w:eastAsia="Times New Roman"/>
                <w:color w:val="000000"/>
                <w:sz w:val="18"/>
                <w:szCs w:val="18"/>
                <w:lang w:eastAsia="hr-HR"/>
              </w:rPr>
            </w:pPr>
            <w:r w:rsidRPr="001B4CA2">
              <w:rPr>
                <w:rFonts w:eastAsia="Times New Roman"/>
                <w:color w:val="000000"/>
                <w:sz w:val="18"/>
                <w:szCs w:val="18"/>
                <w:lang w:eastAsia="hr-HR"/>
              </w:rPr>
              <w:t>201</w:t>
            </w:r>
            <w:r w:rsidR="007B163C" w:rsidRPr="001B4CA2">
              <w:rPr>
                <w:rFonts w:eastAsia="Times New Roman"/>
                <w:color w:val="000000"/>
                <w:sz w:val="18"/>
                <w:szCs w:val="18"/>
                <w:lang w:eastAsia="hr-HR"/>
              </w:rPr>
              <w:t>9</w:t>
            </w:r>
            <w:r w:rsidRPr="001B4CA2">
              <w:rPr>
                <w:rFonts w:eastAsia="Times New Roman"/>
                <w:color w:val="000000"/>
                <w:sz w:val="18"/>
                <w:szCs w:val="18"/>
                <w:lang w:eastAsia="hr-HR"/>
              </w:rPr>
              <w:t>.</w:t>
            </w:r>
          </w:p>
        </w:tc>
        <w:tc>
          <w:tcPr>
            <w:tcW w:w="839" w:type="dxa"/>
            <w:shd w:val="clear" w:color="auto" w:fill="auto"/>
            <w:vAlign w:val="center"/>
            <w:hideMark/>
          </w:tcPr>
          <w:p w14:paraId="628DD44E" w14:textId="1E367158" w:rsidR="0038714B" w:rsidRPr="001B4CA2" w:rsidRDefault="0038714B" w:rsidP="0038714B">
            <w:pPr>
              <w:jc w:val="center"/>
              <w:rPr>
                <w:rFonts w:eastAsia="Times New Roman"/>
                <w:color w:val="000000"/>
                <w:sz w:val="18"/>
                <w:szCs w:val="18"/>
                <w:lang w:eastAsia="hr-HR"/>
              </w:rPr>
            </w:pPr>
          </w:p>
        </w:tc>
        <w:tc>
          <w:tcPr>
            <w:tcW w:w="1079" w:type="dxa"/>
            <w:shd w:val="clear" w:color="auto" w:fill="auto"/>
            <w:vAlign w:val="center"/>
            <w:hideMark/>
          </w:tcPr>
          <w:p w14:paraId="7616943E" w14:textId="29A70DD1" w:rsidR="0038714B" w:rsidRPr="001B4CA2" w:rsidRDefault="0038714B" w:rsidP="0038714B">
            <w:pPr>
              <w:jc w:val="center"/>
              <w:rPr>
                <w:rFonts w:eastAsia="Times New Roman"/>
                <w:color w:val="000000"/>
                <w:sz w:val="18"/>
                <w:szCs w:val="18"/>
                <w:lang w:eastAsia="hr-HR"/>
              </w:rPr>
            </w:pPr>
          </w:p>
        </w:tc>
        <w:tc>
          <w:tcPr>
            <w:tcW w:w="961" w:type="dxa"/>
            <w:shd w:val="clear" w:color="auto" w:fill="auto"/>
            <w:vAlign w:val="center"/>
            <w:hideMark/>
          </w:tcPr>
          <w:p w14:paraId="5B41FB8B" w14:textId="08C9E465" w:rsidR="0038714B" w:rsidRPr="001B4CA2" w:rsidRDefault="0038714B" w:rsidP="0038714B">
            <w:pPr>
              <w:jc w:val="center"/>
              <w:rPr>
                <w:rFonts w:eastAsia="Times New Roman"/>
                <w:color w:val="000000"/>
                <w:sz w:val="18"/>
                <w:szCs w:val="18"/>
                <w:lang w:eastAsia="hr-HR"/>
              </w:rPr>
            </w:pPr>
          </w:p>
        </w:tc>
        <w:tc>
          <w:tcPr>
            <w:tcW w:w="1272" w:type="dxa"/>
            <w:shd w:val="clear" w:color="000000" w:fill="FFFFFF"/>
            <w:vAlign w:val="center"/>
            <w:hideMark/>
          </w:tcPr>
          <w:p w14:paraId="0D5BE86E" w14:textId="4E7D0A2C"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32</w:t>
            </w:r>
          </w:p>
        </w:tc>
        <w:tc>
          <w:tcPr>
            <w:tcW w:w="1110" w:type="dxa"/>
            <w:shd w:val="clear" w:color="000000" w:fill="FFFFFF"/>
            <w:vAlign w:val="center"/>
          </w:tcPr>
          <w:p w14:paraId="19F06AC7" w14:textId="57A58913" w:rsidR="0038714B" w:rsidRPr="001B4CA2" w:rsidRDefault="0038714B" w:rsidP="0038714B">
            <w:pPr>
              <w:jc w:val="center"/>
              <w:rPr>
                <w:rFonts w:eastAsia="Times New Roman"/>
                <w:color w:val="000000"/>
                <w:sz w:val="18"/>
                <w:szCs w:val="18"/>
                <w:lang w:eastAsia="hr-HR"/>
              </w:rPr>
            </w:pPr>
          </w:p>
        </w:tc>
        <w:tc>
          <w:tcPr>
            <w:tcW w:w="1091" w:type="dxa"/>
            <w:shd w:val="clear" w:color="000000" w:fill="FFFFFF"/>
            <w:vAlign w:val="center"/>
            <w:hideMark/>
          </w:tcPr>
          <w:p w14:paraId="373D0B37" w14:textId="150ABBA6"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511</w:t>
            </w:r>
          </w:p>
        </w:tc>
        <w:tc>
          <w:tcPr>
            <w:tcW w:w="1059" w:type="dxa"/>
            <w:shd w:val="clear" w:color="auto" w:fill="auto"/>
            <w:vAlign w:val="center"/>
            <w:hideMark/>
          </w:tcPr>
          <w:p w14:paraId="3BE41C4A" w14:textId="568F2BBC"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543</w:t>
            </w:r>
          </w:p>
        </w:tc>
        <w:tc>
          <w:tcPr>
            <w:tcW w:w="1059" w:type="dxa"/>
            <w:shd w:val="clear" w:color="auto" w:fill="auto"/>
            <w:vAlign w:val="center"/>
            <w:hideMark/>
          </w:tcPr>
          <w:p w14:paraId="391E1E85" w14:textId="444BA586" w:rsidR="0038714B" w:rsidRPr="001B4CA2" w:rsidRDefault="0038714B" w:rsidP="0038714B">
            <w:pPr>
              <w:jc w:val="center"/>
              <w:rPr>
                <w:rFonts w:eastAsia="Times New Roman"/>
                <w:color w:val="000000"/>
                <w:sz w:val="18"/>
                <w:szCs w:val="18"/>
                <w:lang w:eastAsia="hr-HR"/>
              </w:rPr>
            </w:pPr>
          </w:p>
        </w:tc>
      </w:tr>
      <w:tr w:rsidR="0038714B" w:rsidRPr="001B4CA2" w14:paraId="7E92C4B3" w14:textId="77777777" w:rsidTr="004754FC">
        <w:trPr>
          <w:trHeight w:val="312"/>
        </w:trPr>
        <w:tc>
          <w:tcPr>
            <w:tcW w:w="878" w:type="dxa"/>
            <w:shd w:val="clear" w:color="auto" w:fill="auto"/>
            <w:vAlign w:val="center"/>
            <w:hideMark/>
          </w:tcPr>
          <w:p w14:paraId="4B4E9C81" w14:textId="68D280B2" w:rsidR="0038714B" w:rsidRPr="001B4CA2" w:rsidRDefault="0038714B" w:rsidP="0038714B">
            <w:pPr>
              <w:jc w:val="center"/>
              <w:rPr>
                <w:rFonts w:eastAsia="Times New Roman"/>
                <w:color w:val="000000"/>
                <w:sz w:val="18"/>
                <w:szCs w:val="18"/>
                <w:lang w:eastAsia="hr-HR"/>
              </w:rPr>
            </w:pPr>
            <w:r w:rsidRPr="001B4CA2">
              <w:rPr>
                <w:rFonts w:eastAsia="Times New Roman"/>
                <w:color w:val="000000"/>
                <w:sz w:val="18"/>
                <w:szCs w:val="18"/>
                <w:lang w:eastAsia="hr-HR"/>
              </w:rPr>
              <w:t>20</w:t>
            </w:r>
            <w:r w:rsidR="007B163C" w:rsidRPr="001B4CA2">
              <w:rPr>
                <w:rFonts w:eastAsia="Times New Roman"/>
                <w:color w:val="000000"/>
                <w:sz w:val="18"/>
                <w:szCs w:val="18"/>
                <w:lang w:eastAsia="hr-HR"/>
              </w:rPr>
              <w:t>20</w:t>
            </w:r>
            <w:r w:rsidRPr="001B4CA2">
              <w:rPr>
                <w:rFonts w:eastAsia="Times New Roman"/>
                <w:color w:val="000000"/>
                <w:sz w:val="18"/>
                <w:szCs w:val="18"/>
                <w:lang w:eastAsia="hr-HR"/>
              </w:rPr>
              <w:t>.</w:t>
            </w:r>
          </w:p>
        </w:tc>
        <w:tc>
          <w:tcPr>
            <w:tcW w:w="839" w:type="dxa"/>
            <w:shd w:val="clear" w:color="auto" w:fill="auto"/>
            <w:vAlign w:val="center"/>
            <w:hideMark/>
          </w:tcPr>
          <w:p w14:paraId="21D6D815" w14:textId="1B0AB7E6"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1.282</w:t>
            </w:r>
          </w:p>
        </w:tc>
        <w:tc>
          <w:tcPr>
            <w:tcW w:w="1079" w:type="dxa"/>
            <w:shd w:val="clear" w:color="auto" w:fill="auto"/>
            <w:vAlign w:val="center"/>
            <w:hideMark/>
          </w:tcPr>
          <w:p w14:paraId="4A2C6197" w14:textId="5F15A660"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217</w:t>
            </w:r>
          </w:p>
        </w:tc>
        <w:tc>
          <w:tcPr>
            <w:tcW w:w="961" w:type="dxa"/>
            <w:shd w:val="clear" w:color="auto" w:fill="auto"/>
            <w:vAlign w:val="center"/>
            <w:hideMark/>
          </w:tcPr>
          <w:p w14:paraId="23A8AE08" w14:textId="418EB9DE" w:rsidR="0038714B" w:rsidRPr="001B4CA2" w:rsidRDefault="0038714B" w:rsidP="0038714B">
            <w:pPr>
              <w:jc w:val="center"/>
              <w:rPr>
                <w:rFonts w:eastAsia="Times New Roman"/>
                <w:color w:val="000000"/>
                <w:sz w:val="18"/>
                <w:szCs w:val="18"/>
                <w:lang w:eastAsia="hr-HR"/>
              </w:rPr>
            </w:pPr>
          </w:p>
        </w:tc>
        <w:tc>
          <w:tcPr>
            <w:tcW w:w="1272" w:type="dxa"/>
            <w:shd w:val="clear" w:color="000000" w:fill="FFFFFF"/>
            <w:vAlign w:val="center"/>
            <w:hideMark/>
          </w:tcPr>
          <w:p w14:paraId="19292A06" w14:textId="5381D69A"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4</w:t>
            </w:r>
          </w:p>
        </w:tc>
        <w:tc>
          <w:tcPr>
            <w:tcW w:w="1110" w:type="dxa"/>
            <w:shd w:val="clear" w:color="000000" w:fill="FFFFFF"/>
            <w:vAlign w:val="center"/>
          </w:tcPr>
          <w:p w14:paraId="5B3DD5BC" w14:textId="04887353" w:rsidR="0038714B" w:rsidRPr="001B4CA2" w:rsidRDefault="0038714B" w:rsidP="0038714B">
            <w:pPr>
              <w:jc w:val="center"/>
              <w:rPr>
                <w:rFonts w:eastAsia="Times New Roman"/>
                <w:color w:val="000000"/>
                <w:sz w:val="18"/>
                <w:szCs w:val="18"/>
                <w:lang w:eastAsia="hr-HR"/>
              </w:rPr>
            </w:pPr>
          </w:p>
        </w:tc>
        <w:tc>
          <w:tcPr>
            <w:tcW w:w="1091" w:type="dxa"/>
            <w:shd w:val="clear" w:color="000000" w:fill="FFFFFF"/>
            <w:vAlign w:val="center"/>
            <w:hideMark/>
          </w:tcPr>
          <w:p w14:paraId="6E3D77EB" w14:textId="23CE3F01"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602</w:t>
            </w:r>
          </w:p>
        </w:tc>
        <w:tc>
          <w:tcPr>
            <w:tcW w:w="1059" w:type="dxa"/>
            <w:shd w:val="clear" w:color="auto" w:fill="auto"/>
            <w:vAlign w:val="center"/>
            <w:hideMark/>
          </w:tcPr>
          <w:p w14:paraId="472E5E6B" w14:textId="78FE7901"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606</w:t>
            </w:r>
          </w:p>
        </w:tc>
        <w:tc>
          <w:tcPr>
            <w:tcW w:w="1059" w:type="dxa"/>
            <w:shd w:val="clear" w:color="auto" w:fill="auto"/>
            <w:vAlign w:val="center"/>
            <w:hideMark/>
          </w:tcPr>
          <w:p w14:paraId="58E905DD" w14:textId="7DB90343"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1.888</w:t>
            </w:r>
          </w:p>
        </w:tc>
      </w:tr>
      <w:tr w:rsidR="0038714B" w:rsidRPr="001B4CA2" w14:paraId="2CF53832" w14:textId="77777777" w:rsidTr="004754FC">
        <w:trPr>
          <w:trHeight w:val="312"/>
        </w:trPr>
        <w:tc>
          <w:tcPr>
            <w:tcW w:w="878" w:type="dxa"/>
            <w:shd w:val="clear" w:color="auto" w:fill="auto"/>
            <w:noWrap/>
            <w:vAlign w:val="center"/>
            <w:hideMark/>
          </w:tcPr>
          <w:p w14:paraId="5F9109ED" w14:textId="0CD5ACA6" w:rsidR="0038714B" w:rsidRPr="001B4CA2" w:rsidRDefault="0038714B" w:rsidP="0038714B">
            <w:pPr>
              <w:jc w:val="center"/>
              <w:rPr>
                <w:rFonts w:eastAsia="Times New Roman"/>
                <w:color w:val="000000"/>
                <w:sz w:val="18"/>
                <w:szCs w:val="18"/>
                <w:lang w:eastAsia="hr-HR"/>
              </w:rPr>
            </w:pPr>
            <w:r w:rsidRPr="001B4CA2">
              <w:rPr>
                <w:rFonts w:eastAsia="Times New Roman"/>
                <w:color w:val="000000"/>
                <w:sz w:val="18"/>
                <w:szCs w:val="18"/>
                <w:lang w:eastAsia="hr-HR"/>
              </w:rPr>
              <w:t>202</w:t>
            </w:r>
            <w:r w:rsidR="007B163C" w:rsidRPr="001B4CA2">
              <w:rPr>
                <w:rFonts w:eastAsia="Times New Roman"/>
                <w:color w:val="000000"/>
                <w:sz w:val="18"/>
                <w:szCs w:val="18"/>
                <w:lang w:eastAsia="hr-HR"/>
              </w:rPr>
              <w:t>1</w:t>
            </w:r>
            <w:r w:rsidRPr="001B4CA2">
              <w:rPr>
                <w:rFonts w:eastAsia="Times New Roman"/>
                <w:color w:val="000000"/>
                <w:sz w:val="18"/>
                <w:szCs w:val="18"/>
                <w:lang w:eastAsia="hr-HR"/>
              </w:rPr>
              <w:t>.</w:t>
            </w:r>
          </w:p>
        </w:tc>
        <w:tc>
          <w:tcPr>
            <w:tcW w:w="839" w:type="dxa"/>
            <w:shd w:val="clear" w:color="auto" w:fill="auto"/>
            <w:vAlign w:val="center"/>
            <w:hideMark/>
          </w:tcPr>
          <w:p w14:paraId="5A36AF86" w14:textId="48CAC926" w:rsidR="0038714B" w:rsidRPr="001B4CA2" w:rsidRDefault="0038714B" w:rsidP="0038714B">
            <w:pPr>
              <w:jc w:val="center"/>
              <w:rPr>
                <w:rFonts w:eastAsia="Times New Roman"/>
                <w:color w:val="000000"/>
                <w:sz w:val="18"/>
                <w:szCs w:val="18"/>
                <w:lang w:eastAsia="hr-HR"/>
              </w:rPr>
            </w:pPr>
            <w:r w:rsidRPr="001B4CA2">
              <w:rPr>
                <w:rFonts w:eastAsia="Times New Roman"/>
                <w:color w:val="000000"/>
                <w:sz w:val="18"/>
                <w:szCs w:val="18"/>
                <w:lang w:eastAsia="hr-HR"/>
              </w:rPr>
              <w:t>1.</w:t>
            </w:r>
            <w:r w:rsidR="007B163C" w:rsidRPr="001B4CA2">
              <w:rPr>
                <w:rFonts w:eastAsia="Times New Roman"/>
                <w:color w:val="000000"/>
                <w:sz w:val="18"/>
                <w:szCs w:val="18"/>
                <w:lang w:eastAsia="hr-HR"/>
              </w:rPr>
              <w:t>969</w:t>
            </w:r>
          </w:p>
        </w:tc>
        <w:tc>
          <w:tcPr>
            <w:tcW w:w="1079" w:type="dxa"/>
            <w:shd w:val="clear" w:color="auto" w:fill="auto"/>
            <w:vAlign w:val="center"/>
            <w:hideMark/>
          </w:tcPr>
          <w:p w14:paraId="7EF88D21" w14:textId="18C36BB4"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462</w:t>
            </w:r>
          </w:p>
        </w:tc>
        <w:tc>
          <w:tcPr>
            <w:tcW w:w="961" w:type="dxa"/>
            <w:shd w:val="clear" w:color="auto" w:fill="auto"/>
            <w:vAlign w:val="center"/>
            <w:hideMark/>
          </w:tcPr>
          <w:p w14:paraId="204B28F2" w14:textId="300FDA22"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300</w:t>
            </w:r>
          </w:p>
        </w:tc>
        <w:tc>
          <w:tcPr>
            <w:tcW w:w="1272" w:type="dxa"/>
            <w:shd w:val="clear" w:color="000000" w:fill="FFFFFF"/>
            <w:vAlign w:val="center"/>
            <w:hideMark/>
          </w:tcPr>
          <w:p w14:paraId="7E6E8C6D" w14:textId="15F337F4"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31</w:t>
            </w:r>
          </w:p>
        </w:tc>
        <w:tc>
          <w:tcPr>
            <w:tcW w:w="1110" w:type="dxa"/>
            <w:shd w:val="clear" w:color="000000" w:fill="FFFFFF"/>
            <w:vAlign w:val="center"/>
          </w:tcPr>
          <w:p w14:paraId="720E1A7F" w14:textId="01BCED54" w:rsidR="0038714B" w:rsidRPr="001B4CA2" w:rsidRDefault="0038714B" w:rsidP="0038714B">
            <w:pPr>
              <w:jc w:val="center"/>
              <w:rPr>
                <w:rFonts w:eastAsia="Times New Roman"/>
                <w:color w:val="000000"/>
                <w:sz w:val="18"/>
                <w:szCs w:val="18"/>
                <w:lang w:eastAsia="hr-HR"/>
              </w:rPr>
            </w:pPr>
          </w:p>
        </w:tc>
        <w:tc>
          <w:tcPr>
            <w:tcW w:w="1091" w:type="dxa"/>
            <w:shd w:val="clear" w:color="000000" w:fill="FFFFFF"/>
            <w:vAlign w:val="center"/>
            <w:hideMark/>
          </w:tcPr>
          <w:p w14:paraId="221B5F5E" w14:textId="6E2967E8"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599</w:t>
            </w:r>
          </w:p>
        </w:tc>
        <w:tc>
          <w:tcPr>
            <w:tcW w:w="1059" w:type="dxa"/>
            <w:shd w:val="clear" w:color="auto" w:fill="auto"/>
            <w:vAlign w:val="center"/>
            <w:hideMark/>
          </w:tcPr>
          <w:p w14:paraId="0F265BEA" w14:textId="352B63DC"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630</w:t>
            </w:r>
          </w:p>
        </w:tc>
        <w:tc>
          <w:tcPr>
            <w:tcW w:w="1059" w:type="dxa"/>
            <w:shd w:val="clear" w:color="auto" w:fill="auto"/>
            <w:vAlign w:val="center"/>
            <w:hideMark/>
          </w:tcPr>
          <w:p w14:paraId="4DA0CD6A" w14:textId="6F15D9F1"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2</w:t>
            </w:r>
            <w:r w:rsidR="0038714B" w:rsidRPr="001B4CA2">
              <w:rPr>
                <w:rFonts w:eastAsia="Times New Roman"/>
                <w:color w:val="000000"/>
                <w:sz w:val="18"/>
                <w:szCs w:val="18"/>
                <w:lang w:eastAsia="hr-HR"/>
              </w:rPr>
              <w:t>.</w:t>
            </w:r>
            <w:r w:rsidRPr="001B4CA2">
              <w:rPr>
                <w:rFonts w:eastAsia="Times New Roman"/>
                <w:color w:val="000000"/>
                <w:sz w:val="18"/>
                <w:szCs w:val="18"/>
                <w:lang w:eastAsia="hr-HR"/>
              </w:rPr>
              <w:t>899</w:t>
            </w:r>
          </w:p>
        </w:tc>
      </w:tr>
      <w:tr w:rsidR="0038714B" w:rsidRPr="001B4CA2" w14:paraId="2C50DD93" w14:textId="77777777" w:rsidTr="004754FC">
        <w:trPr>
          <w:trHeight w:val="312"/>
        </w:trPr>
        <w:tc>
          <w:tcPr>
            <w:tcW w:w="878" w:type="dxa"/>
            <w:shd w:val="clear" w:color="auto" w:fill="auto"/>
            <w:noWrap/>
            <w:vAlign w:val="center"/>
            <w:hideMark/>
          </w:tcPr>
          <w:p w14:paraId="5679A417" w14:textId="35E7205C" w:rsidR="0038714B" w:rsidRPr="001B4CA2" w:rsidRDefault="0038714B" w:rsidP="0038714B">
            <w:pPr>
              <w:jc w:val="center"/>
              <w:rPr>
                <w:rFonts w:eastAsia="Times New Roman"/>
                <w:color w:val="000000"/>
                <w:sz w:val="18"/>
                <w:szCs w:val="18"/>
                <w:lang w:eastAsia="hr-HR"/>
              </w:rPr>
            </w:pPr>
            <w:r w:rsidRPr="001B4CA2">
              <w:rPr>
                <w:rFonts w:eastAsia="Times New Roman"/>
                <w:color w:val="000000"/>
                <w:sz w:val="18"/>
                <w:szCs w:val="18"/>
                <w:lang w:eastAsia="hr-HR"/>
              </w:rPr>
              <w:t>202</w:t>
            </w:r>
            <w:r w:rsidR="007B163C" w:rsidRPr="001B4CA2">
              <w:rPr>
                <w:rFonts w:eastAsia="Times New Roman"/>
                <w:color w:val="000000"/>
                <w:sz w:val="18"/>
                <w:szCs w:val="18"/>
                <w:lang w:eastAsia="hr-HR"/>
              </w:rPr>
              <w:t>2</w:t>
            </w:r>
            <w:r w:rsidRPr="001B4CA2">
              <w:rPr>
                <w:rFonts w:eastAsia="Times New Roman"/>
                <w:color w:val="000000"/>
                <w:sz w:val="18"/>
                <w:szCs w:val="18"/>
                <w:lang w:eastAsia="hr-HR"/>
              </w:rPr>
              <w:t>.</w:t>
            </w:r>
          </w:p>
        </w:tc>
        <w:tc>
          <w:tcPr>
            <w:tcW w:w="839" w:type="dxa"/>
            <w:shd w:val="clear" w:color="auto" w:fill="auto"/>
            <w:vAlign w:val="center"/>
            <w:hideMark/>
          </w:tcPr>
          <w:p w14:paraId="1398DC9A" w14:textId="089986C3"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2.949</w:t>
            </w:r>
          </w:p>
        </w:tc>
        <w:tc>
          <w:tcPr>
            <w:tcW w:w="1079" w:type="dxa"/>
            <w:shd w:val="clear" w:color="auto" w:fill="auto"/>
            <w:vAlign w:val="center"/>
            <w:hideMark/>
          </w:tcPr>
          <w:p w14:paraId="6A53B60B" w14:textId="3DD30DED"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402</w:t>
            </w:r>
          </w:p>
        </w:tc>
        <w:tc>
          <w:tcPr>
            <w:tcW w:w="961" w:type="dxa"/>
            <w:shd w:val="clear" w:color="auto" w:fill="auto"/>
            <w:vAlign w:val="center"/>
            <w:hideMark/>
          </w:tcPr>
          <w:p w14:paraId="287BA362" w14:textId="438DED41"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203</w:t>
            </w:r>
          </w:p>
        </w:tc>
        <w:tc>
          <w:tcPr>
            <w:tcW w:w="1272" w:type="dxa"/>
            <w:shd w:val="clear" w:color="000000" w:fill="FFFFFF"/>
            <w:vAlign w:val="center"/>
            <w:hideMark/>
          </w:tcPr>
          <w:p w14:paraId="2A37A2D8" w14:textId="77777777" w:rsidR="0038714B" w:rsidRPr="001B4CA2" w:rsidRDefault="0038714B" w:rsidP="0038714B">
            <w:pPr>
              <w:jc w:val="center"/>
              <w:rPr>
                <w:rFonts w:eastAsia="Times New Roman"/>
                <w:color w:val="000000"/>
                <w:sz w:val="18"/>
                <w:szCs w:val="18"/>
                <w:lang w:eastAsia="hr-HR"/>
              </w:rPr>
            </w:pPr>
            <w:r w:rsidRPr="001B4CA2">
              <w:rPr>
                <w:rFonts w:eastAsia="Times New Roman"/>
                <w:color w:val="000000"/>
                <w:sz w:val="18"/>
                <w:szCs w:val="18"/>
                <w:lang w:eastAsia="hr-HR"/>
              </w:rPr>
              <w:t>31</w:t>
            </w:r>
          </w:p>
        </w:tc>
        <w:tc>
          <w:tcPr>
            <w:tcW w:w="1110" w:type="dxa"/>
            <w:shd w:val="clear" w:color="000000" w:fill="FFFFFF"/>
            <w:vAlign w:val="center"/>
          </w:tcPr>
          <w:p w14:paraId="336F13CF" w14:textId="47E96F81" w:rsidR="0038714B" w:rsidRPr="001B4CA2" w:rsidRDefault="0038714B" w:rsidP="0038714B">
            <w:pPr>
              <w:jc w:val="center"/>
              <w:rPr>
                <w:rFonts w:eastAsia="Times New Roman"/>
                <w:color w:val="000000"/>
                <w:sz w:val="18"/>
                <w:szCs w:val="18"/>
                <w:lang w:eastAsia="hr-HR"/>
              </w:rPr>
            </w:pPr>
          </w:p>
        </w:tc>
        <w:tc>
          <w:tcPr>
            <w:tcW w:w="1091" w:type="dxa"/>
            <w:shd w:val="clear" w:color="000000" w:fill="FFFFFF"/>
            <w:vAlign w:val="center"/>
            <w:hideMark/>
          </w:tcPr>
          <w:p w14:paraId="4757AFC9" w14:textId="2F519D6E"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609</w:t>
            </w:r>
          </w:p>
        </w:tc>
        <w:tc>
          <w:tcPr>
            <w:tcW w:w="1059" w:type="dxa"/>
            <w:shd w:val="clear" w:color="auto" w:fill="auto"/>
            <w:vAlign w:val="center"/>
            <w:hideMark/>
          </w:tcPr>
          <w:p w14:paraId="09FF85B8" w14:textId="5A0D670A"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640</w:t>
            </w:r>
          </w:p>
        </w:tc>
        <w:tc>
          <w:tcPr>
            <w:tcW w:w="1059" w:type="dxa"/>
            <w:shd w:val="clear" w:color="auto" w:fill="auto"/>
            <w:vAlign w:val="center"/>
            <w:hideMark/>
          </w:tcPr>
          <w:p w14:paraId="2AB99333" w14:textId="66059F9D" w:rsidR="0038714B" w:rsidRPr="001B4CA2" w:rsidRDefault="007B163C" w:rsidP="0038714B">
            <w:pPr>
              <w:jc w:val="center"/>
              <w:rPr>
                <w:rFonts w:eastAsia="Times New Roman"/>
                <w:color w:val="000000"/>
                <w:sz w:val="18"/>
                <w:szCs w:val="18"/>
                <w:lang w:eastAsia="hr-HR"/>
              </w:rPr>
            </w:pPr>
            <w:r w:rsidRPr="001B4CA2">
              <w:rPr>
                <w:rFonts w:eastAsia="Times New Roman"/>
                <w:color w:val="000000"/>
                <w:sz w:val="18"/>
                <w:szCs w:val="18"/>
                <w:lang w:eastAsia="hr-HR"/>
              </w:rPr>
              <w:t>3.792</w:t>
            </w:r>
          </w:p>
        </w:tc>
      </w:tr>
    </w:tbl>
    <w:p w14:paraId="7264B030" w14:textId="77777777" w:rsidR="00F44FA4" w:rsidRPr="001B4CA2" w:rsidRDefault="00F44FA4" w:rsidP="007C5E8A"/>
    <w:p w14:paraId="6C502E52" w14:textId="53963B95" w:rsidR="007B163C" w:rsidRPr="001B4CA2" w:rsidRDefault="007B163C" w:rsidP="007B163C">
      <w:pPr>
        <w:ind w:firstLine="708"/>
      </w:pPr>
      <w:r w:rsidRPr="001B4CA2">
        <w:t>Županijska državna odvjetništva u 2022. godini podigla su optužnice protiv 640 osoba, što je porast od 1,57</w:t>
      </w:r>
      <w:r w:rsidR="00166CCE">
        <w:t> </w:t>
      </w:r>
      <w:r w:rsidRPr="001B4CA2">
        <w:t xml:space="preserve">% u odnosu na ranije izvještajno razdoblje. </w:t>
      </w:r>
    </w:p>
    <w:p w14:paraId="5B0DF161" w14:textId="77777777" w:rsidR="007B163C" w:rsidRPr="001B4CA2" w:rsidRDefault="007B163C" w:rsidP="007B163C">
      <w:pPr>
        <w:ind w:firstLine="708"/>
      </w:pPr>
    </w:p>
    <w:p w14:paraId="40F1FE2A" w14:textId="4578952D" w:rsidR="007B163C" w:rsidRPr="001B4CA2" w:rsidRDefault="007B163C" w:rsidP="007B163C">
      <w:pPr>
        <w:ind w:firstLine="708"/>
      </w:pPr>
      <w:r w:rsidRPr="001B4CA2">
        <w:t>U ovom izvještajnom razdoblju Županijska državna odvjetništva imala su u radu ukupno optužnica protiv 3.792 osobe. Od tog broja u radu pred sudom ostalo je ukupno 2969 optuženih osoba, od čega pred optužnim vijećem 402 optužene osobe. Iz tabelarnog prikaza vidljiv kontinuiran porast</w:t>
      </w:r>
      <w:r w:rsidR="001B4CA2">
        <w:t xml:space="preserve"> </w:t>
      </w:r>
      <w:r w:rsidRPr="001B4CA2">
        <w:t>broja optužnica na kojima rade županijska državna odvjetništva, a i kontinuiran porast optuženih osoba koje su ostale u radu pred sudom, tako da je u 2022. taj broj više nego udvostručen u odnosu na 2020. godinu.</w:t>
      </w:r>
    </w:p>
    <w:p w14:paraId="1EB068A0" w14:textId="77777777" w:rsidR="007B163C" w:rsidRPr="001B4CA2" w:rsidRDefault="007B163C" w:rsidP="007B163C"/>
    <w:p w14:paraId="70AA9405" w14:textId="1591775C" w:rsidR="007B163C" w:rsidRPr="001B4CA2" w:rsidRDefault="007B163C" w:rsidP="007B163C">
      <w:pPr>
        <w:ind w:firstLine="708"/>
      </w:pPr>
      <w:r w:rsidRPr="001B4CA2">
        <w:t>Od ukupno 640 optuženih osoba tijekom 2022. godine 609 optužnica ili 95,16</w:t>
      </w:r>
      <w:r w:rsidR="00166CCE">
        <w:t> </w:t>
      </w:r>
      <w:r w:rsidRPr="001B4CA2">
        <w:t>% podignuto nakon provedene istrage, dok je samo u odnosu na 31 osobu ili 4,84</w:t>
      </w:r>
      <w:r w:rsidR="00166CCE">
        <w:t> </w:t>
      </w:r>
      <w:r w:rsidRPr="001B4CA2">
        <w:t>% podignuta neposredna optužnica.</w:t>
      </w:r>
    </w:p>
    <w:p w14:paraId="5AFD721C" w14:textId="77777777" w:rsidR="007B163C" w:rsidRPr="001B4CA2" w:rsidRDefault="007B163C" w:rsidP="007B163C"/>
    <w:p w14:paraId="480F8466" w14:textId="77777777" w:rsidR="007B163C" w:rsidRPr="001B4CA2" w:rsidRDefault="007B163C" w:rsidP="007B163C">
      <w:pPr>
        <w:ind w:firstLine="708"/>
      </w:pPr>
      <w:r w:rsidRPr="001B4CA2">
        <w:t>Ovakav razmjer očekivan je i uobičajen s obzirom na kazne zapriječene za kaznena djela iz nadležnosti županijskih državnih odvjetništava, za koja se u pravilu provodi istraga. Iz istog razloga za kaznena djela iz županijske nadležnosti nema mogućnosti podizanja optužnice s kaznenim nalogom.</w:t>
      </w:r>
    </w:p>
    <w:p w14:paraId="4C7CC763" w14:textId="77777777" w:rsidR="004E2705" w:rsidRPr="001B4CA2" w:rsidRDefault="004E2705" w:rsidP="007C5E8A"/>
    <w:p w14:paraId="6331C5CF" w14:textId="378234FF" w:rsidR="007C5E8A" w:rsidRPr="001B4CA2" w:rsidRDefault="007C5E8A" w:rsidP="000B3191">
      <w:pPr>
        <w:ind w:left="142"/>
        <w:rPr>
          <w:i/>
        </w:rPr>
      </w:pPr>
      <w:r w:rsidRPr="001B4CA2">
        <w:rPr>
          <w:i/>
        </w:rPr>
        <w:t>Optuženja i odluke sudova povodom optuženja (bez maloljetnih osoba)</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962"/>
        <w:gridCol w:w="735"/>
        <w:gridCol w:w="966"/>
        <w:gridCol w:w="1019"/>
        <w:gridCol w:w="811"/>
        <w:gridCol w:w="708"/>
        <w:gridCol w:w="970"/>
        <w:gridCol w:w="851"/>
        <w:gridCol w:w="1103"/>
      </w:tblGrid>
      <w:tr w:rsidR="00532C41" w:rsidRPr="001B4CA2" w14:paraId="6708CAB2" w14:textId="77777777" w:rsidTr="009A3896">
        <w:trPr>
          <w:cantSplit/>
          <w:trHeight w:val="952"/>
          <w:jc w:val="center"/>
        </w:trPr>
        <w:tc>
          <w:tcPr>
            <w:tcW w:w="993" w:type="dxa"/>
            <w:vMerge w:val="restart"/>
            <w:shd w:val="clear" w:color="auto" w:fill="99CCFF"/>
            <w:tcMar>
              <w:top w:w="0" w:type="dxa"/>
              <w:left w:w="45" w:type="dxa"/>
              <w:bottom w:w="0" w:type="dxa"/>
              <w:right w:w="45" w:type="dxa"/>
            </w:tcMar>
            <w:vAlign w:val="center"/>
            <w:hideMark/>
          </w:tcPr>
          <w:p w14:paraId="5F88EF0C" w14:textId="77777777" w:rsidR="00032C88" w:rsidRPr="001B4CA2" w:rsidRDefault="00032C88" w:rsidP="00573B74">
            <w:pPr>
              <w:jc w:val="center"/>
              <w:rPr>
                <w:rFonts w:eastAsia="Times New Roman"/>
                <w:b/>
                <w:sz w:val="18"/>
                <w:szCs w:val="18"/>
              </w:rPr>
            </w:pPr>
            <w:r w:rsidRPr="001B4CA2">
              <w:rPr>
                <w:rFonts w:eastAsia="Times New Roman"/>
                <w:b/>
                <w:sz w:val="18"/>
                <w:szCs w:val="18"/>
              </w:rPr>
              <w:t>Godina</w:t>
            </w:r>
          </w:p>
        </w:tc>
        <w:tc>
          <w:tcPr>
            <w:tcW w:w="962" w:type="dxa"/>
            <w:vMerge w:val="restart"/>
            <w:shd w:val="clear" w:color="auto" w:fill="99CCFF"/>
            <w:tcMar>
              <w:top w:w="0" w:type="dxa"/>
              <w:left w:w="45" w:type="dxa"/>
              <w:bottom w:w="0" w:type="dxa"/>
              <w:right w:w="45" w:type="dxa"/>
            </w:tcMar>
            <w:textDirection w:val="btLr"/>
            <w:vAlign w:val="center"/>
            <w:hideMark/>
          </w:tcPr>
          <w:p w14:paraId="23479A9E" w14:textId="60E0E506" w:rsidR="00032C88" w:rsidRPr="001B4CA2" w:rsidRDefault="00032C88" w:rsidP="00F126BA">
            <w:pPr>
              <w:ind w:left="113" w:right="113"/>
              <w:jc w:val="left"/>
              <w:rPr>
                <w:rFonts w:eastAsia="Times New Roman"/>
                <w:b/>
                <w:sz w:val="18"/>
                <w:szCs w:val="18"/>
              </w:rPr>
            </w:pPr>
            <w:r w:rsidRPr="001B4CA2">
              <w:rPr>
                <w:rFonts w:eastAsia="Times New Roman"/>
                <w:b/>
                <w:sz w:val="18"/>
                <w:szCs w:val="18"/>
              </w:rPr>
              <w:t xml:space="preserve">Ukupno </w:t>
            </w:r>
            <w:r w:rsidR="00F126BA" w:rsidRPr="001B4CA2">
              <w:rPr>
                <w:rFonts w:eastAsia="Times New Roman"/>
                <w:b/>
                <w:sz w:val="18"/>
                <w:szCs w:val="18"/>
              </w:rPr>
              <w:t>optužnica pred optužnim vijećem</w:t>
            </w:r>
          </w:p>
        </w:tc>
        <w:tc>
          <w:tcPr>
            <w:tcW w:w="735" w:type="dxa"/>
            <w:vMerge w:val="restart"/>
            <w:shd w:val="clear" w:color="auto" w:fill="99CCFF"/>
            <w:tcMar>
              <w:top w:w="0" w:type="dxa"/>
              <w:left w:w="45" w:type="dxa"/>
              <w:bottom w:w="0" w:type="dxa"/>
              <w:right w:w="45" w:type="dxa"/>
            </w:tcMar>
            <w:textDirection w:val="btLr"/>
            <w:vAlign w:val="center"/>
            <w:hideMark/>
          </w:tcPr>
          <w:p w14:paraId="0D037186" w14:textId="7D9658E8" w:rsidR="00032C88" w:rsidRPr="001B4CA2" w:rsidRDefault="00032C88" w:rsidP="00852592">
            <w:pPr>
              <w:ind w:left="113" w:right="113"/>
              <w:jc w:val="left"/>
              <w:rPr>
                <w:rFonts w:eastAsia="Times New Roman"/>
                <w:b/>
                <w:sz w:val="18"/>
                <w:szCs w:val="18"/>
              </w:rPr>
            </w:pPr>
            <w:r w:rsidRPr="001B4CA2">
              <w:rPr>
                <w:rFonts w:eastAsia="Times New Roman"/>
                <w:b/>
                <w:sz w:val="18"/>
                <w:szCs w:val="18"/>
              </w:rPr>
              <w:t>Ustup</w:t>
            </w:r>
          </w:p>
        </w:tc>
        <w:tc>
          <w:tcPr>
            <w:tcW w:w="966" w:type="dxa"/>
            <w:vMerge w:val="restart"/>
            <w:shd w:val="clear" w:color="auto" w:fill="99CCFF"/>
            <w:tcMar>
              <w:top w:w="0" w:type="dxa"/>
              <w:left w:w="45" w:type="dxa"/>
              <w:bottom w:w="0" w:type="dxa"/>
              <w:right w:w="45" w:type="dxa"/>
            </w:tcMar>
            <w:textDirection w:val="btLr"/>
            <w:vAlign w:val="center"/>
            <w:hideMark/>
          </w:tcPr>
          <w:p w14:paraId="5826D827" w14:textId="52A0894C" w:rsidR="00032C88" w:rsidRPr="001B4CA2" w:rsidRDefault="00032C88" w:rsidP="00852592">
            <w:pPr>
              <w:ind w:left="113" w:right="113"/>
              <w:jc w:val="left"/>
              <w:rPr>
                <w:rFonts w:eastAsia="Times New Roman"/>
                <w:b/>
                <w:sz w:val="18"/>
                <w:szCs w:val="18"/>
              </w:rPr>
            </w:pPr>
            <w:r w:rsidRPr="001B4CA2">
              <w:rPr>
                <w:rFonts w:eastAsia="Times New Roman"/>
                <w:b/>
                <w:sz w:val="18"/>
                <w:szCs w:val="18"/>
              </w:rPr>
              <w:t>Povučena optužnica</w:t>
            </w:r>
          </w:p>
        </w:tc>
        <w:tc>
          <w:tcPr>
            <w:tcW w:w="1019" w:type="dxa"/>
            <w:vMerge w:val="restart"/>
            <w:shd w:val="clear" w:color="auto" w:fill="99CCFF"/>
            <w:tcMar>
              <w:top w:w="0" w:type="dxa"/>
              <w:left w:w="45" w:type="dxa"/>
              <w:bottom w:w="0" w:type="dxa"/>
              <w:right w:w="45" w:type="dxa"/>
            </w:tcMar>
            <w:textDirection w:val="btLr"/>
            <w:vAlign w:val="center"/>
            <w:hideMark/>
          </w:tcPr>
          <w:p w14:paraId="653F2C07" w14:textId="4CD27299" w:rsidR="00032C88" w:rsidRPr="001B4CA2" w:rsidRDefault="00032C88" w:rsidP="00852592">
            <w:pPr>
              <w:ind w:left="113" w:right="113"/>
              <w:jc w:val="left"/>
              <w:rPr>
                <w:rFonts w:eastAsia="Times New Roman"/>
                <w:b/>
                <w:sz w:val="18"/>
                <w:szCs w:val="18"/>
              </w:rPr>
            </w:pPr>
            <w:r w:rsidRPr="001B4CA2">
              <w:rPr>
                <w:rFonts w:eastAsia="Times New Roman"/>
                <w:b/>
                <w:sz w:val="18"/>
                <w:szCs w:val="18"/>
              </w:rPr>
              <w:t>Presuda s kaznenim nalogom</w:t>
            </w:r>
            <w:r w:rsidR="00310130" w:rsidRPr="001B4CA2">
              <w:rPr>
                <w:rFonts w:eastAsia="Times New Roman"/>
                <w:b/>
                <w:sz w:val="18"/>
                <w:szCs w:val="18"/>
              </w:rPr>
              <w:t xml:space="preserve"> – </w:t>
            </w:r>
            <w:r w:rsidRPr="001B4CA2">
              <w:rPr>
                <w:rFonts w:eastAsia="Times New Roman"/>
                <w:b/>
                <w:sz w:val="18"/>
                <w:szCs w:val="18"/>
              </w:rPr>
              <w:t>pravomoćna</w:t>
            </w:r>
          </w:p>
        </w:tc>
        <w:tc>
          <w:tcPr>
            <w:tcW w:w="4443" w:type="dxa"/>
            <w:gridSpan w:val="5"/>
            <w:shd w:val="clear" w:color="auto" w:fill="99CCFF"/>
            <w:tcMar>
              <w:top w:w="0" w:type="dxa"/>
              <w:left w:w="45" w:type="dxa"/>
              <w:bottom w:w="0" w:type="dxa"/>
              <w:right w:w="45" w:type="dxa"/>
            </w:tcMar>
            <w:vAlign w:val="center"/>
            <w:hideMark/>
          </w:tcPr>
          <w:p w14:paraId="2DD73F34" w14:textId="0BF7F74A" w:rsidR="00032C88" w:rsidRPr="001B4CA2" w:rsidRDefault="00032C88" w:rsidP="00032C88">
            <w:pPr>
              <w:jc w:val="center"/>
              <w:rPr>
                <w:rFonts w:eastAsia="Times New Roman"/>
                <w:b/>
                <w:sz w:val="18"/>
                <w:szCs w:val="18"/>
              </w:rPr>
            </w:pPr>
            <w:r w:rsidRPr="001B4CA2">
              <w:rPr>
                <w:rFonts w:eastAsia="Times New Roman"/>
                <w:b/>
                <w:sz w:val="18"/>
                <w:szCs w:val="18"/>
              </w:rPr>
              <w:t>Odluke optužnog vijeća</w:t>
            </w:r>
          </w:p>
        </w:tc>
      </w:tr>
      <w:tr w:rsidR="00532C41" w:rsidRPr="001B4CA2" w14:paraId="5121C154" w14:textId="77777777" w:rsidTr="009A3896">
        <w:trPr>
          <w:cantSplit/>
          <w:trHeight w:val="1134"/>
          <w:jc w:val="center"/>
        </w:trPr>
        <w:tc>
          <w:tcPr>
            <w:tcW w:w="993" w:type="dxa"/>
            <w:vMerge/>
            <w:shd w:val="clear" w:color="auto" w:fill="99CCFF"/>
            <w:tcMar>
              <w:top w:w="0" w:type="dxa"/>
              <w:left w:w="45" w:type="dxa"/>
              <w:bottom w:w="0" w:type="dxa"/>
              <w:right w:w="45" w:type="dxa"/>
            </w:tcMar>
            <w:vAlign w:val="center"/>
          </w:tcPr>
          <w:p w14:paraId="00939720" w14:textId="77777777" w:rsidR="00573B74" w:rsidRPr="001B4CA2" w:rsidRDefault="00573B74" w:rsidP="00573B74">
            <w:pPr>
              <w:jc w:val="center"/>
              <w:rPr>
                <w:rFonts w:eastAsia="Times New Roman"/>
                <w:b/>
                <w:sz w:val="18"/>
                <w:szCs w:val="18"/>
              </w:rPr>
            </w:pPr>
          </w:p>
        </w:tc>
        <w:tc>
          <w:tcPr>
            <w:tcW w:w="962" w:type="dxa"/>
            <w:vMerge/>
            <w:shd w:val="clear" w:color="auto" w:fill="99CCFF"/>
            <w:tcMar>
              <w:top w:w="0" w:type="dxa"/>
              <w:left w:w="45" w:type="dxa"/>
              <w:bottom w:w="0" w:type="dxa"/>
              <w:right w:w="45" w:type="dxa"/>
            </w:tcMar>
            <w:textDirection w:val="btLr"/>
            <w:vAlign w:val="center"/>
          </w:tcPr>
          <w:p w14:paraId="39194BB7" w14:textId="77777777" w:rsidR="00573B74" w:rsidRPr="001B4CA2" w:rsidRDefault="00573B74" w:rsidP="007C5E8A">
            <w:pPr>
              <w:ind w:left="113" w:right="113"/>
              <w:jc w:val="left"/>
              <w:rPr>
                <w:rFonts w:eastAsia="Times New Roman"/>
                <w:b/>
                <w:sz w:val="18"/>
                <w:szCs w:val="18"/>
              </w:rPr>
            </w:pPr>
          </w:p>
        </w:tc>
        <w:tc>
          <w:tcPr>
            <w:tcW w:w="735" w:type="dxa"/>
            <w:vMerge/>
            <w:shd w:val="clear" w:color="auto" w:fill="99CCFF"/>
            <w:tcMar>
              <w:top w:w="0" w:type="dxa"/>
              <w:left w:w="45" w:type="dxa"/>
              <w:bottom w:w="0" w:type="dxa"/>
              <w:right w:w="45" w:type="dxa"/>
            </w:tcMar>
            <w:textDirection w:val="btLr"/>
            <w:vAlign w:val="center"/>
          </w:tcPr>
          <w:p w14:paraId="1A7A81F4" w14:textId="77777777" w:rsidR="00573B74" w:rsidRPr="001B4CA2" w:rsidRDefault="00573B74" w:rsidP="007C5E8A">
            <w:pPr>
              <w:ind w:left="113" w:right="113"/>
              <w:jc w:val="left"/>
              <w:rPr>
                <w:rFonts w:eastAsia="Times New Roman"/>
                <w:b/>
                <w:sz w:val="18"/>
                <w:szCs w:val="18"/>
              </w:rPr>
            </w:pPr>
          </w:p>
        </w:tc>
        <w:tc>
          <w:tcPr>
            <w:tcW w:w="966" w:type="dxa"/>
            <w:vMerge/>
            <w:shd w:val="clear" w:color="auto" w:fill="99CCFF"/>
            <w:tcMar>
              <w:top w:w="0" w:type="dxa"/>
              <w:left w:w="45" w:type="dxa"/>
              <w:bottom w:w="0" w:type="dxa"/>
              <w:right w:w="45" w:type="dxa"/>
            </w:tcMar>
            <w:textDirection w:val="btLr"/>
            <w:vAlign w:val="center"/>
          </w:tcPr>
          <w:p w14:paraId="68D81DBE" w14:textId="77777777" w:rsidR="00573B74" w:rsidRPr="001B4CA2" w:rsidRDefault="00573B74" w:rsidP="007C5E8A">
            <w:pPr>
              <w:ind w:left="113" w:right="113"/>
              <w:jc w:val="left"/>
              <w:rPr>
                <w:rFonts w:eastAsia="Times New Roman"/>
                <w:b/>
                <w:sz w:val="18"/>
                <w:szCs w:val="18"/>
              </w:rPr>
            </w:pPr>
          </w:p>
        </w:tc>
        <w:tc>
          <w:tcPr>
            <w:tcW w:w="1019" w:type="dxa"/>
            <w:vMerge/>
            <w:shd w:val="clear" w:color="auto" w:fill="99CCFF"/>
            <w:tcMar>
              <w:top w:w="0" w:type="dxa"/>
              <w:left w:w="45" w:type="dxa"/>
              <w:bottom w:w="0" w:type="dxa"/>
              <w:right w:w="45" w:type="dxa"/>
            </w:tcMar>
            <w:textDirection w:val="btLr"/>
            <w:vAlign w:val="center"/>
          </w:tcPr>
          <w:p w14:paraId="45F9F364" w14:textId="77777777" w:rsidR="00573B74" w:rsidRPr="001B4CA2" w:rsidRDefault="00573B74" w:rsidP="007C5E8A">
            <w:pPr>
              <w:ind w:left="113" w:right="113"/>
              <w:jc w:val="left"/>
              <w:rPr>
                <w:rFonts w:eastAsia="Times New Roman"/>
                <w:b/>
                <w:sz w:val="18"/>
                <w:szCs w:val="18"/>
              </w:rPr>
            </w:pPr>
          </w:p>
        </w:tc>
        <w:tc>
          <w:tcPr>
            <w:tcW w:w="811" w:type="dxa"/>
            <w:shd w:val="clear" w:color="auto" w:fill="99CCFF"/>
            <w:tcMar>
              <w:top w:w="0" w:type="dxa"/>
              <w:left w:w="45" w:type="dxa"/>
              <w:bottom w:w="0" w:type="dxa"/>
              <w:right w:w="45" w:type="dxa"/>
            </w:tcMar>
            <w:textDirection w:val="btLr"/>
            <w:vAlign w:val="center"/>
          </w:tcPr>
          <w:p w14:paraId="20FB165A" w14:textId="325EF8DD" w:rsidR="00573B74" w:rsidRPr="001B4CA2" w:rsidRDefault="00573B74" w:rsidP="00852592">
            <w:pPr>
              <w:ind w:left="113" w:right="113"/>
              <w:jc w:val="left"/>
              <w:rPr>
                <w:rFonts w:eastAsia="Times New Roman"/>
                <w:b/>
                <w:sz w:val="18"/>
                <w:szCs w:val="18"/>
              </w:rPr>
            </w:pPr>
            <w:r w:rsidRPr="001B4CA2">
              <w:rPr>
                <w:rFonts w:eastAsia="Times New Roman"/>
                <w:b/>
                <w:sz w:val="18"/>
                <w:szCs w:val="18"/>
              </w:rPr>
              <w:t>Optužnica potvrđena</w:t>
            </w:r>
          </w:p>
        </w:tc>
        <w:tc>
          <w:tcPr>
            <w:tcW w:w="708" w:type="dxa"/>
            <w:shd w:val="clear" w:color="auto" w:fill="99CCFF"/>
            <w:tcMar>
              <w:top w:w="0" w:type="dxa"/>
              <w:left w:w="45" w:type="dxa"/>
              <w:bottom w:w="0" w:type="dxa"/>
              <w:right w:w="45" w:type="dxa"/>
            </w:tcMar>
            <w:textDirection w:val="btLr"/>
            <w:vAlign w:val="center"/>
          </w:tcPr>
          <w:p w14:paraId="5B95380F" w14:textId="516BBC22" w:rsidR="00573B74" w:rsidRPr="001B4CA2" w:rsidRDefault="00573B74" w:rsidP="00852592">
            <w:pPr>
              <w:ind w:left="113" w:right="113"/>
              <w:jc w:val="left"/>
              <w:rPr>
                <w:rFonts w:eastAsia="Times New Roman"/>
                <w:b/>
                <w:sz w:val="18"/>
                <w:szCs w:val="18"/>
              </w:rPr>
            </w:pPr>
            <w:r w:rsidRPr="001B4CA2">
              <w:rPr>
                <w:rFonts w:eastAsia="Times New Roman"/>
                <w:b/>
                <w:sz w:val="18"/>
                <w:szCs w:val="18"/>
              </w:rPr>
              <w:t>Optužnica vraćena</w:t>
            </w:r>
          </w:p>
        </w:tc>
        <w:tc>
          <w:tcPr>
            <w:tcW w:w="970" w:type="dxa"/>
            <w:shd w:val="clear" w:color="auto" w:fill="99CCFF"/>
            <w:tcMar>
              <w:top w:w="0" w:type="dxa"/>
              <w:left w:w="45" w:type="dxa"/>
              <w:bottom w:w="0" w:type="dxa"/>
              <w:right w:w="45" w:type="dxa"/>
            </w:tcMar>
            <w:textDirection w:val="btLr"/>
            <w:vAlign w:val="center"/>
          </w:tcPr>
          <w:p w14:paraId="06948E97" w14:textId="7ECCF7B7" w:rsidR="00573B74" w:rsidRPr="001B4CA2" w:rsidRDefault="00032C88" w:rsidP="00852592">
            <w:pPr>
              <w:ind w:left="113" w:right="113"/>
              <w:jc w:val="left"/>
              <w:rPr>
                <w:rFonts w:eastAsia="Times New Roman"/>
                <w:b/>
                <w:sz w:val="18"/>
                <w:szCs w:val="18"/>
              </w:rPr>
            </w:pPr>
            <w:r w:rsidRPr="001B4CA2">
              <w:rPr>
                <w:rFonts w:eastAsia="Times New Roman"/>
                <w:b/>
                <w:sz w:val="18"/>
                <w:szCs w:val="18"/>
              </w:rPr>
              <w:t>Obustava po optužnom vijeću</w:t>
            </w:r>
          </w:p>
        </w:tc>
        <w:tc>
          <w:tcPr>
            <w:tcW w:w="851" w:type="dxa"/>
            <w:shd w:val="clear" w:color="auto" w:fill="99CCFF"/>
            <w:tcMar>
              <w:top w:w="0" w:type="dxa"/>
              <w:left w:w="45" w:type="dxa"/>
              <w:bottom w:w="0" w:type="dxa"/>
              <w:right w:w="45" w:type="dxa"/>
            </w:tcMar>
            <w:textDirection w:val="btLr"/>
            <w:vAlign w:val="center"/>
          </w:tcPr>
          <w:p w14:paraId="0C2EE2FE" w14:textId="2CC0EC0D" w:rsidR="00573B74" w:rsidRPr="001B4CA2" w:rsidRDefault="00032C88" w:rsidP="00852592">
            <w:pPr>
              <w:ind w:left="113" w:right="113"/>
              <w:jc w:val="left"/>
              <w:rPr>
                <w:rFonts w:eastAsia="Times New Roman"/>
                <w:b/>
                <w:sz w:val="18"/>
                <w:szCs w:val="18"/>
              </w:rPr>
            </w:pPr>
            <w:r w:rsidRPr="001B4CA2">
              <w:rPr>
                <w:rFonts w:eastAsia="Times New Roman"/>
                <w:b/>
                <w:sz w:val="18"/>
                <w:szCs w:val="18"/>
              </w:rPr>
              <w:t>Ukupno odluka optužnog vijeća</w:t>
            </w:r>
          </w:p>
        </w:tc>
        <w:tc>
          <w:tcPr>
            <w:tcW w:w="1103" w:type="dxa"/>
            <w:shd w:val="clear" w:color="auto" w:fill="99CCFF"/>
            <w:tcMar>
              <w:top w:w="0" w:type="dxa"/>
              <w:left w:w="45" w:type="dxa"/>
              <w:bottom w:w="0" w:type="dxa"/>
              <w:right w:w="45" w:type="dxa"/>
            </w:tcMar>
            <w:textDirection w:val="btLr"/>
            <w:vAlign w:val="center"/>
          </w:tcPr>
          <w:p w14:paraId="7DC6DD39" w14:textId="5314144D" w:rsidR="00573B74" w:rsidRPr="001B4CA2" w:rsidRDefault="00032C88" w:rsidP="00852592">
            <w:pPr>
              <w:ind w:left="113" w:right="113"/>
              <w:jc w:val="left"/>
              <w:rPr>
                <w:rFonts w:eastAsia="Times New Roman"/>
                <w:b/>
                <w:sz w:val="18"/>
                <w:szCs w:val="18"/>
              </w:rPr>
            </w:pPr>
            <w:r w:rsidRPr="001B4CA2">
              <w:rPr>
                <w:rFonts w:eastAsia="Times New Roman"/>
                <w:b/>
                <w:sz w:val="18"/>
                <w:szCs w:val="18"/>
              </w:rPr>
              <w:t>Ostalo u radu pred optužnim vijećem</w:t>
            </w:r>
          </w:p>
        </w:tc>
      </w:tr>
      <w:tr w:rsidR="00FE4D87" w:rsidRPr="001B4CA2" w14:paraId="78ED29F3" w14:textId="77777777" w:rsidTr="0079191D">
        <w:trPr>
          <w:trHeight w:val="306"/>
          <w:jc w:val="center"/>
        </w:trPr>
        <w:tc>
          <w:tcPr>
            <w:tcW w:w="993" w:type="dxa"/>
            <w:tcMar>
              <w:top w:w="0" w:type="dxa"/>
              <w:left w:w="45" w:type="dxa"/>
              <w:bottom w:w="0" w:type="dxa"/>
              <w:right w:w="45" w:type="dxa"/>
            </w:tcMar>
            <w:vAlign w:val="center"/>
          </w:tcPr>
          <w:p w14:paraId="5754F397" w14:textId="6F52D5C8" w:rsidR="00FE4D87" w:rsidRPr="001B4CA2" w:rsidRDefault="00FE4D87" w:rsidP="0079191D">
            <w:pPr>
              <w:jc w:val="center"/>
              <w:rPr>
                <w:rFonts w:eastAsia="Times New Roman"/>
                <w:sz w:val="18"/>
                <w:szCs w:val="18"/>
              </w:rPr>
            </w:pPr>
            <w:r w:rsidRPr="001B4CA2">
              <w:rPr>
                <w:rFonts w:eastAsia="Times New Roman"/>
                <w:sz w:val="18"/>
                <w:szCs w:val="18"/>
              </w:rPr>
              <w:t>201</w:t>
            </w:r>
            <w:r w:rsidR="007B163C" w:rsidRPr="001B4CA2">
              <w:rPr>
                <w:rFonts w:eastAsia="Times New Roman"/>
                <w:sz w:val="18"/>
                <w:szCs w:val="18"/>
              </w:rPr>
              <w:t>8</w:t>
            </w:r>
            <w:r w:rsidRPr="001B4CA2">
              <w:rPr>
                <w:rFonts w:eastAsia="Times New Roman"/>
                <w:sz w:val="18"/>
                <w:szCs w:val="18"/>
              </w:rPr>
              <w:t>.</w:t>
            </w:r>
          </w:p>
        </w:tc>
        <w:tc>
          <w:tcPr>
            <w:tcW w:w="962" w:type="dxa"/>
            <w:tcMar>
              <w:top w:w="0" w:type="dxa"/>
              <w:left w:w="45" w:type="dxa"/>
              <w:bottom w:w="0" w:type="dxa"/>
              <w:right w:w="45" w:type="dxa"/>
            </w:tcMar>
            <w:vAlign w:val="center"/>
          </w:tcPr>
          <w:p w14:paraId="7111DB64" w14:textId="7488A861" w:rsidR="00FE4D87" w:rsidRPr="001B4CA2" w:rsidRDefault="00FE4D87" w:rsidP="0079191D">
            <w:pPr>
              <w:jc w:val="center"/>
              <w:rPr>
                <w:rFonts w:eastAsia="Times New Roman"/>
                <w:sz w:val="18"/>
                <w:szCs w:val="18"/>
              </w:rPr>
            </w:pPr>
          </w:p>
        </w:tc>
        <w:tc>
          <w:tcPr>
            <w:tcW w:w="735" w:type="dxa"/>
            <w:tcMar>
              <w:top w:w="0" w:type="dxa"/>
              <w:left w:w="45" w:type="dxa"/>
              <w:bottom w:w="0" w:type="dxa"/>
              <w:right w:w="45" w:type="dxa"/>
            </w:tcMar>
            <w:vAlign w:val="center"/>
          </w:tcPr>
          <w:p w14:paraId="551A8EFA" w14:textId="1C834F5F" w:rsidR="00FE4D87" w:rsidRPr="001B4CA2" w:rsidRDefault="00FE4D87" w:rsidP="0079191D">
            <w:pPr>
              <w:jc w:val="center"/>
              <w:rPr>
                <w:rFonts w:eastAsia="Times New Roman"/>
                <w:sz w:val="18"/>
                <w:szCs w:val="18"/>
              </w:rPr>
            </w:pPr>
          </w:p>
        </w:tc>
        <w:tc>
          <w:tcPr>
            <w:tcW w:w="966" w:type="dxa"/>
            <w:shd w:val="clear" w:color="auto" w:fill="auto"/>
            <w:tcMar>
              <w:top w:w="0" w:type="dxa"/>
              <w:left w:w="45" w:type="dxa"/>
              <w:bottom w:w="0" w:type="dxa"/>
              <w:right w:w="45" w:type="dxa"/>
            </w:tcMar>
            <w:vAlign w:val="center"/>
          </w:tcPr>
          <w:p w14:paraId="76EBEC33" w14:textId="0AEC9225" w:rsidR="00FE4D87" w:rsidRPr="001B4CA2" w:rsidRDefault="007B163C" w:rsidP="0079191D">
            <w:pPr>
              <w:jc w:val="center"/>
              <w:rPr>
                <w:rFonts w:eastAsia="Times New Roman"/>
                <w:sz w:val="18"/>
                <w:szCs w:val="18"/>
              </w:rPr>
            </w:pPr>
            <w:r w:rsidRPr="001B4CA2">
              <w:rPr>
                <w:rFonts w:eastAsia="Times New Roman"/>
                <w:sz w:val="18"/>
                <w:szCs w:val="18"/>
              </w:rPr>
              <w:t>5</w:t>
            </w:r>
          </w:p>
        </w:tc>
        <w:tc>
          <w:tcPr>
            <w:tcW w:w="1019" w:type="dxa"/>
            <w:shd w:val="clear" w:color="auto" w:fill="auto"/>
            <w:tcMar>
              <w:top w:w="0" w:type="dxa"/>
              <w:left w:w="45" w:type="dxa"/>
              <w:bottom w:w="0" w:type="dxa"/>
              <w:right w:w="45" w:type="dxa"/>
            </w:tcMar>
            <w:vAlign w:val="center"/>
          </w:tcPr>
          <w:p w14:paraId="53D1697F" w14:textId="3E94F7EF" w:rsidR="00FE4D87" w:rsidRPr="001B4CA2" w:rsidRDefault="00FE4D87" w:rsidP="0079191D">
            <w:pPr>
              <w:jc w:val="center"/>
              <w:rPr>
                <w:rFonts w:eastAsia="Times New Roman"/>
                <w:sz w:val="18"/>
                <w:szCs w:val="18"/>
              </w:rPr>
            </w:pPr>
          </w:p>
        </w:tc>
        <w:tc>
          <w:tcPr>
            <w:tcW w:w="811" w:type="dxa"/>
            <w:shd w:val="clear" w:color="auto" w:fill="auto"/>
            <w:tcMar>
              <w:top w:w="0" w:type="dxa"/>
              <w:left w:w="45" w:type="dxa"/>
              <w:bottom w:w="0" w:type="dxa"/>
              <w:right w:w="45" w:type="dxa"/>
            </w:tcMar>
            <w:vAlign w:val="center"/>
          </w:tcPr>
          <w:p w14:paraId="23C9087A" w14:textId="5543DAAE" w:rsidR="00FE4D87" w:rsidRPr="001B4CA2" w:rsidRDefault="007B163C" w:rsidP="0079191D">
            <w:pPr>
              <w:jc w:val="center"/>
              <w:rPr>
                <w:rFonts w:eastAsia="Times New Roman"/>
                <w:sz w:val="18"/>
                <w:szCs w:val="18"/>
              </w:rPr>
            </w:pPr>
            <w:r w:rsidRPr="001B4CA2">
              <w:rPr>
                <w:rFonts w:eastAsia="Times New Roman"/>
                <w:sz w:val="18"/>
                <w:szCs w:val="18"/>
              </w:rPr>
              <w:t>377</w:t>
            </w:r>
          </w:p>
        </w:tc>
        <w:tc>
          <w:tcPr>
            <w:tcW w:w="708" w:type="dxa"/>
            <w:shd w:val="clear" w:color="auto" w:fill="auto"/>
            <w:tcMar>
              <w:top w:w="0" w:type="dxa"/>
              <w:left w:w="45" w:type="dxa"/>
              <w:bottom w:w="0" w:type="dxa"/>
              <w:right w:w="45" w:type="dxa"/>
            </w:tcMar>
            <w:vAlign w:val="center"/>
          </w:tcPr>
          <w:p w14:paraId="7256F3E7" w14:textId="1C9D9FBE" w:rsidR="00FE4D87" w:rsidRPr="001B4CA2" w:rsidRDefault="007B163C" w:rsidP="0079191D">
            <w:pPr>
              <w:jc w:val="center"/>
              <w:rPr>
                <w:rFonts w:eastAsia="Times New Roman"/>
                <w:sz w:val="18"/>
                <w:szCs w:val="18"/>
              </w:rPr>
            </w:pPr>
            <w:r w:rsidRPr="001B4CA2">
              <w:rPr>
                <w:rFonts w:eastAsia="Times New Roman"/>
                <w:sz w:val="18"/>
                <w:szCs w:val="18"/>
              </w:rPr>
              <w:t>101</w:t>
            </w:r>
          </w:p>
        </w:tc>
        <w:tc>
          <w:tcPr>
            <w:tcW w:w="970" w:type="dxa"/>
            <w:shd w:val="clear" w:color="auto" w:fill="auto"/>
            <w:tcMar>
              <w:top w:w="0" w:type="dxa"/>
              <w:left w:w="45" w:type="dxa"/>
              <w:bottom w:w="0" w:type="dxa"/>
              <w:right w:w="45" w:type="dxa"/>
            </w:tcMar>
            <w:vAlign w:val="center"/>
          </w:tcPr>
          <w:p w14:paraId="0CD7DEFB" w14:textId="19ABE5A9" w:rsidR="00FE4D87" w:rsidRPr="001B4CA2" w:rsidRDefault="00FE4D87" w:rsidP="0079191D">
            <w:pPr>
              <w:jc w:val="center"/>
              <w:rPr>
                <w:rFonts w:eastAsia="Times New Roman"/>
                <w:sz w:val="18"/>
                <w:szCs w:val="18"/>
              </w:rPr>
            </w:pPr>
            <w:r w:rsidRPr="001B4CA2">
              <w:rPr>
                <w:rFonts w:eastAsia="Times New Roman"/>
                <w:sz w:val="18"/>
                <w:szCs w:val="18"/>
              </w:rPr>
              <w:t>6</w:t>
            </w:r>
          </w:p>
        </w:tc>
        <w:tc>
          <w:tcPr>
            <w:tcW w:w="851" w:type="dxa"/>
            <w:shd w:val="clear" w:color="auto" w:fill="auto"/>
            <w:tcMar>
              <w:top w:w="0" w:type="dxa"/>
              <w:left w:w="45" w:type="dxa"/>
              <w:bottom w:w="0" w:type="dxa"/>
              <w:right w:w="45" w:type="dxa"/>
            </w:tcMar>
            <w:vAlign w:val="center"/>
          </w:tcPr>
          <w:p w14:paraId="5091F29D" w14:textId="07DE180C" w:rsidR="00FE4D87" w:rsidRPr="001B4CA2" w:rsidRDefault="007B163C" w:rsidP="0079191D">
            <w:pPr>
              <w:jc w:val="center"/>
              <w:rPr>
                <w:rFonts w:eastAsia="Times New Roman"/>
                <w:sz w:val="18"/>
                <w:szCs w:val="18"/>
              </w:rPr>
            </w:pPr>
            <w:r w:rsidRPr="001B4CA2">
              <w:rPr>
                <w:rFonts w:eastAsia="Times New Roman"/>
                <w:sz w:val="18"/>
                <w:szCs w:val="18"/>
              </w:rPr>
              <w:t>484</w:t>
            </w:r>
          </w:p>
        </w:tc>
        <w:tc>
          <w:tcPr>
            <w:tcW w:w="1103" w:type="dxa"/>
            <w:shd w:val="clear" w:color="auto" w:fill="auto"/>
            <w:tcMar>
              <w:top w:w="0" w:type="dxa"/>
              <w:left w:w="45" w:type="dxa"/>
              <w:bottom w:w="0" w:type="dxa"/>
              <w:right w:w="45" w:type="dxa"/>
            </w:tcMar>
            <w:vAlign w:val="center"/>
          </w:tcPr>
          <w:p w14:paraId="0A154A0E" w14:textId="34CCC869" w:rsidR="00FE4D87" w:rsidRPr="001B4CA2" w:rsidRDefault="00FE4D87" w:rsidP="0079191D">
            <w:pPr>
              <w:jc w:val="center"/>
              <w:rPr>
                <w:rFonts w:eastAsia="Times New Roman"/>
                <w:sz w:val="18"/>
                <w:szCs w:val="18"/>
              </w:rPr>
            </w:pPr>
          </w:p>
        </w:tc>
      </w:tr>
      <w:tr w:rsidR="00FE4D87" w:rsidRPr="001B4CA2" w14:paraId="339C5296" w14:textId="77777777" w:rsidTr="0079191D">
        <w:trPr>
          <w:trHeight w:val="306"/>
          <w:jc w:val="center"/>
        </w:trPr>
        <w:tc>
          <w:tcPr>
            <w:tcW w:w="993" w:type="dxa"/>
            <w:tcMar>
              <w:top w:w="0" w:type="dxa"/>
              <w:left w:w="45" w:type="dxa"/>
              <w:bottom w:w="0" w:type="dxa"/>
              <w:right w:w="45" w:type="dxa"/>
            </w:tcMar>
            <w:vAlign w:val="center"/>
            <w:hideMark/>
          </w:tcPr>
          <w:p w14:paraId="3D6F3FBF" w14:textId="51BC6315" w:rsidR="00FE4D87" w:rsidRPr="001B4CA2" w:rsidRDefault="00FE4D87" w:rsidP="0079191D">
            <w:pPr>
              <w:jc w:val="center"/>
              <w:rPr>
                <w:rFonts w:eastAsia="Times New Roman"/>
                <w:sz w:val="18"/>
                <w:szCs w:val="18"/>
              </w:rPr>
            </w:pPr>
            <w:r w:rsidRPr="001B4CA2">
              <w:rPr>
                <w:rFonts w:eastAsia="Times New Roman"/>
                <w:sz w:val="18"/>
                <w:szCs w:val="18"/>
              </w:rPr>
              <w:t>201</w:t>
            </w:r>
            <w:r w:rsidR="007B163C" w:rsidRPr="001B4CA2">
              <w:rPr>
                <w:rFonts w:eastAsia="Times New Roman"/>
                <w:sz w:val="18"/>
                <w:szCs w:val="18"/>
              </w:rPr>
              <w:t>9</w:t>
            </w:r>
            <w:r w:rsidRPr="001B4CA2">
              <w:rPr>
                <w:rFonts w:eastAsia="Times New Roman"/>
                <w:sz w:val="18"/>
                <w:szCs w:val="18"/>
              </w:rPr>
              <w:t>.</w:t>
            </w:r>
          </w:p>
        </w:tc>
        <w:tc>
          <w:tcPr>
            <w:tcW w:w="962" w:type="dxa"/>
            <w:tcMar>
              <w:top w:w="0" w:type="dxa"/>
              <w:left w:w="45" w:type="dxa"/>
              <w:bottom w:w="0" w:type="dxa"/>
              <w:right w:w="45" w:type="dxa"/>
            </w:tcMar>
            <w:vAlign w:val="center"/>
          </w:tcPr>
          <w:p w14:paraId="6FED4E96" w14:textId="65B05BAE" w:rsidR="00FE4D87" w:rsidRPr="001B4CA2" w:rsidRDefault="00FE4D87" w:rsidP="0079191D">
            <w:pPr>
              <w:jc w:val="center"/>
              <w:rPr>
                <w:rFonts w:eastAsia="Times New Roman"/>
                <w:sz w:val="18"/>
                <w:szCs w:val="18"/>
              </w:rPr>
            </w:pPr>
          </w:p>
        </w:tc>
        <w:tc>
          <w:tcPr>
            <w:tcW w:w="735" w:type="dxa"/>
            <w:tcMar>
              <w:top w:w="0" w:type="dxa"/>
              <w:left w:w="45" w:type="dxa"/>
              <w:bottom w:w="0" w:type="dxa"/>
              <w:right w:w="45" w:type="dxa"/>
            </w:tcMar>
            <w:vAlign w:val="center"/>
          </w:tcPr>
          <w:p w14:paraId="7DECC647" w14:textId="2BE0AF43" w:rsidR="00FE4D87" w:rsidRPr="001B4CA2" w:rsidRDefault="00FE4D87" w:rsidP="0079191D">
            <w:pPr>
              <w:jc w:val="center"/>
              <w:rPr>
                <w:rFonts w:eastAsia="Times New Roman"/>
                <w:sz w:val="18"/>
                <w:szCs w:val="18"/>
              </w:rPr>
            </w:pPr>
          </w:p>
        </w:tc>
        <w:tc>
          <w:tcPr>
            <w:tcW w:w="966" w:type="dxa"/>
            <w:shd w:val="clear" w:color="auto" w:fill="auto"/>
            <w:tcMar>
              <w:top w:w="0" w:type="dxa"/>
              <w:left w:w="45" w:type="dxa"/>
              <w:bottom w:w="0" w:type="dxa"/>
              <w:right w:w="45" w:type="dxa"/>
            </w:tcMar>
            <w:vAlign w:val="center"/>
          </w:tcPr>
          <w:p w14:paraId="7F7F804F" w14:textId="52A96D38" w:rsidR="00FE4D87" w:rsidRPr="001B4CA2" w:rsidRDefault="007B163C" w:rsidP="0079191D">
            <w:pPr>
              <w:jc w:val="center"/>
              <w:rPr>
                <w:rFonts w:eastAsia="Times New Roman"/>
                <w:sz w:val="18"/>
                <w:szCs w:val="18"/>
              </w:rPr>
            </w:pPr>
            <w:r w:rsidRPr="001B4CA2">
              <w:rPr>
                <w:rFonts w:eastAsia="Times New Roman"/>
                <w:sz w:val="18"/>
                <w:szCs w:val="18"/>
              </w:rPr>
              <w:t>2</w:t>
            </w:r>
          </w:p>
        </w:tc>
        <w:tc>
          <w:tcPr>
            <w:tcW w:w="1019" w:type="dxa"/>
            <w:shd w:val="clear" w:color="auto" w:fill="auto"/>
            <w:tcMar>
              <w:top w:w="0" w:type="dxa"/>
              <w:left w:w="45" w:type="dxa"/>
              <w:bottom w:w="0" w:type="dxa"/>
              <w:right w:w="45" w:type="dxa"/>
            </w:tcMar>
            <w:vAlign w:val="center"/>
          </w:tcPr>
          <w:p w14:paraId="596A53E7" w14:textId="78E26DF1" w:rsidR="00FE4D87" w:rsidRPr="001B4CA2" w:rsidRDefault="00FE4D87" w:rsidP="0079191D">
            <w:pPr>
              <w:jc w:val="center"/>
              <w:rPr>
                <w:rFonts w:eastAsia="Times New Roman"/>
                <w:sz w:val="18"/>
                <w:szCs w:val="18"/>
              </w:rPr>
            </w:pPr>
          </w:p>
        </w:tc>
        <w:tc>
          <w:tcPr>
            <w:tcW w:w="811" w:type="dxa"/>
            <w:shd w:val="clear" w:color="auto" w:fill="auto"/>
            <w:tcMar>
              <w:top w:w="0" w:type="dxa"/>
              <w:left w:w="45" w:type="dxa"/>
              <w:bottom w:w="0" w:type="dxa"/>
              <w:right w:w="45" w:type="dxa"/>
            </w:tcMar>
            <w:vAlign w:val="center"/>
          </w:tcPr>
          <w:p w14:paraId="5F21B2D6" w14:textId="4933A81C" w:rsidR="00FE4D87" w:rsidRPr="001B4CA2" w:rsidRDefault="007B163C" w:rsidP="0079191D">
            <w:pPr>
              <w:jc w:val="center"/>
              <w:rPr>
                <w:rFonts w:eastAsia="Times New Roman"/>
                <w:sz w:val="18"/>
                <w:szCs w:val="18"/>
              </w:rPr>
            </w:pPr>
            <w:r w:rsidRPr="001B4CA2">
              <w:rPr>
                <w:rFonts w:eastAsia="Times New Roman"/>
                <w:sz w:val="18"/>
                <w:szCs w:val="18"/>
              </w:rPr>
              <w:t>410</w:t>
            </w:r>
          </w:p>
        </w:tc>
        <w:tc>
          <w:tcPr>
            <w:tcW w:w="708" w:type="dxa"/>
            <w:shd w:val="clear" w:color="auto" w:fill="auto"/>
            <w:tcMar>
              <w:top w:w="0" w:type="dxa"/>
              <w:left w:w="45" w:type="dxa"/>
              <w:bottom w:w="0" w:type="dxa"/>
              <w:right w:w="45" w:type="dxa"/>
            </w:tcMar>
            <w:vAlign w:val="center"/>
          </w:tcPr>
          <w:p w14:paraId="2AD6A77E" w14:textId="73C876EC" w:rsidR="00FE4D87" w:rsidRPr="001B4CA2" w:rsidRDefault="007B163C" w:rsidP="0079191D">
            <w:pPr>
              <w:jc w:val="center"/>
              <w:rPr>
                <w:rFonts w:eastAsia="Times New Roman"/>
                <w:sz w:val="18"/>
                <w:szCs w:val="18"/>
              </w:rPr>
            </w:pPr>
            <w:r w:rsidRPr="001B4CA2">
              <w:rPr>
                <w:rFonts w:eastAsia="Times New Roman"/>
                <w:sz w:val="18"/>
                <w:szCs w:val="18"/>
              </w:rPr>
              <w:t>17</w:t>
            </w:r>
          </w:p>
        </w:tc>
        <w:tc>
          <w:tcPr>
            <w:tcW w:w="970" w:type="dxa"/>
            <w:shd w:val="clear" w:color="auto" w:fill="auto"/>
            <w:tcMar>
              <w:top w:w="0" w:type="dxa"/>
              <w:left w:w="45" w:type="dxa"/>
              <w:bottom w:w="0" w:type="dxa"/>
              <w:right w:w="45" w:type="dxa"/>
            </w:tcMar>
            <w:vAlign w:val="center"/>
          </w:tcPr>
          <w:p w14:paraId="07E447E5" w14:textId="0BACFB47" w:rsidR="00FE4D87" w:rsidRPr="001B4CA2" w:rsidRDefault="007B163C" w:rsidP="0079191D">
            <w:pPr>
              <w:jc w:val="center"/>
              <w:rPr>
                <w:rFonts w:eastAsia="Times New Roman"/>
                <w:sz w:val="18"/>
                <w:szCs w:val="18"/>
              </w:rPr>
            </w:pPr>
            <w:r w:rsidRPr="001B4CA2">
              <w:rPr>
                <w:rFonts w:eastAsia="Times New Roman"/>
                <w:sz w:val="18"/>
                <w:szCs w:val="18"/>
              </w:rPr>
              <w:t>1</w:t>
            </w:r>
          </w:p>
        </w:tc>
        <w:tc>
          <w:tcPr>
            <w:tcW w:w="851" w:type="dxa"/>
            <w:shd w:val="clear" w:color="auto" w:fill="auto"/>
            <w:tcMar>
              <w:top w:w="0" w:type="dxa"/>
              <w:left w:w="45" w:type="dxa"/>
              <w:bottom w:w="0" w:type="dxa"/>
              <w:right w:w="45" w:type="dxa"/>
            </w:tcMar>
            <w:vAlign w:val="center"/>
          </w:tcPr>
          <w:p w14:paraId="5BA6DBBB" w14:textId="7551B4F4" w:rsidR="00FE4D87" w:rsidRPr="001B4CA2" w:rsidRDefault="007B163C" w:rsidP="0079191D">
            <w:pPr>
              <w:jc w:val="center"/>
              <w:rPr>
                <w:rFonts w:eastAsia="Times New Roman"/>
                <w:sz w:val="18"/>
                <w:szCs w:val="18"/>
              </w:rPr>
            </w:pPr>
            <w:r w:rsidRPr="001B4CA2">
              <w:rPr>
                <w:rFonts w:eastAsia="Times New Roman"/>
                <w:sz w:val="18"/>
                <w:szCs w:val="18"/>
              </w:rPr>
              <w:t>428</w:t>
            </w:r>
          </w:p>
        </w:tc>
        <w:tc>
          <w:tcPr>
            <w:tcW w:w="1103" w:type="dxa"/>
            <w:shd w:val="clear" w:color="auto" w:fill="auto"/>
            <w:tcMar>
              <w:top w:w="0" w:type="dxa"/>
              <w:left w:w="45" w:type="dxa"/>
              <w:bottom w:w="0" w:type="dxa"/>
              <w:right w:w="45" w:type="dxa"/>
            </w:tcMar>
            <w:vAlign w:val="center"/>
          </w:tcPr>
          <w:p w14:paraId="2B486FF9" w14:textId="39B08C45" w:rsidR="00FE4D87" w:rsidRPr="001B4CA2" w:rsidRDefault="00FE4D87" w:rsidP="0079191D">
            <w:pPr>
              <w:jc w:val="center"/>
              <w:rPr>
                <w:rFonts w:eastAsia="Times New Roman"/>
                <w:sz w:val="18"/>
                <w:szCs w:val="18"/>
              </w:rPr>
            </w:pPr>
          </w:p>
        </w:tc>
      </w:tr>
      <w:tr w:rsidR="00FE4D87" w:rsidRPr="001B4CA2" w14:paraId="3CF3F21E" w14:textId="77777777" w:rsidTr="0079191D">
        <w:trPr>
          <w:trHeight w:val="306"/>
          <w:jc w:val="center"/>
        </w:trPr>
        <w:tc>
          <w:tcPr>
            <w:tcW w:w="993" w:type="dxa"/>
            <w:tcMar>
              <w:top w:w="0" w:type="dxa"/>
              <w:left w:w="45" w:type="dxa"/>
              <w:bottom w:w="0" w:type="dxa"/>
              <w:right w:w="45" w:type="dxa"/>
            </w:tcMar>
            <w:vAlign w:val="center"/>
            <w:hideMark/>
          </w:tcPr>
          <w:p w14:paraId="0F1918B7" w14:textId="7E96F3B3" w:rsidR="00FE4D87" w:rsidRPr="001B4CA2" w:rsidRDefault="00FE4D87" w:rsidP="0079191D">
            <w:pPr>
              <w:jc w:val="center"/>
              <w:rPr>
                <w:rFonts w:eastAsia="Times New Roman"/>
                <w:sz w:val="18"/>
                <w:szCs w:val="18"/>
              </w:rPr>
            </w:pPr>
            <w:r w:rsidRPr="001B4CA2">
              <w:rPr>
                <w:rFonts w:eastAsia="Times New Roman"/>
                <w:sz w:val="18"/>
                <w:szCs w:val="18"/>
              </w:rPr>
              <w:t>20</w:t>
            </w:r>
            <w:r w:rsidR="007B163C" w:rsidRPr="001B4CA2">
              <w:rPr>
                <w:rFonts w:eastAsia="Times New Roman"/>
                <w:sz w:val="18"/>
                <w:szCs w:val="18"/>
              </w:rPr>
              <w:t>20</w:t>
            </w:r>
            <w:r w:rsidRPr="001B4CA2">
              <w:rPr>
                <w:rFonts w:eastAsia="Times New Roman"/>
                <w:sz w:val="18"/>
                <w:szCs w:val="18"/>
              </w:rPr>
              <w:t>.</w:t>
            </w:r>
          </w:p>
        </w:tc>
        <w:tc>
          <w:tcPr>
            <w:tcW w:w="962" w:type="dxa"/>
            <w:tcMar>
              <w:top w:w="0" w:type="dxa"/>
              <w:left w:w="45" w:type="dxa"/>
              <w:bottom w:w="0" w:type="dxa"/>
              <w:right w:w="45" w:type="dxa"/>
            </w:tcMar>
            <w:vAlign w:val="center"/>
          </w:tcPr>
          <w:p w14:paraId="50D5DE40" w14:textId="02CCEB0B" w:rsidR="00FE4D87" w:rsidRPr="001B4CA2" w:rsidRDefault="007B163C" w:rsidP="0079191D">
            <w:pPr>
              <w:jc w:val="center"/>
              <w:rPr>
                <w:rFonts w:eastAsia="Times New Roman"/>
                <w:sz w:val="18"/>
                <w:szCs w:val="18"/>
              </w:rPr>
            </w:pPr>
            <w:r w:rsidRPr="001B4CA2">
              <w:rPr>
                <w:rFonts w:eastAsia="Times New Roman"/>
                <w:sz w:val="18"/>
                <w:szCs w:val="18"/>
              </w:rPr>
              <w:t>823</w:t>
            </w:r>
          </w:p>
        </w:tc>
        <w:tc>
          <w:tcPr>
            <w:tcW w:w="735" w:type="dxa"/>
            <w:tcMar>
              <w:top w:w="0" w:type="dxa"/>
              <w:left w:w="45" w:type="dxa"/>
              <w:bottom w:w="0" w:type="dxa"/>
              <w:right w:w="45" w:type="dxa"/>
            </w:tcMar>
            <w:vAlign w:val="center"/>
          </w:tcPr>
          <w:p w14:paraId="37BC18D0" w14:textId="764FACA9" w:rsidR="00FE4D87" w:rsidRPr="001B4CA2" w:rsidRDefault="007B163C" w:rsidP="0079191D">
            <w:pPr>
              <w:jc w:val="center"/>
              <w:rPr>
                <w:rFonts w:eastAsia="Times New Roman"/>
                <w:sz w:val="18"/>
                <w:szCs w:val="18"/>
              </w:rPr>
            </w:pPr>
            <w:r w:rsidRPr="001B4CA2">
              <w:rPr>
                <w:rFonts w:eastAsia="Times New Roman"/>
                <w:sz w:val="18"/>
                <w:szCs w:val="18"/>
              </w:rPr>
              <w:t>20</w:t>
            </w:r>
          </w:p>
        </w:tc>
        <w:tc>
          <w:tcPr>
            <w:tcW w:w="966" w:type="dxa"/>
            <w:shd w:val="clear" w:color="auto" w:fill="auto"/>
            <w:tcMar>
              <w:top w:w="0" w:type="dxa"/>
              <w:left w:w="45" w:type="dxa"/>
              <w:bottom w:w="0" w:type="dxa"/>
              <w:right w:w="45" w:type="dxa"/>
            </w:tcMar>
            <w:vAlign w:val="center"/>
          </w:tcPr>
          <w:p w14:paraId="4610BC0E" w14:textId="4047C962" w:rsidR="00FE4D87" w:rsidRPr="001B4CA2" w:rsidRDefault="00FE4D87" w:rsidP="0079191D">
            <w:pPr>
              <w:jc w:val="center"/>
              <w:rPr>
                <w:rFonts w:eastAsia="Times New Roman"/>
                <w:sz w:val="18"/>
                <w:szCs w:val="18"/>
              </w:rPr>
            </w:pPr>
          </w:p>
        </w:tc>
        <w:tc>
          <w:tcPr>
            <w:tcW w:w="1019" w:type="dxa"/>
            <w:shd w:val="clear" w:color="auto" w:fill="auto"/>
            <w:tcMar>
              <w:top w:w="0" w:type="dxa"/>
              <w:left w:w="45" w:type="dxa"/>
              <w:bottom w:w="0" w:type="dxa"/>
              <w:right w:w="45" w:type="dxa"/>
            </w:tcMar>
            <w:vAlign w:val="center"/>
          </w:tcPr>
          <w:p w14:paraId="0B0B2C6C" w14:textId="1B0A9321" w:rsidR="00FE4D87" w:rsidRPr="001B4CA2" w:rsidRDefault="00FE4D87" w:rsidP="0079191D">
            <w:pPr>
              <w:jc w:val="center"/>
              <w:rPr>
                <w:rFonts w:eastAsia="Times New Roman"/>
                <w:sz w:val="18"/>
                <w:szCs w:val="18"/>
              </w:rPr>
            </w:pPr>
          </w:p>
        </w:tc>
        <w:tc>
          <w:tcPr>
            <w:tcW w:w="811" w:type="dxa"/>
            <w:shd w:val="clear" w:color="auto" w:fill="auto"/>
            <w:tcMar>
              <w:top w:w="0" w:type="dxa"/>
              <w:left w:w="45" w:type="dxa"/>
              <w:bottom w:w="0" w:type="dxa"/>
              <w:right w:w="45" w:type="dxa"/>
            </w:tcMar>
            <w:vAlign w:val="center"/>
          </w:tcPr>
          <w:p w14:paraId="46B3DBB7" w14:textId="4200E01F" w:rsidR="00FE4D87" w:rsidRPr="001B4CA2" w:rsidRDefault="00FE4D87" w:rsidP="0079191D">
            <w:pPr>
              <w:jc w:val="center"/>
              <w:rPr>
                <w:rFonts w:eastAsia="Times New Roman"/>
                <w:sz w:val="18"/>
                <w:szCs w:val="18"/>
              </w:rPr>
            </w:pPr>
            <w:r w:rsidRPr="001B4CA2">
              <w:rPr>
                <w:rFonts w:eastAsia="Times New Roman"/>
                <w:sz w:val="18"/>
                <w:szCs w:val="18"/>
              </w:rPr>
              <w:t>4</w:t>
            </w:r>
            <w:r w:rsidR="007B163C" w:rsidRPr="001B4CA2">
              <w:rPr>
                <w:rFonts w:eastAsia="Times New Roman"/>
                <w:sz w:val="18"/>
                <w:szCs w:val="18"/>
              </w:rPr>
              <w:t>86</w:t>
            </w:r>
          </w:p>
        </w:tc>
        <w:tc>
          <w:tcPr>
            <w:tcW w:w="708" w:type="dxa"/>
            <w:shd w:val="clear" w:color="auto" w:fill="auto"/>
            <w:tcMar>
              <w:top w:w="0" w:type="dxa"/>
              <w:left w:w="45" w:type="dxa"/>
              <w:bottom w:w="0" w:type="dxa"/>
              <w:right w:w="45" w:type="dxa"/>
            </w:tcMar>
            <w:vAlign w:val="center"/>
          </w:tcPr>
          <w:p w14:paraId="7D00C2F5" w14:textId="696B51AE" w:rsidR="00FE4D87" w:rsidRPr="001B4CA2" w:rsidRDefault="007B163C" w:rsidP="0079191D">
            <w:pPr>
              <w:jc w:val="center"/>
              <w:rPr>
                <w:rFonts w:eastAsia="Times New Roman"/>
                <w:sz w:val="18"/>
                <w:szCs w:val="18"/>
              </w:rPr>
            </w:pPr>
            <w:r w:rsidRPr="001B4CA2">
              <w:rPr>
                <w:rFonts w:eastAsia="Times New Roman"/>
                <w:sz w:val="18"/>
                <w:szCs w:val="18"/>
              </w:rPr>
              <w:t>23</w:t>
            </w:r>
          </w:p>
        </w:tc>
        <w:tc>
          <w:tcPr>
            <w:tcW w:w="970" w:type="dxa"/>
            <w:shd w:val="clear" w:color="auto" w:fill="auto"/>
            <w:tcMar>
              <w:top w:w="0" w:type="dxa"/>
              <w:left w:w="45" w:type="dxa"/>
              <w:bottom w:w="0" w:type="dxa"/>
              <w:right w:w="45" w:type="dxa"/>
            </w:tcMar>
            <w:vAlign w:val="center"/>
          </w:tcPr>
          <w:p w14:paraId="21443C26" w14:textId="0539AC54" w:rsidR="00FE4D87" w:rsidRPr="001B4CA2" w:rsidRDefault="007B163C" w:rsidP="0079191D">
            <w:pPr>
              <w:jc w:val="center"/>
              <w:rPr>
                <w:rFonts w:eastAsia="Times New Roman"/>
                <w:sz w:val="18"/>
                <w:szCs w:val="18"/>
              </w:rPr>
            </w:pPr>
            <w:r w:rsidRPr="001B4CA2">
              <w:rPr>
                <w:rFonts w:eastAsia="Times New Roman"/>
                <w:sz w:val="18"/>
                <w:szCs w:val="18"/>
              </w:rPr>
              <w:t>30</w:t>
            </w:r>
          </w:p>
        </w:tc>
        <w:tc>
          <w:tcPr>
            <w:tcW w:w="851" w:type="dxa"/>
            <w:shd w:val="clear" w:color="auto" w:fill="auto"/>
            <w:tcMar>
              <w:top w:w="0" w:type="dxa"/>
              <w:left w:w="45" w:type="dxa"/>
              <w:bottom w:w="0" w:type="dxa"/>
              <w:right w:w="45" w:type="dxa"/>
            </w:tcMar>
            <w:vAlign w:val="center"/>
          </w:tcPr>
          <w:p w14:paraId="51C43D1E" w14:textId="68AE351D" w:rsidR="00FE4D87" w:rsidRPr="001B4CA2" w:rsidRDefault="007B163C" w:rsidP="0079191D">
            <w:pPr>
              <w:jc w:val="center"/>
              <w:rPr>
                <w:rFonts w:eastAsia="Times New Roman"/>
                <w:sz w:val="18"/>
                <w:szCs w:val="18"/>
              </w:rPr>
            </w:pPr>
            <w:r w:rsidRPr="001B4CA2">
              <w:rPr>
                <w:rFonts w:eastAsia="Times New Roman"/>
                <w:sz w:val="18"/>
                <w:szCs w:val="18"/>
              </w:rPr>
              <w:t>539</w:t>
            </w:r>
          </w:p>
        </w:tc>
        <w:tc>
          <w:tcPr>
            <w:tcW w:w="1103" w:type="dxa"/>
            <w:shd w:val="clear" w:color="auto" w:fill="auto"/>
            <w:tcMar>
              <w:top w:w="0" w:type="dxa"/>
              <w:left w:w="45" w:type="dxa"/>
              <w:bottom w:w="0" w:type="dxa"/>
              <w:right w:w="45" w:type="dxa"/>
            </w:tcMar>
            <w:vAlign w:val="center"/>
          </w:tcPr>
          <w:p w14:paraId="70699464" w14:textId="3CDDE79B" w:rsidR="00FE4D87" w:rsidRPr="001B4CA2" w:rsidRDefault="007B163C" w:rsidP="0079191D">
            <w:pPr>
              <w:jc w:val="center"/>
              <w:rPr>
                <w:rFonts w:eastAsia="Times New Roman"/>
                <w:sz w:val="18"/>
                <w:szCs w:val="18"/>
              </w:rPr>
            </w:pPr>
            <w:r w:rsidRPr="001B4CA2">
              <w:rPr>
                <w:rFonts w:eastAsia="Times New Roman"/>
                <w:sz w:val="18"/>
                <w:szCs w:val="18"/>
              </w:rPr>
              <w:t>807</w:t>
            </w:r>
          </w:p>
        </w:tc>
      </w:tr>
      <w:tr w:rsidR="00E26936" w:rsidRPr="001B4CA2" w14:paraId="5ABBBDA9" w14:textId="77777777" w:rsidTr="0079191D">
        <w:trPr>
          <w:trHeight w:val="306"/>
          <w:jc w:val="center"/>
        </w:trPr>
        <w:tc>
          <w:tcPr>
            <w:tcW w:w="993" w:type="dxa"/>
            <w:tcMar>
              <w:top w:w="0" w:type="dxa"/>
              <w:left w:w="45" w:type="dxa"/>
              <w:bottom w:w="0" w:type="dxa"/>
              <w:right w:w="45" w:type="dxa"/>
            </w:tcMar>
            <w:vAlign w:val="center"/>
            <w:hideMark/>
          </w:tcPr>
          <w:p w14:paraId="759C4EA6" w14:textId="07072186" w:rsidR="00E26936" w:rsidRPr="001B4CA2" w:rsidRDefault="00E26936" w:rsidP="0079191D">
            <w:pPr>
              <w:jc w:val="center"/>
              <w:rPr>
                <w:rFonts w:eastAsia="Times New Roman"/>
                <w:sz w:val="18"/>
                <w:szCs w:val="18"/>
              </w:rPr>
            </w:pPr>
            <w:r w:rsidRPr="001B4CA2">
              <w:rPr>
                <w:rFonts w:eastAsia="Times New Roman"/>
                <w:sz w:val="18"/>
                <w:szCs w:val="18"/>
              </w:rPr>
              <w:t>202</w:t>
            </w:r>
            <w:r w:rsidR="007B163C" w:rsidRPr="001B4CA2">
              <w:rPr>
                <w:rFonts w:eastAsia="Times New Roman"/>
                <w:sz w:val="18"/>
                <w:szCs w:val="18"/>
              </w:rPr>
              <w:t>1</w:t>
            </w:r>
            <w:r w:rsidRPr="001B4CA2">
              <w:rPr>
                <w:rFonts w:eastAsia="Times New Roman"/>
                <w:sz w:val="18"/>
                <w:szCs w:val="18"/>
              </w:rPr>
              <w:t>.</w:t>
            </w:r>
          </w:p>
        </w:tc>
        <w:tc>
          <w:tcPr>
            <w:tcW w:w="962" w:type="dxa"/>
            <w:tcMar>
              <w:top w:w="0" w:type="dxa"/>
              <w:left w:w="45" w:type="dxa"/>
              <w:bottom w:w="0" w:type="dxa"/>
              <w:right w:w="45" w:type="dxa"/>
            </w:tcMar>
            <w:vAlign w:val="center"/>
          </w:tcPr>
          <w:p w14:paraId="088229C6" w14:textId="49FD48DD" w:rsidR="00E26936" w:rsidRPr="001B4CA2" w:rsidRDefault="007B163C" w:rsidP="0079191D">
            <w:pPr>
              <w:jc w:val="center"/>
              <w:rPr>
                <w:rFonts w:eastAsia="Times New Roman"/>
                <w:sz w:val="18"/>
                <w:szCs w:val="18"/>
              </w:rPr>
            </w:pPr>
            <w:r w:rsidRPr="001B4CA2">
              <w:rPr>
                <w:rFonts w:eastAsia="Times New Roman"/>
                <w:sz w:val="18"/>
                <w:szCs w:val="18"/>
              </w:rPr>
              <w:t>1.092</w:t>
            </w:r>
          </w:p>
        </w:tc>
        <w:tc>
          <w:tcPr>
            <w:tcW w:w="735" w:type="dxa"/>
            <w:tcMar>
              <w:top w:w="0" w:type="dxa"/>
              <w:left w:w="45" w:type="dxa"/>
              <w:bottom w:w="0" w:type="dxa"/>
              <w:right w:w="45" w:type="dxa"/>
            </w:tcMar>
            <w:vAlign w:val="center"/>
          </w:tcPr>
          <w:p w14:paraId="048940F6" w14:textId="5678FA98" w:rsidR="00E26936" w:rsidRPr="001B4CA2" w:rsidRDefault="007B163C" w:rsidP="0079191D">
            <w:pPr>
              <w:jc w:val="center"/>
              <w:rPr>
                <w:rFonts w:eastAsia="Times New Roman"/>
                <w:sz w:val="18"/>
                <w:szCs w:val="18"/>
              </w:rPr>
            </w:pPr>
            <w:r w:rsidRPr="001B4CA2">
              <w:rPr>
                <w:rFonts w:eastAsia="Times New Roman"/>
                <w:sz w:val="18"/>
                <w:szCs w:val="18"/>
              </w:rPr>
              <w:t>43</w:t>
            </w:r>
          </w:p>
        </w:tc>
        <w:tc>
          <w:tcPr>
            <w:tcW w:w="966" w:type="dxa"/>
            <w:shd w:val="clear" w:color="auto" w:fill="auto"/>
            <w:tcMar>
              <w:top w:w="0" w:type="dxa"/>
              <w:left w:w="45" w:type="dxa"/>
              <w:bottom w:w="0" w:type="dxa"/>
              <w:right w:w="45" w:type="dxa"/>
            </w:tcMar>
            <w:vAlign w:val="center"/>
          </w:tcPr>
          <w:p w14:paraId="208DE168" w14:textId="69D5085B" w:rsidR="00E26936" w:rsidRPr="001B4CA2" w:rsidRDefault="007B163C" w:rsidP="0079191D">
            <w:pPr>
              <w:jc w:val="center"/>
              <w:rPr>
                <w:rFonts w:eastAsia="Times New Roman"/>
                <w:sz w:val="18"/>
                <w:szCs w:val="18"/>
              </w:rPr>
            </w:pPr>
            <w:r w:rsidRPr="001B4CA2">
              <w:rPr>
                <w:rFonts w:eastAsia="Times New Roman"/>
                <w:sz w:val="18"/>
                <w:szCs w:val="18"/>
              </w:rPr>
              <w:t>15</w:t>
            </w:r>
          </w:p>
        </w:tc>
        <w:tc>
          <w:tcPr>
            <w:tcW w:w="1019" w:type="dxa"/>
            <w:shd w:val="clear" w:color="auto" w:fill="auto"/>
            <w:tcMar>
              <w:top w:w="0" w:type="dxa"/>
              <w:left w:w="45" w:type="dxa"/>
              <w:bottom w:w="0" w:type="dxa"/>
              <w:right w:w="45" w:type="dxa"/>
            </w:tcMar>
            <w:vAlign w:val="center"/>
          </w:tcPr>
          <w:p w14:paraId="7E0D038E" w14:textId="61678659" w:rsidR="00E26936" w:rsidRPr="001B4CA2" w:rsidRDefault="00E26936" w:rsidP="0079191D">
            <w:pPr>
              <w:jc w:val="center"/>
              <w:rPr>
                <w:rFonts w:eastAsia="Times New Roman"/>
                <w:sz w:val="18"/>
                <w:szCs w:val="18"/>
              </w:rPr>
            </w:pPr>
          </w:p>
        </w:tc>
        <w:tc>
          <w:tcPr>
            <w:tcW w:w="811" w:type="dxa"/>
            <w:shd w:val="clear" w:color="auto" w:fill="auto"/>
            <w:tcMar>
              <w:top w:w="0" w:type="dxa"/>
              <w:left w:w="45" w:type="dxa"/>
              <w:bottom w:w="0" w:type="dxa"/>
              <w:right w:w="45" w:type="dxa"/>
            </w:tcMar>
            <w:vAlign w:val="center"/>
          </w:tcPr>
          <w:p w14:paraId="544E684E" w14:textId="2145FDA1" w:rsidR="00E26936" w:rsidRPr="001B4CA2" w:rsidRDefault="007B163C" w:rsidP="0079191D">
            <w:pPr>
              <w:jc w:val="center"/>
              <w:rPr>
                <w:rFonts w:eastAsia="Times New Roman"/>
                <w:sz w:val="18"/>
                <w:szCs w:val="18"/>
              </w:rPr>
            </w:pPr>
            <w:r w:rsidRPr="001B4CA2">
              <w:rPr>
                <w:rFonts w:eastAsia="Times New Roman"/>
                <w:sz w:val="18"/>
                <w:szCs w:val="18"/>
              </w:rPr>
              <w:t>538</w:t>
            </w:r>
          </w:p>
        </w:tc>
        <w:tc>
          <w:tcPr>
            <w:tcW w:w="708" w:type="dxa"/>
            <w:shd w:val="clear" w:color="auto" w:fill="auto"/>
            <w:tcMar>
              <w:top w:w="0" w:type="dxa"/>
              <w:left w:w="45" w:type="dxa"/>
              <w:bottom w:w="0" w:type="dxa"/>
              <w:right w:w="45" w:type="dxa"/>
            </w:tcMar>
            <w:vAlign w:val="center"/>
          </w:tcPr>
          <w:p w14:paraId="5F044CA1" w14:textId="42462E13" w:rsidR="00E26936" w:rsidRPr="001B4CA2" w:rsidRDefault="007B163C" w:rsidP="0079191D">
            <w:pPr>
              <w:jc w:val="center"/>
              <w:rPr>
                <w:rFonts w:eastAsia="Times New Roman"/>
                <w:sz w:val="18"/>
                <w:szCs w:val="18"/>
              </w:rPr>
            </w:pPr>
            <w:r w:rsidRPr="001B4CA2">
              <w:rPr>
                <w:rFonts w:eastAsia="Times New Roman"/>
                <w:sz w:val="18"/>
                <w:szCs w:val="18"/>
              </w:rPr>
              <w:t>34</w:t>
            </w:r>
          </w:p>
        </w:tc>
        <w:tc>
          <w:tcPr>
            <w:tcW w:w="970" w:type="dxa"/>
            <w:shd w:val="clear" w:color="auto" w:fill="auto"/>
            <w:tcMar>
              <w:top w:w="0" w:type="dxa"/>
              <w:left w:w="45" w:type="dxa"/>
              <w:bottom w:w="0" w:type="dxa"/>
              <w:right w:w="45" w:type="dxa"/>
            </w:tcMar>
            <w:vAlign w:val="center"/>
          </w:tcPr>
          <w:p w14:paraId="42FCA397" w14:textId="6177A594" w:rsidR="00E26936" w:rsidRPr="001B4CA2" w:rsidRDefault="007B163C" w:rsidP="0079191D">
            <w:pPr>
              <w:jc w:val="center"/>
              <w:rPr>
                <w:rFonts w:eastAsia="Times New Roman"/>
                <w:sz w:val="18"/>
                <w:szCs w:val="18"/>
              </w:rPr>
            </w:pPr>
            <w:r w:rsidRPr="001B4CA2">
              <w:rPr>
                <w:rFonts w:eastAsia="Times New Roman"/>
                <w:sz w:val="18"/>
                <w:szCs w:val="18"/>
              </w:rPr>
              <w:t>9</w:t>
            </w:r>
          </w:p>
        </w:tc>
        <w:tc>
          <w:tcPr>
            <w:tcW w:w="851" w:type="dxa"/>
            <w:shd w:val="clear" w:color="auto" w:fill="auto"/>
            <w:tcMar>
              <w:top w:w="0" w:type="dxa"/>
              <w:left w:w="45" w:type="dxa"/>
              <w:bottom w:w="0" w:type="dxa"/>
              <w:right w:w="45" w:type="dxa"/>
            </w:tcMar>
            <w:vAlign w:val="center"/>
          </w:tcPr>
          <w:p w14:paraId="711CAF4B" w14:textId="469969E1" w:rsidR="00E26936" w:rsidRPr="001B4CA2" w:rsidRDefault="007B163C" w:rsidP="0079191D">
            <w:pPr>
              <w:jc w:val="center"/>
              <w:rPr>
                <w:rFonts w:eastAsia="Times New Roman"/>
                <w:sz w:val="18"/>
                <w:szCs w:val="18"/>
              </w:rPr>
            </w:pPr>
            <w:r w:rsidRPr="001B4CA2">
              <w:rPr>
                <w:rFonts w:eastAsia="Times New Roman"/>
                <w:sz w:val="18"/>
                <w:szCs w:val="18"/>
              </w:rPr>
              <w:t>581</w:t>
            </w:r>
          </w:p>
        </w:tc>
        <w:tc>
          <w:tcPr>
            <w:tcW w:w="1103" w:type="dxa"/>
            <w:shd w:val="clear" w:color="auto" w:fill="auto"/>
            <w:tcMar>
              <w:top w:w="0" w:type="dxa"/>
              <w:left w:w="45" w:type="dxa"/>
              <w:bottom w:w="0" w:type="dxa"/>
              <w:right w:w="45" w:type="dxa"/>
            </w:tcMar>
            <w:vAlign w:val="center"/>
          </w:tcPr>
          <w:p w14:paraId="747DCF79" w14:textId="07F5B62F" w:rsidR="00E26936" w:rsidRPr="001B4CA2" w:rsidRDefault="007B163C" w:rsidP="0079191D">
            <w:pPr>
              <w:jc w:val="center"/>
              <w:rPr>
                <w:rFonts w:eastAsia="Times New Roman"/>
                <w:sz w:val="18"/>
                <w:szCs w:val="18"/>
              </w:rPr>
            </w:pPr>
            <w:r w:rsidRPr="001B4CA2">
              <w:rPr>
                <w:rFonts w:eastAsia="Times New Roman"/>
                <w:sz w:val="18"/>
                <w:szCs w:val="18"/>
              </w:rPr>
              <w:t>484</w:t>
            </w:r>
          </w:p>
        </w:tc>
      </w:tr>
      <w:tr w:rsidR="00E26936" w:rsidRPr="001B4CA2" w14:paraId="5714B58F" w14:textId="77777777" w:rsidTr="0079191D">
        <w:trPr>
          <w:trHeight w:val="306"/>
          <w:jc w:val="center"/>
        </w:trPr>
        <w:tc>
          <w:tcPr>
            <w:tcW w:w="993" w:type="dxa"/>
            <w:tcMar>
              <w:top w:w="0" w:type="dxa"/>
              <w:left w:w="45" w:type="dxa"/>
              <w:bottom w:w="0" w:type="dxa"/>
              <w:right w:w="45" w:type="dxa"/>
            </w:tcMar>
            <w:vAlign w:val="center"/>
          </w:tcPr>
          <w:p w14:paraId="39A7287D" w14:textId="3A7C108A" w:rsidR="00E26936" w:rsidRPr="001B4CA2" w:rsidRDefault="00E26936" w:rsidP="0079191D">
            <w:pPr>
              <w:jc w:val="center"/>
              <w:rPr>
                <w:rFonts w:eastAsia="Times New Roman"/>
                <w:sz w:val="18"/>
                <w:szCs w:val="18"/>
              </w:rPr>
            </w:pPr>
            <w:r w:rsidRPr="001B4CA2">
              <w:rPr>
                <w:rFonts w:eastAsia="Times New Roman"/>
                <w:sz w:val="18"/>
                <w:szCs w:val="18"/>
              </w:rPr>
              <w:t>202</w:t>
            </w:r>
            <w:r w:rsidR="007B163C" w:rsidRPr="001B4CA2">
              <w:rPr>
                <w:rFonts w:eastAsia="Times New Roman"/>
                <w:sz w:val="18"/>
                <w:szCs w:val="18"/>
              </w:rPr>
              <w:t>2</w:t>
            </w:r>
            <w:r w:rsidRPr="001B4CA2">
              <w:rPr>
                <w:rFonts w:eastAsia="Times New Roman"/>
                <w:sz w:val="18"/>
                <w:szCs w:val="18"/>
              </w:rPr>
              <w:t>.</w:t>
            </w:r>
          </w:p>
        </w:tc>
        <w:tc>
          <w:tcPr>
            <w:tcW w:w="962" w:type="dxa"/>
            <w:tcMar>
              <w:top w:w="0" w:type="dxa"/>
              <w:left w:w="45" w:type="dxa"/>
              <w:bottom w:w="0" w:type="dxa"/>
              <w:right w:w="45" w:type="dxa"/>
            </w:tcMar>
            <w:vAlign w:val="center"/>
          </w:tcPr>
          <w:p w14:paraId="5CC91EAC" w14:textId="63DA1144" w:rsidR="00E26936" w:rsidRPr="001B4CA2" w:rsidRDefault="007B163C" w:rsidP="0079191D">
            <w:pPr>
              <w:jc w:val="center"/>
              <w:rPr>
                <w:rFonts w:eastAsia="Times New Roman"/>
                <w:sz w:val="18"/>
                <w:szCs w:val="18"/>
              </w:rPr>
            </w:pPr>
            <w:r w:rsidRPr="001B4CA2">
              <w:rPr>
                <w:rFonts w:eastAsia="Times New Roman"/>
                <w:sz w:val="18"/>
                <w:szCs w:val="18"/>
              </w:rPr>
              <w:t>1.051</w:t>
            </w:r>
          </w:p>
        </w:tc>
        <w:tc>
          <w:tcPr>
            <w:tcW w:w="735" w:type="dxa"/>
            <w:tcMar>
              <w:top w:w="0" w:type="dxa"/>
              <w:left w:w="45" w:type="dxa"/>
              <w:bottom w:w="0" w:type="dxa"/>
              <w:right w:w="45" w:type="dxa"/>
            </w:tcMar>
            <w:vAlign w:val="center"/>
          </w:tcPr>
          <w:p w14:paraId="2AAA8F77" w14:textId="4A1BE4AA" w:rsidR="00E26936" w:rsidRPr="001B4CA2" w:rsidRDefault="007B163C" w:rsidP="0079191D">
            <w:pPr>
              <w:jc w:val="center"/>
              <w:rPr>
                <w:rFonts w:eastAsia="Times New Roman"/>
                <w:sz w:val="18"/>
                <w:szCs w:val="18"/>
              </w:rPr>
            </w:pPr>
            <w:r w:rsidRPr="001B4CA2">
              <w:rPr>
                <w:rFonts w:eastAsia="Times New Roman"/>
                <w:sz w:val="18"/>
                <w:szCs w:val="18"/>
              </w:rPr>
              <w:t>18</w:t>
            </w:r>
          </w:p>
        </w:tc>
        <w:tc>
          <w:tcPr>
            <w:tcW w:w="966" w:type="dxa"/>
            <w:shd w:val="clear" w:color="auto" w:fill="auto"/>
            <w:tcMar>
              <w:top w:w="0" w:type="dxa"/>
              <w:left w:w="45" w:type="dxa"/>
              <w:bottom w:w="0" w:type="dxa"/>
              <w:right w:w="45" w:type="dxa"/>
            </w:tcMar>
            <w:vAlign w:val="center"/>
          </w:tcPr>
          <w:p w14:paraId="6C4EA00B" w14:textId="2BBB01FB" w:rsidR="00E26936" w:rsidRPr="001B4CA2" w:rsidRDefault="007B163C" w:rsidP="0079191D">
            <w:pPr>
              <w:jc w:val="center"/>
              <w:rPr>
                <w:rFonts w:eastAsia="Times New Roman"/>
                <w:sz w:val="18"/>
                <w:szCs w:val="18"/>
              </w:rPr>
            </w:pPr>
            <w:r w:rsidRPr="001B4CA2">
              <w:rPr>
                <w:rFonts w:eastAsia="Times New Roman"/>
                <w:sz w:val="18"/>
                <w:szCs w:val="18"/>
              </w:rPr>
              <w:t>2</w:t>
            </w:r>
          </w:p>
        </w:tc>
        <w:tc>
          <w:tcPr>
            <w:tcW w:w="1019" w:type="dxa"/>
            <w:shd w:val="clear" w:color="auto" w:fill="auto"/>
            <w:tcMar>
              <w:top w:w="0" w:type="dxa"/>
              <w:left w:w="45" w:type="dxa"/>
              <w:bottom w:w="0" w:type="dxa"/>
              <w:right w:w="45" w:type="dxa"/>
            </w:tcMar>
            <w:vAlign w:val="center"/>
          </w:tcPr>
          <w:p w14:paraId="1F5EC1B4" w14:textId="5B99F70C" w:rsidR="00E26936" w:rsidRPr="001B4CA2" w:rsidRDefault="00E26936" w:rsidP="0079191D">
            <w:pPr>
              <w:jc w:val="center"/>
              <w:rPr>
                <w:rFonts w:eastAsia="Times New Roman"/>
                <w:sz w:val="18"/>
                <w:szCs w:val="18"/>
              </w:rPr>
            </w:pPr>
          </w:p>
        </w:tc>
        <w:tc>
          <w:tcPr>
            <w:tcW w:w="811" w:type="dxa"/>
            <w:shd w:val="clear" w:color="auto" w:fill="auto"/>
            <w:tcMar>
              <w:top w:w="0" w:type="dxa"/>
              <w:left w:w="45" w:type="dxa"/>
              <w:bottom w:w="0" w:type="dxa"/>
              <w:right w:w="45" w:type="dxa"/>
            </w:tcMar>
            <w:vAlign w:val="center"/>
          </w:tcPr>
          <w:p w14:paraId="1139EC09" w14:textId="6E112C2E" w:rsidR="00E26936" w:rsidRPr="001B4CA2" w:rsidRDefault="007B163C" w:rsidP="0079191D">
            <w:pPr>
              <w:jc w:val="center"/>
              <w:rPr>
                <w:rFonts w:eastAsia="Times New Roman"/>
                <w:sz w:val="18"/>
                <w:szCs w:val="18"/>
              </w:rPr>
            </w:pPr>
            <w:r w:rsidRPr="001B4CA2">
              <w:rPr>
                <w:rFonts w:eastAsia="Times New Roman"/>
                <w:sz w:val="18"/>
                <w:szCs w:val="18"/>
              </w:rPr>
              <w:t>606</w:t>
            </w:r>
          </w:p>
        </w:tc>
        <w:tc>
          <w:tcPr>
            <w:tcW w:w="708" w:type="dxa"/>
            <w:shd w:val="clear" w:color="auto" w:fill="auto"/>
            <w:tcMar>
              <w:top w:w="0" w:type="dxa"/>
              <w:left w:w="45" w:type="dxa"/>
              <w:bottom w:w="0" w:type="dxa"/>
              <w:right w:w="45" w:type="dxa"/>
            </w:tcMar>
            <w:vAlign w:val="center"/>
          </w:tcPr>
          <w:p w14:paraId="7620E058" w14:textId="6A17C605" w:rsidR="00E26936" w:rsidRPr="001B4CA2" w:rsidRDefault="007B163C" w:rsidP="0079191D">
            <w:pPr>
              <w:jc w:val="center"/>
              <w:rPr>
                <w:rFonts w:eastAsia="Times New Roman"/>
                <w:sz w:val="18"/>
                <w:szCs w:val="18"/>
              </w:rPr>
            </w:pPr>
            <w:r w:rsidRPr="001B4CA2">
              <w:rPr>
                <w:rFonts w:eastAsia="Times New Roman"/>
                <w:sz w:val="18"/>
                <w:szCs w:val="18"/>
              </w:rPr>
              <w:t>54</w:t>
            </w:r>
          </w:p>
        </w:tc>
        <w:tc>
          <w:tcPr>
            <w:tcW w:w="970" w:type="dxa"/>
            <w:shd w:val="clear" w:color="auto" w:fill="auto"/>
            <w:tcMar>
              <w:top w:w="0" w:type="dxa"/>
              <w:left w:w="45" w:type="dxa"/>
              <w:bottom w:w="0" w:type="dxa"/>
              <w:right w:w="45" w:type="dxa"/>
            </w:tcMar>
            <w:vAlign w:val="center"/>
          </w:tcPr>
          <w:p w14:paraId="664B9052" w14:textId="25241062" w:rsidR="00E26936" w:rsidRPr="001B4CA2" w:rsidRDefault="007B163C" w:rsidP="007B163C">
            <w:pPr>
              <w:jc w:val="center"/>
              <w:rPr>
                <w:rFonts w:eastAsia="Times New Roman"/>
                <w:sz w:val="18"/>
                <w:szCs w:val="18"/>
              </w:rPr>
            </w:pPr>
            <w:r w:rsidRPr="001B4CA2">
              <w:rPr>
                <w:rFonts w:eastAsia="Times New Roman"/>
                <w:sz w:val="18"/>
                <w:szCs w:val="18"/>
              </w:rPr>
              <w:t>7</w:t>
            </w:r>
          </w:p>
        </w:tc>
        <w:tc>
          <w:tcPr>
            <w:tcW w:w="851" w:type="dxa"/>
            <w:shd w:val="clear" w:color="auto" w:fill="auto"/>
            <w:tcMar>
              <w:top w:w="0" w:type="dxa"/>
              <w:left w:w="45" w:type="dxa"/>
              <w:bottom w:w="0" w:type="dxa"/>
              <w:right w:w="45" w:type="dxa"/>
            </w:tcMar>
            <w:vAlign w:val="center"/>
          </w:tcPr>
          <w:p w14:paraId="7BEC7978" w14:textId="7B92B793" w:rsidR="00E26936" w:rsidRPr="001B4CA2" w:rsidRDefault="007B163C" w:rsidP="0079191D">
            <w:pPr>
              <w:jc w:val="center"/>
              <w:rPr>
                <w:rFonts w:eastAsia="Times New Roman"/>
                <w:sz w:val="18"/>
                <w:szCs w:val="18"/>
              </w:rPr>
            </w:pPr>
            <w:r w:rsidRPr="001B4CA2">
              <w:rPr>
                <w:rFonts w:eastAsia="Times New Roman"/>
                <w:sz w:val="18"/>
                <w:szCs w:val="18"/>
              </w:rPr>
              <w:t>667</w:t>
            </w:r>
          </w:p>
        </w:tc>
        <w:tc>
          <w:tcPr>
            <w:tcW w:w="1103" w:type="dxa"/>
            <w:shd w:val="clear" w:color="auto" w:fill="auto"/>
            <w:tcMar>
              <w:top w:w="0" w:type="dxa"/>
              <w:left w:w="45" w:type="dxa"/>
              <w:bottom w:w="0" w:type="dxa"/>
              <w:right w:w="45" w:type="dxa"/>
            </w:tcMar>
            <w:vAlign w:val="center"/>
          </w:tcPr>
          <w:p w14:paraId="39FCEF13" w14:textId="722E21E8" w:rsidR="00E26936" w:rsidRPr="001B4CA2" w:rsidRDefault="007B163C" w:rsidP="0079191D">
            <w:pPr>
              <w:jc w:val="center"/>
              <w:rPr>
                <w:rFonts w:eastAsia="Times New Roman"/>
                <w:sz w:val="18"/>
                <w:szCs w:val="18"/>
              </w:rPr>
            </w:pPr>
            <w:r w:rsidRPr="001B4CA2">
              <w:rPr>
                <w:rFonts w:eastAsia="Times New Roman"/>
                <w:sz w:val="18"/>
                <w:szCs w:val="18"/>
              </w:rPr>
              <w:t>368</w:t>
            </w:r>
          </w:p>
        </w:tc>
      </w:tr>
    </w:tbl>
    <w:p w14:paraId="0B2875ED" w14:textId="214A29CF" w:rsidR="008B0696" w:rsidRPr="001B4CA2" w:rsidRDefault="008B0696" w:rsidP="004E2705"/>
    <w:p w14:paraId="546877D0" w14:textId="089CBECB" w:rsidR="007B163C" w:rsidRPr="001B4CA2" w:rsidRDefault="007B163C" w:rsidP="007B163C">
      <w:pPr>
        <w:ind w:firstLine="708"/>
      </w:pPr>
      <w:r w:rsidRPr="001B4CA2">
        <w:lastRenderedPageBreak/>
        <w:t>U izvještajnom razdoblju optužna vijeća nadležnih županijskih sudova donijela su odluke u odnosu na 667 optuženih osoba, dok u odnosu na 368 optuženih osoba takve odluke nisu donesene. Uspoređujući navedene podatke s prethodnom 2021. godinom uočava se porast broja donesenih odluka optužnog vijeća za 12,9</w:t>
      </w:r>
      <w:r w:rsidR="00166CCE">
        <w:t> </w:t>
      </w:r>
      <w:r w:rsidRPr="001B4CA2">
        <w:t>%.</w:t>
      </w:r>
    </w:p>
    <w:p w14:paraId="46C95C20" w14:textId="77777777" w:rsidR="007B163C" w:rsidRPr="001B4CA2" w:rsidRDefault="007B163C" w:rsidP="007B163C"/>
    <w:p w14:paraId="35E0113D" w14:textId="4194FF27" w:rsidR="007B163C" w:rsidRPr="001B4CA2" w:rsidRDefault="007B163C" w:rsidP="007B163C">
      <w:pPr>
        <w:ind w:firstLine="708"/>
      </w:pPr>
      <w:r w:rsidRPr="001B4CA2">
        <w:t xml:space="preserve">Sukladno Zakonu o kaznenom postupku, optužno vijeće donoseći odluku o optužnici može </w:t>
      </w:r>
      <w:r w:rsidR="00166CCE">
        <w:t>je</w:t>
      </w:r>
      <w:r w:rsidRPr="001B4CA2">
        <w:t xml:space="preserve"> potvrditi u cijelosti ili djelomično, obustaviti kazneni postupak ili optužnicu vratiti državnom odvjetništvu radi ispravka ili na dopunu.</w:t>
      </w:r>
    </w:p>
    <w:p w14:paraId="7002344A" w14:textId="77777777" w:rsidR="007B163C" w:rsidRPr="001B4CA2" w:rsidRDefault="007B163C" w:rsidP="007B163C"/>
    <w:p w14:paraId="1F9CE0A3" w14:textId="15CD5446" w:rsidR="007B163C" w:rsidRPr="001B4CA2" w:rsidRDefault="007B163C" w:rsidP="007B163C">
      <w:pPr>
        <w:ind w:firstLine="708"/>
      </w:pPr>
      <w:r w:rsidRPr="001B4CA2">
        <w:t>Tijekom 2022. godine postupajući povodom optužnica županijskih državnih odvjetništava, optužna vijeća nadležnih županijskih sudova donijela su ukupno 667 odluka, od čega je protiv 606 okrivljenika ili 90,86</w:t>
      </w:r>
      <w:r w:rsidR="00166CCE">
        <w:t> </w:t>
      </w:r>
      <w:r w:rsidRPr="001B4CA2">
        <w:t>% optužnica potvrđena, u odnosu na 54 okrivljenika ili 8,09</w:t>
      </w:r>
      <w:r w:rsidR="00166CCE">
        <w:t> </w:t>
      </w:r>
      <w:r w:rsidRPr="001B4CA2">
        <w:t>% optužnica vraćena državnom odvjetništvu na dopunu, dok je samo u odnosu na 7 okrivljenika ili 1,05</w:t>
      </w:r>
      <w:r w:rsidR="00166CCE">
        <w:t> </w:t>
      </w:r>
      <w:r w:rsidRPr="001B4CA2">
        <w:t>% postupak obustavljen. Razlog obustave postupka je nastup smrti okrivljenika ili njihova raspravna nesposobnost. Optužnica je povučena samo protiv dvij</w:t>
      </w:r>
      <w:r w:rsidR="00166CCE">
        <w:t>u</w:t>
      </w:r>
      <w:r w:rsidRPr="001B4CA2">
        <w:t xml:space="preserve"> osob</w:t>
      </w:r>
      <w:r w:rsidR="00166CCE">
        <w:t>a</w:t>
      </w:r>
      <w:r w:rsidRPr="001B4CA2">
        <w:t xml:space="preserve">. </w:t>
      </w:r>
    </w:p>
    <w:p w14:paraId="60629A77" w14:textId="77777777" w:rsidR="007B163C" w:rsidRPr="001B4CA2" w:rsidRDefault="007B163C" w:rsidP="007B163C">
      <w:pPr>
        <w:ind w:firstLine="708"/>
      </w:pPr>
    </w:p>
    <w:p w14:paraId="41CCAB7C" w14:textId="77777777" w:rsidR="007B163C" w:rsidRPr="001B4CA2" w:rsidRDefault="007B163C" w:rsidP="007B163C">
      <w:pPr>
        <w:ind w:firstLine="708"/>
      </w:pPr>
      <w:r w:rsidRPr="001B4CA2">
        <w:t>Ukupan udio potvrđenih optužnica od 90,86 % govori u prilog visokoj razini kvalitete podignutih optužnica od strane županijskih državnih odvjetništava.</w:t>
      </w:r>
    </w:p>
    <w:p w14:paraId="63DB8F3C" w14:textId="77777777" w:rsidR="007B163C" w:rsidRPr="001B4CA2" w:rsidRDefault="007B163C" w:rsidP="007B163C"/>
    <w:p w14:paraId="7912CCCE" w14:textId="06902CEF" w:rsidR="007B163C" w:rsidRPr="001B4CA2" w:rsidRDefault="007B163C" w:rsidP="007B163C">
      <w:pPr>
        <w:tabs>
          <w:tab w:val="left" w:pos="-720"/>
        </w:tabs>
        <w:suppressAutoHyphens/>
        <w:rPr>
          <w:rFonts w:eastAsia="Arial"/>
          <w:szCs w:val="22"/>
        </w:rPr>
      </w:pPr>
      <w:r w:rsidRPr="001B4CA2">
        <w:tab/>
        <w:t>Svega 8,09</w:t>
      </w:r>
      <w:r w:rsidR="00166CCE">
        <w:t> </w:t>
      </w:r>
      <w:r w:rsidRPr="001B4CA2">
        <w:t>% o</w:t>
      </w:r>
      <w:r w:rsidRPr="001B4CA2">
        <w:rPr>
          <w:rFonts w:eastAsia="Arial"/>
          <w:szCs w:val="22"/>
        </w:rPr>
        <w:t>ptužnica vraćeno je županijskim državnim odvjetništvima na dopunu</w:t>
      </w:r>
      <w:r w:rsidR="00166CCE">
        <w:rPr>
          <w:rFonts w:eastAsia="Arial"/>
          <w:szCs w:val="22"/>
        </w:rPr>
        <w:t>,</w:t>
      </w:r>
      <w:r w:rsidRPr="001B4CA2">
        <w:rPr>
          <w:rFonts w:eastAsia="Arial"/>
          <w:szCs w:val="22"/>
        </w:rPr>
        <w:t xml:space="preserve"> i to radi otklanjanja nedostataka u prethodnom postupku (konkretno radi dostave rješenja o dopuni istrage okrivljeniku, dostave žalbe o dopuni istrage na odluku sucu istrage te radi ispitivanja okrivljenika koji ima prebivalište u inozemstvu), </w:t>
      </w:r>
      <w:r w:rsidR="00166CCE">
        <w:rPr>
          <w:rFonts w:eastAsia="Arial"/>
          <w:szCs w:val="22"/>
        </w:rPr>
        <w:t>a</w:t>
      </w:r>
      <w:r w:rsidRPr="001B4CA2">
        <w:rPr>
          <w:rFonts w:eastAsia="Arial"/>
          <w:szCs w:val="22"/>
        </w:rPr>
        <w:t xml:space="preserve"> u jednom predmetu zbog toga što po ocjeni vijeća činjenični opis djela ne proizlazi iz ranije pribavljenih dokaza, a zatim i zbog potrebe ispitivanja i dodatnih svjedoka ili pak provođenja psihijatrijskog </w:t>
      </w:r>
      <w:r w:rsidR="00166CCE" w:rsidRPr="001B4CA2">
        <w:rPr>
          <w:rFonts w:eastAsia="Arial"/>
          <w:szCs w:val="22"/>
        </w:rPr>
        <w:t>vještačenja</w:t>
      </w:r>
      <w:r w:rsidRPr="001B4CA2">
        <w:rPr>
          <w:rFonts w:eastAsia="Arial"/>
          <w:szCs w:val="22"/>
        </w:rPr>
        <w:t xml:space="preserve">. </w:t>
      </w:r>
    </w:p>
    <w:p w14:paraId="6147FD22" w14:textId="77777777" w:rsidR="007B163C" w:rsidRPr="001B4CA2" w:rsidRDefault="007B163C" w:rsidP="007B163C">
      <w:pPr>
        <w:tabs>
          <w:tab w:val="left" w:pos="-720"/>
          <w:tab w:val="center" w:pos="2127"/>
        </w:tabs>
        <w:suppressAutoHyphens/>
        <w:rPr>
          <w:rFonts w:eastAsia="Arial"/>
          <w:szCs w:val="22"/>
        </w:rPr>
      </w:pPr>
    </w:p>
    <w:p w14:paraId="21C6FCC3" w14:textId="641893B4" w:rsidR="007B163C" w:rsidRPr="001B4CA2" w:rsidRDefault="007B163C" w:rsidP="007B163C">
      <w:pPr>
        <w:tabs>
          <w:tab w:val="left" w:pos="-720"/>
        </w:tabs>
        <w:suppressAutoHyphens/>
        <w:rPr>
          <w:rFonts w:eastAsia="Arial"/>
          <w:szCs w:val="22"/>
        </w:rPr>
      </w:pPr>
      <w:r w:rsidRPr="001B4CA2">
        <w:rPr>
          <w:rFonts w:eastAsia="Arial"/>
          <w:szCs w:val="22"/>
        </w:rPr>
        <w:tab/>
        <w:t>Iz gore navedenog</w:t>
      </w:r>
      <w:r w:rsidR="00166CCE">
        <w:rPr>
          <w:rFonts w:eastAsia="Arial"/>
          <w:szCs w:val="22"/>
        </w:rPr>
        <w:t>a</w:t>
      </w:r>
      <w:r w:rsidRPr="001B4CA2">
        <w:rPr>
          <w:rFonts w:eastAsia="Arial"/>
          <w:szCs w:val="22"/>
        </w:rPr>
        <w:t xml:space="preserve"> proizlazi da optužnice u pojedinim slučajevima sadrže materijalne i procesne nedostatke, no u pojedinim slučajevima odluka optužnog vijeća samo je drugačija ocjena dokaza,</w:t>
      </w:r>
      <w:r w:rsidR="001B4CA2">
        <w:rPr>
          <w:rFonts w:eastAsia="Arial"/>
          <w:szCs w:val="22"/>
        </w:rPr>
        <w:t xml:space="preserve"> </w:t>
      </w:r>
      <w:r w:rsidRPr="001B4CA2">
        <w:rPr>
          <w:rFonts w:eastAsia="Arial"/>
          <w:szCs w:val="22"/>
        </w:rPr>
        <w:t>katkad potpuno pogrešna, no protiv</w:t>
      </w:r>
      <w:r w:rsidR="001B4CA2">
        <w:rPr>
          <w:rFonts w:eastAsia="Arial"/>
          <w:szCs w:val="22"/>
        </w:rPr>
        <w:t xml:space="preserve"> </w:t>
      </w:r>
      <w:r w:rsidRPr="001B4CA2">
        <w:rPr>
          <w:rFonts w:eastAsia="Arial"/>
          <w:szCs w:val="22"/>
        </w:rPr>
        <w:t>odluke vijeća o vraćanju predmeta uz dopunu istrage žalba nije dopuštena.</w:t>
      </w:r>
    </w:p>
    <w:p w14:paraId="69DB7E88" w14:textId="77777777" w:rsidR="007B163C" w:rsidRPr="001B4CA2" w:rsidRDefault="007B163C" w:rsidP="007B163C"/>
    <w:p w14:paraId="2492225E" w14:textId="77777777" w:rsidR="007B163C" w:rsidRPr="001B4CA2" w:rsidRDefault="007B163C" w:rsidP="007B163C">
      <w:pPr>
        <w:ind w:firstLine="708"/>
      </w:pPr>
      <w:r w:rsidRPr="001B4CA2">
        <w:t>No, ukupan udio potvrđenih optužnica od 92,60 % govori u prilog visokoj razini kvalitete podignutih optužnica od strane županijskih državnih odvjetništava.</w:t>
      </w:r>
    </w:p>
    <w:p w14:paraId="7F47D612" w14:textId="77777777" w:rsidR="007C50CA" w:rsidRPr="001B4CA2" w:rsidRDefault="007C50CA" w:rsidP="00593E75"/>
    <w:p w14:paraId="79D85FD3" w14:textId="6B97F362" w:rsidR="007C5E8A" w:rsidRPr="001B4CA2" w:rsidRDefault="001B4CA2" w:rsidP="001C54E3">
      <w:pPr>
        <w:ind w:left="-426"/>
      </w:pPr>
      <w:r>
        <w:rPr>
          <w:i/>
        </w:rPr>
        <w:tab/>
      </w:r>
      <w:r w:rsidR="007C5E8A" w:rsidRPr="001B4CA2">
        <w:rPr>
          <w:i/>
        </w:rPr>
        <w:t>Broj i vrste presuda (bez maloljetnih osoba)</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
        <w:gridCol w:w="808"/>
        <w:gridCol w:w="578"/>
        <w:gridCol w:w="578"/>
        <w:gridCol w:w="1013"/>
        <w:gridCol w:w="850"/>
        <w:gridCol w:w="611"/>
        <w:gridCol w:w="567"/>
        <w:gridCol w:w="567"/>
        <w:gridCol w:w="567"/>
        <w:gridCol w:w="545"/>
        <w:gridCol w:w="709"/>
        <w:gridCol w:w="632"/>
        <w:gridCol w:w="523"/>
      </w:tblGrid>
      <w:tr w:rsidR="007C50CA" w:rsidRPr="001B4CA2" w14:paraId="5EEDC484" w14:textId="3619FDA0" w:rsidTr="000F0A83">
        <w:trPr>
          <w:cantSplit/>
          <w:trHeight w:val="302"/>
          <w:jc w:val="center"/>
        </w:trPr>
        <w:tc>
          <w:tcPr>
            <w:tcW w:w="765" w:type="dxa"/>
            <w:vMerge w:val="restart"/>
            <w:shd w:val="clear" w:color="auto" w:fill="99CCFF"/>
            <w:tcMar>
              <w:top w:w="0" w:type="dxa"/>
              <w:left w:w="45" w:type="dxa"/>
              <w:bottom w:w="0" w:type="dxa"/>
              <w:right w:w="45" w:type="dxa"/>
            </w:tcMar>
            <w:vAlign w:val="center"/>
            <w:hideMark/>
          </w:tcPr>
          <w:p w14:paraId="6359DFB4" w14:textId="77777777" w:rsidR="007C50CA" w:rsidRPr="001B4CA2" w:rsidRDefault="007C50CA" w:rsidP="00231C88">
            <w:pPr>
              <w:jc w:val="left"/>
              <w:rPr>
                <w:rFonts w:eastAsia="Times New Roman"/>
                <w:b/>
                <w:sz w:val="18"/>
                <w:szCs w:val="18"/>
              </w:rPr>
            </w:pPr>
            <w:r w:rsidRPr="001B4CA2">
              <w:rPr>
                <w:rFonts w:eastAsia="Times New Roman"/>
                <w:b/>
                <w:sz w:val="18"/>
                <w:szCs w:val="18"/>
              </w:rPr>
              <w:t>Godina</w:t>
            </w:r>
          </w:p>
        </w:tc>
        <w:tc>
          <w:tcPr>
            <w:tcW w:w="808" w:type="dxa"/>
            <w:vMerge w:val="restart"/>
            <w:shd w:val="clear" w:color="auto" w:fill="99CCFF"/>
            <w:tcMar>
              <w:top w:w="0" w:type="dxa"/>
              <w:left w:w="45" w:type="dxa"/>
              <w:bottom w:w="0" w:type="dxa"/>
              <w:right w:w="45" w:type="dxa"/>
            </w:tcMar>
            <w:textDirection w:val="btLr"/>
            <w:vAlign w:val="center"/>
            <w:hideMark/>
          </w:tcPr>
          <w:p w14:paraId="09E7D69C" w14:textId="4F02B30A" w:rsidR="007C50CA" w:rsidRPr="001B4CA2" w:rsidRDefault="007C50CA" w:rsidP="00631BB6">
            <w:pPr>
              <w:ind w:left="113" w:right="113"/>
              <w:jc w:val="left"/>
              <w:rPr>
                <w:rFonts w:eastAsia="Times New Roman"/>
                <w:b/>
                <w:sz w:val="18"/>
                <w:szCs w:val="18"/>
              </w:rPr>
            </w:pPr>
            <w:r w:rsidRPr="001B4CA2">
              <w:rPr>
                <w:rFonts w:eastAsia="Times New Roman"/>
                <w:b/>
                <w:sz w:val="18"/>
                <w:szCs w:val="18"/>
              </w:rPr>
              <w:t>Presuda s kaznenim nalogom</w:t>
            </w:r>
          </w:p>
        </w:tc>
        <w:tc>
          <w:tcPr>
            <w:tcW w:w="578" w:type="dxa"/>
            <w:vMerge w:val="restart"/>
            <w:shd w:val="clear" w:color="auto" w:fill="99CCFF"/>
            <w:tcMar>
              <w:top w:w="0" w:type="dxa"/>
              <w:left w:w="45" w:type="dxa"/>
              <w:bottom w:w="0" w:type="dxa"/>
              <w:right w:w="45" w:type="dxa"/>
            </w:tcMar>
            <w:textDirection w:val="btLr"/>
            <w:vAlign w:val="center"/>
            <w:hideMark/>
          </w:tcPr>
          <w:p w14:paraId="1E20C676" w14:textId="4FAA57C7" w:rsidR="007C50CA" w:rsidRPr="001B4CA2" w:rsidRDefault="007C50CA" w:rsidP="00631BB6">
            <w:pPr>
              <w:ind w:left="113" w:right="113"/>
              <w:jc w:val="left"/>
              <w:rPr>
                <w:rFonts w:eastAsia="Times New Roman"/>
                <w:b/>
                <w:sz w:val="18"/>
                <w:szCs w:val="18"/>
              </w:rPr>
            </w:pPr>
            <w:r w:rsidRPr="001B4CA2">
              <w:rPr>
                <w:rFonts w:eastAsia="Times New Roman"/>
                <w:b/>
                <w:sz w:val="18"/>
                <w:szCs w:val="18"/>
              </w:rPr>
              <w:t>Optužnica potvrđena</w:t>
            </w:r>
          </w:p>
        </w:tc>
        <w:tc>
          <w:tcPr>
            <w:tcW w:w="578" w:type="dxa"/>
            <w:vMerge w:val="restart"/>
            <w:shd w:val="clear" w:color="auto" w:fill="99CCFF"/>
            <w:tcMar>
              <w:top w:w="0" w:type="dxa"/>
              <w:left w:w="45" w:type="dxa"/>
              <w:bottom w:w="0" w:type="dxa"/>
              <w:right w:w="45" w:type="dxa"/>
            </w:tcMar>
            <w:textDirection w:val="btLr"/>
            <w:vAlign w:val="center"/>
            <w:hideMark/>
          </w:tcPr>
          <w:p w14:paraId="6A6A61A6" w14:textId="0ADC6972" w:rsidR="007C50CA" w:rsidRPr="001B4CA2" w:rsidRDefault="007C50CA" w:rsidP="00631BB6">
            <w:pPr>
              <w:ind w:left="113" w:right="113"/>
              <w:jc w:val="left"/>
              <w:rPr>
                <w:rFonts w:eastAsia="Times New Roman"/>
                <w:b/>
                <w:sz w:val="18"/>
                <w:szCs w:val="18"/>
              </w:rPr>
            </w:pPr>
            <w:r w:rsidRPr="001B4CA2">
              <w:rPr>
                <w:rFonts w:eastAsia="Times New Roman"/>
                <w:b/>
                <w:sz w:val="18"/>
                <w:szCs w:val="18"/>
              </w:rPr>
              <w:t>Ukupno</w:t>
            </w:r>
          </w:p>
        </w:tc>
        <w:tc>
          <w:tcPr>
            <w:tcW w:w="6584" w:type="dxa"/>
            <w:gridSpan w:val="10"/>
            <w:shd w:val="clear" w:color="auto" w:fill="99CCFF"/>
          </w:tcPr>
          <w:p w14:paraId="1E23BF37" w14:textId="72FB751D" w:rsidR="007C50CA" w:rsidRPr="001B4CA2" w:rsidRDefault="007C50CA" w:rsidP="00631BB6">
            <w:pPr>
              <w:jc w:val="center"/>
              <w:rPr>
                <w:rFonts w:eastAsia="Times New Roman"/>
                <w:b/>
                <w:sz w:val="18"/>
                <w:szCs w:val="18"/>
              </w:rPr>
            </w:pPr>
            <w:r w:rsidRPr="001B4CA2">
              <w:rPr>
                <w:rFonts w:eastAsia="Times New Roman"/>
                <w:b/>
                <w:sz w:val="18"/>
                <w:szCs w:val="18"/>
              </w:rPr>
              <w:t>Odluke suda</w:t>
            </w:r>
          </w:p>
        </w:tc>
      </w:tr>
      <w:tr w:rsidR="00F8395E" w:rsidRPr="001B4CA2" w14:paraId="2FCEBE7E" w14:textId="77777777" w:rsidTr="00F8395E">
        <w:trPr>
          <w:cantSplit/>
          <w:trHeight w:val="1412"/>
          <w:jc w:val="center"/>
        </w:trPr>
        <w:tc>
          <w:tcPr>
            <w:tcW w:w="765" w:type="dxa"/>
            <w:vMerge/>
            <w:shd w:val="clear" w:color="auto" w:fill="99CCFF"/>
            <w:tcMar>
              <w:top w:w="0" w:type="dxa"/>
              <w:left w:w="45" w:type="dxa"/>
              <w:bottom w:w="0" w:type="dxa"/>
              <w:right w:w="45" w:type="dxa"/>
            </w:tcMar>
            <w:textDirection w:val="btLr"/>
            <w:vAlign w:val="center"/>
          </w:tcPr>
          <w:p w14:paraId="0C4FC4DE" w14:textId="77777777" w:rsidR="00F8395E" w:rsidRPr="001B4CA2" w:rsidRDefault="00F8395E" w:rsidP="00631BB6">
            <w:pPr>
              <w:ind w:left="113" w:right="113"/>
              <w:jc w:val="left"/>
              <w:rPr>
                <w:rFonts w:eastAsia="Times New Roman"/>
                <w:b/>
                <w:sz w:val="18"/>
                <w:szCs w:val="18"/>
              </w:rPr>
            </w:pPr>
          </w:p>
        </w:tc>
        <w:tc>
          <w:tcPr>
            <w:tcW w:w="808" w:type="dxa"/>
            <w:vMerge/>
            <w:shd w:val="clear" w:color="auto" w:fill="99CCFF"/>
            <w:tcMar>
              <w:top w:w="0" w:type="dxa"/>
              <w:left w:w="45" w:type="dxa"/>
              <w:bottom w:w="0" w:type="dxa"/>
              <w:right w:w="45" w:type="dxa"/>
            </w:tcMar>
            <w:textDirection w:val="btLr"/>
            <w:vAlign w:val="center"/>
          </w:tcPr>
          <w:p w14:paraId="6B403B7B" w14:textId="77777777" w:rsidR="00F8395E" w:rsidRPr="001B4CA2" w:rsidRDefault="00F8395E" w:rsidP="00631BB6">
            <w:pPr>
              <w:ind w:left="113" w:right="113"/>
              <w:jc w:val="left"/>
              <w:rPr>
                <w:rFonts w:eastAsia="Times New Roman"/>
                <w:b/>
                <w:sz w:val="18"/>
                <w:szCs w:val="18"/>
              </w:rPr>
            </w:pPr>
          </w:p>
        </w:tc>
        <w:tc>
          <w:tcPr>
            <w:tcW w:w="578" w:type="dxa"/>
            <w:vMerge/>
            <w:shd w:val="clear" w:color="auto" w:fill="99CCFF"/>
            <w:tcMar>
              <w:top w:w="0" w:type="dxa"/>
              <w:left w:w="45" w:type="dxa"/>
              <w:bottom w:w="0" w:type="dxa"/>
              <w:right w:w="45" w:type="dxa"/>
            </w:tcMar>
            <w:textDirection w:val="btLr"/>
            <w:vAlign w:val="center"/>
          </w:tcPr>
          <w:p w14:paraId="1A36DECA" w14:textId="77777777" w:rsidR="00F8395E" w:rsidRPr="001B4CA2" w:rsidRDefault="00F8395E" w:rsidP="00631BB6">
            <w:pPr>
              <w:ind w:left="113" w:right="113"/>
              <w:jc w:val="left"/>
              <w:rPr>
                <w:rFonts w:eastAsia="Times New Roman"/>
                <w:b/>
                <w:sz w:val="18"/>
                <w:szCs w:val="18"/>
              </w:rPr>
            </w:pPr>
          </w:p>
        </w:tc>
        <w:tc>
          <w:tcPr>
            <w:tcW w:w="578" w:type="dxa"/>
            <w:vMerge/>
            <w:shd w:val="clear" w:color="auto" w:fill="99CCFF"/>
            <w:tcMar>
              <w:top w:w="0" w:type="dxa"/>
              <w:left w:w="45" w:type="dxa"/>
              <w:bottom w:w="0" w:type="dxa"/>
              <w:right w:w="45" w:type="dxa"/>
            </w:tcMar>
            <w:textDirection w:val="btLr"/>
            <w:vAlign w:val="center"/>
          </w:tcPr>
          <w:p w14:paraId="460D9DA9" w14:textId="77777777" w:rsidR="00F8395E" w:rsidRPr="001B4CA2" w:rsidRDefault="00F8395E" w:rsidP="00631BB6">
            <w:pPr>
              <w:ind w:left="113" w:right="113"/>
              <w:jc w:val="left"/>
              <w:rPr>
                <w:rFonts w:eastAsia="Times New Roman"/>
                <w:b/>
                <w:sz w:val="18"/>
                <w:szCs w:val="18"/>
              </w:rPr>
            </w:pPr>
          </w:p>
        </w:tc>
        <w:tc>
          <w:tcPr>
            <w:tcW w:w="1013" w:type="dxa"/>
            <w:shd w:val="clear" w:color="auto" w:fill="99CCFF"/>
            <w:tcMar>
              <w:top w:w="0" w:type="dxa"/>
              <w:left w:w="45" w:type="dxa"/>
              <w:bottom w:w="0" w:type="dxa"/>
              <w:right w:w="45" w:type="dxa"/>
            </w:tcMar>
            <w:textDirection w:val="btLr"/>
            <w:vAlign w:val="center"/>
          </w:tcPr>
          <w:p w14:paraId="136631AA" w14:textId="6277C291" w:rsidR="00F8395E" w:rsidRPr="001B4CA2" w:rsidRDefault="00F8395E" w:rsidP="00231C88">
            <w:pPr>
              <w:ind w:left="113" w:right="113"/>
              <w:jc w:val="left"/>
              <w:rPr>
                <w:rFonts w:eastAsia="Times New Roman"/>
                <w:b/>
                <w:sz w:val="18"/>
                <w:szCs w:val="18"/>
              </w:rPr>
            </w:pPr>
            <w:r w:rsidRPr="001B4CA2">
              <w:rPr>
                <w:rFonts w:eastAsia="Times New Roman"/>
                <w:b/>
                <w:sz w:val="18"/>
                <w:szCs w:val="18"/>
              </w:rPr>
              <w:t>Obustava nakon potvrđivanja optužnice</w:t>
            </w:r>
          </w:p>
        </w:tc>
        <w:tc>
          <w:tcPr>
            <w:tcW w:w="850" w:type="dxa"/>
            <w:shd w:val="clear" w:color="auto" w:fill="99CCFF"/>
            <w:tcMar>
              <w:top w:w="0" w:type="dxa"/>
              <w:left w:w="45" w:type="dxa"/>
              <w:bottom w:w="0" w:type="dxa"/>
              <w:right w:w="45" w:type="dxa"/>
            </w:tcMar>
            <w:textDirection w:val="btLr"/>
            <w:vAlign w:val="center"/>
          </w:tcPr>
          <w:p w14:paraId="528C155B" w14:textId="3A136FFE" w:rsidR="00F8395E" w:rsidRPr="001B4CA2" w:rsidRDefault="00F8395E" w:rsidP="00231C88">
            <w:pPr>
              <w:ind w:left="113" w:right="113"/>
              <w:jc w:val="left"/>
              <w:rPr>
                <w:rFonts w:eastAsia="Times New Roman"/>
                <w:b/>
                <w:sz w:val="18"/>
                <w:szCs w:val="18"/>
              </w:rPr>
            </w:pPr>
            <w:r w:rsidRPr="001B4CA2">
              <w:rPr>
                <w:rFonts w:eastAsia="Times New Roman"/>
                <w:b/>
                <w:sz w:val="18"/>
                <w:szCs w:val="18"/>
              </w:rPr>
              <w:t>Osuđujuća</w:t>
            </w:r>
          </w:p>
        </w:tc>
        <w:tc>
          <w:tcPr>
            <w:tcW w:w="611" w:type="dxa"/>
            <w:shd w:val="clear" w:color="auto" w:fill="99CCFF"/>
            <w:tcMar>
              <w:top w:w="0" w:type="dxa"/>
              <w:left w:w="45" w:type="dxa"/>
              <w:bottom w:w="0" w:type="dxa"/>
              <w:right w:w="45" w:type="dxa"/>
            </w:tcMar>
            <w:textDirection w:val="btLr"/>
            <w:vAlign w:val="center"/>
          </w:tcPr>
          <w:p w14:paraId="631C32A7" w14:textId="3A13D79A" w:rsidR="00F8395E" w:rsidRPr="001B4CA2" w:rsidRDefault="00F8395E" w:rsidP="00231C88">
            <w:pPr>
              <w:ind w:left="113" w:right="113"/>
              <w:jc w:val="left"/>
              <w:rPr>
                <w:rFonts w:eastAsia="Times New Roman"/>
                <w:b/>
                <w:sz w:val="18"/>
                <w:szCs w:val="18"/>
              </w:rPr>
            </w:pPr>
            <w:r w:rsidRPr="001B4CA2">
              <w:rPr>
                <w:rFonts w:eastAsia="Times New Roman"/>
                <w:b/>
                <w:sz w:val="18"/>
                <w:szCs w:val="18"/>
              </w:rPr>
              <w:t>Od toga po sporazumu</w:t>
            </w:r>
          </w:p>
        </w:tc>
        <w:tc>
          <w:tcPr>
            <w:tcW w:w="567" w:type="dxa"/>
            <w:shd w:val="clear" w:color="auto" w:fill="99CCFF"/>
            <w:tcMar>
              <w:top w:w="0" w:type="dxa"/>
              <w:left w:w="45" w:type="dxa"/>
              <w:bottom w:w="0" w:type="dxa"/>
              <w:right w:w="45" w:type="dxa"/>
            </w:tcMar>
            <w:textDirection w:val="btLr"/>
            <w:vAlign w:val="center"/>
          </w:tcPr>
          <w:p w14:paraId="4BD00E67" w14:textId="034B3693" w:rsidR="00F8395E" w:rsidRPr="001B4CA2" w:rsidRDefault="00F8395E" w:rsidP="00231C88">
            <w:pPr>
              <w:ind w:left="113" w:right="113"/>
              <w:jc w:val="left"/>
              <w:rPr>
                <w:rFonts w:eastAsia="Times New Roman"/>
                <w:b/>
                <w:sz w:val="18"/>
                <w:szCs w:val="18"/>
              </w:rPr>
            </w:pPr>
            <w:r w:rsidRPr="001B4CA2">
              <w:rPr>
                <w:rFonts w:eastAsia="Times New Roman"/>
                <w:b/>
                <w:sz w:val="18"/>
                <w:szCs w:val="18"/>
              </w:rPr>
              <w:t>Presuda – neubrojivi</w:t>
            </w:r>
          </w:p>
        </w:tc>
        <w:tc>
          <w:tcPr>
            <w:tcW w:w="567" w:type="dxa"/>
            <w:shd w:val="clear" w:color="auto" w:fill="99CCFF"/>
            <w:tcMar>
              <w:top w:w="0" w:type="dxa"/>
              <w:left w:w="45" w:type="dxa"/>
              <w:bottom w:w="0" w:type="dxa"/>
              <w:right w:w="45" w:type="dxa"/>
            </w:tcMar>
            <w:textDirection w:val="btLr"/>
            <w:vAlign w:val="center"/>
          </w:tcPr>
          <w:p w14:paraId="07C5682D" w14:textId="6DE0F6EB" w:rsidR="00F8395E" w:rsidRPr="001B4CA2" w:rsidRDefault="00F8395E" w:rsidP="00231C88">
            <w:pPr>
              <w:ind w:left="113" w:right="113"/>
              <w:jc w:val="left"/>
              <w:rPr>
                <w:rFonts w:eastAsia="Times New Roman"/>
                <w:b/>
                <w:sz w:val="18"/>
                <w:szCs w:val="18"/>
              </w:rPr>
            </w:pPr>
            <w:r w:rsidRPr="001B4CA2">
              <w:rPr>
                <w:rFonts w:eastAsia="Times New Roman"/>
                <w:b/>
                <w:sz w:val="18"/>
                <w:szCs w:val="18"/>
              </w:rPr>
              <w:t>Oslobađajuća</w:t>
            </w:r>
          </w:p>
        </w:tc>
        <w:tc>
          <w:tcPr>
            <w:tcW w:w="567" w:type="dxa"/>
            <w:shd w:val="clear" w:color="auto" w:fill="99CCFF"/>
            <w:textDirection w:val="btLr"/>
            <w:vAlign w:val="center"/>
          </w:tcPr>
          <w:p w14:paraId="3B3A4942" w14:textId="440233DE" w:rsidR="00F8395E" w:rsidRPr="001B4CA2" w:rsidRDefault="00F8395E" w:rsidP="00231C88">
            <w:pPr>
              <w:ind w:left="113" w:right="113"/>
              <w:jc w:val="left"/>
              <w:rPr>
                <w:rFonts w:eastAsia="Times New Roman"/>
                <w:b/>
                <w:sz w:val="18"/>
                <w:szCs w:val="18"/>
              </w:rPr>
            </w:pPr>
            <w:r w:rsidRPr="001B4CA2">
              <w:rPr>
                <w:rFonts w:eastAsia="Times New Roman"/>
                <w:b/>
                <w:sz w:val="18"/>
                <w:szCs w:val="18"/>
              </w:rPr>
              <w:t>Odbijajuća</w:t>
            </w:r>
          </w:p>
        </w:tc>
        <w:tc>
          <w:tcPr>
            <w:tcW w:w="545" w:type="dxa"/>
            <w:shd w:val="clear" w:color="auto" w:fill="99CCFF"/>
            <w:textDirection w:val="btLr"/>
          </w:tcPr>
          <w:p w14:paraId="25E75C00" w14:textId="2CDE06F3" w:rsidR="00F8395E" w:rsidRPr="001B4CA2" w:rsidRDefault="00F8395E" w:rsidP="00231C88">
            <w:pPr>
              <w:ind w:left="113" w:right="113"/>
              <w:jc w:val="left"/>
              <w:rPr>
                <w:rFonts w:eastAsia="Times New Roman"/>
                <w:b/>
                <w:sz w:val="18"/>
                <w:szCs w:val="18"/>
              </w:rPr>
            </w:pPr>
            <w:r w:rsidRPr="001B4CA2">
              <w:rPr>
                <w:rFonts w:eastAsia="Times New Roman"/>
                <w:b/>
                <w:sz w:val="18"/>
                <w:szCs w:val="18"/>
              </w:rPr>
              <w:t>Riješeno na drugi način</w:t>
            </w:r>
          </w:p>
        </w:tc>
        <w:tc>
          <w:tcPr>
            <w:tcW w:w="709" w:type="dxa"/>
            <w:shd w:val="clear" w:color="auto" w:fill="99CCFF"/>
            <w:textDirection w:val="btLr"/>
            <w:vAlign w:val="center"/>
          </w:tcPr>
          <w:p w14:paraId="46194AAF" w14:textId="3D920570" w:rsidR="00F8395E" w:rsidRPr="001B4CA2" w:rsidRDefault="00F8395E" w:rsidP="00231C88">
            <w:pPr>
              <w:ind w:left="113" w:right="113"/>
              <w:jc w:val="left"/>
              <w:rPr>
                <w:rFonts w:eastAsia="Times New Roman"/>
                <w:b/>
                <w:sz w:val="18"/>
                <w:szCs w:val="18"/>
              </w:rPr>
            </w:pPr>
            <w:r w:rsidRPr="001B4CA2">
              <w:rPr>
                <w:rFonts w:eastAsia="Times New Roman"/>
                <w:b/>
                <w:sz w:val="18"/>
                <w:szCs w:val="18"/>
              </w:rPr>
              <w:t>Ukupno odluka suda</w:t>
            </w:r>
          </w:p>
        </w:tc>
        <w:tc>
          <w:tcPr>
            <w:tcW w:w="632" w:type="dxa"/>
            <w:shd w:val="clear" w:color="auto" w:fill="99CCFF"/>
            <w:textDirection w:val="btLr"/>
          </w:tcPr>
          <w:p w14:paraId="417D68E1" w14:textId="67CD3A5F" w:rsidR="00F8395E" w:rsidRPr="001B4CA2" w:rsidRDefault="00F8395E" w:rsidP="00231C88">
            <w:pPr>
              <w:ind w:left="113" w:right="113"/>
              <w:jc w:val="left"/>
              <w:rPr>
                <w:rFonts w:eastAsia="Times New Roman"/>
                <w:b/>
                <w:sz w:val="18"/>
                <w:szCs w:val="18"/>
              </w:rPr>
            </w:pPr>
            <w:r w:rsidRPr="001B4CA2">
              <w:rPr>
                <w:rFonts w:eastAsia="Times New Roman"/>
                <w:b/>
                <w:sz w:val="18"/>
                <w:szCs w:val="18"/>
              </w:rPr>
              <w:t>Riješeno pred sudom -ostalo</w:t>
            </w:r>
          </w:p>
        </w:tc>
        <w:tc>
          <w:tcPr>
            <w:tcW w:w="523" w:type="dxa"/>
            <w:shd w:val="clear" w:color="auto" w:fill="99CCFF"/>
            <w:textDirection w:val="btLr"/>
            <w:vAlign w:val="center"/>
          </w:tcPr>
          <w:p w14:paraId="5352F004" w14:textId="38481C96" w:rsidR="00F8395E" w:rsidRPr="001B4CA2" w:rsidRDefault="00F8395E" w:rsidP="00231C88">
            <w:pPr>
              <w:ind w:left="113" w:right="113"/>
              <w:jc w:val="left"/>
              <w:rPr>
                <w:rFonts w:eastAsia="Times New Roman"/>
                <w:b/>
                <w:sz w:val="18"/>
                <w:szCs w:val="18"/>
              </w:rPr>
            </w:pPr>
            <w:r w:rsidRPr="001B4CA2">
              <w:rPr>
                <w:rFonts w:eastAsia="Times New Roman"/>
                <w:b/>
                <w:sz w:val="18"/>
                <w:szCs w:val="18"/>
              </w:rPr>
              <w:t>Ukupno bez odluke suda</w:t>
            </w:r>
          </w:p>
        </w:tc>
      </w:tr>
      <w:tr w:rsidR="00F8395E" w:rsidRPr="001B4CA2" w14:paraId="40221C46" w14:textId="5C6B5D85" w:rsidTr="00F8395E">
        <w:trPr>
          <w:trHeight w:val="285"/>
          <w:jc w:val="center"/>
        </w:trPr>
        <w:tc>
          <w:tcPr>
            <w:tcW w:w="765" w:type="dxa"/>
            <w:tcMar>
              <w:top w:w="0" w:type="dxa"/>
              <w:left w:w="45" w:type="dxa"/>
              <w:bottom w:w="0" w:type="dxa"/>
              <w:right w:w="45" w:type="dxa"/>
            </w:tcMar>
            <w:vAlign w:val="center"/>
          </w:tcPr>
          <w:p w14:paraId="6298F5DC" w14:textId="441FE891" w:rsidR="00F8395E" w:rsidRPr="001B4CA2" w:rsidRDefault="00F8395E" w:rsidP="000E682B">
            <w:pPr>
              <w:jc w:val="center"/>
              <w:rPr>
                <w:rFonts w:eastAsia="Times New Roman"/>
                <w:b/>
                <w:sz w:val="18"/>
                <w:szCs w:val="18"/>
              </w:rPr>
            </w:pPr>
            <w:r w:rsidRPr="001B4CA2">
              <w:rPr>
                <w:rFonts w:eastAsia="Times New Roman"/>
                <w:sz w:val="18"/>
                <w:szCs w:val="18"/>
              </w:rPr>
              <w:t>2018.</w:t>
            </w:r>
          </w:p>
        </w:tc>
        <w:tc>
          <w:tcPr>
            <w:tcW w:w="808" w:type="dxa"/>
            <w:tcMar>
              <w:top w:w="0" w:type="dxa"/>
              <w:left w:w="45" w:type="dxa"/>
              <w:bottom w:w="0" w:type="dxa"/>
              <w:right w:w="45" w:type="dxa"/>
            </w:tcMar>
            <w:vAlign w:val="center"/>
          </w:tcPr>
          <w:p w14:paraId="211CE712" w14:textId="50862D5F" w:rsidR="00F8395E" w:rsidRPr="001B4CA2" w:rsidRDefault="00F8395E" w:rsidP="000E682B">
            <w:pPr>
              <w:jc w:val="center"/>
              <w:rPr>
                <w:rFonts w:eastAsia="Times New Roman"/>
                <w:sz w:val="18"/>
                <w:szCs w:val="18"/>
              </w:rPr>
            </w:pPr>
          </w:p>
        </w:tc>
        <w:tc>
          <w:tcPr>
            <w:tcW w:w="578" w:type="dxa"/>
            <w:tcMar>
              <w:top w:w="0" w:type="dxa"/>
              <w:left w:w="45" w:type="dxa"/>
              <w:bottom w:w="0" w:type="dxa"/>
              <w:right w:w="45" w:type="dxa"/>
            </w:tcMar>
            <w:vAlign w:val="center"/>
          </w:tcPr>
          <w:p w14:paraId="6CD95176" w14:textId="3FA5A3B5" w:rsidR="00F8395E" w:rsidRPr="001B4CA2" w:rsidRDefault="00F8395E" w:rsidP="000E682B">
            <w:pPr>
              <w:jc w:val="center"/>
              <w:rPr>
                <w:rFonts w:eastAsia="Times New Roman"/>
                <w:sz w:val="18"/>
                <w:szCs w:val="18"/>
              </w:rPr>
            </w:pPr>
          </w:p>
        </w:tc>
        <w:tc>
          <w:tcPr>
            <w:tcW w:w="578" w:type="dxa"/>
            <w:tcMar>
              <w:top w:w="0" w:type="dxa"/>
              <w:left w:w="45" w:type="dxa"/>
              <w:bottom w:w="0" w:type="dxa"/>
              <w:right w:w="45" w:type="dxa"/>
            </w:tcMar>
            <w:vAlign w:val="center"/>
          </w:tcPr>
          <w:p w14:paraId="68171759" w14:textId="636BF512" w:rsidR="00F8395E" w:rsidRPr="001B4CA2" w:rsidRDefault="00F8395E" w:rsidP="000E682B">
            <w:pPr>
              <w:jc w:val="center"/>
              <w:rPr>
                <w:rFonts w:eastAsia="Times New Roman"/>
                <w:sz w:val="18"/>
                <w:szCs w:val="18"/>
              </w:rPr>
            </w:pPr>
          </w:p>
        </w:tc>
        <w:tc>
          <w:tcPr>
            <w:tcW w:w="1013" w:type="dxa"/>
            <w:shd w:val="clear" w:color="auto" w:fill="auto"/>
            <w:tcMar>
              <w:top w:w="0" w:type="dxa"/>
              <w:left w:w="45" w:type="dxa"/>
              <w:bottom w:w="0" w:type="dxa"/>
              <w:right w:w="45" w:type="dxa"/>
            </w:tcMar>
            <w:vAlign w:val="center"/>
          </w:tcPr>
          <w:p w14:paraId="58E7985B" w14:textId="55100A67" w:rsidR="00F8395E" w:rsidRPr="001B4CA2" w:rsidRDefault="00F8395E" w:rsidP="000E682B">
            <w:pPr>
              <w:jc w:val="center"/>
              <w:rPr>
                <w:rFonts w:eastAsia="Times New Roman"/>
                <w:sz w:val="18"/>
                <w:szCs w:val="18"/>
              </w:rPr>
            </w:pPr>
          </w:p>
        </w:tc>
        <w:tc>
          <w:tcPr>
            <w:tcW w:w="850" w:type="dxa"/>
            <w:tcMar>
              <w:top w:w="0" w:type="dxa"/>
              <w:left w:w="45" w:type="dxa"/>
              <w:bottom w:w="0" w:type="dxa"/>
              <w:right w:w="45" w:type="dxa"/>
            </w:tcMar>
            <w:vAlign w:val="center"/>
          </w:tcPr>
          <w:p w14:paraId="47CCD1E5" w14:textId="24A96969" w:rsidR="00F8395E" w:rsidRPr="001B4CA2" w:rsidRDefault="00F8395E" w:rsidP="000E682B">
            <w:pPr>
              <w:jc w:val="center"/>
              <w:rPr>
                <w:rFonts w:eastAsia="Times New Roman"/>
                <w:sz w:val="18"/>
                <w:szCs w:val="18"/>
              </w:rPr>
            </w:pPr>
            <w:r w:rsidRPr="001B4CA2">
              <w:rPr>
                <w:rFonts w:eastAsia="Times New Roman"/>
                <w:sz w:val="18"/>
                <w:szCs w:val="18"/>
              </w:rPr>
              <w:t>404</w:t>
            </w:r>
          </w:p>
        </w:tc>
        <w:tc>
          <w:tcPr>
            <w:tcW w:w="611" w:type="dxa"/>
            <w:shd w:val="clear" w:color="auto" w:fill="auto"/>
            <w:tcMar>
              <w:top w:w="0" w:type="dxa"/>
              <w:left w:w="45" w:type="dxa"/>
              <w:bottom w:w="0" w:type="dxa"/>
              <w:right w:w="45" w:type="dxa"/>
            </w:tcMar>
            <w:vAlign w:val="center"/>
          </w:tcPr>
          <w:p w14:paraId="179D1B2E" w14:textId="0238C420" w:rsidR="00F8395E" w:rsidRPr="001B4CA2" w:rsidRDefault="00F8395E" w:rsidP="000E682B">
            <w:pPr>
              <w:jc w:val="center"/>
              <w:rPr>
                <w:rFonts w:eastAsia="Times New Roman"/>
                <w:sz w:val="18"/>
                <w:szCs w:val="18"/>
              </w:rPr>
            </w:pPr>
            <w:r w:rsidRPr="001B4CA2">
              <w:rPr>
                <w:rFonts w:eastAsia="Times New Roman"/>
                <w:sz w:val="18"/>
                <w:szCs w:val="18"/>
              </w:rPr>
              <w:t>47</w:t>
            </w:r>
          </w:p>
        </w:tc>
        <w:tc>
          <w:tcPr>
            <w:tcW w:w="567" w:type="dxa"/>
            <w:tcMar>
              <w:top w:w="0" w:type="dxa"/>
              <w:left w:w="45" w:type="dxa"/>
              <w:bottom w:w="0" w:type="dxa"/>
              <w:right w:w="45" w:type="dxa"/>
            </w:tcMar>
            <w:vAlign w:val="center"/>
          </w:tcPr>
          <w:p w14:paraId="01287727" w14:textId="5BBC8846" w:rsidR="00F8395E" w:rsidRPr="001B4CA2" w:rsidRDefault="00F8395E" w:rsidP="000E682B">
            <w:pPr>
              <w:jc w:val="center"/>
              <w:rPr>
                <w:rFonts w:eastAsia="Times New Roman"/>
                <w:sz w:val="18"/>
                <w:szCs w:val="18"/>
              </w:rPr>
            </w:pPr>
          </w:p>
        </w:tc>
        <w:tc>
          <w:tcPr>
            <w:tcW w:w="567" w:type="dxa"/>
            <w:shd w:val="clear" w:color="auto" w:fill="auto"/>
            <w:tcMar>
              <w:top w:w="0" w:type="dxa"/>
              <w:left w:w="45" w:type="dxa"/>
              <w:bottom w:w="0" w:type="dxa"/>
              <w:right w:w="45" w:type="dxa"/>
            </w:tcMar>
            <w:vAlign w:val="center"/>
          </w:tcPr>
          <w:p w14:paraId="086FB291" w14:textId="0C0B633B" w:rsidR="00F8395E" w:rsidRPr="001B4CA2" w:rsidRDefault="00F8395E" w:rsidP="000E682B">
            <w:pPr>
              <w:jc w:val="center"/>
              <w:rPr>
                <w:rFonts w:eastAsia="Times New Roman"/>
                <w:sz w:val="18"/>
                <w:szCs w:val="18"/>
              </w:rPr>
            </w:pPr>
            <w:r w:rsidRPr="001B4CA2">
              <w:rPr>
                <w:rFonts w:eastAsia="Times New Roman"/>
                <w:sz w:val="18"/>
                <w:szCs w:val="18"/>
              </w:rPr>
              <w:t>66</w:t>
            </w:r>
          </w:p>
        </w:tc>
        <w:tc>
          <w:tcPr>
            <w:tcW w:w="567" w:type="dxa"/>
            <w:vAlign w:val="center"/>
          </w:tcPr>
          <w:p w14:paraId="033D479B" w14:textId="4361E6DC" w:rsidR="00F8395E" w:rsidRPr="001B4CA2" w:rsidRDefault="00F8395E" w:rsidP="000E682B">
            <w:pPr>
              <w:jc w:val="center"/>
              <w:rPr>
                <w:rFonts w:eastAsia="Times New Roman"/>
                <w:sz w:val="18"/>
                <w:szCs w:val="18"/>
              </w:rPr>
            </w:pPr>
            <w:r w:rsidRPr="001B4CA2">
              <w:rPr>
                <w:rFonts w:eastAsia="Times New Roman"/>
                <w:sz w:val="18"/>
                <w:szCs w:val="18"/>
              </w:rPr>
              <w:t>19</w:t>
            </w:r>
          </w:p>
        </w:tc>
        <w:tc>
          <w:tcPr>
            <w:tcW w:w="545" w:type="dxa"/>
          </w:tcPr>
          <w:p w14:paraId="0B340B35" w14:textId="77777777" w:rsidR="00F8395E" w:rsidRPr="001B4CA2" w:rsidRDefault="00F8395E" w:rsidP="000E682B">
            <w:pPr>
              <w:jc w:val="center"/>
              <w:rPr>
                <w:rFonts w:eastAsia="Times New Roman"/>
                <w:sz w:val="18"/>
                <w:szCs w:val="18"/>
              </w:rPr>
            </w:pPr>
          </w:p>
        </w:tc>
        <w:tc>
          <w:tcPr>
            <w:tcW w:w="709" w:type="dxa"/>
            <w:vAlign w:val="center"/>
          </w:tcPr>
          <w:p w14:paraId="31180F83" w14:textId="7381383B" w:rsidR="00F8395E" w:rsidRPr="001B4CA2" w:rsidRDefault="00F8395E" w:rsidP="000E682B">
            <w:pPr>
              <w:jc w:val="center"/>
              <w:rPr>
                <w:rFonts w:eastAsia="Times New Roman"/>
                <w:sz w:val="18"/>
                <w:szCs w:val="18"/>
              </w:rPr>
            </w:pPr>
            <w:r w:rsidRPr="001B4CA2">
              <w:rPr>
                <w:rFonts w:eastAsia="Times New Roman"/>
                <w:sz w:val="18"/>
                <w:szCs w:val="18"/>
              </w:rPr>
              <w:t>489</w:t>
            </w:r>
          </w:p>
        </w:tc>
        <w:tc>
          <w:tcPr>
            <w:tcW w:w="632" w:type="dxa"/>
          </w:tcPr>
          <w:p w14:paraId="7D7098D5" w14:textId="77777777" w:rsidR="00F8395E" w:rsidRPr="001B4CA2" w:rsidRDefault="00F8395E" w:rsidP="000E682B">
            <w:pPr>
              <w:jc w:val="center"/>
              <w:rPr>
                <w:rFonts w:eastAsia="Times New Roman"/>
                <w:sz w:val="18"/>
                <w:szCs w:val="18"/>
              </w:rPr>
            </w:pPr>
          </w:p>
        </w:tc>
        <w:tc>
          <w:tcPr>
            <w:tcW w:w="523" w:type="dxa"/>
            <w:vAlign w:val="center"/>
          </w:tcPr>
          <w:p w14:paraId="1DEFAE88" w14:textId="032D5709" w:rsidR="00F8395E" w:rsidRPr="001B4CA2" w:rsidRDefault="00F8395E" w:rsidP="000E682B">
            <w:pPr>
              <w:jc w:val="center"/>
              <w:rPr>
                <w:rFonts w:eastAsia="Times New Roman"/>
                <w:sz w:val="18"/>
                <w:szCs w:val="18"/>
              </w:rPr>
            </w:pPr>
          </w:p>
        </w:tc>
      </w:tr>
      <w:tr w:rsidR="00F8395E" w:rsidRPr="001B4CA2" w14:paraId="7835E50B" w14:textId="0F074A83" w:rsidTr="00F8395E">
        <w:trPr>
          <w:trHeight w:val="285"/>
          <w:jc w:val="center"/>
        </w:trPr>
        <w:tc>
          <w:tcPr>
            <w:tcW w:w="765" w:type="dxa"/>
            <w:tcMar>
              <w:top w:w="0" w:type="dxa"/>
              <w:left w:w="45" w:type="dxa"/>
              <w:bottom w:w="0" w:type="dxa"/>
              <w:right w:w="45" w:type="dxa"/>
            </w:tcMar>
            <w:vAlign w:val="center"/>
            <w:hideMark/>
          </w:tcPr>
          <w:p w14:paraId="77A3863A" w14:textId="3C877F6B" w:rsidR="00F8395E" w:rsidRPr="001B4CA2" w:rsidRDefault="00F8395E" w:rsidP="000E682B">
            <w:pPr>
              <w:jc w:val="center"/>
              <w:rPr>
                <w:rFonts w:eastAsia="Times New Roman"/>
                <w:sz w:val="18"/>
                <w:szCs w:val="18"/>
              </w:rPr>
            </w:pPr>
            <w:r w:rsidRPr="001B4CA2">
              <w:rPr>
                <w:rFonts w:eastAsia="Times New Roman"/>
                <w:sz w:val="18"/>
                <w:szCs w:val="18"/>
              </w:rPr>
              <w:t>2019.</w:t>
            </w:r>
          </w:p>
        </w:tc>
        <w:tc>
          <w:tcPr>
            <w:tcW w:w="808" w:type="dxa"/>
            <w:tcMar>
              <w:top w:w="0" w:type="dxa"/>
              <w:left w:w="45" w:type="dxa"/>
              <w:bottom w:w="0" w:type="dxa"/>
              <w:right w:w="45" w:type="dxa"/>
            </w:tcMar>
            <w:vAlign w:val="center"/>
          </w:tcPr>
          <w:p w14:paraId="57614AAB" w14:textId="00ACFAB7" w:rsidR="00F8395E" w:rsidRPr="001B4CA2" w:rsidRDefault="00F8395E" w:rsidP="000E682B">
            <w:pPr>
              <w:jc w:val="center"/>
              <w:rPr>
                <w:rFonts w:eastAsia="Times New Roman"/>
                <w:sz w:val="18"/>
                <w:szCs w:val="18"/>
              </w:rPr>
            </w:pPr>
          </w:p>
        </w:tc>
        <w:tc>
          <w:tcPr>
            <w:tcW w:w="578" w:type="dxa"/>
            <w:tcMar>
              <w:top w:w="0" w:type="dxa"/>
              <w:left w:w="45" w:type="dxa"/>
              <w:bottom w:w="0" w:type="dxa"/>
              <w:right w:w="45" w:type="dxa"/>
            </w:tcMar>
            <w:vAlign w:val="center"/>
          </w:tcPr>
          <w:p w14:paraId="4A7A55AA" w14:textId="664F062E" w:rsidR="00F8395E" w:rsidRPr="001B4CA2" w:rsidRDefault="00F8395E" w:rsidP="000E682B">
            <w:pPr>
              <w:jc w:val="center"/>
              <w:rPr>
                <w:rFonts w:eastAsia="Times New Roman"/>
                <w:sz w:val="18"/>
                <w:szCs w:val="18"/>
              </w:rPr>
            </w:pPr>
          </w:p>
        </w:tc>
        <w:tc>
          <w:tcPr>
            <w:tcW w:w="578" w:type="dxa"/>
            <w:tcMar>
              <w:top w:w="0" w:type="dxa"/>
              <w:left w:w="45" w:type="dxa"/>
              <w:bottom w:w="0" w:type="dxa"/>
              <w:right w:w="45" w:type="dxa"/>
            </w:tcMar>
            <w:vAlign w:val="center"/>
          </w:tcPr>
          <w:p w14:paraId="523548E7" w14:textId="42E50073" w:rsidR="00F8395E" w:rsidRPr="001B4CA2" w:rsidRDefault="00F8395E" w:rsidP="000E682B">
            <w:pPr>
              <w:jc w:val="center"/>
              <w:rPr>
                <w:rFonts w:eastAsia="Times New Roman"/>
                <w:sz w:val="18"/>
                <w:szCs w:val="18"/>
              </w:rPr>
            </w:pPr>
          </w:p>
        </w:tc>
        <w:tc>
          <w:tcPr>
            <w:tcW w:w="1013" w:type="dxa"/>
            <w:shd w:val="clear" w:color="auto" w:fill="auto"/>
            <w:tcMar>
              <w:top w:w="0" w:type="dxa"/>
              <w:left w:w="45" w:type="dxa"/>
              <w:bottom w:w="0" w:type="dxa"/>
              <w:right w:w="45" w:type="dxa"/>
            </w:tcMar>
            <w:vAlign w:val="center"/>
          </w:tcPr>
          <w:p w14:paraId="613AA034" w14:textId="6B6954BE" w:rsidR="00F8395E" w:rsidRPr="001B4CA2" w:rsidRDefault="00F8395E" w:rsidP="000E682B">
            <w:pPr>
              <w:jc w:val="center"/>
              <w:rPr>
                <w:rFonts w:eastAsia="Times New Roman"/>
                <w:sz w:val="18"/>
                <w:szCs w:val="18"/>
              </w:rPr>
            </w:pPr>
          </w:p>
        </w:tc>
        <w:tc>
          <w:tcPr>
            <w:tcW w:w="850" w:type="dxa"/>
            <w:tcMar>
              <w:top w:w="0" w:type="dxa"/>
              <w:left w:w="45" w:type="dxa"/>
              <w:bottom w:w="0" w:type="dxa"/>
              <w:right w:w="45" w:type="dxa"/>
            </w:tcMar>
            <w:vAlign w:val="center"/>
          </w:tcPr>
          <w:p w14:paraId="2120E660" w14:textId="17347E78" w:rsidR="00F8395E" w:rsidRPr="001B4CA2" w:rsidRDefault="00F8395E" w:rsidP="000E682B">
            <w:pPr>
              <w:jc w:val="center"/>
              <w:rPr>
                <w:rFonts w:eastAsia="Times New Roman"/>
                <w:sz w:val="18"/>
                <w:szCs w:val="18"/>
              </w:rPr>
            </w:pPr>
            <w:r w:rsidRPr="001B4CA2">
              <w:rPr>
                <w:rFonts w:eastAsia="Times New Roman"/>
                <w:sz w:val="18"/>
                <w:szCs w:val="18"/>
              </w:rPr>
              <w:t>436</w:t>
            </w:r>
          </w:p>
        </w:tc>
        <w:tc>
          <w:tcPr>
            <w:tcW w:w="611" w:type="dxa"/>
            <w:shd w:val="clear" w:color="auto" w:fill="auto"/>
            <w:tcMar>
              <w:top w:w="0" w:type="dxa"/>
              <w:left w:w="45" w:type="dxa"/>
              <w:bottom w:w="0" w:type="dxa"/>
              <w:right w:w="45" w:type="dxa"/>
            </w:tcMar>
            <w:vAlign w:val="center"/>
          </w:tcPr>
          <w:p w14:paraId="0632B18B" w14:textId="76492F33" w:rsidR="00F8395E" w:rsidRPr="001B4CA2" w:rsidRDefault="00F8395E" w:rsidP="000E682B">
            <w:pPr>
              <w:jc w:val="center"/>
              <w:rPr>
                <w:rFonts w:eastAsia="Times New Roman"/>
                <w:sz w:val="18"/>
                <w:szCs w:val="18"/>
              </w:rPr>
            </w:pPr>
            <w:r w:rsidRPr="001B4CA2">
              <w:rPr>
                <w:rFonts w:eastAsia="Times New Roman"/>
                <w:sz w:val="18"/>
                <w:szCs w:val="18"/>
              </w:rPr>
              <w:t>71</w:t>
            </w:r>
          </w:p>
        </w:tc>
        <w:tc>
          <w:tcPr>
            <w:tcW w:w="567" w:type="dxa"/>
            <w:tcMar>
              <w:top w:w="0" w:type="dxa"/>
              <w:left w:w="45" w:type="dxa"/>
              <w:bottom w:w="0" w:type="dxa"/>
              <w:right w:w="45" w:type="dxa"/>
            </w:tcMar>
            <w:vAlign w:val="center"/>
          </w:tcPr>
          <w:p w14:paraId="61D1CB9B" w14:textId="54A522EB" w:rsidR="00F8395E" w:rsidRPr="001B4CA2" w:rsidRDefault="00F8395E" w:rsidP="000E682B">
            <w:pPr>
              <w:jc w:val="center"/>
              <w:rPr>
                <w:rFonts w:eastAsia="Times New Roman"/>
                <w:sz w:val="18"/>
                <w:szCs w:val="18"/>
              </w:rPr>
            </w:pPr>
          </w:p>
        </w:tc>
        <w:tc>
          <w:tcPr>
            <w:tcW w:w="567" w:type="dxa"/>
            <w:shd w:val="clear" w:color="auto" w:fill="auto"/>
            <w:tcMar>
              <w:top w:w="0" w:type="dxa"/>
              <w:left w:w="45" w:type="dxa"/>
              <w:bottom w:w="0" w:type="dxa"/>
              <w:right w:w="45" w:type="dxa"/>
            </w:tcMar>
            <w:vAlign w:val="center"/>
          </w:tcPr>
          <w:p w14:paraId="487CD64B" w14:textId="6760044D" w:rsidR="00F8395E" w:rsidRPr="001B4CA2" w:rsidRDefault="00F8395E" w:rsidP="000E682B">
            <w:pPr>
              <w:jc w:val="center"/>
              <w:rPr>
                <w:rFonts w:eastAsia="Times New Roman"/>
                <w:sz w:val="18"/>
                <w:szCs w:val="18"/>
              </w:rPr>
            </w:pPr>
            <w:r w:rsidRPr="001B4CA2">
              <w:rPr>
                <w:rFonts w:eastAsia="Times New Roman"/>
                <w:sz w:val="18"/>
                <w:szCs w:val="18"/>
              </w:rPr>
              <w:t>77</w:t>
            </w:r>
          </w:p>
        </w:tc>
        <w:tc>
          <w:tcPr>
            <w:tcW w:w="567" w:type="dxa"/>
            <w:vAlign w:val="center"/>
          </w:tcPr>
          <w:p w14:paraId="0F0A5BE5" w14:textId="1B845EF2" w:rsidR="00F8395E" w:rsidRPr="001B4CA2" w:rsidRDefault="00F8395E" w:rsidP="000E682B">
            <w:pPr>
              <w:jc w:val="center"/>
              <w:rPr>
                <w:rFonts w:eastAsia="Times New Roman"/>
                <w:sz w:val="18"/>
                <w:szCs w:val="18"/>
              </w:rPr>
            </w:pPr>
            <w:r w:rsidRPr="001B4CA2">
              <w:rPr>
                <w:rFonts w:eastAsia="Times New Roman"/>
                <w:sz w:val="18"/>
                <w:szCs w:val="18"/>
              </w:rPr>
              <w:t>26</w:t>
            </w:r>
          </w:p>
        </w:tc>
        <w:tc>
          <w:tcPr>
            <w:tcW w:w="545" w:type="dxa"/>
          </w:tcPr>
          <w:p w14:paraId="6CDCC70C" w14:textId="77777777" w:rsidR="00F8395E" w:rsidRPr="001B4CA2" w:rsidRDefault="00F8395E" w:rsidP="000E682B">
            <w:pPr>
              <w:jc w:val="center"/>
              <w:rPr>
                <w:rFonts w:eastAsia="Times New Roman"/>
                <w:sz w:val="18"/>
                <w:szCs w:val="18"/>
              </w:rPr>
            </w:pPr>
          </w:p>
        </w:tc>
        <w:tc>
          <w:tcPr>
            <w:tcW w:w="709" w:type="dxa"/>
            <w:vAlign w:val="center"/>
          </w:tcPr>
          <w:p w14:paraId="48847F3C" w14:textId="3284B1C3" w:rsidR="00F8395E" w:rsidRPr="001B4CA2" w:rsidRDefault="00F8395E" w:rsidP="000E682B">
            <w:pPr>
              <w:jc w:val="center"/>
              <w:rPr>
                <w:rFonts w:eastAsia="Times New Roman"/>
                <w:sz w:val="18"/>
                <w:szCs w:val="18"/>
              </w:rPr>
            </w:pPr>
            <w:r w:rsidRPr="001B4CA2">
              <w:rPr>
                <w:rFonts w:eastAsia="Times New Roman"/>
                <w:sz w:val="18"/>
                <w:szCs w:val="18"/>
              </w:rPr>
              <w:t>539</w:t>
            </w:r>
          </w:p>
        </w:tc>
        <w:tc>
          <w:tcPr>
            <w:tcW w:w="632" w:type="dxa"/>
          </w:tcPr>
          <w:p w14:paraId="28E50B9A" w14:textId="77777777" w:rsidR="00F8395E" w:rsidRPr="001B4CA2" w:rsidRDefault="00F8395E" w:rsidP="000E682B">
            <w:pPr>
              <w:jc w:val="center"/>
              <w:rPr>
                <w:rFonts w:eastAsia="Times New Roman"/>
                <w:sz w:val="18"/>
                <w:szCs w:val="18"/>
              </w:rPr>
            </w:pPr>
          </w:p>
        </w:tc>
        <w:tc>
          <w:tcPr>
            <w:tcW w:w="523" w:type="dxa"/>
            <w:vAlign w:val="center"/>
          </w:tcPr>
          <w:p w14:paraId="25C2326C" w14:textId="63A415CB" w:rsidR="00F8395E" w:rsidRPr="001B4CA2" w:rsidRDefault="00F8395E" w:rsidP="000E682B">
            <w:pPr>
              <w:jc w:val="center"/>
              <w:rPr>
                <w:rFonts w:eastAsia="Times New Roman"/>
                <w:sz w:val="18"/>
                <w:szCs w:val="18"/>
              </w:rPr>
            </w:pPr>
          </w:p>
        </w:tc>
      </w:tr>
      <w:tr w:rsidR="00F8395E" w:rsidRPr="001B4CA2" w14:paraId="392186F7" w14:textId="261520DE" w:rsidTr="00F8395E">
        <w:trPr>
          <w:trHeight w:val="285"/>
          <w:jc w:val="center"/>
        </w:trPr>
        <w:tc>
          <w:tcPr>
            <w:tcW w:w="765" w:type="dxa"/>
            <w:tcMar>
              <w:top w:w="0" w:type="dxa"/>
              <w:left w:w="45" w:type="dxa"/>
              <w:bottom w:w="0" w:type="dxa"/>
              <w:right w:w="45" w:type="dxa"/>
            </w:tcMar>
            <w:vAlign w:val="center"/>
            <w:hideMark/>
          </w:tcPr>
          <w:p w14:paraId="46A0C31E" w14:textId="05F296B9" w:rsidR="00F8395E" w:rsidRPr="001B4CA2" w:rsidRDefault="00F8395E" w:rsidP="000E682B">
            <w:pPr>
              <w:jc w:val="center"/>
              <w:rPr>
                <w:rFonts w:eastAsia="Times New Roman"/>
                <w:sz w:val="18"/>
                <w:szCs w:val="18"/>
              </w:rPr>
            </w:pPr>
            <w:r w:rsidRPr="001B4CA2">
              <w:rPr>
                <w:rFonts w:eastAsia="Times New Roman"/>
                <w:sz w:val="18"/>
                <w:szCs w:val="18"/>
              </w:rPr>
              <w:t>2020.</w:t>
            </w:r>
          </w:p>
        </w:tc>
        <w:tc>
          <w:tcPr>
            <w:tcW w:w="808" w:type="dxa"/>
            <w:tcMar>
              <w:top w:w="0" w:type="dxa"/>
              <w:left w:w="45" w:type="dxa"/>
              <w:bottom w:w="0" w:type="dxa"/>
              <w:right w:w="45" w:type="dxa"/>
            </w:tcMar>
            <w:vAlign w:val="center"/>
          </w:tcPr>
          <w:p w14:paraId="206A33F0" w14:textId="39F46F21" w:rsidR="00F8395E" w:rsidRPr="001B4CA2" w:rsidRDefault="00F8395E" w:rsidP="000E682B">
            <w:pPr>
              <w:jc w:val="center"/>
              <w:rPr>
                <w:rFonts w:eastAsia="Times New Roman"/>
                <w:sz w:val="18"/>
                <w:szCs w:val="18"/>
              </w:rPr>
            </w:pPr>
          </w:p>
        </w:tc>
        <w:tc>
          <w:tcPr>
            <w:tcW w:w="578" w:type="dxa"/>
            <w:tcMar>
              <w:top w:w="0" w:type="dxa"/>
              <w:left w:w="45" w:type="dxa"/>
              <w:bottom w:w="0" w:type="dxa"/>
              <w:right w:w="45" w:type="dxa"/>
            </w:tcMar>
            <w:vAlign w:val="center"/>
          </w:tcPr>
          <w:p w14:paraId="25573017" w14:textId="08381C85" w:rsidR="00F8395E" w:rsidRPr="001B4CA2" w:rsidRDefault="00F8395E" w:rsidP="000E682B">
            <w:pPr>
              <w:jc w:val="center"/>
              <w:rPr>
                <w:rFonts w:eastAsia="Times New Roman"/>
                <w:sz w:val="18"/>
                <w:szCs w:val="18"/>
              </w:rPr>
            </w:pPr>
            <w:r w:rsidRPr="001B4CA2">
              <w:rPr>
                <w:rFonts w:eastAsia="Times New Roman"/>
                <w:sz w:val="18"/>
                <w:szCs w:val="18"/>
              </w:rPr>
              <w:t>486</w:t>
            </w:r>
          </w:p>
        </w:tc>
        <w:tc>
          <w:tcPr>
            <w:tcW w:w="578" w:type="dxa"/>
            <w:tcMar>
              <w:top w:w="0" w:type="dxa"/>
              <w:left w:w="45" w:type="dxa"/>
              <w:bottom w:w="0" w:type="dxa"/>
              <w:right w:w="45" w:type="dxa"/>
            </w:tcMar>
            <w:vAlign w:val="center"/>
          </w:tcPr>
          <w:p w14:paraId="1CDCBB26" w14:textId="2AF0A975" w:rsidR="00F8395E" w:rsidRPr="001B4CA2" w:rsidRDefault="00F8395E" w:rsidP="000E682B">
            <w:pPr>
              <w:jc w:val="center"/>
              <w:rPr>
                <w:rFonts w:eastAsia="Times New Roman"/>
                <w:sz w:val="18"/>
                <w:szCs w:val="18"/>
              </w:rPr>
            </w:pPr>
            <w:r w:rsidRPr="001B4CA2">
              <w:rPr>
                <w:rFonts w:eastAsia="Times New Roman"/>
                <w:sz w:val="18"/>
                <w:szCs w:val="18"/>
              </w:rPr>
              <w:t>486</w:t>
            </w:r>
          </w:p>
        </w:tc>
        <w:tc>
          <w:tcPr>
            <w:tcW w:w="1013" w:type="dxa"/>
            <w:shd w:val="clear" w:color="auto" w:fill="auto"/>
            <w:tcMar>
              <w:top w:w="0" w:type="dxa"/>
              <w:left w:w="45" w:type="dxa"/>
              <w:bottom w:w="0" w:type="dxa"/>
              <w:right w:w="45" w:type="dxa"/>
            </w:tcMar>
            <w:vAlign w:val="center"/>
          </w:tcPr>
          <w:p w14:paraId="5B045DA5" w14:textId="22B8631D" w:rsidR="00F8395E" w:rsidRPr="001B4CA2" w:rsidRDefault="00F8395E" w:rsidP="000E682B">
            <w:pPr>
              <w:jc w:val="center"/>
              <w:rPr>
                <w:rFonts w:eastAsia="Times New Roman"/>
                <w:sz w:val="18"/>
                <w:szCs w:val="18"/>
              </w:rPr>
            </w:pPr>
          </w:p>
        </w:tc>
        <w:tc>
          <w:tcPr>
            <w:tcW w:w="850" w:type="dxa"/>
            <w:tcMar>
              <w:top w:w="0" w:type="dxa"/>
              <w:left w:w="45" w:type="dxa"/>
              <w:bottom w:w="0" w:type="dxa"/>
              <w:right w:w="45" w:type="dxa"/>
            </w:tcMar>
            <w:vAlign w:val="center"/>
          </w:tcPr>
          <w:p w14:paraId="51896FA9" w14:textId="627AC59D" w:rsidR="00F8395E" w:rsidRPr="001B4CA2" w:rsidRDefault="00F8395E" w:rsidP="000E682B">
            <w:pPr>
              <w:jc w:val="center"/>
              <w:rPr>
                <w:rFonts w:eastAsia="Times New Roman"/>
                <w:sz w:val="18"/>
                <w:szCs w:val="18"/>
              </w:rPr>
            </w:pPr>
            <w:r w:rsidRPr="001B4CA2">
              <w:rPr>
                <w:rFonts w:eastAsia="Times New Roman"/>
                <w:sz w:val="18"/>
                <w:szCs w:val="18"/>
              </w:rPr>
              <w:t>484</w:t>
            </w:r>
          </w:p>
        </w:tc>
        <w:tc>
          <w:tcPr>
            <w:tcW w:w="611" w:type="dxa"/>
            <w:shd w:val="clear" w:color="auto" w:fill="auto"/>
            <w:tcMar>
              <w:top w:w="0" w:type="dxa"/>
              <w:left w:w="45" w:type="dxa"/>
              <w:bottom w:w="0" w:type="dxa"/>
              <w:right w:w="45" w:type="dxa"/>
            </w:tcMar>
            <w:vAlign w:val="center"/>
          </w:tcPr>
          <w:p w14:paraId="208D95BD" w14:textId="2317BBEF" w:rsidR="00F8395E" w:rsidRPr="001B4CA2" w:rsidRDefault="00F8395E" w:rsidP="000E682B">
            <w:pPr>
              <w:jc w:val="center"/>
              <w:rPr>
                <w:rFonts w:eastAsia="Times New Roman"/>
                <w:sz w:val="18"/>
                <w:szCs w:val="18"/>
              </w:rPr>
            </w:pPr>
            <w:r w:rsidRPr="001B4CA2">
              <w:rPr>
                <w:rFonts w:eastAsia="Times New Roman"/>
                <w:sz w:val="18"/>
                <w:szCs w:val="18"/>
              </w:rPr>
              <w:t>80</w:t>
            </w:r>
          </w:p>
        </w:tc>
        <w:tc>
          <w:tcPr>
            <w:tcW w:w="567" w:type="dxa"/>
            <w:tcMar>
              <w:top w:w="0" w:type="dxa"/>
              <w:left w:w="45" w:type="dxa"/>
              <w:bottom w:w="0" w:type="dxa"/>
              <w:right w:w="45" w:type="dxa"/>
            </w:tcMar>
            <w:vAlign w:val="center"/>
          </w:tcPr>
          <w:p w14:paraId="72B64A59" w14:textId="4605CF56" w:rsidR="00F8395E" w:rsidRPr="001B4CA2" w:rsidRDefault="00F8395E" w:rsidP="000E682B">
            <w:pPr>
              <w:jc w:val="center"/>
              <w:rPr>
                <w:rFonts w:eastAsia="Times New Roman"/>
                <w:sz w:val="18"/>
                <w:szCs w:val="18"/>
              </w:rPr>
            </w:pPr>
            <w:r w:rsidRPr="001B4CA2">
              <w:rPr>
                <w:rFonts w:eastAsia="Times New Roman"/>
                <w:sz w:val="18"/>
                <w:szCs w:val="18"/>
              </w:rPr>
              <w:t>9</w:t>
            </w:r>
          </w:p>
        </w:tc>
        <w:tc>
          <w:tcPr>
            <w:tcW w:w="567" w:type="dxa"/>
            <w:shd w:val="clear" w:color="auto" w:fill="auto"/>
            <w:tcMar>
              <w:top w:w="0" w:type="dxa"/>
              <w:left w:w="45" w:type="dxa"/>
              <w:bottom w:w="0" w:type="dxa"/>
              <w:right w:w="45" w:type="dxa"/>
            </w:tcMar>
            <w:vAlign w:val="center"/>
          </w:tcPr>
          <w:p w14:paraId="564F3E9A" w14:textId="586B779A" w:rsidR="00F8395E" w:rsidRPr="001B4CA2" w:rsidRDefault="00F8395E" w:rsidP="000E682B">
            <w:pPr>
              <w:jc w:val="center"/>
              <w:rPr>
                <w:rFonts w:eastAsia="Times New Roman"/>
                <w:sz w:val="18"/>
                <w:szCs w:val="18"/>
              </w:rPr>
            </w:pPr>
            <w:r w:rsidRPr="001B4CA2">
              <w:rPr>
                <w:rFonts w:eastAsia="Times New Roman"/>
                <w:sz w:val="18"/>
                <w:szCs w:val="18"/>
              </w:rPr>
              <w:t>67</w:t>
            </w:r>
          </w:p>
        </w:tc>
        <w:tc>
          <w:tcPr>
            <w:tcW w:w="567" w:type="dxa"/>
            <w:vAlign w:val="center"/>
          </w:tcPr>
          <w:p w14:paraId="4EDE5BE5" w14:textId="1FAE5CC9" w:rsidR="00F8395E" w:rsidRPr="001B4CA2" w:rsidRDefault="00F8395E" w:rsidP="000E682B">
            <w:pPr>
              <w:jc w:val="center"/>
              <w:rPr>
                <w:rFonts w:eastAsia="Times New Roman"/>
                <w:sz w:val="18"/>
                <w:szCs w:val="18"/>
              </w:rPr>
            </w:pPr>
            <w:r w:rsidRPr="001B4CA2">
              <w:rPr>
                <w:rFonts w:eastAsia="Times New Roman"/>
                <w:sz w:val="18"/>
                <w:szCs w:val="18"/>
              </w:rPr>
              <w:t>24</w:t>
            </w:r>
          </w:p>
        </w:tc>
        <w:tc>
          <w:tcPr>
            <w:tcW w:w="545" w:type="dxa"/>
          </w:tcPr>
          <w:p w14:paraId="0EFA4FEF" w14:textId="77777777" w:rsidR="00F8395E" w:rsidRPr="001B4CA2" w:rsidRDefault="00F8395E" w:rsidP="000E682B">
            <w:pPr>
              <w:jc w:val="center"/>
              <w:rPr>
                <w:rFonts w:eastAsia="Times New Roman"/>
                <w:sz w:val="18"/>
                <w:szCs w:val="18"/>
              </w:rPr>
            </w:pPr>
          </w:p>
        </w:tc>
        <w:tc>
          <w:tcPr>
            <w:tcW w:w="709" w:type="dxa"/>
            <w:vAlign w:val="center"/>
          </w:tcPr>
          <w:p w14:paraId="34B791A6" w14:textId="433B324D" w:rsidR="00F8395E" w:rsidRPr="001B4CA2" w:rsidRDefault="00F8395E" w:rsidP="000E682B">
            <w:pPr>
              <w:jc w:val="center"/>
              <w:rPr>
                <w:rFonts w:eastAsia="Times New Roman"/>
                <w:sz w:val="18"/>
                <w:szCs w:val="18"/>
              </w:rPr>
            </w:pPr>
            <w:r w:rsidRPr="001B4CA2">
              <w:rPr>
                <w:rFonts w:eastAsia="Times New Roman"/>
                <w:sz w:val="18"/>
                <w:szCs w:val="18"/>
              </w:rPr>
              <w:t>584</w:t>
            </w:r>
          </w:p>
        </w:tc>
        <w:tc>
          <w:tcPr>
            <w:tcW w:w="632" w:type="dxa"/>
          </w:tcPr>
          <w:p w14:paraId="3394ACA3" w14:textId="77777777" w:rsidR="00F8395E" w:rsidRPr="001B4CA2" w:rsidRDefault="00F8395E" w:rsidP="000E682B">
            <w:pPr>
              <w:jc w:val="center"/>
              <w:rPr>
                <w:rFonts w:eastAsia="Times New Roman"/>
                <w:sz w:val="18"/>
                <w:szCs w:val="18"/>
              </w:rPr>
            </w:pPr>
          </w:p>
        </w:tc>
        <w:tc>
          <w:tcPr>
            <w:tcW w:w="523" w:type="dxa"/>
            <w:vAlign w:val="center"/>
          </w:tcPr>
          <w:p w14:paraId="139AB101" w14:textId="6CCABCD2" w:rsidR="00F8395E" w:rsidRPr="001B4CA2" w:rsidRDefault="00F8395E" w:rsidP="000E682B">
            <w:pPr>
              <w:jc w:val="center"/>
              <w:rPr>
                <w:rFonts w:eastAsia="Times New Roman"/>
                <w:sz w:val="18"/>
                <w:szCs w:val="18"/>
              </w:rPr>
            </w:pPr>
            <w:r w:rsidRPr="001B4CA2">
              <w:rPr>
                <w:rFonts w:eastAsia="Times New Roman"/>
                <w:sz w:val="18"/>
                <w:szCs w:val="18"/>
              </w:rPr>
              <w:t>967</w:t>
            </w:r>
          </w:p>
        </w:tc>
      </w:tr>
      <w:tr w:rsidR="00F8395E" w:rsidRPr="001B4CA2" w14:paraId="3140F08E" w14:textId="30852A5D" w:rsidTr="00F8395E">
        <w:trPr>
          <w:trHeight w:val="285"/>
          <w:jc w:val="center"/>
        </w:trPr>
        <w:tc>
          <w:tcPr>
            <w:tcW w:w="765" w:type="dxa"/>
            <w:tcMar>
              <w:top w:w="0" w:type="dxa"/>
              <w:left w:w="45" w:type="dxa"/>
              <w:bottom w:w="0" w:type="dxa"/>
              <w:right w:w="45" w:type="dxa"/>
            </w:tcMar>
            <w:vAlign w:val="center"/>
            <w:hideMark/>
          </w:tcPr>
          <w:p w14:paraId="56439695" w14:textId="245C6C8C" w:rsidR="00F8395E" w:rsidRPr="001B4CA2" w:rsidRDefault="00F8395E" w:rsidP="000E682B">
            <w:pPr>
              <w:jc w:val="center"/>
              <w:rPr>
                <w:rFonts w:eastAsia="Times New Roman"/>
                <w:sz w:val="18"/>
                <w:szCs w:val="18"/>
              </w:rPr>
            </w:pPr>
            <w:r w:rsidRPr="001B4CA2">
              <w:rPr>
                <w:rFonts w:eastAsia="Times New Roman"/>
                <w:sz w:val="18"/>
                <w:szCs w:val="18"/>
              </w:rPr>
              <w:t>2021.</w:t>
            </w:r>
          </w:p>
        </w:tc>
        <w:tc>
          <w:tcPr>
            <w:tcW w:w="808" w:type="dxa"/>
            <w:tcMar>
              <w:top w:w="0" w:type="dxa"/>
              <w:left w:w="45" w:type="dxa"/>
              <w:bottom w:w="0" w:type="dxa"/>
              <w:right w:w="45" w:type="dxa"/>
            </w:tcMar>
            <w:vAlign w:val="center"/>
          </w:tcPr>
          <w:p w14:paraId="79F4BEB2" w14:textId="4AFCF5C7" w:rsidR="00F8395E" w:rsidRPr="001B4CA2" w:rsidRDefault="00F8395E" w:rsidP="000E682B">
            <w:pPr>
              <w:jc w:val="center"/>
              <w:rPr>
                <w:rFonts w:eastAsia="Times New Roman"/>
                <w:sz w:val="18"/>
                <w:szCs w:val="18"/>
              </w:rPr>
            </w:pPr>
          </w:p>
        </w:tc>
        <w:tc>
          <w:tcPr>
            <w:tcW w:w="578" w:type="dxa"/>
            <w:tcMar>
              <w:top w:w="0" w:type="dxa"/>
              <w:left w:w="45" w:type="dxa"/>
              <w:bottom w:w="0" w:type="dxa"/>
              <w:right w:w="45" w:type="dxa"/>
            </w:tcMar>
            <w:vAlign w:val="center"/>
          </w:tcPr>
          <w:p w14:paraId="3D44BA6F" w14:textId="7ECCD021" w:rsidR="00F8395E" w:rsidRPr="001B4CA2" w:rsidRDefault="00F8395E" w:rsidP="000E682B">
            <w:pPr>
              <w:jc w:val="center"/>
              <w:rPr>
                <w:rFonts w:eastAsia="Times New Roman"/>
                <w:sz w:val="18"/>
                <w:szCs w:val="18"/>
              </w:rPr>
            </w:pPr>
            <w:r w:rsidRPr="001B4CA2">
              <w:rPr>
                <w:rFonts w:eastAsia="Times New Roman"/>
                <w:sz w:val="18"/>
                <w:szCs w:val="18"/>
              </w:rPr>
              <w:t>538</w:t>
            </w:r>
          </w:p>
        </w:tc>
        <w:tc>
          <w:tcPr>
            <w:tcW w:w="578" w:type="dxa"/>
            <w:tcMar>
              <w:top w:w="0" w:type="dxa"/>
              <w:left w:w="45" w:type="dxa"/>
              <w:bottom w:w="0" w:type="dxa"/>
              <w:right w:w="45" w:type="dxa"/>
            </w:tcMar>
            <w:vAlign w:val="center"/>
          </w:tcPr>
          <w:p w14:paraId="10B11343" w14:textId="57199204" w:rsidR="00F8395E" w:rsidRPr="001B4CA2" w:rsidRDefault="00F8395E" w:rsidP="000E682B">
            <w:pPr>
              <w:jc w:val="center"/>
              <w:rPr>
                <w:rFonts w:eastAsia="Times New Roman"/>
                <w:sz w:val="18"/>
                <w:szCs w:val="18"/>
              </w:rPr>
            </w:pPr>
            <w:r w:rsidRPr="001B4CA2">
              <w:rPr>
                <w:rFonts w:eastAsia="Times New Roman"/>
                <w:sz w:val="18"/>
                <w:szCs w:val="18"/>
              </w:rPr>
              <w:t>538</w:t>
            </w:r>
          </w:p>
        </w:tc>
        <w:tc>
          <w:tcPr>
            <w:tcW w:w="1013" w:type="dxa"/>
            <w:shd w:val="clear" w:color="auto" w:fill="auto"/>
            <w:tcMar>
              <w:top w:w="0" w:type="dxa"/>
              <w:left w:w="45" w:type="dxa"/>
              <w:bottom w:w="0" w:type="dxa"/>
              <w:right w:w="45" w:type="dxa"/>
            </w:tcMar>
            <w:vAlign w:val="center"/>
          </w:tcPr>
          <w:p w14:paraId="743CAA22" w14:textId="7795D5A7" w:rsidR="00F8395E" w:rsidRPr="001B4CA2" w:rsidRDefault="00F8395E" w:rsidP="000E682B">
            <w:pPr>
              <w:jc w:val="center"/>
              <w:rPr>
                <w:rFonts w:eastAsia="Times New Roman"/>
                <w:sz w:val="18"/>
                <w:szCs w:val="18"/>
              </w:rPr>
            </w:pPr>
            <w:r w:rsidRPr="001B4CA2">
              <w:rPr>
                <w:rFonts w:eastAsia="Times New Roman"/>
                <w:sz w:val="18"/>
                <w:szCs w:val="18"/>
              </w:rPr>
              <w:t>9</w:t>
            </w:r>
          </w:p>
        </w:tc>
        <w:tc>
          <w:tcPr>
            <w:tcW w:w="850" w:type="dxa"/>
            <w:tcMar>
              <w:top w:w="0" w:type="dxa"/>
              <w:left w:w="45" w:type="dxa"/>
              <w:bottom w:w="0" w:type="dxa"/>
              <w:right w:w="45" w:type="dxa"/>
            </w:tcMar>
            <w:vAlign w:val="center"/>
          </w:tcPr>
          <w:p w14:paraId="5657CE6A" w14:textId="4D082028" w:rsidR="00F8395E" w:rsidRPr="001B4CA2" w:rsidRDefault="00F8395E" w:rsidP="000E682B">
            <w:pPr>
              <w:jc w:val="center"/>
              <w:rPr>
                <w:rFonts w:eastAsia="Times New Roman"/>
                <w:sz w:val="18"/>
                <w:szCs w:val="18"/>
              </w:rPr>
            </w:pPr>
            <w:r w:rsidRPr="001B4CA2">
              <w:rPr>
                <w:rFonts w:eastAsia="Times New Roman"/>
                <w:sz w:val="18"/>
                <w:szCs w:val="18"/>
              </w:rPr>
              <w:t>547</w:t>
            </w:r>
          </w:p>
        </w:tc>
        <w:tc>
          <w:tcPr>
            <w:tcW w:w="611" w:type="dxa"/>
            <w:shd w:val="clear" w:color="auto" w:fill="auto"/>
            <w:tcMar>
              <w:top w:w="0" w:type="dxa"/>
              <w:left w:w="45" w:type="dxa"/>
              <w:bottom w:w="0" w:type="dxa"/>
              <w:right w:w="45" w:type="dxa"/>
            </w:tcMar>
            <w:vAlign w:val="center"/>
          </w:tcPr>
          <w:p w14:paraId="0196A04A" w14:textId="6963712C" w:rsidR="00F8395E" w:rsidRPr="001B4CA2" w:rsidRDefault="00F8395E" w:rsidP="000E682B">
            <w:pPr>
              <w:jc w:val="center"/>
              <w:rPr>
                <w:rFonts w:eastAsia="Times New Roman"/>
                <w:sz w:val="18"/>
                <w:szCs w:val="18"/>
              </w:rPr>
            </w:pPr>
            <w:r w:rsidRPr="001B4CA2">
              <w:rPr>
                <w:rFonts w:eastAsia="Times New Roman"/>
                <w:sz w:val="18"/>
                <w:szCs w:val="18"/>
              </w:rPr>
              <w:t>58</w:t>
            </w:r>
          </w:p>
        </w:tc>
        <w:tc>
          <w:tcPr>
            <w:tcW w:w="567" w:type="dxa"/>
            <w:tcMar>
              <w:top w:w="0" w:type="dxa"/>
              <w:left w:w="45" w:type="dxa"/>
              <w:bottom w:w="0" w:type="dxa"/>
              <w:right w:w="45" w:type="dxa"/>
            </w:tcMar>
            <w:vAlign w:val="center"/>
          </w:tcPr>
          <w:p w14:paraId="0A8FD9F4" w14:textId="78E79B2F" w:rsidR="00F8395E" w:rsidRPr="001B4CA2" w:rsidRDefault="00F8395E" w:rsidP="000E682B">
            <w:pPr>
              <w:jc w:val="center"/>
              <w:rPr>
                <w:rFonts w:eastAsia="Times New Roman"/>
                <w:sz w:val="18"/>
                <w:szCs w:val="18"/>
              </w:rPr>
            </w:pPr>
            <w:r w:rsidRPr="001B4CA2">
              <w:rPr>
                <w:rFonts w:eastAsia="Times New Roman"/>
                <w:sz w:val="18"/>
                <w:szCs w:val="18"/>
              </w:rPr>
              <w:t>15</w:t>
            </w:r>
          </w:p>
        </w:tc>
        <w:tc>
          <w:tcPr>
            <w:tcW w:w="567" w:type="dxa"/>
            <w:shd w:val="clear" w:color="auto" w:fill="auto"/>
            <w:tcMar>
              <w:top w:w="0" w:type="dxa"/>
              <w:left w:w="45" w:type="dxa"/>
              <w:bottom w:w="0" w:type="dxa"/>
              <w:right w:w="45" w:type="dxa"/>
            </w:tcMar>
            <w:vAlign w:val="center"/>
          </w:tcPr>
          <w:p w14:paraId="4BA9196B" w14:textId="6D51BB52" w:rsidR="00F8395E" w:rsidRPr="001B4CA2" w:rsidRDefault="00F8395E" w:rsidP="000E682B">
            <w:pPr>
              <w:jc w:val="center"/>
              <w:rPr>
                <w:rFonts w:eastAsia="Times New Roman"/>
                <w:sz w:val="18"/>
                <w:szCs w:val="18"/>
              </w:rPr>
            </w:pPr>
            <w:r w:rsidRPr="001B4CA2">
              <w:rPr>
                <w:rFonts w:eastAsia="Times New Roman"/>
                <w:sz w:val="18"/>
                <w:szCs w:val="18"/>
              </w:rPr>
              <w:t>84</w:t>
            </w:r>
          </w:p>
        </w:tc>
        <w:tc>
          <w:tcPr>
            <w:tcW w:w="567" w:type="dxa"/>
            <w:vAlign w:val="center"/>
          </w:tcPr>
          <w:p w14:paraId="7998B112" w14:textId="37DC9870" w:rsidR="00F8395E" w:rsidRPr="001B4CA2" w:rsidRDefault="00F8395E" w:rsidP="000E682B">
            <w:pPr>
              <w:jc w:val="center"/>
              <w:rPr>
                <w:rFonts w:eastAsia="Times New Roman"/>
                <w:sz w:val="18"/>
                <w:szCs w:val="18"/>
              </w:rPr>
            </w:pPr>
            <w:r w:rsidRPr="001B4CA2">
              <w:rPr>
                <w:rFonts w:eastAsia="Times New Roman"/>
                <w:sz w:val="18"/>
                <w:szCs w:val="18"/>
              </w:rPr>
              <w:t>24</w:t>
            </w:r>
          </w:p>
        </w:tc>
        <w:tc>
          <w:tcPr>
            <w:tcW w:w="545" w:type="dxa"/>
          </w:tcPr>
          <w:p w14:paraId="2F1457AE" w14:textId="77777777" w:rsidR="00F8395E" w:rsidRPr="001B4CA2" w:rsidRDefault="00F8395E" w:rsidP="000E682B">
            <w:pPr>
              <w:jc w:val="center"/>
              <w:rPr>
                <w:rFonts w:eastAsia="Times New Roman"/>
                <w:sz w:val="18"/>
                <w:szCs w:val="18"/>
              </w:rPr>
            </w:pPr>
          </w:p>
        </w:tc>
        <w:tc>
          <w:tcPr>
            <w:tcW w:w="709" w:type="dxa"/>
            <w:vAlign w:val="center"/>
          </w:tcPr>
          <w:p w14:paraId="26665818" w14:textId="3D4D725C" w:rsidR="00F8395E" w:rsidRPr="001B4CA2" w:rsidRDefault="00F8395E" w:rsidP="000E682B">
            <w:pPr>
              <w:jc w:val="center"/>
              <w:rPr>
                <w:rFonts w:eastAsia="Times New Roman"/>
                <w:sz w:val="18"/>
                <w:szCs w:val="18"/>
              </w:rPr>
            </w:pPr>
            <w:r w:rsidRPr="001B4CA2">
              <w:rPr>
                <w:rFonts w:eastAsia="Times New Roman"/>
                <w:sz w:val="18"/>
                <w:szCs w:val="18"/>
              </w:rPr>
              <w:t>679</w:t>
            </w:r>
          </w:p>
        </w:tc>
        <w:tc>
          <w:tcPr>
            <w:tcW w:w="632" w:type="dxa"/>
          </w:tcPr>
          <w:p w14:paraId="141D6151" w14:textId="77777777" w:rsidR="00F8395E" w:rsidRPr="001B4CA2" w:rsidRDefault="00F8395E" w:rsidP="000E682B">
            <w:pPr>
              <w:jc w:val="center"/>
              <w:rPr>
                <w:rFonts w:eastAsia="Times New Roman"/>
                <w:sz w:val="18"/>
                <w:szCs w:val="18"/>
              </w:rPr>
            </w:pPr>
          </w:p>
        </w:tc>
        <w:tc>
          <w:tcPr>
            <w:tcW w:w="523" w:type="dxa"/>
            <w:vAlign w:val="center"/>
          </w:tcPr>
          <w:p w14:paraId="7FB6F1B2" w14:textId="1003407A" w:rsidR="00F8395E" w:rsidRPr="001B4CA2" w:rsidRDefault="00F8395E" w:rsidP="000E682B">
            <w:pPr>
              <w:jc w:val="center"/>
              <w:rPr>
                <w:rFonts w:eastAsia="Times New Roman"/>
                <w:sz w:val="18"/>
                <w:szCs w:val="18"/>
              </w:rPr>
            </w:pPr>
            <w:r w:rsidRPr="001B4CA2">
              <w:rPr>
                <w:rFonts w:eastAsia="Times New Roman"/>
                <w:sz w:val="18"/>
                <w:szCs w:val="18"/>
              </w:rPr>
              <w:t>1.666</w:t>
            </w:r>
          </w:p>
        </w:tc>
      </w:tr>
      <w:tr w:rsidR="00F8395E" w:rsidRPr="001B4CA2" w14:paraId="4BCDA0F8" w14:textId="77777777" w:rsidTr="00F8395E">
        <w:trPr>
          <w:trHeight w:val="285"/>
          <w:jc w:val="center"/>
        </w:trPr>
        <w:tc>
          <w:tcPr>
            <w:tcW w:w="765" w:type="dxa"/>
            <w:tcMar>
              <w:top w:w="0" w:type="dxa"/>
              <w:left w:w="45" w:type="dxa"/>
              <w:bottom w:w="0" w:type="dxa"/>
              <w:right w:w="45" w:type="dxa"/>
            </w:tcMar>
            <w:vAlign w:val="center"/>
          </w:tcPr>
          <w:p w14:paraId="73793338" w14:textId="525FB7F3" w:rsidR="00F8395E" w:rsidRPr="001B4CA2" w:rsidRDefault="00F8395E" w:rsidP="000E682B">
            <w:pPr>
              <w:jc w:val="center"/>
              <w:rPr>
                <w:rFonts w:eastAsia="Times New Roman"/>
                <w:sz w:val="18"/>
                <w:szCs w:val="18"/>
              </w:rPr>
            </w:pPr>
            <w:r w:rsidRPr="001B4CA2">
              <w:rPr>
                <w:rFonts w:eastAsia="Times New Roman"/>
                <w:sz w:val="18"/>
                <w:szCs w:val="18"/>
              </w:rPr>
              <w:t>2022.</w:t>
            </w:r>
          </w:p>
        </w:tc>
        <w:tc>
          <w:tcPr>
            <w:tcW w:w="808" w:type="dxa"/>
            <w:tcMar>
              <w:top w:w="0" w:type="dxa"/>
              <w:left w:w="45" w:type="dxa"/>
              <w:bottom w:w="0" w:type="dxa"/>
              <w:right w:w="45" w:type="dxa"/>
            </w:tcMar>
            <w:vAlign w:val="center"/>
          </w:tcPr>
          <w:p w14:paraId="0BAED346" w14:textId="656DB320" w:rsidR="00F8395E" w:rsidRPr="001B4CA2" w:rsidRDefault="00F8395E" w:rsidP="000E682B">
            <w:pPr>
              <w:jc w:val="center"/>
              <w:rPr>
                <w:rFonts w:eastAsia="Times New Roman"/>
                <w:sz w:val="18"/>
                <w:szCs w:val="18"/>
              </w:rPr>
            </w:pPr>
          </w:p>
        </w:tc>
        <w:tc>
          <w:tcPr>
            <w:tcW w:w="578" w:type="dxa"/>
            <w:tcMar>
              <w:top w:w="0" w:type="dxa"/>
              <w:left w:w="45" w:type="dxa"/>
              <w:bottom w:w="0" w:type="dxa"/>
              <w:right w:w="45" w:type="dxa"/>
            </w:tcMar>
            <w:vAlign w:val="center"/>
          </w:tcPr>
          <w:p w14:paraId="4CEBD582" w14:textId="0F845B22" w:rsidR="00F8395E" w:rsidRPr="001B4CA2" w:rsidRDefault="00F8395E" w:rsidP="000E682B">
            <w:pPr>
              <w:jc w:val="center"/>
              <w:rPr>
                <w:rFonts w:eastAsia="Times New Roman"/>
                <w:sz w:val="18"/>
                <w:szCs w:val="18"/>
              </w:rPr>
            </w:pPr>
            <w:r w:rsidRPr="001B4CA2">
              <w:rPr>
                <w:rFonts w:eastAsia="Times New Roman"/>
                <w:sz w:val="18"/>
                <w:szCs w:val="18"/>
              </w:rPr>
              <w:t>606</w:t>
            </w:r>
          </w:p>
        </w:tc>
        <w:tc>
          <w:tcPr>
            <w:tcW w:w="578" w:type="dxa"/>
            <w:tcMar>
              <w:top w:w="0" w:type="dxa"/>
              <w:left w:w="45" w:type="dxa"/>
              <w:bottom w:w="0" w:type="dxa"/>
              <w:right w:w="45" w:type="dxa"/>
            </w:tcMar>
            <w:vAlign w:val="center"/>
          </w:tcPr>
          <w:p w14:paraId="0E6AB518" w14:textId="34D201A5" w:rsidR="00F8395E" w:rsidRPr="001B4CA2" w:rsidRDefault="00F8395E" w:rsidP="000E682B">
            <w:pPr>
              <w:jc w:val="center"/>
              <w:rPr>
                <w:rFonts w:eastAsia="Times New Roman"/>
                <w:sz w:val="18"/>
                <w:szCs w:val="18"/>
              </w:rPr>
            </w:pPr>
            <w:r w:rsidRPr="001B4CA2">
              <w:rPr>
                <w:rFonts w:eastAsia="Times New Roman"/>
                <w:sz w:val="18"/>
                <w:szCs w:val="18"/>
              </w:rPr>
              <w:t>606</w:t>
            </w:r>
          </w:p>
        </w:tc>
        <w:tc>
          <w:tcPr>
            <w:tcW w:w="1013" w:type="dxa"/>
            <w:shd w:val="clear" w:color="auto" w:fill="auto"/>
            <w:tcMar>
              <w:top w:w="0" w:type="dxa"/>
              <w:left w:w="45" w:type="dxa"/>
              <w:bottom w:w="0" w:type="dxa"/>
              <w:right w:w="45" w:type="dxa"/>
            </w:tcMar>
            <w:vAlign w:val="center"/>
          </w:tcPr>
          <w:p w14:paraId="2EB21D88" w14:textId="7B25C61A" w:rsidR="00F8395E" w:rsidRPr="001B4CA2" w:rsidRDefault="00F8395E" w:rsidP="000E682B">
            <w:pPr>
              <w:jc w:val="center"/>
              <w:rPr>
                <w:rFonts w:eastAsia="Times New Roman"/>
                <w:sz w:val="18"/>
                <w:szCs w:val="18"/>
              </w:rPr>
            </w:pPr>
            <w:r w:rsidRPr="001B4CA2">
              <w:rPr>
                <w:rFonts w:eastAsia="Times New Roman"/>
                <w:sz w:val="18"/>
                <w:szCs w:val="18"/>
              </w:rPr>
              <w:t>54</w:t>
            </w:r>
          </w:p>
        </w:tc>
        <w:tc>
          <w:tcPr>
            <w:tcW w:w="850" w:type="dxa"/>
            <w:tcMar>
              <w:top w:w="0" w:type="dxa"/>
              <w:left w:w="45" w:type="dxa"/>
              <w:bottom w:w="0" w:type="dxa"/>
              <w:right w:w="45" w:type="dxa"/>
            </w:tcMar>
            <w:vAlign w:val="center"/>
          </w:tcPr>
          <w:p w14:paraId="0223ACA6" w14:textId="4770BEC3" w:rsidR="00F8395E" w:rsidRPr="001B4CA2" w:rsidRDefault="00F8395E" w:rsidP="000E682B">
            <w:pPr>
              <w:jc w:val="center"/>
              <w:rPr>
                <w:rFonts w:eastAsia="Times New Roman"/>
                <w:sz w:val="18"/>
                <w:szCs w:val="18"/>
              </w:rPr>
            </w:pPr>
            <w:r w:rsidRPr="001B4CA2">
              <w:rPr>
                <w:rFonts w:eastAsia="Times New Roman"/>
                <w:sz w:val="18"/>
                <w:szCs w:val="18"/>
              </w:rPr>
              <w:t>577</w:t>
            </w:r>
          </w:p>
        </w:tc>
        <w:tc>
          <w:tcPr>
            <w:tcW w:w="611" w:type="dxa"/>
            <w:shd w:val="clear" w:color="auto" w:fill="auto"/>
            <w:tcMar>
              <w:top w:w="0" w:type="dxa"/>
              <w:left w:w="45" w:type="dxa"/>
              <w:bottom w:w="0" w:type="dxa"/>
              <w:right w:w="45" w:type="dxa"/>
            </w:tcMar>
            <w:vAlign w:val="center"/>
          </w:tcPr>
          <w:p w14:paraId="2DA2FF4C" w14:textId="390E716D" w:rsidR="00F8395E" w:rsidRPr="001B4CA2" w:rsidRDefault="00F8395E" w:rsidP="000E682B">
            <w:pPr>
              <w:jc w:val="center"/>
              <w:rPr>
                <w:rFonts w:eastAsia="Times New Roman"/>
                <w:sz w:val="18"/>
                <w:szCs w:val="18"/>
              </w:rPr>
            </w:pPr>
            <w:r w:rsidRPr="001B4CA2">
              <w:rPr>
                <w:rFonts w:eastAsia="Times New Roman"/>
                <w:sz w:val="18"/>
                <w:szCs w:val="18"/>
              </w:rPr>
              <w:t>55</w:t>
            </w:r>
          </w:p>
        </w:tc>
        <w:tc>
          <w:tcPr>
            <w:tcW w:w="567" w:type="dxa"/>
            <w:tcMar>
              <w:top w:w="0" w:type="dxa"/>
              <w:left w:w="45" w:type="dxa"/>
              <w:bottom w:w="0" w:type="dxa"/>
              <w:right w:w="45" w:type="dxa"/>
            </w:tcMar>
            <w:vAlign w:val="center"/>
          </w:tcPr>
          <w:p w14:paraId="6128D9C8" w14:textId="44AE9003" w:rsidR="00F8395E" w:rsidRPr="001B4CA2" w:rsidRDefault="00F8395E" w:rsidP="000E682B">
            <w:pPr>
              <w:jc w:val="center"/>
              <w:rPr>
                <w:rFonts w:eastAsia="Times New Roman"/>
                <w:sz w:val="18"/>
                <w:szCs w:val="18"/>
              </w:rPr>
            </w:pPr>
            <w:r w:rsidRPr="001B4CA2">
              <w:rPr>
                <w:rFonts w:eastAsia="Times New Roman"/>
                <w:sz w:val="18"/>
                <w:szCs w:val="18"/>
              </w:rPr>
              <w:t>15</w:t>
            </w:r>
          </w:p>
        </w:tc>
        <w:tc>
          <w:tcPr>
            <w:tcW w:w="567" w:type="dxa"/>
            <w:shd w:val="clear" w:color="auto" w:fill="auto"/>
            <w:tcMar>
              <w:top w:w="0" w:type="dxa"/>
              <w:left w:w="45" w:type="dxa"/>
              <w:bottom w:w="0" w:type="dxa"/>
              <w:right w:w="45" w:type="dxa"/>
            </w:tcMar>
            <w:vAlign w:val="center"/>
          </w:tcPr>
          <w:p w14:paraId="7737AFF6" w14:textId="52864250" w:rsidR="00F8395E" w:rsidRPr="001B4CA2" w:rsidRDefault="00F8395E" w:rsidP="000E682B">
            <w:pPr>
              <w:jc w:val="center"/>
              <w:rPr>
                <w:rFonts w:eastAsia="Times New Roman"/>
                <w:sz w:val="18"/>
                <w:szCs w:val="18"/>
              </w:rPr>
            </w:pPr>
            <w:r w:rsidRPr="001B4CA2">
              <w:rPr>
                <w:rFonts w:eastAsia="Times New Roman"/>
                <w:sz w:val="18"/>
                <w:szCs w:val="18"/>
              </w:rPr>
              <w:t>69</w:t>
            </w:r>
          </w:p>
        </w:tc>
        <w:tc>
          <w:tcPr>
            <w:tcW w:w="567" w:type="dxa"/>
            <w:vAlign w:val="center"/>
          </w:tcPr>
          <w:p w14:paraId="2E665632" w14:textId="20CC8723" w:rsidR="00F8395E" w:rsidRPr="001B4CA2" w:rsidRDefault="00F8395E" w:rsidP="000E682B">
            <w:pPr>
              <w:jc w:val="center"/>
              <w:rPr>
                <w:rFonts w:eastAsia="Times New Roman"/>
                <w:sz w:val="18"/>
                <w:szCs w:val="18"/>
              </w:rPr>
            </w:pPr>
            <w:r w:rsidRPr="001B4CA2">
              <w:rPr>
                <w:rFonts w:eastAsia="Times New Roman"/>
                <w:sz w:val="18"/>
                <w:szCs w:val="18"/>
              </w:rPr>
              <w:t>25</w:t>
            </w:r>
          </w:p>
        </w:tc>
        <w:tc>
          <w:tcPr>
            <w:tcW w:w="545" w:type="dxa"/>
            <w:vAlign w:val="center"/>
          </w:tcPr>
          <w:p w14:paraId="22B3F67C" w14:textId="2B16785D" w:rsidR="00F8395E" w:rsidRPr="001B4CA2" w:rsidRDefault="00F8395E" w:rsidP="000E682B">
            <w:pPr>
              <w:jc w:val="center"/>
              <w:rPr>
                <w:rFonts w:eastAsia="Times New Roman"/>
                <w:sz w:val="18"/>
                <w:szCs w:val="18"/>
              </w:rPr>
            </w:pPr>
            <w:r w:rsidRPr="001B4CA2">
              <w:rPr>
                <w:rFonts w:eastAsia="Times New Roman"/>
                <w:sz w:val="18"/>
                <w:szCs w:val="18"/>
              </w:rPr>
              <w:t>123</w:t>
            </w:r>
          </w:p>
        </w:tc>
        <w:tc>
          <w:tcPr>
            <w:tcW w:w="709" w:type="dxa"/>
            <w:vAlign w:val="center"/>
          </w:tcPr>
          <w:p w14:paraId="2705904F" w14:textId="59A2577C" w:rsidR="00F8395E" w:rsidRPr="001B4CA2" w:rsidRDefault="00F8395E" w:rsidP="000E682B">
            <w:pPr>
              <w:jc w:val="center"/>
              <w:rPr>
                <w:rFonts w:eastAsia="Times New Roman"/>
                <w:sz w:val="18"/>
                <w:szCs w:val="18"/>
              </w:rPr>
            </w:pPr>
            <w:r w:rsidRPr="001B4CA2">
              <w:rPr>
                <w:rFonts w:eastAsia="Times New Roman"/>
                <w:sz w:val="18"/>
                <w:szCs w:val="18"/>
              </w:rPr>
              <w:t>863</w:t>
            </w:r>
          </w:p>
        </w:tc>
        <w:tc>
          <w:tcPr>
            <w:tcW w:w="632" w:type="dxa"/>
          </w:tcPr>
          <w:p w14:paraId="7ECC8965" w14:textId="77777777" w:rsidR="00F8395E" w:rsidRPr="001B4CA2" w:rsidRDefault="00F8395E" w:rsidP="000E682B">
            <w:pPr>
              <w:jc w:val="center"/>
              <w:rPr>
                <w:rFonts w:eastAsia="Times New Roman"/>
                <w:sz w:val="18"/>
                <w:szCs w:val="18"/>
              </w:rPr>
            </w:pPr>
          </w:p>
        </w:tc>
        <w:tc>
          <w:tcPr>
            <w:tcW w:w="523" w:type="dxa"/>
            <w:vAlign w:val="center"/>
          </w:tcPr>
          <w:p w14:paraId="1B7DFFDE" w14:textId="6914AD0B" w:rsidR="00F8395E" w:rsidRPr="001B4CA2" w:rsidRDefault="00F8395E" w:rsidP="000E682B">
            <w:pPr>
              <w:jc w:val="center"/>
              <w:rPr>
                <w:rFonts w:eastAsia="Times New Roman"/>
                <w:sz w:val="18"/>
                <w:szCs w:val="18"/>
              </w:rPr>
            </w:pPr>
            <w:r w:rsidRPr="001B4CA2">
              <w:rPr>
                <w:rFonts w:eastAsia="Times New Roman"/>
                <w:sz w:val="18"/>
                <w:szCs w:val="18"/>
              </w:rPr>
              <w:t>2.456</w:t>
            </w:r>
          </w:p>
        </w:tc>
      </w:tr>
    </w:tbl>
    <w:p w14:paraId="73F30B5F" w14:textId="77777777" w:rsidR="00500D12" w:rsidRPr="001B4CA2" w:rsidRDefault="00500D12" w:rsidP="007C5E8A"/>
    <w:p w14:paraId="0100F7FD" w14:textId="77777777" w:rsidR="00F8395E" w:rsidRPr="001B4CA2" w:rsidRDefault="00F8395E" w:rsidP="00F8395E">
      <w:pPr>
        <w:ind w:firstLine="708"/>
      </w:pPr>
      <w:r w:rsidRPr="001B4CA2">
        <w:lastRenderedPageBreak/>
        <w:t>U izvještajnom razdoblju, u povodu podignutih optužnica, županijski su sudovi donijeli odluke u odnosu na 679 osoba, što čini porast u odnosu na prethodno izvještajno razdoblje od 95 osoba (13,99 %).</w:t>
      </w:r>
    </w:p>
    <w:p w14:paraId="1D365B03" w14:textId="77777777" w:rsidR="00F8395E" w:rsidRPr="001B4CA2" w:rsidRDefault="00F8395E" w:rsidP="00F8395E"/>
    <w:p w14:paraId="494E3B1C" w14:textId="1DE75A27" w:rsidR="00F8395E" w:rsidRPr="001B4CA2" w:rsidRDefault="00F8395E" w:rsidP="00F8395E">
      <w:pPr>
        <w:ind w:firstLine="708"/>
      </w:pPr>
      <w:r w:rsidRPr="001B4CA2">
        <w:t>U strukturi sudskih odluka najzastupljenije su osuđujuće presude s udjelom od 80,56</w:t>
      </w:r>
      <w:r w:rsidR="00166CCE">
        <w:t> </w:t>
      </w:r>
      <w:r w:rsidRPr="001B4CA2">
        <w:t>%. Oslobađajuće presude sudjeluju s 12,37 % u strukturi donesenih odluka (protiv takvih presuda državna odvjetništva u pravilu ulažu žalbe), a odbijajuće presude sudjeluju s 3,53 %, dok je obustava postupka nakon potvrđivanja optužnice uslijedila u odnosu na 1,33 % osoba, pri čemu su razlozi takvih obustava najčešće smrt optuženika i njihova raspravna nesposobnost.</w:t>
      </w:r>
    </w:p>
    <w:p w14:paraId="593E8F47" w14:textId="77777777" w:rsidR="00F8395E" w:rsidRPr="001B4CA2" w:rsidRDefault="00F8395E" w:rsidP="00F8395E"/>
    <w:p w14:paraId="500B80BE" w14:textId="77777777" w:rsidR="00F8395E" w:rsidRPr="001B4CA2" w:rsidRDefault="00F8395E" w:rsidP="00F8395E">
      <w:pPr>
        <w:ind w:firstLine="708"/>
      </w:pPr>
      <w:r w:rsidRPr="001B4CA2">
        <w:t>Iz tabličnog prikaza vidljivo je kako nema bitnijih odstupanja u strukturi donesenih sudskih odluka u odnosu na prethodna izvještajna razdoblja.</w:t>
      </w:r>
    </w:p>
    <w:p w14:paraId="2A0A1017" w14:textId="4CC7A14D" w:rsidR="007C5E8A" w:rsidRPr="001B4CA2" w:rsidRDefault="007C5E8A" w:rsidP="007C5E8A"/>
    <w:p w14:paraId="54EA8BB9" w14:textId="098380AC" w:rsidR="0085406E" w:rsidRPr="001B4CA2" w:rsidRDefault="00CE234E" w:rsidP="005A0983">
      <w:pPr>
        <w:pStyle w:val="Naslov4"/>
        <w:tabs>
          <w:tab w:val="left" w:pos="1418"/>
          <w:tab w:val="left" w:pos="1701"/>
        </w:tabs>
        <w:ind w:left="851" w:firstLine="0"/>
        <w:rPr>
          <w:rFonts w:ascii="Arial" w:hAnsi="Arial" w:cs="Arial"/>
        </w:rPr>
      </w:pPr>
      <w:bookmarkStart w:id="80" w:name="_Toc133394340"/>
      <w:r w:rsidRPr="001B4CA2">
        <w:rPr>
          <w:rFonts w:ascii="Arial" w:hAnsi="Arial" w:cs="Arial"/>
        </w:rPr>
        <w:t>Kaznene sankcije</w:t>
      </w:r>
      <w:bookmarkEnd w:id="80"/>
    </w:p>
    <w:p w14:paraId="3CF6780B" w14:textId="77777777" w:rsidR="00C45F97" w:rsidRPr="001B4CA2" w:rsidRDefault="00C45F97" w:rsidP="00C45F97"/>
    <w:p w14:paraId="7F99E8AA" w14:textId="77777777" w:rsidR="00F8395E" w:rsidRPr="001B4CA2" w:rsidRDefault="00F8395E" w:rsidP="00F8395E">
      <w:pPr>
        <w:rPr>
          <w:i/>
        </w:rPr>
      </w:pPr>
      <w:r w:rsidRPr="001B4CA2">
        <w:rPr>
          <w:i/>
        </w:rPr>
        <w:t>Broj i vrsta izrečenih kazni (bez maloljetnih osoba)</w:t>
      </w:r>
    </w:p>
    <w:tbl>
      <w:tblPr>
        <w:tblStyle w:val="Reetkatablice81"/>
        <w:tblW w:w="9038" w:type="dxa"/>
        <w:jc w:val="center"/>
        <w:tblLook w:val="04A0" w:firstRow="1" w:lastRow="0" w:firstColumn="1" w:lastColumn="0" w:noHBand="0" w:noVBand="1"/>
      </w:tblPr>
      <w:tblGrid>
        <w:gridCol w:w="837"/>
        <w:gridCol w:w="691"/>
        <w:gridCol w:w="691"/>
        <w:gridCol w:w="679"/>
        <w:gridCol w:w="679"/>
        <w:gridCol w:w="678"/>
        <w:gridCol w:w="690"/>
        <w:gridCol w:w="678"/>
        <w:gridCol w:w="679"/>
        <w:gridCol w:w="678"/>
        <w:gridCol w:w="679"/>
        <w:gridCol w:w="689"/>
        <w:gridCol w:w="690"/>
      </w:tblGrid>
      <w:tr w:rsidR="00F8395E" w:rsidRPr="001B4CA2" w14:paraId="6AEBF12A" w14:textId="77777777" w:rsidTr="00540F85">
        <w:trPr>
          <w:cantSplit/>
          <w:trHeight w:val="1466"/>
          <w:jc w:val="center"/>
        </w:trPr>
        <w:tc>
          <w:tcPr>
            <w:tcW w:w="587" w:type="dxa"/>
            <w:shd w:val="clear" w:color="auto" w:fill="99CCFF"/>
            <w:vAlign w:val="center"/>
          </w:tcPr>
          <w:p w14:paraId="4E7FC4F5" w14:textId="77777777" w:rsidR="00F8395E" w:rsidRPr="001B4CA2" w:rsidRDefault="00F8395E" w:rsidP="002A38E7">
            <w:pPr>
              <w:jc w:val="left"/>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Godina</w:t>
            </w:r>
          </w:p>
        </w:tc>
        <w:tc>
          <w:tcPr>
            <w:tcW w:w="707" w:type="dxa"/>
            <w:shd w:val="clear" w:color="auto" w:fill="99CCFF"/>
            <w:textDirection w:val="btLr"/>
            <w:vAlign w:val="center"/>
          </w:tcPr>
          <w:p w14:paraId="16B3C6F2" w14:textId="77777777" w:rsidR="00F8395E" w:rsidRPr="001B4CA2" w:rsidRDefault="00F8395E" w:rsidP="002A38E7">
            <w:pPr>
              <w:ind w:left="113" w:right="113"/>
              <w:jc w:val="left"/>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Osuđujuća presuda</w:t>
            </w:r>
          </w:p>
        </w:tc>
        <w:tc>
          <w:tcPr>
            <w:tcW w:w="707" w:type="dxa"/>
            <w:shd w:val="clear" w:color="auto" w:fill="99CCFF"/>
            <w:textDirection w:val="btLr"/>
            <w:vAlign w:val="center"/>
          </w:tcPr>
          <w:p w14:paraId="09E3E086" w14:textId="77777777" w:rsidR="00F8395E" w:rsidRPr="001B4CA2" w:rsidRDefault="00F8395E" w:rsidP="002A38E7">
            <w:pPr>
              <w:ind w:left="113" w:right="113"/>
              <w:jc w:val="left"/>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Zatvor</w:t>
            </w:r>
          </w:p>
        </w:tc>
        <w:tc>
          <w:tcPr>
            <w:tcW w:w="702" w:type="dxa"/>
            <w:shd w:val="clear" w:color="auto" w:fill="99CCFF"/>
            <w:textDirection w:val="btLr"/>
            <w:vAlign w:val="center"/>
          </w:tcPr>
          <w:p w14:paraId="06292769" w14:textId="77777777" w:rsidR="00F8395E" w:rsidRPr="001B4CA2" w:rsidRDefault="00F8395E" w:rsidP="002A38E7">
            <w:pPr>
              <w:ind w:left="113" w:right="113"/>
              <w:jc w:val="left"/>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Od toga dugotrajni zatvor</w:t>
            </w:r>
          </w:p>
        </w:tc>
        <w:tc>
          <w:tcPr>
            <w:tcW w:w="703" w:type="dxa"/>
            <w:shd w:val="clear" w:color="auto" w:fill="99CCFF"/>
            <w:textDirection w:val="btLr"/>
            <w:vAlign w:val="center"/>
          </w:tcPr>
          <w:p w14:paraId="73D9997E" w14:textId="77777777" w:rsidR="00F8395E" w:rsidRPr="001B4CA2" w:rsidRDefault="00F8395E" w:rsidP="002A38E7">
            <w:pPr>
              <w:ind w:left="113" w:right="113"/>
              <w:jc w:val="left"/>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Od toga rad za opće dobro</w:t>
            </w:r>
          </w:p>
        </w:tc>
        <w:tc>
          <w:tcPr>
            <w:tcW w:w="702" w:type="dxa"/>
            <w:shd w:val="clear" w:color="auto" w:fill="99CCFF"/>
            <w:textDirection w:val="btLr"/>
            <w:vAlign w:val="center"/>
          </w:tcPr>
          <w:p w14:paraId="7DE2795F" w14:textId="77777777" w:rsidR="00F8395E" w:rsidRPr="001B4CA2" w:rsidRDefault="00F8395E" w:rsidP="002A38E7">
            <w:pPr>
              <w:ind w:left="113" w:right="113"/>
              <w:jc w:val="left"/>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Novčana kazna</w:t>
            </w:r>
          </w:p>
        </w:tc>
        <w:tc>
          <w:tcPr>
            <w:tcW w:w="707" w:type="dxa"/>
            <w:shd w:val="clear" w:color="auto" w:fill="99CCFF"/>
            <w:textDirection w:val="btLr"/>
            <w:vAlign w:val="center"/>
          </w:tcPr>
          <w:p w14:paraId="7457226D" w14:textId="77777777" w:rsidR="00F8395E" w:rsidRPr="001B4CA2" w:rsidRDefault="00F8395E" w:rsidP="002A38E7">
            <w:pPr>
              <w:ind w:left="113" w:right="113"/>
              <w:jc w:val="left"/>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Uvjetna osuda</w:t>
            </w:r>
          </w:p>
        </w:tc>
        <w:tc>
          <w:tcPr>
            <w:tcW w:w="702" w:type="dxa"/>
            <w:shd w:val="clear" w:color="auto" w:fill="99CCFF"/>
            <w:textDirection w:val="btLr"/>
            <w:vAlign w:val="center"/>
          </w:tcPr>
          <w:p w14:paraId="4DD0A59C" w14:textId="77777777" w:rsidR="00F8395E" w:rsidRPr="001B4CA2" w:rsidRDefault="00F8395E" w:rsidP="002A38E7">
            <w:pPr>
              <w:ind w:left="113" w:right="113"/>
              <w:jc w:val="left"/>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Sudska opomena</w:t>
            </w:r>
          </w:p>
        </w:tc>
        <w:tc>
          <w:tcPr>
            <w:tcW w:w="703" w:type="dxa"/>
            <w:shd w:val="clear" w:color="auto" w:fill="99CCFF"/>
            <w:textDirection w:val="btLr"/>
            <w:vAlign w:val="center"/>
          </w:tcPr>
          <w:p w14:paraId="586E2ECE" w14:textId="77777777" w:rsidR="00F8395E" w:rsidRPr="001B4CA2" w:rsidRDefault="00F8395E" w:rsidP="002A38E7">
            <w:pPr>
              <w:ind w:left="113" w:right="113"/>
              <w:jc w:val="left"/>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Prestanak pravne osobe</w:t>
            </w:r>
          </w:p>
        </w:tc>
        <w:tc>
          <w:tcPr>
            <w:tcW w:w="702" w:type="dxa"/>
            <w:shd w:val="clear" w:color="auto" w:fill="99CCFF"/>
            <w:textDirection w:val="btLr"/>
            <w:vAlign w:val="center"/>
          </w:tcPr>
          <w:p w14:paraId="16068C93" w14:textId="77777777" w:rsidR="00F8395E" w:rsidRPr="001B4CA2" w:rsidRDefault="00F8395E" w:rsidP="002A38E7">
            <w:pPr>
              <w:ind w:left="113" w:right="113"/>
              <w:jc w:val="left"/>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Maloljetničke sankcije</w:t>
            </w:r>
          </w:p>
        </w:tc>
        <w:tc>
          <w:tcPr>
            <w:tcW w:w="703" w:type="dxa"/>
            <w:shd w:val="clear" w:color="auto" w:fill="99CCFF"/>
            <w:textDirection w:val="btLr"/>
            <w:vAlign w:val="center"/>
          </w:tcPr>
          <w:p w14:paraId="144BA0EC" w14:textId="77777777" w:rsidR="00F8395E" w:rsidRPr="001B4CA2" w:rsidRDefault="00F8395E" w:rsidP="002A38E7">
            <w:pPr>
              <w:ind w:left="113" w:right="113"/>
              <w:jc w:val="left"/>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Oslobođeno od kazne</w:t>
            </w:r>
          </w:p>
        </w:tc>
        <w:tc>
          <w:tcPr>
            <w:tcW w:w="706" w:type="dxa"/>
            <w:shd w:val="clear" w:color="auto" w:fill="99CCFF"/>
            <w:textDirection w:val="btLr"/>
            <w:vAlign w:val="center"/>
          </w:tcPr>
          <w:p w14:paraId="34693615" w14:textId="77777777" w:rsidR="00F8395E" w:rsidRPr="001B4CA2" w:rsidRDefault="00F8395E" w:rsidP="002A38E7">
            <w:pPr>
              <w:ind w:left="113" w:right="113"/>
              <w:jc w:val="left"/>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Ostalo</w:t>
            </w:r>
          </w:p>
        </w:tc>
        <w:tc>
          <w:tcPr>
            <w:tcW w:w="707" w:type="dxa"/>
            <w:shd w:val="clear" w:color="auto" w:fill="99CCFF"/>
            <w:textDirection w:val="btLr"/>
            <w:vAlign w:val="center"/>
          </w:tcPr>
          <w:p w14:paraId="434C8DE2" w14:textId="77777777" w:rsidR="00F8395E" w:rsidRPr="001B4CA2" w:rsidRDefault="00F8395E" w:rsidP="002A38E7">
            <w:pPr>
              <w:ind w:left="113" w:right="113"/>
              <w:jc w:val="left"/>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Ukupno sankcija</w:t>
            </w:r>
          </w:p>
        </w:tc>
      </w:tr>
      <w:tr w:rsidR="00F8395E" w:rsidRPr="001B4CA2" w14:paraId="1E8F6B2D" w14:textId="77777777" w:rsidTr="00540F85">
        <w:trPr>
          <w:trHeight w:val="284"/>
          <w:jc w:val="center"/>
        </w:trPr>
        <w:tc>
          <w:tcPr>
            <w:tcW w:w="587" w:type="dxa"/>
            <w:shd w:val="clear" w:color="auto" w:fill="auto"/>
            <w:vAlign w:val="center"/>
          </w:tcPr>
          <w:p w14:paraId="788FBED5"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2018.</w:t>
            </w:r>
          </w:p>
        </w:tc>
        <w:tc>
          <w:tcPr>
            <w:tcW w:w="707" w:type="dxa"/>
            <w:shd w:val="clear" w:color="auto" w:fill="auto"/>
            <w:vAlign w:val="center"/>
          </w:tcPr>
          <w:p w14:paraId="3D98E4D8"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404</w:t>
            </w:r>
          </w:p>
        </w:tc>
        <w:tc>
          <w:tcPr>
            <w:tcW w:w="707" w:type="dxa"/>
            <w:shd w:val="clear" w:color="auto" w:fill="auto"/>
            <w:vAlign w:val="center"/>
          </w:tcPr>
          <w:p w14:paraId="2D9008DD"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224</w:t>
            </w:r>
          </w:p>
        </w:tc>
        <w:tc>
          <w:tcPr>
            <w:tcW w:w="702" w:type="dxa"/>
            <w:shd w:val="clear" w:color="auto" w:fill="auto"/>
            <w:vAlign w:val="center"/>
          </w:tcPr>
          <w:p w14:paraId="09B0CA53"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6</w:t>
            </w:r>
          </w:p>
        </w:tc>
        <w:tc>
          <w:tcPr>
            <w:tcW w:w="703" w:type="dxa"/>
            <w:shd w:val="clear" w:color="auto" w:fill="auto"/>
            <w:vAlign w:val="center"/>
          </w:tcPr>
          <w:p w14:paraId="5E4E82EE"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34</w:t>
            </w:r>
          </w:p>
        </w:tc>
        <w:tc>
          <w:tcPr>
            <w:tcW w:w="702" w:type="dxa"/>
            <w:shd w:val="clear" w:color="auto" w:fill="auto"/>
            <w:vAlign w:val="center"/>
          </w:tcPr>
          <w:p w14:paraId="0501C7D2"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w:t>
            </w:r>
          </w:p>
        </w:tc>
        <w:tc>
          <w:tcPr>
            <w:tcW w:w="707" w:type="dxa"/>
            <w:shd w:val="clear" w:color="auto" w:fill="auto"/>
            <w:vAlign w:val="center"/>
          </w:tcPr>
          <w:p w14:paraId="305B7139"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119</w:t>
            </w:r>
          </w:p>
        </w:tc>
        <w:tc>
          <w:tcPr>
            <w:tcW w:w="702" w:type="dxa"/>
            <w:shd w:val="clear" w:color="auto" w:fill="auto"/>
            <w:vAlign w:val="center"/>
          </w:tcPr>
          <w:p w14:paraId="3F135872"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3" w:type="dxa"/>
            <w:shd w:val="clear" w:color="auto" w:fill="auto"/>
            <w:vAlign w:val="center"/>
          </w:tcPr>
          <w:p w14:paraId="6434E4DA"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2" w:type="dxa"/>
            <w:vAlign w:val="center"/>
          </w:tcPr>
          <w:p w14:paraId="5C3C7E6C"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3" w:type="dxa"/>
            <w:vAlign w:val="center"/>
          </w:tcPr>
          <w:p w14:paraId="17CADF69"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6" w:type="dxa"/>
            <w:vAlign w:val="center"/>
          </w:tcPr>
          <w:p w14:paraId="5CE98161"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19</w:t>
            </w:r>
          </w:p>
        </w:tc>
        <w:tc>
          <w:tcPr>
            <w:tcW w:w="707" w:type="dxa"/>
            <w:vAlign w:val="center"/>
          </w:tcPr>
          <w:p w14:paraId="051555F6"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404</w:t>
            </w:r>
          </w:p>
        </w:tc>
      </w:tr>
      <w:tr w:rsidR="00F8395E" w:rsidRPr="001B4CA2" w14:paraId="6DDDBB62" w14:textId="77777777" w:rsidTr="00540F85">
        <w:trPr>
          <w:trHeight w:val="284"/>
          <w:jc w:val="center"/>
        </w:trPr>
        <w:tc>
          <w:tcPr>
            <w:tcW w:w="587" w:type="dxa"/>
            <w:shd w:val="clear" w:color="auto" w:fill="auto"/>
            <w:vAlign w:val="center"/>
          </w:tcPr>
          <w:p w14:paraId="7F0F68A6"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2019.</w:t>
            </w:r>
          </w:p>
        </w:tc>
        <w:tc>
          <w:tcPr>
            <w:tcW w:w="707" w:type="dxa"/>
            <w:shd w:val="clear" w:color="auto" w:fill="auto"/>
            <w:vAlign w:val="center"/>
          </w:tcPr>
          <w:p w14:paraId="0D2E9734"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436</w:t>
            </w:r>
          </w:p>
        </w:tc>
        <w:tc>
          <w:tcPr>
            <w:tcW w:w="707" w:type="dxa"/>
            <w:shd w:val="clear" w:color="auto" w:fill="auto"/>
            <w:vAlign w:val="center"/>
          </w:tcPr>
          <w:p w14:paraId="4F6B52C6"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279</w:t>
            </w:r>
          </w:p>
        </w:tc>
        <w:tc>
          <w:tcPr>
            <w:tcW w:w="702" w:type="dxa"/>
            <w:shd w:val="clear" w:color="auto" w:fill="auto"/>
            <w:vAlign w:val="center"/>
          </w:tcPr>
          <w:p w14:paraId="63534833"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3</w:t>
            </w:r>
          </w:p>
        </w:tc>
        <w:tc>
          <w:tcPr>
            <w:tcW w:w="703" w:type="dxa"/>
            <w:shd w:val="clear" w:color="auto" w:fill="auto"/>
            <w:vAlign w:val="center"/>
          </w:tcPr>
          <w:p w14:paraId="0D05B74E"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25</w:t>
            </w:r>
          </w:p>
        </w:tc>
        <w:tc>
          <w:tcPr>
            <w:tcW w:w="702" w:type="dxa"/>
            <w:shd w:val="clear" w:color="auto" w:fill="auto"/>
            <w:vAlign w:val="center"/>
          </w:tcPr>
          <w:p w14:paraId="2F55D898"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w:t>
            </w:r>
          </w:p>
        </w:tc>
        <w:tc>
          <w:tcPr>
            <w:tcW w:w="707" w:type="dxa"/>
            <w:shd w:val="clear" w:color="auto" w:fill="auto"/>
            <w:vAlign w:val="center"/>
          </w:tcPr>
          <w:p w14:paraId="0B630DF9"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111</w:t>
            </w:r>
          </w:p>
        </w:tc>
        <w:tc>
          <w:tcPr>
            <w:tcW w:w="702" w:type="dxa"/>
            <w:shd w:val="clear" w:color="auto" w:fill="auto"/>
            <w:vAlign w:val="center"/>
          </w:tcPr>
          <w:p w14:paraId="721BB942"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3" w:type="dxa"/>
            <w:shd w:val="clear" w:color="auto" w:fill="auto"/>
            <w:vAlign w:val="center"/>
          </w:tcPr>
          <w:p w14:paraId="2C9F14D6"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2" w:type="dxa"/>
            <w:vAlign w:val="center"/>
          </w:tcPr>
          <w:p w14:paraId="6DEF12F5"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3" w:type="dxa"/>
            <w:vAlign w:val="center"/>
          </w:tcPr>
          <w:p w14:paraId="07B72A35"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6" w:type="dxa"/>
            <w:vAlign w:val="center"/>
          </w:tcPr>
          <w:p w14:paraId="18DAE7A2"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436</w:t>
            </w:r>
          </w:p>
        </w:tc>
        <w:tc>
          <w:tcPr>
            <w:tcW w:w="707" w:type="dxa"/>
            <w:vAlign w:val="center"/>
          </w:tcPr>
          <w:p w14:paraId="20F4E40E"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856</w:t>
            </w:r>
          </w:p>
        </w:tc>
      </w:tr>
      <w:tr w:rsidR="00F8395E" w:rsidRPr="001B4CA2" w14:paraId="7F5A097F" w14:textId="77777777" w:rsidTr="00540F85">
        <w:trPr>
          <w:trHeight w:val="284"/>
          <w:jc w:val="center"/>
        </w:trPr>
        <w:tc>
          <w:tcPr>
            <w:tcW w:w="587" w:type="dxa"/>
            <w:shd w:val="clear" w:color="auto" w:fill="auto"/>
            <w:vAlign w:val="center"/>
          </w:tcPr>
          <w:p w14:paraId="6E6A97AF"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2020.</w:t>
            </w:r>
          </w:p>
        </w:tc>
        <w:tc>
          <w:tcPr>
            <w:tcW w:w="707" w:type="dxa"/>
            <w:shd w:val="clear" w:color="auto" w:fill="auto"/>
            <w:vAlign w:val="center"/>
          </w:tcPr>
          <w:p w14:paraId="0A4A02CC"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484</w:t>
            </w:r>
          </w:p>
        </w:tc>
        <w:tc>
          <w:tcPr>
            <w:tcW w:w="707" w:type="dxa"/>
            <w:shd w:val="clear" w:color="auto" w:fill="auto"/>
            <w:vAlign w:val="center"/>
          </w:tcPr>
          <w:p w14:paraId="545A0714"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395</w:t>
            </w:r>
          </w:p>
        </w:tc>
        <w:tc>
          <w:tcPr>
            <w:tcW w:w="702" w:type="dxa"/>
            <w:shd w:val="clear" w:color="auto" w:fill="auto"/>
            <w:vAlign w:val="center"/>
          </w:tcPr>
          <w:p w14:paraId="1CCE623C"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5</w:t>
            </w:r>
          </w:p>
        </w:tc>
        <w:tc>
          <w:tcPr>
            <w:tcW w:w="703" w:type="dxa"/>
            <w:shd w:val="clear" w:color="auto" w:fill="auto"/>
            <w:vAlign w:val="center"/>
          </w:tcPr>
          <w:p w14:paraId="349B54B7"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14</w:t>
            </w:r>
          </w:p>
        </w:tc>
        <w:tc>
          <w:tcPr>
            <w:tcW w:w="702" w:type="dxa"/>
            <w:shd w:val="clear" w:color="auto" w:fill="auto"/>
            <w:vAlign w:val="center"/>
          </w:tcPr>
          <w:p w14:paraId="460DBDCE"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11</w:t>
            </w:r>
          </w:p>
        </w:tc>
        <w:tc>
          <w:tcPr>
            <w:tcW w:w="707" w:type="dxa"/>
            <w:shd w:val="clear" w:color="auto" w:fill="auto"/>
            <w:vAlign w:val="center"/>
          </w:tcPr>
          <w:p w14:paraId="18377310"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78</w:t>
            </w:r>
          </w:p>
        </w:tc>
        <w:tc>
          <w:tcPr>
            <w:tcW w:w="702" w:type="dxa"/>
            <w:shd w:val="clear" w:color="auto" w:fill="auto"/>
            <w:vAlign w:val="center"/>
          </w:tcPr>
          <w:p w14:paraId="2245DD85"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3" w:type="dxa"/>
            <w:shd w:val="clear" w:color="auto" w:fill="auto"/>
            <w:vAlign w:val="center"/>
          </w:tcPr>
          <w:p w14:paraId="6D4FED56"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2" w:type="dxa"/>
            <w:vAlign w:val="center"/>
          </w:tcPr>
          <w:p w14:paraId="2E50FB06"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3" w:type="dxa"/>
            <w:vAlign w:val="center"/>
          </w:tcPr>
          <w:p w14:paraId="73BAD58A"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6" w:type="dxa"/>
            <w:vAlign w:val="center"/>
          </w:tcPr>
          <w:p w14:paraId="619F1075"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7" w:type="dxa"/>
            <w:vAlign w:val="center"/>
          </w:tcPr>
          <w:p w14:paraId="2E474620"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484</w:t>
            </w:r>
          </w:p>
        </w:tc>
      </w:tr>
      <w:tr w:rsidR="00F8395E" w:rsidRPr="001B4CA2" w14:paraId="3833D1EB" w14:textId="77777777" w:rsidTr="00540F85">
        <w:trPr>
          <w:trHeight w:val="284"/>
          <w:jc w:val="center"/>
        </w:trPr>
        <w:tc>
          <w:tcPr>
            <w:tcW w:w="587" w:type="dxa"/>
            <w:shd w:val="clear" w:color="auto" w:fill="auto"/>
            <w:vAlign w:val="center"/>
          </w:tcPr>
          <w:p w14:paraId="3C2B3F1A"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2021.</w:t>
            </w:r>
          </w:p>
        </w:tc>
        <w:tc>
          <w:tcPr>
            <w:tcW w:w="707" w:type="dxa"/>
            <w:shd w:val="clear" w:color="auto" w:fill="auto"/>
            <w:vAlign w:val="center"/>
          </w:tcPr>
          <w:p w14:paraId="6220ACEC"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547</w:t>
            </w:r>
          </w:p>
        </w:tc>
        <w:tc>
          <w:tcPr>
            <w:tcW w:w="707" w:type="dxa"/>
            <w:shd w:val="clear" w:color="auto" w:fill="auto"/>
            <w:vAlign w:val="center"/>
          </w:tcPr>
          <w:p w14:paraId="1A96C9D4"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447</w:t>
            </w:r>
          </w:p>
        </w:tc>
        <w:tc>
          <w:tcPr>
            <w:tcW w:w="702" w:type="dxa"/>
            <w:shd w:val="clear" w:color="auto" w:fill="auto"/>
            <w:vAlign w:val="center"/>
          </w:tcPr>
          <w:p w14:paraId="25C999AB"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13</w:t>
            </w:r>
          </w:p>
        </w:tc>
        <w:tc>
          <w:tcPr>
            <w:tcW w:w="703" w:type="dxa"/>
            <w:shd w:val="clear" w:color="auto" w:fill="auto"/>
            <w:vAlign w:val="center"/>
          </w:tcPr>
          <w:p w14:paraId="4218EBD2"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9</w:t>
            </w:r>
          </w:p>
        </w:tc>
        <w:tc>
          <w:tcPr>
            <w:tcW w:w="702" w:type="dxa"/>
            <w:shd w:val="clear" w:color="auto" w:fill="auto"/>
            <w:vAlign w:val="center"/>
          </w:tcPr>
          <w:p w14:paraId="511BA1B1"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6</w:t>
            </w:r>
          </w:p>
        </w:tc>
        <w:tc>
          <w:tcPr>
            <w:tcW w:w="707" w:type="dxa"/>
            <w:shd w:val="clear" w:color="auto" w:fill="auto"/>
            <w:vAlign w:val="center"/>
          </w:tcPr>
          <w:p w14:paraId="2C16EB4E"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86</w:t>
            </w:r>
          </w:p>
        </w:tc>
        <w:tc>
          <w:tcPr>
            <w:tcW w:w="702" w:type="dxa"/>
            <w:shd w:val="clear" w:color="auto" w:fill="auto"/>
            <w:vAlign w:val="center"/>
          </w:tcPr>
          <w:p w14:paraId="064DC750"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3" w:type="dxa"/>
            <w:shd w:val="clear" w:color="auto" w:fill="auto"/>
            <w:vAlign w:val="center"/>
          </w:tcPr>
          <w:p w14:paraId="70E3EF79"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2" w:type="dxa"/>
            <w:vAlign w:val="center"/>
          </w:tcPr>
          <w:p w14:paraId="7366E3A0"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8</w:t>
            </w:r>
          </w:p>
        </w:tc>
        <w:tc>
          <w:tcPr>
            <w:tcW w:w="703" w:type="dxa"/>
            <w:vAlign w:val="center"/>
          </w:tcPr>
          <w:p w14:paraId="4D3755E7"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6" w:type="dxa"/>
            <w:vAlign w:val="center"/>
          </w:tcPr>
          <w:p w14:paraId="5EE76498" w14:textId="77777777" w:rsidR="00F8395E" w:rsidRPr="001B4CA2" w:rsidRDefault="00F8395E" w:rsidP="002A38E7">
            <w:pPr>
              <w:jc w:val="center"/>
              <w:rPr>
                <w:rFonts w:asciiTheme="minorHAnsi" w:eastAsia="Times New Roman" w:hAnsiTheme="minorHAnsi" w:cstheme="minorHAnsi"/>
                <w:sz w:val="18"/>
                <w:szCs w:val="18"/>
                <w:lang w:eastAsia="hr-HR"/>
              </w:rPr>
            </w:pPr>
          </w:p>
        </w:tc>
        <w:tc>
          <w:tcPr>
            <w:tcW w:w="707" w:type="dxa"/>
            <w:vAlign w:val="center"/>
          </w:tcPr>
          <w:p w14:paraId="6E0B07B6"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547</w:t>
            </w:r>
          </w:p>
        </w:tc>
      </w:tr>
      <w:tr w:rsidR="00F8395E" w:rsidRPr="001B4CA2" w14:paraId="57031B30" w14:textId="77777777" w:rsidTr="00540F85">
        <w:trPr>
          <w:trHeight w:val="284"/>
          <w:jc w:val="center"/>
        </w:trPr>
        <w:tc>
          <w:tcPr>
            <w:tcW w:w="587" w:type="dxa"/>
            <w:shd w:val="clear" w:color="auto" w:fill="auto"/>
            <w:vAlign w:val="center"/>
          </w:tcPr>
          <w:p w14:paraId="37090781"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hAnsiTheme="minorHAnsi" w:cstheme="minorHAnsi"/>
                <w:color w:val="000000"/>
                <w:sz w:val="18"/>
                <w:szCs w:val="18"/>
              </w:rPr>
              <w:t>2022.</w:t>
            </w:r>
          </w:p>
        </w:tc>
        <w:tc>
          <w:tcPr>
            <w:tcW w:w="707" w:type="dxa"/>
            <w:shd w:val="clear" w:color="auto" w:fill="auto"/>
            <w:vAlign w:val="center"/>
          </w:tcPr>
          <w:p w14:paraId="70719F40"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hAnsiTheme="minorHAnsi" w:cstheme="minorHAnsi"/>
                <w:color w:val="000000"/>
                <w:sz w:val="18"/>
                <w:szCs w:val="18"/>
              </w:rPr>
              <w:t>577</w:t>
            </w:r>
          </w:p>
        </w:tc>
        <w:tc>
          <w:tcPr>
            <w:tcW w:w="707" w:type="dxa"/>
            <w:shd w:val="clear" w:color="auto" w:fill="auto"/>
            <w:vAlign w:val="center"/>
          </w:tcPr>
          <w:p w14:paraId="51F74DB7"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hAnsiTheme="minorHAnsi" w:cstheme="minorHAnsi"/>
                <w:color w:val="000000"/>
                <w:sz w:val="18"/>
                <w:szCs w:val="18"/>
              </w:rPr>
              <w:t>467</w:t>
            </w:r>
          </w:p>
        </w:tc>
        <w:tc>
          <w:tcPr>
            <w:tcW w:w="702" w:type="dxa"/>
            <w:shd w:val="clear" w:color="auto" w:fill="auto"/>
            <w:vAlign w:val="center"/>
          </w:tcPr>
          <w:p w14:paraId="176D3BE0"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hAnsiTheme="minorHAnsi" w:cstheme="minorHAnsi"/>
                <w:color w:val="000000"/>
                <w:sz w:val="18"/>
                <w:szCs w:val="18"/>
              </w:rPr>
              <w:t>9</w:t>
            </w:r>
          </w:p>
        </w:tc>
        <w:tc>
          <w:tcPr>
            <w:tcW w:w="703" w:type="dxa"/>
            <w:shd w:val="clear" w:color="auto" w:fill="auto"/>
            <w:vAlign w:val="center"/>
          </w:tcPr>
          <w:p w14:paraId="549EC469"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hAnsiTheme="minorHAnsi" w:cstheme="minorHAnsi"/>
                <w:color w:val="000000"/>
                <w:sz w:val="18"/>
                <w:szCs w:val="18"/>
              </w:rPr>
              <w:t>10</w:t>
            </w:r>
          </w:p>
        </w:tc>
        <w:tc>
          <w:tcPr>
            <w:tcW w:w="702" w:type="dxa"/>
            <w:shd w:val="clear" w:color="auto" w:fill="auto"/>
            <w:vAlign w:val="center"/>
          </w:tcPr>
          <w:p w14:paraId="69E1C749"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hAnsiTheme="minorHAnsi" w:cstheme="minorHAnsi"/>
                <w:color w:val="000000"/>
                <w:sz w:val="18"/>
                <w:szCs w:val="18"/>
              </w:rPr>
              <w:t>2</w:t>
            </w:r>
          </w:p>
        </w:tc>
        <w:tc>
          <w:tcPr>
            <w:tcW w:w="707" w:type="dxa"/>
            <w:shd w:val="clear" w:color="auto" w:fill="auto"/>
            <w:vAlign w:val="center"/>
          </w:tcPr>
          <w:p w14:paraId="15A71EE1"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hAnsiTheme="minorHAnsi" w:cstheme="minorHAnsi"/>
                <w:color w:val="000000"/>
                <w:sz w:val="18"/>
                <w:szCs w:val="18"/>
              </w:rPr>
              <w:t>94</w:t>
            </w:r>
          </w:p>
        </w:tc>
        <w:tc>
          <w:tcPr>
            <w:tcW w:w="702" w:type="dxa"/>
            <w:shd w:val="clear" w:color="auto" w:fill="auto"/>
            <w:vAlign w:val="center"/>
          </w:tcPr>
          <w:p w14:paraId="47584BAB"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hAnsiTheme="minorHAnsi" w:cstheme="minorHAnsi"/>
                <w:color w:val="000000"/>
                <w:sz w:val="18"/>
                <w:szCs w:val="18"/>
              </w:rPr>
              <w:t> </w:t>
            </w:r>
          </w:p>
        </w:tc>
        <w:tc>
          <w:tcPr>
            <w:tcW w:w="703" w:type="dxa"/>
            <w:shd w:val="clear" w:color="auto" w:fill="auto"/>
            <w:vAlign w:val="center"/>
          </w:tcPr>
          <w:p w14:paraId="215BC63A"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hAnsiTheme="minorHAnsi" w:cstheme="minorHAnsi"/>
                <w:color w:val="000000"/>
                <w:sz w:val="18"/>
                <w:szCs w:val="18"/>
              </w:rPr>
              <w:t> </w:t>
            </w:r>
          </w:p>
        </w:tc>
        <w:tc>
          <w:tcPr>
            <w:tcW w:w="702" w:type="dxa"/>
            <w:vAlign w:val="center"/>
          </w:tcPr>
          <w:p w14:paraId="58D05026"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hAnsiTheme="minorHAnsi" w:cstheme="minorHAnsi"/>
                <w:color w:val="000000"/>
                <w:sz w:val="18"/>
                <w:szCs w:val="18"/>
              </w:rPr>
              <w:t>13</w:t>
            </w:r>
          </w:p>
        </w:tc>
        <w:tc>
          <w:tcPr>
            <w:tcW w:w="703" w:type="dxa"/>
            <w:vAlign w:val="center"/>
          </w:tcPr>
          <w:p w14:paraId="4A9F9AAB"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hAnsiTheme="minorHAnsi" w:cstheme="minorHAnsi"/>
                <w:color w:val="000000"/>
                <w:sz w:val="18"/>
                <w:szCs w:val="18"/>
              </w:rPr>
              <w:t>1</w:t>
            </w:r>
          </w:p>
        </w:tc>
        <w:tc>
          <w:tcPr>
            <w:tcW w:w="706" w:type="dxa"/>
            <w:vAlign w:val="center"/>
          </w:tcPr>
          <w:p w14:paraId="67FD7C4B"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hAnsiTheme="minorHAnsi" w:cstheme="minorHAnsi"/>
                <w:color w:val="000000"/>
                <w:sz w:val="18"/>
                <w:szCs w:val="18"/>
              </w:rPr>
              <w:t>0</w:t>
            </w:r>
          </w:p>
        </w:tc>
        <w:tc>
          <w:tcPr>
            <w:tcW w:w="707" w:type="dxa"/>
            <w:vAlign w:val="center"/>
          </w:tcPr>
          <w:p w14:paraId="029631DA" w14:textId="77777777" w:rsidR="00F8395E" w:rsidRPr="001B4CA2" w:rsidRDefault="00F8395E" w:rsidP="002A38E7">
            <w:pPr>
              <w:jc w:val="center"/>
              <w:rPr>
                <w:rFonts w:asciiTheme="minorHAnsi" w:eastAsia="Times New Roman" w:hAnsiTheme="minorHAnsi" w:cstheme="minorHAnsi"/>
                <w:sz w:val="18"/>
                <w:szCs w:val="18"/>
                <w:lang w:eastAsia="hr-HR"/>
              </w:rPr>
            </w:pPr>
            <w:r w:rsidRPr="001B4CA2">
              <w:rPr>
                <w:rFonts w:asciiTheme="minorHAnsi" w:hAnsiTheme="minorHAnsi" w:cstheme="minorHAnsi"/>
                <w:color w:val="000000"/>
                <w:sz w:val="18"/>
                <w:szCs w:val="18"/>
              </w:rPr>
              <w:t>577</w:t>
            </w:r>
          </w:p>
        </w:tc>
      </w:tr>
    </w:tbl>
    <w:p w14:paraId="2D36D39D" w14:textId="77777777" w:rsidR="00F8395E" w:rsidRPr="001B4CA2" w:rsidRDefault="00F8395E" w:rsidP="00F8395E"/>
    <w:p w14:paraId="2B60E9FB" w14:textId="433874D2" w:rsidR="00F8395E" w:rsidRPr="001B4CA2" w:rsidRDefault="00F8395E" w:rsidP="00F8395E">
      <w:pPr>
        <w:ind w:firstLine="708"/>
      </w:pPr>
      <w:r w:rsidRPr="001B4CA2">
        <w:t xml:space="preserve">U 2022. godini županijski </w:t>
      </w:r>
      <w:r w:rsidR="00166CCE" w:rsidRPr="001B4CA2">
        <w:t xml:space="preserve">su </w:t>
      </w:r>
      <w:r w:rsidRPr="001B4CA2">
        <w:t>sudovi donijeli 577 osuđujućih presuda, što je neznatno povećanje broja donesenih osuđujućih presuda prema 2021. godini. U strukturi izrečenih sankcija prevladavaju kazne zatvora kojih je izrečeno 467 ili 80,93</w:t>
      </w:r>
      <w:r w:rsidR="00166CCE">
        <w:t> </w:t>
      </w:r>
      <w:r w:rsidRPr="001B4CA2">
        <w:t>%. Od toga broja 9 okrivljenika ili 1,93 % osuđeno je na kaznu dugotrajnog zatvora.</w:t>
      </w:r>
    </w:p>
    <w:p w14:paraId="3FFD01A6" w14:textId="77777777" w:rsidR="00F8395E" w:rsidRPr="001B4CA2" w:rsidRDefault="00F8395E" w:rsidP="00F8395E">
      <w:pPr>
        <w:ind w:firstLine="708"/>
      </w:pPr>
    </w:p>
    <w:p w14:paraId="6835115F" w14:textId="40B7F43A" w:rsidR="00F8395E" w:rsidRPr="001B4CA2" w:rsidRDefault="00F8395E" w:rsidP="00F8395E">
      <w:pPr>
        <w:ind w:firstLine="708"/>
      </w:pPr>
      <w:r w:rsidRPr="001B4CA2">
        <w:t xml:space="preserve">Kazna zatvora zamijenjena je radom za opće dobro u odnosu na 10 osoba ili 2,14 %, što je na tragu nastavka trenda smanjenja broja zamjena zatvorskih kazni radom za opće dobro. </w:t>
      </w:r>
    </w:p>
    <w:p w14:paraId="56E86212" w14:textId="77777777" w:rsidR="00F8395E" w:rsidRPr="001B4CA2" w:rsidRDefault="00F8395E" w:rsidP="00F8395E">
      <w:pPr>
        <w:ind w:firstLine="708"/>
      </w:pPr>
    </w:p>
    <w:p w14:paraId="2C073058" w14:textId="4F8A5865" w:rsidR="00F8395E" w:rsidRPr="001B4CA2" w:rsidRDefault="00F8395E" w:rsidP="00F8395E">
      <w:pPr>
        <w:ind w:firstLine="708"/>
      </w:pPr>
      <w:r w:rsidRPr="001B4CA2">
        <w:t>Značajnija odstupanja nisu uočena niti vezano za broj izrečenih uvjetnih osuda. U ovom izvještajnom razdoblju izrečene su 94 uvjetne osude ili 16,29</w:t>
      </w:r>
      <w:r w:rsidR="00166CCE">
        <w:t> </w:t>
      </w:r>
      <w:r w:rsidRPr="001B4CA2">
        <w:t>%, što je na razini prethodnog izvještajnog razdoblja.</w:t>
      </w:r>
    </w:p>
    <w:p w14:paraId="2AD677B6" w14:textId="77777777" w:rsidR="00F8395E" w:rsidRPr="001B4CA2" w:rsidRDefault="00F8395E" w:rsidP="00F8395E"/>
    <w:p w14:paraId="5B57D4AF" w14:textId="53872426" w:rsidR="00F8395E" w:rsidRPr="001B4CA2" w:rsidRDefault="00F8395E" w:rsidP="00F8395E"/>
    <w:p w14:paraId="0282B933" w14:textId="5F26AE63" w:rsidR="00F8395E" w:rsidRPr="001B4CA2" w:rsidRDefault="00F8395E" w:rsidP="00F8395E"/>
    <w:p w14:paraId="69FCE3EE" w14:textId="170A3EC6" w:rsidR="007C50CA" w:rsidRPr="001B4CA2" w:rsidRDefault="007C50CA" w:rsidP="00F8395E"/>
    <w:p w14:paraId="7F16F224" w14:textId="2E544278" w:rsidR="005A0983" w:rsidRPr="001B4CA2" w:rsidRDefault="005A0983" w:rsidP="00F8395E"/>
    <w:p w14:paraId="7186C4F1" w14:textId="369C83A9" w:rsidR="005A0983" w:rsidRPr="001B4CA2" w:rsidRDefault="005A0983" w:rsidP="00F8395E"/>
    <w:p w14:paraId="2D73BB9E" w14:textId="4BF17257" w:rsidR="00BB27EB" w:rsidRPr="001B4CA2" w:rsidRDefault="00BB27EB" w:rsidP="00F8395E"/>
    <w:p w14:paraId="08BC5A90" w14:textId="3CEAE974" w:rsidR="00BB27EB" w:rsidRPr="001B4CA2" w:rsidRDefault="00BB27EB" w:rsidP="00F8395E"/>
    <w:p w14:paraId="1B0AE840" w14:textId="77777777" w:rsidR="00BB27EB" w:rsidRPr="001B4CA2" w:rsidRDefault="00BB27EB" w:rsidP="00F8395E"/>
    <w:p w14:paraId="033FE72A" w14:textId="77777777" w:rsidR="00F8395E" w:rsidRPr="001B4CA2" w:rsidRDefault="00F8395E" w:rsidP="00F8395E">
      <w:pPr>
        <w:ind w:firstLine="708"/>
      </w:pPr>
      <w:r w:rsidRPr="001B4CA2">
        <w:lastRenderedPageBreak/>
        <w:t>Broj izrečenih sigurnosnih mjera prikazan je u nastavku:</w:t>
      </w:r>
    </w:p>
    <w:p w14:paraId="53EB4075" w14:textId="5D0B7AC3" w:rsidR="00F8395E" w:rsidRPr="001B4CA2" w:rsidRDefault="00F8395E" w:rsidP="00F8395E">
      <w:pPr>
        <w:ind w:left="142"/>
        <w:rPr>
          <w:i/>
        </w:rPr>
      </w:pPr>
    </w:p>
    <w:tbl>
      <w:tblPr>
        <w:tblStyle w:val="Reetkatablice82"/>
        <w:tblW w:w="8785" w:type="dxa"/>
        <w:jc w:val="center"/>
        <w:tblLayout w:type="fixed"/>
        <w:tblLook w:val="04A0" w:firstRow="1" w:lastRow="0" w:firstColumn="1" w:lastColumn="0" w:noHBand="0" w:noVBand="1"/>
      </w:tblPr>
      <w:tblGrid>
        <w:gridCol w:w="1133"/>
        <w:gridCol w:w="1276"/>
        <w:gridCol w:w="1356"/>
        <w:gridCol w:w="1255"/>
        <w:gridCol w:w="1255"/>
        <w:gridCol w:w="1255"/>
        <w:gridCol w:w="1255"/>
      </w:tblGrid>
      <w:tr w:rsidR="00F8395E" w:rsidRPr="001B4CA2" w14:paraId="236608A5" w14:textId="77777777" w:rsidTr="00540F85">
        <w:trPr>
          <w:jc w:val="center"/>
        </w:trPr>
        <w:tc>
          <w:tcPr>
            <w:tcW w:w="1133" w:type="dxa"/>
            <w:shd w:val="clear" w:color="auto" w:fill="99CCFF"/>
            <w:vAlign w:val="center"/>
          </w:tcPr>
          <w:p w14:paraId="0314A56B" w14:textId="77777777" w:rsidR="00F8395E" w:rsidRPr="001B4CA2" w:rsidRDefault="00F8395E" w:rsidP="002A38E7">
            <w:pPr>
              <w:jc w:val="center"/>
              <w:rPr>
                <w:rFonts w:eastAsia="Times New Roman"/>
                <w:b/>
                <w:sz w:val="18"/>
                <w:szCs w:val="18"/>
                <w:lang w:eastAsia="hr-HR"/>
              </w:rPr>
            </w:pPr>
            <w:r w:rsidRPr="001B4CA2">
              <w:rPr>
                <w:rFonts w:eastAsia="Times New Roman"/>
                <w:b/>
                <w:sz w:val="18"/>
                <w:szCs w:val="18"/>
                <w:lang w:eastAsia="hr-HR"/>
              </w:rPr>
              <w:t>Godina</w:t>
            </w:r>
          </w:p>
        </w:tc>
        <w:tc>
          <w:tcPr>
            <w:tcW w:w="1276" w:type="dxa"/>
            <w:shd w:val="clear" w:color="auto" w:fill="99CCFF"/>
            <w:vAlign w:val="center"/>
          </w:tcPr>
          <w:p w14:paraId="4A1AB657" w14:textId="77777777" w:rsidR="00F8395E" w:rsidRPr="001B4CA2" w:rsidRDefault="00F8395E" w:rsidP="002A38E7">
            <w:pPr>
              <w:jc w:val="center"/>
              <w:rPr>
                <w:rFonts w:eastAsia="Times New Roman"/>
                <w:b/>
                <w:sz w:val="18"/>
                <w:szCs w:val="18"/>
                <w:lang w:eastAsia="hr-HR"/>
              </w:rPr>
            </w:pPr>
            <w:r w:rsidRPr="001B4CA2">
              <w:rPr>
                <w:rFonts w:eastAsia="Times New Roman"/>
                <w:b/>
                <w:sz w:val="18"/>
                <w:szCs w:val="18"/>
                <w:lang w:eastAsia="hr-HR"/>
              </w:rPr>
              <w:t>Obvezno liječenje od ovisnosti</w:t>
            </w:r>
          </w:p>
        </w:tc>
        <w:tc>
          <w:tcPr>
            <w:tcW w:w="1356" w:type="dxa"/>
            <w:shd w:val="clear" w:color="auto" w:fill="99CCFF"/>
            <w:vAlign w:val="center"/>
          </w:tcPr>
          <w:p w14:paraId="7DD1F17C" w14:textId="77777777" w:rsidR="00F8395E" w:rsidRPr="001B4CA2" w:rsidRDefault="00F8395E" w:rsidP="002A38E7">
            <w:pPr>
              <w:jc w:val="center"/>
              <w:rPr>
                <w:rFonts w:eastAsia="Times New Roman"/>
                <w:b/>
                <w:sz w:val="18"/>
                <w:szCs w:val="18"/>
                <w:lang w:eastAsia="hr-HR"/>
              </w:rPr>
            </w:pPr>
            <w:r w:rsidRPr="001B4CA2">
              <w:rPr>
                <w:rFonts w:eastAsia="Times New Roman"/>
                <w:b/>
                <w:sz w:val="18"/>
                <w:szCs w:val="18"/>
                <w:lang w:eastAsia="hr-HR"/>
              </w:rPr>
              <w:t>Obvezno psihijatrijsko liječenje</w:t>
            </w:r>
          </w:p>
        </w:tc>
        <w:tc>
          <w:tcPr>
            <w:tcW w:w="1255" w:type="dxa"/>
            <w:shd w:val="clear" w:color="auto" w:fill="99CCFF"/>
            <w:vAlign w:val="center"/>
          </w:tcPr>
          <w:p w14:paraId="7A2A16A2" w14:textId="77777777" w:rsidR="00F8395E" w:rsidRPr="001B4CA2" w:rsidRDefault="00F8395E" w:rsidP="002A38E7">
            <w:pPr>
              <w:jc w:val="center"/>
              <w:rPr>
                <w:rFonts w:eastAsia="Times New Roman"/>
                <w:b/>
                <w:sz w:val="18"/>
                <w:szCs w:val="18"/>
                <w:lang w:eastAsia="hr-HR"/>
              </w:rPr>
            </w:pPr>
            <w:r w:rsidRPr="001B4CA2">
              <w:rPr>
                <w:rFonts w:eastAsia="Times New Roman"/>
                <w:b/>
                <w:sz w:val="18"/>
                <w:szCs w:val="18"/>
                <w:lang w:eastAsia="hr-HR"/>
              </w:rPr>
              <w:t>Zabrana obavljanja određene dužnosti ili djelatnosti</w:t>
            </w:r>
          </w:p>
        </w:tc>
        <w:tc>
          <w:tcPr>
            <w:tcW w:w="1255" w:type="dxa"/>
            <w:shd w:val="clear" w:color="auto" w:fill="99CCFF"/>
            <w:vAlign w:val="center"/>
          </w:tcPr>
          <w:p w14:paraId="3BB336F8" w14:textId="77777777" w:rsidR="00F8395E" w:rsidRPr="001B4CA2" w:rsidRDefault="00F8395E" w:rsidP="002A38E7">
            <w:pPr>
              <w:jc w:val="center"/>
              <w:rPr>
                <w:rFonts w:eastAsia="Times New Roman"/>
                <w:b/>
                <w:sz w:val="18"/>
                <w:szCs w:val="18"/>
                <w:lang w:eastAsia="hr-HR"/>
              </w:rPr>
            </w:pPr>
            <w:r w:rsidRPr="001B4CA2">
              <w:rPr>
                <w:rFonts w:eastAsia="Times New Roman"/>
                <w:b/>
                <w:sz w:val="18"/>
                <w:szCs w:val="18"/>
                <w:lang w:eastAsia="hr-HR"/>
              </w:rPr>
              <w:t>Zabrana upravljanja motornim vozilom</w:t>
            </w:r>
          </w:p>
        </w:tc>
        <w:tc>
          <w:tcPr>
            <w:tcW w:w="1255" w:type="dxa"/>
            <w:shd w:val="clear" w:color="auto" w:fill="99CCFF"/>
            <w:vAlign w:val="center"/>
          </w:tcPr>
          <w:p w14:paraId="65509425" w14:textId="77777777" w:rsidR="00F8395E" w:rsidRPr="001B4CA2" w:rsidRDefault="00F8395E" w:rsidP="002A38E7">
            <w:pPr>
              <w:jc w:val="center"/>
              <w:rPr>
                <w:rFonts w:eastAsia="Times New Roman"/>
                <w:b/>
                <w:sz w:val="18"/>
                <w:szCs w:val="18"/>
                <w:lang w:eastAsia="hr-HR"/>
              </w:rPr>
            </w:pPr>
            <w:r w:rsidRPr="001B4CA2">
              <w:rPr>
                <w:rFonts w:eastAsia="Times New Roman"/>
                <w:b/>
                <w:sz w:val="18"/>
                <w:szCs w:val="18"/>
                <w:lang w:eastAsia="hr-HR"/>
              </w:rPr>
              <w:t>Druge sigurnosne mjere</w:t>
            </w:r>
          </w:p>
        </w:tc>
        <w:tc>
          <w:tcPr>
            <w:tcW w:w="1255" w:type="dxa"/>
            <w:shd w:val="clear" w:color="auto" w:fill="99CCFF"/>
            <w:vAlign w:val="center"/>
          </w:tcPr>
          <w:p w14:paraId="5F50374A" w14:textId="77777777" w:rsidR="00F8395E" w:rsidRPr="001B4CA2" w:rsidRDefault="00F8395E" w:rsidP="002A38E7">
            <w:pPr>
              <w:jc w:val="center"/>
              <w:rPr>
                <w:rFonts w:eastAsia="Times New Roman"/>
                <w:b/>
                <w:sz w:val="18"/>
                <w:szCs w:val="18"/>
                <w:lang w:eastAsia="hr-HR"/>
              </w:rPr>
            </w:pPr>
            <w:r w:rsidRPr="001B4CA2">
              <w:rPr>
                <w:rFonts w:eastAsia="Times New Roman"/>
                <w:b/>
                <w:sz w:val="18"/>
                <w:szCs w:val="18"/>
                <w:lang w:eastAsia="hr-HR"/>
              </w:rPr>
              <w:t>Ukupno</w:t>
            </w:r>
          </w:p>
        </w:tc>
      </w:tr>
      <w:tr w:rsidR="00F8395E" w:rsidRPr="001B4CA2" w14:paraId="466B99BC" w14:textId="77777777" w:rsidTr="00540F85">
        <w:trPr>
          <w:trHeight w:val="284"/>
          <w:jc w:val="center"/>
        </w:trPr>
        <w:tc>
          <w:tcPr>
            <w:tcW w:w="1133" w:type="dxa"/>
            <w:shd w:val="clear" w:color="auto" w:fill="auto"/>
            <w:vAlign w:val="center"/>
          </w:tcPr>
          <w:p w14:paraId="1C6677F6"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2018.</w:t>
            </w:r>
          </w:p>
        </w:tc>
        <w:tc>
          <w:tcPr>
            <w:tcW w:w="1276" w:type="dxa"/>
            <w:shd w:val="clear" w:color="auto" w:fill="auto"/>
            <w:vAlign w:val="center"/>
          </w:tcPr>
          <w:p w14:paraId="2214DFED"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22</w:t>
            </w:r>
          </w:p>
        </w:tc>
        <w:tc>
          <w:tcPr>
            <w:tcW w:w="1356" w:type="dxa"/>
            <w:shd w:val="clear" w:color="auto" w:fill="auto"/>
            <w:vAlign w:val="center"/>
          </w:tcPr>
          <w:p w14:paraId="15DF4C7C"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18</w:t>
            </w:r>
          </w:p>
        </w:tc>
        <w:tc>
          <w:tcPr>
            <w:tcW w:w="1255" w:type="dxa"/>
            <w:shd w:val="clear" w:color="auto" w:fill="auto"/>
            <w:vAlign w:val="center"/>
          </w:tcPr>
          <w:p w14:paraId="3285EC2B" w14:textId="77777777" w:rsidR="00F8395E" w:rsidRPr="001B4CA2" w:rsidRDefault="00F8395E" w:rsidP="002A38E7">
            <w:pPr>
              <w:jc w:val="center"/>
              <w:rPr>
                <w:rFonts w:eastAsia="Times New Roman"/>
                <w:sz w:val="18"/>
                <w:szCs w:val="18"/>
                <w:lang w:eastAsia="hr-HR"/>
              </w:rPr>
            </w:pPr>
          </w:p>
        </w:tc>
        <w:tc>
          <w:tcPr>
            <w:tcW w:w="1255" w:type="dxa"/>
            <w:shd w:val="clear" w:color="auto" w:fill="auto"/>
            <w:vAlign w:val="center"/>
          </w:tcPr>
          <w:p w14:paraId="56C1ED29" w14:textId="77777777" w:rsidR="00F8395E" w:rsidRPr="001B4CA2" w:rsidRDefault="00F8395E" w:rsidP="002A38E7">
            <w:pPr>
              <w:jc w:val="center"/>
              <w:rPr>
                <w:rFonts w:eastAsia="Times New Roman"/>
                <w:sz w:val="18"/>
                <w:szCs w:val="18"/>
                <w:lang w:eastAsia="hr-HR"/>
              </w:rPr>
            </w:pPr>
          </w:p>
        </w:tc>
        <w:tc>
          <w:tcPr>
            <w:tcW w:w="1255" w:type="dxa"/>
            <w:shd w:val="clear" w:color="auto" w:fill="auto"/>
            <w:vAlign w:val="center"/>
          </w:tcPr>
          <w:p w14:paraId="68B418EE"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4</w:t>
            </w:r>
          </w:p>
        </w:tc>
        <w:tc>
          <w:tcPr>
            <w:tcW w:w="1255" w:type="dxa"/>
            <w:vAlign w:val="center"/>
          </w:tcPr>
          <w:p w14:paraId="602D56E6"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44</w:t>
            </w:r>
          </w:p>
        </w:tc>
      </w:tr>
      <w:tr w:rsidR="00F8395E" w:rsidRPr="001B4CA2" w14:paraId="406C09FC" w14:textId="77777777" w:rsidTr="00540F85">
        <w:trPr>
          <w:trHeight w:val="284"/>
          <w:jc w:val="center"/>
        </w:trPr>
        <w:tc>
          <w:tcPr>
            <w:tcW w:w="1133" w:type="dxa"/>
            <w:shd w:val="clear" w:color="auto" w:fill="auto"/>
            <w:vAlign w:val="center"/>
          </w:tcPr>
          <w:p w14:paraId="28F59585"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2019.</w:t>
            </w:r>
          </w:p>
        </w:tc>
        <w:tc>
          <w:tcPr>
            <w:tcW w:w="1276" w:type="dxa"/>
            <w:shd w:val="clear" w:color="auto" w:fill="auto"/>
            <w:vAlign w:val="center"/>
          </w:tcPr>
          <w:p w14:paraId="7075C915"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27</w:t>
            </w:r>
          </w:p>
        </w:tc>
        <w:tc>
          <w:tcPr>
            <w:tcW w:w="1356" w:type="dxa"/>
            <w:shd w:val="clear" w:color="auto" w:fill="auto"/>
            <w:vAlign w:val="center"/>
          </w:tcPr>
          <w:p w14:paraId="71B02C8D"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9</w:t>
            </w:r>
          </w:p>
        </w:tc>
        <w:tc>
          <w:tcPr>
            <w:tcW w:w="1255" w:type="dxa"/>
            <w:shd w:val="clear" w:color="auto" w:fill="auto"/>
            <w:vAlign w:val="center"/>
          </w:tcPr>
          <w:p w14:paraId="0EAA1C3B"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1</w:t>
            </w:r>
          </w:p>
        </w:tc>
        <w:tc>
          <w:tcPr>
            <w:tcW w:w="1255" w:type="dxa"/>
            <w:shd w:val="clear" w:color="auto" w:fill="auto"/>
            <w:vAlign w:val="center"/>
          </w:tcPr>
          <w:p w14:paraId="2F09B26A"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24</w:t>
            </w:r>
          </w:p>
        </w:tc>
        <w:tc>
          <w:tcPr>
            <w:tcW w:w="1255" w:type="dxa"/>
            <w:shd w:val="clear" w:color="auto" w:fill="auto"/>
            <w:vAlign w:val="center"/>
          </w:tcPr>
          <w:p w14:paraId="220E6214"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2</w:t>
            </w:r>
          </w:p>
        </w:tc>
        <w:tc>
          <w:tcPr>
            <w:tcW w:w="1255" w:type="dxa"/>
            <w:vAlign w:val="center"/>
          </w:tcPr>
          <w:p w14:paraId="1CD55D61"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63</w:t>
            </w:r>
          </w:p>
        </w:tc>
      </w:tr>
      <w:tr w:rsidR="00F8395E" w:rsidRPr="001B4CA2" w14:paraId="678BEB6C" w14:textId="77777777" w:rsidTr="00540F85">
        <w:trPr>
          <w:trHeight w:val="284"/>
          <w:jc w:val="center"/>
        </w:trPr>
        <w:tc>
          <w:tcPr>
            <w:tcW w:w="1133" w:type="dxa"/>
            <w:shd w:val="clear" w:color="auto" w:fill="auto"/>
            <w:vAlign w:val="center"/>
          </w:tcPr>
          <w:p w14:paraId="0BC7E7C9"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2020.</w:t>
            </w:r>
          </w:p>
        </w:tc>
        <w:tc>
          <w:tcPr>
            <w:tcW w:w="1276" w:type="dxa"/>
            <w:shd w:val="clear" w:color="auto" w:fill="auto"/>
            <w:vAlign w:val="center"/>
          </w:tcPr>
          <w:p w14:paraId="0F13B854"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28</w:t>
            </w:r>
          </w:p>
        </w:tc>
        <w:tc>
          <w:tcPr>
            <w:tcW w:w="1356" w:type="dxa"/>
            <w:shd w:val="clear" w:color="auto" w:fill="auto"/>
            <w:vAlign w:val="center"/>
          </w:tcPr>
          <w:p w14:paraId="02932BBC"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19</w:t>
            </w:r>
          </w:p>
        </w:tc>
        <w:tc>
          <w:tcPr>
            <w:tcW w:w="1255" w:type="dxa"/>
            <w:shd w:val="clear" w:color="auto" w:fill="auto"/>
            <w:vAlign w:val="center"/>
          </w:tcPr>
          <w:p w14:paraId="63018E22"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1</w:t>
            </w:r>
          </w:p>
        </w:tc>
        <w:tc>
          <w:tcPr>
            <w:tcW w:w="1255" w:type="dxa"/>
            <w:shd w:val="clear" w:color="auto" w:fill="auto"/>
            <w:vAlign w:val="center"/>
          </w:tcPr>
          <w:p w14:paraId="4DB68917"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13</w:t>
            </w:r>
          </w:p>
        </w:tc>
        <w:tc>
          <w:tcPr>
            <w:tcW w:w="1255" w:type="dxa"/>
            <w:shd w:val="clear" w:color="auto" w:fill="auto"/>
            <w:vAlign w:val="center"/>
          </w:tcPr>
          <w:p w14:paraId="6EB626EC"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18</w:t>
            </w:r>
          </w:p>
        </w:tc>
        <w:tc>
          <w:tcPr>
            <w:tcW w:w="1255" w:type="dxa"/>
            <w:vAlign w:val="center"/>
          </w:tcPr>
          <w:p w14:paraId="5D001754"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79</w:t>
            </w:r>
          </w:p>
        </w:tc>
      </w:tr>
      <w:tr w:rsidR="00F8395E" w:rsidRPr="001B4CA2" w14:paraId="3BE3E508" w14:textId="77777777" w:rsidTr="00540F85">
        <w:trPr>
          <w:trHeight w:val="284"/>
          <w:jc w:val="center"/>
        </w:trPr>
        <w:tc>
          <w:tcPr>
            <w:tcW w:w="1133" w:type="dxa"/>
            <w:shd w:val="clear" w:color="auto" w:fill="auto"/>
            <w:vAlign w:val="center"/>
          </w:tcPr>
          <w:p w14:paraId="7DD37C60"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2021.</w:t>
            </w:r>
          </w:p>
        </w:tc>
        <w:tc>
          <w:tcPr>
            <w:tcW w:w="1276" w:type="dxa"/>
            <w:shd w:val="clear" w:color="auto" w:fill="auto"/>
            <w:vAlign w:val="center"/>
          </w:tcPr>
          <w:p w14:paraId="35576F87"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49</w:t>
            </w:r>
          </w:p>
        </w:tc>
        <w:tc>
          <w:tcPr>
            <w:tcW w:w="1356" w:type="dxa"/>
            <w:shd w:val="clear" w:color="auto" w:fill="auto"/>
            <w:vAlign w:val="center"/>
          </w:tcPr>
          <w:p w14:paraId="765E633C"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15</w:t>
            </w:r>
          </w:p>
        </w:tc>
        <w:tc>
          <w:tcPr>
            <w:tcW w:w="1255" w:type="dxa"/>
            <w:shd w:val="clear" w:color="auto" w:fill="auto"/>
            <w:vAlign w:val="center"/>
          </w:tcPr>
          <w:p w14:paraId="1E11E2CB"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4</w:t>
            </w:r>
          </w:p>
        </w:tc>
        <w:tc>
          <w:tcPr>
            <w:tcW w:w="1255" w:type="dxa"/>
            <w:shd w:val="clear" w:color="auto" w:fill="auto"/>
            <w:vAlign w:val="center"/>
          </w:tcPr>
          <w:p w14:paraId="2F365219"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4</w:t>
            </w:r>
          </w:p>
        </w:tc>
        <w:tc>
          <w:tcPr>
            <w:tcW w:w="1255" w:type="dxa"/>
            <w:shd w:val="clear" w:color="auto" w:fill="auto"/>
            <w:vAlign w:val="center"/>
          </w:tcPr>
          <w:p w14:paraId="51F86671"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24</w:t>
            </w:r>
          </w:p>
        </w:tc>
        <w:tc>
          <w:tcPr>
            <w:tcW w:w="1255" w:type="dxa"/>
            <w:vAlign w:val="center"/>
          </w:tcPr>
          <w:p w14:paraId="417EE354" w14:textId="77777777" w:rsidR="00F8395E" w:rsidRPr="001B4CA2" w:rsidRDefault="00F8395E" w:rsidP="002A38E7">
            <w:pPr>
              <w:jc w:val="center"/>
              <w:rPr>
                <w:rFonts w:eastAsia="Times New Roman"/>
                <w:sz w:val="18"/>
                <w:szCs w:val="18"/>
                <w:lang w:eastAsia="hr-HR"/>
              </w:rPr>
            </w:pPr>
            <w:r w:rsidRPr="001B4CA2">
              <w:rPr>
                <w:rFonts w:eastAsia="Times New Roman"/>
                <w:sz w:val="18"/>
                <w:szCs w:val="18"/>
                <w:lang w:eastAsia="hr-HR"/>
              </w:rPr>
              <w:t>126</w:t>
            </w:r>
          </w:p>
        </w:tc>
      </w:tr>
      <w:tr w:rsidR="00F8395E" w:rsidRPr="001B4CA2" w14:paraId="63F738FF" w14:textId="77777777" w:rsidTr="00540F85">
        <w:trPr>
          <w:trHeight w:val="284"/>
          <w:jc w:val="center"/>
        </w:trPr>
        <w:tc>
          <w:tcPr>
            <w:tcW w:w="1133" w:type="dxa"/>
            <w:shd w:val="clear" w:color="auto" w:fill="auto"/>
            <w:vAlign w:val="center"/>
          </w:tcPr>
          <w:p w14:paraId="30D643BE" w14:textId="77777777" w:rsidR="00F8395E" w:rsidRPr="001B4CA2" w:rsidRDefault="00F8395E" w:rsidP="002A38E7">
            <w:pPr>
              <w:jc w:val="center"/>
              <w:rPr>
                <w:rFonts w:eastAsia="Times New Roman"/>
                <w:sz w:val="18"/>
                <w:szCs w:val="18"/>
                <w:lang w:eastAsia="hr-HR"/>
              </w:rPr>
            </w:pPr>
            <w:r w:rsidRPr="001B4CA2">
              <w:rPr>
                <w:color w:val="000000"/>
                <w:sz w:val="18"/>
                <w:szCs w:val="18"/>
              </w:rPr>
              <w:t>2022.</w:t>
            </w:r>
          </w:p>
        </w:tc>
        <w:tc>
          <w:tcPr>
            <w:tcW w:w="1276" w:type="dxa"/>
            <w:shd w:val="clear" w:color="auto" w:fill="auto"/>
            <w:vAlign w:val="center"/>
          </w:tcPr>
          <w:p w14:paraId="26F18FB7" w14:textId="77777777" w:rsidR="00F8395E" w:rsidRPr="001B4CA2" w:rsidRDefault="00F8395E" w:rsidP="002A38E7">
            <w:pPr>
              <w:jc w:val="center"/>
              <w:rPr>
                <w:rFonts w:eastAsia="Times New Roman"/>
                <w:sz w:val="18"/>
                <w:szCs w:val="18"/>
                <w:lang w:eastAsia="hr-HR"/>
              </w:rPr>
            </w:pPr>
            <w:r w:rsidRPr="001B4CA2">
              <w:rPr>
                <w:color w:val="000000"/>
                <w:sz w:val="18"/>
                <w:szCs w:val="18"/>
              </w:rPr>
              <w:t>44</w:t>
            </w:r>
          </w:p>
        </w:tc>
        <w:tc>
          <w:tcPr>
            <w:tcW w:w="1356" w:type="dxa"/>
            <w:shd w:val="clear" w:color="auto" w:fill="auto"/>
            <w:vAlign w:val="center"/>
          </w:tcPr>
          <w:p w14:paraId="1C232218" w14:textId="77777777" w:rsidR="00F8395E" w:rsidRPr="001B4CA2" w:rsidRDefault="00F8395E" w:rsidP="002A38E7">
            <w:pPr>
              <w:jc w:val="center"/>
              <w:rPr>
                <w:rFonts w:eastAsia="Times New Roman"/>
                <w:sz w:val="18"/>
                <w:szCs w:val="18"/>
                <w:lang w:eastAsia="hr-HR"/>
              </w:rPr>
            </w:pPr>
            <w:r w:rsidRPr="001B4CA2">
              <w:rPr>
                <w:color w:val="000000"/>
                <w:sz w:val="18"/>
                <w:szCs w:val="18"/>
              </w:rPr>
              <w:t>45</w:t>
            </w:r>
          </w:p>
        </w:tc>
        <w:tc>
          <w:tcPr>
            <w:tcW w:w="1255" w:type="dxa"/>
            <w:shd w:val="clear" w:color="auto" w:fill="auto"/>
            <w:vAlign w:val="center"/>
          </w:tcPr>
          <w:p w14:paraId="0ADFB88E" w14:textId="77777777" w:rsidR="00F8395E" w:rsidRPr="001B4CA2" w:rsidRDefault="00F8395E" w:rsidP="002A38E7">
            <w:pPr>
              <w:jc w:val="center"/>
              <w:rPr>
                <w:rFonts w:eastAsia="Times New Roman"/>
                <w:sz w:val="18"/>
                <w:szCs w:val="18"/>
                <w:lang w:eastAsia="hr-HR"/>
              </w:rPr>
            </w:pPr>
            <w:r w:rsidRPr="001B4CA2">
              <w:rPr>
                <w:color w:val="000000"/>
                <w:sz w:val="18"/>
                <w:szCs w:val="18"/>
              </w:rPr>
              <w:t>3</w:t>
            </w:r>
          </w:p>
        </w:tc>
        <w:tc>
          <w:tcPr>
            <w:tcW w:w="1255" w:type="dxa"/>
            <w:shd w:val="clear" w:color="auto" w:fill="auto"/>
            <w:vAlign w:val="center"/>
          </w:tcPr>
          <w:p w14:paraId="43B7DE27" w14:textId="77777777" w:rsidR="00F8395E" w:rsidRPr="001B4CA2" w:rsidRDefault="00F8395E" w:rsidP="002A38E7">
            <w:pPr>
              <w:jc w:val="center"/>
              <w:rPr>
                <w:rFonts w:eastAsia="Times New Roman"/>
                <w:sz w:val="18"/>
                <w:szCs w:val="18"/>
                <w:lang w:eastAsia="hr-HR"/>
              </w:rPr>
            </w:pPr>
            <w:r w:rsidRPr="001B4CA2">
              <w:rPr>
                <w:color w:val="000000"/>
                <w:sz w:val="18"/>
                <w:szCs w:val="18"/>
              </w:rPr>
              <w:t>32</w:t>
            </w:r>
          </w:p>
        </w:tc>
        <w:tc>
          <w:tcPr>
            <w:tcW w:w="1255" w:type="dxa"/>
            <w:shd w:val="clear" w:color="auto" w:fill="auto"/>
            <w:vAlign w:val="center"/>
          </w:tcPr>
          <w:p w14:paraId="7FD24B57" w14:textId="77777777" w:rsidR="00F8395E" w:rsidRPr="001B4CA2" w:rsidRDefault="00F8395E" w:rsidP="002A38E7">
            <w:pPr>
              <w:jc w:val="center"/>
              <w:rPr>
                <w:rFonts w:eastAsia="Times New Roman"/>
                <w:sz w:val="18"/>
                <w:szCs w:val="18"/>
                <w:lang w:eastAsia="hr-HR"/>
              </w:rPr>
            </w:pPr>
            <w:r w:rsidRPr="001B4CA2">
              <w:rPr>
                <w:color w:val="000000"/>
                <w:sz w:val="18"/>
                <w:szCs w:val="18"/>
              </w:rPr>
              <w:t>30</w:t>
            </w:r>
          </w:p>
        </w:tc>
        <w:tc>
          <w:tcPr>
            <w:tcW w:w="1255" w:type="dxa"/>
            <w:vAlign w:val="center"/>
          </w:tcPr>
          <w:p w14:paraId="41A14C41" w14:textId="77777777" w:rsidR="00F8395E" w:rsidRPr="001B4CA2" w:rsidRDefault="00F8395E" w:rsidP="002A38E7">
            <w:pPr>
              <w:jc w:val="center"/>
              <w:rPr>
                <w:rFonts w:eastAsia="Times New Roman"/>
                <w:sz w:val="18"/>
                <w:szCs w:val="18"/>
                <w:lang w:eastAsia="hr-HR"/>
              </w:rPr>
            </w:pPr>
            <w:r w:rsidRPr="001B4CA2">
              <w:rPr>
                <w:color w:val="000000"/>
                <w:sz w:val="18"/>
                <w:szCs w:val="18"/>
              </w:rPr>
              <w:t>154</w:t>
            </w:r>
          </w:p>
        </w:tc>
      </w:tr>
    </w:tbl>
    <w:p w14:paraId="1E52713F" w14:textId="77777777" w:rsidR="00F8395E" w:rsidRPr="001B4CA2" w:rsidRDefault="00F8395E" w:rsidP="00F8395E"/>
    <w:p w14:paraId="5BCF32DC" w14:textId="3AEB36EE" w:rsidR="00F8395E" w:rsidRPr="001B4CA2" w:rsidRDefault="00F8395E" w:rsidP="00F8395E">
      <w:pPr>
        <w:ind w:firstLine="708"/>
      </w:pPr>
      <w:r w:rsidRPr="001B4CA2">
        <w:t xml:space="preserve">Sigurnosne </w:t>
      </w:r>
      <w:r w:rsidR="00166CCE" w:rsidRPr="001B4CA2">
        <w:t xml:space="preserve">se </w:t>
      </w:r>
      <w:r w:rsidRPr="001B4CA2">
        <w:t>mjere izriču počiniteljima kaznenih djela uz sankciju radi otklanjanja okolnosti koje omogućuju ili poticajno djeluju na počinjenje novih kaznenih djela.</w:t>
      </w:r>
    </w:p>
    <w:p w14:paraId="36DF0BDF" w14:textId="77777777" w:rsidR="00F8395E" w:rsidRPr="001B4CA2" w:rsidRDefault="00F8395E" w:rsidP="00F8395E"/>
    <w:p w14:paraId="25D73DB5" w14:textId="77777777" w:rsidR="00F8395E" w:rsidRPr="001B4CA2" w:rsidRDefault="00F8395E" w:rsidP="00F8395E">
      <w:pPr>
        <w:ind w:firstLine="708"/>
      </w:pPr>
      <w:r w:rsidRPr="001B4CA2">
        <w:t>Tijekom 2022. godine za kaznena djela iz županijske nadležnosti izrečene su sigurnosne mjere prema 126 okrivljenika, što čini porast u odnosu na prethodno izvještajno razdoblje za 18,19 %, kada je bilo izrečeno 126 sigurnosnih mjera.</w:t>
      </w:r>
    </w:p>
    <w:p w14:paraId="4D671E79" w14:textId="77777777" w:rsidR="00F8395E" w:rsidRPr="001B4CA2" w:rsidRDefault="00F8395E" w:rsidP="00F8395E"/>
    <w:p w14:paraId="0808DA02" w14:textId="6CA72765" w:rsidR="00F8395E" w:rsidRPr="001B4CA2" w:rsidRDefault="00F8395E" w:rsidP="00F8395E">
      <w:pPr>
        <w:ind w:firstLine="708"/>
      </w:pPr>
      <w:r w:rsidRPr="001B4CA2">
        <w:t>U strukturi izrečenih sigurnosnih mjera došlo je do određenih promjena u odnosu na ranije izvještajno razdoblje. Tako su u 2022. godini najčešće izricane sigurnosne mjere obveznog psihijatrijskog liječenja i obveznog liječenja od ovisnosti, a koje u strukturi izrečenih sigurnosnih mjera sudjeluju s ukupno 57,79</w:t>
      </w:r>
      <w:r w:rsidR="00166CCE">
        <w:t> </w:t>
      </w:r>
      <w:r w:rsidRPr="001B4CA2">
        <w:t>%. Jednako kao i u ranijim izvještajnim razdobljima ove sigurnosne mjere najčešće su izricane prema počiniteljima kaznenih djela ubojstava iz članka 110. Kaznenog zakona i teškog ubojstva iz članka 111. Kaznenog zakona.</w:t>
      </w:r>
    </w:p>
    <w:p w14:paraId="56A02E3B" w14:textId="77777777" w:rsidR="00F8395E" w:rsidRPr="001B4CA2" w:rsidRDefault="00F8395E" w:rsidP="00F8395E"/>
    <w:p w14:paraId="5A1A6D6A" w14:textId="7D74FC42" w:rsidR="00F8395E" w:rsidRPr="001B4CA2" w:rsidRDefault="00F8395E" w:rsidP="00F8395E">
      <w:pPr>
        <w:ind w:firstLine="708"/>
      </w:pPr>
      <w:r w:rsidRPr="001B4CA2">
        <w:t>Prema zastupljenosti dalje slijedi sigurnosna mjera zabrane upravljanja motornim vozilom s ukupno 18,48</w:t>
      </w:r>
      <w:r w:rsidR="00166CCE">
        <w:t> </w:t>
      </w:r>
      <w:r w:rsidRPr="001B4CA2">
        <w:t>%, koj</w:t>
      </w:r>
      <w:r w:rsidR="00166CCE">
        <w:t>a</w:t>
      </w:r>
      <w:r w:rsidRPr="001B4CA2">
        <w:t xml:space="preserve"> </w:t>
      </w:r>
      <w:r w:rsidR="00166CCE">
        <w:t>je</w:t>
      </w:r>
      <w:r w:rsidRPr="001B4CA2">
        <w:t xml:space="preserve"> izrečen</w:t>
      </w:r>
      <w:r w:rsidR="00166CCE">
        <w:t>a</w:t>
      </w:r>
      <w:r w:rsidRPr="001B4CA2">
        <w:t xml:space="preserve"> počiniteljima kaznenih djela izazivanja prometne nesreće u cestovnom prometu</w:t>
      </w:r>
      <w:r w:rsidR="001B4CA2">
        <w:t xml:space="preserve"> </w:t>
      </w:r>
      <w:r w:rsidRPr="001B4CA2">
        <w:t>s prouzročenim smrtnim posljedicama, a također su izrečene i 3 mjere zabrane obavljanja određene dužnosti ili djelatnosti</w:t>
      </w:r>
      <w:r w:rsidR="00166CCE">
        <w:t>,</w:t>
      </w:r>
      <w:r w:rsidRPr="001B4CA2">
        <w:t xml:space="preserve"> i to za kaznena djela iz oblasti gospodarskog kriminaliteta.</w:t>
      </w:r>
    </w:p>
    <w:p w14:paraId="42E46F7F" w14:textId="77777777" w:rsidR="00F8395E" w:rsidRPr="001B4CA2" w:rsidRDefault="00F8395E" w:rsidP="00F8395E"/>
    <w:p w14:paraId="50963BDE" w14:textId="616D824F" w:rsidR="00F8395E" w:rsidRPr="001B4CA2" w:rsidRDefault="00F8395E" w:rsidP="00F8395E">
      <w:pPr>
        <w:ind w:firstLine="708"/>
      </w:pPr>
      <w:r w:rsidRPr="001B4CA2">
        <w:t xml:space="preserve">Ostale sigurnosne mjere zajedno participiraju s 18,48 % u ukupnom broju izrečenih sigurnosnih mjera. </w:t>
      </w:r>
    </w:p>
    <w:p w14:paraId="412D0B5B" w14:textId="78198928" w:rsidR="005A0983" w:rsidRPr="001B4CA2" w:rsidRDefault="005A0983" w:rsidP="00F8395E">
      <w:pPr>
        <w:ind w:firstLine="708"/>
      </w:pPr>
    </w:p>
    <w:p w14:paraId="06AFC157" w14:textId="1F98D92F" w:rsidR="005A0983" w:rsidRPr="001B4CA2" w:rsidRDefault="005A0983" w:rsidP="00F8395E">
      <w:pPr>
        <w:ind w:firstLine="708"/>
      </w:pPr>
    </w:p>
    <w:p w14:paraId="45D0AADA" w14:textId="713751AC" w:rsidR="005A0983" w:rsidRPr="001B4CA2" w:rsidRDefault="005A0983" w:rsidP="00F8395E">
      <w:pPr>
        <w:ind w:firstLine="708"/>
      </w:pPr>
    </w:p>
    <w:p w14:paraId="72452393" w14:textId="6172B46A" w:rsidR="005A0983" w:rsidRPr="001B4CA2" w:rsidRDefault="005A0983" w:rsidP="00F8395E">
      <w:pPr>
        <w:ind w:firstLine="708"/>
      </w:pPr>
    </w:p>
    <w:p w14:paraId="088023A6" w14:textId="36E44250" w:rsidR="005A0983" w:rsidRPr="001B4CA2" w:rsidRDefault="005A0983" w:rsidP="00F8395E">
      <w:pPr>
        <w:ind w:firstLine="708"/>
      </w:pPr>
    </w:p>
    <w:p w14:paraId="6DD0DAF0" w14:textId="006C2E44" w:rsidR="005A0983" w:rsidRPr="001B4CA2" w:rsidRDefault="005A0983" w:rsidP="00F8395E">
      <w:pPr>
        <w:ind w:firstLine="708"/>
      </w:pPr>
    </w:p>
    <w:p w14:paraId="51378A98" w14:textId="5ACCC348" w:rsidR="005A0983" w:rsidRPr="001B4CA2" w:rsidRDefault="005A0983" w:rsidP="00F8395E">
      <w:pPr>
        <w:ind w:firstLine="708"/>
      </w:pPr>
    </w:p>
    <w:p w14:paraId="7C6C9332" w14:textId="6C57D089" w:rsidR="005A0983" w:rsidRPr="001B4CA2" w:rsidRDefault="005A0983" w:rsidP="00F8395E">
      <w:pPr>
        <w:ind w:firstLine="708"/>
      </w:pPr>
    </w:p>
    <w:p w14:paraId="7FE7FCD8" w14:textId="01DBEC06" w:rsidR="005A0983" w:rsidRPr="001B4CA2" w:rsidRDefault="005A0983" w:rsidP="00F8395E">
      <w:pPr>
        <w:ind w:firstLine="708"/>
      </w:pPr>
    </w:p>
    <w:p w14:paraId="6CFA57E7" w14:textId="5B0B1BD3" w:rsidR="005A0983" w:rsidRPr="001B4CA2" w:rsidRDefault="005A0983" w:rsidP="00F8395E">
      <w:pPr>
        <w:ind w:firstLine="708"/>
      </w:pPr>
    </w:p>
    <w:p w14:paraId="54375594" w14:textId="69DAE621" w:rsidR="005A0983" w:rsidRPr="001B4CA2" w:rsidRDefault="005A0983" w:rsidP="00F8395E">
      <w:pPr>
        <w:ind w:firstLine="708"/>
      </w:pPr>
    </w:p>
    <w:p w14:paraId="0DBB7840" w14:textId="77777777" w:rsidR="005A0983" w:rsidRPr="001B4CA2" w:rsidRDefault="005A0983" w:rsidP="00F8395E">
      <w:pPr>
        <w:ind w:firstLine="708"/>
      </w:pPr>
    </w:p>
    <w:p w14:paraId="323D1A71" w14:textId="77777777" w:rsidR="000E4567" w:rsidRPr="001B4CA2" w:rsidRDefault="000E4567" w:rsidP="007C5E8A"/>
    <w:p w14:paraId="1B8B5C1C" w14:textId="6C3CAF78" w:rsidR="00BB4D48" w:rsidRPr="001B4CA2" w:rsidRDefault="00542189" w:rsidP="005A0983">
      <w:pPr>
        <w:pStyle w:val="Naslov5"/>
        <w:tabs>
          <w:tab w:val="left" w:pos="851"/>
        </w:tabs>
        <w:ind w:left="851" w:hanging="425"/>
        <w:rPr>
          <w:rFonts w:ascii="Arial" w:hAnsi="Arial" w:cs="Arial"/>
        </w:rPr>
      </w:pPr>
      <w:bookmarkStart w:id="81" w:name="_Toc133394341"/>
      <w:r w:rsidRPr="001B4CA2">
        <w:rPr>
          <w:rFonts w:ascii="Arial" w:hAnsi="Arial" w:cs="Arial"/>
        </w:rPr>
        <w:lastRenderedPageBreak/>
        <w:t>Kaznene sankcije</w:t>
      </w:r>
      <w:r w:rsidR="008443EC" w:rsidRPr="001B4CA2">
        <w:rPr>
          <w:rFonts w:ascii="Arial" w:hAnsi="Arial" w:cs="Arial"/>
        </w:rPr>
        <w:t xml:space="preserve"> – </w:t>
      </w:r>
      <w:r w:rsidRPr="001B4CA2">
        <w:rPr>
          <w:rFonts w:ascii="Arial" w:hAnsi="Arial" w:cs="Arial"/>
        </w:rPr>
        <w:t>maloljetnici</w:t>
      </w:r>
      <w:bookmarkEnd w:id="81"/>
    </w:p>
    <w:p w14:paraId="5CE86B3D" w14:textId="77777777" w:rsidR="008B0696" w:rsidRPr="001B4CA2" w:rsidRDefault="008B0696" w:rsidP="005C5F49"/>
    <w:p w14:paraId="717AC50F" w14:textId="3D7BBD0A" w:rsidR="000E4567" w:rsidRPr="001B4CA2" w:rsidRDefault="001B4CA2" w:rsidP="000E4567">
      <w:pPr>
        <w:rPr>
          <w:i/>
          <w:iCs/>
        </w:rPr>
      </w:pPr>
      <w:r>
        <w:tab/>
      </w:r>
      <w:r w:rsidR="000E4567" w:rsidRPr="001B4CA2">
        <w:rPr>
          <w:i/>
          <w:iCs/>
        </w:rPr>
        <w:t>Kaznene sankcije</w:t>
      </w:r>
    </w:p>
    <w:tbl>
      <w:tblPr>
        <w:tblW w:w="7676" w:type="dxa"/>
        <w:tblInd w:w="118" w:type="dxa"/>
        <w:tblLook w:val="04A0" w:firstRow="1" w:lastRow="0" w:firstColumn="1" w:lastColumn="0" w:noHBand="0" w:noVBand="1"/>
      </w:tblPr>
      <w:tblGrid>
        <w:gridCol w:w="836"/>
        <w:gridCol w:w="1077"/>
        <w:gridCol w:w="997"/>
        <w:gridCol w:w="847"/>
        <w:gridCol w:w="937"/>
        <w:gridCol w:w="916"/>
        <w:gridCol w:w="1037"/>
        <w:gridCol w:w="1166"/>
      </w:tblGrid>
      <w:tr w:rsidR="000E4567" w:rsidRPr="001B4CA2" w14:paraId="2A9A82C7" w14:textId="77777777" w:rsidTr="002A38E7">
        <w:trPr>
          <w:trHeight w:val="1515"/>
        </w:trPr>
        <w:tc>
          <w:tcPr>
            <w:tcW w:w="788" w:type="dxa"/>
            <w:tcBorders>
              <w:top w:val="single" w:sz="8" w:space="0" w:color="000000"/>
              <w:left w:val="single" w:sz="8" w:space="0" w:color="000000"/>
              <w:bottom w:val="single" w:sz="8" w:space="0" w:color="000000"/>
              <w:right w:val="single" w:sz="8" w:space="0" w:color="000000"/>
            </w:tcBorders>
            <w:shd w:val="clear" w:color="000000" w:fill="99CCFF"/>
            <w:vAlign w:val="center"/>
            <w:hideMark/>
          </w:tcPr>
          <w:p w14:paraId="0DE6B3F5" w14:textId="77777777" w:rsidR="000E4567" w:rsidRPr="001B4CA2" w:rsidRDefault="000E4567" w:rsidP="002A38E7">
            <w:pPr>
              <w:jc w:val="center"/>
              <w:rPr>
                <w:b/>
                <w:bCs/>
                <w:color w:val="000000"/>
                <w:sz w:val="18"/>
                <w:szCs w:val="18"/>
              </w:rPr>
            </w:pPr>
            <w:r w:rsidRPr="001B4CA2">
              <w:rPr>
                <w:b/>
                <w:bCs/>
                <w:color w:val="000000"/>
                <w:sz w:val="18"/>
                <w:szCs w:val="18"/>
              </w:rPr>
              <w:t>Godina</w:t>
            </w:r>
          </w:p>
        </w:tc>
        <w:tc>
          <w:tcPr>
            <w:tcW w:w="1082" w:type="dxa"/>
            <w:tcBorders>
              <w:top w:val="single" w:sz="8" w:space="0" w:color="000000"/>
              <w:left w:val="nil"/>
              <w:bottom w:val="single" w:sz="8" w:space="0" w:color="000000"/>
              <w:right w:val="single" w:sz="8" w:space="0" w:color="000000"/>
            </w:tcBorders>
            <w:shd w:val="clear" w:color="000000" w:fill="99CCFF"/>
            <w:vAlign w:val="center"/>
            <w:hideMark/>
          </w:tcPr>
          <w:p w14:paraId="669279DF" w14:textId="77777777" w:rsidR="000E4567" w:rsidRPr="001B4CA2" w:rsidRDefault="000E4567" w:rsidP="002A38E7">
            <w:pPr>
              <w:jc w:val="center"/>
              <w:rPr>
                <w:b/>
                <w:bCs/>
                <w:color w:val="000000"/>
                <w:sz w:val="18"/>
                <w:szCs w:val="18"/>
              </w:rPr>
            </w:pPr>
            <w:r w:rsidRPr="001B4CA2">
              <w:rPr>
                <w:b/>
                <w:bCs/>
                <w:color w:val="000000"/>
                <w:sz w:val="18"/>
                <w:szCs w:val="18"/>
              </w:rPr>
              <w:t xml:space="preserve">Ukupan broj prijedloga za </w:t>
            </w:r>
            <w:proofErr w:type="spellStart"/>
            <w:r w:rsidRPr="001B4CA2">
              <w:rPr>
                <w:b/>
                <w:bCs/>
                <w:color w:val="000000"/>
                <w:sz w:val="18"/>
                <w:szCs w:val="18"/>
              </w:rPr>
              <w:t>mlt</w:t>
            </w:r>
            <w:proofErr w:type="spellEnd"/>
            <w:r w:rsidRPr="001B4CA2">
              <w:rPr>
                <w:b/>
                <w:bCs/>
                <w:color w:val="000000"/>
                <w:sz w:val="18"/>
                <w:szCs w:val="18"/>
              </w:rPr>
              <w:t>. sankciju</w:t>
            </w:r>
          </w:p>
        </w:tc>
        <w:tc>
          <w:tcPr>
            <w:tcW w:w="984" w:type="dxa"/>
            <w:tcBorders>
              <w:top w:val="single" w:sz="8" w:space="0" w:color="000000"/>
              <w:left w:val="nil"/>
              <w:bottom w:val="single" w:sz="8" w:space="0" w:color="000000"/>
              <w:right w:val="single" w:sz="8" w:space="0" w:color="000000"/>
            </w:tcBorders>
            <w:shd w:val="clear" w:color="000000" w:fill="99CCFF"/>
            <w:vAlign w:val="center"/>
            <w:hideMark/>
          </w:tcPr>
          <w:p w14:paraId="1C5A3EE0" w14:textId="77777777" w:rsidR="000E4567" w:rsidRPr="001B4CA2" w:rsidRDefault="000E4567" w:rsidP="002A38E7">
            <w:pPr>
              <w:jc w:val="center"/>
              <w:rPr>
                <w:b/>
                <w:bCs/>
                <w:color w:val="000000"/>
                <w:sz w:val="18"/>
                <w:szCs w:val="18"/>
              </w:rPr>
            </w:pPr>
            <w:r w:rsidRPr="001B4CA2">
              <w:rPr>
                <w:b/>
                <w:bCs/>
                <w:color w:val="000000"/>
                <w:sz w:val="18"/>
                <w:szCs w:val="18"/>
              </w:rPr>
              <w:t xml:space="preserve">Ukupan broj izrečenih </w:t>
            </w:r>
            <w:proofErr w:type="spellStart"/>
            <w:r w:rsidRPr="001B4CA2">
              <w:rPr>
                <w:b/>
                <w:bCs/>
                <w:color w:val="000000"/>
                <w:sz w:val="18"/>
                <w:szCs w:val="18"/>
              </w:rPr>
              <w:t>mlt</w:t>
            </w:r>
            <w:proofErr w:type="spellEnd"/>
            <w:r w:rsidRPr="001B4CA2">
              <w:rPr>
                <w:b/>
                <w:bCs/>
                <w:color w:val="000000"/>
                <w:sz w:val="18"/>
                <w:szCs w:val="18"/>
              </w:rPr>
              <w:t>. sankcija</w:t>
            </w:r>
          </w:p>
        </w:tc>
        <w:tc>
          <w:tcPr>
            <w:tcW w:w="801" w:type="dxa"/>
            <w:tcBorders>
              <w:top w:val="single" w:sz="8" w:space="0" w:color="000000"/>
              <w:left w:val="nil"/>
              <w:bottom w:val="single" w:sz="8" w:space="0" w:color="000000"/>
              <w:right w:val="single" w:sz="8" w:space="0" w:color="000000"/>
            </w:tcBorders>
            <w:shd w:val="clear" w:color="000000" w:fill="99CCFF"/>
            <w:vAlign w:val="center"/>
            <w:hideMark/>
          </w:tcPr>
          <w:p w14:paraId="4D2AC934" w14:textId="77777777" w:rsidR="000E4567" w:rsidRPr="001B4CA2" w:rsidRDefault="000E4567" w:rsidP="002A38E7">
            <w:pPr>
              <w:jc w:val="center"/>
              <w:rPr>
                <w:b/>
                <w:bCs/>
                <w:color w:val="000000"/>
                <w:sz w:val="18"/>
                <w:szCs w:val="18"/>
              </w:rPr>
            </w:pPr>
            <w:r w:rsidRPr="001B4CA2">
              <w:rPr>
                <w:b/>
                <w:bCs/>
                <w:color w:val="000000"/>
                <w:sz w:val="18"/>
                <w:szCs w:val="18"/>
              </w:rPr>
              <w:t xml:space="preserve">Od toga kazna </w:t>
            </w:r>
            <w:proofErr w:type="spellStart"/>
            <w:r w:rsidRPr="001B4CA2">
              <w:rPr>
                <w:b/>
                <w:bCs/>
                <w:color w:val="000000"/>
                <w:sz w:val="18"/>
                <w:szCs w:val="18"/>
              </w:rPr>
              <w:t>mlt</w:t>
            </w:r>
            <w:proofErr w:type="spellEnd"/>
            <w:r w:rsidRPr="001B4CA2">
              <w:rPr>
                <w:b/>
                <w:bCs/>
                <w:color w:val="000000"/>
                <w:sz w:val="18"/>
                <w:szCs w:val="18"/>
              </w:rPr>
              <w:t>. zatvora</w:t>
            </w:r>
          </w:p>
        </w:tc>
        <w:tc>
          <w:tcPr>
            <w:tcW w:w="911" w:type="dxa"/>
            <w:tcBorders>
              <w:top w:val="single" w:sz="8" w:space="0" w:color="000000"/>
              <w:left w:val="nil"/>
              <w:bottom w:val="single" w:sz="8" w:space="0" w:color="000000"/>
              <w:right w:val="single" w:sz="8" w:space="0" w:color="000000"/>
            </w:tcBorders>
            <w:shd w:val="clear" w:color="000000" w:fill="99CCFF"/>
            <w:vAlign w:val="center"/>
            <w:hideMark/>
          </w:tcPr>
          <w:p w14:paraId="7D75A1B5" w14:textId="77777777" w:rsidR="000E4567" w:rsidRPr="001B4CA2" w:rsidRDefault="000E4567" w:rsidP="002A38E7">
            <w:pPr>
              <w:jc w:val="center"/>
              <w:rPr>
                <w:b/>
                <w:bCs/>
                <w:color w:val="000000"/>
                <w:sz w:val="18"/>
                <w:szCs w:val="18"/>
              </w:rPr>
            </w:pPr>
            <w:r w:rsidRPr="001B4CA2">
              <w:rPr>
                <w:b/>
                <w:bCs/>
                <w:color w:val="000000"/>
                <w:sz w:val="18"/>
                <w:szCs w:val="18"/>
              </w:rPr>
              <w:t xml:space="preserve">Od toga pridržaj izricanja </w:t>
            </w:r>
            <w:proofErr w:type="spellStart"/>
            <w:r w:rsidRPr="001B4CA2">
              <w:rPr>
                <w:b/>
                <w:bCs/>
                <w:color w:val="000000"/>
                <w:sz w:val="18"/>
                <w:szCs w:val="18"/>
              </w:rPr>
              <w:t>mlt</w:t>
            </w:r>
            <w:proofErr w:type="spellEnd"/>
            <w:r w:rsidRPr="001B4CA2">
              <w:rPr>
                <w:b/>
                <w:bCs/>
                <w:color w:val="000000"/>
                <w:sz w:val="18"/>
                <w:szCs w:val="18"/>
              </w:rPr>
              <w:t>. zatvora</w:t>
            </w:r>
          </w:p>
        </w:tc>
        <w:tc>
          <w:tcPr>
            <w:tcW w:w="886" w:type="dxa"/>
            <w:tcBorders>
              <w:top w:val="single" w:sz="8" w:space="0" w:color="000000"/>
              <w:left w:val="nil"/>
              <w:bottom w:val="single" w:sz="8" w:space="0" w:color="000000"/>
              <w:right w:val="single" w:sz="8" w:space="0" w:color="000000"/>
            </w:tcBorders>
            <w:shd w:val="clear" w:color="000000" w:fill="99CCFF"/>
            <w:vAlign w:val="center"/>
            <w:hideMark/>
          </w:tcPr>
          <w:p w14:paraId="24C9AA72" w14:textId="77777777" w:rsidR="000E4567" w:rsidRPr="001B4CA2" w:rsidRDefault="000E4567" w:rsidP="002A38E7">
            <w:pPr>
              <w:jc w:val="center"/>
              <w:rPr>
                <w:b/>
                <w:bCs/>
                <w:color w:val="000000"/>
                <w:sz w:val="18"/>
                <w:szCs w:val="18"/>
              </w:rPr>
            </w:pPr>
            <w:r w:rsidRPr="001B4CA2">
              <w:rPr>
                <w:b/>
                <w:bCs/>
                <w:color w:val="000000"/>
                <w:sz w:val="18"/>
                <w:szCs w:val="18"/>
              </w:rPr>
              <w:t>Od toga odgojne mjere</w:t>
            </w:r>
          </w:p>
        </w:tc>
        <w:tc>
          <w:tcPr>
            <w:tcW w:w="1033" w:type="dxa"/>
            <w:tcBorders>
              <w:top w:val="single" w:sz="8" w:space="0" w:color="000000"/>
              <w:left w:val="nil"/>
              <w:bottom w:val="single" w:sz="8" w:space="0" w:color="000000"/>
              <w:right w:val="single" w:sz="8" w:space="0" w:color="000000"/>
            </w:tcBorders>
            <w:shd w:val="clear" w:color="000000" w:fill="99CCFF"/>
            <w:vAlign w:val="center"/>
            <w:hideMark/>
          </w:tcPr>
          <w:p w14:paraId="679C9D78" w14:textId="77777777" w:rsidR="000E4567" w:rsidRPr="001B4CA2" w:rsidRDefault="000E4567" w:rsidP="002A38E7">
            <w:pPr>
              <w:jc w:val="center"/>
              <w:rPr>
                <w:b/>
                <w:bCs/>
                <w:color w:val="000000"/>
                <w:sz w:val="18"/>
                <w:szCs w:val="18"/>
              </w:rPr>
            </w:pPr>
            <w:r w:rsidRPr="001B4CA2">
              <w:rPr>
                <w:b/>
                <w:bCs/>
                <w:color w:val="000000"/>
                <w:sz w:val="18"/>
                <w:szCs w:val="18"/>
              </w:rPr>
              <w:t>Obustava postupka</w:t>
            </w:r>
          </w:p>
        </w:tc>
        <w:tc>
          <w:tcPr>
            <w:tcW w:w="1191" w:type="dxa"/>
            <w:tcBorders>
              <w:top w:val="single" w:sz="8" w:space="0" w:color="000000"/>
              <w:left w:val="nil"/>
              <w:bottom w:val="single" w:sz="8" w:space="0" w:color="000000"/>
              <w:right w:val="single" w:sz="8" w:space="0" w:color="000000"/>
            </w:tcBorders>
            <w:shd w:val="clear" w:color="000000" w:fill="99CCFF"/>
            <w:vAlign w:val="center"/>
            <w:hideMark/>
          </w:tcPr>
          <w:p w14:paraId="7E51FE6C" w14:textId="77777777" w:rsidR="000E4567" w:rsidRPr="001B4CA2" w:rsidRDefault="000E4567" w:rsidP="002A38E7">
            <w:pPr>
              <w:jc w:val="center"/>
              <w:rPr>
                <w:b/>
                <w:bCs/>
                <w:color w:val="000000"/>
                <w:sz w:val="18"/>
                <w:szCs w:val="18"/>
              </w:rPr>
            </w:pPr>
            <w:r w:rsidRPr="001B4CA2">
              <w:rPr>
                <w:b/>
                <w:bCs/>
                <w:color w:val="000000"/>
                <w:sz w:val="18"/>
                <w:szCs w:val="18"/>
              </w:rPr>
              <w:t xml:space="preserve">Od toga </w:t>
            </w:r>
            <w:proofErr w:type="spellStart"/>
            <w:r w:rsidRPr="001B4CA2">
              <w:rPr>
                <w:b/>
                <w:bCs/>
                <w:color w:val="000000"/>
                <w:sz w:val="18"/>
                <w:szCs w:val="18"/>
              </w:rPr>
              <w:t>oportunitet</w:t>
            </w:r>
            <w:proofErr w:type="spellEnd"/>
          </w:p>
        </w:tc>
      </w:tr>
      <w:tr w:rsidR="000E4567" w:rsidRPr="001B4CA2" w14:paraId="48481EA8" w14:textId="77777777" w:rsidTr="002A38E7">
        <w:trPr>
          <w:trHeight w:val="300"/>
        </w:trPr>
        <w:tc>
          <w:tcPr>
            <w:tcW w:w="788" w:type="dxa"/>
            <w:tcBorders>
              <w:top w:val="nil"/>
              <w:left w:val="single" w:sz="8" w:space="0" w:color="000000"/>
              <w:bottom w:val="single" w:sz="8" w:space="0" w:color="000000"/>
              <w:right w:val="single" w:sz="8" w:space="0" w:color="000000"/>
            </w:tcBorders>
            <w:shd w:val="clear" w:color="auto" w:fill="auto"/>
            <w:vAlign w:val="center"/>
            <w:hideMark/>
          </w:tcPr>
          <w:p w14:paraId="0497C46B" w14:textId="77777777" w:rsidR="000E4567" w:rsidRPr="001B4CA2" w:rsidRDefault="000E4567" w:rsidP="002A38E7">
            <w:pPr>
              <w:jc w:val="center"/>
              <w:rPr>
                <w:color w:val="000000"/>
                <w:sz w:val="18"/>
                <w:szCs w:val="18"/>
              </w:rPr>
            </w:pPr>
            <w:r w:rsidRPr="001B4CA2">
              <w:rPr>
                <w:color w:val="000000"/>
                <w:sz w:val="18"/>
                <w:szCs w:val="18"/>
              </w:rPr>
              <w:t>2018.</w:t>
            </w:r>
          </w:p>
        </w:tc>
        <w:tc>
          <w:tcPr>
            <w:tcW w:w="1082" w:type="dxa"/>
            <w:tcBorders>
              <w:top w:val="nil"/>
              <w:left w:val="nil"/>
              <w:bottom w:val="single" w:sz="8" w:space="0" w:color="000000"/>
              <w:right w:val="single" w:sz="8" w:space="0" w:color="000000"/>
            </w:tcBorders>
            <w:shd w:val="clear" w:color="auto" w:fill="auto"/>
            <w:vAlign w:val="center"/>
            <w:hideMark/>
          </w:tcPr>
          <w:p w14:paraId="4D56F238" w14:textId="77777777" w:rsidR="000E4567" w:rsidRPr="001B4CA2" w:rsidRDefault="000E4567" w:rsidP="002A38E7">
            <w:pPr>
              <w:jc w:val="center"/>
              <w:rPr>
                <w:color w:val="000000"/>
                <w:sz w:val="18"/>
                <w:szCs w:val="18"/>
              </w:rPr>
            </w:pPr>
            <w:r w:rsidRPr="001B4CA2">
              <w:rPr>
                <w:color w:val="000000"/>
                <w:sz w:val="18"/>
                <w:szCs w:val="18"/>
              </w:rPr>
              <w:t>31</w:t>
            </w:r>
          </w:p>
        </w:tc>
        <w:tc>
          <w:tcPr>
            <w:tcW w:w="984" w:type="dxa"/>
            <w:tcBorders>
              <w:top w:val="nil"/>
              <w:left w:val="nil"/>
              <w:bottom w:val="single" w:sz="8" w:space="0" w:color="000000"/>
              <w:right w:val="single" w:sz="8" w:space="0" w:color="000000"/>
            </w:tcBorders>
            <w:shd w:val="clear" w:color="auto" w:fill="auto"/>
            <w:vAlign w:val="center"/>
            <w:hideMark/>
          </w:tcPr>
          <w:p w14:paraId="1B9734C6" w14:textId="77777777" w:rsidR="000E4567" w:rsidRPr="001B4CA2" w:rsidRDefault="000E4567" w:rsidP="002A38E7">
            <w:pPr>
              <w:jc w:val="center"/>
              <w:rPr>
                <w:color w:val="000000"/>
                <w:sz w:val="18"/>
                <w:szCs w:val="18"/>
              </w:rPr>
            </w:pPr>
            <w:r w:rsidRPr="001B4CA2">
              <w:rPr>
                <w:color w:val="000000"/>
                <w:sz w:val="18"/>
                <w:szCs w:val="18"/>
              </w:rPr>
              <w:t>30</w:t>
            </w:r>
          </w:p>
        </w:tc>
        <w:tc>
          <w:tcPr>
            <w:tcW w:w="801" w:type="dxa"/>
            <w:tcBorders>
              <w:top w:val="nil"/>
              <w:left w:val="nil"/>
              <w:bottom w:val="single" w:sz="8" w:space="0" w:color="000000"/>
              <w:right w:val="single" w:sz="8" w:space="0" w:color="000000"/>
            </w:tcBorders>
            <w:shd w:val="clear" w:color="auto" w:fill="auto"/>
            <w:vAlign w:val="center"/>
            <w:hideMark/>
          </w:tcPr>
          <w:p w14:paraId="12D04F06" w14:textId="77777777" w:rsidR="000E4567" w:rsidRPr="001B4CA2" w:rsidRDefault="000E4567" w:rsidP="002A38E7">
            <w:pPr>
              <w:jc w:val="center"/>
              <w:rPr>
                <w:color w:val="000000"/>
                <w:sz w:val="18"/>
                <w:szCs w:val="18"/>
              </w:rPr>
            </w:pPr>
            <w:r w:rsidRPr="001B4CA2">
              <w:rPr>
                <w:color w:val="000000"/>
                <w:sz w:val="18"/>
                <w:szCs w:val="18"/>
              </w:rPr>
              <w:t>2</w:t>
            </w:r>
          </w:p>
        </w:tc>
        <w:tc>
          <w:tcPr>
            <w:tcW w:w="911" w:type="dxa"/>
            <w:tcBorders>
              <w:top w:val="nil"/>
              <w:left w:val="nil"/>
              <w:bottom w:val="single" w:sz="8" w:space="0" w:color="000000"/>
              <w:right w:val="single" w:sz="8" w:space="0" w:color="000000"/>
            </w:tcBorders>
            <w:shd w:val="clear" w:color="auto" w:fill="auto"/>
            <w:vAlign w:val="center"/>
            <w:hideMark/>
          </w:tcPr>
          <w:p w14:paraId="5C744A68" w14:textId="77777777" w:rsidR="000E4567" w:rsidRPr="001B4CA2" w:rsidRDefault="000E4567" w:rsidP="002A38E7">
            <w:pPr>
              <w:jc w:val="center"/>
              <w:rPr>
                <w:color w:val="000000"/>
                <w:sz w:val="18"/>
                <w:szCs w:val="18"/>
              </w:rPr>
            </w:pPr>
            <w:r w:rsidRPr="001B4CA2">
              <w:rPr>
                <w:color w:val="000000"/>
                <w:sz w:val="18"/>
                <w:szCs w:val="18"/>
              </w:rPr>
              <w:t>3</w:t>
            </w:r>
          </w:p>
        </w:tc>
        <w:tc>
          <w:tcPr>
            <w:tcW w:w="886" w:type="dxa"/>
            <w:tcBorders>
              <w:top w:val="nil"/>
              <w:left w:val="nil"/>
              <w:bottom w:val="single" w:sz="8" w:space="0" w:color="000000"/>
              <w:right w:val="single" w:sz="8" w:space="0" w:color="000000"/>
            </w:tcBorders>
            <w:shd w:val="clear" w:color="auto" w:fill="auto"/>
            <w:vAlign w:val="center"/>
            <w:hideMark/>
          </w:tcPr>
          <w:p w14:paraId="74575E94" w14:textId="77777777" w:rsidR="000E4567" w:rsidRPr="001B4CA2" w:rsidRDefault="000E4567" w:rsidP="002A38E7">
            <w:pPr>
              <w:jc w:val="center"/>
              <w:rPr>
                <w:color w:val="000000"/>
                <w:sz w:val="18"/>
                <w:szCs w:val="18"/>
              </w:rPr>
            </w:pPr>
            <w:r w:rsidRPr="001B4CA2">
              <w:rPr>
                <w:color w:val="000000"/>
                <w:sz w:val="18"/>
                <w:szCs w:val="18"/>
              </w:rPr>
              <w:t>25</w:t>
            </w:r>
          </w:p>
        </w:tc>
        <w:tc>
          <w:tcPr>
            <w:tcW w:w="1033" w:type="dxa"/>
            <w:tcBorders>
              <w:top w:val="nil"/>
              <w:left w:val="nil"/>
              <w:bottom w:val="single" w:sz="8" w:space="0" w:color="000000"/>
              <w:right w:val="single" w:sz="8" w:space="0" w:color="000000"/>
            </w:tcBorders>
            <w:shd w:val="clear" w:color="auto" w:fill="auto"/>
            <w:vAlign w:val="center"/>
            <w:hideMark/>
          </w:tcPr>
          <w:p w14:paraId="56D45C0F" w14:textId="77777777" w:rsidR="000E4567" w:rsidRPr="001B4CA2" w:rsidRDefault="000E4567" w:rsidP="002A38E7">
            <w:pPr>
              <w:jc w:val="center"/>
              <w:rPr>
                <w:color w:val="000000"/>
                <w:sz w:val="18"/>
                <w:szCs w:val="18"/>
              </w:rPr>
            </w:pPr>
            <w:r w:rsidRPr="001B4CA2">
              <w:rPr>
                <w:color w:val="000000"/>
                <w:sz w:val="18"/>
                <w:szCs w:val="18"/>
              </w:rPr>
              <w:t>2</w:t>
            </w:r>
          </w:p>
        </w:tc>
        <w:tc>
          <w:tcPr>
            <w:tcW w:w="1191" w:type="dxa"/>
            <w:tcBorders>
              <w:top w:val="nil"/>
              <w:left w:val="nil"/>
              <w:bottom w:val="single" w:sz="8" w:space="0" w:color="000000"/>
              <w:right w:val="single" w:sz="8" w:space="0" w:color="000000"/>
            </w:tcBorders>
            <w:shd w:val="clear" w:color="auto" w:fill="auto"/>
            <w:vAlign w:val="center"/>
            <w:hideMark/>
          </w:tcPr>
          <w:p w14:paraId="2BDC94E0" w14:textId="77777777" w:rsidR="000E4567" w:rsidRPr="001B4CA2" w:rsidRDefault="000E4567" w:rsidP="002A38E7">
            <w:pPr>
              <w:jc w:val="center"/>
              <w:rPr>
                <w:color w:val="000000"/>
                <w:sz w:val="18"/>
                <w:szCs w:val="18"/>
              </w:rPr>
            </w:pPr>
            <w:r w:rsidRPr="001B4CA2">
              <w:rPr>
                <w:color w:val="000000"/>
                <w:sz w:val="18"/>
                <w:szCs w:val="18"/>
              </w:rPr>
              <w:t> </w:t>
            </w:r>
          </w:p>
        </w:tc>
      </w:tr>
      <w:tr w:rsidR="000E4567" w:rsidRPr="001B4CA2" w14:paraId="58A9C85F" w14:textId="77777777" w:rsidTr="002A38E7">
        <w:trPr>
          <w:trHeight w:val="300"/>
        </w:trPr>
        <w:tc>
          <w:tcPr>
            <w:tcW w:w="788" w:type="dxa"/>
            <w:tcBorders>
              <w:top w:val="nil"/>
              <w:left w:val="single" w:sz="8" w:space="0" w:color="000000"/>
              <w:bottom w:val="single" w:sz="8" w:space="0" w:color="000000"/>
              <w:right w:val="single" w:sz="8" w:space="0" w:color="000000"/>
            </w:tcBorders>
            <w:shd w:val="clear" w:color="auto" w:fill="auto"/>
            <w:vAlign w:val="center"/>
            <w:hideMark/>
          </w:tcPr>
          <w:p w14:paraId="11CCDF3D" w14:textId="77777777" w:rsidR="000E4567" w:rsidRPr="001B4CA2" w:rsidRDefault="000E4567" w:rsidP="002A38E7">
            <w:pPr>
              <w:jc w:val="center"/>
              <w:rPr>
                <w:color w:val="000000"/>
                <w:sz w:val="18"/>
                <w:szCs w:val="18"/>
              </w:rPr>
            </w:pPr>
            <w:r w:rsidRPr="001B4CA2">
              <w:rPr>
                <w:color w:val="000000"/>
                <w:sz w:val="18"/>
                <w:szCs w:val="18"/>
              </w:rPr>
              <w:t>2019.</w:t>
            </w:r>
          </w:p>
        </w:tc>
        <w:tc>
          <w:tcPr>
            <w:tcW w:w="1082" w:type="dxa"/>
            <w:tcBorders>
              <w:top w:val="nil"/>
              <w:left w:val="nil"/>
              <w:bottom w:val="single" w:sz="8" w:space="0" w:color="000000"/>
              <w:right w:val="single" w:sz="8" w:space="0" w:color="000000"/>
            </w:tcBorders>
            <w:shd w:val="clear" w:color="auto" w:fill="auto"/>
            <w:vAlign w:val="center"/>
            <w:hideMark/>
          </w:tcPr>
          <w:p w14:paraId="7B9CD038" w14:textId="77777777" w:rsidR="000E4567" w:rsidRPr="001B4CA2" w:rsidRDefault="000E4567" w:rsidP="002A38E7">
            <w:pPr>
              <w:jc w:val="center"/>
              <w:rPr>
                <w:color w:val="000000"/>
                <w:sz w:val="18"/>
                <w:szCs w:val="18"/>
              </w:rPr>
            </w:pPr>
            <w:r w:rsidRPr="001B4CA2">
              <w:rPr>
                <w:color w:val="000000"/>
                <w:sz w:val="18"/>
                <w:szCs w:val="18"/>
              </w:rPr>
              <w:t>91</w:t>
            </w:r>
          </w:p>
        </w:tc>
        <w:tc>
          <w:tcPr>
            <w:tcW w:w="984" w:type="dxa"/>
            <w:tcBorders>
              <w:top w:val="nil"/>
              <w:left w:val="nil"/>
              <w:bottom w:val="single" w:sz="8" w:space="0" w:color="000000"/>
              <w:right w:val="single" w:sz="8" w:space="0" w:color="000000"/>
            </w:tcBorders>
            <w:shd w:val="clear" w:color="auto" w:fill="auto"/>
            <w:vAlign w:val="center"/>
            <w:hideMark/>
          </w:tcPr>
          <w:p w14:paraId="49ECE2DD" w14:textId="77777777" w:rsidR="000E4567" w:rsidRPr="001B4CA2" w:rsidRDefault="000E4567" w:rsidP="002A38E7">
            <w:pPr>
              <w:jc w:val="center"/>
              <w:rPr>
                <w:color w:val="000000"/>
                <w:sz w:val="18"/>
                <w:szCs w:val="18"/>
              </w:rPr>
            </w:pPr>
            <w:r w:rsidRPr="001B4CA2">
              <w:rPr>
                <w:color w:val="000000"/>
                <w:sz w:val="18"/>
                <w:szCs w:val="18"/>
              </w:rPr>
              <w:t>32</w:t>
            </w:r>
          </w:p>
        </w:tc>
        <w:tc>
          <w:tcPr>
            <w:tcW w:w="801" w:type="dxa"/>
            <w:tcBorders>
              <w:top w:val="nil"/>
              <w:left w:val="nil"/>
              <w:bottom w:val="single" w:sz="8" w:space="0" w:color="000000"/>
              <w:right w:val="single" w:sz="8" w:space="0" w:color="000000"/>
            </w:tcBorders>
            <w:shd w:val="clear" w:color="auto" w:fill="auto"/>
            <w:vAlign w:val="center"/>
            <w:hideMark/>
          </w:tcPr>
          <w:p w14:paraId="1FC80F21" w14:textId="77777777" w:rsidR="000E4567" w:rsidRPr="001B4CA2" w:rsidRDefault="000E4567" w:rsidP="002A38E7">
            <w:pPr>
              <w:jc w:val="center"/>
              <w:rPr>
                <w:color w:val="000000"/>
                <w:sz w:val="18"/>
                <w:szCs w:val="18"/>
              </w:rPr>
            </w:pPr>
            <w:r w:rsidRPr="001B4CA2">
              <w:rPr>
                <w:color w:val="000000"/>
                <w:sz w:val="18"/>
                <w:szCs w:val="18"/>
              </w:rPr>
              <w:t>4</w:t>
            </w:r>
          </w:p>
        </w:tc>
        <w:tc>
          <w:tcPr>
            <w:tcW w:w="911" w:type="dxa"/>
            <w:tcBorders>
              <w:top w:val="nil"/>
              <w:left w:val="nil"/>
              <w:bottom w:val="single" w:sz="8" w:space="0" w:color="000000"/>
              <w:right w:val="single" w:sz="8" w:space="0" w:color="000000"/>
            </w:tcBorders>
            <w:shd w:val="clear" w:color="auto" w:fill="auto"/>
            <w:vAlign w:val="center"/>
            <w:hideMark/>
          </w:tcPr>
          <w:p w14:paraId="58F92C78" w14:textId="77777777" w:rsidR="000E4567" w:rsidRPr="001B4CA2" w:rsidRDefault="000E4567" w:rsidP="002A38E7">
            <w:pPr>
              <w:jc w:val="center"/>
              <w:rPr>
                <w:color w:val="000000"/>
                <w:sz w:val="18"/>
                <w:szCs w:val="18"/>
              </w:rPr>
            </w:pPr>
            <w:r w:rsidRPr="001B4CA2">
              <w:rPr>
                <w:color w:val="000000"/>
                <w:sz w:val="18"/>
                <w:szCs w:val="18"/>
              </w:rPr>
              <w:t>4</w:t>
            </w:r>
          </w:p>
        </w:tc>
        <w:tc>
          <w:tcPr>
            <w:tcW w:w="886" w:type="dxa"/>
            <w:tcBorders>
              <w:top w:val="nil"/>
              <w:left w:val="nil"/>
              <w:bottom w:val="single" w:sz="8" w:space="0" w:color="000000"/>
              <w:right w:val="single" w:sz="8" w:space="0" w:color="000000"/>
            </w:tcBorders>
            <w:shd w:val="clear" w:color="auto" w:fill="auto"/>
            <w:vAlign w:val="center"/>
            <w:hideMark/>
          </w:tcPr>
          <w:p w14:paraId="6A2BDC5F" w14:textId="77777777" w:rsidR="000E4567" w:rsidRPr="001B4CA2" w:rsidRDefault="000E4567" w:rsidP="002A38E7">
            <w:pPr>
              <w:jc w:val="center"/>
              <w:rPr>
                <w:color w:val="000000"/>
                <w:sz w:val="18"/>
                <w:szCs w:val="18"/>
              </w:rPr>
            </w:pPr>
            <w:r w:rsidRPr="001B4CA2">
              <w:rPr>
                <w:color w:val="000000"/>
                <w:sz w:val="18"/>
                <w:szCs w:val="18"/>
              </w:rPr>
              <w:t>24</w:t>
            </w:r>
          </w:p>
        </w:tc>
        <w:tc>
          <w:tcPr>
            <w:tcW w:w="1033" w:type="dxa"/>
            <w:tcBorders>
              <w:top w:val="nil"/>
              <w:left w:val="nil"/>
              <w:bottom w:val="single" w:sz="8" w:space="0" w:color="000000"/>
              <w:right w:val="single" w:sz="8" w:space="0" w:color="000000"/>
            </w:tcBorders>
            <w:shd w:val="clear" w:color="auto" w:fill="auto"/>
            <w:vAlign w:val="center"/>
            <w:hideMark/>
          </w:tcPr>
          <w:p w14:paraId="2FB20E1E" w14:textId="77777777" w:rsidR="000E4567" w:rsidRPr="001B4CA2" w:rsidRDefault="000E4567" w:rsidP="002A38E7">
            <w:pPr>
              <w:jc w:val="center"/>
              <w:rPr>
                <w:color w:val="000000"/>
                <w:sz w:val="18"/>
                <w:szCs w:val="18"/>
              </w:rPr>
            </w:pPr>
            <w:r w:rsidRPr="001B4CA2">
              <w:rPr>
                <w:color w:val="000000"/>
                <w:sz w:val="18"/>
                <w:szCs w:val="18"/>
              </w:rPr>
              <w:t> </w:t>
            </w:r>
          </w:p>
        </w:tc>
        <w:tc>
          <w:tcPr>
            <w:tcW w:w="1191" w:type="dxa"/>
            <w:tcBorders>
              <w:top w:val="nil"/>
              <w:left w:val="nil"/>
              <w:bottom w:val="single" w:sz="8" w:space="0" w:color="000000"/>
              <w:right w:val="single" w:sz="8" w:space="0" w:color="000000"/>
            </w:tcBorders>
            <w:shd w:val="clear" w:color="auto" w:fill="auto"/>
            <w:vAlign w:val="center"/>
            <w:hideMark/>
          </w:tcPr>
          <w:p w14:paraId="5CD45410" w14:textId="77777777" w:rsidR="000E4567" w:rsidRPr="001B4CA2" w:rsidRDefault="000E4567" w:rsidP="002A38E7">
            <w:pPr>
              <w:jc w:val="center"/>
              <w:rPr>
                <w:color w:val="000000"/>
                <w:sz w:val="18"/>
                <w:szCs w:val="18"/>
              </w:rPr>
            </w:pPr>
            <w:r w:rsidRPr="001B4CA2">
              <w:rPr>
                <w:color w:val="000000"/>
                <w:sz w:val="18"/>
                <w:szCs w:val="18"/>
              </w:rPr>
              <w:t> </w:t>
            </w:r>
          </w:p>
        </w:tc>
      </w:tr>
      <w:tr w:rsidR="000E4567" w:rsidRPr="001B4CA2" w14:paraId="6CB2572B" w14:textId="77777777" w:rsidTr="002A38E7">
        <w:trPr>
          <w:trHeight w:val="300"/>
        </w:trPr>
        <w:tc>
          <w:tcPr>
            <w:tcW w:w="788" w:type="dxa"/>
            <w:tcBorders>
              <w:top w:val="nil"/>
              <w:left w:val="single" w:sz="8" w:space="0" w:color="000000"/>
              <w:bottom w:val="single" w:sz="8" w:space="0" w:color="000000"/>
              <w:right w:val="single" w:sz="8" w:space="0" w:color="000000"/>
            </w:tcBorders>
            <w:shd w:val="clear" w:color="auto" w:fill="auto"/>
            <w:vAlign w:val="center"/>
            <w:hideMark/>
          </w:tcPr>
          <w:p w14:paraId="0478C732" w14:textId="77777777" w:rsidR="000E4567" w:rsidRPr="001B4CA2" w:rsidRDefault="000E4567" w:rsidP="002A38E7">
            <w:pPr>
              <w:jc w:val="center"/>
              <w:rPr>
                <w:color w:val="000000"/>
                <w:sz w:val="18"/>
                <w:szCs w:val="18"/>
              </w:rPr>
            </w:pPr>
            <w:r w:rsidRPr="001B4CA2">
              <w:rPr>
                <w:color w:val="000000"/>
                <w:sz w:val="18"/>
                <w:szCs w:val="18"/>
              </w:rPr>
              <w:t>2020.</w:t>
            </w:r>
          </w:p>
        </w:tc>
        <w:tc>
          <w:tcPr>
            <w:tcW w:w="1082" w:type="dxa"/>
            <w:tcBorders>
              <w:top w:val="nil"/>
              <w:left w:val="nil"/>
              <w:bottom w:val="single" w:sz="8" w:space="0" w:color="000000"/>
              <w:right w:val="single" w:sz="8" w:space="0" w:color="000000"/>
            </w:tcBorders>
            <w:shd w:val="clear" w:color="auto" w:fill="auto"/>
            <w:vAlign w:val="center"/>
            <w:hideMark/>
          </w:tcPr>
          <w:p w14:paraId="287E851C" w14:textId="77777777" w:rsidR="000E4567" w:rsidRPr="001B4CA2" w:rsidRDefault="000E4567" w:rsidP="002A38E7">
            <w:pPr>
              <w:jc w:val="center"/>
              <w:rPr>
                <w:color w:val="000000"/>
                <w:sz w:val="18"/>
                <w:szCs w:val="18"/>
              </w:rPr>
            </w:pPr>
            <w:r w:rsidRPr="001B4CA2">
              <w:rPr>
                <w:color w:val="000000"/>
                <w:sz w:val="18"/>
                <w:szCs w:val="18"/>
              </w:rPr>
              <w:t>14</w:t>
            </w:r>
          </w:p>
        </w:tc>
        <w:tc>
          <w:tcPr>
            <w:tcW w:w="984" w:type="dxa"/>
            <w:tcBorders>
              <w:top w:val="nil"/>
              <w:left w:val="nil"/>
              <w:bottom w:val="single" w:sz="8" w:space="0" w:color="000000"/>
              <w:right w:val="single" w:sz="8" w:space="0" w:color="000000"/>
            </w:tcBorders>
            <w:shd w:val="clear" w:color="auto" w:fill="auto"/>
            <w:vAlign w:val="center"/>
            <w:hideMark/>
          </w:tcPr>
          <w:p w14:paraId="18C542A4" w14:textId="77777777" w:rsidR="000E4567" w:rsidRPr="001B4CA2" w:rsidRDefault="000E4567" w:rsidP="002A38E7">
            <w:pPr>
              <w:jc w:val="center"/>
              <w:rPr>
                <w:color w:val="000000"/>
                <w:sz w:val="18"/>
                <w:szCs w:val="18"/>
              </w:rPr>
            </w:pPr>
            <w:r w:rsidRPr="001B4CA2">
              <w:rPr>
                <w:color w:val="000000"/>
                <w:sz w:val="18"/>
                <w:szCs w:val="18"/>
              </w:rPr>
              <w:t>29</w:t>
            </w:r>
          </w:p>
        </w:tc>
        <w:tc>
          <w:tcPr>
            <w:tcW w:w="801" w:type="dxa"/>
            <w:tcBorders>
              <w:top w:val="nil"/>
              <w:left w:val="nil"/>
              <w:bottom w:val="single" w:sz="8" w:space="0" w:color="000000"/>
              <w:right w:val="single" w:sz="8" w:space="0" w:color="000000"/>
            </w:tcBorders>
            <w:shd w:val="clear" w:color="auto" w:fill="auto"/>
            <w:vAlign w:val="center"/>
            <w:hideMark/>
          </w:tcPr>
          <w:p w14:paraId="629A3B48" w14:textId="77777777" w:rsidR="000E4567" w:rsidRPr="001B4CA2" w:rsidRDefault="000E4567" w:rsidP="002A38E7">
            <w:pPr>
              <w:jc w:val="center"/>
              <w:rPr>
                <w:color w:val="000000"/>
                <w:sz w:val="18"/>
                <w:szCs w:val="18"/>
              </w:rPr>
            </w:pPr>
            <w:r w:rsidRPr="001B4CA2">
              <w:rPr>
                <w:color w:val="000000"/>
                <w:sz w:val="18"/>
                <w:szCs w:val="18"/>
              </w:rPr>
              <w:t>4</w:t>
            </w:r>
          </w:p>
        </w:tc>
        <w:tc>
          <w:tcPr>
            <w:tcW w:w="911" w:type="dxa"/>
            <w:tcBorders>
              <w:top w:val="nil"/>
              <w:left w:val="nil"/>
              <w:bottom w:val="single" w:sz="8" w:space="0" w:color="000000"/>
              <w:right w:val="single" w:sz="8" w:space="0" w:color="000000"/>
            </w:tcBorders>
            <w:shd w:val="clear" w:color="auto" w:fill="auto"/>
            <w:vAlign w:val="center"/>
            <w:hideMark/>
          </w:tcPr>
          <w:p w14:paraId="51E131B7" w14:textId="77777777" w:rsidR="000E4567" w:rsidRPr="001B4CA2" w:rsidRDefault="000E4567" w:rsidP="002A38E7">
            <w:pPr>
              <w:jc w:val="center"/>
              <w:rPr>
                <w:color w:val="000000"/>
                <w:sz w:val="18"/>
                <w:szCs w:val="18"/>
              </w:rPr>
            </w:pPr>
            <w:r w:rsidRPr="001B4CA2">
              <w:rPr>
                <w:color w:val="000000"/>
                <w:sz w:val="18"/>
                <w:szCs w:val="18"/>
              </w:rPr>
              <w:t>6</w:t>
            </w:r>
          </w:p>
        </w:tc>
        <w:tc>
          <w:tcPr>
            <w:tcW w:w="886" w:type="dxa"/>
            <w:tcBorders>
              <w:top w:val="nil"/>
              <w:left w:val="nil"/>
              <w:bottom w:val="single" w:sz="8" w:space="0" w:color="000000"/>
              <w:right w:val="single" w:sz="8" w:space="0" w:color="000000"/>
            </w:tcBorders>
            <w:shd w:val="clear" w:color="auto" w:fill="auto"/>
            <w:vAlign w:val="center"/>
            <w:hideMark/>
          </w:tcPr>
          <w:p w14:paraId="473D1D49" w14:textId="77777777" w:rsidR="000E4567" w:rsidRPr="001B4CA2" w:rsidRDefault="000E4567" w:rsidP="002A38E7">
            <w:pPr>
              <w:jc w:val="center"/>
              <w:rPr>
                <w:color w:val="000000"/>
                <w:sz w:val="18"/>
                <w:szCs w:val="18"/>
              </w:rPr>
            </w:pPr>
            <w:r w:rsidRPr="001B4CA2">
              <w:rPr>
                <w:color w:val="000000"/>
                <w:sz w:val="18"/>
                <w:szCs w:val="18"/>
              </w:rPr>
              <w:t>19</w:t>
            </w:r>
          </w:p>
        </w:tc>
        <w:tc>
          <w:tcPr>
            <w:tcW w:w="1033" w:type="dxa"/>
            <w:tcBorders>
              <w:top w:val="nil"/>
              <w:left w:val="nil"/>
              <w:bottom w:val="single" w:sz="8" w:space="0" w:color="000000"/>
              <w:right w:val="single" w:sz="8" w:space="0" w:color="000000"/>
            </w:tcBorders>
            <w:shd w:val="clear" w:color="auto" w:fill="auto"/>
            <w:vAlign w:val="center"/>
            <w:hideMark/>
          </w:tcPr>
          <w:p w14:paraId="0E995144" w14:textId="77777777" w:rsidR="000E4567" w:rsidRPr="001B4CA2" w:rsidRDefault="000E4567" w:rsidP="002A38E7">
            <w:pPr>
              <w:jc w:val="center"/>
              <w:rPr>
                <w:color w:val="000000"/>
                <w:sz w:val="18"/>
                <w:szCs w:val="18"/>
              </w:rPr>
            </w:pPr>
            <w:r w:rsidRPr="001B4CA2">
              <w:rPr>
                <w:color w:val="000000"/>
                <w:sz w:val="18"/>
                <w:szCs w:val="18"/>
              </w:rPr>
              <w:t>1</w:t>
            </w:r>
          </w:p>
        </w:tc>
        <w:tc>
          <w:tcPr>
            <w:tcW w:w="1191" w:type="dxa"/>
            <w:tcBorders>
              <w:top w:val="nil"/>
              <w:left w:val="nil"/>
              <w:bottom w:val="single" w:sz="8" w:space="0" w:color="000000"/>
              <w:right w:val="single" w:sz="8" w:space="0" w:color="000000"/>
            </w:tcBorders>
            <w:shd w:val="clear" w:color="auto" w:fill="auto"/>
            <w:vAlign w:val="center"/>
            <w:hideMark/>
          </w:tcPr>
          <w:p w14:paraId="2ACF45B7" w14:textId="77777777" w:rsidR="000E4567" w:rsidRPr="001B4CA2" w:rsidRDefault="000E4567" w:rsidP="002A38E7">
            <w:pPr>
              <w:jc w:val="center"/>
              <w:rPr>
                <w:color w:val="000000"/>
                <w:sz w:val="18"/>
                <w:szCs w:val="18"/>
              </w:rPr>
            </w:pPr>
            <w:r w:rsidRPr="001B4CA2">
              <w:rPr>
                <w:color w:val="000000"/>
                <w:sz w:val="18"/>
                <w:szCs w:val="18"/>
              </w:rPr>
              <w:t> </w:t>
            </w:r>
          </w:p>
        </w:tc>
      </w:tr>
      <w:tr w:rsidR="000E4567" w:rsidRPr="001B4CA2" w14:paraId="5D5FCE82" w14:textId="77777777" w:rsidTr="002A38E7">
        <w:trPr>
          <w:trHeight w:val="300"/>
        </w:trPr>
        <w:tc>
          <w:tcPr>
            <w:tcW w:w="788" w:type="dxa"/>
            <w:tcBorders>
              <w:top w:val="nil"/>
              <w:left w:val="single" w:sz="8" w:space="0" w:color="000000"/>
              <w:bottom w:val="single" w:sz="8" w:space="0" w:color="000000"/>
              <w:right w:val="single" w:sz="8" w:space="0" w:color="000000"/>
            </w:tcBorders>
            <w:shd w:val="clear" w:color="auto" w:fill="auto"/>
            <w:vAlign w:val="center"/>
            <w:hideMark/>
          </w:tcPr>
          <w:p w14:paraId="10C6F6B9" w14:textId="77777777" w:rsidR="000E4567" w:rsidRPr="001B4CA2" w:rsidRDefault="000E4567" w:rsidP="002A38E7">
            <w:pPr>
              <w:jc w:val="center"/>
              <w:rPr>
                <w:color w:val="000000"/>
                <w:sz w:val="18"/>
                <w:szCs w:val="18"/>
              </w:rPr>
            </w:pPr>
            <w:r w:rsidRPr="001B4CA2">
              <w:rPr>
                <w:color w:val="000000"/>
                <w:sz w:val="18"/>
                <w:szCs w:val="18"/>
              </w:rPr>
              <w:t>2021.</w:t>
            </w:r>
          </w:p>
        </w:tc>
        <w:tc>
          <w:tcPr>
            <w:tcW w:w="1082" w:type="dxa"/>
            <w:tcBorders>
              <w:top w:val="nil"/>
              <w:left w:val="nil"/>
              <w:bottom w:val="single" w:sz="8" w:space="0" w:color="000000"/>
              <w:right w:val="single" w:sz="8" w:space="0" w:color="000000"/>
            </w:tcBorders>
            <w:shd w:val="clear" w:color="auto" w:fill="auto"/>
            <w:vAlign w:val="center"/>
            <w:hideMark/>
          </w:tcPr>
          <w:p w14:paraId="3BF3D27A" w14:textId="77777777" w:rsidR="000E4567" w:rsidRPr="001B4CA2" w:rsidRDefault="000E4567" w:rsidP="002A38E7">
            <w:pPr>
              <w:jc w:val="center"/>
              <w:rPr>
                <w:color w:val="000000"/>
                <w:sz w:val="18"/>
                <w:szCs w:val="18"/>
              </w:rPr>
            </w:pPr>
            <w:r w:rsidRPr="001B4CA2">
              <w:rPr>
                <w:color w:val="000000"/>
                <w:sz w:val="18"/>
                <w:szCs w:val="18"/>
              </w:rPr>
              <w:t>24</w:t>
            </w:r>
          </w:p>
        </w:tc>
        <w:tc>
          <w:tcPr>
            <w:tcW w:w="984" w:type="dxa"/>
            <w:tcBorders>
              <w:top w:val="nil"/>
              <w:left w:val="nil"/>
              <w:bottom w:val="single" w:sz="8" w:space="0" w:color="000000"/>
              <w:right w:val="single" w:sz="8" w:space="0" w:color="000000"/>
            </w:tcBorders>
            <w:shd w:val="clear" w:color="auto" w:fill="auto"/>
            <w:vAlign w:val="center"/>
            <w:hideMark/>
          </w:tcPr>
          <w:p w14:paraId="13DE5FCD" w14:textId="77777777" w:rsidR="000E4567" w:rsidRPr="001B4CA2" w:rsidRDefault="000E4567" w:rsidP="002A38E7">
            <w:pPr>
              <w:jc w:val="center"/>
              <w:rPr>
                <w:color w:val="000000"/>
                <w:sz w:val="18"/>
                <w:szCs w:val="18"/>
              </w:rPr>
            </w:pPr>
            <w:r w:rsidRPr="001B4CA2">
              <w:rPr>
                <w:color w:val="000000"/>
                <w:sz w:val="18"/>
                <w:szCs w:val="18"/>
              </w:rPr>
              <w:t>31</w:t>
            </w:r>
          </w:p>
        </w:tc>
        <w:tc>
          <w:tcPr>
            <w:tcW w:w="801" w:type="dxa"/>
            <w:tcBorders>
              <w:top w:val="nil"/>
              <w:left w:val="nil"/>
              <w:bottom w:val="single" w:sz="8" w:space="0" w:color="000000"/>
              <w:right w:val="single" w:sz="8" w:space="0" w:color="000000"/>
            </w:tcBorders>
            <w:shd w:val="clear" w:color="auto" w:fill="auto"/>
            <w:vAlign w:val="center"/>
            <w:hideMark/>
          </w:tcPr>
          <w:p w14:paraId="550DE7E7" w14:textId="77777777" w:rsidR="000E4567" w:rsidRPr="001B4CA2" w:rsidRDefault="000E4567" w:rsidP="002A38E7">
            <w:pPr>
              <w:jc w:val="center"/>
              <w:rPr>
                <w:color w:val="000000"/>
                <w:sz w:val="18"/>
                <w:szCs w:val="18"/>
              </w:rPr>
            </w:pPr>
            <w:r w:rsidRPr="001B4CA2">
              <w:rPr>
                <w:color w:val="000000"/>
                <w:sz w:val="18"/>
                <w:szCs w:val="18"/>
              </w:rPr>
              <w:t>2</w:t>
            </w:r>
          </w:p>
        </w:tc>
        <w:tc>
          <w:tcPr>
            <w:tcW w:w="911" w:type="dxa"/>
            <w:tcBorders>
              <w:top w:val="nil"/>
              <w:left w:val="nil"/>
              <w:bottom w:val="single" w:sz="8" w:space="0" w:color="000000"/>
              <w:right w:val="single" w:sz="8" w:space="0" w:color="000000"/>
            </w:tcBorders>
            <w:shd w:val="clear" w:color="auto" w:fill="auto"/>
            <w:vAlign w:val="center"/>
            <w:hideMark/>
          </w:tcPr>
          <w:p w14:paraId="11867E1C" w14:textId="77777777" w:rsidR="000E4567" w:rsidRPr="001B4CA2" w:rsidRDefault="000E4567" w:rsidP="002A38E7">
            <w:pPr>
              <w:jc w:val="center"/>
              <w:rPr>
                <w:color w:val="000000"/>
                <w:sz w:val="18"/>
                <w:szCs w:val="18"/>
              </w:rPr>
            </w:pPr>
            <w:r w:rsidRPr="001B4CA2">
              <w:rPr>
                <w:color w:val="000000"/>
                <w:sz w:val="18"/>
                <w:szCs w:val="18"/>
              </w:rPr>
              <w:t>6</w:t>
            </w:r>
          </w:p>
        </w:tc>
        <w:tc>
          <w:tcPr>
            <w:tcW w:w="886" w:type="dxa"/>
            <w:tcBorders>
              <w:top w:val="nil"/>
              <w:left w:val="nil"/>
              <w:bottom w:val="single" w:sz="8" w:space="0" w:color="000000"/>
              <w:right w:val="single" w:sz="8" w:space="0" w:color="000000"/>
            </w:tcBorders>
            <w:shd w:val="clear" w:color="auto" w:fill="auto"/>
            <w:vAlign w:val="center"/>
            <w:hideMark/>
          </w:tcPr>
          <w:p w14:paraId="6FA0AEF1" w14:textId="77777777" w:rsidR="000E4567" w:rsidRPr="001B4CA2" w:rsidRDefault="000E4567" w:rsidP="002A38E7">
            <w:pPr>
              <w:jc w:val="center"/>
              <w:rPr>
                <w:color w:val="000000"/>
                <w:sz w:val="18"/>
                <w:szCs w:val="18"/>
              </w:rPr>
            </w:pPr>
            <w:r w:rsidRPr="001B4CA2">
              <w:rPr>
                <w:color w:val="000000"/>
                <w:sz w:val="18"/>
                <w:szCs w:val="18"/>
              </w:rPr>
              <w:t>3</w:t>
            </w:r>
          </w:p>
        </w:tc>
        <w:tc>
          <w:tcPr>
            <w:tcW w:w="1033" w:type="dxa"/>
            <w:tcBorders>
              <w:top w:val="nil"/>
              <w:left w:val="nil"/>
              <w:bottom w:val="single" w:sz="8" w:space="0" w:color="000000"/>
              <w:right w:val="single" w:sz="8" w:space="0" w:color="000000"/>
            </w:tcBorders>
            <w:shd w:val="clear" w:color="auto" w:fill="auto"/>
            <w:vAlign w:val="center"/>
            <w:hideMark/>
          </w:tcPr>
          <w:p w14:paraId="02644B4A" w14:textId="77777777" w:rsidR="000E4567" w:rsidRPr="001B4CA2" w:rsidRDefault="000E4567" w:rsidP="002A38E7">
            <w:pPr>
              <w:jc w:val="center"/>
              <w:rPr>
                <w:color w:val="000000"/>
                <w:sz w:val="18"/>
                <w:szCs w:val="18"/>
              </w:rPr>
            </w:pPr>
            <w:r w:rsidRPr="001B4CA2">
              <w:rPr>
                <w:color w:val="000000"/>
                <w:sz w:val="18"/>
                <w:szCs w:val="18"/>
              </w:rPr>
              <w:t>4</w:t>
            </w:r>
          </w:p>
        </w:tc>
        <w:tc>
          <w:tcPr>
            <w:tcW w:w="1191" w:type="dxa"/>
            <w:tcBorders>
              <w:top w:val="nil"/>
              <w:left w:val="nil"/>
              <w:bottom w:val="single" w:sz="8" w:space="0" w:color="000000"/>
              <w:right w:val="single" w:sz="8" w:space="0" w:color="000000"/>
            </w:tcBorders>
            <w:shd w:val="clear" w:color="auto" w:fill="auto"/>
            <w:vAlign w:val="center"/>
            <w:hideMark/>
          </w:tcPr>
          <w:p w14:paraId="5CA9138C" w14:textId="77777777" w:rsidR="000E4567" w:rsidRPr="001B4CA2" w:rsidRDefault="000E4567" w:rsidP="002A38E7">
            <w:pPr>
              <w:jc w:val="center"/>
              <w:rPr>
                <w:color w:val="000000"/>
                <w:sz w:val="18"/>
                <w:szCs w:val="18"/>
              </w:rPr>
            </w:pPr>
            <w:r w:rsidRPr="001B4CA2">
              <w:rPr>
                <w:color w:val="000000"/>
                <w:sz w:val="18"/>
                <w:szCs w:val="18"/>
              </w:rPr>
              <w:t> </w:t>
            </w:r>
          </w:p>
        </w:tc>
      </w:tr>
      <w:tr w:rsidR="000E4567" w:rsidRPr="001B4CA2" w14:paraId="468E788F" w14:textId="77777777" w:rsidTr="002A38E7">
        <w:trPr>
          <w:trHeight w:val="300"/>
        </w:trPr>
        <w:tc>
          <w:tcPr>
            <w:tcW w:w="788" w:type="dxa"/>
            <w:tcBorders>
              <w:top w:val="nil"/>
              <w:left w:val="single" w:sz="8" w:space="0" w:color="000000"/>
              <w:bottom w:val="single" w:sz="8" w:space="0" w:color="000000"/>
              <w:right w:val="single" w:sz="8" w:space="0" w:color="000000"/>
            </w:tcBorders>
            <w:shd w:val="clear" w:color="auto" w:fill="auto"/>
            <w:vAlign w:val="center"/>
            <w:hideMark/>
          </w:tcPr>
          <w:p w14:paraId="3F822A3E" w14:textId="77777777" w:rsidR="000E4567" w:rsidRPr="001B4CA2" w:rsidRDefault="000E4567" w:rsidP="002A38E7">
            <w:pPr>
              <w:jc w:val="center"/>
              <w:rPr>
                <w:color w:val="000000"/>
                <w:sz w:val="18"/>
                <w:szCs w:val="18"/>
              </w:rPr>
            </w:pPr>
            <w:r w:rsidRPr="001B4CA2">
              <w:rPr>
                <w:color w:val="000000"/>
                <w:sz w:val="18"/>
                <w:szCs w:val="18"/>
              </w:rPr>
              <w:t>2022.</w:t>
            </w:r>
          </w:p>
        </w:tc>
        <w:tc>
          <w:tcPr>
            <w:tcW w:w="1082" w:type="dxa"/>
            <w:tcBorders>
              <w:top w:val="nil"/>
              <w:left w:val="nil"/>
              <w:bottom w:val="single" w:sz="8" w:space="0" w:color="000000"/>
              <w:right w:val="single" w:sz="8" w:space="0" w:color="000000"/>
            </w:tcBorders>
            <w:shd w:val="clear" w:color="auto" w:fill="auto"/>
            <w:vAlign w:val="center"/>
            <w:hideMark/>
          </w:tcPr>
          <w:p w14:paraId="7F9B5E44" w14:textId="77777777" w:rsidR="000E4567" w:rsidRPr="001B4CA2" w:rsidRDefault="000E4567" w:rsidP="002A38E7">
            <w:pPr>
              <w:jc w:val="center"/>
              <w:rPr>
                <w:color w:val="000000"/>
                <w:sz w:val="18"/>
                <w:szCs w:val="18"/>
              </w:rPr>
            </w:pPr>
            <w:r w:rsidRPr="001B4CA2">
              <w:rPr>
                <w:color w:val="000000"/>
                <w:sz w:val="18"/>
                <w:szCs w:val="18"/>
              </w:rPr>
              <w:t>26</w:t>
            </w:r>
          </w:p>
        </w:tc>
        <w:tc>
          <w:tcPr>
            <w:tcW w:w="984" w:type="dxa"/>
            <w:tcBorders>
              <w:top w:val="nil"/>
              <w:left w:val="nil"/>
              <w:bottom w:val="single" w:sz="8" w:space="0" w:color="000000"/>
              <w:right w:val="single" w:sz="8" w:space="0" w:color="000000"/>
            </w:tcBorders>
            <w:shd w:val="clear" w:color="auto" w:fill="auto"/>
            <w:vAlign w:val="center"/>
            <w:hideMark/>
          </w:tcPr>
          <w:p w14:paraId="067C5D6E" w14:textId="77777777" w:rsidR="000E4567" w:rsidRPr="001B4CA2" w:rsidRDefault="000E4567" w:rsidP="002A38E7">
            <w:pPr>
              <w:jc w:val="center"/>
              <w:rPr>
                <w:color w:val="000000"/>
                <w:sz w:val="18"/>
                <w:szCs w:val="18"/>
              </w:rPr>
            </w:pPr>
            <w:r w:rsidRPr="001B4CA2">
              <w:rPr>
                <w:color w:val="000000"/>
                <w:sz w:val="18"/>
                <w:szCs w:val="18"/>
              </w:rPr>
              <w:t>35</w:t>
            </w:r>
          </w:p>
        </w:tc>
        <w:tc>
          <w:tcPr>
            <w:tcW w:w="801" w:type="dxa"/>
            <w:tcBorders>
              <w:top w:val="nil"/>
              <w:left w:val="nil"/>
              <w:bottom w:val="single" w:sz="8" w:space="0" w:color="000000"/>
              <w:right w:val="single" w:sz="8" w:space="0" w:color="000000"/>
            </w:tcBorders>
            <w:shd w:val="clear" w:color="auto" w:fill="auto"/>
            <w:vAlign w:val="center"/>
            <w:hideMark/>
          </w:tcPr>
          <w:p w14:paraId="6C18E8D9" w14:textId="77777777" w:rsidR="000E4567" w:rsidRPr="001B4CA2" w:rsidRDefault="000E4567" w:rsidP="002A38E7">
            <w:pPr>
              <w:jc w:val="center"/>
              <w:rPr>
                <w:color w:val="000000"/>
                <w:sz w:val="18"/>
                <w:szCs w:val="18"/>
              </w:rPr>
            </w:pPr>
            <w:r w:rsidRPr="001B4CA2">
              <w:rPr>
                <w:color w:val="000000"/>
                <w:sz w:val="18"/>
                <w:szCs w:val="18"/>
              </w:rPr>
              <w:t>5</w:t>
            </w:r>
          </w:p>
        </w:tc>
        <w:tc>
          <w:tcPr>
            <w:tcW w:w="911" w:type="dxa"/>
            <w:tcBorders>
              <w:top w:val="nil"/>
              <w:left w:val="nil"/>
              <w:bottom w:val="single" w:sz="8" w:space="0" w:color="000000"/>
              <w:right w:val="single" w:sz="8" w:space="0" w:color="000000"/>
            </w:tcBorders>
            <w:shd w:val="clear" w:color="auto" w:fill="auto"/>
            <w:vAlign w:val="center"/>
            <w:hideMark/>
          </w:tcPr>
          <w:p w14:paraId="12A9CD43" w14:textId="77777777" w:rsidR="000E4567" w:rsidRPr="001B4CA2" w:rsidRDefault="000E4567" w:rsidP="002A38E7">
            <w:pPr>
              <w:jc w:val="center"/>
              <w:rPr>
                <w:color w:val="000000"/>
                <w:sz w:val="18"/>
                <w:szCs w:val="18"/>
              </w:rPr>
            </w:pPr>
            <w:r w:rsidRPr="001B4CA2">
              <w:rPr>
                <w:color w:val="000000"/>
                <w:sz w:val="18"/>
                <w:szCs w:val="18"/>
              </w:rPr>
              <w:t>6</w:t>
            </w:r>
          </w:p>
        </w:tc>
        <w:tc>
          <w:tcPr>
            <w:tcW w:w="886" w:type="dxa"/>
            <w:tcBorders>
              <w:top w:val="nil"/>
              <w:left w:val="nil"/>
              <w:bottom w:val="single" w:sz="8" w:space="0" w:color="000000"/>
              <w:right w:val="single" w:sz="8" w:space="0" w:color="000000"/>
            </w:tcBorders>
            <w:shd w:val="clear" w:color="auto" w:fill="auto"/>
            <w:vAlign w:val="center"/>
            <w:hideMark/>
          </w:tcPr>
          <w:p w14:paraId="173443B5" w14:textId="77777777" w:rsidR="000E4567" w:rsidRPr="001B4CA2" w:rsidRDefault="000E4567" w:rsidP="002A38E7">
            <w:pPr>
              <w:jc w:val="center"/>
              <w:rPr>
                <w:color w:val="000000"/>
                <w:sz w:val="18"/>
                <w:szCs w:val="18"/>
              </w:rPr>
            </w:pPr>
            <w:r w:rsidRPr="001B4CA2">
              <w:rPr>
                <w:color w:val="000000"/>
                <w:sz w:val="18"/>
                <w:szCs w:val="18"/>
              </w:rPr>
              <w:t>22</w:t>
            </w:r>
          </w:p>
        </w:tc>
        <w:tc>
          <w:tcPr>
            <w:tcW w:w="1033" w:type="dxa"/>
            <w:tcBorders>
              <w:top w:val="nil"/>
              <w:left w:val="nil"/>
              <w:bottom w:val="single" w:sz="8" w:space="0" w:color="000000"/>
              <w:right w:val="single" w:sz="8" w:space="0" w:color="000000"/>
            </w:tcBorders>
            <w:shd w:val="clear" w:color="auto" w:fill="auto"/>
            <w:vAlign w:val="center"/>
            <w:hideMark/>
          </w:tcPr>
          <w:p w14:paraId="4B162B5A" w14:textId="77777777" w:rsidR="000E4567" w:rsidRPr="001B4CA2" w:rsidRDefault="000E4567" w:rsidP="002A38E7">
            <w:pPr>
              <w:jc w:val="center"/>
              <w:rPr>
                <w:color w:val="000000"/>
                <w:sz w:val="18"/>
                <w:szCs w:val="18"/>
              </w:rPr>
            </w:pPr>
            <w:r w:rsidRPr="001B4CA2">
              <w:rPr>
                <w:color w:val="000000"/>
                <w:sz w:val="18"/>
                <w:szCs w:val="18"/>
              </w:rPr>
              <w:t>2</w:t>
            </w:r>
          </w:p>
        </w:tc>
        <w:tc>
          <w:tcPr>
            <w:tcW w:w="1191" w:type="dxa"/>
            <w:tcBorders>
              <w:top w:val="nil"/>
              <w:left w:val="nil"/>
              <w:bottom w:val="single" w:sz="8" w:space="0" w:color="000000"/>
              <w:right w:val="single" w:sz="8" w:space="0" w:color="000000"/>
            </w:tcBorders>
            <w:shd w:val="clear" w:color="auto" w:fill="auto"/>
            <w:vAlign w:val="center"/>
            <w:hideMark/>
          </w:tcPr>
          <w:p w14:paraId="2C8A092B" w14:textId="77777777" w:rsidR="000E4567" w:rsidRPr="001B4CA2" w:rsidRDefault="000E4567" w:rsidP="002A38E7">
            <w:pPr>
              <w:jc w:val="center"/>
              <w:rPr>
                <w:color w:val="000000"/>
                <w:sz w:val="18"/>
                <w:szCs w:val="18"/>
              </w:rPr>
            </w:pPr>
            <w:r w:rsidRPr="001B4CA2">
              <w:rPr>
                <w:color w:val="000000"/>
                <w:sz w:val="18"/>
                <w:szCs w:val="18"/>
              </w:rPr>
              <w:t> </w:t>
            </w:r>
          </w:p>
        </w:tc>
      </w:tr>
    </w:tbl>
    <w:p w14:paraId="62B3D9CB" w14:textId="77777777" w:rsidR="000E4567" w:rsidRPr="001B4CA2" w:rsidRDefault="000E4567" w:rsidP="000E4567"/>
    <w:p w14:paraId="28B72467" w14:textId="77777777" w:rsidR="000E4567" w:rsidRPr="001B4CA2" w:rsidRDefault="000E4567" w:rsidP="000E4567">
      <w:pPr>
        <w:ind w:firstLine="708"/>
      </w:pPr>
      <w:r w:rsidRPr="001B4CA2">
        <w:t>Ukupan broj prijedloga za izricanje maloljetničke sankcije u izvještajnom je razdoblju bez većeg odstupanja u odnosu na prethodno.</w:t>
      </w:r>
    </w:p>
    <w:p w14:paraId="14FC4D3A" w14:textId="77777777" w:rsidR="000E4567" w:rsidRPr="001B4CA2" w:rsidRDefault="000E4567" w:rsidP="000E4567"/>
    <w:p w14:paraId="2E2B5A53" w14:textId="0BFE63BF" w:rsidR="000E4567" w:rsidRPr="001B4CA2" w:rsidRDefault="000E4567" w:rsidP="000E4567">
      <w:pPr>
        <w:ind w:firstLine="708"/>
      </w:pPr>
      <w:r w:rsidRPr="001B4CA2">
        <w:t>U ukupnom broju izrečenih maloljetničkih sankcija 62,9</w:t>
      </w:r>
      <w:r w:rsidR="00166CCE">
        <w:t> </w:t>
      </w:r>
      <w:r w:rsidRPr="001B4CA2">
        <w:t>% odnosi se na izrečene odgojne mjere, dok je broj izrečenih kazni maloljetničkog zatvora i pridržaja izricanja maloljetničkog zatvora na razini prethodnog izvještajnog razdoblja.</w:t>
      </w:r>
    </w:p>
    <w:p w14:paraId="1A0D8B25" w14:textId="77777777" w:rsidR="00093B8D" w:rsidRPr="001B4CA2" w:rsidRDefault="00093B8D" w:rsidP="005C5F49"/>
    <w:p w14:paraId="4C595219" w14:textId="77777777" w:rsidR="00BB4D48" w:rsidRPr="001B4CA2" w:rsidRDefault="00CE234E" w:rsidP="005A0983">
      <w:pPr>
        <w:pStyle w:val="Naslov5"/>
        <w:ind w:left="851" w:hanging="425"/>
        <w:rPr>
          <w:rFonts w:ascii="Arial" w:hAnsi="Arial" w:cs="Arial"/>
        </w:rPr>
      </w:pPr>
      <w:bookmarkStart w:id="82" w:name="_Toc133394342"/>
      <w:r w:rsidRPr="001B4CA2">
        <w:rPr>
          <w:rFonts w:ascii="Arial" w:hAnsi="Arial" w:cs="Arial"/>
        </w:rPr>
        <w:t>Oduzimanje imovinske koristi</w:t>
      </w:r>
      <w:r w:rsidR="00A60F77" w:rsidRPr="001B4CA2">
        <w:rPr>
          <w:rFonts w:ascii="Arial" w:hAnsi="Arial" w:cs="Arial"/>
        </w:rPr>
        <w:t xml:space="preserve"> </w:t>
      </w:r>
      <w:r w:rsidR="00EB0A5E" w:rsidRPr="001B4CA2">
        <w:rPr>
          <w:rFonts w:ascii="Arial" w:hAnsi="Arial" w:cs="Arial"/>
        </w:rPr>
        <w:t>i mjere osiguranja</w:t>
      </w:r>
      <w:bookmarkEnd w:id="82"/>
    </w:p>
    <w:p w14:paraId="7CD84603" w14:textId="77777777" w:rsidR="002D0F20" w:rsidRPr="001B4CA2" w:rsidRDefault="002D0F20" w:rsidP="002D0F20">
      <w:pPr>
        <w:rPr>
          <w:snapToGrid w:val="0"/>
        </w:rPr>
      </w:pPr>
    </w:p>
    <w:p w14:paraId="69B6A060" w14:textId="532AEB65" w:rsidR="002B41C2" w:rsidRPr="001B4CA2" w:rsidRDefault="00CD247B" w:rsidP="002B41C2">
      <w:pPr>
        <w:rPr>
          <w:spacing w:val="-3"/>
        </w:rPr>
      </w:pPr>
      <w:r w:rsidRPr="001B4CA2">
        <w:rPr>
          <w:spacing w:val="-3"/>
        </w:rPr>
        <w:tab/>
      </w:r>
      <w:r w:rsidR="002B41C2" w:rsidRPr="001B4CA2">
        <w:rPr>
          <w:spacing w:val="-3"/>
        </w:rPr>
        <w:t xml:space="preserve">U 2022. godini u predmetima županijskih državnih odvjetništava oduzeto je imovinske koristi u vrijednosti </w:t>
      </w:r>
      <w:r w:rsidR="00166CCE">
        <w:rPr>
          <w:spacing w:val="-3"/>
        </w:rPr>
        <w:t xml:space="preserve">od </w:t>
      </w:r>
      <w:r w:rsidR="002B41C2" w:rsidRPr="001B4CA2">
        <w:rPr>
          <w:spacing w:val="-3"/>
        </w:rPr>
        <w:t>92.732.523,78 k</w:t>
      </w:r>
      <w:r w:rsidR="00E6050A" w:rsidRPr="001B4CA2">
        <w:rPr>
          <w:spacing w:val="-3"/>
        </w:rPr>
        <w:t>n</w:t>
      </w:r>
      <w:r w:rsidR="00166CCE">
        <w:rPr>
          <w:spacing w:val="-3"/>
        </w:rPr>
        <w:t xml:space="preserve"> </w:t>
      </w:r>
      <w:r w:rsidR="00E6050A" w:rsidRPr="001B4CA2">
        <w:rPr>
          <w:spacing w:val="-3"/>
        </w:rPr>
        <w:t>/</w:t>
      </w:r>
      <w:r w:rsidR="001C297A" w:rsidRPr="001B4CA2">
        <w:rPr>
          <w:spacing w:val="-3"/>
        </w:rPr>
        <w:t xml:space="preserve"> </w:t>
      </w:r>
      <w:r w:rsidR="00E6050A" w:rsidRPr="001B4CA2">
        <w:rPr>
          <w:spacing w:val="-3"/>
        </w:rPr>
        <w:t>12</w:t>
      </w:r>
      <w:r w:rsidR="00F879D8">
        <w:rPr>
          <w:spacing w:val="-3"/>
        </w:rPr>
        <w:t>.</w:t>
      </w:r>
      <w:r w:rsidR="00E6050A" w:rsidRPr="001B4CA2">
        <w:rPr>
          <w:spacing w:val="-3"/>
        </w:rPr>
        <w:t>307</w:t>
      </w:r>
      <w:r w:rsidR="00F879D8">
        <w:rPr>
          <w:spacing w:val="-3"/>
        </w:rPr>
        <w:t>.</w:t>
      </w:r>
      <w:r w:rsidR="00E6050A" w:rsidRPr="001B4CA2">
        <w:rPr>
          <w:spacing w:val="-3"/>
        </w:rPr>
        <w:t>7</w:t>
      </w:r>
      <w:r w:rsidR="00F879D8">
        <w:rPr>
          <w:spacing w:val="-3"/>
        </w:rPr>
        <w:t>20,99</w:t>
      </w:r>
      <w:r w:rsidR="00E6050A" w:rsidRPr="001B4CA2">
        <w:rPr>
          <w:spacing w:val="-3"/>
        </w:rPr>
        <w:t xml:space="preserve"> EUR</w:t>
      </w:r>
      <w:r w:rsidR="002B41C2" w:rsidRPr="001B4CA2">
        <w:rPr>
          <w:spacing w:val="-3"/>
        </w:rPr>
        <w:t xml:space="preserve"> od 80 osoba. Od toga se na odrasle počinitelje kaznenih djela odnosi 92.689.914,47 k</w:t>
      </w:r>
      <w:r w:rsidR="00E6050A" w:rsidRPr="001B4CA2">
        <w:rPr>
          <w:spacing w:val="-3"/>
        </w:rPr>
        <w:t>n</w:t>
      </w:r>
      <w:r w:rsidR="00166CCE">
        <w:rPr>
          <w:spacing w:val="-3"/>
        </w:rPr>
        <w:t xml:space="preserve"> </w:t>
      </w:r>
      <w:r w:rsidR="00E6050A" w:rsidRPr="001B4CA2">
        <w:rPr>
          <w:spacing w:val="-3"/>
        </w:rPr>
        <w:t>/</w:t>
      </w:r>
      <w:r w:rsidR="001C297A" w:rsidRPr="001B4CA2">
        <w:rPr>
          <w:spacing w:val="-3"/>
        </w:rPr>
        <w:t xml:space="preserve"> </w:t>
      </w:r>
      <w:r w:rsidR="00E6050A" w:rsidRPr="001B4CA2">
        <w:rPr>
          <w:spacing w:val="-3"/>
        </w:rPr>
        <w:t>12.302.065,</w:t>
      </w:r>
      <w:r w:rsidR="00F879D8">
        <w:rPr>
          <w:spacing w:val="-3"/>
        </w:rPr>
        <w:t>76</w:t>
      </w:r>
      <w:r w:rsidR="00E6050A" w:rsidRPr="001B4CA2">
        <w:rPr>
          <w:spacing w:val="-3"/>
        </w:rPr>
        <w:t xml:space="preserve"> EUR</w:t>
      </w:r>
      <w:r w:rsidR="002B41C2" w:rsidRPr="001B4CA2">
        <w:rPr>
          <w:spacing w:val="-3"/>
        </w:rPr>
        <w:t xml:space="preserve"> imovinske koristi koja je oduzeta od 69 osoba, a na počinitelje koji su mlađi punoljetnici 42.609,31 k</w:t>
      </w:r>
      <w:r w:rsidR="00E6050A" w:rsidRPr="001B4CA2">
        <w:rPr>
          <w:spacing w:val="-3"/>
        </w:rPr>
        <w:t>n</w:t>
      </w:r>
      <w:r w:rsidR="00166CCE">
        <w:rPr>
          <w:spacing w:val="-3"/>
        </w:rPr>
        <w:t xml:space="preserve"> </w:t>
      </w:r>
      <w:r w:rsidR="00E6050A" w:rsidRPr="001B4CA2">
        <w:rPr>
          <w:spacing w:val="-3"/>
        </w:rPr>
        <w:t>/</w:t>
      </w:r>
      <w:r w:rsidR="001C297A" w:rsidRPr="001B4CA2">
        <w:rPr>
          <w:spacing w:val="-3"/>
        </w:rPr>
        <w:t xml:space="preserve"> </w:t>
      </w:r>
      <w:r w:rsidR="00E6050A" w:rsidRPr="001B4CA2">
        <w:rPr>
          <w:spacing w:val="-3"/>
        </w:rPr>
        <w:t>5.655,2</w:t>
      </w:r>
      <w:r w:rsidR="00F879D8">
        <w:rPr>
          <w:spacing w:val="-3"/>
        </w:rPr>
        <w:t>3</w:t>
      </w:r>
      <w:r w:rsidR="00E6050A" w:rsidRPr="001B4CA2">
        <w:rPr>
          <w:spacing w:val="-3"/>
        </w:rPr>
        <w:t xml:space="preserve"> EUR</w:t>
      </w:r>
      <w:r w:rsidR="002B41C2" w:rsidRPr="001B4CA2">
        <w:rPr>
          <w:spacing w:val="-3"/>
        </w:rPr>
        <w:t xml:space="preserve"> imovinske koristi koja je oduzeta od 11 osoba.</w:t>
      </w:r>
    </w:p>
    <w:p w14:paraId="1E336D47" w14:textId="77777777" w:rsidR="002B41C2" w:rsidRPr="001B4CA2" w:rsidRDefault="002B41C2" w:rsidP="002B41C2">
      <w:pPr>
        <w:rPr>
          <w:spacing w:val="-3"/>
        </w:rPr>
      </w:pPr>
    </w:p>
    <w:p w14:paraId="35F3ED92" w14:textId="3B39B065" w:rsidR="002B41C2" w:rsidRPr="001B4CA2" w:rsidRDefault="00E6050A" w:rsidP="002B41C2">
      <w:pPr>
        <w:rPr>
          <w:spacing w:val="-3"/>
        </w:rPr>
      </w:pPr>
      <w:r w:rsidRPr="001B4CA2">
        <w:rPr>
          <w:spacing w:val="-3"/>
        </w:rPr>
        <w:tab/>
      </w:r>
      <w:r w:rsidR="002B41C2" w:rsidRPr="001B4CA2">
        <w:rPr>
          <w:spacing w:val="-3"/>
        </w:rPr>
        <w:t xml:space="preserve">Iako je smanjen broj osoba od kojih je oduzeta imovinska korist u odnosu na razdoblje 2021. godine, vrijednost oduzete imovinske koristi </w:t>
      </w:r>
      <w:r w:rsidR="003609DC" w:rsidRPr="001B4CA2">
        <w:rPr>
          <w:spacing w:val="-3"/>
        </w:rPr>
        <w:t xml:space="preserve">gotovo </w:t>
      </w:r>
      <w:r w:rsidR="002B41C2" w:rsidRPr="001B4CA2">
        <w:rPr>
          <w:spacing w:val="-3"/>
        </w:rPr>
        <w:t>je dvostruko viša, odnosno veća je za 45,35</w:t>
      </w:r>
      <w:r w:rsidR="00166CCE">
        <w:rPr>
          <w:spacing w:val="-3"/>
        </w:rPr>
        <w:t> </w:t>
      </w:r>
      <w:r w:rsidR="002B41C2" w:rsidRPr="001B4CA2">
        <w:rPr>
          <w:spacing w:val="-3"/>
        </w:rPr>
        <w:t>%. U predmetima županijskih državnih odvjetništava oduzeto je 42,5</w:t>
      </w:r>
      <w:r w:rsidR="00166CCE">
        <w:rPr>
          <w:spacing w:val="-3"/>
        </w:rPr>
        <w:t> </w:t>
      </w:r>
      <w:r w:rsidR="002B41C2" w:rsidRPr="001B4CA2">
        <w:rPr>
          <w:spacing w:val="-3"/>
        </w:rPr>
        <w:t xml:space="preserve">% od ukupno, na državnoj razini, oduzete imovinske koristi. Razlog navedenom povećan </w:t>
      </w:r>
      <w:r w:rsidR="003609DC" w:rsidRPr="001B4CA2">
        <w:rPr>
          <w:spacing w:val="-3"/>
        </w:rPr>
        <w:t xml:space="preserve">je </w:t>
      </w:r>
      <w:r w:rsidR="002B41C2" w:rsidRPr="001B4CA2">
        <w:rPr>
          <w:spacing w:val="-3"/>
        </w:rPr>
        <w:t>broj sudskih odluka kojima su okrivljenici proglašeni krivima, a u kojima je stoga i oduzeta imovinska korist, a oštećenik nije postavio imovinskopravni zahtjev.</w:t>
      </w:r>
    </w:p>
    <w:p w14:paraId="69EDDD64" w14:textId="77777777" w:rsidR="002B41C2" w:rsidRPr="001B4CA2" w:rsidRDefault="002B41C2" w:rsidP="002B41C2">
      <w:pPr>
        <w:rPr>
          <w:spacing w:val="-3"/>
        </w:rPr>
      </w:pPr>
    </w:p>
    <w:p w14:paraId="65533FFC" w14:textId="354AB387" w:rsidR="002B41C2" w:rsidRPr="001B4CA2" w:rsidRDefault="00E6050A" w:rsidP="002B41C2">
      <w:pPr>
        <w:rPr>
          <w:spacing w:val="-3"/>
        </w:rPr>
      </w:pPr>
      <w:r w:rsidRPr="001B4CA2">
        <w:rPr>
          <w:spacing w:val="-3"/>
        </w:rPr>
        <w:tab/>
      </w:r>
      <w:r w:rsidR="002B41C2" w:rsidRPr="001B4CA2">
        <w:rPr>
          <w:spacing w:val="-3"/>
        </w:rPr>
        <w:t xml:space="preserve">U odnosu na odrasle počinitelje kaznenih djela, za kaznena djela iz područja gospodarskog kriminaliteta i službenička kaznena djela, ukupno je oduzeto imovinske koristi u vrijednosti </w:t>
      </w:r>
      <w:r w:rsidR="003609DC">
        <w:rPr>
          <w:spacing w:val="-3"/>
        </w:rPr>
        <w:t xml:space="preserve">od </w:t>
      </w:r>
      <w:r w:rsidR="002B41C2" w:rsidRPr="001B4CA2">
        <w:rPr>
          <w:spacing w:val="-3"/>
        </w:rPr>
        <w:t>90.605.515,67 k</w:t>
      </w:r>
      <w:r w:rsidRPr="001B4CA2">
        <w:rPr>
          <w:spacing w:val="-3"/>
        </w:rPr>
        <w:t>n</w:t>
      </w:r>
      <w:r w:rsidR="00166CCE">
        <w:rPr>
          <w:spacing w:val="-3"/>
        </w:rPr>
        <w:t xml:space="preserve"> </w:t>
      </w:r>
      <w:r w:rsidRPr="001B4CA2">
        <w:rPr>
          <w:spacing w:val="-3"/>
        </w:rPr>
        <w:t>/</w:t>
      </w:r>
      <w:r w:rsidR="001C297A" w:rsidRPr="001B4CA2">
        <w:rPr>
          <w:spacing w:val="-3"/>
        </w:rPr>
        <w:t xml:space="preserve"> </w:t>
      </w:r>
      <w:r w:rsidRPr="001B4CA2">
        <w:rPr>
          <w:spacing w:val="-3"/>
        </w:rPr>
        <w:t>12.025</w:t>
      </w:r>
      <w:r w:rsidR="00F879D8">
        <w:rPr>
          <w:spacing w:val="-3"/>
        </w:rPr>
        <w:t>.</w:t>
      </w:r>
      <w:r w:rsidRPr="001B4CA2">
        <w:rPr>
          <w:spacing w:val="-3"/>
        </w:rPr>
        <w:t>41</w:t>
      </w:r>
      <w:r w:rsidR="00F879D8">
        <w:rPr>
          <w:spacing w:val="-3"/>
        </w:rPr>
        <w:t>8,50</w:t>
      </w:r>
      <w:r w:rsidRPr="001B4CA2">
        <w:rPr>
          <w:spacing w:val="-3"/>
        </w:rPr>
        <w:t xml:space="preserve"> EUR</w:t>
      </w:r>
      <w:r w:rsidR="002B41C2" w:rsidRPr="001B4CA2">
        <w:rPr>
          <w:spacing w:val="-3"/>
        </w:rPr>
        <w:t xml:space="preserve">. U tom iznosu, najviši iznos imovinske koristi oduzet je za kazneno djelo zlouporabe povjerenja u gospodarskom poslovanju iz članka 246. stavka 1. i 2. Kaznenog zakona/11 u ukupnom iznosu </w:t>
      </w:r>
      <w:r w:rsidR="003609DC">
        <w:rPr>
          <w:spacing w:val="-3"/>
        </w:rPr>
        <w:t xml:space="preserve">od </w:t>
      </w:r>
      <w:r w:rsidR="002B41C2" w:rsidRPr="001B4CA2">
        <w:rPr>
          <w:spacing w:val="-3"/>
        </w:rPr>
        <w:t>63.910.545,51 k</w:t>
      </w:r>
      <w:r w:rsidRPr="001B4CA2">
        <w:rPr>
          <w:spacing w:val="-3"/>
        </w:rPr>
        <w:t>n</w:t>
      </w:r>
      <w:r w:rsidR="00166CCE">
        <w:rPr>
          <w:spacing w:val="-3"/>
        </w:rPr>
        <w:t xml:space="preserve"> </w:t>
      </w:r>
      <w:r w:rsidRPr="001B4CA2">
        <w:rPr>
          <w:spacing w:val="-3"/>
        </w:rPr>
        <w:t>/</w:t>
      </w:r>
      <w:r w:rsidR="001C297A" w:rsidRPr="001B4CA2">
        <w:rPr>
          <w:spacing w:val="-3"/>
        </w:rPr>
        <w:t xml:space="preserve"> </w:t>
      </w:r>
      <w:r w:rsidRPr="001B4CA2">
        <w:rPr>
          <w:spacing w:val="-3"/>
        </w:rPr>
        <w:t>8.482.387,09 EUR</w:t>
      </w:r>
      <w:r w:rsidR="002B41C2" w:rsidRPr="001B4CA2">
        <w:rPr>
          <w:spacing w:val="-3"/>
        </w:rPr>
        <w:t xml:space="preserve"> od 34 osobe. Slijedi kazneno djelo zlouporabe položaja i ovlasti iz članka 291. stavka 2. Kaznenog zakona/11 za koje je oduzeto imovinske koristi u iznosu </w:t>
      </w:r>
      <w:r w:rsidR="003609DC">
        <w:rPr>
          <w:spacing w:val="-3"/>
        </w:rPr>
        <w:t xml:space="preserve">od </w:t>
      </w:r>
      <w:r w:rsidR="002B41C2" w:rsidRPr="001B4CA2">
        <w:rPr>
          <w:spacing w:val="-3"/>
        </w:rPr>
        <w:t>26.694.970,16 k</w:t>
      </w:r>
      <w:r w:rsidRPr="001B4CA2">
        <w:rPr>
          <w:spacing w:val="-3"/>
        </w:rPr>
        <w:t>n</w:t>
      </w:r>
      <w:r w:rsidR="00166CCE">
        <w:rPr>
          <w:spacing w:val="-3"/>
        </w:rPr>
        <w:t xml:space="preserve"> </w:t>
      </w:r>
      <w:r w:rsidRPr="001B4CA2">
        <w:rPr>
          <w:spacing w:val="-3"/>
        </w:rPr>
        <w:t>/</w:t>
      </w:r>
      <w:r w:rsidR="001C297A" w:rsidRPr="001B4CA2">
        <w:rPr>
          <w:spacing w:val="-3"/>
        </w:rPr>
        <w:t xml:space="preserve"> </w:t>
      </w:r>
      <w:r w:rsidRPr="001B4CA2">
        <w:rPr>
          <w:spacing w:val="-3"/>
        </w:rPr>
        <w:t>3.543.031,41 EUR</w:t>
      </w:r>
      <w:r w:rsidR="002B41C2" w:rsidRPr="001B4CA2">
        <w:rPr>
          <w:spacing w:val="-3"/>
        </w:rPr>
        <w:t xml:space="preserve"> od 5 osoba. Dakle, 98</w:t>
      </w:r>
      <w:r w:rsidR="003609DC">
        <w:rPr>
          <w:spacing w:val="-3"/>
        </w:rPr>
        <w:t> </w:t>
      </w:r>
      <w:r w:rsidR="002B41C2" w:rsidRPr="001B4CA2">
        <w:rPr>
          <w:spacing w:val="-3"/>
        </w:rPr>
        <w:t>% oduzete imovinske koristi u predmetima županijskih državnih odvjetništava koji se odnose na odrasle osobe predstavljaju kaznena djela iz Glave XXIV</w:t>
      </w:r>
      <w:r w:rsidR="00166CCE">
        <w:rPr>
          <w:spacing w:val="-3"/>
        </w:rPr>
        <w:t>.</w:t>
      </w:r>
      <w:r w:rsidR="002B41C2" w:rsidRPr="001B4CA2">
        <w:rPr>
          <w:spacing w:val="-3"/>
        </w:rPr>
        <w:t xml:space="preserve"> protiv gospodarstva i Glave XXVIII</w:t>
      </w:r>
      <w:r w:rsidR="00166CCE">
        <w:rPr>
          <w:spacing w:val="-3"/>
        </w:rPr>
        <w:t>.</w:t>
      </w:r>
      <w:r w:rsidR="002B41C2" w:rsidRPr="001B4CA2">
        <w:rPr>
          <w:spacing w:val="-3"/>
        </w:rPr>
        <w:t xml:space="preserve"> protiv službene dužnosti.</w:t>
      </w:r>
    </w:p>
    <w:p w14:paraId="45CA8DA6" w14:textId="77777777" w:rsidR="002B41C2" w:rsidRPr="001B4CA2" w:rsidRDefault="002B41C2" w:rsidP="002B41C2">
      <w:pPr>
        <w:rPr>
          <w:spacing w:val="-3"/>
        </w:rPr>
      </w:pPr>
    </w:p>
    <w:p w14:paraId="06A8F0C0" w14:textId="662A0A9D" w:rsidR="002B41C2" w:rsidRPr="001B4CA2" w:rsidRDefault="00E6050A" w:rsidP="002B41C2">
      <w:pPr>
        <w:rPr>
          <w:spacing w:val="-3"/>
        </w:rPr>
      </w:pPr>
      <w:r w:rsidRPr="001B4CA2">
        <w:rPr>
          <w:spacing w:val="-3"/>
        </w:rPr>
        <w:lastRenderedPageBreak/>
        <w:tab/>
      </w:r>
      <w:r w:rsidR="002B41C2" w:rsidRPr="001B4CA2">
        <w:rPr>
          <w:spacing w:val="-3"/>
        </w:rPr>
        <w:t>U predmetima protiv mlađih punoljetnika kaznena djela za koja je oduzeta imovinska korist su kazneno djelo javnog poticanja na terorizam iz članka 99. Kaznenog zakona/11 za koje je korist oduzeta od jedne osobe u iznosu 12.164,00 k</w:t>
      </w:r>
      <w:r w:rsidRPr="001B4CA2">
        <w:rPr>
          <w:spacing w:val="-3"/>
        </w:rPr>
        <w:t>n</w:t>
      </w:r>
      <w:r w:rsidR="00CA560A">
        <w:rPr>
          <w:spacing w:val="-3"/>
        </w:rPr>
        <w:t xml:space="preserve"> </w:t>
      </w:r>
      <w:r w:rsidRPr="001B4CA2">
        <w:rPr>
          <w:spacing w:val="-3"/>
        </w:rPr>
        <w:t>/</w:t>
      </w:r>
      <w:r w:rsidR="001C297A" w:rsidRPr="001B4CA2">
        <w:rPr>
          <w:spacing w:val="-3"/>
        </w:rPr>
        <w:t xml:space="preserve"> </w:t>
      </w:r>
      <w:r w:rsidRPr="001B4CA2">
        <w:rPr>
          <w:spacing w:val="-3"/>
        </w:rPr>
        <w:t>1.614,44 EUR</w:t>
      </w:r>
      <w:r w:rsidR="002B41C2" w:rsidRPr="001B4CA2">
        <w:rPr>
          <w:spacing w:val="-3"/>
        </w:rPr>
        <w:t>, kazneno djelo</w:t>
      </w:r>
      <w:r w:rsidR="001B4CA2">
        <w:rPr>
          <w:spacing w:val="-3"/>
        </w:rPr>
        <w:t xml:space="preserve"> </w:t>
      </w:r>
      <w:r w:rsidR="002B41C2" w:rsidRPr="001B4CA2">
        <w:rPr>
          <w:spacing w:val="-3"/>
        </w:rPr>
        <w:t xml:space="preserve">neovlaštene proizvodnje i prometa drogama iz članka 190. Kaznenog zakona/11 za koje je od 5 osoba oduzeta imovinska korist u iznosu </w:t>
      </w:r>
      <w:r w:rsidR="00415A80">
        <w:rPr>
          <w:spacing w:val="-3"/>
        </w:rPr>
        <w:t xml:space="preserve">od </w:t>
      </w:r>
      <w:r w:rsidR="002B41C2" w:rsidRPr="001B4CA2">
        <w:rPr>
          <w:spacing w:val="-3"/>
        </w:rPr>
        <w:t>24.300,00 k</w:t>
      </w:r>
      <w:r w:rsidRPr="001B4CA2">
        <w:rPr>
          <w:spacing w:val="-3"/>
        </w:rPr>
        <w:t>n</w:t>
      </w:r>
      <w:r w:rsidR="00CA560A">
        <w:rPr>
          <w:spacing w:val="-3"/>
        </w:rPr>
        <w:t xml:space="preserve"> </w:t>
      </w:r>
      <w:r w:rsidRPr="001B4CA2">
        <w:rPr>
          <w:spacing w:val="-3"/>
        </w:rPr>
        <w:t>/</w:t>
      </w:r>
      <w:r w:rsidR="001C297A" w:rsidRPr="001B4CA2">
        <w:rPr>
          <w:spacing w:val="-3"/>
        </w:rPr>
        <w:t xml:space="preserve"> </w:t>
      </w:r>
      <w:r w:rsidRPr="001B4CA2">
        <w:rPr>
          <w:spacing w:val="-3"/>
        </w:rPr>
        <w:t>3.225,16 EUR</w:t>
      </w:r>
      <w:r w:rsidR="002B41C2" w:rsidRPr="001B4CA2">
        <w:rPr>
          <w:spacing w:val="-3"/>
        </w:rPr>
        <w:t xml:space="preserve"> te kazneno djelo razbojništva iz članka 230. stavka 2. Kaznenog zakona/11 za koje je od 3 osobe oduzeta imovinska korist u iznosu</w:t>
      </w:r>
      <w:r w:rsidR="00415A80">
        <w:rPr>
          <w:spacing w:val="-3"/>
        </w:rPr>
        <w:t xml:space="preserve"> od</w:t>
      </w:r>
      <w:r w:rsidR="002B41C2" w:rsidRPr="001B4CA2">
        <w:rPr>
          <w:spacing w:val="-3"/>
        </w:rPr>
        <w:t xml:space="preserve"> 6.145,28 k</w:t>
      </w:r>
      <w:r w:rsidRPr="001B4CA2">
        <w:rPr>
          <w:spacing w:val="-3"/>
        </w:rPr>
        <w:t>n</w:t>
      </w:r>
      <w:r w:rsidR="00CA560A">
        <w:rPr>
          <w:spacing w:val="-3"/>
        </w:rPr>
        <w:t xml:space="preserve"> </w:t>
      </w:r>
      <w:r w:rsidRPr="001B4CA2">
        <w:rPr>
          <w:spacing w:val="-3"/>
        </w:rPr>
        <w:t>/</w:t>
      </w:r>
      <w:r w:rsidR="001C297A" w:rsidRPr="001B4CA2">
        <w:rPr>
          <w:spacing w:val="-3"/>
        </w:rPr>
        <w:t xml:space="preserve"> </w:t>
      </w:r>
      <w:r w:rsidRPr="001B4CA2">
        <w:rPr>
          <w:spacing w:val="-3"/>
        </w:rPr>
        <w:t>815,6</w:t>
      </w:r>
      <w:r w:rsidR="00F879D8">
        <w:rPr>
          <w:spacing w:val="-3"/>
        </w:rPr>
        <w:t>2</w:t>
      </w:r>
      <w:r w:rsidRPr="001B4CA2">
        <w:rPr>
          <w:spacing w:val="-3"/>
        </w:rPr>
        <w:t xml:space="preserve"> EUR</w:t>
      </w:r>
      <w:r w:rsidR="002B41C2" w:rsidRPr="001B4CA2">
        <w:rPr>
          <w:spacing w:val="-3"/>
        </w:rPr>
        <w:t>.</w:t>
      </w:r>
    </w:p>
    <w:p w14:paraId="07766E88" w14:textId="77777777" w:rsidR="00CD247B" w:rsidRPr="001B4CA2" w:rsidRDefault="00CD247B" w:rsidP="002B41C2">
      <w:pPr>
        <w:rPr>
          <w:spacing w:val="-3"/>
        </w:rPr>
      </w:pPr>
    </w:p>
    <w:p w14:paraId="1A28A841" w14:textId="58E99B11" w:rsidR="002B41C2" w:rsidRPr="001B4CA2" w:rsidRDefault="001D4F0F" w:rsidP="001D4F0F">
      <w:pPr>
        <w:ind w:left="142"/>
        <w:rPr>
          <w:i/>
          <w:iCs/>
          <w:spacing w:val="-3"/>
        </w:rPr>
      </w:pPr>
      <w:r>
        <w:rPr>
          <w:i/>
          <w:iCs/>
          <w:spacing w:val="-3"/>
        </w:rPr>
        <w:t xml:space="preserve"> </w:t>
      </w:r>
      <w:r w:rsidR="00CD247B" w:rsidRPr="001B4CA2">
        <w:rPr>
          <w:i/>
          <w:iCs/>
          <w:spacing w:val="-3"/>
        </w:rPr>
        <w:t xml:space="preserve">Broj izrečenih sigurnosnih mjera osiguranja i broj oduzimanja </w:t>
      </w:r>
      <w:r w:rsidR="00CA560A" w:rsidRPr="001B4CA2">
        <w:rPr>
          <w:i/>
          <w:iCs/>
          <w:spacing w:val="-3"/>
        </w:rPr>
        <w:t>imovinske</w:t>
      </w:r>
      <w:r w:rsidR="00CD247B" w:rsidRPr="001B4CA2">
        <w:rPr>
          <w:i/>
          <w:iCs/>
          <w:spacing w:val="-3"/>
        </w:rPr>
        <w:t xml:space="preserve"> koristi te </w:t>
      </w:r>
      <w:r>
        <w:rPr>
          <w:i/>
          <w:iCs/>
          <w:spacing w:val="-3"/>
        </w:rPr>
        <w:t xml:space="preserve">   </w:t>
      </w:r>
      <w:r w:rsidR="00CD247B" w:rsidRPr="001B4CA2">
        <w:rPr>
          <w:i/>
          <w:iCs/>
          <w:spacing w:val="-3"/>
        </w:rPr>
        <w:t>vrijednosti blokirane, odnosno oduzete imovine</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1354"/>
        <w:gridCol w:w="1716"/>
        <w:gridCol w:w="1747"/>
        <w:gridCol w:w="1621"/>
      </w:tblGrid>
      <w:tr w:rsidR="002B41C2" w:rsidRPr="001B4CA2" w14:paraId="23FA57D7" w14:textId="77777777" w:rsidTr="001D4F0F">
        <w:trPr>
          <w:trHeight w:val="595"/>
        </w:trPr>
        <w:tc>
          <w:tcPr>
            <w:tcW w:w="2492" w:type="dxa"/>
            <w:shd w:val="solid" w:color="99CCFF" w:fill="auto"/>
            <w:vAlign w:val="center"/>
          </w:tcPr>
          <w:p w14:paraId="22B32D2A" w14:textId="77777777" w:rsidR="002B41C2" w:rsidRPr="001B4CA2" w:rsidRDefault="002B41C2" w:rsidP="004D2810">
            <w:pPr>
              <w:autoSpaceDE w:val="0"/>
              <w:autoSpaceDN w:val="0"/>
              <w:adjustRightInd w:val="0"/>
              <w:jc w:val="center"/>
              <w:rPr>
                <w:b/>
                <w:bCs/>
                <w:color w:val="000000"/>
                <w:sz w:val="18"/>
                <w:szCs w:val="18"/>
              </w:rPr>
            </w:pPr>
            <w:r w:rsidRPr="001B4CA2">
              <w:rPr>
                <w:b/>
                <w:bCs/>
                <w:color w:val="000000"/>
                <w:sz w:val="18"/>
                <w:szCs w:val="18"/>
              </w:rPr>
              <w:t>Godina</w:t>
            </w:r>
          </w:p>
        </w:tc>
        <w:tc>
          <w:tcPr>
            <w:tcW w:w="1354" w:type="dxa"/>
            <w:shd w:val="solid" w:color="99CCFF" w:fill="auto"/>
            <w:vAlign w:val="center"/>
          </w:tcPr>
          <w:p w14:paraId="4ED87687" w14:textId="77777777" w:rsidR="002B41C2" w:rsidRPr="001B4CA2" w:rsidRDefault="002B41C2" w:rsidP="004D2810">
            <w:pPr>
              <w:autoSpaceDE w:val="0"/>
              <w:autoSpaceDN w:val="0"/>
              <w:adjustRightInd w:val="0"/>
              <w:jc w:val="center"/>
              <w:rPr>
                <w:b/>
                <w:bCs/>
                <w:color w:val="000000"/>
                <w:sz w:val="18"/>
                <w:szCs w:val="18"/>
              </w:rPr>
            </w:pPr>
            <w:r w:rsidRPr="001B4CA2">
              <w:rPr>
                <w:b/>
                <w:bCs/>
                <w:color w:val="000000"/>
                <w:sz w:val="18"/>
                <w:szCs w:val="18"/>
              </w:rPr>
              <w:t>Broj mjera osiguranja</w:t>
            </w:r>
          </w:p>
        </w:tc>
        <w:tc>
          <w:tcPr>
            <w:tcW w:w="1716" w:type="dxa"/>
            <w:shd w:val="solid" w:color="99CCFF" w:fill="auto"/>
            <w:vAlign w:val="center"/>
          </w:tcPr>
          <w:p w14:paraId="614803D0" w14:textId="77777777" w:rsidR="002B41C2" w:rsidRPr="001B4CA2" w:rsidRDefault="002B41C2" w:rsidP="004D2810">
            <w:pPr>
              <w:autoSpaceDE w:val="0"/>
              <w:autoSpaceDN w:val="0"/>
              <w:adjustRightInd w:val="0"/>
              <w:jc w:val="center"/>
              <w:rPr>
                <w:b/>
                <w:bCs/>
                <w:color w:val="000000"/>
                <w:sz w:val="18"/>
                <w:szCs w:val="18"/>
              </w:rPr>
            </w:pPr>
            <w:r w:rsidRPr="001B4CA2">
              <w:rPr>
                <w:b/>
                <w:bCs/>
                <w:color w:val="000000"/>
                <w:sz w:val="18"/>
                <w:szCs w:val="18"/>
              </w:rPr>
              <w:t>Vrijednost u kn</w:t>
            </w:r>
          </w:p>
        </w:tc>
        <w:tc>
          <w:tcPr>
            <w:tcW w:w="1747" w:type="dxa"/>
            <w:shd w:val="solid" w:color="99CCFF" w:fill="auto"/>
            <w:vAlign w:val="center"/>
          </w:tcPr>
          <w:p w14:paraId="22C73C8C" w14:textId="77777777" w:rsidR="002B41C2" w:rsidRPr="001B4CA2" w:rsidRDefault="002B41C2" w:rsidP="004D2810">
            <w:pPr>
              <w:autoSpaceDE w:val="0"/>
              <w:autoSpaceDN w:val="0"/>
              <w:adjustRightInd w:val="0"/>
              <w:jc w:val="center"/>
              <w:rPr>
                <w:b/>
                <w:bCs/>
                <w:color w:val="000000"/>
                <w:sz w:val="18"/>
                <w:szCs w:val="18"/>
              </w:rPr>
            </w:pPr>
            <w:r w:rsidRPr="001B4CA2">
              <w:rPr>
                <w:b/>
                <w:bCs/>
                <w:color w:val="000000"/>
                <w:sz w:val="18"/>
                <w:szCs w:val="18"/>
              </w:rPr>
              <w:t>Broj oduzimanja</w:t>
            </w:r>
          </w:p>
        </w:tc>
        <w:tc>
          <w:tcPr>
            <w:tcW w:w="1621" w:type="dxa"/>
            <w:shd w:val="solid" w:color="99CCFF" w:fill="auto"/>
            <w:vAlign w:val="center"/>
          </w:tcPr>
          <w:p w14:paraId="506A959C" w14:textId="77777777" w:rsidR="002B41C2" w:rsidRPr="001B4CA2" w:rsidRDefault="002B41C2" w:rsidP="004D2810">
            <w:pPr>
              <w:autoSpaceDE w:val="0"/>
              <w:autoSpaceDN w:val="0"/>
              <w:adjustRightInd w:val="0"/>
              <w:jc w:val="center"/>
              <w:rPr>
                <w:b/>
                <w:bCs/>
                <w:color w:val="000000"/>
                <w:sz w:val="18"/>
                <w:szCs w:val="18"/>
              </w:rPr>
            </w:pPr>
            <w:r w:rsidRPr="001B4CA2">
              <w:rPr>
                <w:b/>
                <w:bCs/>
                <w:color w:val="000000"/>
                <w:sz w:val="18"/>
                <w:szCs w:val="18"/>
              </w:rPr>
              <w:t>Vrijednost u kn</w:t>
            </w:r>
          </w:p>
        </w:tc>
      </w:tr>
      <w:tr w:rsidR="002B41C2" w:rsidRPr="001B4CA2" w14:paraId="79B6A08B" w14:textId="77777777" w:rsidTr="001D4F0F">
        <w:trPr>
          <w:trHeight w:val="290"/>
        </w:trPr>
        <w:tc>
          <w:tcPr>
            <w:tcW w:w="2492" w:type="dxa"/>
            <w:vAlign w:val="center"/>
          </w:tcPr>
          <w:p w14:paraId="5608A899" w14:textId="77777777" w:rsidR="002B41C2" w:rsidRPr="001B4CA2" w:rsidRDefault="002B41C2" w:rsidP="002A38E7">
            <w:pPr>
              <w:autoSpaceDE w:val="0"/>
              <w:autoSpaceDN w:val="0"/>
              <w:adjustRightInd w:val="0"/>
              <w:jc w:val="center"/>
              <w:rPr>
                <w:color w:val="000000"/>
                <w:sz w:val="18"/>
                <w:szCs w:val="18"/>
              </w:rPr>
            </w:pPr>
            <w:r w:rsidRPr="001B4CA2">
              <w:rPr>
                <w:color w:val="000000"/>
                <w:sz w:val="18"/>
                <w:szCs w:val="18"/>
              </w:rPr>
              <w:t>2018.</w:t>
            </w:r>
          </w:p>
        </w:tc>
        <w:tc>
          <w:tcPr>
            <w:tcW w:w="1354" w:type="dxa"/>
            <w:vAlign w:val="center"/>
          </w:tcPr>
          <w:p w14:paraId="2538D917" w14:textId="77777777" w:rsidR="002B41C2" w:rsidRPr="001B4CA2" w:rsidRDefault="002B41C2" w:rsidP="002A38E7">
            <w:pPr>
              <w:autoSpaceDE w:val="0"/>
              <w:autoSpaceDN w:val="0"/>
              <w:adjustRightInd w:val="0"/>
              <w:jc w:val="center"/>
              <w:rPr>
                <w:color w:val="000000"/>
                <w:sz w:val="18"/>
                <w:szCs w:val="18"/>
              </w:rPr>
            </w:pPr>
            <w:r w:rsidRPr="001B4CA2">
              <w:rPr>
                <w:color w:val="000000"/>
                <w:sz w:val="18"/>
                <w:szCs w:val="18"/>
              </w:rPr>
              <w:t>4</w:t>
            </w:r>
          </w:p>
        </w:tc>
        <w:tc>
          <w:tcPr>
            <w:tcW w:w="1716" w:type="dxa"/>
            <w:vAlign w:val="center"/>
          </w:tcPr>
          <w:p w14:paraId="10ED033A"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2.662.140,01</w:t>
            </w:r>
          </w:p>
        </w:tc>
        <w:tc>
          <w:tcPr>
            <w:tcW w:w="1747" w:type="dxa"/>
            <w:vAlign w:val="center"/>
          </w:tcPr>
          <w:p w14:paraId="6FA18090"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72</w:t>
            </w:r>
          </w:p>
        </w:tc>
        <w:tc>
          <w:tcPr>
            <w:tcW w:w="1621" w:type="dxa"/>
            <w:vAlign w:val="center"/>
          </w:tcPr>
          <w:p w14:paraId="21CE12DE"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41.877.840,28</w:t>
            </w:r>
          </w:p>
        </w:tc>
      </w:tr>
      <w:tr w:rsidR="002B41C2" w:rsidRPr="001B4CA2" w14:paraId="2934CC49" w14:textId="77777777" w:rsidTr="001D4F0F">
        <w:trPr>
          <w:trHeight w:val="290"/>
        </w:trPr>
        <w:tc>
          <w:tcPr>
            <w:tcW w:w="2492" w:type="dxa"/>
            <w:vAlign w:val="center"/>
          </w:tcPr>
          <w:p w14:paraId="6E39E2CA" w14:textId="77777777" w:rsidR="002B41C2" w:rsidRPr="001B4CA2" w:rsidRDefault="002B41C2" w:rsidP="002A38E7">
            <w:pPr>
              <w:autoSpaceDE w:val="0"/>
              <w:autoSpaceDN w:val="0"/>
              <w:adjustRightInd w:val="0"/>
              <w:jc w:val="center"/>
              <w:rPr>
                <w:color w:val="000000"/>
                <w:sz w:val="18"/>
                <w:szCs w:val="18"/>
              </w:rPr>
            </w:pPr>
            <w:r w:rsidRPr="001B4CA2">
              <w:rPr>
                <w:color w:val="000000"/>
                <w:sz w:val="18"/>
                <w:szCs w:val="18"/>
              </w:rPr>
              <w:t>2019.</w:t>
            </w:r>
          </w:p>
        </w:tc>
        <w:tc>
          <w:tcPr>
            <w:tcW w:w="1354" w:type="dxa"/>
            <w:vAlign w:val="center"/>
          </w:tcPr>
          <w:p w14:paraId="3DBE479C" w14:textId="77777777" w:rsidR="002B41C2" w:rsidRPr="001B4CA2" w:rsidRDefault="002B41C2" w:rsidP="002A38E7">
            <w:pPr>
              <w:autoSpaceDE w:val="0"/>
              <w:autoSpaceDN w:val="0"/>
              <w:adjustRightInd w:val="0"/>
              <w:jc w:val="center"/>
              <w:rPr>
                <w:color w:val="000000"/>
                <w:sz w:val="18"/>
                <w:szCs w:val="18"/>
              </w:rPr>
            </w:pPr>
            <w:r w:rsidRPr="001B4CA2">
              <w:rPr>
                <w:color w:val="000000"/>
                <w:sz w:val="18"/>
                <w:szCs w:val="18"/>
              </w:rPr>
              <w:t>14</w:t>
            </w:r>
          </w:p>
        </w:tc>
        <w:tc>
          <w:tcPr>
            <w:tcW w:w="1716" w:type="dxa"/>
            <w:vAlign w:val="center"/>
          </w:tcPr>
          <w:p w14:paraId="47CDF8A0"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84.209.763,64</w:t>
            </w:r>
          </w:p>
        </w:tc>
        <w:tc>
          <w:tcPr>
            <w:tcW w:w="1747" w:type="dxa"/>
            <w:vAlign w:val="center"/>
          </w:tcPr>
          <w:p w14:paraId="43C7DA81"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65</w:t>
            </w:r>
          </w:p>
        </w:tc>
        <w:tc>
          <w:tcPr>
            <w:tcW w:w="1621" w:type="dxa"/>
            <w:vAlign w:val="center"/>
          </w:tcPr>
          <w:p w14:paraId="65167289"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67.243.977,87</w:t>
            </w:r>
          </w:p>
        </w:tc>
      </w:tr>
      <w:tr w:rsidR="002B41C2" w:rsidRPr="001B4CA2" w14:paraId="04E9A806" w14:textId="77777777" w:rsidTr="001D4F0F">
        <w:trPr>
          <w:trHeight w:val="290"/>
        </w:trPr>
        <w:tc>
          <w:tcPr>
            <w:tcW w:w="2492" w:type="dxa"/>
            <w:vAlign w:val="center"/>
          </w:tcPr>
          <w:p w14:paraId="698DD02D" w14:textId="77777777" w:rsidR="002B41C2" w:rsidRPr="001B4CA2" w:rsidRDefault="002B41C2" w:rsidP="002A38E7">
            <w:pPr>
              <w:autoSpaceDE w:val="0"/>
              <w:autoSpaceDN w:val="0"/>
              <w:adjustRightInd w:val="0"/>
              <w:jc w:val="center"/>
              <w:rPr>
                <w:color w:val="000000"/>
                <w:sz w:val="18"/>
                <w:szCs w:val="18"/>
              </w:rPr>
            </w:pPr>
            <w:r w:rsidRPr="001B4CA2">
              <w:rPr>
                <w:color w:val="000000"/>
                <w:sz w:val="18"/>
                <w:szCs w:val="18"/>
              </w:rPr>
              <w:t>2020.</w:t>
            </w:r>
          </w:p>
        </w:tc>
        <w:tc>
          <w:tcPr>
            <w:tcW w:w="1354" w:type="dxa"/>
            <w:vAlign w:val="center"/>
          </w:tcPr>
          <w:p w14:paraId="00784F61" w14:textId="77777777" w:rsidR="002B41C2" w:rsidRPr="001B4CA2" w:rsidRDefault="002B41C2" w:rsidP="002A38E7">
            <w:pPr>
              <w:autoSpaceDE w:val="0"/>
              <w:autoSpaceDN w:val="0"/>
              <w:adjustRightInd w:val="0"/>
              <w:jc w:val="right"/>
              <w:rPr>
                <w:color w:val="000000"/>
                <w:sz w:val="18"/>
                <w:szCs w:val="18"/>
              </w:rPr>
            </w:pPr>
          </w:p>
        </w:tc>
        <w:tc>
          <w:tcPr>
            <w:tcW w:w="1716" w:type="dxa"/>
            <w:vAlign w:val="center"/>
          </w:tcPr>
          <w:p w14:paraId="2289E779" w14:textId="77777777" w:rsidR="002B41C2" w:rsidRPr="001B4CA2" w:rsidRDefault="002B41C2" w:rsidP="009A1E7E">
            <w:pPr>
              <w:autoSpaceDE w:val="0"/>
              <w:autoSpaceDN w:val="0"/>
              <w:adjustRightInd w:val="0"/>
              <w:jc w:val="center"/>
              <w:rPr>
                <w:color w:val="000000"/>
                <w:sz w:val="18"/>
                <w:szCs w:val="18"/>
              </w:rPr>
            </w:pPr>
          </w:p>
        </w:tc>
        <w:tc>
          <w:tcPr>
            <w:tcW w:w="1747" w:type="dxa"/>
            <w:vAlign w:val="center"/>
          </w:tcPr>
          <w:p w14:paraId="1F81DF62"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77</w:t>
            </w:r>
          </w:p>
        </w:tc>
        <w:tc>
          <w:tcPr>
            <w:tcW w:w="1621" w:type="dxa"/>
            <w:vAlign w:val="center"/>
          </w:tcPr>
          <w:p w14:paraId="54636A16"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95.042.468,61</w:t>
            </w:r>
          </w:p>
        </w:tc>
      </w:tr>
      <w:tr w:rsidR="002B41C2" w:rsidRPr="001B4CA2" w14:paraId="7C2B3AFA" w14:textId="77777777" w:rsidTr="001D4F0F">
        <w:trPr>
          <w:trHeight w:val="290"/>
        </w:trPr>
        <w:tc>
          <w:tcPr>
            <w:tcW w:w="2492" w:type="dxa"/>
            <w:vAlign w:val="center"/>
          </w:tcPr>
          <w:p w14:paraId="12DF97B1" w14:textId="77777777" w:rsidR="002B41C2" w:rsidRPr="001B4CA2" w:rsidRDefault="002B41C2" w:rsidP="002A38E7">
            <w:pPr>
              <w:autoSpaceDE w:val="0"/>
              <w:autoSpaceDN w:val="0"/>
              <w:adjustRightInd w:val="0"/>
              <w:jc w:val="center"/>
              <w:rPr>
                <w:color w:val="000000"/>
                <w:sz w:val="18"/>
                <w:szCs w:val="18"/>
              </w:rPr>
            </w:pPr>
            <w:r w:rsidRPr="001B4CA2">
              <w:rPr>
                <w:color w:val="000000"/>
                <w:sz w:val="18"/>
                <w:szCs w:val="18"/>
              </w:rPr>
              <w:t>2021.</w:t>
            </w:r>
          </w:p>
        </w:tc>
        <w:tc>
          <w:tcPr>
            <w:tcW w:w="1354" w:type="dxa"/>
            <w:shd w:val="solid" w:color="FFFFFF" w:fill="auto"/>
            <w:vAlign w:val="center"/>
          </w:tcPr>
          <w:p w14:paraId="26CB2CE8" w14:textId="77777777" w:rsidR="002B41C2" w:rsidRPr="001B4CA2" w:rsidRDefault="002B41C2" w:rsidP="002A38E7">
            <w:pPr>
              <w:autoSpaceDE w:val="0"/>
              <w:autoSpaceDN w:val="0"/>
              <w:adjustRightInd w:val="0"/>
              <w:jc w:val="center"/>
              <w:rPr>
                <w:color w:val="000000"/>
                <w:sz w:val="18"/>
                <w:szCs w:val="18"/>
              </w:rPr>
            </w:pPr>
            <w:r w:rsidRPr="001B4CA2">
              <w:rPr>
                <w:color w:val="000000"/>
                <w:sz w:val="18"/>
                <w:szCs w:val="18"/>
              </w:rPr>
              <w:t>13</w:t>
            </w:r>
          </w:p>
        </w:tc>
        <w:tc>
          <w:tcPr>
            <w:tcW w:w="1716" w:type="dxa"/>
            <w:shd w:val="solid" w:color="FFFFFF" w:fill="auto"/>
            <w:vAlign w:val="center"/>
          </w:tcPr>
          <w:p w14:paraId="5B867E52"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18.684.428,42</w:t>
            </w:r>
          </w:p>
        </w:tc>
        <w:tc>
          <w:tcPr>
            <w:tcW w:w="1747" w:type="dxa"/>
            <w:vAlign w:val="center"/>
          </w:tcPr>
          <w:p w14:paraId="51A8F8EA"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99</w:t>
            </w:r>
          </w:p>
        </w:tc>
        <w:tc>
          <w:tcPr>
            <w:tcW w:w="1621" w:type="dxa"/>
            <w:vAlign w:val="center"/>
          </w:tcPr>
          <w:p w14:paraId="5A61FCC7"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50.656.921,11</w:t>
            </w:r>
          </w:p>
        </w:tc>
      </w:tr>
      <w:tr w:rsidR="002B41C2" w:rsidRPr="001B4CA2" w14:paraId="7065A96F" w14:textId="77777777" w:rsidTr="001D4F0F">
        <w:trPr>
          <w:trHeight w:val="290"/>
        </w:trPr>
        <w:tc>
          <w:tcPr>
            <w:tcW w:w="2492" w:type="dxa"/>
            <w:vAlign w:val="center"/>
          </w:tcPr>
          <w:p w14:paraId="21827D1C" w14:textId="77777777" w:rsidR="002B41C2" w:rsidRPr="001B4CA2" w:rsidRDefault="002B41C2" w:rsidP="002A38E7">
            <w:pPr>
              <w:autoSpaceDE w:val="0"/>
              <w:autoSpaceDN w:val="0"/>
              <w:adjustRightInd w:val="0"/>
              <w:jc w:val="center"/>
              <w:rPr>
                <w:color w:val="000000"/>
                <w:sz w:val="18"/>
                <w:szCs w:val="18"/>
              </w:rPr>
            </w:pPr>
            <w:r w:rsidRPr="001B4CA2">
              <w:rPr>
                <w:color w:val="000000"/>
                <w:sz w:val="18"/>
                <w:szCs w:val="18"/>
              </w:rPr>
              <w:t>2022.</w:t>
            </w:r>
          </w:p>
        </w:tc>
        <w:tc>
          <w:tcPr>
            <w:tcW w:w="1354" w:type="dxa"/>
            <w:shd w:val="solid" w:color="FFFFFF" w:fill="auto"/>
            <w:vAlign w:val="center"/>
          </w:tcPr>
          <w:p w14:paraId="2606716B" w14:textId="77777777" w:rsidR="002B41C2" w:rsidRPr="001B4CA2" w:rsidRDefault="002B41C2" w:rsidP="002A38E7">
            <w:pPr>
              <w:autoSpaceDE w:val="0"/>
              <w:autoSpaceDN w:val="0"/>
              <w:adjustRightInd w:val="0"/>
              <w:jc w:val="center"/>
              <w:rPr>
                <w:color w:val="000000"/>
                <w:sz w:val="18"/>
                <w:szCs w:val="18"/>
              </w:rPr>
            </w:pPr>
            <w:r w:rsidRPr="001B4CA2">
              <w:rPr>
                <w:color w:val="000000"/>
                <w:sz w:val="18"/>
                <w:szCs w:val="18"/>
              </w:rPr>
              <w:t>1</w:t>
            </w:r>
          </w:p>
        </w:tc>
        <w:tc>
          <w:tcPr>
            <w:tcW w:w="1716" w:type="dxa"/>
            <w:shd w:val="solid" w:color="FFFFFF" w:fill="auto"/>
            <w:vAlign w:val="center"/>
          </w:tcPr>
          <w:p w14:paraId="6039CBF8"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560.000,00</w:t>
            </w:r>
          </w:p>
        </w:tc>
        <w:tc>
          <w:tcPr>
            <w:tcW w:w="1747" w:type="dxa"/>
            <w:vAlign w:val="center"/>
          </w:tcPr>
          <w:p w14:paraId="2452C87B"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80</w:t>
            </w:r>
          </w:p>
        </w:tc>
        <w:tc>
          <w:tcPr>
            <w:tcW w:w="1621" w:type="dxa"/>
            <w:vAlign w:val="center"/>
          </w:tcPr>
          <w:p w14:paraId="16E1D2EE" w14:textId="77777777" w:rsidR="002B41C2" w:rsidRPr="001B4CA2" w:rsidRDefault="002B41C2" w:rsidP="009A1E7E">
            <w:pPr>
              <w:autoSpaceDE w:val="0"/>
              <w:autoSpaceDN w:val="0"/>
              <w:adjustRightInd w:val="0"/>
              <w:jc w:val="center"/>
              <w:rPr>
                <w:color w:val="000000"/>
                <w:sz w:val="18"/>
                <w:szCs w:val="18"/>
              </w:rPr>
            </w:pPr>
            <w:r w:rsidRPr="001B4CA2">
              <w:rPr>
                <w:color w:val="000000"/>
                <w:sz w:val="18"/>
                <w:szCs w:val="18"/>
              </w:rPr>
              <w:t>92.732.523,78</w:t>
            </w:r>
          </w:p>
        </w:tc>
      </w:tr>
    </w:tbl>
    <w:p w14:paraId="0721F147" w14:textId="77777777" w:rsidR="002B41C2" w:rsidRPr="001B4CA2" w:rsidRDefault="002B41C2" w:rsidP="002B41C2">
      <w:pPr>
        <w:rPr>
          <w:spacing w:val="-3"/>
        </w:rPr>
      </w:pPr>
    </w:p>
    <w:p w14:paraId="3C31DE46" w14:textId="029956DA" w:rsidR="002B41C2" w:rsidRPr="001B4CA2" w:rsidRDefault="009A1E7E" w:rsidP="002B41C2">
      <w:pPr>
        <w:rPr>
          <w:spacing w:val="-3"/>
        </w:rPr>
      </w:pPr>
      <w:r w:rsidRPr="001B4CA2">
        <w:rPr>
          <w:spacing w:val="-3"/>
        </w:rPr>
        <w:tab/>
      </w:r>
      <w:r w:rsidR="002B41C2" w:rsidRPr="001B4CA2">
        <w:rPr>
          <w:spacing w:val="-3"/>
        </w:rPr>
        <w:t>Tijekom 2022. u jednom je predmetu iz nadležnosti županijskog državnog odvjetništva određen</w:t>
      </w:r>
      <w:r w:rsidR="00415A80">
        <w:rPr>
          <w:spacing w:val="-3"/>
        </w:rPr>
        <w:t>a</w:t>
      </w:r>
      <w:r w:rsidR="002B41C2" w:rsidRPr="001B4CA2">
        <w:rPr>
          <w:spacing w:val="-3"/>
        </w:rPr>
        <w:t xml:space="preserve"> privremena mjera osiguranja za kazneno djelo razbojništva iz članka 230. stavka 2. Kaznenog zakona/11 u kojem žrtva još nije postavila imovinskopravni zahtjev. Radi se o mjeri zabrane otuđenja i opterećenja pokretnina u vrijednosti 560.000,00 k</w:t>
      </w:r>
      <w:r w:rsidR="00E6050A" w:rsidRPr="001B4CA2">
        <w:rPr>
          <w:spacing w:val="-3"/>
        </w:rPr>
        <w:t>n</w:t>
      </w:r>
      <w:r w:rsidR="00415A80">
        <w:rPr>
          <w:spacing w:val="-3"/>
        </w:rPr>
        <w:t xml:space="preserve"> </w:t>
      </w:r>
      <w:r w:rsidR="00E6050A" w:rsidRPr="001B4CA2">
        <w:rPr>
          <w:spacing w:val="-3"/>
        </w:rPr>
        <w:t>/</w:t>
      </w:r>
      <w:r w:rsidR="001C297A" w:rsidRPr="001B4CA2">
        <w:rPr>
          <w:spacing w:val="-3"/>
        </w:rPr>
        <w:t xml:space="preserve"> </w:t>
      </w:r>
      <w:r w:rsidR="00E6050A" w:rsidRPr="001B4CA2">
        <w:rPr>
          <w:spacing w:val="-3"/>
        </w:rPr>
        <w:t>74</w:t>
      </w:r>
      <w:r w:rsidR="00F879D8">
        <w:rPr>
          <w:spacing w:val="-3"/>
        </w:rPr>
        <w:t>.</w:t>
      </w:r>
      <w:r w:rsidR="00E6050A" w:rsidRPr="001B4CA2">
        <w:rPr>
          <w:spacing w:val="-3"/>
        </w:rPr>
        <w:t>32</w:t>
      </w:r>
      <w:r w:rsidR="00415A80">
        <w:rPr>
          <w:spacing w:val="-3"/>
        </w:rPr>
        <w:t>4</w:t>
      </w:r>
      <w:r w:rsidR="00F879D8">
        <w:rPr>
          <w:spacing w:val="-3"/>
        </w:rPr>
        <w:t>,77</w:t>
      </w:r>
      <w:r w:rsidR="00E6050A" w:rsidRPr="001B4CA2">
        <w:rPr>
          <w:spacing w:val="-3"/>
        </w:rPr>
        <w:t xml:space="preserve"> EUR</w:t>
      </w:r>
      <w:r w:rsidR="002B41C2" w:rsidRPr="001B4CA2">
        <w:rPr>
          <w:spacing w:val="-3"/>
        </w:rPr>
        <w:t>.</w:t>
      </w:r>
    </w:p>
    <w:p w14:paraId="60290715" w14:textId="77777777" w:rsidR="002B41C2" w:rsidRPr="001B4CA2" w:rsidRDefault="002B41C2" w:rsidP="002B41C2">
      <w:pPr>
        <w:rPr>
          <w:spacing w:val="-3"/>
        </w:rPr>
      </w:pPr>
    </w:p>
    <w:p w14:paraId="2101A0CC" w14:textId="032BF22B" w:rsidR="002B41C2" w:rsidRPr="001B4CA2" w:rsidRDefault="009A1E7E" w:rsidP="002B41C2">
      <w:pPr>
        <w:rPr>
          <w:spacing w:val="-3"/>
        </w:rPr>
      </w:pPr>
      <w:r w:rsidRPr="001B4CA2">
        <w:rPr>
          <w:spacing w:val="-3"/>
        </w:rPr>
        <w:tab/>
      </w:r>
      <w:r w:rsidR="002B41C2" w:rsidRPr="001B4CA2">
        <w:rPr>
          <w:spacing w:val="-3"/>
        </w:rPr>
        <w:t>U izvještajnom razdoblju nije bilo predmeta u kojima je postavljen zahtjev sudu za oduzimanje imovinske koristi na temelju članka 560a i članka 560f Zakona o kaznenom postupku/08.</w:t>
      </w:r>
    </w:p>
    <w:p w14:paraId="33F16C0A" w14:textId="77777777" w:rsidR="00475FE7" w:rsidRPr="001B4CA2" w:rsidRDefault="00475FE7" w:rsidP="007C50CA"/>
    <w:p w14:paraId="19AF5E34" w14:textId="72F7FF00" w:rsidR="00BB4D48" w:rsidRPr="001B4CA2" w:rsidRDefault="006A1678" w:rsidP="005A0983">
      <w:pPr>
        <w:pStyle w:val="Naslov4"/>
        <w:ind w:left="993" w:hanging="851"/>
        <w:rPr>
          <w:rFonts w:ascii="Arial" w:hAnsi="Arial" w:cs="Arial"/>
        </w:rPr>
      </w:pPr>
      <w:bookmarkStart w:id="83" w:name="_Toc133394343"/>
      <w:r w:rsidRPr="001B4CA2">
        <w:rPr>
          <w:rFonts w:ascii="Arial" w:hAnsi="Arial" w:cs="Arial"/>
        </w:rPr>
        <w:t>Pregled radnji i ročišta u kaznenim predmetima</w:t>
      </w:r>
      <w:r w:rsidR="00F861FF" w:rsidRPr="001B4CA2">
        <w:rPr>
          <w:rFonts w:ascii="Arial" w:hAnsi="Arial" w:cs="Arial"/>
        </w:rPr>
        <w:t xml:space="preserve"> (županijska državna odvjetništva)</w:t>
      </w:r>
      <w:bookmarkEnd w:id="83"/>
    </w:p>
    <w:p w14:paraId="3C2AD259" w14:textId="77777777" w:rsidR="00852592" w:rsidRPr="001B4CA2" w:rsidRDefault="00852592" w:rsidP="00867C3F"/>
    <w:p w14:paraId="38F3393E" w14:textId="170C6F39" w:rsidR="00F861FF" w:rsidRPr="001B4CA2" w:rsidRDefault="00223ABD" w:rsidP="00F861FF">
      <w:pPr>
        <w:widowControl w:val="0"/>
        <w:rPr>
          <w:i/>
          <w:snapToGrid w:val="0"/>
        </w:rPr>
      </w:pPr>
      <w:bookmarkStart w:id="84" w:name="_Hlk131590259"/>
      <w:r>
        <w:rPr>
          <w:i/>
          <w:snapToGrid w:val="0"/>
        </w:rPr>
        <w:t xml:space="preserve">       </w:t>
      </w:r>
      <w:r w:rsidR="00F861FF" w:rsidRPr="001B4CA2">
        <w:rPr>
          <w:i/>
          <w:snapToGrid w:val="0"/>
        </w:rPr>
        <w:t>Dokazne radnje i zastupanje pred sudom</w:t>
      </w:r>
    </w:p>
    <w:tbl>
      <w:tblPr>
        <w:tblW w:w="8221" w:type="dxa"/>
        <w:tblInd w:w="392" w:type="dxa"/>
        <w:tblLook w:val="04A0" w:firstRow="1" w:lastRow="0" w:firstColumn="1" w:lastColumn="0" w:noHBand="0" w:noVBand="1"/>
      </w:tblPr>
      <w:tblGrid>
        <w:gridCol w:w="2281"/>
        <w:gridCol w:w="1260"/>
        <w:gridCol w:w="1500"/>
        <w:gridCol w:w="1720"/>
        <w:gridCol w:w="1460"/>
      </w:tblGrid>
      <w:tr w:rsidR="00F861FF" w:rsidRPr="001B4CA2" w14:paraId="5D1431BC" w14:textId="77777777" w:rsidTr="00F861FF">
        <w:trPr>
          <w:trHeight w:val="315"/>
        </w:trPr>
        <w:tc>
          <w:tcPr>
            <w:tcW w:w="2281" w:type="dxa"/>
            <w:vMerge w:val="restart"/>
            <w:tcBorders>
              <w:top w:val="single" w:sz="8" w:space="0" w:color="auto"/>
              <w:left w:val="single" w:sz="8" w:space="0" w:color="auto"/>
              <w:bottom w:val="single" w:sz="8" w:space="0" w:color="000000"/>
              <w:right w:val="single" w:sz="8" w:space="0" w:color="auto"/>
            </w:tcBorders>
            <w:shd w:val="clear" w:color="000000" w:fill="99CCFF"/>
            <w:noWrap/>
            <w:vAlign w:val="center"/>
            <w:hideMark/>
          </w:tcPr>
          <w:p w14:paraId="65E7C175" w14:textId="77777777" w:rsidR="00F861FF" w:rsidRPr="001B4CA2" w:rsidRDefault="00F861FF" w:rsidP="00CE2706">
            <w:pPr>
              <w:jc w:val="center"/>
              <w:rPr>
                <w:b/>
                <w:bCs/>
                <w:color w:val="000000"/>
                <w:sz w:val="18"/>
                <w:szCs w:val="18"/>
              </w:rPr>
            </w:pPr>
            <w:r w:rsidRPr="001B4CA2">
              <w:rPr>
                <w:b/>
                <w:bCs/>
                <w:color w:val="000000"/>
                <w:sz w:val="18"/>
                <w:szCs w:val="18"/>
              </w:rPr>
              <w:t>Izvidi i dokazne radnje</w:t>
            </w:r>
          </w:p>
        </w:tc>
        <w:tc>
          <w:tcPr>
            <w:tcW w:w="2760" w:type="dxa"/>
            <w:gridSpan w:val="2"/>
            <w:tcBorders>
              <w:top w:val="single" w:sz="8" w:space="0" w:color="auto"/>
              <w:left w:val="nil"/>
              <w:bottom w:val="single" w:sz="8" w:space="0" w:color="auto"/>
              <w:right w:val="single" w:sz="8" w:space="0" w:color="000000"/>
            </w:tcBorders>
            <w:shd w:val="clear" w:color="000000" w:fill="99CCFF"/>
            <w:vAlign w:val="center"/>
            <w:hideMark/>
          </w:tcPr>
          <w:p w14:paraId="06F59FB7" w14:textId="77777777" w:rsidR="00F861FF" w:rsidRPr="001B4CA2" w:rsidRDefault="00F861FF" w:rsidP="00CE2706">
            <w:pPr>
              <w:jc w:val="center"/>
              <w:rPr>
                <w:b/>
                <w:bCs/>
                <w:color w:val="000000"/>
                <w:sz w:val="18"/>
                <w:szCs w:val="18"/>
              </w:rPr>
            </w:pPr>
            <w:r w:rsidRPr="001B4CA2">
              <w:rPr>
                <w:b/>
                <w:bCs/>
                <w:color w:val="000000"/>
                <w:sz w:val="18"/>
                <w:szCs w:val="18"/>
              </w:rPr>
              <w:t>Dokazne radnje</w:t>
            </w:r>
          </w:p>
        </w:tc>
        <w:tc>
          <w:tcPr>
            <w:tcW w:w="3180" w:type="dxa"/>
            <w:gridSpan w:val="2"/>
            <w:tcBorders>
              <w:top w:val="single" w:sz="8" w:space="0" w:color="auto"/>
              <w:left w:val="nil"/>
              <w:bottom w:val="single" w:sz="8" w:space="0" w:color="auto"/>
              <w:right w:val="single" w:sz="8" w:space="0" w:color="000000"/>
            </w:tcBorders>
            <w:shd w:val="clear" w:color="000000" w:fill="99CCFF"/>
            <w:vAlign w:val="center"/>
            <w:hideMark/>
          </w:tcPr>
          <w:p w14:paraId="17FCECC6" w14:textId="77777777" w:rsidR="00F861FF" w:rsidRPr="001B4CA2" w:rsidRDefault="00F861FF" w:rsidP="00CE2706">
            <w:pPr>
              <w:jc w:val="center"/>
              <w:rPr>
                <w:b/>
                <w:bCs/>
                <w:color w:val="000000"/>
                <w:sz w:val="18"/>
                <w:szCs w:val="18"/>
              </w:rPr>
            </w:pPr>
            <w:r w:rsidRPr="001B4CA2">
              <w:rPr>
                <w:b/>
                <w:bCs/>
                <w:color w:val="000000"/>
                <w:sz w:val="18"/>
                <w:szCs w:val="18"/>
              </w:rPr>
              <w:t>Zastupanje</w:t>
            </w:r>
          </w:p>
        </w:tc>
      </w:tr>
      <w:tr w:rsidR="00F861FF" w:rsidRPr="001B4CA2" w14:paraId="7F8A33A1" w14:textId="77777777" w:rsidTr="00F861FF">
        <w:trPr>
          <w:trHeight w:val="915"/>
        </w:trPr>
        <w:tc>
          <w:tcPr>
            <w:tcW w:w="2281" w:type="dxa"/>
            <w:vMerge/>
            <w:tcBorders>
              <w:top w:val="single" w:sz="8" w:space="0" w:color="auto"/>
              <w:left w:val="single" w:sz="8" w:space="0" w:color="auto"/>
              <w:bottom w:val="single" w:sz="8" w:space="0" w:color="000000"/>
              <w:right w:val="single" w:sz="8" w:space="0" w:color="auto"/>
            </w:tcBorders>
            <w:vAlign w:val="center"/>
            <w:hideMark/>
          </w:tcPr>
          <w:p w14:paraId="6AC4CFE9" w14:textId="77777777" w:rsidR="00F861FF" w:rsidRPr="001B4CA2" w:rsidRDefault="00F861FF" w:rsidP="00CE2706">
            <w:pPr>
              <w:rPr>
                <w:b/>
                <w:bCs/>
                <w:color w:val="000000"/>
                <w:sz w:val="18"/>
                <w:szCs w:val="18"/>
              </w:rPr>
            </w:pPr>
          </w:p>
        </w:tc>
        <w:tc>
          <w:tcPr>
            <w:tcW w:w="1260" w:type="dxa"/>
            <w:tcBorders>
              <w:top w:val="nil"/>
              <w:left w:val="nil"/>
              <w:bottom w:val="single" w:sz="8" w:space="0" w:color="auto"/>
              <w:right w:val="single" w:sz="8" w:space="0" w:color="auto"/>
            </w:tcBorders>
            <w:shd w:val="clear" w:color="000000" w:fill="99CCFF"/>
            <w:vAlign w:val="center"/>
            <w:hideMark/>
          </w:tcPr>
          <w:p w14:paraId="1B691CF3" w14:textId="77777777" w:rsidR="00F861FF" w:rsidRPr="001B4CA2" w:rsidRDefault="00F861FF" w:rsidP="00CE2706">
            <w:pPr>
              <w:jc w:val="center"/>
              <w:rPr>
                <w:b/>
                <w:bCs/>
                <w:color w:val="000000"/>
                <w:sz w:val="18"/>
                <w:szCs w:val="18"/>
              </w:rPr>
            </w:pPr>
            <w:r w:rsidRPr="001B4CA2">
              <w:rPr>
                <w:b/>
                <w:bCs/>
                <w:color w:val="000000"/>
                <w:sz w:val="18"/>
                <w:szCs w:val="18"/>
              </w:rPr>
              <w:t>Nalog drugom tijelu</w:t>
            </w:r>
          </w:p>
        </w:tc>
        <w:tc>
          <w:tcPr>
            <w:tcW w:w="1500" w:type="dxa"/>
            <w:tcBorders>
              <w:top w:val="nil"/>
              <w:left w:val="nil"/>
              <w:bottom w:val="single" w:sz="8" w:space="0" w:color="auto"/>
              <w:right w:val="single" w:sz="8" w:space="0" w:color="auto"/>
            </w:tcBorders>
            <w:shd w:val="clear" w:color="000000" w:fill="99CCFF"/>
            <w:vAlign w:val="center"/>
            <w:hideMark/>
          </w:tcPr>
          <w:p w14:paraId="2A886122" w14:textId="77777777" w:rsidR="00F861FF" w:rsidRPr="001B4CA2" w:rsidRDefault="00F861FF" w:rsidP="00CE2706">
            <w:pPr>
              <w:jc w:val="center"/>
              <w:rPr>
                <w:b/>
                <w:bCs/>
                <w:color w:val="000000"/>
                <w:sz w:val="18"/>
                <w:szCs w:val="18"/>
              </w:rPr>
            </w:pPr>
            <w:r w:rsidRPr="001B4CA2">
              <w:rPr>
                <w:b/>
                <w:bCs/>
                <w:color w:val="000000"/>
                <w:sz w:val="18"/>
                <w:szCs w:val="18"/>
              </w:rPr>
              <w:t>Provedeno po DO</w:t>
            </w:r>
          </w:p>
        </w:tc>
        <w:tc>
          <w:tcPr>
            <w:tcW w:w="1720" w:type="dxa"/>
            <w:tcBorders>
              <w:top w:val="nil"/>
              <w:left w:val="nil"/>
              <w:bottom w:val="single" w:sz="8" w:space="0" w:color="auto"/>
              <w:right w:val="single" w:sz="8" w:space="0" w:color="auto"/>
            </w:tcBorders>
            <w:shd w:val="clear" w:color="000000" w:fill="99CCFF"/>
            <w:vAlign w:val="center"/>
            <w:hideMark/>
          </w:tcPr>
          <w:p w14:paraId="4D031A6F" w14:textId="77777777" w:rsidR="00F861FF" w:rsidRPr="001B4CA2" w:rsidRDefault="00F861FF" w:rsidP="00CE2706">
            <w:pPr>
              <w:jc w:val="center"/>
              <w:rPr>
                <w:b/>
                <w:bCs/>
                <w:color w:val="000000"/>
                <w:sz w:val="18"/>
                <w:szCs w:val="18"/>
              </w:rPr>
            </w:pPr>
            <w:r w:rsidRPr="001B4CA2">
              <w:rPr>
                <w:b/>
                <w:bCs/>
                <w:color w:val="000000"/>
                <w:sz w:val="18"/>
                <w:szCs w:val="18"/>
              </w:rPr>
              <w:t>Ročišta</w:t>
            </w:r>
          </w:p>
        </w:tc>
        <w:tc>
          <w:tcPr>
            <w:tcW w:w="1460" w:type="dxa"/>
            <w:tcBorders>
              <w:top w:val="nil"/>
              <w:left w:val="nil"/>
              <w:bottom w:val="single" w:sz="8" w:space="0" w:color="auto"/>
              <w:right w:val="single" w:sz="8" w:space="0" w:color="auto"/>
            </w:tcBorders>
            <w:shd w:val="clear" w:color="000000" w:fill="99CCFF"/>
            <w:vAlign w:val="center"/>
            <w:hideMark/>
          </w:tcPr>
          <w:p w14:paraId="0B1A004D" w14:textId="77777777" w:rsidR="00F861FF" w:rsidRPr="001B4CA2" w:rsidRDefault="00F861FF" w:rsidP="00CE2706">
            <w:pPr>
              <w:jc w:val="center"/>
              <w:rPr>
                <w:b/>
                <w:bCs/>
                <w:color w:val="000000"/>
                <w:sz w:val="18"/>
                <w:szCs w:val="18"/>
              </w:rPr>
            </w:pPr>
            <w:r w:rsidRPr="001B4CA2">
              <w:rPr>
                <w:b/>
                <w:bCs/>
                <w:color w:val="000000"/>
                <w:sz w:val="18"/>
                <w:szCs w:val="18"/>
              </w:rPr>
              <w:t>Rasprave</w:t>
            </w:r>
          </w:p>
        </w:tc>
      </w:tr>
      <w:tr w:rsidR="00F861FF" w:rsidRPr="001B4CA2" w14:paraId="114E4BD1" w14:textId="77777777" w:rsidTr="00CD247B">
        <w:trPr>
          <w:trHeight w:val="300"/>
        </w:trPr>
        <w:tc>
          <w:tcPr>
            <w:tcW w:w="2281" w:type="dxa"/>
            <w:tcBorders>
              <w:top w:val="nil"/>
              <w:left w:val="single" w:sz="8" w:space="0" w:color="auto"/>
              <w:bottom w:val="single" w:sz="8" w:space="0" w:color="auto"/>
              <w:right w:val="single" w:sz="8" w:space="0" w:color="auto"/>
            </w:tcBorders>
            <w:shd w:val="clear" w:color="auto" w:fill="auto"/>
            <w:vAlign w:val="center"/>
            <w:hideMark/>
          </w:tcPr>
          <w:p w14:paraId="73EBA763" w14:textId="77777777" w:rsidR="00F861FF" w:rsidRPr="001B4CA2" w:rsidRDefault="00F861FF" w:rsidP="00CE2706">
            <w:pPr>
              <w:jc w:val="center"/>
              <w:rPr>
                <w:color w:val="000000"/>
                <w:sz w:val="18"/>
                <w:szCs w:val="18"/>
              </w:rPr>
            </w:pPr>
            <w:r w:rsidRPr="001B4CA2">
              <w:rPr>
                <w:color w:val="000000"/>
                <w:sz w:val="18"/>
                <w:szCs w:val="18"/>
              </w:rPr>
              <w:t>1</w:t>
            </w:r>
          </w:p>
        </w:tc>
        <w:tc>
          <w:tcPr>
            <w:tcW w:w="1260" w:type="dxa"/>
            <w:tcBorders>
              <w:top w:val="nil"/>
              <w:left w:val="nil"/>
              <w:bottom w:val="single" w:sz="8" w:space="0" w:color="auto"/>
              <w:right w:val="single" w:sz="8" w:space="0" w:color="auto"/>
            </w:tcBorders>
            <w:shd w:val="clear" w:color="auto" w:fill="auto"/>
            <w:noWrap/>
            <w:vAlign w:val="center"/>
            <w:hideMark/>
          </w:tcPr>
          <w:p w14:paraId="32818391" w14:textId="77777777" w:rsidR="00F861FF" w:rsidRPr="001B4CA2" w:rsidRDefault="00F861FF" w:rsidP="00CE2706">
            <w:pPr>
              <w:jc w:val="center"/>
              <w:rPr>
                <w:color w:val="000000"/>
                <w:sz w:val="18"/>
                <w:szCs w:val="18"/>
              </w:rPr>
            </w:pPr>
            <w:r w:rsidRPr="001B4CA2">
              <w:rPr>
                <w:color w:val="000000"/>
                <w:sz w:val="18"/>
                <w:szCs w:val="18"/>
              </w:rPr>
              <w:t>2</w:t>
            </w:r>
          </w:p>
        </w:tc>
        <w:tc>
          <w:tcPr>
            <w:tcW w:w="1500" w:type="dxa"/>
            <w:tcBorders>
              <w:top w:val="nil"/>
              <w:left w:val="nil"/>
              <w:bottom w:val="single" w:sz="8" w:space="0" w:color="auto"/>
              <w:right w:val="single" w:sz="8" w:space="0" w:color="auto"/>
            </w:tcBorders>
            <w:shd w:val="clear" w:color="auto" w:fill="auto"/>
            <w:noWrap/>
            <w:vAlign w:val="center"/>
            <w:hideMark/>
          </w:tcPr>
          <w:p w14:paraId="2DA11C3B" w14:textId="77777777" w:rsidR="00F861FF" w:rsidRPr="001B4CA2" w:rsidRDefault="00F861FF" w:rsidP="00CE2706">
            <w:pPr>
              <w:jc w:val="center"/>
              <w:rPr>
                <w:color w:val="000000"/>
                <w:sz w:val="18"/>
                <w:szCs w:val="18"/>
              </w:rPr>
            </w:pPr>
            <w:r w:rsidRPr="001B4CA2">
              <w:rPr>
                <w:color w:val="000000"/>
                <w:sz w:val="18"/>
                <w:szCs w:val="18"/>
              </w:rPr>
              <w:t>3</w:t>
            </w:r>
          </w:p>
        </w:tc>
        <w:tc>
          <w:tcPr>
            <w:tcW w:w="1720" w:type="dxa"/>
            <w:tcBorders>
              <w:top w:val="nil"/>
              <w:left w:val="nil"/>
              <w:bottom w:val="single" w:sz="8" w:space="0" w:color="auto"/>
              <w:right w:val="single" w:sz="8" w:space="0" w:color="auto"/>
            </w:tcBorders>
            <w:shd w:val="clear" w:color="auto" w:fill="auto"/>
            <w:noWrap/>
            <w:vAlign w:val="center"/>
            <w:hideMark/>
          </w:tcPr>
          <w:p w14:paraId="18C4D303" w14:textId="77777777" w:rsidR="00F861FF" w:rsidRPr="001B4CA2" w:rsidRDefault="00F861FF" w:rsidP="00CE2706">
            <w:pPr>
              <w:jc w:val="center"/>
              <w:rPr>
                <w:color w:val="000000"/>
                <w:sz w:val="18"/>
                <w:szCs w:val="18"/>
              </w:rPr>
            </w:pPr>
            <w:r w:rsidRPr="001B4CA2">
              <w:rPr>
                <w:color w:val="000000"/>
                <w:sz w:val="18"/>
                <w:szCs w:val="18"/>
              </w:rPr>
              <w:t>4</w:t>
            </w:r>
          </w:p>
        </w:tc>
        <w:tc>
          <w:tcPr>
            <w:tcW w:w="1460" w:type="dxa"/>
            <w:tcBorders>
              <w:top w:val="nil"/>
              <w:left w:val="nil"/>
              <w:bottom w:val="single" w:sz="8" w:space="0" w:color="auto"/>
              <w:right w:val="single" w:sz="8" w:space="0" w:color="auto"/>
            </w:tcBorders>
            <w:shd w:val="clear" w:color="auto" w:fill="auto"/>
            <w:noWrap/>
            <w:vAlign w:val="center"/>
            <w:hideMark/>
          </w:tcPr>
          <w:p w14:paraId="51DFC9D2" w14:textId="77777777" w:rsidR="00F861FF" w:rsidRPr="001B4CA2" w:rsidRDefault="00F861FF" w:rsidP="00CE2706">
            <w:pPr>
              <w:jc w:val="center"/>
              <w:rPr>
                <w:color w:val="000000"/>
                <w:sz w:val="18"/>
                <w:szCs w:val="18"/>
              </w:rPr>
            </w:pPr>
            <w:r w:rsidRPr="001B4CA2">
              <w:rPr>
                <w:color w:val="000000"/>
                <w:sz w:val="18"/>
                <w:szCs w:val="18"/>
              </w:rPr>
              <w:t>5</w:t>
            </w:r>
          </w:p>
        </w:tc>
      </w:tr>
      <w:tr w:rsidR="00F861FF" w:rsidRPr="001B4CA2" w14:paraId="7A2C0324" w14:textId="77777777" w:rsidTr="00CD247B">
        <w:trPr>
          <w:trHeight w:val="300"/>
        </w:trPr>
        <w:tc>
          <w:tcPr>
            <w:tcW w:w="2281" w:type="dxa"/>
            <w:tcBorders>
              <w:top w:val="nil"/>
              <w:left w:val="single" w:sz="8" w:space="0" w:color="auto"/>
              <w:bottom w:val="single" w:sz="8" w:space="0" w:color="auto"/>
              <w:right w:val="single" w:sz="8" w:space="0" w:color="auto"/>
            </w:tcBorders>
            <w:shd w:val="clear" w:color="auto" w:fill="auto"/>
            <w:vAlign w:val="center"/>
            <w:hideMark/>
          </w:tcPr>
          <w:p w14:paraId="03BF5231" w14:textId="77777777" w:rsidR="00F861FF" w:rsidRPr="001B4CA2" w:rsidRDefault="00F861FF" w:rsidP="00CE2706">
            <w:pPr>
              <w:jc w:val="center"/>
              <w:rPr>
                <w:color w:val="000000"/>
                <w:sz w:val="18"/>
                <w:szCs w:val="18"/>
              </w:rPr>
            </w:pPr>
            <w:r w:rsidRPr="001B4CA2">
              <w:rPr>
                <w:color w:val="000000"/>
                <w:sz w:val="18"/>
                <w:szCs w:val="18"/>
              </w:rPr>
              <w:t>2022.</w:t>
            </w:r>
          </w:p>
        </w:tc>
        <w:tc>
          <w:tcPr>
            <w:tcW w:w="1260" w:type="dxa"/>
            <w:tcBorders>
              <w:top w:val="nil"/>
              <w:left w:val="nil"/>
              <w:bottom w:val="single" w:sz="8" w:space="0" w:color="auto"/>
              <w:right w:val="single" w:sz="8" w:space="0" w:color="auto"/>
            </w:tcBorders>
            <w:shd w:val="clear" w:color="auto" w:fill="auto"/>
            <w:noWrap/>
            <w:vAlign w:val="center"/>
            <w:hideMark/>
          </w:tcPr>
          <w:p w14:paraId="5DC0DD4B" w14:textId="77777777" w:rsidR="00F861FF" w:rsidRPr="001B4CA2" w:rsidRDefault="00F861FF" w:rsidP="00CE2706">
            <w:pPr>
              <w:jc w:val="center"/>
              <w:rPr>
                <w:color w:val="000000"/>
                <w:sz w:val="18"/>
                <w:szCs w:val="18"/>
              </w:rPr>
            </w:pPr>
            <w:r w:rsidRPr="001B4CA2">
              <w:rPr>
                <w:color w:val="000000"/>
                <w:sz w:val="18"/>
                <w:szCs w:val="18"/>
              </w:rPr>
              <w:t>2.996</w:t>
            </w:r>
          </w:p>
        </w:tc>
        <w:tc>
          <w:tcPr>
            <w:tcW w:w="1500" w:type="dxa"/>
            <w:tcBorders>
              <w:top w:val="nil"/>
              <w:left w:val="nil"/>
              <w:bottom w:val="single" w:sz="8" w:space="0" w:color="auto"/>
              <w:right w:val="single" w:sz="8" w:space="0" w:color="auto"/>
            </w:tcBorders>
            <w:shd w:val="clear" w:color="auto" w:fill="auto"/>
            <w:noWrap/>
            <w:vAlign w:val="center"/>
            <w:hideMark/>
          </w:tcPr>
          <w:p w14:paraId="4AF668A0" w14:textId="77777777" w:rsidR="00F861FF" w:rsidRPr="001B4CA2" w:rsidRDefault="00F861FF" w:rsidP="00CE2706">
            <w:pPr>
              <w:jc w:val="center"/>
              <w:rPr>
                <w:color w:val="000000"/>
                <w:sz w:val="18"/>
                <w:szCs w:val="18"/>
              </w:rPr>
            </w:pPr>
            <w:r w:rsidRPr="001B4CA2">
              <w:rPr>
                <w:color w:val="000000"/>
                <w:sz w:val="18"/>
                <w:szCs w:val="18"/>
              </w:rPr>
              <w:t>2.944</w:t>
            </w:r>
          </w:p>
        </w:tc>
        <w:tc>
          <w:tcPr>
            <w:tcW w:w="1720" w:type="dxa"/>
            <w:tcBorders>
              <w:top w:val="nil"/>
              <w:left w:val="nil"/>
              <w:bottom w:val="single" w:sz="8" w:space="0" w:color="auto"/>
              <w:right w:val="single" w:sz="8" w:space="0" w:color="auto"/>
            </w:tcBorders>
            <w:shd w:val="clear" w:color="auto" w:fill="auto"/>
            <w:noWrap/>
            <w:vAlign w:val="center"/>
            <w:hideMark/>
          </w:tcPr>
          <w:p w14:paraId="6A18AEEB" w14:textId="77777777" w:rsidR="00F861FF" w:rsidRPr="001B4CA2" w:rsidRDefault="00F861FF" w:rsidP="00CE2706">
            <w:pPr>
              <w:jc w:val="center"/>
              <w:rPr>
                <w:color w:val="000000"/>
                <w:sz w:val="18"/>
                <w:szCs w:val="18"/>
              </w:rPr>
            </w:pPr>
            <w:r w:rsidRPr="001B4CA2">
              <w:rPr>
                <w:color w:val="000000"/>
                <w:sz w:val="18"/>
                <w:szCs w:val="18"/>
              </w:rPr>
              <w:t>1.739</w:t>
            </w:r>
          </w:p>
        </w:tc>
        <w:tc>
          <w:tcPr>
            <w:tcW w:w="1460" w:type="dxa"/>
            <w:tcBorders>
              <w:top w:val="nil"/>
              <w:left w:val="nil"/>
              <w:bottom w:val="single" w:sz="8" w:space="0" w:color="auto"/>
              <w:right w:val="single" w:sz="8" w:space="0" w:color="auto"/>
            </w:tcBorders>
            <w:shd w:val="clear" w:color="auto" w:fill="auto"/>
            <w:noWrap/>
            <w:vAlign w:val="center"/>
            <w:hideMark/>
          </w:tcPr>
          <w:p w14:paraId="4FFB63AF" w14:textId="77777777" w:rsidR="00F861FF" w:rsidRPr="001B4CA2" w:rsidRDefault="00F861FF" w:rsidP="00CE2706">
            <w:pPr>
              <w:jc w:val="center"/>
              <w:rPr>
                <w:color w:val="000000"/>
                <w:sz w:val="18"/>
                <w:szCs w:val="18"/>
              </w:rPr>
            </w:pPr>
            <w:r w:rsidRPr="001B4CA2">
              <w:rPr>
                <w:color w:val="000000"/>
                <w:sz w:val="18"/>
                <w:szCs w:val="18"/>
              </w:rPr>
              <w:t>3.525</w:t>
            </w:r>
          </w:p>
        </w:tc>
      </w:tr>
    </w:tbl>
    <w:p w14:paraId="058182BA" w14:textId="77777777" w:rsidR="00F861FF" w:rsidRPr="001B4CA2" w:rsidRDefault="00F861FF" w:rsidP="00F861FF">
      <w:pPr>
        <w:widowControl w:val="0"/>
        <w:rPr>
          <w:snapToGrid w:val="0"/>
        </w:rPr>
      </w:pPr>
      <w:r w:rsidRPr="001B4CA2">
        <w:rPr>
          <w:b/>
          <w:snapToGrid w:val="0"/>
        </w:rPr>
        <w:tab/>
      </w:r>
    </w:p>
    <w:p w14:paraId="5480DCC8" w14:textId="4E02BD4D" w:rsidR="00F861FF" w:rsidRPr="001B4CA2" w:rsidRDefault="00F861FF" w:rsidP="00F861FF">
      <w:pPr>
        <w:widowControl w:val="0"/>
        <w:rPr>
          <w:snapToGrid w:val="0"/>
        </w:rPr>
      </w:pPr>
      <w:r w:rsidRPr="001B4CA2">
        <w:rPr>
          <w:snapToGrid w:val="0"/>
        </w:rPr>
        <w:tab/>
        <w:t>Po</w:t>
      </w:r>
      <w:r w:rsidR="00FD08E9">
        <w:rPr>
          <w:snapToGrid w:val="0"/>
        </w:rPr>
        <w:t>datci</w:t>
      </w:r>
      <w:r w:rsidRPr="001B4CA2">
        <w:rPr>
          <w:snapToGrid w:val="0"/>
        </w:rPr>
        <w:t xml:space="preserve"> o dokaznim radnjama u 2022. pokazuju da su u nadležnosti županijskih državnih odvjetništava naložen</w:t>
      </w:r>
      <w:r w:rsidR="00415A80">
        <w:rPr>
          <w:snapToGrid w:val="0"/>
        </w:rPr>
        <w:t>o</w:t>
      </w:r>
      <w:r w:rsidRPr="001B4CA2">
        <w:rPr>
          <w:snapToGrid w:val="0"/>
        </w:rPr>
        <w:t xml:space="preserve"> ili neposredno proveden</w:t>
      </w:r>
      <w:r w:rsidR="00415A80">
        <w:rPr>
          <w:snapToGrid w:val="0"/>
        </w:rPr>
        <w:t>o</w:t>
      </w:r>
      <w:r w:rsidRPr="001B4CA2">
        <w:rPr>
          <w:snapToGrid w:val="0"/>
        </w:rPr>
        <w:t xml:space="preserve"> 5.940 dokaznih radnji</w:t>
      </w:r>
      <w:r w:rsidR="00415A80">
        <w:rPr>
          <w:snapToGrid w:val="0"/>
        </w:rPr>
        <w:t>,</w:t>
      </w:r>
      <w:r w:rsidRPr="001B4CA2">
        <w:rPr>
          <w:snapToGrid w:val="0"/>
        </w:rPr>
        <w:t xml:space="preserve"> što je 14,08 % više u odnosu na prethodno izvještajno razdoblje. </w:t>
      </w:r>
    </w:p>
    <w:p w14:paraId="6EA2BBDF" w14:textId="77777777" w:rsidR="00F861FF" w:rsidRPr="001B4CA2" w:rsidRDefault="00F861FF" w:rsidP="00F861FF">
      <w:pPr>
        <w:widowControl w:val="0"/>
        <w:rPr>
          <w:snapToGrid w:val="0"/>
        </w:rPr>
      </w:pPr>
    </w:p>
    <w:p w14:paraId="740E4455" w14:textId="7A3F3E49" w:rsidR="00F861FF" w:rsidRPr="001B4CA2" w:rsidRDefault="00F861FF" w:rsidP="00F861FF">
      <w:pPr>
        <w:widowControl w:val="0"/>
        <w:ind w:firstLine="720"/>
        <w:rPr>
          <w:snapToGrid w:val="0"/>
        </w:rPr>
      </w:pPr>
      <w:r w:rsidRPr="001B4CA2">
        <w:rPr>
          <w:snapToGrid w:val="0"/>
        </w:rPr>
        <w:t>Od 5</w:t>
      </w:r>
      <w:r w:rsidR="00415A80">
        <w:rPr>
          <w:snapToGrid w:val="0"/>
        </w:rPr>
        <w:t>.</w:t>
      </w:r>
      <w:r w:rsidRPr="001B4CA2">
        <w:rPr>
          <w:snapToGrid w:val="0"/>
        </w:rPr>
        <w:t>940 dokaznih radnji 50,43</w:t>
      </w:r>
      <w:r w:rsidR="00415A80">
        <w:rPr>
          <w:snapToGrid w:val="0"/>
        </w:rPr>
        <w:t> </w:t>
      </w:r>
      <w:r w:rsidRPr="001B4CA2">
        <w:rPr>
          <w:snapToGrid w:val="0"/>
        </w:rPr>
        <w:t>% povjereno je drugom tijelu, u pravilu policijskim istražiteljima, dok je 49,56</w:t>
      </w:r>
      <w:r w:rsidR="00415A80">
        <w:rPr>
          <w:snapToGrid w:val="0"/>
        </w:rPr>
        <w:t> </w:t>
      </w:r>
      <w:r w:rsidRPr="001B4CA2">
        <w:rPr>
          <w:snapToGrid w:val="0"/>
        </w:rPr>
        <w:t>% tih radnji provedeno po županijskim državnim odvjetništvima. Uz izdane naloge te neposredno provedene dokazne radnje</w:t>
      </w:r>
      <w:r w:rsidR="001B4CA2">
        <w:rPr>
          <w:snapToGrid w:val="0"/>
        </w:rPr>
        <w:t xml:space="preserve"> </w:t>
      </w:r>
      <w:r w:rsidRPr="001B4CA2">
        <w:rPr>
          <w:snapToGrid w:val="0"/>
        </w:rPr>
        <w:t>državna odvjetništva u županijskoj nadležnosti obavila su i 5.264 zastupanja pred sudovima</w:t>
      </w:r>
      <w:r w:rsidR="00415A80">
        <w:rPr>
          <w:snapToGrid w:val="0"/>
        </w:rPr>
        <w:t>,</w:t>
      </w:r>
      <w:r w:rsidRPr="001B4CA2">
        <w:rPr>
          <w:snapToGrid w:val="0"/>
        </w:rPr>
        <w:t xml:space="preserve"> od čega 1.739 ročišta i 3.525 rasprava, koji </w:t>
      </w:r>
      <w:r w:rsidR="00415A80" w:rsidRPr="001B4CA2">
        <w:rPr>
          <w:snapToGrid w:val="0"/>
        </w:rPr>
        <w:t xml:space="preserve">su </w:t>
      </w:r>
      <w:r w:rsidRPr="001B4CA2">
        <w:rPr>
          <w:snapToGrid w:val="0"/>
        </w:rPr>
        <w:t>po</w:t>
      </w:r>
      <w:r w:rsidR="00FD08E9">
        <w:rPr>
          <w:snapToGrid w:val="0"/>
        </w:rPr>
        <w:t>datci</w:t>
      </w:r>
      <w:r w:rsidRPr="001B4CA2">
        <w:rPr>
          <w:snapToGrid w:val="0"/>
        </w:rPr>
        <w:t xml:space="preserve"> o obavljenim ročištima i </w:t>
      </w:r>
      <w:r w:rsidRPr="001B4CA2">
        <w:rPr>
          <w:snapToGrid w:val="0"/>
        </w:rPr>
        <w:lastRenderedPageBreak/>
        <w:t xml:space="preserve">raspravama na tragu prošlogodišnjih podataka o obavljenim zastupanjima. </w:t>
      </w:r>
    </w:p>
    <w:p w14:paraId="47CF51D1" w14:textId="77777777" w:rsidR="0020162B" w:rsidRPr="001B4CA2" w:rsidRDefault="0020162B" w:rsidP="00F861FF">
      <w:pPr>
        <w:widowControl w:val="0"/>
        <w:ind w:firstLine="720"/>
        <w:rPr>
          <w:snapToGrid w:val="0"/>
        </w:rPr>
      </w:pPr>
    </w:p>
    <w:p w14:paraId="6717885F" w14:textId="09D940A9" w:rsidR="006A1678" w:rsidRPr="001B4CA2" w:rsidRDefault="006A1678" w:rsidP="005A0983">
      <w:pPr>
        <w:pStyle w:val="Naslov4"/>
        <w:tabs>
          <w:tab w:val="left" w:pos="426"/>
          <w:tab w:val="left" w:pos="1134"/>
        </w:tabs>
        <w:rPr>
          <w:rFonts w:ascii="Arial" w:hAnsi="Arial" w:cs="Arial"/>
        </w:rPr>
      </w:pPr>
      <w:bookmarkStart w:id="85" w:name="_Toc133394344"/>
      <w:bookmarkEnd w:id="84"/>
      <w:r w:rsidRPr="001B4CA2">
        <w:rPr>
          <w:rFonts w:ascii="Arial" w:hAnsi="Arial" w:cs="Arial"/>
        </w:rPr>
        <w:t>Žalbe</w:t>
      </w:r>
      <w:r w:rsidR="007C50CA" w:rsidRPr="001B4CA2">
        <w:rPr>
          <w:rFonts w:ascii="Arial" w:hAnsi="Arial" w:cs="Arial"/>
        </w:rPr>
        <w:t xml:space="preserve"> i </w:t>
      </w:r>
      <w:r w:rsidRPr="001B4CA2">
        <w:rPr>
          <w:rFonts w:ascii="Arial" w:hAnsi="Arial" w:cs="Arial"/>
        </w:rPr>
        <w:t>odluke</w:t>
      </w:r>
      <w:r w:rsidR="007C50CA" w:rsidRPr="001B4CA2">
        <w:rPr>
          <w:rFonts w:ascii="Arial" w:hAnsi="Arial" w:cs="Arial"/>
        </w:rPr>
        <w:t xml:space="preserve"> </w:t>
      </w:r>
      <w:r w:rsidRPr="001B4CA2">
        <w:rPr>
          <w:rFonts w:ascii="Arial" w:hAnsi="Arial" w:cs="Arial"/>
        </w:rPr>
        <w:t>sudova</w:t>
      </w:r>
      <w:r w:rsidR="007C50CA" w:rsidRPr="001B4CA2">
        <w:rPr>
          <w:rFonts w:ascii="Arial" w:hAnsi="Arial" w:cs="Arial"/>
        </w:rPr>
        <w:t xml:space="preserve"> </w:t>
      </w:r>
      <w:r w:rsidRPr="001B4CA2">
        <w:rPr>
          <w:rFonts w:ascii="Arial" w:hAnsi="Arial" w:cs="Arial"/>
        </w:rPr>
        <w:t>povodom</w:t>
      </w:r>
      <w:r w:rsidR="007C50CA" w:rsidRPr="001B4CA2">
        <w:rPr>
          <w:rFonts w:ascii="Arial" w:hAnsi="Arial" w:cs="Arial"/>
        </w:rPr>
        <w:t xml:space="preserve"> </w:t>
      </w:r>
      <w:r w:rsidRPr="001B4CA2">
        <w:rPr>
          <w:rFonts w:ascii="Arial" w:hAnsi="Arial" w:cs="Arial"/>
        </w:rPr>
        <w:t>žalbi</w:t>
      </w:r>
      <w:bookmarkEnd w:id="85"/>
    </w:p>
    <w:p w14:paraId="395034FB" w14:textId="2B91628D" w:rsidR="0006180D" w:rsidRPr="001B4CA2" w:rsidRDefault="0006180D" w:rsidP="00093B8D"/>
    <w:p w14:paraId="28C7921C" w14:textId="6C959C08" w:rsidR="009268FB" w:rsidRPr="001B4CA2" w:rsidRDefault="009268FB" w:rsidP="009268FB">
      <w:pPr>
        <w:ind w:firstLine="708"/>
      </w:pPr>
      <w:r w:rsidRPr="001B4CA2">
        <w:t xml:space="preserve">Županijska </w:t>
      </w:r>
      <w:r w:rsidR="00415A80" w:rsidRPr="001B4CA2">
        <w:t xml:space="preserve">su </w:t>
      </w:r>
      <w:r w:rsidRPr="001B4CA2">
        <w:t>državna odvjetništva u izvještajnom razdoblju podnijela 322 žalbe u odnosu na ukupan broj od 686 donesenih presuda. Žalbe su podnesene protiv 46,93</w:t>
      </w:r>
      <w:r w:rsidR="00415A80">
        <w:t> </w:t>
      </w:r>
      <w:r w:rsidRPr="001B4CA2">
        <w:t>% svih presuda ili prosječno protiv svake 2,1</w:t>
      </w:r>
      <w:r w:rsidR="00415A80">
        <w:t xml:space="preserve"> </w:t>
      </w:r>
      <w:r w:rsidRPr="001B4CA2">
        <w:t xml:space="preserve">presude, što je, unatoč činjenici da je u 2022. podnesen najveći broj žalbi kroz promatrano razdoblje, ipak na razini prethodnih godina, s </w:t>
      </w:r>
      <w:r w:rsidR="00415A80">
        <w:t>iznimkom</w:t>
      </w:r>
      <w:r w:rsidRPr="001B4CA2">
        <w:t xml:space="preserve"> 2020. godine kada je žalba bila podnesena protiv 36,81</w:t>
      </w:r>
      <w:r w:rsidR="00415A80">
        <w:t> </w:t>
      </w:r>
      <w:r w:rsidRPr="001B4CA2">
        <w:t xml:space="preserve">% presuda ili protiv svake 2,7 presude). </w:t>
      </w:r>
    </w:p>
    <w:p w14:paraId="5D72AF90" w14:textId="77777777" w:rsidR="00FD1D67" w:rsidRPr="001B4CA2" w:rsidRDefault="00FD1D67" w:rsidP="00FD1D67">
      <w:pPr>
        <w:widowControl w:val="0"/>
        <w:rPr>
          <w:snapToGrid w:val="0"/>
        </w:rPr>
      </w:pPr>
    </w:p>
    <w:p w14:paraId="536EEB04" w14:textId="262627BD" w:rsidR="008F5236" w:rsidRPr="001B4CA2" w:rsidRDefault="00FD1D67" w:rsidP="00FD1D67">
      <w:pPr>
        <w:widowControl w:val="0"/>
        <w:ind w:firstLine="851"/>
        <w:rPr>
          <w:snapToGrid w:val="0"/>
        </w:rPr>
      </w:pPr>
      <w:r w:rsidRPr="001B4CA2">
        <w:rPr>
          <w:rFonts w:eastAsia="Times New Roman"/>
          <w:i/>
          <w:iCs/>
          <w:lang w:eastAsia="hr-HR"/>
        </w:rPr>
        <w:t>Broj podnesenih i usvojenih žalbi</w:t>
      </w:r>
    </w:p>
    <w:tbl>
      <w:tblPr>
        <w:tblW w:w="7383" w:type="dxa"/>
        <w:tblInd w:w="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5"/>
        <w:gridCol w:w="1653"/>
        <w:gridCol w:w="1592"/>
        <w:gridCol w:w="1591"/>
        <w:gridCol w:w="1592"/>
      </w:tblGrid>
      <w:tr w:rsidR="00FD1D67" w:rsidRPr="001B4CA2" w14:paraId="016C6587" w14:textId="77777777" w:rsidTr="00FD1D67">
        <w:trPr>
          <w:trHeight w:val="448"/>
        </w:trPr>
        <w:tc>
          <w:tcPr>
            <w:tcW w:w="955" w:type="dxa"/>
            <w:vMerge w:val="restart"/>
            <w:shd w:val="clear" w:color="auto" w:fill="99CCFF"/>
            <w:noWrap/>
            <w:vAlign w:val="center"/>
            <w:hideMark/>
          </w:tcPr>
          <w:p w14:paraId="0A18FEB1" w14:textId="04D16E06" w:rsidR="00FD1D67" w:rsidRPr="001B4CA2" w:rsidRDefault="00FD1D67" w:rsidP="00FD1D67">
            <w:pPr>
              <w:jc w:val="center"/>
              <w:rPr>
                <w:rFonts w:eastAsia="Times New Roman"/>
                <w:i/>
                <w:iCs/>
                <w:lang w:eastAsia="hr-HR"/>
              </w:rPr>
            </w:pPr>
            <w:r w:rsidRPr="001B4CA2">
              <w:rPr>
                <w:rFonts w:eastAsia="Times New Roman"/>
                <w:b/>
                <w:sz w:val="18"/>
                <w:szCs w:val="18"/>
                <w:lang w:eastAsia="hr-HR"/>
              </w:rPr>
              <w:t>Godina</w:t>
            </w:r>
          </w:p>
        </w:tc>
        <w:tc>
          <w:tcPr>
            <w:tcW w:w="6428" w:type="dxa"/>
            <w:gridSpan w:val="4"/>
            <w:shd w:val="clear" w:color="auto" w:fill="99CCFF"/>
            <w:vAlign w:val="center"/>
          </w:tcPr>
          <w:p w14:paraId="2C5985BD" w14:textId="6A78A1B0" w:rsidR="00FD1D67" w:rsidRPr="001B4CA2" w:rsidRDefault="00FD1D67" w:rsidP="00FD1D67">
            <w:pPr>
              <w:jc w:val="center"/>
              <w:rPr>
                <w:rFonts w:eastAsia="Times New Roman"/>
                <w:sz w:val="22"/>
                <w:lang w:eastAsia="hr-HR"/>
              </w:rPr>
            </w:pPr>
            <w:r w:rsidRPr="001B4CA2">
              <w:rPr>
                <w:rFonts w:eastAsia="Times New Roman"/>
                <w:b/>
                <w:sz w:val="18"/>
                <w:szCs w:val="18"/>
                <w:lang w:eastAsia="hr-HR"/>
              </w:rPr>
              <w:t>Žalbe</w:t>
            </w:r>
          </w:p>
        </w:tc>
      </w:tr>
      <w:tr w:rsidR="00FD1D67" w:rsidRPr="001B4CA2" w14:paraId="0BC2DBAE" w14:textId="77777777" w:rsidTr="00FD1D67">
        <w:trPr>
          <w:trHeight w:val="615"/>
        </w:trPr>
        <w:tc>
          <w:tcPr>
            <w:tcW w:w="955" w:type="dxa"/>
            <w:vMerge/>
            <w:shd w:val="clear" w:color="auto" w:fill="99CCFF"/>
            <w:vAlign w:val="center"/>
            <w:hideMark/>
          </w:tcPr>
          <w:p w14:paraId="190FDA56" w14:textId="77777777" w:rsidR="00FD1D67" w:rsidRPr="001B4CA2" w:rsidRDefault="00FD1D67" w:rsidP="0006180D">
            <w:pPr>
              <w:jc w:val="left"/>
              <w:rPr>
                <w:rFonts w:eastAsia="Times New Roman"/>
                <w:b/>
                <w:sz w:val="18"/>
                <w:szCs w:val="18"/>
                <w:lang w:eastAsia="hr-HR"/>
              </w:rPr>
            </w:pPr>
          </w:p>
        </w:tc>
        <w:tc>
          <w:tcPr>
            <w:tcW w:w="1653" w:type="dxa"/>
            <w:shd w:val="clear" w:color="auto" w:fill="99CCFF"/>
            <w:noWrap/>
            <w:vAlign w:val="center"/>
            <w:hideMark/>
          </w:tcPr>
          <w:p w14:paraId="1037CBB8" w14:textId="77777777" w:rsidR="00FD1D67" w:rsidRPr="001B4CA2" w:rsidRDefault="00FD1D67" w:rsidP="0006180D">
            <w:pPr>
              <w:jc w:val="center"/>
              <w:rPr>
                <w:rFonts w:eastAsia="Times New Roman"/>
                <w:b/>
                <w:sz w:val="18"/>
                <w:szCs w:val="18"/>
                <w:lang w:eastAsia="hr-HR"/>
              </w:rPr>
            </w:pPr>
            <w:r w:rsidRPr="001B4CA2">
              <w:rPr>
                <w:rFonts w:eastAsia="Times New Roman"/>
                <w:b/>
                <w:sz w:val="18"/>
                <w:szCs w:val="18"/>
                <w:lang w:eastAsia="hr-HR"/>
              </w:rPr>
              <w:t>Podneseno</w:t>
            </w:r>
          </w:p>
        </w:tc>
        <w:tc>
          <w:tcPr>
            <w:tcW w:w="1592" w:type="dxa"/>
            <w:shd w:val="clear" w:color="auto" w:fill="99CCFF"/>
            <w:vAlign w:val="center"/>
            <w:hideMark/>
          </w:tcPr>
          <w:p w14:paraId="478F0758" w14:textId="77777777" w:rsidR="00FD1D67" w:rsidRPr="001B4CA2" w:rsidRDefault="00FD1D67" w:rsidP="0006180D">
            <w:pPr>
              <w:jc w:val="center"/>
              <w:rPr>
                <w:rFonts w:eastAsia="Times New Roman"/>
                <w:b/>
                <w:sz w:val="18"/>
                <w:szCs w:val="18"/>
                <w:lang w:eastAsia="hr-HR"/>
              </w:rPr>
            </w:pPr>
            <w:r w:rsidRPr="001B4CA2">
              <w:rPr>
                <w:rFonts w:eastAsia="Times New Roman"/>
                <w:b/>
                <w:sz w:val="18"/>
                <w:szCs w:val="18"/>
                <w:lang w:eastAsia="hr-HR"/>
              </w:rPr>
              <w:t>Od toga zbog kazne</w:t>
            </w:r>
          </w:p>
        </w:tc>
        <w:tc>
          <w:tcPr>
            <w:tcW w:w="1591" w:type="dxa"/>
            <w:shd w:val="clear" w:color="auto" w:fill="99CCFF"/>
            <w:noWrap/>
            <w:vAlign w:val="center"/>
            <w:hideMark/>
          </w:tcPr>
          <w:p w14:paraId="551988F8" w14:textId="77777777" w:rsidR="00FD1D67" w:rsidRPr="001B4CA2" w:rsidRDefault="00FD1D67" w:rsidP="0006180D">
            <w:pPr>
              <w:jc w:val="center"/>
              <w:rPr>
                <w:rFonts w:eastAsia="Times New Roman"/>
                <w:b/>
                <w:sz w:val="18"/>
                <w:szCs w:val="18"/>
                <w:lang w:eastAsia="hr-HR"/>
              </w:rPr>
            </w:pPr>
            <w:r w:rsidRPr="001B4CA2">
              <w:rPr>
                <w:rFonts w:eastAsia="Times New Roman"/>
                <w:b/>
                <w:sz w:val="18"/>
                <w:szCs w:val="18"/>
                <w:lang w:eastAsia="hr-HR"/>
              </w:rPr>
              <w:t>Usvojeno</w:t>
            </w:r>
          </w:p>
        </w:tc>
        <w:tc>
          <w:tcPr>
            <w:tcW w:w="1592" w:type="dxa"/>
            <w:shd w:val="clear" w:color="auto" w:fill="99CCFF"/>
            <w:vAlign w:val="center"/>
            <w:hideMark/>
          </w:tcPr>
          <w:p w14:paraId="4FA86F4E" w14:textId="77777777" w:rsidR="00FD1D67" w:rsidRPr="001B4CA2" w:rsidRDefault="00FD1D67" w:rsidP="0006180D">
            <w:pPr>
              <w:jc w:val="center"/>
              <w:rPr>
                <w:rFonts w:eastAsia="Times New Roman"/>
                <w:b/>
                <w:sz w:val="18"/>
                <w:szCs w:val="18"/>
                <w:lang w:eastAsia="hr-HR"/>
              </w:rPr>
            </w:pPr>
            <w:r w:rsidRPr="001B4CA2">
              <w:rPr>
                <w:rFonts w:eastAsia="Times New Roman"/>
                <w:b/>
                <w:sz w:val="18"/>
                <w:szCs w:val="18"/>
                <w:lang w:eastAsia="hr-HR"/>
              </w:rPr>
              <w:t>Od toga zbog kazne</w:t>
            </w:r>
          </w:p>
        </w:tc>
      </w:tr>
      <w:tr w:rsidR="00360024" w:rsidRPr="001B4CA2" w14:paraId="4C540E6C" w14:textId="77777777" w:rsidTr="00FD1D67">
        <w:trPr>
          <w:trHeight w:val="273"/>
        </w:trPr>
        <w:tc>
          <w:tcPr>
            <w:tcW w:w="955" w:type="dxa"/>
            <w:shd w:val="clear" w:color="auto" w:fill="auto"/>
            <w:noWrap/>
            <w:vAlign w:val="center"/>
          </w:tcPr>
          <w:p w14:paraId="4D725B9B" w14:textId="6EE90C99" w:rsidR="00360024" w:rsidRPr="001B4CA2" w:rsidRDefault="00360024" w:rsidP="000759FD">
            <w:pPr>
              <w:jc w:val="center"/>
              <w:rPr>
                <w:rFonts w:eastAsia="Times New Roman"/>
                <w:sz w:val="18"/>
                <w:szCs w:val="18"/>
                <w:lang w:eastAsia="hr-HR"/>
              </w:rPr>
            </w:pPr>
            <w:r w:rsidRPr="001B4CA2">
              <w:rPr>
                <w:rFonts w:eastAsia="Times New Roman"/>
                <w:sz w:val="18"/>
                <w:szCs w:val="18"/>
                <w:lang w:eastAsia="hr-HR"/>
              </w:rPr>
              <w:t>201</w:t>
            </w:r>
            <w:r w:rsidR="009268FB" w:rsidRPr="001B4CA2">
              <w:rPr>
                <w:rFonts w:eastAsia="Times New Roman"/>
                <w:sz w:val="18"/>
                <w:szCs w:val="18"/>
                <w:lang w:eastAsia="hr-HR"/>
              </w:rPr>
              <w:t>8</w:t>
            </w:r>
            <w:r w:rsidRPr="001B4CA2">
              <w:rPr>
                <w:rFonts w:eastAsia="Times New Roman"/>
                <w:sz w:val="18"/>
                <w:szCs w:val="18"/>
                <w:lang w:eastAsia="hr-HR"/>
              </w:rPr>
              <w:t>.</w:t>
            </w:r>
          </w:p>
        </w:tc>
        <w:tc>
          <w:tcPr>
            <w:tcW w:w="1653" w:type="dxa"/>
            <w:shd w:val="clear" w:color="auto" w:fill="auto"/>
            <w:noWrap/>
            <w:vAlign w:val="center"/>
          </w:tcPr>
          <w:p w14:paraId="37312865" w14:textId="135DC352" w:rsidR="00360024" w:rsidRPr="001B4CA2" w:rsidRDefault="00360024" w:rsidP="000759FD">
            <w:pPr>
              <w:jc w:val="center"/>
              <w:rPr>
                <w:rFonts w:eastAsia="Times New Roman"/>
                <w:sz w:val="18"/>
                <w:szCs w:val="18"/>
                <w:lang w:eastAsia="hr-HR"/>
              </w:rPr>
            </w:pPr>
            <w:r w:rsidRPr="001B4CA2">
              <w:rPr>
                <w:rFonts w:eastAsia="Times New Roman"/>
                <w:sz w:val="18"/>
                <w:szCs w:val="18"/>
                <w:lang w:eastAsia="hr-HR"/>
              </w:rPr>
              <w:t>2</w:t>
            </w:r>
            <w:r w:rsidR="009268FB" w:rsidRPr="001B4CA2">
              <w:rPr>
                <w:rFonts w:eastAsia="Times New Roman"/>
                <w:sz w:val="18"/>
                <w:szCs w:val="18"/>
                <w:lang w:eastAsia="hr-HR"/>
              </w:rPr>
              <w:t>47</w:t>
            </w:r>
          </w:p>
        </w:tc>
        <w:tc>
          <w:tcPr>
            <w:tcW w:w="1592" w:type="dxa"/>
            <w:shd w:val="clear" w:color="auto" w:fill="auto"/>
            <w:noWrap/>
            <w:vAlign w:val="center"/>
          </w:tcPr>
          <w:p w14:paraId="73E7716C" w14:textId="51FB6DA2" w:rsidR="00360024" w:rsidRPr="001B4CA2" w:rsidRDefault="009268FB" w:rsidP="000759FD">
            <w:pPr>
              <w:jc w:val="center"/>
              <w:rPr>
                <w:rFonts w:eastAsia="Times New Roman"/>
                <w:sz w:val="18"/>
                <w:szCs w:val="18"/>
                <w:lang w:eastAsia="hr-HR"/>
              </w:rPr>
            </w:pPr>
            <w:r w:rsidRPr="001B4CA2">
              <w:rPr>
                <w:rFonts w:eastAsia="Times New Roman"/>
                <w:sz w:val="18"/>
                <w:szCs w:val="18"/>
                <w:lang w:eastAsia="hr-HR"/>
              </w:rPr>
              <w:t>172</w:t>
            </w:r>
          </w:p>
        </w:tc>
        <w:tc>
          <w:tcPr>
            <w:tcW w:w="1591" w:type="dxa"/>
            <w:shd w:val="clear" w:color="auto" w:fill="auto"/>
            <w:noWrap/>
            <w:vAlign w:val="center"/>
          </w:tcPr>
          <w:p w14:paraId="10F7280F" w14:textId="606C15C8" w:rsidR="00360024" w:rsidRPr="001B4CA2" w:rsidRDefault="009268FB" w:rsidP="000759FD">
            <w:pPr>
              <w:jc w:val="center"/>
              <w:rPr>
                <w:rFonts w:eastAsia="Times New Roman"/>
                <w:sz w:val="18"/>
                <w:szCs w:val="18"/>
                <w:lang w:eastAsia="hr-HR"/>
              </w:rPr>
            </w:pPr>
            <w:r w:rsidRPr="001B4CA2">
              <w:rPr>
                <w:rFonts w:eastAsia="Times New Roman"/>
                <w:sz w:val="18"/>
                <w:szCs w:val="18"/>
                <w:lang w:eastAsia="hr-HR"/>
              </w:rPr>
              <w:t>58</w:t>
            </w:r>
          </w:p>
        </w:tc>
        <w:tc>
          <w:tcPr>
            <w:tcW w:w="1592" w:type="dxa"/>
            <w:shd w:val="clear" w:color="auto" w:fill="auto"/>
            <w:noWrap/>
            <w:vAlign w:val="center"/>
          </w:tcPr>
          <w:p w14:paraId="74C8899C" w14:textId="3D224F27" w:rsidR="00360024" w:rsidRPr="001B4CA2" w:rsidRDefault="00360024" w:rsidP="000759FD">
            <w:pPr>
              <w:jc w:val="center"/>
              <w:rPr>
                <w:rFonts w:eastAsia="Times New Roman"/>
                <w:sz w:val="18"/>
                <w:szCs w:val="18"/>
                <w:lang w:eastAsia="hr-HR"/>
              </w:rPr>
            </w:pPr>
            <w:r w:rsidRPr="001B4CA2">
              <w:rPr>
                <w:rFonts w:eastAsia="Times New Roman"/>
                <w:sz w:val="18"/>
                <w:szCs w:val="18"/>
                <w:lang w:eastAsia="hr-HR"/>
              </w:rPr>
              <w:t>30</w:t>
            </w:r>
          </w:p>
        </w:tc>
      </w:tr>
      <w:tr w:rsidR="00360024" w:rsidRPr="001B4CA2" w14:paraId="2FD1CAC7" w14:textId="77777777" w:rsidTr="00FD1D67">
        <w:trPr>
          <w:trHeight w:val="273"/>
        </w:trPr>
        <w:tc>
          <w:tcPr>
            <w:tcW w:w="955" w:type="dxa"/>
            <w:shd w:val="clear" w:color="auto" w:fill="auto"/>
            <w:noWrap/>
            <w:vAlign w:val="center"/>
            <w:hideMark/>
          </w:tcPr>
          <w:p w14:paraId="4FBA1C86" w14:textId="61148E98" w:rsidR="00360024" w:rsidRPr="001B4CA2" w:rsidRDefault="00360024" w:rsidP="000759FD">
            <w:pPr>
              <w:jc w:val="center"/>
              <w:rPr>
                <w:rFonts w:eastAsia="Times New Roman"/>
                <w:sz w:val="18"/>
                <w:szCs w:val="18"/>
                <w:lang w:eastAsia="hr-HR"/>
              </w:rPr>
            </w:pPr>
            <w:r w:rsidRPr="001B4CA2">
              <w:rPr>
                <w:rFonts w:eastAsia="Times New Roman"/>
                <w:sz w:val="18"/>
                <w:szCs w:val="18"/>
                <w:lang w:eastAsia="hr-HR"/>
              </w:rPr>
              <w:t>201</w:t>
            </w:r>
            <w:r w:rsidR="009268FB" w:rsidRPr="001B4CA2">
              <w:rPr>
                <w:rFonts w:eastAsia="Times New Roman"/>
                <w:sz w:val="18"/>
                <w:szCs w:val="18"/>
                <w:lang w:eastAsia="hr-HR"/>
              </w:rPr>
              <w:t>9</w:t>
            </w:r>
            <w:r w:rsidRPr="001B4CA2">
              <w:rPr>
                <w:rFonts w:eastAsia="Times New Roman"/>
                <w:sz w:val="18"/>
                <w:szCs w:val="18"/>
                <w:lang w:eastAsia="hr-HR"/>
              </w:rPr>
              <w:t>.</w:t>
            </w:r>
          </w:p>
        </w:tc>
        <w:tc>
          <w:tcPr>
            <w:tcW w:w="1653" w:type="dxa"/>
            <w:shd w:val="clear" w:color="auto" w:fill="auto"/>
            <w:noWrap/>
            <w:vAlign w:val="center"/>
          </w:tcPr>
          <w:p w14:paraId="31E531F9" w14:textId="3B694844" w:rsidR="00360024" w:rsidRPr="001B4CA2" w:rsidRDefault="00360024" w:rsidP="000759FD">
            <w:pPr>
              <w:jc w:val="center"/>
              <w:rPr>
                <w:rFonts w:eastAsia="Times New Roman"/>
                <w:sz w:val="18"/>
                <w:szCs w:val="18"/>
                <w:lang w:eastAsia="hr-HR"/>
              </w:rPr>
            </w:pPr>
            <w:r w:rsidRPr="001B4CA2">
              <w:rPr>
                <w:rFonts w:eastAsia="Times New Roman"/>
                <w:sz w:val="18"/>
                <w:szCs w:val="18"/>
                <w:lang w:eastAsia="hr-HR"/>
              </w:rPr>
              <w:t>2</w:t>
            </w:r>
            <w:r w:rsidR="009268FB" w:rsidRPr="001B4CA2">
              <w:rPr>
                <w:rFonts w:eastAsia="Times New Roman"/>
                <w:sz w:val="18"/>
                <w:szCs w:val="18"/>
                <w:lang w:eastAsia="hr-HR"/>
              </w:rPr>
              <w:t>71</w:t>
            </w:r>
          </w:p>
        </w:tc>
        <w:tc>
          <w:tcPr>
            <w:tcW w:w="1592" w:type="dxa"/>
            <w:shd w:val="clear" w:color="auto" w:fill="auto"/>
            <w:noWrap/>
            <w:vAlign w:val="center"/>
          </w:tcPr>
          <w:p w14:paraId="40BAE982" w14:textId="4BD43F16" w:rsidR="00360024" w:rsidRPr="001B4CA2" w:rsidRDefault="00360024" w:rsidP="000759FD">
            <w:pPr>
              <w:jc w:val="center"/>
              <w:rPr>
                <w:rFonts w:eastAsia="Times New Roman"/>
                <w:sz w:val="18"/>
                <w:szCs w:val="18"/>
                <w:lang w:eastAsia="hr-HR"/>
              </w:rPr>
            </w:pPr>
            <w:r w:rsidRPr="001B4CA2">
              <w:rPr>
                <w:rFonts w:eastAsia="Times New Roman"/>
                <w:sz w:val="18"/>
                <w:szCs w:val="18"/>
                <w:lang w:eastAsia="hr-HR"/>
              </w:rPr>
              <w:t>172</w:t>
            </w:r>
          </w:p>
        </w:tc>
        <w:tc>
          <w:tcPr>
            <w:tcW w:w="1591" w:type="dxa"/>
            <w:shd w:val="clear" w:color="auto" w:fill="auto"/>
            <w:noWrap/>
            <w:vAlign w:val="center"/>
          </w:tcPr>
          <w:p w14:paraId="5D9D0813" w14:textId="69281703" w:rsidR="00360024" w:rsidRPr="001B4CA2" w:rsidRDefault="009268FB" w:rsidP="000759FD">
            <w:pPr>
              <w:jc w:val="center"/>
              <w:rPr>
                <w:rFonts w:eastAsia="Times New Roman"/>
                <w:sz w:val="18"/>
                <w:szCs w:val="18"/>
                <w:lang w:eastAsia="hr-HR"/>
              </w:rPr>
            </w:pPr>
            <w:r w:rsidRPr="001B4CA2">
              <w:rPr>
                <w:rFonts w:eastAsia="Times New Roman"/>
                <w:sz w:val="18"/>
                <w:szCs w:val="18"/>
                <w:lang w:eastAsia="hr-HR"/>
              </w:rPr>
              <w:t>83</w:t>
            </w:r>
          </w:p>
        </w:tc>
        <w:tc>
          <w:tcPr>
            <w:tcW w:w="1592" w:type="dxa"/>
            <w:shd w:val="clear" w:color="auto" w:fill="auto"/>
            <w:noWrap/>
            <w:vAlign w:val="center"/>
          </w:tcPr>
          <w:p w14:paraId="6C4BB7A9" w14:textId="3C50D290" w:rsidR="00360024" w:rsidRPr="001B4CA2" w:rsidRDefault="00360024" w:rsidP="000759FD">
            <w:pPr>
              <w:jc w:val="center"/>
              <w:rPr>
                <w:rFonts w:eastAsia="Times New Roman"/>
                <w:sz w:val="18"/>
                <w:szCs w:val="18"/>
                <w:lang w:eastAsia="hr-HR"/>
              </w:rPr>
            </w:pPr>
            <w:r w:rsidRPr="001B4CA2">
              <w:rPr>
                <w:rFonts w:eastAsia="Times New Roman"/>
                <w:sz w:val="18"/>
                <w:szCs w:val="18"/>
                <w:lang w:eastAsia="hr-HR"/>
              </w:rPr>
              <w:t>3</w:t>
            </w:r>
            <w:r w:rsidR="009268FB" w:rsidRPr="001B4CA2">
              <w:rPr>
                <w:rFonts w:eastAsia="Times New Roman"/>
                <w:sz w:val="18"/>
                <w:szCs w:val="18"/>
                <w:lang w:eastAsia="hr-HR"/>
              </w:rPr>
              <w:t>9</w:t>
            </w:r>
          </w:p>
        </w:tc>
      </w:tr>
      <w:tr w:rsidR="00360024" w:rsidRPr="001B4CA2" w14:paraId="79D08711" w14:textId="77777777" w:rsidTr="00FD1D67">
        <w:trPr>
          <w:trHeight w:val="273"/>
        </w:trPr>
        <w:tc>
          <w:tcPr>
            <w:tcW w:w="955" w:type="dxa"/>
            <w:shd w:val="clear" w:color="auto" w:fill="auto"/>
            <w:noWrap/>
            <w:vAlign w:val="center"/>
            <w:hideMark/>
          </w:tcPr>
          <w:p w14:paraId="1E5CFBDA" w14:textId="3C8F1BBC" w:rsidR="00360024" w:rsidRPr="001B4CA2" w:rsidRDefault="00360024" w:rsidP="000759FD">
            <w:pPr>
              <w:jc w:val="center"/>
              <w:rPr>
                <w:rFonts w:eastAsia="Times New Roman"/>
                <w:sz w:val="18"/>
                <w:szCs w:val="18"/>
                <w:lang w:eastAsia="hr-HR"/>
              </w:rPr>
            </w:pPr>
            <w:r w:rsidRPr="001B4CA2">
              <w:rPr>
                <w:rFonts w:eastAsia="Times New Roman"/>
                <w:sz w:val="18"/>
                <w:szCs w:val="18"/>
                <w:lang w:eastAsia="hr-HR"/>
              </w:rPr>
              <w:t>20</w:t>
            </w:r>
            <w:r w:rsidR="006F78E9" w:rsidRPr="001B4CA2">
              <w:rPr>
                <w:rFonts w:eastAsia="Times New Roman"/>
                <w:sz w:val="18"/>
                <w:szCs w:val="18"/>
                <w:lang w:eastAsia="hr-HR"/>
              </w:rPr>
              <w:t>20</w:t>
            </w:r>
            <w:r w:rsidRPr="001B4CA2">
              <w:rPr>
                <w:rFonts w:eastAsia="Times New Roman"/>
                <w:sz w:val="18"/>
                <w:szCs w:val="18"/>
                <w:lang w:eastAsia="hr-HR"/>
              </w:rPr>
              <w:t>.</w:t>
            </w:r>
          </w:p>
        </w:tc>
        <w:tc>
          <w:tcPr>
            <w:tcW w:w="1653" w:type="dxa"/>
            <w:shd w:val="clear" w:color="auto" w:fill="auto"/>
            <w:noWrap/>
            <w:vAlign w:val="center"/>
          </w:tcPr>
          <w:p w14:paraId="70369F94" w14:textId="46859E24" w:rsidR="00360024" w:rsidRPr="001B4CA2" w:rsidRDefault="00360024" w:rsidP="000759FD">
            <w:pPr>
              <w:jc w:val="center"/>
              <w:rPr>
                <w:rFonts w:eastAsia="Times New Roman"/>
                <w:sz w:val="18"/>
                <w:szCs w:val="18"/>
                <w:lang w:eastAsia="hr-HR"/>
              </w:rPr>
            </w:pPr>
            <w:r w:rsidRPr="001B4CA2">
              <w:rPr>
                <w:rFonts w:eastAsia="Times New Roman"/>
                <w:sz w:val="18"/>
                <w:szCs w:val="18"/>
                <w:lang w:eastAsia="hr-HR"/>
              </w:rPr>
              <w:t>2</w:t>
            </w:r>
            <w:r w:rsidR="009268FB" w:rsidRPr="001B4CA2">
              <w:rPr>
                <w:rFonts w:eastAsia="Times New Roman"/>
                <w:sz w:val="18"/>
                <w:szCs w:val="18"/>
                <w:lang w:eastAsia="hr-HR"/>
              </w:rPr>
              <w:t>15</w:t>
            </w:r>
          </w:p>
        </w:tc>
        <w:tc>
          <w:tcPr>
            <w:tcW w:w="1592" w:type="dxa"/>
            <w:shd w:val="clear" w:color="auto" w:fill="auto"/>
            <w:noWrap/>
            <w:vAlign w:val="center"/>
          </w:tcPr>
          <w:p w14:paraId="7A94D23E" w14:textId="54E8234D" w:rsidR="00360024" w:rsidRPr="001B4CA2" w:rsidRDefault="009268FB" w:rsidP="000759FD">
            <w:pPr>
              <w:jc w:val="center"/>
              <w:rPr>
                <w:rFonts w:eastAsia="Times New Roman"/>
                <w:sz w:val="18"/>
                <w:szCs w:val="18"/>
                <w:lang w:eastAsia="hr-HR"/>
              </w:rPr>
            </w:pPr>
            <w:r w:rsidRPr="001B4CA2">
              <w:rPr>
                <w:rFonts w:eastAsia="Times New Roman"/>
                <w:sz w:val="18"/>
                <w:szCs w:val="18"/>
                <w:lang w:eastAsia="hr-HR"/>
              </w:rPr>
              <w:t>168</w:t>
            </w:r>
          </w:p>
        </w:tc>
        <w:tc>
          <w:tcPr>
            <w:tcW w:w="1591" w:type="dxa"/>
            <w:shd w:val="clear" w:color="auto" w:fill="auto"/>
            <w:noWrap/>
            <w:vAlign w:val="center"/>
          </w:tcPr>
          <w:p w14:paraId="3A52A0DD" w14:textId="5A9D4605" w:rsidR="00360024" w:rsidRPr="001B4CA2" w:rsidRDefault="009268FB" w:rsidP="000759FD">
            <w:pPr>
              <w:jc w:val="center"/>
              <w:rPr>
                <w:rFonts w:eastAsia="Times New Roman"/>
                <w:sz w:val="18"/>
                <w:szCs w:val="18"/>
                <w:lang w:eastAsia="hr-HR"/>
              </w:rPr>
            </w:pPr>
            <w:r w:rsidRPr="001B4CA2">
              <w:rPr>
                <w:rFonts w:eastAsia="Times New Roman"/>
                <w:sz w:val="18"/>
                <w:szCs w:val="18"/>
                <w:lang w:eastAsia="hr-HR"/>
              </w:rPr>
              <w:t>57</w:t>
            </w:r>
          </w:p>
        </w:tc>
        <w:tc>
          <w:tcPr>
            <w:tcW w:w="1592" w:type="dxa"/>
            <w:shd w:val="clear" w:color="auto" w:fill="auto"/>
            <w:noWrap/>
            <w:vAlign w:val="center"/>
          </w:tcPr>
          <w:p w14:paraId="0EF2205F" w14:textId="556B916D" w:rsidR="00360024" w:rsidRPr="001B4CA2" w:rsidRDefault="009268FB" w:rsidP="000759FD">
            <w:pPr>
              <w:jc w:val="center"/>
              <w:rPr>
                <w:rFonts w:eastAsia="Times New Roman"/>
                <w:sz w:val="18"/>
                <w:szCs w:val="18"/>
                <w:lang w:eastAsia="hr-HR"/>
              </w:rPr>
            </w:pPr>
            <w:r w:rsidRPr="001B4CA2">
              <w:rPr>
                <w:rFonts w:eastAsia="Times New Roman"/>
                <w:sz w:val="18"/>
                <w:szCs w:val="18"/>
                <w:lang w:eastAsia="hr-HR"/>
              </w:rPr>
              <w:t>19</w:t>
            </w:r>
          </w:p>
        </w:tc>
      </w:tr>
      <w:tr w:rsidR="00360024" w:rsidRPr="001B4CA2" w14:paraId="409B2CF1" w14:textId="77777777" w:rsidTr="00FD1D67">
        <w:trPr>
          <w:trHeight w:val="273"/>
        </w:trPr>
        <w:tc>
          <w:tcPr>
            <w:tcW w:w="955" w:type="dxa"/>
            <w:shd w:val="clear" w:color="auto" w:fill="auto"/>
            <w:noWrap/>
            <w:vAlign w:val="center"/>
            <w:hideMark/>
          </w:tcPr>
          <w:p w14:paraId="4FDA9DF9" w14:textId="6853336F" w:rsidR="00360024" w:rsidRPr="001B4CA2" w:rsidRDefault="00360024" w:rsidP="000759FD">
            <w:pPr>
              <w:jc w:val="center"/>
              <w:rPr>
                <w:rFonts w:eastAsia="Times New Roman"/>
                <w:sz w:val="18"/>
                <w:szCs w:val="18"/>
                <w:lang w:eastAsia="hr-HR"/>
              </w:rPr>
            </w:pPr>
            <w:r w:rsidRPr="001B4CA2">
              <w:rPr>
                <w:rFonts w:eastAsia="Times New Roman"/>
                <w:sz w:val="18"/>
                <w:szCs w:val="18"/>
                <w:lang w:eastAsia="hr-HR"/>
              </w:rPr>
              <w:t>202</w:t>
            </w:r>
            <w:r w:rsidR="006F78E9" w:rsidRPr="001B4CA2">
              <w:rPr>
                <w:rFonts w:eastAsia="Times New Roman"/>
                <w:sz w:val="18"/>
                <w:szCs w:val="18"/>
                <w:lang w:eastAsia="hr-HR"/>
              </w:rPr>
              <w:t>1</w:t>
            </w:r>
            <w:r w:rsidRPr="001B4CA2">
              <w:rPr>
                <w:rFonts w:eastAsia="Times New Roman"/>
                <w:sz w:val="18"/>
                <w:szCs w:val="18"/>
                <w:lang w:eastAsia="hr-HR"/>
              </w:rPr>
              <w:t>.</w:t>
            </w:r>
          </w:p>
        </w:tc>
        <w:tc>
          <w:tcPr>
            <w:tcW w:w="1653" w:type="dxa"/>
            <w:shd w:val="clear" w:color="auto" w:fill="auto"/>
            <w:noWrap/>
            <w:vAlign w:val="center"/>
          </w:tcPr>
          <w:p w14:paraId="10EB2A9C" w14:textId="14A9441A" w:rsidR="00360024" w:rsidRPr="001B4CA2" w:rsidRDefault="009268FB" w:rsidP="000759FD">
            <w:pPr>
              <w:jc w:val="center"/>
              <w:rPr>
                <w:rFonts w:eastAsia="Times New Roman"/>
                <w:sz w:val="18"/>
                <w:szCs w:val="18"/>
                <w:lang w:eastAsia="hr-HR"/>
              </w:rPr>
            </w:pPr>
            <w:r w:rsidRPr="001B4CA2">
              <w:rPr>
                <w:rFonts w:eastAsia="Times New Roman"/>
                <w:sz w:val="18"/>
                <w:szCs w:val="18"/>
                <w:lang w:eastAsia="hr-HR"/>
              </w:rPr>
              <w:t>313</w:t>
            </w:r>
          </w:p>
        </w:tc>
        <w:tc>
          <w:tcPr>
            <w:tcW w:w="1592" w:type="dxa"/>
            <w:shd w:val="clear" w:color="auto" w:fill="auto"/>
            <w:noWrap/>
            <w:vAlign w:val="center"/>
          </w:tcPr>
          <w:p w14:paraId="28CE4B49" w14:textId="3C3BBF12" w:rsidR="00360024" w:rsidRPr="001B4CA2" w:rsidRDefault="00360024" w:rsidP="000759FD">
            <w:pPr>
              <w:jc w:val="center"/>
              <w:rPr>
                <w:rFonts w:eastAsia="Times New Roman"/>
                <w:sz w:val="18"/>
                <w:szCs w:val="18"/>
                <w:lang w:eastAsia="hr-HR"/>
              </w:rPr>
            </w:pPr>
            <w:r w:rsidRPr="001B4CA2">
              <w:rPr>
                <w:rFonts w:eastAsia="Times New Roman"/>
                <w:sz w:val="18"/>
                <w:szCs w:val="18"/>
                <w:lang w:eastAsia="hr-HR"/>
              </w:rPr>
              <w:t>16</w:t>
            </w:r>
            <w:r w:rsidR="009268FB" w:rsidRPr="001B4CA2">
              <w:rPr>
                <w:rFonts w:eastAsia="Times New Roman"/>
                <w:sz w:val="18"/>
                <w:szCs w:val="18"/>
                <w:lang w:eastAsia="hr-HR"/>
              </w:rPr>
              <w:t>7</w:t>
            </w:r>
          </w:p>
        </w:tc>
        <w:tc>
          <w:tcPr>
            <w:tcW w:w="1591" w:type="dxa"/>
            <w:shd w:val="clear" w:color="auto" w:fill="auto"/>
            <w:noWrap/>
            <w:vAlign w:val="center"/>
          </w:tcPr>
          <w:p w14:paraId="0D2AF43B" w14:textId="6D9C0E70" w:rsidR="00360024" w:rsidRPr="001B4CA2" w:rsidRDefault="009268FB" w:rsidP="000759FD">
            <w:pPr>
              <w:jc w:val="center"/>
              <w:rPr>
                <w:rFonts w:eastAsia="Times New Roman"/>
                <w:sz w:val="18"/>
                <w:szCs w:val="18"/>
                <w:lang w:eastAsia="hr-HR"/>
              </w:rPr>
            </w:pPr>
            <w:r w:rsidRPr="001B4CA2">
              <w:rPr>
                <w:rFonts w:eastAsia="Times New Roman"/>
                <w:sz w:val="18"/>
                <w:szCs w:val="18"/>
                <w:lang w:eastAsia="hr-HR"/>
              </w:rPr>
              <w:t>87</w:t>
            </w:r>
          </w:p>
        </w:tc>
        <w:tc>
          <w:tcPr>
            <w:tcW w:w="1592" w:type="dxa"/>
            <w:shd w:val="clear" w:color="auto" w:fill="auto"/>
            <w:noWrap/>
            <w:vAlign w:val="center"/>
          </w:tcPr>
          <w:p w14:paraId="43E84490" w14:textId="6B34F277" w:rsidR="00360024" w:rsidRPr="001B4CA2" w:rsidRDefault="009268FB" w:rsidP="000759FD">
            <w:pPr>
              <w:jc w:val="center"/>
              <w:rPr>
                <w:rFonts w:eastAsia="Times New Roman"/>
                <w:sz w:val="18"/>
                <w:szCs w:val="18"/>
                <w:lang w:eastAsia="hr-HR"/>
              </w:rPr>
            </w:pPr>
            <w:r w:rsidRPr="001B4CA2">
              <w:rPr>
                <w:rFonts w:eastAsia="Times New Roman"/>
                <w:sz w:val="18"/>
                <w:szCs w:val="18"/>
                <w:lang w:eastAsia="hr-HR"/>
              </w:rPr>
              <w:t>41</w:t>
            </w:r>
          </w:p>
        </w:tc>
      </w:tr>
      <w:tr w:rsidR="00360024" w:rsidRPr="001B4CA2" w14:paraId="14A8244D" w14:textId="77777777" w:rsidTr="00FD1D67">
        <w:trPr>
          <w:trHeight w:val="287"/>
        </w:trPr>
        <w:tc>
          <w:tcPr>
            <w:tcW w:w="955" w:type="dxa"/>
            <w:shd w:val="clear" w:color="auto" w:fill="auto"/>
            <w:noWrap/>
            <w:vAlign w:val="center"/>
          </w:tcPr>
          <w:p w14:paraId="1C17F138" w14:textId="40292C34" w:rsidR="00360024" w:rsidRPr="001B4CA2" w:rsidRDefault="00360024" w:rsidP="000759FD">
            <w:pPr>
              <w:jc w:val="center"/>
              <w:rPr>
                <w:rFonts w:eastAsia="Times New Roman"/>
                <w:sz w:val="18"/>
                <w:szCs w:val="18"/>
                <w:lang w:eastAsia="hr-HR"/>
              </w:rPr>
            </w:pPr>
            <w:r w:rsidRPr="001B4CA2">
              <w:rPr>
                <w:rFonts w:eastAsia="Times New Roman"/>
                <w:sz w:val="18"/>
                <w:szCs w:val="18"/>
                <w:lang w:eastAsia="hr-HR"/>
              </w:rPr>
              <w:t>202</w:t>
            </w:r>
            <w:r w:rsidR="009A1E7E" w:rsidRPr="001B4CA2">
              <w:rPr>
                <w:rFonts w:eastAsia="Times New Roman"/>
                <w:sz w:val="18"/>
                <w:szCs w:val="18"/>
                <w:lang w:eastAsia="hr-HR"/>
              </w:rPr>
              <w:t>2</w:t>
            </w:r>
            <w:r w:rsidRPr="001B4CA2">
              <w:rPr>
                <w:rFonts w:eastAsia="Times New Roman"/>
                <w:sz w:val="18"/>
                <w:szCs w:val="18"/>
                <w:lang w:eastAsia="hr-HR"/>
              </w:rPr>
              <w:t>.</w:t>
            </w:r>
          </w:p>
        </w:tc>
        <w:tc>
          <w:tcPr>
            <w:tcW w:w="1653" w:type="dxa"/>
            <w:shd w:val="clear" w:color="auto" w:fill="auto"/>
            <w:noWrap/>
            <w:vAlign w:val="center"/>
          </w:tcPr>
          <w:p w14:paraId="5D8DB8C0" w14:textId="411591AF" w:rsidR="00360024" w:rsidRPr="001B4CA2" w:rsidRDefault="009268FB" w:rsidP="000759FD">
            <w:pPr>
              <w:jc w:val="center"/>
              <w:rPr>
                <w:rFonts w:eastAsia="Times New Roman"/>
                <w:sz w:val="18"/>
                <w:szCs w:val="18"/>
                <w:lang w:eastAsia="hr-HR"/>
              </w:rPr>
            </w:pPr>
            <w:r w:rsidRPr="001B4CA2">
              <w:rPr>
                <w:rFonts w:eastAsia="Times New Roman"/>
                <w:sz w:val="18"/>
                <w:szCs w:val="18"/>
                <w:lang w:eastAsia="hr-HR"/>
              </w:rPr>
              <w:t>322</w:t>
            </w:r>
          </w:p>
        </w:tc>
        <w:tc>
          <w:tcPr>
            <w:tcW w:w="1592" w:type="dxa"/>
            <w:shd w:val="clear" w:color="auto" w:fill="auto"/>
            <w:noWrap/>
            <w:vAlign w:val="center"/>
          </w:tcPr>
          <w:p w14:paraId="20F57B90" w14:textId="73A732DF" w:rsidR="00360024" w:rsidRPr="001B4CA2" w:rsidRDefault="009268FB" w:rsidP="000759FD">
            <w:pPr>
              <w:jc w:val="center"/>
              <w:rPr>
                <w:rFonts w:eastAsia="Times New Roman"/>
                <w:sz w:val="18"/>
                <w:szCs w:val="18"/>
                <w:lang w:eastAsia="hr-HR"/>
              </w:rPr>
            </w:pPr>
            <w:r w:rsidRPr="001B4CA2">
              <w:rPr>
                <w:rFonts w:eastAsia="Times New Roman"/>
                <w:sz w:val="18"/>
                <w:szCs w:val="18"/>
                <w:lang w:eastAsia="hr-HR"/>
              </w:rPr>
              <w:t>247</w:t>
            </w:r>
          </w:p>
        </w:tc>
        <w:tc>
          <w:tcPr>
            <w:tcW w:w="1591" w:type="dxa"/>
            <w:shd w:val="clear" w:color="auto" w:fill="auto"/>
            <w:noWrap/>
            <w:vAlign w:val="center"/>
          </w:tcPr>
          <w:p w14:paraId="049206AD" w14:textId="223E9497" w:rsidR="00360024" w:rsidRPr="001B4CA2" w:rsidRDefault="009268FB" w:rsidP="000759FD">
            <w:pPr>
              <w:jc w:val="center"/>
              <w:rPr>
                <w:rFonts w:eastAsia="Times New Roman"/>
                <w:sz w:val="18"/>
                <w:szCs w:val="18"/>
                <w:lang w:eastAsia="hr-HR"/>
              </w:rPr>
            </w:pPr>
            <w:r w:rsidRPr="001B4CA2">
              <w:rPr>
                <w:rFonts w:eastAsia="Times New Roman"/>
                <w:sz w:val="18"/>
                <w:szCs w:val="18"/>
                <w:lang w:eastAsia="hr-HR"/>
              </w:rPr>
              <w:t>135</w:t>
            </w:r>
          </w:p>
        </w:tc>
        <w:tc>
          <w:tcPr>
            <w:tcW w:w="1592" w:type="dxa"/>
            <w:shd w:val="clear" w:color="auto" w:fill="auto"/>
            <w:noWrap/>
            <w:vAlign w:val="center"/>
          </w:tcPr>
          <w:p w14:paraId="7116D9A3" w14:textId="7EC19278" w:rsidR="00360024" w:rsidRPr="001B4CA2" w:rsidRDefault="009268FB" w:rsidP="000759FD">
            <w:pPr>
              <w:jc w:val="center"/>
              <w:rPr>
                <w:rFonts w:eastAsia="Times New Roman"/>
                <w:sz w:val="18"/>
                <w:szCs w:val="18"/>
                <w:lang w:eastAsia="hr-HR"/>
              </w:rPr>
            </w:pPr>
            <w:r w:rsidRPr="001B4CA2">
              <w:rPr>
                <w:rFonts w:eastAsia="Times New Roman"/>
                <w:sz w:val="18"/>
                <w:szCs w:val="18"/>
                <w:lang w:eastAsia="hr-HR"/>
              </w:rPr>
              <w:t>62</w:t>
            </w:r>
          </w:p>
        </w:tc>
      </w:tr>
    </w:tbl>
    <w:p w14:paraId="550D5301" w14:textId="77777777" w:rsidR="0006180D" w:rsidRPr="001B4CA2" w:rsidRDefault="0006180D" w:rsidP="0015021C"/>
    <w:p w14:paraId="6BE7749A" w14:textId="176037C8" w:rsidR="009268FB" w:rsidRPr="001B4CA2" w:rsidRDefault="009A1E7E" w:rsidP="009268FB">
      <w:r w:rsidRPr="001B4CA2">
        <w:tab/>
      </w:r>
      <w:r w:rsidR="009268FB" w:rsidRPr="001B4CA2">
        <w:t>Daljnjom analizom podataka iz tablice koja sadrži prikaz podnesenih i usvojenih žalbi proizlazi da se od svih podnesenih žalbi na žalbe zbog odluke o kazni odnosi 247 žalbi ili 76,7</w:t>
      </w:r>
      <w:r w:rsidR="00415A80">
        <w:t> </w:t>
      </w:r>
      <w:r w:rsidR="009268FB" w:rsidRPr="001B4CA2">
        <w:t>% žalbi, što je značajno više u odnosu na prethodno izvještajno razdoblje u kojem se na žalbe podnesene iz ov</w:t>
      </w:r>
      <w:r w:rsidR="00415A80">
        <w:t>e</w:t>
      </w:r>
      <w:r w:rsidR="009268FB" w:rsidRPr="001B4CA2">
        <w:t xml:space="preserve"> zakonsk</w:t>
      </w:r>
      <w:r w:rsidR="00415A80">
        <w:t>e</w:t>
      </w:r>
      <w:r w:rsidR="009268FB" w:rsidRPr="001B4CA2">
        <w:t xml:space="preserve"> osnov</w:t>
      </w:r>
      <w:r w:rsidR="00415A80">
        <w:t>e</w:t>
      </w:r>
      <w:r w:rsidR="009268FB" w:rsidRPr="001B4CA2">
        <w:t xml:space="preserve"> odnosilo 53,35</w:t>
      </w:r>
      <w:r w:rsidR="00415A80">
        <w:t> </w:t>
      </w:r>
      <w:r w:rsidR="009268FB" w:rsidRPr="001B4CA2">
        <w:t>% podnesenih žalbi.</w:t>
      </w:r>
    </w:p>
    <w:p w14:paraId="297122A5" w14:textId="77777777" w:rsidR="009268FB" w:rsidRPr="001B4CA2" w:rsidRDefault="009268FB" w:rsidP="009268FB"/>
    <w:p w14:paraId="744AE097" w14:textId="7F0F5F56" w:rsidR="009268FB" w:rsidRPr="001B4CA2" w:rsidRDefault="009268FB" w:rsidP="009268FB">
      <w:r w:rsidRPr="001B4CA2">
        <w:tab/>
        <w:t>Usvojeno je ukupno 135 žalbi ili 41,92</w:t>
      </w:r>
      <w:r w:rsidR="00415A80">
        <w:t> </w:t>
      </w:r>
      <w:r w:rsidRPr="001B4CA2">
        <w:t>% žalbi, što je značajno više u odnosu na 2021. godinu i ujedno je najveći broj usvojenih žalbi u promatranom razdoblju, a od čega se 62 žalbe ili 45,92</w:t>
      </w:r>
      <w:r w:rsidR="00415A80">
        <w:t> </w:t>
      </w:r>
      <w:r w:rsidRPr="001B4CA2">
        <w:t>% usvojenih žalbi odnosi na žalbe zbog odluke o kazni.</w:t>
      </w:r>
    </w:p>
    <w:p w14:paraId="7796FA16" w14:textId="77777777" w:rsidR="009268FB" w:rsidRPr="001B4CA2" w:rsidRDefault="009268FB" w:rsidP="009268FB"/>
    <w:p w14:paraId="76051A4C" w14:textId="7DF80CEB" w:rsidR="009268FB" w:rsidRPr="001B4CA2" w:rsidRDefault="009268FB" w:rsidP="009268FB">
      <w:r w:rsidRPr="001B4CA2">
        <w:tab/>
        <w:t xml:space="preserve">Uspjeh </w:t>
      </w:r>
      <w:r w:rsidR="00415A80" w:rsidRPr="001B4CA2">
        <w:t xml:space="preserve">se </w:t>
      </w:r>
      <w:r w:rsidRPr="001B4CA2">
        <w:t>u žalbenom postupku međutim ne može cijeniti samo na temelju podataka o broju usvojenih i odbijenih žalbi. Naime, drugostupanjski sudovi odlučujući od žalbama državnog odvjetništva ujedno odlučuju i o žalbama obrane ako su podnesene, odluke drugostupanjskih sudova često idu i izvan žalbenih prijedloga državnog odvjetništva, a često dolazi i do ukidanja presuda iz drugih razloga</w:t>
      </w:r>
      <w:r w:rsidR="00415A80">
        <w:t>,</w:t>
      </w:r>
      <w:r w:rsidRPr="001B4CA2">
        <w:t xml:space="preserve"> a ne onih zbog kojih su podnesene žalbe. Osim toga, o većini podnesenih žalbi sudovi još </w:t>
      </w:r>
      <w:r w:rsidR="00415A80" w:rsidRPr="001B4CA2">
        <w:t xml:space="preserve">nisu </w:t>
      </w:r>
      <w:r w:rsidRPr="001B4CA2">
        <w:t>odlučili tijekom izvještajnog razdoblja.</w:t>
      </w:r>
    </w:p>
    <w:p w14:paraId="3CCEBCA3" w14:textId="77777777" w:rsidR="009268FB" w:rsidRPr="001B4CA2" w:rsidRDefault="009268FB" w:rsidP="009268FB"/>
    <w:p w14:paraId="622789C3" w14:textId="316F68D4" w:rsidR="009268FB" w:rsidRPr="001B4CA2" w:rsidRDefault="009268FB" w:rsidP="009268FB">
      <w:r w:rsidRPr="001B4CA2">
        <w:tab/>
        <w:t xml:space="preserve">Budući </w:t>
      </w:r>
      <w:r w:rsidR="00415A80">
        <w:t xml:space="preserve">da </w:t>
      </w:r>
      <w:r w:rsidRPr="001B4CA2">
        <w:t xml:space="preserve">se kaznena politika županijskih i općinskih sudova i dalje ocjenjuje blagom, županijska državna odvjetništva trebaju ustrajati na podnošenju žalbi, vodeći računa o vrsti i težini svakog pojedinog kaznenog djela te o svim okolnostima i svrsi kažnjavanja, propisanima zakonom.   </w:t>
      </w:r>
    </w:p>
    <w:p w14:paraId="246BA058" w14:textId="4FF31C2C" w:rsidR="00BB27EB" w:rsidRPr="001B4CA2" w:rsidRDefault="00BB27EB" w:rsidP="009268FB"/>
    <w:p w14:paraId="3C8C9369" w14:textId="77FFEB4C" w:rsidR="00BB27EB" w:rsidRPr="001B4CA2" w:rsidRDefault="00BB27EB" w:rsidP="009268FB"/>
    <w:p w14:paraId="2FF2BFBE" w14:textId="0EB29CB1" w:rsidR="00BB27EB" w:rsidRPr="001B4CA2" w:rsidRDefault="00BB27EB" w:rsidP="009268FB"/>
    <w:p w14:paraId="7531DC68" w14:textId="14E18522" w:rsidR="00BB27EB" w:rsidRPr="001B4CA2" w:rsidRDefault="00BB27EB" w:rsidP="009268FB"/>
    <w:p w14:paraId="396B9FB9" w14:textId="77777777" w:rsidR="00282F36" w:rsidRPr="001B4CA2" w:rsidRDefault="00282F36" w:rsidP="0015021C"/>
    <w:p w14:paraId="77BDB18D" w14:textId="5CA176FC" w:rsidR="00BB4D48" w:rsidRPr="001B4CA2" w:rsidRDefault="00B7150A" w:rsidP="009E6D91">
      <w:pPr>
        <w:pStyle w:val="Naslov3"/>
        <w:ind w:left="426" w:hanging="284"/>
        <w:rPr>
          <w:rFonts w:ascii="Arial" w:hAnsi="Arial" w:cs="Arial"/>
        </w:rPr>
      </w:pPr>
      <w:r w:rsidRPr="001B4CA2">
        <w:rPr>
          <w:rFonts w:ascii="Arial" w:hAnsi="Arial" w:cs="Arial"/>
        </w:rPr>
        <w:lastRenderedPageBreak/>
        <w:t xml:space="preserve"> </w:t>
      </w:r>
      <w:bookmarkStart w:id="86" w:name="_Toc133394345"/>
      <w:r w:rsidR="00BB4D48" w:rsidRPr="001B4CA2">
        <w:rPr>
          <w:rFonts w:ascii="Arial" w:hAnsi="Arial" w:cs="Arial"/>
        </w:rPr>
        <w:t xml:space="preserve">Prikaz </w:t>
      </w:r>
      <w:r w:rsidR="0020162B" w:rsidRPr="001B4CA2">
        <w:rPr>
          <w:rFonts w:ascii="Arial" w:hAnsi="Arial" w:cs="Arial"/>
        </w:rPr>
        <w:t xml:space="preserve">rada i </w:t>
      </w:r>
      <w:r w:rsidR="006A1678" w:rsidRPr="001B4CA2">
        <w:rPr>
          <w:rFonts w:ascii="Arial" w:hAnsi="Arial" w:cs="Arial"/>
        </w:rPr>
        <w:t xml:space="preserve">odluka </w:t>
      </w:r>
      <w:r w:rsidR="00BB4D48" w:rsidRPr="001B4CA2">
        <w:rPr>
          <w:rFonts w:ascii="Arial" w:hAnsi="Arial" w:cs="Arial"/>
        </w:rPr>
        <w:t>u gra</w:t>
      </w:r>
      <w:r w:rsidR="00A60F77" w:rsidRPr="001B4CA2">
        <w:rPr>
          <w:rFonts w:ascii="Arial" w:hAnsi="Arial" w:cs="Arial"/>
        </w:rPr>
        <w:t>đanskim i upravnim predmetima</w:t>
      </w:r>
      <w:bookmarkEnd w:id="86"/>
    </w:p>
    <w:p w14:paraId="10D2B0D0" w14:textId="77777777" w:rsidR="00286D07" w:rsidRPr="001B4CA2" w:rsidRDefault="00286D07" w:rsidP="00554DA5"/>
    <w:p w14:paraId="1FF1B59B" w14:textId="2097D8A7" w:rsidR="00773E87" w:rsidRPr="001B4CA2" w:rsidRDefault="00E07660" w:rsidP="00773E87">
      <w:pPr>
        <w:pStyle w:val="Odlomakpopisa"/>
        <w:tabs>
          <w:tab w:val="left" w:pos="0"/>
        </w:tabs>
        <w:ind w:left="0"/>
        <w:rPr>
          <w:szCs w:val="22"/>
        </w:rPr>
      </w:pPr>
      <w:r w:rsidRPr="001B4CA2">
        <w:rPr>
          <w:szCs w:val="22"/>
        </w:rPr>
        <w:tab/>
      </w:r>
      <w:bookmarkStart w:id="87" w:name="_Hlk133309092"/>
      <w:r w:rsidR="00773E87" w:rsidRPr="001B4CA2">
        <w:rPr>
          <w:szCs w:val="22"/>
        </w:rPr>
        <w:t xml:space="preserve">Zakonom o državnom odvjetništvu propisana je nadležnost županijskih državnih odvjetništava koja Republiku Hrvatsku zastupaju u postupcima pred trgovačkim, upravnim i županijskim sudovima te u arbitražnim postupcima i postupcima mirenja. </w:t>
      </w:r>
    </w:p>
    <w:p w14:paraId="16D0BEAC" w14:textId="77777777" w:rsidR="00773E87" w:rsidRPr="001B4CA2" w:rsidRDefault="00773E87" w:rsidP="00773E87">
      <w:pPr>
        <w:tabs>
          <w:tab w:val="left" w:pos="567"/>
        </w:tabs>
        <w:ind w:left="525"/>
        <w:contextualSpacing/>
        <w:rPr>
          <w:szCs w:val="22"/>
        </w:rPr>
      </w:pPr>
    </w:p>
    <w:p w14:paraId="612F8B46" w14:textId="04579AE8" w:rsidR="00773E87" w:rsidRPr="001B4CA2" w:rsidRDefault="00773E87" w:rsidP="00773E87">
      <w:pPr>
        <w:tabs>
          <w:tab w:val="left" w:pos="0"/>
        </w:tabs>
        <w:contextualSpacing/>
        <w:rPr>
          <w:szCs w:val="22"/>
        </w:rPr>
      </w:pPr>
      <w:r w:rsidRPr="001B4CA2">
        <w:rPr>
          <w:szCs w:val="22"/>
        </w:rPr>
        <w:tab/>
        <w:t xml:space="preserve">Županijska državna odvjetništva temeljem zakona zastupaju i Vladu Republike Hrvatske kada se Vlada Republike Hrvatske kao javnopravno tijelo pojavljuje kao stranka u upravnim sporovima. </w:t>
      </w:r>
    </w:p>
    <w:p w14:paraId="77FEDE82" w14:textId="77777777" w:rsidR="00773E87" w:rsidRPr="001B4CA2" w:rsidRDefault="00773E87" w:rsidP="00773E87">
      <w:pPr>
        <w:tabs>
          <w:tab w:val="left" w:pos="567"/>
        </w:tabs>
        <w:ind w:left="525"/>
        <w:contextualSpacing/>
        <w:rPr>
          <w:szCs w:val="22"/>
        </w:rPr>
      </w:pPr>
    </w:p>
    <w:p w14:paraId="07AB1884" w14:textId="36D8DBD1" w:rsidR="00773E87" w:rsidRPr="001B4CA2" w:rsidRDefault="00773E87" w:rsidP="00415A80">
      <w:pPr>
        <w:tabs>
          <w:tab w:val="left" w:pos="0"/>
        </w:tabs>
        <w:contextualSpacing/>
        <w:rPr>
          <w:szCs w:val="22"/>
        </w:rPr>
      </w:pPr>
      <w:r w:rsidRPr="001B4CA2">
        <w:rPr>
          <w:szCs w:val="22"/>
        </w:rPr>
        <w:tab/>
        <w:t xml:space="preserve">Zastupanje Republike Hrvatske pred trgovačkim sudovima odnosi se na parnične postupke, sporove između Republike Hrvatske i pravnih osoba (trgovačka društva, jedinice lokalne i regionalne samouprave, udruge, ustanove, zadruge i dr.), ovršne postupke za koje su nadležni trgovački sudovi, stečajne i predstečajne postupke kao i postupke likvidacije u kojima Republika </w:t>
      </w:r>
      <w:r w:rsidR="0047537B" w:rsidRPr="001B4CA2">
        <w:rPr>
          <w:szCs w:val="22"/>
        </w:rPr>
        <w:t>Hrvatska</w:t>
      </w:r>
      <w:r w:rsidRPr="001B4CA2">
        <w:rPr>
          <w:szCs w:val="22"/>
        </w:rPr>
        <w:t xml:space="preserve"> sudjeluje kao vjerovnik. Županijska državna odvjetništva zastupaju i u registarskim predmetima prilikom postupanja trgovačkih sudova po Zakonu o sudskom registru (Narodne</w:t>
      </w:r>
      <w:r w:rsidR="00415A80">
        <w:rPr>
          <w:szCs w:val="22"/>
        </w:rPr>
        <w:t xml:space="preserve"> </w:t>
      </w:r>
      <w:r w:rsidRPr="001B4CA2">
        <w:rPr>
          <w:szCs w:val="22"/>
        </w:rPr>
        <w:t>novine </w:t>
      </w:r>
      <w:r w:rsidR="00C80DAF">
        <w:rPr>
          <w:szCs w:val="22"/>
        </w:rPr>
        <w:t xml:space="preserve"> broj </w:t>
      </w:r>
      <w:hyperlink r:id="rId19" w:tgtFrame="_blank" w:history="1">
        <w:r w:rsidRPr="001B4CA2">
          <w:rPr>
            <w:szCs w:val="22"/>
          </w:rPr>
          <w:t>1/95</w:t>
        </w:r>
      </w:hyperlink>
      <w:r w:rsidRPr="001B4CA2">
        <w:rPr>
          <w:szCs w:val="22"/>
        </w:rPr>
        <w:t>,</w:t>
      </w:r>
      <w:r w:rsidR="007E7F98">
        <w:rPr>
          <w:szCs w:val="22"/>
        </w:rPr>
        <w:t xml:space="preserve"> </w:t>
      </w:r>
      <w:hyperlink r:id="rId20" w:tgtFrame="_blank" w:history="1">
        <w:r w:rsidRPr="001B4CA2">
          <w:rPr>
            <w:szCs w:val="22"/>
          </w:rPr>
          <w:t>57/96</w:t>
        </w:r>
      </w:hyperlink>
      <w:r w:rsidRPr="001B4CA2">
        <w:rPr>
          <w:szCs w:val="22"/>
        </w:rPr>
        <w:t>,</w:t>
      </w:r>
      <w:r w:rsidR="007E7F98">
        <w:rPr>
          <w:szCs w:val="22"/>
        </w:rPr>
        <w:t xml:space="preserve"> </w:t>
      </w:r>
      <w:hyperlink r:id="rId21" w:tgtFrame="_blank" w:history="1">
        <w:r w:rsidRPr="001B4CA2">
          <w:rPr>
            <w:szCs w:val="22"/>
          </w:rPr>
          <w:t>1/98</w:t>
        </w:r>
      </w:hyperlink>
      <w:r w:rsidRPr="001B4CA2">
        <w:rPr>
          <w:szCs w:val="22"/>
        </w:rPr>
        <w:t>,</w:t>
      </w:r>
      <w:r w:rsidR="007E7F98">
        <w:rPr>
          <w:szCs w:val="22"/>
        </w:rPr>
        <w:t xml:space="preserve"> </w:t>
      </w:r>
      <w:hyperlink r:id="rId22" w:tgtFrame="_blank" w:history="1">
        <w:r w:rsidRPr="001B4CA2">
          <w:rPr>
            <w:szCs w:val="22"/>
          </w:rPr>
          <w:t>30/99</w:t>
        </w:r>
      </w:hyperlink>
      <w:r w:rsidRPr="001B4CA2">
        <w:rPr>
          <w:szCs w:val="22"/>
        </w:rPr>
        <w:t>,</w:t>
      </w:r>
      <w:r w:rsidR="007E7F98">
        <w:rPr>
          <w:szCs w:val="22"/>
        </w:rPr>
        <w:t xml:space="preserve"> </w:t>
      </w:r>
      <w:hyperlink r:id="rId23" w:tgtFrame="_blank" w:history="1">
        <w:r w:rsidRPr="001B4CA2">
          <w:rPr>
            <w:szCs w:val="22"/>
          </w:rPr>
          <w:t>45/99</w:t>
        </w:r>
      </w:hyperlink>
      <w:r w:rsidRPr="001B4CA2">
        <w:rPr>
          <w:szCs w:val="22"/>
        </w:rPr>
        <w:t>,</w:t>
      </w:r>
      <w:r w:rsidR="007E7F98">
        <w:rPr>
          <w:szCs w:val="22"/>
        </w:rPr>
        <w:t xml:space="preserve"> </w:t>
      </w:r>
      <w:hyperlink r:id="rId24" w:tgtFrame="_blank" w:history="1">
        <w:r w:rsidRPr="001B4CA2">
          <w:rPr>
            <w:szCs w:val="22"/>
          </w:rPr>
          <w:t>54/05</w:t>
        </w:r>
      </w:hyperlink>
      <w:r w:rsidRPr="001B4CA2">
        <w:rPr>
          <w:szCs w:val="22"/>
        </w:rPr>
        <w:t>,</w:t>
      </w:r>
      <w:r w:rsidR="007E7F98">
        <w:rPr>
          <w:szCs w:val="22"/>
        </w:rPr>
        <w:t xml:space="preserve"> </w:t>
      </w:r>
      <w:hyperlink r:id="rId25" w:tgtFrame="_blank" w:history="1">
        <w:r w:rsidRPr="001B4CA2">
          <w:rPr>
            <w:szCs w:val="22"/>
          </w:rPr>
          <w:t>40/07</w:t>
        </w:r>
      </w:hyperlink>
      <w:r w:rsidRPr="001B4CA2">
        <w:rPr>
          <w:szCs w:val="22"/>
        </w:rPr>
        <w:t>,</w:t>
      </w:r>
      <w:r w:rsidR="007E7F98">
        <w:rPr>
          <w:szCs w:val="22"/>
        </w:rPr>
        <w:t xml:space="preserve"> </w:t>
      </w:r>
      <w:hyperlink r:id="rId26" w:tgtFrame="_blank" w:history="1">
        <w:r w:rsidRPr="001B4CA2">
          <w:rPr>
            <w:szCs w:val="22"/>
          </w:rPr>
          <w:t>91/10</w:t>
        </w:r>
      </w:hyperlink>
      <w:r w:rsidRPr="001B4CA2">
        <w:rPr>
          <w:szCs w:val="22"/>
        </w:rPr>
        <w:t>,</w:t>
      </w:r>
      <w:r w:rsidR="007E7F98">
        <w:rPr>
          <w:szCs w:val="22"/>
        </w:rPr>
        <w:t xml:space="preserve"> </w:t>
      </w:r>
      <w:hyperlink r:id="rId27" w:tgtFrame="_blank" w:history="1">
        <w:r w:rsidRPr="001B4CA2">
          <w:rPr>
            <w:szCs w:val="22"/>
          </w:rPr>
          <w:t>90/11</w:t>
        </w:r>
      </w:hyperlink>
      <w:r w:rsidRPr="001B4CA2">
        <w:rPr>
          <w:szCs w:val="22"/>
        </w:rPr>
        <w:t>,</w:t>
      </w:r>
      <w:r w:rsidR="007E7F98">
        <w:rPr>
          <w:szCs w:val="22"/>
        </w:rPr>
        <w:t xml:space="preserve"> </w:t>
      </w:r>
      <w:hyperlink r:id="rId28" w:tgtFrame="_blank" w:history="1">
        <w:r w:rsidRPr="001B4CA2">
          <w:rPr>
            <w:szCs w:val="22"/>
          </w:rPr>
          <w:t>148/13</w:t>
        </w:r>
      </w:hyperlink>
      <w:r w:rsidRPr="001B4CA2">
        <w:rPr>
          <w:szCs w:val="22"/>
        </w:rPr>
        <w:t>,</w:t>
      </w:r>
      <w:r w:rsidR="00415A80">
        <w:rPr>
          <w:szCs w:val="22"/>
        </w:rPr>
        <w:t xml:space="preserve"> </w:t>
      </w:r>
      <w:hyperlink r:id="rId29" w:tgtFrame="_blank" w:history="1">
        <w:r w:rsidRPr="001B4CA2">
          <w:rPr>
            <w:szCs w:val="22"/>
          </w:rPr>
          <w:t>93/14</w:t>
        </w:r>
      </w:hyperlink>
      <w:r w:rsidRPr="001B4CA2">
        <w:rPr>
          <w:szCs w:val="22"/>
        </w:rPr>
        <w:t>,</w:t>
      </w:r>
      <w:r w:rsidR="007E7F98">
        <w:rPr>
          <w:szCs w:val="22"/>
        </w:rPr>
        <w:t xml:space="preserve"> </w:t>
      </w:r>
      <w:hyperlink r:id="rId30" w:tgtFrame="_blank" w:history="1">
        <w:r w:rsidRPr="001B4CA2">
          <w:rPr>
            <w:szCs w:val="22"/>
          </w:rPr>
          <w:t>110/15</w:t>
        </w:r>
      </w:hyperlink>
      <w:r w:rsidRPr="001B4CA2">
        <w:rPr>
          <w:szCs w:val="22"/>
        </w:rPr>
        <w:t>,</w:t>
      </w:r>
      <w:r w:rsidR="007E7F98">
        <w:rPr>
          <w:szCs w:val="22"/>
        </w:rPr>
        <w:t xml:space="preserve"> </w:t>
      </w:r>
      <w:hyperlink r:id="rId31" w:tgtFrame="_blank" w:history="1">
        <w:r w:rsidRPr="001B4CA2">
          <w:rPr>
            <w:szCs w:val="22"/>
          </w:rPr>
          <w:t>40/19</w:t>
        </w:r>
      </w:hyperlink>
      <w:r w:rsidRPr="001B4CA2">
        <w:rPr>
          <w:szCs w:val="22"/>
        </w:rPr>
        <w:t>,</w:t>
      </w:r>
      <w:r w:rsidR="007E7F98">
        <w:rPr>
          <w:szCs w:val="22"/>
        </w:rPr>
        <w:t xml:space="preserve"> </w:t>
      </w:r>
      <w:hyperlink r:id="rId32" w:tgtFrame="_blank" w:history="1">
        <w:r w:rsidRPr="001B4CA2">
          <w:rPr>
            <w:szCs w:val="22"/>
          </w:rPr>
          <w:t>34/22</w:t>
        </w:r>
      </w:hyperlink>
      <w:r w:rsidRPr="001B4CA2">
        <w:rPr>
          <w:szCs w:val="22"/>
        </w:rPr>
        <w:t>, dalje u tekstu ZSR) i Zakonu o trgovačkim društvima (Narodne</w:t>
      </w:r>
      <w:r w:rsidR="00C80DAF">
        <w:rPr>
          <w:szCs w:val="22"/>
        </w:rPr>
        <w:t xml:space="preserve"> </w:t>
      </w:r>
      <w:r w:rsidRPr="001B4CA2">
        <w:rPr>
          <w:szCs w:val="22"/>
        </w:rPr>
        <w:t>novine</w:t>
      </w:r>
      <w:r w:rsidR="00C80DAF">
        <w:rPr>
          <w:szCs w:val="22"/>
        </w:rPr>
        <w:t xml:space="preserve"> broj</w:t>
      </w:r>
      <w:r w:rsidR="00657554">
        <w:rPr>
          <w:szCs w:val="22"/>
        </w:rPr>
        <w:t xml:space="preserve"> </w:t>
      </w:r>
      <w:hyperlink r:id="rId33" w:tgtFrame="_blank" w:history="1">
        <w:r w:rsidRPr="001B4CA2">
          <w:rPr>
            <w:szCs w:val="22"/>
          </w:rPr>
          <w:t>11/93</w:t>
        </w:r>
      </w:hyperlink>
      <w:r w:rsidRPr="001B4CA2">
        <w:rPr>
          <w:szCs w:val="22"/>
        </w:rPr>
        <w:t>,</w:t>
      </w:r>
      <w:r w:rsidR="007E7F98">
        <w:rPr>
          <w:szCs w:val="22"/>
        </w:rPr>
        <w:t xml:space="preserve"> </w:t>
      </w:r>
      <w:hyperlink r:id="rId34" w:tgtFrame="_blank" w:history="1">
        <w:r w:rsidRPr="001B4CA2">
          <w:rPr>
            <w:szCs w:val="22"/>
          </w:rPr>
          <w:t>34/99</w:t>
        </w:r>
      </w:hyperlink>
      <w:r w:rsidRPr="001B4CA2">
        <w:rPr>
          <w:szCs w:val="22"/>
        </w:rPr>
        <w:t>,</w:t>
      </w:r>
      <w:r w:rsidR="007E7F98">
        <w:rPr>
          <w:szCs w:val="22"/>
        </w:rPr>
        <w:t xml:space="preserve"> </w:t>
      </w:r>
      <w:hyperlink r:id="rId35" w:tgtFrame="_blank" w:history="1">
        <w:r w:rsidRPr="001B4CA2">
          <w:rPr>
            <w:szCs w:val="22"/>
          </w:rPr>
          <w:t>121/99</w:t>
        </w:r>
      </w:hyperlink>
      <w:r w:rsidRPr="001B4CA2">
        <w:rPr>
          <w:szCs w:val="22"/>
        </w:rPr>
        <w:t>,</w:t>
      </w:r>
      <w:r w:rsidR="007E7F98">
        <w:rPr>
          <w:szCs w:val="22"/>
        </w:rPr>
        <w:t xml:space="preserve"> </w:t>
      </w:r>
      <w:hyperlink r:id="rId36" w:tgtFrame="_blank" w:history="1">
        <w:r w:rsidRPr="001B4CA2">
          <w:rPr>
            <w:szCs w:val="22"/>
          </w:rPr>
          <w:t>52/00</w:t>
        </w:r>
      </w:hyperlink>
      <w:r w:rsidRPr="001B4CA2">
        <w:rPr>
          <w:szCs w:val="22"/>
        </w:rPr>
        <w:t>,</w:t>
      </w:r>
      <w:r w:rsidR="007E7F98">
        <w:rPr>
          <w:szCs w:val="22"/>
        </w:rPr>
        <w:t xml:space="preserve"> </w:t>
      </w:r>
      <w:hyperlink r:id="rId37" w:tgtFrame="_blank" w:history="1">
        <w:r w:rsidRPr="001B4CA2">
          <w:rPr>
            <w:szCs w:val="22"/>
          </w:rPr>
          <w:t>118/03</w:t>
        </w:r>
      </w:hyperlink>
      <w:r w:rsidRPr="001B4CA2">
        <w:rPr>
          <w:szCs w:val="22"/>
        </w:rPr>
        <w:t>,</w:t>
      </w:r>
      <w:r w:rsidR="007E7F98">
        <w:rPr>
          <w:szCs w:val="22"/>
        </w:rPr>
        <w:t xml:space="preserve"> </w:t>
      </w:r>
      <w:hyperlink r:id="rId38" w:tgtFrame="_blank" w:history="1">
        <w:r w:rsidRPr="001B4CA2">
          <w:rPr>
            <w:szCs w:val="22"/>
          </w:rPr>
          <w:t>107/07</w:t>
        </w:r>
      </w:hyperlink>
      <w:r w:rsidRPr="001B4CA2">
        <w:rPr>
          <w:szCs w:val="22"/>
        </w:rPr>
        <w:t>,</w:t>
      </w:r>
      <w:r w:rsidR="007E7F98">
        <w:rPr>
          <w:szCs w:val="22"/>
        </w:rPr>
        <w:t xml:space="preserve"> </w:t>
      </w:r>
      <w:hyperlink r:id="rId39" w:tgtFrame="_blank" w:history="1">
        <w:r w:rsidRPr="001B4CA2">
          <w:rPr>
            <w:szCs w:val="22"/>
          </w:rPr>
          <w:t>146/08</w:t>
        </w:r>
      </w:hyperlink>
      <w:r w:rsidRPr="001B4CA2">
        <w:rPr>
          <w:szCs w:val="22"/>
        </w:rPr>
        <w:t>,</w:t>
      </w:r>
      <w:r w:rsidR="007E7F98">
        <w:rPr>
          <w:szCs w:val="22"/>
        </w:rPr>
        <w:t xml:space="preserve"> </w:t>
      </w:r>
      <w:hyperlink r:id="rId40" w:tgtFrame="_blank" w:history="1">
        <w:r w:rsidRPr="001B4CA2">
          <w:rPr>
            <w:szCs w:val="22"/>
          </w:rPr>
          <w:t>137/09</w:t>
        </w:r>
      </w:hyperlink>
      <w:r w:rsidRPr="001B4CA2">
        <w:rPr>
          <w:szCs w:val="22"/>
        </w:rPr>
        <w:t>,</w:t>
      </w:r>
      <w:r w:rsidR="007E7F98">
        <w:rPr>
          <w:szCs w:val="22"/>
        </w:rPr>
        <w:t xml:space="preserve"> </w:t>
      </w:r>
      <w:hyperlink r:id="rId41" w:tgtFrame="_blank" w:history="1">
        <w:r w:rsidRPr="001B4CA2">
          <w:rPr>
            <w:szCs w:val="22"/>
          </w:rPr>
          <w:t>125/11</w:t>
        </w:r>
      </w:hyperlink>
      <w:r w:rsidRPr="001B4CA2">
        <w:rPr>
          <w:szCs w:val="22"/>
        </w:rPr>
        <w:t>,</w:t>
      </w:r>
      <w:r w:rsidR="007E7F98">
        <w:rPr>
          <w:szCs w:val="22"/>
        </w:rPr>
        <w:t xml:space="preserve"> </w:t>
      </w:r>
      <w:hyperlink r:id="rId42" w:tgtFrame="_blank" w:history="1">
        <w:r w:rsidRPr="001B4CA2">
          <w:rPr>
            <w:szCs w:val="22"/>
          </w:rPr>
          <w:t>152/11</w:t>
        </w:r>
      </w:hyperlink>
      <w:r w:rsidRPr="001B4CA2">
        <w:rPr>
          <w:szCs w:val="22"/>
        </w:rPr>
        <w:t>,</w:t>
      </w:r>
      <w:r w:rsidR="007E7F98">
        <w:rPr>
          <w:szCs w:val="22"/>
        </w:rPr>
        <w:t xml:space="preserve"> </w:t>
      </w:r>
      <w:hyperlink r:id="rId43" w:tgtFrame="_blank" w:history="1">
        <w:r w:rsidRPr="001B4CA2">
          <w:rPr>
            <w:szCs w:val="22"/>
          </w:rPr>
          <w:t>111/12</w:t>
        </w:r>
      </w:hyperlink>
      <w:r w:rsidRPr="001B4CA2">
        <w:rPr>
          <w:szCs w:val="22"/>
        </w:rPr>
        <w:t>,</w:t>
      </w:r>
      <w:r w:rsidR="007E7F98">
        <w:rPr>
          <w:szCs w:val="22"/>
        </w:rPr>
        <w:t xml:space="preserve"> </w:t>
      </w:r>
      <w:hyperlink r:id="rId44" w:tgtFrame="_blank" w:history="1">
        <w:r w:rsidRPr="001B4CA2">
          <w:rPr>
            <w:szCs w:val="22"/>
          </w:rPr>
          <w:t>68/13</w:t>
        </w:r>
      </w:hyperlink>
      <w:r w:rsidRPr="001B4CA2">
        <w:rPr>
          <w:szCs w:val="22"/>
        </w:rPr>
        <w:t>,</w:t>
      </w:r>
      <w:r w:rsidR="007E7F98">
        <w:rPr>
          <w:szCs w:val="22"/>
        </w:rPr>
        <w:t xml:space="preserve"> </w:t>
      </w:r>
      <w:hyperlink r:id="rId45" w:tgtFrame="_blank" w:history="1">
        <w:r w:rsidRPr="001B4CA2">
          <w:rPr>
            <w:szCs w:val="22"/>
          </w:rPr>
          <w:t>110/15</w:t>
        </w:r>
      </w:hyperlink>
      <w:r w:rsidRPr="001B4CA2">
        <w:rPr>
          <w:szCs w:val="22"/>
        </w:rPr>
        <w:t>,</w:t>
      </w:r>
      <w:r w:rsidR="007E7F98">
        <w:rPr>
          <w:szCs w:val="22"/>
        </w:rPr>
        <w:t xml:space="preserve"> </w:t>
      </w:r>
      <w:hyperlink r:id="rId46" w:tgtFrame="_blank" w:history="1">
        <w:r w:rsidRPr="001B4CA2">
          <w:rPr>
            <w:szCs w:val="22"/>
          </w:rPr>
          <w:t>40/19</w:t>
        </w:r>
      </w:hyperlink>
      <w:r w:rsidRPr="001B4CA2">
        <w:rPr>
          <w:szCs w:val="22"/>
        </w:rPr>
        <w:t>,</w:t>
      </w:r>
      <w:r w:rsidR="007E7F98">
        <w:rPr>
          <w:szCs w:val="22"/>
        </w:rPr>
        <w:t xml:space="preserve"> </w:t>
      </w:r>
      <w:hyperlink r:id="rId47" w:tgtFrame="_blank" w:history="1">
        <w:r w:rsidRPr="001B4CA2">
          <w:rPr>
            <w:szCs w:val="22"/>
          </w:rPr>
          <w:t>34/22</w:t>
        </w:r>
      </w:hyperlink>
      <w:r w:rsidRPr="001B4CA2">
        <w:rPr>
          <w:szCs w:val="22"/>
        </w:rPr>
        <w:t>,</w:t>
      </w:r>
      <w:r w:rsidR="007E7F98">
        <w:rPr>
          <w:szCs w:val="22"/>
        </w:rPr>
        <w:t xml:space="preserve"> </w:t>
      </w:r>
      <w:hyperlink r:id="rId48" w:history="1">
        <w:r w:rsidRPr="001B4CA2">
          <w:rPr>
            <w:szCs w:val="22"/>
          </w:rPr>
          <w:t>114/22 – dalje u tekstu ZTD)</w:t>
        </w:r>
      </w:hyperlink>
      <w:r w:rsidRPr="00657554">
        <w:rPr>
          <w:szCs w:val="22"/>
        </w:rPr>
        <w:t xml:space="preserve"> </w:t>
      </w:r>
      <w:r w:rsidRPr="001B4CA2">
        <w:rPr>
          <w:szCs w:val="22"/>
        </w:rPr>
        <w:t xml:space="preserve">u postupcima u kojima sudovi provode statusne promjene društava po službenoj dužnosti ili na prijedlog stranaka. </w:t>
      </w:r>
    </w:p>
    <w:p w14:paraId="49D83A06" w14:textId="77777777" w:rsidR="00773E87" w:rsidRPr="001B4CA2" w:rsidRDefault="00773E87" w:rsidP="00773E87">
      <w:pPr>
        <w:tabs>
          <w:tab w:val="left" w:pos="567"/>
        </w:tabs>
        <w:ind w:left="525"/>
        <w:contextualSpacing/>
        <w:rPr>
          <w:szCs w:val="22"/>
        </w:rPr>
      </w:pPr>
    </w:p>
    <w:p w14:paraId="0736C942" w14:textId="3875BDFD" w:rsidR="00773E87" w:rsidRPr="001B4CA2" w:rsidRDefault="00773E87" w:rsidP="00773E87">
      <w:pPr>
        <w:tabs>
          <w:tab w:val="left" w:pos="567"/>
        </w:tabs>
        <w:contextualSpacing/>
        <w:rPr>
          <w:szCs w:val="22"/>
        </w:rPr>
      </w:pPr>
      <w:r w:rsidRPr="001B4CA2">
        <w:rPr>
          <w:szCs w:val="22"/>
        </w:rPr>
        <w:tab/>
      </w:r>
      <w:r w:rsidRPr="001B4CA2">
        <w:rPr>
          <w:szCs w:val="22"/>
        </w:rPr>
        <w:tab/>
        <w:t>U 2022. godini stupile su na snagu izmjene Stečajnog zakona (Narodne novine 71/15,</w:t>
      </w:r>
      <w:r w:rsidR="007E7F98">
        <w:rPr>
          <w:szCs w:val="22"/>
        </w:rPr>
        <w:t xml:space="preserve"> </w:t>
      </w:r>
      <w:r w:rsidRPr="001B4CA2">
        <w:rPr>
          <w:szCs w:val="22"/>
        </w:rPr>
        <w:t xml:space="preserve">104/17, 36/22) kojima je </w:t>
      </w:r>
      <w:r w:rsidR="0047537B" w:rsidRPr="001B4CA2">
        <w:rPr>
          <w:szCs w:val="22"/>
        </w:rPr>
        <w:t>izmijenjena</w:t>
      </w:r>
      <w:r w:rsidRPr="001B4CA2">
        <w:rPr>
          <w:szCs w:val="22"/>
        </w:rPr>
        <w:t xml:space="preserve"> nadležnost sudova u ovršnim postupcima u kojima su stranke pravne osobe nad kojima je otvoren stečajni postupak. Slijedom ove zakonske izmjene svi ovršni predmeti i postupci koji su do sada bili u nadležnosti općinskih sudova prelaze u nadležnost trgovačkih sudova, odnosno županijskih državnih odvjetništava </w:t>
      </w:r>
      <w:r w:rsidR="00415A80">
        <w:rPr>
          <w:szCs w:val="22"/>
        </w:rPr>
        <w:t>ako</w:t>
      </w:r>
      <w:r w:rsidRPr="001B4CA2">
        <w:rPr>
          <w:szCs w:val="22"/>
        </w:rPr>
        <w:t xml:space="preserve"> se radi o postupcima u kojima je jedna od stranaka pravna osoba u stečaju. U većini stečajnih postupaka koje provode trgovački sudovi kao vjerovnik sudjeluje Republika Hrvatska, u pravilu </w:t>
      </w:r>
      <w:r w:rsidR="0047537B" w:rsidRPr="001B4CA2">
        <w:rPr>
          <w:szCs w:val="22"/>
        </w:rPr>
        <w:t>Ministarstvo</w:t>
      </w:r>
      <w:r w:rsidRPr="001B4CA2">
        <w:rPr>
          <w:szCs w:val="22"/>
        </w:rPr>
        <w:t xml:space="preserve"> financija, te ostvaruje dospjele, nepodmirene tražbine države prema dužnicima nad kojima se vode stečajni postupci. Stoga se u </w:t>
      </w:r>
      <w:r w:rsidR="00415A80">
        <w:rPr>
          <w:szCs w:val="22"/>
        </w:rPr>
        <w:t>sljedećem</w:t>
      </w:r>
      <w:r w:rsidRPr="001B4CA2">
        <w:rPr>
          <w:szCs w:val="22"/>
        </w:rPr>
        <w:t xml:space="preserve"> razdoblju opravdano može očekivati povećanje broja ovršnih predmeta u nadležnosti županijskih državnih odvjetništava. </w:t>
      </w:r>
    </w:p>
    <w:bookmarkEnd w:id="87"/>
    <w:p w14:paraId="235E0509" w14:textId="5BD38A9E" w:rsidR="0087715B" w:rsidRPr="001B4CA2" w:rsidRDefault="0087715B" w:rsidP="00773E87">
      <w:pPr>
        <w:contextualSpacing/>
        <w:rPr>
          <w:szCs w:val="22"/>
        </w:rPr>
      </w:pPr>
      <w:r w:rsidRPr="001B4CA2">
        <w:rPr>
          <w:szCs w:val="22"/>
        </w:rPr>
        <w:tab/>
      </w:r>
      <w:r w:rsidRPr="001B4CA2">
        <w:rPr>
          <w:szCs w:val="22"/>
        </w:rPr>
        <w:tab/>
      </w:r>
      <w:r w:rsidRPr="001B4CA2">
        <w:rPr>
          <w:szCs w:val="22"/>
        </w:rPr>
        <w:tab/>
        <w:t xml:space="preserve"> </w:t>
      </w:r>
      <w:r w:rsidRPr="001B4CA2">
        <w:rPr>
          <w:i/>
          <w:szCs w:val="22"/>
        </w:rPr>
        <w:t xml:space="preserve"> </w:t>
      </w:r>
    </w:p>
    <w:p w14:paraId="709FA243" w14:textId="22DC45C5" w:rsidR="0087715B" w:rsidRPr="001B4CA2" w:rsidRDefault="0087715B" w:rsidP="0087715B">
      <w:pPr>
        <w:pStyle w:val="Odlomakpopisa"/>
        <w:numPr>
          <w:ilvl w:val="0"/>
          <w:numId w:val="43"/>
        </w:numPr>
        <w:jc w:val="left"/>
        <w:rPr>
          <w:rFonts w:asciiTheme="minorHAnsi" w:hAnsiTheme="minorHAnsi" w:cstheme="minorBidi"/>
          <w:i/>
          <w:szCs w:val="22"/>
        </w:rPr>
      </w:pPr>
      <w:r w:rsidRPr="001B4CA2">
        <w:rPr>
          <w:rFonts w:asciiTheme="minorHAnsi" w:hAnsiTheme="minorHAnsi" w:cstheme="minorBidi"/>
          <w:i/>
          <w:szCs w:val="22"/>
        </w:rPr>
        <w:t>Kretanje i struktura zahtjeva u novim građanskim i upravnim predmetima 2018. – 2022.</w:t>
      </w:r>
    </w:p>
    <w:tbl>
      <w:tblPr>
        <w:tblW w:w="4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817"/>
        <w:gridCol w:w="1819"/>
        <w:gridCol w:w="1867"/>
        <w:gridCol w:w="1769"/>
      </w:tblGrid>
      <w:tr w:rsidR="0087715B" w:rsidRPr="001B4CA2" w14:paraId="3614CF54" w14:textId="77777777" w:rsidTr="00540F85">
        <w:trPr>
          <w:trHeight w:val="772"/>
          <w:jc w:val="center"/>
        </w:trPr>
        <w:tc>
          <w:tcPr>
            <w:tcW w:w="886" w:type="pct"/>
            <w:shd w:val="clear" w:color="auto" w:fill="99CCFF"/>
            <w:noWrap/>
            <w:vAlign w:val="center"/>
            <w:hideMark/>
          </w:tcPr>
          <w:p w14:paraId="3720C6B9" w14:textId="77777777" w:rsidR="0087715B" w:rsidRPr="001B4CA2" w:rsidRDefault="0087715B" w:rsidP="0087715B">
            <w:pPr>
              <w:jc w:val="center"/>
              <w:rPr>
                <w:rFonts w:asciiTheme="minorHAnsi" w:hAnsiTheme="minorHAnsi" w:cstheme="minorHAnsi"/>
                <w:b/>
                <w:sz w:val="18"/>
                <w:szCs w:val="18"/>
                <w:lang w:eastAsia="hr-HR"/>
              </w:rPr>
            </w:pPr>
            <w:r w:rsidRPr="001B4CA2">
              <w:rPr>
                <w:rFonts w:asciiTheme="minorHAnsi" w:hAnsiTheme="minorHAnsi" w:cstheme="minorHAnsi"/>
                <w:b/>
                <w:sz w:val="18"/>
                <w:szCs w:val="18"/>
                <w:lang w:eastAsia="hr-HR"/>
              </w:rPr>
              <w:t>Godina</w:t>
            </w:r>
          </w:p>
        </w:tc>
        <w:tc>
          <w:tcPr>
            <w:tcW w:w="1028" w:type="pct"/>
            <w:shd w:val="clear" w:color="auto" w:fill="99CCFF"/>
            <w:noWrap/>
            <w:vAlign w:val="center"/>
            <w:hideMark/>
          </w:tcPr>
          <w:p w14:paraId="7F746DB6" w14:textId="77777777" w:rsidR="0087715B" w:rsidRPr="001B4CA2" w:rsidRDefault="0087715B" w:rsidP="0087715B">
            <w:pPr>
              <w:jc w:val="center"/>
              <w:rPr>
                <w:rFonts w:asciiTheme="minorHAnsi" w:hAnsiTheme="minorHAnsi" w:cstheme="minorHAnsi"/>
                <w:b/>
                <w:sz w:val="18"/>
                <w:szCs w:val="18"/>
                <w:lang w:eastAsia="hr-HR"/>
              </w:rPr>
            </w:pPr>
            <w:r w:rsidRPr="001B4CA2">
              <w:rPr>
                <w:rFonts w:asciiTheme="minorHAnsi" w:hAnsiTheme="minorHAnsi" w:cstheme="minorHAnsi"/>
                <w:b/>
                <w:sz w:val="18"/>
                <w:szCs w:val="18"/>
                <w:lang w:eastAsia="hr-HR"/>
              </w:rPr>
              <w:t>Sudski predmeti</w:t>
            </w:r>
          </w:p>
        </w:tc>
        <w:tc>
          <w:tcPr>
            <w:tcW w:w="1029" w:type="pct"/>
            <w:shd w:val="clear" w:color="auto" w:fill="99CCFF"/>
            <w:noWrap/>
            <w:vAlign w:val="center"/>
            <w:hideMark/>
          </w:tcPr>
          <w:p w14:paraId="30A1DC66" w14:textId="77777777" w:rsidR="0087715B" w:rsidRPr="001B4CA2" w:rsidRDefault="0087715B" w:rsidP="0087715B">
            <w:pPr>
              <w:jc w:val="center"/>
              <w:rPr>
                <w:rFonts w:asciiTheme="minorHAnsi" w:hAnsiTheme="minorHAnsi" w:cstheme="minorHAnsi"/>
                <w:b/>
                <w:sz w:val="18"/>
                <w:szCs w:val="18"/>
                <w:lang w:eastAsia="hr-HR"/>
              </w:rPr>
            </w:pPr>
            <w:r w:rsidRPr="001B4CA2">
              <w:rPr>
                <w:rFonts w:asciiTheme="minorHAnsi" w:hAnsiTheme="minorHAnsi" w:cstheme="minorHAnsi"/>
                <w:b/>
                <w:sz w:val="18"/>
                <w:szCs w:val="18"/>
                <w:lang w:eastAsia="hr-HR"/>
              </w:rPr>
              <w:t>Upravni predmeti</w:t>
            </w:r>
          </w:p>
        </w:tc>
        <w:tc>
          <w:tcPr>
            <w:tcW w:w="1056" w:type="pct"/>
            <w:shd w:val="clear" w:color="auto" w:fill="99CCFF"/>
            <w:noWrap/>
            <w:vAlign w:val="center"/>
            <w:hideMark/>
          </w:tcPr>
          <w:p w14:paraId="4C910381" w14:textId="77777777" w:rsidR="0087715B" w:rsidRPr="001B4CA2" w:rsidRDefault="0087715B" w:rsidP="0087715B">
            <w:pPr>
              <w:jc w:val="center"/>
              <w:rPr>
                <w:rFonts w:asciiTheme="minorHAnsi" w:hAnsiTheme="minorHAnsi" w:cstheme="minorHAnsi"/>
                <w:b/>
                <w:sz w:val="18"/>
                <w:szCs w:val="18"/>
                <w:lang w:eastAsia="hr-HR"/>
              </w:rPr>
            </w:pPr>
            <w:proofErr w:type="spellStart"/>
            <w:r w:rsidRPr="001B4CA2">
              <w:rPr>
                <w:rFonts w:asciiTheme="minorHAnsi" w:hAnsiTheme="minorHAnsi" w:cstheme="minorHAnsi"/>
                <w:b/>
                <w:sz w:val="18"/>
                <w:szCs w:val="18"/>
                <w:lang w:eastAsia="hr-HR"/>
              </w:rPr>
              <w:t>Državnoodvjetnički</w:t>
            </w:r>
            <w:proofErr w:type="spellEnd"/>
          </w:p>
          <w:p w14:paraId="72404C85" w14:textId="77777777" w:rsidR="0087715B" w:rsidRPr="001B4CA2" w:rsidRDefault="0087715B" w:rsidP="0087715B">
            <w:pPr>
              <w:jc w:val="center"/>
              <w:rPr>
                <w:rFonts w:asciiTheme="minorHAnsi" w:hAnsiTheme="minorHAnsi" w:cstheme="minorHAnsi"/>
                <w:b/>
                <w:sz w:val="18"/>
                <w:szCs w:val="18"/>
                <w:lang w:eastAsia="hr-HR"/>
              </w:rPr>
            </w:pPr>
            <w:r w:rsidRPr="001B4CA2">
              <w:rPr>
                <w:rFonts w:asciiTheme="minorHAnsi" w:hAnsiTheme="minorHAnsi" w:cstheme="minorHAnsi"/>
                <w:b/>
                <w:sz w:val="18"/>
                <w:szCs w:val="18"/>
                <w:lang w:eastAsia="hr-HR"/>
              </w:rPr>
              <w:t>predmeti</w:t>
            </w:r>
          </w:p>
        </w:tc>
        <w:tc>
          <w:tcPr>
            <w:tcW w:w="1001" w:type="pct"/>
            <w:shd w:val="clear" w:color="auto" w:fill="99CCFF"/>
            <w:noWrap/>
            <w:vAlign w:val="center"/>
            <w:hideMark/>
          </w:tcPr>
          <w:p w14:paraId="27C4704C" w14:textId="77777777" w:rsidR="0087715B" w:rsidRPr="001B4CA2" w:rsidRDefault="0087715B" w:rsidP="0087715B">
            <w:pPr>
              <w:jc w:val="center"/>
              <w:rPr>
                <w:rFonts w:asciiTheme="minorHAnsi" w:hAnsiTheme="minorHAnsi" w:cstheme="minorHAnsi"/>
                <w:b/>
                <w:sz w:val="18"/>
                <w:szCs w:val="18"/>
                <w:lang w:eastAsia="hr-HR"/>
              </w:rPr>
            </w:pPr>
            <w:r w:rsidRPr="001B4CA2">
              <w:rPr>
                <w:rFonts w:asciiTheme="minorHAnsi" w:hAnsiTheme="minorHAnsi" w:cstheme="minorHAnsi"/>
                <w:b/>
                <w:sz w:val="18"/>
                <w:szCs w:val="18"/>
                <w:lang w:eastAsia="hr-HR"/>
              </w:rPr>
              <w:t>Ukupno</w:t>
            </w:r>
          </w:p>
        </w:tc>
      </w:tr>
      <w:tr w:rsidR="0087715B" w:rsidRPr="001B4CA2" w14:paraId="0B81BE52" w14:textId="77777777" w:rsidTr="00540F85">
        <w:trPr>
          <w:trHeight w:val="397"/>
          <w:jc w:val="center"/>
        </w:trPr>
        <w:tc>
          <w:tcPr>
            <w:tcW w:w="886" w:type="pct"/>
            <w:shd w:val="clear" w:color="auto" w:fill="auto"/>
            <w:noWrap/>
            <w:vAlign w:val="center"/>
            <w:hideMark/>
          </w:tcPr>
          <w:p w14:paraId="57629A70"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2018.</w:t>
            </w:r>
          </w:p>
        </w:tc>
        <w:tc>
          <w:tcPr>
            <w:tcW w:w="1028" w:type="pct"/>
            <w:shd w:val="clear" w:color="auto" w:fill="auto"/>
            <w:noWrap/>
            <w:vAlign w:val="center"/>
          </w:tcPr>
          <w:p w14:paraId="7CCB9B1E" w14:textId="77777777" w:rsidR="0087715B" w:rsidRPr="001B4CA2" w:rsidRDefault="0087715B" w:rsidP="0087715B">
            <w:pPr>
              <w:jc w:val="center"/>
              <w:rPr>
                <w:rFonts w:eastAsia="Times New Roman"/>
                <w:bCs/>
                <w:color w:val="000000"/>
                <w:sz w:val="18"/>
                <w:szCs w:val="18"/>
                <w:lang w:eastAsia="hr-HR"/>
              </w:rPr>
            </w:pPr>
            <w:r w:rsidRPr="001B4CA2">
              <w:rPr>
                <w:rFonts w:eastAsia="Times New Roman"/>
                <w:bCs/>
                <w:color w:val="000000"/>
                <w:sz w:val="18"/>
                <w:szCs w:val="18"/>
                <w:lang w:eastAsia="hr-HR"/>
              </w:rPr>
              <w:t>7.672</w:t>
            </w:r>
          </w:p>
        </w:tc>
        <w:tc>
          <w:tcPr>
            <w:tcW w:w="1029" w:type="pct"/>
            <w:shd w:val="clear" w:color="auto" w:fill="auto"/>
            <w:noWrap/>
            <w:vAlign w:val="center"/>
          </w:tcPr>
          <w:p w14:paraId="2A0AC556" w14:textId="77777777" w:rsidR="0087715B" w:rsidRPr="001B4CA2" w:rsidRDefault="0087715B" w:rsidP="0087715B">
            <w:pPr>
              <w:jc w:val="center"/>
              <w:rPr>
                <w:rFonts w:eastAsia="Times New Roman"/>
                <w:bCs/>
                <w:color w:val="000000"/>
                <w:sz w:val="18"/>
                <w:szCs w:val="18"/>
                <w:lang w:eastAsia="hr-HR"/>
              </w:rPr>
            </w:pPr>
            <w:r w:rsidRPr="001B4CA2">
              <w:rPr>
                <w:rFonts w:eastAsia="Times New Roman"/>
                <w:bCs/>
                <w:color w:val="000000"/>
                <w:sz w:val="18"/>
                <w:szCs w:val="18"/>
                <w:lang w:eastAsia="hr-HR"/>
              </w:rPr>
              <w:t>406</w:t>
            </w:r>
          </w:p>
        </w:tc>
        <w:tc>
          <w:tcPr>
            <w:tcW w:w="1056" w:type="pct"/>
            <w:shd w:val="clear" w:color="auto" w:fill="auto"/>
            <w:noWrap/>
            <w:vAlign w:val="center"/>
          </w:tcPr>
          <w:p w14:paraId="7A413C65" w14:textId="77777777" w:rsidR="0087715B" w:rsidRPr="001B4CA2" w:rsidRDefault="0087715B" w:rsidP="0087715B">
            <w:pPr>
              <w:jc w:val="center"/>
              <w:rPr>
                <w:rFonts w:eastAsia="Times New Roman"/>
                <w:bCs/>
                <w:color w:val="000000"/>
                <w:sz w:val="18"/>
                <w:szCs w:val="18"/>
                <w:lang w:eastAsia="hr-HR"/>
              </w:rPr>
            </w:pPr>
            <w:r w:rsidRPr="001B4CA2">
              <w:rPr>
                <w:rFonts w:eastAsia="Times New Roman"/>
                <w:bCs/>
                <w:color w:val="000000"/>
                <w:sz w:val="18"/>
                <w:szCs w:val="18"/>
                <w:lang w:eastAsia="hr-HR"/>
              </w:rPr>
              <w:t>4.229</w:t>
            </w:r>
          </w:p>
        </w:tc>
        <w:tc>
          <w:tcPr>
            <w:tcW w:w="1001" w:type="pct"/>
            <w:shd w:val="clear" w:color="auto" w:fill="auto"/>
            <w:noWrap/>
            <w:vAlign w:val="center"/>
          </w:tcPr>
          <w:p w14:paraId="33B6EBD3" w14:textId="77777777" w:rsidR="0087715B" w:rsidRPr="001B4CA2" w:rsidRDefault="0087715B" w:rsidP="0087715B">
            <w:pPr>
              <w:jc w:val="center"/>
              <w:rPr>
                <w:rFonts w:eastAsia="Times New Roman"/>
                <w:b/>
                <w:bCs/>
                <w:color w:val="000000"/>
                <w:sz w:val="18"/>
                <w:szCs w:val="18"/>
                <w:lang w:eastAsia="hr-HR"/>
              </w:rPr>
            </w:pPr>
            <w:r w:rsidRPr="001B4CA2">
              <w:rPr>
                <w:rFonts w:eastAsia="Times New Roman"/>
                <w:b/>
                <w:bCs/>
                <w:color w:val="000000"/>
                <w:sz w:val="18"/>
                <w:szCs w:val="18"/>
                <w:lang w:eastAsia="hr-HR"/>
              </w:rPr>
              <w:t>12.307</w:t>
            </w:r>
          </w:p>
        </w:tc>
      </w:tr>
      <w:tr w:rsidR="0087715B" w:rsidRPr="001B4CA2" w14:paraId="1BD13FA8" w14:textId="77777777" w:rsidTr="00540F85">
        <w:trPr>
          <w:trHeight w:val="397"/>
          <w:jc w:val="center"/>
        </w:trPr>
        <w:tc>
          <w:tcPr>
            <w:tcW w:w="886" w:type="pct"/>
            <w:shd w:val="clear" w:color="auto" w:fill="auto"/>
            <w:noWrap/>
            <w:vAlign w:val="center"/>
          </w:tcPr>
          <w:p w14:paraId="0B6EF9E7"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2019.</w:t>
            </w:r>
          </w:p>
        </w:tc>
        <w:tc>
          <w:tcPr>
            <w:tcW w:w="1028" w:type="pct"/>
            <w:shd w:val="clear" w:color="auto" w:fill="auto"/>
            <w:noWrap/>
            <w:vAlign w:val="center"/>
          </w:tcPr>
          <w:p w14:paraId="3B75C98B" w14:textId="77777777" w:rsidR="0087715B" w:rsidRPr="001B4CA2" w:rsidRDefault="0087715B" w:rsidP="0087715B">
            <w:pPr>
              <w:jc w:val="center"/>
              <w:rPr>
                <w:rFonts w:eastAsia="Times New Roman"/>
                <w:bCs/>
                <w:color w:val="000000"/>
                <w:sz w:val="18"/>
                <w:szCs w:val="18"/>
                <w:lang w:eastAsia="hr-HR"/>
              </w:rPr>
            </w:pPr>
            <w:r w:rsidRPr="001B4CA2">
              <w:rPr>
                <w:rFonts w:eastAsia="Times New Roman"/>
                <w:bCs/>
                <w:color w:val="000000"/>
                <w:sz w:val="18"/>
                <w:szCs w:val="18"/>
                <w:lang w:eastAsia="hr-HR"/>
              </w:rPr>
              <w:t>6.474</w:t>
            </w:r>
          </w:p>
        </w:tc>
        <w:tc>
          <w:tcPr>
            <w:tcW w:w="1029" w:type="pct"/>
            <w:shd w:val="clear" w:color="auto" w:fill="auto"/>
            <w:noWrap/>
            <w:vAlign w:val="center"/>
          </w:tcPr>
          <w:p w14:paraId="30C19CEF" w14:textId="77777777" w:rsidR="0087715B" w:rsidRPr="001B4CA2" w:rsidRDefault="0087715B" w:rsidP="0087715B">
            <w:pPr>
              <w:jc w:val="center"/>
              <w:rPr>
                <w:rFonts w:eastAsia="Times New Roman"/>
                <w:bCs/>
                <w:color w:val="000000"/>
                <w:sz w:val="18"/>
                <w:szCs w:val="18"/>
                <w:lang w:eastAsia="hr-HR"/>
              </w:rPr>
            </w:pPr>
            <w:r w:rsidRPr="001B4CA2">
              <w:rPr>
                <w:rFonts w:eastAsia="Times New Roman"/>
                <w:bCs/>
                <w:color w:val="000000"/>
                <w:sz w:val="18"/>
                <w:szCs w:val="18"/>
                <w:lang w:eastAsia="hr-HR"/>
              </w:rPr>
              <w:t>207</w:t>
            </w:r>
          </w:p>
        </w:tc>
        <w:tc>
          <w:tcPr>
            <w:tcW w:w="1056" w:type="pct"/>
            <w:shd w:val="clear" w:color="auto" w:fill="auto"/>
            <w:noWrap/>
            <w:vAlign w:val="center"/>
          </w:tcPr>
          <w:p w14:paraId="0EAE4296" w14:textId="77777777" w:rsidR="0087715B" w:rsidRPr="001B4CA2" w:rsidRDefault="0087715B" w:rsidP="0087715B">
            <w:pPr>
              <w:jc w:val="center"/>
              <w:rPr>
                <w:rFonts w:eastAsia="Times New Roman"/>
                <w:bCs/>
                <w:color w:val="000000"/>
                <w:sz w:val="18"/>
                <w:szCs w:val="18"/>
                <w:lang w:eastAsia="hr-HR"/>
              </w:rPr>
            </w:pPr>
            <w:r w:rsidRPr="001B4CA2">
              <w:rPr>
                <w:rFonts w:eastAsia="Times New Roman"/>
                <w:bCs/>
                <w:color w:val="000000"/>
                <w:sz w:val="18"/>
                <w:szCs w:val="18"/>
                <w:lang w:eastAsia="hr-HR"/>
              </w:rPr>
              <w:t>3.922</w:t>
            </w:r>
          </w:p>
        </w:tc>
        <w:tc>
          <w:tcPr>
            <w:tcW w:w="1001" w:type="pct"/>
            <w:shd w:val="clear" w:color="auto" w:fill="auto"/>
            <w:noWrap/>
            <w:vAlign w:val="center"/>
          </w:tcPr>
          <w:p w14:paraId="4E3D2C17" w14:textId="77777777" w:rsidR="0087715B" w:rsidRPr="001B4CA2" w:rsidRDefault="0087715B" w:rsidP="0087715B">
            <w:pPr>
              <w:jc w:val="center"/>
              <w:rPr>
                <w:rFonts w:eastAsia="Times New Roman"/>
                <w:b/>
                <w:bCs/>
                <w:color w:val="000000"/>
                <w:sz w:val="18"/>
                <w:szCs w:val="18"/>
                <w:lang w:eastAsia="hr-HR"/>
              </w:rPr>
            </w:pPr>
            <w:r w:rsidRPr="001B4CA2">
              <w:rPr>
                <w:rFonts w:eastAsia="Times New Roman"/>
                <w:b/>
                <w:bCs/>
                <w:color w:val="000000"/>
                <w:sz w:val="18"/>
                <w:szCs w:val="18"/>
                <w:lang w:eastAsia="hr-HR"/>
              </w:rPr>
              <w:t>10.603</w:t>
            </w:r>
          </w:p>
        </w:tc>
      </w:tr>
      <w:tr w:rsidR="0087715B" w:rsidRPr="001B4CA2" w14:paraId="5534F74D" w14:textId="77777777" w:rsidTr="00540F85">
        <w:trPr>
          <w:trHeight w:val="397"/>
          <w:jc w:val="center"/>
        </w:trPr>
        <w:tc>
          <w:tcPr>
            <w:tcW w:w="886" w:type="pct"/>
            <w:shd w:val="clear" w:color="auto" w:fill="auto"/>
            <w:noWrap/>
            <w:vAlign w:val="center"/>
          </w:tcPr>
          <w:p w14:paraId="4583C694"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2020.</w:t>
            </w:r>
          </w:p>
        </w:tc>
        <w:tc>
          <w:tcPr>
            <w:tcW w:w="1028" w:type="pct"/>
            <w:shd w:val="clear" w:color="auto" w:fill="auto"/>
            <w:noWrap/>
            <w:vAlign w:val="center"/>
          </w:tcPr>
          <w:p w14:paraId="6B65FE98"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5.020</w:t>
            </w:r>
          </w:p>
        </w:tc>
        <w:tc>
          <w:tcPr>
            <w:tcW w:w="1029" w:type="pct"/>
            <w:shd w:val="clear" w:color="auto" w:fill="auto"/>
            <w:noWrap/>
            <w:vAlign w:val="center"/>
          </w:tcPr>
          <w:p w14:paraId="42E4FD76"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212</w:t>
            </w:r>
          </w:p>
        </w:tc>
        <w:tc>
          <w:tcPr>
            <w:tcW w:w="1056" w:type="pct"/>
            <w:shd w:val="clear" w:color="auto" w:fill="auto"/>
            <w:noWrap/>
            <w:vAlign w:val="center"/>
          </w:tcPr>
          <w:p w14:paraId="65DC759A"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4.084</w:t>
            </w:r>
          </w:p>
        </w:tc>
        <w:tc>
          <w:tcPr>
            <w:tcW w:w="1001" w:type="pct"/>
            <w:shd w:val="clear" w:color="auto" w:fill="auto"/>
            <w:noWrap/>
            <w:vAlign w:val="center"/>
          </w:tcPr>
          <w:p w14:paraId="559877B3" w14:textId="6EEE8A0A" w:rsidR="0087715B" w:rsidRPr="001B4CA2" w:rsidRDefault="001B4CA2" w:rsidP="0087715B">
            <w:pPr>
              <w:jc w:val="center"/>
              <w:rPr>
                <w:rFonts w:asciiTheme="minorHAnsi" w:hAnsiTheme="minorHAnsi" w:cstheme="minorHAnsi"/>
                <w:b/>
                <w:sz w:val="18"/>
                <w:szCs w:val="18"/>
                <w:lang w:eastAsia="hr-HR"/>
              </w:rPr>
            </w:pPr>
            <w:r>
              <w:rPr>
                <w:rFonts w:asciiTheme="minorHAnsi" w:hAnsiTheme="minorHAnsi" w:cstheme="minorHAnsi"/>
                <w:b/>
                <w:sz w:val="18"/>
                <w:szCs w:val="18"/>
                <w:lang w:eastAsia="hr-HR"/>
              </w:rPr>
              <w:t xml:space="preserve"> </w:t>
            </w:r>
            <w:r w:rsidR="0087715B" w:rsidRPr="001B4CA2">
              <w:rPr>
                <w:rFonts w:asciiTheme="minorHAnsi" w:hAnsiTheme="minorHAnsi" w:cstheme="minorHAnsi"/>
                <w:b/>
                <w:sz w:val="18"/>
                <w:szCs w:val="18"/>
                <w:lang w:eastAsia="hr-HR"/>
              </w:rPr>
              <w:t>9.316</w:t>
            </w:r>
          </w:p>
        </w:tc>
      </w:tr>
      <w:tr w:rsidR="0087715B" w:rsidRPr="001B4CA2" w14:paraId="66B70872" w14:textId="77777777" w:rsidTr="00540F85">
        <w:trPr>
          <w:trHeight w:val="397"/>
          <w:jc w:val="center"/>
        </w:trPr>
        <w:tc>
          <w:tcPr>
            <w:tcW w:w="886" w:type="pct"/>
            <w:shd w:val="clear" w:color="auto" w:fill="auto"/>
            <w:noWrap/>
            <w:vAlign w:val="center"/>
          </w:tcPr>
          <w:p w14:paraId="6C0026AD"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2021.</w:t>
            </w:r>
          </w:p>
        </w:tc>
        <w:tc>
          <w:tcPr>
            <w:tcW w:w="1028" w:type="pct"/>
            <w:shd w:val="clear" w:color="auto" w:fill="auto"/>
            <w:noWrap/>
            <w:vAlign w:val="center"/>
          </w:tcPr>
          <w:p w14:paraId="5CD8B5A7"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7.961</w:t>
            </w:r>
          </w:p>
        </w:tc>
        <w:tc>
          <w:tcPr>
            <w:tcW w:w="1029" w:type="pct"/>
            <w:shd w:val="clear" w:color="auto" w:fill="auto"/>
            <w:noWrap/>
            <w:vAlign w:val="center"/>
          </w:tcPr>
          <w:p w14:paraId="00BDBCC9"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183</w:t>
            </w:r>
          </w:p>
        </w:tc>
        <w:tc>
          <w:tcPr>
            <w:tcW w:w="1056" w:type="pct"/>
            <w:shd w:val="clear" w:color="auto" w:fill="auto"/>
            <w:noWrap/>
            <w:vAlign w:val="center"/>
          </w:tcPr>
          <w:p w14:paraId="0A001AD4"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4.419</w:t>
            </w:r>
          </w:p>
        </w:tc>
        <w:tc>
          <w:tcPr>
            <w:tcW w:w="1001" w:type="pct"/>
            <w:shd w:val="clear" w:color="auto" w:fill="auto"/>
            <w:noWrap/>
            <w:vAlign w:val="center"/>
          </w:tcPr>
          <w:p w14:paraId="4111E626" w14:textId="77777777" w:rsidR="0087715B" w:rsidRPr="001B4CA2" w:rsidRDefault="0087715B" w:rsidP="0087715B">
            <w:pPr>
              <w:jc w:val="center"/>
              <w:rPr>
                <w:rFonts w:asciiTheme="minorHAnsi" w:hAnsiTheme="minorHAnsi" w:cstheme="minorHAnsi"/>
                <w:b/>
                <w:sz w:val="18"/>
                <w:szCs w:val="18"/>
                <w:lang w:eastAsia="hr-HR"/>
              </w:rPr>
            </w:pPr>
            <w:r w:rsidRPr="001B4CA2">
              <w:rPr>
                <w:rFonts w:asciiTheme="minorHAnsi" w:hAnsiTheme="minorHAnsi" w:cstheme="minorHAnsi"/>
                <w:b/>
                <w:sz w:val="18"/>
                <w:szCs w:val="18"/>
                <w:lang w:eastAsia="hr-HR"/>
              </w:rPr>
              <w:t>12.563</w:t>
            </w:r>
          </w:p>
        </w:tc>
      </w:tr>
      <w:tr w:rsidR="0087715B" w:rsidRPr="001B4CA2" w14:paraId="4BF6349B" w14:textId="77777777" w:rsidTr="00540F85">
        <w:trPr>
          <w:trHeight w:val="397"/>
          <w:jc w:val="center"/>
        </w:trPr>
        <w:tc>
          <w:tcPr>
            <w:tcW w:w="886" w:type="pct"/>
            <w:shd w:val="clear" w:color="auto" w:fill="auto"/>
            <w:noWrap/>
            <w:vAlign w:val="center"/>
          </w:tcPr>
          <w:p w14:paraId="16CBEE42"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2022.</w:t>
            </w:r>
          </w:p>
        </w:tc>
        <w:tc>
          <w:tcPr>
            <w:tcW w:w="1028" w:type="pct"/>
            <w:shd w:val="clear" w:color="auto" w:fill="auto"/>
            <w:noWrap/>
            <w:vAlign w:val="center"/>
          </w:tcPr>
          <w:p w14:paraId="28802295"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7.581</w:t>
            </w:r>
          </w:p>
        </w:tc>
        <w:tc>
          <w:tcPr>
            <w:tcW w:w="1029" w:type="pct"/>
            <w:shd w:val="clear" w:color="auto" w:fill="auto"/>
            <w:noWrap/>
            <w:vAlign w:val="center"/>
          </w:tcPr>
          <w:p w14:paraId="56BB8857"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164</w:t>
            </w:r>
          </w:p>
        </w:tc>
        <w:tc>
          <w:tcPr>
            <w:tcW w:w="1056" w:type="pct"/>
            <w:shd w:val="clear" w:color="auto" w:fill="auto"/>
            <w:noWrap/>
            <w:vAlign w:val="center"/>
          </w:tcPr>
          <w:p w14:paraId="736A661E" w14:textId="77777777" w:rsidR="0087715B" w:rsidRPr="001B4CA2" w:rsidRDefault="0087715B" w:rsidP="0087715B">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4.309</w:t>
            </w:r>
          </w:p>
        </w:tc>
        <w:tc>
          <w:tcPr>
            <w:tcW w:w="1001" w:type="pct"/>
            <w:shd w:val="clear" w:color="auto" w:fill="auto"/>
            <w:noWrap/>
            <w:vAlign w:val="center"/>
          </w:tcPr>
          <w:p w14:paraId="53DC780C" w14:textId="77777777" w:rsidR="0087715B" w:rsidRPr="001B4CA2" w:rsidRDefault="0087715B" w:rsidP="0087715B">
            <w:pPr>
              <w:jc w:val="center"/>
              <w:rPr>
                <w:rFonts w:asciiTheme="minorHAnsi" w:hAnsiTheme="minorHAnsi" w:cstheme="minorHAnsi"/>
                <w:b/>
                <w:sz w:val="18"/>
                <w:szCs w:val="18"/>
                <w:lang w:eastAsia="hr-HR"/>
              </w:rPr>
            </w:pPr>
            <w:r w:rsidRPr="001B4CA2">
              <w:rPr>
                <w:rFonts w:asciiTheme="minorHAnsi" w:hAnsiTheme="minorHAnsi" w:cstheme="minorHAnsi"/>
                <w:b/>
                <w:sz w:val="18"/>
                <w:szCs w:val="18"/>
                <w:lang w:eastAsia="hr-HR"/>
              </w:rPr>
              <w:t>12.054</w:t>
            </w:r>
          </w:p>
        </w:tc>
      </w:tr>
    </w:tbl>
    <w:p w14:paraId="09EF17EA" w14:textId="77777777" w:rsidR="0087715B" w:rsidRPr="001B4CA2" w:rsidRDefault="0087715B" w:rsidP="0087715B"/>
    <w:p w14:paraId="7FD98260" w14:textId="5DB477E7" w:rsidR="00773E87" w:rsidRPr="001B4CA2" w:rsidRDefault="0087715B" w:rsidP="00773E87">
      <w:r w:rsidRPr="001B4CA2">
        <w:tab/>
      </w:r>
      <w:r w:rsidR="00773E87" w:rsidRPr="001B4CA2">
        <w:t xml:space="preserve">Iz ukupnih zbirnih </w:t>
      </w:r>
      <w:r w:rsidR="0047537B" w:rsidRPr="001B4CA2">
        <w:t>podataka</w:t>
      </w:r>
      <w:r w:rsidR="00773E87" w:rsidRPr="001B4CA2">
        <w:t xml:space="preserve"> svih županijskih državnih odvjetništava </w:t>
      </w:r>
      <w:r w:rsidR="00415A80">
        <w:t>razvidno</w:t>
      </w:r>
      <w:r w:rsidR="00773E87" w:rsidRPr="001B4CA2">
        <w:t xml:space="preserve"> je da je u izvještajnom razdoblju došlo do neznatnog smanjenja broja primljenih predmeta u odnosu na prošlogodišnje razdoblje (4,3</w:t>
      </w:r>
      <w:r w:rsidR="00415A80">
        <w:t> </w:t>
      </w:r>
      <w:r w:rsidR="00773E87" w:rsidRPr="001B4CA2">
        <w:t xml:space="preserve">%). Promatrajući kretanje broja primljenih predmeta u petogodišnjem razdoblju može se zaključiti da je nakon razdoblja osjetnog pada broja predmeta u vrijeme posebnih </w:t>
      </w:r>
      <w:r w:rsidR="0047537B" w:rsidRPr="001B4CA2">
        <w:t>okolnosti</w:t>
      </w:r>
      <w:r w:rsidR="00773E87" w:rsidRPr="001B4CA2">
        <w:t xml:space="preserve"> uzrokovanih pandemijom, a čemu je pridonijela i zakonska regulativa koja je odgodila mogućnost pokretanja ovršnih i stečajnih predmeta u razdoblju 2020. godine, broj predmeta u 2022. godini premašio broj predmeta iz razdoblja prije pandemije i gotovo doseg</w:t>
      </w:r>
      <w:r w:rsidR="00415A80">
        <w:t>nu</w:t>
      </w:r>
      <w:r w:rsidR="00773E87" w:rsidRPr="001B4CA2">
        <w:t xml:space="preserve">o broj iz 2018. godine.  </w:t>
      </w:r>
    </w:p>
    <w:p w14:paraId="566BA9F7" w14:textId="77777777" w:rsidR="00773E87" w:rsidRPr="001B4CA2" w:rsidRDefault="00773E87" w:rsidP="00773E87"/>
    <w:p w14:paraId="7B6443C4" w14:textId="3B30343F" w:rsidR="00773E87" w:rsidRPr="001B4CA2" w:rsidRDefault="001B4CA2" w:rsidP="00773E87">
      <w:r>
        <w:tab/>
      </w:r>
      <w:r w:rsidR="00773E87" w:rsidRPr="001B4CA2">
        <w:t>Analizirajuć</w:t>
      </w:r>
      <w:r w:rsidR="0047537B" w:rsidRPr="001B4CA2">
        <w:t>i</w:t>
      </w:r>
      <w:r w:rsidR="00773E87" w:rsidRPr="001B4CA2">
        <w:t xml:space="preserve"> strukturu </w:t>
      </w:r>
      <w:proofErr w:type="spellStart"/>
      <w:r w:rsidR="00773E87" w:rsidRPr="001B4CA2">
        <w:t>novozaprimljenih</w:t>
      </w:r>
      <w:proofErr w:type="spellEnd"/>
      <w:r w:rsidR="00773E87" w:rsidRPr="001B4CA2">
        <w:t xml:space="preserve"> predmeta treba ista</w:t>
      </w:r>
      <w:r w:rsidR="00415A80">
        <w:t>knut</w:t>
      </w:r>
      <w:r w:rsidR="00773E87" w:rsidRPr="001B4CA2">
        <w:t>i da su sudski predmeti činili 62,89</w:t>
      </w:r>
      <w:r w:rsidR="00415A80">
        <w:t> </w:t>
      </w:r>
      <w:r w:rsidR="00773E87" w:rsidRPr="001B4CA2">
        <w:t>% od ukupnog broja zaprimljenih predmeta iako je broj primljenih sudskih predmeta bio nešto manji nego u prethodnom razdoblju (4,8</w:t>
      </w:r>
      <w:r w:rsidR="00415A80">
        <w:t> </w:t>
      </w:r>
      <w:r w:rsidR="00773E87" w:rsidRPr="001B4CA2">
        <w:t xml:space="preserve">%). </w:t>
      </w:r>
      <w:proofErr w:type="spellStart"/>
      <w:r w:rsidR="00773E87" w:rsidRPr="001B4CA2">
        <w:t>Državnoodvjetnički</w:t>
      </w:r>
      <w:proofErr w:type="spellEnd"/>
      <w:r w:rsidR="00773E87" w:rsidRPr="001B4CA2">
        <w:t xml:space="preserve"> predmeti činili su 35,74</w:t>
      </w:r>
      <w:r w:rsidR="00415A80">
        <w:t> </w:t>
      </w:r>
      <w:r w:rsidR="00773E87" w:rsidRPr="001B4CA2">
        <w:t xml:space="preserve">% od ukupnog broja zaprimljenih predmeta. Iz navedenih podataka proizlazi da </w:t>
      </w:r>
      <w:r w:rsidR="0047537B" w:rsidRPr="001B4CA2">
        <w:t>struktura</w:t>
      </w:r>
      <w:r w:rsidR="00773E87" w:rsidRPr="001B4CA2">
        <w:t xml:space="preserve"> </w:t>
      </w:r>
      <w:r w:rsidR="00415A80">
        <w:t>za</w:t>
      </w:r>
      <w:r w:rsidR="00773E87" w:rsidRPr="001B4CA2">
        <w:t>primljenih predmeta prati trendove ranijih razdoblja.</w:t>
      </w:r>
    </w:p>
    <w:p w14:paraId="5088AAA4" w14:textId="77777777" w:rsidR="00773E87" w:rsidRPr="001B4CA2" w:rsidRDefault="00773E87" w:rsidP="00773E87"/>
    <w:p w14:paraId="260739E9" w14:textId="5A1654C0" w:rsidR="00773E87" w:rsidRPr="001B4CA2" w:rsidRDefault="00773E87" w:rsidP="00773E87">
      <w:r w:rsidRPr="001B4CA2">
        <w:tab/>
        <w:t>Upravni predmeti bilježe daljnji pad. Broj ovih predmeta smanjen je za 11</w:t>
      </w:r>
      <w:r w:rsidR="00415A80">
        <w:t> </w:t>
      </w:r>
      <w:r w:rsidRPr="001B4CA2">
        <w:t>% u odnosu na 2021. godinu.</w:t>
      </w:r>
      <w:r w:rsidR="001B4CA2">
        <w:t xml:space="preserve"> </w:t>
      </w:r>
      <w:r w:rsidRPr="001B4CA2">
        <w:t>No, potrebno je istaknuti da osim kod regulative iz posebnih propisa (pomorsko dobro, šume i šumska zemljiš</w:t>
      </w:r>
      <w:r w:rsidR="0047537B" w:rsidRPr="001B4CA2">
        <w:t>t</w:t>
      </w:r>
      <w:r w:rsidRPr="001B4CA2">
        <w:t>a) županijska državna odvjetništva niti ne zastupa</w:t>
      </w:r>
      <w:r w:rsidR="00415A80">
        <w:t>j</w:t>
      </w:r>
      <w:r w:rsidRPr="001B4CA2">
        <w:t>u u postupcima pred upravnim tijelima već je to zastupanje u nadležnosti općinskih državnih odvjetništava.</w:t>
      </w:r>
    </w:p>
    <w:p w14:paraId="7E455B6F" w14:textId="77777777" w:rsidR="00773E87" w:rsidRPr="001B4CA2" w:rsidRDefault="00773E87" w:rsidP="00773E87"/>
    <w:p w14:paraId="45D1AF94" w14:textId="16C1B594" w:rsidR="00773E87" w:rsidRPr="001B4CA2" w:rsidRDefault="00773E87" w:rsidP="00773E87">
      <w:r w:rsidRPr="001B4CA2">
        <w:tab/>
        <w:t xml:space="preserve">Potrebno je istaknuti da je u pojedinim državnim odvjetništvima županijske razine došlo do osjetnog povećanja pojedine vrste </w:t>
      </w:r>
      <w:r w:rsidR="00415A80">
        <w:t>za</w:t>
      </w:r>
      <w:r w:rsidRPr="001B4CA2">
        <w:t>primljenih predmeta koja odstupaju od zbirnog prosjeka i pokazatelja. Radi se o županijskim državnim odvjetništvima koja zastupaju pred Trgovačkim sudom u Zagrebu i stalnom službom toga suda. Ova odvjetništva bilježe osjetno povećanje broja sudskih predmeta (povećanje proja primljenih predmeta i preko 20</w:t>
      </w:r>
      <w:r w:rsidR="00415A80">
        <w:t> </w:t>
      </w:r>
      <w:r w:rsidRPr="001B4CA2">
        <w:t xml:space="preserve">%). Također, državna odvjetništva na čijem području leže nekretnine poljoprivrednog zemljišta te su ta odvjetništva nadležna za postupanje u </w:t>
      </w:r>
      <w:proofErr w:type="spellStart"/>
      <w:r w:rsidRPr="001B4CA2">
        <w:t>državnoodvjetničkim</w:t>
      </w:r>
      <w:proofErr w:type="spellEnd"/>
      <w:r w:rsidRPr="001B4CA2">
        <w:t xml:space="preserve"> predmetima davanja mišljenja o pravnoj valjanosti ugovora o raspolaganju poljoprivrednim zemljištem bilježe osjetno povećanje broja tih predmeta (povećanje i</w:t>
      </w:r>
      <w:r w:rsidR="001B4CA2">
        <w:t xml:space="preserve"> </w:t>
      </w:r>
      <w:r w:rsidRPr="001B4CA2">
        <w:t>preko 100</w:t>
      </w:r>
      <w:r w:rsidR="00415A80">
        <w:t> </w:t>
      </w:r>
      <w:r w:rsidRPr="001B4CA2">
        <w:t xml:space="preserve">%). Naime, tijekom 2022. godine </w:t>
      </w:r>
      <w:r w:rsidR="00415A80">
        <w:t>napokon</w:t>
      </w:r>
      <w:r w:rsidRPr="001B4CA2">
        <w:t xml:space="preserve"> su jedinice lokalne samouprave sukladno svojoj zakonskoj obvezi počele s raspolaganjem nekretninama poljoprivrednog zemljišta.</w:t>
      </w:r>
    </w:p>
    <w:p w14:paraId="18499D28" w14:textId="77777777" w:rsidR="00773E87" w:rsidRPr="001B4CA2" w:rsidRDefault="00773E87" w:rsidP="00773E87"/>
    <w:p w14:paraId="5B1EB995" w14:textId="205FB98C" w:rsidR="00773E87" w:rsidRPr="001B4CA2" w:rsidRDefault="00773E87" w:rsidP="00773E87">
      <w:r w:rsidRPr="001B4CA2">
        <w:tab/>
        <w:t xml:space="preserve">Ističe se da je došlo do osjetnog smanjenja broja predmeta kod županijskog državnog odvjetništva koje zastupa pred Upravnim sudom u Splitu i koje je u prethodnom razdoblju zaprimilo iznimno velik broj sudskih predmeta, upravnih sporova pokrenutih od strane fizičkih osoba u predmetima oglašavanja ništavim rješenja javnopravnog tijela o stjecanju statusa ratnog vojnog invalida iz Domovinskog rata. U ovom razdoblju evidentno je smanjenje broja </w:t>
      </w:r>
      <w:proofErr w:type="spellStart"/>
      <w:r w:rsidRPr="001B4CA2">
        <w:t>novozaprimljenih</w:t>
      </w:r>
      <w:proofErr w:type="spellEnd"/>
      <w:r w:rsidRPr="001B4CA2">
        <w:t xml:space="preserve"> predmeta te vrste predmeta jer je glavnina sporova u zakonom propisanom roku pokrenuta tijekom ranijeg razdoblja</w:t>
      </w:r>
      <w:r w:rsidR="0047537B" w:rsidRPr="001B4CA2">
        <w:t xml:space="preserve"> </w:t>
      </w:r>
      <w:r w:rsidRPr="001B4CA2">
        <w:t>te su u tijeku sudski postupci (smanjenje preko 40</w:t>
      </w:r>
      <w:r w:rsidR="00415A80">
        <w:t> </w:t>
      </w:r>
      <w:r w:rsidRPr="001B4CA2">
        <w:t>%).</w:t>
      </w:r>
    </w:p>
    <w:p w14:paraId="0E2A6899" w14:textId="6FEB0A3F" w:rsidR="00E07660" w:rsidRPr="001B4CA2" w:rsidRDefault="00E07660" w:rsidP="00773E87"/>
    <w:p w14:paraId="0620103A" w14:textId="171B3034" w:rsidR="0020162B" w:rsidRPr="001B4CA2" w:rsidRDefault="0020162B" w:rsidP="00773E87"/>
    <w:p w14:paraId="0914F809" w14:textId="77777777" w:rsidR="0020162B" w:rsidRPr="001B4CA2" w:rsidRDefault="0020162B" w:rsidP="00773E87"/>
    <w:p w14:paraId="580AA9D0" w14:textId="0A239A3F" w:rsidR="00E07660" w:rsidRPr="001B4CA2" w:rsidRDefault="00D57807" w:rsidP="00D57807">
      <w:pPr>
        <w:ind w:left="142" w:hanging="142"/>
        <w:jc w:val="left"/>
        <w:rPr>
          <w:rFonts w:asciiTheme="minorHAnsi" w:hAnsiTheme="minorHAnsi" w:cstheme="minorBidi"/>
          <w:i/>
          <w:szCs w:val="22"/>
        </w:rPr>
      </w:pPr>
      <w:r>
        <w:rPr>
          <w:rFonts w:asciiTheme="minorHAnsi" w:hAnsiTheme="minorHAnsi" w:cstheme="minorBidi"/>
          <w:i/>
          <w:szCs w:val="22"/>
        </w:rPr>
        <w:lastRenderedPageBreak/>
        <w:t xml:space="preserve">  </w:t>
      </w:r>
      <w:r w:rsidR="00FA50FE" w:rsidRPr="001B4CA2">
        <w:rPr>
          <w:rFonts w:asciiTheme="minorHAnsi" w:hAnsiTheme="minorHAnsi" w:cstheme="minorBidi"/>
          <w:i/>
          <w:szCs w:val="22"/>
        </w:rPr>
        <w:t xml:space="preserve">b) </w:t>
      </w:r>
      <w:r w:rsidR="00E07660" w:rsidRPr="001B4CA2">
        <w:rPr>
          <w:rFonts w:asciiTheme="minorHAnsi" w:hAnsiTheme="minorHAnsi" w:cstheme="minorBidi"/>
          <w:i/>
          <w:szCs w:val="22"/>
        </w:rPr>
        <w:t xml:space="preserve">Kretanje i struktura zahtjeva u novim predmetima u odnosu na vrstu zastupanja </w:t>
      </w:r>
      <w:r>
        <w:rPr>
          <w:rFonts w:asciiTheme="minorHAnsi" w:hAnsiTheme="minorHAnsi" w:cstheme="minorBidi"/>
          <w:i/>
          <w:szCs w:val="22"/>
        </w:rPr>
        <w:t xml:space="preserve"> </w:t>
      </w:r>
      <w:r w:rsidR="00E07660" w:rsidRPr="001B4CA2">
        <w:rPr>
          <w:rFonts w:asciiTheme="minorHAnsi" w:hAnsiTheme="minorHAnsi" w:cstheme="minorBidi"/>
          <w:i/>
          <w:szCs w:val="22"/>
        </w:rPr>
        <w:t>2018. – 2022.</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800"/>
        <w:gridCol w:w="759"/>
        <w:gridCol w:w="850"/>
        <w:gridCol w:w="709"/>
        <w:gridCol w:w="851"/>
        <w:gridCol w:w="1134"/>
        <w:gridCol w:w="850"/>
        <w:gridCol w:w="992"/>
        <w:gridCol w:w="842"/>
      </w:tblGrid>
      <w:tr w:rsidR="00E07660" w:rsidRPr="001B4CA2" w14:paraId="512D53EE" w14:textId="77777777" w:rsidTr="00540F85">
        <w:trPr>
          <w:trHeight w:val="668"/>
          <w:jc w:val="center"/>
        </w:trPr>
        <w:tc>
          <w:tcPr>
            <w:tcW w:w="1098" w:type="dxa"/>
            <w:vMerge w:val="restart"/>
            <w:shd w:val="clear" w:color="000000" w:fill="99CCFF"/>
            <w:noWrap/>
            <w:vAlign w:val="center"/>
            <w:hideMark/>
          </w:tcPr>
          <w:p w14:paraId="2C21647C"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Vrste predmeta</w:t>
            </w:r>
          </w:p>
        </w:tc>
        <w:tc>
          <w:tcPr>
            <w:tcW w:w="1559" w:type="dxa"/>
            <w:gridSpan w:val="2"/>
            <w:shd w:val="clear" w:color="000000" w:fill="99CCFF"/>
            <w:vAlign w:val="center"/>
            <w:hideMark/>
          </w:tcPr>
          <w:p w14:paraId="1818AD4F"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Sudski</w:t>
            </w:r>
            <w:r w:rsidRPr="001B4CA2">
              <w:rPr>
                <w:rFonts w:asciiTheme="minorHAnsi" w:eastAsia="Times New Roman" w:hAnsiTheme="minorHAnsi" w:cstheme="minorHAnsi"/>
                <w:color w:val="000000"/>
                <w:sz w:val="18"/>
                <w:szCs w:val="18"/>
                <w:lang w:eastAsia="hr-HR"/>
              </w:rPr>
              <w:t xml:space="preserve"> </w:t>
            </w:r>
            <w:r w:rsidRPr="001B4CA2">
              <w:rPr>
                <w:rFonts w:asciiTheme="minorHAnsi" w:eastAsia="Times New Roman" w:hAnsiTheme="minorHAnsi" w:cstheme="minorHAnsi"/>
                <w:b/>
                <w:bCs/>
                <w:color w:val="000000"/>
                <w:sz w:val="18"/>
                <w:szCs w:val="18"/>
                <w:lang w:eastAsia="hr-HR"/>
              </w:rPr>
              <w:t>predmeti</w:t>
            </w:r>
          </w:p>
        </w:tc>
        <w:tc>
          <w:tcPr>
            <w:tcW w:w="1559" w:type="dxa"/>
            <w:gridSpan w:val="2"/>
            <w:shd w:val="clear" w:color="000000" w:fill="99CCFF"/>
            <w:vAlign w:val="center"/>
            <w:hideMark/>
          </w:tcPr>
          <w:p w14:paraId="05BD7563"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Upravni</w:t>
            </w:r>
            <w:r w:rsidRPr="001B4CA2">
              <w:rPr>
                <w:rFonts w:asciiTheme="minorHAnsi" w:eastAsia="Times New Roman" w:hAnsiTheme="minorHAnsi" w:cstheme="minorHAnsi"/>
                <w:color w:val="000000"/>
                <w:sz w:val="18"/>
                <w:szCs w:val="18"/>
                <w:lang w:eastAsia="hr-HR"/>
              </w:rPr>
              <w:t xml:space="preserve"> </w:t>
            </w:r>
            <w:r w:rsidRPr="001B4CA2">
              <w:rPr>
                <w:rFonts w:asciiTheme="minorHAnsi" w:eastAsia="Times New Roman" w:hAnsiTheme="minorHAnsi" w:cstheme="minorHAnsi"/>
                <w:b/>
                <w:bCs/>
                <w:color w:val="000000"/>
                <w:sz w:val="18"/>
                <w:szCs w:val="18"/>
                <w:lang w:eastAsia="hr-HR"/>
              </w:rPr>
              <w:t>predmeti</w:t>
            </w:r>
          </w:p>
        </w:tc>
        <w:tc>
          <w:tcPr>
            <w:tcW w:w="1985" w:type="dxa"/>
            <w:gridSpan w:val="2"/>
            <w:shd w:val="clear" w:color="000000" w:fill="99CCFF"/>
            <w:noWrap/>
            <w:vAlign w:val="center"/>
            <w:hideMark/>
          </w:tcPr>
          <w:p w14:paraId="504D0798"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proofErr w:type="spellStart"/>
            <w:r w:rsidRPr="001B4CA2">
              <w:rPr>
                <w:rFonts w:asciiTheme="minorHAnsi" w:eastAsia="Times New Roman" w:hAnsiTheme="minorHAnsi" w:cstheme="minorHAnsi"/>
                <w:b/>
                <w:bCs/>
                <w:color w:val="000000"/>
                <w:sz w:val="18"/>
                <w:szCs w:val="18"/>
                <w:lang w:eastAsia="hr-HR"/>
              </w:rPr>
              <w:t>Državnoodvjetnički</w:t>
            </w:r>
            <w:proofErr w:type="spellEnd"/>
            <w:r w:rsidRPr="001B4CA2">
              <w:rPr>
                <w:rFonts w:asciiTheme="minorHAnsi" w:eastAsia="Times New Roman" w:hAnsiTheme="minorHAnsi" w:cstheme="minorHAnsi"/>
                <w:b/>
                <w:bCs/>
                <w:color w:val="000000"/>
                <w:sz w:val="18"/>
                <w:szCs w:val="18"/>
                <w:lang w:eastAsia="hr-HR"/>
              </w:rPr>
              <w:t xml:space="preserve"> </w:t>
            </w:r>
          </w:p>
          <w:p w14:paraId="362927A3"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predmeti</w:t>
            </w:r>
          </w:p>
        </w:tc>
        <w:tc>
          <w:tcPr>
            <w:tcW w:w="2684" w:type="dxa"/>
            <w:gridSpan w:val="3"/>
            <w:vMerge w:val="restart"/>
            <w:shd w:val="clear" w:color="000000" w:fill="99CCFF"/>
            <w:noWrap/>
            <w:vAlign w:val="center"/>
            <w:hideMark/>
          </w:tcPr>
          <w:p w14:paraId="63E274C0"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Ukupno</w:t>
            </w:r>
          </w:p>
          <w:p w14:paraId="01A5D01B" w14:textId="141AE327" w:rsidR="00E07660" w:rsidRPr="001B4CA2" w:rsidRDefault="001B4CA2" w:rsidP="00E07660">
            <w:pPr>
              <w:jc w:val="center"/>
              <w:rPr>
                <w:rFonts w:asciiTheme="minorHAnsi" w:eastAsia="Times New Roman" w:hAnsiTheme="minorHAnsi" w:cstheme="minorHAnsi"/>
                <w:b/>
                <w:bCs/>
                <w:color w:val="000000"/>
                <w:sz w:val="18"/>
                <w:szCs w:val="18"/>
                <w:lang w:eastAsia="hr-HR"/>
              </w:rPr>
            </w:pPr>
            <w:r>
              <w:rPr>
                <w:rFonts w:asciiTheme="minorHAnsi" w:eastAsia="Times New Roman" w:hAnsiTheme="minorHAnsi" w:cstheme="minorHAnsi"/>
                <w:b/>
                <w:bCs/>
                <w:color w:val="000000"/>
                <w:sz w:val="18"/>
                <w:szCs w:val="18"/>
                <w:lang w:eastAsia="hr-HR"/>
              </w:rPr>
              <w:t xml:space="preserve"> </w:t>
            </w:r>
            <w:r w:rsidR="00E07660" w:rsidRPr="001B4CA2">
              <w:rPr>
                <w:rFonts w:asciiTheme="minorHAnsi" w:eastAsia="Times New Roman" w:hAnsiTheme="minorHAnsi" w:cstheme="minorHAnsi"/>
                <w:b/>
                <w:bCs/>
                <w:color w:val="000000"/>
                <w:sz w:val="18"/>
                <w:szCs w:val="18"/>
                <w:lang w:eastAsia="hr-HR"/>
              </w:rPr>
              <w:t>zastupanje po</w:t>
            </w:r>
          </w:p>
        </w:tc>
      </w:tr>
      <w:tr w:rsidR="00E07660" w:rsidRPr="001B4CA2" w14:paraId="0BBF5769" w14:textId="77777777" w:rsidTr="00540F85">
        <w:trPr>
          <w:trHeight w:val="474"/>
          <w:jc w:val="center"/>
        </w:trPr>
        <w:tc>
          <w:tcPr>
            <w:tcW w:w="1098" w:type="dxa"/>
            <w:vMerge/>
            <w:shd w:val="clear" w:color="000000" w:fill="99CCFF"/>
            <w:vAlign w:val="center"/>
            <w:hideMark/>
          </w:tcPr>
          <w:p w14:paraId="52F9AD2C" w14:textId="77777777" w:rsidR="00E07660" w:rsidRPr="001B4CA2" w:rsidRDefault="00E07660" w:rsidP="00E07660">
            <w:pPr>
              <w:jc w:val="left"/>
              <w:rPr>
                <w:rFonts w:asciiTheme="minorHAnsi" w:eastAsia="Times New Roman" w:hAnsiTheme="minorHAnsi" w:cstheme="minorHAnsi"/>
                <w:b/>
                <w:bCs/>
                <w:color w:val="000000"/>
                <w:sz w:val="18"/>
                <w:szCs w:val="18"/>
                <w:lang w:eastAsia="hr-HR"/>
              </w:rPr>
            </w:pPr>
          </w:p>
        </w:tc>
        <w:tc>
          <w:tcPr>
            <w:tcW w:w="1559" w:type="dxa"/>
            <w:gridSpan w:val="2"/>
            <w:shd w:val="clear" w:color="000000" w:fill="99CCFF"/>
            <w:vAlign w:val="center"/>
            <w:hideMark/>
          </w:tcPr>
          <w:p w14:paraId="4F7562E0"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Zastupanje po</w:t>
            </w:r>
          </w:p>
        </w:tc>
        <w:tc>
          <w:tcPr>
            <w:tcW w:w="1559" w:type="dxa"/>
            <w:gridSpan w:val="2"/>
            <w:shd w:val="clear" w:color="000000" w:fill="99CCFF"/>
            <w:vAlign w:val="center"/>
            <w:hideMark/>
          </w:tcPr>
          <w:p w14:paraId="655F08CF"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Zastupanje po</w:t>
            </w:r>
          </w:p>
        </w:tc>
        <w:tc>
          <w:tcPr>
            <w:tcW w:w="1985" w:type="dxa"/>
            <w:gridSpan w:val="2"/>
            <w:shd w:val="clear" w:color="000000" w:fill="99CCFF"/>
            <w:noWrap/>
            <w:vAlign w:val="center"/>
            <w:hideMark/>
          </w:tcPr>
          <w:p w14:paraId="09E1DA73"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Zastupanje po</w:t>
            </w:r>
          </w:p>
        </w:tc>
        <w:tc>
          <w:tcPr>
            <w:tcW w:w="2684" w:type="dxa"/>
            <w:gridSpan w:val="3"/>
            <w:vMerge/>
            <w:vAlign w:val="center"/>
            <w:hideMark/>
          </w:tcPr>
          <w:p w14:paraId="38861ACF" w14:textId="77777777" w:rsidR="00E07660" w:rsidRPr="001B4CA2" w:rsidRDefault="00E07660" w:rsidP="00E07660">
            <w:pPr>
              <w:jc w:val="left"/>
              <w:rPr>
                <w:rFonts w:asciiTheme="minorHAnsi" w:eastAsia="Times New Roman" w:hAnsiTheme="minorHAnsi" w:cstheme="minorHAnsi"/>
                <w:b/>
                <w:bCs/>
                <w:color w:val="000000"/>
                <w:sz w:val="18"/>
                <w:szCs w:val="18"/>
                <w:lang w:eastAsia="hr-HR"/>
              </w:rPr>
            </w:pPr>
          </w:p>
        </w:tc>
      </w:tr>
      <w:tr w:rsidR="00E07660" w:rsidRPr="001B4CA2" w14:paraId="63002ABE" w14:textId="77777777" w:rsidTr="00540F85">
        <w:trPr>
          <w:trHeight w:val="1096"/>
          <w:jc w:val="center"/>
        </w:trPr>
        <w:tc>
          <w:tcPr>
            <w:tcW w:w="1098" w:type="dxa"/>
            <w:shd w:val="clear" w:color="000000" w:fill="99CCFF"/>
            <w:vAlign w:val="center"/>
            <w:hideMark/>
          </w:tcPr>
          <w:p w14:paraId="46891350"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hAnsiTheme="minorHAnsi" w:cstheme="minorHAnsi"/>
                <w:b/>
                <w:sz w:val="18"/>
                <w:szCs w:val="18"/>
                <w:lang w:eastAsia="hr-HR"/>
              </w:rPr>
              <w:t>Godina</w:t>
            </w:r>
          </w:p>
        </w:tc>
        <w:tc>
          <w:tcPr>
            <w:tcW w:w="800" w:type="dxa"/>
            <w:shd w:val="clear" w:color="000000" w:fill="99CCFF"/>
            <w:noWrap/>
            <w:textDirection w:val="btLr"/>
            <w:vAlign w:val="center"/>
            <w:hideMark/>
          </w:tcPr>
          <w:p w14:paraId="13B6B86F" w14:textId="77777777" w:rsidR="00E07660" w:rsidRPr="001B4CA2" w:rsidRDefault="00E07660" w:rsidP="00E07660">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zakonu</w:t>
            </w:r>
          </w:p>
        </w:tc>
        <w:tc>
          <w:tcPr>
            <w:tcW w:w="759" w:type="dxa"/>
            <w:shd w:val="clear" w:color="000000" w:fill="99CCFF"/>
            <w:textDirection w:val="btLr"/>
            <w:vAlign w:val="center"/>
            <w:hideMark/>
          </w:tcPr>
          <w:p w14:paraId="63CE4207" w14:textId="77777777" w:rsidR="00E07660" w:rsidRPr="001B4CA2" w:rsidRDefault="00E07660" w:rsidP="00E07660">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punomoći</w:t>
            </w:r>
          </w:p>
        </w:tc>
        <w:tc>
          <w:tcPr>
            <w:tcW w:w="850" w:type="dxa"/>
            <w:shd w:val="clear" w:color="000000" w:fill="99CCFF"/>
            <w:noWrap/>
            <w:textDirection w:val="btLr"/>
            <w:vAlign w:val="center"/>
            <w:hideMark/>
          </w:tcPr>
          <w:p w14:paraId="7AC80039" w14:textId="77777777" w:rsidR="00E07660" w:rsidRPr="001B4CA2" w:rsidRDefault="00E07660" w:rsidP="00E07660">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zakonu</w:t>
            </w:r>
          </w:p>
        </w:tc>
        <w:tc>
          <w:tcPr>
            <w:tcW w:w="709" w:type="dxa"/>
            <w:shd w:val="clear" w:color="000000" w:fill="99CCFF"/>
            <w:textDirection w:val="btLr"/>
            <w:vAlign w:val="center"/>
            <w:hideMark/>
          </w:tcPr>
          <w:p w14:paraId="65BD8A4F" w14:textId="77777777" w:rsidR="00E07660" w:rsidRPr="001B4CA2" w:rsidRDefault="00E07660" w:rsidP="00E07660">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punomoći</w:t>
            </w:r>
          </w:p>
        </w:tc>
        <w:tc>
          <w:tcPr>
            <w:tcW w:w="851" w:type="dxa"/>
            <w:shd w:val="clear" w:color="000000" w:fill="99CCFF"/>
            <w:noWrap/>
            <w:textDirection w:val="btLr"/>
            <w:vAlign w:val="center"/>
            <w:hideMark/>
          </w:tcPr>
          <w:p w14:paraId="336FDF6D" w14:textId="77777777" w:rsidR="00E07660" w:rsidRPr="001B4CA2" w:rsidRDefault="00E07660" w:rsidP="00E07660">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zakonu</w:t>
            </w:r>
          </w:p>
        </w:tc>
        <w:tc>
          <w:tcPr>
            <w:tcW w:w="1134" w:type="dxa"/>
            <w:shd w:val="clear" w:color="000000" w:fill="99CCFF"/>
            <w:noWrap/>
            <w:textDirection w:val="btLr"/>
            <w:vAlign w:val="center"/>
            <w:hideMark/>
          </w:tcPr>
          <w:p w14:paraId="65DB338F" w14:textId="77777777" w:rsidR="00E07660" w:rsidRPr="001B4CA2" w:rsidRDefault="00E07660" w:rsidP="00E07660">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punomoći</w:t>
            </w:r>
          </w:p>
        </w:tc>
        <w:tc>
          <w:tcPr>
            <w:tcW w:w="850" w:type="dxa"/>
            <w:shd w:val="clear" w:color="000000" w:fill="99CCFF"/>
            <w:noWrap/>
            <w:textDirection w:val="btLr"/>
            <w:vAlign w:val="center"/>
            <w:hideMark/>
          </w:tcPr>
          <w:p w14:paraId="2555E26C" w14:textId="77777777" w:rsidR="00E07660" w:rsidRPr="001B4CA2" w:rsidRDefault="00E07660" w:rsidP="00E07660">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 xml:space="preserve"> zakonu </w:t>
            </w:r>
          </w:p>
        </w:tc>
        <w:tc>
          <w:tcPr>
            <w:tcW w:w="992" w:type="dxa"/>
            <w:shd w:val="clear" w:color="000000" w:fill="99CCFF"/>
            <w:noWrap/>
            <w:textDirection w:val="btLr"/>
            <w:vAlign w:val="center"/>
            <w:hideMark/>
          </w:tcPr>
          <w:p w14:paraId="6ADC0B2B" w14:textId="77777777" w:rsidR="00E07660" w:rsidRPr="001B4CA2" w:rsidRDefault="00E07660" w:rsidP="00E07660">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punomoći</w:t>
            </w:r>
          </w:p>
        </w:tc>
        <w:tc>
          <w:tcPr>
            <w:tcW w:w="842" w:type="dxa"/>
            <w:shd w:val="clear" w:color="000000" w:fill="99CCFF"/>
            <w:textDirection w:val="btLr"/>
            <w:vAlign w:val="center"/>
            <w:hideMark/>
          </w:tcPr>
          <w:p w14:paraId="16A56AD5" w14:textId="77777777" w:rsidR="00E07660" w:rsidRPr="001B4CA2" w:rsidRDefault="00E07660" w:rsidP="00E07660">
            <w:pPr>
              <w:jc w:val="left"/>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sveukupno</w:t>
            </w:r>
          </w:p>
        </w:tc>
      </w:tr>
      <w:tr w:rsidR="00E07660" w:rsidRPr="001B4CA2" w14:paraId="62CC382D" w14:textId="77777777" w:rsidTr="00540F85">
        <w:trPr>
          <w:trHeight w:val="397"/>
          <w:jc w:val="center"/>
        </w:trPr>
        <w:tc>
          <w:tcPr>
            <w:tcW w:w="1098" w:type="dxa"/>
            <w:shd w:val="clear" w:color="auto" w:fill="auto"/>
            <w:noWrap/>
            <w:vAlign w:val="center"/>
            <w:hideMark/>
          </w:tcPr>
          <w:p w14:paraId="1874B22A" w14:textId="77777777" w:rsidR="00E07660" w:rsidRPr="001B4CA2" w:rsidRDefault="00E07660" w:rsidP="00E07660">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2018.</w:t>
            </w:r>
          </w:p>
        </w:tc>
        <w:tc>
          <w:tcPr>
            <w:tcW w:w="800" w:type="dxa"/>
            <w:shd w:val="clear" w:color="auto" w:fill="auto"/>
            <w:noWrap/>
            <w:vAlign w:val="center"/>
          </w:tcPr>
          <w:p w14:paraId="4FE3A164"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7.432</w:t>
            </w:r>
          </w:p>
        </w:tc>
        <w:tc>
          <w:tcPr>
            <w:tcW w:w="759" w:type="dxa"/>
            <w:shd w:val="clear" w:color="auto" w:fill="auto"/>
            <w:vAlign w:val="center"/>
          </w:tcPr>
          <w:p w14:paraId="6AB352A4"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240</w:t>
            </w:r>
          </w:p>
        </w:tc>
        <w:tc>
          <w:tcPr>
            <w:tcW w:w="850" w:type="dxa"/>
            <w:shd w:val="clear" w:color="auto" w:fill="auto"/>
            <w:noWrap/>
            <w:vAlign w:val="center"/>
          </w:tcPr>
          <w:p w14:paraId="7C764B32"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406</w:t>
            </w:r>
          </w:p>
        </w:tc>
        <w:tc>
          <w:tcPr>
            <w:tcW w:w="709" w:type="dxa"/>
            <w:shd w:val="clear" w:color="auto" w:fill="auto"/>
            <w:vAlign w:val="center"/>
          </w:tcPr>
          <w:p w14:paraId="612FB366"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w:t>
            </w:r>
          </w:p>
        </w:tc>
        <w:tc>
          <w:tcPr>
            <w:tcW w:w="851" w:type="dxa"/>
            <w:shd w:val="clear" w:color="auto" w:fill="auto"/>
            <w:noWrap/>
            <w:vAlign w:val="center"/>
          </w:tcPr>
          <w:p w14:paraId="7E02422B"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4.229</w:t>
            </w:r>
          </w:p>
        </w:tc>
        <w:tc>
          <w:tcPr>
            <w:tcW w:w="1134" w:type="dxa"/>
            <w:shd w:val="clear" w:color="auto" w:fill="auto"/>
            <w:noWrap/>
            <w:vAlign w:val="center"/>
          </w:tcPr>
          <w:p w14:paraId="37B15DF6"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w:t>
            </w:r>
          </w:p>
        </w:tc>
        <w:tc>
          <w:tcPr>
            <w:tcW w:w="850" w:type="dxa"/>
            <w:shd w:val="clear" w:color="auto" w:fill="auto"/>
            <w:noWrap/>
            <w:vAlign w:val="center"/>
          </w:tcPr>
          <w:p w14:paraId="2A6E8767"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12.067</w:t>
            </w:r>
          </w:p>
        </w:tc>
        <w:tc>
          <w:tcPr>
            <w:tcW w:w="992" w:type="dxa"/>
            <w:shd w:val="clear" w:color="auto" w:fill="auto"/>
            <w:noWrap/>
            <w:vAlign w:val="center"/>
          </w:tcPr>
          <w:p w14:paraId="6D4D3682"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240</w:t>
            </w:r>
          </w:p>
        </w:tc>
        <w:tc>
          <w:tcPr>
            <w:tcW w:w="842" w:type="dxa"/>
            <w:shd w:val="clear" w:color="auto" w:fill="auto"/>
            <w:vAlign w:val="center"/>
          </w:tcPr>
          <w:p w14:paraId="46310CFE"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12.307</w:t>
            </w:r>
          </w:p>
        </w:tc>
      </w:tr>
      <w:tr w:rsidR="00E07660" w:rsidRPr="001B4CA2" w14:paraId="17211161" w14:textId="77777777" w:rsidTr="00540F85">
        <w:trPr>
          <w:trHeight w:val="397"/>
          <w:jc w:val="center"/>
        </w:trPr>
        <w:tc>
          <w:tcPr>
            <w:tcW w:w="1098" w:type="dxa"/>
            <w:shd w:val="clear" w:color="auto" w:fill="auto"/>
            <w:noWrap/>
            <w:vAlign w:val="center"/>
            <w:hideMark/>
          </w:tcPr>
          <w:p w14:paraId="4F93F043" w14:textId="77777777" w:rsidR="00E07660" w:rsidRPr="001B4CA2" w:rsidRDefault="00E07660" w:rsidP="00E07660">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2019.</w:t>
            </w:r>
          </w:p>
        </w:tc>
        <w:tc>
          <w:tcPr>
            <w:tcW w:w="800" w:type="dxa"/>
            <w:shd w:val="clear" w:color="auto" w:fill="auto"/>
            <w:noWrap/>
            <w:vAlign w:val="center"/>
          </w:tcPr>
          <w:p w14:paraId="797512FA" w14:textId="77777777" w:rsidR="00E07660" w:rsidRPr="001B4CA2" w:rsidRDefault="00E07660" w:rsidP="00E07660">
            <w:pPr>
              <w:jc w:val="center"/>
              <w:rPr>
                <w:rFonts w:eastAsia="Calibri"/>
                <w:sz w:val="18"/>
                <w:szCs w:val="18"/>
              </w:rPr>
            </w:pPr>
            <w:r w:rsidRPr="001B4CA2">
              <w:rPr>
                <w:rFonts w:eastAsia="Calibri"/>
                <w:sz w:val="18"/>
                <w:szCs w:val="18"/>
              </w:rPr>
              <w:t>6.315</w:t>
            </w:r>
          </w:p>
        </w:tc>
        <w:tc>
          <w:tcPr>
            <w:tcW w:w="759" w:type="dxa"/>
            <w:shd w:val="clear" w:color="auto" w:fill="auto"/>
            <w:vAlign w:val="center"/>
          </w:tcPr>
          <w:p w14:paraId="1B65FC74" w14:textId="77777777" w:rsidR="00E07660" w:rsidRPr="001B4CA2" w:rsidRDefault="00E07660" w:rsidP="00E07660">
            <w:pPr>
              <w:jc w:val="center"/>
              <w:rPr>
                <w:rFonts w:eastAsia="Calibri"/>
                <w:sz w:val="18"/>
                <w:szCs w:val="18"/>
              </w:rPr>
            </w:pPr>
            <w:r w:rsidRPr="001B4CA2">
              <w:rPr>
                <w:rFonts w:eastAsia="Calibri"/>
                <w:sz w:val="18"/>
                <w:szCs w:val="18"/>
              </w:rPr>
              <w:t>159</w:t>
            </w:r>
          </w:p>
        </w:tc>
        <w:tc>
          <w:tcPr>
            <w:tcW w:w="850" w:type="dxa"/>
            <w:shd w:val="clear" w:color="auto" w:fill="auto"/>
            <w:noWrap/>
            <w:vAlign w:val="center"/>
          </w:tcPr>
          <w:p w14:paraId="3292BCE4"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207</w:t>
            </w:r>
          </w:p>
        </w:tc>
        <w:tc>
          <w:tcPr>
            <w:tcW w:w="709" w:type="dxa"/>
            <w:shd w:val="clear" w:color="auto" w:fill="auto"/>
            <w:vAlign w:val="center"/>
          </w:tcPr>
          <w:p w14:paraId="42654CFF"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w:t>
            </w:r>
          </w:p>
        </w:tc>
        <w:tc>
          <w:tcPr>
            <w:tcW w:w="851" w:type="dxa"/>
            <w:shd w:val="clear" w:color="auto" w:fill="auto"/>
            <w:noWrap/>
            <w:vAlign w:val="center"/>
          </w:tcPr>
          <w:p w14:paraId="4347A821" w14:textId="77777777" w:rsidR="00E07660" w:rsidRPr="001B4CA2" w:rsidRDefault="00E07660" w:rsidP="00E07660">
            <w:pPr>
              <w:spacing w:line="276" w:lineRule="auto"/>
              <w:jc w:val="center"/>
              <w:rPr>
                <w:rFonts w:eastAsia="Calibri"/>
                <w:sz w:val="18"/>
                <w:szCs w:val="18"/>
              </w:rPr>
            </w:pPr>
            <w:r w:rsidRPr="001B4CA2">
              <w:rPr>
                <w:rFonts w:eastAsia="Calibri"/>
                <w:sz w:val="18"/>
                <w:szCs w:val="18"/>
              </w:rPr>
              <w:t>3.922</w:t>
            </w:r>
          </w:p>
        </w:tc>
        <w:tc>
          <w:tcPr>
            <w:tcW w:w="1134" w:type="dxa"/>
            <w:shd w:val="clear" w:color="auto" w:fill="auto"/>
            <w:noWrap/>
            <w:vAlign w:val="center"/>
          </w:tcPr>
          <w:p w14:paraId="2F09DD7F" w14:textId="77777777" w:rsidR="00E07660" w:rsidRPr="001B4CA2" w:rsidRDefault="00E07660" w:rsidP="00E07660">
            <w:pPr>
              <w:spacing w:line="276" w:lineRule="auto"/>
              <w:jc w:val="center"/>
              <w:rPr>
                <w:rFonts w:eastAsia="Calibri"/>
                <w:sz w:val="18"/>
                <w:szCs w:val="18"/>
              </w:rPr>
            </w:pPr>
            <w:r w:rsidRPr="001B4CA2">
              <w:rPr>
                <w:rFonts w:eastAsia="Calibri"/>
                <w:sz w:val="18"/>
                <w:szCs w:val="18"/>
              </w:rPr>
              <w:t>-</w:t>
            </w:r>
          </w:p>
        </w:tc>
        <w:tc>
          <w:tcPr>
            <w:tcW w:w="850" w:type="dxa"/>
            <w:shd w:val="clear" w:color="auto" w:fill="auto"/>
            <w:noWrap/>
            <w:vAlign w:val="center"/>
          </w:tcPr>
          <w:p w14:paraId="28830D02"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10.444</w:t>
            </w:r>
          </w:p>
        </w:tc>
        <w:tc>
          <w:tcPr>
            <w:tcW w:w="992" w:type="dxa"/>
            <w:shd w:val="clear" w:color="auto" w:fill="auto"/>
            <w:noWrap/>
            <w:vAlign w:val="center"/>
          </w:tcPr>
          <w:p w14:paraId="4696BE39"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159</w:t>
            </w:r>
          </w:p>
        </w:tc>
        <w:tc>
          <w:tcPr>
            <w:tcW w:w="842" w:type="dxa"/>
            <w:shd w:val="clear" w:color="auto" w:fill="auto"/>
            <w:vAlign w:val="center"/>
          </w:tcPr>
          <w:p w14:paraId="200C68E6"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10.603</w:t>
            </w:r>
          </w:p>
        </w:tc>
      </w:tr>
      <w:tr w:rsidR="00E07660" w:rsidRPr="001B4CA2" w14:paraId="502DF100" w14:textId="77777777" w:rsidTr="00540F85">
        <w:trPr>
          <w:trHeight w:val="397"/>
          <w:jc w:val="center"/>
        </w:trPr>
        <w:tc>
          <w:tcPr>
            <w:tcW w:w="1098" w:type="dxa"/>
            <w:shd w:val="clear" w:color="auto" w:fill="auto"/>
            <w:noWrap/>
            <w:vAlign w:val="center"/>
            <w:hideMark/>
          </w:tcPr>
          <w:p w14:paraId="6AA47733" w14:textId="77777777" w:rsidR="00E07660" w:rsidRPr="001B4CA2" w:rsidRDefault="00E07660" w:rsidP="00E07660">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2020.</w:t>
            </w:r>
          </w:p>
        </w:tc>
        <w:tc>
          <w:tcPr>
            <w:tcW w:w="800" w:type="dxa"/>
            <w:shd w:val="clear" w:color="auto" w:fill="auto"/>
            <w:noWrap/>
            <w:vAlign w:val="center"/>
          </w:tcPr>
          <w:p w14:paraId="427DCBE0" w14:textId="77777777" w:rsidR="00E07660" w:rsidRPr="001B4CA2" w:rsidRDefault="00E07660" w:rsidP="00E07660">
            <w:pPr>
              <w:jc w:val="center"/>
              <w:rPr>
                <w:bCs/>
                <w:sz w:val="18"/>
                <w:szCs w:val="18"/>
              </w:rPr>
            </w:pPr>
            <w:r w:rsidRPr="001B4CA2">
              <w:rPr>
                <w:bCs/>
                <w:sz w:val="18"/>
                <w:szCs w:val="18"/>
              </w:rPr>
              <w:t>4.822</w:t>
            </w:r>
          </w:p>
        </w:tc>
        <w:tc>
          <w:tcPr>
            <w:tcW w:w="759" w:type="dxa"/>
            <w:shd w:val="clear" w:color="auto" w:fill="auto"/>
            <w:vAlign w:val="center"/>
          </w:tcPr>
          <w:p w14:paraId="6F031CE0" w14:textId="77777777" w:rsidR="00E07660" w:rsidRPr="001B4CA2" w:rsidRDefault="00E07660" w:rsidP="00E07660">
            <w:pPr>
              <w:jc w:val="center"/>
              <w:rPr>
                <w:bCs/>
                <w:sz w:val="18"/>
                <w:szCs w:val="18"/>
              </w:rPr>
            </w:pPr>
            <w:r w:rsidRPr="001B4CA2">
              <w:rPr>
                <w:bCs/>
                <w:sz w:val="18"/>
                <w:szCs w:val="18"/>
              </w:rPr>
              <w:t>198</w:t>
            </w:r>
          </w:p>
        </w:tc>
        <w:tc>
          <w:tcPr>
            <w:tcW w:w="850" w:type="dxa"/>
            <w:shd w:val="clear" w:color="auto" w:fill="auto"/>
            <w:noWrap/>
            <w:vAlign w:val="center"/>
          </w:tcPr>
          <w:p w14:paraId="6577A8AC" w14:textId="77777777" w:rsidR="00E07660" w:rsidRPr="001B4CA2" w:rsidRDefault="00E07660" w:rsidP="00E07660">
            <w:pPr>
              <w:jc w:val="center"/>
              <w:rPr>
                <w:bCs/>
                <w:sz w:val="18"/>
                <w:szCs w:val="18"/>
              </w:rPr>
            </w:pPr>
            <w:r w:rsidRPr="001B4CA2">
              <w:rPr>
                <w:bCs/>
                <w:sz w:val="18"/>
                <w:szCs w:val="18"/>
              </w:rPr>
              <w:t>212</w:t>
            </w:r>
          </w:p>
        </w:tc>
        <w:tc>
          <w:tcPr>
            <w:tcW w:w="709" w:type="dxa"/>
            <w:shd w:val="clear" w:color="auto" w:fill="auto"/>
            <w:vAlign w:val="center"/>
          </w:tcPr>
          <w:p w14:paraId="3A8EAC85" w14:textId="77777777" w:rsidR="00E07660" w:rsidRPr="001B4CA2" w:rsidRDefault="00E07660" w:rsidP="00E07660">
            <w:pPr>
              <w:jc w:val="center"/>
              <w:rPr>
                <w:bCs/>
                <w:sz w:val="18"/>
                <w:szCs w:val="18"/>
              </w:rPr>
            </w:pPr>
            <w:r w:rsidRPr="001B4CA2">
              <w:rPr>
                <w:bCs/>
                <w:sz w:val="18"/>
                <w:szCs w:val="18"/>
              </w:rPr>
              <w:t>-</w:t>
            </w:r>
          </w:p>
        </w:tc>
        <w:tc>
          <w:tcPr>
            <w:tcW w:w="851" w:type="dxa"/>
            <w:shd w:val="clear" w:color="auto" w:fill="auto"/>
            <w:noWrap/>
            <w:vAlign w:val="center"/>
          </w:tcPr>
          <w:p w14:paraId="0E7D4296" w14:textId="77777777" w:rsidR="00E07660" w:rsidRPr="001B4CA2" w:rsidRDefault="00E07660" w:rsidP="00E07660">
            <w:pPr>
              <w:jc w:val="center"/>
              <w:rPr>
                <w:bCs/>
                <w:sz w:val="18"/>
                <w:szCs w:val="18"/>
              </w:rPr>
            </w:pPr>
            <w:r w:rsidRPr="001B4CA2">
              <w:rPr>
                <w:bCs/>
                <w:sz w:val="18"/>
                <w:szCs w:val="18"/>
              </w:rPr>
              <w:t>4.084</w:t>
            </w:r>
          </w:p>
        </w:tc>
        <w:tc>
          <w:tcPr>
            <w:tcW w:w="1134" w:type="dxa"/>
            <w:shd w:val="clear" w:color="auto" w:fill="auto"/>
            <w:noWrap/>
            <w:vAlign w:val="center"/>
          </w:tcPr>
          <w:p w14:paraId="767026EA" w14:textId="77777777" w:rsidR="00E07660" w:rsidRPr="001B4CA2" w:rsidRDefault="00E07660" w:rsidP="00E07660">
            <w:pPr>
              <w:jc w:val="center"/>
              <w:rPr>
                <w:bCs/>
                <w:sz w:val="18"/>
                <w:szCs w:val="18"/>
              </w:rPr>
            </w:pPr>
            <w:r w:rsidRPr="001B4CA2">
              <w:rPr>
                <w:bCs/>
                <w:sz w:val="18"/>
                <w:szCs w:val="18"/>
              </w:rPr>
              <w:t>-</w:t>
            </w:r>
          </w:p>
        </w:tc>
        <w:tc>
          <w:tcPr>
            <w:tcW w:w="850" w:type="dxa"/>
            <w:shd w:val="clear" w:color="auto" w:fill="auto"/>
            <w:noWrap/>
            <w:vAlign w:val="center"/>
          </w:tcPr>
          <w:p w14:paraId="4791E893" w14:textId="77777777" w:rsidR="00E07660" w:rsidRPr="001B4CA2" w:rsidRDefault="00E07660" w:rsidP="00E07660">
            <w:pPr>
              <w:jc w:val="center"/>
              <w:rPr>
                <w:bCs/>
                <w:sz w:val="18"/>
                <w:szCs w:val="18"/>
              </w:rPr>
            </w:pPr>
            <w:r w:rsidRPr="001B4CA2">
              <w:rPr>
                <w:bCs/>
                <w:sz w:val="18"/>
                <w:szCs w:val="18"/>
              </w:rPr>
              <w:t>9.118</w:t>
            </w:r>
          </w:p>
        </w:tc>
        <w:tc>
          <w:tcPr>
            <w:tcW w:w="992" w:type="dxa"/>
            <w:shd w:val="clear" w:color="auto" w:fill="auto"/>
            <w:noWrap/>
            <w:vAlign w:val="center"/>
          </w:tcPr>
          <w:p w14:paraId="43943C20" w14:textId="77777777" w:rsidR="00E07660" w:rsidRPr="001B4CA2" w:rsidRDefault="00E07660" w:rsidP="00E07660">
            <w:pPr>
              <w:jc w:val="center"/>
              <w:rPr>
                <w:bCs/>
                <w:sz w:val="18"/>
                <w:szCs w:val="18"/>
              </w:rPr>
            </w:pPr>
            <w:r w:rsidRPr="001B4CA2">
              <w:rPr>
                <w:bCs/>
                <w:sz w:val="18"/>
                <w:szCs w:val="18"/>
              </w:rPr>
              <w:t>198</w:t>
            </w:r>
          </w:p>
        </w:tc>
        <w:tc>
          <w:tcPr>
            <w:tcW w:w="842" w:type="dxa"/>
            <w:shd w:val="clear" w:color="auto" w:fill="auto"/>
            <w:vAlign w:val="center"/>
          </w:tcPr>
          <w:p w14:paraId="28D3609B" w14:textId="77777777" w:rsidR="00E07660" w:rsidRPr="001B4CA2" w:rsidRDefault="00E07660" w:rsidP="00E07660">
            <w:pPr>
              <w:jc w:val="center"/>
              <w:rPr>
                <w:rFonts w:asciiTheme="minorHAnsi" w:hAnsiTheme="minorHAnsi" w:cstheme="minorHAnsi"/>
                <w:b/>
                <w:sz w:val="18"/>
                <w:szCs w:val="18"/>
                <w:lang w:eastAsia="hr-HR"/>
              </w:rPr>
            </w:pPr>
            <w:r w:rsidRPr="001B4CA2">
              <w:rPr>
                <w:rFonts w:asciiTheme="minorHAnsi" w:hAnsiTheme="minorHAnsi" w:cstheme="minorHAnsi"/>
                <w:b/>
                <w:sz w:val="18"/>
                <w:szCs w:val="18"/>
                <w:lang w:eastAsia="hr-HR"/>
              </w:rPr>
              <w:t>9.316</w:t>
            </w:r>
          </w:p>
        </w:tc>
      </w:tr>
      <w:tr w:rsidR="00E07660" w:rsidRPr="001B4CA2" w14:paraId="38542169" w14:textId="77777777" w:rsidTr="00540F85">
        <w:trPr>
          <w:trHeight w:val="397"/>
          <w:jc w:val="center"/>
        </w:trPr>
        <w:tc>
          <w:tcPr>
            <w:tcW w:w="1098" w:type="dxa"/>
            <w:shd w:val="clear" w:color="auto" w:fill="auto"/>
            <w:noWrap/>
            <w:vAlign w:val="center"/>
          </w:tcPr>
          <w:p w14:paraId="0D836CE9" w14:textId="77777777" w:rsidR="00E07660" w:rsidRPr="001B4CA2" w:rsidRDefault="00E07660" w:rsidP="00E07660">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2021.</w:t>
            </w:r>
          </w:p>
        </w:tc>
        <w:tc>
          <w:tcPr>
            <w:tcW w:w="800" w:type="dxa"/>
            <w:shd w:val="clear" w:color="auto" w:fill="auto"/>
            <w:noWrap/>
            <w:vAlign w:val="center"/>
          </w:tcPr>
          <w:p w14:paraId="05F5ED4E" w14:textId="77777777" w:rsidR="00E07660" w:rsidRPr="001B4CA2" w:rsidRDefault="00E07660" w:rsidP="00E07660">
            <w:pPr>
              <w:jc w:val="center"/>
              <w:rPr>
                <w:bCs/>
                <w:sz w:val="18"/>
                <w:szCs w:val="18"/>
              </w:rPr>
            </w:pPr>
            <w:r w:rsidRPr="001B4CA2">
              <w:rPr>
                <w:bCs/>
                <w:sz w:val="18"/>
                <w:szCs w:val="18"/>
              </w:rPr>
              <w:t>6.780</w:t>
            </w:r>
          </w:p>
        </w:tc>
        <w:tc>
          <w:tcPr>
            <w:tcW w:w="759" w:type="dxa"/>
            <w:shd w:val="clear" w:color="auto" w:fill="auto"/>
            <w:vAlign w:val="center"/>
          </w:tcPr>
          <w:p w14:paraId="469D87D3" w14:textId="77777777" w:rsidR="00E07660" w:rsidRPr="001B4CA2" w:rsidRDefault="00E07660" w:rsidP="00E07660">
            <w:pPr>
              <w:jc w:val="center"/>
              <w:rPr>
                <w:bCs/>
                <w:sz w:val="18"/>
                <w:szCs w:val="18"/>
              </w:rPr>
            </w:pPr>
            <w:r w:rsidRPr="001B4CA2">
              <w:rPr>
                <w:bCs/>
                <w:sz w:val="18"/>
                <w:szCs w:val="18"/>
              </w:rPr>
              <w:t>1.181</w:t>
            </w:r>
          </w:p>
        </w:tc>
        <w:tc>
          <w:tcPr>
            <w:tcW w:w="850" w:type="dxa"/>
            <w:shd w:val="clear" w:color="auto" w:fill="auto"/>
            <w:noWrap/>
            <w:vAlign w:val="center"/>
          </w:tcPr>
          <w:p w14:paraId="2470963A" w14:textId="77777777" w:rsidR="00E07660" w:rsidRPr="001B4CA2" w:rsidRDefault="00E07660" w:rsidP="00E07660">
            <w:pPr>
              <w:jc w:val="center"/>
              <w:rPr>
                <w:bCs/>
                <w:sz w:val="18"/>
                <w:szCs w:val="18"/>
              </w:rPr>
            </w:pPr>
            <w:r w:rsidRPr="001B4CA2">
              <w:rPr>
                <w:bCs/>
                <w:sz w:val="18"/>
                <w:szCs w:val="18"/>
              </w:rPr>
              <w:t>183</w:t>
            </w:r>
          </w:p>
        </w:tc>
        <w:tc>
          <w:tcPr>
            <w:tcW w:w="709" w:type="dxa"/>
            <w:shd w:val="clear" w:color="auto" w:fill="auto"/>
            <w:vAlign w:val="center"/>
          </w:tcPr>
          <w:p w14:paraId="0E3FEA1E" w14:textId="77777777" w:rsidR="00E07660" w:rsidRPr="001B4CA2" w:rsidRDefault="00E07660" w:rsidP="00E07660">
            <w:pPr>
              <w:jc w:val="center"/>
              <w:rPr>
                <w:bCs/>
                <w:sz w:val="18"/>
                <w:szCs w:val="18"/>
              </w:rPr>
            </w:pPr>
            <w:r w:rsidRPr="001B4CA2">
              <w:rPr>
                <w:bCs/>
                <w:sz w:val="18"/>
                <w:szCs w:val="18"/>
              </w:rPr>
              <w:t>-</w:t>
            </w:r>
          </w:p>
        </w:tc>
        <w:tc>
          <w:tcPr>
            <w:tcW w:w="851" w:type="dxa"/>
            <w:shd w:val="clear" w:color="auto" w:fill="auto"/>
            <w:noWrap/>
            <w:vAlign w:val="center"/>
          </w:tcPr>
          <w:p w14:paraId="45053978" w14:textId="77777777" w:rsidR="00E07660" w:rsidRPr="001B4CA2" w:rsidRDefault="00E07660" w:rsidP="00E07660">
            <w:pPr>
              <w:jc w:val="center"/>
              <w:rPr>
                <w:bCs/>
                <w:sz w:val="18"/>
                <w:szCs w:val="18"/>
              </w:rPr>
            </w:pPr>
            <w:r w:rsidRPr="001B4CA2">
              <w:rPr>
                <w:bCs/>
                <w:sz w:val="18"/>
                <w:szCs w:val="18"/>
              </w:rPr>
              <w:t>4.419</w:t>
            </w:r>
          </w:p>
        </w:tc>
        <w:tc>
          <w:tcPr>
            <w:tcW w:w="1134" w:type="dxa"/>
            <w:shd w:val="clear" w:color="auto" w:fill="auto"/>
            <w:noWrap/>
            <w:vAlign w:val="center"/>
          </w:tcPr>
          <w:p w14:paraId="747A8FC0" w14:textId="77777777" w:rsidR="00E07660" w:rsidRPr="001B4CA2" w:rsidRDefault="00E07660" w:rsidP="00E07660">
            <w:pPr>
              <w:jc w:val="center"/>
              <w:rPr>
                <w:bCs/>
                <w:sz w:val="18"/>
                <w:szCs w:val="18"/>
              </w:rPr>
            </w:pPr>
            <w:r w:rsidRPr="001B4CA2">
              <w:rPr>
                <w:bCs/>
                <w:sz w:val="18"/>
                <w:szCs w:val="18"/>
              </w:rPr>
              <w:t>-</w:t>
            </w:r>
          </w:p>
        </w:tc>
        <w:tc>
          <w:tcPr>
            <w:tcW w:w="850" w:type="dxa"/>
            <w:shd w:val="clear" w:color="auto" w:fill="auto"/>
            <w:noWrap/>
            <w:vAlign w:val="center"/>
          </w:tcPr>
          <w:p w14:paraId="1CE9ACD1" w14:textId="77777777" w:rsidR="00E07660" w:rsidRPr="001B4CA2" w:rsidRDefault="00E07660" w:rsidP="00E07660">
            <w:pPr>
              <w:jc w:val="center"/>
              <w:rPr>
                <w:bCs/>
                <w:sz w:val="18"/>
                <w:szCs w:val="18"/>
              </w:rPr>
            </w:pPr>
            <w:r w:rsidRPr="001B4CA2">
              <w:rPr>
                <w:bCs/>
                <w:sz w:val="18"/>
                <w:szCs w:val="18"/>
              </w:rPr>
              <w:t>11.382</w:t>
            </w:r>
          </w:p>
        </w:tc>
        <w:tc>
          <w:tcPr>
            <w:tcW w:w="992" w:type="dxa"/>
            <w:shd w:val="clear" w:color="auto" w:fill="auto"/>
            <w:noWrap/>
            <w:vAlign w:val="center"/>
          </w:tcPr>
          <w:p w14:paraId="4B978F56" w14:textId="77777777" w:rsidR="00E07660" w:rsidRPr="001B4CA2" w:rsidRDefault="00E07660" w:rsidP="00E07660">
            <w:pPr>
              <w:jc w:val="center"/>
              <w:rPr>
                <w:bCs/>
                <w:sz w:val="18"/>
                <w:szCs w:val="18"/>
              </w:rPr>
            </w:pPr>
            <w:r w:rsidRPr="001B4CA2">
              <w:rPr>
                <w:bCs/>
                <w:sz w:val="18"/>
                <w:szCs w:val="18"/>
              </w:rPr>
              <w:t>1.181</w:t>
            </w:r>
          </w:p>
        </w:tc>
        <w:tc>
          <w:tcPr>
            <w:tcW w:w="842" w:type="dxa"/>
            <w:shd w:val="clear" w:color="auto" w:fill="auto"/>
            <w:vAlign w:val="center"/>
          </w:tcPr>
          <w:p w14:paraId="1062C60A" w14:textId="77777777" w:rsidR="00E07660" w:rsidRPr="001B4CA2" w:rsidRDefault="00E07660" w:rsidP="00E07660">
            <w:pPr>
              <w:jc w:val="center"/>
              <w:rPr>
                <w:b/>
                <w:bCs/>
                <w:sz w:val="18"/>
                <w:szCs w:val="18"/>
              </w:rPr>
            </w:pPr>
            <w:r w:rsidRPr="001B4CA2">
              <w:rPr>
                <w:b/>
                <w:bCs/>
                <w:sz w:val="18"/>
                <w:szCs w:val="18"/>
              </w:rPr>
              <w:t>12.563</w:t>
            </w:r>
          </w:p>
        </w:tc>
      </w:tr>
      <w:tr w:rsidR="00E07660" w:rsidRPr="001B4CA2" w14:paraId="40F535AB" w14:textId="77777777" w:rsidTr="00540F85">
        <w:trPr>
          <w:trHeight w:val="397"/>
          <w:jc w:val="center"/>
        </w:trPr>
        <w:tc>
          <w:tcPr>
            <w:tcW w:w="1098" w:type="dxa"/>
            <w:shd w:val="clear" w:color="auto" w:fill="auto"/>
            <w:noWrap/>
            <w:vAlign w:val="center"/>
          </w:tcPr>
          <w:p w14:paraId="0E928054" w14:textId="77777777" w:rsidR="00E07660" w:rsidRPr="001B4CA2" w:rsidRDefault="00E07660" w:rsidP="00E07660">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2022.</w:t>
            </w:r>
          </w:p>
        </w:tc>
        <w:tc>
          <w:tcPr>
            <w:tcW w:w="800" w:type="dxa"/>
            <w:shd w:val="clear" w:color="auto" w:fill="auto"/>
            <w:noWrap/>
            <w:vAlign w:val="center"/>
          </w:tcPr>
          <w:p w14:paraId="2551DF6C" w14:textId="77777777" w:rsidR="00E07660" w:rsidRPr="001B4CA2" w:rsidRDefault="00E07660" w:rsidP="00E07660">
            <w:pPr>
              <w:jc w:val="center"/>
              <w:rPr>
                <w:bCs/>
                <w:sz w:val="18"/>
                <w:szCs w:val="18"/>
              </w:rPr>
            </w:pPr>
            <w:r w:rsidRPr="001B4CA2">
              <w:rPr>
                <w:bCs/>
                <w:sz w:val="18"/>
                <w:szCs w:val="18"/>
              </w:rPr>
              <w:t>7.327</w:t>
            </w:r>
          </w:p>
        </w:tc>
        <w:tc>
          <w:tcPr>
            <w:tcW w:w="759" w:type="dxa"/>
            <w:shd w:val="clear" w:color="auto" w:fill="auto"/>
            <w:vAlign w:val="center"/>
          </w:tcPr>
          <w:p w14:paraId="50F501F5" w14:textId="77777777" w:rsidR="00E07660" w:rsidRPr="001B4CA2" w:rsidRDefault="00E07660" w:rsidP="00E07660">
            <w:pPr>
              <w:jc w:val="center"/>
              <w:rPr>
                <w:bCs/>
                <w:sz w:val="18"/>
                <w:szCs w:val="18"/>
              </w:rPr>
            </w:pPr>
            <w:r w:rsidRPr="001B4CA2">
              <w:rPr>
                <w:bCs/>
                <w:sz w:val="18"/>
                <w:szCs w:val="18"/>
              </w:rPr>
              <w:t>254</w:t>
            </w:r>
          </w:p>
        </w:tc>
        <w:tc>
          <w:tcPr>
            <w:tcW w:w="850" w:type="dxa"/>
            <w:shd w:val="clear" w:color="auto" w:fill="auto"/>
            <w:noWrap/>
            <w:vAlign w:val="center"/>
          </w:tcPr>
          <w:p w14:paraId="6258F808" w14:textId="77777777" w:rsidR="00E07660" w:rsidRPr="001B4CA2" w:rsidRDefault="00E07660" w:rsidP="00E07660">
            <w:pPr>
              <w:jc w:val="center"/>
              <w:rPr>
                <w:bCs/>
                <w:sz w:val="18"/>
                <w:szCs w:val="18"/>
              </w:rPr>
            </w:pPr>
            <w:r w:rsidRPr="001B4CA2">
              <w:rPr>
                <w:bCs/>
                <w:sz w:val="18"/>
                <w:szCs w:val="18"/>
              </w:rPr>
              <w:t>164</w:t>
            </w:r>
          </w:p>
        </w:tc>
        <w:tc>
          <w:tcPr>
            <w:tcW w:w="709" w:type="dxa"/>
            <w:shd w:val="clear" w:color="auto" w:fill="auto"/>
            <w:vAlign w:val="center"/>
          </w:tcPr>
          <w:p w14:paraId="0A30378E" w14:textId="77777777" w:rsidR="00E07660" w:rsidRPr="001B4CA2" w:rsidRDefault="00E07660" w:rsidP="00E07660">
            <w:pPr>
              <w:jc w:val="center"/>
              <w:rPr>
                <w:bCs/>
                <w:sz w:val="18"/>
                <w:szCs w:val="18"/>
              </w:rPr>
            </w:pPr>
            <w:r w:rsidRPr="001B4CA2">
              <w:rPr>
                <w:bCs/>
                <w:sz w:val="18"/>
                <w:szCs w:val="18"/>
              </w:rPr>
              <w:t>-</w:t>
            </w:r>
          </w:p>
        </w:tc>
        <w:tc>
          <w:tcPr>
            <w:tcW w:w="851" w:type="dxa"/>
            <w:shd w:val="clear" w:color="auto" w:fill="auto"/>
            <w:noWrap/>
            <w:vAlign w:val="center"/>
          </w:tcPr>
          <w:p w14:paraId="76D00498" w14:textId="77777777" w:rsidR="00E07660" w:rsidRPr="001B4CA2" w:rsidRDefault="00E07660" w:rsidP="00E07660">
            <w:pPr>
              <w:jc w:val="center"/>
              <w:rPr>
                <w:bCs/>
                <w:sz w:val="18"/>
                <w:szCs w:val="18"/>
              </w:rPr>
            </w:pPr>
            <w:r w:rsidRPr="001B4CA2">
              <w:rPr>
                <w:bCs/>
                <w:sz w:val="18"/>
                <w:szCs w:val="18"/>
              </w:rPr>
              <w:t>4.309</w:t>
            </w:r>
          </w:p>
        </w:tc>
        <w:tc>
          <w:tcPr>
            <w:tcW w:w="1134" w:type="dxa"/>
            <w:shd w:val="clear" w:color="auto" w:fill="auto"/>
            <w:noWrap/>
            <w:vAlign w:val="center"/>
          </w:tcPr>
          <w:p w14:paraId="254D3C66" w14:textId="77777777" w:rsidR="00E07660" w:rsidRPr="001B4CA2" w:rsidRDefault="00E07660" w:rsidP="00E07660">
            <w:pPr>
              <w:jc w:val="center"/>
              <w:rPr>
                <w:bCs/>
                <w:sz w:val="18"/>
                <w:szCs w:val="18"/>
              </w:rPr>
            </w:pPr>
            <w:r w:rsidRPr="001B4CA2">
              <w:rPr>
                <w:bCs/>
                <w:sz w:val="18"/>
                <w:szCs w:val="18"/>
              </w:rPr>
              <w:t>-</w:t>
            </w:r>
          </w:p>
        </w:tc>
        <w:tc>
          <w:tcPr>
            <w:tcW w:w="850" w:type="dxa"/>
            <w:shd w:val="clear" w:color="auto" w:fill="auto"/>
            <w:noWrap/>
            <w:vAlign w:val="center"/>
          </w:tcPr>
          <w:p w14:paraId="1F12CE3A" w14:textId="77777777" w:rsidR="00E07660" w:rsidRPr="001B4CA2" w:rsidRDefault="00E07660" w:rsidP="00E07660">
            <w:pPr>
              <w:jc w:val="center"/>
              <w:rPr>
                <w:bCs/>
                <w:sz w:val="18"/>
                <w:szCs w:val="18"/>
              </w:rPr>
            </w:pPr>
            <w:r w:rsidRPr="001B4CA2">
              <w:rPr>
                <w:bCs/>
                <w:sz w:val="18"/>
                <w:szCs w:val="18"/>
              </w:rPr>
              <w:t>11.800</w:t>
            </w:r>
          </w:p>
        </w:tc>
        <w:tc>
          <w:tcPr>
            <w:tcW w:w="992" w:type="dxa"/>
            <w:shd w:val="clear" w:color="auto" w:fill="auto"/>
            <w:noWrap/>
            <w:vAlign w:val="center"/>
          </w:tcPr>
          <w:p w14:paraId="2F7E5140" w14:textId="77777777" w:rsidR="00E07660" w:rsidRPr="001B4CA2" w:rsidRDefault="00E07660" w:rsidP="00E07660">
            <w:pPr>
              <w:jc w:val="center"/>
              <w:rPr>
                <w:bCs/>
                <w:sz w:val="18"/>
                <w:szCs w:val="18"/>
              </w:rPr>
            </w:pPr>
            <w:r w:rsidRPr="001B4CA2">
              <w:rPr>
                <w:bCs/>
                <w:sz w:val="18"/>
                <w:szCs w:val="18"/>
              </w:rPr>
              <w:t>254</w:t>
            </w:r>
          </w:p>
        </w:tc>
        <w:tc>
          <w:tcPr>
            <w:tcW w:w="842" w:type="dxa"/>
            <w:shd w:val="clear" w:color="auto" w:fill="auto"/>
            <w:vAlign w:val="center"/>
          </w:tcPr>
          <w:p w14:paraId="1BFFD759" w14:textId="77777777" w:rsidR="00E07660" w:rsidRPr="001B4CA2" w:rsidRDefault="00E07660" w:rsidP="00E07660">
            <w:pPr>
              <w:jc w:val="center"/>
              <w:rPr>
                <w:b/>
                <w:bCs/>
                <w:sz w:val="18"/>
                <w:szCs w:val="18"/>
              </w:rPr>
            </w:pPr>
            <w:r w:rsidRPr="001B4CA2">
              <w:rPr>
                <w:b/>
                <w:bCs/>
                <w:sz w:val="18"/>
                <w:szCs w:val="18"/>
              </w:rPr>
              <w:t>12.054</w:t>
            </w:r>
          </w:p>
        </w:tc>
      </w:tr>
    </w:tbl>
    <w:p w14:paraId="3FCF57CD" w14:textId="77777777" w:rsidR="00E07660" w:rsidRPr="001B4CA2" w:rsidRDefault="00E07660" w:rsidP="00E07660">
      <w:pPr>
        <w:ind w:left="360"/>
        <w:rPr>
          <w:color w:val="000000" w:themeColor="text1"/>
          <w:sz w:val="20"/>
          <w:szCs w:val="20"/>
        </w:rPr>
      </w:pPr>
    </w:p>
    <w:p w14:paraId="3935BB3B" w14:textId="70CDDC7A" w:rsidR="00773E87" w:rsidRPr="001B4CA2" w:rsidRDefault="00773E87" w:rsidP="00773E87">
      <w:pPr>
        <w:ind w:firstLine="708"/>
      </w:pPr>
      <w:r w:rsidRPr="001B4CA2">
        <w:t xml:space="preserve">Iz gornje tablice </w:t>
      </w:r>
      <w:r w:rsidR="00694167">
        <w:t>razvidno</w:t>
      </w:r>
      <w:r w:rsidRPr="001B4CA2">
        <w:t xml:space="preserve"> je da se zastupanje u novim sudskim predmetima obavlja uglavnom temeljem zakona, i to u 97,89 % predmeta, dok se zastupanje temeljem punomoći obavlja u samo 2,11</w:t>
      </w:r>
      <w:r w:rsidR="00694167">
        <w:t> </w:t>
      </w:r>
      <w:r w:rsidRPr="001B4CA2">
        <w:t>% predmeta.</w:t>
      </w:r>
    </w:p>
    <w:p w14:paraId="5D5CA2F8" w14:textId="77777777" w:rsidR="00773E87" w:rsidRPr="001B4CA2" w:rsidRDefault="00773E87" w:rsidP="00773E87"/>
    <w:p w14:paraId="45E4EA72" w14:textId="48F24782" w:rsidR="00773E87" w:rsidRPr="001B4CA2" w:rsidRDefault="00773E87" w:rsidP="00773E87">
      <w:pPr>
        <w:ind w:firstLine="708"/>
      </w:pPr>
      <w:r w:rsidRPr="001B4CA2">
        <w:t xml:space="preserve">U izvještajnom razdoblju u odnosu na prethodno </w:t>
      </w:r>
      <w:r w:rsidR="0047537B" w:rsidRPr="001B4CA2">
        <w:t>izvještajno</w:t>
      </w:r>
      <w:r w:rsidRPr="001B4CA2">
        <w:t xml:space="preserve"> razdoblje značajno je smanjen broj predmeta u kojem se zastupanje obavlja po punomoći. Naime, u prethodnoj 2021. godini zaprimljen je 1</w:t>
      </w:r>
      <w:r w:rsidR="00694167">
        <w:t>.</w:t>
      </w:r>
      <w:r w:rsidRPr="001B4CA2">
        <w:t xml:space="preserve">181 predmet u kojem se zastupa temeljem punomoći. </w:t>
      </w:r>
      <w:r w:rsidR="00694167">
        <w:t>Riječ je</w:t>
      </w:r>
      <w:r w:rsidRPr="001B4CA2">
        <w:t xml:space="preserve"> o predmetima upravnih sporova koji su tijekom 2021. godine pokrenuti na Upravnom sudu u Splitu, Upravnom sudu u Osijeku i Upravnom sudu u Rijeci u kojim je županijskim državnim odvjetništvima nadležnima za zastupanje pred tim sudovima izdana generalna punomoć za zastupanje Ministarstva hrvatskih branitelja kao tuženog</w:t>
      </w:r>
      <w:r w:rsidR="00694167">
        <w:t>a</w:t>
      </w:r>
      <w:r w:rsidRPr="001B4CA2">
        <w:t xml:space="preserve"> tijela u tim sporovima. </w:t>
      </w:r>
    </w:p>
    <w:p w14:paraId="7A02F5E5" w14:textId="77777777" w:rsidR="00773E87" w:rsidRPr="001B4CA2" w:rsidRDefault="00773E87" w:rsidP="00773E87">
      <w:pPr>
        <w:rPr>
          <w:color w:val="000000" w:themeColor="text1"/>
          <w:szCs w:val="22"/>
        </w:rPr>
      </w:pPr>
    </w:p>
    <w:p w14:paraId="5EA05444" w14:textId="06756C3E" w:rsidR="00773E87" w:rsidRPr="001B4CA2" w:rsidRDefault="00773E87" w:rsidP="00773E87">
      <w:pPr>
        <w:ind w:firstLine="708"/>
      </w:pPr>
      <w:r w:rsidRPr="001B4CA2">
        <w:t xml:space="preserve">Stoga se odnos zastupanja temeljem zakona i temeljem izdane punomoći u ovom izvještajnom razdoblju vratio na standardne odnose iz prethodnih razdoblja iz kojih slijedi da se zastupanje na temelju izdane punomoći obavlja smo iznimno. U pravilu je </w:t>
      </w:r>
      <w:r w:rsidR="00694167" w:rsidRPr="001B4CA2">
        <w:t xml:space="preserve">riječ </w:t>
      </w:r>
      <w:r w:rsidRPr="001B4CA2">
        <w:t>o punomoćima za zastupanje koje državnom odvjetništvu izdaju čelnici javnopravnih tijela radi zastupanja tuženika u upravnim sporovima, a tek iznimno u parničnim postupcima</w:t>
      </w:r>
      <w:r w:rsidR="00694167">
        <w:t>,</w:t>
      </w:r>
      <w:r w:rsidRPr="001B4CA2">
        <w:t xml:space="preserve"> i to u pravilu kada se u parnicama kao stranke na istoj strani pojavljuju i Republika Hrvatska i pravna osoba kojoj je Republika Hrvatska osnivač.</w:t>
      </w:r>
    </w:p>
    <w:p w14:paraId="3F02CC97" w14:textId="77777777" w:rsidR="00E07660" w:rsidRPr="001B4CA2" w:rsidRDefault="00E07660" w:rsidP="00E07660">
      <w:pPr>
        <w:rPr>
          <w:color w:val="000000" w:themeColor="text1"/>
          <w:szCs w:val="22"/>
        </w:rPr>
      </w:pPr>
    </w:p>
    <w:p w14:paraId="764E9ADB" w14:textId="33B568E7" w:rsidR="00E07660" w:rsidRPr="001B4CA2" w:rsidRDefault="00FA50FE" w:rsidP="00FA50FE">
      <w:pPr>
        <w:jc w:val="left"/>
        <w:rPr>
          <w:rFonts w:asciiTheme="minorHAnsi" w:hAnsiTheme="minorHAnsi" w:cstheme="minorBidi"/>
          <w:i/>
          <w:szCs w:val="22"/>
        </w:rPr>
      </w:pPr>
      <w:r w:rsidRPr="001B4CA2">
        <w:rPr>
          <w:rFonts w:asciiTheme="minorHAnsi" w:hAnsiTheme="minorHAnsi" w:cstheme="minorBidi"/>
          <w:i/>
          <w:szCs w:val="22"/>
        </w:rPr>
        <w:t xml:space="preserve">   c) </w:t>
      </w:r>
      <w:r w:rsidR="00E07660" w:rsidRPr="001B4CA2">
        <w:rPr>
          <w:rFonts w:asciiTheme="minorHAnsi" w:hAnsiTheme="minorHAnsi" w:cstheme="minorBidi"/>
          <w:i/>
          <w:szCs w:val="22"/>
        </w:rPr>
        <w:t>Kretanje i struktura zahtjeva u novim sudskim predmetima</w:t>
      </w:r>
      <w:r w:rsidR="001B4CA2">
        <w:rPr>
          <w:rFonts w:asciiTheme="minorHAnsi" w:hAnsiTheme="minorHAnsi" w:cstheme="minorBidi"/>
          <w:i/>
          <w:szCs w:val="22"/>
        </w:rPr>
        <w:t xml:space="preserve"> </w:t>
      </w:r>
      <w:r w:rsidR="00E07660" w:rsidRPr="001B4CA2">
        <w:rPr>
          <w:rFonts w:asciiTheme="minorHAnsi" w:hAnsiTheme="minorHAnsi" w:cstheme="minorBidi"/>
          <w:i/>
          <w:szCs w:val="22"/>
        </w:rPr>
        <w:t>2018. – 2022.</w:t>
      </w: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1059"/>
        <w:gridCol w:w="1191"/>
        <w:gridCol w:w="1191"/>
        <w:gridCol w:w="1451"/>
        <w:gridCol w:w="1114"/>
        <w:gridCol w:w="1112"/>
      </w:tblGrid>
      <w:tr w:rsidR="00E07660" w:rsidRPr="001B4CA2" w14:paraId="66DCAF51" w14:textId="77777777" w:rsidTr="00CE2706">
        <w:trPr>
          <w:trHeight w:val="680"/>
          <w:jc w:val="center"/>
        </w:trPr>
        <w:tc>
          <w:tcPr>
            <w:tcW w:w="1013" w:type="pct"/>
            <w:shd w:val="clear" w:color="auto" w:fill="99CCFF"/>
            <w:noWrap/>
            <w:vAlign w:val="center"/>
            <w:hideMark/>
          </w:tcPr>
          <w:p w14:paraId="4097AA6F" w14:textId="77777777" w:rsidR="00E07660" w:rsidRPr="001B4CA2" w:rsidRDefault="00E07660" w:rsidP="00E07660">
            <w:pPr>
              <w:jc w:val="center"/>
              <w:rPr>
                <w:rFonts w:asciiTheme="minorHAnsi" w:hAnsiTheme="minorHAnsi" w:cstheme="minorHAnsi"/>
                <w:b/>
                <w:sz w:val="18"/>
                <w:szCs w:val="18"/>
                <w:lang w:eastAsia="hr-HR"/>
              </w:rPr>
            </w:pPr>
            <w:r w:rsidRPr="001B4CA2">
              <w:rPr>
                <w:rFonts w:asciiTheme="minorHAnsi" w:hAnsiTheme="minorHAnsi" w:cstheme="minorHAnsi"/>
                <w:b/>
                <w:sz w:val="18"/>
                <w:szCs w:val="18"/>
                <w:lang w:eastAsia="hr-HR"/>
              </w:rPr>
              <w:t>Sudski predmeti</w:t>
            </w:r>
          </w:p>
        </w:tc>
        <w:tc>
          <w:tcPr>
            <w:tcW w:w="593" w:type="pct"/>
            <w:shd w:val="clear" w:color="auto" w:fill="99CCFF"/>
            <w:noWrap/>
            <w:vAlign w:val="center"/>
          </w:tcPr>
          <w:p w14:paraId="15724D4D" w14:textId="77777777" w:rsidR="00E07660" w:rsidRPr="001B4CA2" w:rsidRDefault="00E07660" w:rsidP="00E07660">
            <w:pPr>
              <w:jc w:val="center"/>
              <w:rPr>
                <w:rFonts w:asciiTheme="minorHAnsi" w:hAnsiTheme="minorHAnsi" w:cstheme="minorHAnsi"/>
                <w:b/>
                <w:sz w:val="18"/>
                <w:szCs w:val="18"/>
                <w:lang w:eastAsia="hr-HR"/>
              </w:rPr>
            </w:pPr>
            <w:r w:rsidRPr="001B4CA2">
              <w:rPr>
                <w:rFonts w:asciiTheme="minorHAnsi" w:hAnsiTheme="minorHAnsi" w:cstheme="minorHAnsi"/>
                <w:sz w:val="18"/>
                <w:szCs w:val="18"/>
                <w:lang w:eastAsia="hr-HR"/>
              </w:rPr>
              <w:t>Parnice</w:t>
            </w:r>
          </w:p>
        </w:tc>
        <w:tc>
          <w:tcPr>
            <w:tcW w:w="667" w:type="pct"/>
            <w:shd w:val="clear" w:color="auto" w:fill="99CCFF"/>
            <w:noWrap/>
            <w:vAlign w:val="center"/>
          </w:tcPr>
          <w:p w14:paraId="5D0C48CE" w14:textId="77777777" w:rsidR="00E07660" w:rsidRPr="001B4CA2" w:rsidRDefault="00E07660" w:rsidP="00E07660">
            <w:pPr>
              <w:jc w:val="center"/>
              <w:rPr>
                <w:rFonts w:asciiTheme="minorHAnsi" w:hAnsiTheme="minorHAnsi" w:cstheme="minorHAnsi"/>
                <w:b/>
                <w:sz w:val="18"/>
                <w:szCs w:val="18"/>
                <w:lang w:eastAsia="hr-HR"/>
              </w:rPr>
            </w:pPr>
            <w:r w:rsidRPr="001B4CA2">
              <w:rPr>
                <w:rFonts w:asciiTheme="minorHAnsi" w:hAnsiTheme="minorHAnsi" w:cstheme="minorHAnsi"/>
                <w:sz w:val="18"/>
                <w:szCs w:val="18"/>
                <w:lang w:eastAsia="hr-HR"/>
              </w:rPr>
              <w:t>Ovrhe</w:t>
            </w:r>
          </w:p>
        </w:tc>
        <w:tc>
          <w:tcPr>
            <w:tcW w:w="667" w:type="pct"/>
            <w:shd w:val="clear" w:color="auto" w:fill="99CCFF"/>
            <w:vAlign w:val="center"/>
          </w:tcPr>
          <w:p w14:paraId="3B51EBC4" w14:textId="77777777" w:rsidR="00E07660" w:rsidRPr="001B4CA2" w:rsidRDefault="00E07660" w:rsidP="00E07660">
            <w:pPr>
              <w:jc w:val="center"/>
              <w:rPr>
                <w:rFonts w:asciiTheme="minorHAnsi" w:hAnsiTheme="minorHAnsi" w:cstheme="minorHAnsi"/>
                <w:color w:val="FF0000"/>
                <w:sz w:val="18"/>
                <w:szCs w:val="18"/>
                <w:lang w:eastAsia="hr-HR"/>
              </w:rPr>
            </w:pPr>
            <w:r w:rsidRPr="001B4CA2">
              <w:rPr>
                <w:rFonts w:asciiTheme="minorHAnsi" w:hAnsiTheme="minorHAnsi" w:cstheme="minorHAnsi"/>
                <w:sz w:val="18"/>
                <w:szCs w:val="18"/>
                <w:lang w:eastAsia="hr-HR"/>
              </w:rPr>
              <w:t xml:space="preserve">Stečaj </w:t>
            </w:r>
          </w:p>
          <w:p w14:paraId="50CE8B61" w14:textId="77777777" w:rsidR="00E07660" w:rsidRPr="001B4CA2" w:rsidRDefault="00E07660" w:rsidP="00E07660">
            <w:pPr>
              <w:jc w:val="center"/>
              <w:rPr>
                <w:rFonts w:asciiTheme="minorHAnsi" w:hAnsiTheme="minorHAnsi" w:cstheme="minorHAnsi"/>
                <w:b/>
                <w:sz w:val="18"/>
                <w:szCs w:val="18"/>
                <w:lang w:eastAsia="hr-HR"/>
              </w:rPr>
            </w:pPr>
            <w:r w:rsidRPr="001B4CA2">
              <w:rPr>
                <w:rFonts w:asciiTheme="minorHAnsi" w:hAnsiTheme="minorHAnsi" w:cstheme="minorHAnsi"/>
                <w:sz w:val="18"/>
                <w:szCs w:val="18"/>
                <w:lang w:eastAsia="hr-HR"/>
              </w:rPr>
              <w:t xml:space="preserve">i </w:t>
            </w:r>
            <w:proofErr w:type="spellStart"/>
            <w:r w:rsidRPr="001B4CA2">
              <w:rPr>
                <w:rFonts w:asciiTheme="minorHAnsi" w:hAnsiTheme="minorHAnsi" w:cstheme="minorHAnsi"/>
                <w:sz w:val="18"/>
                <w:szCs w:val="18"/>
                <w:lang w:eastAsia="hr-HR"/>
              </w:rPr>
              <w:t>predstečaj</w:t>
            </w:r>
            <w:proofErr w:type="spellEnd"/>
          </w:p>
        </w:tc>
        <w:tc>
          <w:tcPr>
            <w:tcW w:w="813" w:type="pct"/>
            <w:shd w:val="clear" w:color="auto" w:fill="99CCFF"/>
            <w:vAlign w:val="center"/>
          </w:tcPr>
          <w:p w14:paraId="1EC5E587"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Upravni sporovi</w:t>
            </w:r>
          </w:p>
        </w:tc>
        <w:tc>
          <w:tcPr>
            <w:tcW w:w="624" w:type="pct"/>
            <w:shd w:val="clear" w:color="auto" w:fill="99CCFF"/>
            <w:noWrap/>
            <w:vAlign w:val="center"/>
          </w:tcPr>
          <w:p w14:paraId="290324FD"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Ostalo*</w:t>
            </w:r>
          </w:p>
        </w:tc>
        <w:tc>
          <w:tcPr>
            <w:tcW w:w="623" w:type="pct"/>
            <w:shd w:val="clear" w:color="auto" w:fill="99CCFF"/>
            <w:vAlign w:val="center"/>
          </w:tcPr>
          <w:p w14:paraId="78AED98B"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Ukupno:</w:t>
            </w:r>
          </w:p>
        </w:tc>
      </w:tr>
      <w:tr w:rsidR="00E07660" w:rsidRPr="001B4CA2" w14:paraId="3A330A0D" w14:textId="77777777" w:rsidTr="00CE2706">
        <w:trPr>
          <w:trHeight w:val="397"/>
          <w:jc w:val="center"/>
        </w:trPr>
        <w:tc>
          <w:tcPr>
            <w:tcW w:w="1013" w:type="pct"/>
            <w:shd w:val="clear" w:color="auto" w:fill="auto"/>
            <w:noWrap/>
            <w:vAlign w:val="center"/>
            <w:hideMark/>
          </w:tcPr>
          <w:p w14:paraId="3B3EA026"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2018.</w:t>
            </w:r>
          </w:p>
        </w:tc>
        <w:tc>
          <w:tcPr>
            <w:tcW w:w="593" w:type="pct"/>
            <w:shd w:val="clear" w:color="auto" w:fill="auto"/>
            <w:noWrap/>
            <w:vAlign w:val="center"/>
          </w:tcPr>
          <w:p w14:paraId="6C92B6F5"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742</w:t>
            </w:r>
          </w:p>
        </w:tc>
        <w:tc>
          <w:tcPr>
            <w:tcW w:w="667" w:type="pct"/>
            <w:shd w:val="clear" w:color="auto" w:fill="auto"/>
            <w:noWrap/>
            <w:vAlign w:val="center"/>
          </w:tcPr>
          <w:p w14:paraId="5381B716"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72</w:t>
            </w:r>
          </w:p>
        </w:tc>
        <w:tc>
          <w:tcPr>
            <w:tcW w:w="667" w:type="pct"/>
            <w:vAlign w:val="center"/>
          </w:tcPr>
          <w:p w14:paraId="325997FE"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6.129</w:t>
            </w:r>
          </w:p>
        </w:tc>
        <w:tc>
          <w:tcPr>
            <w:tcW w:w="813" w:type="pct"/>
            <w:vAlign w:val="center"/>
          </w:tcPr>
          <w:p w14:paraId="3228AC50"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544</w:t>
            </w:r>
          </w:p>
        </w:tc>
        <w:tc>
          <w:tcPr>
            <w:tcW w:w="624" w:type="pct"/>
            <w:shd w:val="clear" w:color="auto" w:fill="auto"/>
            <w:noWrap/>
            <w:vAlign w:val="center"/>
          </w:tcPr>
          <w:p w14:paraId="5D674603"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185</w:t>
            </w:r>
          </w:p>
        </w:tc>
        <w:tc>
          <w:tcPr>
            <w:tcW w:w="623" w:type="pct"/>
            <w:vAlign w:val="center"/>
          </w:tcPr>
          <w:p w14:paraId="5DF5CFD5"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7.672</w:t>
            </w:r>
          </w:p>
        </w:tc>
      </w:tr>
      <w:tr w:rsidR="00E07660" w:rsidRPr="001B4CA2" w14:paraId="509F7243" w14:textId="77777777" w:rsidTr="00CE2706">
        <w:trPr>
          <w:trHeight w:val="397"/>
          <w:jc w:val="center"/>
        </w:trPr>
        <w:tc>
          <w:tcPr>
            <w:tcW w:w="1013" w:type="pct"/>
            <w:shd w:val="clear" w:color="auto" w:fill="auto"/>
            <w:noWrap/>
            <w:vAlign w:val="center"/>
            <w:hideMark/>
          </w:tcPr>
          <w:p w14:paraId="53156F3C"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2019.</w:t>
            </w:r>
          </w:p>
        </w:tc>
        <w:tc>
          <w:tcPr>
            <w:tcW w:w="593" w:type="pct"/>
            <w:shd w:val="clear" w:color="auto" w:fill="auto"/>
            <w:noWrap/>
            <w:vAlign w:val="center"/>
          </w:tcPr>
          <w:p w14:paraId="78593AD1"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615</w:t>
            </w:r>
          </w:p>
        </w:tc>
        <w:tc>
          <w:tcPr>
            <w:tcW w:w="667" w:type="pct"/>
            <w:shd w:val="clear" w:color="auto" w:fill="auto"/>
            <w:noWrap/>
            <w:vAlign w:val="center"/>
          </w:tcPr>
          <w:p w14:paraId="123264F5"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67</w:t>
            </w:r>
          </w:p>
        </w:tc>
        <w:tc>
          <w:tcPr>
            <w:tcW w:w="667" w:type="pct"/>
            <w:vAlign w:val="center"/>
          </w:tcPr>
          <w:p w14:paraId="3257B663"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5.229</w:t>
            </w:r>
          </w:p>
        </w:tc>
        <w:tc>
          <w:tcPr>
            <w:tcW w:w="813" w:type="pct"/>
            <w:vAlign w:val="center"/>
          </w:tcPr>
          <w:p w14:paraId="69FCD452"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384</w:t>
            </w:r>
          </w:p>
        </w:tc>
        <w:tc>
          <w:tcPr>
            <w:tcW w:w="624" w:type="pct"/>
            <w:shd w:val="clear" w:color="auto" w:fill="auto"/>
            <w:noWrap/>
            <w:vAlign w:val="center"/>
          </w:tcPr>
          <w:p w14:paraId="236A3E42"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174</w:t>
            </w:r>
          </w:p>
        </w:tc>
        <w:tc>
          <w:tcPr>
            <w:tcW w:w="623" w:type="pct"/>
            <w:vAlign w:val="center"/>
          </w:tcPr>
          <w:p w14:paraId="3DE3361B"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6.474</w:t>
            </w:r>
          </w:p>
        </w:tc>
      </w:tr>
      <w:tr w:rsidR="00E07660" w:rsidRPr="001B4CA2" w14:paraId="60833282" w14:textId="77777777" w:rsidTr="00CE2706">
        <w:trPr>
          <w:trHeight w:val="397"/>
          <w:jc w:val="center"/>
        </w:trPr>
        <w:tc>
          <w:tcPr>
            <w:tcW w:w="1013" w:type="pct"/>
            <w:shd w:val="clear" w:color="auto" w:fill="auto"/>
            <w:noWrap/>
            <w:vAlign w:val="center"/>
            <w:hideMark/>
          </w:tcPr>
          <w:p w14:paraId="0FEF66FC"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2020.</w:t>
            </w:r>
          </w:p>
        </w:tc>
        <w:tc>
          <w:tcPr>
            <w:tcW w:w="593" w:type="pct"/>
            <w:shd w:val="clear" w:color="auto" w:fill="auto"/>
            <w:noWrap/>
            <w:vAlign w:val="center"/>
          </w:tcPr>
          <w:p w14:paraId="6E4E8193"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599</w:t>
            </w:r>
          </w:p>
        </w:tc>
        <w:tc>
          <w:tcPr>
            <w:tcW w:w="667" w:type="pct"/>
            <w:shd w:val="clear" w:color="auto" w:fill="auto"/>
            <w:noWrap/>
            <w:vAlign w:val="center"/>
          </w:tcPr>
          <w:p w14:paraId="54CDCECD"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88</w:t>
            </w:r>
          </w:p>
        </w:tc>
        <w:tc>
          <w:tcPr>
            <w:tcW w:w="667" w:type="pct"/>
            <w:vAlign w:val="center"/>
          </w:tcPr>
          <w:p w14:paraId="7683659C"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3.703</w:t>
            </w:r>
          </w:p>
        </w:tc>
        <w:tc>
          <w:tcPr>
            <w:tcW w:w="813" w:type="pct"/>
            <w:vAlign w:val="center"/>
          </w:tcPr>
          <w:p w14:paraId="29DE1B64"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384</w:t>
            </w:r>
          </w:p>
        </w:tc>
        <w:tc>
          <w:tcPr>
            <w:tcW w:w="624" w:type="pct"/>
            <w:shd w:val="clear" w:color="auto" w:fill="auto"/>
            <w:noWrap/>
            <w:vAlign w:val="center"/>
          </w:tcPr>
          <w:p w14:paraId="48CD9FC6"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246</w:t>
            </w:r>
          </w:p>
        </w:tc>
        <w:tc>
          <w:tcPr>
            <w:tcW w:w="623" w:type="pct"/>
            <w:vAlign w:val="center"/>
          </w:tcPr>
          <w:p w14:paraId="13773D9C"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5.020</w:t>
            </w:r>
          </w:p>
        </w:tc>
      </w:tr>
      <w:tr w:rsidR="00E07660" w:rsidRPr="001B4CA2" w14:paraId="34DAD209" w14:textId="77777777" w:rsidTr="00CE2706">
        <w:trPr>
          <w:trHeight w:val="397"/>
          <w:jc w:val="center"/>
        </w:trPr>
        <w:tc>
          <w:tcPr>
            <w:tcW w:w="1013" w:type="pct"/>
            <w:shd w:val="clear" w:color="auto" w:fill="auto"/>
            <w:noWrap/>
            <w:vAlign w:val="center"/>
          </w:tcPr>
          <w:p w14:paraId="24357ED8"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2021.</w:t>
            </w:r>
          </w:p>
        </w:tc>
        <w:tc>
          <w:tcPr>
            <w:tcW w:w="593" w:type="pct"/>
            <w:shd w:val="clear" w:color="auto" w:fill="auto"/>
            <w:noWrap/>
            <w:vAlign w:val="center"/>
          </w:tcPr>
          <w:p w14:paraId="334FE13D"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502</w:t>
            </w:r>
          </w:p>
        </w:tc>
        <w:tc>
          <w:tcPr>
            <w:tcW w:w="667" w:type="pct"/>
            <w:shd w:val="clear" w:color="auto" w:fill="auto"/>
            <w:noWrap/>
            <w:vAlign w:val="center"/>
          </w:tcPr>
          <w:p w14:paraId="1A80A08D"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103</w:t>
            </w:r>
          </w:p>
        </w:tc>
        <w:tc>
          <w:tcPr>
            <w:tcW w:w="667" w:type="pct"/>
            <w:vAlign w:val="center"/>
          </w:tcPr>
          <w:p w14:paraId="539C0E53"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5.384</w:t>
            </w:r>
          </w:p>
        </w:tc>
        <w:tc>
          <w:tcPr>
            <w:tcW w:w="813" w:type="pct"/>
            <w:vAlign w:val="center"/>
          </w:tcPr>
          <w:p w14:paraId="24DE5C79"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1.491</w:t>
            </w:r>
          </w:p>
        </w:tc>
        <w:tc>
          <w:tcPr>
            <w:tcW w:w="624" w:type="pct"/>
            <w:shd w:val="clear" w:color="auto" w:fill="auto"/>
            <w:noWrap/>
            <w:vAlign w:val="center"/>
          </w:tcPr>
          <w:p w14:paraId="018E4B07"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481</w:t>
            </w:r>
          </w:p>
        </w:tc>
        <w:tc>
          <w:tcPr>
            <w:tcW w:w="623" w:type="pct"/>
            <w:vAlign w:val="center"/>
          </w:tcPr>
          <w:p w14:paraId="4AE10071"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7.961</w:t>
            </w:r>
          </w:p>
        </w:tc>
      </w:tr>
      <w:tr w:rsidR="00E07660" w:rsidRPr="001B4CA2" w14:paraId="310B5863" w14:textId="77777777" w:rsidTr="00CE2706">
        <w:trPr>
          <w:trHeight w:val="397"/>
          <w:jc w:val="center"/>
        </w:trPr>
        <w:tc>
          <w:tcPr>
            <w:tcW w:w="1013" w:type="pct"/>
            <w:shd w:val="clear" w:color="auto" w:fill="auto"/>
            <w:noWrap/>
            <w:vAlign w:val="center"/>
          </w:tcPr>
          <w:p w14:paraId="49B86030"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2022.</w:t>
            </w:r>
          </w:p>
        </w:tc>
        <w:tc>
          <w:tcPr>
            <w:tcW w:w="593" w:type="pct"/>
            <w:shd w:val="clear" w:color="auto" w:fill="auto"/>
            <w:noWrap/>
            <w:vAlign w:val="center"/>
          </w:tcPr>
          <w:p w14:paraId="414EDEC4"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559</w:t>
            </w:r>
          </w:p>
        </w:tc>
        <w:tc>
          <w:tcPr>
            <w:tcW w:w="667" w:type="pct"/>
            <w:shd w:val="clear" w:color="auto" w:fill="auto"/>
            <w:noWrap/>
            <w:vAlign w:val="center"/>
          </w:tcPr>
          <w:p w14:paraId="09C4CA11"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89</w:t>
            </w:r>
          </w:p>
        </w:tc>
        <w:tc>
          <w:tcPr>
            <w:tcW w:w="667" w:type="pct"/>
            <w:vAlign w:val="center"/>
          </w:tcPr>
          <w:p w14:paraId="5D889EE1"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5.984</w:t>
            </w:r>
          </w:p>
        </w:tc>
        <w:tc>
          <w:tcPr>
            <w:tcW w:w="813" w:type="pct"/>
            <w:vAlign w:val="center"/>
          </w:tcPr>
          <w:p w14:paraId="5D43FA20"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549</w:t>
            </w:r>
          </w:p>
        </w:tc>
        <w:tc>
          <w:tcPr>
            <w:tcW w:w="624" w:type="pct"/>
            <w:shd w:val="clear" w:color="auto" w:fill="auto"/>
            <w:noWrap/>
            <w:vAlign w:val="center"/>
          </w:tcPr>
          <w:p w14:paraId="13DF760B"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400</w:t>
            </w:r>
          </w:p>
        </w:tc>
        <w:tc>
          <w:tcPr>
            <w:tcW w:w="623" w:type="pct"/>
            <w:vAlign w:val="center"/>
          </w:tcPr>
          <w:p w14:paraId="7EC0445B" w14:textId="77777777" w:rsidR="00E07660" w:rsidRPr="001B4CA2" w:rsidRDefault="00E07660" w:rsidP="00E07660">
            <w:pPr>
              <w:jc w:val="center"/>
              <w:rPr>
                <w:rFonts w:asciiTheme="minorHAnsi" w:hAnsiTheme="minorHAnsi" w:cstheme="minorHAnsi"/>
                <w:sz w:val="18"/>
                <w:szCs w:val="18"/>
                <w:lang w:eastAsia="hr-HR"/>
              </w:rPr>
            </w:pPr>
            <w:r w:rsidRPr="001B4CA2">
              <w:rPr>
                <w:rFonts w:asciiTheme="minorHAnsi" w:hAnsiTheme="minorHAnsi" w:cstheme="minorHAnsi"/>
                <w:sz w:val="18"/>
                <w:szCs w:val="18"/>
                <w:lang w:eastAsia="hr-HR"/>
              </w:rPr>
              <w:t>7.581</w:t>
            </w:r>
          </w:p>
        </w:tc>
      </w:tr>
    </w:tbl>
    <w:p w14:paraId="2FA7B85A" w14:textId="624B9C6C" w:rsidR="00773E87" w:rsidRPr="001B4CA2" w:rsidRDefault="00E6050A" w:rsidP="00773E87">
      <w:pPr>
        <w:rPr>
          <w:rFonts w:eastAsia="Times New Roman"/>
          <w:lang w:eastAsia="hr-HR"/>
        </w:rPr>
      </w:pPr>
      <w:r w:rsidRPr="001B4CA2">
        <w:rPr>
          <w:rFonts w:eastAsia="Times New Roman"/>
          <w:lang w:eastAsia="hr-HR"/>
        </w:rPr>
        <w:lastRenderedPageBreak/>
        <w:tab/>
      </w:r>
      <w:r w:rsidR="00773E87" w:rsidRPr="001B4CA2">
        <w:rPr>
          <w:rFonts w:eastAsia="Times New Roman"/>
          <w:lang w:eastAsia="hr-HR"/>
        </w:rPr>
        <w:t>Gornji tabelarni po</w:t>
      </w:r>
      <w:r w:rsidR="00FD08E9">
        <w:rPr>
          <w:rFonts w:eastAsia="Times New Roman"/>
          <w:lang w:eastAsia="hr-HR"/>
        </w:rPr>
        <w:t>datci</w:t>
      </w:r>
      <w:r w:rsidR="00773E87" w:rsidRPr="001B4CA2">
        <w:rPr>
          <w:rFonts w:eastAsia="Times New Roman"/>
          <w:lang w:eastAsia="hr-HR"/>
        </w:rPr>
        <w:t xml:space="preserve"> pokazuju da je u izvještajnom razdoblju došlo do neznatnog smanjenja ukupnog broja sudskih predmeta (4,6</w:t>
      </w:r>
      <w:r w:rsidR="00694167">
        <w:rPr>
          <w:rFonts w:eastAsia="Times New Roman"/>
          <w:lang w:eastAsia="hr-HR"/>
        </w:rPr>
        <w:t> </w:t>
      </w:r>
      <w:r w:rsidR="00773E87" w:rsidRPr="001B4CA2">
        <w:rPr>
          <w:rFonts w:eastAsia="Times New Roman"/>
          <w:lang w:eastAsia="hr-HR"/>
        </w:rPr>
        <w:t xml:space="preserve">%). Razlog smanjenja broja </w:t>
      </w:r>
      <w:proofErr w:type="spellStart"/>
      <w:r w:rsidR="00773E87" w:rsidRPr="001B4CA2">
        <w:rPr>
          <w:rFonts w:eastAsia="Times New Roman"/>
          <w:lang w:eastAsia="hr-HR"/>
        </w:rPr>
        <w:t>novozaprimljenih</w:t>
      </w:r>
      <w:proofErr w:type="spellEnd"/>
      <w:r w:rsidR="00773E87" w:rsidRPr="001B4CA2">
        <w:rPr>
          <w:rFonts w:eastAsia="Times New Roman"/>
          <w:lang w:eastAsia="hr-HR"/>
        </w:rPr>
        <w:t xml:space="preserve"> sudskih predmeta već </w:t>
      </w:r>
      <w:r w:rsidR="00694167" w:rsidRPr="001B4CA2">
        <w:rPr>
          <w:rFonts w:eastAsia="Times New Roman"/>
          <w:lang w:eastAsia="hr-HR"/>
        </w:rPr>
        <w:t xml:space="preserve">je </w:t>
      </w:r>
      <w:r w:rsidR="00773E87" w:rsidRPr="001B4CA2">
        <w:rPr>
          <w:rFonts w:eastAsia="Times New Roman"/>
          <w:lang w:eastAsia="hr-HR"/>
        </w:rPr>
        <w:t xml:space="preserve">spomenuto smanjenje broja </w:t>
      </w:r>
      <w:proofErr w:type="spellStart"/>
      <w:r w:rsidR="00773E87" w:rsidRPr="001B4CA2">
        <w:rPr>
          <w:rFonts w:eastAsia="Times New Roman"/>
          <w:lang w:eastAsia="hr-HR"/>
        </w:rPr>
        <w:t>novozaprimljenih</w:t>
      </w:r>
      <w:proofErr w:type="spellEnd"/>
      <w:r w:rsidR="00773E87" w:rsidRPr="001B4CA2">
        <w:rPr>
          <w:rFonts w:eastAsia="Times New Roman"/>
          <w:lang w:eastAsia="hr-HR"/>
        </w:rPr>
        <w:t xml:space="preserve"> predmeta upravnih sporova. </w:t>
      </w:r>
    </w:p>
    <w:p w14:paraId="50581548" w14:textId="77777777" w:rsidR="00773E87" w:rsidRPr="001B4CA2" w:rsidRDefault="00773E87" w:rsidP="00773E87">
      <w:pPr>
        <w:rPr>
          <w:rFonts w:eastAsia="Times New Roman"/>
          <w:lang w:eastAsia="hr-HR"/>
        </w:rPr>
      </w:pPr>
    </w:p>
    <w:p w14:paraId="5E355B06" w14:textId="3D1D9DE8" w:rsidR="00773E87" w:rsidRPr="001B4CA2" w:rsidRDefault="00773E87" w:rsidP="00773E87">
      <w:pPr>
        <w:rPr>
          <w:rFonts w:eastAsia="Times New Roman"/>
          <w:lang w:eastAsia="hr-HR"/>
        </w:rPr>
      </w:pPr>
      <w:r w:rsidRPr="001B4CA2">
        <w:rPr>
          <w:rFonts w:eastAsia="Times New Roman"/>
          <w:lang w:eastAsia="hr-HR"/>
        </w:rPr>
        <w:tab/>
      </w:r>
      <w:r w:rsidR="0047537B" w:rsidRPr="001B4CA2">
        <w:rPr>
          <w:rFonts w:eastAsia="Times New Roman"/>
          <w:lang w:eastAsia="hr-HR"/>
        </w:rPr>
        <w:t>A</w:t>
      </w:r>
      <w:r w:rsidRPr="001B4CA2">
        <w:rPr>
          <w:rFonts w:eastAsia="Times New Roman"/>
          <w:lang w:eastAsia="hr-HR"/>
        </w:rPr>
        <w:t>nalizirajući kretanje broja zaprimljenih sudskih predmeta u petogodišnjem razdoblju, može se zaključiti da broj predmeta u izvještajnom razdoblju prati trendove broja primljenih sudskih predmeta iz razdoblja 2018. godine.</w:t>
      </w:r>
    </w:p>
    <w:p w14:paraId="3FF1D649" w14:textId="77777777" w:rsidR="00773E87" w:rsidRPr="001B4CA2" w:rsidRDefault="00773E87" w:rsidP="00773E87">
      <w:pPr>
        <w:rPr>
          <w:rFonts w:eastAsia="Times New Roman"/>
          <w:lang w:eastAsia="hr-HR"/>
        </w:rPr>
      </w:pPr>
    </w:p>
    <w:p w14:paraId="3BB697F2" w14:textId="7D63485C" w:rsidR="00773E87" w:rsidRPr="001B4CA2" w:rsidRDefault="00773E87" w:rsidP="00773E87">
      <w:pPr>
        <w:ind w:firstLine="708"/>
        <w:rPr>
          <w:rFonts w:eastAsia="Times New Roman"/>
          <w:lang w:eastAsia="hr-HR"/>
        </w:rPr>
      </w:pPr>
      <w:r w:rsidRPr="001B4CA2">
        <w:rPr>
          <w:rFonts w:eastAsia="Times New Roman"/>
          <w:lang w:eastAsia="hr-HR"/>
        </w:rPr>
        <w:t xml:space="preserve">U izvještajnom razdoblju, analizirajući strukturu primljenih sudskih predmeta, </w:t>
      </w:r>
      <w:r w:rsidR="00694167">
        <w:rPr>
          <w:rFonts w:eastAsia="Times New Roman"/>
          <w:lang w:eastAsia="hr-HR"/>
        </w:rPr>
        <w:t>razvidno</w:t>
      </w:r>
      <w:r w:rsidRPr="001B4CA2">
        <w:rPr>
          <w:rFonts w:eastAsia="Times New Roman"/>
          <w:lang w:eastAsia="hr-HR"/>
        </w:rPr>
        <w:t xml:space="preserve"> je da je došlo do povećanja broja parničnih predmeta</w:t>
      </w:r>
      <w:r w:rsidR="00694167">
        <w:rPr>
          <w:rFonts w:eastAsia="Times New Roman"/>
          <w:lang w:eastAsia="hr-HR"/>
        </w:rPr>
        <w:t>,</w:t>
      </w:r>
      <w:r w:rsidRPr="001B4CA2">
        <w:rPr>
          <w:rFonts w:eastAsia="Times New Roman"/>
          <w:lang w:eastAsia="hr-HR"/>
        </w:rPr>
        <w:t xml:space="preserve"> i to za 11,2 % u odnosu na prethodno izvještajno razdoblje.</w:t>
      </w:r>
      <w:r w:rsidR="001B4CA2">
        <w:rPr>
          <w:rFonts w:eastAsia="Times New Roman"/>
          <w:lang w:eastAsia="hr-HR"/>
        </w:rPr>
        <w:t xml:space="preserve"> </w:t>
      </w:r>
      <w:r w:rsidRPr="001B4CA2">
        <w:rPr>
          <w:rFonts w:eastAsia="Times New Roman"/>
          <w:lang w:eastAsia="hr-HR"/>
        </w:rPr>
        <w:t>Razlog tom</w:t>
      </w:r>
      <w:r w:rsidR="00694167">
        <w:rPr>
          <w:rFonts w:eastAsia="Times New Roman"/>
          <w:lang w:eastAsia="hr-HR"/>
        </w:rPr>
        <w:t>u</w:t>
      </w:r>
      <w:r w:rsidRPr="001B4CA2">
        <w:rPr>
          <w:rFonts w:eastAsia="Times New Roman"/>
          <w:lang w:eastAsia="hr-HR"/>
        </w:rPr>
        <w:t xml:space="preserve"> je povećanje broja parnica u kojima su predmet spora </w:t>
      </w:r>
      <w:proofErr w:type="spellStart"/>
      <w:r w:rsidRPr="001B4CA2">
        <w:rPr>
          <w:rFonts w:eastAsia="Times New Roman"/>
          <w:lang w:eastAsia="hr-HR"/>
        </w:rPr>
        <w:t>stvarnopravni</w:t>
      </w:r>
      <w:proofErr w:type="spellEnd"/>
      <w:r w:rsidRPr="001B4CA2">
        <w:rPr>
          <w:rFonts w:eastAsia="Times New Roman"/>
          <w:lang w:eastAsia="hr-HR"/>
        </w:rPr>
        <w:t xml:space="preserve"> zahtjevi Republike Hrvatske i pravnih osoba. Riječ je o parnicama koje proizlaze iz prethodno vođenih zemljišnoknjižnih postupaka koji se odnose na povezivanje zemljišne knjige i knjige položenih ugovora, postupaka obnove zemljišne knjige ili pojedinačnih ispravnih postupaka. Naime, radi se o zemljišnoknjižnim postupcima koji se okončavaju sudskom odlukom protiv koje nije dopušten pravni lijek, već je radi ispravka upisa nezadovoljnoj stranci u cilju dokazivanja da sud u izvanparničnom postupku u kojem je odredio određeni upis nije pravilno utvrdio činjenice ili </w:t>
      </w:r>
      <w:r w:rsidR="004727BC" w:rsidRPr="001B4CA2">
        <w:rPr>
          <w:rFonts w:eastAsia="Times New Roman"/>
          <w:lang w:eastAsia="hr-HR"/>
        </w:rPr>
        <w:t>primijenio</w:t>
      </w:r>
      <w:r w:rsidRPr="001B4CA2">
        <w:rPr>
          <w:rFonts w:eastAsia="Times New Roman"/>
          <w:lang w:eastAsia="hr-HR"/>
        </w:rPr>
        <w:t xml:space="preserve"> materijalni propis kao pravno sredstvo moguće jedino pokretanje parnice pred nadležnom sudom. Specifičnost je ovih predmeta, parnica radi ispravka upisa, činjenica da </w:t>
      </w:r>
      <w:r w:rsidR="00694167">
        <w:rPr>
          <w:rFonts w:eastAsia="Times New Roman"/>
          <w:lang w:eastAsia="hr-HR"/>
        </w:rPr>
        <w:t>njima</w:t>
      </w:r>
      <w:r w:rsidRPr="001B4CA2">
        <w:rPr>
          <w:rFonts w:eastAsia="Times New Roman"/>
          <w:lang w:eastAsia="hr-HR"/>
        </w:rPr>
        <w:t xml:space="preserve"> ne prethode inače obvezni Zakonom o parničnom postupku (Narodne novine broj 53/91, 91/92, 58/93, 112/99, 88/01, 117/03, 88/05, 02/07, 84/08, 96/08, 123/08, 57/11, 148/11, 25/13, 89/14, 70/19, 80/22, 114/22) propisani postupci mirenja u kojima bi se </w:t>
      </w:r>
      <w:r w:rsidR="00694167">
        <w:rPr>
          <w:rFonts w:eastAsia="Times New Roman"/>
          <w:lang w:eastAsia="hr-HR"/>
        </w:rPr>
        <w:t>eventualno</w:t>
      </w:r>
      <w:r w:rsidRPr="001B4CA2">
        <w:rPr>
          <w:rFonts w:eastAsia="Times New Roman"/>
          <w:lang w:eastAsia="hr-HR"/>
        </w:rPr>
        <w:t xml:space="preserve"> </w:t>
      </w:r>
      <w:r w:rsidR="0047537B" w:rsidRPr="001B4CA2">
        <w:rPr>
          <w:rFonts w:eastAsia="Times New Roman"/>
          <w:lang w:eastAsia="hr-HR"/>
        </w:rPr>
        <w:t>sklopile</w:t>
      </w:r>
      <w:r w:rsidRPr="001B4CA2">
        <w:rPr>
          <w:rFonts w:eastAsia="Times New Roman"/>
          <w:lang w:eastAsia="hr-HR"/>
        </w:rPr>
        <w:t xml:space="preserve"> izvansudske nagodbe i izbjegao još jedan sudski postupak. Ovo iz razloga što je posebnim propisom, Zakonom o zemljišnim knjigama (Narodne novine 63/19, 128/22), određen </w:t>
      </w:r>
      <w:proofErr w:type="spellStart"/>
      <w:r w:rsidRPr="001B4CA2">
        <w:rPr>
          <w:rFonts w:eastAsia="Times New Roman"/>
          <w:lang w:eastAsia="hr-HR"/>
        </w:rPr>
        <w:t>prekluzivni</w:t>
      </w:r>
      <w:proofErr w:type="spellEnd"/>
      <w:r w:rsidRPr="001B4CA2">
        <w:rPr>
          <w:rFonts w:eastAsia="Times New Roman"/>
          <w:lang w:eastAsia="hr-HR"/>
        </w:rPr>
        <w:t xml:space="preserve"> rok za podnošenje tužbe za ispravak pa stoga ne postoji obveza podnošenja zahtjeva za mirno rješenje spora. Istaknuti sporovi najčešće su sporovi između Republike Hrvatske i jedinica lokalne samouprave (općine i gradovi), za rješavanje kojih bi bilo </w:t>
      </w:r>
      <w:r w:rsidR="00694167">
        <w:rPr>
          <w:rFonts w:eastAsia="Times New Roman"/>
          <w:lang w:eastAsia="hr-HR"/>
        </w:rPr>
        <w:t>važno</w:t>
      </w:r>
      <w:r w:rsidRPr="001B4CA2">
        <w:rPr>
          <w:rFonts w:eastAsia="Times New Roman"/>
          <w:lang w:eastAsia="hr-HR"/>
        </w:rPr>
        <w:t xml:space="preserve"> da se prije podnošenja tužbe provodi postupak mirnog rješavanja spora kako bi se izbjegao sudski parnični postupak. </w:t>
      </w:r>
    </w:p>
    <w:p w14:paraId="66EFE831" w14:textId="77777777" w:rsidR="00773E87" w:rsidRPr="001B4CA2" w:rsidRDefault="00773E87" w:rsidP="00773E87">
      <w:pPr>
        <w:ind w:firstLine="708"/>
        <w:rPr>
          <w:rFonts w:eastAsia="Times New Roman"/>
          <w:lang w:eastAsia="hr-HR"/>
        </w:rPr>
      </w:pPr>
    </w:p>
    <w:p w14:paraId="1CAB925E" w14:textId="4A970DE8" w:rsidR="00773E87" w:rsidRPr="001B4CA2" w:rsidRDefault="00773E87" w:rsidP="00773E87">
      <w:pPr>
        <w:ind w:firstLine="708"/>
      </w:pPr>
      <w:r w:rsidRPr="001B4CA2">
        <w:t xml:space="preserve">Županijska državna odvjetništva zastupaju u najsloženijim parničnim postupcima u kojima se država pojavljuje kao stranka. Ovo s obzirom na visinu zahtjeva i kompleksnost materije, </w:t>
      </w:r>
      <w:r w:rsidR="00694167">
        <w:t>ali</w:t>
      </w:r>
      <w:r w:rsidRPr="001B4CA2">
        <w:t xml:space="preserve"> i s obzirom na zahtjevnost dokaznog postupka. Izmjene Zakona o parničnom postupku iz 2022. godine dodatno će opteretiti zastupanje u parnicama, jer propisuju strožu procesnu disciplinu za stranke i njihove zastupnike, što će zasigurno utjecati na vrijeme potrebno za pripremu zastupanja u svakom pojedinom parničnom predmetu. Ovdje treba istaknuti da u zastupanju Republike Hrvatske državna odvjetništva ovise o dokumentaciji i činjenicama kojima raspolažu nadležna ministarstva i druga tijela te je osobito bitno da suradnja između tih tijela i državnog odvjetništva bude kvalitetna u cilju uspješnosti u sudskom postupku.</w:t>
      </w:r>
    </w:p>
    <w:p w14:paraId="7D1AEF92" w14:textId="77777777" w:rsidR="00773E87" w:rsidRPr="001B4CA2" w:rsidRDefault="00773E87" w:rsidP="00773E87">
      <w:pPr>
        <w:rPr>
          <w:rFonts w:eastAsia="Times New Roman"/>
          <w:lang w:eastAsia="hr-HR"/>
        </w:rPr>
      </w:pPr>
    </w:p>
    <w:p w14:paraId="0D65A290" w14:textId="1FFD69B4" w:rsidR="00773E87" w:rsidRPr="001B4CA2" w:rsidRDefault="00773E87" w:rsidP="00773E87">
      <w:pPr>
        <w:rPr>
          <w:rFonts w:eastAsia="Times New Roman"/>
          <w:lang w:eastAsia="hr-HR"/>
        </w:rPr>
      </w:pPr>
      <w:r w:rsidRPr="001B4CA2">
        <w:rPr>
          <w:rFonts w:eastAsia="Times New Roman"/>
          <w:lang w:eastAsia="hr-HR"/>
        </w:rPr>
        <w:tab/>
        <w:t xml:space="preserve">Iz analize strukture primljenih sudskih predmeta i njihova broja može se vidjeti da je u izvještajnom razdoblju u odnosu na prethodno razdoblje došlo do povećanja broja primljenih stečajnih i predstečajnih predmeta od 11,1 %. Broj ove vrste sudskih predmeta premašuje broj iz razdoblja prije nastupa posebnih okolnosti uzrokovanih </w:t>
      </w:r>
      <w:r w:rsidRPr="001B4CA2">
        <w:rPr>
          <w:rFonts w:eastAsia="Times New Roman"/>
          <w:lang w:eastAsia="hr-HR"/>
        </w:rPr>
        <w:lastRenderedPageBreak/>
        <w:t xml:space="preserve">pandemijom, a razlog povećanja svakako je i činjenica da u izvještajnom razdoblju nisu više bili na snazi propisi koji su odgađali </w:t>
      </w:r>
      <w:r w:rsidR="004727BC" w:rsidRPr="001B4CA2">
        <w:rPr>
          <w:rFonts w:eastAsia="Times New Roman"/>
          <w:lang w:eastAsia="hr-HR"/>
        </w:rPr>
        <w:t>pokretanje</w:t>
      </w:r>
      <w:r w:rsidRPr="001B4CA2">
        <w:rPr>
          <w:rFonts w:eastAsia="Times New Roman"/>
          <w:lang w:eastAsia="hr-HR"/>
        </w:rPr>
        <w:t xml:space="preserve"> stečajnih </w:t>
      </w:r>
      <w:r w:rsidR="004727BC" w:rsidRPr="001B4CA2">
        <w:rPr>
          <w:rFonts w:eastAsia="Times New Roman"/>
          <w:lang w:eastAsia="hr-HR"/>
        </w:rPr>
        <w:t>postupaka</w:t>
      </w:r>
      <w:r w:rsidRPr="001B4CA2">
        <w:rPr>
          <w:rFonts w:eastAsia="Times New Roman"/>
          <w:lang w:eastAsia="hr-HR"/>
        </w:rPr>
        <w:t>.</w:t>
      </w:r>
    </w:p>
    <w:p w14:paraId="0F1A1ECB" w14:textId="77777777" w:rsidR="00773E87" w:rsidRPr="001B4CA2" w:rsidRDefault="00773E87" w:rsidP="00773E87">
      <w:pPr>
        <w:rPr>
          <w:rFonts w:eastAsia="Times New Roman"/>
          <w:lang w:eastAsia="hr-HR"/>
        </w:rPr>
      </w:pPr>
    </w:p>
    <w:p w14:paraId="781C1939" w14:textId="0C338E0E" w:rsidR="00773E87" w:rsidRPr="001B4CA2" w:rsidRDefault="00773E87" w:rsidP="00773E87">
      <w:pPr>
        <w:rPr>
          <w:i/>
          <w:szCs w:val="22"/>
        </w:rPr>
      </w:pPr>
      <w:r w:rsidRPr="001B4CA2">
        <w:rPr>
          <w:rFonts w:eastAsia="Times New Roman"/>
          <w:lang w:eastAsia="hr-HR"/>
        </w:rPr>
        <w:tab/>
        <w:t>Županijska državna odvjetništva u izvještajnom razdoblju bilježila su manji broj primljenih ovršnih predmeta (smanjenje od 13,7</w:t>
      </w:r>
      <w:r w:rsidR="00694167">
        <w:rPr>
          <w:rFonts w:eastAsia="Times New Roman"/>
          <w:lang w:eastAsia="hr-HR"/>
        </w:rPr>
        <w:t> </w:t>
      </w:r>
      <w:r w:rsidRPr="001B4CA2">
        <w:rPr>
          <w:rFonts w:eastAsia="Times New Roman"/>
          <w:lang w:eastAsia="hr-HR"/>
        </w:rPr>
        <w:t xml:space="preserve">%) u odnosu na prethodnu 2021. godinu. No, potrebno je naglasiti da izmjene Stečajnog zakona iz 2022. godine o kojima je uvodno izloženo i kojima je </w:t>
      </w:r>
      <w:r w:rsidR="0047537B" w:rsidRPr="001B4CA2">
        <w:rPr>
          <w:rFonts w:eastAsia="Times New Roman"/>
          <w:lang w:eastAsia="hr-HR"/>
        </w:rPr>
        <w:t>izmijenjena</w:t>
      </w:r>
      <w:r w:rsidRPr="001B4CA2">
        <w:rPr>
          <w:rFonts w:eastAsia="Times New Roman"/>
          <w:lang w:eastAsia="hr-HR"/>
        </w:rPr>
        <w:t xml:space="preserve"> nadležnost sudova u ovršnim postupcima u kojima se kao stranke pojavljuju pravne osobe nad kojima je otvoren stečajni postupak, zasigurno će u </w:t>
      </w:r>
      <w:r w:rsidR="00694167">
        <w:rPr>
          <w:rFonts w:eastAsia="Times New Roman"/>
          <w:lang w:eastAsia="hr-HR"/>
        </w:rPr>
        <w:t>sljedećem</w:t>
      </w:r>
      <w:r w:rsidRPr="001B4CA2">
        <w:rPr>
          <w:rFonts w:eastAsia="Times New Roman"/>
          <w:lang w:eastAsia="hr-HR"/>
        </w:rPr>
        <w:t xml:space="preserve"> razdoblju dovesti </w:t>
      </w:r>
      <w:r w:rsidR="00694167">
        <w:rPr>
          <w:rFonts w:eastAsia="Times New Roman"/>
          <w:lang w:eastAsia="hr-HR"/>
        </w:rPr>
        <w:t xml:space="preserve">do </w:t>
      </w:r>
      <w:r w:rsidRPr="001B4CA2">
        <w:rPr>
          <w:rFonts w:eastAsia="Times New Roman"/>
          <w:lang w:eastAsia="hr-HR"/>
        </w:rPr>
        <w:t>povećanja broja ovršnih predmeta u nadležnosti županijskih državnih odvjetništava</w:t>
      </w:r>
      <w:r w:rsidRPr="001B4CA2">
        <w:rPr>
          <w:i/>
          <w:szCs w:val="22"/>
        </w:rPr>
        <w:t>.</w:t>
      </w:r>
    </w:p>
    <w:p w14:paraId="6900AAD9" w14:textId="77777777" w:rsidR="00773E87" w:rsidRPr="001B4CA2" w:rsidRDefault="00773E87" w:rsidP="00773E87">
      <w:pPr>
        <w:rPr>
          <w:i/>
          <w:szCs w:val="22"/>
        </w:rPr>
      </w:pPr>
    </w:p>
    <w:p w14:paraId="59A72C82" w14:textId="0130CFC1" w:rsidR="00773E87" w:rsidRPr="001B4CA2" w:rsidRDefault="00773E87" w:rsidP="00773E87">
      <w:pPr>
        <w:rPr>
          <w:rFonts w:eastAsia="Times New Roman"/>
          <w:lang w:eastAsia="hr-HR"/>
        </w:rPr>
      </w:pPr>
      <w:r w:rsidRPr="001B4CA2">
        <w:rPr>
          <w:i/>
          <w:szCs w:val="22"/>
        </w:rPr>
        <w:tab/>
      </w:r>
      <w:r w:rsidRPr="001B4CA2">
        <w:t>Broj predmeta</w:t>
      </w:r>
      <w:r w:rsidRPr="001B4CA2">
        <w:rPr>
          <w:rFonts w:eastAsia="Times New Roman"/>
          <w:lang w:eastAsia="hr-HR"/>
        </w:rPr>
        <w:t xml:space="preserve"> upravnih sporova smanjen je za 63,17</w:t>
      </w:r>
      <w:r w:rsidR="00694167">
        <w:rPr>
          <w:rFonts w:eastAsia="Times New Roman"/>
          <w:lang w:eastAsia="hr-HR"/>
        </w:rPr>
        <w:t> </w:t>
      </w:r>
      <w:r w:rsidRPr="001B4CA2">
        <w:rPr>
          <w:rFonts w:eastAsia="Times New Roman"/>
          <w:lang w:eastAsia="hr-HR"/>
        </w:rPr>
        <w:t xml:space="preserve">% u odnosu na prethodno razdoblje te je broj ovih predmeta bio na razini broja primljenih predmeta u svim ostalim godinama s </w:t>
      </w:r>
      <w:r w:rsidR="00694167">
        <w:rPr>
          <w:rFonts w:eastAsia="Times New Roman"/>
          <w:lang w:eastAsia="hr-HR"/>
        </w:rPr>
        <w:t>iznimkom</w:t>
      </w:r>
      <w:r w:rsidRPr="001B4CA2">
        <w:rPr>
          <w:rFonts w:eastAsia="Times New Roman"/>
          <w:lang w:eastAsia="hr-HR"/>
        </w:rPr>
        <w:t xml:space="preserve"> 2021. godine kada je Županijsko državno odvjetništvo u Splitu primilo izuzetno velik broj predmeta u kojima zastupa Ministarstvo hrvatskih branitelja</w:t>
      </w:r>
      <w:r w:rsidRPr="001B4CA2">
        <w:rPr>
          <w:i/>
          <w:szCs w:val="22"/>
        </w:rPr>
        <w:t xml:space="preserve"> </w:t>
      </w:r>
      <w:r w:rsidRPr="001B4CA2">
        <w:rPr>
          <w:rFonts w:eastAsia="Times New Roman"/>
          <w:lang w:eastAsia="hr-HR"/>
        </w:rPr>
        <w:t>na temelju izdane punomoći za zastupanje.</w:t>
      </w:r>
    </w:p>
    <w:p w14:paraId="7D6363B8" w14:textId="77777777" w:rsidR="00773E87" w:rsidRPr="001B4CA2" w:rsidRDefault="00773E87" w:rsidP="00773E87">
      <w:pPr>
        <w:rPr>
          <w:rFonts w:eastAsia="Times New Roman"/>
          <w:lang w:eastAsia="hr-HR"/>
        </w:rPr>
      </w:pPr>
    </w:p>
    <w:p w14:paraId="68F58AA5" w14:textId="4881BBDB" w:rsidR="00773E87" w:rsidRPr="001B4CA2" w:rsidRDefault="00694167" w:rsidP="00773E87">
      <w:pPr>
        <w:ind w:firstLine="708"/>
        <w:contextualSpacing/>
      </w:pPr>
      <w:r>
        <w:rPr>
          <w:rFonts w:eastAsia="Times New Roman"/>
          <w:lang w:eastAsia="hr-HR"/>
        </w:rPr>
        <w:t>M</w:t>
      </w:r>
      <w:r w:rsidR="00773E87" w:rsidRPr="001B4CA2">
        <w:rPr>
          <w:rFonts w:eastAsia="Times New Roman"/>
          <w:lang w:eastAsia="hr-HR"/>
        </w:rPr>
        <w:t xml:space="preserve">ora se spomenuti da se i u ovom izvještajnom razdoblju bilježio trend povećanja broja ostalih sudskih predmeta u radu županijskih državnih odvjetništava. Radilo se o izvanparničnim predmetima </w:t>
      </w:r>
      <w:r w:rsidR="00773E87" w:rsidRPr="001B4CA2">
        <w:t>u kojima državno odvjetništvo zastupa Republiku Hrvatsku u postupcima pred registarskim sudom po Zakonu o sudskom registru u predmetima brisanja pravnih subjekata kada se temeljem obavijesti Ministarstva financija predlaže nastavak postupka jer trgovačko društvo posjeduje imovinu.</w:t>
      </w:r>
    </w:p>
    <w:p w14:paraId="71E642ED" w14:textId="2ED4BF13" w:rsidR="00093B8D" w:rsidRPr="001B4CA2" w:rsidRDefault="00093B8D" w:rsidP="00773E87">
      <w:pPr>
        <w:rPr>
          <w:rFonts w:eastAsia="Times New Roman"/>
          <w:lang w:eastAsia="hr-HR"/>
        </w:rPr>
      </w:pPr>
    </w:p>
    <w:p w14:paraId="1A2AAA21" w14:textId="043B2085" w:rsidR="00E07660" w:rsidRPr="001B4CA2" w:rsidRDefault="00E07660" w:rsidP="00E07660">
      <w:pPr>
        <w:pStyle w:val="Odlomakpopisa"/>
        <w:tabs>
          <w:tab w:val="left" w:pos="360"/>
        </w:tabs>
        <w:ind w:left="142"/>
        <w:rPr>
          <w:rFonts w:asciiTheme="minorHAnsi" w:hAnsiTheme="minorHAnsi" w:cstheme="minorBidi"/>
          <w:i/>
          <w:szCs w:val="22"/>
        </w:rPr>
      </w:pPr>
      <w:r w:rsidRPr="001B4CA2">
        <w:rPr>
          <w:rFonts w:asciiTheme="minorHAnsi" w:hAnsiTheme="minorHAnsi" w:cstheme="minorBidi"/>
          <w:i/>
          <w:szCs w:val="22"/>
        </w:rPr>
        <w:t>d) Prikaz poduzetih radnji u sudskim i upravnim predmetima u 2022.</w:t>
      </w:r>
    </w:p>
    <w:tbl>
      <w:tblPr>
        <w:tblW w:w="9014" w:type="dxa"/>
        <w:jc w:val="center"/>
        <w:tblLook w:val="04A0" w:firstRow="1" w:lastRow="0" w:firstColumn="1" w:lastColumn="0" w:noHBand="0" w:noVBand="1"/>
      </w:tblPr>
      <w:tblGrid>
        <w:gridCol w:w="1295"/>
        <w:gridCol w:w="1972"/>
        <w:gridCol w:w="1971"/>
        <w:gridCol w:w="1971"/>
        <w:gridCol w:w="1805"/>
      </w:tblGrid>
      <w:tr w:rsidR="00E07660" w:rsidRPr="001B4CA2" w14:paraId="683E5628" w14:textId="77777777" w:rsidTr="00E07660">
        <w:trPr>
          <w:trHeight w:val="965"/>
          <w:jc w:val="center"/>
        </w:trPr>
        <w:tc>
          <w:tcPr>
            <w:tcW w:w="3267" w:type="dxa"/>
            <w:gridSpan w:val="2"/>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71CD7822"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Županijsko državno odvjetništvo</w:t>
            </w:r>
          </w:p>
          <w:p w14:paraId="7286A520"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2022.</w:t>
            </w:r>
          </w:p>
        </w:tc>
        <w:tc>
          <w:tcPr>
            <w:tcW w:w="5747" w:type="dxa"/>
            <w:gridSpan w:val="3"/>
            <w:tcBorders>
              <w:top w:val="single" w:sz="4" w:space="0" w:color="auto"/>
              <w:left w:val="nil"/>
              <w:bottom w:val="single" w:sz="4" w:space="0" w:color="auto"/>
              <w:right w:val="single" w:sz="4" w:space="0" w:color="auto"/>
            </w:tcBorders>
            <w:shd w:val="clear" w:color="auto" w:fill="99CCFF"/>
            <w:vAlign w:val="center"/>
            <w:hideMark/>
          </w:tcPr>
          <w:p w14:paraId="3279AD18"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Županijsko državno odvjetništvo</w:t>
            </w:r>
          </w:p>
          <w:p w14:paraId="00F23DED"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2022.</w:t>
            </w:r>
          </w:p>
        </w:tc>
      </w:tr>
      <w:tr w:rsidR="00E07660" w:rsidRPr="001B4CA2" w14:paraId="4E06EC1F" w14:textId="77777777" w:rsidTr="00E07660">
        <w:trPr>
          <w:trHeight w:val="932"/>
          <w:jc w:val="center"/>
        </w:trPr>
        <w:tc>
          <w:tcPr>
            <w:tcW w:w="3267" w:type="dxa"/>
            <w:gridSpan w:val="2"/>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3A7C2B0D" w14:textId="77777777" w:rsidR="00E07660" w:rsidRPr="001B4CA2" w:rsidRDefault="00E07660" w:rsidP="00E07660">
            <w:pPr>
              <w:jc w:val="center"/>
              <w:rPr>
                <w:rFonts w:eastAsia="Times New Roman"/>
                <w:b/>
                <w:bCs/>
                <w:color w:val="000000"/>
                <w:sz w:val="18"/>
                <w:szCs w:val="18"/>
                <w:lang w:eastAsia="hr-HR"/>
              </w:rPr>
            </w:pPr>
          </w:p>
        </w:tc>
        <w:tc>
          <w:tcPr>
            <w:tcW w:w="1971" w:type="dxa"/>
            <w:tcBorders>
              <w:top w:val="nil"/>
              <w:left w:val="nil"/>
              <w:bottom w:val="single" w:sz="4" w:space="0" w:color="auto"/>
              <w:right w:val="single" w:sz="4" w:space="0" w:color="auto"/>
            </w:tcBorders>
            <w:shd w:val="clear" w:color="auto" w:fill="99CCFF"/>
            <w:vAlign w:val="center"/>
            <w:hideMark/>
          </w:tcPr>
          <w:p w14:paraId="488C73F4"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Broj</w:t>
            </w:r>
          </w:p>
        </w:tc>
        <w:tc>
          <w:tcPr>
            <w:tcW w:w="1971" w:type="dxa"/>
            <w:tcBorders>
              <w:top w:val="nil"/>
              <w:left w:val="nil"/>
              <w:bottom w:val="single" w:sz="4" w:space="0" w:color="auto"/>
              <w:right w:val="single" w:sz="4" w:space="0" w:color="auto"/>
            </w:tcBorders>
            <w:shd w:val="clear" w:color="auto" w:fill="99CCFF"/>
            <w:vAlign w:val="center"/>
            <w:hideMark/>
          </w:tcPr>
          <w:p w14:paraId="4F493680"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Ukupno</w:t>
            </w:r>
          </w:p>
        </w:tc>
        <w:tc>
          <w:tcPr>
            <w:tcW w:w="1805" w:type="dxa"/>
            <w:tcBorders>
              <w:top w:val="nil"/>
              <w:left w:val="nil"/>
              <w:bottom w:val="single" w:sz="4" w:space="0" w:color="auto"/>
              <w:right w:val="single" w:sz="4" w:space="0" w:color="auto"/>
            </w:tcBorders>
            <w:shd w:val="clear" w:color="auto" w:fill="99CCFF"/>
            <w:vAlign w:val="center"/>
            <w:hideMark/>
          </w:tcPr>
          <w:p w14:paraId="46BCA4B1" w14:textId="61F898FD"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Prosječno po prisutnim</w:t>
            </w:r>
            <w:r w:rsidR="001B4CA2">
              <w:rPr>
                <w:rFonts w:eastAsia="Times New Roman"/>
                <w:b/>
                <w:bCs/>
                <w:color w:val="000000"/>
                <w:sz w:val="18"/>
                <w:szCs w:val="18"/>
                <w:lang w:eastAsia="hr-HR"/>
              </w:rPr>
              <w:t xml:space="preserve"> </w:t>
            </w:r>
            <w:proofErr w:type="spellStart"/>
            <w:r w:rsidRPr="001B4CA2">
              <w:rPr>
                <w:rFonts w:eastAsia="Times New Roman"/>
                <w:b/>
                <w:bCs/>
                <w:color w:val="000000"/>
                <w:sz w:val="18"/>
                <w:szCs w:val="18"/>
                <w:lang w:eastAsia="hr-HR"/>
              </w:rPr>
              <w:t>rješavateljima</w:t>
            </w:r>
            <w:proofErr w:type="spellEnd"/>
          </w:p>
        </w:tc>
      </w:tr>
      <w:tr w:rsidR="00E07660" w:rsidRPr="001B4CA2" w14:paraId="7AC4D987" w14:textId="77777777" w:rsidTr="00E07660">
        <w:trPr>
          <w:trHeight w:val="397"/>
          <w:jc w:val="center"/>
        </w:trPr>
        <w:tc>
          <w:tcPr>
            <w:tcW w:w="1295" w:type="dxa"/>
            <w:vMerge w:val="restart"/>
            <w:tcBorders>
              <w:top w:val="nil"/>
              <w:left w:val="single" w:sz="4" w:space="0" w:color="auto"/>
              <w:bottom w:val="single" w:sz="4" w:space="0" w:color="auto"/>
              <w:right w:val="single" w:sz="4" w:space="0" w:color="auto"/>
            </w:tcBorders>
            <w:shd w:val="clear" w:color="auto" w:fill="auto"/>
            <w:vAlign w:val="center"/>
            <w:hideMark/>
          </w:tcPr>
          <w:p w14:paraId="7A9D4896"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Rasprave</w:t>
            </w:r>
          </w:p>
        </w:tc>
        <w:tc>
          <w:tcPr>
            <w:tcW w:w="1972" w:type="dxa"/>
            <w:tcBorders>
              <w:top w:val="nil"/>
              <w:left w:val="nil"/>
              <w:bottom w:val="single" w:sz="4" w:space="0" w:color="auto"/>
              <w:right w:val="single" w:sz="4" w:space="0" w:color="auto"/>
            </w:tcBorders>
            <w:shd w:val="clear" w:color="auto" w:fill="auto"/>
            <w:noWrap/>
            <w:vAlign w:val="center"/>
            <w:hideMark/>
          </w:tcPr>
          <w:p w14:paraId="7EF68ED6"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U sjedištu</w:t>
            </w:r>
          </w:p>
        </w:tc>
        <w:tc>
          <w:tcPr>
            <w:tcW w:w="1971" w:type="dxa"/>
            <w:tcBorders>
              <w:top w:val="nil"/>
              <w:left w:val="nil"/>
              <w:bottom w:val="single" w:sz="4" w:space="0" w:color="auto"/>
              <w:right w:val="single" w:sz="4" w:space="0" w:color="auto"/>
            </w:tcBorders>
            <w:shd w:val="clear" w:color="auto" w:fill="auto"/>
            <w:noWrap/>
            <w:vAlign w:val="center"/>
          </w:tcPr>
          <w:p w14:paraId="53D29AC2" w14:textId="77777777" w:rsidR="00E07660" w:rsidRPr="001B4CA2" w:rsidRDefault="00E07660" w:rsidP="00E07660">
            <w:pPr>
              <w:jc w:val="center"/>
              <w:rPr>
                <w:color w:val="000000"/>
                <w:sz w:val="18"/>
                <w:szCs w:val="18"/>
              </w:rPr>
            </w:pPr>
            <w:r w:rsidRPr="001B4CA2">
              <w:rPr>
                <w:color w:val="000000"/>
                <w:sz w:val="18"/>
                <w:szCs w:val="18"/>
              </w:rPr>
              <w:t>3.566</w:t>
            </w:r>
          </w:p>
        </w:tc>
        <w:tc>
          <w:tcPr>
            <w:tcW w:w="1971" w:type="dxa"/>
            <w:vMerge w:val="restart"/>
            <w:tcBorders>
              <w:top w:val="nil"/>
              <w:left w:val="single" w:sz="4" w:space="0" w:color="auto"/>
              <w:bottom w:val="single" w:sz="4" w:space="0" w:color="auto"/>
              <w:right w:val="single" w:sz="4" w:space="0" w:color="auto"/>
            </w:tcBorders>
            <w:shd w:val="clear" w:color="auto" w:fill="auto"/>
            <w:noWrap/>
            <w:vAlign w:val="center"/>
          </w:tcPr>
          <w:p w14:paraId="5187D76C" w14:textId="77777777" w:rsidR="00E07660" w:rsidRPr="001B4CA2" w:rsidRDefault="00E07660" w:rsidP="00E07660">
            <w:pPr>
              <w:jc w:val="center"/>
              <w:rPr>
                <w:color w:val="000000"/>
                <w:sz w:val="18"/>
                <w:szCs w:val="18"/>
              </w:rPr>
            </w:pPr>
            <w:r w:rsidRPr="001B4CA2">
              <w:rPr>
                <w:color w:val="000000"/>
                <w:sz w:val="18"/>
                <w:szCs w:val="18"/>
              </w:rPr>
              <w:t>4.474</w:t>
            </w:r>
          </w:p>
        </w:tc>
        <w:tc>
          <w:tcPr>
            <w:tcW w:w="1805" w:type="dxa"/>
            <w:vMerge w:val="restart"/>
            <w:tcBorders>
              <w:top w:val="nil"/>
              <w:left w:val="single" w:sz="4" w:space="0" w:color="auto"/>
              <w:bottom w:val="single" w:sz="4" w:space="0" w:color="auto"/>
              <w:right w:val="single" w:sz="4" w:space="0" w:color="auto"/>
            </w:tcBorders>
            <w:shd w:val="clear" w:color="auto" w:fill="auto"/>
            <w:noWrap/>
            <w:vAlign w:val="center"/>
          </w:tcPr>
          <w:p w14:paraId="636026FE"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98</w:t>
            </w:r>
          </w:p>
        </w:tc>
      </w:tr>
      <w:tr w:rsidR="00E07660" w:rsidRPr="001B4CA2" w14:paraId="3324A82B" w14:textId="77777777" w:rsidTr="00E07660">
        <w:trPr>
          <w:trHeight w:val="397"/>
          <w:jc w:val="center"/>
        </w:trPr>
        <w:tc>
          <w:tcPr>
            <w:tcW w:w="1295" w:type="dxa"/>
            <w:vMerge/>
            <w:tcBorders>
              <w:top w:val="nil"/>
              <w:left w:val="single" w:sz="4" w:space="0" w:color="auto"/>
              <w:bottom w:val="single" w:sz="4" w:space="0" w:color="auto"/>
              <w:right w:val="single" w:sz="4" w:space="0" w:color="auto"/>
            </w:tcBorders>
            <w:vAlign w:val="center"/>
            <w:hideMark/>
          </w:tcPr>
          <w:p w14:paraId="6CDA0886" w14:textId="77777777" w:rsidR="00E07660" w:rsidRPr="001B4CA2" w:rsidRDefault="00E07660" w:rsidP="00E07660">
            <w:pPr>
              <w:jc w:val="center"/>
              <w:rPr>
                <w:rFonts w:eastAsia="Times New Roman"/>
                <w:bCs/>
                <w:color w:val="000000"/>
                <w:sz w:val="18"/>
                <w:szCs w:val="18"/>
                <w:lang w:eastAsia="hr-HR"/>
              </w:rPr>
            </w:pPr>
          </w:p>
        </w:tc>
        <w:tc>
          <w:tcPr>
            <w:tcW w:w="1972" w:type="dxa"/>
            <w:tcBorders>
              <w:top w:val="nil"/>
              <w:left w:val="nil"/>
              <w:bottom w:val="single" w:sz="4" w:space="0" w:color="auto"/>
              <w:right w:val="single" w:sz="4" w:space="0" w:color="auto"/>
            </w:tcBorders>
            <w:shd w:val="clear" w:color="auto" w:fill="auto"/>
            <w:noWrap/>
            <w:vAlign w:val="center"/>
            <w:hideMark/>
          </w:tcPr>
          <w:p w14:paraId="0385FFE2"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Izvan sjedišta</w:t>
            </w:r>
          </w:p>
        </w:tc>
        <w:tc>
          <w:tcPr>
            <w:tcW w:w="1971" w:type="dxa"/>
            <w:tcBorders>
              <w:top w:val="nil"/>
              <w:left w:val="nil"/>
              <w:bottom w:val="single" w:sz="4" w:space="0" w:color="auto"/>
              <w:right w:val="single" w:sz="4" w:space="0" w:color="auto"/>
            </w:tcBorders>
            <w:shd w:val="clear" w:color="auto" w:fill="auto"/>
            <w:noWrap/>
            <w:vAlign w:val="center"/>
          </w:tcPr>
          <w:p w14:paraId="46B636AD" w14:textId="77777777" w:rsidR="00E07660" w:rsidRPr="001B4CA2" w:rsidRDefault="00E07660" w:rsidP="00E07660">
            <w:pPr>
              <w:jc w:val="center"/>
              <w:rPr>
                <w:color w:val="000000"/>
                <w:sz w:val="18"/>
                <w:szCs w:val="18"/>
              </w:rPr>
            </w:pPr>
            <w:r w:rsidRPr="001B4CA2">
              <w:rPr>
                <w:color w:val="000000"/>
                <w:sz w:val="18"/>
                <w:szCs w:val="18"/>
              </w:rPr>
              <w:t>908</w:t>
            </w:r>
          </w:p>
        </w:tc>
        <w:tc>
          <w:tcPr>
            <w:tcW w:w="1971" w:type="dxa"/>
            <w:vMerge/>
            <w:tcBorders>
              <w:top w:val="nil"/>
              <w:left w:val="single" w:sz="4" w:space="0" w:color="auto"/>
              <w:bottom w:val="single" w:sz="4" w:space="0" w:color="auto"/>
              <w:right w:val="single" w:sz="4" w:space="0" w:color="auto"/>
            </w:tcBorders>
            <w:vAlign w:val="center"/>
          </w:tcPr>
          <w:p w14:paraId="575C5FD1" w14:textId="77777777" w:rsidR="00E07660" w:rsidRPr="001B4CA2" w:rsidRDefault="00E07660" w:rsidP="00E07660">
            <w:pPr>
              <w:jc w:val="center"/>
              <w:rPr>
                <w:rFonts w:eastAsia="Times New Roman"/>
                <w:b/>
                <w:bCs/>
                <w:color w:val="000000"/>
                <w:sz w:val="20"/>
                <w:szCs w:val="20"/>
                <w:lang w:eastAsia="hr-HR"/>
              </w:rPr>
            </w:pPr>
          </w:p>
        </w:tc>
        <w:tc>
          <w:tcPr>
            <w:tcW w:w="1805" w:type="dxa"/>
            <w:vMerge/>
            <w:tcBorders>
              <w:top w:val="nil"/>
              <w:left w:val="single" w:sz="4" w:space="0" w:color="auto"/>
              <w:bottom w:val="single" w:sz="4" w:space="0" w:color="auto"/>
              <w:right w:val="single" w:sz="4" w:space="0" w:color="auto"/>
            </w:tcBorders>
            <w:vAlign w:val="center"/>
          </w:tcPr>
          <w:p w14:paraId="0DD4AE05" w14:textId="77777777" w:rsidR="00E07660" w:rsidRPr="001B4CA2" w:rsidRDefault="00E07660" w:rsidP="00E07660">
            <w:pPr>
              <w:jc w:val="center"/>
              <w:rPr>
                <w:rFonts w:eastAsia="Times New Roman"/>
                <w:bCs/>
                <w:color w:val="000000"/>
                <w:sz w:val="18"/>
                <w:szCs w:val="18"/>
                <w:lang w:eastAsia="hr-HR"/>
              </w:rPr>
            </w:pPr>
          </w:p>
        </w:tc>
      </w:tr>
      <w:tr w:rsidR="00E07660" w:rsidRPr="001B4CA2" w14:paraId="75B43E40" w14:textId="77777777" w:rsidTr="00E07660">
        <w:trPr>
          <w:trHeight w:val="397"/>
          <w:jc w:val="center"/>
        </w:trPr>
        <w:tc>
          <w:tcPr>
            <w:tcW w:w="1295" w:type="dxa"/>
            <w:vMerge w:val="restart"/>
            <w:tcBorders>
              <w:top w:val="nil"/>
              <w:left w:val="single" w:sz="4" w:space="0" w:color="auto"/>
              <w:bottom w:val="single" w:sz="4" w:space="0" w:color="auto"/>
              <w:right w:val="single" w:sz="4" w:space="0" w:color="auto"/>
            </w:tcBorders>
            <w:shd w:val="clear" w:color="auto" w:fill="auto"/>
            <w:vAlign w:val="center"/>
            <w:hideMark/>
          </w:tcPr>
          <w:p w14:paraId="205455DC"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Uloženi pravni lijekovi</w:t>
            </w:r>
          </w:p>
        </w:tc>
        <w:tc>
          <w:tcPr>
            <w:tcW w:w="1972" w:type="dxa"/>
            <w:tcBorders>
              <w:top w:val="nil"/>
              <w:left w:val="nil"/>
              <w:bottom w:val="single" w:sz="4" w:space="0" w:color="auto"/>
              <w:right w:val="single" w:sz="4" w:space="0" w:color="auto"/>
            </w:tcBorders>
            <w:shd w:val="clear" w:color="auto" w:fill="auto"/>
            <w:noWrap/>
            <w:vAlign w:val="center"/>
            <w:hideMark/>
          </w:tcPr>
          <w:p w14:paraId="5E6EA366"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Redovni</w:t>
            </w:r>
          </w:p>
        </w:tc>
        <w:tc>
          <w:tcPr>
            <w:tcW w:w="1971" w:type="dxa"/>
            <w:tcBorders>
              <w:top w:val="nil"/>
              <w:left w:val="nil"/>
              <w:bottom w:val="single" w:sz="4" w:space="0" w:color="auto"/>
              <w:right w:val="single" w:sz="4" w:space="0" w:color="auto"/>
            </w:tcBorders>
            <w:shd w:val="clear" w:color="auto" w:fill="auto"/>
            <w:noWrap/>
            <w:vAlign w:val="center"/>
          </w:tcPr>
          <w:p w14:paraId="557F6F06" w14:textId="77777777" w:rsidR="00E07660" w:rsidRPr="001B4CA2" w:rsidRDefault="00E07660" w:rsidP="00E07660">
            <w:pPr>
              <w:jc w:val="center"/>
              <w:rPr>
                <w:color w:val="000000"/>
                <w:sz w:val="18"/>
                <w:szCs w:val="18"/>
              </w:rPr>
            </w:pPr>
            <w:r w:rsidRPr="001B4CA2">
              <w:rPr>
                <w:color w:val="000000"/>
                <w:sz w:val="18"/>
                <w:szCs w:val="18"/>
              </w:rPr>
              <w:t>266</w:t>
            </w:r>
          </w:p>
        </w:tc>
        <w:tc>
          <w:tcPr>
            <w:tcW w:w="1971" w:type="dxa"/>
            <w:vMerge w:val="restart"/>
            <w:tcBorders>
              <w:top w:val="nil"/>
              <w:left w:val="single" w:sz="4" w:space="0" w:color="auto"/>
              <w:bottom w:val="single" w:sz="4" w:space="0" w:color="auto"/>
              <w:right w:val="single" w:sz="4" w:space="0" w:color="auto"/>
            </w:tcBorders>
            <w:shd w:val="clear" w:color="auto" w:fill="auto"/>
            <w:noWrap/>
            <w:vAlign w:val="center"/>
          </w:tcPr>
          <w:p w14:paraId="14D31365" w14:textId="77777777" w:rsidR="00E07660" w:rsidRPr="001B4CA2" w:rsidRDefault="00E07660" w:rsidP="00E07660">
            <w:pPr>
              <w:jc w:val="center"/>
              <w:rPr>
                <w:color w:val="000000"/>
                <w:sz w:val="18"/>
                <w:szCs w:val="18"/>
              </w:rPr>
            </w:pPr>
            <w:r w:rsidRPr="001B4CA2">
              <w:rPr>
                <w:color w:val="000000"/>
                <w:sz w:val="18"/>
                <w:szCs w:val="18"/>
              </w:rPr>
              <w:t>370</w:t>
            </w:r>
          </w:p>
        </w:tc>
        <w:tc>
          <w:tcPr>
            <w:tcW w:w="1805" w:type="dxa"/>
            <w:vMerge w:val="restart"/>
            <w:tcBorders>
              <w:top w:val="nil"/>
              <w:left w:val="single" w:sz="4" w:space="0" w:color="auto"/>
              <w:bottom w:val="single" w:sz="4" w:space="0" w:color="auto"/>
              <w:right w:val="single" w:sz="4" w:space="0" w:color="auto"/>
            </w:tcBorders>
            <w:shd w:val="clear" w:color="auto" w:fill="auto"/>
            <w:noWrap/>
            <w:vAlign w:val="center"/>
          </w:tcPr>
          <w:p w14:paraId="009BD7D9"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8</w:t>
            </w:r>
          </w:p>
        </w:tc>
      </w:tr>
      <w:tr w:rsidR="00E07660" w:rsidRPr="001B4CA2" w14:paraId="53C5D5C0" w14:textId="77777777" w:rsidTr="00E07660">
        <w:trPr>
          <w:trHeight w:val="397"/>
          <w:jc w:val="center"/>
        </w:trPr>
        <w:tc>
          <w:tcPr>
            <w:tcW w:w="1295" w:type="dxa"/>
            <w:vMerge/>
            <w:tcBorders>
              <w:top w:val="nil"/>
              <w:left w:val="single" w:sz="4" w:space="0" w:color="auto"/>
              <w:bottom w:val="single" w:sz="4" w:space="0" w:color="auto"/>
              <w:right w:val="single" w:sz="4" w:space="0" w:color="auto"/>
            </w:tcBorders>
            <w:vAlign w:val="center"/>
            <w:hideMark/>
          </w:tcPr>
          <w:p w14:paraId="1EC513B7" w14:textId="77777777" w:rsidR="00E07660" w:rsidRPr="001B4CA2" w:rsidRDefault="00E07660" w:rsidP="00E07660">
            <w:pPr>
              <w:jc w:val="center"/>
              <w:rPr>
                <w:rFonts w:eastAsia="Times New Roman"/>
                <w:bCs/>
                <w:color w:val="000000"/>
                <w:sz w:val="18"/>
                <w:szCs w:val="18"/>
                <w:lang w:eastAsia="hr-HR"/>
              </w:rPr>
            </w:pPr>
          </w:p>
        </w:tc>
        <w:tc>
          <w:tcPr>
            <w:tcW w:w="1972" w:type="dxa"/>
            <w:tcBorders>
              <w:top w:val="nil"/>
              <w:left w:val="nil"/>
              <w:bottom w:val="single" w:sz="4" w:space="0" w:color="auto"/>
              <w:right w:val="single" w:sz="4" w:space="0" w:color="auto"/>
            </w:tcBorders>
            <w:shd w:val="clear" w:color="auto" w:fill="auto"/>
            <w:noWrap/>
            <w:vAlign w:val="center"/>
            <w:hideMark/>
          </w:tcPr>
          <w:p w14:paraId="0992193E"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Izvanredni</w:t>
            </w:r>
          </w:p>
        </w:tc>
        <w:tc>
          <w:tcPr>
            <w:tcW w:w="1971" w:type="dxa"/>
            <w:tcBorders>
              <w:top w:val="nil"/>
              <w:left w:val="nil"/>
              <w:bottom w:val="single" w:sz="4" w:space="0" w:color="auto"/>
              <w:right w:val="single" w:sz="4" w:space="0" w:color="auto"/>
            </w:tcBorders>
            <w:shd w:val="clear" w:color="auto" w:fill="auto"/>
            <w:noWrap/>
            <w:vAlign w:val="center"/>
          </w:tcPr>
          <w:p w14:paraId="44DF171F" w14:textId="77777777" w:rsidR="00E07660" w:rsidRPr="001B4CA2" w:rsidRDefault="00E07660" w:rsidP="00E07660">
            <w:pPr>
              <w:jc w:val="center"/>
              <w:rPr>
                <w:color w:val="000000"/>
                <w:sz w:val="18"/>
                <w:szCs w:val="18"/>
              </w:rPr>
            </w:pPr>
            <w:r w:rsidRPr="001B4CA2">
              <w:rPr>
                <w:color w:val="000000"/>
                <w:sz w:val="18"/>
                <w:szCs w:val="18"/>
              </w:rPr>
              <w:t>104</w:t>
            </w:r>
          </w:p>
        </w:tc>
        <w:tc>
          <w:tcPr>
            <w:tcW w:w="1971" w:type="dxa"/>
            <w:vMerge/>
            <w:tcBorders>
              <w:top w:val="nil"/>
              <w:left w:val="single" w:sz="4" w:space="0" w:color="auto"/>
              <w:bottom w:val="single" w:sz="4" w:space="0" w:color="auto"/>
              <w:right w:val="single" w:sz="4" w:space="0" w:color="auto"/>
            </w:tcBorders>
            <w:vAlign w:val="center"/>
          </w:tcPr>
          <w:p w14:paraId="3D86D18F" w14:textId="77777777" w:rsidR="00E07660" w:rsidRPr="001B4CA2" w:rsidRDefault="00E07660" w:rsidP="00E07660">
            <w:pPr>
              <w:jc w:val="center"/>
              <w:rPr>
                <w:rFonts w:eastAsia="Times New Roman"/>
                <w:b/>
                <w:bCs/>
                <w:color w:val="000000"/>
                <w:sz w:val="18"/>
                <w:szCs w:val="18"/>
                <w:lang w:eastAsia="hr-HR"/>
              </w:rPr>
            </w:pPr>
          </w:p>
        </w:tc>
        <w:tc>
          <w:tcPr>
            <w:tcW w:w="1805" w:type="dxa"/>
            <w:vMerge/>
            <w:tcBorders>
              <w:top w:val="nil"/>
              <w:left w:val="single" w:sz="4" w:space="0" w:color="auto"/>
              <w:bottom w:val="single" w:sz="4" w:space="0" w:color="auto"/>
              <w:right w:val="single" w:sz="4" w:space="0" w:color="auto"/>
            </w:tcBorders>
            <w:vAlign w:val="center"/>
          </w:tcPr>
          <w:p w14:paraId="782237DB" w14:textId="77777777" w:rsidR="00E07660" w:rsidRPr="001B4CA2" w:rsidRDefault="00E07660" w:rsidP="00E07660">
            <w:pPr>
              <w:jc w:val="center"/>
              <w:rPr>
                <w:rFonts w:eastAsia="Times New Roman"/>
                <w:b/>
                <w:bCs/>
                <w:color w:val="000000"/>
                <w:sz w:val="18"/>
                <w:szCs w:val="18"/>
                <w:lang w:eastAsia="hr-HR"/>
              </w:rPr>
            </w:pPr>
          </w:p>
        </w:tc>
      </w:tr>
    </w:tbl>
    <w:p w14:paraId="63C795A1" w14:textId="77777777" w:rsidR="00E07660" w:rsidRPr="001B4CA2" w:rsidRDefault="00E07660" w:rsidP="00E07660"/>
    <w:p w14:paraId="2D5E4D37" w14:textId="77777777" w:rsidR="00773E87" w:rsidRPr="001B4CA2" w:rsidRDefault="00773E87" w:rsidP="00773E87">
      <w:pPr>
        <w:ind w:firstLine="708"/>
      </w:pPr>
      <w:r w:rsidRPr="001B4CA2">
        <w:t>Zamjenici, viši savjetnici i savjetnici u županijskim državnim odvjetništvima u zastupanju Republike Hrvatske obavljaju rasprave koje se održavaju u sjedištu i izvan sjedišta državnih odvjetništava.</w:t>
      </w:r>
    </w:p>
    <w:p w14:paraId="15C51159" w14:textId="77777777" w:rsidR="00773E87" w:rsidRPr="001B4CA2" w:rsidRDefault="00773E87" w:rsidP="00773E87"/>
    <w:p w14:paraId="4437390E" w14:textId="3410AF61" w:rsidR="00773E87" w:rsidRPr="001B4CA2" w:rsidRDefault="00773E87" w:rsidP="00773E87">
      <w:pPr>
        <w:ind w:firstLine="708"/>
      </w:pPr>
      <w:r w:rsidRPr="001B4CA2">
        <w:t>U odnosu na proteklu godinu evidentiran je manji broj rasprava, i to za 12,2 %</w:t>
      </w:r>
      <w:r w:rsidR="00694167">
        <w:t>,</w:t>
      </w:r>
      <w:r w:rsidRPr="001B4CA2">
        <w:t xml:space="preserve"> te ih je ukupno obavljeno 4</w:t>
      </w:r>
      <w:r w:rsidR="00E6050A" w:rsidRPr="001B4CA2">
        <w:t>.</w:t>
      </w:r>
      <w:r w:rsidRPr="001B4CA2">
        <w:t>474, od čega 908 ili 20,3 % izvan sjedišta državnih odvjetništava.</w:t>
      </w:r>
    </w:p>
    <w:p w14:paraId="1594B0FF" w14:textId="77777777" w:rsidR="00773E87" w:rsidRPr="001B4CA2" w:rsidRDefault="00773E87" w:rsidP="00773E87"/>
    <w:p w14:paraId="0456D120" w14:textId="77777777" w:rsidR="00773E87" w:rsidRPr="001B4CA2" w:rsidRDefault="00773E87" w:rsidP="00773E87">
      <w:pPr>
        <w:ind w:firstLine="708"/>
      </w:pPr>
      <w:r w:rsidRPr="001B4CA2">
        <w:t xml:space="preserve">Županijska državna odvjetništva u Puli, Sisku, Velikoj Gorici i Vukovaru isključivo zastupaju na sudovima izvan svog sjedišta – trgovački i upravni sudovi u </w:t>
      </w:r>
      <w:r w:rsidRPr="001B4CA2">
        <w:lastRenderedPageBreak/>
        <w:t>Pazinu, Zagrebu, Karlovcu i Osijeku, dok županijska državna odvjetništva u Bjelovaru, Dubrovniku, Karlovcu, Slavonskom Brodu, Šibeniku i Varaždinu zastupaju na sudovima u svome sjedištu i izvan njega.</w:t>
      </w:r>
    </w:p>
    <w:p w14:paraId="11A16BBB" w14:textId="77777777" w:rsidR="00773E87" w:rsidRPr="001B4CA2" w:rsidRDefault="00773E87" w:rsidP="00773E87"/>
    <w:p w14:paraId="78AE93C3" w14:textId="77777777" w:rsidR="00773E87" w:rsidRPr="001B4CA2" w:rsidRDefault="00773E87" w:rsidP="00773E87">
      <w:pPr>
        <w:ind w:firstLine="708"/>
      </w:pPr>
      <w:r w:rsidRPr="001B4CA2">
        <w:t>Zastupanje izvan sjedišta predstavlja veliko opterećenje u radu državnog odvjetništva s obzirom na udaljenosti između sjedišta državnih odvjetništava i trgovačkih, odnosno upravnih sudova, što oduzima velik dio radnog vremena. Potrebno je napomenuti da na te rasprave zamjenici uglavnom putuju javnim prijevozom.</w:t>
      </w:r>
    </w:p>
    <w:p w14:paraId="5C678DD5" w14:textId="77777777" w:rsidR="00773E87" w:rsidRPr="001B4CA2" w:rsidRDefault="00773E87" w:rsidP="00773E87"/>
    <w:p w14:paraId="0BB91719" w14:textId="11AA49F7" w:rsidR="00773E87" w:rsidRPr="001B4CA2" w:rsidRDefault="00773E87" w:rsidP="00773E87">
      <w:pPr>
        <w:ind w:firstLine="708"/>
      </w:pPr>
      <w:r w:rsidRPr="001B4CA2">
        <w:t xml:space="preserve">Tijekom izvještajnog razdoblja učestalo je bilo zastupanje u sudskim postupcima na ročištima koja se održavaju na daljinu uz korištenje odgovarajućih audiovizualnih uređaja, a koje sudovi određuju u smislu izmijenjene odredbe članka 115. Zakona o parničnom postupku. Smatramo </w:t>
      </w:r>
      <w:r w:rsidR="00694167">
        <w:t>važnim</w:t>
      </w:r>
      <w:r w:rsidRPr="001B4CA2">
        <w:t xml:space="preserve"> da je </w:t>
      </w:r>
      <w:r w:rsidR="00694167">
        <w:t>potkraj</w:t>
      </w:r>
      <w:r w:rsidRPr="001B4CA2">
        <w:t xml:space="preserve"> 2022. godine ministar nadležan za poslove pravosuđa donio Pravilnik o održavanju ročišta na daljinu (NN 154/2022), a na koju je </w:t>
      </w:r>
      <w:r w:rsidR="00694167" w:rsidRPr="001B4CA2">
        <w:t xml:space="preserve">potrebu </w:t>
      </w:r>
      <w:r w:rsidRPr="001B4CA2">
        <w:t xml:space="preserve">ukazivalo i državno odvjetništvo u svojim ranijim izvješćima o radu. Tim je </w:t>
      </w:r>
      <w:r w:rsidR="004727BC" w:rsidRPr="001B4CA2">
        <w:t>Pravilnikom</w:t>
      </w:r>
      <w:r w:rsidRPr="001B4CA2">
        <w:t xml:space="preserve"> sada propisan način održavanja ročišta na daljinu i izvođenja pojedinih dokaza uz korištenje odgovarajućih audiovizualnih uređaja i tehnoloških platformi. Ovo je posebno važno jer je ovim podzakonskim aktom sada propisano postupanje suda i stranaka u situacijama koje su ranije zbog </w:t>
      </w:r>
      <w:proofErr w:type="spellStart"/>
      <w:r w:rsidRPr="001B4CA2">
        <w:t>podnormiranosti</w:t>
      </w:r>
      <w:proofErr w:type="spellEnd"/>
      <w:r w:rsidRPr="001B4CA2">
        <w:t xml:space="preserve"> bile dvojbene (npr. utvrđivanje identiteta stranaka i drugih sudionika postupka).</w:t>
      </w:r>
    </w:p>
    <w:p w14:paraId="56B7D114" w14:textId="77777777" w:rsidR="00773E87" w:rsidRPr="001B4CA2" w:rsidRDefault="00773E87" w:rsidP="00773E87"/>
    <w:p w14:paraId="64DCD28A" w14:textId="77777777" w:rsidR="00773E87" w:rsidRPr="001B4CA2" w:rsidRDefault="00773E87" w:rsidP="00773E87">
      <w:pPr>
        <w:ind w:firstLine="708"/>
      </w:pPr>
      <w:r w:rsidRPr="001B4CA2">
        <w:t xml:space="preserve"> Praksa postupanja suda određivanjem rasprave na daljinu bila je prisutna i u stečajnim postupcima u slučajevima kada se radi o stečaju u kojem ne sudjeluje velik broj vjerovnika.</w:t>
      </w:r>
    </w:p>
    <w:p w14:paraId="0685F604" w14:textId="77777777" w:rsidR="00773E87" w:rsidRPr="001B4CA2" w:rsidRDefault="00773E87" w:rsidP="00773E87"/>
    <w:p w14:paraId="5C3BB0EC" w14:textId="77777777" w:rsidR="00773E87" w:rsidRPr="001B4CA2" w:rsidRDefault="00773E87" w:rsidP="00773E87">
      <w:pPr>
        <w:ind w:firstLine="708"/>
      </w:pPr>
      <w:r w:rsidRPr="001B4CA2">
        <w:t>Ovdje je potrebno naglasiti da za ovakav način rada županijska državna odvjetništva moraju biti potpuno tehnički opremljena te da ne bi smjelo dolaziti do tehničkih smetnji u vezama koje su katkad uzrokovane kvalitetom tehničke opreme drugih stranaka koje su sudjelovale na tim ročištima.</w:t>
      </w:r>
    </w:p>
    <w:p w14:paraId="78FF33C9" w14:textId="77777777" w:rsidR="00773E87" w:rsidRPr="001B4CA2" w:rsidRDefault="00773E87" w:rsidP="00773E87"/>
    <w:p w14:paraId="71728EFE" w14:textId="7FC6A091" w:rsidR="00773E87" w:rsidRPr="001B4CA2" w:rsidRDefault="00773E87" w:rsidP="00773E87">
      <w:pPr>
        <w:ind w:firstLine="708"/>
      </w:pPr>
      <w:r w:rsidRPr="001B4CA2">
        <w:t xml:space="preserve">S obzirom na zakonom propisanu obvezu o elektroničkoj komunikaciji, državno odvjetništvo sve podneske u sudskim predmetima pred trgovačkim sudovima dostavlja elektroničkim servisom i ta je komunikacija kvalitetna i dobra. Problem predstavlja primitak i otprema velikih dokumenata (podnesaka i priloga). No, s obzirom na dobru komunikaciju između državnog odvjetništva i tehničkih službi sudova koja je zadužena za e-komunikaciju, svi problemi u dostavi velikih, opsežnih podnesaka i dokumentacije otklanjaju </w:t>
      </w:r>
      <w:r w:rsidR="00694167" w:rsidRPr="001B4CA2">
        <w:t xml:space="preserve">se </w:t>
      </w:r>
      <w:r w:rsidRPr="001B4CA2">
        <w:t xml:space="preserve">upravo iz razloga dobre i </w:t>
      </w:r>
      <w:r w:rsidR="004727BC" w:rsidRPr="001B4CA2">
        <w:t>kvalitetne</w:t>
      </w:r>
      <w:r w:rsidRPr="001B4CA2">
        <w:t xml:space="preserve"> suradnje između pravosudnih tijela.</w:t>
      </w:r>
    </w:p>
    <w:p w14:paraId="52E4928B" w14:textId="77777777" w:rsidR="00773E87" w:rsidRPr="001B4CA2" w:rsidRDefault="00773E87" w:rsidP="00773E87"/>
    <w:p w14:paraId="25D6CA78" w14:textId="77777777" w:rsidR="00773E87" w:rsidRPr="001B4CA2" w:rsidRDefault="00773E87" w:rsidP="00773E87">
      <w:pPr>
        <w:ind w:firstLine="708"/>
      </w:pPr>
      <w:r w:rsidRPr="001B4CA2">
        <w:t>U izvještajnom razdoblju izjavljeno je 266 redovnih i 104 izvanredna pravna lijeka.</w:t>
      </w:r>
    </w:p>
    <w:p w14:paraId="3C222D9E" w14:textId="77777777" w:rsidR="00773E87" w:rsidRPr="001B4CA2" w:rsidRDefault="00773E87" w:rsidP="00773E87">
      <w:pPr>
        <w:ind w:firstLine="708"/>
      </w:pPr>
    </w:p>
    <w:p w14:paraId="063CDFF1" w14:textId="6B959E90" w:rsidR="00773E87" w:rsidRPr="001B4CA2" w:rsidRDefault="00773E87" w:rsidP="00773E87">
      <w:pPr>
        <w:ind w:firstLine="708"/>
      </w:pPr>
      <w:r w:rsidRPr="001B4CA2">
        <w:t>Broj redovnih pravnih lijekova prati trend iz prethodnog razdoblja i ovdje nije bilo bitnijih odstupanja, no kod izvanrednih pravnih lijekova</w:t>
      </w:r>
      <w:r w:rsidR="00694167">
        <w:t>,</w:t>
      </w:r>
      <w:r w:rsidRPr="001B4CA2">
        <w:t xml:space="preserve"> u koje ubrajamo i prijedloge za dopuštenje revizije i revizije po dopuštenju, u odnosu na 2021. godinu evidentno je povećanje od 262 %. Razlog tome je činjenica da je u zastupanju Republike Hrvatske, Ministarstva znanosti i obrazovanja, u istovrsnim sporovima sa znanstvenim i visokoobrazovnim ustanovama koji se odnose na zahtjeve za </w:t>
      </w:r>
      <w:r w:rsidRPr="001B4CA2">
        <w:lastRenderedPageBreak/>
        <w:t>isplatama iznosa razlike plaća koje su ustanove isplatile svojim zaposlenicima, u većem broju predmeta zatražena intervencija Vrhovnog suda Republike Hrvatske radi odgovora na određeno pitanje u cilju ujednačavanja sudske prakse i ravnopravnosti svih u primjeni prava. Stoga je u izvještajnom razdoblju bio povećan broj podnesenih prijedloga za dopuštenje i revizija po dopuštenju najvišeg suda.</w:t>
      </w:r>
    </w:p>
    <w:p w14:paraId="5424C4C3" w14:textId="76916160" w:rsidR="00093B8D" w:rsidRPr="001B4CA2" w:rsidRDefault="00093B8D" w:rsidP="00E07660"/>
    <w:p w14:paraId="204F097C" w14:textId="090394AA" w:rsidR="00BB4D48" w:rsidRPr="001B4CA2" w:rsidRDefault="00BB4D48" w:rsidP="0002334C">
      <w:pPr>
        <w:pStyle w:val="Naslov4"/>
        <w:tabs>
          <w:tab w:val="left" w:pos="993"/>
        </w:tabs>
        <w:ind w:left="284" w:hanging="142"/>
        <w:rPr>
          <w:rFonts w:ascii="Arial" w:hAnsi="Arial" w:cs="Arial"/>
        </w:rPr>
      </w:pPr>
      <w:bookmarkStart w:id="88" w:name="_Toc133394346"/>
      <w:r w:rsidRPr="001B4CA2">
        <w:rPr>
          <w:rFonts w:ascii="Arial" w:hAnsi="Arial" w:cs="Arial"/>
        </w:rPr>
        <w:t>Predmeti</w:t>
      </w:r>
      <w:r w:rsidR="007C50CA" w:rsidRPr="001B4CA2">
        <w:rPr>
          <w:rFonts w:ascii="Arial" w:hAnsi="Arial" w:cs="Arial"/>
        </w:rPr>
        <w:t xml:space="preserve"> </w:t>
      </w:r>
      <w:r w:rsidRPr="001B4CA2">
        <w:rPr>
          <w:rFonts w:ascii="Arial" w:hAnsi="Arial" w:cs="Arial"/>
        </w:rPr>
        <w:t>iz</w:t>
      </w:r>
      <w:r w:rsidR="00A60F77" w:rsidRPr="001B4CA2">
        <w:rPr>
          <w:rFonts w:ascii="Arial" w:hAnsi="Arial" w:cs="Arial"/>
        </w:rPr>
        <w:t>vansudskog</w:t>
      </w:r>
      <w:r w:rsidR="007C50CA" w:rsidRPr="001B4CA2">
        <w:rPr>
          <w:rFonts w:ascii="Arial" w:hAnsi="Arial" w:cs="Arial"/>
        </w:rPr>
        <w:t xml:space="preserve"> </w:t>
      </w:r>
      <w:r w:rsidR="00A60F77" w:rsidRPr="001B4CA2">
        <w:rPr>
          <w:rFonts w:ascii="Arial" w:hAnsi="Arial" w:cs="Arial"/>
        </w:rPr>
        <w:t>rješavanja</w:t>
      </w:r>
      <w:r w:rsidR="007C50CA" w:rsidRPr="001B4CA2">
        <w:rPr>
          <w:rFonts w:ascii="Arial" w:hAnsi="Arial" w:cs="Arial"/>
        </w:rPr>
        <w:t xml:space="preserve"> </w:t>
      </w:r>
      <w:r w:rsidR="00A60F77" w:rsidRPr="001B4CA2">
        <w:rPr>
          <w:rFonts w:ascii="Arial" w:hAnsi="Arial" w:cs="Arial"/>
        </w:rPr>
        <w:t>sporova</w:t>
      </w:r>
      <w:bookmarkEnd w:id="88"/>
    </w:p>
    <w:p w14:paraId="06AC3B7B" w14:textId="08A11A64" w:rsidR="00A654F4" w:rsidRPr="001B4CA2" w:rsidRDefault="00A654F4" w:rsidP="00C45F97"/>
    <w:p w14:paraId="29483BD7" w14:textId="77777777" w:rsidR="00773E87" w:rsidRPr="001B4CA2" w:rsidRDefault="00773E87" w:rsidP="00773E87">
      <w:pPr>
        <w:ind w:firstLine="708"/>
        <w:rPr>
          <w:rFonts w:asciiTheme="minorHAnsi" w:hAnsiTheme="minorHAnsi" w:cstheme="minorBidi"/>
          <w:szCs w:val="22"/>
        </w:rPr>
      </w:pPr>
      <w:r w:rsidRPr="001B4CA2">
        <w:t xml:space="preserve">U građanskim i upravnim predmetima državna odvjetništva dužna su, kad god je to moguće, sklapati nagodbe i poduzeti sve u okviru svojih zakonskih ovlasti da se sporovi rješavaju mirnim putem izvan sudskih postupaka, štiteći pri tome interese Republike Hrvatske. </w:t>
      </w:r>
    </w:p>
    <w:p w14:paraId="532C5CFA" w14:textId="77777777" w:rsidR="00773E87" w:rsidRPr="001B4CA2" w:rsidRDefault="00773E87" w:rsidP="00773E87">
      <w:pPr>
        <w:ind w:firstLine="708"/>
        <w:rPr>
          <w:rFonts w:asciiTheme="minorHAnsi" w:hAnsiTheme="minorHAnsi" w:cstheme="minorBidi"/>
          <w:szCs w:val="22"/>
        </w:rPr>
      </w:pPr>
    </w:p>
    <w:p w14:paraId="67F7D3A9" w14:textId="60EC209F" w:rsidR="00773E87" w:rsidRPr="001B4CA2" w:rsidRDefault="00773E87" w:rsidP="00773E87">
      <w:pPr>
        <w:rPr>
          <w:rFonts w:asciiTheme="minorHAnsi" w:hAnsiTheme="minorHAnsi" w:cstheme="minorBidi"/>
          <w:szCs w:val="22"/>
        </w:rPr>
      </w:pPr>
      <w:r w:rsidRPr="001B4CA2">
        <w:tab/>
        <w:t xml:space="preserve">Predmeti izvansudskog rješavanja sporova odnose se na obvezu propisanu člankom 186.a ZPP-a da se osoba koja namjerava podnijeti tužbu protiv Republike Hrvatske prije podnošenja tužbe obrati sa zahtjevom za mirno rješenje spora državnom odvjetništvu koje je stvarno i mjesno nadležno za zastupanje pred sudom kojem namjerava podnijeti tužbu. Ista obveza postoji i za Republiku Hrvatsku. </w:t>
      </w:r>
      <w:r w:rsidR="004727BC" w:rsidRPr="001B4CA2">
        <w:t>Postupanje</w:t>
      </w:r>
      <w:r w:rsidRPr="001B4CA2">
        <w:t xml:space="preserve"> u ovoj vrsti predmeta iznimno je </w:t>
      </w:r>
      <w:r w:rsidR="00694167">
        <w:t>važno</w:t>
      </w:r>
      <w:r w:rsidRPr="001B4CA2">
        <w:t xml:space="preserve"> jer su nagodbe sklopljene temeljem odredbe članka186.a ZPP-a ovršne isprave, po svojoj pravnoj snazi izjednačene s pravomoćnom sudskom odlukom. Ujedno, </w:t>
      </w:r>
      <w:r w:rsidR="00694167">
        <w:t>važno</w:t>
      </w:r>
      <w:r w:rsidRPr="001B4CA2">
        <w:t xml:space="preserve"> je i iz razloga što u slučaju izostanka sklapanja nagodbe omogućuju kvalitetniju pripremu za parnice koje uslijede nakon neuspješnog postupka mirenja. To je posebno važno imajući u vidu recentne izmjene propisa koj</w:t>
      </w:r>
      <w:r w:rsidR="00694167">
        <w:t>i</w:t>
      </w:r>
      <w:r w:rsidRPr="001B4CA2">
        <w:t>m</w:t>
      </w:r>
      <w:r w:rsidR="00694167">
        <w:t>a</w:t>
      </w:r>
      <w:r w:rsidRPr="001B4CA2">
        <w:t xml:space="preserve"> je uređen parnični postupak, a koji uvodi sve strožu procesnu disciplinu. Također, dobro obrazloženo i na zakonu i sudskoj praksi argumentirano otklanjanje zahtjeva za </w:t>
      </w:r>
      <w:r w:rsidR="0020162B" w:rsidRPr="001B4CA2">
        <w:t>sklapanje</w:t>
      </w:r>
      <w:r w:rsidRPr="001B4CA2">
        <w:t xml:space="preserve"> nagodbe odvraća stranke od pokretanja sudskog postupka koji bi za njih rezultirao nepovoljnom sudskom odlukom uz obvezu plaćanja troškova izgubljenog sudskog postupka. Stavovi i obrazloženja državnog odvjetništva upravo </w:t>
      </w:r>
      <w:r w:rsidR="004D157F" w:rsidRPr="001B4CA2">
        <w:t xml:space="preserve">su </w:t>
      </w:r>
      <w:r w:rsidRPr="001B4CA2">
        <w:t xml:space="preserve">bili razlog zbog kojeg su stranke u konačnici odustale od pokretanja sudskog postupka. </w:t>
      </w:r>
      <w:r w:rsidRPr="001B4CA2">
        <w:rPr>
          <w:rFonts w:asciiTheme="minorHAnsi" w:hAnsiTheme="minorHAnsi" w:cstheme="minorBidi"/>
          <w:szCs w:val="22"/>
        </w:rPr>
        <w:t xml:space="preserve">Nakon postupka u kojem je izostalo sklapanje nagodbe u evidenciju parničnih postupaka </w:t>
      </w:r>
      <w:r w:rsidRPr="001B4CA2">
        <w:t>prenesena su samo 253 zahtjeva.</w:t>
      </w:r>
    </w:p>
    <w:p w14:paraId="46D38F9E" w14:textId="77777777" w:rsidR="00E07660" w:rsidRPr="001B4CA2" w:rsidRDefault="00E07660" w:rsidP="00B26CD2"/>
    <w:p w14:paraId="7D714C7D" w14:textId="37DCD6B2" w:rsidR="00BB4D48" w:rsidRPr="001B4CA2" w:rsidRDefault="00BB4D48" w:rsidP="0002334C">
      <w:pPr>
        <w:pStyle w:val="Naslov5"/>
        <w:ind w:left="284" w:firstLine="0"/>
        <w:rPr>
          <w:rFonts w:ascii="Arial" w:hAnsi="Arial" w:cs="Arial"/>
        </w:rPr>
      </w:pPr>
      <w:bookmarkStart w:id="89" w:name="_Toc133394347"/>
      <w:r w:rsidRPr="001B4CA2">
        <w:rPr>
          <w:rFonts w:ascii="Arial" w:hAnsi="Arial" w:cs="Arial"/>
        </w:rPr>
        <w:t>Mirno rješavanje sporova (članak</w:t>
      </w:r>
      <w:r w:rsidR="00F062E4" w:rsidRPr="001B4CA2">
        <w:rPr>
          <w:rFonts w:ascii="Arial" w:hAnsi="Arial" w:cs="Arial"/>
        </w:rPr>
        <w:t xml:space="preserve"> </w:t>
      </w:r>
      <w:r w:rsidRPr="001B4CA2">
        <w:rPr>
          <w:rFonts w:ascii="Arial" w:hAnsi="Arial" w:cs="Arial"/>
        </w:rPr>
        <w:t>186.a</w:t>
      </w:r>
      <w:r w:rsidR="00F062E4" w:rsidRPr="001B4CA2">
        <w:rPr>
          <w:rFonts w:ascii="Arial" w:hAnsi="Arial" w:cs="Arial"/>
        </w:rPr>
        <w:t xml:space="preserve"> </w:t>
      </w:r>
      <w:r w:rsidR="00A60F77" w:rsidRPr="001B4CA2">
        <w:rPr>
          <w:rFonts w:ascii="Arial" w:hAnsi="Arial" w:cs="Arial"/>
        </w:rPr>
        <w:t xml:space="preserve">Zakona o parničnom </w:t>
      </w:r>
      <w:r w:rsidR="0002334C" w:rsidRPr="001B4CA2">
        <w:rPr>
          <w:rFonts w:ascii="Arial" w:hAnsi="Arial" w:cs="Arial"/>
        </w:rPr>
        <w:tab/>
      </w:r>
      <w:r w:rsidR="0002334C" w:rsidRPr="001B4CA2">
        <w:rPr>
          <w:rFonts w:ascii="Arial" w:hAnsi="Arial" w:cs="Arial"/>
        </w:rPr>
        <w:tab/>
      </w:r>
      <w:r w:rsidR="0002334C" w:rsidRPr="001B4CA2">
        <w:rPr>
          <w:rFonts w:ascii="Arial" w:hAnsi="Arial" w:cs="Arial"/>
        </w:rPr>
        <w:tab/>
      </w:r>
      <w:r w:rsidR="00A60F77" w:rsidRPr="001B4CA2">
        <w:rPr>
          <w:rFonts w:ascii="Arial" w:hAnsi="Arial" w:cs="Arial"/>
        </w:rPr>
        <w:t>postupku)</w:t>
      </w:r>
      <w:bookmarkEnd w:id="89"/>
    </w:p>
    <w:p w14:paraId="4526B33A" w14:textId="30FA920B" w:rsidR="00577F51" w:rsidRPr="001B4CA2" w:rsidRDefault="00F062E4" w:rsidP="00A654F4">
      <w:r w:rsidRPr="001B4CA2">
        <w:t xml:space="preserve"> </w:t>
      </w:r>
    </w:p>
    <w:p w14:paraId="153242D2" w14:textId="55AA08A2" w:rsidR="00E07660" w:rsidRPr="001B4CA2" w:rsidRDefault="00A654F4" w:rsidP="00E07660">
      <w:pPr>
        <w:pStyle w:val="Odlomakpopisa"/>
        <w:ind w:left="360"/>
        <w:rPr>
          <w:rFonts w:asciiTheme="minorHAnsi" w:hAnsiTheme="minorHAnsi" w:cstheme="minorBidi"/>
          <w:i/>
          <w:szCs w:val="22"/>
        </w:rPr>
      </w:pPr>
      <w:r w:rsidRPr="001B4CA2">
        <w:rPr>
          <w:i/>
        </w:rPr>
        <w:t xml:space="preserve">a) </w:t>
      </w:r>
      <w:r w:rsidR="00E07660" w:rsidRPr="001B4CA2">
        <w:rPr>
          <w:rFonts w:asciiTheme="minorHAnsi" w:hAnsiTheme="minorHAnsi" w:cstheme="minorBidi"/>
          <w:i/>
          <w:szCs w:val="22"/>
        </w:rPr>
        <w:t>Zahtjev za mirno rješenje spora (186.a ZPP-a) 2018. – 20</w:t>
      </w:r>
      <w:r w:rsidR="00F062E4" w:rsidRPr="001B4CA2">
        <w:rPr>
          <w:rFonts w:asciiTheme="minorHAnsi" w:hAnsiTheme="minorHAnsi" w:cstheme="minorBidi"/>
          <w:i/>
          <w:szCs w:val="22"/>
        </w:rPr>
        <w:t>22</w:t>
      </w:r>
      <w:r w:rsidR="00E07660" w:rsidRPr="001B4CA2">
        <w:rPr>
          <w:rFonts w:asciiTheme="minorHAnsi" w:hAnsiTheme="minorHAnsi" w:cstheme="minorBidi"/>
          <w:i/>
          <w:szCs w:val="22"/>
        </w:rPr>
        <w:t>.</w:t>
      </w:r>
    </w:p>
    <w:tbl>
      <w:tblPr>
        <w:tblW w:w="4841" w:type="pct"/>
        <w:jc w:val="center"/>
        <w:tblLook w:val="04A0" w:firstRow="1" w:lastRow="0" w:firstColumn="1" w:lastColumn="0" w:noHBand="0" w:noVBand="1"/>
      </w:tblPr>
      <w:tblGrid>
        <w:gridCol w:w="836"/>
        <w:gridCol w:w="861"/>
        <w:gridCol w:w="1172"/>
        <w:gridCol w:w="1172"/>
        <w:gridCol w:w="1172"/>
        <w:gridCol w:w="1226"/>
        <w:gridCol w:w="1348"/>
        <w:gridCol w:w="1206"/>
      </w:tblGrid>
      <w:tr w:rsidR="00E07660" w:rsidRPr="001B4CA2" w14:paraId="2C2BB4CC" w14:textId="77777777" w:rsidTr="00CE2706">
        <w:trPr>
          <w:trHeight w:val="894"/>
          <w:jc w:val="center"/>
        </w:trPr>
        <w:tc>
          <w:tcPr>
            <w:tcW w:w="440" w:type="pct"/>
            <w:tcBorders>
              <w:top w:val="single" w:sz="4" w:space="0" w:color="auto"/>
              <w:left w:val="single" w:sz="4" w:space="0" w:color="auto"/>
              <w:bottom w:val="single" w:sz="4" w:space="0" w:color="auto"/>
              <w:right w:val="single" w:sz="4" w:space="0" w:color="auto"/>
            </w:tcBorders>
            <w:shd w:val="clear" w:color="auto" w:fill="99CCFF"/>
            <w:vAlign w:val="center"/>
            <w:hideMark/>
          </w:tcPr>
          <w:p w14:paraId="443A2C6F"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Godina</w:t>
            </w:r>
          </w:p>
        </w:tc>
        <w:tc>
          <w:tcPr>
            <w:tcW w:w="482" w:type="pct"/>
            <w:tcBorders>
              <w:top w:val="single" w:sz="4" w:space="0" w:color="auto"/>
              <w:left w:val="nil"/>
              <w:bottom w:val="single" w:sz="4" w:space="0" w:color="auto"/>
              <w:right w:val="single" w:sz="4" w:space="0" w:color="auto"/>
            </w:tcBorders>
            <w:shd w:val="clear" w:color="auto" w:fill="99CCFF"/>
            <w:vAlign w:val="center"/>
            <w:hideMark/>
          </w:tcPr>
          <w:p w14:paraId="06C7765E"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Ostalo u radu u DO</w:t>
            </w:r>
          </w:p>
        </w:tc>
        <w:tc>
          <w:tcPr>
            <w:tcW w:w="655" w:type="pct"/>
            <w:tcBorders>
              <w:top w:val="single" w:sz="4" w:space="0" w:color="auto"/>
              <w:left w:val="nil"/>
              <w:bottom w:val="single" w:sz="4" w:space="0" w:color="auto"/>
              <w:right w:val="single" w:sz="4" w:space="0" w:color="auto"/>
            </w:tcBorders>
            <w:shd w:val="clear" w:color="auto" w:fill="99CCFF"/>
            <w:vAlign w:val="center"/>
            <w:hideMark/>
          </w:tcPr>
          <w:p w14:paraId="2D14B809"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 xml:space="preserve">Primljeno novih </w:t>
            </w:r>
            <w:r w:rsidRPr="001B4CA2">
              <w:rPr>
                <w:rFonts w:eastAsia="Times New Roman"/>
                <w:b/>
                <w:bCs/>
                <w:sz w:val="18"/>
                <w:szCs w:val="18"/>
                <w:lang w:eastAsia="hr-HR"/>
              </w:rPr>
              <w:t>zahtjeva</w:t>
            </w:r>
          </w:p>
        </w:tc>
        <w:tc>
          <w:tcPr>
            <w:tcW w:w="655" w:type="pct"/>
            <w:tcBorders>
              <w:top w:val="single" w:sz="4" w:space="0" w:color="auto"/>
              <w:left w:val="nil"/>
              <w:bottom w:val="single" w:sz="4" w:space="0" w:color="auto"/>
              <w:right w:val="single" w:sz="4" w:space="0" w:color="auto"/>
            </w:tcBorders>
            <w:shd w:val="clear" w:color="auto" w:fill="99CCFF"/>
            <w:vAlign w:val="center"/>
            <w:hideMark/>
          </w:tcPr>
          <w:p w14:paraId="0EE4FA7A"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Ukupno u radu u DO</w:t>
            </w:r>
          </w:p>
        </w:tc>
        <w:tc>
          <w:tcPr>
            <w:tcW w:w="655" w:type="pct"/>
            <w:tcBorders>
              <w:top w:val="single" w:sz="4" w:space="0" w:color="auto"/>
              <w:left w:val="nil"/>
              <w:bottom w:val="single" w:sz="4" w:space="0" w:color="auto"/>
              <w:right w:val="single" w:sz="4" w:space="0" w:color="auto"/>
            </w:tcBorders>
            <w:shd w:val="clear" w:color="auto" w:fill="99CCFF"/>
            <w:vAlign w:val="center"/>
            <w:hideMark/>
          </w:tcPr>
          <w:p w14:paraId="0169DF8F"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Riješeno</w:t>
            </w:r>
          </w:p>
        </w:tc>
        <w:tc>
          <w:tcPr>
            <w:tcW w:w="685" w:type="pct"/>
            <w:tcBorders>
              <w:top w:val="single" w:sz="4" w:space="0" w:color="auto"/>
              <w:left w:val="nil"/>
              <w:bottom w:val="single" w:sz="4" w:space="0" w:color="auto"/>
              <w:right w:val="single" w:sz="4" w:space="0" w:color="auto"/>
            </w:tcBorders>
            <w:shd w:val="clear" w:color="auto" w:fill="99CCFF"/>
            <w:vAlign w:val="center"/>
            <w:hideMark/>
          </w:tcPr>
          <w:p w14:paraId="55B21E21"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Vrijednost svih novih zahtj</w:t>
            </w:r>
            <w:r w:rsidRPr="001B4CA2">
              <w:rPr>
                <w:rFonts w:eastAsia="Times New Roman"/>
                <w:b/>
                <w:bCs/>
                <w:sz w:val="18"/>
                <w:szCs w:val="18"/>
                <w:lang w:eastAsia="hr-HR"/>
              </w:rPr>
              <w:t>eva</w:t>
            </w:r>
          </w:p>
          <w:p w14:paraId="2D3AC623"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(u tisućama kuna)</w:t>
            </w:r>
          </w:p>
        </w:tc>
        <w:tc>
          <w:tcPr>
            <w:tcW w:w="753" w:type="pct"/>
            <w:tcBorders>
              <w:top w:val="single" w:sz="4" w:space="0" w:color="auto"/>
              <w:left w:val="nil"/>
              <w:bottom w:val="single" w:sz="4" w:space="0" w:color="auto"/>
              <w:right w:val="single" w:sz="4" w:space="0" w:color="auto"/>
            </w:tcBorders>
            <w:shd w:val="clear" w:color="auto" w:fill="99CCFF"/>
            <w:vAlign w:val="center"/>
            <w:hideMark/>
          </w:tcPr>
          <w:p w14:paraId="42CFEC1B"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Broj sklopljenih nagodbi</w:t>
            </w:r>
          </w:p>
        </w:tc>
        <w:tc>
          <w:tcPr>
            <w:tcW w:w="674" w:type="pct"/>
            <w:tcBorders>
              <w:top w:val="single" w:sz="4" w:space="0" w:color="auto"/>
              <w:left w:val="nil"/>
              <w:bottom w:val="single" w:sz="4" w:space="0" w:color="auto"/>
              <w:right w:val="single" w:sz="4" w:space="0" w:color="auto"/>
            </w:tcBorders>
            <w:shd w:val="clear" w:color="auto" w:fill="99CCFF"/>
            <w:vAlign w:val="center"/>
            <w:hideMark/>
          </w:tcPr>
          <w:p w14:paraId="3DA194E9"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 xml:space="preserve">Vrijednost </w:t>
            </w:r>
            <w:r w:rsidRPr="001B4CA2">
              <w:rPr>
                <w:rFonts w:eastAsia="Times New Roman"/>
                <w:b/>
                <w:bCs/>
                <w:sz w:val="18"/>
                <w:szCs w:val="18"/>
                <w:lang w:eastAsia="hr-HR"/>
              </w:rPr>
              <w:t>svih</w:t>
            </w:r>
            <w:r w:rsidRPr="001B4CA2">
              <w:rPr>
                <w:rFonts w:eastAsia="Times New Roman"/>
                <w:b/>
                <w:bCs/>
                <w:color w:val="FF0000"/>
                <w:sz w:val="18"/>
                <w:szCs w:val="18"/>
                <w:lang w:eastAsia="hr-HR"/>
              </w:rPr>
              <w:t xml:space="preserve"> </w:t>
            </w:r>
            <w:r w:rsidRPr="001B4CA2">
              <w:rPr>
                <w:rFonts w:eastAsia="Times New Roman"/>
                <w:b/>
                <w:bCs/>
                <w:color w:val="000000"/>
                <w:sz w:val="18"/>
                <w:szCs w:val="18"/>
                <w:lang w:eastAsia="hr-HR"/>
              </w:rPr>
              <w:t>sklopljenih nagodbi</w:t>
            </w:r>
          </w:p>
          <w:p w14:paraId="7ADA84F5" w14:textId="77777777" w:rsidR="00E07660" w:rsidRPr="001B4CA2" w:rsidRDefault="00E07660" w:rsidP="00E07660">
            <w:pPr>
              <w:jc w:val="center"/>
              <w:rPr>
                <w:rFonts w:eastAsia="Times New Roman"/>
                <w:b/>
                <w:bCs/>
                <w:color w:val="000000"/>
                <w:sz w:val="18"/>
                <w:szCs w:val="18"/>
                <w:lang w:eastAsia="hr-HR"/>
              </w:rPr>
            </w:pPr>
            <w:r w:rsidRPr="001B4CA2">
              <w:rPr>
                <w:rFonts w:eastAsia="Times New Roman"/>
                <w:b/>
                <w:bCs/>
                <w:color w:val="000000"/>
                <w:sz w:val="18"/>
                <w:szCs w:val="18"/>
                <w:lang w:eastAsia="hr-HR"/>
              </w:rPr>
              <w:t>(u tisućama kuna)</w:t>
            </w:r>
          </w:p>
        </w:tc>
      </w:tr>
      <w:tr w:rsidR="00E07660" w:rsidRPr="001B4CA2" w14:paraId="43656813" w14:textId="77777777" w:rsidTr="00CE2706">
        <w:trPr>
          <w:trHeight w:val="397"/>
          <w:jc w:val="center"/>
        </w:trPr>
        <w:tc>
          <w:tcPr>
            <w:tcW w:w="440" w:type="pct"/>
            <w:tcBorders>
              <w:top w:val="nil"/>
              <w:left w:val="single" w:sz="4" w:space="0" w:color="auto"/>
              <w:bottom w:val="single" w:sz="4" w:space="0" w:color="auto"/>
              <w:right w:val="single" w:sz="4" w:space="0" w:color="auto"/>
            </w:tcBorders>
            <w:shd w:val="clear" w:color="auto" w:fill="auto"/>
            <w:noWrap/>
            <w:vAlign w:val="center"/>
          </w:tcPr>
          <w:p w14:paraId="23C3D173"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2018.</w:t>
            </w:r>
          </w:p>
        </w:tc>
        <w:tc>
          <w:tcPr>
            <w:tcW w:w="482" w:type="pct"/>
            <w:tcBorders>
              <w:top w:val="nil"/>
              <w:left w:val="nil"/>
              <w:bottom w:val="single" w:sz="4" w:space="0" w:color="auto"/>
              <w:right w:val="single" w:sz="4" w:space="0" w:color="auto"/>
            </w:tcBorders>
            <w:shd w:val="clear" w:color="auto" w:fill="auto"/>
            <w:noWrap/>
            <w:vAlign w:val="center"/>
          </w:tcPr>
          <w:p w14:paraId="2A46EC5D"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490</w:t>
            </w:r>
          </w:p>
        </w:tc>
        <w:tc>
          <w:tcPr>
            <w:tcW w:w="655" w:type="pct"/>
            <w:tcBorders>
              <w:top w:val="nil"/>
              <w:left w:val="nil"/>
              <w:bottom w:val="single" w:sz="4" w:space="0" w:color="auto"/>
              <w:right w:val="single" w:sz="4" w:space="0" w:color="auto"/>
            </w:tcBorders>
            <w:shd w:val="clear" w:color="auto" w:fill="auto"/>
            <w:noWrap/>
            <w:vAlign w:val="center"/>
          </w:tcPr>
          <w:p w14:paraId="7DE67F7A"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2.383</w:t>
            </w:r>
          </w:p>
        </w:tc>
        <w:tc>
          <w:tcPr>
            <w:tcW w:w="655" w:type="pct"/>
            <w:tcBorders>
              <w:top w:val="nil"/>
              <w:left w:val="nil"/>
              <w:bottom w:val="single" w:sz="4" w:space="0" w:color="auto"/>
              <w:right w:val="single" w:sz="4" w:space="0" w:color="auto"/>
            </w:tcBorders>
            <w:shd w:val="clear" w:color="auto" w:fill="auto"/>
            <w:noWrap/>
            <w:vAlign w:val="center"/>
          </w:tcPr>
          <w:p w14:paraId="0EB56768"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2.873</w:t>
            </w:r>
          </w:p>
        </w:tc>
        <w:tc>
          <w:tcPr>
            <w:tcW w:w="655" w:type="pct"/>
            <w:tcBorders>
              <w:top w:val="nil"/>
              <w:left w:val="nil"/>
              <w:bottom w:val="single" w:sz="4" w:space="0" w:color="auto"/>
              <w:right w:val="single" w:sz="4" w:space="0" w:color="auto"/>
            </w:tcBorders>
            <w:shd w:val="clear" w:color="auto" w:fill="auto"/>
            <w:noWrap/>
            <w:vAlign w:val="center"/>
          </w:tcPr>
          <w:p w14:paraId="604CAC76"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2.433</w:t>
            </w:r>
          </w:p>
        </w:tc>
        <w:tc>
          <w:tcPr>
            <w:tcW w:w="685" w:type="pct"/>
            <w:tcBorders>
              <w:top w:val="nil"/>
              <w:left w:val="nil"/>
              <w:bottom w:val="single" w:sz="4" w:space="0" w:color="auto"/>
              <w:right w:val="single" w:sz="4" w:space="0" w:color="auto"/>
            </w:tcBorders>
            <w:shd w:val="clear" w:color="auto" w:fill="auto"/>
            <w:noWrap/>
            <w:vAlign w:val="center"/>
          </w:tcPr>
          <w:p w14:paraId="78812718" w14:textId="621644DE" w:rsidR="00E07660" w:rsidRPr="001B4CA2" w:rsidRDefault="001B4CA2" w:rsidP="00E07660">
            <w:pPr>
              <w:jc w:val="center"/>
              <w:rPr>
                <w:rFonts w:eastAsia="Times New Roman"/>
                <w:color w:val="000000"/>
                <w:sz w:val="18"/>
                <w:szCs w:val="18"/>
                <w:lang w:eastAsia="hr-HR"/>
              </w:rPr>
            </w:pPr>
            <w:r>
              <w:rPr>
                <w:rFonts w:eastAsia="Times New Roman"/>
                <w:color w:val="000000"/>
                <w:sz w:val="18"/>
                <w:szCs w:val="18"/>
                <w:lang w:eastAsia="hr-HR"/>
              </w:rPr>
              <w:t xml:space="preserve"> </w:t>
            </w:r>
            <w:r w:rsidR="00E07660" w:rsidRPr="001B4CA2">
              <w:rPr>
                <w:rFonts w:eastAsia="Times New Roman"/>
                <w:color w:val="000000"/>
                <w:sz w:val="18"/>
                <w:szCs w:val="18"/>
                <w:lang w:eastAsia="hr-HR"/>
              </w:rPr>
              <w:t xml:space="preserve"> 941.677</w:t>
            </w:r>
          </w:p>
        </w:tc>
        <w:tc>
          <w:tcPr>
            <w:tcW w:w="753" w:type="pct"/>
            <w:tcBorders>
              <w:top w:val="nil"/>
              <w:left w:val="nil"/>
              <w:bottom w:val="single" w:sz="4" w:space="0" w:color="auto"/>
              <w:right w:val="single" w:sz="4" w:space="0" w:color="auto"/>
            </w:tcBorders>
            <w:shd w:val="clear" w:color="auto" w:fill="auto"/>
            <w:noWrap/>
            <w:vAlign w:val="center"/>
          </w:tcPr>
          <w:p w14:paraId="0DC5CA12"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852</w:t>
            </w:r>
          </w:p>
        </w:tc>
        <w:tc>
          <w:tcPr>
            <w:tcW w:w="674" w:type="pct"/>
            <w:tcBorders>
              <w:top w:val="nil"/>
              <w:left w:val="nil"/>
              <w:bottom w:val="single" w:sz="4" w:space="0" w:color="auto"/>
              <w:right w:val="single" w:sz="4" w:space="0" w:color="auto"/>
            </w:tcBorders>
            <w:shd w:val="clear" w:color="auto" w:fill="auto"/>
            <w:noWrap/>
            <w:vAlign w:val="center"/>
          </w:tcPr>
          <w:p w14:paraId="77E5BBE0"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163.990</w:t>
            </w:r>
          </w:p>
        </w:tc>
      </w:tr>
      <w:tr w:rsidR="00E07660" w:rsidRPr="001B4CA2" w14:paraId="769FCD7B" w14:textId="77777777" w:rsidTr="00CE2706">
        <w:trPr>
          <w:trHeight w:val="397"/>
          <w:jc w:val="center"/>
        </w:trPr>
        <w:tc>
          <w:tcPr>
            <w:tcW w:w="440" w:type="pct"/>
            <w:tcBorders>
              <w:top w:val="nil"/>
              <w:left w:val="single" w:sz="4" w:space="0" w:color="auto"/>
              <w:bottom w:val="single" w:sz="4" w:space="0" w:color="auto"/>
              <w:right w:val="single" w:sz="4" w:space="0" w:color="auto"/>
            </w:tcBorders>
            <w:shd w:val="clear" w:color="auto" w:fill="auto"/>
            <w:noWrap/>
            <w:vAlign w:val="center"/>
          </w:tcPr>
          <w:p w14:paraId="245689BB" w14:textId="77777777" w:rsidR="00E07660" w:rsidRPr="001B4CA2" w:rsidRDefault="00E07660" w:rsidP="00E07660">
            <w:pPr>
              <w:jc w:val="center"/>
              <w:rPr>
                <w:rFonts w:eastAsia="Times New Roman"/>
                <w:bCs/>
                <w:color w:val="000000"/>
                <w:sz w:val="18"/>
                <w:szCs w:val="18"/>
                <w:highlight w:val="yellow"/>
                <w:lang w:eastAsia="hr-HR"/>
              </w:rPr>
            </w:pPr>
            <w:r w:rsidRPr="001B4CA2">
              <w:rPr>
                <w:rFonts w:eastAsia="Times New Roman"/>
                <w:bCs/>
                <w:color w:val="000000"/>
                <w:sz w:val="18"/>
                <w:szCs w:val="18"/>
                <w:lang w:eastAsia="hr-HR"/>
              </w:rPr>
              <w:t>2019.</w:t>
            </w:r>
          </w:p>
        </w:tc>
        <w:tc>
          <w:tcPr>
            <w:tcW w:w="482" w:type="pct"/>
            <w:tcBorders>
              <w:top w:val="nil"/>
              <w:left w:val="nil"/>
              <w:bottom w:val="single" w:sz="4" w:space="0" w:color="auto"/>
              <w:right w:val="single" w:sz="4" w:space="0" w:color="auto"/>
            </w:tcBorders>
            <w:shd w:val="clear" w:color="auto" w:fill="auto"/>
            <w:noWrap/>
            <w:vAlign w:val="center"/>
          </w:tcPr>
          <w:p w14:paraId="26EE82D5"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295</w:t>
            </w:r>
          </w:p>
        </w:tc>
        <w:tc>
          <w:tcPr>
            <w:tcW w:w="655" w:type="pct"/>
            <w:tcBorders>
              <w:top w:val="nil"/>
              <w:left w:val="nil"/>
              <w:bottom w:val="single" w:sz="4" w:space="0" w:color="auto"/>
              <w:right w:val="single" w:sz="4" w:space="0" w:color="auto"/>
            </w:tcBorders>
            <w:shd w:val="clear" w:color="auto" w:fill="auto"/>
            <w:noWrap/>
            <w:vAlign w:val="center"/>
          </w:tcPr>
          <w:p w14:paraId="271DEC30"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1.303</w:t>
            </w:r>
          </w:p>
        </w:tc>
        <w:tc>
          <w:tcPr>
            <w:tcW w:w="655" w:type="pct"/>
            <w:tcBorders>
              <w:top w:val="nil"/>
              <w:left w:val="nil"/>
              <w:bottom w:val="single" w:sz="4" w:space="0" w:color="auto"/>
              <w:right w:val="single" w:sz="4" w:space="0" w:color="auto"/>
            </w:tcBorders>
            <w:shd w:val="clear" w:color="auto" w:fill="auto"/>
            <w:noWrap/>
            <w:vAlign w:val="center"/>
          </w:tcPr>
          <w:p w14:paraId="41FAB9DD"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1.598</w:t>
            </w:r>
          </w:p>
        </w:tc>
        <w:tc>
          <w:tcPr>
            <w:tcW w:w="655" w:type="pct"/>
            <w:tcBorders>
              <w:top w:val="nil"/>
              <w:left w:val="nil"/>
              <w:bottom w:val="single" w:sz="4" w:space="0" w:color="auto"/>
              <w:right w:val="single" w:sz="4" w:space="0" w:color="auto"/>
            </w:tcBorders>
            <w:shd w:val="clear" w:color="auto" w:fill="auto"/>
            <w:noWrap/>
            <w:vAlign w:val="center"/>
          </w:tcPr>
          <w:p w14:paraId="4AB9379D"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1.349</w:t>
            </w:r>
          </w:p>
        </w:tc>
        <w:tc>
          <w:tcPr>
            <w:tcW w:w="685" w:type="pct"/>
            <w:tcBorders>
              <w:top w:val="nil"/>
              <w:left w:val="nil"/>
              <w:bottom w:val="single" w:sz="4" w:space="0" w:color="auto"/>
              <w:right w:val="single" w:sz="4" w:space="0" w:color="auto"/>
            </w:tcBorders>
            <w:shd w:val="clear" w:color="auto" w:fill="auto"/>
            <w:noWrap/>
            <w:vAlign w:val="center"/>
          </w:tcPr>
          <w:p w14:paraId="3E976431"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5.486.481</w:t>
            </w:r>
          </w:p>
        </w:tc>
        <w:tc>
          <w:tcPr>
            <w:tcW w:w="753" w:type="pct"/>
            <w:tcBorders>
              <w:top w:val="nil"/>
              <w:left w:val="nil"/>
              <w:bottom w:val="single" w:sz="4" w:space="0" w:color="auto"/>
              <w:right w:val="single" w:sz="4" w:space="0" w:color="auto"/>
            </w:tcBorders>
            <w:shd w:val="clear" w:color="auto" w:fill="auto"/>
            <w:noWrap/>
            <w:vAlign w:val="center"/>
          </w:tcPr>
          <w:p w14:paraId="50EB83B1"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711</w:t>
            </w:r>
          </w:p>
        </w:tc>
        <w:tc>
          <w:tcPr>
            <w:tcW w:w="674" w:type="pct"/>
            <w:tcBorders>
              <w:top w:val="nil"/>
              <w:left w:val="nil"/>
              <w:bottom w:val="single" w:sz="4" w:space="0" w:color="auto"/>
              <w:right w:val="single" w:sz="4" w:space="0" w:color="auto"/>
            </w:tcBorders>
            <w:shd w:val="clear" w:color="auto" w:fill="auto"/>
            <w:noWrap/>
            <w:vAlign w:val="center"/>
          </w:tcPr>
          <w:p w14:paraId="7627F99C"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84.001</w:t>
            </w:r>
          </w:p>
        </w:tc>
      </w:tr>
      <w:tr w:rsidR="00E07660" w:rsidRPr="001B4CA2" w14:paraId="2B6AF0E2" w14:textId="77777777" w:rsidTr="00CE2706">
        <w:trPr>
          <w:trHeight w:val="39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9AD29B"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2020.</w:t>
            </w:r>
          </w:p>
        </w:tc>
        <w:tc>
          <w:tcPr>
            <w:tcW w:w="482" w:type="pct"/>
            <w:tcBorders>
              <w:top w:val="single" w:sz="4" w:space="0" w:color="auto"/>
              <w:left w:val="nil"/>
              <w:bottom w:val="single" w:sz="4" w:space="0" w:color="auto"/>
              <w:right w:val="single" w:sz="4" w:space="0" w:color="auto"/>
            </w:tcBorders>
            <w:shd w:val="clear" w:color="auto" w:fill="auto"/>
            <w:noWrap/>
            <w:vAlign w:val="center"/>
          </w:tcPr>
          <w:p w14:paraId="2D8E65F1"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174</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4AE99C1A"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1.061</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7F166B35"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1.235</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1A1BC153"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1.165</w:t>
            </w:r>
          </w:p>
        </w:tc>
        <w:tc>
          <w:tcPr>
            <w:tcW w:w="685" w:type="pct"/>
            <w:tcBorders>
              <w:top w:val="single" w:sz="4" w:space="0" w:color="auto"/>
              <w:left w:val="nil"/>
              <w:bottom w:val="single" w:sz="4" w:space="0" w:color="auto"/>
              <w:right w:val="single" w:sz="4" w:space="0" w:color="auto"/>
            </w:tcBorders>
            <w:shd w:val="clear" w:color="auto" w:fill="auto"/>
            <w:noWrap/>
            <w:vAlign w:val="center"/>
          </w:tcPr>
          <w:p w14:paraId="35D44460"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8.661.476</w:t>
            </w:r>
          </w:p>
        </w:tc>
        <w:tc>
          <w:tcPr>
            <w:tcW w:w="753" w:type="pct"/>
            <w:tcBorders>
              <w:top w:val="single" w:sz="4" w:space="0" w:color="auto"/>
              <w:left w:val="nil"/>
              <w:bottom w:val="single" w:sz="4" w:space="0" w:color="auto"/>
              <w:right w:val="single" w:sz="4" w:space="0" w:color="auto"/>
            </w:tcBorders>
            <w:shd w:val="clear" w:color="auto" w:fill="auto"/>
            <w:noWrap/>
            <w:vAlign w:val="center"/>
          </w:tcPr>
          <w:p w14:paraId="2B4FEBB2" w14:textId="77777777" w:rsidR="00E07660" w:rsidRPr="001B4CA2" w:rsidRDefault="00E07660" w:rsidP="00E07660">
            <w:pPr>
              <w:jc w:val="center"/>
              <w:rPr>
                <w:sz w:val="18"/>
                <w:szCs w:val="18"/>
              </w:rPr>
            </w:pPr>
            <w:r w:rsidRPr="001B4CA2">
              <w:rPr>
                <w:sz w:val="18"/>
                <w:szCs w:val="18"/>
              </w:rPr>
              <w:t>337</w:t>
            </w:r>
          </w:p>
        </w:tc>
        <w:tc>
          <w:tcPr>
            <w:tcW w:w="674" w:type="pct"/>
            <w:tcBorders>
              <w:top w:val="single" w:sz="4" w:space="0" w:color="auto"/>
              <w:left w:val="nil"/>
              <w:bottom w:val="single" w:sz="4" w:space="0" w:color="auto"/>
              <w:right w:val="single" w:sz="4" w:space="0" w:color="auto"/>
            </w:tcBorders>
            <w:shd w:val="clear" w:color="auto" w:fill="auto"/>
            <w:noWrap/>
            <w:vAlign w:val="center"/>
          </w:tcPr>
          <w:p w14:paraId="3411D6D1" w14:textId="77777777" w:rsidR="00E07660" w:rsidRPr="001B4CA2" w:rsidRDefault="00E07660" w:rsidP="00E07660">
            <w:pPr>
              <w:jc w:val="center"/>
              <w:rPr>
                <w:sz w:val="18"/>
                <w:szCs w:val="18"/>
              </w:rPr>
            </w:pPr>
            <w:r w:rsidRPr="001B4CA2">
              <w:rPr>
                <w:sz w:val="18"/>
                <w:szCs w:val="18"/>
              </w:rPr>
              <w:t>80.378</w:t>
            </w:r>
          </w:p>
        </w:tc>
      </w:tr>
      <w:tr w:rsidR="00E07660" w:rsidRPr="001B4CA2" w14:paraId="2D1BBA8B" w14:textId="77777777" w:rsidTr="00CE2706">
        <w:trPr>
          <w:trHeight w:val="39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7E997"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2021</w:t>
            </w:r>
          </w:p>
        </w:tc>
        <w:tc>
          <w:tcPr>
            <w:tcW w:w="482" w:type="pct"/>
            <w:tcBorders>
              <w:top w:val="single" w:sz="4" w:space="0" w:color="auto"/>
              <w:left w:val="nil"/>
              <w:bottom w:val="single" w:sz="4" w:space="0" w:color="auto"/>
              <w:right w:val="single" w:sz="4" w:space="0" w:color="auto"/>
            </w:tcBorders>
            <w:shd w:val="clear" w:color="auto" w:fill="auto"/>
            <w:noWrap/>
            <w:vAlign w:val="center"/>
          </w:tcPr>
          <w:p w14:paraId="04B91762"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130</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4BC2AFB1"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852</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06DAEFC6" w14:textId="0708E8CA" w:rsidR="00E07660" w:rsidRPr="001B4CA2" w:rsidRDefault="001B4CA2" w:rsidP="00E07660">
            <w:pPr>
              <w:jc w:val="center"/>
              <w:rPr>
                <w:rFonts w:eastAsia="Times New Roman"/>
                <w:bCs/>
                <w:color w:val="000000"/>
                <w:sz w:val="18"/>
                <w:szCs w:val="18"/>
                <w:lang w:eastAsia="hr-HR"/>
              </w:rPr>
            </w:pPr>
            <w:r>
              <w:rPr>
                <w:rFonts w:eastAsia="Times New Roman"/>
                <w:bCs/>
                <w:color w:val="000000"/>
                <w:sz w:val="18"/>
                <w:szCs w:val="18"/>
                <w:lang w:eastAsia="hr-HR"/>
              </w:rPr>
              <w:t xml:space="preserve"> </w:t>
            </w:r>
            <w:r w:rsidR="00E07660" w:rsidRPr="001B4CA2">
              <w:rPr>
                <w:rFonts w:eastAsia="Times New Roman"/>
                <w:bCs/>
                <w:color w:val="000000"/>
                <w:sz w:val="18"/>
                <w:szCs w:val="18"/>
                <w:lang w:eastAsia="hr-HR"/>
              </w:rPr>
              <w:t xml:space="preserve"> 982</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182D2393" w14:textId="19DBEEFA" w:rsidR="00E07660" w:rsidRPr="001B4CA2" w:rsidRDefault="001B4CA2" w:rsidP="00E07660">
            <w:pPr>
              <w:jc w:val="center"/>
              <w:rPr>
                <w:rFonts w:eastAsia="Times New Roman"/>
                <w:color w:val="000000"/>
                <w:sz w:val="18"/>
                <w:szCs w:val="18"/>
                <w:lang w:eastAsia="hr-HR"/>
              </w:rPr>
            </w:pPr>
            <w:r>
              <w:rPr>
                <w:rFonts w:eastAsia="Times New Roman"/>
                <w:color w:val="000000"/>
                <w:sz w:val="18"/>
                <w:szCs w:val="18"/>
                <w:lang w:eastAsia="hr-HR"/>
              </w:rPr>
              <w:t xml:space="preserve">  </w:t>
            </w:r>
            <w:r w:rsidR="00E07660" w:rsidRPr="001B4CA2">
              <w:rPr>
                <w:rFonts w:eastAsia="Times New Roman"/>
                <w:color w:val="000000"/>
                <w:sz w:val="18"/>
                <w:szCs w:val="18"/>
                <w:lang w:eastAsia="hr-HR"/>
              </w:rPr>
              <w:t>771</w:t>
            </w:r>
          </w:p>
        </w:tc>
        <w:tc>
          <w:tcPr>
            <w:tcW w:w="685" w:type="pct"/>
            <w:tcBorders>
              <w:top w:val="single" w:sz="4" w:space="0" w:color="auto"/>
              <w:left w:val="nil"/>
              <w:bottom w:val="single" w:sz="4" w:space="0" w:color="auto"/>
              <w:right w:val="single" w:sz="4" w:space="0" w:color="auto"/>
            </w:tcBorders>
            <w:shd w:val="clear" w:color="auto" w:fill="auto"/>
            <w:noWrap/>
            <w:vAlign w:val="center"/>
          </w:tcPr>
          <w:p w14:paraId="16BA6B10"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8.657.499</w:t>
            </w:r>
          </w:p>
        </w:tc>
        <w:tc>
          <w:tcPr>
            <w:tcW w:w="753" w:type="pct"/>
            <w:tcBorders>
              <w:top w:val="single" w:sz="4" w:space="0" w:color="auto"/>
              <w:left w:val="nil"/>
              <w:bottom w:val="single" w:sz="4" w:space="0" w:color="auto"/>
              <w:right w:val="single" w:sz="4" w:space="0" w:color="auto"/>
            </w:tcBorders>
            <w:shd w:val="clear" w:color="auto" w:fill="auto"/>
            <w:noWrap/>
            <w:vAlign w:val="center"/>
          </w:tcPr>
          <w:p w14:paraId="08AA022F" w14:textId="77777777" w:rsidR="00E07660" w:rsidRPr="001B4CA2" w:rsidRDefault="00E07660" w:rsidP="00E07660">
            <w:pPr>
              <w:jc w:val="center"/>
              <w:rPr>
                <w:sz w:val="18"/>
                <w:szCs w:val="18"/>
              </w:rPr>
            </w:pPr>
            <w:r w:rsidRPr="001B4CA2">
              <w:rPr>
                <w:sz w:val="18"/>
                <w:szCs w:val="18"/>
              </w:rPr>
              <w:t>341</w:t>
            </w:r>
          </w:p>
        </w:tc>
        <w:tc>
          <w:tcPr>
            <w:tcW w:w="674" w:type="pct"/>
            <w:tcBorders>
              <w:top w:val="single" w:sz="4" w:space="0" w:color="auto"/>
              <w:left w:val="nil"/>
              <w:bottom w:val="single" w:sz="4" w:space="0" w:color="auto"/>
              <w:right w:val="single" w:sz="4" w:space="0" w:color="auto"/>
            </w:tcBorders>
            <w:shd w:val="clear" w:color="auto" w:fill="auto"/>
            <w:noWrap/>
            <w:vAlign w:val="center"/>
          </w:tcPr>
          <w:p w14:paraId="7D226F7B" w14:textId="77777777" w:rsidR="00E07660" w:rsidRPr="001B4CA2" w:rsidRDefault="00E07660" w:rsidP="00E07660">
            <w:pPr>
              <w:jc w:val="center"/>
              <w:rPr>
                <w:sz w:val="18"/>
                <w:szCs w:val="18"/>
              </w:rPr>
            </w:pPr>
            <w:r w:rsidRPr="001B4CA2">
              <w:rPr>
                <w:sz w:val="18"/>
                <w:szCs w:val="18"/>
              </w:rPr>
              <w:t>27.194</w:t>
            </w:r>
          </w:p>
        </w:tc>
      </w:tr>
      <w:tr w:rsidR="00E07660" w:rsidRPr="001B4CA2" w14:paraId="580467B9" w14:textId="77777777" w:rsidTr="00CE2706">
        <w:trPr>
          <w:trHeight w:val="397"/>
          <w:jc w:val="center"/>
        </w:trPr>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03FE3"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2022.</w:t>
            </w:r>
          </w:p>
        </w:tc>
        <w:tc>
          <w:tcPr>
            <w:tcW w:w="482" w:type="pct"/>
            <w:tcBorders>
              <w:top w:val="single" w:sz="4" w:space="0" w:color="auto"/>
              <w:left w:val="nil"/>
              <w:bottom w:val="single" w:sz="4" w:space="0" w:color="auto"/>
              <w:right w:val="single" w:sz="4" w:space="0" w:color="auto"/>
            </w:tcBorders>
            <w:shd w:val="clear" w:color="auto" w:fill="auto"/>
            <w:noWrap/>
            <w:vAlign w:val="center"/>
          </w:tcPr>
          <w:p w14:paraId="1F2FB5B1"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155</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045A130F"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971</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0E99CC11" w14:textId="77777777" w:rsidR="00E07660" w:rsidRPr="001B4CA2" w:rsidRDefault="00E07660" w:rsidP="00E07660">
            <w:pPr>
              <w:jc w:val="center"/>
              <w:rPr>
                <w:rFonts w:eastAsia="Times New Roman"/>
                <w:bCs/>
                <w:color w:val="000000"/>
                <w:sz w:val="18"/>
                <w:szCs w:val="18"/>
                <w:lang w:eastAsia="hr-HR"/>
              </w:rPr>
            </w:pPr>
            <w:r w:rsidRPr="001B4CA2">
              <w:rPr>
                <w:rFonts w:eastAsia="Times New Roman"/>
                <w:bCs/>
                <w:color w:val="000000"/>
                <w:sz w:val="18"/>
                <w:szCs w:val="18"/>
                <w:lang w:eastAsia="hr-HR"/>
              </w:rPr>
              <w:t>1.126</w:t>
            </w:r>
          </w:p>
        </w:tc>
        <w:tc>
          <w:tcPr>
            <w:tcW w:w="655" w:type="pct"/>
            <w:tcBorders>
              <w:top w:val="single" w:sz="4" w:space="0" w:color="auto"/>
              <w:left w:val="nil"/>
              <w:bottom w:val="single" w:sz="4" w:space="0" w:color="auto"/>
              <w:right w:val="single" w:sz="4" w:space="0" w:color="auto"/>
            </w:tcBorders>
            <w:shd w:val="clear" w:color="auto" w:fill="auto"/>
            <w:noWrap/>
            <w:vAlign w:val="center"/>
          </w:tcPr>
          <w:p w14:paraId="3D3662B2"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1.005</w:t>
            </w:r>
          </w:p>
        </w:tc>
        <w:tc>
          <w:tcPr>
            <w:tcW w:w="685" w:type="pct"/>
            <w:tcBorders>
              <w:top w:val="single" w:sz="4" w:space="0" w:color="auto"/>
              <w:left w:val="nil"/>
              <w:bottom w:val="single" w:sz="4" w:space="0" w:color="auto"/>
              <w:right w:val="single" w:sz="4" w:space="0" w:color="auto"/>
            </w:tcBorders>
            <w:shd w:val="clear" w:color="auto" w:fill="auto"/>
            <w:noWrap/>
            <w:vAlign w:val="center"/>
          </w:tcPr>
          <w:p w14:paraId="6A751B2E" w14:textId="77777777" w:rsidR="00E07660" w:rsidRPr="001B4CA2" w:rsidRDefault="00E07660" w:rsidP="00E07660">
            <w:pPr>
              <w:jc w:val="center"/>
              <w:rPr>
                <w:rFonts w:eastAsia="Times New Roman"/>
                <w:color w:val="000000"/>
                <w:sz w:val="18"/>
                <w:szCs w:val="18"/>
                <w:lang w:eastAsia="hr-HR"/>
              </w:rPr>
            </w:pPr>
            <w:r w:rsidRPr="001B4CA2">
              <w:rPr>
                <w:rFonts w:eastAsia="Times New Roman"/>
                <w:color w:val="000000"/>
                <w:sz w:val="18"/>
                <w:szCs w:val="18"/>
                <w:lang w:eastAsia="hr-HR"/>
              </w:rPr>
              <w:t>1.123.377</w:t>
            </w:r>
          </w:p>
        </w:tc>
        <w:tc>
          <w:tcPr>
            <w:tcW w:w="753" w:type="pct"/>
            <w:tcBorders>
              <w:top w:val="single" w:sz="4" w:space="0" w:color="auto"/>
              <w:left w:val="nil"/>
              <w:bottom w:val="single" w:sz="4" w:space="0" w:color="auto"/>
              <w:right w:val="single" w:sz="4" w:space="0" w:color="auto"/>
            </w:tcBorders>
            <w:shd w:val="clear" w:color="auto" w:fill="auto"/>
            <w:noWrap/>
            <w:vAlign w:val="center"/>
          </w:tcPr>
          <w:p w14:paraId="29A0AFB8" w14:textId="77777777" w:rsidR="00E07660" w:rsidRPr="001B4CA2" w:rsidRDefault="00E07660" w:rsidP="00E07660">
            <w:pPr>
              <w:jc w:val="center"/>
              <w:rPr>
                <w:color w:val="000000"/>
                <w:sz w:val="18"/>
                <w:szCs w:val="18"/>
              </w:rPr>
            </w:pPr>
            <w:r w:rsidRPr="001B4CA2">
              <w:rPr>
                <w:color w:val="000000"/>
                <w:sz w:val="18"/>
                <w:szCs w:val="18"/>
              </w:rPr>
              <w:t>378</w:t>
            </w:r>
          </w:p>
        </w:tc>
        <w:tc>
          <w:tcPr>
            <w:tcW w:w="674" w:type="pct"/>
            <w:tcBorders>
              <w:top w:val="single" w:sz="4" w:space="0" w:color="auto"/>
              <w:left w:val="nil"/>
              <w:bottom w:val="single" w:sz="4" w:space="0" w:color="auto"/>
              <w:right w:val="single" w:sz="4" w:space="0" w:color="auto"/>
            </w:tcBorders>
            <w:shd w:val="clear" w:color="auto" w:fill="auto"/>
            <w:noWrap/>
            <w:vAlign w:val="center"/>
          </w:tcPr>
          <w:p w14:paraId="1481F0ED" w14:textId="77777777" w:rsidR="00E07660" w:rsidRPr="001B4CA2" w:rsidRDefault="00E07660" w:rsidP="00E07660">
            <w:pPr>
              <w:jc w:val="center"/>
              <w:rPr>
                <w:color w:val="000000"/>
                <w:sz w:val="18"/>
                <w:szCs w:val="18"/>
              </w:rPr>
            </w:pPr>
            <w:r w:rsidRPr="001B4CA2">
              <w:rPr>
                <w:color w:val="000000"/>
                <w:sz w:val="18"/>
                <w:szCs w:val="18"/>
              </w:rPr>
              <w:t>45.877</w:t>
            </w:r>
          </w:p>
        </w:tc>
      </w:tr>
    </w:tbl>
    <w:p w14:paraId="3C0C03D1" w14:textId="77777777" w:rsidR="00E07660" w:rsidRPr="001B4CA2" w:rsidRDefault="00E07660" w:rsidP="00E07660">
      <w:pPr>
        <w:rPr>
          <w:szCs w:val="22"/>
        </w:rPr>
      </w:pPr>
    </w:p>
    <w:p w14:paraId="3CF3E3FE" w14:textId="3C80DAB8" w:rsidR="00773E87" w:rsidRPr="001B4CA2" w:rsidRDefault="00E07660" w:rsidP="00773E87">
      <w:r w:rsidRPr="001B4CA2">
        <w:lastRenderedPageBreak/>
        <w:tab/>
      </w:r>
      <w:r w:rsidR="00773E87" w:rsidRPr="001B4CA2">
        <w:t xml:space="preserve">Iz gornjih tabelarnih podataka </w:t>
      </w:r>
      <w:r w:rsidR="004D157F">
        <w:t>razvidno</w:t>
      </w:r>
      <w:r w:rsidR="00773E87" w:rsidRPr="001B4CA2">
        <w:t xml:space="preserve"> je da je u odnosu na prethodno izvještajno razdoblje neznatno povećan broj predmeta koji su kao neriješeni u državnom odvjetništvu preneseni u 2022. godinu. </w:t>
      </w:r>
      <w:r w:rsidR="00C80DAF">
        <w:t>K</w:t>
      </w:r>
      <w:r w:rsidR="004D157F">
        <w:t>rajem</w:t>
      </w:r>
      <w:r w:rsidR="00773E87" w:rsidRPr="001B4CA2">
        <w:t xml:space="preserve"> 2021. godine primljen</w:t>
      </w:r>
      <w:r w:rsidR="00C80DAF">
        <w:t>o</w:t>
      </w:r>
      <w:r w:rsidR="00773E87" w:rsidRPr="001B4CA2">
        <w:t xml:space="preserve"> </w:t>
      </w:r>
      <w:r w:rsidR="00C80DAF">
        <w:t xml:space="preserve">je </w:t>
      </w:r>
      <w:r w:rsidR="00773E87" w:rsidRPr="001B4CA2">
        <w:t xml:space="preserve">veći broj zahtjeva koji su </w:t>
      </w:r>
      <w:r w:rsidR="00C80DAF">
        <w:t>riješeni u izvještajnom razdoblju.</w:t>
      </w:r>
    </w:p>
    <w:p w14:paraId="737E5652" w14:textId="77777777" w:rsidR="00773E87" w:rsidRPr="001B4CA2" w:rsidRDefault="00773E87" w:rsidP="00773E87"/>
    <w:p w14:paraId="50C279D4" w14:textId="1F58DE35" w:rsidR="00773E87" w:rsidRPr="001B4CA2" w:rsidRDefault="00773E87" w:rsidP="00773E87">
      <w:r w:rsidRPr="001B4CA2">
        <w:tab/>
        <w:t>Broj primljenih zahtjeva za mirno rješenje spora u 2022. godini bio je povećan u odnosu na prethodno razdoblje za 13,9 %. U usporedbi s prethodnim izvještajnim razdobljem bio je povećan i broj riješenih predmeta</w:t>
      </w:r>
      <w:r w:rsidR="004D157F">
        <w:t>,</w:t>
      </w:r>
      <w:r w:rsidRPr="001B4CA2">
        <w:t xml:space="preserve"> i to za čak 30,3 %, a broj </w:t>
      </w:r>
      <w:r w:rsidR="0020162B" w:rsidRPr="001B4CA2">
        <w:t>sklopljenih</w:t>
      </w:r>
      <w:r w:rsidRPr="001B4CA2">
        <w:t xml:space="preserve"> nagodbi također je veći za 10,8 %. </w:t>
      </w:r>
    </w:p>
    <w:p w14:paraId="5F836BB5" w14:textId="77777777" w:rsidR="00773E87" w:rsidRPr="001B4CA2" w:rsidRDefault="00773E87" w:rsidP="00773E87"/>
    <w:p w14:paraId="4FC7F105" w14:textId="56F4C1AD" w:rsidR="00773E87" w:rsidRPr="001B4CA2" w:rsidRDefault="00773E87" w:rsidP="00773E87">
      <w:r w:rsidRPr="001B4CA2">
        <w:tab/>
        <w:t>U izvještajnoj godini bilo je sklopljeno 378 izvansudskih nagodbi, odnosno čak 39</w:t>
      </w:r>
      <w:r w:rsidR="004D157F">
        <w:t> </w:t>
      </w:r>
      <w:r w:rsidRPr="001B4CA2">
        <w:t>% primljenih predmeta bil</w:t>
      </w:r>
      <w:r w:rsidR="004D157F">
        <w:t>o</w:t>
      </w:r>
      <w:r w:rsidRPr="001B4CA2">
        <w:t xml:space="preserve"> </w:t>
      </w:r>
      <w:r w:rsidR="004D157F">
        <w:t>je</w:t>
      </w:r>
      <w:r w:rsidRPr="001B4CA2">
        <w:t xml:space="preserve"> riješen</w:t>
      </w:r>
      <w:r w:rsidR="004D157F">
        <w:t>o</w:t>
      </w:r>
      <w:r w:rsidRPr="001B4CA2">
        <w:t xml:space="preserve"> u mirnom postupku sklapanjem nagodbe. Smatramo da se radi o dobrim rezultatima i pokazateljima, posebice imajući u vidu da pojedina županijska državna odvjetništva čak 43 % predmeta riješe sklapanjem izvansudske nagodbe. </w:t>
      </w:r>
      <w:r w:rsidR="004D157F">
        <w:t>T</w:t>
      </w:r>
      <w:r w:rsidRPr="001B4CA2">
        <w:t>o je posebno važno jer sporni odnosi riješeni u ovim postupcima ne opterećuju sudove i ne stvaraju za stranke dodatne troškove.</w:t>
      </w:r>
    </w:p>
    <w:p w14:paraId="447626BB" w14:textId="77777777" w:rsidR="00773E87" w:rsidRPr="001B4CA2" w:rsidRDefault="00773E87" w:rsidP="00773E87"/>
    <w:p w14:paraId="03B8AC94" w14:textId="09986637" w:rsidR="00773E87" w:rsidRPr="001B4CA2" w:rsidRDefault="00773E87" w:rsidP="00773E87">
      <w:r w:rsidRPr="001B4CA2">
        <w:tab/>
        <w:t xml:space="preserve">Analizirajući vrijednosti podnesenih zahtjeva </w:t>
      </w:r>
      <w:r w:rsidR="004D157F">
        <w:t>razvidno</w:t>
      </w:r>
      <w:r w:rsidRPr="001B4CA2">
        <w:t xml:space="preserve"> je da se radilo o daleko manjim vrijednostima nego proteklih godina, no ističe se da su u prethodnim razdobljima 2020. i 2021. godine primljeni pojedini zahtjevi zbog navodne povrede prava EU-</w:t>
      </w:r>
      <w:r w:rsidR="004D157F">
        <w:t>a</w:t>
      </w:r>
      <w:r w:rsidRPr="001B4CA2">
        <w:t xml:space="preserve"> počinjene od </w:t>
      </w:r>
      <w:r w:rsidR="004727BC" w:rsidRPr="001B4CA2">
        <w:t>strane</w:t>
      </w:r>
      <w:r w:rsidRPr="001B4CA2">
        <w:t xml:space="preserve"> države, nepravilnog i nezakonitog rada sudova i državnih tijela, koji su bili postavljeni u izrazito visokim iznosima.</w:t>
      </w:r>
    </w:p>
    <w:p w14:paraId="2723A1CF" w14:textId="5EC158AB" w:rsidR="00C00C3D" w:rsidRPr="001B4CA2" w:rsidRDefault="00C00C3D" w:rsidP="00773E87">
      <w:pPr>
        <w:sectPr w:rsidR="00C00C3D" w:rsidRPr="001B4CA2" w:rsidSect="007418AF">
          <w:pgSz w:w="11906" w:h="16838"/>
          <w:pgMar w:top="1417" w:right="1417" w:bottom="1417" w:left="1417" w:header="709" w:footer="709" w:gutter="0"/>
          <w:cols w:space="708"/>
          <w:docGrid w:linePitch="360"/>
        </w:sectPr>
      </w:pPr>
    </w:p>
    <w:p w14:paraId="3AED9CAA" w14:textId="655B87C0" w:rsidR="00F25645" w:rsidRPr="001B4CA2" w:rsidRDefault="00E07660" w:rsidP="00B07D42">
      <w:pPr>
        <w:tabs>
          <w:tab w:val="left" w:pos="0"/>
        </w:tabs>
        <w:ind w:left="-142" w:right="-740" w:hanging="11"/>
        <w:contextualSpacing/>
        <w:jc w:val="left"/>
        <w:rPr>
          <w:i/>
        </w:rPr>
      </w:pPr>
      <w:r w:rsidRPr="001B4CA2">
        <w:rPr>
          <w:i/>
        </w:rPr>
        <w:lastRenderedPageBreak/>
        <w:t xml:space="preserve">    </w:t>
      </w:r>
      <w:r w:rsidR="00F25645" w:rsidRPr="001B4CA2">
        <w:rPr>
          <w:i/>
        </w:rPr>
        <w:t xml:space="preserve">b) </w:t>
      </w:r>
      <w:r w:rsidR="0038238C" w:rsidRPr="001B4CA2">
        <w:rPr>
          <w:i/>
        </w:rPr>
        <w:t>Zahtjev za mirno rješenje spora –</w:t>
      </w:r>
      <w:r w:rsidR="00F25645" w:rsidRPr="001B4CA2">
        <w:rPr>
          <w:i/>
        </w:rPr>
        <w:t xml:space="preserve"> prema vrsti i tijelima u 202</w:t>
      </w:r>
      <w:r w:rsidRPr="001B4CA2">
        <w:rPr>
          <w:i/>
        </w:rPr>
        <w:t>2</w:t>
      </w:r>
      <w:r w:rsidR="0038238C" w:rsidRPr="001B4CA2">
        <w:rPr>
          <w:i/>
        </w:rPr>
        <w:t>.</w:t>
      </w:r>
    </w:p>
    <w:tbl>
      <w:tblPr>
        <w:tblW w:w="14055" w:type="dxa"/>
        <w:jc w:val="center"/>
        <w:tblLayout w:type="fixed"/>
        <w:tblLook w:val="04A0" w:firstRow="1" w:lastRow="0" w:firstColumn="1" w:lastColumn="0" w:noHBand="0" w:noVBand="1"/>
      </w:tblPr>
      <w:tblGrid>
        <w:gridCol w:w="5558"/>
        <w:gridCol w:w="730"/>
        <w:gridCol w:w="734"/>
        <w:gridCol w:w="788"/>
        <w:gridCol w:w="733"/>
        <w:gridCol w:w="860"/>
        <w:gridCol w:w="718"/>
        <w:gridCol w:w="716"/>
        <w:gridCol w:w="719"/>
        <w:gridCol w:w="715"/>
        <w:gridCol w:w="863"/>
        <w:gridCol w:w="921"/>
      </w:tblGrid>
      <w:tr w:rsidR="00E07660" w:rsidRPr="001B4CA2" w14:paraId="5F1C83E2" w14:textId="77777777" w:rsidTr="00CE2706">
        <w:trPr>
          <w:trHeight w:val="552"/>
          <w:jc w:val="center"/>
        </w:trPr>
        <w:tc>
          <w:tcPr>
            <w:tcW w:w="5558" w:type="dxa"/>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2B26493"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Naziv ministarstva ili drugog tijela</w:t>
            </w:r>
          </w:p>
        </w:tc>
        <w:tc>
          <w:tcPr>
            <w:tcW w:w="1464"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60C910D3" w14:textId="77777777" w:rsidR="00E07660" w:rsidRPr="001B4CA2" w:rsidRDefault="00E07660" w:rsidP="00E07660">
            <w:pPr>
              <w:jc w:val="center"/>
              <w:rPr>
                <w:rFonts w:asciiTheme="minorHAnsi" w:eastAsia="Times New Roman" w:hAnsiTheme="minorHAnsi" w:cstheme="minorHAnsi"/>
                <w:b/>
                <w:bCs/>
                <w:color w:val="000000" w:themeColor="text1"/>
                <w:sz w:val="18"/>
                <w:szCs w:val="18"/>
                <w:lang w:eastAsia="hr-HR"/>
              </w:rPr>
            </w:pPr>
            <w:proofErr w:type="spellStart"/>
            <w:r w:rsidRPr="001B4CA2">
              <w:rPr>
                <w:rFonts w:asciiTheme="minorHAnsi" w:eastAsia="Times New Roman" w:hAnsiTheme="minorHAnsi" w:cstheme="minorHAnsi"/>
                <w:b/>
                <w:bCs/>
                <w:color w:val="000000" w:themeColor="text1"/>
                <w:sz w:val="18"/>
                <w:szCs w:val="18"/>
                <w:lang w:eastAsia="hr-HR"/>
              </w:rPr>
              <w:t>Stvarnopravni</w:t>
            </w:r>
            <w:proofErr w:type="spellEnd"/>
            <w:r w:rsidRPr="001B4CA2">
              <w:rPr>
                <w:rFonts w:asciiTheme="minorHAnsi" w:eastAsia="Times New Roman" w:hAnsiTheme="minorHAnsi" w:cstheme="minorHAnsi"/>
                <w:b/>
                <w:bCs/>
                <w:color w:val="000000" w:themeColor="text1"/>
                <w:sz w:val="18"/>
                <w:szCs w:val="18"/>
                <w:lang w:eastAsia="hr-HR"/>
              </w:rPr>
              <w:t xml:space="preserve"> sporovi</w:t>
            </w:r>
          </w:p>
        </w:tc>
        <w:tc>
          <w:tcPr>
            <w:tcW w:w="1521" w:type="dxa"/>
            <w:gridSpan w:val="2"/>
            <w:tcBorders>
              <w:top w:val="single" w:sz="4" w:space="0" w:color="auto"/>
              <w:left w:val="single" w:sz="4" w:space="0" w:color="auto"/>
              <w:bottom w:val="single" w:sz="4" w:space="0" w:color="000000"/>
              <w:right w:val="single" w:sz="4" w:space="0" w:color="000000"/>
            </w:tcBorders>
            <w:shd w:val="clear" w:color="auto" w:fill="99CCFF"/>
            <w:vAlign w:val="center"/>
            <w:hideMark/>
          </w:tcPr>
          <w:p w14:paraId="1C975C0D" w14:textId="77777777" w:rsidR="00E07660" w:rsidRPr="001B4CA2" w:rsidRDefault="00E07660" w:rsidP="00E07660">
            <w:pPr>
              <w:jc w:val="center"/>
              <w:rPr>
                <w:rFonts w:asciiTheme="minorHAnsi" w:eastAsia="Times New Roman" w:hAnsiTheme="minorHAnsi" w:cstheme="minorHAnsi"/>
                <w:b/>
                <w:bCs/>
                <w:color w:val="000000" w:themeColor="text1"/>
                <w:sz w:val="18"/>
                <w:szCs w:val="18"/>
                <w:lang w:eastAsia="hr-HR"/>
              </w:rPr>
            </w:pPr>
            <w:proofErr w:type="spellStart"/>
            <w:r w:rsidRPr="001B4CA2">
              <w:rPr>
                <w:rFonts w:asciiTheme="minorHAnsi" w:eastAsia="Times New Roman" w:hAnsiTheme="minorHAnsi" w:cstheme="minorHAnsi"/>
                <w:b/>
                <w:bCs/>
                <w:color w:val="000000" w:themeColor="text1"/>
                <w:sz w:val="18"/>
                <w:szCs w:val="18"/>
                <w:lang w:eastAsia="hr-HR"/>
              </w:rPr>
              <w:t>Obveznopravni</w:t>
            </w:r>
            <w:proofErr w:type="spellEnd"/>
            <w:r w:rsidRPr="001B4CA2">
              <w:rPr>
                <w:rFonts w:asciiTheme="minorHAnsi" w:hAnsiTheme="minorHAnsi" w:cstheme="minorHAnsi"/>
                <w:b/>
                <w:bCs/>
                <w:color w:val="000000" w:themeColor="text1"/>
                <w:sz w:val="18"/>
                <w:szCs w:val="18"/>
              </w:rPr>
              <w:t xml:space="preserve"> sporovi</w:t>
            </w:r>
          </w:p>
        </w:tc>
        <w:tc>
          <w:tcPr>
            <w:tcW w:w="1578"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75B319B0" w14:textId="77777777" w:rsidR="00E07660" w:rsidRPr="001B4CA2" w:rsidRDefault="00E07660" w:rsidP="00E07660">
            <w:pPr>
              <w:jc w:val="center"/>
              <w:rPr>
                <w:rFonts w:asciiTheme="minorHAnsi" w:eastAsia="Times New Roman" w:hAnsiTheme="minorHAnsi" w:cstheme="minorHAnsi"/>
                <w:b/>
                <w:bCs/>
                <w:color w:val="000000" w:themeColor="text1"/>
                <w:sz w:val="18"/>
                <w:szCs w:val="18"/>
                <w:lang w:eastAsia="hr-HR"/>
              </w:rPr>
            </w:pPr>
            <w:r w:rsidRPr="001B4CA2">
              <w:rPr>
                <w:rFonts w:asciiTheme="minorHAnsi" w:eastAsia="Times New Roman" w:hAnsiTheme="minorHAnsi" w:cstheme="minorHAnsi"/>
                <w:b/>
                <w:bCs/>
                <w:color w:val="000000" w:themeColor="text1"/>
                <w:sz w:val="18"/>
                <w:szCs w:val="18"/>
                <w:lang w:eastAsia="hr-HR"/>
              </w:rPr>
              <w:t>Naknada štete</w:t>
            </w:r>
          </w:p>
        </w:tc>
        <w:tc>
          <w:tcPr>
            <w:tcW w:w="1435"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72ED7344" w14:textId="77777777" w:rsidR="00E07660" w:rsidRPr="001B4CA2" w:rsidRDefault="00E07660" w:rsidP="00E07660">
            <w:pPr>
              <w:jc w:val="center"/>
              <w:rPr>
                <w:rFonts w:asciiTheme="minorHAnsi" w:eastAsia="Times New Roman" w:hAnsiTheme="minorHAnsi" w:cstheme="minorHAnsi"/>
                <w:b/>
                <w:bCs/>
                <w:color w:val="000000" w:themeColor="text1"/>
                <w:sz w:val="18"/>
                <w:szCs w:val="18"/>
                <w:lang w:eastAsia="hr-HR"/>
              </w:rPr>
            </w:pPr>
            <w:r w:rsidRPr="001B4CA2">
              <w:rPr>
                <w:rFonts w:asciiTheme="minorHAnsi" w:eastAsia="Times New Roman" w:hAnsiTheme="minorHAnsi" w:cstheme="minorHAnsi"/>
                <w:b/>
                <w:bCs/>
                <w:color w:val="000000" w:themeColor="text1"/>
                <w:sz w:val="18"/>
                <w:szCs w:val="18"/>
                <w:lang w:eastAsia="hr-HR"/>
              </w:rPr>
              <w:t>Ostali parnični sporovi</w:t>
            </w:r>
          </w:p>
        </w:tc>
        <w:tc>
          <w:tcPr>
            <w:tcW w:w="1578" w:type="dxa"/>
            <w:gridSpan w:val="2"/>
            <w:tcBorders>
              <w:top w:val="single" w:sz="4" w:space="0" w:color="auto"/>
              <w:left w:val="single" w:sz="4" w:space="0" w:color="auto"/>
              <w:bottom w:val="single" w:sz="4" w:space="0" w:color="auto"/>
              <w:right w:val="single" w:sz="4" w:space="0" w:color="auto"/>
            </w:tcBorders>
            <w:shd w:val="clear" w:color="auto" w:fill="99CCFF"/>
            <w:vAlign w:val="center"/>
            <w:hideMark/>
          </w:tcPr>
          <w:p w14:paraId="1A6BDB23" w14:textId="77777777" w:rsidR="00E07660" w:rsidRPr="001B4CA2" w:rsidRDefault="00E07660" w:rsidP="00E07660">
            <w:pPr>
              <w:jc w:val="center"/>
              <w:rPr>
                <w:rFonts w:asciiTheme="minorHAnsi" w:eastAsia="Times New Roman" w:hAnsiTheme="minorHAnsi" w:cstheme="minorHAnsi"/>
                <w:b/>
                <w:bCs/>
                <w:color w:val="000000" w:themeColor="text1"/>
                <w:sz w:val="18"/>
                <w:szCs w:val="18"/>
                <w:lang w:eastAsia="hr-HR"/>
              </w:rPr>
            </w:pPr>
            <w:r w:rsidRPr="001B4CA2">
              <w:rPr>
                <w:rFonts w:asciiTheme="minorHAnsi" w:eastAsia="Times New Roman" w:hAnsiTheme="minorHAnsi" w:cstheme="minorHAnsi"/>
                <w:b/>
                <w:bCs/>
                <w:color w:val="000000" w:themeColor="text1"/>
                <w:sz w:val="18"/>
                <w:szCs w:val="18"/>
                <w:lang w:eastAsia="hr-HR"/>
              </w:rPr>
              <w:t>Ukupno</w:t>
            </w:r>
          </w:p>
        </w:tc>
        <w:tc>
          <w:tcPr>
            <w:tcW w:w="921" w:type="dxa"/>
            <w:vMerge w:val="restart"/>
            <w:tcBorders>
              <w:top w:val="single" w:sz="4" w:space="0" w:color="auto"/>
              <w:left w:val="single" w:sz="4" w:space="0" w:color="auto"/>
              <w:right w:val="single" w:sz="4" w:space="0" w:color="auto"/>
            </w:tcBorders>
            <w:shd w:val="clear" w:color="auto" w:fill="99CCFF"/>
            <w:vAlign w:val="center"/>
          </w:tcPr>
          <w:p w14:paraId="36C282B1" w14:textId="77777777" w:rsidR="00E07660" w:rsidRPr="001B4CA2" w:rsidRDefault="00E07660" w:rsidP="00E07660">
            <w:pPr>
              <w:jc w:val="center"/>
              <w:rPr>
                <w:rFonts w:asciiTheme="minorHAnsi" w:eastAsia="Times New Roman" w:hAnsiTheme="minorHAnsi" w:cstheme="minorHAnsi"/>
                <w:b/>
                <w:bCs/>
                <w:color w:val="000000" w:themeColor="text1"/>
                <w:sz w:val="18"/>
                <w:szCs w:val="18"/>
                <w:lang w:eastAsia="hr-HR"/>
              </w:rPr>
            </w:pPr>
            <w:r w:rsidRPr="001B4CA2">
              <w:rPr>
                <w:rFonts w:asciiTheme="minorHAnsi" w:eastAsia="Times New Roman" w:hAnsiTheme="minorHAnsi" w:cstheme="minorHAnsi"/>
                <w:b/>
                <w:bCs/>
                <w:color w:val="000000" w:themeColor="text1"/>
                <w:sz w:val="18"/>
                <w:szCs w:val="18"/>
                <w:lang w:eastAsia="hr-HR"/>
              </w:rPr>
              <w:t>Ukupno zahtjev RH i zahtjev ostali</w:t>
            </w:r>
          </w:p>
        </w:tc>
      </w:tr>
      <w:tr w:rsidR="00E07660" w:rsidRPr="001B4CA2" w14:paraId="04B86AAC" w14:textId="77777777" w:rsidTr="00CE2706">
        <w:trPr>
          <w:cantSplit/>
          <w:trHeight w:val="1224"/>
          <w:jc w:val="center"/>
        </w:trPr>
        <w:tc>
          <w:tcPr>
            <w:tcW w:w="5558" w:type="dxa"/>
            <w:vMerge/>
            <w:tcBorders>
              <w:top w:val="single" w:sz="4" w:space="0" w:color="auto"/>
              <w:left w:val="single" w:sz="4" w:space="0" w:color="auto"/>
              <w:bottom w:val="single" w:sz="4" w:space="0" w:color="auto"/>
              <w:right w:val="single" w:sz="4" w:space="0" w:color="auto"/>
            </w:tcBorders>
            <w:vAlign w:val="center"/>
            <w:hideMark/>
          </w:tcPr>
          <w:p w14:paraId="63FC6F28" w14:textId="77777777" w:rsidR="00E07660" w:rsidRPr="001B4CA2" w:rsidRDefault="00E07660" w:rsidP="00E07660">
            <w:pPr>
              <w:jc w:val="left"/>
              <w:rPr>
                <w:rFonts w:asciiTheme="minorHAnsi" w:eastAsia="Times New Roman" w:hAnsiTheme="minorHAnsi" w:cstheme="minorHAnsi"/>
                <w:b/>
                <w:bCs/>
                <w:color w:val="000000"/>
                <w:sz w:val="18"/>
                <w:szCs w:val="18"/>
                <w:lang w:eastAsia="hr-HR"/>
              </w:rPr>
            </w:pPr>
          </w:p>
        </w:tc>
        <w:tc>
          <w:tcPr>
            <w:tcW w:w="730" w:type="dxa"/>
            <w:tcBorders>
              <w:top w:val="nil"/>
              <w:left w:val="nil"/>
              <w:bottom w:val="single" w:sz="4" w:space="0" w:color="auto"/>
              <w:right w:val="single" w:sz="4" w:space="0" w:color="auto"/>
            </w:tcBorders>
            <w:shd w:val="clear" w:color="auto" w:fill="99CCFF"/>
            <w:textDirection w:val="btLr"/>
            <w:vAlign w:val="center"/>
            <w:hideMark/>
          </w:tcPr>
          <w:p w14:paraId="66414D9C" w14:textId="77777777" w:rsidR="00E07660" w:rsidRPr="001B4CA2" w:rsidRDefault="00E07660" w:rsidP="00E07660">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RH</w:t>
            </w:r>
          </w:p>
        </w:tc>
        <w:tc>
          <w:tcPr>
            <w:tcW w:w="734" w:type="dxa"/>
            <w:tcBorders>
              <w:top w:val="nil"/>
              <w:left w:val="nil"/>
              <w:bottom w:val="single" w:sz="4" w:space="0" w:color="auto"/>
              <w:right w:val="single" w:sz="4" w:space="0" w:color="auto"/>
            </w:tcBorders>
            <w:shd w:val="clear" w:color="auto" w:fill="99CCFF"/>
            <w:textDirection w:val="btLr"/>
            <w:vAlign w:val="center"/>
            <w:hideMark/>
          </w:tcPr>
          <w:p w14:paraId="724B5214" w14:textId="77777777" w:rsidR="00E07660" w:rsidRPr="001B4CA2" w:rsidRDefault="00E07660" w:rsidP="00E07660">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ostali</w:t>
            </w:r>
          </w:p>
        </w:tc>
        <w:tc>
          <w:tcPr>
            <w:tcW w:w="788" w:type="dxa"/>
            <w:tcBorders>
              <w:top w:val="nil"/>
              <w:left w:val="nil"/>
              <w:bottom w:val="single" w:sz="4" w:space="0" w:color="auto"/>
              <w:right w:val="single" w:sz="4" w:space="0" w:color="auto"/>
            </w:tcBorders>
            <w:shd w:val="clear" w:color="auto" w:fill="99CCFF"/>
            <w:textDirection w:val="btLr"/>
            <w:vAlign w:val="center"/>
            <w:hideMark/>
          </w:tcPr>
          <w:p w14:paraId="4E98C57F" w14:textId="77777777" w:rsidR="00E07660" w:rsidRPr="001B4CA2" w:rsidRDefault="00E07660" w:rsidP="00E07660">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RH</w:t>
            </w:r>
          </w:p>
        </w:tc>
        <w:tc>
          <w:tcPr>
            <w:tcW w:w="733" w:type="dxa"/>
            <w:tcBorders>
              <w:top w:val="nil"/>
              <w:left w:val="nil"/>
              <w:bottom w:val="single" w:sz="4" w:space="0" w:color="auto"/>
              <w:right w:val="single" w:sz="4" w:space="0" w:color="auto"/>
            </w:tcBorders>
            <w:shd w:val="clear" w:color="auto" w:fill="99CCFF"/>
            <w:textDirection w:val="btLr"/>
            <w:vAlign w:val="center"/>
            <w:hideMark/>
          </w:tcPr>
          <w:p w14:paraId="55DD7945" w14:textId="77777777" w:rsidR="00E07660" w:rsidRPr="001B4CA2" w:rsidRDefault="00E07660" w:rsidP="00E07660">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ostali</w:t>
            </w:r>
          </w:p>
        </w:tc>
        <w:tc>
          <w:tcPr>
            <w:tcW w:w="860" w:type="dxa"/>
            <w:tcBorders>
              <w:top w:val="nil"/>
              <w:left w:val="nil"/>
              <w:bottom w:val="single" w:sz="4" w:space="0" w:color="auto"/>
              <w:right w:val="single" w:sz="4" w:space="0" w:color="auto"/>
            </w:tcBorders>
            <w:shd w:val="clear" w:color="auto" w:fill="99CCFF"/>
            <w:textDirection w:val="btLr"/>
            <w:vAlign w:val="center"/>
            <w:hideMark/>
          </w:tcPr>
          <w:p w14:paraId="2C8227A1" w14:textId="77777777" w:rsidR="00E07660" w:rsidRPr="001B4CA2" w:rsidRDefault="00E07660" w:rsidP="00E07660">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RH</w:t>
            </w:r>
          </w:p>
        </w:tc>
        <w:tc>
          <w:tcPr>
            <w:tcW w:w="718" w:type="dxa"/>
            <w:tcBorders>
              <w:top w:val="nil"/>
              <w:left w:val="nil"/>
              <w:bottom w:val="single" w:sz="4" w:space="0" w:color="auto"/>
              <w:right w:val="single" w:sz="4" w:space="0" w:color="auto"/>
            </w:tcBorders>
            <w:shd w:val="clear" w:color="auto" w:fill="99CCFF"/>
            <w:textDirection w:val="btLr"/>
            <w:vAlign w:val="center"/>
            <w:hideMark/>
          </w:tcPr>
          <w:p w14:paraId="183723FB" w14:textId="77777777" w:rsidR="00E07660" w:rsidRPr="001B4CA2" w:rsidRDefault="00E07660" w:rsidP="00E07660">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ostali</w:t>
            </w:r>
          </w:p>
        </w:tc>
        <w:tc>
          <w:tcPr>
            <w:tcW w:w="716" w:type="dxa"/>
            <w:tcBorders>
              <w:top w:val="nil"/>
              <w:left w:val="nil"/>
              <w:bottom w:val="single" w:sz="4" w:space="0" w:color="auto"/>
              <w:right w:val="single" w:sz="4" w:space="0" w:color="auto"/>
            </w:tcBorders>
            <w:shd w:val="clear" w:color="auto" w:fill="99CCFF"/>
            <w:textDirection w:val="btLr"/>
            <w:vAlign w:val="center"/>
            <w:hideMark/>
          </w:tcPr>
          <w:p w14:paraId="166C1B85" w14:textId="2F86778A" w:rsidR="00E07660" w:rsidRPr="001B4CA2" w:rsidRDefault="00E07660" w:rsidP="00E07660">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w:t>
            </w:r>
            <w:r w:rsidR="001B4CA2">
              <w:rPr>
                <w:rFonts w:asciiTheme="minorHAnsi" w:eastAsia="Times New Roman" w:hAnsiTheme="minorHAnsi" w:cstheme="minorHAnsi"/>
                <w:color w:val="000000" w:themeColor="text1"/>
                <w:sz w:val="18"/>
                <w:szCs w:val="18"/>
                <w:lang w:eastAsia="hr-HR"/>
              </w:rPr>
              <w:t xml:space="preserve"> </w:t>
            </w:r>
            <w:r w:rsidRPr="001B4CA2">
              <w:rPr>
                <w:rFonts w:asciiTheme="minorHAnsi" w:eastAsia="Times New Roman" w:hAnsiTheme="minorHAnsi" w:cstheme="minorHAnsi"/>
                <w:color w:val="000000" w:themeColor="text1"/>
                <w:sz w:val="18"/>
                <w:szCs w:val="18"/>
                <w:lang w:eastAsia="hr-HR"/>
              </w:rPr>
              <w:t>RH</w:t>
            </w:r>
          </w:p>
        </w:tc>
        <w:tc>
          <w:tcPr>
            <w:tcW w:w="719" w:type="dxa"/>
            <w:tcBorders>
              <w:top w:val="nil"/>
              <w:left w:val="nil"/>
              <w:bottom w:val="single" w:sz="4" w:space="0" w:color="auto"/>
              <w:right w:val="single" w:sz="4" w:space="0" w:color="auto"/>
            </w:tcBorders>
            <w:shd w:val="clear" w:color="auto" w:fill="99CCFF"/>
            <w:textDirection w:val="btLr"/>
            <w:vAlign w:val="center"/>
            <w:hideMark/>
          </w:tcPr>
          <w:p w14:paraId="4C686DCB" w14:textId="77777777" w:rsidR="00E07660" w:rsidRPr="001B4CA2" w:rsidRDefault="00E07660" w:rsidP="00E07660">
            <w:pPr>
              <w:ind w:left="113" w:right="113"/>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Zahtjev ostali</w:t>
            </w:r>
          </w:p>
        </w:tc>
        <w:tc>
          <w:tcPr>
            <w:tcW w:w="715"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5D48F297" w14:textId="4BB6CBB8" w:rsidR="00E07660" w:rsidRPr="001B4CA2" w:rsidRDefault="00E07660" w:rsidP="00E07660">
            <w:pPr>
              <w:ind w:left="113" w:right="113"/>
              <w:jc w:val="center"/>
              <w:rPr>
                <w:rFonts w:asciiTheme="minorHAnsi" w:eastAsia="Times New Roman" w:hAnsiTheme="minorHAnsi" w:cstheme="minorHAnsi"/>
                <w:bCs/>
                <w:color w:val="000000" w:themeColor="text1"/>
                <w:sz w:val="18"/>
                <w:szCs w:val="18"/>
                <w:lang w:eastAsia="hr-HR"/>
              </w:rPr>
            </w:pPr>
            <w:r w:rsidRPr="001B4CA2">
              <w:rPr>
                <w:rFonts w:asciiTheme="minorHAnsi" w:eastAsia="Times New Roman" w:hAnsiTheme="minorHAnsi" w:cstheme="minorHAnsi"/>
                <w:bCs/>
                <w:color w:val="000000" w:themeColor="text1"/>
                <w:sz w:val="18"/>
                <w:szCs w:val="18"/>
                <w:lang w:eastAsia="hr-HR"/>
              </w:rPr>
              <w:t>Zahtjev</w:t>
            </w:r>
            <w:r w:rsidR="001B4CA2">
              <w:rPr>
                <w:rFonts w:asciiTheme="minorHAnsi" w:eastAsia="Times New Roman" w:hAnsiTheme="minorHAnsi" w:cstheme="minorHAnsi"/>
                <w:bCs/>
                <w:color w:val="000000" w:themeColor="text1"/>
                <w:sz w:val="18"/>
                <w:szCs w:val="18"/>
                <w:lang w:eastAsia="hr-HR"/>
              </w:rPr>
              <w:t xml:space="preserve"> </w:t>
            </w:r>
            <w:r w:rsidRPr="001B4CA2">
              <w:rPr>
                <w:rFonts w:asciiTheme="minorHAnsi" w:eastAsia="Times New Roman" w:hAnsiTheme="minorHAnsi" w:cstheme="minorHAnsi"/>
                <w:bCs/>
                <w:color w:val="000000" w:themeColor="text1"/>
                <w:sz w:val="18"/>
                <w:szCs w:val="18"/>
                <w:lang w:eastAsia="hr-HR"/>
              </w:rPr>
              <w:t>RH</w:t>
            </w:r>
          </w:p>
        </w:tc>
        <w:tc>
          <w:tcPr>
            <w:tcW w:w="863" w:type="dxa"/>
            <w:tcBorders>
              <w:top w:val="single" w:sz="4" w:space="0" w:color="auto"/>
              <w:left w:val="single" w:sz="4" w:space="0" w:color="auto"/>
              <w:bottom w:val="single" w:sz="4" w:space="0" w:color="auto"/>
              <w:right w:val="single" w:sz="4" w:space="0" w:color="auto"/>
            </w:tcBorders>
            <w:shd w:val="clear" w:color="auto" w:fill="99CCFF"/>
            <w:textDirection w:val="btLr"/>
            <w:vAlign w:val="center"/>
          </w:tcPr>
          <w:p w14:paraId="528F6FA2" w14:textId="77777777" w:rsidR="00E07660" w:rsidRPr="001B4CA2" w:rsidRDefault="00E07660" w:rsidP="00E07660">
            <w:pPr>
              <w:ind w:left="113" w:right="113"/>
              <w:jc w:val="center"/>
              <w:rPr>
                <w:rFonts w:asciiTheme="minorHAnsi" w:eastAsia="Times New Roman" w:hAnsiTheme="minorHAnsi" w:cstheme="minorHAnsi"/>
                <w:bCs/>
                <w:color w:val="000000" w:themeColor="text1"/>
                <w:sz w:val="18"/>
                <w:szCs w:val="18"/>
                <w:lang w:eastAsia="hr-HR"/>
              </w:rPr>
            </w:pPr>
            <w:r w:rsidRPr="001B4CA2">
              <w:rPr>
                <w:rFonts w:asciiTheme="minorHAnsi" w:eastAsia="Times New Roman" w:hAnsiTheme="minorHAnsi" w:cstheme="minorHAnsi"/>
                <w:bCs/>
                <w:color w:val="000000" w:themeColor="text1"/>
                <w:sz w:val="18"/>
                <w:szCs w:val="18"/>
                <w:lang w:eastAsia="hr-HR"/>
              </w:rPr>
              <w:t>Zahtjev ostali</w:t>
            </w:r>
          </w:p>
        </w:tc>
        <w:tc>
          <w:tcPr>
            <w:tcW w:w="921" w:type="dxa"/>
            <w:vMerge/>
            <w:tcBorders>
              <w:left w:val="single" w:sz="4" w:space="0" w:color="auto"/>
              <w:bottom w:val="single" w:sz="4" w:space="0" w:color="auto"/>
              <w:right w:val="single" w:sz="4" w:space="0" w:color="auto"/>
            </w:tcBorders>
            <w:shd w:val="clear" w:color="auto" w:fill="99CCFF"/>
            <w:textDirection w:val="btLr"/>
          </w:tcPr>
          <w:p w14:paraId="63BA7F74" w14:textId="77777777" w:rsidR="00E07660" w:rsidRPr="001B4CA2" w:rsidRDefault="00E07660" w:rsidP="00E07660">
            <w:pPr>
              <w:jc w:val="center"/>
              <w:rPr>
                <w:rFonts w:asciiTheme="minorHAnsi" w:eastAsia="Times New Roman" w:hAnsiTheme="minorHAnsi" w:cstheme="minorHAnsi"/>
                <w:bCs/>
                <w:color w:val="000000" w:themeColor="text1"/>
                <w:sz w:val="18"/>
                <w:szCs w:val="18"/>
                <w:lang w:eastAsia="hr-HR"/>
              </w:rPr>
            </w:pPr>
          </w:p>
        </w:tc>
      </w:tr>
      <w:tr w:rsidR="00E07660" w:rsidRPr="001B4CA2" w14:paraId="19D0551B"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100AF"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Republika Hrvatska</w:t>
            </w:r>
          </w:p>
        </w:tc>
        <w:tc>
          <w:tcPr>
            <w:tcW w:w="730" w:type="dxa"/>
            <w:tcBorders>
              <w:top w:val="nil"/>
              <w:left w:val="nil"/>
              <w:bottom w:val="single" w:sz="4" w:space="0" w:color="auto"/>
              <w:right w:val="single" w:sz="4" w:space="0" w:color="auto"/>
            </w:tcBorders>
            <w:shd w:val="clear" w:color="auto" w:fill="auto"/>
            <w:noWrap/>
            <w:vAlign w:val="center"/>
          </w:tcPr>
          <w:p w14:paraId="1FE3F5E5"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16</w:t>
            </w:r>
          </w:p>
        </w:tc>
        <w:tc>
          <w:tcPr>
            <w:tcW w:w="734" w:type="dxa"/>
            <w:tcBorders>
              <w:top w:val="nil"/>
              <w:left w:val="nil"/>
              <w:bottom w:val="single" w:sz="4" w:space="0" w:color="auto"/>
              <w:right w:val="single" w:sz="4" w:space="0" w:color="auto"/>
            </w:tcBorders>
            <w:shd w:val="clear" w:color="auto" w:fill="auto"/>
            <w:noWrap/>
            <w:vAlign w:val="center"/>
          </w:tcPr>
          <w:p w14:paraId="075D0E23"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48</w:t>
            </w:r>
          </w:p>
        </w:tc>
        <w:tc>
          <w:tcPr>
            <w:tcW w:w="788" w:type="dxa"/>
            <w:tcBorders>
              <w:top w:val="nil"/>
              <w:left w:val="nil"/>
              <w:bottom w:val="single" w:sz="4" w:space="0" w:color="auto"/>
              <w:right w:val="single" w:sz="4" w:space="0" w:color="auto"/>
            </w:tcBorders>
            <w:shd w:val="clear" w:color="auto" w:fill="auto"/>
            <w:noWrap/>
            <w:vAlign w:val="center"/>
          </w:tcPr>
          <w:p w14:paraId="17F4142F"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25</w:t>
            </w:r>
          </w:p>
        </w:tc>
        <w:tc>
          <w:tcPr>
            <w:tcW w:w="733" w:type="dxa"/>
            <w:tcBorders>
              <w:top w:val="nil"/>
              <w:left w:val="nil"/>
              <w:bottom w:val="single" w:sz="4" w:space="0" w:color="auto"/>
              <w:right w:val="single" w:sz="4" w:space="0" w:color="auto"/>
            </w:tcBorders>
            <w:shd w:val="clear" w:color="auto" w:fill="auto"/>
            <w:noWrap/>
            <w:vAlign w:val="center"/>
          </w:tcPr>
          <w:p w14:paraId="09B6FCC9"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15</w:t>
            </w:r>
          </w:p>
        </w:tc>
        <w:tc>
          <w:tcPr>
            <w:tcW w:w="860" w:type="dxa"/>
            <w:tcBorders>
              <w:top w:val="nil"/>
              <w:left w:val="nil"/>
              <w:bottom w:val="single" w:sz="4" w:space="0" w:color="auto"/>
              <w:right w:val="single" w:sz="4" w:space="0" w:color="auto"/>
            </w:tcBorders>
            <w:shd w:val="clear" w:color="auto" w:fill="auto"/>
            <w:noWrap/>
            <w:vAlign w:val="center"/>
          </w:tcPr>
          <w:p w14:paraId="4C0C56DA"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4</w:t>
            </w:r>
          </w:p>
        </w:tc>
        <w:tc>
          <w:tcPr>
            <w:tcW w:w="718" w:type="dxa"/>
            <w:tcBorders>
              <w:top w:val="nil"/>
              <w:left w:val="nil"/>
              <w:bottom w:val="single" w:sz="4" w:space="0" w:color="auto"/>
              <w:right w:val="single" w:sz="4" w:space="0" w:color="auto"/>
            </w:tcBorders>
            <w:shd w:val="clear" w:color="auto" w:fill="auto"/>
            <w:noWrap/>
            <w:vAlign w:val="center"/>
          </w:tcPr>
          <w:p w14:paraId="106CCD01"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7</w:t>
            </w:r>
          </w:p>
        </w:tc>
        <w:tc>
          <w:tcPr>
            <w:tcW w:w="716" w:type="dxa"/>
            <w:tcBorders>
              <w:top w:val="nil"/>
              <w:left w:val="nil"/>
              <w:bottom w:val="single" w:sz="4" w:space="0" w:color="auto"/>
              <w:right w:val="single" w:sz="4" w:space="0" w:color="auto"/>
            </w:tcBorders>
            <w:shd w:val="clear" w:color="auto" w:fill="auto"/>
            <w:noWrap/>
            <w:vAlign w:val="center"/>
          </w:tcPr>
          <w:p w14:paraId="390150BE"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02835767"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3</w:t>
            </w:r>
          </w:p>
        </w:tc>
        <w:tc>
          <w:tcPr>
            <w:tcW w:w="715" w:type="dxa"/>
            <w:tcBorders>
              <w:top w:val="nil"/>
              <w:left w:val="nil"/>
              <w:bottom w:val="single" w:sz="4" w:space="0" w:color="auto"/>
              <w:right w:val="single" w:sz="4" w:space="0" w:color="auto"/>
            </w:tcBorders>
            <w:shd w:val="clear" w:color="auto" w:fill="auto"/>
            <w:noWrap/>
            <w:vAlign w:val="center"/>
          </w:tcPr>
          <w:p w14:paraId="03BCBDBF"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45</w:t>
            </w:r>
          </w:p>
        </w:tc>
        <w:tc>
          <w:tcPr>
            <w:tcW w:w="863" w:type="dxa"/>
            <w:tcBorders>
              <w:top w:val="nil"/>
              <w:left w:val="nil"/>
              <w:bottom w:val="single" w:sz="4" w:space="0" w:color="auto"/>
              <w:right w:val="single" w:sz="4" w:space="0" w:color="auto"/>
            </w:tcBorders>
            <w:shd w:val="clear" w:color="auto" w:fill="auto"/>
            <w:vAlign w:val="center"/>
          </w:tcPr>
          <w:p w14:paraId="7AC80C1F"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73</w:t>
            </w:r>
          </w:p>
        </w:tc>
        <w:tc>
          <w:tcPr>
            <w:tcW w:w="921" w:type="dxa"/>
            <w:tcBorders>
              <w:top w:val="nil"/>
              <w:left w:val="nil"/>
              <w:bottom w:val="single" w:sz="4" w:space="0" w:color="auto"/>
              <w:right w:val="single" w:sz="4" w:space="0" w:color="auto"/>
            </w:tcBorders>
            <w:vAlign w:val="center"/>
          </w:tcPr>
          <w:p w14:paraId="6785F9E3"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118</w:t>
            </w:r>
          </w:p>
        </w:tc>
      </w:tr>
      <w:tr w:rsidR="00E07660" w:rsidRPr="001B4CA2" w14:paraId="423F4C72"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DA5E7"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pravosuđa i uprave</w:t>
            </w:r>
          </w:p>
        </w:tc>
        <w:tc>
          <w:tcPr>
            <w:tcW w:w="730" w:type="dxa"/>
            <w:tcBorders>
              <w:top w:val="nil"/>
              <w:left w:val="nil"/>
              <w:bottom w:val="single" w:sz="4" w:space="0" w:color="auto"/>
              <w:right w:val="single" w:sz="4" w:space="0" w:color="auto"/>
            </w:tcBorders>
            <w:shd w:val="clear" w:color="auto" w:fill="auto"/>
            <w:noWrap/>
            <w:vAlign w:val="center"/>
          </w:tcPr>
          <w:p w14:paraId="6BB2787D" w14:textId="77777777" w:rsidR="00E07660" w:rsidRPr="001B4CA2" w:rsidRDefault="00E07660" w:rsidP="00E07660">
            <w:pPr>
              <w:jc w:val="center"/>
              <w:rPr>
                <w:rFonts w:ascii="Calibri" w:hAnsi="Calibri" w:cs="Calibri"/>
                <w:color w:val="000000"/>
                <w:sz w:val="22"/>
                <w:szCs w:val="22"/>
              </w:rPr>
            </w:pPr>
          </w:p>
        </w:tc>
        <w:tc>
          <w:tcPr>
            <w:tcW w:w="734" w:type="dxa"/>
            <w:tcBorders>
              <w:top w:val="nil"/>
              <w:left w:val="nil"/>
              <w:bottom w:val="single" w:sz="4" w:space="0" w:color="auto"/>
              <w:right w:val="single" w:sz="4" w:space="0" w:color="auto"/>
            </w:tcBorders>
            <w:shd w:val="clear" w:color="auto" w:fill="auto"/>
            <w:noWrap/>
            <w:vAlign w:val="center"/>
          </w:tcPr>
          <w:p w14:paraId="38C550FE" w14:textId="77777777" w:rsidR="00E07660" w:rsidRPr="001B4CA2" w:rsidRDefault="00E07660" w:rsidP="00E07660">
            <w:pPr>
              <w:jc w:val="center"/>
              <w:rPr>
                <w:rFonts w:ascii="Calibri" w:hAnsi="Calibri" w:cs="Calibri"/>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center"/>
          </w:tcPr>
          <w:p w14:paraId="04C0E43D"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2</w:t>
            </w:r>
          </w:p>
        </w:tc>
        <w:tc>
          <w:tcPr>
            <w:tcW w:w="733" w:type="dxa"/>
            <w:tcBorders>
              <w:top w:val="nil"/>
              <w:left w:val="nil"/>
              <w:bottom w:val="single" w:sz="4" w:space="0" w:color="auto"/>
              <w:right w:val="single" w:sz="4" w:space="0" w:color="auto"/>
            </w:tcBorders>
            <w:shd w:val="clear" w:color="auto" w:fill="auto"/>
            <w:noWrap/>
            <w:vAlign w:val="center"/>
          </w:tcPr>
          <w:p w14:paraId="7700A1F8"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4</w:t>
            </w:r>
          </w:p>
        </w:tc>
        <w:tc>
          <w:tcPr>
            <w:tcW w:w="860" w:type="dxa"/>
            <w:tcBorders>
              <w:top w:val="nil"/>
              <w:left w:val="nil"/>
              <w:bottom w:val="single" w:sz="4" w:space="0" w:color="auto"/>
              <w:right w:val="single" w:sz="4" w:space="0" w:color="auto"/>
            </w:tcBorders>
            <w:shd w:val="clear" w:color="auto" w:fill="auto"/>
            <w:noWrap/>
            <w:vAlign w:val="center"/>
          </w:tcPr>
          <w:p w14:paraId="6E528E91" w14:textId="77777777" w:rsidR="00E07660" w:rsidRPr="001B4CA2" w:rsidRDefault="00E07660" w:rsidP="00E07660">
            <w:pPr>
              <w:jc w:val="center"/>
              <w:rPr>
                <w:rFonts w:ascii="Calibri" w:hAnsi="Calibri" w:cs="Calibri"/>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14:paraId="70344B08"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61</w:t>
            </w:r>
          </w:p>
        </w:tc>
        <w:tc>
          <w:tcPr>
            <w:tcW w:w="716" w:type="dxa"/>
            <w:tcBorders>
              <w:top w:val="nil"/>
              <w:left w:val="nil"/>
              <w:bottom w:val="single" w:sz="4" w:space="0" w:color="auto"/>
              <w:right w:val="single" w:sz="4" w:space="0" w:color="auto"/>
            </w:tcBorders>
            <w:shd w:val="clear" w:color="auto" w:fill="auto"/>
            <w:noWrap/>
            <w:vAlign w:val="center"/>
          </w:tcPr>
          <w:p w14:paraId="212F6393"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19" w:type="dxa"/>
            <w:tcBorders>
              <w:top w:val="nil"/>
              <w:left w:val="nil"/>
              <w:bottom w:val="single" w:sz="4" w:space="0" w:color="auto"/>
              <w:right w:val="single" w:sz="4" w:space="0" w:color="auto"/>
            </w:tcBorders>
            <w:shd w:val="clear" w:color="auto" w:fill="auto"/>
            <w:noWrap/>
            <w:vAlign w:val="center"/>
          </w:tcPr>
          <w:p w14:paraId="320BC702" w14:textId="77777777" w:rsidR="00E07660" w:rsidRPr="001B4CA2" w:rsidRDefault="00E07660" w:rsidP="00E07660">
            <w:pPr>
              <w:jc w:val="center"/>
              <w:rPr>
                <w:rFonts w:ascii="Calibri" w:hAnsi="Calibri" w:cs="Calibri"/>
                <w:color w:val="000000"/>
                <w:sz w:val="22"/>
                <w:szCs w:val="22"/>
              </w:rPr>
            </w:pPr>
          </w:p>
        </w:tc>
        <w:tc>
          <w:tcPr>
            <w:tcW w:w="715" w:type="dxa"/>
            <w:tcBorders>
              <w:top w:val="nil"/>
              <w:left w:val="nil"/>
              <w:bottom w:val="single" w:sz="4" w:space="0" w:color="auto"/>
              <w:right w:val="single" w:sz="4" w:space="0" w:color="auto"/>
            </w:tcBorders>
            <w:shd w:val="clear" w:color="auto" w:fill="auto"/>
            <w:noWrap/>
            <w:vAlign w:val="center"/>
          </w:tcPr>
          <w:p w14:paraId="08DE71F2"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3</w:t>
            </w:r>
          </w:p>
        </w:tc>
        <w:tc>
          <w:tcPr>
            <w:tcW w:w="863" w:type="dxa"/>
            <w:tcBorders>
              <w:top w:val="nil"/>
              <w:left w:val="nil"/>
              <w:bottom w:val="single" w:sz="4" w:space="0" w:color="auto"/>
              <w:right w:val="single" w:sz="4" w:space="0" w:color="auto"/>
            </w:tcBorders>
            <w:shd w:val="clear" w:color="auto" w:fill="auto"/>
            <w:vAlign w:val="center"/>
          </w:tcPr>
          <w:p w14:paraId="58C5F8B3"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65</w:t>
            </w:r>
          </w:p>
        </w:tc>
        <w:tc>
          <w:tcPr>
            <w:tcW w:w="921" w:type="dxa"/>
            <w:tcBorders>
              <w:top w:val="nil"/>
              <w:left w:val="nil"/>
              <w:bottom w:val="single" w:sz="4" w:space="0" w:color="auto"/>
              <w:right w:val="single" w:sz="4" w:space="0" w:color="auto"/>
            </w:tcBorders>
            <w:vAlign w:val="center"/>
          </w:tcPr>
          <w:p w14:paraId="3DE2D62D"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68</w:t>
            </w:r>
          </w:p>
        </w:tc>
      </w:tr>
      <w:tr w:rsidR="00E07660" w:rsidRPr="001B4CA2" w14:paraId="0AE38773"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491ED"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zdravstva</w:t>
            </w:r>
          </w:p>
        </w:tc>
        <w:tc>
          <w:tcPr>
            <w:tcW w:w="730" w:type="dxa"/>
            <w:tcBorders>
              <w:top w:val="nil"/>
              <w:left w:val="nil"/>
              <w:bottom w:val="single" w:sz="4" w:space="0" w:color="auto"/>
              <w:right w:val="single" w:sz="4" w:space="0" w:color="auto"/>
            </w:tcBorders>
            <w:shd w:val="clear" w:color="auto" w:fill="auto"/>
            <w:noWrap/>
            <w:vAlign w:val="center"/>
          </w:tcPr>
          <w:p w14:paraId="5A3EE2C6" w14:textId="77777777" w:rsidR="00E07660" w:rsidRPr="001B4CA2" w:rsidRDefault="00E07660" w:rsidP="00E07660">
            <w:pPr>
              <w:jc w:val="center"/>
              <w:rPr>
                <w:rFonts w:ascii="Calibri" w:hAnsi="Calibri" w:cs="Calibri"/>
                <w:color w:val="000000"/>
                <w:sz w:val="22"/>
                <w:szCs w:val="22"/>
              </w:rPr>
            </w:pPr>
          </w:p>
        </w:tc>
        <w:tc>
          <w:tcPr>
            <w:tcW w:w="734" w:type="dxa"/>
            <w:tcBorders>
              <w:top w:val="nil"/>
              <w:left w:val="nil"/>
              <w:bottom w:val="single" w:sz="4" w:space="0" w:color="auto"/>
              <w:right w:val="single" w:sz="4" w:space="0" w:color="auto"/>
            </w:tcBorders>
            <w:shd w:val="clear" w:color="auto" w:fill="auto"/>
            <w:noWrap/>
            <w:vAlign w:val="center"/>
          </w:tcPr>
          <w:p w14:paraId="398EB02E" w14:textId="77777777" w:rsidR="00E07660" w:rsidRPr="001B4CA2" w:rsidRDefault="00E07660" w:rsidP="00E07660">
            <w:pPr>
              <w:jc w:val="center"/>
              <w:rPr>
                <w:rFonts w:ascii="Calibri" w:hAnsi="Calibri" w:cs="Calibri"/>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center"/>
          </w:tcPr>
          <w:p w14:paraId="32099DEB" w14:textId="77777777" w:rsidR="00E07660" w:rsidRPr="001B4CA2" w:rsidRDefault="00E07660" w:rsidP="00E07660">
            <w:pPr>
              <w:jc w:val="center"/>
              <w:rPr>
                <w:rFonts w:ascii="Calibri" w:hAnsi="Calibri" w:cs="Calibri"/>
                <w:color w:val="00000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35FC059B"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860" w:type="dxa"/>
            <w:tcBorders>
              <w:top w:val="nil"/>
              <w:left w:val="nil"/>
              <w:bottom w:val="single" w:sz="4" w:space="0" w:color="auto"/>
              <w:right w:val="single" w:sz="4" w:space="0" w:color="auto"/>
            </w:tcBorders>
            <w:shd w:val="clear" w:color="auto" w:fill="auto"/>
            <w:noWrap/>
            <w:vAlign w:val="center"/>
          </w:tcPr>
          <w:p w14:paraId="206FDEDB" w14:textId="77777777" w:rsidR="00E07660" w:rsidRPr="001B4CA2" w:rsidRDefault="00E07660" w:rsidP="00E07660">
            <w:pPr>
              <w:jc w:val="center"/>
              <w:rPr>
                <w:rFonts w:ascii="Calibri" w:hAnsi="Calibri" w:cs="Calibri"/>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14:paraId="7EC53F56" w14:textId="77777777" w:rsidR="00E07660" w:rsidRPr="001B4CA2" w:rsidRDefault="00E07660" w:rsidP="00E07660">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701BC6E4"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74AA1462" w14:textId="77777777" w:rsidR="00E07660" w:rsidRPr="001B4CA2" w:rsidRDefault="00E07660" w:rsidP="00E07660">
            <w:pPr>
              <w:jc w:val="center"/>
              <w:rPr>
                <w:rFonts w:ascii="Calibri" w:hAnsi="Calibri" w:cs="Calibri"/>
                <w:color w:val="000000"/>
                <w:sz w:val="22"/>
                <w:szCs w:val="22"/>
              </w:rPr>
            </w:pPr>
          </w:p>
        </w:tc>
        <w:tc>
          <w:tcPr>
            <w:tcW w:w="715" w:type="dxa"/>
            <w:tcBorders>
              <w:top w:val="nil"/>
              <w:left w:val="nil"/>
              <w:bottom w:val="single" w:sz="4" w:space="0" w:color="auto"/>
              <w:right w:val="single" w:sz="4" w:space="0" w:color="auto"/>
            </w:tcBorders>
            <w:shd w:val="clear" w:color="auto" w:fill="auto"/>
            <w:noWrap/>
            <w:vAlign w:val="center"/>
          </w:tcPr>
          <w:p w14:paraId="3BDCE1AC" w14:textId="77777777" w:rsidR="00E07660" w:rsidRPr="001B4CA2" w:rsidRDefault="00E07660" w:rsidP="00E07660">
            <w:pPr>
              <w:jc w:val="center"/>
              <w:rPr>
                <w:rFonts w:ascii="Calibri" w:hAnsi="Calibri" w:cs="Calibri"/>
                <w:b/>
                <w:bCs/>
                <w:color w:val="000000"/>
                <w:sz w:val="22"/>
                <w:szCs w:val="22"/>
              </w:rPr>
            </w:pPr>
          </w:p>
        </w:tc>
        <w:tc>
          <w:tcPr>
            <w:tcW w:w="863" w:type="dxa"/>
            <w:tcBorders>
              <w:top w:val="nil"/>
              <w:left w:val="nil"/>
              <w:bottom w:val="single" w:sz="4" w:space="0" w:color="auto"/>
              <w:right w:val="single" w:sz="4" w:space="0" w:color="auto"/>
            </w:tcBorders>
            <w:shd w:val="clear" w:color="auto" w:fill="auto"/>
            <w:vAlign w:val="center"/>
          </w:tcPr>
          <w:p w14:paraId="23CA56E2"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w:t>
            </w:r>
          </w:p>
        </w:tc>
        <w:tc>
          <w:tcPr>
            <w:tcW w:w="921" w:type="dxa"/>
            <w:tcBorders>
              <w:top w:val="nil"/>
              <w:left w:val="nil"/>
              <w:bottom w:val="single" w:sz="4" w:space="0" w:color="auto"/>
              <w:right w:val="single" w:sz="4" w:space="0" w:color="auto"/>
            </w:tcBorders>
            <w:vAlign w:val="center"/>
          </w:tcPr>
          <w:p w14:paraId="2473D5F3"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w:t>
            </w:r>
          </w:p>
        </w:tc>
      </w:tr>
      <w:tr w:rsidR="00E07660" w:rsidRPr="001B4CA2" w14:paraId="79CDB76D"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FF4C8"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hrvatskih branitelja</w:t>
            </w:r>
          </w:p>
        </w:tc>
        <w:tc>
          <w:tcPr>
            <w:tcW w:w="730" w:type="dxa"/>
            <w:tcBorders>
              <w:top w:val="nil"/>
              <w:left w:val="nil"/>
              <w:bottom w:val="single" w:sz="4" w:space="0" w:color="auto"/>
              <w:right w:val="single" w:sz="4" w:space="0" w:color="auto"/>
            </w:tcBorders>
            <w:shd w:val="clear" w:color="auto" w:fill="auto"/>
            <w:noWrap/>
            <w:vAlign w:val="center"/>
          </w:tcPr>
          <w:p w14:paraId="25EE8ABA" w14:textId="77777777" w:rsidR="00E07660" w:rsidRPr="001B4CA2" w:rsidRDefault="00E07660" w:rsidP="00E07660">
            <w:pPr>
              <w:jc w:val="center"/>
              <w:rPr>
                <w:rFonts w:ascii="Calibri" w:hAnsi="Calibri" w:cs="Calibri"/>
                <w:color w:val="000000"/>
                <w:sz w:val="22"/>
                <w:szCs w:val="22"/>
              </w:rPr>
            </w:pPr>
          </w:p>
        </w:tc>
        <w:tc>
          <w:tcPr>
            <w:tcW w:w="734" w:type="dxa"/>
            <w:tcBorders>
              <w:top w:val="nil"/>
              <w:left w:val="nil"/>
              <w:bottom w:val="single" w:sz="4" w:space="0" w:color="auto"/>
              <w:right w:val="single" w:sz="4" w:space="0" w:color="auto"/>
            </w:tcBorders>
            <w:shd w:val="clear" w:color="auto" w:fill="auto"/>
            <w:noWrap/>
            <w:vAlign w:val="center"/>
          </w:tcPr>
          <w:p w14:paraId="4B4CD4E4" w14:textId="77777777" w:rsidR="00E07660" w:rsidRPr="001B4CA2" w:rsidRDefault="00E07660" w:rsidP="00E07660">
            <w:pPr>
              <w:jc w:val="center"/>
              <w:rPr>
                <w:rFonts w:ascii="Calibri" w:hAnsi="Calibri" w:cs="Calibri"/>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center"/>
          </w:tcPr>
          <w:p w14:paraId="5D900811" w14:textId="77777777" w:rsidR="00E07660" w:rsidRPr="001B4CA2" w:rsidRDefault="00E07660" w:rsidP="00E07660">
            <w:pPr>
              <w:jc w:val="center"/>
              <w:rPr>
                <w:rFonts w:ascii="Calibri" w:hAnsi="Calibri" w:cs="Calibri"/>
                <w:color w:val="00000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79925AD3"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2</w:t>
            </w:r>
          </w:p>
        </w:tc>
        <w:tc>
          <w:tcPr>
            <w:tcW w:w="860" w:type="dxa"/>
            <w:tcBorders>
              <w:top w:val="nil"/>
              <w:left w:val="nil"/>
              <w:bottom w:val="single" w:sz="4" w:space="0" w:color="auto"/>
              <w:right w:val="single" w:sz="4" w:space="0" w:color="auto"/>
            </w:tcBorders>
            <w:shd w:val="clear" w:color="auto" w:fill="auto"/>
            <w:noWrap/>
            <w:vAlign w:val="center"/>
          </w:tcPr>
          <w:p w14:paraId="7EB34B02" w14:textId="77777777" w:rsidR="00E07660" w:rsidRPr="001B4CA2" w:rsidRDefault="00E07660" w:rsidP="00E07660">
            <w:pPr>
              <w:jc w:val="center"/>
              <w:rPr>
                <w:rFonts w:ascii="Calibri" w:hAnsi="Calibri" w:cs="Calibri"/>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14:paraId="3F517D65" w14:textId="77777777" w:rsidR="00E07660" w:rsidRPr="001B4CA2" w:rsidRDefault="00E07660" w:rsidP="00E07660">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3444544C"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3C62C1D3" w14:textId="77777777" w:rsidR="00E07660" w:rsidRPr="001B4CA2" w:rsidRDefault="00E07660" w:rsidP="00E07660">
            <w:pPr>
              <w:jc w:val="center"/>
              <w:rPr>
                <w:rFonts w:ascii="Calibri" w:hAnsi="Calibri" w:cs="Calibri"/>
                <w:color w:val="000000"/>
                <w:sz w:val="22"/>
                <w:szCs w:val="22"/>
              </w:rPr>
            </w:pPr>
          </w:p>
        </w:tc>
        <w:tc>
          <w:tcPr>
            <w:tcW w:w="715" w:type="dxa"/>
            <w:tcBorders>
              <w:top w:val="nil"/>
              <w:left w:val="nil"/>
              <w:bottom w:val="single" w:sz="4" w:space="0" w:color="auto"/>
              <w:right w:val="single" w:sz="4" w:space="0" w:color="auto"/>
            </w:tcBorders>
            <w:shd w:val="clear" w:color="auto" w:fill="auto"/>
            <w:noWrap/>
            <w:vAlign w:val="center"/>
          </w:tcPr>
          <w:p w14:paraId="33B289CE" w14:textId="77777777" w:rsidR="00E07660" w:rsidRPr="001B4CA2" w:rsidRDefault="00E07660" w:rsidP="00E07660">
            <w:pPr>
              <w:jc w:val="center"/>
              <w:rPr>
                <w:rFonts w:ascii="Calibri" w:hAnsi="Calibri" w:cs="Calibri"/>
                <w:b/>
                <w:bCs/>
                <w:color w:val="000000"/>
                <w:sz w:val="22"/>
                <w:szCs w:val="22"/>
              </w:rPr>
            </w:pPr>
          </w:p>
        </w:tc>
        <w:tc>
          <w:tcPr>
            <w:tcW w:w="863" w:type="dxa"/>
            <w:tcBorders>
              <w:top w:val="nil"/>
              <w:left w:val="nil"/>
              <w:bottom w:val="single" w:sz="4" w:space="0" w:color="auto"/>
              <w:right w:val="single" w:sz="4" w:space="0" w:color="auto"/>
            </w:tcBorders>
            <w:shd w:val="clear" w:color="auto" w:fill="auto"/>
            <w:vAlign w:val="center"/>
          </w:tcPr>
          <w:p w14:paraId="635D689E"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2</w:t>
            </w:r>
          </w:p>
        </w:tc>
        <w:tc>
          <w:tcPr>
            <w:tcW w:w="921" w:type="dxa"/>
            <w:tcBorders>
              <w:top w:val="nil"/>
              <w:left w:val="nil"/>
              <w:bottom w:val="single" w:sz="4" w:space="0" w:color="auto"/>
              <w:right w:val="single" w:sz="4" w:space="0" w:color="auto"/>
            </w:tcBorders>
            <w:vAlign w:val="center"/>
          </w:tcPr>
          <w:p w14:paraId="11836BDD"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2</w:t>
            </w:r>
          </w:p>
        </w:tc>
      </w:tr>
      <w:tr w:rsidR="00E07660" w:rsidRPr="001B4CA2" w14:paraId="69061539"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2CF00"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regionalnog razvoja i fondova EU</w:t>
            </w:r>
          </w:p>
        </w:tc>
        <w:tc>
          <w:tcPr>
            <w:tcW w:w="730" w:type="dxa"/>
            <w:tcBorders>
              <w:top w:val="nil"/>
              <w:left w:val="nil"/>
              <w:bottom w:val="single" w:sz="4" w:space="0" w:color="auto"/>
              <w:right w:val="single" w:sz="4" w:space="0" w:color="auto"/>
            </w:tcBorders>
            <w:shd w:val="clear" w:color="auto" w:fill="auto"/>
            <w:noWrap/>
            <w:vAlign w:val="center"/>
          </w:tcPr>
          <w:p w14:paraId="5ACC1D52" w14:textId="77777777" w:rsidR="00E07660" w:rsidRPr="001B4CA2" w:rsidRDefault="00E07660" w:rsidP="00E07660">
            <w:pPr>
              <w:jc w:val="center"/>
              <w:rPr>
                <w:rFonts w:ascii="Calibri" w:hAnsi="Calibri" w:cs="Calibri"/>
                <w:color w:val="000000"/>
                <w:sz w:val="22"/>
                <w:szCs w:val="22"/>
              </w:rPr>
            </w:pPr>
          </w:p>
        </w:tc>
        <w:tc>
          <w:tcPr>
            <w:tcW w:w="734" w:type="dxa"/>
            <w:tcBorders>
              <w:top w:val="nil"/>
              <w:left w:val="nil"/>
              <w:bottom w:val="single" w:sz="4" w:space="0" w:color="auto"/>
              <w:right w:val="single" w:sz="4" w:space="0" w:color="auto"/>
            </w:tcBorders>
            <w:shd w:val="clear" w:color="auto" w:fill="auto"/>
            <w:noWrap/>
            <w:vAlign w:val="center"/>
          </w:tcPr>
          <w:p w14:paraId="638DC953" w14:textId="77777777" w:rsidR="00E07660" w:rsidRPr="001B4CA2" w:rsidRDefault="00E07660" w:rsidP="00E07660">
            <w:pPr>
              <w:jc w:val="center"/>
              <w:rPr>
                <w:rFonts w:ascii="Calibri" w:hAnsi="Calibri" w:cs="Calibri"/>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center"/>
          </w:tcPr>
          <w:p w14:paraId="51715CA1" w14:textId="77777777" w:rsidR="00E07660" w:rsidRPr="001B4CA2" w:rsidRDefault="00E07660" w:rsidP="00E07660">
            <w:pPr>
              <w:jc w:val="center"/>
              <w:rPr>
                <w:rFonts w:ascii="Calibri" w:hAnsi="Calibri" w:cs="Calibri"/>
                <w:color w:val="00000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04FB6069"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860" w:type="dxa"/>
            <w:tcBorders>
              <w:top w:val="nil"/>
              <w:left w:val="nil"/>
              <w:bottom w:val="single" w:sz="4" w:space="0" w:color="auto"/>
              <w:right w:val="single" w:sz="4" w:space="0" w:color="auto"/>
            </w:tcBorders>
            <w:shd w:val="clear" w:color="auto" w:fill="auto"/>
            <w:noWrap/>
            <w:vAlign w:val="center"/>
          </w:tcPr>
          <w:p w14:paraId="3AAE6068" w14:textId="77777777" w:rsidR="00E07660" w:rsidRPr="001B4CA2" w:rsidRDefault="00E07660" w:rsidP="00E07660">
            <w:pPr>
              <w:jc w:val="center"/>
              <w:rPr>
                <w:rFonts w:ascii="Calibri" w:hAnsi="Calibri" w:cs="Calibri"/>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14:paraId="4EB53B77"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16" w:type="dxa"/>
            <w:tcBorders>
              <w:top w:val="nil"/>
              <w:left w:val="nil"/>
              <w:bottom w:val="single" w:sz="4" w:space="0" w:color="auto"/>
              <w:right w:val="single" w:sz="4" w:space="0" w:color="auto"/>
            </w:tcBorders>
            <w:shd w:val="clear" w:color="auto" w:fill="auto"/>
            <w:noWrap/>
            <w:vAlign w:val="center"/>
          </w:tcPr>
          <w:p w14:paraId="19B71B3A"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209C2F21" w14:textId="77777777" w:rsidR="00E07660" w:rsidRPr="001B4CA2" w:rsidRDefault="00E07660" w:rsidP="00E07660">
            <w:pPr>
              <w:jc w:val="center"/>
              <w:rPr>
                <w:rFonts w:ascii="Calibri" w:hAnsi="Calibri" w:cs="Calibri"/>
                <w:color w:val="000000"/>
                <w:sz w:val="22"/>
                <w:szCs w:val="22"/>
              </w:rPr>
            </w:pPr>
          </w:p>
        </w:tc>
        <w:tc>
          <w:tcPr>
            <w:tcW w:w="715" w:type="dxa"/>
            <w:tcBorders>
              <w:top w:val="nil"/>
              <w:left w:val="nil"/>
              <w:bottom w:val="single" w:sz="4" w:space="0" w:color="auto"/>
              <w:right w:val="single" w:sz="4" w:space="0" w:color="auto"/>
            </w:tcBorders>
            <w:shd w:val="clear" w:color="auto" w:fill="auto"/>
            <w:noWrap/>
            <w:vAlign w:val="center"/>
          </w:tcPr>
          <w:p w14:paraId="22C8BB2A" w14:textId="77777777" w:rsidR="00E07660" w:rsidRPr="001B4CA2" w:rsidRDefault="00E07660" w:rsidP="00E07660">
            <w:pPr>
              <w:jc w:val="center"/>
              <w:rPr>
                <w:rFonts w:ascii="Calibri" w:hAnsi="Calibri" w:cs="Calibri"/>
                <w:b/>
                <w:bCs/>
                <w:color w:val="000000"/>
                <w:sz w:val="22"/>
                <w:szCs w:val="22"/>
              </w:rPr>
            </w:pPr>
          </w:p>
        </w:tc>
        <w:tc>
          <w:tcPr>
            <w:tcW w:w="863" w:type="dxa"/>
            <w:tcBorders>
              <w:top w:val="nil"/>
              <w:left w:val="nil"/>
              <w:bottom w:val="single" w:sz="4" w:space="0" w:color="auto"/>
              <w:right w:val="single" w:sz="4" w:space="0" w:color="auto"/>
            </w:tcBorders>
            <w:shd w:val="clear" w:color="auto" w:fill="auto"/>
            <w:vAlign w:val="center"/>
          </w:tcPr>
          <w:p w14:paraId="09C0FA40"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2</w:t>
            </w:r>
          </w:p>
        </w:tc>
        <w:tc>
          <w:tcPr>
            <w:tcW w:w="921" w:type="dxa"/>
            <w:tcBorders>
              <w:top w:val="nil"/>
              <w:left w:val="nil"/>
              <w:bottom w:val="single" w:sz="4" w:space="0" w:color="auto"/>
              <w:right w:val="single" w:sz="4" w:space="0" w:color="auto"/>
            </w:tcBorders>
            <w:vAlign w:val="center"/>
          </w:tcPr>
          <w:p w14:paraId="4B4D215F"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2</w:t>
            </w:r>
          </w:p>
        </w:tc>
      </w:tr>
      <w:tr w:rsidR="00E07660" w:rsidRPr="001B4CA2" w14:paraId="273D6C6D"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91223"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prostornoga uređenja, graditeljstva i državne imovine</w:t>
            </w:r>
          </w:p>
        </w:tc>
        <w:tc>
          <w:tcPr>
            <w:tcW w:w="730" w:type="dxa"/>
            <w:tcBorders>
              <w:top w:val="nil"/>
              <w:left w:val="nil"/>
              <w:bottom w:val="single" w:sz="4" w:space="0" w:color="auto"/>
              <w:right w:val="single" w:sz="4" w:space="0" w:color="auto"/>
            </w:tcBorders>
            <w:shd w:val="clear" w:color="auto" w:fill="auto"/>
            <w:noWrap/>
            <w:vAlign w:val="center"/>
          </w:tcPr>
          <w:p w14:paraId="3EE987CE"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26</w:t>
            </w:r>
          </w:p>
        </w:tc>
        <w:tc>
          <w:tcPr>
            <w:tcW w:w="734" w:type="dxa"/>
            <w:tcBorders>
              <w:top w:val="nil"/>
              <w:left w:val="nil"/>
              <w:bottom w:val="single" w:sz="4" w:space="0" w:color="auto"/>
              <w:right w:val="single" w:sz="4" w:space="0" w:color="auto"/>
            </w:tcBorders>
            <w:shd w:val="clear" w:color="auto" w:fill="auto"/>
            <w:noWrap/>
            <w:vAlign w:val="center"/>
          </w:tcPr>
          <w:p w14:paraId="200BC16E"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97</w:t>
            </w:r>
          </w:p>
        </w:tc>
        <w:tc>
          <w:tcPr>
            <w:tcW w:w="788" w:type="dxa"/>
            <w:tcBorders>
              <w:top w:val="nil"/>
              <w:left w:val="nil"/>
              <w:bottom w:val="single" w:sz="4" w:space="0" w:color="auto"/>
              <w:right w:val="single" w:sz="4" w:space="0" w:color="auto"/>
            </w:tcBorders>
            <w:shd w:val="clear" w:color="auto" w:fill="auto"/>
            <w:noWrap/>
            <w:vAlign w:val="center"/>
          </w:tcPr>
          <w:p w14:paraId="7E085965"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43</w:t>
            </w:r>
          </w:p>
        </w:tc>
        <w:tc>
          <w:tcPr>
            <w:tcW w:w="733" w:type="dxa"/>
            <w:tcBorders>
              <w:top w:val="nil"/>
              <w:left w:val="nil"/>
              <w:bottom w:val="single" w:sz="4" w:space="0" w:color="auto"/>
              <w:right w:val="single" w:sz="4" w:space="0" w:color="auto"/>
            </w:tcBorders>
            <w:shd w:val="clear" w:color="auto" w:fill="auto"/>
            <w:noWrap/>
            <w:vAlign w:val="center"/>
          </w:tcPr>
          <w:p w14:paraId="215A7FFD"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16</w:t>
            </w:r>
          </w:p>
        </w:tc>
        <w:tc>
          <w:tcPr>
            <w:tcW w:w="860" w:type="dxa"/>
            <w:tcBorders>
              <w:top w:val="nil"/>
              <w:left w:val="nil"/>
              <w:bottom w:val="single" w:sz="4" w:space="0" w:color="auto"/>
              <w:right w:val="single" w:sz="4" w:space="0" w:color="auto"/>
            </w:tcBorders>
            <w:shd w:val="clear" w:color="auto" w:fill="auto"/>
            <w:noWrap/>
            <w:vAlign w:val="center"/>
          </w:tcPr>
          <w:p w14:paraId="27ECCFF9"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5</w:t>
            </w:r>
          </w:p>
        </w:tc>
        <w:tc>
          <w:tcPr>
            <w:tcW w:w="718" w:type="dxa"/>
            <w:tcBorders>
              <w:top w:val="nil"/>
              <w:left w:val="nil"/>
              <w:bottom w:val="single" w:sz="4" w:space="0" w:color="auto"/>
              <w:right w:val="single" w:sz="4" w:space="0" w:color="auto"/>
            </w:tcBorders>
            <w:shd w:val="clear" w:color="auto" w:fill="auto"/>
            <w:noWrap/>
            <w:vAlign w:val="center"/>
          </w:tcPr>
          <w:p w14:paraId="42F34CBD"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6</w:t>
            </w:r>
          </w:p>
        </w:tc>
        <w:tc>
          <w:tcPr>
            <w:tcW w:w="716" w:type="dxa"/>
            <w:tcBorders>
              <w:top w:val="nil"/>
              <w:left w:val="nil"/>
              <w:bottom w:val="single" w:sz="4" w:space="0" w:color="auto"/>
              <w:right w:val="single" w:sz="4" w:space="0" w:color="auto"/>
            </w:tcBorders>
            <w:shd w:val="clear" w:color="auto" w:fill="auto"/>
            <w:noWrap/>
            <w:vAlign w:val="center"/>
          </w:tcPr>
          <w:p w14:paraId="0AD3BADE"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19" w:type="dxa"/>
            <w:tcBorders>
              <w:top w:val="nil"/>
              <w:left w:val="nil"/>
              <w:bottom w:val="single" w:sz="4" w:space="0" w:color="auto"/>
              <w:right w:val="single" w:sz="4" w:space="0" w:color="auto"/>
            </w:tcBorders>
            <w:shd w:val="clear" w:color="auto" w:fill="auto"/>
            <w:noWrap/>
            <w:vAlign w:val="center"/>
          </w:tcPr>
          <w:p w14:paraId="77B47FB5"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3</w:t>
            </w:r>
          </w:p>
        </w:tc>
        <w:tc>
          <w:tcPr>
            <w:tcW w:w="715" w:type="dxa"/>
            <w:tcBorders>
              <w:top w:val="nil"/>
              <w:left w:val="nil"/>
              <w:bottom w:val="single" w:sz="4" w:space="0" w:color="auto"/>
              <w:right w:val="single" w:sz="4" w:space="0" w:color="auto"/>
            </w:tcBorders>
            <w:shd w:val="clear" w:color="auto" w:fill="auto"/>
            <w:noWrap/>
            <w:vAlign w:val="center"/>
          </w:tcPr>
          <w:p w14:paraId="62943145"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75</w:t>
            </w:r>
          </w:p>
        </w:tc>
        <w:tc>
          <w:tcPr>
            <w:tcW w:w="863" w:type="dxa"/>
            <w:tcBorders>
              <w:top w:val="nil"/>
              <w:left w:val="nil"/>
              <w:bottom w:val="single" w:sz="4" w:space="0" w:color="auto"/>
              <w:right w:val="single" w:sz="4" w:space="0" w:color="auto"/>
            </w:tcBorders>
            <w:shd w:val="clear" w:color="auto" w:fill="auto"/>
            <w:vAlign w:val="center"/>
          </w:tcPr>
          <w:p w14:paraId="6A332145"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122</w:t>
            </w:r>
          </w:p>
        </w:tc>
        <w:tc>
          <w:tcPr>
            <w:tcW w:w="921" w:type="dxa"/>
            <w:tcBorders>
              <w:top w:val="nil"/>
              <w:left w:val="nil"/>
              <w:bottom w:val="single" w:sz="4" w:space="0" w:color="auto"/>
              <w:right w:val="single" w:sz="4" w:space="0" w:color="auto"/>
            </w:tcBorders>
            <w:vAlign w:val="center"/>
          </w:tcPr>
          <w:p w14:paraId="469041E9"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197</w:t>
            </w:r>
          </w:p>
        </w:tc>
      </w:tr>
      <w:tr w:rsidR="00E07660" w:rsidRPr="001B4CA2" w14:paraId="7F5D6951"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550D5"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unutarnjih poslova</w:t>
            </w:r>
          </w:p>
        </w:tc>
        <w:tc>
          <w:tcPr>
            <w:tcW w:w="730" w:type="dxa"/>
            <w:tcBorders>
              <w:top w:val="nil"/>
              <w:left w:val="nil"/>
              <w:bottom w:val="single" w:sz="4" w:space="0" w:color="auto"/>
              <w:right w:val="single" w:sz="4" w:space="0" w:color="auto"/>
            </w:tcBorders>
            <w:shd w:val="clear" w:color="auto" w:fill="auto"/>
            <w:noWrap/>
            <w:vAlign w:val="center"/>
          </w:tcPr>
          <w:p w14:paraId="01AB0746" w14:textId="77777777" w:rsidR="00E07660" w:rsidRPr="001B4CA2" w:rsidRDefault="00E07660" w:rsidP="00E07660">
            <w:pPr>
              <w:jc w:val="center"/>
              <w:rPr>
                <w:rFonts w:ascii="Calibri" w:hAnsi="Calibri" w:cs="Calibri"/>
                <w:color w:val="000000"/>
                <w:sz w:val="22"/>
                <w:szCs w:val="22"/>
              </w:rPr>
            </w:pPr>
          </w:p>
        </w:tc>
        <w:tc>
          <w:tcPr>
            <w:tcW w:w="734" w:type="dxa"/>
            <w:tcBorders>
              <w:top w:val="nil"/>
              <w:left w:val="nil"/>
              <w:bottom w:val="single" w:sz="4" w:space="0" w:color="auto"/>
              <w:right w:val="single" w:sz="4" w:space="0" w:color="auto"/>
            </w:tcBorders>
            <w:shd w:val="clear" w:color="auto" w:fill="auto"/>
            <w:noWrap/>
            <w:vAlign w:val="center"/>
          </w:tcPr>
          <w:p w14:paraId="1942C0B4"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88" w:type="dxa"/>
            <w:tcBorders>
              <w:top w:val="nil"/>
              <w:left w:val="nil"/>
              <w:bottom w:val="single" w:sz="4" w:space="0" w:color="auto"/>
              <w:right w:val="single" w:sz="4" w:space="0" w:color="auto"/>
            </w:tcBorders>
            <w:shd w:val="clear" w:color="auto" w:fill="auto"/>
            <w:noWrap/>
            <w:vAlign w:val="center"/>
          </w:tcPr>
          <w:p w14:paraId="30E77CAE" w14:textId="77777777" w:rsidR="00E07660" w:rsidRPr="001B4CA2" w:rsidRDefault="00E07660" w:rsidP="00E07660">
            <w:pPr>
              <w:jc w:val="center"/>
              <w:rPr>
                <w:rFonts w:ascii="Calibri" w:hAnsi="Calibri" w:cs="Calibri"/>
                <w:color w:val="00000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3BA6EE09"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2</w:t>
            </w:r>
          </w:p>
        </w:tc>
        <w:tc>
          <w:tcPr>
            <w:tcW w:w="860" w:type="dxa"/>
            <w:tcBorders>
              <w:top w:val="nil"/>
              <w:left w:val="nil"/>
              <w:bottom w:val="single" w:sz="4" w:space="0" w:color="auto"/>
              <w:right w:val="single" w:sz="4" w:space="0" w:color="auto"/>
            </w:tcBorders>
            <w:shd w:val="clear" w:color="auto" w:fill="auto"/>
            <w:noWrap/>
            <w:vAlign w:val="center"/>
          </w:tcPr>
          <w:p w14:paraId="0E06AC69"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14</w:t>
            </w:r>
          </w:p>
        </w:tc>
        <w:tc>
          <w:tcPr>
            <w:tcW w:w="718" w:type="dxa"/>
            <w:tcBorders>
              <w:top w:val="nil"/>
              <w:left w:val="nil"/>
              <w:bottom w:val="single" w:sz="4" w:space="0" w:color="auto"/>
              <w:right w:val="single" w:sz="4" w:space="0" w:color="auto"/>
            </w:tcBorders>
            <w:shd w:val="clear" w:color="auto" w:fill="auto"/>
            <w:noWrap/>
            <w:vAlign w:val="center"/>
          </w:tcPr>
          <w:p w14:paraId="3110E328"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16" w:type="dxa"/>
            <w:tcBorders>
              <w:top w:val="nil"/>
              <w:left w:val="nil"/>
              <w:bottom w:val="single" w:sz="4" w:space="0" w:color="auto"/>
              <w:right w:val="single" w:sz="4" w:space="0" w:color="auto"/>
            </w:tcBorders>
            <w:shd w:val="clear" w:color="auto" w:fill="auto"/>
            <w:noWrap/>
            <w:vAlign w:val="center"/>
          </w:tcPr>
          <w:p w14:paraId="6FE7330B"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139E3212"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15" w:type="dxa"/>
            <w:tcBorders>
              <w:top w:val="nil"/>
              <w:left w:val="nil"/>
              <w:bottom w:val="single" w:sz="4" w:space="0" w:color="auto"/>
              <w:right w:val="single" w:sz="4" w:space="0" w:color="auto"/>
            </w:tcBorders>
            <w:shd w:val="clear" w:color="auto" w:fill="auto"/>
            <w:noWrap/>
            <w:vAlign w:val="center"/>
          </w:tcPr>
          <w:p w14:paraId="36F3A6CB"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14</w:t>
            </w:r>
          </w:p>
        </w:tc>
        <w:tc>
          <w:tcPr>
            <w:tcW w:w="863" w:type="dxa"/>
            <w:tcBorders>
              <w:top w:val="nil"/>
              <w:left w:val="nil"/>
              <w:bottom w:val="single" w:sz="4" w:space="0" w:color="auto"/>
              <w:right w:val="single" w:sz="4" w:space="0" w:color="auto"/>
            </w:tcBorders>
            <w:shd w:val="clear" w:color="auto" w:fill="auto"/>
            <w:vAlign w:val="center"/>
          </w:tcPr>
          <w:p w14:paraId="3C5293CF"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5</w:t>
            </w:r>
          </w:p>
        </w:tc>
        <w:tc>
          <w:tcPr>
            <w:tcW w:w="921" w:type="dxa"/>
            <w:tcBorders>
              <w:top w:val="nil"/>
              <w:left w:val="nil"/>
              <w:bottom w:val="single" w:sz="4" w:space="0" w:color="auto"/>
              <w:right w:val="single" w:sz="4" w:space="0" w:color="auto"/>
            </w:tcBorders>
            <w:vAlign w:val="center"/>
          </w:tcPr>
          <w:p w14:paraId="46FD52C7"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19</w:t>
            </w:r>
          </w:p>
        </w:tc>
      </w:tr>
      <w:tr w:rsidR="00E07660" w:rsidRPr="001B4CA2" w14:paraId="36CD0724" w14:textId="77777777" w:rsidTr="00CE2706">
        <w:trPr>
          <w:trHeight w:hRule="exact" w:val="440"/>
          <w:jc w:val="center"/>
        </w:trPr>
        <w:tc>
          <w:tcPr>
            <w:tcW w:w="5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E3E23"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rada, mirovinskoga sustava, obitelji i socijalne politike</w:t>
            </w:r>
          </w:p>
        </w:tc>
        <w:tc>
          <w:tcPr>
            <w:tcW w:w="730" w:type="dxa"/>
            <w:tcBorders>
              <w:top w:val="nil"/>
              <w:left w:val="nil"/>
              <w:bottom w:val="single" w:sz="4" w:space="0" w:color="auto"/>
              <w:right w:val="single" w:sz="4" w:space="0" w:color="auto"/>
            </w:tcBorders>
            <w:shd w:val="clear" w:color="auto" w:fill="auto"/>
            <w:noWrap/>
            <w:vAlign w:val="center"/>
          </w:tcPr>
          <w:p w14:paraId="7AC2AC56" w14:textId="77777777" w:rsidR="00E07660" w:rsidRPr="001B4CA2" w:rsidRDefault="00E07660" w:rsidP="00E07660">
            <w:pPr>
              <w:jc w:val="center"/>
              <w:rPr>
                <w:rFonts w:ascii="Calibri" w:hAnsi="Calibri" w:cs="Calibri"/>
                <w:color w:val="000000"/>
                <w:sz w:val="22"/>
                <w:szCs w:val="22"/>
              </w:rPr>
            </w:pPr>
          </w:p>
        </w:tc>
        <w:tc>
          <w:tcPr>
            <w:tcW w:w="734" w:type="dxa"/>
            <w:tcBorders>
              <w:top w:val="nil"/>
              <w:left w:val="nil"/>
              <w:bottom w:val="single" w:sz="4" w:space="0" w:color="auto"/>
              <w:right w:val="single" w:sz="4" w:space="0" w:color="auto"/>
            </w:tcBorders>
            <w:shd w:val="clear" w:color="auto" w:fill="auto"/>
            <w:noWrap/>
            <w:vAlign w:val="center"/>
          </w:tcPr>
          <w:p w14:paraId="195A6777" w14:textId="77777777" w:rsidR="00E07660" w:rsidRPr="001B4CA2" w:rsidRDefault="00E07660" w:rsidP="00E07660">
            <w:pPr>
              <w:jc w:val="center"/>
              <w:rPr>
                <w:rFonts w:ascii="Calibri" w:hAnsi="Calibri" w:cs="Calibri"/>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center"/>
          </w:tcPr>
          <w:p w14:paraId="3C3FFC66" w14:textId="77777777" w:rsidR="00E07660" w:rsidRPr="001B4CA2" w:rsidRDefault="00E07660" w:rsidP="00E07660">
            <w:pPr>
              <w:jc w:val="center"/>
              <w:rPr>
                <w:rFonts w:ascii="Calibri" w:hAnsi="Calibri" w:cs="Calibri"/>
                <w:color w:val="00000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7DC2A96C" w14:textId="77777777" w:rsidR="00E07660" w:rsidRPr="001B4CA2" w:rsidRDefault="00E07660" w:rsidP="00E07660">
            <w:pPr>
              <w:jc w:val="center"/>
              <w:rPr>
                <w:rFonts w:ascii="Calibri" w:hAnsi="Calibri" w:cs="Calibri"/>
                <w:color w:val="000000"/>
                <w:sz w:val="22"/>
                <w:szCs w:val="22"/>
              </w:rPr>
            </w:pPr>
          </w:p>
        </w:tc>
        <w:tc>
          <w:tcPr>
            <w:tcW w:w="860" w:type="dxa"/>
            <w:tcBorders>
              <w:top w:val="nil"/>
              <w:left w:val="nil"/>
              <w:bottom w:val="single" w:sz="4" w:space="0" w:color="auto"/>
              <w:right w:val="single" w:sz="4" w:space="0" w:color="auto"/>
            </w:tcBorders>
            <w:shd w:val="clear" w:color="auto" w:fill="auto"/>
            <w:noWrap/>
            <w:vAlign w:val="center"/>
          </w:tcPr>
          <w:p w14:paraId="2FEA824E" w14:textId="77777777" w:rsidR="00E07660" w:rsidRPr="001B4CA2" w:rsidRDefault="00E07660" w:rsidP="00E07660">
            <w:pPr>
              <w:jc w:val="center"/>
              <w:rPr>
                <w:rFonts w:ascii="Calibri" w:hAnsi="Calibri" w:cs="Calibri"/>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14:paraId="5295BDBB" w14:textId="77777777" w:rsidR="00E07660" w:rsidRPr="001B4CA2" w:rsidRDefault="00E07660" w:rsidP="00E07660">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559C8F24"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722C3A9B" w14:textId="77777777" w:rsidR="00E07660" w:rsidRPr="001B4CA2" w:rsidRDefault="00E07660" w:rsidP="00E07660">
            <w:pPr>
              <w:jc w:val="center"/>
              <w:rPr>
                <w:rFonts w:ascii="Calibri" w:hAnsi="Calibri" w:cs="Calibri"/>
                <w:color w:val="000000"/>
                <w:sz w:val="22"/>
                <w:szCs w:val="22"/>
              </w:rPr>
            </w:pPr>
          </w:p>
        </w:tc>
        <w:tc>
          <w:tcPr>
            <w:tcW w:w="715" w:type="dxa"/>
            <w:tcBorders>
              <w:top w:val="nil"/>
              <w:left w:val="nil"/>
              <w:bottom w:val="single" w:sz="4" w:space="0" w:color="auto"/>
              <w:right w:val="single" w:sz="4" w:space="0" w:color="auto"/>
            </w:tcBorders>
            <w:shd w:val="clear" w:color="auto" w:fill="auto"/>
            <w:noWrap/>
            <w:vAlign w:val="center"/>
          </w:tcPr>
          <w:p w14:paraId="25D1470B" w14:textId="77777777" w:rsidR="00E07660" w:rsidRPr="001B4CA2" w:rsidRDefault="00E07660" w:rsidP="00E07660">
            <w:pPr>
              <w:jc w:val="center"/>
              <w:rPr>
                <w:rFonts w:ascii="Calibri" w:hAnsi="Calibri" w:cs="Calibri"/>
                <w:b/>
                <w:bCs/>
                <w:color w:val="000000"/>
                <w:sz w:val="22"/>
                <w:szCs w:val="22"/>
              </w:rPr>
            </w:pPr>
          </w:p>
        </w:tc>
        <w:tc>
          <w:tcPr>
            <w:tcW w:w="863" w:type="dxa"/>
            <w:tcBorders>
              <w:top w:val="nil"/>
              <w:left w:val="nil"/>
              <w:bottom w:val="single" w:sz="4" w:space="0" w:color="auto"/>
              <w:right w:val="single" w:sz="4" w:space="0" w:color="auto"/>
            </w:tcBorders>
            <w:shd w:val="clear" w:color="auto" w:fill="auto"/>
            <w:vAlign w:val="center"/>
          </w:tcPr>
          <w:p w14:paraId="689F38DA" w14:textId="77777777" w:rsidR="00E07660" w:rsidRPr="001B4CA2" w:rsidRDefault="00E07660" w:rsidP="00E07660">
            <w:pPr>
              <w:jc w:val="center"/>
              <w:rPr>
                <w:rFonts w:ascii="Calibri" w:hAnsi="Calibri" w:cs="Calibri"/>
                <w:b/>
                <w:bCs/>
                <w:color w:val="000000"/>
                <w:sz w:val="22"/>
                <w:szCs w:val="22"/>
              </w:rPr>
            </w:pPr>
          </w:p>
        </w:tc>
        <w:tc>
          <w:tcPr>
            <w:tcW w:w="921" w:type="dxa"/>
            <w:tcBorders>
              <w:top w:val="nil"/>
              <w:left w:val="nil"/>
              <w:bottom w:val="single" w:sz="4" w:space="0" w:color="auto"/>
              <w:right w:val="single" w:sz="4" w:space="0" w:color="auto"/>
            </w:tcBorders>
            <w:vAlign w:val="center"/>
          </w:tcPr>
          <w:p w14:paraId="3F54E474" w14:textId="77777777" w:rsidR="00E07660" w:rsidRPr="001B4CA2" w:rsidRDefault="00E07660" w:rsidP="00E07660">
            <w:pPr>
              <w:jc w:val="center"/>
              <w:rPr>
                <w:rFonts w:ascii="Calibri" w:hAnsi="Calibri" w:cs="Calibri"/>
                <w:b/>
                <w:bCs/>
                <w:color w:val="000000"/>
                <w:sz w:val="22"/>
                <w:szCs w:val="22"/>
              </w:rPr>
            </w:pPr>
          </w:p>
        </w:tc>
      </w:tr>
      <w:tr w:rsidR="00E07660" w:rsidRPr="001B4CA2" w14:paraId="790A054D"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7B11D"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financija</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407298DA"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075EABA8"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5</w:t>
            </w:r>
          </w:p>
        </w:tc>
        <w:tc>
          <w:tcPr>
            <w:tcW w:w="788" w:type="dxa"/>
            <w:tcBorders>
              <w:top w:val="single" w:sz="4" w:space="0" w:color="auto"/>
              <w:left w:val="nil"/>
              <w:bottom w:val="single" w:sz="4" w:space="0" w:color="auto"/>
              <w:right w:val="single" w:sz="4" w:space="0" w:color="auto"/>
            </w:tcBorders>
            <w:shd w:val="clear" w:color="auto" w:fill="auto"/>
            <w:noWrap/>
            <w:vAlign w:val="center"/>
          </w:tcPr>
          <w:p w14:paraId="55EBF1F2"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10</w:t>
            </w:r>
          </w:p>
        </w:tc>
        <w:tc>
          <w:tcPr>
            <w:tcW w:w="733" w:type="dxa"/>
            <w:tcBorders>
              <w:top w:val="single" w:sz="4" w:space="0" w:color="auto"/>
              <w:left w:val="nil"/>
              <w:bottom w:val="single" w:sz="4" w:space="0" w:color="auto"/>
              <w:right w:val="single" w:sz="4" w:space="0" w:color="auto"/>
            </w:tcBorders>
            <w:shd w:val="clear" w:color="auto" w:fill="auto"/>
            <w:noWrap/>
            <w:vAlign w:val="center"/>
          </w:tcPr>
          <w:p w14:paraId="57ADA74E"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6</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3BF845BC"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126</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3E981470"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4</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6B54F00A" w14:textId="77777777" w:rsidR="00E07660" w:rsidRPr="001B4CA2" w:rsidRDefault="00E07660" w:rsidP="00E07660">
            <w:pPr>
              <w:jc w:val="center"/>
              <w:rPr>
                <w:rFonts w:ascii="Calibri" w:hAnsi="Calibri" w:cs="Calibri"/>
                <w:color w:val="000000"/>
                <w:sz w:val="22"/>
                <w:szCs w:val="22"/>
              </w:rPr>
            </w:pP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3489AA4B"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2</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2056C010"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137</w:t>
            </w:r>
          </w:p>
        </w:tc>
        <w:tc>
          <w:tcPr>
            <w:tcW w:w="863" w:type="dxa"/>
            <w:tcBorders>
              <w:top w:val="single" w:sz="4" w:space="0" w:color="auto"/>
              <w:left w:val="nil"/>
              <w:bottom w:val="single" w:sz="4" w:space="0" w:color="auto"/>
              <w:right w:val="single" w:sz="4" w:space="0" w:color="auto"/>
            </w:tcBorders>
            <w:shd w:val="clear" w:color="auto" w:fill="auto"/>
            <w:vAlign w:val="center"/>
          </w:tcPr>
          <w:p w14:paraId="3B12DDDC"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17</w:t>
            </w:r>
          </w:p>
        </w:tc>
        <w:tc>
          <w:tcPr>
            <w:tcW w:w="921" w:type="dxa"/>
            <w:tcBorders>
              <w:top w:val="single" w:sz="4" w:space="0" w:color="auto"/>
              <w:left w:val="nil"/>
              <w:bottom w:val="single" w:sz="4" w:space="0" w:color="auto"/>
              <w:right w:val="single" w:sz="4" w:space="0" w:color="auto"/>
            </w:tcBorders>
            <w:vAlign w:val="center"/>
          </w:tcPr>
          <w:p w14:paraId="5DD615AA"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154</w:t>
            </w:r>
          </w:p>
        </w:tc>
      </w:tr>
      <w:tr w:rsidR="00E07660" w:rsidRPr="001B4CA2" w14:paraId="7AE054EC"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A666B"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gospodarstva i održivog razvoja</w:t>
            </w:r>
          </w:p>
        </w:tc>
        <w:tc>
          <w:tcPr>
            <w:tcW w:w="730" w:type="dxa"/>
            <w:tcBorders>
              <w:top w:val="nil"/>
              <w:left w:val="nil"/>
              <w:bottom w:val="single" w:sz="4" w:space="0" w:color="auto"/>
              <w:right w:val="single" w:sz="4" w:space="0" w:color="auto"/>
            </w:tcBorders>
            <w:shd w:val="clear" w:color="auto" w:fill="auto"/>
            <w:noWrap/>
            <w:vAlign w:val="center"/>
          </w:tcPr>
          <w:p w14:paraId="42B7CBB2" w14:textId="77777777" w:rsidR="00E07660" w:rsidRPr="001B4CA2" w:rsidRDefault="00E07660" w:rsidP="00E07660">
            <w:pPr>
              <w:jc w:val="center"/>
              <w:rPr>
                <w:rFonts w:ascii="Calibri" w:hAnsi="Calibri" w:cs="Calibri"/>
                <w:color w:val="000000"/>
                <w:sz w:val="22"/>
                <w:szCs w:val="22"/>
              </w:rPr>
            </w:pPr>
          </w:p>
        </w:tc>
        <w:tc>
          <w:tcPr>
            <w:tcW w:w="734" w:type="dxa"/>
            <w:tcBorders>
              <w:top w:val="nil"/>
              <w:left w:val="nil"/>
              <w:bottom w:val="single" w:sz="4" w:space="0" w:color="auto"/>
              <w:right w:val="single" w:sz="4" w:space="0" w:color="auto"/>
            </w:tcBorders>
            <w:shd w:val="clear" w:color="auto" w:fill="auto"/>
            <w:noWrap/>
            <w:vAlign w:val="center"/>
          </w:tcPr>
          <w:p w14:paraId="200E47AE" w14:textId="77777777" w:rsidR="00E07660" w:rsidRPr="001B4CA2" w:rsidRDefault="00E07660" w:rsidP="00E07660">
            <w:pPr>
              <w:jc w:val="center"/>
              <w:rPr>
                <w:rFonts w:ascii="Calibri" w:hAnsi="Calibri" w:cs="Calibri"/>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center"/>
          </w:tcPr>
          <w:p w14:paraId="5EE093C8"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33" w:type="dxa"/>
            <w:tcBorders>
              <w:top w:val="nil"/>
              <w:left w:val="nil"/>
              <w:bottom w:val="single" w:sz="4" w:space="0" w:color="auto"/>
              <w:right w:val="single" w:sz="4" w:space="0" w:color="auto"/>
            </w:tcBorders>
            <w:shd w:val="clear" w:color="auto" w:fill="auto"/>
            <w:noWrap/>
            <w:vAlign w:val="center"/>
          </w:tcPr>
          <w:p w14:paraId="68925AFC"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860" w:type="dxa"/>
            <w:tcBorders>
              <w:top w:val="nil"/>
              <w:left w:val="nil"/>
              <w:bottom w:val="single" w:sz="4" w:space="0" w:color="auto"/>
              <w:right w:val="single" w:sz="4" w:space="0" w:color="auto"/>
            </w:tcBorders>
            <w:shd w:val="clear" w:color="auto" w:fill="auto"/>
            <w:noWrap/>
            <w:vAlign w:val="center"/>
          </w:tcPr>
          <w:p w14:paraId="51B97500"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18" w:type="dxa"/>
            <w:tcBorders>
              <w:top w:val="nil"/>
              <w:left w:val="nil"/>
              <w:bottom w:val="single" w:sz="4" w:space="0" w:color="auto"/>
              <w:right w:val="single" w:sz="4" w:space="0" w:color="auto"/>
            </w:tcBorders>
            <w:shd w:val="clear" w:color="auto" w:fill="auto"/>
            <w:noWrap/>
            <w:vAlign w:val="center"/>
          </w:tcPr>
          <w:p w14:paraId="52CA59B7"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3</w:t>
            </w:r>
          </w:p>
        </w:tc>
        <w:tc>
          <w:tcPr>
            <w:tcW w:w="716" w:type="dxa"/>
            <w:tcBorders>
              <w:top w:val="nil"/>
              <w:left w:val="nil"/>
              <w:bottom w:val="single" w:sz="4" w:space="0" w:color="auto"/>
              <w:right w:val="single" w:sz="4" w:space="0" w:color="auto"/>
            </w:tcBorders>
            <w:shd w:val="clear" w:color="auto" w:fill="auto"/>
            <w:noWrap/>
            <w:vAlign w:val="center"/>
          </w:tcPr>
          <w:p w14:paraId="37E09DB8"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3F0F6653" w14:textId="77777777" w:rsidR="00E07660" w:rsidRPr="001B4CA2" w:rsidRDefault="00E07660" w:rsidP="00E07660">
            <w:pPr>
              <w:jc w:val="center"/>
              <w:rPr>
                <w:rFonts w:ascii="Calibri" w:hAnsi="Calibri" w:cs="Calibri"/>
                <w:color w:val="000000"/>
                <w:sz w:val="22"/>
                <w:szCs w:val="22"/>
              </w:rPr>
            </w:pPr>
          </w:p>
        </w:tc>
        <w:tc>
          <w:tcPr>
            <w:tcW w:w="715" w:type="dxa"/>
            <w:tcBorders>
              <w:top w:val="nil"/>
              <w:left w:val="nil"/>
              <w:bottom w:val="single" w:sz="4" w:space="0" w:color="auto"/>
              <w:right w:val="single" w:sz="4" w:space="0" w:color="auto"/>
            </w:tcBorders>
            <w:shd w:val="clear" w:color="auto" w:fill="auto"/>
            <w:noWrap/>
            <w:vAlign w:val="center"/>
          </w:tcPr>
          <w:p w14:paraId="4CD546C2"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2</w:t>
            </w:r>
          </w:p>
        </w:tc>
        <w:tc>
          <w:tcPr>
            <w:tcW w:w="863" w:type="dxa"/>
            <w:tcBorders>
              <w:top w:val="nil"/>
              <w:left w:val="nil"/>
              <w:bottom w:val="single" w:sz="4" w:space="0" w:color="auto"/>
              <w:right w:val="single" w:sz="4" w:space="0" w:color="auto"/>
            </w:tcBorders>
            <w:shd w:val="clear" w:color="auto" w:fill="auto"/>
            <w:vAlign w:val="center"/>
          </w:tcPr>
          <w:p w14:paraId="2D085AB1"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4</w:t>
            </w:r>
          </w:p>
        </w:tc>
        <w:tc>
          <w:tcPr>
            <w:tcW w:w="921" w:type="dxa"/>
            <w:tcBorders>
              <w:top w:val="nil"/>
              <w:left w:val="nil"/>
              <w:bottom w:val="single" w:sz="4" w:space="0" w:color="auto"/>
              <w:right w:val="single" w:sz="4" w:space="0" w:color="auto"/>
            </w:tcBorders>
            <w:vAlign w:val="center"/>
          </w:tcPr>
          <w:p w14:paraId="348C0674"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6</w:t>
            </w:r>
          </w:p>
        </w:tc>
      </w:tr>
      <w:tr w:rsidR="00E07660" w:rsidRPr="001B4CA2" w14:paraId="06C24356"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6D833"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obrane</w:t>
            </w:r>
          </w:p>
        </w:tc>
        <w:tc>
          <w:tcPr>
            <w:tcW w:w="730" w:type="dxa"/>
            <w:tcBorders>
              <w:top w:val="nil"/>
              <w:left w:val="nil"/>
              <w:bottom w:val="single" w:sz="4" w:space="0" w:color="auto"/>
              <w:right w:val="single" w:sz="4" w:space="0" w:color="auto"/>
            </w:tcBorders>
            <w:shd w:val="clear" w:color="auto" w:fill="auto"/>
            <w:noWrap/>
            <w:vAlign w:val="center"/>
          </w:tcPr>
          <w:p w14:paraId="6C40D6BF" w14:textId="77777777" w:rsidR="00E07660" w:rsidRPr="001B4CA2" w:rsidRDefault="00E07660" w:rsidP="00E07660">
            <w:pPr>
              <w:jc w:val="center"/>
              <w:rPr>
                <w:rFonts w:ascii="Calibri" w:hAnsi="Calibri" w:cs="Calibri"/>
                <w:color w:val="000000"/>
                <w:sz w:val="22"/>
                <w:szCs w:val="22"/>
              </w:rPr>
            </w:pPr>
          </w:p>
        </w:tc>
        <w:tc>
          <w:tcPr>
            <w:tcW w:w="734" w:type="dxa"/>
            <w:tcBorders>
              <w:top w:val="nil"/>
              <w:left w:val="nil"/>
              <w:bottom w:val="single" w:sz="4" w:space="0" w:color="auto"/>
              <w:right w:val="single" w:sz="4" w:space="0" w:color="auto"/>
            </w:tcBorders>
            <w:shd w:val="clear" w:color="auto" w:fill="auto"/>
            <w:noWrap/>
            <w:vAlign w:val="center"/>
          </w:tcPr>
          <w:p w14:paraId="0E7B3C66"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88" w:type="dxa"/>
            <w:tcBorders>
              <w:top w:val="nil"/>
              <w:left w:val="nil"/>
              <w:bottom w:val="single" w:sz="4" w:space="0" w:color="auto"/>
              <w:right w:val="single" w:sz="4" w:space="0" w:color="auto"/>
            </w:tcBorders>
            <w:shd w:val="clear" w:color="auto" w:fill="auto"/>
            <w:noWrap/>
            <w:vAlign w:val="center"/>
          </w:tcPr>
          <w:p w14:paraId="28C8D4D2"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33" w:type="dxa"/>
            <w:tcBorders>
              <w:top w:val="nil"/>
              <w:left w:val="nil"/>
              <w:bottom w:val="single" w:sz="4" w:space="0" w:color="auto"/>
              <w:right w:val="single" w:sz="4" w:space="0" w:color="auto"/>
            </w:tcBorders>
            <w:shd w:val="clear" w:color="auto" w:fill="auto"/>
            <w:noWrap/>
            <w:vAlign w:val="center"/>
          </w:tcPr>
          <w:p w14:paraId="3B9945DF"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4</w:t>
            </w:r>
          </w:p>
        </w:tc>
        <w:tc>
          <w:tcPr>
            <w:tcW w:w="860" w:type="dxa"/>
            <w:tcBorders>
              <w:top w:val="nil"/>
              <w:left w:val="nil"/>
              <w:bottom w:val="single" w:sz="4" w:space="0" w:color="auto"/>
              <w:right w:val="single" w:sz="4" w:space="0" w:color="auto"/>
            </w:tcBorders>
            <w:shd w:val="clear" w:color="auto" w:fill="auto"/>
            <w:noWrap/>
            <w:vAlign w:val="center"/>
          </w:tcPr>
          <w:p w14:paraId="021A3DBA" w14:textId="77777777" w:rsidR="00E07660" w:rsidRPr="001B4CA2" w:rsidRDefault="00E07660" w:rsidP="00E07660">
            <w:pPr>
              <w:jc w:val="center"/>
              <w:rPr>
                <w:rFonts w:ascii="Calibri" w:hAnsi="Calibri" w:cs="Calibri"/>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14:paraId="43BEC783"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2</w:t>
            </w:r>
          </w:p>
        </w:tc>
        <w:tc>
          <w:tcPr>
            <w:tcW w:w="716" w:type="dxa"/>
            <w:tcBorders>
              <w:top w:val="nil"/>
              <w:left w:val="nil"/>
              <w:bottom w:val="single" w:sz="4" w:space="0" w:color="auto"/>
              <w:right w:val="single" w:sz="4" w:space="0" w:color="auto"/>
            </w:tcBorders>
            <w:shd w:val="clear" w:color="auto" w:fill="auto"/>
            <w:noWrap/>
            <w:vAlign w:val="center"/>
          </w:tcPr>
          <w:p w14:paraId="08F8B640"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19" w:type="dxa"/>
            <w:tcBorders>
              <w:top w:val="nil"/>
              <w:left w:val="nil"/>
              <w:bottom w:val="single" w:sz="4" w:space="0" w:color="auto"/>
              <w:right w:val="single" w:sz="4" w:space="0" w:color="auto"/>
            </w:tcBorders>
            <w:shd w:val="clear" w:color="auto" w:fill="auto"/>
            <w:noWrap/>
            <w:vAlign w:val="center"/>
          </w:tcPr>
          <w:p w14:paraId="48746E92"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15" w:type="dxa"/>
            <w:tcBorders>
              <w:top w:val="nil"/>
              <w:left w:val="nil"/>
              <w:bottom w:val="single" w:sz="4" w:space="0" w:color="auto"/>
              <w:right w:val="single" w:sz="4" w:space="0" w:color="auto"/>
            </w:tcBorders>
            <w:shd w:val="clear" w:color="auto" w:fill="auto"/>
            <w:noWrap/>
            <w:vAlign w:val="center"/>
          </w:tcPr>
          <w:p w14:paraId="35C2AF28"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2</w:t>
            </w:r>
          </w:p>
        </w:tc>
        <w:tc>
          <w:tcPr>
            <w:tcW w:w="863" w:type="dxa"/>
            <w:tcBorders>
              <w:top w:val="nil"/>
              <w:left w:val="nil"/>
              <w:bottom w:val="single" w:sz="4" w:space="0" w:color="auto"/>
              <w:right w:val="single" w:sz="4" w:space="0" w:color="auto"/>
            </w:tcBorders>
            <w:shd w:val="clear" w:color="auto" w:fill="auto"/>
            <w:vAlign w:val="center"/>
          </w:tcPr>
          <w:p w14:paraId="08C65C63"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8</w:t>
            </w:r>
          </w:p>
        </w:tc>
        <w:tc>
          <w:tcPr>
            <w:tcW w:w="921" w:type="dxa"/>
            <w:tcBorders>
              <w:top w:val="nil"/>
              <w:left w:val="nil"/>
              <w:bottom w:val="single" w:sz="4" w:space="0" w:color="auto"/>
              <w:right w:val="single" w:sz="4" w:space="0" w:color="auto"/>
            </w:tcBorders>
            <w:vAlign w:val="center"/>
          </w:tcPr>
          <w:p w14:paraId="3CD3070D"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10</w:t>
            </w:r>
          </w:p>
        </w:tc>
      </w:tr>
      <w:tr w:rsidR="00E07660" w:rsidRPr="001B4CA2" w14:paraId="4B3AEF12"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DE3E6"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vanjskih i europskih poslova</w:t>
            </w:r>
          </w:p>
        </w:tc>
        <w:tc>
          <w:tcPr>
            <w:tcW w:w="730" w:type="dxa"/>
            <w:tcBorders>
              <w:top w:val="nil"/>
              <w:left w:val="nil"/>
              <w:bottom w:val="single" w:sz="4" w:space="0" w:color="auto"/>
              <w:right w:val="single" w:sz="4" w:space="0" w:color="auto"/>
            </w:tcBorders>
            <w:shd w:val="clear" w:color="auto" w:fill="auto"/>
            <w:noWrap/>
            <w:vAlign w:val="center"/>
          </w:tcPr>
          <w:p w14:paraId="753CEE74" w14:textId="77777777" w:rsidR="00E07660" w:rsidRPr="001B4CA2" w:rsidRDefault="00E07660" w:rsidP="00E07660">
            <w:pPr>
              <w:jc w:val="center"/>
              <w:rPr>
                <w:rFonts w:ascii="Calibri" w:hAnsi="Calibri" w:cs="Calibri"/>
                <w:color w:val="000000"/>
                <w:sz w:val="22"/>
                <w:szCs w:val="22"/>
              </w:rPr>
            </w:pPr>
          </w:p>
        </w:tc>
        <w:tc>
          <w:tcPr>
            <w:tcW w:w="734" w:type="dxa"/>
            <w:tcBorders>
              <w:top w:val="nil"/>
              <w:left w:val="nil"/>
              <w:bottom w:val="single" w:sz="4" w:space="0" w:color="auto"/>
              <w:right w:val="single" w:sz="4" w:space="0" w:color="auto"/>
            </w:tcBorders>
            <w:shd w:val="clear" w:color="auto" w:fill="auto"/>
            <w:noWrap/>
            <w:vAlign w:val="center"/>
          </w:tcPr>
          <w:p w14:paraId="3D94DAAB" w14:textId="77777777" w:rsidR="00E07660" w:rsidRPr="001B4CA2" w:rsidRDefault="00E07660" w:rsidP="00E07660">
            <w:pPr>
              <w:jc w:val="center"/>
              <w:rPr>
                <w:rFonts w:ascii="Calibri" w:hAnsi="Calibri" w:cs="Calibri"/>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center"/>
          </w:tcPr>
          <w:p w14:paraId="129595C9" w14:textId="77777777" w:rsidR="00E07660" w:rsidRPr="001B4CA2" w:rsidRDefault="00E07660" w:rsidP="00E07660">
            <w:pPr>
              <w:jc w:val="center"/>
              <w:rPr>
                <w:rFonts w:ascii="Calibri" w:hAnsi="Calibri" w:cs="Calibri"/>
                <w:color w:val="00000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0F9FF453" w14:textId="77777777" w:rsidR="00E07660" w:rsidRPr="001B4CA2" w:rsidRDefault="00E07660" w:rsidP="00E07660">
            <w:pPr>
              <w:jc w:val="center"/>
              <w:rPr>
                <w:rFonts w:ascii="Calibri" w:hAnsi="Calibri" w:cs="Calibri"/>
                <w:color w:val="000000"/>
                <w:sz w:val="22"/>
                <w:szCs w:val="22"/>
              </w:rPr>
            </w:pPr>
          </w:p>
        </w:tc>
        <w:tc>
          <w:tcPr>
            <w:tcW w:w="860" w:type="dxa"/>
            <w:tcBorders>
              <w:top w:val="nil"/>
              <w:left w:val="nil"/>
              <w:bottom w:val="single" w:sz="4" w:space="0" w:color="auto"/>
              <w:right w:val="single" w:sz="4" w:space="0" w:color="auto"/>
            </w:tcBorders>
            <w:shd w:val="clear" w:color="auto" w:fill="auto"/>
            <w:noWrap/>
            <w:vAlign w:val="center"/>
          </w:tcPr>
          <w:p w14:paraId="066CBF64" w14:textId="77777777" w:rsidR="00E07660" w:rsidRPr="001B4CA2" w:rsidRDefault="00E07660" w:rsidP="00E07660">
            <w:pPr>
              <w:jc w:val="center"/>
              <w:rPr>
                <w:rFonts w:ascii="Calibri" w:hAnsi="Calibri" w:cs="Calibri"/>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14:paraId="14F70B64" w14:textId="77777777" w:rsidR="00E07660" w:rsidRPr="001B4CA2" w:rsidRDefault="00E07660" w:rsidP="00E07660">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647CA74F"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1D2B7371" w14:textId="77777777" w:rsidR="00E07660" w:rsidRPr="001B4CA2" w:rsidRDefault="00E07660" w:rsidP="00E07660">
            <w:pPr>
              <w:jc w:val="center"/>
              <w:rPr>
                <w:rFonts w:ascii="Calibri" w:hAnsi="Calibri" w:cs="Calibri"/>
                <w:color w:val="000000"/>
                <w:sz w:val="22"/>
                <w:szCs w:val="22"/>
              </w:rPr>
            </w:pPr>
          </w:p>
        </w:tc>
        <w:tc>
          <w:tcPr>
            <w:tcW w:w="715" w:type="dxa"/>
            <w:tcBorders>
              <w:top w:val="nil"/>
              <w:left w:val="nil"/>
              <w:bottom w:val="single" w:sz="4" w:space="0" w:color="auto"/>
              <w:right w:val="single" w:sz="4" w:space="0" w:color="auto"/>
            </w:tcBorders>
            <w:shd w:val="clear" w:color="auto" w:fill="auto"/>
            <w:noWrap/>
            <w:vAlign w:val="center"/>
          </w:tcPr>
          <w:p w14:paraId="26F8858D" w14:textId="77777777" w:rsidR="00E07660" w:rsidRPr="001B4CA2" w:rsidRDefault="00E07660" w:rsidP="00E07660">
            <w:pPr>
              <w:jc w:val="center"/>
              <w:rPr>
                <w:rFonts w:ascii="Calibri" w:hAnsi="Calibri" w:cs="Calibri"/>
                <w:b/>
                <w:bCs/>
                <w:color w:val="000000"/>
                <w:sz w:val="22"/>
                <w:szCs w:val="22"/>
              </w:rPr>
            </w:pPr>
          </w:p>
        </w:tc>
        <w:tc>
          <w:tcPr>
            <w:tcW w:w="863" w:type="dxa"/>
            <w:tcBorders>
              <w:top w:val="nil"/>
              <w:left w:val="nil"/>
              <w:bottom w:val="single" w:sz="4" w:space="0" w:color="auto"/>
              <w:right w:val="single" w:sz="4" w:space="0" w:color="auto"/>
            </w:tcBorders>
            <w:shd w:val="clear" w:color="auto" w:fill="auto"/>
            <w:vAlign w:val="center"/>
          </w:tcPr>
          <w:p w14:paraId="27284159" w14:textId="77777777" w:rsidR="00E07660" w:rsidRPr="001B4CA2" w:rsidRDefault="00E07660" w:rsidP="00E07660">
            <w:pPr>
              <w:jc w:val="center"/>
              <w:rPr>
                <w:rFonts w:ascii="Calibri" w:hAnsi="Calibri" w:cs="Calibri"/>
                <w:b/>
                <w:bCs/>
                <w:color w:val="000000"/>
                <w:sz w:val="22"/>
                <w:szCs w:val="22"/>
              </w:rPr>
            </w:pPr>
          </w:p>
        </w:tc>
        <w:tc>
          <w:tcPr>
            <w:tcW w:w="921" w:type="dxa"/>
            <w:tcBorders>
              <w:top w:val="nil"/>
              <w:left w:val="nil"/>
              <w:bottom w:val="single" w:sz="4" w:space="0" w:color="auto"/>
              <w:right w:val="single" w:sz="4" w:space="0" w:color="auto"/>
            </w:tcBorders>
            <w:vAlign w:val="center"/>
          </w:tcPr>
          <w:p w14:paraId="4E5FC5FA" w14:textId="77777777" w:rsidR="00E07660" w:rsidRPr="001B4CA2" w:rsidRDefault="00E07660" w:rsidP="00E07660">
            <w:pPr>
              <w:jc w:val="center"/>
              <w:rPr>
                <w:rFonts w:ascii="Calibri" w:hAnsi="Calibri" w:cs="Calibri"/>
                <w:b/>
                <w:bCs/>
                <w:color w:val="000000"/>
                <w:sz w:val="22"/>
                <w:szCs w:val="22"/>
              </w:rPr>
            </w:pPr>
          </w:p>
        </w:tc>
      </w:tr>
      <w:tr w:rsidR="00E07660" w:rsidRPr="001B4CA2" w14:paraId="0ECCEA22"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26AEB"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mora, prometa i infrastrukture</w:t>
            </w:r>
          </w:p>
        </w:tc>
        <w:tc>
          <w:tcPr>
            <w:tcW w:w="730" w:type="dxa"/>
            <w:tcBorders>
              <w:top w:val="nil"/>
              <w:left w:val="nil"/>
              <w:bottom w:val="single" w:sz="4" w:space="0" w:color="auto"/>
              <w:right w:val="single" w:sz="4" w:space="0" w:color="auto"/>
            </w:tcBorders>
            <w:shd w:val="clear" w:color="auto" w:fill="auto"/>
            <w:noWrap/>
            <w:vAlign w:val="center"/>
          </w:tcPr>
          <w:p w14:paraId="24FC89FF"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57</w:t>
            </w:r>
          </w:p>
        </w:tc>
        <w:tc>
          <w:tcPr>
            <w:tcW w:w="734" w:type="dxa"/>
            <w:tcBorders>
              <w:top w:val="nil"/>
              <w:left w:val="nil"/>
              <w:bottom w:val="single" w:sz="4" w:space="0" w:color="auto"/>
              <w:right w:val="single" w:sz="4" w:space="0" w:color="auto"/>
            </w:tcBorders>
            <w:shd w:val="clear" w:color="auto" w:fill="auto"/>
            <w:noWrap/>
            <w:vAlign w:val="center"/>
          </w:tcPr>
          <w:p w14:paraId="0746C033"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6</w:t>
            </w:r>
          </w:p>
        </w:tc>
        <w:tc>
          <w:tcPr>
            <w:tcW w:w="788" w:type="dxa"/>
            <w:tcBorders>
              <w:top w:val="nil"/>
              <w:left w:val="nil"/>
              <w:bottom w:val="single" w:sz="4" w:space="0" w:color="auto"/>
              <w:right w:val="single" w:sz="4" w:space="0" w:color="auto"/>
            </w:tcBorders>
            <w:shd w:val="clear" w:color="auto" w:fill="auto"/>
            <w:noWrap/>
            <w:vAlign w:val="center"/>
          </w:tcPr>
          <w:p w14:paraId="40481FB9"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2</w:t>
            </w:r>
          </w:p>
        </w:tc>
        <w:tc>
          <w:tcPr>
            <w:tcW w:w="733" w:type="dxa"/>
            <w:tcBorders>
              <w:top w:val="nil"/>
              <w:left w:val="nil"/>
              <w:bottom w:val="single" w:sz="4" w:space="0" w:color="auto"/>
              <w:right w:val="single" w:sz="4" w:space="0" w:color="auto"/>
            </w:tcBorders>
            <w:shd w:val="clear" w:color="auto" w:fill="auto"/>
            <w:noWrap/>
            <w:vAlign w:val="center"/>
          </w:tcPr>
          <w:p w14:paraId="29F5C2B7"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7</w:t>
            </w:r>
          </w:p>
        </w:tc>
        <w:tc>
          <w:tcPr>
            <w:tcW w:w="860" w:type="dxa"/>
            <w:tcBorders>
              <w:top w:val="nil"/>
              <w:left w:val="nil"/>
              <w:bottom w:val="single" w:sz="4" w:space="0" w:color="auto"/>
              <w:right w:val="single" w:sz="4" w:space="0" w:color="auto"/>
            </w:tcBorders>
            <w:shd w:val="clear" w:color="auto" w:fill="auto"/>
            <w:noWrap/>
            <w:vAlign w:val="center"/>
          </w:tcPr>
          <w:p w14:paraId="543BBD65" w14:textId="77777777" w:rsidR="00E07660" w:rsidRPr="001B4CA2" w:rsidRDefault="00E07660" w:rsidP="00E07660">
            <w:pPr>
              <w:jc w:val="center"/>
              <w:rPr>
                <w:rFonts w:ascii="Calibri" w:hAnsi="Calibri" w:cs="Calibri"/>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14:paraId="12DDC082"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3</w:t>
            </w:r>
          </w:p>
        </w:tc>
        <w:tc>
          <w:tcPr>
            <w:tcW w:w="716" w:type="dxa"/>
            <w:tcBorders>
              <w:top w:val="nil"/>
              <w:left w:val="nil"/>
              <w:bottom w:val="single" w:sz="4" w:space="0" w:color="auto"/>
              <w:right w:val="single" w:sz="4" w:space="0" w:color="auto"/>
            </w:tcBorders>
            <w:shd w:val="clear" w:color="auto" w:fill="auto"/>
            <w:noWrap/>
            <w:vAlign w:val="center"/>
          </w:tcPr>
          <w:p w14:paraId="602EF585"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048DD54C" w14:textId="77777777" w:rsidR="00E07660" w:rsidRPr="001B4CA2" w:rsidRDefault="00E07660" w:rsidP="00E07660">
            <w:pPr>
              <w:jc w:val="center"/>
              <w:rPr>
                <w:rFonts w:ascii="Calibri" w:hAnsi="Calibri" w:cs="Calibri"/>
                <w:color w:val="000000"/>
                <w:sz w:val="22"/>
                <w:szCs w:val="22"/>
              </w:rPr>
            </w:pP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503C8040"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59</w:t>
            </w:r>
          </w:p>
        </w:tc>
        <w:tc>
          <w:tcPr>
            <w:tcW w:w="863" w:type="dxa"/>
            <w:tcBorders>
              <w:top w:val="single" w:sz="4" w:space="0" w:color="auto"/>
              <w:left w:val="nil"/>
              <w:bottom w:val="single" w:sz="4" w:space="0" w:color="auto"/>
              <w:right w:val="single" w:sz="4" w:space="0" w:color="auto"/>
            </w:tcBorders>
            <w:shd w:val="clear" w:color="auto" w:fill="auto"/>
            <w:vAlign w:val="center"/>
          </w:tcPr>
          <w:p w14:paraId="3C110791"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16</w:t>
            </w:r>
          </w:p>
        </w:tc>
        <w:tc>
          <w:tcPr>
            <w:tcW w:w="921" w:type="dxa"/>
            <w:tcBorders>
              <w:top w:val="single" w:sz="4" w:space="0" w:color="auto"/>
              <w:left w:val="nil"/>
              <w:bottom w:val="single" w:sz="4" w:space="0" w:color="auto"/>
              <w:right w:val="single" w:sz="4" w:space="0" w:color="auto"/>
            </w:tcBorders>
            <w:vAlign w:val="center"/>
          </w:tcPr>
          <w:p w14:paraId="745C2A3A"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75</w:t>
            </w:r>
          </w:p>
        </w:tc>
      </w:tr>
      <w:tr w:rsidR="00E07660" w:rsidRPr="001B4CA2" w14:paraId="548109D8"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E5F4"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poljoprivrede</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608A60C"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37</w:t>
            </w:r>
          </w:p>
        </w:tc>
        <w:tc>
          <w:tcPr>
            <w:tcW w:w="734" w:type="dxa"/>
            <w:tcBorders>
              <w:top w:val="single" w:sz="4" w:space="0" w:color="auto"/>
              <w:left w:val="nil"/>
              <w:bottom w:val="single" w:sz="4" w:space="0" w:color="auto"/>
              <w:right w:val="single" w:sz="4" w:space="0" w:color="auto"/>
            </w:tcBorders>
            <w:shd w:val="clear" w:color="auto" w:fill="auto"/>
            <w:noWrap/>
            <w:vAlign w:val="center"/>
          </w:tcPr>
          <w:p w14:paraId="64D6DD1E"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23</w:t>
            </w:r>
          </w:p>
        </w:tc>
        <w:tc>
          <w:tcPr>
            <w:tcW w:w="788" w:type="dxa"/>
            <w:tcBorders>
              <w:top w:val="single" w:sz="4" w:space="0" w:color="auto"/>
              <w:left w:val="nil"/>
              <w:bottom w:val="single" w:sz="4" w:space="0" w:color="auto"/>
              <w:right w:val="single" w:sz="4" w:space="0" w:color="auto"/>
            </w:tcBorders>
            <w:shd w:val="clear" w:color="auto" w:fill="auto"/>
            <w:noWrap/>
            <w:vAlign w:val="center"/>
          </w:tcPr>
          <w:p w14:paraId="21EDC209"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70</w:t>
            </w:r>
          </w:p>
        </w:tc>
        <w:tc>
          <w:tcPr>
            <w:tcW w:w="733" w:type="dxa"/>
            <w:tcBorders>
              <w:top w:val="single" w:sz="4" w:space="0" w:color="auto"/>
              <w:left w:val="nil"/>
              <w:bottom w:val="single" w:sz="4" w:space="0" w:color="auto"/>
              <w:right w:val="single" w:sz="4" w:space="0" w:color="auto"/>
            </w:tcBorders>
            <w:shd w:val="clear" w:color="auto" w:fill="auto"/>
            <w:noWrap/>
            <w:vAlign w:val="center"/>
          </w:tcPr>
          <w:p w14:paraId="39398998"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7</w:t>
            </w: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6F605A24"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5</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5E6F13AF"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16" w:type="dxa"/>
            <w:tcBorders>
              <w:top w:val="single" w:sz="4" w:space="0" w:color="auto"/>
              <w:left w:val="nil"/>
              <w:bottom w:val="single" w:sz="4" w:space="0" w:color="auto"/>
              <w:right w:val="single" w:sz="4" w:space="0" w:color="auto"/>
            </w:tcBorders>
            <w:shd w:val="clear" w:color="auto" w:fill="auto"/>
            <w:noWrap/>
            <w:vAlign w:val="center"/>
          </w:tcPr>
          <w:p w14:paraId="6652FD1C"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19" w:type="dxa"/>
            <w:tcBorders>
              <w:top w:val="single" w:sz="4" w:space="0" w:color="auto"/>
              <w:left w:val="nil"/>
              <w:bottom w:val="single" w:sz="4" w:space="0" w:color="auto"/>
              <w:right w:val="single" w:sz="4" w:space="0" w:color="auto"/>
            </w:tcBorders>
            <w:shd w:val="clear" w:color="auto" w:fill="auto"/>
            <w:noWrap/>
            <w:vAlign w:val="center"/>
          </w:tcPr>
          <w:p w14:paraId="18C50187" w14:textId="77777777" w:rsidR="00E07660" w:rsidRPr="001B4CA2" w:rsidRDefault="00E07660" w:rsidP="00E07660">
            <w:pPr>
              <w:jc w:val="center"/>
              <w:rPr>
                <w:rFonts w:ascii="Calibri" w:hAnsi="Calibri" w:cs="Calibri"/>
                <w:color w:val="000000"/>
                <w:sz w:val="22"/>
                <w:szCs w:val="22"/>
              </w:rPr>
            </w:pP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58D8502A"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113</w:t>
            </w:r>
          </w:p>
        </w:tc>
        <w:tc>
          <w:tcPr>
            <w:tcW w:w="863" w:type="dxa"/>
            <w:tcBorders>
              <w:top w:val="single" w:sz="4" w:space="0" w:color="auto"/>
              <w:left w:val="nil"/>
              <w:bottom w:val="single" w:sz="4" w:space="0" w:color="auto"/>
              <w:right w:val="single" w:sz="4" w:space="0" w:color="auto"/>
            </w:tcBorders>
            <w:shd w:val="clear" w:color="auto" w:fill="auto"/>
            <w:vAlign w:val="center"/>
          </w:tcPr>
          <w:p w14:paraId="7D8836F7"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31</w:t>
            </w:r>
          </w:p>
        </w:tc>
        <w:tc>
          <w:tcPr>
            <w:tcW w:w="921" w:type="dxa"/>
            <w:tcBorders>
              <w:top w:val="single" w:sz="4" w:space="0" w:color="auto"/>
              <w:left w:val="nil"/>
              <w:bottom w:val="single" w:sz="4" w:space="0" w:color="auto"/>
              <w:right w:val="single" w:sz="4" w:space="0" w:color="auto"/>
            </w:tcBorders>
            <w:vAlign w:val="center"/>
          </w:tcPr>
          <w:p w14:paraId="6DB1AE85"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144</w:t>
            </w:r>
          </w:p>
        </w:tc>
      </w:tr>
      <w:tr w:rsidR="00E07660" w:rsidRPr="001B4CA2" w14:paraId="608287C4"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3821A"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turizma i sporta</w:t>
            </w:r>
          </w:p>
        </w:tc>
        <w:tc>
          <w:tcPr>
            <w:tcW w:w="730" w:type="dxa"/>
            <w:tcBorders>
              <w:top w:val="nil"/>
              <w:left w:val="nil"/>
              <w:bottom w:val="single" w:sz="4" w:space="0" w:color="auto"/>
              <w:right w:val="single" w:sz="4" w:space="0" w:color="auto"/>
            </w:tcBorders>
            <w:shd w:val="clear" w:color="auto" w:fill="auto"/>
            <w:noWrap/>
            <w:vAlign w:val="center"/>
          </w:tcPr>
          <w:p w14:paraId="05830919" w14:textId="77777777" w:rsidR="00E07660" w:rsidRPr="001B4CA2" w:rsidRDefault="00E07660" w:rsidP="00E07660">
            <w:pPr>
              <w:jc w:val="center"/>
              <w:rPr>
                <w:rFonts w:ascii="Calibri" w:hAnsi="Calibri" w:cs="Calibri"/>
                <w:color w:val="000000"/>
                <w:sz w:val="22"/>
                <w:szCs w:val="22"/>
              </w:rPr>
            </w:pPr>
          </w:p>
        </w:tc>
        <w:tc>
          <w:tcPr>
            <w:tcW w:w="734" w:type="dxa"/>
            <w:tcBorders>
              <w:top w:val="nil"/>
              <w:left w:val="nil"/>
              <w:bottom w:val="single" w:sz="4" w:space="0" w:color="auto"/>
              <w:right w:val="single" w:sz="4" w:space="0" w:color="auto"/>
            </w:tcBorders>
            <w:shd w:val="clear" w:color="auto" w:fill="auto"/>
            <w:noWrap/>
            <w:vAlign w:val="center"/>
          </w:tcPr>
          <w:p w14:paraId="0F00BC0F" w14:textId="77777777" w:rsidR="00E07660" w:rsidRPr="001B4CA2" w:rsidRDefault="00E07660" w:rsidP="00E07660">
            <w:pPr>
              <w:jc w:val="center"/>
              <w:rPr>
                <w:rFonts w:ascii="Calibri" w:hAnsi="Calibri" w:cs="Calibri"/>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center"/>
          </w:tcPr>
          <w:p w14:paraId="2A3B32DD"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33" w:type="dxa"/>
            <w:tcBorders>
              <w:top w:val="nil"/>
              <w:left w:val="nil"/>
              <w:bottom w:val="single" w:sz="4" w:space="0" w:color="auto"/>
              <w:right w:val="single" w:sz="4" w:space="0" w:color="auto"/>
            </w:tcBorders>
            <w:shd w:val="clear" w:color="auto" w:fill="auto"/>
            <w:noWrap/>
            <w:vAlign w:val="center"/>
          </w:tcPr>
          <w:p w14:paraId="3C1B1097" w14:textId="77777777" w:rsidR="00E07660" w:rsidRPr="001B4CA2" w:rsidRDefault="00E07660" w:rsidP="00E07660">
            <w:pPr>
              <w:jc w:val="center"/>
              <w:rPr>
                <w:rFonts w:ascii="Calibri" w:hAnsi="Calibri" w:cs="Calibri"/>
                <w:color w:val="000000"/>
                <w:sz w:val="22"/>
                <w:szCs w:val="22"/>
              </w:rPr>
            </w:pPr>
          </w:p>
        </w:tc>
        <w:tc>
          <w:tcPr>
            <w:tcW w:w="860" w:type="dxa"/>
            <w:tcBorders>
              <w:top w:val="nil"/>
              <w:left w:val="nil"/>
              <w:bottom w:val="single" w:sz="4" w:space="0" w:color="auto"/>
              <w:right w:val="single" w:sz="4" w:space="0" w:color="auto"/>
            </w:tcBorders>
            <w:shd w:val="clear" w:color="auto" w:fill="auto"/>
            <w:noWrap/>
            <w:vAlign w:val="center"/>
          </w:tcPr>
          <w:p w14:paraId="7558558E" w14:textId="77777777" w:rsidR="00E07660" w:rsidRPr="001B4CA2" w:rsidRDefault="00E07660" w:rsidP="00E07660">
            <w:pPr>
              <w:jc w:val="center"/>
              <w:rPr>
                <w:rFonts w:ascii="Calibri" w:hAnsi="Calibri" w:cs="Calibri"/>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14:paraId="58D72D95" w14:textId="77777777" w:rsidR="00E07660" w:rsidRPr="001B4CA2" w:rsidRDefault="00E07660" w:rsidP="00E07660">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51FC96DA"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62340E59" w14:textId="77777777" w:rsidR="00E07660" w:rsidRPr="001B4CA2" w:rsidRDefault="00E07660" w:rsidP="00E07660">
            <w:pPr>
              <w:jc w:val="center"/>
              <w:rPr>
                <w:rFonts w:ascii="Calibri" w:hAnsi="Calibri" w:cs="Calibri"/>
                <w:color w:val="000000"/>
                <w:sz w:val="22"/>
                <w:szCs w:val="22"/>
              </w:rPr>
            </w:pPr>
          </w:p>
        </w:tc>
        <w:tc>
          <w:tcPr>
            <w:tcW w:w="715" w:type="dxa"/>
            <w:tcBorders>
              <w:top w:val="nil"/>
              <w:left w:val="nil"/>
              <w:bottom w:val="single" w:sz="4" w:space="0" w:color="auto"/>
              <w:right w:val="single" w:sz="4" w:space="0" w:color="auto"/>
            </w:tcBorders>
            <w:shd w:val="clear" w:color="auto" w:fill="auto"/>
            <w:noWrap/>
            <w:vAlign w:val="center"/>
          </w:tcPr>
          <w:p w14:paraId="02174E6B"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w:t>
            </w:r>
          </w:p>
        </w:tc>
        <w:tc>
          <w:tcPr>
            <w:tcW w:w="863" w:type="dxa"/>
            <w:tcBorders>
              <w:top w:val="nil"/>
              <w:left w:val="nil"/>
              <w:bottom w:val="single" w:sz="4" w:space="0" w:color="auto"/>
              <w:right w:val="single" w:sz="4" w:space="0" w:color="auto"/>
            </w:tcBorders>
            <w:shd w:val="clear" w:color="auto" w:fill="auto"/>
            <w:vAlign w:val="center"/>
          </w:tcPr>
          <w:p w14:paraId="5328096E" w14:textId="77777777" w:rsidR="00E07660" w:rsidRPr="001B4CA2" w:rsidRDefault="00E07660" w:rsidP="00E07660">
            <w:pPr>
              <w:rPr>
                <w:rFonts w:ascii="Calibri" w:hAnsi="Calibri" w:cs="Calibri"/>
                <w:b/>
                <w:bCs/>
                <w:color w:val="000000"/>
                <w:sz w:val="22"/>
                <w:szCs w:val="22"/>
              </w:rPr>
            </w:pPr>
          </w:p>
        </w:tc>
        <w:tc>
          <w:tcPr>
            <w:tcW w:w="921" w:type="dxa"/>
            <w:tcBorders>
              <w:top w:val="nil"/>
              <w:left w:val="nil"/>
              <w:bottom w:val="single" w:sz="4" w:space="0" w:color="auto"/>
              <w:right w:val="single" w:sz="4" w:space="0" w:color="auto"/>
            </w:tcBorders>
            <w:vAlign w:val="center"/>
          </w:tcPr>
          <w:p w14:paraId="41FEA165"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w:t>
            </w:r>
          </w:p>
        </w:tc>
      </w:tr>
      <w:tr w:rsidR="00E07660" w:rsidRPr="001B4CA2" w14:paraId="6C221A17"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4F82"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znanosti i obrazovanja</w:t>
            </w:r>
          </w:p>
        </w:tc>
        <w:tc>
          <w:tcPr>
            <w:tcW w:w="730" w:type="dxa"/>
            <w:tcBorders>
              <w:top w:val="nil"/>
              <w:left w:val="nil"/>
              <w:bottom w:val="single" w:sz="4" w:space="0" w:color="auto"/>
              <w:right w:val="single" w:sz="4" w:space="0" w:color="auto"/>
            </w:tcBorders>
            <w:shd w:val="clear" w:color="auto" w:fill="auto"/>
            <w:noWrap/>
            <w:vAlign w:val="center"/>
          </w:tcPr>
          <w:p w14:paraId="1CB9F7E2" w14:textId="77777777" w:rsidR="00E07660" w:rsidRPr="001B4CA2" w:rsidRDefault="00E07660" w:rsidP="00E07660">
            <w:pPr>
              <w:jc w:val="center"/>
              <w:rPr>
                <w:rFonts w:ascii="Calibri" w:hAnsi="Calibri" w:cs="Calibri"/>
                <w:color w:val="000000"/>
                <w:sz w:val="22"/>
                <w:szCs w:val="22"/>
              </w:rPr>
            </w:pPr>
          </w:p>
        </w:tc>
        <w:tc>
          <w:tcPr>
            <w:tcW w:w="734" w:type="dxa"/>
            <w:tcBorders>
              <w:top w:val="nil"/>
              <w:left w:val="nil"/>
              <w:bottom w:val="single" w:sz="4" w:space="0" w:color="auto"/>
              <w:right w:val="single" w:sz="4" w:space="0" w:color="auto"/>
            </w:tcBorders>
            <w:shd w:val="clear" w:color="auto" w:fill="auto"/>
            <w:noWrap/>
            <w:vAlign w:val="center"/>
          </w:tcPr>
          <w:p w14:paraId="256761C9" w14:textId="77777777" w:rsidR="00E07660" w:rsidRPr="001B4CA2" w:rsidRDefault="00E07660" w:rsidP="00E07660">
            <w:pPr>
              <w:jc w:val="center"/>
              <w:rPr>
                <w:rFonts w:ascii="Calibri" w:hAnsi="Calibri" w:cs="Calibri"/>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center"/>
          </w:tcPr>
          <w:p w14:paraId="0A1F16D8" w14:textId="77777777" w:rsidR="00E07660" w:rsidRPr="001B4CA2" w:rsidRDefault="00E07660" w:rsidP="00E07660">
            <w:pPr>
              <w:jc w:val="center"/>
              <w:rPr>
                <w:rFonts w:ascii="Calibri" w:hAnsi="Calibri" w:cs="Calibri"/>
                <w:color w:val="00000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65BC0022"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14</w:t>
            </w:r>
          </w:p>
        </w:tc>
        <w:tc>
          <w:tcPr>
            <w:tcW w:w="860" w:type="dxa"/>
            <w:tcBorders>
              <w:top w:val="nil"/>
              <w:left w:val="nil"/>
              <w:bottom w:val="single" w:sz="4" w:space="0" w:color="auto"/>
              <w:right w:val="single" w:sz="4" w:space="0" w:color="auto"/>
            </w:tcBorders>
            <w:shd w:val="clear" w:color="auto" w:fill="auto"/>
            <w:noWrap/>
            <w:vAlign w:val="center"/>
          </w:tcPr>
          <w:p w14:paraId="785E03DF" w14:textId="77777777" w:rsidR="00E07660" w:rsidRPr="001B4CA2" w:rsidRDefault="00E07660" w:rsidP="00E07660">
            <w:pPr>
              <w:jc w:val="center"/>
              <w:rPr>
                <w:rFonts w:ascii="Calibri" w:hAnsi="Calibri" w:cs="Calibri"/>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14:paraId="49C774F4"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3</w:t>
            </w:r>
          </w:p>
        </w:tc>
        <w:tc>
          <w:tcPr>
            <w:tcW w:w="716" w:type="dxa"/>
            <w:tcBorders>
              <w:top w:val="nil"/>
              <w:left w:val="nil"/>
              <w:bottom w:val="single" w:sz="4" w:space="0" w:color="auto"/>
              <w:right w:val="single" w:sz="4" w:space="0" w:color="auto"/>
            </w:tcBorders>
            <w:shd w:val="clear" w:color="auto" w:fill="auto"/>
            <w:noWrap/>
            <w:vAlign w:val="center"/>
          </w:tcPr>
          <w:p w14:paraId="03DE80B2"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09FBEE28" w14:textId="77777777" w:rsidR="00E07660" w:rsidRPr="001B4CA2" w:rsidRDefault="00E07660" w:rsidP="00E07660">
            <w:pPr>
              <w:jc w:val="center"/>
              <w:rPr>
                <w:rFonts w:ascii="Calibri" w:hAnsi="Calibri" w:cs="Calibri"/>
                <w:color w:val="000000"/>
                <w:sz w:val="22"/>
                <w:szCs w:val="22"/>
              </w:rPr>
            </w:pPr>
          </w:p>
        </w:tc>
        <w:tc>
          <w:tcPr>
            <w:tcW w:w="715" w:type="dxa"/>
            <w:tcBorders>
              <w:top w:val="nil"/>
              <w:left w:val="nil"/>
              <w:bottom w:val="single" w:sz="4" w:space="0" w:color="auto"/>
              <w:right w:val="single" w:sz="4" w:space="0" w:color="auto"/>
            </w:tcBorders>
            <w:shd w:val="clear" w:color="auto" w:fill="auto"/>
            <w:noWrap/>
            <w:vAlign w:val="center"/>
          </w:tcPr>
          <w:p w14:paraId="20EC1E91" w14:textId="77777777" w:rsidR="00E07660" w:rsidRPr="001B4CA2" w:rsidRDefault="00E07660" w:rsidP="00E07660">
            <w:pPr>
              <w:jc w:val="center"/>
              <w:rPr>
                <w:rFonts w:ascii="Calibri" w:hAnsi="Calibri" w:cs="Calibri"/>
                <w:b/>
                <w:bCs/>
                <w:color w:val="000000"/>
                <w:sz w:val="22"/>
                <w:szCs w:val="22"/>
              </w:rPr>
            </w:pPr>
          </w:p>
        </w:tc>
        <w:tc>
          <w:tcPr>
            <w:tcW w:w="863" w:type="dxa"/>
            <w:tcBorders>
              <w:top w:val="nil"/>
              <w:left w:val="nil"/>
              <w:bottom w:val="single" w:sz="4" w:space="0" w:color="auto"/>
              <w:right w:val="single" w:sz="4" w:space="0" w:color="auto"/>
            </w:tcBorders>
            <w:shd w:val="clear" w:color="auto" w:fill="auto"/>
            <w:vAlign w:val="center"/>
          </w:tcPr>
          <w:p w14:paraId="1D5D76B2"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17</w:t>
            </w:r>
          </w:p>
        </w:tc>
        <w:tc>
          <w:tcPr>
            <w:tcW w:w="921" w:type="dxa"/>
            <w:tcBorders>
              <w:top w:val="nil"/>
              <w:left w:val="nil"/>
              <w:bottom w:val="single" w:sz="4" w:space="0" w:color="auto"/>
              <w:right w:val="single" w:sz="4" w:space="0" w:color="auto"/>
            </w:tcBorders>
            <w:vAlign w:val="center"/>
          </w:tcPr>
          <w:p w14:paraId="259F5239"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17</w:t>
            </w:r>
          </w:p>
        </w:tc>
      </w:tr>
      <w:tr w:rsidR="00E07660" w:rsidRPr="001B4CA2" w14:paraId="0BCB428C"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FC5D6"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Ministarstvo kulture i medija</w:t>
            </w:r>
          </w:p>
        </w:tc>
        <w:tc>
          <w:tcPr>
            <w:tcW w:w="730" w:type="dxa"/>
            <w:tcBorders>
              <w:top w:val="nil"/>
              <w:left w:val="nil"/>
              <w:bottom w:val="single" w:sz="4" w:space="0" w:color="auto"/>
              <w:right w:val="single" w:sz="4" w:space="0" w:color="auto"/>
            </w:tcBorders>
            <w:shd w:val="clear" w:color="auto" w:fill="auto"/>
            <w:noWrap/>
            <w:vAlign w:val="center"/>
          </w:tcPr>
          <w:p w14:paraId="566588B8" w14:textId="77777777" w:rsidR="00E07660" w:rsidRPr="001B4CA2" w:rsidRDefault="00E07660" w:rsidP="00E07660">
            <w:pPr>
              <w:jc w:val="center"/>
              <w:rPr>
                <w:rFonts w:ascii="Calibri" w:hAnsi="Calibri" w:cs="Calibri"/>
                <w:color w:val="000000"/>
                <w:sz w:val="22"/>
                <w:szCs w:val="22"/>
              </w:rPr>
            </w:pPr>
          </w:p>
        </w:tc>
        <w:tc>
          <w:tcPr>
            <w:tcW w:w="734" w:type="dxa"/>
            <w:tcBorders>
              <w:top w:val="nil"/>
              <w:left w:val="nil"/>
              <w:bottom w:val="single" w:sz="4" w:space="0" w:color="auto"/>
              <w:right w:val="single" w:sz="4" w:space="0" w:color="auto"/>
            </w:tcBorders>
            <w:shd w:val="clear" w:color="auto" w:fill="auto"/>
            <w:noWrap/>
            <w:vAlign w:val="center"/>
          </w:tcPr>
          <w:p w14:paraId="103ADCEE" w14:textId="77777777" w:rsidR="00E07660" w:rsidRPr="001B4CA2" w:rsidRDefault="00E07660" w:rsidP="00E07660">
            <w:pPr>
              <w:jc w:val="center"/>
              <w:rPr>
                <w:rFonts w:ascii="Calibri" w:hAnsi="Calibri" w:cs="Calibri"/>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center"/>
          </w:tcPr>
          <w:p w14:paraId="3D3A4105"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3</w:t>
            </w:r>
          </w:p>
        </w:tc>
        <w:tc>
          <w:tcPr>
            <w:tcW w:w="733" w:type="dxa"/>
            <w:tcBorders>
              <w:top w:val="nil"/>
              <w:left w:val="nil"/>
              <w:bottom w:val="single" w:sz="4" w:space="0" w:color="auto"/>
              <w:right w:val="single" w:sz="4" w:space="0" w:color="auto"/>
            </w:tcBorders>
            <w:shd w:val="clear" w:color="auto" w:fill="auto"/>
            <w:noWrap/>
            <w:vAlign w:val="center"/>
          </w:tcPr>
          <w:p w14:paraId="7EDD3D3F" w14:textId="77777777" w:rsidR="00E07660" w:rsidRPr="001B4CA2" w:rsidRDefault="00E07660" w:rsidP="00E07660">
            <w:pPr>
              <w:jc w:val="center"/>
              <w:rPr>
                <w:rFonts w:ascii="Calibri" w:hAnsi="Calibri" w:cs="Calibri"/>
                <w:color w:val="000000"/>
                <w:sz w:val="22"/>
                <w:szCs w:val="22"/>
              </w:rPr>
            </w:pPr>
          </w:p>
        </w:tc>
        <w:tc>
          <w:tcPr>
            <w:tcW w:w="860" w:type="dxa"/>
            <w:tcBorders>
              <w:top w:val="nil"/>
              <w:left w:val="nil"/>
              <w:bottom w:val="single" w:sz="4" w:space="0" w:color="auto"/>
              <w:right w:val="single" w:sz="4" w:space="0" w:color="auto"/>
            </w:tcBorders>
            <w:shd w:val="clear" w:color="auto" w:fill="auto"/>
            <w:noWrap/>
            <w:vAlign w:val="center"/>
          </w:tcPr>
          <w:p w14:paraId="08839153" w14:textId="77777777" w:rsidR="00E07660" w:rsidRPr="001B4CA2" w:rsidRDefault="00E07660" w:rsidP="00E07660">
            <w:pPr>
              <w:jc w:val="center"/>
              <w:rPr>
                <w:rFonts w:ascii="Calibri" w:hAnsi="Calibri" w:cs="Calibri"/>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14:paraId="3A6AE54F"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2</w:t>
            </w:r>
          </w:p>
        </w:tc>
        <w:tc>
          <w:tcPr>
            <w:tcW w:w="716" w:type="dxa"/>
            <w:tcBorders>
              <w:top w:val="nil"/>
              <w:left w:val="nil"/>
              <w:bottom w:val="single" w:sz="4" w:space="0" w:color="auto"/>
              <w:right w:val="single" w:sz="4" w:space="0" w:color="auto"/>
            </w:tcBorders>
            <w:shd w:val="clear" w:color="auto" w:fill="auto"/>
            <w:noWrap/>
            <w:vAlign w:val="center"/>
          </w:tcPr>
          <w:p w14:paraId="31EBDE78"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40C2621B" w14:textId="77777777" w:rsidR="00E07660" w:rsidRPr="001B4CA2" w:rsidRDefault="00E07660" w:rsidP="00E07660">
            <w:pPr>
              <w:jc w:val="center"/>
              <w:rPr>
                <w:rFonts w:ascii="Calibri" w:hAnsi="Calibri" w:cs="Calibri"/>
                <w:color w:val="000000"/>
                <w:sz w:val="22"/>
                <w:szCs w:val="22"/>
              </w:rPr>
            </w:pPr>
          </w:p>
        </w:tc>
        <w:tc>
          <w:tcPr>
            <w:tcW w:w="715" w:type="dxa"/>
            <w:tcBorders>
              <w:top w:val="nil"/>
              <w:left w:val="nil"/>
              <w:bottom w:val="single" w:sz="4" w:space="0" w:color="auto"/>
              <w:right w:val="single" w:sz="4" w:space="0" w:color="auto"/>
            </w:tcBorders>
            <w:shd w:val="clear" w:color="auto" w:fill="auto"/>
            <w:noWrap/>
            <w:vAlign w:val="center"/>
          </w:tcPr>
          <w:p w14:paraId="7C3A8EB4"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3</w:t>
            </w:r>
          </w:p>
        </w:tc>
        <w:tc>
          <w:tcPr>
            <w:tcW w:w="863" w:type="dxa"/>
            <w:tcBorders>
              <w:top w:val="nil"/>
              <w:left w:val="nil"/>
              <w:bottom w:val="single" w:sz="4" w:space="0" w:color="auto"/>
              <w:right w:val="single" w:sz="4" w:space="0" w:color="auto"/>
            </w:tcBorders>
            <w:shd w:val="clear" w:color="auto" w:fill="auto"/>
            <w:vAlign w:val="center"/>
          </w:tcPr>
          <w:p w14:paraId="6D819AFB"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2</w:t>
            </w:r>
          </w:p>
        </w:tc>
        <w:tc>
          <w:tcPr>
            <w:tcW w:w="921" w:type="dxa"/>
            <w:tcBorders>
              <w:top w:val="nil"/>
              <w:left w:val="nil"/>
              <w:bottom w:val="single" w:sz="4" w:space="0" w:color="auto"/>
              <w:right w:val="single" w:sz="4" w:space="0" w:color="auto"/>
            </w:tcBorders>
            <w:vAlign w:val="center"/>
          </w:tcPr>
          <w:p w14:paraId="2023784F"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5</w:t>
            </w:r>
          </w:p>
        </w:tc>
      </w:tr>
      <w:tr w:rsidR="00E07660" w:rsidRPr="001B4CA2" w14:paraId="2A88831D"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4B227"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Središnji državni ured za obnovu i stambeno zbrinjavanje</w:t>
            </w:r>
          </w:p>
        </w:tc>
        <w:tc>
          <w:tcPr>
            <w:tcW w:w="730" w:type="dxa"/>
            <w:tcBorders>
              <w:top w:val="nil"/>
              <w:left w:val="nil"/>
              <w:bottom w:val="single" w:sz="4" w:space="0" w:color="auto"/>
              <w:right w:val="single" w:sz="4" w:space="0" w:color="auto"/>
            </w:tcBorders>
            <w:shd w:val="clear" w:color="auto" w:fill="auto"/>
            <w:noWrap/>
            <w:vAlign w:val="center"/>
          </w:tcPr>
          <w:p w14:paraId="07F34BFA" w14:textId="77777777" w:rsidR="00E07660" w:rsidRPr="001B4CA2" w:rsidRDefault="00E07660" w:rsidP="00E07660">
            <w:pPr>
              <w:jc w:val="center"/>
              <w:rPr>
                <w:rFonts w:ascii="Calibri" w:hAnsi="Calibri" w:cs="Calibri"/>
                <w:color w:val="000000"/>
                <w:sz w:val="22"/>
                <w:szCs w:val="22"/>
              </w:rPr>
            </w:pPr>
          </w:p>
        </w:tc>
        <w:tc>
          <w:tcPr>
            <w:tcW w:w="734" w:type="dxa"/>
            <w:tcBorders>
              <w:top w:val="nil"/>
              <w:left w:val="nil"/>
              <w:bottom w:val="single" w:sz="4" w:space="0" w:color="auto"/>
              <w:right w:val="single" w:sz="4" w:space="0" w:color="auto"/>
            </w:tcBorders>
            <w:shd w:val="clear" w:color="auto" w:fill="auto"/>
            <w:noWrap/>
            <w:vAlign w:val="center"/>
          </w:tcPr>
          <w:p w14:paraId="1BB66614" w14:textId="77777777" w:rsidR="00E07660" w:rsidRPr="001B4CA2" w:rsidRDefault="00E07660" w:rsidP="00E07660">
            <w:pPr>
              <w:jc w:val="center"/>
              <w:rPr>
                <w:rFonts w:ascii="Calibri" w:hAnsi="Calibri" w:cs="Calibri"/>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center"/>
          </w:tcPr>
          <w:p w14:paraId="3F76BFD8" w14:textId="77777777" w:rsidR="00E07660" w:rsidRPr="001B4CA2" w:rsidRDefault="00E07660" w:rsidP="00E07660">
            <w:pPr>
              <w:jc w:val="center"/>
              <w:rPr>
                <w:rFonts w:ascii="Calibri" w:hAnsi="Calibri" w:cs="Calibri"/>
                <w:color w:val="000000"/>
                <w:sz w:val="22"/>
                <w:szCs w:val="22"/>
              </w:rPr>
            </w:pPr>
          </w:p>
        </w:tc>
        <w:tc>
          <w:tcPr>
            <w:tcW w:w="733" w:type="dxa"/>
            <w:tcBorders>
              <w:top w:val="nil"/>
              <w:left w:val="nil"/>
              <w:bottom w:val="single" w:sz="4" w:space="0" w:color="auto"/>
              <w:right w:val="single" w:sz="4" w:space="0" w:color="auto"/>
            </w:tcBorders>
            <w:shd w:val="clear" w:color="auto" w:fill="auto"/>
            <w:noWrap/>
            <w:vAlign w:val="center"/>
          </w:tcPr>
          <w:p w14:paraId="49AA8C3F"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3</w:t>
            </w:r>
          </w:p>
        </w:tc>
        <w:tc>
          <w:tcPr>
            <w:tcW w:w="860" w:type="dxa"/>
            <w:tcBorders>
              <w:top w:val="nil"/>
              <w:left w:val="nil"/>
              <w:bottom w:val="single" w:sz="4" w:space="0" w:color="auto"/>
              <w:right w:val="single" w:sz="4" w:space="0" w:color="auto"/>
            </w:tcBorders>
            <w:shd w:val="clear" w:color="auto" w:fill="auto"/>
            <w:noWrap/>
            <w:vAlign w:val="center"/>
          </w:tcPr>
          <w:p w14:paraId="2ED3315E" w14:textId="77777777" w:rsidR="00E07660" w:rsidRPr="001B4CA2" w:rsidRDefault="00E07660" w:rsidP="00E07660">
            <w:pPr>
              <w:jc w:val="center"/>
              <w:rPr>
                <w:rFonts w:ascii="Calibri" w:hAnsi="Calibri" w:cs="Calibri"/>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14:paraId="7719ACE0" w14:textId="77777777" w:rsidR="00E07660" w:rsidRPr="001B4CA2" w:rsidRDefault="00E07660" w:rsidP="00E07660">
            <w:pPr>
              <w:jc w:val="center"/>
              <w:rPr>
                <w:rFonts w:ascii="Calibri" w:hAnsi="Calibri" w:cs="Calibri"/>
                <w:color w:val="000000"/>
                <w:sz w:val="22"/>
                <w:szCs w:val="22"/>
              </w:rPr>
            </w:pPr>
          </w:p>
        </w:tc>
        <w:tc>
          <w:tcPr>
            <w:tcW w:w="716" w:type="dxa"/>
            <w:tcBorders>
              <w:top w:val="nil"/>
              <w:left w:val="nil"/>
              <w:bottom w:val="single" w:sz="4" w:space="0" w:color="auto"/>
              <w:right w:val="single" w:sz="4" w:space="0" w:color="auto"/>
            </w:tcBorders>
            <w:shd w:val="clear" w:color="auto" w:fill="auto"/>
            <w:noWrap/>
            <w:vAlign w:val="center"/>
          </w:tcPr>
          <w:p w14:paraId="2F0A0363"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2E30CA1A" w14:textId="77777777" w:rsidR="00E07660" w:rsidRPr="001B4CA2" w:rsidRDefault="00E07660" w:rsidP="00E07660">
            <w:pPr>
              <w:jc w:val="center"/>
              <w:rPr>
                <w:rFonts w:ascii="Calibri" w:hAnsi="Calibri" w:cs="Calibri"/>
                <w:color w:val="000000"/>
                <w:sz w:val="22"/>
                <w:szCs w:val="22"/>
              </w:rPr>
            </w:pPr>
          </w:p>
        </w:tc>
        <w:tc>
          <w:tcPr>
            <w:tcW w:w="715" w:type="dxa"/>
            <w:tcBorders>
              <w:top w:val="nil"/>
              <w:left w:val="nil"/>
              <w:bottom w:val="single" w:sz="4" w:space="0" w:color="auto"/>
              <w:right w:val="single" w:sz="4" w:space="0" w:color="auto"/>
            </w:tcBorders>
            <w:shd w:val="clear" w:color="auto" w:fill="auto"/>
            <w:noWrap/>
            <w:vAlign w:val="center"/>
          </w:tcPr>
          <w:p w14:paraId="20C618D2" w14:textId="77777777" w:rsidR="00E07660" w:rsidRPr="001B4CA2" w:rsidRDefault="00E07660" w:rsidP="00E07660">
            <w:pPr>
              <w:jc w:val="center"/>
              <w:rPr>
                <w:rFonts w:ascii="Calibri" w:hAnsi="Calibri" w:cs="Calibri"/>
                <w:b/>
                <w:bCs/>
                <w:color w:val="000000"/>
                <w:sz w:val="22"/>
                <w:szCs w:val="22"/>
              </w:rPr>
            </w:pPr>
          </w:p>
        </w:tc>
        <w:tc>
          <w:tcPr>
            <w:tcW w:w="863" w:type="dxa"/>
            <w:tcBorders>
              <w:top w:val="nil"/>
              <w:left w:val="nil"/>
              <w:bottom w:val="single" w:sz="4" w:space="0" w:color="auto"/>
              <w:right w:val="single" w:sz="4" w:space="0" w:color="auto"/>
            </w:tcBorders>
            <w:shd w:val="clear" w:color="auto" w:fill="auto"/>
            <w:vAlign w:val="center"/>
          </w:tcPr>
          <w:p w14:paraId="6AB2EDCE"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3</w:t>
            </w:r>
          </w:p>
        </w:tc>
        <w:tc>
          <w:tcPr>
            <w:tcW w:w="921" w:type="dxa"/>
            <w:tcBorders>
              <w:top w:val="nil"/>
              <w:left w:val="nil"/>
              <w:bottom w:val="single" w:sz="4" w:space="0" w:color="auto"/>
              <w:right w:val="single" w:sz="4" w:space="0" w:color="auto"/>
            </w:tcBorders>
            <w:vAlign w:val="center"/>
          </w:tcPr>
          <w:p w14:paraId="6D59D68B"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3</w:t>
            </w:r>
          </w:p>
        </w:tc>
      </w:tr>
      <w:tr w:rsidR="00E07660" w:rsidRPr="001B4CA2" w14:paraId="05531611" w14:textId="77777777" w:rsidTr="00CE2706">
        <w:trPr>
          <w:trHeight w:hRule="exact" w:val="306"/>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AC9AC" w14:textId="77777777" w:rsidR="00E07660" w:rsidRPr="001B4CA2" w:rsidRDefault="00E07660" w:rsidP="00E07660">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Državne nekretnine d.o.o.</w:t>
            </w:r>
          </w:p>
        </w:tc>
        <w:tc>
          <w:tcPr>
            <w:tcW w:w="730" w:type="dxa"/>
            <w:tcBorders>
              <w:top w:val="nil"/>
              <w:left w:val="nil"/>
              <w:bottom w:val="single" w:sz="4" w:space="0" w:color="auto"/>
              <w:right w:val="single" w:sz="4" w:space="0" w:color="auto"/>
            </w:tcBorders>
            <w:shd w:val="clear" w:color="auto" w:fill="auto"/>
            <w:noWrap/>
            <w:vAlign w:val="center"/>
          </w:tcPr>
          <w:p w14:paraId="68B7B907"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18</w:t>
            </w:r>
          </w:p>
        </w:tc>
        <w:tc>
          <w:tcPr>
            <w:tcW w:w="734" w:type="dxa"/>
            <w:tcBorders>
              <w:top w:val="nil"/>
              <w:left w:val="nil"/>
              <w:bottom w:val="single" w:sz="4" w:space="0" w:color="auto"/>
              <w:right w:val="single" w:sz="4" w:space="0" w:color="auto"/>
            </w:tcBorders>
            <w:shd w:val="clear" w:color="auto" w:fill="auto"/>
            <w:noWrap/>
            <w:vAlign w:val="center"/>
          </w:tcPr>
          <w:p w14:paraId="6B4230CF" w14:textId="77777777" w:rsidR="00E07660" w:rsidRPr="001B4CA2" w:rsidRDefault="00E07660" w:rsidP="00E07660">
            <w:pPr>
              <w:jc w:val="center"/>
              <w:rPr>
                <w:rFonts w:ascii="Calibri" w:hAnsi="Calibri" w:cs="Calibri"/>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center"/>
          </w:tcPr>
          <w:p w14:paraId="65576B49"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114</w:t>
            </w:r>
          </w:p>
        </w:tc>
        <w:tc>
          <w:tcPr>
            <w:tcW w:w="733" w:type="dxa"/>
            <w:tcBorders>
              <w:top w:val="nil"/>
              <w:left w:val="nil"/>
              <w:bottom w:val="single" w:sz="4" w:space="0" w:color="auto"/>
              <w:right w:val="single" w:sz="4" w:space="0" w:color="auto"/>
            </w:tcBorders>
            <w:shd w:val="clear" w:color="auto" w:fill="auto"/>
            <w:noWrap/>
            <w:vAlign w:val="center"/>
          </w:tcPr>
          <w:p w14:paraId="65BBB38C"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3</w:t>
            </w:r>
          </w:p>
        </w:tc>
        <w:tc>
          <w:tcPr>
            <w:tcW w:w="860" w:type="dxa"/>
            <w:tcBorders>
              <w:top w:val="nil"/>
              <w:left w:val="nil"/>
              <w:bottom w:val="single" w:sz="4" w:space="0" w:color="auto"/>
              <w:right w:val="single" w:sz="4" w:space="0" w:color="auto"/>
            </w:tcBorders>
            <w:shd w:val="clear" w:color="auto" w:fill="auto"/>
            <w:noWrap/>
            <w:vAlign w:val="center"/>
          </w:tcPr>
          <w:p w14:paraId="6CE3EE81" w14:textId="77777777" w:rsidR="00E07660" w:rsidRPr="001B4CA2" w:rsidRDefault="00E07660" w:rsidP="00E07660">
            <w:pPr>
              <w:jc w:val="center"/>
              <w:rPr>
                <w:rFonts w:ascii="Calibri" w:hAnsi="Calibri" w:cs="Calibri"/>
                <w:color w:val="000000"/>
                <w:sz w:val="22"/>
                <w:szCs w:val="22"/>
              </w:rPr>
            </w:pPr>
          </w:p>
        </w:tc>
        <w:tc>
          <w:tcPr>
            <w:tcW w:w="718" w:type="dxa"/>
            <w:tcBorders>
              <w:top w:val="nil"/>
              <w:left w:val="nil"/>
              <w:bottom w:val="single" w:sz="4" w:space="0" w:color="auto"/>
              <w:right w:val="single" w:sz="4" w:space="0" w:color="auto"/>
            </w:tcBorders>
            <w:shd w:val="clear" w:color="auto" w:fill="auto"/>
            <w:noWrap/>
            <w:vAlign w:val="center"/>
          </w:tcPr>
          <w:p w14:paraId="7F41B33C"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16" w:type="dxa"/>
            <w:tcBorders>
              <w:top w:val="nil"/>
              <w:left w:val="nil"/>
              <w:bottom w:val="single" w:sz="4" w:space="0" w:color="auto"/>
              <w:right w:val="single" w:sz="4" w:space="0" w:color="auto"/>
            </w:tcBorders>
            <w:shd w:val="clear" w:color="auto" w:fill="auto"/>
            <w:noWrap/>
            <w:vAlign w:val="center"/>
          </w:tcPr>
          <w:p w14:paraId="1686060D"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2EA2E0F0" w14:textId="77777777" w:rsidR="00E07660" w:rsidRPr="001B4CA2" w:rsidRDefault="00E07660" w:rsidP="00E07660">
            <w:pPr>
              <w:jc w:val="center"/>
              <w:rPr>
                <w:rFonts w:ascii="Calibri" w:hAnsi="Calibri" w:cs="Calibri"/>
                <w:color w:val="000000"/>
                <w:sz w:val="22"/>
                <w:szCs w:val="22"/>
              </w:rPr>
            </w:pPr>
          </w:p>
        </w:tc>
        <w:tc>
          <w:tcPr>
            <w:tcW w:w="715" w:type="dxa"/>
            <w:tcBorders>
              <w:top w:val="nil"/>
              <w:left w:val="nil"/>
              <w:bottom w:val="single" w:sz="4" w:space="0" w:color="auto"/>
              <w:right w:val="single" w:sz="4" w:space="0" w:color="auto"/>
            </w:tcBorders>
            <w:shd w:val="clear" w:color="auto" w:fill="auto"/>
            <w:noWrap/>
            <w:vAlign w:val="center"/>
          </w:tcPr>
          <w:p w14:paraId="399C2437"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132</w:t>
            </w:r>
          </w:p>
        </w:tc>
        <w:tc>
          <w:tcPr>
            <w:tcW w:w="863" w:type="dxa"/>
            <w:tcBorders>
              <w:top w:val="nil"/>
              <w:left w:val="nil"/>
              <w:bottom w:val="single" w:sz="4" w:space="0" w:color="auto"/>
              <w:right w:val="single" w:sz="4" w:space="0" w:color="auto"/>
            </w:tcBorders>
            <w:shd w:val="clear" w:color="auto" w:fill="auto"/>
            <w:vAlign w:val="center"/>
          </w:tcPr>
          <w:p w14:paraId="36262155"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4</w:t>
            </w:r>
          </w:p>
        </w:tc>
        <w:tc>
          <w:tcPr>
            <w:tcW w:w="921" w:type="dxa"/>
            <w:tcBorders>
              <w:top w:val="nil"/>
              <w:left w:val="nil"/>
              <w:bottom w:val="single" w:sz="4" w:space="0" w:color="auto"/>
              <w:right w:val="single" w:sz="4" w:space="0" w:color="auto"/>
            </w:tcBorders>
            <w:vAlign w:val="center"/>
          </w:tcPr>
          <w:p w14:paraId="6FD97B10"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136</w:t>
            </w:r>
          </w:p>
        </w:tc>
      </w:tr>
      <w:tr w:rsidR="00E07660" w:rsidRPr="001B4CA2" w14:paraId="61F9ACE8" w14:textId="77777777" w:rsidTr="00CE2706">
        <w:trPr>
          <w:trHeight w:hRule="exact" w:val="360"/>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24A63" w14:textId="77777777" w:rsidR="00E07660" w:rsidRPr="001B4CA2" w:rsidRDefault="00E07660" w:rsidP="00E07660">
            <w:pPr>
              <w:jc w:val="left"/>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Ostali</w:t>
            </w:r>
          </w:p>
        </w:tc>
        <w:tc>
          <w:tcPr>
            <w:tcW w:w="730" w:type="dxa"/>
            <w:tcBorders>
              <w:top w:val="nil"/>
              <w:left w:val="nil"/>
              <w:bottom w:val="single" w:sz="4" w:space="0" w:color="auto"/>
              <w:right w:val="single" w:sz="4" w:space="0" w:color="auto"/>
            </w:tcBorders>
            <w:shd w:val="clear" w:color="auto" w:fill="auto"/>
            <w:noWrap/>
            <w:vAlign w:val="center"/>
          </w:tcPr>
          <w:p w14:paraId="246CAB5B"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2</w:t>
            </w:r>
          </w:p>
        </w:tc>
        <w:tc>
          <w:tcPr>
            <w:tcW w:w="734" w:type="dxa"/>
            <w:tcBorders>
              <w:top w:val="nil"/>
              <w:left w:val="nil"/>
              <w:bottom w:val="single" w:sz="4" w:space="0" w:color="auto"/>
              <w:right w:val="single" w:sz="4" w:space="0" w:color="auto"/>
            </w:tcBorders>
            <w:shd w:val="clear" w:color="auto" w:fill="auto"/>
            <w:noWrap/>
            <w:vAlign w:val="center"/>
          </w:tcPr>
          <w:p w14:paraId="77F69168" w14:textId="77777777" w:rsidR="00E07660" w:rsidRPr="001B4CA2" w:rsidRDefault="00E07660" w:rsidP="00E07660">
            <w:pPr>
              <w:jc w:val="center"/>
              <w:rPr>
                <w:rFonts w:ascii="Calibri" w:hAnsi="Calibri" w:cs="Calibri"/>
                <w:color w:val="000000"/>
                <w:sz w:val="22"/>
                <w:szCs w:val="22"/>
              </w:rPr>
            </w:pPr>
          </w:p>
        </w:tc>
        <w:tc>
          <w:tcPr>
            <w:tcW w:w="788" w:type="dxa"/>
            <w:tcBorders>
              <w:top w:val="nil"/>
              <w:left w:val="nil"/>
              <w:bottom w:val="single" w:sz="4" w:space="0" w:color="auto"/>
              <w:right w:val="single" w:sz="4" w:space="0" w:color="auto"/>
            </w:tcBorders>
            <w:shd w:val="clear" w:color="auto" w:fill="auto"/>
            <w:noWrap/>
            <w:vAlign w:val="center"/>
          </w:tcPr>
          <w:p w14:paraId="49352A55"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3</w:t>
            </w:r>
          </w:p>
        </w:tc>
        <w:tc>
          <w:tcPr>
            <w:tcW w:w="733" w:type="dxa"/>
            <w:tcBorders>
              <w:top w:val="nil"/>
              <w:left w:val="nil"/>
              <w:bottom w:val="single" w:sz="4" w:space="0" w:color="auto"/>
              <w:right w:val="single" w:sz="4" w:space="0" w:color="auto"/>
            </w:tcBorders>
            <w:shd w:val="clear" w:color="auto" w:fill="auto"/>
            <w:noWrap/>
            <w:vAlign w:val="center"/>
          </w:tcPr>
          <w:p w14:paraId="17A5D9EB"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2</w:t>
            </w:r>
          </w:p>
        </w:tc>
        <w:tc>
          <w:tcPr>
            <w:tcW w:w="860" w:type="dxa"/>
            <w:tcBorders>
              <w:top w:val="nil"/>
              <w:left w:val="nil"/>
              <w:bottom w:val="single" w:sz="4" w:space="0" w:color="auto"/>
              <w:right w:val="single" w:sz="4" w:space="0" w:color="auto"/>
            </w:tcBorders>
            <w:shd w:val="clear" w:color="auto" w:fill="auto"/>
            <w:noWrap/>
            <w:vAlign w:val="center"/>
          </w:tcPr>
          <w:p w14:paraId="50A5DA72"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5</w:t>
            </w:r>
          </w:p>
        </w:tc>
        <w:tc>
          <w:tcPr>
            <w:tcW w:w="718" w:type="dxa"/>
            <w:tcBorders>
              <w:top w:val="nil"/>
              <w:left w:val="nil"/>
              <w:bottom w:val="single" w:sz="4" w:space="0" w:color="auto"/>
              <w:right w:val="single" w:sz="4" w:space="0" w:color="auto"/>
            </w:tcBorders>
            <w:shd w:val="clear" w:color="auto" w:fill="auto"/>
            <w:noWrap/>
            <w:vAlign w:val="center"/>
          </w:tcPr>
          <w:p w14:paraId="05BA2B99" w14:textId="77777777" w:rsidR="00E07660" w:rsidRPr="001B4CA2" w:rsidRDefault="00E07660" w:rsidP="00E07660">
            <w:pPr>
              <w:jc w:val="center"/>
              <w:rPr>
                <w:rFonts w:ascii="Calibri" w:hAnsi="Calibri" w:cs="Calibri"/>
                <w:color w:val="000000"/>
                <w:sz w:val="22"/>
                <w:szCs w:val="22"/>
              </w:rPr>
            </w:pPr>
            <w:r w:rsidRPr="001B4CA2">
              <w:rPr>
                <w:rFonts w:ascii="Calibri" w:hAnsi="Calibri" w:cs="Calibri"/>
                <w:color w:val="000000"/>
                <w:sz w:val="22"/>
                <w:szCs w:val="22"/>
              </w:rPr>
              <w:t>1</w:t>
            </w:r>
          </w:p>
        </w:tc>
        <w:tc>
          <w:tcPr>
            <w:tcW w:w="716" w:type="dxa"/>
            <w:tcBorders>
              <w:top w:val="nil"/>
              <w:left w:val="nil"/>
              <w:bottom w:val="single" w:sz="4" w:space="0" w:color="auto"/>
              <w:right w:val="single" w:sz="4" w:space="0" w:color="auto"/>
            </w:tcBorders>
            <w:shd w:val="clear" w:color="auto" w:fill="auto"/>
            <w:noWrap/>
            <w:vAlign w:val="center"/>
          </w:tcPr>
          <w:p w14:paraId="52273A70" w14:textId="77777777" w:rsidR="00E07660" w:rsidRPr="001B4CA2" w:rsidRDefault="00E07660" w:rsidP="00E07660">
            <w:pPr>
              <w:jc w:val="center"/>
              <w:rPr>
                <w:rFonts w:ascii="Calibri" w:hAnsi="Calibri" w:cs="Calibri"/>
                <w:color w:val="000000"/>
                <w:sz w:val="22"/>
                <w:szCs w:val="22"/>
              </w:rPr>
            </w:pPr>
          </w:p>
        </w:tc>
        <w:tc>
          <w:tcPr>
            <w:tcW w:w="719" w:type="dxa"/>
            <w:tcBorders>
              <w:top w:val="nil"/>
              <w:left w:val="nil"/>
              <w:bottom w:val="single" w:sz="4" w:space="0" w:color="auto"/>
              <w:right w:val="single" w:sz="4" w:space="0" w:color="auto"/>
            </w:tcBorders>
            <w:shd w:val="clear" w:color="auto" w:fill="auto"/>
            <w:noWrap/>
            <w:vAlign w:val="center"/>
          </w:tcPr>
          <w:p w14:paraId="45F9BAD2" w14:textId="77777777" w:rsidR="00E07660" w:rsidRPr="001B4CA2" w:rsidRDefault="00E07660" w:rsidP="00E07660">
            <w:pPr>
              <w:jc w:val="center"/>
              <w:rPr>
                <w:rFonts w:ascii="Calibri" w:hAnsi="Calibri" w:cs="Calibri"/>
                <w:color w:val="000000"/>
                <w:sz w:val="22"/>
                <w:szCs w:val="22"/>
              </w:rPr>
            </w:pPr>
          </w:p>
        </w:tc>
        <w:tc>
          <w:tcPr>
            <w:tcW w:w="715" w:type="dxa"/>
            <w:tcBorders>
              <w:top w:val="nil"/>
              <w:left w:val="nil"/>
              <w:bottom w:val="single" w:sz="4" w:space="0" w:color="auto"/>
              <w:right w:val="single" w:sz="4" w:space="0" w:color="auto"/>
            </w:tcBorders>
            <w:shd w:val="clear" w:color="auto" w:fill="auto"/>
            <w:noWrap/>
            <w:vAlign w:val="center"/>
          </w:tcPr>
          <w:p w14:paraId="1880E5DB"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10</w:t>
            </w:r>
          </w:p>
        </w:tc>
        <w:tc>
          <w:tcPr>
            <w:tcW w:w="863" w:type="dxa"/>
            <w:tcBorders>
              <w:top w:val="nil"/>
              <w:left w:val="nil"/>
              <w:bottom w:val="single" w:sz="4" w:space="0" w:color="auto"/>
              <w:right w:val="single" w:sz="4" w:space="0" w:color="auto"/>
            </w:tcBorders>
            <w:shd w:val="clear" w:color="auto" w:fill="auto"/>
            <w:vAlign w:val="center"/>
          </w:tcPr>
          <w:p w14:paraId="23FEB4B0"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3</w:t>
            </w:r>
          </w:p>
        </w:tc>
        <w:tc>
          <w:tcPr>
            <w:tcW w:w="921" w:type="dxa"/>
            <w:tcBorders>
              <w:top w:val="nil"/>
              <w:left w:val="nil"/>
              <w:bottom w:val="single" w:sz="4" w:space="0" w:color="auto"/>
              <w:right w:val="single" w:sz="4" w:space="0" w:color="auto"/>
            </w:tcBorders>
            <w:vAlign w:val="center"/>
          </w:tcPr>
          <w:p w14:paraId="7D668B44"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13</w:t>
            </w:r>
          </w:p>
        </w:tc>
      </w:tr>
      <w:tr w:rsidR="00E07660" w:rsidRPr="001B4CA2" w14:paraId="33F46CBF" w14:textId="77777777" w:rsidTr="00CE2706">
        <w:trPr>
          <w:trHeight w:hRule="exact" w:val="422"/>
          <w:jc w:val="center"/>
        </w:trPr>
        <w:tc>
          <w:tcPr>
            <w:tcW w:w="5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B2E34" w14:textId="77777777" w:rsidR="00E07660" w:rsidRPr="001B4CA2" w:rsidRDefault="00E07660" w:rsidP="00E07660">
            <w:pPr>
              <w:jc w:val="righ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UKUPNO</w:t>
            </w:r>
          </w:p>
        </w:tc>
        <w:tc>
          <w:tcPr>
            <w:tcW w:w="730" w:type="dxa"/>
            <w:tcBorders>
              <w:top w:val="nil"/>
              <w:left w:val="nil"/>
              <w:bottom w:val="single" w:sz="4" w:space="0" w:color="auto"/>
              <w:right w:val="single" w:sz="4" w:space="0" w:color="auto"/>
            </w:tcBorders>
            <w:shd w:val="clear" w:color="auto" w:fill="auto"/>
            <w:noWrap/>
            <w:vAlign w:val="center"/>
          </w:tcPr>
          <w:p w14:paraId="24D84647"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157</w:t>
            </w:r>
          </w:p>
        </w:tc>
        <w:tc>
          <w:tcPr>
            <w:tcW w:w="734" w:type="dxa"/>
            <w:tcBorders>
              <w:top w:val="nil"/>
              <w:left w:val="nil"/>
              <w:bottom w:val="single" w:sz="4" w:space="0" w:color="auto"/>
              <w:right w:val="single" w:sz="4" w:space="0" w:color="auto"/>
            </w:tcBorders>
            <w:shd w:val="clear" w:color="auto" w:fill="auto"/>
            <w:noWrap/>
            <w:vAlign w:val="center"/>
          </w:tcPr>
          <w:p w14:paraId="180CCCEA"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181</w:t>
            </w:r>
          </w:p>
        </w:tc>
        <w:tc>
          <w:tcPr>
            <w:tcW w:w="788" w:type="dxa"/>
            <w:tcBorders>
              <w:top w:val="nil"/>
              <w:left w:val="nil"/>
              <w:bottom w:val="single" w:sz="4" w:space="0" w:color="auto"/>
              <w:right w:val="single" w:sz="4" w:space="0" w:color="auto"/>
            </w:tcBorders>
            <w:shd w:val="clear" w:color="auto" w:fill="auto"/>
            <w:noWrap/>
            <w:vAlign w:val="center"/>
          </w:tcPr>
          <w:p w14:paraId="3E1DEC8C"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275</w:t>
            </w:r>
          </w:p>
        </w:tc>
        <w:tc>
          <w:tcPr>
            <w:tcW w:w="733" w:type="dxa"/>
            <w:tcBorders>
              <w:top w:val="nil"/>
              <w:left w:val="nil"/>
              <w:bottom w:val="single" w:sz="4" w:space="0" w:color="auto"/>
              <w:right w:val="single" w:sz="4" w:space="0" w:color="auto"/>
            </w:tcBorders>
            <w:shd w:val="clear" w:color="auto" w:fill="auto"/>
            <w:noWrap/>
            <w:vAlign w:val="center"/>
          </w:tcPr>
          <w:p w14:paraId="1D0891E6"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88</w:t>
            </w:r>
          </w:p>
        </w:tc>
        <w:tc>
          <w:tcPr>
            <w:tcW w:w="860" w:type="dxa"/>
            <w:tcBorders>
              <w:top w:val="nil"/>
              <w:left w:val="nil"/>
              <w:bottom w:val="single" w:sz="4" w:space="0" w:color="auto"/>
              <w:right w:val="single" w:sz="4" w:space="0" w:color="auto"/>
            </w:tcBorders>
            <w:shd w:val="clear" w:color="auto" w:fill="auto"/>
            <w:noWrap/>
            <w:vAlign w:val="center"/>
          </w:tcPr>
          <w:p w14:paraId="6CD1F2A1"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160</w:t>
            </w:r>
          </w:p>
        </w:tc>
        <w:tc>
          <w:tcPr>
            <w:tcW w:w="718" w:type="dxa"/>
            <w:tcBorders>
              <w:top w:val="nil"/>
              <w:left w:val="nil"/>
              <w:bottom w:val="single" w:sz="4" w:space="0" w:color="auto"/>
              <w:right w:val="single" w:sz="4" w:space="0" w:color="auto"/>
            </w:tcBorders>
            <w:shd w:val="clear" w:color="auto" w:fill="auto"/>
            <w:noWrap/>
            <w:vAlign w:val="center"/>
          </w:tcPr>
          <w:p w14:paraId="4D55EEAB"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96</w:t>
            </w:r>
          </w:p>
        </w:tc>
        <w:tc>
          <w:tcPr>
            <w:tcW w:w="716" w:type="dxa"/>
            <w:tcBorders>
              <w:top w:val="nil"/>
              <w:left w:val="nil"/>
              <w:bottom w:val="single" w:sz="4" w:space="0" w:color="auto"/>
              <w:right w:val="single" w:sz="4" w:space="0" w:color="auto"/>
            </w:tcBorders>
            <w:shd w:val="clear" w:color="auto" w:fill="auto"/>
            <w:noWrap/>
            <w:vAlign w:val="center"/>
          </w:tcPr>
          <w:p w14:paraId="74B1EA6A"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4</w:t>
            </w:r>
          </w:p>
        </w:tc>
        <w:tc>
          <w:tcPr>
            <w:tcW w:w="719" w:type="dxa"/>
            <w:tcBorders>
              <w:top w:val="nil"/>
              <w:left w:val="nil"/>
              <w:bottom w:val="single" w:sz="4" w:space="0" w:color="auto"/>
              <w:right w:val="single" w:sz="4" w:space="0" w:color="auto"/>
            </w:tcBorders>
            <w:shd w:val="clear" w:color="auto" w:fill="auto"/>
            <w:noWrap/>
            <w:vAlign w:val="center"/>
          </w:tcPr>
          <w:p w14:paraId="687ACB9B"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10</w:t>
            </w:r>
          </w:p>
        </w:tc>
        <w:tc>
          <w:tcPr>
            <w:tcW w:w="715" w:type="dxa"/>
            <w:tcBorders>
              <w:top w:val="nil"/>
              <w:left w:val="nil"/>
              <w:bottom w:val="single" w:sz="4" w:space="0" w:color="auto"/>
              <w:right w:val="single" w:sz="4" w:space="0" w:color="auto"/>
            </w:tcBorders>
            <w:shd w:val="clear" w:color="auto" w:fill="auto"/>
            <w:noWrap/>
            <w:vAlign w:val="center"/>
          </w:tcPr>
          <w:p w14:paraId="49E1F71D"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596</w:t>
            </w:r>
          </w:p>
        </w:tc>
        <w:tc>
          <w:tcPr>
            <w:tcW w:w="863" w:type="dxa"/>
            <w:tcBorders>
              <w:top w:val="nil"/>
              <w:left w:val="nil"/>
              <w:bottom w:val="single" w:sz="4" w:space="0" w:color="auto"/>
              <w:right w:val="single" w:sz="4" w:space="0" w:color="auto"/>
            </w:tcBorders>
            <w:shd w:val="clear" w:color="auto" w:fill="auto"/>
            <w:vAlign w:val="center"/>
          </w:tcPr>
          <w:p w14:paraId="7CD1EC66"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375</w:t>
            </w:r>
          </w:p>
        </w:tc>
        <w:tc>
          <w:tcPr>
            <w:tcW w:w="921" w:type="dxa"/>
            <w:tcBorders>
              <w:top w:val="nil"/>
              <w:left w:val="nil"/>
              <w:bottom w:val="single" w:sz="4" w:space="0" w:color="auto"/>
              <w:right w:val="single" w:sz="4" w:space="0" w:color="auto"/>
            </w:tcBorders>
            <w:vAlign w:val="center"/>
          </w:tcPr>
          <w:p w14:paraId="1C66EF3B" w14:textId="77777777" w:rsidR="00E07660" w:rsidRPr="001B4CA2" w:rsidRDefault="00E07660" w:rsidP="00E07660">
            <w:pPr>
              <w:jc w:val="center"/>
              <w:rPr>
                <w:rFonts w:ascii="Calibri" w:hAnsi="Calibri" w:cs="Calibri"/>
                <w:b/>
                <w:bCs/>
                <w:color w:val="000000"/>
                <w:sz w:val="22"/>
                <w:szCs w:val="22"/>
              </w:rPr>
            </w:pPr>
            <w:r w:rsidRPr="001B4CA2">
              <w:rPr>
                <w:rFonts w:ascii="Calibri" w:hAnsi="Calibri" w:cs="Calibri"/>
                <w:b/>
                <w:bCs/>
                <w:color w:val="000000"/>
                <w:sz w:val="22"/>
                <w:szCs w:val="22"/>
              </w:rPr>
              <w:t>971</w:t>
            </w:r>
          </w:p>
        </w:tc>
      </w:tr>
    </w:tbl>
    <w:p w14:paraId="078E31B1" w14:textId="1D034BCD" w:rsidR="00C00C3D" w:rsidRPr="001B4CA2" w:rsidRDefault="00C00C3D">
      <w:pPr>
        <w:spacing w:after="200" w:line="276" w:lineRule="auto"/>
        <w:jc w:val="left"/>
      </w:pPr>
      <w:r w:rsidRPr="001B4CA2">
        <w:br w:type="page"/>
      </w:r>
    </w:p>
    <w:p w14:paraId="7AAB8480" w14:textId="77777777" w:rsidR="00F25645" w:rsidRPr="001B4CA2" w:rsidRDefault="00F25645" w:rsidP="00A654F4">
      <w:pPr>
        <w:sectPr w:rsidR="00F25645" w:rsidRPr="001B4CA2" w:rsidSect="007418AF">
          <w:pgSz w:w="16838" w:h="11906" w:orient="landscape"/>
          <w:pgMar w:top="1417" w:right="1417" w:bottom="851" w:left="1417" w:header="709" w:footer="709" w:gutter="0"/>
          <w:cols w:space="708"/>
          <w:docGrid w:linePitch="360"/>
        </w:sectPr>
      </w:pPr>
    </w:p>
    <w:p w14:paraId="2505951A" w14:textId="77777777" w:rsidR="00773E87" w:rsidRPr="001B4CA2" w:rsidRDefault="00773E87" w:rsidP="00773E87">
      <w:pPr>
        <w:ind w:firstLine="708"/>
      </w:pPr>
      <w:r w:rsidRPr="001B4CA2">
        <w:lastRenderedPageBreak/>
        <w:t>Tijekom razdoblja, u usporedbi s 2021. godinom, povećan je broj primljenih i podnesenih zahtjeva za mirno rješenje spora. Broj predmeta ove vrste povećan je za 13,9 %.</w:t>
      </w:r>
    </w:p>
    <w:p w14:paraId="6235C323" w14:textId="77777777" w:rsidR="00773E87" w:rsidRPr="001B4CA2" w:rsidRDefault="00773E87" w:rsidP="00773E87">
      <w:pPr>
        <w:ind w:firstLine="708"/>
      </w:pPr>
    </w:p>
    <w:p w14:paraId="438BF480" w14:textId="77777777" w:rsidR="00773E87" w:rsidRPr="001B4CA2" w:rsidRDefault="00773E87" w:rsidP="00773E87">
      <w:pPr>
        <w:ind w:firstLine="708"/>
      </w:pPr>
      <w:r w:rsidRPr="001B4CA2">
        <w:t xml:space="preserve"> Analizirajući gornju tablicu proizlazi da su se podneseni zahtjevi za mirno rješenje spora u najvećem broju slučajeva, za razliku od 2021. godine, odnosili na </w:t>
      </w:r>
      <w:proofErr w:type="spellStart"/>
      <w:r w:rsidRPr="001B4CA2">
        <w:t>obveznopravne</w:t>
      </w:r>
      <w:proofErr w:type="spellEnd"/>
      <w:r w:rsidRPr="001B4CA2">
        <w:t xml:space="preserve"> zahtjeve kojih je bilo 363, odnosno 37,38 %, zatim </w:t>
      </w:r>
      <w:proofErr w:type="spellStart"/>
      <w:r w:rsidRPr="001B4CA2">
        <w:t>stvarnopravne</w:t>
      </w:r>
      <w:proofErr w:type="spellEnd"/>
      <w:r w:rsidRPr="001B4CA2">
        <w:t xml:space="preserve"> zahtjeve kojih je bilo 338, odnosno 34,80 %, i zahtjeve za naknadu štete kojih je bilo 256, odnosno 26,36 %. </w:t>
      </w:r>
    </w:p>
    <w:p w14:paraId="6B2FA3B8" w14:textId="77777777" w:rsidR="00773E87" w:rsidRPr="001B4CA2" w:rsidRDefault="00773E87" w:rsidP="00773E87"/>
    <w:p w14:paraId="1DA8C627" w14:textId="3695FB43" w:rsidR="00773E87" w:rsidRPr="001B4CA2" w:rsidRDefault="00773E87" w:rsidP="00773E87">
      <w:pPr>
        <w:ind w:firstLine="708"/>
      </w:pPr>
      <w:r w:rsidRPr="001B4CA2">
        <w:t>Također, kada se analiziraju po</w:t>
      </w:r>
      <w:r w:rsidR="00FD08E9">
        <w:t>datci</w:t>
      </w:r>
      <w:r w:rsidRPr="001B4CA2">
        <w:t xml:space="preserve"> o ovoj vrsti predmeta i uspoređuju s po</w:t>
      </w:r>
      <w:r w:rsidR="00FD08E9">
        <w:t>datci</w:t>
      </w:r>
      <w:r w:rsidRPr="001B4CA2">
        <w:t>ma iz prethodnog izvještajnog razdoblja</w:t>
      </w:r>
      <w:r w:rsidR="004D157F">
        <w:t>,</w:t>
      </w:r>
      <w:r w:rsidRPr="001B4CA2">
        <w:t xml:space="preserve"> može se istaknuti da je u 2022. godini bio povećan broj zahtjeva u kojima je Republika Hrvatska na aktivnoj strani kao podnositelj zahtjeva. Tijekom 2022. godine Republika Hrvatska podnijela je 596 zahtjeva, a od strane ostalih osoba zaprimljeno je 375 zahtjeva. </w:t>
      </w:r>
    </w:p>
    <w:p w14:paraId="6EC686D4" w14:textId="77777777" w:rsidR="00773E87" w:rsidRPr="001B4CA2" w:rsidRDefault="00773E87" w:rsidP="00773E87">
      <w:pPr>
        <w:ind w:firstLine="708"/>
      </w:pPr>
    </w:p>
    <w:p w14:paraId="512F69DA" w14:textId="32D5046B" w:rsidR="00773E87" w:rsidRPr="001B4CA2" w:rsidRDefault="00773E87" w:rsidP="00773E87">
      <w:pPr>
        <w:ind w:firstLine="708"/>
      </w:pPr>
      <w:r w:rsidRPr="001B4CA2">
        <w:t>Iz navedenog</w:t>
      </w:r>
      <w:r w:rsidR="004D157F">
        <w:t>a</w:t>
      </w:r>
      <w:r w:rsidRPr="001B4CA2">
        <w:t xml:space="preserve"> proizlazi da je u 61,38 % predmeta Republika Hrvatska na aktivnoj strani. Najviše zahtjeva bilo je podneseno za Ministarstvo financija (137), zatim društvo Državne nekretnine d.o.o. (132), Ministarstvo poljoprivrede (113), Ministarstvo prostornoga uređenja, graditeljstva i državne imovine (75), Ministarstvo mora prometa i infrastrukture (59) i za Republiku Hrvatsku bez naznake tijela (45).</w:t>
      </w:r>
    </w:p>
    <w:p w14:paraId="22FCAD55" w14:textId="77777777" w:rsidR="00773E87" w:rsidRPr="001B4CA2" w:rsidRDefault="00773E87" w:rsidP="00773E87"/>
    <w:p w14:paraId="52926740" w14:textId="77777777" w:rsidR="00773E87" w:rsidRPr="001B4CA2" w:rsidRDefault="00773E87" w:rsidP="00773E87">
      <w:pPr>
        <w:ind w:firstLine="708"/>
      </w:pPr>
      <w:r w:rsidRPr="001B4CA2">
        <w:t xml:space="preserve">Najveći broj zahtjeva za mirno rješenje spora odnosio se na zastupanje Ministarstva prostornoga uređenja, graditeljstva i državne imovine (197). Radi se mahom o </w:t>
      </w:r>
      <w:proofErr w:type="spellStart"/>
      <w:r w:rsidRPr="001B4CA2">
        <w:t>stvarnopravnim</w:t>
      </w:r>
      <w:proofErr w:type="spellEnd"/>
      <w:r w:rsidRPr="001B4CA2">
        <w:t xml:space="preserve"> predmetima, i to po zahtjevima državnog odvjetništva za priznanjem prava vlasništva ili iseljenjem iz nekretnina u vlasništvu države, ali i po zahtjevima trećih osoba radi priznanja prava vlasništva.</w:t>
      </w:r>
    </w:p>
    <w:p w14:paraId="558FE621" w14:textId="77777777" w:rsidR="00773E87" w:rsidRPr="001B4CA2" w:rsidRDefault="00773E87" w:rsidP="00773E87">
      <w:pPr>
        <w:ind w:firstLine="708"/>
      </w:pPr>
    </w:p>
    <w:p w14:paraId="0C7C5EB3" w14:textId="77777777" w:rsidR="00773E87" w:rsidRPr="001B4CA2" w:rsidRDefault="00773E87" w:rsidP="00773E87">
      <w:pPr>
        <w:ind w:firstLine="708"/>
      </w:pPr>
      <w:r w:rsidRPr="001B4CA2">
        <w:t>Zatim je po brojnosti slijedilo zastupanje Ministarstva financija (154). Radilo se o zahtjevima u kojima je Republika Hrvatska u zastupanju toga tijela ujedno i podnositelj zahtjeva, a riječ je uglavnom o zahtjevima za naknadom štete te je u tim predmetima i najveći broj sklopljenih izvansudskih nagodbi u smislu članka 186.a ZPP-a. Riječ je o zahtjevima protiv osiguravajućih društava za štete nastale na graničnim prijelazima.</w:t>
      </w:r>
    </w:p>
    <w:p w14:paraId="1A49C349" w14:textId="77777777" w:rsidR="00773E87" w:rsidRPr="001B4CA2" w:rsidRDefault="00773E87" w:rsidP="00773E87">
      <w:pPr>
        <w:ind w:firstLine="708"/>
      </w:pPr>
    </w:p>
    <w:p w14:paraId="1AD57B39" w14:textId="77777777" w:rsidR="00773E87" w:rsidRPr="001B4CA2" w:rsidRDefault="00773E87" w:rsidP="00773E87">
      <w:pPr>
        <w:ind w:firstLine="708"/>
      </w:pPr>
      <w:r w:rsidRPr="001B4CA2">
        <w:t>Zatim slijede predmeti u zastupanju Ministarstva poljoprivrede (144). Iz strukture predmeta proizlazi da se većim dijelom radilo o predmetima u kojima se postupa protiv korisnika državnog poljoprivrednog zemljišta koji to zemljište koriste bez pravne osnove.</w:t>
      </w:r>
    </w:p>
    <w:p w14:paraId="0AE4F9ED" w14:textId="77777777" w:rsidR="00773E87" w:rsidRPr="001B4CA2" w:rsidRDefault="00773E87" w:rsidP="00773E87"/>
    <w:p w14:paraId="0D549FC4" w14:textId="311756DC" w:rsidR="00773E87" w:rsidRPr="001B4CA2" w:rsidRDefault="00773E87" w:rsidP="00773E87">
      <w:pPr>
        <w:ind w:firstLine="708"/>
      </w:pPr>
      <w:r w:rsidRPr="001B4CA2">
        <w:t>Nadalje, slijede predmeti koji se odnose na zastupanje Republike Hrvatske na inicijativu društva Državne nekretnine d.o.o. (136), a radilo se mahom o zahtjevima za isplatom naknade za korištenje nekretnina u vlasništvu države, uglavnom poslovnih prostora te je u tim predmetima i značajan broj sklopljenih izvansudskih nagodbi.</w:t>
      </w:r>
    </w:p>
    <w:p w14:paraId="0281CB31" w14:textId="77777777" w:rsidR="00773E87" w:rsidRPr="001B4CA2" w:rsidRDefault="00773E87" w:rsidP="00773E87">
      <w:pPr>
        <w:ind w:firstLine="708"/>
      </w:pPr>
    </w:p>
    <w:p w14:paraId="485CD7FD" w14:textId="77777777" w:rsidR="00773E87" w:rsidRPr="001B4CA2" w:rsidRDefault="00773E87" w:rsidP="00773E87">
      <w:pPr>
        <w:ind w:firstLine="708"/>
      </w:pPr>
      <w:r w:rsidRPr="001B4CA2">
        <w:t xml:space="preserve">Tijekom 2022. godine primljeno je 118 predmeta u zastupanju Republike Hrvatske u kojima nije naznačeno pojedinačno državno tijelo. Radilo se uglavnom o predmetima koji proizlaze iz postupanja samog državnog odvjetništva u drugim vrstama predmeta u kojima se utvrde činjenice koje dokazuju da je država, po nekoj </w:t>
      </w:r>
      <w:r w:rsidRPr="001B4CA2">
        <w:lastRenderedPageBreak/>
        <w:t xml:space="preserve">od zakonom propisanih osnova, stekla vlasništvo pojedinih nekretnina. Stoga državno odvjetništvo u zastupanju Republike Hrvatske u tim predmetima postavlja </w:t>
      </w:r>
      <w:proofErr w:type="spellStart"/>
      <w:r w:rsidRPr="001B4CA2">
        <w:t>stvarnopravne</w:t>
      </w:r>
      <w:proofErr w:type="spellEnd"/>
      <w:r w:rsidRPr="001B4CA2">
        <w:t xml:space="preserve"> zahtjeve radi priznanja vlasništva na nekretninama koje su </w:t>
      </w:r>
      <w:proofErr w:type="spellStart"/>
      <w:r w:rsidRPr="001B4CA2">
        <w:t>izvanknjižno</w:t>
      </w:r>
      <w:proofErr w:type="spellEnd"/>
      <w:r w:rsidRPr="001B4CA2">
        <w:t xml:space="preserve"> vlasništvo države, a u zemljišnim knjigama pogrešno su upisane kao vlasništvo drugih osoba. Ta vrsta zahtjeva postavlja se i u zastupanju Ministarstva mora, prometa i infrastrukture u odnosu na nekretnine koje predstavljaju pomorsko dobro.</w:t>
      </w:r>
    </w:p>
    <w:p w14:paraId="2CD6DFCD" w14:textId="77777777" w:rsidR="00773E87" w:rsidRPr="001B4CA2" w:rsidRDefault="00773E87" w:rsidP="00773E87"/>
    <w:p w14:paraId="4A54929D" w14:textId="2BBBCE2F" w:rsidR="00773E87" w:rsidRPr="001B4CA2" w:rsidRDefault="00773E87" w:rsidP="00773E87">
      <w:pPr>
        <w:ind w:firstLine="708"/>
      </w:pPr>
      <w:r w:rsidRPr="001B4CA2">
        <w:t>Od 375 zahtjeva zaprimljenih od strane drugih osoba, najveći broj odnosno 122 zahtjeva odnosi</w:t>
      </w:r>
      <w:r w:rsidR="00257844">
        <w:t>l</w:t>
      </w:r>
      <w:r w:rsidRPr="001B4CA2">
        <w:t>o se na zastupanje Ministarstva prostornoga uređenja, graditeljstva i državne imovine, 73 na Republiku Hrvatsku bez naznake tijela, 65 na Ministarstvo pravosuđa i uprave i 31 na Ministarstvo poljoprivrede.</w:t>
      </w:r>
    </w:p>
    <w:p w14:paraId="5928A853" w14:textId="77777777" w:rsidR="00E07660" w:rsidRPr="001B4CA2" w:rsidRDefault="00E07660" w:rsidP="00E07660">
      <w:pPr>
        <w:ind w:firstLine="708"/>
      </w:pPr>
    </w:p>
    <w:p w14:paraId="33DE1A70" w14:textId="4E99BA54" w:rsidR="00E07660" w:rsidRPr="001B4CA2" w:rsidRDefault="00E07660" w:rsidP="00E07660">
      <w:pPr>
        <w:jc w:val="left"/>
        <w:rPr>
          <w:rFonts w:asciiTheme="minorHAnsi" w:hAnsiTheme="minorHAnsi" w:cstheme="minorBidi"/>
          <w:i/>
          <w:szCs w:val="22"/>
        </w:rPr>
      </w:pPr>
      <w:r w:rsidRPr="001B4CA2">
        <w:rPr>
          <w:rFonts w:asciiTheme="minorHAnsi" w:hAnsiTheme="minorHAnsi" w:cstheme="minorBidi"/>
          <w:i/>
          <w:szCs w:val="22"/>
        </w:rPr>
        <w:t xml:space="preserve">   c) Podnositelj zahtjeva Republika Hrvatska 2018. – 2022.</w:t>
      </w:r>
    </w:p>
    <w:tbl>
      <w:tblPr>
        <w:tblW w:w="48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750"/>
        <w:gridCol w:w="1748"/>
        <w:gridCol w:w="1748"/>
        <w:gridCol w:w="1748"/>
      </w:tblGrid>
      <w:tr w:rsidR="00E07660" w:rsidRPr="001B4CA2" w14:paraId="4B2864DF" w14:textId="77777777" w:rsidTr="00CE2706">
        <w:trPr>
          <w:trHeight w:val="533"/>
          <w:jc w:val="center"/>
        </w:trPr>
        <w:tc>
          <w:tcPr>
            <w:tcW w:w="1078" w:type="pct"/>
            <w:shd w:val="clear" w:color="auto" w:fill="99CCFF"/>
            <w:vAlign w:val="center"/>
            <w:hideMark/>
          </w:tcPr>
          <w:p w14:paraId="6AA902B1"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981" w:type="pct"/>
            <w:shd w:val="clear" w:color="auto" w:fill="99CCFF"/>
            <w:vAlign w:val="center"/>
            <w:hideMark/>
          </w:tcPr>
          <w:p w14:paraId="70D92F7E"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 xml:space="preserve">Broj </w:t>
            </w:r>
            <w:r w:rsidRPr="001B4CA2">
              <w:rPr>
                <w:rFonts w:asciiTheme="minorHAnsi" w:eastAsia="Times New Roman" w:hAnsiTheme="minorHAnsi" w:cstheme="minorHAnsi"/>
                <w:b/>
                <w:bCs/>
                <w:sz w:val="18"/>
                <w:szCs w:val="18"/>
                <w:lang w:eastAsia="hr-HR"/>
              </w:rPr>
              <w:t xml:space="preserve">podnesenih </w:t>
            </w:r>
            <w:r w:rsidRPr="001B4CA2">
              <w:rPr>
                <w:rFonts w:asciiTheme="minorHAnsi" w:eastAsia="Times New Roman" w:hAnsiTheme="minorHAnsi" w:cstheme="minorHAnsi"/>
                <w:b/>
                <w:bCs/>
                <w:color w:val="000000"/>
                <w:sz w:val="18"/>
                <w:szCs w:val="18"/>
                <w:lang w:eastAsia="hr-HR"/>
              </w:rPr>
              <w:t>zahtjeva</w:t>
            </w:r>
          </w:p>
        </w:tc>
        <w:tc>
          <w:tcPr>
            <w:tcW w:w="980" w:type="pct"/>
            <w:shd w:val="clear" w:color="auto" w:fill="99CCFF"/>
            <w:vAlign w:val="center"/>
            <w:hideMark/>
          </w:tcPr>
          <w:p w14:paraId="56FFE3E4"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Broj sklopljenih nagodbi</w:t>
            </w:r>
          </w:p>
        </w:tc>
        <w:tc>
          <w:tcPr>
            <w:tcW w:w="980" w:type="pct"/>
            <w:shd w:val="clear" w:color="auto" w:fill="99CCFF"/>
            <w:vAlign w:val="center"/>
            <w:hideMark/>
          </w:tcPr>
          <w:p w14:paraId="31D68A0E" w14:textId="77777777" w:rsidR="00E07660" w:rsidRPr="001B4CA2" w:rsidRDefault="00E07660" w:rsidP="00E07660">
            <w:pPr>
              <w:jc w:val="center"/>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sz w:val="18"/>
                <w:szCs w:val="18"/>
                <w:lang w:eastAsia="hr-HR"/>
              </w:rPr>
              <w:t>% sklopljenih nagodbi u odnosu na broj podnesenih zahtjeva</w:t>
            </w:r>
          </w:p>
        </w:tc>
        <w:tc>
          <w:tcPr>
            <w:tcW w:w="980" w:type="pct"/>
            <w:shd w:val="clear" w:color="auto" w:fill="99CCFF"/>
            <w:vAlign w:val="center"/>
            <w:hideMark/>
          </w:tcPr>
          <w:p w14:paraId="0E7B07F7"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Vrijednost nagodbe</w:t>
            </w:r>
          </w:p>
          <w:p w14:paraId="20ED5025"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 tisućama kuna)</w:t>
            </w:r>
          </w:p>
        </w:tc>
      </w:tr>
      <w:tr w:rsidR="00E07660" w:rsidRPr="001B4CA2" w14:paraId="65B89A73" w14:textId="77777777" w:rsidTr="00CE2706">
        <w:trPr>
          <w:trHeight w:val="435"/>
          <w:jc w:val="center"/>
        </w:trPr>
        <w:tc>
          <w:tcPr>
            <w:tcW w:w="1078" w:type="pct"/>
            <w:shd w:val="clear" w:color="auto" w:fill="auto"/>
            <w:noWrap/>
            <w:vAlign w:val="center"/>
            <w:hideMark/>
          </w:tcPr>
          <w:p w14:paraId="67B29926" w14:textId="77777777" w:rsidR="00E07660" w:rsidRPr="001B4CA2" w:rsidRDefault="00E07660" w:rsidP="00E07660">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2018.</w:t>
            </w:r>
          </w:p>
        </w:tc>
        <w:tc>
          <w:tcPr>
            <w:tcW w:w="981" w:type="pct"/>
            <w:shd w:val="clear" w:color="auto" w:fill="auto"/>
            <w:noWrap/>
            <w:vAlign w:val="center"/>
          </w:tcPr>
          <w:p w14:paraId="49AA3459" w14:textId="77777777" w:rsidR="00E07660" w:rsidRPr="001B4CA2" w:rsidRDefault="00E07660" w:rsidP="00E07660">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527</w:t>
            </w:r>
          </w:p>
        </w:tc>
        <w:tc>
          <w:tcPr>
            <w:tcW w:w="980" w:type="pct"/>
            <w:shd w:val="clear" w:color="auto" w:fill="auto"/>
            <w:noWrap/>
            <w:vAlign w:val="center"/>
          </w:tcPr>
          <w:p w14:paraId="21A7299A" w14:textId="77777777" w:rsidR="00E07660" w:rsidRPr="001B4CA2" w:rsidRDefault="00E07660" w:rsidP="00E07660">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238</w:t>
            </w:r>
          </w:p>
        </w:tc>
        <w:tc>
          <w:tcPr>
            <w:tcW w:w="980" w:type="pct"/>
            <w:shd w:val="clear" w:color="auto" w:fill="auto"/>
            <w:noWrap/>
            <w:vAlign w:val="center"/>
          </w:tcPr>
          <w:p w14:paraId="24F3C8AC" w14:textId="77777777" w:rsidR="00E07660" w:rsidRPr="001B4CA2" w:rsidRDefault="00E07660" w:rsidP="00E07660">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45%</w:t>
            </w:r>
          </w:p>
        </w:tc>
        <w:tc>
          <w:tcPr>
            <w:tcW w:w="980" w:type="pct"/>
            <w:shd w:val="clear" w:color="auto" w:fill="auto"/>
            <w:noWrap/>
            <w:vAlign w:val="center"/>
          </w:tcPr>
          <w:p w14:paraId="37662C27" w14:textId="77777777" w:rsidR="00E07660" w:rsidRPr="001B4CA2" w:rsidRDefault="00E07660" w:rsidP="00E07660">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53.723</w:t>
            </w:r>
          </w:p>
        </w:tc>
      </w:tr>
      <w:tr w:rsidR="00E07660" w:rsidRPr="001B4CA2" w14:paraId="19662805" w14:textId="77777777" w:rsidTr="00CE2706">
        <w:trPr>
          <w:trHeight w:val="435"/>
          <w:jc w:val="center"/>
        </w:trPr>
        <w:tc>
          <w:tcPr>
            <w:tcW w:w="1078" w:type="pct"/>
            <w:shd w:val="clear" w:color="auto" w:fill="auto"/>
            <w:noWrap/>
            <w:vAlign w:val="center"/>
          </w:tcPr>
          <w:p w14:paraId="760A1626" w14:textId="77777777" w:rsidR="00E07660" w:rsidRPr="001B4CA2" w:rsidRDefault="00E07660" w:rsidP="00E07660">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2019.</w:t>
            </w:r>
          </w:p>
        </w:tc>
        <w:tc>
          <w:tcPr>
            <w:tcW w:w="981" w:type="pct"/>
            <w:shd w:val="clear" w:color="auto" w:fill="auto"/>
            <w:noWrap/>
            <w:vAlign w:val="center"/>
          </w:tcPr>
          <w:p w14:paraId="7C00B0FA" w14:textId="77777777" w:rsidR="00E07660" w:rsidRPr="001B4CA2" w:rsidRDefault="00E07660" w:rsidP="00E07660">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527</w:t>
            </w:r>
          </w:p>
        </w:tc>
        <w:tc>
          <w:tcPr>
            <w:tcW w:w="980" w:type="pct"/>
            <w:shd w:val="clear" w:color="auto" w:fill="auto"/>
            <w:noWrap/>
            <w:vAlign w:val="center"/>
          </w:tcPr>
          <w:p w14:paraId="41926CB8" w14:textId="77777777" w:rsidR="00E07660" w:rsidRPr="001B4CA2" w:rsidRDefault="00E07660" w:rsidP="00E07660">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272</w:t>
            </w:r>
          </w:p>
        </w:tc>
        <w:tc>
          <w:tcPr>
            <w:tcW w:w="980" w:type="pct"/>
            <w:shd w:val="clear" w:color="auto" w:fill="auto"/>
            <w:noWrap/>
            <w:vAlign w:val="center"/>
          </w:tcPr>
          <w:p w14:paraId="29619919" w14:textId="77777777" w:rsidR="00E07660" w:rsidRPr="001B4CA2" w:rsidRDefault="00E07660" w:rsidP="00E07660">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52%</w:t>
            </w:r>
          </w:p>
        </w:tc>
        <w:tc>
          <w:tcPr>
            <w:tcW w:w="980" w:type="pct"/>
            <w:shd w:val="clear" w:color="auto" w:fill="auto"/>
            <w:noWrap/>
            <w:vAlign w:val="center"/>
          </w:tcPr>
          <w:p w14:paraId="203B2E26" w14:textId="77777777" w:rsidR="00E07660" w:rsidRPr="001B4CA2" w:rsidRDefault="00E07660" w:rsidP="00E07660">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45.221</w:t>
            </w:r>
          </w:p>
        </w:tc>
      </w:tr>
      <w:tr w:rsidR="00E07660" w:rsidRPr="001B4CA2" w14:paraId="68721CBC" w14:textId="77777777" w:rsidTr="00CE2706">
        <w:trPr>
          <w:trHeight w:val="435"/>
          <w:jc w:val="center"/>
        </w:trPr>
        <w:tc>
          <w:tcPr>
            <w:tcW w:w="1078" w:type="pct"/>
            <w:shd w:val="clear" w:color="auto" w:fill="auto"/>
            <w:noWrap/>
            <w:vAlign w:val="center"/>
          </w:tcPr>
          <w:p w14:paraId="7F1A14D7" w14:textId="77777777" w:rsidR="00E07660" w:rsidRPr="001B4CA2" w:rsidRDefault="00E07660" w:rsidP="00E07660">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sz w:val="18"/>
                <w:szCs w:val="18"/>
                <w:lang w:eastAsia="hr-HR"/>
              </w:rPr>
              <w:t>2020.</w:t>
            </w:r>
          </w:p>
        </w:tc>
        <w:tc>
          <w:tcPr>
            <w:tcW w:w="981" w:type="pct"/>
            <w:shd w:val="clear" w:color="auto" w:fill="auto"/>
            <w:noWrap/>
            <w:vAlign w:val="center"/>
          </w:tcPr>
          <w:p w14:paraId="269E71D2"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651</w:t>
            </w:r>
          </w:p>
        </w:tc>
        <w:tc>
          <w:tcPr>
            <w:tcW w:w="980" w:type="pct"/>
            <w:shd w:val="clear" w:color="auto" w:fill="auto"/>
            <w:noWrap/>
            <w:vAlign w:val="center"/>
          </w:tcPr>
          <w:p w14:paraId="2781468E"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248</w:t>
            </w:r>
          </w:p>
        </w:tc>
        <w:tc>
          <w:tcPr>
            <w:tcW w:w="980" w:type="pct"/>
            <w:shd w:val="clear" w:color="auto" w:fill="auto"/>
            <w:noWrap/>
            <w:vAlign w:val="center"/>
          </w:tcPr>
          <w:p w14:paraId="257C7115"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38%</w:t>
            </w:r>
          </w:p>
        </w:tc>
        <w:tc>
          <w:tcPr>
            <w:tcW w:w="980" w:type="pct"/>
            <w:shd w:val="clear" w:color="auto" w:fill="auto"/>
            <w:noWrap/>
            <w:vAlign w:val="center"/>
          </w:tcPr>
          <w:p w14:paraId="320AEEA6"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58.528</w:t>
            </w:r>
          </w:p>
        </w:tc>
      </w:tr>
      <w:tr w:rsidR="00E07660" w:rsidRPr="001B4CA2" w14:paraId="25EB0443" w14:textId="77777777" w:rsidTr="00CE2706">
        <w:trPr>
          <w:trHeight w:val="435"/>
          <w:jc w:val="center"/>
        </w:trPr>
        <w:tc>
          <w:tcPr>
            <w:tcW w:w="1078" w:type="pct"/>
            <w:shd w:val="clear" w:color="auto" w:fill="auto"/>
            <w:noWrap/>
            <w:vAlign w:val="center"/>
          </w:tcPr>
          <w:p w14:paraId="7CC54E9B" w14:textId="77777777" w:rsidR="00E07660" w:rsidRPr="001B4CA2" w:rsidRDefault="00E07660" w:rsidP="00E07660">
            <w:pPr>
              <w:jc w:val="center"/>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2021.</w:t>
            </w:r>
          </w:p>
        </w:tc>
        <w:tc>
          <w:tcPr>
            <w:tcW w:w="981" w:type="pct"/>
            <w:shd w:val="clear" w:color="auto" w:fill="auto"/>
            <w:noWrap/>
            <w:vAlign w:val="center"/>
          </w:tcPr>
          <w:p w14:paraId="3865893E"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405</w:t>
            </w:r>
          </w:p>
        </w:tc>
        <w:tc>
          <w:tcPr>
            <w:tcW w:w="980" w:type="pct"/>
            <w:shd w:val="clear" w:color="auto" w:fill="auto"/>
            <w:noWrap/>
            <w:vAlign w:val="center"/>
          </w:tcPr>
          <w:p w14:paraId="2A4EEFF5"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257</w:t>
            </w:r>
          </w:p>
        </w:tc>
        <w:tc>
          <w:tcPr>
            <w:tcW w:w="980" w:type="pct"/>
            <w:shd w:val="clear" w:color="auto" w:fill="auto"/>
            <w:noWrap/>
            <w:vAlign w:val="center"/>
          </w:tcPr>
          <w:p w14:paraId="31585B14"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63%</w:t>
            </w:r>
          </w:p>
        </w:tc>
        <w:tc>
          <w:tcPr>
            <w:tcW w:w="980" w:type="pct"/>
            <w:shd w:val="clear" w:color="auto" w:fill="auto"/>
            <w:noWrap/>
            <w:vAlign w:val="center"/>
          </w:tcPr>
          <w:p w14:paraId="25AAD646"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17.912</w:t>
            </w:r>
          </w:p>
        </w:tc>
      </w:tr>
      <w:tr w:rsidR="00E07660" w:rsidRPr="001B4CA2" w14:paraId="4682C8EC" w14:textId="77777777" w:rsidTr="00CE2706">
        <w:trPr>
          <w:trHeight w:val="435"/>
          <w:jc w:val="center"/>
        </w:trPr>
        <w:tc>
          <w:tcPr>
            <w:tcW w:w="1078" w:type="pct"/>
            <w:shd w:val="clear" w:color="auto" w:fill="auto"/>
            <w:noWrap/>
            <w:vAlign w:val="center"/>
          </w:tcPr>
          <w:p w14:paraId="440F4718" w14:textId="77777777" w:rsidR="00E07660" w:rsidRPr="001B4CA2" w:rsidRDefault="00E07660" w:rsidP="00E07660">
            <w:pPr>
              <w:jc w:val="center"/>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2022.</w:t>
            </w:r>
          </w:p>
        </w:tc>
        <w:tc>
          <w:tcPr>
            <w:tcW w:w="981" w:type="pct"/>
            <w:shd w:val="clear" w:color="auto" w:fill="auto"/>
            <w:noWrap/>
            <w:vAlign w:val="center"/>
          </w:tcPr>
          <w:p w14:paraId="19274BDF"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553</w:t>
            </w:r>
          </w:p>
        </w:tc>
        <w:tc>
          <w:tcPr>
            <w:tcW w:w="980" w:type="pct"/>
            <w:shd w:val="clear" w:color="auto" w:fill="auto"/>
            <w:noWrap/>
            <w:vAlign w:val="center"/>
          </w:tcPr>
          <w:p w14:paraId="13966FEC"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266</w:t>
            </w:r>
          </w:p>
        </w:tc>
        <w:tc>
          <w:tcPr>
            <w:tcW w:w="980" w:type="pct"/>
            <w:shd w:val="clear" w:color="auto" w:fill="auto"/>
            <w:noWrap/>
            <w:vAlign w:val="center"/>
          </w:tcPr>
          <w:p w14:paraId="0D507645"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48%</w:t>
            </w:r>
          </w:p>
        </w:tc>
        <w:tc>
          <w:tcPr>
            <w:tcW w:w="980" w:type="pct"/>
            <w:shd w:val="clear" w:color="auto" w:fill="auto"/>
            <w:noWrap/>
            <w:vAlign w:val="center"/>
          </w:tcPr>
          <w:p w14:paraId="62D5FE1F"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37.040</w:t>
            </w:r>
          </w:p>
        </w:tc>
      </w:tr>
    </w:tbl>
    <w:p w14:paraId="35595F73" w14:textId="77777777" w:rsidR="00E07660" w:rsidRPr="001B4CA2" w:rsidRDefault="00E07660" w:rsidP="00E07660">
      <w:pPr>
        <w:ind w:left="720"/>
        <w:contextualSpacing/>
        <w:jc w:val="left"/>
        <w:rPr>
          <w:rFonts w:asciiTheme="minorHAnsi" w:hAnsiTheme="minorHAnsi" w:cstheme="minorBidi"/>
          <w:i/>
          <w:color w:val="FF0000"/>
          <w:szCs w:val="22"/>
        </w:rPr>
      </w:pPr>
    </w:p>
    <w:p w14:paraId="28CA6F7A" w14:textId="67882347" w:rsidR="00773E87" w:rsidRPr="001B4CA2" w:rsidRDefault="00773E87" w:rsidP="00773E87">
      <w:pPr>
        <w:ind w:firstLine="708"/>
      </w:pPr>
      <w:r w:rsidRPr="001B4CA2">
        <w:t xml:space="preserve">U 2022. godini došlo je do povećanja podnesenih zahtjeva, i to za 36,5 %. Razlog tog povećanja jest veći broj </w:t>
      </w:r>
      <w:r w:rsidR="0020162B" w:rsidRPr="001B4CA2">
        <w:t>zahtjeva</w:t>
      </w:r>
      <w:r w:rsidRPr="001B4CA2">
        <w:t xml:space="preserve"> koji se odnose na isplate naknada za korištenje nekretnina u državnom vlasništvu i zahtjeva za isplatama s osnov</w:t>
      </w:r>
      <w:r w:rsidR="00257844">
        <w:t>e</w:t>
      </w:r>
      <w:r w:rsidRPr="001B4CA2">
        <w:t xml:space="preserve"> naknade štete.</w:t>
      </w:r>
    </w:p>
    <w:p w14:paraId="7923674B" w14:textId="77777777" w:rsidR="00773E87" w:rsidRPr="001B4CA2" w:rsidRDefault="00773E87" w:rsidP="00773E87"/>
    <w:p w14:paraId="5E3EAF7D" w14:textId="5EE1A8A1" w:rsidR="00773E87" w:rsidRPr="001B4CA2" w:rsidRDefault="00773E87" w:rsidP="00773E87">
      <w:pPr>
        <w:ind w:firstLine="708"/>
      </w:pPr>
      <w:r w:rsidRPr="001B4CA2">
        <w:t>U 2022. godini od 553 podnesena zahtjeva od strane Republike Hrvatske sklopljeno je 266 nagodbi ukupne vrijednosti 37.040.000,00 k</w:t>
      </w:r>
      <w:r w:rsidR="0047537B" w:rsidRPr="001B4CA2">
        <w:t>n</w:t>
      </w:r>
      <w:r w:rsidR="00257844">
        <w:t xml:space="preserve"> </w:t>
      </w:r>
      <w:r w:rsidR="0047537B" w:rsidRPr="001B4CA2">
        <w:t>/ 4.916.052,82 EUR</w:t>
      </w:r>
      <w:r w:rsidRPr="001B4CA2">
        <w:t xml:space="preserve">. Iz navedenog slijedi da je 48 % zahtjeva Republike Hrvatske bilo riješeno u mirnom postupku sklapanjem nagodbe. </w:t>
      </w:r>
    </w:p>
    <w:p w14:paraId="25DF495F" w14:textId="77777777" w:rsidR="00773E87" w:rsidRPr="001B4CA2" w:rsidRDefault="00773E87" w:rsidP="00773E87">
      <w:pPr>
        <w:ind w:firstLine="708"/>
      </w:pPr>
    </w:p>
    <w:p w14:paraId="020E77C4" w14:textId="77777777" w:rsidR="00773E87" w:rsidRPr="001B4CA2" w:rsidRDefault="00773E87" w:rsidP="00773E87">
      <w:pPr>
        <w:ind w:firstLine="708"/>
      </w:pPr>
      <w:r w:rsidRPr="001B4CA2">
        <w:t xml:space="preserve">Najveći broj sklopljenih izvansudskih nagodbi odnosio se na zahtjeve za naknadom štete i </w:t>
      </w:r>
      <w:proofErr w:type="spellStart"/>
      <w:r w:rsidRPr="001B4CA2">
        <w:t>obveznopravne</w:t>
      </w:r>
      <w:proofErr w:type="spellEnd"/>
      <w:r w:rsidRPr="001B4CA2">
        <w:t xml:space="preserve"> zahtjeve.</w:t>
      </w:r>
    </w:p>
    <w:p w14:paraId="73B4FDC2" w14:textId="6080CE19" w:rsidR="00F03A30" w:rsidRPr="001B4CA2" w:rsidRDefault="00F03A30">
      <w:pPr>
        <w:spacing w:after="200" w:line="276" w:lineRule="auto"/>
        <w:jc w:val="left"/>
      </w:pPr>
      <w:r w:rsidRPr="001B4CA2">
        <w:br w:type="page"/>
      </w:r>
    </w:p>
    <w:p w14:paraId="01ADF207" w14:textId="77777777" w:rsidR="00F03A30" w:rsidRPr="001B4CA2" w:rsidRDefault="00F03A30" w:rsidP="00F03A30">
      <w:pPr>
        <w:sectPr w:rsidR="00F03A30" w:rsidRPr="001B4CA2" w:rsidSect="007418AF">
          <w:pgSz w:w="11906" w:h="16838"/>
          <w:pgMar w:top="1417" w:right="1417" w:bottom="1417" w:left="1417" w:header="709" w:footer="709" w:gutter="0"/>
          <w:cols w:space="708"/>
          <w:docGrid w:linePitch="360"/>
        </w:sectPr>
      </w:pPr>
    </w:p>
    <w:p w14:paraId="78F8E33E" w14:textId="573F47D8" w:rsidR="00F03A30" w:rsidRPr="001B4CA2" w:rsidRDefault="001B4CA2" w:rsidP="00A40F99">
      <w:pPr>
        <w:ind w:left="-142"/>
        <w:contextualSpacing/>
        <w:jc w:val="left"/>
        <w:rPr>
          <w:i/>
        </w:rPr>
      </w:pPr>
      <w:r>
        <w:rPr>
          <w:i/>
        </w:rPr>
        <w:lastRenderedPageBreak/>
        <w:tab/>
      </w:r>
      <w:r w:rsidR="00F03A30" w:rsidRPr="001B4CA2">
        <w:rPr>
          <w:i/>
        </w:rPr>
        <w:t xml:space="preserve">d) Sklopljene nagodbe prema zastupanom tijelu, </w:t>
      </w:r>
      <w:r w:rsidR="003A49AA" w:rsidRPr="001B4CA2">
        <w:rPr>
          <w:i/>
        </w:rPr>
        <w:t>vrsti i vrijednosti spora u 202</w:t>
      </w:r>
      <w:r w:rsidR="00E07660" w:rsidRPr="001B4CA2">
        <w:rPr>
          <w:i/>
        </w:rPr>
        <w:t>2</w:t>
      </w:r>
      <w:r w:rsidR="00F03A30" w:rsidRPr="001B4CA2">
        <w:rPr>
          <w:i/>
        </w:rPr>
        <w:t>.</w:t>
      </w:r>
      <w:r w:rsidR="00270D45" w:rsidRPr="001B4CA2">
        <w:rPr>
          <w:i/>
        </w:rPr>
        <w:t xml:space="preserve"> </w:t>
      </w:r>
      <w:r w:rsidR="00310130" w:rsidRPr="001B4CA2">
        <w:rPr>
          <w:i/>
        </w:rPr>
        <w:t xml:space="preserve">– </w:t>
      </w:r>
      <w:r w:rsidR="00270D45" w:rsidRPr="001B4CA2">
        <w:rPr>
          <w:i/>
        </w:rPr>
        <w:t>podnositelj zahtjeva Republika Hrvatska</w:t>
      </w:r>
    </w:p>
    <w:tbl>
      <w:tblPr>
        <w:tblW w:w="5583" w:type="pct"/>
        <w:tblInd w:w="-937" w:type="dxa"/>
        <w:tblLook w:val="04A0" w:firstRow="1" w:lastRow="0" w:firstColumn="1" w:lastColumn="0" w:noHBand="0" w:noVBand="1"/>
      </w:tblPr>
      <w:tblGrid>
        <w:gridCol w:w="3435"/>
        <w:gridCol w:w="618"/>
        <w:gridCol w:w="498"/>
        <w:gridCol w:w="499"/>
        <w:gridCol w:w="813"/>
        <w:gridCol w:w="622"/>
        <w:gridCol w:w="499"/>
        <w:gridCol w:w="626"/>
        <w:gridCol w:w="816"/>
        <w:gridCol w:w="626"/>
        <w:gridCol w:w="629"/>
        <w:gridCol w:w="661"/>
        <w:gridCol w:w="699"/>
        <w:gridCol w:w="464"/>
        <w:gridCol w:w="464"/>
        <w:gridCol w:w="556"/>
        <w:gridCol w:w="581"/>
        <w:gridCol w:w="540"/>
        <w:gridCol w:w="629"/>
        <w:gridCol w:w="800"/>
        <w:gridCol w:w="803"/>
      </w:tblGrid>
      <w:tr w:rsidR="00B872C0" w:rsidRPr="001B4CA2" w14:paraId="53AB85AC" w14:textId="77777777" w:rsidTr="00223ABD">
        <w:trPr>
          <w:trHeight w:val="318"/>
        </w:trPr>
        <w:tc>
          <w:tcPr>
            <w:tcW w:w="1082" w:type="pct"/>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33577F3" w14:textId="77777777" w:rsidR="00E07660" w:rsidRPr="001B4CA2" w:rsidRDefault="00E07660" w:rsidP="00E07660">
            <w:pPr>
              <w:jc w:val="center"/>
              <w:rPr>
                <w:b/>
                <w:bCs/>
                <w:sz w:val="16"/>
                <w:szCs w:val="16"/>
              </w:rPr>
            </w:pPr>
            <w:r w:rsidRPr="001B4CA2">
              <w:rPr>
                <w:b/>
                <w:bCs/>
                <w:sz w:val="16"/>
                <w:szCs w:val="16"/>
              </w:rPr>
              <w:t xml:space="preserve">Naziv ministarstva ili drugog tijela </w:t>
            </w:r>
          </w:p>
        </w:tc>
        <w:tc>
          <w:tcPr>
            <w:tcW w:w="765" w:type="pct"/>
            <w:gridSpan w:val="4"/>
            <w:tcBorders>
              <w:top w:val="single" w:sz="4" w:space="0" w:color="auto"/>
              <w:left w:val="nil"/>
              <w:bottom w:val="single" w:sz="4" w:space="0" w:color="auto"/>
              <w:right w:val="single" w:sz="4" w:space="0" w:color="auto"/>
            </w:tcBorders>
            <w:shd w:val="clear" w:color="auto" w:fill="99CCFF"/>
            <w:vAlign w:val="center"/>
            <w:hideMark/>
          </w:tcPr>
          <w:p w14:paraId="7547773F" w14:textId="77777777" w:rsidR="00E07660" w:rsidRPr="001B4CA2" w:rsidRDefault="00E07660" w:rsidP="00E07660">
            <w:pPr>
              <w:jc w:val="center"/>
              <w:rPr>
                <w:b/>
                <w:bCs/>
                <w:sz w:val="16"/>
                <w:szCs w:val="16"/>
              </w:rPr>
            </w:pPr>
            <w:proofErr w:type="spellStart"/>
            <w:r w:rsidRPr="001B4CA2">
              <w:rPr>
                <w:b/>
                <w:bCs/>
                <w:sz w:val="16"/>
                <w:szCs w:val="16"/>
              </w:rPr>
              <w:t>Stvarnopravni</w:t>
            </w:r>
            <w:proofErr w:type="spellEnd"/>
            <w:r w:rsidRPr="001B4CA2">
              <w:rPr>
                <w:b/>
                <w:bCs/>
                <w:sz w:val="16"/>
                <w:szCs w:val="16"/>
              </w:rPr>
              <w:t xml:space="preserve"> sporovi</w:t>
            </w:r>
          </w:p>
        </w:tc>
        <w:tc>
          <w:tcPr>
            <w:tcW w:w="807" w:type="pct"/>
            <w:gridSpan w:val="4"/>
            <w:tcBorders>
              <w:top w:val="single" w:sz="4" w:space="0" w:color="auto"/>
              <w:left w:val="nil"/>
              <w:bottom w:val="single" w:sz="4" w:space="0" w:color="auto"/>
              <w:right w:val="single" w:sz="4" w:space="0" w:color="000000"/>
            </w:tcBorders>
            <w:shd w:val="clear" w:color="auto" w:fill="99CCFF"/>
            <w:vAlign w:val="center"/>
            <w:hideMark/>
          </w:tcPr>
          <w:p w14:paraId="51B6A126" w14:textId="77777777" w:rsidR="00E07660" w:rsidRPr="001B4CA2" w:rsidRDefault="00E07660" w:rsidP="00E07660">
            <w:pPr>
              <w:jc w:val="center"/>
              <w:rPr>
                <w:b/>
                <w:bCs/>
                <w:color w:val="000000"/>
                <w:sz w:val="16"/>
                <w:szCs w:val="16"/>
              </w:rPr>
            </w:pPr>
            <w:proofErr w:type="spellStart"/>
            <w:r w:rsidRPr="001B4CA2">
              <w:rPr>
                <w:b/>
                <w:bCs/>
                <w:color w:val="000000"/>
                <w:sz w:val="16"/>
                <w:szCs w:val="16"/>
              </w:rPr>
              <w:t>Obveznopravni</w:t>
            </w:r>
            <w:proofErr w:type="spellEnd"/>
            <w:r w:rsidRPr="001B4CA2">
              <w:rPr>
                <w:b/>
                <w:bCs/>
                <w:color w:val="000000"/>
                <w:sz w:val="16"/>
                <w:szCs w:val="16"/>
              </w:rPr>
              <w:t xml:space="preserve"> sporovi</w:t>
            </w:r>
          </w:p>
        </w:tc>
        <w:tc>
          <w:tcPr>
            <w:tcW w:w="823" w:type="pct"/>
            <w:gridSpan w:val="4"/>
            <w:tcBorders>
              <w:top w:val="single" w:sz="4" w:space="0" w:color="auto"/>
              <w:left w:val="nil"/>
              <w:bottom w:val="single" w:sz="4" w:space="0" w:color="auto"/>
              <w:right w:val="single" w:sz="4" w:space="0" w:color="auto"/>
            </w:tcBorders>
            <w:shd w:val="clear" w:color="auto" w:fill="99CCFF"/>
            <w:vAlign w:val="center"/>
            <w:hideMark/>
          </w:tcPr>
          <w:p w14:paraId="665112FB" w14:textId="77777777" w:rsidR="00E07660" w:rsidRPr="001B4CA2" w:rsidRDefault="00E07660" w:rsidP="00E07660">
            <w:pPr>
              <w:jc w:val="center"/>
              <w:rPr>
                <w:b/>
                <w:bCs/>
                <w:sz w:val="16"/>
                <w:szCs w:val="16"/>
              </w:rPr>
            </w:pPr>
            <w:r w:rsidRPr="001B4CA2">
              <w:rPr>
                <w:b/>
                <w:bCs/>
                <w:sz w:val="16"/>
                <w:szCs w:val="16"/>
              </w:rPr>
              <w:t>Naknada štete</w:t>
            </w:r>
          </w:p>
        </w:tc>
        <w:tc>
          <w:tcPr>
            <w:tcW w:w="650" w:type="pct"/>
            <w:gridSpan w:val="4"/>
            <w:tcBorders>
              <w:top w:val="single" w:sz="4" w:space="0" w:color="auto"/>
              <w:left w:val="nil"/>
              <w:bottom w:val="nil"/>
              <w:right w:val="single" w:sz="4" w:space="0" w:color="000000"/>
            </w:tcBorders>
            <w:shd w:val="clear" w:color="auto" w:fill="99CCFF"/>
            <w:vAlign w:val="center"/>
            <w:hideMark/>
          </w:tcPr>
          <w:p w14:paraId="4F5221C4" w14:textId="77777777" w:rsidR="00E07660" w:rsidRPr="001B4CA2" w:rsidRDefault="00E07660" w:rsidP="00E07660">
            <w:pPr>
              <w:jc w:val="center"/>
              <w:rPr>
                <w:b/>
                <w:bCs/>
                <w:color w:val="000000"/>
                <w:sz w:val="16"/>
                <w:szCs w:val="16"/>
              </w:rPr>
            </w:pPr>
            <w:r w:rsidRPr="001B4CA2">
              <w:rPr>
                <w:b/>
                <w:bCs/>
                <w:color w:val="000000"/>
                <w:sz w:val="16"/>
                <w:szCs w:val="16"/>
              </w:rPr>
              <w:t>Ostali parnični sporovi</w:t>
            </w:r>
          </w:p>
        </w:tc>
        <w:tc>
          <w:tcPr>
            <w:tcW w:w="873" w:type="pct"/>
            <w:gridSpan w:val="4"/>
            <w:vMerge w:val="restart"/>
            <w:tcBorders>
              <w:top w:val="single" w:sz="4" w:space="0" w:color="auto"/>
              <w:left w:val="single" w:sz="4" w:space="0" w:color="auto"/>
              <w:right w:val="single" w:sz="4" w:space="0" w:color="000000"/>
            </w:tcBorders>
            <w:shd w:val="clear" w:color="auto" w:fill="99CCFF"/>
          </w:tcPr>
          <w:p w14:paraId="1CE63C57" w14:textId="77777777" w:rsidR="00E07660" w:rsidRPr="001B4CA2" w:rsidRDefault="00E07660" w:rsidP="00E07660">
            <w:pPr>
              <w:jc w:val="center"/>
              <w:rPr>
                <w:b/>
                <w:bCs/>
                <w:color w:val="000000"/>
                <w:sz w:val="16"/>
                <w:szCs w:val="16"/>
              </w:rPr>
            </w:pPr>
            <w:r w:rsidRPr="001B4CA2">
              <w:rPr>
                <w:b/>
                <w:bCs/>
                <w:color w:val="000000"/>
                <w:sz w:val="16"/>
                <w:szCs w:val="16"/>
              </w:rPr>
              <w:t>Ukupno</w:t>
            </w:r>
          </w:p>
          <w:p w14:paraId="47A58ACE" w14:textId="77777777" w:rsidR="00E07660" w:rsidRPr="001B4CA2" w:rsidRDefault="00E07660" w:rsidP="00E07660">
            <w:pPr>
              <w:jc w:val="center"/>
              <w:rPr>
                <w:b/>
                <w:bCs/>
                <w:color w:val="000000"/>
                <w:sz w:val="16"/>
                <w:szCs w:val="16"/>
              </w:rPr>
            </w:pPr>
            <w:r w:rsidRPr="001B4CA2">
              <w:rPr>
                <w:b/>
                <w:bCs/>
                <w:color w:val="000000"/>
                <w:sz w:val="16"/>
                <w:szCs w:val="16"/>
              </w:rPr>
              <w:t>podnositelj</w:t>
            </w:r>
          </w:p>
          <w:p w14:paraId="34CAD954" w14:textId="645123F4" w:rsidR="00E07660" w:rsidRPr="001B4CA2" w:rsidRDefault="00E07660" w:rsidP="00E07660">
            <w:pPr>
              <w:jc w:val="center"/>
              <w:rPr>
                <w:b/>
                <w:bCs/>
                <w:color w:val="000000"/>
                <w:sz w:val="16"/>
                <w:szCs w:val="16"/>
              </w:rPr>
            </w:pPr>
            <w:r w:rsidRPr="001B4CA2">
              <w:rPr>
                <w:b/>
                <w:bCs/>
                <w:color w:val="000000"/>
                <w:sz w:val="16"/>
                <w:szCs w:val="16"/>
              </w:rPr>
              <w:t xml:space="preserve"> zahtjeva</w:t>
            </w:r>
            <w:r w:rsidR="001B4CA2">
              <w:rPr>
                <w:b/>
                <w:bCs/>
                <w:color w:val="000000"/>
                <w:sz w:val="16"/>
                <w:szCs w:val="16"/>
              </w:rPr>
              <w:t xml:space="preserve"> </w:t>
            </w:r>
          </w:p>
          <w:p w14:paraId="650032D8" w14:textId="77777777" w:rsidR="00E07660" w:rsidRPr="001B4CA2" w:rsidRDefault="00E07660" w:rsidP="00E07660">
            <w:pPr>
              <w:jc w:val="center"/>
              <w:rPr>
                <w:b/>
                <w:bCs/>
                <w:color w:val="000000"/>
                <w:sz w:val="16"/>
                <w:szCs w:val="16"/>
              </w:rPr>
            </w:pPr>
            <w:r w:rsidRPr="001B4CA2">
              <w:rPr>
                <w:b/>
                <w:bCs/>
                <w:color w:val="000000"/>
                <w:sz w:val="16"/>
                <w:szCs w:val="16"/>
              </w:rPr>
              <w:t>RH</w:t>
            </w:r>
          </w:p>
        </w:tc>
      </w:tr>
      <w:tr w:rsidR="00B872C0" w:rsidRPr="001B4CA2" w14:paraId="0E3CE399" w14:textId="77777777" w:rsidTr="00223ABD">
        <w:trPr>
          <w:trHeight w:val="510"/>
        </w:trPr>
        <w:tc>
          <w:tcPr>
            <w:tcW w:w="1082" w:type="pct"/>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76340554" w14:textId="77777777" w:rsidR="00E07660" w:rsidRPr="001B4CA2" w:rsidRDefault="00E07660" w:rsidP="00E07660">
            <w:pPr>
              <w:rPr>
                <w:b/>
                <w:bCs/>
                <w:sz w:val="16"/>
                <w:szCs w:val="16"/>
              </w:rPr>
            </w:pPr>
          </w:p>
        </w:tc>
        <w:tc>
          <w:tcPr>
            <w:tcW w:w="765" w:type="pct"/>
            <w:gridSpan w:val="4"/>
            <w:tcBorders>
              <w:top w:val="single" w:sz="4" w:space="0" w:color="auto"/>
              <w:left w:val="nil"/>
              <w:bottom w:val="single" w:sz="4" w:space="0" w:color="auto"/>
              <w:right w:val="single" w:sz="4" w:space="0" w:color="000000"/>
            </w:tcBorders>
            <w:shd w:val="clear" w:color="auto" w:fill="99CCFF"/>
            <w:vAlign w:val="center"/>
            <w:hideMark/>
          </w:tcPr>
          <w:p w14:paraId="44BD4C4B" w14:textId="77777777" w:rsidR="00E07660" w:rsidRPr="001B4CA2" w:rsidRDefault="00E07660" w:rsidP="00E07660">
            <w:pPr>
              <w:jc w:val="center"/>
              <w:rPr>
                <w:b/>
                <w:bCs/>
                <w:sz w:val="16"/>
                <w:szCs w:val="16"/>
              </w:rPr>
            </w:pPr>
            <w:r w:rsidRPr="001B4CA2">
              <w:rPr>
                <w:b/>
                <w:bCs/>
                <w:sz w:val="16"/>
                <w:szCs w:val="16"/>
              </w:rPr>
              <w:t xml:space="preserve">Podnositelj zahtjeva </w:t>
            </w:r>
          </w:p>
          <w:p w14:paraId="2D24BEED" w14:textId="77777777" w:rsidR="00E07660" w:rsidRPr="001B4CA2" w:rsidRDefault="00E07660" w:rsidP="00E07660">
            <w:pPr>
              <w:jc w:val="center"/>
              <w:rPr>
                <w:b/>
                <w:bCs/>
                <w:sz w:val="16"/>
                <w:szCs w:val="16"/>
              </w:rPr>
            </w:pPr>
            <w:r w:rsidRPr="001B4CA2">
              <w:rPr>
                <w:b/>
                <w:bCs/>
                <w:sz w:val="16"/>
                <w:szCs w:val="16"/>
              </w:rPr>
              <w:t>RH</w:t>
            </w:r>
          </w:p>
        </w:tc>
        <w:tc>
          <w:tcPr>
            <w:tcW w:w="807" w:type="pct"/>
            <w:gridSpan w:val="4"/>
            <w:tcBorders>
              <w:top w:val="single" w:sz="4" w:space="0" w:color="auto"/>
              <w:left w:val="nil"/>
              <w:bottom w:val="single" w:sz="4" w:space="0" w:color="auto"/>
              <w:right w:val="single" w:sz="4" w:space="0" w:color="000000"/>
            </w:tcBorders>
            <w:shd w:val="clear" w:color="auto" w:fill="99CCFF"/>
            <w:vAlign w:val="center"/>
            <w:hideMark/>
          </w:tcPr>
          <w:p w14:paraId="75BD503A" w14:textId="1A966F22" w:rsidR="00E07660" w:rsidRPr="001B4CA2" w:rsidRDefault="00E07660" w:rsidP="00E07660">
            <w:pPr>
              <w:jc w:val="center"/>
              <w:rPr>
                <w:b/>
                <w:bCs/>
                <w:sz w:val="16"/>
                <w:szCs w:val="16"/>
              </w:rPr>
            </w:pPr>
            <w:r w:rsidRPr="001B4CA2">
              <w:rPr>
                <w:b/>
                <w:bCs/>
                <w:sz w:val="16"/>
                <w:szCs w:val="16"/>
              </w:rPr>
              <w:t>Podnositelj zahtjeva</w:t>
            </w:r>
            <w:r w:rsidR="001B4CA2">
              <w:rPr>
                <w:b/>
                <w:bCs/>
                <w:sz w:val="16"/>
                <w:szCs w:val="16"/>
              </w:rPr>
              <w:t xml:space="preserve"> </w:t>
            </w:r>
          </w:p>
          <w:p w14:paraId="7ABBC1DE" w14:textId="77777777" w:rsidR="00E07660" w:rsidRPr="001B4CA2" w:rsidRDefault="00E07660" w:rsidP="00E07660">
            <w:pPr>
              <w:jc w:val="center"/>
              <w:rPr>
                <w:b/>
                <w:bCs/>
                <w:sz w:val="16"/>
                <w:szCs w:val="16"/>
              </w:rPr>
            </w:pPr>
            <w:r w:rsidRPr="001B4CA2">
              <w:rPr>
                <w:b/>
                <w:bCs/>
                <w:sz w:val="16"/>
                <w:szCs w:val="16"/>
              </w:rPr>
              <w:t>RH</w:t>
            </w:r>
          </w:p>
        </w:tc>
        <w:tc>
          <w:tcPr>
            <w:tcW w:w="823" w:type="pct"/>
            <w:gridSpan w:val="4"/>
            <w:tcBorders>
              <w:top w:val="single" w:sz="4" w:space="0" w:color="auto"/>
              <w:left w:val="nil"/>
              <w:bottom w:val="single" w:sz="4" w:space="0" w:color="auto"/>
              <w:right w:val="single" w:sz="4" w:space="0" w:color="000000"/>
            </w:tcBorders>
            <w:shd w:val="clear" w:color="auto" w:fill="99CCFF"/>
            <w:vAlign w:val="center"/>
            <w:hideMark/>
          </w:tcPr>
          <w:p w14:paraId="10096B25" w14:textId="77777777" w:rsidR="00E07660" w:rsidRPr="001B4CA2" w:rsidRDefault="00E07660" w:rsidP="00E07660">
            <w:pPr>
              <w:jc w:val="center"/>
              <w:rPr>
                <w:b/>
                <w:bCs/>
                <w:sz w:val="16"/>
                <w:szCs w:val="16"/>
              </w:rPr>
            </w:pPr>
            <w:r w:rsidRPr="001B4CA2">
              <w:rPr>
                <w:b/>
                <w:bCs/>
                <w:sz w:val="16"/>
                <w:szCs w:val="16"/>
              </w:rPr>
              <w:t xml:space="preserve">Podnositelj zahtjeva </w:t>
            </w:r>
          </w:p>
          <w:p w14:paraId="546029E8" w14:textId="77777777" w:rsidR="00E07660" w:rsidRPr="001B4CA2" w:rsidRDefault="00E07660" w:rsidP="00E07660">
            <w:pPr>
              <w:jc w:val="center"/>
              <w:rPr>
                <w:b/>
                <w:bCs/>
                <w:sz w:val="16"/>
                <w:szCs w:val="16"/>
              </w:rPr>
            </w:pPr>
            <w:r w:rsidRPr="001B4CA2">
              <w:rPr>
                <w:b/>
                <w:bCs/>
                <w:sz w:val="16"/>
                <w:szCs w:val="16"/>
              </w:rPr>
              <w:t xml:space="preserve"> RH</w:t>
            </w:r>
          </w:p>
        </w:tc>
        <w:tc>
          <w:tcPr>
            <w:tcW w:w="650" w:type="pct"/>
            <w:gridSpan w:val="4"/>
            <w:tcBorders>
              <w:top w:val="single" w:sz="4" w:space="0" w:color="auto"/>
              <w:left w:val="nil"/>
              <w:bottom w:val="single" w:sz="4" w:space="0" w:color="auto"/>
              <w:right w:val="single" w:sz="4" w:space="0" w:color="000000"/>
            </w:tcBorders>
            <w:shd w:val="clear" w:color="auto" w:fill="99CCFF"/>
            <w:vAlign w:val="center"/>
            <w:hideMark/>
          </w:tcPr>
          <w:p w14:paraId="08347D5B" w14:textId="56D2714E" w:rsidR="00E07660" w:rsidRPr="001B4CA2" w:rsidRDefault="00E07660" w:rsidP="00E07660">
            <w:pPr>
              <w:jc w:val="center"/>
              <w:rPr>
                <w:b/>
                <w:bCs/>
                <w:color w:val="000000"/>
                <w:sz w:val="16"/>
                <w:szCs w:val="16"/>
              </w:rPr>
            </w:pPr>
            <w:r w:rsidRPr="001B4CA2">
              <w:rPr>
                <w:b/>
                <w:bCs/>
                <w:color w:val="000000"/>
                <w:sz w:val="16"/>
                <w:szCs w:val="16"/>
              </w:rPr>
              <w:t>Podnositelj zahtjeva</w:t>
            </w:r>
            <w:r w:rsidR="001B4CA2">
              <w:rPr>
                <w:b/>
                <w:bCs/>
                <w:color w:val="000000"/>
                <w:sz w:val="16"/>
                <w:szCs w:val="16"/>
              </w:rPr>
              <w:t xml:space="preserve"> </w:t>
            </w:r>
          </w:p>
          <w:p w14:paraId="60B9B7E4" w14:textId="77777777" w:rsidR="00E07660" w:rsidRPr="001B4CA2" w:rsidRDefault="00E07660" w:rsidP="00E07660">
            <w:pPr>
              <w:jc w:val="center"/>
              <w:rPr>
                <w:b/>
                <w:bCs/>
                <w:color w:val="000000"/>
                <w:sz w:val="16"/>
                <w:szCs w:val="16"/>
              </w:rPr>
            </w:pPr>
            <w:r w:rsidRPr="001B4CA2">
              <w:rPr>
                <w:b/>
                <w:bCs/>
                <w:color w:val="000000"/>
                <w:sz w:val="16"/>
                <w:szCs w:val="16"/>
              </w:rPr>
              <w:t>RH</w:t>
            </w:r>
          </w:p>
        </w:tc>
        <w:tc>
          <w:tcPr>
            <w:tcW w:w="873" w:type="pct"/>
            <w:gridSpan w:val="4"/>
            <w:vMerge/>
            <w:tcBorders>
              <w:left w:val="single" w:sz="4" w:space="0" w:color="auto"/>
              <w:bottom w:val="nil"/>
              <w:right w:val="single" w:sz="4" w:space="0" w:color="000000"/>
            </w:tcBorders>
            <w:shd w:val="clear" w:color="auto" w:fill="99CCFF"/>
          </w:tcPr>
          <w:p w14:paraId="4FD089A2" w14:textId="77777777" w:rsidR="00E07660" w:rsidRPr="001B4CA2" w:rsidRDefault="00E07660" w:rsidP="00E07660">
            <w:pPr>
              <w:rPr>
                <w:b/>
                <w:bCs/>
                <w:color w:val="000000"/>
                <w:sz w:val="16"/>
                <w:szCs w:val="16"/>
              </w:rPr>
            </w:pPr>
          </w:p>
        </w:tc>
      </w:tr>
      <w:tr w:rsidR="00D57807" w:rsidRPr="001B4CA2" w14:paraId="6CCACBCE" w14:textId="77777777" w:rsidTr="00223ABD">
        <w:trPr>
          <w:trHeight w:val="1666"/>
        </w:trPr>
        <w:tc>
          <w:tcPr>
            <w:tcW w:w="1082" w:type="pct"/>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50F40C98" w14:textId="77777777" w:rsidR="00E07660" w:rsidRPr="001B4CA2" w:rsidRDefault="00E07660" w:rsidP="00E07660">
            <w:pPr>
              <w:rPr>
                <w:b/>
                <w:bCs/>
                <w:sz w:val="16"/>
                <w:szCs w:val="16"/>
              </w:rPr>
            </w:pPr>
          </w:p>
        </w:tc>
        <w:tc>
          <w:tcPr>
            <w:tcW w:w="195" w:type="pct"/>
            <w:tcBorders>
              <w:top w:val="nil"/>
              <w:left w:val="nil"/>
              <w:bottom w:val="single" w:sz="4" w:space="0" w:color="auto"/>
              <w:right w:val="single" w:sz="4" w:space="0" w:color="auto"/>
            </w:tcBorders>
            <w:shd w:val="clear" w:color="auto" w:fill="99CCFF"/>
            <w:textDirection w:val="btLr"/>
            <w:vAlign w:val="center"/>
            <w:hideMark/>
          </w:tcPr>
          <w:p w14:paraId="3D93FCE9" w14:textId="77777777" w:rsidR="00E07660" w:rsidRPr="001B4CA2" w:rsidRDefault="00E07660" w:rsidP="00E07660">
            <w:pPr>
              <w:jc w:val="left"/>
              <w:rPr>
                <w:sz w:val="14"/>
                <w:szCs w:val="14"/>
              </w:rPr>
            </w:pPr>
            <w:r w:rsidRPr="001B4CA2">
              <w:rPr>
                <w:sz w:val="14"/>
                <w:szCs w:val="14"/>
              </w:rPr>
              <w:t>Broj zahtjeva</w:t>
            </w:r>
          </w:p>
        </w:tc>
        <w:tc>
          <w:tcPr>
            <w:tcW w:w="157" w:type="pct"/>
            <w:tcBorders>
              <w:top w:val="nil"/>
              <w:left w:val="nil"/>
              <w:bottom w:val="single" w:sz="4" w:space="0" w:color="auto"/>
              <w:right w:val="single" w:sz="4" w:space="0" w:color="auto"/>
            </w:tcBorders>
            <w:shd w:val="clear" w:color="auto" w:fill="99CCFF"/>
            <w:textDirection w:val="btLr"/>
            <w:vAlign w:val="center"/>
            <w:hideMark/>
          </w:tcPr>
          <w:p w14:paraId="715A3A61" w14:textId="77777777" w:rsidR="00E07660" w:rsidRPr="001B4CA2" w:rsidRDefault="00E07660" w:rsidP="00E07660">
            <w:pPr>
              <w:jc w:val="left"/>
              <w:rPr>
                <w:sz w:val="14"/>
                <w:szCs w:val="14"/>
              </w:rPr>
            </w:pPr>
            <w:r w:rsidRPr="001B4CA2">
              <w:rPr>
                <w:sz w:val="14"/>
                <w:szCs w:val="14"/>
              </w:rPr>
              <w:t>Broj sklopljenih nagodbi</w:t>
            </w:r>
          </w:p>
        </w:tc>
        <w:tc>
          <w:tcPr>
            <w:tcW w:w="157" w:type="pct"/>
            <w:tcBorders>
              <w:top w:val="nil"/>
              <w:left w:val="nil"/>
              <w:bottom w:val="single" w:sz="4" w:space="0" w:color="auto"/>
              <w:right w:val="single" w:sz="4" w:space="0" w:color="auto"/>
            </w:tcBorders>
            <w:shd w:val="clear" w:color="auto" w:fill="99CCFF"/>
            <w:textDirection w:val="btLr"/>
            <w:vAlign w:val="center"/>
            <w:hideMark/>
          </w:tcPr>
          <w:p w14:paraId="2D7E7CDF" w14:textId="77777777" w:rsidR="00E07660" w:rsidRPr="001B4CA2" w:rsidRDefault="00E07660" w:rsidP="00E07660">
            <w:pPr>
              <w:jc w:val="left"/>
              <w:rPr>
                <w:sz w:val="14"/>
                <w:szCs w:val="14"/>
              </w:rPr>
            </w:pPr>
            <w:r w:rsidRPr="001B4CA2">
              <w:rPr>
                <w:bCs/>
                <w:sz w:val="14"/>
                <w:szCs w:val="14"/>
              </w:rPr>
              <w:t>% sklopljenih nagodbi u odnosu na broj podnesenih zahtjeva</w:t>
            </w:r>
            <w:r w:rsidRPr="001B4CA2">
              <w:rPr>
                <w:sz w:val="14"/>
                <w:szCs w:val="14"/>
              </w:rPr>
              <w:t xml:space="preserve"> </w:t>
            </w:r>
            <w:proofErr w:type="spellStart"/>
            <w:r w:rsidRPr="001B4CA2">
              <w:rPr>
                <w:sz w:val="14"/>
                <w:szCs w:val="14"/>
              </w:rPr>
              <w:t>zahtjeva</w:t>
            </w:r>
            <w:proofErr w:type="spellEnd"/>
          </w:p>
        </w:tc>
        <w:tc>
          <w:tcPr>
            <w:tcW w:w="256" w:type="pct"/>
            <w:tcBorders>
              <w:top w:val="nil"/>
              <w:left w:val="nil"/>
              <w:bottom w:val="single" w:sz="4" w:space="0" w:color="auto"/>
              <w:right w:val="single" w:sz="4" w:space="0" w:color="auto"/>
            </w:tcBorders>
            <w:shd w:val="clear" w:color="auto" w:fill="99CCFF"/>
            <w:textDirection w:val="btLr"/>
            <w:vAlign w:val="center"/>
          </w:tcPr>
          <w:p w14:paraId="6889448F" w14:textId="77777777" w:rsidR="00E07660" w:rsidRPr="001B4CA2" w:rsidRDefault="00E07660" w:rsidP="00E07660">
            <w:pPr>
              <w:jc w:val="left"/>
              <w:rPr>
                <w:sz w:val="14"/>
                <w:szCs w:val="14"/>
              </w:rPr>
            </w:pPr>
            <w:r w:rsidRPr="001B4CA2">
              <w:rPr>
                <w:sz w:val="14"/>
                <w:szCs w:val="14"/>
              </w:rPr>
              <w:t>Vrijednost (u tis. kn)</w:t>
            </w:r>
          </w:p>
        </w:tc>
        <w:tc>
          <w:tcPr>
            <w:tcW w:w="196" w:type="pct"/>
            <w:tcBorders>
              <w:top w:val="nil"/>
              <w:left w:val="nil"/>
              <w:bottom w:val="single" w:sz="4" w:space="0" w:color="auto"/>
              <w:right w:val="single" w:sz="4" w:space="0" w:color="auto"/>
            </w:tcBorders>
            <w:shd w:val="clear" w:color="auto" w:fill="99CCFF"/>
            <w:textDirection w:val="btLr"/>
            <w:vAlign w:val="center"/>
          </w:tcPr>
          <w:p w14:paraId="75182213" w14:textId="77777777" w:rsidR="00E07660" w:rsidRPr="001B4CA2" w:rsidRDefault="00E07660" w:rsidP="00E07660">
            <w:pPr>
              <w:jc w:val="left"/>
              <w:rPr>
                <w:sz w:val="14"/>
                <w:szCs w:val="14"/>
              </w:rPr>
            </w:pPr>
            <w:r w:rsidRPr="001B4CA2">
              <w:rPr>
                <w:sz w:val="14"/>
                <w:szCs w:val="14"/>
              </w:rPr>
              <w:t>Broj zahtjeva</w:t>
            </w:r>
          </w:p>
        </w:tc>
        <w:tc>
          <w:tcPr>
            <w:tcW w:w="157" w:type="pct"/>
            <w:tcBorders>
              <w:top w:val="nil"/>
              <w:left w:val="nil"/>
              <w:bottom w:val="single" w:sz="4" w:space="0" w:color="auto"/>
              <w:right w:val="single" w:sz="4" w:space="0" w:color="auto"/>
            </w:tcBorders>
            <w:shd w:val="clear" w:color="auto" w:fill="99CCFF"/>
            <w:textDirection w:val="btLr"/>
            <w:vAlign w:val="center"/>
            <w:hideMark/>
          </w:tcPr>
          <w:p w14:paraId="39E023F8" w14:textId="77777777" w:rsidR="00E07660" w:rsidRPr="001B4CA2" w:rsidRDefault="00E07660" w:rsidP="00E07660">
            <w:pPr>
              <w:jc w:val="left"/>
              <w:rPr>
                <w:sz w:val="14"/>
                <w:szCs w:val="14"/>
              </w:rPr>
            </w:pPr>
            <w:r w:rsidRPr="001B4CA2">
              <w:rPr>
                <w:sz w:val="14"/>
                <w:szCs w:val="14"/>
              </w:rPr>
              <w:t>Broj sklopljenih nagodbi</w:t>
            </w:r>
          </w:p>
        </w:tc>
        <w:tc>
          <w:tcPr>
            <w:tcW w:w="197" w:type="pct"/>
            <w:tcBorders>
              <w:top w:val="nil"/>
              <w:left w:val="nil"/>
              <w:bottom w:val="single" w:sz="4" w:space="0" w:color="auto"/>
              <w:right w:val="single" w:sz="4" w:space="0" w:color="auto"/>
            </w:tcBorders>
            <w:shd w:val="clear" w:color="auto" w:fill="99CCFF"/>
            <w:textDirection w:val="btLr"/>
            <w:vAlign w:val="center"/>
            <w:hideMark/>
          </w:tcPr>
          <w:p w14:paraId="66D0BEAD" w14:textId="77777777" w:rsidR="00E07660" w:rsidRPr="001B4CA2" w:rsidRDefault="00E07660" w:rsidP="00E07660">
            <w:pPr>
              <w:jc w:val="left"/>
              <w:rPr>
                <w:sz w:val="14"/>
                <w:szCs w:val="14"/>
              </w:rPr>
            </w:pPr>
            <w:r w:rsidRPr="001B4CA2">
              <w:rPr>
                <w:bCs/>
                <w:sz w:val="14"/>
                <w:szCs w:val="14"/>
              </w:rPr>
              <w:t>% sklopljenih nagodbi u odnosu na broj podnesenih zahtjeva</w:t>
            </w:r>
          </w:p>
        </w:tc>
        <w:tc>
          <w:tcPr>
            <w:tcW w:w="257" w:type="pct"/>
            <w:tcBorders>
              <w:top w:val="nil"/>
              <w:left w:val="nil"/>
              <w:bottom w:val="single" w:sz="4" w:space="0" w:color="auto"/>
              <w:right w:val="single" w:sz="4" w:space="0" w:color="auto"/>
            </w:tcBorders>
            <w:shd w:val="clear" w:color="auto" w:fill="99CCFF"/>
            <w:textDirection w:val="btLr"/>
            <w:vAlign w:val="center"/>
            <w:hideMark/>
          </w:tcPr>
          <w:p w14:paraId="712FEE07" w14:textId="77777777" w:rsidR="00E07660" w:rsidRPr="001B4CA2" w:rsidRDefault="00E07660" w:rsidP="00E07660">
            <w:pPr>
              <w:jc w:val="left"/>
              <w:rPr>
                <w:sz w:val="14"/>
                <w:szCs w:val="14"/>
              </w:rPr>
            </w:pPr>
            <w:r w:rsidRPr="001B4CA2">
              <w:rPr>
                <w:sz w:val="14"/>
                <w:szCs w:val="14"/>
              </w:rPr>
              <w:t>Vrijednost (u tis. kn)</w:t>
            </w:r>
            <w:r w:rsidRPr="001B4CA2">
              <w:rPr>
                <w:sz w:val="14"/>
                <w:szCs w:val="14"/>
              </w:rPr>
              <w:br/>
            </w:r>
          </w:p>
        </w:tc>
        <w:tc>
          <w:tcPr>
            <w:tcW w:w="197" w:type="pct"/>
            <w:tcBorders>
              <w:top w:val="nil"/>
              <w:left w:val="nil"/>
              <w:bottom w:val="single" w:sz="4" w:space="0" w:color="auto"/>
              <w:right w:val="single" w:sz="4" w:space="0" w:color="auto"/>
            </w:tcBorders>
            <w:shd w:val="clear" w:color="auto" w:fill="99CCFF"/>
            <w:textDirection w:val="btLr"/>
            <w:vAlign w:val="center"/>
            <w:hideMark/>
          </w:tcPr>
          <w:p w14:paraId="56CB740F" w14:textId="77777777" w:rsidR="00E07660" w:rsidRPr="001B4CA2" w:rsidRDefault="00E07660" w:rsidP="00E07660">
            <w:pPr>
              <w:jc w:val="left"/>
              <w:rPr>
                <w:sz w:val="14"/>
                <w:szCs w:val="14"/>
              </w:rPr>
            </w:pPr>
            <w:r w:rsidRPr="001B4CA2">
              <w:rPr>
                <w:sz w:val="14"/>
                <w:szCs w:val="14"/>
              </w:rPr>
              <w:t>Broj zahtjeva</w:t>
            </w:r>
          </w:p>
        </w:tc>
        <w:tc>
          <w:tcPr>
            <w:tcW w:w="198" w:type="pct"/>
            <w:tcBorders>
              <w:top w:val="nil"/>
              <w:left w:val="nil"/>
              <w:bottom w:val="single" w:sz="4" w:space="0" w:color="auto"/>
              <w:right w:val="single" w:sz="4" w:space="0" w:color="auto"/>
            </w:tcBorders>
            <w:shd w:val="clear" w:color="auto" w:fill="99CCFF"/>
            <w:textDirection w:val="btLr"/>
            <w:vAlign w:val="center"/>
            <w:hideMark/>
          </w:tcPr>
          <w:p w14:paraId="5630447B" w14:textId="77777777" w:rsidR="00E07660" w:rsidRPr="001B4CA2" w:rsidRDefault="00E07660" w:rsidP="00E07660">
            <w:pPr>
              <w:jc w:val="left"/>
              <w:rPr>
                <w:sz w:val="14"/>
                <w:szCs w:val="14"/>
              </w:rPr>
            </w:pPr>
            <w:r w:rsidRPr="001B4CA2">
              <w:rPr>
                <w:sz w:val="14"/>
                <w:szCs w:val="14"/>
              </w:rPr>
              <w:t>Broj sklopljenih nagodbi</w:t>
            </w:r>
          </w:p>
        </w:tc>
        <w:tc>
          <w:tcPr>
            <w:tcW w:w="208" w:type="pct"/>
            <w:tcBorders>
              <w:top w:val="nil"/>
              <w:left w:val="nil"/>
              <w:bottom w:val="single" w:sz="4" w:space="0" w:color="auto"/>
              <w:right w:val="single" w:sz="4" w:space="0" w:color="auto"/>
            </w:tcBorders>
            <w:shd w:val="clear" w:color="auto" w:fill="99CCFF"/>
            <w:textDirection w:val="btLr"/>
            <w:vAlign w:val="center"/>
            <w:hideMark/>
          </w:tcPr>
          <w:p w14:paraId="14C00524" w14:textId="77777777" w:rsidR="00E07660" w:rsidRPr="001B4CA2" w:rsidRDefault="00E07660" w:rsidP="00E07660">
            <w:pPr>
              <w:jc w:val="left"/>
              <w:rPr>
                <w:sz w:val="14"/>
                <w:szCs w:val="14"/>
              </w:rPr>
            </w:pPr>
            <w:r w:rsidRPr="001B4CA2">
              <w:rPr>
                <w:bCs/>
                <w:sz w:val="14"/>
                <w:szCs w:val="14"/>
              </w:rPr>
              <w:t>% sklopljenih nagodbi u odnosu na broj podnesenih zahtjeva</w:t>
            </w:r>
          </w:p>
        </w:tc>
        <w:tc>
          <w:tcPr>
            <w:tcW w:w="220" w:type="pct"/>
            <w:tcBorders>
              <w:top w:val="nil"/>
              <w:left w:val="nil"/>
              <w:bottom w:val="single" w:sz="4" w:space="0" w:color="auto"/>
              <w:right w:val="single" w:sz="4" w:space="0" w:color="auto"/>
            </w:tcBorders>
            <w:shd w:val="clear" w:color="auto" w:fill="99CCFF"/>
            <w:textDirection w:val="btLr"/>
            <w:vAlign w:val="center"/>
            <w:hideMark/>
          </w:tcPr>
          <w:p w14:paraId="2592037B" w14:textId="77777777" w:rsidR="00E07660" w:rsidRPr="001B4CA2" w:rsidRDefault="00E07660" w:rsidP="00E07660">
            <w:pPr>
              <w:jc w:val="left"/>
              <w:rPr>
                <w:sz w:val="14"/>
                <w:szCs w:val="14"/>
              </w:rPr>
            </w:pPr>
            <w:r w:rsidRPr="001B4CA2">
              <w:rPr>
                <w:sz w:val="14"/>
                <w:szCs w:val="14"/>
              </w:rPr>
              <w:t>Vrijednost (u tis. kn)</w:t>
            </w:r>
            <w:r w:rsidRPr="001B4CA2">
              <w:rPr>
                <w:sz w:val="14"/>
                <w:szCs w:val="14"/>
              </w:rPr>
              <w:br/>
            </w:r>
          </w:p>
        </w:tc>
        <w:tc>
          <w:tcPr>
            <w:tcW w:w="146" w:type="pct"/>
            <w:tcBorders>
              <w:top w:val="nil"/>
              <w:left w:val="nil"/>
              <w:bottom w:val="single" w:sz="4" w:space="0" w:color="auto"/>
              <w:right w:val="single" w:sz="4" w:space="0" w:color="auto"/>
            </w:tcBorders>
            <w:shd w:val="clear" w:color="auto" w:fill="99CCFF"/>
            <w:textDirection w:val="btLr"/>
            <w:vAlign w:val="center"/>
            <w:hideMark/>
          </w:tcPr>
          <w:p w14:paraId="6D9C5182" w14:textId="77777777" w:rsidR="00E07660" w:rsidRPr="001B4CA2" w:rsidRDefault="00E07660" w:rsidP="00E07660">
            <w:pPr>
              <w:jc w:val="left"/>
              <w:rPr>
                <w:sz w:val="14"/>
                <w:szCs w:val="14"/>
              </w:rPr>
            </w:pPr>
            <w:r w:rsidRPr="001B4CA2">
              <w:rPr>
                <w:sz w:val="14"/>
                <w:szCs w:val="14"/>
              </w:rPr>
              <w:t>Broj zahtjeva</w:t>
            </w:r>
          </w:p>
        </w:tc>
        <w:tc>
          <w:tcPr>
            <w:tcW w:w="146" w:type="pct"/>
            <w:tcBorders>
              <w:top w:val="nil"/>
              <w:left w:val="nil"/>
              <w:bottom w:val="single" w:sz="4" w:space="0" w:color="auto"/>
              <w:right w:val="single" w:sz="4" w:space="0" w:color="auto"/>
            </w:tcBorders>
            <w:shd w:val="clear" w:color="auto" w:fill="99CCFF"/>
            <w:textDirection w:val="btLr"/>
            <w:vAlign w:val="center"/>
            <w:hideMark/>
          </w:tcPr>
          <w:p w14:paraId="20EFE18A" w14:textId="77777777" w:rsidR="00E07660" w:rsidRPr="001B4CA2" w:rsidRDefault="00E07660" w:rsidP="00E07660">
            <w:pPr>
              <w:jc w:val="left"/>
              <w:rPr>
                <w:sz w:val="14"/>
                <w:szCs w:val="14"/>
              </w:rPr>
            </w:pPr>
            <w:r w:rsidRPr="001B4CA2">
              <w:rPr>
                <w:sz w:val="14"/>
                <w:szCs w:val="14"/>
              </w:rPr>
              <w:t>Broj sklopljenih nagodbi</w:t>
            </w:r>
          </w:p>
        </w:tc>
        <w:tc>
          <w:tcPr>
            <w:tcW w:w="175" w:type="pct"/>
            <w:tcBorders>
              <w:top w:val="nil"/>
              <w:left w:val="nil"/>
              <w:bottom w:val="single" w:sz="4" w:space="0" w:color="auto"/>
              <w:right w:val="single" w:sz="4" w:space="0" w:color="auto"/>
            </w:tcBorders>
            <w:shd w:val="clear" w:color="auto" w:fill="99CCFF"/>
            <w:textDirection w:val="btLr"/>
            <w:vAlign w:val="center"/>
            <w:hideMark/>
          </w:tcPr>
          <w:p w14:paraId="2DAC219B" w14:textId="77777777" w:rsidR="00E07660" w:rsidRPr="001B4CA2" w:rsidRDefault="00E07660" w:rsidP="00E07660">
            <w:pPr>
              <w:jc w:val="left"/>
              <w:rPr>
                <w:sz w:val="14"/>
                <w:szCs w:val="14"/>
              </w:rPr>
            </w:pPr>
            <w:r w:rsidRPr="001B4CA2">
              <w:rPr>
                <w:sz w:val="14"/>
                <w:szCs w:val="14"/>
              </w:rPr>
              <w:t>%% sklopljenih nagodbi u odnosu na broj podnesenih zahtjeva</w:t>
            </w:r>
          </w:p>
        </w:tc>
        <w:tc>
          <w:tcPr>
            <w:tcW w:w="183" w:type="pct"/>
            <w:tcBorders>
              <w:top w:val="nil"/>
              <w:left w:val="nil"/>
              <w:bottom w:val="single" w:sz="4" w:space="0" w:color="auto"/>
              <w:right w:val="single" w:sz="4" w:space="0" w:color="auto"/>
            </w:tcBorders>
            <w:shd w:val="clear" w:color="auto" w:fill="99CCFF"/>
            <w:textDirection w:val="btLr"/>
            <w:vAlign w:val="center"/>
            <w:hideMark/>
          </w:tcPr>
          <w:p w14:paraId="3F92132C" w14:textId="72350795" w:rsidR="00E07660" w:rsidRPr="001B4CA2" w:rsidRDefault="00E07660" w:rsidP="00E07660">
            <w:pPr>
              <w:jc w:val="left"/>
              <w:rPr>
                <w:sz w:val="14"/>
                <w:szCs w:val="14"/>
              </w:rPr>
            </w:pPr>
            <w:r w:rsidRPr="001B4CA2">
              <w:rPr>
                <w:sz w:val="14"/>
                <w:szCs w:val="14"/>
              </w:rPr>
              <w:t>Vrijednost</w:t>
            </w:r>
            <w:r w:rsidR="001B4CA2">
              <w:rPr>
                <w:sz w:val="14"/>
                <w:szCs w:val="14"/>
              </w:rPr>
              <w:t xml:space="preserve"> </w:t>
            </w:r>
            <w:r w:rsidRPr="001B4CA2">
              <w:rPr>
                <w:sz w:val="14"/>
                <w:szCs w:val="14"/>
              </w:rPr>
              <w:t>(u tis. kn)</w:t>
            </w:r>
            <w:r w:rsidRPr="001B4CA2">
              <w:rPr>
                <w:sz w:val="14"/>
                <w:szCs w:val="14"/>
              </w:rPr>
              <w:br/>
            </w:r>
          </w:p>
        </w:tc>
        <w:tc>
          <w:tcPr>
            <w:tcW w:w="170"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61F64CFC" w14:textId="77777777" w:rsidR="00E07660" w:rsidRPr="001B4CA2" w:rsidRDefault="00E07660" w:rsidP="00E07660">
            <w:pPr>
              <w:jc w:val="left"/>
              <w:rPr>
                <w:bCs/>
                <w:sz w:val="14"/>
                <w:szCs w:val="14"/>
              </w:rPr>
            </w:pPr>
            <w:r w:rsidRPr="001B4CA2">
              <w:rPr>
                <w:bCs/>
                <w:sz w:val="14"/>
                <w:szCs w:val="14"/>
              </w:rPr>
              <w:t>Broj zahtjeva</w:t>
            </w:r>
          </w:p>
        </w:tc>
        <w:tc>
          <w:tcPr>
            <w:tcW w:w="198" w:type="pct"/>
            <w:tcBorders>
              <w:top w:val="single" w:sz="4" w:space="0" w:color="auto"/>
              <w:left w:val="nil"/>
              <w:bottom w:val="single" w:sz="4" w:space="0" w:color="auto"/>
              <w:right w:val="single" w:sz="4" w:space="0" w:color="auto"/>
            </w:tcBorders>
            <w:shd w:val="clear" w:color="auto" w:fill="99CCFF"/>
            <w:textDirection w:val="btLr"/>
            <w:vAlign w:val="center"/>
            <w:hideMark/>
          </w:tcPr>
          <w:p w14:paraId="40F43CC2" w14:textId="77777777" w:rsidR="00E07660" w:rsidRPr="001B4CA2" w:rsidRDefault="00E07660" w:rsidP="00E07660">
            <w:pPr>
              <w:jc w:val="left"/>
              <w:rPr>
                <w:bCs/>
                <w:sz w:val="14"/>
                <w:szCs w:val="14"/>
              </w:rPr>
            </w:pPr>
            <w:r w:rsidRPr="001B4CA2">
              <w:rPr>
                <w:sz w:val="14"/>
                <w:szCs w:val="14"/>
              </w:rPr>
              <w:t>Broj sklopljenih nagodbi</w:t>
            </w:r>
          </w:p>
        </w:tc>
        <w:tc>
          <w:tcPr>
            <w:tcW w:w="252" w:type="pct"/>
            <w:tcBorders>
              <w:top w:val="single" w:sz="4" w:space="0" w:color="auto"/>
              <w:left w:val="nil"/>
              <w:bottom w:val="single" w:sz="4" w:space="0" w:color="auto"/>
              <w:right w:val="single" w:sz="4" w:space="0" w:color="auto"/>
            </w:tcBorders>
            <w:shd w:val="clear" w:color="auto" w:fill="99CCFF"/>
            <w:textDirection w:val="btLr"/>
            <w:vAlign w:val="center"/>
          </w:tcPr>
          <w:p w14:paraId="74CBB6D0" w14:textId="7770CE3F" w:rsidR="00E07660" w:rsidRPr="001B4CA2" w:rsidRDefault="00E07660" w:rsidP="00E07660">
            <w:pPr>
              <w:jc w:val="left"/>
              <w:rPr>
                <w:sz w:val="14"/>
                <w:szCs w:val="14"/>
              </w:rPr>
            </w:pPr>
            <w:r w:rsidRPr="001B4CA2">
              <w:rPr>
                <w:bCs/>
                <w:sz w:val="14"/>
                <w:szCs w:val="14"/>
              </w:rPr>
              <w:t xml:space="preserve">% sklopljenih nagodbi u odnosu na broj podnesenih </w:t>
            </w:r>
            <w:r w:rsidRPr="001B4CA2">
              <w:rPr>
                <w:sz w:val="14"/>
                <w:szCs w:val="14"/>
              </w:rPr>
              <w:t>zahtjeva</w:t>
            </w:r>
          </w:p>
        </w:tc>
        <w:tc>
          <w:tcPr>
            <w:tcW w:w="253" w:type="pct"/>
            <w:tcBorders>
              <w:top w:val="single" w:sz="4" w:space="0" w:color="auto"/>
              <w:left w:val="single" w:sz="4" w:space="0" w:color="auto"/>
              <w:bottom w:val="single" w:sz="4" w:space="0" w:color="auto"/>
              <w:right w:val="single" w:sz="4" w:space="0" w:color="auto"/>
            </w:tcBorders>
            <w:shd w:val="clear" w:color="auto" w:fill="99CCFF"/>
            <w:textDirection w:val="btLr"/>
            <w:vAlign w:val="center"/>
          </w:tcPr>
          <w:p w14:paraId="46314FAF" w14:textId="77777777" w:rsidR="00E07660" w:rsidRPr="001B4CA2" w:rsidRDefault="00E07660" w:rsidP="00E07660">
            <w:pPr>
              <w:jc w:val="left"/>
              <w:rPr>
                <w:bCs/>
                <w:sz w:val="14"/>
                <w:szCs w:val="14"/>
              </w:rPr>
            </w:pPr>
            <w:r w:rsidRPr="001B4CA2">
              <w:rPr>
                <w:bCs/>
                <w:sz w:val="14"/>
                <w:szCs w:val="14"/>
              </w:rPr>
              <w:br/>
              <w:t>Vrijednost sklopljenih nagodbi(u tis. kn)</w:t>
            </w:r>
          </w:p>
        </w:tc>
      </w:tr>
      <w:tr w:rsidR="00FB2B5D" w:rsidRPr="001B4CA2" w14:paraId="21807F2A"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3AF998DE" w14:textId="77777777" w:rsidR="00E07660" w:rsidRPr="001B4CA2" w:rsidRDefault="00E07660" w:rsidP="00E07660">
            <w:pPr>
              <w:jc w:val="left"/>
              <w:rPr>
                <w:bCs/>
                <w:sz w:val="16"/>
                <w:szCs w:val="16"/>
              </w:rPr>
            </w:pPr>
            <w:r w:rsidRPr="001B4CA2">
              <w:rPr>
                <w:bCs/>
                <w:sz w:val="16"/>
                <w:szCs w:val="16"/>
              </w:rPr>
              <w:t>Republika Hrvatska</w:t>
            </w:r>
          </w:p>
        </w:tc>
        <w:tc>
          <w:tcPr>
            <w:tcW w:w="195" w:type="pct"/>
            <w:tcBorders>
              <w:top w:val="nil"/>
              <w:left w:val="nil"/>
              <w:bottom w:val="single" w:sz="4" w:space="0" w:color="auto"/>
              <w:right w:val="single" w:sz="4" w:space="0" w:color="auto"/>
            </w:tcBorders>
            <w:shd w:val="clear" w:color="auto" w:fill="auto"/>
            <w:noWrap/>
            <w:vAlign w:val="center"/>
          </w:tcPr>
          <w:p w14:paraId="146A6062"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11</w:t>
            </w:r>
          </w:p>
        </w:tc>
        <w:tc>
          <w:tcPr>
            <w:tcW w:w="157" w:type="pct"/>
            <w:tcBorders>
              <w:top w:val="nil"/>
              <w:left w:val="nil"/>
              <w:bottom w:val="single" w:sz="4" w:space="0" w:color="auto"/>
              <w:right w:val="single" w:sz="4" w:space="0" w:color="auto"/>
            </w:tcBorders>
            <w:shd w:val="clear" w:color="auto" w:fill="auto"/>
            <w:noWrap/>
            <w:vAlign w:val="center"/>
          </w:tcPr>
          <w:p w14:paraId="50003A03"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3</w:t>
            </w:r>
          </w:p>
        </w:tc>
        <w:tc>
          <w:tcPr>
            <w:tcW w:w="157" w:type="pct"/>
            <w:tcBorders>
              <w:top w:val="nil"/>
              <w:left w:val="nil"/>
              <w:bottom w:val="single" w:sz="4" w:space="0" w:color="auto"/>
              <w:right w:val="single" w:sz="4" w:space="0" w:color="auto"/>
            </w:tcBorders>
            <w:shd w:val="clear" w:color="auto" w:fill="auto"/>
            <w:noWrap/>
            <w:vAlign w:val="center"/>
          </w:tcPr>
          <w:p w14:paraId="33BE5796"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2832EECF"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810</w:t>
            </w:r>
          </w:p>
        </w:tc>
        <w:tc>
          <w:tcPr>
            <w:tcW w:w="196" w:type="pct"/>
            <w:tcBorders>
              <w:top w:val="nil"/>
              <w:left w:val="nil"/>
              <w:bottom w:val="single" w:sz="4" w:space="0" w:color="auto"/>
              <w:right w:val="single" w:sz="4" w:space="0" w:color="auto"/>
            </w:tcBorders>
            <w:shd w:val="clear" w:color="auto" w:fill="auto"/>
            <w:noWrap/>
            <w:vAlign w:val="center"/>
          </w:tcPr>
          <w:p w14:paraId="45004275"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19</w:t>
            </w:r>
          </w:p>
        </w:tc>
        <w:tc>
          <w:tcPr>
            <w:tcW w:w="157" w:type="pct"/>
            <w:tcBorders>
              <w:top w:val="nil"/>
              <w:left w:val="nil"/>
              <w:bottom w:val="single" w:sz="4" w:space="0" w:color="auto"/>
              <w:right w:val="single" w:sz="4" w:space="0" w:color="auto"/>
            </w:tcBorders>
            <w:shd w:val="clear" w:color="auto" w:fill="auto"/>
            <w:noWrap/>
            <w:vAlign w:val="center"/>
          </w:tcPr>
          <w:p w14:paraId="36025261"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11</w:t>
            </w:r>
          </w:p>
        </w:tc>
        <w:tc>
          <w:tcPr>
            <w:tcW w:w="197" w:type="pct"/>
            <w:tcBorders>
              <w:top w:val="nil"/>
              <w:left w:val="nil"/>
              <w:bottom w:val="single" w:sz="4" w:space="0" w:color="auto"/>
              <w:right w:val="single" w:sz="4" w:space="0" w:color="auto"/>
            </w:tcBorders>
            <w:shd w:val="clear" w:color="auto" w:fill="auto"/>
            <w:noWrap/>
            <w:vAlign w:val="center"/>
          </w:tcPr>
          <w:p w14:paraId="121F1ED8"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bottom"/>
          </w:tcPr>
          <w:p w14:paraId="4EEF0282"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20.569</w:t>
            </w:r>
          </w:p>
          <w:p w14:paraId="42401E5A"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30D93677"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tcPr>
          <w:p w14:paraId="180B4FEB"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4</w:t>
            </w:r>
          </w:p>
        </w:tc>
        <w:tc>
          <w:tcPr>
            <w:tcW w:w="208" w:type="pct"/>
            <w:tcBorders>
              <w:top w:val="nil"/>
              <w:left w:val="nil"/>
              <w:bottom w:val="single" w:sz="4" w:space="0" w:color="auto"/>
              <w:right w:val="single" w:sz="4" w:space="0" w:color="auto"/>
            </w:tcBorders>
            <w:shd w:val="clear" w:color="auto" w:fill="auto"/>
            <w:noWrap/>
            <w:vAlign w:val="center"/>
          </w:tcPr>
          <w:p w14:paraId="0505B84D"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477C11DA"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616</w:t>
            </w:r>
          </w:p>
        </w:tc>
        <w:tc>
          <w:tcPr>
            <w:tcW w:w="146" w:type="pct"/>
            <w:tcBorders>
              <w:top w:val="nil"/>
              <w:left w:val="nil"/>
              <w:bottom w:val="single" w:sz="4" w:space="0" w:color="auto"/>
              <w:right w:val="single" w:sz="4" w:space="0" w:color="auto"/>
            </w:tcBorders>
            <w:shd w:val="clear" w:color="auto" w:fill="auto"/>
            <w:noWrap/>
            <w:vAlign w:val="center"/>
          </w:tcPr>
          <w:p w14:paraId="7DC5B4A7"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w:t>
            </w:r>
          </w:p>
        </w:tc>
        <w:tc>
          <w:tcPr>
            <w:tcW w:w="146" w:type="pct"/>
            <w:tcBorders>
              <w:top w:val="nil"/>
              <w:left w:val="nil"/>
              <w:bottom w:val="single" w:sz="4" w:space="0" w:color="auto"/>
              <w:right w:val="single" w:sz="4" w:space="0" w:color="auto"/>
            </w:tcBorders>
            <w:shd w:val="clear" w:color="auto" w:fill="auto"/>
            <w:noWrap/>
            <w:vAlign w:val="center"/>
          </w:tcPr>
          <w:p w14:paraId="24B0706B"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1FD57531"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5AFD94BE"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4D4022DA"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36</w:t>
            </w:r>
          </w:p>
        </w:tc>
        <w:tc>
          <w:tcPr>
            <w:tcW w:w="198" w:type="pct"/>
            <w:tcBorders>
              <w:top w:val="nil"/>
              <w:left w:val="nil"/>
              <w:bottom w:val="single" w:sz="4" w:space="0" w:color="auto"/>
              <w:right w:val="single" w:sz="4" w:space="0" w:color="auto"/>
            </w:tcBorders>
            <w:shd w:val="clear" w:color="auto" w:fill="auto"/>
            <w:noWrap/>
            <w:vAlign w:val="center"/>
          </w:tcPr>
          <w:p w14:paraId="3085D944"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18</w:t>
            </w:r>
          </w:p>
        </w:tc>
        <w:tc>
          <w:tcPr>
            <w:tcW w:w="252" w:type="pct"/>
            <w:tcBorders>
              <w:top w:val="single" w:sz="4" w:space="0" w:color="auto"/>
              <w:left w:val="nil"/>
              <w:bottom w:val="single" w:sz="4" w:space="0" w:color="auto"/>
              <w:right w:val="single" w:sz="4" w:space="0" w:color="auto"/>
            </w:tcBorders>
            <w:vAlign w:val="center"/>
          </w:tcPr>
          <w:p w14:paraId="19ECD7E7"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E23765C"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21.994</w:t>
            </w:r>
          </w:p>
        </w:tc>
      </w:tr>
      <w:tr w:rsidR="00FB2B5D" w:rsidRPr="001B4CA2" w14:paraId="63374F1E"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599B3CA2" w14:textId="050D387E" w:rsidR="00E07660" w:rsidRPr="001B4CA2" w:rsidRDefault="00E07660" w:rsidP="00E07660">
            <w:pPr>
              <w:jc w:val="left"/>
              <w:rPr>
                <w:bCs/>
                <w:sz w:val="16"/>
                <w:szCs w:val="16"/>
              </w:rPr>
            </w:pPr>
            <w:r w:rsidRPr="001B4CA2">
              <w:rPr>
                <w:bCs/>
                <w:sz w:val="16"/>
                <w:szCs w:val="16"/>
              </w:rPr>
              <w:t>Ministarstvo pravosuđa i</w:t>
            </w:r>
            <w:r w:rsidR="001B4CA2">
              <w:rPr>
                <w:bCs/>
                <w:sz w:val="16"/>
                <w:szCs w:val="16"/>
              </w:rPr>
              <w:t xml:space="preserve"> </w:t>
            </w:r>
            <w:r w:rsidRPr="001B4CA2">
              <w:rPr>
                <w:bCs/>
                <w:sz w:val="16"/>
                <w:szCs w:val="16"/>
              </w:rPr>
              <w:t xml:space="preserve">uprave </w:t>
            </w:r>
          </w:p>
        </w:tc>
        <w:tc>
          <w:tcPr>
            <w:tcW w:w="195" w:type="pct"/>
            <w:tcBorders>
              <w:top w:val="nil"/>
              <w:left w:val="nil"/>
              <w:bottom w:val="single" w:sz="4" w:space="0" w:color="auto"/>
              <w:right w:val="single" w:sz="4" w:space="0" w:color="auto"/>
            </w:tcBorders>
            <w:shd w:val="clear" w:color="auto" w:fill="auto"/>
            <w:noWrap/>
            <w:vAlign w:val="center"/>
          </w:tcPr>
          <w:p w14:paraId="3371EC8B"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348C543B"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06883D12"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339B82A7"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6FF01376"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w:t>
            </w:r>
          </w:p>
        </w:tc>
        <w:tc>
          <w:tcPr>
            <w:tcW w:w="157" w:type="pct"/>
            <w:tcBorders>
              <w:top w:val="nil"/>
              <w:left w:val="nil"/>
              <w:bottom w:val="single" w:sz="4" w:space="0" w:color="auto"/>
              <w:right w:val="single" w:sz="4" w:space="0" w:color="auto"/>
            </w:tcBorders>
            <w:shd w:val="clear" w:color="auto" w:fill="auto"/>
            <w:noWrap/>
            <w:vAlign w:val="center"/>
          </w:tcPr>
          <w:p w14:paraId="68278B0E" w14:textId="77777777" w:rsidR="00E07660" w:rsidRPr="001B4CA2" w:rsidRDefault="00E07660" w:rsidP="00E07660">
            <w:pPr>
              <w:jc w:val="center"/>
              <w:rPr>
                <w:rFonts w:ascii="Calibri" w:hAnsi="Calibri" w:cs="Calibri"/>
                <w:color w:val="000000"/>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500E7539"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55B3DD14"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70352C24"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42EB6627"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5BBAB06C"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240EF94D"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6D7EBF2F"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w:t>
            </w:r>
          </w:p>
        </w:tc>
        <w:tc>
          <w:tcPr>
            <w:tcW w:w="146" w:type="pct"/>
            <w:tcBorders>
              <w:top w:val="nil"/>
              <w:left w:val="nil"/>
              <w:bottom w:val="single" w:sz="4" w:space="0" w:color="auto"/>
              <w:right w:val="single" w:sz="4" w:space="0" w:color="auto"/>
            </w:tcBorders>
            <w:shd w:val="clear" w:color="auto" w:fill="auto"/>
            <w:noWrap/>
            <w:vAlign w:val="center"/>
          </w:tcPr>
          <w:p w14:paraId="32796177"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759CE194"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1E86D252"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353F4877"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2</w:t>
            </w:r>
          </w:p>
        </w:tc>
        <w:tc>
          <w:tcPr>
            <w:tcW w:w="198" w:type="pct"/>
            <w:tcBorders>
              <w:top w:val="nil"/>
              <w:left w:val="nil"/>
              <w:bottom w:val="single" w:sz="4" w:space="0" w:color="auto"/>
              <w:right w:val="single" w:sz="4" w:space="0" w:color="auto"/>
            </w:tcBorders>
            <w:shd w:val="clear" w:color="auto" w:fill="auto"/>
            <w:noWrap/>
            <w:vAlign w:val="center"/>
          </w:tcPr>
          <w:p w14:paraId="57CBCB4E" w14:textId="77777777" w:rsidR="00E07660" w:rsidRPr="001B4CA2" w:rsidRDefault="00E07660" w:rsidP="00E07660">
            <w:pPr>
              <w:jc w:val="center"/>
              <w:rPr>
                <w:rFonts w:ascii="Calibri" w:hAnsi="Calibri" w:cs="Calibri"/>
                <w:bCs/>
                <w:color w:val="000000"/>
                <w:sz w:val="20"/>
                <w:szCs w:val="20"/>
              </w:rPr>
            </w:pPr>
          </w:p>
        </w:tc>
        <w:tc>
          <w:tcPr>
            <w:tcW w:w="252" w:type="pct"/>
            <w:tcBorders>
              <w:top w:val="single" w:sz="4" w:space="0" w:color="auto"/>
              <w:left w:val="nil"/>
              <w:bottom w:val="single" w:sz="4" w:space="0" w:color="auto"/>
              <w:right w:val="single" w:sz="4" w:space="0" w:color="auto"/>
            </w:tcBorders>
            <w:vAlign w:val="center"/>
          </w:tcPr>
          <w:p w14:paraId="40435384"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1E7C32B" w14:textId="77777777" w:rsidR="00E07660" w:rsidRPr="001B4CA2" w:rsidRDefault="00E07660" w:rsidP="00E07660">
            <w:pPr>
              <w:jc w:val="center"/>
              <w:rPr>
                <w:rFonts w:ascii="Calibri" w:hAnsi="Calibri" w:cs="Calibri"/>
                <w:sz w:val="20"/>
                <w:szCs w:val="20"/>
              </w:rPr>
            </w:pPr>
          </w:p>
        </w:tc>
      </w:tr>
      <w:tr w:rsidR="00FB2B5D" w:rsidRPr="001B4CA2" w14:paraId="1C4AA9D7"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5BE30D89" w14:textId="77777777" w:rsidR="00E07660" w:rsidRPr="001B4CA2" w:rsidRDefault="00E07660" w:rsidP="00E07660">
            <w:pPr>
              <w:jc w:val="left"/>
              <w:rPr>
                <w:bCs/>
                <w:sz w:val="16"/>
                <w:szCs w:val="16"/>
              </w:rPr>
            </w:pPr>
            <w:r w:rsidRPr="001B4CA2">
              <w:rPr>
                <w:bCs/>
                <w:sz w:val="16"/>
                <w:szCs w:val="16"/>
              </w:rPr>
              <w:t>Ministarstvo zdravstva</w:t>
            </w:r>
          </w:p>
        </w:tc>
        <w:tc>
          <w:tcPr>
            <w:tcW w:w="195" w:type="pct"/>
            <w:tcBorders>
              <w:top w:val="nil"/>
              <w:left w:val="nil"/>
              <w:bottom w:val="single" w:sz="4" w:space="0" w:color="auto"/>
              <w:right w:val="single" w:sz="4" w:space="0" w:color="auto"/>
            </w:tcBorders>
            <w:shd w:val="clear" w:color="auto" w:fill="auto"/>
            <w:noWrap/>
            <w:vAlign w:val="center"/>
          </w:tcPr>
          <w:p w14:paraId="308B203B"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64603AA4"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5AB6A328"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2B9E1FDB"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6C38E4BB"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5DABC168" w14:textId="77777777" w:rsidR="00E07660" w:rsidRPr="001B4CA2" w:rsidRDefault="00E07660" w:rsidP="00E07660">
            <w:pPr>
              <w:jc w:val="center"/>
              <w:rPr>
                <w:rFonts w:ascii="Calibri" w:hAnsi="Calibri" w:cs="Calibri"/>
                <w:color w:val="000000"/>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2127AD24"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0A2A094F"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09B3DD44"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543C2AB5"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233F33A7"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4AAD5599"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76B9B6CE"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4DA6F013"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1854F0D5"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0DA7CC63"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79589D7F" w14:textId="77777777" w:rsidR="00E07660" w:rsidRPr="001B4CA2" w:rsidRDefault="00E07660" w:rsidP="00E07660">
            <w:pPr>
              <w:jc w:val="center"/>
              <w:rPr>
                <w:rFonts w:ascii="Calibri" w:hAnsi="Calibri" w:cs="Calibri"/>
                <w:bCs/>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579EFF6E" w14:textId="77777777" w:rsidR="00E07660" w:rsidRPr="001B4CA2" w:rsidRDefault="00E07660" w:rsidP="00E07660">
            <w:pPr>
              <w:jc w:val="center"/>
              <w:rPr>
                <w:rFonts w:ascii="Calibri" w:hAnsi="Calibri" w:cs="Calibri"/>
                <w:bCs/>
                <w:color w:val="000000"/>
                <w:sz w:val="20"/>
                <w:szCs w:val="20"/>
              </w:rPr>
            </w:pPr>
          </w:p>
        </w:tc>
        <w:tc>
          <w:tcPr>
            <w:tcW w:w="252" w:type="pct"/>
            <w:tcBorders>
              <w:top w:val="single" w:sz="4" w:space="0" w:color="auto"/>
              <w:left w:val="nil"/>
              <w:bottom w:val="single" w:sz="4" w:space="0" w:color="auto"/>
              <w:right w:val="single" w:sz="4" w:space="0" w:color="auto"/>
            </w:tcBorders>
            <w:vAlign w:val="center"/>
          </w:tcPr>
          <w:p w14:paraId="09BA0731"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0B28950" w14:textId="77777777" w:rsidR="00E07660" w:rsidRPr="001B4CA2" w:rsidRDefault="00E07660" w:rsidP="00E07660">
            <w:pPr>
              <w:jc w:val="center"/>
              <w:rPr>
                <w:rFonts w:ascii="Calibri" w:hAnsi="Calibri" w:cs="Calibri"/>
                <w:sz w:val="20"/>
                <w:szCs w:val="20"/>
              </w:rPr>
            </w:pPr>
          </w:p>
        </w:tc>
      </w:tr>
      <w:tr w:rsidR="00FB2B5D" w:rsidRPr="001B4CA2" w14:paraId="3C23A644"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77626688" w14:textId="77777777" w:rsidR="00E07660" w:rsidRPr="001B4CA2" w:rsidRDefault="00E07660" w:rsidP="00E07660">
            <w:pPr>
              <w:jc w:val="left"/>
              <w:rPr>
                <w:bCs/>
                <w:sz w:val="16"/>
                <w:szCs w:val="16"/>
              </w:rPr>
            </w:pPr>
            <w:r w:rsidRPr="001B4CA2">
              <w:rPr>
                <w:bCs/>
                <w:sz w:val="16"/>
                <w:szCs w:val="16"/>
              </w:rPr>
              <w:t xml:space="preserve">Ministarstvo hrvatskih branitelja </w:t>
            </w:r>
          </w:p>
        </w:tc>
        <w:tc>
          <w:tcPr>
            <w:tcW w:w="195" w:type="pct"/>
            <w:tcBorders>
              <w:top w:val="nil"/>
              <w:left w:val="nil"/>
              <w:bottom w:val="single" w:sz="4" w:space="0" w:color="auto"/>
              <w:right w:val="single" w:sz="4" w:space="0" w:color="auto"/>
            </w:tcBorders>
            <w:shd w:val="clear" w:color="auto" w:fill="auto"/>
            <w:noWrap/>
            <w:vAlign w:val="center"/>
          </w:tcPr>
          <w:p w14:paraId="15046FE9"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664604E6"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2736E1CB"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7F80F458"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112ADEBD"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34AFBB6C" w14:textId="77777777" w:rsidR="00E07660" w:rsidRPr="001B4CA2" w:rsidRDefault="00E07660" w:rsidP="00E07660">
            <w:pPr>
              <w:jc w:val="center"/>
              <w:rPr>
                <w:rFonts w:ascii="Calibri" w:hAnsi="Calibri" w:cs="Calibri"/>
                <w:color w:val="000000"/>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54B5F201"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6311ED0C"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41BFD9A6"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780D8B8B"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AAF5652"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738F6752"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5F7BA554"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25828120"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1AA07AE6"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19978DF8"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662E1059" w14:textId="77777777" w:rsidR="00E07660" w:rsidRPr="001B4CA2" w:rsidRDefault="00E07660" w:rsidP="00E07660">
            <w:pPr>
              <w:jc w:val="center"/>
              <w:rPr>
                <w:rFonts w:ascii="Calibri" w:hAnsi="Calibri" w:cs="Calibri"/>
                <w:bCs/>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10361B73" w14:textId="77777777" w:rsidR="00E07660" w:rsidRPr="001B4CA2" w:rsidRDefault="00E07660" w:rsidP="00E07660">
            <w:pPr>
              <w:jc w:val="center"/>
              <w:rPr>
                <w:rFonts w:ascii="Calibri" w:hAnsi="Calibri" w:cs="Calibri"/>
                <w:bCs/>
                <w:color w:val="000000"/>
                <w:sz w:val="20"/>
                <w:szCs w:val="20"/>
              </w:rPr>
            </w:pPr>
          </w:p>
        </w:tc>
        <w:tc>
          <w:tcPr>
            <w:tcW w:w="252" w:type="pct"/>
            <w:tcBorders>
              <w:top w:val="single" w:sz="4" w:space="0" w:color="auto"/>
              <w:left w:val="nil"/>
              <w:bottom w:val="single" w:sz="4" w:space="0" w:color="auto"/>
              <w:right w:val="single" w:sz="4" w:space="0" w:color="auto"/>
            </w:tcBorders>
            <w:vAlign w:val="center"/>
          </w:tcPr>
          <w:p w14:paraId="06C7BA96"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74DBB9F" w14:textId="77777777" w:rsidR="00E07660" w:rsidRPr="001B4CA2" w:rsidRDefault="00E07660" w:rsidP="00E07660">
            <w:pPr>
              <w:jc w:val="center"/>
              <w:rPr>
                <w:rFonts w:ascii="Calibri" w:hAnsi="Calibri" w:cs="Calibri"/>
                <w:sz w:val="20"/>
                <w:szCs w:val="20"/>
              </w:rPr>
            </w:pPr>
          </w:p>
        </w:tc>
      </w:tr>
      <w:tr w:rsidR="00FB2B5D" w:rsidRPr="001B4CA2" w14:paraId="66E71FF4"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3EAE60EF" w14:textId="77777777" w:rsidR="00E07660" w:rsidRPr="001B4CA2" w:rsidRDefault="00E07660" w:rsidP="00E07660">
            <w:pPr>
              <w:jc w:val="left"/>
              <w:rPr>
                <w:bCs/>
                <w:sz w:val="16"/>
                <w:szCs w:val="16"/>
              </w:rPr>
            </w:pPr>
            <w:r w:rsidRPr="001B4CA2">
              <w:rPr>
                <w:bCs/>
                <w:sz w:val="16"/>
                <w:szCs w:val="16"/>
              </w:rPr>
              <w:t>Ministarstvo regionalnog razvoja i fondova EU</w:t>
            </w:r>
          </w:p>
        </w:tc>
        <w:tc>
          <w:tcPr>
            <w:tcW w:w="195" w:type="pct"/>
            <w:tcBorders>
              <w:top w:val="nil"/>
              <w:left w:val="nil"/>
              <w:bottom w:val="single" w:sz="4" w:space="0" w:color="auto"/>
              <w:right w:val="single" w:sz="4" w:space="0" w:color="auto"/>
            </w:tcBorders>
            <w:shd w:val="clear" w:color="auto" w:fill="auto"/>
            <w:noWrap/>
            <w:vAlign w:val="center"/>
          </w:tcPr>
          <w:p w14:paraId="42C98FAF"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499A04C4"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34B5A507"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3788BE82"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14014736"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1015AF1F" w14:textId="77777777" w:rsidR="00E07660" w:rsidRPr="001B4CA2" w:rsidRDefault="00E07660" w:rsidP="00E07660">
            <w:pPr>
              <w:jc w:val="center"/>
              <w:rPr>
                <w:rFonts w:ascii="Calibri" w:hAnsi="Calibri" w:cs="Calibri"/>
                <w:color w:val="000000"/>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2AEBFD33"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3A5D4533"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27348DCB"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26307D8A"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2D4CD3FA"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776CE42D"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277A81B1"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21CE3A25"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7F9964EB"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3AC19683"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2FB80545" w14:textId="77777777" w:rsidR="00E07660" w:rsidRPr="001B4CA2" w:rsidRDefault="00E07660" w:rsidP="00E07660">
            <w:pPr>
              <w:jc w:val="center"/>
              <w:rPr>
                <w:rFonts w:ascii="Calibri" w:hAnsi="Calibri" w:cs="Calibri"/>
                <w:bCs/>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41AEEE33" w14:textId="77777777" w:rsidR="00E07660" w:rsidRPr="001B4CA2" w:rsidRDefault="00E07660" w:rsidP="00E07660">
            <w:pPr>
              <w:jc w:val="center"/>
              <w:rPr>
                <w:rFonts w:ascii="Calibri" w:hAnsi="Calibri" w:cs="Calibri"/>
                <w:bCs/>
                <w:color w:val="000000"/>
                <w:sz w:val="20"/>
                <w:szCs w:val="20"/>
              </w:rPr>
            </w:pPr>
          </w:p>
        </w:tc>
        <w:tc>
          <w:tcPr>
            <w:tcW w:w="252" w:type="pct"/>
            <w:tcBorders>
              <w:top w:val="single" w:sz="4" w:space="0" w:color="auto"/>
              <w:left w:val="nil"/>
              <w:bottom w:val="single" w:sz="4" w:space="0" w:color="auto"/>
              <w:right w:val="single" w:sz="4" w:space="0" w:color="auto"/>
            </w:tcBorders>
            <w:vAlign w:val="center"/>
          </w:tcPr>
          <w:p w14:paraId="6EF4F4F7"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6668AC9" w14:textId="77777777" w:rsidR="00E07660" w:rsidRPr="001B4CA2" w:rsidRDefault="00E07660" w:rsidP="00E07660">
            <w:pPr>
              <w:jc w:val="center"/>
              <w:rPr>
                <w:rFonts w:ascii="Calibri" w:hAnsi="Calibri" w:cs="Calibri"/>
                <w:sz w:val="20"/>
                <w:szCs w:val="20"/>
              </w:rPr>
            </w:pPr>
          </w:p>
        </w:tc>
      </w:tr>
      <w:tr w:rsidR="00FB2B5D" w:rsidRPr="001B4CA2" w14:paraId="3B55E9CB"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4BC1B2CD" w14:textId="77777777" w:rsidR="00E07660" w:rsidRPr="001B4CA2" w:rsidRDefault="00E07660" w:rsidP="00E07660">
            <w:pPr>
              <w:jc w:val="left"/>
              <w:rPr>
                <w:bCs/>
                <w:sz w:val="16"/>
                <w:szCs w:val="16"/>
              </w:rPr>
            </w:pPr>
            <w:r w:rsidRPr="001B4CA2">
              <w:rPr>
                <w:bCs/>
                <w:sz w:val="16"/>
                <w:szCs w:val="16"/>
              </w:rPr>
              <w:t>Ministarstvo prostornoga uređenja, graditeljstva i državne imovine</w:t>
            </w:r>
          </w:p>
        </w:tc>
        <w:tc>
          <w:tcPr>
            <w:tcW w:w="195" w:type="pct"/>
            <w:tcBorders>
              <w:top w:val="nil"/>
              <w:left w:val="nil"/>
              <w:bottom w:val="single" w:sz="4" w:space="0" w:color="auto"/>
              <w:right w:val="single" w:sz="4" w:space="0" w:color="auto"/>
            </w:tcBorders>
            <w:shd w:val="clear" w:color="auto" w:fill="auto"/>
            <w:noWrap/>
            <w:vAlign w:val="center"/>
          </w:tcPr>
          <w:p w14:paraId="60F5302C"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26</w:t>
            </w:r>
          </w:p>
        </w:tc>
        <w:tc>
          <w:tcPr>
            <w:tcW w:w="157" w:type="pct"/>
            <w:tcBorders>
              <w:top w:val="nil"/>
              <w:left w:val="nil"/>
              <w:bottom w:val="single" w:sz="4" w:space="0" w:color="auto"/>
              <w:right w:val="single" w:sz="4" w:space="0" w:color="auto"/>
            </w:tcBorders>
            <w:shd w:val="clear" w:color="auto" w:fill="auto"/>
            <w:noWrap/>
            <w:vAlign w:val="center"/>
          </w:tcPr>
          <w:p w14:paraId="3945EFB0"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13</w:t>
            </w:r>
          </w:p>
        </w:tc>
        <w:tc>
          <w:tcPr>
            <w:tcW w:w="157" w:type="pct"/>
            <w:tcBorders>
              <w:top w:val="nil"/>
              <w:left w:val="nil"/>
              <w:bottom w:val="single" w:sz="4" w:space="0" w:color="auto"/>
              <w:right w:val="single" w:sz="4" w:space="0" w:color="auto"/>
            </w:tcBorders>
            <w:shd w:val="clear" w:color="auto" w:fill="auto"/>
            <w:noWrap/>
            <w:vAlign w:val="center"/>
          </w:tcPr>
          <w:p w14:paraId="4B08F566"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31BB2851"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598</w:t>
            </w:r>
          </w:p>
        </w:tc>
        <w:tc>
          <w:tcPr>
            <w:tcW w:w="196" w:type="pct"/>
            <w:tcBorders>
              <w:top w:val="nil"/>
              <w:left w:val="nil"/>
              <w:bottom w:val="single" w:sz="4" w:space="0" w:color="auto"/>
              <w:right w:val="single" w:sz="4" w:space="0" w:color="auto"/>
            </w:tcBorders>
            <w:shd w:val="clear" w:color="auto" w:fill="auto"/>
            <w:noWrap/>
            <w:vAlign w:val="center"/>
          </w:tcPr>
          <w:p w14:paraId="7406723B"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40</w:t>
            </w:r>
          </w:p>
        </w:tc>
        <w:tc>
          <w:tcPr>
            <w:tcW w:w="157" w:type="pct"/>
            <w:tcBorders>
              <w:top w:val="nil"/>
              <w:left w:val="nil"/>
              <w:bottom w:val="single" w:sz="4" w:space="0" w:color="auto"/>
              <w:right w:val="single" w:sz="4" w:space="0" w:color="auto"/>
            </w:tcBorders>
            <w:shd w:val="clear" w:color="auto" w:fill="auto"/>
            <w:noWrap/>
            <w:vAlign w:val="center"/>
          </w:tcPr>
          <w:p w14:paraId="3659343A"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14</w:t>
            </w:r>
          </w:p>
        </w:tc>
        <w:tc>
          <w:tcPr>
            <w:tcW w:w="197" w:type="pct"/>
            <w:tcBorders>
              <w:top w:val="nil"/>
              <w:left w:val="nil"/>
              <w:bottom w:val="single" w:sz="4" w:space="0" w:color="auto"/>
              <w:right w:val="single" w:sz="4" w:space="0" w:color="auto"/>
            </w:tcBorders>
            <w:shd w:val="clear" w:color="auto" w:fill="auto"/>
            <w:noWrap/>
            <w:vAlign w:val="center"/>
          </w:tcPr>
          <w:p w14:paraId="1735530A"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73BF626C"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3.188</w:t>
            </w:r>
          </w:p>
        </w:tc>
        <w:tc>
          <w:tcPr>
            <w:tcW w:w="197" w:type="pct"/>
            <w:tcBorders>
              <w:top w:val="nil"/>
              <w:left w:val="nil"/>
              <w:bottom w:val="single" w:sz="4" w:space="0" w:color="auto"/>
              <w:right w:val="single" w:sz="4" w:space="0" w:color="auto"/>
            </w:tcBorders>
            <w:shd w:val="clear" w:color="auto" w:fill="auto"/>
            <w:noWrap/>
            <w:vAlign w:val="center"/>
          </w:tcPr>
          <w:p w14:paraId="102FC77E"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center"/>
          </w:tcPr>
          <w:p w14:paraId="1404E2CD"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2</w:t>
            </w:r>
          </w:p>
        </w:tc>
        <w:tc>
          <w:tcPr>
            <w:tcW w:w="208" w:type="pct"/>
            <w:tcBorders>
              <w:top w:val="nil"/>
              <w:left w:val="nil"/>
              <w:bottom w:val="single" w:sz="4" w:space="0" w:color="auto"/>
              <w:right w:val="single" w:sz="4" w:space="0" w:color="auto"/>
            </w:tcBorders>
            <w:shd w:val="clear" w:color="auto" w:fill="auto"/>
            <w:noWrap/>
            <w:vAlign w:val="center"/>
          </w:tcPr>
          <w:p w14:paraId="1A7D8487"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5C51EF68"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614</w:t>
            </w:r>
          </w:p>
        </w:tc>
        <w:tc>
          <w:tcPr>
            <w:tcW w:w="146" w:type="pct"/>
            <w:tcBorders>
              <w:top w:val="nil"/>
              <w:left w:val="nil"/>
              <w:bottom w:val="single" w:sz="4" w:space="0" w:color="auto"/>
              <w:right w:val="single" w:sz="4" w:space="0" w:color="auto"/>
            </w:tcBorders>
            <w:shd w:val="clear" w:color="auto" w:fill="auto"/>
            <w:noWrap/>
            <w:vAlign w:val="center"/>
          </w:tcPr>
          <w:p w14:paraId="4E5A43BE"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w:t>
            </w:r>
          </w:p>
        </w:tc>
        <w:tc>
          <w:tcPr>
            <w:tcW w:w="146" w:type="pct"/>
            <w:tcBorders>
              <w:top w:val="nil"/>
              <w:left w:val="nil"/>
              <w:bottom w:val="single" w:sz="4" w:space="0" w:color="auto"/>
              <w:right w:val="single" w:sz="4" w:space="0" w:color="auto"/>
            </w:tcBorders>
            <w:shd w:val="clear" w:color="auto" w:fill="auto"/>
            <w:noWrap/>
            <w:vAlign w:val="center"/>
          </w:tcPr>
          <w:p w14:paraId="77E5BD7E"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43A37313"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708273BF"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579F4A0A"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71</w:t>
            </w:r>
          </w:p>
        </w:tc>
        <w:tc>
          <w:tcPr>
            <w:tcW w:w="198" w:type="pct"/>
            <w:tcBorders>
              <w:top w:val="nil"/>
              <w:left w:val="nil"/>
              <w:bottom w:val="single" w:sz="4" w:space="0" w:color="auto"/>
              <w:right w:val="single" w:sz="4" w:space="0" w:color="auto"/>
            </w:tcBorders>
            <w:shd w:val="clear" w:color="auto" w:fill="auto"/>
            <w:noWrap/>
            <w:vAlign w:val="center"/>
          </w:tcPr>
          <w:p w14:paraId="14E851F4"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29</w:t>
            </w:r>
          </w:p>
        </w:tc>
        <w:tc>
          <w:tcPr>
            <w:tcW w:w="252" w:type="pct"/>
            <w:tcBorders>
              <w:top w:val="single" w:sz="4" w:space="0" w:color="auto"/>
              <w:left w:val="nil"/>
              <w:bottom w:val="single" w:sz="4" w:space="0" w:color="auto"/>
              <w:right w:val="single" w:sz="4" w:space="0" w:color="auto"/>
            </w:tcBorders>
            <w:vAlign w:val="center"/>
          </w:tcPr>
          <w:p w14:paraId="2F9CBBD5"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ADEAB14"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4.401</w:t>
            </w:r>
          </w:p>
        </w:tc>
      </w:tr>
      <w:tr w:rsidR="00FB2B5D" w:rsidRPr="001B4CA2" w14:paraId="675946E6"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69F6EE2E" w14:textId="77777777" w:rsidR="00E07660" w:rsidRPr="001B4CA2" w:rsidRDefault="00E07660" w:rsidP="00E07660">
            <w:pPr>
              <w:jc w:val="left"/>
              <w:rPr>
                <w:bCs/>
                <w:sz w:val="16"/>
                <w:szCs w:val="16"/>
              </w:rPr>
            </w:pPr>
            <w:r w:rsidRPr="001B4CA2">
              <w:rPr>
                <w:bCs/>
                <w:sz w:val="16"/>
                <w:szCs w:val="16"/>
              </w:rPr>
              <w:t xml:space="preserve">Ministarstvo unutarnjih poslova </w:t>
            </w:r>
          </w:p>
        </w:tc>
        <w:tc>
          <w:tcPr>
            <w:tcW w:w="195" w:type="pct"/>
            <w:tcBorders>
              <w:top w:val="nil"/>
              <w:left w:val="nil"/>
              <w:bottom w:val="single" w:sz="4" w:space="0" w:color="auto"/>
              <w:right w:val="single" w:sz="4" w:space="0" w:color="auto"/>
            </w:tcBorders>
            <w:shd w:val="clear" w:color="auto" w:fill="auto"/>
            <w:noWrap/>
            <w:vAlign w:val="center"/>
          </w:tcPr>
          <w:p w14:paraId="411C47F5"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75015565"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4F360A43"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67348EDE"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6659D561"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1F5BD84F" w14:textId="77777777" w:rsidR="00E07660" w:rsidRPr="001B4CA2" w:rsidRDefault="00E07660" w:rsidP="00E07660">
            <w:pPr>
              <w:jc w:val="center"/>
              <w:rPr>
                <w:rFonts w:ascii="Calibri" w:hAnsi="Calibri" w:cs="Calibri"/>
                <w:color w:val="000000"/>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21862206"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31D3F30F"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2B2046BD"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9</w:t>
            </w:r>
          </w:p>
        </w:tc>
        <w:tc>
          <w:tcPr>
            <w:tcW w:w="198" w:type="pct"/>
            <w:tcBorders>
              <w:top w:val="nil"/>
              <w:left w:val="nil"/>
              <w:bottom w:val="single" w:sz="4" w:space="0" w:color="auto"/>
              <w:right w:val="single" w:sz="4" w:space="0" w:color="auto"/>
            </w:tcBorders>
            <w:shd w:val="clear" w:color="auto" w:fill="auto"/>
            <w:noWrap/>
            <w:vAlign w:val="center"/>
          </w:tcPr>
          <w:p w14:paraId="104694A8"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w:t>
            </w:r>
          </w:p>
        </w:tc>
        <w:tc>
          <w:tcPr>
            <w:tcW w:w="208" w:type="pct"/>
            <w:tcBorders>
              <w:top w:val="nil"/>
              <w:left w:val="nil"/>
              <w:bottom w:val="single" w:sz="4" w:space="0" w:color="auto"/>
              <w:right w:val="single" w:sz="4" w:space="0" w:color="auto"/>
            </w:tcBorders>
            <w:shd w:val="clear" w:color="auto" w:fill="auto"/>
            <w:noWrap/>
            <w:vAlign w:val="center"/>
          </w:tcPr>
          <w:p w14:paraId="7EC1BC41"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696017E6"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19</w:t>
            </w:r>
          </w:p>
        </w:tc>
        <w:tc>
          <w:tcPr>
            <w:tcW w:w="146" w:type="pct"/>
            <w:tcBorders>
              <w:top w:val="nil"/>
              <w:left w:val="nil"/>
              <w:bottom w:val="single" w:sz="4" w:space="0" w:color="auto"/>
              <w:right w:val="single" w:sz="4" w:space="0" w:color="auto"/>
            </w:tcBorders>
            <w:shd w:val="clear" w:color="auto" w:fill="auto"/>
            <w:noWrap/>
            <w:vAlign w:val="center"/>
          </w:tcPr>
          <w:p w14:paraId="2681D05C"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5D233249"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2A4D04B2"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67B9E2E6"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61428145"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9</w:t>
            </w:r>
          </w:p>
        </w:tc>
        <w:tc>
          <w:tcPr>
            <w:tcW w:w="198" w:type="pct"/>
            <w:tcBorders>
              <w:top w:val="nil"/>
              <w:left w:val="nil"/>
              <w:bottom w:val="single" w:sz="4" w:space="0" w:color="auto"/>
              <w:right w:val="single" w:sz="4" w:space="0" w:color="auto"/>
            </w:tcBorders>
            <w:shd w:val="clear" w:color="auto" w:fill="auto"/>
            <w:noWrap/>
            <w:vAlign w:val="center"/>
          </w:tcPr>
          <w:p w14:paraId="4F662D99"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1</w:t>
            </w:r>
          </w:p>
        </w:tc>
        <w:tc>
          <w:tcPr>
            <w:tcW w:w="252" w:type="pct"/>
            <w:tcBorders>
              <w:top w:val="single" w:sz="4" w:space="0" w:color="auto"/>
              <w:left w:val="nil"/>
              <w:bottom w:val="single" w:sz="4" w:space="0" w:color="auto"/>
              <w:right w:val="single" w:sz="4" w:space="0" w:color="auto"/>
            </w:tcBorders>
            <w:vAlign w:val="center"/>
          </w:tcPr>
          <w:p w14:paraId="1DF03840"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3AAB7C8"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19</w:t>
            </w:r>
          </w:p>
        </w:tc>
      </w:tr>
      <w:tr w:rsidR="00FB2B5D" w:rsidRPr="001B4CA2" w14:paraId="7D3152FF"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6701DE30" w14:textId="77777777" w:rsidR="00E07660" w:rsidRPr="001B4CA2" w:rsidRDefault="00E07660" w:rsidP="00E07660">
            <w:pPr>
              <w:jc w:val="left"/>
              <w:rPr>
                <w:bCs/>
                <w:sz w:val="16"/>
                <w:szCs w:val="16"/>
              </w:rPr>
            </w:pPr>
            <w:r w:rsidRPr="001B4CA2">
              <w:rPr>
                <w:bCs/>
                <w:sz w:val="16"/>
                <w:szCs w:val="16"/>
              </w:rPr>
              <w:t>Ministarstvo rada, mirovinskoga sustava, obitelji i socijalne politike</w:t>
            </w:r>
          </w:p>
        </w:tc>
        <w:tc>
          <w:tcPr>
            <w:tcW w:w="195" w:type="pct"/>
            <w:tcBorders>
              <w:top w:val="nil"/>
              <w:left w:val="nil"/>
              <w:bottom w:val="single" w:sz="4" w:space="0" w:color="auto"/>
              <w:right w:val="single" w:sz="4" w:space="0" w:color="auto"/>
            </w:tcBorders>
            <w:shd w:val="clear" w:color="auto" w:fill="auto"/>
            <w:noWrap/>
            <w:vAlign w:val="center"/>
          </w:tcPr>
          <w:p w14:paraId="4DB5C236"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50E8653D"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7E80A3E8"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281CF7D0"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7A5BBC34"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2C500855" w14:textId="77777777" w:rsidR="00E07660" w:rsidRPr="001B4CA2" w:rsidRDefault="00E07660" w:rsidP="00E07660">
            <w:pPr>
              <w:jc w:val="center"/>
              <w:rPr>
                <w:rFonts w:ascii="Calibri" w:hAnsi="Calibri" w:cs="Calibri"/>
                <w:color w:val="000000"/>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155C7F05"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1881AA00"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41638AE8"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22D4B602"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55572864"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0BB570FA"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4ABBE8D5"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25E00E32"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1F8D4D56"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0ADCA66D"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4DE95054" w14:textId="77777777" w:rsidR="00E07660" w:rsidRPr="001B4CA2" w:rsidRDefault="00E07660" w:rsidP="00E07660">
            <w:pPr>
              <w:jc w:val="center"/>
              <w:rPr>
                <w:rFonts w:ascii="Calibri" w:hAnsi="Calibri" w:cs="Calibri"/>
                <w:bCs/>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0ABB9138" w14:textId="77777777" w:rsidR="00E07660" w:rsidRPr="001B4CA2" w:rsidRDefault="00E07660" w:rsidP="00E07660">
            <w:pPr>
              <w:jc w:val="center"/>
              <w:rPr>
                <w:rFonts w:ascii="Calibri" w:hAnsi="Calibri" w:cs="Calibri"/>
                <w:bCs/>
                <w:color w:val="000000"/>
                <w:sz w:val="20"/>
                <w:szCs w:val="20"/>
              </w:rPr>
            </w:pPr>
          </w:p>
        </w:tc>
        <w:tc>
          <w:tcPr>
            <w:tcW w:w="252" w:type="pct"/>
            <w:tcBorders>
              <w:top w:val="single" w:sz="4" w:space="0" w:color="auto"/>
              <w:left w:val="nil"/>
              <w:bottom w:val="single" w:sz="4" w:space="0" w:color="auto"/>
              <w:right w:val="single" w:sz="4" w:space="0" w:color="auto"/>
            </w:tcBorders>
            <w:vAlign w:val="center"/>
          </w:tcPr>
          <w:p w14:paraId="58BEB7A2"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79794B9" w14:textId="77777777" w:rsidR="00E07660" w:rsidRPr="001B4CA2" w:rsidRDefault="00E07660" w:rsidP="00E07660">
            <w:pPr>
              <w:jc w:val="center"/>
              <w:rPr>
                <w:rFonts w:ascii="Calibri" w:hAnsi="Calibri" w:cs="Calibri"/>
                <w:sz w:val="20"/>
                <w:szCs w:val="20"/>
              </w:rPr>
            </w:pPr>
          </w:p>
        </w:tc>
      </w:tr>
      <w:tr w:rsidR="00FB2B5D" w:rsidRPr="001B4CA2" w14:paraId="66862816"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684A0003" w14:textId="77777777" w:rsidR="00E07660" w:rsidRPr="001B4CA2" w:rsidRDefault="00E07660" w:rsidP="00E07660">
            <w:pPr>
              <w:jc w:val="left"/>
              <w:rPr>
                <w:bCs/>
                <w:sz w:val="16"/>
                <w:szCs w:val="16"/>
              </w:rPr>
            </w:pPr>
            <w:r w:rsidRPr="001B4CA2">
              <w:rPr>
                <w:bCs/>
                <w:sz w:val="16"/>
                <w:szCs w:val="16"/>
              </w:rPr>
              <w:t xml:space="preserve">Ministarstvo financija </w:t>
            </w:r>
          </w:p>
        </w:tc>
        <w:tc>
          <w:tcPr>
            <w:tcW w:w="195" w:type="pct"/>
            <w:tcBorders>
              <w:top w:val="nil"/>
              <w:left w:val="nil"/>
              <w:bottom w:val="single" w:sz="4" w:space="0" w:color="auto"/>
              <w:right w:val="single" w:sz="4" w:space="0" w:color="auto"/>
            </w:tcBorders>
            <w:shd w:val="clear" w:color="auto" w:fill="auto"/>
            <w:noWrap/>
            <w:vAlign w:val="center"/>
          </w:tcPr>
          <w:p w14:paraId="79EF6B32"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70F063E2"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5134C5B8"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7091FDFB"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2BC973BB"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9</w:t>
            </w:r>
          </w:p>
        </w:tc>
        <w:tc>
          <w:tcPr>
            <w:tcW w:w="157" w:type="pct"/>
            <w:tcBorders>
              <w:top w:val="nil"/>
              <w:left w:val="nil"/>
              <w:bottom w:val="single" w:sz="4" w:space="0" w:color="auto"/>
              <w:right w:val="single" w:sz="4" w:space="0" w:color="auto"/>
            </w:tcBorders>
            <w:shd w:val="clear" w:color="auto" w:fill="auto"/>
            <w:noWrap/>
            <w:vAlign w:val="center"/>
          </w:tcPr>
          <w:p w14:paraId="6A6995FD"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3</w:t>
            </w:r>
          </w:p>
        </w:tc>
        <w:tc>
          <w:tcPr>
            <w:tcW w:w="197" w:type="pct"/>
            <w:tcBorders>
              <w:top w:val="nil"/>
              <w:left w:val="nil"/>
              <w:bottom w:val="single" w:sz="4" w:space="0" w:color="auto"/>
              <w:right w:val="single" w:sz="4" w:space="0" w:color="auto"/>
            </w:tcBorders>
            <w:shd w:val="clear" w:color="auto" w:fill="auto"/>
            <w:noWrap/>
            <w:vAlign w:val="center"/>
          </w:tcPr>
          <w:p w14:paraId="6FABE891"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310604D4"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232</w:t>
            </w:r>
          </w:p>
        </w:tc>
        <w:tc>
          <w:tcPr>
            <w:tcW w:w="197" w:type="pct"/>
            <w:tcBorders>
              <w:top w:val="nil"/>
              <w:left w:val="nil"/>
              <w:bottom w:val="single" w:sz="4" w:space="0" w:color="auto"/>
              <w:right w:val="single" w:sz="4" w:space="0" w:color="auto"/>
            </w:tcBorders>
            <w:shd w:val="clear" w:color="auto" w:fill="auto"/>
            <w:noWrap/>
            <w:vAlign w:val="center"/>
          </w:tcPr>
          <w:p w14:paraId="4EF4001F"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125</w:t>
            </w:r>
          </w:p>
        </w:tc>
        <w:tc>
          <w:tcPr>
            <w:tcW w:w="198" w:type="pct"/>
            <w:tcBorders>
              <w:top w:val="nil"/>
              <w:left w:val="nil"/>
              <w:bottom w:val="single" w:sz="4" w:space="0" w:color="auto"/>
              <w:right w:val="single" w:sz="4" w:space="0" w:color="auto"/>
            </w:tcBorders>
            <w:shd w:val="clear" w:color="auto" w:fill="auto"/>
            <w:noWrap/>
            <w:vAlign w:val="center"/>
          </w:tcPr>
          <w:p w14:paraId="01B58D91"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114</w:t>
            </w:r>
          </w:p>
        </w:tc>
        <w:tc>
          <w:tcPr>
            <w:tcW w:w="208" w:type="pct"/>
            <w:tcBorders>
              <w:top w:val="nil"/>
              <w:left w:val="nil"/>
              <w:bottom w:val="single" w:sz="4" w:space="0" w:color="auto"/>
              <w:right w:val="single" w:sz="4" w:space="0" w:color="auto"/>
            </w:tcBorders>
            <w:shd w:val="clear" w:color="auto" w:fill="auto"/>
            <w:noWrap/>
            <w:vAlign w:val="center"/>
          </w:tcPr>
          <w:p w14:paraId="2D04A129"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25A75F31"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447</w:t>
            </w:r>
          </w:p>
        </w:tc>
        <w:tc>
          <w:tcPr>
            <w:tcW w:w="146" w:type="pct"/>
            <w:tcBorders>
              <w:top w:val="nil"/>
              <w:left w:val="nil"/>
              <w:bottom w:val="single" w:sz="4" w:space="0" w:color="auto"/>
              <w:right w:val="single" w:sz="4" w:space="0" w:color="auto"/>
            </w:tcBorders>
            <w:shd w:val="clear" w:color="auto" w:fill="auto"/>
            <w:noWrap/>
            <w:vAlign w:val="center"/>
          </w:tcPr>
          <w:p w14:paraId="20FB953F"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6E995F6F"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0CEF2574"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4D7C9DFE"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40C604B9"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134</w:t>
            </w:r>
          </w:p>
        </w:tc>
        <w:tc>
          <w:tcPr>
            <w:tcW w:w="198" w:type="pct"/>
            <w:tcBorders>
              <w:top w:val="nil"/>
              <w:left w:val="nil"/>
              <w:bottom w:val="single" w:sz="4" w:space="0" w:color="auto"/>
              <w:right w:val="single" w:sz="4" w:space="0" w:color="auto"/>
            </w:tcBorders>
            <w:shd w:val="clear" w:color="auto" w:fill="auto"/>
            <w:noWrap/>
            <w:vAlign w:val="center"/>
          </w:tcPr>
          <w:p w14:paraId="07AFF2D2"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117</w:t>
            </w:r>
          </w:p>
        </w:tc>
        <w:tc>
          <w:tcPr>
            <w:tcW w:w="252" w:type="pct"/>
            <w:tcBorders>
              <w:top w:val="single" w:sz="4" w:space="0" w:color="auto"/>
              <w:left w:val="nil"/>
              <w:bottom w:val="single" w:sz="4" w:space="0" w:color="auto"/>
              <w:right w:val="single" w:sz="4" w:space="0" w:color="auto"/>
            </w:tcBorders>
            <w:vAlign w:val="center"/>
          </w:tcPr>
          <w:p w14:paraId="04030BF4"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3EE42D2"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679</w:t>
            </w:r>
          </w:p>
        </w:tc>
      </w:tr>
      <w:tr w:rsidR="00FB2B5D" w:rsidRPr="001B4CA2" w14:paraId="61A40D80"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43BCBDDE" w14:textId="77777777" w:rsidR="00E07660" w:rsidRPr="001B4CA2" w:rsidRDefault="00E07660" w:rsidP="00E07660">
            <w:pPr>
              <w:jc w:val="left"/>
              <w:rPr>
                <w:bCs/>
                <w:sz w:val="16"/>
                <w:szCs w:val="16"/>
              </w:rPr>
            </w:pPr>
            <w:r w:rsidRPr="001B4CA2">
              <w:rPr>
                <w:bCs/>
                <w:sz w:val="16"/>
                <w:szCs w:val="16"/>
              </w:rPr>
              <w:t>Ministarstvo gospodarstva i održivog razvoja</w:t>
            </w:r>
          </w:p>
        </w:tc>
        <w:tc>
          <w:tcPr>
            <w:tcW w:w="195" w:type="pct"/>
            <w:tcBorders>
              <w:top w:val="nil"/>
              <w:left w:val="nil"/>
              <w:bottom w:val="single" w:sz="4" w:space="0" w:color="auto"/>
              <w:right w:val="single" w:sz="4" w:space="0" w:color="auto"/>
            </w:tcBorders>
            <w:shd w:val="clear" w:color="auto" w:fill="auto"/>
            <w:noWrap/>
            <w:vAlign w:val="center"/>
          </w:tcPr>
          <w:p w14:paraId="3ACCBA60"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5B16CEB6"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15051428"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7EE2F58E"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63F33D2C"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057EB31B"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w:t>
            </w:r>
          </w:p>
        </w:tc>
        <w:tc>
          <w:tcPr>
            <w:tcW w:w="197" w:type="pct"/>
            <w:tcBorders>
              <w:top w:val="nil"/>
              <w:left w:val="nil"/>
              <w:bottom w:val="single" w:sz="4" w:space="0" w:color="auto"/>
              <w:right w:val="single" w:sz="4" w:space="0" w:color="auto"/>
            </w:tcBorders>
            <w:shd w:val="clear" w:color="auto" w:fill="auto"/>
            <w:noWrap/>
            <w:vAlign w:val="center"/>
          </w:tcPr>
          <w:p w14:paraId="68A9B86C"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5214E81E"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917</w:t>
            </w:r>
          </w:p>
        </w:tc>
        <w:tc>
          <w:tcPr>
            <w:tcW w:w="197" w:type="pct"/>
            <w:tcBorders>
              <w:top w:val="nil"/>
              <w:left w:val="nil"/>
              <w:bottom w:val="single" w:sz="4" w:space="0" w:color="auto"/>
              <w:right w:val="single" w:sz="4" w:space="0" w:color="auto"/>
            </w:tcBorders>
            <w:shd w:val="clear" w:color="auto" w:fill="auto"/>
            <w:noWrap/>
            <w:vAlign w:val="center"/>
          </w:tcPr>
          <w:p w14:paraId="07199B6C"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7C6C2D83"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5D1AEC08"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6CDDC90B"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1376988B"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47C6D58D"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31FB5FE2"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139A3CE4"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1F1EBDDD" w14:textId="77777777" w:rsidR="00E07660" w:rsidRPr="001B4CA2" w:rsidRDefault="00E07660" w:rsidP="00E07660">
            <w:pPr>
              <w:jc w:val="center"/>
              <w:rPr>
                <w:rFonts w:ascii="Calibri" w:hAnsi="Calibri" w:cs="Calibri"/>
                <w:bCs/>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79668240"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1</w:t>
            </w:r>
          </w:p>
        </w:tc>
        <w:tc>
          <w:tcPr>
            <w:tcW w:w="252" w:type="pct"/>
            <w:tcBorders>
              <w:top w:val="single" w:sz="4" w:space="0" w:color="auto"/>
              <w:left w:val="nil"/>
              <w:bottom w:val="single" w:sz="4" w:space="0" w:color="auto"/>
              <w:right w:val="single" w:sz="4" w:space="0" w:color="auto"/>
            </w:tcBorders>
            <w:vAlign w:val="center"/>
          </w:tcPr>
          <w:p w14:paraId="6C9FCF94"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9EB4432"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917</w:t>
            </w:r>
          </w:p>
        </w:tc>
      </w:tr>
      <w:tr w:rsidR="00FB2B5D" w:rsidRPr="001B4CA2" w14:paraId="38025E04"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6DA6D172" w14:textId="77777777" w:rsidR="00E07660" w:rsidRPr="001B4CA2" w:rsidRDefault="00E07660" w:rsidP="00E07660">
            <w:pPr>
              <w:jc w:val="left"/>
              <w:rPr>
                <w:bCs/>
                <w:sz w:val="16"/>
                <w:szCs w:val="16"/>
              </w:rPr>
            </w:pPr>
            <w:r w:rsidRPr="001B4CA2">
              <w:rPr>
                <w:bCs/>
                <w:sz w:val="16"/>
                <w:szCs w:val="16"/>
              </w:rPr>
              <w:t xml:space="preserve">Ministarstvo obrane </w:t>
            </w:r>
          </w:p>
        </w:tc>
        <w:tc>
          <w:tcPr>
            <w:tcW w:w="195" w:type="pct"/>
            <w:tcBorders>
              <w:top w:val="nil"/>
              <w:left w:val="nil"/>
              <w:bottom w:val="single" w:sz="4" w:space="0" w:color="auto"/>
              <w:right w:val="single" w:sz="4" w:space="0" w:color="auto"/>
            </w:tcBorders>
            <w:shd w:val="clear" w:color="auto" w:fill="auto"/>
            <w:noWrap/>
            <w:vAlign w:val="center"/>
          </w:tcPr>
          <w:p w14:paraId="33BDFC79"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1A8B83C1"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754A35C3"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3AFD71F3"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280957B6"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2</w:t>
            </w:r>
          </w:p>
        </w:tc>
        <w:tc>
          <w:tcPr>
            <w:tcW w:w="157" w:type="pct"/>
            <w:tcBorders>
              <w:top w:val="nil"/>
              <w:left w:val="nil"/>
              <w:bottom w:val="single" w:sz="4" w:space="0" w:color="auto"/>
              <w:right w:val="single" w:sz="4" w:space="0" w:color="auto"/>
            </w:tcBorders>
            <w:shd w:val="clear" w:color="auto" w:fill="auto"/>
            <w:noWrap/>
            <w:vAlign w:val="center"/>
          </w:tcPr>
          <w:p w14:paraId="0976B231" w14:textId="77777777" w:rsidR="00E07660" w:rsidRPr="001B4CA2" w:rsidRDefault="00E07660" w:rsidP="00E07660">
            <w:pPr>
              <w:jc w:val="center"/>
              <w:rPr>
                <w:rFonts w:ascii="Calibri" w:hAnsi="Calibri" w:cs="Calibri"/>
                <w:color w:val="000000"/>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299EC9CF"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4BB0D307"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599CA2A9"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6919158B"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025C61C6"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2D1F881A"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2DB51681"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172D212B"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395E1AFB"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6A3DD70A"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616F7BE3"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2</w:t>
            </w:r>
          </w:p>
        </w:tc>
        <w:tc>
          <w:tcPr>
            <w:tcW w:w="198" w:type="pct"/>
            <w:tcBorders>
              <w:top w:val="nil"/>
              <w:left w:val="nil"/>
              <w:bottom w:val="single" w:sz="4" w:space="0" w:color="auto"/>
              <w:right w:val="single" w:sz="4" w:space="0" w:color="auto"/>
            </w:tcBorders>
            <w:shd w:val="clear" w:color="auto" w:fill="auto"/>
            <w:noWrap/>
            <w:vAlign w:val="center"/>
          </w:tcPr>
          <w:p w14:paraId="0CF0AAD4" w14:textId="77777777" w:rsidR="00E07660" w:rsidRPr="001B4CA2" w:rsidRDefault="00E07660" w:rsidP="00E07660">
            <w:pPr>
              <w:jc w:val="center"/>
              <w:rPr>
                <w:rFonts w:ascii="Calibri" w:hAnsi="Calibri" w:cs="Calibri"/>
                <w:bCs/>
                <w:color w:val="000000"/>
                <w:sz w:val="20"/>
                <w:szCs w:val="20"/>
              </w:rPr>
            </w:pPr>
          </w:p>
        </w:tc>
        <w:tc>
          <w:tcPr>
            <w:tcW w:w="252" w:type="pct"/>
            <w:tcBorders>
              <w:top w:val="single" w:sz="4" w:space="0" w:color="auto"/>
              <w:left w:val="nil"/>
              <w:bottom w:val="single" w:sz="4" w:space="0" w:color="auto"/>
              <w:right w:val="single" w:sz="4" w:space="0" w:color="auto"/>
            </w:tcBorders>
            <w:vAlign w:val="center"/>
          </w:tcPr>
          <w:p w14:paraId="07D6480F"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2970E0A" w14:textId="77777777" w:rsidR="00E07660" w:rsidRPr="001B4CA2" w:rsidRDefault="00E07660" w:rsidP="00E07660">
            <w:pPr>
              <w:jc w:val="center"/>
              <w:rPr>
                <w:rFonts w:ascii="Calibri" w:hAnsi="Calibri" w:cs="Calibri"/>
                <w:sz w:val="20"/>
                <w:szCs w:val="20"/>
              </w:rPr>
            </w:pPr>
          </w:p>
        </w:tc>
      </w:tr>
      <w:tr w:rsidR="00FB2B5D" w:rsidRPr="001B4CA2" w14:paraId="6039D027"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4DDD84C3" w14:textId="77777777" w:rsidR="00E07660" w:rsidRPr="001B4CA2" w:rsidRDefault="00E07660" w:rsidP="00E07660">
            <w:pPr>
              <w:jc w:val="left"/>
              <w:rPr>
                <w:bCs/>
                <w:sz w:val="16"/>
                <w:szCs w:val="16"/>
              </w:rPr>
            </w:pPr>
            <w:r w:rsidRPr="001B4CA2">
              <w:rPr>
                <w:bCs/>
                <w:sz w:val="16"/>
                <w:szCs w:val="16"/>
              </w:rPr>
              <w:t xml:space="preserve">Ministarstvo vanjskih i europskih poslova </w:t>
            </w:r>
          </w:p>
        </w:tc>
        <w:tc>
          <w:tcPr>
            <w:tcW w:w="195" w:type="pct"/>
            <w:tcBorders>
              <w:top w:val="nil"/>
              <w:left w:val="nil"/>
              <w:bottom w:val="single" w:sz="4" w:space="0" w:color="auto"/>
              <w:right w:val="single" w:sz="4" w:space="0" w:color="auto"/>
            </w:tcBorders>
            <w:shd w:val="clear" w:color="auto" w:fill="auto"/>
            <w:noWrap/>
            <w:vAlign w:val="center"/>
          </w:tcPr>
          <w:p w14:paraId="463B075A"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6195F1B8"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5066FA82"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19A51ED3"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6E9C5712"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7EC5463F" w14:textId="77777777" w:rsidR="00E07660" w:rsidRPr="001B4CA2" w:rsidRDefault="00E07660" w:rsidP="00E07660">
            <w:pPr>
              <w:jc w:val="center"/>
              <w:rPr>
                <w:rFonts w:ascii="Calibri" w:hAnsi="Calibri" w:cs="Calibri"/>
                <w:color w:val="000000"/>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7124D0B3"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2C675FEF"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14D825E0"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4331B1E1"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6481E4B8"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66305AD5"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68197E1C"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3507E51E"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0AED8DCA"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56652259"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00E3915E" w14:textId="77777777" w:rsidR="00E07660" w:rsidRPr="001B4CA2" w:rsidRDefault="00E07660" w:rsidP="00E07660">
            <w:pPr>
              <w:jc w:val="center"/>
              <w:rPr>
                <w:rFonts w:ascii="Calibri" w:hAnsi="Calibri" w:cs="Calibri"/>
                <w:bCs/>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354C7F3E" w14:textId="77777777" w:rsidR="00E07660" w:rsidRPr="001B4CA2" w:rsidRDefault="00E07660" w:rsidP="00E07660">
            <w:pPr>
              <w:jc w:val="center"/>
              <w:rPr>
                <w:rFonts w:ascii="Calibri" w:hAnsi="Calibri" w:cs="Calibri"/>
                <w:bCs/>
                <w:color w:val="000000"/>
                <w:sz w:val="20"/>
                <w:szCs w:val="20"/>
              </w:rPr>
            </w:pPr>
          </w:p>
        </w:tc>
        <w:tc>
          <w:tcPr>
            <w:tcW w:w="252" w:type="pct"/>
            <w:tcBorders>
              <w:top w:val="single" w:sz="4" w:space="0" w:color="auto"/>
              <w:left w:val="nil"/>
              <w:bottom w:val="single" w:sz="4" w:space="0" w:color="auto"/>
              <w:right w:val="single" w:sz="4" w:space="0" w:color="auto"/>
            </w:tcBorders>
            <w:vAlign w:val="center"/>
          </w:tcPr>
          <w:p w14:paraId="52BA3AED"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D736D6D" w14:textId="77777777" w:rsidR="00E07660" w:rsidRPr="001B4CA2" w:rsidRDefault="00E07660" w:rsidP="00E07660">
            <w:pPr>
              <w:jc w:val="center"/>
              <w:rPr>
                <w:rFonts w:ascii="Calibri" w:hAnsi="Calibri" w:cs="Calibri"/>
                <w:sz w:val="20"/>
                <w:szCs w:val="20"/>
              </w:rPr>
            </w:pPr>
          </w:p>
        </w:tc>
      </w:tr>
      <w:tr w:rsidR="00FB2B5D" w:rsidRPr="001B4CA2" w14:paraId="294CD82E"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24F3550A" w14:textId="77777777" w:rsidR="00E07660" w:rsidRPr="001B4CA2" w:rsidRDefault="00E07660" w:rsidP="00E07660">
            <w:pPr>
              <w:jc w:val="left"/>
              <w:rPr>
                <w:bCs/>
                <w:sz w:val="16"/>
                <w:szCs w:val="16"/>
              </w:rPr>
            </w:pPr>
            <w:r w:rsidRPr="001B4CA2">
              <w:rPr>
                <w:bCs/>
                <w:sz w:val="16"/>
                <w:szCs w:val="16"/>
              </w:rPr>
              <w:t>Ministarstvo mora, prometa i infrastrukture</w:t>
            </w:r>
          </w:p>
        </w:tc>
        <w:tc>
          <w:tcPr>
            <w:tcW w:w="195" w:type="pct"/>
            <w:tcBorders>
              <w:top w:val="nil"/>
              <w:left w:val="nil"/>
              <w:bottom w:val="single" w:sz="4" w:space="0" w:color="auto"/>
              <w:right w:val="single" w:sz="4" w:space="0" w:color="auto"/>
            </w:tcBorders>
            <w:shd w:val="clear" w:color="auto" w:fill="auto"/>
            <w:noWrap/>
            <w:vAlign w:val="center"/>
          </w:tcPr>
          <w:p w14:paraId="2612378D"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49</w:t>
            </w:r>
          </w:p>
        </w:tc>
        <w:tc>
          <w:tcPr>
            <w:tcW w:w="157" w:type="pct"/>
            <w:tcBorders>
              <w:top w:val="nil"/>
              <w:left w:val="nil"/>
              <w:bottom w:val="single" w:sz="4" w:space="0" w:color="auto"/>
              <w:right w:val="single" w:sz="4" w:space="0" w:color="auto"/>
            </w:tcBorders>
            <w:shd w:val="clear" w:color="auto" w:fill="auto"/>
            <w:noWrap/>
            <w:vAlign w:val="center"/>
          </w:tcPr>
          <w:p w14:paraId="23E9EAAD"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13</w:t>
            </w:r>
          </w:p>
        </w:tc>
        <w:tc>
          <w:tcPr>
            <w:tcW w:w="157" w:type="pct"/>
            <w:tcBorders>
              <w:top w:val="nil"/>
              <w:left w:val="nil"/>
              <w:bottom w:val="single" w:sz="4" w:space="0" w:color="auto"/>
              <w:right w:val="single" w:sz="4" w:space="0" w:color="auto"/>
            </w:tcBorders>
            <w:shd w:val="clear" w:color="auto" w:fill="auto"/>
            <w:noWrap/>
            <w:vAlign w:val="center"/>
          </w:tcPr>
          <w:p w14:paraId="5FDCA924"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2F51B00F"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1.201</w:t>
            </w:r>
          </w:p>
        </w:tc>
        <w:tc>
          <w:tcPr>
            <w:tcW w:w="196" w:type="pct"/>
            <w:tcBorders>
              <w:top w:val="nil"/>
              <w:left w:val="nil"/>
              <w:bottom w:val="single" w:sz="4" w:space="0" w:color="auto"/>
              <w:right w:val="single" w:sz="4" w:space="0" w:color="auto"/>
            </w:tcBorders>
            <w:shd w:val="clear" w:color="auto" w:fill="auto"/>
            <w:noWrap/>
            <w:vAlign w:val="center"/>
          </w:tcPr>
          <w:p w14:paraId="6BDBEB17"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2</w:t>
            </w:r>
          </w:p>
        </w:tc>
        <w:tc>
          <w:tcPr>
            <w:tcW w:w="157" w:type="pct"/>
            <w:tcBorders>
              <w:top w:val="nil"/>
              <w:left w:val="nil"/>
              <w:bottom w:val="single" w:sz="4" w:space="0" w:color="auto"/>
              <w:right w:val="single" w:sz="4" w:space="0" w:color="auto"/>
            </w:tcBorders>
            <w:shd w:val="clear" w:color="auto" w:fill="auto"/>
            <w:noWrap/>
            <w:vAlign w:val="center"/>
          </w:tcPr>
          <w:p w14:paraId="6ED6C1AC"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2</w:t>
            </w:r>
          </w:p>
        </w:tc>
        <w:tc>
          <w:tcPr>
            <w:tcW w:w="197" w:type="pct"/>
            <w:tcBorders>
              <w:top w:val="nil"/>
              <w:left w:val="nil"/>
              <w:bottom w:val="single" w:sz="4" w:space="0" w:color="auto"/>
              <w:right w:val="single" w:sz="4" w:space="0" w:color="auto"/>
            </w:tcBorders>
            <w:shd w:val="clear" w:color="auto" w:fill="auto"/>
            <w:noWrap/>
            <w:vAlign w:val="center"/>
          </w:tcPr>
          <w:p w14:paraId="3FD0C81D"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4799D847"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978</w:t>
            </w:r>
          </w:p>
        </w:tc>
        <w:tc>
          <w:tcPr>
            <w:tcW w:w="197" w:type="pct"/>
            <w:tcBorders>
              <w:top w:val="nil"/>
              <w:left w:val="nil"/>
              <w:bottom w:val="single" w:sz="4" w:space="0" w:color="auto"/>
              <w:right w:val="single" w:sz="4" w:space="0" w:color="auto"/>
            </w:tcBorders>
            <w:shd w:val="clear" w:color="auto" w:fill="auto"/>
            <w:noWrap/>
            <w:vAlign w:val="center"/>
          </w:tcPr>
          <w:p w14:paraId="740AEA2A"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61C64D4F"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0F90B9E0"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3E37889D"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7380B863"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2C2EA780"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14DCA4F5"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6FB0FB1B"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739E2C2C"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51</w:t>
            </w:r>
          </w:p>
        </w:tc>
        <w:tc>
          <w:tcPr>
            <w:tcW w:w="198" w:type="pct"/>
            <w:tcBorders>
              <w:top w:val="nil"/>
              <w:left w:val="nil"/>
              <w:bottom w:val="single" w:sz="4" w:space="0" w:color="auto"/>
              <w:right w:val="single" w:sz="4" w:space="0" w:color="auto"/>
            </w:tcBorders>
            <w:shd w:val="clear" w:color="auto" w:fill="auto"/>
            <w:noWrap/>
            <w:vAlign w:val="center"/>
          </w:tcPr>
          <w:p w14:paraId="16118D72"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15</w:t>
            </w:r>
          </w:p>
        </w:tc>
        <w:tc>
          <w:tcPr>
            <w:tcW w:w="252" w:type="pct"/>
            <w:tcBorders>
              <w:top w:val="single" w:sz="4" w:space="0" w:color="auto"/>
              <w:left w:val="nil"/>
              <w:bottom w:val="single" w:sz="4" w:space="0" w:color="auto"/>
              <w:right w:val="single" w:sz="4" w:space="0" w:color="auto"/>
            </w:tcBorders>
            <w:vAlign w:val="center"/>
          </w:tcPr>
          <w:p w14:paraId="3A6C12D3"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5F1AFC45"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2.179</w:t>
            </w:r>
          </w:p>
        </w:tc>
      </w:tr>
      <w:tr w:rsidR="00FB2B5D" w:rsidRPr="001B4CA2" w14:paraId="46A78C55"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040E32E2" w14:textId="77777777" w:rsidR="00E07660" w:rsidRPr="001B4CA2" w:rsidRDefault="00E07660" w:rsidP="00E07660">
            <w:pPr>
              <w:jc w:val="left"/>
              <w:rPr>
                <w:bCs/>
                <w:sz w:val="16"/>
                <w:szCs w:val="16"/>
              </w:rPr>
            </w:pPr>
            <w:r w:rsidRPr="001B4CA2">
              <w:rPr>
                <w:bCs/>
                <w:sz w:val="16"/>
                <w:szCs w:val="16"/>
              </w:rPr>
              <w:t>Ministarstvo poljoprivrede</w:t>
            </w:r>
          </w:p>
        </w:tc>
        <w:tc>
          <w:tcPr>
            <w:tcW w:w="195" w:type="pct"/>
            <w:tcBorders>
              <w:top w:val="nil"/>
              <w:left w:val="nil"/>
              <w:bottom w:val="single" w:sz="4" w:space="0" w:color="auto"/>
              <w:right w:val="single" w:sz="4" w:space="0" w:color="auto"/>
            </w:tcBorders>
            <w:shd w:val="clear" w:color="auto" w:fill="auto"/>
            <w:noWrap/>
            <w:vAlign w:val="center"/>
          </w:tcPr>
          <w:p w14:paraId="2FC2B73C"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32</w:t>
            </w:r>
          </w:p>
        </w:tc>
        <w:tc>
          <w:tcPr>
            <w:tcW w:w="157" w:type="pct"/>
            <w:tcBorders>
              <w:top w:val="nil"/>
              <w:left w:val="nil"/>
              <w:bottom w:val="single" w:sz="4" w:space="0" w:color="auto"/>
              <w:right w:val="single" w:sz="4" w:space="0" w:color="auto"/>
            </w:tcBorders>
            <w:shd w:val="clear" w:color="auto" w:fill="auto"/>
            <w:noWrap/>
            <w:vAlign w:val="center"/>
          </w:tcPr>
          <w:p w14:paraId="5BFC35F0"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16</w:t>
            </w:r>
          </w:p>
        </w:tc>
        <w:tc>
          <w:tcPr>
            <w:tcW w:w="157" w:type="pct"/>
            <w:tcBorders>
              <w:top w:val="nil"/>
              <w:left w:val="nil"/>
              <w:bottom w:val="single" w:sz="4" w:space="0" w:color="auto"/>
              <w:right w:val="single" w:sz="4" w:space="0" w:color="auto"/>
            </w:tcBorders>
            <w:shd w:val="clear" w:color="auto" w:fill="auto"/>
            <w:noWrap/>
            <w:vAlign w:val="center"/>
          </w:tcPr>
          <w:p w14:paraId="75AE1A6A"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333859BB"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921</w:t>
            </w:r>
          </w:p>
        </w:tc>
        <w:tc>
          <w:tcPr>
            <w:tcW w:w="196" w:type="pct"/>
            <w:tcBorders>
              <w:top w:val="nil"/>
              <w:left w:val="nil"/>
              <w:bottom w:val="single" w:sz="4" w:space="0" w:color="auto"/>
              <w:right w:val="single" w:sz="4" w:space="0" w:color="auto"/>
            </w:tcBorders>
            <w:shd w:val="clear" w:color="auto" w:fill="auto"/>
            <w:noWrap/>
            <w:vAlign w:val="center"/>
          </w:tcPr>
          <w:p w14:paraId="13D73347"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64</w:t>
            </w:r>
          </w:p>
        </w:tc>
        <w:tc>
          <w:tcPr>
            <w:tcW w:w="157" w:type="pct"/>
            <w:tcBorders>
              <w:top w:val="nil"/>
              <w:left w:val="nil"/>
              <w:bottom w:val="single" w:sz="4" w:space="0" w:color="auto"/>
              <w:right w:val="single" w:sz="4" w:space="0" w:color="auto"/>
            </w:tcBorders>
            <w:shd w:val="clear" w:color="auto" w:fill="auto"/>
            <w:noWrap/>
            <w:vAlign w:val="center"/>
          </w:tcPr>
          <w:p w14:paraId="41D6E430"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28</w:t>
            </w:r>
          </w:p>
        </w:tc>
        <w:tc>
          <w:tcPr>
            <w:tcW w:w="197" w:type="pct"/>
            <w:tcBorders>
              <w:top w:val="nil"/>
              <w:left w:val="nil"/>
              <w:bottom w:val="single" w:sz="4" w:space="0" w:color="auto"/>
              <w:right w:val="single" w:sz="4" w:space="0" w:color="auto"/>
            </w:tcBorders>
            <w:shd w:val="clear" w:color="auto" w:fill="auto"/>
            <w:noWrap/>
            <w:vAlign w:val="center"/>
          </w:tcPr>
          <w:p w14:paraId="6BFCE485"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5FD7AF69"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1.192</w:t>
            </w:r>
          </w:p>
        </w:tc>
        <w:tc>
          <w:tcPr>
            <w:tcW w:w="197" w:type="pct"/>
            <w:tcBorders>
              <w:top w:val="nil"/>
              <w:left w:val="nil"/>
              <w:bottom w:val="single" w:sz="4" w:space="0" w:color="auto"/>
              <w:right w:val="single" w:sz="4" w:space="0" w:color="auto"/>
            </w:tcBorders>
            <w:shd w:val="clear" w:color="auto" w:fill="auto"/>
            <w:noWrap/>
            <w:vAlign w:val="center"/>
          </w:tcPr>
          <w:p w14:paraId="70713AF7"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tcPr>
          <w:p w14:paraId="42EFFE2E"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4</w:t>
            </w:r>
          </w:p>
        </w:tc>
        <w:tc>
          <w:tcPr>
            <w:tcW w:w="208" w:type="pct"/>
            <w:tcBorders>
              <w:top w:val="nil"/>
              <w:left w:val="nil"/>
              <w:bottom w:val="single" w:sz="4" w:space="0" w:color="auto"/>
              <w:right w:val="single" w:sz="4" w:space="0" w:color="auto"/>
            </w:tcBorders>
            <w:shd w:val="clear" w:color="auto" w:fill="auto"/>
            <w:noWrap/>
            <w:vAlign w:val="center"/>
          </w:tcPr>
          <w:p w14:paraId="0BF70CA5"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1FACD8EE"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241</w:t>
            </w:r>
          </w:p>
        </w:tc>
        <w:tc>
          <w:tcPr>
            <w:tcW w:w="146" w:type="pct"/>
            <w:tcBorders>
              <w:top w:val="nil"/>
              <w:left w:val="nil"/>
              <w:bottom w:val="single" w:sz="4" w:space="0" w:color="auto"/>
              <w:right w:val="single" w:sz="4" w:space="0" w:color="auto"/>
            </w:tcBorders>
            <w:shd w:val="clear" w:color="auto" w:fill="auto"/>
            <w:noWrap/>
            <w:vAlign w:val="center"/>
          </w:tcPr>
          <w:p w14:paraId="450AE4C6"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w:t>
            </w:r>
          </w:p>
        </w:tc>
        <w:tc>
          <w:tcPr>
            <w:tcW w:w="146" w:type="pct"/>
            <w:tcBorders>
              <w:top w:val="nil"/>
              <w:left w:val="nil"/>
              <w:bottom w:val="single" w:sz="4" w:space="0" w:color="auto"/>
              <w:right w:val="single" w:sz="4" w:space="0" w:color="auto"/>
            </w:tcBorders>
            <w:shd w:val="clear" w:color="auto" w:fill="auto"/>
            <w:noWrap/>
            <w:vAlign w:val="center"/>
          </w:tcPr>
          <w:p w14:paraId="4DF75041"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23CE9CAA"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485CF16F"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30A71AB3"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102</w:t>
            </w:r>
          </w:p>
        </w:tc>
        <w:tc>
          <w:tcPr>
            <w:tcW w:w="198" w:type="pct"/>
            <w:tcBorders>
              <w:top w:val="nil"/>
              <w:left w:val="nil"/>
              <w:bottom w:val="single" w:sz="4" w:space="0" w:color="auto"/>
              <w:right w:val="single" w:sz="4" w:space="0" w:color="auto"/>
            </w:tcBorders>
            <w:shd w:val="clear" w:color="auto" w:fill="auto"/>
            <w:noWrap/>
            <w:vAlign w:val="center"/>
          </w:tcPr>
          <w:p w14:paraId="15B803AC"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48</w:t>
            </w:r>
          </w:p>
        </w:tc>
        <w:tc>
          <w:tcPr>
            <w:tcW w:w="252" w:type="pct"/>
            <w:tcBorders>
              <w:top w:val="single" w:sz="4" w:space="0" w:color="auto"/>
              <w:left w:val="nil"/>
              <w:bottom w:val="single" w:sz="4" w:space="0" w:color="auto"/>
              <w:right w:val="single" w:sz="4" w:space="0" w:color="auto"/>
            </w:tcBorders>
            <w:vAlign w:val="center"/>
          </w:tcPr>
          <w:p w14:paraId="4F718B44"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51F888DE"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2.354</w:t>
            </w:r>
          </w:p>
        </w:tc>
      </w:tr>
      <w:tr w:rsidR="00FB2B5D" w:rsidRPr="001B4CA2" w14:paraId="6613B9DE"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24BF70FF" w14:textId="77777777" w:rsidR="00E07660" w:rsidRPr="001B4CA2" w:rsidRDefault="00E07660" w:rsidP="00E07660">
            <w:pPr>
              <w:jc w:val="left"/>
              <w:rPr>
                <w:bCs/>
                <w:sz w:val="16"/>
                <w:szCs w:val="16"/>
              </w:rPr>
            </w:pPr>
            <w:r w:rsidRPr="001B4CA2">
              <w:rPr>
                <w:bCs/>
                <w:sz w:val="16"/>
                <w:szCs w:val="16"/>
              </w:rPr>
              <w:t>Ministarstvo turizma i sporta</w:t>
            </w:r>
          </w:p>
        </w:tc>
        <w:tc>
          <w:tcPr>
            <w:tcW w:w="195" w:type="pct"/>
            <w:tcBorders>
              <w:top w:val="nil"/>
              <w:left w:val="nil"/>
              <w:bottom w:val="single" w:sz="4" w:space="0" w:color="auto"/>
              <w:right w:val="single" w:sz="4" w:space="0" w:color="auto"/>
            </w:tcBorders>
            <w:shd w:val="clear" w:color="auto" w:fill="auto"/>
            <w:noWrap/>
            <w:vAlign w:val="center"/>
          </w:tcPr>
          <w:p w14:paraId="5F5EB17D"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4ECBF3DB"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01570489"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0255A56F"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2AB84681"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7A758428" w14:textId="77777777" w:rsidR="00E07660" w:rsidRPr="001B4CA2" w:rsidRDefault="00E07660" w:rsidP="00E07660">
            <w:pPr>
              <w:jc w:val="center"/>
              <w:rPr>
                <w:rFonts w:ascii="Calibri" w:hAnsi="Calibri" w:cs="Calibri"/>
                <w:color w:val="000000"/>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095BFA6B"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28A28AC1"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7EB1C435"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04C12B01"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019B81AF"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45CAD284"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10FAF7C9"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07009332"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3C1B88FB"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0762D848"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7610067D" w14:textId="77777777" w:rsidR="00E07660" w:rsidRPr="001B4CA2" w:rsidRDefault="00E07660" w:rsidP="00E07660">
            <w:pPr>
              <w:jc w:val="center"/>
              <w:rPr>
                <w:rFonts w:ascii="Calibri" w:hAnsi="Calibri" w:cs="Calibri"/>
                <w:bCs/>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5FD5DC6C" w14:textId="77777777" w:rsidR="00E07660" w:rsidRPr="001B4CA2" w:rsidRDefault="00E07660" w:rsidP="00E07660">
            <w:pPr>
              <w:jc w:val="center"/>
              <w:rPr>
                <w:rFonts w:ascii="Calibri" w:hAnsi="Calibri" w:cs="Calibri"/>
                <w:bCs/>
                <w:color w:val="000000"/>
                <w:sz w:val="20"/>
                <w:szCs w:val="20"/>
              </w:rPr>
            </w:pPr>
          </w:p>
        </w:tc>
        <w:tc>
          <w:tcPr>
            <w:tcW w:w="252" w:type="pct"/>
            <w:tcBorders>
              <w:top w:val="single" w:sz="4" w:space="0" w:color="auto"/>
              <w:left w:val="nil"/>
              <w:bottom w:val="single" w:sz="4" w:space="0" w:color="auto"/>
              <w:right w:val="single" w:sz="4" w:space="0" w:color="auto"/>
            </w:tcBorders>
            <w:vAlign w:val="center"/>
          </w:tcPr>
          <w:p w14:paraId="2A76148B"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EFEF543" w14:textId="77777777" w:rsidR="00E07660" w:rsidRPr="001B4CA2" w:rsidRDefault="00E07660" w:rsidP="00E07660">
            <w:pPr>
              <w:jc w:val="center"/>
              <w:rPr>
                <w:rFonts w:ascii="Calibri" w:hAnsi="Calibri" w:cs="Calibri"/>
                <w:sz w:val="20"/>
                <w:szCs w:val="20"/>
              </w:rPr>
            </w:pPr>
          </w:p>
        </w:tc>
      </w:tr>
      <w:tr w:rsidR="00FB2B5D" w:rsidRPr="001B4CA2" w14:paraId="78BDB5F2"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1DCE7223" w14:textId="77777777" w:rsidR="00E07660" w:rsidRPr="001B4CA2" w:rsidRDefault="00E07660" w:rsidP="00E07660">
            <w:pPr>
              <w:jc w:val="left"/>
              <w:rPr>
                <w:bCs/>
                <w:sz w:val="16"/>
                <w:szCs w:val="16"/>
              </w:rPr>
            </w:pPr>
            <w:r w:rsidRPr="001B4CA2">
              <w:rPr>
                <w:bCs/>
                <w:sz w:val="16"/>
                <w:szCs w:val="16"/>
              </w:rPr>
              <w:t xml:space="preserve">Ministarstvo znanosti i obrazovanja </w:t>
            </w:r>
          </w:p>
        </w:tc>
        <w:tc>
          <w:tcPr>
            <w:tcW w:w="195" w:type="pct"/>
            <w:tcBorders>
              <w:top w:val="nil"/>
              <w:left w:val="nil"/>
              <w:bottom w:val="single" w:sz="4" w:space="0" w:color="auto"/>
              <w:right w:val="single" w:sz="4" w:space="0" w:color="auto"/>
            </w:tcBorders>
            <w:shd w:val="clear" w:color="auto" w:fill="auto"/>
            <w:noWrap/>
            <w:vAlign w:val="center"/>
          </w:tcPr>
          <w:p w14:paraId="13FD5F31"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7A39904C"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0D61A7FA"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7675D8BD"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2208D056"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472D2884" w14:textId="77777777" w:rsidR="00E07660" w:rsidRPr="001B4CA2" w:rsidRDefault="00E07660" w:rsidP="00E07660">
            <w:pPr>
              <w:jc w:val="center"/>
              <w:rPr>
                <w:rFonts w:ascii="Calibri" w:hAnsi="Calibri" w:cs="Calibri"/>
                <w:color w:val="000000"/>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2A782F6A"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5FBFB8B8"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591E420F"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78D923C5"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3D3E331A"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163B5413"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7D151864"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2D55BD13"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4D434869"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293DBB10"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403E2343" w14:textId="77777777" w:rsidR="00E07660" w:rsidRPr="001B4CA2" w:rsidRDefault="00E07660" w:rsidP="00E07660">
            <w:pPr>
              <w:jc w:val="center"/>
              <w:rPr>
                <w:rFonts w:ascii="Calibri" w:hAnsi="Calibri" w:cs="Calibri"/>
                <w:bCs/>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2ADBA200" w14:textId="77777777" w:rsidR="00E07660" w:rsidRPr="001B4CA2" w:rsidRDefault="00E07660" w:rsidP="00E07660">
            <w:pPr>
              <w:jc w:val="center"/>
              <w:rPr>
                <w:rFonts w:ascii="Calibri" w:hAnsi="Calibri" w:cs="Calibri"/>
                <w:bCs/>
                <w:color w:val="000000"/>
                <w:sz w:val="20"/>
                <w:szCs w:val="20"/>
              </w:rPr>
            </w:pPr>
          </w:p>
        </w:tc>
        <w:tc>
          <w:tcPr>
            <w:tcW w:w="252" w:type="pct"/>
            <w:tcBorders>
              <w:top w:val="single" w:sz="4" w:space="0" w:color="auto"/>
              <w:left w:val="nil"/>
              <w:bottom w:val="single" w:sz="4" w:space="0" w:color="auto"/>
              <w:right w:val="single" w:sz="4" w:space="0" w:color="auto"/>
            </w:tcBorders>
            <w:vAlign w:val="center"/>
          </w:tcPr>
          <w:p w14:paraId="46E2999D"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E2BFE0A" w14:textId="77777777" w:rsidR="00E07660" w:rsidRPr="001B4CA2" w:rsidRDefault="00E07660" w:rsidP="00E07660">
            <w:pPr>
              <w:jc w:val="center"/>
              <w:rPr>
                <w:rFonts w:ascii="Calibri" w:hAnsi="Calibri" w:cs="Calibri"/>
                <w:sz w:val="20"/>
                <w:szCs w:val="20"/>
              </w:rPr>
            </w:pPr>
          </w:p>
        </w:tc>
      </w:tr>
      <w:tr w:rsidR="00FB2B5D" w:rsidRPr="001B4CA2" w14:paraId="1E7DE958"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20FA0FE9" w14:textId="77777777" w:rsidR="00E07660" w:rsidRPr="001B4CA2" w:rsidRDefault="00E07660" w:rsidP="00E07660">
            <w:pPr>
              <w:jc w:val="left"/>
              <w:rPr>
                <w:bCs/>
                <w:sz w:val="16"/>
                <w:szCs w:val="16"/>
              </w:rPr>
            </w:pPr>
            <w:r w:rsidRPr="001B4CA2">
              <w:rPr>
                <w:bCs/>
                <w:sz w:val="16"/>
                <w:szCs w:val="16"/>
              </w:rPr>
              <w:t>Ministarstvo kulture i medija</w:t>
            </w:r>
          </w:p>
        </w:tc>
        <w:tc>
          <w:tcPr>
            <w:tcW w:w="195" w:type="pct"/>
            <w:tcBorders>
              <w:top w:val="nil"/>
              <w:left w:val="nil"/>
              <w:bottom w:val="single" w:sz="4" w:space="0" w:color="auto"/>
              <w:right w:val="single" w:sz="4" w:space="0" w:color="auto"/>
            </w:tcBorders>
            <w:shd w:val="clear" w:color="auto" w:fill="auto"/>
            <w:noWrap/>
            <w:vAlign w:val="center"/>
          </w:tcPr>
          <w:p w14:paraId="34410F06"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3EEA278E"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37FC4C47"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65070387"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591F33AC"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2</w:t>
            </w:r>
          </w:p>
        </w:tc>
        <w:tc>
          <w:tcPr>
            <w:tcW w:w="157" w:type="pct"/>
            <w:tcBorders>
              <w:top w:val="nil"/>
              <w:left w:val="nil"/>
              <w:bottom w:val="single" w:sz="4" w:space="0" w:color="auto"/>
              <w:right w:val="single" w:sz="4" w:space="0" w:color="auto"/>
            </w:tcBorders>
            <w:shd w:val="clear" w:color="auto" w:fill="auto"/>
            <w:noWrap/>
            <w:vAlign w:val="center"/>
          </w:tcPr>
          <w:p w14:paraId="1D0E4153" w14:textId="77777777" w:rsidR="00E07660" w:rsidRPr="001B4CA2" w:rsidRDefault="00E07660" w:rsidP="00E07660">
            <w:pPr>
              <w:jc w:val="center"/>
              <w:rPr>
                <w:rFonts w:ascii="Calibri" w:hAnsi="Calibri" w:cs="Calibri"/>
                <w:color w:val="000000"/>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46ECDFF3"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08583C1B"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3C068E95"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6298BB80"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185E0162"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6967C4F2"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4CFB6888"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63E60378"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0A1FF92D"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07A6DA04"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27067471"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2</w:t>
            </w:r>
          </w:p>
        </w:tc>
        <w:tc>
          <w:tcPr>
            <w:tcW w:w="198" w:type="pct"/>
            <w:tcBorders>
              <w:top w:val="nil"/>
              <w:left w:val="nil"/>
              <w:bottom w:val="single" w:sz="4" w:space="0" w:color="auto"/>
              <w:right w:val="single" w:sz="4" w:space="0" w:color="auto"/>
            </w:tcBorders>
            <w:shd w:val="clear" w:color="auto" w:fill="auto"/>
            <w:noWrap/>
            <w:vAlign w:val="center"/>
          </w:tcPr>
          <w:p w14:paraId="3DADD43D" w14:textId="77777777" w:rsidR="00E07660" w:rsidRPr="001B4CA2" w:rsidRDefault="00E07660" w:rsidP="00E07660">
            <w:pPr>
              <w:jc w:val="center"/>
              <w:rPr>
                <w:rFonts w:ascii="Calibri" w:hAnsi="Calibri" w:cs="Calibri"/>
                <w:bCs/>
                <w:color w:val="000000"/>
                <w:sz w:val="20"/>
                <w:szCs w:val="20"/>
              </w:rPr>
            </w:pPr>
          </w:p>
        </w:tc>
        <w:tc>
          <w:tcPr>
            <w:tcW w:w="252" w:type="pct"/>
            <w:tcBorders>
              <w:top w:val="single" w:sz="4" w:space="0" w:color="auto"/>
              <w:left w:val="nil"/>
              <w:bottom w:val="single" w:sz="4" w:space="0" w:color="auto"/>
              <w:right w:val="single" w:sz="4" w:space="0" w:color="auto"/>
            </w:tcBorders>
            <w:vAlign w:val="center"/>
          </w:tcPr>
          <w:p w14:paraId="50B4030C"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4E5C9DD" w14:textId="77777777" w:rsidR="00E07660" w:rsidRPr="001B4CA2" w:rsidRDefault="00E07660" w:rsidP="00E07660">
            <w:pPr>
              <w:jc w:val="center"/>
              <w:rPr>
                <w:rFonts w:ascii="Calibri" w:hAnsi="Calibri" w:cs="Calibri"/>
                <w:sz w:val="20"/>
                <w:szCs w:val="20"/>
              </w:rPr>
            </w:pPr>
          </w:p>
        </w:tc>
      </w:tr>
      <w:tr w:rsidR="00FB2B5D" w:rsidRPr="001B4CA2" w14:paraId="41C3DCA0"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5F6DA870" w14:textId="77777777" w:rsidR="00E07660" w:rsidRPr="001B4CA2" w:rsidRDefault="00E07660" w:rsidP="00E07660">
            <w:pPr>
              <w:jc w:val="left"/>
              <w:rPr>
                <w:bCs/>
                <w:sz w:val="16"/>
                <w:szCs w:val="16"/>
              </w:rPr>
            </w:pPr>
            <w:r w:rsidRPr="001B4CA2">
              <w:rPr>
                <w:bCs/>
                <w:sz w:val="16"/>
                <w:szCs w:val="16"/>
              </w:rPr>
              <w:t xml:space="preserve">Središnji državni ured za obnovu i stambeno zbrinjavanje </w:t>
            </w:r>
          </w:p>
        </w:tc>
        <w:tc>
          <w:tcPr>
            <w:tcW w:w="195" w:type="pct"/>
            <w:tcBorders>
              <w:top w:val="nil"/>
              <w:left w:val="nil"/>
              <w:bottom w:val="single" w:sz="4" w:space="0" w:color="auto"/>
              <w:right w:val="single" w:sz="4" w:space="0" w:color="auto"/>
            </w:tcBorders>
            <w:shd w:val="clear" w:color="auto" w:fill="auto"/>
            <w:noWrap/>
            <w:vAlign w:val="center"/>
          </w:tcPr>
          <w:p w14:paraId="0CE3B7DE"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171177B3"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1429BC69"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202DCC55"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18049799" w14:textId="77777777" w:rsidR="00E07660" w:rsidRPr="001B4CA2" w:rsidRDefault="00E07660" w:rsidP="00E07660">
            <w:pPr>
              <w:jc w:val="center"/>
              <w:rPr>
                <w:rFonts w:ascii="Calibri" w:hAnsi="Calibri" w:cs="Calibri"/>
                <w:color w:val="000000"/>
                <w:sz w:val="20"/>
                <w:szCs w:val="20"/>
              </w:rPr>
            </w:pPr>
          </w:p>
        </w:tc>
        <w:tc>
          <w:tcPr>
            <w:tcW w:w="157" w:type="pct"/>
            <w:tcBorders>
              <w:top w:val="nil"/>
              <w:left w:val="nil"/>
              <w:bottom w:val="single" w:sz="4" w:space="0" w:color="auto"/>
              <w:right w:val="single" w:sz="4" w:space="0" w:color="auto"/>
            </w:tcBorders>
            <w:shd w:val="clear" w:color="auto" w:fill="auto"/>
            <w:noWrap/>
            <w:vAlign w:val="center"/>
          </w:tcPr>
          <w:p w14:paraId="03387D56" w14:textId="77777777" w:rsidR="00E07660" w:rsidRPr="001B4CA2" w:rsidRDefault="00E07660" w:rsidP="00E07660">
            <w:pPr>
              <w:jc w:val="center"/>
              <w:rPr>
                <w:rFonts w:ascii="Calibri" w:hAnsi="Calibri" w:cs="Calibri"/>
                <w:color w:val="000000"/>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292CFAED"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3DA30FCC"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33A1CA58"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60DC6583"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022F40BD"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69D34695"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6947BD9C"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004207B5"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002E4BCD"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0B1EAEED"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33296578" w14:textId="77777777" w:rsidR="00E07660" w:rsidRPr="001B4CA2" w:rsidRDefault="00E07660" w:rsidP="00E07660">
            <w:pPr>
              <w:jc w:val="center"/>
              <w:rPr>
                <w:rFonts w:ascii="Calibri" w:hAnsi="Calibri" w:cs="Calibri"/>
                <w:bCs/>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56268750" w14:textId="77777777" w:rsidR="00E07660" w:rsidRPr="001B4CA2" w:rsidRDefault="00E07660" w:rsidP="00E07660">
            <w:pPr>
              <w:jc w:val="center"/>
              <w:rPr>
                <w:rFonts w:ascii="Calibri" w:hAnsi="Calibri" w:cs="Calibri"/>
                <w:bCs/>
                <w:color w:val="000000"/>
                <w:sz w:val="20"/>
                <w:szCs w:val="20"/>
              </w:rPr>
            </w:pPr>
          </w:p>
        </w:tc>
        <w:tc>
          <w:tcPr>
            <w:tcW w:w="252" w:type="pct"/>
            <w:tcBorders>
              <w:top w:val="single" w:sz="4" w:space="0" w:color="auto"/>
              <w:left w:val="nil"/>
              <w:bottom w:val="single" w:sz="4" w:space="0" w:color="auto"/>
              <w:right w:val="single" w:sz="4" w:space="0" w:color="auto"/>
            </w:tcBorders>
            <w:vAlign w:val="center"/>
          </w:tcPr>
          <w:p w14:paraId="1F21E87F"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2E12135" w14:textId="77777777" w:rsidR="00E07660" w:rsidRPr="001B4CA2" w:rsidRDefault="00E07660" w:rsidP="00E07660">
            <w:pPr>
              <w:jc w:val="center"/>
              <w:rPr>
                <w:rFonts w:ascii="Calibri" w:hAnsi="Calibri" w:cs="Calibri"/>
                <w:sz w:val="20"/>
                <w:szCs w:val="20"/>
              </w:rPr>
            </w:pPr>
          </w:p>
        </w:tc>
      </w:tr>
      <w:tr w:rsidR="00FB2B5D" w:rsidRPr="001B4CA2" w14:paraId="523C4B79"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11F3AF09" w14:textId="77777777" w:rsidR="00E07660" w:rsidRPr="001B4CA2" w:rsidRDefault="00E07660" w:rsidP="00E07660">
            <w:pPr>
              <w:jc w:val="left"/>
              <w:rPr>
                <w:bCs/>
                <w:sz w:val="16"/>
                <w:szCs w:val="16"/>
              </w:rPr>
            </w:pPr>
            <w:r w:rsidRPr="001B4CA2">
              <w:rPr>
                <w:bCs/>
                <w:sz w:val="16"/>
                <w:szCs w:val="16"/>
              </w:rPr>
              <w:t>Državne nekretnine d.o.o.</w:t>
            </w:r>
          </w:p>
        </w:tc>
        <w:tc>
          <w:tcPr>
            <w:tcW w:w="195" w:type="pct"/>
            <w:tcBorders>
              <w:top w:val="nil"/>
              <w:left w:val="nil"/>
              <w:bottom w:val="single" w:sz="4" w:space="0" w:color="auto"/>
              <w:right w:val="single" w:sz="4" w:space="0" w:color="auto"/>
            </w:tcBorders>
            <w:shd w:val="clear" w:color="auto" w:fill="auto"/>
            <w:noWrap/>
            <w:vAlign w:val="center"/>
          </w:tcPr>
          <w:p w14:paraId="4C8E95A1"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17</w:t>
            </w:r>
          </w:p>
        </w:tc>
        <w:tc>
          <w:tcPr>
            <w:tcW w:w="157" w:type="pct"/>
            <w:tcBorders>
              <w:top w:val="nil"/>
              <w:left w:val="nil"/>
              <w:bottom w:val="single" w:sz="4" w:space="0" w:color="auto"/>
              <w:right w:val="single" w:sz="4" w:space="0" w:color="auto"/>
            </w:tcBorders>
            <w:shd w:val="clear" w:color="auto" w:fill="auto"/>
            <w:noWrap/>
            <w:vAlign w:val="center"/>
          </w:tcPr>
          <w:p w14:paraId="150F2585"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w:t>
            </w:r>
          </w:p>
        </w:tc>
        <w:tc>
          <w:tcPr>
            <w:tcW w:w="157" w:type="pct"/>
            <w:tcBorders>
              <w:top w:val="nil"/>
              <w:left w:val="nil"/>
              <w:bottom w:val="single" w:sz="4" w:space="0" w:color="auto"/>
              <w:right w:val="single" w:sz="4" w:space="0" w:color="auto"/>
            </w:tcBorders>
            <w:shd w:val="clear" w:color="auto" w:fill="auto"/>
            <w:noWrap/>
            <w:vAlign w:val="center"/>
          </w:tcPr>
          <w:p w14:paraId="011F259A"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22F246F6"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10</w:t>
            </w:r>
          </w:p>
        </w:tc>
        <w:tc>
          <w:tcPr>
            <w:tcW w:w="196" w:type="pct"/>
            <w:tcBorders>
              <w:top w:val="nil"/>
              <w:left w:val="nil"/>
              <w:bottom w:val="single" w:sz="4" w:space="0" w:color="auto"/>
              <w:right w:val="single" w:sz="4" w:space="0" w:color="auto"/>
            </w:tcBorders>
            <w:shd w:val="clear" w:color="auto" w:fill="auto"/>
            <w:noWrap/>
            <w:vAlign w:val="center"/>
          </w:tcPr>
          <w:p w14:paraId="4398FFD1"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117</w:t>
            </w:r>
          </w:p>
        </w:tc>
        <w:tc>
          <w:tcPr>
            <w:tcW w:w="157" w:type="pct"/>
            <w:tcBorders>
              <w:top w:val="nil"/>
              <w:left w:val="nil"/>
              <w:bottom w:val="single" w:sz="4" w:space="0" w:color="auto"/>
              <w:right w:val="single" w:sz="4" w:space="0" w:color="auto"/>
            </w:tcBorders>
            <w:shd w:val="clear" w:color="auto" w:fill="auto"/>
            <w:noWrap/>
            <w:vAlign w:val="center"/>
          </w:tcPr>
          <w:p w14:paraId="5F9ADFF6"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29</w:t>
            </w:r>
          </w:p>
        </w:tc>
        <w:tc>
          <w:tcPr>
            <w:tcW w:w="197" w:type="pct"/>
            <w:tcBorders>
              <w:top w:val="nil"/>
              <w:left w:val="nil"/>
              <w:bottom w:val="single" w:sz="4" w:space="0" w:color="auto"/>
              <w:right w:val="single" w:sz="4" w:space="0" w:color="auto"/>
            </w:tcBorders>
            <w:shd w:val="clear" w:color="auto" w:fill="auto"/>
            <w:noWrap/>
            <w:vAlign w:val="center"/>
          </w:tcPr>
          <w:p w14:paraId="538EB93B"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2564F69C"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3.941</w:t>
            </w:r>
          </w:p>
        </w:tc>
        <w:tc>
          <w:tcPr>
            <w:tcW w:w="197" w:type="pct"/>
            <w:tcBorders>
              <w:top w:val="nil"/>
              <w:left w:val="nil"/>
              <w:bottom w:val="single" w:sz="4" w:space="0" w:color="auto"/>
              <w:right w:val="single" w:sz="4" w:space="0" w:color="auto"/>
            </w:tcBorders>
            <w:shd w:val="clear" w:color="auto" w:fill="auto"/>
            <w:noWrap/>
            <w:vAlign w:val="center"/>
          </w:tcPr>
          <w:p w14:paraId="2D5580E9" w14:textId="77777777" w:rsidR="00E07660" w:rsidRPr="001B4CA2" w:rsidRDefault="00E07660" w:rsidP="00E07660">
            <w:pPr>
              <w:jc w:val="center"/>
              <w:rPr>
                <w:rFonts w:ascii="Calibri" w:hAnsi="Calibri" w:cs="Calibri"/>
                <w:color w:val="000000"/>
                <w:sz w:val="20"/>
                <w:szCs w:val="20"/>
              </w:rPr>
            </w:pPr>
          </w:p>
        </w:tc>
        <w:tc>
          <w:tcPr>
            <w:tcW w:w="198" w:type="pct"/>
            <w:tcBorders>
              <w:top w:val="nil"/>
              <w:left w:val="nil"/>
              <w:bottom w:val="single" w:sz="4" w:space="0" w:color="auto"/>
              <w:right w:val="single" w:sz="4" w:space="0" w:color="auto"/>
            </w:tcBorders>
            <w:shd w:val="clear" w:color="auto" w:fill="auto"/>
            <w:noWrap/>
            <w:vAlign w:val="center"/>
          </w:tcPr>
          <w:p w14:paraId="443F3400" w14:textId="77777777" w:rsidR="00E07660" w:rsidRPr="001B4CA2" w:rsidRDefault="00E07660" w:rsidP="00E07660">
            <w:pPr>
              <w:jc w:val="center"/>
              <w:rPr>
                <w:rFonts w:ascii="Calibri" w:hAnsi="Calibri" w:cs="Calibri"/>
                <w:color w:val="000000"/>
                <w:sz w:val="20"/>
                <w:szCs w:val="20"/>
              </w:rPr>
            </w:pPr>
          </w:p>
        </w:tc>
        <w:tc>
          <w:tcPr>
            <w:tcW w:w="208" w:type="pct"/>
            <w:tcBorders>
              <w:top w:val="nil"/>
              <w:left w:val="nil"/>
              <w:bottom w:val="single" w:sz="4" w:space="0" w:color="auto"/>
              <w:right w:val="single" w:sz="4" w:space="0" w:color="auto"/>
            </w:tcBorders>
            <w:shd w:val="clear" w:color="auto" w:fill="auto"/>
            <w:noWrap/>
            <w:vAlign w:val="center"/>
          </w:tcPr>
          <w:p w14:paraId="47BAB72C"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6111DE49" w14:textId="77777777" w:rsidR="00E07660" w:rsidRPr="001B4CA2" w:rsidRDefault="00E07660" w:rsidP="00E07660">
            <w:pPr>
              <w:jc w:val="center"/>
              <w:rPr>
                <w:rFonts w:ascii="Calibri" w:hAnsi="Calibri" w:cs="Calibri"/>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0589856B"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2</w:t>
            </w:r>
          </w:p>
        </w:tc>
        <w:tc>
          <w:tcPr>
            <w:tcW w:w="146" w:type="pct"/>
            <w:tcBorders>
              <w:top w:val="nil"/>
              <w:left w:val="nil"/>
              <w:bottom w:val="single" w:sz="4" w:space="0" w:color="auto"/>
              <w:right w:val="single" w:sz="4" w:space="0" w:color="auto"/>
            </w:tcBorders>
            <w:shd w:val="clear" w:color="auto" w:fill="auto"/>
            <w:noWrap/>
            <w:vAlign w:val="center"/>
          </w:tcPr>
          <w:p w14:paraId="07D006C2"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529FEC62"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5C3C565F"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11CA7480"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136</w:t>
            </w:r>
          </w:p>
        </w:tc>
        <w:tc>
          <w:tcPr>
            <w:tcW w:w="198" w:type="pct"/>
            <w:tcBorders>
              <w:top w:val="nil"/>
              <w:left w:val="nil"/>
              <w:bottom w:val="single" w:sz="4" w:space="0" w:color="auto"/>
              <w:right w:val="single" w:sz="4" w:space="0" w:color="auto"/>
            </w:tcBorders>
            <w:shd w:val="clear" w:color="auto" w:fill="auto"/>
            <w:noWrap/>
            <w:vAlign w:val="center"/>
          </w:tcPr>
          <w:p w14:paraId="1EE3FAE4"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30</w:t>
            </w:r>
          </w:p>
        </w:tc>
        <w:tc>
          <w:tcPr>
            <w:tcW w:w="252" w:type="pct"/>
            <w:tcBorders>
              <w:top w:val="single" w:sz="4" w:space="0" w:color="auto"/>
              <w:left w:val="nil"/>
              <w:bottom w:val="single" w:sz="4" w:space="0" w:color="auto"/>
              <w:right w:val="single" w:sz="4" w:space="0" w:color="auto"/>
            </w:tcBorders>
            <w:vAlign w:val="center"/>
          </w:tcPr>
          <w:p w14:paraId="2B1CACA2"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6179859"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3.951</w:t>
            </w:r>
          </w:p>
        </w:tc>
      </w:tr>
      <w:tr w:rsidR="00FB2B5D" w:rsidRPr="001B4CA2" w14:paraId="0D894331"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6E28432F" w14:textId="77777777" w:rsidR="00E07660" w:rsidRPr="001B4CA2" w:rsidRDefault="00E07660" w:rsidP="00E07660">
            <w:pPr>
              <w:jc w:val="left"/>
              <w:rPr>
                <w:bCs/>
                <w:sz w:val="16"/>
                <w:szCs w:val="16"/>
              </w:rPr>
            </w:pPr>
            <w:r w:rsidRPr="001B4CA2">
              <w:rPr>
                <w:bCs/>
                <w:sz w:val="16"/>
                <w:szCs w:val="16"/>
              </w:rPr>
              <w:t xml:space="preserve">Ostali </w:t>
            </w:r>
          </w:p>
        </w:tc>
        <w:tc>
          <w:tcPr>
            <w:tcW w:w="195" w:type="pct"/>
            <w:tcBorders>
              <w:top w:val="nil"/>
              <w:left w:val="nil"/>
              <w:bottom w:val="single" w:sz="4" w:space="0" w:color="auto"/>
              <w:right w:val="single" w:sz="4" w:space="0" w:color="auto"/>
            </w:tcBorders>
            <w:shd w:val="clear" w:color="auto" w:fill="auto"/>
            <w:noWrap/>
            <w:vAlign w:val="center"/>
          </w:tcPr>
          <w:p w14:paraId="19A6674D"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w:t>
            </w:r>
          </w:p>
        </w:tc>
        <w:tc>
          <w:tcPr>
            <w:tcW w:w="157" w:type="pct"/>
            <w:tcBorders>
              <w:top w:val="nil"/>
              <w:left w:val="nil"/>
              <w:bottom w:val="single" w:sz="4" w:space="0" w:color="auto"/>
              <w:right w:val="single" w:sz="4" w:space="0" w:color="auto"/>
            </w:tcBorders>
            <w:shd w:val="clear" w:color="auto" w:fill="auto"/>
            <w:noWrap/>
            <w:vAlign w:val="center"/>
          </w:tcPr>
          <w:p w14:paraId="1FD5A6F4"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1</w:t>
            </w:r>
          </w:p>
        </w:tc>
        <w:tc>
          <w:tcPr>
            <w:tcW w:w="157" w:type="pct"/>
            <w:tcBorders>
              <w:top w:val="nil"/>
              <w:left w:val="nil"/>
              <w:bottom w:val="single" w:sz="4" w:space="0" w:color="auto"/>
              <w:right w:val="single" w:sz="4" w:space="0" w:color="auto"/>
            </w:tcBorders>
            <w:shd w:val="clear" w:color="auto" w:fill="auto"/>
            <w:noWrap/>
            <w:vAlign w:val="center"/>
          </w:tcPr>
          <w:p w14:paraId="62729809" w14:textId="77777777" w:rsidR="00E07660" w:rsidRPr="001B4CA2" w:rsidRDefault="00E07660" w:rsidP="00E07660">
            <w:pPr>
              <w:jc w:val="center"/>
              <w:rPr>
                <w:rFonts w:ascii="Calibri" w:hAnsi="Calibri" w:cs="Calibri"/>
                <w:color w:val="000000"/>
                <w:sz w:val="20"/>
                <w:szCs w:val="20"/>
              </w:rPr>
            </w:pPr>
          </w:p>
        </w:tc>
        <w:tc>
          <w:tcPr>
            <w:tcW w:w="256" w:type="pct"/>
            <w:tcBorders>
              <w:top w:val="nil"/>
              <w:left w:val="nil"/>
              <w:bottom w:val="single" w:sz="4" w:space="0" w:color="auto"/>
              <w:right w:val="single" w:sz="4" w:space="0" w:color="auto"/>
            </w:tcBorders>
            <w:shd w:val="clear" w:color="auto" w:fill="auto"/>
            <w:vAlign w:val="center"/>
          </w:tcPr>
          <w:p w14:paraId="613F705A" w14:textId="77777777" w:rsidR="00E07660" w:rsidRPr="001B4CA2" w:rsidRDefault="00E07660" w:rsidP="00E07660">
            <w:pPr>
              <w:jc w:val="center"/>
              <w:rPr>
                <w:rFonts w:ascii="Calibri" w:hAnsi="Calibri" w:cs="Calibri"/>
                <w:sz w:val="20"/>
                <w:szCs w:val="20"/>
              </w:rPr>
            </w:pPr>
          </w:p>
        </w:tc>
        <w:tc>
          <w:tcPr>
            <w:tcW w:w="196" w:type="pct"/>
            <w:tcBorders>
              <w:top w:val="nil"/>
              <w:left w:val="nil"/>
              <w:bottom w:val="single" w:sz="4" w:space="0" w:color="auto"/>
              <w:right w:val="single" w:sz="4" w:space="0" w:color="auto"/>
            </w:tcBorders>
            <w:shd w:val="clear" w:color="auto" w:fill="auto"/>
            <w:noWrap/>
            <w:vAlign w:val="center"/>
          </w:tcPr>
          <w:p w14:paraId="59C619CA"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2</w:t>
            </w:r>
          </w:p>
        </w:tc>
        <w:tc>
          <w:tcPr>
            <w:tcW w:w="157" w:type="pct"/>
            <w:tcBorders>
              <w:top w:val="nil"/>
              <w:left w:val="nil"/>
              <w:bottom w:val="single" w:sz="4" w:space="0" w:color="auto"/>
              <w:right w:val="single" w:sz="4" w:space="0" w:color="auto"/>
            </w:tcBorders>
            <w:shd w:val="clear" w:color="auto" w:fill="auto"/>
            <w:noWrap/>
            <w:vAlign w:val="center"/>
          </w:tcPr>
          <w:p w14:paraId="1FD84635" w14:textId="77777777" w:rsidR="00E07660" w:rsidRPr="001B4CA2" w:rsidRDefault="00E07660" w:rsidP="00E07660">
            <w:pPr>
              <w:jc w:val="center"/>
              <w:rPr>
                <w:rFonts w:ascii="Calibri" w:hAnsi="Calibri" w:cs="Calibri"/>
                <w:color w:val="000000"/>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470A2157" w14:textId="77777777" w:rsidR="00E07660" w:rsidRPr="001B4CA2" w:rsidRDefault="00E07660" w:rsidP="00E07660">
            <w:pPr>
              <w:jc w:val="center"/>
              <w:rPr>
                <w:rFonts w:ascii="Calibri" w:hAnsi="Calibri" w:cs="Calibri"/>
                <w:color w:val="000000"/>
                <w:sz w:val="20"/>
                <w:szCs w:val="20"/>
              </w:rPr>
            </w:pPr>
          </w:p>
        </w:tc>
        <w:tc>
          <w:tcPr>
            <w:tcW w:w="257" w:type="pct"/>
            <w:tcBorders>
              <w:top w:val="nil"/>
              <w:left w:val="nil"/>
              <w:bottom w:val="single" w:sz="4" w:space="0" w:color="auto"/>
              <w:right w:val="single" w:sz="4" w:space="0" w:color="auto"/>
            </w:tcBorders>
            <w:shd w:val="clear" w:color="auto" w:fill="auto"/>
            <w:noWrap/>
            <w:vAlign w:val="center"/>
          </w:tcPr>
          <w:p w14:paraId="6AADE862" w14:textId="77777777" w:rsidR="00E07660" w:rsidRPr="001B4CA2" w:rsidRDefault="00E07660" w:rsidP="00E07660">
            <w:pPr>
              <w:jc w:val="center"/>
              <w:rPr>
                <w:rFonts w:ascii="Calibri" w:hAnsi="Calibri" w:cs="Calibri"/>
                <w:sz w:val="20"/>
                <w:szCs w:val="20"/>
              </w:rPr>
            </w:pPr>
          </w:p>
        </w:tc>
        <w:tc>
          <w:tcPr>
            <w:tcW w:w="197" w:type="pct"/>
            <w:tcBorders>
              <w:top w:val="nil"/>
              <w:left w:val="nil"/>
              <w:bottom w:val="single" w:sz="4" w:space="0" w:color="auto"/>
              <w:right w:val="single" w:sz="4" w:space="0" w:color="auto"/>
            </w:tcBorders>
            <w:shd w:val="clear" w:color="auto" w:fill="auto"/>
            <w:noWrap/>
            <w:vAlign w:val="center"/>
          </w:tcPr>
          <w:p w14:paraId="2CB8F961"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tcPr>
          <w:p w14:paraId="4F43C8CB" w14:textId="77777777" w:rsidR="00E07660" w:rsidRPr="001B4CA2" w:rsidRDefault="00E07660" w:rsidP="00E07660">
            <w:pPr>
              <w:jc w:val="center"/>
              <w:rPr>
                <w:rFonts w:ascii="Calibri" w:hAnsi="Calibri" w:cs="Calibri"/>
                <w:color w:val="000000"/>
                <w:sz w:val="20"/>
                <w:szCs w:val="20"/>
              </w:rPr>
            </w:pPr>
            <w:r w:rsidRPr="001B4CA2">
              <w:rPr>
                <w:rFonts w:ascii="Calibri" w:hAnsi="Calibri" w:cs="Calibri"/>
                <w:color w:val="000000"/>
                <w:sz w:val="20"/>
                <w:szCs w:val="20"/>
              </w:rPr>
              <w:t>6</w:t>
            </w:r>
          </w:p>
        </w:tc>
        <w:tc>
          <w:tcPr>
            <w:tcW w:w="208" w:type="pct"/>
            <w:tcBorders>
              <w:top w:val="nil"/>
              <w:left w:val="nil"/>
              <w:bottom w:val="single" w:sz="4" w:space="0" w:color="auto"/>
              <w:right w:val="single" w:sz="4" w:space="0" w:color="auto"/>
            </w:tcBorders>
            <w:shd w:val="clear" w:color="auto" w:fill="auto"/>
            <w:noWrap/>
            <w:vAlign w:val="center"/>
          </w:tcPr>
          <w:p w14:paraId="767AE351" w14:textId="77777777" w:rsidR="00E07660" w:rsidRPr="001B4CA2" w:rsidRDefault="00E07660" w:rsidP="00E07660">
            <w:pPr>
              <w:jc w:val="center"/>
              <w:rPr>
                <w:rFonts w:ascii="Calibri" w:hAnsi="Calibri" w:cs="Calibri"/>
                <w:color w:val="000000"/>
                <w:sz w:val="20"/>
                <w:szCs w:val="20"/>
              </w:rPr>
            </w:pPr>
          </w:p>
        </w:tc>
        <w:tc>
          <w:tcPr>
            <w:tcW w:w="220" w:type="pct"/>
            <w:tcBorders>
              <w:top w:val="nil"/>
              <w:left w:val="nil"/>
              <w:bottom w:val="single" w:sz="4" w:space="0" w:color="auto"/>
              <w:right w:val="single" w:sz="4" w:space="0" w:color="auto"/>
            </w:tcBorders>
            <w:shd w:val="clear" w:color="auto" w:fill="auto"/>
            <w:noWrap/>
            <w:vAlign w:val="center"/>
          </w:tcPr>
          <w:p w14:paraId="636F96E1"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546</w:t>
            </w:r>
          </w:p>
        </w:tc>
        <w:tc>
          <w:tcPr>
            <w:tcW w:w="146" w:type="pct"/>
            <w:tcBorders>
              <w:top w:val="nil"/>
              <w:left w:val="nil"/>
              <w:bottom w:val="single" w:sz="4" w:space="0" w:color="auto"/>
              <w:right w:val="single" w:sz="4" w:space="0" w:color="auto"/>
            </w:tcBorders>
            <w:shd w:val="clear" w:color="auto" w:fill="auto"/>
            <w:noWrap/>
            <w:vAlign w:val="center"/>
          </w:tcPr>
          <w:p w14:paraId="4AFC2AB3" w14:textId="77777777" w:rsidR="00E07660" w:rsidRPr="001B4CA2" w:rsidRDefault="00E07660" w:rsidP="00E07660">
            <w:pPr>
              <w:jc w:val="center"/>
              <w:rPr>
                <w:rFonts w:ascii="Calibri" w:hAnsi="Calibri" w:cs="Calibri"/>
                <w:color w:val="000000"/>
                <w:sz w:val="20"/>
                <w:szCs w:val="20"/>
              </w:rPr>
            </w:pPr>
          </w:p>
        </w:tc>
        <w:tc>
          <w:tcPr>
            <w:tcW w:w="146" w:type="pct"/>
            <w:tcBorders>
              <w:top w:val="nil"/>
              <w:left w:val="nil"/>
              <w:bottom w:val="single" w:sz="4" w:space="0" w:color="auto"/>
              <w:right w:val="single" w:sz="4" w:space="0" w:color="auto"/>
            </w:tcBorders>
            <w:shd w:val="clear" w:color="auto" w:fill="auto"/>
            <w:noWrap/>
            <w:vAlign w:val="center"/>
          </w:tcPr>
          <w:p w14:paraId="46FF039F" w14:textId="77777777" w:rsidR="00E07660" w:rsidRPr="001B4CA2" w:rsidRDefault="00E07660" w:rsidP="00E07660">
            <w:pPr>
              <w:jc w:val="center"/>
              <w:rPr>
                <w:rFonts w:ascii="Calibri" w:hAnsi="Calibri" w:cs="Calibri"/>
                <w:color w:val="000000"/>
                <w:sz w:val="20"/>
                <w:szCs w:val="20"/>
              </w:rPr>
            </w:pPr>
          </w:p>
        </w:tc>
        <w:tc>
          <w:tcPr>
            <w:tcW w:w="175" w:type="pct"/>
            <w:tcBorders>
              <w:top w:val="nil"/>
              <w:left w:val="nil"/>
              <w:bottom w:val="single" w:sz="4" w:space="0" w:color="auto"/>
              <w:right w:val="single" w:sz="4" w:space="0" w:color="auto"/>
            </w:tcBorders>
            <w:shd w:val="clear" w:color="auto" w:fill="auto"/>
            <w:noWrap/>
            <w:vAlign w:val="center"/>
          </w:tcPr>
          <w:p w14:paraId="403AC87F" w14:textId="77777777" w:rsidR="00E07660" w:rsidRPr="001B4CA2" w:rsidRDefault="00E07660" w:rsidP="00E07660">
            <w:pPr>
              <w:jc w:val="center"/>
              <w:rPr>
                <w:rFonts w:ascii="Calibri" w:hAnsi="Calibri" w:cs="Calibri"/>
                <w:color w:val="000000"/>
                <w:sz w:val="20"/>
                <w:szCs w:val="20"/>
              </w:rPr>
            </w:pPr>
          </w:p>
        </w:tc>
        <w:tc>
          <w:tcPr>
            <w:tcW w:w="183" w:type="pct"/>
            <w:tcBorders>
              <w:top w:val="nil"/>
              <w:left w:val="nil"/>
              <w:bottom w:val="single" w:sz="4" w:space="0" w:color="auto"/>
              <w:right w:val="single" w:sz="4" w:space="0" w:color="auto"/>
            </w:tcBorders>
            <w:shd w:val="clear" w:color="auto" w:fill="auto"/>
            <w:noWrap/>
            <w:vAlign w:val="center"/>
          </w:tcPr>
          <w:p w14:paraId="2A2A92E5" w14:textId="77777777" w:rsidR="00E07660" w:rsidRPr="001B4CA2" w:rsidRDefault="00E07660" w:rsidP="00E07660">
            <w:pPr>
              <w:jc w:val="center"/>
              <w:rPr>
                <w:rFonts w:ascii="Calibri" w:hAnsi="Calibri" w:cs="Calibri"/>
                <w:color w:val="000000"/>
                <w:sz w:val="20"/>
                <w:szCs w:val="20"/>
              </w:rPr>
            </w:pPr>
          </w:p>
        </w:tc>
        <w:tc>
          <w:tcPr>
            <w:tcW w:w="170" w:type="pct"/>
            <w:tcBorders>
              <w:top w:val="nil"/>
              <w:left w:val="nil"/>
              <w:bottom w:val="single" w:sz="4" w:space="0" w:color="auto"/>
              <w:right w:val="single" w:sz="4" w:space="0" w:color="auto"/>
            </w:tcBorders>
            <w:shd w:val="clear" w:color="auto" w:fill="auto"/>
            <w:noWrap/>
            <w:vAlign w:val="center"/>
          </w:tcPr>
          <w:p w14:paraId="3E521E1A"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8</w:t>
            </w:r>
          </w:p>
        </w:tc>
        <w:tc>
          <w:tcPr>
            <w:tcW w:w="198" w:type="pct"/>
            <w:tcBorders>
              <w:top w:val="nil"/>
              <w:left w:val="nil"/>
              <w:bottom w:val="single" w:sz="4" w:space="0" w:color="auto"/>
              <w:right w:val="single" w:sz="4" w:space="0" w:color="auto"/>
            </w:tcBorders>
            <w:shd w:val="clear" w:color="auto" w:fill="auto"/>
            <w:noWrap/>
            <w:vAlign w:val="center"/>
          </w:tcPr>
          <w:p w14:paraId="6F59AD26"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7</w:t>
            </w:r>
          </w:p>
        </w:tc>
        <w:tc>
          <w:tcPr>
            <w:tcW w:w="252" w:type="pct"/>
            <w:tcBorders>
              <w:top w:val="single" w:sz="4" w:space="0" w:color="auto"/>
              <w:left w:val="nil"/>
              <w:bottom w:val="single" w:sz="4" w:space="0" w:color="auto"/>
              <w:right w:val="single" w:sz="4" w:space="0" w:color="auto"/>
            </w:tcBorders>
            <w:vAlign w:val="center"/>
          </w:tcPr>
          <w:p w14:paraId="5E54859C" w14:textId="77777777" w:rsidR="00E07660" w:rsidRPr="001B4CA2" w:rsidRDefault="00E07660" w:rsidP="00E07660">
            <w:pPr>
              <w:jc w:val="center"/>
              <w:rPr>
                <w:rFonts w:ascii="Calibri" w:hAnsi="Calibri" w:cs="Calibri"/>
                <w:bCs/>
                <w:color w:val="000000"/>
                <w:sz w:val="20"/>
                <w:szCs w:val="20"/>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6B96A6C8" w14:textId="77777777" w:rsidR="00E07660" w:rsidRPr="001B4CA2" w:rsidRDefault="00E07660" w:rsidP="00E07660">
            <w:pPr>
              <w:jc w:val="center"/>
              <w:rPr>
                <w:rFonts w:ascii="Calibri" w:hAnsi="Calibri" w:cs="Calibri"/>
                <w:sz w:val="20"/>
                <w:szCs w:val="20"/>
              </w:rPr>
            </w:pPr>
            <w:r w:rsidRPr="001B4CA2">
              <w:rPr>
                <w:rFonts w:ascii="Calibri" w:hAnsi="Calibri" w:cs="Calibri"/>
                <w:sz w:val="20"/>
                <w:szCs w:val="20"/>
              </w:rPr>
              <w:t>546</w:t>
            </w:r>
          </w:p>
        </w:tc>
      </w:tr>
      <w:tr w:rsidR="00FB2B5D" w:rsidRPr="001B4CA2" w14:paraId="533B8D03" w14:textId="77777777" w:rsidTr="00223ABD">
        <w:trPr>
          <w:cantSplit/>
          <w:trHeight w:val="279"/>
        </w:trPr>
        <w:tc>
          <w:tcPr>
            <w:tcW w:w="1082" w:type="pct"/>
            <w:tcBorders>
              <w:top w:val="nil"/>
              <w:left w:val="single" w:sz="4" w:space="0" w:color="auto"/>
              <w:bottom w:val="single" w:sz="4" w:space="0" w:color="auto"/>
              <w:right w:val="single" w:sz="4" w:space="0" w:color="auto"/>
            </w:tcBorders>
            <w:shd w:val="clear" w:color="auto" w:fill="auto"/>
            <w:vAlign w:val="center"/>
            <w:hideMark/>
          </w:tcPr>
          <w:p w14:paraId="65E35E14" w14:textId="77777777" w:rsidR="00E07660" w:rsidRPr="001B4CA2" w:rsidRDefault="00E07660" w:rsidP="00E07660">
            <w:pPr>
              <w:jc w:val="left"/>
              <w:rPr>
                <w:b/>
                <w:bCs/>
                <w:sz w:val="16"/>
                <w:szCs w:val="16"/>
              </w:rPr>
            </w:pPr>
            <w:r w:rsidRPr="001B4CA2">
              <w:rPr>
                <w:b/>
                <w:bCs/>
                <w:sz w:val="16"/>
                <w:szCs w:val="16"/>
              </w:rPr>
              <w:t>UKUPNO</w:t>
            </w:r>
          </w:p>
        </w:tc>
        <w:tc>
          <w:tcPr>
            <w:tcW w:w="195" w:type="pct"/>
            <w:tcBorders>
              <w:top w:val="nil"/>
              <w:left w:val="nil"/>
              <w:bottom w:val="single" w:sz="4" w:space="0" w:color="auto"/>
              <w:right w:val="single" w:sz="4" w:space="0" w:color="auto"/>
            </w:tcBorders>
            <w:shd w:val="clear" w:color="auto" w:fill="auto"/>
            <w:noWrap/>
            <w:vAlign w:val="center"/>
          </w:tcPr>
          <w:p w14:paraId="5E9D16B5"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136</w:t>
            </w:r>
          </w:p>
        </w:tc>
        <w:tc>
          <w:tcPr>
            <w:tcW w:w="157" w:type="pct"/>
            <w:tcBorders>
              <w:top w:val="nil"/>
              <w:left w:val="nil"/>
              <w:bottom w:val="single" w:sz="4" w:space="0" w:color="auto"/>
              <w:right w:val="single" w:sz="4" w:space="0" w:color="auto"/>
            </w:tcBorders>
            <w:shd w:val="clear" w:color="auto" w:fill="auto"/>
            <w:noWrap/>
            <w:vAlign w:val="center"/>
          </w:tcPr>
          <w:p w14:paraId="4B7CF7BE"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47</w:t>
            </w:r>
          </w:p>
        </w:tc>
        <w:tc>
          <w:tcPr>
            <w:tcW w:w="157" w:type="pct"/>
            <w:tcBorders>
              <w:top w:val="nil"/>
              <w:left w:val="nil"/>
              <w:bottom w:val="single" w:sz="4" w:space="0" w:color="auto"/>
              <w:right w:val="single" w:sz="4" w:space="0" w:color="auto"/>
            </w:tcBorders>
            <w:shd w:val="clear" w:color="auto" w:fill="auto"/>
            <w:noWrap/>
            <w:vAlign w:val="center"/>
          </w:tcPr>
          <w:p w14:paraId="143913A3"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35</w:t>
            </w:r>
          </w:p>
        </w:tc>
        <w:tc>
          <w:tcPr>
            <w:tcW w:w="256" w:type="pct"/>
            <w:tcBorders>
              <w:top w:val="nil"/>
              <w:left w:val="nil"/>
              <w:bottom w:val="single" w:sz="4" w:space="0" w:color="auto"/>
              <w:right w:val="single" w:sz="4" w:space="0" w:color="auto"/>
            </w:tcBorders>
            <w:shd w:val="clear" w:color="auto" w:fill="auto"/>
            <w:vAlign w:val="center"/>
          </w:tcPr>
          <w:p w14:paraId="6CB2FEFF" w14:textId="77777777" w:rsidR="00E07660" w:rsidRPr="001B4CA2" w:rsidRDefault="00E07660" w:rsidP="00E07660">
            <w:pPr>
              <w:jc w:val="center"/>
              <w:rPr>
                <w:rFonts w:ascii="Calibri" w:hAnsi="Calibri" w:cs="Calibri"/>
                <w:b/>
                <w:sz w:val="20"/>
                <w:szCs w:val="20"/>
              </w:rPr>
            </w:pPr>
            <w:r w:rsidRPr="001B4CA2">
              <w:rPr>
                <w:rFonts w:ascii="Calibri" w:hAnsi="Calibri" w:cs="Calibri"/>
                <w:b/>
                <w:sz w:val="20"/>
                <w:szCs w:val="20"/>
              </w:rPr>
              <w:t>3.541</w:t>
            </w:r>
          </w:p>
        </w:tc>
        <w:tc>
          <w:tcPr>
            <w:tcW w:w="196" w:type="pct"/>
            <w:tcBorders>
              <w:top w:val="nil"/>
              <w:left w:val="nil"/>
              <w:bottom w:val="single" w:sz="4" w:space="0" w:color="auto"/>
              <w:right w:val="single" w:sz="4" w:space="0" w:color="auto"/>
            </w:tcBorders>
            <w:shd w:val="clear" w:color="auto" w:fill="auto"/>
            <w:noWrap/>
            <w:vAlign w:val="center"/>
          </w:tcPr>
          <w:p w14:paraId="29ED71FA"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258</w:t>
            </w:r>
          </w:p>
        </w:tc>
        <w:tc>
          <w:tcPr>
            <w:tcW w:w="157" w:type="pct"/>
            <w:tcBorders>
              <w:top w:val="nil"/>
              <w:left w:val="nil"/>
              <w:bottom w:val="single" w:sz="4" w:space="0" w:color="auto"/>
              <w:right w:val="single" w:sz="4" w:space="0" w:color="auto"/>
            </w:tcBorders>
            <w:shd w:val="clear" w:color="auto" w:fill="auto"/>
            <w:noWrap/>
            <w:vAlign w:val="center"/>
          </w:tcPr>
          <w:p w14:paraId="153A48AF"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88</w:t>
            </w:r>
          </w:p>
        </w:tc>
        <w:tc>
          <w:tcPr>
            <w:tcW w:w="197" w:type="pct"/>
            <w:tcBorders>
              <w:top w:val="nil"/>
              <w:left w:val="nil"/>
              <w:bottom w:val="single" w:sz="4" w:space="0" w:color="auto"/>
              <w:right w:val="single" w:sz="4" w:space="0" w:color="auto"/>
            </w:tcBorders>
            <w:shd w:val="clear" w:color="auto" w:fill="auto"/>
            <w:noWrap/>
            <w:vAlign w:val="center"/>
          </w:tcPr>
          <w:p w14:paraId="78031246"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34</w:t>
            </w:r>
          </w:p>
        </w:tc>
        <w:tc>
          <w:tcPr>
            <w:tcW w:w="257" w:type="pct"/>
            <w:tcBorders>
              <w:top w:val="nil"/>
              <w:left w:val="nil"/>
              <w:bottom w:val="single" w:sz="4" w:space="0" w:color="auto"/>
              <w:right w:val="single" w:sz="4" w:space="0" w:color="auto"/>
            </w:tcBorders>
            <w:shd w:val="clear" w:color="auto" w:fill="auto"/>
            <w:noWrap/>
            <w:vAlign w:val="center"/>
          </w:tcPr>
          <w:p w14:paraId="28E10A2E" w14:textId="77777777" w:rsidR="00E07660" w:rsidRPr="001B4CA2" w:rsidRDefault="00E07660" w:rsidP="00E07660">
            <w:pPr>
              <w:jc w:val="center"/>
              <w:rPr>
                <w:rFonts w:ascii="Calibri" w:hAnsi="Calibri" w:cs="Calibri"/>
                <w:b/>
                <w:sz w:val="20"/>
                <w:szCs w:val="20"/>
              </w:rPr>
            </w:pPr>
            <w:r w:rsidRPr="001B4CA2">
              <w:rPr>
                <w:rFonts w:ascii="Calibri" w:hAnsi="Calibri" w:cs="Calibri"/>
                <w:b/>
                <w:sz w:val="20"/>
                <w:szCs w:val="20"/>
              </w:rPr>
              <w:t>31.017</w:t>
            </w:r>
          </w:p>
        </w:tc>
        <w:tc>
          <w:tcPr>
            <w:tcW w:w="197" w:type="pct"/>
            <w:tcBorders>
              <w:top w:val="nil"/>
              <w:left w:val="nil"/>
              <w:bottom w:val="single" w:sz="4" w:space="0" w:color="auto"/>
              <w:right w:val="single" w:sz="4" w:space="0" w:color="auto"/>
            </w:tcBorders>
            <w:shd w:val="clear" w:color="auto" w:fill="auto"/>
            <w:noWrap/>
            <w:vAlign w:val="center"/>
          </w:tcPr>
          <w:p w14:paraId="5C505F33"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153</w:t>
            </w:r>
          </w:p>
        </w:tc>
        <w:tc>
          <w:tcPr>
            <w:tcW w:w="198" w:type="pct"/>
            <w:tcBorders>
              <w:top w:val="nil"/>
              <w:left w:val="nil"/>
              <w:bottom w:val="single" w:sz="4" w:space="0" w:color="auto"/>
              <w:right w:val="single" w:sz="4" w:space="0" w:color="auto"/>
            </w:tcBorders>
            <w:shd w:val="clear" w:color="auto" w:fill="auto"/>
            <w:noWrap/>
            <w:vAlign w:val="center"/>
          </w:tcPr>
          <w:p w14:paraId="1261153A"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131</w:t>
            </w:r>
          </w:p>
        </w:tc>
        <w:tc>
          <w:tcPr>
            <w:tcW w:w="208" w:type="pct"/>
            <w:tcBorders>
              <w:top w:val="nil"/>
              <w:left w:val="nil"/>
              <w:bottom w:val="single" w:sz="4" w:space="0" w:color="auto"/>
              <w:right w:val="single" w:sz="4" w:space="0" w:color="auto"/>
            </w:tcBorders>
            <w:shd w:val="clear" w:color="auto" w:fill="auto"/>
            <w:noWrap/>
            <w:vAlign w:val="center"/>
          </w:tcPr>
          <w:p w14:paraId="3178028D"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86</w:t>
            </w:r>
          </w:p>
        </w:tc>
        <w:tc>
          <w:tcPr>
            <w:tcW w:w="220" w:type="pct"/>
            <w:tcBorders>
              <w:top w:val="nil"/>
              <w:left w:val="nil"/>
              <w:bottom w:val="single" w:sz="4" w:space="0" w:color="auto"/>
              <w:right w:val="single" w:sz="4" w:space="0" w:color="auto"/>
            </w:tcBorders>
            <w:shd w:val="clear" w:color="auto" w:fill="auto"/>
            <w:noWrap/>
            <w:vAlign w:val="center"/>
          </w:tcPr>
          <w:p w14:paraId="6406A2B4" w14:textId="77777777" w:rsidR="00E07660" w:rsidRPr="001B4CA2" w:rsidRDefault="00E07660" w:rsidP="00E07660">
            <w:pPr>
              <w:jc w:val="center"/>
              <w:rPr>
                <w:rFonts w:ascii="Calibri" w:hAnsi="Calibri" w:cs="Calibri"/>
                <w:b/>
                <w:sz w:val="20"/>
                <w:szCs w:val="20"/>
              </w:rPr>
            </w:pPr>
            <w:r w:rsidRPr="001B4CA2">
              <w:rPr>
                <w:rFonts w:ascii="Calibri" w:hAnsi="Calibri" w:cs="Calibri"/>
                <w:b/>
                <w:sz w:val="20"/>
                <w:szCs w:val="20"/>
              </w:rPr>
              <w:t>2.482</w:t>
            </w:r>
          </w:p>
        </w:tc>
        <w:tc>
          <w:tcPr>
            <w:tcW w:w="146" w:type="pct"/>
            <w:tcBorders>
              <w:top w:val="nil"/>
              <w:left w:val="nil"/>
              <w:bottom w:val="single" w:sz="4" w:space="0" w:color="auto"/>
              <w:right w:val="single" w:sz="4" w:space="0" w:color="auto"/>
            </w:tcBorders>
            <w:shd w:val="clear" w:color="auto" w:fill="auto"/>
            <w:noWrap/>
            <w:vAlign w:val="center"/>
          </w:tcPr>
          <w:p w14:paraId="6D9CB82B"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6</w:t>
            </w:r>
          </w:p>
        </w:tc>
        <w:tc>
          <w:tcPr>
            <w:tcW w:w="146" w:type="pct"/>
            <w:tcBorders>
              <w:top w:val="nil"/>
              <w:left w:val="nil"/>
              <w:bottom w:val="single" w:sz="4" w:space="0" w:color="auto"/>
              <w:right w:val="single" w:sz="4" w:space="0" w:color="auto"/>
            </w:tcBorders>
            <w:shd w:val="clear" w:color="auto" w:fill="auto"/>
            <w:noWrap/>
            <w:vAlign w:val="center"/>
          </w:tcPr>
          <w:p w14:paraId="30522F3A"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0</w:t>
            </w:r>
          </w:p>
        </w:tc>
        <w:tc>
          <w:tcPr>
            <w:tcW w:w="175" w:type="pct"/>
            <w:tcBorders>
              <w:top w:val="nil"/>
              <w:left w:val="nil"/>
              <w:bottom w:val="single" w:sz="4" w:space="0" w:color="auto"/>
              <w:right w:val="single" w:sz="4" w:space="0" w:color="auto"/>
            </w:tcBorders>
            <w:shd w:val="clear" w:color="auto" w:fill="auto"/>
            <w:noWrap/>
            <w:vAlign w:val="center"/>
          </w:tcPr>
          <w:p w14:paraId="5BEA833C"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0</w:t>
            </w:r>
          </w:p>
        </w:tc>
        <w:tc>
          <w:tcPr>
            <w:tcW w:w="183" w:type="pct"/>
            <w:tcBorders>
              <w:top w:val="nil"/>
              <w:left w:val="nil"/>
              <w:bottom w:val="single" w:sz="4" w:space="0" w:color="auto"/>
              <w:right w:val="single" w:sz="4" w:space="0" w:color="auto"/>
            </w:tcBorders>
            <w:shd w:val="clear" w:color="auto" w:fill="auto"/>
            <w:noWrap/>
            <w:vAlign w:val="center"/>
          </w:tcPr>
          <w:p w14:paraId="4EB9735B"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0</w:t>
            </w:r>
          </w:p>
        </w:tc>
        <w:tc>
          <w:tcPr>
            <w:tcW w:w="170" w:type="pct"/>
            <w:tcBorders>
              <w:top w:val="nil"/>
              <w:left w:val="nil"/>
              <w:bottom w:val="single" w:sz="4" w:space="0" w:color="auto"/>
              <w:right w:val="single" w:sz="4" w:space="0" w:color="auto"/>
            </w:tcBorders>
            <w:shd w:val="clear" w:color="auto" w:fill="auto"/>
            <w:noWrap/>
            <w:vAlign w:val="center"/>
          </w:tcPr>
          <w:p w14:paraId="3B8B4CBD"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553</w:t>
            </w:r>
          </w:p>
        </w:tc>
        <w:tc>
          <w:tcPr>
            <w:tcW w:w="198" w:type="pct"/>
            <w:tcBorders>
              <w:top w:val="nil"/>
              <w:left w:val="nil"/>
              <w:bottom w:val="single" w:sz="4" w:space="0" w:color="auto"/>
              <w:right w:val="single" w:sz="4" w:space="0" w:color="auto"/>
            </w:tcBorders>
            <w:shd w:val="clear" w:color="auto" w:fill="auto"/>
            <w:noWrap/>
            <w:vAlign w:val="center"/>
          </w:tcPr>
          <w:p w14:paraId="6A0BD0F7"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266</w:t>
            </w:r>
          </w:p>
        </w:tc>
        <w:tc>
          <w:tcPr>
            <w:tcW w:w="252" w:type="pct"/>
            <w:tcBorders>
              <w:top w:val="single" w:sz="4" w:space="0" w:color="auto"/>
              <w:left w:val="nil"/>
              <w:bottom w:val="single" w:sz="4" w:space="0" w:color="auto"/>
              <w:right w:val="single" w:sz="4" w:space="0" w:color="auto"/>
            </w:tcBorders>
            <w:vAlign w:val="center"/>
          </w:tcPr>
          <w:p w14:paraId="625C798E" w14:textId="77777777" w:rsidR="00E07660" w:rsidRPr="001B4CA2" w:rsidRDefault="00E07660" w:rsidP="00E07660">
            <w:pPr>
              <w:jc w:val="center"/>
              <w:rPr>
                <w:rFonts w:ascii="Calibri" w:hAnsi="Calibri" w:cs="Calibri"/>
                <w:b/>
                <w:bCs/>
                <w:color w:val="000000"/>
                <w:sz w:val="20"/>
                <w:szCs w:val="20"/>
              </w:rPr>
            </w:pPr>
            <w:r w:rsidRPr="001B4CA2">
              <w:rPr>
                <w:rFonts w:ascii="Calibri" w:hAnsi="Calibri" w:cs="Calibri"/>
                <w:b/>
                <w:bCs/>
                <w:color w:val="000000"/>
                <w:sz w:val="20"/>
                <w:szCs w:val="20"/>
              </w:rPr>
              <w:t>48</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0B03706" w14:textId="77777777" w:rsidR="00E07660" w:rsidRPr="001B4CA2" w:rsidRDefault="00E07660" w:rsidP="00E07660">
            <w:pPr>
              <w:jc w:val="center"/>
              <w:rPr>
                <w:rFonts w:ascii="Calibri" w:hAnsi="Calibri" w:cs="Calibri"/>
                <w:b/>
                <w:sz w:val="20"/>
                <w:szCs w:val="20"/>
              </w:rPr>
            </w:pPr>
            <w:r w:rsidRPr="001B4CA2">
              <w:rPr>
                <w:rFonts w:ascii="Calibri" w:hAnsi="Calibri" w:cs="Calibri"/>
                <w:b/>
                <w:sz w:val="20"/>
                <w:szCs w:val="20"/>
              </w:rPr>
              <w:t>37.040</w:t>
            </w:r>
          </w:p>
        </w:tc>
      </w:tr>
    </w:tbl>
    <w:p w14:paraId="1F11073D" w14:textId="7F80DF47" w:rsidR="00F03A30" w:rsidRPr="001B4CA2" w:rsidRDefault="00F03A30" w:rsidP="00E07660">
      <w:pPr>
        <w:spacing w:after="200" w:line="276" w:lineRule="auto"/>
        <w:jc w:val="left"/>
        <w:sectPr w:rsidR="00F03A30" w:rsidRPr="001B4CA2" w:rsidSect="007418AF">
          <w:pgSz w:w="16838" w:h="11906" w:orient="landscape"/>
          <w:pgMar w:top="1417" w:right="1417" w:bottom="709" w:left="1417" w:header="709" w:footer="709" w:gutter="0"/>
          <w:cols w:space="708"/>
          <w:docGrid w:linePitch="360"/>
        </w:sectPr>
      </w:pPr>
    </w:p>
    <w:p w14:paraId="3BDD765C" w14:textId="469E0761" w:rsidR="00E07660" w:rsidRPr="001B4CA2" w:rsidRDefault="00FA50FE" w:rsidP="00E07660">
      <w:pPr>
        <w:contextualSpacing/>
        <w:rPr>
          <w:rFonts w:asciiTheme="minorHAnsi" w:hAnsiTheme="minorHAnsi" w:cstheme="minorBidi"/>
          <w:szCs w:val="22"/>
        </w:rPr>
      </w:pPr>
      <w:r w:rsidRPr="001B4CA2">
        <w:rPr>
          <w:rFonts w:asciiTheme="minorHAnsi" w:hAnsiTheme="minorHAnsi" w:cstheme="minorBidi"/>
          <w:szCs w:val="22"/>
        </w:rPr>
        <w:lastRenderedPageBreak/>
        <w:tab/>
      </w:r>
      <w:r w:rsidR="00E07660" w:rsidRPr="001B4CA2">
        <w:rPr>
          <w:rFonts w:asciiTheme="minorHAnsi" w:hAnsiTheme="minorHAnsi" w:cstheme="minorBidi"/>
          <w:szCs w:val="22"/>
        </w:rPr>
        <w:t xml:space="preserve">Iz gornjih tabelarnih podataka </w:t>
      </w:r>
      <w:r w:rsidR="00773E87" w:rsidRPr="001B4CA2">
        <w:rPr>
          <w:rFonts w:asciiTheme="minorHAnsi" w:hAnsiTheme="minorHAnsi" w:cstheme="minorBidi"/>
          <w:szCs w:val="22"/>
        </w:rPr>
        <w:t>proizlazi</w:t>
      </w:r>
      <w:r w:rsidR="00E07660" w:rsidRPr="001B4CA2">
        <w:rPr>
          <w:rFonts w:asciiTheme="minorHAnsi" w:hAnsiTheme="minorHAnsi" w:cstheme="minorBidi"/>
          <w:szCs w:val="22"/>
        </w:rPr>
        <w:t xml:space="preserve"> da se najveći broj predmeta u kojima država podnosi zahtjeve za mirno rješenje spora odnosi na </w:t>
      </w:r>
      <w:proofErr w:type="spellStart"/>
      <w:r w:rsidR="00E07660" w:rsidRPr="001B4CA2">
        <w:rPr>
          <w:rFonts w:asciiTheme="minorHAnsi" w:hAnsiTheme="minorHAnsi" w:cstheme="minorBidi"/>
          <w:szCs w:val="22"/>
        </w:rPr>
        <w:t>obveznopravne</w:t>
      </w:r>
      <w:proofErr w:type="spellEnd"/>
      <w:r w:rsidR="00E07660" w:rsidRPr="001B4CA2">
        <w:rPr>
          <w:rFonts w:asciiTheme="minorHAnsi" w:hAnsiTheme="minorHAnsi" w:cstheme="minorBidi"/>
          <w:szCs w:val="22"/>
        </w:rPr>
        <w:t xml:space="preserve"> zahtjeve (258). </w:t>
      </w:r>
      <w:r w:rsidR="00257844">
        <w:rPr>
          <w:rFonts w:asciiTheme="minorHAnsi" w:hAnsiTheme="minorHAnsi" w:cstheme="minorBidi"/>
          <w:szCs w:val="22"/>
        </w:rPr>
        <w:t>Riječ je o</w:t>
      </w:r>
      <w:r w:rsidR="00E07660" w:rsidRPr="001B4CA2">
        <w:rPr>
          <w:rFonts w:asciiTheme="minorHAnsi" w:hAnsiTheme="minorHAnsi" w:cstheme="minorBidi"/>
          <w:szCs w:val="22"/>
        </w:rPr>
        <w:t xml:space="preserve"> zahtjevima za isplatama koji proizlaze iz raznih osnova, a najvećim se dijelom radi o potraživanjima s osnova korištenja nekretnina u državnom vlasništvu. Značajno je da se 34 % predmeta u kojima se državno odvjetništvo obraća sa zahtjevom za mirno rješenje spora ujedno i okonča sklapanjem nagodbe.</w:t>
      </w:r>
    </w:p>
    <w:p w14:paraId="3A128528" w14:textId="77777777" w:rsidR="00E07660" w:rsidRPr="001B4CA2" w:rsidRDefault="00E07660" w:rsidP="00E07660">
      <w:pPr>
        <w:ind w:left="720"/>
        <w:contextualSpacing/>
        <w:rPr>
          <w:rFonts w:asciiTheme="minorHAnsi" w:hAnsiTheme="minorHAnsi" w:cstheme="minorBidi"/>
          <w:i/>
          <w:szCs w:val="22"/>
        </w:rPr>
      </w:pPr>
    </w:p>
    <w:p w14:paraId="738B3249" w14:textId="08DC61B8" w:rsidR="00E07660" w:rsidRPr="001B4CA2" w:rsidRDefault="00FA50FE" w:rsidP="00E07660">
      <w:pPr>
        <w:contextualSpacing/>
        <w:rPr>
          <w:rFonts w:asciiTheme="minorHAnsi" w:hAnsiTheme="minorHAnsi" w:cstheme="minorBidi"/>
          <w:szCs w:val="22"/>
        </w:rPr>
      </w:pPr>
      <w:r w:rsidRPr="001B4CA2">
        <w:rPr>
          <w:rFonts w:asciiTheme="minorHAnsi" w:hAnsiTheme="minorHAnsi" w:cstheme="minorBidi"/>
          <w:szCs w:val="22"/>
        </w:rPr>
        <w:tab/>
      </w:r>
      <w:r w:rsidR="00E07660" w:rsidRPr="001B4CA2">
        <w:rPr>
          <w:rFonts w:asciiTheme="minorHAnsi" w:hAnsiTheme="minorHAnsi" w:cstheme="minorBidi"/>
          <w:szCs w:val="22"/>
        </w:rPr>
        <w:t xml:space="preserve">Iz gornje tablice </w:t>
      </w:r>
      <w:r w:rsidR="00257844">
        <w:rPr>
          <w:rFonts w:asciiTheme="minorHAnsi" w:hAnsiTheme="minorHAnsi" w:cstheme="minorBidi"/>
          <w:szCs w:val="22"/>
        </w:rPr>
        <w:t>razvidno</w:t>
      </w:r>
      <w:r w:rsidR="00E07660" w:rsidRPr="001B4CA2">
        <w:rPr>
          <w:rFonts w:asciiTheme="minorHAnsi" w:hAnsiTheme="minorHAnsi" w:cstheme="minorBidi"/>
          <w:szCs w:val="22"/>
        </w:rPr>
        <w:t xml:space="preserve"> je da je u sporovima radi naknade štete od 153 podnesena zahtjeva sklopljena 131 nagodba, što čini 85,6 %. Od 136 podnesenih </w:t>
      </w:r>
      <w:proofErr w:type="spellStart"/>
      <w:r w:rsidR="00E07660" w:rsidRPr="001B4CA2">
        <w:rPr>
          <w:rFonts w:asciiTheme="minorHAnsi" w:hAnsiTheme="minorHAnsi" w:cstheme="minorBidi"/>
          <w:szCs w:val="22"/>
        </w:rPr>
        <w:t>stvarnopravnih</w:t>
      </w:r>
      <w:proofErr w:type="spellEnd"/>
      <w:r w:rsidR="00E07660" w:rsidRPr="001B4CA2">
        <w:rPr>
          <w:rFonts w:asciiTheme="minorHAnsi" w:hAnsiTheme="minorHAnsi" w:cstheme="minorBidi"/>
          <w:szCs w:val="22"/>
        </w:rPr>
        <w:t xml:space="preserve"> zahtjeva sklopljeno je 47 nagodbi, što čini 34,5 %, a od 258 zahtjeva u </w:t>
      </w:r>
      <w:proofErr w:type="spellStart"/>
      <w:r w:rsidR="00E07660" w:rsidRPr="001B4CA2">
        <w:rPr>
          <w:rFonts w:asciiTheme="minorHAnsi" w:hAnsiTheme="minorHAnsi" w:cstheme="minorBidi"/>
          <w:szCs w:val="22"/>
        </w:rPr>
        <w:t>obveznopravnim</w:t>
      </w:r>
      <w:proofErr w:type="spellEnd"/>
      <w:r w:rsidR="00E07660" w:rsidRPr="001B4CA2">
        <w:rPr>
          <w:rFonts w:asciiTheme="minorHAnsi" w:hAnsiTheme="minorHAnsi" w:cstheme="minorBidi"/>
          <w:szCs w:val="22"/>
        </w:rPr>
        <w:t xml:space="preserve"> sporovima sklopljeno je 88 nagodbi, što čini 34 %.</w:t>
      </w:r>
    </w:p>
    <w:p w14:paraId="3E1503CB" w14:textId="77777777" w:rsidR="00E07660" w:rsidRPr="001B4CA2" w:rsidRDefault="00E07660" w:rsidP="00E07660">
      <w:pPr>
        <w:contextualSpacing/>
        <w:rPr>
          <w:rFonts w:asciiTheme="minorHAnsi" w:hAnsiTheme="minorHAnsi" w:cstheme="minorBidi"/>
          <w:szCs w:val="22"/>
        </w:rPr>
      </w:pPr>
    </w:p>
    <w:p w14:paraId="473F6487" w14:textId="7E916FF1" w:rsidR="00E07660" w:rsidRPr="001B4CA2" w:rsidRDefault="00E07660" w:rsidP="00E07660">
      <w:pPr>
        <w:ind w:firstLine="708"/>
        <w:contextualSpacing/>
        <w:rPr>
          <w:rFonts w:asciiTheme="minorHAnsi" w:hAnsiTheme="minorHAnsi" w:cstheme="minorBidi"/>
          <w:szCs w:val="22"/>
        </w:rPr>
      </w:pPr>
      <w:r w:rsidRPr="001B4CA2">
        <w:rPr>
          <w:rFonts w:asciiTheme="minorHAnsi" w:hAnsiTheme="minorHAnsi" w:cstheme="minorBidi"/>
          <w:szCs w:val="22"/>
        </w:rPr>
        <w:t xml:space="preserve">Iako je u ovom izvještajnom razdoblju došlo do smanjenja postotka </w:t>
      </w:r>
      <w:r w:rsidR="00773E87" w:rsidRPr="001B4CA2">
        <w:rPr>
          <w:rFonts w:asciiTheme="minorHAnsi" w:hAnsiTheme="minorHAnsi" w:cstheme="minorBidi"/>
          <w:szCs w:val="22"/>
        </w:rPr>
        <w:t>sklopljenih</w:t>
      </w:r>
      <w:r w:rsidRPr="001B4CA2">
        <w:rPr>
          <w:rFonts w:asciiTheme="minorHAnsi" w:hAnsiTheme="minorHAnsi" w:cstheme="minorBidi"/>
          <w:szCs w:val="22"/>
        </w:rPr>
        <w:t xml:space="preserve"> nagodbi u odnosu na ukupan broj podnesenih zahtjeva u usporedbi s pokazateljima iz prethodnog razdoblja</w:t>
      </w:r>
      <w:r w:rsidR="00257844">
        <w:rPr>
          <w:rFonts w:asciiTheme="minorHAnsi" w:hAnsiTheme="minorHAnsi" w:cstheme="minorBidi"/>
          <w:szCs w:val="22"/>
        </w:rPr>
        <w:t>,</w:t>
      </w:r>
      <w:r w:rsidRPr="001B4CA2">
        <w:rPr>
          <w:rFonts w:asciiTheme="minorHAnsi" w:hAnsiTheme="minorHAnsi" w:cstheme="minorBidi"/>
          <w:szCs w:val="22"/>
        </w:rPr>
        <w:t xml:space="preserve"> ipak se radi o značajnom broju predmeta koji zbog sklapanja nagodbe i mirnog rješenja spornih odnosa ne opterećuju sudove i ne stvaraju daljnje troškove za stranke. Razlog ipak značajnom postotku sklopljenih nagodbi (48,10 %) po zahtjevu Republike Hrvatske jest </w:t>
      </w:r>
      <w:r w:rsidR="00257844">
        <w:rPr>
          <w:rFonts w:asciiTheme="minorHAnsi" w:hAnsiTheme="minorHAnsi" w:cstheme="minorBidi"/>
          <w:szCs w:val="22"/>
        </w:rPr>
        <w:t>ponajprije</w:t>
      </w:r>
      <w:r w:rsidRPr="001B4CA2">
        <w:rPr>
          <w:rFonts w:asciiTheme="minorHAnsi" w:hAnsiTheme="minorHAnsi" w:cstheme="minorBidi"/>
          <w:szCs w:val="22"/>
        </w:rPr>
        <w:t xml:space="preserve"> kvaliteta zastupanja i pripremljenost </w:t>
      </w:r>
      <w:proofErr w:type="spellStart"/>
      <w:r w:rsidRPr="001B4CA2">
        <w:rPr>
          <w:rFonts w:asciiTheme="minorHAnsi" w:hAnsiTheme="minorHAnsi" w:cstheme="minorBidi"/>
          <w:szCs w:val="22"/>
        </w:rPr>
        <w:t>državnoodvjetničkih</w:t>
      </w:r>
      <w:proofErr w:type="spellEnd"/>
      <w:r w:rsidRPr="001B4CA2">
        <w:rPr>
          <w:rFonts w:asciiTheme="minorHAnsi" w:hAnsiTheme="minorHAnsi" w:cstheme="minorBidi"/>
          <w:szCs w:val="22"/>
        </w:rPr>
        <w:t xml:space="preserve"> kadrova kao i dobra koordinacija s tijelima državne uprave.</w:t>
      </w:r>
    </w:p>
    <w:p w14:paraId="66006A74" w14:textId="77777777" w:rsidR="00E07660" w:rsidRPr="001B4CA2" w:rsidRDefault="00E07660" w:rsidP="00E07660">
      <w:pPr>
        <w:contextualSpacing/>
        <w:rPr>
          <w:rFonts w:asciiTheme="minorHAnsi" w:hAnsiTheme="minorHAnsi" w:cstheme="minorBidi"/>
          <w:szCs w:val="22"/>
        </w:rPr>
      </w:pPr>
    </w:p>
    <w:p w14:paraId="3900D50F" w14:textId="16970DED" w:rsidR="00E07660" w:rsidRPr="001B4CA2" w:rsidRDefault="00E07660" w:rsidP="00E07660">
      <w:pPr>
        <w:ind w:firstLine="708"/>
        <w:rPr>
          <w:rFonts w:asciiTheme="minorHAnsi" w:hAnsiTheme="minorHAnsi" w:cstheme="minorBidi"/>
          <w:snapToGrid w:val="0"/>
          <w:szCs w:val="22"/>
        </w:rPr>
      </w:pPr>
      <w:r w:rsidRPr="001B4CA2">
        <w:rPr>
          <w:rFonts w:asciiTheme="minorHAnsi" w:hAnsiTheme="minorHAnsi" w:cstheme="minorBidi"/>
          <w:snapToGrid w:val="0"/>
          <w:szCs w:val="22"/>
        </w:rPr>
        <w:t xml:space="preserve">Najveći </w:t>
      </w:r>
      <w:r w:rsidR="00773E87" w:rsidRPr="001B4CA2">
        <w:rPr>
          <w:rFonts w:asciiTheme="minorHAnsi" w:hAnsiTheme="minorHAnsi" w:cstheme="minorBidi"/>
          <w:snapToGrid w:val="0"/>
          <w:szCs w:val="22"/>
        </w:rPr>
        <w:t xml:space="preserve">je </w:t>
      </w:r>
      <w:r w:rsidRPr="001B4CA2">
        <w:rPr>
          <w:rFonts w:asciiTheme="minorHAnsi" w:hAnsiTheme="minorHAnsi" w:cstheme="minorBidi"/>
          <w:snapToGrid w:val="0"/>
          <w:szCs w:val="22"/>
        </w:rPr>
        <w:t>broj sklopljenih nagodbi iz djelokruga rada Ministarstva financija (117), Ministarstva poljoprivrede (48), na inicijativu društva Državne nekretnine d.o.o. (30), zatim djelokruga rada Ministarstva prostornoga uređenja, graditeljstva i državne imovine (29),</w:t>
      </w:r>
      <w:r w:rsidR="001B4CA2">
        <w:rPr>
          <w:rFonts w:asciiTheme="minorHAnsi" w:hAnsiTheme="minorHAnsi" w:cstheme="minorBidi"/>
          <w:snapToGrid w:val="0"/>
          <w:szCs w:val="22"/>
        </w:rPr>
        <w:t xml:space="preserve"> </w:t>
      </w:r>
      <w:r w:rsidRPr="001B4CA2">
        <w:rPr>
          <w:rFonts w:asciiTheme="minorHAnsi" w:hAnsiTheme="minorHAnsi" w:cstheme="minorBidi"/>
          <w:snapToGrid w:val="0"/>
          <w:szCs w:val="22"/>
        </w:rPr>
        <w:t xml:space="preserve">za Republiku Hrvatsku bez naznake zastupanog tijela (18) te Ministarstvo mora, prometa i infrastrukture (15). Predmeti u zastupanju Ministarstva prostornoga uređenja, graditeljstva i državne imovine, Republike Hrvatske te Ministarstva mora, prometa i infrastrukture odnose se uglavnom na zahtjeve države za priznanje prava vlasništva na nekretninama. </w:t>
      </w:r>
    </w:p>
    <w:p w14:paraId="75A86C45" w14:textId="77777777" w:rsidR="00E07660" w:rsidRPr="001B4CA2" w:rsidRDefault="00E07660" w:rsidP="00E07660">
      <w:pPr>
        <w:ind w:firstLine="708"/>
        <w:rPr>
          <w:rFonts w:asciiTheme="minorHAnsi" w:hAnsiTheme="minorHAnsi" w:cstheme="minorBidi"/>
          <w:snapToGrid w:val="0"/>
          <w:szCs w:val="22"/>
        </w:rPr>
      </w:pPr>
    </w:p>
    <w:p w14:paraId="34C56337" w14:textId="30329E0A" w:rsidR="00E07660" w:rsidRPr="001B4CA2" w:rsidRDefault="00B872C0" w:rsidP="00E07660">
      <w:pPr>
        <w:jc w:val="left"/>
        <w:rPr>
          <w:rFonts w:asciiTheme="minorHAnsi" w:hAnsiTheme="minorHAnsi" w:cstheme="minorBidi"/>
          <w:i/>
          <w:szCs w:val="22"/>
        </w:rPr>
      </w:pPr>
      <w:r w:rsidRPr="001B4CA2">
        <w:rPr>
          <w:rFonts w:asciiTheme="minorHAnsi" w:hAnsiTheme="minorHAnsi" w:cstheme="minorBidi"/>
          <w:i/>
          <w:szCs w:val="22"/>
        </w:rPr>
        <w:t xml:space="preserve">  </w:t>
      </w:r>
      <w:r w:rsidR="004727BC" w:rsidRPr="001B4CA2">
        <w:rPr>
          <w:rFonts w:asciiTheme="minorHAnsi" w:hAnsiTheme="minorHAnsi" w:cstheme="minorBidi"/>
          <w:i/>
          <w:szCs w:val="22"/>
        </w:rPr>
        <w:t xml:space="preserve"> </w:t>
      </w:r>
      <w:r w:rsidR="00E07660" w:rsidRPr="001B4CA2">
        <w:rPr>
          <w:rFonts w:asciiTheme="minorHAnsi" w:hAnsiTheme="minorHAnsi" w:cstheme="minorBidi"/>
          <w:i/>
          <w:szCs w:val="22"/>
        </w:rPr>
        <w:t>e) Podnositelj zahtjeva – druge osobe 2018. – 2022.</w:t>
      </w:r>
    </w:p>
    <w:tbl>
      <w:tblPr>
        <w:tblW w:w="4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744"/>
        <w:gridCol w:w="1744"/>
        <w:gridCol w:w="1744"/>
        <w:gridCol w:w="1744"/>
      </w:tblGrid>
      <w:tr w:rsidR="00E07660" w:rsidRPr="001B4CA2" w14:paraId="7755A211" w14:textId="77777777" w:rsidTr="005D30E9">
        <w:trPr>
          <w:trHeight w:val="578"/>
          <w:jc w:val="center"/>
        </w:trPr>
        <w:tc>
          <w:tcPr>
            <w:tcW w:w="1064" w:type="pct"/>
            <w:shd w:val="clear" w:color="auto" w:fill="99CCFF"/>
            <w:vAlign w:val="center"/>
            <w:hideMark/>
          </w:tcPr>
          <w:p w14:paraId="137BF353"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984" w:type="pct"/>
            <w:shd w:val="clear" w:color="auto" w:fill="99CCFF"/>
            <w:vAlign w:val="center"/>
            <w:hideMark/>
          </w:tcPr>
          <w:p w14:paraId="15326F6D"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 xml:space="preserve">Broj </w:t>
            </w:r>
            <w:r w:rsidRPr="001B4CA2">
              <w:rPr>
                <w:rFonts w:asciiTheme="minorHAnsi" w:eastAsia="Times New Roman" w:hAnsiTheme="minorHAnsi" w:cstheme="minorHAnsi"/>
                <w:b/>
                <w:bCs/>
                <w:sz w:val="18"/>
                <w:szCs w:val="18"/>
                <w:lang w:eastAsia="hr-HR"/>
              </w:rPr>
              <w:t xml:space="preserve">podnesenih </w:t>
            </w:r>
            <w:r w:rsidRPr="001B4CA2">
              <w:rPr>
                <w:rFonts w:asciiTheme="minorHAnsi" w:eastAsia="Times New Roman" w:hAnsiTheme="minorHAnsi" w:cstheme="minorHAnsi"/>
                <w:b/>
                <w:bCs/>
                <w:color w:val="000000"/>
                <w:sz w:val="18"/>
                <w:szCs w:val="18"/>
                <w:lang w:eastAsia="hr-HR"/>
              </w:rPr>
              <w:t>zahtjeva</w:t>
            </w:r>
          </w:p>
        </w:tc>
        <w:tc>
          <w:tcPr>
            <w:tcW w:w="984" w:type="pct"/>
            <w:shd w:val="clear" w:color="auto" w:fill="99CCFF"/>
            <w:vAlign w:val="center"/>
            <w:hideMark/>
          </w:tcPr>
          <w:p w14:paraId="4AE96BE2"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Broj sklopljenih nagodbi</w:t>
            </w:r>
          </w:p>
        </w:tc>
        <w:tc>
          <w:tcPr>
            <w:tcW w:w="984" w:type="pct"/>
            <w:shd w:val="clear" w:color="auto" w:fill="99CCFF"/>
            <w:vAlign w:val="center"/>
            <w:hideMark/>
          </w:tcPr>
          <w:p w14:paraId="77DC9B49" w14:textId="77777777" w:rsidR="00E07660" w:rsidRPr="001B4CA2" w:rsidRDefault="00E07660" w:rsidP="00E07660">
            <w:pPr>
              <w:jc w:val="center"/>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sz w:val="18"/>
                <w:szCs w:val="18"/>
                <w:lang w:eastAsia="hr-HR"/>
              </w:rPr>
              <w:t>% sklopljenih nagodbi u odnosu na broj podnesenih zahtjeva</w:t>
            </w:r>
          </w:p>
        </w:tc>
        <w:tc>
          <w:tcPr>
            <w:tcW w:w="984" w:type="pct"/>
            <w:shd w:val="clear" w:color="auto" w:fill="99CCFF"/>
            <w:vAlign w:val="center"/>
            <w:hideMark/>
          </w:tcPr>
          <w:p w14:paraId="653E25B8"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Vrijednost nagodbe</w:t>
            </w:r>
          </w:p>
          <w:p w14:paraId="1C39FAC2" w14:textId="77777777" w:rsidR="00E07660" w:rsidRPr="001B4CA2" w:rsidRDefault="00E07660" w:rsidP="00E07660">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 tisućama kuna)</w:t>
            </w:r>
          </w:p>
        </w:tc>
      </w:tr>
      <w:tr w:rsidR="00E07660" w:rsidRPr="001B4CA2" w14:paraId="2EFE2B2B" w14:textId="77777777" w:rsidTr="005D30E9">
        <w:trPr>
          <w:trHeight w:val="473"/>
          <w:jc w:val="center"/>
        </w:trPr>
        <w:tc>
          <w:tcPr>
            <w:tcW w:w="1064" w:type="pct"/>
            <w:shd w:val="clear" w:color="auto" w:fill="auto"/>
            <w:noWrap/>
            <w:vAlign w:val="center"/>
            <w:hideMark/>
          </w:tcPr>
          <w:p w14:paraId="2B374BDB" w14:textId="77777777" w:rsidR="00E07660" w:rsidRPr="001B4CA2" w:rsidRDefault="00E07660" w:rsidP="00E07660">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2018.</w:t>
            </w:r>
          </w:p>
        </w:tc>
        <w:tc>
          <w:tcPr>
            <w:tcW w:w="984" w:type="pct"/>
            <w:shd w:val="clear" w:color="auto" w:fill="auto"/>
            <w:noWrap/>
            <w:vAlign w:val="center"/>
          </w:tcPr>
          <w:p w14:paraId="0365D6C5" w14:textId="77777777" w:rsidR="00E07660" w:rsidRPr="001B4CA2" w:rsidRDefault="00E07660" w:rsidP="00E07660">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1.856</w:t>
            </w:r>
          </w:p>
        </w:tc>
        <w:tc>
          <w:tcPr>
            <w:tcW w:w="984" w:type="pct"/>
            <w:shd w:val="clear" w:color="auto" w:fill="auto"/>
            <w:noWrap/>
            <w:vAlign w:val="center"/>
          </w:tcPr>
          <w:p w14:paraId="74ECFE9B" w14:textId="77777777" w:rsidR="00E07660" w:rsidRPr="001B4CA2" w:rsidRDefault="00E07660" w:rsidP="00E07660">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614</w:t>
            </w:r>
          </w:p>
        </w:tc>
        <w:tc>
          <w:tcPr>
            <w:tcW w:w="984" w:type="pct"/>
            <w:shd w:val="clear" w:color="auto" w:fill="auto"/>
            <w:noWrap/>
            <w:vAlign w:val="center"/>
          </w:tcPr>
          <w:p w14:paraId="42F0859B" w14:textId="77777777" w:rsidR="00E07660" w:rsidRPr="001B4CA2" w:rsidRDefault="00E07660" w:rsidP="00E07660">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33%</w:t>
            </w:r>
          </w:p>
        </w:tc>
        <w:tc>
          <w:tcPr>
            <w:tcW w:w="984" w:type="pct"/>
            <w:shd w:val="clear" w:color="auto" w:fill="auto"/>
            <w:noWrap/>
            <w:vAlign w:val="center"/>
          </w:tcPr>
          <w:p w14:paraId="20426A8B" w14:textId="77777777" w:rsidR="00E07660" w:rsidRPr="001B4CA2" w:rsidRDefault="00E07660" w:rsidP="00E07660">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110.267</w:t>
            </w:r>
          </w:p>
        </w:tc>
      </w:tr>
      <w:tr w:rsidR="00E07660" w:rsidRPr="001B4CA2" w14:paraId="4201D5FD" w14:textId="77777777" w:rsidTr="005D30E9">
        <w:trPr>
          <w:trHeight w:val="473"/>
          <w:jc w:val="center"/>
        </w:trPr>
        <w:tc>
          <w:tcPr>
            <w:tcW w:w="1064" w:type="pct"/>
            <w:shd w:val="clear" w:color="auto" w:fill="auto"/>
            <w:noWrap/>
            <w:vAlign w:val="center"/>
          </w:tcPr>
          <w:p w14:paraId="67CACDD6" w14:textId="77777777" w:rsidR="00E07660" w:rsidRPr="001B4CA2" w:rsidRDefault="00E07660" w:rsidP="00E07660">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2019.</w:t>
            </w:r>
          </w:p>
        </w:tc>
        <w:tc>
          <w:tcPr>
            <w:tcW w:w="984" w:type="pct"/>
            <w:shd w:val="clear" w:color="auto" w:fill="auto"/>
            <w:noWrap/>
            <w:vAlign w:val="center"/>
          </w:tcPr>
          <w:p w14:paraId="6A4773F0" w14:textId="77777777" w:rsidR="00E07660" w:rsidRPr="001B4CA2" w:rsidRDefault="00E07660" w:rsidP="00E07660">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711</w:t>
            </w:r>
          </w:p>
        </w:tc>
        <w:tc>
          <w:tcPr>
            <w:tcW w:w="984" w:type="pct"/>
            <w:shd w:val="clear" w:color="auto" w:fill="auto"/>
            <w:noWrap/>
            <w:vAlign w:val="center"/>
          </w:tcPr>
          <w:p w14:paraId="5237BF4A" w14:textId="77777777" w:rsidR="00E07660" w:rsidRPr="001B4CA2" w:rsidRDefault="00E07660" w:rsidP="00E07660">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439</w:t>
            </w:r>
          </w:p>
        </w:tc>
        <w:tc>
          <w:tcPr>
            <w:tcW w:w="984" w:type="pct"/>
            <w:shd w:val="clear" w:color="auto" w:fill="auto"/>
            <w:noWrap/>
            <w:vAlign w:val="center"/>
          </w:tcPr>
          <w:p w14:paraId="3FB25273" w14:textId="77777777" w:rsidR="00E07660" w:rsidRPr="001B4CA2" w:rsidRDefault="00E07660" w:rsidP="00E07660">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62%</w:t>
            </w:r>
          </w:p>
        </w:tc>
        <w:tc>
          <w:tcPr>
            <w:tcW w:w="984" w:type="pct"/>
            <w:shd w:val="clear" w:color="auto" w:fill="auto"/>
            <w:noWrap/>
            <w:vAlign w:val="center"/>
          </w:tcPr>
          <w:p w14:paraId="3711D414" w14:textId="77777777" w:rsidR="00E07660" w:rsidRPr="001B4CA2" w:rsidRDefault="00E07660" w:rsidP="00E07660">
            <w:pPr>
              <w:jc w:val="center"/>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38.780</w:t>
            </w:r>
          </w:p>
        </w:tc>
      </w:tr>
      <w:tr w:rsidR="00E07660" w:rsidRPr="001B4CA2" w14:paraId="57FB4135" w14:textId="77777777" w:rsidTr="005D30E9">
        <w:trPr>
          <w:trHeight w:val="473"/>
          <w:jc w:val="center"/>
        </w:trPr>
        <w:tc>
          <w:tcPr>
            <w:tcW w:w="1064" w:type="pct"/>
            <w:shd w:val="clear" w:color="auto" w:fill="auto"/>
            <w:noWrap/>
            <w:vAlign w:val="center"/>
          </w:tcPr>
          <w:p w14:paraId="5B7B12C4" w14:textId="77777777" w:rsidR="00E07660" w:rsidRPr="001B4CA2" w:rsidRDefault="00E07660" w:rsidP="00E07660">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sz w:val="18"/>
                <w:szCs w:val="18"/>
                <w:lang w:eastAsia="hr-HR"/>
              </w:rPr>
              <w:t>2020.</w:t>
            </w:r>
          </w:p>
        </w:tc>
        <w:tc>
          <w:tcPr>
            <w:tcW w:w="984" w:type="pct"/>
            <w:shd w:val="clear" w:color="auto" w:fill="auto"/>
            <w:noWrap/>
            <w:vAlign w:val="center"/>
          </w:tcPr>
          <w:p w14:paraId="1B8BCA76" w14:textId="77777777" w:rsidR="00E07660" w:rsidRPr="001B4CA2" w:rsidRDefault="00E07660" w:rsidP="00E07660">
            <w:pPr>
              <w:jc w:val="center"/>
              <w:rPr>
                <w:rFonts w:asciiTheme="majorHAnsi" w:hAnsiTheme="majorHAnsi" w:cstheme="majorHAnsi"/>
                <w:bCs/>
                <w:color w:val="000000"/>
                <w:sz w:val="18"/>
                <w:szCs w:val="18"/>
              </w:rPr>
            </w:pPr>
            <w:r w:rsidRPr="001B4CA2">
              <w:rPr>
                <w:rFonts w:asciiTheme="majorHAnsi" w:hAnsiTheme="majorHAnsi" w:cstheme="majorHAnsi"/>
                <w:bCs/>
                <w:color w:val="000000"/>
                <w:sz w:val="18"/>
                <w:szCs w:val="18"/>
              </w:rPr>
              <w:t>355</w:t>
            </w:r>
          </w:p>
        </w:tc>
        <w:tc>
          <w:tcPr>
            <w:tcW w:w="984" w:type="pct"/>
            <w:shd w:val="clear" w:color="auto" w:fill="auto"/>
            <w:noWrap/>
            <w:vAlign w:val="center"/>
          </w:tcPr>
          <w:p w14:paraId="5CE2E1DD" w14:textId="77777777" w:rsidR="00E07660" w:rsidRPr="001B4CA2" w:rsidRDefault="00E07660" w:rsidP="00E07660">
            <w:pPr>
              <w:jc w:val="center"/>
              <w:rPr>
                <w:rFonts w:asciiTheme="majorHAnsi" w:hAnsiTheme="majorHAnsi" w:cstheme="majorHAnsi"/>
                <w:bCs/>
                <w:color w:val="000000"/>
                <w:sz w:val="18"/>
                <w:szCs w:val="18"/>
              </w:rPr>
            </w:pPr>
            <w:r w:rsidRPr="001B4CA2">
              <w:rPr>
                <w:rFonts w:asciiTheme="majorHAnsi" w:hAnsiTheme="majorHAnsi" w:cstheme="majorHAnsi"/>
                <w:bCs/>
                <w:color w:val="000000"/>
                <w:sz w:val="18"/>
                <w:szCs w:val="18"/>
              </w:rPr>
              <w:t>89</w:t>
            </w:r>
          </w:p>
        </w:tc>
        <w:tc>
          <w:tcPr>
            <w:tcW w:w="984" w:type="pct"/>
            <w:shd w:val="clear" w:color="auto" w:fill="auto"/>
            <w:noWrap/>
            <w:vAlign w:val="center"/>
          </w:tcPr>
          <w:p w14:paraId="06FFC2B1" w14:textId="77777777" w:rsidR="00E07660" w:rsidRPr="001B4CA2" w:rsidRDefault="00E07660" w:rsidP="00E07660">
            <w:pPr>
              <w:jc w:val="center"/>
              <w:rPr>
                <w:rFonts w:asciiTheme="majorHAnsi" w:hAnsiTheme="majorHAnsi" w:cstheme="majorHAnsi"/>
                <w:bCs/>
                <w:color w:val="000000"/>
                <w:sz w:val="18"/>
                <w:szCs w:val="18"/>
              </w:rPr>
            </w:pPr>
            <w:r w:rsidRPr="001B4CA2">
              <w:rPr>
                <w:rFonts w:asciiTheme="majorHAnsi" w:hAnsiTheme="majorHAnsi" w:cstheme="majorHAnsi"/>
                <w:bCs/>
                <w:color w:val="000000"/>
                <w:sz w:val="18"/>
                <w:szCs w:val="18"/>
              </w:rPr>
              <w:t>25%</w:t>
            </w:r>
          </w:p>
        </w:tc>
        <w:tc>
          <w:tcPr>
            <w:tcW w:w="984" w:type="pct"/>
            <w:shd w:val="clear" w:color="auto" w:fill="auto"/>
            <w:noWrap/>
            <w:vAlign w:val="center"/>
          </w:tcPr>
          <w:p w14:paraId="1CDCA6E4" w14:textId="77777777" w:rsidR="00E07660" w:rsidRPr="001B4CA2" w:rsidRDefault="00E07660" w:rsidP="00E07660">
            <w:pPr>
              <w:jc w:val="center"/>
              <w:rPr>
                <w:rFonts w:asciiTheme="majorHAnsi" w:hAnsiTheme="majorHAnsi" w:cstheme="majorHAnsi"/>
                <w:bCs/>
                <w:color w:val="000000"/>
                <w:sz w:val="18"/>
                <w:szCs w:val="18"/>
              </w:rPr>
            </w:pPr>
            <w:r w:rsidRPr="001B4CA2">
              <w:rPr>
                <w:rFonts w:asciiTheme="majorHAnsi" w:hAnsiTheme="majorHAnsi" w:cstheme="majorHAnsi"/>
                <w:bCs/>
                <w:color w:val="000000"/>
                <w:sz w:val="18"/>
                <w:szCs w:val="18"/>
              </w:rPr>
              <w:t>21.854</w:t>
            </w:r>
          </w:p>
        </w:tc>
      </w:tr>
      <w:tr w:rsidR="00E07660" w:rsidRPr="001B4CA2" w14:paraId="277D26F5" w14:textId="77777777" w:rsidTr="005D30E9">
        <w:trPr>
          <w:trHeight w:val="473"/>
          <w:jc w:val="center"/>
        </w:trPr>
        <w:tc>
          <w:tcPr>
            <w:tcW w:w="1064" w:type="pct"/>
            <w:shd w:val="clear" w:color="auto" w:fill="auto"/>
            <w:noWrap/>
            <w:vAlign w:val="center"/>
          </w:tcPr>
          <w:p w14:paraId="5D0179ED" w14:textId="77777777" w:rsidR="00E07660" w:rsidRPr="001B4CA2" w:rsidRDefault="00E07660" w:rsidP="00E07660">
            <w:pPr>
              <w:jc w:val="center"/>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2021.</w:t>
            </w:r>
          </w:p>
        </w:tc>
        <w:tc>
          <w:tcPr>
            <w:tcW w:w="984" w:type="pct"/>
            <w:shd w:val="clear" w:color="auto" w:fill="auto"/>
            <w:noWrap/>
            <w:vAlign w:val="center"/>
          </w:tcPr>
          <w:p w14:paraId="1CAF539D" w14:textId="77777777" w:rsidR="00E07660" w:rsidRPr="001B4CA2" w:rsidRDefault="00E07660" w:rsidP="00E07660">
            <w:pPr>
              <w:jc w:val="center"/>
              <w:rPr>
                <w:rFonts w:asciiTheme="majorHAnsi" w:hAnsiTheme="majorHAnsi" w:cstheme="majorHAnsi"/>
                <w:bCs/>
                <w:color w:val="000000"/>
                <w:sz w:val="18"/>
                <w:szCs w:val="18"/>
              </w:rPr>
            </w:pPr>
            <w:r w:rsidRPr="001B4CA2">
              <w:rPr>
                <w:rFonts w:asciiTheme="majorHAnsi" w:hAnsiTheme="majorHAnsi" w:cstheme="majorHAnsi"/>
                <w:bCs/>
                <w:color w:val="000000"/>
                <w:sz w:val="18"/>
                <w:szCs w:val="18"/>
              </w:rPr>
              <w:t>371</w:t>
            </w:r>
          </w:p>
        </w:tc>
        <w:tc>
          <w:tcPr>
            <w:tcW w:w="984" w:type="pct"/>
            <w:shd w:val="clear" w:color="auto" w:fill="auto"/>
            <w:noWrap/>
            <w:vAlign w:val="center"/>
          </w:tcPr>
          <w:p w14:paraId="0D2771B3" w14:textId="77777777" w:rsidR="00E07660" w:rsidRPr="001B4CA2" w:rsidRDefault="00E07660" w:rsidP="00E07660">
            <w:pPr>
              <w:jc w:val="center"/>
              <w:rPr>
                <w:rFonts w:asciiTheme="majorHAnsi" w:hAnsiTheme="majorHAnsi" w:cstheme="majorHAnsi"/>
                <w:bCs/>
                <w:color w:val="000000"/>
                <w:sz w:val="18"/>
                <w:szCs w:val="18"/>
              </w:rPr>
            </w:pPr>
            <w:r w:rsidRPr="001B4CA2">
              <w:rPr>
                <w:rFonts w:asciiTheme="majorHAnsi" w:hAnsiTheme="majorHAnsi" w:cstheme="majorHAnsi"/>
                <w:bCs/>
                <w:color w:val="000000"/>
                <w:sz w:val="18"/>
                <w:szCs w:val="18"/>
              </w:rPr>
              <w:t>84</w:t>
            </w:r>
          </w:p>
        </w:tc>
        <w:tc>
          <w:tcPr>
            <w:tcW w:w="984" w:type="pct"/>
            <w:shd w:val="clear" w:color="auto" w:fill="auto"/>
            <w:noWrap/>
            <w:vAlign w:val="center"/>
          </w:tcPr>
          <w:p w14:paraId="3D419454" w14:textId="77777777" w:rsidR="00E07660" w:rsidRPr="001B4CA2" w:rsidRDefault="00E07660" w:rsidP="00E07660">
            <w:pPr>
              <w:jc w:val="center"/>
              <w:rPr>
                <w:rFonts w:asciiTheme="majorHAnsi" w:hAnsiTheme="majorHAnsi" w:cstheme="majorHAnsi"/>
                <w:bCs/>
                <w:color w:val="000000"/>
                <w:sz w:val="18"/>
                <w:szCs w:val="18"/>
              </w:rPr>
            </w:pPr>
            <w:r w:rsidRPr="001B4CA2">
              <w:rPr>
                <w:rFonts w:asciiTheme="majorHAnsi" w:hAnsiTheme="majorHAnsi" w:cstheme="majorHAnsi"/>
                <w:bCs/>
                <w:color w:val="000000"/>
                <w:sz w:val="18"/>
                <w:szCs w:val="18"/>
              </w:rPr>
              <w:t>23%</w:t>
            </w:r>
          </w:p>
        </w:tc>
        <w:tc>
          <w:tcPr>
            <w:tcW w:w="984" w:type="pct"/>
            <w:shd w:val="clear" w:color="auto" w:fill="auto"/>
            <w:noWrap/>
            <w:vAlign w:val="center"/>
          </w:tcPr>
          <w:p w14:paraId="17E42C1E" w14:textId="77777777" w:rsidR="00E07660" w:rsidRPr="001B4CA2" w:rsidRDefault="00E07660" w:rsidP="00E07660">
            <w:pPr>
              <w:jc w:val="center"/>
              <w:rPr>
                <w:rFonts w:asciiTheme="majorHAnsi" w:hAnsiTheme="majorHAnsi" w:cstheme="majorHAnsi"/>
                <w:bCs/>
                <w:color w:val="000000"/>
                <w:sz w:val="18"/>
                <w:szCs w:val="18"/>
              </w:rPr>
            </w:pPr>
            <w:r w:rsidRPr="001B4CA2">
              <w:rPr>
                <w:rFonts w:asciiTheme="majorHAnsi" w:hAnsiTheme="majorHAnsi" w:cstheme="majorHAnsi"/>
                <w:bCs/>
                <w:color w:val="000000"/>
                <w:sz w:val="18"/>
                <w:szCs w:val="18"/>
              </w:rPr>
              <w:t>9.282</w:t>
            </w:r>
          </w:p>
        </w:tc>
      </w:tr>
      <w:tr w:rsidR="00E07660" w:rsidRPr="001B4CA2" w14:paraId="3B944054" w14:textId="77777777" w:rsidTr="005D30E9">
        <w:trPr>
          <w:trHeight w:val="473"/>
          <w:jc w:val="center"/>
        </w:trPr>
        <w:tc>
          <w:tcPr>
            <w:tcW w:w="1064" w:type="pct"/>
            <w:shd w:val="clear" w:color="auto" w:fill="auto"/>
            <w:noWrap/>
            <w:vAlign w:val="center"/>
          </w:tcPr>
          <w:p w14:paraId="074C575B" w14:textId="77777777" w:rsidR="00E07660" w:rsidRPr="001B4CA2" w:rsidRDefault="00E07660" w:rsidP="00E07660">
            <w:pPr>
              <w:jc w:val="center"/>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2022.</w:t>
            </w:r>
          </w:p>
        </w:tc>
        <w:tc>
          <w:tcPr>
            <w:tcW w:w="984" w:type="pct"/>
            <w:shd w:val="clear" w:color="auto" w:fill="auto"/>
            <w:noWrap/>
            <w:vAlign w:val="center"/>
          </w:tcPr>
          <w:p w14:paraId="16BFE313"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375</w:t>
            </w:r>
          </w:p>
        </w:tc>
        <w:tc>
          <w:tcPr>
            <w:tcW w:w="984" w:type="pct"/>
            <w:shd w:val="clear" w:color="auto" w:fill="auto"/>
            <w:noWrap/>
            <w:vAlign w:val="center"/>
          </w:tcPr>
          <w:p w14:paraId="5A771F66"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77</w:t>
            </w:r>
          </w:p>
        </w:tc>
        <w:tc>
          <w:tcPr>
            <w:tcW w:w="984" w:type="pct"/>
            <w:shd w:val="clear" w:color="auto" w:fill="auto"/>
            <w:noWrap/>
            <w:vAlign w:val="center"/>
          </w:tcPr>
          <w:p w14:paraId="26FC818B"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21%</w:t>
            </w:r>
          </w:p>
        </w:tc>
        <w:tc>
          <w:tcPr>
            <w:tcW w:w="984" w:type="pct"/>
            <w:shd w:val="clear" w:color="auto" w:fill="auto"/>
            <w:noWrap/>
            <w:vAlign w:val="center"/>
          </w:tcPr>
          <w:p w14:paraId="40028424" w14:textId="77777777" w:rsidR="00E07660" w:rsidRPr="001B4CA2" w:rsidRDefault="00E07660" w:rsidP="00E07660">
            <w:pPr>
              <w:jc w:val="center"/>
              <w:rPr>
                <w:rFonts w:ascii="Calibri" w:hAnsi="Calibri" w:cs="Calibri"/>
                <w:bCs/>
                <w:color w:val="000000"/>
                <w:sz w:val="20"/>
                <w:szCs w:val="20"/>
              </w:rPr>
            </w:pPr>
            <w:r w:rsidRPr="001B4CA2">
              <w:rPr>
                <w:rFonts w:ascii="Calibri" w:hAnsi="Calibri" w:cs="Calibri"/>
                <w:bCs/>
                <w:color w:val="000000"/>
                <w:sz w:val="20"/>
                <w:szCs w:val="20"/>
              </w:rPr>
              <w:t>7.915</w:t>
            </w:r>
          </w:p>
        </w:tc>
      </w:tr>
    </w:tbl>
    <w:p w14:paraId="11E6E67D" w14:textId="77777777" w:rsidR="00E07660" w:rsidRPr="001B4CA2" w:rsidRDefault="00E07660" w:rsidP="00E07660">
      <w:pPr>
        <w:rPr>
          <w:sz w:val="20"/>
          <w:szCs w:val="20"/>
        </w:rPr>
      </w:pPr>
    </w:p>
    <w:p w14:paraId="02BBEA53" w14:textId="3162978B" w:rsidR="00773E87" w:rsidRPr="001B4CA2" w:rsidRDefault="00773E87" w:rsidP="00773E87">
      <w:pPr>
        <w:ind w:firstLine="708"/>
      </w:pPr>
      <w:r w:rsidRPr="001B4CA2">
        <w:rPr>
          <w:rFonts w:asciiTheme="minorHAnsi" w:hAnsiTheme="minorHAnsi" w:cstheme="minorBidi"/>
          <w:snapToGrid w:val="0"/>
          <w:szCs w:val="22"/>
        </w:rPr>
        <w:t xml:space="preserve">Tijekom izvještajnog razdoblja nije bilo </w:t>
      </w:r>
      <w:r w:rsidR="0020162B" w:rsidRPr="001B4CA2">
        <w:rPr>
          <w:rFonts w:asciiTheme="minorHAnsi" w:hAnsiTheme="minorHAnsi" w:cstheme="minorBidi"/>
          <w:snapToGrid w:val="0"/>
          <w:szCs w:val="22"/>
        </w:rPr>
        <w:t>značajnije</w:t>
      </w:r>
      <w:r w:rsidRPr="001B4CA2">
        <w:rPr>
          <w:rFonts w:asciiTheme="minorHAnsi" w:hAnsiTheme="minorHAnsi" w:cstheme="minorBidi"/>
          <w:snapToGrid w:val="0"/>
          <w:szCs w:val="22"/>
        </w:rPr>
        <w:t xml:space="preserve"> promjene kada se analizira broj predmeta preventivne djelatnosti u odnosu na prethodnu 2021. godinu.</w:t>
      </w:r>
      <w:r w:rsidRPr="001B4CA2">
        <w:t xml:space="preserve"> Analizirajući trend kretanja broja ovih predmeta u petogodišnjem razdoblju</w:t>
      </w:r>
      <w:r w:rsidR="00257844">
        <w:t>,</w:t>
      </w:r>
      <w:r w:rsidRPr="001B4CA2">
        <w:t xml:space="preserve"> primjećujemo da je broj podnesenih zahtjeva od strane drugih osoba ipak bio smanjen, no posljednje tri godine nema većih odstupanja. U 2022. godini došlo </w:t>
      </w:r>
      <w:r w:rsidR="00257844">
        <w:t xml:space="preserve">je </w:t>
      </w:r>
      <w:r w:rsidRPr="001B4CA2">
        <w:t>do neznatnog povećanja broja predmeta.</w:t>
      </w:r>
    </w:p>
    <w:p w14:paraId="7E193390" w14:textId="77777777" w:rsidR="00773E87" w:rsidRPr="001B4CA2" w:rsidRDefault="00773E87" w:rsidP="00773E87"/>
    <w:p w14:paraId="27DC0B1C" w14:textId="2E5C7302" w:rsidR="00773E87" w:rsidRPr="001B4CA2" w:rsidRDefault="00773E87" w:rsidP="00773E87">
      <w:pPr>
        <w:ind w:firstLine="708"/>
      </w:pPr>
      <w:r w:rsidRPr="001B4CA2">
        <w:lastRenderedPageBreak/>
        <w:t>U 2022. godini podneseno je 375 zahtjeva, sklopljeno je 77 nagodbi, što čini 21 % predmeta ukupne vrijednosti 7.915.000,00 k</w:t>
      </w:r>
      <w:r w:rsidR="0047537B" w:rsidRPr="001B4CA2">
        <w:t>n</w:t>
      </w:r>
      <w:r w:rsidR="00257844">
        <w:t xml:space="preserve"> </w:t>
      </w:r>
      <w:r w:rsidR="0047537B" w:rsidRPr="001B4CA2">
        <w:t>/</w:t>
      </w:r>
      <w:r w:rsidR="001C297A" w:rsidRPr="001B4CA2">
        <w:t xml:space="preserve"> </w:t>
      </w:r>
      <w:r w:rsidR="0047537B" w:rsidRPr="001B4CA2">
        <w:t>1.050.501,03 EUR</w:t>
      </w:r>
      <w:r w:rsidRPr="001B4CA2">
        <w:t>.</w:t>
      </w:r>
    </w:p>
    <w:p w14:paraId="4B33AF19" w14:textId="77777777" w:rsidR="00773E87" w:rsidRPr="001B4CA2" w:rsidRDefault="00773E87" w:rsidP="00773E87"/>
    <w:p w14:paraId="18D1221C" w14:textId="18A0937D" w:rsidR="00773E87" w:rsidRPr="001B4CA2" w:rsidRDefault="0020162B" w:rsidP="00773E87">
      <w:pPr>
        <w:spacing w:after="200"/>
        <w:ind w:firstLine="708"/>
      </w:pPr>
      <w:r w:rsidRPr="001B4CA2">
        <w:t>Sklopljene</w:t>
      </w:r>
      <w:r w:rsidR="00773E87" w:rsidRPr="001B4CA2">
        <w:t xml:space="preserve"> nagodbe gotovo su se </w:t>
      </w:r>
      <w:r w:rsidR="00257844" w:rsidRPr="001B4CA2">
        <w:t xml:space="preserve">isključivo </w:t>
      </w:r>
      <w:r w:rsidR="00773E87" w:rsidRPr="001B4CA2">
        <w:t>odnosile na predmete u kojima se zahtjevima tražilo priznanje prava vlasništva. Najčešće se radi o zahtjevima jedinica lokalne samouprave, ali i drugih pravnih osoba. Riječ je o nekretninama na kojima je u zemljišnoknjižnim postupcima proveden upis prava vlasništva za korist Republike Hrvatske</w:t>
      </w:r>
      <w:r w:rsidR="00257844">
        <w:t>,</w:t>
      </w:r>
      <w:r w:rsidR="00773E87" w:rsidRPr="001B4CA2">
        <w:t xml:space="preserve"> i to najčešće temeljem zakonske </w:t>
      </w:r>
      <w:proofErr w:type="spellStart"/>
      <w:r w:rsidR="00773E87" w:rsidRPr="001B4CA2">
        <w:t>predmnjeve</w:t>
      </w:r>
      <w:proofErr w:type="spellEnd"/>
      <w:r w:rsidR="00773E87" w:rsidRPr="001B4CA2">
        <w:t>, iako se ne radi o nekretninama koje su stvarno vlasništvo države. U ovim postupcima pred državnim odvjetništvom podnositelji zahtjeva doprinose isprave kojima dokazuju osnov</w:t>
      </w:r>
      <w:r w:rsidR="00257844">
        <w:t>u</w:t>
      </w:r>
      <w:r w:rsidR="00773E87" w:rsidRPr="001B4CA2">
        <w:t xml:space="preserve"> stjecanja vlasništva, a koje isprave u konačnici omogućuju priznanje prava vlasništva u mirnom postupku. Smatramo da su ovi predmeti iznimno značajni i važni zbog konačnog rješavanja imovinskopravnih odnosa na nekretninama. Posebno je značajno što se time u kratkom vremenu omoguć</w:t>
      </w:r>
      <w:r w:rsidR="00257844">
        <w:t>uje</w:t>
      </w:r>
      <w:r w:rsidR="00773E87" w:rsidRPr="001B4CA2">
        <w:t xml:space="preserve"> daljnje ulaganje u nekretnine, često i iz razloga obnove ili pak realiziranja sredstava raznih fondova, odnosno to je važno za opći gospodarski razvoj. </w:t>
      </w:r>
    </w:p>
    <w:p w14:paraId="2A163F59" w14:textId="77777777" w:rsidR="00773E87" w:rsidRPr="001B4CA2" w:rsidRDefault="00773E87" w:rsidP="00773E87">
      <w:pPr>
        <w:spacing w:after="200"/>
        <w:ind w:firstLine="708"/>
      </w:pPr>
      <w:r w:rsidRPr="001B4CA2">
        <w:t>Kada se govori o manjem broju sklopljenih nagodbi po zahtjevima drugih osoba, može se općenito reći da se uglavnom radi o zaista spornim potraživanjima prema državi te u konačnici ove sporne odnose rješavaju sudovi. Ponajprije se radi o zahtjevima radi naknade štete zbog navodnog nepravilnog i nezakonitog rada tijela državne uprave, sudova i drugih osoba koje postupaju s prenesenim javnim ovlastima za koje bi država mogla odgovarati za štetu. Kod ovih zahtjeva u pravilu je sporna i odgovornost i visina postavljenih zahtjeva.</w:t>
      </w:r>
    </w:p>
    <w:p w14:paraId="3289157F" w14:textId="30F10966" w:rsidR="00773E87" w:rsidRPr="001B4CA2" w:rsidRDefault="00773E87" w:rsidP="00773E87">
      <w:pPr>
        <w:ind w:firstLine="708"/>
      </w:pPr>
      <w:r w:rsidRPr="001B4CA2">
        <w:t>Tijekom 2022. godine zaprimljeno je više zahtjeva za mirno rješenje spora u kojima pravne osobe zahtijevaju od države naknadu štete zbog navodne povrede prava EU</w:t>
      </w:r>
      <w:r w:rsidR="00257844">
        <w:t>-a</w:t>
      </w:r>
      <w:r w:rsidRPr="001B4CA2">
        <w:t>, navodno počinjene povrede slobode poduzetništva i tržišne slobode, legitimnih očekivanja i prava na mirno uživanje vlasništva.</w:t>
      </w:r>
      <w:r w:rsidR="001B4CA2">
        <w:t xml:space="preserve"> </w:t>
      </w:r>
      <w:r w:rsidR="00257844">
        <w:t>Riječ je</w:t>
      </w:r>
      <w:r w:rsidRPr="001B4CA2">
        <w:t xml:space="preserve"> o iznimno složenim predmetima koji iziskuju detaljnu analizu činjenica, </w:t>
      </w:r>
      <w:r w:rsidR="00257844">
        <w:t>ali</w:t>
      </w:r>
      <w:r w:rsidRPr="001B4CA2">
        <w:t xml:space="preserve"> i analizu europskih propisa i prakse suda EU</w:t>
      </w:r>
      <w:r w:rsidR="00257844">
        <w:t>-a</w:t>
      </w:r>
      <w:r w:rsidRPr="001B4CA2">
        <w:t xml:space="preserve"> kako bi se mogla donijeti kvalitetna i na zakonu osnovana odluka o podnesenim zahtjevima. U pravilu se radilo o zahtjevima koji su postavljeni u vrlo </w:t>
      </w:r>
      <w:r w:rsidR="0047537B" w:rsidRPr="001B4CA2">
        <w:t>visokim</w:t>
      </w:r>
      <w:r w:rsidRPr="001B4CA2">
        <w:t xml:space="preserve"> iznosima, a osim visine zahtjeva sporna je i sama osnovanost zahtjeva zbog čega nije došlo do sklapanja nagodbi.</w:t>
      </w:r>
    </w:p>
    <w:p w14:paraId="34D7DEB0" w14:textId="77777777" w:rsidR="00862D90" w:rsidRPr="001B4CA2" w:rsidRDefault="00862D90" w:rsidP="00C66D1F">
      <w:pPr>
        <w:sectPr w:rsidR="00862D90" w:rsidRPr="001B4CA2" w:rsidSect="007418AF">
          <w:pgSz w:w="11906" w:h="16838"/>
          <w:pgMar w:top="1417" w:right="1417" w:bottom="1417" w:left="1417" w:header="709" w:footer="709" w:gutter="0"/>
          <w:cols w:space="708"/>
          <w:docGrid w:linePitch="360"/>
        </w:sectPr>
      </w:pPr>
    </w:p>
    <w:p w14:paraId="3DBB2E6F" w14:textId="00FA969A" w:rsidR="00862D90" w:rsidRPr="001B4CA2" w:rsidRDefault="00862D90" w:rsidP="00A52B1D">
      <w:pPr>
        <w:ind w:left="-426"/>
        <w:contextualSpacing/>
        <w:jc w:val="left"/>
        <w:rPr>
          <w:i/>
        </w:rPr>
      </w:pPr>
      <w:r w:rsidRPr="001B4CA2">
        <w:rPr>
          <w:i/>
        </w:rPr>
        <w:lastRenderedPageBreak/>
        <w:t>f) Sklopljene nagodbe prema zastupanom tijelu, vrsti i vrijednosti spora u 202</w:t>
      </w:r>
      <w:r w:rsidR="00671B63" w:rsidRPr="001B4CA2">
        <w:rPr>
          <w:i/>
        </w:rPr>
        <w:t>2</w:t>
      </w:r>
      <w:r w:rsidR="00D90CBE" w:rsidRPr="001B4CA2">
        <w:rPr>
          <w:i/>
        </w:rPr>
        <w:t>.</w:t>
      </w:r>
      <w:r w:rsidR="00310130" w:rsidRPr="001B4CA2">
        <w:rPr>
          <w:i/>
        </w:rPr>
        <w:t xml:space="preserve"> – </w:t>
      </w:r>
      <w:r w:rsidRPr="001B4CA2">
        <w:rPr>
          <w:i/>
        </w:rPr>
        <w:t>p</w:t>
      </w:r>
      <w:r w:rsidR="00B5001A" w:rsidRPr="001B4CA2">
        <w:rPr>
          <w:i/>
        </w:rPr>
        <w:t>odnositelj zahtjeva druge osobe</w:t>
      </w:r>
    </w:p>
    <w:tbl>
      <w:tblPr>
        <w:tblW w:w="15429" w:type="dxa"/>
        <w:jc w:val="center"/>
        <w:tblLook w:val="04A0" w:firstRow="1" w:lastRow="0" w:firstColumn="1" w:lastColumn="0" w:noHBand="0" w:noVBand="1"/>
      </w:tblPr>
      <w:tblGrid>
        <w:gridCol w:w="4060"/>
        <w:gridCol w:w="490"/>
        <w:gridCol w:w="417"/>
        <w:gridCol w:w="628"/>
        <w:gridCol w:w="860"/>
        <w:gridCol w:w="419"/>
        <w:gridCol w:w="388"/>
        <w:gridCol w:w="605"/>
        <w:gridCol w:w="667"/>
        <w:gridCol w:w="488"/>
        <w:gridCol w:w="388"/>
        <w:gridCol w:w="605"/>
        <w:gridCol w:w="490"/>
        <w:gridCol w:w="454"/>
        <w:gridCol w:w="436"/>
        <w:gridCol w:w="634"/>
        <w:gridCol w:w="664"/>
        <w:gridCol w:w="528"/>
        <w:gridCol w:w="425"/>
        <w:gridCol w:w="824"/>
        <w:gridCol w:w="959"/>
      </w:tblGrid>
      <w:tr w:rsidR="00671B63" w:rsidRPr="001B4CA2" w14:paraId="700362B4" w14:textId="77777777" w:rsidTr="00B872C0">
        <w:trPr>
          <w:trHeight w:val="316"/>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52B64EF" w14:textId="77777777" w:rsidR="00671B63" w:rsidRPr="001B4CA2" w:rsidRDefault="00671B63" w:rsidP="00671B63">
            <w:pPr>
              <w:jc w:val="center"/>
              <w:rPr>
                <w:b/>
                <w:bCs/>
                <w:sz w:val="16"/>
                <w:szCs w:val="16"/>
              </w:rPr>
            </w:pPr>
            <w:r w:rsidRPr="001B4CA2">
              <w:rPr>
                <w:b/>
                <w:bCs/>
                <w:sz w:val="16"/>
                <w:szCs w:val="16"/>
              </w:rPr>
              <w:t xml:space="preserve">Naziv ministarstva ili drugog tijela </w:t>
            </w:r>
          </w:p>
        </w:tc>
        <w:tc>
          <w:tcPr>
            <w:tcW w:w="2395" w:type="dxa"/>
            <w:gridSpan w:val="4"/>
            <w:tcBorders>
              <w:top w:val="single" w:sz="4" w:space="0" w:color="auto"/>
              <w:left w:val="nil"/>
              <w:bottom w:val="single" w:sz="4" w:space="0" w:color="auto"/>
              <w:right w:val="single" w:sz="4" w:space="0" w:color="auto"/>
            </w:tcBorders>
            <w:shd w:val="clear" w:color="auto" w:fill="99CCFF"/>
            <w:vAlign w:val="center"/>
            <w:hideMark/>
          </w:tcPr>
          <w:p w14:paraId="0CCBED22" w14:textId="77777777" w:rsidR="00671B63" w:rsidRPr="001B4CA2" w:rsidRDefault="00671B63" w:rsidP="00671B63">
            <w:pPr>
              <w:jc w:val="center"/>
              <w:rPr>
                <w:b/>
                <w:bCs/>
                <w:sz w:val="16"/>
                <w:szCs w:val="16"/>
              </w:rPr>
            </w:pPr>
            <w:proofErr w:type="spellStart"/>
            <w:r w:rsidRPr="001B4CA2">
              <w:rPr>
                <w:b/>
                <w:bCs/>
                <w:sz w:val="16"/>
                <w:szCs w:val="16"/>
              </w:rPr>
              <w:t>Stvarnopravni</w:t>
            </w:r>
            <w:proofErr w:type="spellEnd"/>
            <w:r w:rsidRPr="001B4CA2">
              <w:rPr>
                <w:b/>
                <w:bCs/>
                <w:sz w:val="16"/>
                <w:szCs w:val="16"/>
              </w:rPr>
              <w:t xml:space="preserve"> sporovi</w:t>
            </w:r>
          </w:p>
        </w:tc>
        <w:tc>
          <w:tcPr>
            <w:tcW w:w="1975" w:type="dxa"/>
            <w:gridSpan w:val="4"/>
            <w:tcBorders>
              <w:top w:val="single" w:sz="4" w:space="0" w:color="auto"/>
              <w:left w:val="nil"/>
              <w:bottom w:val="single" w:sz="4" w:space="0" w:color="auto"/>
              <w:right w:val="single" w:sz="4" w:space="0" w:color="000000"/>
            </w:tcBorders>
            <w:shd w:val="clear" w:color="auto" w:fill="99CCFF"/>
            <w:vAlign w:val="center"/>
            <w:hideMark/>
          </w:tcPr>
          <w:p w14:paraId="0654EFB2" w14:textId="77777777" w:rsidR="00671B63" w:rsidRPr="001B4CA2" w:rsidRDefault="00671B63" w:rsidP="00671B63">
            <w:pPr>
              <w:jc w:val="center"/>
              <w:rPr>
                <w:b/>
                <w:bCs/>
                <w:color w:val="000000"/>
                <w:sz w:val="16"/>
                <w:szCs w:val="16"/>
              </w:rPr>
            </w:pPr>
            <w:proofErr w:type="spellStart"/>
            <w:r w:rsidRPr="001B4CA2">
              <w:rPr>
                <w:b/>
                <w:bCs/>
                <w:color w:val="000000"/>
                <w:sz w:val="16"/>
                <w:szCs w:val="16"/>
              </w:rPr>
              <w:t>Obveznopravni</w:t>
            </w:r>
            <w:proofErr w:type="spellEnd"/>
            <w:r w:rsidRPr="001B4CA2">
              <w:rPr>
                <w:b/>
                <w:bCs/>
                <w:color w:val="000000"/>
                <w:sz w:val="16"/>
                <w:szCs w:val="16"/>
              </w:rPr>
              <w:t xml:space="preserve"> sporovi</w:t>
            </w:r>
          </w:p>
        </w:tc>
        <w:tc>
          <w:tcPr>
            <w:tcW w:w="1971" w:type="dxa"/>
            <w:gridSpan w:val="4"/>
            <w:tcBorders>
              <w:top w:val="single" w:sz="4" w:space="0" w:color="auto"/>
              <w:left w:val="nil"/>
              <w:bottom w:val="single" w:sz="4" w:space="0" w:color="auto"/>
              <w:right w:val="single" w:sz="4" w:space="0" w:color="auto"/>
            </w:tcBorders>
            <w:shd w:val="clear" w:color="auto" w:fill="99CCFF"/>
            <w:vAlign w:val="center"/>
            <w:hideMark/>
          </w:tcPr>
          <w:p w14:paraId="037C37F0" w14:textId="77777777" w:rsidR="00671B63" w:rsidRPr="001B4CA2" w:rsidRDefault="00671B63" w:rsidP="00671B63">
            <w:pPr>
              <w:jc w:val="center"/>
              <w:rPr>
                <w:b/>
                <w:bCs/>
                <w:sz w:val="16"/>
                <w:szCs w:val="16"/>
              </w:rPr>
            </w:pPr>
            <w:r w:rsidRPr="001B4CA2">
              <w:rPr>
                <w:b/>
                <w:bCs/>
                <w:sz w:val="16"/>
                <w:szCs w:val="16"/>
              </w:rPr>
              <w:t>Naknada štete</w:t>
            </w:r>
          </w:p>
        </w:tc>
        <w:tc>
          <w:tcPr>
            <w:tcW w:w="2188" w:type="dxa"/>
            <w:gridSpan w:val="4"/>
            <w:tcBorders>
              <w:top w:val="single" w:sz="4" w:space="0" w:color="auto"/>
              <w:left w:val="nil"/>
              <w:bottom w:val="nil"/>
              <w:right w:val="single" w:sz="4" w:space="0" w:color="000000"/>
            </w:tcBorders>
            <w:shd w:val="clear" w:color="auto" w:fill="99CCFF"/>
            <w:vAlign w:val="center"/>
          </w:tcPr>
          <w:p w14:paraId="4F7AB579" w14:textId="77777777" w:rsidR="00671B63" w:rsidRPr="001B4CA2" w:rsidRDefault="00671B63" w:rsidP="00671B63">
            <w:pPr>
              <w:jc w:val="center"/>
              <w:rPr>
                <w:b/>
                <w:bCs/>
                <w:color w:val="000000"/>
                <w:sz w:val="16"/>
                <w:szCs w:val="16"/>
              </w:rPr>
            </w:pPr>
            <w:r w:rsidRPr="001B4CA2">
              <w:rPr>
                <w:b/>
                <w:bCs/>
                <w:color w:val="000000"/>
                <w:sz w:val="16"/>
                <w:szCs w:val="16"/>
              </w:rPr>
              <w:t>Ostali parnični sporovi</w:t>
            </w:r>
          </w:p>
        </w:tc>
        <w:tc>
          <w:tcPr>
            <w:tcW w:w="0" w:type="auto"/>
            <w:gridSpan w:val="4"/>
            <w:vMerge w:val="restart"/>
            <w:tcBorders>
              <w:top w:val="single" w:sz="4" w:space="0" w:color="auto"/>
              <w:left w:val="nil"/>
              <w:right w:val="single" w:sz="4" w:space="0" w:color="000000"/>
            </w:tcBorders>
            <w:shd w:val="clear" w:color="auto" w:fill="99CCFF"/>
            <w:vAlign w:val="center"/>
          </w:tcPr>
          <w:p w14:paraId="3190C125" w14:textId="77777777" w:rsidR="00671B63" w:rsidRPr="001B4CA2" w:rsidRDefault="00671B63" w:rsidP="00671B63">
            <w:pPr>
              <w:jc w:val="center"/>
              <w:rPr>
                <w:b/>
                <w:bCs/>
                <w:color w:val="000000"/>
                <w:sz w:val="16"/>
                <w:szCs w:val="16"/>
              </w:rPr>
            </w:pPr>
            <w:r w:rsidRPr="001B4CA2">
              <w:rPr>
                <w:b/>
                <w:bCs/>
                <w:color w:val="000000"/>
                <w:sz w:val="16"/>
                <w:szCs w:val="16"/>
              </w:rPr>
              <w:t xml:space="preserve">Ukupno </w:t>
            </w:r>
          </w:p>
          <w:p w14:paraId="194E6848" w14:textId="77777777" w:rsidR="00671B63" w:rsidRPr="001B4CA2" w:rsidRDefault="00671B63" w:rsidP="00671B63">
            <w:pPr>
              <w:jc w:val="center"/>
              <w:rPr>
                <w:b/>
                <w:bCs/>
                <w:color w:val="000000"/>
                <w:sz w:val="16"/>
                <w:szCs w:val="16"/>
              </w:rPr>
            </w:pPr>
            <w:r w:rsidRPr="001B4CA2">
              <w:rPr>
                <w:b/>
                <w:bCs/>
                <w:color w:val="000000"/>
                <w:sz w:val="16"/>
                <w:szCs w:val="16"/>
              </w:rPr>
              <w:t>podnositelj zahtjeva druge osobe</w:t>
            </w:r>
          </w:p>
        </w:tc>
      </w:tr>
      <w:tr w:rsidR="00671B63" w:rsidRPr="001B4CA2" w14:paraId="092746E8" w14:textId="77777777" w:rsidTr="00B872C0">
        <w:trPr>
          <w:trHeight w:val="334"/>
          <w:jc w:val="center"/>
        </w:trPr>
        <w:tc>
          <w:tcPr>
            <w:tcW w:w="0" w:type="auto"/>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4CEE7758" w14:textId="77777777" w:rsidR="00671B63" w:rsidRPr="001B4CA2" w:rsidRDefault="00671B63" w:rsidP="00671B63">
            <w:pPr>
              <w:rPr>
                <w:b/>
                <w:bCs/>
                <w:sz w:val="16"/>
                <w:szCs w:val="16"/>
              </w:rPr>
            </w:pPr>
          </w:p>
        </w:tc>
        <w:tc>
          <w:tcPr>
            <w:tcW w:w="2395" w:type="dxa"/>
            <w:gridSpan w:val="4"/>
            <w:tcBorders>
              <w:top w:val="single" w:sz="4" w:space="0" w:color="auto"/>
              <w:left w:val="nil"/>
              <w:bottom w:val="single" w:sz="4" w:space="0" w:color="auto"/>
              <w:right w:val="single" w:sz="4" w:space="0" w:color="000000"/>
            </w:tcBorders>
            <w:shd w:val="clear" w:color="auto" w:fill="99CCFF"/>
            <w:vAlign w:val="center"/>
            <w:hideMark/>
          </w:tcPr>
          <w:p w14:paraId="736550CB" w14:textId="77777777" w:rsidR="00671B63" w:rsidRPr="001B4CA2" w:rsidRDefault="00671B63" w:rsidP="00671B63">
            <w:pPr>
              <w:jc w:val="center"/>
              <w:rPr>
                <w:b/>
                <w:bCs/>
                <w:sz w:val="16"/>
                <w:szCs w:val="16"/>
              </w:rPr>
            </w:pPr>
            <w:r w:rsidRPr="001B4CA2">
              <w:rPr>
                <w:b/>
                <w:bCs/>
                <w:sz w:val="16"/>
                <w:szCs w:val="16"/>
              </w:rPr>
              <w:t xml:space="preserve">Podnositelj zahtjeva </w:t>
            </w:r>
          </w:p>
          <w:p w14:paraId="10D9762F" w14:textId="77777777" w:rsidR="00671B63" w:rsidRPr="001B4CA2" w:rsidRDefault="00671B63" w:rsidP="00671B63">
            <w:pPr>
              <w:jc w:val="center"/>
              <w:rPr>
                <w:b/>
                <w:bCs/>
                <w:sz w:val="16"/>
                <w:szCs w:val="16"/>
              </w:rPr>
            </w:pPr>
            <w:r w:rsidRPr="001B4CA2">
              <w:rPr>
                <w:b/>
                <w:bCs/>
                <w:sz w:val="16"/>
                <w:szCs w:val="16"/>
              </w:rPr>
              <w:t>druge osobe</w:t>
            </w:r>
          </w:p>
        </w:tc>
        <w:tc>
          <w:tcPr>
            <w:tcW w:w="1975" w:type="dxa"/>
            <w:gridSpan w:val="4"/>
            <w:tcBorders>
              <w:top w:val="single" w:sz="4" w:space="0" w:color="auto"/>
              <w:left w:val="nil"/>
              <w:bottom w:val="single" w:sz="4" w:space="0" w:color="auto"/>
              <w:right w:val="single" w:sz="4" w:space="0" w:color="000000"/>
            </w:tcBorders>
            <w:shd w:val="clear" w:color="auto" w:fill="99CCFF"/>
            <w:vAlign w:val="center"/>
            <w:hideMark/>
          </w:tcPr>
          <w:p w14:paraId="01979510" w14:textId="4B6BB434" w:rsidR="00671B63" w:rsidRPr="001B4CA2" w:rsidRDefault="00671B63" w:rsidP="00671B63">
            <w:pPr>
              <w:jc w:val="center"/>
              <w:rPr>
                <w:b/>
                <w:bCs/>
                <w:sz w:val="16"/>
                <w:szCs w:val="16"/>
              </w:rPr>
            </w:pPr>
            <w:r w:rsidRPr="001B4CA2">
              <w:rPr>
                <w:b/>
                <w:bCs/>
                <w:sz w:val="16"/>
                <w:szCs w:val="16"/>
              </w:rPr>
              <w:t>Podnositelj zahtjeva</w:t>
            </w:r>
            <w:r w:rsidR="001B4CA2">
              <w:rPr>
                <w:b/>
                <w:bCs/>
                <w:sz w:val="16"/>
                <w:szCs w:val="16"/>
              </w:rPr>
              <w:t xml:space="preserve"> </w:t>
            </w:r>
          </w:p>
          <w:p w14:paraId="2F3E2BD4" w14:textId="77777777" w:rsidR="00671B63" w:rsidRPr="001B4CA2" w:rsidRDefault="00671B63" w:rsidP="00671B63">
            <w:pPr>
              <w:jc w:val="center"/>
              <w:rPr>
                <w:b/>
                <w:bCs/>
                <w:sz w:val="16"/>
                <w:szCs w:val="16"/>
              </w:rPr>
            </w:pPr>
            <w:r w:rsidRPr="001B4CA2">
              <w:rPr>
                <w:b/>
                <w:bCs/>
                <w:sz w:val="16"/>
                <w:szCs w:val="16"/>
              </w:rPr>
              <w:t>druge osobe</w:t>
            </w:r>
          </w:p>
        </w:tc>
        <w:tc>
          <w:tcPr>
            <w:tcW w:w="1971" w:type="dxa"/>
            <w:gridSpan w:val="4"/>
            <w:tcBorders>
              <w:top w:val="single" w:sz="4" w:space="0" w:color="auto"/>
              <w:left w:val="nil"/>
              <w:bottom w:val="single" w:sz="4" w:space="0" w:color="auto"/>
              <w:right w:val="single" w:sz="4" w:space="0" w:color="000000"/>
            </w:tcBorders>
            <w:shd w:val="clear" w:color="auto" w:fill="99CCFF"/>
            <w:vAlign w:val="center"/>
            <w:hideMark/>
          </w:tcPr>
          <w:p w14:paraId="7F243383" w14:textId="77777777" w:rsidR="00671B63" w:rsidRPr="001B4CA2" w:rsidRDefault="00671B63" w:rsidP="00671B63">
            <w:pPr>
              <w:jc w:val="center"/>
              <w:rPr>
                <w:b/>
                <w:bCs/>
                <w:sz w:val="16"/>
                <w:szCs w:val="16"/>
              </w:rPr>
            </w:pPr>
            <w:r w:rsidRPr="001B4CA2">
              <w:rPr>
                <w:b/>
                <w:bCs/>
                <w:sz w:val="16"/>
                <w:szCs w:val="16"/>
              </w:rPr>
              <w:t xml:space="preserve">Podnositelj zahtjeva </w:t>
            </w:r>
          </w:p>
          <w:p w14:paraId="2AD92995" w14:textId="77777777" w:rsidR="00671B63" w:rsidRPr="001B4CA2" w:rsidRDefault="00671B63" w:rsidP="00671B63">
            <w:pPr>
              <w:jc w:val="center"/>
              <w:rPr>
                <w:b/>
                <w:bCs/>
                <w:sz w:val="16"/>
                <w:szCs w:val="16"/>
              </w:rPr>
            </w:pPr>
            <w:r w:rsidRPr="001B4CA2">
              <w:rPr>
                <w:b/>
                <w:bCs/>
                <w:sz w:val="16"/>
                <w:szCs w:val="16"/>
              </w:rPr>
              <w:t xml:space="preserve"> druge osobe</w:t>
            </w:r>
          </w:p>
        </w:tc>
        <w:tc>
          <w:tcPr>
            <w:tcW w:w="2188" w:type="dxa"/>
            <w:gridSpan w:val="4"/>
            <w:tcBorders>
              <w:top w:val="single" w:sz="4" w:space="0" w:color="auto"/>
              <w:left w:val="nil"/>
              <w:bottom w:val="single" w:sz="4" w:space="0" w:color="auto"/>
              <w:right w:val="single" w:sz="4" w:space="0" w:color="000000"/>
            </w:tcBorders>
            <w:shd w:val="clear" w:color="auto" w:fill="99CCFF"/>
            <w:vAlign w:val="center"/>
          </w:tcPr>
          <w:p w14:paraId="681CF418" w14:textId="0A6ED45C" w:rsidR="00671B63" w:rsidRPr="001B4CA2" w:rsidRDefault="00671B63" w:rsidP="00671B63">
            <w:pPr>
              <w:jc w:val="center"/>
              <w:rPr>
                <w:b/>
                <w:bCs/>
                <w:color w:val="000000"/>
                <w:sz w:val="16"/>
                <w:szCs w:val="16"/>
              </w:rPr>
            </w:pPr>
            <w:r w:rsidRPr="001B4CA2">
              <w:rPr>
                <w:b/>
                <w:bCs/>
                <w:color w:val="000000"/>
                <w:sz w:val="16"/>
                <w:szCs w:val="16"/>
              </w:rPr>
              <w:t>Podnositelj zahtjeva</w:t>
            </w:r>
            <w:r w:rsidR="001B4CA2">
              <w:rPr>
                <w:b/>
                <w:bCs/>
                <w:color w:val="000000"/>
                <w:sz w:val="16"/>
                <w:szCs w:val="16"/>
              </w:rPr>
              <w:t xml:space="preserve"> </w:t>
            </w:r>
          </w:p>
          <w:p w14:paraId="39CD3B0C" w14:textId="77777777" w:rsidR="00671B63" w:rsidRPr="001B4CA2" w:rsidRDefault="00671B63" w:rsidP="00671B63">
            <w:pPr>
              <w:jc w:val="center"/>
              <w:rPr>
                <w:b/>
                <w:bCs/>
                <w:color w:val="000000"/>
                <w:sz w:val="16"/>
                <w:szCs w:val="16"/>
              </w:rPr>
            </w:pPr>
            <w:r w:rsidRPr="001B4CA2">
              <w:rPr>
                <w:b/>
                <w:bCs/>
                <w:color w:val="000000"/>
                <w:sz w:val="16"/>
                <w:szCs w:val="16"/>
              </w:rPr>
              <w:t>druge osobe</w:t>
            </w:r>
          </w:p>
        </w:tc>
        <w:tc>
          <w:tcPr>
            <w:tcW w:w="0" w:type="auto"/>
            <w:gridSpan w:val="4"/>
            <w:vMerge/>
            <w:tcBorders>
              <w:left w:val="nil"/>
              <w:bottom w:val="single" w:sz="4" w:space="0" w:color="auto"/>
              <w:right w:val="single" w:sz="4" w:space="0" w:color="000000"/>
            </w:tcBorders>
            <w:shd w:val="clear" w:color="auto" w:fill="99CCFF"/>
            <w:vAlign w:val="center"/>
          </w:tcPr>
          <w:p w14:paraId="115F1EA4" w14:textId="77777777" w:rsidR="00671B63" w:rsidRPr="001B4CA2" w:rsidRDefault="00671B63" w:rsidP="00671B63">
            <w:pPr>
              <w:jc w:val="center"/>
              <w:rPr>
                <w:b/>
                <w:bCs/>
                <w:color w:val="000000"/>
                <w:sz w:val="16"/>
                <w:szCs w:val="16"/>
              </w:rPr>
            </w:pPr>
          </w:p>
        </w:tc>
      </w:tr>
      <w:tr w:rsidR="00671B63" w:rsidRPr="001B4CA2" w14:paraId="7A2050ED" w14:textId="77777777" w:rsidTr="00B872C0">
        <w:trPr>
          <w:trHeight w:val="1647"/>
          <w:jc w:val="center"/>
        </w:trPr>
        <w:tc>
          <w:tcPr>
            <w:tcW w:w="0" w:type="auto"/>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42D7F724" w14:textId="77777777" w:rsidR="00671B63" w:rsidRPr="001B4CA2" w:rsidRDefault="00671B63" w:rsidP="00671B63">
            <w:pPr>
              <w:rPr>
                <w:b/>
                <w:bCs/>
                <w:sz w:val="16"/>
                <w:szCs w:val="16"/>
              </w:rPr>
            </w:pPr>
          </w:p>
        </w:tc>
        <w:tc>
          <w:tcPr>
            <w:tcW w:w="0" w:type="auto"/>
            <w:tcBorders>
              <w:top w:val="nil"/>
              <w:left w:val="nil"/>
              <w:bottom w:val="single" w:sz="4" w:space="0" w:color="auto"/>
              <w:right w:val="single" w:sz="4" w:space="0" w:color="auto"/>
            </w:tcBorders>
            <w:shd w:val="clear" w:color="auto" w:fill="99CCFF"/>
            <w:textDirection w:val="btLr"/>
            <w:vAlign w:val="center"/>
            <w:hideMark/>
          </w:tcPr>
          <w:p w14:paraId="7230F724" w14:textId="77777777" w:rsidR="00671B63" w:rsidRPr="001B4CA2" w:rsidRDefault="00671B63" w:rsidP="00671B63">
            <w:pPr>
              <w:jc w:val="left"/>
              <w:rPr>
                <w:sz w:val="14"/>
                <w:szCs w:val="14"/>
              </w:rPr>
            </w:pPr>
            <w:r w:rsidRPr="001B4CA2">
              <w:rPr>
                <w:sz w:val="14"/>
                <w:szCs w:val="14"/>
              </w:rPr>
              <w:t>Broj zahtjeva</w:t>
            </w:r>
          </w:p>
        </w:tc>
        <w:tc>
          <w:tcPr>
            <w:tcW w:w="0" w:type="auto"/>
            <w:tcBorders>
              <w:top w:val="nil"/>
              <w:left w:val="nil"/>
              <w:bottom w:val="single" w:sz="4" w:space="0" w:color="auto"/>
              <w:right w:val="single" w:sz="4" w:space="0" w:color="auto"/>
            </w:tcBorders>
            <w:shd w:val="clear" w:color="auto" w:fill="99CCFF"/>
            <w:textDirection w:val="btLr"/>
            <w:vAlign w:val="center"/>
            <w:hideMark/>
          </w:tcPr>
          <w:p w14:paraId="5B8622D4" w14:textId="77777777" w:rsidR="00671B63" w:rsidRPr="001B4CA2" w:rsidRDefault="00671B63" w:rsidP="00671B63">
            <w:pPr>
              <w:jc w:val="left"/>
              <w:rPr>
                <w:sz w:val="14"/>
                <w:szCs w:val="14"/>
              </w:rPr>
            </w:pPr>
            <w:r w:rsidRPr="001B4CA2">
              <w:rPr>
                <w:sz w:val="14"/>
                <w:szCs w:val="14"/>
              </w:rPr>
              <w:t>Broj sklopljenih nagodbi</w:t>
            </w:r>
          </w:p>
        </w:tc>
        <w:tc>
          <w:tcPr>
            <w:tcW w:w="628" w:type="dxa"/>
            <w:tcBorders>
              <w:top w:val="nil"/>
              <w:left w:val="nil"/>
              <w:bottom w:val="single" w:sz="4" w:space="0" w:color="auto"/>
              <w:right w:val="single" w:sz="4" w:space="0" w:color="auto"/>
            </w:tcBorders>
            <w:shd w:val="clear" w:color="auto" w:fill="99CCFF"/>
            <w:textDirection w:val="btLr"/>
            <w:vAlign w:val="center"/>
            <w:hideMark/>
          </w:tcPr>
          <w:p w14:paraId="43F2F782" w14:textId="77777777" w:rsidR="00671B63" w:rsidRPr="001B4CA2" w:rsidRDefault="00671B63" w:rsidP="00671B63">
            <w:pPr>
              <w:jc w:val="left"/>
              <w:rPr>
                <w:sz w:val="14"/>
                <w:szCs w:val="14"/>
              </w:rPr>
            </w:pPr>
            <w:r w:rsidRPr="001B4CA2">
              <w:rPr>
                <w:sz w:val="14"/>
                <w:szCs w:val="14"/>
              </w:rPr>
              <w:t>% sklopljenih nagodbi u odnosu na broj podnesenih zahtjeva</w:t>
            </w:r>
          </w:p>
        </w:tc>
        <w:tc>
          <w:tcPr>
            <w:tcW w:w="860" w:type="dxa"/>
            <w:tcBorders>
              <w:top w:val="nil"/>
              <w:left w:val="nil"/>
              <w:bottom w:val="single" w:sz="4" w:space="0" w:color="auto"/>
              <w:right w:val="single" w:sz="4" w:space="0" w:color="auto"/>
            </w:tcBorders>
            <w:shd w:val="clear" w:color="auto" w:fill="99CCFF"/>
            <w:textDirection w:val="btLr"/>
            <w:vAlign w:val="center"/>
          </w:tcPr>
          <w:p w14:paraId="5B0DFD8F" w14:textId="77777777" w:rsidR="00671B63" w:rsidRPr="001B4CA2" w:rsidRDefault="00671B63" w:rsidP="00671B63">
            <w:pPr>
              <w:jc w:val="left"/>
              <w:rPr>
                <w:sz w:val="14"/>
                <w:szCs w:val="14"/>
              </w:rPr>
            </w:pPr>
            <w:r w:rsidRPr="001B4CA2">
              <w:rPr>
                <w:sz w:val="14"/>
                <w:szCs w:val="14"/>
              </w:rPr>
              <w:t>Vrijednost (u tis. kn)</w:t>
            </w:r>
          </w:p>
        </w:tc>
        <w:tc>
          <w:tcPr>
            <w:tcW w:w="0" w:type="auto"/>
            <w:tcBorders>
              <w:top w:val="nil"/>
              <w:left w:val="nil"/>
              <w:bottom w:val="single" w:sz="4" w:space="0" w:color="auto"/>
              <w:right w:val="single" w:sz="4" w:space="0" w:color="auto"/>
            </w:tcBorders>
            <w:shd w:val="clear" w:color="auto" w:fill="99CCFF"/>
            <w:textDirection w:val="btLr"/>
            <w:vAlign w:val="center"/>
          </w:tcPr>
          <w:p w14:paraId="42C52DCB" w14:textId="77777777" w:rsidR="00671B63" w:rsidRPr="001B4CA2" w:rsidRDefault="00671B63" w:rsidP="00671B63">
            <w:pPr>
              <w:jc w:val="left"/>
              <w:rPr>
                <w:sz w:val="14"/>
                <w:szCs w:val="14"/>
              </w:rPr>
            </w:pPr>
            <w:r w:rsidRPr="001B4CA2">
              <w:rPr>
                <w:sz w:val="14"/>
                <w:szCs w:val="14"/>
              </w:rPr>
              <w:t>Broj zahtjeva</w:t>
            </w:r>
          </w:p>
        </w:tc>
        <w:tc>
          <w:tcPr>
            <w:tcW w:w="0" w:type="auto"/>
            <w:tcBorders>
              <w:top w:val="nil"/>
              <w:left w:val="nil"/>
              <w:bottom w:val="single" w:sz="4" w:space="0" w:color="auto"/>
              <w:right w:val="single" w:sz="4" w:space="0" w:color="auto"/>
            </w:tcBorders>
            <w:shd w:val="clear" w:color="auto" w:fill="99CCFF"/>
            <w:textDirection w:val="btLr"/>
            <w:vAlign w:val="center"/>
            <w:hideMark/>
          </w:tcPr>
          <w:p w14:paraId="217A8C3B" w14:textId="77777777" w:rsidR="00671B63" w:rsidRPr="001B4CA2" w:rsidRDefault="00671B63" w:rsidP="00671B63">
            <w:pPr>
              <w:jc w:val="left"/>
              <w:rPr>
                <w:sz w:val="14"/>
                <w:szCs w:val="14"/>
              </w:rPr>
            </w:pPr>
            <w:r w:rsidRPr="001B4CA2">
              <w:rPr>
                <w:sz w:val="14"/>
                <w:szCs w:val="14"/>
              </w:rPr>
              <w:t>Broj sklopljenih nagodbi</w:t>
            </w:r>
          </w:p>
        </w:tc>
        <w:tc>
          <w:tcPr>
            <w:tcW w:w="605" w:type="dxa"/>
            <w:tcBorders>
              <w:top w:val="nil"/>
              <w:left w:val="nil"/>
              <w:bottom w:val="single" w:sz="4" w:space="0" w:color="auto"/>
              <w:right w:val="single" w:sz="4" w:space="0" w:color="auto"/>
            </w:tcBorders>
            <w:shd w:val="clear" w:color="auto" w:fill="99CCFF"/>
            <w:textDirection w:val="btLr"/>
            <w:vAlign w:val="center"/>
            <w:hideMark/>
          </w:tcPr>
          <w:p w14:paraId="756271D9" w14:textId="77777777" w:rsidR="00671B63" w:rsidRPr="001B4CA2" w:rsidRDefault="00671B63" w:rsidP="00671B63">
            <w:pPr>
              <w:jc w:val="left"/>
              <w:rPr>
                <w:sz w:val="14"/>
                <w:szCs w:val="14"/>
              </w:rPr>
            </w:pPr>
            <w:r w:rsidRPr="001B4CA2">
              <w:rPr>
                <w:sz w:val="14"/>
                <w:szCs w:val="14"/>
              </w:rPr>
              <w:t>% sklopljenih nagodbi u odnosu na broj podnesenih zahtjeva</w:t>
            </w:r>
          </w:p>
        </w:tc>
        <w:tc>
          <w:tcPr>
            <w:tcW w:w="563" w:type="dxa"/>
            <w:tcBorders>
              <w:top w:val="nil"/>
              <w:left w:val="nil"/>
              <w:bottom w:val="single" w:sz="4" w:space="0" w:color="auto"/>
              <w:right w:val="single" w:sz="4" w:space="0" w:color="auto"/>
            </w:tcBorders>
            <w:shd w:val="clear" w:color="auto" w:fill="99CCFF"/>
            <w:textDirection w:val="btLr"/>
            <w:vAlign w:val="center"/>
            <w:hideMark/>
          </w:tcPr>
          <w:p w14:paraId="5CB6776F" w14:textId="77777777" w:rsidR="00671B63" w:rsidRPr="001B4CA2" w:rsidRDefault="00671B63" w:rsidP="00671B63">
            <w:pPr>
              <w:jc w:val="center"/>
              <w:rPr>
                <w:sz w:val="14"/>
                <w:szCs w:val="14"/>
              </w:rPr>
            </w:pPr>
            <w:r w:rsidRPr="001B4CA2">
              <w:rPr>
                <w:sz w:val="14"/>
                <w:szCs w:val="14"/>
              </w:rPr>
              <w:t>Vrijednost (u tis. kn)</w:t>
            </w:r>
            <w:r w:rsidRPr="001B4CA2">
              <w:rPr>
                <w:sz w:val="14"/>
                <w:szCs w:val="14"/>
              </w:rPr>
              <w:br/>
            </w:r>
          </w:p>
        </w:tc>
        <w:tc>
          <w:tcPr>
            <w:tcW w:w="488" w:type="dxa"/>
            <w:tcBorders>
              <w:top w:val="nil"/>
              <w:left w:val="nil"/>
              <w:bottom w:val="single" w:sz="4" w:space="0" w:color="auto"/>
              <w:right w:val="single" w:sz="4" w:space="0" w:color="auto"/>
            </w:tcBorders>
            <w:shd w:val="clear" w:color="auto" w:fill="99CCFF"/>
            <w:textDirection w:val="btLr"/>
            <w:vAlign w:val="center"/>
            <w:hideMark/>
          </w:tcPr>
          <w:p w14:paraId="5F10C2DA" w14:textId="77777777" w:rsidR="00671B63" w:rsidRPr="001B4CA2" w:rsidRDefault="00671B63" w:rsidP="00671B63">
            <w:pPr>
              <w:jc w:val="left"/>
              <w:rPr>
                <w:sz w:val="14"/>
                <w:szCs w:val="14"/>
              </w:rPr>
            </w:pPr>
            <w:r w:rsidRPr="001B4CA2">
              <w:rPr>
                <w:sz w:val="14"/>
                <w:szCs w:val="14"/>
              </w:rPr>
              <w:t>Broj zahtjeva</w:t>
            </w:r>
          </w:p>
        </w:tc>
        <w:tc>
          <w:tcPr>
            <w:tcW w:w="0" w:type="auto"/>
            <w:tcBorders>
              <w:top w:val="nil"/>
              <w:left w:val="nil"/>
              <w:bottom w:val="single" w:sz="4" w:space="0" w:color="auto"/>
              <w:right w:val="single" w:sz="4" w:space="0" w:color="auto"/>
            </w:tcBorders>
            <w:shd w:val="clear" w:color="auto" w:fill="99CCFF"/>
            <w:textDirection w:val="btLr"/>
            <w:vAlign w:val="center"/>
            <w:hideMark/>
          </w:tcPr>
          <w:p w14:paraId="211003C2" w14:textId="77777777" w:rsidR="00671B63" w:rsidRPr="001B4CA2" w:rsidRDefault="00671B63" w:rsidP="00671B63">
            <w:pPr>
              <w:jc w:val="left"/>
              <w:rPr>
                <w:sz w:val="14"/>
                <w:szCs w:val="14"/>
              </w:rPr>
            </w:pPr>
            <w:r w:rsidRPr="001B4CA2">
              <w:rPr>
                <w:sz w:val="14"/>
                <w:szCs w:val="14"/>
              </w:rPr>
              <w:t>Broj sklopljenih nagodbi</w:t>
            </w:r>
          </w:p>
        </w:tc>
        <w:tc>
          <w:tcPr>
            <w:tcW w:w="605" w:type="dxa"/>
            <w:tcBorders>
              <w:top w:val="nil"/>
              <w:left w:val="nil"/>
              <w:bottom w:val="single" w:sz="4" w:space="0" w:color="auto"/>
              <w:right w:val="single" w:sz="4" w:space="0" w:color="auto"/>
            </w:tcBorders>
            <w:shd w:val="clear" w:color="auto" w:fill="99CCFF"/>
            <w:textDirection w:val="btLr"/>
            <w:vAlign w:val="center"/>
            <w:hideMark/>
          </w:tcPr>
          <w:p w14:paraId="7E6CE5CA" w14:textId="77777777" w:rsidR="00671B63" w:rsidRPr="001B4CA2" w:rsidRDefault="00671B63" w:rsidP="00671B63">
            <w:pPr>
              <w:jc w:val="left"/>
              <w:rPr>
                <w:sz w:val="14"/>
                <w:szCs w:val="14"/>
              </w:rPr>
            </w:pPr>
            <w:r w:rsidRPr="001B4CA2">
              <w:rPr>
                <w:sz w:val="14"/>
                <w:szCs w:val="14"/>
              </w:rPr>
              <w:t>% sklopljenih nagodbi u odnosu na broj podnesenih zahtjeva</w:t>
            </w:r>
          </w:p>
        </w:tc>
        <w:tc>
          <w:tcPr>
            <w:tcW w:w="490" w:type="dxa"/>
            <w:tcBorders>
              <w:top w:val="nil"/>
              <w:left w:val="nil"/>
              <w:bottom w:val="single" w:sz="4" w:space="0" w:color="auto"/>
              <w:right w:val="single" w:sz="4" w:space="0" w:color="auto"/>
            </w:tcBorders>
            <w:shd w:val="clear" w:color="auto" w:fill="99CCFF"/>
            <w:textDirection w:val="btLr"/>
            <w:vAlign w:val="center"/>
            <w:hideMark/>
          </w:tcPr>
          <w:p w14:paraId="32B87F0E" w14:textId="77777777" w:rsidR="00671B63" w:rsidRPr="001B4CA2" w:rsidRDefault="00671B63" w:rsidP="00671B63">
            <w:pPr>
              <w:jc w:val="left"/>
              <w:rPr>
                <w:sz w:val="14"/>
                <w:szCs w:val="14"/>
              </w:rPr>
            </w:pPr>
            <w:r w:rsidRPr="001B4CA2">
              <w:rPr>
                <w:sz w:val="14"/>
                <w:szCs w:val="14"/>
              </w:rPr>
              <w:t>Vrijednost (u tis. kn)</w:t>
            </w:r>
            <w:r w:rsidRPr="001B4CA2">
              <w:rPr>
                <w:sz w:val="14"/>
                <w:szCs w:val="14"/>
              </w:rPr>
              <w:br/>
            </w:r>
          </w:p>
        </w:tc>
        <w:tc>
          <w:tcPr>
            <w:tcW w:w="454" w:type="dxa"/>
            <w:tcBorders>
              <w:top w:val="nil"/>
              <w:left w:val="nil"/>
              <w:bottom w:val="single" w:sz="4" w:space="0" w:color="auto"/>
              <w:right w:val="single" w:sz="4" w:space="0" w:color="auto"/>
            </w:tcBorders>
            <w:shd w:val="clear" w:color="auto" w:fill="99CCFF"/>
            <w:textDirection w:val="btLr"/>
            <w:vAlign w:val="center"/>
            <w:hideMark/>
          </w:tcPr>
          <w:p w14:paraId="6AEEFB8C" w14:textId="77777777" w:rsidR="00671B63" w:rsidRPr="001B4CA2" w:rsidRDefault="00671B63" w:rsidP="00671B63">
            <w:pPr>
              <w:jc w:val="left"/>
              <w:rPr>
                <w:sz w:val="14"/>
                <w:szCs w:val="14"/>
              </w:rPr>
            </w:pPr>
            <w:r w:rsidRPr="001B4CA2">
              <w:rPr>
                <w:sz w:val="14"/>
                <w:szCs w:val="14"/>
              </w:rPr>
              <w:t>Broj zahtjeva</w:t>
            </w:r>
          </w:p>
        </w:tc>
        <w:tc>
          <w:tcPr>
            <w:tcW w:w="436" w:type="dxa"/>
            <w:tcBorders>
              <w:top w:val="nil"/>
              <w:left w:val="nil"/>
              <w:bottom w:val="single" w:sz="4" w:space="0" w:color="auto"/>
              <w:right w:val="single" w:sz="4" w:space="0" w:color="auto"/>
            </w:tcBorders>
            <w:shd w:val="clear" w:color="auto" w:fill="99CCFF"/>
            <w:textDirection w:val="btLr"/>
            <w:vAlign w:val="center"/>
            <w:hideMark/>
          </w:tcPr>
          <w:p w14:paraId="6D35244A" w14:textId="77777777" w:rsidR="00671B63" w:rsidRPr="001B4CA2" w:rsidRDefault="00671B63" w:rsidP="00671B63">
            <w:pPr>
              <w:jc w:val="left"/>
              <w:rPr>
                <w:sz w:val="14"/>
                <w:szCs w:val="14"/>
              </w:rPr>
            </w:pPr>
            <w:r w:rsidRPr="001B4CA2">
              <w:rPr>
                <w:sz w:val="14"/>
                <w:szCs w:val="14"/>
              </w:rPr>
              <w:t>Broj sklopljenih nagodbi</w:t>
            </w:r>
          </w:p>
        </w:tc>
        <w:tc>
          <w:tcPr>
            <w:tcW w:w="634" w:type="dxa"/>
            <w:tcBorders>
              <w:top w:val="nil"/>
              <w:left w:val="nil"/>
              <w:bottom w:val="single" w:sz="4" w:space="0" w:color="auto"/>
              <w:right w:val="single" w:sz="4" w:space="0" w:color="auto"/>
            </w:tcBorders>
            <w:shd w:val="clear" w:color="auto" w:fill="99CCFF"/>
            <w:textDirection w:val="btLr"/>
            <w:vAlign w:val="center"/>
            <w:hideMark/>
          </w:tcPr>
          <w:p w14:paraId="2ABE2398" w14:textId="77777777" w:rsidR="00671B63" w:rsidRPr="001B4CA2" w:rsidRDefault="00671B63" w:rsidP="00671B63">
            <w:pPr>
              <w:jc w:val="left"/>
              <w:rPr>
                <w:sz w:val="14"/>
                <w:szCs w:val="14"/>
              </w:rPr>
            </w:pPr>
            <w:r w:rsidRPr="001B4CA2">
              <w:rPr>
                <w:sz w:val="14"/>
                <w:szCs w:val="14"/>
              </w:rPr>
              <w:t>% sklopljenih nagodbi u odnosu na broj podnesenih zahtjeva</w:t>
            </w:r>
          </w:p>
        </w:tc>
        <w:tc>
          <w:tcPr>
            <w:tcW w:w="664" w:type="dxa"/>
            <w:tcBorders>
              <w:top w:val="nil"/>
              <w:left w:val="nil"/>
              <w:bottom w:val="single" w:sz="4" w:space="0" w:color="auto"/>
              <w:right w:val="single" w:sz="4" w:space="0" w:color="auto"/>
            </w:tcBorders>
            <w:shd w:val="clear" w:color="auto" w:fill="99CCFF"/>
            <w:textDirection w:val="btLr"/>
            <w:vAlign w:val="center"/>
            <w:hideMark/>
          </w:tcPr>
          <w:p w14:paraId="5B6849AC" w14:textId="77777777" w:rsidR="00671B63" w:rsidRPr="001B4CA2" w:rsidRDefault="00671B63" w:rsidP="00671B63">
            <w:pPr>
              <w:jc w:val="left"/>
              <w:rPr>
                <w:sz w:val="14"/>
                <w:szCs w:val="14"/>
              </w:rPr>
            </w:pPr>
            <w:r w:rsidRPr="001B4CA2">
              <w:rPr>
                <w:sz w:val="14"/>
                <w:szCs w:val="14"/>
              </w:rPr>
              <w:t>Vrijednost (u tis.kn)</w:t>
            </w:r>
            <w:r w:rsidRPr="001B4CA2">
              <w:rPr>
                <w:sz w:val="14"/>
                <w:szCs w:val="14"/>
              </w:rPr>
              <w:br/>
            </w:r>
          </w:p>
        </w:tc>
        <w:tc>
          <w:tcPr>
            <w:tcW w:w="0" w:type="auto"/>
            <w:tcBorders>
              <w:top w:val="nil"/>
              <w:left w:val="nil"/>
              <w:bottom w:val="single" w:sz="4" w:space="0" w:color="auto"/>
              <w:right w:val="single" w:sz="4" w:space="0" w:color="auto"/>
            </w:tcBorders>
            <w:shd w:val="clear" w:color="auto" w:fill="99CCFF"/>
            <w:textDirection w:val="btLr"/>
            <w:vAlign w:val="center"/>
            <w:hideMark/>
          </w:tcPr>
          <w:p w14:paraId="4ADF21F4" w14:textId="77777777" w:rsidR="00671B63" w:rsidRPr="001B4CA2" w:rsidRDefault="00671B63" w:rsidP="00671B63">
            <w:pPr>
              <w:jc w:val="left"/>
              <w:rPr>
                <w:sz w:val="14"/>
                <w:szCs w:val="14"/>
              </w:rPr>
            </w:pPr>
            <w:r w:rsidRPr="001B4CA2">
              <w:rPr>
                <w:sz w:val="14"/>
                <w:szCs w:val="14"/>
              </w:rPr>
              <w:t>Broj zahtjeva</w:t>
            </w:r>
          </w:p>
        </w:tc>
        <w:tc>
          <w:tcPr>
            <w:tcW w:w="0" w:type="auto"/>
            <w:tcBorders>
              <w:top w:val="nil"/>
              <w:left w:val="nil"/>
              <w:bottom w:val="single" w:sz="4" w:space="0" w:color="auto"/>
              <w:right w:val="single" w:sz="4" w:space="0" w:color="auto"/>
            </w:tcBorders>
            <w:shd w:val="clear" w:color="auto" w:fill="99CCFF"/>
            <w:textDirection w:val="btLr"/>
            <w:vAlign w:val="center"/>
            <w:hideMark/>
          </w:tcPr>
          <w:p w14:paraId="6D2658A4" w14:textId="77777777" w:rsidR="00671B63" w:rsidRPr="001B4CA2" w:rsidRDefault="00671B63" w:rsidP="00671B63">
            <w:pPr>
              <w:jc w:val="left"/>
              <w:rPr>
                <w:sz w:val="14"/>
                <w:szCs w:val="14"/>
              </w:rPr>
            </w:pPr>
            <w:r w:rsidRPr="001B4CA2">
              <w:rPr>
                <w:sz w:val="14"/>
                <w:szCs w:val="14"/>
              </w:rPr>
              <w:t>Broj sklopljenih nagodbi</w:t>
            </w:r>
          </w:p>
        </w:tc>
        <w:tc>
          <w:tcPr>
            <w:tcW w:w="801" w:type="dxa"/>
            <w:tcBorders>
              <w:top w:val="nil"/>
              <w:left w:val="nil"/>
              <w:bottom w:val="single" w:sz="4" w:space="0" w:color="auto"/>
              <w:right w:val="single" w:sz="4" w:space="0" w:color="auto"/>
            </w:tcBorders>
            <w:shd w:val="clear" w:color="auto" w:fill="99CCFF"/>
            <w:textDirection w:val="btLr"/>
            <w:vAlign w:val="center"/>
            <w:hideMark/>
          </w:tcPr>
          <w:p w14:paraId="732384F6" w14:textId="77777777" w:rsidR="00671B63" w:rsidRPr="001B4CA2" w:rsidRDefault="00671B63" w:rsidP="00671B63">
            <w:pPr>
              <w:jc w:val="left"/>
              <w:rPr>
                <w:sz w:val="14"/>
                <w:szCs w:val="14"/>
              </w:rPr>
            </w:pPr>
            <w:r w:rsidRPr="001B4CA2">
              <w:rPr>
                <w:sz w:val="14"/>
                <w:szCs w:val="14"/>
              </w:rPr>
              <w:t>% sklopljenih nagodbi u odnosu na broj podnesenih zahtjeva</w:t>
            </w:r>
          </w:p>
        </w:tc>
        <w:tc>
          <w:tcPr>
            <w:tcW w:w="932" w:type="dxa"/>
            <w:tcBorders>
              <w:top w:val="nil"/>
              <w:left w:val="nil"/>
              <w:bottom w:val="single" w:sz="4" w:space="0" w:color="auto"/>
              <w:right w:val="single" w:sz="4" w:space="0" w:color="auto"/>
            </w:tcBorders>
            <w:shd w:val="clear" w:color="auto" w:fill="99CCFF"/>
            <w:textDirection w:val="btLr"/>
            <w:vAlign w:val="center"/>
            <w:hideMark/>
          </w:tcPr>
          <w:p w14:paraId="34B0B519" w14:textId="0FB3A0C4" w:rsidR="00671B63" w:rsidRPr="001B4CA2" w:rsidRDefault="00671B63" w:rsidP="00671B63">
            <w:pPr>
              <w:jc w:val="left"/>
              <w:rPr>
                <w:sz w:val="14"/>
                <w:szCs w:val="14"/>
              </w:rPr>
            </w:pPr>
            <w:r w:rsidRPr="001B4CA2">
              <w:rPr>
                <w:sz w:val="14"/>
                <w:szCs w:val="14"/>
              </w:rPr>
              <w:t>Vrijednost</w:t>
            </w:r>
            <w:r w:rsidR="001B4CA2">
              <w:rPr>
                <w:sz w:val="14"/>
                <w:szCs w:val="14"/>
              </w:rPr>
              <w:t xml:space="preserve"> </w:t>
            </w:r>
            <w:r w:rsidRPr="001B4CA2">
              <w:rPr>
                <w:sz w:val="14"/>
                <w:szCs w:val="14"/>
              </w:rPr>
              <w:t>(u tis. kn)</w:t>
            </w:r>
            <w:r w:rsidRPr="001B4CA2">
              <w:rPr>
                <w:sz w:val="14"/>
                <w:szCs w:val="14"/>
              </w:rPr>
              <w:br/>
            </w:r>
          </w:p>
        </w:tc>
      </w:tr>
      <w:tr w:rsidR="00671B63" w:rsidRPr="001B4CA2" w14:paraId="1E096BA2"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D93ED" w14:textId="77777777" w:rsidR="00671B63" w:rsidRPr="001B4CA2" w:rsidRDefault="00671B63" w:rsidP="00671B63">
            <w:pPr>
              <w:jc w:val="left"/>
              <w:rPr>
                <w:bCs/>
                <w:sz w:val="18"/>
                <w:szCs w:val="18"/>
              </w:rPr>
            </w:pPr>
            <w:r w:rsidRPr="001B4CA2">
              <w:rPr>
                <w:bCs/>
                <w:sz w:val="18"/>
                <w:szCs w:val="18"/>
              </w:rPr>
              <w:t>Republika Hrvatska</w:t>
            </w:r>
          </w:p>
        </w:tc>
        <w:tc>
          <w:tcPr>
            <w:tcW w:w="0" w:type="auto"/>
            <w:tcBorders>
              <w:top w:val="nil"/>
              <w:left w:val="nil"/>
              <w:bottom w:val="single" w:sz="4" w:space="0" w:color="auto"/>
              <w:right w:val="single" w:sz="4" w:space="0" w:color="auto"/>
            </w:tcBorders>
            <w:shd w:val="clear" w:color="auto" w:fill="auto"/>
            <w:noWrap/>
            <w:vAlign w:val="center"/>
          </w:tcPr>
          <w:p w14:paraId="1DB0C072"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center"/>
          </w:tcPr>
          <w:p w14:paraId="20D3849F"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15</w:t>
            </w:r>
          </w:p>
        </w:tc>
        <w:tc>
          <w:tcPr>
            <w:tcW w:w="628" w:type="dxa"/>
            <w:tcBorders>
              <w:top w:val="nil"/>
              <w:left w:val="nil"/>
              <w:bottom w:val="single" w:sz="4" w:space="0" w:color="auto"/>
              <w:right w:val="single" w:sz="4" w:space="0" w:color="auto"/>
            </w:tcBorders>
            <w:shd w:val="clear" w:color="auto" w:fill="auto"/>
            <w:noWrap/>
            <w:vAlign w:val="center"/>
          </w:tcPr>
          <w:p w14:paraId="6D938BDE"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5069C81F"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1.478</w:t>
            </w:r>
          </w:p>
        </w:tc>
        <w:tc>
          <w:tcPr>
            <w:tcW w:w="0" w:type="auto"/>
            <w:tcBorders>
              <w:top w:val="nil"/>
              <w:left w:val="nil"/>
              <w:bottom w:val="single" w:sz="4" w:space="0" w:color="auto"/>
              <w:right w:val="single" w:sz="4" w:space="0" w:color="auto"/>
            </w:tcBorders>
            <w:shd w:val="clear" w:color="auto" w:fill="auto"/>
            <w:noWrap/>
            <w:vAlign w:val="center"/>
          </w:tcPr>
          <w:p w14:paraId="052F2C80"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tcPr>
          <w:p w14:paraId="7DCAD8CD"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605" w:type="dxa"/>
            <w:tcBorders>
              <w:top w:val="nil"/>
              <w:left w:val="nil"/>
              <w:bottom w:val="single" w:sz="4" w:space="0" w:color="auto"/>
              <w:right w:val="single" w:sz="4" w:space="0" w:color="auto"/>
            </w:tcBorders>
            <w:shd w:val="clear" w:color="auto" w:fill="auto"/>
            <w:noWrap/>
            <w:vAlign w:val="center"/>
          </w:tcPr>
          <w:p w14:paraId="69EC3A6A"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2689DDC9"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76</w:t>
            </w:r>
          </w:p>
        </w:tc>
        <w:tc>
          <w:tcPr>
            <w:tcW w:w="488" w:type="dxa"/>
            <w:tcBorders>
              <w:top w:val="nil"/>
              <w:left w:val="nil"/>
              <w:bottom w:val="single" w:sz="4" w:space="0" w:color="auto"/>
              <w:right w:val="single" w:sz="4" w:space="0" w:color="auto"/>
            </w:tcBorders>
            <w:shd w:val="clear" w:color="auto" w:fill="auto"/>
            <w:noWrap/>
            <w:vAlign w:val="center"/>
          </w:tcPr>
          <w:p w14:paraId="120E235E"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tcPr>
          <w:p w14:paraId="436F7B3B"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26D7551C"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2DE8E25F"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5A413020"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3</w:t>
            </w:r>
          </w:p>
        </w:tc>
        <w:tc>
          <w:tcPr>
            <w:tcW w:w="436" w:type="dxa"/>
            <w:tcBorders>
              <w:top w:val="nil"/>
              <w:left w:val="nil"/>
              <w:bottom w:val="single" w:sz="4" w:space="0" w:color="auto"/>
              <w:right w:val="single" w:sz="4" w:space="0" w:color="auto"/>
            </w:tcBorders>
            <w:shd w:val="clear" w:color="auto" w:fill="auto"/>
            <w:noWrap/>
            <w:vAlign w:val="center"/>
          </w:tcPr>
          <w:p w14:paraId="11E01EC2"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5E08B7DD"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0F828CC1"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E5E7812"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73</w:t>
            </w:r>
          </w:p>
        </w:tc>
        <w:tc>
          <w:tcPr>
            <w:tcW w:w="0" w:type="auto"/>
            <w:tcBorders>
              <w:top w:val="nil"/>
              <w:left w:val="nil"/>
              <w:bottom w:val="single" w:sz="4" w:space="0" w:color="auto"/>
              <w:right w:val="single" w:sz="4" w:space="0" w:color="auto"/>
            </w:tcBorders>
            <w:shd w:val="clear" w:color="auto" w:fill="auto"/>
            <w:noWrap/>
            <w:vAlign w:val="center"/>
          </w:tcPr>
          <w:p w14:paraId="2931079B"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16</w:t>
            </w:r>
          </w:p>
        </w:tc>
        <w:tc>
          <w:tcPr>
            <w:tcW w:w="801" w:type="dxa"/>
            <w:tcBorders>
              <w:top w:val="nil"/>
              <w:left w:val="nil"/>
              <w:bottom w:val="single" w:sz="4" w:space="0" w:color="auto"/>
              <w:right w:val="single" w:sz="4" w:space="0" w:color="auto"/>
            </w:tcBorders>
            <w:shd w:val="clear" w:color="auto" w:fill="auto"/>
            <w:noWrap/>
            <w:vAlign w:val="center"/>
          </w:tcPr>
          <w:p w14:paraId="58FDA092"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1505E406"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1.554</w:t>
            </w:r>
          </w:p>
        </w:tc>
      </w:tr>
      <w:tr w:rsidR="00671B63" w:rsidRPr="001B4CA2" w14:paraId="7D495C0B"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72FB31" w14:textId="0C5D6B31" w:rsidR="00671B63" w:rsidRPr="001B4CA2" w:rsidRDefault="00671B63" w:rsidP="00671B63">
            <w:pPr>
              <w:jc w:val="left"/>
              <w:rPr>
                <w:bCs/>
                <w:sz w:val="18"/>
                <w:szCs w:val="18"/>
              </w:rPr>
            </w:pPr>
            <w:r w:rsidRPr="001B4CA2">
              <w:rPr>
                <w:bCs/>
                <w:sz w:val="18"/>
                <w:szCs w:val="18"/>
              </w:rPr>
              <w:t>Ministarstvo pravosuđa i</w:t>
            </w:r>
            <w:r w:rsidR="001B4CA2">
              <w:rPr>
                <w:bCs/>
                <w:sz w:val="18"/>
                <w:szCs w:val="18"/>
              </w:rPr>
              <w:t xml:space="preserve"> </w:t>
            </w:r>
            <w:r w:rsidRPr="001B4CA2">
              <w:rPr>
                <w:bCs/>
                <w:sz w:val="18"/>
                <w:szCs w:val="18"/>
              </w:rPr>
              <w:t xml:space="preserve">uprave </w:t>
            </w:r>
          </w:p>
        </w:tc>
        <w:tc>
          <w:tcPr>
            <w:tcW w:w="0" w:type="auto"/>
            <w:tcBorders>
              <w:top w:val="nil"/>
              <w:left w:val="nil"/>
              <w:bottom w:val="single" w:sz="4" w:space="0" w:color="auto"/>
              <w:right w:val="single" w:sz="4" w:space="0" w:color="auto"/>
            </w:tcBorders>
            <w:shd w:val="clear" w:color="auto" w:fill="auto"/>
            <w:noWrap/>
            <w:vAlign w:val="center"/>
          </w:tcPr>
          <w:p w14:paraId="581B82BB"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2732A68"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072EB5E5"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2604CB10"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0EEF97C"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14:paraId="0AE5C744"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605" w:type="dxa"/>
            <w:tcBorders>
              <w:top w:val="nil"/>
              <w:left w:val="nil"/>
              <w:bottom w:val="single" w:sz="4" w:space="0" w:color="auto"/>
              <w:right w:val="single" w:sz="4" w:space="0" w:color="auto"/>
            </w:tcBorders>
            <w:shd w:val="clear" w:color="auto" w:fill="auto"/>
            <w:noWrap/>
            <w:vAlign w:val="center"/>
          </w:tcPr>
          <w:p w14:paraId="2C1A3E8A"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05DE0EE0"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1.277</w:t>
            </w:r>
          </w:p>
        </w:tc>
        <w:tc>
          <w:tcPr>
            <w:tcW w:w="488" w:type="dxa"/>
            <w:tcBorders>
              <w:top w:val="nil"/>
              <w:left w:val="nil"/>
              <w:bottom w:val="single" w:sz="4" w:space="0" w:color="auto"/>
              <w:right w:val="single" w:sz="4" w:space="0" w:color="auto"/>
            </w:tcBorders>
            <w:shd w:val="clear" w:color="auto" w:fill="auto"/>
            <w:noWrap/>
            <w:vAlign w:val="center"/>
          </w:tcPr>
          <w:p w14:paraId="32ED5994"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61</w:t>
            </w:r>
          </w:p>
        </w:tc>
        <w:tc>
          <w:tcPr>
            <w:tcW w:w="0" w:type="auto"/>
            <w:tcBorders>
              <w:top w:val="nil"/>
              <w:left w:val="nil"/>
              <w:bottom w:val="single" w:sz="4" w:space="0" w:color="auto"/>
              <w:right w:val="single" w:sz="4" w:space="0" w:color="auto"/>
            </w:tcBorders>
            <w:shd w:val="clear" w:color="auto" w:fill="auto"/>
            <w:noWrap/>
            <w:vAlign w:val="center"/>
          </w:tcPr>
          <w:p w14:paraId="56925111"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605" w:type="dxa"/>
            <w:tcBorders>
              <w:top w:val="nil"/>
              <w:left w:val="nil"/>
              <w:bottom w:val="single" w:sz="4" w:space="0" w:color="auto"/>
              <w:right w:val="single" w:sz="4" w:space="0" w:color="auto"/>
            </w:tcBorders>
            <w:shd w:val="clear" w:color="auto" w:fill="auto"/>
            <w:noWrap/>
            <w:vAlign w:val="center"/>
          </w:tcPr>
          <w:p w14:paraId="463CCBE6"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2566FE6A"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2</w:t>
            </w:r>
          </w:p>
        </w:tc>
        <w:tc>
          <w:tcPr>
            <w:tcW w:w="454" w:type="dxa"/>
            <w:tcBorders>
              <w:top w:val="nil"/>
              <w:left w:val="nil"/>
              <w:bottom w:val="single" w:sz="4" w:space="0" w:color="auto"/>
              <w:right w:val="single" w:sz="4" w:space="0" w:color="auto"/>
            </w:tcBorders>
            <w:shd w:val="clear" w:color="auto" w:fill="auto"/>
            <w:noWrap/>
            <w:vAlign w:val="center"/>
          </w:tcPr>
          <w:p w14:paraId="7B3AE366"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1D32B76B"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3DB344FC"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216A4B78"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5DDFEDB"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65</w:t>
            </w:r>
          </w:p>
        </w:tc>
        <w:tc>
          <w:tcPr>
            <w:tcW w:w="0" w:type="auto"/>
            <w:tcBorders>
              <w:top w:val="nil"/>
              <w:left w:val="nil"/>
              <w:bottom w:val="single" w:sz="4" w:space="0" w:color="auto"/>
              <w:right w:val="single" w:sz="4" w:space="0" w:color="auto"/>
            </w:tcBorders>
            <w:shd w:val="clear" w:color="auto" w:fill="auto"/>
            <w:noWrap/>
            <w:vAlign w:val="center"/>
          </w:tcPr>
          <w:p w14:paraId="3086DD3E"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2</w:t>
            </w:r>
          </w:p>
        </w:tc>
        <w:tc>
          <w:tcPr>
            <w:tcW w:w="801" w:type="dxa"/>
            <w:tcBorders>
              <w:top w:val="nil"/>
              <w:left w:val="nil"/>
              <w:bottom w:val="single" w:sz="4" w:space="0" w:color="auto"/>
              <w:right w:val="single" w:sz="4" w:space="0" w:color="auto"/>
            </w:tcBorders>
            <w:shd w:val="clear" w:color="auto" w:fill="auto"/>
            <w:noWrap/>
            <w:vAlign w:val="center"/>
          </w:tcPr>
          <w:p w14:paraId="40E26A84"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491D1F5F"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1.279</w:t>
            </w:r>
          </w:p>
        </w:tc>
      </w:tr>
      <w:tr w:rsidR="00671B63" w:rsidRPr="001B4CA2" w14:paraId="1AEFABB8"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5D1EB7" w14:textId="77777777" w:rsidR="00671B63" w:rsidRPr="001B4CA2" w:rsidRDefault="00671B63" w:rsidP="00671B63">
            <w:pPr>
              <w:jc w:val="left"/>
              <w:rPr>
                <w:bCs/>
                <w:sz w:val="18"/>
                <w:szCs w:val="18"/>
              </w:rPr>
            </w:pPr>
            <w:r w:rsidRPr="001B4CA2">
              <w:rPr>
                <w:bCs/>
                <w:sz w:val="18"/>
                <w:szCs w:val="18"/>
              </w:rPr>
              <w:t>Ministarstvo zdravstva</w:t>
            </w:r>
          </w:p>
        </w:tc>
        <w:tc>
          <w:tcPr>
            <w:tcW w:w="0" w:type="auto"/>
            <w:tcBorders>
              <w:top w:val="nil"/>
              <w:left w:val="nil"/>
              <w:bottom w:val="single" w:sz="4" w:space="0" w:color="auto"/>
              <w:right w:val="single" w:sz="4" w:space="0" w:color="auto"/>
            </w:tcBorders>
            <w:shd w:val="clear" w:color="auto" w:fill="auto"/>
            <w:noWrap/>
            <w:vAlign w:val="center"/>
          </w:tcPr>
          <w:p w14:paraId="49700AC0"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A595166"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7F94AB3D"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057A46AA"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EF592D8"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6E0F2CF3"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605" w:type="dxa"/>
            <w:tcBorders>
              <w:top w:val="nil"/>
              <w:left w:val="nil"/>
              <w:bottom w:val="single" w:sz="4" w:space="0" w:color="auto"/>
              <w:right w:val="single" w:sz="4" w:space="0" w:color="auto"/>
            </w:tcBorders>
            <w:shd w:val="clear" w:color="auto" w:fill="auto"/>
            <w:noWrap/>
            <w:vAlign w:val="center"/>
          </w:tcPr>
          <w:p w14:paraId="573C673A"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43510D23"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195</w:t>
            </w:r>
          </w:p>
        </w:tc>
        <w:tc>
          <w:tcPr>
            <w:tcW w:w="488" w:type="dxa"/>
            <w:tcBorders>
              <w:top w:val="nil"/>
              <w:left w:val="nil"/>
              <w:bottom w:val="single" w:sz="4" w:space="0" w:color="auto"/>
              <w:right w:val="single" w:sz="4" w:space="0" w:color="auto"/>
            </w:tcBorders>
            <w:shd w:val="clear" w:color="auto" w:fill="auto"/>
            <w:noWrap/>
            <w:vAlign w:val="center"/>
          </w:tcPr>
          <w:p w14:paraId="1771D53A"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50DDFED"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00543003"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38C29D4F"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1D19BEB6"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7FB61A44"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081A8DDB"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7DC0B471"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4D7417E"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30F87516"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w:t>
            </w:r>
          </w:p>
        </w:tc>
        <w:tc>
          <w:tcPr>
            <w:tcW w:w="801" w:type="dxa"/>
            <w:tcBorders>
              <w:top w:val="nil"/>
              <w:left w:val="nil"/>
              <w:bottom w:val="single" w:sz="4" w:space="0" w:color="auto"/>
              <w:right w:val="single" w:sz="4" w:space="0" w:color="auto"/>
            </w:tcBorders>
            <w:shd w:val="clear" w:color="auto" w:fill="auto"/>
            <w:noWrap/>
            <w:vAlign w:val="center"/>
          </w:tcPr>
          <w:p w14:paraId="46B09F90"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00E63799"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195</w:t>
            </w:r>
          </w:p>
        </w:tc>
      </w:tr>
      <w:tr w:rsidR="00671B63" w:rsidRPr="001B4CA2" w14:paraId="728F2E79"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9B8217" w14:textId="77777777" w:rsidR="00671B63" w:rsidRPr="001B4CA2" w:rsidRDefault="00671B63" w:rsidP="00671B63">
            <w:pPr>
              <w:jc w:val="left"/>
              <w:rPr>
                <w:bCs/>
                <w:sz w:val="18"/>
                <w:szCs w:val="18"/>
              </w:rPr>
            </w:pPr>
            <w:r w:rsidRPr="001B4CA2">
              <w:rPr>
                <w:bCs/>
                <w:sz w:val="18"/>
                <w:szCs w:val="18"/>
              </w:rPr>
              <w:t xml:space="preserve">Ministarstvo hrvatskih branitelja </w:t>
            </w:r>
          </w:p>
        </w:tc>
        <w:tc>
          <w:tcPr>
            <w:tcW w:w="0" w:type="auto"/>
            <w:tcBorders>
              <w:top w:val="nil"/>
              <w:left w:val="nil"/>
              <w:bottom w:val="single" w:sz="4" w:space="0" w:color="auto"/>
              <w:right w:val="single" w:sz="4" w:space="0" w:color="auto"/>
            </w:tcBorders>
            <w:shd w:val="clear" w:color="auto" w:fill="auto"/>
            <w:noWrap/>
            <w:vAlign w:val="center"/>
          </w:tcPr>
          <w:p w14:paraId="23DAA64E"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62AB676"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7FA68236"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31DE5E69"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AD8A14F"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23B13243"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5FE1F0A8"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79DA3F55"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44BCAC12"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52202B0"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54CDCCBD"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76344E57"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4FAE5E15"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6F5C3CD8"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409715EB"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7F309E20"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72F35F4"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39357CBA" w14:textId="77777777" w:rsidR="00671B63" w:rsidRPr="001B4CA2" w:rsidRDefault="00671B63" w:rsidP="00671B63">
            <w:pPr>
              <w:jc w:val="center"/>
              <w:rPr>
                <w:rFonts w:asciiTheme="minorHAnsi" w:hAnsiTheme="minorHAnsi" w:cstheme="minorHAnsi"/>
                <w:bCs/>
                <w:color w:val="000000"/>
                <w:sz w:val="18"/>
                <w:szCs w:val="18"/>
              </w:rPr>
            </w:pPr>
          </w:p>
        </w:tc>
        <w:tc>
          <w:tcPr>
            <w:tcW w:w="801" w:type="dxa"/>
            <w:tcBorders>
              <w:top w:val="nil"/>
              <w:left w:val="nil"/>
              <w:bottom w:val="single" w:sz="4" w:space="0" w:color="auto"/>
              <w:right w:val="single" w:sz="4" w:space="0" w:color="auto"/>
            </w:tcBorders>
            <w:shd w:val="clear" w:color="auto" w:fill="auto"/>
            <w:noWrap/>
            <w:vAlign w:val="center"/>
          </w:tcPr>
          <w:p w14:paraId="53FEB00E"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6CB4E3AC" w14:textId="77777777" w:rsidR="00671B63" w:rsidRPr="001B4CA2" w:rsidRDefault="00671B63" w:rsidP="00671B63">
            <w:pPr>
              <w:jc w:val="center"/>
              <w:rPr>
                <w:rFonts w:asciiTheme="minorHAnsi" w:hAnsiTheme="minorHAnsi" w:cstheme="minorHAnsi"/>
                <w:sz w:val="18"/>
                <w:szCs w:val="18"/>
              </w:rPr>
            </w:pPr>
          </w:p>
        </w:tc>
      </w:tr>
      <w:tr w:rsidR="00671B63" w:rsidRPr="001B4CA2" w14:paraId="2F1A4AF4"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F6D4DC" w14:textId="77777777" w:rsidR="00671B63" w:rsidRPr="001B4CA2" w:rsidRDefault="00671B63" w:rsidP="00671B63">
            <w:pPr>
              <w:jc w:val="left"/>
              <w:rPr>
                <w:bCs/>
                <w:sz w:val="18"/>
                <w:szCs w:val="18"/>
              </w:rPr>
            </w:pPr>
            <w:r w:rsidRPr="001B4CA2">
              <w:rPr>
                <w:bCs/>
                <w:sz w:val="18"/>
                <w:szCs w:val="18"/>
              </w:rPr>
              <w:t>Ministarstvo regionalnog razvoja i fondova EU</w:t>
            </w:r>
          </w:p>
        </w:tc>
        <w:tc>
          <w:tcPr>
            <w:tcW w:w="0" w:type="auto"/>
            <w:tcBorders>
              <w:top w:val="nil"/>
              <w:left w:val="nil"/>
              <w:bottom w:val="single" w:sz="4" w:space="0" w:color="auto"/>
              <w:right w:val="single" w:sz="4" w:space="0" w:color="auto"/>
            </w:tcBorders>
            <w:shd w:val="clear" w:color="auto" w:fill="auto"/>
            <w:noWrap/>
            <w:vAlign w:val="center"/>
          </w:tcPr>
          <w:p w14:paraId="0D50F456"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5BA36D2"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03D5FD3F"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4360FD2E"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ADD9663"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21DF5B83"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10C67AB2"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295DCACB"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0E399635"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5244152B"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18ECE904"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53B4027D"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3BD04C8D"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4115A094"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75BE220F"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1A2D808E"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EA978AA"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2686EAA0" w14:textId="77777777" w:rsidR="00671B63" w:rsidRPr="001B4CA2" w:rsidRDefault="00671B63" w:rsidP="00671B63">
            <w:pPr>
              <w:jc w:val="center"/>
              <w:rPr>
                <w:rFonts w:asciiTheme="minorHAnsi" w:hAnsiTheme="minorHAnsi" w:cstheme="minorHAnsi"/>
                <w:bCs/>
                <w:color w:val="000000"/>
                <w:sz w:val="18"/>
                <w:szCs w:val="18"/>
              </w:rPr>
            </w:pPr>
          </w:p>
        </w:tc>
        <w:tc>
          <w:tcPr>
            <w:tcW w:w="801" w:type="dxa"/>
            <w:tcBorders>
              <w:top w:val="nil"/>
              <w:left w:val="nil"/>
              <w:bottom w:val="single" w:sz="4" w:space="0" w:color="auto"/>
              <w:right w:val="single" w:sz="4" w:space="0" w:color="auto"/>
            </w:tcBorders>
            <w:shd w:val="clear" w:color="auto" w:fill="auto"/>
            <w:noWrap/>
            <w:vAlign w:val="center"/>
          </w:tcPr>
          <w:p w14:paraId="20E3BFF0"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5C471C6C" w14:textId="77777777" w:rsidR="00671B63" w:rsidRPr="001B4CA2" w:rsidRDefault="00671B63" w:rsidP="00671B63">
            <w:pPr>
              <w:jc w:val="center"/>
              <w:rPr>
                <w:rFonts w:asciiTheme="minorHAnsi" w:hAnsiTheme="minorHAnsi" w:cstheme="minorHAnsi"/>
                <w:sz w:val="18"/>
                <w:szCs w:val="18"/>
              </w:rPr>
            </w:pPr>
          </w:p>
        </w:tc>
      </w:tr>
      <w:tr w:rsidR="00671B63" w:rsidRPr="001B4CA2" w14:paraId="46B5A106"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BA45D0" w14:textId="77777777" w:rsidR="00671B63" w:rsidRPr="001B4CA2" w:rsidRDefault="00671B63" w:rsidP="00671B63">
            <w:pPr>
              <w:jc w:val="left"/>
              <w:rPr>
                <w:bCs/>
                <w:sz w:val="18"/>
                <w:szCs w:val="18"/>
              </w:rPr>
            </w:pPr>
            <w:r w:rsidRPr="001B4CA2">
              <w:rPr>
                <w:bCs/>
                <w:sz w:val="18"/>
                <w:szCs w:val="18"/>
              </w:rPr>
              <w:t>Ministarstvo prostornoga uređenja, graditeljstva i državne imovine</w:t>
            </w:r>
          </w:p>
        </w:tc>
        <w:tc>
          <w:tcPr>
            <w:tcW w:w="0" w:type="auto"/>
            <w:tcBorders>
              <w:top w:val="nil"/>
              <w:left w:val="nil"/>
              <w:bottom w:val="single" w:sz="4" w:space="0" w:color="auto"/>
              <w:right w:val="single" w:sz="4" w:space="0" w:color="auto"/>
            </w:tcBorders>
            <w:shd w:val="clear" w:color="auto" w:fill="auto"/>
            <w:noWrap/>
            <w:vAlign w:val="center"/>
          </w:tcPr>
          <w:p w14:paraId="6B1507DD"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97</w:t>
            </w:r>
          </w:p>
        </w:tc>
        <w:tc>
          <w:tcPr>
            <w:tcW w:w="0" w:type="auto"/>
            <w:tcBorders>
              <w:top w:val="nil"/>
              <w:left w:val="nil"/>
              <w:bottom w:val="single" w:sz="4" w:space="0" w:color="auto"/>
              <w:right w:val="single" w:sz="4" w:space="0" w:color="auto"/>
            </w:tcBorders>
            <w:shd w:val="clear" w:color="auto" w:fill="auto"/>
            <w:noWrap/>
            <w:vAlign w:val="center"/>
          </w:tcPr>
          <w:p w14:paraId="20DB982E"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40</w:t>
            </w:r>
          </w:p>
        </w:tc>
        <w:tc>
          <w:tcPr>
            <w:tcW w:w="628" w:type="dxa"/>
            <w:tcBorders>
              <w:top w:val="nil"/>
              <w:left w:val="nil"/>
              <w:bottom w:val="single" w:sz="4" w:space="0" w:color="auto"/>
              <w:right w:val="single" w:sz="4" w:space="0" w:color="auto"/>
            </w:tcBorders>
            <w:shd w:val="clear" w:color="auto" w:fill="auto"/>
            <w:noWrap/>
            <w:vAlign w:val="center"/>
          </w:tcPr>
          <w:p w14:paraId="2369EFF5"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32275C47"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3.743</w:t>
            </w:r>
          </w:p>
        </w:tc>
        <w:tc>
          <w:tcPr>
            <w:tcW w:w="0" w:type="auto"/>
            <w:tcBorders>
              <w:top w:val="nil"/>
              <w:left w:val="nil"/>
              <w:bottom w:val="single" w:sz="4" w:space="0" w:color="auto"/>
              <w:right w:val="single" w:sz="4" w:space="0" w:color="auto"/>
            </w:tcBorders>
            <w:shd w:val="clear" w:color="auto" w:fill="auto"/>
            <w:noWrap/>
            <w:vAlign w:val="center"/>
          </w:tcPr>
          <w:p w14:paraId="2B0BD434"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tcPr>
          <w:p w14:paraId="7FD8A282"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34DF4A57"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7533C1D8"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5DA07E4B"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14:paraId="7119E2C7"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091DDCD7"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59ADD0FC"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7C374C2E"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3</w:t>
            </w:r>
          </w:p>
        </w:tc>
        <w:tc>
          <w:tcPr>
            <w:tcW w:w="436" w:type="dxa"/>
            <w:tcBorders>
              <w:top w:val="nil"/>
              <w:left w:val="nil"/>
              <w:bottom w:val="single" w:sz="4" w:space="0" w:color="auto"/>
              <w:right w:val="single" w:sz="4" w:space="0" w:color="auto"/>
            </w:tcBorders>
            <w:shd w:val="clear" w:color="auto" w:fill="auto"/>
            <w:noWrap/>
            <w:vAlign w:val="center"/>
          </w:tcPr>
          <w:p w14:paraId="70726B7B"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709247BD"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36D719D1"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5064003"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122</w:t>
            </w:r>
          </w:p>
        </w:tc>
        <w:tc>
          <w:tcPr>
            <w:tcW w:w="0" w:type="auto"/>
            <w:tcBorders>
              <w:top w:val="nil"/>
              <w:left w:val="nil"/>
              <w:bottom w:val="single" w:sz="4" w:space="0" w:color="auto"/>
              <w:right w:val="single" w:sz="4" w:space="0" w:color="auto"/>
            </w:tcBorders>
            <w:shd w:val="clear" w:color="auto" w:fill="auto"/>
            <w:noWrap/>
            <w:vAlign w:val="center"/>
          </w:tcPr>
          <w:p w14:paraId="0BD2B22C"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40</w:t>
            </w:r>
          </w:p>
        </w:tc>
        <w:tc>
          <w:tcPr>
            <w:tcW w:w="801" w:type="dxa"/>
            <w:tcBorders>
              <w:top w:val="nil"/>
              <w:left w:val="nil"/>
              <w:bottom w:val="single" w:sz="4" w:space="0" w:color="auto"/>
              <w:right w:val="single" w:sz="4" w:space="0" w:color="auto"/>
            </w:tcBorders>
            <w:shd w:val="clear" w:color="auto" w:fill="auto"/>
            <w:noWrap/>
            <w:vAlign w:val="center"/>
          </w:tcPr>
          <w:p w14:paraId="2D09F7DC"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72767D66"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3.743</w:t>
            </w:r>
          </w:p>
        </w:tc>
      </w:tr>
      <w:tr w:rsidR="00671B63" w:rsidRPr="001B4CA2" w14:paraId="08717FF0"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F3D78" w14:textId="77777777" w:rsidR="00671B63" w:rsidRPr="001B4CA2" w:rsidRDefault="00671B63" w:rsidP="00671B63">
            <w:pPr>
              <w:jc w:val="left"/>
              <w:rPr>
                <w:bCs/>
                <w:sz w:val="18"/>
                <w:szCs w:val="18"/>
              </w:rPr>
            </w:pPr>
            <w:r w:rsidRPr="001B4CA2">
              <w:rPr>
                <w:bCs/>
                <w:sz w:val="18"/>
                <w:szCs w:val="18"/>
              </w:rPr>
              <w:t xml:space="preserve">Ministarstvo unutarnjih poslova </w:t>
            </w:r>
          </w:p>
        </w:tc>
        <w:tc>
          <w:tcPr>
            <w:tcW w:w="0" w:type="auto"/>
            <w:tcBorders>
              <w:top w:val="nil"/>
              <w:left w:val="nil"/>
              <w:bottom w:val="single" w:sz="4" w:space="0" w:color="auto"/>
              <w:right w:val="single" w:sz="4" w:space="0" w:color="auto"/>
            </w:tcBorders>
            <w:shd w:val="clear" w:color="auto" w:fill="auto"/>
            <w:noWrap/>
            <w:vAlign w:val="center"/>
          </w:tcPr>
          <w:p w14:paraId="3515F9B7"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2719A225"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1D6E35EB"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28172EFF"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C72B013"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76D98EA8"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605" w:type="dxa"/>
            <w:tcBorders>
              <w:top w:val="nil"/>
              <w:left w:val="nil"/>
              <w:bottom w:val="single" w:sz="4" w:space="0" w:color="auto"/>
              <w:right w:val="single" w:sz="4" w:space="0" w:color="auto"/>
            </w:tcBorders>
            <w:shd w:val="clear" w:color="auto" w:fill="auto"/>
            <w:noWrap/>
            <w:vAlign w:val="center"/>
          </w:tcPr>
          <w:p w14:paraId="1342C75C"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03E6BF82"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6</w:t>
            </w:r>
          </w:p>
        </w:tc>
        <w:tc>
          <w:tcPr>
            <w:tcW w:w="488" w:type="dxa"/>
            <w:tcBorders>
              <w:top w:val="nil"/>
              <w:left w:val="nil"/>
              <w:bottom w:val="single" w:sz="4" w:space="0" w:color="auto"/>
              <w:right w:val="single" w:sz="4" w:space="0" w:color="auto"/>
            </w:tcBorders>
            <w:shd w:val="clear" w:color="auto" w:fill="auto"/>
            <w:noWrap/>
            <w:vAlign w:val="center"/>
          </w:tcPr>
          <w:p w14:paraId="464DA2B6"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2B67FAB5"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4F09BC62"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438CD225"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0C66A76B"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436" w:type="dxa"/>
            <w:tcBorders>
              <w:top w:val="nil"/>
              <w:left w:val="nil"/>
              <w:bottom w:val="single" w:sz="4" w:space="0" w:color="auto"/>
              <w:right w:val="single" w:sz="4" w:space="0" w:color="auto"/>
            </w:tcBorders>
            <w:shd w:val="clear" w:color="auto" w:fill="auto"/>
            <w:noWrap/>
            <w:vAlign w:val="center"/>
          </w:tcPr>
          <w:p w14:paraId="59315C68"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55B2E5E2"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4B2A02B7"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5B70ABD"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14:paraId="7A23A97B"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w:t>
            </w:r>
          </w:p>
        </w:tc>
        <w:tc>
          <w:tcPr>
            <w:tcW w:w="801" w:type="dxa"/>
            <w:tcBorders>
              <w:top w:val="nil"/>
              <w:left w:val="nil"/>
              <w:bottom w:val="single" w:sz="4" w:space="0" w:color="auto"/>
              <w:right w:val="single" w:sz="4" w:space="0" w:color="auto"/>
            </w:tcBorders>
            <w:shd w:val="clear" w:color="auto" w:fill="auto"/>
            <w:noWrap/>
            <w:vAlign w:val="center"/>
          </w:tcPr>
          <w:p w14:paraId="4529D60F"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7105D962"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6</w:t>
            </w:r>
          </w:p>
        </w:tc>
      </w:tr>
      <w:tr w:rsidR="00671B63" w:rsidRPr="001B4CA2" w14:paraId="0A933555"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5CD11" w14:textId="77777777" w:rsidR="00671B63" w:rsidRPr="001B4CA2" w:rsidRDefault="00671B63" w:rsidP="00671B63">
            <w:pPr>
              <w:jc w:val="left"/>
              <w:rPr>
                <w:bCs/>
                <w:sz w:val="18"/>
                <w:szCs w:val="18"/>
              </w:rPr>
            </w:pPr>
            <w:r w:rsidRPr="001B4CA2">
              <w:rPr>
                <w:bCs/>
                <w:sz w:val="18"/>
                <w:szCs w:val="18"/>
              </w:rPr>
              <w:t>Ministarstvo rada, mirovinskoga sustava, obitelji i socijalne politike</w:t>
            </w:r>
          </w:p>
        </w:tc>
        <w:tc>
          <w:tcPr>
            <w:tcW w:w="0" w:type="auto"/>
            <w:tcBorders>
              <w:top w:val="nil"/>
              <w:left w:val="nil"/>
              <w:bottom w:val="single" w:sz="4" w:space="0" w:color="auto"/>
              <w:right w:val="single" w:sz="4" w:space="0" w:color="auto"/>
            </w:tcBorders>
            <w:shd w:val="clear" w:color="auto" w:fill="auto"/>
            <w:noWrap/>
            <w:vAlign w:val="center"/>
          </w:tcPr>
          <w:p w14:paraId="61D8C576"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41C3A39"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59F28E4C"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4949E189"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25E1C23"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F6A3C9C"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09A41AF8"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77AB5DF4"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04404CE2"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1D23BAA"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6947C01F"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00A25D87"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6FEAA59C"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17E039E7"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101A050C"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514064B1"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E63B125" w14:textId="77777777" w:rsidR="00671B63" w:rsidRPr="001B4CA2" w:rsidRDefault="00671B63" w:rsidP="00671B63">
            <w:pPr>
              <w:jc w:val="center"/>
              <w:rPr>
                <w:rFonts w:asciiTheme="minorHAnsi" w:hAnsiTheme="minorHAnsi" w:cstheme="minorHAnsi"/>
                <w:bCs/>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18F9FEC" w14:textId="77777777" w:rsidR="00671B63" w:rsidRPr="001B4CA2" w:rsidRDefault="00671B63" w:rsidP="00671B63">
            <w:pPr>
              <w:jc w:val="center"/>
              <w:rPr>
                <w:rFonts w:asciiTheme="minorHAnsi" w:hAnsiTheme="minorHAnsi" w:cstheme="minorHAnsi"/>
                <w:bCs/>
                <w:color w:val="000000"/>
                <w:sz w:val="18"/>
                <w:szCs w:val="18"/>
              </w:rPr>
            </w:pPr>
          </w:p>
        </w:tc>
        <w:tc>
          <w:tcPr>
            <w:tcW w:w="801" w:type="dxa"/>
            <w:tcBorders>
              <w:top w:val="nil"/>
              <w:left w:val="nil"/>
              <w:bottom w:val="single" w:sz="4" w:space="0" w:color="auto"/>
              <w:right w:val="single" w:sz="4" w:space="0" w:color="auto"/>
            </w:tcBorders>
            <w:shd w:val="clear" w:color="auto" w:fill="auto"/>
            <w:noWrap/>
            <w:vAlign w:val="center"/>
          </w:tcPr>
          <w:p w14:paraId="3DF70583"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489B5831" w14:textId="77777777" w:rsidR="00671B63" w:rsidRPr="001B4CA2" w:rsidRDefault="00671B63" w:rsidP="00671B63">
            <w:pPr>
              <w:jc w:val="center"/>
              <w:rPr>
                <w:rFonts w:asciiTheme="minorHAnsi" w:hAnsiTheme="minorHAnsi" w:cstheme="minorHAnsi"/>
                <w:sz w:val="18"/>
                <w:szCs w:val="18"/>
              </w:rPr>
            </w:pPr>
          </w:p>
        </w:tc>
      </w:tr>
      <w:tr w:rsidR="00671B63" w:rsidRPr="001B4CA2" w14:paraId="2E1CDEC5"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71B613" w14:textId="77777777" w:rsidR="00671B63" w:rsidRPr="001B4CA2" w:rsidRDefault="00671B63" w:rsidP="00671B63">
            <w:pPr>
              <w:jc w:val="left"/>
              <w:rPr>
                <w:bCs/>
                <w:sz w:val="18"/>
                <w:szCs w:val="18"/>
              </w:rPr>
            </w:pPr>
            <w:r w:rsidRPr="001B4CA2">
              <w:rPr>
                <w:bCs/>
                <w:sz w:val="18"/>
                <w:szCs w:val="18"/>
              </w:rPr>
              <w:t xml:space="preserve">Ministarstvo financija </w:t>
            </w:r>
          </w:p>
        </w:tc>
        <w:tc>
          <w:tcPr>
            <w:tcW w:w="0" w:type="auto"/>
            <w:tcBorders>
              <w:top w:val="nil"/>
              <w:left w:val="nil"/>
              <w:bottom w:val="single" w:sz="4" w:space="0" w:color="auto"/>
              <w:right w:val="single" w:sz="4" w:space="0" w:color="auto"/>
            </w:tcBorders>
            <w:shd w:val="clear" w:color="auto" w:fill="auto"/>
            <w:noWrap/>
            <w:vAlign w:val="center"/>
          </w:tcPr>
          <w:p w14:paraId="4162D995"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tcPr>
          <w:p w14:paraId="08420B70"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68BD8726"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49F6B73D"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8E0715C"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14:paraId="756993DC"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6E5A5D06"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1BAFA3FF"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3C332802"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14:paraId="11929B50"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405D0396"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4B5F5BD2"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24526853"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2</w:t>
            </w:r>
          </w:p>
        </w:tc>
        <w:tc>
          <w:tcPr>
            <w:tcW w:w="436" w:type="dxa"/>
            <w:tcBorders>
              <w:top w:val="nil"/>
              <w:left w:val="nil"/>
              <w:bottom w:val="single" w:sz="4" w:space="0" w:color="auto"/>
              <w:right w:val="single" w:sz="4" w:space="0" w:color="auto"/>
            </w:tcBorders>
            <w:shd w:val="clear" w:color="auto" w:fill="auto"/>
            <w:noWrap/>
            <w:vAlign w:val="center"/>
          </w:tcPr>
          <w:p w14:paraId="0878F440"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634" w:type="dxa"/>
            <w:tcBorders>
              <w:top w:val="nil"/>
              <w:left w:val="nil"/>
              <w:bottom w:val="single" w:sz="4" w:space="0" w:color="auto"/>
              <w:right w:val="single" w:sz="4" w:space="0" w:color="auto"/>
            </w:tcBorders>
            <w:shd w:val="clear" w:color="auto" w:fill="auto"/>
            <w:noWrap/>
            <w:vAlign w:val="center"/>
          </w:tcPr>
          <w:p w14:paraId="233EE24A"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3E7BFCB6"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tcPr>
          <w:p w14:paraId="359AA510"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17</w:t>
            </w:r>
          </w:p>
        </w:tc>
        <w:tc>
          <w:tcPr>
            <w:tcW w:w="0" w:type="auto"/>
            <w:tcBorders>
              <w:top w:val="nil"/>
              <w:left w:val="nil"/>
              <w:bottom w:val="single" w:sz="4" w:space="0" w:color="auto"/>
              <w:right w:val="single" w:sz="4" w:space="0" w:color="auto"/>
            </w:tcBorders>
            <w:shd w:val="clear" w:color="auto" w:fill="auto"/>
            <w:noWrap/>
            <w:vAlign w:val="center"/>
          </w:tcPr>
          <w:p w14:paraId="08BB3394"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w:t>
            </w:r>
          </w:p>
        </w:tc>
        <w:tc>
          <w:tcPr>
            <w:tcW w:w="801" w:type="dxa"/>
            <w:tcBorders>
              <w:top w:val="nil"/>
              <w:left w:val="nil"/>
              <w:bottom w:val="single" w:sz="4" w:space="0" w:color="auto"/>
              <w:right w:val="single" w:sz="4" w:space="0" w:color="auto"/>
            </w:tcBorders>
            <w:shd w:val="clear" w:color="auto" w:fill="auto"/>
            <w:noWrap/>
            <w:vAlign w:val="center"/>
          </w:tcPr>
          <w:p w14:paraId="10B6634D"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400C2CBB"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12</w:t>
            </w:r>
          </w:p>
        </w:tc>
      </w:tr>
      <w:tr w:rsidR="00671B63" w:rsidRPr="001B4CA2" w14:paraId="2B8C3BCB"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9B076E" w14:textId="77777777" w:rsidR="00671B63" w:rsidRPr="001B4CA2" w:rsidRDefault="00671B63" w:rsidP="00671B63">
            <w:pPr>
              <w:jc w:val="left"/>
              <w:rPr>
                <w:bCs/>
                <w:sz w:val="18"/>
                <w:szCs w:val="18"/>
              </w:rPr>
            </w:pPr>
            <w:r w:rsidRPr="001B4CA2">
              <w:rPr>
                <w:bCs/>
                <w:sz w:val="18"/>
                <w:szCs w:val="18"/>
              </w:rPr>
              <w:t>Ministarstvo gospodarstva i održivog razvoja</w:t>
            </w:r>
          </w:p>
        </w:tc>
        <w:tc>
          <w:tcPr>
            <w:tcW w:w="0" w:type="auto"/>
            <w:tcBorders>
              <w:top w:val="nil"/>
              <w:left w:val="nil"/>
              <w:bottom w:val="single" w:sz="4" w:space="0" w:color="auto"/>
              <w:right w:val="single" w:sz="4" w:space="0" w:color="auto"/>
            </w:tcBorders>
            <w:shd w:val="clear" w:color="auto" w:fill="auto"/>
            <w:noWrap/>
            <w:vAlign w:val="center"/>
          </w:tcPr>
          <w:p w14:paraId="6A78D4F6"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88EBE94"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57320C1B"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36074791"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05164C2"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5D935392"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77F9F3DC"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4B0D275F"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52AC4971"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14:paraId="368A5D67"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752DFABA"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7FF8A841"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015BBB08"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3722C74C"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4C447A96"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7A1FB8D6"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E02DC9C"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14:paraId="3ED611AE" w14:textId="77777777" w:rsidR="00671B63" w:rsidRPr="001B4CA2" w:rsidRDefault="00671B63" w:rsidP="00671B63">
            <w:pPr>
              <w:jc w:val="center"/>
              <w:rPr>
                <w:rFonts w:asciiTheme="minorHAnsi" w:hAnsiTheme="minorHAnsi" w:cstheme="minorHAnsi"/>
                <w:bCs/>
                <w:color w:val="000000"/>
                <w:sz w:val="18"/>
                <w:szCs w:val="18"/>
              </w:rPr>
            </w:pPr>
          </w:p>
        </w:tc>
        <w:tc>
          <w:tcPr>
            <w:tcW w:w="801" w:type="dxa"/>
            <w:tcBorders>
              <w:top w:val="nil"/>
              <w:left w:val="nil"/>
              <w:bottom w:val="single" w:sz="4" w:space="0" w:color="auto"/>
              <w:right w:val="single" w:sz="4" w:space="0" w:color="auto"/>
            </w:tcBorders>
            <w:shd w:val="clear" w:color="auto" w:fill="auto"/>
            <w:noWrap/>
            <w:vAlign w:val="center"/>
          </w:tcPr>
          <w:p w14:paraId="35712537"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50AD8320" w14:textId="77777777" w:rsidR="00671B63" w:rsidRPr="001B4CA2" w:rsidRDefault="00671B63" w:rsidP="00671B63">
            <w:pPr>
              <w:jc w:val="center"/>
              <w:rPr>
                <w:rFonts w:asciiTheme="minorHAnsi" w:hAnsiTheme="minorHAnsi" w:cstheme="minorHAnsi"/>
                <w:sz w:val="18"/>
                <w:szCs w:val="18"/>
              </w:rPr>
            </w:pPr>
          </w:p>
        </w:tc>
      </w:tr>
      <w:tr w:rsidR="00671B63" w:rsidRPr="001B4CA2" w14:paraId="0AE084AF"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DE9411" w14:textId="77777777" w:rsidR="00671B63" w:rsidRPr="001B4CA2" w:rsidRDefault="00671B63" w:rsidP="00671B63">
            <w:pPr>
              <w:jc w:val="left"/>
              <w:rPr>
                <w:bCs/>
                <w:sz w:val="18"/>
                <w:szCs w:val="18"/>
              </w:rPr>
            </w:pPr>
            <w:r w:rsidRPr="001B4CA2">
              <w:rPr>
                <w:bCs/>
                <w:sz w:val="18"/>
                <w:szCs w:val="18"/>
              </w:rPr>
              <w:t xml:space="preserve">Ministarstvo obrane </w:t>
            </w:r>
          </w:p>
        </w:tc>
        <w:tc>
          <w:tcPr>
            <w:tcW w:w="0" w:type="auto"/>
            <w:tcBorders>
              <w:top w:val="nil"/>
              <w:left w:val="nil"/>
              <w:bottom w:val="single" w:sz="4" w:space="0" w:color="auto"/>
              <w:right w:val="single" w:sz="4" w:space="0" w:color="auto"/>
            </w:tcBorders>
            <w:shd w:val="clear" w:color="auto" w:fill="auto"/>
            <w:noWrap/>
            <w:vAlign w:val="center"/>
          </w:tcPr>
          <w:p w14:paraId="1EE3284B"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0B8D901A"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50DDFA87"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6EE0F903"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7BDDE7A"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14:paraId="5A0CC7DC"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2</w:t>
            </w:r>
          </w:p>
        </w:tc>
        <w:tc>
          <w:tcPr>
            <w:tcW w:w="605" w:type="dxa"/>
            <w:tcBorders>
              <w:top w:val="nil"/>
              <w:left w:val="nil"/>
              <w:bottom w:val="single" w:sz="4" w:space="0" w:color="auto"/>
              <w:right w:val="single" w:sz="4" w:space="0" w:color="auto"/>
            </w:tcBorders>
            <w:shd w:val="clear" w:color="auto" w:fill="auto"/>
            <w:noWrap/>
            <w:vAlign w:val="center"/>
          </w:tcPr>
          <w:p w14:paraId="375C1F16"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64215280"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78</w:t>
            </w:r>
          </w:p>
        </w:tc>
        <w:tc>
          <w:tcPr>
            <w:tcW w:w="488" w:type="dxa"/>
            <w:tcBorders>
              <w:top w:val="nil"/>
              <w:left w:val="nil"/>
              <w:bottom w:val="single" w:sz="4" w:space="0" w:color="auto"/>
              <w:right w:val="single" w:sz="4" w:space="0" w:color="auto"/>
            </w:tcBorders>
            <w:shd w:val="clear" w:color="auto" w:fill="auto"/>
            <w:noWrap/>
            <w:vAlign w:val="center"/>
          </w:tcPr>
          <w:p w14:paraId="6D66EB96"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2068D9B2"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605" w:type="dxa"/>
            <w:tcBorders>
              <w:top w:val="nil"/>
              <w:left w:val="nil"/>
              <w:bottom w:val="single" w:sz="4" w:space="0" w:color="auto"/>
              <w:right w:val="single" w:sz="4" w:space="0" w:color="auto"/>
            </w:tcBorders>
            <w:shd w:val="clear" w:color="auto" w:fill="auto"/>
            <w:noWrap/>
            <w:vAlign w:val="center"/>
          </w:tcPr>
          <w:p w14:paraId="71745368"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16B0C381"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95</w:t>
            </w:r>
          </w:p>
        </w:tc>
        <w:tc>
          <w:tcPr>
            <w:tcW w:w="454" w:type="dxa"/>
            <w:tcBorders>
              <w:top w:val="nil"/>
              <w:left w:val="nil"/>
              <w:bottom w:val="single" w:sz="4" w:space="0" w:color="auto"/>
              <w:right w:val="single" w:sz="4" w:space="0" w:color="auto"/>
            </w:tcBorders>
            <w:shd w:val="clear" w:color="auto" w:fill="auto"/>
            <w:noWrap/>
            <w:vAlign w:val="center"/>
          </w:tcPr>
          <w:p w14:paraId="1648F61F"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436" w:type="dxa"/>
            <w:tcBorders>
              <w:top w:val="nil"/>
              <w:left w:val="nil"/>
              <w:bottom w:val="single" w:sz="4" w:space="0" w:color="auto"/>
              <w:right w:val="single" w:sz="4" w:space="0" w:color="auto"/>
            </w:tcBorders>
            <w:shd w:val="clear" w:color="auto" w:fill="auto"/>
            <w:noWrap/>
            <w:vAlign w:val="center"/>
          </w:tcPr>
          <w:p w14:paraId="0816B6F7"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6A75E1F1"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4769CDF1"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10E65E6"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tcPr>
          <w:p w14:paraId="6068101B"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3</w:t>
            </w:r>
          </w:p>
        </w:tc>
        <w:tc>
          <w:tcPr>
            <w:tcW w:w="801" w:type="dxa"/>
            <w:tcBorders>
              <w:top w:val="nil"/>
              <w:left w:val="nil"/>
              <w:bottom w:val="single" w:sz="4" w:space="0" w:color="auto"/>
              <w:right w:val="single" w:sz="4" w:space="0" w:color="auto"/>
            </w:tcBorders>
            <w:shd w:val="clear" w:color="auto" w:fill="auto"/>
            <w:noWrap/>
            <w:vAlign w:val="center"/>
          </w:tcPr>
          <w:p w14:paraId="133EB6B3"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67F3B12A"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173</w:t>
            </w:r>
          </w:p>
        </w:tc>
      </w:tr>
      <w:tr w:rsidR="00671B63" w:rsidRPr="001B4CA2" w14:paraId="54387FBD"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4EDAAE" w14:textId="77777777" w:rsidR="00671B63" w:rsidRPr="001B4CA2" w:rsidRDefault="00671B63" w:rsidP="00671B63">
            <w:pPr>
              <w:jc w:val="left"/>
              <w:rPr>
                <w:bCs/>
                <w:sz w:val="18"/>
                <w:szCs w:val="18"/>
              </w:rPr>
            </w:pPr>
            <w:r w:rsidRPr="001B4CA2">
              <w:rPr>
                <w:bCs/>
                <w:sz w:val="18"/>
                <w:szCs w:val="18"/>
              </w:rPr>
              <w:t xml:space="preserve">Ministarstvo vanjskih i europskih poslova </w:t>
            </w:r>
          </w:p>
        </w:tc>
        <w:tc>
          <w:tcPr>
            <w:tcW w:w="0" w:type="auto"/>
            <w:tcBorders>
              <w:top w:val="nil"/>
              <w:left w:val="nil"/>
              <w:bottom w:val="single" w:sz="4" w:space="0" w:color="auto"/>
              <w:right w:val="single" w:sz="4" w:space="0" w:color="auto"/>
            </w:tcBorders>
            <w:shd w:val="clear" w:color="auto" w:fill="auto"/>
            <w:noWrap/>
            <w:vAlign w:val="center"/>
          </w:tcPr>
          <w:p w14:paraId="06282C64"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E3BB060"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62EA279E"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4BFEC2F2"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789A2FF"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63EC563"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71273C01"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0935F8CA"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76960BC3"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54E2263"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518A1531"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395BE1ED"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14F714DF"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65E86555"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1F84622B"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34B6E1DD"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703B7BF" w14:textId="77777777" w:rsidR="00671B63" w:rsidRPr="001B4CA2" w:rsidRDefault="00671B63" w:rsidP="00671B63">
            <w:pPr>
              <w:jc w:val="center"/>
              <w:rPr>
                <w:rFonts w:asciiTheme="minorHAnsi" w:hAnsiTheme="minorHAnsi" w:cstheme="minorHAnsi"/>
                <w:bCs/>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4ACF9C6" w14:textId="77777777" w:rsidR="00671B63" w:rsidRPr="001B4CA2" w:rsidRDefault="00671B63" w:rsidP="00671B63">
            <w:pPr>
              <w:jc w:val="center"/>
              <w:rPr>
                <w:rFonts w:asciiTheme="minorHAnsi" w:hAnsiTheme="minorHAnsi" w:cstheme="minorHAnsi"/>
                <w:bCs/>
                <w:color w:val="000000"/>
                <w:sz w:val="18"/>
                <w:szCs w:val="18"/>
              </w:rPr>
            </w:pPr>
          </w:p>
        </w:tc>
        <w:tc>
          <w:tcPr>
            <w:tcW w:w="801" w:type="dxa"/>
            <w:tcBorders>
              <w:top w:val="nil"/>
              <w:left w:val="nil"/>
              <w:bottom w:val="single" w:sz="4" w:space="0" w:color="auto"/>
              <w:right w:val="single" w:sz="4" w:space="0" w:color="auto"/>
            </w:tcBorders>
            <w:shd w:val="clear" w:color="auto" w:fill="auto"/>
            <w:noWrap/>
            <w:vAlign w:val="center"/>
          </w:tcPr>
          <w:p w14:paraId="4AF6DD2C"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7B8FBC52" w14:textId="77777777" w:rsidR="00671B63" w:rsidRPr="001B4CA2" w:rsidRDefault="00671B63" w:rsidP="00671B63">
            <w:pPr>
              <w:jc w:val="center"/>
              <w:rPr>
                <w:rFonts w:asciiTheme="minorHAnsi" w:hAnsiTheme="minorHAnsi" w:cstheme="minorHAnsi"/>
                <w:sz w:val="18"/>
                <w:szCs w:val="18"/>
              </w:rPr>
            </w:pPr>
          </w:p>
        </w:tc>
      </w:tr>
      <w:tr w:rsidR="00671B63" w:rsidRPr="001B4CA2" w14:paraId="1C2CA8DC"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894982" w14:textId="77777777" w:rsidR="00671B63" w:rsidRPr="001B4CA2" w:rsidRDefault="00671B63" w:rsidP="00671B63">
            <w:pPr>
              <w:jc w:val="left"/>
              <w:rPr>
                <w:bCs/>
                <w:sz w:val="18"/>
                <w:szCs w:val="18"/>
              </w:rPr>
            </w:pPr>
            <w:r w:rsidRPr="001B4CA2">
              <w:rPr>
                <w:bCs/>
                <w:sz w:val="18"/>
                <w:szCs w:val="18"/>
              </w:rPr>
              <w:t>Ministarstvo mora, prometa i infrastrukture</w:t>
            </w:r>
          </w:p>
        </w:tc>
        <w:tc>
          <w:tcPr>
            <w:tcW w:w="0" w:type="auto"/>
            <w:tcBorders>
              <w:top w:val="nil"/>
              <w:left w:val="nil"/>
              <w:bottom w:val="single" w:sz="4" w:space="0" w:color="auto"/>
              <w:right w:val="single" w:sz="4" w:space="0" w:color="auto"/>
            </w:tcBorders>
            <w:shd w:val="clear" w:color="auto" w:fill="auto"/>
            <w:noWrap/>
            <w:vAlign w:val="center"/>
          </w:tcPr>
          <w:p w14:paraId="2BD5BD85"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tcPr>
          <w:p w14:paraId="41D4611F"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628" w:type="dxa"/>
            <w:tcBorders>
              <w:top w:val="nil"/>
              <w:left w:val="nil"/>
              <w:bottom w:val="single" w:sz="4" w:space="0" w:color="auto"/>
              <w:right w:val="single" w:sz="4" w:space="0" w:color="auto"/>
            </w:tcBorders>
            <w:shd w:val="clear" w:color="auto" w:fill="auto"/>
            <w:noWrap/>
            <w:vAlign w:val="center"/>
          </w:tcPr>
          <w:p w14:paraId="0B9EB8E2"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632768AD"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50</w:t>
            </w:r>
          </w:p>
        </w:tc>
        <w:tc>
          <w:tcPr>
            <w:tcW w:w="0" w:type="auto"/>
            <w:tcBorders>
              <w:top w:val="nil"/>
              <w:left w:val="nil"/>
              <w:bottom w:val="single" w:sz="4" w:space="0" w:color="auto"/>
              <w:right w:val="single" w:sz="4" w:space="0" w:color="auto"/>
            </w:tcBorders>
            <w:shd w:val="clear" w:color="auto" w:fill="auto"/>
            <w:noWrap/>
            <w:vAlign w:val="center"/>
          </w:tcPr>
          <w:p w14:paraId="79E7A5FC"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tcPr>
          <w:p w14:paraId="46D7BF64"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5DD62922"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7BF4D3F7"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7A74AA08"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14:paraId="68ABE61F"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605" w:type="dxa"/>
            <w:tcBorders>
              <w:top w:val="nil"/>
              <w:left w:val="nil"/>
              <w:bottom w:val="single" w:sz="4" w:space="0" w:color="auto"/>
              <w:right w:val="single" w:sz="4" w:space="0" w:color="auto"/>
            </w:tcBorders>
            <w:shd w:val="clear" w:color="auto" w:fill="auto"/>
            <w:noWrap/>
            <w:vAlign w:val="center"/>
          </w:tcPr>
          <w:p w14:paraId="25A81EC9"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3DB1D199"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60</w:t>
            </w:r>
          </w:p>
        </w:tc>
        <w:tc>
          <w:tcPr>
            <w:tcW w:w="454" w:type="dxa"/>
            <w:tcBorders>
              <w:top w:val="nil"/>
              <w:left w:val="nil"/>
              <w:bottom w:val="single" w:sz="4" w:space="0" w:color="auto"/>
              <w:right w:val="single" w:sz="4" w:space="0" w:color="auto"/>
            </w:tcBorders>
            <w:shd w:val="clear" w:color="auto" w:fill="auto"/>
            <w:noWrap/>
            <w:vAlign w:val="center"/>
          </w:tcPr>
          <w:p w14:paraId="69C2A67B"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6B79BCF5"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38530202"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6380DC11"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187741B"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center"/>
          </w:tcPr>
          <w:p w14:paraId="247E1A49"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2</w:t>
            </w:r>
          </w:p>
        </w:tc>
        <w:tc>
          <w:tcPr>
            <w:tcW w:w="801" w:type="dxa"/>
            <w:tcBorders>
              <w:top w:val="nil"/>
              <w:left w:val="nil"/>
              <w:bottom w:val="single" w:sz="4" w:space="0" w:color="auto"/>
              <w:right w:val="single" w:sz="4" w:space="0" w:color="auto"/>
            </w:tcBorders>
            <w:shd w:val="clear" w:color="auto" w:fill="auto"/>
            <w:noWrap/>
            <w:vAlign w:val="center"/>
          </w:tcPr>
          <w:p w14:paraId="14C31A45"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1BD381F1"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110</w:t>
            </w:r>
          </w:p>
        </w:tc>
      </w:tr>
      <w:tr w:rsidR="00671B63" w:rsidRPr="001B4CA2" w14:paraId="38640CE0"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56BD23" w14:textId="77777777" w:rsidR="00671B63" w:rsidRPr="001B4CA2" w:rsidRDefault="00671B63" w:rsidP="00671B63">
            <w:pPr>
              <w:jc w:val="left"/>
              <w:rPr>
                <w:bCs/>
                <w:sz w:val="18"/>
                <w:szCs w:val="18"/>
              </w:rPr>
            </w:pPr>
            <w:r w:rsidRPr="001B4CA2">
              <w:rPr>
                <w:bCs/>
                <w:sz w:val="18"/>
                <w:szCs w:val="18"/>
              </w:rPr>
              <w:t>Ministarstvo poljoprivrede</w:t>
            </w:r>
          </w:p>
        </w:tc>
        <w:tc>
          <w:tcPr>
            <w:tcW w:w="0" w:type="auto"/>
            <w:tcBorders>
              <w:top w:val="nil"/>
              <w:left w:val="nil"/>
              <w:bottom w:val="single" w:sz="4" w:space="0" w:color="auto"/>
              <w:right w:val="single" w:sz="4" w:space="0" w:color="auto"/>
            </w:tcBorders>
            <w:shd w:val="clear" w:color="auto" w:fill="auto"/>
            <w:noWrap/>
            <w:vAlign w:val="center"/>
          </w:tcPr>
          <w:p w14:paraId="32A2D0EA"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tcPr>
          <w:p w14:paraId="2B357BBF"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10</w:t>
            </w:r>
          </w:p>
        </w:tc>
        <w:tc>
          <w:tcPr>
            <w:tcW w:w="628" w:type="dxa"/>
            <w:tcBorders>
              <w:top w:val="nil"/>
              <w:left w:val="nil"/>
              <w:bottom w:val="single" w:sz="4" w:space="0" w:color="auto"/>
              <w:right w:val="single" w:sz="4" w:space="0" w:color="auto"/>
            </w:tcBorders>
            <w:shd w:val="clear" w:color="auto" w:fill="auto"/>
            <w:noWrap/>
            <w:vAlign w:val="center"/>
          </w:tcPr>
          <w:p w14:paraId="3DD926F4"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4EB82CF1"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708</w:t>
            </w:r>
          </w:p>
        </w:tc>
        <w:tc>
          <w:tcPr>
            <w:tcW w:w="0" w:type="auto"/>
            <w:tcBorders>
              <w:top w:val="nil"/>
              <w:left w:val="nil"/>
              <w:bottom w:val="single" w:sz="4" w:space="0" w:color="auto"/>
              <w:right w:val="single" w:sz="4" w:space="0" w:color="auto"/>
            </w:tcBorders>
            <w:shd w:val="clear" w:color="auto" w:fill="auto"/>
            <w:noWrap/>
            <w:vAlign w:val="center"/>
          </w:tcPr>
          <w:p w14:paraId="0AA0EC46"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tcPr>
          <w:p w14:paraId="5A950149"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215F2EC7"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5B92594A"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18785349"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5B1FE478"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718CBE56"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3F6ED4EA"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19EAEF99"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64F68B35"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61476D28"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0C338FDF"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123068D"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31</w:t>
            </w:r>
          </w:p>
        </w:tc>
        <w:tc>
          <w:tcPr>
            <w:tcW w:w="0" w:type="auto"/>
            <w:tcBorders>
              <w:top w:val="nil"/>
              <w:left w:val="nil"/>
              <w:bottom w:val="single" w:sz="4" w:space="0" w:color="auto"/>
              <w:right w:val="single" w:sz="4" w:space="0" w:color="auto"/>
            </w:tcBorders>
            <w:shd w:val="clear" w:color="auto" w:fill="auto"/>
            <w:noWrap/>
            <w:vAlign w:val="center"/>
          </w:tcPr>
          <w:p w14:paraId="27BF0CF7"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10</w:t>
            </w:r>
          </w:p>
        </w:tc>
        <w:tc>
          <w:tcPr>
            <w:tcW w:w="801" w:type="dxa"/>
            <w:tcBorders>
              <w:top w:val="nil"/>
              <w:left w:val="nil"/>
              <w:bottom w:val="single" w:sz="4" w:space="0" w:color="auto"/>
              <w:right w:val="single" w:sz="4" w:space="0" w:color="auto"/>
            </w:tcBorders>
            <w:shd w:val="clear" w:color="auto" w:fill="auto"/>
            <w:noWrap/>
            <w:vAlign w:val="center"/>
          </w:tcPr>
          <w:p w14:paraId="67612CFB"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16077D71"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708</w:t>
            </w:r>
          </w:p>
        </w:tc>
      </w:tr>
      <w:tr w:rsidR="00671B63" w:rsidRPr="001B4CA2" w14:paraId="74142AE0"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4EC962" w14:textId="77777777" w:rsidR="00671B63" w:rsidRPr="001B4CA2" w:rsidRDefault="00671B63" w:rsidP="00671B63">
            <w:pPr>
              <w:jc w:val="left"/>
              <w:rPr>
                <w:bCs/>
                <w:sz w:val="18"/>
                <w:szCs w:val="18"/>
              </w:rPr>
            </w:pPr>
            <w:r w:rsidRPr="001B4CA2">
              <w:rPr>
                <w:bCs/>
                <w:sz w:val="18"/>
                <w:szCs w:val="18"/>
              </w:rPr>
              <w:t>Ministarstvo turizma i sporta</w:t>
            </w:r>
          </w:p>
        </w:tc>
        <w:tc>
          <w:tcPr>
            <w:tcW w:w="0" w:type="auto"/>
            <w:tcBorders>
              <w:top w:val="nil"/>
              <w:left w:val="nil"/>
              <w:bottom w:val="single" w:sz="4" w:space="0" w:color="auto"/>
              <w:right w:val="single" w:sz="4" w:space="0" w:color="auto"/>
            </w:tcBorders>
            <w:shd w:val="clear" w:color="auto" w:fill="auto"/>
            <w:noWrap/>
            <w:vAlign w:val="center"/>
          </w:tcPr>
          <w:p w14:paraId="7690B6E6"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8C590F7"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3E570D80"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2CADC310"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121154E"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D3B18AC"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2F2E2EF7"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19CC8137"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5585D965"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AF1DD4C"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7BC36BC5"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130A697E"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117DC33E"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20B7EB68"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4ACEAC01"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75A9772E"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14E113B" w14:textId="77777777" w:rsidR="00671B63" w:rsidRPr="001B4CA2" w:rsidRDefault="00671B63" w:rsidP="00671B63">
            <w:pPr>
              <w:jc w:val="center"/>
              <w:rPr>
                <w:rFonts w:asciiTheme="minorHAnsi" w:hAnsiTheme="minorHAnsi" w:cstheme="minorHAnsi"/>
                <w:bCs/>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AF7BF1B" w14:textId="77777777" w:rsidR="00671B63" w:rsidRPr="001B4CA2" w:rsidRDefault="00671B63" w:rsidP="00671B63">
            <w:pPr>
              <w:jc w:val="center"/>
              <w:rPr>
                <w:rFonts w:asciiTheme="minorHAnsi" w:hAnsiTheme="minorHAnsi" w:cstheme="minorHAnsi"/>
                <w:bCs/>
                <w:color w:val="000000"/>
                <w:sz w:val="18"/>
                <w:szCs w:val="18"/>
              </w:rPr>
            </w:pPr>
          </w:p>
        </w:tc>
        <w:tc>
          <w:tcPr>
            <w:tcW w:w="801" w:type="dxa"/>
            <w:tcBorders>
              <w:top w:val="nil"/>
              <w:left w:val="nil"/>
              <w:bottom w:val="single" w:sz="4" w:space="0" w:color="auto"/>
              <w:right w:val="single" w:sz="4" w:space="0" w:color="auto"/>
            </w:tcBorders>
            <w:shd w:val="clear" w:color="auto" w:fill="auto"/>
            <w:noWrap/>
            <w:vAlign w:val="center"/>
          </w:tcPr>
          <w:p w14:paraId="7D6B2AE6"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1359B8D3" w14:textId="77777777" w:rsidR="00671B63" w:rsidRPr="001B4CA2" w:rsidRDefault="00671B63" w:rsidP="00671B63">
            <w:pPr>
              <w:jc w:val="center"/>
              <w:rPr>
                <w:rFonts w:asciiTheme="minorHAnsi" w:hAnsiTheme="minorHAnsi" w:cstheme="minorHAnsi"/>
                <w:sz w:val="18"/>
                <w:szCs w:val="18"/>
              </w:rPr>
            </w:pPr>
          </w:p>
        </w:tc>
      </w:tr>
      <w:tr w:rsidR="00671B63" w:rsidRPr="001B4CA2" w14:paraId="6C934B05"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DC45E" w14:textId="77777777" w:rsidR="00671B63" w:rsidRPr="001B4CA2" w:rsidRDefault="00671B63" w:rsidP="00671B63">
            <w:pPr>
              <w:jc w:val="left"/>
              <w:rPr>
                <w:bCs/>
                <w:sz w:val="18"/>
                <w:szCs w:val="18"/>
              </w:rPr>
            </w:pPr>
            <w:r w:rsidRPr="001B4CA2">
              <w:rPr>
                <w:bCs/>
                <w:sz w:val="18"/>
                <w:szCs w:val="18"/>
              </w:rPr>
              <w:t xml:space="preserve">Ministarstvo znanosti i obrazovanja </w:t>
            </w:r>
          </w:p>
        </w:tc>
        <w:tc>
          <w:tcPr>
            <w:tcW w:w="0" w:type="auto"/>
            <w:tcBorders>
              <w:top w:val="nil"/>
              <w:left w:val="nil"/>
              <w:bottom w:val="single" w:sz="4" w:space="0" w:color="auto"/>
              <w:right w:val="single" w:sz="4" w:space="0" w:color="auto"/>
            </w:tcBorders>
            <w:shd w:val="clear" w:color="auto" w:fill="auto"/>
            <w:noWrap/>
            <w:vAlign w:val="center"/>
          </w:tcPr>
          <w:p w14:paraId="3F2320B1"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1A9F846"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30A66455"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7A63CE9E"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61FA7703"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tcPr>
          <w:p w14:paraId="60B4926B"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0A61F508"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6B01E56E"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42CBAFA3"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14:paraId="1B1DD1AA"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62012B3E"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61E4C41C"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2044572A"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78D0BCCC"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7AE7D671"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2B1AA277"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7D77AFC"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17</w:t>
            </w:r>
          </w:p>
        </w:tc>
        <w:tc>
          <w:tcPr>
            <w:tcW w:w="0" w:type="auto"/>
            <w:tcBorders>
              <w:top w:val="nil"/>
              <w:left w:val="nil"/>
              <w:bottom w:val="single" w:sz="4" w:space="0" w:color="auto"/>
              <w:right w:val="single" w:sz="4" w:space="0" w:color="auto"/>
            </w:tcBorders>
            <w:shd w:val="clear" w:color="auto" w:fill="auto"/>
            <w:noWrap/>
            <w:vAlign w:val="center"/>
          </w:tcPr>
          <w:p w14:paraId="6095E186" w14:textId="77777777" w:rsidR="00671B63" w:rsidRPr="001B4CA2" w:rsidRDefault="00671B63" w:rsidP="00671B63">
            <w:pPr>
              <w:jc w:val="center"/>
              <w:rPr>
                <w:rFonts w:asciiTheme="minorHAnsi" w:hAnsiTheme="minorHAnsi" w:cstheme="minorHAnsi"/>
                <w:bCs/>
                <w:color w:val="000000"/>
                <w:sz w:val="18"/>
                <w:szCs w:val="18"/>
              </w:rPr>
            </w:pPr>
          </w:p>
        </w:tc>
        <w:tc>
          <w:tcPr>
            <w:tcW w:w="801" w:type="dxa"/>
            <w:tcBorders>
              <w:top w:val="nil"/>
              <w:left w:val="nil"/>
              <w:bottom w:val="single" w:sz="4" w:space="0" w:color="auto"/>
              <w:right w:val="single" w:sz="4" w:space="0" w:color="auto"/>
            </w:tcBorders>
            <w:shd w:val="clear" w:color="auto" w:fill="auto"/>
            <w:noWrap/>
            <w:vAlign w:val="center"/>
          </w:tcPr>
          <w:p w14:paraId="70F9B28F"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364412D5" w14:textId="77777777" w:rsidR="00671B63" w:rsidRPr="001B4CA2" w:rsidRDefault="00671B63" w:rsidP="00671B63">
            <w:pPr>
              <w:jc w:val="center"/>
              <w:rPr>
                <w:rFonts w:asciiTheme="minorHAnsi" w:hAnsiTheme="minorHAnsi" w:cstheme="minorHAnsi"/>
                <w:sz w:val="18"/>
                <w:szCs w:val="18"/>
              </w:rPr>
            </w:pPr>
          </w:p>
        </w:tc>
      </w:tr>
      <w:tr w:rsidR="00671B63" w:rsidRPr="001B4CA2" w14:paraId="2344657D"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B1F041" w14:textId="77777777" w:rsidR="00671B63" w:rsidRPr="001B4CA2" w:rsidRDefault="00671B63" w:rsidP="00671B63">
            <w:pPr>
              <w:jc w:val="left"/>
              <w:rPr>
                <w:bCs/>
                <w:sz w:val="18"/>
                <w:szCs w:val="18"/>
              </w:rPr>
            </w:pPr>
            <w:r w:rsidRPr="001B4CA2">
              <w:rPr>
                <w:bCs/>
                <w:sz w:val="18"/>
                <w:szCs w:val="18"/>
              </w:rPr>
              <w:t>Ministarstvo kulture i medija</w:t>
            </w:r>
          </w:p>
        </w:tc>
        <w:tc>
          <w:tcPr>
            <w:tcW w:w="0" w:type="auto"/>
            <w:tcBorders>
              <w:top w:val="nil"/>
              <w:left w:val="nil"/>
              <w:bottom w:val="single" w:sz="4" w:space="0" w:color="auto"/>
              <w:right w:val="single" w:sz="4" w:space="0" w:color="auto"/>
            </w:tcBorders>
            <w:shd w:val="clear" w:color="auto" w:fill="auto"/>
            <w:noWrap/>
            <w:vAlign w:val="center"/>
          </w:tcPr>
          <w:p w14:paraId="6A5AEE1D"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D6DBC15"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35D53A89"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5033697E"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5F62EACD"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0D6A71E"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75D61245"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3087E252"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68022400"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352C0764"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752456AD"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0E1E1267"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32B4AE18"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58879CCB"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6596FBEC"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6C4B8751"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8930E8F"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2CA25F97" w14:textId="77777777" w:rsidR="00671B63" w:rsidRPr="001B4CA2" w:rsidRDefault="00671B63" w:rsidP="00671B63">
            <w:pPr>
              <w:jc w:val="center"/>
              <w:rPr>
                <w:rFonts w:asciiTheme="minorHAnsi" w:hAnsiTheme="minorHAnsi" w:cstheme="minorHAnsi"/>
                <w:bCs/>
                <w:color w:val="000000"/>
                <w:sz w:val="18"/>
                <w:szCs w:val="18"/>
              </w:rPr>
            </w:pPr>
          </w:p>
        </w:tc>
        <w:tc>
          <w:tcPr>
            <w:tcW w:w="801" w:type="dxa"/>
            <w:tcBorders>
              <w:top w:val="nil"/>
              <w:left w:val="nil"/>
              <w:bottom w:val="single" w:sz="4" w:space="0" w:color="auto"/>
              <w:right w:val="single" w:sz="4" w:space="0" w:color="auto"/>
            </w:tcBorders>
            <w:shd w:val="clear" w:color="auto" w:fill="auto"/>
            <w:noWrap/>
            <w:vAlign w:val="center"/>
          </w:tcPr>
          <w:p w14:paraId="6C39DCF3"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02DE3FDB" w14:textId="77777777" w:rsidR="00671B63" w:rsidRPr="001B4CA2" w:rsidRDefault="00671B63" w:rsidP="00671B63">
            <w:pPr>
              <w:jc w:val="center"/>
              <w:rPr>
                <w:rFonts w:asciiTheme="minorHAnsi" w:hAnsiTheme="minorHAnsi" w:cstheme="minorHAnsi"/>
                <w:sz w:val="18"/>
                <w:szCs w:val="18"/>
              </w:rPr>
            </w:pPr>
          </w:p>
        </w:tc>
      </w:tr>
      <w:tr w:rsidR="00671B63" w:rsidRPr="001B4CA2" w14:paraId="4BC98D7D"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F63758" w14:textId="77777777" w:rsidR="00671B63" w:rsidRPr="001B4CA2" w:rsidRDefault="00671B63" w:rsidP="00671B63">
            <w:pPr>
              <w:jc w:val="left"/>
              <w:rPr>
                <w:bCs/>
                <w:sz w:val="18"/>
                <w:szCs w:val="18"/>
              </w:rPr>
            </w:pPr>
            <w:r w:rsidRPr="001B4CA2">
              <w:rPr>
                <w:bCs/>
                <w:sz w:val="18"/>
                <w:szCs w:val="18"/>
              </w:rPr>
              <w:t xml:space="preserve">Središnji državni ured za obnovu i stambeno zbrinjavanje </w:t>
            </w:r>
          </w:p>
        </w:tc>
        <w:tc>
          <w:tcPr>
            <w:tcW w:w="0" w:type="auto"/>
            <w:tcBorders>
              <w:top w:val="nil"/>
              <w:left w:val="nil"/>
              <w:bottom w:val="single" w:sz="4" w:space="0" w:color="auto"/>
              <w:right w:val="single" w:sz="4" w:space="0" w:color="auto"/>
            </w:tcBorders>
            <w:shd w:val="clear" w:color="auto" w:fill="auto"/>
            <w:noWrap/>
            <w:vAlign w:val="center"/>
          </w:tcPr>
          <w:p w14:paraId="2DB5E7AA"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6851D2E"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2BBD3EEF"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16242CC5"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4D64229"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14:paraId="2AB4C20A"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7384B460"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4508B04D"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79604353"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7D03C0AF"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1403EB65"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756A31DE"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060809FD"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7D73D798"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6022D442"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3335D380"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32FFA214"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14:paraId="13F9A52C" w14:textId="77777777" w:rsidR="00671B63" w:rsidRPr="001B4CA2" w:rsidRDefault="00671B63" w:rsidP="00671B63">
            <w:pPr>
              <w:jc w:val="center"/>
              <w:rPr>
                <w:rFonts w:asciiTheme="minorHAnsi" w:hAnsiTheme="minorHAnsi" w:cstheme="minorHAnsi"/>
                <w:bCs/>
                <w:color w:val="000000"/>
                <w:sz w:val="18"/>
                <w:szCs w:val="18"/>
              </w:rPr>
            </w:pPr>
          </w:p>
        </w:tc>
        <w:tc>
          <w:tcPr>
            <w:tcW w:w="801" w:type="dxa"/>
            <w:tcBorders>
              <w:top w:val="nil"/>
              <w:left w:val="nil"/>
              <w:bottom w:val="single" w:sz="4" w:space="0" w:color="auto"/>
              <w:right w:val="single" w:sz="4" w:space="0" w:color="auto"/>
            </w:tcBorders>
            <w:shd w:val="clear" w:color="auto" w:fill="auto"/>
            <w:noWrap/>
            <w:vAlign w:val="center"/>
          </w:tcPr>
          <w:p w14:paraId="6B423C88"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67192C68" w14:textId="77777777" w:rsidR="00671B63" w:rsidRPr="001B4CA2" w:rsidRDefault="00671B63" w:rsidP="00671B63">
            <w:pPr>
              <w:jc w:val="center"/>
              <w:rPr>
                <w:rFonts w:asciiTheme="minorHAnsi" w:hAnsiTheme="minorHAnsi" w:cstheme="minorHAnsi"/>
                <w:sz w:val="18"/>
                <w:szCs w:val="18"/>
              </w:rPr>
            </w:pPr>
          </w:p>
        </w:tc>
      </w:tr>
      <w:tr w:rsidR="00671B63" w:rsidRPr="001B4CA2" w14:paraId="08AE5B7F"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45C9FB" w14:textId="77777777" w:rsidR="00671B63" w:rsidRPr="001B4CA2" w:rsidRDefault="00671B63" w:rsidP="00671B63">
            <w:pPr>
              <w:jc w:val="left"/>
              <w:rPr>
                <w:bCs/>
                <w:sz w:val="18"/>
                <w:szCs w:val="18"/>
              </w:rPr>
            </w:pPr>
            <w:r w:rsidRPr="001B4CA2">
              <w:rPr>
                <w:bCs/>
                <w:sz w:val="18"/>
                <w:szCs w:val="18"/>
              </w:rPr>
              <w:t>Državne nekretnine d.o.o.</w:t>
            </w:r>
          </w:p>
        </w:tc>
        <w:tc>
          <w:tcPr>
            <w:tcW w:w="0" w:type="auto"/>
            <w:tcBorders>
              <w:top w:val="nil"/>
              <w:left w:val="nil"/>
              <w:bottom w:val="single" w:sz="4" w:space="0" w:color="auto"/>
              <w:right w:val="single" w:sz="4" w:space="0" w:color="auto"/>
            </w:tcBorders>
            <w:shd w:val="clear" w:color="auto" w:fill="auto"/>
            <w:noWrap/>
            <w:vAlign w:val="center"/>
          </w:tcPr>
          <w:p w14:paraId="2662664C"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7FB295C"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696E674A"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4B7D7CEA"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282E0097"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14:paraId="07D963B2"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39D2580A"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55885032" w14:textId="77777777" w:rsidR="00671B63" w:rsidRPr="001B4CA2" w:rsidRDefault="00671B63" w:rsidP="00671B63">
            <w:pPr>
              <w:jc w:val="center"/>
              <w:rPr>
                <w:rFonts w:asciiTheme="minorHAnsi" w:hAnsiTheme="minorHAnsi" w:cstheme="minorHAnsi"/>
                <w:sz w:val="18"/>
                <w:szCs w:val="18"/>
              </w:rPr>
            </w:pPr>
          </w:p>
        </w:tc>
        <w:tc>
          <w:tcPr>
            <w:tcW w:w="488" w:type="dxa"/>
            <w:tcBorders>
              <w:top w:val="nil"/>
              <w:left w:val="nil"/>
              <w:bottom w:val="single" w:sz="4" w:space="0" w:color="auto"/>
              <w:right w:val="single" w:sz="4" w:space="0" w:color="auto"/>
            </w:tcBorders>
            <w:shd w:val="clear" w:color="auto" w:fill="auto"/>
            <w:noWrap/>
            <w:vAlign w:val="center"/>
          </w:tcPr>
          <w:p w14:paraId="697982D3"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759CD1BC"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1C270785"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2058344A"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72DAAC7C"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4A17F454"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140507EB"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200D8E33"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43150D79"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tcPr>
          <w:p w14:paraId="19B2B7B9" w14:textId="77777777" w:rsidR="00671B63" w:rsidRPr="001B4CA2" w:rsidRDefault="00671B63" w:rsidP="00671B63">
            <w:pPr>
              <w:jc w:val="center"/>
              <w:rPr>
                <w:rFonts w:asciiTheme="minorHAnsi" w:hAnsiTheme="minorHAnsi" w:cstheme="minorHAnsi"/>
                <w:bCs/>
                <w:color w:val="000000"/>
                <w:sz w:val="18"/>
                <w:szCs w:val="18"/>
              </w:rPr>
            </w:pPr>
          </w:p>
        </w:tc>
        <w:tc>
          <w:tcPr>
            <w:tcW w:w="801" w:type="dxa"/>
            <w:tcBorders>
              <w:top w:val="nil"/>
              <w:left w:val="nil"/>
              <w:bottom w:val="single" w:sz="4" w:space="0" w:color="auto"/>
              <w:right w:val="single" w:sz="4" w:space="0" w:color="auto"/>
            </w:tcBorders>
            <w:shd w:val="clear" w:color="auto" w:fill="auto"/>
            <w:noWrap/>
            <w:vAlign w:val="center"/>
          </w:tcPr>
          <w:p w14:paraId="783EE2BC"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1F8D3EC9" w14:textId="77777777" w:rsidR="00671B63" w:rsidRPr="001B4CA2" w:rsidRDefault="00671B63" w:rsidP="00671B63">
            <w:pPr>
              <w:jc w:val="center"/>
              <w:rPr>
                <w:rFonts w:asciiTheme="minorHAnsi" w:hAnsiTheme="minorHAnsi" w:cstheme="minorHAnsi"/>
                <w:sz w:val="18"/>
                <w:szCs w:val="18"/>
              </w:rPr>
            </w:pPr>
          </w:p>
        </w:tc>
      </w:tr>
      <w:tr w:rsidR="00671B63" w:rsidRPr="001B4CA2" w14:paraId="6428D390"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8CCA3" w14:textId="77777777" w:rsidR="00671B63" w:rsidRPr="001B4CA2" w:rsidRDefault="00671B63" w:rsidP="00671B63">
            <w:pPr>
              <w:jc w:val="left"/>
              <w:rPr>
                <w:bCs/>
                <w:sz w:val="18"/>
                <w:szCs w:val="18"/>
              </w:rPr>
            </w:pPr>
            <w:r w:rsidRPr="001B4CA2">
              <w:rPr>
                <w:bCs/>
                <w:sz w:val="18"/>
                <w:szCs w:val="18"/>
              </w:rPr>
              <w:t xml:space="preserve">Ostali </w:t>
            </w:r>
          </w:p>
        </w:tc>
        <w:tc>
          <w:tcPr>
            <w:tcW w:w="0" w:type="auto"/>
            <w:tcBorders>
              <w:top w:val="nil"/>
              <w:left w:val="nil"/>
              <w:bottom w:val="single" w:sz="4" w:space="0" w:color="auto"/>
              <w:right w:val="single" w:sz="4" w:space="0" w:color="auto"/>
            </w:tcBorders>
            <w:shd w:val="clear" w:color="auto" w:fill="auto"/>
            <w:noWrap/>
            <w:vAlign w:val="center"/>
          </w:tcPr>
          <w:p w14:paraId="1ACF5738"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F51B632" w14:textId="77777777" w:rsidR="00671B63" w:rsidRPr="001B4CA2" w:rsidRDefault="00671B63" w:rsidP="00671B63">
            <w:pPr>
              <w:jc w:val="center"/>
              <w:rPr>
                <w:rFonts w:asciiTheme="minorHAnsi" w:hAnsiTheme="minorHAnsi" w:cstheme="minorHAnsi"/>
                <w:color w:val="000000"/>
                <w:sz w:val="18"/>
                <w:szCs w:val="18"/>
              </w:rPr>
            </w:pPr>
          </w:p>
        </w:tc>
        <w:tc>
          <w:tcPr>
            <w:tcW w:w="628" w:type="dxa"/>
            <w:tcBorders>
              <w:top w:val="nil"/>
              <w:left w:val="nil"/>
              <w:bottom w:val="single" w:sz="4" w:space="0" w:color="auto"/>
              <w:right w:val="single" w:sz="4" w:space="0" w:color="auto"/>
            </w:tcBorders>
            <w:shd w:val="clear" w:color="auto" w:fill="auto"/>
            <w:noWrap/>
            <w:vAlign w:val="center"/>
          </w:tcPr>
          <w:p w14:paraId="1CC74E25" w14:textId="77777777" w:rsidR="00671B63" w:rsidRPr="001B4CA2" w:rsidRDefault="00671B63" w:rsidP="00671B63">
            <w:pPr>
              <w:jc w:val="center"/>
              <w:rPr>
                <w:rFonts w:asciiTheme="minorHAnsi" w:hAnsiTheme="minorHAnsi" w:cstheme="minorHAnsi"/>
                <w:color w:val="000000"/>
                <w:sz w:val="18"/>
                <w:szCs w:val="18"/>
              </w:rPr>
            </w:pPr>
          </w:p>
        </w:tc>
        <w:tc>
          <w:tcPr>
            <w:tcW w:w="860" w:type="dxa"/>
            <w:tcBorders>
              <w:top w:val="nil"/>
              <w:left w:val="nil"/>
              <w:bottom w:val="single" w:sz="4" w:space="0" w:color="auto"/>
              <w:right w:val="single" w:sz="4" w:space="0" w:color="auto"/>
            </w:tcBorders>
            <w:shd w:val="clear" w:color="auto" w:fill="auto"/>
            <w:vAlign w:val="center"/>
          </w:tcPr>
          <w:p w14:paraId="250D9AD7" w14:textId="77777777" w:rsidR="00671B63" w:rsidRPr="001B4CA2" w:rsidRDefault="00671B63" w:rsidP="00671B63">
            <w:pPr>
              <w:jc w:val="center"/>
              <w:rPr>
                <w:rFonts w:asciiTheme="minorHAnsi" w:hAnsiTheme="minorHAnsi" w:cstheme="minorHAnsi"/>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15F9E2D4"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tcPr>
          <w:p w14:paraId="2E7FA5C0"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605" w:type="dxa"/>
            <w:tcBorders>
              <w:top w:val="nil"/>
              <w:left w:val="nil"/>
              <w:bottom w:val="single" w:sz="4" w:space="0" w:color="auto"/>
              <w:right w:val="single" w:sz="4" w:space="0" w:color="auto"/>
            </w:tcBorders>
            <w:shd w:val="clear" w:color="auto" w:fill="auto"/>
            <w:noWrap/>
            <w:vAlign w:val="center"/>
          </w:tcPr>
          <w:p w14:paraId="72067C35" w14:textId="77777777" w:rsidR="00671B63" w:rsidRPr="001B4CA2" w:rsidRDefault="00671B63" w:rsidP="00671B63">
            <w:pPr>
              <w:jc w:val="center"/>
              <w:rPr>
                <w:rFonts w:asciiTheme="minorHAnsi" w:hAnsiTheme="minorHAnsi" w:cstheme="minorHAnsi"/>
                <w:color w:val="000000"/>
                <w:sz w:val="18"/>
                <w:szCs w:val="18"/>
              </w:rPr>
            </w:pPr>
          </w:p>
        </w:tc>
        <w:tc>
          <w:tcPr>
            <w:tcW w:w="563" w:type="dxa"/>
            <w:tcBorders>
              <w:top w:val="nil"/>
              <w:left w:val="nil"/>
              <w:bottom w:val="single" w:sz="4" w:space="0" w:color="auto"/>
              <w:right w:val="single" w:sz="4" w:space="0" w:color="auto"/>
            </w:tcBorders>
            <w:shd w:val="clear" w:color="auto" w:fill="auto"/>
            <w:noWrap/>
            <w:vAlign w:val="center"/>
          </w:tcPr>
          <w:p w14:paraId="7DD7E5B3"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135</w:t>
            </w:r>
          </w:p>
        </w:tc>
        <w:tc>
          <w:tcPr>
            <w:tcW w:w="488" w:type="dxa"/>
            <w:tcBorders>
              <w:top w:val="nil"/>
              <w:left w:val="nil"/>
              <w:bottom w:val="single" w:sz="4" w:space="0" w:color="auto"/>
              <w:right w:val="single" w:sz="4" w:space="0" w:color="auto"/>
            </w:tcBorders>
            <w:shd w:val="clear" w:color="auto" w:fill="auto"/>
            <w:noWrap/>
            <w:vAlign w:val="center"/>
          </w:tcPr>
          <w:p w14:paraId="5E940C52" w14:textId="77777777" w:rsidR="00671B63" w:rsidRPr="001B4CA2" w:rsidRDefault="00671B63" w:rsidP="00671B63">
            <w:pPr>
              <w:jc w:val="center"/>
              <w:rPr>
                <w:rFonts w:asciiTheme="minorHAnsi" w:hAnsiTheme="minorHAnsi" w:cstheme="minorHAnsi"/>
                <w:color w:val="000000"/>
                <w:sz w:val="18"/>
                <w:szCs w:val="18"/>
              </w:rPr>
            </w:pPr>
            <w:r w:rsidRPr="001B4CA2">
              <w:rPr>
                <w:rFonts w:asciiTheme="minorHAnsi" w:hAnsiTheme="minorHAnsi" w:cstheme="minorHAns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tcPr>
          <w:p w14:paraId="70A98F36" w14:textId="77777777" w:rsidR="00671B63" w:rsidRPr="001B4CA2" w:rsidRDefault="00671B63" w:rsidP="00671B63">
            <w:pPr>
              <w:jc w:val="center"/>
              <w:rPr>
                <w:rFonts w:asciiTheme="minorHAnsi" w:hAnsiTheme="minorHAnsi" w:cstheme="minorHAnsi"/>
                <w:color w:val="000000"/>
                <w:sz w:val="18"/>
                <w:szCs w:val="18"/>
              </w:rPr>
            </w:pPr>
          </w:p>
        </w:tc>
        <w:tc>
          <w:tcPr>
            <w:tcW w:w="605" w:type="dxa"/>
            <w:tcBorders>
              <w:top w:val="nil"/>
              <w:left w:val="nil"/>
              <w:bottom w:val="single" w:sz="4" w:space="0" w:color="auto"/>
              <w:right w:val="single" w:sz="4" w:space="0" w:color="auto"/>
            </w:tcBorders>
            <w:shd w:val="clear" w:color="auto" w:fill="auto"/>
            <w:noWrap/>
            <w:vAlign w:val="center"/>
          </w:tcPr>
          <w:p w14:paraId="33E7FA43" w14:textId="77777777" w:rsidR="00671B63" w:rsidRPr="001B4CA2" w:rsidRDefault="00671B63" w:rsidP="00671B63">
            <w:pPr>
              <w:jc w:val="center"/>
              <w:rPr>
                <w:rFonts w:asciiTheme="minorHAnsi" w:hAnsiTheme="minorHAnsi" w:cstheme="minorHAnsi"/>
                <w:color w:val="000000"/>
                <w:sz w:val="18"/>
                <w:szCs w:val="18"/>
              </w:rPr>
            </w:pPr>
          </w:p>
        </w:tc>
        <w:tc>
          <w:tcPr>
            <w:tcW w:w="490" w:type="dxa"/>
            <w:tcBorders>
              <w:top w:val="nil"/>
              <w:left w:val="nil"/>
              <w:bottom w:val="single" w:sz="4" w:space="0" w:color="auto"/>
              <w:right w:val="single" w:sz="4" w:space="0" w:color="auto"/>
            </w:tcBorders>
            <w:shd w:val="clear" w:color="auto" w:fill="auto"/>
            <w:noWrap/>
            <w:vAlign w:val="center"/>
          </w:tcPr>
          <w:p w14:paraId="6578A8B1" w14:textId="77777777" w:rsidR="00671B63" w:rsidRPr="001B4CA2" w:rsidRDefault="00671B63" w:rsidP="00671B63">
            <w:pPr>
              <w:jc w:val="center"/>
              <w:rPr>
                <w:rFonts w:asciiTheme="minorHAnsi" w:hAnsiTheme="minorHAnsi" w:cstheme="minorHAnsi"/>
                <w:sz w:val="18"/>
                <w:szCs w:val="18"/>
              </w:rPr>
            </w:pPr>
          </w:p>
        </w:tc>
        <w:tc>
          <w:tcPr>
            <w:tcW w:w="454" w:type="dxa"/>
            <w:tcBorders>
              <w:top w:val="nil"/>
              <w:left w:val="nil"/>
              <w:bottom w:val="single" w:sz="4" w:space="0" w:color="auto"/>
              <w:right w:val="single" w:sz="4" w:space="0" w:color="auto"/>
            </w:tcBorders>
            <w:shd w:val="clear" w:color="auto" w:fill="auto"/>
            <w:noWrap/>
            <w:vAlign w:val="center"/>
          </w:tcPr>
          <w:p w14:paraId="60EC6BA9" w14:textId="77777777" w:rsidR="00671B63" w:rsidRPr="001B4CA2" w:rsidRDefault="00671B63" w:rsidP="00671B63">
            <w:pPr>
              <w:jc w:val="center"/>
              <w:rPr>
                <w:rFonts w:asciiTheme="minorHAnsi" w:hAnsiTheme="minorHAnsi" w:cstheme="minorHAnsi"/>
                <w:color w:val="00000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14:paraId="68EB18AB" w14:textId="77777777" w:rsidR="00671B63" w:rsidRPr="001B4CA2" w:rsidRDefault="00671B63" w:rsidP="00671B63">
            <w:pPr>
              <w:jc w:val="center"/>
              <w:rPr>
                <w:rFonts w:asciiTheme="minorHAnsi" w:hAnsiTheme="minorHAnsi" w:cstheme="minorHAnsi"/>
                <w:color w:val="000000"/>
                <w:sz w:val="18"/>
                <w:szCs w:val="18"/>
              </w:rPr>
            </w:pPr>
          </w:p>
        </w:tc>
        <w:tc>
          <w:tcPr>
            <w:tcW w:w="634" w:type="dxa"/>
            <w:tcBorders>
              <w:top w:val="nil"/>
              <w:left w:val="nil"/>
              <w:bottom w:val="single" w:sz="4" w:space="0" w:color="auto"/>
              <w:right w:val="single" w:sz="4" w:space="0" w:color="auto"/>
            </w:tcBorders>
            <w:shd w:val="clear" w:color="auto" w:fill="auto"/>
            <w:noWrap/>
            <w:vAlign w:val="center"/>
          </w:tcPr>
          <w:p w14:paraId="1E1E5601" w14:textId="77777777" w:rsidR="00671B63" w:rsidRPr="001B4CA2" w:rsidRDefault="00671B63" w:rsidP="00671B63">
            <w:pPr>
              <w:jc w:val="center"/>
              <w:rPr>
                <w:rFonts w:asciiTheme="minorHAnsi" w:hAnsiTheme="minorHAnsi" w:cstheme="minorHAnsi"/>
                <w:color w:val="000000"/>
                <w:sz w:val="18"/>
                <w:szCs w:val="18"/>
              </w:rPr>
            </w:pPr>
          </w:p>
        </w:tc>
        <w:tc>
          <w:tcPr>
            <w:tcW w:w="664" w:type="dxa"/>
            <w:tcBorders>
              <w:top w:val="nil"/>
              <w:left w:val="nil"/>
              <w:bottom w:val="single" w:sz="4" w:space="0" w:color="auto"/>
              <w:right w:val="single" w:sz="4" w:space="0" w:color="auto"/>
            </w:tcBorders>
            <w:shd w:val="clear" w:color="auto" w:fill="auto"/>
            <w:noWrap/>
            <w:vAlign w:val="center"/>
          </w:tcPr>
          <w:p w14:paraId="0CD61DD6" w14:textId="77777777" w:rsidR="00671B63" w:rsidRPr="001B4CA2" w:rsidRDefault="00671B63" w:rsidP="00671B63">
            <w:pPr>
              <w:jc w:val="center"/>
              <w:rPr>
                <w:rFonts w:asciiTheme="minorHAnsi" w:hAnsiTheme="minorHAnsi" w:cstheme="minorHAnsi"/>
                <w:color w:val="000000"/>
                <w:sz w:val="18"/>
                <w:szCs w:val="18"/>
              </w:rPr>
            </w:pPr>
          </w:p>
        </w:tc>
        <w:tc>
          <w:tcPr>
            <w:tcW w:w="0" w:type="auto"/>
            <w:tcBorders>
              <w:top w:val="nil"/>
              <w:left w:val="nil"/>
              <w:bottom w:val="single" w:sz="4" w:space="0" w:color="auto"/>
              <w:right w:val="single" w:sz="4" w:space="0" w:color="auto"/>
            </w:tcBorders>
            <w:shd w:val="clear" w:color="auto" w:fill="auto"/>
            <w:noWrap/>
            <w:vAlign w:val="center"/>
          </w:tcPr>
          <w:p w14:paraId="0D435A6F"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tcPr>
          <w:p w14:paraId="6BF116EF" w14:textId="77777777" w:rsidR="00671B63" w:rsidRPr="001B4CA2" w:rsidRDefault="00671B63" w:rsidP="00671B63">
            <w:pPr>
              <w:jc w:val="center"/>
              <w:rPr>
                <w:rFonts w:asciiTheme="minorHAnsi" w:hAnsiTheme="minorHAnsi" w:cstheme="minorHAnsi"/>
                <w:bCs/>
                <w:color w:val="000000"/>
                <w:sz w:val="18"/>
                <w:szCs w:val="18"/>
              </w:rPr>
            </w:pPr>
            <w:r w:rsidRPr="001B4CA2">
              <w:rPr>
                <w:rFonts w:asciiTheme="minorHAnsi" w:hAnsiTheme="minorHAnsi" w:cstheme="minorHAnsi"/>
                <w:bCs/>
                <w:color w:val="000000"/>
                <w:sz w:val="18"/>
                <w:szCs w:val="18"/>
              </w:rPr>
              <w:t>1</w:t>
            </w:r>
          </w:p>
        </w:tc>
        <w:tc>
          <w:tcPr>
            <w:tcW w:w="801" w:type="dxa"/>
            <w:tcBorders>
              <w:top w:val="nil"/>
              <w:left w:val="nil"/>
              <w:bottom w:val="single" w:sz="4" w:space="0" w:color="auto"/>
              <w:right w:val="single" w:sz="4" w:space="0" w:color="auto"/>
            </w:tcBorders>
            <w:shd w:val="clear" w:color="auto" w:fill="auto"/>
            <w:noWrap/>
            <w:vAlign w:val="center"/>
          </w:tcPr>
          <w:p w14:paraId="1B09BB06" w14:textId="77777777" w:rsidR="00671B63" w:rsidRPr="001B4CA2" w:rsidRDefault="00671B63" w:rsidP="00671B63">
            <w:pPr>
              <w:jc w:val="center"/>
              <w:rPr>
                <w:rFonts w:asciiTheme="minorHAnsi" w:hAnsiTheme="minorHAnsi" w:cstheme="minorHAnsi"/>
                <w:b/>
                <w:bCs/>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14:paraId="5F5893BE" w14:textId="77777777" w:rsidR="00671B63" w:rsidRPr="001B4CA2" w:rsidRDefault="00671B63" w:rsidP="00671B63">
            <w:pPr>
              <w:jc w:val="center"/>
              <w:rPr>
                <w:rFonts w:asciiTheme="minorHAnsi" w:hAnsiTheme="minorHAnsi" w:cstheme="minorHAnsi"/>
                <w:sz w:val="18"/>
                <w:szCs w:val="18"/>
              </w:rPr>
            </w:pPr>
            <w:r w:rsidRPr="001B4CA2">
              <w:rPr>
                <w:rFonts w:asciiTheme="minorHAnsi" w:hAnsiTheme="minorHAnsi" w:cstheme="minorHAnsi"/>
                <w:sz w:val="18"/>
                <w:szCs w:val="18"/>
              </w:rPr>
              <w:t>135</w:t>
            </w:r>
          </w:p>
        </w:tc>
      </w:tr>
      <w:tr w:rsidR="00671B63" w:rsidRPr="001B4CA2" w14:paraId="1063DF74" w14:textId="77777777" w:rsidTr="00B872C0">
        <w:trPr>
          <w:cantSplit/>
          <w:trHeight w:val="2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9189A" w14:textId="77777777" w:rsidR="00671B63" w:rsidRPr="001B4CA2" w:rsidRDefault="00671B63" w:rsidP="00671B63">
            <w:pPr>
              <w:jc w:val="left"/>
              <w:rPr>
                <w:b/>
                <w:bCs/>
                <w:sz w:val="18"/>
                <w:szCs w:val="18"/>
              </w:rPr>
            </w:pPr>
            <w:r w:rsidRPr="001B4CA2">
              <w:rPr>
                <w:b/>
                <w:bCs/>
                <w:sz w:val="18"/>
                <w:szCs w:val="18"/>
              </w:rPr>
              <w:t>UKUPNO</w:t>
            </w:r>
          </w:p>
        </w:tc>
        <w:tc>
          <w:tcPr>
            <w:tcW w:w="0" w:type="auto"/>
            <w:tcBorders>
              <w:top w:val="nil"/>
              <w:left w:val="nil"/>
              <w:bottom w:val="single" w:sz="4" w:space="0" w:color="auto"/>
              <w:right w:val="single" w:sz="4" w:space="0" w:color="auto"/>
            </w:tcBorders>
            <w:shd w:val="clear" w:color="auto" w:fill="auto"/>
            <w:noWrap/>
            <w:vAlign w:val="center"/>
          </w:tcPr>
          <w:p w14:paraId="484184E4" w14:textId="77777777" w:rsidR="00671B63" w:rsidRPr="001B4CA2" w:rsidRDefault="00671B63" w:rsidP="00671B63">
            <w:pPr>
              <w:jc w:val="center"/>
              <w:rPr>
                <w:rFonts w:ascii="Calibri" w:hAnsi="Calibri" w:cs="Calibri"/>
                <w:b/>
                <w:bCs/>
                <w:color w:val="000000"/>
                <w:sz w:val="18"/>
                <w:szCs w:val="18"/>
              </w:rPr>
            </w:pPr>
            <w:r w:rsidRPr="001B4CA2">
              <w:rPr>
                <w:rFonts w:ascii="Calibri" w:hAnsi="Calibri" w:cs="Calibri"/>
                <w:b/>
                <w:bCs/>
                <w:color w:val="000000"/>
                <w:sz w:val="18"/>
                <w:szCs w:val="18"/>
              </w:rPr>
              <w:t>181</w:t>
            </w:r>
          </w:p>
        </w:tc>
        <w:tc>
          <w:tcPr>
            <w:tcW w:w="0" w:type="auto"/>
            <w:tcBorders>
              <w:top w:val="nil"/>
              <w:left w:val="nil"/>
              <w:bottom w:val="single" w:sz="4" w:space="0" w:color="auto"/>
              <w:right w:val="single" w:sz="4" w:space="0" w:color="auto"/>
            </w:tcBorders>
            <w:shd w:val="clear" w:color="auto" w:fill="auto"/>
            <w:noWrap/>
            <w:vAlign w:val="center"/>
          </w:tcPr>
          <w:p w14:paraId="1493FA78" w14:textId="77777777" w:rsidR="00671B63" w:rsidRPr="001B4CA2" w:rsidRDefault="00671B63" w:rsidP="00671B63">
            <w:pPr>
              <w:jc w:val="center"/>
              <w:rPr>
                <w:rFonts w:ascii="Calibri" w:hAnsi="Calibri" w:cs="Calibri"/>
                <w:b/>
                <w:bCs/>
                <w:color w:val="000000"/>
                <w:sz w:val="18"/>
                <w:szCs w:val="18"/>
              </w:rPr>
            </w:pPr>
            <w:r w:rsidRPr="001B4CA2">
              <w:rPr>
                <w:rFonts w:ascii="Calibri" w:hAnsi="Calibri" w:cs="Calibri"/>
                <w:b/>
                <w:bCs/>
                <w:color w:val="000000"/>
                <w:sz w:val="18"/>
                <w:szCs w:val="18"/>
              </w:rPr>
              <w:t>66</w:t>
            </w:r>
          </w:p>
        </w:tc>
        <w:tc>
          <w:tcPr>
            <w:tcW w:w="628" w:type="dxa"/>
            <w:tcBorders>
              <w:top w:val="nil"/>
              <w:left w:val="nil"/>
              <w:bottom w:val="single" w:sz="4" w:space="0" w:color="auto"/>
              <w:right w:val="single" w:sz="4" w:space="0" w:color="auto"/>
            </w:tcBorders>
            <w:shd w:val="clear" w:color="auto" w:fill="auto"/>
            <w:noWrap/>
            <w:vAlign w:val="center"/>
          </w:tcPr>
          <w:p w14:paraId="0BFC86B1" w14:textId="77777777" w:rsidR="00671B63" w:rsidRPr="001B4CA2" w:rsidRDefault="00671B63" w:rsidP="00671B63">
            <w:pPr>
              <w:jc w:val="center"/>
              <w:rPr>
                <w:rFonts w:ascii="Calibri" w:hAnsi="Calibri" w:cs="Calibri"/>
                <w:b/>
                <w:bCs/>
                <w:color w:val="000000"/>
                <w:sz w:val="18"/>
                <w:szCs w:val="18"/>
              </w:rPr>
            </w:pPr>
            <w:r w:rsidRPr="001B4CA2">
              <w:rPr>
                <w:rFonts w:ascii="Calibri" w:hAnsi="Calibri" w:cs="Calibri"/>
                <w:b/>
                <w:bCs/>
                <w:color w:val="000000"/>
                <w:sz w:val="18"/>
                <w:szCs w:val="18"/>
              </w:rPr>
              <w:t>36</w:t>
            </w:r>
          </w:p>
        </w:tc>
        <w:tc>
          <w:tcPr>
            <w:tcW w:w="860" w:type="dxa"/>
            <w:tcBorders>
              <w:top w:val="nil"/>
              <w:left w:val="nil"/>
              <w:bottom w:val="single" w:sz="4" w:space="0" w:color="auto"/>
              <w:right w:val="single" w:sz="4" w:space="0" w:color="auto"/>
            </w:tcBorders>
            <w:shd w:val="clear" w:color="auto" w:fill="auto"/>
            <w:vAlign w:val="center"/>
          </w:tcPr>
          <w:p w14:paraId="71C7F782" w14:textId="77777777" w:rsidR="00671B63" w:rsidRPr="001B4CA2" w:rsidRDefault="00671B63" w:rsidP="00671B63">
            <w:pPr>
              <w:jc w:val="center"/>
              <w:rPr>
                <w:rFonts w:ascii="Calibri" w:hAnsi="Calibri" w:cs="Calibri"/>
                <w:b/>
                <w:sz w:val="18"/>
                <w:szCs w:val="18"/>
              </w:rPr>
            </w:pPr>
            <w:r w:rsidRPr="001B4CA2">
              <w:rPr>
                <w:rFonts w:ascii="Calibri" w:hAnsi="Calibri" w:cs="Calibri"/>
                <w:b/>
                <w:sz w:val="18"/>
                <w:szCs w:val="18"/>
              </w:rPr>
              <w:t>5.979</w:t>
            </w:r>
          </w:p>
        </w:tc>
        <w:tc>
          <w:tcPr>
            <w:tcW w:w="0" w:type="auto"/>
            <w:tcBorders>
              <w:top w:val="nil"/>
              <w:left w:val="nil"/>
              <w:bottom w:val="single" w:sz="4" w:space="0" w:color="auto"/>
              <w:right w:val="single" w:sz="4" w:space="0" w:color="auto"/>
            </w:tcBorders>
            <w:shd w:val="clear" w:color="auto" w:fill="auto"/>
            <w:noWrap/>
            <w:vAlign w:val="center"/>
          </w:tcPr>
          <w:p w14:paraId="1F6F33CF" w14:textId="77777777" w:rsidR="00671B63" w:rsidRPr="001B4CA2" w:rsidRDefault="00671B63" w:rsidP="00671B63">
            <w:pPr>
              <w:jc w:val="center"/>
              <w:rPr>
                <w:rFonts w:ascii="Calibri" w:hAnsi="Calibri" w:cs="Calibri"/>
                <w:b/>
                <w:bCs/>
                <w:color w:val="000000"/>
                <w:sz w:val="20"/>
                <w:szCs w:val="20"/>
              </w:rPr>
            </w:pPr>
            <w:r w:rsidRPr="001B4CA2">
              <w:rPr>
                <w:rFonts w:ascii="Calibri" w:hAnsi="Calibri" w:cs="Calibri"/>
                <w:b/>
                <w:bCs/>
                <w:color w:val="000000"/>
                <w:sz w:val="20"/>
                <w:szCs w:val="20"/>
              </w:rPr>
              <w:t>88</w:t>
            </w:r>
          </w:p>
        </w:tc>
        <w:tc>
          <w:tcPr>
            <w:tcW w:w="0" w:type="auto"/>
            <w:tcBorders>
              <w:top w:val="nil"/>
              <w:left w:val="nil"/>
              <w:bottom w:val="single" w:sz="4" w:space="0" w:color="auto"/>
              <w:right w:val="single" w:sz="4" w:space="0" w:color="auto"/>
            </w:tcBorders>
            <w:shd w:val="clear" w:color="auto" w:fill="auto"/>
            <w:noWrap/>
            <w:vAlign w:val="center"/>
          </w:tcPr>
          <w:p w14:paraId="0823502A" w14:textId="77777777" w:rsidR="00671B63" w:rsidRPr="001B4CA2" w:rsidRDefault="00671B63" w:rsidP="00671B63">
            <w:pPr>
              <w:jc w:val="center"/>
              <w:rPr>
                <w:rFonts w:ascii="Calibri" w:hAnsi="Calibri" w:cs="Calibri"/>
                <w:b/>
                <w:bCs/>
                <w:color w:val="000000"/>
                <w:sz w:val="20"/>
                <w:szCs w:val="20"/>
              </w:rPr>
            </w:pPr>
            <w:r w:rsidRPr="001B4CA2">
              <w:rPr>
                <w:rFonts w:ascii="Calibri" w:hAnsi="Calibri" w:cs="Calibri"/>
                <w:b/>
                <w:bCs/>
                <w:color w:val="000000"/>
                <w:sz w:val="20"/>
                <w:szCs w:val="20"/>
              </w:rPr>
              <w:t>7</w:t>
            </w:r>
          </w:p>
        </w:tc>
        <w:tc>
          <w:tcPr>
            <w:tcW w:w="605" w:type="dxa"/>
            <w:tcBorders>
              <w:top w:val="nil"/>
              <w:left w:val="nil"/>
              <w:bottom w:val="single" w:sz="4" w:space="0" w:color="auto"/>
              <w:right w:val="single" w:sz="4" w:space="0" w:color="auto"/>
            </w:tcBorders>
            <w:shd w:val="clear" w:color="auto" w:fill="auto"/>
            <w:noWrap/>
            <w:vAlign w:val="center"/>
          </w:tcPr>
          <w:p w14:paraId="4DC70511" w14:textId="77777777" w:rsidR="00671B63" w:rsidRPr="001B4CA2" w:rsidRDefault="00671B63" w:rsidP="00671B63">
            <w:pPr>
              <w:jc w:val="center"/>
              <w:rPr>
                <w:rFonts w:ascii="Calibri" w:hAnsi="Calibri" w:cs="Calibri"/>
                <w:b/>
                <w:bCs/>
                <w:color w:val="000000"/>
                <w:sz w:val="18"/>
                <w:szCs w:val="18"/>
              </w:rPr>
            </w:pPr>
            <w:r w:rsidRPr="001B4CA2">
              <w:rPr>
                <w:rFonts w:ascii="Calibri" w:hAnsi="Calibri" w:cs="Calibri"/>
                <w:b/>
                <w:bCs/>
                <w:color w:val="000000"/>
                <w:sz w:val="18"/>
                <w:szCs w:val="18"/>
              </w:rPr>
              <w:t>8</w:t>
            </w:r>
          </w:p>
        </w:tc>
        <w:tc>
          <w:tcPr>
            <w:tcW w:w="563" w:type="dxa"/>
            <w:tcBorders>
              <w:top w:val="nil"/>
              <w:left w:val="nil"/>
              <w:bottom w:val="single" w:sz="4" w:space="0" w:color="auto"/>
              <w:right w:val="single" w:sz="4" w:space="0" w:color="auto"/>
            </w:tcBorders>
            <w:shd w:val="clear" w:color="auto" w:fill="auto"/>
            <w:noWrap/>
            <w:vAlign w:val="center"/>
          </w:tcPr>
          <w:p w14:paraId="671A44A6" w14:textId="77777777" w:rsidR="00671B63" w:rsidRPr="001B4CA2" w:rsidRDefault="00671B63" w:rsidP="00671B63">
            <w:pPr>
              <w:jc w:val="center"/>
              <w:rPr>
                <w:rFonts w:ascii="Calibri" w:hAnsi="Calibri" w:cs="Calibri"/>
                <w:b/>
                <w:sz w:val="18"/>
                <w:szCs w:val="18"/>
              </w:rPr>
            </w:pPr>
            <w:r w:rsidRPr="001B4CA2">
              <w:rPr>
                <w:rFonts w:ascii="Calibri" w:hAnsi="Calibri" w:cs="Calibri"/>
                <w:b/>
                <w:sz w:val="18"/>
                <w:szCs w:val="18"/>
              </w:rPr>
              <w:t>1.767</w:t>
            </w:r>
          </w:p>
        </w:tc>
        <w:tc>
          <w:tcPr>
            <w:tcW w:w="488" w:type="dxa"/>
            <w:tcBorders>
              <w:top w:val="nil"/>
              <w:left w:val="nil"/>
              <w:bottom w:val="single" w:sz="4" w:space="0" w:color="auto"/>
              <w:right w:val="single" w:sz="4" w:space="0" w:color="auto"/>
            </w:tcBorders>
            <w:shd w:val="clear" w:color="auto" w:fill="auto"/>
            <w:noWrap/>
            <w:vAlign w:val="center"/>
          </w:tcPr>
          <w:p w14:paraId="75C88E96" w14:textId="77777777" w:rsidR="00671B63" w:rsidRPr="001B4CA2" w:rsidRDefault="00671B63" w:rsidP="00671B63">
            <w:pPr>
              <w:jc w:val="center"/>
              <w:rPr>
                <w:rFonts w:ascii="Calibri" w:hAnsi="Calibri" w:cs="Calibri"/>
                <w:b/>
                <w:bCs/>
                <w:color w:val="000000"/>
                <w:sz w:val="20"/>
                <w:szCs w:val="20"/>
              </w:rPr>
            </w:pPr>
            <w:r w:rsidRPr="001B4CA2">
              <w:rPr>
                <w:rFonts w:ascii="Calibri" w:hAnsi="Calibri" w:cs="Calibri"/>
                <w:b/>
                <w:bCs/>
                <w:color w:val="000000"/>
                <w:sz w:val="20"/>
                <w:szCs w:val="20"/>
              </w:rPr>
              <w:t>96</w:t>
            </w:r>
          </w:p>
        </w:tc>
        <w:tc>
          <w:tcPr>
            <w:tcW w:w="0" w:type="auto"/>
            <w:tcBorders>
              <w:top w:val="nil"/>
              <w:left w:val="nil"/>
              <w:bottom w:val="single" w:sz="4" w:space="0" w:color="auto"/>
              <w:right w:val="single" w:sz="4" w:space="0" w:color="auto"/>
            </w:tcBorders>
            <w:shd w:val="clear" w:color="auto" w:fill="auto"/>
            <w:noWrap/>
            <w:vAlign w:val="center"/>
          </w:tcPr>
          <w:p w14:paraId="2A12FB1E" w14:textId="77777777" w:rsidR="00671B63" w:rsidRPr="001B4CA2" w:rsidRDefault="00671B63" w:rsidP="00671B63">
            <w:pPr>
              <w:jc w:val="center"/>
              <w:rPr>
                <w:rFonts w:ascii="Calibri" w:hAnsi="Calibri" w:cs="Calibri"/>
                <w:b/>
                <w:bCs/>
                <w:color w:val="000000"/>
                <w:sz w:val="20"/>
                <w:szCs w:val="20"/>
              </w:rPr>
            </w:pPr>
            <w:r w:rsidRPr="001B4CA2">
              <w:rPr>
                <w:rFonts w:ascii="Calibri" w:hAnsi="Calibri" w:cs="Calibri"/>
                <w:b/>
                <w:bCs/>
                <w:color w:val="000000"/>
                <w:sz w:val="20"/>
                <w:szCs w:val="20"/>
              </w:rPr>
              <w:t>3</w:t>
            </w:r>
          </w:p>
        </w:tc>
        <w:tc>
          <w:tcPr>
            <w:tcW w:w="605" w:type="dxa"/>
            <w:tcBorders>
              <w:top w:val="nil"/>
              <w:left w:val="nil"/>
              <w:bottom w:val="single" w:sz="4" w:space="0" w:color="auto"/>
              <w:right w:val="single" w:sz="4" w:space="0" w:color="auto"/>
            </w:tcBorders>
            <w:shd w:val="clear" w:color="auto" w:fill="auto"/>
            <w:noWrap/>
            <w:vAlign w:val="center"/>
          </w:tcPr>
          <w:p w14:paraId="353873A8" w14:textId="77777777" w:rsidR="00671B63" w:rsidRPr="001B4CA2" w:rsidRDefault="00671B63" w:rsidP="00671B63">
            <w:pPr>
              <w:jc w:val="center"/>
              <w:rPr>
                <w:rFonts w:ascii="Calibri" w:hAnsi="Calibri" w:cs="Calibri"/>
                <w:b/>
                <w:bCs/>
                <w:color w:val="000000"/>
                <w:sz w:val="18"/>
                <w:szCs w:val="18"/>
              </w:rPr>
            </w:pPr>
            <w:r w:rsidRPr="001B4CA2">
              <w:rPr>
                <w:rFonts w:ascii="Calibri" w:hAnsi="Calibri" w:cs="Calibri"/>
                <w:b/>
                <w:bCs/>
                <w:color w:val="000000"/>
                <w:sz w:val="18"/>
                <w:szCs w:val="18"/>
              </w:rPr>
              <w:t>3</w:t>
            </w:r>
          </w:p>
        </w:tc>
        <w:tc>
          <w:tcPr>
            <w:tcW w:w="490" w:type="dxa"/>
            <w:tcBorders>
              <w:top w:val="nil"/>
              <w:left w:val="nil"/>
              <w:bottom w:val="single" w:sz="4" w:space="0" w:color="auto"/>
              <w:right w:val="single" w:sz="4" w:space="0" w:color="auto"/>
            </w:tcBorders>
            <w:shd w:val="clear" w:color="auto" w:fill="auto"/>
            <w:noWrap/>
            <w:vAlign w:val="center"/>
          </w:tcPr>
          <w:p w14:paraId="51B9D1FE" w14:textId="77777777" w:rsidR="00671B63" w:rsidRPr="001B4CA2" w:rsidRDefault="00671B63" w:rsidP="00671B63">
            <w:pPr>
              <w:jc w:val="center"/>
              <w:rPr>
                <w:rFonts w:ascii="Calibri" w:hAnsi="Calibri" w:cs="Calibri"/>
                <w:b/>
                <w:sz w:val="18"/>
                <w:szCs w:val="18"/>
              </w:rPr>
            </w:pPr>
            <w:r w:rsidRPr="001B4CA2">
              <w:rPr>
                <w:rFonts w:ascii="Calibri" w:hAnsi="Calibri" w:cs="Calibri"/>
                <w:b/>
                <w:sz w:val="18"/>
                <w:szCs w:val="18"/>
              </w:rPr>
              <w:t>157</w:t>
            </w:r>
          </w:p>
        </w:tc>
        <w:tc>
          <w:tcPr>
            <w:tcW w:w="454" w:type="dxa"/>
            <w:tcBorders>
              <w:top w:val="nil"/>
              <w:left w:val="nil"/>
              <w:bottom w:val="single" w:sz="4" w:space="0" w:color="auto"/>
              <w:right w:val="single" w:sz="4" w:space="0" w:color="auto"/>
            </w:tcBorders>
            <w:shd w:val="clear" w:color="auto" w:fill="auto"/>
            <w:noWrap/>
            <w:vAlign w:val="center"/>
          </w:tcPr>
          <w:p w14:paraId="60B9CE92" w14:textId="77777777" w:rsidR="00671B63" w:rsidRPr="001B4CA2" w:rsidRDefault="00671B63" w:rsidP="00671B63">
            <w:pPr>
              <w:jc w:val="center"/>
              <w:rPr>
                <w:rFonts w:ascii="Calibri" w:hAnsi="Calibri" w:cs="Calibri"/>
                <w:b/>
                <w:bCs/>
                <w:color w:val="000000"/>
                <w:sz w:val="20"/>
                <w:szCs w:val="20"/>
              </w:rPr>
            </w:pPr>
            <w:r w:rsidRPr="001B4CA2">
              <w:rPr>
                <w:rFonts w:ascii="Calibri" w:hAnsi="Calibri" w:cs="Calibri"/>
                <w:b/>
                <w:bCs/>
                <w:color w:val="000000"/>
                <w:sz w:val="20"/>
                <w:szCs w:val="20"/>
              </w:rPr>
              <w:t>10</w:t>
            </w:r>
          </w:p>
        </w:tc>
        <w:tc>
          <w:tcPr>
            <w:tcW w:w="436" w:type="dxa"/>
            <w:tcBorders>
              <w:top w:val="nil"/>
              <w:left w:val="nil"/>
              <w:bottom w:val="single" w:sz="4" w:space="0" w:color="auto"/>
              <w:right w:val="single" w:sz="4" w:space="0" w:color="auto"/>
            </w:tcBorders>
            <w:shd w:val="clear" w:color="auto" w:fill="auto"/>
            <w:noWrap/>
            <w:vAlign w:val="center"/>
          </w:tcPr>
          <w:p w14:paraId="533693F3" w14:textId="77777777" w:rsidR="00671B63" w:rsidRPr="001B4CA2" w:rsidRDefault="00671B63" w:rsidP="00671B63">
            <w:pPr>
              <w:jc w:val="center"/>
              <w:rPr>
                <w:rFonts w:ascii="Calibri" w:hAnsi="Calibri" w:cs="Calibri"/>
                <w:b/>
                <w:bCs/>
                <w:color w:val="000000"/>
                <w:sz w:val="20"/>
                <w:szCs w:val="20"/>
              </w:rPr>
            </w:pPr>
            <w:r w:rsidRPr="001B4CA2">
              <w:rPr>
                <w:rFonts w:ascii="Calibri" w:hAnsi="Calibri" w:cs="Calibri"/>
                <w:b/>
                <w:bCs/>
                <w:color w:val="000000"/>
                <w:sz w:val="20"/>
                <w:szCs w:val="20"/>
              </w:rPr>
              <w:t>1</w:t>
            </w:r>
          </w:p>
        </w:tc>
        <w:tc>
          <w:tcPr>
            <w:tcW w:w="634" w:type="dxa"/>
            <w:tcBorders>
              <w:top w:val="nil"/>
              <w:left w:val="nil"/>
              <w:bottom w:val="single" w:sz="4" w:space="0" w:color="auto"/>
              <w:right w:val="single" w:sz="4" w:space="0" w:color="auto"/>
            </w:tcBorders>
            <w:shd w:val="clear" w:color="auto" w:fill="auto"/>
            <w:noWrap/>
            <w:vAlign w:val="center"/>
          </w:tcPr>
          <w:p w14:paraId="6FD6B41B" w14:textId="77777777" w:rsidR="00671B63" w:rsidRPr="001B4CA2" w:rsidRDefault="00671B63" w:rsidP="00671B63">
            <w:pPr>
              <w:jc w:val="center"/>
              <w:rPr>
                <w:rFonts w:ascii="Calibri" w:hAnsi="Calibri" w:cs="Calibri"/>
                <w:b/>
                <w:bCs/>
                <w:color w:val="000000"/>
                <w:sz w:val="18"/>
                <w:szCs w:val="18"/>
              </w:rPr>
            </w:pPr>
            <w:r w:rsidRPr="001B4CA2">
              <w:rPr>
                <w:rFonts w:ascii="Calibri" w:hAnsi="Calibri" w:cs="Calibri"/>
                <w:b/>
                <w:bCs/>
                <w:color w:val="000000"/>
                <w:sz w:val="18"/>
                <w:szCs w:val="18"/>
              </w:rPr>
              <w:t>10</w:t>
            </w:r>
          </w:p>
        </w:tc>
        <w:tc>
          <w:tcPr>
            <w:tcW w:w="664" w:type="dxa"/>
            <w:tcBorders>
              <w:top w:val="nil"/>
              <w:left w:val="nil"/>
              <w:bottom w:val="single" w:sz="4" w:space="0" w:color="auto"/>
              <w:right w:val="single" w:sz="4" w:space="0" w:color="auto"/>
            </w:tcBorders>
            <w:shd w:val="clear" w:color="auto" w:fill="auto"/>
            <w:noWrap/>
            <w:vAlign w:val="center"/>
          </w:tcPr>
          <w:p w14:paraId="1AC8600E" w14:textId="77777777" w:rsidR="00671B63" w:rsidRPr="001B4CA2" w:rsidRDefault="00671B63" w:rsidP="00671B63">
            <w:pPr>
              <w:jc w:val="center"/>
              <w:rPr>
                <w:rFonts w:ascii="Calibri" w:hAnsi="Calibri" w:cs="Calibri"/>
                <w:b/>
                <w:bCs/>
                <w:color w:val="000000"/>
                <w:sz w:val="18"/>
                <w:szCs w:val="18"/>
              </w:rPr>
            </w:pPr>
            <w:r w:rsidRPr="001B4CA2">
              <w:rPr>
                <w:rFonts w:ascii="Calibri" w:hAnsi="Calibri" w:cs="Calibri"/>
                <w:b/>
                <w:bCs/>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tcPr>
          <w:p w14:paraId="1419B076" w14:textId="77777777" w:rsidR="00671B63" w:rsidRPr="001B4CA2" w:rsidRDefault="00671B63" w:rsidP="00671B63">
            <w:pPr>
              <w:jc w:val="center"/>
              <w:rPr>
                <w:rFonts w:ascii="Calibri" w:hAnsi="Calibri" w:cs="Calibri"/>
                <w:b/>
                <w:bCs/>
                <w:color w:val="000000"/>
                <w:sz w:val="20"/>
                <w:szCs w:val="20"/>
              </w:rPr>
            </w:pPr>
            <w:r w:rsidRPr="001B4CA2">
              <w:rPr>
                <w:rFonts w:ascii="Calibri" w:hAnsi="Calibri" w:cs="Calibri"/>
                <w:b/>
                <w:bCs/>
                <w:color w:val="000000"/>
                <w:sz w:val="20"/>
                <w:szCs w:val="20"/>
              </w:rPr>
              <w:t>375</w:t>
            </w:r>
          </w:p>
        </w:tc>
        <w:tc>
          <w:tcPr>
            <w:tcW w:w="0" w:type="auto"/>
            <w:tcBorders>
              <w:top w:val="nil"/>
              <w:left w:val="nil"/>
              <w:bottom w:val="single" w:sz="4" w:space="0" w:color="auto"/>
              <w:right w:val="single" w:sz="4" w:space="0" w:color="auto"/>
            </w:tcBorders>
            <w:shd w:val="clear" w:color="auto" w:fill="auto"/>
            <w:noWrap/>
            <w:vAlign w:val="center"/>
          </w:tcPr>
          <w:p w14:paraId="38935B43" w14:textId="77777777" w:rsidR="00671B63" w:rsidRPr="001B4CA2" w:rsidRDefault="00671B63" w:rsidP="00671B63">
            <w:pPr>
              <w:jc w:val="center"/>
              <w:rPr>
                <w:rFonts w:ascii="Calibri" w:hAnsi="Calibri" w:cs="Calibri"/>
                <w:b/>
                <w:bCs/>
                <w:color w:val="000000"/>
                <w:sz w:val="20"/>
                <w:szCs w:val="20"/>
              </w:rPr>
            </w:pPr>
            <w:r w:rsidRPr="001B4CA2">
              <w:rPr>
                <w:rFonts w:ascii="Calibri" w:hAnsi="Calibri" w:cs="Calibri"/>
                <w:b/>
                <w:bCs/>
                <w:color w:val="000000"/>
                <w:sz w:val="20"/>
                <w:szCs w:val="20"/>
              </w:rPr>
              <w:t>77</w:t>
            </w:r>
          </w:p>
        </w:tc>
        <w:tc>
          <w:tcPr>
            <w:tcW w:w="801" w:type="dxa"/>
            <w:tcBorders>
              <w:top w:val="nil"/>
              <w:left w:val="nil"/>
              <w:bottom w:val="single" w:sz="4" w:space="0" w:color="auto"/>
              <w:right w:val="single" w:sz="4" w:space="0" w:color="auto"/>
            </w:tcBorders>
            <w:shd w:val="clear" w:color="auto" w:fill="auto"/>
            <w:noWrap/>
            <w:vAlign w:val="center"/>
          </w:tcPr>
          <w:p w14:paraId="0820DC41" w14:textId="77777777" w:rsidR="00671B63" w:rsidRPr="001B4CA2" w:rsidRDefault="00671B63" w:rsidP="00671B63">
            <w:pPr>
              <w:jc w:val="center"/>
              <w:rPr>
                <w:rFonts w:ascii="Calibri" w:hAnsi="Calibri" w:cs="Calibri"/>
                <w:b/>
                <w:bCs/>
                <w:color w:val="000000"/>
                <w:sz w:val="18"/>
                <w:szCs w:val="18"/>
              </w:rPr>
            </w:pPr>
          </w:p>
        </w:tc>
        <w:tc>
          <w:tcPr>
            <w:tcW w:w="932" w:type="dxa"/>
            <w:tcBorders>
              <w:top w:val="nil"/>
              <w:left w:val="nil"/>
              <w:bottom w:val="single" w:sz="4" w:space="0" w:color="auto"/>
              <w:right w:val="single" w:sz="4" w:space="0" w:color="auto"/>
            </w:tcBorders>
            <w:shd w:val="clear" w:color="auto" w:fill="auto"/>
            <w:noWrap/>
          </w:tcPr>
          <w:p w14:paraId="6FAE64F4" w14:textId="77777777" w:rsidR="00671B63" w:rsidRPr="001B4CA2" w:rsidRDefault="00671B63" w:rsidP="00671B63">
            <w:pPr>
              <w:jc w:val="center"/>
              <w:rPr>
                <w:rFonts w:ascii="Calibri" w:hAnsi="Calibri" w:cs="Calibri"/>
                <w:b/>
                <w:sz w:val="20"/>
                <w:szCs w:val="20"/>
              </w:rPr>
            </w:pPr>
            <w:r w:rsidRPr="001B4CA2">
              <w:rPr>
                <w:rFonts w:ascii="Calibri" w:hAnsi="Calibri" w:cs="Calibri"/>
                <w:b/>
                <w:sz w:val="20"/>
                <w:szCs w:val="20"/>
              </w:rPr>
              <w:t>1.554</w:t>
            </w:r>
          </w:p>
        </w:tc>
      </w:tr>
    </w:tbl>
    <w:p w14:paraId="22A207AF" w14:textId="77777777" w:rsidR="00B75D01" w:rsidRPr="001B4CA2" w:rsidRDefault="00B75D01" w:rsidP="00736D4E">
      <w:pPr>
        <w:spacing w:after="200" w:line="276" w:lineRule="auto"/>
        <w:jc w:val="left"/>
      </w:pPr>
    </w:p>
    <w:p w14:paraId="3D0D96B2" w14:textId="77777777" w:rsidR="00B75D01" w:rsidRPr="001B4CA2" w:rsidRDefault="00B75D01" w:rsidP="00736D4E">
      <w:pPr>
        <w:spacing w:after="200" w:line="276" w:lineRule="auto"/>
        <w:jc w:val="left"/>
        <w:sectPr w:rsidR="00B75D01" w:rsidRPr="001B4CA2" w:rsidSect="007418AF">
          <w:pgSz w:w="16838" w:h="11906" w:orient="landscape"/>
          <w:pgMar w:top="1417" w:right="1417" w:bottom="993" w:left="1417" w:header="709" w:footer="709" w:gutter="0"/>
          <w:cols w:space="708"/>
          <w:docGrid w:linePitch="360"/>
        </w:sectPr>
      </w:pPr>
    </w:p>
    <w:p w14:paraId="26C35ECC" w14:textId="73872000" w:rsidR="00773E87" w:rsidRPr="001B4CA2" w:rsidRDefault="00B872C0" w:rsidP="00773E87">
      <w:r w:rsidRPr="001B4CA2">
        <w:lastRenderedPageBreak/>
        <w:tab/>
      </w:r>
      <w:r w:rsidR="00773E87" w:rsidRPr="001B4CA2">
        <w:t>Analizirajući predmete preventivne djelatnosti koji su bili inicirani podnošenjem zahtjeva za mirno rješenje spora od strane drugih osoba, prema zastupanom tijelu, vrsti i vrijednostima zahtjeva</w:t>
      </w:r>
      <w:r w:rsidR="00257844">
        <w:t>, razvidno</w:t>
      </w:r>
      <w:r w:rsidR="00773E87" w:rsidRPr="001B4CA2">
        <w:t xml:space="preserve"> je da se najveći broj predmeta općenito odnosio na </w:t>
      </w:r>
      <w:proofErr w:type="spellStart"/>
      <w:r w:rsidR="00773E87" w:rsidRPr="001B4CA2">
        <w:t>stvarnopravne</w:t>
      </w:r>
      <w:proofErr w:type="spellEnd"/>
      <w:r w:rsidR="00773E87" w:rsidRPr="001B4CA2">
        <w:t xml:space="preserve"> zahtjeve (48,2 %), a zatim po brojnosti slijede zahtjevi za naknadom štete (25,6 %) i </w:t>
      </w:r>
      <w:proofErr w:type="spellStart"/>
      <w:r w:rsidR="00773E87" w:rsidRPr="001B4CA2">
        <w:t>obveznopravni</w:t>
      </w:r>
      <w:proofErr w:type="spellEnd"/>
      <w:r w:rsidR="00773E87" w:rsidRPr="001B4CA2">
        <w:t xml:space="preserve"> zahtjevi (23,4 %).</w:t>
      </w:r>
    </w:p>
    <w:p w14:paraId="301871E1" w14:textId="77777777" w:rsidR="00773E87" w:rsidRPr="001B4CA2" w:rsidRDefault="00773E87" w:rsidP="00773E87"/>
    <w:p w14:paraId="34D5A04D" w14:textId="64F170A8" w:rsidR="00773E87" w:rsidRPr="001B4CA2" w:rsidRDefault="00773E87" w:rsidP="00773E87">
      <w:r w:rsidRPr="001B4CA2">
        <w:tab/>
        <w:t xml:space="preserve">Po broju primljenih zahtjeva, ali i broju sklopljenih nagodbi najveći broj predmeta odnosio se na Ministarstvo prostornoga uređenja, graditeljstva i državne imovine. U zastupanju iz djelokruga ovog </w:t>
      </w:r>
      <w:r w:rsidR="0047537B" w:rsidRPr="001B4CA2">
        <w:t>tijela</w:t>
      </w:r>
      <w:r w:rsidRPr="001B4CA2">
        <w:t xml:space="preserve"> tijekom 2022. godine </w:t>
      </w:r>
      <w:r w:rsidR="00257844">
        <w:t>za</w:t>
      </w:r>
      <w:r w:rsidRPr="001B4CA2">
        <w:t>primljen</w:t>
      </w:r>
      <w:r w:rsidR="00257844">
        <w:t>a su</w:t>
      </w:r>
      <w:r w:rsidRPr="001B4CA2">
        <w:t xml:space="preserve"> 122 zahtjeva te je sklopljeno 40 izvansudskih nagodbi. Sve sklopljene nagodbe odnose se na zahtjeve za priznanje prava vlasništva. Kod ovih predmeta, osim činjenice da su u značajnom broju predmeta sklopljene nagodbe kada su zahtjevi osnovani, treba ista</w:t>
      </w:r>
      <w:r w:rsidR="00257844">
        <w:t>knut</w:t>
      </w:r>
      <w:r w:rsidRPr="001B4CA2">
        <w:t>i da na pojedinim područjima</w:t>
      </w:r>
      <w:r w:rsidR="00257844">
        <w:t>,</w:t>
      </w:r>
      <w:r w:rsidRPr="001B4CA2">
        <w:t xml:space="preserve"> pravne osobe i jedinice lokalne samouprave (gradovi i općine), usprkos razlozima iz odluke državnog odvjetništva o neosnovanosti podnesenih zahtjeva za priznanjem vlasništva, pri čemu se podnositeljima ukazuje na ustaljenu praksu najvišeg suda u Republici Hrvatskoj, podnositelji ne odvraćaju od pokretanja parnice pred sudom. </w:t>
      </w:r>
    </w:p>
    <w:p w14:paraId="02738278" w14:textId="77777777" w:rsidR="00773E87" w:rsidRPr="001B4CA2" w:rsidRDefault="00773E87" w:rsidP="00773E87">
      <w:r w:rsidRPr="001B4CA2">
        <w:t xml:space="preserve"> </w:t>
      </w:r>
      <w:r w:rsidRPr="001B4CA2">
        <w:tab/>
      </w:r>
    </w:p>
    <w:p w14:paraId="2460D690" w14:textId="1D7BB96C" w:rsidR="00773E87" w:rsidRPr="001B4CA2" w:rsidRDefault="00773E87" w:rsidP="00773E87">
      <w:r w:rsidRPr="001B4CA2">
        <w:tab/>
        <w:t xml:space="preserve">Po brojnosti zaprimljenih zahtjeva (75), ali i broju sklopljenih nagodbi (16) slijedilo je zastupanje Republike Hrvatske bez naznake </w:t>
      </w:r>
      <w:r w:rsidR="0047537B" w:rsidRPr="001B4CA2">
        <w:t>zastupanog</w:t>
      </w:r>
      <w:r w:rsidRPr="001B4CA2">
        <w:t xml:space="preserve"> tijela te se također u najvećem broju radilo o predmetima </w:t>
      </w:r>
      <w:proofErr w:type="spellStart"/>
      <w:r w:rsidRPr="001B4CA2">
        <w:t>stvarnopravnih</w:t>
      </w:r>
      <w:proofErr w:type="spellEnd"/>
      <w:r w:rsidRPr="001B4CA2">
        <w:t xml:space="preserve"> zahtjeva.</w:t>
      </w:r>
    </w:p>
    <w:p w14:paraId="32142928" w14:textId="77777777" w:rsidR="00773E87" w:rsidRPr="001B4CA2" w:rsidRDefault="00773E87" w:rsidP="00773E87"/>
    <w:p w14:paraId="4A7BC204" w14:textId="2E852D4A" w:rsidR="00773E87" w:rsidRPr="001B4CA2" w:rsidRDefault="00773E87" w:rsidP="00773E87">
      <w:r w:rsidRPr="001B4CA2">
        <w:tab/>
        <w:t>Slijede zahtjevi u zastupanju Ministarstva pravosuđa i uprave (65), od čega se najveći broj odnosio na zahtjeve za naknadu štete zbog navodnog nepravilnog i nezakonitog rada sudova i državnih tijela. S obzirom na strukturu zahtjeva, u zastupanju ovog tijela sklopljen je neznatan broj izvansudskih nagodbi (2).</w:t>
      </w:r>
    </w:p>
    <w:p w14:paraId="08CEEF2B" w14:textId="77777777" w:rsidR="00773E87" w:rsidRPr="001B4CA2" w:rsidRDefault="00773E87" w:rsidP="00773E87">
      <w:r w:rsidRPr="001B4CA2">
        <w:t xml:space="preserve"> </w:t>
      </w:r>
    </w:p>
    <w:p w14:paraId="05BA04B0" w14:textId="5B3D134D" w:rsidR="00773E87" w:rsidRPr="001B4CA2" w:rsidRDefault="00773E87" w:rsidP="00773E87">
      <w:r w:rsidRPr="001B4CA2">
        <w:tab/>
        <w:t xml:space="preserve">Značajan broj primljenih zahtjeva odnosio se i na zastupanje Ministarstva poljoprivrede (31), pri čemu se i ovdje mahom radilo o </w:t>
      </w:r>
      <w:proofErr w:type="spellStart"/>
      <w:r w:rsidRPr="001B4CA2">
        <w:t>stvarnopravnim</w:t>
      </w:r>
      <w:proofErr w:type="spellEnd"/>
      <w:r w:rsidRPr="001B4CA2">
        <w:t xml:space="preserve"> zahtjevima, radi priznanja prava vlasništva na nekretninama poljoprivrednog zemljišta koje nije stvarno vlasništvo države, već je u </w:t>
      </w:r>
      <w:proofErr w:type="spellStart"/>
      <w:r w:rsidRPr="001B4CA2">
        <w:t>izvanknjižnom</w:t>
      </w:r>
      <w:proofErr w:type="spellEnd"/>
      <w:r w:rsidRPr="001B4CA2">
        <w:t xml:space="preserve"> vlasništvu podnositelja. 32,2 % predmeta u zastupanju ovog tijela okončana je </w:t>
      </w:r>
      <w:r w:rsidR="0047537B" w:rsidRPr="001B4CA2">
        <w:t>sklapanjem</w:t>
      </w:r>
      <w:r w:rsidRPr="001B4CA2">
        <w:t xml:space="preserve"> izvansudske nagodbe.</w:t>
      </w:r>
    </w:p>
    <w:p w14:paraId="4C529307" w14:textId="77777777" w:rsidR="00773E87" w:rsidRPr="001B4CA2" w:rsidRDefault="00773E87" w:rsidP="00773E87"/>
    <w:p w14:paraId="16DF4B23" w14:textId="33442B6F" w:rsidR="00773E87" w:rsidRPr="001B4CA2" w:rsidRDefault="00773E87" w:rsidP="00773E87">
      <w:pPr>
        <w:rPr>
          <w:sz w:val="20"/>
          <w:szCs w:val="20"/>
        </w:rPr>
      </w:pPr>
      <w:r w:rsidRPr="001B4CA2">
        <w:tab/>
        <w:t xml:space="preserve">S manjim brojem predmeta slijede Ministarstvo financija i Ministarstvo znanosti i obrazovanja. Kod zahtjeva u zastupanju Ministarstva financija radilo se često o spornim potraživanjima koja proizlaze iz primjene poreznih i carinskih propisa ili se radi o zahtjevima za naknadom štete za koju podnositelji tvrde da im je nastala zbog navodnog nepravilnog i nezakonitog rada poreznih i carinskih tijela. U zastupanju Ministarstva znanosti i obrazovanja riječ je o predmetima u kojima sastavnice sveučilišta, visokoobrazovne i znanstvene ustanove, prema Republici Hrvatskoj postavljaju zahtjeve za regresnom isplatom naknada koje su prethodno isplatili svojim zaposlenicima na ime razlike plaće. U zastupanju u toj vrsti predmeta nije sklopljena nijedna izvansudska nagodba zbog činjenice da je sporna pravna priroda tražbine, o čemu ovisi i pitanje nastupa zastare. O tom pravnom pitanju odlučivat će Vrhovni sud Republike Hrvatske po revizijama koje je po dopuštenju podnijelo državno odvjetništvo. </w:t>
      </w:r>
    </w:p>
    <w:p w14:paraId="0F523E28" w14:textId="77777777" w:rsidR="00773E87" w:rsidRPr="001B4CA2" w:rsidRDefault="00773E87" w:rsidP="00773E87">
      <w:pPr>
        <w:spacing w:after="200" w:line="276" w:lineRule="auto"/>
        <w:rPr>
          <w:sz w:val="20"/>
          <w:szCs w:val="20"/>
        </w:rPr>
      </w:pPr>
    </w:p>
    <w:p w14:paraId="299CECF6" w14:textId="61274019" w:rsidR="00671B63" w:rsidRPr="001B4CA2" w:rsidRDefault="00671B63" w:rsidP="00773E87"/>
    <w:p w14:paraId="2AC49511" w14:textId="77777777" w:rsidR="00671B63" w:rsidRPr="001B4CA2" w:rsidRDefault="00671B63" w:rsidP="00671B63">
      <w:pPr>
        <w:rPr>
          <w:sz w:val="20"/>
          <w:szCs w:val="20"/>
        </w:rPr>
      </w:pPr>
    </w:p>
    <w:p w14:paraId="28E8F943" w14:textId="77777777" w:rsidR="00D3013F" w:rsidRPr="001B4CA2" w:rsidRDefault="00D3013F" w:rsidP="007C50CA"/>
    <w:p w14:paraId="6B2667BA" w14:textId="4D038B03" w:rsidR="00BB4D48" w:rsidRPr="001B4CA2" w:rsidRDefault="00BB4D48" w:rsidP="0002334C">
      <w:pPr>
        <w:pStyle w:val="Naslov5"/>
        <w:ind w:left="284" w:firstLine="0"/>
        <w:rPr>
          <w:rFonts w:ascii="Arial" w:hAnsi="Arial" w:cs="Arial"/>
        </w:rPr>
      </w:pPr>
      <w:bookmarkStart w:id="90" w:name="_Toc133394348"/>
      <w:r w:rsidRPr="001B4CA2">
        <w:rPr>
          <w:rFonts w:ascii="Arial" w:hAnsi="Arial" w:cs="Arial"/>
        </w:rPr>
        <w:lastRenderedPageBreak/>
        <w:t>Izdavanje</w:t>
      </w:r>
      <w:r w:rsidR="00B24E4C" w:rsidRPr="001B4CA2">
        <w:rPr>
          <w:rFonts w:ascii="Arial" w:hAnsi="Arial" w:cs="Arial"/>
        </w:rPr>
        <w:t xml:space="preserve"> </w:t>
      </w:r>
      <w:proofErr w:type="spellStart"/>
      <w:r w:rsidR="00A60F77" w:rsidRPr="001B4CA2">
        <w:rPr>
          <w:rFonts w:ascii="Arial" w:hAnsi="Arial" w:cs="Arial"/>
        </w:rPr>
        <w:t>tabularne</w:t>
      </w:r>
      <w:proofErr w:type="spellEnd"/>
      <w:r w:rsidR="00A60F77" w:rsidRPr="001B4CA2">
        <w:rPr>
          <w:rFonts w:ascii="Arial" w:hAnsi="Arial" w:cs="Arial"/>
        </w:rPr>
        <w:t xml:space="preserve"> isprave (članak 57. stavak </w:t>
      </w:r>
      <w:r w:rsidR="00B24E4C" w:rsidRPr="001B4CA2">
        <w:rPr>
          <w:rFonts w:ascii="Arial" w:hAnsi="Arial" w:cs="Arial"/>
        </w:rPr>
        <w:t>3</w:t>
      </w:r>
      <w:r w:rsidRPr="001B4CA2">
        <w:rPr>
          <w:rFonts w:ascii="Arial" w:hAnsi="Arial" w:cs="Arial"/>
        </w:rPr>
        <w:t xml:space="preserve">. </w:t>
      </w:r>
      <w:r w:rsidR="00A60F77" w:rsidRPr="001B4CA2">
        <w:rPr>
          <w:rFonts w:ascii="Arial" w:hAnsi="Arial" w:cs="Arial"/>
        </w:rPr>
        <w:t xml:space="preserve">Zakona o </w:t>
      </w:r>
      <w:r w:rsidR="0002334C" w:rsidRPr="001B4CA2">
        <w:rPr>
          <w:rFonts w:ascii="Arial" w:hAnsi="Arial" w:cs="Arial"/>
        </w:rPr>
        <w:tab/>
      </w:r>
      <w:r w:rsidR="0002334C" w:rsidRPr="001B4CA2">
        <w:rPr>
          <w:rFonts w:ascii="Arial" w:hAnsi="Arial" w:cs="Arial"/>
        </w:rPr>
        <w:tab/>
      </w:r>
      <w:r w:rsidR="0002334C" w:rsidRPr="001B4CA2">
        <w:rPr>
          <w:rFonts w:ascii="Arial" w:hAnsi="Arial" w:cs="Arial"/>
        </w:rPr>
        <w:tab/>
      </w:r>
      <w:r w:rsidR="00A60F77" w:rsidRPr="001B4CA2">
        <w:rPr>
          <w:rFonts w:ascii="Arial" w:hAnsi="Arial" w:cs="Arial"/>
        </w:rPr>
        <w:t>zemljišnim knjigama)</w:t>
      </w:r>
      <w:bookmarkEnd w:id="90"/>
    </w:p>
    <w:p w14:paraId="037F4360" w14:textId="77777777" w:rsidR="004A4CAD" w:rsidRPr="001B4CA2" w:rsidRDefault="004A4CAD" w:rsidP="00B45008"/>
    <w:p w14:paraId="1D4FB3B4" w14:textId="6F2ECB7D" w:rsidR="00773E87" w:rsidRPr="001B4CA2" w:rsidRDefault="00773E87" w:rsidP="00773E87">
      <w:pPr>
        <w:ind w:firstLine="708"/>
      </w:pPr>
      <w:r w:rsidRPr="001B4CA2">
        <w:t xml:space="preserve">Odredbom članka 57. Zakona o zemljišnim knjigama (Narodne novine broj 63/19, 128/22) propisano je da će se smatrati </w:t>
      </w:r>
      <w:r w:rsidR="00257844">
        <w:t>kako</w:t>
      </w:r>
      <w:r w:rsidRPr="001B4CA2">
        <w:t xml:space="preserve"> je potpis osobe koja je kao tijelo pravne osobe raspolagala nekretninom na ispravi propisno ovjerovljen i kad ispravu supotpiše nadležno županijsko državno odvjetništvo u slučajevima kada je pravna osoba koja je raspolagala nekretninom prestala postojati, brisana je iz sudskog registra i nema pravnoga sljednika.</w:t>
      </w:r>
    </w:p>
    <w:p w14:paraId="15ADC567" w14:textId="77777777" w:rsidR="00773E87" w:rsidRPr="001B4CA2" w:rsidRDefault="00773E87" w:rsidP="00773E87"/>
    <w:p w14:paraId="467ABF0F" w14:textId="77777777" w:rsidR="00773E87" w:rsidRPr="001B4CA2" w:rsidRDefault="00773E87" w:rsidP="00773E87">
      <w:pPr>
        <w:ind w:firstLine="708"/>
      </w:pPr>
      <w:r w:rsidRPr="001B4CA2">
        <w:t xml:space="preserve">U ovim se predmetima radi o izdavanju </w:t>
      </w:r>
      <w:proofErr w:type="spellStart"/>
      <w:r w:rsidRPr="001B4CA2">
        <w:t>tabularnih</w:t>
      </w:r>
      <w:proofErr w:type="spellEnd"/>
      <w:r w:rsidRPr="001B4CA2">
        <w:t xml:space="preserve"> isprava i supotpisu ugovora o prodaji stanova, poslovnih prostora i garaža bivših stambenih zadruga i građevinskih poduzeća koja su brisana iz sudskog registra.</w:t>
      </w:r>
    </w:p>
    <w:p w14:paraId="30BD31C4" w14:textId="77777777" w:rsidR="0002334C" w:rsidRPr="001B4CA2" w:rsidRDefault="0002334C" w:rsidP="00671B63">
      <w:pPr>
        <w:ind w:left="720"/>
        <w:contextualSpacing/>
        <w:jc w:val="left"/>
        <w:rPr>
          <w:rFonts w:asciiTheme="minorHAnsi" w:hAnsiTheme="minorHAnsi" w:cstheme="minorBidi"/>
          <w:szCs w:val="22"/>
        </w:rPr>
      </w:pPr>
    </w:p>
    <w:p w14:paraId="07B732E1" w14:textId="652AFDDF" w:rsidR="00671B63" w:rsidRPr="001B4CA2" w:rsidRDefault="00671B63" w:rsidP="00671B63">
      <w:pPr>
        <w:ind w:left="720"/>
        <w:contextualSpacing/>
        <w:jc w:val="left"/>
        <w:rPr>
          <w:rFonts w:asciiTheme="minorHAnsi" w:hAnsiTheme="minorHAnsi" w:cstheme="minorBidi"/>
          <w:i/>
          <w:szCs w:val="22"/>
        </w:rPr>
      </w:pPr>
      <w:r w:rsidRPr="001B4CA2">
        <w:rPr>
          <w:rFonts w:asciiTheme="minorHAnsi" w:hAnsiTheme="minorHAnsi" w:cstheme="minorBidi"/>
          <w:i/>
          <w:szCs w:val="22"/>
        </w:rPr>
        <w:t xml:space="preserve">Zahtjev za izdavanje </w:t>
      </w:r>
      <w:proofErr w:type="spellStart"/>
      <w:r w:rsidRPr="001B4CA2">
        <w:rPr>
          <w:rFonts w:asciiTheme="minorHAnsi" w:hAnsiTheme="minorHAnsi" w:cstheme="minorBidi"/>
          <w:i/>
          <w:szCs w:val="22"/>
        </w:rPr>
        <w:t>tabularne</w:t>
      </w:r>
      <w:proofErr w:type="spellEnd"/>
      <w:r w:rsidRPr="001B4CA2">
        <w:rPr>
          <w:rFonts w:asciiTheme="minorHAnsi" w:hAnsiTheme="minorHAnsi" w:cstheme="minorBidi"/>
          <w:i/>
          <w:szCs w:val="22"/>
        </w:rPr>
        <w:t xml:space="preserve"> isprave 2018. – 2022.</w:t>
      </w:r>
    </w:p>
    <w:tbl>
      <w:tblPr>
        <w:tblW w:w="0" w:type="auto"/>
        <w:jc w:val="center"/>
        <w:tblLayout w:type="fixed"/>
        <w:tblLook w:val="04A0" w:firstRow="1" w:lastRow="0" w:firstColumn="1" w:lastColumn="0" w:noHBand="0" w:noVBand="1"/>
      </w:tblPr>
      <w:tblGrid>
        <w:gridCol w:w="1419"/>
        <w:gridCol w:w="1725"/>
        <w:gridCol w:w="1725"/>
        <w:gridCol w:w="1725"/>
        <w:gridCol w:w="1725"/>
      </w:tblGrid>
      <w:tr w:rsidR="00671B63" w:rsidRPr="001B4CA2" w14:paraId="53E7AA44" w14:textId="77777777" w:rsidTr="00CE2706">
        <w:trPr>
          <w:trHeight w:val="730"/>
          <w:jc w:val="center"/>
        </w:trPr>
        <w:tc>
          <w:tcPr>
            <w:tcW w:w="1419"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A279CB6" w14:textId="77777777" w:rsidR="00671B63" w:rsidRPr="005D30E9" w:rsidRDefault="00671B63" w:rsidP="00671B63">
            <w:pPr>
              <w:jc w:val="center"/>
              <w:rPr>
                <w:rFonts w:asciiTheme="minorHAnsi" w:eastAsia="Times New Roman" w:hAnsiTheme="minorHAnsi" w:cstheme="minorHAnsi"/>
                <w:b/>
                <w:sz w:val="18"/>
                <w:szCs w:val="18"/>
                <w:lang w:eastAsia="hr-HR"/>
              </w:rPr>
            </w:pPr>
            <w:r w:rsidRPr="005D30E9">
              <w:rPr>
                <w:rFonts w:asciiTheme="minorHAnsi" w:eastAsia="Times New Roman" w:hAnsiTheme="minorHAnsi" w:cstheme="minorHAnsi"/>
                <w:b/>
                <w:sz w:val="18"/>
                <w:szCs w:val="18"/>
                <w:lang w:eastAsia="hr-HR"/>
              </w:rPr>
              <w:t>Godina</w:t>
            </w:r>
          </w:p>
        </w:tc>
        <w:tc>
          <w:tcPr>
            <w:tcW w:w="1725" w:type="dxa"/>
            <w:tcBorders>
              <w:top w:val="single" w:sz="4" w:space="0" w:color="auto"/>
              <w:left w:val="nil"/>
              <w:bottom w:val="single" w:sz="4" w:space="0" w:color="auto"/>
              <w:right w:val="single" w:sz="4" w:space="0" w:color="auto"/>
            </w:tcBorders>
            <w:shd w:val="clear" w:color="auto" w:fill="99CCFF"/>
            <w:vAlign w:val="center"/>
            <w:hideMark/>
          </w:tcPr>
          <w:p w14:paraId="7CB3A3B7" w14:textId="77777777" w:rsidR="00671B63" w:rsidRPr="001B4CA2" w:rsidRDefault="00671B63" w:rsidP="00671B63">
            <w:pPr>
              <w:jc w:val="center"/>
              <w:rPr>
                <w:rFonts w:asciiTheme="minorHAnsi" w:eastAsia="Times New Roman" w:hAnsiTheme="minorHAnsi" w:cstheme="minorHAnsi"/>
                <w:b/>
                <w:bCs/>
                <w:sz w:val="18"/>
                <w:szCs w:val="18"/>
                <w:shd w:val="clear" w:color="auto" w:fill="FF0000"/>
                <w:lang w:eastAsia="hr-HR"/>
              </w:rPr>
            </w:pPr>
            <w:r w:rsidRPr="001B4CA2">
              <w:rPr>
                <w:rFonts w:asciiTheme="minorHAnsi" w:eastAsia="Times New Roman" w:hAnsiTheme="minorHAnsi" w:cstheme="minorHAnsi"/>
                <w:b/>
                <w:bCs/>
                <w:sz w:val="18"/>
                <w:szCs w:val="18"/>
                <w:lang w:eastAsia="hr-HR"/>
              </w:rPr>
              <w:t xml:space="preserve">Broj zahtjeva </w:t>
            </w:r>
          </w:p>
          <w:p w14:paraId="129CAD20" w14:textId="77777777" w:rsidR="00671B63" w:rsidRPr="001B4CA2" w:rsidRDefault="00671B63" w:rsidP="00671B63">
            <w:pPr>
              <w:jc w:val="center"/>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sz w:val="18"/>
                <w:szCs w:val="18"/>
                <w:lang w:eastAsia="hr-HR"/>
              </w:rPr>
              <w:t>u radu</w:t>
            </w:r>
          </w:p>
        </w:tc>
        <w:tc>
          <w:tcPr>
            <w:tcW w:w="1725" w:type="dxa"/>
            <w:tcBorders>
              <w:top w:val="single" w:sz="4" w:space="0" w:color="auto"/>
              <w:left w:val="nil"/>
              <w:bottom w:val="single" w:sz="4" w:space="0" w:color="auto"/>
              <w:right w:val="single" w:sz="4" w:space="0" w:color="auto"/>
            </w:tcBorders>
            <w:shd w:val="clear" w:color="auto" w:fill="99CCFF"/>
            <w:vAlign w:val="center"/>
            <w:hideMark/>
          </w:tcPr>
          <w:p w14:paraId="1FAA7207" w14:textId="77777777" w:rsidR="00671B63" w:rsidRPr="001B4CA2" w:rsidRDefault="00671B63" w:rsidP="00671B63">
            <w:pPr>
              <w:jc w:val="center"/>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sz w:val="18"/>
                <w:szCs w:val="18"/>
                <w:lang w:eastAsia="hr-HR"/>
              </w:rPr>
              <w:t>Riješeno pozitivno</w:t>
            </w:r>
          </w:p>
        </w:tc>
        <w:tc>
          <w:tcPr>
            <w:tcW w:w="1725" w:type="dxa"/>
            <w:tcBorders>
              <w:top w:val="single" w:sz="4" w:space="0" w:color="auto"/>
              <w:left w:val="nil"/>
              <w:bottom w:val="single" w:sz="4" w:space="0" w:color="auto"/>
              <w:right w:val="single" w:sz="4" w:space="0" w:color="auto"/>
            </w:tcBorders>
            <w:shd w:val="clear" w:color="auto" w:fill="99CCFF"/>
            <w:vAlign w:val="center"/>
            <w:hideMark/>
          </w:tcPr>
          <w:p w14:paraId="68E5425E" w14:textId="77777777" w:rsidR="00671B63" w:rsidRPr="001B4CA2" w:rsidRDefault="00671B63" w:rsidP="00671B63">
            <w:pPr>
              <w:jc w:val="center"/>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sz w:val="18"/>
                <w:szCs w:val="18"/>
                <w:lang w:eastAsia="hr-HR"/>
              </w:rPr>
              <w:t>Zahtjev odbijen</w:t>
            </w:r>
          </w:p>
        </w:tc>
        <w:tc>
          <w:tcPr>
            <w:tcW w:w="1725" w:type="dxa"/>
            <w:tcBorders>
              <w:top w:val="single" w:sz="4" w:space="0" w:color="auto"/>
              <w:left w:val="nil"/>
              <w:bottom w:val="single" w:sz="4" w:space="0" w:color="auto"/>
              <w:right w:val="single" w:sz="4" w:space="0" w:color="auto"/>
            </w:tcBorders>
            <w:shd w:val="clear" w:color="auto" w:fill="99CCFF"/>
            <w:vAlign w:val="center"/>
          </w:tcPr>
          <w:p w14:paraId="3E300975" w14:textId="77777777" w:rsidR="00671B63" w:rsidRPr="001B4CA2" w:rsidRDefault="00671B63" w:rsidP="00671B63">
            <w:pPr>
              <w:jc w:val="center"/>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sz w:val="18"/>
                <w:szCs w:val="18"/>
                <w:lang w:eastAsia="hr-HR"/>
              </w:rPr>
              <w:t>Ukupno riješeno</w:t>
            </w:r>
          </w:p>
        </w:tc>
      </w:tr>
      <w:tr w:rsidR="00671B63" w:rsidRPr="001B4CA2" w14:paraId="664B3CDD" w14:textId="77777777" w:rsidTr="00CE2706">
        <w:trPr>
          <w:trHeight w:val="397"/>
          <w:jc w:val="center"/>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BC798"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2018.</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1CA50AB5"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389</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0298783B"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297</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2E4924EF"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80</w:t>
            </w:r>
          </w:p>
        </w:tc>
        <w:tc>
          <w:tcPr>
            <w:tcW w:w="1725" w:type="dxa"/>
            <w:tcBorders>
              <w:top w:val="single" w:sz="4" w:space="0" w:color="auto"/>
              <w:left w:val="nil"/>
              <w:bottom w:val="single" w:sz="4" w:space="0" w:color="auto"/>
              <w:right w:val="single" w:sz="4" w:space="0" w:color="auto"/>
            </w:tcBorders>
            <w:vAlign w:val="center"/>
          </w:tcPr>
          <w:p w14:paraId="471AB2D4" w14:textId="77777777" w:rsidR="00671B63" w:rsidRPr="001B4CA2" w:rsidRDefault="00671B63" w:rsidP="00671B63">
            <w:pPr>
              <w:jc w:val="center"/>
              <w:rPr>
                <w:rFonts w:eastAsia="Times New Roman"/>
                <w:b/>
                <w:sz w:val="18"/>
                <w:szCs w:val="18"/>
                <w:lang w:eastAsia="hr-HR"/>
              </w:rPr>
            </w:pPr>
            <w:r w:rsidRPr="001B4CA2">
              <w:rPr>
                <w:rFonts w:eastAsia="Times New Roman"/>
                <w:b/>
                <w:sz w:val="18"/>
                <w:szCs w:val="18"/>
                <w:lang w:eastAsia="hr-HR"/>
              </w:rPr>
              <w:t>377</w:t>
            </w:r>
          </w:p>
        </w:tc>
      </w:tr>
      <w:tr w:rsidR="00671B63" w:rsidRPr="001B4CA2" w14:paraId="36C0B703" w14:textId="77777777" w:rsidTr="00CE2706">
        <w:trPr>
          <w:trHeight w:val="397"/>
          <w:jc w:val="center"/>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ADFEC"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2019.</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721D4150"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409</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675F9F82"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317</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5A772B65"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75</w:t>
            </w:r>
          </w:p>
        </w:tc>
        <w:tc>
          <w:tcPr>
            <w:tcW w:w="1725" w:type="dxa"/>
            <w:tcBorders>
              <w:top w:val="single" w:sz="4" w:space="0" w:color="auto"/>
              <w:left w:val="nil"/>
              <w:bottom w:val="single" w:sz="4" w:space="0" w:color="auto"/>
              <w:right w:val="single" w:sz="4" w:space="0" w:color="auto"/>
            </w:tcBorders>
            <w:vAlign w:val="center"/>
          </w:tcPr>
          <w:p w14:paraId="28C8B47C" w14:textId="77777777" w:rsidR="00671B63" w:rsidRPr="001B4CA2" w:rsidRDefault="00671B63" w:rsidP="00671B63">
            <w:pPr>
              <w:jc w:val="center"/>
              <w:rPr>
                <w:rFonts w:eastAsia="Times New Roman"/>
                <w:b/>
                <w:sz w:val="18"/>
                <w:szCs w:val="18"/>
                <w:lang w:eastAsia="hr-HR"/>
              </w:rPr>
            </w:pPr>
            <w:r w:rsidRPr="001B4CA2">
              <w:rPr>
                <w:rFonts w:eastAsia="Times New Roman"/>
                <w:b/>
                <w:sz w:val="18"/>
                <w:szCs w:val="18"/>
                <w:lang w:eastAsia="hr-HR"/>
              </w:rPr>
              <w:t>392</w:t>
            </w:r>
          </w:p>
        </w:tc>
      </w:tr>
      <w:tr w:rsidR="00671B63" w:rsidRPr="001B4CA2" w14:paraId="49C7D6F5" w14:textId="77777777" w:rsidTr="00CE2706">
        <w:trPr>
          <w:trHeight w:val="397"/>
          <w:jc w:val="center"/>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9D040"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2020.</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36F6D8C7"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292</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36E7269B"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192</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5CC0D9C1"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88</w:t>
            </w:r>
          </w:p>
        </w:tc>
        <w:tc>
          <w:tcPr>
            <w:tcW w:w="1725" w:type="dxa"/>
            <w:tcBorders>
              <w:top w:val="single" w:sz="4" w:space="0" w:color="auto"/>
              <w:left w:val="nil"/>
              <w:bottom w:val="single" w:sz="4" w:space="0" w:color="auto"/>
              <w:right w:val="single" w:sz="4" w:space="0" w:color="auto"/>
            </w:tcBorders>
            <w:shd w:val="clear" w:color="auto" w:fill="auto"/>
            <w:vAlign w:val="center"/>
          </w:tcPr>
          <w:p w14:paraId="6D6EABF5" w14:textId="77777777" w:rsidR="00671B63" w:rsidRPr="001B4CA2" w:rsidRDefault="00671B63" w:rsidP="00671B63">
            <w:pPr>
              <w:jc w:val="center"/>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280</w:t>
            </w:r>
          </w:p>
        </w:tc>
      </w:tr>
      <w:tr w:rsidR="00671B63" w:rsidRPr="001B4CA2" w14:paraId="496A11A2" w14:textId="77777777" w:rsidTr="00CE2706">
        <w:trPr>
          <w:trHeight w:val="397"/>
          <w:jc w:val="center"/>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FB6"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2021.</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762EE043"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355</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7F5E5E8D"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233</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625E3CEF"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102</w:t>
            </w:r>
          </w:p>
        </w:tc>
        <w:tc>
          <w:tcPr>
            <w:tcW w:w="1725" w:type="dxa"/>
            <w:tcBorders>
              <w:top w:val="single" w:sz="4" w:space="0" w:color="auto"/>
              <w:left w:val="nil"/>
              <w:bottom w:val="single" w:sz="4" w:space="0" w:color="auto"/>
              <w:right w:val="single" w:sz="4" w:space="0" w:color="auto"/>
            </w:tcBorders>
            <w:shd w:val="clear" w:color="auto" w:fill="auto"/>
            <w:vAlign w:val="center"/>
          </w:tcPr>
          <w:p w14:paraId="54548473" w14:textId="77777777" w:rsidR="00671B63" w:rsidRPr="001B4CA2" w:rsidRDefault="00671B63" w:rsidP="00671B63">
            <w:pPr>
              <w:jc w:val="center"/>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335</w:t>
            </w:r>
          </w:p>
        </w:tc>
      </w:tr>
      <w:tr w:rsidR="00671B63" w:rsidRPr="001B4CA2" w14:paraId="57C0A933" w14:textId="77777777" w:rsidTr="00CE2706">
        <w:trPr>
          <w:trHeight w:val="397"/>
          <w:jc w:val="center"/>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3563C"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2022.</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1D80023B"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282</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52E26162"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212</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51BEBF2C" w14:textId="77777777" w:rsidR="00671B63" w:rsidRPr="001B4CA2" w:rsidRDefault="00671B63" w:rsidP="00671B63">
            <w:pPr>
              <w:jc w:val="center"/>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62</w:t>
            </w:r>
          </w:p>
        </w:tc>
        <w:tc>
          <w:tcPr>
            <w:tcW w:w="1725" w:type="dxa"/>
            <w:tcBorders>
              <w:top w:val="single" w:sz="4" w:space="0" w:color="auto"/>
              <w:left w:val="nil"/>
              <w:bottom w:val="single" w:sz="4" w:space="0" w:color="auto"/>
              <w:right w:val="single" w:sz="4" w:space="0" w:color="auto"/>
            </w:tcBorders>
            <w:shd w:val="clear" w:color="auto" w:fill="auto"/>
            <w:vAlign w:val="center"/>
          </w:tcPr>
          <w:p w14:paraId="1DB8DB45" w14:textId="77777777" w:rsidR="00671B63" w:rsidRPr="001B4CA2" w:rsidRDefault="00671B63" w:rsidP="00671B63">
            <w:pPr>
              <w:jc w:val="center"/>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b/>
                <w:sz w:val="18"/>
                <w:szCs w:val="18"/>
                <w:lang w:eastAsia="hr-HR"/>
              </w:rPr>
              <w:t>274</w:t>
            </w:r>
          </w:p>
        </w:tc>
      </w:tr>
    </w:tbl>
    <w:p w14:paraId="47C34DB1" w14:textId="77777777" w:rsidR="00671B63" w:rsidRPr="001B4CA2" w:rsidRDefault="00671B63" w:rsidP="00671B63">
      <w:pPr>
        <w:rPr>
          <w:szCs w:val="22"/>
        </w:rPr>
      </w:pPr>
    </w:p>
    <w:p w14:paraId="3FCFFF74" w14:textId="7248BD0C" w:rsidR="00773E87" w:rsidRPr="001B4CA2" w:rsidRDefault="00671B63" w:rsidP="00773E87">
      <w:pPr>
        <w:rPr>
          <w:szCs w:val="22"/>
        </w:rPr>
      </w:pPr>
      <w:r w:rsidRPr="001B4CA2">
        <w:rPr>
          <w:szCs w:val="22"/>
        </w:rPr>
        <w:tab/>
      </w:r>
      <w:r w:rsidR="00773E87" w:rsidRPr="001B4CA2">
        <w:rPr>
          <w:szCs w:val="22"/>
        </w:rPr>
        <w:t xml:space="preserve">Kod postupanja u ovoj vrsti </w:t>
      </w:r>
      <w:proofErr w:type="spellStart"/>
      <w:r w:rsidR="00773E87" w:rsidRPr="001B4CA2">
        <w:rPr>
          <w:szCs w:val="22"/>
        </w:rPr>
        <w:t>državnoodvjetničkih</w:t>
      </w:r>
      <w:proofErr w:type="spellEnd"/>
      <w:r w:rsidR="00773E87" w:rsidRPr="001B4CA2">
        <w:rPr>
          <w:szCs w:val="22"/>
        </w:rPr>
        <w:t xml:space="preserve"> predmeta treba ista</w:t>
      </w:r>
      <w:r w:rsidR="00C00267">
        <w:rPr>
          <w:szCs w:val="22"/>
        </w:rPr>
        <w:t>knut</w:t>
      </w:r>
      <w:r w:rsidR="00773E87" w:rsidRPr="001B4CA2">
        <w:rPr>
          <w:szCs w:val="22"/>
        </w:rPr>
        <w:t xml:space="preserve">i da se radi o predmetima koji su značajni iz razloga što se temeljem </w:t>
      </w:r>
      <w:proofErr w:type="spellStart"/>
      <w:r w:rsidR="00773E87" w:rsidRPr="001B4CA2">
        <w:rPr>
          <w:szCs w:val="22"/>
        </w:rPr>
        <w:t>tabularne</w:t>
      </w:r>
      <w:proofErr w:type="spellEnd"/>
      <w:r w:rsidR="00773E87" w:rsidRPr="001B4CA2">
        <w:rPr>
          <w:szCs w:val="22"/>
        </w:rPr>
        <w:t xml:space="preserve"> izjave nadležnog državnog odvjetništva na nekretninama koje su bile predmet raspolaganja u razdoblju društvenog vlasništva, a i nakon toga vremena,</w:t>
      </w:r>
      <w:r w:rsidR="001B4CA2">
        <w:rPr>
          <w:szCs w:val="22"/>
        </w:rPr>
        <w:t xml:space="preserve"> </w:t>
      </w:r>
      <w:r w:rsidR="00773E87" w:rsidRPr="001B4CA2">
        <w:rPr>
          <w:szCs w:val="22"/>
        </w:rPr>
        <w:t xml:space="preserve">omogućuje provedba upisa prava vlasništva u zemljišnoj knjizi. To je </w:t>
      </w:r>
      <w:r w:rsidR="0047537B" w:rsidRPr="001B4CA2">
        <w:rPr>
          <w:szCs w:val="22"/>
        </w:rPr>
        <w:t>nerijetko</w:t>
      </w:r>
      <w:r w:rsidR="00773E87" w:rsidRPr="001B4CA2">
        <w:rPr>
          <w:szCs w:val="22"/>
        </w:rPr>
        <w:t xml:space="preserve"> preduvjet za daljnje raspolaganje nekretninama, ali i općenito uređenje imovinskopravnih odnosa među suvlasnicima kada se radi nekretninama u višestambenim objektima. U ovim se predmetima u cilju donošenja odluke o osnovanosti podnesenog zahtjeva stranaka u pravilu radi o potrebi ocjene valjanosti brojnih isprava koje svojim nastankom datiraju još iz razdoblja druge polovine prošlog stoljeća. </w:t>
      </w:r>
    </w:p>
    <w:p w14:paraId="2987D098" w14:textId="77777777" w:rsidR="00773E87" w:rsidRPr="001B4CA2" w:rsidRDefault="00773E87" w:rsidP="00773E87">
      <w:pPr>
        <w:rPr>
          <w:szCs w:val="22"/>
        </w:rPr>
      </w:pPr>
    </w:p>
    <w:p w14:paraId="5A5A2DAF" w14:textId="2A9AE89A" w:rsidR="00773E87" w:rsidRPr="001B4CA2" w:rsidRDefault="00773E87" w:rsidP="00773E87">
      <w:pPr>
        <w:rPr>
          <w:szCs w:val="22"/>
        </w:rPr>
      </w:pPr>
      <w:r w:rsidRPr="001B4CA2">
        <w:rPr>
          <w:szCs w:val="22"/>
        </w:rPr>
        <w:tab/>
        <w:t>Analizirajući podatke iz gore prikazanog petogodišnjeg razdoblja, treba ista</w:t>
      </w:r>
      <w:r w:rsidR="00C00267">
        <w:rPr>
          <w:szCs w:val="22"/>
        </w:rPr>
        <w:t>knut</w:t>
      </w:r>
      <w:r w:rsidRPr="001B4CA2">
        <w:rPr>
          <w:szCs w:val="22"/>
        </w:rPr>
        <w:t>i da je temeljem navedene zakonske odredbe državno odvjetništvo primilo 1</w:t>
      </w:r>
      <w:r w:rsidR="00C00267">
        <w:rPr>
          <w:szCs w:val="22"/>
        </w:rPr>
        <w:t>.</w:t>
      </w:r>
      <w:r w:rsidRPr="001B4CA2">
        <w:rPr>
          <w:szCs w:val="22"/>
        </w:rPr>
        <w:t>727 predmeta, od kojih je u 1</w:t>
      </w:r>
      <w:r w:rsidR="00C00267">
        <w:rPr>
          <w:szCs w:val="22"/>
        </w:rPr>
        <w:t>.</w:t>
      </w:r>
      <w:r w:rsidRPr="001B4CA2">
        <w:rPr>
          <w:szCs w:val="22"/>
        </w:rPr>
        <w:t xml:space="preserve">251 predmetu, odnosno u čak 72 % predmeta iz ove osnove, izdalo </w:t>
      </w:r>
      <w:proofErr w:type="spellStart"/>
      <w:r w:rsidRPr="001B4CA2">
        <w:rPr>
          <w:szCs w:val="22"/>
        </w:rPr>
        <w:t>tabularnu</w:t>
      </w:r>
      <w:proofErr w:type="spellEnd"/>
      <w:r w:rsidRPr="001B4CA2">
        <w:rPr>
          <w:szCs w:val="22"/>
        </w:rPr>
        <w:t xml:space="preserve"> ispravu kojom je omogućen upis u zemljišn</w:t>
      </w:r>
      <w:r w:rsidR="00C00267">
        <w:rPr>
          <w:szCs w:val="22"/>
        </w:rPr>
        <w:t>e</w:t>
      </w:r>
      <w:r w:rsidRPr="001B4CA2">
        <w:rPr>
          <w:szCs w:val="22"/>
        </w:rPr>
        <w:t xml:space="preserve"> knjig</w:t>
      </w:r>
      <w:r w:rsidR="00C00267">
        <w:rPr>
          <w:szCs w:val="22"/>
        </w:rPr>
        <w:t>e</w:t>
      </w:r>
      <w:r w:rsidRPr="001B4CA2">
        <w:rPr>
          <w:szCs w:val="22"/>
        </w:rPr>
        <w:t xml:space="preserve">. Rješavanje ovih predmeta značajno je jer </w:t>
      </w:r>
      <w:r w:rsidR="005D6447">
        <w:rPr>
          <w:szCs w:val="22"/>
        </w:rPr>
        <w:t xml:space="preserve">bi </w:t>
      </w:r>
      <w:r w:rsidRPr="001B4CA2">
        <w:rPr>
          <w:szCs w:val="22"/>
        </w:rPr>
        <w:t xml:space="preserve">bez postupanja državnog odvjetništva na temelju ove zakonske ovlasti sve stranke bile primorane </w:t>
      </w:r>
      <w:r w:rsidR="0047537B" w:rsidRPr="001B4CA2">
        <w:rPr>
          <w:szCs w:val="22"/>
        </w:rPr>
        <w:t>pokrenuti</w:t>
      </w:r>
      <w:r w:rsidRPr="001B4CA2">
        <w:rPr>
          <w:szCs w:val="22"/>
        </w:rPr>
        <w:t xml:space="preserve"> dugotrajne zemljišnoknjižne ili parnične postupke radi ostvarenja upisa u zemljišnu knjigu. </w:t>
      </w:r>
    </w:p>
    <w:p w14:paraId="509783F1" w14:textId="77777777" w:rsidR="00773E87" w:rsidRPr="001B4CA2" w:rsidRDefault="00773E87" w:rsidP="00773E87">
      <w:pPr>
        <w:rPr>
          <w:szCs w:val="22"/>
        </w:rPr>
      </w:pPr>
    </w:p>
    <w:p w14:paraId="5FAD8792" w14:textId="30720320" w:rsidR="00773E87" w:rsidRPr="001B4CA2" w:rsidRDefault="00773E87" w:rsidP="00773E87">
      <w:pPr>
        <w:rPr>
          <w:szCs w:val="22"/>
        </w:rPr>
      </w:pPr>
      <w:r w:rsidRPr="001B4CA2">
        <w:rPr>
          <w:szCs w:val="22"/>
        </w:rPr>
        <w:tab/>
        <w:t>Tijekom 2022. godine zaprimljen</w:t>
      </w:r>
      <w:r w:rsidR="005D6447">
        <w:rPr>
          <w:szCs w:val="22"/>
        </w:rPr>
        <w:t>a</w:t>
      </w:r>
      <w:r w:rsidRPr="001B4CA2">
        <w:rPr>
          <w:szCs w:val="22"/>
        </w:rPr>
        <w:t xml:space="preserve"> </w:t>
      </w:r>
      <w:r w:rsidR="005D6447">
        <w:rPr>
          <w:szCs w:val="22"/>
        </w:rPr>
        <w:t>su</w:t>
      </w:r>
      <w:r w:rsidRPr="001B4CA2">
        <w:rPr>
          <w:szCs w:val="22"/>
        </w:rPr>
        <w:t xml:space="preserve"> 282 predmeta radi izdavanja </w:t>
      </w:r>
      <w:proofErr w:type="spellStart"/>
      <w:r w:rsidRPr="001B4CA2">
        <w:rPr>
          <w:szCs w:val="22"/>
        </w:rPr>
        <w:t>tabularne</w:t>
      </w:r>
      <w:proofErr w:type="spellEnd"/>
      <w:r w:rsidRPr="001B4CA2">
        <w:rPr>
          <w:szCs w:val="22"/>
        </w:rPr>
        <w:t xml:space="preserve"> isprave te je 212 predmeta, odnosno 75 % </w:t>
      </w:r>
      <w:r w:rsidR="0047537B" w:rsidRPr="001B4CA2">
        <w:rPr>
          <w:szCs w:val="22"/>
        </w:rPr>
        <w:t>riješeno</w:t>
      </w:r>
      <w:r w:rsidRPr="001B4CA2">
        <w:rPr>
          <w:szCs w:val="22"/>
        </w:rPr>
        <w:t xml:space="preserve"> izdavanjem zatražene isprave. Predmeti u kojima je izostalo izdavanje </w:t>
      </w:r>
      <w:proofErr w:type="spellStart"/>
      <w:r w:rsidRPr="001B4CA2">
        <w:rPr>
          <w:szCs w:val="22"/>
        </w:rPr>
        <w:t>tabularne</w:t>
      </w:r>
      <w:proofErr w:type="spellEnd"/>
      <w:r w:rsidRPr="001B4CA2">
        <w:rPr>
          <w:szCs w:val="22"/>
        </w:rPr>
        <w:t xml:space="preserve"> isprave odnose se na zahtjeve u kojima je priložena dokumentacija i dostavljene isprave bila manjkava ili nisu ispunjeni uvjeti za postupanje u smislu odredbe članka 57. Zakona o zemljišnim </w:t>
      </w:r>
      <w:r w:rsidRPr="001B4CA2">
        <w:rPr>
          <w:szCs w:val="22"/>
        </w:rPr>
        <w:lastRenderedPageBreak/>
        <w:t xml:space="preserve">knjigama. U izvještajnom </w:t>
      </w:r>
      <w:r w:rsidR="005D6447" w:rsidRPr="001B4CA2">
        <w:rPr>
          <w:szCs w:val="22"/>
        </w:rPr>
        <w:t xml:space="preserve">je </w:t>
      </w:r>
      <w:r w:rsidRPr="001B4CA2">
        <w:rPr>
          <w:szCs w:val="22"/>
        </w:rPr>
        <w:t>razdoblju za 40 % smanjen broj predmeta u kojima je odbijen zahtjev utemeljen na prethodno navedenoj osnovi.</w:t>
      </w:r>
    </w:p>
    <w:p w14:paraId="4EEB3446" w14:textId="1F36CFC5" w:rsidR="00D3013F" w:rsidRPr="001B4CA2" w:rsidRDefault="00D3013F" w:rsidP="00773E87"/>
    <w:p w14:paraId="488093E1" w14:textId="7F5E564D" w:rsidR="00BB4D48" w:rsidRPr="001B4CA2" w:rsidRDefault="00BB4D48" w:rsidP="00E6050A">
      <w:pPr>
        <w:pStyle w:val="Naslov4"/>
        <w:tabs>
          <w:tab w:val="left" w:pos="709"/>
          <w:tab w:val="left" w:pos="993"/>
        </w:tabs>
        <w:ind w:left="142" w:firstLine="0"/>
        <w:rPr>
          <w:rFonts w:ascii="Arial" w:hAnsi="Arial" w:cs="Arial"/>
        </w:rPr>
      </w:pPr>
      <w:bookmarkStart w:id="91" w:name="_Toc133394349"/>
      <w:r w:rsidRPr="001B4CA2">
        <w:rPr>
          <w:rFonts w:ascii="Arial" w:hAnsi="Arial" w:cs="Arial"/>
        </w:rPr>
        <w:t xml:space="preserve">Odluke </w:t>
      </w:r>
      <w:r w:rsidR="006A1678" w:rsidRPr="001B4CA2">
        <w:rPr>
          <w:rFonts w:ascii="Arial" w:hAnsi="Arial" w:cs="Arial"/>
        </w:rPr>
        <w:t>državnog</w:t>
      </w:r>
      <w:r w:rsidRPr="001B4CA2">
        <w:rPr>
          <w:rFonts w:ascii="Arial" w:hAnsi="Arial" w:cs="Arial"/>
        </w:rPr>
        <w:t xml:space="preserve"> </w:t>
      </w:r>
      <w:r w:rsidR="006A1678" w:rsidRPr="001B4CA2">
        <w:rPr>
          <w:rFonts w:ascii="Arial" w:hAnsi="Arial" w:cs="Arial"/>
        </w:rPr>
        <w:t>odvjetništva</w:t>
      </w:r>
      <w:r w:rsidRPr="001B4CA2">
        <w:rPr>
          <w:rFonts w:ascii="Arial" w:hAnsi="Arial" w:cs="Arial"/>
        </w:rPr>
        <w:t xml:space="preserve"> u parnicama </w:t>
      </w:r>
      <w:r w:rsidR="006A1678" w:rsidRPr="001B4CA2">
        <w:rPr>
          <w:rFonts w:ascii="Arial" w:hAnsi="Arial" w:cs="Arial"/>
        </w:rPr>
        <w:t xml:space="preserve">pred trgovačkim </w:t>
      </w:r>
      <w:r w:rsidR="0002334C" w:rsidRPr="001B4CA2">
        <w:rPr>
          <w:rFonts w:ascii="Arial" w:hAnsi="Arial" w:cs="Arial"/>
        </w:rPr>
        <w:tab/>
      </w:r>
      <w:r w:rsidR="0002334C" w:rsidRPr="001B4CA2">
        <w:rPr>
          <w:rFonts w:ascii="Arial" w:hAnsi="Arial" w:cs="Arial"/>
        </w:rPr>
        <w:tab/>
      </w:r>
      <w:r w:rsidR="0002334C" w:rsidRPr="001B4CA2">
        <w:rPr>
          <w:rFonts w:ascii="Arial" w:hAnsi="Arial" w:cs="Arial"/>
        </w:rPr>
        <w:tab/>
      </w:r>
      <w:r w:rsidR="006A1678" w:rsidRPr="001B4CA2">
        <w:rPr>
          <w:rFonts w:ascii="Arial" w:hAnsi="Arial" w:cs="Arial"/>
        </w:rPr>
        <w:t>sudovima</w:t>
      </w:r>
      <w:bookmarkEnd w:id="91"/>
    </w:p>
    <w:p w14:paraId="1AA1CAF6" w14:textId="77777777" w:rsidR="00D00817" w:rsidRPr="001B4CA2" w:rsidRDefault="00D00817" w:rsidP="00D00817"/>
    <w:p w14:paraId="2E861EC2" w14:textId="311AD581" w:rsidR="00671B63" w:rsidRPr="001B4CA2" w:rsidRDefault="00D00817" w:rsidP="00671B63">
      <w:pPr>
        <w:pStyle w:val="Odlomakpopisa"/>
        <w:ind w:left="360"/>
        <w:rPr>
          <w:rFonts w:asciiTheme="minorHAnsi" w:hAnsiTheme="minorHAnsi" w:cstheme="minorBidi"/>
          <w:i/>
          <w:szCs w:val="22"/>
        </w:rPr>
      </w:pPr>
      <w:r w:rsidRPr="001B4CA2">
        <w:rPr>
          <w:i/>
        </w:rPr>
        <w:t>a)</w:t>
      </w:r>
      <w:r w:rsidRPr="001B4CA2">
        <w:t xml:space="preserve"> </w:t>
      </w:r>
      <w:r w:rsidR="00671B63" w:rsidRPr="001B4CA2">
        <w:rPr>
          <w:rFonts w:asciiTheme="minorHAnsi" w:hAnsiTheme="minorHAnsi" w:cstheme="minorBidi"/>
          <w:i/>
          <w:szCs w:val="22"/>
        </w:rPr>
        <w:t>Odluke i postupanje državnih odvjetništava u parnicama 2018. – 2022.</w:t>
      </w:r>
    </w:p>
    <w:tbl>
      <w:tblPr>
        <w:tblW w:w="47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893"/>
        <w:gridCol w:w="840"/>
        <w:gridCol w:w="811"/>
        <w:gridCol w:w="706"/>
        <w:gridCol w:w="791"/>
        <w:gridCol w:w="789"/>
        <w:gridCol w:w="770"/>
        <w:gridCol w:w="777"/>
        <w:gridCol w:w="762"/>
        <w:gridCol w:w="854"/>
      </w:tblGrid>
      <w:tr w:rsidR="00671B63" w:rsidRPr="001B4CA2" w14:paraId="266E1020" w14:textId="77777777" w:rsidTr="005D30E9">
        <w:trPr>
          <w:trHeight w:val="466"/>
          <w:jc w:val="center"/>
        </w:trPr>
        <w:tc>
          <w:tcPr>
            <w:tcW w:w="920" w:type="dxa"/>
            <w:vMerge w:val="restart"/>
            <w:shd w:val="clear" w:color="auto" w:fill="99CCFF"/>
            <w:textDirection w:val="btLr"/>
            <w:vAlign w:val="center"/>
            <w:hideMark/>
          </w:tcPr>
          <w:p w14:paraId="6A56CCEB"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893" w:type="dxa"/>
            <w:vMerge w:val="restart"/>
            <w:shd w:val="clear" w:color="auto" w:fill="99CCFF"/>
            <w:textDirection w:val="btLr"/>
            <w:vAlign w:val="center"/>
            <w:hideMark/>
          </w:tcPr>
          <w:p w14:paraId="1F004869"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Ostalo u radu u DO</w:t>
            </w:r>
          </w:p>
        </w:tc>
        <w:tc>
          <w:tcPr>
            <w:tcW w:w="840" w:type="dxa"/>
            <w:vMerge w:val="restart"/>
            <w:shd w:val="clear" w:color="auto" w:fill="99CCFF"/>
            <w:textDirection w:val="btLr"/>
            <w:vAlign w:val="center"/>
            <w:hideMark/>
          </w:tcPr>
          <w:p w14:paraId="68E6B357"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 xml:space="preserve">Primljeno </w:t>
            </w:r>
            <w:r w:rsidRPr="001B4CA2">
              <w:rPr>
                <w:rFonts w:asciiTheme="minorHAnsi" w:eastAsia="Times New Roman" w:hAnsiTheme="minorHAnsi" w:cstheme="minorHAnsi"/>
                <w:b/>
                <w:bCs/>
                <w:color w:val="000000" w:themeColor="text1"/>
                <w:sz w:val="18"/>
                <w:szCs w:val="18"/>
                <w:lang w:eastAsia="hr-HR"/>
              </w:rPr>
              <w:t>novih zahtjeva</w:t>
            </w:r>
          </w:p>
        </w:tc>
        <w:tc>
          <w:tcPr>
            <w:tcW w:w="3097" w:type="dxa"/>
            <w:gridSpan w:val="4"/>
            <w:shd w:val="clear" w:color="auto" w:fill="99CCFF"/>
            <w:vAlign w:val="center"/>
            <w:hideMark/>
          </w:tcPr>
          <w:p w14:paraId="757B1094"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Odluke</w:t>
            </w:r>
            <w:r w:rsidRPr="001B4CA2">
              <w:rPr>
                <w:rFonts w:asciiTheme="minorHAnsi" w:eastAsia="Times New Roman" w:hAnsiTheme="minorHAnsi" w:cstheme="minorHAnsi"/>
                <w:b/>
                <w:bCs/>
                <w:color w:val="000000" w:themeColor="text1"/>
                <w:sz w:val="18"/>
                <w:szCs w:val="18"/>
                <w:lang w:eastAsia="hr-HR"/>
              </w:rPr>
              <w:t xml:space="preserve"> DO</w:t>
            </w:r>
          </w:p>
        </w:tc>
        <w:tc>
          <w:tcPr>
            <w:tcW w:w="770" w:type="dxa"/>
            <w:vMerge w:val="restart"/>
            <w:shd w:val="clear" w:color="auto" w:fill="99CCFF"/>
            <w:textDirection w:val="btLr"/>
            <w:vAlign w:val="center"/>
            <w:hideMark/>
          </w:tcPr>
          <w:p w14:paraId="0D380743"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Rasprave</w:t>
            </w:r>
          </w:p>
        </w:tc>
        <w:tc>
          <w:tcPr>
            <w:tcW w:w="777" w:type="dxa"/>
            <w:vMerge w:val="restart"/>
            <w:shd w:val="clear" w:color="auto" w:fill="99CCFF"/>
            <w:textDirection w:val="btLr"/>
            <w:vAlign w:val="center"/>
            <w:hideMark/>
          </w:tcPr>
          <w:p w14:paraId="397B54CE"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Postupci pred sudom u kojima nije donijeta I-stup. Odluka</w:t>
            </w:r>
          </w:p>
        </w:tc>
        <w:tc>
          <w:tcPr>
            <w:tcW w:w="762" w:type="dxa"/>
            <w:vMerge w:val="restart"/>
            <w:shd w:val="clear" w:color="auto" w:fill="99CCFF"/>
            <w:textDirection w:val="btLr"/>
            <w:vAlign w:val="center"/>
            <w:hideMark/>
          </w:tcPr>
          <w:p w14:paraId="4B7136E8"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Žalbe DO</w:t>
            </w:r>
          </w:p>
        </w:tc>
        <w:tc>
          <w:tcPr>
            <w:tcW w:w="854" w:type="dxa"/>
            <w:vMerge w:val="restart"/>
            <w:shd w:val="clear" w:color="auto" w:fill="99CCFF"/>
            <w:textDirection w:val="btLr"/>
            <w:vAlign w:val="center"/>
            <w:hideMark/>
          </w:tcPr>
          <w:p w14:paraId="5154347A"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Izvanredni pravni lijekovi</w:t>
            </w:r>
          </w:p>
        </w:tc>
      </w:tr>
      <w:tr w:rsidR="00671B63" w:rsidRPr="001B4CA2" w14:paraId="09F27660" w14:textId="77777777" w:rsidTr="005D30E9">
        <w:trPr>
          <w:trHeight w:val="2229"/>
          <w:jc w:val="center"/>
        </w:trPr>
        <w:tc>
          <w:tcPr>
            <w:tcW w:w="920" w:type="dxa"/>
            <w:vMerge/>
            <w:vAlign w:val="center"/>
            <w:hideMark/>
          </w:tcPr>
          <w:p w14:paraId="676D735D" w14:textId="77777777" w:rsidR="00671B63" w:rsidRPr="001B4CA2" w:rsidRDefault="00671B63" w:rsidP="00671B63">
            <w:pPr>
              <w:jc w:val="left"/>
              <w:rPr>
                <w:rFonts w:asciiTheme="minorHAnsi" w:eastAsia="Times New Roman" w:hAnsiTheme="minorHAnsi" w:cstheme="minorHAnsi"/>
                <w:bCs/>
                <w:color w:val="000000"/>
                <w:sz w:val="18"/>
                <w:szCs w:val="18"/>
                <w:lang w:eastAsia="hr-HR"/>
              </w:rPr>
            </w:pPr>
          </w:p>
        </w:tc>
        <w:tc>
          <w:tcPr>
            <w:tcW w:w="893" w:type="dxa"/>
            <w:vMerge/>
            <w:vAlign w:val="center"/>
            <w:hideMark/>
          </w:tcPr>
          <w:p w14:paraId="6CEFAB85" w14:textId="77777777" w:rsidR="00671B63" w:rsidRPr="001B4CA2" w:rsidRDefault="00671B63" w:rsidP="00671B63">
            <w:pPr>
              <w:jc w:val="left"/>
              <w:rPr>
                <w:rFonts w:asciiTheme="minorHAnsi" w:eastAsia="Times New Roman" w:hAnsiTheme="minorHAnsi" w:cstheme="minorHAnsi"/>
                <w:bCs/>
                <w:color w:val="000000"/>
                <w:sz w:val="18"/>
                <w:szCs w:val="18"/>
                <w:lang w:eastAsia="hr-HR"/>
              </w:rPr>
            </w:pPr>
          </w:p>
        </w:tc>
        <w:tc>
          <w:tcPr>
            <w:tcW w:w="840" w:type="dxa"/>
            <w:vMerge/>
            <w:vAlign w:val="center"/>
            <w:hideMark/>
          </w:tcPr>
          <w:p w14:paraId="41940D5E" w14:textId="77777777" w:rsidR="00671B63" w:rsidRPr="001B4CA2" w:rsidRDefault="00671B63" w:rsidP="00671B63">
            <w:pPr>
              <w:jc w:val="left"/>
              <w:rPr>
                <w:rFonts w:asciiTheme="minorHAnsi" w:eastAsia="Times New Roman" w:hAnsiTheme="minorHAnsi" w:cstheme="minorHAnsi"/>
                <w:bCs/>
                <w:color w:val="000000"/>
                <w:sz w:val="18"/>
                <w:szCs w:val="18"/>
                <w:lang w:eastAsia="hr-HR"/>
              </w:rPr>
            </w:pPr>
          </w:p>
        </w:tc>
        <w:tc>
          <w:tcPr>
            <w:tcW w:w="811" w:type="dxa"/>
            <w:shd w:val="clear" w:color="auto" w:fill="99CCFF"/>
            <w:textDirection w:val="btLr"/>
            <w:vAlign w:val="center"/>
            <w:hideMark/>
          </w:tcPr>
          <w:p w14:paraId="67D1B952" w14:textId="78B42A7D"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themeColor="text1"/>
                <w:sz w:val="18"/>
                <w:szCs w:val="18"/>
                <w:lang w:eastAsia="hr-HR"/>
              </w:rPr>
              <w:t>Odbijanje</w:t>
            </w:r>
            <w:r w:rsidR="001B4CA2">
              <w:rPr>
                <w:rFonts w:asciiTheme="minorHAnsi" w:eastAsia="Times New Roman" w:hAnsiTheme="minorHAnsi" w:cstheme="minorHAnsi"/>
                <w:b/>
                <w:color w:val="000000" w:themeColor="text1"/>
                <w:sz w:val="18"/>
                <w:szCs w:val="18"/>
                <w:lang w:eastAsia="hr-HR"/>
              </w:rPr>
              <w:t xml:space="preserve"> </w:t>
            </w:r>
            <w:r w:rsidRPr="001B4CA2">
              <w:rPr>
                <w:rFonts w:asciiTheme="minorHAnsi" w:eastAsia="Times New Roman" w:hAnsiTheme="minorHAnsi" w:cstheme="minorHAnsi"/>
                <w:b/>
                <w:color w:val="000000" w:themeColor="text1"/>
                <w:sz w:val="18"/>
                <w:szCs w:val="18"/>
                <w:lang w:eastAsia="hr-HR"/>
              </w:rPr>
              <w:t>inicijative</w:t>
            </w:r>
          </w:p>
        </w:tc>
        <w:tc>
          <w:tcPr>
            <w:tcW w:w="706" w:type="dxa"/>
            <w:shd w:val="clear" w:color="auto" w:fill="99CCFF"/>
            <w:textDirection w:val="btLr"/>
            <w:vAlign w:val="center"/>
            <w:hideMark/>
          </w:tcPr>
          <w:p w14:paraId="73BF6763" w14:textId="77777777"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 xml:space="preserve">Tužba </w:t>
            </w:r>
          </w:p>
        </w:tc>
        <w:tc>
          <w:tcPr>
            <w:tcW w:w="791" w:type="dxa"/>
            <w:shd w:val="clear" w:color="auto" w:fill="99CCFF"/>
            <w:textDirection w:val="btLr"/>
            <w:vAlign w:val="center"/>
            <w:hideMark/>
          </w:tcPr>
          <w:p w14:paraId="10EE30B0" w14:textId="77777777"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Odgovor na tužbu</w:t>
            </w:r>
          </w:p>
        </w:tc>
        <w:tc>
          <w:tcPr>
            <w:tcW w:w="789" w:type="dxa"/>
            <w:shd w:val="clear" w:color="auto" w:fill="99CCFF"/>
            <w:textDirection w:val="btLr"/>
            <w:vAlign w:val="center"/>
            <w:hideMark/>
          </w:tcPr>
          <w:p w14:paraId="1CCE7CD2" w14:textId="46B3E683"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Ostale</w:t>
            </w:r>
            <w:r w:rsidR="001B4CA2">
              <w:rPr>
                <w:rFonts w:asciiTheme="minorHAnsi" w:eastAsia="Times New Roman" w:hAnsiTheme="minorHAnsi" w:cstheme="minorHAnsi"/>
                <w:b/>
                <w:color w:val="000000"/>
                <w:sz w:val="18"/>
                <w:szCs w:val="18"/>
                <w:lang w:eastAsia="hr-HR"/>
              </w:rPr>
              <w:t xml:space="preserve"> </w:t>
            </w:r>
            <w:r w:rsidRPr="001B4CA2">
              <w:rPr>
                <w:rFonts w:asciiTheme="minorHAnsi" w:eastAsia="Times New Roman" w:hAnsiTheme="minorHAnsi" w:cstheme="minorHAnsi"/>
                <w:b/>
                <w:color w:val="000000"/>
                <w:sz w:val="18"/>
                <w:szCs w:val="18"/>
                <w:lang w:eastAsia="hr-HR"/>
              </w:rPr>
              <w:t xml:space="preserve">odluke </w:t>
            </w:r>
          </w:p>
        </w:tc>
        <w:tc>
          <w:tcPr>
            <w:tcW w:w="770" w:type="dxa"/>
            <w:vMerge/>
            <w:vAlign w:val="center"/>
            <w:hideMark/>
          </w:tcPr>
          <w:p w14:paraId="38975690" w14:textId="77777777" w:rsidR="00671B63" w:rsidRPr="001B4CA2" w:rsidRDefault="00671B63" w:rsidP="00671B63">
            <w:pPr>
              <w:jc w:val="left"/>
              <w:rPr>
                <w:rFonts w:asciiTheme="minorHAnsi" w:eastAsia="Times New Roman" w:hAnsiTheme="minorHAnsi" w:cstheme="minorHAnsi"/>
                <w:bCs/>
                <w:color w:val="000000"/>
                <w:sz w:val="18"/>
                <w:szCs w:val="18"/>
                <w:lang w:eastAsia="hr-HR"/>
              </w:rPr>
            </w:pPr>
          </w:p>
        </w:tc>
        <w:tc>
          <w:tcPr>
            <w:tcW w:w="777" w:type="dxa"/>
            <w:vMerge/>
            <w:vAlign w:val="center"/>
            <w:hideMark/>
          </w:tcPr>
          <w:p w14:paraId="20E096B9" w14:textId="77777777" w:rsidR="00671B63" w:rsidRPr="001B4CA2" w:rsidRDefault="00671B63" w:rsidP="00671B63">
            <w:pPr>
              <w:jc w:val="left"/>
              <w:rPr>
                <w:rFonts w:asciiTheme="minorHAnsi" w:eastAsia="Times New Roman" w:hAnsiTheme="minorHAnsi" w:cstheme="minorHAnsi"/>
                <w:bCs/>
                <w:color w:val="000000"/>
                <w:sz w:val="18"/>
                <w:szCs w:val="18"/>
                <w:lang w:eastAsia="hr-HR"/>
              </w:rPr>
            </w:pPr>
          </w:p>
        </w:tc>
        <w:tc>
          <w:tcPr>
            <w:tcW w:w="762" w:type="dxa"/>
            <w:vMerge/>
            <w:vAlign w:val="center"/>
            <w:hideMark/>
          </w:tcPr>
          <w:p w14:paraId="63030AD3" w14:textId="77777777" w:rsidR="00671B63" w:rsidRPr="001B4CA2" w:rsidRDefault="00671B63" w:rsidP="00671B63">
            <w:pPr>
              <w:jc w:val="left"/>
              <w:rPr>
                <w:rFonts w:asciiTheme="minorHAnsi" w:eastAsia="Times New Roman" w:hAnsiTheme="minorHAnsi" w:cstheme="minorHAnsi"/>
                <w:bCs/>
                <w:color w:val="000000"/>
                <w:sz w:val="18"/>
                <w:szCs w:val="18"/>
                <w:lang w:eastAsia="hr-HR"/>
              </w:rPr>
            </w:pPr>
          </w:p>
        </w:tc>
        <w:tc>
          <w:tcPr>
            <w:tcW w:w="854" w:type="dxa"/>
            <w:vMerge/>
            <w:vAlign w:val="center"/>
            <w:hideMark/>
          </w:tcPr>
          <w:p w14:paraId="06C335C5" w14:textId="77777777" w:rsidR="00671B63" w:rsidRPr="001B4CA2" w:rsidRDefault="00671B63" w:rsidP="00671B63">
            <w:pPr>
              <w:jc w:val="left"/>
              <w:rPr>
                <w:rFonts w:asciiTheme="minorHAnsi" w:eastAsia="Times New Roman" w:hAnsiTheme="minorHAnsi" w:cstheme="minorHAnsi"/>
                <w:bCs/>
                <w:color w:val="000000"/>
                <w:sz w:val="18"/>
                <w:szCs w:val="18"/>
                <w:lang w:eastAsia="hr-HR"/>
              </w:rPr>
            </w:pPr>
          </w:p>
        </w:tc>
      </w:tr>
      <w:tr w:rsidR="00671B63" w:rsidRPr="001B4CA2" w14:paraId="2CE05F9F" w14:textId="77777777" w:rsidTr="005D30E9">
        <w:trPr>
          <w:trHeight w:val="397"/>
          <w:jc w:val="center"/>
        </w:trPr>
        <w:tc>
          <w:tcPr>
            <w:tcW w:w="920" w:type="dxa"/>
            <w:shd w:val="clear" w:color="auto" w:fill="auto"/>
            <w:noWrap/>
            <w:vAlign w:val="center"/>
            <w:hideMark/>
          </w:tcPr>
          <w:p w14:paraId="35B3F001"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2018.</w:t>
            </w:r>
          </w:p>
        </w:tc>
        <w:tc>
          <w:tcPr>
            <w:tcW w:w="893" w:type="dxa"/>
            <w:shd w:val="clear" w:color="auto" w:fill="auto"/>
            <w:noWrap/>
            <w:vAlign w:val="center"/>
          </w:tcPr>
          <w:p w14:paraId="530B39DE"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32</w:t>
            </w:r>
          </w:p>
        </w:tc>
        <w:tc>
          <w:tcPr>
            <w:tcW w:w="840" w:type="dxa"/>
            <w:shd w:val="clear" w:color="auto" w:fill="auto"/>
            <w:noWrap/>
            <w:vAlign w:val="center"/>
          </w:tcPr>
          <w:p w14:paraId="70B7DBE0"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742</w:t>
            </w:r>
          </w:p>
        </w:tc>
        <w:tc>
          <w:tcPr>
            <w:tcW w:w="811" w:type="dxa"/>
            <w:shd w:val="clear" w:color="auto" w:fill="auto"/>
            <w:noWrap/>
            <w:vAlign w:val="center"/>
          </w:tcPr>
          <w:p w14:paraId="587B2599"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8</w:t>
            </w:r>
          </w:p>
        </w:tc>
        <w:tc>
          <w:tcPr>
            <w:tcW w:w="706" w:type="dxa"/>
            <w:shd w:val="clear" w:color="auto" w:fill="auto"/>
            <w:noWrap/>
            <w:vAlign w:val="center"/>
          </w:tcPr>
          <w:p w14:paraId="075E36ED"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282</w:t>
            </w:r>
          </w:p>
        </w:tc>
        <w:tc>
          <w:tcPr>
            <w:tcW w:w="791" w:type="dxa"/>
            <w:shd w:val="clear" w:color="auto" w:fill="auto"/>
            <w:noWrap/>
            <w:vAlign w:val="center"/>
          </w:tcPr>
          <w:p w14:paraId="446DDB7E"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216</w:t>
            </w:r>
          </w:p>
        </w:tc>
        <w:tc>
          <w:tcPr>
            <w:tcW w:w="789" w:type="dxa"/>
            <w:shd w:val="clear" w:color="auto" w:fill="auto"/>
            <w:noWrap/>
            <w:vAlign w:val="center"/>
          </w:tcPr>
          <w:p w14:paraId="458A4FDC"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254</w:t>
            </w:r>
          </w:p>
        </w:tc>
        <w:tc>
          <w:tcPr>
            <w:tcW w:w="770" w:type="dxa"/>
            <w:shd w:val="clear" w:color="auto" w:fill="auto"/>
            <w:noWrap/>
            <w:vAlign w:val="center"/>
          </w:tcPr>
          <w:p w14:paraId="662671A7"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1.528</w:t>
            </w:r>
          </w:p>
        </w:tc>
        <w:tc>
          <w:tcPr>
            <w:tcW w:w="777" w:type="dxa"/>
            <w:shd w:val="clear" w:color="auto" w:fill="auto"/>
            <w:noWrap/>
            <w:vAlign w:val="center"/>
          </w:tcPr>
          <w:p w14:paraId="6BE2FF7D"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974</w:t>
            </w:r>
          </w:p>
        </w:tc>
        <w:tc>
          <w:tcPr>
            <w:tcW w:w="762" w:type="dxa"/>
            <w:shd w:val="clear" w:color="auto" w:fill="auto"/>
            <w:noWrap/>
            <w:vAlign w:val="center"/>
          </w:tcPr>
          <w:p w14:paraId="7E7046DB"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90</w:t>
            </w:r>
          </w:p>
        </w:tc>
        <w:tc>
          <w:tcPr>
            <w:tcW w:w="854" w:type="dxa"/>
            <w:shd w:val="clear" w:color="auto" w:fill="auto"/>
            <w:noWrap/>
            <w:vAlign w:val="center"/>
          </w:tcPr>
          <w:p w14:paraId="345B47DB"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13</w:t>
            </w:r>
          </w:p>
        </w:tc>
      </w:tr>
      <w:tr w:rsidR="00671B63" w:rsidRPr="001B4CA2" w14:paraId="28C6347E" w14:textId="77777777" w:rsidTr="005D30E9">
        <w:trPr>
          <w:trHeight w:val="397"/>
          <w:jc w:val="center"/>
        </w:trPr>
        <w:tc>
          <w:tcPr>
            <w:tcW w:w="920" w:type="dxa"/>
            <w:shd w:val="clear" w:color="auto" w:fill="auto"/>
            <w:noWrap/>
            <w:vAlign w:val="center"/>
          </w:tcPr>
          <w:p w14:paraId="36C1200B"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2019.</w:t>
            </w:r>
          </w:p>
        </w:tc>
        <w:tc>
          <w:tcPr>
            <w:tcW w:w="893" w:type="dxa"/>
            <w:shd w:val="clear" w:color="auto" w:fill="auto"/>
            <w:noWrap/>
            <w:vAlign w:val="center"/>
          </w:tcPr>
          <w:p w14:paraId="29F71233"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38</w:t>
            </w:r>
          </w:p>
        </w:tc>
        <w:tc>
          <w:tcPr>
            <w:tcW w:w="840" w:type="dxa"/>
            <w:shd w:val="clear" w:color="auto" w:fill="auto"/>
            <w:noWrap/>
            <w:vAlign w:val="center"/>
          </w:tcPr>
          <w:p w14:paraId="0681FDF5"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615</w:t>
            </w:r>
          </w:p>
        </w:tc>
        <w:tc>
          <w:tcPr>
            <w:tcW w:w="811" w:type="dxa"/>
            <w:shd w:val="clear" w:color="auto" w:fill="auto"/>
            <w:noWrap/>
            <w:vAlign w:val="center"/>
          </w:tcPr>
          <w:p w14:paraId="43F841CC"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6</w:t>
            </w:r>
          </w:p>
        </w:tc>
        <w:tc>
          <w:tcPr>
            <w:tcW w:w="706" w:type="dxa"/>
            <w:shd w:val="clear" w:color="auto" w:fill="auto"/>
            <w:noWrap/>
            <w:vAlign w:val="center"/>
          </w:tcPr>
          <w:p w14:paraId="260105E1"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253</w:t>
            </w:r>
          </w:p>
        </w:tc>
        <w:tc>
          <w:tcPr>
            <w:tcW w:w="791" w:type="dxa"/>
            <w:shd w:val="clear" w:color="auto" w:fill="auto"/>
            <w:noWrap/>
            <w:vAlign w:val="center"/>
          </w:tcPr>
          <w:p w14:paraId="104B4941"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170</w:t>
            </w:r>
          </w:p>
        </w:tc>
        <w:tc>
          <w:tcPr>
            <w:tcW w:w="789" w:type="dxa"/>
            <w:shd w:val="clear" w:color="auto" w:fill="auto"/>
            <w:noWrap/>
            <w:vAlign w:val="center"/>
          </w:tcPr>
          <w:p w14:paraId="33460527"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169</w:t>
            </w:r>
          </w:p>
        </w:tc>
        <w:tc>
          <w:tcPr>
            <w:tcW w:w="770" w:type="dxa"/>
            <w:shd w:val="clear" w:color="auto" w:fill="auto"/>
            <w:noWrap/>
            <w:vAlign w:val="center"/>
          </w:tcPr>
          <w:p w14:paraId="20406809"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1.417</w:t>
            </w:r>
          </w:p>
        </w:tc>
        <w:tc>
          <w:tcPr>
            <w:tcW w:w="777" w:type="dxa"/>
            <w:shd w:val="clear" w:color="auto" w:fill="auto"/>
            <w:noWrap/>
            <w:vAlign w:val="center"/>
          </w:tcPr>
          <w:p w14:paraId="61E3E3F4"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895</w:t>
            </w:r>
          </w:p>
        </w:tc>
        <w:tc>
          <w:tcPr>
            <w:tcW w:w="762" w:type="dxa"/>
            <w:shd w:val="clear" w:color="auto" w:fill="auto"/>
            <w:noWrap/>
            <w:vAlign w:val="center"/>
          </w:tcPr>
          <w:p w14:paraId="7EACFACD"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108</w:t>
            </w:r>
          </w:p>
        </w:tc>
        <w:tc>
          <w:tcPr>
            <w:tcW w:w="854" w:type="dxa"/>
            <w:shd w:val="clear" w:color="auto" w:fill="auto"/>
            <w:noWrap/>
            <w:vAlign w:val="center"/>
          </w:tcPr>
          <w:p w14:paraId="4D1E91A5"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15</w:t>
            </w:r>
          </w:p>
        </w:tc>
      </w:tr>
      <w:tr w:rsidR="00671B63" w:rsidRPr="001B4CA2" w14:paraId="1F81FE82" w14:textId="77777777" w:rsidTr="005D30E9">
        <w:trPr>
          <w:trHeight w:val="397"/>
          <w:jc w:val="center"/>
        </w:trPr>
        <w:tc>
          <w:tcPr>
            <w:tcW w:w="920" w:type="dxa"/>
            <w:shd w:val="clear" w:color="auto" w:fill="auto"/>
            <w:noWrap/>
            <w:vAlign w:val="center"/>
          </w:tcPr>
          <w:p w14:paraId="56D89F89"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2020.</w:t>
            </w:r>
          </w:p>
        </w:tc>
        <w:tc>
          <w:tcPr>
            <w:tcW w:w="893" w:type="dxa"/>
            <w:shd w:val="clear" w:color="auto" w:fill="auto"/>
            <w:noWrap/>
            <w:vAlign w:val="center"/>
          </w:tcPr>
          <w:p w14:paraId="4F6D3BD6"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72</w:t>
            </w:r>
          </w:p>
        </w:tc>
        <w:tc>
          <w:tcPr>
            <w:tcW w:w="840" w:type="dxa"/>
            <w:shd w:val="clear" w:color="auto" w:fill="auto"/>
            <w:noWrap/>
            <w:vAlign w:val="center"/>
          </w:tcPr>
          <w:p w14:paraId="2C9D5E41"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599</w:t>
            </w:r>
          </w:p>
        </w:tc>
        <w:tc>
          <w:tcPr>
            <w:tcW w:w="811" w:type="dxa"/>
            <w:shd w:val="clear" w:color="auto" w:fill="auto"/>
            <w:noWrap/>
            <w:vAlign w:val="center"/>
          </w:tcPr>
          <w:p w14:paraId="2C35B177" w14:textId="77777777" w:rsidR="00671B63" w:rsidRPr="001B4CA2" w:rsidRDefault="00671B63" w:rsidP="00671B63">
            <w:pPr>
              <w:jc w:val="center"/>
              <w:rPr>
                <w:sz w:val="18"/>
                <w:szCs w:val="18"/>
              </w:rPr>
            </w:pPr>
            <w:r w:rsidRPr="001B4CA2">
              <w:rPr>
                <w:sz w:val="18"/>
                <w:szCs w:val="18"/>
              </w:rPr>
              <w:t>6</w:t>
            </w:r>
          </w:p>
        </w:tc>
        <w:tc>
          <w:tcPr>
            <w:tcW w:w="706" w:type="dxa"/>
            <w:shd w:val="clear" w:color="auto" w:fill="auto"/>
            <w:noWrap/>
            <w:vAlign w:val="center"/>
          </w:tcPr>
          <w:p w14:paraId="22E5F182" w14:textId="77777777" w:rsidR="00671B63" w:rsidRPr="001B4CA2" w:rsidRDefault="00671B63" w:rsidP="00671B63">
            <w:pPr>
              <w:jc w:val="center"/>
              <w:rPr>
                <w:sz w:val="18"/>
                <w:szCs w:val="18"/>
              </w:rPr>
            </w:pPr>
            <w:r w:rsidRPr="001B4CA2">
              <w:rPr>
                <w:sz w:val="18"/>
                <w:szCs w:val="18"/>
              </w:rPr>
              <w:t>261</w:t>
            </w:r>
          </w:p>
        </w:tc>
        <w:tc>
          <w:tcPr>
            <w:tcW w:w="791" w:type="dxa"/>
            <w:shd w:val="clear" w:color="auto" w:fill="auto"/>
            <w:noWrap/>
            <w:vAlign w:val="center"/>
          </w:tcPr>
          <w:p w14:paraId="6A6EC272"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207</w:t>
            </w:r>
          </w:p>
        </w:tc>
        <w:tc>
          <w:tcPr>
            <w:tcW w:w="789" w:type="dxa"/>
            <w:shd w:val="clear" w:color="auto" w:fill="auto"/>
            <w:noWrap/>
            <w:vAlign w:val="center"/>
          </w:tcPr>
          <w:p w14:paraId="36266E6D"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169</w:t>
            </w:r>
          </w:p>
        </w:tc>
        <w:tc>
          <w:tcPr>
            <w:tcW w:w="770" w:type="dxa"/>
            <w:shd w:val="clear" w:color="auto" w:fill="auto"/>
            <w:noWrap/>
            <w:vAlign w:val="center"/>
          </w:tcPr>
          <w:p w14:paraId="7B670B5C"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981</w:t>
            </w:r>
          </w:p>
        </w:tc>
        <w:tc>
          <w:tcPr>
            <w:tcW w:w="777" w:type="dxa"/>
            <w:shd w:val="clear" w:color="auto" w:fill="auto"/>
            <w:noWrap/>
            <w:vAlign w:val="center"/>
          </w:tcPr>
          <w:p w14:paraId="3B2BB85E"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673</w:t>
            </w:r>
          </w:p>
        </w:tc>
        <w:tc>
          <w:tcPr>
            <w:tcW w:w="762" w:type="dxa"/>
            <w:shd w:val="clear" w:color="auto" w:fill="auto"/>
            <w:noWrap/>
            <w:vAlign w:val="center"/>
          </w:tcPr>
          <w:p w14:paraId="174CB003"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277</w:t>
            </w:r>
          </w:p>
        </w:tc>
        <w:tc>
          <w:tcPr>
            <w:tcW w:w="854" w:type="dxa"/>
            <w:shd w:val="clear" w:color="auto" w:fill="auto"/>
            <w:noWrap/>
            <w:vAlign w:val="center"/>
          </w:tcPr>
          <w:p w14:paraId="74092FF7"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58</w:t>
            </w:r>
          </w:p>
        </w:tc>
      </w:tr>
      <w:tr w:rsidR="00671B63" w:rsidRPr="001B4CA2" w14:paraId="5A75CD30" w14:textId="77777777" w:rsidTr="005D30E9">
        <w:trPr>
          <w:trHeight w:val="397"/>
          <w:jc w:val="center"/>
        </w:trPr>
        <w:tc>
          <w:tcPr>
            <w:tcW w:w="920" w:type="dxa"/>
            <w:shd w:val="clear" w:color="auto" w:fill="auto"/>
            <w:noWrap/>
            <w:vAlign w:val="center"/>
          </w:tcPr>
          <w:p w14:paraId="590D8ABB"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2021.</w:t>
            </w:r>
          </w:p>
        </w:tc>
        <w:tc>
          <w:tcPr>
            <w:tcW w:w="893" w:type="dxa"/>
            <w:shd w:val="clear" w:color="auto" w:fill="auto"/>
            <w:noWrap/>
            <w:vAlign w:val="center"/>
          </w:tcPr>
          <w:p w14:paraId="7790090A"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w:t>
            </w:r>
          </w:p>
        </w:tc>
        <w:tc>
          <w:tcPr>
            <w:tcW w:w="840" w:type="dxa"/>
            <w:shd w:val="clear" w:color="auto" w:fill="auto"/>
            <w:noWrap/>
            <w:vAlign w:val="center"/>
          </w:tcPr>
          <w:p w14:paraId="6BB7AE0E"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502</w:t>
            </w:r>
          </w:p>
        </w:tc>
        <w:tc>
          <w:tcPr>
            <w:tcW w:w="811" w:type="dxa"/>
            <w:shd w:val="clear" w:color="auto" w:fill="auto"/>
            <w:noWrap/>
            <w:vAlign w:val="center"/>
          </w:tcPr>
          <w:p w14:paraId="009D3ECF" w14:textId="77777777" w:rsidR="00671B63" w:rsidRPr="001B4CA2" w:rsidRDefault="00671B63" w:rsidP="00671B63">
            <w:pPr>
              <w:jc w:val="center"/>
              <w:rPr>
                <w:sz w:val="18"/>
                <w:szCs w:val="18"/>
              </w:rPr>
            </w:pPr>
            <w:r w:rsidRPr="001B4CA2">
              <w:rPr>
                <w:sz w:val="18"/>
                <w:szCs w:val="18"/>
              </w:rPr>
              <w:t>6</w:t>
            </w:r>
          </w:p>
        </w:tc>
        <w:tc>
          <w:tcPr>
            <w:tcW w:w="706" w:type="dxa"/>
            <w:shd w:val="clear" w:color="auto" w:fill="auto"/>
            <w:noWrap/>
            <w:vAlign w:val="center"/>
          </w:tcPr>
          <w:p w14:paraId="2B7F3815" w14:textId="77777777" w:rsidR="00671B63" w:rsidRPr="001B4CA2" w:rsidRDefault="00671B63" w:rsidP="00671B63">
            <w:pPr>
              <w:jc w:val="center"/>
              <w:rPr>
                <w:sz w:val="18"/>
                <w:szCs w:val="18"/>
              </w:rPr>
            </w:pPr>
            <w:r w:rsidRPr="001B4CA2">
              <w:rPr>
                <w:sz w:val="18"/>
                <w:szCs w:val="18"/>
              </w:rPr>
              <w:t>181</w:t>
            </w:r>
          </w:p>
        </w:tc>
        <w:tc>
          <w:tcPr>
            <w:tcW w:w="791" w:type="dxa"/>
            <w:shd w:val="clear" w:color="auto" w:fill="auto"/>
            <w:noWrap/>
            <w:vAlign w:val="center"/>
          </w:tcPr>
          <w:p w14:paraId="4A974FE7"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168</w:t>
            </w:r>
          </w:p>
        </w:tc>
        <w:tc>
          <w:tcPr>
            <w:tcW w:w="789" w:type="dxa"/>
            <w:shd w:val="clear" w:color="auto" w:fill="auto"/>
            <w:noWrap/>
            <w:vAlign w:val="center"/>
          </w:tcPr>
          <w:p w14:paraId="29E120D5"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137</w:t>
            </w:r>
          </w:p>
        </w:tc>
        <w:tc>
          <w:tcPr>
            <w:tcW w:w="770" w:type="dxa"/>
            <w:shd w:val="clear" w:color="auto" w:fill="auto"/>
            <w:noWrap/>
            <w:vAlign w:val="center"/>
          </w:tcPr>
          <w:p w14:paraId="3CB54752"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1152</w:t>
            </w:r>
          </w:p>
        </w:tc>
        <w:tc>
          <w:tcPr>
            <w:tcW w:w="777" w:type="dxa"/>
            <w:shd w:val="clear" w:color="auto" w:fill="auto"/>
            <w:noWrap/>
            <w:vAlign w:val="center"/>
          </w:tcPr>
          <w:p w14:paraId="117DFA9F"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922</w:t>
            </w:r>
          </w:p>
        </w:tc>
        <w:tc>
          <w:tcPr>
            <w:tcW w:w="762" w:type="dxa"/>
            <w:shd w:val="clear" w:color="auto" w:fill="auto"/>
            <w:noWrap/>
            <w:vAlign w:val="center"/>
          </w:tcPr>
          <w:p w14:paraId="29045378"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184</w:t>
            </w:r>
          </w:p>
        </w:tc>
        <w:tc>
          <w:tcPr>
            <w:tcW w:w="854" w:type="dxa"/>
            <w:shd w:val="clear" w:color="auto" w:fill="auto"/>
            <w:noWrap/>
            <w:vAlign w:val="center"/>
          </w:tcPr>
          <w:p w14:paraId="2602F4CB"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34</w:t>
            </w:r>
          </w:p>
        </w:tc>
      </w:tr>
      <w:tr w:rsidR="00671B63" w:rsidRPr="001B4CA2" w14:paraId="12B169B5" w14:textId="77777777" w:rsidTr="005D30E9">
        <w:trPr>
          <w:trHeight w:val="397"/>
          <w:jc w:val="center"/>
        </w:trPr>
        <w:tc>
          <w:tcPr>
            <w:tcW w:w="920" w:type="dxa"/>
            <w:shd w:val="clear" w:color="auto" w:fill="auto"/>
            <w:noWrap/>
            <w:vAlign w:val="center"/>
          </w:tcPr>
          <w:p w14:paraId="744D822D"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2022.</w:t>
            </w:r>
          </w:p>
        </w:tc>
        <w:tc>
          <w:tcPr>
            <w:tcW w:w="893" w:type="dxa"/>
            <w:shd w:val="clear" w:color="auto" w:fill="auto"/>
            <w:noWrap/>
            <w:vAlign w:val="center"/>
          </w:tcPr>
          <w:p w14:paraId="5C87ED16"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23</w:t>
            </w:r>
          </w:p>
        </w:tc>
        <w:tc>
          <w:tcPr>
            <w:tcW w:w="840" w:type="dxa"/>
            <w:shd w:val="clear" w:color="auto" w:fill="auto"/>
            <w:noWrap/>
            <w:vAlign w:val="center"/>
          </w:tcPr>
          <w:p w14:paraId="659F3ED4"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559</w:t>
            </w:r>
          </w:p>
        </w:tc>
        <w:tc>
          <w:tcPr>
            <w:tcW w:w="811" w:type="dxa"/>
            <w:shd w:val="clear" w:color="auto" w:fill="auto"/>
            <w:noWrap/>
            <w:vAlign w:val="center"/>
          </w:tcPr>
          <w:p w14:paraId="293A430D" w14:textId="77777777" w:rsidR="00671B63" w:rsidRPr="001B4CA2" w:rsidRDefault="00671B63" w:rsidP="00671B63">
            <w:pPr>
              <w:jc w:val="center"/>
              <w:rPr>
                <w:sz w:val="18"/>
                <w:szCs w:val="18"/>
              </w:rPr>
            </w:pPr>
            <w:r w:rsidRPr="001B4CA2">
              <w:rPr>
                <w:sz w:val="18"/>
                <w:szCs w:val="18"/>
              </w:rPr>
              <w:t>3</w:t>
            </w:r>
          </w:p>
        </w:tc>
        <w:tc>
          <w:tcPr>
            <w:tcW w:w="706" w:type="dxa"/>
            <w:shd w:val="clear" w:color="auto" w:fill="auto"/>
            <w:noWrap/>
            <w:vAlign w:val="center"/>
          </w:tcPr>
          <w:p w14:paraId="3B2B231D" w14:textId="77777777" w:rsidR="00671B63" w:rsidRPr="001B4CA2" w:rsidRDefault="00671B63" w:rsidP="00671B63">
            <w:pPr>
              <w:jc w:val="center"/>
              <w:rPr>
                <w:sz w:val="18"/>
                <w:szCs w:val="18"/>
              </w:rPr>
            </w:pPr>
            <w:r w:rsidRPr="001B4CA2">
              <w:rPr>
                <w:sz w:val="18"/>
                <w:szCs w:val="18"/>
              </w:rPr>
              <w:t>224</w:t>
            </w:r>
          </w:p>
        </w:tc>
        <w:tc>
          <w:tcPr>
            <w:tcW w:w="791" w:type="dxa"/>
            <w:shd w:val="clear" w:color="auto" w:fill="auto"/>
            <w:noWrap/>
            <w:vAlign w:val="center"/>
          </w:tcPr>
          <w:p w14:paraId="00EEDDC4"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155</w:t>
            </w:r>
          </w:p>
        </w:tc>
        <w:tc>
          <w:tcPr>
            <w:tcW w:w="789" w:type="dxa"/>
            <w:shd w:val="clear" w:color="auto" w:fill="auto"/>
            <w:noWrap/>
            <w:vAlign w:val="center"/>
          </w:tcPr>
          <w:p w14:paraId="66BE4D97"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195</w:t>
            </w:r>
          </w:p>
        </w:tc>
        <w:tc>
          <w:tcPr>
            <w:tcW w:w="770" w:type="dxa"/>
            <w:shd w:val="clear" w:color="auto" w:fill="auto"/>
            <w:noWrap/>
            <w:vAlign w:val="center"/>
          </w:tcPr>
          <w:p w14:paraId="2DB38C33"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967</w:t>
            </w:r>
          </w:p>
        </w:tc>
        <w:tc>
          <w:tcPr>
            <w:tcW w:w="777" w:type="dxa"/>
            <w:shd w:val="clear" w:color="auto" w:fill="auto"/>
            <w:noWrap/>
            <w:vAlign w:val="center"/>
          </w:tcPr>
          <w:p w14:paraId="5C164682"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858</w:t>
            </w:r>
          </w:p>
        </w:tc>
        <w:tc>
          <w:tcPr>
            <w:tcW w:w="762" w:type="dxa"/>
            <w:shd w:val="clear" w:color="auto" w:fill="auto"/>
            <w:noWrap/>
            <w:vAlign w:val="center"/>
          </w:tcPr>
          <w:p w14:paraId="5D9BDC17"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159</w:t>
            </w:r>
          </w:p>
        </w:tc>
        <w:tc>
          <w:tcPr>
            <w:tcW w:w="854" w:type="dxa"/>
            <w:shd w:val="clear" w:color="auto" w:fill="auto"/>
            <w:noWrap/>
            <w:vAlign w:val="center"/>
          </w:tcPr>
          <w:p w14:paraId="3F5749A7"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101</w:t>
            </w:r>
          </w:p>
        </w:tc>
      </w:tr>
    </w:tbl>
    <w:p w14:paraId="607363D2" w14:textId="77777777" w:rsidR="00671B63" w:rsidRPr="001B4CA2" w:rsidRDefault="00671B63" w:rsidP="00671B63">
      <w:pPr>
        <w:tabs>
          <w:tab w:val="left" w:pos="1432"/>
        </w:tabs>
        <w:rPr>
          <w:u w:val="single"/>
        </w:rPr>
      </w:pPr>
    </w:p>
    <w:p w14:paraId="45C9527E" w14:textId="0AA31A01" w:rsidR="00671B63" w:rsidRPr="001B4CA2" w:rsidRDefault="00773E87" w:rsidP="0002334C">
      <w:pPr>
        <w:tabs>
          <w:tab w:val="left" w:pos="0"/>
          <w:tab w:val="left" w:pos="709"/>
        </w:tabs>
      </w:pPr>
      <w:r w:rsidRPr="001B4CA2">
        <w:tab/>
      </w:r>
      <w:r w:rsidR="00671B63" w:rsidRPr="001B4CA2">
        <w:t xml:space="preserve">U 2022. godini primljeno je 559 novih zahtjeva u parničnim postupcima pred </w:t>
      </w:r>
      <w:r w:rsidR="00F062E4" w:rsidRPr="001B4CA2">
        <w:t>trgovačkim</w:t>
      </w:r>
      <w:r w:rsidR="00671B63" w:rsidRPr="001B4CA2">
        <w:t xml:space="preserve"> sudovima. R</w:t>
      </w:r>
      <w:r w:rsidR="005D6447">
        <w:t>iječ je</w:t>
      </w:r>
      <w:r w:rsidR="00671B63" w:rsidRPr="001B4CA2">
        <w:t xml:space="preserve"> o povećanju broja zahtjeva od 11,35 % u odnosu na prethodno razdoblje. </w:t>
      </w:r>
    </w:p>
    <w:p w14:paraId="576E987E" w14:textId="77777777" w:rsidR="00671B63" w:rsidRPr="001B4CA2" w:rsidRDefault="00671B63" w:rsidP="00671B63">
      <w:pPr>
        <w:tabs>
          <w:tab w:val="left" w:pos="1432"/>
        </w:tabs>
      </w:pPr>
    </w:p>
    <w:p w14:paraId="48DD091E" w14:textId="590A026C" w:rsidR="00671B63" w:rsidRPr="001B4CA2" w:rsidRDefault="00773E87" w:rsidP="00773E87">
      <w:pPr>
        <w:tabs>
          <w:tab w:val="left" w:pos="0"/>
        </w:tabs>
      </w:pPr>
      <w:r w:rsidRPr="001B4CA2">
        <w:tab/>
      </w:r>
      <w:r w:rsidR="00671B63" w:rsidRPr="001B4CA2">
        <w:t xml:space="preserve">U parničnim predmetima tijekom razdoblja doneseno je 577 meritornih </w:t>
      </w:r>
      <w:proofErr w:type="spellStart"/>
      <w:r w:rsidR="00671B63" w:rsidRPr="001B4CA2">
        <w:t>državnoodvjetničkih</w:t>
      </w:r>
      <w:proofErr w:type="spellEnd"/>
      <w:r w:rsidR="00671B63" w:rsidRPr="001B4CA2">
        <w:t xml:space="preserve"> odluka, odnosno više od broja primljenih zahtjeva u razdoblju, od čega su podnesene 224 tužbe (23,75 % više nego u prethodnom razdoblju), podneseno je 155 odgovora na tužbu, a u 195 predmeta donesene su odluke o stupanju u parnice u ulozi </w:t>
      </w:r>
      <w:proofErr w:type="spellStart"/>
      <w:r w:rsidR="00671B63" w:rsidRPr="001B4CA2">
        <w:t>umješača</w:t>
      </w:r>
      <w:proofErr w:type="spellEnd"/>
      <w:r w:rsidR="00671B63" w:rsidRPr="001B4CA2">
        <w:t xml:space="preserve">, odluke u ponovnim sudskim postupcima nakon </w:t>
      </w:r>
      <w:proofErr w:type="spellStart"/>
      <w:r w:rsidR="00671B63" w:rsidRPr="001B4CA2">
        <w:t>ukidne</w:t>
      </w:r>
      <w:proofErr w:type="spellEnd"/>
      <w:r w:rsidR="00671B63" w:rsidRPr="001B4CA2">
        <w:t xml:space="preserve"> odluke višeg suda ili u predmetima koji su primljeni nakon odluke suda o promjeni nadležnosti.</w:t>
      </w:r>
    </w:p>
    <w:p w14:paraId="62B39A97" w14:textId="77777777" w:rsidR="00671B63" w:rsidRPr="001B4CA2" w:rsidRDefault="00671B63" w:rsidP="00671B63">
      <w:pPr>
        <w:tabs>
          <w:tab w:val="left" w:pos="1432"/>
        </w:tabs>
      </w:pPr>
    </w:p>
    <w:p w14:paraId="1F3E72C4" w14:textId="6A75F01C" w:rsidR="00671B63" w:rsidRPr="001B4CA2" w:rsidRDefault="00671B63" w:rsidP="00773E87">
      <w:pPr>
        <w:tabs>
          <w:tab w:val="left" w:pos="0"/>
        </w:tabs>
      </w:pPr>
      <w:r w:rsidRPr="001B4CA2">
        <w:tab/>
        <w:t xml:space="preserve">Državno je </w:t>
      </w:r>
      <w:r w:rsidR="005D6447" w:rsidRPr="001B4CA2">
        <w:t xml:space="preserve">odvjetništvo </w:t>
      </w:r>
      <w:r w:rsidRPr="001B4CA2">
        <w:t>tijekom 2022. godine zastupalo na 967 rasprava u parničnim predmetima pred trgovačkim sudovima. Izjavljeno je 159 redovnih i 101 izvanredni pravni lijek.</w:t>
      </w:r>
      <w:r w:rsidR="001B4CA2">
        <w:t xml:space="preserve"> </w:t>
      </w:r>
      <w:r w:rsidRPr="001B4CA2">
        <w:t>Broj izjavljenih redovnih pravnih lijekova manji je u odnosu na prethodno izvještajno razdoblje za 13,58 %. Rezultat je to uspješnog zastupanja u postupcima pred prvostupanjskim sudom zbog čega je u određenom broju predmeta izostala potreba za izjavljivanje žalbe. Broj izvanrednih pravnih lijekova u odnosu na prethodno razdoblje</w:t>
      </w:r>
      <w:r w:rsidR="001B4CA2">
        <w:t xml:space="preserve"> </w:t>
      </w:r>
      <w:r w:rsidRPr="001B4CA2">
        <w:t xml:space="preserve">povećan je pak za 197 %. Radi se o predmetima u kojima je Vrhovni sud Republike Hrvatske dopustio revizije po prijedlozima državnog odvjetništva radi odgovora na pravna pitanja o kojima </w:t>
      </w:r>
      <w:r w:rsidR="0002334C" w:rsidRPr="001B4CA2">
        <w:t>praksa</w:t>
      </w:r>
      <w:r w:rsidRPr="001B4CA2">
        <w:t xml:space="preserve"> drugostupanjskih sudova nije jedinstvena, a pitanja su značajna za odluke u konkretnim sporovima. </w:t>
      </w:r>
    </w:p>
    <w:p w14:paraId="39C58FDC" w14:textId="77777777" w:rsidR="00671B63" w:rsidRPr="001B4CA2" w:rsidRDefault="00671B63" w:rsidP="00671B63">
      <w:pPr>
        <w:tabs>
          <w:tab w:val="left" w:pos="1432"/>
        </w:tabs>
      </w:pPr>
    </w:p>
    <w:p w14:paraId="6B2CCFC6" w14:textId="253207E3" w:rsidR="00671B63" w:rsidRPr="001B4CA2" w:rsidRDefault="00671B63" w:rsidP="00773E87">
      <w:pPr>
        <w:tabs>
          <w:tab w:val="left" w:pos="0"/>
        </w:tabs>
      </w:pPr>
      <w:r w:rsidRPr="001B4CA2">
        <w:tab/>
        <w:t xml:space="preserve">Povećanje broja primljenih zahtjeva ogleda se u činjenici povećanja broja </w:t>
      </w:r>
      <w:proofErr w:type="spellStart"/>
      <w:r w:rsidRPr="001B4CA2">
        <w:t>stvarnopravnih</w:t>
      </w:r>
      <w:proofErr w:type="spellEnd"/>
      <w:r w:rsidRPr="001B4CA2">
        <w:t xml:space="preserve"> zahtjeva, novih parnica koje proizlaze iz prethodno vođenih </w:t>
      </w:r>
      <w:r w:rsidRPr="001B4CA2">
        <w:lastRenderedPageBreak/>
        <w:t>zemljišnoknjižnih postupaka u kojima protiv odluke suda nije dopušten pravni lijek, već je radi ispravka upisa moguće jedino pokretanje parničnog postupka pred redovnim sudom (pojedinačni ispravni postupci, postupci obnove zemljišne knjige i postupci povezivanja zemljišne knjige i knjige položenih ugovora). U većoj mjeri radi se o parnicama između države i jedinica lokalne samouprave (općine i gradovi) u kojima je prepoznata potreba da se postupci, kada je god to moguće, rješavaju u postupku mirenja pred nadležnim sudom</w:t>
      </w:r>
      <w:r w:rsidR="005D6447">
        <w:t>, a</w:t>
      </w:r>
      <w:r w:rsidRPr="001B4CA2">
        <w:t xml:space="preserve"> u cilju izbjegavanja dugotrajnosti postupaka i smanjenja troškova postupaka. </w:t>
      </w:r>
    </w:p>
    <w:p w14:paraId="312BCB81" w14:textId="77777777" w:rsidR="00671B63" w:rsidRPr="001B4CA2" w:rsidRDefault="00671B63" w:rsidP="00671B63">
      <w:pPr>
        <w:tabs>
          <w:tab w:val="left" w:pos="1432"/>
        </w:tabs>
      </w:pPr>
    </w:p>
    <w:p w14:paraId="782ACEFB" w14:textId="67935D78" w:rsidR="00671B63" w:rsidRPr="001B4CA2" w:rsidRDefault="0002334C" w:rsidP="0002334C">
      <w:pPr>
        <w:tabs>
          <w:tab w:val="left" w:pos="851"/>
        </w:tabs>
      </w:pPr>
      <w:r w:rsidRPr="001B4CA2">
        <w:tab/>
      </w:r>
      <w:r w:rsidR="00671B63" w:rsidRPr="001B4CA2">
        <w:t xml:space="preserve">U izvještajnom razdoblju došlo je i do povećanja broja </w:t>
      </w:r>
      <w:proofErr w:type="spellStart"/>
      <w:r w:rsidR="00671B63" w:rsidRPr="001B4CA2">
        <w:t>obveznopravnih</w:t>
      </w:r>
      <w:proofErr w:type="spellEnd"/>
      <w:r w:rsidR="00671B63" w:rsidRPr="001B4CA2">
        <w:t xml:space="preserve"> zahtjeva. </w:t>
      </w:r>
    </w:p>
    <w:p w14:paraId="1D535917" w14:textId="5F10B4C1" w:rsidR="00671B63" w:rsidRPr="001B4CA2" w:rsidRDefault="00671B63" w:rsidP="0002334C">
      <w:pPr>
        <w:tabs>
          <w:tab w:val="left" w:pos="851"/>
        </w:tabs>
      </w:pPr>
      <w:r w:rsidRPr="001B4CA2">
        <w:tab/>
        <w:t>Kada se analiziraju po</w:t>
      </w:r>
      <w:r w:rsidR="00FD08E9">
        <w:t>datci</w:t>
      </w:r>
      <w:r w:rsidRPr="001B4CA2">
        <w:t xml:space="preserve"> prema stranačkoj ulozi u postupku</w:t>
      </w:r>
      <w:r w:rsidR="005D6447">
        <w:t>,</w:t>
      </w:r>
      <w:r w:rsidRPr="001B4CA2">
        <w:t xml:space="preserve"> može se ista</w:t>
      </w:r>
      <w:r w:rsidR="005D6447">
        <w:t>knut</w:t>
      </w:r>
      <w:r w:rsidRPr="001B4CA2">
        <w:t xml:space="preserve">i da je i kod </w:t>
      </w:r>
      <w:proofErr w:type="spellStart"/>
      <w:r w:rsidRPr="001B4CA2">
        <w:t>stvarnopravnih</w:t>
      </w:r>
      <w:proofErr w:type="spellEnd"/>
      <w:r w:rsidRPr="001B4CA2">
        <w:t xml:space="preserve"> i </w:t>
      </w:r>
      <w:proofErr w:type="spellStart"/>
      <w:r w:rsidRPr="001B4CA2">
        <w:t>obveznopravnih</w:t>
      </w:r>
      <w:proofErr w:type="spellEnd"/>
      <w:r w:rsidRPr="001B4CA2">
        <w:t xml:space="preserve"> zahtjeva došlo do povećanja broja predmeta u kojima država ostvaruje ove zahtjeve kao aktivna strana, tužitelj u sudskom postupku.</w:t>
      </w:r>
    </w:p>
    <w:p w14:paraId="218D7C08" w14:textId="77777777" w:rsidR="00671B63" w:rsidRPr="001B4CA2" w:rsidRDefault="00671B63" w:rsidP="00671B63">
      <w:pPr>
        <w:rPr>
          <w:sz w:val="20"/>
          <w:szCs w:val="20"/>
        </w:rPr>
      </w:pPr>
    </w:p>
    <w:p w14:paraId="4BDC0CFB" w14:textId="77777777" w:rsidR="00671B63" w:rsidRPr="001B4CA2" w:rsidRDefault="00671B63" w:rsidP="00671B63">
      <w:pPr>
        <w:rPr>
          <w:sz w:val="20"/>
          <w:szCs w:val="20"/>
        </w:rPr>
      </w:pPr>
    </w:p>
    <w:p w14:paraId="743B0D00" w14:textId="359A8201" w:rsidR="00671B63" w:rsidRPr="001B4CA2" w:rsidRDefault="00671B63" w:rsidP="00671B63">
      <w:pPr>
        <w:jc w:val="left"/>
        <w:rPr>
          <w:i/>
          <w:color w:val="FF0000"/>
          <w:szCs w:val="22"/>
        </w:rPr>
      </w:pPr>
      <w:r w:rsidRPr="001B4CA2">
        <w:rPr>
          <w:rFonts w:asciiTheme="minorHAnsi" w:hAnsiTheme="minorHAnsi" w:cstheme="minorBidi"/>
          <w:i/>
          <w:szCs w:val="22"/>
        </w:rPr>
        <w:t>b) Broj</w:t>
      </w:r>
      <w:r w:rsidR="001B4CA2">
        <w:rPr>
          <w:rFonts w:asciiTheme="minorHAnsi" w:hAnsiTheme="minorHAnsi" w:cstheme="minorBidi"/>
          <w:i/>
          <w:szCs w:val="22"/>
        </w:rPr>
        <w:t xml:space="preserve"> </w:t>
      </w:r>
      <w:r w:rsidRPr="001B4CA2">
        <w:rPr>
          <w:rFonts w:asciiTheme="minorHAnsi" w:hAnsiTheme="minorHAnsi" w:cstheme="minorBidi"/>
          <w:i/>
          <w:szCs w:val="22"/>
        </w:rPr>
        <w:t>tužbenih zahtjeva u parničnim predmetima po procesnom položaju tužitelj/tuženik/</w:t>
      </w:r>
      <w:proofErr w:type="spellStart"/>
      <w:r w:rsidRPr="001B4CA2">
        <w:rPr>
          <w:rFonts w:asciiTheme="minorHAnsi" w:hAnsiTheme="minorHAnsi" w:cstheme="minorBidi"/>
          <w:i/>
          <w:szCs w:val="22"/>
        </w:rPr>
        <w:t>umješač</w:t>
      </w:r>
      <w:proofErr w:type="spellEnd"/>
      <w:r w:rsidRPr="001B4CA2">
        <w:rPr>
          <w:rFonts w:asciiTheme="minorHAnsi" w:hAnsiTheme="minorHAnsi" w:cstheme="minorBidi"/>
          <w:i/>
          <w:szCs w:val="22"/>
        </w:rPr>
        <w:t xml:space="preserve"> 2018. </w:t>
      </w:r>
      <w:r w:rsidR="005D6447">
        <w:rPr>
          <w:rFonts w:asciiTheme="minorHAnsi" w:hAnsiTheme="minorHAnsi" w:cstheme="minorBidi"/>
          <w:i/>
          <w:szCs w:val="22"/>
        </w:rPr>
        <w:t xml:space="preserve">– </w:t>
      </w:r>
      <w:r w:rsidRPr="001B4CA2">
        <w:rPr>
          <w:rFonts w:asciiTheme="minorHAnsi" w:hAnsiTheme="minorHAnsi" w:cstheme="minorBidi"/>
          <w:i/>
          <w:color w:val="000000" w:themeColor="text1"/>
          <w:szCs w:val="22"/>
        </w:rPr>
        <w:t>2022.</w:t>
      </w:r>
    </w:p>
    <w:tbl>
      <w:tblPr>
        <w:tblW w:w="9338" w:type="dxa"/>
        <w:jc w:val="center"/>
        <w:tblLayout w:type="fixed"/>
        <w:tblLook w:val="04A0" w:firstRow="1" w:lastRow="0" w:firstColumn="1" w:lastColumn="0" w:noHBand="0" w:noVBand="1"/>
      </w:tblPr>
      <w:tblGrid>
        <w:gridCol w:w="709"/>
        <w:gridCol w:w="3184"/>
        <w:gridCol w:w="1459"/>
        <w:gridCol w:w="1411"/>
        <w:gridCol w:w="1411"/>
        <w:gridCol w:w="1164"/>
      </w:tblGrid>
      <w:tr w:rsidR="00671B63" w:rsidRPr="001B4CA2" w14:paraId="05F33971" w14:textId="77777777" w:rsidTr="00671B63">
        <w:trPr>
          <w:trHeight w:val="827"/>
          <w:jc w:val="center"/>
        </w:trPr>
        <w:tc>
          <w:tcPr>
            <w:tcW w:w="3893" w:type="dxa"/>
            <w:gridSpan w:val="2"/>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186EBF80" w14:textId="77777777" w:rsidR="00671B63" w:rsidRPr="001B4CA2" w:rsidRDefault="00671B63" w:rsidP="00671B63">
            <w:pPr>
              <w:jc w:val="center"/>
              <w:rPr>
                <w:rFonts w:eastAsia="Times New Roman"/>
                <w:b/>
                <w:sz w:val="18"/>
                <w:szCs w:val="18"/>
                <w:lang w:eastAsia="hr-HR"/>
              </w:rPr>
            </w:pPr>
            <w:r w:rsidRPr="001B4CA2">
              <w:rPr>
                <w:rFonts w:eastAsia="Times New Roman"/>
                <w:b/>
                <w:sz w:val="18"/>
                <w:szCs w:val="18"/>
                <w:lang w:eastAsia="hr-HR"/>
              </w:rPr>
              <w:t>Zastupanje RH</w:t>
            </w:r>
          </w:p>
        </w:tc>
        <w:tc>
          <w:tcPr>
            <w:tcW w:w="1459" w:type="dxa"/>
            <w:tcBorders>
              <w:top w:val="single" w:sz="4" w:space="0" w:color="auto"/>
              <w:left w:val="nil"/>
              <w:bottom w:val="single" w:sz="4" w:space="0" w:color="auto"/>
              <w:right w:val="single" w:sz="4" w:space="0" w:color="auto"/>
            </w:tcBorders>
            <w:shd w:val="clear" w:color="000000" w:fill="99CCFF"/>
            <w:noWrap/>
            <w:vAlign w:val="center"/>
            <w:hideMark/>
          </w:tcPr>
          <w:p w14:paraId="6BB546C6" w14:textId="77777777" w:rsidR="00671B63" w:rsidRPr="001B4CA2" w:rsidRDefault="00671B63" w:rsidP="00671B63">
            <w:pPr>
              <w:jc w:val="center"/>
              <w:rPr>
                <w:rFonts w:eastAsia="Times New Roman"/>
                <w:b/>
                <w:sz w:val="18"/>
                <w:szCs w:val="18"/>
                <w:lang w:eastAsia="hr-HR"/>
              </w:rPr>
            </w:pPr>
            <w:r w:rsidRPr="001B4CA2">
              <w:rPr>
                <w:rFonts w:eastAsia="Times New Roman"/>
                <w:b/>
                <w:sz w:val="18"/>
                <w:szCs w:val="18"/>
                <w:lang w:eastAsia="hr-HR"/>
              </w:rPr>
              <w:t>Tužitelj</w:t>
            </w:r>
          </w:p>
        </w:tc>
        <w:tc>
          <w:tcPr>
            <w:tcW w:w="1411" w:type="dxa"/>
            <w:tcBorders>
              <w:top w:val="single" w:sz="4" w:space="0" w:color="auto"/>
              <w:left w:val="nil"/>
              <w:bottom w:val="single" w:sz="4" w:space="0" w:color="auto"/>
              <w:right w:val="single" w:sz="4" w:space="0" w:color="auto"/>
            </w:tcBorders>
            <w:shd w:val="clear" w:color="000000" w:fill="99CCFF"/>
            <w:noWrap/>
            <w:vAlign w:val="center"/>
            <w:hideMark/>
          </w:tcPr>
          <w:p w14:paraId="2468F964" w14:textId="77777777" w:rsidR="00671B63" w:rsidRPr="001B4CA2" w:rsidRDefault="00671B63" w:rsidP="00671B63">
            <w:pPr>
              <w:jc w:val="center"/>
              <w:rPr>
                <w:rFonts w:eastAsia="Times New Roman"/>
                <w:b/>
                <w:sz w:val="18"/>
                <w:szCs w:val="18"/>
                <w:lang w:eastAsia="hr-HR"/>
              </w:rPr>
            </w:pPr>
            <w:r w:rsidRPr="001B4CA2">
              <w:rPr>
                <w:rFonts w:eastAsia="Times New Roman"/>
                <w:b/>
                <w:sz w:val="18"/>
                <w:szCs w:val="18"/>
                <w:lang w:eastAsia="hr-HR"/>
              </w:rPr>
              <w:t>Tuženik</w:t>
            </w:r>
          </w:p>
        </w:tc>
        <w:tc>
          <w:tcPr>
            <w:tcW w:w="1411" w:type="dxa"/>
            <w:tcBorders>
              <w:top w:val="single" w:sz="4" w:space="0" w:color="auto"/>
              <w:left w:val="nil"/>
              <w:bottom w:val="single" w:sz="4" w:space="0" w:color="auto"/>
              <w:right w:val="single" w:sz="4" w:space="0" w:color="auto"/>
            </w:tcBorders>
            <w:shd w:val="clear" w:color="000000" w:fill="99CCFF"/>
            <w:vAlign w:val="center"/>
          </w:tcPr>
          <w:p w14:paraId="6A3434B0" w14:textId="77777777" w:rsidR="00671B63" w:rsidRPr="001B4CA2" w:rsidRDefault="00671B63" w:rsidP="00671B63">
            <w:pPr>
              <w:jc w:val="center"/>
              <w:rPr>
                <w:rFonts w:eastAsia="Times New Roman"/>
                <w:b/>
                <w:bCs/>
                <w:sz w:val="18"/>
                <w:szCs w:val="18"/>
                <w:lang w:eastAsia="hr-HR"/>
              </w:rPr>
            </w:pPr>
            <w:proofErr w:type="spellStart"/>
            <w:r w:rsidRPr="001B4CA2">
              <w:rPr>
                <w:rFonts w:eastAsia="Times New Roman"/>
                <w:b/>
                <w:bCs/>
                <w:sz w:val="18"/>
                <w:szCs w:val="18"/>
                <w:lang w:eastAsia="hr-HR"/>
              </w:rPr>
              <w:t>Umješač</w:t>
            </w:r>
            <w:proofErr w:type="spellEnd"/>
          </w:p>
        </w:tc>
        <w:tc>
          <w:tcPr>
            <w:tcW w:w="1164" w:type="dxa"/>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6FD62917"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Ukupno</w:t>
            </w:r>
          </w:p>
        </w:tc>
      </w:tr>
      <w:tr w:rsidR="00671B63" w:rsidRPr="001B4CA2" w14:paraId="39E2B234" w14:textId="77777777" w:rsidTr="00671B63">
        <w:trPr>
          <w:trHeight w:val="371"/>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5EEF4EAF"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2018.</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14:paraId="1DAA76FA"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Broj zahtjeva</w:t>
            </w:r>
          </w:p>
        </w:tc>
        <w:tc>
          <w:tcPr>
            <w:tcW w:w="1459" w:type="dxa"/>
            <w:tcBorders>
              <w:top w:val="nil"/>
              <w:left w:val="nil"/>
              <w:bottom w:val="single" w:sz="4" w:space="0" w:color="auto"/>
              <w:right w:val="single" w:sz="4" w:space="0" w:color="auto"/>
            </w:tcBorders>
            <w:shd w:val="clear" w:color="auto" w:fill="auto"/>
            <w:noWrap/>
            <w:vAlign w:val="center"/>
          </w:tcPr>
          <w:p w14:paraId="2FA321C6"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299</w:t>
            </w:r>
          </w:p>
        </w:tc>
        <w:tc>
          <w:tcPr>
            <w:tcW w:w="1411" w:type="dxa"/>
            <w:tcBorders>
              <w:top w:val="nil"/>
              <w:left w:val="nil"/>
              <w:bottom w:val="single" w:sz="4" w:space="0" w:color="auto"/>
              <w:right w:val="single" w:sz="4" w:space="0" w:color="auto"/>
            </w:tcBorders>
            <w:shd w:val="clear" w:color="auto" w:fill="auto"/>
            <w:noWrap/>
            <w:vAlign w:val="center"/>
          </w:tcPr>
          <w:p w14:paraId="20537150"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443</w:t>
            </w:r>
          </w:p>
        </w:tc>
        <w:tc>
          <w:tcPr>
            <w:tcW w:w="1411" w:type="dxa"/>
            <w:tcBorders>
              <w:top w:val="single" w:sz="4" w:space="0" w:color="auto"/>
              <w:left w:val="nil"/>
              <w:bottom w:val="single" w:sz="4" w:space="0" w:color="auto"/>
              <w:right w:val="single" w:sz="4" w:space="0" w:color="auto"/>
            </w:tcBorders>
            <w:vAlign w:val="center"/>
          </w:tcPr>
          <w:p w14:paraId="3C2ECF5F" w14:textId="77777777" w:rsidR="00671B63" w:rsidRPr="001B4CA2" w:rsidRDefault="00671B63" w:rsidP="00671B63">
            <w:pPr>
              <w:jc w:val="center"/>
              <w:rPr>
                <w:rFonts w:eastAsia="Times New Roman"/>
                <w:b/>
                <w:bCs/>
                <w:sz w:val="18"/>
                <w:szCs w:val="18"/>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64A06"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742</w:t>
            </w:r>
          </w:p>
        </w:tc>
      </w:tr>
      <w:tr w:rsidR="00671B63" w:rsidRPr="001B4CA2" w14:paraId="2CC822A9" w14:textId="77777777" w:rsidTr="00671B63">
        <w:trPr>
          <w:trHeight w:val="371"/>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8DB4FA1" w14:textId="77777777" w:rsidR="00671B63" w:rsidRPr="001B4CA2" w:rsidRDefault="00671B63" w:rsidP="00671B63">
            <w:pPr>
              <w:jc w:val="left"/>
              <w:rPr>
                <w:rFonts w:eastAsia="Times New Roman"/>
                <w:sz w:val="18"/>
                <w:szCs w:val="18"/>
                <w:lang w:eastAsia="hr-HR"/>
              </w:rPr>
            </w:pPr>
          </w:p>
        </w:tc>
        <w:tc>
          <w:tcPr>
            <w:tcW w:w="3184" w:type="dxa"/>
            <w:tcBorders>
              <w:top w:val="single" w:sz="4" w:space="0" w:color="auto"/>
              <w:left w:val="nil"/>
              <w:bottom w:val="single" w:sz="4" w:space="0" w:color="auto"/>
              <w:right w:val="single" w:sz="4" w:space="0" w:color="auto"/>
            </w:tcBorders>
            <w:shd w:val="clear" w:color="auto" w:fill="auto"/>
            <w:vAlign w:val="center"/>
            <w:hideMark/>
          </w:tcPr>
          <w:p w14:paraId="208AAC0E"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w:t>
            </w:r>
          </w:p>
        </w:tc>
        <w:tc>
          <w:tcPr>
            <w:tcW w:w="1459" w:type="dxa"/>
            <w:tcBorders>
              <w:top w:val="nil"/>
              <w:left w:val="nil"/>
              <w:bottom w:val="single" w:sz="4" w:space="0" w:color="auto"/>
              <w:right w:val="single" w:sz="4" w:space="0" w:color="auto"/>
            </w:tcBorders>
            <w:shd w:val="clear" w:color="auto" w:fill="auto"/>
            <w:noWrap/>
            <w:vAlign w:val="center"/>
          </w:tcPr>
          <w:p w14:paraId="02F76364"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40</w:t>
            </w:r>
          </w:p>
        </w:tc>
        <w:tc>
          <w:tcPr>
            <w:tcW w:w="1411" w:type="dxa"/>
            <w:tcBorders>
              <w:top w:val="nil"/>
              <w:left w:val="nil"/>
              <w:bottom w:val="single" w:sz="4" w:space="0" w:color="auto"/>
              <w:right w:val="single" w:sz="4" w:space="0" w:color="auto"/>
            </w:tcBorders>
            <w:shd w:val="clear" w:color="auto" w:fill="auto"/>
            <w:noWrap/>
            <w:vAlign w:val="center"/>
          </w:tcPr>
          <w:p w14:paraId="67AC9FAF"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60</w:t>
            </w:r>
          </w:p>
        </w:tc>
        <w:tc>
          <w:tcPr>
            <w:tcW w:w="1411" w:type="dxa"/>
            <w:tcBorders>
              <w:top w:val="single" w:sz="4" w:space="0" w:color="auto"/>
              <w:left w:val="nil"/>
              <w:bottom w:val="single" w:sz="4" w:space="0" w:color="auto"/>
              <w:right w:val="single" w:sz="4" w:space="0" w:color="auto"/>
            </w:tcBorders>
            <w:vAlign w:val="center"/>
          </w:tcPr>
          <w:p w14:paraId="6476EACB" w14:textId="77777777" w:rsidR="00671B63" w:rsidRPr="001B4CA2" w:rsidRDefault="00671B63" w:rsidP="00671B63">
            <w:pPr>
              <w:jc w:val="center"/>
              <w:rPr>
                <w:rFonts w:eastAsia="Times New Roman"/>
                <w:b/>
                <w:bCs/>
                <w:sz w:val="18"/>
                <w:szCs w:val="18"/>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A6602"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100</w:t>
            </w:r>
          </w:p>
        </w:tc>
      </w:tr>
      <w:tr w:rsidR="00671B63" w:rsidRPr="001B4CA2" w14:paraId="3C75AB8D" w14:textId="77777777" w:rsidTr="00671B63">
        <w:trPr>
          <w:trHeight w:val="371"/>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4E66F42" w14:textId="77777777" w:rsidR="00671B63" w:rsidRPr="001B4CA2" w:rsidRDefault="00671B63" w:rsidP="00671B63">
            <w:pPr>
              <w:jc w:val="left"/>
              <w:rPr>
                <w:rFonts w:eastAsia="Times New Roman"/>
                <w:sz w:val="18"/>
                <w:szCs w:val="18"/>
                <w:lang w:eastAsia="hr-HR"/>
              </w:rPr>
            </w:pPr>
          </w:p>
        </w:tc>
        <w:tc>
          <w:tcPr>
            <w:tcW w:w="3184" w:type="dxa"/>
            <w:tcBorders>
              <w:top w:val="single" w:sz="4" w:space="0" w:color="auto"/>
              <w:left w:val="nil"/>
              <w:bottom w:val="single" w:sz="4" w:space="0" w:color="auto"/>
              <w:right w:val="single" w:sz="4" w:space="0" w:color="auto"/>
            </w:tcBorders>
            <w:shd w:val="clear" w:color="auto" w:fill="auto"/>
            <w:vAlign w:val="center"/>
            <w:hideMark/>
          </w:tcPr>
          <w:p w14:paraId="674703DA"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459" w:type="dxa"/>
            <w:tcBorders>
              <w:top w:val="nil"/>
              <w:left w:val="nil"/>
              <w:bottom w:val="single" w:sz="4" w:space="0" w:color="auto"/>
              <w:right w:val="single" w:sz="4" w:space="0" w:color="auto"/>
            </w:tcBorders>
            <w:shd w:val="clear" w:color="auto" w:fill="auto"/>
            <w:noWrap/>
            <w:vAlign w:val="center"/>
          </w:tcPr>
          <w:p w14:paraId="2A6BA9F9"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122.211</w:t>
            </w:r>
          </w:p>
        </w:tc>
        <w:tc>
          <w:tcPr>
            <w:tcW w:w="1411" w:type="dxa"/>
            <w:tcBorders>
              <w:top w:val="nil"/>
              <w:left w:val="nil"/>
              <w:bottom w:val="single" w:sz="4" w:space="0" w:color="auto"/>
              <w:right w:val="single" w:sz="4" w:space="0" w:color="auto"/>
            </w:tcBorders>
            <w:shd w:val="clear" w:color="auto" w:fill="auto"/>
            <w:noWrap/>
            <w:vAlign w:val="center"/>
          </w:tcPr>
          <w:p w14:paraId="7F647EE2"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658.477</w:t>
            </w:r>
          </w:p>
        </w:tc>
        <w:tc>
          <w:tcPr>
            <w:tcW w:w="1411" w:type="dxa"/>
            <w:tcBorders>
              <w:top w:val="single" w:sz="4" w:space="0" w:color="auto"/>
              <w:left w:val="nil"/>
              <w:bottom w:val="single" w:sz="4" w:space="0" w:color="auto"/>
              <w:right w:val="single" w:sz="4" w:space="0" w:color="auto"/>
            </w:tcBorders>
            <w:vAlign w:val="center"/>
          </w:tcPr>
          <w:p w14:paraId="4D64A49A" w14:textId="77777777" w:rsidR="00671B63" w:rsidRPr="001B4CA2" w:rsidRDefault="00671B63" w:rsidP="00671B63">
            <w:pPr>
              <w:jc w:val="center"/>
              <w:rPr>
                <w:rFonts w:eastAsia="Times New Roman"/>
                <w:b/>
                <w:bCs/>
                <w:sz w:val="18"/>
                <w:szCs w:val="18"/>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B9591"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780.688</w:t>
            </w:r>
          </w:p>
        </w:tc>
      </w:tr>
      <w:tr w:rsidR="00671B63" w:rsidRPr="001B4CA2" w14:paraId="0CC346AB" w14:textId="77777777" w:rsidTr="00671B63">
        <w:trPr>
          <w:trHeight w:val="371"/>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99CCFF"/>
            <w:noWrap/>
            <w:vAlign w:val="center"/>
          </w:tcPr>
          <w:p w14:paraId="09430BD4"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2019.</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14:paraId="6C29820E"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Broj zahtjeva</w:t>
            </w:r>
          </w:p>
        </w:tc>
        <w:tc>
          <w:tcPr>
            <w:tcW w:w="1459" w:type="dxa"/>
            <w:tcBorders>
              <w:top w:val="nil"/>
              <w:left w:val="nil"/>
              <w:bottom w:val="single" w:sz="4" w:space="0" w:color="auto"/>
              <w:right w:val="single" w:sz="4" w:space="0" w:color="auto"/>
            </w:tcBorders>
            <w:shd w:val="clear" w:color="auto" w:fill="auto"/>
            <w:noWrap/>
            <w:vAlign w:val="center"/>
          </w:tcPr>
          <w:p w14:paraId="0F6F3C37"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291</w:t>
            </w:r>
          </w:p>
        </w:tc>
        <w:tc>
          <w:tcPr>
            <w:tcW w:w="1411" w:type="dxa"/>
            <w:tcBorders>
              <w:top w:val="nil"/>
              <w:left w:val="nil"/>
              <w:bottom w:val="single" w:sz="4" w:space="0" w:color="auto"/>
              <w:right w:val="single" w:sz="4" w:space="0" w:color="auto"/>
            </w:tcBorders>
            <w:shd w:val="clear" w:color="auto" w:fill="auto"/>
            <w:noWrap/>
            <w:vAlign w:val="center"/>
          </w:tcPr>
          <w:p w14:paraId="3965B776"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324</w:t>
            </w:r>
          </w:p>
        </w:tc>
        <w:tc>
          <w:tcPr>
            <w:tcW w:w="1411" w:type="dxa"/>
            <w:tcBorders>
              <w:top w:val="single" w:sz="4" w:space="0" w:color="auto"/>
              <w:left w:val="nil"/>
              <w:bottom w:val="single" w:sz="4" w:space="0" w:color="auto"/>
              <w:right w:val="single" w:sz="4" w:space="0" w:color="auto"/>
            </w:tcBorders>
            <w:vAlign w:val="center"/>
          </w:tcPr>
          <w:p w14:paraId="0E3C0D86" w14:textId="77777777" w:rsidR="00671B63" w:rsidRPr="001B4CA2" w:rsidRDefault="00671B63" w:rsidP="00671B63">
            <w:pPr>
              <w:jc w:val="center"/>
              <w:rPr>
                <w:rFonts w:eastAsia="Times New Roman"/>
                <w:b/>
                <w:bCs/>
                <w:sz w:val="18"/>
                <w:szCs w:val="18"/>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F977C"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615</w:t>
            </w:r>
          </w:p>
        </w:tc>
      </w:tr>
      <w:tr w:rsidR="00671B63" w:rsidRPr="001B4CA2" w14:paraId="5AA31E34" w14:textId="77777777" w:rsidTr="00671B63">
        <w:trPr>
          <w:trHeight w:val="371"/>
          <w:jc w:val="center"/>
        </w:trPr>
        <w:tc>
          <w:tcPr>
            <w:tcW w:w="709" w:type="dxa"/>
            <w:vMerge/>
            <w:tcBorders>
              <w:top w:val="nil"/>
              <w:left w:val="single" w:sz="4" w:space="0" w:color="auto"/>
              <w:bottom w:val="single" w:sz="4" w:space="0" w:color="auto"/>
              <w:right w:val="single" w:sz="4" w:space="0" w:color="auto"/>
            </w:tcBorders>
            <w:vAlign w:val="center"/>
          </w:tcPr>
          <w:p w14:paraId="3A7AC0B3" w14:textId="77777777" w:rsidR="00671B63" w:rsidRPr="001B4CA2" w:rsidRDefault="00671B63" w:rsidP="00671B63">
            <w:pPr>
              <w:jc w:val="left"/>
              <w:rPr>
                <w:rFonts w:eastAsia="Times New Roman"/>
                <w:sz w:val="18"/>
                <w:szCs w:val="18"/>
                <w:lang w:eastAsia="hr-HR"/>
              </w:rPr>
            </w:pPr>
          </w:p>
        </w:tc>
        <w:tc>
          <w:tcPr>
            <w:tcW w:w="3184" w:type="dxa"/>
            <w:tcBorders>
              <w:top w:val="nil"/>
              <w:left w:val="nil"/>
              <w:bottom w:val="single" w:sz="4" w:space="0" w:color="auto"/>
              <w:right w:val="single" w:sz="4" w:space="0" w:color="auto"/>
            </w:tcBorders>
            <w:shd w:val="clear" w:color="auto" w:fill="auto"/>
            <w:vAlign w:val="center"/>
            <w:hideMark/>
          </w:tcPr>
          <w:p w14:paraId="123F5DCF"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w:t>
            </w:r>
          </w:p>
        </w:tc>
        <w:tc>
          <w:tcPr>
            <w:tcW w:w="1459" w:type="dxa"/>
            <w:tcBorders>
              <w:top w:val="nil"/>
              <w:left w:val="nil"/>
              <w:bottom w:val="single" w:sz="4" w:space="0" w:color="auto"/>
              <w:right w:val="single" w:sz="4" w:space="0" w:color="auto"/>
            </w:tcBorders>
            <w:shd w:val="clear" w:color="auto" w:fill="auto"/>
            <w:noWrap/>
            <w:vAlign w:val="center"/>
          </w:tcPr>
          <w:p w14:paraId="23FE8C51"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47,32</w:t>
            </w:r>
          </w:p>
        </w:tc>
        <w:tc>
          <w:tcPr>
            <w:tcW w:w="1411" w:type="dxa"/>
            <w:tcBorders>
              <w:top w:val="nil"/>
              <w:left w:val="nil"/>
              <w:bottom w:val="single" w:sz="4" w:space="0" w:color="auto"/>
              <w:right w:val="single" w:sz="4" w:space="0" w:color="auto"/>
            </w:tcBorders>
            <w:shd w:val="clear" w:color="auto" w:fill="auto"/>
            <w:noWrap/>
            <w:vAlign w:val="center"/>
          </w:tcPr>
          <w:p w14:paraId="7759C927"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52,68</w:t>
            </w:r>
          </w:p>
        </w:tc>
        <w:tc>
          <w:tcPr>
            <w:tcW w:w="1411" w:type="dxa"/>
            <w:tcBorders>
              <w:top w:val="single" w:sz="4" w:space="0" w:color="auto"/>
              <w:left w:val="nil"/>
              <w:bottom w:val="single" w:sz="4" w:space="0" w:color="auto"/>
              <w:right w:val="single" w:sz="4" w:space="0" w:color="auto"/>
            </w:tcBorders>
            <w:vAlign w:val="center"/>
          </w:tcPr>
          <w:p w14:paraId="4A86D32E" w14:textId="77777777" w:rsidR="00671B63" w:rsidRPr="001B4CA2" w:rsidRDefault="00671B63" w:rsidP="00671B63">
            <w:pPr>
              <w:jc w:val="center"/>
              <w:rPr>
                <w:rFonts w:eastAsia="Times New Roman"/>
                <w:b/>
                <w:bCs/>
                <w:sz w:val="18"/>
                <w:szCs w:val="18"/>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068D9"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100</w:t>
            </w:r>
          </w:p>
        </w:tc>
      </w:tr>
      <w:tr w:rsidR="00671B63" w:rsidRPr="001B4CA2" w14:paraId="65A26968" w14:textId="77777777" w:rsidTr="00671B63">
        <w:trPr>
          <w:trHeight w:val="371"/>
          <w:jc w:val="center"/>
        </w:trPr>
        <w:tc>
          <w:tcPr>
            <w:tcW w:w="709" w:type="dxa"/>
            <w:vMerge/>
            <w:tcBorders>
              <w:top w:val="nil"/>
              <w:left w:val="single" w:sz="4" w:space="0" w:color="auto"/>
              <w:bottom w:val="single" w:sz="4" w:space="0" w:color="auto"/>
              <w:right w:val="single" w:sz="4" w:space="0" w:color="auto"/>
            </w:tcBorders>
            <w:vAlign w:val="center"/>
          </w:tcPr>
          <w:p w14:paraId="3ECA94C5" w14:textId="77777777" w:rsidR="00671B63" w:rsidRPr="001B4CA2" w:rsidRDefault="00671B63" w:rsidP="00671B63">
            <w:pPr>
              <w:jc w:val="left"/>
              <w:rPr>
                <w:rFonts w:eastAsia="Times New Roman"/>
                <w:sz w:val="18"/>
                <w:szCs w:val="18"/>
                <w:lang w:eastAsia="hr-HR"/>
              </w:rPr>
            </w:pPr>
          </w:p>
        </w:tc>
        <w:tc>
          <w:tcPr>
            <w:tcW w:w="3184" w:type="dxa"/>
            <w:tcBorders>
              <w:top w:val="nil"/>
              <w:left w:val="nil"/>
              <w:bottom w:val="single" w:sz="4" w:space="0" w:color="auto"/>
              <w:right w:val="single" w:sz="4" w:space="0" w:color="auto"/>
            </w:tcBorders>
            <w:shd w:val="clear" w:color="auto" w:fill="auto"/>
            <w:vAlign w:val="center"/>
            <w:hideMark/>
          </w:tcPr>
          <w:p w14:paraId="7CBA2846"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459" w:type="dxa"/>
            <w:tcBorders>
              <w:top w:val="nil"/>
              <w:left w:val="nil"/>
              <w:bottom w:val="single" w:sz="4" w:space="0" w:color="auto"/>
              <w:right w:val="single" w:sz="4" w:space="0" w:color="auto"/>
            </w:tcBorders>
            <w:shd w:val="clear" w:color="auto" w:fill="auto"/>
            <w:noWrap/>
            <w:vAlign w:val="center"/>
          </w:tcPr>
          <w:p w14:paraId="0CA7F60D"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250.755</w:t>
            </w:r>
          </w:p>
        </w:tc>
        <w:tc>
          <w:tcPr>
            <w:tcW w:w="1411" w:type="dxa"/>
            <w:tcBorders>
              <w:top w:val="nil"/>
              <w:left w:val="nil"/>
              <w:bottom w:val="single" w:sz="4" w:space="0" w:color="auto"/>
              <w:right w:val="single" w:sz="4" w:space="0" w:color="auto"/>
            </w:tcBorders>
            <w:shd w:val="clear" w:color="auto" w:fill="auto"/>
            <w:noWrap/>
            <w:vAlign w:val="center"/>
          </w:tcPr>
          <w:p w14:paraId="22970480"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3.517.712</w:t>
            </w:r>
          </w:p>
        </w:tc>
        <w:tc>
          <w:tcPr>
            <w:tcW w:w="1411" w:type="dxa"/>
            <w:tcBorders>
              <w:top w:val="single" w:sz="4" w:space="0" w:color="auto"/>
              <w:left w:val="nil"/>
              <w:bottom w:val="single" w:sz="4" w:space="0" w:color="auto"/>
              <w:right w:val="single" w:sz="4" w:space="0" w:color="auto"/>
            </w:tcBorders>
            <w:vAlign w:val="center"/>
          </w:tcPr>
          <w:p w14:paraId="169469AF" w14:textId="77777777" w:rsidR="00671B63" w:rsidRPr="001B4CA2" w:rsidRDefault="00671B63" w:rsidP="00671B63">
            <w:pPr>
              <w:jc w:val="center"/>
              <w:rPr>
                <w:rFonts w:eastAsia="Times New Roman"/>
                <w:b/>
                <w:bCs/>
                <w:sz w:val="18"/>
                <w:szCs w:val="18"/>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7277A"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3.768.467</w:t>
            </w:r>
          </w:p>
        </w:tc>
      </w:tr>
      <w:tr w:rsidR="00671B63" w:rsidRPr="001B4CA2" w14:paraId="75A5D0C7" w14:textId="77777777" w:rsidTr="00671B63">
        <w:trPr>
          <w:trHeight w:val="371"/>
          <w:jc w:val="center"/>
        </w:trPr>
        <w:tc>
          <w:tcPr>
            <w:tcW w:w="709" w:type="dxa"/>
            <w:vMerge w:val="restart"/>
            <w:tcBorders>
              <w:top w:val="nil"/>
              <w:left w:val="single" w:sz="4" w:space="0" w:color="auto"/>
              <w:bottom w:val="single" w:sz="4" w:space="0" w:color="auto"/>
              <w:right w:val="single" w:sz="4" w:space="0" w:color="auto"/>
            </w:tcBorders>
            <w:shd w:val="clear" w:color="000000" w:fill="99CCFF"/>
            <w:noWrap/>
            <w:vAlign w:val="center"/>
          </w:tcPr>
          <w:p w14:paraId="22B29ED0"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2020.</w:t>
            </w:r>
          </w:p>
        </w:tc>
        <w:tc>
          <w:tcPr>
            <w:tcW w:w="3184" w:type="dxa"/>
            <w:tcBorders>
              <w:top w:val="nil"/>
              <w:left w:val="nil"/>
              <w:bottom w:val="single" w:sz="4" w:space="0" w:color="auto"/>
              <w:right w:val="single" w:sz="4" w:space="0" w:color="auto"/>
            </w:tcBorders>
            <w:shd w:val="clear" w:color="auto" w:fill="auto"/>
            <w:vAlign w:val="center"/>
            <w:hideMark/>
          </w:tcPr>
          <w:p w14:paraId="398357D9"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Broj zahtjeva</w:t>
            </w:r>
          </w:p>
        </w:tc>
        <w:tc>
          <w:tcPr>
            <w:tcW w:w="1459" w:type="dxa"/>
            <w:tcBorders>
              <w:top w:val="nil"/>
              <w:left w:val="nil"/>
              <w:bottom w:val="single" w:sz="4" w:space="0" w:color="auto"/>
              <w:right w:val="single" w:sz="4" w:space="0" w:color="auto"/>
            </w:tcBorders>
            <w:shd w:val="clear" w:color="auto" w:fill="auto"/>
            <w:noWrap/>
            <w:vAlign w:val="center"/>
          </w:tcPr>
          <w:p w14:paraId="7ECDE1D7" w14:textId="77777777" w:rsidR="00671B63" w:rsidRPr="001B4CA2" w:rsidRDefault="00671B63" w:rsidP="00671B63">
            <w:pPr>
              <w:jc w:val="center"/>
              <w:rPr>
                <w:rFonts w:eastAsia="Times New Roman"/>
                <w:sz w:val="18"/>
                <w:szCs w:val="18"/>
                <w:lang w:eastAsia="hr-HR"/>
              </w:rPr>
            </w:pPr>
            <w:r w:rsidRPr="001B4CA2">
              <w:rPr>
                <w:sz w:val="18"/>
                <w:szCs w:val="18"/>
              </w:rPr>
              <w:t>315</w:t>
            </w:r>
          </w:p>
        </w:tc>
        <w:tc>
          <w:tcPr>
            <w:tcW w:w="1411" w:type="dxa"/>
            <w:tcBorders>
              <w:top w:val="nil"/>
              <w:left w:val="nil"/>
              <w:bottom w:val="single" w:sz="4" w:space="0" w:color="auto"/>
              <w:right w:val="single" w:sz="4" w:space="0" w:color="auto"/>
            </w:tcBorders>
            <w:shd w:val="clear" w:color="auto" w:fill="auto"/>
            <w:noWrap/>
            <w:vAlign w:val="center"/>
          </w:tcPr>
          <w:p w14:paraId="3B5DF648" w14:textId="77777777" w:rsidR="00671B63" w:rsidRPr="001B4CA2" w:rsidRDefault="00671B63" w:rsidP="00671B63">
            <w:pPr>
              <w:jc w:val="center"/>
              <w:rPr>
                <w:rFonts w:eastAsia="Times New Roman"/>
                <w:sz w:val="18"/>
                <w:szCs w:val="18"/>
                <w:lang w:eastAsia="hr-HR"/>
              </w:rPr>
            </w:pPr>
            <w:r w:rsidRPr="001B4CA2">
              <w:rPr>
                <w:sz w:val="18"/>
                <w:szCs w:val="18"/>
              </w:rPr>
              <w:t>273</w:t>
            </w:r>
          </w:p>
        </w:tc>
        <w:tc>
          <w:tcPr>
            <w:tcW w:w="1411" w:type="dxa"/>
            <w:tcBorders>
              <w:top w:val="single" w:sz="4" w:space="0" w:color="auto"/>
              <w:left w:val="nil"/>
              <w:bottom w:val="single" w:sz="4" w:space="0" w:color="auto"/>
              <w:right w:val="single" w:sz="4" w:space="0" w:color="auto"/>
            </w:tcBorders>
            <w:vAlign w:val="center"/>
          </w:tcPr>
          <w:p w14:paraId="1EBE07B1" w14:textId="77777777" w:rsidR="00671B63" w:rsidRPr="001B4CA2" w:rsidRDefault="00671B63" w:rsidP="00671B63">
            <w:pPr>
              <w:jc w:val="center"/>
              <w:rPr>
                <w:rFonts w:eastAsia="Times New Roman"/>
                <w:b/>
                <w:bCs/>
                <w:sz w:val="18"/>
                <w:szCs w:val="18"/>
                <w:lang w:eastAsia="hr-HR"/>
              </w:rPr>
            </w:pPr>
            <w:r w:rsidRPr="001B4CA2">
              <w:rPr>
                <w:sz w:val="18"/>
                <w:szCs w:val="18"/>
              </w:rPr>
              <w:t>11</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9DB7A" w14:textId="77777777" w:rsidR="00671B63" w:rsidRPr="001B4CA2" w:rsidRDefault="00671B63" w:rsidP="00671B63">
            <w:pPr>
              <w:jc w:val="center"/>
              <w:rPr>
                <w:rFonts w:eastAsia="Times New Roman"/>
                <w:b/>
                <w:bCs/>
                <w:sz w:val="18"/>
                <w:szCs w:val="18"/>
                <w:lang w:eastAsia="hr-HR"/>
              </w:rPr>
            </w:pPr>
            <w:r w:rsidRPr="001B4CA2">
              <w:rPr>
                <w:b/>
                <w:sz w:val="18"/>
                <w:szCs w:val="18"/>
              </w:rPr>
              <w:t>599</w:t>
            </w:r>
          </w:p>
        </w:tc>
      </w:tr>
      <w:tr w:rsidR="00671B63" w:rsidRPr="001B4CA2" w14:paraId="4DA644C0" w14:textId="77777777" w:rsidTr="00671B63">
        <w:trPr>
          <w:trHeight w:val="371"/>
          <w:jc w:val="center"/>
        </w:trPr>
        <w:tc>
          <w:tcPr>
            <w:tcW w:w="709" w:type="dxa"/>
            <w:vMerge/>
            <w:tcBorders>
              <w:top w:val="nil"/>
              <w:left w:val="single" w:sz="4" w:space="0" w:color="auto"/>
              <w:bottom w:val="single" w:sz="4" w:space="0" w:color="auto"/>
              <w:right w:val="single" w:sz="4" w:space="0" w:color="auto"/>
            </w:tcBorders>
            <w:vAlign w:val="center"/>
          </w:tcPr>
          <w:p w14:paraId="75474D10" w14:textId="77777777" w:rsidR="00671B63" w:rsidRPr="001B4CA2" w:rsidRDefault="00671B63" w:rsidP="00671B63">
            <w:pPr>
              <w:jc w:val="left"/>
              <w:rPr>
                <w:rFonts w:eastAsia="Times New Roman"/>
                <w:sz w:val="18"/>
                <w:szCs w:val="18"/>
                <w:lang w:eastAsia="hr-HR"/>
              </w:rPr>
            </w:pPr>
          </w:p>
        </w:tc>
        <w:tc>
          <w:tcPr>
            <w:tcW w:w="3184" w:type="dxa"/>
            <w:tcBorders>
              <w:top w:val="nil"/>
              <w:left w:val="nil"/>
              <w:bottom w:val="single" w:sz="4" w:space="0" w:color="auto"/>
              <w:right w:val="single" w:sz="4" w:space="0" w:color="auto"/>
            </w:tcBorders>
            <w:shd w:val="clear" w:color="auto" w:fill="auto"/>
            <w:vAlign w:val="center"/>
            <w:hideMark/>
          </w:tcPr>
          <w:p w14:paraId="4B6458DF"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w:t>
            </w:r>
          </w:p>
        </w:tc>
        <w:tc>
          <w:tcPr>
            <w:tcW w:w="1459" w:type="dxa"/>
            <w:tcBorders>
              <w:top w:val="nil"/>
              <w:left w:val="nil"/>
              <w:bottom w:val="single" w:sz="4" w:space="0" w:color="auto"/>
              <w:right w:val="single" w:sz="4" w:space="0" w:color="auto"/>
            </w:tcBorders>
            <w:shd w:val="clear" w:color="auto" w:fill="auto"/>
            <w:noWrap/>
            <w:vAlign w:val="center"/>
          </w:tcPr>
          <w:p w14:paraId="63B238CE"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52,58</w:t>
            </w:r>
          </w:p>
        </w:tc>
        <w:tc>
          <w:tcPr>
            <w:tcW w:w="1411" w:type="dxa"/>
            <w:tcBorders>
              <w:top w:val="nil"/>
              <w:left w:val="nil"/>
              <w:bottom w:val="single" w:sz="4" w:space="0" w:color="auto"/>
              <w:right w:val="single" w:sz="4" w:space="0" w:color="auto"/>
            </w:tcBorders>
            <w:shd w:val="clear" w:color="auto" w:fill="auto"/>
            <w:noWrap/>
            <w:vAlign w:val="center"/>
          </w:tcPr>
          <w:p w14:paraId="473A0FDA"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45,57</w:t>
            </w:r>
          </w:p>
        </w:tc>
        <w:tc>
          <w:tcPr>
            <w:tcW w:w="1411" w:type="dxa"/>
            <w:tcBorders>
              <w:top w:val="single" w:sz="4" w:space="0" w:color="auto"/>
              <w:left w:val="nil"/>
              <w:bottom w:val="single" w:sz="4" w:space="0" w:color="auto"/>
              <w:right w:val="single" w:sz="4" w:space="0" w:color="auto"/>
            </w:tcBorders>
            <w:vAlign w:val="center"/>
          </w:tcPr>
          <w:p w14:paraId="197EEFF2" w14:textId="77777777" w:rsidR="00671B63" w:rsidRPr="001B4CA2" w:rsidRDefault="00671B63" w:rsidP="00671B63">
            <w:pPr>
              <w:jc w:val="center"/>
              <w:rPr>
                <w:rFonts w:eastAsia="Times New Roman"/>
                <w:b/>
                <w:bCs/>
                <w:sz w:val="18"/>
                <w:szCs w:val="18"/>
                <w:lang w:eastAsia="hr-HR"/>
              </w:rPr>
            </w:pPr>
            <w:r w:rsidRPr="001B4CA2">
              <w:rPr>
                <w:rFonts w:eastAsia="Times New Roman"/>
                <w:bCs/>
                <w:sz w:val="18"/>
                <w:szCs w:val="18"/>
                <w:lang w:eastAsia="hr-HR"/>
              </w:rPr>
              <w:t>1,83</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7D0E9"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100</w:t>
            </w:r>
          </w:p>
        </w:tc>
      </w:tr>
      <w:tr w:rsidR="00671B63" w:rsidRPr="001B4CA2" w14:paraId="1A6F3CF8" w14:textId="77777777" w:rsidTr="00671B63">
        <w:trPr>
          <w:trHeight w:val="371"/>
          <w:jc w:val="center"/>
        </w:trPr>
        <w:tc>
          <w:tcPr>
            <w:tcW w:w="709" w:type="dxa"/>
            <w:vMerge/>
            <w:tcBorders>
              <w:top w:val="nil"/>
              <w:left w:val="single" w:sz="4" w:space="0" w:color="auto"/>
              <w:bottom w:val="single" w:sz="4" w:space="0" w:color="auto"/>
              <w:right w:val="single" w:sz="4" w:space="0" w:color="auto"/>
            </w:tcBorders>
            <w:vAlign w:val="center"/>
          </w:tcPr>
          <w:p w14:paraId="7EA845E0" w14:textId="77777777" w:rsidR="00671B63" w:rsidRPr="001B4CA2" w:rsidRDefault="00671B63" w:rsidP="00671B63">
            <w:pPr>
              <w:jc w:val="left"/>
              <w:rPr>
                <w:rFonts w:eastAsia="Times New Roman"/>
                <w:sz w:val="18"/>
                <w:szCs w:val="18"/>
                <w:lang w:eastAsia="hr-HR"/>
              </w:rPr>
            </w:pPr>
          </w:p>
        </w:tc>
        <w:tc>
          <w:tcPr>
            <w:tcW w:w="3184" w:type="dxa"/>
            <w:tcBorders>
              <w:top w:val="nil"/>
              <w:left w:val="nil"/>
              <w:bottom w:val="single" w:sz="4" w:space="0" w:color="auto"/>
              <w:right w:val="single" w:sz="4" w:space="0" w:color="auto"/>
            </w:tcBorders>
            <w:shd w:val="clear" w:color="auto" w:fill="auto"/>
            <w:vAlign w:val="center"/>
            <w:hideMark/>
          </w:tcPr>
          <w:p w14:paraId="188D9132"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459" w:type="dxa"/>
            <w:tcBorders>
              <w:top w:val="nil"/>
              <w:left w:val="nil"/>
              <w:bottom w:val="single" w:sz="4" w:space="0" w:color="auto"/>
              <w:right w:val="single" w:sz="4" w:space="0" w:color="auto"/>
            </w:tcBorders>
            <w:shd w:val="clear" w:color="auto" w:fill="auto"/>
            <w:noWrap/>
            <w:vAlign w:val="center"/>
          </w:tcPr>
          <w:p w14:paraId="0A07F785" w14:textId="77777777" w:rsidR="00671B63" w:rsidRPr="001B4CA2" w:rsidRDefault="00671B63" w:rsidP="00671B63">
            <w:pPr>
              <w:jc w:val="center"/>
              <w:rPr>
                <w:rFonts w:eastAsia="Times New Roman"/>
                <w:sz w:val="18"/>
                <w:szCs w:val="18"/>
                <w:lang w:eastAsia="hr-HR"/>
              </w:rPr>
            </w:pPr>
            <w:r w:rsidRPr="001B4CA2">
              <w:rPr>
                <w:sz w:val="18"/>
                <w:szCs w:val="18"/>
              </w:rPr>
              <w:t>216.292</w:t>
            </w:r>
          </w:p>
        </w:tc>
        <w:tc>
          <w:tcPr>
            <w:tcW w:w="1411" w:type="dxa"/>
            <w:tcBorders>
              <w:top w:val="nil"/>
              <w:left w:val="nil"/>
              <w:bottom w:val="single" w:sz="4" w:space="0" w:color="auto"/>
              <w:right w:val="single" w:sz="4" w:space="0" w:color="auto"/>
            </w:tcBorders>
            <w:shd w:val="clear" w:color="auto" w:fill="auto"/>
            <w:noWrap/>
            <w:vAlign w:val="center"/>
          </w:tcPr>
          <w:p w14:paraId="6EAF6050" w14:textId="77777777" w:rsidR="00671B63" w:rsidRPr="001B4CA2" w:rsidRDefault="00671B63" w:rsidP="00671B63">
            <w:pPr>
              <w:jc w:val="center"/>
              <w:rPr>
                <w:rFonts w:eastAsia="Times New Roman"/>
                <w:sz w:val="18"/>
                <w:szCs w:val="18"/>
                <w:lang w:eastAsia="hr-HR"/>
              </w:rPr>
            </w:pPr>
            <w:r w:rsidRPr="001B4CA2">
              <w:rPr>
                <w:sz w:val="18"/>
                <w:szCs w:val="18"/>
              </w:rPr>
              <w:t>2.989.390</w:t>
            </w:r>
          </w:p>
        </w:tc>
        <w:tc>
          <w:tcPr>
            <w:tcW w:w="1411" w:type="dxa"/>
            <w:tcBorders>
              <w:top w:val="single" w:sz="4" w:space="0" w:color="auto"/>
              <w:left w:val="nil"/>
              <w:bottom w:val="single" w:sz="4" w:space="0" w:color="auto"/>
              <w:right w:val="single" w:sz="4" w:space="0" w:color="auto"/>
            </w:tcBorders>
            <w:vAlign w:val="center"/>
          </w:tcPr>
          <w:p w14:paraId="590EC357" w14:textId="77777777" w:rsidR="00671B63" w:rsidRPr="001B4CA2" w:rsidRDefault="00671B63" w:rsidP="00671B63">
            <w:pPr>
              <w:jc w:val="center"/>
              <w:rPr>
                <w:rFonts w:eastAsia="Times New Roman"/>
                <w:b/>
                <w:bCs/>
                <w:sz w:val="18"/>
                <w:szCs w:val="18"/>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8B833"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3.205.683</w:t>
            </w:r>
          </w:p>
        </w:tc>
      </w:tr>
      <w:tr w:rsidR="00671B63" w:rsidRPr="001B4CA2" w14:paraId="37F74830" w14:textId="77777777" w:rsidTr="00671B63">
        <w:trPr>
          <w:trHeight w:val="371"/>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14:paraId="3882B1AA"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2021.</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14:paraId="08E689BF"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Broj zahtjeva</w:t>
            </w:r>
          </w:p>
        </w:tc>
        <w:tc>
          <w:tcPr>
            <w:tcW w:w="1459" w:type="dxa"/>
            <w:tcBorders>
              <w:top w:val="single" w:sz="4" w:space="0" w:color="auto"/>
              <w:left w:val="nil"/>
              <w:bottom w:val="single" w:sz="4" w:space="0" w:color="auto"/>
              <w:right w:val="single" w:sz="4" w:space="0" w:color="auto"/>
            </w:tcBorders>
            <w:shd w:val="clear" w:color="auto" w:fill="auto"/>
            <w:noWrap/>
            <w:vAlign w:val="center"/>
          </w:tcPr>
          <w:p w14:paraId="0F3F26B4" w14:textId="77777777" w:rsidR="00671B63" w:rsidRPr="001B4CA2" w:rsidRDefault="00671B63" w:rsidP="00671B63">
            <w:pPr>
              <w:jc w:val="center"/>
              <w:rPr>
                <w:sz w:val="18"/>
                <w:szCs w:val="18"/>
              </w:rPr>
            </w:pPr>
            <w:r w:rsidRPr="001B4CA2">
              <w:rPr>
                <w:sz w:val="18"/>
                <w:szCs w:val="18"/>
              </w:rPr>
              <w:t>243</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04BC715B" w14:textId="77777777" w:rsidR="00671B63" w:rsidRPr="001B4CA2" w:rsidRDefault="00671B63" w:rsidP="00671B63">
            <w:pPr>
              <w:jc w:val="center"/>
              <w:rPr>
                <w:sz w:val="18"/>
                <w:szCs w:val="18"/>
              </w:rPr>
            </w:pPr>
            <w:r w:rsidRPr="001B4CA2">
              <w:rPr>
                <w:sz w:val="18"/>
                <w:szCs w:val="18"/>
              </w:rPr>
              <w:t>251</w:t>
            </w:r>
          </w:p>
        </w:tc>
        <w:tc>
          <w:tcPr>
            <w:tcW w:w="1411" w:type="dxa"/>
            <w:tcBorders>
              <w:top w:val="single" w:sz="4" w:space="0" w:color="auto"/>
              <w:left w:val="nil"/>
              <w:bottom w:val="single" w:sz="4" w:space="0" w:color="auto"/>
              <w:right w:val="single" w:sz="4" w:space="0" w:color="auto"/>
            </w:tcBorders>
            <w:vAlign w:val="center"/>
          </w:tcPr>
          <w:p w14:paraId="4C5558BF" w14:textId="77777777" w:rsidR="00671B63" w:rsidRPr="001B4CA2" w:rsidRDefault="00671B63" w:rsidP="00671B63">
            <w:pPr>
              <w:jc w:val="center"/>
              <w:rPr>
                <w:sz w:val="18"/>
                <w:szCs w:val="18"/>
              </w:rPr>
            </w:pPr>
            <w:r w:rsidRPr="001B4CA2">
              <w:rPr>
                <w:sz w:val="18"/>
                <w:szCs w:val="18"/>
              </w:rPr>
              <w:t>8</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A6312" w14:textId="77777777" w:rsidR="00671B63" w:rsidRPr="001B4CA2" w:rsidRDefault="00671B63" w:rsidP="00671B63">
            <w:pPr>
              <w:jc w:val="center"/>
              <w:rPr>
                <w:b/>
                <w:sz w:val="18"/>
                <w:szCs w:val="18"/>
              </w:rPr>
            </w:pPr>
            <w:r w:rsidRPr="001B4CA2">
              <w:rPr>
                <w:b/>
                <w:sz w:val="18"/>
                <w:szCs w:val="18"/>
              </w:rPr>
              <w:t>502</w:t>
            </w:r>
          </w:p>
        </w:tc>
      </w:tr>
      <w:tr w:rsidR="00671B63" w:rsidRPr="001B4CA2" w14:paraId="0B9412BB" w14:textId="77777777" w:rsidTr="00671B63">
        <w:trPr>
          <w:trHeight w:val="371"/>
          <w:jc w:val="center"/>
        </w:trPr>
        <w:tc>
          <w:tcPr>
            <w:tcW w:w="709" w:type="dxa"/>
            <w:vMerge/>
            <w:tcBorders>
              <w:top w:val="single" w:sz="4" w:space="0" w:color="auto"/>
              <w:left w:val="single" w:sz="4" w:space="0" w:color="auto"/>
              <w:bottom w:val="single" w:sz="4" w:space="0" w:color="auto"/>
              <w:right w:val="single" w:sz="4" w:space="0" w:color="auto"/>
            </w:tcBorders>
            <w:shd w:val="clear" w:color="auto" w:fill="99CCFF"/>
            <w:vAlign w:val="center"/>
          </w:tcPr>
          <w:p w14:paraId="24991815" w14:textId="77777777" w:rsidR="00671B63" w:rsidRPr="001B4CA2" w:rsidRDefault="00671B63" w:rsidP="00671B63">
            <w:pPr>
              <w:jc w:val="left"/>
              <w:rPr>
                <w:rFonts w:eastAsia="Times New Roman"/>
                <w:sz w:val="18"/>
                <w:szCs w:val="18"/>
                <w:lang w:eastAsia="hr-HR"/>
              </w:rPr>
            </w:pPr>
          </w:p>
        </w:tc>
        <w:tc>
          <w:tcPr>
            <w:tcW w:w="3184" w:type="dxa"/>
            <w:tcBorders>
              <w:top w:val="single" w:sz="4" w:space="0" w:color="auto"/>
              <w:left w:val="nil"/>
              <w:bottom w:val="single" w:sz="4" w:space="0" w:color="auto"/>
              <w:right w:val="single" w:sz="4" w:space="0" w:color="auto"/>
            </w:tcBorders>
            <w:shd w:val="clear" w:color="auto" w:fill="auto"/>
            <w:vAlign w:val="center"/>
            <w:hideMark/>
          </w:tcPr>
          <w:p w14:paraId="203D96E0"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w:t>
            </w:r>
          </w:p>
        </w:tc>
        <w:tc>
          <w:tcPr>
            <w:tcW w:w="1459" w:type="dxa"/>
            <w:tcBorders>
              <w:top w:val="single" w:sz="4" w:space="0" w:color="auto"/>
              <w:left w:val="nil"/>
              <w:bottom w:val="single" w:sz="4" w:space="0" w:color="auto"/>
              <w:right w:val="single" w:sz="4" w:space="0" w:color="auto"/>
            </w:tcBorders>
            <w:shd w:val="clear" w:color="auto" w:fill="auto"/>
            <w:noWrap/>
            <w:vAlign w:val="center"/>
          </w:tcPr>
          <w:p w14:paraId="75D1E085"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48</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0F9F43A8"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50</w:t>
            </w:r>
          </w:p>
        </w:tc>
        <w:tc>
          <w:tcPr>
            <w:tcW w:w="1411" w:type="dxa"/>
            <w:tcBorders>
              <w:top w:val="single" w:sz="4" w:space="0" w:color="auto"/>
              <w:left w:val="nil"/>
              <w:bottom w:val="single" w:sz="4" w:space="0" w:color="auto"/>
              <w:right w:val="single" w:sz="4" w:space="0" w:color="auto"/>
            </w:tcBorders>
            <w:vAlign w:val="center"/>
          </w:tcPr>
          <w:p w14:paraId="6BF348E3" w14:textId="77777777" w:rsidR="00671B63" w:rsidRPr="001B4CA2" w:rsidRDefault="00671B63" w:rsidP="00671B63">
            <w:pPr>
              <w:jc w:val="center"/>
              <w:rPr>
                <w:rFonts w:eastAsia="Times New Roman"/>
                <w:bCs/>
                <w:sz w:val="18"/>
                <w:szCs w:val="18"/>
                <w:lang w:eastAsia="hr-HR"/>
              </w:rPr>
            </w:pPr>
            <w:r w:rsidRPr="001B4CA2">
              <w:rPr>
                <w:rFonts w:eastAsia="Times New Roman"/>
                <w:bCs/>
                <w:sz w:val="18"/>
                <w:szCs w:val="18"/>
                <w:lang w:eastAsia="hr-HR"/>
              </w:rPr>
              <w:t>2</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029E4"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100</w:t>
            </w:r>
          </w:p>
        </w:tc>
      </w:tr>
      <w:tr w:rsidR="00671B63" w:rsidRPr="001B4CA2" w14:paraId="53510799" w14:textId="77777777" w:rsidTr="00671B63">
        <w:trPr>
          <w:trHeight w:val="371"/>
          <w:jc w:val="center"/>
        </w:trPr>
        <w:tc>
          <w:tcPr>
            <w:tcW w:w="709" w:type="dxa"/>
            <w:vMerge/>
            <w:tcBorders>
              <w:top w:val="single" w:sz="4" w:space="0" w:color="auto"/>
              <w:left w:val="single" w:sz="4" w:space="0" w:color="auto"/>
              <w:bottom w:val="single" w:sz="4" w:space="0" w:color="auto"/>
              <w:right w:val="single" w:sz="4" w:space="0" w:color="auto"/>
            </w:tcBorders>
            <w:shd w:val="clear" w:color="auto" w:fill="99CCFF"/>
            <w:vAlign w:val="center"/>
          </w:tcPr>
          <w:p w14:paraId="4A9F4FFF" w14:textId="77777777" w:rsidR="00671B63" w:rsidRPr="001B4CA2" w:rsidRDefault="00671B63" w:rsidP="00671B63">
            <w:pPr>
              <w:jc w:val="left"/>
              <w:rPr>
                <w:rFonts w:eastAsia="Times New Roman"/>
                <w:sz w:val="18"/>
                <w:szCs w:val="18"/>
                <w:lang w:eastAsia="hr-HR"/>
              </w:rPr>
            </w:pPr>
          </w:p>
        </w:tc>
        <w:tc>
          <w:tcPr>
            <w:tcW w:w="3184" w:type="dxa"/>
            <w:tcBorders>
              <w:top w:val="single" w:sz="4" w:space="0" w:color="auto"/>
              <w:left w:val="nil"/>
              <w:bottom w:val="single" w:sz="4" w:space="0" w:color="auto"/>
              <w:right w:val="single" w:sz="4" w:space="0" w:color="auto"/>
            </w:tcBorders>
            <w:shd w:val="clear" w:color="auto" w:fill="auto"/>
            <w:vAlign w:val="center"/>
            <w:hideMark/>
          </w:tcPr>
          <w:p w14:paraId="5CCCCF17"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459" w:type="dxa"/>
            <w:tcBorders>
              <w:top w:val="single" w:sz="4" w:space="0" w:color="auto"/>
              <w:left w:val="nil"/>
              <w:bottom w:val="single" w:sz="4" w:space="0" w:color="auto"/>
              <w:right w:val="single" w:sz="4" w:space="0" w:color="auto"/>
            </w:tcBorders>
            <w:shd w:val="clear" w:color="auto" w:fill="auto"/>
            <w:noWrap/>
            <w:vAlign w:val="center"/>
          </w:tcPr>
          <w:p w14:paraId="38317CF3" w14:textId="77777777" w:rsidR="00671B63" w:rsidRPr="001B4CA2" w:rsidRDefault="00671B63" w:rsidP="00671B63">
            <w:pPr>
              <w:jc w:val="center"/>
              <w:rPr>
                <w:sz w:val="18"/>
                <w:szCs w:val="18"/>
              </w:rPr>
            </w:pPr>
            <w:r w:rsidRPr="001B4CA2">
              <w:rPr>
                <w:sz w:val="18"/>
                <w:szCs w:val="18"/>
              </w:rPr>
              <w:t>161.362</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5D9336B7" w14:textId="77777777" w:rsidR="00671B63" w:rsidRPr="001B4CA2" w:rsidRDefault="00671B63" w:rsidP="00671B63">
            <w:pPr>
              <w:jc w:val="center"/>
              <w:rPr>
                <w:sz w:val="18"/>
                <w:szCs w:val="18"/>
              </w:rPr>
            </w:pPr>
            <w:r w:rsidRPr="001B4CA2">
              <w:rPr>
                <w:sz w:val="18"/>
                <w:szCs w:val="18"/>
              </w:rPr>
              <w:t>5.896.755</w:t>
            </w:r>
          </w:p>
        </w:tc>
        <w:tc>
          <w:tcPr>
            <w:tcW w:w="1411" w:type="dxa"/>
            <w:tcBorders>
              <w:top w:val="single" w:sz="4" w:space="0" w:color="auto"/>
              <w:left w:val="nil"/>
              <w:bottom w:val="single" w:sz="4" w:space="0" w:color="auto"/>
              <w:right w:val="single" w:sz="4" w:space="0" w:color="auto"/>
            </w:tcBorders>
            <w:vAlign w:val="center"/>
          </w:tcPr>
          <w:p w14:paraId="73A6EC69" w14:textId="77777777" w:rsidR="00671B63" w:rsidRPr="001B4CA2" w:rsidRDefault="00671B63" w:rsidP="00671B63">
            <w:pPr>
              <w:jc w:val="center"/>
              <w:rPr>
                <w:rFonts w:eastAsia="Times New Roman"/>
                <w:b/>
                <w:bCs/>
                <w:sz w:val="18"/>
                <w:szCs w:val="18"/>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8617E"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6.058.118</w:t>
            </w:r>
          </w:p>
        </w:tc>
      </w:tr>
      <w:tr w:rsidR="00671B63" w:rsidRPr="001B4CA2" w14:paraId="440C295F" w14:textId="77777777" w:rsidTr="00671B63">
        <w:trPr>
          <w:trHeight w:val="371"/>
          <w:jc w:val="center"/>
        </w:trPr>
        <w:tc>
          <w:tcPr>
            <w:tcW w:w="709" w:type="dxa"/>
            <w:vMerge w:val="restart"/>
            <w:tcBorders>
              <w:top w:val="single" w:sz="4" w:space="0" w:color="auto"/>
              <w:left w:val="single" w:sz="4" w:space="0" w:color="auto"/>
              <w:right w:val="single" w:sz="4" w:space="0" w:color="auto"/>
            </w:tcBorders>
            <w:shd w:val="clear" w:color="auto" w:fill="99CCFF"/>
            <w:vAlign w:val="center"/>
          </w:tcPr>
          <w:p w14:paraId="669D56D7"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2022.</w:t>
            </w:r>
          </w:p>
        </w:tc>
        <w:tc>
          <w:tcPr>
            <w:tcW w:w="3184" w:type="dxa"/>
            <w:tcBorders>
              <w:top w:val="single" w:sz="4" w:space="0" w:color="auto"/>
              <w:left w:val="nil"/>
              <w:bottom w:val="single" w:sz="4" w:space="0" w:color="auto"/>
              <w:right w:val="single" w:sz="4" w:space="0" w:color="auto"/>
            </w:tcBorders>
            <w:shd w:val="clear" w:color="auto" w:fill="auto"/>
            <w:vAlign w:val="center"/>
          </w:tcPr>
          <w:p w14:paraId="3D196347"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Broj zahtjeva</w:t>
            </w:r>
          </w:p>
        </w:tc>
        <w:tc>
          <w:tcPr>
            <w:tcW w:w="1459" w:type="dxa"/>
            <w:tcBorders>
              <w:top w:val="single" w:sz="4" w:space="0" w:color="auto"/>
              <w:left w:val="nil"/>
              <w:bottom w:val="single" w:sz="4" w:space="0" w:color="auto"/>
              <w:right w:val="single" w:sz="4" w:space="0" w:color="auto"/>
            </w:tcBorders>
            <w:shd w:val="clear" w:color="auto" w:fill="auto"/>
            <w:noWrap/>
            <w:vAlign w:val="center"/>
          </w:tcPr>
          <w:p w14:paraId="12026739" w14:textId="77777777" w:rsidR="00671B63" w:rsidRPr="001B4CA2" w:rsidRDefault="00671B63" w:rsidP="00671B63">
            <w:pPr>
              <w:jc w:val="center"/>
              <w:rPr>
                <w:sz w:val="18"/>
                <w:szCs w:val="18"/>
              </w:rPr>
            </w:pPr>
            <w:r w:rsidRPr="001B4CA2">
              <w:rPr>
                <w:sz w:val="18"/>
                <w:szCs w:val="18"/>
              </w:rPr>
              <w:t>290</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013EB3AD" w14:textId="77777777" w:rsidR="00671B63" w:rsidRPr="001B4CA2" w:rsidRDefault="00671B63" w:rsidP="00671B63">
            <w:pPr>
              <w:jc w:val="center"/>
              <w:rPr>
                <w:sz w:val="18"/>
                <w:szCs w:val="18"/>
              </w:rPr>
            </w:pPr>
            <w:r w:rsidRPr="001B4CA2">
              <w:rPr>
                <w:sz w:val="18"/>
                <w:szCs w:val="18"/>
              </w:rPr>
              <w:t>262</w:t>
            </w:r>
          </w:p>
        </w:tc>
        <w:tc>
          <w:tcPr>
            <w:tcW w:w="1411" w:type="dxa"/>
            <w:tcBorders>
              <w:top w:val="single" w:sz="4" w:space="0" w:color="auto"/>
              <w:left w:val="nil"/>
              <w:bottom w:val="single" w:sz="4" w:space="0" w:color="auto"/>
              <w:right w:val="single" w:sz="4" w:space="0" w:color="auto"/>
            </w:tcBorders>
            <w:vAlign w:val="center"/>
          </w:tcPr>
          <w:p w14:paraId="5D7FAFA4" w14:textId="77777777" w:rsidR="00671B63" w:rsidRPr="001B4CA2" w:rsidRDefault="00671B63" w:rsidP="00671B63">
            <w:pPr>
              <w:jc w:val="center"/>
              <w:rPr>
                <w:sz w:val="18"/>
                <w:szCs w:val="18"/>
              </w:rPr>
            </w:pPr>
            <w:r w:rsidRPr="001B4CA2">
              <w:rPr>
                <w:sz w:val="18"/>
                <w:szCs w:val="18"/>
              </w:rPr>
              <w:t>7</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1FE79" w14:textId="77777777" w:rsidR="00671B63" w:rsidRPr="001B4CA2" w:rsidRDefault="00671B63" w:rsidP="00671B63">
            <w:pPr>
              <w:jc w:val="center"/>
              <w:rPr>
                <w:sz w:val="18"/>
                <w:szCs w:val="18"/>
              </w:rPr>
            </w:pPr>
            <w:r w:rsidRPr="001B4CA2">
              <w:rPr>
                <w:sz w:val="18"/>
                <w:szCs w:val="18"/>
              </w:rPr>
              <w:t>559</w:t>
            </w:r>
          </w:p>
        </w:tc>
      </w:tr>
      <w:tr w:rsidR="00671B63" w:rsidRPr="001B4CA2" w14:paraId="39E7B25B" w14:textId="77777777" w:rsidTr="00671B63">
        <w:trPr>
          <w:trHeight w:val="371"/>
          <w:jc w:val="center"/>
        </w:trPr>
        <w:tc>
          <w:tcPr>
            <w:tcW w:w="709" w:type="dxa"/>
            <w:vMerge/>
            <w:tcBorders>
              <w:left w:val="single" w:sz="4" w:space="0" w:color="auto"/>
              <w:right w:val="single" w:sz="4" w:space="0" w:color="auto"/>
            </w:tcBorders>
            <w:shd w:val="clear" w:color="auto" w:fill="99CCFF"/>
            <w:vAlign w:val="center"/>
          </w:tcPr>
          <w:p w14:paraId="219BEAF2" w14:textId="77777777" w:rsidR="00671B63" w:rsidRPr="001B4CA2" w:rsidRDefault="00671B63" w:rsidP="00671B63">
            <w:pPr>
              <w:jc w:val="left"/>
              <w:rPr>
                <w:rFonts w:eastAsia="Times New Roman"/>
                <w:sz w:val="18"/>
                <w:szCs w:val="18"/>
                <w:lang w:eastAsia="hr-HR"/>
              </w:rPr>
            </w:pPr>
          </w:p>
        </w:tc>
        <w:tc>
          <w:tcPr>
            <w:tcW w:w="3184" w:type="dxa"/>
            <w:tcBorders>
              <w:top w:val="single" w:sz="4" w:space="0" w:color="auto"/>
              <w:left w:val="nil"/>
              <w:bottom w:val="single" w:sz="4" w:space="0" w:color="auto"/>
              <w:right w:val="single" w:sz="4" w:space="0" w:color="auto"/>
            </w:tcBorders>
            <w:shd w:val="clear" w:color="auto" w:fill="auto"/>
            <w:vAlign w:val="center"/>
          </w:tcPr>
          <w:p w14:paraId="7590F9B0"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w:t>
            </w:r>
          </w:p>
        </w:tc>
        <w:tc>
          <w:tcPr>
            <w:tcW w:w="1459" w:type="dxa"/>
            <w:tcBorders>
              <w:top w:val="single" w:sz="4" w:space="0" w:color="auto"/>
              <w:left w:val="nil"/>
              <w:bottom w:val="single" w:sz="4" w:space="0" w:color="auto"/>
              <w:right w:val="single" w:sz="4" w:space="0" w:color="auto"/>
            </w:tcBorders>
            <w:shd w:val="clear" w:color="auto" w:fill="auto"/>
            <w:noWrap/>
            <w:vAlign w:val="center"/>
          </w:tcPr>
          <w:p w14:paraId="55C7C27B"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52</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6B7CD81A"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47</w:t>
            </w:r>
          </w:p>
        </w:tc>
        <w:tc>
          <w:tcPr>
            <w:tcW w:w="1411" w:type="dxa"/>
            <w:tcBorders>
              <w:top w:val="single" w:sz="4" w:space="0" w:color="auto"/>
              <w:left w:val="nil"/>
              <w:bottom w:val="single" w:sz="4" w:space="0" w:color="auto"/>
              <w:right w:val="single" w:sz="4" w:space="0" w:color="auto"/>
            </w:tcBorders>
            <w:vAlign w:val="center"/>
          </w:tcPr>
          <w:p w14:paraId="2F7B3B1B" w14:textId="77777777" w:rsidR="00671B63" w:rsidRPr="001B4CA2" w:rsidRDefault="00671B63" w:rsidP="00671B63">
            <w:pPr>
              <w:jc w:val="center"/>
              <w:rPr>
                <w:rFonts w:eastAsia="Times New Roman"/>
                <w:bCs/>
                <w:sz w:val="18"/>
                <w:szCs w:val="18"/>
                <w:lang w:eastAsia="hr-HR"/>
              </w:rPr>
            </w:pPr>
            <w:r w:rsidRPr="001B4CA2">
              <w:rPr>
                <w:rFonts w:eastAsia="Times New Roman"/>
                <w:bCs/>
                <w:sz w:val="18"/>
                <w:szCs w:val="18"/>
                <w:lang w:eastAsia="hr-HR"/>
              </w:rPr>
              <w:t>1</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756BF"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100</w:t>
            </w:r>
          </w:p>
        </w:tc>
      </w:tr>
      <w:tr w:rsidR="00671B63" w:rsidRPr="001B4CA2" w14:paraId="73823329" w14:textId="77777777" w:rsidTr="00671B63">
        <w:trPr>
          <w:trHeight w:val="371"/>
          <w:jc w:val="center"/>
        </w:trPr>
        <w:tc>
          <w:tcPr>
            <w:tcW w:w="709" w:type="dxa"/>
            <w:vMerge/>
            <w:tcBorders>
              <w:left w:val="single" w:sz="4" w:space="0" w:color="auto"/>
              <w:bottom w:val="single" w:sz="4" w:space="0" w:color="auto"/>
              <w:right w:val="single" w:sz="4" w:space="0" w:color="auto"/>
            </w:tcBorders>
            <w:shd w:val="clear" w:color="auto" w:fill="99CCFF"/>
            <w:vAlign w:val="center"/>
          </w:tcPr>
          <w:p w14:paraId="08B22627" w14:textId="77777777" w:rsidR="00671B63" w:rsidRPr="001B4CA2" w:rsidRDefault="00671B63" w:rsidP="00671B63">
            <w:pPr>
              <w:jc w:val="left"/>
              <w:rPr>
                <w:rFonts w:eastAsia="Times New Roman"/>
                <w:sz w:val="18"/>
                <w:szCs w:val="18"/>
                <w:lang w:eastAsia="hr-HR"/>
              </w:rPr>
            </w:pPr>
          </w:p>
        </w:tc>
        <w:tc>
          <w:tcPr>
            <w:tcW w:w="3184" w:type="dxa"/>
            <w:tcBorders>
              <w:top w:val="single" w:sz="4" w:space="0" w:color="auto"/>
              <w:left w:val="nil"/>
              <w:bottom w:val="single" w:sz="4" w:space="0" w:color="auto"/>
              <w:right w:val="single" w:sz="4" w:space="0" w:color="auto"/>
            </w:tcBorders>
            <w:shd w:val="clear" w:color="auto" w:fill="auto"/>
            <w:vAlign w:val="center"/>
          </w:tcPr>
          <w:p w14:paraId="356E5885"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Vrijednost zahtjeva (u tisućama kn)</w:t>
            </w:r>
          </w:p>
        </w:tc>
        <w:tc>
          <w:tcPr>
            <w:tcW w:w="1459" w:type="dxa"/>
            <w:tcBorders>
              <w:top w:val="single" w:sz="4" w:space="0" w:color="auto"/>
              <w:left w:val="nil"/>
              <w:bottom w:val="single" w:sz="4" w:space="0" w:color="auto"/>
              <w:right w:val="single" w:sz="4" w:space="0" w:color="auto"/>
            </w:tcBorders>
            <w:shd w:val="clear" w:color="auto" w:fill="auto"/>
            <w:noWrap/>
            <w:vAlign w:val="center"/>
          </w:tcPr>
          <w:p w14:paraId="6546C28D" w14:textId="77777777" w:rsidR="00671B63" w:rsidRPr="001B4CA2" w:rsidRDefault="00671B63" w:rsidP="00671B63">
            <w:pPr>
              <w:jc w:val="center"/>
              <w:rPr>
                <w:sz w:val="18"/>
                <w:szCs w:val="18"/>
              </w:rPr>
            </w:pPr>
            <w:r w:rsidRPr="001B4CA2">
              <w:rPr>
                <w:sz w:val="18"/>
                <w:szCs w:val="18"/>
              </w:rPr>
              <w:t>292.151</w:t>
            </w:r>
          </w:p>
        </w:tc>
        <w:tc>
          <w:tcPr>
            <w:tcW w:w="1411" w:type="dxa"/>
            <w:tcBorders>
              <w:top w:val="single" w:sz="4" w:space="0" w:color="auto"/>
              <w:left w:val="nil"/>
              <w:bottom w:val="single" w:sz="4" w:space="0" w:color="auto"/>
              <w:right w:val="single" w:sz="4" w:space="0" w:color="auto"/>
            </w:tcBorders>
            <w:shd w:val="clear" w:color="auto" w:fill="auto"/>
            <w:noWrap/>
            <w:vAlign w:val="center"/>
          </w:tcPr>
          <w:p w14:paraId="66A28C10" w14:textId="77777777" w:rsidR="00671B63" w:rsidRPr="001B4CA2" w:rsidRDefault="00671B63" w:rsidP="00671B63">
            <w:pPr>
              <w:jc w:val="center"/>
              <w:rPr>
                <w:sz w:val="18"/>
                <w:szCs w:val="18"/>
              </w:rPr>
            </w:pPr>
            <w:r w:rsidRPr="001B4CA2">
              <w:rPr>
                <w:sz w:val="18"/>
                <w:szCs w:val="18"/>
              </w:rPr>
              <w:t>1.249.146</w:t>
            </w:r>
          </w:p>
        </w:tc>
        <w:tc>
          <w:tcPr>
            <w:tcW w:w="1411" w:type="dxa"/>
            <w:tcBorders>
              <w:top w:val="single" w:sz="4" w:space="0" w:color="auto"/>
              <w:left w:val="nil"/>
              <w:bottom w:val="single" w:sz="4" w:space="0" w:color="auto"/>
              <w:right w:val="single" w:sz="4" w:space="0" w:color="auto"/>
            </w:tcBorders>
            <w:vAlign w:val="center"/>
          </w:tcPr>
          <w:p w14:paraId="04E430C9" w14:textId="77777777" w:rsidR="00671B63" w:rsidRPr="001B4CA2" w:rsidRDefault="00671B63" w:rsidP="00671B63">
            <w:pPr>
              <w:jc w:val="center"/>
              <w:rPr>
                <w:rFonts w:eastAsia="Times New Roman"/>
                <w:b/>
                <w:bCs/>
                <w:sz w:val="18"/>
                <w:szCs w:val="18"/>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042DF"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1.541.297</w:t>
            </w:r>
          </w:p>
        </w:tc>
      </w:tr>
    </w:tbl>
    <w:p w14:paraId="5C05A5F7" w14:textId="77777777" w:rsidR="00671B63" w:rsidRPr="001B4CA2" w:rsidRDefault="00671B63" w:rsidP="00671B63">
      <w:pPr>
        <w:ind w:left="426"/>
        <w:contextualSpacing/>
        <w:jc w:val="left"/>
        <w:rPr>
          <w:i/>
        </w:rPr>
      </w:pPr>
    </w:p>
    <w:p w14:paraId="41F27744" w14:textId="77777777" w:rsidR="00773E87" w:rsidRPr="001B4CA2" w:rsidRDefault="00773E87" w:rsidP="00773E87">
      <w:pPr>
        <w:ind w:firstLine="708"/>
        <w:contextualSpacing/>
      </w:pPr>
      <w:r w:rsidRPr="001B4CA2">
        <w:t xml:space="preserve">U izvještajnoj godini Republika Hrvatska bila je tužitelj u 52 % parničnih predmeta, tuženik u 47%, dok je </w:t>
      </w:r>
      <w:proofErr w:type="spellStart"/>
      <w:r w:rsidRPr="001B4CA2">
        <w:t>umješač</w:t>
      </w:r>
      <w:proofErr w:type="spellEnd"/>
      <w:r w:rsidRPr="001B4CA2">
        <w:t xml:space="preserve"> bila samo u 1 % predmeta. Uspoređujući podatke s ranijim razdobljima, zaključuje se da se država u 2022. godini pojavljivala kao tužitelj, aktivna strana u parničnim postupcima, u većem broju predmeta, odnosno u manjem broju parnica u ulozi tužene strane.</w:t>
      </w:r>
    </w:p>
    <w:p w14:paraId="0DD63F67" w14:textId="77777777" w:rsidR="00773E87" w:rsidRPr="001B4CA2" w:rsidRDefault="00773E87" w:rsidP="00773E87">
      <w:pPr>
        <w:ind w:firstLine="708"/>
        <w:contextualSpacing/>
      </w:pPr>
    </w:p>
    <w:p w14:paraId="6F4B01C5" w14:textId="471CD7EC" w:rsidR="00773E87" w:rsidRPr="001B4CA2" w:rsidRDefault="00773E87" w:rsidP="00773E87">
      <w:pPr>
        <w:ind w:firstLine="708"/>
        <w:contextualSpacing/>
      </w:pPr>
      <w:r w:rsidRPr="001B4CA2">
        <w:lastRenderedPageBreak/>
        <w:t xml:space="preserve">Ujedno je </w:t>
      </w:r>
      <w:r w:rsidR="005D6447">
        <w:t>razvidno</w:t>
      </w:r>
      <w:r w:rsidRPr="001B4CA2">
        <w:t xml:space="preserve"> da je u usporedbi s ranijim razdobljem povećana vrijednost zahtjeva koje država kao tužitelj ostvaruje u parničnim postupcima pred trgovačkim sudovima.</w:t>
      </w:r>
    </w:p>
    <w:p w14:paraId="2B8FDAFA" w14:textId="77777777" w:rsidR="00773E87" w:rsidRPr="001B4CA2" w:rsidRDefault="00773E87" w:rsidP="00773E87">
      <w:pPr>
        <w:ind w:firstLine="708"/>
        <w:contextualSpacing/>
      </w:pPr>
    </w:p>
    <w:p w14:paraId="48D07EC3" w14:textId="7318D09D" w:rsidR="00773E87" w:rsidRPr="001B4CA2" w:rsidRDefault="00773E87" w:rsidP="00773E87">
      <w:pPr>
        <w:ind w:firstLine="708"/>
        <w:contextualSpacing/>
      </w:pPr>
      <w:r w:rsidRPr="001B4CA2">
        <w:t xml:space="preserve">Vrijednost predmeta spora gdje je Republika Hrvatska tužena višestruko je veća nego vrijednost predmeta spora u predmetima u kojima je Republika Hrvatska tužitelj. Razlog tome je, kako je već ranije navedeno, velika vrijednost predmeta spora u parnicama za naknadu štete u kojima se od Republike Hrvatske potražuju iznosi u milijunima eura. Tužitelji svoj zahtjev temelje na navodno počinjenoj povredi prava EU-a donošenjem određenih propisa, odnosno u primjeni tih propisa od strane domaćih sudova. </w:t>
      </w:r>
      <w:r w:rsidR="005D6447">
        <w:t>Riječ je</w:t>
      </w:r>
      <w:r w:rsidRPr="001B4CA2">
        <w:t xml:space="preserve"> o posebno činjenično i pravno složenim predmetima koji su opsežnog činjeničnog supstrata i iziskuju posvećenost radu na </w:t>
      </w:r>
      <w:proofErr w:type="spellStart"/>
      <w:r w:rsidRPr="001B4CA2">
        <w:t>prouci</w:t>
      </w:r>
      <w:proofErr w:type="spellEnd"/>
      <w:r w:rsidRPr="001B4CA2">
        <w:t xml:space="preserve"> dokumentacije, pribavi očitovanja i podataka od raznih državnih tijela i institucija, a zahtijevaju i kontinuirano praćenje prakse Suda EU-a radi primjene te prakse u ovim sudskim postupcima. No, analizirajući ove vrijednosti s vrijednostima iz ranijeg razdoblja, ipak je </w:t>
      </w:r>
      <w:r w:rsidR="005D6447">
        <w:t>razvidno</w:t>
      </w:r>
      <w:r w:rsidRPr="001B4CA2">
        <w:t xml:space="preserve"> da su vrijednosti zahtjeva koje treće osobe ostvaruju protiv države u parnicama pred trgovačkim sudovima manje. </w:t>
      </w:r>
    </w:p>
    <w:p w14:paraId="7EF259AE" w14:textId="77777777" w:rsidR="00671B63" w:rsidRPr="001B4CA2" w:rsidRDefault="00671B63" w:rsidP="00671B63">
      <w:pPr>
        <w:ind w:left="426"/>
        <w:contextualSpacing/>
        <w:jc w:val="left"/>
        <w:rPr>
          <w:i/>
        </w:rPr>
      </w:pPr>
    </w:p>
    <w:p w14:paraId="455C8DF9" w14:textId="2F19D633" w:rsidR="00671B63" w:rsidRPr="001B4CA2" w:rsidRDefault="0020162B" w:rsidP="00671B63">
      <w:pPr>
        <w:jc w:val="left"/>
        <w:rPr>
          <w:rFonts w:asciiTheme="minorHAnsi" w:hAnsiTheme="minorHAnsi" w:cstheme="minorBidi"/>
          <w:i/>
          <w:szCs w:val="22"/>
        </w:rPr>
      </w:pPr>
      <w:r w:rsidRPr="001B4CA2">
        <w:rPr>
          <w:rFonts w:asciiTheme="minorHAnsi" w:hAnsiTheme="minorHAnsi" w:cstheme="minorBidi"/>
          <w:i/>
          <w:szCs w:val="22"/>
        </w:rPr>
        <w:t xml:space="preserve"> </w:t>
      </w:r>
      <w:r w:rsidR="00671B63" w:rsidRPr="001B4CA2">
        <w:rPr>
          <w:rFonts w:asciiTheme="minorHAnsi" w:hAnsiTheme="minorHAnsi" w:cstheme="minorBidi"/>
          <w:i/>
          <w:szCs w:val="22"/>
        </w:rPr>
        <w:t>c) Kretanje</w:t>
      </w:r>
      <w:r w:rsidR="001B4CA2">
        <w:rPr>
          <w:rFonts w:asciiTheme="minorHAnsi" w:hAnsiTheme="minorHAnsi" w:cstheme="minorBidi"/>
          <w:i/>
          <w:szCs w:val="22"/>
        </w:rPr>
        <w:t xml:space="preserve"> </w:t>
      </w:r>
      <w:r w:rsidR="00671B63" w:rsidRPr="001B4CA2">
        <w:rPr>
          <w:rFonts w:asciiTheme="minorHAnsi" w:hAnsiTheme="minorHAnsi" w:cstheme="minorBidi"/>
          <w:i/>
          <w:szCs w:val="22"/>
        </w:rPr>
        <w:t>tužbenih zahtjeva u parničnim predmetima po vrsti spora 2018.</w:t>
      </w:r>
      <w:r w:rsidR="00F47D60">
        <w:rPr>
          <w:rFonts w:asciiTheme="minorHAnsi" w:hAnsiTheme="minorHAnsi" w:cstheme="minorBidi"/>
          <w:i/>
          <w:szCs w:val="22"/>
        </w:rPr>
        <w:t xml:space="preserve"> – </w:t>
      </w:r>
      <w:r w:rsidR="00671B63" w:rsidRPr="001B4CA2">
        <w:rPr>
          <w:rFonts w:asciiTheme="minorHAnsi" w:hAnsiTheme="minorHAnsi" w:cstheme="minorBidi"/>
          <w:i/>
          <w:szCs w:val="22"/>
        </w:rPr>
        <w:t>2022.</w:t>
      </w:r>
      <w:r w:rsidR="00671B63" w:rsidRPr="001B4CA2">
        <w:rPr>
          <w:rFonts w:asciiTheme="minorHAnsi" w:hAnsiTheme="minorHAnsi" w:cstheme="minorBidi"/>
          <w:i/>
          <w:color w:val="FF0000"/>
          <w:szCs w:val="22"/>
        </w:rPr>
        <w:t xml:space="preserve"> </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1362"/>
        <w:gridCol w:w="1362"/>
        <w:gridCol w:w="1362"/>
        <w:gridCol w:w="1362"/>
        <w:gridCol w:w="1267"/>
      </w:tblGrid>
      <w:tr w:rsidR="00671B63" w:rsidRPr="001B4CA2" w14:paraId="18B44663" w14:textId="77777777" w:rsidTr="005D30E9">
        <w:trPr>
          <w:trHeight w:val="1048"/>
          <w:jc w:val="center"/>
        </w:trPr>
        <w:tc>
          <w:tcPr>
            <w:tcW w:w="2287" w:type="dxa"/>
            <w:shd w:val="clear" w:color="000000" w:fill="99CCFF"/>
            <w:noWrap/>
            <w:vAlign w:val="center"/>
            <w:hideMark/>
          </w:tcPr>
          <w:p w14:paraId="0ABF73B5"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1362" w:type="dxa"/>
            <w:shd w:val="clear" w:color="000000" w:fill="99CCFF"/>
            <w:vAlign w:val="center"/>
            <w:hideMark/>
          </w:tcPr>
          <w:p w14:paraId="6DC6AFF5"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2018.</w:t>
            </w:r>
          </w:p>
        </w:tc>
        <w:tc>
          <w:tcPr>
            <w:tcW w:w="1362" w:type="dxa"/>
            <w:shd w:val="clear" w:color="000000" w:fill="99CCFF"/>
            <w:vAlign w:val="center"/>
            <w:hideMark/>
          </w:tcPr>
          <w:p w14:paraId="7A593599"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2019.</w:t>
            </w:r>
          </w:p>
        </w:tc>
        <w:tc>
          <w:tcPr>
            <w:tcW w:w="1362" w:type="dxa"/>
            <w:shd w:val="clear" w:color="000000" w:fill="99CCFF"/>
            <w:vAlign w:val="center"/>
            <w:hideMark/>
          </w:tcPr>
          <w:p w14:paraId="4B6A287D"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2020.</w:t>
            </w:r>
          </w:p>
        </w:tc>
        <w:tc>
          <w:tcPr>
            <w:tcW w:w="1362" w:type="dxa"/>
            <w:shd w:val="clear" w:color="000000" w:fill="99CCFF"/>
            <w:vAlign w:val="center"/>
            <w:hideMark/>
          </w:tcPr>
          <w:p w14:paraId="42A031A1"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2021.</w:t>
            </w:r>
          </w:p>
        </w:tc>
        <w:tc>
          <w:tcPr>
            <w:tcW w:w="1267" w:type="dxa"/>
            <w:shd w:val="clear" w:color="000000" w:fill="99CCFF"/>
            <w:vAlign w:val="center"/>
          </w:tcPr>
          <w:p w14:paraId="169CCEC0"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2022.</w:t>
            </w:r>
          </w:p>
        </w:tc>
      </w:tr>
      <w:tr w:rsidR="00671B63" w:rsidRPr="001B4CA2" w14:paraId="52F3DE3D" w14:textId="77777777" w:rsidTr="005D30E9">
        <w:trPr>
          <w:trHeight w:val="414"/>
          <w:jc w:val="center"/>
        </w:trPr>
        <w:tc>
          <w:tcPr>
            <w:tcW w:w="2287" w:type="dxa"/>
            <w:shd w:val="clear" w:color="auto" w:fill="FFFFFF" w:themeFill="background1"/>
            <w:vAlign w:val="center"/>
            <w:hideMark/>
          </w:tcPr>
          <w:p w14:paraId="56FD0500"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proofErr w:type="spellStart"/>
            <w:r w:rsidRPr="001B4CA2">
              <w:rPr>
                <w:rFonts w:asciiTheme="minorHAnsi" w:eastAsia="Times New Roman" w:hAnsiTheme="minorHAnsi" w:cstheme="minorHAnsi"/>
                <w:b/>
                <w:bCs/>
                <w:color w:val="000000"/>
                <w:sz w:val="18"/>
                <w:szCs w:val="18"/>
                <w:lang w:eastAsia="hr-HR"/>
              </w:rPr>
              <w:t>Stvarnopravni</w:t>
            </w:r>
            <w:proofErr w:type="spellEnd"/>
            <w:r w:rsidRPr="001B4CA2">
              <w:rPr>
                <w:rFonts w:asciiTheme="minorHAnsi" w:eastAsia="Times New Roman" w:hAnsiTheme="minorHAnsi" w:cstheme="minorHAnsi"/>
                <w:b/>
                <w:bCs/>
                <w:color w:val="000000"/>
                <w:sz w:val="18"/>
                <w:szCs w:val="18"/>
                <w:lang w:eastAsia="hr-HR"/>
              </w:rPr>
              <w:t xml:space="preserve"> sporovi</w:t>
            </w:r>
          </w:p>
        </w:tc>
        <w:tc>
          <w:tcPr>
            <w:tcW w:w="1362" w:type="dxa"/>
            <w:shd w:val="clear" w:color="auto" w:fill="auto"/>
            <w:noWrap/>
            <w:vAlign w:val="center"/>
          </w:tcPr>
          <w:p w14:paraId="43B5C451"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117</w:t>
            </w:r>
          </w:p>
        </w:tc>
        <w:tc>
          <w:tcPr>
            <w:tcW w:w="1362" w:type="dxa"/>
            <w:shd w:val="clear" w:color="auto" w:fill="auto"/>
            <w:noWrap/>
            <w:vAlign w:val="center"/>
          </w:tcPr>
          <w:p w14:paraId="2F391FCF"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129</w:t>
            </w:r>
          </w:p>
        </w:tc>
        <w:tc>
          <w:tcPr>
            <w:tcW w:w="1362" w:type="dxa"/>
            <w:shd w:val="clear" w:color="auto" w:fill="auto"/>
            <w:noWrap/>
            <w:vAlign w:val="center"/>
          </w:tcPr>
          <w:p w14:paraId="3D860D82"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176</w:t>
            </w:r>
          </w:p>
        </w:tc>
        <w:tc>
          <w:tcPr>
            <w:tcW w:w="1362" w:type="dxa"/>
            <w:shd w:val="clear" w:color="auto" w:fill="auto"/>
            <w:noWrap/>
            <w:vAlign w:val="center"/>
          </w:tcPr>
          <w:p w14:paraId="5AC10EBD"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152</w:t>
            </w:r>
          </w:p>
        </w:tc>
        <w:tc>
          <w:tcPr>
            <w:tcW w:w="1267" w:type="dxa"/>
            <w:vAlign w:val="center"/>
          </w:tcPr>
          <w:p w14:paraId="3B5F52AF"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181</w:t>
            </w:r>
          </w:p>
        </w:tc>
      </w:tr>
      <w:tr w:rsidR="00671B63" w:rsidRPr="001B4CA2" w14:paraId="106277B1" w14:textId="77777777" w:rsidTr="005D30E9">
        <w:trPr>
          <w:trHeight w:val="414"/>
          <w:jc w:val="center"/>
        </w:trPr>
        <w:tc>
          <w:tcPr>
            <w:tcW w:w="2287" w:type="dxa"/>
            <w:shd w:val="clear" w:color="auto" w:fill="FFFFFF" w:themeFill="background1"/>
            <w:vAlign w:val="center"/>
            <w:hideMark/>
          </w:tcPr>
          <w:p w14:paraId="70A19BC1"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Naknada štete</w:t>
            </w:r>
          </w:p>
        </w:tc>
        <w:tc>
          <w:tcPr>
            <w:tcW w:w="1362" w:type="dxa"/>
            <w:shd w:val="clear" w:color="auto" w:fill="auto"/>
            <w:noWrap/>
            <w:vAlign w:val="center"/>
          </w:tcPr>
          <w:p w14:paraId="02E133E7"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68</w:t>
            </w:r>
          </w:p>
        </w:tc>
        <w:tc>
          <w:tcPr>
            <w:tcW w:w="1362" w:type="dxa"/>
            <w:shd w:val="clear" w:color="auto" w:fill="auto"/>
            <w:noWrap/>
            <w:vAlign w:val="center"/>
          </w:tcPr>
          <w:p w14:paraId="1490D0E7"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64</w:t>
            </w:r>
          </w:p>
        </w:tc>
        <w:tc>
          <w:tcPr>
            <w:tcW w:w="1362" w:type="dxa"/>
            <w:shd w:val="clear" w:color="auto" w:fill="auto"/>
            <w:noWrap/>
            <w:vAlign w:val="center"/>
          </w:tcPr>
          <w:p w14:paraId="12AAF94D"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104</w:t>
            </w:r>
          </w:p>
        </w:tc>
        <w:tc>
          <w:tcPr>
            <w:tcW w:w="1362" w:type="dxa"/>
            <w:shd w:val="clear" w:color="auto" w:fill="auto"/>
            <w:noWrap/>
            <w:vAlign w:val="center"/>
          </w:tcPr>
          <w:p w14:paraId="442ABF1D"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80</w:t>
            </w:r>
          </w:p>
        </w:tc>
        <w:tc>
          <w:tcPr>
            <w:tcW w:w="1267" w:type="dxa"/>
            <w:vAlign w:val="center"/>
          </w:tcPr>
          <w:p w14:paraId="36F28198"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70</w:t>
            </w:r>
          </w:p>
        </w:tc>
      </w:tr>
      <w:tr w:rsidR="00671B63" w:rsidRPr="001B4CA2" w14:paraId="63B7670A" w14:textId="77777777" w:rsidTr="005D30E9">
        <w:trPr>
          <w:trHeight w:val="414"/>
          <w:jc w:val="center"/>
        </w:trPr>
        <w:tc>
          <w:tcPr>
            <w:tcW w:w="2287" w:type="dxa"/>
            <w:shd w:val="clear" w:color="auto" w:fill="FFFFFF" w:themeFill="background1"/>
            <w:vAlign w:val="center"/>
            <w:hideMark/>
          </w:tcPr>
          <w:p w14:paraId="2C96821E"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proofErr w:type="spellStart"/>
            <w:r w:rsidRPr="001B4CA2">
              <w:rPr>
                <w:rFonts w:asciiTheme="minorHAnsi" w:eastAsia="Times New Roman" w:hAnsiTheme="minorHAnsi" w:cstheme="minorHAnsi"/>
                <w:b/>
                <w:bCs/>
                <w:color w:val="000000"/>
                <w:sz w:val="18"/>
                <w:szCs w:val="18"/>
                <w:lang w:eastAsia="hr-HR"/>
              </w:rPr>
              <w:t>Obveznopravni</w:t>
            </w:r>
            <w:proofErr w:type="spellEnd"/>
            <w:r w:rsidRPr="001B4CA2">
              <w:rPr>
                <w:rFonts w:asciiTheme="minorHAnsi" w:eastAsia="Times New Roman" w:hAnsiTheme="minorHAnsi" w:cstheme="minorHAnsi"/>
                <w:b/>
                <w:bCs/>
                <w:color w:val="000000"/>
                <w:sz w:val="18"/>
                <w:szCs w:val="18"/>
                <w:lang w:eastAsia="hr-HR"/>
              </w:rPr>
              <w:t xml:space="preserve"> sporovi</w:t>
            </w:r>
          </w:p>
          <w:p w14:paraId="250A70F2"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p>
        </w:tc>
        <w:tc>
          <w:tcPr>
            <w:tcW w:w="1362" w:type="dxa"/>
            <w:shd w:val="clear" w:color="auto" w:fill="auto"/>
            <w:noWrap/>
            <w:vAlign w:val="center"/>
          </w:tcPr>
          <w:p w14:paraId="1C9BC8A9"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472</w:t>
            </w:r>
          </w:p>
        </w:tc>
        <w:tc>
          <w:tcPr>
            <w:tcW w:w="1362" w:type="dxa"/>
            <w:shd w:val="clear" w:color="auto" w:fill="auto"/>
            <w:noWrap/>
            <w:vAlign w:val="center"/>
          </w:tcPr>
          <w:p w14:paraId="1F6DBF95"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344</w:t>
            </w:r>
          </w:p>
        </w:tc>
        <w:tc>
          <w:tcPr>
            <w:tcW w:w="1362" w:type="dxa"/>
            <w:shd w:val="clear" w:color="auto" w:fill="auto"/>
            <w:noWrap/>
            <w:vAlign w:val="center"/>
          </w:tcPr>
          <w:p w14:paraId="505B75D8"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266</w:t>
            </w:r>
          </w:p>
        </w:tc>
        <w:tc>
          <w:tcPr>
            <w:tcW w:w="1362" w:type="dxa"/>
            <w:shd w:val="clear" w:color="auto" w:fill="auto"/>
            <w:noWrap/>
            <w:vAlign w:val="center"/>
          </w:tcPr>
          <w:p w14:paraId="5FC4BA94"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223</w:t>
            </w:r>
          </w:p>
        </w:tc>
        <w:tc>
          <w:tcPr>
            <w:tcW w:w="1267" w:type="dxa"/>
            <w:vAlign w:val="center"/>
          </w:tcPr>
          <w:p w14:paraId="1936BB2D"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250</w:t>
            </w:r>
          </w:p>
        </w:tc>
      </w:tr>
      <w:tr w:rsidR="00671B63" w:rsidRPr="001B4CA2" w14:paraId="29714C55" w14:textId="77777777" w:rsidTr="005D30E9">
        <w:trPr>
          <w:trHeight w:val="414"/>
          <w:jc w:val="center"/>
        </w:trPr>
        <w:tc>
          <w:tcPr>
            <w:tcW w:w="2287" w:type="dxa"/>
            <w:shd w:val="clear" w:color="auto" w:fill="FFFFFF" w:themeFill="background1"/>
            <w:vAlign w:val="center"/>
            <w:hideMark/>
          </w:tcPr>
          <w:p w14:paraId="0DF8E598"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 xml:space="preserve">Ostali parnični sporovi </w:t>
            </w:r>
          </w:p>
        </w:tc>
        <w:tc>
          <w:tcPr>
            <w:tcW w:w="1362" w:type="dxa"/>
            <w:shd w:val="clear" w:color="auto" w:fill="auto"/>
            <w:noWrap/>
            <w:vAlign w:val="center"/>
          </w:tcPr>
          <w:p w14:paraId="208CAE78"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85</w:t>
            </w:r>
          </w:p>
        </w:tc>
        <w:tc>
          <w:tcPr>
            <w:tcW w:w="1362" w:type="dxa"/>
            <w:shd w:val="clear" w:color="auto" w:fill="auto"/>
            <w:noWrap/>
            <w:vAlign w:val="center"/>
          </w:tcPr>
          <w:p w14:paraId="500DF88D"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78</w:t>
            </w:r>
          </w:p>
        </w:tc>
        <w:tc>
          <w:tcPr>
            <w:tcW w:w="1362" w:type="dxa"/>
            <w:shd w:val="clear" w:color="auto" w:fill="auto"/>
            <w:noWrap/>
            <w:vAlign w:val="center"/>
          </w:tcPr>
          <w:p w14:paraId="43051396"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17</w:t>
            </w:r>
          </w:p>
        </w:tc>
        <w:tc>
          <w:tcPr>
            <w:tcW w:w="1362" w:type="dxa"/>
            <w:shd w:val="clear" w:color="auto" w:fill="auto"/>
            <w:noWrap/>
            <w:vAlign w:val="center"/>
          </w:tcPr>
          <w:p w14:paraId="34CD3D94"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27</w:t>
            </w:r>
          </w:p>
        </w:tc>
        <w:tc>
          <w:tcPr>
            <w:tcW w:w="1267" w:type="dxa"/>
            <w:vAlign w:val="center"/>
          </w:tcPr>
          <w:p w14:paraId="40C039AC"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33</w:t>
            </w:r>
          </w:p>
        </w:tc>
      </w:tr>
      <w:tr w:rsidR="00671B63" w:rsidRPr="001B4CA2" w14:paraId="055892D1" w14:textId="77777777" w:rsidTr="005D30E9">
        <w:trPr>
          <w:trHeight w:val="414"/>
          <w:jc w:val="center"/>
        </w:trPr>
        <w:tc>
          <w:tcPr>
            <w:tcW w:w="2287" w:type="dxa"/>
            <w:shd w:val="clear" w:color="auto" w:fill="FFFFFF" w:themeFill="background1"/>
            <w:vAlign w:val="center"/>
            <w:hideMark/>
          </w:tcPr>
          <w:p w14:paraId="7A8A3257"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Arbitražni sporovi</w:t>
            </w:r>
          </w:p>
        </w:tc>
        <w:tc>
          <w:tcPr>
            <w:tcW w:w="1362" w:type="dxa"/>
            <w:shd w:val="clear" w:color="auto" w:fill="auto"/>
            <w:noWrap/>
            <w:vAlign w:val="center"/>
          </w:tcPr>
          <w:p w14:paraId="22BA2F2A"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w:t>
            </w:r>
          </w:p>
        </w:tc>
        <w:tc>
          <w:tcPr>
            <w:tcW w:w="1362" w:type="dxa"/>
            <w:shd w:val="clear" w:color="auto" w:fill="auto"/>
            <w:noWrap/>
            <w:vAlign w:val="center"/>
          </w:tcPr>
          <w:p w14:paraId="5BB025F6"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w:t>
            </w:r>
          </w:p>
        </w:tc>
        <w:tc>
          <w:tcPr>
            <w:tcW w:w="1362" w:type="dxa"/>
            <w:shd w:val="clear" w:color="auto" w:fill="auto"/>
            <w:noWrap/>
            <w:vAlign w:val="center"/>
          </w:tcPr>
          <w:p w14:paraId="0FAD480E"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w:t>
            </w:r>
          </w:p>
        </w:tc>
        <w:tc>
          <w:tcPr>
            <w:tcW w:w="1362" w:type="dxa"/>
            <w:shd w:val="clear" w:color="auto" w:fill="auto"/>
            <w:noWrap/>
            <w:vAlign w:val="center"/>
          </w:tcPr>
          <w:p w14:paraId="05B1F3F7"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3</w:t>
            </w:r>
          </w:p>
        </w:tc>
        <w:tc>
          <w:tcPr>
            <w:tcW w:w="1267" w:type="dxa"/>
            <w:vAlign w:val="center"/>
          </w:tcPr>
          <w:p w14:paraId="16E90B06"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w:t>
            </w:r>
          </w:p>
        </w:tc>
      </w:tr>
      <w:tr w:rsidR="00671B63" w:rsidRPr="001B4CA2" w14:paraId="7E89DB2E" w14:textId="77777777" w:rsidTr="005D30E9">
        <w:trPr>
          <w:trHeight w:val="414"/>
          <w:jc w:val="center"/>
        </w:trPr>
        <w:tc>
          <w:tcPr>
            <w:tcW w:w="2287" w:type="dxa"/>
            <w:shd w:val="clear" w:color="auto" w:fill="FFFFFF" w:themeFill="background1"/>
            <w:vAlign w:val="center"/>
            <w:hideMark/>
          </w:tcPr>
          <w:p w14:paraId="320500CB"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Sporovi vezani uz stečaj</w:t>
            </w:r>
          </w:p>
        </w:tc>
        <w:tc>
          <w:tcPr>
            <w:tcW w:w="1362" w:type="dxa"/>
            <w:shd w:val="clear" w:color="auto" w:fill="auto"/>
            <w:noWrap/>
            <w:vAlign w:val="center"/>
          </w:tcPr>
          <w:p w14:paraId="04FC2D50"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w:t>
            </w:r>
          </w:p>
        </w:tc>
        <w:tc>
          <w:tcPr>
            <w:tcW w:w="1362" w:type="dxa"/>
            <w:shd w:val="clear" w:color="auto" w:fill="auto"/>
            <w:noWrap/>
            <w:vAlign w:val="center"/>
          </w:tcPr>
          <w:p w14:paraId="59630710"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w:t>
            </w:r>
          </w:p>
        </w:tc>
        <w:tc>
          <w:tcPr>
            <w:tcW w:w="1362" w:type="dxa"/>
            <w:shd w:val="clear" w:color="auto" w:fill="auto"/>
            <w:noWrap/>
            <w:vAlign w:val="center"/>
          </w:tcPr>
          <w:p w14:paraId="4712E913"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33</w:t>
            </w:r>
          </w:p>
        </w:tc>
        <w:tc>
          <w:tcPr>
            <w:tcW w:w="1362" w:type="dxa"/>
            <w:shd w:val="clear" w:color="auto" w:fill="auto"/>
            <w:noWrap/>
            <w:vAlign w:val="center"/>
          </w:tcPr>
          <w:p w14:paraId="3B8445D6"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17</w:t>
            </w:r>
          </w:p>
        </w:tc>
        <w:tc>
          <w:tcPr>
            <w:tcW w:w="1267" w:type="dxa"/>
            <w:vAlign w:val="center"/>
          </w:tcPr>
          <w:p w14:paraId="5C77E49A"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23</w:t>
            </w:r>
          </w:p>
        </w:tc>
      </w:tr>
      <w:tr w:rsidR="00671B63" w:rsidRPr="001B4CA2" w14:paraId="6FF8C39F" w14:textId="77777777" w:rsidTr="005D30E9">
        <w:trPr>
          <w:trHeight w:val="414"/>
          <w:jc w:val="center"/>
        </w:trPr>
        <w:tc>
          <w:tcPr>
            <w:tcW w:w="2287" w:type="dxa"/>
            <w:shd w:val="clear" w:color="auto" w:fill="FFFFFF" w:themeFill="background1"/>
            <w:vAlign w:val="center"/>
            <w:hideMark/>
          </w:tcPr>
          <w:p w14:paraId="09AA81DB"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Zabrana nezakonitog štrajka</w:t>
            </w:r>
          </w:p>
        </w:tc>
        <w:tc>
          <w:tcPr>
            <w:tcW w:w="1362" w:type="dxa"/>
            <w:shd w:val="clear" w:color="auto" w:fill="auto"/>
            <w:noWrap/>
            <w:vAlign w:val="center"/>
          </w:tcPr>
          <w:p w14:paraId="6D4451B3"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w:t>
            </w:r>
          </w:p>
        </w:tc>
        <w:tc>
          <w:tcPr>
            <w:tcW w:w="1362" w:type="dxa"/>
            <w:shd w:val="clear" w:color="auto" w:fill="auto"/>
            <w:noWrap/>
            <w:vAlign w:val="center"/>
          </w:tcPr>
          <w:p w14:paraId="70FF2122"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w:t>
            </w:r>
          </w:p>
        </w:tc>
        <w:tc>
          <w:tcPr>
            <w:tcW w:w="1362" w:type="dxa"/>
            <w:shd w:val="clear" w:color="auto" w:fill="auto"/>
            <w:noWrap/>
            <w:vAlign w:val="center"/>
          </w:tcPr>
          <w:p w14:paraId="06A6FEC8"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w:t>
            </w:r>
          </w:p>
        </w:tc>
        <w:tc>
          <w:tcPr>
            <w:tcW w:w="1362" w:type="dxa"/>
            <w:shd w:val="clear" w:color="auto" w:fill="auto"/>
            <w:noWrap/>
            <w:vAlign w:val="center"/>
          </w:tcPr>
          <w:p w14:paraId="4F88E1A6"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w:t>
            </w:r>
          </w:p>
        </w:tc>
        <w:tc>
          <w:tcPr>
            <w:tcW w:w="1267" w:type="dxa"/>
            <w:vAlign w:val="center"/>
          </w:tcPr>
          <w:p w14:paraId="51457079"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w:t>
            </w:r>
          </w:p>
        </w:tc>
      </w:tr>
      <w:tr w:rsidR="00671B63" w:rsidRPr="001B4CA2" w14:paraId="1C6BA718" w14:textId="77777777" w:rsidTr="005D30E9">
        <w:trPr>
          <w:trHeight w:val="414"/>
          <w:jc w:val="center"/>
        </w:trPr>
        <w:tc>
          <w:tcPr>
            <w:tcW w:w="2287" w:type="dxa"/>
            <w:shd w:val="clear" w:color="auto" w:fill="FFFFFF" w:themeFill="background1"/>
            <w:vAlign w:val="center"/>
            <w:hideMark/>
          </w:tcPr>
          <w:p w14:paraId="357599A8"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sz w:val="18"/>
                <w:szCs w:val="18"/>
                <w:lang w:eastAsia="hr-HR"/>
              </w:rPr>
              <w:t>Zaštita intelektualnog vlasništva</w:t>
            </w:r>
          </w:p>
        </w:tc>
        <w:tc>
          <w:tcPr>
            <w:tcW w:w="1362" w:type="dxa"/>
            <w:shd w:val="clear" w:color="auto" w:fill="auto"/>
            <w:noWrap/>
            <w:vAlign w:val="center"/>
          </w:tcPr>
          <w:p w14:paraId="7B949546"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w:t>
            </w:r>
          </w:p>
        </w:tc>
        <w:tc>
          <w:tcPr>
            <w:tcW w:w="1362" w:type="dxa"/>
            <w:shd w:val="clear" w:color="auto" w:fill="auto"/>
            <w:noWrap/>
            <w:vAlign w:val="center"/>
          </w:tcPr>
          <w:p w14:paraId="0E2F9711"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w:t>
            </w:r>
          </w:p>
        </w:tc>
        <w:tc>
          <w:tcPr>
            <w:tcW w:w="1362" w:type="dxa"/>
            <w:shd w:val="clear" w:color="auto" w:fill="auto"/>
            <w:noWrap/>
            <w:vAlign w:val="center"/>
          </w:tcPr>
          <w:p w14:paraId="52C32BBC"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w:t>
            </w:r>
          </w:p>
        </w:tc>
        <w:tc>
          <w:tcPr>
            <w:tcW w:w="1362" w:type="dxa"/>
            <w:shd w:val="clear" w:color="auto" w:fill="auto"/>
            <w:noWrap/>
            <w:vAlign w:val="center"/>
          </w:tcPr>
          <w:p w14:paraId="2471ACDB"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w:t>
            </w:r>
          </w:p>
        </w:tc>
        <w:tc>
          <w:tcPr>
            <w:tcW w:w="1267" w:type="dxa"/>
            <w:vAlign w:val="center"/>
          </w:tcPr>
          <w:p w14:paraId="38011411"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w:t>
            </w:r>
          </w:p>
        </w:tc>
      </w:tr>
    </w:tbl>
    <w:p w14:paraId="51C675C5" w14:textId="77777777" w:rsidR="00671B63" w:rsidRPr="001B4CA2" w:rsidRDefault="00671B63" w:rsidP="00671B63">
      <w:pPr>
        <w:rPr>
          <w:szCs w:val="22"/>
        </w:rPr>
      </w:pPr>
    </w:p>
    <w:p w14:paraId="0A9AEF63" w14:textId="77777777" w:rsidR="00773E87" w:rsidRPr="001B4CA2" w:rsidRDefault="00773E87" w:rsidP="00773E87">
      <w:pPr>
        <w:ind w:firstLine="708"/>
        <w:contextualSpacing/>
      </w:pPr>
      <w:r w:rsidRPr="001B4CA2">
        <w:t xml:space="preserve">Analizirajući gornje podatke o vrstama predmeta, primjećujemo da se najveći broj predmeta odnosio na </w:t>
      </w:r>
      <w:proofErr w:type="spellStart"/>
      <w:r w:rsidRPr="001B4CA2">
        <w:t>obveznopravne</w:t>
      </w:r>
      <w:proofErr w:type="spellEnd"/>
      <w:r w:rsidRPr="001B4CA2">
        <w:t xml:space="preserve"> sporove 44,72 %, zatim </w:t>
      </w:r>
      <w:proofErr w:type="spellStart"/>
      <w:r w:rsidRPr="001B4CA2">
        <w:t>stvarnopravne</w:t>
      </w:r>
      <w:proofErr w:type="spellEnd"/>
      <w:r w:rsidRPr="001B4CA2">
        <w:t xml:space="preserve"> 32,37 %, naknadu štete 12,52 %, sporove vezane uz stečaj 4,11 %, dok su ostali sporovi zastupljeni u neznatnom broju.</w:t>
      </w:r>
    </w:p>
    <w:p w14:paraId="74DE65CE" w14:textId="77777777" w:rsidR="00773E87" w:rsidRPr="001B4CA2" w:rsidRDefault="00773E87" w:rsidP="00773E87">
      <w:pPr>
        <w:ind w:firstLine="708"/>
        <w:contextualSpacing/>
      </w:pPr>
    </w:p>
    <w:p w14:paraId="12F47C8F" w14:textId="4BE7C7BD" w:rsidR="00773E87" w:rsidRPr="001B4CA2" w:rsidRDefault="00773E87" w:rsidP="00773E87">
      <w:pPr>
        <w:ind w:firstLine="708"/>
        <w:contextualSpacing/>
      </w:pPr>
      <w:r w:rsidRPr="001B4CA2">
        <w:t>Uspoređujući ove podatke s po</w:t>
      </w:r>
      <w:r w:rsidR="00FD08E9">
        <w:t>datci</w:t>
      </w:r>
      <w:r w:rsidRPr="001B4CA2">
        <w:t>ma iz prethodnog razdoblja</w:t>
      </w:r>
      <w:r w:rsidR="005D6447">
        <w:t xml:space="preserve">, razvidno </w:t>
      </w:r>
      <w:r w:rsidRPr="001B4CA2">
        <w:t xml:space="preserve">je da je tijekom 2022. godine povećan broj parničnih predmeta u kojima se ostvaruju </w:t>
      </w:r>
      <w:proofErr w:type="spellStart"/>
      <w:r w:rsidRPr="001B4CA2">
        <w:t>stvarnopravni</w:t>
      </w:r>
      <w:proofErr w:type="spellEnd"/>
      <w:r w:rsidRPr="001B4CA2">
        <w:t xml:space="preserve"> zahtjevi. Broj ovih predmeta povećan je za 19 %. Razlog tome leži u činjenici pokretanja parnica radi utvrđenja prava vlasništva ili ispravka upisa u zemljišnoj knjizi koje su rezultat prethodno vođenih zemljišnoknjižnih post</w:t>
      </w:r>
      <w:r w:rsidR="0002334C" w:rsidRPr="001B4CA2">
        <w:t>u</w:t>
      </w:r>
      <w:r w:rsidRPr="001B4CA2">
        <w:t>paka. U velikom broju ovih predmeta radi se o sporovima između države i jedinica lokalne samouprave (gradovi i općine).</w:t>
      </w:r>
    </w:p>
    <w:p w14:paraId="485B4301" w14:textId="77777777" w:rsidR="00773E87" w:rsidRPr="001B4CA2" w:rsidRDefault="00773E87" w:rsidP="00773E87">
      <w:pPr>
        <w:ind w:firstLine="708"/>
        <w:contextualSpacing/>
      </w:pPr>
      <w:r w:rsidRPr="001B4CA2">
        <w:tab/>
      </w:r>
    </w:p>
    <w:p w14:paraId="70265B05" w14:textId="15E67016" w:rsidR="00773E87" w:rsidRPr="001B4CA2" w:rsidRDefault="00773E87" w:rsidP="00773E87">
      <w:pPr>
        <w:ind w:firstLine="708"/>
        <w:contextualSpacing/>
      </w:pPr>
      <w:r w:rsidRPr="001B4CA2">
        <w:lastRenderedPageBreak/>
        <w:t xml:space="preserve">Također, povećan je i broj </w:t>
      </w:r>
      <w:proofErr w:type="spellStart"/>
      <w:r w:rsidRPr="001B4CA2">
        <w:t>obveznopravnih</w:t>
      </w:r>
      <w:proofErr w:type="spellEnd"/>
      <w:r w:rsidRPr="001B4CA2">
        <w:t xml:space="preserve"> predmeta za 12,10 % u odnosu na prethodnu</w:t>
      </w:r>
      <w:r w:rsidR="005D6447">
        <w:t>,</w:t>
      </w:r>
      <w:r w:rsidRPr="001B4CA2">
        <w:t xml:space="preserve"> 2021. godinu. </w:t>
      </w:r>
    </w:p>
    <w:p w14:paraId="0A7ED0F8" w14:textId="77777777" w:rsidR="00773E87" w:rsidRPr="001B4CA2" w:rsidRDefault="00773E87" w:rsidP="00773E87">
      <w:pPr>
        <w:contextualSpacing/>
      </w:pPr>
    </w:p>
    <w:p w14:paraId="3E238133" w14:textId="3146ED33" w:rsidR="00773E87" w:rsidRPr="001B4CA2" w:rsidRDefault="00773E87" w:rsidP="00773E87">
      <w:pPr>
        <w:ind w:firstLine="708"/>
      </w:pPr>
      <w:r w:rsidRPr="001B4CA2">
        <w:t>Sporovi vezani uz stečaj u 2022. godini ponov</w:t>
      </w:r>
      <w:r w:rsidR="005D6447">
        <w:t>n</w:t>
      </w:r>
      <w:r w:rsidRPr="001B4CA2">
        <w:t xml:space="preserve">o bilježe povećanje (35 %), a radi se u pravilu o dokazivanju osnovanosti ili osporavanja spornih tražbina koje su prijavljene u stečajnim ili predstečajnim postupcima. </w:t>
      </w:r>
    </w:p>
    <w:p w14:paraId="732069D3" w14:textId="77777777" w:rsidR="00773E87" w:rsidRPr="001B4CA2" w:rsidRDefault="00773E87" w:rsidP="00773E87">
      <w:pPr>
        <w:ind w:firstLine="708"/>
      </w:pPr>
    </w:p>
    <w:p w14:paraId="3D88BDDC" w14:textId="77777777" w:rsidR="00773E87" w:rsidRPr="001B4CA2" w:rsidRDefault="00773E87" w:rsidP="00773E87">
      <w:pPr>
        <w:ind w:firstLine="708"/>
      </w:pPr>
      <w:r w:rsidRPr="001B4CA2">
        <w:t xml:space="preserve">Smanjenje od 12 % u odnosu na prethodno razdoblje bilježe predmeti radi naknade štete. </w:t>
      </w:r>
    </w:p>
    <w:p w14:paraId="41E884A7" w14:textId="77777777" w:rsidR="00773E87" w:rsidRPr="001B4CA2" w:rsidRDefault="00773E87" w:rsidP="00773E87"/>
    <w:p w14:paraId="4D5F55D7" w14:textId="11F7B748" w:rsidR="00BA5D41" w:rsidRPr="001B4CA2" w:rsidRDefault="00BA5D41" w:rsidP="00671B63">
      <w:pPr>
        <w:ind w:left="142"/>
        <w:contextualSpacing/>
        <w:jc w:val="left"/>
      </w:pPr>
    </w:p>
    <w:p w14:paraId="60AF8582" w14:textId="48A1B19B" w:rsidR="00106FB8" w:rsidRPr="001B4CA2" w:rsidRDefault="00106FB8">
      <w:pPr>
        <w:spacing w:after="200" w:line="276" w:lineRule="auto"/>
        <w:jc w:val="left"/>
      </w:pPr>
      <w:r w:rsidRPr="001B4CA2">
        <w:br w:type="page"/>
      </w:r>
    </w:p>
    <w:p w14:paraId="2A01414A" w14:textId="77777777" w:rsidR="00106FB8" w:rsidRPr="001B4CA2" w:rsidRDefault="00106FB8" w:rsidP="00716CCE">
      <w:pPr>
        <w:sectPr w:rsidR="00106FB8" w:rsidRPr="001B4CA2" w:rsidSect="007418AF">
          <w:pgSz w:w="11906" w:h="16838"/>
          <w:pgMar w:top="1417" w:right="1417" w:bottom="1417" w:left="1417" w:header="709" w:footer="709" w:gutter="0"/>
          <w:cols w:space="708"/>
          <w:docGrid w:linePitch="360"/>
        </w:sectPr>
      </w:pPr>
    </w:p>
    <w:p w14:paraId="0E29397B" w14:textId="33907EF2" w:rsidR="00671B63" w:rsidRPr="001B4CA2" w:rsidRDefault="00F062E4" w:rsidP="00F062E4">
      <w:pPr>
        <w:jc w:val="left"/>
        <w:rPr>
          <w:rFonts w:asciiTheme="minorHAnsi" w:hAnsiTheme="minorHAnsi" w:cstheme="minorBidi"/>
          <w:i/>
          <w:szCs w:val="22"/>
        </w:rPr>
      </w:pPr>
      <w:r w:rsidRPr="001B4CA2">
        <w:rPr>
          <w:rFonts w:asciiTheme="minorHAnsi" w:hAnsiTheme="minorHAnsi" w:cstheme="minorBidi"/>
          <w:i/>
          <w:szCs w:val="22"/>
        </w:rPr>
        <w:lastRenderedPageBreak/>
        <w:t xml:space="preserve">d) </w:t>
      </w:r>
      <w:r w:rsidR="00671B63" w:rsidRPr="001B4CA2">
        <w:rPr>
          <w:rFonts w:asciiTheme="minorHAnsi" w:hAnsiTheme="minorHAnsi" w:cstheme="minorBidi"/>
          <w:i/>
          <w:szCs w:val="22"/>
        </w:rPr>
        <w:t>Novi tužbeni zahtjevi</w:t>
      </w:r>
      <w:r w:rsidR="00F47D60">
        <w:rPr>
          <w:rFonts w:asciiTheme="minorHAnsi" w:hAnsiTheme="minorHAnsi" w:cstheme="minorBidi"/>
          <w:i/>
          <w:szCs w:val="22"/>
        </w:rPr>
        <w:t xml:space="preserve"> – </w:t>
      </w:r>
      <w:r w:rsidR="00671B63" w:rsidRPr="001B4CA2">
        <w:rPr>
          <w:rFonts w:asciiTheme="minorHAnsi" w:hAnsiTheme="minorHAnsi" w:cstheme="minorBidi"/>
          <w:i/>
          <w:szCs w:val="22"/>
        </w:rPr>
        <w:t>prema vrsti spora, zastupanom tijelu i procesnom položaju u 2022.</w:t>
      </w:r>
    </w:p>
    <w:tbl>
      <w:tblPr>
        <w:tblpPr w:leftFromText="180" w:rightFromText="180" w:vertAnchor="text" w:horzAnchor="margin" w:tblpY="149"/>
        <w:tblW w:w="15255" w:type="dxa"/>
        <w:tblLayout w:type="fixed"/>
        <w:tblLook w:val="04A0" w:firstRow="1" w:lastRow="0" w:firstColumn="1" w:lastColumn="0" w:noHBand="0" w:noVBand="1"/>
      </w:tblPr>
      <w:tblGrid>
        <w:gridCol w:w="3527"/>
        <w:gridCol w:w="836"/>
        <w:gridCol w:w="837"/>
        <w:gridCol w:w="836"/>
        <w:gridCol w:w="838"/>
        <w:gridCol w:w="837"/>
        <w:gridCol w:w="838"/>
        <w:gridCol w:w="837"/>
        <w:gridCol w:w="838"/>
        <w:gridCol w:w="837"/>
        <w:gridCol w:w="838"/>
        <w:gridCol w:w="837"/>
        <w:gridCol w:w="838"/>
        <w:gridCol w:w="837"/>
        <w:gridCol w:w="837"/>
        <w:gridCol w:w="7"/>
      </w:tblGrid>
      <w:tr w:rsidR="00671B63" w:rsidRPr="001B4CA2" w14:paraId="18CC361F" w14:textId="77777777" w:rsidTr="00D57807">
        <w:trPr>
          <w:trHeight w:val="517"/>
        </w:trPr>
        <w:tc>
          <w:tcPr>
            <w:tcW w:w="3530" w:type="dxa"/>
            <w:vMerge w:val="restart"/>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C411B12" w14:textId="77777777" w:rsidR="00671B63" w:rsidRPr="001B4CA2" w:rsidRDefault="00671B63" w:rsidP="00671B63">
            <w:pPr>
              <w:jc w:val="center"/>
              <w:rPr>
                <w:b/>
                <w:bCs/>
                <w:color w:val="000000"/>
                <w:sz w:val="18"/>
                <w:szCs w:val="18"/>
                <w:lang w:eastAsia="hr-HR"/>
              </w:rPr>
            </w:pPr>
            <w:bookmarkStart w:id="92" w:name="_Hlk131593434"/>
            <w:r w:rsidRPr="001B4CA2">
              <w:rPr>
                <w:b/>
                <w:bCs/>
                <w:color w:val="000000"/>
                <w:sz w:val="18"/>
                <w:szCs w:val="18"/>
                <w:lang w:eastAsia="hr-HR"/>
              </w:rPr>
              <w:t xml:space="preserve">Naziv ministarstva </w:t>
            </w:r>
          </w:p>
          <w:p w14:paraId="28B84A72" w14:textId="77777777" w:rsidR="00671B63" w:rsidRPr="001B4CA2" w:rsidRDefault="00671B63" w:rsidP="00671B63">
            <w:pPr>
              <w:jc w:val="center"/>
              <w:rPr>
                <w:b/>
                <w:bCs/>
                <w:color w:val="000000"/>
                <w:sz w:val="18"/>
                <w:szCs w:val="18"/>
                <w:lang w:eastAsia="hr-HR"/>
              </w:rPr>
            </w:pPr>
            <w:r w:rsidRPr="001B4CA2">
              <w:rPr>
                <w:b/>
                <w:bCs/>
                <w:color w:val="000000"/>
                <w:sz w:val="18"/>
                <w:szCs w:val="18"/>
                <w:lang w:eastAsia="hr-HR"/>
              </w:rPr>
              <w:t xml:space="preserve">ili drugog tijela </w:t>
            </w:r>
          </w:p>
        </w:tc>
        <w:tc>
          <w:tcPr>
            <w:tcW w:w="1675" w:type="dxa"/>
            <w:gridSpan w:val="2"/>
            <w:vMerge w:val="restart"/>
            <w:tcBorders>
              <w:top w:val="single" w:sz="4" w:space="0" w:color="auto"/>
              <w:left w:val="single" w:sz="4" w:space="0" w:color="auto"/>
              <w:bottom w:val="single" w:sz="4" w:space="0" w:color="000000"/>
              <w:right w:val="single" w:sz="4" w:space="0" w:color="000000"/>
            </w:tcBorders>
            <w:shd w:val="clear" w:color="auto" w:fill="99CCFF"/>
            <w:noWrap/>
            <w:vAlign w:val="center"/>
            <w:hideMark/>
          </w:tcPr>
          <w:p w14:paraId="410CC723" w14:textId="77777777" w:rsidR="00671B63" w:rsidRPr="001B4CA2" w:rsidRDefault="00671B63" w:rsidP="00671B63">
            <w:pPr>
              <w:jc w:val="center"/>
              <w:rPr>
                <w:b/>
                <w:bCs/>
                <w:sz w:val="14"/>
                <w:szCs w:val="14"/>
                <w:lang w:eastAsia="hr-HR"/>
              </w:rPr>
            </w:pPr>
            <w:proofErr w:type="spellStart"/>
            <w:r w:rsidRPr="001B4CA2">
              <w:rPr>
                <w:b/>
                <w:bCs/>
                <w:sz w:val="14"/>
                <w:szCs w:val="14"/>
                <w:lang w:eastAsia="hr-HR"/>
              </w:rPr>
              <w:t>Stvarnopravni</w:t>
            </w:r>
            <w:proofErr w:type="spellEnd"/>
            <w:r w:rsidRPr="001B4CA2">
              <w:rPr>
                <w:b/>
                <w:bCs/>
                <w:sz w:val="14"/>
                <w:szCs w:val="14"/>
                <w:lang w:eastAsia="hr-HR"/>
              </w:rPr>
              <w:t xml:space="preserve"> sporovi</w:t>
            </w:r>
          </w:p>
        </w:tc>
        <w:tc>
          <w:tcPr>
            <w:tcW w:w="1675" w:type="dxa"/>
            <w:gridSpan w:val="2"/>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22406DBF" w14:textId="15FE2D5F" w:rsidR="00671B63" w:rsidRPr="001B4CA2" w:rsidRDefault="00671B63" w:rsidP="00671B63">
            <w:pPr>
              <w:jc w:val="center"/>
              <w:rPr>
                <w:b/>
                <w:bCs/>
                <w:sz w:val="14"/>
                <w:szCs w:val="14"/>
                <w:lang w:eastAsia="hr-HR"/>
              </w:rPr>
            </w:pPr>
            <w:proofErr w:type="spellStart"/>
            <w:r w:rsidRPr="001B4CA2">
              <w:rPr>
                <w:b/>
                <w:bCs/>
                <w:sz w:val="14"/>
                <w:szCs w:val="14"/>
                <w:lang w:eastAsia="hr-HR"/>
              </w:rPr>
              <w:t>Obveznopravni</w:t>
            </w:r>
            <w:proofErr w:type="spellEnd"/>
            <w:r w:rsidR="001B4CA2">
              <w:rPr>
                <w:b/>
                <w:bCs/>
                <w:sz w:val="14"/>
                <w:szCs w:val="14"/>
                <w:lang w:eastAsia="hr-HR"/>
              </w:rPr>
              <w:t xml:space="preserve"> </w:t>
            </w:r>
            <w:r w:rsidRPr="001B4CA2">
              <w:rPr>
                <w:b/>
                <w:bCs/>
                <w:sz w:val="14"/>
                <w:szCs w:val="14"/>
                <w:lang w:eastAsia="hr-HR"/>
              </w:rPr>
              <w:t>sporovi</w:t>
            </w:r>
          </w:p>
        </w:tc>
        <w:tc>
          <w:tcPr>
            <w:tcW w:w="1675" w:type="dxa"/>
            <w:gridSpan w:val="2"/>
            <w:vMerge w:val="restart"/>
            <w:tcBorders>
              <w:top w:val="single" w:sz="4" w:space="0" w:color="auto"/>
              <w:left w:val="single" w:sz="4" w:space="0" w:color="auto"/>
              <w:bottom w:val="single" w:sz="4" w:space="0" w:color="000000"/>
              <w:right w:val="single" w:sz="4" w:space="0" w:color="000000"/>
            </w:tcBorders>
            <w:shd w:val="clear" w:color="auto" w:fill="99CCFF"/>
            <w:vAlign w:val="center"/>
            <w:hideMark/>
          </w:tcPr>
          <w:p w14:paraId="1CBEFEAC" w14:textId="77777777" w:rsidR="00671B63" w:rsidRPr="001B4CA2" w:rsidRDefault="00671B63" w:rsidP="00671B63">
            <w:pPr>
              <w:jc w:val="center"/>
              <w:rPr>
                <w:b/>
                <w:bCs/>
                <w:sz w:val="14"/>
                <w:szCs w:val="14"/>
                <w:lang w:eastAsia="hr-HR"/>
              </w:rPr>
            </w:pPr>
            <w:r w:rsidRPr="001B4CA2">
              <w:rPr>
                <w:b/>
                <w:bCs/>
                <w:sz w:val="14"/>
                <w:szCs w:val="14"/>
                <w:lang w:eastAsia="hr-HR"/>
              </w:rPr>
              <w:t xml:space="preserve">Naknade štete </w:t>
            </w:r>
          </w:p>
        </w:tc>
        <w:tc>
          <w:tcPr>
            <w:tcW w:w="1675" w:type="dxa"/>
            <w:gridSpan w:val="2"/>
            <w:vMerge w:val="restart"/>
            <w:tcBorders>
              <w:top w:val="single" w:sz="4" w:space="0" w:color="auto"/>
              <w:left w:val="single" w:sz="4" w:space="0" w:color="auto"/>
              <w:bottom w:val="single" w:sz="4" w:space="0" w:color="000000"/>
              <w:right w:val="single" w:sz="4" w:space="0" w:color="000000"/>
            </w:tcBorders>
            <w:shd w:val="clear" w:color="auto" w:fill="99CCFF"/>
            <w:vAlign w:val="center"/>
            <w:hideMark/>
          </w:tcPr>
          <w:p w14:paraId="663CCE7F" w14:textId="77777777" w:rsidR="00671B63" w:rsidRPr="001B4CA2" w:rsidRDefault="00671B63" w:rsidP="00671B63">
            <w:pPr>
              <w:jc w:val="center"/>
              <w:rPr>
                <w:b/>
                <w:bCs/>
                <w:sz w:val="14"/>
                <w:szCs w:val="14"/>
                <w:lang w:eastAsia="hr-HR"/>
              </w:rPr>
            </w:pPr>
            <w:r w:rsidRPr="001B4CA2">
              <w:rPr>
                <w:b/>
                <w:bCs/>
                <w:sz w:val="14"/>
                <w:szCs w:val="14"/>
                <w:lang w:eastAsia="hr-HR"/>
              </w:rPr>
              <w:t>Arbitražni postupci</w:t>
            </w:r>
          </w:p>
        </w:tc>
        <w:tc>
          <w:tcPr>
            <w:tcW w:w="1675" w:type="dxa"/>
            <w:gridSpan w:val="2"/>
            <w:vMerge w:val="restart"/>
            <w:tcBorders>
              <w:top w:val="single" w:sz="4" w:space="0" w:color="auto"/>
              <w:left w:val="single" w:sz="4" w:space="0" w:color="auto"/>
              <w:bottom w:val="single" w:sz="4" w:space="0" w:color="000000"/>
              <w:right w:val="single" w:sz="4" w:space="0" w:color="000000"/>
            </w:tcBorders>
            <w:shd w:val="clear" w:color="auto" w:fill="99CCFF"/>
            <w:vAlign w:val="center"/>
            <w:hideMark/>
          </w:tcPr>
          <w:p w14:paraId="45CAB8F3" w14:textId="77777777" w:rsidR="00671B63" w:rsidRPr="001B4CA2" w:rsidRDefault="00671B63" w:rsidP="00671B63">
            <w:pPr>
              <w:jc w:val="center"/>
              <w:rPr>
                <w:b/>
                <w:bCs/>
                <w:sz w:val="14"/>
                <w:szCs w:val="14"/>
                <w:lang w:eastAsia="hr-HR"/>
              </w:rPr>
            </w:pPr>
            <w:r w:rsidRPr="001B4CA2">
              <w:rPr>
                <w:b/>
                <w:bCs/>
                <w:sz w:val="14"/>
                <w:szCs w:val="14"/>
                <w:lang w:eastAsia="hr-HR"/>
              </w:rPr>
              <w:t xml:space="preserve">Sporovi vezani uz stečaj </w:t>
            </w:r>
          </w:p>
        </w:tc>
        <w:tc>
          <w:tcPr>
            <w:tcW w:w="1675" w:type="dxa"/>
            <w:gridSpan w:val="2"/>
            <w:vMerge w:val="restart"/>
            <w:tcBorders>
              <w:top w:val="single" w:sz="4" w:space="0" w:color="auto"/>
              <w:left w:val="single" w:sz="4" w:space="0" w:color="auto"/>
              <w:bottom w:val="single" w:sz="4" w:space="0" w:color="auto"/>
              <w:right w:val="single" w:sz="4" w:space="0" w:color="auto"/>
            </w:tcBorders>
            <w:shd w:val="clear" w:color="auto" w:fill="99CCFF"/>
            <w:vAlign w:val="center"/>
            <w:hideMark/>
          </w:tcPr>
          <w:p w14:paraId="0D2621D0" w14:textId="77777777" w:rsidR="00671B63" w:rsidRPr="001B4CA2" w:rsidRDefault="00671B63" w:rsidP="00671B63">
            <w:pPr>
              <w:jc w:val="center"/>
              <w:rPr>
                <w:b/>
                <w:bCs/>
                <w:sz w:val="14"/>
                <w:szCs w:val="14"/>
                <w:lang w:eastAsia="hr-HR"/>
              </w:rPr>
            </w:pPr>
            <w:r w:rsidRPr="001B4CA2">
              <w:rPr>
                <w:b/>
                <w:bCs/>
                <w:sz w:val="14"/>
                <w:szCs w:val="14"/>
                <w:lang w:eastAsia="hr-HR"/>
              </w:rPr>
              <w:t>Ostali parnični sporovi</w:t>
            </w:r>
          </w:p>
        </w:tc>
        <w:tc>
          <w:tcPr>
            <w:tcW w:w="1675" w:type="dxa"/>
            <w:gridSpan w:val="3"/>
            <w:vMerge w:val="restart"/>
            <w:tcBorders>
              <w:top w:val="single" w:sz="4" w:space="0" w:color="auto"/>
              <w:left w:val="single" w:sz="4" w:space="0" w:color="auto"/>
              <w:bottom w:val="single" w:sz="4" w:space="0" w:color="000000"/>
              <w:right w:val="single" w:sz="4" w:space="0" w:color="auto"/>
            </w:tcBorders>
            <w:shd w:val="clear" w:color="auto" w:fill="99CCFF"/>
            <w:vAlign w:val="center"/>
            <w:hideMark/>
          </w:tcPr>
          <w:p w14:paraId="0AEBF2BF" w14:textId="77777777" w:rsidR="00671B63" w:rsidRPr="001B4CA2" w:rsidRDefault="00671B63" w:rsidP="00671B63">
            <w:pPr>
              <w:jc w:val="center"/>
              <w:rPr>
                <w:b/>
                <w:bCs/>
                <w:color w:val="000000"/>
                <w:sz w:val="14"/>
                <w:szCs w:val="14"/>
                <w:lang w:eastAsia="hr-HR"/>
              </w:rPr>
            </w:pPr>
            <w:r w:rsidRPr="001B4CA2">
              <w:rPr>
                <w:b/>
                <w:bCs/>
                <w:color w:val="000000"/>
                <w:sz w:val="14"/>
                <w:szCs w:val="14"/>
                <w:lang w:eastAsia="hr-HR"/>
              </w:rPr>
              <w:t xml:space="preserve">Ukupno </w:t>
            </w:r>
          </w:p>
        </w:tc>
      </w:tr>
      <w:tr w:rsidR="00671B63" w:rsidRPr="001B4CA2" w14:paraId="69558928" w14:textId="77777777" w:rsidTr="00D57807">
        <w:trPr>
          <w:trHeight w:val="517"/>
        </w:trPr>
        <w:tc>
          <w:tcPr>
            <w:tcW w:w="3530" w:type="dxa"/>
            <w:vMerge/>
            <w:tcBorders>
              <w:top w:val="single" w:sz="4" w:space="0" w:color="auto"/>
              <w:left w:val="single" w:sz="4" w:space="0" w:color="auto"/>
              <w:bottom w:val="single" w:sz="4" w:space="0" w:color="auto"/>
              <w:right w:val="single" w:sz="4" w:space="0" w:color="auto"/>
            </w:tcBorders>
            <w:vAlign w:val="center"/>
            <w:hideMark/>
          </w:tcPr>
          <w:p w14:paraId="6D450798" w14:textId="77777777" w:rsidR="00671B63" w:rsidRPr="001B4CA2" w:rsidRDefault="00671B63" w:rsidP="00671B63">
            <w:pPr>
              <w:jc w:val="left"/>
              <w:rPr>
                <w:b/>
                <w:bCs/>
                <w:color w:val="000000"/>
                <w:sz w:val="18"/>
                <w:szCs w:val="18"/>
                <w:lang w:eastAsia="hr-HR"/>
              </w:rPr>
            </w:pPr>
          </w:p>
        </w:tc>
        <w:tc>
          <w:tcPr>
            <w:tcW w:w="1675" w:type="dxa"/>
            <w:gridSpan w:val="2"/>
            <w:vMerge/>
            <w:tcBorders>
              <w:top w:val="single" w:sz="4" w:space="0" w:color="auto"/>
              <w:left w:val="single" w:sz="4" w:space="0" w:color="auto"/>
              <w:bottom w:val="single" w:sz="4" w:space="0" w:color="000000"/>
              <w:right w:val="single" w:sz="4" w:space="0" w:color="000000"/>
            </w:tcBorders>
            <w:shd w:val="clear" w:color="auto" w:fill="99CCFF"/>
            <w:vAlign w:val="center"/>
            <w:hideMark/>
          </w:tcPr>
          <w:p w14:paraId="0C41453D" w14:textId="77777777" w:rsidR="00671B63" w:rsidRPr="001B4CA2" w:rsidRDefault="00671B63" w:rsidP="00671B63">
            <w:pPr>
              <w:jc w:val="left"/>
              <w:rPr>
                <w:b/>
                <w:bCs/>
                <w:sz w:val="14"/>
                <w:szCs w:val="14"/>
                <w:lang w:eastAsia="hr-HR"/>
              </w:rPr>
            </w:pPr>
          </w:p>
        </w:tc>
        <w:tc>
          <w:tcPr>
            <w:tcW w:w="1675" w:type="dxa"/>
            <w:gridSpan w:val="2"/>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3F09E1BE" w14:textId="77777777" w:rsidR="00671B63" w:rsidRPr="001B4CA2" w:rsidRDefault="00671B63" w:rsidP="00671B63">
            <w:pPr>
              <w:jc w:val="left"/>
              <w:rPr>
                <w:b/>
                <w:bCs/>
                <w:sz w:val="14"/>
                <w:szCs w:val="14"/>
                <w:lang w:eastAsia="hr-HR"/>
              </w:rPr>
            </w:pPr>
          </w:p>
        </w:tc>
        <w:tc>
          <w:tcPr>
            <w:tcW w:w="1675" w:type="dxa"/>
            <w:gridSpan w:val="2"/>
            <w:vMerge/>
            <w:tcBorders>
              <w:top w:val="single" w:sz="4" w:space="0" w:color="auto"/>
              <w:left w:val="single" w:sz="4" w:space="0" w:color="auto"/>
              <w:bottom w:val="single" w:sz="4" w:space="0" w:color="000000"/>
              <w:right w:val="single" w:sz="4" w:space="0" w:color="000000"/>
            </w:tcBorders>
            <w:shd w:val="clear" w:color="auto" w:fill="99CCFF"/>
            <w:vAlign w:val="center"/>
            <w:hideMark/>
          </w:tcPr>
          <w:p w14:paraId="792612C8" w14:textId="77777777" w:rsidR="00671B63" w:rsidRPr="001B4CA2" w:rsidRDefault="00671B63" w:rsidP="00671B63">
            <w:pPr>
              <w:jc w:val="left"/>
              <w:rPr>
                <w:b/>
                <w:bCs/>
                <w:sz w:val="14"/>
                <w:szCs w:val="14"/>
                <w:lang w:eastAsia="hr-HR"/>
              </w:rPr>
            </w:pPr>
          </w:p>
        </w:tc>
        <w:tc>
          <w:tcPr>
            <w:tcW w:w="1675" w:type="dxa"/>
            <w:gridSpan w:val="2"/>
            <w:vMerge/>
            <w:tcBorders>
              <w:top w:val="single" w:sz="4" w:space="0" w:color="auto"/>
              <w:left w:val="single" w:sz="4" w:space="0" w:color="auto"/>
              <w:bottom w:val="single" w:sz="4" w:space="0" w:color="000000"/>
              <w:right w:val="single" w:sz="4" w:space="0" w:color="000000"/>
            </w:tcBorders>
            <w:shd w:val="clear" w:color="auto" w:fill="99CCFF"/>
            <w:vAlign w:val="center"/>
            <w:hideMark/>
          </w:tcPr>
          <w:p w14:paraId="44AB7DEA" w14:textId="77777777" w:rsidR="00671B63" w:rsidRPr="001B4CA2" w:rsidRDefault="00671B63" w:rsidP="00671B63">
            <w:pPr>
              <w:jc w:val="left"/>
              <w:rPr>
                <w:b/>
                <w:bCs/>
                <w:sz w:val="14"/>
                <w:szCs w:val="14"/>
                <w:lang w:eastAsia="hr-HR"/>
              </w:rPr>
            </w:pPr>
          </w:p>
        </w:tc>
        <w:tc>
          <w:tcPr>
            <w:tcW w:w="1675" w:type="dxa"/>
            <w:gridSpan w:val="2"/>
            <w:vMerge/>
            <w:tcBorders>
              <w:top w:val="single" w:sz="4" w:space="0" w:color="auto"/>
              <w:left w:val="single" w:sz="4" w:space="0" w:color="auto"/>
              <w:bottom w:val="single" w:sz="4" w:space="0" w:color="000000"/>
              <w:right w:val="single" w:sz="4" w:space="0" w:color="000000"/>
            </w:tcBorders>
            <w:shd w:val="clear" w:color="auto" w:fill="99CCFF"/>
            <w:vAlign w:val="center"/>
            <w:hideMark/>
          </w:tcPr>
          <w:p w14:paraId="020A4C35" w14:textId="77777777" w:rsidR="00671B63" w:rsidRPr="001B4CA2" w:rsidRDefault="00671B63" w:rsidP="00671B63">
            <w:pPr>
              <w:jc w:val="left"/>
              <w:rPr>
                <w:b/>
                <w:bCs/>
                <w:sz w:val="14"/>
                <w:szCs w:val="14"/>
                <w:lang w:eastAsia="hr-HR"/>
              </w:rPr>
            </w:pPr>
          </w:p>
        </w:tc>
        <w:tc>
          <w:tcPr>
            <w:tcW w:w="1675" w:type="dxa"/>
            <w:gridSpan w:val="2"/>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601A4AB2" w14:textId="77777777" w:rsidR="00671B63" w:rsidRPr="001B4CA2" w:rsidRDefault="00671B63" w:rsidP="00671B63">
            <w:pPr>
              <w:jc w:val="left"/>
              <w:rPr>
                <w:b/>
                <w:bCs/>
                <w:sz w:val="14"/>
                <w:szCs w:val="14"/>
                <w:lang w:eastAsia="hr-HR"/>
              </w:rPr>
            </w:pPr>
          </w:p>
        </w:tc>
        <w:tc>
          <w:tcPr>
            <w:tcW w:w="1675" w:type="dxa"/>
            <w:gridSpan w:val="3"/>
            <w:vMerge/>
            <w:tcBorders>
              <w:top w:val="single" w:sz="4" w:space="0" w:color="auto"/>
              <w:left w:val="single" w:sz="4" w:space="0" w:color="auto"/>
              <w:bottom w:val="single" w:sz="4" w:space="0" w:color="auto"/>
              <w:right w:val="single" w:sz="4" w:space="0" w:color="auto"/>
            </w:tcBorders>
            <w:vAlign w:val="center"/>
            <w:hideMark/>
          </w:tcPr>
          <w:p w14:paraId="6BB06668" w14:textId="77777777" w:rsidR="00671B63" w:rsidRPr="001B4CA2" w:rsidRDefault="00671B63" w:rsidP="00671B63">
            <w:pPr>
              <w:jc w:val="left"/>
              <w:rPr>
                <w:b/>
                <w:bCs/>
                <w:color w:val="000000"/>
                <w:sz w:val="14"/>
                <w:szCs w:val="14"/>
                <w:lang w:eastAsia="hr-HR"/>
              </w:rPr>
            </w:pPr>
          </w:p>
        </w:tc>
      </w:tr>
      <w:tr w:rsidR="004926B3" w:rsidRPr="001B4CA2" w14:paraId="150FEBCD" w14:textId="77777777" w:rsidTr="00D57807">
        <w:trPr>
          <w:gridAfter w:val="1"/>
          <w:wAfter w:w="7" w:type="dxa"/>
          <w:trHeight w:val="222"/>
        </w:trPr>
        <w:tc>
          <w:tcPr>
            <w:tcW w:w="3530" w:type="dxa"/>
            <w:vMerge/>
            <w:tcBorders>
              <w:top w:val="single" w:sz="4" w:space="0" w:color="auto"/>
              <w:left w:val="single" w:sz="4" w:space="0" w:color="auto"/>
              <w:bottom w:val="single" w:sz="4" w:space="0" w:color="auto"/>
              <w:right w:val="single" w:sz="4" w:space="0" w:color="auto"/>
            </w:tcBorders>
            <w:vAlign w:val="center"/>
            <w:hideMark/>
          </w:tcPr>
          <w:p w14:paraId="117BBA98" w14:textId="77777777" w:rsidR="00671B63" w:rsidRPr="001B4CA2" w:rsidRDefault="00671B63" w:rsidP="00671B63">
            <w:pPr>
              <w:jc w:val="left"/>
              <w:rPr>
                <w:b/>
                <w:bCs/>
                <w:color w:val="000000"/>
                <w:sz w:val="18"/>
                <w:szCs w:val="18"/>
                <w:lang w:eastAsia="hr-HR"/>
              </w:rPr>
            </w:pPr>
          </w:p>
        </w:tc>
        <w:tc>
          <w:tcPr>
            <w:tcW w:w="837" w:type="dxa"/>
            <w:tcBorders>
              <w:top w:val="nil"/>
              <w:left w:val="nil"/>
              <w:bottom w:val="single" w:sz="4" w:space="0" w:color="auto"/>
              <w:right w:val="single" w:sz="4" w:space="0" w:color="auto"/>
            </w:tcBorders>
            <w:shd w:val="clear" w:color="auto" w:fill="99CCFF"/>
            <w:vAlign w:val="center"/>
            <w:hideMark/>
          </w:tcPr>
          <w:p w14:paraId="52B224BF" w14:textId="77777777" w:rsidR="00671B63" w:rsidRPr="001B4CA2" w:rsidRDefault="00671B63" w:rsidP="00671B63">
            <w:pPr>
              <w:jc w:val="center"/>
              <w:rPr>
                <w:sz w:val="14"/>
                <w:szCs w:val="14"/>
                <w:lang w:eastAsia="hr-HR"/>
              </w:rPr>
            </w:pPr>
            <w:r w:rsidRPr="001B4CA2">
              <w:rPr>
                <w:sz w:val="14"/>
                <w:szCs w:val="14"/>
                <w:lang w:eastAsia="hr-HR"/>
              </w:rPr>
              <w:t>Tužitelj</w:t>
            </w:r>
          </w:p>
        </w:tc>
        <w:tc>
          <w:tcPr>
            <w:tcW w:w="837" w:type="dxa"/>
            <w:tcBorders>
              <w:top w:val="nil"/>
              <w:left w:val="nil"/>
              <w:bottom w:val="single" w:sz="4" w:space="0" w:color="auto"/>
              <w:right w:val="single" w:sz="4" w:space="0" w:color="auto"/>
            </w:tcBorders>
            <w:shd w:val="clear" w:color="auto" w:fill="99CCFF"/>
            <w:vAlign w:val="center"/>
            <w:hideMark/>
          </w:tcPr>
          <w:p w14:paraId="173890D3" w14:textId="77777777" w:rsidR="00671B63" w:rsidRPr="001B4CA2" w:rsidRDefault="00671B63" w:rsidP="00671B63">
            <w:pPr>
              <w:jc w:val="center"/>
              <w:rPr>
                <w:sz w:val="14"/>
                <w:szCs w:val="14"/>
                <w:lang w:eastAsia="hr-HR"/>
              </w:rPr>
            </w:pPr>
            <w:r w:rsidRPr="001B4CA2">
              <w:rPr>
                <w:sz w:val="14"/>
                <w:szCs w:val="14"/>
                <w:lang w:eastAsia="hr-HR"/>
              </w:rPr>
              <w:t>Tuženik</w:t>
            </w:r>
          </w:p>
        </w:tc>
        <w:tc>
          <w:tcPr>
            <w:tcW w:w="837" w:type="dxa"/>
            <w:tcBorders>
              <w:top w:val="nil"/>
              <w:left w:val="nil"/>
              <w:bottom w:val="single" w:sz="4" w:space="0" w:color="auto"/>
              <w:right w:val="single" w:sz="4" w:space="0" w:color="auto"/>
            </w:tcBorders>
            <w:shd w:val="clear" w:color="auto" w:fill="99CCFF"/>
            <w:vAlign w:val="center"/>
            <w:hideMark/>
          </w:tcPr>
          <w:p w14:paraId="7018B588" w14:textId="77777777" w:rsidR="00671B63" w:rsidRPr="001B4CA2" w:rsidRDefault="00671B63" w:rsidP="00671B63">
            <w:pPr>
              <w:jc w:val="center"/>
              <w:rPr>
                <w:sz w:val="14"/>
                <w:szCs w:val="14"/>
                <w:lang w:eastAsia="hr-HR"/>
              </w:rPr>
            </w:pPr>
            <w:r w:rsidRPr="001B4CA2">
              <w:rPr>
                <w:sz w:val="14"/>
                <w:szCs w:val="14"/>
                <w:lang w:eastAsia="hr-HR"/>
              </w:rPr>
              <w:t>Tužitelj</w:t>
            </w:r>
          </w:p>
        </w:tc>
        <w:tc>
          <w:tcPr>
            <w:tcW w:w="837" w:type="dxa"/>
            <w:tcBorders>
              <w:top w:val="nil"/>
              <w:left w:val="nil"/>
              <w:bottom w:val="single" w:sz="4" w:space="0" w:color="auto"/>
              <w:right w:val="single" w:sz="4" w:space="0" w:color="auto"/>
            </w:tcBorders>
            <w:shd w:val="clear" w:color="auto" w:fill="99CCFF"/>
            <w:vAlign w:val="center"/>
            <w:hideMark/>
          </w:tcPr>
          <w:p w14:paraId="7EF91C29" w14:textId="77777777" w:rsidR="00671B63" w:rsidRPr="001B4CA2" w:rsidRDefault="00671B63" w:rsidP="00671B63">
            <w:pPr>
              <w:jc w:val="center"/>
              <w:rPr>
                <w:sz w:val="14"/>
                <w:szCs w:val="14"/>
                <w:lang w:eastAsia="hr-HR"/>
              </w:rPr>
            </w:pPr>
            <w:r w:rsidRPr="001B4CA2">
              <w:rPr>
                <w:sz w:val="14"/>
                <w:szCs w:val="14"/>
                <w:lang w:eastAsia="hr-HR"/>
              </w:rPr>
              <w:t>Tuženik</w:t>
            </w:r>
          </w:p>
        </w:tc>
        <w:tc>
          <w:tcPr>
            <w:tcW w:w="837" w:type="dxa"/>
            <w:tcBorders>
              <w:top w:val="nil"/>
              <w:left w:val="nil"/>
              <w:bottom w:val="single" w:sz="4" w:space="0" w:color="auto"/>
              <w:right w:val="single" w:sz="4" w:space="0" w:color="auto"/>
            </w:tcBorders>
            <w:shd w:val="clear" w:color="auto" w:fill="99CCFF"/>
            <w:vAlign w:val="center"/>
            <w:hideMark/>
          </w:tcPr>
          <w:p w14:paraId="35BA578B" w14:textId="77777777" w:rsidR="00671B63" w:rsidRPr="001B4CA2" w:rsidRDefault="00671B63" w:rsidP="00671B63">
            <w:pPr>
              <w:jc w:val="center"/>
              <w:rPr>
                <w:sz w:val="14"/>
                <w:szCs w:val="14"/>
                <w:lang w:eastAsia="hr-HR"/>
              </w:rPr>
            </w:pPr>
            <w:r w:rsidRPr="001B4CA2">
              <w:rPr>
                <w:sz w:val="14"/>
                <w:szCs w:val="14"/>
                <w:lang w:eastAsia="hr-HR"/>
              </w:rPr>
              <w:t>Tužitelj</w:t>
            </w:r>
          </w:p>
        </w:tc>
        <w:tc>
          <w:tcPr>
            <w:tcW w:w="837" w:type="dxa"/>
            <w:tcBorders>
              <w:top w:val="nil"/>
              <w:left w:val="nil"/>
              <w:bottom w:val="single" w:sz="4" w:space="0" w:color="auto"/>
              <w:right w:val="single" w:sz="4" w:space="0" w:color="auto"/>
            </w:tcBorders>
            <w:shd w:val="clear" w:color="auto" w:fill="99CCFF"/>
            <w:vAlign w:val="center"/>
            <w:hideMark/>
          </w:tcPr>
          <w:p w14:paraId="48BD32B5" w14:textId="77777777" w:rsidR="00671B63" w:rsidRPr="001B4CA2" w:rsidRDefault="00671B63" w:rsidP="00671B63">
            <w:pPr>
              <w:jc w:val="center"/>
              <w:rPr>
                <w:sz w:val="14"/>
                <w:szCs w:val="14"/>
                <w:lang w:eastAsia="hr-HR"/>
              </w:rPr>
            </w:pPr>
            <w:r w:rsidRPr="001B4CA2">
              <w:rPr>
                <w:sz w:val="14"/>
                <w:szCs w:val="14"/>
                <w:lang w:eastAsia="hr-HR"/>
              </w:rPr>
              <w:t>Tuženik</w:t>
            </w:r>
          </w:p>
        </w:tc>
        <w:tc>
          <w:tcPr>
            <w:tcW w:w="837" w:type="dxa"/>
            <w:tcBorders>
              <w:top w:val="nil"/>
              <w:left w:val="nil"/>
              <w:bottom w:val="single" w:sz="4" w:space="0" w:color="auto"/>
              <w:right w:val="single" w:sz="4" w:space="0" w:color="auto"/>
            </w:tcBorders>
            <w:shd w:val="clear" w:color="auto" w:fill="99CCFF"/>
            <w:vAlign w:val="center"/>
            <w:hideMark/>
          </w:tcPr>
          <w:p w14:paraId="1D4F20F9" w14:textId="77777777" w:rsidR="00671B63" w:rsidRPr="001B4CA2" w:rsidRDefault="00671B63" w:rsidP="00671B63">
            <w:pPr>
              <w:jc w:val="center"/>
              <w:rPr>
                <w:sz w:val="14"/>
                <w:szCs w:val="14"/>
                <w:lang w:eastAsia="hr-HR"/>
              </w:rPr>
            </w:pPr>
            <w:r w:rsidRPr="001B4CA2">
              <w:rPr>
                <w:sz w:val="14"/>
                <w:szCs w:val="14"/>
                <w:lang w:eastAsia="hr-HR"/>
              </w:rPr>
              <w:t>Tužitelj</w:t>
            </w:r>
          </w:p>
        </w:tc>
        <w:tc>
          <w:tcPr>
            <w:tcW w:w="837" w:type="dxa"/>
            <w:tcBorders>
              <w:top w:val="nil"/>
              <w:left w:val="nil"/>
              <w:bottom w:val="single" w:sz="4" w:space="0" w:color="auto"/>
              <w:right w:val="single" w:sz="4" w:space="0" w:color="auto"/>
            </w:tcBorders>
            <w:shd w:val="clear" w:color="auto" w:fill="99CCFF"/>
            <w:vAlign w:val="center"/>
            <w:hideMark/>
          </w:tcPr>
          <w:p w14:paraId="7FB0B46A" w14:textId="77777777" w:rsidR="00671B63" w:rsidRPr="001B4CA2" w:rsidRDefault="00671B63" w:rsidP="00671B63">
            <w:pPr>
              <w:jc w:val="center"/>
              <w:rPr>
                <w:sz w:val="14"/>
                <w:szCs w:val="14"/>
                <w:lang w:eastAsia="hr-HR"/>
              </w:rPr>
            </w:pPr>
            <w:r w:rsidRPr="001B4CA2">
              <w:rPr>
                <w:sz w:val="14"/>
                <w:szCs w:val="14"/>
                <w:lang w:eastAsia="hr-HR"/>
              </w:rPr>
              <w:t>Tuženik</w:t>
            </w:r>
          </w:p>
        </w:tc>
        <w:tc>
          <w:tcPr>
            <w:tcW w:w="837" w:type="dxa"/>
            <w:tcBorders>
              <w:top w:val="nil"/>
              <w:left w:val="nil"/>
              <w:bottom w:val="single" w:sz="4" w:space="0" w:color="auto"/>
              <w:right w:val="single" w:sz="4" w:space="0" w:color="auto"/>
            </w:tcBorders>
            <w:shd w:val="clear" w:color="auto" w:fill="99CCFF"/>
            <w:vAlign w:val="center"/>
            <w:hideMark/>
          </w:tcPr>
          <w:p w14:paraId="39063D0C" w14:textId="77777777" w:rsidR="00671B63" w:rsidRPr="001B4CA2" w:rsidRDefault="00671B63" w:rsidP="00671B63">
            <w:pPr>
              <w:jc w:val="center"/>
              <w:rPr>
                <w:sz w:val="14"/>
                <w:szCs w:val="14"/>
                <w:lang w:eastAsia="hr-HR"/>
              </w:rPr>
            </w:pPr>
            <w:r w:rsidRPr="001B4CA2">
              <w:rPr>
                <w:sz w:val="14"/>
                <w:szCs w:val="14"/>
                <w:lang w:eastAsia="hr-HR"/>
              </w:rPr>
              <w:t>Tužitelj</w:t>
            </w:r>
          </w:p>
        </w:tc>
        <w:tc>
          <w:tcPr>
            <w:tcW w:w="837" w:type="dxa"/>
            <w:tcBorders>
              <w:top w:val="nil"/>
              <w:left w:val="nil"/>
              <w:bottom w:val="single" w:sz="4" w:space="0" w:color="auto"/>
              <w:right w:val="single" w:sz="4" w:space="0" w:color="auto"/>
            </w:tcBorders>
            <w:shd w:val="clear" w:color="auto" w:fill="99CCFF"/>
            <w:vAlign w:val="center"/>
            <w:hideMark/>
          </w:tcPr>
          <w:p w14:paraId="3F60B69F" w14:textId="77777777" w:rsidR="00671B63" w:rsidRPr="001B4CA2" w:rsidRDefault="00671B63" w:rsidP="00671B63">
            <w:pPr>
              <w:jc w:val="center"/>
              <w:rPr>
                <w:sz w:val="14"/>
                <w:szCs w:val="14"/>
                <w:lang w:eastAsia="hr-HR"/>
              </w:rPr>
            </w:pPr>
            <w:r w:rsidRPr="001B4CA2">
              <w:rPr>
                <w:sz w:val="14"/>
                <w:szCs w:val="14"/>
                <w:lang w:eastAsia="hr-HR"/>
              </w:rPr>
              <w:t>Tuženik</w:t>
            </w:r>
          </w:p>
        </w:tc>
        <w:tc>
          <w:tcPr>
            <w:tcW w:w="837" w:type="dxa"/>
            <w:tcBorders>
              <w:top w:val="nil"/>
              <w:left w:val="nil"/>
              <w:bottom w:val="single" w:sz="4" w:space="0" w:color="auto"/>
              <w:right w:val="single" w:sz="4" w:space="0" w:color="auto"/>
            </w:tcBorders>
            <w:shd w:val="clear" w:color="auto" w:fill="99CCFF"/>
            <w:vAlign w:val="center"/>
            <w:hideMark/>
          </w:tcPr>
          <w:p w14:paraId="7C4AD39D" w14:textId="77777777" w:rsidR="00671B63" w:rsidRPr="001B4CA2" w:rsidRDefault="00671B63" w:rsidP="00671B63">
            <w:pPr>
              <w:jc w:val="center"/>
              <w:rPr>
                <w:sz w:val="14"/>
                <w:szCs w:val="14"/>
                <w:lang w:eastAsia="hr-HR"/>
              </w:rPr>
            </w:pPr>
            <w:r w:rsidRPr="001B4CA2">
              <w:rPr>
                <w:sz w:val="14"/>
                <w:szCs w:val="14"/>
                <w:lang w:eastAsia="hr-HR"/>
              </w:rPr>
              <w:t>Tužitelj</w:t>
            </w:r>
          </w:p>
        </w:tc>
        <w:tc>
          <w:tcPr>
            <w:tcW w:w="837" w:type="dxa"/>
            <w:tcBorders>
              <w:top w:val="nil"/>
              <w:left w:val="nil"/>
              <w:bottom w:val="single" w:sz="4" w:space="0" w:color="auto"/>
              <w:right w:val="single" w:sz="4" w:space="0" w:color="auto"/>
            </w:tcBorders>
            <w:shd w:val="clear" w:color="auto" w:fill="99CCFF"/>
            <w:vAlign w:val="center"/>
            <w:hideMark/>
          </w:tcPr>
          <w:p w14:paraId="5DA536C7" w14:textId="77777777" w:rsidR="00671B63" w:rsidRPr="001B4CA2" w:rsidRDefault="00671B63" w:rsidP="00671B63">
            <w:pPr>
              <w:jc w:val="center"/>
              <w:rPr>
                <w:sz w:val="14"/>
                <w:szCs w:val="14"/>
                <w:lang w:eastAsia="hr-HR"/>
              </w:rPr>
            </w:pPr>
            <w:r w:rsidRPr="001B4CA2">
              <w:rPr>
                <w:sz w:val="14"/>
                <w:szCs w:val="14"/>
                <w:lang w:eastAsia="hr-HR"/>
              </w:rPr>
              <w:t>Tuženik</w:t>
            </w:r>
          </w:p>
        </w:tc>
        <w:tc>
          <w:tcPr>
            <w:tcW w:w="837" w:type="dxa"/>
            <w:tcBorders>
              <w:top w:val="single" w:sz="4" w:space="0" w:color="auto"/>
              <w:left w:val="single" w:sz="4" w:space="0" w:color="auto"/>
              <w:bottom w:val="single" w:sz="4" w:space="0" w:color="000000"/>
              <w:right w:val="single" w:sz="4" w:space="0" w:color="auto"/>
            </w:tcBorders>
            <w:shd w:val="clear" w:color="auto" w:fill="99CCFF"/>
            <w:vAlign w:val="center"/>
            <w:hideMark/>
          </w:tcPr>
          <w:p w14:paraId="26335D2A" w14:textId="77777777" w:rsidR="00671B63" w:rsidRPr="001B4CA2" w:rsidRDefault="00671B63" w:rsidP="00671B63">
            <w:pPr>
              <w:jc w:val="center"/>
              <w:rPr>
                <w:b/>
                <w:bCs/>
                <w:color w:val="000000"/>
                <w:sz w:val="14"/>
                <w:szCs w:val="14"/>
                <w:lang w:eastAsia="hr-HR"/>
              </w:rPr>
            </w:pPr>
            <w:r w:rsidRPr="001B4CA2">
              <w:rPr>
                <w:sz w:val="14"/>
                <w:szCs w:val="14"/>
                <w:lang w:eastAsia="hr-HR"/>
              </w:rPr>
              <w:t>Tužitelj</w:t>
            </w:r>
          </w:p>
        </w:tc>
        <w:tc>
          <w:tcPr>
            <w:tcW w:w="837" w:type="dxa"/>
            <w:tcBorders>
              <w:top w:val="single" w:sz="4" w:space="0" w:color="auto"/>
              <w:left w:val="single" w:sz="4" w:space="0" w:color="auto"/>
              <w:bottom w:val="single" w:sz="4" w:space="0" w:color="000000"/>
              <w:right w:val="single" w:sz="4" w:space="0" w:color="auto"/>
            </w:tcBorders>
            <w:shd w:val="clear" w:color="auto" w:fill="99CCFF"/>
            <w:vAlign w:val="center"/>
          </w:tcPr>
          <w:p w14:paraId="1B89EB2D" w14:textId="77777777" w:rsidR="00671B63" w:rsidRPr="001B4CA2" w:rsidRDefault="00671B63" w:rsidP="00671B63">
            <w:pPr>
              <w:jc w:val="center"/>
              <w:rPr>
                <w:bCs/>
                <w:color w:val="000000"/>
                <w:sz w:val="14"/>
                <w:szCs w:val="14"/>
                <w:lang w:eastAsia="hr-HR"/>
              </w:rPr>
            </w:pPr>
            <w:r w:rsidRPr="001B4CA2">
              <w:rPr>
                <w:bCs/>
                <w:color w:val="000000"/>
                <w:sz w:val="14"/>
                <w:szCs w:val="14"/>
                <w:lang w:eastAsia="hr-HR"/>
              </w:rPr>
              <w:t>Tuženik</w:t>
            </w:r>
          </w:p>
        </w:tc>
      </w:tr>
      <w:tr w:rsidR="00671B63" w:rsidRPr="001B4CA2" w14:paraId="06C44DC3"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1ED5D1C5" w14:textId="77777777" w:rsidR="00671B63" w:rsidRPr="001B4CA2" w:rsidRDefault="00671B63" w:rsidP="00671B63">
            <w:pPr>
              <w:jc w:val="left"/>
              <w:rPr>
                <w:bCs/>
                <w:sz w:val="16"/>
                <w:szCs w:val="16"/>
                <w:lang w:eastAsia="hr-HR"/>
              </w:rPr>
            </w:pPr>
            <w:r w:rsidRPr="001B4CA2">
              <w:rPr>
                <w:bCs/>
                <w:sz w:val="16"/>
                <w:szCs w:val="16"/>
                <w:lang w:eastAsia="hr-HR"/>
              </w:rPr>
              <w:t>Republika Hrvatska</w:t>
            </w:r>
          </w:p>
        </w:tc>
        <w:tc>
          <w:tcPr>
            <w:tcW w:w="837" w:type="dxa"/>
            <w:tcBorders>
              <w:top w:val="nil"/>
              <w:left w:val="nil"/>
              <w:bottom w:val="single" w:sz="4" w:space="0" w:color="auto"/>
              <w:right w:val="single" w:sz="4" w:space="0" w:color="auto"/>
            </w:tcBorders>
            <w:shd w:val="clear" w:color="auto" w:fill="auto"/>
            <w:noWrap/>
            <w:vAlign w:val="center"/>
          </w:tcPr>
          <w:p w14:paraId="0BDD322F" w14:textId="77777777" w:rsidR="00671B63" w:rsidRPr="001B4CA2" w:rsidRDefault="00671B63" w:rsidP="00671B63">
            <w:pPr>
              <w:jc w:val="center"/>
              <w:rPr>
                <w:sz w:val="18"/>
                <w:szCs w:val="18"/>
              </w:rPr>
            </w:pPr>
            <w:r w:rsidRPr="001B4CA2">
              <w:rPr>
                <w:sz w:val="18"/>
                <w:szCs w:val="18"/>
              </w:rPr>
              <w:t>7</w:t>
            </w:r>
          </w:p>
        </w:tc>
        <w:tc>
          <w:tcPr>
            <w:tcW w:w="837" w:type="dxa"/>
            <w:tcBorders>
              <w:top w:val="nil"/>
              <w:left w:val="nil"/>
              <w:bottom w:val="single" w:sz="4" w:space="0" w:color="auto"/>
              <w:right w:val="single" w:sz="4" w:space="0" w:color="auto"/>
            </w:tcBorders>
            <w:shd w:val="clear" w:color="auto" w:fill="auto"/>
            <w:noWrap/>
            <w:vAlign w:val="center"/>
          </w:tcPr>
          <w:p w14:paraId="3FDAF0B8" w14:textId="77777777" w:rsidR="00671B63" w:rsidRPr="001B4CA2" w:rsidRDefault="00671B63" w:rsidP="00671B63">
            <w:pPr>
              <w:jc w:val="center"/>
              <w:rPr>
                <w:sz w:val="18"/>
                <w:szCs w:val="18"/>
              </w:rPr>
            </w:pPr>
            <w:r w:rsidRPr="001B4CA2">
              <w:rPr>
                <w:sz w:val="18"/>
                <w:szCs w:val="18"/>
              </w:rPr>
              <w:t>30</w:t>
            </w:r>
          </w:p>
        </w:tc>
        <w:tc>
          <w:tcPr>
            <w:tcW w:w="837" w:type="dxa"/>
            <w:tcBorders>
              <w:top w:val="nil"/>
              <w:left w:val="nil"/>
              <w:bottom w:val="single" w:sz="4" w:space="0" w:color="auto"/>
              <w:right w:val="single" w:sz="4" w:space="0" w:color="auto"/>
            </w:tcBorders>
            <w:shd w:val="clear" w:color="auto" w:fill="auto"/>
            <w:noWrap/>
            <w:vAlign w:val="center"/>
          </w:tcPr>
          <w:p w14:paraId="4D518CCC" w14:textId="77777777" w:rsidR="00671B63" w:rsidRPr="001B4CA2" w:rsidRDefault="00671B63" w:rsidP="00671B63">
            <w:pPr>
              <w:jc w:val="center"/>
              <w:rPr>
                <w:sz w:val="18"/>
                <w:szCs w:val="18"/>
              </w:rPr>
            </w:pPr>
            <w:r w:rsidRPr="001B4CA2">
              <w:rPr>
                <w:sz w:val="18"/>
                <w:szCs w:val="18"/>
              </w:rPr>
              <w:t>17</w:t>
            </w:r>
          </w:p>
        </w:tc>
        <w:tc>
          <w:tcPr>
            <w:tcW w:w="837" w:type="dxa"/>
            <w:tcBorders>
              <w:top w:val="nil"/>
              <w:left w:val="nil"/>
              <w:bottom w:val="single" w:sz="4" w:space="0" w:color="auto"/>
              <w:right w:val="single" w:sz="4" w:space="0" w:color="auto"/>
            </w:tcBorders>
            <w:shd w:val="clear" w:color="auto" w:fill="auto"/>
            <w:noWrap/>
            <w:vAlign w:val="center"/>
          </w:tcPr>
          <w:p w14:paraId="4C9352AA" w14:textId="77777777" w:rsidR="00671B63" w:rsidRPr="001B4CA2" w:rsidRDefault="00671B63" w:rsidP="00671B63">
            <w:pPr>
              <w:jc w:val="center"/>
              <w:rPr>
                <w:sz w:val="18"/>
                <w:szCs w:val="18"/>
              </w:rPr>
            </w:pPr>
            <w:r w:rsidRPr="001B4CA2">
              <w:rPr>
                <w:sz w:val="18"/>
                <w:szCs w:val="18"/>
              </w:rPr>
              <w:t>11</w:t>
            </w:r>
          </w:p>
        </w:tc>
        <w:tc>
          <w:tcPr>
            <w:tcW w:w="837" w:type="dxa"/>
            <w:tcBorders>
              <w:top w:val="nil"/>
              <w:left w:val="nil"/>
              <w:bottom w:val="single" w:sz="4" w:space="0" w:color="auto"/>
              <w:right w:val="single" w:sz="4" w:space="0" w:color="auto"/>
            </w:tcBorders>
            <w:shd w:val="clear" w:color="auto" w:fill="auto"/>
            <w:noWrap/>
            <w:vAlign w:val="center"/>
          </w:tcPr>
          <w:p w14:paraId="4AD71475"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38389808" w14:textId="77777777" w:rsidR="00671B63" w:rsidRPr="001B4CA2" w:rsidRDefault="00671B63" w:rsidP="00671B63">
            <w:pPr>
              <w:jc w:val="center"/>
              <w:rPr>
                <w:sz w:val="18"/>
                <w:szCs w:val="18"/>
              </w:rPr>
            </w:pPr>
            <w:r w:rsidRPr="001B4CA2">
              <w:rPr>
                <w:sz w:val="18"/>
                <w:szCs w:val="18"/>
              </w:rPr>
              <w:t>13</w:t>
            </w:r>
          </w:p>
        </w:tc>
        <w:tc>
          <w:tcPr>
            <w:tcW w:w="837" w:type="dxa"/>
            <w:tcBorders>
              <w:top w:val="nil"/>
              <w:left w:val="nil"/>
              <w:bottom w:val="single" w:sz="4" w:space="0" w:color="auto"/>
              <w:right w:val="single" w:sz="4" w:space="0" w:color="auto"/>
            </w:tcBorders>
            <w:shd w:val="clear" w:color="auto" w:fill="auto"/>
            <w:noWrap/>
            <w:vAlign w:val="center"/>
          </w:tcPr>
          <w:p w14:paraId="6E2D4857"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A3D1EDA"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5D564BD"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168694CF" w14:textId="77777777" w:rsidR="00671B63" w:rsidRPr="001B4CA2" w:rsidRDefault="00671B63" w:rsidP="00671B63">
            <w:pPr>
              <w:jc w:val="center"/>
              <w:rPr>
                <w:sz w:val="18"/>
                <w:szCs w:val="18"/>
              </w:rPr>
            </w:pPr>
            <w:r w:rsidRPr="001B4CA2">
              <w:rPr>
                <w:sz w:val="18"/>
                <w:szCs w:val="18"/>
              </w:rPr>
              <w:t>2</w:t>
            </w:r>
          </w:p>
        </w:tc>
        <w:tc>
          <w:tcPr>
            <w:tcW w:w="837" w:type="dxa"/>
            <w:tcBorders>
              <w:top w:val="nil"/>
              <w:left w:val="nil"/>
              <w:bottom w:val="single" w:sz="4" w:space="0" w:color="auto"/>
              <w:right w:val="single" w:sz="4" w:space="0" w:color="auto"/>
            </w:tcBorders>
            <w:shd w:val="clear" w:color="auto" w:fill="auto"/>
            <w:noWrap/>
            <w:vAlign w:val="center"/>
          </w:tcPr>
          <w:p w14:paraId="44077D46" w14:textId="77777777" w:rsidR="00671B63" w:rsidRPr="001B4CA2" w:rsidRDefault="00671B63" w:rsidP="00671B63">
            <w:pPr>
              <w:jc w:val="center"/>
              <w:rPr>
                <w:sz w:val="18"/>
                <w:szCs w:val="18"/>
              </w:rPr>
            </w:pPr>
            <w:r w:rsidRPr="001B4CA2">
              <w:rPr>
                <w:sz w:val="18"/>
                <w:szCs w:val="18"/>
              </w:rPr>
              <w:t>2</w:t>
            </w:r>
          </w:p>
        </w:tc>
        <w:tc>
          <w:tcPr>
            <w:tcW w:w="837" w:type="dxa"/>
            <w:tcBorders>
              <w:top w:val="nil"/>
              <w:left w:val="nil"/>
              <w:bottom w:val="single" w:sz="4" w:space="0" w:color="auto"/>
              <w:right w:val="single" w:sz="4" w:space="0" w:color="auto"/>
            </w:tcBorders>
            <w:shd w:val="clear" w:color="auto" w:fill="auto"/>
            <w:noWrap/>
            <w:vAlign w:val="center"/>
          </w:tcPr>
          <w:p w14:paraId="6E5DC97B" w14:textId="77777777" w:rsidR="00671B63" w:rsidRPr="001B4CA2" w:rsidRDefault="00671B63" w:rsidP="00671B63">
            <w:pPr>
              <w:jc w:val="center"/>
              <w:rPr>
                <w:sz w:val="18"/>
                <w:szCs w:val="18"/>
              </w:rPr>
            </w:pPr>
            <w:r w:rsidRPr="001B4CA2">
              <w:rPr>
                <w:sz w:val="18"/>
                <w:szCs w:val="18"/>
              </w:rPr>
              <w:t>9</w:t>
            </w:r>
          </w:p>
        </w:tc>
        <w:tc>
          <w:tcPr>
            <w:tcW w:w="837" w:type="dxa"/>
            <w:tcBorders>
              <w:top w:val="nil"/>
              <w:left w:val="nil"/>
              <w:bottom w:val="single" w:sz="4" w:space="0" w:color="auto"/>
              <w:right w:val="single" w:sz="4" w:space="0" w:color="auto"/>
            </w:tcBorders>
            <w:shd w:val="clear" w:color="auto" w:fill="auto"/>
            <w:noWrap/>
            <w:vAlign w:val="center"/>
          </w:tcPr>
          <w:p w14:paraId="1F0778D5" w14:textId="77777777" w:rsidR="00671B63" w:rsidRPr="001B4CA2" w:rsidRDefault="00671B63" w:rsidP="00671B63">
            <w:pPr>
              <w:jc w:val="center"/>
              <w:rPr>
                <w:sz w:val="18"/>
                <w:szCs w:val="18"/>
              </w:rPr>
            </w:pPr>
            <w:r w:rsidRPr="001B4CA2">
              <w:rPr>
                <w:sz w:val="18"/>
                <w:szCs w:val="18"/>
              </w:rPr>
              <w:t>28</w:t>
            </w:r>
          </w:p>
        </w:tc>
        <w:tc>
          <w:tcPr>
            <w:tcW w:w="837" w:type="dxa"/>
            <w:tcBorders>
              <w:top w:val="nil"/>
              <w:left w:val="nil"/>
              <w:bottom w:val="single" w:sz="4" w:space="0" w:color="auto"/>
              <w:right w:val="single" w:sz="4" w:space="0" w:color="auto"/>
            </w:tcBorders>
            <w:shd w:val="clear" w:color="auto" w:fill="auto"/>
            <w:vAlign w:val="center"/>
          </w:tcPr>
          <w:p w14:paraId="7CB354AC" w14:textId="77777777" w:rsidR="00671B63" w:rsidRPr="001B4CA2" w:rsidRDefault="00671B63" w:rsidP="00671B63">
            <w:pPr>
              <w:jc w:val="center"/>
              <w:rPr>
                <w:sz w:val="18"/>
                <w:szCs w:val="18"/>
              </w:rPr>
            </w:pPr>
            <w:r w:rsidRPr="001B4CA2">
              <w:rPr>
                <w:sz w:val="18"/>
                <w:szCs w:val="18"/>
              </w:rPr>
              <w:t>65</w:t>
            </w:r>
          </w:p>
        </w:tc>
      </w:tr>
      <w:tr w:rsidR="00671B63" w:rsidRPr="001B4CA2" w14:paraId="4D042A88"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33E7EE4F" w14:textId="74551B97" w:rsidR="00671B63" w:rsidRPr="001B4CA2" w:rsidRDefault="00671B63" w:rsidP="00671B63">
            <w:pPr>
              <w:jc w:val="left"/>
              <w:rPr>
                <w:bCs/>
                <w:sz w:val="16"/>
                <w:szCs w:val="16"/>
                <w:lang w:eastAsia="hr-HR"/>
              </w:rPr>
            </w:pPr>
            <w:r w:rsidRPr="001B4CA2">
              <w:rPr>
                <w:bCs/>
                <w:sz w:val="16"/>
                <w:szCs w:val="16"/>
                <w:lang w:eastAsia="hr-HR"/>
              </w:rPr>
              <w:t>Ministarstvo pravosuđa i</w:t>
            </w:r>
            <w:r w:rsidR="001B4CA2">
              <w:rPr>
                <w:bCs/>
                <w:sz w:val="16"/>
                <w:szCs w:val="16"/>
                <w:lang w:eastAsia="hr-HR"/>
              </w:rPr>
              <w:t xml:space="preserve"> </w:t>
            </w:r>
            <w:r w:rsidRPr="001B4CA2">
              <w:rPr>
                <w:bCs/>
                <w:sz w:val="16"/>
                <w:szCs w:val="16"/>
                <w:lang w:eastAsia="hr-HR"/>
              </w:rPr>
              <w:t xml:space="preserve">uprave </w:t>
            </w:r>
          </w:p>
        </w:tc>
        <w:tc>
          <w:tcPr>
            <w:tcW w:w="837" w:type="dxa"/>
            <w:tcBorders>
              <w:top w:val="nil"/>
              <w:left w:val="nil"/>
              <w:bottom w:val="single" w:sz="4" w:space="0" w:color="auto"/>
              <w:right w:val="single" w:sz="4" w:space="0" w:color="auto"/>
            </w:tcBorders>
            <w:shd w:val="clear" w:color="auto" w:fill="auto"/>
            <w:noWrap/>
            <w:vAlign w:val="center"/>
          </w:tcPr>
          <w:p w14:paraId="63AE169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8A5095A"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E649683" w14:textId="77777777" w:rsidR="00671B63" w:rsidRPr="001B4CA2" w:rsidRDefault="00671B63" w:rsidP="00671B63">
            <w:pPr>
              <w:jc w:val="center"/>
              <w:rPr>
                <w:sz w:val="18"/>
                <w:szCs w:val="18"/>
              </w:rPr>
            </w:pPr>
            <w:r w:rsidRPr="001B4CA2">
              <w:rPr>
                <w:sz w:val="18"/>
                <w:szCs w:val="18"/>
              </w:rPr>
              <w:t>2</w:t>
            </w:r>
          </w:p>
        </w:tc>
        <w:tc>
          <w:tcPr>
            <w:tcW w:w="837" w:type="dxa"/>
            <w:tcBorders>
              <w:top w:val="nil"/>
              <w:left w:val="nil"/>
              <w:bottom w:val="single" w:sz="4" w:space="0" w:color="auto"/>
              <w:right w:val="single" w:sz="4" w:space="0" w:color="auto"/>
            </w:tcBorders>
            <w:shd w:val="clear" w:color="auto" w:fill="auto"/>
            <w:noWrap/>
            <w:vAlign w:val="center"/>
          </w:tcPr>
          <w:p w14:paraId="53EF111B"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157019C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8994FB2" w14:textId="77777777" w:rsidR="00671B63" w:rsidRPr="001B4CA2" w:rsidRDefault="00671B63" w:rsidP="00671B63">
            <w:pPr>
              <w:jc w:val="center"/>
              <w:rPr>
                <w:sz w:val="18"/>
                <w:szCs w:val="18"/>
              </w:rPr>
            </w:pPr>
            <w:r w:rsidRPr="001B4CA2">
              <w:rPr>
                <w:sz w:val="18"/>
                <w:szCs w:val="18"/>
              </w:rPr>
              <w:t>10</w:t>
            </w:r>
          </w:p>
        </w:tc>
        <w:tc>
          <w:tcPr>
            <w:tcW w:w="837" w:type="dxa"/>
            <w:tcBorders>
              <w:top w:val="nil"/>
              <w:left w:val="nil"/>
              <w:bottom w:val="single" w:sz="4" w:space="0" w:color="auto"/>
              <w:right w:val="single" w:sz="4" w:space="0" w:color="auto"/>
            </w:tcBorders>
            <w:shd w:val="clear" w:color="auto" w:fill="auto"/>
            <w:noWrap/>
            <w:vAlign w:val="center"/>
          </w:tcPr>
          <w:p w14:paraId="7C930AD2"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0130C1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5C43E5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498D4A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623730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9006AE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012ACFD" w14:textId="77777777" w:rsidR="00671B63" w:rsidRPr="001B4CA2" w:rsidRDefault="00671B63" w:rsidP="00671B63">
            <w:pPr>
              <w:jc w:val="center"/>
              <w:rPr>
                <w:sz w:val="18"/>
                <w:szCs w:val="18"/>
              </w:rPr>
            </w:pPr>
            <w:r w:rsidRPr="001B4CA2">
              <w:rPr>
                <w:sz w:val="18"/>
                <w:szCs w:val="18"/>
              </w:rPr>
              <w:t>2</w:t>
            </w:r>
          </w:p>
        </w:tc>
        <w:tc>
          <w:tcPr>
            <w:tcW w:w="837" w:type="dxa"/>
            <w:tcBorders>
              <w:top w:val="nil"/>
              <w:left w:val="nil"/>
              <w:bottom w:val="single" w:sz="4" w:space="0" w:color="auto"/>
              <w:right w:val="single" w:sz="4" w:space="0" w:color="auto"/>
            </w:tcBorders>
            <w:shd w:val="clear" w:color="auto" w:fill="auto"/>
            <w:vAlign w:val="center"/>
          </w:tcPr>
          <w:p w14:paraId="078323E1" w14:textId="77777777" w:rsidR="00671B63" w:rsidRPr="001B4CA2" w:rsidRDefault="00671B63" w:rsidP="00671B63">
            <w:pPr>
              <w:jc w:val="center"/>
              <w:rPr>
                <w:sz w:val="18"/>
                <w:szCs w:val="18"/>
              </w:rPr>
            </w:pPr>
            <w:r w:rsidRPr="001B4CA2">
              <w:rPr>
                <w:sz w:val="18"/>
                <w:szCs w:val="18"/>
              </w:rPr>
              <w:t>11</w:t>
            </w:r>
          </w:p>
        </w:tc>
      </w:tr>
      <w:tr w:rsidR="00671B63" w:rsidRPr="001B4CA2" w14:paraId="312FA10E"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33E07B4C" w14:textId="77777777" w:rsidR="00671B63" w:rsidRPr="001B4CA2" w:rsidRDefault="00671B63" w:rsidP="00671B63">
            <w:pPr>
              <w:jc w:val="left"/>
              <w:rPr>
                <w:bCs/>
                <w:sz w:val="16"/>
                <w:szCs w:val="16"/>
                <w:lang w:eastAsia="hr-HR"/>
              </w:rPr>
            </w:pPr>
            <w:r w:rsidRPr="001B4CA2">
              <w:rPr>
                <w:bCs/>
                <w:sz w:val="16"/>
                <w:szCs w:val="16"/>
                <w:lang w:eastAsia="hr-HR"/>
              </w:rPr>
              <w:t>Ministarstvo zdravstva</w:t>
            </w:r>
          </w:p>
        </w:tc>
        <w:tc>
          <w:tcPr>
            <w:tcW w:w="837" w:type="dxa"/>
            <w:tcBorders>
              <w:top w:val="nil"/>
              <w:left w:val="nil"/>
              <w:bottom w:val="single" w:sz="4" w:space="0" w:color="auto"/>
              <w:right w:val="single" w:sz="4" w:space="0" w:color="auto"/>
            </w:tcBorders>
            <w:shd w:val="clear" w:color="auto" w:fill="auto"/>
            <w:noWrap/>
            <w:vAlign w:val="center"/>
          </w:tcPr>
          <w:p w14:paraId="45E6EEE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768A52E"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495C090"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009088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59960C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821EF61"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8E95492"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A5E5A4E"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0BB202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5CD4C6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FF8521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4727026"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545228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vAlign w:val="center"/>
          </w:tcPr>
          <w:p w14:paraId="384B05F0" w14:textId="77777777" w:rsidR="00671B63" w:rsidRPr="001B4CA2" w:rsidRDefault="00671B63" w:rsidP="00671B63">
            <w:pPr>
              <w:jc w:val="center"/>
              <w:rPr>
                <w:sz w:val="18"/>
                <w:szCs w:val="18"/>
              </w:rPr>
            </w:pPr>
          </w:p>
        </w:tc>
      </w:tr>
      <w:tr w:rsidR="00671B63" w:rsidRPr="001B4CA2" w14:paraId="684B11B3"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0B4259E6" w14:textId="77777777" w:rsidR="00671B63" w:rsidRPr="001B4CA2" w:rsidRDefault="00671B63" w:rsidP="00671B63">
            <w:pPr>
              <w:jc w:val="left"/>
              <w:rPr>
                <w:bCs/>
                <w:sz w:val="16"/>
                <w:szCs w:val="16"/>
                <w:lang w:eastAsia="hr-HR"/>
              </w:rPr>
            </w:pPr>
            <w:r w:rsidRPr="001B4CA2">
              <w:rPr>
                <w:bCs/>
                <w:sz w:val="16"/>
                <w:szCs w:val="16"/>
                <w:lang w:eastAsia="hr-HR"/>
              </w:rPr>
              <w:t xml:space="preserve">Ministarstvo hrvatskih branitelja </w:t>
            </w:r>
          </w:p>
        </w:tc>
        <w:tc>
          <w:tcPr>
            <w:tcW w:w="837" w:type="dxa"/>
            <w:tcBorders>
              <w:top w:val="nil"/>
              <w:left w:val="nil"/>
              <w:bottom w:val="single" w:sz="4" w:space="0" w:color="auto"/>
              <w:right w:val="single" w:sz="4" w:space="0" w:color="auto"/>
            </w:tcBorders>
            <w:shd w:val="clear" w:color="auto" w:fill="auto"/>
            <w:noWrap/>
            <w:vAlign w:val="center"/>
          </w:tcPr>
          <w:p w14:paraId="0B7F8EC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795CB1A"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89D779F"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C02B3B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EB4C8E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88CD8FA"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E6CE77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2F837EA"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785DFB3"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5E3D21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0004E37"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6C59036"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43A47BF"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vAlign w:val="center"/>
          </w:tcPr>
          <w:p w14:paraId="7ADF6C4F" w14:textId="77777777" w:rsidR="00671B63" w:rsidRPr="001B4CA2" w:rsidRDefault="00671B63" w:rsidP="00671B63">
            <w:pPr>
              <w:jc w:val="center"/>
              <w:rPr>
                <w:sz w:val="18"/>
                <w:szCs w:val="18"/>
              </w:rPr>
            </w:pPr>
          </w:p>
        </w:tc>
      </w:tr>
      <w:tr w:rsidR="00671B63" w:rsidRPr="001B4CA2" w14:paraId="605B96DD"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22F2FBBC" w14:textId="77777777" w:rsidR="00671B63" w:rsidRPr="001B4CA2" w:rsidRDefault="00671B63" w:rsidP="00671B63">
            <w:pPr>
              <w:jc w:val="left"/>
              <w:rPr>
                <w:bCs/>
                <w:sz w:val="16"/>
                <w:szCs w:val="16"/>
                <w:lang w:eastAsia="hr-HR"/>
              </w:rPr>
            </w:pPr>
            <w:r w:rsidRPr="001B4CA2">
              <w:rPr>
                <w:bCs/>
                <w:sz w:val="16"/>
                <w:szCs w:val="16"/>
                <w:lang w:eastAsia="hr-HR"/>
              </w:rPr>
              <w:t>Ministarstvo regionalnog razvoja i fondova EU</w:t>
            </w:r>
          </w:p>
        </w:tc>
        <w:tc>
          <w:tcPr>
            <w:tcW w:w="837" w:type="dxa"/>
            <w:tcBorders>
              <w:top w:val="nil"/>
              <w:left w:val="nil"/>
              <w:bottom w:val="single" w:sz="4" w:space="0" w:color="auto"/>
              <w:right w:val="single" w:sz="4" w:space="0" w:color="auto"/>
            </w:tcBorders>
            <w:shd w:val="clear" w:color="auto" w:fill="auto"/>
            <w:noWrap/>
            <w:vAlign w:val="center"/>
          </w:tcPr>
          <w:p w14:paraId="5EB030DD"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84F78C3"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BD88897"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CFCC1BB"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57A0D13D"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F87F4BD"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DC4DFD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4CCD5A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12D8CF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B8587D0"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CB83DA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322430D"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4732E93"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vAlign w:val="center"/>
          </w:tcPr>
          <w:p w14:paraId="31CEA9FA" w14:textId="77777777" w:rsidR="00671B63" w:rsidRPr="001B4CA2" w:rsidRDefault="00671B63" w:rsidP="00671B63">
            <w:pPr>
              <w:jc w:val="center"/>
              <w:rPr>
                <w:sz w:val="18"/>
                <w:szCs w:val="18"/>
              </w:rPr>
            </w:pPr>
            <w:r w:rsidRPr="001B4CA2">
              <w:rPr>
                <w:sz w:val="18"/>
                <w:szCs w:val="18"/>
              </w:rPr>
              <w:t>1</w:t>
            </w:r>
          </w:p>
        </w:tc>
      </w:tr>
      <w:tr w:rsidR="00671B63" w:rsidRPr="001B4CA2" w14:paraId="6F14DB04"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vAlign w:val="center"/>
            <w:hideMark/>
          </w:tcPr>
          <w:p w14:paraId="34B77B38" w14:textId="77777777" w:rsidR="00671B63" w:rsidRPr="001B4CA2" w:rsidRDefault="00671B63" w:rsidP="00671B63">
            <w:pPr>
              <w:jc w:val="left"/>
              <w:rPr>
                <w:bCs/>
                <w:sz w:val="16"/>
                <w:szCs w:val="16"/>
                <w:lang w:eastAsia="hr-HR"/>
              </w:rPr>
            </w:pPr>
            <w:r w:rsidRPr="001B4CA2">
              <w:rPr>
                <w:bCs/>
                <w:sz w:val="16"/>
                <w:szCs w:val="16"/>
                <w:lang w:eastAsia="hr-HR"/>
              </w:rPr>
              <w:t>Ministarstvo prostornoga uređenja, graditeljstva i državne imovine</w:t>
            </w:r>
          </w:p>
        </w:tc>
        <w:tc>
          <w:tcPr>
            <w:tcW w:w="837" w:type="dxa"/>
            <w:tcBorders>
              <w:top w:val="nil"/>
              <w:left w:val="nil"/>
              <w:bottom w:val="single" w:sz="4" w:space="0" w:color="auto"/>
              <w:right w:val="single" w:sz="4" w:space="0" w:color="auto"/>
            </w:tcBorders>
            <w:shd w:val="clear" w:color="auto" w:fill="auto"/>
            <w:noWrap/>
            <w:vAlign w:val="center"/>
          </w:tcPr>
          <w:p w14:paraId="7DFEF280" w14:textId="77777777" w:rsidR="00671B63" w:rsidRPr="001B4CA2" w:rsidRDefault="00671B63" w:rsidP="00671B63">
            <w:pPr>
              <w:jc w:val="center"/>
              <w:rPr>
                <w:sz w:val="18"/>
                <w:szCs w:val="18"/>
              </w:rPr>
            </w:pPr>
            <w:r w:rsidRPr="001B4CA2">
              <w:rPr>
                <w:sz w:val="18"/>
                <w:szCs w:val="18"/>
              </w:rPr>
              <w:t>43</w:t>
            </w:r>
          </w:p>
        </w:tc>
        <w:tc>
          <w:tcPr>
            <w:tcW w:w="837" w:type="dxa"/>
            <w:tcBorders>
              <w:top w:val="nil"/>
              <w:left w:val="nil"/>
              <w:bottom w:val="single" w:sz="4" w:space="0" w:color="auto"/>
              <w:right w:val="single" w:sz="4" w:space="0" w:color="auto"/>
            </w:tcBorders>
            <w:shd w:val="clear" w:color="auto" w:fill="auto"/>
            <w:noWrap/>
            <w:vAlign w:val="center"/>
          </w:tcPr>
          <w:p w14:paraId="38AA0C91" w14:textId="77777777" w:rsidR="00671B63" w:rsidRPr="001B4CA2" w:rsidRDefault="00671B63" w:rsidP="00671B63">
            <w:pPr>
              <w:jc w:val="center"/>
              <w:rPr>
                <w:sz w:val="18"/>
                <w:szCs w:val="18"/>
              </w:rPr>
            </w:pPr>
            <w:r w:rsidRPr="001B4CA2">
              <w:rPr>
                <w:sz w:val="18"/>
                <w:szCs w:val="18"/>
              </w:rPr>
              <w:t>45</w:t>
            </w:r>
          </w:p>
        </w:tc>
        <w:tc>
          <w:tcPr>
            <w:tcW w:w="837" w:type="dxa"/>
            <w:tcBorders>
              <w:top w:val="nil"/>
              <w:left w:val="nil"/>
              <w:bottom w:val="single" w:sz="4" w:space="0" w:color="auto"/>
              <w:right w:val="single" w:sz="4" w:space="0" w:color="auto"/>
            </w:tcBorders>
            <w:shd w:val="clear" w:color="auto" w:fill="auto"/>
            <w:vAlign w:val="center"/>
          </w:tcPr>
          <w:p w14:paraId="6EB0D816" w14:textId="77777777" w:rsidR="00671B63" w:rsidRPr="001B4CA2" w:rsidRDefault="00671B63" w:rsidP="00671B63">
            <w:pPr>
              <w:jc w:val="center"/>
              <w:rPr>
                <w:sz w:val="18"/>
                <w:szCs w:val="18"/>
              </w:rPr>
            </w:pPr>
            <w:r w:rsidRPr="001B4CA2">
              <w:rPr>
                <w:sz w:val="18"/>
                <w:szCs w:val="18"/>
              </w:rPr>
              <w:t>79</w:t>
            </w:r>
          </w:p>
        </w:tc>
        <w:tc>
          <w:tcPr>
            <w:tcW w:w="837" w:type="dxa"/>
            <w:tcBorders>
              <w:top w:val="nil"/>
              <w:left w:val="nil"/>
              <w:bottom w:val="single" w:sz="4" w:space="0" w:color="auto"/>
              <w:right w:val="single" w:sz="4" w:space="0" w:color="auto"/>
            </w:tcBorders>
            <w:shd w:val="clear" w:color="auto" w:fill="auto"/>
            <w:noWrap/>
            <w:vAlign w:val="center"/>
          </w:tcPr>
          <w:p w14:paraId="115EB3CA" w14:textId="77777777" w:rsidR="00671B63" w:rsidRPr="001B4CA2" w:rsidRDefault="00671B63" w:rsidP="00671B63">
            <w:pPr>
              <w:jc w:val="center"/>
              <w:rPr>
                <w:sz w:val="18"/>
                <w:szCs w:val="18"/>
              </w:rPr>
            </w:pPr>
            <w:r w:rsidRPr="001B4CA2">
              <w:rPr>
                <w:sz w:val="18"/>
                <w:szCs w:val="18"/>
              </w:rPr>
              <w:t>22</w:t>
            </w:r>
          </w:p>
        </w:tc>
        <w:tc>
          <w:tcPr>
            <w:tcW w:w="837" w:type="dxa"/>
            <w:tcBorders>
              <w:top w:val="nil"/>
              <w:left w:val="nil"/>
              <w:bottom w:val="single" w:sz="4" w:space="0" w:color="auto"/>
              <w:right w:val="single" w:sz="4" w:space="0" w:color="auto"/>
            </w:tcBorders>
            <w:shd w:val="clear" w:color="auto" w:fill="auto"/>
            <w:noWrap/>
            <w:vAlign w:val="center"/>
          </w:tcPr>
          <w:p w14:paraId="79240028"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7526EC13" w14:textId="77777777" w:rsidR="00671B63" w:rsidRPr="001B4CA2" w:rsidRDefault="00671B63" w:rsidP="00671B63">
            <w:pPr>
              <w:jc w:val="center"/>
              <w:rPr>
                <w:sz w:val="18"/>
                <w:szCs w:val="18"/>
              </w:rPr>
            </w:pPr>
            <w:r w:rsidRPr="001B4CA2">
              <w:rPr>
                <w:sz w:val="18"/>
                <w:szCs w:val="18"/>
              </w:rPr>
              <w:t>5</w:t>
            </w:r>
          </w:p>
        </w:tc>
        <w:tc>
          <w:tcPr>
            <w:tcW w:w="837" w:type="dxa"/>
            <w:tcBorders>
              <w:top w:val="nil"/>
              <w:left w:val="nil"/>
              <w:bottom w:val="single" w:sz="4" w:space="0" w:color="auto"/>
              <w:right w:val="single" w:sz="4" w:space="0" w:color="auto"/>
            </w:tcBorders>
            <w:shd w:val="clear" w:color="auto" w:fill="auto"/>
            <w:noWrap/>
            <w:vAlign w:val="center"/>
          </w:tcPr>
          <w:p w14:paraId="713B8451"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3501B87"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33CC684" w14:textId="77777777" w:rsidR="00671B63" w:rsidRPr="001B4CA2" w:rsidRDefault="00671B63" w:rsidP="00671B63">
            <w:pPr>
              <w:jc w:val="center"/>
              <w:rPr>
                <w:sz w:val="18"/>
                <w:szCs w:val="18"/>
              </w:rPr>
            </w:pPr>
            <w:r w:rsidRPr="001B4CA2">
              <w:rPr>
                <w:sz w:val="18"/>
                <w:szCs w:val="18"/>
              </w:rPr>
              <w:t>3</w:t>
            </w:r>
          </w:p>
        </w:tc>
        <w:tc>
          <w:tcPr>
            <w:tcW w:w="837" w:type="dxa"/>
            <w:tcBorders>
              <w:top w:val="nil"/>
              <w:left w:val="nil"/>
              <w:bottom w:val="single" w:sz="4" w:space="0" w:color="auto"/>
              <w:right w:val="single" w:sz="4" w:space="0" w:color="auto"/>
            </w:tcBorders>
            <w:shd w:val="clear" w:color="auto" w:fill="auto"/>
            <w:noWrap/>
            <w:vAlign w:val="center"/>
          </w:tcPr>
          <w:p w14:paraId="4D98597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8AD2E2E"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56D18688" w14:textId="77777777" w:rsidR="00671B63" w:rsidRPr="001B4CA2" w:rsidRDefault="00671B63" w:rsidP="00671B63">
            <w:pPr>
              <w:jc w:val="center"/>
              <w:rPr>
                <w:sz w:val="18"/>
                <w:szCs w:val="18"/>
              </w:rPr>
            </w:pPr>
            <w:r w:rsidRPr="001B4CA2">
              <w:rPr>
                <w:sz w:val="18"/>
                <w:szCs w:val="18"/>
              </w:rPr>
              <w:t>3</w:t>
            </w:r>
          </w:p>
        </w:tc>
        <w:tc>
          <w:tcPr>
            <w:tcW w:w="837" w:type="dxa"/>
            <w:tcBorders>
              <w:top w:val="nil"/>
              <w:left w:val="nil"/>
              <w:bottom w:val="single" w:sz="4" w:space="0" w:color="auto"/>
              <w:right w:val="single" w:sz="4" w:space="0" w:color="auto"/>
            </w:tcBorders>
            <w:shd w:val="clear" w:color="auto" w:fill="auto"/>
            <w:noWrap/>
            <w:vAlign w:val="center"/>
          </w:tcPr>
          <w:p w14:paraId="3F22F7DB" w14:textId="77777777" w:rsidR="00671B63" w:rsidRPr="001B4CA2" w:rsidRDefault="00671B63" w:rsidP="00671B63">
            <w:pPr>
              <w:jc w:val="center"/>
              <w:rPr>
                <w:sz w:val="18"/>
                <w:szCs w:val="18"/>
              </w:rPr>
            </w:pPr>
            <w:r w:rsidRPr="001B4CA2">
              <w:rPr>
                <w:sz w:val="18"/>
                <w:szCs w:val="18"/>
              </w:rPr>
              <w:t>127</w:t>
            </w:r>
          </w:p>
        </w:tc>
        <w:tc>
          <w:tcPr>
            <w:tcW w:w="837" w:type="dxa"/>
            <w:tcBorders>
              <w:top w:val="nil"/>
              <w:left w:val="nil"/>
              <w:bottom w:val="single" w:sz="4" w:space="0" w:color="auto"/>
              <w:right w:val="single" w:sz="4" w:space="0" w:color="auto"/>
            </w:tcBorders>
            <w:shd w:val="clear" w:color="auto" w:fill="auto"/>
            <w:vAlign w:val="center"/>
          </w:tcPr>
          <w:p w14:paraId="3B8B6E57" w14:textId="77777777" w:rsidR="00671B63" w:rsidRPr="001B4CA2" w:rsidRDefault="00671B63" w:rsidP="00671B63">
            <w:pPr>
              <w:jc w:val="center"/>
              <w:rPr>
                <w:sz w:val="18"/>
                <w:szCs w:val="18"/>
              </w:rPr>
            </w:pPr>
            <w:r w:rsidRPr="001B4CA2">
              <w:rPr>
                <w:sz w:val="18"/>
                <w:szCs w:val="18"/>
              </w:rPr>
              <w:t>75</w:t>
            </w:r>
          </w:p>
        </w:tc>
      </w:tr>
      <w:tr w:rsidR="00671B63" w:rsidRPr="001B4CA2" w14:paraId="13438B41"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0E231960" w14:textId="77777777" w:rsidR="00671B63" w:rsidRPr="001B4CA2" w:rsidRDefault="00671B63" w:rsidP="00671B63">
            <w:pPr>
              <w:jc w:val="left"/>
              <w:rPr>
                <w:bCs/>
                <w:sz w:val="16"/>
                <w:szCs w:val="16"/>
                <w:lang w:eastAsia="hr-HR"/>
              </w:rPr>
            </w:pPr>
            <w:r w:rsidRPr="001B4CA2">
              <w:rPr>
                <w:bCs/>
                <w:sz w:val="16"/>
                <w:szCs w:val="16"/>
                <w:lang w:eastAsia="hr-HR"/>
              </w:rPr>
              <w:t xml:space="preserve">Ministarstvo unutarnjih poslova </w:t>
            </w:r>
          </w:p>
        </w:tc>
        <w:tc>
          <w:tcPr>
            <w:tcW w:w="837" w:type="dxa"/>
            <w:tcBorders>
              <w:top w:val="nil"/>
              <w:left w:val="nil"/>
              <w:bottom w:val="single" w:sz="4" w:space="0" w:color="auto"/>
              <w:right w:val="single" w:sz="4" w:space="0" w:color="auto"/>
            </w:tcBorders>
            <w:shd w:val="clear" w:color="auto" w:fill="auto"/>
            <w:noWrap/>
            <w:vAlign w:val="center"/>
          </w:tcPr>
          <w:p w14:paraId="7391212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1B1FEF5"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448EC78F" w14:textId="77777777" w:rsidR="00671B63" w:rsidRPr="001B4CA2" w:rsidRDefault="00671B63" w:rsidP="00671B63">
            <w:pPr>
              <w:jc w:val="center"/>
              <w:rPr>
                <w:sz w:val="18"/>
                <w:szCs w:val="18"/>
              </w:rPr>
            </w:pPr>
            <w:r w:rsidRPr="001B4CA2">
              <w:rPr>
                <w:sz w:val="18"/>
                <w:szCs w:val="18"/>
              </w:rPr>
              <w:t>2</w:t>
            </w:r>
          </w:p>
        </w:tc>
        <w:tc>
          <w:tcPr>
            <w:tcW w:w="837" w:type="dxa"/>
            <w:tcBorders>
              <w:top w:val="nil"/>
              <w:left w:val="nil"/>
              <w:bottom w:val="single" w:sz="4" w:space="0" w:color="auto"/>
              <w:right w:val="single" w:sz="4" w:space="0" w:color="auto"/>
            </w:tcBorders>
            <w:shd w:val="clear" w:color="auto" w:fill="auto"/>
            <w:noWrap/>
            <w:vAlign w:val="center"/>
          </w:tcPr>
          <w:p w14:paraId="348A8886" w14:textId="77777777" w:rsidR="00671B63" w:rsidRPr="001B4CA2" w:rsidRDefault="00671B63" w:rsidP="00671B63">
            <w:pPr>
              <w:jc w:val="center"/>
              <w:rPr>
                <w:sz w:val="18"/>
                <w:szCs w:val="18"/>
              </w:rPr>
            </w:pPr>
            <w:r w:rsidRPr="001B4CA2">
              <w:rPr>
                <w:sz w:val="18"/>
                <w:szCs w:val="18"/>
              </w:rPr>
              <w:t>3</w:t>
            </w:r>
          </w:p>
        </w:tc>
        <w:tc>
          <w:tcPr>
            <w:tcW w:w="837" w:type="dxa"/>
            <w:tcBorders>
              <w:top w:val="nil"/>
              <w:left w:val="nil"/>
              <w:bottom w:val="single" w:sz="4" w:space="0" w:color="auto"/>
              <w:right w:val="single" w:sz="4" w:space="0" w:color="auto"/>
            </w:tcBorders>
            <w:shd w:val="clear" w:color="auto" w:fill="auto"/>
            <w:noWrap/>
            <w:vAlign w:val="center"/>
          </w:tcPr>
          <w:p w14:paraId="41A452C6" w14:textId="77777777" w:rsidR="00671B63" w:rsidRPr="001B4CA2" w:rsidRDefault="00671B63" w:rsidP="00671B63">
            <w:pPr>
              <w:jc w:val="center"/>
              <w:rPr>
                <w:sz w:val="18"/>
                <w:szCs w:val="18"/>
              </w:rPr>
            </w:pPr>
            <w:r w:rsidRPr="001B4CA2">
              <w:rPr>
                <w:sz w:val="18"/>
                <w:szCs w:val="18"/>
              </w:rPr>
              <w:t>7</w:t>
            </w:r>
          </w:p>
        </w:tc>
        <w:tc>
          <w:tcPr>
            <w:tcW w:w="837" w:type="dxa"/>
            <w:tcBorders>
              <w:top w:val="nil"/>
              <w:left w:val="nil"/>
              <w:bottom w:val="single" w:sz="4" w:space="0" w:color="auto"/>
              <w:right w:val="single" w:sz="4" w:space="0" w:color="auto"/>
            </w:tcBorders>
            <w:shd w:val="clear" w:color="auto" w:fill="auto"/>
            <w:noWrap/>
            <w:vAlign w:val="center"/>
          </w:tcPr>
          <w:p w14:paraId="58084474" w14:textId="77777777" w:rsidR="00671B63" w:rsidRPr="001B4CA2" w:rsidRDefault="00671B63" w:rsidP="00671B63">
            <w:pPr>
              <w:jc w:val="center"/>
              <w:rPr>
                <w:sz w:val="18"/>
                <w:szCs w:val="18"/>
              </w:rPr>
            </w:pPr>
            <w:r w:rsidRPr="001B4CA2">
              <w:rPr>
                <w:sz w:val="18"/>
                <w:szCs w:val="18"/>
              </w:rPr>
              <w:t>3</w:t>
            </w:r>
          </w:p>
        </w:tc>
        <w:tc>
          <w:tcPr>
            <w:tcW w:w="837" w:type="dxa"/>
            <w:tcBorders>
              <w:top w:val="nil"/>
              <w:left w:val="nil"/>
              <w:bottom w:val="single" w:sz="4" w:space="0" w:color="auto"/>
              <w:right w:val="single" w:sz="4" w:space="0" w:color="auto"/>
            </w:tcBorders>
            <w:shd w:val="clear" w:color="auto" w:fill="auto"/>
            <w:noWrap/>
            <w:vAlign w:val="center"/>
          </w:tcPr>
          <w:p w14:paraId="5036FDC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8B22A0F"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60463D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176A8D0"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037038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98E8B2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C7D842E" w14:textId="77777777" w:rsidR="00671B63" w:rsidRPr="001B4CA2" w:rsidRDefault="00671B63" w:rsidP="00671B63">
            <w:pPr>
              <w:jc w:val="center"/>
              <w:rPr>
                <w:sz w:val="18"/>
                <w:szCs w:val="18"/>
              </w:rPr>
            </w:pPr>
            <w:r w:rsidRPr="001B4CA2">
              <w:rPr>
                <w:sz w:val="18"/>
                <w:szCs w:val="18"/>
              </w:rPr>
              <w:t>9</w:t>
            </w:r>
          </w:p>
        </w:tc>
        <w:tc>
          <w:tcPr>
            <w:tcW w:w="837" w:type="dxa"/>
            <w:tcBorders>
              <w:top w:val="nil"/>
              <w:left w:val="nil"/>
              <w:bottom w:val="single" w:sz="4" w:space="0" w:color="auto"/>
              <w:right w:val="single" w:sz="4" w:space="0" w:color="auto"/>
            </w:tcBorders>
            <w:shd w:val="clear" w:color="auto" w:fill="auto"/>
            <w:vAlign w:val="center"/>
          </w:tcPr>
          <w:p w14:paraId="0644AA3D" w14:textId="77777777" w:rsidR="00671B63" w:rsidRPr="001B4CA2" w:rsidRDefault="00671B63" w:rsidP="00671B63">
            <w:pPr>
              <w:jc w:val="center"/>
              <w:rPr>
                <w:sz w:val="18"/>
                <w:szCs w:val="18"/>
              </w:rPr>
            </w:pPr>
            <w:r w:rsidRPr="001B4CA2">
              <w:rPr>
                <w:sz w:val="18"/>
                <w:szCs w:val="18"/>
              </w:rPr>
              <w:t>7</w:t>
            </w:r>
          </w:p>
        </w:tc>
      </w:tr>
      <w:tr w:rsidR="00671B63" w:rsidRPr="001B4CA2" w14:paraId="765361A1"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vAlign w:val="center"/>
            <w:hideMark/>
          </w:tcPr>
          <w:p w14:paraId="2141ECB8" w14:textId="77777777" w:rsidR="00671B63" w:rsidRPr="001B4CA2" w:rsidRDefault="00671B63" w:rsidP="00671B63">
            <w:pPr>
              <w:jc w:val="left"/>
              <w:rPr>
                <w:bCs/>
                <w:sz w:val="16"/>
                <w:szCs w:val="16"/>
                <w:lang w:eastAsia="hr-HR"/>
              </w:rPr>
            </w:pPr>
            <w:r w:rsidRPr="001B4CA2">
              <w:rPr>
                <w:bCs/>
                <w:sz w:val="16"/>
                <w:szCs w:val="16"/>
                <w:lang w:eastAsia="hr-HR"/>
              </w:rPr>
              <w:t>Ministarstvo rada, mirovinskoga sustava, obitelji i socijalne politike</w:t>
            </w:r>
          </w:p>
        </w:tc>
        <w:tc>
          <w:tcPr>
            <w:tcW w:w="837" w:type="dxa"/>
            <w:tcBorders>
              <w:top w:val="nil"/>
              <w:left w:val="nil"/>
              <w:bottom w:val="single" w:sz="4" w:space="0" w:color="auto"/>
              <w:right w:val="single" w:sz="4" w:space="0" w:color="auto"/>
            </w:tcBorders>
            <w:shd w:val="clear" w:color="auto" w:fill="auto"/>
            <w:noWrap/>
            <w:vAlign w:val="center"/>
          </w:tcPr>
          <w:p w14:paraId="792319D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2A36CDA"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293CAE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ADCB6DE"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0605B82"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BA3638A"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62E92C0"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3C0C60F"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57B267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07F3DD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C73DA5D"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38CEE4A"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209E51D2"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vAlign w:val="center"/>
          </w:tcPr>
          <w:p w14:paraId="74B59CF5" w14:textId="77777777" w:rsidR="00671B63" w:rsidRPr="001B4CA2" w:rsidRDefault="00671B63" w:rsidP="00671B63">
            <w:pPr>
              <w:jc w:val="center"/>
              <w:rPr>
                <w:sz w:val="18"/>
                <w:szCs w:val="18"/>
              </w:rPr>
            </w:pPr>
            <w:r w:rsidRPr="001B4CA2">
              <w:rPr>
                <w:sz w:val="18"/>
                <w:szCs w:val="18"/>
              </w:rPr>
              <w:t>1</w:t>
            </w:r>
          </w:p>
        </w:tc>
      </w:tr>
      <w:tr w:rsidR="00671B63" w:rsidRPr="001B4CA2" w14:paraId="3E807D80"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77D55CCA" w14:textId="77777777" w:rsidR="00671B63" w:rsidRPr="001B4CA2" w:rsidRDefault="00671B63" w:rsidP="00671B63">
            <w:pPr>
              <w:jc w:val="left"/>
              <w:rPr>
                <w:bCs/>
                <w:sz w:val="16"/>
                <w:szCs w:val="16"/>
                <w:lang w:eastAsia="hr-HR"/>
              </w:rPr>
            </w:pPr>
            <w:r w:rsidRPr="001B4CA2">
              <w:rPr>
                <w:bCs/>
                <w:sz w:val="16"/>
                <w:szCs w:val="16"/>
                <w:lang w:eastAsia="hr-HR"/>
              </w:rPr>
              <w:t xml:space="preserve">Ministarstvo financija </w:t>
            </w:r>
          </w:p>
        </w:tc>
        <w:tc>
          <w:tcPr>
            <w:tcW w:w="837" w:type="dxa"/>
            <w:tcBorders>
              <w:top w:val="nil"/>
              <w:left w:val="nil"/>
              <w:bottom w:val="single" w:sz="4" w:space="0" w:color="auto"/>
              <w:right w:val="single" w:sz="4" w:space="0" w:color="auto"/>
            </w:tcBorders>
            <w:shd w:val="clear" w:color="auto" w:fill="auto"/>
            <w:noWrap/>
            <w:vAlign w:val="center"/>
          </w:tcPr>
          <w:p w14:paraId="4F55A29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34BB31B" w14:textId="77777777" w:rsidR="00671B63" w:rsidRPr="001B4CA2" w:rsidRDefault="00671B63" w:rsidP="00671B63">
            <w:pPr>
              <w:jc w:val="center"/>
              <w:rPr>
                <w:sz w:val="18"/>
                <w:szCs w:val="18"/>
              </w:rPr>
            </w:pPr>
            <w:r w:rsidRPr="001B4CA2">
              <w:rPr>
                <w:sz w:val="18"/>
                <w:szCs w:val="18"/>
              </w:rPr>
              <w:t>4</w:t>
            </w:r>
          </w:p>
        </w:tc>
        <w:tc>
          <w:tcPr>
            <w:tcW w:w="837" w:type="dxa"/>
            <w:tcBorders>
              <w:top w:val="nil"/>
              <w:left w:val="nil"/>
              <w:bottom w:val="single" w:sz="4" w:space="0" w:color="auto"/>
              <w:right w:val="single" w:sz="4" w:space="0" w:color="auto"/>
            </w:tcBorders>
            <w:shd w:val="clear" w:color="auto" w:fill="auto"/>
            <w:noWrap/>
            <w:vAlign w:val="center"/>
          </w:tcPr>
          <w:p w14:paraId="2A22DF63" w14:textId="77777777" w:rsidR="00671B63" w:rsidRPr="001B4CA2" w:rsidRDefault="00671B63" w:rsidP="00671B63">
            <w:pPr>
              <w:jc w:val="center"/>
              <w:rPr>
                <w:sz w:val="18"/>
                <w:szCs w:val="18"/>
              </w:rPr>
            </w:pPr>
            <w:r w:rsidRPr="001B4CA2">
              <w:rPr>
                <w:sz w:val="18"/>
                <w:szCs w:val="18"/>
              </w:rPr>
              <w:t>8</w:t>
            </w:r>
          </w:p>
        </w:tc>
        <w:tc>
          <w:tcPr>
            <w:tcW w:w="837" w:type="dxa"/>
            <w:tcBorders>
              <w:top w:val="nil"/>
              <w:left w:val="nil"/>
              <w:bottom w:val="single" w:sz="4" w:space="0" w:color="auto"/>
              <w:right w:val="single" w:sz="4" w:space="0" w:color="auto"/>
            </w:tcBorders>
            <w:shd w:val="clear" w:color="auto" w:fill="auto"/>
            <w:noWrap/>
            <w:vAlign w:val="center"/>
          </w:tcPr>
          <w:p w14:paraId="16E0A4DF" w14:textId="77777777" w:rsidR="00671B63" w:rsidRPr="001B4CA2" w:rsidRDefault="00671B63" w:rsidP="00671B63">
            <w:pPr>
              <w:jc w:val="center"/>
              <w:rPr>
                <w:sz w:val="18"/>
                <w:szCs w:val="18"/>
              </w:rPr>
            </w:pPr>
            <w:r w:rsidRPr="001B4CA2">
              <w:rPr>
                <w:sz w:val="18"/>
                <w:szCs w:val="18"/>
              </w:rPr>
              <w:t>18</w:t>
            </w:r>
          </w:p>
        </w:tc>
        <w:tc>
          <w:tcPr>
            <w:tcW w:w="837" w:type="dxa"/>
            <w:tcBorders>
              <w:top w:val="nil"/>
              <w:left w:val="nil"/>
              <w:bottom w:val="single" w:sz="4" w:space="0" w:color="auto"/>
              <w:right w:val="single" w:sz="4" w:space="0" w:color="auto"/>
            </w:tcBorders>
            <w:shd w:val="clear" w:color="auto" w:fill="auto"/>
            <w:noWrap/>
            <w:vAlign w:val="center"/>
          </w:tcPr>
          <w:p w14:paraId="4321B290"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7ECC16F3" w14:textId="77777777" w:rsidR="00671B63" w:rsidRPr="001B4CA2" w:rsidRDefault="00671B63" w:rsidP="00671B63">
            <w:pPr>
              <w:jc w:val="center"/>
              <w:rPr>
                <w:sz w:val="18"/>
                <w:szCs w:val="18"/>
              </w:rPr>
            </w:pPr>
            <w:r w:rsidRPr="001B4CA2">
              <w:rPr>
                <w:sz w:val="18"/>
                <w:szCs w:val="18"/>
              </w:rPr>
              <w:t>3</w:t>
            </w:r>
          </w:p>
        </w:tc>
        <w:tc>
          <w:tcPr>
            <w:tcW w:w="837" w:type="dxa"/>
            <w:tcBorders>
              <w:top w:val="nil"/>
              <w:left w:val="nil"/>
              <w:bottom w:val="single" w:sz="4" w:space="0" w:color="auto"/>
              <w:right w:val="single" w:sz="4" w:space="0" w:color="auto"/>
            </w:tcBorders>
            <w:shd w:val="clear" w:color="auto" w:fill="auto"/>
            <w:noWrap/>
            <w:vAlign w:val="center"/>
          </w:tcPr>
          <w:p w14:paraId="769963E8"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759AB06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A6DE8EF" w14:textId="77777777" w:rsidR="00671B63" w:rsidRPr="001B4CA2" w:rsidRDefault="00671B63" w:rsidP="00671B63">
            <w:pPr>
              <w:jc w:val="center"/>
              <w:rPr>
                <w:sz w:val="18"/>
                <w:szCs w:val="18"/>
              </w:rPr>
            </w:pPr>
            <w:r w:rsidRPr="001B4CA2">
              <w:rPr>
                <w:sz w:val="18"/>
                <w:szCs w:val="18"/>
              </w:rPr>
              <w:t>6</w:t>
            </w:r>
          </w:p>
        </w:tc>
        <w:tc>
          <w:tcPr>
            <w:tcW w:w="837" w:type="dxa"/>
            <w:tcBorders>
              <w:top w:val="nil"/>
              <w:left w:val="nil"/>
              <w:bottom w:val="single" w:sz="4" w:space="0" w:color="auto"/>
              <w:right w:val="single" w:sz="4" w:space="0" w:color="auto"/>
            </w:tcBorders>
            <w:shd w:val="clear" w:color="auto" w:fill="auto"/>
            <w:noWrap/>
            <w:vAlign w:val="center"/>
          </w:tcPr>
          <w:p w14:paraId="758DF55C" w14:textId="77777777" w:rsidR="00671B63" w:rsidRPr="001B4CA2" w:rsidRDefault="00671B63" w:rsidP="00671B63">
            <w:pPr>
              <w:jc w:val="center"/>
              <w:rPr>
                <w:sz w:val="18"/>
                <w:szCs w:val="18"/>
              </w:rPr>
            </w:pPr>
            <w:r w:rsidRPr="001B4CA2">
              <w:rPr>
                <w:sz w:val="18"/>
                <w:szCs w:val="18"/>
              </w:rPr>
              <w:t>9</w:t>
            </w:r>
          </w:p>
        </w:tc>
        <w:tc>
          <w:tcPr>
            <w:tcW w:w="837" w:type="dxa"/>
            <w:tcBorders>
              <w:top w:val="nil"/>
              <w:left w:val="nil"/>
              <w:bottom w:val="single" w:sz="4" w:space="0" w:color="auto"/>
              <w:right w:val="single" w:sz="4" w:space="0" w:color="auto"/>
            </w:tcBorders>
            <w:shd w:val="clear" w:color="auto" w:fill="auto"/>
            <w:noWrap/>
            <w:vAlign w:val="center"/>
          </w:tcPr>
          <w:p w14:paraId="620AB0C6" w14:textId="77777777" w:rsidR="00671B63" w:rsidRPr="001B4CA2" w:rsidRDefault="00671B63" w:rsidP="00671B63">
            <w:pPr>
              <w:jc w:val="center"/>
              <w:rPr>
                <w:sz w:val="18"/>
                <w:szCs w:val="18"/>
              </w:rPr>
            </w:pPr>
            <w:r w:rsidRPr="001B4CA2">
              <w:rPr>
                <w:sz w:val="18"/>
                <w:szCs w:val="18"/>
              </w:rPr>
              <w:t>9</w:t>
            </w:r>
          </w:p>
        </w:tc>
        <w:tc>
          <w:tcPr>
            <w:tcW w:w="837" w:type="dxa"/>
            <w:tcBorders>
              <w:top w:val="nil"/>
              <w:left w:val="nil"/>
              <w:bottom w:val="single" w:sz="4" w:space="0" w:color="auto"/>
              <w:right w:val="single" w:sz="4" w:space="0" w:color="auto"/>
            </w:tcBorders>
            <w:shd w:val="clear" w:color="auto" w:fill="auto"/>
            <w:noWrap/>
            <w:vAlign w:val="center"/>
          </w:tcPr>
          <w:p w14:paraId="4F2C7A90" w14:textId="77777777" w:rsidR="00671B63" w:rsidRPr="001B4CA2" w:rsidRDefault="00671B63" w:rsidP="00671B63">
            <w:pPr>
              <w:jc w:val="center"/>
              <w:rPr>
                <w:sz w:val="18"/>
                <w:szCs w:val="18"/>
              </w:rPr>
            </w:pPr>
            <w:r w:rsidRPr="001B4CA2">
              <w:rPr>
                <w:sz w:val="18"/>
                <w:szCs w:val="18"/>
              </w:rPr>
              <w:t>4</w:t>
            </w:r>
          </w:p>
        </w:tc>
        <w:tc>
          <w:tcPr>
            <w:tcW w:w="837" w:type="dxa"/>
            <w:tcBorders>
              <w:top w:val="nil"/>
              <w:left w:val="nil"/>
              <w:bottom w:val="single" w:sz="4" w:space="0" w:color="auto"/>
              <w:right w:val="single" w:sz="4" w:space="0" w:color="auto"/>
            </w:tcBorders>
            <w:shd w:val="clear" w:color="auto" w:fill="auto"/>
            <w:noWrap/>
            <w:vAlign w:val="center"/>
          </w:tcPr>
          <w:p w14:paraId="7866CFF5" w14:textId="77777777" w:rsidR="00671B63" w:rsidRPr="001B4CA2" w:rsidRDefault="00671B63" w:rsidP="00671B63">
            <w:pPr>
              <w:jc w:val="center"/>
              <w:rPr>
                <w:sz w:val="18"/>
                <w:szCs w:val="18"/>
              </w:rPr>
            </w:pPr>
            <w:r w:rsidRPr="001B4CA2">
              <w:rPr>
                <w:sz w:val="18"/>
                <w:szCs w:val="18"/>
              </w:rPr>
              <w:t>25</w:t>
            </w:r>
          </w:p>
        </w:tc>
        <w:tc>
          <w:tcPr>
            <w:tcW w:w="837" w:type="dxa"/>
            <w:tcBorders>
              <w:top w:val="nil"/>
              <w:left w:val="nil"/>
              <w:bottom w:val="single" w:sz="4" w:space="0" w:color="auto"/>
              <w:right w:val="single" w:sz="4" w:space="0" w:color="auto"/>
            </w:tcBorders>
            <w:shd w:val="clear" w:color="auto" w:fill="auto"/>
            <w:vAlign w:val="center"/>
          </w:tcPr>
          <w:p w14:paraId="1B44EE8E" w14:textId="77777777" w:rsidR="00671B63" w:rsidRPr="001B4CA2" w:rsidRDefault="00671B63" w:rsidP="00671B63">
            <w:pPr>
              <w:jc w:val="center"/>
              <w:rPr>
                <w:sz w:val="18"/>
                <w:szCs w:val="18"/>
              </w:rPr>
            </w:pPr>
            <w:r w:rsidRPr="001B4CA2">
              <w:rPr>
                <w:sz w:val="18"/>
                <w:szCs w:val="18"/>
              </w:rPr>
              <w:t>39</w:t>
            </w:r>
          </w:p>
        </w:tc>
      </w:tr>
      <w:tr w:rsidR="00671B63" w:rsidRPr="001B4CA2" w14:paraId="039CBC3F"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625B6F04" w14:textId="77777777" w:rsidR="00671B63" w:rsidRPr="001B4CA2" w:rsidRDefault="00671B63" w:rsidP="00671B63">
            <w:pPr>
              <w:jc w:val="left"/>
              <w:rPr>
                <w:bCs/>
                <w:sz w:val="16"/>
                <w:szCs w:val="16"/>
                <w:lang w:eastAsia="hr-HR"/>
              </w:rPr>
            </w:pPr>
            <w:r w:rsidRPr="001B4CA2">
              <w:rPr>
                <w:bCs/>
                <w:sz w:val="16"/>
                <w:szCs w:val="16"/>
                <w:lang w:eastAsia="hr-HR"/>
              </w:rPr>
              <w:t>Ministarstvo gospodarstva i održivog razvoja</w:t>
            </w:r>
          </w:p>
        </w:tc>
        <w:tc>
          <w:tcPr>
            <w:tcW w:w="837" w:type="dxa"/>
            <w:tcBorders>
              <w:top w:val="nil"/>
              <w:left w:val="nil"/>
              <w:bottom w:val="single" w:sz="4" w:space="0" w:color="auto"/>
              <w:right w:val="single" w:sz="4" w:space="0" w:color="auto"/>
            </w:tcBorders>
            <w:shd w:val="clear" w:color="auto" w:fill="auto"/>
            <w:noWrap/>
            <w:vAlign w:val="center"/>
          </w:tcPr>
          <w:p w14:paraId="68BECC4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AAFF292"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4AF9B403"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687BC35C"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6F028C51"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4FCDEED8" w14:textId="77777777" w:rsidR="00671B63" w:rsidRPr="001B4CA2" w:rsidRDefault="00671B63" w:rsidP="00671B63">
            <w:pPr>
              <w:jc w:val="center"/>
              <w:rPr>
                <w:sz w:val="18"/>
                <w:szCs w:val="18"/>
              </w:rPr>
            </w:pPr>
            <w:r w:rsidRPr="001B4CA2">
              <w:rPr>
                <w:sz w:val="18"/>
                <w:szCs w:val="18"/>
              </w:rPr>
              <w:t>4</w:t>
            </w:r>
          </w:p>
        </w:tc>
        <w:tc>
          <w:tcPr>
            <w:tcW w:w="837" w:type="dxa"/>
            <w:tcBorders>
              <w:top w:val="nil"/>
              <w:left w:val="nil"/>
              <w:bottom w:val="single" w:sz="4" w:space="0" w:color="auto"/>
              <w:right w:val="single" w:sz="4" w:space="0" w:color="auto"/>
            </w:tcBorders>
            <w:shd w:val="clear" w:color="auto" w:fill="auto"/>
            <w:noWrap/>
            <w:vAlign w:val="center"/>
          </w:tcPr>
          <w:p w14:paraId="2A50B23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4D157A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E1C3E3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C8BA5C3"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4630540"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5CD592A"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1E29631" w14:textId="77777777" w:rsidR="00671B63" w:rsidRPr="001B4CA2" w:rsidRDefault="00671B63" w:rsidP="00671B63">
            <w:pPr>
              <w:jc w:val="center"/>
              <w:rPr>
                <w:sz w:val="18"/>
                <w:szCs w:val="18"/>
              </w:rPr>
            </w:pPr>
            <w:r w:rsidRPr="001B4CA2">
              <w:rPr>
                <w:sz w:val="18"/>
                <w:szCs w:val="18"/>
              </w:rPr>
              <w:t>2</w:t>
            </w:r>
          </w:p>
        </w:tc>
        <w:tc>
          <w:tcPr>
            <w:tcW w:w="837" w:type="dxa"/>
            <w:tcBorders>
              <w:top w:val="nil"/>
              <w:left w:val="nil"/>
              <w:bottom w:val="single" w:sz="4" w:space="0" w:color="auto"/>
              <w:right w:val="single" w:sz="4" w:space="0" w:color="auto"/>
            </w:tcBorders>
            <w:shd w:val="clear" w:color="auto" w:fill="auto"/>
            <w:vAlign w:val="center"/>
          </w:tcPr>
          <w:p w14:paraId="4CA8D268" w14:textId="77777777" w:rsidR="00671B63" w:rsidRPr="001B4CA2" w:rsidRDefault="00671B63" w:rsidP="00671B63">
            <w:pPr>
              <w:jc w:val="center"/>
              <w:rPr>
                <w:sz w:val="18"/>
                <w:szCs w:val="18"/>
              </w:rPr>
            </w:pPr>
            <w:r w:rsidRPr="001B4CA2">
              <w:rPr>
                <w:sz w:val="18"/>
                <w:szCs w:val="18"/>
              </w:rPr>
              <w:t>6</w:t>
            </w:r>
          </w:p>
        </w:tc>
      </w:tr>
      <w:tr w:rsidR="00671B63" w:rsidRPr="001B4CA2" w14:paraId="07C55DB9"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2EEE75E9" w14:textId="77777777" w:rsidR="00671B63" w:rsidRPr="001B4CA2" w:rsidRDefault="00671B63" w:rsidP="00671B63">
            <w:pPr>
              <w:jc w:val="left"/>
              <w:rPr>
                <w:bCs/>
                <w:sz w:val="16"/>
                <w:szCs w:val="16"/>
                <w:lang w:eastAsia="hr-HR"/>
              </w:rPr>
            </w:pPr>
            <w:r w:rsidRPr="001B4CA2">
              <w:rPr>
                <w:bCs/>
                <w:sz w:val="16"/>
                <w:szCs w:val="16"/>
                <w:lang w:eastAsia="hr-HR"/>
              </w:rPr>
              <w:t xml:space="preserve">Ministarstvo obrane </w:t>
            </w:r>
          </w:p>
        </w:tc>
        <w:tc>
          <w:tcPr>
            <w:tcW w:w="837" w:type="dxa"/>
            <w:tcBorders>
              <w:top w:val="nil"/>
              <w:left w:val="nil"/>
              <w:bottom w:val="single" w:sz="4" w:space="0" w:color="auto"/>
              <w:right w:val="single" w:sz="4" w:space="0" w:color="auto"/>
            </w:tcBorders>
            <w:shd w:val="clear" w:color="auto" w:fill="auto"/>
            <w:noWrap/>
            <w:vAlign w:val="center"/>
          </w:tcPr>
          <w:p w14:paraId="0D2E27E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EBD0ACE"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554446B" w14:textId="77777777" w:rsidR="00671B63" w:rsidRPr="001B4CA2" w:rsidRDefault="00671B63" w:rsidP="00671B63">
            <w:pPr>
              <w:jc w:val="center"/>
              <w:rPr>
                <w:sz w:val="18"/>
                <w:szCs w:val="18"/>
              </w:rPr>
            </w:pPr>
            <w:r w:rsidRPr="001B4CA2">
              <w:rPr>
                <w:sz w:val="18"/>
                <w:szCs w:val="18"/>
              </w:rPr>
              <w:t>8</w:t>
            </w:r>
          </w:p>
        </w:tc>
        <w:tc>
          <w:tcPr>
            <w:tcW w:w="837" w:type="dxa"/>
            <w:tcBorders>
              <w:top w:val="nil"/>
              <w:left w:val="nil"/>
              <w:bottom w:val="single" w:sz="4" w:space="0" w:color="auto"/>
              <w:right w:val="single" w:sz="4" w:space="0" w:color="auto"/>
            </w:tcBorders>
            <w:shd w:val="clear" w:color="auto" w:fill="auto"/>
            <w:noWrap/>
            <w:vAlign w:val="center"/>
          </w:tcPr>
          <w:p w14:paraId="3CD1B6EE" w14:textId="77777777" w:rsidR="00671B63" w:rsidRPr="001B4CA2" w:rsidRDefault="00671B63" w:rsidP="00671B63">
            <w:pPr>
              <w:jc w:val="center"/>
              <w:rPr>
                <w:sz w:val="18"/>
                <w:szCs w:val="18"/>
              </w:rPr>
            </w:pPr>
            <w:r w:rsidRPr="001B4CA2">
              <w:rPr>
                <w:sz w:val="18"/>
                <w:szCs w:val="18"/>
              </w:rPr>
              <w:t>4</w:t>
            </w:r>
          </w:p>
        </w:tc>
        <w:tc>
          <w:tcPr>
            <w:tcW w:w="837" w:type="dxa"/>
            <w:tcBorders>
              <w:top w:val="nil"/>
              <w:left w:val="nil"/>
              <w:bottom w:val="single" w:sz="4" w:space="0" w:color="auto"/>
              <w:right w:val="single" w:sz="4" w:space="0" w:color="auto"/>
            </w:tcBorders>
            <w:shd w:val="clear" w:color="auto" w:fill="auto"/>
            <w:noWrap/>
            <w:vAlign w:val="center"/>
          </w:tcPr>
          <w:p w14:paraId="54639E41"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CBAFCA2"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7C7A7E3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249A42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E2B5CC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0936516"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199D43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56EDF9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9840103" w14:textId="77777777" w:rsidR="00671B63" w:rsidRPr="001B4CA2" w:rsidRDefault="00671B63" w:rsidP="00671B63">
            <w:pPr>
              <w:jc w:val="center"/>
              <w:rPr>
                <w:sz w:val="18"/>
                <w:szCs w:val="18"/>
              </w:rPr>
            </w:pPr>
            <w:r w:rsidRPr="001B4CA2">
              <w:rPr>
                <w:sz w:val="18"/>
                <w:szCs w:val="18"/>
              </w:rPr>
              <w:t>8</w:t>
            </w:r>
          </w:p>
        </w:tc>
        <w:tc>
          <w:tcPr>
            <w:tcW w:w="837" w:type="dxa"/>
            <w:tcBorders>
              <w:top w:val="nil"/>
              <w:left w:val="nil"/>
              <w:bottom w:val="single" w:sz="4" w:space="0" w:color="auto"/>
              <w:right w:val="single" w:sz="4" w:space="0" w:color="auto"/>
            </w:tcBorders>
            <w:shd w:val="clear" w:color="auto" w:fill="auto"/>
            <w:vAlign w:val="center"/>
          </w:tcPr>
          <w:p w14:paraId="5827BE88" w14:textId="77777777" w:rsidR="00671B63" w:rsidRPr="001B4CA2" w:rsidRDefault="00671B63" w:rsidP="00671B63">
            <w:pPr>
              <w:jc w:val="center"/>
              <w:rPr>
                <w:sz w:val="18"/>
                <w:szCs w:val="18"/>
              </w:rPr>
            </w:pPr>
            <w:r w:rsidRPr="001B4CA2">
              <w:rPr>
                <w:sz w:val="18"/>
                <w:szCs w:val="18"/>
              </w:rPr>
              <w:t>5</w:t>
            </w:r>
          </w:p>
        </w:tc>
      </w:tr>
      <w:tr w:rsidR="00671B63" w:rsidRPr="001B4CA2" w14:paraId="2259F0F6"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39A92E6A" w14:textId="77777777" w:rsidR="00671B63" w:rsidRPr="001B4CA2" w:rsidRDefault="00671B63" w:rsidP="00671B63">
            <w:pPr>
              <w:jc w:val="left"/>
              <w:rPr>
                <w:bCs/>
                <w:sz w:val="16"/>
                <w:szCs w:val="16"/>
                <w:lang w:eastAsia="hr-HR"/>
              </w:rPr>
            </w:pPr>
            <w:r w:rsidRPr="001B4CA2">
              <w:rPr>
                <w:bCs/>
                <w:sz w:val="16"/>
                <w:szCs w:val="16"/>
                <w:lang w:eastAsia="hr-HR"/>
              </w:rPr>
              <w:t xml:space="preserve">Ministarstvo vanjskih i europskih poslova </w:t>
            </w:r>
          </w:p>
        </w:tc>
        <w:tc>
          <w:tcPr>
            <w:tcW w:w="837" w:type="dxa"/>
            <w:tcBorders>
              <w:top w:val="nil"/>
              <w:left w:val="nil"/>
              <w:bottom w:val="single" w:sz="4" w:space="0" w:color="auto"/>
              <w:right w:val="single" w:sz="4" w:space="0" w:color="auto"/>
            </w:tcBorders>
            <w:shd w:val="clear" w:color="auto" w:fill="auto"/>
            <w:noWrap/>
            <w:vAlign w:val="center"/>
          </w:tcPr>
          <w:p w14:paraId="2A6678C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834C6E2"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BBE9C5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A80F0C7"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FA1D217"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E05A75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9F2103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6651D2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01CD8E2"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DB91CE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196E313"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4920DDF"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22ADFCD"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vAlign w:val="center"/>
          </w:tcPr>
          <w:p w14:paraId="71D8B9B9" w14:textId="77777777" w:rsidR="00671B63" w:rsidRPr="001B4CA2" w:rsidRDefault="00671B63" w:rsidP="00671B63">
            <w:pPr>
              <w:jc w:val="center"/>
              <w:rPr>
                <w:sz w:val="18"/>
                <w:szCs w:val="18"/>
              </w:rPr>
            </w:pPr>
          </w:p>
        </w:tc>
      </w:tr>
      <w:tr w:rsidR="00671B63" w:rsidRPr="001B4CA2" w14:paraId="6D7959CD"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6F7DBF7E" w14:textId="77777777" w:rsidR="00671B63" w:rsidRPr="001B4CA2" w:rsidRDefault="00671B63" w:rsidP="00671B63">
            <w:pPr>
              <w:jc w:val="left"/>
              <w:rPr>
                <w:bCs/>
                <w:sz w:val="16"/>
                <w:szCs w:val="16"/>
                <w:lang w:eastAsia="hr-HR"/>
              </w:rPr>
            </w:pPr>
            <w:r w:rsidRPr="001B4CA2">
              <w:rPr>
                <w:bCs/>
                <w:sz w:val="16"/>
                <w:szCs w:val="16"/>
                <w:lang w:eastAsia="hr-HR"/>
              </w:rPr>
              <w:t>Ministarstvo mora, prometa i infrastrukture</w:t>
            </w:r>
          </w:p>
        </w:tc>
        <w:tc>
          <w:tcPr>
            <w:tcW w:w="837" w:type="dxa"/>
            <w:tcBorders>
              <w:top w:val="nil"/>
              <w:left w:val="nil"/>
              <w:bottom w:val="single" w:sz="4" w:space="0" w:color="auto"/>
              <w:right w:val="single" w:sz="4" w:space="0" w:color="auto"/>
            </w:tcBorders>
            <w:shd w:val="clear" w:color="auto" w:fill="auto"/>
            <w:noWrap/>
            <w:vAlign w:val="center"/>
          </w:tcPr>
          <w:p w14:paraId="46283278" w14:textId="77777777" w:rsidR="00671B63" w:rsidRPr="001B4CA2" w:rsidRDefault="00671B63" w:rsidP="00671B63">
            <w:pPr>
              <w:jc w:val="center"/>
              <w:rPr>
                <w:sz w:val="18"/>
                <w:szCs w:val="18"/>
              </w:rPr>
            </w:pPr>
            <w:r w:rsidRPr="001B4CA2">
              <w:rPr>
                <w:sz w:val="18"/>
                <w:szCs w:val="18"/>
              </w:rPr>
              <w:t>15</w:t>
            </w:r>
          </w:p>
        </w:tc>
        <w:tc>
          <w:tcPr>
            <w:tcW w:w="837" w:type="dxa"/>
            <w:tcBorders>
              <w:top w:val="nil"/>
              <w:left w:val="nil"/>
              <w:bottom w:val="single" w:sz="4" w:space="0" w:color="auto"/>
              <w:right w:val="single" w:sz="4" w:space="0" w:color="auto"/>
            </w:tcBorders>
            <w:shd w:val="clear" w:color="auto" w:fill="auto"/>
            <w:noWrap/>
            <w:vAlign w:val="center"/>
          </w:tcPr>
          <w:p w14:paraId="0F24FC70" w14:textId="77777777" w:rsidR="00671B63" w:rsidRPr="001B4CA2" w:rsidRDefault="00671B63" w:rsidP="00671B63">
            <w:pPr>
              <w:jc w:val="center"/>
              <w:rPr>
                <w:sz w:val="18"/>
                <w:szCs w:val="18"/>
              </w:rPr>
            </w:pPr>
            <w:r w:rsidRPr="001B4CA2">
              <w:rPr>
                <w:sz w:val="18"/>
                <w:szCs w:val="18"/>
              </w:rPr>
              <w:t>4</w:t>
            </w:r>
          </w:p>
        </w:tc>
        <w:tc>
          <w:tcPr>
            <w:tcW w:w="837" w:type="dxa"/>
            <w:tcBorders>
              <w:top w:val="nil"/>
              <w:left w:val="nil"/>
              <w:bottom w:val="single" w:sz="4" w:space="0" w:color="auto"/>
              <w:right w:val="single" w:sz="4" w:space="0" w:color="auto"/>
            </w:tcBorders>
            <w:shd w:val="clear" w:color="auto" w:fill="auto"/>
            <w:noWrap/>
            <w:vAlign w:val="center"/>
          </w:tcPr>
          <w:p w14:paraId="18F51C2C"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0E468267" w14:textId="77777777" w:rsidR="00671B63" w:rsidRPr="001B4CA2" w:rsidRDefault="00671B63" w:rsidP="00671B63">
            <w:pPr>
              <w:jc w:val="center"/>
              <w:rPr>
                <w:sz w:val="18"/>
                <w:szCs w:val="18"/>
              </w:rPr>
            </w:pPr>
            <w:r w:rsidRPr="001B4CA2">
              <w:rPr>
                <w:sz w:val="18"/>
                <w:szCs w:val="18"/>
              </w:rPr>
              <w:t>6</w:t>
            </w:r>
          </w:p>
        </w:tc>
        <w:tc>
          <w:tcPr>
            <w:tcW w:w="837" w:type="dxa"/>
            <w:tcBorders>
              <w:top w:val="nil"/>
              <w:left w:val="nil"/>
              <w:bottom w:val="single" w:sz="4" w:space="0" w:color="auto"/>
              <w:right w:val="single" w:sz="4" w:space="0" w:color="auto"/>
            </w:tcBorders>
            <w:shd w:val="clear" w:color="auto" w:fill="auto"/>
            <w:noWrap/>
            <w:vAlign w:val="center"/>
          </w:tcPr>
          <w:p w14:paraId="420568A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48CDA8F" w14:textId="77777777" w:rsidR="00671B63" w:rsidRPr="001B4CA2" w:rsidRDefault="00671B63" w:rsidP="00671B63">
            <w:pPr>
              <w:jc w:val="center"/>
              <w:rPr>
                <w:sz w:val="18"/>
                <w:szCs w:val="18"/>
              </w:rPr>
            </w:pPr>
            <w:r w:rsidRPr="001B4CA2">
              <w:rPr>
                <w:sz w:val="18"/>
                <w:szCs w:val="18"/>
              </w:rPr>
              <w:t>5</w:t>
            </w:r>
          </w:p>
        </w:tc>
        <w:tc>
          <w:tcPr>
            <w:tcW w:w="837" w:type="dxa"/>
            <w:tcBorders>
              <w:top w:val="nil"/>
              <w:left w:val="nil"/>
              <w:bottom w:val="single" w:sz="4" w:space="0" w:color="auto"/>
              <w:right w:val="single" w:sz="4" w:space="0" w:color="auto"/>
            </w:tcBorders>
            <w:shd w:val="clear" w:color="auto" w:fill="auto"/>
            <w:noWrap/>
            <w:vAlign w:val="center"/>
          </w:tcPr>
          <w:p w14:paraId="0AA97E83"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36723E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6D95D96"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BE82952"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48602D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428841F"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16156B3" w14:textId="77777777" w:rsidR="00671B63" w:rsidRPr="001B4CA2" w:rsidRDefault="00671B63" w:rsidP="00671B63">
            <w:pPr>
              <w:jc w:val="center"/>
              <w:rPr>
                <w:sz w:val="18"/>
                <w:szCs w:val="18"/>
              </w:rPr>
            </w:pPr>
            <w:r w:rsidRPr="001B4CA2">
              <w:rPr>
                <w:sz w:val="18"/>
                <w:szCs w:val="18"/>
              </w:rPr>
              <w:t>16</w:t>
            </w:r>
          </w:p>
        </w:tc>
        <w:tc>
          <w:tcPr>
            <w:tcW w:w="837" w:type="dxa"/>
            <w:tcBorders>
              <w:top w:val="nil"/>
              <w:left w:val="nil"/>
              <w:bottom w:val="single" w:sz="4" w:space="0" w:color="auto"/>
              <w:right w:val="single" w:sz="4" w:space="0" w:color="auto"/>
            </w:tcBorders>
            <w:shd w:val="clear" w:color="auto" w:fill="auto"/>
            <w:vAlign w:val="center"/>
          </w:tcPr>
          <w:p w14:paraId="3E480F22" w14:textId="77777777" w:rsidR="00671B63" w:rsidRPr="001B4CA2" w:rsidRDefault="00671B63" w:rsidP="00671B63">
            <w:pPr>
              <w:jc w:val="center"/>
              <w:rPr>
                <w:sz w:val="18"/>
                <w:szCs w:val="18"/>
              </w:rPr>
            </w:pPr>
            <w:r w:rsidRPr="001B4CA2">
              <w:rPr>
                <w:sz w:val="18"/>
                <w:szCs w:val="18"/>
              </w:rPr>
              <w:t>15</w:t>
            </w:r>
          </w:p>
        </w:tc>
      </w:tr>
      <w:tr w:rsidR="00671B63" w:rsidRPr="001B4CA2" w14:paraId="1EC8FA8D"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6376EE21" w14:textId="77777777" w:rsidR="00671B63" w:rsidRPr="001B4CA2" w:rsidRDefault="00671B63" w:rsidP="00671B63">
            <w:pPr>
              <w:jc w:val="left"/>
              <w:rPr>
                <w:bCs/>
                <w:sz w:val="16"/>
                <w:szCs w:val="16"/>
                <w:lang w:eastAsia="hr-HR"/>
              </w:rPr>
            </w:pPr>
            <w:r w:rsidRPr="001B4CA2">
              <w:rPr>
                <w:bCs/>
                <w:sz w:val="16"/>
                <w:szCs w:val="16"/>
                <w:lang w:eastAsia="hr-HR"/>
              </w:rPr>
              <w:t>Ministarstvo poljoprivrede</w:t>
            </w:r>
          </w:p>
        </w:tc>
        <w:tc>
          <w:tcPr>
            <w:tcW w:w="837" w:type="dxa"/>
            <w:tcBorders>
              <w:top w:val="nil"/>
              <w:left w:val="nil"/>
              <w:bottom w:val="single" w:sz="4" w:space="0" w:color="auto"/>
              <w:right w:val="single" w:sz="4" w:space="0" w:color="auto"/>
            </w:tcBorders>
            <w:shd w:val="clear" w:color="auto" w:fill="auto"/>
            <w:noWrap/>
            <w:vAlign w:val="center"/>
          </w:tcPr>
          <w:p w14:paraId="649A4E1D" w14:textId="77777777" w:rsidR="00671B63" w:rsidRPr="001B4CA2" w:rsidRDefault="00671B63" w:rsidP="00671B63">
            <w:pPr>
              <w:jc w:val="center"/>
              <w:rPr>
                <w:sz w:val="18"/>
                <w:szCs w:val="18"/>
              </w:rPr>
            </w:pPr>
            <w:r w:rsidRPr="001B4CA2">
              <w:rPr>
                <w:sz w:val="18"/>
                <w:szCs w:val="18"/>
              </w:rPr>
              <w:t>14</w:t>
            </w:r>
          </w:p>
        </w:tc>
        <w:tc>
          <w:tcPr>
            <w:tcW w:w="837" w:type="dxa"/>
            <w:tcBorders>
              <w:top w:val="nil"/>
              <w:left w:val="nil"/>
              <w:bottom w:val="single" w:sz="4" w:space="0" w:color="auto"/>
              <w:right w:val="single" w:sz="4" w:space="0" w:color="auto"/>
            </w:tcBorders>
            <w:shd w:val="clear" w:color="auto" w:fill="auto"/>
            <w:noWrap/>
            <w:vAlign w:val="center"/>
          </w:tcPr>
          <w:p w14:paraId="0EB39E7B" w14:textId="77777777" w:rsidR="00671B63" w:rsidRPr="001B4CA2" w:rsidRDefault="00671B63" w:rsidP="00671B63">
            <w:pPr>
              <w:jc w:val="center"/>
              <w:rPr>
                <w:sz w:val="18"/>
                <w:szCs w:val="18"/>
              </w:rPr>
            </w:pPr>
            <w:r w:rsidRPr="001B4CA2">
              <w:rPr>
                <w:sz w:val="18"/>
                <w:szCs w:val="18"/>
              </w:rPr>
              <w:t>8</w:t>
            </w:r>
          </w:p>
        </w:tc>
        <w:tc>
          <w:tcPr>
            <w:tcW w:w="837" w:type="dxa"/>
            <w:tcBorders>
              <w:top w:val="nil"/>
              <w:left w:val="nil"/>
              <w:bottom w:val="single" w:sz="4" w:space="0" w:color="auto"/>
              <w:right w:val="single" w:sz="4" w:space="0" w:color="auto"/>
            </w:tcBorders>
            <w:shd w:val="clear" w:color="auto" w:fill="auto"/>
            <w:noWrap/>
            <w:vAlign w:val="center"/>
          </w:tcPr>
          <w:p w14:paraId="1BD39666" w14:textId="77777777" w:rsidR="00671B63" w:rsidRPr="001B4CA2" w:rsidRDefault="00671B63" w:rsidP="00671B63">
            <w:pPr>
              <w:jc w:val="center"/>
              <w:rPr>
                <w:sz w:val="18"/>
                <w:szCs w:val="18"/>
              </w:rPr>
            </w:pPr>
            <w:r w:rsidRPr="001B4CA2">
              <w:rPr>
                <w:sz w:val="18"/>
                <w:szCs w:val="18"/>
              </w:rPr>
              <w:t>27</w:t>
            </w:r>
          </w:p>
        </w:tc>
        <w:tc>
          <w:tcPr>
            <w:tcW w:w="837" w:type="dxa"/>
            <w:tcBorders>
              <w:top w:val="nil"/>
              <w:left w:val="nil"/>
              <w:bottom w:val="single" w:sz="4" w:space="0" w:color="auto"/>
              <w:right w:val="single" w:sz="4" w:space="0" w:color="auto"/>
            </w:tcBorders>
            <w:shd w:val="clear" w:color="auto" w:fill="auto"/>
            <w:noWrap/>
            <w:vAlign w:val="center"/>
          </w:tcPr>
          <w:p w14:paraId="1F3D85FF"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164A514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C1D72ED" w14:textId="77777777" w:rsidR="00671B63" w:rsidRPr="001B4CA2" w:rsidRDefault="00671B63" w:rsidP="00671B63">
            <w:pPr>
              <w:jc w:val="center"/>
              <w:rPr>
                <w:sz w:val="18"/>
                <w:szCs w:val="18"/>
              </w:rPr>
            </w:pPr>
            <w:r w:rsidRPr="001B4CA2">
              <w:rPr>
                <w:sz w:val="18"/>
                <w:szCs w:val="18"/>
              </w:rPr>
              <w:t>4</w:t>
            </w:r>
          </w:p>
        </w:tc>
        <w:tc>
          <w:tcPr>
            <w:tcW w:w="837" w:type="dxa"/>
            <w:tcBorders>
              <w:top w:val="nil"/>
              <w:left w:val="nil"/>
              <w:bottom w:val="single" w:sz="4" w:space="0" w:color="auto"/>
              <w:right w:val="single" w:sz="4" w:space="0" w:color="auto"/>
            </w:tcBorders>
            <w:shd w:val="clear" w:color="auto" w:fill="auto"/>
            <w:noWrap/>
            <w:vAlign w:val="center"/>
          </w:tcPr>
          <w:p w14:paraId="50CECF47"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8F2C730"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4D0419A"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471572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B298BC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3E4EB07"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0191DD2" w14:textId="77777777" w:rsidR="00671B63" w:rsidRPr="001B4CA2" w:rsidRDefault="00671B63" w:rsidP="00671B63">
            <w:pPr>
              <w:jc w:val="center"/>
              <w:rPr>
                <w:sz w:val="18"/>
                <w:szCs w:val="18"/>
              </w:rPr>
            </w:pPr>
            <w:r w:rsidRPr="001B4CA2">
              <w:rPr>
                <w:sz w:val="18"/>
                <w:szCs w:val="18"/>
              </w:rPr>
              <w:t>41</w:t>
            </w:r>
          </w:p>
        </w:tc>
        <w:tc>
          <w:tcPr>
            <w:tcW w:w="837" w:type="dxa"/>
            <w:tcBorders>
              <w:top w:val="nil"/>
              <w:left w:val="nil"/>
              <w:bottom w:val="single" w:sz="4" w:space="0" w:color="auto"/>
              <w:right w:val="single" w:sz="4" w:space="0" w:color="auto"/>
            </w:tcBorders>
            <w:shd w:val="clear" w:color="auto" w:fill="auto"/>
            <w:vAlign w:val="center"/>
          </w:tcPr>
          <w:p w14:paraId="6E99D68E" w14:textId="77777777" w:rsidR="00671B63" w:rsidRPr="001B4CA2" w:rsidRDefault="00671B63" w:rsidP="00671B63">
            <w:pPr>
              <w:jc w:val="center"/>
              <w:rPr>
                <w:sz w:val="18"/>
                <w:szCs w:val="18"/>
              </w:rPr>
            </w:pPr>
            <w:r w:rsidRPr="001B4CA2">
              <w:rPr>
                <w:sz w:val="18"/>
                <w:szCs w:val="18"/>
              </w:rPr>
              <w:t>13</w:t>
            </w:r>
          </w:p>
        </w:tc>
      </w:tr>
      <w:tr w:rsidR="00671B63" w:rsidRPr="001B4CA2" w14:paraId="4AAC605A"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1F40BB88" w14:textId="77777777" w:rsidR="00671B63" w:rsidRPr="001B4CA2" w:rsidRDefault="00671B63" w:rsidP="00671B63">
            <w:pPr>
              <w:jc w:val="left"/>
              <w:rPr>
                <w:bCs/>
                <w:sz w:val="16"/>
                <w:szCs w:val="16"/>
                <w:lang w:eastAsia="hr-HR"/>
              </w:rPr>
            </w:pPr>
            <w:r w:rsidRPr="001B4CA2">
              <w:rPr>
                <w:bCs/>
                <w:sz w:val="16"/>
                <w:szCs w:val="16"/>
                <w:lang w:eastAsia="hr-HR"/>
              </w:rPr>
              <w:t>Ministarstvo turizma i sporta</w:t>
            </w:r>
          </w:p>
        </w:tc>
        <w:tc>
          <w:tcPr>
            <w:tcW w:w="837" w:type="dxa"/>
            <w:tcBorders>
              <w:top w:val="nil"/>
              <w:left w:val="nil"/>
              <w:bottom w:val="single" w:sz="4" w:space="0" w:color="auto"/>
              <w:right w:val="single" w:sz="4" w:space="0" w:color="auto"/>
            </w:tcBorders>
            <w:shd w:val="clear" w:color="auto" w:fill="auto"/>
            <w:noWrap/>
            <w:vAlign w:val="center"/>
          </w:tcPr>
          <w:p w14:paraId="11670EC0" w14:textId="77777777" w:rsidR="00671B63" w:rsidRPr="001B4CA2" w:rsidRDefault="00671B63" w:rsidP="00671B63">
            <w:pPr>
              <w:jc w:val="center"/>
              <w:rPr>
                <w:sz w:val="18"/>
                <w:szCs w:val="18"/>
              </w:rPr>
            </w:pPr>
            <w:r w:rsidRPr="001B4CA2">
              <w:rPr>
                <w:sz w:val="18"/>
                <w:szCs w:val="18"/>
              </w:rPr>
              <w:t>3</w:t>
            </w:r>
          </w:p>
        </w:tc>
        <w:tc>
          <w:tcPr>
            <w:tcW w:w="837" w:type="dxa"/>
            <w:tcBorders>
              <w:top w:val="nil"/>
              <w:left w:val="nil"/>
              <w:bottom w:val="single" w:sz="4" w:space="0" w:color="auto"/>
              <w:right w:val="single" w:sz="4" w:space="0" w:color="auto"/>
            </w:tcBorders>
            <w:shd w:val="clear" w:color="auto" w:fill="auto"/>
            <w:noWrap/>
            <w:vAlign w:val="center"/>
          </w:tcPr>
          <w:p w14:paraId="39AD9406"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3146D77"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1B84C6A"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65864B6"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81C6AA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534DFB6"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8772EC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F4B0E3E"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D6E3AF7"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8D8D26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10D5806"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7F6890A" w14:textId="77777777" w:rsidR="00671B63" w:rsidRPr="001B4CA2" w:rsidRDefault="00671B63" w:rsidP="00671B63">
            <w:pPr>
              <w:jc w:val="center"/>
              <w:rPr>
                <w:sz w:val="18"/>
                <w:szCs w:val="18"/>
              </w:rPr>
            </w:pPr>
            <w:r w:rsidRPr="001B4CA2">
              <w:rPr>
                <w:sz w:val="18"/>
                <w:szCs w:val="18"/>
              </w:rPr>
              <w:t>3</w:t>
            </w:r>
          </w:p>
        </w:tc>
        <w:tc>
          <w:tcPr>
            <w:tcW w:w="837" w:type="dxa"/>
            <w:tcBorders>
              <w:top w:val="nil"/>
              <w:left w:val="nil"/>
              <w:bottom w:val="single" w:sz="4" w:space="0" w:color="auto"/>
              <w:right w:val="single" w:sz="4" w:space="0" w:color="auto"/>
            </w:tcBorders>
            <w:shd w:val="clear" w:color="auto" w:fill="auto"/>
            <w:vAlign w:val="center"/>
          </w:tcPr>
          <w:p w14:paraId="57F41A93" w14:textId="77777777" w:rsidR="00671B63" w:rsidRPr="001B4CA2" w:rsidRDefault="00671B63" w:rsidP="00671B63">
            <w:pPr>
              <w:jc w:val="center"/>
              <w:rPr>
                <w:sz w:val="18"/>
                <w:szCs w:val="18"/>
              </w:rPr>
            </w:pPr>
          </w:p>
        </w:tc>
      </w:tr>
      <w:tr w:rsidR="00671B63" w:rsidRPr="001B4CA2" w14:paraId="04CF9A38"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51F94C90" w14:textId="77777777" w:rsidR="00671B63" w:rsidRPr="001B4CA2" w:rsidRDefault="00671B63" w:rsidP="00671B63">
            <w:pPr>
              <w:jc w:val="left"/>
              <w:rPr>
                <w:bCs/>
                <w:sz w:val="16"/>
                <w:szCs w:val="16"/>
                <w:lang w:eastAsia="hr-HR"/>
              </w:rPr>
            </w:pPr>
            <w:r w:rsidRPr="001B4CA2">
              <w:rPr>
                <w:bCs/>
                <w:sz w:val="16"/>
                <w:szCs w:val="16"/>
                <w:lang w:eastAsia="hr-HR"/>
              </w:rPr>
              <w:t xml:space="preserve">Ministarstvo znanosti i obrazovanja </w:t>
            </w:r>
          </w:p>
        </w:tc>
        <w:tc>
          <w:tcPr>
            <w:tcW w:w="837" w:type="dxa"/>
            <w:tcBorders>
              <w:top w:val="nil"/>
              <w:left w:val="nil"/>
              <w:bottom w:val="single" w:sz="4" w:space="0" w:color="auto"/>
              <w:right w:val="single" w:sz="4" w:space="0" w:color="auto"/>
            </w:tcBorders>
            <w:shd w:val="clear" w:color="auto" w:fill="auto"/>
            <w:noWrap/>
            <w:vAlign w:val="center"/>
          </w:tcPr>
          <w:p w14:paraId="63FB116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1D81F4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B356FE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C124A07" w14:textId="77777777" w:rsidR="00671B63" w:rsidRPr="001B4CA2" w:rsidRDefault="00671B63" w:rsidP="00671B63">
            <w:pPr>
              <w:jc w:val="center"/>
              <w:rPr>
                <w:sz w:val="18"/>
                <w:szCs w:val="18"/>
              </w:rPr>
            </w:pPr>
            <w:r w:rsidRPr="001B4CA2">
              <w:rPr>
                <w:sz w:val="18"/>
                <w:szCs w:val="18"/>
              </w:rPr>
              <w:t>5</w:t>
            </w:r>
          </w:p>
        </w:tc>
        <w:tc>
          <w:tcPr>
            <w:tcW w:w="837" w:type="dxa"/>
            <w:tcBorders>
              <w:top w:val="nil"/>
              <w:left w:val="nil"/>
              <w:bottom w:val="single" w:sz="4" w:space="0" w:color="auto"/>
              <w:right w:val="single" w:sz="4" w:space="0" w:color="auto"/>
            </w:tcBorders>
            <w:shd w:val="clear" w:color="auto" w:fill="auto"/>
            <w:noWrap/>
            <w:vAlign w:val="center"/>
          </w:tcPr>
          <w:p w14:paraId="44AEE45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47A590A" w14:textId="77777777" w:rsidR="00671B63" w:rsidRPr="001B4CA2" w:rsidRDefault="00671B63" w:rsidP="00671B63">
            <w:pPr>
              <w:jc w:val="center"/>
              <w:rPr>
                <w:sz w:val="18"/>
                <w:szCs w:val="18"/>
              </w:rPr>
            </w:pPr>
            <w:r w:rsidRPr="001B4CA2">
              <w:rPr>
                <w:sz w:val="18"/>
                <w:szCs w:val="18"/>
              </w:rPr>
              <w:t>4</w:t>
            </w:r>
          </w:p>
        </w:tc>
        <w:tc>
          <w:tcPr>
            <w:tcW w:w="837" w:type="dxa"/>
            <w:tcBorders>
              <w:top w:val="nil"/>
              <w:left w:val="nil"/>
              <w:bottom w:val="single" w:sz="4" w:space="0" w:color="auto"/>
              <w:right w:val="single" w:sz="4" w:space="0" w:color="auto"/>
            </w:tcBorders>
            <w:shd w:val="clear" w:color="auto" w:fill="auto"/>
            <w:noWrap/>
            <w:vAlign w:val="center"/>
          </w:tcPr>
          <w:p w14:paraId="64B6850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91A912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B3F215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FEEEBD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BDA336D"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CF3CFC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0764CB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vAlign w:val="center"/>
          </w:tcPr>
          <w:p w14:paraId="756A29B9" w14:textId="77777777" w:rsidR="00671B63" w:rsidRPr="001B4CA2" w:rsidRDefault="00671B63" w:rsidP="00671B63">
            <w:pPr>
              <w:jc w:val="center"/>
              <w:rPr>
                <w:sz w:val="18"/>
                <w:szCs w:val="18"/>
              </w:rPr>
            </w:pPr>
            <w:r w:rsidRPr="001B4CA2">
              <w:rPr>
                <w:sz w:val="18"/>
                <w:szCs w:val="18"/>
              </w:rPr>
              <w:t>9</w:t>
            </w:r>
          </w:p>
        </w:tc>
      </w:tr>
      <w:tr w:rsidR="00671B63" w:rsidRPr="001B4CA2" w14:paraId="532A63C6"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2B5BFB23" w14:textId="77777777" w:rsidR="00671B63" w:rsidRPr="001B4CA2" w:rsidRDefault="00671B63" w:rsidP="00671B63">
            <w:pPr>
              <w:jc w:val="left"/>
              <w:rPr>
                <w:bCs/>
                <w:sz w:val="16"/>
                <w:szCs w:val="16"/>
                <w:lang w:eastAsia="hr-HR"/>
              </w:rPr>
            </w:pPr>
            <w:r w:rsidRPr="001B4CA2">
              <w:rPr>
                <w:bCs/>
                <w:sz w:val="16"/>
                <w:szCs w:val="16"/>
                <w:lang w:eastAsia="hr-HR"/>
              </w:rPr>
              <w:t>Ministarstvo kulture i medija</w:t>
            </w:r>
          </w:p>
        </w:tc>
        <w:tc>
          <w:tcPr>
            <w:tcW w:w="837" w:type="dxa"/>
            <w:tcBorders>
              <w:top w:val="nil"/>
              <w:left w:val="nil"/>
              <w:bottom w:val="single" w:sz="4" w:space="0" w:color="auto"/>
              <w:right w:val="single" w:sz="4" w:space="0" w:color="auto"/>
            </w:tcBorders>
            <w:shd w:val="clear" w:color="auto" w:fill="auto"/>
            <w:noWrap/>
            <w:vAlign w:val="center"/>
          </w:tcPr>
          <w:p w14:paraId="02BE2850"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41D3A30"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04E14F7" w14:textId="77777777" w:rsidR="00671B63" w:rsidRPr="001B4CA2" w:rsidRDefault="00671B63" w:rsidP="00671B63">
            <w:pPr>
              <w:jc w:val="center"/>
              <w:rPr>
                <w:sz w:val="18"/>
                <w:szCs w:val="18"/>
              </w:rPr>
            </w:pPr>
            <w:r w:rsidRPr="001B4CA2">
              <w:rPr>
                <w:sz w:val="18"/>
                <w:szCs w:val="18"/>
              </w:rPr>
              <w:t>3</w:t>
            </w:r>
          </w:p>
        </w:tc>
        <w:tc>
          <w:tcPr>
            <w:tcW w:w="837" w:type="dxa"/>
            <w:tcBorders>
              <w:top w:val="nil"/>
              <w:left w:val="nil"/>
              <w:bottom w:val="single" w:sz="4" w:space="0" w:color="auto"/>
              <w:right w:val="single" w:sz="4" w:space="0" w:color="auto"/>
            </w:tcBorders>
            <w:shd w:val="clear" w:color="auto" w:fill="auto"/>
            <w:noWrap/>
            <w:vAlign w:val="center"/>
          </w:tcPr>
          <w:p w14:paraId="4E8703D3"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CAA830E"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4728A4D"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9307A1F"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3C9E26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2FFA63E"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499790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EC4FFF3"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69BD12A"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2B40177" w14:textId="77777777" w:rsidR="00671B63" w:rsidRPr="001B4CA2" w:rsidRDefault="00671B63" w:rsidP="00671B63">
            <w:pPr>
              <w:jc w:val="center"/>
              <w:rPr>
                <w:sz w:val="18"/>
                <w:szCs w:val="18"/>
              </w:rPr>
            </w:pPr>
            <w:r w:rsidRPr="001B4CA2">
              <w:rPr>
                <w:sz w:val="18"/>
                <w:szCs w:val="18"/>
              </w:rPr>
              <w:t>3</w:t>
            </w:r>
          </w:p>
        </w:tc>
        <w:tc>
          <w:tcPr>
            <w:tcW w:w="837" w:type="dxa"/>
            <w:tcBorders>
              <w:top w:val="nil"/>
              <w:left w:val="nil"/>
              <w:bottom w:val="single" w:sz="4" w:space="0" w:color="auto"/>
              <w:right w:val="single" w:sz="4" w:space="0" w:color="auto"/>
            </w:tcBorders>
            <w:shd w:val="clear" w:color="auto" w:fill="auto"/>
            <w:vAlign w:val="center"/>
          </w:tcPr>
          <w:p w14:paraId="1EA8F777" w14:textId="77777777" w:rsidR="00671B63" w:rsidRPr="001B4CA2" w:rsidRDefault="00671B63" w:rsidP="00671B63">
            <w:pPr>
              <w:jc w:val="center"/>
              <w:rPr>
                <w:sz w:val="18"/>
                <w:szCs w:val="18"/>
              </w:rPr>
            </w:pPr>
          </w:p>
        </w:tc>
      </w:tr>
      <w:tr w:rsidR="00671B63" w:rsidRPr="001B4CA2" w14:paraId="239FC2FF"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vAlign w:val="center"/>
            <w:hideMark/>
          </w:tcPr>
          <w:p w14:paraId="1C429114" w14:textId="77777777" w:rsidR="00671B63" w:rsidRPr="001B4CA2" w:rsidRDefault="00671B63" w:rsidP="00671B63">
            <w:pPr>
              <w:jc w:val="left"/>
              <w:rPr>
                <w:bCs/>
                <w:sz w:val="16"/>
                <w:szCs w:val="16"/>
                <w:lang w:eastAsia="hr-HR"/>
              </w:rPr>
            </w:pPr>
            <w:r w:rsidRPr="001B4CA2">
              <w:rPr>
                <w:bCs/>
                <w:sz w:val="16"/>
                <w:szCs w:val="16"/>
                <w:lang w:eastAsia="hr-HR"/>
              </w:rPr>
              <w:t xml:space="preserve">Središnji državni ured za obnovu i stambeno zbrinjavanje </w:t>
            </w:r>
          </w:p>
        </w:tc>
        <w:tc>
          <w:tcPr>
            <w:tcW w:w="837" w:type="dxa"/>
            <w:tcBorders>
              <w:top w:val="nil"/>
              <w:left w:val="nil"/>
              <w:bottom w:val="single" w:sz="4" w:space="0" w:color="auto"/>
              <w:right w:val="single" w:sz="4" w:space="0" w:color="auto"/>
            </w:tcBorders>
            <w:shd w:val="clear" w:color="auto" w:fill="auto"/>
            <w:noWrap/>
            <w:vAlign w:val="center"/>
          </w:tcPr>
          <w:p w14:paraId="40C46031"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8AB0CE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51B7A6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A336B87" w14:textId="77777777" w:rsidR="00671B63" w:rsidRPr="001B4CA2" w:rsidRDefault="00671B63" w:rsidP="00671B63">
            <w:pPr>
              <w:jc w:val="center"/>
              <w:rPr>
                <w:sz w:val="18"/>
                <w:szCs w:val="18"/>
              </w:rPr>
            </w:pPr>
            <w:r w:rsidRPr="001B4CA2">
              <w:rPr>
                <w:sz w:val="18"/>
                <w:szCs w:val="18"/>
              </w:rPr>
              <w:t>3</w:t>
            </w:r>
          </w:p>
        </w:tc>
        <w:tc>
          <w:tcPr>
            <w:tcW w:w="837" w:type="dxa"/>
            <w:tcBorders>
              <w:top w:val="nil"/>
              <w:left w:val="nil"/>
              <w:bottom w:val="single" w:sz="4" w:space="0" w:color="auto"/>
              <w:right w:val="single" w:sz="4" w:space="0" w:color="auto"/>
            </w:tcBorders>
            <w:shd w:val="clear" w:color="auto" w:fill="auto"/>
            <w:noWrap/>
            <w:vAlign w:val="center"/>
          </w:tcPr>
          <w:p w14:paraId="51B0F707"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D01B15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4FD42B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2F5B78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78EADB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7AAAF4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A13FFCD"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C494BCB"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42ED68F0"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vAlign w:val="center"/>
          </w:tcPr>
          <w:p w14:paraId="28DF8FE3" w14:textId="77777777" w:rsidR="00671B63" w:rsidRPr="001B4CA2" w:rsidRDefault="00671B63" w:rsidP="00671B63">
            <w:pPr>
              <w:jc w:val="center"/>
              <w:rPr>
                <w:sz w:val="18"/>
                <w:szCs w:val="18"/>
              </w:rPr>
            </w:pPr>
            <w:r w:rsidRPr="001B4CA2">
              <w:rPr>
                <w:sz w:val="18"/>
                <w:szCs w:val="18"/>
              </w:rPr>
              <w:t>4</w:t>
            </w:r>
          </w:p>
        </w:tc>
      </w:tr>
      <w:tr w:rsidR="00671B63" w:rsidRPr="001B4CA2" w14:paraId="3A5EC71F"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430867B6" w14:textId="77777777" w:rsidR="00671B63" w:rsidRPr="001B4CA2" w:rsidRDefault="00671B63" w:rsidP="00671B63">
            <w:pPr>
              <w:jc w:val="left"/>
              <w:rPr>
                <w:bCs/>
                <w:sz w:val="16"/>
                <w:szCs w:val="16"/>
                <w:lang w:eastAsia="hr-HR"/>
              </w:rPr>
            </w:pPr>
            <w:r w:rsidRPr="001B4CA2">
              <w:rPr>
                <w:bCs/>
                <w:sz w:val="16"/>
                <w:szCs w:val="16"/>
                <w:lang w:eastAsia="hr-HR"/>
              </w:rPr>
              <w:t>Državne nekretnine d.o.o.</w:t>
            </w:r>
          </w:p>
        </w:tc>
        <w:tc>
          <w:tcPr>
            <w:tcW w:w="837" w:type="dxa"/>
            <w:tcBorders>
              <w:top w:val="nil"/>
              <w:left w:val="nil"/>
              <w:bottom w:val="single" w:sz="4" w:space="0" w:color="auto"/>
              <w:right w:val="single" w:sz="4" w:space="0" w:color="auto"/>
            </w:tcBorders>
            <w:shd w:val="clear" w:color="auto" w:fill="auto"/>
            <w:noWrap/>
            <w:vAlign w:val="center"/>
          </w:tcPr>
          <w:p w14:paraId="347F7800"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192B6B66"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1C3E1E7" w14:textId="77777777" w:rsidR="00671B63" w:rsidRPr="001B4CA2" w:rsidRDefault="00671B63" w:rsidP="00671B63">
            <w:pPr>
              <w:jc w:val="center"/>
              <w:rPr>
                <w:sz w:val="18"/>
                <w:szCs w:val="18"/>
              </w:rPr>
            </w:pPr>
            <w:r w:rsidRPr="001B4CA2">
              <w:rPr>
                <w:sz w:val="18"/>
                <w:szCs w:val="18"/>
              </w:rPr>
              <w:t>16</w:t>
            </w:r>
          </w:p>
        </w:tc>
        <w:tc>
          <w:tcPr>
            <w:tcW w:w="837" w:type="dxa"/>
            <w:tcBorders>
              <w:top w:val="nil"/>
              <w:left w:val="nil"/>
              <w:bottom w:val="single" w:sz="4" w:space="0" w:color="auto"/>
              <w:right w:val="single" w:sz="4" w:space="0" w:color="auto"/>
            </w:tcBorders>
            <w:shd w:val="clear" w:color="auto" w:fill="auto"/>
            <w:noWrap/>
            <w:vAlign w:val="center"/>
          </w:tcPr>
          <w:p w14:paraId="42BE1716"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1887B5D"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BF1667E"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6F5C31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D4A48F6"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75DDC5A7"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57F49206"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C92E1D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9EF0A5E"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26D6508" w14:textId="77777777" w:rsidR="00671B63" w:rsidRPr="001B4CA2" w:rsidRDefault="00671B63" w:rsidP="00671B63">
            <w:pPr>
              <w:jc w:val="center"/>
              <w:rPr>
                <w:sz w:val="18"/>
                <w:szCs w:val="18"/>
              </w:rPr>
            </w:pPr>
            <w:r w:rsidRPr="001B4CA2">
              <w:rPr>
                <w:sz w:val="18"/>
                <w:szCs w:val="18"/>
              </w:rPr>
              <w:t>18</w:t>
            </w:r>
          </w:p>
        </w:tc>
        <w:tc>
          <w:tcPr>
            <w:tcW w:w="837" w:type="dxa"/>
            <w:tcBorders>
              <w:top w:val="nil"/>
              <w:left w:val="nil"/>
              <w:bottom w:val="single" w:sz="4" w:space="0" w:color="auto"/>
              <w:right w:val="single" w:sz="4" w:space="0" w:color="auto"/>
            </w:tcBorders>
            <w:shd w:val="clear" w:color="auto" w:fill="auto"/>
            <w:vAlign w:val="center"/>
          </w:tcPr>
          <w:p w14:paraId="29C9B62E" w14:textId="77777777" w:rsidR="00671B63" w:rsidRPr="001B4CA2" w:rsidRDefault="00671B63" w:rsidP="00671B63">
            <w:pPr>
              <w:jc w:val="center"/>
              <w:rPr>
                <w:sz w:val="18"/>
                <w:szCs w:val="18"/>
              </w:rPr>
            </w:pPr>
          </w:p>
        </w:tc>
      </w:tr>
      <w:tr w:rsidR="00671B63" w:rsidRPr="001B4CA2" w14:paraId="54C648B1"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6109C3E1" w14:textId="77777777" w:rsidR="00671B63" w:rsidRPr="001B4CA2" w:rsidRDefault="00671B63" w:rsidP="00671B63">
            <w:pPr>
              <w:jc w:val="left"/>
              <w:rPr>
                <w:bCs/>
                <w:sz w:val="16"/>
                <w:szCs w:val="16"/>
                <w:lang w:eastAsia="hr-HR"/>
              </w:rPr>
            </w:pPr>
            <w:r w:rsidRPr="001B4CA2">
              <w:rPr>
                <w:bCs/>
                <w:sz w:val="16"/>
                <w:szCs w:val="16"/>
                <w:lang w:eastAsia="hr-HR"/>
              </w:rPr>
              <w:t xml:space="preserve">Ostali </w:t>
            </w:r>
          </w:p>
        </w:tc>
        <w:tc>
          <w:tcPr>
            <w:tcW w:w="837" w:type="dxa"/>
            <w:tcBorders>
              <w:top w:val="nil"/>
              <w:left w:val="nil"/>
              <w:bottom w:val="single" w:sz="4" w:space="0" w:color="auto"/>
              <w:right w:val="single" w:sz="4" w:space="0" w:color="auto"/>
            </w:tcBorders>
            <w:shd w:val="clear" w:color="auto" w:fill="auto"/>
            <w:noWrap/>
            <w:vAlign w:val="center"/>
          </w:tcPr>
          <w:p w14:paraId="4EAC83DA" w14:textId="77777777" w:rsidR="00671B63" w:rsidRPr="001B4CA2" w:rsidRDefault="00671B63" w:rsidP="00671B63">
            <w:pPr>
              <w:jc w:val="center"/>
              <w:rPr>
                <w:sz w:val="18"/>
                <w:szCs w:val="18"/>
              </w:rPr>
            </w:pPr>
            <w:r w:rsidRPr="001B4CA2">
              <w:rPr>
                <w:sz w:val="18"/>
                <w:szCs w:val="18"/>
              </w:rPr>
              <w:t>2</w:t>
            </w:r>
          </w:p>
        </w:tc>
        <w:tc>
          <w:tcPr>
            <w:tcW w:w="837" w:type="dxa"/>
            <w:tcBorders>
              <w:top w:val="nil"/>
              <w:left w:val="nil"/>
              <w:bottom w:val="single" w:sz="4" w:space="0" w:color="auto"/>
              <w:right w:val="single" w:sz="4" w:space="0" w:color="auto"/>
            </w:tcBorders>
            <w:shd w:val="clear" w:color="auto" w:fill="auto"/>
            <w:noWrap/>
            <w:vAlign w:val="center"/>
          </w:tcPr>
          <w:p w14:paraId="4B4B185D"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1AF27D48" w14:textId="77777777" w:rsidR="00671B63" w:rsidRPr="001B4CA2" w:rsidRDefault="00671B63" w:rsidP="00671B63">
            <w:pPr>
              <w:jc w:val="center"/>
              <w:rPr>
                <w:sz w:val="18"/>
                <w:szCs w:val="18"/>
              </w:rPr>
            </w:pPr>
            <w:r w:rsidRPr="001B4CA2">
              <w:rPr>
                <w:sz w:val="18"/>
                <w:szCs w:val="18"/>
              </w:rPr>
              <w:t>3</w:t>
            </w:r>
          </w:p>
        </w:tc>
        <w:tc>
          <w:tcPr>
            <w:tcW w:w="837" w:type="dxa"/>
            <w:tcBorders>
              <w:top w:val="nil"/>
              <w:left w:val="nil"/>
              <w:bottom w:val="single" w:sz="4" w:space="0" w:color="auto"/>
              <w:right w:val="single" w:sz="4" w:space="0" w:color="auto"/>
            </w:tcBorders>
            <w:shd w:val="clear" w:color="auto" w:fill="auto"/>
            <w:noWrap/>
            <w:vAlign w:val="center"/>
          </w:tcPr>
          <w:p w14:paraId="63BCF04C" w14:textId="77777777" w:rsidR="00671B63" w:rsidRPr="001B4CA2" w:rsidRDefault="00671B63" w:rsidP="00671B63">
            <w:pPr>
              <w:jc w:val="center"/>
              <w:rPr>
                <w:sz w:val="18"/>
                <w:szCs w:val="18"/>
              </w:rPr>
            </w:pPr>
            <w:r w:rsidRPr="001B4CA2">
              <w:rPr>
                <w:sz w:val="18"/>
                <w:szCs w:val="18"/>
              </w:rPr>
              <w:t>3</w:t>
            </w:r>
          </w:p>
        </w:tc>
        <w:tc>
          <w:tcPr>
            <w:tcW w:w="837" w:type="dxa"/>
            <w:tcBorders>
              <w:top w:val="nil"/>
              <w:left w:val="nil"/>
              <w:bottom w:val="single" w:sz="4" w:space="0" w:color="auto"/>
              <w:right w:val="single" w:sz="4" w:space="0" w:color="auto"/>
            </w:tcBorders>
            <w:shd w:val="clear" w:color="auto" w:fill="auto"/>
            <w:noWrap/>
            <w:vAlign w:val="center"/>
          </w:tcPr>
          <w:p w14:paraId="625B75D7"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69C497F6" w14:textId="77777777" w:rsidR="00671B63" w:rsidRPr="001B4CA2" w:rsidRDefault="00671B63" w:rsidP="00671B63">
            <w:pPr>
              <w:jc w:val="center"/>
              <w:rPr>
                <w:sz w:val="18"/>
                <w:szCs w:val="18"/>
              </w:rPr>
            </w:pPr>
            <w:r w:rsidRPr="001B4CA2">
              <w:rPr>
                <w:sz w:val="18"/>
                <w:szCs w:val="18"/>
              </w:rPr>
              <w:t>4</w:t>
            </w:r>
          </w:p>
        </w:tc>
        <w:tc>
          <w:tcPr>
            <w:tcW w:w="837" w:type="dxa"/>
            <w:tcBorders>
              <w:top w:val="nil"/>
              <w:left w:val="nil"/>
              <w:bottom w:val="single" w:sz="4" w:space="0" w:color="auto"/>
              <w:right w:val="single" w:sz="4" w:space="0" w:color="auto"/>
            </w:tcBorders>
            <w:shd w:val="clear" w:color="auto" w:fill="auto"/>
            <w:noWrap/>
            <w:vAlign w:val="center"/>
          </w:tcPr>
          <w:p w14:paraId="3606B6E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AA44D8F"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C4027E9"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544801FD"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698139C6"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D924C3B" w14:textId="77777777" w:rsidR="00671B63" w:rsidRPr="001B4CA2" w:rsidRDefault="00671B63" w:rsidP="00671B63">
            <w:pPr>
              <w:jc w:val="center"/>
              <w:rPr>
                <w:sz w:val="18"/>
                <w:szCs w:val="18"/>
              </w:rPr>
            </w:pPr>
            <w:r w:rsidRPr="001B4CA2">
              <w:rPr>
                <w:sz w:val="18"/>
                <w:szCs w:val="18"/>
              </w:rPr>
              <w:t>2</w:t>
            </w:r>
          </w:p>
        </w:tc>
        <w:tc>
          <w:tcPr>
            <w:tcW w:w="837" w:type="dxa"/>
            <w:tcBorders>
              <w:top w:val="nil"/>
              <w:left w:val="nil"/>
              <w:bottom w:val="single" w:sz="4" w:space="0" w:color="auto"/>
              <w:right w:val="single" w:sz="4" w:space="0" w:color="auto"/>
            </w:tcBorders>
            <w:shd w:val="clear" w:color="auto" w:fill="auto"/>
            <w:noWrap/>
            <w:vAlign w:val="center"/>
          </w:tcPr>
          <w:p w14:paraId="10832B1C" w14:textId="77777777" w:rsidR="00671B63" w:rsidRPr="001B4CA2" w:rsidRDefault="00671B63" w:rsidP="00671B63">
            <w:pPr>
              <w:jc w:val="center"/>
              <w:rPr>
                <w:sz w:val="18"/>
                <w:szCs w:val="18"/>
              </w:rPr>
            </w:pPr>
            <w:r w:rsidRPr="001B4CA2">
              <w:rPr>
                <w:sz w:val="18"/>
                <w:szCs w:val="18"/>
              </w:rPr>
              <w:t>6</w:t>
            </w:r>
          </w:p>
        </w:tc>
        <w:tc>
          <w:tcPr>
            <w:tcW w:w="837" w:type="dxa"/>
            <w:tcBorders>
              <w:top w:val="nil"/>
              <w:left w:val="nil"/>
              <w:bottom w:val="single" w:sz="4" w:space="0" w:color="auto"/>
              <w:right w:val="single" w:sz="4" w:space="0" w:color="auto"/>
            </w:tcBorders>
            <w:shd w:val="clear" w:color="auto" w:fill="auto"/>
            <w:vAlign w:val="center"/>
          </w:tcPr>
          <w:p w14:paraId="13198314" w14:textId="77777777" w:rsidR="00671B63" w:rsidRPr="001B4CA2" w:rsidRDefault="00671B63" w:rsidP="00671B63">
            <w:pPr>
              <w:jc w:val="center"/>
              <w:rPr>
                <w:sz w:val="18"/>
                <w:szCs w:val="18"/>
              </w:rPr>
            </w:pPr>
            <w:r w:rsidRPr="001B4CA2">
              <w:rPr>
                <w:sz w:val="18"/>
                <w:szCs w:val="18"/>
              </w:rPr>
              <w:t>11</w:t>
            </w:r>
          </w:p>
        </w:tc>
      </w:tr>
      <w:tr w:rsidR="00671B63" w:rsidRPr="001B4CA2" w14:paraId="4315B32F"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55DF9181" w14:textId="6D55E7FF" w:rsidR="00671B63" w:rsidRPr="001B4CA2" w:rsidRDefault="00671B63" w:rsidP="00671B63">
            <w:pPr>
              <w:jc w:val="left"/>
              <w:rPr>
                <w:bCs/>
                <w:sz w:val="16"/>
                <w:szCs w:val="16"/>
                <w:lang w:eastAsia="hr-HR"/>
              </w:rPr>
            </w:pPr>
            <w:r w:rsidRPr="001B4CA2">
              <w:rPr>
                <w:bCs/>
                <w:sz w:val="16"/>
                <w:szCs w:val="16"/>
                <w:lang w:eastAsia="hr-HR"/>
              </w:rPr>
              <w:t>Državno odvjetništvo</w:t>
            </w:r>
            <w:r w:rsidR="00F47D60">
              <w:rPr>
                <w:bCs/>
                <w:sz w:val="16"/>
                <w:szCs w:val="16"/>
                <w:lang w:eastAsia="hr-HR"/>
              </w:rPr>
              <w:t xml:space="preserve"> – </w:t>
            </w:r>
            <w:r w:rsidRPr="001B4CA2">
              <w:rPr>
                <w:bCs/>
                <w:sz w:val="16"/>
                <w:szCs w:val="16"/>
                <w:lang w:eastAsia="hr-HR"/>
              </w:rPr>
              <w:t>zaštita javnog interesa</w:t>
            </w:r>
          </w:p>
        </w:tc>
        <w:tc>
          <w:tcPr>
            <w:tcW w:w="837" w:type="dxa"/>
            <w:tcBorders>
              <w:top w:val="nil"/>
              <w:left w:val="nil"/>
              <w:bottom w:val="single" w:sz="4" w:space="0" w:color="auto"/>
              <w:right w:val="single" w:sz="4" w:space="0" w:color="auto"/>
            </w:tcBorders>
            <w:shd w:val="clear" w:color="auto" w:fill="auto"/>
            <w:noWrap/>
            <w:vAlign w:val="center"/>
          </w:tcPr>
          <w:p w14:paraId="7CDDEE9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916B97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27D62DCD"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5EA7D8F4"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83AED6B"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7B3077A"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6A32927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12A7D9C"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462185FD"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0F1E1D38"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1153ACD0" w14:textId="77777777" w:rsidR="00671B63" w:rsidRPr="001B4CA2" w:rsidRDefault="00671B63" w:rsidP="00671B63">
            <w:pPr>
              <w:jc w:val="center"/>
              <w:rPr>
                <w:sz w:val="18"/>
                <w:szCs w:val="18"/>
              </w:rPr>
            </w:pPr>
            <w:r w:rsidRPr="001B4CA2">
              <w:rPr>
                <w:sz w:val="18"/>
                <w:szCs w:val="18"/>
              </w:rPr>
              <w:t>1</w:t>
            </w:r>
          </w:p>
        </w:tc>
        <w:tc>
          <w:tcPr>
            <w:tcW w:w="837" w:type="dxa"/>
            <w:tcBorders>
              <w:top w:val="nil"/>
              <w:left w:val="nil"/>
              <w:bottom w:val="single" w:sz="4" w:space="0" w:color="auto"/>
              <w:right w:val="single" w:sz="4" w:space="0" w:color="auto"/>
            </w:tcBorders>
            <w:shd w:val="clear" w:color="auto" w:fill="auto"/>
            <w:noWrap/>
            <w:vAlign w:val="center"/>
          </w:tcPr>
          <w:p w14:paraId="52195545" w14:textId="77777777" w:rsidR="00671B63" w:rsidRPr="001B4CA2" w:rsidRDefault="00671B63" w:rsidP="00671B63">
            <w:pPr>
              <w:jc w:val="center"/>
              <w:rPr>
                <w:sz w:val="18"/>
                <w:szCs w:val="18"/>
              </w:rPr>
            </w:pPr>
          </w:p>
        </w:tc>
        <w:tc>
          <w:tcPr>
            <w:tcW w:w="837" w:type="dxa"/>
            <w:tcBorders>
              <w:top w:val="nil"/>
              <w:left w:val="nil"/>
              <w:bottom w:val="single" w:sz="4" w:space="0" w:color="auto"/>
              <w:right w:val="single" w:sz="4" w:space="0" w:color="auto"/>
            </w:tcBorders>
            <w:shd w:val="clear" w:color="auto" w:fill="auto"/>
            <w:noWrap/>
            <w:vAlign w:val="center"/>
          </w:tcPr>
          <w:p w14:paraId="30E90A44" w14:textId="77777777" w:rsidR="00671B63" w:rsidRPr="001B4CA2" w:rsidRDefault="00671B63" w:rsidP="00671B63">
            <w:pPr>
              <w:jc w:val="center"/>
              <w:rPr>
                <w:sz w:val="18"/>
                <w:szCs w:val="18"/>
              </w:rPr>
            </w:pPr>
            <w:r w:rsidRPr="001B4CA2">
              <w:rPr>
                <w:sz w:val="18"/>
                <w:szCs w:val="18"/>
              </w:rPr>
              <w:t>2</w:t>
            </w:r>
          </w:p>
        </w:tc>
        <w:tc>
          <w:tcPr>
            <w:tcW w:w="837" w:type="dxa"/>
            <w:tcBorders>
              <w:top w:val="nil"/>
              <w:left w:val="nil"/>
              <w:bottom w:val="single" w:sz="4" w:space="0" w:color="auto"/>
              <w:right w:val="single" w:sz="4" w:space="0" w:color="auto"/>
            </w:tcBorders>
            <w:shd w:val="clear" w:color="auto" w:fill="auto"/>
            <w:vAlign w:val="center"/>
          </w:tcPr>
          <w:p w14:paraId="773B9024" w14:textId="77777777" w:rsidR="00671B63" w:rsidRPr="001B4CA2" w:rsidRDefault="00671B63" w:rsidP="00671B63">
            <w:pPr>
              <w:jc w:val="center"/>
              <w:rPr>
                <w:sz w:val="18"/>
                <w:szCs w:val="18"/>
              </w:rPr>
            </w:pPr>
          </w:p>
        </w:tc>
      </w:tr>
      <w:tr w:rsidR="00671B63" w:rsidRPr="001B4CA2" w14:paraId="1A9C1532" w14:textId="77777777" w:rsidTr="00D57807">
        <w:trPr>
          <w:gridAfter w:val="1"/>
          <w:wAfter w:w="7" w:type="dxa"/>
          <w:trHeight w:val="372"/>
        </w:trPr>
        <w:tc>
          <w:tcPr>
            <w:tcW w:w="3530" w:type="dxa"/>
            <w:tcBorders>
              <w:top w:val="nil"/>
              <w:left w:val="single" w:sz="4" w:space="0" w:color="auto"/>
              <w:bottom w:val="single" w:sz="4" w:space="0" w:color="auto"/>
              <w:right w:val="single" w:sz="4" w:space="0" w:color="auto"/>
            </w:tcBorders>
            <w:shd w:val="clear" w:color="auto" w:fill="auto"/>
            <w:noWrap/>
            <w:vAlign w:val="center"/>
            <w:hideMark/>
          </w:tcPr>
          <w:p w14:paraId="3287E086" w14:textId="77777777" w:rsidR="00671B63" w:rsidRPr="001B4CA2" w:rsidRDefault="00671B63" w:rsidP="00671B63">
            <w:pPr>
              <w:jc w:val="left"/>
              <w:rPr>
                <w:b/>
                <w:bCs/>
                <w:sz w:val="16"/>
                <w:szCs w:val="16"/>
                <w:lang w:eastAsia="hr-HR"/>
              </w:rPr>
            </w:pPr>
            <w:r w:rsidRPr="001B4CA2">
              <w:rPr>
                <w:b/>
                <w:bCs/>
                <w:sz w:val="16"/>
                <w:szCs w:val="16"/>
                <w:lang w:eastAsia="hr-HR"/>
              </w:rPr>
              <w:t>Ukupno</w:t>
            </w:r>
          </w:p>
        </w:tc>
        <w:tc>
          <w:tcPr>
            <w:tcW w:w="837" w:type="dxa"/>
            <w:tcBorders>
              <w:top w:val="nil"/>
              <w:left w:val="nil"/>
              <w:bottom w:val="single" w:sz="4" w:space="0" w:color="auto"/>
              <w:right w:val="single" w:sz="4" w:space="0" w:color="auto"/>
            </w:tcBorders>
            <w:shd w:val="clear" w:color="auto" w:fill="auto"/>
            <w:noWrap/>
            <w:vAlign w:val="center"/>
          </w:tcPr>
          <w:p w14:paraId="21BD5557"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85</w:t>
            </w:r>
          </w:p>
        </w:tc>
        <w:tc>
          <w:tcPr>
            <w:tcW w:w="837" w:type="dxa"/>
            <w:tcBorders>
              <w:top w:val="nil"/>
              <w:left w:val="nil"/>
              <w:bottom w:val="single" w:sz="4" w:space="0" w:color="auto"/>
              <w:right w:val="single" w:sz="4" w:space="0" w:color="auto"/>
            </w:tcBorders>
            <w:shd w:val="clear" w:color="auto" w:fill="auto"/>
            <w:noWrap/>
            <w:vAlign w:val="center"/>
          </w:tcPr>
          <w:p w14:paraId="777FAA37"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94</w:t>
            </w:r>
          </w:p>
        </w:tc>
        <w:tc>
          <w:tcPr>
            <w:tcW w:w="837" w:type="dxa"/>
            <w:tcBorders>
              <w:top w:val="nil"/>
              <w:left w:val="nil"/>
              <w:bottom w:val="single" w:sz="4" w:space="0" w:color="auto"/>
              <w:right w:val="single" w:sz="4" w:space="0" w:color="auto"/>
            </w:tcBorders>
            <w:shd w:val="clear" w:color="auto" w:fill="auto"/>
            <w:noWrap/>
            <w:vAlign w:val="center"/>
          </w:tcPr>
          <w:p w14:paraId="77B20859"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168</w:t>
            </w:r>
          </w:p>
        </w:tc>
        <w:tc>
          <w:tcPr>
            <w:tcW w:w="837" w:type="dxa"/>
            <w:tcBorders>
              <w:top w:val="nil"/>
              <w:left w:val="nil"/>
              <w:bottom w:val="single" w:sz="4" w:space="0" w:color="auto"/>
              <w:right w:val="single" w:sz="4" w:space="0" w:color="auto"/>
            </w:tcBorders>
            <w:shd w:val="clear" w:color="auto" w:fill="auto"/>
            <w:noWrap/>
            <w:vAlign w:val="center"/>
          </w:tcPr>
          <w:p w14:paraId="03F72EA7"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79</w:t>
            </w:r>
          </w:p>
        </w:tc>
        <w:tc>
          <w:tcPr>
            <w:tcW w:w="837" w:type="dxa"/>
            <w:tcBorders>
              <w:top w:val="nil"/>
              <w:left w:val="nil"/>
              <w:bottom w:val="single" w:sz="4" w:space="0" w:color="auto"/>
              <w:right w:val="single" w:sz="4" w:space="0" w:color="auto"/>
            </w:tcBorders>
            <w:shd w:val="clear" w:color="auto" w:fill="auto"/>
            <w:noWrap/>
            <w:vAlign w:val="center"/>
          </w:tcPr>
          <w:p w14:paraId="3CC57AEF"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12</w:t>
            </w:r>
          </w:p>
        </w:tc>
        <w:tc>
          <w:tcPr>
            <w:tcW w:w="837" w:type="dxa"/>
            <w:tcBorders>
              <w:top w:val="nil"/>
              <w:left w:val="nil"/>
              <w:bottom w:val="single" w:sz="4" w:space="0" w:color="auto"/>
              <w:right w:val="single" w:sz="4" w:space="0" w:color="auto"/>
            </w:tcBorders>
            <w:shd w:val="clear" w:color="auto" w:fill="auto"/>
            <w:noWrap/>
            <w:vAlign w:val="center"/>
          </w:tcPr>
          <w:p w14:paraId="7F09FA7D"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56</w:t>
            </w:r>
          </w:p>
        </w:tc>
        <w:tc>
          <w:tcPr>
            <w:tcW w:w="837" w:type="dxa"/>
            <w:tcBorders>
              <w:top w:val="nil"/>
              <w:left w:val="nil"/>
              <w:bottom w:val="single" w:sz="4" w:space="0" w:color="auto"/>
              <w:right w:val="single" w:sz="4" w:space="0" w:color="auto"/>
            </w:tcBorders>
            <w:shd w:val="clear" w:color="auto" w:fill="auto"/>
            <w:noWrap/>
            <w:vAlign w:val="center"/>
          </w:tcPr>
          <w:p w14:paraId="3CDB7B2E"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1</w:t>
            </w:r>
          </w:p>
        </w:tc>
        <w:tc>
          <w:tcPr>
            <w:tcW w:w="837" w:type="dxa"/>
            <w:tcBorders>
              <w:top w:val="nil"/>
              <w:left w:val="nil"/>
              <w:bottom w:val="single" w:sz="4" w:space="0" w:color="auto"/>
              <w:right w:val="single" w:sz="4" w:space="0" w:color="auto"/>
            </w:tcBorders>
            <w:shd w:val="clear" w:color="auto" w:fill="auto"/>
            <w:noWrap/>
            <w:vAlign w:val="center"/>
          </w:tcPr>
          <w:p w14:paraId="4B117199"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0</w:t>
            </w:r>
          </w:p>
        </w:tc>
        <w:tc>
          <w:tcPr>
            <w:tcW w:w="837" w:type="dxa"/>
            <w:tcBorders>
              <w:top w:val="nil"/>
              <w:left w:val="nil"/>
              <w:bottom w:val="single" w:sz="4" w:space="0" w:color="auto"/>
              <w:right w:val="single" w:sz="4" w:space="0" w:color="auto"/>
            </w:tcBorders>
            <w:shd w:val="clear" w:color="auto" w:fill="auto"/>
            <w:noWrap/>
            <w:vAlign w:val="center"/>
          </w:tcPr>
          <w:p w14:paraId="773FC4E8"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11</w:t>
            </w:r>
          </w:p>
        </w:tc>
        <w:tc>
          <w:tcPr>
            <w:tcW w:w="837" w:type="dxa"/>
            <w:tcBorders>
              <w:top w:val="nil"/>
              <w:left w:val="nil"/>
              <w:bottom w:val="single" w:sz="4" w:space="0" w:color="auto"/>
              <w:right w:val="single" w:sz="4" w:space="0" w:color="auto"/>
            </w:tcBorders>
            <w:shd w:val="clear" w:color="auto" w:fill="auto"/>
            <w:noWrap/>
            <w:vAlign w:val="center"/>
          </w:tcPr>
          <w:p w14:paraId="6471FFAD"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12</w:t>
            </w:r>
          </w:p>
        </w:tc>
        <w:tc>
          <w:tcPr>
            <w:tcW w:w="837" w:type="dxa"/>
            <w:tcBorders>
              <w:top w:val="nil"/>
              <w:left w:val="nil"/>
              <w:bottom w:val="single" w:sz="4" w:space="0" w:color="auto"/>
              <w:right w:val="single" w:sz="4" w:space="0" w:color="auto"/>
            </w:tcBorders>
            <w:shd w:val="clear" w:color="auto" w:fill="auto"/>
            <w:noWrap/>
            <w:vAlign w:val="center"/>
          </w:tcPr>
          <w:p w14:paraId="046A7262"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13</w:t>
            </w:r>
          </w:p>
        </w:tc>
        <w:tc>
          <w:tcPr>
            <w:tcW w:w="837" w:type="dxa"/>
            <w:tcBorders>
              <w:top w:val="nil"/>
              <w:left w:val="nil"/>
              <w:bottom w:val="single" w:sz="4" w:space="0" w:color="auto"/>
              <w:right w:val="single" w:sz="4" w:space="0" w:color="auto"/>
            </w:tcBorders>
            <w:shd w:val="clear" w:color="auto" w:fill="auto"/>
            <w:noWrap/>
            <w:vAlign w:val="center"/>
          </w:tcPr>
          <w:p w14:paraId="02B2C79D"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20</w:t>
            </w:r>
          </w:p>
        </w:tc>
        <w:tc>
          <w:tcPr>
            <w:tcW w:w="837" w:type="dxa"/>
            <w:tcBorders>
              <w:top w:val="nil"/>
              <w:left w:val="nil"/>
              <w:bottom w:val="single" w:sz="4" w:space="0" w:color="auto"/>
              <w:right w:val="single" w:sz="4" w:space="0" w:color="auto"/>
            </w:tcBorders>
            <w:shd w:val="clear" w:color="auto" w:fill="auto"/>
            <w:noWrap/>
            <w:vAlign w:val="center"/>
          </w:tcPr>
          <w:p w14:paraId="1FA07361"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290</w:t>
            </w:r>
          </w:p>
        </w:tc>
        <w:tc>
          <w:tcPr>
            <w:tcW w:w="837" w:type="dxa"/>
            <w:tcBorders>
              <w:top w:val="nil"/>
              <w:left w:val="nil"/>
              <w:bottom w:val="single" w:sz="4" w:space="0" w:color="auto"/>
              <w:right w:val="single" w:sz="4" w:space="0" w:color="auto"/>
            </w:tcBorders>
            <w:shd w:val="clear" w:color="auto" w:fill="auto"/>
            <w:vAlign w:val="center"/>
          </w:tcPr>
          <w:p w14:paraId="6977238F" w14:textId="77777777" w:rsidR="00671B63" w:rsidRPr="001B4CA2" w:rsidRDefault="00671B63" w:rsidP="00671B63">
            <w:pPr>
              <w:jc w:val="center"/>
              <w:rPr>
                <w:rFonts w:ascii="Calibri" w:hAnsi="Calibri" w:cs="Calibri"/>
                <w:b/>
                <w:bCs/>
                <w:sz w:val="22"/>
                <w:szCs w:val="22"/>
              </w:rPr>
            </w:pPr>
            <w:r w:rsidRPr="001B4CA2">
              <w:rPr>
                <w:rFonts w:ascii="Calibri" w:hAnsi="Calibri" w:cs="Calibri"/>
                <w:b/>
                <w:bCs/>
                <w:sz w:val="22"/>
                <w:szCs w:val="22"/>
              </w:rPr>
              <w:t>262</w:t>
            </w:r>
          </w:p>
        </w:tc>
      </w:tr>
      <w:bookmarkEnd w:id="92"/>
    </w:tbl>
    <w:p w14:paraId="59ABFCDB" w14:textId="77777777" w:rsidR="00106FB8" w:rsidRPr="001B4CA2" w:rsidRDefault="00106FB8" w:rsidP="00716CCE">
      <w:pPr>
        <w:sectPr w:rsidR="00106FB8" w:rsidRPr="001B4CA2" w:rsidSect="007418AF">
          <w:pgSz w:w="16838" w:h="11906" w:orient="landscape"/>
          <w:pgMar w:top="567" w:right="1417" w:bottom="426" w:left="1417" w:header="275" w:footer="709" w:gutter="0"/>
          <w:cols w:space="708"/>
          <w:docGrid w:linePitch="360"/>
        </w:sectPr>
      </w:pPr>
    </w:p>
    <w:p w14:paraId="68BB0D41" w14:textId="5B78B627" w:rsidR="00671B63" w:rsidRPr="001B4CA2" w:rsidRDefault="00FA50FE" w:rsidP="00ED7ABE">
      <w:r w:rsidRPr="001B4CA2">
        <w:lastRenderedPageBreak/>
        <w:tab/>
      </w:r>
      <w:r w:rsidR="00671B63" w:rsidRPr="001B4CA2">
        <w:t>U gornjem tabelarnom prikazu nisu obuhvaćeni predmeti u kojima</w:t>
      </w:r>
      <w:r w:rsidR="00773E87" w:rsidRPr="001B4CA2">
        <w:t xml:space="preserve"> je</w:t>
      </w:r>
      <w:r w:rsidR="00671B63" w:rsidRPr="001B4CA2">
        <w:t xml:space="preserve"> u parnicama pred trgovačkim sudovima Republika Hrvatska sudje</w:t>
      </w:r>
      <w:r w:rsidR="00773E87" w:rsidRPr="001B4CA2">
        <w:t>lovala</w:t>
      </w:r>
      <w:r w:rsidR="00671B63" w:rsidRPr="001B4CA2">
        <w:t xml:space="preserve"> u postupku kao </w:t>
      </w:r>
      <w:proofErr w:type="spellStart"/>
      <w:r w:rsidR="00671B63" w:rsidRPr="001B4CA2">
        <w:t>umješač</w:t>
      </w:r>
      <w:proofErr w:type="spellEnd"/>
      <w:r w:rsidR="00671B63" w:rsidRPr="001B4CA2">
        <w:t>, već samo kao jedna od parničnih stranaka, tužitelj ili tuženik.</w:t>
      </w:r>
    </w:p>
    <w:p w14:paraId="6AF85A7E" w14:textId="77777777" w:rsidR="00671B63" w:rsidRPr="001B4CA2" w:rsidRDefault="00671B63" w:rsidP="00671B63">
      <w:pPr>
        <w:rPr>
          <w:rFonts w:asciiTheme="minorHAnsi" w:hAnsiTheme="minorHAnsi" w:cstheme="minorBidi"/>
          <w:szCs w:val="22"/>
        </w:rPr>
      </w:pPr>
    </w:p>
    <w:p w14:paraId="28B0FEB9" w14:textId="0A816672" w:rsidR="00773E87" w:rsidRPr="001B4CA2" w:rsidRDefault="00773E87" w:rsidP="00773E87">
      <w:pPr>
        <w:ind w:firstLine="708"/>
      </w:pPr>
      <w:r w:rsidRPr="001B4CA2">
        <w:t xml:space="preserve">Analizirajući podatke, </w:t>
      </w:r>
      <w:r w:rsidR="005D6447">
        <w:t>razvidno</w:t>
      </w:r>
      <w:r w:rsidRPr="001B4CA2">
        <w:t xml:space="preserve"> je da je u izvještajnom razdoblju Republika Hrvatska u većem broju parnica nego što je to bilo ranije bila zastupana na aktivnoj strani, kao tužitelj.  </w:t>
      </w:r>
    </w:p>
    <w:p w14:paraId="2928D47A" w14:textId="77777777" w:rsidR="00773E87" w:rsidRPr="001B4CA2" w:rsidRDefault="00773E87" w:rsidP="00773E87">
      <w:pPr>
        <w:ind w:firstLine="708"/>
      </w:pPr>
    </w:p>
    <w:p w14:paraId="1E6C1AEC" w14:textId="37DB4D40" w:rsidR="00773E87" w:rsidRPr="001B4CA2" w:rsidRDefault="00773E87" w:rsidP="00773E87">
      <w:pPr>
        <w:ind w:firstLine="708"/>
      </w:pPr>
      <w:r w:rsidRPr="001B4CA2">
        <w:t xml:space="preserve">Država je kao stranka najviše sudjelovala u </w:t>
      </w:r>
      <w:proofErr w:type="spellStart"/>
      <w:r w:rsidRPr="001B4CA2">
        <w:t>obveznopravnim</w:t>
      </w:r>
      <w:proofErr w:type="spellEnd"/>
      <w:r w:rsidRPr="001B4CA2">
        <w:t xml:space="preserve"> i </w:t>
      </w:r>
      <w:proofErr w:type="spellStart"/>
      <w:r w:rsidRPr="001B4CA2">
        <w:t>stvarnopravnim</w:t>
      </w:r>
      <w:proofErr w:type="spellEnd"/>
      <w:r w:rsidRPr="001B4CA2">
        <w:t xml:space="preserve"> sporovima. U </w:t>
      </w:r>
      <w:proofErr w:type="spellStart"/>
      <w:r w:rsidRPr="001B4CA2">
        <w:t>obveznopravnim</w:t>
      </w:r>
      <w:proofErr w:type="spellEnd"/>
      <w:r w:rsidRPr="001B4CA2">
        <w:t xml:space="preserve"> sporovima tužitelj je bila u 68 %, a tuženik u 32 % predmeta, dok je u </w:t>
      </w:r>
      <w:proofErr w:type="spellStart"/>
      <w:r w:rsidRPr="001B4CA2">
        <w:t>stvarnopravnim</w:t>
      </w:r>
      <w:proofErr w:type="spellEnd"/>
      <w:r w:rsidRPr="001B4CA2">
        <w:t xml:space="preserve"> sporovima Republika Hrvatska bila tužitelj u 47,48</w:t>
      </w:r>
      <w:r w:rsidR="005D6447">
        <w:t> </w:t>
      </w:r>
      <w:r w:rsidRPr="001B4CA2">
        <w:t xml:space="preserve">%, a tuženik u 52,52 % predmeta. U sporovima za naknadu štete Republika Hrvatska bila </w:t>
      </w:r>
      <w:r w:rsidR="005D6447" w:rsidRPr="001B4CA2">
        <w:t xml:space="preserve">je </w:t>
      </w:r>
      <w:r w:rsidRPr="001B4CA2">
        <w:t>tužitelj u 17,64 %, a tuženik u 82,36 % predmeta. U sporovima vezanim</w:t>
      </w:r>
      <w:r w:rsidR="005D6447">
        <w:t>a</w:t>
      </w:r>
      <w:r w:rsidRPr="001B4CA2">
        <w:t xml:space="preserve"> uz stečaj Republika Hrvatska bila je tužitelj u 47,82 % predmeta, dok je tužena bila u 52,18% predmeta.</w:t>
      </w:r>
    </w:p>
    <w:p w14:paraId="345197F7" w14:textId="77777777" w:rsidR="00773E87" w:rsidRPr="001B4CA2" w:rsidRDefault="00773E87" w:rsidP="00773E87">
      <w:pPr>
        <w:ind w:firstLine="708"/>
      </w:pPr>
    </w:p>
    <w:p w14:paraId="393FBC77" w14:textId="5EFB2110" w:rsidR="00773E87" w:rsidRPr="001B4CA2" w:rsidRDefault="00773E87" w:rsidP="00773E87">
      <w:pPr>
        <w:ind w:firstLine="708"/>
      </w:pPr>
      <w:r w:rsidRPr="001B4CA2">
        <w:t xml:space="preserve">Najbrojniji su sporovi u zastupanju Ministarstva prostornoga uređenja, graditeljstva i državne imovine (202). </w:t>
      </w:r>
      <w:r w:rsidR="005D6447">
        <w:t>Riječ je</w:t>
      </w:r>
      <w:r w:rsidRPr="001B4CA2">
        <w:t xml:space="preserve"> o većem broju predmeta </w:t>
      </w:r>
      <w:proofErr w:type="spellStart"/>
      <w:r w:rsidRPr="001B4CA2">
        <w:t>obveznopravnih</w:t>
      </w:r>
      <w:proofErr w:type="spellEnd"/>
      <w:r w:rsidRPr="001B4CA2">
        <w:t xml:space="preserve"> zahtjeva u kojima je država u većini na aktivnoj strani kao tužitelj i potražuje isplate iz raznih osnova, najčešće s osnova korištenja nekretnina u državnom vlasništvu od strane bespravnih korisnika, ali i s osnova nelegalne eksploatacije mineralne sirovine. Ovo tijelo zastupano je u većoj mjeri i u</w:t>
      </w:r>
      <w:r w:rsidR="001B4CA2">
        <w:t xml:space="preserve"> </w:t>
      </w:r>
      <w:proofErr w:type="spellStart"/>
      <w:r w:rsidRPr="001B4CA2">
        <w:t>stvarnopravnim</w:t>
      </w:r>
      <w:proofErr w:type="spellEnd"/>
      <w:r w:rsidRPr="001B4CA2">
        <w:t xml:space="preserve"> predmetima, gotovo u podjednakom broju</w:t>
      </w:r>
      <w:r w:rsidR="005D6447">
        <w:t xml:space="preserve"> i</w:t>
      </w:r>
      <w:r w:rsidRPr="001B4CA2">
        <w:t xml:space="preserve"> na aktivnoj kao i na pasivnoj strani. Radi se o zahtjevima za utvrđenje prava vlasništva na nekretninama.    </w:t>
      </w:r>
    </w:p>
    <w:p w14:paraId="5D2E03FC" w14:textId="77777777" w:rsidR="00773E87" w:rsidRPr="001B4CA2" w:rsidRDefault="00773E87" w:rsidP="00773E87">
      <w:pPr>
        <w:ind w:firstLine="708"/>
      </w:pPr>
      <w:r w:rsidRPr="001B4CA2">
        <w:t xml:space="preserve"> </w:t>
      </w:r>
    </w:p>
    <w:p w14:paraId="495BC3D2" w14:textId="38DC93F5" w:rsidR="00773E87" w:rsidRPr="001B4CA2" w:rsidRDefault="00773E87" w:rsidP="00773E87">
      <w:pPr>
        <w:ind w:firstLine="708"/>
      </w:pPr>
      <w:r w:rsidRPr="001B4CA2">
        <w:t>Zatim po brojnosti dolaze predmeti u zastupanju Republike Hrvatske bez naznake zastupanog tijela (93). Vidljivo je da se glavnina ovih predmeta odnosi</w:t>
      </w:r>
      <w:r w:rsidR="005D6447">
        <w:t>la</w:t>
      </w:r>
      <w:r w:rsidRPr="001B4CA2">
        <w:t xml:space="preserve"> na </w:t>
      </w:r>
      <w:proofErr w:type="spellStart"/>
      <w:r w:rsidRPr="001B4CA2">
        <w:t>stvarnopravne</w:t>
      </w:r>
      <w:proofErr w:type="spellEnd"/>
      <w:r w:rsidRPr="001B4CA2">
        <w:t xml:space="preserve"> sporove u kojima je država tuženik (sporovi radi ostvarenja upisa u zemljišne knjige), ali i </w:t>
      </w:r>
      <w:proofErr w:type="spellStart"/>
      <w:r w:rsidRPr="001B4CA2">
        <w:t>obveznopravne</w:t>
      </w:r>
      <w:proofErr w:type="spellEnd"/>
      <w:r w:rsidRPr="001B4CA2">
        <w:t xml:space="preserve"> sporove sa zahtjevima za isplatu</w:t>
      </w:r>
      <w:r w:rsidR="005D6447">
        <w:t>,</w:t>
      </w:r>
      <w:r w:rsidRPr="001B4CA2">
        <w:t xml:space="preserve"> odnosno sporove radi naknade štete iz raznih osnova. Općenito je u sporovima za naknadu štete Republika Hrvatska na pasivnoj strani u najvećem broju predmeta. Uglavnom se radi o tužbama zbog navodnog nepravilnog i nezakonitog rada državnih tijela i sudova za čiji rad odgovara Republika Hrvatska te predmetima u kojima se upire na odgovornost Republike Hrvatske zbog navodno počinjene povrede prava Europske unije.</w:t>
      </w:r>
      <w:r w:rsidR="001B4CA2">
        <w:t xml:space="preserve"> </w:t>
      </w:r>
      <w:r w:rsidRPr="001B4CA2">
        <w:t>U navedenim predmetima u kojima se potražuju iznimno visoki iznosi naknade štete tužitelji predlažu i postavljanje prethodnih pitanja Sudu Europske unije.</w:t>
      </w:r>
    </w:p>
    <w:p w14:paraId="607430FE" w14:textId="77777777" w:rsidR="00773E87" w:rsidRPr="001B4CA2" w:rsidRDefault="00773E87" w:rsidP="00773E87">
      <w:pPr>
        <w:ind w:firstLine="708"/>
      </w:pPr>
    </w:p>
    <w:p w14:paraId="64887B14" w14:textId="0124E5A4" w:rsidR="00773E87" w:rsidRPr="001B4CA2" w:rsidRDefault="00773E87" w:rsidP="00773E87">
      <w:pPr>
        <w:ind w:firstLine="708"/>
      </w:pPr>
      <w:r w:rsidRPr="001B4CA2">
        <w:t>Po broju parnica slijedi Ministarstvo financija (64)</w:t>
      </w:r>
      <w:r w:rsidR="005D6447">
        <w:t>,</w:t>
      </w:r>
      <w:r w:rsidRPr="001B4CA2">
        <w:t xml:space="preserve"> koje generira </w:t>
      </w:r>
      <w:proofErr w:type="spellStart"/>
      <w:r w:rsidRPr="001B4CA2">
        <w:t>obveznopravne</w:t>
      </w:r>
      <w:proofErr w:type="spellEnd"/>
      <w:r w:rsidRPr="001B4CA2">
        <w:t xml:space="preserve"> sporove i sporove vezane uz stečaj, te je u većem broju predmeta tuženik u sudskim sporovima. </w:t>
      </w:r>
    </w:p>
    <w:p w14:paraId="62E6A34D" w14:textId="77777777" w:rsidR="00773E87" w:rsidRPr="001B4CA2" w:rsidRDefault="00773E87" w:rsidP="00773E87"/>
    <w:p w14:paraId="4513B689" w14:textId="145080B3" w:rsidR="00773E87" w:rsidRPr="001B4CA2" w:rsidRDefault="00773E87" w:rsidP="00773E87">
      <w:pPr>
        <w:ind w:firstLine="708"/>
      </w:pPr>
      <w:r w:rsidRPr="001B4CA2">
        <w:t>Zatim po brojnosti slijede parnični predmeti u zastupanju Ministarstva poljoprivrede (54) te je ovo tijelo u većem broju predmeta zastupano kao tužitelj. R</w:t>
      </w:r>
      <w:r w:rsidR="005D6447">
        <w:t>iječ j</w:t>
      </w:r>
      <w:r w:rsidRPr="001B4CA2">
        <w:t xml:space="preserve">e o </w:t>
      </w:r>
      <w:proofErr w:type="spellStart"/>
      <w:r w:rsidRPr="001B4CA2">
        <w:t>obveznopravnim</w:t>
      </w:r>
      <w:proofErr w:type="spellEnd"/>
      <w:r w:rsidRPr="001B4CA2">
        <w:t xml:space="preserve"> zahtjevima za isplatom, ali i </w:t>
      </w:r>
      <w:proofErr w:type="spellStart"/>
      <w:r w:rsidRPr="001B4CA2">
        <w:t>stvarnopravnim</w:t>
      </w:r>
      <w:proofErr w:type="spellEnd"/>
      <w:r w:rsidRPr="001B4CA2">
        <w:t xml:space="preserve"> zahtjevima kojima država nastoji ostvariti upis prava vlasništva na poljoprivrednom ili šumskom zemljištu.  </w:t>
      </w:r>
    </w:p>
    <w:p w14:paraId="204E7F63" w14:textId="77777777" w:rsidR="00773E87" w:rsidRPr="001B4CA2" w:rsidRDefault="00773E87" w:rsidP="00773E87">
      <w:pPr>
        <w:ind w:firstLine="708"/>
      </w:pPr>
    </w:p>
    <w:p w14:paraId="7E79B5BA" w14:textId="77777777" w:rsidR="00773E87" w:rsidRPr="001B4CA2" w:rsidRDefault="00773E87" w:rsidP="00773E87">
      <w:pPr>
        <w:ind w:firstLine="708"/>
      </w:pPr>
      <w:r w:rsidRPr="001B4CA2">
        <w:t xml:space="preserve">Slijede parnice u zastupanju Ministarstva mora, prometa i infrastrukture koje se većinom odnose na </w:t>
      </w:r>
      <w:proofErr w:type="spellStart"/>
      <w:r w:rsidRPr="001B4CA2">
        <w:t>stvarnopravne</w:t>
      </w:r>
      <w:proofErr w:type="spellEnd"/>
      <w:r w:rsidRPr="001B4CA2">
        <w:t xml:space="preserve"> zahtjeve vezano za nekretnine pomorskog </w:t>
      </w:r>
      <w:r w:rsidRPr="001B4CA2">
        <w:lastRenderedPageBreak/>
        <w:t xml:space="preserve">dobra, a nakon toga parnice na inicijativu ili u zastupanju društva Državne nekretnine d.o.o. Ostala tijela slijede u zastupanju s manjim brojem predmeta. </w:t>
      </w:r>
    </w:p>
    <w:p w14:paraId="7A9D922F" w14:textId="77777777" w:rsidR="00C0667A" w:rsidRPr="001B4CA2" w:rsidRDefault="00C0667A" w:rsidP="007C50CA"/>
    <w:p w14:paraId="73907601" w14:textId="65178206" w:rsidR="00EC128A" w:rsidRPr="001B4CA2" w:rsidRDefault="00BB4D48" w:rsidP="00E6050A">
      <w:pPr>
        <w:pStyle w:val="Naslov4"/>
        <w:ind w:left="993" w:hanging="993"/>
        <w:rPr>
          <w:rFonts w:ascii="Arial" w:hAnsi="Arial" w:cs="Arial"/>
        </w:rPr>
      </w:pPr>
      <w:bookmarkStart w:id="93" w:name="_Toc133394350"/>
      <w:r w:rsidRPr="001B4CA2">
        <w:rPr>
          <w:rFonts w:ascii="Arial" w:hAnsi="Arial" w:cs="Arial"/>
        </w:rPr>
        <w:t xml:space="preserve">Odluke </w:t>
      </w:r>
      <w:r w:rsidR="006A1678" w:rsidRPr="001B4CA2">
        <w:rPr>
          <w:rFonts w:ascii="Arial" w:hAnsi="Arial" w:cs="Arial"/>
        </w:rPr>
        <w:t>trgovačkih sudova u parnicama u kojima zastupa državno</w:t>
      </w:r>
      <w:r w:rsidR="001B4CA2">
        <w:rPr>
          <w:rFonts w:ascii="Arial" w:hAnsi="Arial" w:cs="Arial"/>
        </w:rPr>
        <w:t xml:space="preserve"> </w:t>
      </w:r>
      <w:r w:rsidR="009E6D91" w:rsidRPr="001B4CA2">
        <w:rPr>
          <w:rFonts w:ascii="Arial" w:hAnsi="Arial" w:cs="Arial"/>
        </w:rPr>
        <w:t xml:space="preserve"> </w:t>
      </w:r>
      <w:r w:rsidR="006A1678" w:rsidRPr="001B4CA2">
        <w:rPr>
          <w:rFonts w:ascii="Arial" w:hAnsi="Arial" w:cs="Arial"/>
        </w:rPr>
        <w:t>odvjetništvo</w:t>
      </w:r>
      <w:bookmarkEnd w:id="93"/>
    </w:p>
    <w:p w14:paraId="3A7AF65D" w14:textId="2B856C99" w:rsidR="00AD1AF6" w:rsidRPr="001B4CA2" w:rsidRDefault="00AD1AF6" w:rsidP="00C45F97"/>
    <w:p w14:paraId="22353177" w14:textId="7C14F6D7" w:rsidR="00671B63" w:rsidRPr="001B4CA2" w:rsidRDefault="00671B63" w:rsidP="00671B63">
      <w:pPr>
        <w:pStyle w:val="Odlomakpopisa"/>
        <w:numPr>
          <w:ilvl w:val="0"/>
          <w:numId w:val="44"/>
        </w:numPr>
        <w:jc w:val="left"/>
        <w:rPr>
          <w:rFonts w:asciiTheme="minorHAnsi" w:hAnsiTheme="minorHAnsi" w:cstheme="minorBidi"/>
          <w:i/>
          <w:szCs w:val="22"/>
        </w:rPr>
      </w:pPr>
      <w:r w:rsidRPr="001B4CA2">
        <w:rPr>
          <w:rFonts w:asciiTheme="minorHAnsi" w:hAnsiTheme="minorHAnsi" w:cstheme="minorBidi"/>
          <w:i/>
          <w:szCs w:val="22"/>
        </w:rPr>
        <w:t>Uspjeh u parnicama pred trgovačkim sudovima 2018. – 2022. (prema broju predmeta)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42"/>
        <w:gridCol w:w="575"/>
        <w:gridCol w:w="942"/>
        <w:gridCol w:w="1006"/>
        <w:gridCol w:w="813"/>
        <w:gridCol w:w="813"/>
        <w:gridCol w:w="813"/>
        <w:gridCol w:w="813"/>
        <w:gridCol w:w="813"/>
        <w:gridCol w:w="851"/>
      </w:tblGrid>
      <w:tr w:rsidR="00671B63" w:rsidRPr="001B4CA2" w14:paraId="191BE0BA" w14:textId="77777777" w:rsidTr="00CE2706">
        <w:trPr>
          <w:trHeight w:val="1060"/>
          <w:jc w:val="center"/>
        </w:trPr>
        <w:tc>
          <w:tcPr>
            <w:tcW w:w="1047" w:type="dxa"/>
            <w:vMerge w:val="restart"/>
            <w:shd w:val="clear" w:color="auto" w:fill="99CCFF"/>
            <w:noWrap/>
            <w:vAlign w:val="center"/>
            <w:hideMark/>
          </w:tcPr>
          <w:p w14:paraId="6DB7594D"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4433" w:type="dxa"/>
            <w:gridSpan w:val="4"/>
            <w:shd w:val="clear" w:color="auto" w:fill="99CCFF"/>
          </w:tcPr>
          <w:p w14:paraId="2DE9CC38"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p>
          <w:p w14:paraId="7D4C53E3" w14:textId="77777777" w:rsidR="00671B63" w:rsidRPr="001B4CA2" w:rsidRDefault="00671B63" w:rsidP="00671B63">
            <w:pPr>
              <w:rPr>
                <w:rFonts w:asciiTheme="minorHAnsi" w:eastAsia="Times New Roman" w:hAnsiTheme="minorHAnsi" w:cstheme="minorHAnsi"/>
                <w:sz w:val="18"/>
                <w:szCs w:val="18"/>
                <w:lang w:eastAsia="hr-HR"/>
              </w:rPr>
            </w:pPr>
          </w:p>
          <w:p w14:paraId="743B199B" w14:textId="77777777" w:rsidR="00671B63" w:rsidRPr="001B4CA2" w:rsidRDefault="00671B63" w:rsidP="00671B63">
            <w:pPr>
              <w:rPr>
                <w:rFonts w:asciiTheme="minorHAnsi" w:eastAsia="Times New Roman" w:hAnsiTheme="minorHAnsi" w:cstheme="minorHAnsi"/>
                <w:sz w:val="18"/>
                <w:szCs w:val="18"/>
                <w:lang w:eastAsia="hr-HR"/>
              </w:rPr>
            </w:pPr>
          </w:p>
          <w:p w14:paraId="1A52501D" w14:textId="77777777" w:rsidR="00671B63" w:rsidRPr="001B4CA2" w:rsidRDefault="00671B63" w:rsidP="00671B63">
            <w:pPr>
              <w:tabs>
                <w:tab w:val="left" w:pos="1182"/>
              </w:tabs>
              <w:rPr>
                <w:rFonts w:asciiTheme="minorHAnsi" w:eastAsia="Times New Roman" w:hAnsiTheme="minorHAnsi" w:cstheme="minorHAnsi"/>
                <w:b/>
                <w:sz w:val="18"/>
                <w:szCs w:val="18"/>
                <w:lang w:eastAsia="hr-HR"/>
              </w:rPr>
            </w:pPr>
            <w:r w:rsidRPr="001B4CA2">
              <w:rPr>
                <w:rFonts w:asciiTheme="minorHAnsi" w:eastAsia="Times New Roman" w:hAnsiTheme="minorHAnsi" w:cstheme="minorHAnsi"/>
                <w:sz w:val="18"/>
                <w:szCs w:val="18"/>
                <w:lang w:eastAsia="hr-HR"/>
              </w:rPr>
              <w:tab/>
            </w:r>
            <w:r w:rsidRPr="001B4CA2">
              <w:rPr>
                <w:rFonts w:asciiTheme="minorHAnsi" w:eastAsia="Times New Roman" w:hAnsiTheme="minorHAnsi" w:cstheme="minorHAnsi"/>
                <w:b/>
                <w:sz w:val="18"/>
                <w:szCs w:val="18"/>
                <w:lang w:eastAsia="hr-HR"/>
              </w:rPr>
              <w:t>Sudske odluke</w:t>
            </w:r>
          </w:p>
        </w:tc>
        <w:tc>
          <w:tcPr>
            <w:tcW w:w="5650" w:type="dxa"/>
            <w:gridSpan w:val="6"/>
            <w:shd w:val="clear" w:color="auto" w:fill="99CCFF"/>
            <w:noWrap/>
            <w:vAlign w:val="center"/>
            <w:hideMark/>
          </w:tcPr>
          <w:p w14:paraId="62D8254D"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Uspjeh u parnicama-</w:t>
            </w:r>
            <w:r w:rsidRPr="001B4CA2">
              <w:rPr>
                <w:rFonts w:asciiTheme="minorHAnsi" w:eastAsia="Times New Roman" w:hAnsiTheme="minorHAnsi" w:cstheme="minorHAnsi"/>
                <w:b/>
                <w:bCs/>
                <w:color w:val="FF0000"/>
                <w:sz w:val="18"/>
                <w:szCs w:val="18"/>
                <w:lang w:eastAsia="hr-HR"/>
              </w:rPr>
              <w:t xml:space="preserve"> </w:t>
            </w:r>
            <w:r w:rsidRPr="001B4CA2">
              <w:rPr>
                <w:rFonts w:asciiTheme="minorHAnsi" w:eastAsia="Times New Roman" w:hAnsiTheme="minorHAnsi" w:cstheme="minorHAnsi"/>
                <w:b/>
                <w:bCs/>
                <w:sz w:val="18"/>
                <w:szCs w:val="18"/>
                <w:lang w:eastAsia="hr-HR"/>
              </w:rPr>
              <w:t>presude/rješenja</w:t>
            </w:r>
          </w:p>
        </w:tc>
      </w:tr>
      <w:tr w:rsidR="00671B63" w:rsidRPr="001B4CA2" w14:paraId="611C9B34" w14:textId="77777777" w:rsidTr="00CE2706">
        <w:trPr>
          <w:cantSplit/>
          <w:trHeight w:val="2227"/>
          <w:jc w:val="center"/>
        </w:trPr>
        <w:tc>
          <w:tcPr>
            <w:tcW w:w="1047" w:type="dxa"/>
            <w:vMerge/>
            <w:shd w:val="clear" w:color="auto" w:fill="99CCFF"/>
            <w:vAlign w:val="center"/>
            <w:hideMark/>
          </w:tcPr>
          <w:p w14:paraId="5D890CAC"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p>
        </w:tc>
        <w:tc>
          <w:tcPr>
            <w:tcW w:w="1090" w:type="dxa"/>
            <w:shd w:val="clear" w:color="auto" w:fill="99CCFF"/>
            <w:textDirection w:val="btLr"/>
            <w:vAlign w:val="center"/>
          </w:tcPr>
          <w:p w14:paraId="6DB7F8CD"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 xml:space="preserve">Presude/ rješenja </w:t>
            </w:r>
          </w:p>
          <w:p w14:paraId="45D0B3E7" w14:textId="77777777"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(broj)</w:t>
            </w:r>
          </w:p>
        </w:tc>
        <w:tc>
          <w:tcPr>
            <w:tcW w:w="1086" w:type="dxa"/>
            <w:shd w:val="clear" w:color="auto" w:fill="99CCFF"/>
            <w:textDirection w:val="btLr"/>
            <w:vAlign w:val="center"/>
          </w:tcPr>
          <w:p w14:paraId="72928041" w14:textId="77777777"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Sudska nagodba</w:t>
            </w:r>
          </w:p>
          <w:p w14:paraId="794F278F" w14:textId="77777777"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 xml:space="preserve"> (broj)</w:t>
            </w:r>
          </w:p>
        </w:tc>
        <w:tc>
          <w:tcPr>
            <w:tcW w:w="1090" w:type="dxa"/>
            <w:shd w:val="clear" w:color="auto" w:fill="99CCFF"/>
            <w:textDirection w:val="btLr"/>
            <w:vAlign w:val="center"/>
          </w:tcPr>
          <w:p w14:paraId="6CAD9328" w14:textId="77777777"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Riješeno na drugi način</w:t>
            </w:r>
          </w:p>
        </w:tc>
        <w:tc>
          <w:tcPr>
            <w:tcW w:w="1167" w:type="dxa"/>
            <w:shd w:val="clear" w:color="auto" w:fill="99CCFF"/>
            <w:textDirection w:val="btLr"/>
            <w:vAlign w:val="center"/>
            <w:hideMark/>
          </w:tcPr>
          <w:p w14:paraId="59F34942" w14:textId="77777777" w:rsidR="00671B63" w:rsidRPr="001B4CA2" w:rsidRDefault="00671B63" w:rsidP="00671B63">
            <w:pPr>
              <w:tabs>
                <w:tab w:val="left" w:pos="3469"/>
              </w:tabs>
              <w:ind w:right="113"/>
              <w:rPr>
                <w:rFonts w:asciiTheme="minorHAnsi" w:eastAsia="Times New Roman" w:hAnsiTheme="minorHAnsi" w:cstheme="minorHAnsi"/>
                <w:b/>
                <w:sz w:val="18"/>
                <w:szCs w:val="18"/>
              </w:rPr>
            </w:pPr>
            <w:r w:rsidRPr="001B4CA2">
              <w:rPr>
                <w:rFonts w:asciiTheme="minorHAnsi" w:eastAsia="Times New Roman" w:hAnsiTheme="minorHAnsi" w:cstheme="minorHAnsi"/>
                <w:b/>
                <w:sz w:val="18"/>
                <w:szCs w:val="18"/>
                <w:lang w:eastAsia="hr-HR"/>
              </w:rPr>
              <w:t>Ukupno sudskih odluka</w:t>
            </w:r>
          </w:p>
        </w:tc>
        <w:tc>
          <w:tcPr>
            <w:tcW w:w="934" w:type="dxa"/>
            <w:shd w:val="clear" w:color="auto" w:fill="99CCFF"/>
            <w:textDirection w:val="btLr"/>
            <w:vAlign w:val="center"/>
            <w:hideMark/>
          </w:tcPr>
          <w:p w14:paraId="654E602F" w14:textId="3CEF6A45"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Dobiven u cijelosti</w:t>
            </w:r>
            <w:r w:rsidR="001B4CA2">
              <w:rPr>
                <w:rFonts w:asciiTheme="minorHAnsi" w:eastAsia="Times New Roman" w:hAnsiTheme="minorHAnsi" w:cstheme="minorHAnsi"/>
                <w:b/>
                <w:color w:val="000000"/>
                <w:sz w:val="18"/>
                <w:szCs w:val="18"/>
                <w:lang w:eastAsia="hr-HR"/>
              </w:rPr>
              <w:t xml:space="preserve">  </w:t>
            </w:r>
            <w:r w:rsidRPr="001B4CA2">
              <w:rPr>
                <w:rFonts w:asciiTheme="minorHAnsi" w:eastAsia="Times New Roman" w:hAnsiTheme="minorHAnsi" w:cstheme="minorHAnsi"/>
                <w:b/>
                <w:color w:val="000000"/>
                <w:sz w:val="18"/>
                <w:szCs w:val="18"/>
                <w:lang w:eastAsia="hr-HR"/>
              </w:rPr>
              <w:t>(</w:t>
            </w:r>
            <w:r w:rsidRPr="001B4CA2">
              <w:rPr>
                <w:rFonts w:asciiTheme="minorHAnsi" w:eastAsia="Times New Roman" w:hAnsiTheme="minorHAnsi" w:cstheme="minorHAnsi"/>
                <w:b/>
                <w:bCs/>
                <w:color w:val="000000"/>
                <w:sz w:val="18"/>
                <w:szCs w:val="18"/>
                <w:lang w:eastAsia="hr-HR"/>
              </w:rPr>
              <w:t>broj)</w:t>
            </w:r>
          </w:p>
        </w:tc>
        <w:tc>
          <w:tcPr>
            <w:tcW w:w="934" w:type="dxa"/>
            <w:shd w:val="clear" w:color="auto" w:fill="99CCFF"/>
            <w:textDirection w:val="btLr"/>
            <w:vAlign w:val="center"/>
            <w:hideMark/>
          </w:tcPr>
          <w:p w14:paraId="0ACCEAE8" w14:textId="77777777"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Postotak dobivenih</w:t>
            </w:r>
          </w:p>
        </w:tc>
        <w:tc>
          <w:tcPr>
            <w:tcW w:w="934" w:type="dxa"/>
            <w:shd w:val="clear" w:color="auto" w:fill="99CCFF"/>
            <w:textDirection w:val="btLr"/>
            <w:vAlign w:val="center"/>
            <w:hideMark/>
          </w:tcPr>
          <w:p w14:paraId="725C751C" w14:textId="138DB93B"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Izgubljen u cijelosti</w:t>
            </w:r>
            <w:r w:rsidR="001B4CA2">
              <w:rPr>
                <w:rFonts w:asciiTheme="minorHAnsi" w:eastAsia="Times New Roman" w:hAnsiTheme="minorHAnsi" w:cstheme="minorHAnsi"/>
                <w:b/>
                <w:color w:val="000000"/>
                <w:sz w:val="18"/>
                <w:szCs w:val="18"/>
                <w:lang w:eastAsia="hr-HR"/>
              </w:rPr>
              <w:t xml:space="preserve"> </w:t>
            </w:r>
            <w:r w:rsidRPr="001B4CA2">
              <w:rPr>
                <w:rFonts w:asciiTheme="minorHAnsi" w:eastAsia="Times New Roman" w:hAnsiTheme="minorHAnsi" w:cstheme="minorHAnsi"/>
                <w:b/>
                <w:color w:val="000000"/>
                <w:sz w:val="18"/>
                <w:szCs w:val="18"/>
                <w:lang w:eastAsia="hr-HR"/>
              </w:rPr>
              <w:t xml:space="preserve"> (</w:t>
            </w:r>
            <w:r w:rsidRPr="001B4CA2">
              <w:rPr>
                <w:rFonts w:asciiTheme="minorHAnsi" w:eastAsia="Times New Roman" w:hAnsiTheme="minorHAnsi" w:cstheme="minorHAnsi"/>
                <w:b/>
                <w:bCs/>
                <w:color w:val="000000"/>
                <w:sz w:val="18"/>
                <w:szCs w:val="18"/>
                <w:lang w:eastAsia="hr-HR"/>
              </w:rPr>
              <w:t>broj)</w:t>
            </w:r>
          </w:p>
        </w:tc>
        <w:tc>
          <w:tcPr>
            <w:tcW w:w="934" w:type="dxa"/>
            <w:shd w:val="clear" w:color="auto" w:fill="99CCFF"/>
            <w:textDirection w:val="btLr"/>
            <w:vAlign w:val="center"/>
            <w:hideMark/>
          </w:tcPr>
          <w:p w14:paraId="6005A12A" w14:textId="77777777"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Postotak izgubljenih</w:t>
            </w:r>
          </w:p>
        </w:tc>
        <w:tc>
          <w:tcPr>
            <w:tcW w:w="934" w:type="dxa"/>
            <w:shd w:val="clear" w:color="auto" w:fill="99CCFF"/>
            <w:textDirection w:val="btLr"/>
            <w:vAlign w:val="center"/>
            <w:hideMark/>
          </w:tcPr>
          <w:p w14:paraId="5304BAF9" w14:textId="0A41B5D2"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Djelomično dobiven/izgubljen</w:t>
            </w:r>
            <w:r w:rsidR="001B4CA2">
              <w:rPr>
                <w:rFonts w:asciiTheme="minorHAnsi" w:eastAsia="Times New Roman" w:hAnsiTheme="minorHAnsi" w:cstheme="minorHAnsi"/>
                <w:b/>
                <w:color w:val="000000"/>
                <w:sz w:val="18"/>
                <w:szCs w:val="18"/>
                <w:lang w:eastAsia="hr-HR"/>
              </w:rPr>
              <w:t xml:space="preserve"> </w:t>
            </w:r>
            <w:r w:rsidRPr="001B4CA2">
              <w:rPr>
                <w:rFonts w:asciiTheme="minorHAnsi" w:eastAsia="Times New Roman" w:hAnsiTheme="minorHAnsi" w:cstheme="minorHAnsi"/>
                <w:b/>
                <w:color w:val="000000"/>
                <w:sz w:val="18"/>
                <w:szCs w:val="18"/>
                <w:lang w:eastAsia="hr-HR"/>
              </w:rPr>
              <w:t>(</w:t>
            </w:r>
            <w:r w:rsidRPr="001B4CA2">
              <w:rPr>
                <w:rFonts w:asciiTheme="minorHAnsi" w:eastAsia="Times New Roman" w:hAnsiTheme="minorHAnsi" w:cstheme="minorHAnsi"/>
                <w:b/>
                <w:bCs/>
                <w:color w:val="000000"/>
                <w:sz w:val="18"/>
                <w:szCs w:val="18"/>
                <w:lang w:eastAsia="hr-HR"/>
              </w:rPr>
              <w:t>broj)</w:t>
            </w:r>
            <w:r w:rsidR="001B4CA2">
              <w:rPr>
                <w:rFonts w:asciiTheme="minorHAnsi" w:eastAsia="Times New Roman" w:hAnsiTheme="minorHAnsi" w:cstheme="minorHAnsi"/>
                <w:b/>
                <w:bCs/>
                <w:color w:val="000000"/>
                <w:sz w:val="18"/>
                <w:szCs w:val="18"/>
                <w:lang w:eastAsia="hr-HR"/>
              </w:rPr>
              <w:t xml:space="preserve"> </w:t>
            </w:r>
          </w:p>
        </w:tc>
        <w:tc>
          <w:tcPr>
            <w:tcW w:w="980" w:type="dxa"/>
            <w:shd w:val="clear" w:color="auto" w:fill="99CCFF"/>
            <w:textDirection w:val="btLr"/>
            <w:vAlign w:val="center"/>
            <w:hideMark/>
          </w:tcPr>
          <w:p w14:paraId="7785BFD1" w14:textId="77777777"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Postotak djelomično dobivenih/izgubljenih</w:t>
            </w:r>
          </w:p>
        </w:tc>
      </w:tr>
      <w:tr w:rsidR="00671B63" w:rsidRPr="001B4CA2" w14:paraId="754990B4" w14:textId="77777777" w:rsidTr="00CE2706">
        <w:trPr>
          <w:trHeight w:val="397"/>
          <w:jc w:val="center"/>
        </w:trPr>
        <w:tc>
          <w:tcPr>
            <w:tcW w:w="1047" w:type="dxa"/>
            <w:shd w:val="clear" w:color="auto" w:fill="auto"/>
            <w:noWrap/>
            <w:vAlign w:val="center"/>
            <w:hideMark/>
          </w:tcPr>
          <w:p w14:paraId="217AF17C"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2018.</w:t>
            </w:r>
          </w:p>
        </w:tc>
        <w:tc>
          <w:tcPr>
            <w:tcW w:w="1090" w:type="dxa"/>
            <w:shd w:val="clear" w:color="auto" w:fill="auto"/>
            <w:noWrap/>
            <w:vAlign w:val="center"/>
          </w:tcPr>
          <w:p w14:paraId="048EE27D"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395</w:t>
            </w:r>
          </w:p>
        </w:tc>
        <w:tc>
          <w:tcPr>
            <w:tcW w:w="1086" w:type="dxa"/>
            <w:vAlign w:val="center"/>
          </w:tcPr>
          <w:p w14:paraId="789390FA"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24</w:t>
            </w:r>
          </w:p>
        </w:tc>
        <w:tc>
          <w:tcPr>
            <w:tcW w:w="1090" w:type="dxa"/>
            <w:shd w:val="clear" w:color="auto" w:fill="auto"/>
            <w:noWrap/>
            <w:vAlign w:val="center"/>
          </w:tcPr>
          <w:p w14:paraId="502DB02B"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200</w:t>
            </w:r>
          </w:p>
        </w:tc>
        <w:tc>
          <w:tcPr>
            <w:tcW w:w="1167" w:type="dxa"/>
            <w:shd w:val="clear" w:color="auto" w:fill="auto"/>
            <w:noWrap/>
            <w:vAlign w:val="center"/>
          </w:tcPr>
          <w:p w14:paraId="03CC4A73"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619</w:t>
            </w:r>
          </w:p>
        </w:tc>
        <w:tc>
          <w:tcPr>
            <w:tcW w:w="934" w:type="dxa"/>
            <w:shd w:val="clear" w:color="auto" w:fill="auto"/>
            <w:noWrap/>
            <w:vAlign w:val="center"/>
          </w:tcPr>
          <w:p w14:paraId="4F50D5AC"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243</w:t>
            </w:r>
          </w:p>
        </w:tc>
        <w:tc>
          <w:tcPr>
            <w:tcW w:w="934" w:type="dxa"/>
            <w:shd w:val="clear" w:color="auto" w:fill="auto"/>
            <w:noWrap/>
            <w:vAlign w:val="center"/>
          </w:tcPr>
          <w:p w14:paraId="6B2214A7"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62%</w:t>
            </w:r>
          </w:p>
        </w:tc>
        <w:tc>
          <w:tcPr>
            <w:tcW w:w="934" w:type="dxa"/>
            <w:shd w:val="clear" w:color="auto" w:fill="auto"/>
            <w:noWrap/>
            <w:vAlign w:val="center"/>
          </w:tcPr>
          <w:p w14:paraId="157F3D76"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118</w:t>
            </w:r>
          </w:p>
        </w:tc>
        <w:tc>
          <w:tcPr>
            <w:tcW w:w="934" w:type="dxa"/>
            <w:shd w:val="clear" w:color="auto" w:fill="auto"/>
            <w:noWrap/>
            <w:vAlign w:val="center"/>
          </w:tcPr>
          <w:p w14:paraId="4D6595D5"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30%</w:t>
            </w:r>
          </w:p>
        </w:tc>
        <w:tc>
          <w:tcPr>
            <w:tcW w:w="934" w:type="dxa"/>
            <w:shd w:val="clear" w:color="auto" w:fill="auto"/>
            <w:noWrap/>
            <w:vAlign w:val="center"/>
          </w:tcPr>
          <w:p w14:paraId="4D31EE89"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34</w:t>
            </w:r>
          </w:p>
        </w:tc>
        <w:tc>
          <w:tcPr>
            <w:tcW w:w="980" w:type="dxa"/>
            <w:shd w:val="clear" w:color="auto" w:fill="auto"/>
            <w:noWrap/>
            <w:vAlign w:val="center"/>
          </w:tcPr>
          <w:p w14:paraId="0F98D5AA"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8%</w:t>
            </w:r>
          </w:p>
        </w:tc>
      </w:tr>
      <w:tr w:rsidR="00671B63" w:rsidRPr="001B4CA2" w14:paraId="05FCB289" w14:textId="77777777" w:rsidTr="00CE2706">
        <w:trPr>
          <w:trHeight w:val="397"/>
          <w:jc w:val="center"/>
        </w:trPr>
        <w:tc>
          <w:tcPr>
            <w:tcW w:w="1047" w:type="dxa"/>
            <w:shd w:val="clear" w:color="auto" w:fill="auto"/>
            <w:noWrap/>
            <w:vAlign w:val="center"/>
          </w:tcPr>
          <w:p w14:paraId="22414134"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2019.</w:t>
            </w:r>
          </w:p>
        </w:tc>
        <w:tc>
          <w:tcPr>
            <w:tcW w:w="1090" w:type="dxa"/>
            <w:shd w:val="clear" w:color="auto" w:fill="auto"/>
            <w:noWrap/>
            <w:vAlign w:val="center"/>
          </w:tcPr>
          <w:p w14:paraId="3C6F2C73"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416</w:t>
            </w:r>
          </w:p>
        </w:tc>
        <w:tc>
          <w:tcPr>
            <w:tcW w:w="1086" w:type="dxa"/>
            <w:vAlign w:val="center"/>
          </w:tcPr>
          <w:p w14:paraId="10091956"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37</w:t>
            </w:r>
          </w:p>
        </w:tc>
        <w:tc>
          <w:tcPr>
            <w:tcW w:w="1090" w:type="dxa"/>
            <w:shd w:val="clear" w:color="auto" w:fill="auto"/>
            <w:noWrap/>
            <w:vAlign w:val="center"/>
          </w:tcPr>
          <w:p w14:paraId="481DBEC0"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178</w:t>
            </w:r>
          </w:p>
        </w:tc>
        <w:tc>
          <w:tcPr>
            <w:tcW w:w="1167" w:type="dxa"/>
            <w:shd w:val="clear" w:color="auto" w:fill="auto"/>
            <w:noWrap/>
            <w:vAlign w:val="center"/>
          </w:tcPr>
          <w:p w14:paraId="382BA2AB"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631</w:t>
            </w:r>
          </w:p>
        </w:tc>
        <w:tc>
          <w:tcPr>
            <w:tcW w:w="934" w:type="dxa"/>
            <w:shd w:val="clear" w:color="auto" w:fill="auto"/>
            <w:noWrap/>
            <w:vAlign w:val="center"/>
          </w:tcPr>
          <w:p w14:paraId="7D0C4891"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261</w:t>
            </w:r>
          </w:p>
        </w:tc>
        <w:tc>
          <w:tcPr>
            <w:tcW w:w="934" w:type="dxa"/>
            <w:shd w:val="clear" w:color="auto" w:fill="auto"/>
            <w:noWrap/>
            <w:vAlign w:val="center"/>
          </w:tcPr>
          <w:p w14:paraId="5B48E9B2"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63%</w:t>
            </w:r>
          </w:p>
        </w:tc>
        <w:tc>
          <w:tcPr>
            <w:tcW w:w="934" w:type="dxa"/>
            <w:shd w:val="clear" w:color="auto" w:fill="auto"/>
            <w:noWrap/>
            <w:vAlign w:val="center"/>
          </w:tcPr>
          <w:p w14:paraId="173A37CB"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123</w:t>
            </w:r>
          </w:p>
        </w:tc>
        <w:tc>
          <w:tcPr>
            <w:tcW w:w="934" w:type="dxa"/>
            <w:shd w:val="clear" w:color="auto" w:fill="auto"/>
            <w:noWrap/>
            <w:vAlign w:val="center"/>
          </w:tcPr>
          <w:p w14:paraId="2F7B3054"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30%</w:t>
            </w:r>
          </w:p>
        </w:tc>
        <w:tc>
          <w:tcPr>
            <w:tcW w:w="934" w:type="dxa"/>
            <w:shd w:val="clear" w:color="auto" w:fill="auto"/>
            <w:noWrap/>
            <w:vAlign w:val="center"/>
          </w:tcPr>
          <w:p w14:paraId="23F9C83B"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32</w:t>
            </w:r>
          </w:p>
        </w:tc>
        <w:tc>
          <w:tcPr>
            <w:tcW w:w="980" w:type="dxa"/>
            <w:shd w:val="clear" w:color="auto" w:fill="auto"/>
            <w:noWrap/>
            <w:vAlign w:val="center"/>
          </w:tcPr>
          <w:p w14:paraId="40833E60"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7%</w:t>
            </w:r>
          </w:p>
        </w:tc>
      </w:tr>
      <w:tr w:rsidR="00671B63" w:rsidRPr="001B4CA2" w14:paraId="2FED351D" w14:textId="77777777" w:rsidTr="00CE2706">
        <w:trPr>
          <w:trHeight w:val="397"/>
          <w:jc w:val="center"/>
        </w:trPr>
        <w:tc>
          <w:tcPr>
            <w:tcW w:w="1047" w:type="dxa"/>
            <w:shd w:val="clear" w:color="auto" w:fill="auto"/>
            <w:noWrap/>
            <w:vAlign w:val="center"/>
          </w:tcPr>
          <w:p w14:paraId="4A59D416"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2020.</w:t>
            </w:r>
          </w:p>
        </w:tc>
        <w:tc>
          <w:tcPr>
            <w:tcW w:w="1090" w:type="dxa"/>
            <w:shd w:val="clear" w:color="auto" w:fill="auto"/>
            <w:noWrap/>
            <w:vAlign w:val="center"/>
          </w:tcPr>
          <w:p w14:paraId="732A312C" w14:textId="77777777" w:rsidR="00671B63" w:rsidRPr="001B4CA2" w:rsidRDefault="00671B63" w:rsidP="00671B63">
            <w:pPr>
              <w:jc w:val="center"/>
              <w:rPr>
                <w:bCs/>
                <w:color w:val="000000" w:themeColor="text1"/>
                <w:sz w:val="18"/>
                <w:szCs w:val="18"/>
              </w:rPr>
            </w:pPr>
            <w:r w:rsidRPr="001B4CA2">
              <w:rPr>
                <w:bCs/>
                <w:color w:val="000000" w:themeColor="text1"/>
                <w:sz w:val="18"/>
                <w:szCs w:val="18"/>
              </w:rPr>
              <w:t>418</w:t>
            </w:r>
          </w:p>
        </w:tc>
        <w:tc>
          <w:tcPr>
            <w:tcW w:w="1086" w:type="dxa"/>
            <w:vAlign w:val="center"/>
          </w:tcPr>
          <w:p w14:paraId="34AD5561" w14:textId="77777777" w:rsidR="00671B63" w:rsidRPr="001B4CA2" w:rsidRDefault="00671B63" w:rsidP="00671B63">
            <w:pPr>
              <w:jc w:val="center"/>
              <w:rPr>
                <w:sz w:val="18"/>
                <w:szCs w:val="18"/>
              </w:rPr>
            </w:pPr>
            <w:r w:rsidRPr="001B4CA2">
              <w:rPr>
                <w:sz w:val="18"/>
                <w:szCs w:val="18"/>
              </w:rPr>
              <w:t>40</w:t>
            </w:r>
          </w:p>
        </w:tc>
        <w:tc>
          <w:tcPr>
            <w:tcW w:w="1090" w:type="dxa"/>
            <w:shd w:val="clear" w:color="auto" w:fill="auto"/>
            <w:noWrap/>
            <w:vAlign w:val="center"/>
          </w:tcPr>
          <w:p w14:paraId="78B12F65" w14:textId="77777777" w:rsidR="00671B63" w:rsidRPr="001B4CA2" w:rsidRDefault="00671B63" w:rsidP="00671B63">
            <w:pPr>
              <w:jc w:val="center"/>
              <w:rPr>
                <w:sz w:val="18"/>
                <w:szCs w:val="18"/>
              </w:rPr>
            </w:pPr>
            <w:r w:rsidRPr="001B4CA2">
              <w:rPr>
                <w:sz w:val="18"/>
                <w:szCs w:val="18"/>
              </w:rPr>
              <w:t>-</w:t>
            </w:r>
          </w:p>
        </w:tc>
        <w:tc>
          <w:tcPr>
            <w:tcW w:w="1167" w:type="dxa"/>
            <w:shd w:val="clear" w:color="auto" w:fill="auto"/>
            <w:noWrap/>
            <w:vAlign w:val="center"/>
          </w:tcPr>
          <w:p w14:paraId="407428A2" w14:textId="77777777" w:rsidR="00671B63" w:rsidRPr="001B4CA2" w:rsidRDefault="00671B63" w:rsidP="00671B63">
            <w:pPr>
              <w:tabs>
                <w:tab w:val="left" w:pos="3469"/>
              </w:tabs>
              <w:jc w:val="center"/>
              <w:rPr>
                <w:rFonts w:asciiTheme="minorHAnsi" w:eastAsia="Times New Roman" w:hAnsiTheme="minorHAnsi" w:cstheme="minorHAnsi"/>
                <w:sz w:val="18"/>
                <w:szCs w:val="18"/>
              </w:rPr>
            </w:pPr>
            <w:r w:rsidRPr="001B4CA2">
              <w:rPr>
                <w:rFonts w:asciiTheme="minorHAnsi" w:eastAsia="Times New Roman" w:hAnsiTheme="minorHAnsi" w:cstheme="minorHAnsi"/>
                <w:sz w:val="18"/>
                <w:szCs w:val="18"/>
              </w:rPr>
              <w:t>458</w:t>
            </w:r>
          </w:p>
        </w:tc>
        <w:tc>
          <w:tcPr>
            <w:tcW w:w="934" w:type="dxa"/>
            <w:shd w:val="clear" w:color="auto" w:fill="auto"/>
            <w:noWrap/>
            <w:vAlign w:val="center"/>
          </w:tcPr>
          <w:p w14:paraId="43479AE7" w14:textId="77777777" w:rsidR="00671B63" w:rsidRPr="001B4CA2" w:rsidRDefault="00671B63" w:rsidP="00671B63">
            <w:pPr>
              <w:jc w:val="center"/>
              <w:rPr>
                <w:rFonts w:asciiTheme="minorHAnsi" w:eastAsia="Times New Roman" w:hAnsiTheme="minorHAnsi" w:cstheme="minorHAnsi"/>
                <w:bCs/>
                <w:color w:val="000000" w:themeColor="text1"/>
                <w:sz w:val="18"/>
                <w:szCs w:val="18"/>
                <w:lang w:eastAsia="hr-HR"/>
              </w:rPr>
            </w:pPr>
            <w:r w:rsidRPr="001B4CA2">
              <w:rPr>
                <w:rFonts w:asciiTheme="minorHAnsi" w:eastAsia="Times New Roman" w:hAnsiTheme="minorHAnsi" w:cstheme="minorHAnsi"/>
                <w:bCs/>
                <w:color w:val="000000" w:themeColor="text1"/>
                <w:sz w:val="18"/>
                <w:szCs w:val="18"/>
                <w:lang w:eastAsia="hr-HR"/>
              </w:rPr>
              <w:t>256</w:t>
            </w:r>
          </w:p>
        </w:tc>
        <w:tc>
          <w:tcPr>
            <w:tcW w:w="934" w:type="dxa"/>
            <w:shd w:val="clear" w:color="auto" w:fill="auto"/>
            <w:noWrap/>
            <w:vAlign w:val="center"/>
          </w:tcPr>
          <w:p w14:paraId="2D0E77C5"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61%</w:t>
            </w:r>
          </w:p>
        </w:tc>
        <w:tc>
          <w:tcPr>
            <w:tcW w:w="934" w:type="dxa"/>
            <w:shd w:val="clear" w:color="auto" w:fill="auto"/>
            <w:noWrap/>
            <w:vAlign w:val="center"/>
          </w:tcPr>
          <w:p w14:paraId="1F1590F8"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129</w:t>
            </w:r>
          </w:p>
        </w:tc>
        <w:tc>
          <w:tcPr>
            <w:tcW w:w="934" w:type="dxa"/>
            <w:shd w:val="clear" w:color="auto" w:fill="auto"/>
            <w:noWrap/>
            <w:vAlign w:val="center"/>
          </w:tcPr>
          <w:p w14:paraId="196729C0"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31%</w:t>
            </w:r>
          </w:p>
        </w:tc>
        <w:tc>
          <w:tcPr>
            <w:tcW w:w="934" w:type="dxa"/>
            <w:shd w:val="clear" w:color="auto" w:fill="auto"/>
            <w:noWrap/>
            <w:vAlign w:val="center"/>
          </w:tcPr>
          <w:p w14:paraId="25B9724F"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33</w:t>
            </w:r>
          </w:p>
        </w:tc>
        <w:tc>
          <w:tcPr>
            <w:tcW w:w="980" w:type="dxa"/>
            <w:shd w:val="clear" w:color="auto" w:fill="auto"/>
            <w:noWrap/>
            <w:vAlign w:val="center"/>
          </w:tcPr>
          <w:p w14:paraId="56630615"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8%</w:t>
            </w:r>
          </w:p>
        </w:tc>
      </w:tr>
      <w:tr w:rsidR="00671B63" w:rsidRPr="001B4CA2" w14:paraId="22E6DA68" w14:textId="77777777" w:rsidTr="00CE2706">
        <w:trPr>
          <w:trHeight w:val="397"/>
          <w:jc w:val="center"/>
        </w:trPr>
        <w:tc>
          <w:tcPr>
            <w:tcW w:w="1047" w:type="dxa"/>
            <w:shd w:val="clear" w:color="auto" w:fill="auto"/>
            <w:noWrap/>
            <w:vAlign w:val="center"/>
          </w:tcPr>
          <w:p w14:paraId="3A1B5913"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2021.</w:t>
            </w:r>
          </w:p>
        </w:tc>
        <w:tc>
          <w:tcPr>
            <w:tcW w:w="1090" w:type="dxa"/>
            <w:shd w:val="clear" w:color="auto" w:fill="auto"/>
            <w:noWrap/>
            <w:vAlign w:val="center"/>
          </w:tcPr>
          <w:p w14:paraId="463508F1" w14:textId="77777777" w:rsidR="00671B63" w:rsidRPr="001B4CA2" w:rsidRDefault="00671B63" w:rsidP="00671B63">
            <w:pPr>
              <w:jc w:val="center"/>
              <w:rPr>
                <w:bCs/>
                <w:color w:val="000000" w:themeColor="text1"/>
                <w:sz w:val="18"/>
                <w:szCs w:val="18"/>
              </w:rPr>
            </w:pPr>
            <w:r w:rsidRPr="001B4CA2">
              <w:rPr>
                <w:bCs/>
                <w:color w:val="000000" w:themeColor="text1"/>
                <w:sz w:val="18"/>
                <w:szCs w:val="18"/>
              </w:rPr>
              <w:t>536</w:t>
            </w:r>
          </w:p>
        </w:tc>
        <w:tc>
          <w:tcPr>
            <w:tcW w:w="1086" w:type="dxa"/>
            <w:vAlign w:val="center"/>
          </w:tcPr>
          <w:p w14:paraId="7BA4D39F" w14:textId="77777777" w:rsidR="00671B63" w:rsidRPr="001B4CA2" w:rsidRDefault="00671B63" w:rsidP="00671B63">
            <w:pPr>
              <w:jc w:val="center"/>
              <w:rPr>
                <w:sz w:val="18"/>
                <w:szCs w:val="18"/>
              </w:rPr>
            </w:pPr>
            <w:r w:rsidRPr="001B4CA2">
              <w:rPr>
                <w:sz w:val="18"/>
                <w:szCs w:val="18"/>
              </w:rPr>
              <w:t>31</w:t>
            </w:r>
          </w:p>
        </w:tc>
        <w:tc>
          <w:tcPr>
            <w:tcW w:w="1090" w:type="dxa"/>
            <w:shd w:val="clear" w:color="auto" w:fill="auto"/>
            <w:noWrap/>
            <w:vAlign w:val="center"/>
          </w:tcPr>
          <w:p w14:paraId="7D57854D" w14:textId="77777777" w:rsidR="00671B63" w:rsidRPr="001B4CA2" w:rsidRDefault="00671B63" w:rsidP="00671B63">
            <w:pPr>
              <w:jc w:val="center"/>
              <w:rPr>
                <w:sz w:val="18"/>
                <w:szCs w:val="18"/>
              </w:rPr>
            </w:pPr>
            <w:r w:rsidRPr="001B4CA2">
              <w:rPr>
                <w:sz w:val="18"/>
                <w:szCs w:val="18"/>
              </w:rPr>
              <w:t>-</w:t>
            </w:r>
          </w:p>
        </w:tc>
        <w:tc>
          <w:tcPr>
            <w:tcW w:w="1167" w:type="dxa"/>
            <w:shd w:val="clear" w:color="auto" w:fill="auto"/>
            <w:noWrap/>
            <w:vAlign w:val="center"/>
          </w:tcPr>
          <w:p w14:paraId="21A1D5A2" w14:textId="77777777" w:rsidR="00671B63" w:rsidRPr="001B4CA2" w:rsidRDefault="00671B63" w:rsidP="00671B63">
            <w:pPr>
              <w:tabs>
                <w:tab w:val="left" w:pos="3469"/>
              </w:tabs>
              <w:jc w:val="center"/>
              <w:rPr>
                <w:rFonts w:asciiTheme="minorHAnsi" w:eastAsia="Times New Roman" w:hAnsiTheme="minorHAnsi" w:cstheme="minorHAnsi"/>
                <w:sz w:val="18"/>
                <w:szCs w:val="18"/>
              </w:rPr>
            </w:pPr>
            <w:r w:rsidRPr="001B4CA2">
              <w:rPr>
                <w:rFonts w:asciiTheme="minorHAnsi" w:eastAsia="Times New Roman" w:hAnsiTheme="minorHAnsi" w:cstheme="minorHAnsi"/>
                <w:sz w:val="18"/>
                <w:szCs w:val="18"/>
              </w:rPr>
              <w:t>567</w:t>
            </w:r>
          </w:p>
        </w:tc>
        <w:tc>
          <w:tcPr>
            <w:tcW w:w="934" w:type="dxa"/>
            <w:shd w:val="clear" w:color="auto" w:fill="auto"/>
            <w:noWrap/>
            <w:vAlign w:val="center"/>
          </w:tcPr>
          <w:p w14:paraId="588D68AA" w14:textId="77777777" w:rsidR="00671B63" w:rsidRPr="001B4CA2" w:rsidRDefault="00671B63" w:rsidP="00671B63">
            <w:pPr>
              <w:jc w:val="center"/>
              <w:rPr>
                <w:rFonts w:asciiTheme="minorHAnsi" w:eastAsia="Times New Roman" w:hAnsiTheme="minorHAnsi" w:cstheme="minorHAnsi"/>
                <w:bCs/>
                <w:color w:val="000000" w:themeColor="text1"/>
                <w:sz w:val="18"/>
                <w:szCs w:val="18"/>
                <w:lang w:eastAsia="hr-HR"/>
              </w:rPr>
            </w:pPr>
            <w:r w:rsidRPr="001B4CA2">
              <w:rPr>
                <w:rFonts w:asciiTheme="minorHAnsi" w:eastAsia="Times New Roman" w:hAnsiTheme="minorHAnsi" w:cstheme="minorHAnsi"/>
                <w:bCs/>
                <w:color w:val="000000" w:themeColor="text1"/>
                <w:sz w:val="18"/>
                <w:szCs w:val="18"/>
                <w:lang w:eastAsia="hr-HR"/>
              </w:rPr>
              <w:t>334</w:t>
            </w:r>
          </w:p>
        </w:tc>
        <w:tc>
          <w:tcPr>
            <w:tcW w:w="934" w:type="dxa"/>
            <w:shd w:val="clear" w:color="auto" w:fill="auto"/>
            <w:noWrap/>
            <w:vAlign w:val="center"/>
          </w:tcPr>
          <w:p w14:paraId="43F5202B"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62%</w:t>
            </w:r>
          </w:p>
        </w:tc>
        <w:tc>
          <w:tcPr>
            <w:tcW w:w="934" w:type="dxa"/>
            <w:shd w:val="clear" w:color="auto" w:fill="auto"/>
            <w:noWrap/>
            <w:vAlign w:val="center"/>
          </w:tcPr>
          <w:p w14:paraId="2DDFE65E"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169</w:t>
            </w:r>
          </w:p>
        </w:tc>
        <w:tc>
          <w:tcPr>
            <w:tcW w:w="934" w:type="dxa"/>
            <w:shd w:val="clear" w:color="auto" w:fill="auto"/>
            <w:noWrap/>
            <w:vAlign w:val="center"/>
          </w:tcPr>
          <w:p w14:paraId="01956856"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32%</w:t>
            </w:r>
          </w:p>
        </w:tc>
        <w:tc>
          <w:tcPr>
            <w:tcW w:w="934" w:type="dxa"/>
            <w:shd w:val="clear" w:color="auto" w:fill="auto"/>
            <w:noWrap/>
            <w:vAlign w:val="center"/>
          </w:tcPr>
          <w:p w14:paraId="5BD069F5"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33</w:t>
            </w:r>
          </w:p>
        </w:tc>
        <w:tc>
          <w:tcPr>
            <w:tcW w:w="980" w:type="dxa"/>
            <w:shd w:val="clear" w:color="auto" w:fill="auto"/>
            <w:noWrap/>
            <w:vAlign w:val="center"/>
          </w:tcPr>
          <w:p w14:paraId="657DB71E"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6%</w:t>
            </w:r>
          </w:p>
        </w:tc>
      </w:tr>
      <w:tr w:rsidR="00671B63" w:rsidRPr="001B4CA2" w14:paraId="73886CB7" w14:textId="77777777" w:rsidTr="00CE2706">
        <w:trPr>
          <w:trHeight w:val="397"/>
          <w:jc w:val="center"/>
        </w:trPr>
        <w:tc>
          <w:tcPr>
            <w:tcW w:w="1047" w:type="dxa"/>
            <w:shd w:val="clear" w:color="auto" w:fill="auto"/>
            <w:noWrap/>
            <w:vAlign w:val="center"/>
          </w:tcPr>
          <w:p w14:paraId="0D559FD3"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2022.</w:t>
            </w:r>
          </w:p>
        </w:tc>
        <w:tc>
          <w:tcPr>
            <w:tcW w:w="1090" w:type="dxa"/>
            <w:shd w:val="clear" w:color="auto" w:fill="auto"/>
            <w:noWrap/>
            <w:vAlign w:val="center"/>
          </w:tcPr>
          <w:p w14:paraId="28E1258A" w14:textId="77777777" w:rsidR="00671B63" w:rsidRPr="001B4CA2" w:rsidRDefault="00671B63" w:rsidP="00671B63">
            <w:pPr>
              <w:jc w:val="center"/>
              <w:rPr>
                <w:bCs/>
                <w:sz w:val="18"/>
                <w:szCs w:val="18"/>
              </w:rPr>
            </w:pPr>
            <w:r w:rsidRPr="001B4CA2">
              <w:rPr>
                <w:bCs/>
                <w:sz w:val="18"/>
                <w:szCs w:val="18"/>
              </w:rPr>
              <w:t>467</w:t>
            </w:r>
          </w:p>
        </w:tc>
        <w:tc>
          <w:tcPr>
            <w:tcW w:w="1086" w:type="dxa"/>
            <w:vAlign w:val="center"/>
          </w:tcPr>
          <w:p w14:paraId="6069E856" w14:textId="77777777" w:rsidR="00671B63" w:rsidRPr="001B4CA2" w:rsidRDefault="00671B63" w:rsidP="00671B63">
            <w:pPr>
              <w:jc w:val="center"/>
              <w:rPr>
                <w:sz w:val="18"/>
                <w:szCs w:val="18"/>
              </w:rPr>
            </w:pPr>
            <w:r w:rsidRPr="001B4CA2">
              <w:rPr>
                <w:sz w:val="18"/>
                <w:szCs w:val="18"/>
              </w:rPr>
              <w:t>21</w:t>
            </w:r>
          </w:p>
        </w:tc>
        <w:tc>
          <w:tcPr>
            <w:tcW w:w="1090" w:type="dxa"/>
            <w:shd w:val="clear" w:color="auto" w:fill="auto"/>
            <w:noWrap/>
            <w:vAlign w:val="center"/>
          </w:tcPr>
          <w:p w14:paraId="5A0316D7" w14:textId="77777777" w:rsidR="00671B63" w:rsidRPr="001B4CA2" w:rsidRDefault="00671B63" w:rsidP="00671B63">
            <w:pPr>
              <w:jc w:val="center"/>
              <w:rPr>
                <w:sz w:val="18"/>
                <w:szCs w:val="18"/>
              </w:rPr>
            </w:pPr>
          </w:p>
        </w:tc>
        <w:tc>
          <w:tcPr>
            <w:tcW w:w="1167" w:type="dxa"/>
            <w:shd w:val="clear" w:color="auto" w:fill="auto"/>
            <w:noWrap/>
            <w:vAlign w:val="center"/>
          </w:tcPr>
          <w:p w14:paraId="439009A7" w14:textId="77777777" w:rsidR="00671B63" w:rsidRPr="001B4CA2" w:rsidRDefault="00671B63" w:rsidP="00671B63">
            <w:pPr>
              <w:tabs>
                <w:tab w:val="left" w:pos="3469"/>
              </w:tabs>
              <w:jc w:val="center"/>
              <w:rPr>
                <w:rFonts w:asciiTheme="minorHAnsi" w:eastAsia="Times New Roman" w:hAnsiTheme="minorHAnsi" w:cstheme="minorHAnsi"/>
                <w:sz w:val="18"/>
                <w:szCs w:val="18"/>
              </w:rPr>
            </w:pPr>
            <w:r w:rsidRPr="001B4CA2">
              <w:rPr>
                <w:rFonts w:asciiTheme="minorHAnsi" w:eastAsia="Times New Roman" w:hAnsiTheme="minorHAnsi" w:cstheme="minorHAnsi"/>
                <w:sz w:val="18"/>
                <w:szCs w:val="18"/>
              </w:rPr>
              <w:t>488</w:t>
            </w:r>
          </w:p>
        </w:tc>
        <w:tc>
          <w:tcPr>
            <w:tcW w:w="934" w:type="dxa"/>
            <w:shd w:val="clear" w:color="auto" w:fill="auto"/>
            <w:noWrap/>
            <w:vAlign w:val="center"/>
          </w:tcPr>
          <w:p w14:paraId="07CF1374" w14:textId="77777777" w:rsidR="00671B63" w:rsidRPr="001B4CA2" w:rsidRDefault="00671B63" w:rsidP="00671B63">
            <w:pPr>
              <w:jc w:val="center"/>
              <w:rPr>
                <w:rFonts w:asciiTheme="minorHAnsi" w:eastAsia="Times New Roman" w:hAnsiTheme="minorHAnsi" w:cstheme="minorHAnsi"/>
                <w:bCs/>
                <w:color w:val="000000" w:themeColor="text1"/>
                <w:sz w:val="18"/>
                <w:szCs w:val="18"/>
                <w:lang w:eastAsia="hr-HR"/>
              </w:rPr>
            </w:pPr>
            <w:r w:rsidRPr="001B4CA2">
              <w:rPr>
                <w:rFonts w:asciiTheme="minorHAnsi" w:eastAsia="Times New Roman" w:hAnsiTheme="minorHAnsi" w:cstheme="minorHAnsi"/>
                <w:bCs/>
                <w:color w:val="000000" w:themeColor="text1"/>
                <w:sz w:val="18"/>
                <w:szCs w:val="18"/>
                <w:lang w:eastAsia="hr-HR"/>
              </w:rPr>
              <w:t>318</w:t>
            </w:r>
          </w:p>
        </w:tc>
        <w:tc>
          <w:tcPr>
            <w:tcW w:w="934" w:type="dxa"/>
            <w:shd w:val="clear" w:color="auto" w:fill="auto"/>
            <w:noWrap/>
            <w:vAlign w:val="center"/>
          </w:tcPr>
          <w:p w14:paraId="2E29FD11"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68%</w:t>
            </w:r>
          </w:p>
        </w:tc>
        <w:tc>
          <w:tcPr>
            <w:tcW w:w="934" w:type="dxa"/>
            <w:shd w:val="clear" w:color="auto" w:fill="auto"/>
            <w:noWrap/>
            <w:vAlign w:val="center"/>
          </w:tcPr>
          <w:p w14:paraId="1BDE4A4C"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109</w:t>
            </w:r>
          </w:p>
        </w:tc>
        <w:tc>
          <w:tcPr>
            <w:tcW w:w="934" w:type="dxa"/>
            <w:shd w:val="clear" w:color="auto" w:fill="auto"/>
            <w:noWrap/>
            <w:vAlign w:val="center"/>
          </w:tcPr>
          <w:p w14:paraId="39D50646"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23%</w:t>
            </w:r>
          </w:p>
        </w:tc>
        <w:tc>
          <w:tcPr>
            <w:tcW w:w="934" w:type="dxa"/>
            <w:shd w:val="clear" w:color="auto" w:fill="auto"/>
            <w:noWrap/>
            <w:vAlign w:val="center"/>
          </w:tcPr>
          <w:p w14:paraId="3C5E7BE7"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40</w:t>
            </w:r>
          </w:p>
        </w:tc>
        <w:tc>
          <w:tcPr>
            <w:tcW w:w="980" w:type="dxa"/>
            <w:shd w:val="clear" w:color="auto" w:fill="auto"/>
            <w:noWrap/>
            <w:vAlign w:val="center"/>
          </w:tcPr>
          <w:p w14:paraId="0FC429E8"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9%</w:t>
            </w:r>
          </w:p>
        </w:tc>
      </w:tr>
    </w:tbl>
    <w:p w14:paraId="53BF949A" w14:textId="77777777" w:rsidR="00671B63" w:rsidRPr="001B4CA2" w:rsidRDefault="00671B63" w:rsidP="00671B63">
      <w:pPr>
        <w:rPr>
          <w:szCs w:val="22"/>
        </w:rPr>
      </w:pPr>
    </w:p>
    <w:p w14:paraId="6AB63672" w14:textId="5197F923" w:rsidR="00671B63" w:rsidRPr="001B4CA2" w:rsidRDefault="00671B63" w:rsidP="00671B63">
      <w:r w:rsidRPr="001B4CA2">
        <w:t xml:space="preserve">  </w:t>
      </w:r>
    </w:p>
    <w:p w14:paraId="51001547" w14:textId="77777777" w:rsidR="00773E87" w:rsidRPr="001B4CA2" w:rsidRDefault="00773E87" w:rsidP="00773E87">
      <w:pPr>
        <w:ind w:firstLine="708"/>
      </w:pPr>
      <w:r w:rsidRPr="001B4CA2">
        <w:t>Trgovački su sudovi u 2022. godini u parnicama u kojima je zastupalo državno odvjetništvo donijeli ukupno 488 odluka, što je u odnosu na 2021. godinu smanjenje za 13,23 %. Od ukupnog broja sudskih odluka 95,69 % odnosi se na presude/rješenja, a 4,30 % na sudske nagodbe.</w:t>
      </w:r>
    </w:p>
    <w:p w14:paraId="0B3D1AD0" w14:textId="77777777" w:rsidR="00773E87" w:rsidRPr="001B4CA2" w:rsidRDefault="00773E87" w:rsidP="00773E87"/>
    <w:p w14:paraId="423A651F" w14:textId="77A1F80F" w:rsidR="00773E87" w:rsidRPr="001B4CA2" w:rsidRDefault="00773E87" w:rsidP="00773E87">
      <w:pPr>
        <w:ind w:firstLine="708"/>
      </w:pPr>
      <w:r w:rsidRPr="001B4CA2">
        <w:t>Od ukupno 488 sudskih odluka 68 % doneseno je u korist Republike Hrvatske zastupane po državnom odvjetništvu, a 23 % sporova izgubljeno je u cijelosti. Državno odvjetništvo djelomično je uspjelo u zastupanju u 9 % predmeta. Ovdje moramo istaknuti da je postotak "dobiven u cijelosti", "izgubljen u cijelosti" i "djelomično dobiven/izgubljen" izračunat u odnosu na broj donesenih presuda/rješenja, što znači da nisu uračunate nagodbe. Također, vezano za uspješnost u zastupanju treba ista</w:t>
      </w:r>
      <w:r w:rsidR="005D6447">
        <w:t>knut</w:t>
      </w:r>
      <w:r w:rsidRPr="001B4CA2">
        <w:t xml:space="preserve">i da se u njemu ne broje predmeti u kojima državno odvjetništvo zastupa Republiku Hrvatsku kao </w:t>
      </w:r>
      <w:proofErr w:type="spellStart"/>
      <w:r w:rsidRPr="001B4CA2">
        <w:t>umješača</w:t>
      </w:r>
      <w:proofErr w:type="spellEnd"/>
      <w:r w:rsidRPr="001B4CA2">
        <w:t>.</w:t>
      </w:r>
    </w:p>
    <w:p w14:paraId="55461BA5" w14:textId="77777777" w:rsidR="00773E87" w:rsidRPr="001B4CA2" w:rsidRDefault="00773E87" w:rsidP="00773E87"/>
    <w:p w14:paraId="7D9F6A6B" w14:textId="045D6532" w:rsidR="00773E87" w:rsidRPr="001B4CA2" w:rsidRDefault="00773E87" w:rsidP="00773E87">
      <w:pPr>
        <w:ind w:firstLine="708"/>
      </w:pPr>
      <w:r w:rsidRPr="001B4CA2">
        <w:t>Promatrajući petogodišnje razdoblje</w:t>
      </w:r>
      <w:r w:rsidR="005D6447">
        <w:t>,</w:t>
      </w:r>
      <w:r w:rsidRPr="001B4CA2">
        <w:t xml:space="preserve"> može se primijetiti da je u izvještajnom razdoblju 2022. godine došlo do povećanja postotka dobivenih parnica u korist Republike Hrvatske, odnosno smanjenja broja izgubljenih sporova</w:t>
      </w:r>
      <w:r w:rsidR="005D6447">
        <w:t>,</w:t>
      </w:r>
      <w:r w:rsidRPr="001B4CA2">
        <w:t xml:space="preserve"> što je rezultat kvalitetnog i uspješnog zastupanja Republike Hrvatske od strane državnog odvjetništva. Postotak dobivenih parnica povećan je za 9,6 %, a postotak izgubljenih parnica smanjen je za 28 % u usporedbi s </w:t>
      </w:r>
      <w:r w:rsidR="0020162B" w:rsidRPr="001B4CA2">
        <w:t>prethodnom</w:t>
      </w:r>
      <w:r w:rsidR="005D6447">
        <w:t>,</w:t>
      </w:r>
      <w:r w:rsidRPr="001B4CA2">
        <w:t xml:space="preserve"> 2021. godinom.</w:t>
      </w:r>
    </w:p>
    <w:p w14:paraId="45338D4C" w14:textId="77777777" w:rsidR="00671B63" w:rsidRPr="001B4CA2" w:rsidRDefault="00671B63" w:rsidP="00671B63">
      <w:pPr>
        <w:rPr>
          <w:szCs w:val="22"/>
        </w:rPr>
      </w:pPr>
    </w:p>
    <w:p w14:paraId="20FD88F0" w14:textId="616FB824" w:rsidR="00671B63" w:rsidRPr="001B4CA2" w:rsidRDefault="00671B63" w:rsidP="00671B63">
      <w:pPr>
        <w:pStyle w:val="Odlomakpopisa"/>
        <w:numPr>
          <w:ilvl w:val="0"/>
          <w:numId w:val="44"/>
        </w:numPr>
        <w:jc w:val="left"/>
        <w:rPr>
          <w:rFonts w:asciiTheme="minorHAnsi" w:hAnsiTheme="minorHAnsi" w:cstheme="minorBidi"/>
          <w:i/>
          <w:color w:val="FF0000"/>
          <w:szCs w:val="22"/>
        </w:rPr>
      </w:pPr>
      <w:r w:rsidRPr="001B4CA2">
        <w:rPr>
          <w:rFonts w:asciiTheme="minorHAnsi" w:hAnsiTheme="minorHAnsi" w:cstheme="minorBidi"/>
          <w:i/>
          <w:szCs w:val="22"/>
        </w:rPr>
        <w:lastRenderedPageBreak/>
        <w:t>Uspjeh u parnicama pred trgovačkim sudovima 2018. – 2022. (prema vrijednosti spora)</w:t>
      </w:r>
    </w:p>
    <w:tbl>
      <w:tblPr>
        <w:tblW w:w="46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318"/>
        <w:gridCol w:w="1320"/>
        <w:gridCol w:w="1319"/>
        <w:gridCol w:w="1319"/>
        <w:gridCol w:w="1319"/>
        <w:gridCol w:w="1126"/>
      </w:tblGrid>
      <w:tr w:rsidR="00671B63" w:rsidRPr="001B4CA2" w14:paraId="219C7ACE" w14:textId="77777777" w:rsidTr="00671B63">
        <w:trPr>
          <w:trHeight w:val="527"/>
          <w:jc w:val="center"/>
        </w:trPr>
        <w:tc>
          <w:tcPr>
            <w:tcW w:w="980" w:type="dxa"/>
            <w:vMerge w:val="restart"/>
            <w:shd w:val="clear" w:color="auto" w:fill="99CCFF"/>
            <w:noWrap/>
            <w:vAlign w:val="center"/>
            <w:hideMark/>
          </w:tcPr>
          <w:p w14:paraId="397B2519"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2638" w:type="dxa"/>
            <w:gridSpan w:val="2"/>
            <w:vMerge w:val="restart"/>
            <w:shd w:val="clear" w:color="auto" w:fill="99CCFF"/>
            <w:vAlign w:val="center"/>
            <w:hideMark/>
          </w:tcPr>
          <w:p w14:paraId="444AF59E"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Sudske odluke</w:t>
            </w:r>
          </w:p>
        </w:tc>
        <w:tc>
          <w:tcPr>
            <w:tcW w:w="5083" w:type="dxa"/>
            <w:gridSpan w:val="4"/>
            <w:vMerge w:val="restart"/>
            <w:shd w:val="clear" w:color="auto" w:fill="99CCFF"/>
            <w:noWrap/>
            <w:vAlign w:val="center"/>
            <w:hideMark/>
          </w:tcPr>
          <w:p w14:paraId="0ABD7775"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Uspjeh prema vrijednosti spora-</w:t>
            </w:r>
            <w:r w:rsidRPr="001B4CA2">
              <w:rPr>
                <w:rFonts w:asciiTheme="minorHAnsi" w:hAnsiTheme="minorHAnsi" w:cstheme="minorHAnsi"/>
                <w:sz w:val="18"/>
                <w:szCs w:val="18"/>
              </w:rPr>
              <w:t xml:space="preserve"> </w:t>
            </w:r>
            <w:r w:rsidRPr="001B4CA2">
              <w:rPr>
                <w:rFonts w:asciiTheme="minorHAnsi" w:eastAsia="Times New Roman" w:hAnsiTheme="minorHAnsi" w:cstheme="minorHAnsi"/>
                <w:b/>
                <w:bCs/>
                <w:sz w:val="18"/>
                <w:szCs w:val="18"/>
                <w:lang w:eastAsia="hr-HR"/>
              </w:rPr>
              <w:t>presude/rješenja/sudske nagodbe</w:t>
            </w:r>
          </w:p>
        </w:tc>
      </w:tr>
      <w:tr w:rsidR="00671B63" w:rsidRPr="001B4CA2" w14:paraId="3BDB566F" w14:textId="77777777" w:rsidTr="00671B63">
        <w:trPr>
          <w:trHeight w:val="517"/>
          <w:jc w:val="center"/>
        </w:trPr>
        <w:tc>
          <w:tcPr>
            <w:tcW w:w="980" w:type="dxa"/>
            <w:vMerge/>
            <w:shd w:val="clear" w:color="auto" w:fill="99CCFF"/>
            <w:vAlign w:val="center"/>
            <w:hideMark/>
          </w:tcPr>
          <w:p w14:paraId="0B1FE643"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p>
        </w:tc>
        <w:tc>
          <w:tcPr>
            <w:tcW w:w="2638" w:type="dxa"/>
            <w:gridSpan w:val="2"/>
            <w:vMerge/>
            <w:shd w:val="clear" w:color="auto" w:fill="99CCFF"/>
            <w:vAlign w:val="center"/>
            <w:hideMark/>
          </w:tcPr>
          <w:p w14:paraId="61D15F5F"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p>
        </w:tc>
        <w:tc>
          <w:tcPr>
            <w:tcW w:w="5083" w:type="dxa"/>
            <w:gridSpan w:val="4"/>
            <w:vMerge/>
            <w:shd w:val="clear" w:color="auto" w:fill="99CCFF"/>
            <w:vAlign w:val="center"/>
            <w:hideMark/>
          </w:tcPr>
          <w:p w14:paraId="3844A0D8"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p>
        </w:tc>
      </w:tr>
      <w:tr w:rsidR="00671B63" w:rsidRPr="001B4CA2" w14:paraId="0F855C89" w14:textId="77777777" w:rsidTr="00671B63">
        <w:trPr>
          <w:cantSplit/>
          <w:trHeight w:val="1723"/>
          <w:jc w:val="center"/>
        </w:trPr>
        <w:tc>
          <w:tcPr>
            <w:tcW w:w="980" w:type="dxa"/>
            <w:vMerge/>
            <w:shd w:val="clear" w:color="auto" w:fill="99CCFF"/>
            <w:vAlign w:val="center"/>
            <w:hideMark/>
          </w:tcPr>
          <w:p w14:paraId="688FC39A" w14:textId="77777777" w:rsidR="00671B63" w:rsidRPr="001B4CA2" w:rsidRDefault="00671B63" w:rsidP="00671B63">
            <w:pPr>
              <w:jc w:val="center"/>
              <w:rPr>
                <w:rFonts w:asciiTheme="minorHAnsi" w:eastAsia="Times New Roman" w:hAnsiTheme="minorHAnsi" w:cstheme="minorHAnsi"/>
                <w:b/>
                <w:bCs/>
                <w:color w:val="000000"/>
                <w:sz w:val="18"/>
                <w:szCs w:val="18"/>
                <w:lang w:eastAsia="hr-HR"/>
              </w:rPr>
            </w:pPr>
          </w:p>
        </w:tc>
        <w:tc>
          <w:tcPr>
            <w:tcW w:w="1318" w:type="dxa"/>
            <w:shd w:val="clear" w:color="auto" w:fill="99CCFF"/>
            <w:textDirection w:val="btLr"/>
            <w:vAlign w:val="center"/>
          </w:tcPr>
          <w:p w14:paraId="6E4FDEA2" w14:textId="2598F850" w:rsidR="00671B63" w:rsidRPr="001B4CA2" w:rsidRDefault="00671B63" w:rsidP="00671B63">
            <w:pPr>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Presude/ rješenja</w:t>
            </w:r>
            <w:r w:rsidR="001B4CA2">
              <w:rPr>
                <w:rFonts w:asciiTheme="minorHAnsi" w:eastAsia="Times New Roman" w:hAnsiTheme="minorHAnsi" w:cstheme="minorHAnsi"/>
                <w:b/>
                <w:bCs/>
                <w:color w:val="000000"/>
                <w:sz w:val="18"/>
                <w:szCs w:val="18"/>
                <w:lang w:eastAsia="hr-HR"/>
              </w:rPr>
              <w:t xml:space="preserve"> </w:t>
            </w:r>
            <w:r w:rsidRPr="001B4CA2">
              <w:rPr>
                <w:rFonts w:asciiTheme="minorHAnsi" w:eastAsia="Times New Roman" w:hAnsiTheme="minorHAnsi" w:cstheme="minorHAnsi"/>
                <w:b/>
                <w:bCs/>
                <w:color w:val="000000"/>
                <w:sz w:val="18"/>
                <w:szCs w:val="18"/>
                <w:lang w:eastAsia="hr-HR"/>
              </w:rPr>
              <w:t>(broj)</w:t>
            </w:r>
          </w:p>
        </w:tc>
        <w:tc>
          <w:tcPr>
            <w:tcW w:w="1320" w:type="dxa"/>
            <w:shd w:val="clear" w:color="auto" w:fill="99CCFF"/>
            <w:textDirection w:val="btLr"/>
            <w:vAlign w:val="center"/>
          </w:tcPr>
          <w:p w14:paraId="091CD814" w14:textId="77777777" w:rsidR="00671B63" w:rsidRPr="001B4CA2" w:rsidRDefault="00671B63" w:rsidP="00671B63">
            <w:pPr>
              <w:ind w:right="113"/>
              <w:jc w:val="left"/>
              <w:rPr>
                <w:rFonts w:asciiTheme="minorHAnsi" w:eastAsia="Times New Roman" w:hAnsiTheme="minorHAnsi" w:cstheme="minorHAnsi"/>
                <w:b/>
                <w:sz w:val="18"/>
                <w:szCs w:val="18"/>
              </w:rPr>
            </w:pPr>
            <w:r w:rsidRPr="001B4CA2">
              <w:rPr>
                <w:rFonts w:asciiTheme="minorHAnsi" w:eastAsia="Times New Roman" w:hAnsiTheme="minorHAnsi" w:cstheme="minorHAnsi"/>
                <w:b/>
                <w:sz w:val="18"/>
                <w:szCs w:val="18"/>
                <w:lang w:eastAsia="hr-HR"/>
              </w:rPr>
              <w:t>Sudska nagodba (broj)</w:t>
            </w:r>
          </w:p>
        </w:tc>
        <w:tc>
          <w:tcPr>
            <w:tcW w:w="1319" w:type="dxa"/>
            <w:shd w:val="clear" w:color="auto" w:fill="99CCFF"/>
            <w:textDirection w:val="btLr"/>
            <w:vAlign w:val="center"/>
            <w:hideMark/>
          </w:tcPr>
          <w:p w14:paraId="329A280C" w14:textId="77777777"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Ukupna vrijednost dobivenog</w:t>
            </w:r>
            <w:r w:rsidRPr="001B4CA2">
              <w:rPr>
                <w:rFonts w:asciiTheme="minorHAnsi" w:eastAsia="Times New Roman" w:hAnsiTheme="minorHAnsi" w:cstheme="minorHAnsi"/>
                <w:b/>
                <w:color w:val="000000"/>
                <w:sz w:val="18"/>
                <w:szCs w:val="18"/>
                <w:lang w:eastAsia="hr-HR"/>
              </w:rPr>
              <w:br/>
              <w:t>(u tisućama kuna)</w:t>
            </w:r>
          </w:p>
        </w:tc>
        <w:tc>
          <w:tcPr>
            <w:tcW w:w="1319" w:type="dxa"/>
            <w:shd w:val="clear" w:color="auto" w:fill="99CCFF"/>
            <w:textDirection w:val="btLr"/>
            <w:vAlign w:val="center"/>
            <w:hideMark/>
          </w:tcPr>
          <w:p w14:paraId="5EFF1159" w14:textId="77777777"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Postotak dobivenog  u odnosu na vrijednost</w:t>
            </w:r>
          </w:p>
        </w:tc>
        <w:tc>
          <w:tcPr>
            <w:tcW w:w="1319" w:type="dxa"/>
            <w:shd w:val="clear" w:color="auto" w:fill="99CCFF"/>
            <w:textDirection w:val="btLr"/>
            <w:vAlign w:val="center"/>
            <w:hideMark/>
          </w:tcPr>
          <w:p w14:paraId="7A497DFD" w14:textId="77777777"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Ukupna vrijednost izgubljenog</w:t>
            </w:r>
            <w:r w:rsidRPr="001B4CA2">
              <w:rPr>
                <w:rFonts w:asciiTheme="minorHAnsi" w:eastAsia="Times New Roman" w:hAnsiTheme="minorHAnsi" w:cstheme="minorHAnsi"/>
                <w:b/>
                <w:color w:val="000000"/>
                <w:sz w:val="18"/>
                <w:szCs w:val="18"/>
                <w:lang w:eastAsia="hr-HR"/>
              </w:rPr>
              <w:br/>
              <w:t>(u tisućama kuna)</w:t>
            </w:r>
          </w:p>
        </w:tc>
        <w:tc>
          <w:tcPr>
            <w:tcW w:w="1126" w:type="dxa"/>
            <w:shd w:val="clear" w:color="auto" w:fill="99CCFF"/>
            <w:textDirection w:val="btLr"/>
            <w:vAlign w:val="center"/>
            <w:hideMark/>
          </w:tcPr>
          <w:p w14:paraId="70733A02" w14:textId="1EA4CBAC" w:rsidR="00671B63" w:rsidRPr="001B4CA2" w:rsidRDefault="00671B63" w:rsidP="00671B63">
            <w:pPr>
              <w:jc w:val="left"/>
              <w:rPr>
                <w:rFonts w:asciiTheme="minorHAnsi" w:eastAsia="Times New Roman" w:hAnsiTheme="minorHAnsi" w:cstheme="minorHAnsi"/>
                <w:b/>
                <w:color w:val="000000"/>
                <w:sz w:val="18"/>
                <w:szCs w:val="18"/>
                <w:lang w:eastAsia="hr-HR"/>
              </w:rPr>
            </w:pPr>
            <w:r w:rsidRPr="001B4CA2">
              <w:rPr>
                <w:rFonts w:asciiTheme="minorHAnsi" w:eastAsia="Times New Roman" w:hAnsiTheme="minorHAnsi" w:cstheme="minorHAnsi"/>
                <w:b/>
                <w:color w:val="000000"/>
                <w:sz w:val="18"/>
                <w:szCs w:val="18"/>
                <w:lang w:eastAsia="hr-HR"/>
              </w:rPr>
              <w:t>Postotak izgubljenog</w:t>
            </w:r>
            <w:r w:rsidR="001B4CA2">
              <w:rPr>
                <w:rFonts w:asciiTheme="minorHAnsi" w:eastAsia="Times New Roman" w:hAnsiTheme="minorHAnsi" w:cstheme="minorHAnsi"/>
                <w:b/>
                <w:color w:val="000000"/>
                <w:sz w:val="18"/>
                <w:szCs w:val="18"/>
                <w:lang w:eastAsia="hr-HR"/>
              </w:rPr>
              <w:t xml:space="preserve"> </w:t>
            </w:r>
            <w:r w:rsidRPr="001B4CA2">
              <w:rPr>
                <w:rFonts w:asciiTheme="minorHAnsi" w:eastAsia="Times New Roman" w:hAnsiTheme="minorHAnsi" w:cstheme="minorHAnsi"/>
                <w:b/>
                <w:color w:val="000000"/>
                <w:sz w:val="18"/>
                <w:szCs w:val="18"/>
                <w:lang w:eastAsia="hr-HR"/>
              </w:rPr>
              <w:t>u odnosu na vrijednost</w:t>
            </w:r>
          </w:p>
        </w:tc>
      </w:tr>
      <w:tr w:rsidR="00671B63" w:rsidRPr="001B4CA2" w14:paraId="4B353B92" w14:textId="77777777" w:rsidTr="00671B63">
        <w:trPr>
          <w:trHeight w:val="454"/>
          <w:jc w:val="center"/>
        </w:trPr>
        <w:tc>
          <w:tcPr>
            <w:tcW w:w="980" w:type="dxa"/>
            <w:shd w:val="clear" w:color="auto" w:fill="auto"/>
            <w:noWrap/>
            <w:vAlign w:val="center"/>
            <w:hideMark/>
          </w:tcPr>
          <w:p w14:paraId="0A3BA65A"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2018.</w:t>
            </w:r>
          </w:p>
        </w:tc>
        <w:tc>
          <w:tcPr>
            <w:tcW w:w="1318" w:type="dxa"/>
            <w:shd w:val="clear" w:color="auto" w:fill="auto"/>
            <w:noWrap/>
            <w:vAlign w:val="center"/>
          </w:tcPr>
          <w:p w14:paraId="2D696F1D"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395</w:t>
            </w:r>
          </w:p>
        </w:tc>
        <w:tc>
          <w:tcPr>
            <w:tcW w:w="1320" w:type="dxa"/>
            <w:shd w:val="clear" w:color="auto" w:fill="auto"/>
            <w:noWrap/>
            <w:vAlign w:val="center"/>
          </w:tcPr>
          <w:p w14:paraId="40D869A7" w14:textId="77777777" w:rsidR="00671B63" w:rsidRPr="001B4CA2" w:rsidRDefault="00671B63" w:rsidP="00671B63">
            <w:pPr>
              <w:jc w:val="center"/>
              <w:rPr>
                <w:rFonts w:eastAsia="Times New Roman"/>
                <w:sz w:val="18"/>
                <w:szCs w:val="18"/>
              </w:rPr>
            </w:pPr>
            <w:r w:rsidRPr="001B4CA2">
              <w:rPr>
                <w:rFonts w:eastAsia="Times New Roman"/>
                <w:sz w:val="18"/>
                <w:szCs w:val="18"/>
                <w:lang w:eastAsia="hr-HR"/>
              </w:rPr>
              <w:t>24</w:t>
            </w:r>
          </w:p>
        </w:tc>
        <w:tc>
          <w:tcPr>
            <w:tcW w:w="1319" w:type="dxa"/>
            <w:shd w:val="clear" w:color="auto" w:fill="auto"/>
            <w:noWrap/>
            <w:vAlign w:val="center"/>
          </w:tcPr>
          <w:p w14:paraId="4959F566"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270.248</w:t>
            </w:r>
          </w:p>
        </w:tc>
        <w:tc>
          <w:tcPr>
            <w:tcW w:w="1319" w:type="dxa"/>
            <w:shd w:val="clear" w:color="auto" w:fill="auto"/>
            <w:noWrap/>
            <w:vAlign w:val="center"/>
          </w:tcPr>
          <w:p w14:paraId="1B2819B5"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69%</w:t>
            </w:r>
          </w:p>
        </w:tc>
        <w:tc>
          <w:tcPr>
            <w:tcW w:w="1319" w:type="dxa"/>
            <w:shd w:val="clear" w:color="auto" w:fill="auto"/>
            <w:noWrap/>
            <w:vAlign w:val="center"/>
          </w:tcPr>
          <w:p w14:paraId="6C6EEB73"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122.031</w:t>
            </w:r>
          </w:p>
        </w:tc>
        <w:tc>
          <w:tcPr>
            <w:tcW w:w="1126" w:type="dxa"/>
            <w:shd w:val="clear" w:color="auto" w:fill="auto"/>
            <w:noWrap/>
            <w:vAlign w:val="center"/>
          </w:tcPr>
          <w:p w14:paraId="764B8B8B"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31%</w:t>
            </w:r>
          </w:p>
        </w:tc>
      </w:tr>
      <w:tr w:rsidR="00671B63" w:rsidRPr="001B4CA2" w14:paraId="2C48C943" w14:textId="77777777" w:rsidTr="00671B63">
        <w:trPr>
          <w:trHeight w:val="454"/>
          <w:jc w:val="center"/>
        </w:trPr>
        <w:tc>
          <w:tcPr>
            <w:tcW w:w="980" w:type="dxa"/>
            <w:shd w:val="clear" w:color="auto" w:fill="auto"/>
            <w:noWrap/>
            <w:vAlign w:val="center"/>
          </w:tcPr>
          <w:p w14:paraId="543B356B"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2019.</w:t>
            </w:r>
          </w:p>
        </w:tc>
        <w:tc>
          <w:tcPr>
            <w:tcW w:w="1318" w:type="dxa"/>
            <w:shd w:val="clear" w:color="auto" w:fill="auto"/>
            <w:noWrap/>
            <w:vAlign w:val="center"/>
          </w:tcPr>
          <w:p w14:paraId="7E7D1A7E"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416</w:t>
            </w:r>
          </w:p>
        </w:tc>
        <w:tc>
          <w:tcPr>
            <w:tcW w:w="1320" w:type="dxa"/>
            <w:shd w:val="clear" w:color="auto" w:fill="auto"/>
            <w:noWrap/>
            <w:vAlign w:val="center"/>
          </w:tcPr>
          <w:p w14:paraId="206E3EB3" w14:textId="77777777" w:rsidR="00671B63" w:rsidRPr="001B4CA2" w:rsidRDefault="00671B63" w:rsidP="00671B63">
            <w:pPr>
              <w:jc w:val="center"/>
              <w:rPr>
                <w:rFonts w:eastAsia="Times New Roman"/>
                <w:sz w:val="18"/>
                <w:szCs w:val="18"/>
                <w:highlight w:val="yellow"/>
              </w:rPr>
            </w:pPr>
            <w:r w:rsidRPr="001B4CA2">
              <w:rPr>
                <w:rFonts w:eastAsia="Times New Roman"/>
                <w:sz w:val="18"/>
                <w:szCs w:val="18"/>
                <w:lang w:eastAsia="hr-HR"/>
              </w:rPr>
              <w:t>37</w:t>
            </w:r>
          </w:p>
        </w:tc>
        <w:tc>
          <w:tcPr>
            <w:tcW w:w="1319" w:type="dxa"/>
            <w:shd w:val="clear" w:color="auto" w:fill="auto"/>
            <w:noWrap/>
            <w:vAlign w:val="center"/>
          </w:tcPr>
          <w:p w14:paraId="4068144C"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267.426</w:t>
            </w:r>
          </w:p>
        </w:tc>
        <w:tc>
          <w:tcPr>
            <w:tcW w:w="1319" w:type="dxa"/>
            <w:shd w:val="clear" w:color="auto" w:fill="auto"/>
            <w:noWrap/>
            <w:vAlign w:val="center"/>
          </w:tcPr>
          <w:p w14:paraId="73DF7515"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64%</w:t>
            </w:r>
          </w:p>
        </w:tc>
        <w:tc>
          <w:tcPr>
            <w:tcW w:w="1319" w:type="dxa"/>
            <w:shd w:val="clear" w:color="auto" w:fill="auto"/>
            <w:noWrap/>
            <w:vAlign w:val="center"/>
          </w:tcPr>
          <w:p w14:paraId="5E9B9FC9"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147.337</w:t>
            </w:r>
          </w:p>
        </w:tc>
        <w:tc>
          <w:tcPr>
            <w:tcW w:w="1126" w:type="dxa"/>
            <w:shd w:val="clear" w:color="auto" w:fill="auto"/>
            <w:noWrap/>
            <w:vAlign w:val="center"/>
          </w:tcPr>
          <w:p w14:paraId="134DD749"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36%</w:t>
            </w:r>
          </w:p>
        </w:tc>
      </w:tr>
      <w:tr w:rsidR="00671B63" w:rsidRPr="001B4CA2" w14:paraId="0B1C8AFD" w14:textId="77777777" w:rsidTr="00671B63">
        <w:trPr>
          <w:trHeight w:val="454"/>
          <w:jc w:val="center"/>
        </w:trPr>
        <w:tc>
          <w:tcPr>
            <w:tcW w:w="980" w:type="dxa"/>
            <w:shd w:val="clear" w:color="auto" w:fill="auto"/>
            <w:noWrap/>
            <w:vAlign w:val="center"/>
          </w:tcPr>
          <w:p w14:paraId="7F5DDC96"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2020.</w:t>
            </w:r>
          </w:p>
        </w:tc>
        <w:tc>
          <w:tcPr>
            <w:tcW w:w="1318" w:type="dxa"/>
            <w:shd w:val="clear" w:color="auto" w:fill="auto"/>
            <w:noWrap/>
            <w:vAlign w:val="center"/>
          </w:tcPr>
          <w:p w14:paraId="4EE4711C" w14:textId="77777777" w:rsidR="00671B63" w:rsidRPr="001B4CA2" w:rsidRDefault="00671B63" w:rsidP="00671B63">
            <w:pPr>
              <w:jc w:val="center"/>
              <w:rPr>
                <w:bCs/>
                <w:color w:val="000000" w:themeColor="text1"/>
                <w:sz w:val="18"/>
                <w:szCs w:val="18"/>
              </w:rPr>
            </w:pPr>
            <w:r w:rsidRPr="001B4CA2">
              <w:rPr>
                <w:bCs/>
                <w:color w:val="000000" w:themeColor="text1"/>
                <w:sz w:val="18"/>
                <w:szCs w:val="18"/>
              </w:rPr>
              <w:t>418</w:t>
            </w:r>
          </w:p>
        </w:tc>
        <w:tc>
          <w:tcPr>
            <w:tcW w:w="1320" w:type="dxa"/>
            <w:shd w:val="clear" w:color="auto" w:fill="auto"/>
            <w:noWrap/>
            <w:vAlign w:val="center"/>
          </w:tcPr>
          <w:p w14:paraId="2CD41A83" w14:textId="77777777" w:rsidR="00671B63" w:rsidRPr="001B4CA2" w:rsidRDefault="00671B63" w:rsidP="00671B63">
            <w:pPr>
              <w:jc w:val="center"/>
              <w:rPr>
                <w:sz w:val="18"/>
                <w:szCs w:val="18"/>
              </w:rPr>
            </w:pPr>
            <w:r w:rsidRPr="001B4CA2">
              <w:rPr>
                <w:sz w:val="18"/>
                <w:szCs w:val="18"/>
              </w:rPr>
              <w:t>40</w:t>
            </w:r>
          </w:p>
        </w:tc>
        <w:tc>
          <w:tcPr>
            <w:tcW w:w="1319" w:type="dxa"/>
            <w:shd w:val="clear" w:color="auto" w:fill="auto"/>
            <w:noWrap/>
            <w:vAlign w:val="center"/>
          </w:tcPr>
          <w:p w14:paraId="6009D72C" w14:textId="77777777" w:rsidR="00671B63" w:rsidRPr="001B4CA2" w:rsidRDefault="00671B63" w:rsidP="00671B63">
            <w:pPr>
              <w:jc w:val="center"/>
              <w:rPr>
                <w:sz w:val="18"/>
                <w:szCs w:val="18"/>
              </w:rPr>
            </w:pPr>
            <w:r w:rsidRPr="001B4CA2">
              <w:rPr>
                <w:sz w:val="18"/>
                <w:szCs w:val="18"/>
              </w:rPr>
              <w:t>2.858.470</w:t>
            </w:r>
          </w:p>
        </w:tc>
        <w:tc>
          <w:tcPr>
            <w:tcW w:w="1319" w:type="dxa"/>
            <w:shd w:val="clear" w:color="auto" w:fill="auto"/>
            <w:noWrap/>
            <w:vAlign w:val="center"/>
          </w:tcPr>
          <w:p w14:paraId="7490AD0A" w14:textId="77777777" w:rsidR="00671B63" w:rsidRPr="001B4CA2" w:rsidRDefault="00671B63" w:rsidP="00671B63">
            <w:pPr>
              <w:jc w:val="center"/>
              <w:rPr>
                <w:sz w:val="18"/>
                <w:szCs w:val="18"/>
              </w:rPr>
            </w:pPr>
            <w:r w:rsidRPr="001B4CA2">
              <w:rPr>
                <w:sz w:val="18"/>
                <w:szCs w:val="18"/>
              </w:rPr>
              <w:t>87%</w:t>
            </w:r>
          </w:p>
        </w:tc>
        <w:tc>
          <w:tcPr>
            <w:tcW w:w="1319" w:type="dxa"/>
            <w:shd w:val="clear" w:color="auto" w:fill="auto"/>
            <w:noWrap/>
            <w:vAlign w:val="center"/>
          </w:tcPr>
          <w:p w14:paraId="6D4B54B6"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422.756</w:t>
            </w:r>
          </w:p>
        </w:tc>
        <w:tc>
          <w:tcPr>
            <w:tcW w:w="1126" w:type="dxa"/>
            <w:shd w:val="clear" w:color="auto" w:fill="auto"/>
            <w:noWrap/>
            <w:vAlign w:val="center"/>
          </w:tcPr>
          <w:p w14:paraId="7DFDC286"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13%</w:t>
            </w:r>
          </w:p>
        </w:tc>
      </w:tr>
      <w:tr w:rsidR="00671B63" w:rsidRPr="001B4CA2" w14:paraId="66580FBC" w14:textId="77777777" w:rsidTr="00671B63">
        <w:trPr>
          <w:trHeight w:val="454"/>
          <w:jc w:val="center"/>
        </w:trPr>
        <w:tc>
          <w:tcPr>
            <w:tcW w:w="980" w:type="dxa"/>
            <w:shd w:val="clear" w:color="auto" w:fill="auto"/>
            <w:noWrap/>
            <w:vAlign w:val="center"/>
          </w:tcPr>
          <w:p w14:paraId="610CCC92"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2021.</w:t>
            </w:r>
          </w:p>
        </w:tc>
        <w:tc>
          <w:tcPr>
            <w:tcW w:w="1318" w:type="dxa"/>
            <w:shd w:val="clear" w:color="auto" w:fill="auto"/>
            <w:noWrap/>
            <w:vAlign w:val="center"/>
          </w:tcPr>
          <w:p w14:paraId="4310F3E0" w14:textId="77777777" w:rsidR="00671B63" w:rsidRPr="001B4CA2" w:rsidRDefault="00671B63" w:rsidP="00671B63">
            <w:pPr>
              <w:jc w:val="center"/>
              <w:rPr>
                <w:bCs/>
                <w:color w:val="000000" w:themeColor="text1"/>
                <w:sz w:val="18"/>
                <w:szCs w:val="18"/>
              </w:rPr>
            </w:pPr>
            <w:r w:rsidRPr="001B4CA2">
              <w:rPr>
                <w:bCs/>
                <w:color w:val="000000" w:themeColor="text1"/>
                <w:sz w:val="18"/>
                <w:szCs w:val="18"/>
              </w:rPr>
              <w:t>536</w:t>
            </w:r>
          </w:p>
        </w:tc>
        <w:tc>
          <w:tcPr>
            <w:tcW w:w="1320" w:type="dxa"/>
            <w:shd w:val="clear" w:color="auto" w:fill="auto"/>
            <w:noWrap/>
            <w:vAlign w:val="center"/>
          </w:tcPr>
          <w:p w14:paraId="7C68B55C" w14:textId="77777777" w:rsidR="00671B63" w:rsidRPr="001B4CA2" w:rsidRDefault="00671B63" w:rsidP="00671B63">
            <w:pPr>
              <w:jc w:val="center"/>
              <w:rPr>
                <w:sz w:val="18"/>
                <w:szCs w:val="18"/>
              </w:rPr>
            </w:pPr>
            <w:r w:rsidRPr="001B4CA2">
              <w:rPr>
                <w:sz w:val="18"/>
                <w:szCs w:val="18"/>
              </w:rPr>
              <w:t>31</w:t>
            </w:r>
          </w:p>
        </w:tc>
        <w:tc>
          <w:tcPr>
            <w:tcW w:w="1319" w:type="dxa"/>
            <w:shd w:val="clear" w:color="auto" w:fill="auto"/>
            <w:noWrap/>
            <w:vAlign w:val="center"/>
          </w:tcPr>
          <w:p w14:paraId="58027438" w14:textId="77777777" w:rsidR="00671B63" w:rsidRPr="001B4CA2" w:rsidRDefault="00671B63" w:rsidP="00671B63">
            <w:pPr>
              <w:jc w:val="center"/>
              <w:rPr>
                <w:sz w:val="18"/>
                <w:szCs w:val="18"/>
              </w:rPr>
            </w:pPr>
            <w:r w:rsidRPr="001B4CA2">
              <w:rPr>
                <w:sz w:val="18"/>
                <w:szCs w:val="18"/>
              </w:rPr>
              <w:t>3.397.357</w:t>
            </w:r>
          </w:p>
        </w:tc>
        <w:tc>
          <w:tcPr>
            <w:tcW w:w="1319" w:type="dxa"/>
            <w:shd w:val="clear" w:color="auto" w:fill="auto"/>
            <w:noWrap/>
            <w:vAlign w:val="center"/>
          </w:tcPr>
          <w:p w14:paraId="71317476" w14:textId="77777777" w:rsidR="00671B63" w:rsidRPr="001B4CA2" w:rsidRDefault="00671B63" w:rsidP="00671B63">
            <w:pPr>
              <w:jc w:val="center"/>
              <w:rPr>
                <w:sz w:val="18"/>
                <w:szCs w:val="18"/>
              </w:rPr>
            </w:pPr>
            <w:r w:rsidRPr="001B4CA2">
              <w:rPr>
                <w:sz w:val="18"/>
                <w:szCs w:val="18"/>
              </w:rPr>
              <w:t>90%</w:t>
            </w:r>
          </w:p>
        </w:tc>
        <w:tc>
          <w:tcPr>
            <w:tcW w:w="1319" w:type="dxa"/>
            <w:shd w:val="clear" w:color="auto" w:fill="auto"/>
            <w:noWrap/>
            <w:vAlign w:val="center"/>
          </w:tcPr>
          <w:p w14:paraId="114DD732"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371.426</w:t>
            </w:r>
          </w:p>
        </w:tc>
        <w:tc>
          <w:tcPr>
            <w:tcW w:w="1126" w:type="dxa"/>
            <w:shd w:val="clear" w:color="auto" w:fill="auto"/>
            <w:noWrap/>
            <w:vAlign w:val="center"/>
          </w:tcPr>
          <w:p w14:paraId="7245443F"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10%</w:t>
            </w:r>
          </w:p>
        </w:tc>
      </w:tr>
      <w:tr w:rsidR="00671B63" w:rsidRPr="001B4CA2" w14:paraId="4F78056E" w14:textId="77777777" w:rsidTr="00671B63">
        <w:trPr>
          <w:trHeight w:val="454"/>
          <w:jc w:val="center"/>
        </w:trPr>
        <w:tc>
          <w:tcPr>
            <w:tcW w:w="980" w:type="dxa"/>
            <w:shd w:val="clear" w:color="auto" w:fill="auto"/>
            <w:noWrap/>
            <w:vAlign w:val="center"/>
          </w:tcPr>
          <w:p w14:paraId="5B607A09"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2022.</w:t>
            </w:r>
          </w:p>
        </w:tc>
        <w:tc>
          <w:tcPr>
            <w:tcW w:w="1318" w:type="dxa"/>
            <w:shd w:val="clear" w:color="auto" w:fill="auto"/>
            <w:noWrap/>
            <w:vAlign w:val="center"/>
          </w:tcPr>
          <w:p w14:paraId="1F3683D6" w14:textId="77777777" w:rsidR="00671B63" w:rsidRPr="001B4CA2" w:rsidRDefault="00671B63" w:rsidP="00671B63">
            <w:pPr>
              <w:jc w:val="center"/>
              <w:rPr>
                <w:bCs/>
                <w:sz w:val="18"/>
                <w:szCs w:val="18"/>
              </w:rPr>
            </w:pPr>
            <w:r w:rsidRPr="001B4CA2">
              <w:rPr>
                <w:bCs/>
                <w:sz w:val="18"/>
                <w:szCs w:val="18"/>
              </w:rPr>
              <w:t>467</w:t>
            </w:r>
          </w:p>
        </w:tc>
        <w:tc>
          <w:tcPr>
            <w:tcW w:w="1320" w:type="dxa"/>
            <w:shd w:val="clear" w:color="auto" w:fill="auto"/>
            <w:noWrap/>
            <w:vAlign w:val="center"/>
          </w:tcPr>
          <w:p w14:paraId="096C770C" w14:textId="77777777" w:rsidR="00671B63" w:rsidRPr="001B4CA2" w:rsidRDefault="00671B63" w:rsidP="00671B63">
            <w:pPr>
              <w:jc w:val="center"/>
              <w:rPr>
                <w:sz w:val="18"/>
                <w:szCs w:val="18"/>
              </w:rPr>
            </w:pPr>
            <w:r w:rsidRPr="001B4CA2">
              <w:rPr>
                <w:sz w:val="18"/>
                <w:szCs w:val="18"/>
              </w:rPr>
              <w:t>21</w:t>
            </w:r>
          </w:p>
        </w:tc>
        <w:tc>
          <w:tcPr>
            <w:tcW w:w="1319" w:type="dxa"/>
            <w:shd w:val="clear" w:color="auto" w:fill="auto"/>
            <w:noWrap/>
            <w:vAlign w:val="center"/>
          </w:tcPr>
          <w:p w14:paraId="211FB3B8" w14:textId="77777777" w:rsidR="00671B63" w:rsidRPr="001B4CA2" w:rsidRDefault="00671B63" w:rsidP="00671B63">
            <w:pPr>
              <w:jc w:val="center"/>
              <w:rPr>
                <w:sz w:val="18"/>
                <w:szCs w:val="18"/>
              </w:rPr>
            </w:pPr>
            <w:r w:rsidRPr="001B4CA2">
              <w:rPr>
                <w:sz w:val="18"/>
                <w:szCs w:val="18"/>
              </w:rPr>
              <w:t>1.297.667</w:t>
            </w:r>
          </w:p>
        </w:tc>
        <w:tc>
          <w:tcPr>
            <w:tcW w:w="1319" w:type="dxa"/>
            <w:shd w:val="clear" w:color="auto" w:fill="auto"/>
            <w:noWrap/>
            <w:vAlign w:val="center"/>
          </w:tcPr>
          <w:p w14:paraId="583E61B3" w14:textId="77777777" w:rsidR="00671B63" w:rsidRPr="001B4CA2" w:rsidRDefault="00671B63" w:rsidP="00671B63">
            <w:pPr>
              <w:jc w:val="center"/>
              <w:rPr>
                <w:sz w:val="18"/>
                <w:szCs w:val="18"/>
              </w:rPr>
            </w:pPr>
            <w:r w:rsidRPr="001B4CA2">
              <w:rPr>
                <w:sz w:val="18"/>
                <w:szCs w:val="18"/>
              </w:rPr>
              <w:t>85%</w:t>
            </w:r>
          </w:p>
        </w:tc>
        <w:tc>
          <w:tcPr>
            <w:tcW w:w="1319" w:type="dxa"/>
            <w:shd w:val="clear" w:color="auto" w:fill="auto"/>
            <w:noWrap/>
            <w:vAlign w:val="center"/>
          </w:tcPr>
          <w:p w14:paraId="6C36F148"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220.594</w:t>
            </w:r>
          </w:p>
        </w:tc>
        <w:tc>
          <w:tcPr>
            <w:tcW w:w="1126" w:type="dxa"/>
            <w:shd w:val="clear" w:color="auto" w:fill="auto"/>
            <w:noWrap/>
            <w:vAlign w:val="center"/>
          </w:tcPr>
          <w:p w14:paraId="12D34E85"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15%</w:t>
            </w:r>
          </w:p>
        </w:tc>
      </w:tr>
    </w:tbl>
    <w:p w14:paraId="4A7520E1" w14:textId="77777777" w:rsidR="00671B63" w:rsidRPr="001B4CA2" w:rsidRDefault="00671B63" w:rsidP="00671B63">
      <w:pPr>
        <w:rPr>
          <w:sz w:val="20"/>
          <w:szCs w:val="20"/>
        </w:rPr>
      </w:pPr>
    </w:p>
    <w:p w14:paraId="35ADAF78" w14:textId="77777777" w:rsidR="00671B63" w:rsidRPr="001B4CA2" w:rsidRDefault="00671B63" w:rsidP="00671B63">
      <w:pPr>
        <w:rPr>
          <w:sz w:val="20"/>
          <w:szCs w:val="20"/>
        </w:rPr>
      </w:pPr>
    </w:p>
    <w:p w14:paraId="63CEF1F2" w14:textId="65E99398" w:rsidR="00773E87" w:rsidRPr="001B4CA2" w:rsidRDefault="00773E87" w:rsidP="00773E87">
      <w:pPr>
        <w:ind w:firstLine="708"/>
      </w:pPr>
      <w:r w:rsidRPr="001B4CA2">
        <w:t xml:space="preserve">Iz gornjih tabelarnih podataka proizlazi </w:t>
      </w:r>
      <w:r w:rsidR="00B3106C" w:rsidRPr="001B4CA2">
        <w:t>vrlo</w:t>
      </w:r>
      <w:r w:rsidRPr="001B4CA2">
        <w:t xml:space="preserve"> visoka uspješnost u zastupanju prema vrijednosti spora. U 2022. godini dobiveno je sporova vrijednosti</w:t>
      </w:r>
      <w:r w:rsidR="005D6447">
        <w:t>,</w:t>
      </w:r>
      <w:r w:rsidRPr="001B4CA2">
        <w:t xml:space="preserve"> i to 1.297.667.000,00 </w:t>
      </w:r>
      <w:r w:rsidR="0047537B" w:rsidRPr="001B4CA2">
        <w:t>kn</w:t>
      </w:r>
      <w:r w:rsidR="005D6447">
        <w:t xml:space="preserve"> </w:t>
      </w:r>
      <w:r w:rsidR="0047537B" w:rsidRPr="001B4CA2">
        <w:t>/</w:t>
      </w:r>
      <w:r w:rsidR="001C297A" w:rsidRPr="001B4CA2">
        <w:t xml:space="preserve"> </w:t>
      </w:r>
      <w:r w:rsidR="0047537B" w:rsidRPr="001B4CA2">
        <w:t>172.230.00</w:t>
      </w:r>
      <w:r w:rsidR="00223ABD">
        <w:t>8</w:t>
      </w:r>
      <w:r w:rsidR="0047537B" w:rsidRPr="001B4CA2">
        <w:t>,</w:t>
      </w:r>
      <w:r w:rsidR="00223ABD">
        <w:t>63</w:t>
      </w:r>
      <w:r w:rsidR="0047537B" w:rsidRPr="001B4CA2">
        <w:t xml:space="preserve"> EUR</w:t>
      </w:r>
      <w:r w:rsidRPr="001B4CA2">
        <w:t xml:space="preserve">, odnosno čak 85 %. Napominjemo da je u ovom iznosu dobivenih sporova uračunata i vrijednost </w:t>
      </w:r>
      <w:r w:rsidR="0020162B" w:rsidRPr="001B4CA2">
        <w:t>sklopljenih</w:t>
      </w:r>
      <w:r w:rsidRPr="001B4CA2">
        <w:t xml:space="preserve"> sudskih nagodbi, a predmeti u kojima državno odvjetništvo zastupa kao </w:t>
      </w:r>
      <w:proofErr w:type="spellStart"/>
      <w:r w:rsidRPr="001B4CA2">
        <w:t>umješač</w:t>
      </w:r>
      <w:proofErr w:type="spellEnd"/>
      <w:r w:rsidRPr="001B4CA2">
        <w:t xml:space="preserve"> nisu evidentirani.</w:t>
      </w:r>
    </w:p>
    <w:p w14:paraId="1524B4A6" w14:textId="77777777" w:rsidR="00773E87" w:rsidRPr="001B4CA2" w:rsidRDefault="00773E87" w:rsidP="00773E87"/>
    <w:p w14:paraId="3C32EEB7" w14:textId="0E065FF3" w:rsidR="00773E87" w:rsidRPr="001B4CA2" w:rsidRDefault="00773E87" w:rsidP="00773E87">
      <w:pPr>
        <w:ind w:firstLine="708"/>
      </w:pPr>
      <w:r w:rsidRPr="001B4CA2">
        <w:t>Razlog uspješnosti promatran prema vrijednostima dobivenih</w:t>
      </w:r>
      <w:r w:rsidR="005D6447">
        <w:t>,</w:t>
      </w:r>
      <w:r w:rsidRPr="001B4CA2">
        <w:t xml:space="preserve"> odnosno izgubljenih sporova proizlazi mahom iz donesenih odluka sudova kojima su odbijeni tužbeni zahtjevi u parnicama za naknadu štete u kojima su zahtjevi postavljeni u vrlo visokim iznosima, a što znači da državno odvjetništvo uspješno osporava takve tužbene zahtjeve i sudovi prihvaćaju pravna shvaćanja iz odgovora na tužbu, podnesaka i dokaza koje tijekom postupka sudu prezentira državno odvjetništvo. U toj vrsti predmeta radi se o zahtjevima pravnih osoba, koje svoje zahtjeve temelje na navodnom nepravilnom i nezakonitom radu tijela državne uprave za koje odgovara država, kao i nepravilnom i nezakonitom radu sudova i tijela s javnim ovlastima. Radi se o parnicama koje su nerijetko proizašle iz određenih prethodno vođenih postupaka u kojima je javnopravno tijelo kao stranka izgubilo upravne sporove, odnosno odluke tih tijela sudovi su ocijenili nezakonitima te su odluke poništene. Često upravo iz tih razloga tužitelji u parnicama drže da im nezakonitost utvrđena u okviru </w:t>
      </w:r>
      <w:proofErr w:type="spellStart"/>
      <w:r w:rsidRPr="001B4CA2">
        <w:t>upravnosudskog</w:t>
      </w:r>
      <w:proofErr w:type="spellEnd"/>
      <w:r w:rsidRPr="001B4CA2">
        <w:t xml:space="preserve"> postupka daje osnovu za potraživanja prema državi s osnove naknade štete. Radi se o sve složenijim predmetima koj</w:t>
      </w:r>
      <w:r w:rsidR="005D6447">
        <w:t>i</w:t>
      </w:r>
      <w:r w:rsidRPr="001B4CA2">
        <w:t xml:space="preserve"> se tiču postupanja ne samo državnih tijela već i državnih agencija (FINA, HANFA, Agencija za plaćanja u poljoprivredi, ribarstvu i ruralnom razvoju itd.) koje postupaju u prenesenim im javnim ovlastima i u širem smislu predstavljaju postupanje države. </w:t>
      </w:r>
    </w:p>
    <w:p w14:paraId="08FCB4FB" w14:textId="77777777" w:rsidR="00773E87" w:rsidRPr="001B4CA2" w:rsidRDefault="00773E87" w:rsidP="00773E87">
      <w:pPr>
        <w:ind w:firstLine="708"/>
      </w:pPr>
    </w:p>
    <w:p w14:paraId="61B7B422" w14:textId="49630D6A" w:rsidR="00773E87" w:rsidRPr="001B4CA2" w:rsidRDefault="00773E87" w:rsidP="00773E87">
      <w:pPr>
        <w:ind w:firstLine="708"/>
      </w:pPr>
      <w:r w:rsidRPr="001B4CA2">
        <w:t>No, treba ista</w:t>
      </w:r>
      <w:r w:rsidR="0074687F">
        <w:t>knut</w:t>
      </w:r>
      <w:r w:rsidRPr="001B4CA2">
        <w:t xml:space="preserve">i da uspješnost proizlazi i iz uspješnog zastupanja u parnicama u kojima se ostvaruju </w:t>
      </w:r>
      <w:proofErr w:type="spellStart"/>
      <w:r w:rsidRPr="001B4CA2">
        <w:t>stvarnopravni</w:t>
      </w:r>
      <w:proofErr w:type="spellEnd"/>
      <w:r w:rsidRPr="001B4CA2">
        <w:t xml:space="preserve"> zahtjevi u kojima vrijednost spora predstavljaju tržišne vrijednosti nekretnina koje su predmet sudskog postupka. </w:t>
      </w:r>
      <w:r w:rsidRPr="001B4CA2">
        <w:lastRenderedPageBreak/>
        <w:t xml:space="preserve">Državno odvjetništvo uspješno je zastupalo u predmetima u kojima je osporilo takve, neosnovano postavljene zahtjeve koji se odnose na nekretnine vrijednog građevinskog zemljišta, stanova i poslovnih prostora, poslovnih objekata te kada se u sporu zahtijevalo utvrđenje prava vlasništva države na vrlo vrijednim nekretninama u pretvorbi neprocijenjenog građevinskog zemljišta, stanova i poslovnih prostora, šuma i šumskog zemljišta, poljoprivrednog zemljišta i drugim nekretninama na kojima je država vlasništvo stekla </w:t>
      </w:r>
      <w:r w:rsidRPr="0074687F">
        <w:rPr>
          <w:i/>
          <w:iCs/>
        </w:rPr>
        <w:t>ex lege</w:t>
      </w:r>
      <w:r w:rsidRPr="001B4CA2">
        <w:t xml:space="preserve"> ili se pak zaht</w:t>
      </w:r>
      <w:r w:rsidR="0074687F">
        <w:t>i</w:t>
      </w:r>
      <w:r w:rsidRPr="001B4CA2">
        <w:t>jeva utvrđenje da određene nekretnine predstavljaju opće dobro (pomorsko dobro).</w:t>
      </w:r>
    </w:p>
    <w:p w14:paraId="429C4555" w14:textId="77777777" w:rsidR="00773E87" w:rsidRPr="001B4CA2" w:rsidRDefault="00773E87" w:rsidP="00773E87">
      <w:pPr>
        <w:ind w:firstLine="708"/>
      </w:pPr>
    </w:p>
    <w:p w14:paraId="001C997C" w14:textId="30184DBA" w:rsidR="00773E87" w:rsidRPr="001B4CA2" w:rsidRDefault="00773E87" w:rsidP="00773E87">
      <w:pPr>
        <w:spacing w:after="200"/>
        <w:ind w:firstLine="708"/>
      </w:pPr>
      <w:r w:rsidRPr="001B4CA2">
        <w:t>Također valja istaknuti da je tijekom izvještajnog razdoblja zaprimljen i veći broj predmeta u koj</w:t>
      </w:r>
      <w:r w:rsidR="0020162B" w:rsidRPr="001B4CA2">
        <w:t>i</w:t>
      </w:r>
      <w:r w:rsidRPr="001B4CA2">
        <w:t xml:space="preserve">ma su donesene za državu povoljne sudske odluke u parnicama u kojima </w:t>
      </w:r>
      <w:r w:rsidR="0074687F">
        <w:t xml:space="preserve">je </w:t>
      </w:r>
      <w:r w:rsidRPr="001B4CA2">
        <w:t>državno odvjetništvo u zastupanju Ministarstva prostornoga uređenja, graditeljstva i državne imovine i na temelju inicijative društva Državne nekretnine d.o.o. potraživalo isplate s osnova naknade za bespravno korištenje poslovnih prostora u vlasništvu države. Sudska praksa zauzela je stav da te zahtjeve valja ocjenjivati primjenom odredaba 164. i 165. Zakona o vlasništvu i drugim stvarnim pravima</w:t>
      </w:r>
      <w:r w:rsidR="0074687F">
        <w:t xml:space="preserve"> </w:t>
      </w:r>
      <w:r w:rsidRPr="001B4CA2">
        <w:t xml:space="preserve">time da nije nužno pokretati sudski postupak radi iseljenja i predaje u posjed, već je dovoljno da je korisnik pozvan na predaju nekretnine. Međutim, u ovim predmetima najčešće se sudski postupak dodatno komplicira činjenicom da korisnici poslovnih prostora nerijetko </w:t>
      </w:r>
      <w:proofErr w:type="spellStart"/>
      <w:r w:rsidRPr="001B4CA2">
        <w:t>protutužbenim</w:t>
      </w:r>
      <w:proofErr w:type="spellEnd"/>
      <w:r w:rsidRPr="001B4CA2">
        <w:t xml:space="preserve"> zahtjevima zahtijevaju i isplatu sredstava s osnova izvršenih ulaganja u poslovne prostore pa se parnični postupci vode </w:t>
      </w:r>
      <w:r w:rsidR="0074687F">
        <w:t>u dužem razdoblju</w:t>
      </w:r>
      <w:r w:rsidRPr="001B4CA2">
        <w:t xml:space="preserve">, a nakon čega se nerijetko </w:t>
      </w:r>
      <w:r w:rsidR="0074687F">
        <w:t>događa</w:t>
      </w:r>
      <w:r w:rsidRPr="001B4CA2">
        <w:t xml:space="preserve"> da dužnici, pravne osobe, završe u stečajnom postupku </w:t>
      </w:r>
      <w:r w:rsidR="0074687F">
        <w:t>te</w:t>
      </w:r>
      <w:r w:rsidRPr="001B4CA2">
        <w:t xml:space="preserve"> država nikada ne uspijeva naplatiti svoja potraživanja. Dakle, bilo bi opravdano sklapanje ugovora s korisnicima prostora, jer dugotrajne parnice koje, iako poluče pozitivnu sudsku odluku, na kraju rezultiraju nemogućnošću namirenja potraživanja države i stoga nisu rješenje sustavnog problema neuređenosti osnova korištenja poslovnih prostora. </w:t>
      </w:r>
    </w:p>
    <w:p w14:paraId="6438E816" w14:textId="2F6AAAB1" w:rsidR="00773E87" w:rsidRPr="001B4CA2" w:rsidRDefault="00773E87" w:rsidP="00773E87">
      <w:pPr>
        <w:ind w:firstLine="708"/>
      </w:pPr>
      <w:r w:rsidRPr="001B4CA2">
        <w:t>U 2022. godini ukupna vrijednost izgubljenog iznosila je 220.594.000,00 k</w:t>
      </w:r>
      <w:r w:rsidR="0047537B" w:rsidRPr="001B4CA2">
        <w:t>n</w:t>
      </w:r>
      <w:r w:rsidR="0074687F">
        <w:t xml:space="preserve"> </w:t>
      </w:r>
      <w:r w:rsidR="0047537B" w:rsidRPr="001B4CA2">
        <w:t>/ 29.277.855,20 EUR</w:t>
      </w:r>
      <w:r w:rsidRPr="001B4CA2">
        <w:t>, što u postotku čini samo 15 % ukupne vrijednosti spora.</w:t>
      </w:r>
    </w:p>
    <w:p w14:paraId="762C7D1D" w14:textId="77777777" w:rsidR="00773E87" w:rsidRPr="001B4CA2" w:rsidRDefault="00773E87" w:rsidP="00773E87"/>
    <w:p w14:paraId="23C8CA0E" w14:textId="77777777" w:rsidR="00773E87" w:rsidRPr="001B4CA2" w:rsidRDefault="00773E87" w:rsidP="00773E87">
      <w:pPr>
        <w:spacing w:after="200"/>
        <w:ind w:firstLine="708"/>
      </w:pPr>
      <w:r w:rsidRPr="001B4CA2">
        <w:t>Upravo je pokazatelj uspjeha kroz vrijednosti dobivenih sporova značajan i pokazuje visoku stručnost u zastupanju Republike Hrvatske od strane državnog odvjetništva.</w:t>
      </w:r>
    </w:p>
    <w:p w14:paraId="13CBDC57" w14:textId="77777777" w:rsidR="00671B63" w:rsidRPr="001B4CA2" w:rsidRDefault="00671B63" w:rsidP="00E6050A">
      <w:pPr>
        <w:tabs>
          <w:tab w:val="left" w:pos="993"/>
        </w:tabs>
        <w:rPr>
          <w:sz w:val="20"/>
          <w:szCs w:val="20"/>
        </w:rPr>
      </w:pPr>
    </w:p>
    <w:p w14:paraId="33397DF3" w14:textId="292310B6" w:rsidR="00EC128A" w:rsidRPr="001B4CA2" w:rsidRDefault="006A1678" w:rsidP="00E6050A">
      <w:pPr>
        <w:pStyle w:val="Naslov4"/>
        <w:tabs>
          <w:tab w:val="left" w:pos="851"/>
          <w:tab w:val="left" w:pos="993"/>
        </w:tabs>
        <w:ind w:left="142" w:firstLine="0"/>
        <w:rPr>
          <w:rFonts w:ascii="Arial" w:hAnsi="Arial" w:cs="Arial"/>
        </w:rPr>
      </w:pPr>
      <w:bookmarkStart w:id="94" w:name="_Toc133394351"/>
      <w:r w:rsidRPr="001B4CA2">
        <w:rPr>
          <w:rFonts w:ascii="Arial" w:hAnsi="Arial" w:cs="Arial"/>
        </w:rPr>
        <w:t>Odluke u stečajnim i predstečajnim predmetima</w:t>
      </w:r>
      <w:bookmarkEnd w:id="94"/>
    </w:p>
    <w:p w14:paraId="1E06C51C" w14:textId="77777777" w:rsidR="00F8602A" w:rsidRPr="001B4CA2" w:rsidRDefault="00F8602A" w:rsidP="00F8602A"/>
    <w:p w14:paraId="7884470D" w14:textId="0DA23139" w:rsidR="00773E87" w:rsidRPr="001B4CA2" w:rsidRDefault="00773E87" w:rsidP="00773E87">
      <w:pPr>
        <w:ind w:firstLine="708"/>
      </w:pPr>
      <w:r w:rsidRPr="001B4CA2">
        <w:t xml:space="preserve">Stečajni postupak provodi se radi skupnog namirenja vjerovnika stečajnog dužnika unovčenjem njegove imovine i raspodjelom prikupljenih sredstava vjerovnicima i u tom postupku sudjeluje državno odvjetništvo kao zastupnik po zakonu Republike Hrvatske. Prijedlog za otvaranje stečajnog postupka ovlašten je podnijeti vjerovnik ili dužnik, dok je Financijska agencija dužna podnijeti prijedlog za otvaranje stečajnog postupka ako pravna osoba u Očevidniku redoslijeda osnova za plaćanje ima evidentirane neizvršene osnove za plaćanje u neprekinutom razdoblju od 120 dana. Stečajni se </w:t>
      </w:r>
      <w:r w:rsidR="002C4E0A" w:rsidRPr="001B4CA2">
        <w:t xml:space="preserve">postupak </w:t>
      </w:r>
      <w:r w:rsidRPr="001B4CA2">
        <w:t>može otvoriti ako sud za dužnika utvrdi njegovu nesposobnost za plaćanje (postojanje evidentiranih neizvršenih osnova za plaćanje u očevidniku u neprekinutom razdoblju od 60 dana) i njegovu prezaduženost (ako je imovina dužnika pravne osobe manja od postojećih obveza).</w:t>
      </w:r>
    </w:p>
    <w:p w14:paraId="05A6B5C3" w14:textId="77777777" w:rsidR="00773E87" w:rsidRPr="001B4CA2" w:rsidRDefault="00773E87" w:rsidP="00773E87">
      <w:pPr>
        <w:ind w:firstLine="708"/>
      </w:pPr>
    </w:p>
    <w:p w14:paraId="6797AD04" w14:textId="1B930F98" w:rsidR="00773E87" w:rsidRPr="001B4CA2" w:rsidRDefault="00773E87" w:rsidP="00773E87">
      <w:pPr>
        <w:ind w:firstLine="708"/>
      </w:pPr>
      <w:r w:rsidRPr="001B4CA2">
        <w:lastRenderedPageBreak/>
        <w:t>Predstečajni postupak provodi se radi uređivanja pravnog položaja dužnika i njegova odnosa prema vjerovnicima, spr</w:t>
      </w:r>
      <w:r w:rsidR="002C4E0A">
        <w:t>j</w:t>
      </w:r>
      <w:r w:rsidRPr="001B4CA2">
        <w:t>ečavanja nesposobnosti plaćanja i održavanja njegove djelatnosti. Prijedlog za otvaranje predstečajnog postupka ovlašten je podnijeti isključivo sam dužnik. Zakonom je propisano da se predstečajni postupak nad dužnikom može otvoriti u slučaju kada sud utvrdi postojanje prijeteće nesposobnosti za plaćanje na strani dužnika (da svoje postojeće obveze neće moći ispuniti po dospijeću)</w:t>
      </w:r>
      <w:r w:rsidR="002C4E0A">
        <w:t>.</w:t>
      </w:r>
      <w:r w:rsidRPr="001B4CA2">
        <w:t xml:space="preserve"> </w:t>
      </w:r>
    </w:p>
    <w:p w14:paraId="40D54E9D" w14:textId="77777777" w:rsidR="00773E87" w:rsidRPr="001B4CA2" w:rsidRDefault="00773E87" w:rsidP="00773E87">
      <w:pPr>
        <w:ind w:firstLine="708"/>
      </w:pPr>
    </w:p>
    <w:p w14:paraId="5235C6E8" w14:textId="7909CAD0" w:rsidR="00773E87" w:rsidRPr="001B4CA2" w:rsidRDefault="00773E87" w:rsidP="00773E87">
      <w:pPr>
        <w:ind w:firstLine="708"/>
      </w:pPr>
      <w:r w:rsidRPr="001B4CA2">
        <w:t>R</w:t>
      </w:r>
      <w:r w:rsidR="002C4E0A">
        <w:t>iječ je</w:t>
      </w:r>
      <w:r w:rsidRPr="001B4CA2">
        <w:t xml:space="preserve"> o hitnim postupcima koji se pokreću na prijedlog ovlaštene osobe. Zakonom je propisan rok u kojem se predstečajni postupak nad dužnikom mora dovršiti (120 dana do maksimalno 180 dana od otvaranja predstečajnog postupka).</w:t>
      </w:r>
    </w:p>
    <w:p w14:paraId="741CA55E" w14:textId="77777777" w:rsidR="00773E87" w:rsidRPr="001B4CA2" w:rsidRDefault="00773E87" w:rsidP="00773E87"/>
    <w:p w14:paraId="0A01075B" w14:textId="77DE4603" w:rsidR="00773E87" w:rsidRPr="001B4CA2" w:rsidRDefault="00773E87" w:rsidP="00773E87">
      <w:pPr>
        <w:ind w:firstLine="708"/>
      </w:pPr>
      <w:r w:rsidRPr="001B4CA2">
        <w:t xml:space="preserve">Zakonski </w:t>
      </w:r>
      <w:r w:rsidR="002C4E0A" w:rsidRPr="001B4CA2">
        <w:t xml:space="preserve">je </w:t>
      </w:r>
      <w:r w:rsidRPr="001B4CA2">
        <w:t>rok za prijavu tražbine u stečajnom postupku 60 dana od otvaranja stečajnog postupka, a</w:t>
      </w:r>
      <w:r w:rsidR="001B4CA2">
        <w:t xml:space="preserve"> </w:t>
      </w:r>
      <w:r w:rsidRPr="001B4CA2">
        <w:t>rok za prijavu tražbine u predstečajnom postupku je 21 dan od otvaranja tog postupka. Propuštanje roka za prijavu tražbina u stečajnom ili predstečajnom postupku ima za posljedicu gubitak prava na prijavu tražbine i nemogućnost namirenja. Zbog toga je za ostvarivanje tražbina države kao vjerovnika u ovim postupcima nužno postupanje državnog odvjetništva u propisanim, kratkim</w:t>
      </w:r>
      <w:r w:rsidR="001B4CA2">
        <w:t xml:space="preserve"> </w:t>
      </w:r>
      <w:r w:rsidRPr="001B4CA2">
        <w:t>rokovima. To postupanje ovisi o ažurnosti drugih državnih tijela koja podatke o svojim tražbinama trebaju pravo</w:t>
      </w:r>
      <w:r w:rsidR="002C4E0A">
        <w:t>dob</w:t>
      </w:r>
      <w:r w:rsidRPr="001B4CA2">
        <w:t>no dostaviti nadležnom državnom odvjetništvu.</w:t>
      </w:r>
    </w:p>
    <w:p w14:paraId="6483D971" w14:textId="77777777" w:rsidR="00773E87" w:rsidRPr="001B4CA2" w:rsidRDefault="00773E87" w:rsidP="00773E87">
      <w:pPr>
        <w:ind w:firstLine="708"/>
      </w:pPr>
    </w:p>
    <w:p w14:paraId="3139A469" w14:textId="77777777" w:rsidR="00773E87" w:rsidRPr="001B4CA2" w:rsidRDefault="00773E87" w:rsidP="00773E87">
      <w:pPr>
        <w:ind w:firstLine="708"/>
      </w:pPr>
      <w:r w:rsidRPr="001B4CA2">
        <w:t xml:space="preserve">U stečajnim i predstečajnim postupcima sudska pismena dostavljaju se sudionicima postupka objavom pismena na mrežnoj stranici e-Oglasna ploča sudova. Podnesci se podnose na propisanim obrascima. U ovim postupcima svaki vjerovnik snosi svoje troškove postupka. </w:t>
      </w:r>
    </w:p>
    <w:p w14:paraId="0B651A41" w14:textId="77777777" w:rsidR="00773E87" w:rsidRPr="001B4CA2" w:rsidRDefault="00773E87" w:rsidP="00773E87">
      <w:pPr>
        <w:ind w:firstLine="708"/>
      </w:pPr>
    </w:p>
    <w:p w14:paraId="40ACD561" w14:textId="5F4F925C" w:rsidR="00773E87" w:rsidRPr="001B4CA2" w:rsidRDefault="00773E87" w:rsidP="00773E87">
      <w:pPr>
        <w:ind w:firstLine="708"/>
      </w:pPr>
      <w:r w:rsidRPr="001B4CA2">
        <w:t>Državno odvjetništvo na prijedlog državnih tijela, najčešće Ministarstva financija</w:t>
      </w:r>
      <w:r w:rsidR="002C4E0A">
        <w:t>,</w:t>
      </w:r>
      <w:r w:rsidRPr="001B4CA2">
        <w:t xml:space="preserve"> Porezne uprave, podnosi nadležnom trgovačkom sudu prijedloge za otvaranje stečajnog postupka i/ili prijavljuje tražbine državnih tijela u stečajnim</w:t>
      </w:r>
      <w:r w:rsidR="001B4CA2">
        <w:t xml:space="preserve"> </w:t>
      </w:r>
      <w:r w:rsidRPr="001B4CA2">
        <w:t xml:space="preserve">i predstečajnim postupcima pokrenutim po prijedlogu drugih vjerovnika ili samog dužnika. </w:t>
      </w:r>
    </w:p>
    <w:p w14:paraId="4182B2B2" w14:textId="77777777" w:rsidR="00773E87" w:rsidRPr="001B4CA2" w:rsidRDefault="00773E87" w:rsidP="00773E87">
      <w:pPr>
        <w:ind w:firstLine="708"/>
      </w:pPr>
    </w:p>
    <w:p w14:paraId="4E0E22F1" w14:textId="04298FD0" w:rsidR="00773E87" w:rsidRPr="001B4CA2" w:rsidRDefault="00773E87" w:rsidP="00773E87">
      <w:pPr>
        <w:ind w:firstLine="708"/>
      </w:pPr>
      <w:r w:rsidRPr="001B4CA2">
        <w:t xml:space="preserve">Državno odvjetništvo u tim postupcima podnosi i obavijesti o postojanju </w:t>
      </w:r>
      <w:proofErr w:type="spellStart"/>
      <w:r w:rsidRPr="001B4CA2">
        <w:t>razlučnih</w:t>
      </w:r>
      <w:proofErr w:type="spellEnd"/>
      <w:r w:rsidRPr="001B4CA2">
        <w:t xml:space="preserve"> i izlučnih prava na nekretninama stečajnog dužnika koja postoje u korist države. Za ostvarivanje boljeg statusa u cilju namirenja tražbina države koje se ostvaruju u stečajnim postupcima važno je istaknuti</w:t>
      </w:r>
      <w:r w:rsidR="001B4CA2">
        <w:t xml:space="preserve"> </w:t>
      </w:r>
      <w:r w:rsidRPr="001B4CA2">
        <w:t xml:space="preserve">da općinska državna odvjetništva na prijedlog Ministarstva financija, Porezne uprave, podnosi prijedloge za osiguranje novčanih tražbina s osnove poreznog duga i drugih javnih davanja zasnivanjem založnog prava na nekretninama. Na ovaj način Republika Hrvatska u stečajnom postupku ima položaj </w:t>
      </w:r>
      <w:proofErr w:type="spellStart"/>
      <w:r w:rsidRPr="001B4CA2">
        <w:t>razlučnog</w:t>
      </w:r>
      <w:proofErr w:type="spellEnd"/>
      <w:r w:rsidRPr="001B4CA2">
        <w:t xml:space="preserve"> vjerovnika i daleko bolju mogućnost namirenja svoje tražbine kod unovčenja takvih nekretnina u stečaju. Međutim, založno pravo kao sredstvo osiguranja naplate tražbina s osnova poreznog duga često je upisano nakon već ranije upisanog osiguranja založnim pravom u korist banaka i drugih financijskih institucija. U tom slučaju ti vjerovnici imaju prvenstveno pravo na namirenje iz vrijednosti založene nekretnine/pokretnine.</w:t>
      </w:r>
    </w:p>
    <w:p w14:paraId="0F5F4DF2" w14:textId="77777777" w:rsidR="00773E87" w:rsidRPr="001B4CA2" w:rsidRDefault="00773E87" w:rsidP="00773E87">
      <w:pPr>
        <w:ind w:firstLine="708"/>
      </w:pPr>
    </w:p>
    <w:p w14:paraId="563E00F3" w14:textId="1D4A6417" w:rsidR="00773E87" w:rsidRPr="001B4CA2" w:rsidRDefault="00773E87" w:rsidP="00773E87">
      <w:pPr>
        <w:ind w:firstLine="708"/>
      </w:pPr>
      <w:r w:rsidRPr="001B4CA2">
        <w:t xml:space="preserve">U stečajnim i predstečajnim postupcima državno odvjetništvo aktivno sudjeluje na skupštinama vjerovnika zastupajući interese države kao jednog od vjerovnika. Na skupštinama vjerovnika odlučuje se o svim važnim pitanjima koja se odnose </w:t>
      </w:r>
      <w:r w:rsidR="00223ABD">
        <w:t>ponajprije</w:t>
      </w:r>
      <w:r w:rsidRPr="001B4CA2">
        <w:t xml:space="preserve"> na unovčenje imovine, ali i o pitanjima koja se odnose na pokretanje ili </w:t>
      </w:r>
      <w:r w:rsidRPr="001B4CA2">
        <w:lastRenderedPageBreak/>
        <w:t xml:space="preserve">nastavak već započetih postupaka čiji ishodi mogu dovesti do povećanja imovine i vrijednosti stečajne mase iz koje se namiruju vjerovnici.  </w:t>
      </w:r>
    </w:p>
    <w:p w14:paraId="23B7416C" w14:textId="77777777" w:rsidR="00773E87" w:rsidRPr="001B4CA2" w:rsidRDefault="00773E87" w:rsidP="00773E87">
      <w:pPr>
        <w:ind w:firstLine="708"/>
      </w:pPr>
      <w:r w:rsidRPr="001B4CA2">
        <w:tab/>
      </w:r>
    </w:p>
    <w:p w14:paraId="4855893A" w14:textId="4F5BE54C" w:rsidR="00773E87" w:rsidRPr="001B4CA2" w:rsidRDefault="00773E87" w:rsidP="00773E87">
      <w:pPr>
        <w:rPr>
          <w:rFonts w:eastAsia="Times New Roman"/>
        </w:rPr>
      </w:pPr>
      <w:r w:rsidRPr="001B4CA2">
        <w:tab/>
        <w:t>U 2022. godini stupile su na snagu izmjene Stečajnog zakona</w:t>
      </w:r>
      <w:r w:rsidRPr="001B4CA2">
        <w:rPr>
          <w:rFonts w:eastAsia="Times New Roman"/>
        </w:rPr>
        <w:t xml:space="preserve"> koje se u pravilu primjenjuju u postupcima pokrenutim nakon stupanja na snagu izmjene. Osnovni cilj izmjena zakona jest omogućiti da održiva poduzeća i</w:t>
      </w:r>
      <w:r w:rsidR="001B4CA2">
        <w:rPr>
          <w:rFonts w:eastAsia="Times New Roman"/>
        </w:rPr>
        <w:t xml:space="preserve"> </w:t>
      </w:r>
      <w:r w:rsidRPr="001B4CA2">
        <w:rPr>
          <w:rFonts w:eastAsia="Times New Roman"/>
        </w:rPr>
        <w:t>poduzetnici u financijskim poteškoćama imaju pristup učinkovitim nacionalnim okvirima za preventivno restrukturiranje koji im omoguć</w:t>
      </w:r>
      <w:r w:rsidR="004B1F3B">
        <w:rPr>
          <w:rFonts w:eastAsia="Times New Roman"/>
        </w:rPr>
        <w:t>u</w:t>
      </w:r>
      <w:r w:rsidRPr="001B4CA2">
        <w:rPr>
          <w:rFonts w:eastAsia="Times New Roman"/>
        </w:rPr>
        <w:t>ju nastavak rada. Ovom se izmjenom u domaće zakonodavstvo prvenstveno implementira Direktiva (EU) 2019/1023 Europskog parlamenta i Vijeća od 20. lipnja 2019. godine o okvirima za preventivno restrukturiranje, otpustu duga i zabranama te o mjerama za povećanje učinkovitosti postupaka koji se odnose na restrukturiranje, nesolventnost i otpust duga i o izmjeni Direktive (EU) 2017/1132.</w:t>
      </w:r>
      <w:r w:rsidR="001B4CA2">
        <w:rPr>
          <w:rFonts w:eastAsia="Times New Roman"/>
          <w:vertAlign w:val="superscript"/>
        </w:rPr>
        <w:t xml:space="preserve"> </w:t>
      </w:r>
      <w:r w:rsidRPr="001B4CA2">
        <w:rPr>
          <w:rFonts w:eastAsia="Times New Roman"/>
        </w:rPr>
        <w:t xml:space="preserve">Izmjenom zakona skraćeni su rokovi za dovršetak predstečajnih postupaka, izmijenjene su odredbe o očitovanju volje vjerovnika u pogledu predloženog Plana restrukturiranja, tj. posljedično za glasovanje o predstečajnom sporazumu. </w:t>
      </w:r>
    </w:p>
    <w:p w14:paraId="165053AF" w14:textId="77777777" w:rsidR="00671B63" w:rsidRPr="001B4CA2" w:rsidRDefault="00671B63" w:rsidP="00671B63">
      <w:pPr>
        <w:ind w:left="720"/>
      </w:pPr>
    </w:p>
    <w:p w14:paraId="0111CD5F" w14:textId="31116626" w:rsidR="00671B63" w:rsidRPr="001B4CA2" w:rsidRDefault="00671B63" w:rsidP="00671B63">
      <w:pPr>
        <w:pStyle w:val="Odlomakpopisa"/>
        <w:numPr>
          <w:ilvl w:val="0"/>
          <w:numId w:val="46"/>
        </w:numPr>
        <w:jc w:val="left"/>
        <w:rPr>
          <w:rFonts w:asciiTheme="minorHAnsi" w:hAnsiTheme="minorHAnsi" w:cstheme="minorBidi"/>
          <w:i/>
          <w:szCs w:val="22"/>
        </w:rPr>
      </w:pPr>
      <w:r w:rsidRPr="001B4CA2">
        <w:rPr>
          <w:rFonts w:asciiTheme="minorHAnsi" w:hAnsiTheme="minorHAnsi" w:cstheme="minorBidi"/>
          <w:i/>
          <w:szCs w:val="22"/>
        </w:rPr>
        <w:t>Stečajni predmeti – odluke državnog odvjetništva</w:t>
      </w:r>
      <w:r w:rsidR="001B4CA2">
        <w:rPr>
          <w:rFonts w:asciiTheme="minorHAnsi" w:hAnsiTheme="minorHAnsi" w:cstheme="minorBidi"/>
          <w:i/>
          <w:szCs w:val="22"/>
        </w:rPr>
        <w:t xml:space="preserve"> </w:t>
      </w:r>
      <w:r w:rsidRPr="001B4CA2">
        <w:rPr>
          <w:rFonts w:asciiTheme="minorHAnsi" w:hAnsiTheme="minorHAnsi" w:cstheme="minorBidi"/>
          <w:i/>
          <w:szCs w:val="22"/>
        </w:rPr>
        <w:t>2020.</w:t>
      </w:r>
      <w:r w:rsidR="00F47D60">
        <w:rPr>
          <w:rFonts w:asciiTheme="minorHAnsi" w:hAnsiTheme="minorHAnsi" w:cstheme="minorBidi"/>
          <w:i/>
          <w:szCs w:val="22"/>
        </w:rPr>
        <w:t xml:space="preserve"> – </w:t>
      </w:r>
      <w:r w:rsidRPr="001B4CA2">
        <w:rPr>
          <w:rFonts w:asciiTheme="minorHAnsi" w:hAnsiTheme="minorHAnsi" w:cstheme="minorBidi"/>
          <w:i/>
          <w:szCs w:val="22"/>
        </w:rPr>
        <w:t>2022.</w:t>
      </w:r>
    </w:p>
    <w:tbl>
      <w:tblPr>
        <w:tblW w:w="0" w:type="auto"/>
        <w:tblInd w:w="-34" w:type="dxa"/>
        <w:tblLook w:val="04A0" w:firstRow="1" w:lastRow="0" w:firstColumn="1" w:lastColumn="0" w:noHBand="0" w:noVBand="1"/>
      </w:tblPr>
      <w:tblGrid>
        <w:gridCol w:w="678"/>
        <w:gridCol w:w="483"/>
        <w:gridCol w:w="617"/>
        <w:gridCol w:w="617"/>
        <w:gridCol w:w="411"/>
        <w:gridCol w:w="483"/>
        <w:gridCol w:w="411"/>
        <w:gridCol w:w="483"/>
        <w:gridCol w:w="795"/>
        <w:gridCol w:w="483"/>
        <w:gridCol w:w="795"/>
        <w:gridCol w:w="411"/>
        <w:gridCol w:w="411"/>
        <w:gridCol w:w="572"/>
        <w:gridCol w:w="572"/>
        <w:gridCol w:w="483"/>
        <w:gridCol w:w="617"/>
      </w:tblGrid>
      <w:tr w:rsidR="00671B63" w:rsidRPr="001B4CA2" w14:paraId="455C78D7" w14:textId="77777777" w:rsidTr="005D30E9">
        <w:trPr>
          <w:trHeight w:val="332"/>
        </w:trPr>
        <w:tc>
          <w:tcPr>
            <w:tcW w:w="754" w:type="dxa"/>
            <w:vMerge w:val="restart"/>
            <w:tcBorders>
              <w:top w:val="single" w:sz="4" w:space="0" w:color="auto"/>
              <w:left w:val="single" w:sz="4" w:space="0" w:color="auto"/>
              <w:bottom w:val="single" w:sz="4" w:space="0" w:color="000000"/>
              <w:right w:val="single" w:sz="4" w:space="0" w:color="auto"/>
            </w:tcBorders>
            <w:shd w:val="clear" w:color="auto" w:fill="99CCFF"/>
            <w:textDirection w:val="btLr"/>
            <w:vAlign w:val="center"/>
            <w:hideMark/>
          </w:tcPr>
          <w:p w14:paraId="2300573B" w14:textId="77777777" w:rsidR="00671B63" w:rsidRPr="001B4CA2" w:rsidRDefault="00671B63" w:rsidP="00671B63">
            <w:pPr>
              <w:jc w:val="left"/>
              <w:rPr>
                <w:rFonts w:eastAsia="Times New Roman"/>
                <w:b/>
                <w:color w:val="000000"/>
                <w:sz w:val="18"/>
                <w:szCs w:val="18"/>
                <w:lang w:eastAsia="hr-HR"/>
              </w:rPr>
            </w:pPr>
            <w:r w:rsidRPr="001B4CA2">
              <w:rPr>
                <w:rFonts w:eastAsia="Times New Roman"/>
                <w:b/>
                <w:color w:val="000000"/>
                <w:sz w:val="18"/>
                <w:szCs w:val="18"/>
                <w:lang w:eastAsia="hr-HR"/>
              </w:rPr>
              <w:t>Godina</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99CCFF"/>
            <w:textDirection w:val="btLr"/>
            <w:vAlign w:val="center"/>
            <w:hideMark/>
          </w:tcPr>
          <w:p w14:paraId="5F1F423B" w14:textId="77777777" w:rsidR="00671B63" w:rsidRPr="001B4CA2" w:rsidRDefault="00671B63" w:rsidP="00671B63">
            <w:pPr>
              <w:jc w:val="left"/>
              <w:rPr>
                <w:rFonts w:eastAsia="Times New Roman"/>
                <w:b/>
                <w:color w:val="000000"/>
                <w:sz w:val="18"/>
                <w:szCs w:val="18"/>
                <w:lang w:eastAsia="hr-HR"/>
              </w:rPr>
            </w:pPr>
            <w:r w:rsidRPr="001B4CA2">
              <w:rPr>
                <w:rFonts w:eastAsia="Times New Roman"/>
                <w:b/>
                <w:color w:val="000000"/>
                <w:sz w:val="18"/>
                <w:szCs w:val="18"/>
                <w:lang w:eastAsia="hr-HR"/>
              </w:rPr>
              <w:t>Ostalo u radu u DO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99CCFF"/>
            <w:textDirection w:val="btLr"/>
            <w:vAlign w:val="center"/>
            <w:hideMark/>
          </w:tcPr>
          <w:p w14:paraId="4D3CC7EF" w14:textId="0B935C07" w:rsidR="00671B63" w:rsidRPr="001B4CA2" w:rsidRDefault="00671B63" w:rsidP="00671B63">
            <w:pPr>
              <w:jc w:val="left"/>
              <w:rPr>
                <w:rFonts w:eastAsia="Times New Roman"/>
                <w:b/>
                <w:bCs/>
                <w:color w:val="000000"/>
                <w:sz w:val="18"/>
                <w:szCs w:val="18"/>
                <w:lang w:eastAsia="hr-HR"/>
              </w:rPr>
            </w:pPr>
            <w:r w:rsidRPr="001B4CA2">
              <w:rPr>
                <w:rFonts w:eastAsia="Times New Roman"/>
                <w:b/>
                <w:bCs/>
                <w:color w:val="000000"/>
                <w:sz w:val="18"/>
                <w:szCs w:val="18"/>
                <w:lang w:eastAsia="hr-HR"/>
              </w:rPr>
              <w:t>Primljeno</w:t>
            </w:r>
            <w:r w:rsidR="001B4CA2">
              <w:rPr>
                <w:rFonts w:eastAsia="Times New Roman"/>
                <w:b/>
                <w:bCs/>
                <w:color w:val="000000"/>
                <w:sz w:val="18"/>
                <w:szCs w:val="18"/>
                <w:lang w:eastAsia="hr-HR"/>
              </w:rPr>
              <w:t xml:space="preserve"> </w:t>
            </w:r>
            <w:r w:rsidRPr="001B4CA2">
              <w:rPr>
                <w:rFonts w:eastAsia="Times New Roman"/>
                <w:b/>
                <w:bCs/>
                <w:color w:val="000000"/>
                <w:sz w:val="18"/>
                <w:szCs w:val="18"/>
                <w:lang w:eastAsia="hr-HR"/>
              </w:rPr>
              <w:t>novih zahtjeva</w:t>
            </w:r>
          </w:p>
        </w:tc>
        <w:tc>
          <w:tcPr>
            <w:tcW w:w="0" w:type="auto"/>
            <w:vMerge w:val="restart"/>
            <w:tcBorders>
              <w:top w:val="single" w:sz="4" w:space="0" w:color="auto"/>
              <w:left w:val="single" w:sz="4" w:space="0" w:color="auto"/>
              <w:right w:val="single" w:sz="4" w:space="0" w:color="auto"/>
            </w:tcBorders>
            <w:shd w:val="clear" w:color="auto" w:fill="99CCFF"/>
            <w:textDirection w:val="btLr"/>
            <w:vAlign w:val="center"/>
          </w:tcPr>
          <w:p w14:paraId="2FCEEC99" w14:textId="77777777" w:rsidR="00671B63" w:rsidRPr="001B4CA2" w:rsidRDefault="00671B63" w:rsidP="00671B63">
            <w:pPr>
              <w:jc w:val="left"/>
              <w:rPr>
                <w:rFonts w:eastAsia="Times New Roman"/>
                <w:b/>
                <w:bCs/>
                <w:color w:val="000000"/>
                <w:sz w:val="18"/>
                <w:szCs w:val="18"/>
                <w:lang w:eastAsia="hr-HR"/>
              </w:rPr>
            </w:pPr>
            <w:r w:rsidRPr="001B4CA2">
              <w:rPr>
                <w:rFonts w:eastAsia="Times New Roman"/>
                <w:b/>
                <w:bCs/>
                <w:color w:val="000000"/>
                <w:sz w:val="18"/>
                <w:szCs w:val="18"/>
                <w:lang w:eastAsia="hr-HR"/>
              </w:rPr>
              <w:t>Ukupno u radu u DO</w:t>
            </w:r>
          </w:p>
        </w:tc>
        <w:tc>
          <w:tcPr>
            <w:tcW w:w="0" w:type="auto"/>
            <w:gridSpan w:val="11"/>
            <w:tcBorders>
              <w:top w:val="single" w:sz="4" w:space="0" w:color="auto"/>
              <w:left w:val="nil"/>
              <w:bottom w:val="single" w:sz="4" w:space="0" w:color="auto"/>
              <w:right w:val="single" w:sz="4" w:space="0" w:color="000000"/>
            </w:tcBorders>
            <w:shd w:val="clear" w:color="auto" w:fill="99CCFF"/>
            <w:vAlign w:val="center"/>
          </w:tcPr>
          <w:p w14:paraId="30577C14"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 xml:space="preserve">Meritorne </w:t>
            </w:r>
            <w:proofErr w:type="spellStart"/>
            <w:r w:rsidRPr="001B4CA2">
              <w:rPr>
                <w:rFonts w:eastAsia="Times New Roman"/>
                <w:b/>
                <w:bCs/>
                <w:sz w:val="18"/>
                <w:szCs w:val="18"/>
                <w:lang w:eastAsia="hr-HR"/>
              </w:rPr>
              <w:t>državnoodvjetničke</w:t>
            </w:r>
            <w:proofErr w:type="spellEnd"/>
            <w:r w:rsidRPr="001B4CA2">
              <w:rPr>
                <w:rFonts w:eastAsia="Times New Roman"/>
                <w:b/>
                <w:bCs/>
                <w:sz w:val="18"/>
                <w:szCs w:val="18"/>
                <w:lang w:eastAsia="hr-HR"/>
              </w:rPr>
              <w:t xml:space="preserve"> odluke (MDO)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99CCFF"/>
            <w:textDirection w:val="btLr"/>
            <w:vAlign w:val="center"/>
            <w:hideMark/>
          </w:tcPr>
          <w:p w14:paraId="273FE495" w14:textId="77777777" w:rsidR="00671B63" w:rsidRPr="001B4CA2" w:rsidRDefault="00671B63" w:rsidP="00671B63">
            <w:pPr>
              <w:jc w:val="left"/>
              <w:rPr>
                <w:rFonts w:eastAsia="Times New Roman"/>
                <w:b/>
                <w:sz w:val="18"/>
                <w:szCs w:val="18"/>
                <w:lang w:eastAsia="hr-HR"/>
              </w:rPr>
            </w:pPr>
            <w:r w:rsidRPr="001B4CA2">
              <w:rPr>
                <w:rFonts w:eastAsia="Times New Roman"/>
                <w:b/>
                <w:sz w:val="18"/>
                <w:szCs w:val="18"/>
                <w:lang w:eastAsia="hr-HR"/>
              </w:rPr>
              <w:t>Ostale odluke</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99CCFF"/>
            <w:textDirection w:val="btLr"/>
            <w:vAlign w:val="center"/>
            <w:hideMark/>
          </w:tcPr>
          <w:p w14:paraId="5930EF62" w14:textId="77777777" w:rsidR="00671B63" w:rsidRPr="001B4CA2" w:rsidRDefault="00671B63" w:rsidP="00671B63">
            <w:pPr>
              <w:jc w:val="left"/>
              <w:rPr>
                <w:rFonts w:eastAsia="Times New Roman"/>
                <w:b/>
                <w:sz w:val="18"/>
                <w:szCs w:val="18"/>
                <w:lang w:eastAsia="hr-HR"/>
              </w:rPr>
            </w:pPr>
            <w:r w:rsidRPr="001B4CA2">
              <w:rPr>
                <w:rFonts w:eastAsia="Times New Roman"/>
                <w:b/>
                <w:sz w:val="18"/>
                <w:szCs w:val="18"/>
                <w:lang w:eastAsia="hr-HR"/>
              </w:rPr>
              <w:t>Ukupno donesenih odluka</w:t>
            </w:r>
          </w:p>
        </w:tc>
      </w:tr>
      <w:tr w:rsidR="00671B63" w:rsidRPr="001B4CA2" w14:paraId="0B045B05" w14:textId="77777777" w:rsidTr="005D30E9">
        <w:trPr>
          <w:trHeight w:val="3539"/>
        </w:trPr>
        <w:tc>
          <w:tcPr>
            <w:tcW w:w="754" w:type="dxa"/>
            <w:vMerge/>
            <w:tcBorders>
              <w:top w:val="single" w:sz="4" w:space="0" w:color="auto"/>
              <w:left w:val="single" w:sz="4" w:space="0" w:color="auto"/>
              <w:bottom w:val="single" w:sz="4" w:space="0" w:color="auto"/>
              <w:right w:val="single" w:sz="4" w:space="0" w:color="auto"/>
            </w:tcBorders>
            <w:vAlign w:val="center"/>
            <w:hideMark/>
          </w:tcPr>
          <w:p w14:paraId="07949BB6" w14:textId="77777777" w:rsidR="00671B63" w:rsidRPr="001B4CA2" w:rsidRDefault="00671B63" w:rsidP="00671B63">
            <w:pPr>
              <w:jc w:val="center"/>
              <w:rPr>
                <w:rFonts w:eastAsia="Times New Roman"/>
                <w:color w:val="000000"/>
                <w:sz w:val="16"/>
                <w:szCs w:val="16"/>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65328" w14:textId="77777777" w:rsidR="00671B63" w:rsidRPr="001B4CA2" w:rsidRDefault="00671B63" w:rsidP="00671B63">
            <w:pPr>
              <w:jc w:val="center"/>
              <w:rPr>
                <w:rFonts w:eastAsia="Times New Roman"/>
                <w:color w:val="000000"/>
                <w:sz w:val="16"/>
                <w:szCs w:val="16"/>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10EA8" w14:textId="77777777" w:rsidR="00671B63" w:rsidRPr="001B4CA2" w:rsidRDefault="00671B63" w:rsidP="00671B63">
            <w:pPr>
              <w:jc w:val="center"/>
              <w:rPr>
                <w:rFonts w:eastAsia="Times New Roman"/>
                <w:bCs/>
                <w:color w:val="000000"/>
                <w:sz w:val="16"/>
                <w:szCs w:val="16"/>
                <w:lang w:eastAsia="hr-HR"/>
              </w:rPr>
            </w:pPr>
          </w:p>
        </w:tc>
        <w:tc>
          <w:tcPr>
            <w:tcW w:w="0" w:type="auto"/>
            <w:vMerge/>
            <w:tcBorders>
              <w:left w:val="single" w:sz="4" w:space="0" w:color="auto"/>
              <w:bottom w:val="single" w:sz="4" w:space="0" w:color="auto"/>
              <w:right w:val="single" w:sz="4" w:space="0" w:color="auto"/>
            </w:tcBorders>
            <w:vAlign w:val="center"/>
          </w:tcPr>
          <w:p w14:paraId="18AC16E1" w14:textId="77777777" w:rsidR="00671B63" w:rsidRPr="001B4CA2" w:rsidRDefault="00671B63" w:rsidP="00671B63">
            <w:pPr>
              <w:jc w:val="center"/>
              <w:rPr>
                <w:rFonts w:eastAsia="Times New Roman"/>
                <w:bCs/>
                <w:color w:val="000000"/>
                <w:sz w:val="16"/>
                <w:szCs w:val="16"/>
                <w:lang w:eastAsia="hr-HR"/>
              </w:rPr>
            </w:pPr>
          </w:p>
        </w:tc>
        <w:tc>
          <w:tcPr>
            <w:tcW w:w="0" w:type="auto"/>
            <w:tcBorders>
              <w:top w:val="nil"/>
              <w:left w:val="single" w:sz="4" w:space="0" w:color="auto"/>
              <w:bottom w:val="single" w:sz="4" w:space="0" w:color="auto"/>
              <w:right w:val="single" w:sz="4" w:space="0" w:color="auto"/>
            </w:tcBorders>
            <w:shd w:val="clear" w:color="auto" w:fill="99CCFF"/>
            <w:textDirection w:val="btLr"/>
            <w:vAlign w:val="center"/>
            <w:hideMark/>
          </w:tcPr>
          <w:p w14:paraId="1CF67308" w14:textId="77777777" w:rsidR="00671B63" w:rsidRPr="001B4CA2" w:rsidRDefault="00671B63" w:rsidP="00671B63">
            <w:pPr>
              <w:jc w:val="left"/>
              <w:rPr>
                <w:rFonts w:eastAsia="Times New Roman"/>
                <w:sz w:val="16"/>
                <w:szCs w:val="16"/>
                <w:lang w:eastAsia="hr-HR"/>
              </w:rPr>
            </w:pPr>
            <w:r w:rsidRPr="001B4CA2">
              <w:rPr>
                <w:rFonts w:eastAsia="Times New Roman"/>
                <w:sz w:val="16"/>
                <w:szCs w:val="16"/>
                <w:lang w:eastAsia="hr-HR"/>
              </w:rPr>
              <w:t>Odbijanje inicijative</w:t>
            </w:r>
          </w:p>
        </w:tc>
        <w:tc>
          <w:tcPr>
            <w:tcW w:w="0" w:type="auto"/>
            <w:tcBorders>
              <w:top w:val="nil"/>
              <w:left w:val="single" w:sz="4" w:space="0" w:color="auto"/>
              <w:bottom w:val="single" w:sz="4" w:space="0" w:color="auto"/>
              <w:right w:val="single" w:sz="4" w:space="0" w:color="auto"/>
            </w:tcBorders>
            <w:shd w:val="clear" w:color="auto" w:fill="99CCFF"/>
            <w:textDirection w:val="btLr"/>
            <w:vAlign w:val="center"/>
            <w:hideMark/>
          </w:tcPr>
          <w:p w14:paraId="35A7C3B6" w14:textId="77777777" w:rsidR="00671B63" w:rsidRPr="001B4CA2" w:rsidRDefault="00671B63" w:rsidP="00671B63">
            <w:pPr>
              <w:jc w:val="left"/>
              <w:rPr>
                <w:rFonts w:eastAsia="Times New Roman"/>
                <w:sz w:val="16"/>
                <w:szCs w:val="16"/>
                <w:lang w:eastAsia="hr-HR"/>
              </w:rPr>
            </w:pPr>
            <w:r w:rsidRPr="001B4CA2">
              <w:rPr>
                <w:rFonts w:eastAsia="Times New Roman"/>
                <w:sz w:val="16"/>
                <w:szCs w:val="16"/>
                <w:lang w:eastAsia="hr-HR"/>
              </w:rPr>
              <w:t>Prijedlog za otvaranje stečaja</w:t>
            </w:r>
          </w:p>
          <w:p w14:paraId="000BF3BD" w14:textId="77777777" w:rsidR="00671B63" w:rsidRPr="001B4CA2" w:rsidRDefault="00671B63" w:rsidP="00671B63">
            <w:pPr>
              <w:jc w:val="left"/>
              <w:rPr>
                <w:rFonts w:eastAsia="Times New Roman"/>
                <w:sz w:val="16"/>
                <w:szCs w:val="16"/>
                <w:lang w:eastAsia="hr-HR"/>
              </w:rPr>
            </w:pPr>
          </w:p>
        </w:tc>
        <w:tc>
          <w:tcPr>
            <w:tcW w:w="0" w:type="auto"/>
            <w:tcBorders>
              <w:top w:val="nil"/>
              <w:left w:val="single" w:sz="4" w:space="0" w:color="auto"/>
              <w:bottom w:val="single" w:sz="4" w:space="0" w:color="auto"/>
              <w:right w:val="single" w:sz="4" w:space="0" w:color="auto"/>
            </w:tcBorders>
            <w:shd w:val="clear" w:color="auto" w:fill="99CCFF"/>
            <w:textDirection w:val="btLr"/>
            <w:vAlign w:val="center"/>
          </w:tcPr>
          <w:p w14:paraId="65924C3C" w14:textId="77777777" w:rsidR="00671B63" w:rsidRPr="001B4CA2" w:rsidRDefault="00671B63" w:rsidP="00671B63">
            <w:pPr>
              <w:jc w:val="left"/>
              <w:rPr>
                <w:rFonts w:eastAsia="Times New Roman"/>
                <w:sz w:val="16"/>
                <w:szCs w:val="16"/>
                <w:lang w:eastAsia="hr-HR"/>
              </w:rPr>
            </w:pPr>
            <w:r w:rsidRPr="001B4CA2">
              <w:rPr>
                <w:sz w:val="16"/>
                <w:szCs w:val="16"/>
              </w:rPr>
              <w:t>Prijedlog za nastavak postupka-naknadna dioba</w:t>
            </w:r>
          </w:p>
        </w:tc>
        <w:tc>
          <w:tcPr>
            <w:tcW w:w="0" w:type="auto"/>
            <w:tcBorders>
              <w:top w:val="nil"/>
              <w:left w:val="single" w:sz="4" w:space="0" w:color="auto"/>
              <w:bottom w:val="single" w:sz="4" w:space="0" w:color="auto"/>
              <w:right w:val="single" w:sz="4" w:space="0" w:color="auto"/>
            </w:tcBorders>
            <w:shd w:val="clear" w:color="auto" w:fill="99CCFF"/>
            <w:textDirection w:val="btLr"/>
            <w:vAlign w:val="center"/>
            <w:hideMark/>
          </w:tcPr>
          <w:p w14:paraId="38838AF1" w14:textId="77777777" w:rsidR="00671B63" w:rsidRPr="001B4CA2" w:rsidRDefault="00671B63" w:rsidP="00671B63">
            <w:pPr>
              <w:jc w:val="left"/>
              <w:rPr>
                <w:rFonts w:eastAsia="Times New Roman"/>
                <w:sz w:val="16"/>
                <w:szCs w:val="16"/>
                <w:lang w:eastAsia="hr-HR"/>
              </w:rPr>
            </w:pPr>
            <w:r w:rsidRPr="001B4CA2">
              <w:rPr>
                <w:rFonts w:eastAsia="Times New Roman"/>
                <w:sz w:val="16"/>
                <w:szCs w:val="16"/>
                <w:lang w:eastAsia="hr-HR"/>
              </w:rPr>
              <w:t>Prijava novčane tražbine u stečaju/likvidaciji</w:t>
            </w:r>
          </w:p>
        </w:tc>
        <w:tc>
          <w:tcPr>
            <w:tcW w:w="787" w:type="dxa"/>
            <w:tcBorders>
              <w:top w:val="nil"/>
              <w:left w:val="single" w:sz="4" w:space="0" w:color="auto"/>
              <w:bottom w:val="single" w:sz="4" w:space="0" w:color="auto"/>
              <w:right w:val="single" w:sz="4" w:space="0" w:color="auto"/>
            </w:tcBorders>
            <w:shd w:val="clear" w:color="auto" w:fill="99CCFF"/>
            <w:textDirection w:val="btLr"/>
            <w:vAlign w:val="center"/>
            <w:hideMark/>
          </w:tcPr>
          <w:p w14:paraId="29760B4E" w14:textId="77777777" w:rsidR="00671B63" w:rsidRPr="001B4CA2" w:rsidRDefault="00671B63" w:rsidP="00671B63">
            <w:pPr>
              <w:jc w:val="left"/>
              <w:rPr>
                <w:rFonts w:eastAsia="Times New Roman"/>
                <w:sz w:val="16"/>
                <w:szCs w:val="16"/>
                <w:lang w:eastAsia="hr-HR"/>
              </w:rPr>
            </w:pPr>
            <w:r w:rsidRPr="001B4CA2">
              <w:rPr>
                <w:rFonts w:eastAsia="Times New Roman"/>
                <w:sz w:val="16"/>
                <w:szCs w:val="16"/>
                <w:lang w:eastAsia="hr-HR"/>
              </w:rPr>
              <w:t xml:space="preserve">Iznos novčane tražbine </w:t>
            </w:r>
            <w:r w:rsidRPr="001B4CA2">
              <w:rPr>
                <w:rFonts w:eastAsia="Times New Roman"/>
                <w:sz w:val="16"/>
                <w:szCs w:val="16"/>
                <w:lang w:eastAsia="hr-HR"/>
              </w:rPr>
              <w:br/>
              <w:t>(u tisućama kuna)</w:t>
            </w:r>
          </w:p>
        </w:tc>
        <w:tc>
          <w:tcPr>
            <w:tcW w:w="479" w:type="dxa"/>
            <w:tcBorders>
              <w:top w:val="nil"/>
              <w:left w:val="single" w:sz="4" w:space="0" w:color="auto"/>
              <w:bottom w:val="single" w:sz="4" w:space="0" w:color="auto"/>
              <w:right w:val="single" w:sz="4" w:space="0" w:color="auto"/>
            </w:tcBorders>
            <w:shd w:val="clear" w:color="auto" w:fill="99CCFF"/>
            <w:textDirection w:val="btLr"/>
            <w:vAlign w:val="center"/>
          </w:tcPr>
          <w:p w14:paraId="309C7B51" w14:textId="77777777" w:rsidR="00671B63" w:rsidRPr="001B4CA2" w:rsidRDefault="00671B63" w:rsidP="00671B63">
            <w:pPr>
              <w:jc w:val="left"/>
              <w:rPr>
                <w:rFonts w:eastAsia="Times New Roman"/>
                <w:sz w:val="16"/>
                <w:szCs w:val="16"/>
                <w:lang w:eastAsia="hr-HR"/>
              </w:rPr>
            </w:pPr>
            <w:r w:rsidRPr="001B4CA2">
              <w:rPr>
                <w:rFonts w:eastAsia="Times New Roman"/>
                <w:sz w:val="16"/>
                <w:szCs w:val="16"/>
                <w:lang w:eastAsia="hr-HR"/>
              </w:rPr>
              <w:t xml:space="preserve">Prijava novčane tražbine u stečaju / likvidaciji i obavijest o </w:t>
            </w:r>
            <w:proofErr w:type="spellStart"/>
            <w:r w:rsidRPr="001B4CA2">
              <w:rPr>
                <w:rFonts w:eastAsia="Times New Roman"/>
                <w:sz w:val="16"/>
                <w:szCs w:val="16"/>
                <w:lang w:eastAsia="hr-HR"/>
              </w:rPr>
              <w:t>razlučnom</w:t>
            </w:r>
            <w:proofErr w:type="spellEnd"/>
            <w:r w:rsidRPr="001B4CA2">
              <w:rPr>
                <w:rFonts w:eastAsia="Times New Roman"/>
                <w:sz w:val="16"/>
                <w:szCs w:val="16"/>
                <w:lang w:eastAsia="hr-HR"/>
              </w:rPr>
              <w:t>/izlučnom pravu</w:t>
            </w:r>
          </w:p>
        </w:tc>
        <w:tc>
          <w:tcPr>
            <w:tcW w:w="0" w:type="auto"/>
            <w:tcBorders>
              <w:top w:val="nil"/>
              <w:left w:val="single" w:sz="4" w:space="0" w:color="auto"/>
              <w:bottom w:val="single" w:sz="4" w:space="0" w:color="auto"/>
              <w:right w:val="single" w:sz="4" w:space="0" w:color="auto"/>
            </w:tcBorders>
            <w:shd w:val="clear" w:color="auto" w:fill="99CCFF"/>
            <w:textDirection w:val="btLr"/>
            <w:vAlign w:val="center"/>
          </w:tcPr>
          <w:p w14:paraId="7E338CF1" w14:textId="77777777" w:rsidR="00671B63" w:rsidRPr="001B4CA2" w:rsidRDefault="00671B63" w:rsidP="00671B63">
            <w:pPr>
              <w:jc w:val="left"/>
              <w:rPr>
                <w:rFonts w:eastAsia="Times New Roman"/>
                <w:sz w:val="16"/>
                <w:szCs w:val="16"/>
                <w:lang w:eastAsia="hr-HR"/>
              </w:rPr>
            </w:pPr>
            <w:r w:rsidRPr="001B4CA2">
              <w:rPr>
                <w:rFonts w:eastAsia="Times New Roman"/>
                <w:sz w:val="16"/>
                <w:szCs w:val="16"/>
                <w:lang w:eastAsia="hr-HR"/>
              </w:rPr>
              <w:t xml:space="preserve">Iznos novčane tražbine </w:t>
            </w:r>
            <w:r w:rsidRPr="001B4CA2">
              <w:rPr>
                <w:rFonts w:eastAsia="Times New Roman"/>
                <w:sz w:val="16"/>
                <w:szCs w:val="16"/>
                <w:lang w:eastAsia="hr-HR"/>
              </w:rPr>
              <w:br/>
              <w:t>(u tisućama kuna)</w:t>
            </w:r>
          </w:p>
        </w:tc>
        <w:tc>
          <w:tcPr>
            <w:tcW w:w="0" w:type="auto"/>
            <w:tcBorders>
              <w:top w:val="nil"/>
              <w:left w:val="single" w:sz="4" w:space="0" w:color="auto"/>
              <w:bottom w:val="single" w:sz="4" w:space="0" w:color="auto"/>
              <w:right w:val="single" w:sz="4" w:space="0" w:color="auto"/>
            </w:tcBorders>
            <w:shd w:val="clear" w:color="auto" w:fill="99CCFF"/>
            <w:textDirection w:val="btLr"/>
            <w:vAlign w:val="center"/>
            <w:hideMark/>
          </w:tcPr>
          <w:p w14:paraId="1AB2F470" w14:textId="77777777" w:rsidR="00671B63" w:rsidRPr="001B4CA2" w:rsidRDefault="00671B63" w:rsidP="00671B63">
            <w:pPr>
              <w:jc w:val="left"/>
              <w:rPr>
                <w:rFonts w:eastAsia="Times New Roman"/>
                <w:sz w:val="16"/>
                <w:szCs w:val="16"/>
                <w:lang w:eastAsia="hr-HR"/>
              </w:rPr>
            </w:pPr>
            <w:r w:rsidRPr="001B4CA2">
              <w:rPr>
                <w:rFonts w:eastAsia="Times New Roman"/>
                <w:sz w:val="16"/>
                <w:szCs w:val="16"/>
                <w:lang w:eastAsia="hr-HR"/>
              </w:rPr>
              <w:t xml:space="preserve">Obavijest o </w:t>
            </w:r>
            <w:proofErr w:type="spellStart"/>
            <w:r w:rsidRPr="001B4CA2">
              <w:rPr>
                <w:rFonts w:eastAsia="Times New Roman"/>
                <w:sz w:val="16"/>
                <w:szCs w:val="16"/>
                <w:lang w:eastAsia="hr-HR"/>
              </w:rPr>
              <w:t>razlučnom</w:t>
            </w:r>
            <w:proofErr w:type="spellEnd"/>
            <w:r w:rsidRPr="001B4CA2">
              <w:rPr>
                <w:rFonts w:eastAsia="Times New Roman"/>
                <w:sz w:val="16"/>
                <w:szCs w:val="16"/>
                <w:lang w:eastAsia="hr-HR"/>
              </w:rPr>
              <w:t>/izlučnom pravu</w:t>
            </w:r>
          </w:p>
        </w:tc>
        <w:tc>
          <w:tcPr>
            <w:tcW w:w="0" w:type="auto"/>
            <w:tcBorders>
              <w:top w:val="nil"/>
              <w:left w:val="single" w:sz="4" w:space="0" w:color="auto"/>
              <w:bottom w:val="single" w:sz="4" w:space="0" w:color="auto"/>
              <w:right w:val="single" w:sz="4" w:space="0" w:color="auto"/>
            </w:tcBorders>
            <w:shd w:val="clear" w:color="auto" w:fill="99CCFF"/>
            <w:textDirection w:val="btLr"/>
            <w:vAlign w:val="center"/>
            <w:hideMark/>
          </w:tcPr>
          <w:p w14:paraId="5E581BF7" w14:textId="77777777" w:rsidR="00671B63" w:rsidRPr="001B4CA2" w:rsidRDefault="00671B63" w:rsidP="00671B63">
            <w:pPr>
              <w:jc w:val="left"/>
              <w:rPr>
                <w:rFonts w:eastAsia="Times New Roman"/>
                <w:sz w:val="16"/>
                <w:szCs w:val="16"/>
                <w:lang w:eastAsia="hr-HR"/>
              </w:rPr>
            </w:pPr>
            <w:r w:rsidRPr="001B4CA2">
              <w:rPr>
                <w:rFonts w:eastAsia="Times New Roman"/>
                <w:sz w:val="16"/>
                <w:szCs w:val="16"/>
                <w:lang w:eastAsia="hr-HR"/>
              </w:rPr>
              <w:t>Prijedlog za imenovanje likvidatora nad imovinom brisanog društva</w:t>
            </w:r>
          </w:p>
        </w:tc>
        <w:tc>
          <w:tcPr>
            <w:tcW w:w="0" w:type="auto"/>
            <w:tcBorders>
              <w:top w:val="nil"/>
              <w:left w:val="single" w:sz="4" w:space="0" w:color="auto"/>
              <w:bottom w:val="single" w:sz="4" w:space="0" w:color="auto"/>
              <w:right w:val="single" w:sz="4" w:space="0" w:color="auto"/>
            </w:tcBorders>
            <w:shd w:val="clear" w:color="auto" w:fill="99CCFF"/>
            <w:textDirection w:val="btLr"/>
            <w:vAlign w:val="center"/>
            <w:hideMark/>
          </w:tcPr>
          <w:p w14:paraId="7535C42B" w14:textId="77777777" w:rsidR="00671B63" w:rsidRPr="001B4CA2" w:rsidRDefault="00671B63" w:rsidP="00671B63">
            <w:pPr>
              <w:jc w:val="left"/>
              <w:rPr>
                <w:rFonts w:eastAsia="Times New Roman"/>
                <w:sz w:val="16"/>
                <w:szCs w:val="16"/>
                <w:lang w:eastAsia="hr-HR"/>
              </w:rPr>
            </w:pPr>
            <w:r w:rsidRPr="001B4CA2">
              <w:rPr>
                <w:rFonts w:eastAsia="Times New Roman"/>
                <w:sz w:val="16"/>
                <w:szCs w:val="16"/>
                <w:lang w:eastAsia="hr-HR"/>
              </w:rPr>
              <w:t>Službena bilješka kojom se okončava rad</w:t>
            </w:r>
          </w:p>
        </w:tc>
        <w:tc>
          <w:tcPr>
            <w:tcW w:w="0" w:type="auto"/>
            <w:tcBorders>
              <w:top w:val="nil"/>
              <w:left w:val="single" w:sz="4" w:space="0" w:color="auto"/>
              <w:bottom w:val="single" w:sz="4" w:space="0" w:color="auto"/>
              <w:right w:val="single" w:sz="4" w:space="0" w:color="auto"/>
            </w:tcBorders>
            <w:shd w:val="clear" w:color="auto" w:fill="99CCFF"/>
            <w:textDirection w:val="btLr"/>
            <w:vAlign w:val="center"/>
            <w:hideMark/>
          </w:tcPr>
          <w:p w14:paraId="2AB3A5FA" w14:textId="77777777" w:rsidR="00671B63" w:rsidRPr="001B4CA2" w:rsidRDefault="00671B63" w:rsidP="00671B63">
            <w:pPr>
              <w:jc w:val="left"/>
              <w:rPr>
                <w:rFonts w:eastAsia="Times New Roman"/>
                <w:b/>
                <w:bCs/>
                <w:sz w:val="16"/>
                <w:szCs w:val="16"/>
                <w:lang w:eastAsia="hr-HR"/>
              </w:rPr>
            </w:pPr>
            <w:r w:rsidRPr="001B4CA2">
              <w:rPr>
                <w:rFonts w:eastAsia="Times New Roman"/>
                <w:b/>
                <w:bCs/>
                <w:sz w:val="16"/>
                <w:szCs w:val="16"/>
                <w:lang w:eastAsia="hr-HR"/>
              </w:rPr>
              <w:t>Ukupno MDO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32124" w14:textId="77777777" w:rsidR="00671B63" w:rsidRPr="001B4CA2" w:rsidRDefault="00671B63" w:rsidP="00671B63">
            <w:pPr>
              <w:jc w:val="center"/>
              <w:rPr>
                <w:rFonts w:eastAsia="Times New Roman"/>
                <w:sz w:val="16"/>
                <w:szCs w:val="16"/>
                <w:lang w:eastAsia="hr-H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B3A32" w14:textId="77777777" w:rsidR="00671B63" w:rsidRPr="001B4CA2" w:rsidRDefault="00671B63" w:rsidP="00671B63">
            <w:pPr>
              <w:jc w:val="center"/>
              <w:rPr>
                <w:rFonts w:eastAsia="Times New Roman"/>
                <w:sz w:val="16"/>
                <w:szCs w:val="16"/>
                <w:lang w:eastAsia="hr-HR"/>
              </w:rPr>
            </w:pPr>
          </w:p>
        </w:tc>
      </w:tr>
      <w:tr w:rsidR="00671B63" w:rsidRPr="001B4CA2" w14:paraId="0F74C970" w14:textId="77777777" w:rsidTr="005D30E9">
        <w:trPr>
          <w:trHeight w:val="454"/>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412493E7" w14:textId="77777777" w:rsidR="00671B63" w:rsidRPr="005D30E9" w:rsidRDefault="00671B63" w:rsidP="00671B63">
            <w:pPr>
              <w:jc w:val="center"/>
              <w:rPr>
                <w:rFonts w:eastAsia="Times New Roman"/>
                <w:color w:val="000000"/>
                <w:sz w:val="16"/>
                <w:szCs w:val="16"/>
                <w:lang w:eastAsia="hr-HR"/>
              </w:rPr>
            </w:pPr>
            <w:r w:rsidRPr="005D30E9">
              <w:rPr>
                <w:rFonts w:eastAsia="Times New Roman"/>
                <w:color w:val="000000"/>
                <w:sz w:val="16"/>
                <w:szCs w:val="16"/>
                <w:lang w:eastAsia="hr-HR"/>
              </w:rPr>
              <w:t>2020.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4ACA87" w14:textId="77777777" w:rsidR="00671B63" w:rsidRPr="005D30E9" w:rsidRDefault="00671B63" w:rsidP="00671B63">
            <w:pPr>
              <w:jc w:val="center"/>
              <w:rPr>
                <w:rFonts w:eastAsia="Times New Roman"/>
                <w:color w:val="000000"/>
                <w:sz w:val="16"/>
                <w:szCs w:val="16"/>
                <w:lang w:eastAsia="hr-HR"/>
              </w:rPr>
            </w:pPr>
            <w:r w:rsidRPr="005D30E9">
              <w:rPr>
                <w:rFonts w:eastAsia="Times New Roman"/>
                <w:color w:val="000000"/>
                <w:sz w:val="16"/>
                <w:szCs w:val="16"/>
                <w:lang w:eastAsia="hr-HR"/>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486D11" w14:textId="77777777" w:rsidR="00671B63" w:rsidRPr="005D30E9" w:rsidRDefault="00671B63" w:rsidP="00671B63">
            <w:pPr>
              <w:jc w:val="center"/>
              <w:rPr>
                <w:rFonts w:eastAsia="Times New Roman"/>
                <w:bCs/>
                <w:color w:val="000000"/>
                <w:sz w:val="16"/>
                <w:szCs w:val="16"/>
                <w:lang w:eastAsia="hr-HR"/>
              </w:rPr>
            </w:pPr>
            <w:r w:rsidRPr="005D30E9">
              <w:rPr>
                <w:rFonts w:eastAsia="Times New Roman"/>
                <w:bCs/>
                <w:color w:val="000000"/>
                <w:sz w:val="16"/>
                <w:szCs w:val="16"/>
                <w:lang w:eastAsia="hr-HR"/>
              </w:rPr>
              <w:t>3.557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8CFEB8" w14:textId="77777777" w:rsidR="00671B63" w:rsidRPr="005D30E9" w:rsidRDefault="00671B63" w:rsidP="00671B63">
            <w:pPr>
              <w:jc w:val="center"/>
              <w:rPr>
                <w:rFonts w:eastAsia="Times New Roman"/>
                <w:bCs/>
                <w:color w:val="000000"/>
                <w:sz w:val="16"/>
                <w:szCs w:val="16"/>
                <w:lang w:eastAsia="hr-HR"/>
              </w:rPr>
            </w:pPr>
            <w:r w:rsidRPr="005D30E9">
              <w:rPr>
                <w:rFonts w:eastAsia="Times New Roman"/>
                <w:bCs/>
                <w:color w:val="000000"/>
                <w:sz w:val="16"/>
                <w:szCs w:val="16"/>
                <w:lang w:eastAsia="hr-HR"/>
              </w:rPr>
              <w:t>3.717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148EA5" w14:textId="77777777" w:rsidR="00671B63" w:rsidRPr="005D30E9" w:rsidRDefault="00671B63" w:rsidP="00671B63">
            <w:pPr>
              <w:jc w:val="center"/>
              <w:rPr>
                <w:bCs/>
                <w:sz w:val="16"/>
                <w:szCs w:val="16"/>
              </w:rPr>
            </w:pPr>
            <w:r w:rsidRPr="005D30E9">
              <w:rPr>
                <w:bCs/>
                <w:sz w:val="16"/>
                <w:szCs w:val="16"/>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B11375" w14:textId="77777777" w:rsidR="00671B63" w:rsidRPr="005D30E9" w:rsidRDefault="00671B63" w:rsidP="00671B63">
            <w:pPr>
              <w:jc w:val="center"/>
              <w:rPr>
                <w:bCs/>
                <w:sz w:val="16"/>
                <w:szCs w:val="16"/>
              </w:rPr>
            </w:pPr>
            <w:r w:rsidRPr="005D30E9">
              <w:rPr>
                <w:bCs/>
                <w:sz w:val="16"/>
                <w:szCs w:val="16"/>
              </w:rPr>
              <w:t>357</w:t>
            </w:r>
          </w:p>
        </w:tc>
        <w:tc>
          <w:tcPr>
            <w:tcW w:w="0" w:type="auto"/>
            <w:tcBorders>
              <w:top w:val="single" w:sz="4" w:space="0" w:color="auto"/>
              <w:left w:val="single" w:sz="4" w:space="0" w:color="auto"/>
              <w:bottom w:val="single" w:sz="4" w:space="0" w:color="auto"/>
              <w:right w:val="single" w:sz="4" w:space="0" w:color="auto"/>
            </w:tcBorders>
            <w:vAlign w:val="center"/>
          </w:tcPr>
          <w:p w14:paraId="234415DF" w14:textId="77777777" w:rsidR="00671B63" w:rsidRPr="005D30E9" w:rsidRDefault="00671B63" w:rsidP="00671B63">
            <w:pPr>
              <w:jc w:val="center"/>
              <w:rPr>
                <w:bCs/>
                <w:sz w:val="16"/>
                <w:szCs w:val="16"/>
              </w:rPr>
            </w:pPr>
            <w:r w:rsidRPr="005D30E9">
              <w:rPr>
                <w:bCs/>
                <w:sz w:val="16"/>
                <w:szCs w:val="16"/>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07BF7E" w14:textId="77777777" w:rsidR="00671B63" w:rsidRPr="005D30E9" w:rsidRDefault="00671B63" w:rsidP="00671B63">
            <w:pPr>
              <w:jc w:val="center"/>
              <w:rPr>
                <w:bCs/>
                <w:sz w:val="16"/>
                <w:szCs w:val="16"/>
              </w:rPr>
            </w:pPr>
            <w:r w:rsidRPr="005D30E9">
              <w:rPr>
                <w:bCs/>
                <w:sz w:val="16"/>
                <w:szCs w:val="16"/>
              </w:rPr>
              <w:t>688</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7249F014" w14:textId="77777777" w:rsidR="00671B63" w:rsidRPr="005D30E9" w:rsidRDefault="00671B63" w:rsidP="00671B63">
            <w:pPr>
              <w:jc w:val="center"/>
              <w:rPr>
                <w:bCs/>
                <w:sz w:val="16"/>
                <w:szCs w:val="16"/>
              </w:rPr>
            </w:pPr>
            <w:r w:rsidRPr="005D30E9">
              <w:rPr>
                <w:bCs/>
                <w:sz w:val="16"/>
                <w:szCs w:val="16"/>
              </w:rPr>
              <w:t>443.225</w:t>
            </w:r>
          </w:p>
        </w:tc>
        <w:tc>
          <w:tcPr>
            <w:tcW w:w="479" w:type="dxa"/>
            <w:tcBorders>
              <w:top w:val="single" w:sz="4" w:space="0" w:color="auto"/>
              <w:left w:val="single" w:sz="4" w:space="0" w:color="auto"/>
              <w:bottom w:val="single" w:sz="4" w:space="0" w:color="auto"/>
              <w:right w:val="single" w:sz="4" w:space="0" w:color="auto"/>
            </w:tcBorders>
            <w:vAlign w:val="center"/>
          </w:tcPr>
          <w:p w14:paraId="198C2F05" w14:textId="77777777" w:rsidR="00671B63" w:rsidRPr="005D30E9" w:rsidRDefault="00671B63" w:rsidP="00671B63">
            <w:pPr>
              <w:jc w:val="center"/>
              <w:rPr>
                <w:bCs/>
                <w:sz w:val="16"/>
                <w:szCs w:val="16"/>
              </w:rPr>
            </w:pPr>
            <w:r w:rsidRPr="005D30E9">
              <w:rPr>
                <w:bCs/>
                <w:sz w:val="16"/>
                <w:szCs w:val="16"/>
              </w:rPr>
              <w:t>132</w:t>
            </w:r>
          </w:p>
        </w:tc>
        <w:tc>
          <w:tcPr>
            <w:tcW w:w="0" w:type="auto"/>
            <w:tcBorders>
              <w:top w:val="single" w:sz="4" w:space="0" w:color="auto"/>
              <w:left w:val="single" w:sz="4" w:space="0" w:color="auto"/>
              <w:bottom w:val="single" w:sz="4" w:space="0" w:color="auto"/>
              <w:right w:val="single" w:sz="4" w:space="0" w:color="auto"/>
            </w:tcBorders>
            <w:vAlign w:val="center"/>
          </w:tcPr>
          <w:p w14:paraId="31F4A11E" w14:textId="77777777" w:rsidR="00671B63" w:rsidRPr="005D30E9" w:rsidRDefault="00671B63" w:rsidP="00671B63">
            <w:pPr>
              <w:jc w:val="center"/>
              <w:rPr>
                <w:bCs/>
                <w:sz w:val="16"/>
                <w:szCs w:val="16"/>
              </w:rPr>
            </w:pPr>
            <w:r w:rsidRPr="005D30E9">
              <w:rPr>
                <w:bCs/>
                <w:sz w:val="16"/>
                <w:szCs w:val="16"/>
              </w:rPr>
              <w:t>271.548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D5CE9F" w14:textId="77777777" w:rsidR="00671B63" w:rsidRPr="005D30E9" w:rsidRDefault="00671B63" w:rsidP="00671B63">
            <w:pPr>
              <w:jc w:val="center"/>
              <w:rPr>
                <w:bCs/>
                <w:sz w:val="16"/>
                <w:szCs w:val="16"/>
              </w:rPr>
            </w:pPr>
            <w:r w:rsidRPr="005D30E9">
              <w:rPr>
                <w:bCs/>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64719D" w14:textId="77777777" w:rsidR="00671B63" w:rsidRPr="005D30E9" w:rsidRDefault="00671B63" w:rsidP="00671B63">
            <w:pPr>
              <w:jc w:val="center"/>
              <w:rPr>
                <w:bCs/>
                <w:sz w:val="16"/>
                <w:szCs w:val="16"/>
              </w:rPr>
            </w:pPr>
            <w:r w:rsidRPr="005D30E9">
              <w:rPr>
                <w:bCs/>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679BA8" w14:textId="77777777" w:rsidR="00671B63" w:rsidRPr="005D30E9" w:rsidRDefault="00671B63" w:rsidP="00671B63">
            <w:pPr>
              <w:jc w:val="center"/>
              <w:rPr>
                <w:bCs/>
                <w:sz w:val="16"/>
                <w:szCs w:val="16"/>
              </w:rPr>
            </w:pPr>
            <w:r w:rsidRPr="005D30E9">
              <w:rPr>
                <w:bCs/>
                <w:sz w:val="16"/>
                <w:szCs w:val="16"/>
              </w:rPr>
              <w:t>1921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CB4D2F" w14:textId="77777777" w:rsidR="00671B63" w:rsidRPr="005D30E9" w:rsidRDefault="00671B63" w:rsidP="00671B63">
            <w:pPr>
              <w:jc w:val="center"/>
              <w:rPr>
                <w:bCs/>
                <w:sz w:val="16"/>
                <w:szCs w:val="16"/>
              </w:rPr>
            </w:pPr>
            <w:r w:rsidRPr="005D30E9">
              <w:rPr>
                <w:bCs/>
                <w:sz w:val="16"/>
                <w:szCs w:val="16"/>
              </w:rPr>
              <w:t>3146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5CACB0" w14:textId="77777777" w:rsidR="00671B63" w:rsidRPr="005D30E9" w:rsidRDefault="00671B63" w:rsidP="00671B63">
            <w:pPr>
              <w:jc w:val="center"/>
              <w:rPr>
                <w:rFonts w:eastAsia="Times New Roman"/>
                <w:color w:val="000000"/>
                <w:sz w:val="16"/>
                <w:szCs w:val="16"/>
                <w:lang w:eastAsia="hr-HR"/>
              </w:rPr>
            </w:pPr>
            <w:r w:rsidRPr="005D30E9">
              <w:rPr>
                <w:rFonts w:eastAsia="Times New Roman"/>
                <w:color w:val="000000"/>
                <w:sz w:val="16"/>
                <w:szCs w:val="16"/>
                <w:lang w:eastAsia="hr-HR"/>
              </w:rPr>
              <w:t>540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59A0A6" w14:textId="77777777" w:rsidR="00671B63" w:rsidRPr="005D30E9" w:rsidRDefault="00671B63" w:rsidP="00671B63">
            <w:pPr>
              <w:jc w:val="center"/>
              <w:rPr>
                <w:rFonts w:eastAsia="Times New Roman"/>
                <w:color w:val="000000"/>
                <w:sz w:val="16"/>
                <w:szCs w:val="16"/>
                <w:lang w:eastAsia="hr-HR"/>
              </w:rPr>
            </w:pPr>
            <w:r w:rsidRPr="005D30E9">
              <w:rPr>
                <w:rFonts w:eastAsia="Times New Roman"/>
                <w:color w:val="000000"/>
                <w:sz w:val="16"/>
                <w:szCs w:val="16"/>
                <w:lang w:eastAsia="hr-HR"/>
              </w:rPr>
              <w:t>3.686</w:t>
            </w:r>
          </w:p>
        </w:tc>
      </w:tr>
      <w:tr w:rsidR="00671B63" w:rsidRPr="001B4CA2" w14:paraId="29DBAB37" w14:textId="77777777" w:rsidTr="005D30E9">
        <w:trPr>
          <w:trHeight w:val="454"/>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0E608BF5" w14:textId="77777777" w:rsidR="00671B63" w:rsidRPr="005D30E9" w:rsidRDefault="00671B63" w:rsidP="00671B63">
            <w:pPr>
              <w:jc w:val="center"/>
              <w:rPr>
                <w:rFonts w:eastAsia="Times New Roman"/>
                <w:color w:val="000000"/>
                <w:sz w:val="16"/>
                <w:szCs w:val="16"/>
                <w:lang w:eastAsia="hr-HR"/>
              </w:rPr>
            </w:pPr>
            <w:r w:rsidRPr="005D30E9">
              <w:rPr>
                <w:rFonts w:eastAsia="Times New Roman"/>
                <w:color w:val="000000"/>
                <w:sz w:val="16"/>
                <w:szCs w:val="16"/>
                <w:lang w:eastAsia="hr-HR"/>
              </w:rPr>
              <w:t>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E5E74F" w14:textId="77777777" w:rsidR="00671B63" w:rsidRPr="005D30E9" w:rsidRDefault="00671B63" w:rsidP="00671B63">
            <w:pPr>
              <w:jc w:val="center"/>
              <w:rPr>
                <w:rFonts w:eastAsia="Times New Roman"/>
                <w:color w:val="000000"/>
                <w:sz w:val="16"/>
                <w:szCs w:val="16"/>
                <w:lang w:eastAsia="hr-HR"/>
              </w:rPr>
            </w:pPr>
            <w:r w:rsidRPr="005D30E9">
              <w:rPr>
                <w:rFonts w:eastAsia="Times New Roman"/>
                <w:color w:val="000000"/>
                <w:sz w:val="16"/>
                <w:szCs w:val="16"/>
                <w:lang w:eastAsia="hr-HR"/>
              </w:rPr>
              <w:t>161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E7891C" w14:textId="77777777" w:rsidR="00671B63" w:rsidRPr="005D30E9" w:rsidRDefault="00671B63" w:rsidP="00671B63">
            <w:pPr>
              <w:jc w:val="center"/>
              <w:rPr>
                <w:rFonts w:eastAsia="Times New Roman"/>
                <w:bCs/>
                <w:color w:val="000000"/>
                <w:sz w:val="16"/>
                <w:szCs w:val="16"/>
                <w:lang w:eastAsia="hr-HR"/>
              </w:rPr>
            </w:pPr>
            <w:r w:rsidRPr="005D30E9">
              <w:rPr>
                <w:rFonts w:eastAsia="Times New Roman"/>
                <w:bCs/>
                <w:color w:val="000000"/>
                <w:sz w:val="16"/>
                <w:szCs w:val="16"/>
                <w:lang w:eastAsia="hr-HR"/>
              </w:rPr>
              <w:t>5.231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83AE9E" w14:textId="77777777" w:rsidR="00671B63" w:rsidRPr="005D30E9" w:rsidRDefault="00671B63" w:rsidP="00671B63">
            <w:pPr>
              <w:jc w:val="center"/>
              <w:rPr>
                <w:rFonts w:eastAsia="Times New Roman"/>
                <w:bCs/>
                <w:color w:val="000000"/>
                <w:sz w:val="16"/>
                <w:szCs w:val="16"/>
                <w:lang w:eastAsia="hr-HR"/>
              </w:rPr>
            </w:pPr>
            <w:r w:rsidRPr="005D30E9">
              <w:rPr>
                <w:rFonts w:eastAsia="Times New Roman"/>
                <w:bCs/>
                <w:color w:val="000000"/>
                <w:sz w:val="16"/>
                <w:szCs w:val="16"/>
                <w:lang w:eastAsia="hr-HR"/>
              </w:rPr>
              <w:t>5.392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CECD20" w14:textId="77777777" w:rsidR="00671B63" w:rsidRPr="005D30E9" w:rsidRDefault="00671B63" w:rsidP="00671B63">
            <w:pPr>
              <w:jc w:val="center"/>
              <w:rPr>
                <w:bCs/>
                <w:sz w:val="16"/>
                <w:szCs w:val="16"/>
              </w:rPr>
            </w:pPr>
            <w:r w:rsidRPr="005D30E9">
              <w:rPr>
                <w:bCs/>
                <w:sz w:val="16"/>
                <w:szCs w:val="16"/>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A0036A" w14:textId="77777777" w:rsidR="00671B63" w:rsidRPr="005D30E9" w:rsidRDefault="00671B63" w:rsidP="00671B63">
            <w:pPr>
              <w:jc w:val="center"/>
              <w:rPr>
                <w:bCs/>
                <w:sz w:val="16"/>
                <w:szCs w:val="16"/>
              </w:rPr>
            </w:pPr>
            <w:r w:rsidRPr="005D30E9">
              <w:rPr>
                <w:bCs/>
                <w:sz w:val="16"/>
                <w:szCs w:val="16"/>
              </w:rPr>
              <w:t>658</w:t>
            </w:r>
          </w:p>
        </w:tc>
        <w:tc>
          <w:tcPr>
            <w:tcW w:w="0" w:type="auto"/>
            <w:tcBorders>
              <w:top w:val="single" w:sz="4" w:space="0" w:color="auto"/>
              <w:left w:val="single" w:sz="4" w:space="0" w:color="auto"/>
              <w:bottom w:val="single" w:sz="4" w:space="0" w:color="auto"/>
              <w:right w:val="single" w:sz="4" w:space="0" w:color="auto"/>
            </w:tcBorders>
            <w:vAlign w:val="center"/>
          </w:tcPr>
          <w:p w14:paraId="4AAFDB97" w14:textId="77777777" w:rsidR="00671B63" w:rsidRPr="005D30E9" w:rsidRDefault="00671B63" w:rsidP="00671B63">
            <w:pPr>
              <w:jc w:val="center"/>
              <w:rPr>
                <w:bCs/>
                <w:sz w:val="16"/>
                <w:szCs w:val="16"/>
              </w:rPr>
            </w:pPr>
            <w:r w:rsidRPr="005D30E9">
              <w:rPr>
                <w:bCs/>
                <w:sz w:val="16"/>
                <w:szCs w:val="16"/>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8800C7" w14:textId="77777777" w:rsidR="00671B63" w:rsidRPr="005D30E9" w:rsidRDefault="00671B63" w:rsidP="00671B63">
            <w:pPr>
              <w:jc w:val="center"/>
              <w:rPr>
                <w:bCs/>
                <w:sz w:val="16"/>
                <w:szCs w:val="16"/>
              </w:rPr>
            </w:pPr>
            <w:r w:rsidRPr="005D30E9">
              <w:rPr>
                <w:bCs/>
                <w:sz w:val="16"/>
                <w:szCs w:val="16"/>
              </w:rPr>
              <w:t>638</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792B2BA" w14:textId="77777777" w:rsidR="00671B63" w:rsidRPr="005D30E9" w:rsidRDefault="00671B63" w:rsidP="00671B63">
            <w:pPr>
              <w:jc w:val="center"/>
              <w:rPr>
                <w:bCs/>
                <w:sz w:val="16"/>
                <w:szCs w:val="16"/>
              </w:rPr>
            </w:pPr>
            <w:r w:rsidRPr="005D30E9">
              <w:rPr>
                <w:bCs/>
                <w:sz w:val="16"/>
                <w:szCs w:val="16"/>
              </w:rPr>
              <w:t>597.919</w:t>
            </w:r>
          </w:p>
        </w:tc>
        <w:tc>
          <w:tcPr>
            <w:tcW w:w="479" w:type="dxa"/>
            <w:tcBorders>
              <w:top w:val="single" w:sz="4" w:space="0" w:color="auto"/>
              <w:left w:val="single" w:sz="4" w:space="0" w:color="auto"/>
              <w:bottom w:val="single" w:sz="4" w:space="0" w:color="auto"/>
              <w:right w:val="single" w:sz="4" w:space="0" w:color="auto"/>
            </w:tcBorders>
            <w:vAlign w:val="center"/>
          </w:tcPr>
          <w:p w14:paraId="71DF5AA4" w14:textId="77777777" w:rsidR="00671B63" w:rsidRPr="005D30E9" w:rsidRDefault="00671B63" w:rsidP="00671B63">
            <w:pPr>
              <w:jc w:val="center"/>
              <w:rPr>
                <w:bCs/>
                <w:sz w:val="16"/>
                <w:szCs w:val="16"/>
              </w:rPr>
            </w:pPr>
            <w:r w:rsidRPr="005D30E9">
              <w:rPr>
                <w:bCs/>
                <w:sz w:val="16"/>
                <w:szCs w:val="16"/>
              </w:rPr>
              <w:t>102</w:t>
            </w:r>
          </w:p>
        </w:tc>
        <w:tc>
          <w:tcPr>
            <w:tcW w:w="0" w:type="auto"/>
            <w:tcBorders>
              <w:top w:val="single" w:sz="4" w:space="0" w:color="auto"/>
              <w:left w:val="single" w:sz="4" w:space="0" w:color="auto"/>
              <w:bottom w:val="single" w:sz="4" w:space="0" w:color="auto"/>
              <w:right w:val="single" w:sz="4" w:space="0" w:color="auto"/>
            </w:tcBorders>
            <w:vAlign w:val="center"/>
          </w:tcPr>
          <w:p w14:paraId="20A533F3" w14:textId="77777777" w:rsidR="00671B63" w:rsidRPr="005D30E9" w:rsidRDefault="00671B63" w:rsidP="00671B63">
            <w:pPr>
              <w:jc w:val="center"/>
              <w:rPr>
                <w:bCs/>
                <w:sz w:val="16"/>
                <w:szCs w:val="16"/>
              </w:rPr>
            </w:pPr>
            <w:r w:rsidRPr="005D30E9">
              <w:rPr>
                <w:bCs/>
                <w:sz w:val="16"/>
                <w:szCs w:val="16"/>
              </w:rPr>
              <w:t>116.609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C6BA2E" w14:textId="77777777" w:rsidR="00671B63" w:rsidRPr="005D30E9" w:rsidRDefault="00671B63" w:rsidP="00671B63">
            <w:pPr>
              <w:jc w:val="center"/>
              <w:rPr>
                <w:bCs/>
                <w:sz w:val="16"/>
                <w:szCs w:val="16"/>
              </w:rPr>
            </w:pPr>
            <w:r w:rsidRPr="005D30E9">
              <w:rPr>
                <w:bCs/>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E16CCC" w14:textId="77777777" w:rsidR="00671B63" w:rsidRPr="005D30E9" w:rsidRDefault="00671B63" w:rsidP="00671B63">
            <w:pPr>
              <w:jc w:val="center"/>
              <w:rPr>
                <w:bCs/>
                <w:sz w:val="16"/>
                <w:szCs w:val="16"/>
              </w:rPr>
            </w:pPr>
            <w:r w:rsidRPr="005D30E9">
              <w:rPr>
                <w:bCs/>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17B223" w14:textId="77777777" w:rsidR="00671B63" w:rsidRPr="005D30E9" w:rsidRDefault="00671B63" w:rsidP="00671B63">
            <w:pPr>
              <w:jc w:val="center"/>
              <w:rPr>
                <w:bCs/>
                <w:sz w:val="16"/>
                <w:szCs w:val="16"/>
              </w:rPr>
            </w:pPr>
            <w:r w:rsidRPr="005D30E9">
              <w:rPr>
                <w:bCs/>
                <w:sz w:val="16"/>
                <w:szCs w:val="16"/>
              </w:rPr>
              <w:t>2970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19D56F" w14:textId="77777777" w:rsidR="00671B63" w:rsidRPr="005D30E9" w:rsidRDefault="00671B63" w:rsidP="00671B63">
            <w:pPr>
              <w:jc w:val="center"/>
              <w:rPr>
                <w:bCs/>
                <w:sz w:val="16"/>
                <w:szCs w:val="16"/>
              </w:rPr>
            </w:pPr>
            <w:r w:rsidRPr="005D30E9">
              <w:rPr>
                <w:bCs/>
                <w:sz w:val="16"/>
                <w:szCs w:val="16"/>
              </w:rPr>
              <w:t>4429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1DF2AA" w14:textId="77777777" w:rsidR="00671B63" w:rsidRPr="005D30E9" w:rsidRDefault="00671B63" w:rsidP="00671B63">
            <w:pPr>
              <w:jc w:val="center"/>
              <w:rPr>
                <w:rFonts w:eastAsia="Times New Roman"/>
                <w:color w:val="000000"/>
                <w:sz w:val="16"/>
                <w:szCs w:val="16"/>
                <w:lang w:eastAsia="hr-HR"/>
              </w:rPr>
            </w:pPr>
            <w:r w:rsidRPr="005D30E9">
              <w:rPr>
                <w:rFonts w:eastAsia="Times New Roman"/>
                <w:color w:val="000000"/>
                <w:sz w:val="16"/>
                <w:szCs w:val="16"/>
                <w:lang w:eastAsia="hr-HR"/>
              </w:rPr>
              <w:t>801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F360F7" w14:textId="77777777" w:rsidR="00671B63" w:rsidRPr="005D30E9" w:rsidRDefault="00671B63" w:rsidP="00671B63">
            <w:pPr>
              <w:jc w:val="center"/>
              <w:rPr>
                <w:rFonts w:eastAsia="Times New Roman"/>
                <w:color w:val="000000"/>
                <w:sz w:val="16"/>
                <w:szCs w:val="16"/>
                <w:lang w:eastAsia="hr-HR"/>
              </w:rPr>
            </w:pPr>
            <w:r w:rsidRPr="005D30E9">
              <w:rPr>
                <w:rFonts w:eastAsia="Times New Roman"/>
                <w:color w:val="000000"/>
                <w:sz w:val="16"/>
                <w:szCs w:val="16"/>
                <w:lang w:eastAsia="hr-HR"/>
              </w:rPr>
              <w:t>5.230</w:t>
            </w:r>
          </w:p>
        </w:tc>
      </w:tr>
      <w:tr w:rsidR="00671B63" w:rsidRPr="001B4CA2" w14:paraId="4C93D789" w14:textId="77777777" w:rsidTr="005D30E9">
        <w:trPr>
          <w:trHeight w:val="454"/>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6B441B65" w14:textId="77777777" w:rsidR="00671B63" w:rsidRPr="005D30E9" w:rsidRDefault="00671B63" w:rsidP="00671B63">
            <w:pPr>
              <w:jc w:val="center"/>
              <w:rPr>
                <w:rFonts w:eastAsia="Times New Roman"/>
                <w:color w:val="000000"/>
                <w:sz w:val="16"/>
                <w:szCs w:val="16"/>
                <w:lang w:eastAsia="hr-HR"/>
              </w:rPr>
            </w:pPr>
            <w:r w:rsidRPr="005D30E9">
              <w:rPr>
                <w:rFonts w:eastAsia="Times New Roman"/>
                <w:color w:val="000000"/>
                <w:sz w:val="16"/>
                <w:szCs w:val="16"/>
                <w:lang w:eastAsia="hr-HR"/>
              </w:rPr>
              <w:t>2022.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DBD74C" w14:textId="77777777" w:rsidR="00671B63" w:rsidRPr="005D30E9" w:rsidRDefault="00671B63" w:rsidP="00671B63">
            <w:pPr>
              <w:jc w:val="center"/>
              <w:rPr>
                <w:rFonts w:eastAsia="Times New Roman"/>
                <w:color w:val="000000"/>
                <w:sz w:val="16"/>
                <w:szCs w:val="16"/>
                <w:lang w:eastAsia="hr-HR"/>
              </w:rPr>
            </w:pPr>
            <w:r w:rsidRPr="005D30E9">
              <w:rPr>
                <w:rFonts w:eastAsia="Times New Roman"/>
                <w:color w:val="000000"/>
                <w:sz w:val="16"/>
                <w:szCs w:val="16"/>
                <w:lang w:eastAsia="hr-HR"/>
              </w:rPr>
              <w:t>235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F3DC6" w14:textId="77777777" w:rsidR="00671B63" w:rsidRPr="005D30E9" w:rsidRDefault="00671B63" w:rsidP="00671B63">
            <w:pPr>
              <w:jc w:val="center"/>
              <w:rPr>
                <w:bCs/>
                <w:sz w:val="16"/>
                <w:szCs w:val="16"/>
              </w:rPr>
            </w:pPr>
            <w:r w:rsidRPr="005D30E9">
              <w:rPr>
                <w:bCs/>
                <w:sz w:val="16"/>
                <w:szCs w:val="16"/>
              </w:rPr>
              <w:t>5.810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51B37E" w14:textId="77777777" w:rsidR="00671B63" w:rsidRPr="005D30E9" w:rsidRDefault="00671B63" w:rsidP="00671B63">
            <w:pPr>
              <w:jc w:val="center"/>
              <w:rPr>
                <w:bCs/>
                <w:sz w:val="16"/>
                <w:szCs w:val="16"/>
              </w:rPr>
            </w:pPr>
            <w:r w:rsidRPr="005D30E9">
              <w:rPr>
                <w:bCs/>
                <w:sz w:val="16"/>
                <w:szCs w:val="16"/>
              </w:rPr>
              <w:t>6.045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5FA518" w14:textId="77777777" w:rsidR="00671B63" w:rsidRPr="005D30E9" w:rsidRDefault="00671B63" w:rsidP="00671B63">
            <w:pPr>
              <w:jc w:val="center"/>
              <w:rPr>
                <w:bCs/>
                <w:sz w:val="16"/>
                <w:szCs w:val="16"/>
              </w:rPr>
            </w:pPr>
            <w:r w:rsidRPr="005D30E9">
              <w:rPr>
                <w:bCs/>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4D45A9" w14:textId="77777777" w:rsidR="00671B63" w:rsidRPr="005D30E9" w:rsidRDefault="00671B63" w:rsidP="00671B63">
            <w:pPr>
              <w:jc w:val="center"/>
              <w:rPr>
                <w:bCs/>
                <w:sz w:val="16"/>
                <w:szCs w:val="16"/>
              </w:rPr>
            </w:pPr>
            <w:r w:rsidRPr="005D30E9">
              <w:rPr>
                <w:bCs/>
                <w:sz w:val="16"/>
                <w:szCs w:val="16"/>
              </w:rPr>
              <w:t>464</w:t>
            </w:r>
          </w:p>
        </w:tc>
        <w:tc>
          <w:tcPr>
            <w:tcW w:w="0" w:type="auto"/>
            <w:tcBorders>
              <w:top w:val="single" w:sz="4" w:space="0" w:color="auto"/>
              <w:left w:val="single" w:sz="4" w:space="0" w:color="auto"/>
              <w:bottom w:val="single" w:sz="4" w:space="0" w:color="auto"/>
              <w:right w:val="single" w:sz="4" w:space="0" w:color="auto"/>
            </w:tcBorders>
            <w:vAlign w:val="center"/>
          </w:tcPr>
          <w:p w14:paraId="6D764A38" w14:textId="77777777" w:rsidR="00671B63" w:rsidRPr="005D30E9" w:rsidRDefault="00671B63" w:rsidP="00671B63">
            <w:pPr>
              <w:jc w:val="center"/>
              <w:rPr>
                <w:bCs/>
                <w:sz w:val="16"/>
                <w:szCs w:val="16"/>
              </w:rPr>
            </w:pPr>
            <w:r w:rsidRPr="005D30E9">
              <w:rPr>
                <w:bCs/>
                <w:sz w:val="16"/>
                <w:szCs w:val="16"/>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0A40C6" w14:textId="77777777" w:rsidR="00671B63" w:rsidRPr="005D30E9" w:rsidRDefault="00671B63" w:rsidP="00671B63">
            <w:pPr>
              <w:jc w:val="center"/>
              <w:rPr>
                <w:bCs/>
                <w:sz w:val="16"/>
                <w:szCs w:val="16"/>
              </w:rPr>
            </w:pPr>
            <w:r w:rsidRPr="005D30E9">
              <w:rPr>
                <w:bCs/>
                <w:sz w:val="16"/>
                <w:szCs w:val="16"/>
              </w:rPr>
              <w:t>617</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1A63E4A4" w14:textId="77777777" w:rsidR="00671B63" w:rsidRPr="005D30E9" w:rsidRDefault="00671B63" w:rsidP="00671B63">
            <w:pPr>
              <w:jc w:val="center"/>
              <w:rPr>
                <w:bCs/>
                <w:sz w:val="16"/>
                <w:szCs w:val="16"/>
              </w:rPr>
            </w:pPr>
            <w:r w:rsidRPr="005D30E9">
              <w:rPr>
                <w:bCs/>
                <w:sz w:val="16"/>
                <w:szCs w:val="16"/>
              </w:rPr>
              <w:t>675.084</w:t>
            </w:r>
          </w:p>
        </w:tc>
        <w:tc>
          <w:tcPr>
            <w:tcW w:w="479" w:type="dxa"/>
            <w:tcBorders>
              <w:top w:val="single" w:sz="4" w:space="0" w:color="auto"/>
              <w:left w:val="single" w:sz="4" w:space="0" w:color="auto"/>
              <w:bottom w:val="single" w:sz="4" w:space="0" w:color="auto"/>
              <w:right w:val="single" w:sz="4" w:space="0" w:color="auto"/>
            </w:tcBorders>
            <w:vAlign w:val="center"/>
          </w:tcPr>
          <w:p w14:paraId="05473309" w14:textId="77777777" w:rsidR="00671B63" w:rsidRPr="005D30E9" w:rsidRDefault="00671B63" w:rsidP="00671B63">
            <w:pPr>
              <w:jc w:val="center"/>
              <w:rPr>
                <w:bCs/>
                <w:sz w:val="16"/>
                <w:szCs w:val="16"/>
              </w:rPr>
            </w:pPr>
            <w:r w:rsidRPr="005D30E9">
              <w:rPr>
                <w:bCs/>
                <w:sz w:val="16"/>
                <w:szCs w:val="16"/>
              </w:rPr>
              <w:t>115</w:t>
            </w:r>
          </w:p>
        </w:tc>
        <w:tc>
          <w:tcPr>
            <w:tcW w:w="0" w:type="auto"/>
            <w:tcBorders>
              <w:top w:val="single" w:sz="4" w:space="0" w:color="auto"/>
              <w:left w:val="single" w:sz="4" w:space="0" w:color="auto"/>
              <w:bottom w:val="single" w:sz="4" w:space="0" w:color="auto"/>
              <w:right w:val="single" w:sz="4" w:space="0" w:color="auto"/>
            </w:tcBorders>
            <w:vAlign w:val="center"/>
          </w:tcPr>
          <w:p w14:paraId="177D9060" w14:textId="77777777" w:rsidR="00671B63" w:rsidRPr="005D30E9" w:rsidRDefault="00671B63" w:rsidP="00671B63">
            <w:pPr>
              <w:jc w:val="center"/>
              <w:rPr>
                <w:bCs/>
                <w:sz w:val="16"/>
                <w:szCs w:val="16"/>
              </w:rPr>
            </w:pPr>
            <w:r w:rsidRPr="005D30E9">
              <w:rPr>
                <w:bCs/>
                <w:sz w:val="16"/>
                <w:szCs w:val="16"/>
              </w:rPr>
              <w:t>264.385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187DE1" w14:textId="77777777" w:rsidR="00671B63" w:rsidRPr="005D30E9" w:rsidRDefault="00671B63" w:rsidP="00671B63">
            <w:pPr>
              <w:jc w:val="center"/>
              <w:rPr>
                <w:bCs/>
                <w:sz w:val="16"/>
                <w:szCs w:val="16"/>
              </w:rPr>
            </w:pPr>
            <w:r w:rsidRPr="005D30E9">
              <w:rPr>
                <w:bCs/>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A1F3C3" w14:textId="77777777" w:rsidR="00671B63" w:rsidRPr="005D30E9" w:rsidRDefault="00671B63" w:rsidP="00671B63">
            <w:pPr>
              <w:jc w:val="center"/>
              <w:rPr>
                <w:bCs/>
                <w:sz w:val="16"/>
                <w:szCs w:val="16"/>
              </w:rPr>
            </w:pPr>
            <w:r w:rsidRPr="005D30E9">
              <w:rPr>
                <w:bCs/>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113D36" w14:textId="77777777" w:rsidR="00671B63" w:rsidRPr="005D30E9" w:rsidRDefault="00671B63" w:rsidP="00671B63">
            <w:pPr>
              <w:jc w:val="center"/>
              <w:rPr>
                <w:bCs/>
                <w:sz w:val="16"/>
                <w:szCs w:val="16"/>
              </w:rPr>
            </w:pPr>
            <w:r w:rsidRPr="005D30E9">
              <w:rPr>
                <w:bCs/>
                <w:sz w:val="16"/>
                <w:szCs w:val="16"/>
              </w:rPr>
              <w:t>3810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65EB06" w14:textId="77777777" w:rsidR="00671B63" w:rsidRPr="005D30E9" w:rsidRDefault="00671B63" w:rsidP="00671B63">
            <w:pPr>
              <w:jc w:val="center"/>
              <w:rPr>
                <w:bCs/>
                <w:sz w:val="16"/>
                <w:szCs w:val="16"/>
              </w:rPr>
            </w:pPr>
            <w:r w:rsidRPr="005D30E9">
              <w:rPr>
                <w:bCs/>
                <w:sz w:val="16"/>
                <w:szCs w:val="16"/>
              </w:rPr>
              <w:t>5050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F63E0B" w14:textId="77777777" w:rsidR="00671B63" w:rsidRPr="005D30E9" w:rsidRDefault="00671B63" w:rsidP="00671B63">
            <w:pPr>
              <w:jc w:val="center"/>
              <w:rPr>
                <w:rFonts w:eastAsia="Times New Roman"/>
                <w:color w:val="000000"/>
                <w:sz w:val="16"/>
                <w:szCs w:val="16"/>
                <w:lang w:eastAsia="hr-HR"/>
              </w:rPr>
            </w:pPr>
            <w:r w:rsidRPr="005D30E9">
              <w:rPr>
                <w:rFonts w:eastAsia="Times New Roman"/>
                <w:color w:val="000000"/>
                <w:sz w:val="16"/>
                <w:szCs w:val="16"/>
                <w:lang w:eastAsia="hr-HR"/>
              </w:rPr>
              <w:t>953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B6DEF2" w14:textId="77777777" w:rsidR="00671B63" w:rsidRPr="005D30E9" w:rsidRDefault="00671B63" w:rsidP="00671B63">
            <w:pPr>
              <w:jc w:val="center"/>
              <w:rPr>
                <w:rFonts w:eastAsia="Times New Roman"/>
                <w:color w:val="000000"/>
                <w:sz w:val="16"/>
                <w:szCs w:val="16"/>
                <w:lang w:eastAsia="hr-HR"/>
              </w:rPr>
            </w:pPr>
            <w:r w:rsidRPr="005D30E9">
              <w:rPr>
                <w:rFonts w:eastAsia="Times New Roman"/>
                <w:color w:val="000000"/>
                <w:sz w:val="16"/>
                <w:szCs w:val="16"/>
                <w:lang w:eastAsia="hr-HR"/>
              </w:rPr>
              <w:t>6.003</w:t>
            </w:r>
          </w:p>
        </w:tc>
      </w:tr>
    </w:tbl>
    <w:p w14:paraId="10C48BE7" w14:textId="77777777" w:rsidR="00671B63" w:rsidRPr="001B4CA2" w:rsidRDefault="00671B63" w:rsidP="00671B63"/>
    <w:p w14:paraId="6812EE18" w14:textId="35CA02A8" w:rsidR="00773E87" w:rsidRPr="001B4CA2" w:rsidRDefault="00773E87" w:rsidP="00773E87">
      <w:pPr>
        <w:ind w:firstLine="708"/>
      </w:pPr>
      <w:r w:rsidRPr="001B4CA2">
        <w:t>U izvještajnoj godini zaprimljeno je ukupno 5</w:t>
      </w:r>
      <w:r w:rsidR="004B1F3B">
        <w:t>.</w:t>
      </w:r>
      <w:r w:rsidRPr="001B4CA2">
        <w:t xml:space="preserve">810 zahtjeva, što u odnosu na 2021. godinu predstavlja povećanje od 11 %. Razlog tome je svakako prestanak važenja Zakona o interventnim mjerama u ovršnim i stečajnim postupcima, ali i poteškoće u poslovanju velikog broja trgovačkih društava zbog situacije uzrokovane </w:t>
      </w:r>
      <w:r w:rsidR="004B1F3B">
        <w:t xml:space="preserve">pandemijom </w:t>
      </w:r>
      <w:r w:rsidRPr="001B4CA2">
        <w:t>virus</w:t>
      </w:r>
      <w:r w:rsidR="004B1F3B">
        <w:t>a</w:t>
      </w:r>
      <w:r w:rsidRPr="001B4CA2">
        <w:t xml:space="preserve"> COVID-19. </w:t>
      </w:r>
    </w:p>
    <w:p w14:paraId="39450C99" w14:textId="77777777" w:rsidR="00773E87" w:rsidRPr="001B4CA2" w:rsidRDefault="00773E87" w:rsidP="00773E87"/>
    <w:p w14:paraId="2901296B" w14:textId="21D4B1BD" w:rsidR="00773E87" w:rsidRPr="001B4CA2" w:rsidRDefault="00773E87" w:rsidP="00773E87">
      <w:pPr>
        <w:ind w:firstLine="708"/>
      </w:pPr>
      <w:r w:rsidRPr="001B4CA2">
        <w:t xml:space="preserve">Kada se </w:t>
      </w:r>
      <w:proofErr w:type="spellStart"/>
      <w:r w:rsidRPr="001B4CA2">
        <w:t>novozaprimljenim</w:t>
      </w:r>
      <w:proofErr w:type="spellEnd"/>
      <w:r w:rsidRPr="001B4CA2">
        <w:t xml:space="preserve"> zahtjevima pribroje oni koji su ostali u radu iz 2021. godine, u 2022. godini ukupno je radu bilo 6</w:t>
      </w:r>
      <w:r w:rsidR="004B1F3B">
        <w:t>.</w:t>
      </w:r>
      <w:r w:rsidRPr="001B4CA2">
        <w:t>045 zahtjeva. Tijekom razdoblja riješeno je 99,30 % zahtjeva.</w:t>
      </w:r>
    </w:p>
    <w:p w14:paraId="2C9EAD90" w14:textId="77777777" w:rsidR="00773E87" w:rsidRPr="001B4CA2" w:rsidRDefault="00773E87" w:rsidP="00773E87"/>
    <w:p w14:paraId="5E752FEC" w14:textId="08E0432F" w:rsidR="00773E87" w:rsidRPr="001B4CA2" w:rsidRDefault="00773E87" w:rsidP="00773E87">
      <w:pPr>
        <w:ind w:firstLine="708"/>
      </w:pPr>
      <w:r w:rsidRPr="001B4CA2">
        <w:t xml:space="preserve">Od riješenih predmeta u njih 13 odbijena je inicijativa za postupanje, podneseno je 464 prijedloga za otvaranje stečaja, 29 prijedloga za nastavak </w:t>
      </w:r>
      <w:r w:rsidRPr="001B4CA2">
        <w:lastRenderedPageBreak/>
        <w:t>postupka/naknadnu diobu, 617 prijava novčane tražbine u stečaju/likvidaciji vrijednosti 675.084.000,00 kn</w:t>
      </w:r>
      <w:r w:rsidR="004B1F3B">
        <w:t xml:space="preserve"> </w:t>
      </w:r>
      <w:r w:rsidR="00E6050A" w:rsidRPr="001B4CA2">
        <w:t>/</w:t>
      </w:r>
      <w:r w:rsidR="001C297A" w:rsidRPr="001B4CA2">
        <w:t xml:space="preserve"> </w:t>
      </w:r>
      <w:r w:rsidR="00E6050A" w:rsidRPr="001B4CA2">
        <w:t>89.599,0</w:t>
      </w:r>
      <w:r w:rsidR="005D30E9">
        <w:t>4</w:t>
      </w:r>
      <w:r w:rsidR="00E6050A" w:rsidRPr="001B4CA2">
        <w:t>4</w:t>
      </w:r>
      <w:r w:rsidR="005D30E9">
        <w:t>,40</w:t>
      </w:r>
      <w:r w:rsidR="00E6050A" w:rsidRPr="001B4CA2">
        <w:t xml:space="preserve"> EUR</w:t>
      </w:r>
      <w:r w:rsidRPr="001B4CA2">
        <w:t xml:space="preserve">, 115 prijava novčanih tražbina i obavijesti o </w:t>
      </w:r>
      <w:proofErr w:type="spellStart"/>
      <w:r w:rsidRPr="001B4CA2">
        <w:t>razlučnom</w:t>
      </w:r>
      <w:proofErr w:type="spellEnd"/>
      <w:r w:rsidRPr="001B4CA2">
        <w:t xml:space="preserve"> pravu ukupne vrijednosti 264.385.000,00 k</w:t>
      </w:r>
      <w:r w:rsidR="00E6050A" w:rsidRPr="001B4CA2">
        <w:t>n</w:t>
      </w:r>
      <w:r w:rsidR="004B1F3B">
        <w:t xml:space="preserve"> </w:t>
      </w:r>
      <w:r w:rsidR="00E6050A" w:rsidRPr="001B4CA2">
        <w:t>/</w:t>
      </w:r>
      <w:r w:rsidR="001C297A" w:rsidRPr="001B4CA2">
        <w:t xml:space="preserve"> </w:t>
      </w:r>
      <w:r w:rsidR="00E6050A" w:rsidRPr="001B4CA2">
        <w:t>35.089,91</w:t>
      </w:r>
      <w:r w:rsidR="005D30E9">
        <w:t>9,71</w:t>
      </w:r>
      <w:r w:rsidR="00E6050A" w:rsidRPr="001B4CA2">
        <w:t xml:space="preserve"> EUR</w:t>
      </w:r>
      <w:r w:rsidRPr="001B4CA2">
        <w:t>.</w:t>
      </w:r>
    </w:p>
    <w:p w14:paraId="50BC5CEE" w14:textId="77777777" w:rsidR="00773E87" w:rsidRPr="001B4CA2" w:rsidRDefault="00773E87" w:rsidP="00773E87">
      <w:pPr>
        <w:ind w:firstLine="708"/>
      </w:pPr>
    </w:p>
    <w:p w14:paraId="6545FB63" w14:textId="4D54AF9E" w:rsidR="00773E87" w:rsidRPr="001B4CA2" w:rsidRDefault="00773E87" w:rsidP="00773E87">
      <w:pPr>
        <w:ind w:firstLine="708"/>
      </w:pPr>
      <w:r w:rsidRPr="001B4CA2">
        <w:t>Analizirajući podatke</w:t>
      </w:r>
      <w:r w:rsidR="004B1F3B">
        <w:t>,</w:t>
      </w:r>
      <w:r w:rsidRPr="001B4CA2">
        <w:t xml:space="preserve"> može se zaključiti da je broj stečajnih predmeta povećan, no da je istodobno smanjen broj podnesenih prijava tražbina u stečajnim postupcima (za 29,48</w:t>
      </w:r>
      <w:r w:rsidR="004B1F3B">
        <w:t> </w:t>
      </w:r>
      <w:r w:rsidRPr="001B4CA2">
        <w:t>% u odnosu na ranije razdoblje). Razlog tome je činjenica da je u razdoblju 2022. godine bio zaprimljen veći broj predmeta skraćenih stečajnih postupaka koji se pokreću na zahtjev regulatornog tijela, Financijske agencije, u slučaju kada je račun dužnika u neprekidnoj blokadi u razdoblju 120 dana te dužnik nema zaposlenih niti ima imovine evidentirane u javnim upisnicima (nekretnine i pokretnine). Naime, sukladno zakonu sva se rješenja o otvaranju stečajnog postupka, neovisno radi li se o skraćenom ili redovnom stečajnom postupku, dostavljaju nadležnom državnom odvjetništvu. Povećanje broja primljenih predmeta skraćenih stečajnih postupaka u 2022. godini u odnosu na 2021. godinu iznosi 28,28</w:t>
      </w:r>
      <w:r w:rsidR="004B1F3B">
        <w:t> </w:t>
      </w:r>
      <w:r w:rsidRPr="001B4CA2">
        <w:t xml:space="preserve">%. Kako dužnici u odnosu na koje se provode ti postupci nemaju nikakve imovine o kojoj se vode službene evidencije, a saznanja o imovini nema niti Porezna uprava, </w:t>
      </w:r>
      <w:r w:rsidR="004B1F3B">
        <w:t>n</w:t>
      </w:r>
      <w:r w:rsidRPr="001B4CA2">
        <w:t xml:space="preserve">ema niti osnove za provođenje redovnog postupka u kojem bi se eventualno i prijavile </w:t>
      </w:r>
      <w:r w:rsidR="004B1F3B">
        <w:t>eventualne</w:t>
      </w:r>
      <w:r w:rsidRPr="001B4CA2">
        <w:t xml:space="preserve"> tražbine. Veći broj primljenih predmeta skraćenih stečajnih postupaka rezultat je uvodno spomenutog prestanka važenja propisa koji su zbog posebnih okolnosti uzrokovanih pandemijom odgodili nastup stečajnih razloga, ali i činjenica da su neki gospodarski subjekti zbog posljedica otežanog poslovanja u uvjetima pandemije jednostavno propali.</w:t>
      </w:r>
    </w:p>
    <w:p w14:paraId="48C9F881" w14:textId="77777777" w:rsidR="00773E87" w:rsidRPr="001B4CA2" w:rsidRDefault="00773E87" w:rsidP="00773E87"/>
    <w:p w14:paraId="074F4A27" w14:textId="31F028C2" w:rsidR="00773E87" w:rsidRPr="001B4CA2" w:rsidRDefault="00773E87" w:rsidP="00773E87">
      <w:pPr>
        <w:ind w:firstLine="708"/>
      </w:pPr>
      <w:r w:rsidRPr="001B4CA2">
        <w:t xml:space="preserve">I u ovom izvještajnom razdoblju najveći </w:t>
      </w:r>
      <w:r w:rsidR="004B1F3B" w:rsidRPr="001B4CA2">
        <w:t xml:space="preserve">se </w:t>
      </w:r>
      <w:r w:rsidRPr="001B4CA2">
        <w:t>broj prijavljenih tražbina u ovim postupcima odnosio na tražbine Ministarstva financija, Porezne uprave ili Carinske uprave s osnova poreznog ili carinskog duga.</w:t>
      </w:r>
    </w:p>
    <w:p w14:paraId="2723D379" w14:textId="77777777" w:rsidR="00671B63" w:rsidRPr="001B4CA2" w:rsidRDefault="00671B63" w:rsidP="00671B63"/>
    <w:p w14:paraId="2412DD48" w14:textId="026A481E" w:rsidR="00671B63" w:rsidRPr="001B4CA2" w:rsidRDefault="00671B63" w:rsidP="00671B63">
      <w:pPr>
        <w:pStyle w:val="Odlomakpopisa"/>
        <w:numPr>
          <w:ilvl w:val="0"/>
          <w:numId w:val="46"/>
        </w:numPr>
        <w:jc w:val="left"/>
        <w:rPr>
          <w:rFonts w:asciiTheme="minorHAnsi" w:hAnsiTheme="minorHAnsi" w:cstheme="minorBidi"/>
          <w:i/>
          <w:szCs w:val="22"/>
        </w:rPr>
      </w:pPr>
      <w:r w:rsidRPr="001B4CA2">
        <w:rPr>
          <w:rFonts w:asciiTheme="minorHAnsi" w:hAnsiTheme="minorHAnsi" w:cstheme="minorBidi"/>
          <w:i/>
          <w:szCs w:val="22"/>
        </w:rPr>
        <w:t>Stečajni predmeti – odluke suda</w:t>
      </w:r>
      <w:r w:rsidR="001B4CA2">
        <w:rPr>
          <w:rFonts w:asciiTheme="minorHAnsi" w:hAnsiTheme="minorHAnsi" w:cstheme="minorBidi"/>
          <w:i/>
          <w:szCs w:val="22"/>
        </w:rPr>
        <w:t xml:space="preserve"> </w:t>
      </w:r>
      <w:r w:rsidRPr="001B4CA2">
        <w:rPr>
          <w:rFonts w:asciiTheme="minorHAnsi" w:hAnsiTheme="minorHAnsi" w:cstheme="minorBidi"/>
          <w:i/>
          <w:szCs w:val="22"/>
        </w:rPr>
        <w:t xml:space="preserve">2020.-2022. </w:t>
      </w:r>
    </w:p>
    <w:tbl>
      <w:tblPr>
        <w:tblW w:w="4818" w:type="pct"/>
        <w:jc w:val="center"/>
        <w:tblLook w:val="04A0" w:firstRow="1" w:lastRow="0" w:firstColumn="1" w:lastColumn="0" w:noHBand="0" w:noVBand="1"/>
      </w:tblPr>
      <w:tblGrid>
        <w:gridCol w:w="1091"/>
        <w:gridCol w:w="802"/>
        <w:gridCol w:w="804"/>
        <w:gridCol w:w="867"/>
        <w:gridCol w:w="805"/>
        <w:gridCol w:w="867"/>
        <w:gridCol w:w="827"/>
        <w:gridCol w:w="825"/>
        <w:gridCol w:w="650"/>
        <w:gridCol w:w="669"/>
        <w:gridCol w:w="743"/>
      </w:tblGrid>
      <w:tr w:rsidR="00671B63" w:rsidRPr="001B4CA2" w14:paraId="7268AB8B" w14:textId="77777777" w:rsidTr="00CE2706">
        <w:trPr>
          <w:trHeight w:val="664"/>
          <w:jc w:val="center"/>
        </w:trPr>
        <w:tc>
          <w:tcPr>
            <w:tcW w:w="616" w:type="pct"/>
            <w:vMerge w:val="restart"/>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02BFE2BC" w14:textId="77777777" w:rsidR="00671B63" w:rsidRPr="001B4CA2" w:rsidRDefault="00671B63" w:rsidP="00671B63">
            <w:pPr>
              <w:jc w:val="left"/>
              <w:rPr>
                <w:rFonts w:eastAsia="Times New Roman"/>
                <w:b/>
                <w:color w:val="000000"/>
                <w:sz w:val="18"/>
                <w:szCs w:val="18"/>
                <w:lang w:eastAsia="hr-HR"/>
              </w:rPr>
            </w:pPr>
            <w:r w:rsidRPr="001B4CA2">
              <w:rPr>
                <w:rFonts w:eastAsia="Times New Roman"/>
                <w:b/>
                <w:color w:val="000000"/>
                <w:sz w:val="18"/>
                <w:szCs w:val="18"/>
                <w:lang w:eastAsia="hr-HR"/>
              </w:rPr>
              <w:t xml:space="preserve">Godina </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1669F607" w14:textId="77777777" w:rsidR="00671B63" w:rsidRPr="001B4CA2" w:rsidRDefault="00671B63" w:rsidP="00671B63">
            <w:pPr>
              <w:jc w:val="left"/>
              <w:rPr>
                <w:rFonts w:eastAsia="Times New Roman"/>
                <w:b/>
                <w:color w:val="000000"/>
                <w:sz w:val="18"/>
                <w:szCs w:val="18"/>
                <w:lang w:eastAsia="hr-HR"/>
              </w:rPr>
            </w:pPr>
            <w:r w:rsidRPr="001B4CA2">
              <w:rPr>
                <w:rFonts w:eastAsia="Times New Roman"/>
                <w:b/>
                <w:color w:val="000000"/>
                <w:sz w:val="18"/>
                <w:szCs w:val="18"/>
                <w:lang w:eastAsia="hr-HR"/>
              </w:rPr>
              <w:t>Rasprave</w:t>
            </w:r>
          </w:p>
        </w:tc>
        <w:tc>
          <w:tcPr>
            <w:tcW w:w="2292" w:type="pct"/>
            <w:gridSpan w:val="5"/>
            <w:tcBorders>
              <w:top w:val="single" w:sz="4" w:space="0" w:color="auto"/>
              <w:left w:val="nil"/>
              <w:bottom w:val="single" w:sz="4" w:space="0" w:color="auto"/>
              <w:right w:val="single" w:sz="4" w:space="0" w:color="000000"/>
            </w:tcBorders>
            <w:shd w:val="clear" w:color="auto" w:fill="99CCFF"/>
            <w:vAlign w:val="center"/>
            <w:hideMark/>
          </w:tcPr>
          <w:p w14:paraId="7A103911" w14:textId="77777777" w:rsidR="00671B63" w:rsidRPr="001B4CA2" w:rsidRDefault="00671B63" w:rsidP="00671B63">
            <w:pPr>
              <w:jc w:val="center"/>
              <w:rPr>
                <w:rFonts w:eastAsia="Times New Roman"/>
                <w:b/>
                <w:color w:val="000000"/>
                <w:sz w:val="18"/>
                <w:szCs w:val="18"/>
                <w:lang w:eastAsia="hr-HR"/>
              </w:rPr>
            </w:pPr>
            <w:r w:rsidRPr="001B4CA2">
              <w:rPr>
                <w:rFonts w:eastAsia="Times New Roman"/>
                <w:b/>
                <w:color w:val="000000"/>
                <w:sz w:val="18"/>
                <w:szCs w:val="18"/>
                <w:lang w:eastAsia="hr-HR"/>
              </w:rPr>
              <w:t>Odluke suda</w:t>
            </w:r>
            <w:r w:rsidRPr="001B4CA2">
              <w:rPr>
                <w:szCs w:val="22"/>
              </w:rPr>
              <w:t xml:space="preserve"> </w:t>
            </w:r>
            <w:r w:rsidRPr="001B4CA2">
              <w:rPr>
                <w:rFonts w:eastAsia="Times New Roman"/>
                <w:b/>
                <w:color w:val="000000"/>
                <w:sz w:val="18"/>
                <w:szCs w:val="18"/>
                <w:lang w:eastAsia="hr-HR"/>
              </w:rPr>
              <w:t>o tražbini RH</w:t>
            </w:r>
          </w:p>
        </w:tc>
        <w:tc>
          <w:tcPr>
            <w:tcW w:w="467" w:type="pct"/>
            <w:vMerge w:val="restart"/>
            <w:tcBorders>
              <w:top w:val="single" w:sz="4" w:space="0" w:color="auto"/>
              <w:left w:val="nil"/>
              <w:right w:val="single" w:sz="4" w:space="0" w:color="000000"/>
            </w:tcBorders>
            <w:shd w:val="clear" w:color="auto" w:fill="99CCFF"/>
            <w:textDirection w:val="btLr"/>
            <w:vAlign w:val="center"/>
          </w:tcPr>
          <w:p w14:paraId="5B6A3FCE" w14:textId="77777777" w:rsidR="00671B63" w:rsidRPr="001B4CA2" w:rsidRDefault="00671B63" w:rsidP="00671B63">
            <w:pPr>
              <w:ind w:left="113" w:right="113"/>
              <w:jc w:val="left"/>
              <w:rPr>
                <w:rFonts w:eastAsia="Times New Roman"/>
                <w:b/>
                <w:color w:val="000000"/>
                <w:sz w:val="18"/>
                <w:szCs w:val="18"/>
                <w:lang w:eastAsia="hr-HR"/>
              </w:rPr>
            </w:pPr>
            <w:r w:rsidRPr="001B4CA2">
              <w:rPr>
                <w:rFonts w:eastAsia="Times New Roman"/>
                <w:sz w:val="18"/>
                <w:szCs w:val="18"/>
                <w:lang w:eastAsia="hr-HR"/>
              </w:rPr>
              <w:t>Postupci u kojima sud nije donio odluku o obustavi/ zaključenju stečaja</w:t>
            </w:r>
          </w:p>
        </w:tc>
        <w:tc>
          <w:tcPr>
            <w:tcW w:w="369" w:type="pct"/>
            <w:vMerge w:val="restart"/>
            <w:tcBorders>
              <w:top w:val="single" w:sz="4" w:space="0" w:color="auto"/>
              <w:left w:val="nil"/>
              <w:right w:val="single" w:sz="4" w:space="0" w:color="000000"/>
            </w:tcBorders>
            <w:shd w:val="clear" w:color="auto" w:fill="99CCFF"/>
            <w:textDirection w:val="btLr"/>
            <w:vAlign w:val="center"/>
          </w:tcPr>
          <w:p w14:paraId="161E9AC7" w14:textId="77777777" w:rsidR="00671B63" w:rsidRPr="001B4CA2" w:rsidRDefault="00671B63" w:rsidP="00671B63">
            <w:pPr>
              <w:ind w:left="113" w:right="113"/>
              <w:jc w:val="left"/>
              <w:rPr>
                <w:rFonts w:eastAsia="Times New Roman"/>
                <w:color w:val="000000"/>
                <w:sz w:val="18"/>
                <w:szCs w:val="18"/>
                <w:lang w:eastAsia="hr-HR"/>
              </w:rPr>
            </w:pPr>
            <w:r w:rsidRPr="001B4CA2">
              <w:rPr>
                <w:rFonts w:eastAsia="Times New Roman"/>
                <w:color w:val="000000"/>
                <w:sz w:val="18"/>
                <w:szCs w:val="18"/>
                <w:lang w:eastAsia="hr-HR"/>
              </w:rPr>
              <w:t>Pravni lijek DO</w:t>
            </w:r>
          </w:p>
        </w:tc>
        <w:tc>
          <w:tcPr>
            <w:tcW w:w="380" w:type="pct"/>
            <w:vMerge w:val="restart"/>
            <w:tcBorders>
              <w:top w:val="single" w:sz="4" w:space="0" w:color="auto"/>
              <w:left w:val="nil"/>
              <w:right w:val="single" w:sz="4" w:space="0" w:color="000000"/>
            </w:tcBorders>
            <w:shd w:val="clear" w:color="auto" w:fill="99CCFF"/>
            <w:textDirection w:val="btLr"/>
            <w:vAlign w:val="center"/>
          </w:tcPr>
          <w:p w14:paraId="2F248F13" w14:textId="77777777" w:rsidR="00671B63" w:rsidRPr="001B4CA2" w:rsidRDefault="00671B63" w:rsidP="00671B63">
            <w:pPr>
              <w:ind w:left="113" w:right="113"/>
              <w:jc w:val="left"/>
              <w:rPr>
                <w:rFonts w:eastAsia="Times New Roman"/>
                <w:color w:val="000000"/>
                <w:sz w:val="18"/>
                <w:szCs w:val="18"/>
                <w:lang w:eastAsia="hr-HR"/>
              </w:rPr>
            </w:pPr>
            <w:r w:rsidRPr="001B4CA2">
              <w:rPr>
                <w:rFonts w:eastAsia="Times New Roman"/>
                <w:color w:val="000000"/>
                <w:sz w:val="18"/>
                <w:szCs w:val="18"/>
                <w:lang w:eastAsia="hr-HR"/>
              </w:rPr>
              <w:t>Revizija</w:t>
            </w:r>
          </w:p>
        </w:tc>
        <w:tc>
          <w:tcPr>
            <w:tcW w:w="421" w:type="pct"/>
            <w:vMerge w:val="restart"/>
            <w:tcBorders>
              <w:top w:val="single" w:sz="4" w:space="0" w:color="auto"/>
              <w:left w:val="nil"/>
              <w:right w:val="single" w:sz="4" w:space="0" w:color="000000"/>
            </w:tcBorders>
            <w:shd w:val="clear" w:color="auto" w:fill="99CCFF"/>
            <w:textDirection w:val="btLr"/>
            <w:vAlign w:val="center"/>
          </w:tcPr>
          <w:p w14:paraId="28918A05" w14:textId="77777777" w:rsidR="00671B63" w:rsidRPr="001B4CA2" w:rsidRDefault="00671B63" w:rsidP="00671B63">
            <w:pPr>
              <w:ind w:left="113" w:right="113"/>
              <w:jc w:val="left"/>
              <w:rPr>
                <w:rFonts w:eastAsia="Times New Roman"/>
                <w:color w:val="000000"/>
                <w:sz w:val="18"/>
                <w:szCs w:val="18"/>
                <w:lang w:eastAsia="hr-HR"/>
              </w:rPr>
            </w:pPr>
            <w:r w:rsidRPr="001B4CA2">
              <w:rPr>
                <w:rFonts w:eastAsia="Times New Roman"/>
                <w:color w:val="000000"/>
                <w:sz w:val="18"/>
                <w:szCs w:val="18"/>
                <w:lang w:eastAsia="hr-HR"/>
              </w:rPr>
              <w:t>Tužba DO radi utvrđenja / osporavanja tražbine</w:t>
            </w:r>
          </w:p>
        </w:tc>
      </w:tr>
      <w:tr w:rsidR="00671B63" w:rsidRPr="001B4CA2" w14:paraId="587BF9D1" w14:textId="77777777" w:rsidTr="00CE2706">
        <w:trPr>
          <w:trHeight w:val="2291"/>
          <w:jc w:val="center"/>
        </w:trPr>
        <w:tc>
          <w:tcPr>
            <w:tcW w:w="616" w:type="pct"/>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3489E982" w14:textId="77777777" w:rsidR="00671B63" w:rsidRPr="001B4CA2" w:rsidRDefault="00671B63" w:rsidP="00671B63">
            <w:pPr>
              <w:jc w:val="left"/>
              <w:rPr>
                <w:rFonts w:eastAsia="Times New Roman"/>
                <w:color w:val="000000"/>
                <w:sz w:val="18"/>
                <w:szCs w:val="18"/>
                <w:lang w:eastAsia="hr-HR"/>
              </w:rPr>
            </w:pPr>
          </w:p>
        </w:tc>
        <w:tc>
          <w:tcPr>
            <w:tcW w:w="455" w:type="pct"/>
            <w:vMerge/>
            <w:tcBorders>
              <w:top w:val="single" w:sz="4" w:space="0" w:color="auto"/>
              <w:left w:val="single" w:sz="4" w:space="0" w:color="auto"/>
              <w:bottom w:val="single" w:sz="4" w:space="0" w:color="auto"/>
              <w:right w:val="single" w:sz="4" w:space="0" w:color="auto"/>
            </w:tcBorders>
            <w:shd w:val="clear" w:color="auto" w:fill="99CCFF"/>
            <w:vAlign w:val="center"/>
            <w:hideMark/>
          </w:tcPr>
          <w:p w14:paraId="29CFFD5D" w14:textId="77777777" w:rsidR="00671B63" w:rsidRPr="001B4CA2" w:rsidRDefault="00671B63" w:rsidP="00671B63">
            <w:pPr>
              <w:jc w:val="left"/>
              <w:rPr>
                <w:rFonts w:eastAsia="Times New Roman"/>
                <w:color w:val="000000"/>
                <w:sz w:val="18"/>
                <w:szCs w:val="18"/>
                <w:lang w:eastAsia="hr-HR"/>
              </w:rPr>
            </w:pPr>
          </w:p>
        </w:tc>
        <w:tc>
          <w:tcPr>
            <w:tcW w:w="456" w:type="pct"/>
            <w:tcBorders>
              <w:top w:val="nil"/>
              <w:left w:val="single" w:sz="4" w:space="0" w:color="auto"/>
              <w:bottom w:val="single" w:sz="4" w:space="0" w:color="auto"/>
              <w:right w:val="single" w:sz="4" w:space="0" w:color="auto"/>
            </w:tcBorders>
            <w:shd w:val="clear" w:color="auto" w:fill="99CCFF"/>
            <w:textDirection w:val="btLr"/>
            <w:vAlign w:val="center"/>
            <w:hideMark/>
          </w:tcPr>
          <w:p w14:paraId="2B37AA29" w14:textId="77777777" w:rsidR="00671B63" w:rsidRPr="001B4CA2" w:rsidRDefault="00671B63" w:rsidP="00671B63">
            <w:pPr>
              <w:jc w:val="left"/>
              <w:rPr>
                <w:rFonts w:eastAsia="Times New Roman"/>
                <w:color w:val="000000"/>
                <w:sz w:val="18"/>
                <w:szCs w:val="18"/>
                <w:lang w:eastAsia="hr-HR"/>
              </w:rPr>
            </w:pPr>
            <w:r w:rsidRPr="001B4CA2">
              <w:rPr>
                <w:rFonts w:eastAsia="Times New Roman"/>
                <w:color w:val="000000"/>
                <w:sz w:val="18"/>
                <w:szCs w:val="18"/>
                <w:lang w:eastAsia="hr-HR"/>
              </w:rPr>
              <w:t>Utvrđena</w:t>
            </w:r>
          </w:p>
        </w:tc>
        <w:tc>
          <w:tcPr>
            <w:tcW w:w="456" w:type="pct"/>
            <w:tcBorders>
              <w:top w:val="nil"/>
              <w:left w:val="single" w:sz="4" w:space="0" w:color="auto"/>
              <w:bottom w:val="single" w:sz="4" w:space="0" w:color="auto"/>
              <w:right w:val="single" w:sz="4" w:space="0" w:color="auto"/>
            </w:tcBorders>
            <w:shd w:val="clear" w:color="auto" w:fill="99CCFF"/>
            <w:textDirection w:val="btLr"/>
            <w:vAlign w:val="center"/>
            <w:hideMark/>
          </w:tcPr>
          <w:p w14:paraId="1187A46A" w14:textId="120D8A4E" w:rsidR="00671B63" w:rsidRPr="001B4CA2" w:rsidRDefault="00671B63" w:rsidP="00671B63">
            <w:pPr>
              <w:jc w:val="left"/>
              <w:rPr>
                <w:rFonts w:eastAsia="Times New Roman"/>
                <w:color w:val="000000"/>
                <w:sz w:val="18"/>
                <w:szCs w:val="18"/>
                <w:lang w:eastAsia="hr-HR"/>
              </w:rPr>
            </w:pPr>
            <w:r w:rsidRPr="001B4CA2">
              <w:rPr>
                <w:rFonts w:eastAsia="Times New Roman"/>
                <w:sz w:val="18"/>
                <w:szCs w:val="18"/>
                <w:lang w:eastAsia="hr-HR"/>
              </w:rPr>
              <w:t>Iznos utvrđene tražbine</w:t>
            </w:r>
            <w:r w:rsidR="001B4CA2">
              <w:rPr>
                <w:rFonts w:eastAsia="Times New Roman"/>
                <w:sz w:val="18"/>
                <w:szCs w:val="18"/>
                <w:lang w:eastAsia="hr-HR"/>
              </w:rPr>
              <w:t xml:space="preserve"> </w:t>
            </w:r>
            <w:r w:rsidRPr="001B4CA2">
              <w:rPr>
                <w:rFonts w:eastAsia="Times New Roman"/>
                <w:sz w:val="18"/>
                <w:szCs w:val="18"/>
                <w:lang w:eastAsia="hr-HR"/>
              </w:rPr>
              <w:br/>
              <w:t xml:space="preserve">(u </w:t>
            </w:r>
            <w:proofErr w:type="spellStart"/>
            <w:r w:rsidRPr="001B4CA2">
              <w:rPr>
                <w:rFonts w:eastAsia="Times New Roman"/>
                <w:sz w:val="18"/>
                <w:szCs w:val="18"/>
                <w:lang w:eastAsia="hr-HR"/>
              </w:rPr>
              <w:t>tistućama</w:t>
            </w:r>
            <w:proofErr w:type="spellEnd"/>
            <w:r w:rsidRPr="001B4CA2">
              <w:rPr>
                <w:rFonts w:eastAsia="Times New Roman"/>
                <w:sz w:val="18"/>
                <w:szCs w:val="18"/>
                <w:lang w:eastAsia="hr-HR"/>
              </w:rPr>
              <w:t xml:space="preserve"> kuna</w:t>
            </w:r>
          </w:p>
        </w:tc>
        <w:tc>
          <w:tcPr>
            <w:tcW w:w="456" w:type="pct"/>
            <w:tcBorders>
              <w:top w:val="nil"/>
              <w:left w:val="single" w:sz="4" w:space="0" w:color="auto"/>
              <w:bottom w:val="single" w:sz="4" w:space="0" w:color="auto"/>
              <w:right w:val="single" w:sz="4" w:space="0" w:color="auto"/>
            </w:tcBorders>
            <w:shd w:val="clear" w:color="auto" w:fill="99CCFF"/>
            <w:textDirection w:val="btLr"/>
            <w:vAlign w:val="center"/>
            <w:hideMark/>
          </w:tcPr>
          <w:p w14:paraId="1BBB2EDB" w14:textId="77777777" w:rsidR="00671B63" w:rsidRPr="001B4CA2" w:rsidRDefault="00671B63" w:rsidP="00671B63">
            <w:pPr>
              <w:jc w:val="left"/>
              <w:rPr>
                <w:rFonts w:eastAsia="Times New Roman"/>
                <w:color w:val="000000"/>
                <w:sz w:val="18"/>
                <w:szCs w:val="18"/>
                <w:lang w:eastAsia="hr-HR"/>
              </w:rPr>
            </w:pPr>
            <w:r w:rsidRPr="001B4CA2">
              <w:rPr>
                <w:rFonts w:eastAsia="Times New Roman"/>
                <w:sz w:val="18"/>
                <w:szCs w:val="18"/>
                <w:lang w:eastAsia="hr-HR"/>
              </w:rPr>
              <w:t xml:space="preserve">Osporena </w:t>
            </w:r>
          </w:p>
        </w:tc>
        <w:tc>
          <w:tcPr>
            <w:tcW w:w="456" w:type="pct"/>
            <w:tcBorders>
              <w:top w:val="nil"/>
              <w:left w:val="single" w:sz="4" w:space="0" w:color="auto"/>
              <w:bottom w:val="single" w:sz="4" w:space="0" w:color="auto"/>
              <w:right w:val="single" w:sz="4" w:space="0" w:color="auto"/>
            </w:tcBorders>
            <w:shd w:val="clear" w:color="auto" w:fill="99CCFF"/>
            <w:textDirection w:val="btLr"/>
            <w:vAlign w:val="center"/>
            <w:hideMark/>
          </w:tcPr>
          <w:p w14:paraId="770151CF" w14:textId="318861E5" w:rsidR="00671B63" w:rsidRPr="001B4CA2" w:rsidRDefault="00671B63" w:rsidP="00671B63">
            <w:pPr>
              <w:jc w:val="left"/>
              <w:rPr>
                <w:rFonts w:eastAsia="Times New Roman"/>
                <w:color w:val="000000"/>
                <w:sz w:val="18"/>
                <w:szCs w:val="18"/>
                <w:lang w:eastAsia="hr-HR"/>
              </w:rPr>
            </w:pPr>
            <w:r w:rsidRPr="001B4CA2">
              <w:rPr>
                <w:rFonts w:eastAsia="Times New Roman"/>
                <w:sz w:val="18"/>
                <w:szCs w:val="18"/>
                <w:lang w:eastAsia="hr-HR"/>
              </w:rPr>
              <w:t>Iznos osporene tražbine</w:t>
            </w:r>
            <w:r w:rsidR="001B4CA2">
              <w:rPr>
                <w:rFonts w:eastAsia="Times New Roman"/>
                <w:sz w:val="18"/>
                <w:szCs w:val="18"/>
                <w:lang w:eastAsia="hr-HR"/>
              </w:rPr>
              <w:t xml:space="preserve"> </w:t>
            </w:r>
            <w:r w:rsidRPr="001B4CA2">
              <w:rPr>
                <w:rFonts w:eastAsia="Times New Roman"/>
                <w:sz w:val="18"/>
                <w:szCs w:val="18"/>
                <w:lang w:eastAsia="hr-HR"/>
              </w:rPr>
              <w:br/>
              <w:t xml:space="preserve">(u </w:t>
            </w:r>
            <w:proofErr w:type="spellStart"/>
            <w:r w:rsidRPr="001B4CA2">
              <w:rPr>
                <w:rFonts w:eastAsia="Times New Roman"/>
                <w:sz w:val="18"/>
                <w:szCs w:val="18"/>
                <w:lang w:eastAsia="hr-HR"/>
              </w:rPr>
              <w:t>tistućama</w:t>
            </w:r>
            <w:proofErr w:type="spellEnd"/>
            <w:r w:rsidRPr="001B4CA2">
              <w:rPr>
                <w:rFonts w:eastAsia="Times New Roman"/>
                <w:sz w:val="18"/>
                <w:szCs w:val="18"/>
                <w:lang w:eastAsia="hr-HR"/>
              </w:rPr>
              <w:t xml:space="preserve"> kuna)</w:t>
            </w:r>
          </w:p>
        </w:tc>
        <w:tc>
          <w:tcPr>
            <w:tcW w:w="468" w:type="pct"/>
            <w:tcBorders>
              <w:top w:val="nil"/>
              <w:left w:val="single" w:sz="4" w:space="0" w:color="auto"/>
              <w:bottom w:val="single" w:sz="4" w:space="0" w:color="000000"/>
              <w:right w:val="single" w:sz="4" w:space="0" w:color="auto"/>
            </w:tcBorders>
            <w:shd w:val="clear" w:color="auto" w:fill="99CCFF"/>
            <w:textDirection w:val="btLr"/>
            <w:vAlign w:val="center"/>
            <w:hideMark/>
          </w:tcPr>
          <w:p w14:paraId="08AC72A1" w14:textId="6A55B9D7" w:rsidR="00671B63" w:rsidRPr="001B4CA2" w:rsidRDefault="00671B63" w:rsidP="00671B63">
            <w:pPr>
              <w:jc w:val="left"/>
              <w:rPr>
                <w:rFonts w:eastAsia="Times New Roman"/>
                <w:b/>
                <w:bCs/>
                <w:color w:val="000000"/>
                <w:sz w:val="18"/>
                <w:szCs w:val="18"/>
                <w:lang w:eastAsia="hr-HR"/>
              </w:rPr>
            </w:pPr>
            <w:r w:rsidRPr="001B4CA2">
              <w:rPr>
                <w:rFonts w:eastAsia="Times New Roman"/>
                <w:b/>
                <w:bCs/>
                <w:color w:val="000000"/>
                <w:sz w:val="18"/>
                <w:szCs w:val="18"/>
                <w:lang w:eastAsia="hr-HR"/>
              </w:rPr>
              <w:t>Ukupno odluka</w:t>
            </w:r>
            <w:r w:rsidRPr="001B4CA2">
              <w:rPr>
                <w:rFonts w:eastAsia="Times New Roman"/>
                <w:b/>
                <w:bCs/>
                <w:color w:val="000000"/>
                <w:sz w:val="18"/>
                <w:szCs w:val="18"/>
                <w:lang w:eastAsia="hr-HR"/>
              </w:rPr>
              <w:br/>
              <w:t>suda</w:t>
            </w:r>
            <w:r w:rsidR="001B4CA2">
              <w:rPr>
                <w:rFonts w:eastAsia="Times New Roman"/>
                <w:b/>
                <w:bCs/>
                <w:color w:val="000000"/>
                <w:sz w:val="18"/>
                <w:szCs w:val="18"/>
                <w:lang w:eastAsia="hr-HR"/>
              </w:rPr>
              <w:t xml:space="preserve"> </w:t>
            </w:r>
            <w:r w:rsidRPr="001B4CA2">
              <w:rPr>
                <w:rFonts w:eastAsia="Times New Roman"/>
                <w:b/>
                <w:bCs/>
                <w:color w:val="000000"/>
                <w:sz w:val="18"/>
                <w:szCs w:val="18"/>
                <w:lang w:eastAsia="hr-HR"/>
              </w:rPr>
              <w:t>o tražbini RH</w:t>
            </w:r>
          </w:p>
        </w:tc>
        <w:tc>
          <w:tcPr>
            <w:tcW w:w="467" w:type="pct"/>
            <w:vMerge/>
            <w:tcBorders>
              <w:left w:val="single" w:sz="4" w:space="0" w:color="auto"/>
              <w:bottom w:val="single" w:sz="4" w:space="0" w:color="000000"/>
              <w:right w:val="single" w:sz="4" w:space="0" w:color="000000"/>
            </w:tcBorders>
            <w:shd w:val="clear" w:color="auto" w:fill="99CCFF"/>
            <w:textDirection w:val="btLr"/>
            <w:vAlign w:val="center"/>
          </w:tcPr>
          <w:p w14:paraId="5AB64ADA" w14:textId="77777777" w:rsidR="00671B63" w:rsidRPr="001B4CA2" w:rsidRDefault="00671B63" w:rsidP="00671B63">
            <w:pPr>
              <w:jc w:val="left"/>
              <w:rPr>
                <w:rFonts w:eastAsia="Times New Roman"/>
                <w:b/>
                <w:bCs/>
                <w:color w:val="000000"/>
                <w:sz w:val="18"/>
                <w:szCs w:val="18"/>
                <w:lang w:eastAsia="hr-HR"/>
              </w:rPr>
            </w:pPr>
          </w:p>
        </w:tc>
        <w:tc>
          <w:tcPr>
            <w:tcW w:w="369" w:type="pct"/>
            <w:vMerge/>
            <w:tcBorders>
              <w:left w:val="single" w:sz="4" w:space="0" w:color="000000"/>
              <w:bottom w:val="single" w:sz="4" w:space="0" w:color="000000"/>
              <w:right w:val="single" w:sz="4" w:space="0" w:color="000000"/>
            </w:tcBorders>
            <w:shd w:val="clear" w:color="auto" w:fill="99CCFF"/>
            <w:textDirection w:val="btLr"/>
            <w:vAlign w:val="center"/>
          </w:tcPr>
          <w:p w14:paraId="1E626829" w14:textId="77777777" w:rsidR="00671B63" w:rsidRPr="001B4CA2" w:rsidRDefault="00671B63" w:rsidP="00671B63">
            <w:pPr>
              <w:jc w:val="left"/>
              <w:rPr>
                <w:rFonts w:eastAsia="Times New Roman"/>
                <w:bCs/>
                <w:color w:val="000000"/>
                <w:sz w:val="18"/>
                <w:szCs w:val="18"/>
                <w:lang w:eastAsia="hr-HR"/>
              </w:rPr>
            </w:pPr>
          </w:p>
        </w:tc>
        <w:tc>
          <w:tcPr>
            <w:tcW w:w="380" w:type="pct"/>
            <w:vMerge/>
            <w:tcBorders>
              <w:left w:val="single" w:sz="4" w:space="0" w:color="000000"/>
              <w:bottom w:val="single" w:sz="4" w:space="0" w:color="000000"/>
              <w:right w:val="single" w:sz="4" w:space="0" w:color="000000"/>
            </w:tcBorders>
            <w:shd w:val="clear" w:color="auto" w:fill="99CCFF"/>
            <w:textDirection w:val="btLr"/>
            <w:vAlign w:val="center"/>
          </w:tcPr>
          <w:p w14:paraId="4042B400" w14:textId="77777777" w:rsidR="00671B63" w:rsidRPr="001B4CA2" w:rsidRDefault="00671B63" w:rsidP="00671B63">
            <w:pPr>
              <w:jc w:val="left"/>
              <w:rPr>
                <w:rFonts w:eastAsia="Times New Roman"/>
                <w:b/>
                <w:bCs/>
                <w:color w:val="000000"/>
                <w:sz w:val="18"/>
                <w:szCs w:val="18"/>
                <w:lang w:eastAsia="hr-HR"/>
              </w:rPr>
            </w:pPr>
          </w:p>
        </w:tc>
        <w:tc>
          <w:tcPr>
            <w:tcW w:w="421" w:type="pct"/>
            <w:vMerge/>
            <w:tcBorders>
              <w:left w:val="single" w:sz="4" w:space="0" w:color="000000"/>
              <w:bottom w:val="single" w:sz="4" w:space="0" w:color="000000"/>
              <w:right w:val="single" w:sz="4" w:space="0" w:color="000000"/>
            </w:tcBorders>
            <w:shd w:val="clear" w:color="auto" w:fill="99CCFF"/>
            <w:textDirection w:val="btLr"/>
            <w:vAlign w:val="center"/>
          </w:tcPr>
          <w:p w14:paraId="5A004C4D" w14:textId="77777777" w:rsidR="00671B63" w:rsidRPr="001B4CA2" w:rsidRDefault="00671B63" w:rsidP="00671B63">
            <w:pPr>
              <w:jc w:val="left"/>
              <w:rPr>
                <w:rFonts w:eastAsia="Times New Roman"/>
                <w:b/>
                <w:bCs/>
                <w:color w:val="000000"/>
                <w:sz w:val="18"/>
                <w:szCs w:val="18"/>
                <w:lang w:eastAsia="hr-HR"/>
              </w:rPr>
            </w:pPr>
          </w:p>
        </w:tc>
      </w:tr>
      <w:tr w:rsidR="00671B63" w:rsidRPr="001B4CA2" w14:paraId="02791168" w14:textId="77777777" w:rsidTr="00CE2706">
        <w:trPr>
          <w:trHeight w:val="454"/>
          <w:jc w:val="center"/>
        </w:trPr>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272BAA95"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2020.</w:t>
            </w:r>
          </w:p>
        </w:tc>
        <w:tc>
          <w:tcPr>
            <w:tcW w:w="455" w:type="pct"/>
            <w:tcBorders>
              <w:top w:val="single" w:sz="4" w:space="0" w:color="auto"/>
              <w:left w:val="nil"/>
              <w:bottom w:val="single" w:sz="4" w:space="0" w:color="auto"/>
              <w:right w:val="single" w:sz="4" w:space="0" w:color="auto"/>
            </w:tcBorders>
            <w:shd w:val="clear" w:color="auto" w:fill="auto"/>
            <w:vAlign w:val="center"/>
          </w:tcPr>
          <w:p w14:paraId="513BDFEF"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3.299</w:t>
            </w:r>
          </w:p>
        </w:tc>
        <w:tc>
          <w:tcPr>
            <w:tcW w:w="456" w:type="pct"/>
            <w:tcBorders>
              <w:top w:val="single" w:sz="4" w:space="0" w:color="auto"/>
              <w:left w:val="nil"/>
              <w:bottom w:val="single" w:sz="4" w:space="0" w:color="auto"/>
              <w:right w:val="single" w:sz="4" w:space="0" w:color="auto"/>
            </w:tcBorders>
            <w:shd w:val="clear" w:color="auto" w:fill="auto"/>
            <w:vAlign w:val="center"/>
          </w:tcPr>
          <w:p w14:paraId="010AAA72" w14:textId="77777777" w:rsidR="00671B63" w:rsidRPr="001B4CA2" w:rsidRDefault="00671B63" w:rsidP="00671B63">
            <w:pPr>
              <w:jc w:val="center"/>
              <w:rPr>
                <w:bCs/>
                <w:sz w:val="18"/>
                <w:szCs w:val="18"/>
              </w:rPr>
            </w:pPr>
            <w:r w:rsidRPr="001B4CA2">
              <w:rPr>
                <w:bCs/>
                <w:sz w:val="18"/>
                <w:szCs w:val="18"/>
              </w:rPr>
              <w:t>638</w:t>
            </w:r>
          </w:p>
        </w:tc>
        <w:tc>
          <w:tcPr>
            <w:tcW w:w="456" w:type="pct"/>
            <w:tcBorders>
              <w:top w:val="single" w:sz="4" w:space="0" w:color="auto"/>
              <w:left w:val="nil"/>
              <w:bottom w:val="single" w:sz="4" w:space="0" w:color="auto"/>
              <w:right w:val="single" w:sz="4" w:space="0" w:color="auto"/>
            </w:tcBorders>
            <w:shd w:val="clear" w:color="auto" w:fill="auto"/>
            <w:vAlign w:val="center"/>
          </w:tcPr>
          <w:p w14:paraId="113989FE" w14:textId="77777777" w:rsidR="00671B63" w:rsidRPr="001B4CA2" w:rsidRDefault="00671B63" w:rsidP="00671B63">
            <w:pPr>
              <w:jc w:val="center"/>
              <w:rPr>
                <w:bCs/>
                <w:sz w:val="18"/>
                <w:szCs w:val="18"/>
              </w:rPr>
            </w:pPr>
            <w:r w:rsidRPr="001B4CA2">
              <w:rPr>
                <w:bCs/>
                <w:sz w:val="18"/>
                <w:szCs w:val="18"/>
              </w:rPr>
              <w:t>820.661</w:t>
            </w:r>
          </w:p>
        </w:tc>
        <w:tc>
          <w:tcPr>
            <w:tcW w:w="456" w:type="pct"/>
            <w:tcBorders>
              <w:top w:val="single" w:sz="4" w:space="0" w:color="auto"/>
              <w:left w:val="nil"/>
              <w:bottom w:val="single" w:sz="4" w:space="0" w:color="auto"/>
              <w:right w:val="single" w:sz="4" w:space="0" w:color="auto"/>
            </w:tcBorders>
            <w:shd w:val="clear" w:color="auto" w:fill="auto"/>
            <w:vAlign w:val="center"/>
          </w:tcPr>
          <w:p w14:paraId="676FA00D" w14:textId="77777777" w:rsidR="00671B63" w:rsidRPr="001B4CA2" w:rsidRDefault="00671B63" w:rsidP="00671B63">
            <w:pPr>
              <w:jc w:val="center"/>
              <w:rPr>
                <w:bCs/>
                <w:sz w:val="18"/>
                <w:szCs w:val="18"/>
              </w:rPr>
            </w:pPr>
            <w:r w:rsidRPr="001B4CA2">
              <w:rPr>
                <w:bCs/>
                <w:sz w:val="18"/>
                <w:szCs w:val="18"/>
              </w:rPr>
              <w:t>46</w:t>
            </w:r>
          </w:p>
        </w:tc>
        <w:tc>
          <w:tcPr>
            <w:tcW w:w="456" w:type="pct"/>
            <w:tcBorders>
              <w:top w:val="single" w:sz="4" w:space="0" w:color="auto"/>
              <w:left w:val="nil"/>
              <w:bottom w:val="single" w:sz="4" w:space="0" w:color="auto"/>
              <w:right w:val="single" w:sz="4" w:space="0" w:color="auto"/>
            </w:tcBorders>
            <w:shd w:val="clear" w:color="auto" w:fill="auto"/>
            <w:vAlign w:val="center"/>
          </w:tcPr>
          <w:p w14:paraId="405C02B4" w14:textId="77777777" w:rsidR="00671B63" w:rsidRPr="001B4CA2" w:rsidRDefault="00671B63" w:rsidP="00671B63">
            <w:pPr>
              <w:jc w:val="center"/>
              <w:rPr>
                <w:bCs/>
                <w:sz w:val="18"/>
                <w:szCs w:val="18"/>
              </w:rPr>
            </w:pPr>
            <w:r w:rsidRPr="001B4CA2">
              <w:rPr>
                <w:bCs/>
                <w:sz w:val="18"/>
                <w:szCs w:val="18"/>
              </w:rPr>
              <w:t>174.790</w:t>
            </w:r>
          </w:p>
        </w:tc>
        <w:tc>
          <w:tcPr>
            <w:tcW w:w="468" w:type="pct"/>
            <w:tcBorders>
              <w:top w:val="single" w:sz="4" w:space="0" w:color="auto"/>
              <w:left w:val="nil"/>
              <w:bottom w:val="single" w:sz="4" w:space="0" w:color="auto"/>
              <w:right w:val="single" w:sz="4" w:space="0" w:color="auto"/>
            </w:tcBorders>
            <w:shd w:val="clear" w:color="auto" w:fill="auto"/>
            <w:vAlign w:val="center"/>
          </w:tcPr>
          <w:p w14:paraId="24E08BCF" w14:textId="77777777" w:rsidR="00671B63" w:rsidRPr="001B4CA2" w:rsidRDefault="00671B63" w:rsidP="00671B63">
            <w:pPr>
              <w:jc w:val="center"/>
              <w:rPr>
                <w:bCs/>
                <w:sz w:val="18"/>
                <w:szCs w:val="18"/>
              </w:rPr>
            </w:pPr>
            <w:r w:rsidRPr="001B4CA2">
              <w:rPr>
                <w:bCs/>
                <w:sz w:val="18"/>
                <w:szCs w:val="18"/>
              </w:rPr>
              <w:t>684</w:t>
            </w:r>
          </w:p>
        </w:tc>
        <w:tc>
          <w:tcPr>
            <w:tcW w:w="467" w:type="pct"/>
            <w:tcBorders>
              <w:top w:val="single" w:sz="4" w:space="0" w:color="auto"/>
              <w:left w:val="nil"/>
              <w:bottom w:val="single" w:sz="4" w:space="0" w:color="auto"/>
              <w:right w:val="single" w:sz="4" w:space="0" w:color="auto"/>
            </w:tcBorders>
            <w:vAlign w:val="center"/>
          </w:tcPr>
          <w:p w14:paraId="55604490" w14:textId="77777777" w:rsidR="00671B63" w:rsidRPr="001B4CA2" w:rsidRDefault="00671B63" w:rsidP="00671B63">
            <w:pPr>
              <w:jc w:val="center"/>
              <w:rPr>
                <w:bCs/>
                <w:sz w:val="18"/>
                <w:szCs w:val="18"/>
              </w:rPr>
            </w:pPr>
            <w:r w:rsidRPr="001B4CA2">
              <w:rPr>
                <w:bCs/>
                <w:sz w:val="18"/>
                <w:szCs w:val="18"/>
              </w:rPr>
              <w:t>2.372</w:t>
            </w:r>
          </w:p>
        </w:tc>
        <w:tc>
          <w:tcPr>
            <w:tcW w:w="369" w:type="pct"/>
            <w:tcBorders>
              <w:top w:val="single" w:sz="4" w:space="0" w:color="auto"/>
              <w:left w:val="nil"/>
              <w:bottom w:val="single" w:sz="4" w:space="0" w:color="auto"/>
              <w:right w:val="single" w:sz="4" w:space="0" w:color="auto"/>
            </w:tcBorders>
            <w:vAlign w:val="center"/>
          </w:tcPr>
          <w:p w14:paraId="69332346" w14:textId="77777777" w:rsidR="00671B63" w:rsidRPr="001B4CA2" w:rsidRDefault="00671B63" w:rsidP="00671B63">
            <w:pPr>
              <w:jc w:val="center"/>
              <w:rPr>
                <w:bCs/>
                <w:sz w:val="18"/>
                <w:szCs w:val="18"/>
              </w:rPr>
            </w:pPr>
            <w:r w:rsidRPr="001B4CA2">
              <w:rPr>
                <w:bCs/>
                <w:sz w:val="18"/>
                <w:szCs w:val="18"/>
              </w:rPr>
              <w:t>78</w:t>
            </w:r>
          </w:p>
        </w:tc>
        <w:tc>
          <w:tcPr>
            <w:tcW w:w="380" w:type="pct"/>
            <w:tcBorders>
              <w:top w:val="single" w:sz="4" w:space="0" w:color="auto"/>
              <w:left w:val="nil"/>
              <w:bottom w:val="single" w:sz="4" w:space="0" w:color="auto"/>
              <w:right w:val="single" w:sz="4" w:space="0" w:color="auto"/>
            </w:tcBorders>
            <w:vAlign w:val="center"/>
          </w:tcPr>
          <w:p w14:paraId="69DD21E6"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6</w:t>
            </w:r>
          </w:p>
        </w:tc>
        <w:tc>
          <w:tcPr>
            <w:tcW w:w="421" w:type="pct"/>
            <w:tcBorders>
              <w:top w:val="single" w:sz="4" w:space="0" w:color="auto"/>
              <w:left w:val="nil"/>
              <w:bottom w:val="single" w:sz="4" w:space="0" w:color="auto"/>
              <w:right w:val="single" w:sz="4" w:space="0" w:color="auto"/>
            </w:tcBorders>
            <w:vAlign w:val="center"/>
          </w:tcPr>
          <w:p w14:paraId="636A5CDA"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26</w:t>
            </w:r>
          </w:p>
        </w:tc>
      </w:tr>
      <w:tr w:rsidR="00671B63" w:rsidRPr="001B4CA2" w14:paraId="68B67AC1" w14:textId="77777777" w:rsidTr="00CE2706">
        <w:trPr>
          <w:trHeight w:val="454"/>
          <w:jc w:val="center"/>
        </w:trPr>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799D8012"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2021.</w:t>
            </w:r>
          </w:p>
        </w:tc>
        <w:tc>
          <w:tcPr>
            <w:tcW w:w="455" w:type="pct"/>
            <w:tcBorders>
              <w:top w:val="single" w:sz="4" w:space="0" w:color="auto"/>
              <w:left w:val="nil"/>
              <w:bottom w:val="single" w:sz="4" w:space="0" w:color="auto"/>
              <w:right w:val="single" w:sz="4" w:space="0" w:color="auto"/>
            </w:tcBorders>
            <w:shd w:val="clear" w:color="auto" w:fill="auto"/>
            <w:vAlign w:val="center"/>
          </w:tcPr>
          <w:p w14:paraId="2A4722B6"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3.585</w:t>
            </w:r>
          </w:p>
        </w:tc>
        <w:tc>
          <w:tcPr>
            <w:tcW w:w="456" w:type="pct"/>
            <w:tcBorders>
              <w:top w:val="single" w:sz="4" w:space="0" w:color="auto"/>
              <w:left w:val="nil"/>
              <w:bottom w:val="single" w:sz="4" w:space="0" w:color="auto"/>
              <w:right w:val="single" w:sz="4" w:space="0" w:color="auto"/>
            </w:tcBorders>
            <w:shd w:val="clear" w:color="auto" w:fill="auto"/>
            <w:vAlign w:val="center"/>
          </w:tcPr>
          <w:p w14:paraId="060B6761" w14:textId="77777777" w:rsidR="00671B63" w:rsidRPr="001B4CA2" w:rsidRDefault="00671B63" w:rsidP="00671B63">
            <w:pPr>
              <w:jc w:val="center"/>
              <w:rPr>
                <w:bCs/>
                <w:sz w:val="18"/>
                <w:szCs w:val="18"/>
              </w:rPr>
            </w:pPr>
            <w:r w:rsidRPr="001B4CA2">
              <w:rPr>
                <w:bCs/>
                <w:sz w:val="18"/>
                <w:szCs w:val="18"/>
              </w:rPr>
              <w:t>553</w:t>
            </w:r>
          </w:p>
        </w:tc>
        <w:tc>
          <w:tcPr>
            <w:tcW w:w="456" w:type="pct"/>
            <w:tcBorders>
              <w:top w:val="single" w:sz="4" w:space="0" w:color="auto"/>
              <w:left w:val="nil"/>
              <w:bottom w:val="single" w:sz="4" w:space="0" w:color="auto"/>
              <w:right w:val="single" w:sz="4" w:space="0" w:color="auto"/>
            </w:tcBorders>
            <w:shd w:val="clear" w:color="auto" w:fill="auto"/>
            <w:vAlign w:val="center"/>
          </w:tcPr>
          <w:p w14:paraId="7E899DBF" w14:textId="77777777" w:rsidR="00671B63" w:rsidRPr="001B4CA2" w:rsidRDefault="00671B63" w:rsidP="00671B63">
            <w:pPr>
              <w:jc w:val="center"/>
              <w:rPr>
                <w:bCs/>
                <w:sz w:val="18"/>
                <w:szCs w:val="18"/>
              </w:rPr>
            </w:pPr>
            <w:r w:rsidRPr="001B4CA2">
              <w:rPr>
                <w:bCs/>
                <w:sz w:val="18"/>
                <w:szCs w:val="18"/>
              </w:rPr>
              <w:t>446.250</w:t>
            </w:r>
          </w:p>
        </w:tc>
        <w:tc>
          <w:tcPr>
            <w:tcW w:w="456" w:type="pct"/>
            <w:tcBorders>
              <w:top w:val="single" w:sz="4" w:space="0" w:color="auto"/>
              <w:left w:val="nil"/>
              <w:bottom w:val="single" w:sz="4" w:space="0" w:color="auto"/>
              <w:right w:val="single" w:sz="4" w:space="0" w:color="auto"/>
            </w:tcBorders>
            <w:shd w:val="clear" w:color="auto" w:fill="auto"/>
            <w:vAlign w:val="center"/>
          </w:tcPr>
          <w:p w14:paraId="00759A5B" w14:textId="77777777" w:rsidR="00671B63" w:rsidRPr="001B4CA2" w:rsidRDefault="00671B63" w:rsidP="00671B63">
            <w:pPr>
              <w:jc w:val="center"/>
              <w:rPr>
                <w:bCs/>
                <w:sz w:val="18"/>
                <w:szCs w:val="18"/>
              </w:rPr>
            </w:pPr>
            <w:r w:rsidRPr="001B4CA2">
              <w:rPr>
                <w:bCs/>
                <w:sz w:val="18"/>
                <w:szCs w:val="18"/>
              </w:rPr>
              <w:t>19</w:t>
            </w:r>
          </w:p>
        </w:tc>
        <w:tc>
          <w:tcPr>
            <w:tcW w:w="456" w:type="pct"/>
            <w:tcBorders>
              <w:top w:val="single" w:sz="4" w:space="0" w:color="auto"/>
              <w:left w:val="nil"/>
              <w:bottom w:val="single" w:sz="4" w:space="0" w:color="auto"/>
              <w:right w:val="single" w:sz="4" w:space="0" w:color="auto"/>
            </w:tcBorders>
            <w:shd w:val="clear" w:color="auto" w:fill="auto"/>
            <w:vAlign w:val="center"/>
          </w:tcPr>
          <w:p w14:paraId="3AAF532D" w14:textId="77777777" w:rsidR="00671B63" w:rsidRPr="001B4CA2" w:rsidRDefault="00671B63" w:rsidP="00671B63">
            <w:pPr>
              <w:jc w:val="center"/>
              <w:rPr>
                <w:bCs/>
                <w:sz w:val="18"/>
                <w:szCs w:val="18"/>
              </w:rPr>
            </w:pPr>
            <w:r w:rsidRPr="001B4CA2">
              <w:rPr>
                <w:bCs/>
                <w:sz w:val="18"/>
                <w:szCs w:val="18"/>
              </w:rPr>
              <w:t>68.002</w:t>
            </w:r>
          </w:p>
        </w:tc>
        <w:tc>
          <w:tcPr>
            <w:tcW w:w="468" w:type="pct"/>
            <w:tcBorders>
              <w:top w:val="single" w:sz="4" w:space="0" w:color="auto"/>
              <w:left w:val="nil"/>
              <w:bottom w:val="single" w:sz="4" w:space="0" w:color="auto"/>
              <w:right w:val="single" w:sz="4" w:space="0" w:color="auto"/>
            </w:tcBorders>
            <w:shd w:val="clear" w:color="auto" w:fill="auto"/>
            <w:vAlign w:val="center"/>
          </w:tcPr>
          <w:p w14:paraId="7316AF13" w14:textId="77777777" w:rsidR="00671B63" w:rsidRPr="001B4CA2" w:rsidRDefault="00671B63" w:rsidP="00671B63">
            <w:pPr>
              <w:jc w:val="center"/>
              <w:rPr>
                <w:bCs/>
                <w:sz w:val="18"/>
                <w:szCs w:val="18"/>
              </w:rPr>
            </w:pPr>
            <w:r w:rsidRPr="001B4CA2">
              <w:rPr>
                <w:bCs/>
                <w:sz w:val="18"/>
                <w:szCs w:val="18"/>
              </w:rPr>
              <w:t>572</w:t>
            </w:r>
          </w:p>
        </w:tc>
        <w:tc>
          <w:tcPr>
            <w:tcW w:w="467" w:type="pct"/>
            <w:tcBorders>
              <w:top w:val="single" w:sz="4" w:space="0" w:color="auto"/>
              <w:left w:val="nil"/>
              <w:bottom w:val="single" w:sz="4" w:space="0" w:color="auto"/>
              <w:right w:val="single" w:sz="4" w:space="0" w:color="auto"/>
            </w:tcBorders>
            <w:vAlign w:val="center"/>
          </w:tcPr>
          <w:p w14:paraId="48476D61" w14:textId="77777777" w:rsidR="00671B63" w:rsidRPr="001B4CA2" w:rsidRDefault="00671B63" w:rsidP="00671B63">
            <w:pPr>
              <w:jc w:val="center"/>
              <w:rPr>
                <w:bCs/>
                <w:sz w:val="18"/>
                <w:szCs w:val="18"/>
              </w:rPr>
            </w:pPr>
            <w:r w:rsidRPr="001B4CA2">
              <w:rPr>
                <w:bCs/>
                <w:sz w:val="18"/>
                <w:szCs w:val="18"/>
              </w:rPr>
              <w:t>2.076</w:t>
            </w:r>
          </w:p>
        </w:tc>
        <w:tc>
          <w:tcPr>
            <w:tcW w:w="369" w:type="pct"/>
            <w:tcBorders>
              <w:top w:val="single" w:sz="4" w:space="0" w:color="auto"/>
              <w:left w:val="nil"/>
              <w:bottom w:val="single" w:sz="4" w:space="0" w:color="auto"/>
              <w:right w:val="single" w:sz="4" w:space="0" w:color="auto"/>
            </w:tcBorders>
            <w:vAlign w:val="center"/>
          </w:tcPr>
          <w:p w14:paraId="773BF747" w14:textId="77777777" w:rsidR="00671B63" w:rsidRPr="001B4CA2" w:rsidRDefault="00671B63" w:rsidP="00671B63">
            <w:pPr>
              <w:jc w:val="center"/>
              <w:rPr>
                <w:bCs/>
                <w:sz w:val="18"/>
                <w:szCs w:val="18"/>
              </w:rPr>
            </w:pPr>
            <w:r w:rsidRPr="001B4CA2">
              <w:rPr>
                <w:bCs/>
                <w:sz w:val="18"/>
                <w:szCs w:val="18"/>
              </w:rPr>
              <w:t>25</w:t>
            </w:r>
          </w:p>
        </w:tc>
        <w:tc>
          <w:tcPr>
            <w:tcW w:w="380" w:type="pct"/>
            <w:tcBorders>
              <w:top w:val="single" w:sz="4" w:space="0" w:color="auto"/>
              <w:left w:val="nil"/>
              <w:bottom w:val="single" w:sz="4" w:space="0" w:color="auto"/>
              <w:right w:val="single" w:sz="4" w:space="0" w:color="auto"/>
            </w:tcBorders>
            <w:vAlign w:val="center"/>
          </w:tcPr>
          <w:p w14:paraId="528A6537" w14:textId="77777777" w:rsidR="00671B63" w:rsidRPr="001B4CA2" w:rsidRDefault="00671B63" w:rsidP="00671B63">
            <w:pPr>
              <w:jc w:val="center"/>
              <w:rPr>
                <w:bCs/>
                <w:sz w:val="18"/>
                <w:szCs w:val="18"/>
              </w:rPr>
            </w:pPr>
            <w:r w:rsidRPr="001B4CA2">
              <w:rPr>
                <w:bCs/>
                <w:sz w:val="18"/>
                <w:szCs w:val="18"/>
              </w:rPr>
              <w:t>0</w:t>
            </w:r>
          </w:p>
        </w:tc>
        <w:tc>
          <w:tcPr>
            <w:tcW w:w="421" w:type="pct"/>
            <w:tcBorders>
              <w:top w:val="single" w:sz="4" w:space="0" w:color="auto"/>
              <w:left w:val="nil"/>
              <w:bottom w:val="single" w:sz="4" w:space="0" w:color="auto"/>
              <w:right w:val="single" w:sz="4" w:space="0" w:color="auto"/>
            </w:tcBorders>
            <w:vAlign w:val="center"/>
          </w:tcPr>
          <w:p w14:paraId="2259C3BA" w14:textId="77777777" w:rsidR="00671B63" w:rsidRPr="001B4CA2" w:rsidRDefault="00671B63" w:rsidP="00671B63">
            <w:pPr>
              <w:jc w:val="center"/>
              <w:rPr>
                <w:bCs/>
                <w:sz w:val="18"/>
                <w:szCs w:val="18"/>
              </w:rPr>
            </w:pPr>
            <w:r w:rsidRPr="001B4CA2">
              <w:rPr>
                <w:bCs/>
                <w:sz w:val="18"/>
                <w:szCs w:val="18"/>
              </w:rPr>
              <w:t>7</w:t>
            </w:r>
          </w:p>
        </w:tc>
      </w:tr>
      <w:tr w:rsidR="00671B63" w:rsidRPr="001B4CA2" w14:paraId="1BB22294" w14:textId="77777777" w:rsidTr="00CE2706">
        <w:trPr>
          <w:trHeight w:val="454"/>
          <w:jc w:val="center"/>
        </w:trPr>
        <w:tc>
          <w:tcPr>
            <w:tcW w:w="616" w:type="pct"/>
            <w:tcBorders>
              <w:top w:val="single" w:sz="4" w:space="0" w:color="auto"/>
              <w:left w:val="single" w:sz="4" w:space="0" w:color="auto"/>
              <w:bottom w:val="single" w:sz="4" w:space="0" w:color="auto"/>
              <w:right w:val="single" w:sz="4" w:space="0" w:color="auto"/>
            </w:tcBorders>
            <w:shd w:val="clear" w:color="auto" w:fill="auto"/>
            <w:vAlign w:val="center"/>
          </w:tcPr>
          <w:p w14:paraId="3B902331"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2022.</w:t>
            </w:r>
          </w:p>
        </w:tc>
        <w:tc>
          <w:tcPr>
            <w:tcW w:w="455" w:type="pct"/>
            <w:tcBorders>
              <w:top w:val="single" w:sz="4" w:space="0" w:color="auto"/>
              <w:left w:val="nil"/>
              <w:bottom w:val="single" w:sz="4" w:space="0" w:color="auto"/>
              <w:right w:val="single" w:sz="4" w:space="0" w:color="auto"/>
            </w:tcBorders>
            <w:shd w:val="clear" w:color="auto" w:fill="auto"/>
            <w:vAlign w:val="center"/>
          </w:tcPr>
          <w:p w14:paraId="23A2E9EA" w14:textId="77777777" w:rsidR="00671B63" w:rsidRPr="001B4CA2" w:rsidRDefault="00671B63" w:rsidP="00671B63">
            <w:pPr>
              <w:jc w:val="center"/>
              <w:rPr>
                <w:bCs/>
                <w:sz w:val="18"/>
                <w:szCs w:val="18"/>
              </w:rPr>
            </w:pPr>
            <w:r w:rsidRPr="001B4CA2">
              <w:rPr>
                <w:bCs/>
                <w:sz w:val="18"/>
                <w:szCs w:val="18"/>
              </w:rPr>
              <w:t>3.054</w:t>
            </w:r>
          </w:p>
        </w:tc>
        <w:tc>
          <w:tcPr>
            <w:tcW w:w="456" w:type="pct"/>
            <w:tcBorders>
              <w:top w:val="single" w:sz="4" w:space="0" w:color="auto"/>
              <w:left w:val="nil"/>
              <w:bottom w:val="single" w:sz="4" w:space="0" w:color="auto"/>
              <w:right w:val="single" w:sz="4" w:space="0" w:color="auto"/>
            </w:tcBorders>
            <w:shd w:val="clear" w:color="auto" w:fill="auto"/>
            <w:vAlign w:val="center"/>
          </w:tcPr>
          <w:p w14:paraId="3BF48B0D" w14:textId="77777777" w:rsidR="00671B63" w:rsidRPr="001B4CA2" w:rsidRDefault="00671B63" w:rsidP="00671B63">
            <w:pPr>
              <w:jc w:val="center"/>
              <w:rPr>
                <w:bCs/>
                <w:sz w:val="18"/>
                <w:szCs w:val="18"/>
              </w:rPr>
            </w:pPr>
            <w:r w:rsidRPr="001B4CA2">
              <w:rPr>
                <w:bCs/>
                <w:sz w:val="18"/>
                <w:szCs w:val="18"/>
              </w:rPr>
              <w:t>577</w:t>
            </w:r>
          </w:p>
        </w:tc>
        <w:tc>
          <w:tcPr>
            <w:tcW w:w="456" w:type="pct"/>
            <w:tcBorders>
              <w:top w:val="single" w:sz="4" w:space="0" w:color="auto"/>
              <w:left w:val="nil"/>
              <w:bottom w:val="single" w:sz="4" w:space="0" w:color="auto"/>
              <w:right w:val="single" w:sz="4" w:space="0" w:color="auto"/>
            </w:tcBorders>
            <w:shd w:val="clear" w:color="auto" w:fill="auto"/>
            <w:vAlign w:val="center"/>
          </w:tcPr>
          <w:p w14:paraId="2F8751C8" w14:textId="77777777" w:rsidR="00671B63" w:rsidRPr="001B4CA2" w:rsidRDefault="00671B63" w:rsidP="00671B63">
            <w:pPr>
              <w:jc w:val="center"/>
              <w:rPr>
                <w:bCs/>
                <w:sz w:val="18"/>
                <w:szCs w:val="18"/>
              </w:rPr>
            </w:pPr>
            <w:r w:rsidRPr="001B4CA2">
              <w:rPr>
                <w:bCs/>
                <w:sz w:val="18"/>
                <w:szCs w:val="18"/>
              </w:rPr>
              <w:t>635.105</w:t>
            </w:r>
          </w:p>
        </w:tc>
        <w:tc>
          <w:tcPr>
            <w:tcW w:w="456" w:type="pct"/>
            <w:tcBorders>
              <w:top w:val="single" w:sz="4" w:space="0" w:color="auto"/>
              <w:left w:val="nil"/>
              <w:bottom w:val="single" w:sz="4" w:space="0" w:color="auto"/>
              <w:right w:val="single" w:sz="4" w:space="0" w:color="auto"/>
            </w:tcBorders>
            <w:shd w:val="clear" w:color="auto" w:fill="auto"/>
            <w:vAlign w:val="center"/>
          </w:tcPr>
          <w:p w14:paraId="75593A3F" w14:textId="77777777" w:rsidR="00671B63" w:rsidRPr="001B4CA2" w:rsidRDefault="00671B63" w:rsidP="00671B63">
            <w:pPr>
              <w:jc w:val="center"/>
              <w:rPr>
                <w:bCs/>
                <w:sz w:val="18"/>
                <w:szCs w:val="18"/>
              </w:rPr>
            </w:pPr>
            <w:r w:rsidRPr="001B4CA2">
              <w:rPr>
                <w:bCs/>
                <w:sz w:val="18"/>
                <w:szCs w:val="18"/>
              </w:rPr>
              <w:t>22</w:t>
            </w:r>
          </w:p>
        </w:tc>
        <w:tc>
          <w:tcPr>
            <w:tcW w:w="456" w:type="pct"/>
            <w:tcBorders>
              <w:top w:val="single" w:sz="4" w:space="0" w:color="auto"/>
              <w:left w:val="nil"/>
              <w:bottom w:val="single" w:sz="4" w:space="0" w:color="auto"/>
              <w:right w:val="single" w:sz="4" w:space="0" w:color="auto"/>
            </w:tcBorders>
            <w:shd w:val="clear" w:color="auto" w:fill="auto"/>
            <w:vAlign w:val="center"/>
          </w:tcPr>
          <w:p w14:paraId="7B1C85DC" w14:textId="77777777" w:rsidR="00671B63" w:rsidRPr="001B4CA2" w:rsidRDefault="00671B63" w:rsidP="00671B63">
            <w:pPr>
              <w:jc w:val="center"/>
              <w:rPr>
                <w:bCs/>
                <w:sz w:val="18"/>
                <w:szCs w:val="18"/>
              </w:rPr>
            </w:pPr>
            <w:r w:rsidRPr="001B4CA2">
              <w:rPr>
                <w:bCs/>
                <w:sz w:val="18"/>
                <w:szCs w:val="18"/>
              </w:rPr>
              <w:t>36.812</w:t>
            </w:r>
          </w:p>
        </w:tc>
        <w:tc>
          <w:tcPr>
            <w:tcW w:w="468" w:type="pct"/>
            <w:tcBorders>
              <w:top w:val="single" w:sz="4" w:space="0" w:color="auto"/>
              <w:left w:val="nil"/>
              <w:bottom w:val="single" w:sz="4" w:space="0" w:color="auto"/>
              <w:right w:val="single" w:sz="4" w:space="0" w:color="auto"/>
            </w:tcBorders>
            <w:shd w:val="clear" w:color="auto" w:fill="auto"/>
            <w:vAlign w:val="center"/>
          </w:tcPr>
          <w:p w14:paraId="1048363F" w14:textId="77777777" w:rsidR="00671B63" w:rsidRPr="001B4CA2" w:rsidRDefault="00671B63" w:rsidP="00671B63">
            <w:pPr>
              <w:jc w:val="center"/>
              <w:rPr>
                <w:bCs/>
                <w:sz w:val="18"/>
                <w:szCs w:val="18"/>
              </w:rPr>
            </w:pPr>
            <w:r w:rsidRPr="001B4CA2">
              <w:rPr>
                <w:bCs/>
                <w:sz w:val="18"/>
                <w:szCs w:val="18"/>
              </w:rPr>
              <w:t>599</w:t>
            </w:r>
          </w:p>
        </w:tc>
        <w:tc>
          <w:tcPr>
            <w:tcW w:w="467" w:type="pct"/>
            <w:tcBorders>
              <w:top w:val="single" w:sz="4" w:space="0" w:color="auto"/>
              <w:left w:val="nil"/>
              <w:bottom w:val="single" w:sz="4" w:space="0" w:color="auto"/>
              <w:right w:val="single" w:sz="4" w:space="0" w:color="auto"/>
            </w:tcBorders>
            <w:vAlign w:val="center"/>
          </w:tcPr>
          <w:p w14:paraId="3D55C2F6" w14:textId="77777777" w:rsidR="00671B63" w:rsidRPr="001B4CA2" w:rsidRDefault="00671B63" w:rsidP="00671B63">
            <w:pPr>
              <w:jc w:val="center"/>
              <w:rPr>
                <w:bCs/>
                <w:sz w:val="18"/>
                <w:szCs w:val="18"/>
              </w:rPr>
            </w:pPr>
            <w:r w:rsidRPr="001B4CA2">
              <w:rPr>
                <w:bCs/>
                <w:sz w:val="18"/>
                <w:szCs w:val="18"/>
              </w:rPr>
              <w:t>1.897</w:t>
            </w:r>
          </w:p>
        </w:tc>
        <w:tc>
          <w:tcPr>
            <w:tcW w:w="369" w:type="pct"/>
            <w:tcBorders>
              <w:top w:val="single" w:sz="4" w:space="0" w:color="auto"/>
              <w:left w:val="nil"/>
              <w:bottom w:val="single" w:sz="4" w:space="0" w:color="auto"/>
              <w:right w:val="single" w:sz="4" w:space="0" w:color="auto"/>
            </w:tcBorders>
            <w:vAlign w:val="center"/>
          </w:tcPr>
          <w:p w14:paraId="1E253A6D" w14:textId="77777777" w:rsidR="00671B63" w:rsidRPr="001B4CA2" w:rsidRDefault="00671B63" w:rsidP="00671B63">
            <w:pPr>
              <w:jc w:val="center"/>
              <w:rPr>
                <w:bCs/>
                <w:sz w:val="18"/>
                <w:szCs w:val="18"/>
              </w:rPr>
            </w:pPr>
            <w:r w:rsidRPr="001B4CA2">
              <w:rPr>
                <w:bCs/>
                <w:sz w:val="18"/>
                <w:szCs w:val="18"/>
              </w:rPr>
              <w:t>26</w:t>
            </w:r>
          </w:p>
        </w:tc>
        <w:tc>
          <w:tcPr>
            <w:tcW w:w="380" w:type="pct"/>
            <w:tcBorders>
              <w:top w:val="single" w:sz="4" w:space="0" w:color="auto"/>
              <w:left w:val="nil"/>
              <w:bottom w:val="single" w:sz="4" w:space="0" w:color="auto"/>
              <w:right w:val="single" w:sz="4" w:space="0" w:color="auto"/>
            </w:tcBorders>
            <w:vAlign w:val="center"/>
          </w:tcPr>
          <w:p w14:paraId="153F2006" w14:textId="77777777" w:rsidR="00671B63" w:rsidRPr="001B4CA2" w:rsidRDefault="00671B63" w:rsidP="00671B63">
            <w:pPr>
              <w:jc w:val="center"/>
              <w:rPr>
                <w:bCs/>
                <w:sz w:val="18"/>
                <w:szCs w:val="18"/>
              </w:rPr>
            </w:pPr>
            <w:r w:rsidRPr="001B4CA2">
              <w:rPr>
                <w:bCs/>
                <w:sz w:val="18"/>
                <w:szCs w:val="18"/>
              </w:rPr>
              <w:t>1</w:t>
            </w:r>
          </w:p>
        </w:tc>
        <w:tc>
          <w:tcPr>
            <w:tcW w:w="421" w:type="pct"/>
            <w:tcBorders>
              <w:top w:val="single" w:sz="4" w:space="0" w:color="auto"/>
              <w:left w:val="nil"/>
              <w:bottom w:val="single" w:sz="4" w:space="0" w:color="auto"/>
              <w:right w:val="single" w:sz="4" w:space="0" w:color="auto"/>
            </w:tcBorders>
            <w:vAlign w:val="center"/>
          </w:tcPr>
          <w:p w14:paraId="31BC310A" w14:textId="77777777" w:rsidR="00671B63" w:rsidRPr="001B4CA2" w:rsidRDefault="00671B63" w:rsidP="00671B63">
            <w:pPr>
              <w:jc w:val="center"/>
              <w:rPr>
                <w:bCs/>
                <w:sz w:val="18"/>
                <w:szCs w:val="18"/>
              </w:rPr>
            </w:pPr>
            <w:r w:rsidRPr="001B4CA2">
              <w:rPr>
                <w:bCs/>
                <w:sz w:val="18"/>
                <w:szCs w:val="18"/>
              </w:rPr>
              <w:t>17</w:t>
            </w:r>
          </w:p>
        </w:tc>
      </w:tr>
    </w:tbl>
    <w:p w14:paraId="1BE5485B" w14:textId="77777777" w:rsidR="00671B63" w:rsidRPr="001B4CA2" w:rsidRDefault="00671B63" w:rsidP="00671B63">
      <w:pPr>
        <w:ind w:firstLine="708"/>
        <w:rPr>
          <w:sz w:val="20"/>
          <w:szCs w:val="20"/>
        </w:rPr>
      </w:pPr>
      <w:r w:rsidRPr="001B4CA2">
        <w:rPr>
          <w:sz w:val="20"/>
          <w:szCs w:val="20"/>
        </w:rPr>
        <w:tab/>
      </w:r>
    </w:p>
    <w:p w14:paraId="46159490" w14:textId="77777777" w:rsidR="00671B63" w:rsidRPr="001B4CA2" w:rsidRDefault="00671B63" w:rsidP="00671B63">
      <w:pPr>
        <w:ind w:firstLine="708"/>
        <w:rPr>
          <w:sz w:val="20"/>
          <w:szCs w:val="20"/>
        </w:rPr>
      </w:pPr>
    </w:p>
    <w:p w14:paraId="3DC9E93E" w14:textId="74BC388F" w:rsidR="00F6521D" w:rsidRPr="001B4CA2" w:rsidRDefault="00F6521D" w:rsidP="00F6521D">
      <w:pPr>
        <w:ind w:firstLine="708"/>
      </w:pPr>
      <w:r w:rsidRPr="001B4CA2">
        <w:t xml:space="preserve">U izvještajnoj godini u stečajnim predmetima državno odvjetništvo je zastupalo na 3.054 ročišta kod trgovačkih sudova. Radilo se o ispitnim i izvještajnim ročištima i skupštinama vjerovnika u stečajevima u kojima država ostvaruje svoje prijavljene </w:t>
      </w:r>
      <w:r w:rsidRPr="001B4CA2">
        <w:lastRenderedPageBreak/>
        <w:t xml:space="preserve">tražbine. Ročišta radi ispitivanja tražbina značajna su, a priprema za zastupanje na tim ročištima važna je jer na njima vjerovnici imaju priliku eventualno osporiti tražbine drugih vjerovnika i u slučaju kada te tražbine nije osporio stečajni upravitelj. Kako bi se kritički razmotrila prethodno dostavljena očitovanja stečajnog upravitelja o prijavljenim tražbinama, kao i prijedlozi odluka stečajnog upravitelja u cilju unovčenja imovine dužnika, </w:t>
      </w:r>
      <w:r w:rsidR="0020162B" w:rsidRPr="001B4CA2">
        <w:t>nerijetko</w:t>
      </w:r>
      <w:r w:rsidRPr="001B4CA2">
        <w:t xml:space="preserve"> je radi zastupanja na ispitnim i izvještajnim ročištima potrebno detaljno analizirati isprave na kojima se temelje prijavljene tražbine drugih vjerovnika stečaja, ali i podatke o imovini dužnika, analizirati eventualne postupke u kojima dužnik već sudjeluje ili se vode u odnosu na imovinu koja predstavlja stečajnu masu. U ovoj analizi državno odvjetništvo koristi postojeću, a nužnu kvalitetnu suradnju s poreznim tijelima.</w:t>
      </w:r>
    </w:p>
    <w:p w14:paraId="0605B43D" w14:textId="77777777" w:rsidR="00F6521D" w:rsidRPr="001B4CA2" w:rsidRDefault="00F6521D" w:rsidP="00F6521D">
      <w:pPr>
        <w:ind w:firstLine="708"/>
      </w:pPr>
    </w:p>
    <w:p w14:paraId="23E02AEE" w14:textId="4935244D" w:rsidR="00F6521D" w:rsidRPr="001B4CA2" w:rsidRDefault="00F6521D" w:rsidP="00F6521D">
      <w:pPr>
        <w:ind w:firstLine="708"/>
      </w:pPr>
      <w:r w:rsidRPr="001B4CA2">
        <w:t>Od ukupno prijavljenih tražbina države i njenih tijela u stečajnom postupku za 577 tražbina trgovački su sudovi donijeli rješenja kojima se te tražbine utvrđuju, i to u iznosu od 635.105.000,00 k</w:t>
      </w:r>
      <w:r w:rsidR="0047537B" w:rsidRPr="001B4CA2">
        <w:t>n</w:t>
      </w:r>
      <w:r w:rsidR="004B1F3B">
        <w:t xml:space="preserve"> </w:t>
      </w:r>
      <w:r w:rsidR="0047537B" w:rsidRPr="001B4CA2">
        <w:t>/ 84.292.919,20 EUR</w:t>
      </w:r>
      <w:r w:rsidRPr="001B4CA2">
        <w:t>, a za 22 tražbin</w:t>
      </w:r>
      <w:r w:rsidR="004B1F3B">
        <w:t>e</w:t>
      </w:r>
      <w:r w:rsidRPr="001B4CA2">
        <w:t xml:space="preserve"> donijeli su rješenja kojima se utvrđuje da su te tražbine osporene, i to u iznosu od 36.812.000,00 k</w:t>
      </w:r>
      <w:r w:rsidR="0047537B" w:rsidRPr="001B4CA2">
        <w:t>n</w:t>
      </w:r>
      <w:r w:rsidR="004B1F3B">
        <w:t xml:space="preserve"> </w:t>
      </w:r>
      <w:r w:rsidR="0047537B" w:rsidRPr="001B4CA2">
        <w:t>/</w:t>
      </w:r>
      <w:r w:rsidR="001C297A" w:rsidRPr="001B4CA2">
        <w:t xml:space="preserve"> </w:t>
      </w:r>
      <w:r w:rsidR="0047537B" w:rsidRPr="001B4CA2">
        <w:t>4.885.792,02 EUR</w:t>
      </w:r>
      <w:r w:rsidRPr="001B4CA2">
        <w:t>. U odnosu na prethodno razdoblje bilježi se povećanje broja utvrđenih tražbina od 4,33 % i povećanje vrijednosti utvrđenih tražbina od 42,32</w:t>
      </w:r>
      <w:r w:rsidR="004B1F3B">
        <w:t> </w:t>
      </w:r>
      <w:r w:rsidRPr="001B4CA2">
        <w:t xml:space="preserve">%. Razlog tome je </w:t>
      </w:r>
      <w:r w:rsidR="004B1F3B" w:rsidRPr="001B4CA2">
        <w:t xml:space="preserve">činjenica </w:t>
      </w:r>
      <w:r w:rsidRPr="001B4CA2">
        <w:t>sada ustaljene prakse sudova u pogledu tražbina koje država ostvaruje kao vjerovnik I</w:t>
      </w:r>
      <w:r w:rsidR="004B1F3B">
        <w:t>.</w:t>
      </w:r>
      <w:r w:rsidRPr="001B4CA2">
        <w:t xml:space="preserve"> višeg isplatnog reda (tražbine s osnove doprinosa iz plaće i na plaću, porezi i doprinosi na dohodak i doprinosi za mirovinsko i zdravstveno osiguranje).</w:t>
      </w:r>
    </w:p>
    <w:p w14:paraId="69DBAAB9" w14:textId="77777777" w:rsidR="00F6521D" w:rsidRPr="001B4CA2" w:rsidRDefault="00F6521D" w:rsidP="00F6521D"/>
    <w:p w14:paraId="2B31793D" w14:textId="16BE7AA9" w:rsidR="00F6521D" w:rsidRPr="001B4CA2" w:rsidRDefault="00F6521D" w:rsidP="00F6521D">
      <w:pPr>
        <w:ind w:firstLine="708"/>
      </w:pPr>
      <w:r w:rsidRPr="001B4CA2">
        <w:t>Državno je odvjetništvo na rješenja trgovačkih sudova o utvrđenim, odnosno osporenim tražbinama izjavilo 26 redovitih pravnih lijekova</w:t>
      </w:r>
      <w:r w:rsidR="001B4CA2">
        <w:t xml:space="preserve"> </w:t>
      </w:r>
      <w:r w:rsidRPr="001B4CA2">
        <w:t>i 1 izvanredni pravni lijek.</w:t>
      </w:r>
    </w:p>
    <w:p w14:paraId="2404E092" w14:textId="77777777" w:rsidR="00F6521D" w:rsidRPr="001B4CA2" w:rsidRDefault="00F6521D" w:rsidP="00F6521D"/>
    <w:p w14:paraId="6A27F87C" w14:textId="77777777" w:rsidR="00F6521D" w:rsidRPr="001B4CA2" w:rsidRDefault="00F6521D" w:rsidP="00F6521D">
      <w:pPr>
        <w:ind w:firstLine="708"/>
      </w:pPr>
      <w:r w:rsidRPr="001B4CA2">
        <w:t xml:space="preserve">U 17 predmeta državna su odvjetništva podnijela tužbe radi utvrđenja osnovanom osporene tražbine. </w:t>
      </w:r>
    </w:p>
    <w:p w14:paraId="1A7496C6" w14:textId="77777777" w:rsidR="00F6521D" w:rsidRPr="001B4CA2" w:rsidRDefault="00F6521D" w:rsidP="00F6521D">
      <w:pPr>
        <w:ind w:firstLine="708"/>
      </w:pPr>
    </w:p>
    <w:p w14:paraId="05C8E8B9" w14:textId="219C1562" w:rsidR="00F6521D" w:rsidRPr="001B4CA2" w:rsidRDefault="00F6521D" w:rsidP="00F6521D">
      <w:pPr>
        <w:ind w:firstLine="708"/>
      </w:pPr>
      <w:r w:rsidRPr="001B4CA2">
        <w:t xml:space="preserve">U pogledu naplate i namirenja u stečajnim postupcima može se zaključiti da do namirenja dolazi uglavnom u postupcima gdje su tražbine države osigurane </w:t>
      </w:r>
      <w:proofErr w:type="spellStart"/>
      <w:r w:rsidRPr="001B4CA2">
        <w:t>razlučnim</w:t>
      </w:r>
      <w:proofErr w:type="spellEnd"/>
      <w:r w:rsidRPr="001B4CA2">
        <w:t xml:space="preserve"> pravima na imovini dužnika nad kojim je otvoren stečajni postupak. Dakle, nužno je, ako postoje dospjele a nepodmirene tražbine, da se radi osiguranja </w:t>
      </w:r>
      <w:r w:rsidR="004B1F3B">
        <w:t xml:space="preserve">njihove </w:t>
      </w:r>
      <w:r w:rsidRPr="001B4CA2">
        <w:t>naplate odmah zasnuje založno pravo.</w:t>
      </w:r>
    </w:p>
    <w:p w14:paraId="0794BCEE" w14:textId="77777777" w:rsidR="00F6521D" w:rsidRPr="001B4CA2" w:rsidRDefault="00F6521D" w:rsidP="00F6521D">
      <w:pPr>
        <w:ind w:firstLine="708"/>
      </w:pPr>
    </w:p>
    <w:p w14:paraId="7020A105" w14:textId="77777777" w:rsidR="00F6521D" w:rsidRPr="001B4CA2" w:rsidRDefault="00F6521D" w:rsidP="00F6521D">
      <w:pPr>
        <w:ind w:firstLine="708"/>
      </w:pPr>
      <w:r w:rsidRPr="001B4CA2">
        <w:t xml:space="preserve">Kada se pak radi o zasnovanim </w:t>
      </w:r>
      <w:proofErr w:type="spellStart"/>
      <w:r w:rsidRPr="001B4CA2">
        <w:t>razlučnim</w:t>
      </w:r>
      <w:proofErr w:type="spellEnd"/>
      <w:r w:rsidRPr="001B4CA2">
        <w:t xml:space="preserve"> pravima na vozilima, strojevima i drugim pokretninama, može se reći da se u pravilu radi o imovini koja ili nije dostupna ili nije u posjedu stečajnog upravitelja ili je riječ o neupotrebljivoj i bezvrijednoj imovini. Razlog tome je što je od trenutka stvarnog poslovanja dužnika do otvaranja stečajnog postupka proteklo dulje vremensko razdoblje. Dakle, ako se promatra interes vjerovnika, tada bi stečajne postupke trebalo otvarati u što kraćem periodu od stvarnog prestanka poslovanja pojedinog subjekta.</w:t>
      </w:r>
    </w:p>
    <w:p w14:paraId="2ECE1D40" w14:textId="77777777" w:rsidR="00F6521D" w:rsidRPr="001B4CA2" w:rsidRDefault="00F6521D" w:rsidP="00F6521D"/>
    <w:p w14:paraId="43A24AAC" w14:textId="575F6A91" w:rsidR="00F062E4" w:rsidRPr="001B4CA2" w:rsidRDefault="00F062E4" w:rsidP="00957EED"/>
    <w:p w14:paraId="0288226F" w14:textId="3B9DA310" w:rsidR="00F062E4" w:rsidRPr="001B4CA2" w:rsidRDefault="00F062E4" w:rsidP="00957EED"/>
    <w:p w14:paraId="29857322" w14:textId="2D8E47D8" w:rsidR="00F062E4" w:rsidRPr="001B4CA2" w:rsidRDefault="00F062E4" w:rsidP="00957EED"/>
    <w:p w14:paraId="4666E1D1" w14:textId="5CA2F9A8" w:rsidR="00F062E4" w:rsidRPr="001B4CA2" w:rsidRDefault="00F062E4" w:rsidP="00957EED"/>
    <w:p w14:paraId="73507CFE" w14:textId="35CE71F2" w:rsidR="00F062E4" w:rsidRPr="001B4CA2" w:rsidRDefault="00F062E4" w:rsidP="00957EED"/>
    <w:p w14:paraId="4BF6110D" w14:textId="5AE96E0D" w:rsidR="00F062E4" w:rsidRPr="001B4CA2" w:rsidRDefault="00F062E4" w:rsidP="00957EED"/>
    <w:p w14:paraId="482FC077" w14:textId="77777777" w:rsidR="0002334C" w:rsidRPr="001B4CA2" w:rsidRDefault="0002334C" w:rsidP="00957EED"/>
    <w:p w14:paraId="473CF138" w14:textId="08245C15" w:rsidR="006A1678" w:rsidRPr="001B4CA2" w:rsidRDefault="006A1678" w:rsidP="0002334C">
      <w:pPr>
        <w:pStyle w:val="Naslov5"/>
        <w:ind w:left="284" w:firstLine="0"/>
        <w:rPr>
          <w:rFonts w:ascii="Arial" w:hAnsi="Arial" w:cs="Arial"/>
        </w:rPr>
      </w:pPr>
      <w:bookmarkStart w:id="95" w:name="_Toc133394352"/>
      <w:r w:rsidRPr="001B4CA2">
        <w:rPr>
          <w:rFonts w:ascii="Arial" w:hAnsi="Arial" w:cs="Arial"/>
        </w:rPr>
        <w:lastRenderedPageBreak/>
        <w:t>Predstečajni predmeti</w:t>
      </w:r>
      <w:bookmarkEnd w:id="95"/>
    </w:p>
    <w:p w14:paraId="67396C23" w14:textId="77777777" w:rsidR="00891E94" w:rsidRPr="001B4CA2" w:rsidRDefault="00891E94" w:rsidP="00891E94">
      <w:pPr>
        <w:contextualSpacing/>
        <w:jc w:val="left"/>
      </w:pPr>
    </w:p>
    <w:p w14:paraId="24514AF6" w14:textId="01686AFA" w:rsidR="00671B63" w:rsidRPr="001B4CA2" w:rsidRDefault="00671B63" w:rsidP="00671B63">
      <w:pPr>
        <w:pStyle w:val="Odlomakpopisa"/>
        <w:numPr>
          <w:ilvl w:val="0"/>
          <w:numId w:val="47"/>
        </w:numPr>
        <w:rPr>
          <w:rFonts w:asciiTheme="minorHAnsi" w:hAnsiTheme="minorHAnsi" w:cstheme="minorBidi"/>
          <w:i/>
          <w:szCs w:val="22"/>
        </w:rPr>
      </w:pPr>
      <w:r w:rsidRPr="001B4CA2">
        <w:rPr>
          <w:rFonts w:asciiTheme="minorHAnsi" w:hAnsiTheme="minorHAnsi" w:cstheme="minorBidi"/>
          <w:i/>
          <w:szCs w:val="22"/>
        </w:rPr>
        <w:t>Predstečajni predmeti – odluke državnog odvjetništva</w:t>
      </w:r>
      <w:r w:rsidR="001B4CA2">
        <w:rPr>
          <w:rFonts w:asciiTheme="minorHAnsi" w:hAnsiTheme="minorHAnsi" w:cstheme="minorBidi"/>
          <w:i/>
          <w:szCs w:val="22"/>
        </w:rPr>
        <w:t xml:space="preserve"> </w:t>
      </w:r>
      <w:r w:rsidRPr="001B4CA2">
        <w:rPr>
          <w:rFonts w:asciiTheme="minorHAnsi" w:hAnsiTheme="minorHAnsi" w:cstheme="minorBidi"/>
          <w:i/>
          <w:szCs w:val="22"/>
        </w:rPr>
        <w:t xml:space="preserve">2020.-2022. </w:t>
      </w: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72"/>
        <w:gridCol w:w="672"/>
        <w:gridCol w:w="672"/>
        <w:gridCol w:w="674"/>
        <w:gridCol w:w="674"/>
        <w:gridCol w:w="674"/>
        <w:gridCol w:w="867"/>
        <w:gridCol w:w="674"/>
        <w:gridCol w:w="661"/>
        <w:gridCol w:w="679"/>
        <w:gridCol w:w="674"/>
        <w:gridCol w:w="664"/>
      </w:tblGrid>
      <w:tr w:rsidR="00671B63" w:rsidRPr="001B4CA2" w14:paraId="468BF60B" w14:textId="77777777" w:rsidTr="00CE2706">
        <w:trPr>
          <w:trHeight w:val="325"/>
          <w:jc w:val="center"/>
        </w:trPr>
        <w:tc>
          <w:tcPr>
            <w:tcW w:w="384" w:type="pct"/>
            <w:vMerge w:val="restart"/>
            <w:shd w:val="clear" w:color="000000" w:fill="99CCFF"/>
            <w:textDirection w:val="btLr"/>
            <w:hideMark/>
          </w:tcPr>
          <w:p w14:paraId="5DB594EF" w14:textId="77777777" w:rsidR="00671B63" w:rsidRPr="001B4CA2" w:rsidRDefault="00671B63" w:rsidP="00671B63">
            <w:pPr>
              <w:jc w:val="left"/>
              <w:rPr>
                <w:b/>
                <w:bCs/>
                <w:color w:val="000000"/>
                <w:sz w:val="18"/>
                <w:szCs w:val="18"/>
                <w:lang w:eastAsia="hr-HR"/>
              </w:rPr>
            </w:pPr>
          </w:p>
          <w:p w14:paraId="1A1F7F4D" w14:textId="77777777" w:rsidR="00671B63" w:rsidRPr="001B4CA2" w:rsidRDefault="00671B63" w:rsidP="00671B63">
            <w:pPr>
              <w:jc w:val="left"/>
              <w:rPr>
                <w:b/>
                <w:bCs/>
                <w:color w:val="000000"/>
                <w:sz w:val="18"/>
                <w:szCs w:val="18"/>
                <w:lang w:eastAsia="hr-HR"/>
              </w:rPr>
            </w:pPr>
            <w:r w:rsidRPr="001B4CA2">
              <w:rPr>
                <w:b/>
                <w:bCs/>
                <w:color w:val="000000"/>
                <w:sz w:val="18"/>
                <w:szCs w:val="18"/>
                <w:lang w:eastAsia="hr-HR"/>
              </w:rPr>
              <w:t xml:space="preserve">Godina </w:t>
            </w:r>
          </w:p>
        </w:tc>
        <w:tc>
          <w:tcPr>
            <w:tcW w:w="383" w:type="pct"/>
            <w:vMerge w:val="restart"/>
            <w:shd w:val="clear" w:color="000000" w:fill="99CCFF"/>
            <w:textDirection w:val="btLr"/>
            <w:vAlign w:val="center"/>
            <w:hideMark/>
          </w:tcPr>
          <w:p w14:paraId="456364B8" w14:textId="77777777" w:rsidR="00671B63" w:rsidRPr="001B4CA2" w:rsidRDefault="00671B63" w:rsidP="00671B63">
            <w:pPr>
              <w:jc w:val="left"/>
              <w:rPr>
                <w:b/>
                <w:bCs/>
                <w:color w:val="000000"/>
                <w:sz w:val="18"/>
                <w:szCs w:val="18"/>
                <w:lang w:eastAsia="hr-HR"/>
              </w:rPr>
            </w:pPr>
            <w:r w:rsidRPr="001B4CA2">
              <w:rPr>
                <w:b/>
                <w:bCs/>
                <w:color w:val="000000"/>
                <w:sz w:val="18"/>
                <w:szCs w:val="18"/>
                <w:lang w:eastAsia="hr-HR"/>
              </w:rPr>
              <w:t>Ostalo u radu u DO</w:t>
            </w:r>
          </w:p>
        </w:tc>
        <w:tc>
          <w:tcPr>
            <w:tcW w:w="383" w:type="pct"/>
            <w:vMerge w:val="restart"/>
            <w:shd w:val="clear" w:color="000000" w:fill="99CCFF"/>
            <w:textDirection w:val="btLr"/>
            <w:vAlign w:val="center"/>
            <w:hideMark/>
          </w:tcPr>
          <w:p w14:paraId="111BC615" w14:textId="4CB2EB7B" w:rsidR="00671B63" w:rsidRPr="001B4CA2" w:rsidRDefault="00671B63" w:rsidP="00671B63">
            <w:pPr>
              <w:jc w:val="left"/>
              <w:rPr>
                <w:b/>
                <w:bCs/>
                <w:color w:val="000000"/>
                <w:sz w:val="18"/>
                <w:szCs w:val="18"/>
                <w:lang w:eastAsia="hr-HR"/>
              </w:rPr>
            </w:pPr>
            <w:r w:rsidRPr="001B4CA2">
              <w:rPr>
                <w:b/>
                <w:bCs/>
                <w:color w:val="000000"/>
                <w:sz w:val="18"/>
                <w:szCs w:val="18"/>
                <w:lang w:eastAsia="hr-HR"/>
              </w:rPr>
              <w:t>Primljeno</w:t>
            </w:r>
            <w:r w:rsidR="001B4CA2">
              <w:rPr>
                <w:b/>
                <w:bCs/>
                <w:color w:val="000000"/>
                <w:sz w:val="18"/>
                <w:szCs w:val="18"/>
                <w:lang w:eastAsia="hr-HR"/>
              </w:rPr>
              <w:t xml:space="preserve"> </w:t>
            </w:r>
            <w:r w:rsidRPr="001B4CA2">
              <w:rPr>
                <w:b/>
                <w:bCs/>
                <w:color w:val="000000"/>
                <w:sz w:val="18"/>
                <w:szCs w:val="18"/>
                <w:lang w:eastAsia="hr-HR"/>
              </w:rPr>
              <w:t>novih</w:t>
            </w:r>
            <w:r w:rsidR="001B4CA2">
              <w:rPr>
                <w:b/>
                <w:bCs/>
                <w:color w:val="000000"/>
                <w:sz w:val="18"/>
                <w:szCs w:val="18"/>
                <w:lang w:eastAsia="hr-HR"/>
              </w:rPr>
              <w:t xml:space="preserve"> </w:t>
            </w:r>
            <w:r w:rsidRPr="001B4CA2">
              <w:rPr>
                <w:b/>
                <w:bCs/>
                <w:color w:val="000000"/>
                <w:sz w:val="18"/>
                <w:szCs w:val="18"/>
                <w:lang w:eastAsia="hr-HR"/>
              </w:rPr>
              <w:t xml:space="preserve">zahtjeva </w:t>
            </w:r>
          </w:p>
        </w:tc>
        <w:tc>
          <w:tcPr>
            <w:tcW w:w="383" w:type="pct"/>
            <w:vMerge w:val="restart"/>
            <w:shd w:val="clear" w:color="000000" w:fill="99CCFF"/>
            <w:textDirection w:val="btLr"/>
            <w:vAlign w:val="center"/>
            <w:hideMark/>
          </w:tcPr>
          <w:p w14:paraId="718AC1EF" w14:textId="77777777" w:rsidR="00671B63" w:rsidRPr="001B4CA2" w:rsidRDefault="00671B63" w:rsidP="00671B63">
            <w:pPr>
              <w:jc w:val="left"/>
              <w:rPr>
                <w:b/>
                <w:bCs/>
                <w:color w:val="000000" w:themeColor="text1"/>
                <w:sz w:val="18"/>
                <w:szCs w:val="18"/>
                <w:lang w:eastAsia="hr-HR"/>
              </w:rPr>
            </w:pPr>
            <w:r w:rsidRPr="001B4CA2">
              <w:rPr>
                <w:b/>
                <w:bCs/>
                <w:color w:val="000000" w:themeColor="text1"/>
                <w:sz w:val="18"/>
                <w:szCs w:val="18"/>
                <w:lang w:eastAsia="hr-HR"/>
              </w:rPr>
              <w:t>Ukupno u radu u DO</w:t>
            </w:r>
          </w:p>
        </w:tc>
        <w:tc>
          <w:tcPr>
            <w:tcW w:w="2705" w:type="pct"/>
            <w:gridSpan w:val="7"/>
            <w:shd w:val="clear" w:color="000000" w:fill="99CCFF"/>
          </w:tcPr>
          <w:p w14:paraId="733ED167" w14:textId="77777777" w:rsidR="00671B63" w:rsidRPr="001B4CA2" w:rsidRDefault="00671B63" w:rsidP="00671B63">
            <w:pPr>
              <w:jc w:val="center"/>
              <w:rPr>
                <w:b/>
                <w:bCs/>
                <w:color w:val="000000" w:themeColor="text1"/>
                <w:sz w:val="18"/>
                <w:szCs w:val="18"/>
                <w:lang w:eastAsia="hr-HR"/>
              </w:rPr>
            </w:pPr>
            <w:r w:rsidRPr="001B4CA2">
              <w:rPr>
                <w:b/>
                <w:bCs/>
                <w:color w:val="000000" w:themeColor="text1"/>
                <w:sz w:val="18"/>
                <w:szCs w:val="18"/>
                <w:lang w:eastAsia="hr-HR"/>
              </w:rPr>
              <w:t xml:space="preserve">Meritorne </w:t>
            </w:r>
            <w:proofErr w:type="spellStart"/>
            <w:r w:rsidRPr="001B4CA2">
              <w:rPr>
                <w:b/>
                <w:bCs/>
                <w:color w:val="000000" w:themeColor="text1"/>
                <w:sz w:val="18"/>
                <w:szCs w:val="18"/>
                <w:lang w:eastAsia="hr-HR"/>
              </w:rPr>
              <w:t>državnoodvjetničke</w:t>
            </w:r>
            <w:proofErr w:type="spellEnd"/>
            <w:r w:rsidRPr="001B4CA2">
              <w:rPr>
                <w:b/>
                <w:bCs/>
                <w:color w:val="000000" w:themeColor="text1"/>
                <w:sz w:val="18"/>
                <w:szCs w:val="18"/>
                <w:lang w:eastAsia="hr-HR"/>
              </w:rPr>
              <w:t xml:space="preserve"> odluke (MDO)</w:t>
            </w:r>
          </w:p>
        </w:tc>
        <w:tc>
          <w:tcPr>
            <w:tcW w:w="384" w:type="pct"/>
            <w:vMerge w:val="restart"/>
            <w:shd w:val="clear" w:color="000000" w:fill="99CCFF"/>
            <w:textDirection w:val="btLr"/>
            <w:vAlign w:val="center"/>
            <w:hideMark/>
          </w:tcPr>
          <w:p w14:paraId="4BF445B1" w14:textId="77777777" w:rsidR="00671B63" w:rsidRPr="001B4CA2" w:rsidRDefault="00671B63" w:rsidP="00671B63">
            <w:pPr>
              <w:jc w:val="left"/>
              <w:rPr>
                <w:b/>
                <w:bCs/>
                <w:color w:val="000000"/>
                <w:sz w:val="18"/>
                <w:szCs w:val="18"/>
                <w:lang w:eastAsia="hr-HR"/>
              </w:rPr>
            </w:pPr>
            <w:r w:rsidRPr="001B4CA2">
              <w:rPr>
                <w:b/>
                <w:bCs/>
                <w:color w:val="000000"/>
                <w:sz w:val="18"/>
                <w:szCs w:val="18"/>
                <w:lang w:eastAsia="hr-HR"/>
              </w:rPr>
              <w:t xml:space="preserve">Ostale odluke </w:t>
            </w:r>
          </w:p>
        </w:tc>
        <w:tc>
          <w:tcPr>
            <w:tcW w:w="378" w:type="pct"/>
            <w:vMerge w:val="restart"/>
            <w:shd w:val="clear" w:color="000000" w:fill="99CCFF"/>
            <w:textDirection w:val="btLr"/>
            <w:vAlign w:val="center"/>
            <w:hideMark/>
          </w:tcPr>
          <w:p w14:paraId="75227914" w14:textId="77777777" w:rsidR="00671B63" w:rsidRPr="001B4CA2" w:rsidRDefault="00671B63" w:rsidP="00671B63">
            <w:pPr>
              <w:jc w:val="left"/>
              <w:rPr>
                <w:b/>
                <w:bCs/>
                <w:color w:val="000000"/>
                <w:sz w:val="18"/>
                <w:szCs w:val="18"/>
                <w:lang w:eastAsia="hr-HR"/>
              </w:rPr>
            </w:pPr>
            <w:r w:rsidRPr="001B4CA2">
              <w:rPr>
                <w:b/>
                <w:bCs/>
                <w:color w:val="000000"/>
                <w:sz w:val="18"/>
                <w:szCs w:val="18"/>
                <w:lang w:eastAsia="hr-HR"/>
              </w:rPr>
              <w:t>Ukupno donesenih odluka</w:t>
            </w:r>
          </w:p>
        </w:tc>
      </w:tr>
      <w:tr w:rsidR="00671B63" w:rsidRPr="001B4CA2" w14:paraId="0C228250" w14:textId="77777777" w:rsidTr="00CE2706">
        <w:trPr>
          <w:trHeight w:val="2254"/>
          <w:jc w:val="center"/>
        </w:trPr>
        <w:tc>
          <w:tcPr>
            <w:tcW w:w="384" w:type="pct"/>
            <w:vMerge/>
            <w:vAlign w:val="center"/>
            <w:hideMark/>
          </w:tcPr>
          <w:p w14:paraId="026ACE8E" w14:textId="77777777" w:rsidR="00671B63" w:rsidRPr="001B4CA2" w:rsidRDefault="00671B63" w:rsidP="00671B63">
            <w:pPr>
              <w:jc w:val="left"/>
              <w:rPr>
                <w:b/>
                <w:bCs/>
                <w:color w:val="000000"/>
                <w:sz w:val="18"/>
                <w:szCs w:val="18"/>
                <w:lang w:eastAsia="hr-HR"/>
              </w:rPr>
            </w:pPr>
          </w:p>
        </w:tc>
        <w:tc>
          <w:tcPr>
            <w:tcW w:w="383" w:type="pct"/>
            <w:vMerge/>
            <w:vAlign w:val="center"/>
            <w:hideMark/>
          </w:tcPr>
          <w:p w14:paraId="5682C6CC" w14:textId="77777777" w:rsidR="00671B63" w:rsidRPr="001B4CA2" w:rsidRDefault="00671B63" w:rsidP="00671B63">
            <w:pPr>
              <w:jc w:val="left"/>
              <w:rPr>
                <w:b/>
                <w:bCs/>
                <w:color w:val="000000"/>
                <w:sz w:val="18"/>
                <w:szCs w:val="18"/>
                <w:lang w:eastAsia="hr-HR"/>
              </w:rPr>
            </w:pPr>
          </w:p>
        </w:tc>
        <w:tc>
          <w:tcPr>
            <w:tcW w:w="383" w:type="pct"/>
            <w:vMerge/>
            <w:vAlign w:val="center"/>
            <w:hideMark/>
          </w:tcPr>
          <w:p w14:paraId="72115634" w14:textId="77777777" w:rsidR="00671B63" w:rsidRPr="001B4CA2" w:rsidRDefault="00671B63" w:rsidP="00671B63">
            <w:pPr>
              <w:jc w:val="left"/>
              <w:rPr>
                <w:b/>
                <w:bCs/>
                <w:color w:val="000000"/>
                <w:sz w:val="18"/>
                <w:szCs w:val="18"/>
                <w:lang w:eastAsia="hr-HR"/>
              </w:rPr>
            </w:pPr>
          </w:p>
        </w:tc>
        <w:tc>
          <w:tcPr>
            <w:tcW w:w="383" w:type="pct"/>
            <w:vMerge/>
            <w:vAlign w:val="center"/>
            <w:hideMark/>
          </w:tcPr>
          <w:p w14:paraId="1E24EE6C" w14:textId="77777777" w:rsidR="00671B63" w:rsidRPr="001B4CA2" w:rsidRDefault="00671B63" w:rsidP="00671B63">
            <w:pPr>
              <w:jc w:val="left"/>
              <w:rPr>
                <w:b/>
                <w:bCs/>
                <w:color w:val="000000" w:themeColor="text1"/>
                <w:sz w:val="18"/>
                <w:szCs w:val="18"/>
                <w:lang w:eastAsia="hr-HR"/>
              </w:rPr>
            </w:pPr>
          </w:p>
        </w:tc>
        <w:tc>
          <w:tcPr>
            <w:tcW w:w="384" w:type="pct"/>
            <w:shd w:val="clear" w:color="000000" w:fill="99CCFF"/>
            <w:textDirection w:val="btLr"/>
            <w:vAlign w:val="center"/>
            <w:hideMark/>
          </w:tcPr>
          <w:p w14:paraId="09DB5D82" w14:textId="77777777" w:rsidR="00671B63" w:rsidRPr="001B4CA2" w:rsidRDefault="00671B63" w:rsidP="00671B63">
            <w:pPr>
              <w:jc w:val="left"/>
              <w:rPr>
                <w:color w:val="000000" w:themeColor="text1"/>
                <w:sz w:val="18"/>
                <w:szCs w:val="18"/>
                <w:lang w:eastAsia="hr-HR"/>
              </w:rPr>
            </w:pPr>
            <w:r w:rsidRPr="001B4CA2">
              <w:rPr>
                <w:color w:val="000000" w:themeColor="text1"/>
                <w:sz w:val="18"/>
                <w:szCs w:val="18"/>
                <w:lang w:eastAsia="hr-HR"/>
              </w:rPr>
              <w:t>Odbijanje inicijative</w:t>
            </w:r>
          </w:p>
        </w:tc>
        <w:tc>
          <w:tcPr>
            <w:tcW w:w="384" w:type="pct"/>
            <w:shd w:val="clear" w:color="000000" w:fill="99CCFF"/>
            <w:textDirection w:val="btLr"/>
          </w:tcPr>
          <w:p w14:paraId="3F9F0783" w14:textId="77777777" w:rsidR="00671B63" w:rsidRPr="001B4CA2" w:rsidRDefault="00671B63" w:rsidP="00671B63">
            <w:pPr>
              <w:jc w:val="left"/>
              <w:rPr>
                <w:color w:val="000000" w:themeColor="text1"/>
                <w:sz w:val="18"/>
                <w:szCs w:val="18"/>
                <w:lang w:eastAsia="hr-HR"/>
              </w:rPr>
            </w:pPr>
            <w:r w:rsidRPr="001B4CA2">
              <w:rPr>
                <w:color w:val="000000" w:themeColor="text1"/>
                <w:sz w:val="18"/>
                <w:szCs w:val="18"/>
                <w:lang w:eastAsia="hr-HR"/>
              </w:rPr>
              <w:t>Prijedlog za otvaranje predstečajnog postupka</w:t>
            </w:r>
          </w:p>
        </w:tc>
        <w:tc>
          <w:tcPr>
            <w:tcW w:w="384" w:type="pct"/>
            <w:shd w:val="clear" w:color="000000" w:fill="99CCFF"/>
            <w:textDirection w:val="btLr"/>
            <w:hideMark/>
          </w:tcPr>
          <w:p w14:paraId="52F00AC6" w14:textId="77777777" w:rsidR="00671B63" w:rsidRPr="001B4CA2" w:rsidRDefault="00671B63" w:rsidP="00671B63">
            <w:pPr>
              <w:jc w:val="left"/>
              <w:rPr>
                <w:color w:val="000000" w:themeColor="text1"/>
                <w:sz w:val="18"/>
                <w:szCs w:val="18"/>
                <w:lang w:eastAsia="hr-HR"/>
              </w:rPr>
            </w:pPr>
            <w:r w:rsidRPr="001B4CA2">
              <w:rPr>
                <w:color w:val="000000" w:themeColor="text1"/>
                <w:sz w:val="18"/>
                <w:szCs w:val="18"/>
                <w:lang w:eastAsia="hr-HR"/>
              </w:rPr>
              <w:t xml:space="preserve">Prijava novčane tražbine u </w:t>
            </w:r>
            <w:proofErr w:type="spellStart"/>
            <w:r w:rsidRPr="001B4CA2">
              <w:rPr>
                <w:color w:val="000000" w:themeColor="text1"/>
                <w:sz w:val="18"/>
                <w:szCs w:val="18"/>
                <w:lang w:eastAsia="hr-HR"/>
              </w:rPr>
              <w:t>predstečaju</w:t>
            </w:r>
            <w:proofErr w:type="spellEnd"/>
            <w:r w:rsidRPr="001B4CA2">
              <w:rPr>
                <w:color w:val="000000" w:themeColor="text1"/>
                <w:sz w:val="18"/>
                <w:szCs w:val="18"/>
                <w:lang w:eastAsia="hr-HR"/>
              </w:rPr>
              <w:t xml:space="preserve"> </w:t>
            </w:r>
          </w:p>
        </w:tc>
        <w:tc>
          <w:tcPr>
            <w:tcW w:w="405" w:type="pct"/>
            <w:shd w:val="clear" w:color="000000" w:fill="99CCFF"/>
            <w:textDirection w:val="btLr"/>
            <w:vAlign w:val="center"/>
            <w:hideMark/>
          </w:tcPr>
          <w:p w14:paraId="5DDA3421" w14:textId="77777777" w:rsidR="00671B63" w:rsidRPr="001B4CA2" w:rsidRDefault="00671B63" w:rsidP="00671B63">
            <w:pPr>
              <w:jc w:val="left"/>
              <w:rPr>
                <w:color w:val="000000" w:themeColor="text1"/>
                <w:sz w:val="18"/>
                <w:szCs w:val="18"/>
                <w:lang w:eastAsia="hr-HR"/>
              </w:rPr>
            </w:pPr>
            <w:r w:rsidRPr="001B4CA2">
              <w:rPr>
                <w:color w:val="000000" w:themeColor="text1"/>
                <w:sz w:val="18"/>
                <w:szCs w:val="18"/>
                <w:lang w:eastAsia="hr-HR"/>
              </w:rPr>
              <w:t xml:space="preserve">Iznos novčane tražbine </w:t>
            </w:r>
          </w:p>
          <w:p w14:paraId="170ECCE7" w14:textId="77777777" w:rsidR="00671B63" w:rsidRPr="001B4CA2" w:rsidRDefault="00671B63" w:rsidP="00671B63">
            <w:pPr>
              <w:jc w:val="left"/>
              <w:rPr>
                <w:color w:val="000000" w:themeColor="text1"/>
                <w:sz w:val="18"/>
                <w:szCs w:val="18"/>
                <w:lang w:eastAsia="hr-HR"/>
              </w:rPr>
            </w:pPr>
            <w:r w:rsidRPr="001B4CA2">
              <w:rPr>
                <w:color w:val="000000" w:themeColor="text1"/>
                <w:sz w:val="18"/>
                <w:szCs w:val="18"/>
                <w:lang w:eastAsia="hr-HR"/>
              </w:rPr>
              <w:t>(u tisućama kuna)</w:t>
            </w:r>
          </w:p>
          <w:p w14:paraId="2DD77783" w14:textId="77777777" w:rsidR="00671B63" w:rsidRPr="001B4CA2" w:rsidRDefault="00671B63" w:rsidP="00671B63">
            <w:pPr>
              <w:jc w:val="left"/>
              <w:rPr>
                <w:color w:val="000000" w:themeColor="text1"/>
                <w:sz w:val="18"/>
                <w:szCs w:val="18"/>
                <w:lang w:eastAsia="hr-HR"/>
              </w:rPr>
            </w:pPr>
            <w:r w:rsidRPr="001B4CA2">
              <w:rPr>
                <w:color w:val="000000" w:themeColor="text1"/>
                <w:sz w:val="18"/>
                <w:szCs w:val="18"/>
                <w:lang w:eastAsia="hr-HR"/>
              </w:rPr>
              <w:t> </w:t>
            </w:r>
          </w:p>
        </w:tc>
        <w:tc>
          <w:tcPr>
            <w:tcW w:w="384" w:type="pct"/>
            <w:shd w:val="clear" w:color="000000" w:fill="99CCFF"/>
            <w:textDirection w:val="btLr"/>
            <w:hideMark/>
          </w:tcPr>
          <w:p w14:paraId="3E109BE8" w14:textId="77777777" w:rsidR="00671B63" w:rsidRPr="001B4CA2" w:rsidRDefault="00671B63" w:rsidP="00671B63">
            <w:pPr>
              <w:jc w:val="left"/>
              <w:rPr>
                <w:color w:val="000000" w:themeColor="text1"/>
                <w:sz w:val="18"/>
                <w:szCs w:val="18"/>
                <w:lang w:eastAsia="hr-HR"/>
              </w:rPr>
            </w:pPr>
            <w:r w:rsidRPr="001B4CA2">
              <w:rPr>
                <w:color w:val="000000" w:themeColor="text1"/>
                <w:sz w:val="18"/>
                <w:szCs w:val="18"/>
                <w:lang w:eastAsia="hr-HR"/>
              </w:rPr>
              <w:t xml:space="preserve">Obavijest o </w:t>
            </w:r>
            <w:proofErr w:type="spellStart"/>
            <w:r w:rsidRPr="001B4CA2">
              <w:rPr>
                <w:color w:val="000000" w:themeColor="text1"/>
                <w:sz w:val="18"/>
                <w:szCs w:val="18"/>
                <w:lang w:eastAsia="hr-HR"/>
              </w:rPr>
              <w:t>razlučnom</w:t>
            </w:r>
            <w:proofErr w:type="spellEnd"/>
            <w:r w:rsidRPr="001B4CA2">
              <w:rPr>
                <w:color w:val="000000" w:themeColor="text1"/>
                <w:sz w:val="18"/>
                <w:szCs w:val="18"/>
                <w:lang w:eastAsia="hr-HR"/>
              </w:rPr>
              <w:t>/izlučnom pravu</w:t>
            </w:r>
          </w:p>
        </w:tc>
        <w:tc>
          <w:tcPr>
            <w:tcW w:w="377" w:type="pct"/>
            <w:shd w:val="clear" w:color="000000" w:fill="99CCFF"/>
            <w:textDirection w:val="btLr"/>
            <w:hideMark/>
          </w:tcPr>
          <w:p w14:paraId="1E39D96B" w14:textId="77777777" w:rsidR="00671B63" w:rsidRPr="001B4CA2" w:rsidRDefault="00671B63" w:rsidP="00671B63">
            <w:pPr>
              <w:jc w:val="left"/>
              <w:rPr>
                <w:color w:val="000000" w:themeColor="text1"/>
                <w:sz w:val="18"/>
                <w:szCs w:val="18"/>
                <w:lang w:eastAsia="hr-HR"/>
              </w:rPr>
            </w:pPr>
            <w:r w:rsidRPr="001B4CA2">
              <w:rPr>
                <w:color w:val="000000" w:themeColor="text1"/>
                <w:sz w:val="18"/>
                <w:szCs w:val="18"/>
                <w:lang w:eastAsia="hr-HR"/>
              </w:rPr>
              <w:t xml:space="preserve">Službena bilješka kojom se okončava rad </w:t>
            </w:r>
          </w:p>
        </w:tc>
        <w:tc>
          <w:tcPr>
            <w:tcW w:w="387" w:type="pct"/>
            <w:shd w:val="clear" w:color="000000" w:fill="99CCFF"/>
            <w:textDirection w:val="btLr"/>
            <w:hideMark/>
          </w:tcPr>
          <w:p w14:paraId="2C5691F3" w14:textId="77777777" w:rsidR="00671B63" w:rsidRPr="001B4CA2" w:rsidRDefault="00671B63" w:rsidP="00671B63">
            <w:pPr>
              <w:jc w:val="left"/>
              <w:rPr>
                <w:b/>
                <w:bCs/>
                <w:color w:val="000000"/>
                <w:sz w:val="18"/>
                <w:szCs w:val="18"/>
                <w:lang w:eastAsia="hr-HR"/>
              </w:rPr>
            </w:pPr>
          </w:p>
          <w:p w14:paraId="1029D3F9" w14:textId="77777777" w:rsidR="00671B63" w:rsidRPr="001B4CA2" w:rsidRDefault="00671B63" w:rsidP="00671B63">
            <w:pPr>
              <w:jc w:val="left"/>
              <w:rPr>
                <w:b/>
                <w:bCs/>
                <w:color w:val="000000"/>
                <w:sz w:val="18"/>
                <w:szCs w:val="18"/>
                <w:lang w:eastAsia="hr-HR"/>
              </w:rPr>
            </w:pPr>
            <w:r w:rsidRPr="001B4CA2">
              <w:rPr>
                <w:b/>
                <w:bCs/>
                <w:color w:val="000000"/>
                <w:sz w:val="18"/>
                <w:szCs w:val="18"/>
                <w:lang w:eastAsia="hr-HR"/>
              </w:rPr>
              <w:t>Ukupno MDO</w:t>
            </w:r>
          </w:p>
        </w:tc>
        <w:tc>
          <w:tcPr>
            <w:tcW w:w="384" w:type="pct"/>
            <w:vMerge/>
            <w:vAlign w:val="center"/>
            <w:hideMark/>
          </w:tcPr>
          <w:p w14:paraId="2FB5AFE1" w14:textId="77777777" w:rsidR="00671B63" w:rsidRPr="001B4CA2" w:rsidRDefault="00671B63" w:rsidP="00671B63">
            <w:pPr>
              <w:jc w:val="left"/>
              <w:rPr>
                <w:b/>
                <w:bCs/>
                <w:color w:val="000000"/>
                <w:sz w:val="18"/>
                <w:szCs w:val="18"/>
                <w:lang w:eastAsia="hr-HR"/>
              </w:rPr>
            </w:pPr>
          </w:p>
        </w:tc>
        <w:tc>
          <w:tcPr>
            <w:tcW w:w="378" w:type="pct"/>
            <w:vMerge/>
            <w:vAlign w:val="center"/>
            <w:hideMark/>
          </w:tcPr>
          <w:p w14:paraId="68291BF5" w14:textId="77777777" w:rsidR="00671B63" w:rsidRPr="001B4CA2" w:rsidRDefault="00671B63" w:rsidP="00671B63">
            <w:pPr>
              <w:jc w:val="left"/>
              <w:rPr>
                <w:b/>
                <w:bCs/>
                <w:color w:val="000000"/>
                <w:sz w:val="18"/>
                <w:szCs w:val="18"/>
                <w:lang w:eastAsia="hr-HR"/>
              </w:rPr>
            </w:pPr>
          </w:p>
        </w:tc>
      </w:tr>
      <w:tr w:rsidR="00671B63" w:rsidRPr="001B4CA2" w14:paraId="2F8FB91A" w14:textId="77777777" w:rsidTr="00CE2706">
        <w:trPr>
          <w:trHeight w:val="454"/>
          <w:jc w:val="center"/>
        </w:trPr>
        <w:tc>
          <w:tcPr>
            <w:tcW w:w="384" w:type="pct"/>
            <w:shd w:val="clear" w:color="auto" w:fill="auto"/>
            <w:vAlign w:val="center"/>
            <w:hideMark/>
          </w:tcPr>
          <w:p w14:paraId="22EDF7A7" w14:textId="77777777" w:rsidR="00671B63" w:rsidRPr="001B4CA2" w:rsidRDefault="00671B63" w:rsidP="00671B63">
            <w:pPr>
              <w:jc w:val="center"/>
              <w:rPr>
                <w:color w:val="000000"/>
                <w:sz w:val="18"/>
                <w:szCs w:val="18"/>
                <w:lang w:eastAsia="hr-HR"/>
              </w:rPr>
            </w:pPr>
            <w:r w:rsidRPr="001B4CA2">
              <w:rPr>
                <w:color w:val="000000"/>
                <w:sz w:val="18"/>
                <w:szCs w:val="18"/>
                <w:lang w:eastAsia="hr-HR"/>
              </w:rPr>
              <w:t>2020.</w:t>
            </w:r>
          </w:p>
        </w:tc>
        <w:tc>
          <w:tcPr>
            <w:tcW w:w="383" w:type="pct"/>
            <w:shd w:val="clear" w:color="auto" w:fill="auto"/>
            <w:vAlign w:val="center"/>
          </w:tcPr>
          <w:p w14:paraId="1E428B2D" w14:textId="77777777" w:rsidR="00671B63" w:rsidRPr="001B4CA2" w:rsidRDefault="00671B63" w:rsidP="00671B63">
            <w:pPr>
              <w:jc w:val="center"/>
              <w:rPr>
                <w:color w:val="000000"/>
                <w:sz w:val="18"/>
                <w:szCs w:val="18"/>
                <w:lang w:eastAsia="hr-HR"/>
              </w:rPr>
            </w:pPr>
            <w:r w:rsidRPr="001B4CA2">
              <w:rPr>
                <w:color w:val="000000"/>
                <w:sz w:val="18"/>
                <w:szCs w:val="18"/>
                <w:lang w:eastAsia="hr-HR"/>
              </w:rPr>
              <w:t>12</w:t>
            </w:r>
          </w:p>
        </w:tc>
        <w:tc>
          <w:tcPr>
            <w:tcW w:w="383" w:type="pct"/>
            <w:shd w:val="clear" w:color="auto" w:fill="auto"/>
            <w:vAlign w:val="center"/>
          </w:tcPr>
          <w:p w14:paraId="79E1F817" w14:textId="77777777" w:rsidR="00671B63" w:rsidRPr="001B4CA2" w:rsidRDefault="00671B63" w:rsidP="00671B63">
            <w:pPr>
              <w:jc w:val="center"/>
              <w:rPr>
                <w:bCs/>
                <w:sz w:val="18"/>
                <w:szCs w:val="18"/>
              </w:rPr>
            </w:pPr>
            <w:r w:rsidRPr="001B4CA2">
              <w:rPr>
                <w:bCs/>
                <w:sz w:val="18"/>
                <w:szCs w:val="18"/>
              </w:rPr>
              <w:t>146</w:t>
            </w:r>
          </w:p>
        </w:tc>
        <w:tc>
          <w:tcPr>
            <w:tcW w:w="383" w:type="pct"/>
            <w:shd w:val="clear" w:color="auto" w:fill="auto"/>
            <w:vAlign w:val="center"/>
          </w:tcPr>
          <w:p w14:paraId="6CF773C7" w14:textId="77777777" w:rsidR="00671B63" w:rsidRPr="001B4CA2" w:rsidRDefault="00671B63" w:rsidP="00671B63">
            <w:pPr>
              <w:jc w:val="center"/>
              <w:rPr>
                <w:bCs/>
                <w:sz w:val="18"/>
                <w:szCs w:val="18"/>
              </w:rPr>
            </w:pPr>
            <w:r w:rsidRPr="001B4CA2">
              <w:rPr>
                <w:bCs/>
                <w:sz w:val="18"/>
                <w:szCs w:val="18"/>
              </w:rPr>
              <w:t>158</w:t>
            </w:r>
          </w:p>
        </w:tc>
        <w:tc>
          <w:tcPr>
            <w:tcW w:w="384" w:type="pct"/>
            <w:shd w:val="clear" w:color="auto" w:fill="auto"/>
            <w:vAlign w:val="center"/>
          </w:tcPr>
          <w:p w14:paraId="6C218902" w14:textId="77777777" w:rsidR="00671B63" w:rsidRPr="001B4CA2" w:rsidRDefault="00671B63" w:rsidP="00671B63">
            <w:pPr>
              <w:jc w:val="center"/>
              <w:rPr>
                <w:bCs/>
                <w:sz w:val="18"/>
                <w:szCs w:val="18"/>
              </w:rPr>
            </w:pPr>
            <w:r w:rsidRPr="001B4CA2">
              <w:rPr>
                <w:bCs/>
                <w:sz w:val="18"/>
                <w:szCs w:val="18"/>
              </w:rPr>
              <w:t>0</w:t>
            </w:r>
          </w:p>
        </w:tc>
        <w:tc>
          <w:tcPr>
            <w:tcW w:w="384" w:type="pct"/>
            <w:vAlign w:val="center"/>
          </w:tcPr>
          <w:p w14:paraId="5D920B55" w14:textId="77777777" w:rsidR="00671B63" w:rsidRPr="001B4CA2" w:rsidRDefault="00671B63" w:rsidP="00671B63">
            <w:pPr>
              <w:jc w:val="center"/>
              <w:rPr>
                <w:bCs/>
                <w:sz w:val="18"/>
                <w:szCs w:val="18"/>
              </w:rPr>
            </w:pPr>
            <w:r w:rsidRPr="001B4CA2">
              <w:rPr>
                <w:bCs/>
                <w:sz w:val="18"/>
                <w:szCs w:val="18"/>
              </w:rPr>
              <w:t>0</w:t>
            </w:r>
          </w:p>
        </w:tc>
        <w:tc>
          <w:tcPr>
            <w:tcW w:w="384" w:type="pct"/>
            <w:shd w:val="clear" w:color="auto" w:fill="auto"/>
            <w:vAlign w:val="center"/>
          </w:tcPr>
          <w:p w14:paraId="46C9B497" w14:textId="77777777" w:rsidR="00671B63" w:rsidRPr="001B4CA2" w:rsidRDefault="00671B63" w:rsidP="00671B63">
            <w:pPr>
              <w:jc w:val="center"/>
              <w:rPr>
                <w:bCs/>
                <w:sz w:val="18"/>
                <w:szCs w:val="18"/>
              </w:rPr>
            </w:pPr>
            <w:r w:rsidRPr="001B4CA2">
              <w:rPr>
                <w:bCs/>
                <w:sz w:val="18"/>
                <w:szCs w:val="18"/>
              </w:rPr>
              <w:t>58</w:t>
            </w:r>
          </w:p>
        </w:tc>
        <w:tc>
          <w:tcPr>
            <w:tcW w:w="405" w:type="pct"/>
            <w:shd w:val="clear" w:color="auto" w:fill="auto"/>
            <w:vAlign w:val="center"/>
          </w:tcPr>
          <w:p w14:paraId="4321D03C" w14:textId="77777777" w:rsidR="00671B63" w:rsidRPr="001B4CA2" w:rsidRDefault="00671B63" w:rsidP="00671B63">
            <w:pPr>
              <w:jc w:val="center"/>
              <w:rPr>
                <w:bCs/>
                <w:sz w:val="18"/>
                <w:szCs w:val="18"/>
              </w:rPr>
            </w:pPr>
            <w:r w:rsidRPr="001B4CA2">
              <w:rPr>
                <w:bCs/>
                <w:sz w:val="18"/>
                <w:szCs w:val="18"/>
              </w:rPr>
              <w:t>582.866</w:t>
            </w:r>
          </w:p>
        </w:tc>
        <w:tc>
          <w:tcPr>
            <w:tcW w:w="384" w:type="pct"/>
            <w:shd w:val="clear" w:color="auto" w:fill="auto"/>
            <w:vAlign w:val="center"/>
          </w:tcPr>
          <w:p w14:paraId="033E5D4D" w14:textId="77777777" w:rsidR="00671B63" w:rsidRPr="001B4CA2" w:rsidRDefault="00671B63" w:rsidP="00671B63">
            <w:pPr>
              <w:jc w:val="center"/>
              <w:rPr>
                <w:bCs/>
                <w:sz w:val="18"/>
                <w:szCs w:val="18"/>
              </w:rPr>
            </w:pPr>
            <w:r w:rsidRPr="001B4CA2">
              <w:rPr>
                <w:bCs/>
                <w:sz w:val="18"/>
                <w:szCs w:val="18"/>
              </w:rPr>
              <w:t>2</w:t>
            </w:r>
          </w:p>
        </w:tc>
        <w:tc>
          <w:tcPr>
            <w:tcW w:w="377" w:type="pct"/>
            <w:shd w:val="clear" w:color="auto" w:fill="auto"/>
            <w:vAlign w:val="center"/>
          </w:tcPr>
          <w:p w14:paraId="0A8DFBBD" w14:textId="77777777" w:rsidR="00671B63" w:rsidRPr="001B4CA2" w:rsidRDefault="00671B63" w:rsidP="00671B63">
            <w:pPr>
              <w:jc w:val="center"/>
              <w:rPr>
                <w:bCs/>
                <w:sz w:val="18"/>
                <w:szCs w:val="18"/>
              </w:rPr>
            </w:pPr>
            <w:r w:rsidRPr="001B4CA2">
              <w:rPr>
                <w:bCs/>
                <w:sz w:val="18"/>
                <w:szCs w:val="18"/>
              </w:rPr>
              <w:t>15</w:t>
            </w:r>
          </w:p>
        </w:tc>
        <w:tc>
          <w:tcPr>
            <w:tcW w:w="387" w:type="pct"/>
            <w:shd w:val="clear" w:color="auto" w:fill="auto"/>
            <w:vAlign w:val="center"/>
          </w:tcPr>
          <w:p w14:paraId="03FF2DF3" w14:textId="77777777" w:rsidR="00671B63" w:rsidRPr="001B4CA2" w:rsidRDefault="00671B63" w:rsidP="00671B63">
            <w:pPr>
              <w:jc w:val="center"/>
              <w:rPr>
                <w:bCs/>
                <w:sz w:val="18"/>
                <w:szCs w:val="18"/>
              </w:rPr>
            </w:pPr>
            <w:r w:rsidRPr="001B4CA2">
              <w:rPr>
                <w:bCs/>
                <w:sz w:val="18"/>
                <w:szCs w:val="18"/>
              </w:rPr>
              <w:t>75</w:t>
            </w:r>
          </w:p>
        </w:tc>
        <w:tc>
          <w:tcPr>
            <w:tcW w:w="384" w:type="pct"/>
            <w:shd w:val="clear" w:color="auto" w:fill="auto"/>
            <w:vAlign w:val="center"/>
          </w:tcPr>
          <w:p w14:paraId="6F9274CB" w14:textId="77777777" w:rsidR="00671B63" w:rsidRPr="001B4CA2" w:rsidRDefault="00671B63" w:rsidP="00671B63">
            <w:pPr>
              <w:jc w:val="center"/>
              <w:rPr>
                <w:color w:val="000000"/>
                <w:sz w:val="18"/>
                <w:szCs w:val="18"/>
                <w:lang w:eastAsia="hr-HR"/>
              </w:rPr>
            </w:pPr>
            <w:r w:rsidRPr="001B4CA2">
              <w:rPr>
                <w:color w:val="000000"/>
                <w:sz w:val="18"/>
                <w:szCs w:val="18"/>
                <w:lang w:eastAsia="hr-HR"/>
              </w:rPr>
              <w:t>53</w:t>
            </w:r>
          </w:p>
        </w:tc>
        <w:tc>
          <w:tcPr>
            <w:tcW w:w="378" w:type="pct"/>
            <w:shd w:val="clear" w:color="auto" w:fill="auto"/>
            <w:vAlign w:val="center"/>
          </w:tcPr>
          <w:p w14:paraId="60978329" w14:textId="77777777" w:rsidR="00671B63" w:rsidRPr="001B4CA2" w:rsidRDefault="00671B63" w:rsidP="00671B63">
            <w:pPr>
              <w:jc w:val="center"/>
              <w:rPr>
                <w:color w:val="000000"/>
                <w:sz w:val="18"/>
                <w:szCs w:val="18"/>
                <w:lang w:eastAsia="hr-HR"/>
              </w:rPr>
            </w:pPr>
            <w:r w:rsidRPr="001B4CA2">
              <w:rPr>
                <w:color w:val="000000"/>
                <w:sz w:val="18"/>
                <w:szCs w:val="18"/>
                <w:lang w:eastAsia="hr-HR"/>
              </w:rPr>
              <w:t>128</w:t>
            </w:r>
          </w:p>
        </w:tc>
      </w:tr>
      <w:tr w:rsidR="00671B63" w:rsidRPr="001B4CA2" w14:paraId="4F66AE04" w14:textId="77777777" w:rsidTr="00CE2706">
        <w:trPr>
          <w:trHeight w:val="454"/>
          <w:jc w:val="center"/>
        </w:trPr>
        <w:tc>
          <w:tcPr>
            <w:tcW w:w="384" w:type="pct"/>
            <w:shd w:val="clear" w:color="auto" w:fill="auto"/>
            <w:vAlign w:val="center"/>
          </w:tcPr>
          <w:p w14:paraId="37BCE1EE" w14:textId="77777777" w:rsidR="00671B63" w:rsidRPr="001B4CA2" w:rsidRDefault="00671B63" w:rsidP="00671B63">
            <w:pPr>
              <w:jc w:val="center"/>
              <w:rPr>
                <w:color w:val="000000"/>
                <w:sz w:val="18"/>
                <w:szCs w:val="18"/>
                <w:lang w:eastAsia="hr-HR"/>
              </w:rPr>
            </w:pPr>
            <w:r w:rsidRPr="001B4CA2">
              <w:rPr>
                <w:color w:val="000000"/>
                <w:sz w:val="18"/>
                <w:szCs w:val="18"/>
                <w:lang w:eastAsia="hr-HR"/>
              </w:rPr>
              <w:t>2021.</w:t>
            </w:r>
          </w:p>
        </w:tc>
        <w:tc>
          <w:tcPr>
            <w:tcW w:w="383" w:type="pct"/>
            <w:shd w:val="clear" w:color="auto" w:fill="auto"/>
            <w:vAlign w:val="center"/>
          </w:tcPr>
          <w:p w14:paraId="643425E0" w14:textId="77777777" w:rsidR="00671B63" w:rsidRPr="001B4CA2" w:rsidRDefault="00671B63" w:rsidP="00671B63">
            <w:pPr>
              <w:jc w:val="center"/>
              <w:rPr>
                <w:color w:val="000000"/>
                <w:sz w:val="18"/>
                <w:szCs w:val="18"/>
                <w:lang w:eastAsia="hr-HR"/>
              </w:rPr>
            </w:pPr>
            <w:r w:rsidRPr="001B4CA2">
              <w:rPr>
                <w:color w:val="000000"/>
                <w:sz w:val="18"/>
                <w:szCs w:val="18"/>
                <w:lang w:eastAsia="hr-HR"/>
              </w:rPr>
              <w:t>17</w:t>
            </w:r>
          </w:p>
        </w:tc>
        <w:tc>
          <w:tcPr>
            <w:tcW w:w="383" w:type="pct"/>
            <w:shd w:val="clear" w:color="auto" w:fill="auto"/>
            <w:vAlign w:val="center"/>
          </w:tcPr>
          <w:p w14:paraId="3F9DE7FA" w14:textId="77777777" w:rsidR="00671B63" w:rsidRPr="001B4CA2" w:rsidRDefault="00671B63" w:rsidP="00671B63">
            <w:pPr>
              <w:jc w:val="center"/>
              <w:rPr>
                <w:bCs/>
                <w:sz w:val="18"/>
                <w:szCs w:val="18"/>
              </w:rPr>
            </w:pPr>
            <w:r w:rsidRPr="001B4CA2">
              <w:rPr>
                <w:bCs/>
                <w:sz w:val="18"/>
                <w:szCs w:val="18"/>
              </w:rPr>
              <w:t>153</w:t>
            </w:r>
          </w:p>
        </w:tc>
        <w:tc>
          <w:tcPr>
            <w:tcW w:w="383" w:type="pct"/>
            <w:shd w:val="clear" w:color="auto" w:fill="auto"/>
            <w:vAlign w:val="center"/>
          </w:tcPr>
          <w:p w14:paraId="27D9475A" w14:textId="77777777" w:rsidR="00671B63" w:rsidRPr="001B4CA2" w:rsidRDefault="00671B63" w:rsidP="00671B63">
            <w:pPr>
              <w:jc w:val="center"/>
              <w:rPr>
                <w:bCs/>
                <w:sz w:val="18"/>
                <w:szCs w:val="18"/>
              </w:rPr>
            </w:pPr>
            <w:r w:rsidRPr="001B4CA2">
              <w:rPr>
                <w:bCs/>
                <w:sz w:val="18"/>
                <w:szCs w:val="18"/>
              </w:rPr>
              <w:t>170</w:t>
            </w:r>
          </w:p>
        </w:tc>
        <w:tc>
          <w:tcPr>
            <w:tcW w:w="384" w:type="pct"/>
            <w:shd w:val="clear" w:color="auto" w:fill="auto"/>
            <w:vAlign w:val="center"/>
          </w:tcPr>
          <w:p w14:paraId="5592FFE4" w14:textId="77777777" w:rsidR="00671B63" w:rsidRPr="001B4CA2" w:rsidRDefault="00671B63" w:rsidP="00671B63">
            <w:pPr>
              <w:jc w:val="center"/>
              <w:rPr>
                <w:bCs/>
                <w:sz w:val="18"/>
                <w:szCs w:val="18"/>
              </w:rPr>
            </w:pPr>
            <w:r w:rsidRPr="001B4CA2">
              <w:rPr>
                <w:bCs/>
                <w:sz w:val="18"/>
                <w:szCs w:val="18"/>
              </w:rPr>
              <w:t>0</w:t>
            </w:r>
          </w:p>
        </w:tc>
        <w:tc>
          <w:tcPr>
            <w:tcW w:w="384" w:type="pct"/>
            <w:vAlign w:val="center"/>
          </w:tcPr>
          <w:p w14:paraId="036FB083" w14:textId="77777777" w:rsidR="00671B63" w:rsidRPr="001B4CA2" w:rsidRDefault="00671B63" w:rsidP="00671B63">
            <w:pPr>
              <w:jc w:val="center"/>
              <w:rPr>
                <w:bCs/>
                <w:sz w:val="18"/>
                <w:szCs w:val="18"/>
              </w:rPr>
            </w:pPr>
            <w:r w:rsidRPr="001B4CA2">
              <w:rPr>
                <w:bCs/>
                <w:sz w:val="18"/>
                <w:szCs w:val="18"/>
              </w:rPr>
              <w:t>1</w:t>
            </w:r>
          </w:p>
        </w:tc>
        <w:tc>
          <w:tcPr>
            <w:tcW w:w="384" w:type="pct"/>
            <w:shd w:val="clear" w:color="auto" w:fill="auto"/>
            <w:vAlign w:val="center"/>
          </w:tcPr>
          <w:p w14:paraId="6ED34D88" w14:textId="77777777" w:rsidR="00671B63" w:rsidRPr="001B4CA2" w:rsidRDefault="00671B63" w:rsidP="00671B63">
            <w:pPr>
              <w:jc w:val="center"/>
              <w:rPr>
                <w:bCs/>
                <w:sz w:val="18"/>
                <w:szCs w:val="18"/>
              </w:rPr>
            </w:pPr>
            <w:r w:rsidRPr="001B4CA2">
              <w:rPr>
                <w:bCs/>
                <w:sz w:val="18"/>
                <w:szCs w:val="18"/>
              </w:rPr>
              <w:t>58</w:t>
            </w:r>
          </w:p>
        </w:tc>
        <w:tc>
          <w:tcPr>
            <w:tcW w:w="405" w:type="pct"/>
            <w:shd w:val="clear" w:color="auto" w:fill="auto"/>
            <w:vAlign w:val="center"/>
          </w:tcPr>
          <w:p w14:paraId="3B52403C" w14:textId="77777777" w:rsidR="00671B63" w:rsidRPr="001B4CA2" w:rsidRDefault="00671B63" w:rsidP="00671B63">
            <w:pPr>
              <w:jc w:val="center"/>
              <w:rPr>
                <w:bCs/>
                <w:sz w:val="18"/>
                <w:szCs w:val="18"/>
              </w:rPr>
            </w:pPr>
            <w:r w:rsidRPr="001B4CA2">
              <w:rPr>
                <w:bCs/>
                <w:sz w:val="18"/>
                <w:szCs w:val="18"/>
              </w:rPr>
              <w:t>98.009</w:t>
            </w:r>
          </w:p>
        </w:tc>
        <w:tc>
          <w:tcPr>
            <w:tcW w:w="384" w:type="pct"/>
            <w:shd w:val="clear" w:color="auto" w:fill="auto"/>
            <w:vAlign w:val="center"/>
          </w:tcPr>
          <w:p w14:paraId="5D7711F1" w14:textId="77777777" w:rsidR="00671B63" w:rsidRPr="001B4CA2" w:rsidRDefault="00671B63" w:rsidP="00671B63">
            <w:pPr>
              <w:jc w:val="center"/>
              <w:rPr>
                <w:bCs/>
                <w:sz w:val="18"/>
                <w:szCs w:val="18"/>
              </w:rPr>
            </w:pPr>
            <w:r w:rsidRPr="001B4CA2">
              <w:rPr>
                <w:bCs/>
                <w:sz w:val="18"/>
                <w:szCs w:val="18"/>
              </w:rPr>
              <w:t>0</w:t>
            </w:r>
          </w:p>
        </w:tc>
        <w:tc>
          <w:tcPr>
            <w:tcW w:w="377" w:type="pct"/>
            <w:shd w:val="clear" w:color="auto" w:fill="auto"/>
            <w:vAlign w:val="center"/>
          </w:tcPr>
          <w:p w14:paraId="3BF823B7" w14:textId="77777777" w:rsidR="00671B63" w:rsidRPr="001B4CA2" w:rsidRDefault="00671B63" w:rsidP="00671B63">
            <w:pPr>
              <w:jc w:val="center"/>
              <w:rPr>
                <w:bCs/>
                <w:sz w:val="18"/>
                <w:szCs w:val="18"/>
              </w:rPr>
            </w:pPr>
            <w:r w:rsidRPr="001B4CA2">
              <w:rPr>
                <w:bCs/>
                <w:sz w:val="18"/>
                <w:szCs w:val="18"/>
              </w:rPr>
              <w:t>17</w:t>
            </w:r>
          </w:p>
        </w:tc>
        <w:tc>
          <w:tcPr>
            <w:tcW w:w="387" w:type="pct"/>
            <w:shd w:val="clear" w:color="auto" w:fill="auto"/>
            <w:vAlign w:val="center"/>
          </w:tcPr>
          <w:p w14:paraId="397F032A" w14:textId="77777777" w:rsidR="00671B63" w:rsidRPr="001B4CA2" w:rsidRDefault="00671B63" w:rsidP="00671B63">
            <w:pPr>
              <w:jc w:val="center"/>
              <w:rPr>
                <w:bCs/>
                <w:sz w:val="18"/>
                <w:szCs w:val="18"/>
              </w:rPr>
            </w:pPr>
            <w:r w:rsidRPr="001B4CA2">
              <w:rPr>
                <w:bCs/>
                <w:sz w:val="18"/>
                <w:szCs w:val="18"/>
              </w:rPr>
              <w:t>76</w:t>
            </w:r>
          </w:p>
        </w:tc>
        <w:tc>
          <w:tcPr>
            <w:tcW w:w="384" w:type="pct"/>
            <w:shd w:val="clear" w:color="auto" w:fill="auto"/>
            <w:vAlign w:val="center"/>
          </w:tcPr>
          <w:p w14:paraId="58A93A5F" w14:textId="77777777" w:rsidR="00671B63" w:rsidRPr="001B4CA2" w:rsidRDefault="00671B63" w:rsidP="00671B63">
            <w:pPr>
              <w:jc w:val="center"/>
              <w:rPr>
                <w:color w:val="000000"/>
                <w:sz w:val="18"/>
                <w:szCs w:val="18"/>
                <w:lang w:eastAsia="hr-HR"/>
              </w:rPr>
            </w:pPr>
            <w:r w:rsidRPr="001B4CA2">
              <w:rPr>
                <w:color w:val="000000"/>
                <w:sz w:val="18"/>
                <w:szCs w:val="18"/>
                <w:lang w:eastAsia="hr-HR"/>
              </w:rPr>
              <w:t>50</w:t>
            </w:r>
          </w:p>
        </w:tc>
        <w:tc>
          <w:tcPr>
            <w:tcW w:w="378" w:type="pct"/>
            <w:shd w:val="clear" w:color="auto" w:fill="auto"/>
            <w:vAlign w:val="center"/>
          </w:tcPr>
          <w:p w14:paraId="6F313FBA" w14:textId="77777777" w:rsidR="00671B63" w:rsidRPr="001B4CA2" w:rsidRDefault="00671B63" w:rsidP="00671B63">
            <w:pPr>
              <w:jc w:val="center"/>
              <w:rPr>
                <w:color w:val="000000"/>
                <w:sz w:val="18"/>
                <w:szCs w:val="18"/>
                <w:lang w:eastAsia="hr-HR"/>
              </w:rPr>
            </w:pPr>
            <w:r w:rsidRPr="001B4CA2">
              <w:rPr>
                <w:color w:val="000000"/>
                <w:sz w:val="18"/>
                <w:szCs w:val="18"/>
                <w:lang w:eastAsia="hr-HR"/>
              </w:rPr>
              <w:t>126</w:t>
            </w:r>
          </w:p>
        </w:tc>
      </w:tr>
      <w:tr w:rsidR="00671B63" w:rsidRPr="001B4CA2" w14:paraId="5E2C9B1A" w14:textId="77777777" w:rsidTr="00CE2706">
        <w:trPr>
          <w:trHeight w:val="454"/>
          <w:jc w:val="center"/>
        </w:trPr>
        <w:tc>
          <w:tcPr>
            <w:tcW w:w="384" w:type="pct"/>
            <w:shd w:val="clear" w:color="auto" w:fill="auto"/>
            <w:vAlign w:val="center"/>
          </w:tcPr>
          <w:p w14:paraId="312EBB93" w14:textId="77777777" w:rsidR="00671B63" w:rsidRPr="001B4CA2" w:rsidRDefault="00671B63" w:rsidP="00671B63">
            <w:pPr>
              <w:jc w:val="center"/>
              <w:rPr>
                <w:color w:val="000000"/>
                <w:sz w:val="18"/>
                <w:szCs w:val="18"/>
                <w:lang w:eastAsia="hr-HR"/>
              </w:rPr>
            </w:pPr>
            <w:r w:rsidRPr="001B4CA2">
              <w:rPr>
                <w:color w:val="000000"/>
                <w:sz w:val="18"/>
                <w:szCs w:val="18"/>
                <w:lang w:eastAsia="hr-HR"/>
              </w:rPr>
              <w:t>2022.</w:t>
            </w:r>
          </w:p>
        </w:tc>
        <w:tc>
          <w:tcPr>
            <w:tcW w:w="383" w:type="pct"/>
            <w:shd w:val="clear" w:color="auto" w:fill="auto"/>
            <w:vAlign w:val="center"/>
          </w:tcPr>
          <w:p w14:paraId="68DED45C" w14:textId="77777777" w:rsidR="00671B63" w:rsidRPr="001B4CA2" w:rsidRDefault="00671B63" w:rsidP="00671B63">
            <w:pPr>
              <w:jc w:val="center"/>
              <w:rPr>
                <w:color w:val="000000"/>
                <w:sz w:val="18"/>
                <w:szCs w:val="18"/>
                <w:lang w:eastAsia="hr-HR"/>
              </w:rPr>
            </w:pPr>
            <w:r w:rsidRPr="001B4CA2">
              <w:rPr>
                <w:color w:val="000000"/>
                <w:sz w:val="18"/>
                <w:szCs w:val="18"/>
                <w:lang w:eastAsia="hr-HR"/>
              </w:rPr>
              <w:t>2</w:t>
            </w:r>
          </w:p>
        </w:tc>
        <w:tc>
          <w:tcPr>
            <w:tcW w:w="383" w:type="pct"/>
            <w:shd w:val="clear" w:color="auto" w:fill="auto"/>
            <w:vAlign w:val="center"/>
          </w:tcPr>
          <w:p w14:paraId="4785C515" w14:textId="77777777" w:rsidR="00671B63" w:rsidRPr="001B4CA2" w:rsidRDefault="00671B63" w:rsidP="00671B63">
            <w:pPr>
              <w:jc w:val="center"/>
              <w:rPr>
                <w:bCs/>
                <w:sz w:val="18"/>
                <w:szCs w:val="18"/>
              </w:rPr>
            </w:pPr>
            <w:r w:rsidRPr="001B4CA2">
              <w:rPr>
                <w:bCs/>
                <w:sz w:val="18"/>
                <w:szCs w:val="18"/>
              </w:rPr>
              <w:t>174</w:t>
            </w:r>
          </w:p>
        </w:tc>
        <w:tc>
          <w:tcPr>
            <w:tcW w:w="383" w:type="pct"/>
            <w:shd w:val="clear" w:color="auto" w:fill="auto"/>
            <w:vAlign w:val="center"/>
          </w:tcPr>
          <w:p w14:paraId="71E6938A" w14:textId="77777777" w:rsidR="00671B63" w:rsidRPr="001B4CA2" w:rsidRDefault="00671B63" w:rsidP="00671B63">
            <w:pPr>
              <w:jc w:val="center"/>
              <w:rPr>
                <w:bCs/>
                <w:sz w:val="18"/>
                <w:szCs w:val="18"/>
              </w:rPr>
            </w:pPr>
            <w:r w:rsidRPr="001B4CA2">
              <w:rPr>
                <w:bCs/>
                <w:sz w:val="18"/>
                <w:szCs w:val="18"/>
              </w:rPr>
              <w:t>176</w:t>
            </w:r>
          </w:p>
        </w:tc>
        <w:tc>
          <w:tcPr>
            <w:tcW w:w="384" w:type="pct"/>
            <w:shd w:val="clear" w:color="auto" w:fill="auto"/>
            <w:vAlign w:val="center"/>
          </w:tcPr>
          <w:p w14:paraId="35B6F7F7" w14:textId="77777777" w:rsidR="00671B63" w:rsidRPr="001B4CA2" w:rsidRDefault="00671B63" w:rsidP="00671B63">
            <w:pPr>
              <w:jc w:val="center"/>
              <w:rPr>
                <w:bCs/>
                <w:sz w:val="18"/>
                <w:szCs w:val="18"/>
              </w:rPr>
            </w:pPr>
            <w:r w:rsidRPr="001B4CA2">
              <w:rPr>
                <w:bCs/>
                <w:sz w:val="18"/>
                <w:szCs w:val="18"/>
              </w:rPr>
              <w:t>0</w:t>
            </w:r>
          </w:p>
        </w:tc>
        <w:tc>
          <w:tcPr>
            <w:tcW w:w="384" w:type="pct"/>
            <w:vAlign w:val="center"/>
          </w:tcPr>
          <w:p w14:paraId="475388AF" w14:textId="77777777" w:rsidR="00671B63" w:rsidRPr="001B4CA2" w:rsidRDefault="00671B63" w:rsidP="00671B63">
            <w:pPr>
              <w:jc w:val="center"/>
              <w:rPr>
                <w:bCs/>
                <w:sz w:val="18"/>
                <w:szCs w:val="18"/>
              </w:rPr>
            </w:pPr>
            <w:r w:rsidRPr="001B4CA2">
              <w:rPr>
                <w:bCs/>
                <w:sz w:val="18"/>
                <w:szCs w:val="18"/>
              </w:rPr>
              <w:t>0</w:t>
            </w:r>
          </w:p>
        </w:tc>
        <w:tc>
          <w:tcPr>
            <w:tcW w:w="384" w:type="pct"/>
            <w:shd w:val="clear" w:color="auto" w:fill="auto"/>
            <w:vAlign w:val="center"/>
          </w:tcPr>
          <w:p w14:paraId="6AAF8620" w14:textId="77777777" w:rsidR="00671B63" w:rsidRPr="001B4CA2" w:rsidRDefault="00671B63" w:rsidP="00671B63">
            <w:pPr>
              <w:jc w:val="center"/>
              <w:rPr>
                <w:bCs/>
                <w:sz w:val="18"/>
                <w:szCs w:val="18"/>
              </w:rPr>
            </w:pPr>
            <w:r w:rsidRPr="001B4CA2">
              <w:rPr>
                <w:bCs/>
                <w:sz w:val="18"/>
                <w:szCs w:val="18"/>
              </w:rPr>
              <w:t>76</w:t>
            </w:r>
          </w:p>
        </w:tc>
        <w:tc>
          <w:tcPr>
            <w:tcW w:w="405" w:type="pct"/>
            <w:shd w:val="clear" w:color="auto" w:fill="auto"/>
            <w:vAlign w:val="center"/>
          </w:tcPr>
          <w:p w14:paraId="6AB970AF" w14:textId="77777777" w:rsidR="00671B63" w:rsidRPr="001B4CA2" w:rsidRDefault="00671B63" w:rsidP="00671B63">
            <w:pPr>
              <w:jc w:val="center"/>
              <w:rPr>
                <w:bCs/>
                <w:sz w:val="18"/>
                <w:szCs w:val="18"/>
              </w:rPr>
            </w:pPr>
            <w:r w:rsidRPr="001B4CA2">
              <w:rPr>
                <w:bCs/>
                <w:sz w:val="18"/>
                <w:szCs w:val="18"/>
              </w:rPr>
              <w:t>322.831</w:t>
            </w:r>
          </w:p>
        </w:tc>
        <w:tc>
          <w:tcPr>
            <w:tcW w:w="384" w:type="pct"/>
            <w:shd w:val="clear" w:color="auto" w:fill="auto"/>
            <w:vAlign w:val="center"/>
          </w:tcPr>
          <w:p w14:paraId="6724DB77" w14:textId="77777777" w:rsidR="00671B63" w:rsidRPr="001B4CA2" w:rsidRDefault="00671B63" w:rsidP="00671B63">
            <w:pPr>
              <w:jc w:val="center"/>
              <w:rPr>
                <w:bCs/>
                <w:sz w:val="18"/>
                <w:szCs w:val="18"/>
              </w:rPr>
            </w:pPr>
            <w:r w:rsidRPr="001B4CA2">
              <w:rPr>
                <w:bCs/>
                <w:sz w:val="18"/>
                <w:szCs w:val="18"/>
              </w:rPr>
              <w:t>0</w:t>
            </w:r>
          </w:p>
        </w:tc>
        <w:tc>
          <w:tcPr>
            <w:tcW w:w="377" w:type="pct"/>
            <w:shd w:val="clear" w:color="auto" w:fill="auto"/>
            <w:vAlign w:val="center"/>
          </w:tcPr>
          <w:p w14:paraId="0C0441AB" w14:textId="77777777" w:rsidR="00671B63" w:rsidRPr="001B4CA2" w:rsidRDefault="00671B63" w:rsidP="00671B63">
            <w:pPr>
              <w:jc w:val="center"/>
              <w:rPr>
                <w:bCs/>
                <w:sz w:val="18"/>
                <w:szCs w:val="18"/>
              </w:rPr>
            </w:pPr>
            <w:r w:rsidRPr="001B4CA2">
              <w:rPr>
                <w:bCs/>
                <w:sz w:val="18"/>
                <w:szCs w:val="18"/>
              </w:rPr>
              <w:t>15</w:t>
            </w:r>
          </w:p>
        </w:tc>
        <w:tc>
          <w:tcPr>
            <w:tcW w:w="387" w:type="pct"/>
            <w:shd w:val="clear" w:color="auto" w:fill="auto"/>
            <w:vAlign w:val="center"/>
          </w:tcPr>
          <w:p w14:paraId="1A580402" w14:textId="77777777" w:rsidR="00671B63" w:rsidRPr="001B4CA2" w:rsidRDefault="00671B63" w:rsidP="00671B63">
            <w:pPr>
              <w:jc w:val="center"/>
              <w:rPr>
                <w:bCs/>
                <w:sz w:val="18"/>
                <w:szCs w:val="18"/>
              </w:rPr>
            </w:pPr>
            <w:r w:rsidRPr="001B4CA2">
              <w:rPr>
                <w:bCs/>
                <w:sz w:val="18"/>
                <w:szCs w:val="18"/>
              </w:rPr>
              <w:t>91</w:t>
            </w:r>
          </w:p>
        </w:tc>
        <w:tc>
          <w:tcPr>
            <w:tcW w:w="384" w:type="pct"/>
            <w:shd w:val="clear" w:color="auto" w:fill="auto"/>
            <w:vAlign w:val="center"/>
          </w:tcPr>
          <w:p w14:paraId="3D9E6DC2" w14:textId="77777777" w:rsidR="00671B63" w:rsidRPr="001B4CA2" w:rsidRDefault="00671B63" w:rsidP="00671B63">
            <w:pPr>
              <w:jc w:val="center"/>
              <w:rPr>
                <w:color w:val="000000"/>
                <w:sz w:val="18"/>
                <w:szCs w:val="18"/>
                <w:lang w:eastAsia="hr-HR"/>
              </w:rPr>
            </w:pPr>
            <w:r w:rsidRPr="001B4CA2">
              <w:rPr>
                <w:color w:val="000000"/>
                <w:sz w:val="18"/>
                <w:szCs w:val="18"/>
                <w:lang w:eastAsia="hr-HR"/>
              </w:rPr>
              <w:t>37</w:t>
            </w:r>
          </w:p>
        </w:tc>
        <w:tc>
          <w:tcPr>
            <w:tcW w:w="378" w:type="pct"/>
            <w:shd w:val="clear" w:color="auto" w:fill="auto"/>
            <w:vAlign w:val="center"/>
          </w:tcPr>
          <w:p w14:paraId="01E58BB0" w14:textId="77777777" w:rsidR="00671B63" w:rsidRPr="001B4CA2" w:rsidRDefault="00671B63" w:rsidP="00671B63">
            <w:pPr>
              <w:jc w:val="center"/>
              <w:rPr>
                <w:color w:val="000000"/>
                <w:sz w:val="18"/>
                <w:szCs w:val="18"/>
                <w:lang w:eastAsia="hr-HR"/>
              </w:rPr>
            </w:pPr>
            <w:r w:rsidRPr="001B4CA2">
              <w:rPr>
                <w:color w:val="000000"/>
                <w:sz w:val="18"/>
                <w:szCs w:val="18"/>
                <w:lang w:eastAsia="hr-HR"/>
              </w:rPr>
              <w:t>128</w:t>
            </w:r>
          </w:p>
        </w:tc>
      </w:tr>
    </w:tbl>
    <w:p w14:paraId="75E9D66B" w14:textId="77777777" w:rsidR="00671B63" w:rsidRPr="001B4CA2" w:rsidRDefault="00671B63" w:rsidP="00671B63"/>
    <w:p w14:paraId="1C612DDD" w14:textId="77777777" w:rsidR="00F6521D" w:rsidRPr="001B4CA2" w:rsidRDefault="00F6521D" w:rsidP="00F6521D">
      <w:pPr>
        <w:spacing w:after="200"/>
        <w:ind w:firstLine="708"/>
      </w:pPr>
      <w:r w:rsidRPr="001B4CA2">
        <w:t xml:space="preserve">Iz gornjih podataka o predstečajnim predmetima i donesenim odlukama državnog odvjetništva u 2022. godini može se zamijetiti da je došlo do povećanja broja zaprimljenih zahtjeva (174), a to povećanje iznosi 13,72 % u odnosu na prethodno izvještajno razdoblje. Povećan je ukupan broj predmeta u radu. Tijekom 2022. godine državno odvjetništvo imalo je u radu 176 predstečajnih predmeta. </w:t>
      </w:r>
    </w:p>
    <w:p w14:paraId="57293DDE" w14:textId="5C8F5023" w:rsidR="00F6521D" w:rsidRPr="001B4CA2" w:rsidRDefault="00F6521D" w:rsidP="00F6521D">
      <w:pPr>
        <w:spacing w:after="200"/>
      </w:pPr>
      <w:r w:rsidRPr="001B4CA2">
        <w:tab/>
        <w:t>U predstečajnim postupcima tijekom 2022. godine podneseno je 76 prijava novčanih tražbina u iznosu od 322.831.000,00 kn</w:t>
      </w:r>
      <w:r w:rsidR="004B1F3B">
        <w:t xml:space="preserve"> </w:t>
      </w:r>
      <w:r w:rsidR="0047537B" w:rsidRPr="001B4CA2">
        <w:t>/</w:t>
      </w:r>
      <w:r w:rsidR="001C297A" w:rsidRPr="001B4CA2">
        <w:t xml:space="preserve"> </w:t>
      </w:r>
      <w:r w:rsidR="0047537B" w:rsidRPr="001B4CA2">
        <w:t>42.847.03</w:t>
      </w:r>
      <w:r w:rsidR="00A15054">
        <w:t>6</w:t>
      </w:r>
      <w:r w:rsidR="0047537B" w:rsidRPr="001B4CA2">
        <w:t>,</w:t>
      </w:r>
      <w:r w:rsidR="00A15054">
        <w:t>96</w:t>
      </w:r>
      <w:r w:rsidR="0047537B" w:rsidRPr="001B4CA2">
        <w:t xml:space="preserve"> EUR</w:t>
      </w:r>
      <w:r w:rsidRPr="001B4CA2">
        <w:t xml:space="preserve">. U odnosu na ranije izvještajno razdoblje broj prijava povećan je za 31,03 %, a iznos prijavljenih tražbina povećan je za 229,38 %. Najvećim se dijelom prijave tražbina odnose na zastupanje Ministarstva financija, Porezne uprave. </w:t>
      </w:r>
    </w:p>
    <w:p w14:paraId="64374B88" w14:textId="53E9A993" w:rsidR="00F6521D" w:rsidRPr="001B4CA2" w:rsidRDefault="00F6521D" w:rsidP="00F6521D">
      <w:pPr>
        <w:spacing w:after="200"/>
      </w:pPr>
      <w:r w:rsidRPr="001B4CA2">
        <w:tab/>
        <w:t>Ukupno je tijekom 2022. godine doneseno 128 odluka</w:t>
      </w:r>
      <w:r w:rsidR="004B1F3B">
        <w:t>,</w:t>
      </w:r>
      <w:r w:rsidRPr="001B4CA2">
        <w:t xml:space="preserve"> od čega 91 meritorna </w:t>
      </w:r>
      <w:proofErr w:type="spellStart"/>
      <w:r w:rsidRPr="001B4CA2">
        <w:t>državnoodvjetnička</w:t>
      </w:r>
      <w:proofErr w:type="spellEnd"/>
      <w:r w:rsidRPr="001B4CA2">
        <w:t xml:space="preserve"> odluka.</w:t>
      </w:r>
    </w:p>
    <w:p w14:paraId="0C3E43E8" w14:textId="405843A5" w:rsidR="00671B63" w:rsidRPr="001B4CA2" w:rsidRDefault="00671B63" w:rsidP="00671B63">
      <w:pPr>
        <w:pStyle w:val="Odlomakpopisa"/>
        <w:numPr>
          <w:ilvl w:val="0"/>
          <w:numId w:val="47"/>
        </w:numPr>
        <w:jc w:val="left"/>
        <w:rPr>
          <w:rFonts w:asciiTheme="minorHAnsi" w:hAnsiTheme="minorHAnsi" w:cstheme="minorBidi"/>
          <w:i/>
          <w:szCs w:val="22"/>
        </w:rPr>
      </w:pPr>
      <w:r w:rsidRPr="001B4CA2">
        <w:rPr>
          <w:rFonts w:asciiTheme="minorHAnsi" w:hAnsiTheme="minorHAnsi" w:cstheme="minorBidi"/>
          <w:i/>
          <w:szCs w:val="22"/>
        </w:rPr>
        <w:t>Odluke suda u predstečajnim predmetima</w:t>
      </w:r>
      <w:r w:rsidR="001B4CA2">
        <w:rPr>
          <w:rFonts w:asciiTheme="minorHAnsi" w:hAnsiTheme="minorHAnsi" w:cstheme="minorBidi"/>
          <w:i/>
          <w:szCs w:val="22"/>
        </w:rPr>
        <w:t xml:space="preserve"> </w:t>
      </w:r>
      <w:r w:rsidRPr="001B4CA2">
        <w:rPr>
          <w:rFonts w:asciiTheme="minorHAnsi" w:hAnsiTheme="minorHAnsi" w:cstheme="minorBidi"/>
          <w:i/>
          <w:szCs w:val="22"/>
        </w:rPr>
        <w:t>2020. -2022.</w:t>
      </w:r>
    </w:p>
    <w:tbl>
      <w:tblPr>
        <w:tblW w:w="4756" w:type="pct"/>
        <w:jc w:val="center"/>
        <w:tblLook w:val="04A0" w:firstRow="1" w:lastRow="0" w:firstColumn="1" w:lastColumn="0" w:noHBand="0" w:noVBand="1"/>
      </w:tblPr>
      <w:tblGrid>
        <w:gridCol w:w="844"/>
        <w:gridCol w:w="861"/>
        <w:gridCol w:w="740"/>
        <w:gridCol w:w="1095"/>
        <w:gridCol w:w="630"/>
        <w:gridCol w:w="840"/>
        <w:gridCol w:w="747"/>
        <w:gridCol w:w="697"/>
        <w:gridCol w:w="867"/>
        <w:gridCol w:w="487"/>
        <w:gridCol w:w="435"/>
        <w:gridCol w:w="592"/>
      </w:tblGrid>
      <w:tr w:rsidR="00671B63" w:rsidRPr="001B4CA2" w14:paraId="7E4816A0" w14:textId="77777777" w:rsidTr="00CE2706">
        <w:trPr>
          <w:trHeight w:val="568"/>
          <w:jc w:val="center"/>
        </w:trPr>
        <w:tc>
          <w:tcPr>
            <w:tcW w:w="490" w:type="pct"/>
            <w:vMerge w:val="restart"/>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4BBFC53E" w14:textId="77777777" w:rsidR="00671B63" w:rsidRPr="001B4CA2" w:rsidRDefault="00671B63" w:rsidP="00671B63">
            <w:pPr>
              <w:rPr>
                <w:rFonts w:eastAsia="Times New Roman"/>
                <w:b/>
                <w:sz w:val="18"/>
                <w:szCs w:val="18"/>
                <w:lang w:eastAsia="hr-HR"/>
              </w:rPr>
            </w:pPr>
            <w:r w:rsidRPr="001B4CA2">
              <w:rPr>
                <w:rFonts w:eastAsia="Times New Roman"/>
                <w:b/>
                <w:sz w:val="18"/>
                <w:szCs w:val="18"/>
                <w:lang w:eastAsia="hr-HR"/>
              </w:rPr>
              <w:t>Godina</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16FEAA93" w14:textId="77777777" w:rsidR="00671B63" w:rsidRPr="001B4CA2" w:rsidRDefault="00671B63" w:rsidP="00671B63">
            <w:pPr>
              <w:jc w:val="left"/>
              <w:rPr>
                <w:rFonts w:eastAsia="Times New Roman"/>
                <w:b/>
                <w:bCs/>
                <w:sz w:val="18"/>
                <w:szCs w:val="18"/>
                <w:lang w:eastAsia="hr-HR"/>
              </w:rPr>
            </w:pPr>
          </w:p>
          <w:p w14:paraId="42E29514" w14:textId="77777777" w:rsidR="00671B63" w:rsidRPr="001B4CA2" w:rsidRDefault="00671B63" w:rsidP="00671B63">
            <w:pPr>
              <w:jc w:val="left"/>
              <w:rPr>
                <w:rFonts w:eastAsia="Times New Roman"/>
                <w:bCs/>
                <w:sz w:val="18"/>
                <w:szCs w:val="18"/>
                <w:lang w:eastAsia="hr-HR"/>
              </w:rPr>
            </w:pPr>
            <w:r w:rsidRPr="001B4CA2">
              <w:rPr>
                <w:rFonts w:eastAsia="Times New Roman"/>
                <w:bCs/>
                <w:sz w:val="18"/>
                <w:szCs w:val="18"/>
                <w:lang w:eastAsia="hr-HR"/>
              </w:rPr>
              <w:t>Rasprave</w:t>
            </w:r>
          </w:p>
          <w:p w14:paraId="097E0BA4" w14:textId="77777777" w:rsidR="00671B63" w:rsidRPr="001B4CA2" w:rsidRDefault="00671B63" w:rsidP="00671B63">
            <w:pPr>
              <w:jc w:val="left"/>
              <w:rPr>
                <w:rFonts w:eastAsia="Times New Roman"/>
                <w:b/>
                <w:bCs/>
                <w:sz w:val="18"/>
                <w:szCs w:val="18"/>
                <w:lang w:eastAsia="hr-HR"/>
              </w:rPr>
            </w:pPr>
          </w:p>
          <w:p w14:paraId="43915138" w14:textId="77777777" w:rsidR="00671B63" w:rsidRPr="001B4CA2" w:rsidRDefault="00671B63" w:rsidP="00671B63">
            <w:pPr>
              <w:jc w:val="left"/>
              <w:rPr>
                <w:rFonts w:eastAsia="Times New Roman"/>
                <w:b/>
                <w:bCs/>
                <w:sz w:val="18"/>
                <w:szCs w:val="18"/>
                <w:lang w:eastAsia="hr-HR"/>
              </w:rPr>
            </w:pPr>
          </w:p>
        </w:tc>
        <w:tc>
          <w:tcPr>
            <w:tcW w:w="2355" w:type="pct"/>
            <w:gridSpan w:val="5"/>
            <w:tcBorders>
              <w:top w:val="single" w:sz="4" w:space="0" w:color="auto"/>
              <w:left w:val="nil"/>
              <w:bottom w:val="single" w:sz="4" w:space="0" w:color="auto"/>
              <w:right w:val="single" w:sz="4" w:space="0" w:color="auto"/>
            </w:tcBorders>
            <w:shd w:val="clear" w:color="auto" w:fill="99CCFF"/>
            <w:vAlign w:val="center"/>
          </w:tcPr>
          <w:p w14:paraId="38E5A57D"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Odluke suda o tražbini RH</w:t>
            </w:r>
          </w:p>
        </w:tc>
        <w:tc>
          <w:tcPr>
            <w:tcW w:w="865" w:type="pct"/>
            <w:gridSpan w:val="2"/>
            <w:tcBorders>
              <w:top w:val="single" w:sz="4" w:space="0" w:color="auto"/>
              <w:left w:val="nil"/>
              <w:bottom w:val="single" w:sz="4" w:space="0" w:color="auto"/>
              <w:right w:val="single" w:sz="4" w:space="0" w:color="auto"/>
            </w:tcBorders>
            <w:shd w:val="clear" w:color="auto" w:fill="99CCFF"/>
            <w:vAlign w:val="center"/>
            <w:hideMark/>
          </w:tcPr>
          <w:p w14:paraId="5D0A8593" w14:textId="77777777" w:rsidR="00671B63" w:rsidRPr="001B4CA2" w:rsidRDefault="00671B63" w:rsidP="00671B63">
            <w:pPr>
              <w:jc w:val="center"/>
              <w:rPr>
                <w:rFonts w:eastAsia="Times New Roman"/>
                <w:b/>
                <w:bCs/>
                <w:sz w:val="18"/>
                <w:szCs w:val="18"/>
                <w:lang w:eastAsia="hr-HR"/>
              </w:rPr>
            </w:pPr>
            <w:r w:rsidRPr="001B4CA2">
              <w:rPr>
                <w:rFonts w:eastAsia="Times New Roman"/>
                <w:b/>
                <w:bCs/>
                <w:sz w:val="18"/>
                <w:szCs w:val="18"/>
                <w:lang w:eastAsia="hr-HR"/>
              </w:rPr>
              <w:t>Predstečajni sporazum</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99CCFF"/>
            <w:textDirection w:val="btLr"/>
            <w:vAlign w:val="center"/>
          </w:tcPr>
          <w:p w14:paraId="77B33815" w14:textId="77777777" w:rsidR="00671B63" w:rsidRPr="001B4CA2" w:rsidRDefault="00671B63" w:rsidP="00671B63">
            <w:pPr>
              <w:jc w:val="left"/>
              <w:rPr>
                <w:rFonts w:eastAsia="Times New Roman"/>
                <w:b/>
                <w:sz w:val="18"/>
                <w:szCs w:val="18"/>
                <w:lang w:eastAsia="hr-HR"/>
              </w:rPr>
            </w:pPr>
            <w:r w:rsidRPr="001B4CA2">
              <w:rPr>
                <w:rFonts w:eastAsia="Times New Roman"/>
                <w:color w:val="000000"/>
                <w:sz w:val="18"/>
                <w:szCs w:val="18"/>
                <w:lang w:eastAsia="hr-HR"/>
              </w:rPr>
              <w:t>Pravni lijek DO</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99CCFF"/>
            <w:textDirection w:val="btLr"/>
            <w:vAlign w:val="center"/>
            <w:hideMark/>
          </w:tcPr>
          <w:p w14:paraId="317B7C1C" w14:textId="77777777" w:rsidR="00671B63" w:rsidRPr="001B4CA2" w:rsidRDefault="00671B63" w:rsidP="00671B63">
            <w:pPr>
              <w:jc w:val="left"/>
              <w:rPr>
                <w:rFonts w:eastAsia="Times New Roman"/>
                <w:b/>
                <w:sz w:val="18"/>
                <w:szCs w:val="18"/>
                <w:lang w:eastAsia="hr-HR"/>
              </w:rPr>
            </w:pPr>
            <w:r w:rsidRPr="001B4CA2">
              <w:rPr>
                <w:rFonts w:eastAsia="Times New Roman"/>
                <w:color w:val="000000"/>
                <w:sz w:val="18"/>
                <w:szCs w:val="18"/>
                <w:lang w:eastAsia="hr-HR"/>
              </w:rPr>
              <w:t>Revizija</w:t>
            </w:r>
          </w:p>
        </w:tc>
        <w:tc>
          <w:tcPr>
            <w:tcW w:w="347" w:type="pct"/>
            <w:vMerge w:val="restart"/>
            <w:tcBorders>
              <w:top w:val="single" w:sz="4" w:space="0" w:color="auto"/>
              <w:left w:val="single" w:sz="4" w:space="0" w:color="auto"/>
              <w:right w:val="single" w:sz="4" w:space="0" w:color="auto"/>
            </w:tcBorders>
            <w:shd w:val="clear" w:color="auto" w:fill="99CCFF"/>
            <w:textDirection w:val="btLr"/>
            <w:vAlign w:val="center"/>
          </w:tcPr>
          <w:p w14:paraId="69550906" w14:textId="77777777" w:rsidR="00671B63" w:rsidRPr="001B4CA2" w:rsidRDefault="00671B63" w:rsidP="00671B63">
            <w:pPr>
              <w:jc w:val="left"/>
              <w:rPr>
                <w:rFonts w:eastAsia="Times New Roman"/>
                <w:b/>
                <w:sz w:val="18"/>
                <w:szCs w:val="18"/>
                <w:lang w:eastAsia="hr-HR"/>
              </w:rPr>
            </w:pPr>
            <w:r w:rsidRPr="001B4CA2">
              <w:rPr>
                <w:rFonts w:eastAsia="Times New Roman"/>
                <w:color w:val="000000"/>
                <w:sz w:val="18"/>
                <w:szCs w:val="18"/>
                <w:lang w:eastAsia="hr-HR"/>
              </w:rPr>
              <w:t>Tužba DO radi utvrđenja / osporavanja tražbine</w:t>
            </w:r>
          </w:p>
        </w:tc>
      </w:tr>
      <w:tr w:rsidR="00671B63" w:rsidRPr="001B4CA2" w14:paraId="5CF123BD" w14:textId="77777777" w:rsidTr="00CE2706">
        <w:trPr>
          <w:trHeight w:val="2173"/>
          <w:jc w:val="center"/>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2E98E419" w14:textId="77777777" w:rsidR="00671B63" w:rsidRPr="001B4CA2" w:rsidRDefault="00671B63" w:rsidP="00671B63">
            <w:pPr>
              <w:jc w:val="left"/>
              <w:rPr>
                <w:rFonts w:eastAsia="Times New Roman"/>
                <w:sz w:val="18"/>
                <w:szCs w:val="18"/>
                <w:lang w:eastAsia="hr-HR"/>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14:paraId="3A73632E" w14:textId="77777777" w:rsidR="00671B63" w:rsidRPr="001B4CA2" w:rsidRDefault="00671B63" w:rsidP="00671B63">
            <w:pPr>
              <w:jc w:val="left"/>
              <w:rPr>
                <w:rFonts w:eastAsia="Times New Roman"/>
                <w:bCs/>
                <w:sz w:val="18"/>
                <w:szCs w:val="18"/>
                <w:lang w:eastAsia="hr-HR"/>
              </w:rPr>
            </w:pPr>
          </w:p>
        </w:tc>
        <w:tc>
          <w:tcPr>
            <w:tcW w:w="431" w:type="pct"/>
            <w:tcBorders>
              <w:top w:val="nil"/>
              <w:left w:val="single" w:sz="4" w:space="0" w:color="auto"/>
              <w:bottom w:val="single" w:sz="4" w:space="0" w:color="auto"/>
              <w:right w:val="single" w:sz="4" w:space="0" w:color="auto"/>
            </w:tcBorders>
            <w:shd w:val="clear" w:color="auto" w:fill="99CCFF"/>
            <w:textDirection w:val="btLr"/>
            <w:vAlign w:val="center"/>
          </w:tcPr>
          <w:p w14:paraId="77B0BC37"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 xml:space="preserve">Utvrđena </w:t>
            </w:r>
          </w:p>
        </w:tc>
        <w:tc>
          <w:tcPr>
            <w:tcW w:w="632" w:type="pct"/>
            <w:tcBorders>
              <w:top w:val="nil"/>
              <w:left w:val="single" w:sz="4" w:space="0" w:color="auto"/>
              <w:bottom w:val="single" w:sz="4" w:space="0" w:color="auto"/>
              <w:right w:val="single" w:sz="4" w:space="0" w:color="auto"/>
            </w:tcBorders>
            <w:shd w:val="clear" w:color="auto" w:fill="99CCFF"/>
            <w:textDirection w:val="btLr"/>
            <w:vAlign w:val="center"/>
          </w:tcPr>
          <w:p w14:paraId="52318862" w14:textId="351C66B6"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Iznos novčane tražbine</w:t>
            </w:r>
            <w:r w:rsidR="001B4CA2">
              <w:rPr>
                <w:rFonts w:eastAsia="Times New Roman"/>
                <w:sz w:val="18"/>
                <w:szCs w:val="18"/>
                <w:lang w:eastAsia="hr-HR"/>
              </w:rPr>
              <w:t xml:space="preserve"> </w:t>
            </w:r>
            <w:r w:rsidRPr="001B4CA2">
              <w:rPr>
                <w:rFonts w:eastAsia="Times New Roman"/>
                <w:sz w:val="18"/>
                <w:szCs w:val="18"/>
                <w:lang w:eastAsia="hr-HR"/>
              </w:rPr>
              <w:br/>
              <w:t xml:space="preserve">(u </w:t>
            </w:r>
            <w:proofErr w:type="spellStart"/>
            <w:r w:rsidRPr="001B4CA2">
              <w:rPr>
                <w:rFonts w:eastAsia="Times New Roman"/>
                <w:sz w:val="18"/>
                <w:szCs w:val="18"/>
                <w:lang w:eastAsia="hr-HR"/>
              </w:rPr>
              <w:t>tistućama</w:t>
            </w:r>
            <w:proofErr w:type="spellEnd"/>
            <w:r w:rsidRPr="001B4CA2">
              <w:rPr>
                <w:rFonts w:eastAsia="Times New Roman"/>
                <w:sz w:val="18"/>
                <w:szCs w:val="18"/>
                <w:lang w:eastAsia="hr-HR"/>
              </w:rPr>
              <w:t xml:space="preserve"> kuna)</w:t>
            </w:r>
          </w:p>
        </w:tc>
        <w:tc>
          <w:tcPr>
            <w:tcW w:w="369" w:type="pct"/>
            <w:tcBorders>
              <w:top w:val="nil"/>
              <w:left w:val="single" w:sz="4" w:space="0" w:color="auto"/>
              <w:bottom w:val="single" w:sz="4" w:space="0" w:color="auto"/>
              <w:right w:val="single" w:sz="4" w:space="0" w:color="auto"/>
            </w:tcBorders>
            <w:shd w:val="clear" w:color="auto" w:fill="99CCFF"/>
            <w:textDirection w:val="btLr"/>
            <w:vAlign w:val="center"/>
          </w:tcPr>
          <w:p w14:paraId="514A01ED"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 xml:space="preserve">Osporena </w:t>
            </w:r>
          </w:p>
        </w:tc>
        <w:tc>
          <w:tcPr>
            <w:tcW w:w="488" w:type="pct"/>
            <w:tcBorders>
              <w:top w:val="nil"/>
              <w:left w:val="single" w:sz="4" w:space="0" w:color="auto"/>
              <w:bottom w:val="single" w:sz="4" w:space="0" w:color="auto"/>
              <w:right w:val="single" w:sz="4" w:space="0" w:color="auto"/>
            </w:tcBorders>
            <w:shd w:val="clear" w:color="auto" w:fill="99CCFF"/>
            <w:textDirection w:val="btLr"/>
            <w:vAlign w:val="center"/>
          </w:tcPr>
          <w:p w14:paraId="1F38B146" w14:textId="31692825" w:rsidR="00671B63" w:rsidRPr="001B4CA2" w:rsidRDefault="00671B63" w:rsidP="00671B63">
            <w:pPr>
              <w:jc w:val="left"/>
              <w:rPr>
                <w:rFonts w:eastAsia="Times New Roman"/>
                <w:b/>
                <w:bCs/>
                <w:sz w:val="18"/>
                <w:szCs w:val="18"/>
                <w:lang w:eastAsia="hr-HR"/>
              </w:rPr>
            </w:pPr>
            <w:r w:rsidRPr="001B4CA2">
              <w:rPr>
                <w:rFonts w:eastAsia="Times New Roman"/>
                <w:sz w:val="18"/>
                <w:szCs w:val="18"/>
                <w:lang w:eastAsia="hr-HR"/>
              </w:rPr>
              <w:t>Iznos novčane tražbine</w:t>
            </w:r>
            <w:r w:rsidR="001B4CA2">
              <w:rPr>
                <w:rFonts w:eastAsia="Times New Roman"/>
                <w:sz w:val="18"/>
                <w:szCs w:val="18"/>
                <w:lang w:eastAsia="hr-HR"/>
              </w:rPr>
              <w:t xml:space="preserve"> </w:t>
            </w:r>
            <w:r w:rsidRPr="001B4CA2">
              <w:rPr>
                <w:rFonts w:eastAsia="Times New Roman"/>
                <w:sz w:val="18"/>
                <w:szCs w:val="18"/>
                <w:lang w:eastAsia="hr-HR"/>
              </w:rPr>
              <w:br/>
              <w:t xml:space="preserve">(u </w:t>
            </w:r>
            <w:proofErr w:type="spellStart"/>
            <w:r w:rsidRPr="001B4CA2">
              <w:rPr>
                <w:rFonts w:eastAsia="Times New Roman"/>
                <w:sz w:val="18"/>
                <w:szCs w:val="18"/>
                <w:lang w:eastAsia="hr-HR"/>
              </w:rPr>
              <w:t>tistućama</w:t>
            </w:r>
            <w:proofErr w:type="spellEnd"/>
            <w:r w:rsidRPr="001B4CA2">
              <w:rPr>
                <w:rFonts w:eastAsia="Times New Roman"/>
                <w:sz w:val="18"/>
                <w:szCs w:val="18"/>
                <w:lang w:eastAsia="hr-HR"/>
              </w:rPr>
              <w:t xml:space="preserve"> kuna)</w:t>
            </w:r>
          </w:p>
        </w:tc>
        <w:tc>
          <w:tcPr>
            <w:tcW w:w="435" w:type="pct"/>
            <w:tcBorders>
              <w:top w:val="nil"/>
              <w:left w:val="single" w:sz="4" w:space="0" w:color="auto"/>
              <w:bottom w:val="single" w:sz="4" w:space="0" w:color="auto"/>
              <w:right w:val="single" w:sz="4" w:space="0" w:color="auto"/>
            </w:tcBorders>
            <w:shd w:val="clear" w:color="auto" w:fill="99CCFF"/>
            <w:textDirection w:val="btLr"/>
            <w:vAlign w:val="center"/>
            <w:hideMark/>
          </w:tcPr>
          <w:p w14:paraId="5CF58B8A" w14:textId="77777777" w:rsidR="00671B63" w:rsidRPr="001B4CA2" w:rsidRDefault="00671B63" w:rsidP="00671B63">
            <w:pPr>
              <w:jc w:val="left"/>
              <w:rPr>
                <w:rFonts w:eastAsia="Times New Roman"/>
                <w:b/>
                <w:bCs/>
                <w:sz w:val="18"/>
                <w:szCs w:val="18"/>
                <w:lang w:eastAsia="hr-HR"/>
              </w:rPr>
            </w:pPr>
            <w:r w:rsidRPr="001B4CA2">
              <w:rPr>
                <w:rFonts w:eastAsia="Times New Roman"/>
                <w:b/>
                <w:bCs/>
                <w:sz w:val="18"/>
                <w:szCs w:val="18"/>
                <w:lang w:eastAsia="hr-HR"/>
              </w:rPr>
              <w:t>Ukupno odluka suda</w:t>
            </w:r>
          </w:p>
        </w:tc>
        <w:tc>
          <w:tcPr>
            <w:tcW w:w="407" w:type="pct"/>
            <w:tcBorders>
              <w:top w:val="nil"/>
              <w:left w:val="single" w:sz="4" w:space="0" w:color="auto"/>
              <w:bottom w:val="single" w:sz="4" w:space="0" w:color="auto"/>
              <w:right w:val="single" w:sz="4" w:space="0" w:color="auto"/>
            </w:tcBorders>
            <w:shd w:val="clear" w:color="auto" w:fill="99CCFF"/>
            <w:textDirection w:val="btLr"/>
            <w:vAlign w:val="center"/>
            <w:hideMark/>
          </w:tcPr>
          <w:p w14:paraId="52F7276A" w14:textId="77777777"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Glasanje o planu restrukturiranja (broj)</w:t>
            </w:r>
          </w:p>
        </w:tc>
        <w:tc>
          <w:tcPr>
            <w:tcW w:w="458" w:type="pct"/>
            <w:tcBorders>
              <w:top w:val="nil"/>
              <w:left w:val="single" w:sz="4" w:space="0" w:color="auto"/>
              <w:bottom w:val="single" w:sz="4" w:space="0" w:color="auto"/>
              <w:right w:val="single" w:sz="4" w:space="0" w:color="auto"/>
            </w:tcBorders>
            <w:shd w:val="clear" w:color="auto" w:fill="99CCFF"/>
            <w:textDirection w:val="btLr"/>
            <w:vAlign w:val="bottom"/>
            <w:hideMark/>
          </w:tcPr>
          <w:p w14:paraId="6EAFF821" w14:textId="032C5B94" w:rsidR="00671B63" w:rsidRPr="001B4CA2" w:rsidRDefault="00671B63" w:rsidP="00671B63">
            <w:pPr>
              <w:jc w:val="left"/>
              <w:rPr>
                <w:rFonts w:eastAsia="Times New Roman"/>
                <w:sz w:val="18"/>
                <w:szCs w:val="18"/>
                <w:lang w:eastAsia="hr-HR"/>
              </w:rPr>
            </w:pPr>
            <w:r w:rsidRPr="001B4CA2">
              <w:rPr>
                <w:rFonts w:eastAsia="Times New Roman"/>
                <w:sz w:val="18"/>
                <w:szCs w:val="18"/>
                <w:lang w:eastAsia="hr-HR"/>
              </w:rPr>
              <w:t>Novčana tražbina RH</w:t>
            </w:r>
            <w:r w:rsidR="001B4CA2">
              <w:rPr>
                <w:rFonts w:eastAsia="Times New Roman"/>
                <w:sz w:val="18"/>
                <w:szCs w:val="18"/>
                <w:lang w:eastAsia="hr-HR"/>
              </w:rPr>
              <w:t xml:space="preserve"> </w:t>
            </w:r>
            <w:r w:rsidRPr="001B4CA2">
              <w:rPr>
                <w:rFonts w:eastAsia="Times New Roman"/>
                <w:sz w:val="18"/>
                <w:szCs w:val="18"/>
                <w:lang w:eastAsia="hr-HR"/>
              </w:rPr>
              <w:t>po</w:t>
            </w:r>
            <w:r w:rsidR="001B4CA2">
              <w:rPr>
                <w:rFonts w:eastAsia="Times New Roman"/>
                <w:sz w:val="18"/>
                <w:szCs w:val="18"/>
                <w:lang w:eastAsia="hr-HR"/>
              </w:rPr>
              <w:t xml:space="preserve"> </w:t>
            </w:r>
            <w:r w:rsidRPr="001B4CA2">
              <w:rPr>
                <w:rFonts w:eastAsia="Times New Roman"/>
                <w:sz w:val="18"/>
                <w:szCs w:val="18"/>
                <w:lang w:eastAsia="hr-HR"/>
              </w:rPr>
              <w:t>potvrđenom sporazumu</w:t>
            </w:r>
            <w:r w:rsidRPr="001B4CA2">
              <w:rPr>
                <w:rFonts w:eastAsia="Times New Roman"/>
                <w:sz w:val="18"/>
                <w:szCs w:val="18"/>
                <w:lang w:eastAsia="hr-HR"/>
              </w:rPr>
              <w:br/>
              <w:t>(u tisućama kuna)</w:t>
            </w:r>
          </w:p>
        </w:tc>
        <w:tc>
          <w:tcPr>
            <w:tcW w:w="288" w:type="pct"/>
            <w:vMerge/>
            <w:tcBorders>
              <w:top w:val="single" w:sz="4" w:space="0" w:color="auto"/>
              <w:left w:val="single" w:sz="4" w:space="0" w:color="auto"/>
              <w:bottom w:val="single" w:sz="4" w:space="0" w:color="auto"/>
              <w:right w:val="single" w:sz="4" w:space="0" w:color="auto"/>
            </w:tcBorders>
            <w:vAlign w:val="center"/>
          </w:tcPr>
          <w:p w14:paraId="6FCEF608" w14:textId="77777777" w:rsidR="00671B63" w:rsidRPr="001B4CA2" w:rsidRDefault="00671B63" w:rsidP="00671B63">
            <w:pPr>
              <w:jc w:val="left"/>
              <w:rPr>
                <w:rFonts w:eastAsia="Times New Roman"/>
                <w:sz w:val="18"/>
                <w:szCs w:val="18"/>
                <w:lang w:eastAsia="hr-HR"/>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1C18E69" w14:textId="77777777" w:rsidR="00671B63" w:rsidRPr="001B4CA2" w:rsidRDefault="00671B63" w:rsidP="00671B63">
            <w:pPr>
              <w:jc w:val="left"/>
              <w:rPr>
                <w:rFonts w:eastAsia="Times New Roman"/>
                <w:sz w:val="18"/>
                <w:szCs w:val="18"/>
                <w:lang w:eastAsia="hr-HR"/>
              </w:rPr>
            </w:pPr>
          </w:p>
        </w:tc>
        <w:tc>
          <w:tcPr>
            <w:tcW w:w="347" w:type="pct"/>
            <w:vMerge/>
            <w:tcBorders>
              <w:left w:val="single" w:sz="4" w:space="0" w:color="auto"/>
              <w:bottom w:val="single" w:sz="4" w:space="0" w:color="auto"/>
              <w:right w:val="single" w:sz="4" w:space="0" w:color="auto"/>
            </w:tcBorders>
          </w:tcPr>
          <w:p w14:paraId="29813593" w14:textId="77777777" w:rsidR="00671B63" w:rsidRPr="001B4CA2" w:rsidRDefault="00671B63" w:rsidP="00671B63">
            <w:pPr>
              <w:jc w:val="left"/>
              <w:rPr>
                <w:rFonts w:eastAsia="Times New Roman"/>
                <w:sz w:val="18"/>
                <w:szCs w:val="18"/>
                <w:lang w:eastAsia="hr-HR"/>
              </w:rPr>
            </w:pPr>
          </w:p>
        </w:tc>
      </w:tr>
      <w:tr w:rsidR="00671B63" w:rsidRPr="001B4CA2" w14:paraId="282CB0F9" w14:textId="77777777" w:rsidTr="00CE2706">
        <w:trPr>
          <w:trHeight w:val="454"/>
          <w:jc w:val="center"/>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4F39C" w14:textId="77777777" w:rsidR="00671B63" w:rsidRPr="001B4CA2" w:rsidRDefault="00671B63" w:rsidP="00671B63">
            <w:pPr>
              <w:jc w:val="center"/>
              <w:rPr>
                <w:rFonts w:eastAsia="Times New Roman"/>
                <w:bCs/>
                <w:sz w:val="18"/>
                <w:szCs w:val="18"/>
                <w:lang w:eastAsia="hr-HR"/>
              </w:rPr>
            </w:pPr>
            <w:r w:rsidRPr="001B4CA2">
              <w:rPr>
                <w:rFonts w:eastAsia="Times New Roman"/>
                <w:bCs/>
                <w:sz w:val="18"/>
                <w:szCs w:val="18"/>
                <w:lang w:eastAsia="hr-HR"/>
              </w:rPr>
              <w:t>2020.</w:t>
            </w:r>
          </w:p>
        </w:tc>
        <w:tc>
          <w:tcPr>
            <w:tcW w:w="435" w:type="pct"/>
            <w:tcBorders>
              <w:top w:val="single" w:sz="4" w:space="0" w:color="auto"/>
              <w:left w:val="nil"/>
              <w:bottom w:val="single" w:sz="4" w:space="0" w:color="auto"/>
              <w:right w:val="single" w:sz="4" w:space="0" w:color="auto"/>
            </w:tcBorders>
            <w:shd w:val="clear" w:color="auto" w:fill="auto"/>
            <w:noWrap/>
            <w:vAlign w:val="center"/>
          </w:tcPr>
          <w:p w14:paraId="35327B5E" w14:textId="77777777" w:rsidR="00671B63" w:rsidRPr="001B4CA2" w:rsidRDefault="00671B63" w:rsidP="00671B63">
            <w:pPr>
              <w:jc w:val="center"/>
              <w:rPr>
                <w:rFonts w:eastAsia="Times New Roman"/>
                <w:bCs/>
                <w:sz w:val="18"/>
                <w:szCs w:val="18"/>
                <w:lang w:eastAsia="hr-HR"/>
              </w:rPr>
            </w:pPr>
            <w:r w:rsidRPr="001B4CA2">
              <w:rPr>
                <w:rFonts w:eastAsia="Times New Roman"/>
                <w:bCs/>
                <w:sz w:val="18"/>
                <w:szCs w:val="18"/>
                <w:lang w:eastAsia="hr-HR"/>
              </w:rPr>
              <w:t>178</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6CB39ADD" w14:textId="77777777" w:rsidR="00671B63" w:rsidRPr="001B4CA2" w:rsidRDefault="00671B63" w:rsidP="00671B63">
            <w:pPr>
              <w:jc w:val="center"/>
              <w:rPr>
                <w:bCs/>
                <w:sz w:val="18"/>
                <w:szCs w:val="18"/>
              </w:rPr>
            </w:pPr>
            <w:r w:rsidRPr="001B4CA2">
              <w:rPr>
                <w:bCs/>
                <w:sz w:val="18"/>
                <w:szCs w:val="18"/>
              </w:rPr>
              <w:t>75</w:t>
            </w:r>
          </w:p>
        </w:tc>
        <w:tc>
          <w:tcPr>
            <w:tcW w:w="632" w:type="pct"/>
            <w:tcBorders>
              <w:top w:val="single" w:sz="4" w:space="0" w:color="auto"/>
              <w:left w:val="nil"/>
              <w:bottom w:val="single" w:sz="4" w:space="0" w:color="auto"/>
              <w:right w:val="single" w:sz="4" w:space="0" w:color="auto"/>
            </w:tcBorders>
            <w:vAlign w:val="center"/>
          </w:tcPr>
          <w:p w14:paraId="414908B2" w14:textId="77777777" w:rsidR="00671B63" w:rsidRPr="001B4CA2" w:rsidRDefault="00671B63" w:rsidP="00671B63">
            <w:pPr>
              <w:jc w:val="center"/>
              <w:rPr>
                <w:bCs/>
                <w:sz w:val="18"/>
                <w:szCs w:val="18"/>
              </w:rPr>
            </w:pPr>
            <w:r w:rsidRPr="001B4CA2">
              <w:rPr>
                <w:bCs/>
                <w:sz w:val="18"/>
                <w:szCs w:val="18"/>
              </w:rPr>
              <w:t>329.308</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F6A9C" w14:textId="77777777" w:rsidR="00671B63" w:rsidRPr="001B4CA2" w:rsidRDefault="00671B63" w:rsidP="00671B63">
            <w:pPr>
              <w:jc w:val="center"/>
              <w:rPr>
                <w:bCs/>
                <w:sz w:val="18"/>
                <w:szCs w:val="18"/>
              </w:rPr>
            </w:pPr>
            <w:r w:rsidRPr="001B4CA2">
              <w:rPr>
                <w:bCs/>
                <w:sz w:val="18"/>
                <w:szCs w:val="18"/>
              </w:rPr>
              <w:t>4</w:t>
            </w:r>
          </w:p>
        </w:tc>
        <w:tc>
          <w:tcPr>
            <w:tcW w:w="488" w:type="pct"/>
            <w:tcBorders>
              <w:top w:val="single" w:sz="4" w:space="0" w:color="auto"/>
              <w:left w:val="nil"/>
              <w:bottom w:val="single" w:sz="4" w:space="0" w:color="auto"/>
              <w:right w:val="single" w:sz="4" w:space="0" w:color="auto"/>
            </w:tcBorders>
            <w:vAlign w:val="center"/>
          </w:tcPr>
          <w:p w14:paraId="7B09A342" w14:textId="77777777" w:rsidR="00671B63" w:rsidRPr="001B4CA2" w:rsidRDefault="00671B63" w:rsidP="00671B63">
            <w:pPr>
              <w:jc w:val="center"/>
              <w:rPr>
                <w:bCs/>
                <w:sz w:val="18"/>
                <w:szCs w:val="18"/>
              </w:rPr>
            </w:pPr>
            <w:r w:rsidRPr="001B4CA2">
              <w:rPr>
                <w:bCs/>
                <w:sz w:val="18"/>
                <w:szCs w:val="18"/>
              </w:rPr>
              <w:t>1.409</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C90AD8" w14:textId="77777777" w:rsidR="00671B63" w:rsidRPr="001B4CA2" w:rsidRDefault="00671B63" w:rsidP="00671B63">
            <w:pPr>
              <w:jc w:val="center"/>
              <w:rPr>
                <w:bCs/>
                <w:sz w:val="18"/>
                <w:szCs w:val="18"/>
              </w:rPr>
            </w:pPr>
            <w:r w:rsidRPr="001B4CA2">
              <w:rPr>
                <w:bCs/>
                <w:sz w:val="18"/>
                <w:szCs w:val="18"/>
              </w:rPr>
              <w:t>79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1E1A7" w14:textId="77777777" w:rsidR="00671B63" w:rsidRPr="001B4CA2" w:rsidRDefault="00671B63" w:rsidP="00671B63">
            <w:pPr>
              <w:jc w:val="center"/>
              <w:rPr>
                <w:bCs/>
                <w:sz w:val="18"/>
                <w:szCs w:val="18"/>
              </w:rPr>
            </w:pPr>
            <w:r w:rsidRPr="001B4CA2">
              <w:rPr>
                <w:bCs/>
                <w:sz w:val="18"/>
                <w:szCs w:val="18"/>
              </w:rPr>
              <w:t>47</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2A8DB3" w14:textId="77777777" w:rsidR="00671B63" w:rsidRPr="001B4CA2" w:rsidRDefault="00671B63" w:rsidP="00671B63">
            <w:pPr>
              <w:jc w:val="center"/>
              <w:rPr>
                <w:bCs/>
                <w:sz w:val="18"/>
                <w:szCs w:val="18"/>
              </w:rPr>
            </w:pPr>
            <w:r w:rsidRPr="001B4CA2">
              <w:rPr>
                <w:bCs/>
                <w:sz w:val="18"/>
                <w:szCs w:val="18"/>
              </w:rPr>
              <w:t>579.992</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AD130"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16</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EB05"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0</w:t>
            </w:r>
          </w:p>
        </w:tc>
        <w:tc>
          <w:tcPr>
            <w:tcW w:w="347" w:type="pct"/>
            <w:tcBorders>
              <w:top w:val="single" w:sz="4" w:space="0" w:color="auto"/>
              <w:left w:val="single" w:sz="4" w:space="0" w:color="auto"/>
              <w:bottom w:val="single" w:sz="4" w:space="0" w:color="auto"/>
              <w:right w:val="single" w:sz="4" w:space="0" w:color="auto"/>
            </w:tcBorders>
            <w:vAlign w:val="center"/>
          </w:tcPr>
          <w:p w14:paraId="6D4FC45A"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6</w:t>
            </w:r>
          </w:p>
        </w:tc>
      </w:tr>
      <w:tr w:rsidR="00671B63" w:rsidRPr="001B4CA2" w14:paraId="340FEDE4" w14:textId="77777777" w:rsidTr="00CE2706">
        <w:trPr>
          <w:trHeight w:val="454"/>
          <w:jc w:val="center"/>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E1919" w14:textId="77777777" w:rsidR="00671B63" w:rsidRPr="001B4CA2" w:rsidRDefault="00671B63" w:rsidP="00671B63">
            <w:pPr>
              <w:jc w:val="center"/>
              <w:rPr>
                <w:rFonts w:eastAsia="Times New Roman"/>
                <w:bCs/>
                <w:sz w:val="18"/>
                <w:szCs w:val="18"/>
                <w:lang w:eastAsia="hr-HR"/>
              </w:rPr>
            </w:pPr>
            <w:r w:rsidRPr="001B4CA2">
              <w:rPr>
                <w:rFonts w:eastAsia="Times New Roman"/>
                <w:bCs/>
                <w:sz w:val="18"/>
                <w:szCs w:val="18"/>
                <w:lang w:eastAsia="hr-HR"/>
              </w:rPr>
              <w:t>2021.</w:t>
            </w:r>
          </w:p>
        </w:tc>
        <w:tc>
          <w:tcPr>
            <w:tcW w:w="435" w:type="pct"/>
            <w:tcBorders>
              <w:top w:val="single" w:sz="4" w:space="0" w:color="auto"/>
              <w:left w:val="nil"/>
              <w:bottom w:val="single" w:sz="4" w:space="0" w:color="auto"/>
              <w:right w:val="single" w:sz="4" w:space="0" w:color="auto"/>
            </w:tcBorders>
            <w:shd w:val="clear" w:color="auto" w:fill="auto"/>
            <w:noWrap/>
            <w:vAlign w:val="center"/>
          </w:tcPr>
          <w:p w14:paraId="4765A95A" w14:textId="77777777" w:rsidR="00671B63" w:rsidRPr="001B4CA2" w:rsidRDefault="00671B63" w:rsidP="00671B63">
            <w:pPr>
              <w:jc w:val="center"/>
              <w:rPr>
                <w:bCs/>
                <w:sz w:val="18"/>
                <w:szCs w:val="18"/>
              </w:rPr>
            </w:pPr>
            <w:r w:rsidRPr="001B4CA2">
              <w:rPr>
                <w:bCs/>
                <w:sz w:val="18"/>
                <w:szCs w:val="18"/>
              </w:rPr>
              <w:t>167</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221EB04C" w14:textId="77777777" w:rsidR="00671B63" w:rsidRPr="001B4CA2" w:rsidRDefault="00671B63" w:rsidP="00671B63">
            <w:pPr>
              <w:jc w:val="center"/>
              <w:rPr>
                <w:bCs/>
                <w:sz w:val="18"/>
                <w:szCs w:val="18"/>
              </w:rPr>
            </w:pPr>
            <w:r w:rsidRPr="001B4CA2">
              <w:rPr>
                <w:bCs/>
                <w:sz w:val="18"/>
                <w:szCs w:val="18"/>
              </w:rPr>
              <w:t>103</w:t>
            </w:r>
          </w:p>
        </w:tc>
        <w:tc>
          <w:tcPr>
            <w:tcW w:w="632" w:type="pct"/>
            <w:tcBorders>
              <w:top w:val="single" w:sz="4" w:space="0" w:color="auto"/>
              <w:left w:val="nil"/>
              <w:bottom w:val="single" w:sz="4" w:space="0" w:color="auto"/>
              <w:right w:val="single" w:sz="4" w:space="0" w:color="auto"/>
            </w:tcBorders>
            <w:vAlign w:val="center"/>
          </w:tcPr>
          <w:p w14:paraId="0E5E1BD8" w14:textId="77777777" w:rsidR="00671B63" w:rsidRPr="001B4CA2" w:rsidRDefault="00671B63" w:rsidP="00671B63">
            <w:pPr>
              <w:jc w:val="center"/>
              <w:rPr>
                <w:bCs/>
                <w:sz w:val="18"/>
                <w:szCs w:val="18"/>
              </w:rPr>
            </w:pPr>
            <w:r w:rsidRPr="001B4CA2">
              <w:rPr>
                <w:bCs/>
                <w:sz w:val="18"/>
                <w:szCs w:val="18"/>
              </w:rPr>
              <w:t>112.191</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EE4D7" w14:textId="77777777" w:rsidR="00671B63" w:rsidRPr="001B4CA2" w:rsidRDefault="00671B63" w:rsidP="00671B63">
            <w:pPr>
              <w:jc w:val="center"/>
              <w:rPr>
                <w:bCs/>
                <w:sz w:val="18"/>
                <w:szCs w:val="18"/>
              </w:rPr>
            </w:pPr>
            <w:r w:rsidRPr="001B4CA2">
              <w:rPr>
                <w:bCs/>
                <w:sz w:val="18"/>
                <w:szCs w:val="18"/>
              </w:rPr>
              <w:t>12</w:t>
            </w:r>
          </w:p>
        </w:tc>
        <w:tc>
          <w:tcPr>
            <w:tcW w:w="488" w:type="pct"/>
            <w:tcBorders>
              <w:top w:val="single" w:sz="4" w:space="0" w:color="auto"/>
              <w:left w:val="nil"/>
              <w:bottom w:val="single" w:sz="4" w:space="0" w:color="auto"/>
              <w:right w:val="single" w:sz="4" w:space="0" w:color="auto"/>
            </w:tcBorders>
            <w:vAlign w:val="center"/>
          </w:tcPr>
          <w:p w14:paraId="127DEEDD" w14:textId="77777777" w:rsidR="00671B63" w:rsidRPr="001B4CA2" w:rsidRDefault="00671B63" w:rsidP="00671B63">
            <w:pPr>
              <w:jc w:val="center"/>
              <w:rPr>
                <w:bCs/>
                <w:sz w:val="18"/>
                <w:szCs w:val="18"/>
              </w:rPr>
            </w:pPr>
            <w:r w:rsidRPr="001B4CA2">
              <w:rPr>
                <w:bCs/>
                <w:sz w:val="18"/>
                <w:szCs w:val="18"/>
              </w:rPr>
              <w:t>14.245</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415733" w14:textId="77777777" w:rsidR="00671B63" w:rsidRPr="001B4CA2" w:rsidRDefault="00671B63" w:rsidP="00671B63">
            <w:pPr>
              <w:jc w:val="center"/>
              <w:rPr>
                <w:bCs/>
                <w:sz w:val="18"/>
                <w:szCs w:val="18"/>
              </w:rPr>
            </w:pPr>
            <w:r w:rsidRPr="001B4CA2">
              <w:rPr>
                <w:bCs/>
                <w:sz w:val="18"/>
                <w:szCs w:val="18"/>
              </w:rPr>
              <w:t>115</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BAFADF" w14:textId="77777777" w:rsidR="00671B63" w:rsidRPr="001B4CA2" w:rsidRDefault="00671B63" w:rsidP="00671B63">
            <w:pPr>
              <w:jc w:val="center"/>
              <w:rPr>
                <w:bCs/>
                <w:sz w:val="18"/>
                <w:szCs w:val="18"/>
              </w:rPr>
            </w:pPr>
            <w:r w:rsidRPr="001B4CA2">
              <w:rPr>
                <w:bCs/>
                <w:sz w:val="18"/>
                <w:szCs w:val="18"/>
              </w:rPr>
              <w:t>41</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71174" w14:textId="77777777" w:rsidR="00671B63" w:rsidRPr="001B4CA2" w:rsidRDefault="00671B63" w:rsidP="00671B63">
            <w:pPr>
              <w:jc w:val="center"/>
              <w:rPr>
                <w:bCs/>
                <w:sz w:val="18"/>
                <w:szCs w:val="18"/>
              </w:rPr>
            </w:pPr>
            <w:r w:rsidRPr="001B4CA2">
              <w:rPr>
                <w:bCs/>
                <w:sz w:val="18"/>
                <w:szCs w:val="18"/>
              </w:rPr>
              <w:t>65.579</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A5842D"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5</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CA80F"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0</w:t>
            </w:r>
          </w:p>
        </w:tc>
        <w:tc>
          <w:tcPr>
            <w:tcW w:w="347" w:type="pct"/>
            <w:tcBorders>
              <w:top w:val="single" w:sz="4" w:space="0" w:color="auto"/>
              <w:left w:val="single" w:sz="4" w:space="0" w:color="auto"/>
              <w:bottom w:val="single" w:sz="4" w:space="0" w:color="auto"/>
              <w:right w:val="single" w:sz="4" w:space="0" w:color="auto"/>
            </w:tcBorders>
            <w:vAlign w:val="center"/>
          </w:tcPr>
          <w:p w14:paraId="4A582F00"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1</w:t>
            </w:r>
          </w:p>
        </w:tc>
      </w:tr>
      <w:tr w:rsidR="00671B63" w:rsidRPr="001B4CA2" w14:paraId="02BF8082" w14:textId="77777777" w:rsidTr="00CE2706">
        <w:trPr>
          <w:trHeight w:val="454"/>
          <w:jc w:val="center"/>
        </w:trPr>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2603F7" w14:textId="77777777" w:rsidR="00671B63" w:rsidRPr="001B4CA2" w:rsidRDefault="00671B63" w:rsidP="00671B63">
            <w:pPr>
              <w:jc w:val="center"/>
              <w:rPr>
                <w:rFonts w:eastAsia="Times New Roman"/>
                <w:bCs/>
                <w:sz w:val="18"/>
                <w:szCs w:val="18"/>
                <w:lang w:eastAsia="hr-HR"/>
              </w:rPr>
            </w:pPr>
            <w:r w:rsidRPr="001B4CA2">
              <w:rPr>
                <w:rFonts w:eastAsia="Times New Roman"/>
                <w:bCs/>
                <w:sz w:val="18"/>
                <w:szCs w:val="18"/>
                <w:lang w:eastAsia="hr-HR"/>
              </w:rPr>
              <w:t>2022.</w:t>
            </w:r>
          </w:p>
        </w:tc>
        <w:tc>
          <w:tcPr>
            <w:tcW w:w="435" w:type="pct"/>
            <w:tcBorders>
              <w:top w:val="single" w:sz="4" w:space="0" w:color="auto"/>
              <w:left w:val="nil"/>
              <w:bottom w:val="single" w:sz="4" w:space="0" w:color="auto"/>
              <w:right w:val="single" w:sz="4" w:space="0" w:color="auto"/>
            </w:tcBorders>
            <w:shd w:val="clear" w:color="auto" w:fill="auto"/>
            <w:noWrap/>
            <w:vAlign w:val="center"/>
          </w:tcPr>
          <w:p w14:paraId="67730726" w14:textId="77777777" w:rsidR="00671B63" w:rsidRPr="001B4CA2" w:rsidRDefault="00671B63" w:rsidP="00671B63">
            <w:pPr>
              <w:jc w:val="center"/>
              <w:rPr>
                <w:bCs/>
                <w:sz w:val="18"/>
                <w:szCs w:val="18"/>
              </w:rPr>
            </w:pPr>
            <w:r w:rsidRPr="001B4CA2">
              <w:rPr>
                <w:bCs/>
                <w:sz w:val="18"/>
                <w:szCs w:val="18"/>
              </w:rPr>
              <w:t>199</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42E636A3" w14:textId="77777777" w:rsidR="00671B63" w:rsidRPr="001B4CA2" w:rsidRDefault="00671B63" w:rsidP="00671B63">
            <w:pPr>
              <w:jc w:val="center"/>
              <w:rPr>
                <w:bCs/>
                <w:sz w:val="18"/>
                <w:szCs w:val="18"/>
              </w:rPr>
            </w:pPr>
            <w:r w:rsidRPr="001B4CA2">
              <w:rPr>
                <w:bCs/>
                <w:sz w:val="18"/>
                <w:szCs w:val="18"/>
              </w:rPr>
              <w:t>90</w:t>
            </w:r>
          </w:p>
        </w:tc>
        <w:tc>
          <w:tcPr>
            <w:tcW w:w="632" w:type="pct"/>
            <w:tcBorders>
              <w:top w:val="single" w:sz="4" w:space="0" w:color="auto"/>
              <w:left w:val="nil"/>
              <w:bottom w:val="single" w:sz="4" w:space="0" w:color="auto"/>
              <w:right w:val="single" w:sz="4" w:space="0" w:color="auto"/>
            </w:tcBorders>
            <w:vAlign w:val="center"/>
          </w:tcPr>
          <w:p w14:paraId="14CAF265" w14:textId="77777777" w:rsidR="00671B63" w:rsidRPr="001B4CA2" w:rsidRDefault="00671B63" w:rsidP="00671B63">
            <w:pPr>
              <w:jc w:val="center"/>
              <w:rPr>
                <w:bCs/>
                <w:sz w:val="18"/>
                <w:szCs w:val="18"/>
              </w:rPr>
            </w:pPr>
            <w:r w:rsidRPr="001B4CA2">
              <w:rPr>
                <w:bCs/>
                <w:sz w:val="18"/>
                <w:szCs w:val="18"/>
              </w:rPr>
              <w:t>59.669</w:t>
            </w:r>
          </w:p>
        </w:tc>
        <w:tc>
          <w:tcPr>
            <w:tcW w:w="3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1C4BD" w14:textId="77777777" w:rsidR="00671B63" w:rsidRPr="001B4CA2" w:rsidRDefault="00671B63" w:rsidP="00671B63">
            <w:pPr>
              <w:jc w:val="center"/>
              <w:rPr>
                <w:bCs/>
                <w:sz w:val="18"/>
                <w:szCs w:val="18"/>
              </w:rPr>
            </w:pPr>
            <w:r w:rsidRPr="001B4CA2">
              <w:rPr>
                <w:bCs/>
                <w:sz w:val="18"/>
                <w:szCs w:val="18"/>
              </w:rPr>
              <w:t>9</w:t>
            </w:r>
          </w:p>
        </w:tc>
        <w:tc>
          <w:tcPr>
            <w:tcW w:w="488" w:type="pct"/>
            <w:tcBorders>
              <w:top w:val="single" w:sz="4" w:space="0" w:color="auto"/>
              <w:left w:val="nil"/>
              <w:bottom w:val="single" w:sz="4" w:space="0" w:color="auto"/>
              <w:right w:val="single" w:sz="4" w:space="0" w:color="auto"/>
            </w:tcBorders>
            <w:vAlign w:val="center"/>
          </w:tcPr>
          <w:p w14:paraId="4CA55B67" w14:textId="77777777" w:rsidR="00671B63" w:rsidRPr="001B4CA2" w:rsidRDefault="00671B63" w:rsidP="00671B63">
            <w:pPr>
              <w:jc w:val="center"/>
              <w:rPr>
                <w:bCs/>
                <w:sz w:val="18"/>
                <w:szCs w:val="18"/>
              </w:rPr>
            </w:pPr>
            <w:r w:rsidRPr="001B4CA2">
              <w:rPr>
                <w:bCs/>
                <w:sz w:val="18"/>
                <w:szCs w:val="18"/>
              </w:rPr>
              <w:t>11.628</w:t>
            </w:r>
          </w:p>
        </w:tc>
        <w:tc>
          <w:tcPr>
            <w:tcW w:w="43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B068F6" w14:textId="77777777" w:rsidR="00671B63" w:rsidRPr="001B4CA2" w:rsidRDefault="00671B63" w:rsidP="00671B63">
            <w:pPr>
              <w:jc w:val="center"/>
              <w:rPr>
                <w:bCs/>
                <w:sz w:val="18"/>
                <w:szCs w:val="18"/>
              </w:rPr>
            </w:pPr>
            <w:r w:rsidRPr="001B4CA2">
              <w:rPr>
                <w:bCs/>
                <w:sz w:val="18"/>
                <w:szCs w:val="18"/>
              </w:rPr>
              <w:t>99</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7B0CF" w14:textId="77777777" w:rsidR="00671B63" w:rsidRPr="001B4CA2" w:rsidRDefault="00671B63" w:rsidP="00671B63">
            <w:pPr>
              <w:jc w:val="center"/>
              <w:rPr>
                <w:bCs/>
                <w:sz w:val="18"/>
                <w:szCs w:val="18"/>
              </w:rPr>
            </w:pPr>
            <w:r w:rsidRPr="001B4CA2">
              <w:rPr>
                <w:bCs/>
                <w:sz w:val="18"/>
                <w:szCs w:val="18"/>
              </w:rPr>
              <w:t>32</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6D063" w14:textId="77777777" w:rsidR="00671B63" w:rsidRPr="001B4CA2" w:rsidRDefault="00671B63" w:rsidP="00671B63">
            <w:pPr>
              <w:jc w:val="center"/>
              <w:rPr>
                <w:bCs/>
                <w:sz w:val="18"/>
                <w:szCs w:val="18"/>
              </w:rPr>
            </w:pPr>
            <w:r w:rsidRPr="001B4CA2">
              <w:rPr>
                <w:bCs/>
                <w:sz w:val="18"/>
                <w:szCs w:val="18"/>
              </w:rPr>
              <w:t>24.981</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541FA"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2</w:t>
            </w:r>
          </w:p>
        </w:tc>
        <w:tc>
          <w:tcPr>
            <w:tcW w:w="22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0EFC3"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0</w:t>
            </w:r>
          </w:p>
        </w:tc>
        <w:tc>
          <w:tcPr>
            <w:tcW w:w="347" w:type="pct"/>
            <w:tcBorders>
              <w:top w:val="single" w:sz="4" w:space="0" w:color="auto"/>
              <w:left w:val="single" w:sz="4" w:space="0" w:color="auto"/>
              <w:bottom w:val="single" w:sz="4" w:space="0" w:color="auto"/>
              <w:right w:val="single" w:sz="4" w:space="0" w:color="auto"/>
            </w:tcBorders>
            <w:vAlign w:val="center"/>
          </w:tcPr>
          <w:p w14:paraId="7AAABA71" w14:textId="77777777" w:rsidR="00671B63" w:rsidRPr="001B4CA2" w:rsidRDefault="00671B63" w:rsidP="00671B63">
            <w:pPr>
              <w:jc w:val="center"/>
              <w:rPr>
                <w:rFonts w:eastAsia="Times New Roman"/>
                <w:sz w:val="18"/>
                <w:szCs w:val="18"/>
                <w:lang w:eastAsia="hr-HR"/>
              </w:rPr>
            </w:pPr>
            <w:r w:rsidRPr="001B4CA2">
              <w:rPr>
                <w:rFonts w:eastAsia="Times New Roman"/>
                <w:sz w:val="18"/>
                <w:szCs w:val="18"/>
                <w:lang w:eastAsia="hr-HR"/>
              </w:rPr>
              <w:t>4</w:t>
            </w:r>
          </w:p>
        </w:tc>
      </w:tr>
    </w:tbl>
    <w:p w14:paraId="62C3E8B9" w14:textId="3B21869C" w:rsidR="00671B63" w:rsidRPr="001B4CA2" w:rsidRDefault="00671B63" w:rsidP="00671B63">
      <w:pPr>
        <w:rPr>
          <w:color w:val="FF0000"/>
          <w:sz w:val="20"/>
          <w:szCs w:val="20"/>
        </w:rPr>
      </w:pPr>
      <w:r w:rsidRPr="001B4CA2">
        <w:rPr>
          <w:color w:val="FF0000"/>
          <w:sz w:val="20"/>
          <w:szCs w:val="20"/>
        </w:rPr>
        <w:t xml:space="preserve">   </w:t>
      </w:r>
    </w:p>
    <w:p w14:paraId="2730B50A" w14:textId="08FB3D03" w:rsidR="00F6521D" w:rsidRPr="001B4CA2" w:rsidRDefault="00F6521D" w:rsidP="00F6521D">
      <w:pPr>
        <w:ind w:firstLine="708"/>
      </w:pPr>
      <w:r w:rsidRPr="001B4CA2">
        <w:lastRenderedPageBreak/>
        <w:t xml:space="preserve">U izvještajnom razdoblju u predstečajnim predmetima državna su </w:t>
      </w:r>
      <w:r w:rsidR="004B1F3B" w:rsidRPr="001B4CA2">
        <w:t xml:space="preserve">odvjetništva </w:t>
      </w:r>
      <w:r w:rsidRPr="001B4CA2">
        <w:t>sudjelovala na 199 ročišta i rasprava, što je u odnosu na 2021. godinu više za 19,16</w:t>
      </w:r>
      <w:r w:rsidR="004B1F3B">
        <w:t> </w:t>
      </w:r>
      <w:r w:rsidRPr="001B4CA2">
        <w:t>%.</w:t>
      </w:r>
    </w:p>
    <w:p w14:paraId="129E07BE" w14:textId="77777777" w:rsidR="00F6521D" w:rsidRPr="001B4CA2" w:rsidRDefault="00F6521D" w:rsidP="00F6521D"/>
    <w:p w14:paraId="539BC5F6" w14:textId="1ADC3E98" w:rsidR="00F6521D" w:rsidRPr="001B4CA2" w:rsidRDefault="00F6521D" w:rsidP="00F6521D">
      <w:pPr>
        <w:ind w:firstLine="708"/>
      </w:pPr>
      <w:r w:rsidRPr="001B4CA2">
        <w:t>Trgovački su sudovi za 90 tražbina države kao vjerovnika donijeli rješenja kojima se te tražbine smatra utvrđenima, i to u iznosu od 59.669.000,00 k</w:t>
      </w:r>
      <w:r w:rsidR="0047537B" w:rsidRPr="001B4CA2">
        <w:t>n</w:t>
      </w:r>
      <w:r w:rsidR="004B1F3B">
        <w:t xml:space="preserve"> </w:t>
      </w:r>
      <w:r w:rsidR="0047537B" w:rsidRPr="001B4CA2">
        <w:t>/ 7.919.437,26 EUR</w:t>
      </w:r>
      <w:r w:rsidRPr="001B4CA2">
        <w:t>, a za 9 tražbina donijeli su rješenja kojima se tražbine smatraju osporenima, i to u iznosu od 11.628.000,00 k</w:t>
      </w:r>
      <w:r w:rsidR="0047537B" w:rsidRPr="001B4CA2">
        <w:t>n</w:t>
      </w:r>
      <w:r w:rsidR="004B1F3B">
        <w:t xml:space="preserve"> </w:t>
      </w:r>
      <w:r w:rsidR="0047537B" w:rsidRPr="001B4CA2">
        <w:t>/</w:t>
      </w:r>
      <w:r w:rsidR="001C297A" w:rsidRPr="001B4CA2">
        <w:t xml:space="preserve"> </w:t>
      </w:r>
      <w:r w:rsidR="0047537B" w:rsidRPr="001B4CA2">
        <w:t>1.543.300,82 EUR</w:t>
      </w:r>
      <w:r w:rsidRPr="001B4CA2">
        <w:t xml:space="preserve">. U 32 predmeta državno je </w:t>
      </w:r>
      <w:r w:rsidR="004B1F3B" w:rsidRPr="001B4CA2">
        <w:t xml:space="preserve">odvjetništvo </w:t>
      </w:r>
      <w:r w:rsidRPr="001B4CA2">
        <w:t>u zastupanju države kao vjerovnika glasalo o prijedlogu Plana restrukturiranja dužnika</w:t>
      </w:r>
      <w:r w:rsidR="004B1F3B">
        <w:t>,</w:t>
      </w:r>
      <w:r w:rsidRPr="001B4CA2">
        <w:t xml:space="preserve"> odnosno o predloženom predstečajnom sporazumu. Ukupno je tijekom razdoblja primljena 61 odluka sudova kojima su potvrđeni predstečajni sporazumi, a u kojima novčane tražbine Republike Hrvatske po sporazumu iznose 24.981.000,00 k</w:t>
      </w:r>
      <w:r w:rsidR="0047537B" w:rsidRPr="001B4CA2">
        <w:t>n</w:t>
      </w:r>
      <w:r w:rsidR="004B1F3B">
        <w:t xml:space="preserve"> </w:t>
      </w:r>
      <w:r w:rsidR="0047537B" w:rsidRPr="001B4CA2">
        <w:t>/</w:t>
      </w:r>
      <w:r w:rsidR="001C297A" w:rsidRPr="001B4CA2">
        <w:t xml:space="preserve"> </w:t>
      </w:r>
      <w:r w:rsidR="0047537B" w:rsidRPr="001B4CA2">
        <w:t>3.315.548,48 EUR</w:t>
      </w:r>
      <w:r w:rsidRPr="001B4CA2">
        <w:t>.</w:t>
      </w:r>
    </w:p>
    <w:p w14:paraId="1A064237" w14:textId="77777777" w:rsidR="00F6521D" w:rsidRPr="001B4CA2" w:rsidRDefault="00F6521D" w:rsidP="00F6521D">
      <w:pPr>
        <w:ind w:firstLine="708"/>
      </w:pPr>
    </w:p>
    <w:p w14:paraId="7D26F545" w14:textId="77777777" w:rsidR="00F6521D" w:rsidRPr="001B4CA2" w:rsidRDefault="00F6521D" w:rsidP="00F6521D">
      <w:pPr>
        <w:ind w:firstLine="708"/>
      </w:pPr>
      <w:r w:rsidRPr="001B4CA2">
        <w:t>Tijekom razdoblja podnesene su 4 tužbe radi utvrđivanja osnovanom u postupku osporene tražbine države kao vjerovnika, odnosno osporavanja tražbina drugih vjerovnika.</w:t>
      </w:r>
    </w:p>
    <w:p w14:paraId="5A9C483C" w14:textId="77777777" w:rsidR="00F6521D" w:rsidRPr="001B4CA2" w:rsidRDefault="00F6521D" w:rsidP="00F6521D">
      <w:pPr>
        <w:ind w:firstLine="708"/>
      </w:pPr>
    </w:p>
    <w:p w14:paraId="388BFC7D" w14:textId="05A1172A" w:rsidR="00F6521D" w:rsidRPr="001B4CA2" w:rsidRDefault="00F6521D" w:rsidP="00F6521D">
      <w:pPr>
        <w:ind w:firstLine="708"/>
      </w:pPr>
      <w:r w:rsidRPr="001B4CA2">
        <w:t>U radu na pre</w:t>
      </w:r>
      <w:r w:rsidR="000545C3">
        <w:t>d</w:t>
      </w:r>
      <w:r w:rsidRPr="001B4CA2">
        <w:t xml:space="preserve">stečajnim predmetima može se primijetiti načelno da dužnici vrlo često predstečajni postupak koriste kako bi izbjegli otvaranje stečaja nad društvom. Naime, dužnici, koji iako kumuliraju odavno dospjela dugovanja prema trećim osobama, u pravilu niti ne obavljaju poslovanje, koriste provođenje statusnih promjena za društva predviđene Zakonom o trgovačkim društvima i Zakonom o sudskom registru (provode se osnivanja novih društava te pripajanja društava dužnika novoosnovanim društvima), a nakon toga predlažu otvaranje predstečajnog postupka prije nego što su nastupili stečajni razlozi. Iako regulatorno tijelo, Financijska agencija, podnosi prijedloge za otvaranje stečajnog postupka jer postoje stečajni razlozi, sudovi u takvim situacijama, kada je ranije primljen prijedlog dužnika za otvaranje predstečajnog postupka, donose rješenja o otvaranju predstečajnih postupaka na temelju činjenica koje su postojale u trenutku podnošenja tog prijedloga, iako su u trenutku donošenja rješenja već nastupili stečajni razlozi. Može se zaključiti da ovdje izostaje kritička analiza stvarnog stanja dužnika od strane sudova, a u postupanju dužnika očita je zlouporaba prava. Međutim, žalbu protiv rješenja o otvaranju predstečajnog postupka ima pravo podnijeti samo dužnik, ali ne i vjerovnici. Također, mora se istaknuti i činjenica da se vrlo često nameće zaključak kako dužnici prijavljivanjem vrlo visokih tražbina povezanih osoba </w:t>
      </w:r>
      <w:r w:rsidRPr="000545C3">
        <w:rPr>
          <w:i/>
          <w:iCs/>
        </w:rPr>
        <w:t>de facto</w:t>
      </w:r>
      <w:r w:rsidRPr="001B4CA2">
        <w:t xml:space="preserve"> upravljaju cijelim predstečajnim postupkom te upitnim ostvarivanjem potrebnih većina realiziraju predstečajni sporazum i umanjuju tražbine vjerovnika koji godinama čekaju namirenje vlastitih potraživanja.</w:t>
      </w:r>
      <w:r w:rsidR="0047537B" w:rsidRPr="001B4CA2">
        <w:t xml:space="preserve"> </w:t>
      </w:r>
      <w:r w:rsidRPr="001B4CA2">
        <w:t xml:space="preserve">Često se stoga nameće zaključak da se radi o jednom netransparentnom postupku koji je nerijetko usmjeren na ostvarivanje drugih interesa dužnika, a ne </w:t>
      </w:r>
      <w:r w:rsidR="000545C3">
        <w:t xml:space="preserve">na </w:t>
      </w:r>
      <w:r w:rsidRPr="001B4CA2">
        <w:t>nastava</w:t>
      </w:r>
      <w:r w:rsidR="000545C3">
        <w:t>k</w:t>
      </w:r>
      <w:r w:rsidRPr="001B4CA2">
        <w:t xml:space="preserve"> poslovanja i reguliranja svojih obveza s vlastitim vjerovnicima.</w:t>
      </w:r>
    </w:p>
    <w:p w14:paraId="00ACA9AD" w14:textId="79C56075" w:rsidR="00671B63" w:rsidRPr="001B4CA2" w:rsidRDefault="00671B63" w:rsidP="00671B63">
      <w:pPr>
        <w:ind w:left="284"/>
        <w:contextualSpacing/>
        <w:jc w:val="left"/>
      </w:pPr>
    </w:p>
    <w:p w14:paraId="24125BE5" w14:textId="77777777" w:rsidR="00F6521D" w:rsidRPr="001B4CA2" w:rsidRDefault="00F6521D" w:rsidP="00671B63">
      <w:pPr>
        <w:ind w:left="284"/>
        <w:contextualSpacing/>
        <w:jc w:val="left"/>
      </w:pPr>
    </w:p>
    <w:p w14:paraId="4D64B9BC" w14:textId="2C364C5F" w:rsidR="00671B63" w:rsidRPr="001B4CA2" w:rsidRDefault="00671B63" w:rsidP="00671B63">
      <w:pPr>
        <w:ind w:left="284"/>
        <w:contextualSpacing/>
        <w:jc w:val="left"/>
      </w:pPr>
    </w:p>
    <w:p w14:paraId="3A1CA1A4" w14:textId="7771F534" w:rsidR="00671B63" w:rsidRPr="001B4CA2" w:rsidRDefault="00671B63" w:rsidP="00671B63">
      <w:pPr>
        <w:ind w:left="284"/>
        <w:contextualSpacing/>
        <w:jc w:val="left"/>
      </w:pPr>
    </w:p>
    <w:p w14:paraId="69D8C9EB" w14:textId="3CC72A4B" w:rsidR="00671B63" w:rsidRPr="001B4CA2" w:rsidRDefault="00671B63" w:rsidP="00671B63">
      <w:pPr>
        <w:ind w:left="284"/>
        <w:contextualSpacing/>
        <w:jc w:val="left"/>
      </w:pPr>
    </w:p>
    <w:p w14:paraId="3FAE44A1" w14:textId="1B8BB5F9" w:rsidR="00671B63" w:rsidRPr="001B4CA2" w:rsidRDefault="00671B63" w:rsidP="00671B63">
      <w:pPr>
        <w:ind w:left="284"/>
        <w:contextualSpacing/>
        <w:jc w:val="left"/>
      </w:pPr>
    </w:p>
    <w:p w14:paraId="59D0D0FF" w14:textId="77777777" w:rsidR="00671B63" w:rsidRPr="001B4CA2" w:rsidRDefault="00671B63" w:rsidP="00671B63">
      <w:pPr>
        <w:ind w:left="284"/>
        <w:contextualSpacing/>
        <w:jc w:val="left"/>
      </w:pPr>
    </w:p>
    <w:p w14:paraId="7080ACF5" w14:textId="77777777" w:rsidR="00F226A4" w:rsidRPr="001B4CA2" w:rsidRDefault="00F226A4" w:rsidP="004A4CAD"/>
    <w:p w14:paraId="3E3D8325" w14:textId="791D37C7" w:rsidR="00BB4D48" w:rsidRPr="001B4CA2" w:rsidRDefault="00A60F77" w:rsidP="0002334C">
      <w:pPr>
        <w:pStyle w:val="Naslov4"/>
        <w:tabs>
          <w:tab w:val="left" w:pos="851"/>
          <w:tab w:val="left" w:pos="1134"/>
        </w:tabs>
        <w:ind w:left="284" w:firstLine="0"/>
        <w:rPr>
          <w:rFonts w:ascii="Arial" w:hAnsi="Arial" w:cs="Arial"/>
        </w:rPr>
      </w:pPr>
      <w:bookmarkStart w:id="96" w:name="_Toc133394353"/>
      <w:r w:rsidRPr="001B4CA2">
        <w:rPr>
          <w:rFonts w:ascii="Arial" w:hAnsi="Arial" w:cs="Arial"/>
        </w:rPr>
        <w:lastRenderedPageBreak/>
        <w:t>Odluke u upravnim sporovima</w:t>
      </w:r>
      <w:bookmarkEnd w:id="96"/>
    </w:p>
    <w:p w14:paraId="4155F928" w14:textId="77777777" w:rsidR="00671B63" w:rsidRPr="001B4CA2" w:rsidRDefault="00671B63" w:rsidP="00671B63"/>
    <w:p w14:paraId="7D60238B" w14:textId="0794584D" w:rsidR="00671B63" w:rsidRPr="001B4CA2" w:rsidRDefault="00BE53D2" w:rsidP="00671B63">
      <w:pPr>
        <w:rPr>
          <w:rFonts w:asciiTheme="minorHAnsi" w:hAnsiTheme="minorHAnsi" w:cstheme="minorBidi"/>
          <w:i/>
          <w:szCs w:val="22"/>
        </w:rPr>
      </w:pPr>
      <w:r w:rsidRPr="001B4CA2">
        <w:rPr>
          <w:i/>
        </w:rPr>
        <w:t xml:space="preserve">a) </w:t>
      </w:r>
      <w:r w:rsidR="00671B63" w:rsidRPr="001B4CA2">
        <w:rPr>
          <w:rFonts w:asciiTheme="minorHAnsi" w:hAnsiTheme="minorHAnsi" w:cstheme="minorBidi"/>
          <w:i/>
          <w:szCs w:val="22"/>
        </w:rPr>
        <w:t>Upravni sporovi 2018.</w:t>
      </w:r>
      <w:r w:rsidR="000545C3">
        <w:rPr>
          <w:rFonts w:asciiTheme="minorHAnsi" w:hAnsiTheme="minorHAnsi" w:cstheme="minorBidi"/>
          <w:i/>
          <w:szCs w:val="22"/>
        </w:rPr>
        <w:t xml:space="preserve"> – </w:t>
      </w:r>
      <w:r w:rsidR="00671B63" w:rsidRPr="001B4CA2">
        <w:rPr>
          <w:rFonts w:asciiTheme="minorHAnsi" w:hAnsiTheme="minorHAnsi" w:cstheme="minorBidi"/>
          <w:i/>
          <w:szCs w:val="22"/>
        </w:rPr>
        <w:t xml:space="preserve">2022.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567"/>
        <w:gridCol w:w="567"/>
        <w:gridCol w:w="496"/>
        <w:gridCol w:w="670"/>
        <w:gridCol w:w="672"/>
        <w:gridCol w:w="670"/>
        <w:gridCol w:w="670"/>
        <w:gridCol w:w="670"/>
        <w:gridCol w:w="617"/>
        <w:gridCol w:w="629"/>
        <w:gridCol w:w="725"/>
        <w:gridCol w:w="567"/>
        <w:gridCol w:w="463"/>
        <w:gridCol w:w="585"/>
      </w:tblGrid>
      <w:tr w:rsidR="00671B63" w:rsidRPr="001B4CA2" w14:paraId="532602B0" w14:textId="77777777" w:rsidTr="00FA50FE">
        <w:trPr>
          <w:trHeight w:val="322"/>
          <w:jc w:val="center"/>
        </w:trPr>
        <w:tc>
          <w:tcPr>
            <w:tcW w:w="617" w:type="dxa"/>
            <w:vMerge w:val="restart"/>
            <w:shd w:val="clear" w:color="000000" w:fill="99CCFF"/>
            <w:noWrap/>
            <w:textDirection w:val="btLr"/>
            <w:vAlign w:val="center"/>
            <w:hideMark/>
          </w:tcPr>
          <w:p w14:paraId="6C40779E" w14:textId="77777777" w:rsidR="00671B63" w:rsidRPr="001B4CA2" w:rsidRDefault="00671B63" w:rsidP="00671B63">
            <w:pPr>
              <w:jc w:val="left"/>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Godina</w:t>
            </w:r>
          </w:p>
        </w:tc>
        <w:tc>
          <w:tcPr>
            <w:tcW w:w="567" w:type="dxa"/>
            <w:vMerge w:val="restart"/>
            <w:shd w:val="clear" w:color="000000" w:fill="99CCFF"/>
            <w:textDirection w:val="btLr"/>
            <w:vAlign w:val="center"/>
            <w:hideMark/>
          </w:tcPr>
          <w:p w14:paraId="0039C670" w14:textId="77777777" w:rsidR="00671B63" w:rsidRPr="001B4CA2" w:rsidRDefault="00671B63" w:rsidP="00671B63">
            <w:pPr>
              <w:jc w:val="left"/>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Ostalo u radu u DO</w:t>
            </w:r>
          </w:p>
        </w:tc>
        <w:tc>
          <w:tcPr>
            <w:tcW w:w="5661" w:type="dxa"/>
            <w:gridSpan w:val="9"/>
            <w:shd w:val="clear" w:color="000000" w:fill="99CCFF"/>
            <w:vAlign w:val="center"/>
            <w:hideMark/>
          </w:tcPr>
          <w:p w14:paraId="437E68AA" w14:textId="77777777" w:rsidR="00671B63" w:rsidRPr="001B4CA2" w:rsidRDefault="00671B63" w:rsidP="00671B63">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 xml:space="preserve">Primljeno novih predmeta </w:t>
            </w:r>
          </w:p>
        </w:tc>
        <w:tc>
          <w:tcPr>
            <w:tcW w:w="725" w:type="dxa"/>
            <w:vMerge w:val="restart"/>
            <w:shd w:val="clear" w:color="000000" w:fill="99CCFF"/>
            <w:textDirection w:val="btLr"/>
            <w:vAlign w:val="center"/>
            <w:hideMark/>
          </w:tcPr>
          <w:p w14:paraId="63822184" w14:textId="77777777" w:rsidR="00671B63" w:rsidRPr="001B4CA2" w:rsidRDefault="00671B63" w:rsidP="00671B63">
            <w:pPr>
              <w:jc w:val="left"/>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Ukupno u radu pred DO</w:t>
            </w:r>
          </w:p>
        </w:tc>
        <w:tc>
          <w:tcPr>
            <w:tcW w:w="567" w:type="dxa"/>
            <w:vMerge w:val="restart"/>
            <w:shd w:val="clear" w:color="000000" w:fill="99CCFF"/>
            <w:textDirection w:val="btLr"/>
            <w:vAlign w:val="center"/>
            <w:hideMark/>
          </w:tcPr>
          <w:p w14:paraId="124CB26D" w14:textId="77777777" w:rsidR="00671B63" w:rsidRPr="001B4CA2" w:rsidRDefault="00671B63" w:rsidP="00671B63">
            <w:pPr>
              <w:jc w:val="left"/>
              <w:rPr>
                <w:rFonts w:asciiTheme="majorHAnsi" w:eastAsia="Times New Roman" w:hAnsiTheme="majorHAnsi" w:cstheme="majorHAnsi"/>
                <w:bCs/>
                <w:color w:val="000000"/>
                <w:sz w:val="18"/>
                <w:szCs w:val="18"/>
                <w:lang w:eastAsia="hr-HR"/>
              </w:rPr>
            </w:pPr>
            <w:r w:rsidRPr="001B4CA2">
              <w:rPr>
                <w:rFonts w:asciiTheme="majorHAnsi" w:eastAsia="Times New Roman" w:hAnsiTheme="majorHAnsi" w:cstheme="majorHAnsi"/>
                <w:bCs/>
                <w:color w:val="000000"/>
                <w:sz w:val="18"/>
                <w:szCs w:val="18"/>
                <w:lang w:eastAsia="hr-HR"/>
              </w:rPr>
              <w:t>Rasprave</w:t>
            </w:r>
          </w:p>
        </w:tc>
        <w:tc>
          <w:tcPr>
            <w:tcW w:w="463" w:type="dxa"/>
            <w:vMerge w:val="restart"/>
            <w:shd w:val="clear" w:color="000000" w:fill="99CCFF"/>
            <w:textDirection w:val="btLr"/>
            <w:vAlign w:val="center"/>
            <w:hideMark/>
          </w:tcPr>
          <w:p w14:paraId="2365C189" w14:textId="77777777" w:rsidR="00671B63" w:rsidRPr="001B4CA2" w:rsidRDefault="00671B63" w:rsidP="00671B63">
            <w:pPr>
              <w:jc w:val="left"/>
              <w:rPr>
                <w:rFonts w:asciiTheme="majorHAnsi" w:eastAsia="Times New Roman" w:hAnsiTheme="majorHAnsi" w:cstheme="majorHAnsi"/>
                <w:bCs/>
                <w:color w:val="000000"/>
                <w:sz w:val="18"/>
                <w:szCs w:val="18"/>
                <w:lang w:eastAsia="hr-HR"/>
              </w:rPr>
            </w:pPr>
            <w:r w:rsidRPr="001B4CA2">
              <w:rPr>
                <w:rFonts w:asciiTheme="majorHAnsi" w:eastAsia="Times New Roman" w:hAnsiTheme="majorHAnsi" w:cstheme="majorHAnsi"/>
                <w:bCs/>
                <w:color w:val="000000"/>
                <w:sz w:val="18"/>
                <w:szCs w:val="18"/>
                <w:lang w:eastAsia="hr-HR"/>
              </w:rPr>
              <w:t>Žalbe DO</w:t>
            </w:r>
          </w:p>
        </w:tc>
        <w:tc>
          <w:tcPr>
            <w:tcW w:w="585" w:type="dxa"/>
            <w:vMerge w:val="restart"/>
            <w:shd w:val="clear" w:color="000000" w:fill="99CCFF"/>
            <w:textDirection w:val="btLr"/>
            <w:vAlign w:val="center"/>
            <w:hideMark/>
          </w:tcPr>
          <w:p w14:paraId="11BE789E" w14:textId="77777777" w:rsidR="00671B63" w:rsidRPr="001B4CA2" w:rsidRDefault="00671B63" w:rsidP="00671B63">
            <w:pPr>
              <w:jc w:val="left"/>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inicijativa za podnošenje ZZIPPP</w:t>
            </w:r>
          </w:p>
        </w:tc>
      </w:tr>
      <w:tr w:rsidR="00671B63" w:rsidRPr="001B4CA2" w14:paraId="75CF5A16" w14:textId="77777777" w:rsidTr="00FA50FE">
        <w:trPr>
          <w:trHeight w:val="322"/>
          <w:jc w:val="center"/>
        </w:trPr>
        <w:tc>
          <w:tcPr>
            <w:tcW w:w="617" w:type="dxa"/>
            <w:vMerge/>
            <w:vAlign w:val="center"/>
            <w:hideMark/>
          </w:tcPr>
          <w:p w14:paraId="74420A1A" w14:textId="77777777" w:rsidR="00671B63" w:rsidRPr="001B4CA2" w:rsidRDefault="00671B63" w:rsidP="00671B63">
            <w:pPr>
              <w:jc w:val="left"/>
              <w:rPr>
                <w:rFonts w:asciiTheme="majorHAnsi" w:eastAsia="Times New Roman" w:hAnsiTheme="majorHAnsi" w:cstheme="majorHAnsi"/>
                <w:b/>
                <w:bCs/>
                <w:color w:val="000000"/>
                <w:sz w:val="16"/>
                <w:szCs w:val="16"/>
                <w:lang w:eastAsia="hr-HR"/>
              </w:rPr>
            </w:pPr>
          </w:p>
        </w:tc>
        <w:tc>
          <w:tcPr>
            <w:tcW w:w="567" w:type="dxa"/>
            <w:vMerge/>
            <w:vAlign w:val="center"/>
            <w:hideMark/>
          </w:tcPr>
          <w:p w14:paraId="248A846D" w14:textId="77777777" w:rsidR="00671B63" w:rsidRPr="001B4CA2" w:rsidRDefault="00671B63" w:rsidP="00671B63">
            <w:pPr>
              <w:jc w:val="left"/>
              <w:rPr>
                <w:rFonts w:asciiTheme="majorHAnsi" w:eastAsia="Times New Roman" w:hAnsiTheme="majorHAnsi" w:cstheme="majorHAnsi"/>
                <w:b/>
                <w:bCs/>
                <w:color w:val="000000"/>
                <w:sz w:val="16"/>
                <w:szCs w:val="16"/>
                <w:lang w:eastAsia="hr-HR"/>
              </w:rPr>
            </w:pPr>
          </w:p>
        </w:tc>
        <w:tc>
          <w:tcPr>
            <w:tcW w:w="2405" w:type="dxa"/>
            <w:gridSpan w:val="4"/>
            <w:shd w:val="clear" w:color="000000" w:fill="99CCFF"/>
            <w:vAlign w:val="center"/>
            <w:hideMark/>
          </w:tcPr>
          <w:p w14:paraId="71072289" w14:textId="77777777" w:rsidR="00671B63" w:rsidRPr="001B4CA2" w:rsidRDefault="00671B63" w:rsidP="00671B63">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Zastupanje po zakonu</w:t>
            </w:r>
          </w:p>
        </w:tc>
        <w:tc>
          <w:tcPr>
            <w:tcW w:w="2627" w:type="dxa"/>
            <w:gridSpan w:val="4"/>
            <w:shd w:val="clear" w:color="000000" w:fill="99CCFF"/>
            <w:vAlign w:val="center"/>
            <w:hideMark/>
          </w:tcPr>
          <w:p w14:paraId="39C4D2E9" w14:textId="77777777" w:rsidR="00671B63" w:rsidRPr="001B4CA2" w:rsidRDefault="00671B63" w:rsidP="00671B63">
            <w:pPr>
              <w:jc w:val="center"/>
              <w:rPr>
                <w:rFonts w:asciiTheme="majorHAnsi" w:eastAsia="Times New Roman" w:hAnsiTheme="majorHAnsi" w:cstheme="majorHAnsi"/>
                <w:b/>
                <w:bCs/>
                <w:color w:val="000000"/>
                <w:sz w:val="18"/>
                <w:szCs w:val="18"/>
                <w:lang w:eastAsia="hr-HR"/>
              </w:rPr>
            </w:pPr>
            <w:r w:rsidRPr="001B4CA2">
              <w:rPr>
                <w:rFonts w:asciiTheme="majorHAnsi" w:eastAsia="Times New Roman" w:hAnsiTheme="majorHAnsi" w:cstheme="majorHAnsi"/>
                <w:b/>
                <w:bCs/>
                <w:color w:val="000000"/>
                <w:sz w:val="18"/>
                <w:szCs w:val="18"/>
                <w:lang w:eastAsia="hr-HR"/>
              </w:rPr>
              <w:t>Zastupanje po punomoći</w:t>
            </w:r>
          </w:p>
        </w:tc>
        <w:tc>
          <w:tcPr>
            <w:tcW w:w="629" w:type="dxa"/>
            <w:vMerge w:val="restart"/>
            <w:shd w:val="clear" w:color="000000" w:fill="99CCFF"/>
            <w:textDirection w:val="btLr"/>
            <w:vAlign w:val="center"/>
            <w:hideMark/>
          </w:tcPr>
          <w:p w14:paraId="4EDC1946" w14:textId="77777777" w:rsidR="00671B63" w:rsidRPr="001B4CA2" w:rsidRDefault="00671B63" w:rsidP="00671B63">
            <w:pPr>
              <w:jc w:val="left"/>
              <w:rPr>
                <w:rFonts w:asciiTheme="majorHAnsi" w:eastAsia="Times New Roman" w:hAnsiTheme="majorHAnsi" w:cstheme="majorHAnsi"/>
                <w:b/>
                <w:color w:val="000000"/>
                <w:sz w:val="18"/>
                <w:szCs w:val="18"/>
                <w:lang w:eastAsia="hr-HR"/>
              </w:rPr>
            </w:pPr>
            <w:r w:rsidRPr="001B4CA2">
              <w:rPr>
                <w:rFonts w:asciiTheme="majorHAnsi" w:eastAsia="Times New Roman" w:hAnsiTheme="majorHAnsi" w:cstheme="majorHAnsi"/>
                <w:b/>
                <w:color w:val="000000"/>
                <w:sz w:val="18"/>
                <w:szCs w:val="18"/>
                <w:lang w:eastAsia="hr-HR"/>
              </w:rPr>
              <w:t>Ukupno primljeno</w:t>
            </w:r>
          </w:p>
        </w:tc>
        <w:tc>
          <w:tcPr>
            <w:tcW w:w="725" w:type="dxa"/>
            <w:vMerge/>
            <w:vAlign w:val="center"/>
            <w:hideMark/>
          </w:tcPr>
          <w:p w14:paraId="6CC26A18" w14:textId="77777777" w:rsidR="00671B63" w:rsidRPr="001B4CA2" w:rsidRDefault="00671B63" w:rsidP="00671B63">
            <w:pPr>
              <w:jc w:val="left"/>
              <w:rPr>
                <w:rFonts w:asciiTheme="majorHAnsi" w:eastAsia="Times New Roman" w:hAnsiTheme="majorHAnsi" w:cstheme="majorHAnsi"/>
                <w:b/>
                <w:bCs/>
                <w:color w:val="000000"/>
                <w:sz w:val="16"/>
                <w:szCs w:val="16"/>
                <w:lang w:eastAsia="hr-HR"/>
              </w:rPr>
            </w:pPr>
          </w:p>
        </w:tc>
        <w:tc>
          <w:tcPr>
            <w:tcW w:w="567" w:type="dxa"/>
            <w:vMerge/>
            <w:vAlign w:val="center"/>
            <w:hideMark/>
          </w:tcPr>
          <w:p w14:paraId="796D087C" w14:textId="77777777" w:rsidR="00671B63" w:rsidRPr="001B4CA2" w:rsidRDefault="00671B63" w:rsidP="00671B63">
            <w:pPr>
              <w:jc w:val="left"/>
              <w:rPr>
                <w:rFonts w:asciiTheme="majorHAnsi" w:eastAsia="Times New Roman" w:hAnsiTheme="majorHAnsi" w:cstheme="majorHAnsi"/>
                <w:b/>
                <w:bCs/>
                <w:color w:val="000000"/>
                <w:sz w:val="16"/>
                <w:szCs w:val="16"/>
                <w:lang w:eastAsia="hr-HR"/>
              </w:rPr>
            </w:pPr>
          </w:p>
        </w:tc>
        <w:tc>
          <w:tcPr>
            <w:tcW w:w="463" w:type="dxa"/>
            <w:vMerge/>
            <w:vAlign w:val="center"/>
            <w:hideMark/>
          </w:tcPr>
          <w:p w14:paraId="66EB814B" w14:textId="77777777" w:rsidR="00671B63" w:rsidRPr="001B4CA2" w:rsidRDefault="00671B63" w:rsidP="00671B63">
            <w:pPr>
              <w:jc w:val="left"/>
              <w:rPr>
                <w:rFonts w:asciiTheme="majorHAnsi" w:eastAsia="Times New Roman" w:hAnsiTheme="majorHAnsi" w:cstheme="majorHAnsi"/>
                <w:b/>
                <w:bCs/>
                <w:color w:val="000000"/>
                <w:sz w:val="16"/>
                <w:szCs w:val="16"/>
                <w:lang w:eastAsia="hr-HR"/>
              </w:rPr>
            </w:pPr>
          </w:p>
        </w:tc>
        <w:tc>
          <w:tcPr>
            <w:tcW w:w="585" w:type="dxa"/>
            <w:vMerge/>
            <w:vAlign w:val="center"/>
            <w:hideMark/>
          </w:tcPr>
          <w:p w14:paraId="73CC0B03" w14:textId="77777777" w:rsidR="00671B63" w:rsidRPr="001B4CA2" w:rsidRDefault="00671B63" w:rsidP="00671B63">
            <w:pPr>
              <w:jc w:val="left"/>
              <w:rPr>
                <w:rFonts w:asciiTheme="majorHAnsi" w:eastAsia="Times New Roman" w:hAnsiTheme="majorHAnsi" w:cstheme="majorHAnsi"/>
                <w:color w:val="000000"/>
                <w:sz w:val="16"/>
                <w:szCs w:val="16"/>
                <w:lang w:eastAsia="hr-HR"/>
              </w:rPr>
            </w:pPr>
          </w:p>
        </w:tc>
      </w:tr>
      <w:tr w:rsidR="00FA50FE" w:rsidRPr="001B4CA2" w14:paraId="675FA2B1" w14:textId="77777777" w:rsidTr="00FA50FE">
        <w:trPr>
          <w:trHeight w:val="1331"/>
          <w:jc w:val="center"/>
        </w:trPr>
        <w:tc>
          <w:tcPr>
            <w:tcW w:w="617" w:type="dxa"/>
            <w:vMerge/>
            <w:vAlign w:val="center"/>
            <w:hideMark/>
          </w:tcPr>
          <w:p w14:paraId="2EC002B1" w14:textId="77777777" w:rsidR="00671B63" w:rsidRPr="001B4CA2" w:rsidRDefault="00671B63" w:rsidP="00671B63">
            <w:pPr>
              <w:jc w:val="left"/>
              <w:rPr>
                <w:rFonts w:asciiTheme="majorHAnsi" w:eastAsia="Times New Roman" w:hAnsiTheme="majorHAnsi" w:cstheme="majorHAnsi"/>
                <w:b/>
                <w:bCs/>
                <w:color w:val="000000"/>
                <w:sz w:val="16"/>
                <w:szCs w:val="16"/>
                <w:lang w:eastAsia="hr-HR"/>
              </w:rPr>
            </w:pPr>
          </w:p>
        </w:tc>
        <w:tc>
          <w:tcPr>
            <w:tcW w:w="567" w:type="dxa"/>
            <w:vMerge/>
            <w:vAlign w:val="center"/>
            <w:hideMark/>
          </w:tcPr>
          <w:p w14:paraId="17340E27" w14:textId="77777777" w:rsidR="00671B63" w:rsidRPr="001B4CA2" w:rsidRDefault="00671B63" w:rsidP="00671B63">
            <w:pPr>
              <w:jc w:val="left"/>
              <w:rPr>
                <w:rFonts w:asciiTheme="majorHAnsi" w:eastAsia="Times New Roman" w:hAnsiTheme="majorHAnsi" w:cstheme="majorHAnsi"/>
                <w:b/>
                <w:bCs/>
                <w:color w:val="000000"/>
                <w:sz w:val="16"/>
                <w:szCs w:val="16"/>
                <w:lang w:eastAsia="hr-HR"/>
              </w:rPr>
            </w:pPr>
          </w:p>
        </w:tc>
        <w:tc>
          <w:tcPr>
            <w:tcW w:w="567" w:type="dxa"/>
            <w:shd w:val="clear" w:color="000000" w:fill="99CCFF"/>
            <w:textDirection w:val="btLr"/>
            <w:vAlign w:val="center"/>
            <w:hideMark/>
          </w:tcPr>
          <w:p w14:paraId="430FBD71" w14:textId="77777777" w:rsidR="00671B63" w:rsidRPr="001B4CA2" w:rsidRDefault="00671B63" w:rsidP="00671B63">
            <w:pPr>
              <w:jc w:val="left"/>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Tužitelj</w:t>
            </w:r>
          </w:p>
        </w:tc>
        <w:tc>
          <w:tcPr>
            <w:tcW w:w="496" w:type="dxa"/>
            <w:shd w:val="clear" w:color="000000" w:fill="99CCFF"/>
            <w:textDirection w:val="btLr"/>
            <w:vAlign w:val="center"/>
            <w:hideMark/>
          </w:tcPr>
          <w:p w14:paraId="4DE378A2" w14:textId="77777777" w:rsidR="00671B63" w:rsidRPr="001B4CA2" w:rsidRDefault="00671B63" w:rsidP="00671B63">
            <w:pPr>
              <w:jc w:val="left"/>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Tuženi</w:t>
            </w:r>
          </w:p>
        </w:tc>
        <w:tc>
          <w:tcPr>
            <w:tcW w:w="670" w:type="dxa"/>
            <w:shd w:val="clear" w:color="000000" w:fill="99CCFF"/>
            <w:textDirection w:val="btLr"/>
            <w:vAlign w:val="center"/>
            <w:hideMark/>
          </w:tcPr>
          <w:p w14:paraId="2A97BDDD" w14:textId="77777777" w:rsidR="00671B63" w:rsidRPr="001B4CA2" w:rsidRDefault="00671B63" w:rsidP="00671B63">
            <w:pPr>
              <w:jc w:val="left"/>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Zainteresirana osoba</w:t>
            </w:r>
          </w:p>
        </w:tc>
        <w:tc>
          <w:tcPr>
            <w:tcW w:w="672" w:type="dxa"/>
            <w:shd w:val="clear" w:color="000000" w:fill="99CCFF"/>
            <w:textDirection w:val="btLr"/>
            <w:vAlign w:val="center"/>
            <w:hideMark/>
          </w:tcPr>
          <w:p w14:paraId="1A5B870D" w14:textId="77777777" w:rsidR="00671B63" w:rsidRPr="001B4CA2" w:rsidRDefault="00671B63" w:rsidP="00671B63">
            <w:pPr>
              <w:jc w:val="left"/>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Ukupno</w:t>
            </w:r>
          </w:p>
        </w:tc>
        <w:tc>
          <w:tcPr>
            <w:tcW w:w="670" w:type="dxa"/>
            <w:shd w:val="clear" w:color="000000" w:fill="99CCFF"/>
            <w:textDirection w:val="btLr"/>
            <w:vAlign w:val="center"/>
            <w:hideMark/>
          </w:tcPr>
          <w:p w14:paraId="4458C74D" w14:textId="77777777" w:rsidR="00671B63" w:rsidRPr="001B4CA2" w:rsidRDefault="00671B63" w:rsidP="00671B63">
            <w:pPr>
              <w:jc w:val="left"/>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Tužitelj</w:t>
            </w:r>
          </w:p>
        </w:tc>
        <w:tc>
          <w:tcPr>
            <w:tcW w:w="670" w:type="dxa"/>
            <w:shd w:val="clear" w:color="000000" w:fill="99CCFF"/>
            <w:textDirection w:val="btLr"/>
            <w:vAlign w:val="center"/>
            <w:hideMark/>
          </w:tcPr>
          <w:p w14:paraId="1CE2BD0D" w14:textId="77777777" w:rsidR="00671B63" w:rsidRPr="001B4CA2" w:rsidRDefault="00671B63" w:rsidP="00671B63">
            <w:pPr>
              <w:jc w:val="left"/>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Tuženi</w:t>
            </w:r>
          </w:p>
        </w:tc>
        <w:tc>
          <w:tcPr>
            <w:tcW w:w="670" w:type="dxa"/>
            <w:shd w:val="clear" w:color="000000" w:fill="99CCFF"/>
            <w:textDirection w:val="btLr"/>
            <w:vAlign w:val="center"/>
            <w:hideMark/>
          </w:tcPr>
          <w:p w14:paraId="417B5AAA" w14:textId="77777777" w:rsidR="00671B63" w:rsidRPr="001B4CA2" w:rsidRDefault="00671B63" w:rsidP="00671B63">
            <w:pPr>
              <w:jc w:val="left"/>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Zainteresirana osoba</w:t>
            </w:r>
          </w:p>
        </w:tc>
        <w:tc>
          <w:tcPr>
            <w:tcW w:w="617" w:type="dxa"/>
            <w:shd w:val="clear" w:color="000000" w:fill="99CCFF"/>
            <w:textDirection w:val="btLr"/>
            <w:vAlign w:val="center"/>
            <w:hideMark/>
          </w:tcPr>
          <w:p w14:paraId="3451F56A" w14:textId="77777777" w:rsidR="00671B63" w:rsidRPr="001B4CA2" w:rsidRDefault="00671B63" w:rsidP="00671B63">
            <w:pPr>
              <w:jc w:val="left"/>
              <w:rPr>
                <w:rFonts w:asciiTheme="majorHAnsi" w:eastAsia="Times New Roman" w:hAnsiTheme="majorHAnsi" w:cstheme="majorHAnsi"/>
                <w:color w:val="000000"/>
                <w:sz w:val="18"/>
                <w:szCs w:val="18"/>
                <w:lang w:eastAsia="hr-HR"/>
              </w:rPr>
            </w:pPr>
            <w:r w:rsidRPr="001B4CA2">
              <w:rPr>
                <w:rFonts w:asciiTheme="majorHAnsi" w:eastAsia="Times New Roman" w:hAnsiTheme="majorHAnsi" w:cstheme="majorHAnsi"/>
                <w:color w:val="000000"/>
                <w:sz w:val="18"/>
                <w:szCs w:val="18"/>
                <w:lang w:eastAsia="hr-HR"/>
              </w:rPr>
              <w:t>Ukupno</w:t>
            </w:r>
          </w:p>
        </w:tc>
        <w:tc>
          <w:tcPr>
            <w:tcW w:w="629" w:type="dxa"/>
            <w:vMerge/>
            <w:vAlign w:val="center"/>
            <w:hideMark/>
          </w:tcPr>
          <w:p w14:paraId="4740AC30" w14:textId="77777777" w:rsidR="00671B63" w:rsidRPr="001B4CA2" w:rsidRDefault="00671B63" w:rsidP="00671B63">
            <w:pPr>
              <w:jc w:val="left"/>
              <w:rPr>
                <w:rFonts w:asciiTheme="majorHAnsi" w:eastAsia="Times New Roman" w:hAnsiTheme="majorHAnsi" w:cstheme="majorHAnsi"/>
                <w:color w:val="000000"/>
                <w:sz w:val="18"/>
                <w:szCs w:val="18"/>
                <w:lang w:eastAsia="hr-HR"/>
              </w:rPr>
            </w:pPr>
          </w:p>
        </w:tc>
        <w:tc>
          <w:tcPr>
            <w:tcW w:w="725" w:type="dxa"/>
            <w:vMerge/>
            <w:vAlign w:val="center"/>
            <w:hideMark/>
          </w:tcPr>
          <w:p w14:paraId="171A8E9F" w14:textId="77777777" w:rsidR="00671B63" w:rsidRPr="001B4CA2" w:rsidRDefault="00671B63" w:rsidP="00671B63">
            <w:pPr>
              <w:jc w:val="left"/>
              <w:rPr>
                <w:rFonts w:asciiTheme="majorHAnsi" w:eastAsia="Times New Roman" w:hAnsiTheme="majorHAnsi" w:cstheme="majorHAnsi"/>
                <w:b/>
                <w:bCs/>
                <w:color w:val="000000"/>
                <w:sz w:val="16"/>
                <w:szCs w:val="16"/>
                <w:lang w:eastAsia="hr-HR"/>
              </w:rPr>
            </w:pPr>
          </w:p>
        </w:tc>
        <w:tc>
          <w:tcPr>
            <w:tcW w:w="567" w:type="dxa"/>
            <w:vMerge/>
            <w:vAlign w:val="center"/>
            <w:hideMark/>
          </w:tcPr>
          <w:p w14:paraId="70DE33CA" w14:textId="77777777" w:rsidR="00671B63" w:rsidRPr="001B4CA2" w:rsidRDefault="00671B63" w:rsidP="00671B63">
            <w:pPr>
              <w:jc w:val="left"/>
              <w:rPr>
                <w:rFonts w:asciiTheme="majorHAnsi" w:eastAsia="Times New Roman" w:hAnsiTheme="majorHAnsi" w:cstheme="majorHAnsi"/>
                <w:b/>
                <w:bCs/>
                <w:color w:val="000000"/>
                <w:sz w:val="16"/>
                <w:szCs w:val="16"/>
                <w:lang w:eastAsia="hr-HR"/>
              </w:rPr>
            </w:pPr>
          </w:p>
        </w:tc>
        <w:tc>
          <w:tcPr>
            <w:tcW w:w="463" w:type="dxa"/>
            <w:vMerge/>
            <w:vAlign w:val="center"/>
            <w:hideMark/>
          </w:tcPr>
          <w:p w14:paraId="1775B7E8" w14:textId="77777777" w:rsidR="00671B63" w:rsidRPr="001B4CA2" w:rsidRDefault="00671B63" w:rsidP="00671B63">
            <w:pPr>
              <w:jc w:val="left"/>
              <w:rPr>
                <w:rFonts w:asciiTheme="majorHAnsi" w:eastAsia="Times New Roman" w:hAnsiTheme="majorHAnsi" w:cstheme="majorHAnsi"/>
                <w:b/>
                <w:bCs/>
                <w:color w:val="000000"/>
                <w:sz w:val="16"/>
                <w:szCs w:val="16"/>
                <w:lang w:eastAsia="hr-HR"/>
              </w:rPr>
            </w:pPr>
          </w:p>
        </w:tc>
        <w:tc>
          <w:tcPr>
            <w:tcW w:w="585" w:type="dxa"/>
            <w:vMerge/>
            <w:vAlign w:val="center"/>
            <w:hideMark/>
          </w:tcPr>
          <w:p w14:paraId="1A1D0BEF" w14:textId="77777777" w:rsidR="00671B63" w:rsidRPr="001B4CA2" w:rsidRDefault="00671B63" w:rsidP="00671B63">
            <w:pPr>
              <w:jc w:val="left"/>
              <w:rPr>
                <w:rFonts w:asciiTheme="majorHAnsi" w:eastAsia="Times New Roman" w:hAnsiTheme="majorHAnsi" w:cstheme="majorHAnsi"/>
                <w:color w:val="000000"/>
                <w:sz w:val="16"/>
                <w:szCs w:val="16"/>
                <w:lang w:eastAsia="hr-HR"/>
              </w:rPr>
            </w:pPr>
          </w:p>
        </w:tc>
      </w:tr>
      <w:tr w:rsidR="00671B63" w:rsidRPr="001B4CA2" w14:paraId="372CBB68" w14:textId="77777777" w:rsidTr="00FA50FE">
        <w:trPr>
          <w:trHeight w:val="397"/>
          <w:jc w:val="center"/>
        </w:trPr>
        <w:tc>
          <w:tcPr>
            <w:tcW w:w="617" w:type="dxa"/>
            <w:shd w:val="clear" w:color="auto" w:fill="auto"/>
            <w:noWrap/>
            <w:vAlign w:val="center"/>
            <w:hideMark/>
          </w:tcPr>
          <w:p w14:paraId="5AF15C75"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2018.</w:t>
            </w:r>
          </w:p>
        </w:tc>
        <w:tc>
          <w:tcPr>
            <w:tcW w:w="567" w:type="dxa"/>
            <w:shd w:val="clear" w:color="auto" w:fill="auto"/>
            <w:noWrap/>
            <w:vAlign w:val="center"/>
          </w:tcPr>
          <w:p w14:paraId="7874CD84" w14:textId="77777777" w:rsidR="00671B63" w:rsidRPr="001B4CA2" w:rsidRDefault="00671B63" w:rsidP="00671B63">
            <w:pPr>
              <w:jc w:val="center"/>
              <w:rPr>
                <w:rFonts w:asciiTheme="majorHAnsi" w:eastAsia="Times New Roman" w:hAnsiTheme="majorHAnsi" w:cstheme="majorHAnsi"/>
                <w:bCs/>
                <w:color w:val="000000"/>
                <w:sz w:val="16"/>
                <w:szCs w:val="16"/>
                <w:lang w:eastAsia="hr-HR"/>
              </w:rPr>
            </w:pPr>
            <w:r w:rsidRPr="001B4CA2">
              <w:rPr>
                <w:rFonts w:asciiTheme="majorHAnsi" w:eastAsia="Times New Roman" w:hAnsiTheme="majorHAnsi" w:cstheme="majorHAnsi"/>
                <w:bCs/>
                <w:color w:val="000000"/>
                <w:sz w:val="16"/>
                <w:szCs w:val="16"/>
                <w:lang w:eastAsia="hr-HR"/>
              </w:rPr>
              <w:t>37</w:t>
            </w:r>
          </w:p>
        </w:tc>
        <w:tc>
          <w:tcPr>
            <w:tcW w:w="567" w:type="dxa"/>
            <w:shd w:val="clear" w:color="auto" w:fill="auto"/>
            <w:noWrap/>
            <w:vAlign w:val="center"/>
          </w:tcPr>
          <w:p w14:paraId="33FD3910"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47</w:t>
            </w:r>
          </w:p>
        </w:tc>
        <w:tc>
          <w:tcPr>
            <w:tcW w:w="496" w:type="dxa"/>
            <w:shd w:val="clear" w:color="auto" w:fill="auto"/>
            <w:noWrap/>
            <w:vAlign w:val="center"/>
          </w:tcPr>
          <w:p w14:paraId="1482FB40"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35</w:t>
            </w:r>
          </w:p>
        </w:tc>
        <w:tc>
          <w:tcPr>
            <w:tcW w:w="670" w:type="dxa"/>
            <w:shd w:val="clear" w:color="auto" w:fill="auto"/>
            <w:noWrap/>
            <w:vAlign w:val="center"/>
          </w:tcPr>
          <w:p w14:paraId="7FED70F5"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224</w:t>
            </w:r>
          </w:p>
        </w:tc>
        <w:tc>
          <w:tcPr>
            <w:tcW w:w="672" w:type="dxa"/>
            <w:shd w:val="clear" w:color="auto" w:fill="auto"/>
            <w:noWrap/>
            <w:vAlign w:val="center"/>
          </w:tcPr>
          <w:p w14:paraId="5313555F"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306</w:t>
            </w:r>
          </w:p>
        </w:tc>
        <w:tc>
          <w:tcPr>
            <w:tcW w:w="670" w:type="dxa"/>
            <w:shd w:val="clear" w:color="auto" w:fill="auto"/>
            <w:noWrap/>
            <w:vAlign w:val="center"/>
          </w:tcPr>
          <w:p w14:paraId="27BF0CC8"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4</w:t>
            </w:r>
          </w:p>
        </w:tc>
        <w:tc>
          <w:tcPr>
            <w:tcW w:w="670" w:type="dxa"/>
            <w:shd w:val="clear" w:color="auto" w:fill="auto"/>
            <w:noWrap/>
            <w:vAlign w:val="center"/>
          </w:tcPr>
          <w:p w14:paraId="675A2461"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234</w:t>
            </w:r>
          </w:p>
        </w:tc>
        <w:tc>
          <w:tcPr>
            <w:tcW w:w="670" w:type="dxa"/>
            <w:shd w:val="clear" w:color="auto" w:fill="auto"/>
            <w:noWrap/>
            <w:vAlign w:val="center"/>
          </w:tcPr>
          <w:p w14:paraId="08328145"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0</w:t>
            </w:r>
          </w:p>
        </w:tc>
        <w:tc>
          <w:tcPr>
            <w:tcW w:w="617" w:type="dxa"/>
            <w:shd w:val="clear" w:color="auto" w:fill="auto"/>
            <w:noWrap/>
            <w:vAlign w:val="center"/>
          </w:tcPr>
          <w:p w14:paraId="1495FA5A"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238</w:t>
            </w:r>
          </w:p>
        </w:tc>
        <w:tc>
          <w:tcPr>
            <w:tcW w:w="629" w:type="dxa"/>
            <w:shd w:val="clear" w:color="auto" w:fill="auto"/>
            <w:noWrap/>
            <w:vAlign w:val="center"/>
          </w:tcPr>
          <w:p w14:paraId="58B210B5" w14:textId="77777777" w:rsidR="00671B63" w:rsidRPr="001B4CA2" w:rsidRDefault="00671B63" w:rsidP="00671B63">
            <w:pPr>
              <w:jc w:val="center"/>
              <w:rPr>
                <w:rFonts w:asciiTheme="majorHAnsi" w:eastAsia="Times New Roman" w:hAnsiTheme="majorHAnsi" w:cstheme="majorHAnsi"/>
                <w:bCs/>
                <w:color w:val="000000"/>
                <w:sz w:val="16"/>
                <w:szCs w:val="16"/>
                <w:lang w:eastAsia="hr-HR"/>
              </w:rPr>
            </w:pPr>
            <w:r w:rsidRPr="001B4CA2">
              <w:rPr>
                <w:rFonts w:asciiTheme="majorHAnsi" w:eastAsia="Times New Roman" w:hAnsiTheme="majorHAnsi" w:cstheme="majorHAnsi"/>
                <w:bCs/>
                <w:color w:val="000000"/>
                <w:sz w:val="16"/>
                <w:szCs w:val="16"/>
                <w:lang w:eastAsia="hr-HR"/>
              </w:rPr>
              <w:t>544</w:t>
            </w:r>
          </w:p>
        </w:tc>
        <w:tc>
          <w:tcPr>
            <w:tcW w:w="725" w:type="dxa"/>
            <w:shd w:val="clear" w:color="auto" w:fill="auto"/>
            <w:noWrap/>
            <w:vAlign w:val="center"/>
          </w:tcPr>
          <w:p w14:paraId="4237CA91" w14:textId="77777777" w:rsidR="00671B63" w:rsidRPr="001B4CA2" w:rsidRDefault="00671B63" w:rsidP="00671B63">
            <w:pPr>
              <w:jc w:val="center"/>
              <w:rPr>
                <w:rFonts w:asciiTheme="majorHAnsi" w:eastAsia="Times New Roman" w:hAnsiTheme="majorHAnsi" w:cstheme="majorHAnsi"/>
                <w:bCs/>
                <w:color w:val="000000"/>
                <w:sz w:val="16"/>
                <w:szCs w:val="16"/>
                <w:lang w:eastAsia="hr-HR"/>
              </w:rPr>
            </w:pPr>
            <w:r w:rsidRPr="001B4CA2">
              <w:rPr>
                <w:rFonts w:asciiTheme="majorHAnsi" w:eastAsia="Times New Roman" w:hAnsiTheme="majorHAnsi" w:cstheme="majorHAnsi"/>
                <w:bCs/>
                <w:color w:val="000000"/>
                <w:sz w:val="16"/>
                <w:szCs w:val="16"/>
                <w:lang w:eastAsia="hr-HR"/>
              </w:rPr>
              <w:t>581</w:t>
            </w:r>
          </w:p>
        </w:tc>
        <w:tc>
          <w:tcPr>
            <w:tcW w:w="567" w:type="dxa"/>
            <w:shd w:val="clear" w:color="auto" w:fill="auto"/>
            <w:noWrap/>
            <w:vAlign w:val="center"/>
          </w:tcPr>
          <w:p w14:paraId="7162FC35" w14:textId="77777777" w:rsidR="00671B63" w:rsidRPr="001B4CA2" w:rsidRDefault="00671B63" w:rsidP="00671B63">
            <w:pPr>
              <w:jc w:val="center"/>
              <w:rPr>
                <w:rFonts w:asciiTheme="majorHAnsi" w:eastAsia="Times New Roman" w:hAnsiTheme="majorHAnsi" w:cstheme="majorHAnsi"/>
                <w:bCs/>
                <w:color w:val="000000"/>
                <w:sz w:val="16"/>
                <w:szCs w:val="16"/>
                <w:lang w:eastAsia="hr-HR"/>
              </w:rPr>
            </w:pPr>
            <w:r w:rsidRPr="001B4CA2">
              <w:rPr>
                <w:rFonts w:asciiTheme="majorHAnsi" w:eastAsia="Times New Roman" w:hAnsiTheme="majorHAnsi" w:cstheme="majorHAnsi"/>
                <w:bCs/>
                <w:color w:val="000000"/>
                <w:sz w:val="16"/>
                <w:szCs w:val="16"/>
                <w:lang w:eastAsia="hr-HR"/>
              </w:rPr>
              <w:t>348</w:t>
            </w:r>
          </w:p>
        </w:tc>
        <w:tc>
          <w:tcPr>
            <w:tcW w:w="463" w:type="dxa"/>
            <w:shd w:val="clear" w:color="auto" w:fill="auto"/>
            <w:vAlign w:val="center"/>
          </w:tcPr>
          <w:p w14:paraId="7D726DCB"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43</w:t>
            </w:r>
          </w:p>
        </w:tc>
        <w:tc>
          <w:tcPr>
            <w:tcW w:w="585" w:type="dxa"/>
            <w:shd w:val="clear" w:color="auto" w:fill="auto"/>
            <w:vAlign w:val="center"/>
          </w:tcPr>
          <w:p w14:paraId="29EAFE5B"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w:t>
            </w:r>
          </w:p>
        </w:tc>
      </w:tr>
      <w:tr w:rsidR="00671B63" w:rsidRPr="001B4CA2" w14:paraId="7001AEFC" w14:textId="77777777" w:rsidTr="00FA50FE">
        <w:trPr>
          <w:trHeight w:val="397"/>
          <w:jc w:val="center"/>
        </w:trPr>
        <w:tc>
          <w:tcPr>
            <w:tcW w:w="617" w:type="dxa"/>
            <w:shd w:val="clear" w:color="auto" w:fill="auto"/>
            <w:noWrap/>
            <w:vAlign w:val="center"/>
            <w:hideMark/>
          </w:tcPr>
          <w:p w14:paraId="4A1E5029"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2019.</w:t>
            </w:r>
          </w:p>
        </w:tc>
        <w:tc>
          <w:tcPr>
            <w:tcW w:w="567" w:type="dxa"/>
            <w:shd w:val="clear" w:color="auto" w:fill="auto"/>
            <w:noWrap/>
            <w:vAlign w:val="center"/>
          </w:tcPr>
          <w:p w14:paraId="07F60466" w14:textId="77777777" w:rsidR="00671B63" w:rsidRPr="001B4CA2" w:rsidRDefault="00671B63" w:rsidP="00671B63">
            <w:pPr>
              <w:jc w:val="center"/>
              <w:rPr>
                <w:rFonts w:asciiTheme="majorHAnsi" w:eastAsia="Times New Roman" w:hAnsiTheme="majorHAnsi" w:cstheme="majorHAnsi"/>
                <w:bCs/>
                <w:color w:val="000000"/>
                <w:sz w:val="16"/>
                <w:szCs w:val="16"/>
                <w:lang w:eastAsia="hr-HR"/>
              </w:rPr>
            </w:pPr>
            <w:r w:rsidRPr="001B4CA2">
              <w:rPr>
                <w:rFonts w:asciiTheme="majorHAnsi" w:eastAsia="Times New Roman" w:hAnsiTheme="majorHAnsi" w:cstheme="majorHAnsi"/>
                <w:bCs/>
                <w:color w:val="000000"/>
                <w:sz w:val="16"/>
                <w:szCs w:val="16"/>
                <w:lang w:eastAsia="hr-HR"/>
              </w:rPr>
              <w:t>32</w:t>
            </w:r>
          </w:p>
        </w:tc>
        <w:tc>
          <w:tcPr>
            <w:tcW w:w="567" w:type="dxa"/>
            <w:shd w:val="clear" w:color="auto" w:fill="auto"/>
            <w:noWrap/>
            <w:vAlign w:val="center"/>
          </w:tcPr>
          <w:p w14:paraId="041365D2"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36</w:t>
            </w:r>
          </w:p>
        </w:tc>
        <w:tc>
          <w:tcPr>
            <w:tcW w:w="496" w:type="dxa"/>
            <w:shd w:val="clear" w:color="auto" w:fill="auto"/>
            <w:noWrap/>
            <w:vAlign w:val="center"/>
          </w:tcPr>
          <w:p w14:paraId="7735D592"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20</w:t>
            </w:r>
          </w:p>
        </w:tc>
        <w:tc>
          <w:tcPr>
            <w:tcW w:w="670" w:type="dxa"/>
            <w:shd w:val="clear" w:color="auto" w:fill="auto"/>
            <w:noWrap/>
            <w:vAlign w:val="center"/>
          </w:tcPr>
          <w:p w14:paraId="674F294A"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169</w:t>
            </w:r>
          </w:p>
        </w:tc>
        <w:tc>
          <w:tcPr>
            <w:tcW w:w="672" w:type="dxa"/>
            <w:shd w:val="clear" w:color="auto" w:fill="auto"/>
            <w:noWrap/>
            <w:vAlign w:val="center"/>
          </w:tcPr>
          <w:p w14:paraId="62EFE169"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225</w:t>
            </w:r>
          </w:p>
        </w:tc>
        <w:tc>
          <w:tcPr>
            <w:tcW w:w="670" w:type="dxa"/>
            <w:shd w:val="clear" w:color="auto" w:fill="auto"/>
            <w:noWrap/>
            <w:vAlign w:val="center"/>
          </w:tcPr>
          <w:p w14:paraId="27A757B5"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11</w:t>
            </w:r>
          </w:p>
        </w:tc>
        <w:tc>
          <w:tcPr>
            <w:tcW w:w="670" w:type="dxa"/>
            <w:shd w:val="clear" w:color="auto" w:fill="auto"/>
            <w:noWrap/>
            <w:vAlign w:val="center"/>
          </w:tcPr>
          <w:p w14:paraId="59DC7712"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148</w:t>
            </w:r>
          </w:p>
        </w:tc>
        <w:tc>
          <w:tcPr>
            <w:tcW w:w="670" w:type="dxa"/>
            <w:shd w:val="clear" w:color="auto" w:fill="auto"/>
            <w:noWrap/>
            <w:vAlign w:val="center"/>
          </w:tcPr>
          <w:p w14:paraId="79D0CFD7"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0</w:t>
            </w:r>
          </w:p>
        </w:tc>
        <w:tc>
          <w:tcPr>
            <w:tcW w:w="617" w:type="dxa"/>
            <w:shd w:val="clear" w:color="auto" w:fill="auto"/>
            <w:noWrap/>
            <w:vAlign w:val="center"/>
          </w:tcPr>
          <w:p w14:paraId="5AC2774C"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159</w:t>
            </w:r>
          </w:p>
        </w:tc>
        <w:tc>
          <w:tcPr>
            <w:tcW w:w="629" w:type="dxa"/>
            <w:shd w:val="clear" w:color="auto" w:fill="auto"/>
            <w:noWrap/>
            <w:vAlign w:val="center"/>
          </w:tcPr>
          <w:p w14:paraId="716772C0" w14:textId="77777777" w:rsidR="00671B63" w:rsidRPr="001B4CA2" w:rsidRDefault="00671B63" w:rsidP="00671B63">
            <w:pPr>
              <w:jc w:val="center"/>
              <w:rPr>
                <w:rFonts w:asciiTheme="majorHAnsi" w:eastAsia="Times New Roman" w:hAnsiTheme="majorHAnsi" w:cstheme="majorHAnsi"/>
                <w:bCs/>
                <w:color w:val="000000"/>
                <w:sz w:val="16"/>
                <w:szCs w:val="16"/>
                <w:lang w:eastAsia="hr-HR"/>
              </w:rPr>
            </w:pPr>
            <w:r w:rsidRPr="001B4CA2">
              <w:rPr>
                <w:rFonts w:asciiTheme="majorHAnsi" w:eastAsia="Times New Roman" w:hAnsiTheme="majorHAnsi" w:cstheme="majorHAnsi"/>
                <w:bCs/>
                <w:color w:val="000000"/>
                <w:sz w:val="16"/>
                <w:szCs w:val="16"/>
                <w:lang w:eastAsia="hr-HR"/>
              </w:rPr>
              <w:t>384</w:t>
            </w:r>
          </w:p>
        </w:tc>
        <w:tc>
          <w:tcPr>
            <w:tcW w:w="725" w:type="dxa"/>
            <w:shd w:val="clear" w:color="auto" w:fill="auto"/>
            <w:noWrap/>
            <w:vAlign w:val="center"/>
          </w:tcPr>
          <w:p w14:paraId="28AA2F48" w14:textId="77777777" w:rsidR="00671B63" w:rsidRPr="001B4CA2" w:rsidRDefault="00671B63" w:rsidP="00671B63">
            <w:pPr>
              <w:jc w:val="center"/>
              <w:rPr>
                <w:rFonts w:asciiTheme="majorHAnsi" w:eastAsia="Times New Roman" w:hAnsiTheme="majorHAnsi" w:cstheme="majorHAnsi"/>
                <w:bCs/>
                <w:color w:val="000000"/>
                <w:sz w:val="16"/>
                <w:szCs w:val="16"/>
                <w:lang w:eastAsia="hr-HR"/>
              </w:rPr>
            </w:pPr>
            <w:r w:rsidRPr="001B4CA2">
              <w:rPr>
                <w:rFonts w:asciiTheme="majorHAnsi" w:eastAsia="Times New Roman" w:hAnsiTheme="majorHAnsi" w:cstheme="majorHAnsi"/>
                <w:bCs/>
                <w:color w:val="000000"/>
                <w:sz w:val="16"/>
                <w:szCs w:val="16"/>
                <w:lang w:eastAsia="hr-HR"/>
              </w:rPr>
              <w:t>416</w:t>
            </w:r>
          </w:p>
        </w:tc>
        <w:tc>
          <w:tcPr>
            <w:tcW w:w="567" w:type="dxa"/>
            <w:shd w:val="clear" w:color="auto" w:fill="auto"/>
            <w:noWrap/>
            <w:vAlign w:val="center"/>
          </w:tcPr>
          <w:p w14:paraId="23E496A1" w14:textId="77777777" w:rsidR="00671B63" w:rsidRPr="001B4CA2" w:rsidRDefault="00671B63" w:rsidP="00671B63">
            <w:pPr>
              <w:jc w:val="center"/>
              <w:rPr>
                <w:rFonts w:asciiTheme="majorHAnsi" w:eastAsia="Times New Roman" w:hAnsiTheme="majorHAnsi" w:cstheme="majorHAnsi"/>
                <w:bCs/>
                <w:color w:val="000000"/>
                <w:sz w:val="16"/>
                <w:szCs w:val="16"/>
                <w:lang w:eastAsia="hr-HR"/>
              </w:rPr>
            </w:pPr>
            <w:r w:rsidRPr="001B4CA2">
              <w:rPr>
                <w:rFonts w:asciiTheme="majorHAnsi" w:eastAsia="Times New Roman" w:hAnsiTheme="majorHAnsi" w:cstheme="majorHAnsi"/>
                <w:bCs/>
                <w:color w:val="000000"/>
                <w:sz w:val="16"/>
                <w:szCs w:val="16"/>
                <w:lang w:eastAsia="hr-HR"/>
              </w:rPr>
              <w:t>457</w:t>
            </w:r>
          </w:p>
        </w:tc>
        <w:tc>
          <w:tcPr>
            <w:tcW w:w="463" w:type="dxa"/>
            <w:shd w:val="clear" w:color="auto" w:fill="auto"/>
            <w:vAlign w:val="center"/>
          </w:tcPr>
          <w:p w14:paraId="13735E2E"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34</w:t>
            </w:r>
          </w:p>
        </w:tc>
        <w:tc>
          <w:tcPr>
            <w:tcW w:w="585" w:type="dxa"/>
            <w:shd w:val="clear" w:color="auto" w:fill="auto"/>
            <w:vAlign w:val="center"/>
          </w:tcPr>
          <w:p w14:paraId="4BF0CD52"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w:t>
            </w:r>
          </w:p>
        </w:tc>
      </w:tr>
      <w:tr w:rsidR="00671B63" w:rsidRPr="001B4CA2" w14:paraId="7F4B115B" w14:textId="77777777" w:rsidTr="00FA50FE">
        <w:trPr>
          <w:trHeight w:val="397"/>
          <w:jc w:val="center"/>
        </w:trPr>
        <w:tc>
          <w:tcPr>
            <w:tcW w:w="617" w:type="dxa"/>
            <w:shd w:val="clear" w:color="auto" w:fill="auto"/>
            <w:noWrap/>
            <w:vAlign w:val="center"/>
            <w:hideMark/>
          </w:tcPr>
          <w:p w14:paraId="0BA2DE7B"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2020.</w:t>
            </w:r>
          </w:p>
        </w:tc>
        <w:tc>
          <w:tcPr>
            <w:tcW w:w="567" w:type="dxa"/>
            <w:shd w:val="clear" w:color="auto" w:fill="auto"/>
            <w:noWrap/>
            <w:vAlign w:val="center"/>
          </w:tcPr>
          <w:p w14:paraId="023DBB93"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24</w:t>
            </w:r>
          </w:p>
        </w:tc>
        <w:tc>
          <w:tcPr>
            <w:tcW w:w="567" w:type="dxa"/>
            <w:shd w:val="clear" w:color="auto" w:fill="auto"/>
            <w:noWrap/>
            <w:vAlign w:val="center"/>
          </w:tcPr>
          <w:p w14:paraId="1551B44C"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21</w:t>
            </w:r>
          </w:p>
        </w:tc>
        <w:tc>
          <w:tcPr>
            <w:tcW w:w="496" w:type="dxa"/>
            <w:shd w:val="clear" w:color="auto" w:fill="auto"/>
            <w:noWrap/>
            <w:vAlign w:val="center"/>
          </w:tcPr>
          <w:p w14:paraId="7A7E7C6F"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7</w:t>
            </w:r>
          </w:p>
        </w:tc>
        <w:tc>
          <w:tcPr>
            <w:tcW w:w="670" w:type="dxa"/>
            <w:shd w:val="clear" w:color="auto" w:fill="auto"/>
            <w:noWrap/>
            <w:vAlign w:val="center"/>
          </w:tcPr>
          <w:p w14:paraId="6178A156"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163</w:t>
            </w:r>
          </w:p>
        </w:tc>
        <w:tc>
          <w:tcPr>
            <w:tcW w:w="672" w:type="dxa"/>
            <w:shd w:val="clear" w:color="auto" w:fill="auto"/>
            <w:noWrap/>
            <w:vAlign w:val="center"/>
          </w:tcPr>
          <w:p w14:paraId="6BD2598C"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191</w:t>
            </w:r>
          </w:p>
        </w:tc>
        <w:tc>
          <w:tcPr>
            <w:tcW w:w="670" w:type="dxa"/>
            <w:shd w:val="clear" w:color="auto" w:fill="auto"/>
            <w:noWrap/>
            <w:vAlign w:val="center"/>
          </w:tcPr>
          <w:p w14:paraId="7FC252FB"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11</w:t>
            </w:r>
          </w:p>
        </w:tc>
        <w:tc>
          <w:tcPr>
            <w:tcW w:w="670" w:type="dxa"/>
            <w:shd w:val="clear" w:color="auto" w:fill="auto"/>
            <w:noWrap/>
            <w:vAlign w:val="center"/>
          </w:tcPr>
          <w:p w14:paraId="5CF66297"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180</w:t>
            </w:r>
          </w:p>
        </w:tc>
        <w:tc>
          <w:tcPr>
            <w:tcW w:w="670" w:type="dxa"/>
            <w:shd w:val="clear" w:color="auto" w:fill="auto"/>
            <w:noWrap/>
            <w:vAlign w:val="center"/>
          </w:tcPr>
          <w:p w14:paraId="73311AFC"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2</w:t>
            </w:r>
          </w:p>
        </w:tc>
        <w:tc>
          <w:tcPr>
            <w:tcW w:w="617" w:type="dxa"/>
            <w:shd w:val="clear" w:color="auto" w:fill="auto"/>
            <w:noWrap/>
            <w:vAlign w:val="center"/>
          </w:tcPr>
          <w:p w14:paraId="3DE53779"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193</w:t>
            </w:r>
          </w:p>
        </w:tc>
        <w:tc>
          <w:tcPr>
            <w:tcW w:w="629" w:type="dxa"/>
            <w:shd w:val="clear" w:color="auto" w:fill="auto"/>
            <w:noWrap/>
            <w:vAlign w:val="center"/>
          </w:tcPr>
          <w:p w14:paraId="1D8DF59A"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384</w:t>
            </w:r>
          </w:p>
        </w:tc>
        <w:tc>
          <w:tcPr>
            <w:tcW w:w="725" w:type="dxa"/>
            <w:shd w:val="clear" w:color="auto" w:fill="auto"/>
            <w:noWrap/>
            <w:vAlign w:val="center"/>
          </w:tcPr>
          <w:p w14:paraId="6A13C3D9"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408</w:t>
            </w:r>
          </w:p>
        </w:tc>
        <w:tc>
          <w:tcPr>
            <w:tcW w:w="567" w:type="dxa"/>
            <w:shd w:val="clear" w:color="auto" w:fill="auto"/>
            <w:noWrap/>
            <w:vAlign w:val="center"/>
          </w:tcPr>
          <w:p w14:paraId="134D50CC"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246</w:t>
            </w:r>
          </w:p>
        </w:tc>
        <w:tc>
          <w:tcPr>
            <w:tcW w:w="463" w:type="dxa"/>
            <w:shd w:val="clear" w:color="auto" w:fill="auto"/>
            <w:vAlign w:val="center"/>
          </w:tcPr>
          <w:p w14:paraId="18216A58"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29</w:t>
            </w:r>
          </w:p>
        </w:tc>
        <w:tc>
          <w:tcPr>
            <w:tcW w:w="585" w:type="dxa"/>
            <w:shd w:val="clear" w:color="auto" w:fill="auto"/>
            <w:vAlign w:val="center"/>
          </w:tcPr>
          <w:p w14:paraId="54F96957"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0</w:t>
            </w:r>
          </w:p>
        </w:tc>
      </w:tr>
      <w:tr w:rsidR="00671B63" w:rsidRPr="001B4CA2" w14:paraId="4AA627E0" w14:textId="77777777" w:rsidTr="00FA50FE">
        <w:trPr>
          <w:trHeight w:val="397"/>
          <w:jc w:val="center"/>
        </w:trPr>
        <w:tc>
          <w:tcPr>
            <w:tcW w:w="617" w:type="dxa"/>
            <w:shd w:val="clear" w:color="auto" w:fill="auto"/>
            <w:noWrap/>
            <w:vAlign w:val="center"/>
          </w:tcPr>
          <w:p w14:paraId="7DE5DFB1"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2021.</w:t>
            </w:r>
          </w:p>
        </w:tc>
        <w:tc>
          <w:tcPr>
            <w:tcW w:w="567" w:type="dxa"/>
            <w:shd w:val="clear" w:color="auto" w:fill="auto"/>
            <w:noWrap/>
            <w:vAlign w:val="center"/>
          </w:tcPr>
          <w:p w14:paraId="76C39171"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20</w:t>
            </w:r>
          </w:p>
        </w:tc>
        <w:tc>
          <w:tcPr>
            <w:tcW w:w="567" w:type="dxa"/>
            <w:shd w:val="clear" w:color="auto" w:fill="auto"/>
            <w:noWrap/>
            <w:vAlign w:val="center"/>
          </w:tcPr>
          <w:p w14:paraId="47AF9DE7"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41</w:t>
            </w:r>
          </w:p>
        </w:tc>
        <w:tc>
          <w:tcPr>
            <w:tcW w:w="496" w:type="dxa"/>
            <w:shd w:val="clear" w:color="auto" w:fill="auto"/>
            <w:noWrap/>
            <w:vAlign w:val="center"/>
          </w:tcPr>
          <w:p w14:paraId="37497884"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6</w:t>
            </w:r>
          </w:p>
        </w:tc>
        <w:tc>
          <w:tcPr>
            <w:tcW w:w="670" w:type="dxa"/>
            <w:shd w:val="clear" w:color="auto" w:fill="auto"/>
            <w:noWrap/>
            <w:vAlign w:val="center"/>
          </w:tcPr>
          <w:p w14:paraId="18A13261"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267</w:t>
            </w:r>
          </w:p>
        </w:tc>
        <w:tc>
          <w:tcPr>
            <w:tcW w:w="672" w:type="dxa"/>
            <w:shd w:val="clear" w:color="auto" w:fill="auto"/>
            <w:noWrap/>
            <w:vAlign w:val="center"/>
          </w:tcPr>
          <w:p w14:paraId="7B165F38"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314</w:t>
            </w:r>
          </w:p>
        </w:tc>
        <w:tc>
          <w:tcPr>
            <w:tcW w:w="670" w:type="dxa"/>
            <w:shd w:val="clear" w:color="auto" w:fill="auto"/>
            <w:noWrap/>
            <w:vAlign w:val="center"/>
          </w:tcPr>
          <w:p w14:paraId="244FD916"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2</w:t>
            </w:r>
          </w:p>
        </w:tc>
        <w:tc>
          <w:tcPr>
            <w:tcW w:w="670" w:type="dxa"/>
            <w:shd w:val="clear" w:color="auto" w:fill="auto"/>
            <w:noWrap/>
            <w:vAlign w:val="center"/>
          </w:tcPr>
          <w:p w14:paraId="2647F0A5"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1.175</w:t>
            </w:r>
          </w:p>
        </w:tc>
        <w:tc>
          <w:tcPr>
            <w:tcW w:w="670" w:type="dxa"/>
            <w:shd w:val="clear" w:color="auto" w:fill="auto"/>
            <w:noWrap/>
            <w:vAlign w:val="center"/>
          </w:tcPr>
          <w:p w14:paraId="30E7A0A4"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w:t>
            </w:r>
          </w:p>
        </w:tc>
        <w:tc>
          <w:tcPr>
            <w:tcW w:w="617" w:type="dxa"/>
            <w:shd w:val="clear" w:color="auto" w:fill="auto"/>
            <w:noWrap/>
            <w:vAlign w:val="center"/>
          </w:tcPr>
          <w:p w14:paraId="410A7DFB"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1.177</w:t>
            </w:r>
          </w:p>
        </w:tc>
        <w:tc>
          <w:tcPr>
            <w:tcW w:w="629" w:type="dxa"/>
            <w:shd w:val="clear" w:color="auto" w:fill="auto"/>
            <w:noWrap/>
            <w:vAlign w:val="center"/>
          </w:tcPr>
          <w:p w14:paraId="4A8FEE2F"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1.491</w:t>
            </w:r>
          </w:p>
        </w:tc>
        <w:tc>
          <w:tcPr>
            <w:tcW w:w="725" w:type="dxa"/>
            <w:shd w:val="clear" w:color="auto" w:fill="auto"/>
            <w:noWrap/>
            <w:vAlign w:val="center"/>
          </w:tcPr>
          <w:p w14:paraId="0EB15F6A"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1.511</w:t>
            </w:r>
          </w:p>
        </w:tc>
        <w:tc>
          <w:tcPr>
            <w:tcW w:w="567" w:type="dxa"/>
            <w:shd w:val="clear" w:color="auto" w:fill="auto"/>
            <w:noWrap/>
            <w:vAlign w:val="center"/>
          </w:tcPr>
          <w:p w14:paraId="45A60CEC"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179</w:t>
            </w:r>
          </w:p>
        </w:tc>
        <w:tc>
          <w:tcPr>
            <w:tcW w:w="463" w:type="dxa"/>
            <w:shd w:val="clear" w:color="auto" w:fill="auto"/>
            <w:vAlign w:val="center"/>
          </w:tcPr>
          <w:p w14:paraId="0E4A820B"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21</w:t>
            </w:r>
          </w:p>
        </w:tc>
        <w:tc>
          <w:tcPr>
            <w:tcW w:w="585" w:type="dxa"/>
            <w:shd w:val="clear" w:color="auto" w:fill="auto"/>
            <w:vAlign w:val="center"/>
          </w:tcPr>
          <w:p w14:paraId="5B6B9E56"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5</w:t>
            </w:r>
          </w:p>
        </w:tc>
      </w:tr>
      <w:tr w:rsidR="00671B63" w:rsidRPr="001B4CA2" w14:paraId="08F352EB" w14:textId="77777777" w:rsidTr="00FA50FE">
        <w:trPr>
          <w:trHeight w:val="397"/>
          <w:jc w:val="center"/>
        </w:trPr>
        <w:tc>
          <w:tcPr>
            <w:tcW w:w="617" w:type="dxa"/>
            <w:shd w:val="clear" w:color="auto" w:fill="auto"/>
            <w:noWrap/>
            <w:vAlign w:val="center"/>
          </w:tcPr>
          <w:p w14:paraId="6354A606"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2022.</w:t>
            </w:r>
          </w:p>
        </w:tc>
        <w:tc>
          <w:tcPr>
            <w:tcW w:w="567" w:type="dxa"/>
            <w:shd w:val="clear" w:color="auto" w:fill="auto"/>
            <w:noWrap/>
            <w:vAlign w:val="center"/>
          </w:tcPr>
          <w:p w14:paraId="4172125D"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29</w:t>
            </w:r>
          </w:p>
        </w:tc>
        <w:tc>
          <w:tcPr>
            <w:tcW w:w="567" w:type="dxa"/>
            <w:shd w:val="clear" w:color="auto" w:fill="auto"/>
            <w:noWrap/>
            <w:vAlign w:val="center"/>
          </w:tcPr>
          <w:p w14:paraId="50375FFD"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47</w:t>
            </w:r>
          </w:p>
        </w:tc>
        <w:tc>
          <w:tcPr>
            <w:tcW w:w="496" w:type="dxa"/>
            <w:shd w:val="clear" w:color="auto" w:fill="auto"/>
            <w:noWrap/>
            <w:vAlign w:val="center"/>
          </w:tcPr>
          <w:p w14:paraId="776A3D74"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15</w:t>
            </w:r>
          </w:p>
        </w:tc>
        <w:tc>
          <w:tcPr>
            <w:tcW w:w="670" w:type="dxa"/>
            <w:shd w:val="clear" w:color="auto" w:fill="auto"/>
            <w:noWrap/>
            <w:vAlign w:val="center"/>
          </w:tcPr>
          <w:p w14:paraId="41C49575"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239</w:t>
            </w:r>
          </w:p>
        </w:tc>
        <w:tc>
          <w:tcPr>
            <w:tcW w:w="672" w:type="dxa"/>
            <w:shd w:val="clear" w:color="auto" w:fill="auto"/>
            <w:noWrap/>
            <w:vAlign w:val="center"/>
          </w:tcPr>
          <w:p w14:paraId="2DA68F55"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301</w:t>
            </w:r>
          </w:p>
        </w:tc>
        <w:tc>
          <w:tcPr>
            <w:tcW w:w="670" w:type="dxa"/>
            <w:shd w:val="clear" w:color="auto" w:fill="auto"/>
            <w:noWrap/>
            <w:vAlign w:val="center"/>
          </w:tcPr>
          <w:p w14:paraId="69D583F2"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w:t>
            </w:r>
          </w:p>
        </w:tc>
        <w:tc>
          <w:tcPr>
            <w:tcW w:w="670" w:type="dxa"/>
            <w:shd w:val="clear" w:color="auto" w:fill="auto"/>
            <w:noWrap/>
            <w:vAlign w:val="center"/>
          </w:tcPr>
          <w:p w14:paraId="3F33D379"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241</w:t>
            </w:r>
          </w:p>
        </w:tc>
        <w:tc>
          <w:tcPr>
            <w:tcW w:w="670" w:type="dxa"/>
            <w:shd w:val="clear" w:color="auto" w:fill="auto"/>
            <w:noWrap/>
            <w:vAlign w:val="center"/>
          </w:tcPr>
          <w:p w14:paraId="4244ACC3"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7</w:t>
            </w:r>
          </w:p>
        </w:tc>
        <w:tc>
          <w:tcPr>
            <w:tcW w:w="617" w:type="dxa"/>
            <w:shd w:val="clear" w:color="auto" w:fill="auto"/>
            <w:noWrap/>
            <w:vAlign w:val="center"/>
          </w:tcPr>
          <w:p w14:paraId="5FA48C94"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248</w:t>
            </w:r>
          </w:p>
        </w:tc>
        <w:tc>
          <w:tcPr>
            <w:tcW w:w="629" w:type="dxa"/>
            <w:shd w:val="clear" w:color="auto" w:fill="auto"/>
            <w:noWrap/>
            <w:vAlign w:val="center"/>
          </w:tcPr>
          <w:p w14:paraId="46B1FE81"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549</w:t>
            </w:r>
          </w:p>
        </w:tc>
        <w:tc>
          <w:tcPr>
            <w:tcW w:w="725" w:type="dxa"/>
            <w:shd w:val="clear" w:color="auto" w:fill="auto"/>
            <w:noWrap/>
            <w:vAlign w:val="center"/>
          </w:tcPr>
          <w:p w14:paraId="357D748E" w14:textId="77777777" w:rsidR="00671B63" w:rsidRPr="001B4CA2" w:rsidRDefault="00671B63" w:rsidP="00671B63">
            <w:pPr>
              <w:jc w:val="center"/>
              <w:rPr>
                <w:rFonts w:asciiTheme="majorHAnsi" w:hAnsiTheme="majorHAnsi" w:cstheme="majorHAnsi"/>
                <w:bCs/>
                <w:sz w:val="16"/>
                <w:szCs w:val="16"/>
              </w:rPr>
            </w:pPr>
            <w:r w:rsidRPr="001B4CA2">
              <w:rPr>
                <w:rFonts w:asciiTheme="majorHAnsi" w:hAnsiTheme="majorHAnsi" w:cstheme="majorHAnsi"/>
                <w:bCs/>
                <w:sz w:val="16"/>
                <w:szCs w:val="16"/>
              </w:rPr>
              <w:t>578</w:t>
            </w:r>
          </w:p>
        </w:tc>
        <w:tc>
          <w:tcPr>
            <w:tcW w:w="567" w:type="dxa"/>
            <w:shd w:val="clear" w:color="auto" w:fill="auto"/>
            <w:noWrap/>
            <w:vAlign w:val="center"/>
          </w:tcPr>
          <w:p w14:paraId="28ED2F53"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198</w:t>
            </w:r>
          </w:p>
        </w:tc>
        <w:tc>
          <w:tcPr>
            <w:tcW w:w="463" w:type="dxa"/>
            <w:shd w:val="clear" w:color="auto" w:fill="auto"/>
            <w:vAlign w:val="center"/>
          </w:tcPr>
          <w:p w14:paraId="2E3D3E6C"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49</w:t>
            </w:r>
          </w:p>
        </w:tc>
        <w:tc>
          <w:tcPr>
            <w:tcW w:w="585" w:type="dxa"/>
            <w:shd w:val="clear" w:color="auto" w:fill="auto"/>
            <w:vAlign w:val="center"/>
          </w:tcPr>
          <w:p w14:paraId="7E9082B5" w14:textId="77777777" w:rsidR="00671B63" w:rsidRPr="001B4CA2" w:rsidRDefault="00671B63" w:rsidP="00671B63">
            <w:pPr>
              <w:jc w:val="center"/>
              <w:rPr>
                <w:rFonts w:asciiTheme="majorHAnsi" w:eastAsia="Times New Roman" w:hAnsiTheme="majorHAnsi" w:cstheme="majorHAnsi"/>
                <w:color w:val="000000"/>
                <w:sz w:val="16"/>
                <w:szCs w:val="16"/>
                <w:lang w:eastAsia="hr-HR"/>
              </w:rPr>
            </w:pPr>
            <w:r w:rsidRPr="001B4CA2">
              <w:rPr>
                <w:rFonts w:asciiTheme="majorHAnsi" w:eastAsia="Times New Roman" w:hAnsiTheme="majorHAnsi" w:cstheme="majorHAnsi"/>
                <w:color w:val="000000"/>
                <w:sz w:val="16"/>
                <w:szCs w:val="16"/>
                <w:lang w:eastAsia="hr-HR"/>
              </w:rPr>
              <w:t>2</w:t>
            </w:r>
          </w:p>
        </w:tc>
      </w:tr>
    </w:tbl>
    <w:p w14:paraId="79C0A9E7" w14:textId="77777777" w:rsidR="00671B63" w:rsidRPr="001B4CA2" w:rsidRDefault="00671B63" w:rsidP="00671B63">
      <w:pPr>
        <w:ind w:left="-142"/>
        <w:rPr>
          <w:sz w:val="20"/>
          <w:szCs w:val="20"/>
        </w:rPr>
      </w:pPr>
    </w:p>
    <w:p w14:paraId="7A655C36" w14:textId="77777777" w:rsidR="00671B63" w:rsidRPr="001B4CA2" w:rsidRDefault="00671B63" w:rsidP="00671B63">
      <w:pPr>
        <w:ind w:left="-142"/>
        <w:rPr>
          <w:sz w:val="20"/>
          <w:szCs w:val="20"/>
        </w:rPr>
      </w:pPr>
    </w:p>
    <w:p w14:paraId="47627EAE" w14:textId="2ABC16D6" w:rsidR="00F6521D" w:rsidRPr="001B4CA2" w:rsidRDefault="00F6521D" w:rsidP="00F6521D">
      <w:pPr>
        <w:ind w:firstLine="708"/>
      </w:pPr>
      <w:r w:rsidRPr="001B4CA2">
        <w:t>U izvještajnoj godini bilo je zaprimljeno ukupno 549 predmeta upravnih sporova. Smanjenje broja ove vrste predmeta već je uvodno izložena, a razlog je činjenica iznimno visokog broja primljenih upravnih sporova u 2021. godini</w:t>
      </w:r>
      <w:r w:rsidR="006141C3">
        <w:t>,</w:t>
      </w:r>
      <w:r w:rsidRPr="001B4CA2">
        <w:t xml:space="preserve"> i to u zastupanju Ministarstva hrvatskih branitelja kao tuženog tijela na temelju izdane punomoći Županijskom državnom odvjetništvu u Splitu, Rijeci i Osijeku za zastupanje tog tijela pred Upravnim sudom u Splitu, Upravnim sudom u Rijeci i Upravnim sudom u Osijeku.</w:t>
      </w:r>
    </w:p>
    <w:p w14:paraId="28A2A364" w14:textId="77777777" w:rsidR="00F6521D" w:rsidRPr="001B4CA2" w:rsidRDefault="00F6521D" w:rsidP="00F6521D"/>
    <w:p w14:paraId="0263066D" w14:textId="77777777" w:rsidR="00F6521D" w:rsidRPr="001B4CA2" w:rsidRDefault="00F6521D" w:rsidP="00F6521D">
      <w:pPr>
        <w:ind w:firstLine="708"/>
      </w:pPr>
      <w:r w:rsidRPr="001B4CA2">
        <w:t>Od ukupnog broja ovih predmeta (549) državno odvjetništvo zastupalo je po zakonu u 301 predmetu (54,82 %), a po punomoći zastupalo je u 248 predmeta (45,18 %).</w:t>
      </w:r>
    </w:p>
    <w:p w14:paraId="2BFA47EF" w14:textId="77777777" w:rsidR="00F6521D" w:rsidRPr="001B4CA2" w:rsidRDefault="00F6521D" w:rsidP="00F6521D">
      <w:pPr>
        <w:ind w:firstLine="708"/>
      </w:pPr>
    </w:p>
    <w:p w14:paraId="3BA6687B" w14:textId="77777777" w:rsidR="00F6521D" w:rsidRPr="001B4CA2" w:rsidRDefault="00F6521D" w:rsidP="00F6521D">
      <w:r w:rsidRPr="001B4CA2">
        <w:tab/>
        <w:t>U upravnim sporovima državno odvjetništvo po zakonu zastupa Vladu Republike Hrvatske kao javnopravno tijelo, stranku u sporu.</w:t>
      </w:r>
    </w:p>
    <w:p w14:paraId="7A02FA31" w14:textId="77777777" w:rsidR="00F6521D" w:rsidRPr="001B4CA2" w:rsidRDefault="00F6521D" w:rsidP="00F6521D"/>
    <w:p w14:paraId="5F451CE4" w14:textId="77777777" w:rsidR="00F6521D" w:rsidRPr="001B4CA2" w:rsidRDefault="00F6521D" w:rsidP="00F6521D">
      <w:pPr>
        <w:ind w:firstLine="708"/>
      </w:pPr>
      <w:r w:rsidRPr="001B4CA2">
        <w:t>U upravnim sporovima državno odvjetništvo na temelju punomoći zastupa tužena javnopravna tijela, i to osim Ministarstva hrvatskih branitelja, još i Ministarstvo prostornoga uređenja, graditeljstva i državne imovine, Ministarstvo financija, Ministarstvo znanosti i obrazovanja, Ministarstvo obrane i Ministarstvo gospodarstva i održivog razvoja.</w:t>
      </w:r>
    </w:p>
    <w:p w14:paraId="797230AA" w14:textId="77777777" w:rsidR="00F6521D" w:rsidRPr="001B4CA2" w:rsidRDefault="00F6521D" w:rsidP="00F6521D">
      <w:pPr>
        <w:tabs>
          <w:tab w:val="left" w:pos="4030"/>
        </w:tabs>
      </w:pPr>
    </w:p>
    <w:p w14:paraId="2CC1E1CB" w14:textId="1E50F9DF" w:rsidR="00F6521D" w:rsidRPr="001B4CA2" w:rsidRDefault="00F6521D" w:rsidP="00F6521D">
      <w:pPr>
        <w:ind w:firstLine="708"/>
      </w:pPr>
      <w:r w:rsidRPr="001B4CA2">
        <w:t xml:space="preserve">Državno je odvjetništvo u ovim predmetima imalo 301 predmet zastupanja po zakonu, od kojih je u 15,61 % predmeta na strani tužitelja, u 4,99 % predmeta na strani tuženika i u 79,40 % predmeta kao zainteresirana osoba radi zaštite javnog interesa. U zaštiti javnog interesa ili kao stranka </w:t>
      </w:r>
      <w:proofErr w:type="spellStart"/>
      <w:r w:rsidRPr="006141C3">
        <w:rPr>
          <w:i/>
          <w:iCs/>
        </w:rPr>
        <w:t>sui</w:t>
      </w:r>
      <w:proofErr w:type="spellEnd"/>
      <w:r w:rsidRPr="006141C3">
        <w:rPr>
          <w:i/>
          <w:iCs/>
        </w:rPr>
        <w:t xml:space="preserve"> generis</w:t>
      </w:r>
      <w:r w:rsidRPr="001B4CA2">
        <w:t xml:space="preserve"> državno je </w:t>
      </w:r>
      <w:r w:rsidR="006141C3" w:rsidRPr="001B4CA2">
        <w:t xml:space="preserve">odvjetništvo </w:t>
      </w:r>
      <w:r w:rsidRPr="001B4CA2">
        <w:t>u izvještajnom razdoblju pokrenulo 32 upravna spora.</w:t>
      </w:r>
    </w:p>
    <w:p w14:paraId="2500024A" w14:textId="77777777" w:rsidR="00F6521D" w:rsidRPr="001B4CA2" w:rsidRDefault="00F6521D" w:rsidP="00F6521D"/>
    <w:p w14:paraId="078FAB17" w14:textId="57686FC0" w:rsidR="00F6521D" w:rsidRPr="001B4CA2" w:rsidRDefault="00F6521D" w:rsidP="00F6521D">
      <w:pPr>
        <w:ind w:firstLine="708"/>
      </w:pPr>
      <w:r w:rsidRPr="001B4CA2">
        <w:t>Iako sukladno odredbi čl. 36. Zakona o upravnim sporovima sud može presudom riješiti spor bez rasprave u zakonom pr</w:t>
      </w:r>
      <w:r w:rsidR="0020162B" w:rsidRPr="001B4CA2">
        <w:t>o</w:t>
      </w:r>
      <w:r w:rsidRPr="001B4CA2">
        <w:t xml:space="preserve">pisanim slučajevima, državno </w:t>
      </w:r>
      <w:r w:rsidR="006141C3" w:rsidRPr="001B4CA2">
        <w:t xml:space="preserve">je </w:t>
      </w:r>
      <w:r w:rsidRPr="001B4CA2">
        <w:t xml:space="preserve">odvjetništvo tijekom izvještajnog razdoblja zastupalo na ukupno 198 rasprava, što je u odnosu na 2021. godinu povećanje od 10,61 %. </w:t>
      </w:r>
    </w:p>
    <w:p w14:paraId="2DA337B8" w14:textId="6B4D49C9" w:rsidR="00F6521D" w:rsidRPr="001B4CA2" w:rsidRDefault="00F6521D" w:rsidP="00F6521D">
      <w:pPr>
        <w:ind w:firstLine="708"/>
        <w:rPr>
          <w:sz w:val="20"/>
          <w:szCs w:val="20"/>
        </w:rPr>
      </w:pPr>
      <w:r w:rsidRPr="001B4CA2">
        <w:lastRenderedPageBreak/>
        <w:t>Tijekom 2022. godine izjavljeno je 49 pravnih lijekova na odluke sudova donesene u upravim sporovima. U usporedbi s prethodnim razdobljem broj izjavljenih pravnih lijekova povećan je za 133,33 %. R</w:t>
      </w:r>
      <w:r w:rsidR="006141C3">
        <w:t>iječ je</w:t>
      </w:r>
      <w:r w:rsidRPr="001B4CA2">
        <w:t xml:space="preserve"> mahom o predmetima u kojima državno odvjetništvo sudjeluje kao stranka </w:t>
      </w:r>
      <w:proofErr w:type="spellStart"/>
      <w:r w:rsidRPr="006141C3">
        <w:rPr>
          <w:i/>
          <w:iCs/>
        </w:rPr>
        <w:t>sui</w:t>
      </w:r>
      <w:proofErr w:type="spellEnd"/>
      <w:r w:rsidRPr="006141C3">
        <w:rPr>
          <w:i/>
          <w:iCs/>
        </w:rPr>
        <w:t xml:space="preserve"> generis</w:t>
      </w:r>
      <w:r w:rsidRPr="001B4CA2">
        <w:t xml:space="preserve"> u zaštiti javnog interesa, u upravnim sporovima koji se odnose na postupke denacionalizacije. Žalbe su izjavljene zbog pogrešne primjene materijalnog prava od strane sudova i upravnih tijela koja u upravnom postupku rješavaju predmete povrata imovine.</w:t>
      </w:r>
    </w:p>
    <w:p w14:paraId="6BA7A602" w14:textId="77777777" w:rsidR="00671B63" w:rsidRPr="001B4CA2" w:rsidRDefault="00671B63" w:rsidP="00671B63"/>
    <w:p w14:paraId="0AF01714" w14:textId="55C5A84D" w:rsidR="00671B63" w:rsidRPr="001B4CA2" w:rsidRDefault="001B4CA2" w:rsidP="00EE6BA4">
      <w:pPr>
        <w:jc w:val="left"/>
        <w:rPr>
          <w:i/>
          <w:szCs w:val="22"/>
        </w:rPr>
      </w:pPr>
      <w:r>
        <w:rPr>
          <w:rFonts w:asciiTheme="minorHAnsi" w:hAnsiTheme="minorHAnsi" w:cstheme="minorBidi"/>
          <w:i/>
          <w:szCs w:val="22"/>
        </w:rPr>
        <w:tab/>
      </w:r>
      <w:r w:rsidR="00EE6BA4" w:rsidRPr="001B4CA2">
        <w:rPr>
          <w:rFonts w:asciiTheme="minorHAnsi" w:hAnsiTheme="minorHAnsi" w:cstheme="minorBidi"/>
          <w:i/>
          <w:szCs w:val="22"/>
        </w:rPr>
        <w:t xml:space="preserve">b) </w:t>
      </w:r>
      <w:r w:rsidR="00671B63" w:rsidRPr="001B4CA2">
        <w:rPr>
          <w:rFonts w:asciiTheme="minorHAnsi" w:hAnsiTheme="minorHAnsi" w:cstheme="minorBidi"/>
          <w:i/>
          <w:szCs w:val="22"/>
        </w:rPr>
        <w:t>Upravni sporovi – odluke DO i sudova 2018.</w:t>
      </w:r>
      <w:r w:rsidR="006141C3">
        <w:rPr>
          <w:rFonts w:asciiTheme="minorHAnsi" w:hAnsiTheme="minorHAnsi" w:cstheme="minorBidi"/>
          <w:i/>
          <w:szCs w:val="22"/>
        </w:rPr>
        <w:t xml:space="preserve"> – </w:t>
      </w:r>
      <w:r w:rsidR="00671B63" w:rsidRPr="001B4CA2">
        <w:rPr>
          <w:rFonts w:asciiTheme="minorHAnsi" w:hAnsiTheme="minorHAnsi" w:cstheme="minorBidi"/>
          <w:i/>
          <w:szCs w:val="22"/>
        </w:rPr>
        <w:t xml:space="preserve">2022. </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4A0" w:firstRow="1" w:lastRow="0" w:firstColumn="1" w:lastColumn="0" w:noHBand="0" w:noVBand="1"/>
      </w:tblPr>
      <w:tblGrid>
        <w:gridCol w:w="776"/>
        <w:gridCol w:w="616"/>
        <w:gridCol w:w="616"/>
        <w:gridCol w:w="616"/>
        <w:gridCol w:w="616"/>
        <w:gridCol w:w="667"/>
        <w:gridCol w:w="713"/>
        <w:gridCol w:w="667"/>
        <w:gridCol w:w="763"/>
        <w:gridCol w:w="804"/>
        <w:gridCol w:w="804"/>
        <w:gridCol w:w="7"/>
        <w:gridCol w:w="577"/>
        <w:gridCol w:w="691"/>
      </w:tblGrid>
      <w:tr w:rsidR="00671B63" w:rsidRPr="001B4CA2" w14:paraId="7765CA74" w14:textId="77777777" w:rsidTr="00FA50FE">
        <w:trPr>
          <w:trHeight w:val="471"/>
          <w:jc w:val="center"/>
        </w:trPr>
        <w:tc>
          <w:tcPr>
            <w:tcW w:w="434" w:type="pct"/>
            <w:vMerge w:val="restart"/>
            <w:shd w:val="clear" w:color="auto" w:fill="99CCFF"/>
            <w:noWrap/>
            <w:textDirection w:val="btLr"/>
            <w:vAlign w:val="center"/>
            <w:hideMark/>
          </w:tcPr>
          <w:p w14:paraId="37B2122A" w14:textId="77777777" w:rsidR="00671B63" w:rsidRPr="001B4CA2" w:rsidRDefault="00671B63" w:rsidP="00671B63">
            <w:pPr>
              <w:ind w:right="113"/>
              <w:jc w:val="left"/>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Godina</w:t>
            </w:r>
          </w:p>
        </w:tc>
        <w:tc>
          <w:tcPr>
            <w:tcW w:w="2151" w:type="pct"/>
            <w:gridSpan w:val="6"/>
            <w:shd w:val="clear" w:color="auto" w:fill="99CCFF"/>
            <w:noWrap/>
            <w:vAlign w:val="center"/>
            <w:hideMark/>
          </w:tcPr>
          <w:p w14:paraId="456F9C11" w14:textId="77777777" w:rsidR="00671B63" w:rsidRPr="001B4CA2" w:rsidRDefault="00671B63" w:rsidP="00671B63">
            <w:pPr>
              <w:jc w:val="center"/>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sz w:val="18"/>
                <w:szCs w:val="18"/>
                <w:lang w:eastAsia="hr-HR"/>
              </w:rPr>
              <w:t>Odluke DO</w:t>
            </w:r>
            <w:r w:rsidRPr="001B4CA2">
              <w:rPr>
                <w:rFonts w:asciiTheme="minorHAnsi" w:hAnsiTheme="minorHAnsi" w:cstheme="minorHAnsi"/>
                <w:b/>
                <w:sz w:val="18"/>
                <w:szCs w:val="18"/>
              </w:rPr>
              <w:t>-a</w:t>
            </w:r>
          </w:p>
        </w:tc>
        <w:tc>
          <w:tcPr>
            <w:tcW w:w="373" w:type="pct"/>
            <w:vMerge w:val="restart"/>
            <w:shd w:val="clear" w:color="auto" w:fill="99CCFF"/>
            <w:textDirection w:val="btLr"/>
            <w:vAlign w:val="center"/>
            <w:hideMark/>
          </w:tcPr>
          <w:p w14:paraId="65C3049A" w14:textId="77777777" w:rsidR="00671B63" w:rsidRPr="001B4CA2" w:rsidRDefault="00671B63" w:rsidP="00671B63">
            <w:pPr>
              <w:jc w:val="left"/>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sz w:val="18"/>
                <w:szCs w:val="18"/>
                <w:lang w:eastAsia="hr-HR"/>
              </w:rPr>
              <w:t xml:space="preserve">Ukupno donesenih odluka </w:t>
            </w:r>
          </w:p>
        </w:tc>
        <w:tc>
          <w:tcPr>
            <w:tcW w:w="1653" w:type="pct"/>
            <w:gridSpan w:val="5"/>
            <w:vMerge w:val="restart"/>
            <w:shd w:val="clear" w:color="auto" w:fill="99CCFF"/>
            <w:vAlign w:val="center"/>
            <w:hideMark/>
          </w:tcPr>
          <w:p w14:paraId="05946C47" w14:textId="77777777" w:rsidR="00671B63" w:rsidRPr="001B4CA2" w:rsidRDefault="00671B63" w:rsidP="00671B63">
            <w:pPr>
              <w:jc w:val="center"/>
              <w:rPr>
                <w:rFonts w:asciiTheme="minorHAnsi" w:eastAsia="Times New Roman" w:hAnsiTheme="minorHAnsi" w:cstheme="minorHAnsi"/>
                <w:b/>
                <w:bCs/>
                <w:color w:val="000000" w:themeColor="text1"/>
                <w:sz w:val="18"/>
                <w:szCs w:val="18"/>
                <w:lang w:eastAsia="hr-HR"/>
              </w:rPr>
            </w:pPr>
          </w:p>
          <w:p w14:paraId="2A0A9B96" w14:textId="7F43BEB6" w:rsidR="00671B63" w:rsidRPr="001B4CA2" w:rsidRDefault="00671B63" w:rsidP="00671B63">
            <w:pPr>
              <w:jc w:val="center"/>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color w:val="000000" w:themeColor="text1"/>
                <w:sz w:val="18"/>
                <w:szCs w:val="18"/>
                <w:lang w:eastAsia="hr-HR"/>
              </w:rPr>
              <w:t>Odluke suda</w:t>
            </w:r>
            <w:r w:rsidRPr="001B4CA2">
              <w:rPr>
                <w:rFonts w:asciiTheme="minorHAnsi" w:hAnsiTheme="minorHAnsi" w:cstheme="minorHAnsi"/>
                <w:color w:val="000000" w:themeColor="text1"/>
                <w:sz w:val="18"/>
                <w:szCs w:val="18"/>
              </w:rPr>
              <w:t xml:space="preserve"> </w:t>
            </w:r>
            <w:r w:rsidRPr="001B4CA2">
              <w:rPr>
                <w:rFonts w:asciiTheme="minorHAnsi" w:eastAsia="Times New Roman" w:hAnsiTheme="minorHAnsi" w:cstheme="minorHAnsi"/>
                <w:b/>
                <w:bCs/>
                <w:color w:val="000000" w:themeColor="text1"/>
                <w:sz w:val="18"/>
                <w:szCs w:val="18"/>
                <w:lang w:eastAsia="hr-HR"/>
              </w:rPr>
              <w:t>za stranku koju zastupa DO (RH/DO tužitelj/tuženik)</w:t>
            </w:r>
          </w:p>
          <w:p w14:paraId="73FFA161" w14:textId="77777777" w:rsidR="00671B63" w:rsidRPr="001B4CA2" w:rsidRDefault="00671B63" w:rsidP="00671B63">
            <w:pPr>
              <w:jc w:val="center"/>
              <w:rPr>
                <w:rFonts w:asciiTheme="minorHAnsi" w:eastAsia="Times New Roman" w:hAnsiTheme="minorHAnsi" w:cstheme="minorHAnsi"/>
                <w:b/>
                <w:bCs/>
                <w:sz w:val="18"/>
                <w:szCs w:val="18"/>
                <w:lang w:eastAsia="hr-HR"/>
              </w:rPr>
            </w:pPr>
          </w:p>
        </w:tc>
        <w:tc>
          <w:tcPr>
            <w:tcW w:w="388" w:type="pct"/>
            <w:vMerge w:val="restart"/>
            <w:shd w:val="clear" w:color="auto" w:fill="99CCFF"/>
            <w:textDirection w:val="btLr"/>
            <w:vAlign w:val="center"/>
            <w:hideMark/>
          </w:tcPr>
          <w:p w14:paraId="30DF08EA" w14:textId="77777777" w:rsidR="00671B63" w:rsidRPr="001B4CA2" w:rsidRDefault="00671B63" w:rsidP="00671B63">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Postupci u kojima nije donijeta I-</w:t>
            </w:r>
            <w:proofErr w:type="spellStart"/>
            <w:r w:rsidRPr="001B4CA2">
              <w:rPr>
                <w:rFonts w:asciiTheme="minorHAnsi" w:eastAsia="Times New Roman" w:hAnsiTheme="minorHAnsi" w:cstheme="minorHAnsi"/>
                <w:bCs/>
                <w:sz w:val="18"/>
                <w:szCs w:val="18"/>
                <w:lang w:eastAsia="hr-HR"/>
              </w:rPr>
              <w:t>stup.presuda</w:t>
            </w:r>
            <w:proofErr w:type="spellEnd"/>
          </w:p>
        </w:tc>
      </w:tr>
      <w:tr w:rsidR="00671B63" w:rsidRPr="001B4CA2" w14:paraId="78CC4EB4" w14:textId="77777777" w:rsidTr="00FA50FE">
        <w:trPr>
          <w:trHeight w:val="439"/>
          <w:jc w:val="center"/>
        </w:trPr>
        <w:tc>
          <w:tcPr>
            <w:tcW w:w="434" w:type="pct"/>
            <w:vMerge/>
            <w:shd w:val="clear" w:color="auto" w:fill="99CCFF"/>
            <w:vAlign w:val="center"/>
            <w:hideMark/>
          </w:tcPr>
          <w:p w14:paraId="1714AEFE" w14:textId="77777777" w:rsidR="00671B63" w:rsidRPr="001B4CA2" w:rsidRDefault="00671B63" w:rsidP="00671B63">
            <w:pPr>
              <w:jc w:val="left"/>
              <w:rPr>
                <w:rFonts w:asciiTheme="minorHAnsi" w:eastAsia="Times New Roman" w:hAnsiTheme="minorHAnsi" w:cstheme="minorHAnsi"/>
                <w:bCs/>
                <w:color w:val="000000"/>
                <w:sz w:val="18"/>
                <w:szCs w:val="18"/>
                <w:lang w:eastAsia="hr-HR"/>
              </w:rPr>
            </w:pPr>
          </w:p>
        </w:tc>
        <w:tc>
          <w:tcPr>
            <w:tcW w:w="1752" w:type="pct"/>
            <w:gridSpan w:val="5"/>
            <w:shd w:val="clear" w:color="auto" w:fill="99CCFF"/>
            <w:vAlign w:val="center"/>
            <w:hideMark/>
          </w:tcPr>
          <w:p w14:paraId="0F89FAA7" w14:textId="77777777" w:rsidR="00671B63" w:rsidRPr="001B4CA2" w:rsidRDefault="00671B63" w:rsidP="00671B63">
            <w:pPr>
              <w:jc w:val="center"/>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Meritorne odluke (MDO)</w:t>
            </w:r>
          </w:p>
        </w:tc>
        <w:tc>
          <w:tcPr>
            <w:tcW w:w="399" w:type="pct"/>
            <w:vMerge w:val="restart"/>
            <w:shd w:val="clear" w:color="auto" w:fill="99CCFF"/>
            <w:textDirection w:val="btLr"/>
            <w:vAlign w:val="center"/>
            <w:hideMark/>
          </w:tcPr>
          <w:p w14:paraId="3B618ADF" w14:textId="77777777" w:rsidR="00671B63" w:rsidRPr="001B4CA2" w:rsidRDefault="00671B63" w:rsidP="00671B63">
            <w:pPr>
              <w:jc w:val="left"/>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 xml:space="preserve">Ostale odluke </w:t>
            </w:r>
          </w:p>
        </w:tc>
        <w:tc>
          <w:tcPr>
            <w:tcW w:w="373" w:type="pct"/>
            <w:vMerge/>
            <w:shd w:val="clear" w:color="auto" w:fill="99CCFF"/>
            <w:vAlign w:val="center"/>
            <w:hideMark/>
          </w:tcPr>
          <w:p w14:paraId="28195B50" w14:textId="77777777" w:rsidR="00671B63" w:rsidRPr="001B4CA2" w:rsidRDefault="00671B63" w:rsidP="00671B63">
            <w:pPr>
              <w:jc w:val="left"/>
              <w:rPr>
                <w:rFonts w:asciiTheme="minorHAnsi" w:eastAsia="Times New Roman" w:hAnsiTheme="minorHAnsi" w:cstheme="minorHAnsi"/>
                <w:b/>
                <w:bCs/>
                <w:sz w:val="18"/>
                <w:szCs w:val="18"/>
                <w:lang w:eastAsia="hr-HR"/>
              </w:rPr>
            </w:pPr>
          </w:p>
        </w:tc>
        <w:tc>
          <w:tcPr>
            <w:tcW w:w="1653" w:type="pct"/>
            <w:gridSpan w:val="5"/>
            <w:vMerge/>
            <w:shd w:val="clear" w:color="auto" w:fill="99CCFF"/>
            <w:vAlign w:val="center"/>
            <w:hideMark/>
          </w:tcPr>
          <w:p w14:paraId="6FD0DEC8" w14:textId="77777777" w:rsidR="00671B63" w:rsidRPr="001B4CA2" w:rsidRDefault="00671B63" w:rsidP="00671B63">
            <w:pPr>
              <w:jc w:val="left"/>
              <w:rPr>
                <w:rFonts w:asciiTheme="minorHAnsi" w:eastAsia="Times New Roman" w:hAnsiTheme="minorHAnsi" w:cstheme="minorHAnsi"/>
                <w:bCs/>
                <w:sz w:val="18"/>
                <w:szCs w:val="18"/>
                <w:lang w:eastAsia="hr-HR"/>
              </w:rPr>
            </w:pPr>
          </w:p>
        </w:tc>
        <w:tc>
          <w:tcPr>
            <w:tcW w:w="388" w:type="pct"/>
            <w:vMerge/>
            <w:shd w:val="clear" w:color="auto" w:fill="99CCFF"/>
            <w:vAlign w:val="center"/>
            <w:hideMark/>
          </w:tcPr>
          <w:p w14:paraId="3AFF8CE0" w14:textId="77777777" w:rsidR="00671B63" w:rsidRPr="001B4CA2" w:rsidRDefault="00671B63" w:rsidP="00671B63">
            <w:pPr>
              <w:jc w:val="left"/>
              <w:rPr>
                <w:rFonts w:asciiTheme="minorHAnsi" w:eastAsia="Times New Roman" w:hAnsiTheme="minorHAnsi" w:cstheme="minorHAnsi"/>
                <w:bCs/>
                <w:sz w:val="18"/>
                <w:szCs w:val="18"/>
                <w:lang w:eastAsia="hr-HR"/>
              </w:rPr>
            </w:pPr>
          </w:p>
        </w:tc>
      </w:tr>
      <w:tr w:rsidR="00671B63" w:rsidRPr="001B4CA2" w14:paraId="2DB1075A" w14:textId="77777777" w:rsidTr="00FA50FE">
        <w:trPr>
          <w:trHeight w:val="541"/>
          <w:jc w:val="center"/>
        </w:trPr>
        <w:tc>
          <w:tcPr>
            <w:tcW w:w="434" w:type="pct"/>
            <w:vMerge/>
            <w:shd w:val="clear" w:color="auto" w:fill="99CCFF"/>
            <w:vAlign w:val="center"/>
            <w:hideMark/>
          </w:tcPr>
          <w:p w14:paraId="50F44DB8" w14:textId="77777777" w:rsidR="00671B63" w:rsidRPr="001B4CA2" w:rsidRDefault="00671B63" w:rsidP="00671B63">
            <w:pPr>
              <w:jc w:val="left"/>
              <w:rPr>
                <w:rFonts w:asciiTheme="minorHAnsi" w:eastAsia="Times New Roman" w:hAnsiTheme="minorHAnsi" w:cstheme="minorHAnsi"/>
                <w:bCs/>
                <w:color w:val="000000"/>
                <w:sz w:val="18"/>
                <w:szCs w:val="18"/>
                <w:lang w:eastAsia="hr-HR"/>
              </w:rPr>
            </w:pPr>
          </w:p>
        </w:tc>
        <w:tc>
          <w:tcPr>
            <w:tcW w:w="345" w:type="pct"/>
            <w:vMerge w:val="restart"/>
            <w:shd w:val="clear" w:color="auto" w:fill="99CCFF"/>
            <w:noWrap/>
            <w:textDirection w:val="btLr"/>
            <w:vAlign w:val="center"/>
            <w:hideMark/>
          </w:tcPr>
          <w:p w14:paraId="47566F46" w14:textId="77777777" w:rsidR="00671B63" w:rsidRPr="001B4CA2" w:rsidRDefault="00671B63" w:rsidP="00671B63">
            <w:pPr>
              <w:jc w:val="left"/>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Tužba</w:t>
            </w:r>
          </w:p>
        </w:tc>
        <w:tc>
          <w:tcPr>
            <w:tcW w:w="345" w:type="pct"/>
            <w:vMerge w:val="restart"/>
            <w:shd w:val="clear" w:color="auto" w:fill="99CCFF"/>
            <w:textDirection w:val="btLr"/>
            <w:vAlign w:val="center"/>
            <w:hideMark/>
          </w:tcPr>
          <w:p w14:paraId="59F7ABB1" w14:textId="77777777" w:rsidR="00671B63" w:rsidRPr="001B4CA2" w:rsidRDefault="00671B63" w:rsidP="00671B63">
            <w:pPr>
              <w:jc w:val="left"/>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Odbijanje inicijative</w:t>
            </w:r>
          </w:p>
        </w:tc>
        <w:tc>
          <w:tcPr>
            <w:tcW w:w="345" w:type="pct"/>
            <w:vMerge w:val="restart"/>
            <w:shd w:val="clear" w:color="auto" w:fill="99CCFF"/>
            <w:noWrap/>
            <w:textDirection w:val="btLr"/>
            <w:vAlign w:val="center"/>
            <w:hideMark/>
          </w:tcPr>
          <w:p w14:paraId="0D828849" w14:textId="77777777" w:rsidR="00671B63" w:rsidRPr="001B4CA2" w:rsidRDefault="00671B63" w:rsidP="00671B63">
            <w:pPr>
              <w:jc w:val="left"/>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Odgovor na tužbu</w:t>
            </w:r>
          </w:p>
        </w:tc>
        <w:tc>
          <w:tcPr>
            <w:tcW w:w="345" w:type="pct"/>
            <w:vMerge w:val="restart"/>
            <w:shd w:val="clear" w:color="auto" w:fill="99CCFF"/>
            <w:textDirection w:val="btLr"/>
            <w:vAlign w:val="center"/>
            <w:hideMark/>
          </w:tcPr>
          <w:p w14:paraId="63B309F8" w14:textId="77777777" w:rsidR="00671B63" w:rsidRPr="001B4CA2" w:rsidRDefault="00671B63" w:rsidP="00671B63">
            <w:pPr>
              <w:jc w:val="left"/>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Sl. bilješka kojom se okončava rad</w:t>
            </w:r>
          </w:p>
        </w:tc>
        <w:tc>
          <w:tcPr>
            <w:tcW w:w="373" w:type="pct"/>
            <w:vMerge w:val="restart"/>
            <w:shd w:val="clear" w:color="auto" w:fill="99CCFF"/>
            <w:textDirection w:val="btLr"/>
            <w:vAlign w:val="center"/>
            <w:hideMark/>
          </w:tcPr>
          <w:p w14:paraId="66926ACC" w14:textId="77777777" w:rsidR="00671B63" w:rsidRPr="001B4CA2" w:rsidRDefault="00671B63" w:rsidP="00671B63">
            <w:pPr>
              <w:jc w:val="left"/>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sz w:val="18"/>
                <w:szCs w:val="18"/>
                <w:lang w:eastAsia="hr-HR"/>
              </w:rPr>
              <w:t>Ukupno MDO</w:t>
            </w:r>
          </w:p>
        </w:tc>
        <w:tc>
          <w:tcPr>
            <w:tcW w:w="399" w:type="pct"/>
            <w:vMerge/>
            <w:shd w:val="clear" w:color="auto" w:fill="99CCFF"/>
            <w:vAlign w:val="center"/>
            <w:hideMark/>
          </w:tcPr>
          <w:p w14:paraId="1A18100B" w14:textId="77777777" w:rsidR="00671B63" w:rsidRPr="001B4CA2" w:rsidRDefault="00671B63" w:rsidP="00671B63">
            <w:pPr>
              <w:jc w:val="left"/>
              <w:rPr>
                <w:rFonts w:asciiTheme="minorHAnsi" w:eastAsia="Times New Roman" w:hAnsiTheme="minorHAnsi" w:cstheme="minorHAnsi"/>
                <w:bCs/>
                <w:sz w:val="18"/>
                <w:szCs w:val="18"/>
                <w:lang w:eastAsia="hr-HR"/>
              </w:rPr>
            </w:pPr>
          </w:p>
        </w:tc>
        <w:tc>
          <w:tcPr>
            <w:tcW w:w="373" w:type="pct"/>
            <w:vMerge/>
            <w:shd w:val="clear" w:color="auto" w:fill="99CCFF"/>
            <w:vAlign w:val="center"/>
            <w:hideMark/>
          </w:tcPr>
          <w:p w14:paraId="282C3A1C" w14:textId="77777777" w:rsidR="00671B63" w:rsidRPr="001B4CA2" w:rsidRDefault="00671B63" w:rsidP="00671B63">
            <w:pPr>
              <w:jc w:val="left"/>
              <w:rPr>
                <w:rFonts w:asciiTheme="minorHAnsi" w:eastAsia="Times New Roman" w:hAnsiTheme="minorHAnsi" w:cstheme="minorHAnsi"/>
                <w:b/>
                <w:bCs/>
                <w:sz w:val="18"/>
                <w:szCs w:val="18"/>
                <w:lang w:eastAsia="hr-HR"/>
              </w:rPr>
            </w:pPr>
          </w:p>
        </w:tc>
        <w:tc>
          <w:tcPr>
            <w:tcW w:w="427" w:type="pct"/>
            <w:vMerge w:val="restart"/>
            <w:shd w:val="clear" w:color="auto" w:fill="99CCFF"/>
            <w:textDirection w:val="btLr"/>
            <w:vAlign w:val="center"/>
            <w:hideMark/>
          </w:tcPr>
          <w:p w14:paraId="43BDFBEB" w14:textId="77777777" w:rsidR="00671B63" w:rsidRPr="001B4CA2" w:rsidRDefault="00671B63" w:rsidP="00671B63">
            <w:pPr>
              <w:jc w:val="left"/>
              <w:rPr>
                <w:rFonts w:asciiTheme="minorHAnsi" w:eastAsia="Times New Roman" w:hAnsiTheme="minorHAnsi" w:cstheme="minorHAnsi"/>
                <w:strike/>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Spor dobiven</w:t>
            </w:r>
          </w:p>
        </w:tc>
        <w:tc>
          <w:tcPr>
            <w:tcW w:w="450" w:type="pct"/>
            <w:vMerge w:val="restart"/>
            <w:shd w:val="clear" w:color="auto" w:fill="99CCFF"/>
            <w:textDirection w:val="btLr"/>
            <w:vAlign w:val="center"/>
            <w:hideMark/>
          </w:tcPr>
          <w:p w14:paraId="6A76459A" w14:textId="77777777" w:rsidR="00671B63" w:rsidRPr="001B4CA2" w:rsidRDefault="00671B63" w:rsidP="00671B63">
            <w:pPr>
              <w:jc w:val="left"/>
              <w:rPr>
                <w:rFonts w:asciiTheme="minorHAnsi" w:eastAsia="Times New Roman" w:hAnsiTheme="minorHAnsi" w:cstheme="minorHAnsi"/>
                <w:color w:val="000000" w:themeColor="text1"/>
                <w:sz w:val="18"/>
                <w:szCs w:val="18"/>
                <w:lang w:eastAsia="hr-HR"/>
              </w:rPr>
            </w:pPr>
            <w:r w:rsidRPr="001B4CA2">
              <w:rPr>
                <w:rFonts w:asciiTheme="minorHAnsi" w:eastAsia="Times New Roman" w:hAnsiTheme="minorHAnsi" w:cstheme="minorHAnsi"/>
                <w:color w:val="000000" w:themeColor="text1"/>
                <w:sz w:val="18"/>
                <w:szCs w:val="18"/>
                <w:lang w:eastAsia="hr-HR"/>
              </w:rPr>
              <w:t>Spor izgubljen</w:t>
            </w:r>
          </w:p>
        </w:tc>
        <w:tc>
          <w:tcPr>
            <w:tcW w:w="454" w:type="pct"/>
            <w:gridSpan w:val="2"/>
            <w:vMerge w:val="restart"/>
            <w:shd w:val="clear" w:color="auto" w:fill="99CCFF"/>
            <w:textDirection w:val="btLr"/>
            <w:vAlign w:val="center"/>
            <w:hideMark/>
          </w:tcPr>
          <w:p w14:paraId="56591FFA" w14:textId="77777777" w:rsidR="00671B63" w:rsidRPr="001B4CA2" w:rsidRDefault="00671B63" w:rsidP="00671B63">
            <w:pPr>
              <w:jc w:val="left"/>
              <w:rPr>
                <w:rFonts w:asciiTheme="minorHAnsi" w:eastAsia="Times New Roman" w:hAnsiTheme="minorHAnsi" w:cstheme="minorHAnsi"/>
                <w:sz w:val="18"/>
                <w:szCs w:val="18"/>
                <w:lang w:eastAsia="hr-HR"/>
              </w:rPr>
            </w:pPr>
            <w:r w:rsidRPr="001B4CA2">
              <w:rPr>
                <w:rFonts w:asciiTheme="minorHAnsi" w:eastAsia="Times New Roman" w:hAnsiTheme="minorHAnsi" w:cstheme="minorHAnsi"/>
                <w:sz w:val="18"/>
                <w:szCs w:val="18"/>
                <w:lang w:eastAsia="hr-HR"/>
              </w:rPr>
              <w:t>Ostale odluke suda</w:t>
            </w:r>
          </w:p>
        </w:tc>
        <w:tc>
          <w:tcPr>
            <w:tcW w:w="323" w:type="pct"/>
            <w:vMerge w:val="restart"/>
            <w:shd w:val="clear" w:color="auto" w:fill="99CCFF"/>
            <w:textDirection w:val="btLr"/>
            <w:vAlign w:val="center"/>
            <w:hideMark/>
          </w:tcPr>
          <w:p w14:paraId="342C9D67" w14:textId="77777777" w:rsidR="00671B63" w:rsidRPr="001B4CA2" w:rsidRDefault="00671B63" w:rsidP="00671B63">
            <w:pPr>
              <w:jc w:val="left"/>
              <w:rPr>
                <w:rFonts w:asciiTheme="minorHAnsi" w:eastAsia="Times New Roman" w:hAnsiTheme="minorHAnsi" w:cstheme="minorHAnsi"/>
                <w:b/>
                <w:bCs/>
                <w:sz w:val="18"/>
                <w:szCs w:val="18"/>
                <w:lang w:eastAsia="hr-HR"/>
              </w:rPr>
            </w:pPr>
            <w:r w:rsidRPr="001B4CA2">
              <w:rPr>
                <w:rFonts w:asciiTheme="minorHAnsi" w:eastAsia="Times New Roman" w:hAnsiTheme="minorHAnsi" w:cstheme="minorHAnsi"/>
                <w:b/>
                <w:bCs/>
                <w:sz w:val="18"/>
                <w:szCs w:val="18"/>
                <w:lang w:eastAsia="hr-HR"/>
              </w:rPr>
              <w:t>Ukupno odluka suda</w:t>
            </w:r>
          </w:p>
        </w:tc>
        <w:tc>
          <w:tcPr>
            <w:tcW w:w="388" w:type="pct"/>
            <w:vMerge/>
            <w:shd w:val="clear" w:color="auto" w:fill="99CCFF"/>
            <w:vAlign w:val="center"/>
            <w:hideMark/>
          </w:tcPr>
          <w:p w14:paraId="2E9F3B41" w14:textId="77777777" w:rsidR="00671B63" w:rsidRPr="001B4CA2" w:rsidRDefault="00671B63" w:rsidP="00671B63">
            <w:pPr>
              <w:jc w:val="left"/>
              <w:rPr>
                <w:rFonts w:asciiTheme="minorHAnsi" w:eastAsia="Times New Roman" w:hAnsiTheme="minorHAnsi" w:cstheme="minorHAnsi"/>
                <w:bCs/>
                <w:sz w:val="18"/>
                <w:szCs w:val="18"/>
                <w:lang w:eastAsia="hr-HR"/>
              </w:rPr>
            </w:pPr>
          </w:p>
        </w:tc>
      </w:tr>
      <w:tr w:rsidR="00671B63" w:rsidRPr="001B4CA2" w14:paraId="32BE40FE" w14:textId="77777777" w:rsidTr="00FA50FE">
        <w:trPr>
          <w:trHeight w:val="1200"/>
          <w:jc w:val="center"/>
        </w:trPr>
        <w:tc>
          <w:tcPr>
            <w:tcW w:w="434" w:type="pct"/>
            <w:vMerge/>
            <w:shd w:val="clear" w:color="auto" w:fill="99CCFF"/>
            <w:vAlign w:val="center"/>
            <w:hideMark/>
          </w:tcPr>
          <w:p w14:paraId="7B73E042" w14:textId="77777777" w:rsidR="00671B63" w:rsidRPr="001B4CA2" w:rsidRDefault="00671B63" w:rsidP="00671B63">
            <w:pPr>
              <w:jc w:val="left"/>
              <w:rPr>
                <w:rFonts w:asciiTheme="minorHAnsi" w:eastAsia="Times New Roman" w:hAnsiTheme="minorHAnsi" w:cstheme="minorHAnsi"/>
                <w:bCs/>
                <w:color w:val="000000"/>
                <w:sz w:val="18"/>
                <w:szCs w:val="18"/>
                <w:lang w:eastAsia="hr-HR"/>
              </w:rPr>
            </w:pPr>
          </w:p>
        </w:tc>
        <w:tc>
          <w:tcPr>
            <w:tcW w:w="345" w:type="pct"/>
            <w:vMerge/>
            <w:shd w:val="clear" w:color="auto" w:fill="99CCFF"/>
            <w:vAlign w:val="center"/>
            <w:hideMark/>
          </w:tcPr>
          <w:p w14:paraId="276F38A4" w14:textId="77777777" w:rsidR="00671B63" w:rsidRPr="001B4CA2" w:rsidRDefault="00671B63" w:rsidP="00671B63">
            <w:pPr>
              <w:jc w:val="left"/>
              <w:rPr>
                <w:rFonts w:asciiTheme="minorHAnsi" w:eastAsia="Times New Roman" w:hAnsiTheme="minorHAnsi" w:cstheme="minorHAnsi"/>
                <w:sz w:val="18"/>
                <w:szCs w:val="18"/>
                <w:lang w:eastAsia="hr-HR"/>
              </w:rPr>
            </w:pPr>
          </w:p>
        </w:tc>
        <w:tc>
          <w:tcPr>
            <w:tcW w:w="345" w:type="pct"/>
            <w:vMerge/>
            <w:shd w:val="clear" w:color="auto" w:fill="99CCFF"/>
            <w:vAlign w:val="center"/>
            <w:hideMark/>
          </w:tcPr>
          <w:p w14:paraId="70DCBE5F" w14:textId="77777777" w:rsidR="00671B63" w:rsidRPr="001B4CA2" w:rsidRDefault="00671B63" w:rsidP="00671B63">
            <w:pPr>
              <w:jc w:val="left"/>
              <w:rPr>
                <w:rFonts w:asciiTheme="minorHAnsi" w:eastAsia="Times New Roman" w:hAnsiTheme="minorHAnsi" w:cstheme="minorHAnsi"/>
                <w:sz w:val="18"/>
                <w:szCs w:val="18"/>
                <w:lang w:eastAsia="hr-HR"/>
              </w:rPr>
            </w:pPr>
          </w:p>
        </w:tc>
        <w:tc>
          <w:tcPr>
            <w:tcW w:w="345" w:type="pct"/>
            <w:vMerge/>
            <w:shd w:val="clear" w:color="auto" w:fill="99CCFF"/>
            <w:vAlign w:val="center"/>
            <w:hideMark/>
          </w:tcPr>
          <w:p w14:paraId="5F8037B3" w14:textId="77777777" w:rsidR="00671B63" w:rsidRPr="001B4CA2" w:rsidRDefault="00671B63" w:rsidP="00671B63">
            <w:pPr>
              <w:jc w:val="left"/>
              <w:rPr>
                <w:rFonts w:asciiTheme="minorHAnsi" w:eastAsia="Times New Roman" w:hAnsiTheme="minorHAnsi" w:cstheme="minorHAnsi"/>
                <w:sz w:val="18"/>
                <w:szCs w:val="18"/>
                <w:lang w:eastAsia="hr-HR"/>
              </w:rPr>
            </w:pPr>
          </w:p>
        </w:tc>
        <w:tc>
          <w:tcPr>
            <w:tcW w:w="345" w:type="pct"/>
            <w:vMerge/>
            <w:shd w:val="clear" w:color="auto" w:fill="99CCFF"/>
            <w:vAlign w:val="center"/>
            <w:hideMark/>
          </w:tcPr>
          <w:p w14:paraId="54E5AB2A" w14:textId="77777777" w:rsidR="00671B63" w:rsidRPr="001B4CA2" w:rsidRDefault="00671B63" w:rsidP="00671B63">
            <w:pPr>
              <w:jc w:val="left"/>
              <w:rPr>
                <w:rFonts w:asciiTheme="minorHAnsi" w:eastAsia="Times New Roman" w:hAnsiTheme="minorHAnsi" w:cstheme="minorHAnsi"/>
                <w:sz w:val="18"/>
                <w:szCs w:val="18"/>
                <w:lang w:eastAsia="hr-HR"/>
              </w:rPr>
            </w:pPr>
          </w:p>
        </w:tc>
        <w:tc>
          <w:tcPr>
            <w:tcW w:w="373" w:type="pct"/>
            <w:vMerge/>
            <w:shd w:val="clear" w:color="auto" w:fill="99CCFF"/>
            <w:vAlign w:val="center"/>
            <w:hideMark/>
          </w:tcPr>
          <w:p w14:paraId="09E43BA2" w14:textId="77777777" w:rsidR="00671B63" w:rsidRPr="001B4CA2" w:rsidRDefault="00671B63" w:rsidP="00671B63">
            <w:pPr>
              <w:jc w:val="left"/>
              <w:rPr>
                <w:rFonts w:asciiTheme="minorHAnsi" w:eastAsia="Times New Roman" w:hAnsiTheme="minorHAnsi" w:cstheme="minorHAnsi"/>
                <w:b/>
                <w:bCs/>
                <w:sz w:val="18"/>
                <w:szCs w:val="18"/>
                <w:lang w:eastAsia="hr-HR"/>
              </w:rPr>
            </w:pPr>
          </w:p>
        </w:tc>
        <w:tc>
          <w:tcPr>
            <w:tcW w:w="399" w:type="pct"/>
            <w:vMerge/>
            <w:shd w:val="clear" w:color="auto" w:fill="99CCFF"/>
            <w:vAlign w:val="center"/>
            <w:hideMark/>
          </w:tcPr>
          <w:p w14:paraId="13D0735F" w14:textId="77777777" w:rsidR="00671B63" w:rsidRPr="001B4CA2" w:rsidRDefault="00671B63" w:rsidP="00671B63">
            <w:pPr>
              <w:jc w:val="left"/>
              <w:rPr>
                <w:rFonts w:asciiTheme="minorHAnsi" w:eastAsia="Times New Roman" w:hAnsiTheme="minorHAnsi" w:cstheme="minorHAnsi"/>
                <w:bCs/>
                <w:sz w:val="18"/>
                <w:szCs w:val="18"/>
                <w:lang w:eastAsia="hr-HR"/>
              </w:rPr>
            </w:pPr>
          </w:p>
        </w:tc>
        <w:tc>
          <w:tcPr>
            <w:tcW w:w="373" w:type="pct"/>
            <w:vMerge/>
            <w:shd w:val="clear" w:color="auto" w:fill="99CCFF"/>
            <w:vAlign w:val="center"/>
            <w:hideMark/>
          </w:tcPr>
          <w:p w14:paraId="3EE6BBDC" w14:textId="77777777" w:rsidR="00671B63" w:rsidRPr="001B4CA2" w:rsidRDefault="00671B63" w:rsidP="00671B63">
            <w:pPr>
              <w:jc w:val="left"/>
              <w:rPr>
                <w:rFonts w:asciiTheme="minorHAnsi" w:eastAsia="Times New Roman" w:hAnsiTheme="minorHAnsi" w:cstheme="minorHAnsi"/>
                <w:b/>
                <w:bCs/>
                <w:sz w:val="18"/>
                <w:szCs w:val="18"/>
                <w:lang w:eastAsia="hr-HR"/>
              </w:rPr>
            </w:pPr>
          </w:p>
        </w:tc>
        <w:tc>
          <w:tcPr>
            <w:tcW w:w="427" w:type="pct"/>
            <w:vMerge/>
            <w:shd w:val="clear" w:color="auto" w:fill="99CCFF"/>
            <w:vAlign w:val="center"/>
            <w:hideMark/>
          </w:tcPr>
          <w:p w14:paraId="34C1B12D" w14:textId="77777777" w:rsidR="00671B63" w:rsidRPr="001B4CA2" w:rsidRDefault="00671B63" w:rsidP="00671B63">
            <w:pPr>
              <w:jc w:val="left"/>
              <w:rPr>
                <w:rFonts w:asciiTheme="minorHAnsi" w:eastAsia="Times New Roman" w:hAnsiTheme="minorHAnsi" w:cstheme="minorHAnsi"/>
                <w:sz w:val="18"/>
                <w:szCs w:val="18"/>
                <w:lang w:eastAsia="hr-HR"/>
              </w:rPr>
            </w:pPr>
          </w:p>
        </w:tc>
        <w:tc>
          <w:tcPr>
            <w:tcW w:w="450" w:type="pct"/>
            <w:vMerge/>
            <w:shd w:val="clear" w:color="auto" w:fill="99CCFF"/>
            <w:vAlign w:val="center"/>
            <w:hideMark/>
          </w:tcPr>
          <w:p w14:paraId="05B6E56A" w14:textId="77777777" w:rsidR="00671B63" w:rsidRPr="001B4CA2" w:rsidRDefault="00671B63" w:rsidP="00671B63">
            <w:pPr>
              <w:jc w:val="left"/>
              <w:rPr>
                <w:rFonts w:asciiTheme="minorHAnsi" w:eastAsia="Times New Roman" w:hAnsiTheme="minorHAnsi" w:cstheme="minorHAnsi"/>
                <w:sz w:val="18"/>
                <w:szCs w:val="18"/>
                <w:lang w:eastAsia="hr-HR"/>
              </w:rPr>
            </w:pPr>
          </w:p>
        </w:tc>
        <w:tc>
          <w:tcPr>
            <w:tcW w:w="454" w:type="pct"/>
            <w:gridSpan w:val="2"/>
            <w:vMerge/>
            <w:shd w:val="clear" w:color="auto" w:fill="99CCFF"/>
            <w:vAlign w:val="center"/>
            <w:hideMark/>
          </w:tcPr>
          <w:p w14:paraId="548BD3B8" w14:textId="77777777" w:rsidR="00671B63" w:rsidRPr="001B4CA2" w:rsidRDefault="00671B63" w:rsidP="00671B63">
            <w:pPr>
              <w:jc w:val="left"/>
              <w:rPr>
                <w:rFonts w:asciiTheme="minorHAnsi" w:eastAsia="Times New Roman" w:hAnsiTheme="minorHAnsi" w:cstheme="minorHAnsi"/>
                <w:sz w:val="18"/>
                <w:szCs w:val="18"/>
                <w:lang w:eastAsia="hr-HR"/>
              </w:rPr>
            </w:pPr>
          </w:p>
        </w:tc>
        <w:tc>
          <w:tcPr>
            <w:tcW w:w="323" w:type="pct"/>
            <w:vMerge/>
            <w:shd w:val="clear" w:color="auto" w:fill="99CCFF"/>
            <w:vAlign w:val="center"/>
            <w:hideMark/>
          </w:tcPr>
          <w:p w14:paraId="13462D3D" w14:textId="77777777" w:rsidR="00671B63" w:rsidRPr="001B4CA2" w:rsidRDefault="00671B63" w:rsidP="00671B63">
            <w:pPr>
              <w:jc w:val="left"/>
              <w:rPr>
                <w:rFonts w:asciiTheme="minorHAnsi" w:eastAsia="Times New Roman" w:hAnsiTheme="minorHAnsi" w:cstheme="minorHAnsi"/>
                <w:b/>
                <w:bCs/>
                <w:sz w:val="18"/>
                <w:szCs w:val="18"/>
                <w:lang w:eastAsia="hr-HR"/>
              </w:rPr>
            </w:pPr>
          </w:p>
        </w:tc>
        <w:tc>
          <w:tcPr>
            <w:tcW w:w="388" w:type="pct"/>
            <w:vMerge/>
            <w:shd w:val="clear" w:color="auto" w:fill="99CCFF"/>
            <w:vAlign w:val="center"/>
            <w:hideMark/>
          </w:tcPr>
          <w:p w14:paraId="06422626" w14:textId="77777777" w:rsidR="00671B63" w:rsidRPr="001B4CA2" w:rsidRDefault="00671B63" w:rsidP="00671B63">
            <w:pPr>
              <w:jc w:val="left"/>
              <w:rPr>
                <w:rFonts w:asciiTheme="minorHAnsi" w:eastAsia="Times New Roman" w:hAnsiTheme="minorHAnsi" w:cstheme="minorHAnsi"/>
                <w:bCs/>
                <w:sz w:val="18"/>
                <w:szCs w:val="18"/>
                <w:lang w:eastAsia="hr-HR"/>
              </w:rPr>
            </w:pPr>
          </w:p>
        </w:tc>
      </w:tr>
      <w:tr w:rsidR="00671B63" w:rsidRPr="001B4CA2" w14:paraId="0C1B54A5" w14:textId="77777777" w:rsidTr="00FA50FE">
        <w:trPr>
          <w:trHeight w:val="329"/>
          <w:jc w:val="center"/>
        </w:trPr>
        <w:tc>
          <w:tcPr>
            <w:tcW w:w="434" w:type="pct"/>
            <w:shd w:val="clear" w:color="auto" w:fill="auto"/>
            <w:noWrap/>
            <w:vAlign w:val="center"/>
            <w:hideMark/>
          </w:tcPr>
          <w:p w14:paraId="47D02B29"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2018.</w:t>
            </w:r>
          </w:p>
        </w:tc>
        <w:tc>
          <w:tcPr>
            <w:tcW w:w="345" w:type="pct"/>
            <w:shd w:val="clear" w:color="auto" w:fill="auto"/>
            <w:noWrap/>
            <w:vAlign w:val="center"/>
          </w:tcPr>
          <w:p w14:paraId="1814AA66"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46</w:t>
            </w:r>
          </w:p>
        </w:tc>
        <w:tc>
          <w:tcPr>
            <w:tcW w:w="345" w:type="pct"/>
            <w:shd w:val="clear" w:color="auto" w:fill="auto"/>
            <w:noWrap/>
            <w:vAlign w:val="center"/>
          </w:tcPr>
          <w:p w14:paraId="6BD9D11C"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0</w:t>
            </w:r>
          </w:p>
        </w:tc>
        <w:tc>
          <w:tcPr>
            <w:tcW w:w="345" w:type="pct"/>
            <w:shd w:val="clear" w:color="auto" w:fill="auto"/>
            <w:noWrap/>
            <w:vAlign w:val="center"/>
          </w:tcPr>
          <w:p w14:paraId="1E381902"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382</w:t>
            </w:r>
          </w:p>
        </w:tc>
        <w:tc>
          <w:tcPr>
            <w:tcW w:w="345" w:type="pct"/>
            <w:shd w:val="clear" w:color="auto" w:fill="auto"/>
            <w:noWrap/>
            <w:vAlign w:val="center"/>
          </w:tcPr>
          <w:p w14:paraId="692422B0"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41</w:t>
            </w:r>
          </w:p>
        </w:tc>
        <w:tc>
          <w:tcPr>
            <w:tcW w:w="373" w:type="pct"/>
            <w:shd w:val="clear" w:color="auto" w:fill="auto"/>
            <w:noWrap/>
            <w:vAlign w:val="center"/>
          </w:tcPr>
          <w:p w14:paraId="2A53A649"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469</w:t>
            </w:r>
          </w:p>
        </w:tc>
        <w:tc>
          <w:tcPr>
            <w:tcW w:w="399" w:type="pct"/>
            <w:shd w:val="clear" w:color="auto" w:fill="auto"/>
            <w:noWrap/>
            <w:vAlign w:val="center"/>
          </w:tcPr>
          <w:p w14:paraId="661F0B05"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73</w:t>
            </w:r>
          </w:p>
        </w:tc>
        <w:tc>
          <w:tcPr>
            <w:tcW w:w="373" w:type="pct"/>
            <w:shd w:val="clear" w:color="auto" w:fill="auto"/>
            <w:noWrap/>
            <w:vAlign w:val="center"/>
          </w:tcPr>
          <w:p w14:paraId="4FF6AA1D"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542</w:t>
            </w:r>
          </w:p>
        </w:tc>
        <w:tc>
          <w:tcPr>
            <w:tcW w:w="427" w:type="pct"/>
            <w:shd w:val="clear" w:color="auto" w:fill="auto"/>
            <w:noWrap/>
            <w:vAlign w:val="center"/>
          </w:tcPr>
          <w:p w14:paraId="44E8F892"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125</w:t>
            </w:r>
          </w:p>
        </w:tc>
        <w:tc>
          <w:tcPr>
            <w:tcW w:w="450" w:type="pct"/>
            <w:shd w:val="clear" w:color="auto" w:fill="auto"/>
            <w:noWrap/>
            <w:vAlign w:val="center"/>
          </w:tcPr>
          <w:p w14:paraId="3894D14E"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339</w:t>
            </w:r>
          </w:p>
        </w:tc>
        <w:tc>
          <w:tcPr>
            <w:tcW w:w="450" w:type="pct"/>
            <w:shd w:val="clear" w:color="auto" w:fill="auto"/>
            <w:noWrap/>
            <w:vAlign w:val="center"/>
          </w:tcPr>
          <w:p w14:paraId="402E7620"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60</w:t>
            </w:r>
          </w:p>
        </w:tc>
        <w:tc>
          <w:tcPr>
            <w:tcW w:w="327" w:type="pct"/>
            <w:gridSpan w:val="2"/>
            <w:shd w:val="clear" w:color="auto" w:fill="auto"/>
            <w:noWrap/>
            <w:vAlign w:val="center"/>
          </w:tcPr>
          <w:p w14:paraId="51768CD4"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524</w:t>
            </w:r>
          </w:p>
        </w:tc>
        <w:tc>
          <w:tcPr>
            <w:tcW w:w="388" w:type="pct"/>
            <w:shd w:val="clear" w:color="auto" w:fill="auto"/>
            <w:noWrap/>
            <w:vAlign w:val="center"/>
          </w:tcPr>
          <w:p w14:paraId="4C058DBC"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288</w:t>
            </w:r>
          </w:p>
        </w:tc>
      </w:tr>
      <w:tr w:rsidR="00671B63" w:rsidRPr="001B4CA2" w14:paraId="50FA118E" w14:textId="77777777" w:rsidTr="00FA50FE">
        <w:trPr>
          <w:trHeight w:val="329"/>
          <w:jc w:val="center"/>
        </w:trPr>
        <w:tc>
          <w:tcPr>
            <w:tcW w:w="434" w:type="pct"/>
            <w:shd w:val="clear" w:color="auto" w:fill="auto"/>
            <w:noWrap/>
            <w:vAlign w:val="center"/>
          </w:tcPr>
          <w:p w14:paraId="0F8AEE46"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2019.</w:t>
            </w:r>
          </w:p>
        </w:tc>
        <w:tc>
          <w:tcPr>
            <w:tcW w:w="345" w:type="pct"/>
            <w:shd w:val="clear" w:color="auto" w:fill="auto"/>
            <w:noWrap/>
            <w:vAlign w:val="center"/>
          </w:tcPr>
          <w:p w14:paraId="5FE3ACF9"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40</w:t>
            </w:r>
          </w:p>
        </w:tc>
        <w:tc>
          <w:tcPr>
            <w:tcW w:w="345" w:type="pct"/>
            <w:shd w:val="clear" w:color="auto" w:fill="auto"/>
            <w:noWrap/>
            <w:vAlign w:val="center"/>
          </w:tcPr>
          <w:p w14:paraId="3C6FB97A"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0</w:t>
            </w:r>
          </w:p>
        </w:tc>
        <w:tc>
          <w:tcPr>
            <w:tcW w:w="345" w:type="pct"/>
            <w:shd w:val="clear" w:color="auto" w:fill="auto"/>
            <w:noWrap/>
            <w:vAlign w:val="center"/>
          </w:tcPr>
          <w:p w14:paraId="252B622D"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283</w:t>
            </w:r>
          </w:p>
        </w:tc>
        <w:tc>
          <w:tcPr>
            <w:tcW w:w="345" w:type="pct"/>
            <w:shd w:val="clear" w:color="auto" w:fill="auto"/>
            <w:noWrap/>
            <w:vAlign w:val="center"/>
          </w:tcPr>
          <w:p w14:paraId="0C621E8F"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28</w:t>
            </w:r>
          </w:p>
        </w:tc>
        <w:tc>
          <w:tcPr>
            <w:tcW w:w="373" w:type="pct"/>
            <w:shd w:val="clear" w:color="auto" w:fill="auto"/>
            <w:noWrap/>
            <w:vAlign w:val="center"/>
          </w:tcPr>
          <w:p w14:paraId="2B3B0EFF"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351</w:t>
            </w:r>
          </w:p>
        </w:tc>
        <w:tc>
          <w:tcPr>
            <w:tcW w:w="399" w:type="pct"/>
            <w:shd w:val="clear" w:color="auto" w:fill="auto"/>
            <w:noWrap/>
            <w:vAlign w:val="center"/>
          </w:tcPr>
          <w:p w14:paraId="13BB0536"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58</w:t>
            </w:r>
          </w:p>
        </w:tc>
        <w:tc>
          <w:tcPr>
            <w:tcW w:w="373" w:type="pct"/>
            <w:shd w:val="clear" w:color="auto" w:fill="auto"/>
            <w:noWrap/>
            <w:vAlign w:val="center"/>
          </w:tcPr>
          <w:p w14:paraId="08C3A16B"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409</w:t>
            </w:r>
          </w:p>
        </w:tc>
        <w:tc>
          <w:tcPr>
            <w:tcW w:w="427" w:type="pct"/>
            <w:shd w:val="clear" w:color="auto" w:fill="auto"/>
            <w:noWrap/>
            <w:vAlign w:val="center"/>
          </w:tcPr>
          <w:p w14:paraId="54142D35"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91</w:t>
            </w:r>
          </w:p>
        </w:tc>
        <w:tc>
          <w:tcPr>
            <w:tcW w:w="450" w:type="pct"/>
            <w:shd w:val="clear" w:color="auto" w:fill="auto"/>
            <w:noWrap/>
            <w:vAlign w:val="center"/>
          </w:tcPr>
          <w:p w14:paraId="251731F5"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300</w:t>
            </w:r>
          </w:p>
        </w:tc>
        <w:tc>
          <w:tcPr>
            <w:tcW w:w="450" w:type="pct"/>
            <w:shd w:val="clear" w:color="auto" w:fill="auto"/>
            <w:noWrap/>
            <w:vAlign w:val="center"/>
          </w:tcPr>
          <w:p w14:paraId="05E44678"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44</w:t>
            </w:r>
          </w:p>
        </w:tc>
        <w:tc>
          <w:tcPr>
            <w:tcW w:w="327" w:type="pct"/>
            <w:gridSpan w:val="2"/>
            <w:shd w:val="clear" w:color="auto" w:fill="auto"/>
            <w:noWrap/>
            <w:vAlign w:val="center"/>
          </w:tcPr>
          <w:p w14:paraId="2170217E" w14:textId="77777777" w:rsidR="00671B63" w:rsidRPr="001B4CA2" w:rsidRDefault="00671B63" w:rsidP="00671B63">
            <w:pPr>
              <w:jc w:val="center"/>
              <w:rPr>
                <w:rFonts w:eastAsia="Times New Roman"/>
                <w:bCs/>
                <w:color w:val="000000"/>
                <w:sz w:val="18"/>
                <w:szCs w:val="18"/>
                <w:lang w:eastAsia="hr-HR"/>
              </w:rPr>
            </w:pPr>
            <w:r w:rsidRPr="001B4CA2">
              <w:rPr>
                <w:rFonts w:eastAsia="Times New Roman"/>
                <w:bCs/>
                <w:color w:val="000000"/>
                <w:sz w:val="18"/>
                <w:szCs w:val="18"/>
                <w:lang w:eastAsia="hr-HR"/>
              </w:rPr>
              <w:t>435</w:t>
            </w:r>
          </w:p>
        </w:tc>
        <w:tc>
          <w:tcPr>
            <w:tcW w:w="388" w:type="pct"/>
            <w:shd w:val="clear" w:color="auto" w:fill="auto"/>
            <w:noWrap/>
            <w:vAlign w:val="center"/>
          </w:tcPr>
          <w:p w14:paraId="65C1A594" w14:textId="77777777" w:rsidR="00671B63" w:rsidRPr="001B4CA2" w:rsidRDefault="00671B63" w:rsidP="00671B63">
            <w:pPr>
              <w:jc w:val="center"/>
              <w:rPr>
                <w:rFonts w:eastAsia="Times New Roman"/>
                <w:color w:val="000000"/>
                <w:sz w:val="18"/>
                <w:szCs w:val="18"/>
                <w:lang w:eastAsia="hr-HR"/>
              </w:rPr>
            </w:pPr>
            <w:r w:rsidRPr="001B4CA2">
              <w:rPr>
                <w:rFonts w:eastAsia="Times New Roman"/>
                <w:color w:val="000000"/>
                <w:sz w:val="18"/>
                <w:szCs w:val="18"/>
                <w:lang w:eastAsia="hr-HR"/>
              </w:rPr>
              <w:t>560</w:t>
            </w:r>
          </w:p>
        </w:tc>
      </w:tr>
      <w:tr w:rsidR="00671B63" w:rsidRPr="001B4CA2" w14:paraId="324FCCB9" w14:textId="77777777" w:rsidTr="00FA50FE">
        <w:trPr>
          <w:trHeight w:val="329"/>
          <w:jc w:val="center"/>
        </w:trPr>
        <w:tc>
          <w:tcPr>
            <w:tcW w:w="434" w:type="pct"/>
            <w:shd w:val="clear" w:color="auto" w:fill="auto"/>
            <w:noWrap/>
            <w:vAlign w:val="center"/>
          </w:tcPr>
          <w:p w14:paraId="248058EB"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2020.</w:t>
            </w:r>
          </w:p>
        </w:tc>
        <w:tc>
          <w:tcPr>
            <w:tcW w:w="345" w:type="pct"/>
            <w:shd w:val="clear" w:color="auto" w:fill="auto"/>
            <w:noWrap/>
            <w:vAlign w:val="center"/>
          </w:tcPr>
          <w:p w14:paraId="6ADFEB29" w14:textId="77777777" w:rsidR="00671B63" w:rsidRPr="001B4CA2" w:rsidRDefault="00671B63" w:rsidP="00671B63">
            <w:pPr>
              <w:jc w:val="center"/>
              <w:rPr>
                <w:bCs/>
                <w:sz w:val="18"/>
                <w:szCs w:val="18"/>
              </w:rPr>
            </w:pPr>
            <w:r w:rsidRPr="001B4CA2">
              <w:rPr>
                <w:bCs/>
                <w:sz w:val="18"/>
                <w:szCs w:val="18"/>
              </w:rPr>
              <w:t>21</w:t>
            </w:r>
          </w:p>
        </w:tc>
        <w:tc>
          <w:tcPr>
            <w:tcW w:w="345" w:type="pct"/>
            <w:shd w:val="clear" w:color="auto" w:fill="auto"/>
            <w:noWrap/>
            <w:vAlign w:val="center"/>
          </w:tcPr>
          <w:p w14:paraId="2B4D8226" w14:textId="77777777" w:rsidR="00671B63" w:rsidRPr="001B4CA2" w:rsidRDefault="00671B63" w:rsidP="00671B63">
            <w:pPr>
              <w:jc w:val="center"/>
              <w:rPr>
                <w:bCs/>
                <w:sz w:val="18"/>
                <w:szCs w:val="18"/>
              </w:rPr>
            </w:pPr>
            <w:r w:rsidRPr="001B4CA2">
              <w:rPr>
                <w:bCs/>
                <w:sz w:val="18"/>
                <w:szCs w:val="18"/>
              </w:rPr>
              <w:t>0</w:t>
            </w:r>
          </w:p>
        </w:tc>
        <w:tc>
          <w:tcPr>
            <w:tcW w:w="345" w:type="pct"/>
            <w:shd w:val="clear" w:color="auto" w:fill="auto"/>
            <w:noWrap/>
            <w:vAlign w:val="center"/>
          </w:tcPr>
          <w:p w14:paraId="5786C831" w14:textId="77777777" w:rsidR="00671B63" w:rsidRPr="001B4CA2" w:rsidRDefault="00671B63" w:rsidP="00671B63">
            <w:pPr>
              <w:jc w:val="center"/>
              <w:rPr>
                <w:bCs/>
                <w:sz w:val="18"/>
                <w:szCs w:val="18"/>
              </w:rPr>
            </w:pPr>
            <w:r w:rsidRPr="001B4CA2">
              <w:rPr>
                <w:bCs/>
                <w:sz w:val="18"/>
                <w:szCs w:val="18"/>
              </w:rPr>
              <w:t>289</w:t>
            </w:r>
          </w:p>
        </w:tc>
        <w:tc>
          <w:tcPr>
            <w:tcW w:w="345" w:type="pct"/>
            <w:shd w:val="clear" w:color="auto" w:fill="auto"/>
            <w:noWrap/>
            <w:vAlign w:val="center"/>
          </w:tcPr>
          <w:p w14:paraId="68BAD837" w14:textId="77777777" w:rsidR="00671B63" w:rsidRPr="001B4CA2" w:rsidRDefault="00671B63" w:rsidP="00671B63">
            <w:pPr>
              <w:jc w:val="center"/>
              <w:rPr>
                <w:bCs/>
                <w:sz w:val="18"/>
                <w:szCs w:val="18"/>
              </w:rPr>
            </w:pPr>
            <w:r w:rsidRPr="001B4CA2">
              <w:rPr>
                <w:bCs/>
                <w:sz w:val="18"/>
                <w:szCs w:val="18"/>
              </w:rPr>
              <w:t>34</w:t>
            </w:r>
          </w:p>
        </w:tc>
        <w:tc>
          <w:tcPr>
            <w:tcW w:w="373" w:type="pct"/>
            <w:shd w:val="clear" w:color="auto" w:fill="auto"/>
            <w:noWrap/>
            <w:vAlign w:val="center"/>
          </w:tcPr>
          <w:p w14:paraId="63059CB5" w14:textId="77777777" w:rsidR="00671B63" w:rsidRPr="001B4CA2" w:rsidRDefault="00671B63" w:rsidP="00671B63">
            <w:pPr>
              <w:jc w:val="center"/>
              <w:rPr>
                <w:bCs/>
                <w:sz w:val="18"/>
                <w:szCs w:val="18"/>
              </w:rPr>
            </w:pPr>
            <w:r w:rsidRPr="001B4CA2">
              <w:rPr>
                <w:bCs/>
                <w:sz w:val="18"/>
                <w:szCs w:val="18"/>
              </w:rPr>
              <w:t>344</w:t>
            </w:r>
          </w:p>
        </w:tc>
        <w:tc>
          <w:tcPr>
            <w:tcW w:w="399" w:type="pct"/>
            <w:shd w:val="clear" w:color="auto" w:fill="auto"/>
            <w:noWrap/>
            <w:vAlign w:val="center"/>
          </w:tcPr>
          <w:p w14:paraId="6959A6B7"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59</w:t>
            </w:r>
          </w:p>
        </w:tc>
        <w:tc>
          <w:tcPr>
            <w:tcW w:w="373" w:type="pct"/>
            <w:shd w:val="clear" w:color="auto" w:fill="auto"/>
            <w:noWrap/>
            <w:vAlign w:val="center"/>
          </w:tcPr>
          <w:p w14:paraId="2F5DA7F4"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403</w:t>
            </w:r>
          </w:p>
        </w:tc>
        <w:tc>
          <w:tcPr>
            <w:tcW w:w="427" w:type="pct"/>
            <w:shd w:val="clear" w:color="auto" w:fill="auto"/>
            <w:noWrap/>
            <w:vAlign w:val="center"/>
          </w:tcPr>
          <w:p w14:paraId="3700FD94" w14:textId="77777777" w:rsidR="00671B63" w:rsidRPr="001B4CA2" w:rsidRDefault="00671B63" w:rsidP="00671B63">
            <w:pPr>
              <w:jc w:val="center"/>
              <w:rPr>
                <w:bCs/>
                <w:sz w:val="18"/>
                <w:szCs w:val="18"/>
              </w:rPr>
            </w:pPr>
            <w:r w:rsidRPr="001B4CA2">
              <w:rPr>
                <w:bCs/>
                <w:sz w:val="18"/>
                <w:szCs w:val="18"/>
              </w:rPr>
              <w:t>278</w:t>
            </w:r>
          </w:p>
        </w:tc>
        <w:tc>
          <w:tcPr>
            <w:tcW w:w="450" w:type="pct"/>
            <w:shd w:val="clear" w:color="auto" w:fill="auto"/>
            <w:noWrap/>
            <w:vAlign w:val="center"/>
          </w:tcPr>
          <w:p w14:paraId="3C0CEA9C" w14:textId="77777777" w:rsidR="00671B63" w:rsidRPr="001B4CA2" w:rsidRDefault="00671B63" w:rsidP="00671B63">
            <w:pPr>
              <w:jc w:val="center"/>
              <w:rPr>
                <w:bCs/>
                <w:sz w:val="18"/>
                <w:szCs w:val="18"/>
              </w:rPr>
            </w:pPr>
            <w:r w:rsidRPr="001B4CA2">
              <w:rPr>
                <w:bCs/>
                <w:sz w:val="18"/>
                <w:szCs w:val="18"/>
              </w:rPr>
              <w:t>51</w:t>
            </w:r>
          </w:p>
        </w:tc>
        <w:tc>
          <w:tcPr>
            <w:tcW w:w="450" w:type="pct"/>
            <w:shd w:val="clear" w:color="auto" w:fill="auto"/>
            <w:noWrap/>
            <w:vAlign w:val="center"/>
          </w:tcPr>
          <w:p w14:paraId="56914653" w14:textId="77777777" w:rsidR="00671B63" w:rsidRPr="001B4CA2" w:rsidRDefault="00671B63" w:rsidP="00671B63">
            <w:pPr>
              <w:jc w:val="center"/>
              <w:rPr>
                <w:bCs/>
                <w:sz w:val="18"/>
                <w:szCs w:val="18"/>
              </w:rPr>
            </w:pPr>
            <w:r w:rsidRPr="001B4CA2">
              <w:rPr>
                <w:bCs/>
                <w:sz w:val="18"/>
                <w:szCs w:val="18"/>
              </w:rPr>
              <w:t>9</w:t>
            </w:r>
          </w:p>
        </w:tc>
        <w:tc>
          <w:tcPr>
            <w:tcW w:w="327" w:type="pct"/>
            <w:gridSpan w:val="2"/>
            <w:shd w:val="clear" w:color="auto" w:fill="auto"/>
            <w:noWrap/>
            <w:vAlign w:val="center"/>
          </w:tcPr>
          <w:p w14:paraId="1E43CE53" w14:textId="77777777" w:rsidR="00671B63" w:rsidRPr="001B4CA2" w:rsidRDefault="00671B63" w:rsidP="00671B63">
            <w:pPr>
              <w:jc w:val="center"/>
              <w:rPr>
                <w:bCs/>
                <w:sz w:val="18"/>
                <w:szCs w:val="18"/>
              </w:rPr>
            </w:pPr>
            <w:r w:rsidRPr="001B4CA2">
              <w:rPr>
                <w:bCs/>
                <w:sz w:val="18"/>
                <w:szCs w:val="18"/>
              </w:rPr>
              <w:t>338</w:t>
            </w:r>
          </w:p>
        </w:tc>
        <w:tc>
          <w:tcPr>
            <w:tcW w:w="388" w:type="pct"/>
            <w:shd w:val="clear" w:color="auto" w:fill="auto"/>
            <w:noWrap/>
            <w:vAlign w:val="center"/>
          </w:tcPr>
          <w:p w14:paraId="2A4EF668"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130</w:t>
            </w:r>
          </w:p>
        </w:tc>
      </w:tr>
      <w:tr w:rsidR="00671B63" w:rsidRPr="001B4CA2" w14:paraId="5621C18A" w14:textId="77777777" w:rsidTr="00FA50FE">
        <w:trPr>
          <w:trHeight w:val="329"/>
          <w:jc w:val="center"/>
        </w:trPr>
        <w:tc>
          <w:tcPr>
            <w:tcW w:w="434" w:type="pct"/>
            <w:shd w:val="clear" w:color="auto" w:fill="auto"/>
            <w:noWrap/>
            <w:vAlign w:val="center"/>
          </w:tcPr>
          <w:p w14:paraId="3A6D9FFC"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2021.</w:t>
            </w:r>
          </w:p>
        </w:tc>
        <w:tc>
          <w:tcPr>
            <w:tcW w:w="345" w:type="pct"/>
            <w:shd w:val="clear" w:color="auto" w:fill="auto"/>
            <w:noWrap/>
            <w:vAlign w:val="center"/>
          </w:tcPr>
          <w:p w14:paraId="1A9F6B07" w14:textId="77777777" w:rsidR="00671B63" w:rsidRPr="001B4CA2" w:rsidRDefault="00671B63" w:rsidP="00671B63">
            <w:pPr>
              <w:jc w:val="center"/>
              <w:rPr>
                <w:bCs/>
                <w:sz w:val="18"/>
                <w:szCs w:val="18"/>
              </w:rPr>
            </w:pPr>
            <w:r w:rsidRPr="001B4CA2">
              <w:rPr>
                <w:bCs/>
                <w:sz w:val="18"/>
                <w:szCs w:val="18"/>
              </w:rPr>
              <w:t>37</w:t>
            </w:r>
          </w:p>
        </w:tc>
        <w:tc>
          <w:tcPr>
            <w:tcW w:w="345" w:type="pct"/>
            <w:shd w:val="clear" w:color="auto" w:fill="auto"/>
            <w:noWrap/>
            <w:vAlign w:val="center"/>
          </w:tcPr>
          <w:p w14:paraId="70D9B545" w14:textId="77777777" w:rsidR="00671B63" w:rsidRPr="001B4CA2" w:rsidRDefault="00671B63" w:rsidP="00671B63">
            <w:pPr>
              <w:jc w:val="center"/>
              <w:rPr>
                <w:bCs/>
                <w:sz w:val="18"/>
                <w:szCs w:val="18"/>
              </w:rPr>
            </w:pPr>
            <w:r w:rsidRPr="001B4CA2">
              <w:rPr>
                <w:bCs/>
                <w:sz w:val="18"/>
                <w:szCs w:val="18"/>
              </w:rPr>
              <w:t>0</w:t>
            </w:r>
          </w:p>
        </w:tc>
        <w:tc>
          <w:tcPr>
            <w:tcW w:w="345" w:type="pct"/>
            <w:shd w:val="clear" w:color="auto" w:fill="auto"/>
            <w:noWrap/>
            <w:vAlign w:val="center"/>
          </w:tcPr>
          <w:p w14:paraId="6B0C0E13" w14:textId="77777777" w:rsidR="00671B63" w:rsidRPr="001B4CA2" w:rsidRDefault="00671B63" w:rsidP="00671B63">
            <w:pPr>
              <w:jc w:val="center"/>
              <w:rPr>
                <w:bCs/>
                <w:sz w:val="18"/>
                <w:szCs w:val="18"/>
              </w:rPr>
            </w:pPr>
            <w:r w:rsidRPr="001B4CA2">
              <w:rPr>
                <w:bCs/>
                <w:sz w:val="18"/>
                <w:szCs w:val="18"/>
              </w:rPr>
              <w:t>736</w:t>
            </w:r>
          </w:p>
        </w:tc>
        <w:tc>
          <w:tcPr>
            <w:tcW w:w="345" w:type="pct"/>
            <w:shd w:val="clear" w:color="auto" w:fill="auto"/>
            <w:noWrap/>
            <w:vAlign w:val="center"/>
          </w:tcPr>
          <w:p w14:paraId="4884F267" w14:textId="77777777" w:rsidR="00671B63" w:rsidRPr="001B4CA2" w:rsidRDefault="00671B63" w:rsidP="00671B63">
            <w:pPr>
              <w:jc w:val="center"/>
              <w:rPr>
                <w:bCs/>
                <w:sz w:val="18"/>
                <w:szCs w:val="18"/>
              </w:rPr>
            </w:pPr>
            <w:r w:rsidRPr="001B4CA2">
              <w:rPr>
                <w:bCs/>
                <w:sz w:val="18"/>
                <w:szCs w:val="18"/>
              </w:rPr>
              <w:t>643</w:t>
            </w:r>
          </w:p>
        </w:tc>
        <w:tc>
          <w:tcPr>
            <w:tcW w:w="373" w:type="pct"/>
            <w:shd w:val="clear" w:color="auto" w:fill="auto"/>
            <w:noWrap/>
            <w:vAlign w:val="center"/>
          </w:tcPr>
          <w:p w14:paraId="2F542ADE" w14:textId="77777777" w:rsidR="00671B63" w:rsidRPr="001B4CA2" w:rsidRDefault="00671B63" w:rsidP="00671B63">
            <w:pPr>
              <w:jc w:val="center"/>
              <w:rPr>
                <w:bCs/>
                <w:sz w:val="18"/>
                <w:szCs w:val="18"/>
              </w:rPr>
            </w:pPr>
            <w:r w:rsidRPr="001B4CA2">
              <w:rPr>
                <w:bCs/>
                <w:sz w:val="18"/>
                <w:szCs w:val="18"/>
              </w:rPr>
              <w:t>1.416</w:t>
            </w:r>
          </w:p>
        </w:tc>
        <w:tc>
          <w:tcPr>
            <w:tcW w:w="399" w:type="pct"/>
            <w:shd w:val="clear" w:color="auto" w:fill="auto"/>
            <w:noWrap/>
            <w:vAlign w:val="center"/>
          </w:tcPr>
          <w:p w14:paraId="4AFD4B22"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67</w:t>
            </w:r>
          </w:p>
        </w:tc>
        <w:tc>
          <w:tcPr>
            <w:tcW w:w="373" w:type="pct"/>
            <w:shd w:val="clear" w:color="auto" w:fill="auto"/>
            <w:noWrap/>
            <w:vAlign w:val="center"/>
          </w:tcPr>
          <w:p w14:paraId="723831F0"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1.483</w:t>
            </w:r>
          </w:p>
        </w:tc>
        <w:tc>
          <w:tcPr>
            <w:tcW w:w="427" w:type="pct"/>
            <w:shd w:val="clear" w:color="auto" w:fill="auto"/>
            <w:noWrap/>
            <w:vAlign w:val="center"/>
          </w:tcPr>
          <w:p w14:paraId="70E0B52D" w14:textId="77777777" w:rsidR="00671B63" w:rsidRPr="001B4CA2" w:rsidRDefault="00671B63" w:rsidP="00671B63">
            <w:pPr>
              <w:jc w:val="center"/>
              <w:rPr>
                <w:bCs/>
                <w:sz w:val="18"/>
                <w:szCs w:val="18"/>
              </w:rPr>
            </w:pPr>
            <w:r w:rsidRPr="001B4CA2">
              <w:rPr>
                <w:bCs/>
                <w:sz w:val="18"/>
                <w:szCs w:val="18"/>
              </w:rPr>
              <w:t>776</w:t>
            </w:r>
          </w:p>
        </w:tc>
        <w:tc>
          <w:tcPr>
            <w:tcW w:w="450" w:type="pct"/>
            <w:shd w:val="clear" w:color="auto" w:fill="auto"/>
            <w:noWrap/>
            <w:vAlign w:val="center"/>
          </w:tcPr>
          <w:p w14:paraId="77937C40" w14:textId="77777777" w:rsidR="00671B63" w:rsidRPr="001B4CA2" w:rsidRDefault="00671B63" w:rsidP="00671B63">
            <w:pPr>
              <w:jc w:val="center"/>
              <w:rPr>
                <w:bCs/>
                <w:sz w:val="18"/>
                <w:szCs w:val="18"/>
              </w:rPr>
            </w:pPr>
            <w:r w:rsidRPr="001B4CA2">
              <w:rPr>
                <w:bCs/>
                <w:sz w:val="18"/>
                <w:szCs w:val="18"/>
              </w:rPr>
              <w:t>86</w:t>
            </w:r>
          </w:p>
        </w:tc>
        <w:tc>
          <w:tcPr>
            <w:tcW w:w="450" w:type="pct"/>
            <w:shd w:val="clear" w:color="auto" w:fill="auto"/>
            <w:noWrap/>
            <w:vAlign w:val="center"/>
          </w:tcPr>
          <w:p w14:paraId="70129BA8" w14:textId="77777777" w:rsidR="00671B63" w:rsidRPr="001B4CA2" w:rsidRDefault="00671B63" w:rsidP="00671B63">
            <w:pPr>
              <w:jc w:val="center"/>
              <w:rPr>
                <w:bCs/>
                <w:sz w:val="18"/>
                <w:szCs w:val="18"/>
              </w:rPr>
            </w:pPr>
            <w:r w:rsidRPr="001B4CA2">
              <w:rPr>
                <w:bCs/>
                <w:sz w:val="18"/>
                <w:szCs w:val="18"/>
              </w:rPr>
              <w:t>22</w:t>
            </w:r>
          </w:p>
        </w:tc>
        <w:tc>
          <w:tcPr>
            <w:tcW w:w="327" w:type="pct"/>
            <w:gridSpan w:val="2"/>
            <w:shd w:val="clear" w:color="auto" w:fill="auto"/>
            <w:noWrap/>
            <w:vAlign w:val="center"/>
          </w:tcPr>
          <w:p w14:paraId="14EA7857" w14:textId="77777777" w:rsidR="00671B63" w:rsidRPr="001B4CA2" w:rsidRDefault="00671B63" w:rsidP="00671B63">
            <w:pPr>
              <w:jc w:val="center"/>
              <w:rPr>
                <w:bCs/>
                <w:sz w:val="18"/>
                <w:szCs w:val="18"/>
              </w:rPr>
            </w:pPr>
            <w:r w:rsidRPr="001B4CA2">
              <w:rPr>
                <w:bCs/>
                <w:sz w:val="18"/>
                <w:szCs w:val="18"/>
              </w:rPr>
              <w:t>884</w:t>
            </w:r>
          </w:p>
        </w:tc>
        <w:tc>
          <w:tcPr>
            <w:tcW w:w="388" w:type="pct"/>
            <w:shd w:val="clear" w:color="auto" w:fill="auto"/>
            <w:noWrap/>
            <w:vAlign w:val="center"/>
          </w:tcPr>
          <w:p w14:paraId="02176246"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209</w:t>
            </w:r>
          </w:p>
        </w:tc>
      </w:tr>
      <w:tr w:rsidR="00671B63" w:rsidRPr="001B4CA2" w14:paraId="5272F15A" w14:textId="77777777" w:rsidTr="00FA50FE">
        <w:trPr>
          <w:trHeight w:val="329"/>
          <w:jc w:val="center"/>
        </w:trPr>
        <w:tc>
          <w:tcPr>
            <w:tcW w:w="434" w:type="pct"/>
            <w:shd w:val="clear" w:color="auto" w:fill="auto"/>
            <w:noWrap/>
            <w:vAlign w:val="center"/>
          </w:tcPr>
          <w:p w14:paraId="680AA81E"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2022.</w:t>
            </w:r>
          </w:p>
        </w:tc>
        <w:tc>
          <w:tcPr>
            <w:tcW w:w="345" w:type="pct"/>
            <w:shd w:val="clear" w:color="auto" w:fill="auto"/>
            <w:noWrap/>
            <w:vAlign w:val="center"/>
          </w:tcPr>
          <w:p w14:paraId="7BE087B2" w14:textId="77777777" w:rsidR="00671B63" w:rsidRPr="001B4CA2" w:rsidRDefault="00671B63" w:rsidP="00671B63">
            <w:pPr>
              <w:jc w:val="center"/>
              <w:rPr>
                <w:bCs/>
                <w:sz w:val="18"/>
                <w:szCs w:val="18"/>
              </w:rPr>
            </w:pPr>
            <w:r w:rsidRPr="001B4CA2">
              <w:rPr>
                <w:bCs/>
                <w:sz w:val="18"/>
                <w:szCs w:val="18"/>
              </w:rPr>
              <w:t>42</w:t>
            </w:r>
          </w:p>
        </w:tc>
        <w:tc>
          <w:tcPr>
            <w:tcW w:w="345" w:type="pct"/>
            <w:shd w:val="clear" w:color="auto" w:fill="auto"/>
            <w:noWrap/>
            <w:vAlign w:val="center"/>
          </w:tcPr>
          <w:p w14:paraId="6FC2C114" w14:textId="77777777" w:rsidR="00671B63" w:rsidRPr="001B4CA2" w:rsidRDefault="00671B63" w:rsidP="00671B63">
            <w:pPr>
              <w:jc w:val="center"/>
              <w:rPr>
                <w:bCs/>
                <w:sz w:val="18"/>
                <w:szCs w:val="18"/>
              </w:rPr>
            </w:pPr>
            <w:r w:rsidRPr="001B4CA2">
              <w:rPr>
                <w:bCs/>
                <w:sz w:val="18"/>
                <w:szCs w:val="18"/>
              </w:rPr>
              <w:t>0</w:t>
            </w:r>
          </w:p>
        </w:tc>
        <w:tc>
          <w:tcPr>
            <w:tcW w:w="345" w:type="pct"/>
            <w:shd w:val="clear" w:color="auto" w:fill="auto"/>
            <w:noWrap/>
            <w:vAlign w:val="center"/>
          </w:tcPr>
          <w:p w14:paraId="1D762191" w14:textId="77777777" w:rsidR="00671B63" w:rsidRPr="001B4CA2" w:rsidRDefault="00671B63" w:rsidP="00671B63">
            <w:pPr>
              <w:jc w:val="center"/>
              <w:rPr>
                <w:bCs/>
                <w:sz w:val="18"/>
                <w:szCs w:val="18"/>
              </w:rPr>
            </w:pPr>
            <w:r w:rsidRPr="001B4CA2">
              <w:rPr>
                <w:bCs/>
                <w:sz w:val="18"/>
                <w:szCs w:val="18"/>
              </w:rPr>
              <w:t>442</w:t>
            </w:r>
          </w:p>
        </w:tc>
        <w:tc>
          <w:tcPr>
            <w:tcW w:w="345" w:type="pct"/>
            <w:shd w:val="clear" w:color="auto" w:fill="auto"/>
            <w:noWrap/>
            <w:vAlign w:val="center"/>
          </w:tcPr>
          <w:p w14:paraId="57F2708C" w14:textId="77777777" w:rsidR="00671B63" w:rsidRPr="001B4CA2" w:rsidRDefault="00671B63" w:rsidP="00671B63">
            <w:pPr>
              <w:jc w:val="center"/>
              <w:rPr>
                <w:bCs/>
                <w:sz w:val="18"/>
                <w:szCs w:val="18"/>
              </w:rPr>
            </w:pPr>
            <w:r w:rsidRPr="001B4CA2">
              <w:rPr>
                <w:bCs/>
                <w:sz w:val="18"/>
                <w:szCs w:val="18"/>
              </w:rPr>
              <w:t>18</w:t>
            </w:r>
          </w:p>
        </w:tc>
        <w:tc>
          <w:tcPr>
            <w:tcW w:w="373" w:type="pct"/>
            <w:shd w:val="clear" w:color="auto" w:fill="auto"/>
            <w:noWrap/>
            <w:vAlign w:val="center"/>
          </w:tcPr>
          <w:p w14:paraId="0AD47F88" w14:textId="77777777" w:rsidR="00671B63" w:rsidRPr="001B4CA2" w:rsidRDefault="00671B63" w:rsidP="00671B63">
            <w:pPr>
              <w:jc w:val="center"/>
              <w:rPr>
                <w:bCs/>
                <w:sz w:val="18"/>
                <w:szCs w:val="18"/>
              </w:rPr>
            </w:pPr>
            <w:r w:rsidRPr="001B4CA2">
              <w:rPr>
                <w:bCs/>
                <w:sz w:val="18"/>
                <w:szCs w:val="18"/>
              </w:rPr>
              <w:t>502</w:t>
            </w:r>
          </w:p>
        </w:tc>
        <w:tc>
          <w:tcPr>
            <w:tcW w:w="399" w:type="pct"/>
            <w:shd w:val="clear" w:color="auto" w:fill="auto"/>
            <w:noWrap/>
            <w:vAlign w:val="center"/>
          </w:tcPr>
          <w:p w14:paraId="152D41A0" w14:textId="77777777" w:rsidR="00671B63" w:rsidRPr="001B4CA2" w:rsidRDefault="00671B63" w:rsidP="00671B63">
            <w:pPr>
              <w:jc w:val="center"/>
              <w:rPr>
                <w:rFonts w:asciiTheme="minorHAnsi" w:eastAsia="Times New Roman" w:hAnsiTheme="minorHAnsi" w:cstheme="minorHAnsi"/>
                <w:color w:val="000000"/>
                <w:sz w:val="18"/>
                <w:szCs w:val="18"/>
                <w:lang w:eastAsia="hr-HR"/>
              </w:rPr>
            </w:pPr>
            <w:r w:rsidRPr="001B4CA2">
              <w:rPr>
                <w:rFonts w:asciiTheme="minorHAnsi" w:eastAsia="Times New Roman" w:hAnsiTheme="minorHAnsi" w:cstheme="minorHAnsi"/>
                <w:color w:val="000000"/>
                <w:sz w:val="18"/>
                <w:szCs w:val="18"/>
                <w:lang w:eastAsia="hr-HR"/>
              </w:rPr>
              <w:t>59</w:t>
            </w:r>
          </w:p>
        </w:tc>
        <w:tc>
          <w:tcPr>
            <w:tcW w:w="373" w:type="pct"/>
            <w:shd w:val="clear" w:color="auto" w:fill="auto"/>
            <w:noWrap/>
            <w:vAlign w:val="center"/>
          </w:tcPr>
          <w:p w14:paraId="043B59F7" w14:textId="77777777" w:rsidR="00671B63" w:rsidRPr="001B4CA2" w:rsidRDefault="00671B63" w:rsidP="00671B63">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561</w:t>
            </w:r>
          </w:p>
        </w:tc>
        <w:tc>
          <w:tcPr>
            <w:tcW w:w="427" w:type="pct"/>
            <w:shd w:val="clear" w:color="auto" w:fill="auto"/>
            <w:noWrap/>
            <w:vAlign w:val="center"/>
          </w:tcPr>
          <w:p w14:paraId="73F70D1A" w14:textId="77777777" w:rsidR="00671B63" w:rsidRPr="001B4CA2" w:rsidRDefault="00671B63" w:rsidP="00671B63">
            <w:pPr>
              <w:jc w:val="center"/>
              <w:rPr>
                <w:bCs/>
                <w:sz w:val="18"/>
                <w:szCs w:val="18"/>
              </w:rPr>
            </w:pPr>
            <w:r w:rsidRPr="001B4CA2">
              <w:rPr>
                <w:bCs/>
                <w:sz w:val="18"/>
                <w:szCs w:val="18"/>
              </w:rPr>
              <w:t>162</w:t>
            </w:r>
          </w:p>
        </w:tc>
        <w:tc>
          <w:tcPr>
            <w:tcW w:w="450" w:type="pct"/>
            <w:shd w:val="clear" w:color="auto" w:fill="auto"/>
            <w:noWrap/>
            <w:vAlign w:val="center"/>
          </w:tcPr>
          <w:p w14:paraId="67BE9D5F" w14:textId="77777777" w:rsidR="00671B63" w:rsidRPr="001B4CA2" w:rsidRDefault="00671B63" w:rsidP="00671B63">
            <w:pPr>
              <w:jc w:val="center"/>
              <w:rPr>
                <w:bCs/>
                <w:sz w:val="18"/>
                <w:szCs w:val="18"/>
              </w:rPr>
            </w:pPr>
            <w:r w:rsidRPr="001B4CA2">
              <w:rPr>
                <w:bCs/>
                <w:sz w:val="18"/>
                <w:szCs w:val="18"/>
              </w:rPr>
              <w:t>111</w:t>
            </w:r>
          </w:p>
        </w:tc>
        <w:tc>
          <w:tcPr>
            <w:tcW w:w="450" w:type="pct"/>
            <w:shd w:val="clear" w:color="auto" w:fill="auto"/>
            <w:noWrap/>
            <w:vAlign w:val="center"/>
          </w:tcPr>
          <w:p w14:paraId="16A83A54" w14:textId="77777777" w:rsidR="00671B63" w:rsidRPr="001B4CA2" w:rsidRDefault="00671B63" w:rsidP="00671B63">
            <w:pPr>
              <w:jc w:val="center"/>
              <w:rPr>
                <w:bCs/>
                <w:sz w:val="18"/>
                <w:szCs w:val="18"/>
              </w:rPr>
            </w:pPr>
            <w:r w:rsidRPr="001B4CA2">
              <w:rPr>
                <w:bCs/>
                <w:sz w:val="18"/>
                <w:szCs w:val="18"/>
              </w:rPr>
              <w:t>20</w:t>
            </w:r>
          </w:p>
        </w:tc>
        <w:tc>
          <w:tcPr>
            <w:tcW w:w="327" w:type="pct"/>
            <w:gridSpan w:val="2"/>
            <w:shd w:val="clear" w:color="auto" w:fill="auto"/>
            <w:noWrap/>
            <w:vAlign w:val="center"/>
          </w:tcPr>
          <w:p w14:paraId="4ED262CF" w14:textId="77777777" w:rsidR="00671B63" w:rsidRPr="001B4CA2" w:rsidRDefault="00671B63" w:rsidP="00671B63">
            <w:pPr>
              <w:jc w:val="center"/>
              <w:rPr>
                <w:bCs/>
                <w:sz w:val="18"/>
                <w:szCs w:val="18"/>
              </w:rPr>
            </w:pPr>
            <w:r w:rsidRPr="001B4CA2">
              <w:rPr>
                <w:bCs/>
                <w:sz w:val="18"/>
                <w:szCs w:val="18"/>
              </w:rPr>
              <w:t>293</w:t>
            </w:r>
          </w:p>
        </w:tc>
        <w:tc>
          <w:tcPr>
            <w:tcW w:w="388" w:type="pct"/>
            <w:shd w:val="clear" w:color="auto" w:fill="auto"/>
            <w:noWrap/>
            <w:vAlign w:val="center"/>
          </w:tcPr>
          <w:p w14:paraId="7825852C" w14:textId="77777777" w:rsidR="00671B63" w:rsidRPr="001B4CA2" w:rsidRDefault="00671B63" w:rsidP="00671B63">
            <w:pPr>
              <w:jc w:val="center"/>
              <w:rPr>
                <w:bCs/>
                <w:sz w:val="18"/>
                <w:szCs w:val="18"/>
              </w:rPr>
            </w:pPr>
            <w:r w:rsidRPr="001B4CA2">
              <w:rPr>
                <w:bCs/>
                <w:sz w:val="18"/>
                <w:szCs w:val="18"/>
              </w:rPr>
              <w:t>369</w:t>
            </w:r>
          </w:p>
        </w:tc>
      </w:tr>
    </w:tbl>
    <w:p w14:paraId="1EA1FA04" w14:textId="77777777" w:rsidR="00671B63" w:rsidRPr="001B4CA2" w:rsidRDefault="00671B63" w:rsidP="00671B63">
      <w:pPr>
        <w:rPr>
          <w:szCs w:val="22"/>
        </w:rPr>
      </w:pPr>
    </w:p>
    <w:p w14:paraId="34FD9CE6" w14:textId="6A7E86DC" w:rsidR="00F6521D" w:rsidRPr="001B4CA2" w:rsidRDefault="00F6521D" w:rsidP="00F6521D">
      <w:pPr>
        <w:ind w:firstLine="708"/>
        <w:rPr>
          <w:rFonts w:eastAsia="Times New Roman"/>
          <w:bCs/>
          <w:lang w:eastAsia="hr-HR"/>
        </w:rPr>
      </w:pPr>
      <w:r w:rsidRPr="001B4CA2">
        <w:rPr>
          <w:rFonts w:eastAsia="Times New Roman"/>
          <w:bCs/>
          <w:lang w:eastAsia="hr-HR"/>
        </w:rPr>
        <w:t>U izvještajnoj godini može se primijetiti ažurnost postupanja u ovoj vrsti predmeta. Podnesene su 42 tužbe, podnesen</w:t>
      </w:r>
      <w:r w:rsidR="006141C3">
        <w:rPr>
          <w:rFonts w:eastAsia="Times New Roman"/>
          <w:bCs/>
          <w:lang w:eastAsia="hr-HR"/>
        </w:rPr>
        <w:t>a</w:t>
      </w:r>
      <w:r w:rsidR="001B4CA2">
        <w:rPr>
          <w:rFonts w:eastAsia="Times New Roman"/>
          <w:bCs/>
          <w:lang w:eastAsia="hr-HR"/>
        </w:rPr>
        <w:t xml:space="preserve"> </w:t>
      </w:r>
      <w:r w:rsidR="006141C3">
        <w:rPr>
          <w:rFonts w:eastAsia="Times New Roman"/>
          <w:bCs/>
          <w:lang w:eastAsia="hr-HR"/>
        </w:rPr>
        <w:t>su</w:t>
      </w:r>
      <w:r w:rsidRPr="001B4CA2">
        <w:rPr>
          <w:rFonts w:eastAsia="Times New Roman"/>
          <w:bCs/>
          <w:lang w:eastAsia="hr-HR"/>
        </w:rPr>
        <w:t xml:space="preserve"> 442 odgovora na tužbu, a u samo 18 predmeta rad je okončan službenom bilješkom. </w:t>
      </w:r>
    </w:p>
    <w:p w14:paraId="0078E978" w14:textId="77777777" w:rsidR="00F6521D" w:rsidRPr="001B4CA2" w:rsidRDefault="00F6521D" w:rsidP="00F6521D">
      <w:pPr>
        <w:rPr>
          <w:rFonts w:eastAsia="Times New Roman"/>
          <w:bCs/>
          <w:lang w:eastAsia="hr-HR"/>
        </w:rPr>
      </w:pPr>
    </w:p>
    <w:p w14:paraId="39A13FC4" w14:textId="77777777" w:rsidR="00F6521D" w:rsidRPr="001B4CA2" w:rsidRDefault="00F6521D" w:rsidP="00F6521D">
      <w:pPr>
        <w:ind w:firstLine="708"/>
        <w:rPr>
          <w:rFonts w:eastAsia="Times New Roman"/>
          <w:bCs/>
          <w:lang w:eastAsia="hr-HR"/>
        </w:rPr>
      </w:pPr>
      <w:r w:rsidRPr="001B4CA2">
        <w:rPr>
          <w:rFonts w:eastAsia="Times New Roman"/>
          <w:bCs/>
          <w:lang w:eastAsia="hr-HR"/>
        </w:rPr>
        <w:t xml:space="preserve">U ovoj vrsti predmeta teško je govoriti o uspjehu u postupku s obzirom na pravnu prirodu ovog postupka u kojem se provodi kontrola zakonitosti akata i postupanja javnopravnih tijela. Naime, državno odvjetništvo u predmetima upravnih sporova sudjeluje i u zaštiti javnog interesa kao stranka </w:t>
      </w:r>
      <w:proofErr w:type="spellStart"/>
      <w:r w:rsidRPr="006141C3">
        <w:rPr>
          <w:rFonts w:eastAsia="Times New Roman"/>
          <w:bCs/>
          <w:i/>
          <w:iCs/>
          <w:lang w:eastAsia="hr-HR"/>
        </w:rPr>
        <w:t>sui</w:t>
      </w:r>
      <w:proofErr w:type="spellEnd"/>
      <w:r w:rsidRPr="006141C3">
        <w:rPr>
          <w:rFonts w:eastAsia="Times New Roman"/>
          <w:bCs/>
          <w:i/>
          <w:iCs/>
          <w:lang w:eastAsia="hr-HR"/>
        </w:rPr>
        <w:t xml:space="preserve"> generis</w:t>
      </w:r>
      <w:r w:rsidRPr="001B4CA2">
        <w:rPr>
          <w:rFonts w:eastAsia="Times New Roman"/>
          <w:bCs/>
          <w:lang w:eastAsia="hr-HR"/>
        </w:rPr>
        <w:t>. Radi se o upravnim sporovima koji se odnose na postupke denacionalizacije. Ipak, ako analiziramo odluke sudova, u 87,78 % predmeta spor je dobiven kada ga promatramo u odnosu na stranku koju zastupa državno odvjetništvo, a izgubljen u 9,73% predmeta, dok se na ostale odluke suda odnosi 2,49 %.</w:t>
      </w:r>
    </w:p>
    <w:p w14:paraId="7A180B42" w14:textId="77777777" w:rsidR="00F6521D" w:rsidRPr="001B4CA2" w:rsidRDefault="00F6521D" w:rsidP="00F6521D">
      <w:pPr>
        <w:rPr>
          <w:rFonts w:eastAsia="Times New Roman"/>
          <w:bCs/>
          <w:lang w:eastAsia="hr-HR"/>
        </w:rPr>
      </w:pPr>
    </w:p>
    <w:p w14:paraId="0774CC1B" w14:textId="752828CF" w:rsidR="00F6521D" w:rsidRPr="001B4CA2" w:rsidRDefault="00F6521D" w:rsidP="00F6521D">
      <w:pPr>
        <w:ind w:firstLine="708"/>
      </w:pPr>
      <w:r w:rsidRPr="001B4CA2">
        <w:t xml:space="preserve">Od 293 odluke suda primljene u </w:t>
      </w:r>
      <w:r w:rsidR="006141C3">
        <w:t xml:space="preserve">konkretnom </w:t>
      </w:r>
      <w:r w:rsidRPr="001B4CA2">
        <w:t xml:space="preserve">razdoblju u 162 predmeta spor je dobiven. Radilo se uglavnom o sporovima koji se odnose na primjenu Zakona o pravima hrvatskih branitelja iz Domovinskog rata i članova njihovih obitelji </w:t>
      </w:r>
      <w:r w:rsidR="006141C3">
        <w:t>te</w:t>
      </w:r>
      <w:r w:rsidRPr="001B4CA2">
        <w:t xml:space="preserve"> zahtjeve za poništenje rješenja koje je u primjeni tog propisa donijelo Ministarstvo hrvatskih branitelja. </w:t>
      </w:r>
    </w:p>
    <w:p w14:paraId="32EE523D" w14:textId="50FFBEF6" w:rsidR="0022058B" w:rsidRPr="001B4CA2" w:rsidRDefault="0022058B" w:rsidP="00671B63">
      <w:pPr>
        <w:ind w:left="-284"/>
        <w:contextualSpacing/>
        <w:jc w:val="left"/>
      </w:pPr>
    </w:p>
    <w:p w14:paraId="137826EC" w14:textId="77777777" w:rsidR="00F226A4" w:rsidRPr="001B4CA2" w:rsidRDefault="00F226A4" w:rsidP="00B01342"/>
    <w:p w14:paraId="0379DF37" w14:textId="3736EDEE" w:rsidR="00F226A4" w:rsidRPr="001B4CA2" w:rsidRDefault="00F226A4" w:rsidP="00B01342"/>
    <w:p w14:paraId="5152967B" w14:textId="77777777" w:rsidR="0020162B" w:rsidRPr="001B4CA2" w:rsidRDefault="0020162B" w:rsidP="00B01342"/>
    <w:p w14:paraId="7574EC49" w14:textId="77777777" w:rsidR="00F226A4" w:rsidRPr="001B4CA2" w:rsidRDefault="00F226A4" w:rsidP="00B01342"/>
    <w:p w14:paraId="7AE29DB5" w14:textId="5B754BB2" w:rsidR="00F07E44" w:rsidRPr="001B4CA2" w:rsidRDefault="00BB4D48" w:rsidP="0002334C">
      <w:pPr>
        <w:pStyle w:val="Naslov4"/>
        <w:tabs>
          <w:tab w:val="left" w:pos="1134"/>
        </w:tabs>
        <w:rPr>
          <w:rFonts w:ascii="Arial" w:hAnsi="Arial" w:cs="Arial"/>
        </w:rPr>
      </w:pPr>
      <w:bookmarkStart w:id="97" w:name="_Toc133394354"/>
      <w:r w:rsidRPr="001B4CA2">
        <w:rPr>
          <w:rFonts w:ascii="Arial" w:hAnsi="Arial" w:cs="Arial"/>
        </w:rPr>
        <w:lastRenderedPageBreak/>
        <w:t>Odluke u ostalim predmetima</w:t>
      </w:r>
      <w:bookmarkEnd w:id="97"/>
      <w:r w:rsidRPr="001B4CA2">
        <w:rPr>
          <w:rFonts w:ascii="Arial" w:hAnsi="Arial" w:cs="Arial"/>
        </w:rPr>
        <w:t xml:space="preserve"> </w:t>
      </w:r>
    </w:p>
    <w:p w14:paraId="3DE5E50C" w14:textId="77777777" w:rsidR="00EE6BA4" w:rsidRPr="001B4CA2" w:rsidRDefault="00EE6BA4" w:rsidP="00EE6BA4"/>
    <w:p w14:paraId="27D84888" w14:textId="5CFAF052" w:rsidR="00EE6BA4" w:rsidRPr="001B4CA2" w:rsidRDefault="00EE6BA4" w:rsidP="00EE6BA4">
      <w:pPr>
        <w:pStyle w:val="Odlomakpopisa"/>
        <w:numPr>
          <w:ilvl w:val="0"/>
          <w:numId w:val="48"/>
        </w:numPr>
        <w:jc w:val="left"/>
        <w:rPr>
          <w:rFonts w:asciiTheme="minorHAnsi" w:hAnsiTheme="minorHAnsi" w:cstheme="minorBidi"/>
          <w:i/>
          <w:szCs w:val="22"/>
        </w:rPr>
      </w:pPr>
      <w:r w:rsidRPr="001B4CA2">
        <w:rPr>
          <w:rFonts w:asciiTheme="minorHAnsi" w:hAnsiTheme="minorHAnsi" w:cstheme="minorBidi"/>
          <w:i/>
          <w:szCs w:val="22"/>
        </w:rPr>
        <w:t xml:space="preserve">Adhezijski predmeti 2018. – 2022. </w:t>
      </w:r>
    </w:p>
    <w:tbl>
      <w:tblPr>
        <w:tblW w:w="47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04"/>
        <w:gridCol w:w="889"/>
        <w:gridCol w:w="759"/>
        <w:gridCol w:w="809"/>
        <w:gridCol w:w="1561"/>
        <w:gridCol w:w="1127"/>
        <w:gridCol w:w="1162"/>
        <w:gridCol w:w="1161"/>
      </w:tblGrid>
      <w:tr w:rsidR="00EE6BA4" w:rsidRPr="001B4CA2" w14:paraId="3317EA92" w14:textId="77777777" w:rsidTr="00EE6BA4">
        <w:trPr>
          <w:trHeight w:val="663"/>
          <w:jc w:val="center"/>
        </w:trPr>
        <w:tc>
          <w:tcPr>
            <w:tcW w:w="403" w:type="pct"/>
            <w:vMerge w:val="restart"/>
            <w:shd w:val="clear" w:color="auto" w:fill="99CCFF"/>
            <w:noWrap/>
            <w:textDirection w:val="btLr"/>
            <w:vAlign w:val="center"/>
            <w:hideMark/>
          </w:tcPr>
          <w:p w14:paraId="2F6350BD" w14:textId="77777777" w:rsidR="00EE6BA4" w:rsidRPr="001B4CA2" w:rsidRDefault="00EE6BA4" w:rsidP="00EE6BA4">
            <w:pPr>
              <w:ind w:left="113" w:right="113"/>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Godina</w:t>
            </w:r>
          </w:p>
        </w:tc>
        <w:tc>
          <w:tcPr>
            <w:tcW w:w="396" w:type="pct"/>
            <w:vMerge w:val="restart"/>
            <w:shd w:val="clear" w:color="auto" w:fill="99CCFF"/>
            <w:textDirection w:val="btLr"/>
            <w:vAlign w:val="center"/>
            <w:hideMark/>
          </w:tcPr>
          <w:p w14:paraId="101D3981" w14:textId="77777777" w:rsidR="00EE6BA4" w:rsidRPr="001B4CA2" w:rsidRDefault="00EE6BA4" w:rsidP="00EE6BA4">
            <w:pPr>
              <w:ind w:left="113" w:right="113"/>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Ostalo u radu u DO</w:t>
            </w:r>
          </w:p>
        </w:tc>
        <w:tc>
          <w:tcPr>
            <w:tcW w:w="500" w:type="pct"/>
            <w:vMerge w:val="restart"/>
            <w:shd w:val="clear" w:color="auto" w:fill="99CCFF"/>
            <w:textDirection w:val="btLr"/>
            <w:vAlign w:val="center"/>
            <w:hideMark/>
          </w:tcPr>
          <w:p w14:paraId="4C33D158" w14:textId="77777777" w:rsidR="00EE6BA4" w:rsidRPr="001B4CA2" w:rsidRDefault="00EE6BA4" w:rsidP="00EE6BA4">
            <w:pPr>
              <w:ind w:left="113" w:right="113"/>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Primljeno novih predmeta</w:t>
            </w:r>
          </w:p>
        </w:tc>
        <w:tc>
          <w:tcPr>
            <w:tcW w:w="427" w:type="pct"/>
            <w:vMerge w:val="restart"/>
            <w:shd w:val="clear" w:color="auto" w:fill="99CCFF"/>
            <w:textDirection w:val="btLr"/>
            <w:vAlign w:val="center"/>
            <w:hideMark/>
          </w:tcPr>
          <w:p w14:paraId="7AF301BE" w14:textId="77777777" w:rsidR="00EE6BA4" w:rsidRPr="001B4CA2" w:rsidRDefault="00EE6BA4" w:rsidP="00EE6BA4">
            <w:pPr>
              <w:ind w:left="113" w:right="113"/>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Ukupno u radu u DO</w:t>
            </w:r>
          </w:p>
        </w:tc>
        <w:tc>
          <w:tcPr>
            <w:tcW w:w="455" w:type="pct"/>
            <w:vMerge w:val="restart"/>
            <w:shd w:val="clear" w:color="auto" w:fill="99CCFF"/>
            <w:noWrap/>
            <w:textDirection w:val="btLr"/>
            <w:vAlign w:val="center"/>
            <w:hideMark/>
          </w:tcPr>
          <w:p w14:paraId="5796E1FD" w14:textId="77777777" w:rsidR="00EE6BA4" w:rsidRPr="001B4CA2" w:rsidRDefault="00EE6BA4" w:rsidP="00EE6BA4">
            <w:pPr>
              <w:ind w:left="113" w:right="113"/>
              <w:jc w:val="left"/>
              <w:rPr>
                <w:rFonts w:asciiTheme="minorHAnsi" w:eastAsia="Times New Roman" w:hAnsiTheme="minorHAnsi" w:cstheme="minorHAnsi"/>
                <w:b/>
                <w:bCs/>
                <w:color w:val="000000"/>
                <w:sz w:val="18"/>
                <w:szCs w:val="18"/>
                <w:lang w:eastAsia="hr-HR"/>
              </w:rPr>
            </w:pPr>
            <w:r w:rsidRPr="001B4CA2">
              <w:rPr>
                <w:rFonts w:asciiTheme="minorHAnsi" w:eastAsia="Times New Roman" w:hAnsiTheme="minorHAnsi" w:cstheme="minorHAnsi"/>
                <w:b/>
                <w:bCs/>
                <w:color w:val="000000"/>
                <w:sz w:val="18"/>
                <w:szCs w:val="18"/>
                <w:lang w:eastAsia="hr-HR"/>
              </w:rPr>
              <w:t xml:space="preserve">Riješeno </w:t>
            </w:r>
          </w:p>
        </w:tc>
        <w:tc>
          <w:tcPr>
            <w:tcW w:w="878" w:type="pct"/>
            <w:vMerge w:val="restart"/>
            <w:shd w:val="clear" w:color="auto" w:fill="99CCFF"/>
            <w:textDirection w:val="btLr"/>
            <w:vAlign w:val="center"/>
            <w:hideMark/>
          </w:tcPr>
          <w:p w14:paraId="52688C70" w14:textId="77777777" w:rsidR="00EE6BA4" w:rsidRPr="001B4CA2" w:rsidRDefault="00EE6BA4" w:rsidP="00EE6BA4">
            <w:pPr>
              <w:ind w:left="113" w:right="113"/>
              <w:jc w:val="left"/>
              <w:rPr>
                <w:rFonts w:asciiTheme="minorHAnsi" w:eastAsia="Times New Roman" w:hAnsiTheme="minorHAnsi" w:cstheme="minorHAnsi"/>
                <w:b/>
                <w:bCs/>
                <w:color w:val="0D0D0D" w:themeColor="text1" w:themeTint="F2"/>
                <w:sz w:val="18"/>
                <w:szCs w:val="18"/>
                <w:lang w:eastAsia="hr-HR"/>
              </w:rPr>
            </w:pPr>
            <w:r w:rsidRPr="001B4CA2">
              <w:rPr>
                <w:rFonts w:asciiTheme="minorHAnsi" w:eastAsia="Times New Roman" w:hAnsiTheme="minorHAnsi" w:cstheme="minorHAnsi"/>
                <w:b/>
                <w:bCs/>
                <w:color w:val="0D0D0D" w:themeColor="text1" w:themeTint="F2"/>
                <w:sz w:val="18"/>
                <w:szCs w:val="18"/>
                <w:lang w:eastAsia="hr-HR"/>
              </w:rPr>
              <w:t>Vrijednost postavljenih imovinskopravnih zahtjeva (u tisućama kn)</w:t>
            </w:r>
          </w:p>
        </w:tc>
        <w:tc>
          <w:tcPr>
            <w:tcW w:w="1941" w:type="pct"/>
            <w:gridSpan w:val="3"/>
            <w:shd w:val="clear" w:color="auto" w:fill="99CCFF"/>
            <w:vAlign w:val="center"/>
          </w:tcPr>
          <w:p w14:paraId="0FE08340" w14:textId="77777777" w:rsidR="00EE6BA4" w:rsidRPr="001B4CA2" w:rsidRDefault="00EE6BA4" w:rsidP="00EE6BA4">
            <w:pPr>
              <w:jc w:val="center"/>
              <w:rPr>
                <w:rFonts w:asciiTheme="minorHAnsi" w:eastAsia="Times New Roman" w:hAnsiTheme="minorHAnsi" w:cstheme="minorHAnsi"/>
                <w:b/>
                <w:bCs/>
                <w:color w:val="0D0D0D" w:themeColor="text1" w:themeTint="F2"/>
                <w:sz w:val="18"/>
                <w:szCs w:val="18"/>
                <w:lang w:eastAsia="hr-HR"/>
              </w:rPr>
            </w:pPr>
            <w:r w:rsidRPr="001B4CA2">
              <w:rPr>
                <w:rFonts w:asciiTheme="minorHAnsi" w:eastAsia="Times New Roman" w:hAnsiTheme="minorHAnsi" w:cstheme="minorHAnsi"/>
                <w:b/>
                <w:bCs/>
                <w:color w:val="0D0D0D" w:themeColor="text1" w:themeTint="F2"/>
                <w:sz w:val="18"/>
                <w:szCs w:val="18"/>
                <w:lang w:eastAsia="hr-HR"/>
              </w:rPr>
              <w:t>Sudske odluke</w:t>
            </w:r>
          </w:p>
        </w:tc>
      </w:tr>
      <w:tr w:rsidR="00EE6BA4" w:rsidRPr="001B4CA2" w14:paraId="1D2DB643" w14:textId="77777777" w:rsidTr="00EE6BA4">
        <w:trPr>
          <w:trHeight w:val="348"/>
          <w:jc w:val="center"/>
        </w:trPr>
        <w:tc>
          <w:tcPr>
            <w:tcW w:w="403" w:type="pct"/>
            <w:vMerge/>
            <w:shd w:val="clear" w:color="auto" w:fill="00B0F0"/>
            <w:vAlign w:val="center"/>
            <w:hideMark/>
          </w:tcPr>
          <w:p w14:paraId="378E9EFC" w14:textId="77777777" w:rsidR="00EE6BA4" w:rsidRPr="001B4CA2" w:rsidRDefault="00EE6BA4" w:rsidP="00EE6BA4">
            <w:pPr>
              <w:jc w:val="left"/>
              <w:rPr>
                <w:rFonts w:asciiTheme="minorHAnsi" w:eastAsia="Times New Roman" w:hAnsiTheme="minorHAnsi" w:cstheme="minorHAnsi"/>
                <w:b/>
                <w:bCs/>
                <w:color w:val="000000"/>
                <w:sz w:val="18"/>
                <w:szCs w:val="18"/>
                <w:lang w:eastAsia="hr-HR"/>
              </w:rPr>
            </w:pPr>
          </w:p>
        </w:tc>
        <w:tc>
          <w:tcPr>
            <w:tcW w:w="396" w:type="pct"/>
            <w:vMerge/>
            <w:vAlign w:val="center"/>
            <w:hideMark/>
          </w:tcPr>
          <w:p w14:paraId="7575E902" w14:textId="77777777" w:rsidR="00EE6BA4" w:rsidRPr="001B4CA2" w:rsidRDefault="00EE6BA4" w:rsidP="00EE6BA4">
            <w:pPr>
              <w:jc w:val="left"/>
              <w:rPr>
                <w:rFonts w:asciiTheme="minorHAnsi" w:eastAsia="Times New Roman" w:hAnsiTheme="minorHAnsi" w:cstheme="minorHAnsi"/>
                <w:b/>
                <w:bCs/>
                <w:color w:val="000000"/>
                <w:sz w:val="18"/>
                <w:szCs w:val="18"/>
                <w:lang w:eastAsia="hr-HR"/>
              </w:rPr>
            </w:pPr>
          </w:p>
        </w:tc>
        <w:tc>
          <w:tcPr>
            <w:tcW w:w="500" w:type="pct"/>
            <w:vMerge/>
            <w:vAlign w:val="center"/>
            <w:hideMark/>
          </w:tcPr>
          <w:p w14:paraId="4778EC29" w14:textId="77777777" w:rsidR="00EE6BA4" w:rsidRPr="001B4CA2" w:rsidRDefault="00EE6BA4" w:rsidP="00EE6BA4">
            <w:pPr>
              <w:jc w:val="left"/>
              <w:rPr>
                <w:rFonts w:asciiTheme="minorHAnsi" w:eastAsia="Times New Roman" w:hAnsiTheme="minorHAnsi" w:cstheme="minorHAnsi"/>
                <w:b/>
                <w:bCs/>
                <w:color w:val="000000"/>
                <w:sz w:val="18"/>
                <w:szCs w:val="18"/>
                <w:lang w:eastAsia="hr-HR"/>
              </w:rPr>
            </w:pPr>
          </w:p>
        </w:tc>
        <w:tc>
          <w:tcPr>
            <w:tcW w:w="427" w:type="pct"/>
            <w:vMerge/>
            <w:vAlign w:val="center"/>
            <w:hideMark/>
          </w:tcPr>
          <w:p w14:paraId="0508B33F" w14:textId="77777777" w:rsidR="00EE6BA4" w:rsidRPr="001B4CA2" w:rsidRDefault="00EE6BA4" w:rsidP="00EE6BA4">
            <w:pPr>
              <w:jc w:val="left"/>
              <w:rPr>
                <w:rFonts w:asciiTheme="minorHAnsi" w:eastAsia="Times New Roman" w:hAnsiTheme="minorHAnsi" w:cstheme="minorHAnsi"/>
                <w:bCs/>
                <w:color w:val="000000"/>
                <w:sz w:val="18"/>
                <w:szCs w:val="18"/>
                <w:lang w:eastAsia="hr-HR"/>
              </w:rPr>
            </w:pPr>
          </w:p>
        </w:tc>
        <w:tc>
          <w:tcPr>
            <w:tcW w:w="455" w:type="pct"/>
            <w:vMerge/>
            <w:vAlign w:val="center"/>
            <w:hideMark/>
          </w:tcPr>
          <w:p w14:paraId="39D11CE7" w14:textId="77777777" w:rsidR="00EE6BA4" w:rsidRPr="001B4CA2" w:rsidRDefault="00EE6BA4" w:rsidP="00EE6BA4">
            <w:pPr>
              <w:jc w:val="left"/>
              <w:rPr>
                <w:rFonts w:asciiTheme="minorHAnsi" w:eastAsia="Times New Roman" w:hAnsiTheme="minorHAnsi" w:cstheme="minorHAnsi"/>
                <w:b/>
                <w:bCs/>
                <w:color w:val="000000"/>
                <w:sz w:val="18"/>
                <w:szCs w:val="18"/>
                <w:lang w:eastAsia="hr-HR"/>
              </w:rPr>
            </w:pPr>
          </w:p>
        </w:tc>
        <w:tc>
          <w:tcPr>
            <w:tcW w:w="878" w:type="pct"/>
            <w:vMerge/>
            <w:vAlign w:val="center"/>
            <w:hideMark/>
          </w:tcPr>
          <w:p w14:paraId="264E996B" w14:textId="77777777" w:rsidR="00EE6BA4" w:rsidRPr="001B4CA2" w:rsidRDefault="00EE6BA4" w:rsidP="00EE6BA4">
            <w:pPr>
              <w:jc w:val="left"/>
              <w:rPr>
                <w:rFonts w:asciiTheme="minorHAnsi" w:eastAsia="Times New Roman" w:hAnsiTheme="minorHAnsi" w:cstheme="minorHAnsi"/>
                <w:b/>
                <w:bCs/>
                <w:color w:val="000000"/>
                <w:sz w:val="18"/>
                <w:szCs w:val="18"/>
                <w:lang w:eastAsia="hr-HR"/>
              </w:rPr>
            </w:pPr>
          </w:p>
        </w:tc>
        <w:tc>
          <w:tcPr>
            <w:tcW w:w="634" w:type="pct"/>
            <w:shd w:val="clear" w:color="auto" w:fill="99CCFF"/>
            <w:noWrap/>
            <w:vAlign w:val="center"/>
            <w:hideMark/>
          </w:tcPr>
          <w:p w14:paraId="30606CFF"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Dosuđeno</w:t>
            </w:r>
          </w:p>
        </w:tc>
        <w:tc>
          <w:tcPr>
            <w:tcW w:w="654" w:type="pct"/>
            <w:shd w:val="clear" w:color="auto" w:fill="99CCFF"/>
            <w:vAlign w:val="center"/>
          </w:tcPr>
          <w:p w14:paraId="7E424547" w14:textId="77777777" w:rsidR="00EE6BA4" w:rsidRPr="001B4CA2" w:rsidRDefault="00EE6BA4" w:rsidP="00EE6BA4">
            <w:pPr>
              <w:jc w:val="center"/>
              <w:rPr>
                <w:rFonts w:asciiTheme="minorHAnsi" w:eastAsia="Times New Roman" w:hAnsiTheme="minorHAnsi" w:cstheme="minorHAnsi"/>
                <w:bCs/>
                <w:color w:val="0D0D0D" w:themeColor="text1" w:themeTint="F2"/>
                <w:sz w:val="18"/>
                <w:szCs w:val="18"/>
                <w:lang w:eastAsia="hr-HR"/>
              </w:rPr>
            </w:pPr>
            <w:r w:rsidRPr="001B4CA2">
              <w:rPr>
                <w:rFonts w:asciiTheme="minorHAnsi" w:eastAsia="Times New Roman" w:hAnsiTheme="minorHAnsi" w:cstheme="minorHAnsi"/>
                <w:bCs/>
                <w:color w:val="0D0D0D" w:themeColor="text1" w:themeTint="F2"/>
                <w:sz w:val="18"/>
                <w:szCs w:val="18"/>
                <w:lang w:eastAsia="hr-HR"/>
              </w:rPr>
              <w:t xml:space="preserve">Visina </w:t>
            </w:r>
          </w:p>
          <w:p w14:paraId="4F68C268"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D0D0D" w:themeColor="text1" w:themeTint="F2"/>
                <w:sz w:val="18"/>
                <w:szCs w:val="18"/>
                <w:lang w:eastAsia="hr-HR"/>
              </w:rPr>
              <w:t>(u tisućama kn)</w:t>
            </w:r>
          </w:p>
        </w:tc>
        <w:tc>
          <w:tcPr>
            <w:tcW w:w="653" w:type="pct"/>
            <w:shd w:val="clear" w:color="auto" w:fill="99CCFF"/>
            <w:noWrap/>
            <w:vAlign w:val="center"/>
            <w:hideMark/>
          </w:tcPr>
          <w:p w14:paraId="00F6F550"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 xml:space="preserve">Upućeno u parnicu </w:t>
            </w:r>
          </w:p>
        </w:tc>
      </w:tr>
      <w:tr w:rsidR="00EE6BA4" w:rsidRPr="001B4CA2" w14:paraId="7156799F" w14:textId="77777777" w:rsidTr="00EE6BA4">
        <w:trPr>
          <w:trHeight w:val="340"/>
          <w:jc w:val="center"/>
        </w:trPr>
        <w:tc>
          <w:tcPr>
            <w:tcW w:w="403" w:type="pct"/>
            <w:shd w:val="clear" w:color="auto" w:fill="auto"/>
            <w:noWrap/>
            <w:vAlign w:val="center"/>
            <w:hideMark/>
          </w:tcPr>
          <w:p w14:paraId="7DB5E4A8"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2018.</w:t>
            </w:r>
          </w:p>
        </w:tc>
        <w:tc>
          <w:tcPr>
            <w:tcW w:w="396" w:type="pct"/>
            <w:shd w:val="clear" w:color="auto" w:fill="auto"/>
            <w:noWrap/>
            <w:vAlign w:val="center"/>
          </w:tcPr>
          <w:p w14:paraId="4611EED7" w14:textId="77777777" w:rsidR="00EE6BA4" w:rsidRPr="001B4CA2" w:rsidRDefault="00EE6BA4" w:rsidP="00EE6BA4">
            <w:pPr>
              <w:jc w:val="center"/>
              <w:rPr>
                <w:rFonts w:eastAsia="Times New Roman"/>
                <w:bCs/>
                <w:color w:val="000000"/>
                <w:sz w:val="18"/>
                <w:szCs w:val="18"/>
                <w:lang w:eastAsia="hr-HR"/>
              </w:rPr>
            </w:pPr>
            <w:r w:rsidRPr="001B4CA2">
              <w:rPr>
                <w:rFonts w:eastAsia="Times New Roman"/>
                <w:bCs/>
                <w:color w:val="000000"/>
                <w:sz w:val="18"/>
                <w:szCs w:val="18"/>
                <w:lang w:eastAsia="hr-HR"/>
              </w:rPr>
              <w:t>3</w:t>
            </w:r>
          </w:p>
        </w:tc>
        <w:tc>
          <w:tcPr>
            <w:tcW w:w="500" w:type="pct"/>
            <w:shd w:val="clear" w:color="auto" w:fill="auto"/>
            <w:noWrap/>
            <w:vAlign w:val="center"/>
          </w:tcPr>
          <w:p w14:paraId="39047C42" w14:textId="77777777" w:rsidR="00EE6BA4" w:rsidRPr="001B4CA2" w:rsidRDefault="00EE6BA4" w:rsidP="00EE6BA4">
            <w:pPr>
              <w:jc w:val="center"/>
              <w:rPr>
                <w:rFonts w:eastAsia="Times New Roman"/>
                <w:color w:val="000000"/>
                <w:sz w:val="18"/>
                <w:szCs w:val="18"/>
                <w:lang w:eastAsia="hr-HR"/>
              </w:rPr>
            </w:pPr>
            <w:r w:rsidRPr="001B4CA2">
              <w:rPr>
                <w:rFonts w:eastAsia="Times New Roman"/>
                <w:color w:val="000000"/>
                <w:sz w:val="18"/>
                <w:szCs w:val="18"/>
                <w:lang w:eastAsia="hr-HR"/>
              </w:rPr>
              <w:t>25</w:t>
            </w:r>
          </w:p>
        </w:tc>
        <w:tc>
          <w:tcPr>
            <w:tcW w:w="427" w:type="pct"/>
            <w:shd w:val="clear" w:color="auto" w:fill="auto"/>
            <w:noWrap/>
            <w:vAlign w:val="center"/>
          </w:tcPr>
          <w:p w14:paraId="7C1FB4C2" w14:textId="77777777" w:rsidR="00EE6BA4" w:rsidRPr="001B4CA2" w:rsidRDefault="00EE6BA4" w:rsidP="00EE6BA4">
            <w:pPr>
              <w:jc w:val="center"/>
              <w:rPr>
                <w:rFonts w:eastAsia="Times New Roman"/>
                <w:bCs/>
                <w:color w:val="000000"/>
                <w:sz w:val="18"/>
                <w:szCs w:val="18"/>
                <w:lang w:eastAsia="hr-HR"/>
              </w:rPr>
            </w:pPr>
            <w:r w:rsidRPr="001B4CA2">
              <w:rPr>
                <w:rFonts w:eastAsia="Times New Roman"/>
                <w:bCs/>
                <w:color w:val="000000"/>
                <w:sz w:val="18"/>
                <w:szCs w:val="18"/>
                <w:lang w:eastAsia="hr-HR"/>
              </w:rPr>
              <w:t>28</w:t>
            </w:r>
          </w:p>
        </w:tc>
        <w:tc>
          <w:tcPr>
            <w:tcW w:w="455" w:type="pct"/>
            <w:shd w:val="clear" w:color="auto" w:fill="auto"/>
            <w:noWrap/>
            <w:vAlign w:val="center"/>
          </w:tcPr>
          <w:p w14:paraId="67666CF0" w14:textId="77777777" w:rsidR="00EE6BA4" w:rsidRPr="001B4CA2" w:rsidRDefault="00EE6BA4" w:rsidP="00EE6BA4">
            <w:pPr>
              <w:jc w:val="center"/>
              <w:rPr>
                <w:rFonts w:eastAsia="Times New Roman"/>
                <w:color w:val="000000"/>
                <w:sz w:val="18"/>
                <w:szCs w:val="18"/>
                <w:lang w:eastAsia="hr-HR"/>
              </w:rPr>
            </w:pPr>
            <w:r w:rsidRPr="001B4CA2">
              <w:rPr>
                <w:rFonts w:eastAsia="Times New Roman"/>
                <w:color w:val="000000"/>
                <w:sz w:val="18"/>
                <w:szCs w:val="18"/>
                <w:lang w:eastAsia="hr-HR"/>
              </w:rPr>
              <w:t>22</w:t>
            </w:r>
          </w:p>
        </w:tc>
        <w:tc>
          <w:tcPr>
            <w:tcW w:w="878" w:type="pct"/>
            <w:shd w:val="clear" w:color="auto" w:fill="auto"/>
            <w:noWrap/>
            <w:vAlign w:val="center"/>
          </w:tcPr>
          <w:p w14:paraId="5F6E13C5" w14:textId="77777777" w:rsidR="00EE6BA4" w:rsidRPr="001B4CA2" w:rsidRDefault="00EE6BA4" w:rsidP="00EE6BA4">
            <w:pPr>
              <w:jc w:val="center"/>
              <w:rPr>
                <w:rFonts w:eastAsia="Times New Roman"/>
                <w:color w:val="000000"/>
                <w:sz w:val="18"/>
                <w:szCs w:val="18"/>
                <w:lang w:eastAsia="hr-HR"/>
              </w:rPr>
            </w:pPr>
            <w:r w:rsidRPr="001B4CA2">
              <w:rPr>
                <w:rFonts w:eastAsia="Times New Roman"/>
                <w:color w:val="000000"/>
                <w:sz w:val="18"/>
                <w:szCs w:val="18"/>
                <w:lang w:eastAsia="hr-HR"/>
              </w:rPr>
              <w:t>272.803</w:t>
            </w:r>
          </w:p>
        </w:tc>
        <w:tc>
          <w:tcPr>
            <w:tcW w:w="634" w:type="pct"/>
            <w:shd w:val="clear" w:color="auto" w:fill="auto"/>
            <w:noWrap/>
            <w:vAlign w:val="center"/>
          </w:tcPr>
          <w:p w14:paraId="1CF94B94" w14:textId="77777777" w:rsidR="00EE6BA4" w:rsidRPr="001B4CA2" w:rsidRDefault="00EE6BA4" w:rsidP="00EE6BA4">
            <w:pPr>
              <w:jc w:val="center"/>
              <w:rPr>
                <w:rFonts w:eastAsia="Times New Roman"/>
                <w:color w:val="000000"/>
                <w:sz w:val="18"/>
                <w:szCs w:val="18"/>
                <w:lang w:eastAsia="hr-HR"/>
              </w:rPr>
            </w:pPr>
            <w:r w:rsidRPr="001B4CA2">
              <w:rPr>
                <w:rFonts w:eastAsia="Times New Roman"/>
                <w:color w:val="000000"/>
                <w:sz w:val="18"/>
                <w:szCs w:val="18"/>
                <w:lang w:eastAsia="hr-HR"/>
              </w:rPr>
              <w:t>5</w:t>
            </w:r>
          </w:p>
        </w:tc>
        <w:tc>
          <w:tcPr>
            <w:tcW w:w="654" w:type="pct"/>
            <w:vAlign w:val="center"/>
          </w:tcPr>
          <w:p w14:paraId="22D52C88" w14:textId="77777777" w:rsidR="00EE6BA4" w:rsidRPr="001B4CA2" w:rsidRDefault="00EE6BA4" w:rsidP="00EE6BA4">
            <w:pPr>
              <w:jc w:val="center"/>
              <w:rPr>
                <w:rFonts w:eastAsia="Times New Roman"/>
                <w:color w:val="000000"/>
                <w:sz w:val="18"/>
                <w:szCs w:val="18"/>
                <w:lang w:eastAsia="hr-HR"/>
              </w:rPr>
            </w:pPr>
            <w:r w:rsidRPr="001B4CA2">
              <w:rPr>
                <w:rFonts w:eastAsia="Times New Roman"/>
                <w:color w:val="000000"/>
                <w:sz w:val="18"/>
                <w:szCs w:val="18"/>
                <w:lang w:eastAsia="hr-HR"/>
              </w:rPr>
              <w:t>5.258</w:t>
            </w:r>
          </w:p>
        </w:tc>
        <w:tc>
          <w:tcPr>
            <w:tcW w:w="653" w:type="pct"/>
            <w:shd w:val="clear" w:color="auto" w:fill="auto"/>
            <w:noWrap/>
            <w:vAlign w:val="center"/>
          </w:tcPr>
          <w:p w14:paraId="671A26FC" w14:textId="77777777" w:rsidR="00EE6BA4" w:rsidRPr="001B4CA2" w:rsidRDefault="00EE6BA4" w:rsidP="00EE6BA4">
            <w:pPr>
              <w:jc w:val="center"/>
              <w:rPr>
                <w:rFonts w:eastAsia="Times New Roman"/>
                <w:color w:val="000000"/>
                <w:sz w:val="18"/>
                <w:szCs w:val="18"/>
                <w:lang w:eastAsia="hr-HR"/>
              </w:rPr>
            </w:pPr>
            <w:r w:rsidRPr="001B4CA2">
              <w:rPr>
                <w:rFonts w:eastAsia="Times New Roman"/>
                <w:color w:val="000000"/>
                <w:sz w:val="18"/>
                <w:szCs w:val="18"/>
                <w:lang w:eastAsia="hr-HR"/>
              </w:rPr>
              <w:t>-</w:t>
            </w:r>
          </w:p>
        </w:tc>
      </w:tr>
      <w:tr w:rsidR="00EE6BA4" w:rsidRPr="001B4CA2" w14:paraId="5D753264" w14:textId="77777777" w:rsidTr="00EE6BA4">
        <w:trPr>
          <w:trHeight w:val="340"/>
          <w:jc w:val="center"/>
        </w:trPr>
        <w:tc>
          <w:tcPr>
            <w:tcW w:w="403" w:type="pct"/>
            <w:shd w:val="clear" w:color="auto" w:fill="auto"/>
            <w:noWrap/>
            <w:vAlign w:val="center"/>
          </w:tcPr>
          <w:p w14:paraId="1D84AE11"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2019.</w:t>
            </w:r>
          </w:p>
        </w:tc>
        <w:tc>
          <w:tcPr>
            <w:tcW w:w="396" w:type="pct"/>
            <w:shd w:val="clear" w:color="auto" w:fill="auto"/>
            <w:noWrap/>
            <w:vAlign w:val="center"/>
          </w:tcPr>
          <w:p w14:paraId="06168BD6" w14:textId="77777777" w:rsidR="00EE6BA4" w:rsidRPr="001B4CA2" w:rsidRDefault="00EE6BA4" w:rsidP="00EE6BA4">
            <w:pPr>
              <w:jc w:val="center"/>
              <w:rPr>
                <w:rFonts w:eastAsia="Times New Roman"/>
                <w:bCs/>
                <w:color w:val="000000"/>
                <w:sz w:val="18"/>
                <w:szCs w:val="18"/>
                <w:lang w:eastAsia="hr-HR"/>
              </w:rPr>
            </w:pPr>
            <w:r w:rsidRPr="001B4CA2">
              <w:rPr>
                <w:rFonts w:eastAsia="Times New Roman"/>
                <w:bCs/>
                <w:color w:val="000000"/>
                <w:sz w:val="18"/>
                <w:szCs w:val="18"/>
                <w:lang w:eastAsia="hr-HR"/>
              </w:rPr>
              <w:t>13</w:t>
            </w:r>
          </w:p>
        </w:tc>
        <w:tc>
          <w:tcPr>
            <w:tcW w:w="500" w:type="pct"/>
            <w:shd w:val="clear" w:color="auto" w:fill="auto"/>
            <w:noWrap/>
            <w:vAlign w:val="center"/>
          </w:tcPr>
          <w:p w14:paraId="29FF3310" w14:textId="77777777" w:rsidR="00EE6BA4" w:rsidRPr="001B4CA2" w:rsidRDefault="00EE6BA4" w:rsidP="00EE6BA4">
            <w:pPr>
              <w:jc w:val="center"/>
              <w:rPr>
                <w:rFonts w:eastAsia="Times New Roman"/>
                <w:color w:val="000000"/>
                <w:sz w:val="18"/>
                <w:szCs w:val="18"/>
                <w:lang w:eastAsia="hr-HR"/>
              </w:rPr>
            </w:pPr>
            <w:r w:rsidRPr="001B4CA2">
              <w:rPr>
                <w:rFonts w:eastAsia="Times New Roman"/>
                <w:color w:val="000000"/>
                <w:sz w:val="18"/>
                <w:szCs w:val="18"/>
                <w:lang w:eastAsia="hr-HR"/>
              </w:rPr>
              <w:t>15</w:t>
            </w:r>
          </w:p>
        </w:tc>
        <w:tc>
          <w:tcPr>
            <w:tcW w:w="427" w:type="pct"/>
            <w:shd w:val="clear" w:color="auto" w:fill="auto"/>
            <w:noWrap/>
            <w:vAlign w:val="center"/>
          </w:tcPr>
          <w:p w14:paraId="3E56A7A2" w14:textId="77777777" w:rsidR="00EE6BA4" w:rsidRPr="001B4CA2" w:rsidRDefault="00EE6BA4" w:rsidP="00EE6BA4">
            <w:pPr>
              <w:jc w:val="center"/>
              <w:rPr>
                <w:rFonts w:eastAsia="Times New Roman"/>
                <w:bCs/>
                <w:color w:val="000000"/>
                <w:sz w:val="18"/>
                <w:szCs w:val="18"/>
                <w:lang w:eastAsia="hr-HR"/>
              </w:rPr>
            </w:pPr>
            <w:r w:rsidRPr="001B4CA2">
              <w:rPr>
                <w:rFonts w:eastAsia="Times New Roman"/>
                <w:bCs/>
                <w:color w:val="000000"/>
                <w:sz w:val="18"/>
                <w:szCs w:val="18"/>
                <w:lang w:eastAsia="hr-HR"/>
              </w:rPr>
              <w:t>28</w:t>
            </w:r>
          </w:p>
        </w:tc>
        <w:tc>
          <w:tcPr>
            <w:tcW w:w="455" w:type="pct"/>
            <w:shd w:val="clear" w:color="auto" w:fill="auto"/>
            <w:noWrap/>
            <w:vAlign w:val="center"/>
          </w:tcPr>
          <w:p w14:paraId="1D69BBE2" w14:textId="77777777" w:rsidR="00EE6BA4" w:rsidRPr="001B4CA2" w:rsidRDefault="00EE6BA4" w:rsidP="00EE6BA4">
            <w:pPr>
              <w:jc w:val="center"/>
              <w:rPr>
                <w:rFonts w:eastAsia="Times New Roman"/>
                <w:color w:val="000000"/>
                <w:sz w:val="18"/>
                <w:szCs w:val="18"/>
                <w:lang w:eastAsia="hr-HR"/>
              </w:rPr>
            </w:pPr>
            <w:r w:rsidRPr="001B4CA2">
              <w:rPr>
                <w:rFonts w:eastAsia="Times New Roman"/>
                <w:color w:val="000000"/>
                <w:sz w:val="18"/>
                <w:szCs w:val="18"/>
                <w:lang w:eastAsia="hr-HR"/>
              </w:rPr>
              <w:t>25</w:t>
            </w:r>
          </w:p>
        </w:tc>
        <w:tc>
          <w:tcPr>
            <w:tcW w:w="878" w:type="pct"/>
            <w:shd w:val="clear" w:color="auto" w:fill="auto"/>
            <w:noWrap/>
            <w:vAlign w:val="center"/>
          </w:tcPr>
          <w:p w14:paraId="7C599242" w14:textId="77777777" w:rsidR="00EE6BA4" w:rsidRPr="001B4CA2" w:rsidRDefault="00EE6BA4" w:rsidP="00EE6BA4">
            <w:pPr>
              <w:jc w:val="center"/>
              <w:rPr>
                <w:rFonts w:eastAsia="Times New Roman"/>
                <w:color w:val="000000"/>
                <w:sz w:val="18"/>
                <w:szCs w:val="18"/>
                <w:lang w:eastAsia="hr-HR"/>
              </w:rPr>
            </w:pPr>
            <w:r w:rsidRPr="001B4CA2">
              <w:rPr>
                <w:rFonts w:eastAsia="Times New Roman"/>
                <w:color w:val="000000"/>
                <w:sz w:val="18"/>
                <w:szCs w:val="18"/>
                <w:lang w:eastAsia="hr-HR"/>
              </w:rPr>
              <w:t>164.715</w:t>
            </w:r>
          </w:p>
        </w:tc>
        <w:tc>
          <w:tcPr>
            <w:tcW w:w="634" w:type="pct"/>
            <w:shd w:val="clear" w:color="auto" w:fill="auto"/>
            <w:noWrap/>
            <w:vAlign w:val="center"/>
          </w:tcPr>
          <w:p w14:paraId="134CE0EB" w14:textId="77777777" w:rsidR="00EE6BA4" w:rsidRPr="001B4CA2" w:rsidRDefault="00EE6BA4" w:rsidP="00EE6BA4">
            <w:pPr>
              <w:spacing w:line="276" w:lineRule="auto"/>
              <w:jc w:val="center"/>
              <w:rPr>
                <w:rFonts w:eastAsia="Calibri"/>
                <w:sz w:val="18"/>
                <w:szCs w:val="18"/>
              </w:rPr>
            </w:pPr>
            <w:r w:rsidRPr="001B4CA2">
              <w:rPr>
                <w:rFonts w:eastAsia="Calibri"/>
                <w:sz w:val="18"/>
                <w:szCs w:val="18"/>
              </w:rPr>
              <w:t>15</w:t>
            </w:r>
          </w:p>
        </w:tc>
        <w:tc>
          <w:tcPr>
            <w:tcW w:w="654" w:type="pct"/>
            <w:vAlign w:val="center"/>
          </w:tcPr>
          <w:p w14:paraId="075D636D" w14:textId="77777777" w:rsidR="00EE6BA4" w:rsidRPr="001B4CA2" w:rsidRDefault="00EE6BA4" w:rsidP="00EE6BA4">
            <w:pPr>
              <w:spacing w:line="276" w:lineRule="auto"/>
              <w:jc w:val="center"/>
              <w:rPr>
                <w:rFonts w:eastAsia="Calibri"/>
                <w:sz w:val="18"/>
                <w:szCs w:val="18"/>
              </w:rPr>
            </w:pPr>
            <w:r w:rsidRPr="001B4CA2">
              <w:rPr>
                <w:rFonts w:eastAsia="Calibri"/>
                <w:sz w:val="18"/>
                <w:szCs w:val="18"/>
              </w:rPr>
              <w:t>72.068</w:t>
            </w:r>
          </w:p>
        </w:tc>
        <w:tc>
          <w:tcPr>
            <w:tcW w:w="653" w:type="pct"/>
            <w:shd w:val="clear" w:color="auto" w:fill="auto"/>
            <w:noWrap/>
            <w:vAlign w:val="center"/>
          </w:tcPr>
          <w:p w14:paraId="24BC0E16" w14:textId="77777777" w:rsidR="00EE6BA4" w:rsidRPr="001B4CA2" w:rsidRDefault="00EE6BA4" w:rsidP="00EE6BA4">
            <w:pPr>
              <w:jc w:val="center"/>
              <w:rPr>
                <w:rFonts w:eastAsia="Times New Roman"/>
                <w:color w:val="000000"/>
                <w:sz w:val="18"/>
                <w:szCs w:val="18"/>
                <w:lang w:eastAsia="hr-HR"/>
              </w:rPr>
            </w:pPr>
            <w:r w:rsidRPr="001B4CA2">
              <w:rPr>
                <w:rFonts w:eastAsia="Times New Roman"/>
                <w:color w:val="000000"/>
                <w:sz w:val="18"/>
                <w:szCs w:val="18"/>
                <w:lang w:eastAsia="hr-HR"/>
              </w:rPr>
              <w:t>1</w:t>
            </w:r>
          </w:p>
        </w:tc>
      </w:tr>
      <w:tr w:rsidR="00EE6BA4" w:rsidRPr="001B4CA2" w14:paraId="53926829" w14:textId="77777777" w:rsidTr="00EE6BA4">
        <w:trPr>
          <w:trHeight w:val="340"/>
          <w:jc w:val="center"/>
        </w:trPr>
        <w:tc>
          <w:tcPr>
            <w:tcW w:w="403" w:type="pct"/>
            <w:shd w:val="clear" w:color="auto" w:fill="auto"/>
            <w:noWrap/>
            <w:vAlign w:val="center"/>
          </w:tcPr>
          <w:p w14:paraId="741AFC58"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2020.</w:t>
            </w:r>
          </w:p>
        </w:tc>
        <w:tc>
          <w:tcPr>
            <w:tcW w:w="396" w:type="pct"/>
            <w:shd w:val="clear" w:color="auto" w:fill="auto"/>
            <w:noWrap/>
            <w:vAlign w:val="center"/>
          </w:tcPr>
          <w:p w14:paraId="4A4FA9E3"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3</w:t>
            </w:r>
          </w:p>
        </w:tc>
        <w:tc>
          <w:tcPr>
            <w:tcW w:w="500" w:type="pct"/>
            <w:shd w:val="clear" w:color="auto" w:fill="auto"/>
            <w:noWrap/>
            <w:vAlign w:val="center"/>
          </w:tcPr>
          <w:p w14:paraId="6D355549" w14:textId="77777777" w:rsidR="00EE6BA4" w:rsidRPr="001B4CA2" w:rsidRDefault="00EE6BA4" w:rsidP="00EE6BA4">
            <w:pPr>
              <w:jc w:val="center"/>
              <w:rPr>
                <w:bCs/>
                <w:sz w:val="18"/>
                <w:szCs w:val="18"/>
              </w:rPr>
            </w:pPr>
            <w:r w:rsidRPr="001B4CA2">
              <w:rPr>
                <w:bCs/>
                <w:sz w:val="18"/>
                <w:szCs w:val="18"/>
              </w:rPr>
              <w:t>15</w:t>
            </w:r>
          </w:p>
        </w:tc>
        <w:tc>
          <w:tcPr>
            <w:tcW w:w="427" w:type="pct"/>
            <w:shd w:val="clear" w:color="auto" w:fill="auto"/>
            <w:noWrap/>
            <w:vAlign w:val="center"/>
          </w:tcPr>
          <w:p w14:paraId="3215B9F9" w14:textId="77777777" w:rsidR="00EE6BA4" w:rsidRPr="001B4CA2" w:rsidRDefault="00EE6BA4" w:rsidP="00EE6BA4">
            <w:pPr>
              <w:jc w:val="center"/>
              <w:rPr>
                <w:bCs/>
                <w:sz w:val="18"/>
                <w:szCs w:val="18"/>
              </w:rPr>
            </w:pPr>
            <w:r w:rsidRPr="001B4CA2">
              <w:rPr>
                <w:bCs/>
                <w:sz w:val="18"/>
                <w:szCs w:val="18"/>
              </w:rPr>
              <w:t>18</w:t>
            </w:r>
          </w:p>
        </w:tc>
        <w:tc>
          <w:tcPr>
            <w:tcW w:w="455" w:type="pct"/>
            <w:shd w:val="clear" w:color="auto" w:fill="auto"/>
            <w:noWrap/>
            <w:vAlign w:val="center"/>
          </w:tcPr>
          <w:p w14:paraId="068C4107"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18</w:t>
            </w:r>
          </w:p>
        </w:tc>
        <w:tc>
          <w:tcPr>
            <w:tcW w:w="878" w:type="pct"/>
            <w:shd w:val="clear" w:color="auto" w:fill="auto"/>
            <w:noWrap/>
            <w:vAlign w:val="center"/>
          </w:tcPr>
          <w:p w14:paraId="4DA76C87"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122.571</w:t>
            </w:r>
          </w:p>
        </w:tc>
        <w:tc>
          <w:tcPr>
            <w:tcW w:w="634" w:type="pct"/>
            <w:shd w:val="clear" w:color="auto" w:fill="auto"/>
            <w:noWrap/>
            <w:vAlign w:val="center"/>
          </w:tcPr>
          <w:p w14:paraId="2AFB5FB8" w14:textId="77777777" w:rsidR="00EE6BA4" w:rsidRPr="001B4CA2" w:rsidRDefault="00EE6BA4" w:rsidP="00EE6BA4">
            <w:pPr>
              <w:jc w:val="center"/>
              <w:rPr>
                <w:bCs/>
                <w:sz w:val="18"/>
                <w:szCs w:val="18"/>
              </w:rPr>
            </w:pPr>
            <w:r w:rsidRPr="001B4CA2">
              <w:rPr>
                <w:bCs/>
                <w:sz w:val="18"/>
                <w:szCs w:val="18"/>
              </w:rPr>
              <w:t>15</w:t>
            </w:r>
          </w:p>
        </w:tc>
        <w:tc>
          <w:tcPr>
            <w:tcW w:w="654" w:type="pct"/>
            <w:vAlign w:val="center"/>
          </w:tcPr>
          <w:p w14:paraId="0893E62C" w14:textId="77777777" w:rsidR="00EE6BA4" w:rsidRPr="001B4CA2" w:rsidRDefault="00EE6BA4" w:rsidP="00EE6BA4">
            <w:pPr>
              <w:jc w:val="center"/>
              <w:rPr>
                <w:bCs/>
                <w:sz w:val="18"/>
                <w:szCs w:val="18"/>
              </w:rPr>
            </w:pPr>
            <w:r w:rsidRPr="001B4CA2">
              <w:rPr>
                <w:bCs/>
                <w:sz w:val="18"/>
                <w:szCs w:val="18"/>
              </w:rPr>
              <w:t>5.212</w:t>
            </w:r>
          </w:p>
        </w:tc>
        <w:tc>
          <w:tcPr>
            <w:tcW w:w="653" w:type="pct"/>
            <w:shd w:val="clear" w:color="auto" w:fill="auto"/>
            <w:noWrap/>
            <w:vAlign w:val="center"/>
          </w:tcPr>
          <w:p w14:paraId="2CF1CEAC" w14:textId="77777777" w:rsidR="00EE6BA4" w:rsidRPr="001B4CA2" w:rsidRDefault="00EE6BA4" w:rsidP="00EE6BA4">
            <w:pPr>
              <w:jc w:val="center"/>
              <w:rPr>
                <w:bCs/>
                <w:sz w:val="18"/>
                <w:szCs w:val="18"/>
              </w:rPr>
            </w:pPr>
            <w:r w:rsidRPr="001B4CA2">
              <w:rPr>
                <w:bCs/>
                <w:sz w:val="18"/>
                <w:szCs w:val="18"/>
              </w:rPr>
              <w:t>6</w:t>
            </w:r>
          </w:p>
        </w:tc>
      </w:tr>
      <w:tr w:rsidR="00EE6BA4" w:rsidRPr="001B4CA2" w14:paraId="4F6BA576" w14:textId="77777777" w:rsidTr="00EE6BA4">
        <w:trPr>
          <w:trHeight w:val="340"/>
          <w:jc w:val="center"/>
        </w:trPr>
        <w:tc>
          <w:tcPr>
            <w:tcW w:w="403" w:type="pct"/>
            <w:shd w:val="clear" w:color="auto" w:fill="auto"/>
            <w:noWrap/>
            <w:vAlign w:val="center"/>
          </w:tcPr>
          <w:p w14:paraId="32B2D845"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2021.</w:t>
            </w:r>
          </w:p>
        </w:tc>
        <w:tc>
          <w:tcPr>
            <w:tcW w:w="396" w:type="pct"/>
            <w:shd w:val="clear" w:color="auto" w:fill="auto"/>
            <w:noWrap/>
            <w:vAlign w:val="center"/>
          </w:tcPr>
          <w:p w14:paraId="121F8DB6"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w:t>
            </w:r>
          </w:p>
        </w:tc>
        <w:tc>
          <w:tcPr>
            <w:tcW w:w="500" w:type="pct"/>
            <w:shd w:val="clear" w:color="auto" w:fill="auto"/>
            <w:noWrap/>
            <w:vAlign w:val="center"/>
          </w:tcPr>
          <w:p w14:paraId="5F8C2CE6" w14:textId="77777777" w:rsidR="00EE6BA4" w:rsidRPr="001B4CA2" w:rsidRDefault="00EE6BA4" w:rsidP="00EE6BA4">
            <w:pPr>
              <w:jc w:val="center"/>
              <w:rPr>
                <w:bCs/>
                <w:sz w:val="18"/>
                <w:szCs w:val="18"/>
              </w:rPr>
            </w:pPr>
            <w:r w:rsidRPr="001B4CA2">
              <w:rPr>
                <w:bCs/>
                <w:sz w:val="18"/>
                <w:szCs w:val="18"/>
              </w:rPr>
              <w:t>25</w:t>
            </w:r>
          </w:p>
        </w:tc>
        <w:tc>
          <w:tcPr>
            <w:tcW w:w="427" w:type="pct"/>
            <w:shd w:val="clear" w:color="auto" w:fill="auto"/>
            <w:noWrap/>
            <w:vAlign w:val="center"/>
          </w:tcPr>
          <w:p w14:paraId="1FA34CB9" w14:textId="77777777" w:rsidR="00EE6BA4" w:rsidRPr="001B4CA2" w:rsidRDefault="00EE6BA4" w:rsidP="00EE6BA4">
            <w:pPr>
              <w:jc w:val="center"/>
              <w:rPr>
                <w:bCs/>
                <w:sz w:val="18"/>
                <w:szCs w:val="18"/>
              </w:rPr>
            </w:pPr>
            <w:r w:rsidRPr="001B4CA2">
              <w:rPr>
                <w:bCs/>
                <w:sz w:val="18"/>
                <w:szCs w:val="18"/>
              </w:rPr>
              <w:t>27</w:t>
            </w:r>
          </w:p>
        </w:tc>
        <w:tc>
          <w:tcPr>
            <w:tcW w:w="455" w:type="pct"/>
            <w:shd w:val="clear" w:color="auto" w:fill="auto"/>
            <w:noWrap/>
            <w:vAlign w:val="center"/>
          </w:tcPr>
          <w:p w14:paraId="56C30E87"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sz w:val="18"/>
                <w:szCs w:val="18"/>
                <w:lang w:eastAsia="hr-HR"/>
              </w:rPr>
              <w:t>24</w:t>
            </w:r>
          </w:p>
        </w:tc>
        <w:tc>
          <w:tcPr>
            <w:tcW w:w="878" w:type="pct"/>
            <w:shd w:val="clear" w:color="auto" w:fill="auto"/>
            <w:noWrap/>
            <w:vAlign w:val="center"/>
          </w:tcPr>
          <w:p w14:paraId="14112929"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188.321</w:t>
            </w:r>
          </w:p>
        </w:tc>
        <w:tc>
          <w:tcPr>
            <w:tcW w:w="634" w:type="pct"/>
            <w:shd w:val="clear" w:color="auto" w:fill="auto"/>
            <w:noWrap/>
            <w:vAlign w:val="center"/>
          </w:tcPr>
          <w:p w14:paraId="7164D4BF" w14:textId="77777777" w:rsidR="00EE6BA4" w:rsidRPr="001B4CA2" w:rsidRDefault="00EE6BA4" w:rsidP="00EE6BA4">
            <w:pPr>
              <w:jc w:val="center"/>
              <w:rPr>
                <w:bCs/>
                <w:sz w:val="18"/>
                <w:szCs w:val="18"/>
              </w:rPr>
            </w:pPr>
            <w:r w:rsidRPr="001B4CA2">
              <w:rPr>
                <w:bCs/>
                <w:sz w:val="18"/>
                <w:szCs w:val="18"/>
              </w:rPr>
              <w:t>19</w:t>
            </w:r>
          </w:p>
        </w:tc>
        <w:tc>
          <w:tcPr>
            <w:tcW w:w="654" w:type="pct"/>
            <w:vAlign w:val="center"/>
          </w:tcPr>
          <w:p w14:paraId="44428ED5" w14:textId="77777777" w:rsidR="00EE6BA4" w:rsidRPr="001B4CA2" w:rsidRDefault="00EE6BA4" w:rsidP="00EE6BA4">
            <w:pPr>
              <w:jc w:val="center"/>
              <w:rPr>
                <w:bCs/>
                <w:sz w:val="18"/>
                <w:szCs w:val="18"/>
              </w:rPr>
            </w:pPr>
            <w:r w:rsidRPr="001B4CA2">
              <w:rPr>
                <w:bCs/>
                <w:sz w:val="18"/>
                <w:szCs w:val="18"/>
              </w:rPr>
              <w:t>19.624</w:t>
            </w:r>
          </w:p>
        </w:tc>
        <w:tc>
          <w:tcPr>
            <w:tcW w:w="653" w:type="pct"/>
            <w:shd w:val="clear" w:color="auto" w:fill="auto"/>
            <w:noWrap/>
            <w:vAlign w:val="center"/>
          </w:tcPr>
          <w:p w14:paraId="486E6D80" w14:textId="77777777" w:rsidR="00EE6BA4" w:rsidRPr="001B4CA2" w:rsidRDefault="00EE6BA4" w:rsidP="00EE6BA4">
            <w:pPr>
              <w:jc w:val="center"/>
              <w:rPr>
                <w:bCs/>
                <w:sz w:val="18"/>
                <w:szCs w:val="18"/>
              </w:rPr>
            </w:pPr>
            <w:r w:rsidRPr="001B4CA2">
              <w:rPr>
                <w:bCs/>
                <w:sz w:val="18"/>
                <w:szCs w:val="18"/>
              </w:rPr>
              <w:t>22</w:t>
            </w:r>
          </w:p>
        </w:tc>
      </w:tr>
      <w:tr w:rsidR="00EE6BA4" w:rsidRPr="001B4CA2" w14:paraId="7DB2EC02" w14:textId="77777777" w:rsidTr="00EE6BA4">
        <w:trPr>
          <w:trHeight w:val="340"/>
          <w:jc w:val="center"/>
        </w:trPr>
        <w:tc>
          <w:tcPr>
            <w:tcW w:w="403" w:type="pct"/>
            <w:shd w:val="clear" w:color="auto" w:fill="auto"/>
            <w:noWrap/>
            <w:vAlign w:val="center"/>
          </w:tcPr>
          <w:p w14:paraId="6FB77129"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2022.</w:t>
            </w:r>
          </w:p>
        </w:tc>
        <w:tc>
          <w:tcPr>
            <w:tcW w:w="396" w:type="pct"/>
            <w:shd w:val="clear" w:color="auto" w:fill="auto"/>
            <w:noWrap/>
            <w:vAlign w:val="center"/>
          </w:tcPr>
          <w:p w14:paraId="6B7D352B"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3</w:t>
            </w:r>
          </w:p>
        </w:tc>
        <w:tc>
          <w:tcPr>
            <w:tcW w:w="500" w:type="pct"/>
            <w:shd w:val="clear" w:color="auto" w:fill="auto"/>
            <w:noWrap/>
            <w:vAlign w:val="center"/>
          </w:tcPr>
          <w:p w14:paraId="3D6D9574" w14:textId="77777777" w:rsidR="00EE6BA4" w:rsidRPr="001B4CA2" w:rsidRDefault="00EE6BA4" w:rsidP="00EE6BA4">
            <w:pPr>
              <w:jc w:val="center"/>
              <w:rPr>
                <w:bCs/>
                <w:sz w:val="18"/>
                <w:szCs w:val="18"/>
              </w:rPr>
            </w:pPr>
            <w:r w:rsidRPr="001B4CA2">
              <w:rPr>
                <w:bCs/>
                <w:sz w:val="18"/>
                <w:szCs w:val="18"/>
              </w:rPr>
              <w:t>16</w:t>
            </w:r>
          </w:p>
        </w:tc>
        <w:tc>
          <w:tcPr>
            <w:tcW w:w="427" w:type="pct"/>
            <w:shd w:val="clear" w:color="auto" w:fill="auto"/>
            <w:noWrap/>
            <w:vAlign w:val="center"/>
          </w:tcPr>
          <w:p w14:paraId="300B4D19" w14:textId="77777777" w:rsidR="00EE6BA4" w:rsidRPr="001B4CA2" w:rsidRDefault="00EE6BA4" w:rsidP="00EE6BA4">
            <w:pPr>
              <w:jc w:val="center"/>
              <w:rPr>
                <w:bCs/>
                <w:sz w:val="18"/>
                <w:szCs w:val="18"/>
              </w:rPr>
            </w:pPr>
            <w:r w:rsidRPr="001B4CA2">
              <w:rPr>
                <w:bCs/>
                <w:sz w:val="18"/>
                <w:szCs w:val="18"/>
              </w:rPr>
              <w:t>19</w:t>
            </w:r>
          </w:p>
        </w:tc>
        <w:tc>
          <w:tcPr>
            <w:tcW w:w="455" w:type="pct"/>
            <w:shd w:val="clear" w:color="auto" w:fill="auto"/>
            <w:noWrap/>
            <w:vAlign w:val="center"/>
          </w:tcPr>
          <w:p w14:paraId="3C997646" w14:textId="77777777" w:rsidR="00EE6BA4" w:rsidRPr="001B4CA2" w:rsidRDefault="00EE6BA4" w:rsidP="00EE6BA4">
            <w:pPr>
              <w:jc w:val="center"/>
              <w:rPr>
                <w:rFonts w:asciiTheme="minorHAnsi" w:eastAsia="Times New Roman" w:hAnsiTheme="minorHAnsi" w:cstheme="minorHAnsi"/>
                <w:bCs/>
                <w:sz w:val="18"/>
                <w:szCs w:val="18"/>
                <w:lang w:eastAsia="hr-HR"/>
              </w:rPr>
            </w:pPr>
            <w:r w:rsidRPr="001B4CA2">
              <w:rPr>
                <w:rFonts w:asciiTheme="minorHAnsi" w:eastAsia="Times New Roman" w:hAnsiTheme="minorHAnsi" w:cstheme="minorHAnsi"/>
                <w:bCs/>
                <w:sz w:val="18"/>
                <w:szCs w:val="18"/>
                <w:lang w:eastAsia="hr-HR"/>
              </w:rPr>
              <w:t>19</w:t>
            </w:r>
          </w:p>
        </w:tc>
        <w:tc>
          <w:tcPr>
            <w:tcW w:w="878" w:type="pct"/>
            <w:shd w:val="clear" w:color="auto" w:fill="auto"/>
            <w:noWrap/>
            <w:vAlign w:val="center"/>
          </w:tcPr>
          <w:p w14:paraId="665B2C20" w14:textId="77777777" w:rsidR="00EE6BA4" w:rsidRPr="001B4CA2" w:rsidRDefault="00EE6BA4" w:rsidP="00EE6BA4">
            <w:pPr>
              <w:jc w:val="center"/>
              <w:rPr>
                <w:rFonts w:asciiTheme="minorHAnsi" w:eastAsia="Times New Roman" w:hAnsiTheme="minorHAnsi" w:cstheme="minorHAnsi"/>
                <w:bCs/>
                <w:color w:val="000000"/>
                <w:sz w:val="18"/>
                <w:szCs w:val="18"/>
                <w:lang w:eastAsia="hr-HR"/>
              </w:rPr>
            </w:pPr>
            <w:r w:rsidRPr="001B4CA2">
              <w:rPr>
                <w:rFonts w:asciiTheme="minorHAnsi" w:eastAsia="Times New Roman" w:hAnsiTheme="minorHAnsi" w:cstheme="minorHAnsi"/>
                <w:bCs/>
                <w:color w:val="000000"/>
                <w:sz w:val="18"/>
                <w:szCs w:val="18"/>
                <w:lang w:eastAsia="hr-HR"/>
              </w:rPr>
              <w:t>109.926</w:t>
            </w:r>
          </w:p>
        </w:tc>
        <w:tc>
          <w:tcPr>
            <w:tcW w:w="634" w:type="pct"/>
            <w:shd w:val="clear" w:color="auto" w:fill="auto"/>
            <w:noWrap/>
            <w:vAlign w:val="center"/>
          </w:tcPr>
          <w:p w14:paraId="52B8B984" w14:textId="77777777" w:rsidR="00EE6BA4" w:rsidRPr="001B4CA2" w:rsidRDefault="00EE6BA4" w:rsidP="00EE6BA4">
            <w:pPr>
              <w:jc w:val="center"/>
              <w:rPr>
                <w:bCs/>
                <w:sz w:val="18"/>
                <w:szCs w:val="18"/>
              </w:rPr>
            </w:pPr>
            <w:r w:rsidRPr="001B4CA2">
              <w:rPr>
                <w:bCs/>
                <w:sz w:val="18"/>
                <w:szCs w:val="18"/>
              </w:rPr>
              <w:t>36</w:t>
            </w:r>
          </w:p>
        </w:tc>
        <w:tc>
          <w:tcPr>
            <w:tcW w:w="654" w:type="pct"/>
            <w:vAlign w:val="center"/>
          </w:tcPr>
          <w:p w14:paraId="13B1DA64" w14:textId="77777777" w:rsidR="00EE6BA4" w:rsidRPr="001B4CA2" w:rsidRDefault="00EE6BA4" w:rsidP="00EE6BA4">
            <w:pPr>
              <w:jc w:val="center"/>
              <w:rPr>
                <w:bCs/>
                <w:sz w:val="18"/>
                <w:szCs w:val="18"/>
              </w:rPr>
            </w:pPr>
            <w:r w:rsidRPr="001B4CA2">
              <w:rPr>
                <w:bCs/>
                <w:sz w:val="18"/>
                <w:szCs w:val="18"/>
              </w:rPr>
              <w:t>18.843</w:t>
            </w:r>
          </w:p>
        </w:tc>
        <w:tc>
          <w:tcPr>
            <w:tcW w:w="653" w:type="pct"/>
            <w:shd w:val="clear" w:color="auto" w:fill="auto"/>
            <w:noWrap/>
            <w:vAlign w:val="center"/>
          </w:tcPr>
          <w:p w14:paraId="2913F536" w14:textId="77777777" w:rsidR="00EE6BA4" w:rsidRPr="001B4CA2" w:rsidRDefault="00EE6BA4" w:rsidP="00EE6BA4">
            <w:pPr>
              <w:jc w:val="center"/>
              <w:rPr>
                <w:bCs/>
                <w:sz w:val="18"/>
                <w:szCs w:val="18"/>
              </w:rPr>
            </w:pPr>
            <w:r w:rsidRPr="001B4CA2">
              <w:rPr>
                <w:bCs/>
                <w:sz w:val="18"/>
                <w:szCs w:val="18"/>
              </w:rPr>
              <w:t>13</w:t>
            </w:r>
          </w:p>
        </w:tc>
      </w:tr>
    </w:tbl>
    <w:p w14:paraId="46F8B924" w14:textId="77777777" w:rsidR="00EE6BA4" w:rsidRPr="001B4CA2" w:rsidRDefault="00EE6BA4" w:rsidP="00EE6BA4">
      <w:pPr>
        <w:rPr>
          <w:sz w:val="22"/>
          <w:szCs w:val="22"/>
        </w:rPr>
      </w:pPr>
    </w:p>
    <w:p w14:paraId="090D646C" w14:textId="77777777" w:rsidR="00F6521D" w:rsidRPr="001B4CA2" w:rsidRDefault="00F6521D" w:rsidP="00F6521D">
      <w:pPr>
        <w:ind w:firstLine="708"/>
      </w:pPr>
      <w:r w:rsidRPr="001B4CA2">
        <w:t>Na razini zastupanja županijskih državnih odvjetništava ovi se predmeti odnose na imovinskopravne zahtjeve Republike Hrvatske kao oštećenika koji se postavljaju u kaznenim predmetima iz nadležnosti USKOK-a i županijskih državnih odvjetništava.</w:t>
      </w:r>
    </w:p>
    <w:p w14:paraId="61D22DA1" w14:textId="77777777" w:rsidR="00F6521D" w:rsidRPr="001B4CA2" w:rsidRDefault="00F6521D" w:rsidP="00F6521D"/>
    <w:p w14:paraId="572D66F5" w14:textId="4BA3D834" w:rsidR="00F6521D" w:rsidRPr="001B4CA2" w:rsidRDefault="00F6521D" w:rsidP="00F6521D">
      <w:pPr>
        <w:ind w:firstLine="708"/>
      </w:pPr>
      <w:r w:rsidRPr="001B4CA2">
        <w:t>U izvještajnom razdoblju zaprimljeno je 16 novih predmeta. Podneseno je 19 imovinskopravnih zahtjeva ukupne vrijednosti 109.926.000,00k</w:t>
      </w:r>
      <w:r w:rsidR="0047537B" w:rsidRPr="001B4CA2">
        <w:t>n</w:t>
      </w:r>
      <w:r w:rsidR="006141C3">
        <w:t xml:space="preserve"> </w:t>
      </w:r>
      <w:r w:rsidR="0047537B" w:rsidRPr="001B4CA2">
        <w:t>/</w:t>
      </w:r>
      <w:r w:rsidR="001C297A" w:rsidRPr="001B4CA2">
        <w:t xml:space="preserve"> </w:t>
      </w:r>
      <w:r w:rsidR="0047537B" w:rsidRPr="001B4CA2">
        <w:t>14.589.687,4</w:t>
      </w:r>
      <w:r w:rsidR="00A15054">
        <w:t>4</w:t>
      </w:r>
      <w:r w:rsidR="0047537B" w:rsidRPr="001B4CA2">
        <w:t xml:space="preserve"> EUR</w:t>
      </w:r>
      <w:r w:rsidRPr="001B4CA2">
        <w:t>.</w:t>
      </w:r>
    </w:p>
    <w:p w14:paraId="03D3AD4F" w14:textId="77777777" w:rsidR="00F6521D" w:rsidRPr="001B4CA2" w:rsidRDefault="00F6521D" w:rsidP="00F6521D"/>
    <w:p w14:paraId="6AAC5D2E" w14:textId="4E0547AD" w:rsidR="00F6521D" w:rsidRPr="001B4CA2" w:rsidRDefault="00F6521D" w:rsidP="00F6521D">
      <w:pPr>
        <w:ind w:firstLine="708"/>
      </w:pPr>
      <w:r w:rsidRPr="001B4CA2">
        <w:t>Analizirajući ove predmete s obzirom na donesene odluke suda o podnesenim zahtjevima</w:t>
      </w:r>
      <w:r w:rsidR="006141C3">
        <w:t>,</w:t>
      </w:r>
      <w:r w:rsidRPr="001B4CA2">
        <w:t xml:space="preserve"> može se zaključiti da je većem broju odluka usvojen postavljeni imovinskopravni zahtjev države kao oštećenika</w:t>
      </w:r>
      <w:r w:rsidR="006141C3">
        <w:t>,</w:t>
      </w:r>
      <w:r w:rsidRPr="001B4CA2">
        <w:t xml:space="preserve"> odnosno u 73 % primljenih odluka. Sudovi su državu kao oštećenika uputili </w:t>
      </w:r>
      <w:r w:rsidR="006141C3">
        <w:t xml:space="preserve">na to </w:t>
      </w:r>
      <w:r w:rsidRPr="001B4CA2">
        <w:t>da svoj zahtjev ostvaruje u parničnom postupku u 27</w:t>
      </w:r>
      <w:r w:rsidR="006141C3">
        <w:t> </w:t>
      </w:r>
      <w:r w:rsidRPr="001B4CA2">
        <w:t>% predmeta u kojima su tijekom 2022. godine primljene sudske odluke.</w:t>
      </w:r>
    </w:p>
    <w:p w14:paraId="717F915D" w14:textId="77777777" w:rsidR="00F6521D" w:rsidRPr="001B4CA2" w:rsidRDefault="00F6521D" w:rsidP="00F6521D"/>
    <w:p w14:paraId="45F88CF4" w14:textId="3B9B97AE" w:rsidR="00F6521D" w:rsidRPr="001B4CA2" w:rsidRDefault="00F6521D" w:rsidP="00F6521D">
      <w:pPr>
        <w:ind w:firstLine="708"/>
      </w:pPr>
      <w:r w:rsidRPr="001B4CA2">
        <w:t>Sudovi su u izvještajnom razdoblju donijeli 36 odluka kojima je dosuđeno imovinskopravnih zahtjeva u visini od 18.843.000,00 k</w:t>
      </w:r>
      <w:r w:rsidR="0047537B" w:rsidRPr="001B4CA2">
        <w:t>n</w:t>
      </w:r>
      <w:r w:rsidR="006141C3">
        <w:t xml:space="preserve"> </w:t>
      </w:r>
      <w:r w:rsidR="0047537B" w:rsidRPr="001B4CA2">
        <w:t>/ 2.500.895,88</w:t>
      </w:r>
      <w:r w:rsidR="001B4CA2">
        <w:t xml:space="preserve"> </w:t>
      </w:r>
      <w:r w:rsidR="0047537B" w:rsidRPr="001B4CA2">
        <w:t>EUR</w:t>
      </w:r>
      <w:r w:rsidRPr="001B4CA2">
        <w:t>, dok je u 13 predmeta Republika Hrvatska upućena u parnicu radi ostvarivanja svog imovinskopravnog zahtjeva.</w:t>
      </w:r>
    </w:p>
    <w:p w14:paraId="6B444355" w14:textId="77777777" w:rsidR="00F6521D" w:rsidRPr="001B4CA2" w:rsidRDefault="00F6521D" w:rsidP="00F6521D"/>
    <w:p w14:paraId="34D7F3CA" w14:textId="5A67E560" w:rsidR="00F6521D" w:rsidRPr="001B4CA2" w:rsidRDefault="00F6521D" w:rsidP="00F6521D">
      <w:pPr>
        <w:ind w:firstLine="708"/>
      </w:pPr>
      <w:r w:rsidRPr="001B4CA2">
        <w:t xml:space="preserve">Vezano za ostvarivanje zahtjeva u parnici potrebno je istaknuti da se kod pokretanja parničnih postupaka radi naknade štete, a koja </w:t>
      </w:r>
      <w:r w:rsidR="0047537B" w:rsidRPr="001B4CA2">
        <w:t xml:space="preserve">je </w:t>
      </w:r>
      <w:r w:rsidR="006141C3" w:rsidRPr="001B4CA2">
        <w:t xml:space="preserve">šteta </w:t>
      </w:r>
      <w:r w:rsidR="0047537B" w:rsidRPr="001B4CA2">
        <w:t>nastala</w:t>
      </w:r>
      <w:r w:rsidRPr="001B4CA2">
        <w:t xml:space="preserve"> protuprav</w:t>
      </w:r>
      <w:r w:rsidR="0047537B" w:rsidRPr="001B4CA2">
        <w:t>nim</w:t>
      </w:r>
      <w:r w:rsidRPr="001B4CA2">
        <w:t xml:space="preserve"> postupanj</w:t>
      </w:r>
      <w:r w:rsidR="0047537B" w:rsidRPr="001B4CA2">
        <w:t>em</w:t>
      </w:r>
      <w:r w:rsidRPr="001B4CA2">
        <w:t xml:space="preserve"> osoba koje ima i obilježja kaznenog djela, mora voditi računa o možebitnom nastupanju zastare za podnošenje takvih tužbi kada nije donesena osuđujuća kaznena presuda, odnosno i u slučaju kada je takva presuda donesena o vremenu kada je u kaznenom postupku podnesen imovinskopravni zahtjev.</w:t>
      </w:r>
    </w:p>
    <w:p w14:paraId="5BB0530A" w14:textId="77777777" w:rsidR="00F6521D" w:rsidRPr="001B4CA2" w:rsidRDefault="00F6521D" w:rsidP="00F6521D"/>
    <w:p w14:paraId="166E8B7D" w14:textId="5ED77AC0" w:rsidR="00F6521D" w:rsidRPr="001B4CA2" w:rsidRDefault="00F6521D" w:rsidP="00F6521D">
      <w:pPr>
        <w:ind w:firstLine="708"/>
      </w:pPr>
      <w:r w:rsidRPr="001B4CA2">
        <w:t xml:space="preserve">Također, potrebno je istaknuti da su u više predmeta tijekom izvještajnog razdoblja podneseni prijedlozi radi osiguranja imovinskopravnog zahtjeva određivanjem privremenih mjera zabrane raspolaganja određenom imovinom optuženika i povezanih osoba. Kod odluka sudova o predloženim mjerama svakako treba istaknuti da je u tom prijedlogu oštećenik dužan dokazati da će bez određivanja predložene mjere osiguranja za njega nastupiti nenadoknadiva šteta u naplati </w:t>
      </w:r>
      <w:r w:rsidRPr="001B4CA2">
        <w:lastRenderedPageBreak/>
        <w:t>postavljenog imovinskopravnog zahtjeva koju bi zbog raspolaganja imovinom od strane okrivljenika i povezanih osoba mogao pretrpjeti. Kod predlaganja mjera osiguranja potrebni po</w:t>
      </w:r>
      <w:r w:rsidR="00FD08E9">
        <w:t>datci</w:t>
      </w:r>
      <w:r w:rsidRPr="001B4CA2">
        <w:t xml:space="preserve"> za opravdanje razloga za određivanje mjere pribavljaju se od porezne uprave i u pravilu su također d</w:t>
      </w:r>
      <w:r w:rsidR="006141C3">
        <w:t>i</w:t>
      </w:r>
      <w:r w:rsidRPr="001B4CA2">
        <w:t>jelom dostupni iz postupanja u kaznenom predmetu.</w:t>
      </w:r>
    </w:p>
    <w:p w14:paraId="29EA009F" w14:textId="77777777" w:rsidR="00F6521D" w:rsidRPr="001B4CA2" w:rsidRDefault="00F6521D" w:rsidP="00F6521D"/>
    <w:p w14:paraId="11268ECF" w14:textId="77777777" w:rsidR="00F6521D" w:rsidRPr="001B4CA2" w:rsidRDefault="00F6521D" w:rsidP="00F6521D">
      <w:pPr>
        <w:ind w:firstLine="708"/>
      </w:pPr>
      <w:r w:rsidRPr="001B4CA2">
        <w:t>U praksi je najveći problem nemogućnost naplate dosuđenih imovinskopravnih zahtjeva zbog lošeg imovinskog stanja osuđenika koji u pravilu nemaju nikakve imovine ili se radi o osobama koje nemaju prijavljeno prebivalište u Republici Hrvatskoj.</w:t>
      </w:r>
    </w:p>
    <w:p w14:paraId="0F4153C6" w14:textId="77777777" w:rsidR="00F6521D" w:rsidRPr="001B4CA2" w:rsidRDefault="00F6521D" w:rsidP="00F6521D">
      <w:pPr>
        <w:ind w:firstLine="708"/>
      </w:pPr>
    </w:p>
    <w:p w14:paraId="6F9AE9E4" w14:textId="045DA34F" w:rsidR="00EE6BA4" w:rsidRPr="001B4CA2" w:rsidRDefault="00D57807" w:rsidP="00391C91">
      <w:pPr>
        <w:rPr>
          <w:rFonts w:asciiTheme="minorHAnsi" w:hAnsiTheme="minorHAnsi" w:cstheme="minorBidi"/>
          <w:i/>
          <w:szCs w:val="22"/>
        </w:rPr>
      </w:pPr>
      <w:r>
        <w:t xml:space="preserve">  </w:t>
      </w:r>
      <w:r w:rsidR="00EE6BA4" w:rsidRPr="001B4CA2">
        <w:rPr>
          <w:rFonts w:asciiTheme="minorHAnsi" w:hAnsiTheme="minorHAnsi" w:cstheme="minorBidi"/>
          <w:i/>
          <w:szCs w:val="22"/>
        </w:rPr>
        <w:t>Zbirna tablica</w:t>
      </w:r>
      <w:r w:rsidR="00F47D60">
        <w:rPr>
          <w:rFonts w:asciiTheme="minorHAnsi" w:hAnsiTheme="minorHAnsi" w:cstheme="minorBidi"/>
          <w:i/>
          <w:szCs w:val="22"/>
        </w:rPr>
        <w:t xml:space="preserve"> – </w:t>
      </w:r>
      <w:r w:rsidR="00EE6BA4" w:rsidRPr="001B4CA2">
        <w:rPr>
          <w:rFonts w:asciiTheme="minorHAnsi" w:hAnsiTheme="minorHAnsi" w:cstheme="minorBidi"/>
          <w:i/>
          <w:szCs w:val="22"/>
        </w:rPr>
        <w:t>izvanparnični predmeti i pravna mišljenja 2018.</w:t>
      </w:r>
      <w:r w:rsidR="00F47D60">
        <w:rPr>
          <w:rFonts w:asciiTheme="minorHAnsi" w:hAnsiTheme="minorHAnsi" w:cstheme="minorBidi"/>
          <w:i/>
          <w:szCs w:val="22"/>
        </w:rPr>
        <w:t xml:space="preserve"> – </w:t>
      </w:r>
      <w:r w:rsidR="00EE6BA4" w:rsidRPr="001B4CA2">
        <w:rPr>
          <w:rFonts w:asciiTheme="minorHAnsi" w:hAnsiTheme="minorHAnsi" w:cstheme="minorBidi"/>
          <w:i/>
          <w:szCs w:val="22"/>
        </w:rPr>
        <w:t>2022.</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21"/>
        <w:gridCol w:w="780"/>
        <w:gridCol w:w="822"/>
        <w:gridCol w:w="781"/>
        <w:gridCol w:w="822"/>
        <w:gridCol w:w="781"/>
        <w:gridCol w:w="822"/>
        <w:gridCol w:w="781"/>
        <w:gridCol w:w="822"/>
        <w:gridCol w:w="671"/>
      </w:tblGrid>
      <w:tr w:rsidR="00EE6BA4" w:rsidRPr="001B4CA2" w14:paraId="7F6422C5" w14:textId="77777777" w:rsidTr="00FA50FE">
        <w:trPr>
          <w:trHeight w:val="425"/>
          <w:jc w:val="center"/>
        </w:trPr>
        <w:tc>
          <w:tcPr>
            <w:tcW w:w="650" w:type="pct"/>
            <w:vMerge w:val="restart"/>
            <w:shd w:val="clear" w:color="000000" w:fill="99CCFF"/>
            <w:noWrap/>
            <w:vAlign w:val="center"/>
            <w:hideMark/>
          </w:tcPr>
          <w:p w14:paraId="250BCF95" w14:textId="77777777" w:rsidR="00EE6BA4" w:rsidRPr="001B4CA2" w:rsidRDefault="00EE6BA4" w:rsidP="00EE6BA4">
            <w:pPr>
              <w:jc w:val="center"/>
              <w:rPr>
                <w:rFonts w:eastAsia="Times New Roman"/>
                <w:b/>
                <w:bCs/>
                <w:sz w:val="18"/>
                <w:szCs w:val="18"/>
                <w:lang w:eastAsia="hr-HR"/>
              </w:rPr>
            </w:pPr>
            <w:r w:rsidRPr="001B4CA2">
              <w:rPr>
                <w:rFonts w:eastAsia="Times New Roman"/>
                <w:b/>
                <w:bCs/>
                <w:sz w:val="18"/>
                <w:szCs w:val="18"/>
                <w:lang w:eastAsia="hr-HR"/>
              </w:rPr>
              <w:t>Vrsta</w:t>
            </w:r>
          </w:p>
          <w:p w14:paraId="5127556E" w14:textId="77777777" w:rsidR="00EE6BA4" w:rsidRPr="001B4CA2" w:rsidRDefault="00EE6BA4" w:rsidP="00EE6BA4">
            <w:pPr>
              <w:jc w:val="center"/>
              <w:rPr>
                <w:rFonts w:eastAsia="Times New Roman"/>
                <w:b/>
                <w:bCs/>
                <w:sz w:val="18"/>
                <w:szCs w:val="18"/>
                <w:lang w:eastAsia="hr-HR"/>
              </w:rPr>
            </w:pPr>
            <w:r w:rsidRPr="001B4CA2">
              <w:rPr>
                <w:rFonts w:eastAsia="Times New Roman"/>
                <w:b/>
                <w:bCs/>
                <w:sz w:val="18"/>
                <w:szCs w:val="18"/>
                <w:lang w:eastAsia="hr-HR"/>
              </w:rPr>
              <w:t>predmeta</w:t>
            </w:r>
          </w:p>
        </w:tc>
        <w:tc>
          <w:tcPr>
            <w:tcW w:w="882" w:type="pct"/>
            <w:gridSpan w:val="2"/>
            <w:shd w:val="clear" w:color="000000" w:fill="99CCFF"/>
            <w:noWrap/>
            <w:vAlign w:val="center"/>
            <w:hideMark/>
          </w:tcPr>
          <w:p w14:paraId="6D052FAE" w14:textId="77777777" w:rsidR="00EE6BA4" w:rsidRPr="001B4CA2" w:rsidRDefault="00EE6BA4" w:rsidP="00EE6BA4">
            <w:pPr>
              <w:jc w:val="center"/>
              <w:rPr>
                <w:rFonts w:eastAsia="Times New Roman"/>
                <w:b/>
                <w:bCs/>
                <w:sz w:val="18"/>
                <w:szCs w:val="18"/>
                <w:lang w:eastAsia="hr-HR"/>
              </w:rPr>
            </w:pPr>
            <w:r w:rsidRPr="001B4CA2">
              <w:rPr>
                <w:rFonts w:eastAsia="Times New Roman"/>
                <w:b/>
                <w:bCs/>
                <w:sz w:val="18"/>
                <w:szCs w:val="18"/>
                <w:lang w:eastAsia="hr-HR"/>
              </w:rPr>
              <w:t>2018.</w:t>
            </w:r>
          </w:p>
        </w:tc>
        <w:tc>
          <w:tcPr>
            <w:tcW w:w="882" w:type="pct"/>
            <w:gridSpan w:val="2"/>
            <w:shd w:val="clear" w:color="000000" w:fill="99CCFF"/>
            <w:noWrap/>
            <w:vAlign w:val="center"/>
          </w:tcPr>
          <w:p w14:paraId="7B03146D" w14:textId="77777777" w:rsidR="00EE6BA4" w:rsidRPr="001B4CA2" w:rsidRDefault="00EE6BA4" w:rsidP="00EE6BA4">
            <w:pPr>
              <w:jc w:val="center"/>
              <w:rPr>
                <w:rFonts w:eastAsia="Times New Roman"/>
                <w:b/>
                <w:bCs/>
                <w:sz w:val="18"/>
                <w:szCs w:val="18"/>
                <w:lang w:eastAsia="hr-HR"/>
              </w:rPr>
            </w:pPr>
            <w:r w:rsidRPr="001B4CA2">
              <w:rPr>
                <w:rFonts w:eastAsia="Times New Roman"/>
                <w:b/>
                <w:bCs/>
                <w:sz w:val="18"/>
                <w:szCs w:val="18"/>
                <w:lang w:eastAsia="hr-HR"/>
              </w:rPr>
              <w:t>2019.</w:t>
            </w:r>
          </w:p>
        </w:tc>
        <w:tc>
          <w:tcPr>
            <w:tcW w:w="882" w:type="pct"/>
            <w:gridSpan w:val="2"/>
            <w:shd w:val="clear" w:color="000000" w:fill="99CCFF"/>
            <w:noWrap/>
            <w:vAlign w:val="center"/>
          </w:tcPr>
          <w:p w14:paraId="4033A14B" w14:textId="77777777" w:rsidR="00EE6BA4" w:rsidRPr="001B4CA2" w:rsidRDefault="00EE6BA4" w:rsidP="00EE6BA4">
            <w:pPr>
              <w:jc w:val="center"/>
              <w:rPr>
                <w:rFonts w:eastAsia="Times New Roman"/>
                <w:b/>
                <w:bCs/>
                <w:sz w:val="18"/>
                <w:szCs w:val="18"/>
                <w:lang w:eastAsia="hr-HR"/>
              </w:rPr>
            </w:pPr>
            <w:r w:rsidRPr="001B4CA2">
              <w:rPr>
                <w:rFonts w:eastAsia="Times New Roman"/>
                <w:b/>
                <w:bCs/>
                <w:sz w:val="18"/>
                <w:szCs w:val="18"/>
                <w:lang w:eastAsia="hr-HR"/>
              </w:rPr>
              <w:t>2020.</w:t>
            </w:r>
          </w:p>
        </w:tc>
        <w:tc>
          <w:tcPr>
            <w:tcW w:w="882" w:type="pct"/>
            <w:gridSpan w:val="2"/>
            <w:shd w:val="clear" w:color="000000" w:fill="99CCFF"/>
            <w:vAlign w:val="center"/>
          </w:tcPr>
          <w:p w14:paraId="17BF924A" w14:textId="55AB74B8" w:rsidR="00EE6BA4" w:rsidRPr="001B4CA2" w:rsidRDefault="00EE6BA4" w:rsidP="00EE6BA4">
            <w:pPr>
              <w:ind w:right="447"/>
              <w:jc w:val="center"/>
              <w:rPr>
                <w:rFonts w:eastAsia="Times New Roman"/>
                <w:b/>
                <w:bCs/>
                <w:sz w:val="18"/>
                <w:szCs w:val="18"/>
                <w:lang w:eastAsia="hr-HR"/>
              </w:rPr>
            </w:pPr>
            <w:r w:rsidRPr="001B4CA2">
              <w:rPr>
                <w:rFonts w:eastAsia="Times New Roman"/>
                <w:b/>
                <w:bCs/>
                <w:sz w:val="18"/>
                <w:szCs w:val="18"/>
                <w:lang w:eastAsia="hr-HR"/>
              </w:rPr>
              <w:t xml:space="preserve">         2021.</w:t>
            </w:r>
          </w:p>
        </w:tc>
        <w:tc>
          <w:tcPr>
            <w:tcW w:w="823" w:type="pct"/>
            <w:gridSpan w:val="2"/>
            <w:shd w:val="clear" w:color="000000" w:fill="99CCFF"/>
            <w:vAlign w:val="center"/>
          </w:tcPr>
          <w:p w14:paraId="2B5BE4C5" w14:textId="2CF4AA61" w:rsidR="00EE6BA4" w:rsidRPr="001B4CA2" w:rsidRDefault="001B4CA2" w:rsidP="00EE6BA4">
            <w:pPr>
              <w:ind w:right="447"/>
              <w:jc w:val="center"/>
              <w:rPr>
                <w:rFonts w:eastAsia="Times New Roman"/>
                <w:b/>
                <w:bCs/>
                <w:sz w:val="18"/>
                <w:szCs w:val="18"/>
                <w:lang w:eastAsia="hr-HR"/>
              </w:rPr>
            </w:pPr>
            <w:r>
              <w:rPr>
                <w:rFonts w:eastAsia="Times New Roman"/>
                <w:b/>
                <w:bCs/>
                <w:sz w:val="18"/>
                <w:szCs w:val="18"/>
                <w:lang w:eastAsia="hr-HR"/>
              </w:rPr>
              <w:t xml:space="preserve">        </w:t>
            </w:r>
            <w:r w:rsidR="00EE6BA4" w:rsidRPr="001B4CA2">
              <w:rPr>
                <w:rFonts w:eastAsia="Times New Roman"/>
                <w:b/>
                <w:bCs/>
                <w:sz w:val="18"/>
                <w:szCs w:val="18"/>
                <w:lang w:eastAsia="hr-HR"/>
              </w:rPr>
              <w:t>2022.</w:t>
            </w:r>
          </w:p>
        </w:tc>
      </w:tr>
      <w:tr w:rsidR="00EE6BA4" w:rsidRPr="001B4CA2" w14:paraId="07CE16CC" w14:textId="77777777" w:rsidTr="00FA50FE">
        <w:trPr>
          <w:cantSplit/>
          <w:trHeight w:val="1134"/>
          <w:jc w:val="center"/>
        </w:trPr>
        <w:tc>
          <w:tcPr>
            <w:tcW w:w="650" w:type="pct"/>
            <w:vMerge/>
            <w:vAlign w:val="center"/>
            <w:hideMark/>
          </w:tcPr>
          <w:p w14:paraId="3F96CB2A" w14:textId="77777777" w:rsidR="00EE6BA4" w:rsidRPr="001B4CA2" w:rsidRDefault="00EE6BA4" w:rsidP="00EE6BA4">
            <w:pPr>
              <w:jc w:val="left"/>
              <w:rPr>
                <w:rFonts w:eastAsia="Times New Roman"/>
                <w:b/>
                <w:bCs/>
                <w:sz w:val="18"/>
                <w:szCs w:val="18"/>
                <w:lang w:eastAsia="hr-HR"/>
              </w:rPr>
            </w:pPr>
          </w:p>
        </w:tc>
        <w:tc>
          <w:tcPr>
            <w:tcW w:w="452" w:type="pct"/>
            <w:shd w:val="clear" w:color="000000" w:fill="99CCFF"/>
            <w:noWrap/>
            <w:textDirection w:val="btLr"/>
            <w:vAlign w:val="center"/>
            <w:hideMark/>
          </w:tcPr>
          <w:p w14:paraId="16FCDDCE"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Primljeno</w:t>
            </w:r>
          </w:p>
        </w:tc>
        <w:tc>
          <w:tcPr>
            <w:tcW w:w="430" w:type="pct"/>
            <w:shd w:val="clear" w:color="000000" w:fill="99CCFF"/>
            <w:noWrap/>
            <w:textDirection w:val="btLr"/>
            <w:vAlign w:val="center"/>
            <w:hideMark/>
          </w:tcPr>
          <w:p w14:paraId="7DD5EF9D"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Riješeno</w:t>
            </w:r>
          </w:p>
        </w:tc>
        <w:tc>
          <w:tcPr>
            <w:tcW w:w="452" w:type="pct"/>
            <w:shd w:val="clear" w:color="000000" w:fill="99CCFF"/>
            <w:noWrap/>
            <w:textDirection w:val="btLr"/>
            <w:vAlign w:val="center"/>
            <w:hideMark/>
          </w:tcPr>
          <w:p w14:paraId="13565AB1"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Primljeno</w:t>
            </w:r>
          </w:p>
        </w:tc>
        <w:tc>
          <w:tcPr>
            <w:tcW w:w="430" w:type="pct"/>
            <w:shd w:val="clear" w:color="000000" w:fill="99CCFF"/>
            <w:noWrap/>
            <w:textDirection w:val="btLr"/>
            <w:vAlign w:val="center"/>
            <w:hideMark/>
          </w:tcPr>
          <w:p w14:paraId="72E1E721"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Riješeno</w:t>
            </w:r>
          </w:p>
        </w:tc>
        <w:tc>
          <w:tcPr>
            <w:tcW w:w="452" w:type="pct"/>
            <w:shd w:val="clear" w:color="000000" w:fill="99CCFF"/>
            <w:noWrap/>
            <w:textDirection w:val="btLr"/>
            <w:vAlign w:val="center"/>
            <w:hideMark/>
          </w:tcPr>
          <w:p w14:paraId="5F6CCAFB"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Primljeno</w:t>
            </w:r>
          </w:p>
        </w:tc>
        <w:tc>
          <w:tcPr>
            <w:tcW w:w="430" w:type="pct"/>
            <w:shd w:val="clear" w:color="000000" w:fill="99CCFF"/>
            <w:noWrap/>
            <w:textDirection w:val="btLr"/>
            <w:vAlign w:val="center"/>
            <w:hideMark/>
          </w:tcPr>
          <w:p w14:paraId="6BB3F1E5"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Riješeno</w:t>
            </w:r>
          </w:p>
        </w:tc>
        <w:tc>
          <w:tcPr>
            <w:tcW w:w="452" w:type="pct"/>
            <w:shd w:val="clear" w:color="000000" w:fill="99CCFF"/>
            <w:textDirection w:val="btLr"/>
            <w:vAlign w:val="center"/>
            <w:hideMark/>
          </w:tcPr>
          <w:p w14:paraId="7153E1EA"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Primljeno</w:t>
            </w:r>
          </w:p>
        </w:tc>
        <w:tc>
          <w:tcPr>
            <w:tcW w:w="430" w:type="pct"/>
            <w:shd w:val="clear" w:color="000000" w:fill="99CCFF"/>
            <w:textDirection w:val="btLr"/>
            <w:vAlign w:val="center"/>
            <w:hideMark/>
          </w:tcPr>
          <w:p w14:paraId="3A0EB46F"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Riješeno</w:t>
            </w:r>
          </w:p>
        </w:tc>
        <w:tc>
          <w:tcPr>
            <w:tcW w:w="452" w:type="pct"/>
            <w:shd w:val="clear" w:color="000000" w:fill="99CCFF"/>
            <w:textDirection w:val="btLr"/>
            <w:vAlign w:val="center"/>
            <w:hideMark/>
          </w:tcPr>
          <w:p w14:paraId="612CEBDA"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Primljeno</w:t>
            </w:r>
          </w:p>
        </w:tc>
        <w:tc>
          <w:tcPr>
            <w:tcW w:w="371" w:type="pct"/>
            <w:shd w:val="clear" w:color="000000" w:fill="99CCFF"/>
            <w:textDirection w:val="btLr"/>
            <w:vAlign w:val="center"/>
            <w:hideMark/>
          </w:tcPr>
          <w:p w14:paraId="1360E8C2"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Riješeno</w:t>
            </w:r>
          </w:p>
        </w:tc>
      </w:tr>
      <w:tr w:rsidR="00EE6BA4" w:rsidRPr="001B4CA2" w14:paraId="25992BCF" w14:textId="77777777" w:rsidTr="00FA50FE">
        <w:trPr>
          <w:trHeight w:val="519"/>
          <w:jc w:val="center"/>
        </w:trPr>
        <w:tc>
          <w:tcPr>
            <w:tcW w:w="650" w:type="pct"/>
            <w:shd w:val="clear" w:color="auto" w:fill="auto"/>
            <w:vAlign w:val="center"/>
            <w:hideMark/>
          </w:tcPr>
          <w:p w14:paraId="084D4C0E" w14:textId="77777777" w:rsidR="00EE6BA4" w:rsidRPr="001B4CA2" w:rsidRDefault="00EE6BA4" w:rsidP="00EE6BA4">
            <w:pPr>
              <w:jc w:val="left"/>
              <w:rPr>
                <w:rFonts w:eastAsia="Times New Roman"/>
                <w:sz w:val="18"/>
                <w:szCs w:val="18"/>
                <w:lang w:eastAsia="hr-HR"/>
              </w:rPr>
            </w:pPr>
            <w:r w:rsidRPr="001B4CA2">
              <w:rPr>
                <w:rFonts w:eastAsia="Times New Roman"/>
                <w:sz w:val="18"/>
                <w:szCs w:val="18"/>
                <w:lang w:eastAsia="hr-HR"/>
              </w:rPr>
              <w:t>Izvanparnični predmeti</w:t>
            </w:r>
          </w:p>
        </w:tc>
        <w:tc>
          <w:tcPr>
            <w:tcW w:w="452" w:type="pct"/>
            <w:shd w:val="clear" w:color="auto" w:fill="auto"/>
            <w:noWrap/>
            <w:vAlign w:val="center"/>
          </w:tcPr>
          <w:p w14:paraId="186B748E"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399</w:t>
            </w:r>
          </w:p>
        </w:tc>
        <w:tc>
          <w:tcPr>
            <w:tcW w:w="430" w:type="pct"/>
            <w:shd w:val="clear" w:color="auto" w:fill="auto"/>
            <w:noWrap/>
            <w:vAlign w:val="center"/>
          </w:tcPr>
          <w:p w14:paraId="6D63194A"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399</w:t>
            </w:r>
          </w:p>
        </w:tc>
        <w:tc>
          <w:tcPr>
            <w:tcW w:w="452" w:type="pct"/>
            <w:shd w:val="clear" w:color="auto" w:fill="auto"/>
            <w:noWrap/>
            <w:vAlign w:val="center"/>
          </w:tcPr>
          <w:p w14:paraId="0DCE2472"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240</w:t>
            </w:r>
          </w:p>
        </w:tc>
        <w:tc>
          <w:tcPr>
            <w:tcW w:w="430" w:type="pct"/>
            <w:shd w:val="clear" w:color="auto" w:fill="auto"/>
            <w:noWrap/>
            <w:vAlign w:val="center"/>
          </w:tcPr>
          <w:p w14:paraId="3858E6EE"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243</w:t>
            </w:r>
          </w:p>
        </w:tc>
        <w:tc>
          <w:tcPr>
            <w:tcW w:w="452" w:type="pct"/>
            <w:shd w:val="clear" w:color="auto" w:fill="auto"/>
            <w:noWrap/>
            <w:vAlign w:val="center"/>
          </w:tcPr>
          <w:p w14:paraId="45A0172C"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227</w:t>
            </w:r>
          </w:p>
        </w:tc>
        <w:tc>
          <w:tcPr>
            <w:tcW w:w="430" w:type="pct"/>
            <w:shd w:val="clear" w:color="auto" w:fill="auto"/>
            <w:noWrap/>
            <w:vAlign w:val="center"/>
          </w:tcPr>
          <w:p w14:paraId="29A5BD3D"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228</w:t>
            </w:r>
          </w:p>
        </w:tc>
        <w:tc>
          <w:tcPr>
            <w:tcW w:w="452" w:type="pct"/>
            <w:shd w:val="clear" w:color="auto" w:fill="auto"/>
            <w:noWrap/>
            <w:vAlign w:val="center"/>
          </w:tcPr>
          <w:p w14:paraId="5659A739"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455</w:t>
            </w:r>
          </w:p>
        </w:tc>
        <w:tc>
          <w:tcPr>
            <w:tcW w:w="430" w:type="pct"/>
            <w:shd w:val="clear" w:color="auto" w:fill="auto"/>
            <w:noWrap/>
            <w:vAlign w:val="center"/>
          </w:tcPr>
          <w:p w14:paraId="48711C49"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494</w:t>
            </w:r>
          </w:p>
        </w:tc>
        <w:tc>
          <w:tcPr>
            <w:tcW w:w="452" w:type="pct"/>
            <w:shd w:val="clear" w:color="auto" w:fill="auto"/>
            <w:vAlign w:val="center"/>
          </w:tcPr>
          <w:p w14:paraId="3656E98C"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380</w:t>
            </w:r>
          </w:p>
        </w:tc>
        <w:tc>
          <w:tcPr>
            <w:tcW w:w="371" w:type="pct"/>
            <w:shd w:val="clear" w:color="auto" w:fill="auto"/>
            <w:vAlign w:val="center"/>
          </w:tcPr>
          <w:p w14:paraId="3F4A6F35"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407</w:t>
            </w:r>
          </w:p>
        </w:tc>
      </w:tr>
      <w:tr w:rsidR="00EE6BA4" w:rsidRPr="001B4CA2" w14:paraId="02C8BD25" w14:textId="77777777" w:rsidTr="00FA50FE">
        <w:trPr>
          <w:trHeight w:val="519"/>
          <w:jc w:val="center"/>
        </w:trPr>
        <w:tc>
          <w:tcPr>
            <w:tcW w:w="650" w:type="pct"/>
            <w:shd w:val="clear" w:color="auto" w:fill="auto"/>
            <w:vAlign w:val="center"/>
            <w:hideMark/>
          </w:tcPr>
          <w:p w14:paraId="003258BA" w14:textId="77777777" w:rsidR="00EE6BA4" w:rsidRPr="001B4CA2" w:rsidRDefault="00EE6BA4" w:rsidP="00EE6BA4">
            <w:pPr>
              <w:jc w:val="left"/>
              <w:rPr>
                <w:rFonts w:eastAsia="Times New Roman"/>
                <w:sz w:val="18"/>
                <w:szCs w:val="18"/>
                <w:lang w:eastAsia="hr-HR"/>
              </w:rPr>
            </w:pPr>
            <w:r w:rsidRPr="001B4CA2">
              <w:rPr>
                <w:rFonts w:eastAsia="Times New Roman"/>
                <w:sz w:val="18"/>
                <w:szCs w:val="18"/>
                <w:lang w:eastAsia="hr-HR"/>
              </w:rPr>
              <w:t xml:space="preserve">Pravna mišljenja </w:t>
            </w:r>
          </w:p>
        </w:tc>
        <w:tc>
          <w:tcPr>
            <w:tcW w:w="452" w:type="pct"/>
            <w:shd w:val="clear" w:color="auto" w:fill="auto"/>
            <w:noWrap/>
            <w:vAlign w:val="center"/>
          </w:tcPr>
          <w:p w14:paraId="268297B6"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609</w:t>
            </w:r>
          </w:p>
        </w:tc>
        <w:tc>
          <w:tcPr>
            <w:tcW w:w="430" w:type="pct"/>
            <w:shd w:val="clear" w:color="auto" w:fill="auto"/>
            <w:noWrap/>
            <w:vAlign w:val="center"/>
          </w:tcPr>
          <w:p w14:paraId="7B02E72C"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585</w:t>
            </w:r>
          </w:p>
        </w:tc>
        <w:tc>
          <w:tcPr>
            <w:tcW w:w="452" w:type="pct"/>
            <w:shd w:val="clear" w:color="auto" w:fill="auto"/>
            <w:noWrap/>
            <w:vAlign w:val="center"/>
          </w:tcPr>
          <w:p w14:paraId="396B8B34"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868</w:t>
            </w:r>
          </w:p>
        </w:tc>
        <w:tc>
          <w:tcPr>
            <w:tcW w:w="430" w:type="pct"/>
            <w:shd w:val="clear" w:color="auto" w:fill="auto"/>
            <w:noWrap/>
            <w:vAlign w:val="center"/>
          </w:tcPr>
          <w:p w14:paraId="6DC82C6B"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903</w:t>
            </w:r>
          </w:p>
        </w:tc>
        <w:tc>
          <w:tcPr>
            <w:tcW w:w="452" w:type="pct"/>
            <w:shd w:val="clear" w:color="auto" w:fill="auto"/>
            <w:noWrap/>
            <w:vAlign w:val="center"/>
          </w:tcPr>
          <w:p w14:paraId="335CFF9B"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1.482</w:t>
            </w:r>
          </w:p>
        </w:tc>
        <w:tc>
          <w:tcPr>
            <w:tcW w:w="430" w:type="pct"/>
            <w:shd w:val="clear" w:color="auto" w:fill="auto"/>
            <w:noWrap/>
            <w:vAlign w:val="center"/>
          </w:tcPr>
          <w:p w14:paraId="11C6A52B"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1.500</w:t>
            </w:r>
          </w:p>
        </w:tc>
        <w:tc>
          <w:tcPr>
            <w:tcW w:w="452" w:type="pct"/>
            <w:shd w:val="clear" w:color="auto" w:fill="auto"/>
            <w:noWrap/>
            <w:vAlign w:val="center"/>
          </w:tcPr>
          <w:p w14:paraId="0CBB1D85"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1.511</w:t>
            </w:r>
          </w:p>
        </w:tc>
        <w:tc>
          <w:tcPr>
            <w:tcW w:w="430" w:type="pct"/>
            <w:shd w:val="clear" w:color="auto" w:fill="auto"/>
            <w:noWrap/>
            <w:vAlign w:val="center"/>
          </w:tcPr>
          <w:p w14:paraId="016821F4"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1.527</w:t>
            </w:r>
          </w:p>
        </w:tc>
        <w:tc>
          <w:tcPr>
            <w:tcW w:w="452" w:type="pct"/>
            <w:shd w:val="clear" w:color="auto" w:fill="auto"/>
            <w:vAlign w:val="center"/>
          </w:tcPr>
          <w:p w14:paraId="12EB4EAE"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1.700</w:t>
            </w:r>
          </w:p>
        </w:tc>
        <w:tc>
          <w:tcPr>
            <w:tcW w:w="371" w:type="pct"/>
            <w:shd w:val="clear" w:color="auto" w:fill="auto"/>
            <w:vAlign w:val="center"/>
          </w:tcPr>
          <w:p w14:paraId="68363629"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1.683</w:t>
            </w:r>
          </w:p>
        </w:tc>
      </w:tr>
    </w:tbl>
    <w:p w14:paraId="38C98D07" w14:textId="77777777" w:rsidR="00EE6BA4" w:rsidRPr="001B4CA2" w:rsidRDefault="00EE6BA4" w:rsidP="00EE6BA4">
      <w:pPr>
        <w:ind w:left="720"/>
        <w:contextualSpacing/>
        <w:jc w:val="left"/>
        <w:rPr>
          <w:i/>
          <w:szCs w:val="22"/>
        </w:rPr>
      </w:pPr>
    </w:p>
    <w:p w14:paraId="544BF25A" w14:textId="555435CE" w:rsidR="00F6521D" w:rsidRPr="001B4CA2" w:rsidRDefault="00F6521D" w:rsidP="00F6521D">
      <w:pPr>
        <w:ind w:firstLine="708"/>
      </w:pPr>
      <w:r w:rsidRPr="001B4CA2">
        <w:t>Izvanparnični predmeti na županijskoj razini odnose se na postupke na temelju Zakona o sudskom registru, postupke osiguranja dokaza za koje su nadležni trgovački sudovi i postupke suđenja u razumnom roku.</w:t>
      </w:r>
    </w:p>
    <w:p w14:paraId="009D4230" w14:textId="77777777" w:rsidR="00F6521D" w:rsidRPr="001B4CA2" w:rsidRDefault="00F6521D" w:rsidP="00F6521D"/>
    <w:p w14:paraId="2C00D699" w14:textId="77777777" w:rsidR="00F6521D" w:rsidRPr="001B4CA2" w:rsidRDefault="00F6521D" w:rsidP="00F6521D">
      <w:pPr>
        <w:ind w:firstLine="708"/>
      </w:pPr>
      <w:r w:rsidRPr="001B4CA2">
        <w:t xml:space="preserve">U 2022. godini bilo je zaprimljeno 380 izvanparničnih predmeta, što predstavlja smanjenje broja primljenih predmeta ove vrste u odnosu na prethodnu 2021. godinu za 16,48 %. </w:t>
      </w:r>
    </w:p>
    <w:p w14:paraId="37357709" w14:textId="77777777" w:rsidR="00F6521D" w:rsidRPr="001B4CA2" w:rsidRDefault="00F6521D" w:rsidP="00F6521D"/>
    <w:p w14:paraId="1924763E" w14:textId="770BE44D" w:rsidR="00F6521D" w:rsidRPr="001B4CA2" w:rsidRDefault="00F6521D" w:rsidP="00F6521D">
      <w:pPr>
        <w:ind w:firstLine="708"/>
      </w:pPr>
      <w:r w:rsidRPr="001B4CA2">
        <w:t>Iako je broj predmeta ove vrste smanjen</w:t>
      </w:r>
      <w:r w:rsidR="006141C3">
        <w:t>,</w:t>
      </w:r>
      <w:r w:rsidRPr="001B4CA2">
        <w:t xml:space="preserve"> još uvijek značajna brojnost ovih predmeta leži u činjenici što je i tijekom 2022. godine zaprimljen velik broj zahtjeva Ministarstva financija, Porezne uprave</w:t>
      </w:r>
      <w:r w:rsidR="006141C3">
        <w:t>,</w:t>
      </w:r>
      <w:r w:rsidRPr="001B4CA2">
        <w:t xml:space="preserve"> u kojima se predlaže podnošenje prigovora i žalbi, tj. pravnih lijekova na rješenja registarskog suda o brisanju subjekata, pravnih osoba iz sudskog registra (226 predmeta). Broj ovih inicijativa nadležnog tijela Ministarstva financija u ovom izvještajnom razdoblju povećan je u odnosu na 2021. godinu za daljnjih 17,09 % predmeta. U ovim predmetima Porezna uprava državnom odvjetništvu dostavlja podatke o postojanju dugovanja</w:t>
      </w:r>
      <w:r w:rsidR="006141C3">
        <w:t>,</w:t>
      </w:r>
      <w:r w:rsidRPr="001B4CA2">
        <w:t xml:space="preserve"> zbog čega smatra da nije bilo uvjeta za donošenje odluka o brisanju subjekata iz sudskog registra. Po tim inicijativama, a radi se o novoj vrsti predmeta u radu koje je državno odvjetništvo počelo zaprimati koncem 2020. godine, izjavljuju se žalbe, odnosno prigovori u smislu Zakona o trgovačkim društvima, za vjerovnika Ministarstvo financija, Porezna uprava, u cilju naplate tražbina koje naplaćuje porezna uprava. Nakon primitka prigovora sud ne provodi brisanje subjekta već se stranke upućuju na pribavljanje podataka u nadležnoj ispostavi porezne uprave kako bi podmirile evidentirana dugovanja nakon čega se prigovori povlače, a subjekti se brišu iz sudskog registra.</w:t>
      </w:r>
    </w:p>
    <w:p w14:paraId="26D8DBC7" w14:textId="77777777" w:rsidR="00F6521D" w:rsidRPr="001B4CA2" w:rsidRDefault="00F6521D" w:rsidP="00F6521D"/>
    <w:p w14:paraId="68741E0F" w14:textId="77777777" w:rsidR="00F6521D" w:rsidRPr="001B4CA2" w:rsidRDefault="00F6521D" w:rsidP="00F6521D">
      <w:pPr>
        <w:ind w:firstLine="708"/>
      </w:pPr>
      <w:r w:rsidRPr="001B4CA2">
        <w:t xml:space="preserve">Nadležnost županijskih državnih odvjetništava za davanje mišljenja o pravnoj valjanosti pravnih poslova raspolaganja propisana je Zakonom o državnom odvjetništvu i nizom posebnih zakona kao što su Zakon o poljoprivrednom zemljištu </w:t>
      </w:r>
      <w:r w:rsidRPr="001B4CA2">
        <w:lastRenderedPageBreak/>
        <w:t>(Narodne novine broj 20/18, 115/18, 98/19 i 57/22), Zakon o šumama (Narodne novine broj 68/18, 115/18, 98/19, 32/20 i 145/20), Zakon o lovstvu (Narodne novine broj 99/18, 32/19 i 32/20), Zakon o koncesijama (Narodne novine 69/17 i 107/20) i Zakon o zemljišnim knjigama.</w:t>
      </w:r>
    </w:p>
    <w:p w14:paraId="49B20B34" w14:textId="77777777" w:rsidR="00F6521D" w:rsidRPr="001B4CA2" w:rsidRDefault="00F6521D" w:rsidP="00F6521D"/>
    <w:p w14:paraId="4E6496FE" w14:textId="742F09FD" w:rsidR="00F6521D" w:rsidRPr="001B4CA2" w:rsidRDefault="00F6521D" w:rsidP="00F6521D">
      <w:pPr>
        <w:ind w:firstLine="708"/>
      </w:pPr>
      <w:r w:rsidRPr="001B4CA2">
        <w:t>U izvještajnoj godini bilo je zaprimljeno 1</w:t>
      </w:r>
      <w:r w:rsidR="006141C3">
        <w:t>.</w:t>
      </w:r>
      <w:r w:rsidRPr="001B4CA2">
        <w:t>700 predmeta, što je daljnje znatno povećanje u odnosu na 2021. godinu, kada su zaprimljena 1</w:t>
      </w:r>
      <w:r w:rsidR="006141C3">
        <w:t>.</w:t>
      </w:r>
      <w:r w:rsidRPr="001B4CA2">
        <w:t>527 predmeta.</w:t>
      </w:r>
    </w:p>
    <w:p w14:paraId="04016498" w14:textId="77777777" w:rsidR="00F6521D" w:rsidRPr="001B4CA2" w:rsidRDefault="00F6521D" w:rsidP="00F6521D">
      <w:pPr>
        <w:ind w:firstLine="708"/>
      </w:pPr>
    </w:p>
    <w:p w14:paraId="447CD849" w14:textId="6DE54AAE" w:rsidR="00F6521D" w:rsidRPr="001B4CA2" w:rsidRDefault="00F6521D" w:rsidP="00F6521D">
      <w:pPr>
        <w:ind w:firstLine="708"/>
      </w:pPr>
      <w:r w:rsidRPr="001B4CA2">
        <w:t xml:space="preserve">Tijekom razdoblja bilo je </w:t>
      </w:r>
      <w:r w:rsidR="006141C3">
        <w:t>za</w:t>
      </w:r>
      <w:r w:rsidRPr="001B4CA2">
        <w:t>primljeno 1</w:t>
      </w:r>
      <w:r w:rsidR="006141C3">
        <w:t>.</w:t>
      </w:r>
      <w:r w:rsidRPr="001B4CA2">
        <w:t>665 predmeta radi davanja mišljenja županijskog državnog odvjetništva po posebnim propisima, od čega 1</w:t>
      </w:r>
      <w:r w:rsidR="006141C3">
        <w:t>.</w:t>
      </w:r>
      <w:r w:rsidRPr="001B4CA2">
        <w:t xml:space="preserve">202 predmeta davanja mišljenja koja se odnose na raspolaganje poljoprivrednim zemljištem, 282 predmeta davanja mišljenja po članku 57. Zakona o zemljišnim knjigama te 57 predmeta davanja mišljenja propisanog Zakonom o koncesijama. </w:t>
      </w:r>
    </w:p>
    <w:p w14:paraId="048243C9" w14:textId="77777777" w:rsidR="00F6521D" w:rsidRPr="001B4CA2" w:rsidRDefault="00F6521D" w:rsidP="00F6521D">
      <w:pPr>
        <w:ind w:firstLine="708"/>
      </w:pPr>
    </w:p>
    <w:p w14:paraId="146F32A4" w14:textId="106EF7BD" w:rsidR="00F6521D" w:rsidRPr="001B4CA2" w:rsidRDefault="00F6521D" w:rsidP="00F6521D">
      <w:r w:rsidRPr="001B4CA2">
        <w:tab/>
        <w:t>Iz povećanja ukupnog broja primljenih predmeta ove vrste, kao i iz njihove strukture jasno je da je bio povećan broj primljenih predmeta</w:t>
      </w:r>
      <w:r w:rsidR="006141C3">
        <w:t>,</w:t>
      </w:r>
      <w:r w:rsidRPr="001B4CA2">
        <w:t xml:space="preserve"> što je rezultat činjenice da su u 2022. godini jedinice lokalne samouprave sukladno svojoj zakonskoj obvezi počele s raspolaganjem nekretninama poljoprivrednog zemljišta.</w:t>
      </w:r>
    </w:p>
    <w:p w14:paraId="08F66F09" w14:textId="77777777" w:rsidR="00F6521D" w:rsidRPr="001B4CA2" w:rsidRDefault="00F6521D" w:rsidP="00F6521D"/>
    <w:p w14:paraId="710E5B3F" w14:textId="1D245604" w:rsidR="00F6521D" w:rsidRDefault="00F6521D" w:rsidP="00F6521D">
      <w:pPr>
        <w:ind w:firstLine="708"/>
      </w:pPr>
      <w:r w:rsidRPr="001B4CA2">
        <w:t>Ažurnost državnog odvjetništva u ovim predmetima iznimno je dobra. Tijekom razdoblja riješeno je 99</w:t>
      </w:r>
      <w:r w:rsidR="006141C3">
        <w:t> </w:t>
      </w:r>
      <w:r w:rsidRPr="001B4CA2">
        <w:t>% primljenih predmeta.</w:t>
      </w:r>
    </w:p>
    <w:p w14:paraId="160491FA" w14:textId="77777777" w:rsidR="005D30E9" w:rsidRPr="001B4CA2" w:rsidRDefault="005D30E9" w:rsidP="00F6521D">
      <w:pPr>
        <w:ind w:firstLine="708"/>
        <w:rPr>
          <w:sz w:val="20"/>
          <w:szCs w:val="20"/>
        </w:rPr>
      </w:pPr>
    </w:p>
    <w:p w14:paraId="5397828F" w14:textId="77777777" w:rsidR="00EE6BA4" w:rsidRPr="001B4CA2" w:rsidRDefault="00EE6BA4" w:rsidP="00EE6BA4">
      <w:pPr>
        <w:rPr>
          <w:sz w:val="20"/>
          <w:szCs w:val="20"/>
        </w:rPr>
      </w:pPr>
    </w:p>
    <w:p w14:paraId="0840323F" w14:textId="7A8F6D9B" w:rsidR="00EE6BA4" w:rsidRPr="001B4CA2" w:rsidRDefault="00EE6BA4" w:rsidP="00FA50FE">
      <w:pPr>
        <w:pStyle w:val="Odlomakpopisa"/>
        <w:numPr>
          <w:ilvl w:val="0"/>
          <w:numId w:val="48"/>
        </w:numPr>
        <w:jc w:val="left"/>
        <w:rPr>
          <w:rFonts w:asciiTheme="minorHAnsi" w:hAnsiTheme="minorHAnsi" w:cstheme="minorBidi"/>
          <w:i/>
          <w:szCs w:val="22"/>
        </w:rPr>
      </w:pPr>
      <w:r w:rsidRPr="001B4CA2">
        <w:rPr>
          <w:rFonts w:asciiTheme="minorHAnsi" w:hAnsiTheme="minorHAnsi" w:cstheme="minorBidi"/>
          <w:i/>
          <w:szCs w:val="22"/>
        </w:rPr>
        <w:t>Zbirna tablica</w:t>
      </w:r>
      <w:r w:rsidR="00F47D60">
        <w:rPr>
          <w:rFonts w:asciiTheme="minorHAnsi" w:hAnsiTheme="minorHAnsi" w:cstheme="minorBidi"/>
          <w:i/>
          <w:szCs w:val="22"/>
        </w:rPr>
        <w:t xml:space="preserve"> – </w:t>
      </w:r>
      <w:r w:rsidRPr="001B4CA2">
        <w:rPr>
          <w:rFonts w:asciiTheme="minorHAnsi" w:hAnsiTheme="minorHAnsi" w:cstheme="minorBidi"/>
          <w:i/>
          <w:szCs w:val="22"/>
        </w:rPr>
        <w:t>upravni i ostali predmeti 2018.</w:t>
      </w:r>
      <w:r w:rsidR="00F47D60">
        <w:rPr>
          <w:rFonts w:asciiTheme="minorHAnsi" w:hAnsiTheme="minorHAnsi" w:cstheme="minorBidi"/>
          <w:i/>
          <w:szCs w:val="22"/>
        </w:rPr>
        <w:t xml:space="preserve"> – </w:t>
      </w:r>
      <w:r w:rsidRPr="001B4CA2">
        <w:rPr>
          <w:rFonts w:asciiTheme="minorHAnsi" w:hAnsiTheme="minorHAnsi" w:cstheme="minorBidi"/>
          <w:i/>
          <w:szCs w:val="22"/>
        </w:rPr>
        <w:t>2022.</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776"/>
        <w:gridCol w:w="850"/>
        <w:gridCol w:w="709"/>
        <w:gridCol w:w="709"/>
        <w:gridCol w:w="850"/>
        <w:gridCol w:w="709"/>
        <w:gridCol w:w="851"/>
        <w:gridCol w:w="850"/>
        <w:gridCol w:w="709"/>
        <w:gridCol w:w="784"/>
      </w:tblGrid>
      <w:tr w:rsidR="00EE6BA4" w:rsidRPr="001B4CA2" w14:paraId="0AF1C14E" w14:textId="77777777" w:rsidTr="005D30E9">
        <w:trPr>
          <w:trHeight w:val="348"/>
          <w:jc w:val="center"/>
        </w:trPr>
        <w:tc>
          <w:tcPr>
            <w:tcW w:w="1067" w:type="dxa"/>
            <w:vMerge w:val="restart"/>
            <w:shd w:val="clear" w:color="000000" w:fill="99CCFF"/>
            <w:noWrap/>
            <w:vAlign w:val="center"/>
            <w:hideMark/>
          </w:tcPr>
          <w:p w14:paraId="21D460F2" w14:textId="77777777" w:rsidR="00EE6BA4" w:rsidRPr="001B4CA2" w:rsidRDefault="00EE6BA4" w:rsidP="00EE6BA4">
            <w:pPr>
              <w:jc w:val="center"/>
              <w:rPr>
                <w:rFonts w:eastAsia="Times New Roman"/>
                <w:b/>
                <w:bCs/>
                <w:sz w:val="18"/>
                <w:szCs w:val="18"/>
                <w:lang w:eastAsia="hr-HR"/>
              </w:rPr>
            </w:pPr>
            <w:r w:rsidRPr="001B4CA2">
              <w:rPr>
                <w:rFonts w:eastAsia="Times New Roman"/>
                <w:b/>
                <w:bCs/>
                <w:sz w:val="18"/>
                <w:szCs w:val="18"/>
                <w:lang w:eastAsia="hr-HR"/>
              </w:rPr>
              <w:t>Vrsta predmeta</w:t>
            </w:r>
          </w:p>
        </w:tc>
        <w:tc>
          <w:tcPr>
            <w:tcW w:w="1626" w:type="dxa"/>
            <w:gridSpan w:val="2"/>
            <w:shd w:val="clear" w:color="000000" w:fill="99CCFF"/>
            <w:noWrap/>
            <w:vAlign w:val="center"/>
            <w:hideMark/>
          </w:tcPr>
          <w:p w14:paraId="6B97F762" w14:textId="77777777" w:rsidR="00EE6BA4" w:rsidRPr="001B4CA2" w:rsidRDefault="00EE6BA4" w:rsidP="00EE6BA4">
            <w:pPr>
              <w:jc w:val="center"/>
              <w:rPr>
                <w:rFonts w:eastAsia="Times New Roman"/>
                <w:b/>
                <w:bCs/>
                <w:sz w:val="18"/>
                <w:szCs w:val="18"/>
                <w:lang w:eastAsia="hr-HR"/>
              </w:rPr>
            </w:pPr>
            <w:r w:rsidRPr="001B4CA2">
              <w:rPr>
                <w:rFonts w:eastAsia="Times New Roman"/>
                <w:b/>
                <w:bCs/>
                <w:sz w:val="18"/>
                <w:szCs w:val="18"/>
                <w:lang w:eastAsia="hr-HR"/>
              </w:rPr>
              <w:t>2018.</w:t>
            </w:r>
          </w:p>
        </w:tc>
        <w:tc>
          <w:tcPr>
            <w:tcW w:w="1418" w:type="dxa"/>
            <w:gridSpan w:val="2"/>
            <w:shd w:val="clear" w:color="000000" w:fill="99CCFF"/>
            <w:noWrap/>
            <w:vAlign w:val="center"/>
          </w:tcPr>
          <w:p w14:paraId="3FFA51C7" w14:textId="77777777" w:rsidR="00EE6BA4" w:rsidRPr="001B4CA2" w:rsidRDefault="00EE6BA4" w:rsidP="00EE6BA4">
            <w:pPr>
              <w:jc w:val="center"/>
              <w:rPr>
                <w:rFonts w:eastAsia="Times New Roman"/>
                <w:b/>
                <w:bCs/>
                <w:sz w:val="18"/>
                <w:szCs w:val="18"/>
                <w:lang w:eastAsia="hr-HR"/>
              </w:rPr>
            </w:pPr>
            <w:r w:rsidRPr="001B4CA2">
              <w:rPr>
                <w:rFonts w:eastAsia="Times New Roman"/>
                <w:b/>
                <w:bCs/>
                <w:sz w:val="18"/>
                <w:szCs w:val="18"/>
                <w:lang w:eastAsia="hr-HR"/>
              </w:rPr>
              <w:t>2019.</w:t>
            </w:r>
          </w:p>
        </w:tc>
        <w:tc>
          <w:tcPr>
            <w:tcW w:w="1559" w:type="dxa"/>
            <w:gridSpan w:val="2"/>
            <w:shd w:val="clear" w:color="000000" w:fill="99CCFF"/>
            <w:noWrap/>
            <w:vAlign w:val="center"/>
          </w:tcPr>
          <w:p w14:paraId="01201DC8" w14:textId="77777777" w:rsidR="00EE6BA4" w:rsidRPr="001B4CA2" w:rsidRDefault="00EE6BA4" w:rsidP="00EE6BA4">
            <w:pPr>
              <w:jc w:val="center"/>
              <w:rPr>
                <w:rFonts w:eastAsia="Times New Roman"/>
                <w:b/>
                <w:bCs/>
                <w:sz w:val="18"/>
                <w:szCs w:val="18"/>
                <w:lang w:eastAsia="hr-HR"/>
              </w:rPr>
            </w:pPr>
            <w:r w:rsidRPr="001B4CA2">
              <w:rPr>
                <w:rFonts w:eastAsia="Times New Roman"/>
                <w:b/>
                <w:bCs/>
                <w:sz w:val="18"/>
                <w:szCs w:val="18"/>
                <w:lang w:eastAsia="hr-HR"/>
              </w:rPr>
              <w:t>2020.</w:t>
            </w:r>
          </w:p>
        </w:tc>
        <w:tc>
          <w:tcPr>
            <w:tcW w:w="1701" w:type="dxa"/>
            <w:gridSpan w:val="2"/>
            <w:shd w:val="clear" w:color="000000" w:fill="99CCFF"/>
            <w:vAlign w:val="center"/>
          </w:tcPr>
          <w:p w14:paraId="48233701" w14:textId="77777777" w:rsidR="00EE6BA4" w:rsidRPr="001B4CA2" w:rsidRDefault="00EE6BA4" w:rsidP="00EE6BA4">
            <w:pPr>
              <w:jc w:val="center"/>
              <w:rPr>
                <w:rFonts w:eastAsia="Times New Roman"/>
                <w:b/>
                <w:bCs/>
                <w:sz w:val="18"/>
                <w:szCs w:val="18"/>
                <w:lang w:eastAsia="hr-HR"/>
              </w:rPr>
            </w:pPr>
            <w:r w:rsidRPr="001B4CA2">
              <w:rPr>
                <w:rFonts w:eastAsia="Times New Roman"/>
                <w:b/>
                <w:bCs/>
                <w:sz w:val="18"/>
                <w:szCs w:val="18"/>
                <w:lang w:eastAsia="hr-HR"/>
              </w:rPr>
              <w:t>2021.</w:t>
            </w:r>
          </w:p>
        </w:tc>
        <w:tc>
          <w:tcPr>
            <w:tcW w:w="1493" w:type="dxa"/>
            <w:gridSpan w:val="2"/>
            <w:shd w:val="clear" w:color="000000" w:fill="99CCFF"/>
            <w:vAlign w:val="center"/>
          </w:tcPr>
          <w:p w14:paraId="0A0207CC" w14:textId="77777777" w:rsidR="00EE6BA4" w:rsidRPr="001B4CA2" w:rsidRDefault="00EE6BA4" w:rsidP="00EE6BA4">
            <w:pPr>
              <w:jc w:val="center"/>
              <w:rPr>
                <w:rFonts w:eastAsia="Times New Roman"/>
                <w:b/>
                <w:bCs/>
                <w:sz w:val="18"/>
                <w:szCs w:val="18"/>
                <w:lang w:eastAsia="hr-HR"/>
              </w:rPr>
            </w:pPr>
            <w:r w:rsidRPr="001B4CA2">
              <w:rPr>
                <w:rFonts w:eastAsia="Times New Roman"/>
                <w:b/>
                <w:bCs/>
                <w:sz w:val="18"/>
                <w:szCs w:val="18"/>
                <w:lang w:eastAsia="hr-HR"/>
              </w:rPr>
              <w:t>2022.</w:t>
            </w:r>
          </w:p>
        </w:tc>
      </w:tr>
      <w:tr w:rsidR="00FA50FE" w:rsidRPr="001B4CA2" w14:paraId="2AA01789" w14:textId="77777777" w:rsidTr="005D30E9">
        <w:trPr>
          <w:cantSplit/>
          <w:trHeight w:val="1134"/>
          <w:jc w:val="center"/>
        </w:trPr>
        <w:tc>
          <w:tcPr>
            <w:tcW w:w="1067" w:type="dxa"/>
            <w:vMerge/>
            <w:vAlign w:val="center"/>
            <w:hideMark/>
          </w:tcPr>
          <w:p w14:paraId="7791768B" w14:textId="77777777" w:rsidR="00EE6BA4" w:rsidRPr="001B4CA2" w:rsidRDefault="00EE6BA4" w:rsidP="00EE6BA4">
            <w:pPr>
              <w:jc w:val="left"/>
              <w:rPr>
                <w:rFonts w:eastAsia="Times New Roman"/>
                <w:b/>
                <w:bCs/>
                <w:sz w:val="18"/>
                <w:szCs w:val="18"/>
                <w:lang w:eastAsia="hr-HR"/>
              </w:rPr>
            </w:pPr>
          </w:p>
        </w:tc>
        <w:tc>
          <w:tcPr>
            <w:tcW w:w="776" w:type="dxa"/>
            <w:shd w:val="clear" w:color="000000" w:fill="99CCFF"/>
            <w:noWrap/>
            <w:textDirection w:val="btLr"/>
            <w:vAlign w:val="center"/>
            <w:hideMark/>
          </w:tcPr>
          <w:p w14:paraId="227DAEF4"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Primljeno</w:t>
            </w:r>
          </w:p>
        </w:tc>
        <w:tc>
          <w:tcPr>
            <w:tcW w:w="850" w:type="dxa"/>
            <w:shd w:val="clear" w:color="000000" w:fill="99CCFF"/>
            <w:noWrap/>
            <w:textDirection w:val="btLr"/>
            <w:vAlign w:val="center"/>
            <w:hideMark/>
          </w:tcPr>
          <w:p w14:paraId="4AAD953D"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Riješeno</w:t>
            </w:r>
          </w:p>
        </w:tc>
        <w:tc>
          <w:tcPr>
            <w:tcW w:w="709" w:type="dxa"/>
            <w:shd w:val="clear" w:color="000000" w:fill="99CCFF"/>
            <w:noWrap/>
            <w:textDirection w:val="btLr"/>
            <w:vAlign w:val="center"/>
            <w:hideMark/>
          </w:tcPr>
          <w:p w14:paraId="004333C2"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Primljeno</w:t>
            </w:r>
          </w:p>
        </w:tc>
        <w:tc>
          <w:tcPr>
            <w:tcW w:w="709" w:type="dxa"/>
            <w:shd w:val="clear" w:color="000000" w:fill="99CCFF"/>
            <w:noWrap/>
            <w:textDirection w:val="btLr"/>
            <w:vAlign w:val="center"/>
            <w:hideMark/>
          </w:tcPr>
          <w:p w14:paraId="2D2550DA"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Riješeno</w:t>
            </w:r>
          </w:p>
        </w:tc>
        <w:tc>
          <w:tcPr>
            <w:tcW w:w="850" w:type="dxa"/>
            <w:shd w:val="clear" w:color="000000" w:fill="99CCFF"/>
            <w:noWrap/>
            <w:textDirection w:val="btLr"/>
            <w:vAlign w:val="center"/>
            <w:hideMark/>
          </w:tcPr>
          <w:p w14:paraId="0B9B7798"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Primljeno</w:t>
            </w:r>
          </w:p>
        </w:tc>
        <w:tc>
          <w:tcPr>
            <w:tcW w:w="709" w:type="dxa"/>
            <w:shd w:val="clear" w:color="000000" w:fill="99CCFF"/>
            <w:noWrap/>
            <w:textDirection w:val="btLr"/>
            <w:vAlign w:val="center"/>
            <w:hideMark/>
          </w:tcPr>
          <w:p w14:paraId="6647AD27"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Riješeno</w:t>
            </w:r>
          </w:p>
        </w:tc>
        <w:tc>
          <w:tcPr>
            <w:tcW w:w="851" w:type="dxa"/>
            <w:shd w:val="clear" w:color="000000" w:fill="99CCFF"/>
            <w:textDirection w:val="btLr"/>
            <w:vAlign w:val="center"/>
            <w:hideMark/>
          </w:tcPr>
          <w:p w14:paraId="66CA8E14"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Primljeno</w:t>
            </w:r>
          </w:p>
        </w:tc>
        <w:tc>
          <w:tcPr>
            <w:tcW w:w="850" w:type="dxa"/>
            <w:shd w:val="clear" w:color="000000" w:fill="99CCFF"/>
            <w:textDirection w:val="btLr"/>
            <w:vAlign w:val="center"/>
            <w:hideMark/>
          </w:tcPr>
          <w:p w14:paraId="03B9781A"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Riješeno</w:t>
            </w:r>
          </w:p>
        </w:tc>
        <w:tc>
          <w:tcPr>
            <w:tcW w:w="709" w:type="dxa"/>
            <w:shd w:val="clear" w:color="000000" w:fill="99CCFF"/>
            <w:textDirection w:val="btLr"/>
            <w:vAlign w:val="center"/>
            <w:hideMark/>
          </w:tcPr>
          <w:p w14:paraId="7D4120F5"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Primljeno</w:t>
            </w:r>
          </w:p>
        </w:tc>
        <w:tc>
          <w:tcPr>
            <w:tcW w:w="784" w:type="dxa"/>
            <w:shd w:val="clear" w:color="000000" w:fill="99CCFF"/>
            <w:textDirection w:val="btLr"/>
            <w:vAlign w:val="center"/>
            <w:hideMark/>
          </w:tcPr>
          <w:p w14:paraId="469A5AF4" w14:textId="77777777" w:rsidR="00EE6BA4" w:rsidRPr="001B4CA2" w:rsidRDefault="00EE6BA4" w:rsidP="00FA50FE">
            <w:pPr>
              <w:ind w:left="113" w:right="113"/>
              <w:jc w:val="left"/>
              <w:rPr>
                <w:rFonts w:eastAsia="Times New Roman"/>
                <w:sz w:val="18"/>
                <w:szCs w:val="18"/>
                <w:lang w:eastAsia="hr-HR"/>
              </w:rPr>
            </w:pPr>
            <w:r w:rsidRPr="001B4CA2">
              <w:rPr>
                <w:rFonts w:eastAsia="Times New Roman"/>
                <w:sz w:val="18"/>
                <w:szCs w:val="18"/>
                <w:lang w:eastAsia="hr-HR"/>
              </w:rPr>
              <w:t>Riješeno</w:t>
            </w:r>
          </w:p>
        </w:tc>
      </w:tr>
      <w:tr w:rsidR="00FA50FE" w:rsidRPr="001B4CA2" w14:paraId="1E99613F" w14:textId="77777777" w:rsidTr="005D30E9">
        <w:trPr>
          <w:trHeight w:val="511"/>
          <w:jc w:val="center"/>
        </w:trPr>
        <w:tc>
          <w:tcPr>
            <w:tcW w:w="1067" w:type="dxa"/>
            <w:shd w:val="clear" w:color="auto" w:fill="auto"/>
            <w:vAlign w:val="center"/>
            <w:hideMark/>
          </w:tcPr>
          <w:p w14:paraId="5AB3B4E4" w14:textId="77777777" w:rsidR="00EE6BA4" w:rsidRPr="001B4CA2" w:rsidRDefault="00EE6BA4" w:rsidP="00EE6BA4">
            <w:pPr>
              <w:jc w:val="left"/>
              <w:rPr>
                <w:rFonts w:eastAsia="Times New Roman"/>
                <w:sz w:val="18"/>
                <w:szCs w:val="18"/>
                <w:lang w:eastAsia="hr-HR"/>
              </w:rPr>
            </w:pPr>
            <w:r w:rsidRPr="001B4CA2">
              <w:rPr>
                <w:rFonts w:eastAsia="Times New Roman"/>
                <w:sz w:val="18"/>
                <w:szCs w:val="18"/>
                <w:lang w:eastAsia="hr-HR"/>
              </w:rPr>
              <w:t>Upravni predmeti</w:t>
            </w:r>
          </w:p>
        </w:tc>
        <w:tc>
          <w:tcPr>
            <w:tcW w:w="776" w:type="dxa"/>
            <w:shd w:val="clear" w:color="auto" w:fill="auto"/>
            <w:noWrap/>
            <w:vAlign w:val="center"/>
          </w:tcPr>
          <w:p w14:paraId="3B2F6BAA"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406</w:t>
            </w:r>
          </w:p>
        </w:tc>
        <w:tc>
          <w:tcPr>
            <w:tcW w:w="850" w:type="dxa"/>
            <w:shd w:val="clear" w:color="auto" w:fill="auto"/>
            <w:noWrap/>
            <w:vAlign w:val="center"/>
          </w:tcPr>
          <w:p w14:paraId="2542349F"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329</w:t>
            </w:r>
          </w:p>
        </w:tc>
        <w:tc>
          <w:tcPr>
            <w:tcW w:w="709" w:type="dxa"/>
            <w:shd w:val="clear" w:color="auto" w:fill="auto"/>
            <w:noWrap/>
            <w:vAlign w:val="center"/>
          </w:tcPr>
          <w:p w14:paraId="77E985C2"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207</w:t>
            </w:r>
          </w:p>
        </w:tc>
        <w:tc>
          <w:tcPr>
            <w:tcW w:w="709" w:type="dxa"/>
            <w:shd w:val="clear" w:color="auto" w:fill="auto"/>
            <w:noWrap/>
            <w:vAlign w:val="center"/>
          </w:tcPr>
          <w:p w14:paraId="54BD670D"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294</w:t>
            </w:r>
          </w:p>
        </w:tc>
        <w:tc>
          <w:tcPr>
            <w:tcW w:w="850" w:type="dxa"/>
            <w:shd w:val="clear" w:color="auto" w:fill="auto"/>
            <w:noWrap/>
            <w:vAlign w:val="center"/>
          </w:tcPr>
          <w:p w14:paraId="01273611"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212</w:t>
            </w:r>
          </w:p>
        </w:tc>
        <w:tc>
          <w:tcPr>
            <w:tcW w:w="709" w:type="dxa"/>
            <w:shd w:val="clear" w:color="auto" w:fill="auto"/>
            <w:noWrap/>
            <w:vAlign w:val="center"/>
          </w:tcPr>
          <w:p w14:paraId="5851E392"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224</w:t>
            </w:r>
          </w:p>
        </w:tc>
        <w:tc>
          <w:tcPr>
            <w:tcW w:w="851" w:type="dxa"/>
            <w:shd w:val="clear" w:color="auto" w:fill="auto"/>
            <w:noWrap/>
            <w:vAlign w:val="center"/>
          </w:tcPr>
          <w:p w14:paraId="58943720"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183</w:t>
            </w:r>
          </w:p>
        </w:tc>
        <w:tc>
          <w:tcPr>
            <w:tcW w:w="850" w:type="dxa"/>
            <w:shd w:val="clear" w:color="auto" w:fill="auto"/>
            <w:noWrap/>
            <w:vAlign w:val="center"/>
          </w:tcPr>
          <w:p w14:paraId="491398D2"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193</w:t>
            </w:r>
          </w:p>
        </w:tc>
        <w:tc>
          <w:tcPr>
            <w:tcW w:w="709" w:type="dxa"/>
            <w:shd w:val="clear" w:color="auto" w:fill="auto"/>
            <w:vAlign w:val="center"/>
          </w:tcPr>
          <w:p w14:paraId="0FDA9419"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164</w:t>
            </w:r>
          </w:p>
        </w:tc>
        <w:tc>
          <w:tcPr>
            <w:tcW w:w="784" w:type="dxa"/>
            <w:shd w:val="clear" w:color="auto" w:fill="auto"/>
            <w:vAlign w:val="center"/>
          </w:tcPr>
          <w:p w14:paraId="4F703476"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165</w:t>
            </w:r>
          </w:p>
        </w:tc>
      </w:tr>
      <w:tr w:rsidR="00FA50FE" w:rsidRPr="001B4CA2" w14:paraId="42C0B187" w14:textId="77777777" w:rsidTr="005D30E9">
        <w:trPr>
          <w:trHeight w:val="511"/>
          <w:jc w:val="center"/>
        </w:trPr>
        <w:tc>
          <w:tcPr>
            <w:tcW w:w="1067" w:type="dxa"/>
            <w:shd w:val="clear" w:color="auto" w:fill="auto"/>
            <w:vAlign w:val="center"/>
            <w:hideMark/>
          </w:tcPr>
          <w:p w14:paraId="7D346136" w14:textId="77777777" w:rsidR="00EE6BA4" w:rsidRPr="001B4CA2" w:rsidRDefault="00EE6BA4" w:rsidP="00EE6BA4">
            <w:pPr>
              <w:jc w:val="left"/>
              <w:rPr>
                <w:rFonts w:eastAsia="Times New Roman"/>
                <w:sz w:val="18"/>
                <w:szCs w:val="18"/>
                <w:lang w:eastAsia="hr-HR"/>
              </w:rPr>
            </w:pPr>
            <w:r w:rsidRPr="001B4CA2">
              <w:rPr>
                <w:rFonts w:eastAsia="Times New Roman"/>
                <w:sz w:val="18"/>
                <w:szCs w:val="18"/>
                <w:lang w:eastAsia="hr-HR"/>
              </w:rPr>
              <w:t>Razno</w:t>
            </w:r>
          </w:p>
        </w:tc>
        <w:tc>
          <w:tcPr>
            <w:tcW w:w="776" w:type="dxa"/>
            <w:shd w:val="clear" w:color="auto" w:fill="auto"/>
            <w:noWrap/>
            <w:vAlign w:val="center"/>
          </w:tcPr>
          <w:p w14:paraId="5D823EB7"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2.042</w:t>
            </w:r>
          </w:p>
        </w:tc>
        <w:tc>
          <w:tcPr>
            <w:tcW w:w="850" w:type="dxa"/>
            <w:shd w:val="clear" w:color="auto" w:fill="auto"/>
            <w:noWrap/>
            <w:vAlign w:val="center"/>
          </w:tcPr>
          <w:p w14:paraId="68ACD41C"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1.952</w:t>
            </w:r>
          </w:p>
        </w:tc>
        <w:tc>
          <w:tcPr>
            <w:tcW w:w="709" w:type="dxa"/>
            <w:shd w:val="clear" w:color="auto" w:fill="auto"/>
            <w:noWrap/>
            <w:vAlign w:val="center"/>
          </w:tcPr>
          <w:p w14:paraId="49522A03"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2.181</w:t>
            </w:r>
          </w:p>
        </w:tc>
        <w:tc>
          <w:tcPr>
            <w:tcW w:w="709" w:type="dxa"/>
            <w:shd w:val="clear" w:color="auto" w:fill="auto"/>
            <w:noWrap/>
            <w:vAlign w:val="center"/>
          </w:tcPr>
          <w:p w14:paraId="702287E2"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2.114</w:t>
            </w:r>
          </w:p>
        </w:tc>
        <w:tc>
          <w:tcPr>
            <w:tcW w:w="850" w:type="dxa"/>
            <w:shd w:val="clear" w:color="auto" w:fill="auto"/>
            <w:noWrap/>
            <w:vAlign w:val="center"/>
          </w:tcPr>
          <w:p w14:paraId="77C3DE49" w14:textId="77777777" w:rsidR="00EE6BA4" w:rsidRPr="001B4CA2" w:rsidRDefault="00EE6BA4" w:rsidP="00EE6BA4">
            <w:pPr>
              <w:jc w:val="center"/>
              <w:rPr>
                <w:rFonts w:eastAsia="Times New Roman"/>
                <w:sz w:val="18"/>
                <w:szCs w:val="18"/>
                <w:lang w:eastAsia="hr-HR"/>
              </w:rPr>
            </w:pPr>
            <w:r w:rsidRPr="001B4CA2">
              <w:rPr>
                <w:bCs/>
                <w:sz w:val="18"/>
                <w:szCs w:val="18"/>
              </w:rPr>
              <w:t>1.541</w:t>
            </w:r>
          </w:p>
        </w:tc>
        <w:tc>
          <w:tcPr>
            <w:tcW w:w="709" w:type="dxa"/>
            <w:shd w:val="clear" w:color="auto" w:fill="auto"/>
            <w:noWrap/>
            <w:vAlign w:val="center"/>
          </w:tcPr>
          <w:p w14:paraId="30339A05"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1.533</w:t>
            </w:r>
          </w:p>
        </w:tc>
        <w:tc>
          <w:tcPr>
            <w:tcW w:w="851" w:type="dxa"/>
            <w:shd w:val="clear" w:color="auto" w:fill="auto"/>
            <w:noWrap/>
            <w:vAlign w:val="center"/>
          </w:tcPr>
          <w:p w14:paraId="46A88343"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2.056</w:t>
            </w:r>
          </w:p>
        </w:tc>
        <w:tc>
          <w:tcPr>
            <w:tcW w:w="850" w:type="dxa"/>
            <w:shd w:val="clear" w:color="auto" w:fill="auto"/>
            <w:noWrap/>
            <w:vAlign w:val="center"/>
          </w:tcPr>
          <w:p w14:paraId="49C08C30"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2.085</w:t>
            </w:r>
          </w:p>
        </w:tc>
        <w:tc>
          <w:tcPr>
            <w:tcW w:w="709" w:type="dxa"/>
            <w:shd w:val="clear" w:color="auto" w:fill="auto"/>
            <w:vAlign w:val="center"/>
          </w:tcPr>
          <w:p w14:paraId="7ACEE806"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1.638</w:t>
            </w:r>
          </w:p>
        </w:tc>
        <w:tc>
          <w:tcPr>
            <w:tcW w:w="784" w:type="dxa"/>
            <w:shd w:val="clear" w:color="auto" w:fill="auto"/>
            <w:vAlign w:val="center"/>
          </w:tcPr>
          <w:p w14:paraId="6EA81F2B" w14:textId="77777777" w:rsidR="00EE6BA4" w:rsidRPr="001B4CA2" w:rsidRDefault="00EE6BA4" w:rsidP="00EE6BA4">
            <w:pPr>
              <w:jc w:val="center"/>
              <w:rPr>
                <w:rFonts w:eastAsia="Times New Roman"/>
                <w:sz w:val="18"/>
                <w:szCs w:val="18"/>
                <w:lang w:eastAsia="hr-HR"/>
              </w:rPr>
            </w:pPr>
            <w:r w:rsidRPr="001B4CA2">
              <w:rPr>
                <w:rFonts w:eastAsia="Times New Roman"/>
                <w:sz w:val="18"/>
                <w:szCs w:val="18"/>
                <w:lang w:eastAsia="hr-HR"/>
              </w:rPr>
              <w:t>1.686</w:t>
            </w:r>
          </w:p>
        </w:tc>
      </w:tr>
    </w:tbl>
    <w:p w14:paraId="75675A16" w14:textId="77777777" w:rsidR="00EE6BA4" w:rsidRPr="001B4CA2" w:rsidRDefault="00EE6BA4" w:rsidP="00EE6BA4">
      <w:pPr>
        <w:rPr>
          <w:sz w:val="20"/>
          <w:szCs w:val="20"/>
        </w:rPr>
      </w:pPr>
    </w:p>
    <w:p w14:paraId="53F5DFAB" w14:textId="77777777" w:rsidR="00EE6BA4" w:rsidRPr="001B4CA2" w:rsidRDefault="00EE6BA4" w:rsidP="00EE6BA4">
      <w:pPr>
        <w:rPr>
          <w:sz w:val="20"/>
          <w:szCs w:val="20"/>
        </w:rPr>
      </w:pPr>
    </w:p>
    <w:p w14:paraId="1A927BC4" w14:textId="77777777" w:rsidR="00EE6BA4" w:rsidRPr="001B4CA2" w:rsidRDefault="00EE6BA4" w:rsidP="00EE6BA4">
      <w:pPr>
        <w:ind w:firstLine="708"/>
      </w:pPr>
      <w:r w:rsidRPr="001B4CA2">
        <w:t>Upravni se predmeti na županijskoj razini odnose na predmete utvrđivanja granica pomorskog dobra te predmete izdvajanja iz šumskogospodarske osnove, odnosno smatra li se pojedina nekretnina šumom ili šumskim zemljištem.</w:t>
      </w:r>
    </w:p>
    <w:p w14:paraId="00A2BD1D" w14:textId="77777777" w:rsidR="00EE6BA4" w:rsidRPr="001B4CA2" w:rsidRDefault="00EE6BA4" w:rsidP="00EE6BA4"/>
    <w:p w14:paraId="7E3DA9C5" w14:textId="141DB9AC" w:rsidR="00EE6BA4" w:rsidRPr="001B4CA2" w:rsidRDefault="00EE6BA4" w:rsidP="00EE6BA4">
      <w:pPr>
        <w:ind w:firstLine="708"/>
      </w:pPr>
      <w:r w:rsidRPr="001B4CA2">
        <w:t xml:space="preserve">U 2022. godini zaprimljena su 164 upravna predmeta, što je smanjenje od 10,38 % u odnosu na 2021. godinu, kada ih je zaprimljeno 183. Ukupno </w:t>
      </w:r>
      <w:r w:rsidR="006141C3">
        <w:t>su</w:t>
      </w:r>
      <w:r w:rsidRPr="001B4CA2">
        <w:t xml:space="preserve"> riješen</w:t>
      </w:r>
      <w:r w:rsidR="006141C3">
        <w:t>a</w:t>
      </w:r>
      <w:r w:rsidRPr="001B4CA2">
        <w:t xml:space="preserve"> 164 predmeta te je ažurnost u postupanju na ovim predmetima vrlo visoka.</w:t>
      </w:r>
    </w:p>
    <w:p w14:paraId="1EA6D92A" w14:textId="77777777" w:rsidR="00EE6BA4" w:rsidRPr="001B4CA2" w:rsidRDefault="00EE6BA4" w:rsidP="00EE6BA4"/>
    <w:p w14:paraId="15131B47" w14:textId="400CC304" w:rsidR="00F94D60" w:rsidRPr="001B4CA2" w:rsidRDefault="00EE6BA4" w:rsidP="00FA50FE">
      <w:pPr>
        <w:ind w:firstLine="708"/>
      </w:pPr>
      <w:r w:rsidRPr="001B4CA2">
        <w:t>U izvještajnom razdoblju zaprimljeno je 1</w:t>
      </w:r>
      <w:r w:rsidR="006141C3">
        <w:t>.</w:t>
      </w:r>
      <w:r w:rsidRPr="001B4CA2">
        <w:t>638 raznih drugih predmeta iz upisnika R-DO (razno)</w:t>
      </w:r>
      <w:r w:rsidR="006141C3">
        <w:t>.</w:t>
      </w:r>
      <w:r w:rsidRPr="001B4CA2">
        <w:t xml:space="preserve"> Predmeti ove oznake predmeti su raznih izvješća, nadzora nad radom nižih državnih odvjetništava i instruktivne djelatnosti, predmeti u kojima se odgovara na upite raznih tijela, zapisnici sa sjednica odjela, predmeti praćenja sudske prakse koja je značajna za postupanje državnog odvjetništva u primjeni pojedinih procesnih i </w:t>
      </w:r>
      <w:proofErr w:type="spellStart"/>
      <w:r w:rsidRPr="001B4CA2">
        <w:t>materijalnopravnih</w:t>
      </w:r>
      <w:proofErr w:type="spellEnd"/>
      <w:r w:rsidRPr="001B4CA2">
        <w:t xml:space="preserve"> propisa</w:t>
      </w:r>
      <w:r w:rsidR="006141C3">
        <w:t>,</w:t>
      </w:r>
      <w:r w:rsidRPr="001B4CA2">
        <w:t xml:space="preserve"> ali i predmeti u kojima državno odvjetništvo prikuplja isprave i dokaze kako bi utvrdilo pravno odlučne činjenice za </w:t>
      </w:r>
      <w:r w:rsidRPr="001B4CA2">
        <w:lastRenderedPageBreak/>
        <w:t xml:space="preserve">pokretanje drugih postupaka u kojima će na temelju tih utvrđenja država ostvarivati ili štititi svoja imovinska prava i interese. </w:t>
      </w:r>
    </w:p>
    <w:p w14:paraId="08DB1749" w14:textId="30A2FA28" w:rsidR="00730162" w:rsidRPr="001B4CA2" w:rsidRDefault="00730162">
      <w:pPr>
        <w:spacing w:after="200" w:line="276" w:lineRule="auto"/>
        <w:jc w:val="left"/>
      </w:pPr>
      <w:r w:rsidRPr="001B4CA2">
        <w:br w:type="page"/>
      </w:r>
    </w:p>
    <w:p w14:paraId="2FB03BC3" w14:textId="46E3552E" w:rsidR="00B7150A" w:rsidRPr="001B4CA2" w:rsidRDefault="00B7150A" w:rsidP="007C50CA">
      <w:pPr>
        <w:pStyle w:val="Naslov2"/>
        <w:rPr>
          <w:rFonts w:ascii="Arial" w:hAnsi="Arial" w:cs="Arial"/>
        </w:rPr>
      </w:pPr>
      <w:r w:rsidRPr="001B4CA2">
        <w:rPr>
          <w:rFonts w:ascii="Arial" w:hAnsi="Arial" w:cs="Arial"/>
        </w:rPr>
        <w:lastRenderedPageBreak/>
        <w:t xml:space="preserve"> </w:t>
      </w:r>
      <w:bookmarkStart w:id="98" w:name="_Toc133394355"/>
      <w:r w:rsidR="00BB4D48" w:rsidRPr="001B4CA2">
        <w:rPr>
          <w:rFonts w:ascii="Arial" w:hAnsi="Arial" w:cs="Arial"/>
        </w:rPr>
        <w:t>Prikaz rada i odluka Ureda za suzbijanje korupcije i organiziranog</w:t>
      </w:r>
      <w:bookmarkEnd w:id="98"/>
      <w:r w:rsidR="00310130" w:rsidRPr="001B4CA2">
        <w:rPr>
          <w:rFonts w:ascii="Arial" w:hAnsi="Arial" w:cs="Arial"/>
        </w:rPr>
        <w:t xml:space="preserve"> </w:t>
      </w:r>
    </w:p>
    <w:p w14:paraId="6E32E604" w14:textId="49E9234E" w:rsidR="00BB4D48" w:rsidRPr="001B4CA2" w:rsidRDefault="00B7150A" w:rsidP="007C50CA">
      <w:pPr>
        <w:pStyle w:val="Naslov2"/>
        <w:numPr>
          <w:ilvl w:val="0"/>
          <w:numId w:val="0"/>
        </w:numPr>
        <w:ind w:left="360"/>
        <w:rPr>
          <w:rFonts w:ascii="Arial" w:hAnsi="Arial" w:cs="Arial"/>
        </w:rPr>
      </w:pPr>
      <w:r w:rsidRPr="001B4CA2">
        <w:rPr>
          <w:rFonts w:ascii="Arial" w:hAnsi="Arial" w:cs="Arial"/>
        </w:rPr>
        <w:t xml:space="preserve"> </w:t>
      </w:r>
      <w:bookmarkStart w:id="99" w:name="_Toc133394356"/>
      <w:r w:rsidR="00BB4D48" w:rsidRPr="001B4CA2">
        <w:rPr>
          <w:rFonts w:ascii="Arial" w:hAnsi="Arial" w:cs="Arial"/>
        </w:rPr>
        <w:t>kriminaliteta (USKOK)</w:t>
      </w:r>
      <w:bookmarkEnd w:id="99"/>
    </w:p>
    <w:p w14:paraId="24661967" w14:textId="77777777" w:rsidR="00B110F9" w:rsidRPr="001B4CA2" w:rsidRDefault="00B110F9" w:rsidP="007C50CA"/>
    <w:p w14:paraId="31AF0FC1" w14:textId="565FAE58" w:rsidR="00CE234E" w:rsidRPr="001B4CA2" w:rsidRDefault="00B7150A" w:rsidP="00E6050A">
      <w:pPr>
        <w:pStyle w:val="Naslov3"/>
        <w:tabs>
          <w:tab w:val="left" w:pos="851"/>
        </w:tabs>
        <w:ind w:left="567" w:hanging="283"/>
        <w:rPr>
          <w:rFonts w:ascii="Arial" w:hAnsi="Arial" w:cs="Arial"/>
        </w:rPr>
      </w:pPr>
      <w:r w:rsidRPr="001B4CA2">
        <w:rPr>
          <w:rFonts w:ascii="Arial" w:hAnsi="Arial" w:cs="Arial"/>
        </w:rPr>
        <w:t xml:space="preserve"> </w:t>
      </w:r>
      <w:bookmarkStart w:id="100" w:name="_Toc133394357"/>
      <w:r w:rsidR="00BB4D48" w:rsidRPr="001B4CA2">
        <w:rPr>
          <w:rFonts w:ascii="Arial" w:hAnsi="Arial" w:cs="Arial"/>
        </w:rPr>
        <w:t>O</w:t>
      </w:r>
      <w:r w:rsidR="00CE234E" w:rsidRPr="001B4CA2">
        <w:rPr>
          <w:rFonts w:ascii="Arial" w:hAnsi="Arial" w:cs="Arial"/>
        </w:rPr>
        <w:t>dluke povodom kaznene prijave</w:t>
      </w:r>
      <w:bookmarkEnd w:id="100"/>
    </w:p>
    <w:p w14:paraId="55E4BC56" w14:textId="77777777" w:rsidR="00FD20AF" w:rsidRPr="001B4CA2" w:rsidRDefault="00FD20AF" w:rsidP="00FD20AF">
      <w:pPr>
        <w:rPr>
          <w:i/>
          <w:color w:val="000000" w:themeColor="text1"/>
        </w:rPr>
      </w:pPr>
    </w:p>
    <w:tbl>
      <w:tblPr>
        <w:tblW w:w="5157" w:type="pct"/>
        <w:tblInd w:w="250" w:type="dxa"/>
        <w:tblLayout w:type="fixed"/>
        <w:tblLook w:val="04A0" w:firstRow="1" w:lastRow="0" w:firstColumn="1" w:lastColumn="0" w:noHBand="0" w:noVBand="1"/>
      </w:tblPr>
      <w:tblGrid>
        <w:gridCol w:w="851"/>
        <w:gridCol w:w="992"/>
        <w:gridCol w:w="850"/>
        <w:gridCol w:w="567"/>
        <w:gridCol w:w="851"/>
        <w:gridCol w:w="709"/>
        <w:gridCol w:w="850"/>
        <w:gridCol w:w="851"/>
        <w:gridCol w:w="544"/>
        <w:gridCol w:w="808"/>
        <w:gridCol w:w="808"/>
        <w:gridCol w:w="899"/>
      </w:tblGrid>
      <w:tr w:rsidR="00FD20AF" w:rsidRPr="001B4CA2" w14:paraId="6657B6B0" w14:textId="77777777" w:rsidTr="00D57807">
        <w:trPr>
          <w:gridAfter w:val="1"/>
          <w:wAfter w:w="899" w:type="dxa"/>
          <w:cantSplit/>
          <w:trHeight w:val="1283"/>
        </w:trPr>
        <w:tc>
          <w:tcPr>
            <w:tcW w:w="851"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31A0DE0" w14:textId="77777777" w:rsidR="00FD20AF" w:rsidRPr="001B4CA2" w:rsidRDefault="00FD20AF" w:rsidP="00FD20AF">
            <w:pPr>
              <w:spacing w:line="276" w:lineRule="auto"/>
              <w:jc w:val="left"/>
              <w:rPr>
                <w:rFonts w:eastAsia="Times New Roman"/>
                <w:b/>
                <w:color w:val="000000"/>
                <w:sz w:val="18"/>
                <w:szCs w:val="18"/>
                <w:lang w:eastAsia="hr-HR"/>
              </w:rPr>
            </w:pPr>
            <w:r w:rsidRPr="001B4CA2">
              <w:rPr>
                <w:rFonts w:eastAsia="Times New Roman"/>
                <w:b/>
                <w:color w:val="000000"/>
                <w:sz w:val="18"/>
                <w:szCs w:val="18"/>
                <w:lang w:eastAsia="hr-HR"/>
              </w:rPr>
              <w:t>Godina</w:t>
            </w:r>
          </w:p>
        </w:tc>
        <w:tc>
          <w:tcPr>
            <w:tcW w:w="992" w:type="dxa"/>
            <w:tcBorders>
              <w:top w:val="single" w:sz="4" w:space="0" w:color="auto"/>
              <w:left w:val="nil"/>
              <w:bottom w:val="single" w:sz="4" w:space="0" w:color="auto"/>
              <w:right w:val="single" w:sz="4" w:space="0" w:color="auto"/>
            </w:tcBorders>
            <w:shd w:val="clear" w:color="auto" w:fill="99CCFF"/>
            <w:textDirection w:val="btLr"/>
            <w:vAlign w:val="center"/>
            <w:hideMark/>
          </w:tcPr>
          <w:p w14:paraId="59933406" w14:textId="77777777" w:rsidR="00FD20AF" w:rsidRPr="001B4CA2" w:rsidRDefault="00FD20AF" w:rsidP="008813C3">
            <w:pPr>
              <w:spacing w:line="276" w:lineRule="auto"/>
              <w:ind w:left="113" w:right="113"/>
              <w:jc w:val="left"/>
              <w:rPr>
                <w:rFonts w:eastAsia="Times New Roman"/>
                <w:b/>
                <w:color w:val="000000"/>
                <w:sz w:val="18"/>
                <w:szCs w:val="18"/>
                <w:lang w:eastAsia="hr-HR"/>
              </w:rPr>
            </w:pPr>
            <w:r w:rsidRPr="001B4CA2">
              <w:rPr>
                <w:rFonts w:eastAsia="Times New Roman"/>
                <w:b/>
                <w:color w:val="000000"/>
                <w:sz w:val="18"/>
                <w:szCs w:val="18"/>
                <w:lang w:eastAsia="hr-HR"/>
              </w:rPr>
              <w:t>Zaprimljeno kaznenih prijava</w:t>
            </w:r>
          </w:p>
        </w:tc>
        <w:tc>
          <w:tcPr>
            <w:tcW w:w="850" w:type="dxa"/>
            <w:tcBorders>
              <w:top w:val="single" w:sz="4" w:space="0" w:color="auto"/>
              <w:left w:val="nil"/>
              <w:bottom w:val="single" w:sz="4" w:space="0" w:color="auto"/>
              <w:right w:val="single" w:sz="4" w:space="0" w:color="auto"/>
            </w:tcBorders>
            <w:shd w:val="clear" w:color="auto" w:fill="99CCFF"/>
            <w:textDirection w:val="btLr"/>
            <w:vAlign w:val="center"/>
            <w:hideMark/>
          </w:tcPr>
          <w:p w14:paraId="7F3FA85C" w14:textId="77777777" w:rsidR="00FD20AF" w:rsidRPr="001B4CA2" w:rsidRDefault="00FD20AF" w:rsidP="008813C3">
            <w:pPr>
              <w:spacing w:line="276" w:lineRule="auto"/>
              <w:ind w:left="113" w:right="113"/>
              <w:jc w:val="left"/>
              <w:rPr>
                <w:rFonts w:eastAsia="Times New Roman"/>
                <w:b/>
                <w:color w:val="000000"/>
                <w:sz w:val="18"/>
                <w:szCs w:val="18"/>
                <w:lang w:eastAsia="hr-HR"/>
              </w:rPr>
            </w:pPr>
            <w:r w:rsidRPr="001B4CA2">
              <w:rPr>
                <w:rFonts w:eastAsia="Times New Roman"/>
                <w:b/>
                <w:color w:val="000000"/>
                <w:sz w:val="18"/>
                <w:szCs w:val="18"/>
                <w:lang w:eastAsia="hr-HR"/>
              </w:rPr>
              <w:t>Ukupno u radu</w:t>
            </w:r>
          </w:p>
        </w:tc>
        <w:tc>
          <w:tcPr>
            <w:tcW w:w="567" w:type="dxa"/>
            <w:tcBorders>
              <w:top w:val="single" w:sz="4" w:space="0" w:color="auto"/>
              <w:left w:val="nil"/>
              <w:bottom w:val="single" w:sz="4" w:space="0" w:color="auto"/>
              <w:right w:val="single" w:sz="4" w:space="0" w:color="auto"/>
            </w:tcBorders>
            <w:shd w:val="clear" w:color="auto" w:fill="99CCFF"/>
            <w:textDirection w:val="btLr"/>
            <w:vAlign w:val="center"/>
            <w:hideMark/>
          </w:tcPr>
          <w:p w14:paraId="482ADDFD" w14:textId="77777777" w:rsidR="00FD20AF" w:rsidRPr="001B4CA2" w:rsidRDefault="00FD20AF" w:rsidP="008813C3">
            <w:pPr>
              <w:spacing w:line="276" w:lineRule="auto"/>
              <w:ind w:left="113" w:right="113"/>
              <w:jc w:val="left"/>
              <w:rPr>
                <w:rFonts w:eastAsia="Times New Roman"/>
                <w:b/>
                <w:color w:val="000000"/>
                <w:sz w:val="18"/>
                <w:szCs w:val="18"/>
                <w:lang w:eastAsia="hr-HR"/>
              </w:rPr>
            </w:pPr>
            <w:r w:rsidRPr="001B4CA2">
              <w:rPr>
                <w:rFonts w:eastAsia="Times New Roman"/>
                <w:b/>
                <w:color w:val="000000"/>
                <w:sz w:val="18"/>
                <w:szCs w:val="18"/>
                <w:lang w:eastAsia="hr-HR"/>
              </w:rPr>
              <w:t>Neriješeno</w:t>
            </w:r>
          </w:p>
        </w:tc>
        <w:tc>
          <w:tcPr>
            <w:tcW w:w="851" w:type="dxa"/>
            <w:tcBorders>
              <w:top w:val="single" w:sz="4" w:space="0" w:color="auto"/>
              <w:left w:val="nil"/>
              <w:bottom w:val="single" w:sz="4" w:space="0" w:color="auto"/>
              <w:right w:val="single" w:sz="4" w:space="0" w:color="auto"/>
            </w:tcBorders>
            <w:shd w:val="clear" w:color="auto" w:fill="99CCFF"/>
            <w:textDirection w:val="btLr"/>
            <w:vAlign w:val="center"/>
            <w:hideMark/>
          </w:tcPr>
          <w:p w14:paraId="2F930376" w14:textId="77777777" w:rsidR="00FD20AF" w:rsidRPr="001B4CA2" w:rsidRDefault="00FD20AF" w:rsidP="008813C3">
            <w:pPr>
              <w:spacing w:line="276" w:lineRule="auto"/>
              <w:ind w:left="113" w:right="113"/>
              <w:jc w:val="left"/>
              <w:rPr>
                <w:rFonts w:eastAsia="Times New Roman"/>
                <w:b/>
                <w:color w:val="000000"/>
                <w:sz w:val="18"/>
                <w:szCs w:val="18"/>
                <w:lang w:eastAsia="hr-HR"/>
              </w:rPr>
            </w:pPr>
            <w:r w:rsidRPr="001B4CA2">
              <w:rPr>
                <w:rFonts w:eastAsia="Times New Roman"/>
                <w:b/>
                <w:color w:val="000000"/>
                <w:sz w:val="18"/>
                <w:szCs w:val="18"/>
                <w:lang w:eastAsia="hr-HR"/>
              </w:rPr>
              <w:t>Odbačaj</w:t>
            </w:r>
          </w:p>
        </w:tc>
        <w:tc>
          <w:tcPr>
            <w:tcW w:w="709" w:type="dxa"/>
            <w:tcBorders>
              <w:top w:val="single" w:sz="4" w:space="0" w:color="auto"/>
              <w:left w:val="nil"/>
              <w:bottom w:val="single" w:sz="4" w:space="0" w:color="auto"/>
              <w:right w:val="single" w:sz="4" w:space="0" w:color="auto"/>
            </w:tcBorders>
            <w:shd w:val="clear" w:color="auto" w:fill="99CCFF"/>
            <w:textDirection w:val="btLr"/>
            <w:vAlign w:val="center"/>
            <w:hideMark/>
          </w:tcPr>
          <w:p w14:paraId="35F88376" w14:textId="77777777" w:rsidR="00FD20AF" w:rsidRPr="001B4CA2" w:rsidRDefault="00FD20AF" w:rsidP="008813C3">
            <w:pPr>
              <w:spacing w:line="276" w:lineRule="auto"/>
              <w:ind w:left="113" w:right="113"/>
              <w:jc w:val="left"/>
              <w:rPr>
                <w:rFonts w:eastAsia="Times New Roman"/>
                <w:b/>
                <w:color w:val="000000"/>
                <w:sz w:val="18"/>
                <w:szCs w:val="18"/>
                <w:lang w:eastAsia="hr-HR"/>
              </w:rPr>
            </w:pPr>
            <w:r w:rsidRPr="001B4CA2">
              <w:rPr>
                <w:rFonts w:eastAsia="Times New Roman"/>
                <w:b/>
                <w:color w:val="000000"/>
                <w:sz w:val="18"/>
                <w:szCs w:val="18"/>
                <w:lang w:eastAsia="hr-HR"/>
              </w:rPr>
              <w:t>Neposredna optužnica</w:t>
            </w:r>
          </w:p>
        </w:tc>
        <w:tc>
          <w:tcPr>
            <w:tcW w:w="850" w:type="dxa"/>
            <w:tcBorders>
              <w:top w:val="single" w:sz="4" w:space="0" w:color="auto"/>
              <w:left w:val="nil"/>
              <w:bottom w:val="single" w:sz="4" w:space="0" w:color="auto"/>
              <w:right w:val="single" w:sz="4" w:space="0" w:color="auto"/>
            </w:tcBorders>
            <w:shd w:val="clear" w:color="auto" w:fill="99CCFF"/>
            <w:textDirection w:val="btLr"/>
            <w:vAlign w:val="center"/>
            <w:hideMark/>
          </w:tcPr>
          <w:p w14:paraId="19D8052F" w14:textId="77777777" w:rsidR="00FD20AF" w:rsidRPr="001B4CA2" w:rsidRDefault="00FD20AF" w:rsidP="008813C3">
            <w:pPr>
              <w:spacing w:line="276" w:lineRule="auto"/>
              <w:ind w:left="113" w:right="113"/>
              <w:jc w:val="left"/>
              <w:rPr>
                <w:rFonts w:eastAsia="Times New Roman"/>
                <w:b/>
                <w:color w:val="000000"/>
                <w:sz w:val="18"/>
                <w:szCs w:val="18"/>
                <w:lang w:eastAsia="hr-HR"/>
              </w:rPr>
            </w:pPr>
            <w:r w:rsidRPr="001B4CA2">
              <w:rPr>
                <w:rFonts w:eastAsia="Times New Roman"/>
                <w:b/>
                <w:color w:val="000000"/>
                <w:sz w:val="18"/>
                <w:szCs w:val="18"/>
                <w:lang w:eastAsia="hr-HR"/>
              </w:rPr>
              <w:t>Optužnica s kaznenim nalogom</w:t>
            </w:r>
          </w:p>
        </w:tc>
        <w:tc>
          <w:tcPr>
            <w:tcW w:w="851" w:type="dxa"/>
            <w:tcBorders>
              <w:top w:val="single" w:sz="4" w:space="0" w:color="auto"/>
              <w:left w:val="nil"/>
              <w:bottom w:val="single" w:sz="4" w:space="0" w:color="auto"/>
              <w:right w:val="single" w:sz="4" w:space="0" w:color="auto"/>
            </w:tcBorders>
            <w:shd w:val="clear" w:color="auto" w:fill="99CCFF"/>
            <w:textDirection w:val="btLr"/>
            <w:vAlign w:val="center"/>
            <w:hideMark/>
          </w:tcPr>
          <w:p w14:paraId="0F4BA236" w14:textId="77777777" w:rsidR="00FD20AF" w:rsidRPr="001B4CA2" w:rsidRDefault="00FD20AF" w:rsidP="008813C3">
            <w:pPr>
              <w:spacing w:line="276" w:lineRule="auto"/>
              <w:ind w:left="113" w:right="113"/>
              <w:jc w:val="left"/>
              <w:rPr>
                <w:rFonts w:eastAsia="Times New Roman"/>
                <w:b/>
                <w:color w:val="000000"/>
                <w:sz w:val="18"/>
                <w:szCs w:val="18"/>
                <w:lang w:eastAsia="hr-HR"/>
              </w:rPr>
            </w:pPr>
            <w:r w:rsidRPr="001B4CA2">
              <w:rPr>
                <w:rFonts w:eastAsia="Times New Roman"/>
                <w:b/>
                <w:color w:val="000000"/>
                <w:sz w:val="18"/>
                <w:szCs w:val="18"/>
                <w:lang w:eastAsia="hr-HR"/>
              </w:rPr>
              <w:t>Rješenje o provođenju istrage</w:t>
            </w:r>
          </w:p>
        </w:tc>
        <w:tc>
          <w:tcPr>
            <w:tcW w:w="544" w:type="dxa"/>
            <w:tcBorders>
              <w:top w:val="single" w:sz="4" w:space="0" w:color="auto"/>
              <w:left w:val="nil"/>
              <w:bottom w:val="single" w:sz="4" w:space="0" w:color="auto"/>
              <w:right w:val="single" w:sz="4" w:space="0" w:color="auto"/>
            </w:tcBorders>
            <w:shd w:val="clear" w:color="auto" w:fill="99CCFF"/>
            <w:textDirection w:val="btLr"/>
            <w:vAlign w:val="center"/>
            <w:hideMark/>
          </w:tcPr>
          <w:p w14:paraId="639AA5B1" w14:textId="77777777" w:rsidR="00FD20AF" w:rsidRPr="001B4CA2" w:rsidRDefault="00FD20AF" w:rsidP="008813C3">
            <w:pPr>
              <w:spacing w:line="276" w:lineRule="auto"/>
              <w:ind w:left="113" w:right="113"/>
              <w:jc w:val="left"/>
              <w:rPr>
                <w:rFonts w:eastAsia="Times New Roman"/>
                <w:b/>
                <w:color w:val="000000"/>
                <w:sz w:val="18"/>
                <w:szCs w:val="18"/>
                <w:lang w:eastAsia="hr-HR"/>
              </w:rPr>
            </w:pPr>
            <w:r w:rsidRPr="001B4CA2">
              <w:rPr>
                <w:rFonts w:eastAsia="Times New Roman"/>
                <w:b/>
                <w:color w:val="000000"/>
                <w:sz w:val="18"/>
                <w:szCs w:val="18"/>
                <w:lang w:eastAsia="hr-HR"/>
              </w:rPr>
              <w:t>Ustup</w:t>
            </w:r>
          </w:p>
        </w:tc>
        <w:tc>
          <w:tcPr>
            <w:tcW w:w="808" w:type="dxa"/>
            <w:tcBorders>
              <w:top w:val="single" w:sz="4" w:space="0" w:color="auto"/>
              <w:left w:val="nil"/>
              <w:bottom w:val="single" w:sz="4" w:space="0" w:color="auto"/>
              <w:right w:val="single" w:sz="4" w:space="0" w:color="auto"/>
            </w:tcBorders>
            <w:shd w:val="clear" w:color="auto" w:fill="99CCFF"/>
            <w:textDirection w:val="btLr"/>
            <w:vAlign w:val="center"/>
            <w:hideMark/>
          </w:tcPr>
          <w:p w14:paraId="3ED35A5B" w14:textId="77777777" w:rsidR="00FD20AF" w:rsidRPr="001B4CA2" w:rsidRDefault="00FD20AF" w:rsidP="008813C3">
            <w:pPr>
              <w:spacing w:line="276" w:lineRule="auto"/>
              <w:ind w:left="113" w:right="113"/>
              <w:jc w:val="left"/>
              <w:rPr>
                <w:rFonts w:eastAsia="Times New Roman"/>
                <w:b/>
                <w:color w:val="000000"/>
                <w:sz w:val="18"/>
                <w:szCs w:val="18"/>
                <w:lang w:eastAsia="hr-HR"/>
              </w:rPr>
            </w:pPr>
            <w:r w:rsidRPr="001B4CA2">
              <w:rPr>
                <w:rFonts w:eastAsia="Times New Roman"/>
                <w:b/>
                <w:color w:val="000000"/>
                <w:sz w:val="18"/>
                <w:szCs w:val="18"/>
                <w:lang w:eastAsia="hr-HR"/>
              </w:rPr>
              <w:t>Riješeno na drugi način</w:t>
            </w:r>
          </w:p>
        </w:tc>
        <w:tc>
          <w:tcPr>
            <w:tcW w:w="808" w:type="dxa"/>
            <w:tcBorders>
              <w:top w:val="single" w:sz="4" w:space="0" w:color="auto"/>
              <w:left w:val="nil"/>
              <w:bottom w:val="single" w:sz="4" w:space="0" w:color="auto"/>
              <w:right w:val="single" w:sz="4" w:space="0" w:color="auto"/>
            </w:tcBorders>
            <w:shd w:val="clear" w:color="auto" w:fill="99CCFF"/>
            <w:textDirection w:val="btLr"/>
            <w:vAlign w:val="center"/>
            <w:hideMark/>
          </w:tcPr>
          <w:p w14:paraId="4D3E33D8" w14:textId="77777777" w:rsidR="00FD20AF" w:rsidRPr="001B4CA2" w:rsidRDefault="00FD20AF" w:rsidP="008813C3">
            <w:pPr>
              <w:spacing w:line="276" w:lineRule="auto"/>
              <w:ind w:left="113" w:right="113"/>
              <w:jc w:val="left"/>
              <w:rPr>
                <w:rFonts w:eastAsia="Times New Roman"/>
                <w:b/>
                <w:color w:val="000000"/>
                <w:sz w:val="18"/>
                <w:szCs w:val="18"/>
                <w:lang w:eastAsia="hr-HR"/>
              </w:rPr>
            </w:pPr>
            <w:r w:rsidRPr="001B4CA2">
              <w:rPr>
                <w:rFonts w:eastAsia="Times New Roman"/>
                <w:b/>
                <w:color w:val="000000"/>
                <w:sz w:val="18"/>
                <w:szCs w:val="18"/>
                <w:lang w:eastAsia="hr-HR"/>
              </w:rPr>
              <w:t>Ukupno odluka</w:t>
            </w:r>
          </w:p>
        </w:tc>
      </w:tr>
      <w:tr w:rsidR="00FD20AF" w:rsidRPr="001B4CA2" w14:paraId="0B4D9616" w14:textId="77777777" w:rsidTr="00D57807">
        <w:trPr>
          <w:gridAfter w:val="1"/>
          <w:wAfter w:w="899" w:type="dxa"/>
          <w:trHeight w:val="284"/>
        </w:trPr>
        <w:tc>
          <w:tcPr>
            <w:tcW w:w="851" w:type="dxa"/>
            <w:tcBorders>
              <w:top w:val="nil"/>
              <w:left w:val="single" w:sz="4" w:space="0" w:color="auto"/>
              <w:bottom w:val="single" w:sz="4" w:space="0" w:color="auto"/>
              <w:right w:val="single" w:sz="4" w:space="0" w:color="auto"/>
            </w:tcBorders>
            <w:noWrap/>
            <w:vAlign w:val="bottom"/>
            <w:hideMark/>
          </w:tcPr>
          <w:p w14:paraId="4E087A3E" w14:textId="45D34D48"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2018.</w:t>
            </w:r>
          </w:p>
        </w:tc>
        <w:tc>
          <w:tcPr>
            <w:tcW w:w="992" w:type="dxa"/>
            <w:tcBorders>
              <w:top w:val="nil"/>
              <w:left w:val="nil"/>
              <w:bottom w:val="single" w:sz="4" w:space="0" w:color="auto"/>
              <w:right w:val="single" w:sz="4" w:space="0" w:color="auto"/>
            </w:tcBorders>
            <w:noWrap/>
            <w:vAlign w:val="center"/>
            <w:hideMark/>
          </w:tcPr>
          <w:p w14:paraId="3646837A"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1.382</w:t>
            </w:r>
          </w:p>
        </w:tc>
        <w:tc>
          <w:tcPr>
            <w:tcW w:w="850" w:type="dxa"/>
            <w:tcBorders>
              <w:top w:val="nil"/>
              <w:left w:val="nil"/>
              <w:bottom w:val="single" w:sz="4" w:space="0" w:color="auto"/>
              <w:right w:val="single" w:sz="4" w:space="0" w:color="auto"/>
            </w:tcBorders>
            <w:noWrap/>
            <w:vAlign w:val="center"/>
            <w:hideMark/>
          </w:tcPr>
          <w:p w14:paraId="4A2EA8D3"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1.383</w:t>
            </w:r>
          </w:p>
        </w:tc>
        <w:tc>
          <w:tcPr>
            <w:tcW w:w="567" w:type="dxa"/>
            <w:tcBorders>
              <w:top w:val="nil"/>
              <w:left w:val="nil"/>
              <w:bottom w:val="single" w:sz="4" w:space="0" w:color="auto"/>
              <w:right w:val="single" w:sz="4" w:space="0" w:color="auto"/>
            </w:tcBorders>
            <w:noWrap/>
            <w:vAlign w:val="center"/>
            <w:hideMark/>
          </w:tcPr>
          <w:p w14:paraId="7B0F87C2"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8</w:t>
            </w:r>
          </w:p>
        </w:tc>
        <w:tc>
          <w:tcPr>
            <w:tcW w:w="851" w:type="dxa"/>
            <w:tcBorders>
              <w:top w:val="nil"/>
              <w:left w:val="nil"/>
              <w:bottom w:val="single" w:sz="4" w:space="0" w:color="auto"/>
              <w:right w:val="single" w:sz="4" w:space="0" w:color="auto"/>
            </w:tcBorders>
            <w:noWrap/>
            <w:vAlign w:val="center"/>
            <w:hideMark/>
          </w:tcPr>
          <w:p w14:paraId="1DD806E7"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995</w:t>
            </w:r>
          </w:p>
        </w:tc>
        <w:tc>
          <w:tcPr>
            <w:tcW w:w="709" w:type="dxa"/>
            <w:tcBorders>
              <w:top w:val="nil"/>
              <w:left w:val="nil"/>
              <w:bottom w:val="single" w:sz="4" w:space="0" w:color="auto"/>
              <w:right w:val="single" w:sz="4" w:space="0" w:color="auto"/>
            </w:tcBorders>
            <w:noWrap/>
            <w:vAlign w:val="center"/>
            <w:hideMark/>
          </w:tcPr>
          <w:p w14:paraId="038D9547"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w:t>
            </w:r>
          </w:p>
        </w:tc>
        <w:tc>
          <w:tcPr>
            <w:tcW w:w="850" w:type="dxa"/>
            <w:tcBorders>
              <w:top w:val="nil"/>
              <w:left w:val="nil"/>
              <w:bottom w:val="single" w:sz="4" w:space="0" w:color="auto"/>
              <w:right w:val="single" w:sz="4" w:space="0" w:color="auto"/>
            </w:tcBorders>
            <w:noWrap/>
            <w:vAlign w:val="center"/>
          </w:tcPr>
          <w:p w14:paraId="69A47199" w14:textId="77777777" w:rsidR="00FD20AF" w:rsidRPr="001B4CA2" w:rsidRDefault="00FD20AF" w:rsidP="00FD20AF">
            <w:pPr>
              <w:spacing w:line="276" w:lineRule="auto"/>
              <w:jc w:val="center"/>
              <w:rPr>
                <w:rFonts w:eastAsia="Times New Roman"/>
                <w:color w:val="000000"/>
                <w:sz w:val="18"/>
                <w:szCs w:val="18"/>
                <w:lang w:eastAsia="hr-HR"/>
              </w:rPr>
            </w:pPr>
          </w:p>
        </w:tc>
        <w:tc>
          <w:tcPr>
            <w:tcW w:w="851" w:type="dxa"/>
            <w:tcBorders>
              <w:top w:val="nil"/>
              <w:left w:val="nil"/>
              <w:bottom w:val="single" w:sz="4" w:space="0" w:color="auto"/>
              <w:right w:val="single" w:sz="4" w:space="0" w:color="auto"/>
            </w:tcBorders>
            <w:noWrap/>
            <w:vAlign w:val="center"/>
            <w:hideMark/>
          </w:tcPr>
          <w:p w14:paraId="64A6EC3F"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369</w:t>
            </w:r>
          </w:p>
        </w:tc>
        <w:tc>
          <w:tcPr>
            <w:tcW w:w="544" w:type="dxa"/>
            <w:tcBorders>
              <w:top w:val="nil"/>
              <w:left w:val="nil"/>
              <w:bottom w:val="single" w:sz="4" w:space="0" w:color="auto"/>
              <w:right w:val="single" w:sz="4" w:space="0" w:color="auto"/>
            </w:tcBorders>
            <w:noWrap/>
            <w:vAlign w:val="center"/>
            <w:hideMark/>
          </w:tcPr>
          <w:p w14:paraId="72C21BC7" w14:textId="77777777" w:rsidR="00FD20AF" w:rsidRPr="001B4CA2" w:rsidRDefault="00FD20AF" w:rsidP="00FD20AF">
            <w:pPr>
              <w:spacing w:line="276" w:lineRule="auto"/>
              <w:jc w:val="center"/>
              <w:rPr>
                <w:sz w:val="18"/>
                <w:szCs w:val="18"/>
              </w:rPr>
            </w:pPr>
          </w:p>
        </w:tc>
        <w:tc>
          <w:tcPr>
            <w:tcW w:w="808" w:type="dxa"/>
            <w:tcBorders>
              <w:top w:val="nil"/>
              <w:left w:val="nil"/>
              <w:bottom w:val="single" w:sz="4" w:space="0" w:color="auto"/>
              <w:right w:val="single" w:sz="4" w:space="0" w:color="auto"/>
            </w:tcBorders>
            <w:vAlign w:val="center"/>
            <w:hideMark/>
          </w:tcPr>
          <w:p w14:paraId="1BB09AE7"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10</w:t>
            </w:r>
          </w:p>
        </w:tc>
        <w:tc>
          <w:tcPr>
            <w:tcW w:w="808" w:type="dxa"/>
            <w:tcBorders>
              <w:top w:val="nil"/>
              <w:left w:val="nil"/>
              <w:bottom w:val="single" w:sz="4" w:space="0" w:color="auto"/>
              <w:right w:val="single" w:sz="4" w:space="0" w:color="auto"/>
            </w:tcBorders>
            <w:vAlign w:val="center"/>
            <w:hideMark/>
          </w:tcPr>
          <w:p w14:paraId="61336243" w14:textId="77777777" w:rsidR="00FD20AF" w:rsidRPr="001B4CA2" w:rsidRDefault="00FD20AF" w:rsidP="00FD20AF">
            <w:pPr>
              <w:spacing w:line="276" w:lineRule="auto"/>
              <w:jc w:val="center"/>
              <w:rPr>
                <w:rFonts w:eastAsia="Times New Roman"/>
                <w:b/>
                <w:color w:val="000000"/>
                <w:sz w:val="18"/>
                <w:szCs w:val="18"/>
                <w:lang w:eastAsia="hr-HR"/>
              </w:rPr>
            </w:pPr>
            <w:r w:rsidRPr="001B4CA2">
              <w:rPr>
                <w:rFonts w:eastAsia="Times New Roman"/>
                <w:b/>
                <w:color w:val="000000"/>
                <w:sz w:val="18"/>
                <w:szCs w:val="18"/>
                <w:lang w:eastAsia="hr-HR"/>
              </w:rPr>
              <w:t>1.375</w:t>
            </w:r>
          </w:p>
        </w:tc>
      </w:tr>
      <w:tr w:rsidR="00FD20AF" w:rsidRPr="001B4CA2" w14:paraId="03F0088D" w14:textId="77777777" w:rsidTr="00D57807">
        <w:trPr>
          <w:trHeight w:val="284"/>
        </w:trPr>
        <w:tc>
          <w:tcPr>
            <w:tcW w:w="851" w:type="dxa"/>
            <w:tcBorders>
              <w:top w:val="nil"/>
              <w:left w:val="single" w:sz="4" w:space="0" w:color="auto"/>
              <w:bottom w:val="single" w:sz="4" w:space="0" w:color="auto"/>
              <w:right w:val="single" w:sz="4" w:space="0" w:color="auto"/>
            </w:tcBorders>
            <w:noWrap/>
            <w:vAlign w:val="bottom"/>
          </w:tcPr>
          <w:p w14:paraId="3A837321"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2019.</w:t>
            </w:r>
          </w:p>
        </w:tc>
        <w:tc>
          <w:tcPr>
            <w:tcW w:w="992" w:type="dxa"/>
            <w:tcBorders>
              <w:top w:val="nil"/>
              <w:left w:val="nil"/>
              <w:bottom w:val="single" w:sz="4" w:space="0" w:color="auto"/>
              <w:right w:val="single" w:sz="4" w:space="0" w:color="auto"/>
            </w:tcBorders>
            <w:noWrap/>
            <w:vAlign w:val="center"/>
          </w:tcPr>
          <w:p w14:paraId="5FE4881C"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1.365</w:t>
            </w:r>
          </w:p>
        </w:tc>
        <w:tc>
          <w:tcPr>
            <w:tcW w:w="850" w:type="dxa"/>
            <w:tcBorders>
              <w:top w:val="nil"/>
              <w:left w:val="nil"/>
              <w:bottom w:val="single" w:sz="4" w:space="0" w:color="auto"/>
              <w:right w:val="single" w:sz="4" w:space="0" w:color="auto"/>
            </w:tcBorders>
            <w:noWrap/>
            <w:vAlign w:val="center"/>
          </w:tcPr>
          <w:p w14:paraId="5D46932E"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1.373</w:t>
            </w:r>
          </w:p>
        </w:tc>
        <w:tc>
          <w:tcPr>
            <w:tcW w:w="567" w:type="dxa"/>
            <w:tcBorders>
              <w:top w:val="nil"/>
              <w:left w:val="nil"/>
              <w:bottom w:val="single" w:sz="4" w:space="0" w:color="auto"/>
              <w:right w:val="single" w:sz="4" w:space="0" w:color="auto"/>
            </w:tcBorders>
            <w:noWrap/>
            <w:vAlign w:val="center"/>
          </w:tcPr>
          <w:p w14:paraId="778932F6"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0</w:t>
            </w:r>
          </w:p>
        </w:tc>
        <w:tc>
          <w:tcPr>
            <w:tcW w:w="851" w:type="dxa"/>
            <w:tcBorders>
              <w:top w:val="nil"/>
              <w:left w:val="nil"/>
              <w:bottom w:val="single" w:sz="4" w:space="0" w:color="auto"/>
              <w:right w:val="single" w:sz="4" w:space="0" w:color="auto"/>
            </w:tcBorders>
            <w:noWrap/>
            <w:vAlign w:val="center"/>
          </w:tcPr>
          <w:p w14:paraId="6574ECBE"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967</w:t>
            </w:r>
          </w:p>
        </w:tc>
        <w:tc>
          <w:tcPr>
            <w:tcW w:w="709" w:type="dxa"/>
            <w:tcBorders>
              <w:top w:val="nil"/>
              <w:left w:val="nil"/>
              <w:bottom w:val="single" w:sz="4" w:space="0" w:color="auto"/>
              <w:right w:val="single" w:sz="4" w:space="0" w:color="auto"/>
            </w:tcBorders>
            <w:noWrap/>
            <w:vAlign w:val="center"/>
          </w:tcPr>
          <w:p w14:paraId="51AB2C15"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8</w:t>
            </w:r>
          </w:p>
        </w:tc>
        <w:tc>
          <w:tcPr>
            <w:tcW w:w="850" w:type="dxa"/>
            <w:tcBorders>
              <w:top w:val="nil"/>
              <w:left w:val="nil"/>
              <w:bottom w:val="single" w:sz="4" w:space="0" w:color="auto"/>
              <w:right w:val="single" w:sz="4" w:space="0" w:color="auto"/>
            </w:tcBorders>
            <w:noWrap/>
            <w:vAlign w:val="center"/>
          </w:tcPr>
          <w:p w14:paraId="2EC71385" w14:textId="77777777" w:rsidR="00FD20AF" w:rsidRPr="001B4CA2" w:rsidRDefault="00FD20AF" w:rsidP="00FD20AF">
            <w:pPr>
              <w:spacing w:line="276" w:lineRule="auto"/>
              <w:jc w:val="center"/>
              <w:rPr>
                <w:rFonts w:eastAsia="Times New Roman"/>
                <w:color w:val="000000"/>
                <w:sz w:val="18"/>
                <w:szCs w:val="18"/>
                <w:lang w:eastAsia="hr-HR"/>
              </w:rPr>
            </w:pPr>
          </w:p>
        </w:tc>
        <w:tc>
          <w:tcPr>
            <w:tcW w:w="851" w:type="dxa"/>
            <w:tcBorders>
              <w:top w:val="nil"/>
              <w:left w:val="nil"/>
              <w:bottom w:val="single" w:sz="4" w:space="0" w:color="auto"/>
              <w:right w:val="single" w:sz="4" w:space="0" w:color="auto"/>
            </w:tcBorders>
            <w:noWrap/>
            <w:vAlign w:val="center"/>
          </w:tcPr>
          <w:p w14:paraId="2644B2C1"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395</w:t>
            </w:r>
          </w:p>
        </w:tc>
        <w:tc>
          <w:tcPr>
            <w:tcW w:w="544" w:type="dxa"/>
            <w:tcBorders>
              <w:top w:val="nil"/>
              <w:left w:val="nil"/>
              <w:bottom w:val="single" w:sz="4" w:space="0" w:color="auto"/>
              <w:right w:val="single" w:sz="4" w:space="0" w:color="auto"/>
            </w:tcBorders>
            <w:noWrap/>
            <w:vAlign w:val="center"/>
          </w:tcPr>
          <w:p w14:paraId="348A5CFF" w14:textId="77777777" w:rsidR="00FD20AF" w:rsidRPr="001B4CA2" w:rsidRDefault="00FD20AF" w:rsidP="00FD20AF">
            <w:pPr>
              <w:spacing w:line="276" w:lineRule="auto"/>
              <w:jc w:val="center"/>
              <w:rPr>
                <w:rFonts w:eastAsia="Times New Roman"/>
                <w:color w:val="000000"/>
                <w:sz w:val="18"/>
                <w:szCs w:val="18"/>
                <w:lang w:eastAsia="hr-HR"/>
              </w:rPr>
            </w:pPr>
          </w:p>
        </w:tc>
        <w:tc>
          <w:tcPr>
            <w:tcW w:w="808" w:type="dxa"/>
            <w:tcBorders>
              <w:top w:val="nil"/>
              <w:left w:val="nil"/>
              <w:bottom w:val="single" w:sz="4" w:space="0" w:color="auto"/>
              <w:right w:val="single" w:sz="4" w:space="0" w:color="auto"/>
            </w:tcBorders>
            <w:vAlign w:val="center"/>
          </w:tcPr>
          <w:p w14:paraId="3B1E7608"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3</w:t>
            </w:r>
          </w:p>
        </w:tc>
        <w:tc>
          <w:tcPr>
            <w:tcW w:w="808" w:type="dxa"/>
            <w:tcBorders>
              <w:top w:val="nil"/>
              <w:left w:val="nil"/>
              <w:bottom w:val="single" w:sz="4" w:space="0" w:color="auto"/>
              <w:right w:val="single" w:sz="4" w:space="0" w:color="auto"/>
            </w:tcBorders>
            <w:vAlign w:val="center"/>
          </w:tcPr>
          <w:p w14:paraId="1AA2F11E" w14:textId="77777777" w:rsidR="00FD20AF" w:rsidRPr="001B4CA2" w:rsidRDefault="00FD20AF" w:rsidP="00FD20AF">
            <w:pPr>
              <w:spacing w:line="276" w:lineRule="auto"/>
              <w:jc w:val="center"/>
              <w:rPr>
                <w:rFonts w:eastAsia="Times New Roman"/>
                <w:b/>
                <w:color w:val="000000"/>
                <w:sz w:val="18"/>
                <w:szCs w:val="18"/>
                <w:lang w:eastAsia="hr-HR"/>
              </w:rPr>
            </w:pPr>
            <w:r w:rsidRPr="001B4CA2">
              <w:rPr>
                <w:rFonts w:eastAsia="Times New Roman"/>
                <w:b/>
                <w:color w:val="000000"/>
                <w:sz w:val="18"/>
                <w:szCs w:val="18"/>
                <w:lang w:eastAsia="hr-HR"/>
              </w:rPr>
              <w:t>1.373</w:t>
            </w:r>
          </w:p>
        </w:tc>
        <w:tc>
          <w:tcPr>
            <w:tcW w:w="899" w:type="dxa"/>
            <w:vAlign w:val="center"/>
          </w:tcPr>
          <w:p w14:paraId="7808C810" w14:textId="77777777" w:rsidR="00FD20AF" w:rsidRPr="001B4CA2" w:rsidRDefault="00FD20AF" w:rsidP="008813C3">
            <w:pPr>
              <w:spacing w:line="276" w:lineRule="auto"/>
              <w:jc w:val="center"/>
              <w:rPr>
                <w:rFonts w:eastAsia="Times New Roman"/>
                <w:b/>
                <w:color w:val="000000"/>
                <w:sz w:val="18"/>
                <w:szCs w:val="18"/>
                <w:lang w:eastAsia="hr-HR"/>
              </w:rPr>
            </w:pPr>
          </w:p>
        </w:tc>
      </w:tr>
      <w:tr w:rsidR="00FD20AF" w:rsidRPr="001B4CA2" w14:paraId="17E45FF9" w14:textId="77777777" w:rsidTr="00D57807">
        <w:trPr>
          <w:gridAfter w:val="1"/>
          <w:wAfter w:w="899" w:type="dxa"/>
          <w:trHeight w:val="284"/>
        </w:trPr>
        <w:tc>
          <w:tcPr>
            <w:tcW w:w="851" w:type="dxa"/>
            <w:tcBorders>
              <w:top w:val="nil"/>
              <w:left w:val="single" w:sz="4" w:space="0" w:color="auto"/>
              <w:bottom w:val="single" w:sz="4" w:space="0" w:color="auto"/>
              <w:right w:val="single" w:sz="4" w:space="0" w:color="auto"/>
            </w:tcBorders>
            <w:noWrap/>
            <w:vAlign w:val="bottom"/>
            <w:hideMark/>
          </w:tcPr>
          <w:p w14:paraId="2A84AAB8"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2020.</w:t>
            </w:r>
          </w:p>
        </w:tc>
        <w:tc>
          <w:tcPr>
            <w:tcW w:w="992" w:type="dxa"/>
            <w:tcBorders>
              <w:top w:val="nil"/>
              <w:left w:val="nil"/>
              <w:bottom w:val="single" w:sz="4" w:space="0" w:color="auto"/>
              <w:right w:val="single" w:sz="4" w:space="0" w:color="auto"/>
            </w:tcBorders>
            <w:noWrap/>
            <w:vAlign w:val="center"/>
            <w:hideMark/>
          </w:tcPr>
          <w:p w14:paraId="3E960FBD"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1.719</w:t>
            </w:r>
          </w:p>
        </w:tc>
        <w:tc>
          <w:tcPr>
            <w:tcW w:w="850" w:type="dxa"/>
            <w:tcBorders>
              <w:top w:val="nil"/>
              <w:left w:val="nil"/>
              <w:bottom w:val="single" w:sz="4" w:space="0" w:color="auto"/>
              <w:right w:val="single" w:sz="4" w:space="0" w:color="auto"/>
            </w:tcBorders>
            <w:noWrap/>
            <w:vAlign w:val="center"/>
            <w:hideMark/>
          </w:tcPr>
          <w:p w14:paraId="1DE696A9"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1.719</w:t>
            </w:r>
          </w:p>
        </w:tc>
        <w:tc>
          <w:tcPr>
            <w:tcW w:w="567" w:type="dxa"/>
            <w:tcBorders>
              <w:top w:val="nil"/>
              <w:left w:val="nil"/>
              <w:bottom w:val="single" w:sz="4" w:space="0" w:color="auto"/>
              <w:right w:val="single" w:sz="4" w:space="0" w:color="auto"/>
            </w:tcBorders>
            <w:noWrap/>
            <w:vAlign w:val="center"/>
            <w:hideMark/>
          </w:tcPr>
          <w:p w14:paraId="322E926F"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w:t>
            </w:r>
          </w:p>
        </w:tc>
        <w:tc>
          <w:tcPr>
            <w:tcW w:w="851" w:type="dxa"/>
            <w:tcBorders>
              <w:top w:val="nil"/>
              <w:left w:val="nil"/>
              <w:bottom w:val="single" w:sz="4" w:space="0" w:color="auto"/>
              <w:right w:val="single" w:sz="4" w:space="0" w:color="auto"/>
            </w:tcBorders>
            <w:noWrap/>
            <w:vAlign w:val="center"/>
            <w:hideMark/>
          </w:tcPr>
          <w:p w14:paraId="3FB47947"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1.380</w:t>
            </w:r>
          </w:p>
        </w:tc>
        <w:tc>
          <w:tcPr>
            <w:tcW w:w="709" w:type="dxa"/>
            <w:tcBorders>
              <w:top w:val="nil"/>
              <w:left w:val="nil"/>
              <w:bottom w:val="single" w:sz="4" w:space="0" w:color="auto"/>
              <w:right w:val="single" w:sz="4" w:space="0" w:color="auto"/>
            </w:tcBorders>
            <w:noWrap/>
            <w:vAlign w:val="center"/>
            <w:hideMark/>
          </w:tcPr>
          <w:p w14:paraId="099D612D"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2</w:t>
            </w:r>
          </w:p>
        </w:tc>
        <w:tc>
          <w:tcPr>
            <w:tcW w:w="850" w:type="dxa"/>
            <w:tcBorders>
              <w:top w:val="nil"/>
              <w:left w:val="nil"/>
              <w:bottom w:val="single" w:sz="4" w:space="0" w:color="auto"/>
              <w:right w:val="single" w:sz="4" w:space="0" w:color="auto"/>
            </w:tcBorders>
            <w:noWrap/>
            <w:vAlign w:val="center"/>
          </w:tcPr>
          <w:p w14:paraId="75A5C0A7" w14:textId="77777777" w:rsidR="00FD20AF" w:rsidRPr="001B4CA2" w:rsidRDefault="00FD20AF" w:rsidP="00FD20AF">
            <w:pPr>
              <w:spacing w:line="276" w:lineRule="auto"/>
              <w:jc w:val="center"/>
              <w:rPr>
                <w:rFonts w:eastAsia="Times New Roman"/>
                <w:color w:val="000000"/>
                <w:sz w:val="18"/>
                <w:szCs w:val="18"/>
                <w:lang w:eastAsia="hr-HR"/>
              </w:rPr>
            </w:pPr>
          </w:p>
        </w:tc>
        <w:tc>
          <w:tcPr>
            <w:tcW w:w="851" w:type="dxa"/>
            <w:tcBorders>
              <w:top w:val="nil"/>
              <w:left w:val="nil"/>
              <w:bottom w:val="single" w:sz="4" w:space="0" w:color="auto"/>
              <w:right w:val="single" w:sz="4" w:space="0" w:color="auto"/>
            </w:tcBorders>
            <w:noWrap/>
            <w:vAlign w:val="center"/>
            <w:hideMark/>
          </w:tcPr>
          <w:p w14:paraId="72DCC78B"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334</w:t>
            </w:r>
          </w:p>
        </w:tc>
        <w:tc>
          <w:tcPr>
            <w:tcW w:w="544" w:type="dxa"/>
            <w:tcBorders>
              <w:top w:val="nil"/>
              <w:left w:val="nil"/>
              <w:bottom w:val="single" w:sz="4" w:space="0" w:color="auto"/>
              <w:right w:val="single" w:sz="4" w:space="0" w:color="auto"/>
            </w:tcBorders>
            <w:noWrap/>
            <w:vAlign w:val="center"/>
            <w:hideMark/>
          </w:tcPr>
          <w:p w14:paraId="1AE00986"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2</w:t>
            </w:r>
          </w:p>
        </w:tc>
        <w:tc>
          <w:tcPr>
            <w:tcW w:w="808" w:type="dxa"/>
            <w:tcBorders>
              <w:top w:val="nil"/>
              <w:left w:val="nil"/>
              <w:bottom w:val="single" w:sz="4" w:space="0" w:color="auto"/>
              <w:right w:val="single" w:sz="4" w:space="0" w:color="auto"/>
            </w:tcBorders>
            <w:vAlign w:val="center"/>
            <w:hideMark/>
          </w:tcPr>
          <w:p w14:paraId="1FDA0E0F"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0</w:t>
            </w:r>
          </w:p>
        </w:tc>
        <w:tc>
          <w:tcPr>
            <w:tcW w:w="808" w:type="dxa"/>
            <w:tcBorders>
              <w:top w:val="nil"/>
              <w:left w:val="nil"/>
              <w:bottom w:val="single" w:sz="4" w:space="0" w:color="auto"/>
              <w:right w:val="single" w:sz="4" w:space="0" w:color="auto"/>
            </w:tcBorders>
            <w:vAlign w:val="center"/>
            <w:hideMark/>
          </w:tcPr>
          <w:p w14:paraId="0B5A07A8" w14:textId="77777777" w:rsidR="00FD20AF" w:rsidRPr="001B4CA2" w:rsidRDefault="00FD20AF" w:rsidP="00FD20AF">
            <w:pPr>
              <w:spacing w:line="276" w:lineRule="auto"/>
              <w:jc w:val="center"/>
              <w:rPr>
                <w:rFonts w:eastAsia="Times New Roman"/>
                <w:b/>
                <w:color w:val="000000"/>
                <w:sz w:val="18"/>
                <w:szCs w:val="18"/>
                <w:lang w:eastAsia="hr-HR"/>
              </w:rPr>
            </w:pPr>
            <w:r w:rsidRPr="001B4CA2">
              <w:rPr>
                <w:rFonts w:eastAsia="Times New Roman"/>
                <w:b/>
                <w:color w:val="000000"/>
                <w:sz w:val="18"/>
                <w:szCs w:val="18"/>
                <w:lang w:eastAsia="hr-HR"/>
              </w:rPr>
              <w:t>1.718</w:t>
            </w:r>
          </w:p>
        </w:tc>
      </w:tr>
      <w:tr w:rsidR="00FD20AF" w:rsidRPr="001B4CA2" w14:paraId="3208B7FE" w14:textId="77777777" w:rsidTr="00D57807">
        <w:trPr>
          <w:gridAfter w:val="1"/>
          <w:wAfter w:w="899" w:type="dxa"/>
          <w:trHeight w:val="284"/>
        </w:trPr>
        <w:tc>
          <w:tcPr>
            <w:tcW w:w="851" w:type="dxa"/>
            <w:tcBorders>
              <w:top w:val="nil"/>
              <w:left w:val="single" w:sz="4" w:space="0" w:color="auto"/>
              <w:bottom w:val="single" w:sz="4" w:space="0" w:color="auto"/>
              <w:right w:val="single" w:sz="4" w:space="0" w:color="auto"/>
            </w:tcBorders>
            <w:noWrap/>
            <w:vAlign w:val="bottom"/>
          </w:tcPr>
          <w:p w14:paraId="2F427FD1" w14:textId="56489AF9" w:rsidR="00FD20AF" w:rsidRPr="001B4CA2" w:rsidRDefault="00FD20AF" w:rsidP="00FD20AF">
            <w:pPr>
              <w:spacing w:line="276" w:lineRule="auto"/>
              <w:jc w:val="center"/>
              <w:rPr>
                <w:rFonts w:eastAsia="Times New Roman"/>
                <w:sz w:val="18"/>
                <w:szCs w:val="18"/>
                <w:lang w:eastAsia="hr-HR"/>
              </w:rPr>
            </w:pPr>
            <w:r w:rsidRPr="001B4CA2">
              <w:rPr>
                <w:rFonts w:eastAsia="Times New Roman"/>
                <w:sz w:val="18"/>
                <w:szCs w:val="18"/>
                <w:lang w:eastAsia="hr-HR"/>
              </w:rPr>
              <w:t>2021.</w:t>
            </w:r>
          </w:p>
        </w:tc>
        <w:tc>
          <w:tcPr>
            <w:tcW w:w="992" w:type="dxa"/>
            <w:tcBorders>
              <w:top w:val="nil"/>
              <w:left w:val="nil"/>
              <w:bottom w:val="single" w:sz="4" w:space="0" w:color="auto"/>
              <w:right w:val="single" w:sz="4" w:space="0" w:color="auto"/>
            </w:tcBorders>
            <w:noWrap/>
            <w:vAlign w:val="center"/>
          </w:tcPr>
          <w:p w14:paraId="252E3CC9" w14:textId="77777777" w:rsidR="00FD20AF" w:rsidRPr="001B4CA2" w:rsidRDefault="00FD20AF" w:rsidP="00FD20AF">
            <w:pPr>
              <w:spacing w:line="276" w:lineRule="auto"/>
              <w:jc w:val="center"/>
              <w:rPr>
                <w:rFonts w:eastAsia="Times New Roman"/>
                <w:sz w:val="18"/>
                <w:szCs w:val="18"/>
                <w:lang w:eastAsia="hr-HR"/>
              </w:rPr>
            </w:pPr>
            <w:r w:rsidRPr="001B4CA2">
              <w:rPr>
                <w:rFonts w:eastAsia="Times New Roman"/>
                <w:sz w:val="18"/>
                <w:szCs w:val="18"/>
                <w:lang w:eastAsia="hr-HR"/>
              </w:rPr>
              <w:t>1.912</w:t>
            </w:r>
          </w:p>
        </w:tc>
        <w:tc>
          <w:tcPr>
            <w:tcW w:w="850" w:type="dxa"/>
            <w:tcBorders>
              <w:top w:val="nil"/>
              <w:left w:val="nil"/>
              <w:bottom w:val="single" w:sz="4" w:space="0" w:color="auto"/>
              <w:right w:val="single" w:sz="4" w:space="0" w:color="auto"/>
            </w:tcBorders>
            <w:noWrap/>
            <w:vAlign w:val="center"/>
          </w:tcPr>
          <w:p w14:paraId="79DEA5E9" w14:textId="77777777" w:rsidR="00FD20AF" w:rsidRPr="001B4CA2" w:rsidRDefault="00FD20AF" w:rsidP="00FD20AF">
            <w:pPr>
              <w:spacing w:line="276" w:lineRule="auto"/>
              <w:jc w:val="center"/>
              <w:rPr>
                <w:rFonts w:eastAsia="Times New Roman"/>
                <w:sz w:val="18"/>
                <w:szCs w:val="18"/>
                <w:lang w:eastAsia="hr-HR"/>
              </w:rPr>
            </w:pPr>
            <w:r w:rsidRPr="001B4CA2">
              <w:rPr>
                <w:rFonts w:eastAsia="Times New Roman"/>
                <w:sz w:val="18"/>
                <w:szCs w:val="18"/>
                <w:lang w:eastAsia="hr-HR"/>
              </w:rPr>
              <w:t>1.913</w:t>
            </w:r>
          </w:p>
        </w:tc>
        <w:tc>
          <w:tcPr>
            <w:tcW w:w="567" w:type="dxa"/>
            <w:tcBorders>
              <w:top w:val="nil"/>
              <w:left w:val="nil"/>
              <w:bottom w:val="single" w:sz="4" w:space="0" w:color="auto"/>
              <w:right w:val="single" w:sz="4" w:space="0" w:color="auto"/>
            </w:tcBorders>
            <w:noWrap/>
            <w:vAlign w:val="center"/>
          </w:tcPr>
          <w:p w14:paraId="6D8FD301" w14:textId="77777777" w:rsidR="00FD20AF" w:rsidRPr="001B4CA2" w:rsidRDefault="00FD20AF" w:rsidP="00FD20AF">
            <w:pPr>
              <w:spacing w:line="276" w:lineRule="auto"/>
              <w:jc w:val="center"/>
              <w:rPr>
                <w:rFonts w:eastAsia="Times New Roman"/>
                <w:sz w:val="18"/>
                <w:szCs w:val="18"/>
                <w:lang w:eastAsia="hr-HR"/>
              </w:rPr>
            </w:pPr>
            <w:r w:rsidRPr="001B4CA2">
              <w:rPr>
                <w:rFonts w:eastAsia="Times New Roman"/>
                <w:sz w:val="18"/>
                <w:szCs w:val="18"/>
                <w:lang w:eastAsia="hr-HR"/>
              </w:rPr>
              <w:t>-</w:t>
            </w:r>
          </w:p>
        </w:tc>
        <w:tc>
          <w:tcPr>
            <w:tcW w:w="851" w:type="dxa"/>
            <w:tcBorders>
              <w:top w:val="nil"/>
              <w:left w:val="nil"/>
              <w:bottom w:val="single" w:sz="4" w:space="0" w:color="auto"/>
              <w:right w:val="single" w:sz="4" w:space="0" w:color="auto"/>
            </w:tcBorders>
            <w:noWrap/>
            <w:vAlign w:val="center"/>
          </w:tcPr>
          <w:p w14:paraId="419EB4D7" w14:textId="77777777" w:rsidR="00FD20AF" w:rsidRPr="001B4CA2" w:rsidRDefault="00FD20AF" w:rsidP="00FD20AF">
            <w:pPr>
              <w:spacing w:line="276" w:lineRule="auto"/>
              <w:jc w:val="center"/>
              <w:rPr>
                <w:rFonts w:eastAsia="Times New Roman"/>
                <w:sz w:val="18"/>
                <w:szCs w:val="18"/>
                <w:lang w:eastAsia="hr-HR"/>
              </w:rPr>
            </w:pPr>
            <w:r w:rsidRPr="001B4CA2">
              <w:rPr>
                <w:rFonts w:eastAsia="Times New Roman"/>
                <w:sz w:val="18"/>
                <w:szCs w:val="18"/>
                <w:lang w:eastAsia="hr-HR"/>
              </w:rPr>
              <w:t>1.473</w:t>
            </w:r>
          </w:p>
        </w:tc>
        <w:tc>
          <w:tcPr>
            <w:tcW w:w="709" w:type="dxa"/>
            <w:tcBorders>
              <w:top w:val="nil"/>
              <w:left w:val="nil"/>
              <w:bottom w:val="single" w:sz="4" w:space="0" w:color="auto"/>
              <w:right w:val="single" w:sz="4" w:space="0" w:color="auto"/>
            </w:tcBorders>
            <w:noWrap/>
            <w:vAlign w:val="center"/>
          </w:tcPr>
          <w:p w14:paraId="008C701B" w14:textId="77777777" w:rsidR="00FD20AF" w:rsidRPr="001B4CA2" w:rsidRDefault="00FD20AF" w:rsidP="00FD20AF">
            <w:pPr>
              <w:spacing w:line="276" w:lineRule="auto"/>
              <w:jc w:val="center"/>
              <w:rPr>
                <w:rFonts w:eastAsia="Times New Roman"/>
                <w:sz w:val="18"/>
                <w:szCs w:val="18"/>
                <w:lang w:eastAsia="hr-HR"/>
              </w:rPr>
            </w:pPr>
            <w:r w:rsidRPr="001B4CA2">
              <w:rPr>
                <w:rFonts w:eastAsia="Times New Roman"/>
                <w:sz w:val="18"/>
                <w:szCs w:val="18"/>
                <w:lang w:eastAsia="hr-HR"/>
              </w:rPr>
              <w:t>1</w:t>
            </w:r>
          </w:p>
        </w:tc>
        <w:tc>
          <w:tcPr>
            <w:tcW w:w="850" w:type="dxa"/>
            <w:tcBorders>
              <w:top w:val="nil"/>
              <w:left w:val="nil"/>
              <w:bottom w:val="single" w:sz="4" w:space="0" w:color="auto"/>
              <w:right w:val="single" w:sz="4" w:space="0" w:color="auto"/>
            </w:tcBorders>
            <w:noWrap/>
            <w:vAlign w:val="center"/>
          </w:tcPr>
          <w:p w14:paraId="26B560AD" w14:textId="77777777" w:rsidR="00FD20AF" w:rsidRPr="001B4CA2" w:rsidRDefault="00FD20AF" w:rsidP="00FD20AF">
            <w:pPr>
              <w:spacing w:line="276" w:lineRule="auto"/>
              <w:jc w:val="center"/>
              <w:rPr>
                <w:rFonts w:eastAsia="Times New Roman"/>
                <w:sz w:val="18"/>
                <w:szCs w:val="18"/>
                <w:lang w:eastAsia="hr-HR"/>
              </w:rPr>
            </w:pPr>
          </w:p>
        </w:tc>
        <w:tc>
          <w:tcPr>
            <w:tcW w:w="851" w:type="dxa"/>
            <w:tcBorders>
              <w:top w:val="nil"/>
              <w:left w:val="nil"/>
              <w:bottom w:val="single" w:sz="4" w:space="0" w:color="auto"/>
              <w:right w:val="single" w:sz="4" w:space="0" w:color="auto"/>
            </w:tcBorders>
            <w:noWrap/>
            <w:vAlign w:val="center"/>
          </w:tcPr>
          <w:p w14:paraId="174A8E6A" w14:textId="77777777" w:rsidR="00FD20AF" w:rsidRPr="001B4CA2" w:rsidRDefault="00FD20AF" w:rsidP="00FD20AF">
            <w:pPr>
              <w:spacing w:line="276" w:lineRule="auto"/>
              <w:jc w:val="center"/>
              <w:rPr>
                <w:rFonts w:eastAsia="Times New Roman"/>
                <w:sz w:val="18"/>
                <w:szCs w:val="18"/>
                <w:lang w:eastAsia="hr-HR"/>
              </w:rPr>
            </w:pPr>
            <w:r w:rsidRPr="001B4CA2">
              <w:rPr>
                <w:rFonts w:eastAsia="Times New Roman"/>
                <w:sz w:val="18"/>
                <w:szCs w:val="18"/>
                <w:lang w:eastAsia="hr-HR"/>
              </w:rPr>
              <w:t>404</w:t>
            </w:r>
          </w:p>
        </w:tc>
        <w:tc>
          <w:tcPr>
            <w:tcW w:w="544" w:type="dxa"/>
            <w:tcBorders>
              <w:top w:val="nil"/>
              <w:left w:val="nil"/>
              <w:bottom w:val="single" w:sz="4" w:space="0" w:color="auto"/>
              <w:right w:val="single" w:sz="4" w:space="0" w:color="auto"/>
            </w:tcBorders>
            <w:noWrap/>
            <w:vAlign w:val="center"/>
          </w:tcPr>
          <w:p w14:paraId="22463504" w14:textId="3A6E17CD" w:rsidR="00FD20AF" w:rsidRPr="001B4CA2" w:rsidRDefault="00FD20AF" w:rsidP="00FD20AF">
            <w:pPr>
              <w:spacing w:line="276" w:lineRule="auto"/>
              <w:jc w:val="center"/>
              <w:rPr>
                <w:sz w:val="18"/>
                <w:szCs w:val="18"/>
              </w:rPr>
            </w:pPr>
            <w:r w:rsidRPr="001B4CA2">
              <w:rPr>
                <w:sz w:val="18"/>
                <w:szCs w:val="18"/>
              </w:rPr>
              <w:t>-</w:t>
            </w:r>
          </w:p>
        </w:tc>
        <w:tc>
          <w:tcPr>
            <w:tcW w:w="808" w:type="dxa"/>
            <w:tcBorders>
              <w:top w:val="nil"/>
              <w:left w:val="nil"/>
              <w:bottom w:val="single" w:sz="4" w:space="0" w:color="auto"/>
              <w:right w:val="single" w:sz="4" w:space="0" w:color="auto"/>
            </w:tcBorders>
            <w:vAlign w:val="center"/>
          </w:tcPr>
          <w:p w14:paraId="7A6C94A2" w14:textId="77777777" w:rsidR="00FD20AF" w:rsidRPr="001B4CA2" w:rsidRDefault="00FD20AF" w:rsidP="00FD20AF">
            <w:pPr>
              <w:spacing w:line="276" w:lineRule="auto"/>
              <w:jc w:val="center"/>
              <w:rPr>
                <w:rFonts w:eastAsia="Times New Roman"/>
                <w:sz w:val="18"/>
                <w:szCs w:val="18"/>
                <w:lang w:eastAsia="hr-HR"/>
              </w:rPr>
            </w:pPr>
            <w:r w:rsidRPr="001B4CA2">
              <w:rPr>
                <w:rFonts w:eastAsia="Times New Roman"/>
                <w:sz w:val="18"/>
                <w:szCs w:val="18"/>
                <w:lang w:eastAsia="hr-HR"/>
              </w:rPr>
              <w:t>35</w:t>
            </w:r>
          </w:p>
        </w:tc>
        <w:tc>
          <w:tcPr>
            <w:tcW w:w="808" w:type="dxa"/>
            <w:tcBorders>
              <w:top w:val="nil"/>
              <w:left w:val="nil"/>
              <w:bottom w:val="single" w:sz="4" w:space="0" w:color="auto"/>
              <w:right w:val="single" w:sz="4" w:space="0" w:color="auto"/>
            </w:tcBorders>
            <w:vAlign w:val="center"/>
          </w:tcPr>
          <w:p w14:paraId="328EF98F" w14:textId="77777777" w:rsidR="00FD20AF" w:rsidRPr="001B4CA2" w:rsidRDefault="00FD20AF" w:rsidP="00FD20AF">
            <w:pPr>
              <w:spacing w:line="276" w:lineRule="auto"/>
              <w:jc w:val="center"/>
              <w:rPr>
                <w:rFonts w:eastAsia="Times New Roman"/>
                <w:b/>
                <w:sz w:val="18"/>
                <w:szCs w:val="18"/>
                <w:lang w:eastAsia="hr-HR"/>
              </w:rPr>
            </w:pPr>
            <w:r w:rsidRPr="001B4CA2">
              <w:rPr>
                <w:rFonts w:eastAsia="Times New Roman"/>
                <w:b/>
                <w:sz w:val="18"/>
                <w:szCs w:val="18"/>
                <w:lang w:eastAsia="hr-HR"/>
              </w:rPr>
              <w:t>1.913</w:t>
            </w:r>
          </w:p>
        </w:tc>
      </w:tr>
      <w:tr w:rsidR="00FD20AF" w:rsidRPr="001B4CA2" w14:paraId="603BE4E0" w14:textId="77777777" w:rsidTr="00D57807">
        <w:trPr>
          <w:gridAfter w:val="1"/>
          <w:wAfter w:w="899" w:type="dxa"/>
          <w:trHeight w:val="284"/>
        </w:trPr>
        <w:tc>
          <w:tcPr>
            <w:tcW w:w="851" w:type="dxa"/>
            <w:tcBorders>
              <w:top w:val="nil"/>
              <w:left w:val="single" w:sz="4" w:space="0" w:color="auto"/>
              <w:bottom w:val="single" w:sz="4" w:space="0" w:color="auto"/>
              <w:right w:val="single" w:sz="4" w:space="0" w:color="auto"/>
            </w:tcBorders>
            <w:noWrap/>
            <w:vAlign w:val="bottom"/>
          </w:tcPr>
          <w:p w14:paraId="13876B56"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2022.</w:t>
            </w:r>
          </w:p>
        </w:tc>
        <w:tc>
          <w:tcPr>
            <w:tcW w:w="992" w:type="dxa"/>
            <w:tcBorders>
              <w:top w:val="nil"/>
              <w:left w:val="nil"/>
              <w:bottom w:val="single" w:sz="4" w:space="0" w:color="auto"/>
              <w:right w:val="single" w:sz="4" w:space="0" w:color="auto"/>
            </w:tcBorders>
            <w:noWrap/>
            <w:vAlign w:val="center"/>
          </w:tcPr>
          <w:p w14:paraId="4D2D7079" w14:textId="37367009"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w:t>
            </w:r>
            <w:r w:rsidR="00737701" w:rsidRPr="001B4CA2">
              <w:rPr>
                <w:rFonts w:eastAsia="Times New Roman"/>
                <w:color w:val="000000"/>
                <w:sz w:val="18"/>
                <w:szCs w:val="18"/>
                <w:lang w:eastAsia="hr-HR"/>
              </w:rPr>
              <w:t>.</w:t>
            </w:r>
            <w:r w:rsidRPr="001B4CA2">
              <w:rPr>
                <w:rFonts w:eastAsia="Times New Roman"/>
                <w:color w:val="000000"/>
                <w:sz w:val="18"/>
                <w:szCs w:val="18"/>
                <w:lang w:eastAsia="hr-HR"/>
              </w:rPr>
              <w:t>924</w:t>
            </w:r>
          </w:p>
        </w:tc>
        <w:tc>
          <w:tcPr>
            <w:tcW w:w="850" w:type="dxa"/>
            <w:tcBorders>
              <w:top w:val="nil"/>
              <w:left w:val="nil"/>
              <w:bottom w:val="single" w:sz="4" w:space="0" w:color="auto"/>
              <w:right w:val="single" w:sz="4" w:space="0" w:color="auto"/>
            </w:tcBorders>
            <w:noWrap/>
            <w:vAlign w:val="center"/>
          </w:tcPr>
          <w:p w14:paraId="6340AE91" w14:textId="5BA0364D"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w:t>
            </w:r>
            <w:r w:rsidR="00CD247B" w:rsidRPr="001B4CA2">
              <w:rPr>
                <w:rFonts w:eastAsia="Times New Roman"/>
                <w:color w:val="000000"/>
                <w:sz w:val="18"/>
                <w:szCs w:val="18"/>
                <w:lang w:eastAsia="hr-HR"/>
              </w:rPr>
              <w:t>.</w:t>
            </w:r>
            <w:r w:rsidRPr="001B4CA2">
              <w:rPr>
                <w:rFonts w:eastAsia="Times New Roman"/>
                <w:color w:val="000000"/>
                <w:sz w:val="18"/>
                <w:szCs w:val="18"/>
                <w:lang w:eastAsia="hr-HR"/>
              </w:rPr>
              <w:t>924</w:t>
            </w:r>
          </w:p>
        </w:tc>
        <w:tc>
          <w:tcPr>
            <w:tcW w:w="567" w:type="dxa"/>
            <w:tcBorders>
              <w:top w:val="nil"/>
              <w:left w:val="nil"/>
              <w:bottom w:val="single" w:sz="4" w:space="0" w:color="auto"/>
              <w:right w:val="single" w:sz="4" w:space="0" w:color="auto"/>
            </w:tcBorders>
            <w:noWrap/>
            <w:vAlign w:val="center"/>
          </w:tcPr>
          <w:p w14:paraId="4375DDFF" w14:textId="77777777" w:rsidR="00FD20AF" w:rsidRPr="001B4CA2" w:rsidRDefault="00FD20AF" w:rsidP="00FD20AF">
            <w:pPr>
              <w:spacing w:line="276" w:lineRule="auto"/>
              <w:jc w:val="center"/>
              <w:rPr>
                <w:rFonts w:eastAsia="Times New Roman"/>
                <w:color w:val="000000"/>
                <w:sz w:val="18"/>
                <w:szCs w:val="18"/>
                <w:lang w:eastAsia="hr-HR"/>
              </w:rPr>
            </w:pPr>
          </w:p>
        </w:tc>
        <w:tc>
          <w:tcPr>
            <w:tcW w:w="851" w:type="dxa"/>
            <w:tcBorders>
              <w:top w:val="nil"/>
              <w:left w:val="nil"/>
              <w:bottom w:val="single" w:sz="4" w:space="0" w:color="auto"/>
              <w:right w:val="single" w:sz="4" w:space="0" w:color="auto"/>
            </w:tcBorders>
            <w:noWrap/>
            <w:vAlign w:val="center"/>
          </w:tcPr>
          <w:p w14:paraId="1BD25A01" w14:textId="2C500F4D"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w:t>
            </w:r>
            <w:r w:rsidR="00CD247B" w:rsidRPr="001B4CA2">
              <w:rPr>
                <w:rFonts w:eastAsia="Times New Roman"/>
                <w:color w:val="000000"/>
                <w:sz w:val="18"/>
                <w:szCs w:val="18"/>
                <w:lang w:eastAsia="hr-HR"/>
              </w:rPr>
              <w:t>.</w:t>
            </w:r>
            <w:r w:rsidRPr="001B4CA2">
              <w:rPr>
                <w:rFonts w:eastAsia="Times New Roman"/>
                <w:color w:val="000000"/>
                <w:sz w:val="18"/>
                <w:szCs w:val="18"/>
                <w:lang w:eastAsia="hr-HR"/>
              </w:rPr>
              <w:t>286</w:t>
            </w:r>
          </w:p>
        </w:tc>
        <w:tc>
          <w:tcPr>
            <w:tcW w:w="709" w:type="dxa"/>
            <w:tcBorders>
              <w:top w:val="nil"/>
              <w:left w:val="nil"/>
              <w:bottom w:val="single" w:sz="4" w:space="0" w:color="auto"/>
              <w:right w:val="single" w:sz="4" w:space="0" w:color="auto"/>
            </w:tcBorders>
            <w:noWrap/>
            <w:vAlign w:val="center"/>
          </w:tcPr>
          <w:p w14:paraId="6FD38E16"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3</w:t>
            </w:r>
          </w:p>
        </w:tc>
        <w:tc>
          <w:tcPr>
            <w:tcW w:w="850" w:type="dxa"/>
            <w:tcBorders>
              <w:top w:val="nil"/>
              <w:left w:val="nil"/>
              <w:bottom w:val="single" w:sz="4" w:space="0" w:color="auto"/>
              <w:right w:val="single" w:sz="4" w:space="0" w:color="auto"/>
            </w:tcBorders>
            <w:noWrap/>
            <w:vAlign w:val="center"/>
          </w:tcPr>
          <w:p w14:paraId="21FEC4E6" w14:textId="77777777" w:rsidR="00FD20AF" w:rsidRPr="001B4CA2" w:rsidRDefault="00FD20AF" w:rsidP="00FD20AF">
            <w:pPr>
              <w:spacing w:line="276" w:lineRule="auto"/>
              <w:jc w:val="center"/>
              <w:rPr>
                <w:rFonts w:eastAsia="Times New Roman"/>
                <w:color w:val="000000"/>
                <w:sz w:val="18"/>
                <w:szCs w:val="18"/>
                <w:lang w:eastAsia="hr-HR"/>
              </w:rPr>
            </w:pPr>
          </w:p>
        </w:tc>
        <w:tc>
          <w:tcPr>
            <w:tcW w:w="851" w:type="dxa"/>
            <w:tcBorders>
              <w:top w:val="nil"/>
              <w:left w:val="nil"/>
              <w:bottom w:val="single" w:sz="4" w:space="0" w:color="auto"/>
              <w:right w:val="single" w:sz="4" w:space="0" w:color="auto"/>
            </w:tcBorders>
            <w:noWrap/>
            <w:vAlign w:val="center"/>
          </w:tcPr>
          <w:p w14:paraId="45D47C67"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621</w:t>
            </w:r>
          </w:p>
        </w:tc>
        <w:tc>
          <w:tcPr>
            <w:tcW w:w="544" w:type="dxa"/>
            <w:tcBorders>
              <w:top w:val="nil"/>
              <w:left w:val="nil"/>
              <w:bottom w:val="single" w:sz="4" w:space="0" w:color="auto"/>
              <w:right w:val="single" w:sz="4" w:space="0" w:color="auto"/>
            </w:tcBorders>
            <w:noWrap/>
            <w:vAlign w:val="center"/>
          </w:tcPr>
          <w:p w14:paraId="03B554E3" w14:textId="77777777" w:rsidR="00FD20AF" w:rsidRPr="001B4CA2" w:rsidRDefault="00FD20AF" w:rsidP="00FD20AF">
            <w:pPr>
              <w:spacing w:line="276" w:lineRule="auto"/>
              <w:jc w:val="center"/>
              <w:rPr>
                <w:rFonts w:eastAsia="Times New Roman"/>
                <w:color w:val="000000"/>
                <w:sz w:val="18"/>
                <w:szCs w:val="18"/>
                <w:lang w:eastAsia="hr-HR"/>
              </w:rPr>
            </w:pPr>
          </w:p>
        </w:tc>
        <w:tc>
          <w:tcPr>
            <w:tcW w:w="808" w:type="dxa"/>
            <w:tcBorders>
              <w:top w:val="nil"/>
              <w:left w:val="nil"/>
              <w:bottom w:val="single" w:sz="4" w:space="0" w:color="auto"/>
              <w:right w:val="single" w:sz="4" w:space="0" w:color="auto"/>
            </w:tcBorders>
            <w:vAlign w:val="center"/>
          </w:tcPr>
          <w:p w14:paraId="5E86374B" w14:textId="77777777" w:rsidR="00FD20AF" w:rsidRPr="001B4CA2" w:rsidRDefault="00FD20AF" w:rsidP="00FD20AF">
            <w:pPr>
              <w:spacing w:line="276" w:lineRule="auto"/>
              <w:jc w:val="center"/>
              <w:rPr>
                <w:rFonts w:eastAsia="Times New Roman"/>
                <w:color w:val="000000"/>
                <w:sz w:val="18"/>
                <w:szCs w:val="18"/>
                <w:lang w:eastAsia="hr-HR"/>
              </w:rPr>
            </w:pPr>
            <w:r w:rsidRPr="001B4CA2">
              <w:rPr>
                <w:rFonts w:eastAsia="Times New Roman"/>
                <w:color w:val="000000"/>
                <w:sz w:val="18"/>
                <w:szCs w:val="18"/>
                <w:lang w:eastAsia="hr-HR"/>
              </w:rPr>
              <w:t>14</w:t>
            </w:r>
          </w:p>
        </w:tc>
        <w:tc>
          <w:tcPr>
            <w:tcW w:w="808" w:type="dxa"/>
            <w:tcBorders>
              <w:top w:val="nil"/>
              <w:left w:val="nil"/>
              <w:bottom w:val="single" w:sz="4" w:space="0" w:color="auto"/>
              <w:right w:val="single" w:sz="4" w:space="0" w:color="auto"/>
            </w:tcBorders>
            <w:vAlign w:val="center"/>
          </w:tcPr>
          <w:p w14:paraId="5E04263D" w14:textId="1667C2F5" w:rsidR="00FD20AF" w:rsidRPr="001B4CA2" w:rsidRDefault="00FD20AF" w:rsidP="00FD20AF">
            <w:pPr>
              <w:spacing w:line="276" w:lineRule="auto"/>
              <w:jc w:val="center"/>
              <w:rPr>
                <w:rFonts w:eastAsia="Times New Roman"/>
                <w:b/>
                <w:color w:val="000000"/>
                <w:sz w:val="18"/>
                <w:szCs w:val="18"/>
                <w:lang w:eastAsia="hr-HR"/>
              </w:rPr>
            </w:pPr>
            <w:r w:rsidRPr="001B4CA2">
              <w:rPr>
                <w:rFonts w:eastAsia="Times New Roman"/>
                <w:b/>
                <w:color w:val="000000"/>
                <w:sz w:val="18"/>
                <w:szCs w:val="18"/>
                <w:lang w:eastAsia="hr-HR"/>
              </w:rPr>
              <w:t>1</w:t>
            </w:r>
            <w:r w:rsidR="00CD247B" w:rsidRPr="001B4CA2">
              <w:rPr>
                <w:rFonts w:eastAsia="Times New Roman"/>
                <w:b/>
                <w:color w:val="000000"/>
                <w:sz w:val="18"/>
                <w:szCs w:val="18"/>
                <w:lang w:eastAsia="hr-HR"/>
              </w:rPr>
              <w:t>.</w:t>
            </w:r>
            <w:r w:rsidRPr="001B4CA2">
              <w:rPr>
                <w:rFonts w:eastAsia="Times New Roman"/>
                <w:b/>
                <w:color w:val="000000"/>
                <w:sz w:val="18"/>
                <w:szCs w:val="18"/>
                <w:lang w:eastAsia="hr-HR"/>
              </w:rPr>
              <w:t>924</w:t>
            </w:r>
          </w:p>
        </w:tc>
      </w:tr>
    </w:tbl>
    <w:p w14:paraId="79DB7639" w14:textId="77777777" w:rsidR="00FD20AF" w:rsidRPr="001B4CA2" w:rsidRDefault="00FD20AF" w:rsidP="00837DAF"/>
    <w:p w14:paraId="2FA01440" w14:textId="28863FA5" w:rsidR="00FD20AF" w:rsidRPr="001B4CA2" w:rsidRDefault="00FD20AF" w:rsidP="00FD20AF">
      <w:pPr>
        <w:ind w:firstLine="708"/>
        <w:rPr>
          <w:strike/>
        </w:rPr>
      </w:pPr>
      <w:r w:rsidRPr="001B4CA2">
        <w:t>U ovom izvještajnom razdoblju zaprimljeno je kaznenih prijava protiv 1</w:t>
      </w:r>
      <w:r w:rsidR="006141C3">
        <w:t>.</w:t>
      </w:r>
      <w:r w:rsidRPr="001B4CA2">
        <w:t>924 osobe od čega 1</w:t>
      </w:r>
      <w:r w:rsidR="006141C3">
        <w:t>.</w:t>
      </w:r>
      <w:r w:rsidRPr="001B4CA2">
        <w:t>904 prijave protiv fizičkih osoba te 20 prijava protiv pravnih osoba.</w:t>
      </w:r>
      <w:r w:rsidRPr="001B4CA2">
        <w:rPr>
          <w:strike/>
        </w:rPr>
        <w:t xml:space="preserve"> </w:t>
      </w:r>
    </w:p>
    <w:p w14:paraId="2B35B4CA" w14:textId="77777777" w:rsidR="00FD20AF" w:rsidRPr="001B4CA2" w:rsidRDefault="00FD20AF" w:rsidP="00FD20AF"/>
    <w:p w14:paraId="4665858B" w14:textId="1BD7E550" w:rsidR="00FD20AF" w:rsidRPr="001B4CA2" w:rsidRDefault="00FD20AF" w:rsidP="00FD20AF">
      <w:r w:rsidRPr="001B4CA2">
        <w:tab/>
        <w:t xml:space="preserve">Na kraju izvještajnog razdoblja nije ostala u radu nijedna prijava. </w:t>
      </w:r>
    </w:p>
    <w:p w14:paraId="3FC10F5F" w14:textId="77777777" w:rsidR="00FD20AF" w:rsidRPr="001B4CA2" w:rsidRDefault="00FD20AF" w:rsidP="00FD20AF"/>
    <w:p w14:paraId="6C777C3C" w14:textId="60EDCA65" w:rsidR="00FD20AF" w:rsidRPr="001B4CA2" w:rsidRDefault="00FD20AF" w:rsidP="00FD20AF">
      <w:r w:rsidRPr="001B4CA2">
        <w:tab/>
        <w:t>Analiza strukture podnesenih kaznenih prijava pokazuje da je najveći broj kaznenih prijava, njih 1</w:t>
      </w:r>
      <w:r w:rsidR="006141C3">
        <w:t>.</w:t>
      </w:r>
      <w:r w:rsidRPr="001B4CA2">
        <w:t>039, podneseno zbog kaznenog djela zlouporabe položaja i ovlasti iz članka 291. stavak 1. i 2. Kaznenog zakona/11, što čini 54</w:t>
      </w:r>
      <w:r w:rsidR="006141C3">
        <w:t> </w:t>
      </w:r>
      <w:r w:rsidRPr="001B4CA2">
        <w:t xml:space="preserve">% ukupnog broja zaprimljenih kaznenih prijava. U pretežitom dijelu radi se o kaznenim prijavama podnesenima od strane građana koji nezadovoljni radom pojedinih službenih osoba njihov rad ocjenjuju nezakonitim, a što je od </w:t>
      </w:r>
      <w:r w:rsidR="006141C3">
        <w:t>važnosti</w:t>
      </w:r>
      <w:r w:rsidRPr="001B4CA2">
        <w:t xml:space="preserve"> za ocjenu strukture donesenih odluka povodom kaznenih prijava i udjela kojim u istom participira rješenje o odbačaju kaznene prijave.  </w:t>
      </w:r>
    </w:p>
    <w:p w14:paraId="3EE60A00" w14:textId="77777777" w:rsidR="00FD20AF" w:rsidRPr="001B4CA2" w:rsidRDefault="00FD20AF" w:rsidP="00FD20AF"/>
    <w:p w14:paraId="1A1A73C0" w14:textId="26F8152A" w:rsidR="00FD20AF" w:rsidRPr="001B4CA2" w:rsidRDefault="00FD20AF" w:rsidP="00FD20AF">
      <w:r w:rsidRPr="001B4CA2">
        <w:tab/>
        <w:t>Od ostalih kaznenih djela kazneno djelo davanje mita iz članka 294. stavka 1. Kaznenog zakona/11 u ukupnom broju zaprimljenih kaznenih prijava participira</w:t>
      </w:r>
      <w:r w:rsidR="00FD08E9">
        <w:t xml:space="preserve"> s </w:t>
      </w:r>
      <w:r w:rsidRPr="001B4CA2">
        <w:t>14,39</w:t>
      </w:r>
      <w:r w:rsidR="006141C3">
        <w:t> </w:t>
      </w:r>
      <w:r w:rsidRPr="001B4CA2">
        <w:t>% (prijava protiv 277 osoba), kazneno djelo zločinačko udruženje iz članka 328. Kaznenog zakona/11</w:t>
      </w:r>
      <w:r w:rsidR="00FD08E9">
        <w:t xml:space="preserve"> s </w:t>
      </w:r>
      <w:r w:rsidRPr="001B4CA2">
        <w:t>13,40</w:t>
      </w:r>
      <w:r w:rsidR="006141C3">
        <w:t> </w:t>
      </w:r>
      <w:r w:rsidRPr="001B4CA2">
        <w:t>% (prijava protiv 258 osoba od čega za kazneno djelo iz članka 328. stavak 1. Kaznenog zakona/11 140 osoba, a za kazneno djelo iz članka 328. stavak 2. Kaznenog zakona/11 118 osoba), kazneno djelo neovlaštena proizvodnja i promet drogama iz članka 190. Kaznenog zakona/11</w:t>
      </w:r>
      <w:r w:rsidR="00FD08E9">
        <w:t xml:space="preserve"> s </w:t>
      </w:r>
      <w:r w:rsidRPr="001B4CA2">
        <w:t>3,11</w:t>
      </w:r>
      <w:r w:rsidR="006141C3">
        <w:t> </w:t>
      </w:r>
      <w:r w:rsidRPr="001B4CA2">
        <w:t>% (prijava protiv 60 osoba), kazneno djelo prijevara iz članka 236. Kaznenog zakona/11</w:t>
      </w:r>
      <w:r w:rsidR="00FD08E9">
        <w:t xml:space="preserve"> s </w:t>
      </w:r>
      <w:r w:rsidRPr="001B4CA2">
        <w:t>2,13</w:t>
      </w:r>
      <w:r w:rsidR="006141C3">
        <w:t> </w:t>
      </w:r>
      <w:r w:rsidRPr="001B4CA2">
        <w:t>% (prijava protiv 41 osobe), kazneno djelo utaja poreza ili carine iz članka 256. Kaznenog zakona/11</w:t>
      </w:r>
      <w:r w:rsidR="00FD08E9">
        <w:t xml:space="preserve"> s </w:t>
      </w:r>
      <w:r w:rsidRPr="001B4CA2">
        <w:t>1,66</w:t>
      </w:r>
      <w:r w:rsidR="006141C3">
        <w:t> </w:t>
      </w:r>
      <w:r w:rsidRPr="001B4CA2">
        <w:t>% (prijava protiv 32 osobe), kazneno djelo ne</w:t>
      </w:r>
      <w:r w:rsidR="00F47D60">
        <w:t>dopušten</w:t>
      </w:r>
      <w:r w:rsidRPr="001B4CA2">
        <w:t>a trgovina iz članka 264. Kaznenog zakona/11</w:t>
      </w:r>
      <w:r w:rsidR="00FD08E9">
        <w:t xml:space="preserve"> s </w:t>
      </w:r>
      <w:r w:rsidRPr="001B4CA2">
        <w:t>1,40% (prijava protiv 27 osoba) i kazneno djelo protuzakonito ulaženje, kretanje i boravak u Republici Hrvatskoj, drugoj državi članici Europske unije ili potpisnici Šengenskog sporazuma iz članka 326. Kaznenog zakona/11</w:t>
      </w:r>
      <w:r w:rsidR="00FD08E9">
        <w:t xml:space="preserve"> s </w:t>
      </w:r>
      <w:r w:rsidRPr="001B4CA2">
        <w:t>2,13</w:t>
      </w:r>
      <w:r w:rsidR="006141C3">
        <w:t> </w:t>
      </w:r>
      <w:r w:rsidRPr="001B4CA2">
        <w:t xml:space="preserve">% (prijava protiv 21 osobe). </w:t>
      </w:r>
    </w:p>
    <w:p w14:paraId="03D746C0" w14:textId="77777777" w:rsidR="00FD20AF" w:rsidRPr="001B4CA2" w:rsidRDefault="00FD20AF" w:rsidP="00FD20AF"/>
    <w:p w14:paraId="4B74C8E6" w14:textId="25A1CEDF" w:rsidR="00FD20AF" w:rsidRPr="001B4CA2" w:rsidRDefault="00FD20AF" w:rsidP="00FD20AF">
      <w:r w:rsidRPr="001B4CA2">
        <w:tab/>
        <w:t>Od ukupno 1</w:t>
      </w:r>
      <w:r w:rsidR="006141C3">
        <w:t>.</w:t>
      </w:r>
      <w:r w:rsidRPr="001B4CA2">
        <w:t>924 odluk</w:t>
      </w:r>
      <w:r w:rsidR="00D24E74">
        <w:t>e</w:t>
      </w:r>
      <w:r w:rsidRPr="001B4CA2">
        <w:t xml:space="preserve"> donesen</w:t>
      </w:r>
      <w:r w:rsidR="00D24E74">
        <w:t>e</w:t>
      </w:r>
      <w:r w:rsidRPr="001B4CA2">
        <w:t xml:space="preserve"> tijekom izvještajnog razdoblja rješenje o odbačaju kaznene prijave doneseno je u odnosu na 1</w:t>
      </w:r>
      <w:r w:rsidR="00D24E74">
        <w:t>.</w:t>
      </w:r>
      <w:r w:rsidRPr="001B4CA2">
        <w:t>286 osoba ili 66,83</w:t>
      </w:r>
      <w:r w:rsidR="00D24E74">
        <w:t> </w:t>
      </w:r>
      <w:r w:rsidRPr="001B4CA2">
        <w:t>% ukupnog broja prijava u radu</w:t>
      </w:r>
      <w:r w:rsidR="00D24E74">
        <w:t>,</w:t>
      </w:r>
      <w:r w:rsidRPr="001B4CA2">
        <w:t xml:space="preserve"> i to iz osnove propisane člankom 206. stavkom 1. točkama 1., 4. i 5.</w:t>
      </w:r>
      <w:r w:rsidR="001B4CA2">
        <w:t xml:space="preserve"> </w:t>
      </w:r>
      <w:r w:rsidRPr="001B4CA2">
        <w:t>Zakona o kaznenom postupku/08.</w:t>
      </w:r>
    </w:p>
    <w:p w14:paraId="39A23339" w14:textId="77777777" w:rsidR="00E6050A" w:rsidRPr="001B4CA2" w:rsidRDefault="00E6050A" w:rsidP="00FD20AF"/>
    <w:p w14:paraId="5A4C0E5F" w14:textId="0D957BE6" w:rsidR="00FD20AF" w:rsidRPr="001B4CA2" w:rsidRDefault="00FD20AF" w:rsidP="00FD20AF">
      <w:r w:rsidRPr="001B4CA2">
        <w:lastRenderedPageBreak/>
        <w:tab/>
        <w:t xml:space="preserve">Rješenja o odbačaju kaznene prijave donesena su u odnosu na kaznene prijave koje su u pretežitom djelu podnijeli građani protiv sudaca ili državnih odvjetnika te drugih službenih osoba, koji nezadovoljni odlukama koje su </w:t>
      </w:r>
      <w:r w:rsidR="00D24E74">
        <w:t>oni</w:t>
      </w:r>
      <w:r w:rsidRPr="001B4CA2">
        <w:t xml:space="preserve"> donijeli njihov rad ocjenjuju nezakonitim. Rješenje o odbačaju kaznene prijave nije doneseno u odnosu </w:t>
      </w:r>
      <w:r w:rsidR="00D24E74" w:rsidRPr="001B4CA2">
        <w:t xml:space="preserve">niti </w:t>
      </w:r>
      <w:r w:rsidRPr="001B4CA2">
        <w:t>na jednu kaznenu prijavu podnesenu od strane policije.</w:t>
      </w:r>
    </w:p>
    <w:p w14:paraId="32D04527" w14:textId="77777777" w:rsidR="00FD20AF" w:rsidRPr="001B4CA2" w:rsidRDefault="00FD20AF" w:rsidP="00FD20AF">
      <w:pPr>
        <w:rPr>
          <w:strike/>
        </w:rPr>
      </w:pPr>
    </w:p>
    <w:p w14:paraId="7AF9BF8F" w14:textId="54EA5FD2" w:rsidR="00FD20AF" w:rsidRPr="001B4CA2" w:rsidRDefault="00FD20AF" w:rsidP="00FD20AF">
      <w:pPr>
        <w:rPr>
          <w:strike/>
        </w:rPr>
      </w:pPr>
      <w:r w:rsidRPr="001B4CA2">
        <w:tab/>
        <w:t xml:space="preserve">Tijekom izvještajnog razdoblja podignuta je neposredna optužnica protiv 3 osobe, što značajnije ne odstupa od ranijih izvještajnih godina, a u suglasju je i s prirodom i strukturom kaznenih djela koja su u nadležnosti Ureda za suzbijanje korupcije i organiziranog kriminaliteta te </w:t>
      </w:r>
      <w:proofErr w:type="spellStart"/>
      <w:r w:rsidRPr="001B4CA2">
        <w:t>pozitivnopravnim</w:t>
      </w:r>
      <w:proofErr w:type="spellEnd"/>
      <w:r w:rsidRPr="001B4CA2">
        <w:t xml:space="preserve"> </w:t>
      </w:r>
      <w:proofErr w:type="spellStart"/>
      <w:r w:rsidRPr="001B4CA2">
        <w:t>postupovnim</w:t>
      </w:r>
      <w:proofErr w:type="spellEnd"/>
      <w:r w:rsidRPr="001B4CA2">
        <w:t xml:space="preserve"> uređenjem njihov</w:t>
      </w:r>
      <w:r w:rsidR="00D24E74">
        <w:t>a</w:t>
      </w:r>
      <w:r w:rsidRPr="001B4CA2">
        <w:t xml:space="preserve"> progona.</w:t>
      </w:r>
    </w:p>
    <w:p w14:paraId="5A36BB59" w14:textId="77777777" w:rsidR="00FD20AF" w:rsidRPr="001B4CA2" w:rsidRDefault="00FD20AF" w:rsidP="00FD20AF"/>
    <w:p w14:paraId="00BE1C7A" w14:textId="464C7383" w:rsidR="00FD20AF" w:rsidRPr="001B4CA2" w:rsidRDefault="00FD20AF" w:rsidP="00FD20AF">
      <w:r w:rsidRPr="001B4CA2">
        <w:tab/>
        <w:t xml:space="preserve">U izvještajnom </w:t>
      </w:r>
      <w:r w:rsidR="00D24E74" w:rsidRPr="001B4CA2">
        <w:t xml:space="preserve">je </w:t>
      </w:r>
      <w:r w:rsidRPr="001B4CA2">
        <w:t>razdoblju protiv 621 osobe doneseno</w:t>
      </w:r>
      <w:r w:rsidR="001B4CA2">
        <w:t xml:space="preserve"> </w:t>
      </w:r>
      <w:r w:rsidRPr="001B4CA2">
        <w:t>rješenje o provođenju istrage, što čini 32,27</w:t>
      </w:r>
      <w:r w:rsidR="00D24E74">
        <w:t> </w:t>
      </w:r>
      <w:r w:rsidRPr="001B4CA2">
        <w:t xml:space="preserve">% ukupno donesenih odluka. S obzirom na to da je u prethodnom izvještajnom razdoblju rješenje o provođenju istrage bilo doneseno protiv 404 osobe, u izvještajnom </w:t>
      </w:r>
      <w:r w:rsidR="00D24E74" w:rsidRPr="001B4CA2">
        <w:t xml:space="preserve">je </w:t>
      </w:r>
      <w:r w:rsidRPr="001B4CA2">
        <w:t>razdoblju ostvaren porast od 53,71</w:t>
      </w:r>
      <w:r w:rsidR="00D24E74">
        <w:t> </w:t>
      </w:r>
      <w:r w:rsidRPr="001B4CA2">
        <w:t>%, što je u korelaciji</w:t>
      </w:r>
      <w:r w:rsidR="00FD08E9">
        <w:t xml:space="preserve"> s </w:t>
      </w:r>
      <w:r w:rsidRPr="001B4CA2">
        <w:t>povećanjem broja zaprimljenih kaznenih prijava te padom broja donesenih rješenja o odbačaju kaznene prijave. Ujedno u jednom kaznenom predmetu podnesena je kaznena prijava protiv 243 osobe (12,62</w:t>
      </w:r>
      <w:r w:rsidR="00D24E74">
        <w:t> </w:t>
      </w:r>
      <w:r w:rsidRPr="001B4CA2">
        <w:t xml:space="preserve">% ukupno prijavljenih osoba) zbog kaznenog djela primanje mita iz članka 293. Kaznenog zakona/11 i kaznenog djela davanje mita iz članka 294. Kaznenog zakona/11. Iskazano povećanje u </w:t>
      </w:r>
      <w:r w:rsidR="00D24E74">
        <w:t>biti</w:t>
      </w:r>
      <w:r w:rsidRPr="001B4CA2">
        <w:t xml:space="preserve"> predstavlja trend prosječnog kretanja udjela rješenja o provođenju istrage u ukupnom broju odluka donesenih povodom kaznene prijave, koji trend valja cijeniti u kontekstu strukture zaprimljenih kaznenih prijava</w:t>
      </w:r>
      <w:r w:rsidR="00D24E74">
        <w:t>,</w:t>
      </w:r>
      <w:r w:rsidRPr="001B4CA2">
        <w:t xml:space="preserve"> i to strukture kaznenih djela zbog kojih su kaznene prijave podnesene</w:t>
      </w:r>
      <w:r w:rsidR="00D24E74">
        <w:t xml:space="preserve">, ali </w:t>
      </w:r>
      <w:r w:rsidRPr="001B4CA2">
        <w:t xml:space="preserve">i strukture podnositelja kaznenih prijava.   </w:t>
      </w:r>
    </w:p>
    <w:p w14:paraId="0CCE6948" w14:textId="77777777" w:rsidR="003749C6" w:rsidRPr="001B4CA2" w:rsidRDefault="003749C6" w:rsidP="007C50CA"/>
    <w:p w14:paraId="5259337F" w14:textId="6826C2A2" w:rsidR="003749C6" w:rsidRPr="001B4CA2" w:rsidRDefault="00BB4D48" w:rsidP="00E6050A">
      <w:pPr>
        <w:pStyle w:val="Naslov3"/>
        <w:tabs>
          <w:tab w:val="left" w:pos="993"/>
        </w:tabs>
        <w:rPr>
          <w:rFonts w:ascii="Arial" w:hAnsi="Arial" w:cs="Arial"/>
        </w:rPr>
      </w:pPr>
      <w:bookmarkStart w:id="101" w:name="_Toc133394358"/>
      <w:r w:rsidRPr="001B4CA2">
        <w:rPr>
          <w:rFonts w:ascii="Arial" w:hAnsi="Arial" w:cs="Arial"/>
        </w:rPr>
        <w:t xml:space="preserve">Istrage </w:t>
      </w:r>
      <w:r w:rsidR="00CE234E" w:rsidRPr="001B4CA2">
        <w:rPr>
          <w:rFonts w:ascii="Arial" w:hAnsi="Arial" w:cs="Arial"/>
        </w:rPr>
        <w:t>i odluke po dovršenoj istrazi</w:t>
      </w:r>
      <w:bookmarkEnd w:id="101"/>
    </w:p>
    <w:p w14:paraId="716CFE0B" w14:textId="77777777" w:rsidR="00FD20AF" w:rsidRPr="001B4CA2" w:rsidRDefault="00FD20AF" w:rsidP="00FD20AF"/>
    <w:tbl>
      <w:tblPr>
        <w:tblW w:w="4805" w:type="pct"/>
        <w:jc w:val="center"/>
        <w:tblBorders>
          <w:top w:val="single" w:sz="6" w:space="0" w:color="auto"/>
          <w:left w:val="single" w:sz="6" w:space="0" w:color="auto"/>
          <w:bottom w:val="single" w:sz="6" w:space="0" w:color="auto"/>
          <w:right w:val="single" w:sz="6" w:space="0" w:color="auto"/>
          <w:insideH w:val="single" w:sz="4" w:space="0" w:color="auto"/>
          <w:insideV w:val="single" w:sz="12" w:space="0" w:color="auto"/>
        </w:tblBorders>
        <w:tblLayout w:type="fixed"/>
        <w:tblLook w:val="04A0" w:firstRow="1" w:lastRow="0" w:firstColumn="1" w:lastColumn="0" w:noHBand="0" w:noVBand="1"/>
      </w:tblPr>
      <w:tblGrid>
        <w:gridCol w:w="988"/>
        <w:gridCol w:w="1139"/>
        <w:gridCol w:w="1134"/>
        <w:gridCol w:w="1134"/>
        <w:gridCol w:w="1134"/>
        <w:gridCol w:w="1134"/>
        <w:gridCol w:w="1134"/>
        <w:gridCol w:w="1129"/>
      </w:tblGrid>
      <w:tr w:rsidR="00FD20AF" w:rsidRPr="001B4CA2" w14:paraId="36D0C838" w14:textId="77777777" w:rsidTr="00FD20AF">
        <w:trPr>
          <w:trHeight w:val="702"/>
          <w:jc w:val="center"/>
        </w:trPr>
        <w:tc>
          <w:tcPr>
            <w:tcW w:w="988" w:type="dxa"/>
            <w:vMerge w:val="restart"/>
            <w:tcBorders>
              <w:top w:val="single" w:sz="6" w:space="0" w:color="auto"/>
              <w:left w:val="single" w:sz="6" w:space="0" w:color="auto"/>
              <w:bottom w:val="single" w:sz="4" w:space="0" w:color="auto"/>
              <w:right w:val="single" w:sz="12" w:space="0" w:color="auto"/>
            </w:tcBorders>
            <w:shd w:val="clear" w:color="auto" w:fill="99CCFF"/>
            <w:noWrap/>
            <w:vAlign w:val="center"/>
            <w:hideMark/>
          </w:tcPr>
          <w:p w14:paraId="7D5AEE85" w14:textId="77777777" w:rsidR="00FD20AF" w:rsidRPr="001B4CA2" w:rsidRDefault="00FD20AF" w:rsidP="008813C3">
            <w:pPr>
              <w:spacing w:line="276" w:lineRule="auto"/>
              <w:jc w:val="center"/>
              <w:rPr>
                <w:b/>
                <w:sz w:val="18"/>
                <w:szCs w:val="18"/>
              </w:rPr>
            </w:pPr>
            <w:r w:rsidRPr="001B4CA2">
              <w:rPr>
                <w:b/>
                <w:sz w:val="18"/>
                <w:szCs w:val="18"/>
              </w:rPr>
              <w:t>Godina</w:t>
            </w:r>
          </w:p>
        </w:tc>
        <w:tc>
          <w:tcPr>
            <w:tcW w:w="1139" w:type="dxa"/>
            <w:vMerge w:val="restart"/>
            <w:tcBorders>
              <w:top w:val="single" w:sz="6" w:space="0" w:color="auto"/>
              <w:left w:val="single" w:sz="12" w:space="0" w:color="auto"/>
              <w:bottom w:val="single" w:sz="4" w:space="0" w:color="auto"/>
              <w:right w:val="single" w:sz="12" w:space="0" w:color="auto"/>
            </w:tcBorders>
            <w:shd w:val="clear" w:color="auto" w:fill="99CCFF"/>
            <w:vAlign w:val="center"/>
            <w:hideMark/>
          </w:tcPr>
          <w:p w14:paraId="247D4E58" w14:textId="77777777" w:rsidR="00FD20AF" w:rsidRPr="001B4CA2" w:rsidRDefault="00FD20AF" w:rsidP="008813C3">
            <w:pPr>
              <w:spacing w:line="276" w:lineRule="auto"/>
              <w:jc w:val="center"/>
              <w:rPr>
                <w:b/>
                <w:sz w:val="18"/>
                <w:szCs w:val="18"/>
              </w:rPr>
            </w:pPr>
            <w:r w:rsidRPr="001B4CA2">
              <w:rPr>
                <w:b/>
                <w:sz w:val="18"/>
                <w:szCs w:val="18"/>
              </w:rPr>
              <w:t>Ukupno u radu</w:t>
            </w:r>
          </w:p>
        </w:tc>
        <w:tc>
          <w:tcPr>
            <w:tcW w:w="5670" w:type="dxa"/>
            <w:gridSpan w:val="5"/>
            <w:tcBorders>
              <w:top w:val="single" w:sz="6" w:space="0" w:color="auto"/>
              <w:left w:val="single" w:sz="12" w:space="0" w:color="auto"/>
              <w:bottom w:val="single" w:sz="4" w:space="0" w:color="auto"/>
              <w:right w:val="single" w:sz="12" w:space="0" w:color="auto"/>
            </w:tcBorders>
            <w:shd w:val="clear" w:color="auto" w:fill="99CCFF"/>
            <w:vAlign w:val="center"/>
            <w:hideMark/>
          </w:tcPr>
          <w:p w14:paraId="76333A57" w14:textId="77777777" w:rsidR="00FD20AF" w:rsidRPr="001B4CA2" w:rsidRDefault="00FD20AF" w:rsidP="008813C3">
            <w:pPr>
              <w:spacing w:line="276" w:lineRule="auto"/>
              <w:jc w:val="center"/>
              <w:rPr>
                <w:b/>
                <w:sz w:val="18"/>
                <w:szCs w:val="18"/>
              </w:rPr>
            </w:pPr>
            <w:r w:rsidRPr="001B4CA2">
              <w:rPr>
                <w:b/>
                <w:sz w:val="18"/>
                <w:szCs w:val="18"/>
              </w:rPr>
              <w:t>ODLUKE</w:t>
            </w:r>
          </w:p>
        </w:tc>
        <w:tc>
          <w:tcPr>
            <w:tcW w:w="1129" w:type="dxa"/>
            <w:vMerge w:val="restart"/>
            <w:tcBorders>
              <w:top w:val="single" w:sz="6" w:space="0" w:color="auto"/>
              <w:left w:val="single" w:sz="12" w:space="0" w:color="auto"/>
              <w:bottom w:val="single" w:sz="4" w:space="0" w:color="auto"/>
              <w:right w:val="single" w:sz="6" w:space="0" w:color="auto"/>
            </w:tcBorders>
            <w:shd w:val="clear" w:color="auto" w:fill="99CCFF"/>
            <w:vAlign w:val="center"/>
            <w:hideMark/>
          </w:tcPr>
          <w:p w14:paraId="26521A89" w14:textId="77777777" w:rsidR="00FD20AF" w:rsidRPr="001B4CA2" w:rsidRDefault="00FD20AF" w:rsidP="008813C3">
            <w:pPr>
              <w:spacing w:line="276" w:lineRule="auto"/>
              <w:jc w:val="center"/>
              <w:rPr>
                <w:b/>
                <w:sz w:val="18"/>
                <w:szCs w:val="18"/>
              </w:rPr>
            </w:pPr>
            <w:r w:rsidRPr="001B4CA2">
              <w:rPr>
                <w:b/>
                <w:sz w:val="18"/>
                <w:szCs w:val="18"/>
              </w:rPr>
              <w:t>Ostalo u radu</w:t>
            </w:r>
          </w:p>
        </w:tc>
      </w:tr>
      <w:tr w:rsidR="00FD20AF" w:rsidRPr="001B4CA2" w14:paraId="373BC8A9" w14:textId="77777777" w:rsidTr="00FD20AF">
        <w:trPr>
          <w:trHeight w:val="951"/>
          <w:jc w:val="center"/>
        </w:trPr>
        <w:tc>
          <w:tcPr>
            <w:tcW w:w="988" w:type="dxa"/>
            <w:vMerge/>
            <w:tcBorders>
              <w:top w:val="single" w:sz="6" w:space="0" w:color="auto"/>
              <w:left w:val="single" w:sz="6" w:space="0" w:color="auto"/>
              <w:bottom w:val="single" w:sz="4" w:space="0" w:color="auto"/>
              <w:right w:val="single" w:sz="12" w:space="0" w:color="auto"/>
            </w:tcBorders>
            <w:vAlign w:val="center"/>
            <w:hideMark/>
          </w:tcPr>
          <w:p w14:paraId="029DED01" w14:textId="77777777" w:rsidR="00FD20AF" w:rsidRPr="001B4CA2" w:rsidRDefault="00FD20AF" w:rsidP="008813C3">
            <w:pPr>
              <w:jc w:val="left"/>
              <w:rPr>
                <w:b/>
                <w:sz w:val="18"/>
                <w:szCs w:val="18"/>
              </w:rPr>
            </w:pPr>
          </w:p>
        </w:tc>
        <w:tc>
          <w:tcPr>
            <w:tcW w:w="1139" w:type="dxa"/>
            <w:vMerge/>
            <w:tcBorders>
              <w:top w:val="single" w:sz="6" w:space="0" w:color="auto"/>
              <w:left w:val="single" w:sz="12" w:space="0" w:color="auto"/>
              <w:bottom w:val="single" w:sz="4" w:space="0" w:color="auto"/>
              <w:right w:val="single" w:sz="12" w:space="0" w:color="auto"/>
            </w:tcBorders>
            <w:vAlign w:val="center"/>
            <w:hideMark/>
          </w:tcPr>
          <w:p w14:paraId="7F99FEF9" w14:textId="77777777" w:rsidR="00FD20AF" w:rsidRPr="001B4CA2" w:rsidRDefault="00FD20AF" w:rsidP="008813C3">
            <w:pPr>
              <w:jc w:val="left"/>
              <w:rPr>
                <w:b/>
                <w:sz w:val="18"/>
                <w:szCs w:val="18"/>
              </w:rPr>
            </w:pPr>
          </w:p>
        </w:tc>
        <w:tc>
          <w:tcPr>
            <w:tcW w:w="1134" w:type="dxa"/>
            <w:tcBorders>
              <w:top w:val="single" w:sz="4" w:space="0" w:color="auto"/>
              <w:left w:val="single" w:sz="12" w:space="0" w:color="auto"/>
              <w:bottom w:val="single" w:sz="4" w:space="0" w:color="auto"/>
              <w:right w:val="single" w:sz="8" w:space="0" w:color="auto"/>
            </w:tcBorders>
            <w:shd w:val="clear" w:color="auto" w:fill="99CCFF"/>
            <w:vAlign w:val="center"/>
            <w:hideMark/>
          </w:tcPr>
          <w:p w14:paraId="51D79ED4" w14:textId="77777777" w:rsidR="00FD20AF" w:rsidRPr="001B4CA2" w:rsidRDefault="00FD20AF" w:rsidP="008813C3">
            <w:pPr>
              <w:spacing w:line="276" w:lineRule="auto"/>
              <w:jc w:val="left"/>
              <w:rPr>
                <w:b/>
                <w:sz w:val="18"/>
                <w:szCs w:val="18"/>
              </w:rPr>
            </w:pPr>
            <w:r w:rsidRPr="001B4CA2">
              <w:rPr>
                <w:b/>
                <w:sz w:val="18"/>
                <w:szCs w:val="18"/>
              </w:rPr>
              <w:t>Obustava</w:t>
            </w:r>
          </w:p>
        </w:tc>
        <w:tc>
          <w:tcPr>
            <w:tcW w:w="1134" w:type="dxa"/>
            <w:tcBorders>
              <w:top w:val="single" w:sz="4" w:space="0" w:color="auto"/>
              <w:left w:val="single" w:sz="8" w:space="0" w:color="auto"/>
              <w:bottom w:val="single" w:sz="4" w:space="0" w:color="auto"/>
              <w:right w:val="single" w:sz="8" w:space="0" w:color="auto"/>
            </w:tcBorders>
            <w:shd w:val="clear" w:color="auto" w:fill="99CCFF"/>
            <w:vAlign w:val="center"/>
            <w:hideMark/>
          </w:tcPr>
          <w:p w14:paraId="57F50C0C" w14:textId="77777777" w:rsidR="00FD20AF" w:rsidRPr="001B4CA2" w:rsidRDefault="00FD20AF" w:rsidP="008813C3">
            <w:pPr>
              <w:spacing w:line="276" w:lineRule="auto"/>
              <w:jc w:val="left"/>
              <w:rPr>
                <w:b/>
                <w:sz w:val="18"/>
                <w:szCs w:val="18"/>
              </w:rPr>
            </w:pPr>
            <w:r w:rsidRPr="001B4CA2">
              <w:rPr>
                <w:b/>
                <w:sz w:val="18"/>
                <w:szCs w:val="18"/>
              </w:rPr>
              <w:t>Optužnica</w:t>
            </w:r>
          </w:p>
        </w:tc>
        <w:tc>
          <w:tcPr>
            <w:tcW w:w="1134" w:type="dxa"/>
            <w:tcBorders>
              <w:top w:val="single" w:sz="4" w:space="0" w:color="auto"/>
              <w:left w:val="single" w:sz="8" w:space="0" w:color="auto"/>
              <w:bottom w:val="single" w:sz="4" w:space="0" w:color="auto"/>
              <w:right w:val="single" w:sz="8" w:space="0" w:color="auto"/>
            </w:tcBorders>
            <w:shd w:val="clear" w:color="auto" w:fill="99CCFF"/>
            <w:vAlign w:val="center"/>
            <w:hideMark/>
          </w:tcPr>
          <w:p w14:paraId="6EDC0AD0" w14:textId="77777777" w:rsidR="00FD20AF" w:rsidRPr="001B4CA2" w:rsidRDefault="00FD20AF" w:rsidP="008813C3">
            <w:pPr>
              <w:spacing w:line="276" w:lineRule="auto"/>
              <w:jc w:val="center"/>
              <w:rPr>
                <w:b/>
                <w:sz w:val="18"/>
                <w:szCs w:val="18"/>
              </w:rPr>
            </w:pPr>
            <w:r w:rsidRPr="001B4CA2">
              <w:rPr>
                <w:b/>
                <w:sz w:val="18"/>
                <w:szCs w:val="18"/>
              </w:rPr>
              <w:t>Ustup</w:t>
            </w:r>
          </w:p>
        </w:tc>
        <w:tc>
          <w:tcPr>
            <w:tcW w:w="1134" w:type="dxa"/>
            <w:tcBorders>
              <w:top w:val="single" w:sz="4" w:space="0" w:color="auto"/>
              <w:left w:val="single" w:sz="8" w:space="0" w:color="auto"/>
              <w:bottom w:val="single" w:sz="4" w:space="0" w:color="auto"/>
              <w:right w:val="single" w:sz="12" w:space="0" w:color="auto"/>
            </w:tcBorders>
            <w:shd w:val="clear" w:color="auto" w:fill="99CCFF"/>
            <w:vAlign w:val="center"/>
            <w:hideMark/>
          </w:tcPr>
          <w:p w14:paraId="0A97C155" w14:textId="77777777" w:rsidR="00FD20AF" w:rsidRPr="001B4CA2" w:rsidRDefault="00FD20AF" w:rsidP="008813C3">
            <w:pPr>
              <w:spacing w:line="276" w:lineRule="auto"/>
              <w:jc w:val="center"/>
              <w:rPr>
                <w:b/>
                <w:sz w:val="18"/>
                <w:szCs w:val="18"/>
              </w:rPr>
            </w:pPr>
            <w:r w:rsidRPr="001B4CA2">
              <w:rPr>
                <w:b/>
                <w:sz w:val="18"/>
                <w:szCs w:val="18"/>
              </w:rPr>
              <w:t>Riješeno na drugi način</w:t>
            </w:r>
          </w:p>
        </w:tc>
        <w:tc>
          <w:tcPr>
            <w:tcW w:w="1134" w:type="dxa"/>
            <w:tcBorders>
              <w:top w:val="single" w:sz="4" w:space="0" w:color="auto"/>
              <w:left w:val="single" w:sz="12" w:space="0" w:color="auto"/>
              <w:bottom w:val="single" w:sz="4" w:space="0" w:color="auto"/>
              <w:right w:val="single" w:sz="12" w:space="0" w:color="auto"/>
            </w:tcBorders>
            <w:shd w:val="clear" w:color="auto" w:fill="99CCFF"/>
            <w:vAlign w:val="center"/>
            <w:hideMark/>
          </w:tcPr>
          <w:p w14:paraId="7AE07F6A" w14:textId="77777777" w:rsidR="00FD20AF" w:rsidRPr="001B4CA2" w:rsidRDefault="00FD20AF" w:rsidP="008813C3">
            <w:pPr>
              <w:spacing w:line="276" w:lineRule="auto"/>
              <w:jc w:val="center"/>
              <w:rPr>
                <w:b/>
                <w:sz w:val="18"/>
                <w:szCs w:val="18"/>
              </w:rPr>
            </w:pPr>
            <w:r w:rsidRPr="001B4CA2">
              <w:rPr>
                <w:b/>
                <w:sz w:val="18"/>
                <w:szCs w:val="18"/>
              </w:rPr>
              <w:t>Ukupno odluka</w:t>
            </w:r>
          </w:p>
        </w:tc>
        <w:tc>
          <w:tcPr>
            <w:tcW w:w="1129" w:type="dxa"/>
            <w:vMerge/>
            <w:tcBorders>
              <w:top w:val="single" w:sz="6" w:space="0" w:color="auto"/>
              <w:left w:val="single" w:sz="12" w:space="0" w:color="auto"/>
              <w:bottom w:val="single" w:sz="4" w:space="0" w:color="auto"/>
              <w:right w:val="single" w:sz="6" w:space="0" w:color="auto"/>
            </w:tcBorders>
            <w:vAlign w:val="center"/>
            <w:hideMark/>
          </w:tcPr>
          <w:p w14:paraId="118505CA" w14:textId="77777777" w:rsidR="00FD20AF" w:rsidRPr="001B4CA2" w:rsidRDefault="00FD20AF" w:rsidP="008813C3">
            <w:pPr>
              <w:jc w:val="left"/>
              <w:rPr>
                <w:b/>
                <w:sz w:val="18"/>
                <w:szCs w:val="18"/>
              </w:rPr>
            </w:pPr>
          </w:p>
        </w:tc>
      </w:tr>
      <w:tr w:rsidR="00FD20AF" w:rsidRPr="001B4CA2" w14:paraId="64282761" w14:textId="77777777" w:rsidTr="00FD20AF">
        <w:trPr>
          <w:trHeight w:val="284"/>
          <w:jc w:val="center"/>
        </w:trPr>
        <w:tc>
          <w:tcPr>
            <w:tcW w:w="988" w:type="dxa"/>
            <w:tcBorders>
              <w:top w:val="single" w:sz="4" w:space="0" w:color="auto"/>
              <w:left w:val="single" w:sz="6" w:space="0" w:color="auto"/>
              <w:bottom w:val="single" w:sz="4" w:space="0" w:color="auto"/>
              <w:right w:val="single" w:sz="12" w:space="0" w:color="auto"/>
            </w:tcBorders>
            <w:noWrap/>
            <w:vAlign w:val="center"/>
          </w:tcPr>
          <w:p w14:paraId="0B8DD0AB" w14:textId="77777777" w:rsidR="00FD20AF" w:rsidRPr="001B4CA2" w:rsidRDefault="00FD20AF" w:rsidP="00FD20AF">
            <w:pPr>
              <w:spacing w:line="276" w:lineRule="auto"/>
              <w:jc w:val="center"/>
              <w:rPr>
                <w:sz w:val="18"/>
                <w:szCs w:val="18"/>
              </w:rPr>
            </w:pPr>
            <w:r w:rsidRPr="001B4CA2">
              <w:rPr>
                <w:sz w:val="18"/>
                <w:szCs w:val="18"/>
              </w:rPr>
              <w:t>2019.</w:t>
            </w:r>
          </w:p>
        </w:tc>
        <w:tc>
          <w:tcPr>
            <w:tcW w:w="1139" w:type="dxa"/>
            <w:tcBorders>
              <w:top w:val="single" w:sz="4" w:space="0" w:color="auto"/>
              <w:left w:val="single" w:sz="12" w:space="0" w:color="auto"/>
              <w:bottom w:val="single" w:sz="4" w:space="0" w:color="auto"/>
              <w:right w:val="single" w:sz="12" w:space="0" w:color="auto"/>
            </w:tcBorders>
            <w:noWrap/>
            <w:vAlign w:val="center"/>
          </w:tcPr>
          <w:p w14:paraId="5A8AD85B" w14:textId="77777777" w:rsidR="00FD20AF" w:rsidRPr="001B4CA2" w:rsidRDefault="00FD20AF" w:rsidP="00FD20AF">
            <w:pPr>
              <w:spacing w:line="276" w:lineRule="auto"/>
              <w:jc w:val="center"/>
              <w:rPr>
                <w:sz w:val="18"/>
                <w:szCs w:val="18"/>
              </w:rPr>
            </w:pPr>
          </w:p>
        </w:tc>
        <w:tc>
          <w:tcPr>
            <w:tcW w:w="1134" w:type="dxa"/>
            <w:tcBorders>
              <w:top w:val="single" w:sz="4" w:space="0" w:color="auto"/>
              <w:left w:val="single" w:sz="12" w:space="0" w:color="auto"/>
              <w:bottom w:val="single" w:sz="4" w:space="0" w:color="auto"/>
              <w:right w:val="single" w:sz="8" w:space="0" w:color="auto"/>
            </w:tcBorders>
            <w:noWrap/>
            <w:vAlign w:val="center"/>
          </w:tcPr>
          <w:p w14:paraId="1B9B09A8" w14:textId="77777777" w:rsidR="00FD20AF" w:rsidRPr="001B4CA2" w:rsidRDefault="00FD20AF" w:rsidP="00FD20AF">
            <w:pPr>
              <w:spacing w:line="276" w:lineRule="auto"/>
              <w:jc w:val="center"/>
              <w:rPr>
                <w:sz w:val="18"/>
                <w:szCs w:val="18"/>
              </w:rPr>
            </w:pPr>
            <w:r w:rsidRPr="001B4CA2">
              <w:rPr>
                <w:sz w:val="18"/>
                <w:szCs w:val="18"/>
              </w:rPr>
              <w:t>18</w:t>
            </w:r>
          </w:p>
        </w:tc>
        <w:tc>
          <w:tcPr>
            <w:tcW w:w="1134" w:type="dxa"/>
            <w:tcBorders>
              <w:top w:val="single" w:sz="4" w:space="0" w:color="auto"/>
              <w:left w:val="single" w:sz="8" w:space="0" w:color="auto"/>
              <w:bottom w:val="single" w:sz="4" w:space="0" w:color="auto"/>
              <w:right w:val="single" w:sz="8" w:space="0" w:color="auto"/>
            </w:tcBorders>
            <w:noWrap/>
            <w:vAlign w:val="center"/>
          </w:tcPr>
          <w:p w14:paraId="25CE2968" w14:textId="77777777" w:rsidR="00FD20AF" w:rsidRPr="001B4CA2" w:rsidRDefault="00FD20AF" w:rsidP="00FD20AF">
            <w:pPr>
              <w:spacing w:line="276" w:lineRule="auto"/>
              <w:jc w:val="center"/>
              <w:rPr>
                <w:sz w:val="18"/>
                <w:szCs w:val="18"/>
              </w:rPr>
            </w:pPr>
            <w:r w:rsidRPr="001B4CA2">
              <w:rPr>
                <w:sz w:val="18"/>
                <w:szCs w:val="18"/>
              </w:rPr>
              <w:t>372</w:t>
            </w:r>
          </w:p>
        </w:tc>
        <w:tc>
          <w:tcPr>
            <w:tcW w:w="1134" w:type="dxa"/>
            <w:tcBorders>
              <w:top w:val="single" w:sz="4" w:space="0" w:color="auto"/>
              <w:left w:val="single" w:sz="8" w:space="0" w:color="auto"/>
              <w:bottom w:val="single" w:sz="4" w:space="0" w:color="auto"/>
              <w:right w:val="single" w:sz="8" w:space="0" w:color="auto"/>
            </w:tcBorders>
            <w:noWrap/>
            <w:vAlign w:val="center"/>
          </w:tcPr>
          <w:p w14:paraId="7117372C" w14:textId="77777777" w:rsidR="00FD20AF" w:rsidRPr="001B4CA2" w:rsidRDefault="00FD20AF" w:rsidP="00FD20AF">
            <w:pPr>
              <w:spacing w:line="276" w:lineRule="auto"/>
              <w:jc w:val="center"/>
              <w:rPr>
                <w:sz w:val="18"/>
                <w:szCs w:val="18"/>
              </w:rPr>
            </w:pPr>
          </w:p>
        </w:tc>
        <w:tc>
          <w:tcPr>
            <w:tcW w:w="1134" w:type="dxa"/>
            <w:tcBorders>
              <w:top w:val="single" w:sz="4" w:space="0" w:color="auto"/>
              <w:left w:val="single" w:sz="8" w:space="0" w:color="auto"/>
              <w:bottom w:val="single" w:sz="4" w:space="0" w:color="auto"/>
              <w:right w:val="single" w:sz="12" w:space="0" w:color="auto"/>
            </w:tcBorders>
            <w:noWrap/>
            <w:vAlign w:val="center"/>
          </w:tcPr>
          <w:p w14:paraId="22AC7C43" w14:textId="77777777" w:rsidR="00FD20AF" w:rsidRPr="001B4CA2" w:rsidRDefault="00FD20AF" w:rsidP="00FD20AF">
            <w:pPr>
              <w:spacing w:line="276" w:lineRule="auto"/>
              <w:jc w:val="center"/>
              <w:rPr>
                <w:sz w:val="18"/>
                <w:szCs w:val="18"/>
              </w:rPr>
            </w:pPr>
            <w:r w:rsidRPr="001B4CA2">
              <w:rPr>
                <w:sz w:val="18"/>
                <w:szCs w:val="18"/>
              </w:rPr>
              <w:t>2</w:t>
            </w:r>
          </w:p>
        </w:tc>
        <w:tc>
          <w:tcPr>
            <w:tcW w:w="1134" w:type="dxa"/>
            <w:tcBorders>
              <w:top w:val="single" w:sz="4" w:space="0" w:color="auto"/>
              <w:left w:val="single" w:sz="12" w:space="0" w:color="auto"/>
              <w:bottom w:val="single" w:sz="4" w:space="0" w:color="auto"/>
              <w:right w:val="single" w:sz="12" w:space="0" w:color="auto"/>
            </w:tcBorders>
            <w:noWrap/>
            <w:vAlign w:val="center"/>
          </w:tcPr>
          <w:p w14:paraId="4E27D1C2" w14:textId="77777777" w:rsidR="00FD20AF" w:rsidRPr="001B4CA2" w:rsidRDefault="00FD20AF" w:rsidP="00FD20AF">
            <w:pPr>
              <w:spacing w:line="276" w:lineRule="auto"/>
              <w:jc w:val="center"/>
              <w:rPr>
                <w:sz w:val="18"/>
                <w:szCs w:val="18"/>
              </w:rPr>
            </w:pPr>
            <w:r w:rsidRPr="001B4CA2">
              <w:rPr>
                <w:sz w:val="18"/>
                <w:szCs w:val="18"/>
              </w:rPr>
              <w:t>392</w:t>
            </w:r>
          </w:p>
        </w:tc>
        <w:tc>
          <w:tcPr>
            <w:tcW w:w="1129" w:type="dxa"/>
            <w:tcBorders>
              <w:top w:val="single" w:sz="4" w:space="0" w:color="auto"/>
              <w:left w:val="single" w:sz="12" w:space="0" w:color="auto"/>
              <w:bottom w:val="single" w:sz="4" w:space="0" w:color="auto"/>
              <w:right w:val="single" w:sz="6" w:space="0" w:color="auto"/>
            </w:tcBorders>
            <w:noWrap/>
            <w:vAlign w:val="center"/>
          </w:tcPr>
          <w:p w14:paraId="68A6DAE3" w14:textId="77777777" w:rsidR="00FD20AF" w:rsidRPr="001B4CA2" w:rsidRDefault="00FD20AF" w:rsidP="00FD20AF">
            <w:pPr>
              <w:spacing w:line="276" w:lineRule="auto"/>
              <w:jc w:val="center"/>
              <w:rPr>
                <w:sz w:val="18"/>
                <w:szCs w:val="18"/>
              </w:rPr>
            </w:pPr>
          </w:p>
        </w:tc>
      </w:tr>
      <w:tr w:rsidR="00FD20AF" w:rsidRPr="001B4CA2" w14:paraId="3C501770" w14:textId="77777777" w:rsidTr="00FD20AF">
        <w:trPr>
          <w:trHeight w:val="284"/>
          <w:jc w:val="center"/>
        </w:trPr>
        <w:tc>
          <w:tcPr>
            <w:tcW w:w="988" w:type="dxa"/>
            <w:tcBorders>
              <w:top w:val="single" w:sz="4" w:space="0" w:color="auto"/>
              <w:left w:val="single" w:sz="6" w:space="0" w:color="auto"/>
              <w:bottom w:val="single" w:sz="4" w:space="0" w:color="auto"/>
              <w:right w:val="single" w:sz="12" w:space="0" w:color="auto"/>
            </w:tcBorders>
            <w:noWrap/>
            <w:vAlign w:val="center"/>
          </w:tcPr>
          <w:p w14:paraId="737BAA2C" w14:textId="77777777" w:rsidR="00FD20AF" w:rsidRPr="001B4CA2" w:rsidRDefault="00FD20AF" w:rsidP="00FD20AF">
            <w:pPr>
              <w:spacing w:line="276" w:lineRule="auto"/>
              <w:jc w:val="center"/>
              <w:rPr>
                <w:sz w:val="18"/>
                <w:szCs w:val="18"/>
              </w:rPr>
            </w:pPr>
            <w:r w:rsidRPr="001B4CA2">
              <w:rPr>
                <w:sz w:val="18"/>
                <w:szCs w:val="18"/>
              </w:rPr>
              <w:t>2020.</w:t>
            </w:r>
          </w:p>
        </w:tc>
        <w:tc>
          <w:tcPr>
            <w:tcW w:w="1139" w:type="dxa"/>
            <w:tcBorders>
              <w:top w:val="single" w:sz="4" w:space="0" w:color="auto"/>
              <w:left w:val="single" w:sz="12" w:space="0" w:color="auto"/>
              <w:bottom w:val="single" w:sz="4" w:space="0" w:color="auto"/>
              <w:right w:val="single" w:sz="12" w:space="0" w:color="auto"/>
            </w:tcBorders>
            <w:noWrap/>
            <w:vAlign w:val="center"/>
          </w:tcPr>
          <w:p w14:paraId="6A3C5670" w14:textId="77777777" w:rsidR="00FD20AF" w:rsidRPr="001B4CA2" w:rsidRDefault="00FD20AF" w:rsidP="00FD20AF">
            <w:pPr>
              <w:spacing w:line="276" w:lineRule="auto"/>
              <w:jc w:val="center"/>
              <w:rPr>
                <w:b/>
                <w:sz w:val="18"/>
                <w:szCs w:val="18"/>
              </w:rPr>
            </w:pPr>
          </w:p>
        </w:tc>
        <w:tc>
          <w:tcPr>
            <w:tcW w:w="1134" w:type="dxa"/>
            <w:tcBorders>
              <w:top w:val="single" w:sz="4" w:space="0" w:color="auto"/>
              <w:left w:val="single" w:sz="12" w:space="0" w:color="auto"/>
              <w:bottom w:val="single" w:sz="4" w:space="0" w:color="auto"/>
              <w:right w:val="single" w:sz="8" w:space="0" w:color="auto"/>
            </w:tcBorders>
            <w:noWrap/>
            <w:vAlign w:val="center"/>
          </w:tcPr>
          <w:p w14:paraId="27CCFBA7" w14:textId="77777777" w:rsidR="00FD20AF" w:rsidRPr="001B4CA2" w:rsidRDefault="00FD20AF" w:rsidP="00FD20AF">
            <w:pPr>
              <w:spacing w:line="276" w:lineRule="auto"/>
              <w:jc w:val="center"/>
              <w:rPr>
                <w:sz w:val="18"/>
                <w:szCs w:val="18"/>
              </w:rPr>
            </w:pPr>
            <w:r w:rsidRPr="001B4CA2">
              <w:rPr>
                <w:sz w:val="18"/>
                <w:szCs w:val="18"/>
              </w:rPr>
              <w:t>19</w:t>
            </w:r>
          </w:p>
        </w:tc>
        <w:tc>
          <w:tcPr>
            <w:tcW w:w="1134" w:type="dxa"/>
            <w:tcBorders>
              <w:top w:val="single" w:sz="4" w:space="0" w:color="auto"/>
              <w:left w:val="single" w:sz="8" w:space="0" w:color="auto"/>
              <w:bottom w:val="single" w:sz="4" w:space="0" w:color="auto"/>
              <w:right w:val="single" w:sz="8" w:space="0" w:color="auto"/>
            </w:tcBorders>
            <w:noWrap/>
            <w:vAlign w:val="center"/>
          </w:tcPr>
          <w:p w14:paraId="7DDEFDE5" w14:textId="77777777" w:rsidR="00FD20AF" w:rsidRPr="001B4CA2" w:rsidRDefault="00FD20AF" w:rsidP="00FD20AF">
            <w:pPr>
              <w:spacing w:line="276" w:lineRule="auto"/>
              <w:jc w:val="center"/>
              <w:rPr>
                <w:sz w:val="18"/>
                <w:szCs w:val="18"/>
              </w:rPr>
            </w:pPr>
            <w:r w:rsidRPr="001B4CA2">
              <w:rPr>
                <w:sz w:val="18"/>
                <w:szCs w:val="18"/>
              </w:rPr>
              <w:t>324</w:t>
            </w:r>
          </w:p>
        </w:tc>
        <w:tc>
          <w:tcPr>
            <w:tcW w:w="1134" w:type="dxa"/>
            <w:tcBorders>
              <w:top w:val="single" w:sz="4" w:space="0" w:color="auto"/>
              <w:left w:val="single" w:sz="8" w:space="0" w:color="auto"/>
              <w:bottom w:val="single" w:sz="4" w:space="0" w:color="auto"/>
              <w:right w:val="single" w:sz="8" w:space="0" w:color="auto"/>
            </w:tcBorders>
            <w:noWrap/>
            <w:vAlign w:val="center"/>
          </w:tcPr>
          <w:p w14:paraId="6EBF3E4A" w14:textId="77777777" w:rsidR="00FD20AF" w:rsidRPr="001B4CA2" w:rsidRDefault="00FD20AF" w:rsidP="00FD20AF">
            <w:pPr>
              <w:spacing w:line="276" w:lineRule="auto"/>
              <w:jc w:val="center"/>
              <w:rPr>
                <w:sz w:val="18"/>
                <w:szCs w:val="18"/>
              </w:rPr>
            </w:pPr>
          </w:p>
        </w:tc>
        <w:tc>
          <w:tcPr>
            <w:tcW w:w="1134" w:type="dxa"/>
            <w:tcBorders>
              <w:top w:val="single" w:sz="4" w:space="0" w:color="auto"/>
              <w:left w:val="single" w:sz="8" w:space="0" w:color="auto"/>
              <w:bottom w:val="single" w:sz="4" w:space="0" w:color="auto"/>
              <w:right w:val="single" w:sz="12" w:space="0" w:color="auto"/>
            </w:tcBorders>
            <w:noWrap/>
            <w:vAlign w:val="center"/>
          </w:tcPr>
          <w:p w14:paraId="39C57FB7" w14:textId="77777777" w:rsidR="00FD20AF" w:rsidRPr="001B4CA2" w:rsidRDefault="00FD20AF" w:rsidP="00FD20AF">
            <w:pPr>
              <w:spacing w:line="276" w:lineRule="auto"/>
              <w:jc w:val="center"/>
              <w:rPr>
                <w:sz w:val="18"/>
                <w:szCs w:val="18"/>
              </w:rPr>
            </w:pPr>
            <w:r w:rsidRPr="001B4CA2">
              <w:rPr>
                <w:sz w:val="18"/>
                <w:szCs w:val="18"/>
              </w:rPr>
              <w:t>0</w:t>
            </w:r>
          </w:p>
        </w:tc>
        <w:tc>
          <w:tcPr>
            <w:tcW w:w="1134" w:type="dxa"/>
            <w:tcBorders>
              <w:top w:val="single" w:sz="4" w:space="0" w:color="auto"/>
              <w:left w:val="single" w:sz="12" w:space="0" w:color="auto"/>
              <w:bottom w:val="single" w:sz="4" w:space="0" w:color="auto"/>
              <w:right w:val="single" w:sz="12" w:space="0" w:color="auto"/>
            </w:tcBorders>
            <w:noWrap/>
            <w:vAlign w:val="center"/>
          </w:tcPr>
          <w:p w14:paraId="68C1596F" w14:textId="77777777" w:rsidR="00FD20AF" w:rsidRPr="001B4CA2" w:rsidRDefault="00FD20AF" w:rsidP="00FD20AF">
            <w:pPr>
              <w:spacing w:line="276" w:lineRule="auto"/>
              <w:jc w:val="center"/>
              <w:rPr>
                <w:sz w:val="18"/>
                <w:szCs w:val="18"/>
              </w:rPr>
            </w:pPr>
            <w:r w:rsidRPr="001B4CA2">
              <w:rPr>
                <w:sz w:val="18"/>
                <w:szCs w:val="18"/>
              </w:rPr>
              <w:t>343</w:t>
            </w:r>
          </w:p>
        </w:tc>
        <w:tc>
          <w:tcPr>
            <w:tcW w:w="1129" w:type="dxa"/>
            <w:tcBorders>
              <w:top w:val="single" w:sz="4" w:space="0" w:color="auto"/>
              <w:left w:val="single" w:sz="12" w:space="0" w:color="auto"/>
              <w:bottom w:val="single" w:sz="4" w:space="0" w:color="auto"/>
              <w:right w:val="single" w:sz="6" w:space="0" w:color="auto"/>
            </w:tcBorders>
            <w:noWrap/>
            <w:vAlign w:val="center"/>
          </w:tcPr>
          <w:p w14:paraId="5C90DBE0" w14:textId="77777777" w:rsidR="00FD20AF" w:rsidRPr="001B4CA2" w:rsidRDefault="00FD20AF" w:rsidP="00FD20AF">
            <w:pPr>
              <w:spacing w:line="276" w:lineRule="auto"/>
              <w:jc w:val="center"/>
              <w:rPr>
                <w:sz w:val="18"/>
                <w:szCs w:val="18"/>
              </w:rPr>
            </w:pPr>
          </w:p>
        </w:tc>
      </w:tr>
      <w:tr w:rsidR="00FD20AF" w:rsidRPr="001B4CA2" w14:paraId="77FF30C0" w14:textId="77777777" w:rsidTr="00FD20AF">
        <w:trPr>
          <w:trHeight w:val="284"/>
          <w:jc w:val="center"/>
        </w:trPr>
        <w:tc>
          <w:tcPr>
            <w:tcW w:w="988" w:type="dxa"/>
            <w:tcBorders>
              <w:top w:val="single" w:sz="4" w:space="0" w:color="auto"/>
              <w:left w:val="single" w:sz="6" w:space="0" w:color="auto"/>
              <w:bottom w:val="single" w:sz="4" w:space="0" w:color="auto"/>
              <w:right w:val="single" w:sz="12" w:space="0" w:color="auto"/>
            </w:tcBorders>
            <w:noWrap/>
            <w:vAlign w:val="center"/>
          </w:tcPr>
          <w:p w14:paraId="679FEF37" w14:textId="475E5511" w:rsidR="00FD20AF" w:rsidRPr="001B4CA2" w:rsidRDefault="00FD20AF" w:rsidP="00FD20AF">
            <w:pPr>
              <w:spacing w:line="276" w:lineRule="auto"/>
              <w:jc w:val="center"/>
              <w:rPr>
                <w:sz w:val="18"/>
                <w:szCs w:val="18"/>
              </w:rPr>
            </w:pPr>
            <w:r w:rsidRPr="001B4CA2">
              <w:rPr>
                <w:sz w:val="18"/>
                <w:szCs w:val="18"/>
              </w:rPr>
              <w:t>2021.</w:t>
            </w:r>
          </w:p>
        </w:tc>
        <w:tc>
          <w:tcPr>
            <w:tcW w:w="1139" w:type="dxa"/>
            <w:tcBorders>
              <w:top w:val="single" w:sz="4" w:space="0" w:color="auto"/>
              <w:left w:val="single" w:sz="12" w:space="0" w:color="auto"/>
              <w:bottom w:val="single" w:sz="4" w:space="0" w:color="auto"/>
              <w:right w:val="single" w:sz="12" w:space="0" w:color="auto"/>
            </w:tcBorders>
            <w:noWrap/>
            <w:vAlign w:val="center"/>
          </w:tcPr>
          <w:p w14:paraId="7DA8EE6A" w14:textId="77777777" w:rsidR="00FD20AF" w:rsidRPr="001B4CA2" w:rsidRDefault="00FD20AF" w:rsidP="00FD20AF">
            <w:pPr>
              <w:spacing w:line="276" w:lineRule="auto"/>
              <w:jc w:val="center"/>
              <w:rPr>
                <w:sz w:val="18"/>
                <w:szCs w:val="18"/>
              </w:rPr>
            </w:pPr>
            <w:r w:rsidRPr="001B4CA2">
              <w:rPr>
                <w:sz w:val="18"/>
                <w:szCs w:val="18"/>
              </w:rPr>
              <w:t>808</w:t>
            </w:r>
          </w:p>
        </w:tc>
        <w:tc>
          <w:tcPr>
            <w:tcW w:w="1134" w:type="dxa"/>
            <w:tcBorders>
              <w:top w:val="single" w:sz="4" w:space="0" w:color="auto"/>
              <w:left w:val="single" w:sz="12" w:space="0" w:color="auto"/>
              <w:bottom w:val="single" w:sz="4" w:space="0" w:color="auto"/>
              <w:right w:val="single" w:sz="8" w:space="0" w:color="auto"/>
            </w:tcBorders>
            <w:noWrap/>
            <w:vAlign w:val="center"/>
          </w:tcPr>
          <w:p w14:paraId="54CF45C1" w14:textId="77777777" w:rsidR="00FD20AF" w:rsidRPr="001B4CA2" w:rsidRDefault="00FD20AF" w:rsidP="00FD20AF">
            <w:pPr>
              <w:spacing w:line="276" w:lineRule="auto"/>
              <w:jc w:val="center"/>
              <w:rPr>
                <w:sz w:val="18"/>
                <w:szCs w:val="18"/>
              </w:rPr>
            </w:pPr>
            <w:r w:rsidRPr="001B4CA2">
              <w:rPr>
                <w:sz w:val="18"/>
                <w:szCs w:val="18"/>
              </w:rPr>
              <w:t>10</w:t>
            </w:r>
          </w:p>
        </w:tc>
        <w:tc>
          <w:tcPr>
            <w:tcW w:w="1134" w:type="dxa"/>
            <w:tcBorders>
              <w:top w:val="single" w:sz="4" w:space="0" w:color="auto"/>
              <w:left w:val="single" w:sz="8" w:space="0" w:color="auto"/>
              <w:bottom w:val="single" w:sz="4" w:space="0" w:color="auto"/>
              <w:right w:val="single" w:sz="8" w:space="0" w:color="auto"/>
            </w:tcBorders>
            <w:noWrap/>
            <w:vAlign w:val="center"/>
          </w:tcPr>
          <w:p w14:paraId="2EB3D0A9" w14:textId="77777777" w:rsidR="00FD20AF" w:rsidRPr="001B4CA2" w:rsidRDefault="00FD20AF" w:rsidP="00FD20AF">
            <w:pPr>
              <w:spacing w:line="276" w:lineRule="auto"/>
              <w:jc w:val="center"/>
              <w:rPr>
                <w:sz w:val="18"/>
                <w:szCs w:val="18"/>
              </w:rPr>
            </w:pPr>
            <w:r w:rsidRPr="001B4CA2">
              <w:rPr>
                <w:sz w:val="18"/>
                <w:szCs w:val="18"/>
              </w:rPr>
              <w:t>311</w:t>
            </w:r>
          </w:p>
        </w:tc>
        <w:tc>
          <w:tcPr>
            <w:tcW w:w="1134" w:type="dxa"/>
            <w:tcBorders>
              <w:top w:val="single" w:sz="4" w:space="0" w:color="auto"/>
              <w:left w:val="single" w:sz="8" w:space="0" w:color="auto"/>
              <w:bottom w:val="single" w:sz="4" w:space="0" w:color="auto"/>
              <w:right w:val="single" w:sz="8" w:space="0" w:color="auto"/>
            </w:tcBorders>
            <w:noWrap/>
            <w:vAlign w:val="center"/>
          </w:tcPr>
          <w:p w14:paraId="4358AB2D" w14:textId="77777777" w:rsidR="00FD20AF" w:rsidRPr="001B4CA2" w:rsidRDefault="00FD20AF" w:rsidP="00FD20AF">
            <w:pPr>
              <w:spacing w:line="276" w:lineRule="auto"/>
              <w:jc w:val="center"/>
              <w:rPr>
                <w:sz w:val="18"/>
                <w:szCs w:val="18"/>
              </w:rPr>
            </w:pPr>
            <w:r w:rsidRPr="001B4CA2">
              <w:rPr>
                <w:sz w:val="18"/>
                <w:szCs w:val="18"/>
              </w:rPr>
              <w:t>7</w:t>
            </w:r>
          </w:p>
        </w:tc>
        <w:tc>
          <w:tcPr>
            <w:tcW w:w="1134" w:type="dxa"/>
            <w:tcBorders>
              <w:top w:val="single" w:sz="4" w:space="0" w:color="auto"/>
              <w:left w:val="single" w:sz="8" w:space="0" w:color="auto"/>
              <w:bottom w:val="single" w:sz="4" w:space="0" w:color="auto"/>
              <w:right w:val="single" w:sz="12" w:space="0" w:color="auto"/>
            </w:tcBorders>
            <w:noWrap/>
            <w:vAlign w:val="center"/>
          </w:tcPr>
          <w:p w14:paraId="3BABB7A3" w14:textId="77777777" w:rsidR="00FD20AF" w:rsidRPr="001B4CA2" w:rsidRDefault="00FD20AF" w:rsidP="00FD20AF">
            <w:pPr>
              <w:spacing w:line="276" w:lineRule="auto"/>
              <w:jc w:val="center"/>
              <w:rPr>
                <w:sz w:val="18"/>
                <w:szCs w:val="18"/>
              </w:rPr>
            </w:pPr>
            <w:r w:rsidRPr="001B4CA2">
              <w:rPr>
                <w:sz w:val="18"/>
                <w:szCs w:val="18"/>
              </w:rPr>
              <w:t>11</w:t>
            </w:r>
          </w:p>
        </w:tc>
        <w:tc>
          <w:tcPr>
            <w:tcW w:w="1134" w:type="dxa"/>
            <w:tcBorders>
              <w:top w:val="single" w:sz="4" w:space="0" w:color="auto"/>
              <w:left w:val="single" w:sz="12" w:space="0" w:color="auto"/>
              <w:bottom w:val="single" w:sz="4" w:space="0" w:color="auto"/>
              <w:right w:val="single" w:sz="12" w:space="0" w:color="auto"/>
            </w:tcBorders>
            <w:noWrap/>
            <w:vAlign w:val="center"/>
          </w:tcPr>
          <w:p w14:paraId="45B0BD55" w14:textId="77777777" w:rsidR="00FD20AF" w:rsidRPr="001B4CA2" w:rsidRDefault="00FD20AF" w:rsidP="00FD20AF">
            <w:pPr>
              <w:spacing w:line="276" w:lineRule="auto"/>
              <w:jc w:val="center"/>
              <w:rPr>
                <w:sz w:val="18"/>
                <w:szCs w:val="18"/>
              </w:rPr>
            </w:pPr>
            <w:r w:rsidRPr="001B4CA2">
              <w:rPr>
                <w:sz w:val="18"/>
                <w:szCs w:val="18"/>
              </w:rPr>
              <w:t>339</w:t>
            </w:r>
          </w:p>
        </w:tc>
        <w:tc>
          <w:tcPr>
            <w:tcW w:w="1129" w:type="dxa"/>
            <w:tcBorders>
              <w:top w:val="single" w:sz="4" w:space="0" w:color="auto"/>
              <w:left w:val="single" w:sz="12" w:space="0" w:color="auto"/>
              <w:bottom w:val="single" w:sz="4" w:space="0" w:color="auto"/>
              <w:right w:val="single" w:sz="6" w:space="0" w:color="auto"/>
            </w:tcBorders>
            <w:noWrap/>
            <w:vAlign w:val="center"/>
          </w:tcPr>
          <w:p w14:paraId="285C4CE8" w14:textId="77777777" w:rsidR="00FD20AF" w:rsidRPr="001B4CA2" w:rsidRDefault="00FD20AF" w:rsidP="00FD20AF">
            <w:pPr>
              <w:spacing w:line="276" w:lineRule="auto"/>
              <w:jc w:val="center"/>
              <w:rPr>
                <w:sz w:val="18"/>
                <w:szCs w:val="18"/>
              </w:rPr>
            </w:pPr>
            <w:r w:rsidRPr="001B4CA2">
              <w:rPr>
                <w:sz w:val="18"/>
                <w:szCs w:val="18"/>
              </w:rPr>
              <w:t>469</w:t>
            </w:r>
          </w:p>
        </w:tc>
      </w:tr>
      <w:tr w:rsidR="00FD20AF" w:rsidRPr="001B4CA2" w14:paraId="04D85D34" w14:textId="77777777" w:rsidTr="00FD20AF">
        <w:trPr>
          <w:trHeight w:val="284"/>
          <w:jc w:val="center"/>
        </w:trPr>
        <w:tc>
          <w:tcPr>
            <w:tcW w:w="988" w:type="dxa"/>
            <w:tcBorders>
              <w:top w:val="single" w:sz="4" w:space="0" w:color="auto"/>
              <w:left w:val="single" w:sz="6" w:space="0" w:color="auto"/>
              <w:bottom w:val="single" w:sz="4" w:space="0" w:color="auto"/>
              <w:right w:val="single" w:sz="12" w:space="0" w:color="auto"/>
            </w:tcBorders>
            <w:noWrap/>
            <w:vAlign w:val="center"/>
          </w:tcPr>
          <w:p w14:paraId="13FE391A" w14:textId="77777777" w:rsidR="00FD20AF" w:rsidRPr="001B4CA2" w:rsidRDefault="00FD20AF" w:rsidP="00FD20AF">
            <w:pPr>
              <w:spacing w:line="276" w:lineRule="auto"/>
              <w:jc w:val="center"/>
              <w:rPr>
                <w:sz w:val="18"/>
                <w:szCs w:val="18"/>
              </w:rPr>
            </w:pPr>
            <w:r w:rsidRPr="001B4CA2">
              <w:rPr>
                <w:sz w:val="18"/>
                <w:szCs w:val="18"/>
              </w:rPr>
              <w:t>2022.</w:t>
            </w:r>
          </w:p>
        </w:tc>
        <w:tc>
          <w:tcPr>
            <w:tcW w:w="1139" w:type="dxa"/>
            <w:tcBorders>
              <w:top w:val="single" w:sz="4" w:space="0" w:color="auto"/>
              <w:left w:val="single" w:sz="12" w:space="0" w:color="auto"/>
              <w:bottom w:val="single" w:sz="4" w:space="0" w:color="auto"/>
              <w:right w:val="single" w:sz="12" w:space="0" w:color="auto"/>
            </w:tcBorders>
            <w:noWrap/>
            <w:vAlign w:val="center"/>
          </w:tcPr>
          <w:p w14:paraId="1AE15DF5" w14:textId="3304552D" w:rsidR="00FD20AF" w:rsidRPr="001B4CA2" w:rsidRDefault="001D6C60" w:rsidP="00FD20AF">
            <w:pPr>
              <w:spacing w:line="276" w:lineRule="auto"/>
              <w:jc w:val="center"/>
              <w:rPr>
                <w:sz w:val="18"/>
                <w:szCs w:val="18"/>
              </w:rPr>
            </w:pPr>
            <w:r w:rsidRPr="001B4CA2">
              <w:rPr>
                <w:sz w:val="18"/>
                <w:szCs w:val="18"/>
              </w:rPr>
              <w:t>1.118</w:t>
            </w:r>
          </w:p>
        </w:tc>
        <w:tc>
          <w:tcPr>
            <w:tcW w:w="1134" w:type="dxa"/>
            <w:tcBorders>
              <w:top w:val="single" w:sz="4" w:space="0" w:color="auto"/>
              <w:left w:val="single" w:sz="12" w:space="0" w:color="auto"/>
              <w:bottom w:val="single" w:sz="4" w:space="0" w:color="auto"/>
              <w:right w:val="single" w:sz="8" w:space="0" w:color="auto"/>
            </w:tcBorders>
            <w:noWrap/>
            <w:vAlign w:val="center"/>
          </w:tcPr>
          <w:p w14:paraId="52DE4CBB" w14:textId="77777777" w:rsidR="00FD20AF" w:rsidRPr="001B4CA2" w:rsidRDefault="00FD20AF" w:rsidP="00FD20AF">
            <w:pPr>
              <w:spacing w:line="276" w:lineRule="auto"/>
              <w:jc w:val="center"/>
              <w:rPr>
                <w:sz w:val="18"/>
                <w:szCs w:val="18"/>
              </w:rPr>
            </w:pPr>
            <w:r w:rsidRPr="001B4CA2">
              <w:rPr>
                <w:sz w:val="18"/>
                <w:szCs w:val="18"/>
              </w:rPr>
              <w:t>29</w:t>
            </w:r>
          </w:p>
        </w:tc>
        <w:tc>
          <w:tcPr>
            <w:tcW w:w="1134" w:type="dxa"/>
            <w:tcBorders>
              <w:top w:val="single" w:sz="4" w:space="0" w:color="auto"/>
              <w:left w:val="single" w:sz="8" w:space="0" w:color="auto"/>
              <w:bottom w:val="single" w:sz="4" w:space="0" w:color="auto"/>
              <w:right w:val="single" w:sz="8" w:space="0" w:color="auto"/>
            </w:tcBorders>
            <w:noWrap/>
            <w:vAlign w:val="center"/>
          </w:tcPr>
          <w:p w14:paraId="35327BC6" w14:textId="77777777" w:rsidR="00FD20AF" w:rsidRPr="001B4CA2" w:rsidRDefault="00FD20AF" w:rsidP="00FD20AF">
            <w:pPr>
              <w:spacing w:line="276" w:lineRule="auto"/>
              <w:jc w:val="center"/>
              <w:rPr>
                <w:sz w:val="18"/>
                <w:szCs w:val="18"/>
              </w:rPr>
            </w:pPr>
            <w:r w:rsidRPr="001B4CA2">
              <w:rPr>
                <w:sz w:val="18"/>
                <w:szCs w:val="18"/>
              </w:rPr>
              <w:t>460</w:t>
            </w:r>
          </w:p>
        </w:tc>
        <w:tc>
          <w:tcPr>
            <w:tcW w:w="1134" w:type="dxa"/>
            <w:tcBorders>
              <w:top w:val="single" w:sz="4" w:space="0" w:color="auto"/>
              <w:left w:val="single" w:sz="8" w:space="0" w:color="auto"/>
              <w:bottom w:val="single" w:sz="4" w:space="0" w:color="auto"/>
              <w:right w:val="single" w:sz="8" w:space="0" w:color="auto"/>
            </w:tcBorders>
            <w:noWrap/>
            <w:vAlign w:val="center"/>
          </w:tcPr>
          <w:p w14:paraId="6CC32C99" w14:textId="77777777" w:rsidR="00FD20AF" w:rsidRPr="001B4CA2" w:rsidRDefault="00FD20AF" w:rsidP="00FD20AF">
            <w:pPr>
              <w:spacing w:line="276" w:lineRule="auto"/>
              <w:jc w:val="center"/>
              <w:rPr>
                <w:sz w:val="18"/>
                <w:szCs w:val="18"/>
              </w:rPr>
            </w:pPr>
            <w:r w:rsidRPr="001B4CA2">
              <w:rPr>
                <w:sz w:val="18"/>
                <w:szCs w:val="18"/>
              </w:rPr>
              <w:t>2</w:t>
            </w:r>
          </w:p>
        </w:tc>
        <w:tc>
          <w:tcPr>
            <w:tcW w:w="1134" w:type="dxa"/>
            <w:tcBorders>
              <w:top w:val="single" w:sz="4" w:space="0" w:color="auto"/>
              <w:left w:val="single" w:sz="8" w:space="0" w:color="auto"/>
              <w:bottom w:val="single" w:sz="4" w:space="0" w:color="auto"/>
              <w:right w:val="single" w:sz="12" w:space="0" w:color="auto"/>
            </w:tcBorders>
            <w:noWrap/>
            <w:vAlign w:val="center"/>
          </w:tcPr>
          <w:p w14:paraId="1692E956" w14:textId="77777777" w:rsidR="00FD20AF" w:rsidRPr="001B4CA2" w:rsidRDefault="00FD20AF" w:rsidP="00FD20AF">
            <w:pPr>
              <w:spacing w:line="276" w:lineRule="auto"/>
              <w:jc w:val="center"/>
              <w:rPr>
                <w:sz w:val="18"/>
                <w:szCs w:val="18"/>
              </w:rPr>
            </w:pPr>
            <w:r w:rsidRPr="001B4CA2">
              <w:rPr>
                <w:sz w:val="18"/>
                <w:szCs w:val="18"/>
              </w:rPr>
              <w:t>6</w:t>
            </w:r>
          </w:p>
        </w:tc>
        <w:tc>
          <w:tcPr>
            <w:tcW w:w="1134" w:type="dxa"/>
            <w:tcBorders>
              <w:top w:val="single" w:sz="4" w:space="0" w:color="auto"/>
              <w:left w:val="single" w:sz="12" w:space="0" w:color="auto"/>
              <w:bottom w:val="single" w:sz="4" w:space="0" w:color="auto"/>
              <w:right w:val="single" w:sz="12" w:space="0" w:color="auto"/>
            </w:tcBorders>
            <w:noWrap/>
            <w:vAlign w:val="center"/>
          </w:tcPr>
          <w:p w14:paraId="1D0E568B" w14:textId="77777777" w:rsidR="00FD20AF" w:rsidRPr="001B4CA2" w:rsidRDefault="00FD20AF" w:rsidP="00FD20AF">
            <w:pPr>
              <w:spacing w:line="276" w:lineRule="auto"/>
              <w:jc w:val="center"/>
              <w:rPr>
                <w:sz w:val="18"/>
                <w:szCs w:val="18"/>
              </w:rPr>
            </w:pPr>
            <w:r w:rsidRPr="001B4CA2">
              <w:rPr>
                <w:sz w:val="18"/>
                <w:szCs w:val="18"/>
              </w:rPr>
              <w:t>497</w:t>
            </w:r>
          </w:p>
        </w:tc>
        <w:tc>
          <w:tcPr>
            <w:tcW w:w="1129" w:type="dxa"/>
            <w:tcBorders>
              <w:top w:val="single" w:sz="4" w:space="0" w:color="auto"/>
              <w:left w:val="single" w:sz="12" w:space="0" w:color="auto"/>
              <w:bottom w:val="single" w:sz="4" w:space="0" w:color="auto"/>
              <w:right w:val="single" w:sz="6" w:space="0" w:color="auto"/>
            </w:tcBorders>
            <w:noWrap/>
            <w:vAlign w:val="center"/>
          </w:tcPr>
          <w:p w14:paraId="4A1AE537" w14:textId="77777777" w:rsidR="00FD20AF" w:rsidRPr="001B4CA2" w:rsidRDefault="00FD20AF" w:rsidP="00FD20AF">
            <w:pPr>
              <w:spacing w:line="276" w:lineRule="auto"/>
              <w:jc w:val="center"/>
              <w:rPr>
                <w:sz w:val="18"/>
                <w:szCs w:val="18"/>
              </w:rPr>
            </w:pPr>
            <w:r w:rsidRPr="001B4CA2">
              <w:rPr>
                <w:sz w:val="18"/>
                <w:szCs w:val="18"/>
              </w:rPr>
              <w:t>621</w:t>
            </w:r>
          </w:p>
        </w:tc>
      </w:tr>
    </w:tbl>
    <w:p w14:paraId="7B7C4EC8" w14:textId="77777777" w:rsidR="00FD20AF" w:rsidRPr="001B4CA2" w:rsidRDefault="00FD20AF" w:rsidP="00FD20AF">
      <w:pPr>
        <w:rPr>
          <w:rFonts w:asciiTheme="minorHAnsi" w:hAnsiTheme="minorHAnsi" w:cstheme="minorBidi"/>
        </w:rPr>
      </w:pPr>
    </w:p>
    <w:p w14:paraId="6AE74604" w14:textId="5AACB5FC" w:rsidR="00FD20AF" w:rsidRPr="001B4CA2" w:rsidRDefault="00FD20AF" w:rsidP="00FD20AF">
      <w:pPr>
        <w:ind w:firstLine="708"/>
      </w:pPr>
      <w:r w:rsidRPr="001B4CA2">
        <w:t xml:space="preserve">Ured za suzbijanje korupcije i organiziranog kriminaliteta tijekom ovog </w:t>
      </w:r>
      <w:r w:rsidR="00D24E74" w:rsidRPr="001B4CA2">
        <w:t xml:space="preserve">je </w:t>
      </w:r>
      <w:r w:rsidRPr="001B4CA2">
        <w:t>izvještajnog razdoblja po završenoj istrazi donio odluka u odnosu na 497 osoba, od čega je protiv 460 osoba podignuta optužnica (92,55</w:t>
      </w:r>
      <w:r w:rsidR="00D24E74">
        <w:t> </w:t>
      </w:r>
      <w:r w:rsidRPr="001B4CA2">
        <w:t>%), dok je u odnosu na 29 osoba doneseno rješenje o obustavi istrage (5,83</w:t>
      </w:r>
      <w:r w:rsidR="00D24E74">
        <w:t> </w:t>
      </w:r>
      <w:r w:rsidRPr="001B4CA2">
        <w:t xml:space="preserve">%). </w:t>
      </w:r>
    </w:p>
    <w:p w14:paraId="4575EEEE" w14:textId="77777777" w:rsidR="00FD20AF" w:rsidRPr="001B4CA2" w:rsidRDefault="00FD20AF" w:rsidP="00FD20AF">
      <w:pPr>
        <w:jc w:val="left"/>
      </w:pPr>
    </w:p>
    <w:p w14:paraId="585BF474" w14:textId="01612C55" w:rsidR="00FD20AF" w:rsidRPr="001B4CA2" w:rsidRDefault="00FD20AF" w:rsidP="00FD20AF">
      <w:r w:rsidRPr="001B4CA2">
        <w:tab/>
        <w:t>Od ukupnog broja istraga u radu u izvještajnom razdoblju na kraju izvještajnog razdoblja ostalo je u radu istraga protiv 621 osobe, što predstavlja porast od 32,40</w:t>
      </w:r>
      <w:r w:rsidR="00D24E74">
        <w:t> </w:t>
      </w:r>
      <w:r w:rsidRPr="001B4CA2">
        <w:t>% u odnosu na prethodno izvještajno razdoblje koji porast valja promatrati u korelaciji</w:t>
      </w:r>
      <w:r w:rsidR="00FD08E9">
        <w:t xml:space="preserve"> s </w:t>
      </w:r>
      <w:r w:rsidRPr="001B4CA2">
        <w:t>porastom broja donesenih rješenja o provođenju istrage od 53,71</w:t>
      </w:r>
      <w:r w:rsidR="00D24E74">
        <w:t> </w:t>
      </w:r>
      <w:r w:rsidRPr="001B4CA2">
        <w:t>% u odnosu na prethodno izvještajno razdoblje. Ujedno, protiv 427 osoba (68,76</w:t>
      </w:r>
      <w:r w:rsidR="00D24E74">
        <w:t> </w:t>
      </w:r>
      <w:r w:rsidRPr="001B4CA2">
        <w:t xml:space="preserve">% ostalih istraga u radu) rješenje o provođenju istrage </w:t>
      </w:r>
      <w:r w:rsidR="00D24E74" w:rsidRPr="001B4CA2">
        <w:t xml:space="preserve">doneseno </w:t>
      </w:r>
      <w:r w:rsidRPr="001B4CA2">
        <w:t xml:space="preserve">je u drugoj polovini izvještajnog </w:t>
      </w:r>
      <w:r w:rsidRPr="001B4CA2">
        <w:lastRenderedPageBreak/>
        <w:t xml:space="preserve">razdoblja, a koja </w:t>
      </w:r>
      <w:r w:rsidR="00D24E74" w:rsidRPr="001B4CA2">
        <w:t xml:space="preserve">je </w:t>
      </w:r>
      <w:r w:rsidRPr="001B4CA2">
        <w:t>okolnost, uz okolnost složenosti predmeta, rezultirala brojem neriješenih istraga na kraju izvještajnog razdoblja.</w:t>
      </w:r>
      <w:bookmarkStart w:id="102" w:name="_Toc34921394"/>
      <w:bookmarkStart w:id="103" w:name="_Toc34921731"/>
      <w:bookmarkStart w:id="104" w:name="_Toc34921789"/>
      <w:bookmarkStart w:id="105" w:name="_Toc34921395"/>
      <w:bookmarkStart w:id="106" w:name="_Toc34921732"/>
      <w:bookmarkStart w:id="107" w:name="_Toc34921790"/>
      <w:bookmarkStart w:id="108" w:name="_Toc34921396"/>
      <w:bookmarkStart w:id="109" w:name="_Toc34921733"/>
      <w:bookmarkStart w:id="110" w:name="_Toc34921791"/>
      <w:bookmarkStart w:id="111" w:name="_Toc34921397"/>
      <w:bookmarkStart w:id="112" w:name="_Toc34921734"/>
      <w:bookmarkStart w:id="113" w:name="_Toc34921792"/>
      <w:bookmarkStart w:id="114" w:name="_Toc34921398"/>
      <w:bookmarkStart w:id="115" w:name="_Toc34921735"/>
      <w:bookmarkStart w:id="116" w:name="_Toc34921793"/>
      <w:bookmarkStart w:id="117" w:name="_Toc34921399"/>
      <w:bookmarkStart w:id="118" w:name="_Toc34921736"/>
      <w:bookmarkStart w:id="119" w:name="_Toc34921794"/>
      <w:bookmarkStart w:id="120" w:name="_Toc34921400"/>
      <w:bookmarkStart w:id="121" w:name="_Toc34921737"/>
      <w:bookmarkStart w:id="122" w:name="_Toc34921795"/>
      <w:bookmarkStart w:id="123" w:name="_Toc34921401"/>
      <w:bookmarkStart w:id="124" w:name="_Toc34921738"/>
      <w:bookmarkStart w:id="125" w:name="_Toc34921796"/>
      <w:bookmarkStart w:id="126" w:name="_Toc34921402"/>
      <w:bookmarkStart w:id="127" w:name="_Toc34921739"/>
      <w:bookmarkStart w:id="128" w:name="_Toc3492179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A899F3F" w14:textId="77777777" w:rsidR="00D3013F" w:rsidRPr="001B4CA2" w:rsidRDefault="00D3013F" w:rsidP="000A4FBF">
      <w:pPr>
        <w:rPr>
          <w:rFonts w:eastAsia="Calibri"/>
        </w:rPr>
      </w:pPr>
    </w:p>
    <w:p w14:paraId="55581552" w14:textId="018200A0" w:rsidR="000A4FBF" w:rsidRPr="001B4CA2" w:rsidRDefault="000A4FBF" w:rsidP="00E6050A">
      <w:pPr>
        <w:pStyle w:val="Naslov4"/>
        <w:tabs>
          <w:tab w:val="left" w:pos="1134"/>
        </w:tabs>
        <w:rPr>
          <w:rFonts w:ascii="Arial" w:eastAsia="Calibri" w:hAnsi="Arial" w:cs="Arial"/>
        </w:rPr>
      </w:pPr>
      <w:bookmarkStart w:id="129" w:name="_Toc133394359"/>
      <w:r w:rsidRPr="001B4CA2">
        <w:rPr>
          <w:rFonts w:ascii="Arial" w:eastAsia="Calibri" w:hAnsi="Arial" w:cs="Arial"/>
        </w:rPr>
        <w:t>Trajanje istrage</w:t>
      </w:r>
      <w:bookmarkEnd w:id="129"/>
    </w:p>
    <w:p w14:paraId="69B2370F" w14:textId="77777777" w:rsidR="00EF3A91" w:rsidRPr="001B4CA2" w:rsidRDefault="00EF3A91" w:rsidP="00EF3A91">
      <w:pPr>
        <w:rPr>
          <w:i/>
          <w:color w:val="FF0000"/>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199"/>
        <w:gridCol w:w="1199"/>
        <w:gridCol w:w="1200"/>
        <w:gridCol w:w="1199"/>
        <w:gridCol w:w="1199"/>
        <w:gridCol w:w="1200"/>
      </w:tblGrid>
      <w:tr w:rsidR="00EF3A91" w:rsidRPr="001B4CA2" w14:paraId="7FC4AADA" w14:textId="77777777" w:rsidTr="00EF3A91">
        <w:trPr>
          <w:trHeight w:val="718"/>
          <w:jc w:val="center"/>
        </w:trPr>
        <w:tc>
          <w:tcPr>
            <w:tcW w:w="1141"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74F733FB" w14:textId="77777777" w:rsidR="00EF3A91" w:rsidRPr="001B4CA2" w:rsidRDefault="00EF3A91" w:rsidP="008813C3">
            <w:pPr>
              <w:spacing w:line="276" w:lineRule="auto"/>
              <w:jc w:val="center"/>
              <w:rPr>
                <w:rFonts w:eastAsia="Times New Roman"/>
                <w:b/>
                <w:sz w:val="18"/>
                <w:szCs w:val="18"/>
                <w:lang w:eastAsia="hr-HR"/>
              </w:rPr>
            </w:pPr>
            <w:r w:rsidRPr="001B4CA2">
              <w:rPr>
                <w:rFonts w:eastAsia="Times New Roman"/>
                <w:b/>
                <w:sz w:val="18"/>
                <w:szCs w:val="18"/>
                <w:lang w:eastAsia="hr-HR"/>
              </w:rPr>
              <w:t>Godina</w:t>
            </w:r>
          </w:p>
        </w:tc>
        <w:tc>
          <w:tcPr>
            <w:tcW w:w="1199"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A9215D9" w14:textId="77777777" w:rsidR="00EF3A91" w:rsidRPr="001B4CA2" w:rsidRDefault="00EF3A91" w:rsidP="008813C3">
            <w:pPr>
              <w:spacing w:line="276" w:lineRule="auto"/>
              <w:jc w:val="center"/>
              <w:rPr>
                <w:rFonts w:eastAsia="Times New Roman"/>
                <w:b/>
                <w:sz w:val="18"/>
                <w:szCs w:val="18"/>
                <w:lang w:eastAsia="hr-HR"/>
              </w:rPr>
            </w:pPr>
            <w:r w:rsidRPr="001B4CA2">
              <w:rPr>
                <w:rFonts w:eastAsia="Times New Roman"/>
                <w:b/>
                <w:sz w:val="18"/>
                <w:szCs w:val="18"/>
                <w:lang w:eastAsia="hr-HR"/>
              </w:rPr>
              <w:t>Do 1 mjeseca</w:t>
            </w:r>
          </w:p>
        </w:tc>
        <w:tc>
          <w:tcPr>
            <w:tcW w:w="1199"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615D14CD" w14:textId="77777777" w:rsidR="00EF3A91" w:rsidRPr="001B4CA2" w:rsidRDefault="00EF3A91" w:rsidP="008813C3">
            <w:pPr>
              <w:spacing w:line="276" w:lineRule="auto"/>
              <w:jc w:val="center"/>
              <w:rPr>
                <w:rFonts w:eastAsia="Times New Roman"/>
                <w:b/>
                <w:sz w:val="18"/>
                <w:szCs w:val="18"/>
                <w:lang w:eastAsia="hr-HR"/>
              </w:rPr>
            </w:pPr>
            <w:r w:rsidRPr="001B4CA2">
              <w:rPr>
                <w:rFonts w:eastAsia="Times New Roman"/>
                <w:b/>
                <w:sz w:val="18"/>
                <w:szCs w:val="18"/>
                <w:lang w:eastAsia="hr-HR"/>
              </w:rPr>
              <w:t>Do 3 mjeseca</w:t>
            </w:r>
          </w:p>
        </w:tc>
        <w:tc>
          <w:tcPr>
            <w:tcW w:w="1200"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AF3D6B0" w14:textId="77777777" w:rsidR="00EF3A91" w:rsidRPr="001B4CA2" w:rsidRDefault="00EF3A91" w:rsidP="008813C3">
            <w:pPr>
              <w:spacing w:line="276" w:lineRule="auto"/>
              <w:jc w:val="center"/>
              <w:rPr>
                <w:rFonts w:eastAsia="Times New Roman"/>
                <w:b/>
                <w:sz w:val="18"/>
                <w:szCs w:val="18"/>
                <w:lang w:eastAsia="hr-HR"/>
              </w:rPr>
            </w:pPr>
            <w:r w:rsidRPr="001B4CA2">
              <w:rPr>
                <w:rFonts w:eastAsia="Times New Roman"/>
                <w:b/>
                <w:sz w:val="18"/>
                <w:szCs w:val="18"/>
                <w:lang w:eastAsia="hr-HR"/>
              </w:rPr>
              <w:t>Do 6 mjeseci</w:t>
            </w:r>
          </w:p>
        </w:tc>
        <w:tc>
          <w:tcPr>
            <w:tcW w:w="1199"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077FEC17" w14:textId="77777777" w:rsidR="00EF3A91" w:rsidRPr="001B4CA2" w:rsidRDefault="00EF3A91" w:rsidP="008813C3">
            <w:pPr>
              <w:spacing w:line="276" w:lineRule="auto"/>
              <w:jc w:val="center"/>
              <w:rPr>
                <w:rFonts w:eastAsia="Times New Roman"/>
                <w:b/>
                <w:sz w:val="18"/>
                <w:szCs w:val="18"/>
                <w:lang w:eastAsia="hr-HR"/>
              </w:rPr>
            </w:pPr>
            <w:r w:rsidRPr="001B4CA2">
              <w:rPr>
                <w:rFonts w:eastAsia="Times New Roman"/>
                <w:b/>
                <w:sz w:val="18"/>
                <w:szCs w:val="18"/>
                <w:lang w:eastAsia="hr-HR"/>
              </w:rPr>
              <w:t>Do 12 mjeseci</w:t>
            </w:r>
          </w:p>
        </w:tc>
        <w:tc>
          <w:tcPr>
            <w:tcW w:w="1199"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190F324" w14:textId="77777777" w:rsidR="00EF3A91" w:rsidRPr="001B4CA2" w:rsidRDefault="00EF3A91" w:rsidP="008813C3">
            <w:pPr>
              <w:spacing w:line="276" w:lineRule="auto"/>
              <w:jc w:val="center"/>
              <w:rPr>
                <w:rFonts w:eastAsia="Times New Roman"/>
                <w:b/>
                <w:sz w:val="18"/>
                <w:szCs w:val="18"/>
                <w:lang w:eastAsia="hr-HR"/>
              </w:rPr>
            </w:pPr>
            <w:r w:rsidRPr="001B4CA2">
              <w:rPr>
                <w:rFonts w:eastAsia="Times New Roman"/>
                <w:b/>
                <w:sz w:val="18"/>
                <w:szCs w:val="18"/>
                <w:lang w:eastAsia="hr-HR"/>
              </w:rPr>
              <w:t>Do 18 mjeseci</w:t>
            </w:r>
          </w:p>
        </w:tc>
        <w:tc>
          <w:tcPr>
            <w:tcW w:w="1200"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0CC7C2D" w14:textId="77777777" w:rsidR="00EF3A91" w:rsidRPr="001B4CA2" w:rsidRDefault="00EF3A91" w:rsidP="008813C3">
            <w:pPr>
              <w:spacing w:line="276" w:lineRule="auto"/>
              <w:jc w:val="center"/>
              <w:rPr>
                <w:rFonts w:eastAsia="Times New Roman"/>
                <w:b/>
                <w:sz w:val="18"/>
                <w:szCs w:val="18"/>
                <w:lang w:eastAsia="hr-HR"/>
              </w:rPr>
            </w:pPr>
            <w:r w:rsidRPr="001B4CA2">
              <w:rPr>
                <w:rFonts w:eastAsia="Times New Roman"/>
                <w:b/>
                <w:sz w:val="18"/>
                <w:szCs w:val="18"/>
                <w:lang w:eastAsia="hr-HR"/>
              </w:rPr>
              <w:t>Više od 18 mjeseci</w:t>
            </w:r>
          </w:p>
        </w:tc>
      </w:tr>
      <w:tr w:rsidR="00EF3A91" w:rsidRPr="001B4CA2" w14:paraId="0B4F2AC7" w14:textId="77777777" w:rsidTr="00EF3A91">
        <w:trPr>
          <w:trHeight w:val="284"/>
          <w:jc w:val="center"/>
        </w:trPr>
        <w:tc>
          <w:tcPr>
            <w:tcW w:w="1141" w:type="dxa"/>
            <w:tcBorders>
              <w:top w:val="single" w:sz="4" w:space="0" w:color="auto"/>
              <w:left w:val="single" w:sz="4" w:space="0" w:color="auto"/>
              <w:bottom w:val="single" w:sz="4" w:space="0" w:color="auto"/>
              <w:right w:val="single" w:sz="4" w:space="0" w:color="auto"/>
            </w:tcBorders>
            <w:noWrap/>
            <w:vAlign w:val="bottom"/>
          </w:tcPr>
          <w:p w14:paraId="36DB6B9A"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2018.</w:t>
            </w:r>
          </w:p>
        </w:tc>
        <w:tc>
          <w:tcPr>
            <w:tcW w:w="1199" w:type="dxa"/>
            <w:tcBorders>
              <w:top w:val="single" w:sz="4" w:space="0" w:color="auto"/>
              <w:left w:val="single" w:sz="4" w:space="0" w:color="auto"/>
              <w:bottom w:val="single" w:sz="4" w:space="0" w:color="auto"/>
              <w:right w:val="single" w:sz="4" w:space="0" w:color="auto"/>
            </w:tcBorders>
            <w:noWrap/>
            <w:vAlign w:val="center"/>
          </w:tcPr>
          <w:p w14:paraId="1ABBB6E8"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6</w:t>
            </w:r>
          </w:p>
        </w:tc>
        <w:tc>
          <w:tcPr>
            <w:tcW w:w="1199" w:type="dxa"/>
            <w:tcBorders>
              <w:top w:val="single" w:sz="4" w:space="0" w:color="auto"/>
              <w:left w:val="single" w:sz="4" w:space="0" w:color="auto"/>
              <w:bottom w:val="single" w:sz="4" w:space="0" w:color="auto"/>
              <w:right w:val="single" w:sz="4" w:space="0" w:color="auto"/>
            </w:tcBorders>
            <w:noWrap/>
            <w:vAlign w:val="center"/>
          </w:tcPr>
          <w:p w14:paraId="2E64B275"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26</w:t>
            </w:r>
          </w:p>
        </w:tc>
        <w:tc>
          <w:tcPr>
            <w:tcW w:w="1200" w:type="dxa"/>
            <w:tcBorders>
              <w:top w:val="single" w:sz="4" w:space="0" w:color="auto"/>
              <w:left w:val="single" w:sz="4" w:space="0" w:color="auto"/>
              <w:bottom w:val="single" w:sz="4" w:space="0" w:color="auto"/>
              <w:right w:val="single" w:sz="4" w:space="0" w:color="auto"/>
            </w:tcBorders>
            <w:noWrap/>
            <w:vAlign w:val="center"/>
          </w:tcPr>
          <w:p w14:paraId="681EF39D"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116</w:t>
            </w:r>
          </w:p>
        </w:tc>
        <w:tc>
          <w:tcPr>
            <w:tcW w:w="1199" w:type="dxa"/>
            <w:tcBorders>
              <w:top w:val="single" w:sz="4" w:space="0" w:color="auto"/>
              <w:left w:val="single" w:sz="4" w:space="0" w:color="auto"/>
              <w:bottom w:val="single" w:sz="4" w:space="0" w:color="auto"/>
              <w:right w:val="single" w:sz="4" w:space="0" w:color="auto"/>
            </w:tcBorders>
            <w:vAlign w:val="center"/>
          </w:tcPr>
          <w:p w14:paraId="0674C852"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140</w:t>
            </w:r>
          </w:p>
        </w:tc>
        <w:tc>
          <w:tcPr>
            <w:tcW w:w="1199" w:type="dxa"/>
            <w:tcBorders>
              <w:top w:val="single" w:sz="4" w:space="0" w:color="auto"/>
              <w:left w:val="single" w:sz="4" w:space="0" w:color="auto"/>
              <w:bottom w:val="single" w:sz="4" w:space="0" w:color="auto"/>
              <w:right w:val="single" w:sz="4" w:space="0" w:color="auto"/>
            </w:tcBorders>
            <w:vAlign w:val="center"/>
          </w:tcPr>
          <w:p w14:paraId="4935B60C"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72</w:t>
            </w:r>
          </w:p>
        </w:tc>
        <w:tc>
          <w:tcPr>
            <w:tcW w:w="1200" w:type="dxa"/>
            <w:tcBorders>
              <w:top w:val="single" w:sz="4" w:space="0" w:color="auto"/>
              <w:left w:val="single" w:sz="4" w:space="0" w:color="auto"/>
              <w:bottom w:val="single" w:sz="4" w:space="0" w:color="auto"/>
              <w:right w:val="single" w:sz="4" w:space="0" w:color="auto"/>
            </w:tcBorders>
            <w:vAlign w:val="center"/>
          </w:tcPr>
          <w:p w14:paraId="2C95D668" w14:textId="77777777" w:rsidR="00EF3A91" w:rsidRPr="001B4CA2" w:rsidRDefault="00EF3A91" w:rsidP="008813C3">
            <w:pPr>
              <w:spacing w:line="276" w:lineRule="auto"/>
              <w:jc w:val="center"/>
              <w:rPr>
                <w:rFonts w:eastAsia="Times New Roman"/>
                <w:sz w:val="18"/>
                <w:szCs w:val="18"/>
                <w:lang w:eastAsia="hr-HR"/>
              </w:rPr>
            </w:pPr>
          </w:p>
        </w:tc>
      </w:tr>
      <w:tr w:rsidR="00EF3A91" w:rsidRPr="001B4CA2" w14:paraId="2B24EB95" w14:textId="77777777" w:rsidTr="00EF3A91">
        <w:trPr>
          <w:trHeight w:val="284"/>
          <w:jc w:val="center"/>
        </w:trPr>
        <w:tc>
          <w:tcPr>
            <w:tcW w:w="1141" w:type="dxa"/>
            <w:tcBorders>
              <w:top w:val="single" w:sz="4" w:space="0" w:color="auto"/>
              <w:left w:val="single" w:sz="4" w:space="0" w:color="auto"/>
              <w:bottom w:val="single" w:sz="4" w:space="0" w:color="auto"/>
              <w:right w:val="single" w:sz="4" w:space="0" w:color="auto"/>
            </w:tcBorders>
            <w:noWrap/>
            <w:vAlign w:val="bottom"/>
          </w:tcPr>
          <w:p w14:paraId="7728C358"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2019.</w:t>
            </w:r>
          </w:p>
        </w:tc>
        <w:tc>
          <w:tcPr>
            <w:tcW w:w="1199" w:type="dxa"/>
            <w:tcBorders>
              <w:top w:val="single" w:sz="4" w:space="0" w:color="auto"/>
              <w:left w:val="single" w:sz="4" w:space="0" w:color="auto"/>
              <w:bottom w:val="single" w:sz="4" w:space="0" w:color="auto"/>
              <w:right w:val="single" w:sz="4" w:space="0" w:color="auto"/>
            </w:tcBorders>
            <w:noWrap/>
            <w:vAlign w:val="center"/>
          </w:tcPr>
          <w:p w14:paraId="71DB09DE"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11</w:t>
            </w:r>
          </w:p>
        </w:tc>
        <w:tc>
          <w:tcPr>
            <w:tcW w:w="1199" w:type="dxa"/>
            <w:tcBorders>
              <w:top w:val="single" w:sz="4" w:space="0" w:color="auto"/>
              <w:left w:val="single" w:sz="4" w:space="0" w:color="auto"/>
              <w:bottom w:val="single" w:sz="4" w:space="0" w:color="auto"/>
              <w:right w:val="single" w:sz="4" w:space="0" w:color="auto"/>
            </w:tcBorders>
            <w:noWrap/>
            <w:vAlign w:val="center"/>
          </w:tcPr>
          <w:p w14:paraId="7B167012"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7</w:t>
            </w:r>
          </w:p>
        </w:tc>
        <w:tc>
          <w:tcPr>
            <w:tcW w:w="1200" w:type="dxa"/>
            <w:tcBorders>
              <w:top w:val="single" w:sz="4" w:space="0" w:color="auto"/>
              <w:left w:val="single" w:sz="4" w:space="0" w:color="auto"/>
              <w:bottom w:val="single" w:sz="4" w:space="0" w:color="auto"/>
              <w:right w:val="single" w:sz="4" w:space="0" w:color="auto"/>
            </w:tcBorders>
            <w:noWrap/>
            <w:vAlign w:val="center"/>
          </w:tcPr>
          <w:p w14:paraId="26D66E6F"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32</w:t>
            </w:r>
          </w:p>
        </w:tc>
        <w:tc>
          <w:tcPr>
            <w:tcW w:w="1199" w:type="dxa"/>
            <w:tcBorders>
              <w:top w:val="single" w:sz="4" w:space="0" w:color="auto"/>
              <w:left w:val="single" w:sz="4" w:space="0" w:color="auto"/>
              <w:bottom w:val="single" w:sz="4" w:space="0" w:color="auto"/>
              <w:right w:val="single" w:sz="4" w:space="0" w:color="auto"/>
            </w:tcBorders>
            <w:vAlign w:val="center"/>
          </w:tcPr>
          <w:p w14:paraId="0B575099"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5</w:t>
            </w:r>
          </w:p>
        </w:tc>
        <w:tc>
          <w:tcPr>
            <w:tcW w:w="1199" w:type="dxa"/>
            <w:tcBorders>
              <w:top w:val="single" w:sz="4" w:space="0" w:color="auto"/>
              <w:left w:val="single" w:sz="4" w:space="0" w:color="auto"/>
              <w:bottom w:val="single" w:sz="4" w:space="0" w:color="auto"/>
              <w:right w:val="single" w:sz="4" w:space="0" w:color="auto"/>
            </w:tcBorders>
            <w:vAlign w:val="center"/>
          </w:tcPr>
          <w:p w14:paraId="2FBBC0DE" w14:textId="77777777" w:rsidR="00EF3A91" w:rsidRPr="001B4CA2" w:rsidRDefault="00EF3A91" w:rsidP="008813C3">
            <w:pPr>
              <w:spacing w:line="276" w:lineRule="auto"/>
              <w:jc w:val="center"/>
              <w:rPr>
                <w:rFonts w:eastAsia="Times New Roman"/>
                <w:sz w:val="18"/>
                <w:szCs w:val="18"/>
                <w:lang w:eastAsia="hr-HR"/>
              </w:rPr>
            </w:pPr>
          </w:p>
        </w:tc>
        <w:tc>
          <w:tcPr>
            <w:tcW w:w="1200" w:type="dxa"/>
            <w:tcBorders>
              <w:top w:val="single" w:sz="4" w:space="0" w:color="auto"/>
              <w:left w:val="single" w:sz="4" w:space="0" w:color="auto"/>
              <w:bottom w:val="single" w:sz="4" w:space="0" w:color="auto"/>
              <w:right w:val="single" w:sz="4" w:space="0" w:color="auto"/>
            </w:tcBorders>
            <w:vAlign w:val="center"/>
          </w:tcPr>
          <w:p w14:paraId="50E2E2D5" w14:textId="77777777" w:rsidR="00EF3A91" w:rsidRPr="001B4CA2" w:rsidRDefault="00EF3A91" w:rsidP="008813C3">
            <w:pPr>
              <w:spacing w:line="276" w:lineRule="auto"/>
              <w:jc w:val="center"/>
              <w:rPr>
                <w:rFonts w:eastAsia="Times New Roman"/>
                <w:sz w:val="18"/>
                <w:szCs w:val="18"/>
                <w:lang w:eastAsia="hr-HR"/>
              </w:rPr>
            </w:pPr>
          </w:p>
        </w:tc>
      </w:tr>
      <w:tr w:rsidR="00EF3A91" w:rsidRPr="001B4CA2" w14:paraId="42F04307" w14:textId="77777777" w:rsidTr="00EF3A91">
        <w:trPr>
          <w:trHeight w:val="284"/>
          <w:jc w:val="center"/>
        </w:trPr>
        <w:tc>
          <w:tcPr>
            <w:tcW w:w="1141" w:type="dxa"/>
            <w:tcBorders>
              <w:top w:val="single" w:sz="4" w:space="0" w:color="auto"/>
              <w:left w:val="single" w:sz="4" w:space="0" w:color="auto"/>
              <w:bottom w:val="single" w:sz="4" w:space="0" w:color="auto"/>
              <w:right w:val="single" w:sz="4" w:space="0" w:color="auto"/>
            </w:tcBorders>
            <w:noWrap/>
            <w:vAlign w:val="bottom"/>
          </w:tcPr>
          <w:p w14:paraId="426E83AD"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2020.</w:t>
            </w:r>
          </w:p>
        </w:tc>
        <w:tc>
          <w:tcPr>
            <w:tcW w:w="1199" w:type="dxa"/>
            <w:tcBorders>
              <w:top w:val="single" w:sz="4" w:space="0" w:color="auto"/>
              <w:left w:val="single" w:sz="4" w:space="0" w:color="auto"/>
              <w:bottom w:val="single" w:sz="4" w:space="0" w:color="auto"/>
              <w:right w:val="single" w:sz="4" w:space="0" w:color="auto"/>
            </w:tcBorders>
            <w:noWrap/>
            <w:vAlign w:val="center"/>
          </w:tcPr>
          <w:p w14:paraId="24BE67CE"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3</w:t>
            </w:r>
          </w:p>
        </w:tc>
        <w:tc>
          <w:tcPr>
            <w:tcW w:w="1199" w:type="dxa"/>
            <w:tcBorders>
              <w:top w:val="single" w:sz="4" w:space="0" w:color="auto"/>
              <w:left w:val="single" w:sz="4" w:space="0" w:color="auto"/>
              <w:bottom w:val="single" w:sz="4" w:space="0" w:color="auto"/>
              <w:right w:val="single" w:sz="4" w:space="0" w:color="auto"/>
            </w:tcBorders>
            <w:noWrap/>
            <w:vAlign w:val="center"/>
          </w:tcPr>
          <w:p w14:paraId="37A10927"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13</w:t>
            </w:r>
          </w:p>
        </w:tc>
        <w:tc>
          <w:tcPr>
            <w:tcW w:w="1200" w:type="dxa"/>
            <w:tcBorders>
              <w:top w:val="single" w:sz="4" w:space="0" w:color="auto"/>
              <w:left w:val="single" w:sz="4" w:space="0" w:color="auto"/>
              <w:bottom w:val="single" w:sz="4" w:space="0" w:color="auto"/>
              <w:right w:val="single" w:sz="4" w:space="0" w:color="auto"/>
            </w:tcBorders>
            <w:noWrap/>
            <w:vAlign w:val="center"/>
          </w:tcPr>
          <w:p w14:paraId="37E8E34D"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74</w:t>
            </w:r>
          </w:p>
        </w:tc>
        <w:tc>
          <w:tcPr>
            <w:tcW w:w="1199" w:type="dxa"/>
            <w:tcBorders>
              <w:top w:val="single" w:sz="4" w:space="0" w:color="auto"/>
              <w:left w:val="single" w:sz="4" w:space="0" w:color="auto"/>
              <w:bottom w:val="single" w:sz="4" w:space="0" w:color="auto"/>
              <w:right w:val="single" w:sz="4" w:space="0" w:color="auto"/>
            </w:tcBorders>
            <w:vAlign w:val="center"/>
          </w:tcPr>
          <w:p w14:paraId="7C64DB68"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116</w:t>
            </w:r>
          </w:p>
        </w:tc>
        <w:tc>
          <w:tcPr>
            <w:tcW w:w="1199" w:type="dxa"/>
            <w:tcBorders>
              <w:top w:val="single" w:sz="4" w:space="0" w:color="auto"/>
              <w:left w:val="single" w:sz="4" w:space="0" w:color="auto"/>
              <w:bottom w:val="single" w:sz="4" w:space="0" w:color="auto"/>
              <w:right w:val="single" w:sz="4" w:space="0" w:color="auto"/>
            </w:tcBorders>
            <w:vAlign w:val="center"/>
          </w:tcPr>
          <w:p w14:paraId="44422E33"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40</w:t>
            </w:r>
          </w:p>
        </w:tc>
        <w:tc>
          <w:tcPr>
            <w:tcW w:w="1200" w:type="dxa"/>
            <w:tcBorders>
              <w:top w:val="single" w:sz="4" w:space="0" w:color="auto"/>
              <w:left w:val="single" w:sz="4" w:space="0" w:color="auto"/>
              <w:bottom w:val="single" w:sz="4" w:space="0" w:color="auto"/>
              <w:right w:val="single" w:sz="4" w:space="0" w:color="auto"/>
            </w:tcBorders>
            <w:vAlign w:val="center"/>
          </w:tcPr>
          <w:p w14:paraId="39F33976"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74</w:t>
            </w:r>
          </w:p>
        </w:tc>
      </w:tr>
      <w:tr w:rsidR="00EF3A91" w:rsidRPr="001B4CA2" w14:paraId="5BE306E7" w14:textId="77777777" w:rsidTr="00EF3A91">
        <w:trPr>
          <w:trHeight w:val="284"/>
          <w:jc w:val="center"/>
        </w:trPr>
        <w:tc>
          <w:tcPr>
            <w:tcW w:w="1141" w:type="dxa"/>
            <w:tcBorders>
              <w:top w:val="single" w:sz="4" w:space="0" w:color="auto"/>
              <w:left w:val="single" w:sz="4" w:space="0" w:color="auto"/>
              <w:bottom w:val="single" w:sz="4" w:space="0" w:color="auto"/>
              <w:right w:val="single" w:sz="4" w:space="0" w:color="auto"/>
            </w:tcBorders>
            <w:noWrap/>
            <w:vAlign w:val="bottom"/>
          </w:tcPr>
          <w:p w14:paraId="1648313F"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2021.</w:t>
            </w:r>
          </w:p>
        </w:tc>
        <w:tc>
          <w:tcPr>
            <w:tcW w:w="1199" w:type="dxa"/>
            <w:tcBorders>
              <w:top w:val="single" w:sz="4" w:space="0" w:color="auto"/>
              <w:left w:val="single" w:sz="4" w:space="0" w:color="auto"/>
              <w:bottom w:val="single" w:sz="4" w:space="0" w:color="auto"/>
              <w:right w:val="single" w:sz="4" w:space="0" w:color="auto"/>
            </w:tcBorders>
            <w:noWrap/>
            <w:vAlign w:val="center"/>
          </w:tcPr>
          <w:p w14:paraId="6A95FF39"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13</w:t>
            </w:r>
          </w:p>
        </w:tc>
        <w:tc>
          <w:tcPr>
            <w:tcW w:w="1199" w:type="dxa"/>
            <w:tcBorders>
              <w:top w:val="single" w:sz="4" w:space="0" w:color="auto"/>
              <w:left w:val="single" w:sz="4" w:space="0" w:color="auto"/>
              <w:bottom w:val="single" w:sz="4" w:space="0" w:color="auto"/>
              <w:right w:val="single" w:sz="4" w:space="0" w:color="auto"/>
            </w:tcBorders>
            <w:noWrap/>
            <w:vAlign w:val="center"/>
          </w:tcPr>
          <w:p w14:paraId="176D1689"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29</w:t>
            </w:r>
          </w:p>
        </w:tc>
        <w:tc>
          <w:tcPr>
            <w:tcW w:w="1200" w:type="dxa"/>
            <w:tcBorders>
              <w:top w:val="single" w:sz="4" w:space="0" w:color="auto"/>
              <w:left w:val="single" w:sz="4" w:space="0" w:color="auto"/>
              <w:bottom w:val="single" w:sz="4" w:space="0" w:color="auto"/>
              <w:right w:val="single" w:sz="4" w:space="0" w:color="auto"/>
            </w:tcBorders>
            <w:noWrap/>
            <w:vAlign w:val="center"/>
          </w:tcPr>
          <w:p w14:paraId="4F063DAA"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77</w:t>
            </w:r>
          </w:p>
        </w:tc>
        <w:tc>
          <w:tcPr>
            <w:tcW w:w="1199" w:type="dxa"/>
            <w:tcBorders>
              <w:top w:val="single" w:sz="4" w:space="0" w:color="auto"/>
              <w:left w:val="single" w:sz="4" w:space="0" w:color="auto"/>
              <w:bottom w:val="single" w:sz="4" w:space="0" w:color="auto"/>
              <w:right w:val="single" w:sz="4" w:space="0" w:color="auto"/>
            </w:tcBorders>
            <w:vAlign w:val="center"/>
          </w:tcPr>
          <w:p w14:paraId="3D788FEE"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135</w:t>
            </w:r>
          </w:p>
        </w:tc>
        <w:tc>
          <w:tcPr>
            <w:tcW w:w="1199" w:type="dxa"/>
            <w:tcBorders>
              <w:top w:val="single" w:sz="4" w:space="0" w:color="auto"/>
              <w:left w:val="single" w:sz="4" w:space="0" w:color="auto"/>
              <w:bottom w:val="single" w:sz="4" w:space="0" w:color="auto"/>
              <w:right w:val="single" w:sz="4" w:space="0" w:color="auto"/>
            </w:tcBorders>
            <w:vAlign w:val="center"/>
          </w:tcPr>
          <w:p w14:paraId="553669E3"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65</w:t>
            </w:r>
          </w:p>
        </w:tc>
        <w:tc>
          <w:tcPr>
            <w:tcW w:w="1200" w:type="dxa"/>
            <w:tcBorders>
              <w:top w:val="single" w:sz="4" w:space="0" w:color="auto"/>
              <w:left w:val="single" w:sz="4" w:space="0" w:color="auto"/>
              <w:bottom w:val="single" w:sz="4" w:space="0" w:color="auto"/>
              <w:right w:val="single" w:sz="4" w:space="0" w:color="auto"/>
            </w:tcBorders>
            <w:vAlign w:val="center"/>
          </w:tcPr>
          <w:p w14:paraId="23890DCC"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20</w:t>
            </w:r>
          </w:p>
        </w:tc>
      </w:tr>
      <w:tr w:rsidR="00EF3A91" w:rsidRPr="001B4CA2" w14:paraId="7B091451" w14:textId="77777777" w:rsidTr="00EF3A91">
        <w:trPr>
          <w:trHeight w:val="284"/>
          <w:jc w:val="center"/>
        </w:trPr>
        <w:tc>
          <w:tcPr>
            <w:tcW w:w="1141" w:type="dxa"/>
            <w:tcBorders>
              <w:top w:val="single" w:sz="4" w:space="0" w:color="auto"/>
              <w:left w:val="single" w:sz="4" w:space="0" w:color="auto"/>
              <w:bottom w:val="single" w:sz="4" w:space="0" w:color="auto"/>
              <w:right w:val="single" w:sz="4" w:space="0" w:color="auto"/>
            </w:tcBorders>
            <w:noWrap/>
            <w:vAlign w:val="bottom"/>
          </w:tcPr>
          <w:p w14:paraId="2F8CA3CF"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2022.</w:t>
            </w:r>
          </w:p>
        </w:tc>
        <w:tc>
          <w:tcPr>
            <w:tcW w:w="1199" w:type="dxa"/>
            <w:tcBorders>
              <w:top w:val="single" w:sz="4" w:space="0" w:color="auto"/>
              <w:left w:val="single" w:sz="4" w:space="0" w:color="auto"/>
              <w:bottom w:val="single" w:sz="4" w:space="0" w:color="auto"/>
              <w:right w:val="single" w:sz="4" w:space="0" w:color="auto"/>
            </w:tcBorders>
            <w:noWrap/>
            <w:vAlign w:val="center"/>
          </w:tcPr>
          <w:p w14:paraId="41751883"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11</w:t>
            </w:r>
          </w:p>
        </w:tc>
        <w:tc>
          <w:tcPr>
            <w:tcW w:w="1199" w:type="dxa"/>
            <w:tcBorders>
              <w:top w:val="single" w:sz="4" w:space="0" w:color="auto"/>
              <w:left w:val="single" w:sz="4" w:space="0" w:color="auto"/>
              <w:bottom w:val="single" w:sz="4" w:space="0" w:color="auto"/>
              <w:right w:val="single" w:sz="4" w:space="0" w:color="auto"/>
            </w:tcBorders>
            <w:noWrap/>
            <w:vAlign w:val="center"/>
          </w:tcPr>
          <w:p w14:paraId="443A2B09"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41</w:t>
            </w:r>
          </w:p>
        </w:tc>
        <w:tc>
          <w:tcPr>
            <w:tcW w:w="1200" w:type="dxa"/>
            <w:tcBorders>
              <w:top w:val="single" w:sz="4" w:space="0" w:color="auto"/>
              <w:left w:val="single" w:sz="4" w:space="0" w:color="auto"/>
              <w:bottom w:val="single" w:sz="4" w:space="0" w:color="auto"/>
              <w:right w:val="single" w:sz="4" w:space="0" w:color="auto"/>
            </w:tcBorders>
            <w:noWrap/>
            <w:vAlign w:val="center"/>
          </w:tcPr>
          <w:p w14:paraId="0691E31F"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70</w:t>
            </w:r>
          </w:p>
        </w:tc>
        <w:tc>
          <w:tcPr>
            <w:tcW w:w="1199" w:type="dxa"/>
            <w:tcBorders>
              <w:top w:val="single" w:sz="4" w:space="0" w:color="auto"/>
              <w:left w:val="single" w:sz="4" w:space="0" w:color="auto"/>
              <w:bottom w:val="single" w:sz="4" w:space="0" w:color="auto"/>
              <w:right w:val="single" w:sz="4" w:space="0" w:color="auto"/>
            </w:tcBorders>
            <w:vAlign w:val="center"/>
          </w:tcPr>
          <w:p w14:paraId="25C2D07D"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140</w:t>
            </w:r>
          </w:p>
        </w:tc>
        <w:tc>
          <w:tcPr>
            <w:tcW w:w="1199" w:type="dxa"/>
            <w:tcBorders>
              <w:top w:val="single" w:sz="4" w:space="0" w:color="auto"/>
              <w:left w:val="single" w:sz="4" w:space="0" w:color="auto"/>
              <w:bottom w:val="single" w:sz="4" w:space="0" w:color="auto"/>
              <w:right w:val="single" w:sz="4" w:space="0" w:color="auto"/>
            </w:tcBorders>
            <w:vAlign w:val="center"/>
          </w:tcPr>
          <w:p w14:paraId="3DC5160A"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62</w:t>
            </w:r>
          </w:p>
        </w:tc>
        <w:tc>
          <w:tcPr>
            <w:tcW w:w="1200" w:type="dxa"/>
            <w:tcBorders>
              <w:top w:val="single" w:sz="4" w:space="0" w:color="auto"/>
              <w:left w:val="single" w:sz="4" w:space="0" w:color="auto"/>
              <w:bottom w:val="single" w:sz="4" w:space="0" w:color="auto"/>
              <w:right w:val="single" w:sz="4" w:space="0" w:color="auto"/>
            </w:tcBorders>
            <w:vAlign w:val="center"/>
          </w:tcPr>
          <w:p w14:paraId="4CEB542D" w14:textId="77777777" w:rsidR="00EF3A91" w:rsidRPr="001B4CA2" w:rsidRDefault="00EF3A91" w:rsidP="008813C3">
            <w:pPr>
              <w:spacing w:line="276" w:lineRule="auto"/>
              <w:jc w:val="center"/>
              <w:rPr>
                <w:rFonts w:eastAsia="Times New Roman"/>
                <w:sz w:val="18"/>
                <w:szCs w:val="18"/>
                <w:lang w:eastAsia="hr-HR"/>
              </w:rPr>
            </w:pPr>
            <w:r w:rsidRPr="001B4CA2">
              <w:rPr>
                <w:rFonts w:eastAsia="Times New Roman"/>
                <w:sz w:val="18"/>
                <w:szCs w:val="18"/>
                <w:lang w:eastAsia="hr-HR"/>
              </w:rPr>
              <w:t>165</w:t>
            </w:r>
          </w:p>
        </w:tc>
      </w:tr>
    </w:tbl>
    <w:p w14:paraId="1169B609" w14:textId="7DDFE07E" w:rsidR="00EF3A91" w:rsidRPr="001B4CA2" w:rsidRDefault="00EF3A91" w:rsidP="00EF3A91">
      <w:pPr>
        <w:rPr>
          <w:highlight w:val="yellow"/>
        </w:rPr>
      </w:pPr>
    </w:p>
    <w:p w14:paraId="1F792C8C" w14:textId="42013ED3" w:rsidR="00EF3A91" w:rsidRPr="001B4CA2" w:rsidRDefault="00EF3A91" w:rsidP="00EF3A91">
      <w:pPr>
        <w:ind w:firstLine="708"/>
      </w:pPr>
      <w:r w:rsidRPr="001B4CA2">
        <w:t xml:space="preserve">Istrage </w:t>
      </w:r>
      <w:r w:rsidR="001D6C60" w:rsidRPr="001B4CA2">
        <w:t xml:space="preserve">koje su dovršene u izvještajnom razdoblju, a </w:t>
      </w:r>
      <w:r w:rsidRPr="001B4CA2">
        <w:t xml:space="preserve">koje </w:t>
      </w:r>
      <w:r w:rsidR="001D6C60" w:rsidRPr="001B4CA2">
        <w:t xml:space="preserve">su </w:t>
      </w:r>
      <w:r w:rsidRPr="001B4CA2">
        <w:t>traj</w:t>
      </w:r>
      <w:r w:rsidR="001D6C60" w:rsidRPr="001B4CA2">
        <w:t>ale</w:t>
      </w:r>
      <w:r w:rsidRPr="001B4CA2">
        <w:t xml:space="preserve"> dulje od 18 mjeseci u naravi čine 6 kaznenih predmeta u kojima je vrijeme trajanja istrage determinirano opsegom i složenošću predmeta te potrebom provođenja kombiniranih financijsko-knjigovodstvenih, građevinskih i strojarskih vještačenja. Ujedno </w:t>
      </w:r>
      <w:r w:rsidR="00D24E74" w:rsidRPr="001B4CA2">
        <w:t xml:space="preserve">je </w:t>
      </w:r>
      <w:r w:rsidRPr="001B4CA2">
        <w:t>tehnološki napredak na području komunikacija rezultirao povećanim udjelom digitalnih dokaza u dokaznoj građi, a što se reflektira na vrijeme trajanja istrage kroz vrijeme potrebno za prikupljanje i analizu predmetnih dokaza.</w:t>
      </w:r>
    </w:p>
    <w:p w14:paraId="06AEAFF5" w14:textId="77777777" w:rsidR="00EF3A91" w:rsidRPr="001B4CA2" w:rsidRDefault="00EF3A91" w:rsidP="00EF3A91">
      <w:pPr>
        <w:ind w:firstLine="708"/>
        <w:rPr>
          <w:highlight w:val="yellow"/>
        </w:rPr>
      </w:pPr>
    </w:p>
    <w:p w14:paraId="76A10D36" w14:textId="59C70DA3" w:rsidR="00EF3A91" w:rsidRPr="001B4CA2" w:rsidRDefault="00EF3A91" w:rsidP="00EF3A91">
      <w:r w:rsidRPr="001B4CA2">
        <w:tab/>
        <w:t xml:space="preserve">Trajanje istraga u predmetima iz stvarne nadležnosti Ureda za suzbijanje korupcije i organiziranog kriminaliteta </w:t>
      </w:r>
      <w:r w:rsidR="00D24E74">
        <w:t xml:space="preserve">s </w:t>
      </w:r>
      <w:r w:rsidRPr="001B4CA2">
        <w:t xml:space="preserve">obzirom na strukturu i prirodu kriminaliteta uzrokovano je složenošću predmeta koja se očituje u vrsti i obimu kriminalne aktivnosti, složenosti i obimu dokazne građe te složenosti (utvrđenja) činjeničnog stanja. Poseban </w:t>
      </w:r>
      <w:r w:rsidR="00D24E74">
        <w:t>učinak</w:t>
      </w:r>
      <w:r w:rsidRPr="001B4CA2">
        <w:t xml:space="preserve"> na trajanje istraga ima i okolnost provođenja financijskih istraga,</w:t>
      </w:r>
      <w:r w:rsidR="00FD08E9">
        <w:t xml:space="preserve"> s </w:t>
      </w:r>
      <w:r w:rsidRPr="001B4CA2">
        <w:t xml:space="preserve">učinkom na mjere osiguranja oduzimanja imovinske koristi i vrijednost oduzete imovine u kaznenom postupku. </w:t>
      </w:r>
    </w:p>
    <w:p w14:paraId="1B84CE33" w14:textId="77777777" w:rsidR="00EF3A91" w:rsidRPr="001B4CA2" w:rsidRDefault="00EF3A91" w:rsidP="00EF3A91">
      <w:r w:rsidRPr="001B4CA2">
        <w:tab/>
      </w:r>
    </w:p>
    <w:p w14:paraId="52961D07" w14:textId="77777777" w:rsidR="00D3013F" w:rsidRPr="001B4CA2" w:rsidRDefault="00D3013F" w:rsidP="00837DAF">
      <w:pPr>
        <w:rPr>
          <w:rFonts w:eastAsia="Calibri"/>
        </w:rPr>
      </w:pPr>
    </w:p>
    <w:p w14:paraId="25D590B4" w14:textId="77777777" w:rsidR="00B35DA1" w:rsidRPr="001B4CA2" w:rsidRDefault="00B35DA1" w:rsidP="00837DAF">
      <w:pPr>
        <w:rPr>
          <w:rFonts w:eastAsia="Calibri"/>
        </w:rPr>
      </w:pPr>
    </w:p>
    <w:p w14:paraId="0D1D04F6" w14:textId="41B8514A" w:rsidR="00446555" w:rsidRPr="001B4CA2" w:rsidRDefault="00446555">
      <w:pPr>
        <w:spacing w:after="200" w:line="276" w:lineRule="auto"/>
        <w:jc w:val="left"/>
        <w:rPr>
          <w:rFonts w:eastAsia="Calibri"/>
        </w:rPr>
      </w:pPr>
      <w:r w:rsidRPr="001B4CA2">
        <w:rPr>
          <w:rFonts w:eastAsia="Calibri"/>
        </w:rPr>
        <w:br w:type="page"/>
      </w:r>
    </w:p>
    <w:p w14:paraId="1D3BC4A9" w14:textId="77777777" w:rsidR="00BB4D48" w:rsidRPr="001B4CA2" w:rsidRDefault="00BB4D48" w:rsidP="00E6050A">
      <w:pPr>
        <w:pStyle w:val="Naslov3"/>
        <w:tabs>
          <w:tab w:val="left" w:pos="993"/>
        </w:tabs>
        <w:rPr>
          <w:rFonts w:ascii="Arial" w:hAnsi="Arial" w:cs="Arial"/>
        </w:rPr>
      </w:pPr>
      <w:bookmarkStart w:id="130" w:name="_Toc133394360"/>
      <w:r w:rsidRPr="001B4CA2">
        <w:rPr>
          <w:rFonts w:ascii="Arial" w:hAnsi="Arial" w:cs="Arial"/>
        </w:rPr>
        <w:lastRenderedPageBreak/>
        <w:t>Optuženja i od</w:t>
      </w:r>
      <w:r w:rsidR="00A60F77" w:rsidRPr="001B4CA2">
        <w:rPr>
          <w:rFonts w:ascii="Arial" w:hAnsi="Arial" w:cs="Arial"/>
        </w:rPr>
        <w:t>luke sudova povodom optuženja</w:t>
      </w:r>
      <w:bookmarkEnd w:id="130"/>
    </w:p>
    <w:p w14:paraId="7BE95A5B" w14:textId="77777777" w:rsidR="00B110F9" w:rsidRPr="001B4CA2" w:rsidRDefault="00B110F9" w:rsidP="007C50CA"/>
    <w:p w14:paraId="3514DFC3" w14:textId="5FF708BA" w:rsidR="0033501D" w:rsidRPr="00D57807" w:rsidRDefault="00A7409C" w:rsidP="006D09CA">
      <w:pPr>
        <w:pStyle w:val="Naslov4"/>
        <w:tabs>
          <w:tab w:val="left" w:pos="426"/>
          <w:tab w:val="left" w:pos="1134"/>
        </w:tabs>
        <w:rPr>
          <w:rFonts w:ascii="Arial" w:hAnsi="Arial" w:cs="Arial"/>
        </w:rPr>
      </w:pPr>
      <w:bookmarkStart w:id="131" w:name="_Toc133394361"/>
      <w:r w:rsidRPr="001B4CA2">
        <w:rPr>
          <w:rFonts w:ascii="Arial" w:hAnsi="Arial" w:cs="Arial"/>
        </w:rPr>
        <w:t>Optužnice u radu Ureda</w:t>
      </w:r>
      <w:bookmarkEnd w:id="131"/>
    </w:p>
    <w:tbl>
      <w:tblPr>
        <w:tblpPr w:leftFromText="180" w:rightFromText="180" w:vertAnchor="text" w:horzAnchor="margin" w:tblpXSpec="center" w:tblpY="196"/>
        <w:tblW w:w="8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60"/>
        <w:gridCol w:w="878"/>
        <w:gridCol w:w="964"/>
        <w:gridCol w:w="850"/>
        <w:gridCol w:w="851"/>
        <w:gridCol w:w="992"/>
        <w:gridCol w:w="992"/>
        <w:gridCol w:w="1134"/>
        <w:gridCol w:w="1276"/>
      </w:tblGrid>
      <w:tr w:rsidR="006D09CA" w:rsidRPr="001B4CA2" w14:paraId="7D9569F0" w14:textId="77777777" w:rsidTr="00F82676">
        <w:trPr>
          <w:trHeight w:val="381"/>
        </w:trPr>
        <w:tc>
          <w:tcPr>
            <w:tcW w:w="960" w:type="dxa"/>
            <w:vMerge w:val="restart"/>
            <w:shd w:val="clear" w:color="000000" w:fill="99CCFF"/>
            <w:noWrap/>
            <w:vAlign w:val="center"/>
            <w:hideMark/>
          </w:tcPr>
          <w:p w14:paraId="6C111DC2" w14:textId="77777777" w:rsidR="00057B9D" w:rsidRPr="001B4CA2" w:rsidRDefault="00057B9D" w:rsidP="00057B9D">
            <w:pPr>
              <w:jc w:val="center"/>
              <w:rPr>
                <w:rFonts w:eastAsia="Times New Roman"/>
                <w:b/>
                <w:bCs/>
                <w:color w:val="000000"/>
                <w:sz w:val="18"/>
                <w:szCs w:val="18"/>
                <w:lang w:eastAsia="hr-HR"/>
              </w:rPr>
            </w:pPr>
            <w:r w:rsidRPr="001B4CA2">
              <w:rPr>
                <w:rFonts w:eastAsia="Times New Roman"/>
                <w:b/>
                <w:bCs/>
                <w:color w:val="000000"/>
                <w:sz w:val="18"/>
                <w:szCs w:val="18"/>
                <w:lang w:eastAsia="hr-HR"/>
              </w:rPr>
              <w:t>Godina</w:t>
            </w:r>
          </w:p>
        </w:tc>
        <w:tc>
          <w:tcPr>
            <w:tcW w:w="878" w:type="dxa"/>
            <w:vMerge w:val="restart"/>
            <w:shd w:val="clear" w:color="000000" w:fill="99CCFF"/>
            <w:textDirection w:val="btLr"/>
            <w:vAlign w:val="center"/>
            <w:hideMark/>
          </w:tcPr>
          <w:p w14:paraId="67AF7C0F" w14:textId="77777777" w:rsidR="00057B9D" w:rsidRPr="001B4CA2" w:rsidRDefault="00057B9D" w:rsidP="003F1CB6">
            <w:pPr>
              <w:ind w:left="113" w:right="113"/>
              <w:jc w:val="left"/>
              <w:rPr>
                <w:rFonts w:eastAsia="Times New Roman"/>
                <w:b/>
                <w:bCs/>
                <w:color w:val="000000"/>
                <w:sz w:val="18"/>
                <w:szCs w:val="18"/>
                <w:lang w:eastAsia="hr-HR"/>
              </w:rPr>
            </w:pPr>
            <w:r w:rsidRPr="001B4CA2">
              <w:rPr>
                <w:rFonts w:eastAsia="Times New Roman"/>
                <w:b/>
                <w:bCs/>
                <w:color w:val="000000"/>
                <w:sz w:val="18"/>
                <w:szCs w:val="18"/>
                <w:lang w:eastAsia="hr-HR"/>
              </w:rPr>
              <w:t>Ostalo u radu pred sudom</w:t>
            </w:r>
          </w:p>
        </w:tc>
        <w:tc>
          <w:tcPr>
            <w:tcW w:w="964" w:type="dxa"/>
            <w:vMerge w:val="restart"/>
            <w:shd w:val="clear" w:color="000000" w:fill="99CCFF"/>
            <w:textDirection w:val="btLr"/>
            <w:vAlign w:val="center"/>
            <w:hideMark/>
          </w:tcPr>
          <w:p w14:paraId="52372A88" w14:textId="77777777" w:rsidR="00057B9D" w:rsidRPr="001B4CA2" w:rsidRDefault="00057B9D" w:rsidP="003F1CB6">
            <w:pPr>
              <w:ind w:left="113" w:right="113"/>
              <w:jc w:val="left"/>
              <w:rPr>
                <w:rFonts w:eastAsia="Times New Roman"/>
                <w:b/>
                <w:bCs/>
                <w:color w:val="000000"/>
                <w:sz w:val="18"/>
                <w:szCs w:val="18"/>
                <w:lang w:eastAsia="hr-HR"/>
              </w:rPr>
            </w:pPr>
            <w:r w:rsidRPr="001B4CA2">
              <w:rPr>
                <w:rFonts w:eastAsia="Times New Roman"/>
                <w:b/>
                <w:bCs/>
                <w:color w:val="000000"/>
                <w:sz w:val="18"/>
                <w:szCs w:val="18"/>
                <w:lang w:eastAsia="hr-HR"/>
              </w:rPr>
              <w:t>Od toga pred optužnim vijećem</w:t>
            </w:r>
          </w:p>
        </w:tc>
        <w:tc>
          <w:tcPr>
            <w:tcW w:w="850" w:type="dxa"/>
            <w:vMerge w:val="restart"/>
            <w:shd w:val="clear" w:color="000000" w:fill="99CCFF"/>
            <w:textDirection w:val="btLr"/>
            <w:vAlign w:val="center"/>
            <w:hideMark/>
          </w:tcPr>
          <w:p w14:paraId="29679081" w14:textId="15A1FC29" w:rsidR="00057B9D" w:rsidRPr="001B4CA2" w:rsidRDefault="00057B9D" w:rsidP="003F1CB6">
            <w:pPr>
              <w:ind w:left="113" w:right="113"/>
              <w:jc w:val="left"/>
              <w:rPr>
                <w:rFonts w:eastAsia="Times New Roman"/>
                <w:b/>
                <w:bCs/>
                <w:color w:val="000000"/>
                <w:sz w:val="18"/>
                <w:szCs w:val="18"/>
                <w:lang w:eastAsia="hr-HR"/>
              </w:rPr>
            </w:pPr>
            <w:r w:rsidRPr="001B4CA2">
              <w:rPr>
                <w:rFonts w:eastAsia="Times New Roman"/>
                <w:b/>
                <w:bCs/>
                <w:color w:val="000000"/>
                <w:sz w:val="18"/>
                <w:szCs w:val="18"/>
                <w:lang w:eastAsia="hr-HR"/>
              </w:rPr>
              <w:t>Pred sud</w:t>
            </w:r>
            <w:r w:rsidR="000D3E8C" w:rsidRPr="001B4CA2">
              <w:rPr>
                <w:rFonts w:eastAsia="Times New Roman"/>
                <w:b/>
                <w:bCs/>
                <w:color w:val="000000"/>
                <w:sz w:val="18"/>
                <w:szCs w:val="18"/>
                <w:lang w:eastAsia="hr-HR"/>
              </w:rPr>
              <w:t>om</w:t>
            </w:r>
            <w:r w:rsidRPr="001B4CA2">
              <w:rPr>
                <w:rFonts w:eastAsia="Times New Roman"/>
                <w:b/>
                <w:bCs/>
                <w:color w:val="000000"/>
                <w:sz w:val="18"/>
                <w:szCs w:val="18"/>
                <w:lang w:eastAsia="hr-HR"/>
              </w:rPr>
              <w:t xml:space="preserve"> nakon </w:t>
            </w:r>
            <w:proofErr w:type="spellStart"/>
            <w:r w:rsidRPr="001B4CA2">
              <w:rPr>
                <w:rFonts w:eastAsia="Times New Roman"/>
                <w:b/>
                <w:bCs/>
                <w:color w:val="000000"/>
                <w:sz w:val="18"/>
                <w:szCs w:val="18"/>
                <w:lang w:eastAsia="hr-HR"/>
              </w:rPr>
              <w:t>ukidne</w:t>
            </w:r>
            <w:proofErr w:type="spellEnd"/>
            <w:r w:rsidRPr="001B4CA2">
              <w:rPr>
                <w:rFonts w:eastAsia="Times New Roman"/>
                <w:b/>
                <w:bCs/>
                <w:color w:val="000000"/>
                <w:sz w:val="18"/>
                <w:szCs w:val="18"/>
                <w:lang w:eastAsia="hr-HR"/>
              </w:rPr>
              <w:t xml:space="preserve"> odluke</w:t>
            </w:r>
          </w:p>
        </w:tc>
        <w:tc>
          <w:tcPr>
            <w:tcW w:w="3969" w:type="dxa"/>
            <w:gridSpan w:val="4"/>
            <w:shd w:val="clear" w:color="000000" w:fill="99CCFF"/>
            <w:vAlign w:val="center"/>
            <w:hideMark/>
          </w:tcPr>
          <w:p w14:paraId="051F6A53" w14:textId="77777777" w:rsidR="00057B9D" w:rsidRPr="001B4CA2" w:rsidRDefault="00057B9D" w:rsidP="008508CE">
            <w:pPr>
              <w:jc w:val="center"/>
              <w:rPr>
                <w:rFonts w:eastAsia="Times New Roman"/>
                <w:b/>
                <w:bCs/>
                <w:color w:val="000000"/>
                <w:sz w:val="18"/>
                <w:szCs w:val="18"/>
                <w:lang w:eastAsia="hr-HR"/>
              </w:rPr>
            </w:pPr>
            <w:r w:rsidRPr="001B4CA2">
              <w:rPr>
                <w:rFonts w:eastAsia="Times New Roman"/>
                <w:b/>
                <w:bCs/>
                <w:color w:val="000000"/>
                <w:sz w:val="18"/>
                <w:szCs w:val="18"/>
                <w:lang w:eastAsia="hr-HR"/>
              </w:rPr>
              <w:t>Odluke DO – optužnice</w:t>
            </w:r>
          </w:p>
        </w:tc>
        <w:tc>
          <w:tcPr>
            <w:tcW w:w="1276" w:type="dxa"/>
            <w:vMerge w:val="restart"/>
            <w:shd w:val="clear" w:color="000000" w:fill="99CCFF"/>
            <w:textDirection w:val="btLr"/>
            <w:vAlign w:val="center"/>
            <w:hideMark/>
          </w:tcPr>
          <w:p w14:paraId="213EB43E" w14:textId="77777777" w:rsidR="00057B9D" w:rsidRPr="001B4CA2" w:rsidRDefault="00057B9D" w:rsidP="003F1CB6">
            <w:pPr>
              <w:ind w:left="113" w:right="113"/>
              <w:jc w:val="left"/>
              <w:rPr>
                <w:rFonts w:eastAsia="Times New Roman"/>
                <w:b/>
                <w:bCs/>
                <w:color w:val="000000"/>
                <w:sz w:val="18"/>
                <w:szCs w:val="18"/>
                <w:lang w:eastAsia="hr-HR"/>
              </w:rPr>
            </w:pPr>
            <w:r w:rsidRPr="001B4CA2">
              <w:rPr>
                <w:rFonts w:eastAsia="Times New Roman"/>
                <w:b/>
                <w:bCs/>
                <w:color w:val="000000"/>
                <w:sz w:val="18"/>
                <w:szCs w:val="18"/>
                <w:lang w:eastAsia="hr-HR"/>
              </w:rPr>
              <w:t>Ukupno optužnica u radu</w:t>
            </w:r>
          </w:p>
        </w:tc>
      </w:tr>
      <w:tr w:rsidR="003F1CB6" w:rsidRPr="001B4CA2" w14:paraId="061F3184" w14:textId="77777777" w:rsidTr="00F82676">
        <w:trPr>
          <w:cantSplit/>
          <w:trHeight w:val="1453"/>
        </w:trPr>
        <w:tc>
          <w:tcPr>
            <w:tcW w:w="960" w:type="dxa"/>
            <w:vMerge/>
            <w:vAlign w:val="center"/>
            <w:hideMark/>
          </w:tcPr>
          <w:p w14:paraId="680E1DF6" w14:textId="77777777" w:rsidR="00057B9D" w:rsidRPr="001B4CA2" w:rsidRDefault="00057B9D" w:rsidP="00057B9D">
            <w:pPr>
              <w:jc w:val="left"/>
              <w:rPr>
                <w:rFonts w:eastAsia="Times New Roman"/>
                <w:b/>
                <w:bCs/>
                <w:color w:val="000000"/>
                <w:lang w:eastAsia="hr-HR"/>
              </w:rPr>
            </w:pPr>
          </w:p>
        </w:tc>
        <w:tc>
          <w:tcPr>
            <w:tcW w:w="878" w:type="dxa"/>
            <w:vMerge/>
            <w:vAlign w:val="center"/>
            <w:hideMark/>
          </w:tcPr>
          <w:p w14:paraId="00A0574A" w14:textId="77777777" w:rsidR="00057B9D" w:rsidRPr="001B4CA2" w:rsidRDefault="00057B9D" w:rsidP="00057B9D">
            <w:pPr>
              <w:jc w:val="left"/>
              <w:rPr>
                <w:rFonts w:eastAsia="Times New Roman"/>
                <w:b/>
                <w:bCs/>
                <w:color w:val="000000"/>
                <w:lang w:eastAsia="hr-HR"/>
              </w:rPr>
            </w:pPr>
          </w:p>
        </w:tc>
        <w:tc>
          <w:tcPr>
            <w:tcW w:w="964" w:type="dxa"/>
            <w:vMerge/>
            <w:vAlign w:val="center"/>
            <w:hideMark/>
          </w:tcPr>
          <w:p w14:paraId="22415B18" w14:textId="77777777" w:rsidR="00057B9D" w:rsidRPr="001B4CA2" w:rsidRDefault="00057B9D" w:rsidP="00057B9D">
            <w:pPr>
              <w:jc w:val="left"/>
              <w:rPr>
                <w:rFonts w:eastAsia="Times New Roman"/>
                <w:b/>
                <w:bCs/>
                <w:color w:val="000000"/>
                <w:lang w:eastAsia="hr-HR"/>
              </w:rPr>
            </w:pPr>
          </w:p>
        </w:tc>
        <w:tc>
          <w:tcPr>
            <w:tcW w:w="850" w:type="dxa"/>
            <w:vMerge/>
            <w:vAlign w:val="center"/>
            <w:hideMark/>
          </w:tcPr>
          <w:p w14:paraId="40507DD0" w14:textId="77777777" w:rsidR="00057B9D" w:rsidRPr="001B4CA2" w:rsidRDefault="00057B9D" w:rsidP="00057B9D">
            <w:pPr>
              <w:jc w:val="left"/>
              <w:rPr>
                <w:rFonts w:eastAsia="Times New Roman"/>
                <w:b/>
                <w:bCs/>
                <w:color w:val="000000"/>
                <w:lang w:eastAsia="hr-HR"/>
              </w:rPr>
            </w:pPr>
          </w:p>
        </w:tc>
        <w:tc>
          <w:tcPr>
            <w:tcW w:w="851" w:type="dxa"/>
            <w:shd w:val="clear" w:color="000000" w:fill="99CCFF"/>
            <w:textDirection w:val="btLr"/>
            <w:vAlign w:val="center"/>
            <w:hideMark/>
          </w:tcPr>
          <w:p w14:paraId="6AF76E96" w14:textId="77777777" w:rsidR="00057B9D" w:rsidRPr="001B4CA2" w:rsidRDefault="00057B9D" w:rsidP="003F1CB6">
            <w:pPr>
              <w:ind w:left="113" w:right="113"/>
              <w:jc w:val="left"/>
              <w:rPr>
                <w:rFonts w:eastAsia="Times New Roman"/>
                <w:b/>
                <w:bCs/>
                <w:color w:val="000000"/>
                <w:sz w:val="18"/>
                <w:szCs w:val="18"/>
                <w:lang w:eastAsia="hr-HR"/>
              </w:rPr>
            </w:pPr>
            <w:r w:rsidRPr="001B4CA2">
              <w:rPr>
                <w:rFonts w:eastAsia="Times New Roman"/>
                <w:b/>
                <w:bCs/>
                <w:color w:val="000000"/>
                <w:sz w:val="18"/>
                <w:szCs w:val="18"/>
                <w:lang w:eastAsia="hr-HR"/>
              </w:rPr>
              <w:t>Neposredna optužnica</w:t>
            </w:r>
          </w:p>
        </w:tc>
        <w:tc>
          <w:tcPr>
            <w:tcW w:w="992" w:type="dxa"/>
            <w:shd w:val="clear" w:color="000000" w:fill="99CCFF"/>
            <w:textDirection w:val="btLr"/>
            <w:vAlign w:val="center"/>
            <w:hideMark/>
          </w:tcPr>
          <w:p w14:paraId="315A66CE" w14:textId="04B61440" w:rsidR="00057B9D" w:rsidRPr="001B4CA2" w:rsidRDefault="00057B9D" w:rsidP="003F1CB6">
            <w:pPr>
              <w:ind w:left="113" w:right="113"/>
              <w:jc w:val="left"/>
              <w:rPr>
                <w:rFonts w:eastAsia="Times New Roman"/>
                <w:b/>
                <w:bCs/>
                <w:color w:val="000000"/>
                <w:sz w:val="18"/>
                <w:szCs w:val="18"/>
                <w:lang w:eastAsia="hr-HR"/>
              </w:rPr>
            </w:pPr>
            <w:r w:rsidRPr="001B4CA2">
              <w:rPr>
                <w:rFonts w:eastAsia="Times New Roman"/>
                <w:b/>
                <w:bCs/>
                <w:color w:val="000000"/>
                <w:sz w:val="18"/>
                <w:szCs w:val="18"/>
                <w:lang w:eastAsia="hr-HR"/>
              </w:rPr>
              <w:t>Optužnica s kaznenim nalogom</w:t>
            </w:r>
          </w:p>
        </w:tc>
        <w:tc>
          <w:tcPr>
            <w:tcW w:w="992" w:type="dxa"/>
            <w:shd w:val="clear" w:color="000000" w:fill="99CCFF"/>
            <w:textDirection w:val="btLr"/>
            <w:vAlign w:val="center"/>
            <w:hideMark/>
          </w:tcPr>
          <w:p w14:paraId="7426BF7B" w14:textId="77777777" w:rsidR="00057B9D" w:rsidRPr="001B4CA2" w:rsidRDefault="00057B9D" w:rsidP="003F1CB6">
            <w:pPr>
              <w:ind w:left="113" w:right="113"/>
              <w:jc w:val="left"/>
              <w:rPr>
                <w:rFonts w:eastAsia="Times New Roman"/>
                <w:b/>
                <w:bCs/>
                <w:color w:val="000000"/>
                <w:sz w:val="18"/>
                <w:szCs w:val="18"/>
                <w:lang w:eastAsia="hr-HR"/>
              </w:rPr>
            </w:pPr>
            <w:r w:rsidRPr="001B4CA2">
              <w:rPr>
                <w:rFonts w:eastAsia="Times New Roman"/>
                <w:b/>
                <w:bCs/>
                <w:color w:val="000000"/>
                <w:sz w:val="18"/>
                <w:szCs w:val="18"/>
                <w:lang w:eastAsia="hr-HR"/>
              </w:rPr>
              <w:t>Optužnica nakon istrage</w:t>
            </w:r>
          </w:p>
        </w:tc>
        <w:tc>
          <w:tcPr>
            <w:tcW w:w="1134" w:type="dxa"/>
            <w:shd w:val="clear" w:color="000000" w:fill="99CCFF"/>
            <w:textDirection w:val="btLr"/>
            <w:vAlign w:val="center"/>
            <w:hideMark/>
          </w:tcPr>
          <w:p w14:paraId="0D8CB8F0" w14:textId="77777777" w:rsidR="00057B9D" w:rsidRPr="001B4CA2" w:rsidRDefault="00057B9D" w:rsidP="003F1CB6">
            <w:pPr>
              <w:ind w:left="113" w:right="113"/>
              <w:jc w:val="left"/>
              <w:rPr>
                <w:rFonts w:eastAsia="Times New Roman"/>
                <w:b/>
                <w:bCs/>
                <w:color w:val="000000"/>
                <w:sz w:val="18"/>
                <w:szCs w:val="18"/>
                <w:lang w:eastAsia="hr-HR"/>
              </w:rPr>
            </w:pPr>
            <w:r w:rsidRPr="001B4CA2">
              <w:rPr>
                <w:rFonts w:eastAsia="Times New Roman"/>
                <w:b/>
                <w:bCs/>
                <w:color w:val="000000"/>
                <w:sz w:val="18"/>
                <w:szCs w:val="18"/>
                <w:lang w:eastAsia="hr-HR"/>
              </w:rPr>
              <w:t>Ukupno optužnica</w:t>
            </w:r>
          </w:p>
        </w:tc>
        <w:tc>
          <w:tcPr>
            <w:tcW w:w="1276" w:type="dxa"/>
            <w:vMerge/>
            <w:vAlign w:val="center"/>
            <w:hideMark/>
          </w:tcPr>
          <w:p w14:paraId="6A9F8E33" w14:textId="77777777" w:rsidR="00057B9D" w:rsidRPr="001B4CA2" w:rsidRDefault="00057B9D" w:rsidP="00057B9D">
            <w:pPr>
              <w:jc w:val="left"/>
              <w:rPr>
                <w:rFonts w:eastAsia="Times New Roman"/>
                <w:b/>
                <w:bCs/>
                <w:color w:val="000000"/>
                <w:lang w:eastAsia="hr-HR"/>
              </w:rPr>
            </w:pPr>
          </w:p>
        </w:tc>
      </w:tr>
      <w:tr w:rsidR="006D09CA" w:rsidRPr="001B4CA2" w14:paraId="3A8E1EDB" w14:textId="77777777" w:rsidTr="00F82676">
        <w:trPr>
          <w:trHeight w:val="360"/>
        </w:trPr>
        <w:tc>
          <w:tcPr>
            <w:tcW w:w="960" w:type="dxa"/>
            <w:shd w:val="clear" w:color="auto" w:fill="auto"/>
            <w:noWrap/>
            <w:vAlign w:val="center"/>
            <w:hideMark/>
          </w:tcPr>
          <w:p w14:paraId="75BB5982" w14:textId="47D1417F" w:rsidR="00057B9D" w:rsidRPr="001B4CA2" w:rsidRDefault="00057B9D" w:rsidP="006D09CA">
            <w:pPr>
              <w:jc w:val="center"/>
              <w:rPr>
                <w:rFonts w:eastAsia="Times New Roman"/>
                <w:color w:val="000000"/>
                <w:sz w:val="18"/>
                <w:szCs w:val="18"/>
                <w:lang w:eastAsia="hr-HR"/>
              </w:rPr>
            </w:pPr>
            <w:r w:rsidRPr="001B4CA2">
              <w:rPr>
                <w:rFonts w:eastAsia="Times New Roman"/>
                <w:color w:val="000000"/>
                <w:sz w:val="18"/>
                <w:szCs w:val="18"/>
                <w:lang w:eastAsia="hr-HR"/>
              </w:rPr>
              <w:t>201</w:t>
            </w:r>
            <w:r w:rsidR="00F82676" w:rsidRPr="001B4CA2">
              <w:rPr>
                <w:rFonts w:eastAsia="Times New Roman"/>
                <w:color w:val="000000"/>
                <w:sz w:val="18"/>
                <w:szCs w:val="18"/>
                <w:lang w:eastAsia="hr-HR"/>
              </w:rPr>
              <w:t>8</w:t>
            </w:r>
            <w:r w:rsidRPr="001B4CA2">
              <w:rPr>
                <w:rFonts w:eastAsia="Times New Roman"/>
                <w:color w:val="000000"/>
                <w:sz w:val="18"/>
                <w:szCs w:val="18"/>
                <w:lang w:eastAsia="hr-HR"/>
              </w:rPr>
              <w:t>.</w:t>
            </w:r>
          </w:p>
        </w:tc>
        <w:tc>
          <w:tcPr>
            <w:tcW w:w="878" w:type="dxa"/>
            <w:shd w:val="clear" w:color="auto" w:fill="auto"/>
            <w:noWrap/>
            <w:vAlign w:val="center"/>
            <w:hideMark/>
          </w:tcPr>
          <w:p w14:paraId="2F65D826" w14:textId="310CAFB6" w:rsidR="00057B9D" w:rsidRPr="001B4CA2" w:rsidRDefault="00057B9D" w:rsidP="006D09CA">
            <w:pPr>
              <w:jc w:val="center"/>
              <w:rPr>
                <w:rFonts w:eastAsia="Times New Roman"/>
                <w:color w:val="000000"/>
                <w:sz w:val="18"/>
                <w:szCs w:val="18"/>
                <w:lang w:eastAsia="hr-HR"/>
              </w:rPr>
            </w:pPr>
          </w:p>
        </w:tc>
        <w:tc>
          <w:tcPr>
            <w:tcW w:w="964" w:type="dxa"/>
            <w:shd w:val="clear" w:color="auto" w:fill="auto"/>
            <w:noWrap/>
            <w:vAlign w:val="center"/>
            <w:hideMark/>
          </w:tcPr>
          <w:p w14:paraId="7121F04F" w14:textId="4EBDB940" w:rsidR="00057B9D" w:rsidRPr="001B4CA2" w:rsidRDefault="00057B9D" w:rsidP="006D09CA">
            <w:pPr>
              <w:jc w:val="center"/>
              <w:rPr>
                <w:rFonts w:eastAsia="Times New Roman"/>
                <w:color w:val="000000"/>
                <w:sz w:val="18"/>
                <w:szCs w:val="18"/>
                <w:lang w:eastAsia="hr-HR"/>
              </w:rPr>
            </w:pPr>
          </w:p>
        </w:tc>
        <w:tc>
          <w:tcPr>
            <w:tcW w:w="850" w:type="dxa"/>
            <w:shd w:val="clear" w:color="auto" w:fill="auto"/>
            <w:noWrap/>
            <w:vAlign w:val="center"/>
            <w:hideMark/>
          </w:tcPr>
          <w:p w14:paraId="3E0D03FB" w14:textId="5F78A7D0" w:rsidR="00057B9D" w:rsidRPr="001B4CA2" w:rsidRDefault="00057B9D" w:rsidP="006D09CA">
            <w:pPr>
              <w:jc w:val="center"/>
              <w:rPr>
                <w:rFonts w:eastAsia="Times New Roman"/>
                <w:color w:val="000000"/>
                <w:sz w:val="18"/>
                <w:szCs w:val="18"/>
                <w:lang w:eastAsia="hr-HR"/>
              </w:rPr>
            </w:pPr>
          </w:p>
        </w:tc>
        <w:tc>
          <w:tcPr>
            <w:tcW w:w="851" w:type="dxa"/>
            <w:shd w:val="clear" w:color="auto" w:fill="auto"/>
            <w:noWrap/>
            <w:vAlign w:val="center"/>
            <w:hideMark/>
          </w:tcPr>
          <w:p w14:paraId="145E82A3" w14:textId="2CE10654"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1</w:t>
            </w:r>
          </w:p>
        </w:tc>
        <w:tc>
          <w:tcPr>
            <w:tcW w:w="992" w:type="dxa"/>
            <w:shd w:val="clear" w:color="auto" w:fill="auto"/>
            <w:noWrap/>
            <w:vAlign w:val="center"/>
          </w:tcPr>
          <w:p w14:paraId="08C66183" w14:textId="4EF6357D"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0</w:t>
            </w:r>
          </w:p>
        </w:tc>
        <w:tc>
          <w:tcPr>
            <w:tcW w:w="992" w:type="dxa"/>
            <w:shd w:val="clear" w:color="auto" w:fill="auto"/>
            <w:noWrap/>
            <w:vAlign w:val="center"/>
            <w:hideMark/>
          </w:tcPr>
          <w:p w14:paraId="3D979E34" w14:textId="6F3490A5"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429</w:t>
            </w:r>
          </w:p>
        </w:tc>
        <w:tc>
          <w:tcPr>
            <w:tcW w:w="1134" w:type="dxa"/>
            <w:shd w:val="clear" w:color="auto" w:fill="auto"/>
            <w:vAlign w:val="center"/>
            <w:hideMark/>
          </w:tcPr>
          <w:p w14:paraId="7C9D12E5" w14:textId="0223CB0D"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257</w:t>
            </w:r>
          </w:p>
        </w:tc>
        <w:tc>
          <w:tcPr>
            <w:tcW w:w="1276" w:type="dxa"/>
            <w:shd w:val="clear" w:color="auto" w:fill="auto"/>
            <w:vAlign w:val="center"/>
            <w:hideMark/>
          </w:tcPr>
          <w:p w14:paraId="30EACB83" w14:textId="32CAAF0E" w:rsidR="00057B9D" w:rsidRPr="001B4CA2" w:rsidRDefault="00057B9D" w:rsidP="006D09CA">
            <w:pPr>
              <w:jc w:val="center"/>
              <w:rPr>
                <w:rFonts w:eastAsia="Times New Roman"/>
                <w:color w:val="000000"/>
                <w:sz w:val="18"/>
                <w:szCs w:val="18"/>
                <w:lang w:eastAsia="hr-HR"/>
              </w:rPr>
            </w:pPr>
          </w:p>
        </w:tc>
      </w:tr>
      <w:tr w:rsidR="006D09CA" w:rsidRPr="001B4CA2" w14:paraId="2DA0497D" w14:textId="77777777" w:rsidTr="00F82676">
        <w:trPr>
          <w:trHeight w:val="360"/>
        </w:trPr>
        <w:tc>
          <w:tcPr>
            <w:tcW w:w="960" w:type="dxa"/>
            <w:shd w:val="clear" w:color="auto" w:fill="auto"/>
            <w:noWrap/>
            <w:vAlign w:val="center"/>
            <w:hideMark/>
          </w:tcPr>
          <w:p w14:paraId="79428F39" w14:textId="12367A52" w:rsidR="00057B9D" w:rsidRPr="001B4CA2" w:rsidRDefault="00057B9D" w:rsidP="006D09CA">
            <w:pPr>
              <w:jc w:val="center"/>
              <w:rPr>
                <w:rFonts w:eastAsia="Times New Roman"/>
                <w:color w:val="000000"/>
                <w:sz w:val="18"/>
                <w:szCs w:val="18"/>
                <w:lang w:eastAsia="hr-HR"/>
              </w:rPr>
            </w:pPr>
            <w:r w:rsidRPr="001B4CA2">
              <w:rPr>
                <w:rFonts w:eastAsia="Times New Roman"/>
                <w:color w:val="000000"/>
                <w:sz w:val="18"/>
                <w:szCs w:val="18"/>
                <w:lang w:eastAsia="hr-HR"/>
              </w:rPr>
              <w:t>201</w:t>
            </w:r>
            <w:r w:rsidR="00F82676" w:rsidRPr="001B4CA2">
              <w:rPr>
                <w:rFonts w:eastAsia="Times New Roman"/>
                <w:color w:val="000000"/>
                <w:sz w:val="18"/>
                <w:szCs w:val="18"/>
                <w:lang w:eastAsia="hr-HR"/>
              </w:rPr>
              <w:t>9</w:t>
            </w:r>
            <w:r w:rsidRPr="001B4CA2">
              <w:rPr>
                <w:rFonts w:eastAsia="Times New Roman"/>
                <w:color w:val="000000"/>
                <w:sz w:val="18"/>
                <w:szCs w:val="18"/>
                <w:lang w:eastAsia="hr-HR"/>
              </w:rPr>
              <w:t>.</w:t>
            </w:r>
          </w:p>
        </w:tc>
        <w:tc>
          <w:tcPr>
            <w:tcW w:w="878" w:type="dxa"/>
            <w:shd w:val="clear" w:color="auto" w:fill="auto"/>
            <w:noWrap/>
            <w:vAlign w:val="center"/>
            <w:hideMark/>
          </w:tcPr>
          <w:p w14:paraId="097D6B7B" w14:textId="24AA736B" w:rsidR="00057B9D" w:rsidRPr="001B4CA2" w:rsidRDefault="00057B9D" w:rsidP="006D09CA">
            <w:pPr>
              <w:jc w:val="center"/>
              <w:rPr>
                <w:rFonts w:eastAsia="Times New Roman"/>
                <w:color w:val="000000"/>
                <w:sz w:val="18"/>
                <w:szCs w:val="18"/>
                <w:lang w:eastAsia="hr-HR"/>
              </w:rPr>
            </w:pPr>
          </w:p>
        </w:tc>
        <w:tc>
          <w:tcPr>
            <w:tcW w:w="964" w:type="dxa"/>
            <w:shd w:val="clear" w:color="auto" w:fill="auto"/>
            <w:noWrap/>
            <w:vAlign w:val="center"/>
            <w:hideMark/>
          </w:tcPr>
          <w:p w14:paraId="2B910535" w14:textId="3A1AA6B7" w:rsidR="00057B9D" w:rsidRPr="001B4CA2" w:rsidRDefault="00057B9D" w:rsidP="006D09CA">
            <w:pPr>
              <w:jc w:val="center"/>
              <w:rPr>
                <w:rFonts w:eastAsia="Times New Roman"/>
                <w:color w:val="000000"/>
                <w:sz w:val="18"/>
                <w:szCs w:val="18"/>
                <w:lang w:eastAsia="hr-HR"/>
              </w:rPr>
            </w:pPr>
          </w:p>
        </w:tc>
        <w:tc>
          <w:tcPr>
            <w:tcW w:w="850" w:type="dxa"/>
            <w:shd w:val="clear" w:color="auto" w:fill="auto"/>
            <w:noWrap/>
            <w:vAlign w:val="center"/>
            <w:hideMark/>
          </w:tcPr>
          <w:p w14:paraId="75818C94" w14:textId="2B7A81F7" w:rsidR="00057B9D" w:rsidRPr="001B4CA2" w:rsidRDefault="00057B9D" w:rsidP="006D09CA">
            <w:pPr>
              <w:jc w:val="center"/>
              <w:rPr>
                <w:rFonts w:eastAsia="Times New Roman"/>
                <w:color w:val="000000"/>
                <w:sz w:val="18"/>
                <w:szCs w:val="18"/>
                <w:lang w:eastAsia="hr-HR"/>
              </w:rPr>
            </w:pPr>
          </w:p>
        </w:tc>
        <w:tc>
          <w:tcPr>
            <w:tcW w:w="851" w:type="dxa"/>
            <w:shd w:val="clear" w:color="auto" w:fill="auto"/>
            <w:noWrap/>
            <w:vAlign w:val="center"/>
            <w:hideMark/>
          </w:tcPr>
          <w:p w14:paraId="05FB112A" w14:textId="1030F076"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8</w:t>
            </w:r>
          </w:p>
        </w:tc>
        <w:tc>
          <w:tcPr>
            <w:tcW w:w="992" w:type="dxa"/>
            <w:shd w:val="clear" w:color="auto" w:fill="auto"/>
            <w:noWrap/>
            <w:vAlign w:val="center"/>
          </w:tcPr>
          <w:p w14:paraId="0BCE346E" w14:textId="566EE921"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0</w:t>
            </w:r>
          </w:p>
        </w:tc>
        <w:tc>
          <w:tcPr>
            <w:tcW w:w="992" w:type="dxa"/>
            <w:shd w:val="clear" w:color="auto" w:fill="auto"/>
            <w:noWrap/>
            <w:vAlign w:val="center"/>
            <w:hideMark/>
          </w:tcPr>
          <w:p w14:paraId="00BE0DF9" w14:textId="74946B9F"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351</w:t>
            </w:r>
          </w:p>
        </w:tc>
        <w:tc>
          <w:tcPr>
            <w:tcW w:w="1134" w:type="dxa"/>
            <w:shd w:val="clear" w:color="auto" w:fill="auto"/>
            <w:vAlign w:val="center"/>
            <w:hideMark/>
          </w:tcPr>
          <w:p w14:paraId="162AAACE" w14:textId="08A17AD0"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372</w:t>
            </w:r>
          </w:p>
        </w:tc>
        <w:tc>
          <w:tcPr>
            <w:tcW w:w="1276" w:type="dxa"/>
            <w:shd w:val="clear" w:color="auto" w:fill="auto"/>
            <w:vAlign w:val="center"/>
            <w:hideMark/>
          </w:tcPr>
          <w:p w14:paraId="7DE74DCA" w14:textId="15D89F26" w:rsidR="00057B9D" w:rsidRPr="001B4CA2" w:rsidRDefault="00057B9D" w:rsidP="006D09CA">
            <w:pPr>
              <w:jc w:val="center"/>
              <w:rPr>
                <w:rFonts w:eastAsia="Times New Roman"/>
                <w:color w:val="000000"/>
                <w:sz w:val="18"/>
                <w:szCs w:val="18"/>
                <w:lang w:eastAsia="hr-HR"/>
              </w:rPr>
            </w:pPr>
          </w:p>
        </w:tc>
      </w:tr>
      <w:tr w:rsidR="006D09CA" w:rsidRPr="001B4CA2" w14:paraId="07968885" w14:textId="77777777" w:rsidTr="00F82676">
        <w:trPr>
          <w:trHeight w:val="360"/>
        </w:trPr>
        <w:tc>
          <w:tcPr>
            <w:tcW w:w="960" w:type="dxa"/>
            <w:shd w:val="clear" w:color="auto" w:fill="auto"/>
            <w:noWrap/>
            <w:vAlign w:val="center"/>
            <w:hideMark/>
          </w:tcPr>
          <w:p w14:paraId="79300F4E" w14:textId="614FDFDA" w:rsidR="00057B9D" w:rsidRPr="001B4CA2" w:rsidRDefault="00057B9D" w:rsidP="006D09CA">
            <w:pPr>
              <w:jc w:val="center"/>
              <w:rPr>
                <w:rFonts w:eastAsia="Times New Roman"/>
                <w:color w:val="000000"/>
                <w:sz w:val="18"/>
                <w:szCs w:val="18"/>
                <w:lang w:eastAsia="hr-HR"/>
              </w:rPr>
            </w:pPr>
            <w:r w:rsidRPr="001B4CA2">
              <w:rPr>
                <w:rFonts w:eastAsia="Times New Roman"/>
                <w:color w:val="000000"/>
                <w:sz w:val="18"/>
                <w:szCs w:val="18"/>
                <w:lang w:eastAsia="hr-HR"/>
              </w:rPr>
              <w:t>20</w:t>
            </w:r>
            <w:r w:rsidR="00F82676" w:rsidRPr="001B4CA2">
              <w:rPr>
                <w:rFonts w:eastAsia="Times New Roman"/>
                <w:color w:val="000000"/>
                <w:sz w:val="18"/>
                <w:szCs w:val="18"/>
                <w:lang w:eastAsia="hr-HR"/>
              </w:rPr>
              <w:t>20</w:t>
            </w:r>
            <w:r w:rsidRPr="001B4CA2">
              <w:rPr>
                <w:rFonts w:eastAsia="Times New Roman"/>
                <w:color w:val="000000"/>
                <w:sz w:val="18"/>
                <w:szCs w:val="18"/>
                <w:lang w:eastAsia="hr-HR"/>
              </w:rPr>
              <w:t>.</w:t>
            </w:r>
          </w:p>
        </w:tc>
        <w:tc>
          <w:tcPr>
            <w:tcW w:w="878" w:type="dxa"/>
            <w:shd w:val="clear" w:color="auto" w:fill="auto"/>
            <w:noWrap/>
            <w:vAlign w:val="center"/>
            <w:hideMark/>
          </w:tcPr>
          <w:p w14:paraId="43C82DCE" w14:textId="0BFD8206"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1.035</w:t>
            </w:r>
          </w:p>
        </w:tc>
        <w:tc>
          <w:tcPr>
            <w:tcW w:w="964" w:type="dxa"/>
            <w:shd w:val="clear" w:color="auto" w:fill="auto"/>
            <w:noWrap/>
            <w:vAlign w:val="center"/>
            <w:hideMark/>
          </w:tcPr>
          <w:p w14:paraId="71920516" w14:textId="23DAC1CA"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367</w:t>
            </w:r>
          </w:p>
        </w:tc>
        <w:tc>
          <w:tcPr>
            <w:tcW w:w="850" w:type="dxa"/>
            <w:shd w:val="clear" w:color="auto" w:fill="auto"/>
            <w:noWrap/>
            <w:vAlign w:val="center"/>
            <w:hideMark/>
          </w:tcPr>
          <w:p w14:paraId="09DA0140" w14:textId="7C66463C" w:rsidR="00057B9D" w:rsidRPr="001B4CA2" w:rsidRDefault="00057B9D" w:rsidP="006D09CA">
            <w:pPr>
              <w:jc w:val="center"/>
              <w:rPr>
                <w:rFonts w:eastAsia="Times New Roman"/>
                <w:color w:val="000000"/>
                <w:sz w:val="18"/>
                <w:szCs w:val="18"/>
                <w:lang w:eastAsia="hr-HR"/>
              </w:rPr>
            </w:pPr>
          </w:p>
        </w:tc>
        <w:tc>
          <w:tcPr>
            <w:tcW w:w="851" w:type="dxa"/>
            <w:shd w:val="clear" w:color="auto" w:fill="auto"/>
            <w:noWrap/>
            <w:vAlign w:val="center"/>
            <w:hideMark/>
          </w:tcPr>
          <w:p w14:paraId="0B6EA914" w14:textId="5F7FC950"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2</w:t>
            </w:r>
          </w:p>
        </w:tc>
        <w:tc>
          <w:tcPr>
            <w:tcW w:w="992" w:type="dxa"/>
            <w:shd w:val="clear" w:color="auto" w:fill="auto"/>
            <w:noWrap/>
            <w:vAlign w:val="center"/>
          </w:tcPr>
          <w:p w14:paraId="2F5919EA" w14:textId="77F28654"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0</w:t>
            </w:r>
          </w:p>
        </w:tc>
        <w:tc>
          <w:tcPr>
            <w:tcW w:w="992" w:type="dxa"/>
            <w:shd w:val="clear" w:color="auto" w:fill="auto"/>
            <w:noWrap/>
            <w:vAlign w:val="center"/>
            <w:hideMark/>
          </w:tcPr>
          <w:p w14:paraId="084401F3" w14:textId="0D7B9DFD" w:rsidR="00057B9D" w:rsidRPr="001B4CA2" w:rsidRDefault="00057B9D" w:rsidP="006D09CA">
            <w:pPr>
              <w:jc w:val="center"/>
              <w:rPr>
                <w:rFonts w:eastAsia="Times New Roman"/>
                <w:color w:val="000000"/>
                <w:sz w:val="18"/>
                <w:szCs w:val="18"/>
                <w:lang w:eastAsia="hr-HR"/>
              </w:rPr>
            </w:pPr>
            <w:r w:rsidRPr="001B4CA2">
              <w:rPr>
                <w:rFonts w:eastAsia="Times New Roman"/>
                <w:color w:val="000000"/>
                <w:sz w:val="18"/>
                <w:szCs w:val="18"/>
                <w:lang w:eastAsia="hr-HR"/>
              </w:rPr>
              <w:t>3</w:t>
            </w:r>
            <w:r w:rsidR="00F82676" w:rsidRPr="001B4CA2">
              <w:rPr>
                <w:rFonts w:eastAsia="Times New Roman"/>
                <w:color w:val="000000"/>
                <w:sz w:val="18"/>
                <w:szCs w:val="18"/>
                <w:lang w:eastAsia="hr-HR"/>
              </w:rPr>
              <w:t>24</w:t>
            </w:r>
          </w:p>
        </w:tc>
        <w:tc>
          <w:tcPr>
            <w:tcW w:w="1134" w:type="dxa"/>
            <w:shd w:val="clear" w:color="auto" w:fill="auto"/>
            <w:vAlign w:val="center"/>
            <w:hideMark/>
          </w:tcPr>
          <w:p w14:paraId="340B75E2" w14:textId="26FF502C" w:rsidR="00057B9D" w:rsidRPr="001B4CA2" w:rsidRDefault="00057B9D" w:rsidP="006D09CA">
            <w:pPr>
              <w:jc w:val="center"/>
              <w:rPr>
                <w:rFonts w:eastAsia="Times New Roman"/>
                <w:color w:val="000000"/>
                <w:sz w:val="18"/>
                <w:szCs w:val="18"/>
                <w:lang w:eastAsia="hr-HR"/>
              </w:rPr>
            </w:pPr>
            <w:r w:rsidRPr="001B4CA2">
              <w:rPr>
                <w:rFonts w:eastAsia="Times New Roman"/>
                <w:color w:val="000000"/>
                <w:sz w:val="18"/>
                <w:szCs w:val="18"/>
                <w:lang w:eastAsia="hr-HR"/>
              </w:rPr>
              <w:t>3</w:t>
            </w:r>
            <w:r w:rsidR="00F82676" w:rsidRPr="001B4CA2">
              <w:rPr>
                <w:rFonts w:eastAsia="Times New Roman"/>
                <w:color w:val="000000"/>
                <w:sz w:val="18"/>
                <w:szCs w:val="18"/>
                <w:lang w:eastAsia="hr-HR"/>
              </w:rPr>
              <w:t>26</w:t>
            </w:r>
          </w:p>
        </w:tc>
        <w:tc>
          <w:tcPr>
            <w:tcW w:w="1276" w:type="dxa"/>
            <w:shd w:val="clear" w:color="auto" w:fill="auto"/>
            <w:vAlign w:val="center"/>
            <w:hideMark/>
          </w:tcPr>
          <w:p w14:paraId="36B63831" w14:textId="6AE38FCB"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1.396</w:t>
            </w:r>
          </w:p>
        </w:tc>
      </w:tr>
      <w:tr w:rsidR="006D09CA" w:rsidRPr="001B4CA2" w14:paraId="07663404" w14:textId="77777777" w:rsidTr="00F82676">
        <w:trPr>
          <w:trHeight w:val="360"/>
        </w:trPr>
        <w:tc>
          <w:tcPr>
            <w:tcW w:w="960" w:type="dxa"/>
            <w:shd w:val="clear" w:color="auto" w:fill="auto"/>
            <w:noWrap/>
            <w:vAlign w:val="center"/>
            <w:hideMark/>
          </w:tcPr>
          <w:p w14:paraId="35000C31" w14:textId="01491DEC" w:rsidR="00057B9D" w:rsidRPr="001B4CA2" w:rsidRDefault="00057B9D" w:rsidP="006D09CA">
            <w:pPr>
              <w:jc w:val="center"/>
              <w:rPr>
                <w:rFonts w:eastAsia="Times New Roman"/>
                <w:color w:val="000000"/>
                <w:sz w:val="18"/>
                <w:szCs w:val="18"/>
                <w:lang w:eastAsia="hr-HR"/>
              </w:rPr>
            </w:pPr>
            <w:r w:rsidRPr="001B4CA2">
              <w:rPr>
                <w:rFonts w:eastAsia="Times New Roman"/>
                <w:color w:val="000000"/>
                <w:sz w:val="18"/>
                <w:szCs w:val="18"/>
                <w:lang w:eastAsia="hr-HR"/>
              </w:rPr>
              <w:t>202</w:t>
            </w:r>
            <w:r w:rsidR="00F82676" w:rsidRPr="001B4CA2">
              <w:rPr>
                <w:rFonts w:eastAsia="Times New Roman"/>
                <w:color w:val="000000"/>
                <w:sz w:val="18"/>
                <w:szCs w:val="18"/>
                <w:lang w:eastAsia="hr-HR"/>
              </w:rPr>
              <w:t>1</w:t>
            </w:r>
            <w:r w:rsidRPr="001B4CA2">
              <w:rPr>
                <w:rFonts w:eastAsia="Times New Roman"/>
                <w:color w:val="000000"/>
                <w:sz w:val="18"/>
                <w:szCs w:val="18"/>
                <w:lang w:eastAsia="hr-HR"/>
              </w:rPr>
              <w:t>.</w:t>
            </w:r>
          </w:p>
        </w:tc>
        <w:tc>
          <w:tcPr>
            <w:tcW w:w="878" w:type="dxa"/>
            <w:shd w:val="clear" w:color="auto" w:fill="auto"/>
            <w:noWrap/>
            <w:vAlign w:val="center"/>
            <w:hideMark/>
          </w:tcPr>
          <w:p w14:paraId="5DE07E47" w14:textId="64F604A1"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1.233</w:t>
            </w:r>
          </w:p>
        </w:tc>
        <w:tc>
          <w:tcPr>
            <w:tcW w:w="964" w:type="dxa"/>
            <w:shd w:val="clear" w:color="auto" w:fill="auto"/>
            <w:noWrap/>
            <w:vAlign w:val="center"/>
            <w:hideMark/>
          </w:tcPr>
          <w:p w14:paraId="085958C4" w14:textId="308C8F63"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394</w:t>
            </w:r>
          </w:p>
        </w:tc>
        <w:tc>
          <w:tcPr>
            <w:tcW w:w="850" w:type="dxa"/>
            <w:shd w:val="clear" w:color="auto" w:fill="auto"/>
            <w:noWrap/>
            <w:vAlign w:val="center"/>
            <w:hideMark/>
          </w:tcPr>
          <w:p w14:paraId="66AF0B0D" w14:textId="5FAC94C5"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0</w:t>
            </w:r>
          </w:p>
        </w:tc>
        <w:tc>
          <w:tcPr>
            <w:tcW w:w="851" w:type="dxa"/>
            <w:shd w:val="clear" w:color="auto" w:fill="auto"/>
            <w:noWrap/>
            <w:vAlign w:val="center"/>
            <w:hideMark/>
          </w:tcPr>
          <w:p w14:paraId="6447E63C" w14:textId="6D037AF7"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1</w:t>
            </w:r>
          </w:p>
        </w:tc>
        <w:tc>
          <w:tcPr>
            <w:tcW w:w="992" w:type="dxa"/>
            <w:shd w:val="clear" w:color="auto" w:fill="auto"/>
            <w:noWrap/>
            <w:vAlign w:val="center"/>
          </w:tcPr>
          <w:p w14:paraId="355876F2" w14:textId="2E184193"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0</w:t>
            </w:r>
          </w:p>
        </w:tc>
        <w:tc>
          <w:tcPr>
            <w:tcW w:w="992" w:type="dxa"/>
            <w:shd w:val="clear" w:color="auto" w:fill="auto"/>
            <w:noWrap/>
            <w:vAlign w:val="center"/>
            <w:hideMark/>
          </w:tcPr>
          <w:p w14:paraId="1DD7F204" w14:textId="68712FF5" w:rsidR="00057B9D" w:rsidRPr="001B4CA2" w:rsidRDefault="00057B9D" w:rsidP="006D09CA">
            <w:pPr>
              <w:jc w:val="center"/>
              <w:rPr>
                <w:rFonts w:eastAsia="Times New Roman"/>
                <w:color w:val="000000"/>
                <w:sz w:val="18"/>
                <w:szCs w:val="18"/>
                <w:lang w:eastAsia="hr-HR"/>
              </w:rPr>
            </w:pPr>
            <w:r w:rsidRPr="001B4CA2">
              <w:rPr>
                <w:rFonts w:eastAsia="Times New Roman"/>
                <w:color w:val="000000"/>
                <w:sz w:val="18"/>
                <w:szCs w:val="18"/>
                <w:lang w:eastAsia="hr-HR"/>
              </w:rPr>
              <w:t>3</w:t>
            </w:r>
            <w:r w:rsidR="00F82676" w:rsidRPr="001B4CA2">
              <w:rPr>
                <w:rFonts w:eastAsia="Times New Roman"/>
                <w:color w:val="000000"/>
                <w:sz w:val="18"/>
                <w:szCs w:val="18"/>
                <w:lang w:eastAsia="hr-HR"/>
              </w:rPr>
              <w:t>11</w:t>
            </w:r>
          </w:p>
        </w:tc>
        <w:tc>
          <w:tcPr>
            <w:tcW w:w="1134" w:type="dxa"/>
            <w:shd w:val="clear" w:color="auto" w:fill="auto"/>
            <w:vAlign w:val="center"/>
            <w:hideMark/>
          </w:tcPr>
          <w:p w14:paraId="006C3D9A" w14:textId="533B488C"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312</w:t>
            </w:r>
          </w:p>
        </w:tc>
        <w:tc>
          <w:tcPr>
            <w:tcW w:w="1276" w:type="dxa"/>
            <w:shd w:val="clear" w:color="auto" w:fill="auto"/>
            <w:vAlign w:val="center"/>
            <w:hideMark/>
          </w:tcPr>
          <w:p w14:paraId="5383EE9F" w14:textId="35AE7C1E" w:rsidR="00057B9D" w:rsidRPr="001B4CA2" w:rsidRDefault="00057B9D" w:rsidP="006D09CA">
            <w:pPr>
              <w:jc w:val="center"/>
              <w:rPr>
                <w:rFonts w:eastAsia="Times New Roman"/>
                <w:color w:val="000000"/>
                <w:sz w:val="18"/>
                <w:szCs w:val="18"/>
                <w:lang w:eastAsia="hr-HR"/>
              </w:rPr>
            </w:pPr>
            <w:r w:rsidRPr="001B4CA2">
              <w:rPr>
                <w:rFonts w:eastAsia="Times New Roman"/>
                <w:color w:val="000000" w:themeColor="text1"/>
                <w:sz w:val="18"/>
                <w:szCs w:val="18"/>
                <w:lang w:eastAsia="hr-HR"/>
              </w:rPr>
              <w:t>1.</w:t>
            </w:r>
            <w:r w:rsidR="00F82676" w:rsidRPr="001B4CA2">
              <w:rPr>
                <w:rFonts w:eastAsia="Times New Roman"/>
                <w:color w:val="000000" w:themeColor="text1"/>
                <w:sz w:val="18"/>
                <w:szCs w:val="18"/>
                <w:lang w:eastAsia="hr-HR"/>
              </w:rPr>
              <w:t>545</w:t>
            </w:r>
          </w:p>
        </w:tc>
      </w:tr>
      <w:tr w:rsidR="006D09CA" w:rsidRPr="001B4CA2" w14:paraId="5031D929" w14:textId="77777777" w:rsidTr="00F82676">
        <w:trPr>
          <w:trHeight w:val="360"/>
        </w:trPr>
        <w:tc>
          <w:tcPr>
            <w:tcW w:w="960" w:type="dxa"/>
            <w:shd w:val="clear" w:color="auto" w:fill="auto"/>
            <w:noWrap/>
            <w:vAlign w:val="center"/>
            <w:hideMark/>
          </w:tcPr>
          <w:p w14:paraId="76E62BC1" w14:textId="3D915EE9" w:rsidR="00057B9D" w:rsidRPr="001B4CA2" w:rsidRDefault="00057B9D" w:rsidP="006D09CA">
            <w:pPr>
              <w:jc w:val="center"/>
              <w:rPr>
                <w:rFonts w:eastAsia="Times New Roman"/>
                <w:color w:val="000000"/>
                <w:sz w:val="18"/>
                <w:szCs w:val="18"/>
                <w:lang w:eastAsia="hr-HR"/>
              </w:rPr>
            </w:pPr>
            <w:r w:rsidRPr="001B4CA2">
              <w:rPr>
                <w:rFonts w:eastAsia="Times New Roman"/>
                <w:color w:val="000000"/>
                <w:sz w:val="18"/>
                <w:szCs w:val="18"/>
                <w:lang w:eastAsia="hr-HR"/>
              </w:rPr>
              <w:t>202</w:t>
            </w:r>
            <w:r w:rsidR="00F82676" w:rsidRPr="001B4CA2">
              <w:rPr>
                <w:rFonts w:eastAsia="Times New Roman"/>
                <w:color w:val="000000"/>
                <w:sz w:val="18"/>
                <w:szCs w:val="18"/>
                <w:lang w:eastAsia="hr-HR"/>
              </w:rPr>
              <w:t>2</w:t>
            </w:r>
            <w:r w:rsidRPr="001B4CA2">
              <w:rPr>
                <w:rFonts w:eastAsia="Times New Roman"/>
                <w:color w:val="000000"/>
                <w:sz w:val="18"/>
                <w:szCs w:val="18"/>
                <w:lang w:eastAsia="hr-HR"/>
              </w:rPr>
              <w:t>.</w:t>
            </w:r>
          </w:p>
        </w:tc>
        <w:tc>
          <w:tcPr>
            <w:tcW w:w="878" w:type="dxa"/>
            <w:shd w:val="clear" w:color="auto" w:fill="auto"/>
            <w:noWrap/>
            <w:vAlign w:val="center"/>
            <w:hideMark/>
          </w:tcPr>
          <w:p w14:paraId="7729950E" w14:textId="3D43B233" w:rsidR="00057B9D" w:rsidRPr="001B4CA2" w:rsidRDefault="00057B9D" w:rsidP="006D09CA">
            <w:pPr>
              <w:jc w:val="center"/>
              <w:rPr>
                <w:rFonts w:eastAsia="Times New Roman"/>
                <w:color w:val="000000"/>
                <w:sz w:val="18"/>
                <w:szCs w:val="18"/>
                <w:lang w:eastAsia="hr-HR"/>
              </w:rPr>
            </w:pPr>
            <w:r w:rsidRPr="001B4CA2">
              <w:rPr>
                <w:rFonts w:eastAsia="Times New Roman"/>
                <w:color w:val="000000"/>
                <w:sz w:val="18"/>
                <w:szCs w:val="18"/>
                <w:lang w:eastAsia="hr-HR"/>
              </w:rPr>
              <w:t>1.2</w:t>
            </w:r>
            <w:r w:rsidR="00F82676" w:rsidRPr="001B4CA2">
              <w:rPr>
                <w:rFonts w:eastAsia="Times New Roman"/>
                <w:color w:val="000000"/>
                <w:sz w:val="18"/>
                <w:szCs w:val="18"/>
                <w:lang w:eastAsia="hr-HR"/>
              </w:rPr>
              <w:t>01</w:t>
            </w:r>
          </w:p>
        </w:tc>
        <w:tc>
          <w:tcPr>
            <w:tcW w:w="964" w:type="dxa"/>
            <w:shd w:val="clear" w:color="auto" w:fill="auto"/>
            <w:noWrap/>
            <w:vAlign w:val="center"/>
            <w:hideMark/>
          </w:tcPr>
          <w:p w14:paraId="1148235D" w14:textId="143F6905"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313</w:t>
            </w:r>
          </w:p>
        </w:tc>
        <w:tc>
          <w:tcPr>
            <w:tcW w:w="850" w:type="dxa"/>
            <w:shd w:val="clear" w:color="auto" w:fill="auto"/>
            <w:noWrap/>
            <w:vAlign w:val="center"/>
            <w:hideMark/>
          </w:tcPr>
          <w:p w14:paraId="17816235" w14:textId="38CF0DE6"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65</w:t>
            </w:r>
          </w:p>
        </w:tc>
        <w:tc>
          <w:tcPr>
            <w:tcW w:w="851" w:type="dxa"/>
            <w:shd w:val="clear" w:color="auto" w:fill="auto"/>
            <w:noWrap/>
            <w:vAlign w:val="center"/>
            <w:hideMark/>
          </w:tcPr>
          <w:p w14:paraId="59A1404D" w14:textId="177DC4DE"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3</w:t>
            </w:r>
          </w:p>
        </w:tc>
        <w:tc>
          <w:tcPr>
            <w:tcW w:w="992" w:type="dxa"/>
            <w:shd w:val="clear" w:color="auto" w:fill="auto"/>
            <w:noWrap/>
            <w:vAlign w:val="center"/>
          </w:tcPr>
          <w:p w14:paraId="1A2CBAE4" w14:textId="73985E05"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0</w:t>
            </w:r>
          </w:p>
        </w:tc>
        <w:tc>
          <w:tcPr>
            <w:tcW w:w="992" w:type="dxa"/>
            <w:shd w:val="clear" w:color="auto" w:fill="auto"/>
            <w:noWrap/>
            <w:vAlign w:val="center"/>
            <w:hideMark/>
          </w:tcPr>
          <w:p w14:paraId="410A8C67" w14:textId="6723BA9C"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464</w:t>
            </w:r>
          </w:p>
        </w:tc>
        <w:tc>
          <w:tcPr>
            <w:tcW w:w="1134" w:type="dxa"/>
            <w:shd w:val="clear" w:color="auto" w:fill="auto"/>
            <w:vAlign w:val="center"/>
            <w:hideMark/>
          </w:tcPr>
          <w:p w14:paraId="4CB92183" w14:textId="4B0908E8" w:rsidR="00057B9D" w:rsidRPr="001B4CA2" w:rsidRDefault="00F82676" w:rsidP="006D09CA">
            <w:pPr>
              <w:jc w:val="center"/>
              <w:rPr>
                <w:rFonts w:eastAsia="Times New Roman"/>
                <w:color w:val="000000"/>
                <w:sz w:val="18"/>
                <w:szCs w:val="18"/>
                <w:lang w:eastAsia="hr-HR"/>
              </w:rPr>
            </w:pPr>
            <w:r w:rsidRPr="001B4CA2">
              <w:rPr>
                <w:rFonts w:eastAsia="Times New Roman"/>
                <w:color w:val="000000"/>
                <w:sz w:val="18"/>
                <w:szCs w:val="18"/>
                <w:lang w:eastAsia="hr-HR"/>
              </w:rPr>
              <w:t>467</w:t>
            </w:r>
          </w:p>
        </w:tc>
        <w:tc>
          <w:tcPr>
            <w:tcW w:w="1276" w:type="dxa"/>
            <w:shd w:val="clear" w:color="auto" w:fill="auto"/>
            <w:vAlign w:val="center"/>
            <w:hideMark/>
          </w:tcPr>
          <w:p w14:paraId="75476D1D" w14:textId="7E7DE675" w:rsidR="00057B9D" w:rsidRPr="001B4CA2" w:rsidRDefault="00057B9D" w:rsidP="006D09CA">
            <w:pPr>
              <w:jc w:val="center"/>
              <w:rPr>
                <w:rFonts w:eastAsia="Times New Roman"/>
                <w:color w:val="000000"/>
                <w:sz w:val="18"/>
                <w:szCs w:val="18"/>
                <w:lang w:eastAsia="hr-HR"/>
              </w:rPr>
            </w:pPr>
            <w:r w:rsidRPr="001B4CA2">
              <w:rPr>
                <w:rFonts w:eastAsia="Times New Roman"/>
                <w:color w:val="000000"/>
                <w:sz w:val="18"/>
                <w:szCs w:val="18"/>
                <w:lang w:eastAsia="hr-HR"/>
              </w:rPr>
              <w:t>1.</w:t>
            </w:r>
            <w:r w:rsidR="00F82676" w:rsidRPr="001B4CA2">
              <w:rPr>
                <w:rFonts w:eastAsia="Times New Roman"/>
                <w:color w:val="000000"/>
                <w:sz w:val="18"/>
                <w:szCs w:val="18"/>
                <w:lang w:eastAsia="hr-HR"/>
              </w:rPr>
              <w:t>733</w:t>
            </w:r>
          </w:p>
        </w:tc>
      </w:tr>
    </w:tbl>
    <w:p w14:paraId="62C2D585" w14:textId="77777777" w:rsidR="00554A3B" w:rsidRPr="001B4CA2" w:rsidRDefault="00554A3B" w:rsidP="009A6F4B">
      <w:pPr>
        <w:rPr>
          <w:rFonts w:eastAsia="Arial"/>
        </w:rPr>
      </w:pPr>
    </w:p>
    <w:p w14:paraId="218386BE" w14:textId="7604AE66" w:rsidR="00F82676" w:rsidRPr="001B4CA2" w:rsidRDefault="00F82676" w:rsidP="00F82676">
      <w:pPr>
        <w:ind w:firstLine="708"/>
        <w:rPr>
          <w:rFonts w:eastAsia="Arial"/>
        </w:rPr>
      </w:pPr>
      <w:r w:rsidRPr="001B4CA2">
        <w:rPr>
          <w:rFonts w:eastAsia="Arial"/>
        </w:rPr>
        <w:t>U izvještajnom razdoblju optuženo je 467 osoba, što u odnosu na 312 osoba optuženih prethodne godine predstavlja</w:t>
      </w:r>
      <w:r w:rsidR="001B4CA2">
        <w:rPr>
          <w:rFonts w:eastAsia="Arial"/>
        </w:rPr>
        <w:t xml:space="preserve"> </w:t>
      </w:r>
      <w:r w:rsidRPr="001B4CA2">
        <w:rPr>
          <w:rFonts w:eastAsia="Arial"/>
        </w:rPr>
        <w:t>porast od 49,7</w:t>
      </w:r>
      <w:r w:rsidR="00D24E74">
        <w:rPr>
          <w:rFonts w:eastAsia="Arial"/>
        </w:rPr>
        <w:t> </w:t>
      </w:r>
      <w:r w:rsidRPr="001B4CA2">
        <w:rPr>
          <w:rFonts w:eastAsia="Arial"/>
        </w:rPr>
        <w:t xml:space="preserve">%. </w:t>
      </w:r>
    </w:p>
    <w:p w14:paraId="4DD4EA9C" w14:textId="77777777" w:rsidR="00F82676" w:rsidRPr="001B4CA2" w:rsidRDefault="00F82676" w:rsidP="00F82676">
      <w:pPr>
        <w:ind w:firstLine="708"/>
        <w:rPr>
          <w:rFonts w:eastAsia="Arial"/>
        </w:rPr>
      </w:pPr>
    </w:p>
    <w:p w14:paraId="7C39365D" w14:textId="2997D620" w:rsidR="00F82676" w:rsidRPr="001B4CA2" w:rsidRDefault="00F82676" w:rsidP="00F82676">
      <w:pPr>
        <w:ind w:firstLine="708"/>
        <w:rPr>
          <w:rFonts w:eastAsia="Arial"/>
        </w:rPr>
      </w:pPr>
      <w:r w:rsidRPr="001B4CA2">
        <w:rPr>
          <w:rFonts w:eastAsia="Arial"/>
        </w:rPr>
        <w:t>U odnosu na 313 optuženih osoba optužna vijeća nadležnih sudova nisu donijela odluke, što ukazuje na povećanu ažurnost rada sudova, odnosno radi se o padu broja optužnica bez odluke optužnih vijeća za 20,6</w:t>
      </w:r>
      <w:r w:rsidR="00D24E74">
        <w:rPr>
          <w:rFonts w:eastAsia="Arial"/>
        </w:rPr>
        <w:t> </w:t>
      </w:r>
      <w:r w:rsidRPr="001B4CA2">
        <w:rPr>
          <w:rFonts w:eastAsia="Arial"/>
        </w:rPr>
        <w:t xml:space="preserve">% u odnosu na prošlo izvještajno razdoblje.  </w:t>
      </w:r>
    </w:p>
    <w:p w14:paraId="39E789DE" w14:textId="77777777" w:rsidR="00F82676" w:rsidRPr="001B4CA2" w:rsidRDefault="00F82676" w:rsidP="00F82676">
      <w:pPr>
        <w:ind w:firstLine="708"/>
        <w:rPr>
          <w:rFonts w:eastAsia="Arial"/>
        </w:rPr>
      </w:pPr>
    </w:p>
    <w:p w14:paraId="02A0DBB3" w14:textId="45643977" w:rsidR="00F82676" w:rsidRPr="001B4CA2" w:rsidRDefault="00F82676" w:rsidP="00F82676">
      <w:pPr>
        <w:ind w:firstLine="708"/>
        <w:rPr>
          <w:rFonts w:eastAsia="Arial"/>
        </w:rPr>
      </w:pPr>
      <w:r w:rsidRPr="001B4CA2">
        <w:rPr>
          <w:rFonts w:eastAsia="Arial"/>
        </w:rPr>
        <w:t>Unatoč padu broja optuženih osoba bez odluke optužnih vijeća, ipak je na kraju izvještajnog razdoblja zabilježeno povećanje</w:t>
      </w:r>
      <w:r w:rsidRPr="001B4CA2">
        <w:t xml:space="preserve"> broja optuženih osoba</w:t>
      </w:r>
      <w:r w:rsidR="001B4CA2">
        <w:t xml:space="preserve"> </w:t>
      </w:r>
      <w:r w:rsidRPr="001B4CA2">
        <w:t>u radu nadležnih sudova za</w:t>
      </w:r>
      <w:r w:rsidRPr="001B4CA2">
        <w:rPr>
          <w:rFonts w:eastAsia="Arial"/>
        </w:rPr>
        <w:t xml:space="preserve"> 12,2</w:t>
      </w:r>
      <w:r w:rsidR="00D24E74">
        <w:rPr>
          <w:rFonts w:eastAsia="Arial"/>
        </w:rPr>
        <w:t> </w:t>
      </w:r>
      <w:r w:rsidRPr="001B4CA2">
        <w:rPr>
          <w:rFonts w:eastAsia="Arial"/>
        </w:rPr>
        <w:t>% (ukupno 1</w:t>
      </w:r>
      <w:r w:rsidR="005D30E9">
        <w:rPr>
          <w:rFonts w:eastAsia="Arial"/>
        </w:rPr>
        <w:t>.</w:t>
      </w:r>
      <w:r w:rsidRPr="001B4CA2">
        <w:rPr>
          <w:rFonts w:eastAsia="Arial"/>
        </w:rPr>
        <w:t>733 optužene osobe) u odnosu na 2021. godinu</w:t>
      </w:r>
      <w:r w:rsidR="001B4CA2">
        <w:rPr>
          <w:rFonts w:eastAsia="Arial"/>
        </w:rPr>
        <w:t xml:space="preserve"> </w:t>
      </w:r>
      <w:r w:rsidRPr="001B4CA2">
        <w:rPr>
          <w:rFonts w:eastAsia="Arial"/>
        </w:rPr>
        <w:t>(1</w:t>
      </w:r>
      <w:r w:rsidR="005D30E9">
        <w:rPr>
          <w:rFonts w:eastAsia="Arial"/>
        </w:rPr>
        <w:t>.</w:t>
      </w:r>
      <w:r w:rsidRPr="001B4CA2">
        <w:rPr>
          <w:rFonts w:eastAsia="Arial"/>
        </w:rPr>
        <w:t>545). Navedeno konstantno povećanje u proteklim godinama posljedica je predugog trajanja sudskih postupaka.</w:t>
      </w:r>
    </w:p>
    <w:p w14:paraId="70191187" w14:textId="77777777" w:rsidR="00F82676" w:rsidRPr="001B4CA2" w:rsidRDefault="00F82676" w:rsidP="00F82676">
      <w:pPr>
        <w:ind w:firstLine="708"/>
        <w:rPr>
          <w:rFonts w:eastAsia="Arial"/>
        </w:rPr>
      </w:pPr>
    </w:p>
    <w:p w14:paraId="0CC26E65" w14:textId="1325A90A" w:rsidR="00F82676" w:rsidRPr="001B4CA2" w:rsidRDefault="00F82676" w:rsidP="00F82676">
      <w:pPr>
        <w:ind w:firstLine="708"/>
        <w:rPr>
          <w:rFonts w:eastAsia="Arial"/>
        </w:rPr>
      </w:pPr>
      <w:r w:rsidRPr="001B4CA2">
        <w:rPr>
          <w:rFonts w:eastAsia="Arial"/>
        </w:rPr>
        <w:t>Ovi su po</w:t>
      </w:r>
      <w:r w:rsidR="00FD08E9">
        <w:rPr>
          <w:rFonts w:eastAsia="Arial"/>
        </w:rPr>
        <w:t>datci</w:t>
      </w:r>
      <w:r w:rsidRPr="001B4CA2">
        <w:rPr>
          <w:rFonts w:eastAsia="Arial"/>
        </w:rPr>
        <w:t xml:space="preserve"> posebno zabrinjavajući kada se uzme u obzir da Ured u posljednjih pet godina prosječno godišnje podigne optužnicu protiv 347 osoba, dok je u istom periodu pred sudom ostalo 1</w:t>
      </w:r>
      <w:r w:rsidR="00D24E74">
        <w:rPr>
          <w:rFonts w:eastAsia="Arial"/>
        </w:rPr>
        <w:t>.</w:t>
      </w:r>
      <w:r w:rsidRPr="001B4CA2">
        <w:rPr>
          <w:rFonts w:eastAsia="Arial"/>
        </w:rPr>
        <w:t>733 optuženih, a nepresuđenih osoba (gotovo 200 osoba više nego prethodne godine). Dakle, pred sudovima</w:t>
      </w:r>
      <w:r w:rsidR="001B4CA2">
        <w:rPr>
          <w:rFonts w:eastAsia="Arial"/>
        </w:rPr>
        <w:t xml:space="preserve"> </w:t>
      </w:r>
      <w:r w:rsidRPr="001B4CA2">
        <w:rPr>
          <w:rFonts w:eastAsia="Arial"/>
        </w:rPr>
        <w:t>broj nepresuđenih osoba odgovara petogodišnjem prosječnom broju optuženih osoba, što u znatnoj mjeri kreira percepciju javnosti o lošem pravosuđu u cjelini.</w:t>
      </w:r>
    </w:p>
    <w:p w14:paraId="66946990" w14:textId="074A86BD" w:rsidR="00D3013F" w:rsidRPr="001B4CA2" w:rsidRDefault="00D3013F" w:rsidP="00342F01">
      <w:pPr>
        <w:rPr>
          <w:rFonts w:eastAsia="Arial"/>
        </w:rPr>
      </w:pPr>
    </w:p>
    <w:p w14:paraId="511FB8A2" w14:textId="48FAECA0" w:rsidR="00EC75BB" w:rsidRPr="001B4CA2" w:rsidRDefault="00EC75BB" w:rsidP="00342F01">
      <w:pPr>
        <w:rPr>
          <w:rFonts w:eastAsia="Arial"/>
        </w:rPr>
      </w:pPr>
    </w:p>
    <w:p w14:paraId="5D54A4CB" w14:textId="0AC11BCC" w:rsidR="00EC75BB" w:rsidRPr="001B4CA2" w:rsidRDefault="00EC75BB" w:rsidP="00342F01">
      <w:pPr>
        <w:rPr>
          <w:rFonts w:eastAsia="Arial"/>
        </w:rPr>
      </w:pPr>
    </w:p>
    <w:p w14:paraId="2D5418EF" w14:textId="27D2FE4B" w:rsidR="00EC75BB" w:rsidRPr="001B4CA2" w:rsidRDefault="00EC75BB" w:rsidP="00342F01">
      <w:pPr>
        <w:rPr>
          <w:rFonts w:eastAsia="Arial"/>
        </w:rPr>
      </w:pPr>
    </w:p>
    <w:p w14:paraId="6472428F" w14:textId="56BD5540" w:rsidR="00EC75BB" w:rsidRPr="001B4CA2" w:rsidRDefault="00EC75BB" w:rsidP="00342F01">
      <w:pPr>
        <w:rPr>
          <w:rFonts w:eastAsia="Arial"/>
        </w:rPr>
      </w:pPr>
    </w:p>
    <w:p w14:paraId="387C5709" w14:textId="275E7B6F" w:rsidR="00EC75BB" w:rsidRPr="001B4CA2" w:rsidRDefault="00EC75BB" w:rsidP="00342F01">
      <w:pPr>
        <w:rPr>
          <w:rFonts w:eastAsia="Arial"/>
        </w:rPr>
      </w:pPr>
    </w:p>
    <w:p w14:paraId="6EB21AD4" w14:textId="6E029737" w:rsidR="00EC75BB" w:rsidRPr="001B4CA2" w:rsidRDefault="00EC75BB" w:rsidP="00342F01">
      <w:pPr>
        <w:rPr>
          <w:rFonts w:eastAsia="Arial"/>
        </w:rPr>
      </w:pPr>
    </w:p>
    <w:p w14:paraId="74700B8B" w14:textId="3BCFB660" w:rsidR="00EC75BB" w:rsidRPr="001B4CA2" w:rsidRDefault="00EC75BB" w:rsidP="00342F01">
      <w:pPr>
        <w:rPr>
          <w:rFonts w:eastAsia="Arial"/>
        </w:rPr>
      </w:pPr>
    </w:p>
    <w:p w14:paraId="2A946402" w14:textId="03BDD252" w:rsidR="00EC75BB" w:rsidRPr="001B4CA2" w:rsidRDefault="00EC75BB" w:rsidP="00342F01">
      <w:pPr>
        <w:rPr>
          <w:rFonts w:eastAsia="Arial"/>
        </w:rPr>
      </w:pPr>
    </w:p>
    <w:p w14:paraId="243A50DC" w14:textId="2316C261" w:rsidR="00EC75BB" w:rsidRDefault="00EC75BB" w:rsidP="00342F01">
      <w:pPr>
        <w:rPr>
          <w:rFonts w:eastAsia="Arial"/>
        </w:rPr>
      </w:pPr>
    </w:p>
    <w:p w14:paraId="3B2BD1EA" w14:textId="1B20CD36" w:rsidR="00D57807" w:rsidRDefault="00D57807" w:rsidP="00342F01">
      <w:pPr>
        <w:rPr>
          <w:rFonts w:eastAsia="Arial"/>
        </w:rPr>
      </w:pPr>
    </w:p>
    <w:p w14:paraId="546D43DE" w14:textId="77777777" w:rsidR="00D57807" w:rsidRPr="001B4CA2" w:rsidRDefault="00D57807" w:rsidP="00342F01">
      <w:pPr>
        <w:rPr>
          <w:rFonts w:eastAsia="Arial"/>
        </w:rPr>
      </w:pPr>
    </w:p>
    <w:p w14:paraId="67862C73" w14:textId="5604FCE6" w:rsidR="00554A3B" w:rsidRPr="001B4CA2" w:rsidRDefault="00554A3B" w:rsidP="00955E23">
      <w:pPr>
        <w:pStyle w:val="Naslov4"/>
        <w:tabs>
          <w:tab w:val="left" w:pos="1134"/>
        </w:tabs>
        <w:rPr>
          <w:rFonts w:ascii="Arial" w:eastAsia="Arial" w:hAnsi="Arial" w:cs="Arial"/>
        </w:rPr>
      </w:pPr>
      <w:bookmarkStart w:id="132" w:name="_Toc133394362"/>
      <w:r w:rsidRPr="001B4CA2">
        <w:rPr>
          <w:rFonts w:ascii="Arial" w:eastAsia="Arial" w:hAnsi="Arial" w:cs="Arial"/>
        </w:rPr>
        <w:lastRenderedPageBreak/>
        <w:t>Odluke pred optužnim vijećem</w:t>
      </w:r>
      <w:bookmarkEnd w:id="132"/>
    </w:p>
    <w:p w14:paraId="33710D87" w14:textId="26DDF878" w:rsidR="00554A3B" w:rsidRPr="001B4CA2" w:rsidRDefault="00554A3B" w:rsidP="00554A3B">
      <w:pPr>
        <w:rPr>
          <w:i/>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567"/>
        <w:gridCol w:w="709"/>
        <w:gridCol w:w="1134"/>
        <w:gridCol w:w="992"/>
        <w:gridCol w:w="992"/>
        <w:gridCol w:w="992"/>
        <w:gridCol w:w="992"/>
        <w:gridCol w:w="993"/>
      </w:tblGrid>
      <w:tr w:rsidR="00532C41" w:rsidRPr="001B4CA2" w14:paraId="7E5CAD30" w14:textId="77777777" w:rsidTr="00D57807">
        <w:trPr>
          <w:trHeight w:val="599"/>
        </w:trPr>
        <w:tc>
          <w:tcPr>
            <w:tcW w:w="851" w:type="dxa"/>
            <w:vMerge w:val="restart"/>
            <w:shd w:val="clear" w:color="000000" w:fill="99CCFF"/>
            <w:noWrap/>
            <w:vAlign w:val="center"/>
            <w:hideMark/>
          </w:tcPr>
          <w:p w14:paraId="1320C9EA" w14:textId="77777777" w:rsidR="0035536C" w:rsidRPr="001B4CA2" w:rsidRDefault="0035536C" w:rsidP="00982442">
            <w:pPr>
              <w:jc w:val="center"/>
              <w:rPr>
                <w:rFonts w:eastAsia="Times New Roman"/>
                <w:b/>
                <w:sz w:val="18"/>
                <w:szCs w:val="18"/>
                <w:lang w:eastAsia="hr-HR"/>
              </w:rPr>
            </w:pPr>
            <w:r w:rsidRPr="001B4CA2">
              <w:rPr>
                <w:rFonts w:eastAsia="Times New Roman"/>
                <w:b/>
                <w:sz w:val="18"/>
                <w:szCs w:val="18"/>
                <w:lang w:eastAsia="hr-HR"/>
              </w:rPr>
              <w:t>Godina</w:t>
            </w:r>
          </w:p>
        </w:tc>
        <w:tc>
          <w:tcPr>
            <w:tcW w:w="708" w:type="dxa"/>
            <w:vMerge w:val="restart"/>
            <w:shd w:val="clear" w:color="000000" w:fill="99CCFF"/>
            <w:textDirection w:val="btLr"/>
            <w:vAlign w:val="center"/>
          </w:tcPr>
          <w:p w14:paraId="72B1AF2E" w14:textId="6BA1C8DC" w:rsidR="0035536C" w:rsidRPr="001B4CA2" w:rsidRDefault="0035536C" w:rsidP="003F1CB6">
            <w:pPr>
              <w:ind w:left="113" w:right="113"/>
              <w:jc w:val="left"/>
              <w:rPr>
                <w:rFonts w:eastAsia="Times New Roman"/>
                <w:b/>
                <w:sz w:val="18"/>
                <w:szCs w:val="18"/>
                <w:lang w:eastAsia="hr-HR"/>
              </w:rPr>
            </w:pPr>
            <w:r w:rsidRPr="001B4CA2">
              <w:rPr>
                <w:rFonts w:eastAsia="Times New Roman"/>
                <w:b/>
                <w:sz w:val="18"/>
                <w:szCs w:val="18"/>
                <w:lang w:eastAsia="hr-HR"/>
              </w:rPr>
              <w:t>Ukupno nepotvrđenih optužnica</w:t>
            </w:r>
          </w:p>
        </w:tc>
        <w:tc>
          <w:tcPr>
            <w:tcW w:w="567" w:type="dxa"/>
            <w:vMerge w:val="restart"/>
            <w:shd w:val="clear" w:color="000000" w:fill="99CCFF"/>
            <w:textDirection w:val="btLr"/>
            <w:vAlign w:val="center"/>
            <w:hideMark/>
          </w:tcPr>
          <w:p w14:paraId="6BEECFA0" w14:textId="39F5F53D" w:rsidR="0035536C" w:rsidRPr="001B4CA2" w:rsidRDefault="0035536C" w:rsidP="003F1CB6">
            <w:pPr>
              <w:ind w:left="113" w:right="113"/>
              <w:jc w:val="left"/>
              <w:rPr>
                <w:rFonts w:eastAsia="Times New Roman"/>
                <w:b/>
                <w:sz w:val="18"/>
                <w:szCs w:val="18"/>
                <w:lang w:eastAsia="hr-HR"/>
              </w:rPr>
            </w:pPr>
            <w:r w:rsidRPr="001B4CA2">
              <w:rPr>
                <w:rFonts w:eastAsia="Times New Roman"/>
                <w:b/>
                <w:sz w:val="18"/>
                <w:szCs w:val="18"/>
                <w:lang w:eastAsia="hr-HR"/>
              </w:rPr>
              <w:t>Ustup</w:t>
            </w:r>
          </w:p>
        </w:tc>
        <w:tc>
          <w:tcPr>
            <w:tcW w:w="709" w:type="dxa"/>
            <w:vMerge w:val="restart"/>
            <w:shd w:val="clear" w:color="000000" w:fill="99CCFF"/>
            <w:textDirection w:val="btLr"/>
            <w:vAlign w:val="center"/>
          </w:tcPr>
          <w:p w14:paraId="111E6F02" w14:textId="68A6C5AB" w:rsidR="0035536C" w:rsidRPr="001B4CA2" w:rsidRDefault="0035536C" w:rsidP="003F1CB6">
            <w:pPr>
              <w:ind w:left="113" w:right="113"/>
              <w:jc w:val="left"/>
              <w:rPr>
                <w:rFonts w:eastAsia="Times New Roman"/>
                <w:b/>
                <w:sz w:val="18"/>
                <w:szCs w:val="18"/>
                <w:lang w:eastAsia="hr-HR"/>
              </w:rPr>
            </w:pPr>
            <w:r w:rsidRPr="001B4CA2">
              <w:rPr>
                <w:rFonts w:eastAsia="Times New Roman"/>
                <w:b/>
                <w:sz w:val="18"/>
                <w:szCs w:val="18"/>
                <w:lang w:eastAsia="hr-HR"/>
              </w:rPr>
              <w:t>Povučena optužnica</w:t>
            </w:r>
          </w:p>
        </w:tc>
        <w:tc>
          <w:tcPr>
            <w:tcW w:w="1134" w:type="dxa"/>
            <w:vMerge w:val="restart"/>
            <w:shd w:val="clear" w:color="000000" w:fill="99CCFF"/>
            <w:textDirection w:val="btLr"/>
            <w:vAlign w:val="center"/>
            <w:hideMark/>
          </w:tcPr>
          <w:p w14:paraId="43A0211D" w14:textId="44B67D04" w:rsidR="0035536C" w:rsidRPr="001B4CA2" w:rsidRDefault="0035536C" w:rsidP="003F1CB6">
            <w:pPr>
              <w:ind w:left="113" w:right="113"/>
              <w:jc w:val="left"/>
              <w:rPr>
                <w:rFonts w:eastAsia="Times New Roman"/>
                <w:b/>
                <w:sz w:val="18"/>
                <w:szCs w:val="18"/>
                <w:lang w:eastAsia="hr-HR"/>
              </w:rPr>
            </w:pPr>
            <w:r w:rsidRPr="001B4CA2">
              <w:rPr>
                <w:rFonts w:eastAsia="Times New Roman"/>
                <w:b/>
                <w:sz w:val="18"/>
                <w:szCs w:val="18"/>
                <w:lang w:eastAsia="hr-HR"/>
              </w:rPr>
              <w:t>Presuda s kaznenim nalogom</w:t>
            </w:r>
            <w:r w:rsidR="00310130" w:rsidRPr="001B4CA2">
              <w:rPr>
                <w:rFonts w:eastAsia="Times New Roman"/>
                <w:b/>
                <w:sz w:val="18"/>
                <w:szCs w:val="18"/>
                <w:lang w:eastAsia="hr-HR"/>
              </w:rPr>
              <w:t xml:space="preserve"> – </w:t>
            </w:r>
            <w:r w:rsidRPr="001B4CA2">
              <w:rPr>
                <w:rFonts w:eastAsia="Times New Roman"/>
                <w:b/>
                <w:sz w:val="18"/>
                <w:szCs w:val="18"/>
                <w:lang w:eastAsia="hr-HR"/>
              </w:rPr>
              <w:t>pravomoćna</w:t>
            </w:r>
          </w:p>
        </w:tc>
        <w:tc>
          <w:tcPr>
            <w:tcW w:w="4961" w:type="dxa"/>
            <w:gridSpan w:val="5"/>
            <w:shd w:val="clear" w:color="000000" w:fill="99CCFF"/>
            <w:vAlign w:val="center"/>
            <w:hideMark/>
          </w:tcPr>
          <w:p w14:paraId="6EE5BBA5" w14:textId="103478BB" w:rsidR="0035536C" w:rsidRPr="001B4CA2" w:rsidRDefault="0035536C" w:rsidP="008508CE">
            <w:pPr>
              <w:jc w:val="center"/>
              <w:rPr>
                <w:rFonts w:eastAsia="Times New Roman"/>
                <w:b/>
                <w:sz w:val="18"/>
                <w:szCs w:val="18"/>
                <w:lang w:eastAsia="hr-HR"/>
              </w:rPr>
            </w:pPr>
            <w:r w:rsidRPr="001B4CA2">
              <w:rPr>
                <w:rFonts w:eastAsia="Times New Roman"/>
                <w:b/>
                <w:sz w:val="18"/>
                <w:szCs w:val="18"/>
                <w:lang w:eastAsia="hr-HR"/>
              </w:rPr>
              <w:t>Odluke optužnog vijeća</w:t>
            </w:r>
          </w:p>
        </w:tc>
      </w:tr>
      <w:tr w:rsidR="007A070B" w:rsidRPr="001B4CA2" w14:paraId="3D8F4F60" w14:textId="77777777" w:rsidTr="00D57807">
        <w:trPr>
          <w:trHeight w:val="1117"/>
        </w:trPr>
        <w:tc>
          <w:tcPr>
            <w:tcW w:w="851" w:type="dxa"/>
            <w:vMerge/>
            <w:shd w:val="clear" w:color="000000" w:fill="99CCFF"/>
            <w:noWrap/>
            <w:vAlign w:val="center"/>
          </w:tcPr>
          <w:p w14:paraId="446CFB34" w14:textId="77777777" w:rsidR="00554A3B" w:rsidRPr="001B4CA2" w:rsidRDefault="00554A3B" w:rsidP="00CF341D">
            <w:pPr>
              <w:jc w:val="center"/>
              <w:rPr>
                <w:rFonts w:eastAsia="Times New Roman"/>
                <w:b/>
                <w:sz w:val="18"/>
                <w:szCs w:val="18"/>
                <w:lang w:eastAsia="hr-HR"/>
              </w:rPr>
            </w:pPr>
          </w:p>
        </w:tc>
        <w:tc>
          <w:tcPr>
            <w:tcW w:w="708" w:type="dxa"/>
            <w:vMerge/>
            <w:shd w:val="clear" w:color="000000" w:fill="99CCFF"/>
            <w:textDirection w:val="btLr"/>
          </w:tcPr>
          <w:p w14:paraId="31AC611E" w14:textId="77777777" w:rsidR="00554A3B" w:rsidRPr="001B4CA2" w:rsidRDefault="00554A3B" w:rsidP="008508CE">
            <w:pPr>
              <w:ind w:left="113" w:right="113"/>
              <w:jc w:val="center"/>
              <w:rPr>
                <w:rFonts w:eastAsia="Times New Roman"/>
                <w:b/>
                <w:sz w:val="18"/>
                <w:szCs w:val="18"/>
                <w:lang w:eastAsia="hr-HR"/>
              </w:rPr>
            </w:pPr>
          </w:p>
        </w:tc>
        <w:tc>
          <w:tcPr>
            <w:tcW w:w="567" w:type="dxa"/>
            <w:vMerge/>
            <w:shd w:val="clear" w:color="000000" w:fill="99CCFF"/>
            <w:textDirection w:val="btLr"/>
            <w:vAlign w:val="center"/>
          </w:tcPr>
          <w:p w14:paraId="23EDE1F8" w14:textId="259A75F8" w:rsidR="00554A3B" w:rsidRPr="001B4CA2" w:rsidRDefault="00554A3B" w:rsidP="008508CE">
            <w:pPr>
              <w:ind w:left="113" w:right="113"/>
              <w:jc w:val="center"/>
              <w:rPr>
                <w:rFonts w:eastAsia="Times New Roman"/>
                <w:b/>
                <w:sz w:val="18"/>
                <w:szCs w:val="18"/>
                <w:lang w:eastAsia="hr-HR"/>
              </w:rPr>
            </w:pPr>
          </w:p>
        </w:tc>
        <w:tc>
          <w:tcPr>
            <w:tcW w:w="709" w:type="dxa"/>
            <w:vMerge/>
            <w:shd w:val="clear" w:color="000000" w:fill="99CCFF"/>
            <w:textDirection w:val="btLr"/>
          </w:tcPr>
          <w:p w14:paraId="164CA793" w14:textId="77777777" w:rsidR="00554A3B" w:rsidRPr="001B4CA2" w:rsidRDefault="00554A3B" w:rsidP="008508CE">
            <w:pPr>
              <w:ind w:left="113" w:right="113"/>
              <w:jc w:val="center"/>
              <w:rPr>
                <w:rFonts w:eastAsia="Times New Roman"/>
                <w:b/>
                <w:sz w:val="18"/>
                <w:szCs w:val="18"/>
                <w:lang w:eastAsia="hr-HR"/>
              </w:rPr>
            </w:pPr>
          </w:p>
        </w:tc>
        <w:tc>
          <w:tcPr>
            <w:tcW w:w="1134" w:type="dxa"/>
            <w:vMerge/>
            <w:shd w:val="clear" w:color="000000" w:fill="99CCFF"/>
            <w:textDirection w:val="btLr"/>
            <w:vAlign w:val="center"/>
          </w:tcPr>
          <w:p w14:paraId="7802A608" w14:textId="579550E1" w:rsidR="00554A3B" w:rsidRPr="001B4CA2" w:rsidRDefault="00554A3B" w:rsidP="008508CE">
            <w:pPr>
              <w:ind w:left="113" w:right="113"/>
              <w:jc w:val="center"/>
              <w:rPr>
                <w:rFonts w:eastAsia="Times New Roman"/>
                <w:b/>
                <w:sz w:val="18"/>
                <w:szCs w:val="18"/>
                <w:lang w:eastAsia="hr-HR"/>
              </w:rPr>
            </w:pPr>
          </w:p>
        </w:tc>
        <w:tc>
          <w:tcPr>
            <w:tcW w:w="992" w:type="dxa"/>
            <w:shd w:val="clear" w:color="000000" w:fill="99CCFF"/>
            <w:textDirection w:val="btLr"/>
            <w:vAlign w:val="center"/>
          </w:tcPr>
          <w:p w14:paraId="18A870ED" w14:textId="5EE255B0" w:rsidR="00554A3B" w:rsidRPr="001B4CA2" w:rsidRDefault="00554A3B" w:rsidP="003F1CB6">
            <w:pPr>
              <w:ind w:left="113" w:right="113"/>
              <w:jc w:val="left"/>
              <w:rPr>
                <w:rFonts w:eastAsia="Times New Roman"/>
                <w:b/>
                <w:sz w:val="18"/>
                <w:szCs w:val="18"/>
                <w:lang w:eastAsia="hr-HR"/>
              </w:rPr>
            </w:pPr>
            <w:r w:rsidRPr="001B4CA2">
              <w:rPr>
                <w:rFonts w:eastAsia="Times New Roman"/>
                <w:b/>
                <w:sz w:val="18"/>
                <w:szCs w:val="18"/>
                <w:lang w:eastAsia="hr-HR"/>
              </w:rPr>
              <w:t>Optužnica potvrđena</w:t>
            </w:r>
          </w:p>
        </w:tc>
        <w:tc>
          <w:tcPr>
            <w:tcW w:w="992" w:type="dxa"/>
            <w:shd w:val="clear" w:color="000000" w:fill="99CCFF"/>
            <w:textDirection w:val="btLr"/>
            <w:vAlign w:val="center"/>
          </w:tcPr>
          <w:p w14:paraId="1100FCDB" w14:textId="50DFB8BD" w:rsidR="00554A3B" w:rsidRPr="001B4CA2" w:rsidRDefault="00554A3B" w:rsidP="003F1CB6">
            <w:pPr>
              <w:ind w:left="113" w:right="113"/>
              <w:jc w:val="left"/>
              <w:rPr>
                <w:rFonts w:eastAsia="Times New Roman"/>
                <w:b/>
                <w:sz w:val="18"/>
                <w:szCs w:val="18"/>
                <w:lang w:eastAsia="hr-HR"/>
              </w:rPr>
            </w:pPr>
            <w:r w:rsidRPr="001B4CA2">
              <w:rPr>
                <w:rFonts w:eastAsia="Times New Roman"/>
                <w:b/>
                <w:sz w:val="18"/>
                <w:szCs w:val="18"/>
                <w:lang w:eastAsia="hr-HR"/>
              </w:rPr>
              <w:t>Optužnica vraćena</w:t>
            </w:r>
          </w:p>
        </w:tc>
        <w:tc>
          <w:tcPr>
            <w:tcW w:w="992" w:type="dxa"/>
            <w:shd w:val="clear" w:color="000000" w:fill="99CCFF"/>
            <w:textDirection w:val="btLr"/>
            <w:vAlign w:val="center"/>
          </w:tcPr>
          <w:p w14:paraId="6DF11F58" w14:textId="721082E4" w:rsidR="00554A3B" w:rsidRPr="001B4CA2" w:rsidRDefault="0035536C" w:rsidP="003F1CB6">
            <w:pPr>
              <w:ind w:left="113" w:right="113"/>
              <w:jc w:val="left"/>
              <w:rPr>
                <w:rFonts w:eastAsia="Times New Roman"/>
                <w:b/>
                <w:sz w:val="18"/>
                <w:szCs w:val="18"/>
                <w:lang w:eastAsia="hr-HR"/>
              </w:rPr>
            </w:pPr>
            <w:r w:rsidRPr="001B4CA2">
              <w:rPr>
                <w:rFonts w:eastAsia="Times New Roman"/>
                <w:b/>
                <w:sz w:val="18"/>
                <w:szCs w:val="18"/>
                <w:lang w:eastAsia="hr-HR"/>
              </w:rPr>
              <w:t>Obustava po optužnom vijeću</w:t>
            </w:r>
          </w:p>
        </w:tc>
        <w:tc>
          <w:tcPr>
            <w:tcW w:w="992" w:type="dxa"/>
            <w:shd w:val="clear" w:color="000000" w:fill="99CCFF"/>
            <w:textDirection w:val="btLr"/>
            <w:vAlign w:val="center"/>
          </w:tcPr>
          <w:p w14:paraId="564C5F3D" w14:textId="35FBF2AD" w:rsidR="00554A3B" w:rsidRPr="001B4CA2" w:rsidRDefault="00554A3B" w:rsidP="003F1CB6">
            <w:pPr>
              <w:ind w:left="113" w:right="113"/>
              <w:jc w:val="left"/>
              <w:rPr>
                <w:rFonts w:eastAsia="Times New Roman"/>
                <w:b/>
                <w:sz w:val="18"/>
                <w:szCs w:val="18"/>
                <w:lang w:eastAsia="hr-HR"/>
              </w:rPr>
            </w:pPr>
            <w:r w:rsidRPr="001B4CA2">
              <w:rPr>
                <w:rFonts w:eastAsia="Times New Roman"/>
                <w:b/>
                <w:sz w:val="18"/>
                <w:szCs w:val="18"/>
                <w:lang w:eastAsia="hr-HR"/>
              </w:rPr>
              <w:t>Ukupno o</w:t>
            </w:r>
            <w:r w:rsidR="0035536C" w:rsidRPr="001B4CA2">
              <w:rPr>
                <w:rFonts w:eastAsia="Times New Roman"/>
                <w:b/>
                <w:sz w:val="18"/>
                <w:szCs w:val="18"/>
                <w:lang w:eastAsia="hr-HR"/>
              </w:rPr>
              <w:t>dluka optužnog vijeća</w:t>
            </w:r>
          </w:p>
        </w:tc>
        <w:tc>
          <w:tcPr>
            <w:tcW w:w="993" w:type="dxa"/>
            <w:shd w:val="clear" w:color="000000" w:fill="99CCFF"/>
            <w:textDirection w:val="btLr"/>
            <w:vAlign w:val="center"/>
          </w:tcPr>
          <w:p w14:paraId="4AEE9322" w14:textId="1AC73659" w:rsidR="00554A3B" w:rsidRPr="001B4CA2" w:rsidRDefault="0035536C" w:rsidP="003F1CB6">
            <w:pPr>
              <w:ind w:left="113" w:right="113"/>
              <w:jc w:val="left"/>
              <w:rPr>
                <w:rFonts w:eastAsia="Times New Roman"/>
                <w:b/>
                <w:sz w:val="18"/>
                <w:szCs w:val="18"/>
                <w:lang w:eastAsia="hr-HR"/>
              </w:rPr>
            </w:pPr>
            <w:r w:rsidRPr="001B4CA2">
              <w:rPr>
                <w:rFonts w:eastAsia="Times New Roman"/>
                <w:b/>
                <w:sz w:val="18"/>
                <w:szCs w:val="18"/>
                <w:lang w:eastAsia="hr-HR"/>
              </w:rPr>
              <w:t>Ostalo u radu pred optužnim vijećem</w:t>
            </w:r>
          </w:p>
        </w:tc>
      </w:tr>
      <w:tr w:rsidR="007A070B" w:rsidRPr="001B4CA2" w14:paraId="42ABD58A" w14:textId="77777777" w:rsidTr="00D57807">
        <w:trPr>
          <w:trHeight w:val="340"/>
        </w:trPr>
        <w:tc>
          <w:tcPr>
            <w:tcW w:w="851" w:type="dxa"/>
            <w:shd w:val="clear" w:color="auto" w:fill="auto"/>
            <w:noWrap/>
            <w:vAlign w:val="center"/>
          </w:tcPr>
          <w:p w14:paraId="3DE4EF6A" w14:textId="450A3437" w:rsidR="00D203FA" w:rsidRPr="001B4CA2" w:rsidRDefault="00D203FA" w:rsidP="00CF341D">
            <w:pPr>
              <w:jc w:val="center"/>
              <w:rPr>
                <w:rFonts w:eastAsia="Times New Roman"/>
                <w:sz w:val="18"/>
                <w:szCs w:val="18"/>
                <w:lang w:eastAsia="hr-HR"/>
              </w:rPr>
            </w:pPr>
            <w:r w:rsidRPr="001B4CA2">
              <w:rPr>
                <w:rFonts w:eastAsia="Times New Roman"/>
                <w:color w:val="000000"/>
                <w:sz w:val="18"/>
                <w:szCs w:val="18"/>
                <w:lang w:eastAsia="hr-HR"/>
              </w:rPr>
              <w:t>201</w:t>
            </w:r>
            <w:r w:rsidR="007A070B" w:rsidRPr="001B4CA2">
              <w:rPr>
                <w:rFonts w:eastAsia="Times New Roman"/>
                <w:color w:val="000000"/>
                <w:sz w:val="18"/>
                <w:szCs w:val="18"/>
                <w:lang w:eastAsia="hr-HR"/>
              </w:rPr>
              <w:t>8</w:t>
            </w:r>
            <w:r w:rsidRPr="001B4CA2">
              <w:rPr>
                <w:rFonts w:eastAsia="Times New Roman"/>
                <w:color w:val="000000"/>
                <w:sz w:val="18"/>
                <w:szCs w:val="18"/>
                <w:lang w:eastAsia="hr-HR"/>
              </w:rPr>
              <w:t>.</w:t>
            </w:r>
          </w:p>
        </w:tc>
        <w:tc>
          <w:tcPr>
            <w:tcW w:w="708" w:type="dxa"/>
            <w:vAlign w:val="center"/>
          </w:tcPr>
          <w:p w14:paraId="2644A7CB" w14:textId="2CFA1E13" w:rsidR="00D203FA" w:rsidRPr="001B4CA2" w:rsidRDefault="00D203FA" w:rsidP="00CF341D">
            <w:pPr>
              <w:jc w:val="center"/>
              <w:rPr>
                <w:rFonts w:eastAsia="Times New Roman"/>
                <w:sz w:val="18"/>
                <w:szCs w:val="18"/>
                <w:lang w:eastAsia="hr-HR"/>
              </w:rPr>
            </w:pPr>
            <w:r w:rsidRPr="001B4CA2">
              <w:rPr>
                <w:rFonts w:eastAsia="Times New Roman"/>
                <w:color w:val="000000"/>
                <w:sz w:val="18"/>
                <w:szCs w:val="18"/>
                <w:lang w:eastAsia="hr-HR"/>
              </w:rPr>
              <w:t> </w:t>
            </w:r>
          </w:p>
        </w:tc>
        <w:tc>
          <w:tcPr>
            <w:tcW w:w="567" w:type="dxa"/>
            <w:shd w:val="clear" w:color="auto" w:fill="auto"/>
            <w:noWrap/>
            <w:vAlign w:val="center"/>
          </w:tcPr>
          <w:p w14:paraId="12C191AC" w14:textId="12609975" w:rsidR="00D203FA" w:rsidRPr="001B4CA2" w:rsidRDefault="00D203FA" w:rsidP="00484F03">
            <w:pPr>
              <w:jc w:val="center"/>
              <w:rPr>
                <w:rFonts w:eastAsia="Times New Roman"/>
                <w:sz w:val="18"/>
                <w:szCs w:val="18"/>
                <w:lang w:eastAsia="hr-HR"/>
              </w:rPr>
            </w:pPr>
            <w:r w:rsidRPr="001B4CA2">
              <w:rPr>
                <w:rFonts w:eastAsia="Times New Roman"/>
                <w:color w:val="000000"/>
                <w:sz w:val="18"/>
                <w:szCs w:val="18"/>
                <w:lang w:eastAsia="hr-HR"/>
              </w:rPr>
              <w:t> </w:t>
            </w:r>
          </w:p>
        </w:tc>
        <w:tc>
          <w:tcPr>
            <w:tcW w:w="709" w:type="dxa"/>
            <w:vAlign w:val="center"/>
          </w:tcPr>
          <w:p w14:paraId="52B6C554" w14:textId="1EEBD178" w:rsidR="00D203FA" w:rsidRPr="001B4CA2" w:rsidRDefault="00D203FA" w:rsidP="00484F03">
            <w:pPr>
              <w:jc w:val="center"/>
              <w:rPr>
                <w:rFonts w:eastAsia="Times New Roman"/>
                <w:sz w:val="18"/>
                <w:szCs w:val="18"/>
                <w:lang w:eastAsia="hr-HR"/>
              </w:rPr>
            </w:pPr>
            <w:r w:rsidRPr="001B4CA2">
              <w:rPr>
                <w:rFonts w:eastAsia="Times New Roman"/>
                <w:color w:val="000000"/>
                <w:sz w:val="18"/>
                <w:szCs w:val="18"/>
                <w:lang w:eastAsia="hr-HR"/>
              </w:rPr>
              <w:t> </w:t>
            </w:r>
          </w:p>
        </w:tc>
        <w:tc>
          <w:tcPr>
            <w:tcW w:w="1134" w:type="dxa"/>
            <w:shd w:val="clear" w:color="auto" w:fill="auto"/>
            <w:noWrap/>
            <w:vAlign w:val="center"/>
          </w:tcPr>
          <w:p w14:paraId="26FE36FF" w14:textId="57CFAE04" w:rsidR="00D203FA" w:rsidRPr="001B4CA2" w:rsidRDefault="00D203FA" w:rsidP="00484F03">
            <w:pPr>
              <w:jc w:val="center"/>
              <w:rPr>
                <w:rFonts w:eastAsia="Times New Roman"/>
                <w:sz w:val="18"/>
                <w:szCs w:val="18"/>
                <w:lang w:eastAsia="hr-HR"/>
              </w:rPr>
            </w:pPr>
            <w:r w:rsidRPr="001B4CA2">
              <w:rPr>
                <w:rFonts w:eastAsia="Times New Roman"/>
                <w:color w:val="000000"/>
                <w:sz w:val="18"/>
                <w:szCs w:val="18"/>
                <w:lang w:eastAsia="hr-HR"/>
              </w:rPr>
              <w:t> </w:t>
            </w:r>
          </w:p>
        </w:tc>
        <w:tc>
          <w:tcPr>
            <w:tcW w:w="992" w:type="dxa"/>
            <w:shd w:val="clear" w:color="auto" w:fill="auto"/>
            <w:noWrap/>
            <w:vAlign w:val="center"/>
          </w:tcPr>
          <w:p w14:paraId="0190A15E" w14:textId="7BB44F35"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261</w:t>
            </w:r>
          </w:p>
        </w:tc>
        <w:tc>
          <w:tcPr>
            <w:tcW w:w="992" w:type="dxa"/>
            <w:shd w:val="clear" w:color="auto" w:fill="auto"/>
            <w:noWrap/>
            <w:vAlign w:val="center"/>
          </w:tcPr>
          <w:p w14:paraId="248B46A0" w14:textId="3D0FC22A"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13</w:t>
            </w:r>
          </w:p>
        </w:tc>
        <w:tc>
          <w:tcPr>
            <w:tcW w:w="992" w:type="dxa"/>
            <w:shd w:val="clear" w:color="auto" w:fill="auto"/>
            <w:noWrap/>
            <w:vAlign w:val="center"/>
          </w:tcPr>
          <w:p w14:paraId="0E2139CD" w14:textId="0FE5D074" w:rsidR="00D203FA" w:rsidRPr="001B4CA2" w:rsidRDefault="00D203FA" w:rsidP="00484F03">
            <w:pPr>
              <w:jc w:val="center"/>
              <w:rPr>
                <w:rFonts w:eastAsia="Times New Roman"/>
                <w:sz w:val="18"/>
                <w:szCs w:val="18"/>
                <w:lang w:eastAsia="hr-HR"/>
              </w:rPr>
            </w:pPr>
            <w:r w:rsidRPr="001B4CA2">
              <w:rPr>
                <w:rFonts w:eastAsia="Times New Roman"/>
                <w:color w:val="000000"/>
                <w:sz w:val="18"/>
                <w:szCs w:val="18"/>
                <w:lang w:eastAsia="hr-HR"/>
              </w:rPr>
              <w:t>12</w:t>
            </w:r>
          </w:p>
        </w:tc>
        <w:tc>
          <w:tcPr>
            <w:tcW w:w="992" w:type="dxa"/>
            <w:vAlign w:val="center"/>
          </w:tcPr>
          <w:p w14:paraId="2BB32C00" w14:textId="4A05F02F"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286</w:t>
            </w:r>
          </w:p>
        </w:tc>
        <w:tc>
          <w:tcPr>
            <w:tcW w:w="993" w:type="dxa"/>
            <w:vAlign w:val="center"/>
          </w:tcPr>
          <w:p w14:paraId="13ABD8E0" w14:textId="42BA69DD" w:rsidR="00D203FA" w:rsidRPr="001B4CA2" w:rsidRDefault="00D203FA" w:rsidP="00484F03">
            <w:pPr>
              <w:jc w:val="center"/>
              <w:rPr>
                <w:rFonts w:eastAsia="Times New Roman"/>
                <w:sz w:val="18"/>
                <w:szCs w:val="18"/>
                <w:lang w:eastAsia="hr-HR"/>
              </w:rPr>
            </w:pPr>
            <w:r w:rsidRPr="001B4CA2">
              <w:rPr>
                <w:rFonts w:eastAsia="Times New Roman"/>
                <w:color w:val="000000"/>
                <w:sz w:val="18"/>
                <w:szCs w:val="18"/>
                <w:lang w:eastAsia="hr-HR"/>
              </w:rPr>
              <w:t> </w:t>
            </w:r>
          </w:p>
        </w:tc>
      </w:tr>
      <w:tr w:rsidR="007A070B" w:rsidRPr="001B4CA2" w14:paraId="4BE8803B" w14:textId="77777777" w:rsidTr="00D57807">
        <w:trPr>
          <w:trHeight w:val="340"/>
        </w:trPr>
        <w:tc>
          <w:tcPr>
            <w:tcW w:w="851" w:type="dxa"/>
            <w:shd w:val="clear" w:color="auto" w:fill="auto"/>
            <w:noWrap/>
            <w:vAlign w:val="center"/>
          </w:tcPr>
          <w:p w14:paraId="552BEE41" w14:textId="1DDA0B20" w:rsidR="00D203FA" w:rsidRPr="001B4CA2" w:rsidRDefault="00D203FA" w:rsidP="00CF341D">
            <w:pPr>
              <w:jc w:val="center"/>
              <w:rPr>
                <w:rFonts w:eastAsia="Times New Roman"/>
                <w:sz w:val="18"/>
                <w:szCs w:val="18"/>
                <w:lang w:eastAsia="hr-HR"/>
              </w:rPr>
            </w:pPr>
            <w:r w:rsidRPr="001B4CA2">
              <w:rPr>
                <w:rFonts w:eastAsia="Times New Roman"/>
                <w:color w:val="000000"/>
                <w:sz w:val="18"/>
                <w:szCs w:val="18"/>
                <w:lang w:eastAsia="hr-HR"/>
              </w:rPr>
              <w:t>201</w:t>
            </w:r>
            <w:r w:rsidR="007A070B" w:rsidRPr="001B4CA2">
              <w:rPr>
                <w:rFonts w:eastAsia="Times New Roman"/>
                <w:color w:val="000000"/>
                <w:sz w:val="18"/>
                <w:szCs w:val="18"/>
                <w:lang w:eastAsia="hr-HR"/>
              </w:rPr>
              <w:t>9</w:t>
            </w:r>
            <w:r w:rsidRPr="001B4CA2">
              <w:rPr>
                <w:rFonts w:eastAsia="Times New Roman"/>
                <w:color w:val="000000"/>
                <w:sz w:val="18"/>
                <w:szCs w:val="18"/>
                <w:lang w:eastAsia="hr-HR"/>
              </w:rPr>
              <w:t>.</w:t>
            </w:r>
          </w:p>
        </w:tc>
        <w:tc>
          <w:tcPr>
            <w:tcW w:w="708" w:type="dxa"/>
            <w:vAlign w:val="center"/>
          </w:tcPr>
          <w:p w14:paraId="34B6DC71" w14:textId="277EF16C" w:rsidR="00D203FA" w:rsidRPr="001B4CA2" w:rsidRDefault="00D203FA" w:rsidP="00CF341D">
            <w:pPr>
              <w:jc w:val="center"/>
              <w:rPr>
                <w:rFonts w:eastAsia="Times New Roman"/>
                <w:sz w:val="18"/>
                <w:szCs w:val="18"/>
                <w:lang w:eastAsia="hr-HR"/>
              </w:rPr>
            </w:pPr>
            <w:r w:rsidRPr="001B4CA2">
              <w:rPr>
                <w:rFonts w:eastAsia="Times New Roman"/>
                <w:color w:val="000000"/>
                <w:sz w:val="18"/>
                <w:szCs w:val="18"/>
                <w:lang w:eastAsia="hr-HR"/>
              </w:rPr>
              <w:t> </w:t>
            </w:r>
          </w:p>
        </w:tc>
        <w:tc>
          <w:tcPr>
            <w:tcW w:w="567" w:type="dxa"/>
            <w:shd w:val="clear" w:color="auto" w:fill="auto"/>
            <w:noWrap/>
            <w:vAlign w:val="center"/>
          </w:tcPr>
          <w:p w14:paraId="1160110D" w14:textId="4C007867" w:rsidR="00D203FA" w:rsidRPr="001B4CA2" w:rsidRDefault="00D203FA" w:rsidP="00484F03">
            <w:pPr>
              <w:jc w:val="center"/>
              <w:rPr>
                <w:rFonts w:eastAsia="Times New Roman"/>
                <w:sz w:val="18"/>
                <w:szCs w:val="18"/>
                <w:lang w:eastAsia="hr-HR"/>
              </w:rPr>
            </w:pPr>
            <w:r w:rsidRPr="001B4CA2">
              <w:rPr>
                <w:rFonts w:eastAsia="Times New Roman"/>
                <w:color w:val="000000"/>
                <w:sz w:val="18"/>
                <w:szCs w:val="18"/>
                <w:lang w:eastAsia="hr-HR"/>
              </w:rPr>
              <w:t> </w:t>
            </w:r>
          </w:p>
        </w:tc>
        <w:tc>
          <w:tcPr>
            <w:tcW w:w="709" w:type="dxa"/>
            <w:vAlign w:val="center"/>
          </w:tcPr>
          <w:p w14:paraId="18AA120C" w14:textId="4917DBC9" w:rsidR="00D203FA" w:rsidRPr="001B4CA2" w:rsidRDefault="00D203FA" w:rsidP="00484F03">
            <w:pPr>
              <w:jc w:val="center"/>
              <w:rPr>
                <w:rFonts w:eastAsia="Times New Roman"/>
                <w:sz w:val="18"/>
                <w:szCs w:val="18"/>
                <w:lang w:eastAsia="hr-HR"/>
              </w:rPr>
            </w:pPr>
            <w:r w:rsidRPr="001B4CA2">
              <w:rPr>
                <w:rFonts w:eastAsia="Times New Roman"/>
                <w:color w:val="000000"/>
                <w:sz w:val="18"/>
                <w:szCs w:val="18"/>
                <w:lang w:eastAsia="hr-HR"/>
              </w:rPr>
              <w:t> </w:t>
            </w:r>
          </w:p>
        </w:tc>
        <w:tc>
          <w:tcPr>
            <w:tcW w:w="1134" w:type="dxa"/>
            <w:shd w:val="clear" w:color="auto" w:fill="auto"/>
            <w:noWrap/>
            <w:vAlign w:val="center"/>
          </w:tcPr>
          <w:p w14:paraId="2D7AE69B" w14:textId="33579C17" w:rsidR="00D203FA" w:rsidRPr="001B4CA2" w:rsidRDefault="00D203FA" w:rsidP="00484F03">
            <w:pPr>
              <w:jc w:val="center"/>
              <w:rPr>
                <w:rFonts w:eastAsia="Times New Roman"/>
                <w:sz w:val="18"/>
                <w:szCs w:val="18"/>
                <w:lang w:eastAsia="hr-HR"/>
              </w:rPr>
            </w:pPr>
            <w:r w:rsidRPr="001B4CA2">
              <w:rPr>
                <w:rFonts w:eastAsia="Times New Roman"/>
                <w:color w:val="000000"/>
                <w:sz w:val="18"/>
                <w:szCs w:val="18"/>
                <w:lang w:eastAsia="hr-HR"/>
              </w:rPr>
              <w:t> </w:t>
            </w:r>
          </w:p>
        </w:tc>
        <w:tc>
          <w:tcPr>
            <w:tcW w:w="992" w:type="dxa"/>
            <w:shd w:val="clear" w:color="auto" w:fill="auto"/>
            <w:noWrap/>
            <w:vAlign w:val="center"/>
          </w:tcPr>
          <w:p w14:paraId="5EED9BB4" w14:textId="408EFB5D"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392</w:t>
            </w:r>
          </w:p>
        </w:tc>
        <w:tc>
          <w:tcPr>
            <w:tcW w:w="992" w:type="dxa"/>
            <w:shd w:val="clear" w:color="auto" w:fill="auto"/>
            <w:noWrap/>
            <w:vAlign w:val="center"/>
          </w:tcPr>
          <w:p w14:paraId="5C7B2899" w14:textId="0EDE7CD1"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0</w:t>
            </w:r>
          </w:p>
        </w:tc>
        <w:tc>
          <w:tcPr>
            <w:tcW w:w="992" w:type="dxa"/>
            <w:shd w:val="clear" w:color="auto" w:fill="auto"/>
            <w:noWrap/>
            <w:vAlign w:val="center"/>
          </w:tcPr>
          <w:p w14:paraId="7BD1581C" w14:textId="7C0F2EFC"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4</w:t>
            </w:r>
          </w:p>
        </w:tc>
        <w:tc>
          <w:tcPr>
            <w:tcW w:w="992" w:type="dxa"/>
            <w:vAlign w:val="center"/>
          </w:tcPr>
          <w:p w14:paraId="292E24E8" w14:textId="66BC13D2"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396</w:t>
            </w:r>
          </w:p>
        </w:tc>
        <w:tc>
          <w:tcPr>
            <w:tcW w:w="993" w:type="dxa"/>
            <w:vAlign w:val="center"/>
          </w:tcPr>
          <w:p w14:paraId="6A4A9FFC" w14:textId="3C8CDC7E" w:rsidR="00D203FA" w:rsidRPr="001B4CA2" w:rsidRDefault="00D203FA" w:rsidP="00484F03">
            <w:pPr>
              <w:jc w:val="center"/>
              <w:rPr>
                <w:rFonts w:eastAsia="Times New Roman"/>
                <w:sz w:val="18"/>
                <w:szCs w:val="18"/>
                <w:lang w:eastAsia="hr-HR"/>
              </w:rPr>
            </w:pPr>
            <w:r w:rsidRPr="001B4CA2">
              <w:rPr>
                <w:rFonts w:eastAsia="Times New Roman"/>
                <w:color w:val="000000"/>
                <w:sz w:val="18"/>
                <w:szCs w:val="18"/>
                <w:lang w:eastAsia="hr-HR"/>
              </w:rPr>
              <w:t> </w:t>
            </w:r>
          </w:p>
        </w:tc>
      </w:tr>
      <w:tr w:rsidR="007A070B" w:rsidRPr="001B4CA2" w14:paraId="3937A311" w14:textId="77777777" w:rsidTr="00D57807">
        <w:trPr>
          <w:trHeight w:val="340"/>
        </w:trPr>
        <w:tc>
          <w:tcPr>
            <w:tcW w:w="851" w:type="dxa"/>
            <w:shd w:val="clear" w:color="auto" w:fill="auto"/>
            <w:noWrap/>
            <w:vAlign w:val="center"/>
          </w:tcPr>
          <w:p w14:paraId="318C30AD" w14:textId="3F1A4569" w:rsidR="00D203FA" w:rsidRPr="001B4CA2" w:rsidRDefault="00D203FA" w:rsidP="00CF341D">
            <w:pPr>
              <w:jc w:val="center"/>
              <w:rPr>
                <w:rFonts w:eastAsia="Times New Roman"/>
                <w:sz w:val="18"/>
                <w:szCs w:val="18"/>
                <w:lang w:eastAsia="hr-HR"/>
              </w:rPr>
            </w:pPr>
            <w:r w:rsidRPr="001B4CA2">
              <w:rPr>
                <w:rFonts w:eastAsia="Times New Roman"/>
                <w:color w:val="000000"/>
                <w:sz w:val="18"/>
                <w:szCs w:val="18"/>
                <w:lang w:eastAsia="hr-HR"/>
              </w:rPr>
              <w:t>20</w:t>
            </w:r>
            <w:r w:rsidR="007A070B" w:rsidRPr="001B4CA2">
              <w:rPr>
                <w:rFonts w:eastAsia="Times New Roman"/>
                <w:color w:val="000000"/>
                <w:sz w:val="18"/>
                <w:szCs w:val="18"/>
                <w:lang w:eastAsia="hr-HR"/>
              </w:rPr>
              <w:t>20</w:t>
            </w:r>
            <w:r w:rsidRPr="001B4CA2">
              <w:rPr>
                <w:rFonts w:eastAsia="Times New Roman"/>
                <w:color w:val="000000"/>
                <w:sz w:val="18"/>
                <w:szCs w:val="18"/>
                <w:lang w:eastAsia="hr-HR"/>
              </w:rPr>
              <w:t>.</w:t>
            </w:r>
          </w:p>
        </w:tc>
        <w:tc>
          <w:tcPr>
            <w:tcW w:w="708" w:type="dxa"/>
            <w:vAlign w:val="center"/>
          </w:tcPr>
          <w:p w14:paraId="651A69C1" w14:textId="55DA0195" w:rsidR="00D203FA" w:rsidRPr="001B4CA2" w:rsidRDefault="00D203FA" w:rsidP="00CF341D">
            <w:pPr>
              <w:jc w:val="center"/>
              <w:rPr>
                <w:rFonts w:eastAsia="Times New Roman"/>
                <w:sz w:val="18"/>
                <w:szCs w:val="18"/>
                <w:lang w:eastAsia="hr-HR"/>
              </w:rPr>
            </w:pPr>
            <w:r w:rsidRPr="001B4CA2">
              <w:rPr>
                <w:rFonts w:eastAsia="Times New Roman"/>
                <w:color w:val="000000"/>
                <w:sz w:val="18"/>
                <w:szCs w:val="18"/>
                <w:lang w:eastAsia="hr-HR"/>
              </w:rPr>
              <w:t> </w:t>
            </w:r>
          </w:p>
        </w:tc>
        <w:tc>
          <w:tcPr>
            <w:tcW w:w="567" w:type="dxa"/>
            <w:shd w:val="clear" w:color="auto" w:fill="auto"/>
            <w:noWrap/>
            <w:vAlign w:val="center"/>
          </w:tcPr>
          <w:p w14:paraId="6A341D22" w14:textId="277B8368" w:rsidR="00D203FA" w:rsidRPr="001B4CA2" w:rsidRDefault="00D203FA" w:rsidP="00484F03">
            <w:pPr>
              <w:jc w:val="center"/>
              <w:rPr>
                <w:rFonts w:eastAsia="Times New Roman"/>
                <w:sz w:val="18"/>
                <w:szCs w:val="18"/>
                <w:lang w:eastAsia="hr-HR"/>
              </w:rPr>
            </w:pPr>
            <w:r w:rsidRPr="001B4CA2">
              <w:rPr>
                <w:rFonts w:eastAsia="Times New Roman"/>
                <w:color w:val="000000"/>
                <w:sz w:val="18"/>
                <w:szCs w:val="18"/>
                <w:lang w:eastAsia="hr-HR"/>
              </w:rPr>
              <w:t> </w:t>
            </w:r>
          </w:p>
        </w:tc>
        <w:tc>
          <w:tcPr>
            <w:tcW w:w="709" w:type="dxa"/>
            <w:vAlign w:val="center"/>
          </w:tcPr>
          <w:p w14:paraId="74F71C0D" w14:textId="486CE1D5" w:rsidR="00D203FA" w:rsidRPr="001B4CA2" w:rsidRDefault="00D203FA" w:rsidP="00484F03">
            <w:pPr>
              <w:jc w:val="center"/>
              <w:rPr>
                <w:rFonts w:eastAsia="Times New Roman"/>
                <w:sz w:val="18"/>
                <w:szCs w:val="18"/>
                <w:lang w:eastAsia="hr-HR"/>
              </w:rPr>
            </w:pPr>
            <w:r w:rsidRPr="001B4CA2">
              <w:rPr>
                <w:rFonts w:eastAsia="Times New Roman"/>
                <w:color w:val="000000"/>
                <w:sz w:val="18"/>
                <w:szCs w:val="18"/>
                <w:lang w:eastAsia="hr-HR"/>
              </w:rPr>
              <w:t> </w:t>
            </w:r>
          </w:p>
        </w:tc>
        <w:tc>
          <w:tcPr>
            <w:tcW w:w="1134" w:type="dxa"/>
            <w:shd w:val="clear" w:color="auto" w:fill="auto"/>
            <w:noWrap/>
            <w:vAlign w:val="center"/>
          </w:tcPr>
          <w:p w14:paraId="6C4E9BB5" w14:textId="142072F0" w:rsidR="00D203FA" w:rsidRPr="001B4CA2" w:rsidRDefault="00D203FA" w:rsidP="00484F03">
            <w:pPr>
              <w:jc w:val="center"/>
              <w:rPr>
                <w:rFonts w:eastAsia="Times New Roman"/>
                <w:sz w:val="18"/>
                <w:szCs w:val="18"/>
                <w:lang w:eastAsia="hr-HR"/>
              </w:rPr>
            </w:pPr>
            <w:r w:rsidRPr="001B4CA2">
              <w:rPr>
                <w:rFonts w:eastAsia="Times New Roman"/>
                <w:color w:val="000000"/>
                <w:sz w:val="18"/>
                <w:szCs w:val="18"/>
                <w:lang w:eastAsia="hr-HR"/>
              </w:rPr>
              <w:t> </w:t>
            </w:r>
          </w:p>
        </w:tc>
        <w:tc>
          <w:tcPr>
            <w:tcW w:w="992" w:type="dxa"/>
            <w:shd w:val="clear" w:color="auto" w:fill="auto"/>
            <w:noWrap/>
            <w:vAlign w:val="center"/>
          </w:tcPr>
          <w:p w14:paraId="1EB86059" w14:textId="16240D14"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133</w:t>
            </w:r>
          </w:p>
        </w:tc>
        <w:tc>
          <w:tcPr>
            <w:tcW w:w="992" w:type="dxa"/>
            <w:shd w:val="clear" w:color="auto" w:fill="auto"/>
            <w:noWrap/>
            <w:vAlign w:val="center"/>
          </w:tcPr>
          <w:p w14:paraId="2254F7E5" w14:textId="08670FAF" w:rsidR="00D203FA" w:rsidRPr="001B4CA2" w:rsidRDefault="007A070B" w:rsidP="00484F03">
            <w:pPr>
              <w:jc w:val="center"/>
              <w:rPr>
                <w:rFonts w:eastAsia="Times New Roman"/>
                <w:sz w:val="18"/>
                <w:szCs w:val="18"/>
                <w:lang w:eastAsia="hr-HR"/>
              </w:rPr>
            </w:pPr>
            <w:r w:rsidRPr="001B4CA2">
              <w:rPr>
                <w:rFonts w:eastAsia="Times New Roman"/>
                <w:sz w:val="18"/>
                <w:szCs w:val="18"/>
                <w:lang w:eastAsia="hr-HR"/>
              </w:rPr>
              <w:t>7</w:t>
            </w:r>
          </w:p>
        </w:tc>
        <w:tc>
          <w:tcPr>
            <w:tcW w:w="992" w:type="dxa"/>
            <w:shd w:val="clear" w:color="auto" w:fill="auto"/>
            <w:noWrap/>
            <w:vAlign w:val="center"/>
          </w:tcPr>
          <w:p w14:paraId="30B6E38F" w14:textId="760A43B3"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0</w:t>
            </w:r>
          </w:p>
        </w:tc>
        <w:tc>
          <w:tcPr>
            <w:tcW w:w="992" w:type="dxa"/>
            <w:vAlign w:val="center"/>
          </w:tcPr>
          <w:p w14:paraId="7344B6D8" w14:textId="0CD5D789"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140</w:t>
            </w:r>
          </w:p>
        </w:tc>
        <w:tc>
          <w:tcPr>
            <w:tcW w:w="993" w:type="dxa"/>
            <w:vAlign w:val="center"/>
          </w:tcPr>
          <w:p w14:paraId="2E276AC4" w14:textId="67A868EF" w:rsidR="00D203FA" w:rsidRPr="001B4CA2" w:rsidRDefault="00D203FA" w:rsidP="00484F03">
            <w:pPr>
              <w:jc w:val="center"/>
              <w:rPr>
                <w:rFonts w:eastAsia="Times New Roman"/>
                <w:sz w:val="18"/>
                <w:szCs w:val="18"/>
                <w:lang w:eastAsia="hr-HR"/>
              </w:rPr>
            </w:pPr>
            <w:r w:rsidRPr="001B4CA2">
              <w:rPr>
                <w:rFonts w:eastAsia="Times New Roman"/>
                <w:color w:val="000000"/>
                <w:sz w:val="18"/>
                <w:szCs w:val="18"/>
                <w:lang w:eastAsia="hr-HR"/>
              </w:rPr>
              <w:t> </w:t>
            </w:r>
          </w:p>
        </w:tc>
      </w:tr>
      <w:tr w:rsidR="007A070B" w:rsidRPr="001B4CA2" w14:paraId="275C98EB" w14:textId="77777777" w:rsidTr="00D57807">
        <w:trPr>
          <w:trHeight w:val="340"/>
        </w:trPr>
        <w:tc>
          <w:tcPr>
            <w:tcW w:w="851" w:type="dxa"/>
            <w:shd w:val="clear" w:color="auto" w:fill="auto"/>
            <w:noWrap/>
            <w:vAlign w:val="center"/>
          </w:tcPr>
          <w:p w14:paraId="2677900E" w14:textId="1ADCEA68" w:rsidR="00D203FA" w:rsidRPr="001B4CA2" w:rsidRDefault="00D203FA" w:rsidP="00CF341D">
            <w:pPr>
              <w:jc w:val="center"/>
              <w:rPr>
                <w:rFonts w:eastAsia="Times New Roman"/>
                <w:sz w:val="18"/>
                <w:szCs w:val="18"/>
                <w:lang w:eastAsia="hr-HR"/>
              </w:rPr>
            </w:pPr>
            <w:r w:rsidRPr="001B4CA2">
              <w:rPr>
                <w:rFonts w:eastAsia="Times New Roman"/>
                <w:color w:val="000000"/>
                <w:sz w:val="18"/>
                <w:szCs w:val="18"/>
                <w:lang w:eastAsia="hr-HR"/>
              </w:rPr>
              <w:t>202</w:t>
            </w:r>
            <w:r w:rsidR="007A070B" w:rsidRPr="001B4CA2">
              <w:rPr>
                <w:rFonts w:eastAsia="Times New Roman"/>
                <w:color w:val="000000"/>
                <w:sz w:val="18"/>
                <w:szCs w:val="18"/>
                <w:lang w:eastAsia="hr-HR"/>
              </w:rPr>
              <w:t>1</w:t>
            </w:r>
            <w:r w:rsidRPr="001B4CA2">
              <w:rPr>
                <w:rFonts w:eastAsia="Times New Roman"/>
                <w:color w:val="000000"/>
                <w:sz w:val="18"/>
                <w:szCs w:val="18"/>
                <w:lang w:eastAsia="hr-HR"/>
              </w:rPr>
              <w:t>.</w:t>
            </w:r>
          </w:p>
        </w:tc>
        <w:tc>
          <w:tcPr>
            <w:tcW w:w="708" w:type="dxa"/>
            <w:vAlign w:val="center"/>
          </w:tcPr>
          <w:p w14:paraId="6655F35E" w14:textId="555719A4" w:rsidR="00D203FA" w:rsidRPr="001B4CA2" w:rsidRDefault="007A070B" w:rsidP="00CF341D">
            <w:pPr>
              <w:jc w:val="center"/>
              <w:rPr>
                <w:rFonts w:eastAsia="Times New Roman"/>
                <w:sz w:val="18"/>
                <w:szCs w:val="18"/>
                <w:lang w:eastAsia="hr-HR"/>
              </w:rPr>
            </w:pPr>
            <w:r w:rsidRPr="001B4CA2">
              <w:rPr>
                <w:rFonts w:eastAsia="Times New Roman"/>
                <w:color w:val="000000"/>
                <w:sz w:val="18"/>
                <w:szCs w:val="18"/>
                <w:lang w:eastAsia="hr-HR"/>
              </w:rPr>
              <w:t>394</w:t>
            </w:r>
            <w:r w:rsidR="00D203FA" w:rsidRPr="001B4CA2">
              <w:rPr>
                <w:rFonts w:eastAsia="Times New Roman"/>
                <w:color w:val="000000"/>
                <w:sz w:val="18"/>
                <w:szCs w:val="18"/>
                <w:lang w:eastAsia="hr-HR"/>
              </w:rPr>
              <w:t> </w:t>
            </w:r>
          </w:p>
        </w:tc>
        <w:tc>
          <w:tcPr>
            <w:tcW w:w="567" w:type="dxa"/>
            <w:shd w:val="clear" w:color="auto" w:fill="auto"/>
            <w:noWrap/>
            <w:vAlign w:val="center"/>
          </w:tcPr>
          <w:p w14:paraId="53DE2A7F" w14:textId="26D496EB" w:rsidR="00D203FA" w:rsidRPr="001B4CA2" w:rsidRDefault="007A070B" w:rsidP="00484F03">
            <w:pPr>
              <w:jc w:val="center"/>
              <w:rPr>
                <w:rFonts w:eastAsia="Times New Roman"/>
                <w:sz w:val="18"/>
                <w:szCs w:val="18"/>
                <w:lang w:eastAsia="hr-HR"/>
              </w:rPr>
            </w:pPr>
            <w:r w:rsidRPr="001B4CA2">
              <w:rPr>
                <w:rFonts w:eastAsia="Times New Roman"/>
                <w:sz w:val="18"/>
                <w:szCs w:val="18"/>
                <w:lang w:eastAsia="hr-HR"/>
              </w:rPr>
              <w:t>0</w:t>
            </w:r>
          </w:p>
        </w:tc>
        <w:tc>
          <w:tcPr>
            <w:tcW w:w="709" w:type="dxa"/>
            <w:vAlign w:val="center"/>
          </w:tcPr>
          <w:p w14:paraId="520D1254" w14:textId="76D8A660" w:rsidR="00D203FA" w:rsidRPr="001B4CA2" w:rsidRDefault="007A070B" w:rsidP="00484F03">
            <w:pPr>
              <w:jc w:val="center"/>
              <w:rPr>
                <w:rFonts w:eastAsia="Times New Roman"/>
                <w:sz w:val="18"/>
                <w:szCs w:val="18"/>
                <w:lang w:eastAsia="hr-HR"/>
              </w:rPr>
            </w:pPr>
            <w:r w:rsidRPr="001B4CA2">
              <w:rPr>
                <w:rFonts w:eastAsia="Times New Roman"/>
                <w:sz w:val="18"/>
                <w:szCs w:val="18"/>
                <w:lang w:eastAsia="hr-HR"/>
              </w:rPr>
              <w:t>0</w:t>
            </w:r>
          </w:p>
        </w:tc>
        <w:tc>
          <w:tcPr>
            <w:tcW w:w="1134" w:type="dxa"/>
            <w:shd w:val="clear" w:color="auto" w:fill="auto"/>
            <w:noWrap/>
            <w:vAlign w:val="center"/>
          </w:tcPr>
          <w:p w14:paraId="0D1139EF" w14:textId="1DB9C7EB" w:rsidR="00D203FA" w:rsidRPr="001B4CA2" w:rsidRDefault="007A070B" w:rsidP="00484F03">
            <w:pPr>
              <w:jc w:val="center"/>
              <w:rPr>
                <w:rFonts w:eastAsia="Times New Roman"/>
                <w:sz w:val="18"/>
                <w:szCs w:val="18"/>
                <w:lang w:eastAsia="hr-HR"/>
              </w:rPr>
            </w:pPr>
            <w:r w:rsidRPr="001B4CA2">
              <w:rPr>
                <w:rFonts w:eastAsia="Times New Roman"/>
                <w:sz w:val="18"/>
                <w:szCs w:val="18"/>
                <w:lang w:eastAsia="hr-HR"/>
              </w:rPr>
              <w:t>0</w:t>
            </w:r>
          </w:p>
        </w:tc>
        <w:tc>
          <w:tcPr>
            <w:tcW w:w="992" w:type="dxa"/>
            <w:shd w:val="clear" w:color="auto" w:fill="auto"/>
            <w:noWrap/>
            <w:vAlign w:val="center"/>
          </w:tcPr>
          <w:p w14:paraId="68E83999" w14:textId="4D42543D"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364</w:t>
            </w:r>
          </w:p>
        </w:tc>
        <w:tc>
          <w:tcPr>
            <w:tcW w:w="992" w:type="dxa"/>
            <w:shd w:val="clear" w:color="auto" w:fill="auto"/>
            <w:noWrap/>
            <w:vAlign w:val="center"/>
          </w:tcPr>
          <w:p w14:paraId="2FF69021" w14:textId="65D2D619"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23</w:t>
            </w:r>
          </w:p>
        </w:tc>
        <w:tc>
          <w:tcPr>
            <w:tcW w:w="992" w:type="dxa"/>
            <w:shd w:val="clear" w:color="auto" w:fill="auto"/>
            <w:noWrap/>
            <w:vAlign w:val="center"/>
          </w:tcPr>
          <w:p w14:paraId="21040AE5" w14:textId="723D6C42" w:rsidR="00D203FA" w:rsidRPr="001B4CA2" w:rsidRDefault="007A070B" w:rsidP="00484F03">
            <w:pPr>
              <w:jc w:val="center"/>
              <w:rPr>
                <w:rFonts w:eastAsia="Times New Roman"/>
                <w:sz w:val="18"/>
                <w:szCs w:val="18"/>
                <w:lang w:eastAsia="hr-HR"/>
              </w:rPr>
            </w:pPr>
            <w:r w:rsidRPr="001B4CA2">
              <w:rPr>
                <w:rFonts w:eastAsia="Times New Roman"/>
                <w:sz w:val="18"/>
                <w:szCs w:val="18"/>
                <w:lang w:eastAsia="hr-HR"/>
              </w:rPr>
              <w:t>3</w:t>
            </w:r>
          </w:p>
        </w:tc>
        <w:tc>
          <w:tcPr>
            <w:tcW w:w="992" w:type="dxa"/>
            <w:vAlign w:val="center"/>
          </w:tcPr>
          <w:p w14:paraId="3322C2EB" w14:textId="19A113BC"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390</w:t>
            </w:r>
          </w:p>
        </w:tc>
        <w:tc>
          <w:tcPr>
            <w:tcW w:w="993" w:type="dxa"/>
            <w:vAlign w:val="center"/>
          </w:tcPr>
          <w:p w14:paraId="579C6F09" w14:textId="524ABBCE"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316</w:t>
            </w:r>
          </w:p>
        </w:tc>
      </w:tr>
      <w:tr w:rsidR="007A070B" w:rsidRPr="001B4CA2" w14:paraId="0434A5C6" w14:textId="77777777" w:rsidTr="00D57807">
        <w:trPr>
          <w:trHeight w:val="340"/>
        </w:trPr>
        <w:tc>
          <w:tcPr>
            <w:tcW w:w="851" w:type="dxa"/>
            <w:shd w:val="clear" w:color="auto" w:fill="auto"/>
            <w:noWrap/>
            <w:vAlign w:val="center"/>
          </w:tcPr>
          <w:p w14:paraId="26633163" w14:textId="708250F4" w:rsidR="00D203FA" w:rsidRPr="001B4CA2" w:rsidRDefault="00D203FA" w:rsidP="00CF341D">
            <w:pPr>
              <w:jc w:val="center"/>
              <w:rPr>
                <w:rFonts w:eastAsia="Times New Roman"/>
                <w:sz w:val="18"/>
                <w:szCs w:val="18"/>
                <w:lang w:eastAsia="hr-HR"/>
              </w:rPr>
            </w:pPr>
            <w:r w:rsidRPr="001B4CA2">
              <w:rPr>
                <w:rFonts w:eastAsia="Times New Roman"/>
                <w:color w:val="000000"/>
                <w:sz w:val="18"/>
                <w:szCs w:val="18"/>
                <w:lang w:eastAsia="hr-HR"/>
              </w:rPr>
              <w:t>202</w:t>
            </w:r>
            <w:r w:rsidR="007A070B" w:rsidRPr="001B4CA2">
              <w:rPr>
                <w:rFonts w:eastAsia="Times New Roman"/>
                <w:color w:val="000000"/>
                <w:sz w:val="18"/>
                <w:szCs w:val="18"/>
                <w:lang w:eastAsia="hr-HR"/>
              </w:rPr>
              <w:t>2</w:t>
            </w:r>
            <w:r w:rsidRPr="001B4CA2">
              <w:rPr>
                <w:rFonts w:eastAsia="Times New Roman"/>
                <w:color w:val="000000"/>
                <w:sz w:val="18"/>
                <w:szCs w:val="18"/>
                <w:lang w:eastAsia="hr-HR"/>
              </w:rPr>
              <w:t>.</w:t>
            </w:r>
          </w:p>
        </w:tc>
        <w:tc>
          <w:tcPr>
            <w:tcW w:w="708" w:type="dxa"/>
            <w:vAlign w:val="center"/>
          </w:tcPr>
          <w:p w14:paraId="139C7CEE" w14:textId="7DE07424" w:rsidR="00D203FA" w:rsidRPr="001B4CA2" w:rsidRDefault="007A070B" w:rsidP="00CF341D">
            <w:pPr>
              <w:jc w:val="center"/>
              <w:rPr>
                <w:rFonts w:eastAsia="Times New Roman"/>
                <w:sz w:val="18"/>
                <w:szCs w:val="18"/>
                <w:lang w:eastAsia="hr-HR"/>
              </w:rPr>
            </w:pPr>
            <w:r w:rsidRPr="001B4CA2">
              <w:rPr>
                <w:rFonts w:eastAsia="Times New Roman"/>
                <w:color w:val="000000"/>
                <w:sz w:val="18"/>
                <w:szCs w:val="18"/>
                <w:lang w:eastAsia="hr-HR"/>
              </w:rPr>
              <w:t>778</w:t>
            </w:r>
            <w:r w:rsidR="00D203FA" w:rsidRPr="001B4CA2">
              <w:rPr>
                <w:rFonts w:eastAsia="Times New Roman"/>
                <w:color w:val="000000"/>
                <w:sz w:val="18"/>
                <w:szCs w:val="18"/>
                <w:lang w:eastAsia="hr-HR"/>
              </w:rPr>
              <w:t> </w:t>
            </w:r>
          </w:p>
        </w:tc>
        <w:tc>
          <w:tcPr>
            <w:tcW w:w="567" w:type="dxa"/>
            <w:shd w:val="clear" w:color="auto" w:fill="auto"/>
            <w:noWrap/>
            <w:vAlign w:val="center"/>
          </w:tcPr>
          <w:p w14:paraId="466A576A" w14:textId="44AE895E" w:rsidR="00D203FA" w:rsidRPr="001B4CA2" w:rsidRDefault="007A070B" w:rsidP="00484F03">
            <w:pPr>
              <w:jc w:val="center"/>
              <w:rPr>
                <w:rFonts w:eastAsia="Times New Roman"/>
                <w:sz w:val="18"/>
                <w:szCs w:val="18"/>
                <w:lang w:eastAsia="hr-HR"/>
              </w:rPr>
            </w:pPr>
            <w:r w:rsidRPr="001B4CA2">
              <w:rPr>
                <w:rFonts w:eastAsia="Times New Roman"/>
                <w:sz w:val="18"/>
                <w:szCs w:val="18"/>
                <w:lang w:eastAsia="hr-HR"/>
              </w:rPr>
              <w:t>0</w:t>
            </w:r>
          </w:p>
        </w:tc>
        <w:tc>
          <w:tcPr>
            <w:tcW w:w="709" w:type="dxa"/>
            <w:vAlign w:val="center"/>
          </w:tcPr>
          <w:p w14:paraId="3B5CDD08" w14:textId="707398CC" w:rsidR="00D203FA" w:rsidRPr="001B4CA2" w:rsidRDefault="007A070B" w:rsidP="00484F03">
            <w:pPr>
              <w:jc w:val="center"/>
              <w:rPr>
                <w:rFonts w:eastAsia="Times New Roman"/>
                <w:sz w:val="18"/>
                <w:szCs w:val="18"/>
                <w:lang w:eastAsia="hr-HR"/>
              </w:rPr>
            </w:pPr>
            <w:r w:rsidRPr="001B4CA2">
              <w:rPr>
                <w:rFonts w:eastAsia="Times New Roman"/>
                <w:sz w:val="18"/>
                <w:szCs w:val="18"/>
                <w:lang w:eastAsia="hr-HR"/>
              </w:rPr>
              <w:t>1</w:t>
            </w:r>
          </w:p>
        </w:tc>
        <w:tc>
          <w:tcPr>
            <w:tcW w:w="1134" w:type="dxa"/>
            <w:shd w:val="clear" w:color="auto" w:fill="auto"/>
            <w:noWrap/>
            <w:vAlign w:val="center"/>
          </w:tcPr>
          <w:p w14:paraId="78A85D0A" w14:textId="7B3734F2" w:rsidR="00D203FA" w:rsidRPr="001B4CA2" w:rsidRDefault="007A070B" w:rsidP="00484F03">
            <w:pPr>
              <w:jc w:val="center"/>
              <w:rPr>
                <w:rFonts w:eastAsia="Times New Roman"/>
                <w:sz w:val="18"/>
                <w:szCs w:val="18"/>
                <w:lang w:eastAsia="hr-HR"/>
              </w:rPr>
            </w:pPr>
            <w:r w:rsidRPr="001B4CA2">
              <w:rPr>
                <w:rFonts w:eastAsia="Times New Roman"/>
                <w:sz w:val="18"/>
                <w:szCs w:val="18"/>
                <w:lang w:eastAsia="hr-HR"/>
              </w:rPr>
              <w:t>0</w:t>
            </w:r>
          </w:p>
        </w:tc>
        <w:tc>
          <w:tcPr>
            <w:tcW w:w="992" w:type="dxa"/>
            <w:shd w:val="clear" w:color="auto" w:fill="auto"/>
            <w:noWrap/>
            <w:vAlign w:val="center"/>
          </w:tcPr>
          <w:p w14:paraId="6E06392C" w14:textId="552A645C"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315</w:t>
            </w:r>
          </w:p>
        </w:tc>
        <w:tc>
          <w:tcPr>
            <w:tcW w:w="992" w:type="dxa"/>
            <w:shd w:val="clear" w:color="auto" w:fill="auto"/>
            <w:noWrap/>
            <w:vAlign w:val="center"/>
          </w:tcPr>
          <w:p w14:paraId="7FCC4671" w14:textId="5245C828"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7</w:t>
            </w:r>
          </w:p>
        </w:tc>
        <w:tc>
          <w:tcPr>
            <w:tcW w:w="992" w:type="dxa"/>
            <w:shd w:val="clear" w:color="auto" w:fill="auto"/>
            <w:noWrap/>
            <w:vAlign w:val="center"/>
          </w:tcPr>
          <w:p w14:paraId="5AB747D3" w14:textId="67CB02F5"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1</w:t>
            </w:r>
            <w:r w:rsidR="00D203FA" w:rsidRPr="001B4CA2">
              <w:rPr>
                <w:rFonts w:eastAsia="Times New Roman"/>
                <w:color w:val="000000"/>
                <w:sz w:val="18"/>
                <w:szCs w:val="18"/>
                <w:lang w:eastAsia="hr-HR"/>
              </w:rPr>
              <w:t>3</w:t>
            </w:r>
          </w:p>
        </w:tc>
        <w:tc>
          <w:tcPr>
            <w:tcW w:w="992" w:type="dxa"/>
            <w:vAlign w:val="center"/>
          </w:tcPr>
          <w:p w14:paraId="444B3D59" w14:textId="478C573D"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335</w:t>
            </w:r>
          </w:p>
        </w:tc>
        <w:tc>
          <w:tcPr>
            <w:tcW w:w="993" w:type="dxa"/>
            <w:vAlign w:val="center"/>
          </w:tcPr>
          <w:p w14:paraId="157D550E" w14:textId="67B16FBB" w:rsidR="00D203FA" w:rsidRPr="001B4CA2" w:rsidRDefault="007A070B" w:rsidP="00484F03">
            <w:pPr>
              <w:jc w:val="center"/>
              <w:rPr>
                <w:rFonts w:eastAsia="Times New Roman"/>
                <w:sz w:val="18"/>
                <w:szCs w:val="18"/>
                <w:lang w:eastAsia="hr-HR"/>
              </w:rPr>
            </w:pPr>
            <w:r w:rsidRPr="001B4CA2">
              <w:rPr>
                <w:rFonts w:eastAsia="Times New Roman"/>
                <w:color w:val="000000"/>
                <w:sz w:val="18"/>
                <w:szCs w:val="18"/>
                <w:lang w:eastAsia="hr-HR"/>
              </w:rPr>
              <w:t>444</w:t>
            </w:r>
          </w:p>
        </w:tc>
      </w:tr>
    </w:tbl>
    <w:p w14:paraId="461CFA5C" w14:textId="77777777" w:rsidR="00554A3B" w:rsidRPr="001B4CA2" w:rsidRDefault="00554A3B" w:rsidP="00FD418A"/>
    <w:p w14:paraId="4E166D8A" w14:textId="3DCEBF41" w:rsidR="007A070B" w:rsidRPr="001B4CA2" w:rsidRDefault="007A070B" w:rsidP="007A070B">
      <w:pPr>
        <w:ind w:firstLine="708"/>
        <w:rPr>
          <w:rFonts w:eastAsia="Arial"/>
        </w:rPr>
      </w:pPr>
      <w:r w:rsidRPr="001B4CA2">
        <w:rPr>
          <w:rFonts w:eastAsia="Arial"/>
        </w:rPr>
        <w:t xml:space="preserve">Optužna su </w:t>
      </w:r>
      <w:r w:rsidR="00D24E74" w:rsidRPr="001B4CA2">
        <w:rPr>
          <w:rFonts w:eastAsia="Arial"/>
        </w:rPr>
        <w:t xml:space="preserve">vijeća </w:t>
      </w:r>
      <w:r w:rsidRPr="001B4CA2">
        <w:rPr>
          <w:rFonts w:eastAsia="Arial"/>
        </w:rPr>
        <w:t>u izvještajnom razdoblju odlučivala o 335 optužnica</w:t>
      </w:r>
      <w:r w:rsidR="001B4CA2">
        <w:rPr>
          <w:rFonts w:eastAsia="Arial"/>
        </w:rPr>
        <w:t xml:space="preserve"> </w:t>
      </w:r>
      <w:r w:rsidRPr="001B4CA2">
        <w:rPr>
          <w:rFonts w:eastAsia="Arial"/>
        </w:rPr>
        <w:t xml:space="preserve">tako da je doneseno 55 odluka manje u odnosu na 2021. godinu (390). </w:t>
      </w:r>
    </w:p>
    <w:p w14:paraId="4D7530EE" w14:textId="77777777" w:rsidR="007A070B" w:rsidRPr="001B4CA2" w:rsidRDefault="007A070B" w:rsidP="007A070B">
      <w:pPr>
        <w:ind w:firstLine="708"/>
        <w:rPr>
          <w:rFonts w:eastAsia="Arial"/>
        </w:rPr>
      </w:pPr>
    </w:p>
    <w:p w14:paraId="23E30696" w14:textId="5AE83D51" w:rsidR="007A070B" w:rsidRPr="001B4CA2" w:rsidRDefault="007A070B" w:rsidP="007A070B">
      <w:pPr>
        <w:ind w:firstLine="708"/>
        <w:rPr>
          <w:rFonts w:eastAsia="Arial"/>
        </w:rPr>
      </w:pPr>
      <w:r w:rsidRPr="001B4CA2">
        <w:rPr>
          <w:rFonts w:eastAsia="Arial"/>
        </w:rPr>
        <w:t>Od ukupnog broja optužnica o kojima je u izvještajnom razdoblju odlučivala optužna vijeća potvrđeno je 315 optužnica</w:t>
      </w:r>
      <w:r w:rsidR="00D24E74">
        <w:rPr>
          <w:rFonts w:eastAsia="Arial"/>
        </w:rPr>
        <w:t>,</w:t>
      </w:r>
      <w:r w:rsidRPr="001B4CA2">
        <w:rPr>
          <w:rFonts w:eastAsia="Arial"/>
        </w:rPr>
        <w:t xml:space="preserve"> što predstavlja 96,9</w:t>
      </w:r>
      <w:r w:rsidR="00D24E74">
        <w:rPr>
          <w:rFonts w:eastAsia="Arial"/>
        </w:rPr>
        <w:t> </w:t>
      </w:r>
      <w:r w:rsidRPr="001B4CA2">
        <w:rPr>
          <w:rFonts w:eastAsia="Arial"/>
        </w:rPr>
        <w:t xml:space="preserve">%, </w:t>
      </w:r>
      <w:r w:rsidR="00D24E74">
        <w:rPr>
          <w:rFonts w:eastAsia="Arial"/>
        </w:rPr>
        <w:t>a to</w:t>
      </w:r>
      <w:r w:rsidRPr="001B4CA2">
        <w:rPr>
          <w:rFonts w:eastAsia="Arial"/>
        </w:rPr>
        <w:t xml:space="preserve"> je za nešto više od 3</w:t>
      </w:r>
      <w:r w:rsidR="00D24E74">
        <w:rPr>
          <w:rFonts w:eastAsia="Arial"/>
        </w:rPr>
        <w:t> </w:t>
      </w:r>
      <w:r w:rsidRPr="001B4CA2">
        <w:rPr>
          <w:rFonts w:eastAsia="Arial"/>
        </w:rPr>
        <w:t xml:space="preserve">% bolji rezultat nego u prošloj godini. U radu pred optužnim vijećima ostale su 444 optužnice (2021. godine 316 optužnica). </w:t>
      </w:r>
    </w:p>
    <w:p w14:paraId="57806016" w14:textId="77777777" w:rsidR="007A070B" w:rsidRPr="001B4CA2" w:rsidRDefault="007A070B" w:rsidP="007A070B">
      <w:pPr>
        <w:ind w:firstLine="708"/>
        <w:rPr>
          <w:rFonts w:eastAsia="Arial"/>
        </w:rPr>
      </w:pPr>
    </w:p>
    <w:p w14:paraId="72F323A6" w14:textId="212F09F0" w:rsidR="007A070B" w:rsidRPr="001B4CA2" w:rsidRDefault="007A070B" w:rsidP="007A070B">
      <w:pPr>
        <w:ind w:firstLine="708"/>
        <w:rPr>
          <w:rFonts w:eastAsia="Arial"/>
        </w:rPr>
      </w:pPr>
      <w:r w:rsidRPr="001B4CA2">
        <w:rPr>
          <w:rFonts w:eastAsia="Arial"/>
        </w:rPr>
        <w:t xml:space="preserve">Jednu optužnicu Ured je povukao prije odlučivanja optužnog vijeća. Naime, optužnicom je predloženo suđenje u odsutnosti protiv jednog nedostupnog optuženika. No, kako je </w:t>
      </w:r>
      <w:r w:rsidR="00D24E74">
        <w:rPr>
          <w:rFonts w:eastAsia="Arial"/>
        </w:rPr>
        <w:t>on</w:t>
      </w:r>
      <w:r w:rsidRPr="001B4CA2">
        <w:rPr>
          <w:rFonts w:eastAsia="Arial"/>
        </w:rPr>
        <w:t xml:space="preserve"> naknadno uhićen te izručen Republici Hrvatskoj, optužnica je povučena iz formalnih razloga radi obavljanja dokazne radnje prvog ispitivanja te osobe, a zatim je ponovno podignuta.  </w:t>
      </w:r>
    </w:p>
    <w:p w14:paraId="74AB9A93" w14:textId="77777777" w:rsidR="007A070B" w:rsidRPr="001B4CA2" w:rsidRDefault="007A070B" w:rsidP="007A070B">
      <w:pPr>
        <w:ind w:firstLine="708"/>
        <w:rPr>
          <w:rFonts w:eastAsia="Arial"/>
        </w:rPr>
      </w:pPr>
    </w:p>
    <w:p w14:paraId="76560298" w14:textId="77777777" w:rsidR="007A070B" w:rsidRPr="001B4CA2" w:rsidRDefault="007A070B" w:rsidP="007A070B">
      <w:pPr>
        <w:ind w:firstLine="708"/>
        <w:rPr>
          <w:rFonts w:eastAsia="Arial"/>
        </w:rPr>
      </w:pPr>
      <w:r w:rsidRPr="001B4CA2">
        <w:rPr>
          <w:rFonts w:eastAsia="Arial"/>
        </w:rPr>
        <w:t>Optužno vijeće obustavilo je postupak u odnosu na 13 podignutih optužnica, pretežito zbog nastupa okolnosti koje isključuju kazneni progon optuženih osoba. Tako je u odnosu na 2 fizičke i 8 pravnih osoba postupak obustavljen zbog smrti fizičke, odnosno brisanja pravne osobe iz sudskog registra. U odnosu na 3 osobe optužene u istom predmetu, postupak je obustavljen samo za kazneno djelo iz čl. 329. KZ-a/11, kao jedno od više inkriminiranih kaznenih djela, na koju je odluku optužnog vijeća Ured uložio žalbu.</w:t>
      </w:r>
    </w:p>
    <w:p w14:paraId="5CAE7189" w14:textId="77777777" w:rsidR="007A070B" w:rsidRPr="001B4CA2" w:rsidRDefault="007A070B" w:rsidP="007A070B">
      <w:pPr>
        <w:ind w:firstLine="708"/>
        <w:rPr>
          <w:rFonts w:eastAsia="Arial"/>
        </w:rPr>
      </w:pPr>
    </w:p>
    <w:p w14:paraId="2B467966" w14:textId="249D0B8A" w:rsidR="007A070B" w:rsidRPr="001B4CA2" w:rsidRDefault="007A070B" w:rsidP="007A070B">
      <w:pPr>
        <w:ind w:firstLine="708"/>
        <w:rPr>
          <w:rFonts w:eastAsia="Arial"/>
        </w:rPr>
      </w:pPr>
      <w:r w:rsidRPr="001B4CA2">
        <w:rPr>
          <w:rFonts w:eastAsia="Arial"/>
        </w:rPr>
        <w:t>Optužno vijeće vratilo je 7 optužnica</w:t>
      </w:r>
      <w:r w:rsidRPr="001B4CA2">
        <w:t xml:space="preserve"> </w:t>
      </w:r>
      <w:r w:rsidRPr="001B4CA2">
        <w:rPr>
          <w:rFonts w:eastAsia="Arial"/>
        </w:rPr>
        <w:t>radi boljeg razjašnjenja stvari, što predstavlja 2,1</w:t>
      </w:r>
      <w:r w:rsidR="00D24E74">
        <w:rPr>
          <w:rFonts w:eastAsia="Arial"/>
        </w:rPr>
        <w:t> </w:t>
      </w:r>
      <w:r w:rsidRPr="001B4CA2">
        <w:rPr>
          <w:rFonts w:eastAsia="Arial"/>
        </w:rPr>
        <w:t>% optužnica o kojima je odlučivalo. U usporedbi s prošlogodišnjim razdobljem kada su vraćene 23 optužnice,</w:t>
      </w:r>
      <w:r w:rsidRPr="001B4CA2">
        <w:t xml:space="preserve"> </w:t>
      </w:r>
      <w:r w:rsidRPr="001B4CA2">
        <w:rPr>
          <w:rFonts w:eastAsia="Arial"/>
        </w:rPr>
        <w:t>broj vraćenih optužnica znatno je manji.</w:t>
      </w:r>
    </w:p>
    <w:p w14:paraId="44B123FB" w14:textId="5ABE2D46" w:rsidR="007A070B" w:rsidRPr="001B4CA2" w:rsidRDefault="007A070B" w:rsidP="007A070B">
      <w:pPr>
        <w:ind w:firstLine="708"/>
        <w:rPr>
          <w:rFonts w:eastAsia="Arial"/>
        </w:rPr>
      </w:pPr>
    </w:p>
    <w:p w14:paraId="4CDBAF25" w14:textId="22DAFAAE" w:rsidR="007A070B" w:rsidRPr="001B4CA2" w:rsidRDefault="007A070B" w:rsidP="007A070B">
      <w:pPr>
        <w:ind w:firstLine="708"/>
        <w:rPr>
          <w:rFonts w:eastAsia="Arial"/>
        </w:rPr>
      </w:pPr>
    </w:p>
    <w:p w14:paraId="45CFAFB1" w14:textId="4B93E1E8" w:rsidR="007A070B" w:rsidRPr="001B4CA2" w:rsidRDefault="007A070B" w:rsidP="007A070B">
      <w:pPr>
        <w:ind w:firstLine="708"/>
        <w:rPr>
          <w:rFonts w:eastAsia="Arial"/>
        </w:rPr>
      </w:pPr>
    </w:p>
    <w:p w14:paraId="034E5B80" w14:textId="7018E549" w:rsidR="007A070B" w:rsidRPr="001B4CA2" w:rsidRDefault="007A070B" w:rsidP="007A070B">
      <w:pPr>
        <w:ind w:firstLine="708"/>
        <w:rPr>
          <w:rFonts w:eastAsia="Arial"/>
        </w:rPr>
      </w:pPr>
    </w:p>
    <w:p w14:paraId="06210CAC" w14:textId="3CEFE34C" w:rsidR="007A070B" w:rsidRPr="001B4CA2" w:rsidRDefault="007A070B" w:rsidP="007A070B">
      <w:pPr>
        <w:ind w:firstLine="708"/>
        <w:rPr>
          <w:rFonts w:eastAsia="Arial"/>
        </w:rPr>
      </w:pPr>
    </w:p>
    <w:p w14:paraId="59EFB905" w14:textId="5C99C98F" w:rsidR="007A070B" w:rsidRPr="001B4CA2" w:rsidRDefault="007A070B" w:rsidP="007A070B">
      <w:pPr>
        <w:ind w:firstLine="708"/>
        <w:rPr>
          <w:rFonts w:eastAsia="Arial"/>
        </w:rPr>
      </w:pPr>
    </w:p>
    <w:p w14:paraId="12D65D80" w14:textId="44CDB637" w:rsidR="007A070B" w:rsidRPr="001B4CA2" w:rsidRDefault="007A070B" w:rsidP="007A070B">
      <w:pPr>
        <w:ind w:firstLine="708"/>
        <w:rPr>
          <w:rFonts w:eastAsia="Arial"/>
        </w:rPr>
      </w:pPr>
    </w:p>
    <w:p w14:paraId="22D43718" w14:textId="77777777" w:rsidR="007A070B" w:rsidRPr="001B4CA2" w:rsidRDefault="007A070B" w:rsidP="007A070B">
      <w:pPr>
        <w:ind w:firstLine="708"/>
        <w:rPr>
          <w:rFonts w:eastAsia="Arial"/>
        </w:rPr>
      </w:pPr>
    </w:p>
    <w:p w14:paraId="4BC52E77" w14:textId="77777777" w:rsidR="00D3013F" w:rsidRPr="001B4CA2" w:rsidRDefault="00D3013F" w:rsidP="00B21E7F">
      <w:pPr>
        <w:rPr>
          <w:rFonts w:eastAsia="Arial"/>
        </w:rPr>
      </w:pPr>
    </w:p>
    <w:p w14:paraId="67CD9105" w14:textId="39269BE6" w:rsidR="008E0139" w:rsidRPr="001B4CA2" w:rsidRDefault="00484F03" w:rsidP="00955E23">
      <w:pPr>
        <w:pStyle w:val="Naslov4"/>
        <w:tabs>
          <w:tab w:val="left" w:pos="1134"/>
        </w:tabs>
        <w:rPr>
          <w:rFonts w:ascii="Arial" w:eastAsia="Arial" w:hAnsi="Arial" w:cs="Arial"/>
        </w:rPr>
      </w:pPr>
      <w:bookmarkStart w:id="133" w:name="_Toc133394363"/>
      <w:r w:rsidRPr="001B4CA2">
        <w:rPr>
          <w:rFonts w:ascii="Arial" w:eastAsia="Arial" w:hAnsi="Arial" w:cs="Arial"/>
        </w:rPr>
        <w:lastRenderedPageBreak/>
        <w:t>Broj i vrste presuda</w:t>
      </w:r>
      <w:bookmarkEnd w:id="133"/>
    </w:p>
    <w:p w14:paraId="1E8AE1A7" w14:textId="77777777" w:rsidR="007D3AEF" w:rsidRPr="001B4CA2" w:rsidRDefault="007D3AEF" w:rsidP="00484F03">
      <w:pPr>
        <w:rPr>
          <w: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708"/>
        <w:gridCol w:w="567"/>
        <w:gridCol w:w="993"/>
        <w:gridCol w:w="566"/>
        <w:gridCol w:w="779"/>
        <w:gridCol w:w="780"/>
        <w:gridCol w:w="780"/>
        <w:gridCol w:w="779"/>
        <w:gridCol w:w="780"/>
        <w:gridCol w:w="780"/>
      </w:tblGrid>
      <w:tr w:rsidR="00532C41" w:rsidRPr="001B4CA2" w14:paraId="08FAB5F9" w14:textId="77777777" w:rsidTr="00D57807">
        <w:trPr>
          <w:trHeight w:val="496"/>
        </w:trPr>
        <w:tc>
          <w:tcPr>
            <w:tcW w:w="851" w:type="dxa"/>
            <w:vMerge w:val="restart"/>
            <w:shd w:val="clear" w:color="000000" w:fill="99CCFF"/>
            <w:noWrap/>
            <w:vAlign w:val="center"/>
            <w:hideMark/>
          </w:tcPr>
          <w:p w14:paraId="605541C4" w14:textId="77777777" w:rsidR="00484F03" w:rsidRPr="001B4CA2" w:rsidRDefault="00484F03" w:rsidP="00EC75BB">
            <w:pPr>
              <w:jc w:val="left"/>
              <w:rPr>
                <w:rFonts w:eastAsia="Times New Roman"/>
                <w:b/>
                <w:sz w:val="18"/>
                <w:szCs w:val="18"/>
                <w:lang w:eastAsia="hr-HR"/>
              </w:rPr>
            </w:pPr>
            <w:r w:rsidRPr="001B4CA2">
              <w:rPr>
                <w:rFonts w:eastAsia="Times New Roman"/>
                <w:b/>
                <w:sz w:val="18"/>
                <w:szCs w:val="18"/>
                <w:lang w:eastAsia="hr-HR"/>
              </w:rPr>
              <w:t>Godina</w:t>
            </w:r>
          </w:p>
        </w:tc>
        <w:tc>
          <w:tcPr>
            <w:tcW w:w="709" w:type="dxa"/>
            <w:vMerge w:val="restart"/>
            <w:shd w:val="clear" w:color="000000" w:fill="99CCFF"/>
            <w:textDirection w:val="btLr"/>
            <w:vAlign w:val="center"/>
          </w:tcPr>
          <w:p w14:paraId="41C8EFBE" w14:textId="2193BCEB" w:rsidR="00484F03" w:rsidRPr="001B4CA2" w:rsidRDefault="00484F03" w:rsidP="00222C2E">
            <w:pPr>
              <w:ind w:left="113" w:right="113"/>
              <w:jc w:val="left"/>
              <w:rPr>
                <w:rFonts w:eastAsia="Times New Roman"/>
                <w:b/>
                <w:sz w:val="18"/>
                <w:szCs w:val="18"/>
                <w:lang w:eastAsia="hr-HR"/>
              </w:rPr>
            </w:pPr>
            <w:r w:rsidRPr="001B4CA2">
              <w:rPr>
                <w:rFonts w:eastAsia="Times New Roman"/>
                <w:b/>
                <w:sz w:val="18"/>
                <w:szCs w:val="18"/>
                <w:lang w:eastAsia="hr-HR"/>
              </w:rPr>
              <w:t>Presuda s kaznenim nalogom</w:t>
            </w:r>
          </w:p>
        </w:tc>
        <w:tc>
          <w:tcPr>
            <w:tcW w:w="708" w:type="dxa"/>
            <w:vMerge w:val="restart"/>
            <w:shd w:val="clear" w:color="000000" w:fill="99CCFF"/>
            <w:textDirection w:val="btLr"/>
            <w:vAlign w:val="center"/>
            <w:hideMark/>
          </w:tcPr>
          <w:p w14:paraId="54A2294F" w14:textId="4F227624" w:rsidR="00484F03" w:rsidRPr="001B4CA2" w:rsidRDefault="00484F03" w:rsidP="00222C2E">
            <w:pPr>
              <w:ind w:left="113" w:right="113"/>
              <w:jc w:val="left"/>
              <w:rPr>
                <w:rFonts w:eastAsia="Times New Roman"/>
                <w:b/>
                <w:sz w:val="18"/>
                <w:szCs w:val="18"/>
                <w:lang w:eastAsia="hr-HR"/>
              </w:rPr>
            </w:pPr>
            <w:r w:rsidRPr="001B4CA2">
              <w:rPr>
                <w:rFonts w:eastAsia="Times New Roman"/>
                <w:b/>
                <w:sz w:val="18"/>
                <w:szCs w:val="18"/>
                <w:lang w:eastAsia="hr-HR"/>
              </w:rPr>
              <w:t>Optužnica potvrđena</w:t>
            </w:r>
          </w:p>
        </w:tc>
        <w:tc>
          <w:tcPr>
            <w:tcW w:w="567" w:type="dxa"/>
            <w:vMerge w:val="restart"/>
            <w:shd w:val="clear" w:color="000000" w:fill="99CCFF"/>
            <w:textDirection w:val="btLr"/>
            <w:vAlign w:val="center"/>
          </w:tcPr>
          <w:p w14:paraId="6C179B01" w14:textId="43119677" w:rsidR="00484F03" w:rsidRPr="001B4CA2" w:rsidRDefault="00484F03" w:rsidP="00222C2E">
            <w:pPr>
              <w:ind w:left="113" w:right="113"/>
              <w:jc w:val="left"/>
              <w:rPr>
                <w:rFonts w:eastAsia="Times New Roman"/>
                <w:b/>
                <w:sz w:val="18"/>
                <w:szCs w:val="18"/>
                <w:lang w:eastAsia="hr-HR"/>
              </w:rPr>
            </w:pPr>
            <w:r w:rsidRPr="001B4CA2">
              <w:rPr>
                <w:rFonts w:eastAsia="Times New Roman"/>
                <w:b/>
                <w:sz w:val="18"/>
                <w:szCs w:val="18"/>
                <w:lang w:eastAsia="hr-HR"/>
              </w:rPr>
              <w:t>Ukupno</w:t>
            </w:r>
          </w:p>
        </w:tc>
        <w:tc>
          <w:tcPr>
            <w:tcW w:w="6237" w:type="dxa"/>
            <w:gridSpan w:val="8"/>
            <w:shd w:val="clear" w:color="000000" w:fill="99CCFF"/>
            <w:vAlign w:val="center"/>
          </w:tcPr>
          <w:p w14:paraId="53CA0A51" w14:textId="64669738" w:rsidR="00484F03" w:rsidRPr="001B4CA2" w:rsidRDefault="00484F03" w:rsidP="00222C2E">
            <w:pPr>
              <w:jc w:val="center"/>
              <w:rPr>
                <w:rFonts w:eastAsia="Times New Roman"/>
                <w:b/>
                <w:sz w:val="18"/>
                <w:szCs w:val="18"/>
                <w:lang w:eastAsia="hr-HR"/>
              </w:rPr>
            </w:pPr>
            <w:r w:rsidRPr="001B4CA2">
              <w:rPr>
                <w:rFonts w:eastAsia="Times New Roman"/>
                <w:b/>
                <w:sz w:val="18"/>
                <w:szCs w:val="18"/>
                <w:lang w:eastAsia="hr-HR"/>
              </w:rPr>
              <w:t>Odluke suda</w:t>
            </w:r>
          </w:p>
        </w:tc>
      </w:tr>
      <w:tr w:rsidR="00C4577F" w:rsidRPr="001B4CA2" w14:paraId="7B1B832E" w14:textId="77777777" w:rsidTr="00D57807">
        <w:trPr>
          <w:cantSplit/>
          <w:trHeight w:val="1478"/>
        </w:trPr>
        <w:tc>
          <w:tcPr>
            <w:tcW w:w="851" w:type="dxa"/>
            <w:vMerge/>
            <w:shd w:val="clear" w:color="000000" w:fill="99CCFF"/>
            <w:noWrap/>
            <w:vAlign w:val="center"/>
          </w:tcPr>
          <w:p w14:paraId="1523BE31" w14:textId="77777777" w:rsidR="00484F03" w:rsidRPr="001B4CA2" w:rsidRDefault="00484F03" w:rsidP="00222C2E">
            <w:pPr>
              <w:jc w:val="left"/>
              <w:rPr>
                <w:rFonts w:eastAsia="Times New Roman"/>
                <w:b/>
                <w:sz w:val="18"/>
                <w:szCs w:val="18"/>
                <w:lang w:eastAsia="hr-HR"/>
              </w:rPr>
            </w:pPr>
          </w:p>
        </w:tc>
        <w:tc>
          <w:tcPr>
            <w:tcW w:w="709" w:type="dxa"/>
            <w:vMerge/>
            <w:shd w:val="clear" w:color="000000" w:fill="99CCFF"/>
            <w:vAlign w:val="center"/>
          </w:tcPr>
          <w:p w14:paraId="17442223" w14:textId="77777777" w:rsidR="00484F03" w:rsidRPr="001B4CA2" w:rsidRDefault="00484F03" w:rsidP="00222C2E">
            <w:pPr>
              <w:jc w:val="left"/>
              <w:rPr>
                <w:rFonts w:eastAsia="Times New Roman"/>
                <w:b/>
                <w:sz w:val="18"/>
                <w:szCs w:val="18"/>
                <w:lang w:eastAsia="hr-HR"/>
              </w:rPr>
            </w:pPr>
          </w:p>
        </w:tc>
        <w:tc>
          <w:tcPr>
            <w:tcW w:w="708" w:type="dxa"/>
            <w:vMerge/>
            <w:shd w:val="clear" w:color="000000" w:fill="99CCFF"/>
            <w:vAlign w:val="center"/>
          </w:tcPr>
          <w:p w14:paraId="2BDE655E" w14:textId="77777777" w:rsidR="00484F03" w:rsidRPr="001B4CA2" w:rsidRDefault="00484F03" w:rsidP="00222C2E">
            <w:pPr>
              <w:jc w:val="left"/>
              <w:rPr>
                <w:rFonts w:eastAsia="Times New Roman"/>
                <w:b/>
                <w:sz w:val="18"/>
                <w:szCs w:val="18"/>
                <w:lang w:eastAsia="hr-HR"/>
              </w:rPr>
            </w:pPr>
          </w:p>
        </w:tc>
        <w:tc>
          <w:tcPr>
            <w:tcW w:w="567" w:type="dxa"/>
            <w:vMerge/>
            <w:shd w:val="clear" w:color="000000" w:fill="99CCFF"/>
            <w:vAlign w:val="center"/>
          </w:tcPr>
          <w:p w14:paraId="0DE39A06" w14:textId="77777777" w:rsidR="00484F03" w:rsidRPr="001B4CA2" w:rsidRDefault="00484F03" w:rsidP="00222C2E">
            <w:pPr>
              <w:jc w:val="left"/>
              <w:rPr>
                <w:rFonts w:eastAsia="Times New Roman"/>
                <w:b/>
                <w:sz w:val="18"/>
                <w:szCs w:val="18"/>
                <w:lang w:eastAsia="hr-HR"/>
              </w:rPr>
            </w:pPr>
          </w:p>
        </w:tc>
        <w:tc>
          <w:tcPr>
            <w:tcW w:w="993" w:type="dxa"/>
            <w:shd w:val="clear" w:color="000000" w:fill="99CCFF"/>
            <w:textDirection w:val="btLr"/>
            <w:vAlign w:val="center"/>
          </w:tcPr>
          <w:p w14:paraId="6A942462" w14:textId="678F597A" w:rsidR="00484F03" w:rsidRPr="001B4CA2" w:rsidRDefault="00C71E18" w:rsidP="00222C2E">
            <w:pPr>
              <w:ind w:left="113" w:right="113"/>
              <w:jc w:val="left"/>
              <w:rPr>
                <w:rFonts w:eastAsia="Times New Roman"/>
                <w:b/>
                <w:sz w:val="18"/>
                <w:szCs w:val="18"/>
                <w:lang w:eastAsia="hr-HR"/>
              </w:rPr>
            </w:pPr>
            <w:r w:rsidRPr="001B4CA2">
              <w:rPr>
                <w:rFonts w:eastAsia="Times New Roman"/>
                <w:b/>
                <w:sz w:val="18"/>
                <w:szCs w:val="18"/>
                <w:lang w:eastAsia="hr-HR"/>
              </w:rPr>
              <w:t>Obustava nakon potvrđivanja optužnice</w:t>
            </w:r>
          </w:p>
        </w:tc>
        <w:tc>
          <w:tcPr>
            <w:tcW w:w="566" w:type="dxa"/>
            <w:shd w:val="clear" w:color="000000" w:fill="99CCFF"/>
            <w:textDirection w:val="btLr"/>
            <w:vAlign w:val="center"/>
          </w:tcPr>
          <w:p w14:paraId="53738670" w14:textId="016895A9" w:rsidR="00484F03" w:rsidRPr="001B4CA2" w:rsidRDefault="00C71E18" w:rsidP="00222C2E">
            <w:pPr>
              <w:ind w:left="113" w:right="113"/>
              <w:jc w:val="left"/>
              <w:rPr>
                <w:rFonts w:eastAsia="Times New Roman"/>
                <w:b/>
                <w:sz w:val="18"/>
                <w:szCs w:val="18"/>
                <w:lang w:eastAsia="hr-HR"/>
              </w:rPr>
            </w:pPr>
            <w:r w:rsidRPr="001B4CA2">
              <w:rPr>
                <w:rFonts w:eastAsia="Times New Roman"/>
                <w:b/>
                <w:sz w:val="18"/>
                <w:szCs w:val="18"/>
                <w:lang w:eastAsia="hr-HR"/>
              </w:rPr>
              <w:t>Osuđujuća</w:t>
            </w:r>
          </w:p>
        </w:tc>
        <w:tc>
          <w:tcPr>
            <w:tcW w:w="779" w:type="dxa"/>
            <w:shd w:val="clear" w:color="000000" w:fill="99CCFF"/>
            <w:textDirection w:val="btLr"/>
            <w:vAlign w:val="center"/>
          </w:tcPr>
          <w:p w14:paraId="6F98879B" w14:textId="5253225C" w:rsidR="00484F03" w:rsidRPr="001B4CA2" w:rsidRDefault="00014E66" w:rsidP="00222C2E">
            <w:pPr>
              <w:ind w:left="113" w:right="113"/>
              <w:jc w:val="left"/>
              <w:rPr>
                <w:rFonts w:eastAsia="Times New Roman"/>
                <w:b/>
                <w:sz w:val="18"/>
                <w:szCs w:val="18"/>
                <w:lang w:eastAsia="hr-HR"/>
              </w:rPr>
            </w:pPr>
            <w:r w:rsidRPr="001B4CA2">
              <w:rPr>
                <w:rFonts w:eastAsia="Times New Roman"/>
                <w:b/>
                <w:sz w:val="18"/>
                <w:szCs w:val="18"/>
                <w:lang w:eastAsia="hr-HR"/>
              </w:rPr>
              <w:t>Od toga po sporazumu</w:t>
            </w:r>
          </w:p>
        </w:tc>
        <w:tc>
          <w:tcPr>
            <w:tcW w:w="780" w:type="dxa"/>
            <w:shd w:val="clear" w:color="000000" w:fill="99CCFF"/>
            <w:textDirection w:val="btLr"/>
            <w:vAlign w:val="center"/>
          </w:tcPr>
          <w:p w14:paraId="499744B0" w14:textId="5DD1E419" w:rsidR="00484F03" w:rsidRPr="001B4CA2" w:rsidRDefault="00014E66" w:rsidP="00222C2E">
            <w:pPr>
              <w:ind w:left="113" w:right="113"/>
              <w:jc w:val="left"/>
              <w:rPr>
                <w:rFonts w:eastAsia="Times New Roman"/>
                <w:b/>
                <w:sz w:val="18"/>
                <w:szCs w:val="18"/>
                <w:lang w:eastAsia="hr-HR"/>
              </w:rPr>
            </w:pPr>
            <w:r w:rsidRPr="001B4CA2">
              <w:rPr>
                <w:rFonts w:eastAsia="Times New Roman"/>
                <w:b/>
                <w:sz w:val="18"/>
                <w:szCs w:val="18"/>
                <w:lang w:eastAsia="hr-HR"/>
              </w:rPr>
              <w:t>Presuda</w:t>
            </w:r>
            <w:r w:rsidR="00310130" w:rsidRPr="001B4CA2">
              <w:rPr>
                <w:rFonts w:eastAsia="Times New Roman"/>
                <w:b/>
                <w:sz w:val="18"/>
                <w:szCs w:val="18"/>
                <w:lang w:eastAsia="hr-HR"/>
              </w:rPr>
              <w:t xml:space="preserve"> – </w:t>
            </w:r>
            <w:r w:rsidRPr="001B4CA2">
              <w:rPr>
                <w:rFonts w:eastAsia="Times New Roman"/>
                <w:b/>
                <w:sz w:val="18"/>
                <w:szCs w:val="18"/>
                <w:lang w:eastAsia="hr-HR"/>
              </w:rPr>
              <w:t>neubrojivi</w:t>
            </w:r>
          </w:p>
        </w:tc>
        <w:tc>
          <w:tcPr>
            <w:tcW w:w="780" w:type="dxa"/>
            <w:shd w:val="clear" w:color="000000" w:fill="99CCFF"/>
            <w:textDirection w:val="btLr"/>
            <w:vAlign w:val="center"/>
          </w:tcPr>
          <w:p w14:paraId="4B32E5AF" w14:textId="038181D7" w:rsidR="00484F03" w:rsidRPr="001B4CA2" w:rsidRDefault="00014E66" w:rsidP="00222C2E">
            <w:pPr>
              <w:ind w:left="113" w:right="113"/>
              <w:jc w:val="left"/>
              <w:rPr>
                <w:rFonts w:eastAsia="Times New Roman"/>
                <w:b/>
                <w:sz w:val="18"/>
                <w:szCs w:val="18"/>
                <w:lang w:eastAsia="hr-HR"/>
              </w:rPr>
            </w:pPr>
            <w:r w:rsidRPr="001B4CA2">
              <w:rPr>
                <w:rFonts w:eastAsia="Times New Roman"/>
                <w:b/>
                <w:sz w:val="18"/>
                <w:szCs w:val="18"/>
                <w:lang w:eastAsia="hr-HR"/>
              </w:rPr>
              <w:t>Oslobađajuća</w:t>
            </w:r>
          </w:p>
        </w:tc>
        <w:tc>
          <w:tcPr>
            <w:tcW w:w="779" w:type="dxa"/>
            <w:shd w:val="clear" w:color="000000" w:fill="99CCFF"/>
            <w:textDirection w:val="btLr"/>
            <w:vAlign w:val="center"/>
          </w:tcPr>
          <w:p w14:paraId="7AA24AEE" w14:textId="3FA6C04B" w:rsidR="00484F03" w:rsidRPr="001B4CA2" w:rsidRDefault="00014E66" w:rsidP="00222C2E">
            <w:pPr>
              <w:ind w:left="113" w:right="113"/>
              <w:jc w:val="left"/>
              <w:rPr>
                <w:rFonts w:eastAsia="Times New Roman"/>
                <w:b/>
                <w:sz w:val="18"/>
                <w:szCs w:val="18"/>
                <w:lang w:eastAsia="hr-HR"/>
              </w:rPr>
            </w:pPr>
            <w:r w:rsidRPr="001B4CA2">
              <w:rPr>
                <w:rFonts w:eastAsia="Times New Roman"/>
                <w:b/>
                <w:sz w:val="18"/>
                <w:szCs w:val="18"/>
                <w:lang w:eastAsia="hr-HR"/>
              </w:rPr>
              <w:t>Odbijajuća</w:t>
            </w:r>
          </w:p>
        </w:tc>
        <w:tc>
          <w:tcPr>
            <w:tcW w:w="780" w:type="dxa"/>
            <w:shd w:val="clear" w:color="000000" w:fill="99CCFF"/>
            <w:textDirection w:val="btLr"/>
            <w:vAlign w:val="center"/>
          </w:tcPr>
          <w:p w14:paraId="3F217CEE" w14:textId="5DE9C183" w:rsidR="00484F03" w:rsidRPr="001B4CA2" w:rsidRDefault="00014E66" w:rsidP="00222C2E">
            <w:pPr>
              <w:ind w:left="113" w:right="113"/>
              <w:jc w:val="left"/>
              <w:rPr>
                <w:rFonts w:eastAsia="Times New Roman"/>
                <w:b/>
                <w:sz w:val="18"/>
                <w:szCs w:val="18"/>
                <w:lang w:eastAsia="hr-HR"/>
              </w:rPr>
            </w:pPr>
            <w:r w:rsidRPr="001B4CA2">
              <w:rPr>
                <w:rFonts w:eastAsia="Times New Roman"/>
                <w:b/>
                <w:sz w:val="18"/>
                <w:szCs w:val="18"/>
                <w:lang w:eastAsia="hr-HR"/>
              </w:rPr>
              <w:t>Ukupno odluka suda</w:t>
            </w:r>
          </w:p>
        </w:tc>
        <w:tc>
          <w:tcPr>
            <w:tcW w:w="780" w:type="dxa"/>
            <w:shd w:val="clear" w:color="000000" w:fill="99CCFF"/>
            <w:textDirection w:val="btLr"/>
            <w:vAlign w:val="center"/>
          </w:tcPr>
          <w:p w14:paraId="02C282AB" w14:textId="1B929333" w:rsidR="00484F03" w:rsidRPr="001B4CA2" w:rsidRDefault="00014E66" w:rsidP="00222C2E">
            <w:pPr>
              <w:ind w:left="113" w:right="113"/>
              <w:jc w:val="left"/>
              <w:rPr>
                <w:rFonts w:eastAsia="Times New Roman"/>
                <w:b/>
                <w:sz w:val="18"/>
                <w:szCs w:val="18"/>
                <w:lang w:eastAsia="hr-HR"/>
              </w:rPr>
            </w:pPr>
            <w:r w:rsidRPr="001B4CA2">
              <w:rPr>
                <w:rFonts w:eastAsia="Times New Roman"/>
                <w:b/>
                <w:sz w:val="18"/>
                <w:szCs w:val="18"/>
                <w:lang w:eastAsia="hr-HR"/>
              </w:rPr>
              <w:t>Ukupno bez odluke suda</w:t>
            </w:r>
          </w:p>
        </w:tc>
      </w:tr>
      <w:tr w:rsidR="00C4577F" w:rsidRPr="001B4CA2" w14:paraId="1BC96451" w14:textId="77777777" w:rsidTr="00D57807">
        <w:trPr>
          <w:trHeight w:val="281"/>
        </w:trPr>
        <w:tc>
          <w:tcPr>
            <w:tcW w:w="851" w:type="dxa"/>
            <w:shd w:val="clear" w:color="auto" w:fill="auto"/>
            <w:noWrap/>
            <w:vAlign w:val="center"/>
          </w:tcPr>
          <w:p w14:paraId="69846A3B" w14:textId="6E89E0E5" w:rsidR="00AB0097" w:rsidRPr="001B4CA2" w:rsidRDefault="00AB0097" w:rsidP="00AB0097">
            <w:pPr>
              <w:jc w:val="center"/>
              <w:rPr>
                <w:rFonts w:eastAsia="Times New Roman"/>
                <w:sz w:val="18"/>
                <w:szCs w:val="18"/>
                <w:lang w:eastAsia="hr-HR"/>
              </w:rPr>
            </w:pPr>
            <w:r w:rsidRPr="001B4CA2">
              <w:rPr>
                <w:rFonts w:eastAsia="Times New Roman"/>
                <w:color w:val="000000"/>
                <w:sz w:val="18"/>
                <w:szCs w:val="18"/>
                <w:lang w:eastAsia="hr-HR"/>
              </w:rPr>
              <w:t>201</w:t>
            </w:r>
            <w:r w:rsidR="007A070B" w:rsidRPr="001B4CA2">
              <w:rPr>
                <w:rFonts w:eastAsia="Times New Roman"/>
                <w:color w:val="000000"/>
                <w:sz w:val="18"/>
                <w:szCs w:val="18"/>
                <w:lang w:eastAsia="hr-HR"/>
              </w:rPr>
              <w:t>8</w:t>
            </w:r>
            <w:r w:rsidRPr="001B4CA2">
              <w:rPr>
                <w:rFonts w:eastAsia="Times New Roman"/>
                <w:color w:val="000000"/>
                <w:sz w:val="18"/>
                <w:szCs w:val="18"/>
                <w:lang w:eastAsia="hr-HR"/>
              </w:rPr>
              <w:t>.</w:t>
            </w:r>
          </w:p>
        </w:tc>
        <w:tc>
          <w:tcPr>
            <w:tcW w:w="709" w:type="dxa"/>
            <w:vAlign w:val="center"/>
          </w:tcPr>
          <w:p w14:paraId="17EC4735" w14:textId="18C2956B" w:rsidR="00AB0097" w:rsidRPr="001B4CA2" w:rsidRDefault="00AB0097" w:rsidP="00AB0097">
            <w:pPr>
              <w:jc w:val="center"/>
              <w:rPr>
                <w:rFonts w:eastAsia="Times New Roman"/>
                <w:sz w:val="18"/>
                <w:szCs w:val="18"/>
                <w:lang w:eastAsia="hr-HR"/>
              </w:rPr>
            </w:pPr>
          </w:p>
        </w:tc>
        <w:tc>
          <w:tcPr>
            <w:tcW w:w="708" w:type="dxa"/>
            <w:shd w:val="clear" w:color="auto" w:fill="auto"/>
            <w:noWrap/>
            <w:vAlign w:val="center"/>
          </w:tcPr>
          <w:p w14:paraId="5E7473B3" w14:textId="116D7DFB" w:rsidR="00AB0097" w:rsidRPr="001B4CA2" w:rsidRDefault="00C4577F" w:rsidP="00AB0097">
            <w:pPr>
              <w:jc w:val="center"/>
              <w:rPr>
                <w:rFonts w:eastAsia="Times New Roman"/>
                <w:sz w:val="18"/>
                <w:szCs w:val="18"/>
                <w:lang w:eastAsia="hr-HR"/>
              </w:rPr>
            </w:pPr>
            <w:r w:rsidRPr="001B4CA2">
              <w:rPr>
                <w:rFonts w:eastAsia="Times New Roman"/>
                <w:sz w:val="18"/>
                <w:szCs w:val="18"/>
                <w:lang w:eastAsia="hr-HR"/>
              </w:rPr>
              <w:t>261</w:t>
            </w:r>
          </w:p>
        </w:tc>
        <w:tc>
          <w:tcPr>
            <w:tcW w:w="567" w:type="dxa"/>
            <w:vAlign w:val="center"/>
          </w:tcPr>
          <w:p w14:paraId="348783C1" w14:textId="5F9D3077" w:rsidR="00AB0097" w:rsidRPr="001B4CA2" w:rsidRDefault="00C4577F" w:rsidP="00AB0097">
            <w:pPr>
              <w:jc w:val="center"/>
              <w:rPr>
                <w:rFonts w:eastAsia="Times New Roman"/>
                <w:sz w:val="18"/>
                <w:szCs w:val="18"/>
                <w:lang w:eastAsia="hr-HR"/>
              </w:rPr>
            </w:pPr>
            <w:r w:rsidRPr="001B4CA2">
              <w:rPr>
                <w:rFonts w:eastAsia="Times New Roman"/>
                <w:sz w:val="18"/>
                <w:szCs w:val="18"/>
                <w:lang w:eastAsia="hr-HR"/>
              </w:rPr>
              <w:t>261</w:t>
            </w:r>
          </w:p>
        </w:tc>
        <w:tc>
          <w:tcPr>
            <w:tcW w:w="993" w:type="dxa"/>
            <w:vAlign w:val="center"/>
          </w:tcPr>
          <w:p w14:paraId="7566D20E" w14:textId="406B1618"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10</w:t>
            </w:r>
          </w:p>
        </w:tc>
        <w:tc>
          <w:tcPr>
            <w:tcW w:w="566" w:type="dxa"/>
            <w:vAlign w:val="center"/>
          </w:tcPr>
          <w:p w14:paraId="23D28562" w14:textId="222E77CD"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246</w:t>
            </w:r>
          </w:p>
        </w:tc>
        <w:tc>
          <w:tcPr>
            <w:tcW w:w="779" w:type="dxa"/>
            <w:shd w:val="clear" w:color="auto" w:fill="auto"/>
            <w:noWrap/>
            <w:vAlign w:val="center"/>
          </w:tcPr>
          <w:p w14:paraId="4DD641E7" w14:textId="01F46008"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165</w:t>
            </w:r>
          </w:p>
        </w:tc>
        <w:tc>
          <w:tcPr>
            <w:tcW w:w="780" w:type="dxa"/>
            <w:shd w:val="clear" w:color="auto" w:fill="auto"/>
            <w:noWrap/>
            <w:vAlign w:val="center"/>
          </w:tcPr>
          <w:p w14:paraId="2FAB1D00" w14:textId="56C7CC73" w:rsidR="00AB0097" w:rsidRPr="001B4CA2" w:rsidRDefault="00C4577F" w:rsidP="00AB0097">
            <w:pPr>
              <w:jc w:val="center"/>
              <w:rPr>
                <w:rFonts w:eastAsia="Times New Roman"/>
                <w:sz w:val="18"/>
                <w:szCs w:val="18"/>
                <w:lang w:eastAsia="hr-HR"/>
              </w:rPr>
            </w:pPr>
            <w:r w:rsidRPr="001B4CA2">
              <w:rPr>
                <w:rFonts w:eastAsia="Times New Roman"/>
                <w:sz w:val="18"/>
                <w:szCs w:val="18"/>
                <w:lang w:eastAsia="hr-HR"/>
              </w:rPr>
              <w:t>0</w:t>
            </w:r>
          </w:p>
        </w:tc>
        <w:tc>
          <w:tcPr>
            <w:tcW w:w="780" w:type="dxa"/>
            <w:shd w:val="clear" w:color="auto" w:fill="auto"/>
            <w:noWrap/>
            <w:vAlign w:val="center"/>
          </w:tcPr>
          <w:p w14:paraId="528459EC" w14:textId="412EDC2B"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13</w:t>
            </w:r>
          </w:p>
        </w:tc>
        <w:tc>
          <w:tcPr>
            <w:tcW w:w="779" w:type="dxa"/>
            <w:shd w:val="clear" w:color="auto" w:fill="auto"/>
            <w:noWrap/>
            <w:vAlign w:val="center"/>
          </w:tcPr>
          <w:p w14:paraId="3A7A932B" w14:textId="1E3263EA" w:rsidR="00AB0097" w:rsidRPr="001B4CA2" w:rsidRDefault="00C4577F" w:rsidP="00C4577F">
            <w:pPr>
              <w:jc w:val="center"/>
              <w:rPr>
                <w:rFonts w:eastAsia="Times New Roman"/>
                <w:sz w:val="18"/>
                <w:szCs w:val="18"/>
                <w:lang w:eastAsia="hr-HR"/>
              </w:rPr>
            </w:pPr>
            <w:r w:rsidRPr="001B4CA2">
              <w:rPr>
                <w:rFonts w:eastAsia="Times New Roman"/>
                <w:color w:val="000000"/>
                <w:sz w:val="18"/>
                <w:szCs w:val="18"/>
                <w:lang w:eastAsia="hr-HR"/>
              </w:rPr>
              <w:t>11</w:t>
            </w:r>
          </w:p>
        </w:tc>
        <w:tc>
          <w:tcPr>
            <w:tcW w:w="780" w:type="dxa"/>
            <w:vAlign w:val="center"/>
          </w:tcPr>
          <w:p w14:paraId="0B6CA9B2" w14:textId="79C761D3"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270</w:t>
            </w:r>
          </w:p>
        </w:tc>
        <w:tc>
          <w:tcPr>
            <w:tcW w:w="780" w:type="dxa"/>
            <w:vAlign w:val="center"/>
          </w:tcPr>
          <w:p w14:paraId="62B6D9AB" w14:textId="7BF75B6F"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958</w:t>
            </w:r>
          </w:p>
        </w:tc>
      </w:tr>
      <w:tr w:rsidR="00C4577F" w:rsidRPr="001B4CA2" w14:paraId="2D36E654" w14:textId="77777777" w:rsidTr="00D57807">
        <w:trPr>
          <w:trHeight w:val="281"/>
        </w:trPr>
        <w:tc>
          <w:tcPr>
            <w:tcW w:w="851" w:type="dxa"/>
            <w:shd w:val="clear" w:color="auto" w:fill="auto"/>
            <w:noWrap/>
            <w:vAlign w:val="center"/>
          </w:tcPr>
          <w:p w14:paraId="181A402F" w14:textId="352A0A7E" w:rsidR="00AB0097" w:rsidRPr="001B4CA2" w:rsidRDefault="00AB0097" w:rsidP="00AB0097">
            <w:pPr>
              <w:jc w:val="center"/>
              <w:rPr>
                <w:rFonts w:eastAsia="Times New Roman"/>
                <w:sz w:val="18"/>
                <w:szCs w:val="18"/>
                <w:lang w:eastAsia="hr-HR"/>
              </w:rPr>
            </w:pPr>
            <w:r w:rsidRPr="001B4CA2">
              <w:rPr>
                <w:rFonts w:eastAsia="Times New Roman"/>
                <w:color w:val="000000"/>
                <w:sz w:val="18"/>
                <w:szCs w:val="18"/>
                <w:lang w:eastAsia="hr-HR"/>
              </w:rPr>
              <w:t>201</w:t>
            </w:r>
            <w:r w:rsidR="007A070B" w:rsidRPr="001B4CA2">
              <w:rPr>
                <w:rFonts w:eastAsia="Times New Roman"/>
                <w:color w:val="000000"/>
                <w:sz w:val="18"/>
                <w:szCs w:val="18"/>
                <w:lang w:eastAsia="hr-HR"/>
              </w:rPr>
              <w:t>9</w:t>
            </w:r>
            <w:r w:rsidRPr="001B4CA2">
              <w:rPr>
                <w:rFonts w:eastAsia="Times New Roman"/>
                <w:color w:val="000000"/>
                <w:sz w:val="18"/>
                <w:szCs w:val="18"/>
                <w:lang w:eastAsia="hr-HR"/>
              </w:rPr>
              <w:t>.</w:t>
            </w:r>
          </w:p>
        </w:tc>
        <w:tc>
          <w:tcPr>
            <w:tcW w:w="709" w:type="dxa"/>
            <w:vAlign w:val="center"/>
          </w:tcPr>
          <w:p w14:paraId="421D0CDD" w14:textId="68535E1C" w:rsidR="00AB0097" w:rsidRPr="001B4CA2" w:rsidRDefault="00AB0097" w:rsidP="00AB0097">
            <w:pPr>
              <w:jc w:val="center"/>
              <w:rPr>
                <w:rFonts w:eastAsia="Times New Roman"/>
                <w:sz w:val="18"/>
                <w:szCs w:val="18"/>
                <w:lang w:eastAsia="hr-HR"/>
              </w:rPr>
            </w:pPr>
          </w:p>
        </w:tc>
        <w:tc>
          <w:tcPr>
            <w:tcW w:w="708" w:type="dxa"/>
            <w:shd w:val="clear" w:color="auto" w:fill="auto"/>
            <w:noWrap/>
            <w:vAlign w:val="center"/>
          </w:tcPr>
          <w:p w14:paraId="6F834031" w14:textId="195DEDB1" w:rsidR="00AB0097" w:rsidRPr="001B4CA2" w:rsidRDefault="00C4577F" w:rsidP="00AB0097">
            <w:pPr>
              <w:jc w:val="center"/>
              <w:rPr>
                <w:rFonts w:eastAsia="Times New Roman"/>
                <w:sz w:val="18"/>
                <w:szCs w:val="18"/>
                <w:lang w:eastAsia="hr-HR"/>
              </w:rPr>
            </w:pPr>
            <w:r w:rsidRPr="001B4CA2">
              <w:rPr>
                <w:rFonts w:eastAsia="Times New Roman"/>
                <w:sz w:val="18"/>
                <w:szCs w:val="18"/>
                <w:lang w:eastAsia="hr-HR"/>
              </w:rPr>
              <w:t>392</w:t>
            </w:r>
          </w:p>
        </w:tc>
        <w:tc>
          <w:tcPr>
            <w:tcW w:w="567" w:type="dxa"/>
            <w:vAlign w:val="center"/>
          </w:tcPr>
          <w:p w14:paraId="194283B3" w14:textId="6DA4DC7D" w:rsidR="00AB0097" w:rsidRPr="001B4CA2" w:rsidRDefault="00C4577F" w:rsidP="00AB0097">
            <w:pPr>
              <w:jc w:val="center"/>
              <w:rPr>
                <w:rFonts w:eastAsia="Times New Roman"/>
                <w:sz w:val="18"/>
                <w:szCs w:val="18"/>
                <w:lang w:eastAsia="hr-HR"/>
              </w:rPr>
            </w:pPr>
            <w:r w:rsidRPr="001B4CA2">
              <w:rPr>
                <w:rFonts w:eastAsia="Times New Roman"/>
                <w:sz w:val="18"/>
                <w:szCs w:val="18"/>
                <w:lang w:eastAsia="hr-HR"/>
              </w:rPr>
              <w:t>392</w:t>
            </w:r>
          </w:p>
        </w:tc>
        <w:tc>
          <w:tcPr>
            <w:tcW w:w="993" w:type="dxa"/>
            <w:vAlign w:val="center"/>
          </w:tcPr>
          <w:p w14:paraId="6E34EBE9" w14:textId="2287CC76"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11</w:t>
            </w:r>
          </w:p>
        </w:tc>
        <w:tc>
          <w:tcPr>
            <w:tcW w:w="566" w:type="dxa"/>
            <w:vAlign w:val="center"/>
          </w:tcPr>
          <w:p w14:paraId="4D4148A7" w14:textId="1ED998B2" w:rsidR="00AB0097" w:rsidRPr="001B4CA2" w:rsidRDefault="00AB0097" w:rsidP="00AB0097">
            <w:pPr>
              <w:jc w:val="center"/>
              <w:rPr>
                <w:rFonts w:eastAsia="Times New Roman"/>
                <w:sz w:val="18"/>
                <w:szCs w:val="18"/>
                <w:lang w:eastAsia="hr-HR"/>
              </w:rPr>
            </w:pPr>
            <w:r w:rsidRPr="001B4CA2">
              <w:rPr>
                <w:rFonts w:eastAsia="Times New Roman"/>
                <w:color w:val="000000"/>
                <w:sz w:val="18"/>
                <w:szCs w:val="18"/>
                <w:lang w:eastAsia="hr-HR"/>
              </w:rPr>
              <w:t>2</w:t>
            </w:r>
            <w:r w:rsidR="00C4577F" w:rsidRPr="001B4CA2">
              <w:rPr>
                <w:rFonts w:eastAsia="Times New Roman"/>
                <w:color w:val="000000"/>
                <w:sz w:val="18"/>
                <w:szCs w:val="18"/>
                <w:lang w:eastAsia="hr-HR"/>
              </w:rPr>
              <w:t>94</w:t>
            </w:r>
          </w:p>
        </w:tc>
        <w:tc>
          <w:tcPr>
            <w:tcW w:w="779" w:type="dxa"/>
            <w:shd w:val="clear" w:color="auto" w:fill="auto"/>
            <w:noWrap/>
            <w:vAlign w:val="center"/>
          </w:tcPr>
          <w:p w14:paraId="27C33316" w14:textId="5C1172D5"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216</w:t>
            </w:r>
          </w:p>
        </w:tc>
        <w:tc>
          <w:tcPr>
            <w:tcW w:w="780" w:type="dxa"/>
            <w:shd w:val="clear" w:color="auto" w:fill="auto"/>
            <w:noWrap/>
            <w:vAlign w:val="center"/>
          </w:tcPr>
          <w:p w14:paraId="068B8A4B" w14:textId="49FB3EF4" w:rsidR="00AB0097" w:rsidRPr="001B4CA2" w:rsidRDefault="00C4577F" w:rsidP="00AB0097">
            <w:pPr>
              <w:jc w:val="center"/>
              <w:rPr>
                <w:rFonts w:eastAsia="Times New Roman"/>
                <w:sz w:val="18"/>
                <w:szCs w:val="18"/>
                <w:lang w:eastAsia="hr-HR"/>
              </w:rPr>
            </w:pPr>
            <w:r w:rsidRPr="001B4CA2">
              <w:rPr>
                <w:rFonts w:eastAsia="Times New Roman"/>
                <w:sz w:val="18"/>
                <w:szCs w:val="18"/>
                <w:lang w:eastAsia="hr-HR"/>
              </w:rPr>
              <w:t>0</w:t>
            </w:r>
          </w:p>
        </w:tc>
        <w:tc>
          <w:tcPr>
            <w:tcW w:w="780" w:type="dxa"/>
            <w:shd w:val="clear" w:color="auto" w:fill="auto"/>
            <w:noWrap/>
            <w:vAlign w:val="center"/>
          </w:tcPr>
          <w:p w14:paraId="324514AC" w14:textId="0CB87E2C"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24</w:t>
            </w:r>
          </w:p>
        </w:tc>
        <w:tc>
          <w:tcPr>
            <w:tcW w:w="779" w:type="dxa"/>
            <w:shd w:val="clear" w:color="auto" w:fill="auto"/>
            <w:noWrap/>
            <w:vAlign w:val="center"/>
          </w:tcPr>
          <w:p w14:paraId="1F36D185" w14:textId="258B5B2D" w:rsidR="00AB0097" w:rsidRPr="001B4CA2" w:rsidRDefault="00C4577F" w:rsidP="00C4577F">
            <w:pPr>
              <w:jc w:val="center"/>
              <w:rPr>
                <w:rFonts w:eastAsia="Times New Roman"/>
                <w:sz w:val="18"/>
                <w:szCs w:val="18"/>
                <w:lang w:eastAsia="hr-HR"/>
              </w:rPr>
            </w:pPr>
            <w:r w:rsidRPr="001B4CA2">
              <w:rPr>
                <w:rFonts w:eastAsia="Times New Roman"/>
                <w:color w:val="000000"/>
                <w:sz w:val="18"/>
                <w:szCs w:val="18"/>
                <w:lang w:eastAsia="hr-HR"/>
              </w:rPr>
              <w:t>1</w:t>
            </w:r>
          </w:p>
        </w:tc>
        <w:tc>
          <w:tcPr>
            <w:tcW w:w="780" w:type="dxa"/>
            <w:vAlign w:val="center"/>
          </w:tcPr>
          <w:p w14:paraId="1510964A" w14:textId="195F23F3"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319</w:t>
            </w:r>
          </w:p>
        </w:tc>
        <w:tc>
          <w:tcPr>
            <w:tcW w:w="780" w:type="dxa"/>
            <w:vAlign w:val="center"/>
          </w:tcPr>
          <w:p w14:paraId="3862467C" w14:textId="18268C0E"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1.035</w:t>
            </w:r>
          </w:p>
        </w:tc>
      </w:tr>
      <w:tr w:rsidR="00C4577F" w:rsidRPr="001B4CA2" w14:paraId="7086A65F" w14:textId="77777777" w:rsidTr="00D57807">
        <w:trPr>
          <w:trHeight w:val="281"/>
        </w:trPr>
        <w:tc>
          <w:tcPr>
            <w:tcW w:w="851" w:type="dxa"/>
            <w:shd w:val="clear" w:color="auto" w:fill="auto"/>
            <w:noWrap/>
            <w:vAlign w:val="center"/>
          </w:tcPr>
          <w:p w14:paraId="2E2EF1D8" w14:textId="2BB7E76E" w:rsidR="00AB0097" w:rsidRPr="001B4CA2" w:rsidRDefault="00AB0097" w:rsidP="00AB0097">
            <w:pPr>
              <w:jc w:val="center"/>
              <w:rPr>
                <w:rFonts w:eastAsia="Times New Roman"/>
                <w:sz w:val="18"/>
                <w:szCs w:val="18"/>
                <w:lang w:eastAsia="hr-HR"/>
              </w:rPr>
            </w:pPr>
            <w:r w:rsidRPr="001B4CA2">
              <w:rPr>
                <w:rFonts w:eastAsia="Times New Roman"/>
                <w:color w:val="000000"/>
                <w:sz w:val="18"/>
                <w:szCs w:val="18"/>
                <w:lang w:eastAsia="hr-HR"/>
              </w:rPr>
              <w:t>20</w:t>
            </w:r>
            <w:r w:rsidR="007A070B" w:rsidRPr="001B4CA2">
              <w:rPr>
                <w:rFonts w:eastAsia="Times New Roman"/>
                <w:color w:val="000000"/>
                <w:sz w:val="18"/>
                <w:szCs w:val="18"/>
                <w:lang w:eastAsia="hr-HR"/>
              </w:rPr>
              <w:t>20</w:t>
            </w:r>
            <w:r w:rsidRPr="001B4CA2">
              <w:rPr>
                <w:rFonts w:eastAsia="Times New Roman"/>
                <w:color w:val="000000"/>
                <w:sz w:val="18"/>
                <w:szCs w:val="18"/>
                <w:lang w:eastAsia="hr-HR"/>
              </w:rPr>
              <w:t>.</w:t>
            </w:r>
          </w:p>
        </w:tc>
        <w:tc>
          <w:tcPr>
            <w:tcW w:w="709" w:type="dxa"/>
            <w:vAlign w:val="center"/>
          </w:tcPr>
          <w:p w14:paraId="5A00B054" w14:textId="6957F61F" w:rsidR="00AB0097" w:rsidRPr="001B4CA2" w:rsidRDefault="00AB0097" w:rsidP="00AB0097">
            <w:pPr>
              <w:jc w:val="center"/>
              <w:rPr>
                <w:rFonts w:eastAsia="Times New Roman"/>
                <w:sz w:val="18"/>
                <w:szCs w:val="18"/>
                <w:lang w:eastAsia="hr-HR"/>
              </w:rPr>
            </w:pPr>
          </w:p>
        </w:tc>
        <w:tc>
          <w:tcPr>
            <w:tcW w:w="708" w:type="dxa"/>
            <w:shd w:val="clear" w:color="auto" w:fill="auto"/>
            <w:noWrap/>
            <w:vAlign w:val="center"/>
          </w:tcPr>
          <w:p w14:paraId="67795D95" w14:textId="7DED4FB3" w:rsidR="00AB0097" w:rsidRPr="001B4CA2" w:rsidRDefault="00C4577F" w:rsidP="00AB0097">
            <w:pPr>
              <w:jc w:val="center"/>
              <w:rPr>
                <w:rFonts w:eastAsia="Times New Roman"/>
                <w:sz w:val="18"/>
                <w:szCs w:val="18"/>
                <w:lang w:eastAsia="hr-HR"/>
              </w:rPr>
            </w:pPr>
            <w:r w:rsidRPr="001B4CA2">
              <w:rPr>
                <w:rFonts w:eastAsia="Times New Roman"/>
                <w:sz w:val="18"/>
                <w:szCs w:val="18"/>
                <w:lang w:eastAsia="hr-HR"/>
              </w:rPr>
              <w:t>133</w:t>
            </w:r>
          </w:p>
        </w:tc>
        <w:tc>
          <w:tcPr>
            <w:tcW w:w="567" w:type="dxa"/>
            <w:vAlign w:val="center"/>
          </w:tcPr>
          <w:p w14:paraId="3607F984" w14:textId="0C303F32" w:rsidR="00AB0097" w:rsidRPr="001B4CA2" w:rsidRDefault="00C4577F" w:rsidP="00AB0097">
            <w:pPr>
              <w:jc w:val="center"/>
              <w:rPr>
                <w:rFonts w:eastAsia="Times New Roman"/>
                <w:sz w:val="18"/>
                <w:szCs w:val="18"/>
                <w:lang w:eastAsia="hr-HR"/>
              </w:rPr>
            </w:pPr>
            <w:r w:rsidRPr="001B4CA2">
              <w:rPr>
                <w:rFonts w:eastAsia="Times New Roman"/>
                <w:sz w:val="18"/>
                <w:szCs w:val="18"/>
                <w:lang w:eastAsia="hr-HR"/>
              </w:rPr>
              <w:t>133</w:t>
            </w:r>
          </w:p>
        </w:tc>
        <w:tc>
          <w:tcPr>
            <w:tcW w:w="993" w:type="dxa"/>
            <w:vAlign w:val="center"/>
          </w:tcPr>
          <w:p w14:paraId="05688680" w14:textId="4EBB8370" w:rsidR="00AB0097" w:rsidRPr="001B4CA2" w:rsidRDefault="00AB0097" w:rsidP="00AB0097">
            <w:pPr>
              <w:jc w:val="center"/>
              <w:rPr>
                <w:rFonts w:eastAsia="Times New Roman"/>
                <w:sz w:val="18"/>
                <w:szCs w:val="18"/>
                <w:lang w:eastAsia="hr-HR"/>
              </w:rPr>
            </w:pPr>
            <w:r w:rsidRPr="001B4CA2">
              <w:rPr>
                <w:rFonts w:eastAsia="Times New Roman"/>
                <w:color w:val="000000"/>
                <w:sz w:val="18"/>
                <w:szCs w:val="18"/>
                <w:lang w:eastAsia="hr-HR"/>
              </w:rPr>
              <w:t>1</w:t>
            </w:r>
          </w:p>
        </w:tc>
        <w:tc>
          <w:tcPr>
            <w:tcW w:w="566" w:type="dxa"/>
            <w:vAlign w:val="center"/>
          </w:tcPr>
          <w:p w14:paraId="284D2341" w14:textId="1B95FE7A" w:rsidR="00AB0097" w:rsidRPr="001B4CA2" w:rsidRDefault="00AB0097" w:rsidP="00AB0097">
            <w:pPr>
              <w:jc w:val="center"/>
              <w:rPr>
                <w:rFonts w:eastAsia="Times New Roman"/>
                <w:sz w:val="18"/>
                <w:szCs w:val="18"/>
                <w:lang w:eastAsia="hr-HR"/>
              </w:rPr>
            </w:pPr>
            <w:r w:rsidRPr="001B4CA2">
              <w:rPr>
                <w:rFonts w:eastAsia="Times New Roman"/>
                <w:color w:val="000000"/>
                <w:sz w:val="18"/>
                <w:szCs w:val="18"/>
                <w:lang w:eastAsia="hr-HR"/>
              </w:rPr>
              <w:t>2</w:t>
            </w:r>
            <w:r w:rsidR="00C4577F" w:rsidRPr="001B4CA2">
              <w:rPr>
                <w:rFonts w:eastAsia="Times New Roman"/>
                <w:color w:val="000000"/>
                <w:sz w:val="18"/>
                <w:szCs w:val="18"/>
                <w:lang w:eastAsia="hr-HR"/>
              </w:rPr>
              <w:t>26</w:t>
            </w:r>
          </w:p>
        </w:tc>
        <w:tc>
          <w:tcPr>
            <w:tcW w:w="779" w:type="dxa"/>
            <w:shd w:val="clear" w:color="auto" w:fill="auto"/>
            <w:noWrap/>
            <w:vAlign w:val="center"/>
          </w:tcPr>
          <w:p w14:paraId="6AFC155E" w14:textId="7C2302A9"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158</w:t>
            </w:r>
          </w:p>
        </w:tc>
        <w:tc>
          <w:tcPr>
            <w:tcW w:w="780" w:type="dxa"/>
            <w:shd w:val="clear" w:color="auto" w:fill="auto"/>
            <w:noWrap/>
            <w:vAlign w:val="center"/>
          </w:tcPr>
          <w:p w14:paraId="63CC9DE0" w14:textId="46AAF50D" w:rsidR="00AB0097" w:rsidRPr="001B4CA2" w:rsidRDefault="00C4577F" w:rsidP="00AB0097">
            <w:pPr>
              <w:jc w:val="center"/>
              <w:rPr>
                <w:rFonts w:eastAsia="Times New Roman"/>
                <w:sz w:val="18"/>
                <w:szCs w:val="18"/>
                <w:lang w:eastAsia="hr-HR"/>
              </w:rPr>
            </w:pPr>
            <w:r w:rsidRPr="001B4CA2">
              <w:rPr>
                <w:rFonts w:eastAsia="Times New Roman"/>
                <w:sz w:val="18"/>
                <w:szCs w:val="18"/>
                <w:lang w:eastAsia="hr-HR"/>
              </w:rPr>
              <w:t>0</w:t>
            </w:r>
          </w:p>
        </w:tc>
        <w:tc>
          <w:tcPr>
            <w:tcW w:w="780" w:type="dxa"/>
            <w:shd w:val="clear" w:color="auto" w:fill="auto"/>
            <w:noWrap/>
            <w:vAlign w:val="center"/>
          </w:tcPr>
          <w:p w14:paraId="3BD1756A" w14:textId="22774488"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16</w:t>
            </w:r>
          </w:p>
        </w:tc>
        <w:tc>
          <w:tcPr>
            <w:tcW w:w="779" w:type="dxa"/>
            <w:shd w:val="clear" w:color="auto" w:fill="auto"/>
            <w:noWrap/>
            <w:vAlign w:val="center"/>
          </w:tcPr>
          <w:p w14:paraId="6D923195" w14:textId="1908A8E2" w:rsidR="00AB0097" w:rsidRPr="001B4CA2" w:rsidRDefault="00C4577F" w:rsidP="00C4577F">
            <w:pPr>
              <w:jc w:val="center"/>
              <w:rPr>
                <w:rFonts w:eastAsia="Times New Roman"/>
                <w:sz w:val="18"/>
                <w:szCs w:val="18"/>
                <w:lang w:eastAsia="hr-HR"/>
              </w:rPr>
            </w:pPr>
            <w:r w:rsidRPr="001B4CA2">
              <w:rPr>
                <w:rFonts w:eastAsia="Times New Roman"/>
                <w:color w:val="000000"/>
                <w:sz w:val="18"/>
                <w:szCs w:val="18"/>
                <w:lang w:eastAsia="hr-HR"/>
              </w:rPr>
              <w:t>1</w:t>
            </w:r>
          </w:p>
        </w:tc>
        <w:tc>
          <w:tcPr>
            <w:tcW w:w="780" w:type="dxa"/>
            <w:vAlign w:val="center"/>
          </w:tcPr>
          <w:p w14:paraId="1C85054F" w14:textId="25F97341"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244</w:t>
            </w:r>
          </w:p>
        </w:tc>
        <w:tc>
          <w:tcPr>
            <w:tcW w:w="780" w:type="dxa"/>
            <w:vAlign w:val="center"/>
          </w:tcPr>
          <w:p w14:paraId="36297BFF" w14:textId="04BE4496"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1.396</w:t>
            </w:r>
          </w:p>
        </w:tc>
      </w:tr>
      <w:tr w:rsidR="00C4577F" w:rsidRPr="001B4CA2" w14:paraId="4C4E76F9" w14:textId="77777777" w:rsidTr="00D57807">
        <w:trPr>
          <w:trHeight w:val="281"/>
        </w:trPr>
        <w:tc>
          <w:tcPr>
            <w:tcW w:w="851" w:type="dxa"/>
            <w:shd w:val="clear" w:color="auto" w:fill="auto"/>
            <w:noWrap/>
            <w:vAlign w:val="center"/>
          </w:tcPr>
          <w:p w14:paraId="78A98850" w14:textId="3CF15D3B" w:rsidR="00AB0097" w:rsidRPr="001B4CA2" w:rsidRDefault="00AB0097" w:rsidP="00AB0097">
            <w:pPr>
              <w:jc w:val="center"/>
              <w:rPr>
                <w:rFonts w:eastAsia="Times New Roman"/>
                <w:sz w:val="18"/>
                <w:szCs w:val="18"/>
                <w:lang w:eastAsia="hr-HR"/>
              </w:rPr>
            </w:pPr>
            <w:r w:rsidRPr="001B4CA2">
              <w:rPr>
                <w:rFonts w:eastAsia="Times New Roman"/>
                <w:color w:val="000000"/>
                <w:sz w:val="18"/>
                <w:szCs w:val="18"/>
                <w:lang w:eastAsia="hr-HR"/>
              </w:rPr>
              <w:t>202</w:t>
            </w:r>
            <w:r w:rsidR="007A070B" w:rsidRPr="001B4CA2">
              <w:rPr>
                <w:rFonts w:eastAsia="Times New Roman"/>
                <w:color w:val="000000"/>
                <w:sz w:val="18"/>
                <w:szCs w:val="18"/>
                <w:lang w:eastAsia="hr-HR"/>
              </w:rPr>
              <w:t>1</w:t>
            </w:r>
            <w:r w:rsidRPr="001B4CA2">
              <w:rPr>
                <w:rFonts w:eastAsia="Times New Roman"/>
                <w:color w:val="000000"/>
                <w:sz w:val="18"/>
                <w:szCs w:val="18"/>
                <w:lang w:eastAsia="hr-HR"/>
              </w:rPr>
              <w:t>.</w:t>
            </w:r>
          </w:p>
        </w:tc>
        <w:tc>
          <w:tcPr>
            <w:tcW w:w="709" w:type="dxa"/>
            <w:vAlign w:val="center"/>
          </w:tcPr>
          <w:p w14:paraId="1ADF645E" w14:textId="561ADE15" w:rsidR="00AB0097" w:rsidRPr="001B4CA2" w:rsidRDefault="00AB0097" w:rsidP="00AB0097">
            <w:pPr>
              <w:jc w:val="center"/>
              <w:rPr>
                <w:rFonts w:eastAsia="Times New Roman"/>
                <w:sz w:val="18"/>
                <w:szCs w:val="18"/>
                <w:lang w:eastAsia="hr-HR"/>
              </w:rPr>
            </w:pPr>
          </w:p>
        </w:tc>
        <w:tc>
          <w:tcPr>
            <w:tcW w:w="708" w:type="dxa"/>
            <w:shd w:val="clear" w:color="auto" w:fill="auto"/>
            <w:noWrap/>
            <w:vAlign w:val="center"/>
          </w:tcPr>
          <w:p w14:paraId="071A3501" w14:textId="3ACBB161"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364</w:t>
            </w:r>
          </w:p>
        </w:tc>
        <w:tc>
          <w:tcPr>
            <w:tcW w:w="567" w:type="dxa"/>
            <w:vAlign w:val="center"/>
          </w:tcPr>
          <w:p w14:paraId="13702C73" w14:textId="7E2205F1"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364</w:t>
            </w:r>
          </w:p>
        </w:tc>
        <w:tc>
          <w:tcPr>
            <w:tcW w:w="993" w:type="dxa"/>
            <w:vAlign w:val="center"/>
          </w:tcPr>
          <w:p w14:paraId="15DE737A" w14:textId="7D58C11B"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47</w:t>
            </w:r>
          </w:p>
        </w:tc>
        <w:tc>
          <w:tcPr>
            <w:tcW w:w="566" w:type="dxa"/>
            <w:vAlign w:val="center"/>
          </w:tcPr>
          <w:p w14:paraId="00A32FA3" w14:textId="42693A0B"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288</w:t>
            </w:r>
          </w:p>
        </w:tc>
        <w:tc>
          <w:tcPr>
            <w:tcW w:w="779" w:type="dxa"/>
            <w:shd w:val="clear" w:color="auto" w:fill="auto"/>
            <w:noWrap/>
            <w:vAlign w:val="center"/>
          </w:tcPr>
          <w:p w14:paraId="5165FD63" w14:textId="61940500"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221</w:t>
            </w:r>
          </w:p>
        </w:tc>
        <w:tc>
          <w:tcPr>
            <w:tcW w:w="780" w:type="dxa"/>
            <w:shd w:val="clear" w:color="auto" w:fill="auto"/>
            <w:noWrap/>
            <w:vAlign w:val="center"/>
          </w:tcPr>
          <w:p w14:paraId="50B68EFD" w14:textId="2787C878" w:rsidR="00AB0097" w:rsidRPr="001B4CA2" w:rsidRDefault="00C4577F" w:rsidP="00AB0097">
            <w:pPr>
              <w:jc w:val="center"/>
              <w:rPr>
                <w:rFonts w:eastAsia="Times New Roman"/>
                <w:sz w:val="18"/>
                <w:szCs w:val="18"/>
                <w:lang w:eastAsia="hr-HR"/>
              </w:rPr>
            </w:pPr>
            <w:r w:rsidRPr="001B4CA2">
              <w:rPr>
                <w:rFonts w:eastAsia="Times New Roman"/>
                <w:sz w:val="18"/>
                <w:szCs w:val="18"/>
                <w:lang w:eastAsia="hr-HR"/>
              </w:rPr>
              <w:t>0</w:t>
            </w:r>
          </w:p>
        </w:tc>
        <w:tc>
          <w:tcPr>
            <w:tcW w:w="780" w:type="dxa"/>
            <w:shd w:val="clear" w:color="auto" w:fill="auto"/>
            <w:noWrap/>
            <w:vAlign w:val="center"/>
          </w:tcPr>
          <w:p w14:paraId="06985974" w14:textId="6D279BB8"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11</w:t>
            </w:r>
          </w:p>
        </w:tc>
        <w:tc>
          <w:tcPr>
            <w:tcW w:w="779" w:type="dxa"/>
            <w:shd w:val="clear" w:color="auto" w:fill="auto"/>
            <w:noWrap/>
            <w:vAlign w:val="center"/>
          </w:tcPr>
          <w:p w14:paraId="1DAC6CF1" w14:textId="49B5056F" w:rsidR="00AB0097" w:rsidRPr="001B4CA2" w:rsidRDefault="00C4577F" w:rsidP="00C4577F">
            <w:pPr>
              <w:jc w:val="center"/>
              <w:rPr>
                <w:rFonts w:eastAsia="Times New Roman"/>
                <w:sz w:val="18"/>
                <w:szCs w:val="18"/>
                <w:lang w:eastAsia="hr-HR"/>
              </w:rPr>
            </w:pPr>
            <w:r w:rsidRPr="001B4CA2">
              <w:rPr>
                <w:rFonts w:eastAsia="Times New Roman"/>
                <w:color w:val="000000"/>
                <w:sz w:val="18"/>
                <w:szCs w:val="18"/>
                <w:lang w:eastAsia="hr-HR"/>
              </w:rPr>
              <w:t>6</w:t>
            </w:r>
          </w:p>
        </w:tc>
        <w:tc>
          <w:tcPr>
            <w:tcW w:w="780" w:type="dxa"/>
            <w:vAlign w:val="center"/>
          </w:tcPr>
          <w:p w14:paraId="7ADC1D0F" w14:textId="68B324F9"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352</w:t>
            </w:r>
          </w:p>
        </w:tc>
        <w:tc>
          <w:tcPr>
            <w:tcW w:w="780" w:type="dxa"/>
            <w:vAlign w:val="center"/>
          </w:tcPr>
          <w:p w14:paraId="6953BB89" w14:textId="46D8B670"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1.233</w:t>
            </w:r>
          </w:p>
        </w:tc>
      </w:tr>
      <w:tr w:rsidR="00C4577F" w:rsidRPr="001B4CA2" w14:paraId="79B8B601" w14:textId="77777777" w:rsidTr="00D57807">
        <w:trPr>
          <w:trHeight w:val="281"/>
        </w:trPr>
        <w:tc>
          <w:tcPr>
            <w:tcW w:w="851" w:type="dxa"/>
            <w:shd w:val="clear" w:color="auto" w:fill="auto"/>
            <w:noWrap/>
            <w:vAlign w:val="center"/>
          </w:tcPr>
          <w:p w14:paraId="79370020" w14:textId="1513E784" w:rsidR="00AB0097" w:rsidRPr="001B4CA2" w:rsidRDefault="00AB0097" w:rsidP="00AB0097">
            <w:pPr>
              <w:jc w:val="center"/>
              <w:rPr>
                <w:rFonts w:eastAsia="Times New Roman"/>
                <w:sz w:val="18"/>
                <w:szCs w:val="18"/>
                <w:lang w:eastAsia="hr-HR"/>
              </w:rPr>
            </w:pPr>
            <w:r w:rsidRPr="001B4CA2">
              <w:rPr>
                <w:rFonts w:eastAsia="Times New Roman"/>
                <w:color w:val="000000"/>
                <w:sz w:val="18"/>
                <w:szCs w:val="18"/>
                <w:lang w:eastAsia="hr-HR"/>
              </w:rPr>
              <w:t>202</w:t>
            </w:r>
            <w:r w:rsidR="007A070B" w:rsidRPr="001B4CA2">
              <w:rPr>
                <w:rFonts w:eastAsia="Times New Roman"/>
                <w:color w:val="000000"/>
                <w:sz w:val="18"/>
                <w:szCs w:val="18"/>
                <w:lang w:eastAsia="hr-HR"/>
              </w:rPr>
              <w:t>2</w:t>
            </w:r>
            <w:r w:rsidRPr="001B4CA2">
              <w:rPr>
                <w:rFonts w:eastAsia="Times New Roman"/>
                <w:color w:val="000000"/>
                <w:sz w:val="18"/>
                <w:szCs w:val="18"/>
                <w:lang w:eastAsia="hr-HR"/>
              </w:rPr>
              <w:t>.</w:t>
            </w:r>
          </w:p>
        </w:tc>
        <w:tc>
          <w:tcPr>
            <w:tcW w:w="709" w:type="dxa"/>
            <w:vAlign w:val="center"/>
          </w:tcPr>
          <w:p w14:paraId="4E0CCB61" w14:textId="5FC69F19" w:rsidR="00AB0097" w:rsidRPr="001B4CA2" w:rsidRDefault="00AB0097" w:rsidP="00AB0097">
            <w:pPr>
              <w:jc w:val="center"/>
              <w:rPr>
                <w:rFonts w:eastAsia="Times New Roman"/>
                <w:sz w:val="18"/>
                <w:szCs w:val="18"/>
                <w:lang w:eastAsia="hr-HR"/>
              </w:rPr>
            </w:pPr>
          </w:p>
        </w:tc>
        <w:tc>
          <w:tcPr>
            <w:tcW w:w="708" w:type="dxa"/>
            <w:shd w:val="clear" w:color="auto" w:fill="auto"/>
            <w:noWrap/>
            <w:vAlign w:val="center"/>
          </w:tcPr>
          <w:p w14:paraId="5BE31689" w14:textId="21548F38"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315</w:t>
            </w:r>
          </w:p>
        </w:tc>
        <w:tc>
          <w:tcPr>
            <w:tcW w:w="567" w:type="dxa"/>
            <w:vAlign w:val="center"/>
          </w:tcPr>
          <w:p w14:paraId="31E47EDB" w14:textId="29C288FA" w:rsidR="00AB0097" w:rsidRPr="001B4CA2" w:rsidRDefault="00AB0097" w:rsidP="00AB0097">
            <w:pPr>
              <w:jc w:val="center"/>
              <w:rPr>
                <w:rFonts w:eastAsia="Times New Roman"/>
                <w:sz w:val="18"/>
                <w:szCs w:val="18"/>
                <w:lang w:eastAsia="hr-HR"/>
              </w:rPr>
            </w:pPr>
            <w:r w:rsidRPr="001B4CA2">
              <w:rPr>
                <w:rFonts w:eastAsia="Times New Roman"/>
                <w:color w:val="000000"/>
                <w:sz w:val="18"/>
                <w:szCs w:val="18"/>
                <w:lang w:eastAsia="hr-HR"/>
              </w:rPr>
              <w:t>3</w:t>
            </w:r>
            <w:r w:rsidR="00C4577F" w:rsidRPr="001B4CA2">
              <w:rPr>
                <w:rFonts w:eastAsia="Times New Roman"/>
                <w:color w:val="000000"/>
                <w:sz w:val="18"/>
                <w:szCs w:val="18"/>
                <w:lang w:eastAsia="hr-HR"/>
              </w:rPr>
              <w:t>15</w:t>
            </w:r>
          </w:p>
        </w:tc>
        <w:tc>
          <w:tcPr>
            <w:tcW w:w="993" w:type="dxa"/>
            <w:vAlign w:val="center"/>
          </w:tcPr>
          <w:p w14:paraId="4420C80E" w14:textId="4DBF0B49"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36</w:t>
            </w:r>
          </w:p>
        </w:tc>
        <w:tc>
          <w:tcPr>
            <w:tcW w:w="566" w:type="dxa"/>
            <w:vAlign w:val="center"/>
          </w:tcPr>
          <w:p w14:paraId="04314ABF" w14:textId="1BBDD786"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407</w:t>
            </w:r>
          </w:p>
        </w:tc>
        <w:tc>
          <w:tcPr>
            <w:tcW w:w="779" w:type="dxa"/>
            <w:shd w:val="clear" w:color="auto" w:fill="auto"/>
            <w:noWrap/>
            <w:vAlign w:val="center"/>
          </w:tcPr>
          <w:p w14:paraId="25E35F6B" w14:textId="487BF737"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239</w:t>
            </w:r>
          </w:p>
        </w:tc>
        <w:tc>
          <w:tcPr>
            <w:tcW w:w="780" w:type="dxa"/>
            <w:shd w:val="clear" w:color="auto" w:fill="auto"/>
            <w:noWrap/>
            <w:vAlign w:val="center"/>
          </w:tcPr>
          <w:p w14:paraId="1ED046C4" w14:textId="1F2267C8" w:rsidR="00AB0097" w:rsidRPr="001B4CA2" w:rsidRDefault="00C4577F" w:rsidP="00AB0097">
            <w:pPr>
              <w:jc w:val="center"/>
              <w:rPr>
                <w:rFonts w:eastAsia="Times New Roman"/>
                <w:sz w:val="18"/>
                <w:szCs w:val="18"/>
                <w:lang w:eastAsia="hr-HR"/>
              </w:rPr>
            </w:pPr>
            <w:r w:rsidRPr="001B4CA2">
              <w:rPr>
                <w:rFonts w:eastAsia="Times New Roman"/>
                <w:sz w:val="18"/>
                <w:szCs w:val="18"/>
                <w:lang w:eastAsia="hr-HR"/>
              </w:rPr>
              <w:t>0</w:t>
            </w:r>
          </w:p>
        </w:tc>
        <w:tc>
          <w:tcPr>
            <w:tcW w:w="780" w:type="dxa"/>
            <w:shd w:val="clear" w:color="auto" w:fill="auto"/>
            <w:noWrap/>
            <w:vAlign w:val="center"/>
          </w:tcPr>
          <w:p w14:paraId="37379E34" w14:textId="7FA4791D"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16</w:t>
            </w:r>
          </w:p>
        </w:tc>
        <w:tc>
          <w:tcPr>
            <w:tcW w:w="779" w:type="dxa"/>
            <w:shd w:val="clear" w:color="auto" w:fill="auto"/>
            <w:noWrap/>
            <w:vAlign w:val="center"/>
          </w:tcPr>
          <w:p w14:paraId="6BBCF1ED" w14:textId="1710F2C1" w:rsidR="00AB0097" w:rsidRPr="001B4CA2" w:rsidRDefault="00C4577F" w:rsidP="00C4577F">
            <w:pPr>
              <w:jc w:val="center"/>
              <w:rPr>
                <w:rFonts w:eastAsia="Times New Roman"/>
                <w:sz w:val="18"/>
                <w:szCs w:val="18"/>
                <w:lang w:eastAsia="hr-HR"/>
              </w:rPr>
            </w:pPr>
            <w:r w:rsidRPr="001B4CA2">
              <w:rPr>
                <w:rFonts w:eastAsia="Times New Roman"/>
                <w:color w:val="000000"/>
                <w:sz w:val="18"/>
                <w:szCs w:val="18"/>
                <w:lang w:eastAsia="hr-HR"/>
              </w:rPr>
              <w:t>4</w:t>
            </w:r>
          </w:p>
        </w:tc>
        <w:tc>
          <w:tcPr>
            <w:tcW w:w="780" w:type="dxa"/>
            <w:vAlign w:val="center"/>
          </w:tcPr>
          <w:p w14:paraId="4A9A0469" w14:textId="4C2653B7" w:rsidR="00AB0097" w:rsidRPr="001B4CA2" w:rsidRDefault="00C4577F" w:rsidP="00AB0097">
            <w:pPr>
              <w:jc w:val="center"/>
              <w:rPr>
                <w:rFonts w:eastAsia="Times New Roman"/>
                <w:sz w:val="18"/>
                <w:szCs w:val="18"/>
                <w:lang w:eastAsia="hr-HR"/>
              </w:rPr>
            </w:pPr>
            <w:r w:rsidRPr="001B4CA2">
              <w:rPr>
                <w:rFonts w:eastAsia="Times New Roman"/>
                <w:color w:val="000000"/>
                <w:sz w:val="18"/>
                <w:szCs w:val="18"/>
                <w:lang w:eastAsia="hr-HR"/>
              </w:rPr>
              <w:t>469</w:t>
            </w:r>
          </w:p>
        </w:tc>
        <w:tc>
          <w:tcPr>
            <w:tcW w:w="780" w:type="dxa"/>
            <w:vAlign w:val="center"/>
          </w:tcPr>
          <w:p w14:paraId="11A81EF7" w14:textId="3FCCFE87" w:rsidR="00AB0097" w:rsidRPr="001B4CA2" w:rsidRDefault="00C4577F" w:rsidP="00AB0097">
            <w:pPr>
              <w:jc w:val="center"/>
              <w:rPr>
                <w:rFonts w:eastAsia="Times New Roman"/>
                <w:sz w:val="18"/>
                <w:szCs w:val="18"/>
                <w:lang w:eastAsia="hr-HR"/>
              </w:rPr>
            </w:pPr>
            <w:r w:rsidRPr="001B4CA2">
              <w:rPr>
                <w:rFonts w:eastAsia="Times New Roman"/>
                <w:sz w:val="18"/>
                <w:szCs w:val="18"/>
                <w:lang w:eastAsia="hr-HR"/>
              </w:rPr>
              <w:t>819</w:t>
            </w:r>
          </w:p>
        </w:tc>
      </w:tr>
    </w:tbl>
    <w:p w14:paraId="0C5DC225" w14:textId="77777777" w:rsidR="00484F03" w:rsidRPr="001B4CA2" w:rsidRDefault="00484F03" w:rsidP="00AB0097">
      <w:pPr>
        <w:rPr>
          <w:rFonts w:eastAsia="Arial"/>
        </w:rPr>
      </w:pPr>
    </w:p>
    <w:p w14:paraId="0366A2A4" w14:textId="37D079D3" w:rsidR="00C4577F" w:rsidRPr="001B4CA2" w:rsidRDefault="00C4577F" w:rsidP="00C4577F">
      <w:pPr>
        <w:ind w:firstLine="708"/>
        <w:rPr>
          <w:rFonts w:eastAsia="Arial"/>
        </w:rPr>
      </w:pPr>
      <w:r w:rsidRPr="001B4CA2">
        <w:rPr>
          <w:rFonts w:eastAsia="Arial"/>
        </w:rPr>
        <w:t>U izvještajnom razdoblju doneseno je 469 odluka suda, odnosno 33,2</w:t>
      </w:r>
      <w:r w:rsidR="00D24E74">
        <w:rPr>
          <w:rFonts w:eastAsia="Arial"/>
        </w:rPr>
        <w:t> </w:t>
      </w:r>
      <w:r w:rsidRPr="001B4CA2">
        <w:rPr>
          <w:rFonts w:eastAsia="Arial"/>
        </w:rPr>
        <w:t>% više u odnosu na 352 odluke donesene u prošlom izvještajnom razdoblju, što ukazuje na povećanu angažiranost nadležnih sudova u donošenju sudskih odluka, na što je utjecao broj novoimenovanih sudaca.</w:t>
      </w:r>
    </w:p>
    <w:p w14:paraId="137A1F8F" w14:textId="77777777" w:rsidR="00C4577F" w:rsidRPr="001B4CA2" w:rsidRDefault="00C4577F" w:rsidP="00C4577F">
      <w:pPr>
        <w:ind w:firstLine="708"/>
        <w:rPr>
          <w:rFonts w:eastAsia="Arial"/>
        </w:rPr>
      </w:pPr>
    </w:p>
    <w:p w14:paraId="4F196A58" w14:textId="48B40A8C" w:rsidR="00C4577F" w:rsidRPr="001B4CA2" w:rsidRDefault="00C4577F" w:rsidP="00C4577F">
      <w:pPr>
        <w:ind w:firstLine="708"/>
        <w:rPr>
          <w:rFonts w:eastAsia="Arial"/>
        </w:rPr>
      </w:pPr>
      <w:r w:rsidRPr="001B4CA2">
        <w:rPr>
          <w:rFonts w:eastAsia="Arial"/>
        </w:rPr>
        <w:t>Sudovi su donijeli 407 osuđujućih presuda, što predstavlja 86,6</w:t>
      </w:r>
      <w:r w:rsidR="00D24E74">
        <w:rPr>
          <w:rFonts w:eastAsia="Arial"/>
        </w:rPr>
        <w:t> </w:t>
      </w:r>
      <w:r w:rsidRPr="001B4CA2">
        <w:rPr>
          <w:rFonts w:eastAsia="Arial"/>
        </w:rPr>
        <w:t>% od ukupno donesenih presuda te je ujedno riječ o povećanju od 5</w:t>
      </w:r>
      <w:r w:rsidR="00D24E74">
        <w:rPr>
          <w:rFonts w:eastAsia="Arial"/>
        </w:rPr>
        <w:t> </w:t>
      </w:r>
      <w:r w:rsidRPr="001B4CA2">
        <w:rPr>
          <w:rFonts w:eastAsia="Arial"/>
        </w:rPr>
        <w:t>% u odnosu na prošlogodišnji postotak osuđujućih presuda, međutim radi se o postotnom udjelu osuđujućih presuda koji u petogodišnjem razdoblju (2018.</w:t>
      </w:r>
      <w:r w:rsidR="00D24E74">
        <w:rPr>
          <w:rFonts w:eastAsia="Arial"/>
        </w:rPr>
        <w:t xml:space="preserve"> – </w:t>
      </w:r>
      <w:r w:rsidRPr="001B4CA2">
        <w:rPr>
          <w:rFonts w:eastAsia="Arial"/>
        </w:rPr>
        <w:t>2022.) ne ukazuje na značajnija odstupanja. Takav udio osuđujućih presuda u ukupnom broju presuda donesenih u ovom izvještajnom razdoblju povezan je s činjenicom da su sudovi u 36 slučajeva obustavili kazneni postupak nakon potvrđivanja optužnice, što čini 7,67</w:t>
      </w:r>
      <w:r w:rsidR="00D24E74">
        <w:rPr>
          <w:rFonts w:eastAsia="Arial"/>
        </w:rPr>
        <w:t> </w:t>
      </w:r>
      <w:r w:rsidRPr="001B4CA2">
        <w:rPr>
          <w:rFonts w:eastAsia="Arial"/>
        </w:rPr>
        <w:t>% ukupnog broja donesenih odluka (2021.</w:t>
      </w:r>
      <w:r w:rsidR="00F47D60">
        <w:rPr>
          <w:rFonts w:eastAsia="Arial"/>
        </w:rPr>
        <w:t xml:space="preserve"> – </w:t>
      </w:r>
      <w:r w:rsidRPr="001B4CA2">
        <w:rPr>
          <w:rFonts w:eastAsia="Arial"/>
        </w:rPr>
        <w:t>47 obustava). Od tih 36 odluka o obustavi kaznenog postupka tijekom 2022. godine, samo je jedna odluka donesena iz razloga što je Ured odustao od kaznenog progona, dok je u odnosu na 19 fizičkih i 7 pravnih osoba postupak obustavljen jer su umrle, odnosno brisane iz sudskog registra. U odnosu na daljnjih 9 osoba postupak je obustavljen zbog nastupa zastare. Kada bi se stoga od ukupnog broja odluka (469) oduzele obustave kao posljedice smrti, brisanja pravnih osoba ili zastare (36 osoba),</w:t>
      </w:r>
      <w:r w:rsidRPr="001B4CA2">
        <w:t xml:space="preserve"> odnosno one u kojima su </w:t>
      </w:r>
      <w:r w:rsidR="00D24E74">
        <w:t>zbog</w:t>
      </w:r>
      <w:r w:rsidRPr="001B4CA2">
        <w:t xml:space="preserve"> objektivnih razloga na koje Ured ne može utjecati </w:t>
      </w:r>
      <w:r w:rsidRPr="001B4CA2">
        <w:rPr>
          <w:rFonts w:eastAsia="Arial"/>
        </w:rPr>
        <w:t>nastupile okolnosti koje onemogućuju daljnji kazneni progon optuženih osoba, proizlazi da je postotak osuđujućih presuda 93,78</w:t>
      </w:r>
      <w:r w:rsidR="00D24E74">
        <w:rPr>
          <w:rFonts w:eastAsia="Arial"/>
        </w:rPr>
        <w:t> </w:t>
      </w:r>
      <w:r w:rsidRPr="001B4CA2">
        <w:rPr>
          <w:rFonts w:eastAsia="Arial"/>
        </w:rPr>
        <w:t>%, odnosno na razini je rezultata ostvarenih u prethodnim razdobljima.</w:t>
      </w:r>
    </w:p>
    <w:p w14:paraId="1D11910E" w14:textId="77777777" w:rsidR="00C4577F" w:rsidRPr="001B4CA2" w:rsidRDefault="00C4577F" w:rsidP="00C4577F">
      <w:pPr>
        <w:ind w:firstLine="708"/>
        <w:rPr>
          <w:rFonts w:eastAsia="Arial"/>
        </w:rPr>
      </w:pPr>
    </w:p>
    <w:p w14:paraId="45F68CD1" w14:textId="7173F089" w:rsidR="00C4577F" w:rsidRPr="001B4CA2" w:rsidRDefault="00C4577F" w:rsidP="00C4577F">
      <w:pPr>
        <w:ind w:firstLine="708"/>
        <w:rPr>
          <w:rFonts w:eastAsia="Arial"/>
        </w:rPr>
      </w:pPr>
      <w:r w:rsidRPr="001B4CA2">
        <w:rPr>
          <w:rFonts w:eastAsia="Arial"/>
        </w:rPr>
        <w:t>U izvještajnom razdoblju doneseno je 16 oslobađajućih presuda (3,41</w:t>
      </w:r>
      <w:r w:rsidR="00D24E74">
        <w:rPr>
          <w:rFonts w:eastAsia="Arial"/>
        </w:rPr>
        <w:t> </w:t>
      </w:r>
      <w:r w:rsidRPr="001B4CA2">
        <w:rPr>
          <w:rFonts w:eastAsia="Arial"/>
        </w:rPr>
        <w:t>%) te 4 odbijajuće presude (0,85</w:t>
      </w:r>
      <w:r w:rsidR="00D24E74">
        <w:rPr>
          <w:rFonts w:eastAsia="Arial"/>
        </w:rPr>
        <w:t> </w:t>
      </w:r>
      <w:r w:rsidRPr="001B4CA2">
        <w:rPr>
          <w:rFonts w:eastAsia="Arial"/>
        </w:rPr>
        <w:t>%), koji su po</w:t>
      </w:r>
      <w:r w:rsidR="00FD08E9">
        <w:rPr>
          <w:rFonts w:eastAsia="Arial"/>
        </w:rPr>
        <w:t>datci</w:t>
      </w:r>
      <w:r w:rsidRPr="001B4CA2">
        <w:rPr>
          <w:rFonts w:eastAsia="Arial"/>
        </w:rPr>
        <w:t xml:space="preserve"> na razini prošlogodišnjih rezultata.</w:t>
      </w:r>
    </w:p>
    <w:p w14:paraId="0AEEB32C" w14:textId="583F4348" w:rsidR="00C4577F" w:rsidRPr="001B4CA2" w:rsidRDefault="00C4577F" w:rsidP="00C4577F">
      <w:pPr>
        <w:ind w:firstLine="708"/>
        <w:rPr>
          <w:rFonts w:eastAsia="Arial"/>
        </w:rPr>
      </w:pPr>
    </w:p>
    <w:p w14:paraId="025C4A26" w14:textId="77777777" w:rsidR="00C4577F" w:rsidRPr="001B4CA2" w:rsidRDefault="00C4577F" w:rsidP="00C4577F">
      <w:pPr>
        <w:ind w:firstLine="708"/>
        <w:rPr>
          <w:rFonts w:eastAsia="Arial"/>
        </w:rPr>
      </w:pPr>
      <w:r w:rsidRPr="001B4CA2">
        <w:rPr>
          <w:rFonts w:eastAsia="Arial"/>
        </w:rPr>
        <w:t xml:space="preserve">Na kraju izvještajnog razdoblja 819 osoba je bez presude. Imajući u vidu da je u izvještajnom razdoblju 2020. godine taj broj bio 1.396, uočava se pozitivan trend u povećanju ažurnosti sudova. </w:t>
      </w:r>
    </w:p>
    <w:p w14:paraId="299538E5" w14:textId="77777777" w:rsidR="00C4577F" w:rsidRPr="001B4CA2" w:rsidRDefault="00C4577F" w:rsidP="00C4577F">
      <w:pPr>
        <w:ind w:firstLine="708"/>
        <w:rPr>
          <w:rFonts w:eastAsia="Arial"/>
        </w:rPr>
      </w:pPr>
    </w:p>
    <w:p w14:paraId="13925867" w14:textId="060F2984" w:rsidR="00C4577F" w:rsidRPr="001B4CA2" w:rsidRDefault="00C4577F" w:rsidP="0020162B">
      <w:pPr>
        <w:ind w:firstLine="708"/>
        <w:rPr>
          <w:rFonts w:eastAsia="Arial"/>
        </w:rPr>
      </w:pPr>
      <w:r w:rsidRPr="001B4CA2">
        <w:rPr>
          <w:rFonts w:eastAsia="Arial"/>
        </w:rPr>
        <w:t>U 2022. godini od ukupno 469 odluka sudova 239 presuda doneseno je na temelju sporazuma stranaka, što predstavlja udio od 50,95</w:t>
      </w:r>
      <w:r w:rsidR="00D24E74">
        <w:rPr>
          <w:rFonts w:eastAsia="Arial"/>
        </w:rPr>
        <w:t> </w:t>
      </w:r>
      <w:r w:rsidRPr="001B4CA2">
        <w:rPr>
          <w:rFonts w:eastAsia="Arial"/>
        </w:rPr>
        <w:t>% u ukupnom broju presuda. U odnosu na 2021. godinu</w:t>
      </w:r>
      <w:r w:rsidR="00D24E74">
        <w:rPr>
          <w:rFonts w:eastAsia="Arial"/>
        </w:rPr>
        <w:t>,</w:t>
      </w:r>
      <w:r w:rsidRPr="001B4CA2">
        <w:rPr>
          <w:rFonts w:eastAsia="Arial"/>
        </w:rPr>
        <w:t xml:space="preserve"> kada je donesena 221 presuda na temelju sporazuma stranaka (62,78</w:t>
      </w:r>
      <w:r w:rsidR="00D24E74">
        <w:rPr>
          <w:rFonts w:eastAsia="Arial"/>
        </w:rPr>
        <w:t> </w:t>
      </w:r>
      <w:r w:rsidRPr="001B4CA2">
        <w:rPr>
          <w:rFonts w:eastAsia="Arial"/>
        </w:rPr>
        <w:t>%) od 352 donesene presude, u ovom izvještajnom razdoblju bilježi se pad udjela broja presuda na temelju sporazuma stranaka.</w:t>
      </w:r>
    </w:p>
    <w:p w14:paraId="7056315F" w14:textId="37567224" w:rsidR="00C4577F" w:rsidRPr="001B4CA2" w:rsidRDefault="00C4577F" w:rsidP="00C4577F">
      <w:pPr>
        <w:ind w:firstLine="708"/>
        <w:rPr>
          <w:rFonts w:eastAsia="Arial"/>
        </w:rPr>
      </w:pPr>
      <w:r w:rsidRPr="001B4CA2">
        <w:rPr>
          <w:rFonts w:eastAsia="Arial"/>
        </w:rPr>
        <w:lastRenderedPageBreak/>
        <w:t>Inicijativa za sklapanjem sporazuma u većini slučajeva (njih oko 62</w:t>
      </w:r>
      <w:r w:rsidR="00D24E74">
        <w:rPr>
          <w:rFonts w:eastAsia="Arial"/>
        </w:rPr>
        <w:t> </w:t>
      </w:r>
      <w:r w:rsidRPr="001B4CA2">
        <w:rPr>
          <w:rFonts w:eastAsia="Arial"/>
        </w:rPr>
        <w:t xml:space="preserve">%) na strani </w:t>
      </w:r>
      <w:r w:rsidR="00D24E74" w:rsidRPr="001B4CA2">
        <w:rPr>
          <w:rFonts w:eastAsia="Arial"/>
        </w:rPr>
        <w:t xml:space="preserve">je </w:t>
      </w:r>
      <w:r w:rsidRPr="001B4CA2">
        <w:rPr>
          <w:rFonts w:eastAsia="Arial"/>
        </w:rPr>
        <w:t>obrane</w:t>
      </w:r>
      <w:r w:rsidR="00D24E74">
        <w:rPr>
          <w:rFonts w:eastAsia="Arial"/>
        </w:rPr>
        <w:t>.</w:t>
      </w:r>
      <w:r w:rsidRPr="001B4CA2">
        <w:rPr>
          <w:rFonts w:eastAsia="Arial"/>
        </w:rPr>
        <w:t xml:space="preserve"> Pojedini </w:t>
      </w:r>
      <w:r w:rsidR="00D24E74">
        <w:rPr>
          <w:rFonts w:eastAsia="Arial"/>
        </w:rPr>
        <w:t xml:space="preserve">se </w:t>
      </w:r>
      <w:r w:rsidRPr="001B4CA2">
        <w:rPr>
          <w:rFonts w:eastAsia="Arial"/>
        </w:rPr>
        <w:t xml:space="preserve">prijedlozi obrane odbijaju zbog neprihvatljivo niskog prijedloga sankcija. S druge pak strane, pojedini prijedlozi Ureda nisu prihvaćeni od strane obrane zbog visine predloženih zatvorskih kazni, kao i visine protupravne imovinske koristi koju je od okrivljenika potrebno oduzeti.  </w:t>
      </w:r>
    </w:p>
    <w:p w14:paraId="35B0EE11" w14:textId="77777777" w:rsidR="00C4577F" w:rsidRPr="001B4CA2" w:rsidRDefault="00C4577F" w:rsidP="00C4577F">
      <w:pPr>
        <w:ind w:firstLine="708"/>
        <w:rPr>
          <w:rFonts w:eastAsia="Arial"/>
        </w:rPr>
      </w:pPr>
    </w:p>
    <w:p w14:paraId="5FA9D306" w14:textId="0A659870" w:rsidR="00C4577F" w:rsidRPr="001B4CA2" w:rsidRDefault="00C4577F" w:rsidP="00C4577F">
      <w:pPr>
        <w:ind w:firstLine="708"/>
        <w:rPr>
          <w:rFonts w:eastAsia="Arial"/>
        </w:rPr>
      </w:pPr>
      <w:r w:rsidRPr="001B4CA2">
        <w:rPr>
          <w:rFonts w:eastAsia="Arial"/>
        </w:rPr>
        <w:t>Do inicijative za sklapanje sporazuma dolazi u svim fazama prethodnog postupka, pa sve do početka rasprave. Razlozi za sklapanje sporazuma na strani okrivljenika jesu utjecaj priznanja na smanjenje kazne i mogući izlazak iz istražnog zatvora, dok je interes Ureda u skraćivanju vremena vođenja kaznenog postupka, a time i smanjenju troškova postupka te u potrebi bržeg i učinkovitijeg rješavanja predmeta (što</w:t>
      </w:r>
      <w:r w:rsidR="00E6050A" w:rsidRPr="001B4CA2">
        <w:rPr>
          <w:rFonts w:eastAsia="Arial"/>
        </w:rPr>
        <w:t xml:space="preserve"> </w:t>
      </w:r>
      <w:r w:rsidRPr="001B4CA2">
        <w:rPr>
          <w:rFonts w:eastAsia="Arial"/>
        </w:rPr>
        <w:t xml:space="preserve">uključuje priznanje kaznenog djela) i time stvaranja prostora za rješavanje drugih predmeta. </w:t>
      </w:r>
    </w:p>
    <w:p w14:paraId="111166A6" w14:textId="77777777" w:rsidR="00C4577F" w:rsidRPr="001B4CA2" w:rsidRDefault="00C4577F" w:rsidP="00C4577F">
      <w:pPr>
        <w:ind w:firstLine="708"/>
        <w:rPr>
          <w:rFonts w:eastAsia="Arial"/>
        </w:rPr>
      </w:pPr>
    </w:p>
    <w:p w14:paraId="639B9D22" w14:textId="7695AD7E" w:rsidR="00C4577F" w:rsidRPr="001B4CA2" w:rsidRDefault="00C4577F" w:rsidP="00C4577F">
      <w:pPr>
        <w:ind w:firstLine="708"/>
        <w:rPr>
          <w:rFonts w:eastAsia="Arial"/>
        </w:rPr>
      </w:pPr>
      <w:r w:rsidRPr="001B4CA2">
        <w:rPr>
          <w:rFonts w:eastAsia="Arial"/>
        </w:rPr>
        <w:t>Pored toga, jedan od ciljeva zaključenja sporazuma jest i oduzimanje nepripadne imovinske koristi, pa je tako u izvještajnoj godini u odnosu na 79 osoba na temelju sporazuma oduzeta imovinska korist u ukupnom iznosu od 6.389.270,33 k</w:t>
      </w:r>
      <w:r w:rsidR="00E6050A" w:rsidRPr="001B4CA2">
        <w:rPr>
          <w:rFonts w:eastAsia="Arial"/>
        </w:rPr>
        <w:t>n</w:t>
      </w:r>
      <w:r w:rsidR="00D24E74">
        <w:rPr>
          <w:rFonts w:eastAsia="Arial"/>
        </w:rPr>
        <w:t xml:space="preserve"> </w:t>
      </w:r>
      <w:r w:rsidR="00E6050A" w:rsidRPr="001B4CA2">
        <w:rPr>
          <w:rFonts w:eastAsia="Arial"/>
        </w:rPr>
        <w:t>/</w:t>
      </w:r>
      <w:r w:rsidR="001C297A" w:rsidRPr="001B4CA2">
        <w:rPr>
          <w:rFonts w:eastAsia="Arial"/>
        </w:rPr>
        <w:t xml:space="preserve"> </w:t>
      </w:r>
      <w:r w:rsidR="00E6050A" w:rsidRPr="001B4CA2">
        <w:rPr>
          <w:rFonts w:eastAsia="Arial"/>
        </w:rPr>
        <w:t>848.001,90 EUR</w:t>
      </w:r>
      <w:r w:rsidRPr="001B4CA2">
        <w:rPr>
          <w:rFonts w:eastAsia="Arial"/>
        </w:rPr>
        <w:t xml:space="preserve">. </w:t>
      </w:r>
    </w:p>
    <w:p w14:paraId="63E80F58" w14:textId="77777777" w:rsidR="00C4577F" w:rsidRPr="001B4CA2" w:rsidRDefault="00C4577F" w:rsidP="00C4577F">
      <w:pPr>
        <w:ind w:firstLine="708"/>
        <w:rPr>
          <w:rFonts w:eastAsia="Arial"/>
        </w:rPr>
      </w:pPr>
    </w:p>
    <w:p w14:paraId="58A195AF" w14:textId="2B9E4D82" w:rsidR="00C4577F" w:rsidRPr="001B4CA2" w:rsidRDefault="00D24E74" w:rsidP="00C4577F">
      <w:pPr>
        <w:ind w:firstLine="708"/>
        <w:rPr>
          <w:rFonts w:eastAsia="Arial"/>
        </w:rPr>
      </w:pPr>
      <w:r>
        <w:rPr>
          <w:rFonts w:eastAsia="Arial"/>
        </w:rPr>
        <w:t>Valja</w:t>
      </w:r>
      <w:r w:rsidR="00C4577F" w:rsidRPr="001B4CA2">
        <w:rPr>
          <w:rFonts w:eastAsia="Arial"/>
        </w:rPr>
        <w:t xml:space="preserve"> istaknuti da se uvijek kada je to moguće sporazumima dogovara i izricanje sporednih novčanih kazni, pa su u 2022. godini u odnosu na 63 osobe izrečene sporedne novčane kazne u ukupnoj visini od 1.313.606,83 k</w:t>
      </w:r>
      <w:r w:rsidR="00E6050A" w:rsidRPr="001B4CA2">
        <w:rPr>
          <w:rFonts w:eastAsia="Arial"/>
        </w:rPr>
        <w:t>n</w:t>
      </w:r>
      <w:r>
        <w:rPr>
          <w:rFonts w:eastAsia="Arial"/>
        </w:rPr>
        <w:t xml:space="preserve"> </w:t>
      </w:r>
      <w:r w:rsidR="00E6050A" w:rsidRPr="001B4CA2">
        <w:rPr>
          <w:rFonts w:eastAsia="Arial"/>
        </w:rPr>
        <w:t>/</w:t>
      </w:r>
      <w:r w:rsidR="001C297A" w:rsidRPr="001B4CA2">
        <w:rPr>
          <w:rFonts w:eastAsia="Arial"/>
        </w:rPr>
        <w:t xml:space="preserve"> </w:t>
      </w:r>
      <w:r w:rsidR="00E6050A" w:rsidRPr="001B4CA2">
        <w:rPr>
          <w:rFonts w:eastAsia="Arial"/>
        </w:rPr>
        <w:t>174.345,58 EUR</w:t>
      </w:r>
      <w:r w:rsidR="00C4577F" w:rsidRPr="001B4CA2">
        <w:rPr>
          <w:rFonts w:eastAsia="Arial"/>
        </w:rPr>
        <w:t xml:space="preserve">. Visina oduzete protupravne imovinske koristi kao i visina izrečene novčane kazne ovisi o okolnostima svakog pojedinog kaznenog djela, koja se </w:t>
      </w:r>
      <w:r w:rsidRPr="001B4CA2">
        <w:rPr>
          <w:rFonts w:eastAsia="Arial"/>
        </w:rPr>
        <w:t xml:space="preserve">činjenica </w:t>
      </w:r>
      <w:r w:rsidR="00C4577F" w:rsidRPr="001B4CA2">
        <w:rPr>
          <w:rFonts w:eastAsia="Arial"/>
        </w:rPr>
        <w:t>izravno reflektira na iznos ukupno oduzete imovinske koristi i visinu izrečenih sporednih novčanih kazni tijekom jednog izvještajnog razdoblja.</w:t>
      </w:r>
    </w:p>
    <w:p w14:paraId="49F837EF" w14:textId="77777777" w:rsidR="00C4577F" w:rsidRPr="001B4CA2" w:rsidRDefault="00C4577F" w:rsidP="00C4577F">
      <w:pPr>
        <w:ind w:firstLine="708"/>
        <w:rPr>
          <w:rFonts w:eastAsia="Arial"/>
        </w:rPr>
      </w:pPr>
    </w:p>
    <w:p w14:paraId="5286B21A" w14:textId="45421153" w:rsidR="00C4577F" w:rsidRPr="001B4CA2" w:rsidRDefault="00C4577F" w:rsidP="00C4577F">
      <w:pPr>
        <w:rPr>
          <w:rFonts w:eastAsia="Arial"/>
        </w:rPr>
      </w:pPr>
      <w:r w:rsidRPr="001B4CA2">
        <w:rPr>
          <w:rFonts w:eastAsia="Arial"/>
        </w:rPr>
        <w:tab/>
        <w:t>U konačnici valja naglasiti da je na kraju izvještajnog razdoblja bez presude ostalo ukupno 819 optuženih osoba, što predstavlja nastavak daljnjeg trenda smanjenja broja nepresuđenih osoba (tijekom 2021. godine 1</w:t>
      </w:r>
      <w:r w:rsidR="00D24E74">
        <w:rPr>
          <w:rFonts w:eastAsia="Arial"/>
        </w:rPr>
        <w:t>.</w:t>
      </w:r>
      <w:r w:rsidRPr="001B4CA2">
        <w:rPr>
          <w:rFonts w:eastAsia="Arial"/>
        </w:rPr>
        <w:t>233 osobe bez presude, a 2020. godine 1</w:t>
      </w:r>
      <w:r w:rsidR="00D24E74">
        <w:rPr>
          <w:rFonts w:eastAsia="Arial"/>
        </w:rPr>
        <w:t>.</w:t>
      </w:r>
      <w:r w:rsidRPr="001B4CA2">
        <w:rPr>
          <w:rFonts w:eastAsia="Arial"/>
        </w:rPr>
        <w:t xml:space="preserve">396 osoba bez presude). Iako postoji pozitivan trend u smanjenju broja optuženih bez presude, činjenica da je na kraju ovog izvještajnog razdoblja bez presude ostao i dalje velik broj nepresuđenih osoba pa se donošenje presuda na temelju sporazuma stranaka i nadalje ukazuje opravdanim uz uvažavanje okolnosti svakog pojedinog predmeta. </w:t>
      </w:r>
    </w:p>
    <w:p w14:paraId="6F5B1164" w14:textId="7DE30A76" w:rsidR="00B110F9" w:rsidRDefault="00B110F9" w:rsidP="00FD418A"/>
    <w:p w14:paraId="0A1541CA" w14:textId="6C898BAA" w:rsidR="00D57807" w:rsidRDefault="00D57807" w:rsidP="00FD418A"/>
    <w:p w14:paraId="73BFFC2E" w14:textId="389074C7" w:rsidR="00D57807" w:rsidRDefault="00D57807" w:rsidP="00FD418A"/>
    <w:p w14:paraId="18DCC0B3" w14:textId="51B5527E" w:rsidR="00D57807" w:rsidRDefault="00D57807" w:rsidP="00FD418A"/>
    <w:p w14:paraId="342A9A72" w14:textId="24AA980A" w:rsidR="00D57807" w:rsidRDefault="00D57807" w:rsidP="00FD418A"/>
    <w:p w14:paraId="3F976F74" w14:textId="372E5EE9" w:rsidR="00D57807" w:rsidRDefault="00D57807" w:rsidP="00FD418A"/>
    <w:p w14:paraId="08FBD01D" w14:textId="5D8F68A6" w:rsidR="00D57807" w:rsidRDefault="00D57807" w:rsidP="00FD418A"/>
    <w:p w14:paraId="61AE800B" w14:textId="3868E8B9" w:rsidR="00D57807" w:rsidRDefault="00D57807" w:rsidP="00FD418A"/>
    <w:p w14:paraId="2BB4C372" w14:textId="07D432F8" w:rsidR="00D57807" w:rsidRDefault="00D57807" w:rsidP="00FD418A"/>
    <w:p w14:paraId="72B3F642" w14:textId="5517F28F" w:rsidR="00D57807" w:rsidRDefault="00D57807" w:rsidP="00FD418A"/>
    <w:p w14:paraId="12C12E6B" w14:textId="0FECEB6D" w:rsidR="00D57807" w:rsidRDefault="00D57807" w:rsidP="00FD418A"/>
    <w:p w14:paraId="0F105F03" w14:textId="0F653371" w:rsidR="00D57807" w:rsidRDefault="00D57807" w:rsidP="00FD418A"/>
    <w:p w14:paraId="38733691" w14:textId="35020685" w:rsidR="00D57807" w:rsidRDefault="00D57807" w:rsidP="00FD418A"/>
    <w:p w14:paraId="29C0E91F" w14:textId="77777777" w:rsidR="00D57807" w:rsidRPr="001B4CA2" w:rsidRDefault="00D57807" w:rsidP="00FD418A"/>
    <w:p w14:paraId="31C7A7C7" w14:textId="1FAA68E5" w:rsidR="006A1678" w:rsidRPr="001B4CA2" w:rsidRDefault="006A1678" w:rsidP="00955E23">
      <w:pPr>
        <w:pStyle w:val="Naslov3"/>
        <w:tabs>
          <w:tab w:val="left" w:pos="993"/>
        </w:tabs>
        <w:rPr>
          <w:rFonts w:ascii="Arial" w:hAnsi="Arial" w:cs="Arial"/>
          <w:shd w:val="clear" w:color="auto" w:fill="FFFF00"/>
        </w:rPr>
      </w:pPr>
      <w:bookmarkStart w:id="134" w:name="_Toc133394364"/>
      <w:r w:rsidRPr="001B4CA2">
        <w:rPr>
          <w:rFonts w:ascii="Arial" w:hAnsi="Arial" w:cs="Arial"/>
        </w:rPr>
        <w:lastRenderedPageBreak/>
        <w:t>Kaznene</w:t>
      </w:r>
      <w:r w:rsidR="007C50CA" w:rsidRPr="001B4CA2">
        <w:rPr>
          <w:rFonts w:ascii="Arial" w:hAnsi="Arial" w:cs="Arial"/>
        </w:rPr>
        <w:t xml:space="preserve"> </w:t>
      </w:r>
      <w:r w:rsidRPr="001B4CA2">
        <w:rPr>
          <w:rFonts w:ascii="Arial" w:hAnsi="Arial" w:cs="Arial"/>
        </w:rPr>
        <w:t>sankcije</w:t>
      </w:r>
      <w:bookmarkEnd w:id="134"/>
    </w:p>
    <w:p w14:paraId="4204B2F4" w14:textId="77777777" w:rsidR="00C4577F" w:rsidRPr="001B4CA2" w:rsidRDefault="00C4577F" w:rsidP="00C4577F"/>
    <w:p w14:paraId="42C99853" w14:textId="139D24A8" w:rsidR="00E96D4E" w:rsidRPr="001B4CA2" w:rsidRDefault="00D57807" w:rsidP="00E96D4E">
      <w:r>
        <w:rPr>
          <w:i/>
          <w:iCs/>
        </w:rPr>
        <w:t xml:space="preserve">   </w:t>
      </w:r>
      <w:r w:rsidR="00C4577F" w:rsidRPr="001B4CA2">
        <w:rPr>
          <w:i/>
          <w:iCs/>
        </w:rPr>
        <w:t>Broj i vrsta izrečenih kazni</w:t>
      </w:r>
    </w:p>
    <w:tbl>
      <w:tblPr>
        <w:tblW w:w="4800" w:type="pct"/>
        <w:jc w:val="center"/>
        <w:tblLayout w:type="fixed"/>
        <w:tblLook w:val="04A0" w:firstRow="1" w:lastRow="0" w:firstColumn="1" w:lastColumn="0" w:noHBand="0" w:noVBand="1"/>
      </w:tblPr>
      <w:tblGrid>
        <w:gridCol w:w="709"/>
        <w:gridCol w:w="720"/>
        <w:gridCol w:w="555"/>
        <w:gridCol w:w="849"/>
        <w:gridCol w:w="581"/>
        <w:gridCol w:w="567"/>
        <w:gridCol w:w="553"/>
        <w:gridCol w:w="710"/>
        <w:gridCol w:w="724"/>
        <w:gridCol w:w="710"/>
        <w:gridCol w:w="685"/>
        <w:gridCol w:w="710"/>
        <w:gridCol w:w="843"/>
      </w:tblGrid>
      <w:tr w:rsidR="00C4577F" w:rsidRPr="001B4CA2" w14:paraId="35B61DD7" w14:textId="48822DA6" w:rsidTr="00D57807">
        <w:trPr>
          <w:cantSplit/>
          <w:trHeight w:val="1606"/>
          <w:jc w:val="center"/>
        </w:trPr>
        <w:tc>
          <w:tcPr>
            <w:tcW w:w="398" w:type="pct"/>
            <w:tcBorders>
              <w:top w:val="single" w:sz="4" w:space="0" w:color="auto"/>
              <w:left w:val="single" w:sz="4" w:space="0" w:color="auto"/>
              <w:bottom w:val="single" w:sz="4" w:space="0" w:color="auto"/>
              <w:right w:val="single" w:sz="4" w:space="0" w:color="auto"/>
            </w:tcBorders>
            <w:shd w:val="clear" w:color="000000" w:fill="99CCFF"/>
            <w:noWrap/>
            <w:vAlign w:val="center"/>
            <w:hideMark/>
          </w:tcPr>
          <w:p w14:paraId="46656AA1" w14:textId="77777777" w:rsidR="00222C2E" w:rsidRPr="001B4CA2" w:rsidRDefault="00222C2E" w:rsidP="00EC75BB">
            <w:pPr>
              <w:jc w:val="left"/>
              <w:rPr>
                <w:rFonts w:asciiTheme="majorHAnsi" w:eastAsia="Times New Roman" w:hAnsiTheme="majorHAnsi" w:cstheme="majorHAnsi"/>
                <w:b/>
                <w:sz w:val="18"/>
                <w:szCs w:val="18"/>
                <w:lang w:eastAsia="hr-HR"/>
              </w:rPr>
            </w:pPr>
            <w:r w:rsidRPr="001B4CA2">
              <w:rPr>
                <w:rFonts w:asciiTheme="majorHAnsi" w:eastAsia="Times New Roman" w:hAnsiTheme="majorHAnsi" w:cstheme="majorHAnsi"/>
                <w:b/>
                <w:sz w:val="18"/>
                <w:szCs w:val="18"/>
                <w:lang w:eastAsia="hr-HR"/>
              </w:rPr>
              <w:t>Godina</w:t>
            </w:r>
          </w:p>
        </w:tc>
        <w:tc>
          <w:tcPr>
            <w:tcW w:w="404"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3BB87CDA" w14:textId="05F99ED8" w:rsidR="00222C2E" w:rsidRPr="001B4CA2" w:rsidRDefault="00222C2E" w:rsidP="00013630">
            <w:pPr>
              <w:ind w:left="113" w:right="113"/>
              <w:jc w:val="left"/>
              <w:rPr>
                <w:rFonts w:asciiTheme="majorHAnsi" w:eastAsia="Times New Roman" w:hAnsiTheme="majorHAnsi" w:cstheme="majorHAnsi"/>
                <w:b/>
                <w:sz w:val="18"/>
                <w:szCs w:val="18"/>
                <w:lang w:eastAsia="hr-HR"/>
              </w:rPr>
            </w:pPr>
            <w:r w:rsidRPr="001B4CA2">
              <w:rPr>
                <w:rFonts w:asciiTheme="majorHAnsi" w:eastAsia="Times New Roman" w:hAnsiTheme="majorHAnsi" w:cstheme="majorHAnsi"/>
                <w:b/>
                <w:sz w:val="18"/>
                <w:szCs w:val="18"/>
                <w:lang w:eastAsia="hr-HR"/>
              </w:rPr>
              <w:t>Osuđujuća presuda</w:t>
            </w:r>
          </w:p>
        </w:tc>
        <w:tc>
          <w:tcPr>
            <w:tcW w:w="311"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2F9A9349" w14:textId="111C3EA7" w:rsidR="00222C2E" w:rsidRPr="001B4CA2" w:rsidRDefault="00222C2E" w:rsidP="00013630">
            <w:pPr>
              <w:ind w:left="113" w:right="113"/>
              <w:jc w:val="left"/>
              <w:rPr>
                <w:rFonts w:asciiTheme="majorHAnsi" w:eastAsia="Times New Roman" w:hAnsiTheme="majorHAnsi" w:cstheme="majorHAnsi"/>
                <w:b/>
                <w:sz w:val="18"/>
                <w:szCs w:val="18"/>
                <w:lang w:eastAsia="hr-HR"/>
              </w:rPr>
            </w:pPr>
            <w:r w:rsidRPr="001B4CA2">
              <w:rPr>
                <w:rFonts w:asciiTheme="majorHAnsi" w:eastAsia="Times New Roman" w:hAnsiTheme="majorHAnsi" w:cstheme="majorHAnsi"/>
                <w:b/>
                <w:sz w:val="18"/>
                <w:szCs w:val="18"/>
                <w:lang w:eastAsia="hr-HR"/>
              </w:rPr>
              <w:t>Zatvor</w:t>
            </w:r>
          </w:p>
        </w:tc>
        <w:tc>
          <w:tcPr>
            <w:tcW w:w="476"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5811140F" w14:textId="00AAEAEB" w:rsidR="00222C2E" w:rsidRPr="001B4CA2" w:rsidRDefault="00C4577F" w:rsidP="00013630">
            <w:pPr>
              <w:ind w:left="113" w:right="113"/>
              <w:jc w:val="left"/>
              <w:rPr>
                <w:rFonts w:asciiTheme="majorHAnsi" w:eastAsia="Times New Roman" w:hAnsiTheme="majorHAnsi" w:cstheme="majorHAnsi"/>
                <w:b/>
                <w:sz w:val="18"/>
                <w:szCs w:val="18"/>
                <w:lang w:eastAsia="hr-HR"/>
              </w:rPr>
            </w:pPr>
            <w:r w:rsidRPr="001B4CA2">
              <w:rPr>
                <w:rFonts w:asciiTheme="majorHAnsi" w:eastAsia="Times New Roman" w:hAnsiTheme="majorHAnsi" w:cstheme="majorHAnsi"/>
                <w:b/>
                <w:sz w:val="18"/>
                <w:szCs w:val="18"/>
                <w:lang w:eastAsia="hr-HR"/>
              </w:rPr>
              <w:t>Od toga d</w:t>
            </w:r>
            <w:r w:rsidR="00222C2E" w:rsidRPr="001B4CA2">
              <w:rPr>
                <w:rFonts w:asciiTheme="majorHAnsi" w:eastAsia="Times New Roman" w:hAnsiTheme="majorHAnsi" w:cstheme="majorHAnsi"/>
                <w:b/>
                <w:sz w:val="18"/>
                <w:szCs w:val="18"/>
                <w:lang w:eastAsia="hr-HR"/>
              </w:rPr>
              <w:t>ugotrajni zatvor</w:t>
            </w:r>
          </w:p>
        </w:tc>
        <w:tc>
          <w:tcPr>
            <w:tcW w:w="326"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223B7AAA" w14:textId="6493E5BA" w:rsidR="00222C2E" w:rsidRPr="001B4CA2" w:rsidRDefault="00222C2E" w:rsidP="00013630">
            <w:pPr>
              <w:ind w:left="113" w:right="113"/>
              <w:jc w:val="left"/>
              <w:rPr>
                <w:rFonts w:asciiTheme="majorHAnsi" w:eastAsia="Times New Roman" w:hAnsiTheme="majorHAnsi" w:cstheme="majorHAnsi"/>
                <w:b/>
                <w:sz w:val="18"/>
                <w:szCs w:val="18"/>
                <w:lang w:eastAsia="hr-HR"/>
              </w:rPr>
            </w:pPr>
            <w:r w:rsidRPr="001B4CA2">
              <w:rPr>
                <w:rFonts w:asciiTheme="majorHAnsi" w:eastAsia="Times New Roman" w:hAnsiTheme="majorHAnsi" w:cstheme="majorHAnsi"/>
                <w:b/>
                <w:sz w:val="18"/>
                <w:szCs w:val="18"/>
                <w:lang w:eastAsia="hr-HR"/>
              </w:rPr>
              <w:t>Od toga rad za opće dobro</w:t>
            </w:r>
          </w:p>
        </w:tc>
        <w:tc>
          <w:tcPr>
            <w:tcW w:w="318"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5EDD7EDB" w14:textId="0936FCAE" w:rsidR="00222C2E" w:rsidRPr="001B4CA2" w:rsidRDefault="00222C2E" w:rsidP="00013630">
            <w:pPr>
              <w:ind w:left="113" w:right="113"/>
              <w:jc w:val="left"/>
              <w:rPr>
                <w:rFonts w:asciiTheme="majorHAnsi" w:eastAsia="Times New Roman" w:hAnsiTheme="majorHAnsi" w:cstheme="majorHAnsi"/>
                <w:b/>
                <w:sz w:val="18"/>
                <w:szCs w:val="18"/>
                <w:lang w:eastAsia="hr-HR"/>
              </w:rPr>
            </w:pPr>
            <w:r w:rsidRPr="001B4CA2">
              <w:rPr>
                <w:rFonts w:asciiTheme="majorHAnsi" w:eastAsia="Times New Roman" w:hAnsiTheme="majorHAnsi" w:cstheme="majorHAnsi"/>
                <w:b/>
                <w:sz w:val="18"/>
                <w:szCs w:val="18"/>
                <w:lang w:eastAsia="hr-HR"/>
              </w:rPr>
              <w:t>Novčana kazna</w:t>
            </w:r>
          </w:p>
        </w:tc>
        <w:tc>
          <w:tcPr>
            <w:tcW w:w="310"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7258931D" w14:textId="125D35AA" w:rsidR="00222C2E" w:rsidRPr="001B4CA2" w:rsidRDefault="00222C2E" w:rsidP="00013630">
            <w:pPr>
              <w:ind w:left="113" w:right="113"/>
              <w:jc w:val="left"/>
              <w:rPr>
                <w:rFonts w:asciiTheme="majorHAnsi" w:eastAsia="Times New Roman" w:hAnsiTheme="majorHAnsi" w:cstheme="majorHAnsi"/>
                <w:b/>
                <w:sz w:val="18"/>
                <w:szCs w:val="18"/>
                <w:lang w:eastAsia="hr-HR"/>
              </w:rPr>
            </w:pPr>
            <w:r w:rsidRPr="001B4CA2">
              <w:rPr>
                <w:rFonts w:asciiTheme="majorHAnsi" w:eastAsia="Times New Roman" w:hAnsiTheme="majorHAnsi" w:cstheme="majorHAnsi"/>
                <w:b/>
                <w:sz w:val="18"/>
                <w:szCs w:val="18"/>
                <w:lang w:eastAsia="hr-HR"/>
              </w:rPr>
              <w:t>Uvjetna osuda</w:t>
            </w:r>
          </w:p>
        </w:tc>
        <w:tc>
          <w:tcPr>
            <w:tcW w:w="398"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4B10AD88" w14:textId="6936C25D" w:rsidR="00222C2E" w:rsidRPr="001B4CA2" w:rsidRDefault="00222C2E" w:rsidP="00013630">
            <w:pPr>
              <w:ind w:left="113" w:right="113"/>
              <w:jc w:val="left"/>
              <w:rPr>
                <w:rFonts w:asciiTheme="majorHAnsi" w:eastAsia="Times New Roman" w:hAnsiTheme="majorHAnsi" w:cstheme="majorHAnsi"/>
                <w:b/>
                <w:sz w:val="18"/>
                <w:szCs w:val="18"/>
                <w:lang w:eastAsia="hr-HR"/>
              </w:rPr>
            </w:pPr>
            <w:r w:rsidRPr="001B4CA2">
              <w:rPr>
                <w:rFonts w:asciiTheme="majorHAnsi" w:eastAsia="Times New Roman" w:hAnsiTheme="majorHAnsi" w:cstheme="majorHAnsi"/>
                <w:b/>
                <w:sz w:val="18"/>
                <w:szCs w:val="18"/>
                <w:lang w:eastAsia="hr-HR"/>
              </w:rPr>
              <w:t>Sudska opomena</w:t>
            </w:r>
          </w:p>
        </w:tc>
        <w:tc>
          <w:tcPr>
            <w:tcW w:w="406" w:type="pct"/>
            <w:tcBorders>
              <w:top w:val="single" w:sz="4" w:space="0" w:color="auto"/>
              <w:left w:val="nil"/>
              <w:bottom w:val="single" w:sz="4" w:space="0" w:color="auto"/>
              <w:right w:val="single" w:sz="4" w:space="0" w:color="auto"/>
            </w:tcBorders>
            <w:shd w:val="clear" w:color="000000" w:fill="99CCFF"/>
            <w:textDirection w:val="btLr"/>
            <w:vAlign w:val="center"/>
            <w:hideMark/>
          </w:tcPr>
          <w:p w14:paraId="59DE06C2" w14:textId="3749C7A4" w:rsidR="00222C2E" w:rsidRPr="001B4CA2" w:rsidRDefault="00222C2E" w:rsidP="00013630">
            <w:pPr>
              <w:ind w:left="113" w:right="113"/>
              <w:jc w:val="left"/>
              <w:rPr>
                <w:rFonts w:asciiTheme="majorHAnsi" w:eastAsia="Times New Roman" w:hAnsiTheme="majorHAnsi" w:cstheme="majorHAnsi"/>
                <w:b/>
                <w:sz w:val="18"/>
                <w:szCs w:val="18"/>
                <w:lang w:eastAsia="hr-HR"/>
              </w:rPr>
            </w:pPr>
            <w:r w:rsidRPr="001B4CA2">
              <w:rPr>
                <w:rFonts w:asciiTheme="majorHAnsi" w:eastAsia="Times New Roman" w:hAnsiTheme="majorHAnsi" w:cstheme="majorHAnsi"/>
                <w:b/>
                <w:sz w:val="18"/>
                <w:szCs w:val="18"/>
                <w:lang w:eastAsia="hr-HR"/>
              </w:rPr>
              <w:t>Prestanak pravne osobe</w:t>
            </w:r>
          </w:p>
        </w:tc>
        <w:tc>
          <w:tcPr>
            <w:tcW w:w="398" w:type="pct"/>
            <w:tcBorders>
              <w:top w:val="single" w:sz="4" w:space="0" w:color="auto"/>
              <w:left w:val="nil"/>
              <w:bottom w:val="single" w:sz="4" w:space="0" w:color="auto"/>
              <w:right w:val="single" w:sz="4" w:space="0" w:color="auto"/>
            </w:tcBorders>
            <w:shd w:val="clear" w:color="000000" w:fill="99CCFF"/>
            <w:textDirection w:val="btLr"/>
            <w:vAlign w:val="center"/>
          </w:tcPr>
          <w:p w14:paraId="2B56F362" w14:textId="01D5EA10" w:rsidR="00222C2E" w:rsidRPr="001B4CA2" w:rsidRDefault="00222C2E" w:rsidP="00013630">
            <w:pPr>
              <w:ind w:left="113" w:right="113"/>
              <w:jc w:val="left"/>
              <w:rPr>
                <w:rFonts w:asciiTheme="majorHAnsi" w:eastAsia="Times New Roman" w:hAnsiTheme="majorHAnsi" w:cstheme="majorHAnsi"/>
                <w:b/>
                <w:sz w:val="18"/>
                <w:szCs w:val="18"/>
                <w:lang w:eastAsia="hr-HR"/>
              </w:rPr>
            </w:pPr>
            <w:r w:rsidRPr="001B4CA2">
              <w:rPr>
                <w:rFonts w:asciiTheme="majorHAnsi" w:eastAsia="Times New Roman" w:hAnsiTheme="majorHAnsi" w:cstheme="majorHAnsi"/>
                <w:b/>
                <w:sz w:val="18"/>
                <w:szCs w:val="18"/>
                <w:lang w:eastAsia="hr-HR"/>
              </w:rPr>
              <w:t>Maloljetničke sankcije</w:t>
            </w:r>
          </w:p>
        </w:tc>
        <w:tc>
          <w:tcPr>
            <w:tcW w:w="384" w:type="pct"/>
            <w:tcBorders>
              <w:top w:val="single" w:sz="4" w:space="0" w:color="auto"/>
              <w:left w:val="nil"/>
              <w:bottom w:val="single" w:sz="4" w:space="0" w:color="auto"/>
              <w:right w:val="single" w:sz="4" w:space="0" w:color="auto"/>
            </w:tcBorders>
            <w:shd w:val="clear" w:color="000000" w:fill="99CCFF"/>
            <w:textDirection w:val="btLr"/>
            <w:vAlign w:val="center"/>
          </w:tcPr>
          <w:p w14:paraId="04F5BD77" w14:textId="06811722" w:rsidR="00222C2E" w:rsidRPr="001B4CA2" w:rsidRDefault="00222C2E" w:rsidP="00013630">
            <w:pPr>
              <w:ind w:left="113" w:right="113"/>
              <w:jc w:val="left"/>
              <w:rPr>
                <w:rFonts w:asciiTheme="majorHAnsi" w:eastAsia="Times New Roman" w:hAnsiTheme="majorHAnsi" w:cstheme="majorHAnsi"/>
                <w:b/>
                <w:sz w:val="18"/>
                <w:szCs w:val="18"/>
                <w:lang w:eastAsia="hr-HR"/>
              </w:rPr>
            </w:pPr>
            <w:r w:rsidRPr="001B4CA2">
              <w:rPr>
                <w:rFonts w:asciiTheme="majorHAnsi" w:eastAsia="Times New Roman" w:hAnsiTheme="majorHAnsi" w:cstheme="majorHAnsi"/>
                <w:b/>
                <w:sz w:val="18"/>
                <w:szCs w:val="18"/>
                <w:lang w:eastAsia="hr-HR"/>
              </w:rPr>
              <w:t>Oslobođeno od kazne</w:t>
            </w:r>
          </w:p>
        </w:tc>
        <w:tc>
          <w:tcPr>
            <w:tcW w:w="398" w:type="pct"/>
            <w:tcBorders>
              <w:top w:val="single" w:sz="4" w:space="0" w:color="auto"/>
              <w:left w:val="nil"/>
              <w:bottom w:val="single" w:sz="4" w:space="0" w:color="auto"/>
              <w:right w:val="single" w:sz="4" w:space="0" w:color="auto"/>
            </w:tcBorders>
            <w:shd w:val="clear" w:color="000000" w:fill="99CCFF"/>
            <w:textDirection w:val="btLr"/>
            <w:vAlign w:val="center"/>
          </w:tcPr>
          <w:p w14:paraId="4EC3D822" w14:textId="21612EBD" w:rsidR="00222C2E" w:rsidRPr="001B4CA2" w:rsidRDefault="00222C2E" w:rsidP="00013630">
            <w:pPr>
              <w:ind w:left="113" w:right="113"/>
              <w:jc w:val="left"/>
              <w:rPr>
                <w:rFonts w:asciiTheme="majorHAnsi" w:eastAsia="Times New Roman" w:hAnsiTheme="majorHAnsi" w:cstheme="majorHAnsi"/>
                <w:b/>
                <w:sz w:val="18"/>
                <w:szCs w:val="18"/>
                <w:lang w:eastAsia="hr-HR"/>
              </w:rPr>
            </w:pPr>
            <w:r w:rsidRPr="001B4CA2">
              <w:rPr>
                <w:rFonts w:asciiTheme="majorHAnsi" w:eastAsia="Times New Roman" w:hAnsiTheme="majorHAnsi" w:cstheme="majorHAnsi"/>
                <w:b/>
                <w:sz w:val="18"/>
                <w:szCs w:val="18"/>
                <w:lang w:eastAsia="hr-HR"/>
              </w:rPr>
              <w:t>Ostalo</w:t>
            </w:r>
          </w:p>
        </w:tc>
        <w:tc>
          <w:tcPr>
            <w:tcW w:w="475" w:type="pct"/>
            <w:tcBorders>
              <w:top w:val="single" w:sz="4" w:space="0" w:color="auto"/>
              <w:left w:val="nil"/>
              <w:bottom w:val="single" w:sz="4" w:space="0" w:color="auto"/>
              <w:right w:val="single" w:sz="4" w:space="0" w:color="auto"/>
            </w:tcBorders>
            <w:shd w:val="clear" w:color="000000" w:fill="99CCFF"/>
            <w:textDirection w:val="btLr"/>
            <w:vAlign w:val="center"/>
          </w:tcPr>
          <w:p w14:paraId="451E152B" w14:textId="284ABE0B" w:rsidR="00222C2E" w:rsidRPr="001B4CA2" w:rsidRDefault="00222C2E" w:rsidP="00013630">
            <w:pPr>
              <w:ind w:left="113" w:right="113"/>
              <w:jc w:val="left"/>
              <w:rPr>
                <w:rFonts w:asciiTheme="majorHAnsi" w:eastAsia="Times New Roman" w:hAnsiTheme="majorHAnsi" w:cstheme="majorHAnsi"/>
                <w:b/>
                <w:sz w:val="18"/>
                <w:szCs w:val="18"/>
                <w:lang w:eastAsia="hr-HR"/>
              </w:rPr>
            </w:pPr>
            <w:r w:rsidRPr="001B4CA2">
              <w:rPr>
                <w:rFonts w:asciiTheme="majorHAnsi" w:eastAsia="Times New Roman" w:hAnsiTheme="majorHAnsi" w:cstheme="majorHAnsi"/>
                <w:b/>
                <w:sz w:val="18"/>
                <w:szCs w:val="18"/>
                <w:lang w:eastAsia="hr-HR"/>
              </w:rPr>
              <w:t>Ukupno sankcija</w:t>
            </w:r>
          </w:p>
        </w:tc>
      </w:tr>
      <w:tr w:rsidR="00C4577F" w:rsidRPr="001B4CA2" w14:paraId="3317D769" w14:textId="2E1EE09F" w:rsidTr="00D57807">
        <w:trPr>
          <w:trHeight w:val="349"/>
          <w:jc w:val="center"/>
        </w:trPr>
        <w:tc>
          <w:tcPr>
            <w:tcW w:w="398" w:type="pct"/>
            <w:tcBorders>
              <w:top w:val="nil"/>
              <w:left w:val="single" w:sz="4" w:space="0" w:color="auto"/>
              <w:bottom w:val="single" w:sz="4" w:space="0" w:color="auto"/>
              <w:right w:val="single" w:sz="4" w:space="0" w:color="auto"/>
            </w:tcBorders>
            <w:shd w:val="clear" w:color="auto" w:fill="auto"/>
            <w:noWrap/>
            <w:vAlign w:val="center"/>
          </w:tcPr>
          <w:p w14:paraId="26A38105" w14:textId="126465CA" w:rsidR="00F4267A" w:rsidRPr="001B4CA2" w:rsidRDefault="00F4267A"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201</w:t>
            </w:r>
            <w:r w:rsidR="00C4577F" w:rsidRPr="001B4CA2">
              <w:rPr>
                <w:rFonts w:asciiTheme="majorHAnsi" w:eastAsia="Times New Roman" w:hAnsiTheme="majorHAnsi" w:cstheme="majorHAnsi"/>
                <w:color w:val="000000"/>
                <w:sz w:val="18"/>
                <w:szCs w:val="18"/>
                <w:lang w:eastAsia="hr-HR"/>
              </w:rPr>
              <w:t>8</w:t>
            </w:r>
            <w:r w:rsidRPr="001B4CA2">
              <w:rPr>
                <w:rFonts w:asciiTheme="majorHAnsi" w:eastAsia="Times New Roman" w:hAnsiTheme="majorHAnsi" w:cstheme="majorHAnsi"/>
                <w:color w:val="000000"/>
                <w:sz w:val="18"/>
                <w:szCs w:val="18"/>
                <w:lang w:eastAsia="hr-HR"/>
              </w:rPr>
              <w:t>.</w:t>
            </w:r>
          </w:p>
        </w:tc>
        <w:tc>
          <w:tcPr>
            <w:tcW w:w="404" w:type="pct"/>
            <w:tcBorders>
              <w:top w:val="nil"/>
              <w:left w:val="nil"/>
              <w:bottom w:val="single" w:sz="4" w:space="0" w:color="auto"/>
              <w:right w:val="single" w:sz="4" w:space="0" w:color="auto"/>
            </w:tcBorders>
            <w:shd w:val="clear" w:color="auto" w:fill="auto"/>
            <w:noWrap/>
            <w:vAlign w:val="center"/>
          </w:tcPr>
          <w:p w14:paraId="69997455" w14:textId="3AC60FC3"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246</w:t>
            </w:r>
          </w:p>
        </w:tc>
        <w:tc>
          <w:tcPr>
            <w:tcW w:w="311" w:type="pct"/>
            <w:tcBorders>
              <w:top w:val="nil"/>
              <w:left w:val="nil"/>
              <w:bottom w:val="single" w:sz="4" w:space="0" w:color="auto"/>
              <w:right w:val="single" w:sz="4" w:space="0" w:color="auto"/>
            </w:tcBorders>
            <w:shd w:val="clear" w:color="auto" w:fill="auto"/>
            <w:noWrap/>
            <w:vAlign w:val="center"/>
          </w:tcPr>
          <w:p w14:paraId="3F10C0B6" w14:textId="55C4B1D3"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132</w:t>
            </w:r>
          </w:p>
        </w:tc>
        <w:tc>
          <w:tcPr>
            <w:tcW w:w="476" w:type="pct"/>
            <w:tcBorders>
              <w:top w:val="nil"/>
              <w:left w:val="nil"/>
              <w:bottom w:val="single" w:sz="4" w:space="0" w:color="auto"/>
              <w:right w:val="single" w:sz="4" w:space="0" w:color="auto"/>
            </w:tcBorders>
            <w:shd w:val="clear" w:color="auto" w:fill="auto"/>
            <w:noWrap/>
            <w:vAlign w:val="center"/>
          </w:tcPr>
          <w:p w14:paraId="00BDEC2C" w14:textId="28CB20E1" w:rsidR="00F4267A" w:rsidRPr="001B4CA2" w:rsidRDefault="00F4267A" w:rsidP="00F4267A">
            <w:pPr>
              <w:jc w:val="center"/>
              <w:rPr>
                <w:rFonts w:asciiTheme="majorHAnsi" w:eastAsia="Times New Roman" w:hAnsiTheme="majorHAnsi" w:cstheme="majorHAnsi"/>
                <w:sz w:val="18"/>
                <w:szCs w:val="18"/>
                <w:lang w:eastAsia="hr-HR"/>
              </w:rPr>
            </w:pPr>
          </w:p>
        </w:tc>
        <w:tc>
          <w:tcPr>
            <w:tcW w:w="326" w:type="pct"/>
            <w:tcBorders>
              <w:top w:val="nil"/>
              <w:left w:val="nil"/>
              <w:bottom w:val="single" w:sz="4" w:space="0" w:color="auto"/>
              <w:right w:val="single" w:sz="4" w:space="0" w:color="auto"/>
            </w:tcBorders>
            <w:shd w:val="clear" w:color="auto" w:fill="auto"/>
            <w:noWrap/>
            <w:vAlign w:val="center"/>
          </w:tcPr>
          <w:p w14:paraId="111A1699" w14:textId="5DDA7976"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44</w:t>
            </w:r>
          </w:p>
        </w:tc>
        <w:tc>
          <w:tcPr>
            <w:tcW w:w="318" w:type="pct"/>
            <w:tcBorders>
              <w:top w:val="nil"/>
              <w:left w:val="nil"/>
              <w:bottom w:val="single" w:sz="4" w:space="0" w:color="auto"/>
              <w:right w:val="single" w:sz="4" w:space="0" w:color="auto"/>
            </w:tcBorders>
            <w:shd w:val="clear" w:color="auto" w:fill="auto"/>
            <w:noWrap/>
            <w:vAlign w:val="center"/>
          </w:tcPr>
          <w:p w14:paraId="30E1B16B" w14:textId="77A8600D"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1</w:t>
            </w:r>
          </w:p>
        </w:tc>
        <w:tc>
          <w:tcPr>
            <w:tcW w:w="310" w:type="pct"/>
            <w:tcBorders>
              <w:top w:val="nil"/>
              <w:left w:val="nil"/>
              <w:bottom w:val="single" w:sz="4" w:space="0" w:color="auto"/>
              <w:right w:val="single" w:sz="4" w:space="0" w:color="auto"/>
            </w:tcBorders>
            <w:shd w:val="clear" w:color="auto" w:fill="auto"/>
            <w:noWrap/>
            <w:vAlign w:val="center"/>
          </w:tcPr>
          <w:p w14:paraId="5D601FF0" w14:textId="05342DF1"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100</w:t>
            </w:r>
          </w:p>
        </w:tc>
        <w:tc>
          <w:tcPr>
            <w:tcW w:w="398" w:type="pct"/>
            <w:tcBorders>
              <w:top w:val="nil"/>
              <w:left w:val="nil"/>
              <w:bottom w:val="single" w:sz="4" w:space="0" w:color="auto"/>
              <w:right w:val="single" w:sz="4" w:space="0" w:color="auto"/>
            </w:tcBorders>
            <w:shd w:val="clear" w:color="auto" w:fill="auto"/>
            <w:noWrap/>
            <w:vAlign w:val="center"/>
          </w:tcPr>
          <w:p w14:paraId="4BB61603" w14:textId="13B926CA" w:rsidR="00F4267A" w:rsidRPr="001B4CA2" w:rsidRDefault="00F4267A" w:rsidP="00F4267A">
            <w:pPr>
              <w:jc w:val="center"/>
              <w:rPr>
                <w:rFonts w:asciiTheme="majorHAnsi" w:eastAsia="Times New Roman" w:hAnsiTheme="majorHAnsi" w:cstheme="majorHAnsi"/>
                <w:sz w:val="18"/>
                <w:szCs w:val="18"/>
                <w:lang w:eastAsia="hr-HR"/>
              </w:rPr>
            </w:pPr>
          </w:p>
        </w:tc>
        <w:tc>
          <w:tcPr>
            <w:tcW w:w="406" w:type="pct"/>
            <w:tcBorders>
              <w:top w:val="nil"/>
              <w:left w:val="nil"/>
              <w:bottom w:val="single" w:sz="4" w:space="0" w:color="auto"/>
              <w:right w:val="single" w:sz="4" w:space="0" w:color="auto"/>
            </w:tcBorders>
            <w:shd w:val="clear" w:color="auto" w:fill="auto"/>
            <w:noWrap/>
            <w:vAlign w:val="center"/>
          </w:tcPr>
          <w:p w14:paraId="23774ED4" w14:textId="4111DF10" w:rsidR="00F4267A" w:rsidRPr="001B4CA2" w:rsidRDefault="00F4267A" w:rsidP="00F4267A">
            <w:pPr>
              <w:jc w:val="center"/>
              <w:rPr>
                <w:rFonts w:asciiTheme="majorHAnsi" w:eastAsia="Times New Roman" w:hAnsiTheme="majorHAnsi" w:cstheme="majorHAnsi"/>
                <w:sz w:val="18"/>
                <w:szCs w:val="18"/>
                <w:lang w:eastAsia="hr-HR"/>
              </w:rPr>
            </w:pPr>
          </w:p>
        </w:tc>
        <w:tc>
          <w:tcPr>
            <w:tcW w:w="398" w:type="pct"/>
            <w:tcBorders>
              <w:top w:val="nil"/>
              <w:left w:val="nil"/>
              <w:bottom w:val="single" w:sz="4" w:space="0" w:color="auto"/>
              <w:right w:val="single" w:sz="4" w:space="0" w:color="auto"/>
            </w:tcBorders>
            <w:vAlign w:val="center"/>
          </w:tcPr>
          <w:p w14:paraId="0FB315A4" w14:textId="65A72DD2" w:rsidR="00F4267A" w:rsidRPr="001B4CA2" w:rsidRDefault="00F4267A" w:rsidP="00F4267A">
            <w:pPr>
              <w:jc w:val="center"/>
              <w:rPr>
                <w:rFonts w:asciiTheme="majorHAnsi" w:eastAsia="Times New Roman" w:hAnsiTheme="majorHAnsi" w:cstheme="majorHAnsi"/>
                <w:sz w:val="18"/>
                <w:szCs w:val="18"/>
                <w:lang w:eastAsia="hr-HR"/>
              </w:rPr>
            </w:pPr>
          </w:p>
        </w:tc>
        <w:tc>
          <w:tcPr>
            <w:tcW w:w="384" w:type="pct"/>
            <w:tcBorders>
              <w:top w:val="nil"/>
              <w:left w:val="nil"/>
              <w:bottom w:val="single" w:sz="4" w:space="0" w:color="auto"/>
              <w:right w:val="single" w:sz="4" w:space="0" w:color="auto"/>
            </w:tcBorders>
            <w:vAlign w:val="center"/>
          </w:tcPr>
          <w:p w14:paraId="5498BF84" w14:textId="5995B64B" w:rsidR="00F4267A" w:rsidRPr="001B4CA2" w:rsidRDefault="00F4267A" w:rsidP="00F4267A">
            <w:pPr>
              <w:jc w:val="center"/>
              <w:rPr>
                <w:rFonts w:asciiTheme="majorHAnsi" w:eastAsia="Times New Roman" w:hAnsiTheme="majorHAnsi" w:cstheme="majorHAnsi"/>
                <w:sz w:val="18"/>
                <w:szCs w:val="18"/>
                <w:lang w:eastAsia="hr-HR"/>
              </w:rPr>
            </w:pPr>
          </w:p>
        </w:tc>
        <w:tc>
          <w:tcPr>
            <w:tcW w:w="398" w:type="pct"/>
            <w:tcBorders>
              <w:top w:val="nil"/>
              <w:left w:val="nil"/>
              <w:bottom w:val="single" w:sz="4" w:space="0" w:color="auto"/>
              <w:right w:val="single" w:sz="4" w:space="0" w:color="auto"/>
            </w:tcBorders>
            <w:vAlign w:val="center"/>
          </w:tcPr>
          <w:p w14:paraId="3020B2B7" w14:textId="5F7F2F64" w:rsidR="00F4267A" w:rsidRPr="001B4CA2" w:rsidRDefault="00F4267A" w:rsidP="00F4267A">
            <w:pPr>
              <w:jc w:val="center"/>
              <w:rPr>
                <w:rFonts w:asciiTheme="majorHAnsi" w:eastAsia="Times New Roman" w:hAnsiTheme="majorHAnsi" w:cstheme="majorHAnsi"/>
                <w:sz w:val="18"/>
                <w:szCs w:val="18"/>
                <w:lang w:eastAsia="hr-HR"/>
              </w:rPr>
            </w:pPr>
          </w:p>
        </w:tc>
        <w:tc>
          <w:tcPr>
            <w:tcW w:w="475" w:type="pct"/>
            <w:tcBorders>
              <w:top w:val="nil"/>
              <w:left w:val="nil"/>
              <w:bottom w:val="single" w:sz="4" w:space="0" w:color="auto"/>
              <w:right w:val="single" w:sz="4" w:space="0" w:color="auto"/>
            </w:tcBorders>
            <w:vAlign w:val="center"/>
          </w:tcPr>
          <w:p w14:paraId="719C10F8" w14:textId="07939ADF" w:rsidR="00F4267A" w:rsidRPr="001B4CA2" w:rsidRDefault="001438D4"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233</w:t>
            </w:r>
          </w:p>
        </w:tc>
      </w:tr>
      <w:tr w:rsidR="00C4577F" w:rsidRPr="001B4CA2" w14:paraId="5016F63F" w14:textId="0B43F8CD" w:rsidTr="00D57807">
        <w:trPr>
          <w:trHeight w:val="349"/>
          <w:jc w:val="center"/>
        </w:trPr>
        <w:tc>
          <w:tcPr>
            <w:tcW w:w="398" w:type="pct"/>
            <w:tcBorders>
              <w:top w:val="nil"/>
              <w:left w:val="single" w:sz="4" w:space="0" w:color="auto"/>
              <w:bottom w:val="single" w:sz="4" w:space="0" w:color="auto"/>
              <w:right w:val="single" w:sz="4" w:space="0" w:color="auto"/>
            </w:tcBorders>
            <w:shd w:val="clear" w:color="auto" w:fill="auto"/>
            <w:noWrap/>
            <w:vAlign w:val="center"/>
          </w:tcPr>
          <w:p w14:paraId="34AF9A0E" w14:textId="4420D88D" w:rsidR="00F4267A" w:rsidRPr="001B4CA2" w:rsidRDefault="00F4267A"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201</w:t>
            </w:r>
            <w:r w:rsidR="00C4577F" w:rsidRPr="001B4CA2">
              <w:rPr>
                <w:rFonts w:asciiTheme="majorHAnsi" w:eastAsia="Times New Roman" w:hAnsiTheme="majorHAnsi" w:cstheme="majorHAnsi"/>
                <w:color w:val="000000"/>
                <w:sz w:val="18"/>
                <w:szCs w:val="18"/>
                <w:lang w:eastAsia="hr-HR"/>
              </w:rPr>
              <w:t>9</w:t>
            </w:r>
            <w:r w:rsidRPr="001B4CA2">
              <w:rPr>
                <w:rFonts w:asciiTheme="majorHAnsi" w:eastAsia="Times New Roman" w:hAnsiTheme="majorHAnsi" w:cstheme="majorHAnsi"/>
                <w:color w:val="000000"/>
                <w:sz w:val="18"/>
                <w:szCs w:val="18"/>
                <w:lang w:eastAsia="hr-HR"/>
              </w:rPr>
              <w:t>.</w:t>
            </w:r>
          </w:p>
        </w:tc>
        <w:tc>
          <w:tcPr>
            <w:tcW w:w="404" w:type="pct"/>
            <w:tcBorders>
              <w:top w:val="nil"/>
              <w:left w:val="nil"/>
              <w:bottom w:val="single" w:sz="4" w:space="0" w:color="auto"/>
              <w:right w:val="single" w:sz="4" w:space="0" w:color="auto"/>
            </w:tcBorders>
            <w:shd w:val="clear" w:color="auto" w:fill="auto"/>
            <w:noWrap/>
            <w:vAlign w:val="center"/>
          </w:tcPr>
          <w:p w14:paraId="4FB5ECCB" w14:textId="52E47A27"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294</w:t>
            </w:r>
          </w:p>
        </w:tc>
        <w:tc>
          <w:tcPr>
            <w:tcW w:w="311" w:type="pct"/>
            <w:tcBorders>
              <w:top w:val="nil"/>
              <w:left w:val="nil"/>
              <w:bottom w:val="single" w:sz="4" w:space="0" w:color="auto"/>
              <w:right w:val="single" w:sz="4" w:space="0" w:color="auto"/>
            </w:tcBorders>
            <w:shd w:val="clear" w:color="auto" w:fill="auto"/>
            <w:noWrap/>
            <w:vAlign w:val="center"/>
          </w:tcPr>
          <w:p w14:paraId="1149FC32" w14:textId="73C707B4"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189</w:t>
            </w:r>
          </w:p>
        </w:tc>
        <w:tc>
          <w:tcPr>
            <w:tcW w:w="476" w:type="pct"/>
            <w:tcBorders>
              <w:top w:val="nil"/>
              <w:left w:val="nil"/>
              <w:bottom w:val="single" w:sz="4" w:space="0" w:color="auto"/>
              <w:right w:val="single" w:sz="4" w:space="0" w:color="auto"/>
            </w:tcBorders>
            <w:shd w:val="clear" w:color="auto" w:fill="auto"/>
            <w:noWrap/>
            <w:vAlign w:val="center"/>
          </w:tcPr>
          <w:p w14:paraId="5E5CB279" w14:textId="2D49E87F" w:rsidR="00F4267A" w:rsidRPr="001B4CA2" w:rsidRDefault="00F4267A" w:rsidP="00F4267A">
            <w:pPr>
              <w:jc w:val="center"/>
              <w:rPr>
                <w:rFonts w:asciiTheme="majorHAnsi" w:eastAsia="Times New Roman" w:hAnsiTheme="majorHAnsi" w:cstheme="majorHAnsi"/>
                <w:sz w:val="18"/>
                <w:szCs w:val="18"/>
                <w:lang w:eastAsia="hr-HR"/>
              </w:rPr>
            </w:pPr>
          </w:p>
        </w:tc>
        <w:tc>
          <w:tcPr>
            <w:tcW w:w="326" w:type="pct"/>
            <w:tcBorders>
              <w:top w:val="nil"/>
              <w:left w:val="nil"/>
              <w:bottom w:val="single" w:sz="4" w:space="0" w:color="auto"/>
              <w:right w:val="single" w:sz="4" w:space="0" w:color="auto"/>
            </w:tcBorders>
            <w:shd w:val="clear" w:color="auto" w:fill="auto"/>
            <w:noWrap/>
            <w:vAlign w:val="center"/>
          </w:tcPr>
          <w:p w14:paraId="2537C185" w14:textId="50068B45"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95</w:t>
            </w:r>
          </w:p>
        </w:tc>
        <w:tc>
          <w:tcPr>
            <w:tcW w:w="318" w:type="pct"/>
            <w:tcBorders>
              <w:top w:val="nil"/>
              <w:left w:val="nil"/>
              <w:bottom w:val="single" w:sz="4" w:space="0" w:color="auto"/>
              <w:right w:val="single" w:sz="4" w:space="0" w:color="auto"/>
            </w:tcBorders>
            <w:shd w:val="clear" w:color="auto" w:fill="auto"/>
            <w:noWrap/>
            <w:vAlign w:val="center"/>
          </w:tcPr>
          <w:p w14:paraId="6707E4EE" w14:textId="1179D1CE" w:rsidR="00F4267A" w:rsidRPr="001B4CA2" w:rsidRDefault="00F4267A"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1</w:t>
            </w:r>
            <w:r w:rsidR="00C4577F" w:rsidRPr="001B4CA2">
              <w:rPr>
                <w:rFonts w:asciiTheme="majorHAnsi" w:eastAsia="Times New Roman" w:hAnsiTheme="majorHAnsi" w:cstheme="majorHAnsi"/>
                <w:color w:val="000000"/>
                <w:sz w:val="18"/>
                <w:szCs w:val="18"/>
                <w:lang w:eastAsia="hr-HR"/>
              </w:rPr>
              <w:t>0</w:t>
            </w:r>
          </w:p>
        </w:tc>
        <w:tc>
          <w:tcPr>
            <w:tcW w:w="310" w:type="pct"/>
            <w:tcBorders>
              <w:top w:val="nil"/>
              <w:left w:val="nil"/>
              <w:bottom w:val="single" w:sz="4" w:space="0" w:color="auto"/>
              <w:right w:val="single" w:sz="4" w:space="0" w:color="auto"/>
            </w:tcBorders>
            <w:shd w:val="clear" w:color="auto" w:fill="auto"/>
            <w:noWrap/>
            <w:vAlign w:val="center"/>
          </w:tcPr>
          <w:p w14:paraId="34E66198" w14:textId="5E8D7724"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95</w:t>
            </w:r>
          </w:p>
        </w:tc>
        <w:tc>
          <w:tcPr>
            <w:tcW w:w="398" w:type="pct"/>
            <w:tcBorders>
              <w:top w:val="nil"/>
              <w:left w:val="nil"/>
              <w:bottom w:val="single" w:sz="4" w:space="0" w:color="auto"/>
              <w:right w:val="single" w:sz="4" w:space="0" w:color="auto"/>
            </w:tcBorders>
            <w:shd w:val="clear" w:color="auto" w:fill="auto"/>
            <w:noWrap/>
            <w:vAlign w:val="center"/>
          </w:tcPr>
          <w:p w14:paraId="053AC39D" w14:textId="07690976" w:rsidR="00F4267A" w:rsidRPr="001B4CA2" w:rsidRDefault="00F4267A" w:rsidP="00F4267A">
            <w:pPr>
              <w:jc w:val="center"/>
              <w:rPr>
                <w:rFonts w:asciiTheme="majorHAnsi" w:eastAsia="Times New Roman" w:hAnsiTheme="majorHAnsi" w:cstheme="majorHAnsi"/>
                <w:sz w:val="18"/>
                <w:szCs w:val="18"/>
                <w:lang w:eastAsia="hr-HR"/>
              </w:rPr>
            </w:pPr>
          </w:p>
        </w:tc>
        <w:tc>
          <w:tcPr>
            <w:tcW w:w="406" w:type="pct"/>
            <w:tcBorders>
              <w:top w:val="nil"/>
              <w:left w:val="nil"/>
              <w:bottom w:val="single" w:sz="4" w:space="0" w:color="auto"/>
              <w:right w:val="single" w:sz="4" w:space="0" w:color="auto"/>
            </w:tcBorders>
            <w:shd w:val="clear" w:color="auto" w:fill="auto"/>
            <w:noWrap/>
            <w:vAlign w:val="center"/>
          </w:tcPr>
          <w:p w14:paraId="3A6F04C6" w14:textId="639CA59E" w:rsidR="00F4267A" w:rsidRPr="001B4CA2" w:rsidRDefault="00F4267A" w:rsidP="00F4267A">
            <w:pPr>
              <w:jc w:val="center"/>
              <w:rPr>
                <w:rFonts w:asciiTheme="majorHAnsi" w:eastAsia="Times New Roman" w:hAnsiTheme="majorHAnsi" w:cstheme="majorHAnsi"/>
                <w:sz w:val="18"/>
                <w:szCs w:val="18"/>
                <w:lang w:eastAsia="hr-HR"/>
              </w:rPr>
            </w:pPr>
          </w:p>
        </w:tc>
        <w:tc>
          <w:tcPr>
            <w:tcW w:w="398" w:type="pct"/>
            <w:tcBorders>
              <w:top w:val="nil"/>
              <w:left w:val="nil"/>
              <w:bottom w:val="single" w:sz="4" w:space="0" w:color="auto"/>
              <w:right w:val="single" w:sz="4" w:space="0" w:color="auto"/>
            </w:tcBorders>
            <w:vAlign w:val="center"/>
          </w:tcPr>
          <w:p w14:paraId="35A7AE1A" w14:textId="0B8A8F9E" w:rsidR="00F4267A" w:rsidRPr="001B4CA2" w:rsidRDefault="00F4267A" w:rsidP="00F4267A">
            <w:pPr>
              <w:jc w:val="center"/>
              <w:rPr>
                <w:rFonts w:asciiTheme="majorHAnsi" w:eastAsia="Times New Roman" w:hAnsiTheme="majorHAnsi" w:cstheme="majorHAnsi"/>
                <w:sz w:val="18"/>
                <w:szCs w:val="18"/>
                <w:lang w:eastAsia="hr-HR"/>
              </w:rPr>
            </w:pPr>
          </w:p>
        </w:tc>
        <w:tc>
          <w:tcPr>
            <w:tcW w:w="384" w:type="pct"/>
            <w:tcBorders>
              <w:top w:val="nil"/>
              <w:left w:val="nil"/>
              <w:bottom w:val="single" w:sz="4" w:space="0" w:color="auto"/>
              <w:right w:val="single" w:sz="4" w:space="0" w:color="auto"/>
            </w:tcBorders>
            <w:vAlign w:val="center"/>
          </w:tcPr>
          <w:p w14:paraId="01AB7C9A" w14:textId="5DB4657B" w:rsidR="00F4267A" w:rsidRPr="001B4CA2" w:rsidRDefault="00F4267A" w:rsidP="00F4267A">
            <w:pPr>
              <w:jc w:val="center"/>
              <w:rPr>
                <w:rFonts w:asciiTheme="majorHAnsi" w:eastAsia="Times New Roman" w:hAnsiTheme="majorHAnsi" w:cstheme="majorHAnsi"/>
                <w:sz w:val="18"/>
                <w:szCs w:val="18"/>
                <w:lang w:eastAsia="hr-HR"/>
              </w:rPr>
            </w:pPr>
          </w:p>
        </w:tc>
        <w:tc>
          <w:tcPr>
            <w:tcW w:w="398" w:type="pct"/>
            <w:tcBorders>
              <w:top w:val="nil"/>
              <w:left w:val="nil"/>
              <w:bottom w:val="single" w:sz="4" w:space="0" w:color="auto"/>
              <w:right w:val="single" w:sz="4" w:space="0" w:color="auto"/>
            </w:tcBorders>
            <w:vAlign w:val="center"/>
          </w:tcPr>
          <w:p w14:paraId="2E3A0B34" w14:textId="6CA60BA7" w:rsidR="00F4267A" w:rsidRPr="001B4CA2" w:rsidRDefault="00F4267A" w:rsidP="00F4267A">
            <w:pPr>
              <w:jc w:val="center"/>
              <w:rPr>
                <w:rFonts w:asciiTheme="majorHAnsi" w:eastAsia="Times New Roman" w:hAnsiTheme="majorHAnsi" w:cstheme="majorHAnsi"/>
                <w:sz w:val="18"/>
                <w:szCs w:val="18"/>
                <w:lang w:eastAsia="hr-HR"/>
              </w:rPr>
            </w:pPr>
          </w:p>
        </w:tc>
        <w:tc>
          <w:tcPr>
            <w:tcW w:w="475" w:type="pct"/>
            <w:tcBorders>
              <w:top w:val="nil"/>
              <w:left w:val="nil"/>
              <w:bottom w:val="single" w:sz="4" w:space="0" w:color="auto"/>
              <w:right w:val="single" w:sz="4" w:space="0" w:color="auto"/>
            </w:tcBorders>
            <w:vAlign w:val="center"/>
          </w:tcPr>
          <w:p w14:paraId="49AC89F1" w14:textId="1AD57BC2" w:rsidR="00F4267A" w:rsidRPr="001B4CA2" w:rsidRDefault="001438D4"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294</w:t>
            </w:r>
          </w:p>
        </w:tc>
      </w:tr>
      <w:tr w:rsidR="00C4577F" w:rsidRPr="001B4CA2" w14:paraId="72B06459" w14:textId="7B34C89A" w:rsidTr="00D57807">
        <w:trPr>
          <w:trHeight w:val="349"/>
          <w:jc w:val="center"/>
        </w:trPr>
        <w:tc>
          <w:tcPr>
            <w:tcW w:w="398" w:type="pct"/>
            <w:tcBorders>
              <w:top w:val="nil"/>
              <w:left w:val="single" w:sz="4" w:space="0" w:color="auto"/>
              <w:bottom w:val="single" w:sz="4" w:space="0" w:color="auto"/>
              <w:right w:val="single" w:sz="4" w:space="0" w:color="auto"/>
            </w:tcBorders>
            <w:shd w:val="clear" w:color="auto" w:fill="auto"/>
            <w:noWrap/>
            <w:vAlign w:val="center"/>
          </w:tcPr>
          <w:p w14:paraId="1BF1B252" w14:textId="2489A5E2" w:rsidR="00F4267A" w:rsidRPr="001B4CA2" w:rsidRDefault="00F4267A"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20</w:t>
            </w:r>
            <w:r w:rsidR="00C4577F" w:rsidRPr="001B4CA2">
              <w:rPr>
                <w:rFonts w:asciiTheme="majorHAnsi" w:eastAsia="Times New Roman" w:hAnsiTheme="majorHAnsi" w:cstheme="majorHAnsi"/>
                <w:color w:val="000000"/>
                <w:sz w:val="18"/>
                <w:szCs w:val="18"/>
                <w:lang w:eastAsia="hr-HR"/>
              </w:rPr>
              <w:t>20</w:t>
            </w:r>
            <w:r w:rsidRPr="001B4CA2">
              <w:rPr>
                <w:rFonts w:asciiTheme="majorHAnsi" w:eastAsia="Times New Roman" w:hAnsiTheme="majorHAnsi" w:cstheme="majorHAnsi"/>
                <w:color w:val="000000"/>
                <w:sz w:val="18"/>
                <w:szCs w:val="18"/>
                <w:lang w:eastAsia="hr-HR"/>
              </w:rPr>
              <w:t>.</w:t>
            </w:r>
          </w:p>
        </w:tc>
        <w:tc>
          <w:tcPr>
            <w:tcW w:w="404" w:type="pct"/>
            <w:tcBorders>
              <w:top w:val="nil"/>
              <w:left w:val="nil"/>
              <w:bottom w:val="single" w:sz="4" w:space="0" w:color="auto"/>
              <w:right w:val="single" w:sz="4" w:space="0" w:color="auto"/>
            </w:tcBorders>
            <w:shd w:val="clear" w:color="auto" w:fill="auto"/>
            <w:noWrap/>
            <w:vAlign w:val="center"/>
          </w:tcPr>
          <w:p w14:paraId="2252A8B1" w14:textId="0A308F4C"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226</w:t>
            </w:r>
          </w:p>
        </w:tc>
        <w:tc>
          <w:tcPr>
            <w:tcW w:w="311" w:type="pct"/>
            <w:tcBorders>
              <w:top w:val="nil"/>
              <w:left w:val="nil"/>
              <w:bottom w:val="single" w:sz="4" w:space="0" w:color="auto"/>
              <w:right w:val="single" w:sz="4" w:space="0" w:color="auto"/>
            </w:tcBorders>
            <w:shd w:val="clear" w:color="auto" w:fill="auto"/>
            <w:noWrap/>
            <w:vAlign w:val="center"/>
          </w:tcPr>
          <w:p w14:paraId="581E4AEB" w14:textId="47B233B0" w:rsidR="00F4267A" w:rsidRPr="001B4CA2" w:rsidRDefault="00F4267A"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1</w:t>
            </w:r>
            <w:r w:rsidR="00C4577F" w:rsidRPr="001B4CA2">
              <w:rPr>
                <w:rFonts w:asciiTheme="majorHAnsi" w:eastAsia="Times New Roman" w:hAnsiTheme="majorHAnsi" w:cstheme="majorHAnsi"/>
                <w:color w:val="000000"/>
                <w:sz w:val="18"/>
                <w:szCs w:val="18"/>
                <w:lang w:eastAsia="hr-HR"/>
              </w:rPr>
              <w:t>23</w:t>
            </w:r>
          </w:p>
        </w:tc>
        <w:tc>
          <w:tcPr>
            <w:tcW w:w="476" w:type="pct"/>
            <w:tcBorders>
              <w:top w:val="nil"/>
              <w:left w:val="nil"/>
              <w:bottom w:val="single" w:sz="4" w:space="0" w:color="auto"/>
              <w:right w:val="single" w:sz="4" w:space="0" w:color="auto"/>
            </w:tcBorders>
            <w:shd w:val="clear" w:color="auto" w:fill="auto"/>
            <w:noWrap/>
            <w:vAlign w:val="center"/>
          </w:tcPr>
          <w:p w14:paraId="1D2CF131" w14:textId="3919FC0E" w:rsidR="00F4267A" w:rsidRPr="001B4CA2" w:rsidRDefault="00F4267A" w:rsidP="00F4267A">
            <w:pPr>
              <w:jc w:val="center"/>
              <w:rPr>
                <w:rFonts w:asciiTheme="majorHAnsi" w:eastAsia="Times New Roman" w:hAnsiTheme="majorHAnsi" w:cstheme="majorHAnsi"/>
                <w:sz w:val="18"/>
                <w:szCs w:val="18"/>
                <w:lang w:eastAsia="hr-HR"/>
              </w:rPr>
            </w:pPr>
          </w:p>
        </w:tc>
        <w:tc>
          <w:tcPr>
            <w:tcW w:w="326" w:type="pct"/>
            <w:tcBorders>
              <w:top w:val="nil"/>
              <w:left w:val="nil"/>
              <w:bottom w:val="single" w:sz="4" w:space="0" w:color="auto"/>
              <w:right w:val="single" w:sz="4" w:space="0" w:color="auto"/>
            </w:tcBorders>
            <w:shd w:val="clear" w:color="auto" w:fill="auto"/>
            <w:noWrap/>
            <w:vAlign w:val="center"/>
          </w:tcPr>
          <w:p w14:paraId="602D93C7" w14:textId="7BBA4AB9"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28</w:t>
            </w:r>
          </w:p>
        </w:tc>
        <w:tc>
          <w:tcPr>
            <w:tcW w:w="318" w:type="pct"/>
            <w:tcBorders>
              <w:top w:val="nil"/>
              <w:left w:val="nil"/>
              <w:bottom w:val="single" w:sz="4" w:space="0" w:color="auto"/>
              <w:right w:val="single" w:sz="4" w:space="0" w:color="auto"/>
            </w:tcBorders>
            <w:shd w:val="clear" w:color="auto" w:fill="auto"/>
            <w:noWrap/>
            <w:vAlign w:val="center"/>
          </w:tcPr>
          <w:p w14:paraId="4F8B3539" w14:textId="115A3EA8"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11</w:t>
            </w:r>
          </w:p>
        </w:tc>
        <w:tc>
          <w:tcPr>
            <w:tcW w:w="310" w:type="pct"/>
            <w:tcBorders>
              <w:top w:val="nil"/>
              <w:left w:val="nil"/>
              <w:bottom w:val="single" w:sz="4" w:space="0" w:color="auto"/>
              <w:right w:val="single" w:sz="4" w:space="0" w:color="auto"/>
            </w:tcBorders>
            <w:shd w:val="clear" w:color="auto" w:fill="auto"/>
            <w:noWrap/>
            <w:vAlign w:val="center"/>
          </w:tcPr>
          <w:p w14:paraId="2A85B62F" w14:textId="5416713F"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92</w:t>
            </w:r>
          </w:p>
        </w:tc>
        <w:tc>
          <w:tcPr>
            <w:tcW w:w="398" w:type="pct"/>
            <w:tcBorders>
              <w:top w:val="nil"/>
              <w:left w:val="nil"/>
              <w:bottom w:val="single" w:sz="4" w:space="0" w:color="auto"/>
              <w:right w:val="single" w:sz="4" w:space="0" w:color="auto"/>
            </w:tcBorders>
            <w:shd w:val="clear" w:color="auto" w:fill="auto"/>
            <w:noWrap/>
            <w:vAlign w:val="center"/>
          </w:tcPr>
          <w:p w14:paraId="66AAE0D2" w14:textId="34E77EA0" w:rsidR="00F4267A" w:rsidRPr="001B4CA2" w:rsidRDefault="00F4267A" w:rsidP="00F4267A">
            <w:pPr>
              <w:jc w:val="center"/>
              <w:rPr>
                <w:rFonts w:asciiTheme="majorHAnsi" w:eastAsia="Times New Roman" w:hAnsiTheme="majorHAnsi" w:cstheme="majorHAnsi"/>
                <w:sz w:val="18"/>
                <w:szCs w:val="18"/>
                <w:lang w:eastAsia="hr-HR"/>
              </w:rPr>
            </w:pPr>
          </w:p>
        </w:tc>
        <w:tc>
          <w:tcPr>
            <w:tcW w:w="406" w:type="pct"/>
            <w:tcBorders>
              <w:top w:val="nil"/>
              <w:left w:val="nil"/>
              <w:bottom w:val="single" w:sz="4" w:space="0" w:color="auto"/>
              <w:right w:val="single" w:sz="4" w:space="0" w:color="auto"/>
            </w:tcBorders>
            <w:shd w:val="clear" w:color="auto" w:fill="auto"/>
            <w:noWrap/>
            <w:vAlign w:val="center"/>
          </w:tcPr>
          <w:p w14:paraId="447FB786" w14:textId="2FF19C4A" w:rsidR="00F4267A" w:rsidRPr="001B4CA2" w:rsidRDefault="00F4267A" w:rsidP="00F4267A">
            <w:pPr>
              <w:jc w:val="center"/>
              <w:rPr>
                <w:rFonts w:asciiTheme="majorHAnsi" w:eastAsia="Times New Roman" w:hAnsiTheme="majorHAnsi" w:cstheme="majorHAnsi"/>
                <w:sz w:val="18"/>
                <w:szCs w:val="18"/>
                <w:lang w:eastAsia="hr-HR"/>
              </w:rPr>
            </w:pPr>
          </w:p>
        </w:tc>
        <w:tc>
          <w:tcPr>
            <w:tcW w:w="398" w:type="pct"/>
            <w:tcBorders>
              <w:top w:val="nil"/>
              <w:left w:val="nil"/>
              <w:bottom w:val="single" w:sz="4" w:space="0" w:color="auto"/>
              <w:right w:val="single" w:sz="4" w:space="0" w:color="auto"/>
            </w:tcBorders>
            <w:vAlign w:val="center"/>
          </w:tcPr>
          <w:p w14:paraId="2B56FB2D" w14:textId="63058664" w:rsidR="00F4267A" w:rsidRPr="001B4CA2" w:rsidRDefault="00F4267A" w:rsidP="00F4267A">
            <w:pPr>
              <w:jc w:val="center"/>
              <w:rPr>
                <w:rFonts w:asciiTheme="majorHAnsi" w:eastAsia="Times New Roman" w:hAnsiTheme="majorHAnsi" w:cstheme="majorHAnsi"/>
                <w:sz w:val="18"/>
                <w:szCs w:val="18"/>
                <w:lang w:eastAsia="hr-HR"/>
              </w:rPr>
            </w:pPr>
          </w:p>
        </w:tc>
        <w:tc>
          <w:tcPr>
            <w:tcW w:w="384" w:type="pct"/>
            <w:tcBorders>
              <w:top w:val="nil"/>
              <w:left w:val="nil"/>
              <w:bottom w:val="single" w:sz="4" w:space="0" w:color="auto"/>
              <w:right w:val="single" w:sz="4" w:space="0" w:color="auto"/>
            </w:tcBorders>
            <w:vAlign w:val="center"/>
          </w:tcPr>
          <w:p w14:paraId="33137336" w14:textId="66019D6A" w:rsidR="00F4267A" w:rsidRPr="001B4CA2" w:rsidRDefault="00F4267A" w:rsidP="00F4267A">
            <w:pPr>
              <w:jc w:val="center"/>
              <w:rPr>
                <w:rFonts w:asciiTheme="majorHAnsi" w:eastAsia="Times New Roman" w:hAnsiTheme="majorHAnsi" w:cstheme="majorHAnsi"/>
                <w:sz w:val="18"/>
                <w:szCs w:val="18"/>
                <w:lang w:eastAsia="hr-HR"/>
              </w:rPr>
            </w:pPr>
          </w:p>
        </w:tc>
        <w:tc>
          <w:tcPr>
            <w:tcW w:w="398" w:type="pct"/>
            <w:tcBorders>
              <w:top w:val="nil"/>
              <w:left w:val="nil"/>
              <w:bottom w:val="single" w:sz="4" w:space="0" w:color="auto"/>
              <w:right w:val="single" w:sz="4" w:space="0" w:color="auto"/>
            </w:tcBorders>
            <w:vAlign w:val="center"/>
          </w:tcPr>
          <w:p w14:paraId="5B649D9B" w14:textId="6700EBB5" w:rsidR="00F4267A" w:rsidRPr="001B4CA2" w:rsidRDefault="00F4267A" w:rsidP="00F4267A">
            <w:pPr>
              <w:jc w:val="center"/>
              <w:rPr>
                <w:rFonts w:asciiTheme="majorHAnsi" w:eastAsia="Times New Roman" w:hAnsiTheme="majorHAnsi" w:cstheme="majorHAnsi"/>
                <w:sz w:val="18"/>
                <w:szCs w:val="18"/>
                <w:lang w:eastAsia="hr-HR"/>
              </w:rPr>
            </w:pPr>
          </w:p>
        </w:tc>
        <w:tc>
          <w:tcPr>
            <w:tcW w:w="475" w:type="pct"/>
            <w:tcBorders>
              <w:top w:val="nil"/>
              <w:left w:val="nil"/>
              <w:bottom w:val="single" w:sz="4" w:space="0" w:color="auto"/>
              <w:right w:val="single" w:sz="4" w:space="0" w:color="auto"/>
            </w:tcBorders>
            <w:vAlign w:val="center"/>
          </w:tcPr>
          <w:p w14:paraId="3300A4EC" w14:textId="7B615EC2" w:rsidR="00F4267A" w:rsidRPr="001B4CA2" w:rsidRDefault="001438D4"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226</w:t>
            </w:r>
          </w:p>
        </w:tc>
      </w:tr>
      <w:tr w:rsidR="00C4577F" w:rsidRPr="001B4CA2" w14:paraId="77E42E0F" w14:textId="3AC3B7A5" w:rsidTr="00D57807">
        <w:trPr>
          <w:trHeight w:val="349"/>
          <w:jc w:val="center"/>
        </w:trPr>
        <w:tc>
          <w:tcPr>
            <w:tcW w:w="398" w:type="pct"/>
            <w:tcBorders>
              <w:top w:val="nil"/>
              <w:left w:val="single" w:sz="4" w:space="0" w:color="auto"/>
              <w:bottom w:val="single" w:sz="4" w:space="0" w:color="auto"/>
              <w:right w:val="single" w:sz="4" w:space="0" w:color="auto"/>
            </w:tcBorders>
            <w:shd w:val="clear" w:color="auto" w:fill="auto"/>
            <w:noWrap/>
            <w:vAlign w:val="center"/>
          </w:tcPr>
          <w:p w14:paraId="6872A588" w14:textId="50E6FD5F" w:rsidR="00F4267A" w:rsidRPr="001B4CA2" w:rsidRDefault="00F4267A"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202</w:t>
            </w:r>
            <w:r w:rsidR="00C4577F" w:rsidRPr="001B4CA2">
              <w:rPr>
                <w:rFonts w:asciiTheme="majorHAnsi" w:eastAsia="Times New Roman" w:hAnsiTheme="majorHAnsi" w:cstheme="majorHAnsi"/>
                <w:color w:val="000000"/>
                <w:sz w:val="18"/>
                <w:szCs w:val="18"/>
                <w:lang w:eastAsia="hr-HR"/>
              </w:rPr>
              <w:t>1</w:t>
            </w:r>
            <w:r w:rsidRPr="001B4CA2">
              <w:rPr>
                <w:rFonts w:asciiTheme="majorHAnsi" w:eastAsia="Times New Roman" w:hAnsiTheme="majorHAnsi" w:cstheme="majorHAnsi"/>
                <w:color w:val="000000"/>
                <w:sz w:val="18"/>
                <w:szCs w:val="18"/>
                <w:lang w:eastAsia="hr-HR"/>
              </w:rPr>
              <w:t>.</w:t>
            </w:r>
          </w:p>
        </w:tc>
        <w:tc>
          <w:tcPr>
            <w:tcW w:w="404" w:type="pct"/>
            <w:tcBorders>
              <w:top w:val="nil"/>
              <w:left w:val="nil"/>
              <w:bottom w:val="single" w:sz="4" w:space="0" w:color="auto"/>
              <w:right w:val="single" w:sz="4" w:space="0" w:color="auto"/>
            </w:tcBorders>
            <w:shd w:val="clear" w:color="auto" w:fill="auto"/>
            <w:noWrap/>
            <w:vAlign w:val="center"/>
          </w:tcPr>
          <w:p w14:paraId="11454E57" w14:textId="0F367BB0"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288</w:t>
            </w:r>
          </w:p>
        </w:tc>
        <w:tc>
          <w:tcPr>
            <w:tcW w:w="311" w:type="pct"/>
            <w:tcBorders>
              <w:top w:val="nil"/>
              <w:left w:val="nil"/>
              <w:bottom w:val="single" w:sz="4" w:space="0" w:color="auto"/>
              <w:right w:val="single" w:sz="4" w:space="0" w:color="auto"/>
            </w:tcBorders>
            <w:shd w:val="clear" w:color="auto" w:fill="auto"/>
            <w:noWrap/>
            <w:vAlign w:val="center"/>
          </w:tcPr>
          <w:p w14:paraId="2ADB23B8" w14:textId="2DC9D6FE"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203</w:t>
            </w:r>
          </w:p>
        </w:tc>
        <w:tc>
          <w:tcPr>
            <w:tcW w:w="476" w:type="pct"/>
            <w:tcBorders>
              <w:top w:val="nil"/>
              <w:left w:val="nil"/>
              <w:bottom w:val="single" w:sz="4" w:space="0" w:color="auto"/>
              <w:right w:val="single" w:sz="4" w:space="0" w:color="auto"/>
            </w:tcBorders>
            <w:shd w:val="clear" w:color="auto" w:fill="auto"/>
            <w:noWrap/>
            <w:vAlign w:val="center"/>
          </w:tcPr>
          <w:p w14:paraId="33F60197" w14:textId="61333564" w:rsidR="00F4267A" w:rsidRPr="001B4CA2" w:rsidRDefault="00F4267A" w:rsidP="00F4267A">
            <w:pPr>
              <w:jc w:val="center"/>
              <w:rPr>
                <w:rFonts w:asciiTheme="majorHAnsi" w:eastAsia="Times New Roman" w:hAnsiTheme="majorHAnsi" w:cstheme="majorHAnsi"/>
                <w:sz w:val="18"/>
                <w:szCs w:val="18"/>
                <w:lang w:eastAsia="hr-HR"/>
              </w:rPr>
            </w:pPr>
          </w:p>
        </w:tc>
        <w:tc>
          <w:tcPr>
            <w:tcW w:w="326" w:type="pct"/>
            <w:tcBorders>
              <w:top w:val="nil"/>
              <w:left w:val="nil"/>
              <w:bottom w:val="single" w:sz="4" w:space="0" w:color="auto"/>
              <w:right w:val="single" w:sz="4" w:space="0" w:color="auto"/>
            </w:tcBorders>
            <w:shd w:val="clear" w:color="auto" w:fill="auto"/>
            <w:noWrap/>
            <w:vAlign w:val="center"/>
          </w:tcPr>
          <w:p w14:paraId="7FA7DD16" w14:textId="5B7B437B"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58</w:t>
            </w:r>
          </w:p>
        </w:tc>
        <w:tc>
          <w:tcPr>
            <w:tcW w:w="318" w:type="pct"/>
            <w:tcBorders>
              <w:top w:val="nil"/>
              <w:left w:val="nil"/>
              <w:bottom w:val="single" w:sz="4" w:space="0" w:color="auto"/>
              <w:right w:val="single" w:sz="4" w:space="0" w:color="auto"/>
            </w:tcBorders>
            <w:shd w:val="clear" w:color="auto" w:fill="auto"/>
            <w:noWrap/>
            <w:vAlign w:val="center"/>
          </w:tcPr>
          <w:p w14:paraId="65D99006" w14:textId="4F93EC82"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11</w:t>
            </w:r>
          </w:p>
        </w:tc>
        <w:tc>
          <w:tcPr>
            <w:tcW w:w="310" w:type="pct"/>
            <w:tcBorders>
              <w:top w:val="nil"/>
              <w:left w:val="nil"/>
              <w:bottom w:val="single" w:sz="4" w:space="0" w:color="auto"/>
              <w:right w:val="single" w:sz="4" w:space="0" w:color="auto"/>
            </w:tcBorders>
            <w:shd w:val="clear" w:color="auto" w:fill="auto"/>
            <w:noWrap/>
            <w:vAlign w:val="center"/>
          </w:tcPr>
          <w:p w14:paraId="667719C2" w14:textId="1C865DC6"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71</w:t>
            </w:r>
          </w:p>
        </w:tc>
        <w:tc>
          <w:tcPr>
            <w:tcW w:w="398" w:type="pct"/>
            <w:tcBorders>
              <w:top w:val="nil"/>
              <w:left w:val="nil"/>
              <w:bottom w:val="single" w:sz="4" w:space="0" w:color="auto"/>
              <w:right w:val="single" w:sz="4" w:space="0" w:color="auto"/>
            </w:tcBorders>
            <w:shd w:val="clear" w:color="auto" w:fill="auto"/>
            <w:noWrap/>
            <w:vAlign w:val="center"/>
          </w:tcPr>
          <w:p w14:paraId="022410AE" w14:textId="10F83CA2" w:rsidR="00F4267A" w:rsidRPr="001B4CA2" w:rsidRDefault="00F4267A" w:rsidP="00F4267A">
            <w:pPr>
              <w:jc w:val="center"/>
              <w:rPr>
                <w:rFonts w:asciiTheme="majorHAnsi" w:eastAsia="Times New Roman" w:hAnsiTheme="majorHAnsi" w:cstheme="majorHAnsi"/>
                <w:sz w:val="18"/>
                <w:szCs w:val="18"/>
                <w:lang w:eastAsia="hr-HR"/>
              </w:rPr>
            </w:pPr>
          </w:p>
        </w:tc>
        <w:tc>
          <w:tcPr>
            <w:tcW w:w="406" w:type="pct"/>
            <w:tcBorders>
              <w:top w:val="nil"/>
              <w:left w:val="nil"/>
              <w:bottom w:val="single" w:sz="4" w:space="0" w:color="auto"/>
              <w:right w:val="single" w:sz="4" w:space="0" w:color="auto"/>
            </w:tcBorders>
            <w:shd w:val="clear" w:color="auto" w:fill="auto"/>
            <w:noWrap/>
            <w:vAlign w:val="center"/>
          </w:tcPr>
          <w:p w14:paraId="3CA09796" w14:textId="7C0618F4" w:rsidR="00F4267A" w:rsidRPr="001B4CA2" w:rsidRDefault="00F4267A" w:rsidP="00F4267A">
            <w:pPr>
              <w:jc w:val="center"/>
              <w:rPr>
                <w:rFonts w:asciiTheme="majorHAnsi" w:eastAsia="Times New Roman" w:hAnsiTheme="majorHAnsi" w:cstheme="majorHAnsi"/>
                <w:sz w:val="18"/>
                <w:szCs w:val="18"/>
                <w:lang w:eastAsia="hr-HR"/>
              </w:rPr>
            </w:pPr>
          </w:p>
        </w:tc>
        <w:tc>
          <w:tcPr>
            <w:tcW w:w="398" w:type="pct"/>
            <w:tcBorders>
              <w:top w:val="nil"/>
              <w:left w:val="nil"/>
              <w:bottom w:val="single" w:sz="4" w:space="0" w:color="auto"/>
              <w:right w:val="single" w:sz="4" w:space="0" w:color="auto"/>
            </w:tcBorders>
            <w:vAlign w:val="center"/>
          </w:tcPr>
          <w:p w14:paraId="597F7A99" w14:textId="428B7B4D" w:rsidR="00F4267A" w:rsidRPr="001B4CA2" w:rsidRDefault="00F4267A" w:rsidP="00F4267A">
            <w:pPr>
              <w:jc w:val="center"/>
              <w:rPr>
                <w:rFonts w:asciiTheme="majorHAnsi" w:eastAsia="Times New Roman" w:hAnsiTheme="majorHAnsi" w:cstheme="majorHAnsi"/>
                <w:sz w:val="18"/>
                <w:szCs w:val="18"/>
                <w:lang w:eastAsia="hr-HR"/>
              </w:rPr>
            </w:pPr>
          </w:p>
        </w:tc>
        <w:tc>
          <w:tcPr>
            <w:tcW w:w="384" w:type="pct"/>
            <w:tcBorders>
              <w:top w:val="nil"/>
              <w:left w:val="nil"/>
              <w:bottom w:val="single" w:sz="4" w:space="0" w:color="auto"/>
              <w:right w:val="single" w:sz="4" w:space="0" w:color="auto"/>
            </w:tcBorders>
            <w:vAlign w:val="center"/>
          </w:tcPr>
          <w:p w14:paraId="4D5398B7" w14:textId="53457A59" w:rsidR="00F4267A" w:rsidRPr="001B4CA2" w:rsidRDefault="001438D4"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3</w:t>
            </w:r>
          </w:p>
        </w:tc>
        <w:tc>
          <w:tcPr>
            <w:tcW w:w="398" w:type="pct"/>
            <w:tcBorders>
              <w:top w:val="nil"/>
              <w:left w:val="nil"/>
              <w:bottom w:val="single" w:sz="4" w:space="0" w:color="auto"/>
              <w:right w:val="single" w:sz="4" w:space="0" w:color="auto"/>
            </w:tcBorders>
            <w:vAlign w:val="center"/>
          </w:tcPr>
          <w:p w14:paraId="01A32EBC" w14:textId="6EED8DE5" w:rsidR="00F4267A" w:rsidRPr="001B4CA2" w:rsidRDefault="00F4267A" w:rsidP="00F4267A">
            <w:pPr>
              <w:jc w:val="center"/>
              <w:rPr>
                <w:rFonts w:asciiTheme="majorHAnsi" w:eastAsia="Times New Roman" w:hAnsiTheme="majorHAnsi" w:cstheme="majorHAnsi"/>
                <w:sz w:val="18"/>
                <w:szCs w:val="18"/>
                <w:lang w:eastAsia="hr-HR"/>
              </w:rPr>
            </w:pPr>
          </w:p>
        </w:tc>
        <w:tc>
          <w:tcPr>
            <w:tcW w:w="475" w:type="pct"/>
            <w:tcBorders>
              <w:top w:val="nil"/>
              <w:left w:val="nil"/>
              <w:bottom w:val="single" w:sz="4" w:space="0" w:color="auto"/>
              <w:right w:val="single" w:sz="4" w:space="0" w:color="auto"/>
            </w:tcBorders>
            <w:vAlign w:val="center"/>
          </w:tcPr>
          <w:p w14:paraId="0168FA7B" w14:textId="2967052B" w:rsidR="00F4267A" w:rsidRPr="001B4CA2" w:rsidRDefault="001438D4"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288</w:t>
            </w:r>
          </w:p>
        </w:tc>
      </w:tr>
      <w:tr w:rsidR="00C4577F" w:rsidRPr="001B4CA2" w14:paraId="67B566AF" w14:textId="335DE360" w:rsidTr="00D57807">
        <w:trPr>
          <w:trHeight w:val="349"/>
          <w:jc w:val="center"/>
        </w:trPr>
        <w:tc>
          <w:tcPr>
            <w:tcW w:w="398" w:type="pct"/>
            <w:tcBorders>
              <w:top w:val="nil"/>
              <w:left w:val="single" w:sz="4" w:space="0" w:color="auto"/>
              <w:bottom w:val="single" w:sz="4" w:space="0" w:color="auto"/>
              <w:right w:val="single" w:sz="4" w:space="0" w:color="auto"/>
            </w:tcBorders>
            <w:shd w:val="clear" w:color="auto" w:fill="auto"/>
            <w:noWrap/>
            <w:vAlign w:val="center"/>
          </w:tcPr>
          <w:p w14:paraId="74068DE9" w14:textId="4E40647E" w:rsidR="00F4267A" w:rsidRPr="001B4CA2" w:rsidRDefault="00F4267A"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202</w:t>
            </w:r>
            <w:r w:rsidR="00C4577F" w:rsidRPr="001B4CA2">
              <w:rPr>
                <w:rFonts w:asciiTheme="majorHAnsi" w:eastAsia="Times New Roman" w:hAnsiTheme="majorHAnsi" w:cstheme="majorHAnsi"/>
                <w:color w:val="000000"/>
                <w:sz w:val="18"/>
                <w:szCs w:val="18"/>
                <w:lang w:eastAsia="hr-HR"/>
              </w:rPr>
              <w:t>2</w:t>
            </w:r>
            <w:r w:rsidRPr="001B4CA2">
              <w:rPr>
                <w:rFonts w:asciiTheme="majorHAnsi" w:eastAsia="Times New Roman" w:hAnsiTheme="majorHAnsi" w:cstheme="majorHAnsi"/>
                <w:color w:val="000000"/>
                <w:sz w:val="18"/>
                <w:szCs w:val="18"/>
                <w:lang w:eastAsia="hr-HR"/>
              </w:rPr>
              <w:t>.</w:t>
            </w:r>
          </w:p>
        </w:tc>
        <w:tc>
          <w:tcPr>
            <w:tcW w:w="404" w:type="pct"/>
            <w:tcBorders>
              <w:top w:val="nil"/>
              <w:left w:val="nil"/>
              <w:bottom w:val="single" w:sz="4" w:space="0" w:color="auto"/>
              <w:right w:val="single" w:sz="4" w:space="0" w:color="auto"/>
            </w:tcBorders>
            <w:shd w:val="clear" w:color="auto" w:fill="auto"/>
            <w:noWrap/>
            <w:vAlign w:val="center"/>
          </w:tcPr>
          <w:p w14:paraId="3A7F0CEB" w14:textId="2F56A958"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407</w:t>
            </w:r>
          </w:p>
        </w:tc>
        <w:tc>
          <w:tcPr>
            <w:tcW w:w="311" w:type="pct"/>
            <w:tcBorders>
              <w:top w:val="nil"/>
              <w:left w:val="nil"/>
              <w:bottom w:val="single" w:sz="4" w:space="0" w:color="auto"/>
              <w:right w:val="single" w:sz="4" w:space="0" w:color="auto"/>
            </w:tcBorders>
            <w:shd w:val="clear" w:color="auto" w:fill="auto"/>
            <w:noWrap/>
            <w:vAlign w:val="center"/>
          </w:tcPr>
          <w:p w14:paraId="371F7527" w14:textId="3CE5A4BA"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211</w:t>
            </w:r>
          </w:p>
        </w:tc>
        <w:tc>
          <w:tcPr>
            <w:tcW w:w="476" w:type="pct"/>
            <w:tcBorders>
              <w:top w:val="nil"/>
              <w:left w:val="nil"/>
              <w:bottom w:val="single" w:sz="4" w:space="0" w:color="auto"/>
              <w:right w:val="single" w:sz="4" w:space="0" w:color="auto"/>
            </w:tcBorders>
            <w:shd w:val="clear" w:color="auto" w:fill="auto"/>
            <w:noWrap/>
            <w:vAlign w:val="center"/>
          </w:tcPr>
          <w:p w14:paraId="4CDE3494" w14:textId="0494263C" w:rsidR="00F4267A" w:rsidRPr="001B4CA2" w:rsidRDefault="00F4267A" w:rsidP="00F4267A">
            <w:pPr>
              <w:jc w:val="center"/>
              <w:rPr>
                <w:rFonts w:asciiTheme="majorHAnsi" w:eastAsia="Times New Roman" w:hAnsiTheme="majorHAnsi" w:cstheme="majorHAnsi"/>
                <w:sz w:val="18"/>
                <w:szCs w:val="18"/>
                <w:lang w:eastAsia="hr-HR"/>
              </w:rPr>
            </w:pPr>
          </w:p>
        </w:tc>
        <w:tc>
          <w:tcPr>
            <w:tcW w:w="326" w:type="pct"/>
            <w:tcBorders>
              <w:top w:val="nil"/>
              <w:left w:val="nil"/>
              <w:bottom w:val="single" w:sz="4" w:space="0" w:color="auto"/>
              <w:right w:val="single" w:sz="4" w:space="0" w:color="auto"/>
            </w:tcBorders>
            <w:shd w:val="clear" w:color="auto" w:fill="auto"/>
            <w:noWrap/>
            <w:vAlign w:val="center"/>
          </w:tcPr>
          <w:p w14:paraId="039402B0" w14:textId="4EEA9567"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57</w:t>
            </w:r>
          </w:p>
        </w:tc>
        <w:tc>
          <w:tcPr>
            <w:tcW w:w="318" w:type="pct"/>
            <w:tcBorders>
              <w:top w:val="nil"/>
              <w:left w:val="nil"/>
              <w:bottom w:val="single" w:sz="4" w:space="0" w:color="auto"/>
              <w:right w:val="single" w:sz="4" w:space="0" w:color="auto"/>
            </w:tcBorders>
            <w:shd w:val="clear" w:color="auto" w:fill="auto"/>
            <w:noWrap/>
            <w:vAlign w:val="center"/>
          </w:tcPr>
          <w:p w14:paraId="6037C325" w14:textId="195D9300"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8</w:t>
            </w:r>
          </w:p>
        </w:tc>
        <w:tc>
          <w:tcPr>
            <w:tcW w:w="310" w:type="pct"/>
            <w:tcBorders>
              <w:top w:val="nil"/>
              <w:left w:val="nil"/>
              <w:bottom w:val="single" w:sz="4" w:space="0" w:color="auto"/>
              <w:right w:val="single" w:sz="4" w:space="0" w:color="auto"/>
            </w:tcBorders>
            <w:shd w:val="clear" w:color="auto" w:fill="auto"/>
            <w:noWrap/>
            <w:vAlign w:val="center"/>
          </w:tcPr>
          <w:p w14:paraId="56465EE5" w14:textId="2BD820DA" w:rsidR="00F4267A" w:rsidRPr="001B4CA2" w:rsidRDefault="00C4577F"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sz w:val="18"/>
                <w:szCs w:val="18"/>
                <w:lang w:eastAsia="hr-HR"/>
              </w:rPr>
              <w:t>182</w:t>
            </w:r>
          </w:p>
        </w:tc>
        <w:tc>
          <w:tcPr>
            <w:tcW w:w="398" w:type="pct"/>
            <w:tcBorders>
              <w:top w:val="nil"/>
              <w:left w:val="nil"/>
              <w:bottom w:val="single" w:sz="4" w:space="0" w:color="auto"/>
              <w:right w:val="single" w:sz="4" w:space="0" w:color="auto"/>
            </w:tcBorders>
            <w:shd w:val="clear" w:color="auto" w:fill="auto"/>
            <w:noWrap/>
            <w:vAlign w:val="center"/>
          </w:tcPr>
          <w:p w14:paraId="64B36C14" w14:textId="346056C5" w:rsidR="00F4267A" w:rsidRPr="001B4CA2" w:rsidRDefault="00F4267A" w:rsidP="00F4267A">
            <w:pPr>
              <w:jc w:val="center"/>
              <w:rPr>
                <w:rFonts w:asciiTheme="majorHAnsi" w:eastAsia="Times New Roman" w:hAnsiTheme="majorHAnsi" w:cstheme="majorHAnsi"/>
                <w:sz w:val="18"/>
                <w:szCs w:val="18"/>
                <w:lang w:eastAsia="hr-HR"/>
              </w:rPr>
            </w:pPr>
          </w:p>
        </w:tc>
        <w:tc>
          <w:tcPr>
            <w:tcW w:w="406" w:type="pct"/>
            <w:tcBorders>
              <w:top w:val="nil"/>
              <w:left w:val="nil"/>
              <w:bottom w:val="single" w:sz="4" w:space="0" w:color="auto"/>
              <w:right w:val="single" w:sz="4" w:space="0" w:color="auto"/>
            </w:tcBorders>
            <w:shd w:val="clear" w:color="auto" w:fill="auto"/>
            <w:noWrap/>
            <w:vAlign w:val="center"/>
          </w:tcPr>
          <w:p w14:paraId="524622E4" w14:textId="50DFCA4A" w:rsidR="00F4267A" w:rsidRPr="001B4CA2" w:rsidRDefault="00F4267A" w:rsidP="00F4267A">
            <w:pPr>
              <w:jc w:val="center"/>
              <w:rPr>
                <w:rFonts w:asciiTheme="majorHAnsi" w:eastAsia="Times New Roman" w:hAnsiTheme="majorHAnsi" w:cstheme="majorHAnsi"/>
                <w:sz w:val="18"/>
                <w:szCs w:val="18"/>
                <w:lang w:eastAsia="hr-HR"/>
              </w:rPr>
            </w:pPr>
          </w:p>
        </w:tc>
        <w:tc>
          <w:tcPr>
            <w:tcW w:w="398" w:type="pct"/>
            <w:tcBorders>
              <w:top w:val="nil"/>
              <w:left w:val="nil"/>
              <w:bottom w:val="single" w:sz="4" w:space="0" w:color="auto"/>
              <w:right w:val="single" w:sz="4" w:space="0" w:color="auto"/>
            </w:tcBorders>
            <w:vAlign w:val="center"/>
          </w:tcPr>
          <w:p w14:paraId="2E78D9CA" w14:textId="1E3ACD39" w:rsidR="00F4267A" w:rsidRPr="001B4CA2" w:rsidRDefault="00F4267A" w:rsidP="00F4267A">
            <w:pPr>
              <w:jc w:val="center"/>
              <w:rPr>
                <w:rFonts w:asciiTheme="majorHAnsi" w:eastAsia="Times New Roman" w:hAnsiTheme="majorHAnsi" w:cstheme="majorHAnsi"/>
                <w:sz w:val="18"/>
                <w:szCs w:val="18"/>
                <w:lang w:eastAsia="hr-HR"/>
              </w:rPr>
            </w:pPr>
          </w:p>
        </w:tc>
        <w:tc>
          <w:tcPr>
            <w:tcW w:w="384" w:type="pct"/>
            <w:tcBorders>
              <w:top w:val="nil"/>
              <w:left w:val="nil"/>
              <w:bottom w:val="single" w:sz="4" w:space="0" w:color="auto"/>
              <w:right w:val="single" w:sz="4" w:space="0" w:color="auto"/>
            </w:tcBorders>
            <w:vAlign w:val="center"/>
          </w:tcPr>
          <w:p w14:paraId="48F8E176" w14:textId="2B7394E8" w:rsidR="00F4267A" w:rsidRPr="001B4CA2" w:rsidRDefault="00F4267A" w:rsidP="00F4267A">
            <w:pPr>
              <w:jc w:val="center"/>
              <w:rPr>
                <w:rFonts w:asciiTheme="majorHAnsi" w:eastAsia="Times New Roman" w:hAnsiTheme="majorHAnsi" w:cstheme="majorHAnsi"/>
                <w:sz w:val="18"/>
                <w:szCs w:val="18"/>
                <w:lang w:eastAsia="hr-HR"/>
              </w:rPr>
            </w:pPr>
          </w:p>
        </w:tc>
        <w:tc>
          <w:tcPr>
            <w:tcW w:w="398" w:type="pct"/>
            <w:tcBorders>
              <w:top w:val="nil"/>
              <w:left w:val="nil"/>
              <w:bottom w:val="single" w:sz="4" w:space="0" w:color="auto"/>
              <w:right w:val="single" w:sz="4" w:space="0" w:color="auto"/>
            </w:tcBorders>
            <w:vAlign w:val="center"/>
          </w:tcPr>
          <w:p w14:paraId="1FD08BFB" w14:textId="29434C3D" w:rsidR="00F4267A" w:rsidRPr="001B4CA2" w:rsidRDefault="00F4267A" w:rsidP="00F4267A">
            <w:pPr>
              <w:jc w:val="center"/>
              <w:rPr>
                <w:rFonts w:asciiTheme="majorHAnsi" w:eastAsia="Times New Roman" w:hAnsiTheme="majorHAnsi" w:cstheme="majorHAnsi"/>
                <w:sz w:val="18"/>
                <w:szCs w:val="18"/>
                <w:lang w:eastAsia="hr-HR"/>
              </w:rPr>
            </w:pPr>
          </w:p>
        </w:tc>
        <w:tc>
          <w:tcPr>
            <w:tcW w:w="475" w:type="pct"/>
            <w:tcBorders>
              <w:top w:val="nil"/>
              <w:left w:val="nil"/>
              <w:bottom w:val="single" w:sz="4" w:space="0" w:color="auto"/>
              <w:right w:val="single" w:sz="4" w:space="0" w:color="auto"/>
            </w:tcBorders>
            <w:vAlign w:val="center"/>
          </w:tcPr>
          <w:p w14:paraId="33E8B78A" w14:textId="7FEAB203" w:rsidR="00F4267A" w:rsidRPr="001B4CA2" w:rsidRDefault="001438D4" w:rsidP="00F4267A">
            <w:pPr>
              <w:jc w:val="center"/>
              <w:rPr>
                <w:rFonts w:asciiTheme="majorHAnsi" w:eastAsia="Times New Roman" w:hAnsiTheme="majorHAnsi" w:cstheme="majorHAnsi"/>
                <w:sz w:val="18"/>
                <w:szCs w:val="18"/>
                <w:lang w:eastAsia="hr-HR"/>
              </w:rPr>
            </w:pPr>
            <w:r w:rsidRPr="001B4CA2">
              <w:rPr>
                <w:rFonts w:asciiTheme="majorHAnsi" w:eastAsia="Times New Roman" w:hAnsiTheme="majorHAnsi" w:cstheme="majorHAnsi"/>
                <w:color w:val="000000"/>
                <w:sz w:val="18"/>
                <w:szCs w:val="18"/>
                <w:lang w:eastAsia="hr-HR"/>
              </w:rPr>
              <w:t>407</w:t>
            </w:r>
          </w:p>
        </w:tc>
      </w:tr>
    </w:tbl>
    <w:p w14:paraId="2F696D3E" w14:textId="77777777" w:rsidR="0055050C" w:rsidRPr="001B4CA2" w:rsidRDefault="0055050C" w:rsidP="00F4267A">
      <w:pPr>
        <w:autoSpaceDE w:val="0"/>
        <w:autoSpaceDN w:val="0"/>
        <w:adjustRightInd w:val="0"/>
        <w:rPr>
          <w:rFonts w:eastAsia="Calibri"/>
        </w:rPr>
      </w:pPr>
    </w:p>
    <w:p w14:paraId="5CB8B0C3" w14:textId="5A4851B5" w:rsidR="001438D4" w:rsidRPr="001B4CA2" w:rsidRDefault="001438D4" w:rsidP="001438D4">
      <w:pPr>
        <w:ind w:firstLine="708"/>
        <w:rPr>
          <w:rFonts w:eastAsia="Calibri"/>
        </w:rPr>
      </w:pPr>
      <w:r w:rsidRPr="001B4CA2">
        <w:rPr>
          <w:rFonts w:eastAsia="Calibri"/>
        </w:rPr>
        <w:t>U izvještajnom razdoblju doneseno je 407</w:t>
      </w:r>
      <w:r w:rsidRPr="001B4CA2">
        <w:rPr>
          <w:rFonts w:eastAsia="Calibri"/>
          <w:color w:val="FF0000"/>
        </w:rPr>
        <w:t xml:space="preserve"> </w:t>
      </w:r>
      <w:r w:rsidRPr="001B4CA2">
        <w:rPr>
          <w:rFonts w:eastAsia="Calibri"/>
        </w:rPr>
        <w:t>osuđujućih presuda, što znači da je udio osuđujućih presuda u ukupnom broju sudskih odluka (469) 86,6</w:t>
      </w:r>
      <w:r w:rsidR="00D24E74">
        <w:rPr>
          <w:rFonts w:eastAsia="Calibri"/>
        </w:rPr>
        <w:t> </w:t>
      </w:r>
      <w:r w:rsidRPr="001B4CA2">
        <w:rPr>
          <w:rFonts w:eastAsia="Calibri"/>
        </w:rPr>
        <w:t>%. Ovdje valja napomenuti kako su, od 36 odluka kojima je kazneni postupak obustavljen nakon potvrđene optužnice (što čini udio od 7,67</w:t>
      </w:r>
      <w:r w:rsidR="00D24E74">
        <w:rPr>
          <w:rFonts w:eastAsia="Calibri"/>
        </w:rPr>
        <w:t> </w:t>
      </w:r>
      <w:r w:rsidRPr="001B4CA2">
        <w:rPr>
          <w:rFonts w:eastAsia="Calibri"/>
        </w:rPr>
        <w:t>% u ukupnom broju sudskih odluka), 36 takvih sudskih odluka doneseno zbog nastupa objektivnih razloga, tj.</w:t>
      </w:r>
      <w:r w:rsidR="003B7B56">
        <w:rPr>
          <w:rFonts w:eastAsia="Calibri"/>
        </w:rPr>
        <w:t xml:space="preserve"> zbog</w:t>
      </w:r>
      <w:r w:rsidRPr="001B4CA2">
        <w:rPr>
          <w:rFonts w:eastAsia="Calibri"/>
        </w:rPr>
        <w:t xml:space="preserve"> smrti optuženika, brisanja optuženih pravnih osoba iz sudskog registra, nastupa zastare kaznenog progona optuženika u tijeku sudskog postupka, dakle iz razloga na koje Ured ni na koji način nije mogao utjecati, a koji su rezultirali obustavom kaznenih postupaka. Stoga, </w:t>
      </w:r>
      <w:r w:rsidR="003B7B56">
        <w:rPr>
          <w:rFonts w:eastAsia="Calibri"/>
        </w:rPr>
        <w:t>ako</w:t>
      </w:r>
      <w:r w:rsidRPr="001B4CA2">
        <w:rPr>
          <w:rFonts w:eastAsia="Calibri"/>
        </w:rPr>
        <w:t xml:space="preserve"> se od ukupnog broja</w:t>
      </w:r>
      <w:r w:rsidR="001B4CA2">
        <w:rPr>
          <w:rFonts w:eastAsia="Calibri"/>
        </w:rPr>
        <w:t xml:space="preserve"> </w:t>
      </w:r>
      <w:r w:rsidRPr="001B4CA2">
        <w:rPr>
          <w:rFonts w:eastAsia="Calibri"/>
        </w:rPr>
        <w:t>sudskih odluka oduzmu odluke o obustavi kaznenog postupka nakon potvrđivanja optužnice, proizlazi da je udio osuđujućih presuda</w:t>
      </w:r>
      <w:r w:rsidRPr="001B4CA2">
        <w:t xml:space="preserve"> </w:t>
      </w:r>
      <w:r w:rsidRPr="001B4CA2">
        <w:rPr>
          <w:rFonts w:eastAsia="Calibri"/>
        </w:rPr>
        <w:t xml:space="preserve">u ukupnom broju sudskih odluka </w:t>
      </w:r>
      <w:r w:rsidRPr="001B4CA2">
        <w:rPr>
          <w:rFonts w:eastAsia="Arial"/>
        </w:rPr>
        <w:t>93,78</w:t>
      </w:r>
      <w:r w:rsidR="00D24E74">
        <w:rPr>
          <w:rFonts w:eastAsia="Calibri"/>
        </w:rPr>
        <w:t> </w:t>
      </w:r>
      <w:r w:rsidRPr="001B4CA2">
        <w:rPr>
          <w:rFonts w:eastAsia="Arial"/>
        </w:rPr>
        <w:t xml:space="preserve">%, </w:t>
      </w:r>
      <w:r w:rsidRPr="001B4CA2">
        <w:rPr>
          <w:rFonts w:eastAsia="Calibri"/>
        </w:rPr>
        <w:t xml:space="preserve">koji podatak ukazuje </w:t>
      </w:r>
      <w:r w:rsidR="003B7B56">
        <w:rPr>
          <w:rFonts w:eastAsia="Calibri"/>
        </w:rPr>
        <w:t xml:space="preserve">na to </w:t>
      </w:r>
      <w:r w:rsidRPr="001B4CA2">
        <w:rPr>
          <w:rFonts w:eastAsia="Calibri"/>
        </w:rPr>
        <w:t>kako je Ured i tijekom izvještajnog</w:t>
      </w:r>
      <w:r w:rsidR="003B7B56">
        <w:rPr>
          <w:rFonts w:eastAsia="Calibri"/>
        </w:rPr>
        <w:t xml:space="preserve"> razdoblja</w:t>
      </w:r>
      <w:r w:rsidRPr="001B4CA2">
        <w:rPr>
          <w:rFonts w:eastAsia="Calibri"/>
        </w:rPr>
        <w:t xml:space="preserve"> zadržao iznimno visoku uspješnost u postupcima pred sudom, a što je za 1,18</w:t>
      </w:r>
      <w:r w:rsidR="00D24E74">
        <w:rPr>
          <w:rFonts w:eastAsia="Calibri"/>
        </w:rPr>
        <w:t> </w:t>
      </w:r>
      <w:r w:rsidRPr="001B4CA2">
        <w:rPr>
          <w:rFonts w:eastAsia="Calibri"/>
        </w:rPr>
        <w:t>% veća uspješnost nego prethodne izvještajne godine, kada je udio osuđujućih presuda u ukupnom broju sudskih odluka iznosio 92,6</w:t>
      </w:r>
      <w:r w:rsidR="00D24E74">
        <w:rPr>
          <w:rFonts w:eastAsia="Calibri"/>
        </w:rPr>
        <w:t> </w:t>
      </w:r>
      <w:r w:rsidRPr="001B4CA2">
        <w:rPr>
          <w:rFonts w:eastAsia="Calibri"/>
        </w:rPr>
        <w:t>%.</w:t>
      </w:r>
    </w:p>
    <w:p w14:paraId="3462065A" w14:textId="77777777" w:rsidR="001438D4" w:rsidRPr="001B4CA2" w:rsidRDefault="001438D4" w:rsidP="001438D4">
      <w:pPr>
        <w:ind w:firstLine="708"/>
        <w:rPr>
          <w:rFonts w:eastAsia="Calibri"/>
        </w:rPr>
      </w:pPr>
    </w:p>
    <w:p w14:paraId="2F9A788C" w14:textId="56625B2C" w:rsidR="001438D4" w:rsidRPr="001B4CA2" w:rsidRDefault="001438D4" w:rsidP="001438D4">
      <w:pPr>
        <w:ind w:firstLine="708"/>
        <w:rPr>
          <w:rFonts w:eastAsia="Calibri"/>
        </w:rPr>
      </w:pPr>
      <w:r w:rsidRPr="001B4CA2">
        <w:rPr>
          <w:rFonts w:eastAsia="Calibri"/>
        </w:rPr>
        <w:t>U strukturi izrečenih kaznenih sankcija na kazne zatvora presuđeno je 211 osoba ili 51,84</w:t>
      </w:r>
      <w:r w:rsidR="003B7B56">
        <w:rPr>
          <w:rFonts w:eastAsia="Calibri"/>
        </w:rPr>
        <w:t> </w:t>
      </w:r>
      <w:r w:rsidRPr="001B4CA2">
        <w:rPr>
          <w:rFonts w:eastAsia="Calibri"/>
        </w:rPr>
        <w:t>%, dok su u odnosu na 182 osobe ili 44,71</w:t>
      </w:r>
      <w:r w:rsidR="003B7B56">
        <w:rPr>
          <w:rFonts w:eastAsia="Calibri"/>
        </w:rPr>
        <w:t> </w:t>
      </w:r>
      <w:r w:rsidRPr="001B4CA2">
        <w:rPr>
          <w:rFonts w:eastAsia="Calibri"/>
        </w:rPr>
        <w:t>%</w:t>
      </w:r>
      <w:r w:rsidRPr="001B4CA2">
        <w:rPr>
          <w:rFonts w:eastAsia="Calibri"/>
          <w:color w:val="FF0000"/>
        </w:rPr>
        <w:t xml:space="preserve"> </w:t>
      </w:r>
      <w:r w:rsidRPr="001B4CA2">
        <w:rPr>
          <w:rFonts w:eastAsia="Calibri"/>
        </w:rPr>
        <w:t>izrečene uvjetne osude. U izvještajnom razdoblju osjetno povećan broj osuđujućih presuda u odnosu na prethodnu godinu za 41,31</w:t>
      </w:r>
      <w:r w:rsidR="003B7B56">
        <w:rPr>
          <w:rFonts w:eastAsia="Calibri"/>
        </w:rPr>
        <w:t> </w:t>
      </w:r>
      <w:r w:rsidRPr="001B4CA2">
        <w:rPr>
          <w:rFonts w:eastAsia="Calibri"/>
        </w:rPr>
        <w:t>%. Udio izrečenih zatvorskih kazni podjednak je onome iz prethodne godine, dok je znatno povećan udio uvjetnih osuda</w:t>
      </w:r>
      <w:r w:rsidR="00FD08E9">
        <w:rPr>
          <w:rFonts w:eastAsia="Calibri"/>
        </w:rPr>
        <w:t xml:space="preserve">, </w:t>
      </w:r>
      <w:r w:rsidRPr="001B4CA2">
        <w:rPr>
          <w:rFonts w:eastAsia="Calibri"/>
        </w:rPr>
        <w:t xml:space="preserve">protiv koji su uložene žalbe zbog kazne, na koji se </w:t>
      </w:r>
      <w:r w:rsidR="003B7B56" w:rsidRPr="001B4CA2">
        <w:rPr>
          <w:rFonts w:eastAsia="Calibri"/>
        </w:rPr>
        <w:t xml:space="preserve">način </w:t>
      </w:r>
      <w:r w:rsidRPr="001B4CA2">
        <w:rPr>
          <w:rFonts w:eastAsia="Calibri"/>
        </w:rPr>
        <w:t xml:space="preserve">nastoji utjecati na </w:t>
      </w:r>
      <w:proofErr w:type="spellStart"/>
      <w:r w:rsidRPr="001B4CA2">
        <w:rPr>
          <w:rFonts w:eastAsia="Calibri"/>
        </w:rPr>
        <w:t>pooštravanje</w:t>
      </w:r>
      <w:proofErr w:type="spellEnd"/>
      <w:r w:rsidRPr="001B4CA2">
        <w:rPr>
          <w:rFonts w:eastAsia="Calibri"/>
        </w:rPr>
        <w:t xml:space="preserve"> kaznene politike sudova.</w:t>
      </w:r>
    </w:p>
    <w:p w14:paraId="540F6222" w14:textId="77777777" w:rsidR="001438D4" w:rsidRPr="001B4CA2" w:rsidRDefault="001438D4" w:rsidP="001438D4">
      <w:pPr>
        <w:ind w:firstLine="708"/>
        <w:rPr>
          <w:rFonts w:eastAsia="Calibri"/>
        </w:rPr>
      </w:pPr>
    </w:p>
    <w:p w14:paraId="6D3492EF" w14:textId="33A77427" w:rsidR="001438D4" w:rsidRPr="001B4CA2" w:rsidRDefault="001438D4" w:rsidP="001438D4">
      <w:pPr>
        <w:ind w:firstLine="708"/>
        <w:rPr>
          <w:rFonts w:eastAsia="Calibri"/>
        </w:rPr>
      </w:pPr>
      <w:r w:rsidRPr="001B4CA2">
        <w:rPr>
          <w:rFonts w:eastAsia="Calibri"/>
        </w:rPr>
        <w:t>Od izrečenih 211 kazni zatvora njih 57 zamijenjeno je radom za opće dobro na slobodi, što čini udio od 27</w:t>
      </w:r>
      <w:r w:rsidR="003B7B56">
        <w:rPr>
          <w:rFonts w:eastAsia="Calibri"/>
        </w:rPr>
        <w:t> </w:t>
      </w:r>
      <w:r w:rsidRPr="001B4CA2">
        <w:rPr>
          <w:rFonts w:eastAsia="Calibri"/>
        </w:rPr>
        <w:t>% i na razni je podataka iz prethodne godine, dok su u odnosu na 93 osuđene fizičke osobe izrečene i sporedne novčane kazne.</w:t>
      </w:r>
    </w:p>
    <w:p w14:paraId="14F5B9D6" w14:textId="77777777" w:rsidR="001438D4" w:rsidRPr="001B4CA2" w:rsidRDefault="001438D4" w:rsidP="001438D4">
      <w:pPr>
        <w:ind w:firstLine="708"/>
        <w:rPr>
          <w:rFonts w:eastAsia="Calibri"/>
        </w:rPr>
      </w:pPr>
    </w:p>
    <w:p w14:paraId="31E70682" w14:textId="15F34268" w:rsidR="001438D4" w:rsidRPr="001B4CA2" w:rsidRDefault="001438D4" w:rsidP="001438D4">
      <w:pPr>
        <w:ind w:firstLine="708"/>
        <w:rPr>
          <w:rFonts w:eastAsia="Calibri"/>
        </w:rPr>
      </w:pPr>
      <w:r w:rsidRPr="001B4CA2">
        <w:rPr>
          <w:rFonts w:eastAsia="Calibri"/>
        </w:rPr>
        <w:t xml:space="preserve">Što se tiče sankcija izrečenih pravnim osobama, tijekom izvještajnog razdoblja protiv 8 pravnih osoba izrečena je novčana kazna, što je na razini prethodne izvještajne godine, dok je protiv 6 pravnih osoba izrečena uvjetna osuda na način da se novčana kazna neće izvršiti </w:t>
      </w:r>
      <w:r w:rsidR="003B7B56">
        <w:rPr>
          <w:rFonts w:eastAsia="Calibri"/>
        </w:rPr>
        <w:t>ako</w:t>
      </w:r>
      <w:r w:rsidRPr="001B4CA2">
        <w:rPr>
          <w:rFonts w:eastAsia="Calibri"/>
        </w:rPr>
        <w:t xml:space="preserve"> pravna osoba u određenom roku ne počini novo kazneno djelo, a u odnosu na 1 pravnu osobu izrečen je prestanak pravne osobe. </w:t>
      </w:r>
    </w:p>
    <w:p w14:paraId="06F172CF" w14:textId="77777777" w:rsidR="001438D4" w:rsidRPr="001B4CA2" w:rsidRDefault="001438D4" w:rsidP="001438D4">
      <w:pPr>
        <w:rPr>
          <w:rFonts w:eastAsia="Calibri"/>
        </w:rPr>
      </w:pPr>
    </w:p>
    <w:p w14:paraId="77CE30E9" w14:textId="77777777" w:rsidR="001438D4" w:rsidRPr="001B4CA2" w:rsidRDefault="001438D4" w:rsidP="001438D4">
      <w:pPr>
        <w:ind w:firstLine="708"/>
      </w:pPr>
      <w:r w:rsidRPr="001B4CA2">
        <w:lastRenderedPageBreak/>
        <w:t xml:space="preserve">U ovom izvještajnom razdoblju izrečeno je ukupno 15 sigurnosnih mjera, i to 3 sigurnosne mjere obveznog liječenja od ovisnosti te 12 sigurnosnih mjera zabrane obavljanja određene dužnosti ili djelatnosti. </w:t>
      </w:r>
    </w:p>
    <w:p w14:paraId="3C373FF3" w14:textId="77777777" w:rsidR="001438D4" w:rsidRPr="001B4CA2" w:rsidRDefault="001438D4" w:rsidP="001438D4">
      <w:pPr>
        <w:rPr>
          <w:rFonts w:eastAsia="Calibri"/>
        </w:rPr>
      </w:pPr>
    </w:p>
    <w:p w14:paraId="0D5858CF" w14:textId="0E93F45C" w:rsidR="0020162B" w:rsidRPr="001B4CA2" w:rsidRDefault="001438D4" w:rsidP="001438D4">
      <w:pPr>
        <w:ind w:firstLine="708"/>
        <w:rPr>
          <w:rFonts w:eastAsia="Calibri"/>
        </w:rPr>
      </w:pPr>
      <w:r w:rsidRPr="001B4CA2">
        <w:t xml:space="preserve">Sigurnosne mjere obveznog liječenja od ovisnosti izrečene </w:t>
      </w:r>
      <w:r w:rsidR="003B7B56" w:rsidRPr="001B4CA2">
        <w:t xml:space="preserve">su </w:t>
      </w:r>
      <w:r w:rsidRPr="001B4CA2">
        <w:t xml:space="preserve">zbog kaznenog djela neovlaštene proizvodnje i prometa drogama iz čl. 190. st. 2. KZ/11 te kaznenog djela zločinačkog udruženja iz čl. 328. st. 2. KZ/11, dok su sigurnosne mjere zabrane obavljanja određene dužnosti ili djelatnosti u većini slučajeva izrečene zbog kaznenog djela zlouporabe položaja i ovlasti iz čl. 291. KZ/11, primanja mita iz čl. 293. KZ/11 te odavanja tajnih podataka iz čl. 347. KZ/11, pri čemu je 7 sigurnosnih mjera izrečeno policijskim službenicima, a 5 sigurnosnih mjera državnim službenicima. </w:t>
      </w:r>
      <w:r w:rsidRPr="001B4CA2">
        <w:rPr>
          <w:rFonts w:eastAsia="Calibri"/>
        </w:rPr>
        <w:t xml:space="preserve"> </w:t>
      </w:r>
    </w:p>
    <w:p w14:paraId="1B72253F" w14:textId="050BA4F4" w:rsidR="001438D4" w:rsidRPr="001B4CA2" w:rsidRDefault="001438D4" w:rsidP="001438D4">
      <w:pPr>
        <w:ind w:firstLine="708"/>
        <w:rPr>
          <w:rFonts w:eastAsia="Calibri"/>
        </w:rPr>
      </w:pPr>
    </w:p>
    <w:tbl>
      <w:tblPr>
        <w:tblW w:w="8363" w:type="dxa"/>
        <w:tblInd w:w="250" w:type="dxa"/>
        <w:tblLayout w:type="fixed"/>
        <w:tblLook w:val="04A0" w:firstRow="1" w:lastRow="0" w:firstColumn="1" w:lastColumn="0" w:noHBand="0" w:noVBand="1"/>
      </w:tblPr>
      <w:tblGrid>
        <w:gridCol w:w="1093"/>
        <w:gridCol w:w="1235"/>
        <w:gridCol w:w="1358"/>
        <w:gridCol w:w="1134"/>
        <w:gridCol w:w="1275"/>
        <w:gridCol w:w="594"/>
        <w:gridCol w:w="682"/>
        <w:gridCol w:w="992"/>
      </w:tblGrid>
      <w:tr w:rsidR="001438D4" w:rsidRPr="001B4CA2" w14:paraId="0AB73966" w14:textId="77777777" w:rsidTr="00D57807">
        <w:trPr>
          <w:trHeight w:val="300"/>
        </w:trPr>
        <w:tc>
          <w:tcPr>
            <w:tcW w:w="6095" w:type="dxa"/>
            <w:gridSpan w:val="5"/>
            <w:tcBorders>
              <w:top w:val="nil"/>
              <w:left w:val="nil"/>
              <w:bottom w:val="single" w:sz="8" w:space="0" w:color="auto"/>
              <w:right w:val="nil"/>
            </w:tcBorders>
            <w:vAlign w:val="center"/>
          </w:tcPr>
          <w:p w14:paraId="0915A1AD" w14:textId="77777777" w:rsidR="001438D4" w:rsidRPr="001B4CA2" w:rsidRDefault="001438D4" w:rsidP="002A38E7">
            <w:pPr>
              <w:rPr>
                <w:i/>
                <w:iCs/>
                <w:color w:val="000000"/>
              </w:rPr>
            </w:pPr>
          </w:p>
        </w:tc>
        <w:tc>
          <w:tcPr>
            <w:tcW w:w="594" w:type="dxa"/>
            <w:vAlign w:val="center"/>
            <w:hideMark/>
          </w:tcPr>
          <w:p w14:paraId="1DE830F5" w14:textId="77777777" w:rsidR="001438D4" w:rsidRPr="001B4CA2" w:rsidRDefault="001438D4" w:rsidP="002A38E7"/>
        </w:tc>
        <w:tc>
          <w:tcPr>
            <w:tcW w:w="1674" w:type="dxa"/>
            <w:gridSpan w:val="2"/>
            <w:vAlign w:val="center"/>
            <w:hideMark/>
          </w:tcPr>
          <w:p w14:paraId="6FAAE8F0" w14:textId="77777777" w:rsidR="001438D4" w:rsidRPr="001B4CA2" w:rsidRDefault="001438D4" w:rsidP="002A38E7"/>
        </w:tc>
      </w:tr>
      <w:tr w:rsidR="00EC75BB" w:rsidRPr="001B4CA2" w14:paraId="1C91DF6A" w14:textId="77777777" w:rsidTr="00D57807">
        <w:trPr>
          <w:cantSplit/>
          <w:trHeight w:val="2107"/>
        </w:trPr>
        <w:tc>
          <w:tcPr>
            <w:tcW w:w="1093" w:type="dxa"/>
            <w:tcBorders>
              <w:top w:val="nil"/>
              <w:left w:val="single" w:sz="8" w:space="0" w:color="auto"/>
              <w:bottom w:val="nil"/>
              <w:right w:val="single" w:sz="8" w:space="0" w:color="auto"/>
            </w:tcBorders>
            <w:shd w:val="clear" w:color="auto" w:fill="99CCFF"/>
            <w:vAlign w:val="center"/>
            <w:hideMark/>
          </w:tcPr>
          <w:p w14:paraId="3221BB6C" w14:textId="77777777" w:rsidR="001438D4" w:rsidRPr="001B4CA2" w:rsidRDefault="001438D4" w:rsidP="00D57807">
            <w:pPr>
              <w:jc w:val="center"/>
              <w:rPr>
                <w:b/>
                <w:color w:val="000000"/>
                <w:sz w:val="18"/>
                <w:szCs w:val="18"/>
              </w:rPr>
            </w:pPr>
            <w:r w:rsidRPr="001B4CA2">
              <w:rPr>
                <w:b/>
                <w:color w:val="000000"/>
                <w:sz w:val="18"/>
                <w:szCs w:val="18"/>
              </w:rPr>
              <w:t>Godina</w:t>
            </w:r>
          </w:p>
        </w:tc>
        <w:tc>
          <w:tcPr>
            <w:tcW w:w="1235" w:type="dxa"/>
            <w:tcBorders>
              <w:top w:val="nil"/>
              <w:left w:val="nil"/>
              <w:bottom w:val="nil"/>
              <w:right w:val="single" w:sz="4" w:space="0" w:color="auto"/>
            </w:tcBorders>
            <w:shd w:val="clear" w:color="auto" w:fill="99CCFF"/>
            <w:vAlign w:val="center"/>
            <w:hideMark/>
          </w:tcPr>
          <w:p w14:paraId="531FEF02" w14:textId="77777777" w:rsidR="001438D4" w:rsidRPr="001B4CA2" w:rsidRDefault="001438D4" w:rsidP="00EF3A91">
            <w:pPr>
              <w:jc w:val="left"/>
              <w:rPr>
                <w:b/>
                <w:color w:val="000000"/>
                <w:sz w:val="18"/>
                <w:szCs w:val="18"/>
              </w:rPr>
            </w:pPr>
            <w:r w:rsidRPr="001B4CA2">
              <w:rPr>
                <w:b/>
                <w:color w:val="000000"/>
                <w:sz w:val="18"/>
                <w:szCs w:val="18"/>
              </w:rPr>
              <w:t>Obvezno liječenje od ovisnosti</w:t>
            </w:r>
          </w:p>
        </w:tc>
        <w:tc>
          <w:tcPr>
            <w:tcW w:w="1358" w:type="dxa"/>
            <w:tcBorders>
              <w:top w:val="nil"/>
              <w:left w:val="nil"/>
              <w:bottom w:val="nil"/>
              <w:right w:val="single" w:sz="4" w:space="0" w:color="auto"/>
            </w:tcBorders>
            <w:shd w:val="clear" w:color="auto" w:fill="99CCFF"/>
            <w:vAlign w:val="center"/>
            <w:hideMark/>
          </w:tcPr>
          <w:p w14:paraId="0B20F23A" w14:textId="77777777" w:rsidR="001438D4" w:rsidRPr="001B4CA2" w:rsidRDefault="001438D4" w:rsidP="00EF3A91">
            <w:pPr>
              <w:jc w:val="left"/>
              <w:rPr>
                <w:b/>
                <w:color w:val="000000"/>
                <w:sz w:val="18"/>
                <w:szCs w:val="18"/>
              </w:rPr>
            </w:pPr>
            <w:r w:rsidRPr="001B4CA2">
              <w:rPr>
                <w:b/>
                <w:color w:val="000000"/>
                <w:sz w:val="18"/>
                <w:szCs w:val="18"/>
              </w:rPr>
              <w:t>Obvezno psihijatrijsko liječenje</w:t>
            </w:r>
          </w:p>
        </w:tc>
        <w:tc>
          <w:tcPr>
            <w:tcW w:w="1134" w:type="dxa"/>
            <w:tcBorders>
              <w:top w:val="nil"/>
              <w:left w:val="nil"/>
              <w:bottom w:val="nil"/>
              <w:right w:val="single" w:sz="4" w:space="0" w:color="auto"/>
            </w:tcBorders>
            <w:shd w:val="clear" w:color="auto" w:fill="99CCFF"/>
            <w:vAlign w:val="center"/>
            <w:hideMark/>
          </w:tcPr>
          <w:p w14:paraId="09F94E06" w14:textId="77777777" w:rsidR="001438D4" w:rsidRPr="001B4CA2" w:rsidRDefault="001438D4" w:rsidP="00EF3A91">
            <w:pPr>
              <w:jc w:val="left"/>
              <w:rPr>
                <w:b/>
                <w:color w:val="000000"/>
                <w:sz w:val="18"/>
                <w:szCs w:val="18"/>
              </w:rPr>
            </w:pPr>
            <w:r w:rsidRPr="001B4CA2">
              <w:rPr>
                <w:b/>
                <w:color w:val="000000"/>
                <w:sz w:val="18"/>
                <w:szCs w:val="18"/>
              </w:rPr>
              <w:t>Zabrana obavljanja određene dužnosti ili djelatnosti</w:t>
            </w:r>
          </w:p>
        </w:tc>
        <w:tc>
          <w:tcPr>
            <w:tcW w:w="1275" w:type="dxa"/>
            <w:tcBorders>
              <w:top w:val="nil"/>
              <w:left w:val="nil"/>
              <w:bottom w:val="nil"/>
              <w:right w:val="single" w:sz="4" w:space="0" w:color="auto"/>
            </w:tcBorders>
            <w:shd w:val="clear" w:color="auto" w:fill="99CCFF"/>
            <w:vAlign w:val="center"/>
            <w:hideMark/>
          </w:tcPr>
          <w:p w14:paraId="3C330370" w14:textId="77777777" w:rsidR="001438D4" w:rsidRPr="001B4CA2" w:rsidRDefault="001438D4" w:rsidP="00EF3A91">
            <w:pPr>
              <w:jc w:val="left"/>
              <w:rPr>
                <w:b/>
                <w:color w:val="000000"/>
                <w:sz w:val="18"/>
                <w:szCs w:val="18"/>
              </w:rPr>
            </w:pPr>
            <w:r w:rsidRPr="001B4CA2">
              <w:rPr>
                <w:b/>
                <w:color w:val="000000"/>
                <w:sz w:val="18"/>
                <w:szCs w:val="18"/>
              </w:rPr>
              <w:t>Zabrana upravljanja motornim vozilom</w:t>
            </w:r>
          </w:p>
        </w:tc>
        <w:tc>
          <w:tcPr>
            <w:tcW w:w="1276" w:type="dxa"/>
            <w:gridSpan w:val="2"/>
            <w:tcBorders>
              <w:top w:val="single" w:sz="8" w:space="0" w:color="auto"/>
              <w:left w:val="nil"/>
              <w:bottom w:val="nil"/>
              <w:right w:val="nil"/>
            </w:tcBorders>
            <w:shd w:val="clear" w:color="auto" w:fill="99CCFF"/>
            <w:vAlign w:val="center"/>
            <w:hideMark/>
          </w:tcPr>
          <w:p w14:paraId="0C17AF91" w14:textId="77777777" w:rsidR="001438D4" w:rsidRPr="001B4CA2" w:rsidRDefault="001438D4" w:rsidP="00EF3A91">
            <w:pPr>
              <w:jc w:val="left"/>
              <w:rPr>
                <w:b/>
                <w:color w:val="000000"/>
                <w:sz w:val="18"/>
                <w:szCs w:val="18"/>
              </w:rPr>
            </w:pPr>
            <w:r w:rsidRPr="001B4CA2">
              <w:rPr>
                <w:b/>
                <w:color w:val="000000"/>
                <w:sz w:val="18"/>
                <w:szCs w:val="18"/>
              </w:rPr>
              <w:t>Druge sigurnosne mjere</w:t>
            </w:r>
          </w:p>
        </w:tc>
        <w:tc>
          <w:tcPr>
            <w:tcW w:w="992" w:type="dxa"/>
            <w:tcBorders>
              <w:top w:val="single" w:sz="8" w:space="0" w:color="auto"/>
              <w:left w:val="single" w:sz="8" w:space="0" w:color="auto"/>
              <w:bottom w:val="nil"/>
              <w:right w:val="single" w:sz="8" w:space="0" w:color="auto"/>
            </w:tcBorders>
            <w:shd w:val="clear" w:color="auto" w:fill="99CCFF"/>
            <w:vAlign w:val="center"/>
            <w:hideMark/>
          </w:tcPr>
          <w:p w14:paraId="03B6F2EB" w14:textId="77777777" w:rsidR="001438D4" w:rsidRPr="001B4CA2" w:rsidRDefault="001438D4" w:rsidP="00EF3A91">
            <w:pPr>
              <w:jc w:val="left"/>
              <w:rPr>
                <w:b/>
                <w:color w:val="000000"/>
                <w:sz w:val="18"/>
                <w:szCs w:val="18"/>
              </w:rPr>
            </w:pPr>
            <w:r w:rsidRPr="001B4CA2">
              <w:rPr>
                <w:b/>
                <w:color w:val="000000"/>
                <w:sz w:val="18"/>
                <w:szCs w:val="18"/>
              </w:rPr>
              <w:t>Ukupno</w:t>
            </w:r>
          </w:p>
        </w:tc>
      </w:tr>
      <w:tr w:rsidR="001438D4" w:rsidRPr="001B4CA2" w14:paraId="22F44A65" w14:textId="77777777" w:rsidTr="00D57807">
        <w:trPr>
          <w:trHeight w:val="285"/>
        </w:trPr>
        <w:tc>
          <w:tcPr>
            <w:tcW w:w="1093" w:type="dxa"/>
            <w:tcBorders>
              <w:top w:val="single" w:sz="4" w:space="0" w:color="auto"/>
              <w:left w:val="single" w:sz="8" w:space="0" w:color="auto"/>
              <w:bottom w:val="single" w:sz="4" w:space="0" w:color="auto"/>
              <w:right w:val="single" w:sz="8" w:space="0" w:color="auto"/>
            </w:tcBorders>
            <w:vAlign w:val="center"/>
            <w:hideMark/>
          </w:tcPr>
          <w:p w14:paraId="2334A845" w14:textId="77777777" w:rsidR="001438D4" w:rsidRPr="001B4CA2" w:rsidRDefault="001438D4" w:rsidP="00D57807">
            <w:pPr>
              <w:jc w:val="center"/>
              <w:rPr>
                <w:color w:val="000000"/>
                <w:sz w:val="18"/>
                <w:szCs w:val="18"/>
              </w:rPr>
            </w:pPr>
            <w:r w:rsidRPr="001B4CA2">
              <w:rPr>
                <w:color w:val="000000"/>
                <w:sz w:val="18"/>
                <w:szCs w:val="18"/>
              </w:rPr>
              <w:t>2018.</w:t>
            </w:r>
          </w:p>
        </w:tc>
        <w:tc>
          <w:tcPr>
            <w:tcW w:w="1235" w:type="dxa"/>
            <w:tcBorders>
              <w:top w:val="single" w:sz="4" w:space="0" w:color="auto"/>
              <w:left w:val="nil"/>
              <w:bottom w:val="single" w:sz="4" w:space="0" w:color="auto"/>
              <w:right w:val="single" w:sz="4" w:space="0" w:color="auto"/>
            </w:tcBorders>
            <w:vAlign w:val="center"/>
            <w:hideMark/>
          </w:tcPr>
          <w:p w14:paraId="362832D6" w14:textId="75155E87" w:rsidR="001438D4" w:rsidRPr="001B4CA2" w:rsidRDefault="001438D4" w:rsidP="001438D4">
            <w:pPr>
              <w:jc w:val="center"/>
              <w:rPr>
                <w:color w:val="000000"/>
                <w:sz w:val="18"/>
                <w:szCs w:val="18"/>
              </w:rPr>
            </w:pPr>
          </w:p>
        </w:tc>
        <w:tc>
          <w:tcPr>
            <w:tcW w:w="1358" w:type="dxa"/>
            <w:tcBorders>
              <w:top w:val="single" w:sz="4" w:space="0" w:color="auto"/>
              <w:left w:val="nil"/>
              <w:bottom w:val="single" w:sz="4" w:space="0" w:color="auto"/>
              <w:right w:val="single" w:sz="4" w:space="0" w:color="auto"/>
            </w:tcBorders>
            <w:vAlign w:val="center"/>
            <w:hideMark/>
          </w:tcPr>
          <w:p w14:paraId="3F33186E" w14:textId="4FD855DB" w:rsidR="001438D4" w:rsidRPr="001B4CA2" w:rsidRDefault="001438D4" w:rsidP="001438D4">
            <w:pPr>
              <w:jc w:val="center"/>
              <w:rPr>
                <w:color w:val="000000"/>
                <w:sz w:val="18"/>
                <w:szCs w:val="18"/>
              </w:rPr>
            </w:pPr>
          </w:p>
        </w:tc>
        <w:tc>
          <w:tcPr>
            <w:tcW w:w="1134" w:type="dxa"/>
            <w:tcBorders>
              <w:top w:val="single" w:sz="4" w:space="0" w:color="auto"/>
              <w:left w:val="nil"/>
              <w:bottom w:val="single" w:sz="4" w:space="0" w:color="auto"/>
              <w:right w:val="single" w:sz="4" w:space="0" w:color="auto"/>
            </w:tcBorders>
            <w:vAlign w:val="center"/>
            <w:hideMark/>
          </w:tcPr>
          <w:p w14:paraId="263D01E3" w14:textId="77777777" w:rsidR="001438D4" w:rsidRPr="001B4CA2" w:rsidRDefault="001438D4" w:rsidP="001438D4">
            <w:pPr>
              <w:jc w:val="center"/>
              <w:rPr>
                <w:color w:val="000000"/>
                <w:sz w:val="18"/>
                <w:szCs w:val="18"/>
              </w:rPr>
            </w:pPr>
            <w:r w:rsidRPr="001B4CA2">
              <w:rPr>
                <w:color w:val="000000"/>
                <w:sz w:val="18"/>
                <w:szCs w:val="18"/>
              </w:rPr>
              <w:t>15</w:t>
            </w:r>
          </w:p>
        </w:tc>
        <w:tc>
          <w:tcPr>
            <w:tcW w:w="1275" w:type="dxa"/>
            <w:tcBorders>
              <w:top w:val="single" w:sz="4" w:space="0" w:color="auto"/>
              <w:left w:val="nil"/>
              <w:bottom w:val="single" w:sz="4" w:space="0" w:color="auto"/>
              <w:right w:val="single" w:sz="4" w:space="0" w:color="auto"/>
            </w:tcBorders>
            <w:vAlign w:val="center"/>
            <w:hideMark/>
          </w:tcPr>
          <w:p w14:paraId="0D7E37B6" w14:textId="3962934B" w:rsidR="001438D4" w:rsidRPr="001B4CA2" w:rsidRDefault="001438D4" w:rsidP="001438D4">
            <w:pPr>
              <w:jc w:val="center"/>
              <w:rPr>
                <w:color w:val="000000"/>
                <w:sz w:val="18"/>
                <w:szCs w:val="18"/>
              </w:rPr>
            </w:pPr>
          </w:p>
        </w:tc>
        <w:tc>
          <w:tcPr>
            <w:tcW w:w="1276" w:type="dxa"/>
            <w:gridSpan w:val="2"/>
            <w:tcBorders>
              <w:top w:val="single" w:sz="4" w:space="0" w:color="auto"/>
              <w:left w:val="nil"/>
              <w:bottom w:val="single" w:sz="4" w:space="0" w:color="auto"/>
              <w:right w:val="nil"/>
            </w:tcBorders>
            <w:vAlign w:val="center"/>
            <w:hideMark/>
          </w:tcPr>
          <w:p w14:paraId="3E2BF737" w14:textId="15B96AD5" w:rsidR="001438D4" w:rsidRPr="001B4CA2" w:rsidRDefault="001438D4" w:rsidP="001438D4">
            <w:pPr>
              <w:jc w:val="center"/>
              <w:rPr>
                <w:color w:val="000000"/>
                <w:sz w:val="18"/>
                <w:szCs w:val="18"/>
              </w:rPr>
            </w:pPr>
          </w:p>
        </w:tc>
        <w:tc>
          <w:tcPr>
            <w:tcW w:w="992" w:type="dxa"/>
            <w:tcBorders>
              <w:top w:val="single" w:sz="4" w:space="0" w:color="auto"/>
              <w:left w:val="single" w:sz="8" w:space="0" w:color="auto"/>
              <w:bottom w:val="single" w:sz="4" w:space="0" w:color="auto"/>
              <w:right w:val="single" w:sz="8" w:space="0" w:color="auto"/>
            </w:tcBorders>
            <w:vAlign w:val="center"/>
            <w:hideMark/>
          </w:tcPr>
          <w:p w14:paraId="37B7D85D" w14:textId="054424E8" w:rsidR="001438D4" w:rsidRPr="001B4CA2" w:rsidRDefault="001438D4" w:rsidP="001438D4">
            <w:pPr>
              <w:jc w:val="center"/>
              <w:rPr>
                <w:color w:val="000000"/>
                <w:sz w:val="18"/>
                <w:szCs w:val="18"/>
              </w:rPr>
            </w:pPr>
          </w:p>
        </w:tc>
      </w:tr>
      <w:tr w:rsidR="001438D4" w:rsidRPr="001B4CA2" w14:paraId="42655A28" w14:textId="77777777" w:rsidTr="00D57807">
        <w:trPr>
          <w:trHeight w:val="285"/>
        </w:trPr>
        <w:tc>
          <w:tcPr>
            <w:tcW w:w="1093" w:type="dxa"/>
            <w:tcBorders>
              <w:top w:val="nil"/>
              <w:left w:val="single" w:sz="8" w:space="0" w:color="auto"/>
              <w:bottom w:val="single" w:sz="4" w:space="0" w:color="auto"/>
              <w:right w:val="single" w:sz="8" w:space="0" w:color="auto"/>
            </w:tcBorders>
            <w:vAlign w:val="center"/>
            <w:hideMark/>
          </w:tcPr>
          <w:p w14:paraId="10D6B9AB" w14:textId="77777777" w:rsidR="001438D4" w:rsidRPr="001B4CA2" w:rsidRDefault="001438D4" w:rsidP="00D57807">
            <w:pPr>
              <w:jc w:val="center"/>
              <w:rPr>
                <w:color w:val="000000"/>
                <w:sz w:val="18"/>
                <w:szCs w:val="18"/>
              </w:rPr>
            </w:pPr>
            <w:r w:rsidRPr="001B4CA2">
              <w:rPr>
                <w:color w:val="000000"/>
                <w:sz w:val="18"/>
                <w:szCs w:val="18"/>
              </w:rPr>
              <w:t>2019.</w:t>
            </w:r>
          </w:p>
        </w:tc>
        <w:tc>
          <w:tcPr>
            <w:tcW w:w="1235" w:type="dxa"/>
            <w:tcBorders>
              <w:top w:val="nil"/>
              <w:left w:val="nil"/>
              <w:bottom w:val="single" w:sz="4" w:space="0" w:color="auto"/>
              <w:right w:val="single" w:sz="4" w:space="0" w:color="auto"/>
            </w:tcBorders>
            <w:vAlign w:val="center"/>
            <w:hideMark/>
          </w:tcPr>
          <w:p w14:paraId="189D98B6" w14:textId="22487C40" w:rsidR="001438D4" w:rsidRPr="001B4CA2" w:rsidRDefault="001438D4" w:rsidP="001438D4">
            <w:pPr>
              <w:jc w:val="center"/>
              <w:rPr>
                <w:color w:val="000000"/>
                <w:sz w:val="18"/>
                <w:szCs w:val="18"/>
              </w:rPr>
            </w:pPr>
          </w:p>
        </w:tc>
        <w:tc>
          <w:tcPr>
            <w:tcW w:w="1358" w:type="dxa"/>
            <w:tcBorders>
              <w:top w:val="nil"/>
              <w:left w:val="nil"/>
              <w:bottom w:val="single" w:sz="4" w:space="0" w:color="auto"/>
              <w:right w:val="single" w:sz="4" w:space="0" w:color="auto"/>
            </w:tcBorders>
            <w:vAlign w:val="center"/>
            <w:hideMark/>
          </w:tcPr>
          <w:p w14:paraId="70F82B72" w14:textId="51D35DEB" w:rsidR="001438D4" w:rsidRPr="001B4CA2" w:rsidRDefault="001438D4" w:rsidP="001438D4">
            <w:pPr>
              <w:jc w:val="center"/>
              <w:rPr>
                <w:color w:val="000000"/>
                <w:sz w:val="18"/>
                <w:szCs w:val="18"/>
              </w:rPr>
            </w:pPr>
          </w:p>
        </w:tc>
        <w:tc>
          <w:tcPr>
            <w:tcW w:w="1134" w:type="dxa"/>
            <w:tcBorders>
              <w:top w:val="nil"/>
              <w:left w:val="nil"/>
              <w:bottom w:val="single" w:sz="4" w:space="0" w:color="auto"/>
              <w:right w:val="single" w:sz="4" w:space="0" w:color="auto"/>
            </w:tcBorders>
            <w:vAlign w:val="center"/>
            <w:hideMark/>
          </w:tcPr>
          <w:p w14:paraId="7BA7B07E" w14:textId="77777777" w:rsidR="001438D4" w:rsidRPr="001B4CA2" w:rsidRDefault="001438D4" w:rsidP="001438D4">
            <w:pPr>
              <w:jc w:val="center"/>
              <w:rPr>
                <w:color w:val="000000"/>
                <w:sz w:val="18"/>
                <w:szCs w:val="18"/>
              </w:rPr>
            </w:pPr>
            <w:r w:rsidRPr="001B4CA2">
              <w:rPr>
                <w:color w:val="000000"/>
                <w:sz w:val="18"/>
                <w:szCs w:val="18"/>
              </w:rPr>
              <w:t>7</w:t>
            </w:r>
          </w:p>
        </w:tc>
        <w:tc>
          <w:tcPr>
            <w:tcW w:w="1275" w:type="dxa"/>
            <w:tcBorders>
              <w:top w:val="nil"/>
              <w:left w:val="nil"/>
              <w:bottom w:val="single" w:sz="4" w:space="0" w:color="auto"/>
              <w:right w:val="single" w:sz="4" w:space="0" w:color="auto"/>
            </w:tcBorders>
            <w:vAlign w:val="center"/>
            <w:hideMark/>
          </w:tcPr>
          <w:p w14:paraId="6B2ACA2E" w14:textId="34C6E2D4" w:rsidR="001438D4" w:rsidRPr="001B4CA2" w:rsidRDefault="001438D4" w:rsidP="001438D4">
            <w:pPr>
              <w:jc w:val="center"/>
              <w:rPr>
                <w:color w:val="000000"/>
                <w:sz w:val="18"/>
                <w:szCs w:val="18"/>
              </w:rPr>
            </w:pPr>
          </w:p>
        </w:tc>
        <w:tc>
          <w:tcPr>
            <w:tcW w:w="1276" w:type="dxa"/>
            <w:gridSpan w:val="2"/>
            <w:tcBorders>
              <w:top w:val="nil"/>
              <w:left w:val="nil"/>
              <w:bottom w:val="single" w:sz="4" w:space="0" w:color="auto"/>
              <w:right w:val="nil"/>
            </w:tcBorders>
            <w:vAlign w:val="center"/>
            <w:hideMark/>
          </w:tcPr>
          <w:p w14:paraId="639B4304" w14:textId="4CF8AC6B" w:rsidR="001438D4" w:rsidRPr="001B4CA2" w:rsidRDefault="001438D4" w:rsidP="001438D4">
            <w:pPr>
              <w:jc w:val="center"/>
              <w:rPr>
                <w:color w:val="000000"/>
                <w:sz w:val="18"/>
                <w:szCs w:val="18"/>
              </w:rPr>
            </w:pPr>
          </w:p>
        </w:tc>
        <w:tc>
          <w:tcPr>
            <w:tcW w:w="992" w:type="dxa"/>
            <w:tcBorders>
              <w:top w:val="nil"/>
              <w:left w:val="single" w:sz="8" w:space="0" w:color="auto"/>
              <w:bottom w:val="single" w:sz="4" w:space="0" w:color="auto"/>
              <w:right w:val="single" w:sz="8" w:space="0" w:color="auto"/>
            </w:tcBorders>
            <w:vAlign w:val="center"/>
            <w:hideMark/>
          </w:tcPr>
          <w:p w14:paraId="5666D77A" w14:textId="7AFB50B2" w:rsidR="001438D4" w:rsidRPr="001B4CA2" w:rsidRDefault="001438D4" w:rsidP="001438D4">
            <w:pPr>
              <w:jc w:val="center"/>
              <w:rPr>
                <w:color w:val="000000"/>
                <w:sz w:val="18"/>
                <w:szCs w:val="18"/>
              </w:rPr>
            </w:pPr>
          </w:p>
        </w:tc>
      </w:tr>
      <w:tr w:rsidR="001438D4" w:rsidRPr="001B4CA2" w14:paraId="2A01370C" w14:textId="77777777" w:rsidTr="00D57807">
        <w:trPr>
          <w:trHeight w:val="285"/>
        </w:trPr>
        <w:tc>
          <w:tcPr>
            <w:tcW w:w="1093" w:type="dxa"/>
            <w:tcBorders>
              <w:top w:val="nil"/>
              <w:left w:val="single" w:sz="8" w:space="0" w:color="auto"/>
              <w:bottom w:val="single" w:sz="4" w:space="0" w:color="auto"/>
              <w:right w:val="single" w:sz="8" w:space="0" w:color="auto"/>
            </w:tcBorders>
            <w:vAlign w:val="center"/>
            <w:hideMark/>
          </w:tcPr>
          <w:p w14:paraId="45408D84" w14:textId="77777777" w:rsidR="001438D4" w:rsidRPr="001B4CA2" w:rsidRDefault="001438D4" w:rsidP="00D57807">
            <w:pPr>
              <w:jc w:val="center"/>
              <w:rPr>
                <w:color w:val="000000"/>
                <w:sz w:val="18"/>
                <w:szCs w:val="18"/>
              </w:rPr>
            </w:pPr>
            <w:r w:rsidRPr="001B4CA2">
              <w:rPr>
                <w:color w:val="000000"/>
                <w:sz w:val="18"/>
                <w:szCs w:val="18"/>
              </w:rPr>
              <w:t>2020.</w:t>
            </w:r>
          </w:p>
        </w:tc>
        <w:tc>
          <w:tcPr>
            <w:tcW w:w="1235" w:type="dxa"/>
            <w:tcBorders>
              <w:top w:val="nil"/>
              <w:left w:val="nil"/>
              <w:bottom w:val="single" w:sz="4" w:space="0" w:color="auto"/>
              <w:right w:val="single" w:sz="4" w:space="0" w:color="auto"/>
            </w:tcBorders>
            <w:vAlign w:val="center"/>
            <w:hideMark/>
          </w:tcPr>
          <w:p w14:paraId="5881EAC0" w14:textId="1653B5FA" w:rsidR="001438D4" w:rsidRPr="001B4CA2" w:rsidRDefault="001438D4" w:rsidP="001438D4">
            <w:pPr>
              <w:jc w:val="center"/>
              <w:rPr>
                <w:color w:val="000000"/>
                <w:sz w:val="18"/>
                <w:szCs w:val="18"/>
              </w:rPr>
            </w:pPr>
          </w:p>
        </w:tc>
        <w:tc>
          <w:tcPr>
            <w:tcW w:w="1358" w:type="dxa"/>
            <w:tcBorders>
              <w:top w:val="nil"/>
              <w:left w:val="nil"/>
              <w:bottom w:val="single" w:sz="4" w:space="0" w:color="auto"/>
              <w:right w:val="single" w:sz="4" w:space="0" w:color="auto"/>
            </w:tcBorders>
            <w:vAlign w:val="center"/>
            <w:hideMark/>
          </w:tcPr>
          <w:p w14:paraId="0B17B3E0" w14:textId="2478EE4C" w:rsidR="001438D4" w:rsidRPr="001B4CA2" w:rsidRDefault="001438D4" w:rsidP="001438D4">
            <w:pPr>
              <w:jc w:val="center"/>
              <w:rPr>
                <w:color w:val="000000"/>
                <w:sz w:val="18"/>
                <w:szCs w:val="18"/>
              </w:rPr>
            </w:pPr>
          </w:p>
        </w:tc>
        <w:tc>
          <w:tcPr>
            <w:tcW w:w="1134" w:type="dxa"/>
            <w:tcBorders>
              <w:top w:val="nil"/>
              <w:left w:val="nil"/>
              <w:bottom w:val="single" w:sz="4" w:space="0" w:color="auto"/>
              <w:right w:val="single" w:sz="4" w:space="0" w:color="auto"/>
            </w:tcBorders>
            <w:vAlign w:val="center"/>
            <w:hideMark/>
          </w:tcPr>
          <w:p w14:paraId="275C4FF9" w14:textId="77777777" w:rsidR="001438D4" w:rsidRPr="001B4CA2" w:rsidRDefault="001438D4" w:rsidP="001438D4">
            <w:pPr>
              <w:jc w:val="center"/>
              <w:rPr>
                <w:color w:val="000000"/>
                <w:sz w:val="18"/>
                <w:szCs w:val="18"/>
              </w:rPr>
            </w:pPr>
            <w:r w:rsidRPr="001B4CA2">
              <w:rPr>
                <w:color w:val="000000"/>
                <w:sz w:val="18"/>
                <w:szCs w:val="18"/>
              </w:rPr>
              <w:t>2</w:t>
            </w:r>
          </w:p>
        </w:tc>
        <w:tc>
          <w:tcPr>
            <w:tcW w:w="1275" w:type="dxa"/>
            <w:tcBorders>
              <w:top w:val="nil"/>
              <w:left w:val="nil"/>
              <w:bottom w:val="single" w:sz="4" w:space="0" w:color="auto"/>
              <w:right w:val="single" w:sz="4" w:space="0" w:color="auto"/>
            </w:tcBorders>
            <w:vAlign w:val="center"/>
            <w:hideMark/>
          </w:tcPr>
          <w:p w14:paraId="1B74D4C2" w14:textId="4E5A8F1C" w:rsidR="001438D4" w:rsidRPr="001B4CA2" w:rsidRDefault="001438D4" w:rsidP="001438D4">
            <w:pPr>
              <w:jc w:val="center"/>
              <w:rPr>
                <w:color w:val="000000"/>
                <w:sz w:val="18"/>
                <w:szCs w:val="18"/>
              </w:rPr>
            </w:pPr>
          </w:p>
        </w:tc>
        <w:tc>
          <w:tcPr>
            <w:tcW w:w="1276" w:type="dxa"/>
            <w:gridSpan w:val="2"/>
            <w:tcBorders>
              <w:top w:val="nil"/>
              <w:left w:val="nil"/>
              <w:bottom w:val="single" w:sz="4" w:space="0" w:color="auto"/>
              <w:right w:val="nil"/>
            </w:tcBorders>
            <w:vAlign w:val="center"/>
            <w:hideMark/>
          </w:tcPr>
          <w:p w14:paraId="6C12CD06" w14:textId="0330F32D" w:rsidR="001438D4" w:rsidRPr="001B4CA2" w:rsidRDefault="001438D4" w:rsidP="001438D4">
            <w:pPr>
              <w:jc w:val="center"/>
              <w:rPr>
                <w:color w:val="000000"/>
                <w:sz w:val="18"/>
                <w:szCs w:val="18"/>
              </w:rPr>
            </w:pPr>
          </w:p>
        </w:tc>
        <w:tc>
          <w:tcPr>
            <w:tcW w:w="992" w:type="dxa"/>
            <w:tcBorders>
              <w:top w:val="nil"/>
              <w:left w:val="single" w:sz="8" w:space="0" w:color="auto"/>
              <w:bottom w:val="single" w:sz="4" w:space="0" w:color="auto"/>
              <w:right w:val="single" w:sz="8" w:space="0" w:color="auto"/>
            </w:tcBorders>
            <w:vAlign w:val="center"/>
            <w:hideMark/>
          </w:tcPr>
          <w:p w14:paraId="28504203" w14:textId="07EDBC33" w:rsidR="001438D4" w:rsidRPr="001B4CA2" w:rsidRDefault="001438D4" w:rsidP="001438D4">
            <w:pPr>
              <w:jc w:val="center"/>
              <w:rPr>
                <w:color w:val="000000"/>
                <w:sz w:val="18"/>
                <w:szCs w:val="18"/>
              </w:rPr>
            </w:pPr>
          </w:p>
        </w:tc>
      </w:tr>
      <w:tr w:rsidR="001438D4" w:rsidRPr="001B4CA2" w14:paraId="74C46A05" w14:textId="77777777" w:rsidTr="00D57807">
        <w:trPr>
          <w:trHeight w:val="285"/>
        </w:trPr>
        <w:tc>
          <w:tcPr>
            <w:tcW w:w="1093" w:type="dxa"/>
            <w:tcBorders>
              <w:top w:val="nil"/>
              <w:left w:val="single" w:sz="8" w:space="0" w:color="auto"/>
              <w:bottom w:val="single" w:sz="4" w:space="0" w:color="auto"/>
              <w:right w:val="single" w:sz="8" w:space="0" w:color="auto"/>
            </w:tcBorders>
            <w:vAlign w:val="center"/>
            <w:hideMark/>
          </w:tcPr>
          <w:p w14:paraId="0BA9858E" w14:textId="77777777" w:rsidR="001438D4" w:rsidRPr="001B4CA2" w:rsidRDefault="001438D4" w:rsidP="00D57807">
            <w:pPr>
              <w:jc w:val="center"/>
              <w:rPr>
                <w:color w:val="000000"/>
                <w:sz w:val="18"/>
                <w:szCs w:val="18"/>
              </w:rPr>
            </w:pPr>
            <w:r w:rsidRPr="001B4CA2">
              <w:rPr>
                <w:color w:val="000000"/>
                <w:sz w:val="18"/>
                <w:szCs w:val="18"/>
              </w:rPr>
              <w:t>2021.</w:t>
            </w:r>
          </w:p>
        </w:tc>
        <w:tc>
          <w:tcPr>
            <w:tcW w:w="1235" w:type="dxa"/>
            <w:tcBorders>
              <w:top w:val="nil"/>
              <w:left w:val="nil"/>
              <w:bottom w:val="single" w:sz="4" w:space="0" w:color="auto"/>
              <w:right w:val="single" w:sz="4" w:space="0" w:color="auto"/>
            </w:tcBorders>
            <w:vAlign w:val="center"/>
            <w:hideMark/>
          </w:tcPr>
          <w:p w14:paraId="017542ED" w14:textId="4659A282" w:rsidR="001438D4" w:rsidRPr="001B4CA2" w:rsidRDefault="001438D4" w:rsidP="001438D4">
            <w:pPr>
              <w:jc w:val="center"/>
              <w:rPr>
                <w:color w:val="000000"/>
                <w:sz w:val="18"/>
                <w:szCs w:val="18"/>
              </w:rPr>
            </w:pPr>
          </w:p>
        </w:tc>
        <w:tc>
          <w:tcPr>
            <w:tcW w:w="1358" w:type="dxa"/>
            <w:tcBorders>
              <w:top w:val="nil"/>
              <w:left w:val="nil"/>
              <w:bottom w:val="single" w:sz="4" w:space="0" w:color="auto"/>
              <w:right w:val="single" w:sz="4" w:space="0" w:color="auto"/>
            </w:tcBorders>
            <w:vAlign w:val="center"/>
            <w:hideMark/>
          </w:tcPr>
          <w:p w14:paraId="0A952344" w14:textId="77BC259D" w:rsidR="001438D4" w:rsidRPr="001B4CA2" w:rsidRDefault="001438D4" w:rsidP="001438D4">
            <w:pPr>
              <w:jc w:val="center"/>
              <w:rPr>
                <w:color w:val="000000"/>
                <w:sz w:val="18"/>
                <w:szCs w:val="18"/>
              </w:rPr>
            </w:pPr>
          </w:p>
        </w:tc>
        <w:tc>
          <w:tcPr>
            <w:tcW w:w="1134" w:type="dxa"/>
            <w:tcBorders>
              <w:top w:val="nil"/>
              <w:left w:val="nil"/>
              <w:bottom w:val="single" w:sz="4" w:space="0" w:color="auto"/>
              <w:right w:val="single" w:sz="4" w:space="0" w:color="auto"/>
            </w:tcBorders>
            <w:vAlign w:val="center"/>
            <w:hideMark/>
          </w:tcPr>
          <w:p w14:paraId="16769EC8" w14:textId="77777777" w:rsidR="001438D4" w:rsidRPr="001B4CA2" w:rsidRDefault="001438D4" w:rsidP="001438D4">
            <w:pPr>
              <w:jc w:val="center"/>
              <w:rPr>
                <w:color w:val="000000"/>
                <w:sz w:val="18"/>
                <w:szCs w:val="18"/>
              </w:rPr>
            </w:pPr>
            <w:r w:rsidRPr="001B4CA2">
              <w:rPr>
                <w:color w:val="000000"/>
                <w:sz w:val="18"/>
                <w:szCs w:val="18"/>
              </w:rPr>
              <w:t>4</w:t>
            </w:r>
          </w:p>
        </w:tc>
        <w:tc>
          <w:tcPr>
            <w:tcW w:w="1275" w:type="dxa"/>
            <w:tcBorders>
              <w:top w:val="nil"/>
              <w:left w:val="nil"/>
              <w:bottom w:val="single" w:sz="4" w:space="0" w:color="auto"/>
              <w:right w:val="single" w:sz="4" w:space="0" w:color="auto"/>
            </w:tcBorders>
            <w:vAlign w:val="center"/>
            <w:hideMark/>
          </w:tcPr>
          <w:p w14:paraId="5FB60AAD" w14:textId="07FBE522" w:rsidR="001438D4" w:rsidRPr="001B4CA2" w:rsidRDefault="001438D4" w:rsidP="001438D4">
            <w:pPr>
              <w:jc w:val="center"/>
              <w:rPr>
                <w:color w:val="000000"/>
                <w:sz w:val="18"/>
                <w:szCs w:val="18"/>
              </w:rPr>
            </w:pPr>
          </w:p>
        </w:tc>
        <w:tc>
          <w:tcPr>
            <w:tcW w:w="1276" w:type="dxa"/>
            <w:gridSpan w:val="2"/>
            <w:tcBorders>
              <w:top w:val="nil"/>
              <w:left w:val="nil"/>
              <w:bottom w:val="single" w:sz="4" w:space="0" w:color="auto"/>
              <w:right w:val="nil"/>
            </w:tcBorders>
            <w:vAlign w:val="center"/>
            <w:hideMark/>
          </w:tcPr>
          <w:p w14:paraId="65C470E4" w14:textId="65920ECF" w:rsidR="001438D4" w:rsidRPr="001B4CA2" w:rsidRDefault="001438D4" w:rsidP="001438D4">
            <w:pPr>
              <w:jc w:val="center"/>
              <w:rPr>
                <w:color w:val="000000"/>
                <w:sz w:val="18"/>
                <w:szCs w:val="18"/>
              </w:rPr>
            </w:pPr>
          </w:p>
        </w:tc>
        <w:tc>
          <w:tcPr>
            <w:tcW w:w="992" w:type="dxa"/>
            <w:tcBorders>
              <w:top w:val="nil"/>
              <w:left w:val="single" w:sz="8" w:space="0" w:color="auto"/>
              <w:bottom w:val="single" w:sz="4" w:space="0" w:color="auto"/>
              <w:right w:val="single" w:sz="8" w:space="0" w:color="auto"/>
            </w:tcBorders>
            <w:vAlign w:val="center"/>
            <w:hideMark/>
          </w:tcPr>
          <w:p w14:paraId="3C2BBB7C" w14:textId="2F4F03A7" w:rsidR="001438D4" w:rsidRPr="001B4CA2" w:rsidRDefault="001438D4" w:rsidP="001438D4">
            <w:pPr>
              <w:jc w:val="center"/>
              <w:rPr>
                <w:color w:val="000000"/>
                <w:sz w:val="18"/>
                <w:szCs w:val="18"/>
              </w:rPr>
            </w:pPr>
          </w:p>
        </w:tc>
      </w:tr>
      <w:tr w:rsidR="001438D4" w:rsidRPr="001B4CA2" w14:paraId="1878A34F" w14:textId="77777777" w:rsidTr="00D57807">
        <w:trPr>
          <w:trHeight w:val="300"/>
        </w:trPr>
        <w:tc>
          <w:tcPr>
            <w:tcW w:w="1093" w:type="dxa"/>
            <w:tcBorders>
              <w:top w:val="nil"/>
              <w:left w:val="single" w:sz="8" w:space="0" w:color="auto"/>
              <w:bottom w:val="single" w:sz="8" w:space="0" w:color="auto"/>
              <w:right w:val="single" w:sz="8" w:space="0" w:color="auto"/>
            </w:tcBorders>
            <w:vAlign w:val="center"/>
            <w:hideMark/>
          </w:tcPr>
          <w:p w14:paraId="2E244A30" w14:textId="77777777" w:rsidR="001438D4" w:rsidRPr="001B4CA2" w:rsidRDefault="001438D4" w:rsidP="00D57807">
            <w:pPr>
              <w:jc w:val="center"/>
              <w:rPr>
                <w:color w:val="000000"/>
                <w:sz w:val="18"/>
                <w:szCs w:val="18"/>
              </w:rPr>
            </w:pPr>
            <w:r w:rsidRPr="001B4CA2">
              <w:rPr>
                <w:color w:val="000000"/>
                <w:sz w:val="18"/>
                <w:szCs w:val="18"/>
              </w:rPr>
              <w:t>2022.</w:t>
            </w:r>
          </w:p>
        </w:tc>
        <w:tc>
          <w:tcPr>
            <w:tcW w:w="1235" w:type="dxa"/>
            <w:tcBorders>
              <w:top w:val="nil"/>
              <w:left w:val="nil"/>
              <w:bottom w:val="single" w:sz="8" w:space="0" w:color="auto"/>
              <w:right w:val="single" w:sz="4" w:space="0" w:color="auto"/>
            </w:tcBorders>
            <w:vAlign w:val="center"/>
            <w:hideMark/>
          </w:tcPr>
          <w:p w14:paraId="413EDD64" w14:textId="77777777" w:rsidR="001438D4" w:rsidRPr="001B4CA2" w:rsidRDefault="001438D4" w:rsidP="001438D4">
            <w:pPr>
              <w:jc w:val="center"/>
              <w:rPr>
                <w:color w:val="000000"/>
                <w:sz w:val="18"/>
                <w:szCs w:val="18"/>
              </w:rPr>
            </w:pPr>
            <w:r w:rsidRPr="001B4CA2">
              <w:rPr>
                <w:color w:val="000000"/>
                <w:sz w:val="18"/>
                <w:szCs w:val="18"/>
              </w:rPr>
              <w:t>3</w:t>
            </w:r>
          </w:p>
        </w:tc>
        <w:tc>
          <w:tcPr>
            <w:tcW w:w="1358" w:type="dxa"/>
            <w:tcBorders>
              <w:top w:val="nil"/>
              <w:left w:val="nil"/>
              <w:bottom w:val="single" w:sz="8" w:space="0" w:color="auto"/>
              <w:right w:val="single" w:sz="4" w:space="0" w:color="auto"/>
            </w:tcBorders>
            <w:vAlign w:val="center"/>
            <w:hideMark/>
          </w:tcPr>
          <w:p w14:paraId="23C029E2" w14:textId="054BD917" w:rsidR="001438D4" w:rsidRPr="001B4CA2" w:rsidRDefault="001438D4" w:rsidP="001438D4">
            <w:pPr>
              <w:jc w:val="center"/>
              <w:rPr>
                <w:color w:val="000000"/>
                <w:sz w:val="18"/>
                <w:szCs w:val="18"/>
              </w:rPr>
            </w:pPr>
          </w:p>
        </w:tc>
        <w:tc>
          <w:tcPr>
            <w:tcW w:w="1134" w:type="dxa"/>
            <w:tcBorders>
              <w:top w:val="nil"/>
              <w:left w:val="nil"/>
              <w:bottom w:val="single" w:sz="8" w:space="0" w:color="auto"/>
              <w:right w:val="single" w:sz="4" w:space="0" w:color="auto"/>
            </w:tcBorders>
            <w:vAlign w:val="center"/>
            <w:hideMark/>
          </w:tcPr>
          <w:p w14:paraId="1E1393CD" w14:textId="77777777" w:rsidR="001438D4" w:rsidRPr="001B4CA2" w:rsidRDefault="001438D4" w:rsidP="001438D4">
            <w:pPr>
              <w:jc w:val="center"/>
              <w:rPr>
                <w:color w:val="000000"/>
                <w:sz w:val="18"/>
                <w:szCs w:val="18"/>
              </w:rPr>
            </w:pPr>
            <w:r w:rsidRPr="001B4CA2">
              <w:rPr>
                <w:color w:val="000000"/>
                <w:sz w:val="18"/>
                <w:szCs w:val="18"/>
              </w:rPr>
              <w:t>12</w:t>
            </w:r>
          </w:p>
        </w:tc>
        <w:tc>
          <w:tcPr>
            <w:tcW w:w="1275" w:type="dxa"/>
            <w:tcBorders>
              <w:top w:val="nil"/>
              <w:left w:val="nil"/>
              <w:bottom w:val="single" w:sz="8" w:space="0" w:color="auto"/>
              <w:right w:val="single" w:sz="4" w:space="0" w:color="auto"/>
            </w:tcBorders>
            <w:vAlign w:val="center"/>
            <w:hideMark/>
          </w:tcPr>
          <w:p w14:paraId="7019EAFF" w14:textId="49D3FC68" w:rsidR="001438D4" w:rsidRPr="001B4CA2" w:rsidRDefault="001438D4" w:rsidP="001438D4">
            <w:pPr>
              <w:jc w:val="center"/>
              <w:rPr>
                <w:color w:val="000000"/>
                <w:sz w:val="18"/>
                <w:szCs w:val="18"/>
              </w:rPr>
            </w:pPr>
          </w:p>
        </w:tc>
        <w:tc>
          <w:tcPr>
            <w:tcW w:w="1276" w:type="dxa"/>
            <w:gridSpan w:val="2"/>
            <w:tcBorders>
              <w:top w:val="nil"/>
              <w:left w:val="nil"/>
              <w:bottom w:val="single" w:sz="8" w:space="0" w:color="auto"/>
              <w:right w:val="nil"/>
            </w:tcBorders>
            <w:vAlign w:val="center"/>
            <w:hideMark/>
          </w:tcPr>
          <w:p w14:paraId="2D593C70" w14:textId="6486EC55" w:rsidR="001438D4" w:rsidRPr="001B4CA2" w:rsidRDefault="001438D4" w:rsidP="001438D4">
            <w:pPr>
              <w:jc w:val="center"/>
              <w:rPr>
                <w:color w:val="000000"/>
                <w:sz w:val="18"/>
                <w:szCs w:val="18"/>
              </w:rPr>
            </w:pPr>
          </w:p>
        </w:tc>
        <w:tc>
          <w:tcPr>
            <w:tcW w:w="992" w:type="dxa"/>
            <w:tcBorders>
              <w:top w:val="nil"/>
              <w:left w:val="single" w:sz="8" w:space="0" w:color="auto"/>
              <w:bottom w:val="single" w:sz="8" w:space="0" w:color="auto"/>
              <w:right w:val="single" w:sz="8" w:space="0" w:color="auto"/>
            </w:tcBorders>
            <w:vAlign w:val="center"/>
            <w:hideMark/>
          </w:tcPr>
          <w:p w14:paraId="53705BA5" w14:textId="77777777" w:rsidR="001438D4" w:rsidRPr="001B4CA2" w:rsidRDefault="001438D4" w:rsidP="001438D4">
            <w:pPr>
              <w:jc w:val="center"/>
              <w:rPr>
                <w:color w:val="000000"/>
                <w:sz w:val="18"/>
                <w:szCs w:val="18"/>
              </w:rPr>
            </w:pPr>
            <w:r w:rsidRPr="001B4CA2">
              <w:rPr>
                <w:color w:val="000000"/>
                <w:sz w:val="18"/>
                <w:szCs w:val="18"/>
              </w:rPr>
              <w:t>15</w:t>
            </w:r>
          </w:p>
        </w:tc>
      </w:tr>
    </w:tbl>
    <w:p w14:paraId="2AC3C78F" w14:textId="77777777" w:rsidR="001438D4" w:rsidRPr="001B4CA2" w:rsidRDefault="001438D4" w:rsidP="001438D4">
      <w:pPr>
        <w:ind w:firstLine="708"/>
      </w:pPr>
    </w:p>
    <w:p w14:paraId="4D3D1546" w14:textId="77777777" w:rsidR="00D3013F" w:rsidRPr="001B4CA2" w:rsidRDefault="00D3013F" w:rsidP="00E96D4E"/>
    <w:p w14:paraId="05AE5CFB" w14:textId="022D89A9" w:rsidR="00E96D4E" w:rsidRPr="001B4CA2" w:rsidRDefault="00E96D4E" w:rsidP="00955E23">
      <w:pPr>
        <w:pStyle w:val="Naslov4"/>
        <w:tabs>
          <w:tab w:val="left" w:pos="1134"/>
        </w:tabs>
        <w:rPr>
          <w:rFonts w:ascii="Arial" w:hAnsi="Arial" w:cs="Arial"/>
        </w:rPr>
      </w:pPr>
      <w:bookmarkStart w:id="135" w:name="_Toc133394365"/>
      <w:r w:rsidRPr="001B4CA2">
        <w:rPr>
          <w:rFonts w:ascii="Arial" w:hAnsi="Arial" w:cs="Arial"/>
        </w:rPr>
        <w:t>Oduzimanje imovinske koristi</w:t>
      </w:r>
      <w:r w:rsidR="006A1678" w:rsidRPr="001B4CA2">
        <w:rPr>
          <w:rFonts w:ascii="Arial" w:hAnsi="Arial" w:cs="Arial"/>
        </w:rPr>
        <w:t xml:space="preserve"> i mjere osiguranja</w:t>
      </w:r>
      <w:bookmarkEnd w:id="135"/>
    </w:p>
    <w:p w14:paraId="24210A1E" w14:textId="77777777" w:rsidR="00EC75BB" w:rsidRPr="001B4CA2" w:rsidRDefault="00EC75BB" w:rsidP="004D2810"/>
    <w:p w14:paraId="06493E08" w14:textId="16F92CCA" w:rsidR="00D3013F" w:rsidRPr="001B4CA2" w:rsidRDefault="00EC75BB" w:rsidP="00EC75BB">
      <w:pPr>
        <w:ind w:left="142"/>
        <w:rPr>
          <w:rFonts w:eastAsia="Arial"/>
          <w:i/>
          <w:iCs/>
        </w:rPr>
      </w:pPr>
      <w:r w:rsidRPr="001B4CA2">
        <w:rPr>
          <w:rFonts w:eastAsia="Arial"/>
          <w:i/>
          <w:iCs/>
        </w:rPr>
        <w:t xml:space="preserve"> </w:t>
      </w:r>
      <w:r w:rsidR="004D2810" w:rsidRPr="001B4CA2">
        <w:rPr>
          <w:rFonts w:eastAsia="Arial"/>
          <w:i/>
          <w:iCs/>
        </w:rPr>
        <w:t>Broj izrečenih mjera osiguranja i broj oduzimanja imovinske koristi te vrijednosti</w:t>
      </w:r>
      <w:r w:rsidR="00FD08E9">
        <w:rPr>
          <w:rFonts w:eastAsia="Arial"/>
          <w:i/>
          <w:iCs/>
        </w:rPr>
        <w:t xml:space="preserve">   </w:t>
      </w:r>
      <w:r w:rsidR="004D2810" w:rsidRPr="001B4CA2">
        <w:rPr>
          <w:rFonts w:eastAsia="Arial"/>
          <w:i/>
          <w:iCs/>
        </w:rPr>
        <w:t>blokirane</w:t>
      </w:r>
      <w:r w:rsidR="003B7B56">
        <w:rPr>
          <w:rFonts w:eastAsia="Arial"/>
          <w:i/>
          <w:iCs/>
        </w:rPr>
        <w:t>,</w:t>
      </w:r>
      <w:r w:rsidR="004D2810" w:rsidRPr="001B4CA2">
        <w:rPr>
          <w:rFonts w:eastAsia="Arial"/>
          <w:i/>
          <w:iCs/>
        </w:rPr>
        <w:t xml:space="preserve"> odnosno oduzete imovinske koristi </w:t>
      </w:r>
    </w:p>
    <w:tbl>
      <w:tblPr>
        <w:tblW w:w="908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6"/>
        <w:gridCol w:w="927"/>
        <w:gridCol w:w="1549"/>
        <w:gridCol w:w="1286"/>
        <w:gridCol w:w="1639"/>
        <w:gridCol w:w="1276"/>
        <w:gridCol w:w="1572"/>
      </w:tblGrid>
      <w:tr w:rsidR="00E4597A" w:rsidRPr="001B4CA2" w14:paraId="7ADCDDB9" w14:textId="10BC3746" w:rsidTr="00EC75BB">
        <w:trPr>
          <w:trHeight w:val="764"/>
        </w:trPr>
        <w:tc>
          <w:tcPr>
            <w:tcW w:w="836" w:type="dxa"/>
            <w:shd w:val="clear" w:color="auto" w:fill="99CCFF"/>
            <w:noWrap/>
            <w:vAlign w:val="center"/>
            <w:hideMark/>
          </w:tcPr>
          <w:p w14:paraId="36AEBEF2" w14:textId="5C149FB0" w:rsidR="00E4597A" w:rsidRPr="001B4CA2" w:rsidRDefault="00B10EF7" w:rsidP="00A648B1">
            <w:pPr>
              <w:jc w:val="center"/>
              <w:rPr>
                <w:rFonts w:eastAsia="Times New Roman"/>
                <w:b/>
                <w:sz w:val="18"/>
                <w:szCs w:val="18"/>
                <w:lang w:eastAsia="hr-HR"/>
              </w:rPr>
            </w:pPr>
            <w:r w:rsidRPr="001B4CA2">
              <w:rPr>
                <w:rFonts w:eastAsia="Times New Roman"/>
                <w:b/>
                <w:sz w:val="18"/>
                <w:szCs w:val="18"/>
                <w:lang w:eastAsia="hr-HR"/>
              </w:rPr>
              <w:t>Godina</w:t>
            </w:r>
          </w:p>
        </w:tc>
        <w:tc>
          <w:tcPr>
            <w:tcW w:w="927" w:type="dxa"/>
            <w:shd w:val="clear" w:color="auto" w:fill="99CCFF"/>
            <w:vAlign w:val="center"/>
          </w:tcPr>
          <w:p w14:paraId="301387E6" w14:textId="1E3F05FF" w:rsidR="00E4597A" w:rsidRPr="001B4CA2" w:rsidRDefault="00B10EF7" w:rsidP="00A648B1">
            <w:pPr>
              <w:jc w:val="center"/>
              <w:rPr>
                <w:rFonts w:eastAsia="Times New Roman"/>
                <w:b/>
                <w:sz w:val="18"/>
                <w:szCs w:val="18"/>
                <w:lang w:eastAsia="hr-HR"/>
              </w:rPr>
            </w:pPr>
            <w:r w:rsidRPr="001B4CA2">
              <w:rPr>
                <w:rFonts w:eastAsia="Times New Roman"/>
                <w:b/>
                <w:sz w:val="18"/>
                <w:szCs w:val="18"/>
                <w:lang w:eastAsia="hr-HR"/>
              </w:rPr>
              <w:t>Broj zahtjeva</w:t>
            </w:r>
          </w:p>
        </w:tc>
        <w:tc>
          <w:tcPr>
            <w:tcW w:w="1549" w:type="dxa"/>
            <w:shd w:val="clear" w:color="auto" w:fill="99CCFF"/>
            <w:noWrap/>
            <w:vAlign w:val="center"/>
            <w:hideMark/>
          </w:tcPr>
          <w:p w14:paraId="705AE630" w14:textId="77777777" w:rsidR="00657014" w:rsidRPr="001B4CA2" w:rsidRDefault="00E4597A" w:rsidP="00A648B1">
            <w:pPr>
              <w:jc w:val="center"/>
              <w:rPr>
                <w:rFonts w:eastAsia="Times New Roman"/>
                <w:b/>
                <w:sz w:val="18"/>
                <w:szCs w:val="18"/>
                <w:lang w:eastAsia="hr-HR"/>
              </w:rPr>
            </w:pPr>
            <w:r w:rsidRPr="001B4CA2">
              <w:rPr>
                <w:rFonts w:eastAsia="Times New Roman"/>
                <w:b/>
                <w:sz w:val="18"/>
                <w:szCs w:val="18"/>
                <w:lang w:eastAsia="hr-HR"/>
              </w:rPr>
              <w:t>V</w:t>
            </w:r>
            <w:r w:rsidR="00657014" w:rsidRPr="001B4CA2">
              <w:rPr>
                <w:rFonts w:eastAsia="Times New Roman"/>
                <w:b/>
                <w:sz w:val="18"/>
                <w:szCs w:val="18"/>
                <w:lang w:eastAsia="hr-HR"/>
              </w:rPr>
              <w:t>rijednost u</w:t>
            </w:r>
          </w:p>
          <w:p w14:paraId="68E0179D" w14:textId="6F8D8C08" w:rsidR="00E4597A" w:rsidRPr="001B4CA2" w:rsidRDefault="00657014" w:rsidP="00A648B1">
            <w:pPr>
              <w:jc w:val="center"/>
              <w:rPr>
                <w:rFonts w:eastAsia="Times New Roman"/>
                <w:b/>
                <w:sz w:val="18"/>
                <w:szCs w:val="18"/>
                <w:lang w:eastAsia="hr-HR"/>
              </w:rPr>
            </w:pPr>
            <w:r w:rsidRPr="001B4CA2">
              <w:rPr>
                <w:rFonts w:eastAsia="Times New Roman"/>
                <w:b/>
                <w:sz w:val="18"/>
                <w:szCs w:val="18"/>
                <w:lang w:eastAsia="hr-HR"/>
              </w:rPr>
              <w:t>kunama</w:t>
            </w:r>
          </w:p>
        </w:tc>
        <w:tc>
          <w:tcPr>
            <w:tcW w:w="1286" w:type="dxa"/>
            <w:shd w:val="clear" w:color="auto" w:fill="99CCFF"/>
            <w:vAlign w:val="center"/>
            <w:hideMark/>
          </w:tcPr>
          <w:p w14:paraId="77F6C9BC" w14:textId="77777777" w:rsidR="00E4597A" w:rsidRPr="001B4CA2" w:rsidRDefault="00E4597A" w:rsidP="00A648B1">
            <w:pPr>
              <w:jc w:val="center"/>
              <w:rPr>
                <w:rFonts w:eastAsia="Times New Roman"/>
                <w:b/>
                <w:sz w:val="18"/>
                <w:szCs w:val="18"/>
                <w:lang w:eastAsia="hr-HR"/>
              </w:rPr>
            </w:pPr>
            <w:r w:rsidRPr="001B4CA2">
              <w:rPr>
                <w:rFonts w:eastAsia="Times New Roman"/>
                <w:b/>
                <w:sz w:val="18"/>
                <w:szCs w:val="18"/>
                <w:lang w:eastAsia="hr-HR"/>
              </w:rPr>
              <w:t>Broj mjera osiguranja</w:t>
            </w:r>
          </w:p>
        </w:tc>
        <w:tc>
          <w:tcPr>
            <w:tcW w:w="1639" w:type="dxa"/>
            <w:shd w:val="clear" w:color="auto" w:fill="99CCFF"/>
            <w:vAlign w:val="center"/>
            <w:hideMark/>
          </w:tcPr>
          <w:p w14:paraId="0A7004BA" w14:textId="77777777" w:rsidR="00657014" w:rsidRPr="001B4CA2" w:rsidRDefault="00E4597A" w:rsidP="00A648B1">
            <w:pPr>
              <w:jc w:val="center"/>
              <w:rPr>
                <w:rFonts w:eastAsia="Times New Roman"/>
                <w:b/>
                <w:sz w:val="18"/>
                <w:szCs w:val="18"/>
                <w:lang w:eastAsia="hr-HR"/>
              </w:rPr>
            </w:pPr>
            <w:r w:rsidRPr="001B4CA2">
              <w:rPr>
                <w:rFonts w:eastAsia="Times New Roman"/>
                <w:b/>
                <w:sz w:val="18"/>
                <w:szCs w:val="18"/>
                <w:lang w:eastAsia="hr-HR"/>
              </w:rPr>
              <w:t xml:space="preserve">Vrijednost u </w:t>
            </w:r>
          </w:p>
          <w:p w14:paraId="51A61A1F" w14:textId="659FC6E8" w:rsidR="00E4597A" w:rsidRPr="001B4CA2" w:rsidRDefault="00657014" w:rsidP="00A648B1">
            <w:pPr>
              <w:jc w:val="center"/>
              <w:rPr>
                <w:rFonts w:eastAsia="Times New Roman"/>
                <w:b/>
                <w:sz w:val="18"/>
                <w:szCs w:val="18"/>
                <w:lang w:eastAsia="hr-HR"/>
              </w:rPr>
            </w:pPr>
            <w:r w:rsidRPr="001B4CA2">
              <w:rPr>
                <w:rFonts w:eastAsia="Times New Roman"/>
                <w:b/>
                <w:sz w:val="18"/>
                <w:szCs w:val="18"/>
                <w:lang w:eastAsia="hr-HR"/>
              </w:rPr>
              <w:t>kunama</w:t>
            </w:r>
          </w:p>
        </w:tc>
        <w:tc>
          <w:tcPr>
            <w:tcW w:w="1276" w:type="dxa"/>
            <w:shd w:val="clear" w:color="auto" w:fill="99CCFF"/>
            <w:vAlign w:val="center"/>
            <w:hideMark/>
          </w:tcPr>
          <w:p w14:paraId="6C44F598" w14:textId="77777777" w:rsidR="00E4597A" w:rsidRPr="001B4CA2" w:rsidRDefault="00E4597A" w:rsidP="00A648B1">
            <w:pPr>
              <w:jc w:val="center"/>
              <w:rPr>
                <w:rFonts w:eastAsia="Times New Roman"/>
                <w:b/>
                <w:sz w:val="18"/>
                <w:szCs w:val="18"/>
                <w:lang w:eastAsia="hr-HR"/>
              </w:rPr>
            </w:pPr>
            <w:r w:rsidRPr="001B4CA2">
              <w:rPr>
                <w:rFonts w:eastAsia="Times New Roman"/>
                <w:b/>
                <w:sz w:val="18"/>
                <w:szCs w:val="18"/>
                <w:lang w:eastAsia="hr-HR"/>
              </w:rPr>
              <w:t>Broj oduzimanja</w:t>
            </w:r>
          </w:p>
        </w:tc>
        <w:tc>
          <w:tcPr>
            <w:tcW w:w="1572" w:type="dxa"/>
            <w:shd w:val="clear" w:color="auto" w:fill="99CCFF"/>
            <w:vAlign w:val="center"/>
          </w:tcPr>
          <w:p w14:paraId="6ED0F003" w14:textId="77777777" w:rsidR="00E4597A" w:rsidRPr="001B4CA2" w:rsidRDefault="00E4597A" w:rsidP="00657014">
            <w:pPr>
              <w:jc w:val="center"/>
              <w:rPr>
                <w:rFonts w:eastAsia="Times New Roman"/>
                <w:b/>
                <w:sz w:val="18"/>
                <w:szCs w:val="18"/>
                <w:lang w:eastAsia="hr-HR"/>
              </w:rPr>
            </w:pPr>
            <w:r w:rsidRPr="001B4CA2">
              <w:rPr>
                <w:rFonts w:eastAsia="Times New Roman"/>
                <w:b/>
                <w:sz w:val="18"/>
                <w:szCs w:val="18"/>
                <w:lang w:eastAsia="hr-HR"/>
              </w:rPr>
              <w:t>Vrijednost u</w:t>
            </w:r>
          </w:p>
          <w:p w14:paraId="1FA13174" w14:textId="60948A57" w:rsidR="00657014" w:rsidRPr="001B4CA2" w:rsidRDefault="00657014" w:rsidP="00657014">
            <w:pPr>
              <w:jc w:val="center"/>
              <w:rPr>
                <w:rFonts w:eastAsia="Times New Roman"/>
                <w:b/>
                <w:sz w:val="18"/>
                <w:szCs w:val="18"/>
                <w:lang w:eastAsia="hr-HR"/>
              </w:rPr>
            </w:pPr>
            <w:r w:rsidRPr="001B4CA2">
              <w:rPr>
                <w:rFonts w:eastAsia="Times New Roman"/>
                <w:b/>
                <w:sz w:val="18"/>
                <w:szCs w:val="18"/>
                <w:lang w:eastAsia="hr-HR"/>
              </w:rPr>
              <w:t>kunama</w:t>
            </w:r>
          </w:p>
        </w:tc>
      </w:tr>
      <w:tr w:rsidR="00EE2ECA" w:rsidRPr="001B4CA2" w14:paraId="5C116AE5" w14:textId="05F2EB63" w:rsidTr="00EC75BB">
        <w:trPr>
          <w:trHeight w:val="373"/>
        </w:trPr>
        <w:tc>
          <w:tcPr>
            <w:tcW w:w="836" w:type="dxa"/>
            <w:shd w:val="clear" w:color="auto" w:fill="auto"/>
            <w:noWrap/>
            <w:vAlign w:val="center"/>
          </w:tcPr>
          <w:p w14:paraId="06330D47" w14:textId="036F2AF8" w:rsidR="00EE2ECA" w:rsidRPr="001B4CA2" w:rsidRDefault="00EE2ECA" w:rsidP="00EE2ECA">
            <w:pPr>
              <w:jc w:val="center"/>
              <w:rPr>
                <w:rFonts w:eastAsia="Times New Roman" w:cstheme="minorHAnsi"/>
                <w:sz w:val="18"/>
                <w:szCs w:val="18"/>
                <w:lang w:eastAsia="hr-HR"/>
              </w:rPr>
            </w:pPr>
            <w:r w:rsidRPr="001B4CA2">
              <w:rPr>
                <w:rFonts w:eastAsia="Times New Roman" w:cstheme="minorHAnsi"/>
                <w:sz w:val="18"/>
                <w:szCs w:val="18"/>
                <w:lang w:eastAsia="hr-HR"/>
              </w:rPr>
              <w:t>201</w:t>
            </w:r>
            <w:r w:rsidR="004D2810" w:rsidRPr="001B4CA2">
              <w:rPr>
                <w:rFonts w:eastAsia="Times New Roman" w:cstheme="minorHAnsi"/>
                <w:sz w:val="18"/>
                <w:szCs w:val="18"/>
                <w:lang w:eastAsia="hr-HR"/>
              </w:rPr>
              <w:t>8</w:t>
            </w:r>
            <w:r w:rsidRPr="001B4CA2">
              <w:rPr>
                <w:rFonts w:eastAsia="Times New Roman" w:cstheme="minorHAnsi"/>
                <w:sz w:val="18"/>
                <w:szCs w:val="18"/>
                <w:lang w:eastAsia="hr-HR"/>
              </w:rPr>
              <w:t>.</w:t>
            </w:r>
          </w:p>
        </w:tc>
        <w:tc>
          <w:tcPr>
            <w:tcW w:w="927" w:type="dxa"/>
            <w:shd w:val="clear" w:color="auto" w:fill="auto"/>
            <w:vAlign w:val="center"/>
          </w:tcPr>
          <w:p w14:paraId="36C12C88" w14:textId="36B1991E" w:rsidR="00EE2ECA" w:rsidRPr="001B4CA2" w:rsidRDefault="004D2810" w:rsidP="00EE2ECA">
            <w:pPr>
              <w:jc w:val="center"/>
              <w:rPr>
                <w:rFonts w:eastAsia="Times New Roman" w:cstheme="minorHAnsi"/>
                <w:sz w:val="18"/>
                <w:szCs w:val="18"/>
                <w:lang w:eastAsia="hr-HR"/>
              </w:rPr>
            </w:pPr>
            <w:r w:rsidRPr="001B4CA2">
              <w:rPr>
                <w:rFonts w:eastAsia="Times New Roman" w:cstheme="minorHAnsi"/>
                <w:sz w:val="18"/>
                <w:szCs w:val="18"/>
                <w:lang w:eastAsia="hr-HR"/>
              </w:rPr>
              <w:t>14</w:t>
            </w:r>
          </w:p>
        </w:tc>
        <w:tc>
          <w:tcPr>
            <w:tcW w:w="1549" w:type="dxa"/>
            <w:shd w:val="clear" w:color="auto" w:fill="auto"/>
            <w:noWrap/>
            <w:vAlign w:val="center"/>
          </w:tcPr>
          <w:p w14:paraId="6F911510" w14:textId="23DC9D93"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22.250.000,00</w:t>
            </w:r>
          </w:p>
        </w:tc>
        <w:tc>
          <w:tcPr>
            <w:tcW w:w="1286" w:type="dxa"/>
            <w:shd w:val="clear" w:color="auto" w:fill="auto"/>
            <w:noWrap/>
            <w:vAlign w:val="center"/>
          </w:tcPr>
          <w:p w14:paraId="2BE1F077" w14:textId="7F28BE1F"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14</w:t>
            </w:r>
          </w:p>
        </w:tc>
        <w:tc>
          <w:tcPr>
            <w:tcW w:w="1639" w:type="dxa"/>
            <w:shd w:val="clear" w:color="auto" w:fill="auto"/>
            <w:noWrap/>
            <w:vAlign w:val="center"/>
          </w:tcPr>
          <w:p w14:paraId="15D2BD0E" w14:textId="5632C80E"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22.250.000,00</w:t>
            </w:r>
          </w:p>
        </w:tc>
        <w:tc>
          <w:tcPr>
            <w:tcW w:w="1276" w:type="dxa"/>
            <w:shd w:val="clear" w:color="auto" w:fill="auto"/>
            <w:noWrap/>
            <w:vAlign w:val="center"/>
          </w:tcPr>
          <w:p w14:paraId="50AB81ED" w14:textId="36F36118"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138</w:t>
            </w:r>
          </w:p>
        </w:tc>
        <w:tc>
          <w:tcPr>
            <w:tcW w:w="1572" w:type="dxa"/>
            <w:vAlign w:val="center"/>
          </w:tcPr>
          <w:p w14:paraId="533CE9F0" w14:textId="5160A5DC"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89.422.969,01</w:t>
            </w:r>
          </w:p>
        </w:tc>
      </w:tr>
      <w:tr w:rsidR="00EE2ECA" w:rsidRPr="001B4CA2" w14:paraId="457F066E" w14:textId="62E78622" w:rsidTr="00EC75BB">
        <w:trPr>
          <w:trHeight w:val="373"/>
        </w:trPr>
        <w:tc>
          <w:tcPr>
            <w:tcW w:w="836" w:type="dxa"/>
            <w:shd w:val="clear" w:color="auto" w:fill="auto"/>
            <w:noWrap/>
            <w:vAlign w:val="center"/>
          </w:tcPr>
          <w:p w14:paraId="233EB8DF" w14:textId="7E8E67BD" w:rsidR="00EE2ECA" w:rsidRPr="001B4CA2" w:rsidRDefault="00EE2ECA" w:rsidP="00EE2ECA">
            <w:pPr>
              <w:jc w:val="center"/>
              <w:rPr>
                <w:rFonts w:eastAsia="Times New Roman" w:cstheme="minorHAnsi"/>
                <w:sz w:val="18"/>
                <w:szCs w:val="18"/>
                <w:lang w:eastAsia="hr-HR"/>
              </w:rPr>
            </w:pPr>
            <w:r w:rsidRPr="001B4CA2">
              <w:rPr>
                <w:rFonts w:eastAsia="Times New Roman" w:cstheme="minorHAnsi"/>
                <w:sz w:val="18"/>
                <w:szCs w:val="18"/>
                <w:lang w:eastAsia="hr-HR"/>
              </w:rPr>
              <w:t>201</w:t>
            </w:r>
            <w:r w:rsidR="004D2810" w:rsidRPr="001B4CA2">
              <w:rPr>
                <w:rFonts w:eastAsia="Times New Roman" w:cstheme="minorHAnsi"/>
                <w:sz w:val="18"/>
                <w:szCs w:val="18"/>
                <w:lang w:eastAsia="hr-HR"/>
              </w:rPr>
              <w:t>9</w:t>
            </w:r>
            <w:r w:rsidRPr="001B4CA2">
              <w:rPr>
                <w:rFonts w:eastAsia="Times New Roman" w:cstheme="minorHAnsi"/>
                <w:sz w:val="18"/>
                <w:szCs w:val="18"/>
                <w:lang w:eastAsia="hr-HR"/>
              </w:rPr>
              <w:t>.</w:t>
            </w:r>
          </w:p>
        </w:tc>
        <w:tc>
          <w:tcPr>
            <w:tcW w:w="927" w:type="dxa"/>
            <w:shd w:val="clear" w:color="auto" w:fill="auto"/>
            <w:vAlign w:val="center"/>
          </w:tcPr>
          <w:p w14:paraId="44D564F5" w14:textId="75530D28" w:rsidR="00EE2ECA" w:rsidRPr="001B4CA2" w:rsidRDefault="004D2810" w:rsidP="00EE2ECA">
            <w:pPr>
              <w:jc w:val="center"/>
              <w:rPr>
                <w:rFonts w:eastAsia="Times New Roman" w:cstheme="minorHAnsi"/>
                <w:sz w:val="18"/>
                <w:szCs w:val="18"/>
                <w:lang w:eastAsia="hr-HR"/>
              </w:rPr>
            </w:pPr>
            <w:r w:rsidRPr="001B4CA2">
              <w:rPr>
                <w:rFonts w:eastAsia="Times New Roman" w:cstheme="minorHAnsi"/>
                <w:sz w:val="18"/>
                <w:szCs w:val="18"/>
                <w:lang w:eastAsia="hr-HR"/>
              </w:rPr>
              <w:t>48</w:t>
            </w:r>
          </w:p>
        </w:tc>
        <w:tc>
          <w:tcPr>
            <w:tcW w:w="1549" w:type="dxa"/>
            <w:shd w:val="clear" w:color="auto" w:fill="auto"/>
            <w:noWrap/>
            <w:vAlign w:val="center"/>
          </w:tcPr>
          <w:p w14:paraId="38470925" w14:textId="55C03F91"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38.533.818,28</w:t>
            </w:r>
          </w:p>
        </w:tc>
        <w:tc>
          <w:tcPr>
            <w:tcW w:w="1286" w:type="dxa"/>
            <w:shd w:val="clear" w:color="auto" w:fill="auto"/>
            <w:noWrap/>
            <w:vAlign w:val="center"/>
          </w:tcPr>
          <w:p w14:paraId="1836AAE2" w14:textId="74262AEA" w:rsidR="00EE2ECA" w:rsidRPr="001B4CA2" w:rsidRDefault="004D2810" w:rsidP="00EE2ECA">
            <w:pPr>
              <w:jc w:val="center"/>
              <w:rPr>
                <w:rFonts w:eastAsia="Times New Roman" w:cstheme="minorHAnsi"/>
                <w:sz w:val="18"/>
                <w:szCs w:val="18"/>
                <w:lang w:eastAsia="hr-HR"/>
              </w:rPr>
            </w:pPr>
            <w:r w:rsidRPr="001B4CA2">
              <w:rPr>
                <w:rFonts w:eastAsia="Times New Roman" w:cstheme="minorHAnsi"/>
                <w:sz w:val="18"/>
                <w:szCs w:val="18"/>
                <w:lang w:eastAsia="hr-HR"/>
              </w:rPr>
              <w:t>48</w:t>
            </w:r>
          </w:p>
        </w:tc>
        <w:tc>
          <w:tcPr>
            <w:tcW w:w="1639" w:type="dxa"/>
            <w:shd w:val="clear" w:color="auto" w:fill="auto"/>
            <w:noWrap/>
            <w:vAlign w:val="center"/>
          </w:tcPr>
          <w:p w14:paraId="04465CCC" w14:textId="6B293D6F"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38.533.818,28</w:t>
            </w:r>
          </w:p>
        </w:tc>
        <w:tc>
          <w:tcPr>
            <w:tcW w:w="1276" w:type="dxa"/>
            <w:shd w:val="clear" w:color="auto" w:fill="auto"/>
            <w:noWrap/>
            <w:vAlign w:val="center"/>
          </w:tcPr>
          <w:p w14:paraId="1A62B688" w14:textId="2D7D8065"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121</w:t>
            </w:r>
          </w:p>
        </w:tc>
        <w:tc>
          <w:tcPr>
            <w:tcW w:w="1572" w:type="dxa"/>
            <w:vAlign w:val="center"/>
          </w:tcPr>
          <w:p w14:paraId="6711C068" w14:textId="77A9A64A"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20.663.018,59</w:t>
            </w:r>
          </w:p>
        </w:tc>
      </w:tr>
      <w:tr w:rsidR="00EE2ECA" w:rsidRPr="001B4CA2" w14:paraId="205CD24C" w14:textId="2F0F51DD" w:rsidTr="00EC75BB">
        <w:trPr>
          <w:trHeight w:val="373"/>
        </w:trPr>
        <w:tc>
          <w:tcPr>
            <w:tcW w:w="836" w:type="dxa"/>
            <w:shd w:val="clear" w:color="auto" w:fill="auto"/>
            <w:noWrap/>
            <w:vAlign w:val="center"/>
          </w:tcPr>
          <w:p w14:paraId="352690EA" w14:textId="47DF0AF4" w:rsidR="00EE2ECA" w:rsidRPr="001B4CA2" w:rsidRDefault="00EE2ECA" w:rsidP="00EE2ECA">
            <w:pPr>
              <w:jc w:val="center"/>
              <w:rPr>
                <w:rFonts w:eastAsia="Times New Roman" w:cstheme="minorHAnsi"/>
                <w:sz w:val="18"/>
                <w:szCs w:val="18"/>
                <w:lang w:eastAsia="hr-HR"/>
              </w:rPr>
            </w:pPr>
            <w:r w:rsidRPr="001B4CA2">
              <w:rPr>
                <w:rFonts w:eastAsia="Times New Roman" w:cstheme="minorHAnsi"/>
                <w:sz w:val="18"/>
                <w:szCs w:val="18"/>
                <w:lang w:eastAsia="hr-HR"/>
              </w:rPr>
              <w:t>20</w:t>
            </w:r>
            <w:r w:rsidR="004D2810" w:rsidRPr="001B4CA2">
              <w:rPr>
                <w:rFonts w:eastAsia="Times New Roman" w:cstheme="minorHAnsi"/>
                <w:sz w:val="18"/>
                <w:szCs w:val="18"/>
                <w:lang w:eastAsia="hr-HR"/>
              </w:rPr>
              <w:t>20</w:t>
            </w:r>
            <w:r w:rsidRPr="001B4CA2">
              <w:rPr>
                <w:rFonts w:eastAsia="Times New Roman" w:cstheme="minorHAnsi"/>
                <w:sz w:val="18"/>
                <w:szCs w:val="18"/>
                <w:lang w:eastAsia="hr-HR"/>
              </w:rPr>
              <w:t>.</w:t>
            </w:r>
          </w:p>
        </w:tc>
        <w:tc>
          <w:tcPr>
            <w:tcW w:w="927" w:type="dxa"/>
            <w:shd w:val="clear" w:color="auto" w:fill="auto"/>
            <w:vAlign w:val="center"/>
          </w:tcPr>
          <w:p w14:paraId="5B0CD95F" w14:textId="77C6A0F4" w:rsidR="00EE2ECA" w:rsidRPr="001B4CA2" w:rsidRDefault="004D2810" w:rsidP="00EE2ECA">
            <w:pPr>
              <w:jc w:val="center"/>
              <w:rPr>
                <w:rFonts w:eastAsia="Times New Roman" w:cstheme="minorHAnsi"/>
                <w:sz w:val="18"/>
                <w:szCs w:val="18"/>
                <w:lang w:eastAsia="hr-HR"/>
              </w:rPr>
            </w:pPr>
            <w:r w:rsidRPr="001B4CA2">
              <w:rPr>
                <w:rFonts w:eastAsia="Times New Roman" w:cstheme="minorHAnsi"/>
                <w:sz w:val="18"/>
                <w:szCs w:val="18"/>
                <w:lang w:eastAsia="hr-HR"/>
              </w:rPr>
              <w:t>41</w:t>
            </w:r>
          </w:p>
        </w:tc>
        <w:tc>
          <w:tcPr>
            <w:tcW w:w="1549" w:type="dxa"/>
            <w:shd w:val="clear" w:color="auto" w:fill="auto"/>
            <w:noWrap/>
            <w:vAlign w:val="center"/>
          </w:tcPr>
          <w:p w14:paraId="23922A84" w14:textId="5A412368"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51.569.978,00</w:t>
            </w:r>
          </w:p>
        </w:tc>
        <w:tc>
          <w:tcPr>
            <w:tcW w:w="1286" w:type="dxa"/>
            <w:shd w:val="clear" w:color="auto" w:fill="auto"/>
            <w:noWrap/>
            <w:vAlign w:val="center"/>
          </w:tcPr>
          <w:p w14:paraId="3975C4B3" w14:textId="4F021EB7" w:rsidR="00EE2ECA" w:rsidRPr="001B4CA2" w:rsidRDefault="00EE2ECA"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4</w:t>
            </w:r>
            <w:r w:rsidR="004D2810" w:rsidRPr="001B4CA2">
              <w:rPr>
                <w:rFonts w:eastAsia="Times New Roman" w:cstheme="minorHAnsi"/>
                <w:color w:val="000000"/>
                <w:sz w:val="18"/>
                <w:szCs w:val="18"/>
                <w:lang w:eastAsia="hr-HR"/>
              </w:rPr>
              <w:t>1</w:t>
            </w:r>
          </w:p>
        </w:tc>
        <w:tc>
          <w:tcPr>
            <w:tcW w:w="1639" w:type="dxa"/>
            <w:shd w:val="clear" w:color="auto" w:fill="auto"/>
            <w:noWrap/>
            <w:vAlign w:val="center"/>
          </w:tcPr>
          <w:p w14:paraId="7607CA16" w14:textId="5644CE2B"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51.569.978,00</w:t>
            </w:r>
          </w:p>
        </w:tc>
        <w:tc>
          <w:tcPr>
            <w:tcW w:w="1276" w:type="dxa"/>
            <w:shd w:val="clear" w:color="auto" w:fill="auto"/>
            <w:noWrap/>
            <w:vAlign w:val="center"/>
          </w:tcPr>
          <w:p w14:paraId="23E09DA3" w14:textId="3A30D55C"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81</w:t>
            </w:r>
          </w:p>
        </w:tc>
        <w:tc>
          <w:tcPr>
            <w:tcW w:w="1572" w:type="dxa"/>
            <w:vAlign w:val="center"/>
          </w:tcPr>
          <w:p w14:paraId="79C45D54" w14:textId="7AC8BB42"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76.951.539,92</w:t>
            </w:r>
          </w:p>
        </w:tc>
      </w:tr>
      <w:tr w:rsidR="00EE2ECA" w:rsidRPr="001B4CA2" w14:paraId="69278E06" w14:textId="7D3D5BBE" w:rsidTr="00EC75BB">
        <w:trPr>
          <w:trHeight w:val="373"/>
        </w:trPr>
        <w:tc>
          <w:tcPr>
            <w:tcW w:w="836" w:type="dxa"/>
            <w:shd w:val="clear" w:color="auto" w:fill="auto"/>
            <w:noWrap/>
            <w:vAlign w:val="center"/>
          </w:tcPr>
          <w:p w14:paraId="23FC75C4" w14:textId="62FE9D72" w:rsidR="00EE2ECA" w:rsidRPr="001B4CA2" w:rsidRDefault="00EE2ECA" w:rsidP="00EE2ECA">
            <w:pPr>
              <w:jc w:val="center"/>
              <w:rPr>
                <w:rFonts w:eastAsia="Times New Roman" w:cstheme="minorHAnsi"/>
                <w:sz w:val="18"/>
                <w:szCs w:val="18"/>
                <w:lang w:eastAsia="hr-HR"/>
              </w:rPr>
            </w:pPr>
            <w:r w:rsidRPr="001B4CA2">
              <w:rPr>
                <w:rFonts w:eastAsia="Times New Roman" w:cstheme="minorHAnsi"/>
                <w:sz w:val="18"/>
                <w:szCs w:val="18"/>
                <w:lang w:eastAsia="hr-HR"/>
              </w:rPr>
              <w:t>202</w:t>
            </w:r>
            <w:r w:rsidR="004D2810" w:rsidRPr="001B4CA2">
              <w:rPr>
                <w:rFonts w:eastAsia="Times New Roman" w:cstheme="minorHAnsi"/>
                <w:sz w:val="18"/>
                <w:szCs w:val="18"/>
                <w:lang w:eastAsia="hr-HR"/>
              </w:rPr>
              <w:t>1</w:t>
            </w:r>
            <w:r w:rsidRPr="001B4CA2">
              <w:rPr>
                <w:rFonts w:eastAsia="Times New Roman" w:cstheme="minorHAnsi"/>
                <w:sz w:val="18"/>
                <w:szCs w:val="18"/>
                <w:lang w:eastAsia="hr-HR"/>
              </w:rPr>
              <w:t>.</w:t>
            </w:r>
          </w:p>
        </w:tc>
        <w:tc>
          <w:tcPr>
            <w:tcW w:w="927" w:type="dxa"/>
            <w:shd w:val="clear" w:color="auto" w:fill="auto"/>
            <w:vAlign w:val="center"/>
          </w:tcPr>
          <w:p w14:paraId="7752D1E8" w14:textId="19148088" w:rsidR="00EE2ECA" w:rsidRPr="001B4CA2" w:rsidRDefault="004D2810" w:rsidP="00EE2ECA">
            <w:pPr>
              <w:jc w:val="center"/>
              <w:rPr>
                <w:rFonts w:eastAsia="Times New Roman" w:cstheme="minorHAnsi"/>
                <w:sz w:val="18"/>
                <w:szCs w:val="18"/>
                <w:lang w:eastAsia="hr-HR"/>
              </w:rPr>
            </w:pPr>
            <w:r w:rsidRPr="001B4CA2">
              <w:rPr>
                <w:rFonts w:eastAsia="Times New Roman" w:cstheme="minorHAnsi"/>
                <w:sz w:val="18"/>
                <w:szCs w:val="18"/>
                <w:lang w:eastAsia="hr-HR"/>
              </w:rPr>
              <w:t>28</w:t>
            </w:r>
          </w:p>
        </w:tc>
        <w:tc>
          <w:tcPr>
            <w:tcW w:w="1549" w:type="dxa"/>
            <w:shd w:val="clear" w:color="auto" w:fill="auto"/>
            <w:noWrap/>
            <w:vAlign w:val="center"/>
          </w:tcPr>
          <w:p w14:paraId="273EB6F9" w14:textId="69572563"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46.463.100,00</w:t>
            </w:r>
          </w:p>
        </w:tc>
        <w:tc>
          <w:tcPr>
            <w:tcW w:w="1286" w:type="dxa"/>
            <w:shd w:val="clear" w:color="auto" w:fill="auto"/>
            <w:noWrap/>
            <w:vAlign w:val="center"/>
          </w:tcPr>
          <w:p w14:paraId="2BFE2EF9" w14:textId="65F222DC" w:rsidR="00EE2ECA" w:rsidRPr="001B4CA2" w:rsidRDefault="004D2810" w:rsidP="00EE2ECA">
            <w:pPr>
              <w:jc w:val="center"/>
              <w:rPr>
                <w:rFonts w:eastAsia="Times New Roman" w:cstheme="minorHAnsi"/>
                <w:sz w:val="18"/>
                <w:szCs w:val="18"/>
                <w:lang w:eastAsia="hr-HR"/>
              </w:rPr>
            </w:pPr>
            <w:r w:rsidRPr="001B4CA2">
              <w:rPr>
                <w:rFonts w:eastAsia="Times New Roman" w:cstheme="minorHAnsi"/>
                <w:sz w:val="18"/>
                <w:szCs w:val="18"/>
                <w:lang w:eastAsia="hr-HR"/>
              </w:rPr>
              <w:t>28</w:t>
            </w:r>
          </w:p>
        </w:tc>
        <w:tc>
          <w:tcPr>
            <w:tcW w:w="1639" w:type="dxa"/>
            <w:shd w:val="clear" w:color="auto" w:fill="auto"/>
            <w:noWrap/>
            <w:vAlign w:val="center"/>
          </w:tcPr>
          <w:p w14:paraId="515CC8FE" w14:textId="4470265F"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46.463.100,00</w:t>
            </w:r>
          </w:p>
        </w:tc>
        <w:tc>
          <w:tcPr>
            <w:tcW w:w="1276" w:type="dxa"/>
            <w:shd w:val="clear" w:color="auto" w:fill="auto"/>
            <w:noWrap/>
            <w:vAlign w:val="center"/>
          </w:tcPr>
          <w:p w14:paraId="6F979D80" w14:textId="15ACADDC" w:rsidR="00EE2ECA" w:rsidRPr="001B4CA2" w:rsidRDefault="004D2810" w:rsidP="00EE2ECA">
            <w:pPr>
              <w:jc w:val="center"/>
              <w:rPr>
                <w:rFonts w:eastAsia="Times New Roman" w:cstheme="minorHAnsi"/>
                <w:sz w:val="18"/>
                <w:szCs w:val="18"/>
                <w:lang w:eastAsia="hr-HR"/>
              </w:rPr>
            </w:pPr>
            <w:r w:rsidRPr="001B4CA2">
              <w:rPr>
                <w:rFonts w:eastAsia="Times New Roman" w:cstheme="minorHAnsi"/>
                <w:sz w:val="18"/>
                <w:szCs w:val="18"/>
                <w:lang w:eastAsia="hr-HR"/>
              </w:rPr>
              <w:t>140</w:t>
            </w:r>
          </w:p>
        </w:tc>
        <w:tc>
          <w:tcPr>
            <w:tcW w:w="1572" w:type="dxa"/>
            <w:vAlign w:val="center"/>
          </w:tcPr>
          <w:p w14:paraId="35F58E5F" w14:textId="796684B1"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55.156.078,49</w:t>
            </w:r>
          </w:p>
        </w:tc>
      </w:tr>
      <w:tr w:rsidR="00EE2ECA" w:rsidRPr="001B4CA2" w14:paraId="46624D19" w14:textId="2863A037" w:rsidTr="00EC75BB">
        <w:trPr>
          <w:trHeight w:val="392"/>
        </w:trPr>
        <w:tc>
          <w:tcPr>
            <w:tcW w:w="836" w:type="dxa"/>
            <w:shd w:val="clear" w:color="auto" w:fill="auto"/>
            <w:noWrap/>
            <w:vAlign w:val="center"/>
          </w:tcPr>
          <w:p w14:paraId="2D805CFD" w14:textId="3F117277" w:rsidR="00EE2ECA" w:rsidRPr="001B4CA2" w:rsidRDefault="00EE2ECA" w:rsidP="00EE2ECA">
            <w:pPr>
              <w:jc w:val="center"/>
              <w:rPr>
                <w:rFonts w:eastAsia="Times New Roman" w:cstheme="minorHAnsi"/>
                <w:sz w:val="18"/>
                <w:szCs w:val="18"/>
                <w:lang w:eastAsia="hr-HR"/>
              </w:rPr>
            </w:pPr>
            <w:r w:rsidRPr="001B4CA2">
              <w:rPr>
                <w:rFonts w:eastAsia="Times New Roman" w:cstheme="minorHAnsi"/>
                <w:sz w:val="18"/>
                <w:szCs w:val="18"/>
                <w:lang w:eastAsia="hr-HR"/>
              </w:rPr>
              <w:t>202</w:t>
            </w:r>
            <w:r w:rsidR="004D2810" w:rsidRPr="001B4CA2">
              <w:rPr>
                <w:rFonts w:eastAsia="Times New Roman" w:cstheme="minorHAnsi"/>
                <w:sz w:val="18"/>
                <w:szCs w:val="18"/>
                <w:lang w:eastAsia="hr-HR"/>
              </w:rPr>
              <w:t>2</w:t>
            </w:r>
            <w:r w:rsidRPr="001B4CA2">
              <w:rPr>
                <w:rFonts w:eastAsia="Times New Roman" w:cstheme="minorHAnsi"/>
                <w:sz w:val="18"/>
                <w:szCs w:val="18"/>
                <w:lang w:eastAsia="hr-HR"/>
              </w:rPr>
              <w:t>.</w:t>
            </w:r>
          </w:p>
        </w:tc>
        <w:tc>
          <w:tcPr>
            <w:tcW w:w="927" w:type="dxa"/>
            <w:shd w:val="clear" w:color="auto" w:fill="auto"/>
            <w:vAlign w:val="center"/>
          </w:tcPr>
          <w:p w14:paraId="0E71FD70" w14:textId="35D15099" w:rsidR="00EE2ECA" w:rsidRPr="001B4CA2" w:rsidRDefault="00EE2ECA"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2</w:t>
            </w:r>
            <w:r w:rsidR="004D2810" w:rsidRPr="001B4CA2">
              <w:rPr>
                <w:rFonts w:eastAsia="Times New Roman" w:cstheme="minorHAnsi"/>
                <w:color w:val="000000"/>
                <w:sz w:val="18"/>
                <w:szCs w:val="18"/>
                <w:lang w:eastAsia="hr-HR"/>
              </w:rPr>
              <w:t>0</w:t>
            </w:r>
          </w:p>
        </w:tc>
        <w:tc>
          <w:tcPr>
            <w:tcW w:w="1549" w:type="dxa"/>
            <w:shd w:val="clear" w:color="auto" w:fill="auto"/>
            <w:noWrap/>
            <w:vAlign w:val="center"/>
          </w:tcPr>
          <w:p w14:paraId="307C2376" w14:textId="75B55C31" w:rsidR="00EE2ECA" w:rsidRPr="001B4CA2" w:rsidRDefault="004D2810" w:rsidP="00EE2ECA">
            <w:pPr>
              <w:jc w:val="center"/>
              <w:rPr>
                <w:rFonts w:asciiTheme="majorHAnsi" w:eastAsia="Times New Roman" w:hAnsiTheme="majorHAnsi" w:cstheme="majorHAnsi"/>
                <w:sz w:val="18"/>
                <w:szCs w:val="18"/>
                <w:lang w:eastAsia="hr-HR"/>
              </w:rPr>
            </w:pPr>
            <w:r w:rsidRPr="001B4CA2">
              <w:rPr>
                <w:rFonts w:asciiTheme="majorHAnsi" w:hAnsiTheme="majorHAnsi" w:cstheme="majorHAnsi"/>
                <w:color w:val="000000"/>
                <w:sz w:val="18"/>
                <w:szCs w:val="18"/>
              </w:rPr>
              <w:t>867.218.767,53</w:t>
            </w:r>
            <w:r w:rsidR="00FD08E9">
              <w:rPr>
                <w:rFonts w:asciiTheme="majorHAnsi" w:hAnsiTheme="majorHAnsi" w:cstheme="majorHAnsi"/>
                <w:color w:val="000000"/>
                <w:sz w:val="18"/>
                <w:szCs w:val="18"/>
              </w:rPr>
              <w:t xml:space="preserve"> </w:t>
            </w:r>
          </w:p>
        </w:tc>
        <w:tc>
          <w:tcPr>
            <w:tcW w:w="1286" w:type="dxa"/>
            <w:shd w:val="clear" w:color="auto" w:fill="auto"/>
            <w:noWrap/>
            <w:vAlign w:val="center"/>
          </w:tcPr>
          <w:p w14:paraId="25693FA2" w14:textId="009ACBD1" w:rsidR="00EE2ECA" w:rsidRPr="001B4CA2" w:rsidRDefault="004D2810" w:rsidP="00EE2ECA">
            <w:pPr>
              <w:jc w:val="center"/>
              <w:rPr>
                <w:rFonts w:eastAsia="Times New Roman" w:cstheme="minorHAnsi"/>
                <w:sz w:val="18"/>
                <w:szCs w:val="18"/>
                <w:lang w:eastAsia="hr-HR"/>
              </w:rPr>
            </w:pPr>
            <w:r w:rsidRPr="001B4CA2">
              <w:rPr>
                <w:rFonts w:eastAsia="Times New Roman" w:cstheme="minorHAnsi"/>
                <w:sz w:val="18"/>
                <w:szCs w:val="18"/>
                <w:lang w:eastAsia="hr-HR"/>
              </w:rPr>
              <w:t>20</w:t>
            </w:r>
          </w:p>
        </w:tc>
        <w:tc>
          <w:tcPr>
            <w:tcW w:w="1639" w:type="dxa"/>
            <w:shd w:val="clear" w:color="auto" w:fill="auto"/>
            <w:noWrap/>
            <w:vAlign w:val="center"/>
          </w:tcPr>
          <w:p w14:paraId="51BAF48E" w14:textId="697EFB5E" w:rsidR="00EE2ECA" w:rsidRPr="001B4CA2" w:rsidRDefault="004D2810" w:rsidP="00EE2ECA">
            <w:pPr>
              <w:jc w:val="center"/>
              <w:rPr>
                <w:rFonts w:asciiTheme="majorHAnsi" w:eastAsia="Times New Roman" w:hAnsiTheme="majorHAnsi" w:cstheme="majorHAnsi"/>
                <w:sz w:val="18"/>
                <w:szCs w:val="18"/>
                <w:lang w:eastAsia="hr-HR"/>
              </w:rPr>
            </w:pPr>
            <w:r w:rsidRPr="001B4CA2">
              <w:rPr>
                <w:rFonts w:asciiTheme="majorHAnsi" w:hAnsiTheme="majorHAnsi" w:cstheme="majorHAnsi"/>
                <w:color w:val="000000"/>
                <w:sz w:val="18"/>
                <w:szCs w:val="18"/>
              </w:rPr>
              <w:t>867.218.767,53</w:t>
            </w:r>
            <w:r w:rsidR="00FD08E9">
              <w:rPr>
                <w:rFonts w:asciiTheme="majorHAnsi" w:hAnsiTheme="majorHAnsi" w:cstheme="majorHAnsi"/>
                <w:color w:val="000000"/>
                <w:sz w:val="18"/>
                <w:szCs w:val="18"/>
              </w:rPr>
              <w:t xml:space="preserve"> </w:t>
            </w:r>
          </w:p>
        </w:tc>
        <w:tc>
          <w:tcPr>
            <w:tcW w:w="1276" w:type="dxa"/>
            <w:shd w:val="clear" w:color="auto" w:fill="auto"/>
            <w:noWrap/>
            <w:vAlign w:val="center"/>
          </w:tcPr>
          <w:p w14:paraId="0C44C91A" w14:textId="5B4849B5" w:rsidR="00EE2ECA" w:rsidRPr="001B4CA2" w:rsidRDefault="004D2810" w:rsidP="00EE2ECA">
            <w:pPr>
              <w:jc w:val="center"/>
              <w:rPr>
                <w:rFonts w:eastAsia="Times New Roman" w:cstheme="minorHAnsi"/>
                <w:sz w:val="18"/>
                <w:szCs w:val="18"/>
                <w:lang w:eastAsia="hr-HR"/>
              </w:rPr>
            </w:pPr>
            <w:r w:rsidRPr="001B4CA2">
              <w:rPr>
                <w:rFonts w:eastAsia="Times New Roman" w:cstheme="minorHAnsi"/>
                <w:color w:val="000000"/>
                <w:sz w:val="18"/>
                <w:szCs w:val="18"/>
                <w:lang w:eastAsia="hr-HR"/>
              </w:rPr>
              <w:t>155</w:t>
            </w:r>
          </w:p>
        </w:tc>
        <w:tc>
          <w:tcPr>
            <w:tcW w:w="1572" w:type="dxa"/>
            <w:vAlign w:val="center"/>
          </w:tcPr>
          <w:p w14:paraId="11061F52" w14:textId="51544995" w:rsidR="00EE2ECA" w:rsidRPr="001B4CA2" w:rsidRDefault="004D2810" w:rsidP="00EE2ECA">
            <w:pPr>
              <w:jc w:val="center"/>
              <w:rPr>
                <w:rFonts w:eastAsia="Times New Roman" w:cstheme="minorHAnsi"/>
                <w:sz w:val="18"/>
                <w:szCs w:val="18"/>
                <w:lang w:eastAsia="hr-HR"/>
              </w:rPr>
            </w:pPr>
            <w:r w:rsidRPr="001B4CA2">
              <w:rPr>
                <w:bCs/>
                <w:color w:val="000000"/>
                <w:sz w:val="18"/>
                <w:szCs w:val="18"/>
              </w:rPr>
              <w:t>63.812.349,52</w:t>
            </w:r>
            <w:r w:rsidR="00FD08E9">
              <w:rPr>
                <w:bCs/>
                <w:color w:val="000000"/>
                <w:sz w:val="18"/>
                <w:szCs w:val="18"/>
              </w:rPr>
              <w:t xml:space="preserve"> </w:t>
            </w:r>
          </w:p>
        </w:tc>
      </w:tr>
    </w:tbl>
    <w:p w14:paraId="432FEBCE" w14:textId="77777777" w:rsidR="00A953CB" w:rsidRPr="001B4CA2" w:rsidRDefault="00A953CB" w:rsidP="00A953CB">
      <w:pPr>
        <w:rPr>
          <w:rFonts w:eastAsia="Arial" w:cs="Times New Roman"/>
        </w:rPr>
      </w:pPr>
    </w:p>
    <w:p w14:paraId="42E6391D" w14:textId="0A6A8803" w:rsidR="004D2810" w:rsidRPr="001B4CA2" w:rsidRDefault="00EC75BB" w:rsidP="004D2810">
      <w:pPr>
        <w:rPr>
          <w:rFonts w:eastAsia="Arial"/>
        </w:rPr>
      </w:pPr>
      <w:r w:rsidRPr="001B4CA2">
        <w:rPr>
          <w:rFonts w:eastAsia="Arial"/>
        </w:rPr>
        <w:tab/>
      </w:r>
      <w:r w:rsidR="004D2810" w:rsidRPr="001B4CA2">
        <w:rPr>
          <w:rFonts w:eastAsia="Arial"/>
        </w:rPr>
        <w:t xml:space="preserve">U izvještajnom razdoblju u predmetima Ureda za suzbijanje korupcije i organiziranog kriminaliteta od ukupno 155 osoba oduzeta je imovinska korist u iznosu od </w:t>
      </w:r>
      <w:r w:rsidR="004D2810" w:rsidRPr="001B4CA2">
        <w:rPr>
          <w:rFonts w:eastAsia="Arial"/>
          <w:bCs/>
        </w:rPr>
        <w:t xml:space="preserve">63.812.349,52 </w:t>
      </w:r>
      <w:r w:rsidR="004D2810" w:rsidRPr="001B4CA2">
        <w:rPr>
          <w:rFonts w:eastAsia="Arial"/>
        </w:rPr>
        <w:t>k</w:t>
      </w:r>
      <w:r w:rsidR="00E6050A" w:rsidRPr="001B4CA2">
        <w:rPr>
          <w:rFonts w:eastAsia="Arial"/>
        </w:rPr>
        <w:t>n</w:t>
      </w:r>
      <w:r w:rsidR="003B7B56">
        <w:rPr>
          <w:rFonts w:eastAsia="Arial"/>
        </w:rPr>
        <w:t> </w:t>
      </w:r>
      <w:r w:rsidR="00E6050A" w:rsidRPr="001B4CA2">
        <w:rPr>
          <w:rFonts w:eastAsia="Arial"/>
        </w:rPr>
        <w:t>/</w:t>
      </w:r>
      <w:r w:rsidR="001C297A" w:rsidRPr="001B4CA2">
        <w:rPr>
          <w:rFonts w:eastAsia="Arial"/>
        </w:rPr>
        <w:t xml:space="preserve"> </w:t>
      </w:r>
      <w:r w:rsidR="00E6050A" w:rsidRPr="001B4CA2">
        <w:rPr>
          <w:rFonts w:eastAsia="Arial"/>
        </w:rPr>
        <w:t>8</w:t>
      </w:r>
      <w:r w:rsidR="00F879D8">
        <w:rPr>
          <w:rFonts w:eastAsia="Arial"/>
        </w:rPr>
        <w:t>.</w:t>
      </w:r>
      <w:r w:rsidR="005D30E9">
        <w:rPr>
          <w:rFonts w:eastAsia="Arial"/>
        </w:rPr>
        <w:t>469</w:t>
      </w:r>
      <w:r w:rsidR="00F879D8">
        <w:rPr>
          <w:rFonts w:eastAsia="Arial"/>
        </w:rPr>
        <w:t>.354,24</w:t>
      </w:r>
      <w:r w:rsidR="00E6050A" w:rsidRPr="001B4CA2">
        <w:rPr>
          <w:rFonts w:eastAsia="Arial"/>
        </w:rPr>
        <w:t xml:space="preserve"> EUR</w:t>
      </w:r>
      <w:r w:rsidR="004D2810" w:rsidRPr="001B4CA2">
        <w:rPr>
          <w:rFonts w:eastAsia="Arial"/>
        </w:rPr>
        <w:t>, što predstavlja povećanje od 15,69</w:t>
      </w:r>
      <w:r w:rsidR="003B7B56">
        <w:rPr>
          <w:rFonts w:eastAsia="Arial"/>
        </w:rPr>
        <w:t> </w:t>
      </w:r>
      <w:r w:rsidR="004D2810" w:rsidRPr="001B4CA2">
        <w:rPr>
          <w:rFonts w:eastAsia="Arial"/>
        </w:rPr>
        <w:t xml:space="preserve">% u odnosu na 2021. godinu, kada je od 140 osoba oduzeto </w:t>
      </w:r>
      <w:r w:rsidR="004D2810" w:rsidRPr="001B4CA2">
        <w:rPr>
          <w:rFonts w:eastAsia="Arial"/>
          <w:bCs/>
        </w:rPr>
        <w:t>55.156.078,49</w:t>
      </w:r>
      <w:r w:rsidR="004D2810" w:rsidRPr="001B4CA2">
        <w:rPr>
          <w:rFonts w:eastAsia="Arial"/>
          <w:b/>
          <w:bCs/>
        </w:rPr>
        <w:t xml:space="preserve"> </w:t>
      </w:r>
      <w:r w:rsidR="004D2810" w:rsidRPr="001B4CA2">
        <w:rPr>
          <w:rFonts w:eastAsia="Arial"/>
        </w:rPr>
        <w:t>k</w:t>
      </w:r>
      <w:r w:rsidR="00E6050A" w:rsidRPr="001B4CA2">
        <w:rPr>
          <w:rFonts w:eastAsia="Arial"/>
        </w:rPr>
        <w:t>n</w:t>
      </w:r>
      <w:r w:rsidR="003B7B56">
        <w:rPr>
          <w:rFonts w:eastAsia="Arial"/>
        </w:rPr>
        <w:t> </w:t>
      </w:r>
      <w:r w:rsidR="00E6050A" w:rsidRPr="001B4CA2">
        <w:rPr>
          <w:rFonts w:eastAsia="Arial"/>
        </w:rPr>
        <w:t>/</w:t>
      </w:r>
      <w:r w:rsidR="001C297A" w:rsidRPr="001B4CA2">
        <w:rPr>
          <w:rFonts w:eastAsia="Arial"/>
        </w:rPr>
        <w:t xml:space="preserve"> </w:t>
      </w:r>
      <w:r w:rsidR="00E6050A" w:rsidRPr="001B4CA2">
        <w:rPr>
          <w:rFonts w:eastAsia="Arial"/>
        </w:rPr>
        <w:t>7.320.469,64 EUR</w:t>
      </w:r>
      <w:r w:rsidR="004D2810" w:rsidRPr="001B4CA2">
        <w:rPr>
          <w:rFonts w:eastAsia="Arial"/>
        </w:rPr>
        <w:t xml:space="preserve">. </w:t>
      </w:r>
    </w:p>
    <w:p w14:paraId="565D8C22" w14:textId="77777777" w:rsidR="00255799" w:rsidRPr="001B4CA2" w:rsidRDefault="00255799" w:rsidP="004D2810">
      <w:pPr>
        <w:rPr>
          <w:rFonts w:eastAsia="Arial"/>
        </w:rPr>
      </w:pPr>
    </w:p>
    <w:p w14:paraId="1529ECEC" w14:textId="32E2A560" w:rsidR="004D2810" w:rsidRPr="001B4CA2" w:rsidRDefault="004D2810" w:rsidP="004D2810">
      <w:pPr>
        <w:ind w:firstLine="708"/>
        <w:rPr>
          <w:rFonts w:eastAsia="Arial"/>
        </w:rPr>
      </w:pPr>
      <w:r w:rsidRPr="001B4CA2">
        <w:rPr>
          <w:rFonts w:eastAsia="Arial"/>
        </w:rPr>
        <w:lastRenderedPageBreak/>
        <w:t>Od ukupno oduzete imovinske koristi 48,08</w:t>
      </w:r>
      <w:r w:rsidR="003B7B56">
        <w:rPr>
          <w:rFonts w:eastAsia="Arial"/>
        </w:rPr>
        <w:t> </w:t>
      </w:r>
      <w:r w:rsidRPr="001B4CA2">
        <w:rPr>
          <w:rFonts w:eastAsia="Arial"/>
        </w:rPr>
        <w:t>%, odnosno 30.680.691,10 k</w:t>
      </w:r>
      <w:r w:rsidR="00E6050A" w:rsidRPr="001B4CA2">
        <w:rPr>
          <w:rFonts w:eastAsia="Arial"/>
        </w:rPr>
        <w:t>n</w:t>
      </w:r>
      <w:r w:rsidR="003B7B56">
        <w:rPr>
          <w:rFonts w:eastAsia="Arial"/>
        </w:rPr>
        <w:t> </w:t>
      </w:r>
      <w:r w:rsidR="00E6050A" w:rsidRPr="001B4CA2">
        <w:rPr>
          <w:rFonts w:eastAsia="Arial"/>
        </w:rPr>
        <w:t>/</w:t>
      </w:r>
      <w:r w:rsidR="001C297A" w:rsidRPr="001B4CA2">
        <w:rPr>
          <w:rFonts w:eastAsia="Arial"/>
        </w:rPr>
        <w:t xml:space="preserve"> </w:t>
      </w:r>
      <w:r w:rsidR="00E6050A" w:rsidRPr="001B4CA2">
        <w:rPr>
          <w:rFonts w:eastAsia="Arial"/>
        </w:rPr>
        <w:t>4.072.027,49 EUR</w:t>
      </w:r>
      <w:r w:rsidRPr="001B4CA2">
        <w:rPr>
          <w:rFonts w:eastAsia="Arial"/>
        </w:rPr>
        <w:t>, odnosi se na kaznena djela korupcije, a ostali iznos od 33.131.658,42 k</w:t>
      </w:r>
      <w:r w:rsidR="00E6050A" w:rsidRPr="001B4CA2">
        <w:rPr>
          <w:rFonts w:eastAsia="Arial"/>
        </w:rPr>
        <w:t>n</w:t>
      </w:r>
      <w:r w:rsidR="003B7B56">
        <w:rPr>
          <w:rFonts w:eastAsia="Arial"/>
        </w:rPr>
        <w:t> </w:t>
      </w:r>
      <w:r w:rsidR="00E6050A" w:rsidRPr="001B4CA2">
        <w:rPr>
          <w:rFonts w:eastAsia="Arial"/>
        </w:rPr>
        <w:t>/</w:t>
      </w:r>
      <w:r w:rsidR="001C297A" w:rsidRPr="001B4CA2">
        <w:rPr>
          <w:rFonts w:eastAsia="Arial"/>
        </w:rPr>
        <w:t xml:space="preserve"> </w:t>
      </w:r>
      <w:r w:rsidR="00F879D8">
        <w:rPr>
          <w:rFonts w:eastAsia="Arial"/>
        </w:rPr>
        <w:t>4.397.326,75</w:t>
      </w:r>
      <w:r w:rsidR="00E6050A" w:rsidRPr="001B4CA2">
        <w:rPr>
          <w:rFonts w:eastAsia="Arial"/>
        </w:rPr>
        <w:t xml:space="preserve"> EUR</w:t>
      </w:r>
      <w:r w:rsidRPr="001B4CA2">
        <w:rPr>
          <w:rFonts w:eastAsia="Arial"/>
        </w:rPr>
        <w:t>, što predstavlja 51,92</w:t>
      </w:r>
      <w:r w:rsidR="003B7B56">
        <w:rPr>
          <w:rFonts w:eastAsia="Arial"/>
        </w:rPr>
        <w:t> </w:t>
      </w:r>
      <w:r w:rsidRPr="001B4CA2">
        <w:rPr>
          <w:rFonts w:eastAsia="Arial"/>
        </w:rPr>
        <w:t>%, odnosi se na organizirani kriminal. Iz navedenog</w:t>
      </w:r>
      <w:r w:rsidR="003B7B56">
        <w:rPr>
          <w:rFonts w:eastAsia="Arial"/>
        </w:rPr>
        <w:t>a</w:t>
      </w:r>
      <w:r w:rsidRPr="001B4CA2">
        <w:rPr>
          <w:rFonts w:eastAsia="Arial"/>
        </w:rPr>
        <w:t xml:space="preserve"> proizlazi da</w:t>
      </w:r>
      <w:r w:rsidRPr="001B4CA2">
        <w:rPr>
          <w:rFonts w:eastAsia="Arial"/>
          <w:i/>
        </w:rPr>
        <w:t xml:space="preserve"> </w:t>
      </w:r>
      <w:r w:rsidRPr="001B4CA2">
        <w:rPr>
          <w:rFonts w:eastAsia="Arial"/>
        </w:rPr>
        <w:t>su u oduzetoj imovinskoj koristi gotovo podjednako zastupljena kaznena djela korupcije i organiziranog kriminala.</w:t>
      </w:r>
    </w:p>
    <w:p w14:paraId="54A63CB5" w14:textId="77777777" w:rsidR="00E6050A" w:rsidRPr="001B4CA2" w:rsidRDefault="00E6050A" w:rsidP="004D2810">
      <w:pPr>
        <w:ind w:firstLine="708"/>
        <w:rPr>
          <w:rFonts w:eastAsia="Arial"/>
        </w:rPr>
      </w:pPr>
    </w:p>
    <w:p w14:paraId="0472D5FB" w14:textId="02722E07" w:rsidR="004D2810" w:rsidRPr="001B4CA2" w:rsidRDefault="004D2810" w:rsidP="004D2810">
      <w:pPr>
        <w:ind w:firstLine="708"/>
        <w:rPr>
          <w:rFonts w:eastAsia="Arial"/>
          <w:iCs/>
        </w:rPr>
      </w:pPr>
      <w:r w:rsidRPr="001B4CA2">
        <w:rPr>
          <w:rFonts w:eastAsia="Arial"/>
        </w:rPr>
        <w:t>Najveći iznos protupravne imovinske koristi od 22.953.305,72 k</w:t>
      </w:r>
      <w:r w:rsidR="00E6050A" w:rsidRPr="001B4CA2">
        <w:rPr>
          <w:rFonts w:eastAsia="Arial"/>
        </w:rPr>
        <w:t>n</w:t>
      </w:r>
      <w:r w:rsidR="003B7B56">
        <w:rPr>
          <w:rFonts w:eastAsia="Arial"/>
        </w:rPr>
        <w:t> </w:t>
      </w:r>
      <w:r w:rsidR="00E6050A" w:rsidRPr="001B4CA2">
        <w:rPr>
          <w:rFonts w:eastAsia="Arial"/>
        </w:rPr>
        <w:t>/</w:t>
      </w:r>
      <w:r w:rsidR="001C297A" w:rsidRPr="001B4CA2">
        <w:rPr>
          <w:rFonts w:eastAsia="Arial"/>
        </w:rPr>
        <w:t xml:space="preserve"> </w:t>
      </w:r>
      <w:r w:rsidR="00F879D8">
        <w:rPr>
          <w:rFonts w:eastAsia="Arial"/>
        </w:rPr>
        <w:t>3.046.427,20</w:t>
      </w:r>
      <w:r w:rsidR="00E6050A" w:rsidRPr="001B4CA2">
        <w:rPr>
          <w:rFonts w:eastAsia="Arial"/>
        </w:rPr>
        <w:t xml:space="preserve"> EUR</w:t>
      </w:r>
      <w:r w:rsidRPr="001B4CA2">
        <w:rPr>
          <w:rFonts w:eastAsia="Arial"/>
        </w:rPr>
        <w:t xml:space="preserve"> oduzet je u predmetima zbog kaznenog djela zlouporabe položaja i ovlasti. U predmetima zbog kaznenog djela n</w:t>
      </w:r>
      <w:r w:rsidRPr="001B4CA2">
        <w:rPr>
          <w:rFonts w:eastAsia="Arial"/>
          <w:iCs/>
        </w:rPr>
        <w:t>eovlaštene proizvodnje i prometa drogama od 25 osoba oduzeto je 4.632.522,07 k</w:t>
      </w:r>
      <w:r w:rsidR="00E6050A" w:rsidRPr="001B4CA2">
        <w:rPr>
          <w:rFonts w:eastAsia="Arial"/>
          <w:iCs/>
        </w:rPr>
        <w:t>n</w:t>
      </w:r>
      <w:r w:rsidR="003B7B56">
        <w:rPr>
          <w:rFonts w:eastAsia="Arial"/>
          <w:iCs/>
        </w:rPr>
        <w:t xml:space="preserve"> </w:t>
      </w:r>
      <w:r w:rsidR="00E6050A" w:rsidRPr="001B4CA2">
        <w:rPr>
          <w:rFonts w:eastAsia="Arial"/>
          <w:iCs/>
        </w:rPr>
        <w:t>/</w:t>
      </w:r>
      <w:r w:rsidR="001C297A" w:rsidRPr="001B4CA2">
        <w:rPr>
          <w:rFonts w:eastAsia="Arial"/>
          <w:iCs/>
        </w:rPr>
        <w:t xml:space="preserve"> </w:t>
      </w:r>
      <w:r w:rsidR="00E6050A" w:rsidRPr="001B4CA2">
        <w:rPr>
          <w:rFonts w:eastAsia="Arial"/>
          <w:iCs/>
        </w:rPr>
        <w:t>614.8</w:t>
      </w:r>
      <w:r w:rsidR="00F879D8">
        <w:rPr>
          <w:rFonts w:eastAsia="Arial"/>
          <w:iCs/>
        </w:rPr>
        <w:t>41</w:t>
      </w:r>
      <w:r w:rsidR="00E6050A" w:rsidRPr="001B4CA2">
        <w:rPr>
          <w:rFonts w:eastAsia="Arial"/>
          <w:iCs/>
        </w:rPr>
        <w:t>,</w:t>
      </w:r>
      <w:r w:rsidR="00F879D8">
        <w:rPr>
          <w:rFonts w:eastAsia="Arial"/>
          <w:iCs/>
        </w:rPr>
        <w:t>34</w:t>
      </w:r>
      <w:r w:rsidR="00E6050A" w:rsidRPr="001B4CA2">
        <w:rPr>
          <w:rFonts w:eastAsia="Arial"/>
          <w:iCs/>
        </w:rPr>
        <w:t xml:space="preserve"> EUR</w:t>
      </w:r>
      <w:r w:rsidRPr="001B4CA2">
        <w:rPr>
          <w:rFonts w:eastAsia="Arial"/>
          <w:iCs/>
        </w:rPr>
        <w:t>, dok je od 10 osoba u kaznenim predmetima zbog kaznenog djela utaje poreza ili carine oduzeto 11.231.600,33 k</w:t>
      </w:r>
      <w:r w:rsidR="00E6050A" w:rsidRPr="001B4CA2">
        <w:rPr>
          <w:rFonts w:eastAsia="Arial"/>
          <w:iCs/>
        </w:rPr>
        <w:t>n</w:t>
      </w:r>
      <w:r w:rsidR="003B7B56">
        <w:rPr>
          <w:rFonts w:eastAsia="Arial"/>
          <w:iCs/>
        </w:rPr>
        <w:t xml:space="preserve"> </w:t>
      </w:r>
      <w:r w:rsidR="00E6050A" w:rsidRPr="001B4CA2">
        <w:rPr>
          <w:rFonts w:eastAsia="Arial"/>
          <w:iCs/>
        </w:rPr>
        <w:t>/</w:t>
      </w:r>
      <w:r w:rsidR="001C297A" w:rsidRPr="001B4CA2">
        <w:rPr>
          <w:rFonts w:eastAsia="Arial"/>
          <w:iCs/>
        </w:rPr>
        <w:t xml:space="preserve"> </w:t>
      </w:r>
      <w:r w:rsidR="00E6050A" w:rsidRPr="001B4CA2">
        <w:rPr>
          <w:rFonts w:eastAsia="Arial"/>
          <w:iCs/>
        </w:rPr>
        <w:t>1.490.689,54 EUR</w:t>
      </w:r>
      <w:r w:rsidRPr="001B4CA2">
        <w:rPr>
          <w:rFonts w:eastAsia="Arial"/>
          <w:iCs/>
        </w:rPr>
        <w:t xml:space="preserve">.  </w:t>
      </w:r>
    </w:p>
    <w:p w14:paraId="06D28DC9" w14:textId="77777777" w:rsidR="00255799" w:rsidRPr="001B4CA2" w:rsidRDefault="00255799" w:rsidP="004D2810">
      <w:pPr>
        <w:ind w:firstLine="708"/>
        <w:rPr>
          <w:rFonts w:eastAsia="Arial"/>
          <w:iCs/>
        </w:rPr>
      </w:pPr>
    </w:p>
    <w:p w14:paraId="4487B328" w14:textId="3E9CD72A" w:rsidR="004D2810" w:rsidRPr="001B4CA2" w:rsidRDefault="004D2810" w:rsidP="004D2810">
      <w:pPr>
        <w:rPr>
          <w:rFonts w:eastAsia="Arial"/>
        </w:rPr>
      </w:pPr>
      <w:r w:rsidRPr="001B4CA2">
        <w:rPr>
          <w:rFonts w:eastAsia="Arial"/>
          <w:i/>
        </w:rPr>
        <w:tab/>
      </w:r>
      <w:r w:rsidRPr="001B4CA2">
        <w:rPr>
          <w:rFonts w:eastAsia="Arial"/>
        </w:rPr>
        <w:t>Analizirajući broj osoba od kojih je oduzeta</w:t>
      </w:r>
      <w:r w:rsidRPr="001B4CA2">
        <w:rPr>
          <w:rFonts w:eastAsia="Arial"/>
          <w:i/>
        </w:rPr>
        <w:t xml:space="preserve"> </w:t>
      </w:r>
      <w:r w:rsidRPr="001B4CA2">
        <w:rPr>
          <w:rFonts w:eastAsia="Arial"/>
        </w:rPr>
        <w:t>imovinska korist</w:t>
      </w:r>
      <w:r w:rsidR="003B7B56">
        <w:rPr>
          <w:rFonts w:eastAsia="Arial"/>
        </w:rPr>
        <w:t>,</w:t>
      </w:r>
      <w:r w:rsidRPr="001B4CA2">
        <w:rPr>
          <w:rFonts w:eastAsia="Arial"/>
        </w:rPr>
        <w:t xml:space="preserve"> najviše je bilo oduzimanja imovinske koristi pribavljene počinjenjem kaznenih djela zločinačkog udruženja i počinjenja kaznenog djela u sastavu zločinačkog udruženje iz čl. 328. i 329. Kaznenog zakona/11, i to od 106 osoba (od ukupno 155 osoba) imovinska korist oduzeta je zbog počinjenja kaznenog djela ne</w:t>
      </w:r>
      <w:r w:rsidR="00F47D60">
        <w:rPr>
          <w:rFonts w:eastAsia="Arial"/>
        </w:rPr>
        <w:t>dopušten</w:t>
      </w:r>
      <w:r w:rsidRPr="001B4CA2">
        <w:rPr>
          <w:rFonts w:eastAsia="Arial"/>
        </w:rPr>
        <w:t xml:space="preserve">e trgovine </w:t>
      </w:r>
      <w:r w:rsidRPr="001B4CA2">
        <w:rPr>
          <w:rFonts w:eastAsia="Arial"/>
          <w:iCs/>
        </w:rPr>
        <w:t xml:space="preserve">iz članka 264. Kaznenog zakona/11, </w:t>
      </w:r>
      <w:r w:rsidRPr="001B4CA2">
        <w:rPr>
          <w:rFonts w:eastAsia="Arial"/>
        </w:rPr>
        <w:t>n</w:t>
      </w:r>
      <w:r w:rsidRPr="001B4CA2">
        <w:rPr>
          <w:rFonts w:eastAsia="Arial"/>
          <w:iCs/>
        </w:rPr>
        <w:t xml:space="preserve">eovlaštene proizvodnje i prometa drogama iz članka 190. Kaznenog zakona/11, </w:t>
      </w:r>
      <w:r w:rsidRPr="001B4CA2">
        <w:rPr>
          <w:rFonts w:eastAsia="Arial"/>
        </w:rPr>
        <w:t xml:space="preserve">utaje poreza ili carine iz </w:t>
      </w:r>
      <w:r w:rsidRPr="001B4CA2">
        <w:rPr>
          <w:rFonts w:eastAsia="Arial"/>
          <w:iCs/>
        </w:rPr>
        <w:t xml:space="preserve">članka </w:t>
      </w:r>
      <w:r w:rsidRPr="001B4CA2">
        <w:rPr>
          <w:rFonts w:eastAsia="Arial"/>
        </w:rPr>
        <w:t xml:space="preserve">256. Kaznenog zakona/11, izbjegavanja carinskog nadzora iz članka 257. Kaznenog zakona/11, protuzakonitog ulaženja, kretanja i boravka u Republici Hrvatskoj, drugoj državi članici Europske unije ili potpisnici Šengenskog sporazuma iz </w:t>
      </w:r>
      <w:r w:rsidRPr="001B4CA2">
        <w:rPr>
          <w:rFonts w:eastAsia="Arial"/>
          <w:iCs/>
        </w:rPr>
        <w:t xml:space="preserve">članka </w:t>
      </w:r>
      <w:r w:rsidRPr="001B4CA2">
        <w:rPr>
          <w:rFonts w:eastAsia="Arial"/>
        </w:rPr>
        <w:t xml:space="preserve">326. Kaznenog zakona/11, zlouporabe povjerenja u gospodarskom poslovanju iz </w:t>
      </w:r>
      <w:r w:rsidRPr="001B4CA2">
        <w:rPr>
          <w:rFonts w:eastAsia="Arial"/>
          <w:iCs/>
        </w:rPr>
        <w:t xml:space="preserve">članka </w:t>
      </w:r>
      <w:r w:rsidRPr="001B4CA2">
        <w:rPr>
          <w:rFonts w:eastAsia="Arial"/>
        </w:rPr>
        <w:t>246. Kaznenog zakona/11 te n</w:t>
      </w:r>
      <w:r w:rsidRPr="001B4CA2">
        <w:rPr>
          <w:rFonts w:eastAsia="Arial"/>
          <w:iCs/>
        </w:rPr>
        <w:t>e</w:t>
      </w:r>
      <w:r w:rsidR="00F47D60">
        <w:rPr>
          <w:rFonts w:eastAsia="Arial"/>
          <w:iCs/>
        </w:rPr>
        <w:t>dopušten</w:t>
      </w:r>
      <w:r w:rsidRPr="001B4CA2">
        <w:rPr>
          <w:rFonts w:eastAsia="Arial"/>
          <w:iCs/>
        </w:rPr>
        <w:t xml:space="preserve">og posjedovanja, izrade i nabavljanja oružja i eksplozivnih tvari iz članka 331. Kaznenog zakona/11, </w:t>
      </w:r>
      <w:r w:rsidRPr="001B4CA2">
        <w:rPr>
          <w:rFonts w:eastAsia="Arial"/>
        </w:rPr>
        <w:t xml:space="preserve">koja su počinjena u sastavu zločinačkog udruženja. Od ostalih 49 osoba imovinska je </w:t>
      </w:r>
      <w:r w:rsidR="003B7B56" w:rsidRPr="001B4CA2">
        <w:rPr>
          <w:rFonts w:eastAsia="Arial"/>
        </w:rPr>
        <w:t xml:space="preserve">korist </w:t>
      </w:r>
      <w:r w:rsidRPr="001B4CA2">
        <w:rPr>
          <w:rFonts w:eastAsia="Arial"/>
        </w:rPr>
        <w:t xml:space="preserve">oduzeta zbog počinjenja koruptivnih kaznenih djela, odnosno zlouporabe položaja i ovlasti iz članka 291. Kaznenog zakona, primanja mita iz članka 293. Kaznenog zakona/11 i trgovanja utjecajem iz članka 295. stavak 3. Kaznenog zakona/11. </w:t>
      </w:r>
    </w:p>
    <w:p w14:paraId="51323F97" w14:textId="77777777" w:rsidR="0020162B" w:rsidRPr="001B4CA2" w:rsidRDefault="0020162B" w:rsidP="004D2810">
      <w:pPr>
        <w:rPr>
          <w:rFonts w:eastAsia="Arial"/>
        </w:rPr>
      </w:pPr>
    </w:p>
    <w:p w14:paraId="24F0EF7B" w14:textId="1C0A16A7" w:rsidR="004D2810" w:rsidRPr="001B4CA2" w:rsidRDefault="004D2810" w:rsidP="004D2810">
      <w:pPr>
        <w:rPr>
          <w:rFonts w:eastAsia="Arial"/>
          <w:bCs/>
        </w:rPr>
      </w:pPr>
      <w:r w:rsidRPr="001B4CA2">
        <w:rPr>
          <w:rFonts w:eastAsia="Arial"/>
        </w:rPr>
        <w:tab/>
        <w:t>Tijekom 2022. godine temeljem 20 zahtjeva Ureda određeno je 20 privremenih mjera osiguranja oduzimanja imovinske koristi na nekretninama, pokretninama i novčanim sredstvima okvirne vrijednosti od 858.945.123,20 k</w:t>
      </w:r>
      <w:r w:rsidR="00E6050A" w:rsidRPr="001B4CA2">
        <w:rPr>
          <w:rFonts w:eastAsia="Arial"/>
        </w:rPr>
        <w:t>n</w:t>
      </w:r>
      <w:r w:rsidR="003B7B56">
        <w:rPr>
          <w:rFonts w:eastAsia="Arial"/>
        </w:rPr>
        <w:t xml:space="preserve"> </w:t>
      </w:r>
      <w:r w:rsidR="00E6050A" w:rsidRPr="001B4CA2">
        <w:rPr>
          <w:rFonts w:eastAsia="Arial"/>
        </w:rPr>
        <w:t>/</w:t>
      </w:r>
      <w:r w:rsidR="003B7B56">
        <w:rPr>
          <w:rFonts w:eastAsia="Arial"/>
        </w:rPr>
        <w:t xml:space="preserve"> </w:t>
      </w:r>
      <w:r w:rsidR="00E6050A" w:rsidRPr="001B4CA2">
        <w:rPr>
          <w:rFonts w:eastAsia="Arial"/>
        </w:rPr>
        <w:t>114.001</w:t>
      </w:r>
      <w:r w:rsidR="00F879D8">
        <w:rPr>
          <w:rFonts w:eastAsia="Arial"/>
        </w:rPr>
        <w:t>.</w:t>
      </w:r>
      <w:r w:rsidR="00E6050A" w:rsidRPr="001B4CA2">
        <w:rPr>
          <w:rFonts w:eastAsia="Arial"/>
        </w:rPr>
        <w:t>60</w:t>
      </w:r>
      <w:r w:rsidR="00F879D8">
        <w:rPr>
          <w:rFonts w:eastAsia="Arial"/>
        </w:rPr>
        <w:t>9,03</w:t>
      </w:r>
      <w:r w:rsidR="00E6050A" w:rsidRPr="001B4CA2">
        <w:rPr>
          <w:rFonts w:eastAsia="Arial"/>
        </w:rPr>
        <w:t xml:space="preserve"> EUR</w:t>
      </w:r>
      <w:r w:rsidRPr="001B4CA2">
        <w:rPr>
          <w:rFonts w:eastAsia="Arial"/>
        </w:rPr>
        <w:t>, dok su uz potvrde o privremenom oduzimanju u 23 predmeta oduzeta novčana sredstva u raznim valutama u protuvrijednosti u kunama u iznosu oko 6.707.135,20 k</w:t>
      </w:r>
      <w:r w:rsidR="00E6050A" w:rsidRPr="001B4CA2">
        <w:rPr>
          <w:rFonts w:eastAsia="Arial"/>
        </w:rPr>
        <w:t>n</w:t>
      </w:r>
      <w:r w:rsidR="003B7B56">
        <w:rPr>
          <w:rFonts w:eastAsia="Arial"/>
        </w:rPr>
        <w:t xml:space="preserve"> </w:t>
      </w:r>
      <w:r w:rsidR="00E6050A" w:rsidRPr="001B4CA2">
        <w:rPr>
          <w:rFonts w:eastAsia="Arial"/>
        </w:rPr>
        <w:t>/</w:t>
      </w:r>
      <w:r w:rsidR="001C297A" w:rsidRPr="001B4CA2">
        <w:rPr>
          <w:rFonts w:eastAsia="Arial"/>
        </w:rPr>
        <w:t xml:space="preserve"> </w:t>
      </w:r>
      <w:r w:rsidR="00E6050A" w:rsidRPr="001B4CA2">
        <w:rPr>
          <w:rFonts w:eastAsia="Arial"/>
        </w:rPr>
        <w:t>890.189,82 EUR</w:t>
      </w:r>
      <w:r w:rsidRPr="001B4CA2">
        <w:rPr>
          <w:rFonts w:eastAsia="Arial"/>
        </w:rPr>
        <w:t xml:space="preserve"> te pokretnine (osobni automobili, satovi itd.) u vrijednosti oko 1.566.509,13 k</w:t>
      </w:r>
      <w:r w:rsidR="00E6050A" w:rsidRPr="001B4CA2">
        <w:rPr>
          <w:rFonts w:eastAsia="Arial"/>
        </w:rPr>
        <w:t>n</w:t>
      </w:r>
      <w:r w:rsidR="003B7B56">
        <w:rPr>
          <w:rFonts w:eastAsia="Arial"/>
        </w:rPr>
        <w:t xml:space="preserve"> </w:t>
      </w:r>
      <w:r w:rsidR="00E6050A" w:rsidRPr="001B4CA2">
        <w:rPr>
          <w:rFonts w:eastAsia="Arial"/>
        </w:rPr>
        <w:t>/</w:t>
      </w:r>
      <w:r w:rsidR="001C297A" w:rsidRPr="001B4CA2">
        <w:rPr>
          <w:rFonts w:eastAsia="Arial"/>
        </w:rPr>
        <w:t xml:space="preserve"> </w:t>
      </w:r>
      <w:r w:rsidR="00E6050A" w:rsidRPr="001B4CA2">
        <w:rPr>
          <w:rFonts w:eastAsia="Arial"/>
        </w:rPr>
        <w:t>207.911,49 EUR</w:t>
      </w:r>
      <w:r w:rsidRPr="001B4CA2">
        <w:rPr>
          <w:rFonts w:eastAsia="Arial"/>
        </w:rPr>
        <w:t>, slijedom čega je privremeno osigurano oduzimanje imovinske koristi u ukupnom iznosu od oko 867.218.767,53 k</w:t>
      </w:r>
      <w:r w:rsidR="001D3643" w:rsidRPr="001B4CA2">
        <w:rPr>
          <w:rFonts w:eastAsia="Arial"/>
        </w:rPr>
        <w:t>n</w:t>
      </w:r>
      <w:r w:rsidR="003B7B56">
        <w:rPr>
          <w:rFonts w:eastAsia="Arial"/>
        </w:rPr>
        <w:t xml:space="preserve"> </w:t>
      </w:r>
      <w:r w:rsidR="001D3643" w:rsidRPr="001B4CA2">
        <w:rPr>
          <w:rFonts w:eastAsia="Arial"/>
        </w:rPr>
        <w:t>/</w:t>
      </w:r>
      <w:r w:rsidR="001C297A" w:rsidRPr="001B4CA2">
        <w:rPr>
          <w:rFonts w:eastAsia="Arial"/>
        </w:rPr>
        <w:t xml:space="preserve"> </w:t>
      </w:r>
      <w:r w:rsidR="001D3643" w:rsidRPr="001B4CA2">
        <w:rPr>
          <w:rFonts w:eastAsia="Arial"/>
        </w:rPr>
        <w:t>115.099</w:t>
      </w:r>
      <w:r w:rsidR="00F879D8">
        <w:rPr>
          <w:rFonts w:eastAsia="Arial"/>
        </w:rPr>
        <w:t>.710,34</w:t>
      </w:r>
      <w:r w:rsidR="001D3643" w:rsidRPr="001B4CA2">
        <w:rPr>
          <w:rFonts w:eastAsia="Arial"/>
        </w:rPr>
        <w:t xml:space="preserve"> EUR</w:t>
      </w:r>
      <w:r w:rsidRPr="001B4CA2">
        <w:rPr>
          <w:rFonts w:eastAsia="Arial"/>
        </w:rPr>
        <w:t>, što predstavlja povećanje od čak 1.766,46</w:t>
      </w:r>
      <w:r w:rsidR="003B7B56">
        <w:rPr>
          <w:rFonts w:eastAsia="Arial"/>
        </w:rPr>
        <w:t> </w:t>
      </w:r>
      <w:r w:rsidRPr="001B4CA2">
        <w:rPr>
          <w:rFonts w:eastAsia="Arial"/>
        </w:rPr>
        <w:t xml:space="preserve">% u odnosu na 2021. godinu u kojoj je osigurano oduzimanje imovinske koristi u iznosu od </w:t>
      </w:r>
      <w:r w:rsidRPr="001B4CA2">
        <w:rPr>
          <w:rFonts w:eastAsia="Arial"/>
          <w:bCs/>
        </w:rPr>
        <w:t>46.463.100,00 k</w:t>
      </w:r>
      <w:r w:rsidR="001D3643" w:rsidRPr="001B4CA2">
        <w:rPr>
          <w:rFonts w:eastAsia="Arial"/>
          <w:bCs/>
        </w:rPr>
        <w:t>n</w:t>
      </w:r>
      <w:r w:rsidR="003B7B56">
        <w:rPr>
          <w:rFonts w:eastAsia="Arial"/>
          <w:bCs/>
        </w:rPr>
        <w:t xml:space="preserve"> </w:t>
      </w:r>
      <w:r w:rsidR="001D3643" w:rsidRPr="001B4CA2">
        <w:rPr>
          <w:rFonts w:eastAsia="Arial"/>
          <w:bCs/>
        </w:rPr>
        <w:t>/</w:t>
      </w:r>
      <w:r w:rsidR="001C297A" w:rsidRPr="001B4CA2">
        <w:rPr>
          <w:rFonts w:eastAsia="Arial"/>
          <w:bCs/>
        </w:rPr>
        <w:t xml:space="preserve"> </w:t>
      </w:r>
      <w:r w:rsidR="001D3643" w:rsidRPr="001B4CA2">
        <w:rPr>
          <w:rFonts w:eastAsia="Arial"/>
          <w:bCs/>
        </w:rPr>
        <w:t>6.166</w:t>
      </w:r>
      <w:r w:rsidR="00F879D8">
        <w:rPr>
          <w:rFonts w:eastAsia="Arial"/>
          <w:bCs/>
        </w:rPr>
        <w:t>.</w:t>
      </w:r>
      <w:r w:rsidR="001D3643" w:rsidRPr="001B4CA2">
        <w:rPr>
          <w:rFonts w:eastAsia="Arial"/>
          <w:bCs/>
        </w:rPr>
        <w:t>71</w:t>
      </w:r>
      <w:r w:rsidR="00F879D8">
        <w:rPr>
          <w:rFonts w:eastAsia="Arial"/>
          <w:bCs/>
        </w:rPr>
        <w:t>3,12</w:t>
      </w:r>
      <w:r w:rsidR="001D3643" w:rsidRPr="001B4CA2">
        <w:rPr>
          <w:rFonts w:eastAsia="Arial"/>
          <w:bCs/>
        </w:rPr>
        <w:t xml:space="preserve"> EUR</w:t>
      </w:r>
      <w:r w:rsidRPr="001B4CA2">
        <w:rPr>
          <w:rFonts w:eastAsia="Arial"/>
          <w:bCs/>
        </w:rPr>
        <w:t>.</w:t>
      </w:r>
    </w:p>
    <w:p w14:paraId="16147C37" w14:textId="77777777" w:rsidR="0020162B" w:rsidRPr="001B4CA2" w:rsidRDefault="0020162B" w:rsidP="004D2810">
      <w:pPr>
        <w:rPr>
          <w:rFonts w:eastAsia="Arial"/>
          <w:bCs/>
        </w:rPr>
      </w:pPr>
    </w:p>
    <w:p w14:paraId="4A201561" w14:textId="470FEAD0" w:rsidR="004D2810" w:rsidRPr="001B4CA2" w:rsidRDefault="004D2810" w:rsidP="004D2810">
      <w:pPr>
        <w:ind w:firstLine="708"/>
        <w:rPr>
          <w:rFonts w:eastAsia="Arial"/>
        </w:rPr>
      </w:pPr>
      <w:r w:rsidRPr="001B4CA2">
        <w:rPr>
          <w:rFonts w:eastAsia="Arial"/>
        </w:rPr>
        <w:t>Od navedenog iznosa na kaznena djela organiziranog kriminala odnosi se 867.151.861,65 k</w:t>
      </w:r>
      <w:r w:rsidR="001D3643" w:rsidRPr="001B4CA2">
        <w:rPr>
          <w:rFonts w:eastAsia="Arial"/>
        </w:rPr>
        <w:t>n</w:t>
      </w:r>
      <w:r w:rsidR="003B7B56">
        <w:rPr>
          <w:rFonts w:eastAsia="Arial"/>
        </w:rPr>
        <w:t xml:space="preserve"> </w:t>
      </w:r>
      <w:r w:rsidR="001D3643" w:rsidRPr="001B4CA2">
        <w:rPr>
          <w:rFonts w:eastAsia="Arial"/>
        </w:rPr>
        <w:t>/</w:t>
      </w:r>
      <w:r w:rsidR="001C297A" w:rsidRPr="001B4CA2">
        <w:rPr>
          <w:rFonts w:eastAsia="Arial"/>
        </w:rPr>
        <w:t xml:space="preserve"> </w:t>
      </w:r>
      <w:r w:rsidR="001D3643" w:rsidRPr="001B4CA2">
        <w:rPr>
          <w:rFonts w:eastAsia="Arial"/>
        </w:rPr>
        <w:t>115.090</w:t>
      </w:r>
      <w:r w:rsidR="00F879D8">
        <w:rPr>
          <w:rFonts w:eastAsia="Arial"/>
        </w:rPr>
        <w:t>.</w:t>
      </w:r>
      <w:r w:rsidR="001D3643" w:rsidRPr="001B4CA2">
        <w:rPr>
          <w:rFonts w:eastAsia="Arial"/>
        </w:rPr>
        <w:t>83</w:t>
      </w:r>
      <w:r w:rsidR="00F879D8">
        <w:rPr>
          <w:rFonts w:eastAsia="Arial"/>
        </w:rPr>
        <w:t>0,40</w:t>
      </w:r>
      <w:r w:rsidR="001D3643" w:rsidRPr="001B4CA2">
        <w:rPr>
          <w:rFonts w:eastAsia="Arial"/>
        </w:rPr>
        <w:t xml:space="preserve"> EUR</w:t>
      </w:r>
      <w:r w:rsidRPr="001B4CA2">
        <w:rPr>
          <w:rFonts w:eastAsia="Arial"/>
        </w:rPr>
        <w:t>, što iznosi 99,99</w:t>
      </w:r>
      <w:r w:rsidR="003B7B56">
        <w:rPr>
          <w:rFonts w:eastAsia="Arial"/>
        </w:rPr>
        <w:t> </w:t>
      </w:r>
      <w:r w:rsidRPr="001B4CA2">
        <w:rPr>
          <w:rFonts w:eastAsia="Arial"/>
        </w:rPr>
        <w:t>% od ukupno zamrznute imovine, dok se na kaznena djela korupcije odnosi preostalih 0,01</w:t>
      </w:r>
      <w:r w:rsidR="003B7B56">
        <w:rPr>
          <w:rFonts w:eastAsia="Arial"/>
        </w:rPr>
        <w:t> </w:t>
      </w:r>
      <w:r w:rsidRPr="001B4CA2">
        <w:rPr>
          <w:rFonts w:eastAsia="Arial"/>
        </w:rPr>
        <w:t>%, odnosno 66.905,88 k</w:t>
      </w:r>
      <w:r w:rsidR="001D3643" w:rsidRPr="001B4CA2">
        <w:rPr>
          <w:rFonts w:eastAsia="Arial"/>
        </w:rPr>
        <w:t>n</w:t>
      </w:r>
      <w:r w:rsidR="003B7B56">
        <w:rPr>
          <w:rFonts w:eastAsia="Arial"/>
        </w:rPr>
        <w:t xml:space="preserve"> </w:t>
      </w:r>
      <w:r w:rsidR="001D3643" w:rsidRPr="001B4CA2">
        <w:rPr>
          <w:rFonts w:eastAsia="Arial"/>
        </w:rPr>
        <w:t>/</w:t>
      </w:r>
      <w:r w:rsidR="001C297A" w:rsidRPr="001B4CA2">
        <w:rPr>
          <w:rFonts w:eastAsia="Arial"/>
        </w:rPr>
        <w:t xml:space="preserve"> </w:t>
      </w:r>
      <w:r w:rsidR="001D3643" w:rsidRPr="001B4CA2">
        <w:rPr>
          <w:rFonts w:eastAsia="Arial"/>
        </w:rPr>
        <w:t>8.879,9</w:t>
      </w:r>
      <w:r w:rsidR="00F879D8">
        <w:rPr>
          <w:rFonts w:eastAsia="Arial"/>
        </w:rPr>
        <w:t>4</w:t>
      </w:r>
      <w:r w:rsidR="001D3643" w:rsidRPr="001B4CA2">
        <w:rPr>
          <w:rFonts w:eastAsia="Arial"/>
        </w:rPr>
        <w:t xml:space="preserve"> EUR</w:t>
      </w:r>
      <w:r w:rsidRPr="001B4CA2">
        <w:rPr>
          <w:rFonts w:eastAsia="Arial"/>
        </w:rPr>
        <w:t>.</w:t>
      </w:r>
    </w:p>
    <w:p w14:paraId="0B711185" w14:textId="77777777" w:rsidR="0020162B" w:rsidRPr="001B4CA2" w:rsidRDefault="0020162B" w:rsidP="004D2810">
      <w:pPr>
        <w:ind w:firstLine="708"/>
        <w:rPr>
          <w:rFonts w:eastAsia="Arial"/>
        </w:rPr>
      </w:pPr>
    </w:p>
    <w:p w14:paraId="4BE0FFF5" w14:textId="3843F2AD" w:rsidR="004D2810" w:rsidRPr="001B4CA2" w:rsidRDefault="004D2810" w:rsidP="004D2810">
      <w:pPr>
        <w:rPr>
          <w:rFonts w:eastAsia="Arial"/>
        </w:rPr>
      </w:pPr>
      <w:r w:rsidRPr="001B4CA2">
        <w:rPr>
          <w:rFonts w:eastAsia="Arial"/>
        </w:rPr>
        <w:tab/>
        <w:t xml:space="preserve">Privremene mjere najčešće </w:t>
      </w:r>
      <w:r w:rsidR="003B7B56" w:rsidRPr="001B4CA2">
        <w:rPr>
          <w:rFonts w:eastAsia="Arial"/>
        </w:rPr>
        <w:t xml:space="preserve">su </w:t>
      </w:r>
      <w:r w:rsidRPr="001B4CA2">
        <w:rPr>
          <w:rFonts w:eastAsia="Arial"/>
        </w:rPr>
        <w:t xml:space="preserve">određene u predmetima u kojima je imovinska korist pribavljena počinjenjem kaznenog djela utaje poreza ili carine iz članka 256. </w:t>
      </w:r>
      <w:r w:rsidRPr="001B4CA2">
        <w:rPr>
          <w:rFonts w:eastAsia="Arial"/>
        </w:rPr>
        <w:lastRenderedPageBreak/>
        <w:t>Kaznenog zakona/11 počinjenog u sastavu zločinačkog udruženja iz članka 329. Kaznenog zakona/11, zatim počinjenjem kaznenog djela n</w:t>
      </w:r>
      <w:r w:rsidRPr="001B4CA2">
        <w:rPr>
          <w:rFonts w:eastAsia="Arial"/>
          <w:iCs/>
        </w:rPr>
        <w:t>eovlaštene proizvodnje i prometa drogama iz članka 190. Kaznenog zakona/11 počinjenog u sastavu zločinačkog udruženja, kaznenog djela prijevare iz članka 236. Kaznenog zakona/11 počinjenog u sastavu zločinačkog udruženja, te kaznenog djela primanja mita iz članka 293. Kaznenog zakona/11 također počinjenog u sastavu zločinačkog udruženja</w:t>
      </w:r>
      <w:r w:rsidRPr="001B4CA2">
        <w:rPr>
          <w:rFonts w:eastAsia="Arial"/>
        </w:rPr>
        <w:t>. Međutim, valja istaknuti da je u samo jednom predmetu Ureda osigurano oduzimanje imovinske koristi pribavljene počinjenjem kaznenog djela zlouporabe povjerenja u gospodarskom poslovanju iz članka 246. Kaznenog zakona/11 počinjenog u sastavu zločinačkog udruženja iz članka 329. Kaznenog zakona/11 i kaznenog djela pranja novca u iz članka 265. Kaznenog zakona/11 u iznosu od čak 826.170.621,50 k</w:t>
      </w:r>
      <w:r w:rsidR="001D3643" w:rsidRPr="001B4CA2">
        <w:rPr>
          <w:rFonts w:eastAsia="Arial"/>
        </w:rPr>
        <w:t>n</w:t>
      </w:r>
      <w:r w:rsidR="003B7B56">
        <w:rPr>
          <w:rFonts w:eastAsia="Arial"/>
        </w:rPr>
        <w:t xml:space="preserve"> </w:t>
      </w:r>
      <w:r w:rsidR="001D3643" w:rsidRPr="001B4CA2">
        <w:rPr>
          <w:rFonts w:eastAsia="Arial"/>
        </w:rPr>
        <w:t>/</w:t>
      </w:r>
      <w:r w:rsidR="001C297A" w:rsidRPr="001B4CA2">
        <w:rPr>
          <w:rFonts w:eastAsia="Arial"/>
        </w:rPr>
        <w:t xml:space="preserve"> </w:t>
      </w:r>
      <w:r w:rsidR="001D3643" w:rsidRPr="001B4CA2">
        <w:rPr>
          <w:rFonts w:eastAsia="Arial"/>
        </w:rPr>
        <w:t>109.651</w:t>
      </w:r>
      <w:r w:rsidR="00F879D8">
        <w:rPr>
          <w:rFonts w:eastAsia="Arial"/>
        </w:rPr>
        <w:t>.</w:t>
      </w:r>
      <w:r w:rsidR="001D3643" w:rsidRPr="001B4CA2">
        <w:rPr>
          <w:rFonts w:eastAsia="Arial"/>
        </w:rPr>
        <w:t>68</w:t>
      </w:r>
      <w:r w:rsidR="00F879D8">
        <w:rPr>
          <w:rFonts w:eastAsia="Arial"/>
        </w:rPr>
        <w:t>5,12</w:t>
      </w:r>
      <w:r w:rsidRPr="001B4CA2">
        <w:rPr>
          <w:rFonts w:eastAsia="Arial"/>
        </w:rPr>
        <w:t xml:space="preserve"> </w:t>
      </w:r>
      <w:r w:rsidR="001D3643" w:rsidRPr="001B4CA2">
        <w:rPr>
          <w:rFonts w:eastAsia="Arial"/>
        </w:rPr>
        <w:t xml:space="preserve">EUR, </w:t>
      </w:r>
      <w:r w:rsidRPr="001B4CA2">
        <w:rPr>
          <w:rFonts w:eastAsia="Arial"/>
        </w:rPr>
        <w:t>što čini 95,26</w:t>
      </w:r>
      <w:r w:rsidR="003B7B56">
        <w:rPr>
          <w:rFonts w:eastAsia="Arial"/>
        </w:rPr>
        <w:t> </w:t>
      </w:r>
      <w:r w:rsidRPr="001B4CA2">
        <w:rPr>
          <w:rFonts w:eastAsia="Arial"/>
        </w:rPr>
        <w:t xml:space="preserve">% od ukupno blokirane imovine.   </w:t>
      </w:r>
    </w:p>
    <w:p w14:paraId="70BDE4BF" w14:textId="77777777" w:rsidR="0020162B" w:rsidRPr="001B4CA2" w:rsidRDefault="0020162B" w:rsidP="004D2810">
      <w:pPr>
        <w:rPr>
          <w:rFonts w:eastAsia="Arial"/>
        </w:rPr>
      </w:pPr>
    </w:p>
    <w:p w14:paraId="11C82C0E" w14:textId="06C4A31A" w:rsidR="004D2810" w:rsidRPr="001B4CA2" w:rsidRDefault="004D2810" w:rsidP="004D2810">
      <w:pPr>
        <w:rPr>
          <w:rFonts w:eastAsia="Arial"/>
          <w:bCs/>
        </w:rPr>
      </w:pPr>
      <w:r w:rsidRPr="001B4CA2">
        <w:rPr>
          <w:rFonts w:eastAsia="Arial"/>
        </w:rPr>
        <w:tab/>
      </w:r>
      <w:r w:rsidRPr="001B4CA2">
        <w:rPr>
          <w:rFonts w:eastAsia="Arial"/>
          <w:bCs/>
        </w:rPr>
        <w:t>Navedeni po</w:t>
      </w:r>
      <w:r w:rsidR="00FD08E9">
        <w:rPr>
          <w:rFonts w:eastAsia="Arial"/>
          <w:bCs/>
        </w:rPr>
        <w:t>datci</w:t>
      </w:r>
      <w:r w:rsidRPr="001B4CA2">
        <w:rPr>
          <w:rFonts w:eastAsia="Arial"/>
          <w:bCs/>
        </w:rPr>
        <w:t xml:space="preserve"> ukazuju </w:t>
      </w:r>
      <w:r w:rsidR="003B7B56">
        <w:rPr>
          <w:rFonts w:eastAsia="Arial"/>
          <w:bCs/>
        </w:rPr>
        <w:t xml:space="preserve">na to </w:t>
      </w:r>
      <w:r w:rsidRPr="001B4CA2">
        <w:rPr>
          <w:rFonts w:eastAsia="Arial"/>
          <w:bCs/>
        </w:rPr>
        <w:t>da je nastavljen trend osnivanja zločinačkih udruženja radi činjenja kaznenih djela korupcije, ali i protiv gospodarstva i imovine, slijedom čega dolazi do isto</w:t>
      </w:r>
      <w:r w:rsidR="003B7B56">
        <w:rPr>
          <w:rFonts w:eastAsia="Arial"/>
          <w:bCs/>
        </w:rPr>
        <w:t>dob</w:t>
      </w:r>
      <w:r w:rsidRPr="001B4CA2">
        <w:rPr>
          <w:rFonts w:eastAsia="Arial"/>
          <w:bCs/>
        </w:rPr>
        <w:t>nog počinjenja i jednog i drugog oblika kaznenih djela za koja je nadležan Ured, što otežava statističko iskazivanje zamrznute imovinske koristi po pojedinim kaznenim djelima.</w:t>
      </w:r>
    </w:p>
    <w:p w14:paraId="69043196" w14:textId="77777777" w:rsidR="001D3643" w:rsidRPr="001B4CA2" w:rsidRDefault="001D3643" w:rsidP="004D2810">
      <w:pPr>
        <w:rPr>
          <w:rFonts w:eastAsia="Arial"/>
          <w:bCs/>
        </w:rPr>
      </w:pPr>
    </w:p>
    <w:p w14:paraId="474EC497" w14:textId="6DE7D579" w:rsidR="004D2810" w:rsidRPr="001B4CA2" w:rsidRDefault="004D2810" w:rsidP="004D2810">
      <w:pPr>
        <w:rPr>
          <w:rFonts w:eastAsia="Arial"/>
          <w:bCs/>
        </w:rPr>
      </w:pPr>
      <w:r w:rsidRPr="001B4CA2">
        <w:rPr>
          <w:rFonts w:eastAsia="Arial"/>
        </w:rPr>
        <w:t xml:space="preserve"> </w:t>
      </w:r>
      <w:r w:rsidRPr="001B4CA2">
        <w:rPr>
          <w:rFonts w:eastAsia="Arial"/>
        </w:rPr>
        <w:tab/>
        <w:t xml:space="preserve">Jednako tako, i u ovoj izvještajnoj godini </w:t>
      </w:r>
      <w:r w:rsidR="003B7B56">
        <w:rPr>
          <w:rFonts w:eastAsia="Arial"/>
        </w:rPr>
        <w:t>razvidan</w:t>
      </w:r>
      <w:r w:rsidRPr="001B4CA2">
        <w:rPr>
          <w:rFonts w:eastAsia="Arial"/>
        </w:rPr>
        <w:t xml:space="preserve"> je trend stjecanja imovine na ime drugih osoba kako bi se otežalo oduzimanje nepripadne imovinske koristi, kao i podizanja gotovine kojoj je teško ući u trag, što je posebno izraženo kod kaznenih djela primanja mita iz članka 293. Kaznenog zakona/11 kod kojih se predana novčana nagrada koja predstavlja mito najčešće ne iskazuje u legalnim novčanim tijekovima, pa je time </w:t>
      </w:r>
      <w:r w:rsidRPr="001B4CA2">
        <w:rPr>
          <w:rFonts w:eastAsia="Arial"/>
          <w:bCs/>
        </w:rPr>
        <w:t>teže otkriti nezakonito stečenu imovinsku korist i istu oduzeti.</w:t>
      </w:r>
    </w:p>
    <w:p w14:paraId="75BBE277" w14:textId="77777777" w:rsidR="0020162B" w:rsidRPr="001B4CA2" w:rsidRDefault="0020162B" w:rsidP="004D2810">
      <w:pPr>
        <w:rPr>
          <w:rFonts w:eastAsia="Arial"/>
          <w:bCs/>
        </w:rPr>
      </w:pPr>
    </w:p>
    <w:p w14:paraId="33D8B4D7" w14:textId="1F768D92" w:rsidR="004D2810" w:rsidRPr="001B4CA2" w:rsidRDefault="004D2810" w:rsidP="004D2810">
      <w:pPr>
        <w:ind w:firstLine="708"/>
        <w:rPr>
          <w:rFonts w:eastAsia="Arial"/>
          <w:bCs/>
        </w:rPr>
      </w:pPr>
      <w:r w:rsidRPr="001B4CA2">
        <w:rPr>
          <w:rFonts w:eastAsia="Arial"/>
          <w:bCs/>
        </w:rPr>
        <w:t>Nastavno na ranija godišnja izvješća, valja ista</w:t>
      </w:r>
      <w:r w:rsidR="003B7B56">
        <w:rPr>
          <w:rFonts w:eastAsia="Arial"/>
          <w:bCs/>
        </w:rPr>
        <w:t>knut</w:t>
      </w:r>
      <w:r w:rsidRPr="001B4CA2">
        <w:rPr>
          <w:rFonts w:eastAsia="Arial"/>
          <w:bCs/>
        </w:rPr>
        <w:t xml:space="preserve">i da je i u ovoj izvještajnoj godini, do 19. srpnja 2022., kada je stupio na snagu Zakon o izmjenama i dopunama Zakona o kaznenom postupku ("Narodne novine" broj 80/22), na snazi bila odredba članka 557.e stavka 2. Zakona o kaznenom postupku/08, prema kojoj je privremena mjera osiguranja do potvrđivanja optužnice mogla trajati najdulje dvije godine. Kako je navedeno u izvješću u dijelu 8.1.4.2., ova je odredba izmijenjena na način da je trajanje privremenih mjera zapravo produljeno. </w:t>
      </w:r>
    </w:p>
    <w:p w14:paraId="4DF6DF84" w14:textId="77777777" w:rsidR="0020162B" w:rsidRPr="001B4CA2" w:rsidRDefault="0020162B" w:rsidP="004D2810">
      <w:pPr>
        <w:ind w:firstLine="708"/>
        <w:rPr>
          <w:rFonts w:eastAsia="Arial"/>
          <w:bCs/>
        </w:rPr>
      </w:pPr>
    </w:p>
    <w:p w14:paraId="1B9E69BC" w14:textId="3D4D1C0B" w:rsidR="004D2810" w:rsidRPr="001B4CA2" w:rsidRDefault="004D2810" w:rsidP="004D2810">
      <w:pPr>
        <w:ind w:firstLine="708"/>
        <w:rPr>
          <w:rFonts w:eastAsia="Arial"/>
          <w:bCs/>
        </w:rPr>
      </w:pPr>
      <w:r w:rsidRPr="001B4CA2">
        <w:rPr>
          <w:rFonts w:eastAsia="Arial"/>
          <w:bCs/>
        </w:rPr>
        <w:t>Međutim, valja naglasiti da se privremene mjere osiguranja u pravilu određuju u vrijeme pokretanja istrage, čime se onemoguć</w:t>
      </w:r>
      <w:r w:rsidR="003B7B56">
        <w:rPr>
          <w:rFonts w:eastAsia="Arial"/>
          <w:bCs/>
        </w:rPr>
        <w:t>uje</w:t>
      </w:r>
      <w:r w:rsidRPr="001B4CA2">
        <w:rPr>
          <w:rFonts w:eastAsia="Arial"/>
          <w:bCs/>
        </w:rPr>
        <w:t xml:space="preserve"> raspolaganje imovinom koja može služiti kao osiguranje oduzimanja nezakonito pribavljene imovinske koristi. U složenim predmetima USKOK-a istrage u pravilu traju 18 mjeseci, </w:t>
      </w:r>
      <w:r w:rsidR="003B7B56">
        <w:rPr>
          <w:rFonts w:eastAsia="Arial"/>
          <w:bCs/>
        </w:rPr>
        <w:t xml:space="preserve">s </w:t>
      </w:r>
      <w:r w:rsidRPr="001B4CA2">
        <w:rPr>
          <w:rFonts w:eastAsia="Arial"/>
          <w:bCs/>
        </w:rPr>
        <w:t>time da je manji broj optužnica bilo potvrđeno u roku od dvije godine od određivanja mjera osiguranja, što je dovodilo do njihov</w:t>
      </w:r>
      <w:r w:rsidR="003B7B56">
        <w:rPr>
          <w:rFonts w:eastAsia="Arial"/>
          <w:bCs/>
        </w:rPr>
        <w:t>a</w:t>
      </w:r>
      <w:r w:rsidRPr="001B4CA2">
        <w:rPr>
          <w:rFonts w:eastAsia="Arial"/>
          <w:bCs/>
        </w:rPr>
        <w:t xml:space="preserve"> ukidanja. Potvrđivanju optužnice na sjednici optužnog vijeća u gotovo svakom kaznenom predmetu prethodi odlučivanje tog vijeća o prijedlozima obrane za izdvajanjem dokaza iz spisa kao nezakonitih, a do konačne odluke višeg suda sjednica optužnog vijeća na kojoj će se konačno odlučiti o potvrđivanju optužnice ne može se održati. U izvještajnoj 2022. godini u 2 predmeta ukinuto je više privremenih mjera osiguranja oduzimanja imovinske koristi te je deblokirana imovina ukupne vrijednosti oko 23.425.000,00 k</w:t>
      </w:r>
      <w:r w:rsidR="001D3643" w:rsidRPr="001B4CA2">
        <w:rPr>
          <w:rFonts w:eastAsia="Arial"/>
          <w:bCs/>
        </w:rPr>
        <w:t>n</w:t>
      </w:r>
      <w:r w:rsidR="003B7B56">
        <w:rPr>
          <w:rFonts w:eastAsia="Arial"/>
          <w:bCs/>
        </w:rPr>
        <w:t xml:space="preserve"> </w:t>
      </w:r>
      <w:r w:rsidR="001D3643" w:rsidRPr="001B4CA2">
        <w:rPr>
          <w:rFonts w:eastAsia="Arial"/>
          <w:bCs/>
        </w:rPr>
        <w:t>/</w:t>
      </w:r>
      <w:r w:rsidR="003B7B56">
        <w:rPr>
          <w:rFonts w:eastAsia="Arial"/>
          <w:bCs/>
        </w:rPr>
        <w:t xml:space="preserve"> </w:t>
      </w:r>
      <w:r w:rsidR="001D3643" w:rsidRPr="001B4CA2">
        <w:rPr>
          <w:rFonts w:eastAsia="Arial"/>
          <w:bCs/>
        </w:rPr>
        <w:t>3.109.031,79 EUR</w:t>
      </w:r>
      <w:r w:rsidRPr="001B4CA2">
        <w:rPr>
          <w:rFonts w:eastAsia="Arial"/>
          <w:bCs/>
        </w:rPr>
        <w:t xml:space="preserve">, slijedom čega je u posljednjih pet godina deblokirana imovina ukupne vrijednosti od oko 164.903.500,00 </w:t>
      </w:r>
      <w:r w:rsidR="001D3643" w:rsidRPr="001B4CA2">
        <w:rPr>
          <w:rFonts w:eastAsia="Arial"/>
          <w:bCs/>
        </w:rPr>
        <w:t>kn</w:t>
      </w:r>
      <w:r w:rsidR="003B7B56">
        <w:rPr>
          <w:rFonts w:eastAsia="Arial"/>
          <w:bCs/>
        </w:rPr>
        <w:t xml:space="preserve"> </w:t>
      </w:r>
      <w:r w:rsidR="001D3643" w:rsidRPr="001B4CA2">
        <w:rPr>
          <w:rFonts w:eastAsia="Arial"/>
          <w:bCs/>
        </w:rPr>
        <w:t>/</w:t>
      </w:r>
      <w:r w:rsidR="003B7B56">
        <w:rPr>
          <w:rFonts w:eastAsia="Arial"/>
          <w:bCs/>
        </w:rPr>
        <w:t xml:space="preserve"> </w:t>
      </w:r>
      <w:r w:rsidR="001D3643" w:rsidRPr="001B4CA2">
        <w:rPr>
          <w:rFonts w:eastAsia="Arial"/>
          <w:bCs/>
        </w:rPr>
        <w:t>21.886,45 EUR</w:t>
      </w:r>
      <w:r w:rsidRPr="001B4CA2">
        <w:rPr>
          <w:rFonts w:eastAsia="Arial"/>
          <w:bCs/>
        </w:rPr>
        <w:t xml:space="preserve"> </w:t>
      </w:r>
    </w:p>
    <w:p w14:paraId="2877F084" w14:textId="77777777" w:rsidR="0020162B" w:rsidRPr="001B4CA2" w:rsidRDefault="0020162B" w:rsidP="004D2810">
      <w:pPr>
        <w:ind w:firstLine="708"/>
        <w:rPr>
          <w:rFonts w:eastAsia="Arial"/>
          <w:bCs/>
        </w:rPr>
      </w:pPr>
    </w:p>
    <w:p w14:paraId="274B0BAB" w14:textId="093FE564" w:rsidR="004D2810" w:rsidRPr="001B4CA2" w:rsidRDefault="004D2810" w:rsidP="004D2810">
      <w:pPr>
        <w:ind w:firstLine="708"/>
        <w:rPr>
          <w:rFonts w:eastAsia="Arial"/>
          <w:bCs/>
        </w:rPr>
      </w:pPr>
      <w:r w:rsidRPr="001B4CA2">
        <w:rPr>
          <w:rFonts w:eastAsia="Arial"/>
          <w:bCs/>
        </w:rPr>
        <w:lastRenderedPageBreak/>
        <w:t>S obzirom na izvršenu zakonodavnu izmjenu, prema kojoj privremene mjere osiguranja do podizanja optužnice mogu trajati najdulje dvije godine, očekuje se da će u idućem izvještajnom razdoblju biti smanjen broj ukidanja privremenih mjera osiguranja i time gubitka osiguranja oduzimanja nezakonito pribavljene imovinske koristi, odnosno da će se sadašnje zakonodavno rješenje pokazati učinkovitijim od ranije važećeg</w:t>
      </w:r>
      <w:r w:rsidR="003B7B56">
        <w:rPr>
          <w:rFonts w:eastAsia="Arial"/>
          <w:bCs/>
        </w:rPr>
        <w:t>a</w:t>
      </w:r>
      <w:r w:rsidRPr="001B4CA2">
        <w:rPr>
          <w:rFonts w:eastAsia="Arial"/>
          <w:bCs/>
        </w:rPr>
        <w:t>.</w:t>
      </w:r>
    </w:p>
    <w:p w14:paraId="4FE04EAB" w14:textId="77777777" w:rsidR="003749C6" w:rsidRPr="001B4CA2" w:rsidRDefault="003749C6" w:rsidP="00635D33"/>
    <w:p w14:paraId="75390497" w14:textId="61477D22" w:rsidR="00635D33" w:rsidRPr="001B4CA2" w:rsidRDefault="00635D33" w:rsidP="00955E23">
      <w:pPr>
        <w:pStyle w:val="Naslov4"/>
        <w:tabs>
          <w:tab w:val="left" w:pos="1134"/>
        </w:tabs>
        <w:rPr>
          <w:rFonts w:ascii="Arial" w:hAnsi="Arial" w:cs="Arial"/>
        </w:rPr>
      </w:pPr>
      <w:bookmarkStart w:id="136" w:name="_Toc133394366"/>
      <w:r w:rsidRPr="001B4CA2">
        <w:rPr>
          <w:rFonts w:ascii="Arial" w:hAnsi="Arial" w:cs="Arial"/>
        </w:rPr>
        <w:t>Pregled radnji i ročišta</w:t>
      </w:r>
      <w:bookmarkEnd w:id="136"/>
    </w:p>
    <w:p w14:paraId="0CA8A68A" w14:textId="77777777" w:rsidR="001438D4" w:rsidRPr="001B4CA2" w:rsidRDefault="001438D4" w:rsidP="006E5BF9">
      <w:pPr>
        <w:ind w:left="851"/>
        <w:rPr>
          <w:i/>
        </w:rPr>
      </w:pPr>
    </w:p>
    <w:tbl>
      <w:tblPr>
        <w:tblStyle w:val="Reetkatablice31"/>
        <w:tblW w:w="0" w:type="auto"/>
        <w:jc w:val="center"/>
        <w:tblLayout w:type="fixed"/>
        <w:tblLook w:val="04A0" w:firstRow="1" w:lastRow="0" w:firstColumn="1" w:lastColumn="0" w:noHBand="0" w:noVBand="1"/>
      </w:tblPr>
      <w:tblGrid>
        <w:gridCol w:w="1874"/>
        <w:gridCol w:w="1765"/>
        <w:gridCol w:w="1765"/>
        <w:gridCol w:w="1153"/>
        <w:gridCol w:w="1154"/>
      </w:tblGrid>
      <w:tr w:rsidR="00532C41" w:rsidRPr="001B4CA2" w14:paraId="3648FEB3" w14:textId="77777777" w:rsidTr="009D08C8">
        <w:trPr>
          <w:trHeight w:val="721"/>
          <w:jc w:val="center"/>
        </w:trPr>
        <w:tc>
          <w:tcPr>
            <w:tcW w:w="1874" w:type="dxa"/>
            <w:vMerge w:val="restart"/>
            <w:shd w:val="clear" w:color="auto" w:fill="99CCFF"/>
            <w:noWrap/>
            <w:vAlign w:val="center"/>
            <w:hideMark/>
          </w:tcPr>
          <w:p w14:paraId="67C29A1B" w14:textId="4824AB64" w:rsidR="00F54622" w:rsidRPr="001B4CA2" w:rsidRDefault="001438D4" w:rsidP="00CF341D">
            <w:pPr>
              <w:jc w:val="center"/>
              <w:rPr>
                <w:rFonts w:eastAsia="Calibri"/>
                <w:b/>
                <w:sz w:val="18"/>
                <w:szCs w:val="18"/>
              </w:rPr>
            </w:pPr>
            <w:r w:rsidRPr="001B4CA2">
              <w:rPr>
                <w:rFonts w:eastAsia="Calibri"/>
                <w:b/>
                <w:sz w:val="18"/>
                <w:szCs w:val="18"/>
              </w:rPr>
              <w:t>D</w:t>
            </w:r>
            <w:r w:rsidR="00F54622" w:rsidRPr="001B4CA2">
              <w:rPr>
                <w:rFonts w:eastAsia="Calibri"/>
                <w:b/>
                <w:sz w:val="18"/>
                <w:szCs w:val="18"/>
              </w:rPr>
              <w:t>okazne radnje</w:t>
            </w:r>
            <w:r w:rsidRPr="001B4CA2">
              <w:rPr>
                <w:rFonts w:eastAsia="Calibri"/>
                <w:b/>
                <w:sz w:val="18"/>
                <w:szCs w:val="18"/>
              </w:rPr>
              <w:t xml:space="preserve"> i zastupanje</w:t>
            </w:r>
          </w:p>
        </w:tc>
        <w:tc>
          <w:tcPr>
            <w:tcW w:w="3530" w:type="dxa"/>
            <w:gridSpan w:val="2"/>
            <w:shd w:val="clear" w:color="auto" w:fill="99CCFF"/>
            <w:vAlign w:val="center"/>
            <w:hideMark/>
          </w:tcPr>
          <w:p w14:paraId="2F9EFF10" w14:textId="77777777" w:rsidR="00F54622" w:rsidRPr="001B4CA2" w:rsidRDefault="00F54622" w:rsidP="00CF341D">
            <w:pPr>
              <w:jc w:val="center"/>
              <w:rPr>
                <w:rFonts w:eastAsia="Calibri"/>
                <w:b/>
                <w:sz w:val="18"/>
                <w:szCs w:val="18"/>
              </w:rPr>
            </w:pPr>
            <w:r w:rsidRPr="001B4CA2">
              <w:rPr>
                <w:rFonts w:eastAsia="Calibri"/>
                <w:b/>
                <w:sz w:val="18"/>
                <w:szCs w:val="18"/>
              </w:rPr>
              <w:t>Dokazne radnje</w:t>
            </w:r>
          </w:p>
        </w:tc>
        <w:tc>
          <w:tcPr>
            <w:tcW w:w="2307" w:type="dxa"/>
            <w:gridSpan w:val="2"/>
            <w:shd w:val="clear" w:color="auto" w:fill="99CCFF"/>
            <w:vAlign w:val="center"/>
            <w:hideMark/>
          </w:tcPr>
          <w:p w14:paraId="01ABC8F5" w14:textId="77777777" w:rsidR="00F54622" w:rsidRPr="001B4CA2" w:rsidRDefault="00F54622" w:rsidP="00CF341D">
            <w:pPr>
              <w:jc w:val="center"/>
              <w:rPr>
                <w:rFonts w:eastAsia="Calibri"/>
                <w:b/>
                <w:sz w:val="18"/>
                <w:szCs w:val="18"/>
              </w:rPr>
            </w:pPr>
            <w:r w:rsidRPr="001B4CA2">
              <w:rPr>
                <w:rFonts w:eastAsia="Calibri"/>
                <w:b/>
                <w:sz w:val="18"/>
                <w:szCs w:val="18"/>
              </w:rPr>
              <w:t>Zastupanje</w:t>
            </w:r>
          </w:p>
        </w:tc>
      </w:tr>
      <w:tr w:rsidR="00532C41" w:rsidRPr="001B4CA2" w14:paraId="7B5CE3C2" w14:textId="77777777" w:rsidTr="009D08C8">
        <w:trPr>
          <w:trHeight w:val="902"/>
          <w:jc w:val="center"/>
        </w:trPr>
        <w:tc>
          <w:tcPr>
            <w:tcW w:w="1874" w:type="dxa"/>
            <w:vMerge/>
            <w:shd w:val="clear" w:color="auto" w:fill="99CCFF"/>
            <w:noWrap/>
            <w:vAlign w:val="center"/>
          </w:tcPr>
          <w:p w14:paraId="295FEC80" w14:textId="77777777" w:rsidR="00F54622" w:rsidRPr="001B4CA2" w:rsidRDefault="00F54622" w:rsidP="00CF341D">
            <w:pPr>
              <w:jc w:val="center"/>
              <w:rPr>
                <w:rFonts w:eastAsia="Calibri"/>
                <w:b/>
                <w:sz w:val="18"/>
                <w:szCs w:val="18"/>
              </w:rPr>
            </w:pPr>
          </w:p>
        </w:tc>
        <w:tc>
          <w:tcPr>
            <w:tcW w:w="1765" w:type="dxa"/>
            <w:shd w:val="clear" w:color="auto" w:fill="99CCFF"/>
            <w:vAlign w:val="center"/>
          </w:tcPr>
          <w:p w14:paraId="6000C250" w14:textId="77777777" w:rsidR="00F54622" w:rsidRPr="001B4CA2" w:rsidRDefault="00F54622" w:rsidP="00CF341D">
            <w:pPr>
              <w:jc w:val="center"/>
              <w:rPr>
                <w:rFonts w:eastAsia="Calibri"/>
                <w:b/>
                <w:sz w:val="18"/>
                <w:szCs w:val="18"/>
              </w:rPr>
            </w:pPr>
            <w:r w:rsidRPr="001B4CA2">
              <w:rPr>
                <w:rFonts w:eastAsia="Calibri"/>
                <w:b/>
                <w:sz w:val="18"/>
                <w:szCs w:val="18"/>
              </w:rPr>
              <w:t>Nalog drugom tijelu</w:t>
            </w:r>
          </w:p>
        </w:tc>
        <w:tc>
          <w:tcPr>
            <w:tcW w:w="1765" w:type="dxa"/>
            <w:shd w:val="clear" w:color="auto" w:fill="99CCFF"/>
            <w:vAlign w:val="center"/>
          </w:tcPr>
          <w:p w14:paraId="182B72C6" w14:textId="1C428145" w:rsidR="00F54622" w:rsidRPr="001B4CA2" w:rsidRDefault="00F54622" w:rsidP="00F54622">
            <w:pPr>
              <w:jc w:val="center"/>
              <w:rPr>
                <w:rFonts w:eastAsia="Calibri"/>
                <w:b/>
                <w:sz w:val="18"/>
                <w:szCs w:val="18"/>
              </w:rPr>
            </w:pPr>
            <w:r w:rsidRPr="001B4CA2">
              <w:rPr>
                <w:rFonts w:eastAsia="Calibri"/>
                <w:b/>
                <w:sz w:val="18"/>
                <w:szCs w:val="18"/>
              </w:rPr>
              <w:t>Provedeno po Uredu</w:t>
            </w:r>
          </w:p>
        </w:tc>
        <w:tc>
          <w:tcPr>
            <w:tcW w:w="1153" w:type="dxa"/>
            <w:shd w:val="clear" w:color="auto" w:fill="99CCFF"/>
            <w:vAlign w:val="center"/>
          </w:tcPr>
          <w:p w14:paraId="55DEC522" w14:textId="77777777" w:rsidR="00F54622" w:rsidRPr="001B4CA2" w:rsidRDefault="00F54622" w:rsidP="00CF341D">
            <w:pPr>
              <w:jc w:val="center"/>
              <w:rPr>
                <w:rFonts w:eastAsia="Calibri"/>
                <w:b/>
                <w:sz w:val="18"/>
                <w:szCs w:val="18"/>
              </w:rPr>
            </w:pPr>
            <w:r w:rsidRPr="001B4CA2">
              <w:rPr>
                <w:rFonts w:eastAsia="Calibri"/>
                <w:b/>
                <w:sz w:val="18"/>
                <w:szCs w:val="18"/>
              </w:rPr>
              <w:t>Ročišta</w:t>
            </w:r>
          </w:p>
        </w:tc>
        <w:tc>
          <w:tcPr>
            <w:tcW w:w="1153" w:type="dxa"/>
            <w:shd w:val="clear" w:color="auto" w:fill="99CCFF"/>
            <w:vAlign w:val="center"/>
          </w:tcPr>
          <w:p w14:paraId="5E3D93D3" w14:textId="77777777" w:rsidR="00F54622" w:rsidRPr="001B4CA2" w:rsidRDefault="00F54622" w:rsidP="00CF341D">
            <w:pPr>
              <w:jc w:val="center"/>
              <w:rPr>
                <w:rFonts w:eastAsia="Calibri"/>
                <w:b/>
                <w:sz w:val="18"/>
                <w:szCs w:val="18"/>
              </w:rPr>
            </w:pPr>
            <w:r w:rsidRPr="001B4CA2">
              <w:rPr>
                <w:rFonts w:eastAsia="Calibri"/>
                <w:b/>
                <w:sz w:val="18"/>
                <w:szCs w:val="18"/>
              </w:rPr>
              <w:t>Rasprave</w:t>
            </w:r>
          </w:p>
        </w:tc>
      </w:tr>
      <w:tr w:rsidR="00532C41" w:rsidRPr="001B4CA2" w14:paraId="2030DBBA" w14:textId="77777777" w:rsidTr="009D08C8">
        <w:trPr>
          <w:trHeight w:val="385"/>
          <w:jc w:val="center"/>
        </w:trPr>
        <w:tc>
          <w:tcPr>
            <w:tcW w:w="1874" w:type="dxa"/>
            <w:shd w:val="clear" w:color="auto" w:fill="99CCFF"/>
            <w:vAlign w:val="center"/>
            <w:hideMark/>
          </w:tcPr>
          <w:p w14:paraId="359A8F13" w14:textId="77777777" w:rsidR="00F54622" w:rsidRPr="001B4CA2" w:rsidRDefault="00F54622" w:rsidP="00CF341D">
            <w:pPr>
              <w:jc w:val="center"/>
              <w:rPr>
                <w:rFonts w:eastAsia="Calibri"/>
                <w:sz w:val="18"/>
                <w:szCs w:val="18"/>
              </w:rPr>
            </w:pPr>
            <w:r w:rsidRPr="001B4CA2">
              <w:rPr>
                <w:rFonts w:eastAsia="Calibri"/>
                <w:sz w:val="18"/>
                <w:szCs w:val="18"/>
              </w:rPr>
              <w:t>1</w:t>
            </w:r>
          </w:p>
        </w:tc>
        <w:tc>
          <w:tcPr>
            <w:tcW w:w="1765" w:type="dxa"/>
            <w:shd w:val="clear" w:color="auto" w:fill="99CCFF"/>
            <w:noWrap/>
            <w:vAlign w:val="center"/>
          </w:tcPr>
          <w:p w14:paraId="056FA0A6" w14:textId="77777777" w:rsidR="00F54622" w:rsidRPr="001B4CA2" w:rsidRDefault="00F54622" w:rsidP="00CF341D">
            <w:pPr>
              <w:jc w:val="center"/>
              <w:rPr>
                <w:rFonts w:eastAsia="Calibri"/>
                <w:sz w:val="18"/>
                <w:szCs w:val="18"/>
              </w:rPr>
            </w:pPr>
            <w:r w:rsidRPr="001B4CA2">
              <w:rPr>
                <w:rFonts w:eastAsia="Calibri"/>
                <w:sz w:val="18"/>
                <w:szCs w:val="18"/>
              </w:rPr>
              <w:t>2</w:t>
            </w:r>
          </w:p>
        </w:tc>
        <w:tc>
          <w:tcPr>
            <w:tcW w:w="1765" w:type="dxa"/>
            <w:shd w:val="clear" w:color="auto" w:fill="99CCFF"/>
            <w:noWrap/>
            <w:vAlign w:val="center"/>
          </w:tcPr>
          <w:p w14:paraId="2672C47E" w14:textId="77777777" w:rsidR="00F54622" w:rsidRPr="001B4CA2" w:rsidRDefault="00F54622" w:rsidP="00CF341D">
            <w:pPr>
              <w:jc w:val="center"/>
              <w:rPr>
                <w:rFonts w:eastAsia="Calibri"/>
                <w:sz w:val="18"/>
                <w:szCs w:val="18"/>
              </w:rPr>
            </w:pPr>
            <w:r w:rsidRPr="001B4CA2">
              <w:rPr>
                <w:rFonts w:eastAsia="Calibri"/>
                <w:sz w:val="18"/>
                <w:szCs w:val="18"/>
              </w:rPr>
              <w:t>3</w:t>
            </w:r>
          </w:p>
        </w:tc>
        <w:tc>
          <w:tcPr>
            <w:tcW w:w="1153" w:type="dxa"/>
            <w:shd w:val="clear" w:color="auto" w:fill="99CCFF"/>
            <w:noWrap/>
            <w:vAlign w:val="center"/>
          </w:tcPr>
          <w:p w14:paraId="1BE8D47E" w14:textId="77777777" w:rsidR="00F54622" w:rsidRPr="001B4CA2" w:rsidRDefault="00F54622" w:rsidP="00CF341D">
            <w:pPr>
              <w:jc w:val="center"/>
              <w:rPr>
                <w:rFonts w:eastAsia="Calibri"/>
                <w:sz w:val="18"/>
                <w:szCs w:val="18"/>
              </w:rPr>
            </w:pPr>
            <w:r w:rsidRPr="001B4CA2">
              <w:rPr>
                <w:rFonts w:eastAsia="Calibri"/>
                <w:sz w:val="18"/>
                <w:szCs w:val="18"/>
              </w:rPr>
              <w:t>4</w:t>
            </w:r>
          </w:p>
        </w:tc>
        <w:tc>
          <w:tcPr>
            <w:tcW w:w="1153" w:type="dxa"/>
            <w:shd w:val="clear" w:color="auto" w:fill="99CCFF"/>
            <w:noWrap/>
            <w:vAlign w:val="center"/>
          </w:tcPr>
          <w:p w14:paraId="4E2C9A86" w14:textId="77777777" w:rsidR="00F54622" w:rsidRPr="001B4CA2" w:rsidRDefault="00F54622" w:rsidP="00CF341D">
            <w:pPr>
              <w:jc w:val="center"/>
              <w:rPr>
                <w:rFonts w:eastAsia="Calibri"/>
                <w:sz w:val="18"/>
                <w:szCs w:val="18"/>
              </w:rPr>
            </w:pPr>
            <w:r w:rsidRPr="001B4CA2">
              <w:rPr>
                <w:rFonts w:eastAsia="Calibri"/>
                <w:sz w:val="18"/>
                <w:szCs w:val="18"/>
              </w:rPr>
              <w:t>5</w:t>
            </w:r>
          </w:p>
        </w:tc>
      </w:tr>
      <w:tr w:rsidR="00F54622" w:rsidRPr="001B4CA2" w14:paraId="62EDFB59" w14:textId="77777777" w:rsidTr="009D08C8">
        <w:trPr>
          <w:trHeight w:val="385"/>
          <w:jc w:val="center"/>
        </w:trPr>
        <w:tc>
          <w:tcPr>
            <w:tcW w:w="1874" w:type="dxa"/>
            <w:vAlign w:val="center"/>
          </w:tcPr>
          <w:p w14:paraId="0D6A2845" w14:textId="41CFEE80" w:rsidR="00F54622" w:rsidRPr="001B4CA2" w:rsidRDefault="00F54622" w:rsidP="008B0696">
            <w:pPr>
              <w:jc w:val="center"/>
              <w:rPr>
                <w:rFonts w:eastAsia="Calibri"/>
                <w:sz w:val="18"/>
                <w:szCs w:val="18"/>
              </w:rPr>
            </w:pPr>
          </w:p>
        </w:tc>
        <w:tc>
          <w:tcPr>
            <w:tcW w:w="1765" w:type="dxa"/>
            <w:noWrap/>
            <w:vAlign w:val="center"/>
          </w:tcPr>
          <w:p w14:paraId="3C978D4C" w14:textId="7BB4E409" w:rsidR="00F54622" w:rsidRPr="001B4CA2" w:rsidRDefault="001438D4" w:rsidP="00CF341D">
            <w:pPr>
              <w:jc w:val="center"/>
              <w:rPr>
                <w:rFonts w:eastAsia="Calibri"/>
                <w:sz w:val="18"/>
                <w:szCs w:val="18"/>
              </w:rPr>
            </w:pPr>
            <w:r w:rsidRPr="001B4CA2">
              <w:rPr>
                <w:rFonts w:eastAsia="Calibri"/>
                <w:sz w:val="18"/>
                <w:szCs w:val="18"/>
              </w:rPr>
              <w:t>781</w:t>
            </w:r>
          </w:p>
        </w:tc>
        <w:tc>
          <w:tcPr>
            <w:tcW w:w="1765" w:type="dxa"/>
            <w:noWrap/>
            <w:vAlign w:val="center"/>
          </w:tcPr>
          <w:p w14:paraId="1D147939" w14:textId="76AB27D1" w:rsidR="00F54622" w:rsidRPr="001B4CA2" w:rsidRDefault="001438D4" w:rsidP="00CF341D">
            <w:pPr>
              <w:jc w:val="center"/>
              <w:rPr>
                <w:rFonts w:eastAsia="Calibri"/>
                <w:sz w:val="18"/>
                <w:szCs w:val="18"/>
              </w:rPr>
            </w:pPr>
            <w:r w:rsidRPr="001B4CA2">
              <w:rPr>
                <w:rFonts w:eastAsia="Calibri"/>
                <w:sz w:val="18"/>
                <w:szCs w:val="18"/>
              </w:rPr>
              <w:t>2.486</w:t>
            </w:r>
          </w:p>
        </w:tc>
        <w:tc>
          <w:tcPr>
            <w:tcW w:w="1153" w:type="dxa"/>
            <w:noWrap/>
            <w:vAlign w:val="center"/>
          </w:tcPr>
          <w:p w14:paraId="357B46AA" w14:textId="2361D862" w:rsidR="00F54622" w:rsidRPr="001B4CA2" w:rsidRDefault="001438D4" w:rsidP="00CF341D">
            <w:pPr>
              <w:jc w:val="center"/>
              <w:rPr>
                <w:rFonts w:eastAsia="Calibri"/>
                <w:sz w:val="18"/>
                <w:szCs w:val="18"/>
              </w:rPr>
            </w:pPr>
            <w:r w:rsidRPr="001B4CA2">
              <w:rPr>
                <w:rFonts w:eastAsia="Calibri"/>
                <w:sz w:val="18"/>
                <w:szCs w:val="18"/>
              </w:rPr>
              <w:t>716</w:t>
            </w:r>
          </w:p>
        </w:tc>
        <w:tc>
          <w:tcPr>
            <w:tcW w:w="1153" w:type="dxa"/>
            <w:noWrap/>
            <w:vAlign w:val="center"/>
          </w:tcPr>
          <w:p w14:paraId="5552C21F" w14:textId="2DB3A00D" w:rsidR="00F54622" w:rsidRPr="001B4CA2" w:rsidRDefault="001438D4" w:rsidP="00CF341D">
            <w:pPr>
              <w:jc w:val="center"/>
              <w:rPr>
                <w:rFonts w:eastAsia="Calibri"/>
                <w:sz w:val="18"/>
                <w:szCs w:val="18"/>
              </w:rPr>
            </w:pPr>
            <w:r w:rsidRPr="001B4CA2">
              <w:rPr>
                <w:rFonts w:eastAsia="Calibri"/>
                <w:sz w:val="18"/>
                <w:szCs w:val="18"/>
              </w:rPr>
              <w:t>1.205</w:t>
            </w:r>
          </w:p>
        </w:tc>
      </w:tr>
    </w:tbl>
    <w:p w14:paraId="6825E90A" w14:textId="5DCE8B3E" w:rsidR="00E96D4E" w:rsidRPr="001B4CA2" w:rsidRDefault="00E96D4E" w:rsidP="00C45F97"/>
    <w:p w14:paraId="12A2BBBB" w14:textId="6A516A38" w:rsidR="001438D4" w:rsidRPr="001B4CA2" w:rsidRDefault="001438D4" w:rsidP="001438D4">
      <w:pPr>
        <w:spacing w:after="200" w:line="276" w:lineRule="auto"/>
        <w:ind w:firstLine="708"/>
        <w:rPr>
          <w:rFonts w:eastAsia="Arial"/>
        </w:rPr>
      </w:pPr>
      <w:r w:rsidRPr="001B4CA2">
        <w:rPr>
          <w:rFonts w:eastAsia="Arial"/>
        </w:rPr>
        <w:t>U izvještajnom razdoblju zamjenici ravnateljice prisustvovali su na ukupno 1</w:t>
      </w:r>
      <w:r w:rsidR="003B7B56">
        <w:rPr>
          <w:rFonts w:eastAsia="Arial"/>
        </w:rPr>
        <w:t>.</w:t>
      </w:r>
      <w:r w:rsidRPr="001B4CA2">
        <w:rPr>
          <w:rFonts w:eastAsia="Arial"/>
        </w:rPr>
        <w:t>921 ročišta i rasprava</w:t>
      </w:r>
      <w:r w:rsidR="003B7B56">
        <w:rPr>
          <w:rFonts w:eastAsia="Arial"/>
        </w:rPr>
        <w:t>,</w:t>
      </w:r>
      <w:r w:rsidRPr="001B4CA2">
        <w:rPr>
          <w:rFonts w:eastAsia="Arial"/>
        </w:rPr>
        <w:t xml:space="preserve"> što je za 17,7</w:t>
      </w:r>
      <w:r w:rsidR="003B7B56">
        <w:rPr>
          <w:rFonts w:eastAsia="Arial"/>
        </w:rPr>
        <w:t> </w:t>
      </w:r>
      <w:r w:rsidRPr="001B4CA2">
        <w:rPr>
          <w:rFonts w:eastAsia="Arial"/>
        </w:rPr>
        <w:t>% više u odnosu na prethodno izvještajno razdoblje u kojem je ukupno održano</w:t>
      </w:r>
      <w:r w:rsidR="00FD08E9">
        <w:rPr>
          <w:rFonts w:eastAsia="Arial"/>
        </w:rPr>
        <w:t xml:space="preserve"> </w:t>
      </w:r>
      <w:r w:rsidRPr="001B4CA2">
        <w:rPr>
          <w:rFonts w:eastAsia="Arial"/>
        </w:rPr>
        <w:t>1</w:t>
      </w:r>
      <w:r w:rsidR="003B7B56">
        <w:rPr>
          <w:rFonts w:eastAsia="Arial"/>
        </w:rPr>
        <w:t>.</w:t>
      </w:r>
      <w:r w:rsidRPr="001B4CA2">
        <w:rPr>
          <w:rFonts w:eastAsia="Arial"/>
        </w:rPr>
        <w:t>582 ročišta i rasprava. Navedeno povećanje</w:t>
      </w:r>
      <w:r w:rsidR="00FD08E9">
        <w:rPr>
          <w:rFonts w:eastAsia="Arial"/>
        </w:rPr>
        <w:t xml:space="preserve"> </w:t>
      </w:r>
      <w:r w:rsidRPr="001B4CA2">
        <w:rPr>
          <w:rFonts w:eastAsia="Arial"/>
        </w:rPr>
        <w:t xml:space="preserve">povezano je </w:t>
      </w:r>
      <w:r w:rsidR="003B7B56">
        <w:rPr>
          <w:rFonts w:eastAsia="Arial"/>
        </w:rPr>
        <w:t xml:space="preserve">s </w:t>
      </w:r>
      <w:r w:rsidRPr="001B4CA2">
        <w:rPr>
          <w:rFonts w:eastAsia="Arial"/>
        </w:rPr>
        <w:t xml:space="preserve">ublažavanjem epidemioloških mjera zbog pandemije </w:t>
      </w:r>
      <w:r w:rsidR="003B7B56">
        <w:rPr>
          <w:rFonts w:eastAsia="Arial"/>
        </w:rPr>
        <w:t xml:space="preserve">virusa </w:t>
      </w:r>
      <w:r w:rsidRPr="001B4CA2">
        <w:rPr>
          <w:rFonts w:eastAsia="Arial"/>
        </w:rPr>
        <w:t xml:space="preserve">COVID-19 te saniranjem posljedica potresa u Zagrebu.  </w:t>
      </w:r>
    </w:p>
    <w:p w14:paraId="6C070978" w14:textId="78C456A0" w:rsidR="00D3013F" w:rsidRPr="001B4CA2" w:rsidRDefault="001438D4" w:rsidP="00955E23">
      <w:pPr>
        <w:spacing w:after="200" w:line="276" w:lineRule="auto"/>
        <w:ind w:firstLine="708"/>
        <w:rPr>
          <w:rFonts w:eastAsia="Arial"/>
        </w:rPr>
      </w:pPr>
      <w:r w:rsidRPr="001B4CA2">
        <w:rPr>
          <w:rFonts w:eastAsia="Arial"/>
        </w:rPr>
        <w:t>Ukupno je u izvještajnom razdoblju provedeno 3.267 dokaznih radnji. Od ukupnog broja provedenih dokaznih radnji Ured je proveo 2</w:t>
      </w:r>
      <w:r w:rsidR="003B7B56">
        <w:rPr>
          <w:rFonts w:eastAsia="Arial"/>
        </w:rPr>
        <w:t>.</w:t>
      </w:r>
      <w:r w:rsidRPr="001B4CA2">
        <w:rPr>
          <w:rFonts w:eastAsia="Arial"/>
        </w:rPr>
        <w:t>486 dokaznih radnji</w:t>
      </w:r>
      <w:r w:rsidR="003B7B56">
        <w:rPr>
          <w:rFonts w:eastAsia="Arial"/>
        </w:rPr>
        <w:t>,</w:t>
      </w:r>
      <w:r w:rsidRPr="001B4CA2">
        <w:rPr>
          <w:rFonts w:eastAsia="Arial"/>
        </w:rPr>
        <w:t xml:space="preserve"> što predstavlja 76</w:t>
      </w:r>
      <w:r w:rsidR="003B7B56">
        <w:rPr>
          <w:rFonts w:eastAsia="Arial"/>
        </w:rPr>
        <w:t>,</w:t>
      </w:r>
      <w:r w:rsidRPr="001B4CA2">
        <w:rPr>
          <w:rFonts w:eastAsia="Arial"/>
        </w:rPr>
        <w:t>1</w:t>
      </w:r>
      <w:r w:rsidR="003B7B56">
        <w:rPr>
          <w:rFonts w:eastAsia="Arial"/>
        </w:rPr>
        <w:t> </w:t>
      </w:r>
      <w:r w:rsidRPr="001B4CA2">
        <w:rPr>
          <w:rFonts w:eastAsia="Arial"/>
        </w:rPr>
        <w:t>%, dok su od strane drugih tijela provedene 781</w:t>
      </w:r>
      <w:r w:rsidR="00FD08E9">
        <w:rPr>
          <w:rFonts w:eastAsia="Arial"/>
        </w:rPr>
        <w:t xml:space="preserve"> </w:t>
      </w:r>
      <w:r w:rsidRPr="001B4CA2">
        <w:rPr>
          <w:rFonts w:eastAsia="Arial"/>
        </w:rPr>
        <w:t>dokazne radnje</w:t>
      </w:r>
      <w:r w:rsidR="003B7B56">
        <w:rPr>
          <w:rFonts w:eastAsia="Arial"/>
        </w:rPr>
        <w:t>,</w:t>
      </w:r>
      <w:r w:rsidRPr="001B4CA2">
        <w:rPr>
          <w:rFonts w:eastAsia="Arial"/>
        </w:rPr>
        <w:t xml:space="preserve"> što predstavlja 23,9</w:t>
      </w:r>
      <w:r w:rsidR="003B7B56">
        <w:rPr>
          <w:rFonts w:eastAsia="Arial"/>
        </w:rPr>
        <w:t> </w:t>
      </w:r>
      <w:r w:rsidRPr="001B4CA2">
        <w:rPr>
          <w:rFonts w:eastAsia="Arial"/>
        </w:rPr>
        <w:t>%.</w:t>
      </w:r>
    </w:p>
    <w:p w14:paraId="14A5005C" w14:textId="54CA6BB2" w:rsidR="00906DE9" w:rsidRPr="001B4CA2" w:rsidRDefault="00C86260" w:rsidP="00D8449C">
      <w:pPr>
        <w:pStyle w:val="Naslov3"/>
        <w:tabs>
          <w:tab w:val="left" w:pos="567"/>
        </w:tabs>
        <w:ind w:left="709" w:hanging="716"/>
        <w:rPr>
          <w:rFonts w:ascii="Arial" w:hAnsi="Arial" w:cs="Arial"/>
          <w:shd w:val="clear" w:color="auto" w:fill="FFFF00"/>
        </w:rPr>
      </w:pPr>
      <w:r w:rsidRPr="001B4CA2">
        <w:rPr>
          <w:rFonts w:ascii="Arial" w:hAnsi="Arial" w:cs="Arial"/>
        </w:rPr>
        <w:t xml:space="preserve"> </w:t>
      </w:r>
      <w:bookmarkStart w:id="137" w:name="_Toc133394367"/>
      <w:r w:rsidR="00BB4D48" w:rsidRPr="001B4CA2">
        <w:rPr>
          <w:rFonts w:ascii="Arial" w:hAnsi="Arial" w:cs="Arial"/>
        </w:rPr>
        <w:t>Žalbe</w:t>
      </w:r>
      <w:r w:rsidR="006262C8" w:rsidRPr="001B4CA2">
        <w:rPr>
          <w:rFonts w:ascii="Arial" w:hAnsi="Arial" w:cs="Arial"/>
        </w:rPr>
        <w:t xml:space="preserve"> i </w:t>
      </w:r>
      <w:r w:rsidR="00BB4D48" w:rsidRPr="001B4CA2">
        <w:rPr>
          <w:rFonts w:ascii="Arial" w:hAnsi="Arial" w:cs="Arial"/>
        </w:rPr>
        <w:t>odluke</w:t>
      </w:r>
      <w:r w:rsidR="006262C8" w:rsidRPr="001B4CA2">
        <w:rPr>
          <w:rFonts w:ascii="Arial" w:hAnsi="Arial" w:cs="Arial"/>
        </w:rPr>
        <w:t xml:space="preserve"> </w:t>
      </w:r>
      <w:r w:rsidR="00BB4D48" w:rsidRPr="001B4CA2">
        <w:rPr>
          <w:rFonts w:ascii="Arial" w:hAnsi="Arial" w:cs="Arial"/>
        </w:rPr>
        <w:t>sudova</w:t>
      </w:r>
      <w:r w:rsidR="006262C8" w:rsidRPr="001B4CA2">
        <w:rPr>
          <w:rFonts w:ascii="Arial" w:hAnsi="Arial" w:cs="Arial"/>
        </w:rPr>
        <w:t xml:space="preserve"> </w:t>
      </w:r>
      <w:r w:rsidR="00BB4D48" w:rsidRPr="001B4CA2">
        <w:rPr>
          <w:rFonts w:ascii="Arial" w:hAnsi="Arial" w:cs="Arial"/>
        </w:rPr>
        <w:t>povodom</w:t>
      </w:r>
      <w:r w:rsidR="006262C8" w:rsidRPr="001B4CA2">
        <w:rPr>
          <w:rFonts w:ascii="Arial" w:hAnsi="Arial" w:cs="Arial"/>
        </w:rPr>
        <w:t xml:space="preserve"> </w:t>
      </w:r>
      <w:r w:rsidR="00BB4D48" w:rsidRPr="001B4CA2">
        <w:rPr>
          <w:rFonts w:ascii="Arial" w:hAnsi="Arial" w:cs="Arial"/>
        </w:rPr>
        <w:t>žalb</w:t>
      </w:r>
      <w:r w:rsidR="00CE234E" w:rsidRPr="001B4CA2">
        <w:rPr>
          <w:rFonts w:ascii="Arial" w:hAnsi="Arial" w:cs="Arial"/>
        </w:rPr>
        <w:t>i</w:t>
      </w:r>
      <w:bookmarkEnd w:id="137"/>
    </w:p>
    <w:p w14:paraId="02E35607" w14:textId="6667F4A7" w:rsidR="00EB64AE" w:rsidRPr="001B4CA2" w:rsidRDefault="00EB64AE" w:rsidP="000C229B"/>
    <w:p w14:paraId="3D2187A8" w14:textId="640A5BD8" w:rsidR="00EB64AE" w:rsidRPr="001B4CA2" w:rsidRDefault="00EB64AE" w:rsidP="000C229B">
      <w:pPr>
        <w:rPr>
          <w:i/>
          <w:iCs/>
        </w:rPr>
      </w:pPr>
      <w:r w:rsidRPr="001B4CA2">
        <w:tab/>
      </w:r>
      <w:r w:rsidRPr="001B4CA2">
        <w:rPr>
          <w:i/>
          <w:iCs/>
        </w:rPr>
        <w:t>Broj podnesenih i usvojenih žalbi</w:t>
      </w:r>
    </w:p>
    <w:tbl>
      <w:tblPr>
        <w:tblW w:w="7434"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60"/>
        <w:gridCol w:w="1593"/>
        <w:gridCol w:w="1594"/>
        <w:gridCol w:w="1593"/>
        <w:gridCol w:w="1594"/>
      </w:tblGrid>
      <w:tr w:rsidR="00EB64AE" w:rsidRPr="001B4CA2" w14:paraId="1E092314" w14:textId="77777777" w:rsidTr="00BD4C8A">
        <w:trPr>
          <w:trHeight w:val="659"/>
        </w:trPr>
        <w:tc>
          <w:tcPr>
            <w:tcW w:w="1060" w:type="dxa"/>
            <w:vMerge w:val="restart"/>
            <w:shd w:val="clear" w:color="auto" w:fill="99CCFF"/>
            <w:noWrap/>
            <w:vAlign w:val="center"/>
            <w:hideMark/>
          </w:tcPr>
          <w:p w14:paraId="6D1C35BC" w14:textId="77777777" w:rsidR="00EB64AE" w:rsidRPr="001B4CA2" w:rsidRDefault="00EB64AE" w:rsidP="00BD4C8A">
            <w:pPr>
              <w:jc w:val="center"/>
              <w:rPr>
                <w:sz w:val="22"/>
              </w:rPr>
            </w:pPr>
            <w:r w:rsidRPr="001B4CA2">
              <w:rPr>
                <w:b/>
                <w:sz w:val="18"/>
                <w:szCs w:val="18"/>
              </w:rPr>
              <w:t>Godina</w:t>
            </w:r>
          </w:p>
        </w:tc>
        <w:tc>
          <w:tcPr>
            <w:tcW w:w="6374" w:type="dxa"/>
            <w:gridSpan w:val="4"/>
            <w:shd w:val="clear" w:color="auto" w:fill="99CCFF"/>
            <w:vAlign w:val="center"/>
          </w:tcPr>
          <w:p w14:paraId="6E4667CD" w14:textId="77777777" w:rsidR="00EB64AE" w:rsidRPr="001B4CA2" w:rsidRDefault="00EB64AE" w:rsidP="00BD4C8A">
            <w:pPr>
              <w:jc w:val="center"/>
              <w:rPr>
                <w:sz w:val="22"/>
              </w:rPr>
            </w:pPr>
            <w:r w:rsidRPr="001B4CA2">
              <w:rPr>
                <w:b/>
                <w:sz w:val="18"/>
                <w:szCs w:val="18"/>
              </w:rPr>
              <w:t>Žalbe</w:t>
            </w:r>
          </w:p>
        </w:tc>
      </w:tr>
      <w:tr w:rsidR="00EB64AE" w:rsidRPr="001B4CA2" w14:paraId="5C5555CF" w14:textId="77777777" w:rsidTr="00BD4C8A">
        <w:trPr>
          <w:trHeight w:val="700"/>
        </w:trPr>
        <w:tc>
          <w:tcPr>
            <w:tcW w:w="1060" w:type="dxa"/>
            <w:vMerge/>
            <w:shd w:val="clear" w:color="auto" w:fill="99CCFF"/>
            <w:vAlign w:val="center"/>
            <w:hideMark/>
          </w:tcPr>
          <w:p w14:paraId="5F9376A1" w14:textId="77777777" w:rsidR="00EB64AE" w:rsidRPr="001B4CA2" w:rsidRDefault="00EB64AE" w:rsidP="00BD4C8A">
            <w:pPr>
              <w:rPr>
                <w:b/>
                <w:sz w:val="18"/>
                <w:szCs w:val="18"/>
              </w:rPr>
            </w:pPr>
          </w:p>
        </w:tc>
        <w:tc>
          <w:tcPr>
            <w:tcW w:w="1593" w:type="dxa"/>
            <w:shd w:val="clear" w:color="auto" w:fill="99CCFF"/>
            <w:noWrap/>
            <w:vAlign w:val="center"/>
            <w:hideMark/>
          </w:tcPr>
          <w:p w14:paraId="373AD974" w14:textId="77777777" w:rsidR="00EB64AE" w:rsidRPr="001B4CA2" w:rsidRDefault="00EB64AE" w:rsidP="00BD4C8A">
            <w:pPr>
              <w:jc w:val="center"/>
              <w:rPr>
                <w:b/>
                <w:sz w:val="18"/>
                <w:szCs w:val="18"/>
              </w:rPr>
            </w:pPr>
            <w:r w:rsidRPr="001B4CA2">
              <w:rPr>
                <w:b/>
                <w:sz w:val="18"/>
                <w:szCs w:val="18"/>
              </w:rPr>
              <w:t>Podneseno</w:t>
            </w:r>
          </w:p>
        </w:tc>
        <w:tc>
          <w:tcPr>
            <w:tcW w:w="1594" w:type="dxa"/>
            <w:shd w:val="clear" w:color="auto" w:fill="99CCFF"/>
            <w:vAlign w:val="center"/>
            <w:hideMark/>
          </w:tcPr>
          <w:p w14:paraId="67B4FE3F" w14:textId="77777777" w:rsidR="00EB64AE" w:rsidRPr="001B4CA2" w:rsidRDefault="00EB64AE" w:rsidP="00BD4C8A">
            <w:pPr>
              <w:jc w:val="center"/>
              <w:rPr>
                <w:b/>
                <w:sz w:val="18"/>
                <w:szCs w:val="18"/>
              </w:rPr>
            </w:pPr>
            <w:r w:rsidRPr="001B4CA2">
              <w:rPr>
                <w:b/>
                <w:sz w:val="18"/>
                <w:szCs w:val="18"/>
              </w:rPr>
              <w:t>Od toga zbog kazne</w:t>
            </w:r>
          </w:p>
        </w:tc>
        <w:tc>
          <w:tcPr>
            <w:tcW w:w="1593" w:type="dxa"/>
            <w:shd w:val="clear" w:color="auto" w:fill="99CCFF"/>
            <w:noWrap/>
            <w:vAlign w:val="center"/>
            <w:hideMark/>
          </w:tcPr>
          <w:p w14:paraId="258A9F30" w14:textId="77777777" w:rsidR="00EB64AE" w:rsidRPr="001B4CA2" w:rsidRDefault="00EB64AE" w:rsidP="00BD4C8A">
            <w:pPr>
              <w:jc w:val="center"/>
              <w:rPr>
                <w:b/>
                <w:sz w:val="18"/>
                <w:szCs w:val="18"/>
              </w:rPr>
            </w:pPr>
            <w:r w:rsidRPr="001B4CA2">
              <w:rPr>
                <w:b/>
                <w:sz w:val="18"/>
                <w:szCs w:val="18"/>
              </w:rPr>
              <w:t>Usvojeno</w:t>
            </w:r>
          </w:p>
        </w:tc>
        <w:tc>
          <w:tcPr>
            <w:tcW w:w="1594" w:type="dxa"/>
            <w:shd w:val="clear" w:color="auto" w:fill="99CCFF"/>
            <w:vAlign w:val="center"/>
            <w:hideMark/>
          </w:tcPr>
          <w:p w14:paraId="5209C848" w14:textId="77777777" w:rsidR="00EB64AE" w:rsidRPr="001B4CA2" w:rsidRDefault="00EB64AE" w:rsidP="00BD4C8A">
            <w:pPr>
              <w:jc w:val="center"/>
              <w:rPr>
                <w:b/>
                <w:sz w:val="18"/>
                <w:szCs w:val="18"/>
              </w:rPr>
            </w:pPr>
            <w:r w:rsidRPr="001B4CA2">
              <w:rPr>
                <w:b/>
                <w:sz w:val="18"/>
                <w:szCs w:val="18"/>
              </w:rPr>
              <w:t>Od toga zbog kazne</w:t>
            </w:r>
          </w:p>
        </w:tc>
      </w:tr>
      <w:tr w:rsidR="00EB64AE" w:rsidRPr="001B4CA2" w14:paraId="28FFF862" w14:textId="77777777" w:rsidTr="00BD4C8A">
        <w:trPr>
          <w:trHeight w:val="314"/>
        </w:trPr>
        <w:tc>
          <w:tcPr>
            <w:tcW w:w="1060" w:type="dxa"/>
            <w:shd w:val="clear" w:color="auto" w:fill="auto"/>
            <w:noWrap/>
            <w:vAlign w:val="center"/>
            <w:hideMark/>
          </w:tcPr>
          <w:p w14:paraId="50C9D65E" w14:textId="77777777" w:rsidR="00EB64AE" w:rsidRPr="001B4CA2" w:rsidRDefault="00EB64AE" w:rsidP="00BD4C8A">
            <w:pPr>
              <w:jc w:val="center"/>
              <w:rPr>
                <w:sz w:val="18"/>
                <w:szCs w:val="18"/>
              </w:rPr>
            </w:pPr>
            <w:r w:rsidRPr="001B4CA2">
              <w:rPr>
                <w:sz w:val="18"/>
                <w:szCs w:val="18"/>
              </w:rPr>
              <w:t>2018.</w:t>
            </w:r>
          </w:p>
        </w:tc>
        <w:tc>
          <w:tcPr>
            <w:tcW w:w="1593" w:type="dxa"/>
            <w:shd w:val="clear" w:color="auto" w:fill="auto"/>
            <w:noWrap/>
            <w:vAlign w:val="center"/>
          </w:tcPr>
          <w:p w14:paraId="6A31AAC3" w14:textId="77777777" w:rsidR="00EB64AE" w:rsidRPr="001B4CA2" w:rsidRDefault="00EB64AE" w:rsidP="00BD4C8A">
            <w:pPr>
              <w:jc w:val="center"/>
              <w:rPr>
                <w:sz w:val="18"/>
                <w:szCs w:val="18"/>
              </w:rPr>
            </w:pPr>
            <w:r w:rsidRPr="001B4CA2">
              <w:rPr>
                <w:sz w:val="18"/>
                <w:szCs w:val="18"/>
              </w:rPr>
              <w:t>74</w:t>
            </w:r>
          </w:p>
        </w:tc>
        <w:tc>
          <w:tcPr>
            <w:tcW w:w="1594" w:type="dxa"/>
            <w:shd w:val="clear" w:color="auto" w:fill="auto"/>
            <w:noWrap/>
            <w:vAlign w:val="center"/>
          </w:tcPr>
          <w:p w14:paraId="0E70FA25" w14:textId="77777777" w:rsidR="00EB64AE" w:rsidRPr="001B4CA2" w:rsidRDefault="00EB64AE" w:rsidP="00BD4C8A">
            <w:pPr>
              <w:jc w:val="center"/>
              <w:rPr>
                <w:sz w:val="18"/>
                <w:szCs w:val="18"/>
              </w:rPr>
            </w:pPr>
            <w:r w:rsidRPr="001B4CA2">
              <w:rPr>
                <w:sz w:val="18"/>
                <w:szCs w:val="18"/>
              </w:rPr>
              <w:t>55</w:t>
            </w:r>
          </w:p>
        </w:tc>
        <w:tc>
          <w:tcPr>
            <w:tcW w:w="1593" w:type="dxa"/>
            <w:shd w:val="clear" w:color="auto" w:fill="auto"/>
            <w:noWrap/>
            <w:vAlign w:val="center"/>
          </w:tcPr>
          <w:p w14:paraId="1F392839" w14:textId="77777777" w:rsidR="00EB64AE" w:rsidRPr="001B4CA2" w:rsidRDefault="00EB64AE" w:rsidP="00BD4C8A">
            <w:pPr>
              <w:jc w:val="center"/>
              <w:rPr>
                <w:sz w:val="18"/>
                <w:szCs w:val="18"/>
              </w:rPr>
            </w:pPr>
            <w:r w:rsidRPr="001B4CA2">
              <w:rPr>
                <w:sz w:val="18"/>
                <w:szCs w:val="18"/>
              </w:rPr>
              <w:t>12</w:t>
            </w:r>
          </w:p>
        </w:tc>
        <w:tc>
          <w:tcPr>
            <w:tcW w:w="1594" w:type="dxa"/>
            <w:shd w:val="clear" w:color="auto" w:fill="auto"/>
            <w:noWrap/>
            <w:vAlign w:val="center"/>
          </w:tcPr>
          <w:p w14:paraId="6EC8D0D2" w14:textId="77777777" w:rsidR="00EB64AE" w:rsidRPr="001B4CA2" w:rsidRDefault="00EB64AE" w:rsidP="00BD4C8A">
            <w:pPr>
              <w:jc w:val="center"/>
              <w:rPr>
                <w:sz w:val="18"/>
                <w:szCs w:val="18"/>
              </w:rPr>
            </w:pPr>
            <w:r w:rsidRPr="001B4CA2">
              <w:rPr>
                <w:sz w:val="18"/>
                <w:szCs w:val="18"/>
              </w:rPr>
              <w:t>8</w:t>
            </w:r>
          </w:p>
        </w:tc>
      </w:tr>
      <w:tr w:rsidR="00EB64AE" w:rsidRPr="001B4CA2" w14:paraId="2D5B7BC0" w14:textId="77777777" w:rsidTr="00BD4C8A">
        <w:trPr>
          <w:trHeight w:val="314"/>
        </w:trPr>
        <w:tc>
          <w:tcPr>
            <w:tcW w:w="1060" w:type="dxa"/>
            <w:shd w:val="clear" w:color="auto" w:fill="auto"/>
            <w:noWrap/>
            <w:vAlign w:val="center"/>
            <w:hideMark/>
          </w:tcPr>
          <w:p w14:paraId="7EE8973F" w14:textId="77777777" w:rsidR="00EB64AE" w:rsidRPr="001B4CA2" w:rsidRDefault="00EB64AE" w:rsidP="00BD4C8A">
            <w:pPr>
              <w:jc w:val="center"/>
              <w:rPr>
                <w:sz w:val="18"/>
                <w:szCs w:val="18"/>
              </w:rPr>
            </w:pPr>
            <w:r w:rsidRPr="001B4CA2">
              <w:rPr>
                <w:sz w:val="18"/>
                <w:szCs w:val="18"/>
              </w:rPr>
              <w:t>2019.</w:t>
            </w:r>
          </w:p>
        </w:tc>
        <w:tc>
          <w:tcPr>
            <w:tcW w:w="1593" w:type="dxa"/>
            <w:shd w:val="clear" w:color="auto" w:fill="auto"/>
            <w:noWrap/>
            <w:vAlign w:val="center"/>
          </w:tcPr>
          <w:p w14:paraId="3BFF4F50" w14:textId="77777777" w:rsidR="00EB64AE" w:rsidRPr="001B4CA2" w:rsidRDefault="00EB64AE" w:rsidP="00BD4C8A">
            <w:pPr>
              <w:jc w:val="center"/>
              <w:rPr>
                <w:sz w:val="18"/>
                <w:szCs w:val="18"/>
              </w:rPr>
            </w:pPr>
            <w:r w:rsidRPr="001B4CA2">
              <w:rPr>
                <w:sz w:val="18"/>
                <w:szCs w:val="18"/>
              </w:rPr>
              <w:t>71</w:t>
            </w:r>
          </w:p>
        </w:tc>
        <w:tc>
          <w:tcPr>
            <w:tcW w:w="1594" w:type="dxa"/>
            <w:shd w:val="clear" w:color="auto" w:fill="auto"/>
            <w:noWrap/>
            <w:vAlign w:val="center"/>
          </w:tcPr>
          <w:p w14:paraId="4C927A9E" w14:textId="77777777" w:rsidR="00EB64AE" w:rsidRPr="001B4CA2" w:rsidRDefault="00EB64AE" w:rsidP="00BD4C8A">
            <w:pPr>
              <w:jc w:val="center"/>
              <w:rPr>
                <w:sz w:val="18"/>
                <w:szCs w:val="18"/>
              </w:rPr>
            </w:pPr>
            <w:r w:rsidRPr="001B4CA2">
              <w:rPr>
                <w:sz w:val="18"/>
                <w:szCs w:val="18"/>
              </w:rPr>
              <w:t>30</w:t>
            </w:r>
          </w:p>
        </w:tc>
        <w:tc>
          <w:tcPr>
            <w:tcW w:w="1593" w:type="dxa"/>
            <w:shd w:val="clear" w:color="auto" w:fill="auto"/>
            <w:noWrap/>
            <w:vAlign w:val="center"/>
          </w:tcPr>
          <w:p w14:paraId="2A76CEF9" w14:textId="77777777" w:rsidR="00EB64AE" w:rsidRPr="001B4CA2" w:rsidRDefault="00EB64AE" w:rsidP="00BD4C8A">
            <w:pPr>
              <w:jc w:val="center"/>
              <w:rPr>
                <w:sz w:val="18"/>
                <w:szCs w:val="18"/>
              </w:rPr>
            </w:pPr>
            <w:r w:rsidRPr="001B4CA2">
              <w:rPr>
                <w:sz w:val="18"/>
                <w:szCs w:val="18"/>
              </w:rPr>
              <w:t>23</w:t>
            </w:r>
          </w:p>
        </w:tc>
        <w:tc>
          <w:tcPr>
            <w:tcW w:w="1594" w:type="dxa"/>
            <w:shd w:val="clear" w:color="auto" w:fill="auto"/>
            <w:noWrap/>
            <w:vAlign w:val="center"/>
          </w:tcPr>
          <w:p w14:paraId="2AEEFC8D" w14:textId="77777777" w:rsidR="00EB64AE" w:rsidRPr="001B4CA2" w:rsidRDefault="00EB64AE" w:rsidP="00BD4C8A">
            <w:pPr>
              <w:jc w:val="center"/>
              <w:rPr>
                <w:sz w:val="18"/>
                <w:szCs w:val="18"/>
              </w:rPr>
            </w:pPr>
            <w:r w:rsidRPr="001B4CA2">
              <w:rPr>
                <w:sz w:val="18"/>
                <w:szCs w:val="18"/>
              </w:rPr>
              <w:t>7</w:t>
            </w:r>
          </w:p>
        </w:tc>
      </w:tr>
      <w:tr w:rsidR="00EB64AE" w:rsidRPr="001B4CA2" w14:paraId="4992E18F" w14:textId="77777777" w:rsidTr="00BD4C8A">
        <w:trPr>
          <w:trHeight w:val="314"/>
        </w:trPr>
        <w:tc>
          <w:tcPr>
            <w:tcW w:w="1060" w:type="dxa"/>
            <w:shd w:val="clear" w:color="auto" w:fill="auto"/>
            <w:noWrap/>
            <w:vAlign w:val="center"/>
            <w:hideMark/>
          </w:tcPr>
          <w:p w14:paraId="29A73604" w14:textId="77777777" w:rsidR="00EB64AE" w:rsidRPr="001B4CA2" w:rsidRDefault="00EB64AE" w:rsidP="00BD4C8A">
            <w:pPr>
              <w:jc w:val="center"/>
              <w:rPr>
                <w:sz w:val="18"/>
                <w:szCs w:val="18"/>
              </w:rPr>
            </w:pPr>
            <w:r w:rsidRPr="001B4CA2">
              <w:rPr>
                <w:sz w:val="18"/>
                <w:szCs w:val="18"/>
              </w:rPr>
              <w:t>2020.</w:t>
            </w:r>
          </w:p>
        </w:tc>
        <w:tc>
          <w:tcPr>
            <w:tcW w:w="1593" w:type="dxa"/>
            <w:shd w:val="clear" w:color="auto" w:fill="auto"/>
            <w:noWrap/>
            <w:vAlign w:val="center"/>
          </w:tcPr>
          <w:p w14:paraId="0ECFF2F3" w14:textId="77777777" w:rsidR="00EB64AE" w:rsidRPr="001B4CA2" w:rsidRDefault="00EB64AE" w:rsidP="00BD4C8A">
            <w:pPr>
              <w:jc w:val="center"/>
              <w:rPr>
                <w:sz w:val="18"/>
                <w:szCs w:val="18"/>
              </w:rPr>
            </w:pPr>
            <w:r w:rsidRPr="001B4CA2">
              <w:rPr>
                <w:sz w:val="18"/>
                <w:szCs w:val="18"/>
              </w:rPr>
              <w:t>63</w:t>
            </w:r>
          </w:p>
        </w:tc>
        <w:tc>
          <w:tcPr>
            <w:tcW w:w="1594" w:type="dxa"/>
            <w:shd w:val="clear" w:color="auto" w:fill="auto"/>
            <w:noWrap/>
            <w:vAlign w:val="center"/>
          </w:tcPr>
          <w:p w14:paraId="5AA8104B" w14:textId="77777777" w:rsidR="00EB64AE" w:rsidRPr="001B4CA2" w:rsidRDefault="00EB64AE" w:rsidP="00BD4C8A">
            <w:pPr>
              <w:jc w:val="center"/>
              <w:rPr>
                <w:sz w:val="18"/>
                <w:szCs w:val="18"/>
              </w:rPr>
            </w:pPr>
            <w:r w:rsidRPr="001B4CA2">
              <w:rPr>
                <w:sz w:val="18"/>
                <w:szCs w:val="18"/>
              </w:rPr>
              <w:t>50</w:t>
            </w:r>
          </w:p>
        </w:tc>
        <w:tc>
          <w:tcPr>
            <w:tcW w:w="1593" w:type="dxa"/>
            <w:shd w:val="clear" w:color="auto" w:fill="auto"/>
            <w:noWrap/>
            <w:vAlign w:val="center"/>
          </w:tcPr>
          <w:p w14:paraId="7C85FA0A" w14:textId="77777777" w:rsidR="00EB64AE" w:rsidRPr="001B4CA2" w:rsidRDefault="00EB64AE" w:rsidP="00BD4C8A">
            <w:pPr>
              <w:jc w:val="center"/>
              <w:rPr>
                <w:sz w:val="18"/>
                <w:szCs w:val="18"/>
              </w:rPr>
            </w:pPr>
            <w:r w:rsidRPr="001B4CA2">
              <w:rPr>
                <w:sz w:val="18"/>
                <w:szCs w:val="18"/>
              </w:rPr>
              <w:t>16</w:t>
            </w:r>
          </w:p>
        </w:tc>
        <w:tc>
          <w:tcPr>
            <w:tcW w:w="1594" w:type="dxa"/>
            <w:shd w:val="clear" w:color="auto" w:fill="auto"/>
            <w:noWrap/>
            <w:vAlign w:val="center"/>
          </w:tcPr>
          <w:p w14:paraId="3AD647F2" w14:textId="77777777" w:rsidR="00EB64AE" w:rsidRPr="001B4CA2" w:rsidRDefault="00EB64AE" w:rsidP="00BD4C8A">
            <w:pPr>
              <w:jc w:val="center"/>
              <w:rPr>
                <w:sz w:val="18"/>
                <w:szCs w:val="18"/>
              </w:rPr>
            </w:pPr>
            <w:r w:rsidRPr="001B4CA2">
              <w:rPr>
                <w:sz w:val="18"/>
                <w:szCs w:val="18"/>
              </w:rPr>
              <w:t>8</w:t>
            </w:r>
          </w:p>
        </w:tc>
      </w:tr>
      <w:tr w:rsidR="00EB64AE" w:rsidRPr="001B4CA2" w14:paraId="48C58444" w14:textId="77777777" w:rsidTr="00BD4C8A">
        <w:trPr>
          <w:trHeight w:val="314"/>
        </w:trPr>
        <w:tc>
          <w:tcPr>
            <w:tcW w:w="1060" w:type="dxa"/>
            <w:shd w:val="clear" w:color="auto" w:fill="auto"/>
            <w:noWrap/>
            <w:vAlign w:val="center"/>
          </w:tcPr>
          <w:p w14:paraId="22E41234" w14:textId="77777777" w:rsidR="00EB64AE" w:rsidRPr="001B4CA2" w:rsidRDefault="00EB64AE" w:rsidP="00BD4C8A">
            <w:pPr>
              <w:jc w:val="center"/>
              <w:rPr>
                <w:sz w:val="18"/>
                <w:szCs w:val="18"/>
              </w:rPr>
            </w:pPr>
            <w:r w:rsidRPr="001B4CA2">
              <w:rPr>
                <w:sz w:val="18"/>
                <w:szCs w:val="18"/>
              </w:rPr>
              <w:t>2021.</w:t>
            </w:r>
          </w:p>
        </w:tc>
        <w:tc>
          <w:tcPr>
            <w:tcW w:w="1593" w:type="dxa"/>
            <w:shd w:val="clear" w:color="auto" w:fill="auto"/>
            <w:noWrap/>
            <w:vAlign w:val="center"/>
          </w:tcPr>
          <w:p w14:paraId="229B13E8" w14:textId="77777777" w:rsidR="00EB64AE" w:rsidRPr="001B4CA2" w:rsidRDefault="00EB64AE" w:rsidP="00BD4C8A">
            <w:pPr>
              <w:jc w:val="center"/>
              <w:rPr>
                <w:sz w:val="18"/>
                <w:szCs w:val="18"/>
              </w:rPr>
            </w:pPr>
            <w:r w:rsidRPr="001B4CA2">
              <w:rPr>
                <w:sz w:val="18"/>
                <w:szCs w:val="18"/>
              </w:rPr>
              <w:t>50</w:t>
            </w:r>
          </w:p>
        </w:tc>
        <w:tc>
          <w:tcPr>
            <w:tcW w:w="1594" w:type="dxa"/>
            <w:shd w:val="clear" w:color="auto" w:fill="auto"/>
            <w:noWrap/>
            <w:vAlign w:val="center"/>
          </w:tcPr>
          <w:p w14:paraId="32577BE8" w14:textId="77777777" w:rsidR="00EB64AE" w:rsidRPr="001B4CA2" w:rsidRDefault="00EB64AE" w:rsidP="00BD4C8A">
            <w:pPr>
              <w:jc w:val="center"/>
              <w:rPr>
                <w:sz w:val="18"/>
                <w:szCs w:val="18"/>
              </w:rPr>
            </w:pPr>
            <w:r w:rsidRPr="001B4CA2">
              <w:rPr>
                <w:sz w:val="18"/>
                <w:szCs w:val="18"/>
              </w:rPr>
              <w:t>29</w:t>
            </w:r>
          </w:p>
        </w:tc>
        <w:tc>
          <w:tcPr>
            <w:tcW w:w="1593" w:type="dxa"/>
            <w:shd w:val="clear" w:color="auto" w:fill="auto"/>
            <w:noWrap/>
            <w:vAlign w:val="center"/>
          </w:tcPr>
          <w:p w14:paraId="613937D7" w14:textId="77777777" w:rsidR="00EB64AE" w:rsidRPr="001B4CA2" w:rsidRDefault="00EB64AE" w:rsidP="00BD4C8A">
            <w:pPr>
              <w:jc w:val="center"/>
              <w:rPr>
                <w:sz w:val="18"/>
                <w:szCs w:val="18"/>
              </w:rPr>
            </w:pPr>
            <w:r w:rsidRPr="001B4CA2">
              <w:rPr>
                <w:sz w:val="18"/>
                <w:szCs w:val="18"/>
              </w:rPr>
              <w:t>24</w:t>
            </w:r>
          </w:p>
        </w:tc>
        <w:tc>
          <w:tcPr>
            <w:tcW w:w="1594" w:type="dxa"/>
            <w:shd w:val="clear" w:color="auto" w:fill="auto"/>
            <w:noWrap/>
            <w:vAlign w:val="center"/>
          </w:tcPr>
          <w:p w14:paraId="6B2014A9" w14:textId="77777777" w:rsidR="00EB64AE" w:rsidRPr="001B4CA2" w:rsidRDefault="00EB64AE" w:rsidP="00BD4C8A">
            <w:pPr>
              <w:jc w:val="center"/>
              <w:rPr>
                <w:sz w:val="18"/>
                <w:szCs w:val="18"/>
              </w:rPr>
            </w:pPr>
            <w:r w:rsidRPr="001B4CA2">
              <w:rPr>
                <w:sz w:val="18"/>
                <w:szCs w:val="18"/>
              </w:rPr>
              <w:t>6</w:t>
            </w:r>
          </w:p>
        </w:tc>
      </w:tr>
      <w:tr w:rsidR="00EB64AE" w:rsidRPr="001B4CA2" w14:paraId="3E44C152" w14:textId="77777777" w:rsidTr="00BD4C8A">
        <w:trPr>
          <w:trHeight w:val="314"/>
        </w:trPr>
        <w:tc>
          <w:tcPr>
            <w:tcW w:w="1060" w:type="dxa"/>
            <w:shd w:val="clear" w:color="auto" w:fill="auto"/>
            <w:noWrap/>
            <w:vAlign w:val="center"/>
          </w:tcPr>
          <w:p w14:paraId="5C6FFBB2" w14:textId="77777777" w:rsidR="00EB64AE" w:rsidRPr="001B4CA2" w:rsidRDefault="00EB64AE" w:rsidP="00BD4C8A">
            <w:pPr>
              <w:jc w:val="center"/>
              <w:rPr>
                <w:sz w:val="18"/>
                <w:szCs w:val="18"/>
              </w:rPr>
            </w:pPr>
            <w:r w:rsidRPr="001B4CA2">
              <w:rPr>
                <w:sz w:val="18"/>
                <w:szCs w:val="18"/>
              </w:rPr>
              <w:t>2022.</w:t>
            </w:r>
          </w:p>
        </w:tc>
        <w:tc>
          <w:tcPr>
            <w:tcW w:w="1593" w:type="dxa"/>
            <w:shd w:val="clear" w:color="auto" w:fill="auto"/>
            <w:noWrap/>
            <w:vAlign w:val="center"/>
          </w:tcPr>
          <w:p w14:paraId="4F17B115" w14:textId="77777777" w:rsidR="00EB64AE" w:rsidRPr="001B4CA2" w:rsidRDefault="00EB64AE" w:rsidP="00BD4C8A">
            <w:pPr>
              <w:jc w:val="center"/>
              <w:rPr>
                <w:sz w:val="18"/>
                <w:szCs w:val="18"/>
              </w:rPr>
            </w:pPr>
            <w:r w:rsidRPr="001B4CA2">
              <w:rPr>
                <w:sz w:val="18"/>
                <w:szCs w:val="18"/>
              </w:rPr>
              <w:t>121</w:t>
            </w:r>
          </w:p>
        </w:tc>
        <w:tc>
          <w:tcPr>
            <w:tcW w:w="1594" w:type="dxa"/>
            <w:shd w:val="clear" w:color="auto" w:fill="auto"/>
            <w:noWrap/>
            <w:vAlign w:val="center"/>
          </w:tcPr>
          <w:p w14:paraId="5AF14F2A" w14:textId="77777777" w:rsidR="00EB64AE" w:rsidRPr="001B4CA2" w:rsidRDefault="00EB64AE" w:rsidP="00BD4C8A">
            <w:pPr>
              <w:jc w:val="center"/>
              <w:rPr>
                <w:sz w:val="18"/>
                <w:szCs w:val="18"/>
              </w:rPr>
            </w:pPr>
            <w:r w:rsidRPr="001B4CA2">
              <w:rPr>
                <w:sz w:val="18"/>
                <w:szCs w:val="18"/>
              </w:rPr>
              <w:t>99</w:t>
            </w:r>
          </w:p>
        </w:tc>
        <w:tc>
          <w:tcPr>
            <w:tcW w:w="1593" w:type="dxa"/>
            <w:shd w:val="clear" w:color="auto" w:fill="auto"/>
            <w:noWrap/>
            <w:vAlign w:val="center"/>
          </w:tcPr>
          <w:p w14:paraId="7676E49B" w14:textId="77777777" w:rsidR="00EB64AE" w:rsidRPr="001B4CA2" w:rsidRDefault="00EB64AE" w:rsidP="00BD4C8A">
            <w:pPr>
              <w:jc w:val="center"/>
              <w:rPr>
                <w:sz w:val="18"/>
                <w:szCs w:val="18"/>
              </w:rPr>
            </w:pPr>
            <w:r w:rsidRPr="001B4CA2">
              <w:rPr>
                <w:sz w:val="18"/>
                <w:szCs w:val="18"/>
              </w:rPr>
              <w:t>56</w:t>
            </w:r>
          </w:p>
        </w:tc>
        <w:tc>
          <w:tcPr>
            <w:tcW w:w="1594" w:type="dxa"/>
            <w:shd w:val="clear" w:color="auto" w:fill="auto"/>
            <w:noWrap/>
            <w:vAlign w:val="center"/>
          </w:tcPr>
          <w:p w14:paraId="4A2D1328" w14:textId="77777777" w:rsidR="00EB64AE" w:rsidRPr="001B4CA2" w:rsidRDefault="00EB64AE" w:rsidP="00BD4C8A">
            <w:pPr>
              <w:jc w:val="center"/>
              <w:rPr>
                <w:sz w:val="18"/>
                <w:szCs w:val="18"/>
              </w:rPr>
            </w:pPr>
            <w:r w:rsidRPr="001B4CA2">
              <w:rPr>
                <w:sz w:val="18"/>
                <w:szCs w:val="18"/>
              </w:rPr>
              <w:t>37</w:t>
            </w:r>
          </w:p>
        </w:tc>
      </w:tr>
    </w:tbl>
    <w:p w14:paraId="06567FD4" w14:textId="77777777" w:rsidR="00EB64AE" w:rsidRPr="001B4CA2" w:rsidRDefault="00EB64AE" w:rsidP="000C229B"/>
    <w:p w14:paraId="70F1577A" w14:textId="4039141E" w:rsidR="00EA3BDF" w:rsidRPr="001B4CA2" w:rsidRDefault="00EA3BDF" w:rsidP="00EA3BDF">
      <w:pPr>
        <w:pStyle w:val="Odlomakpopisa"/>
        <w:widowControl w:val="0"/>
        <w:ind w:left="0"/>
        <w:rPr>
          <w:snapToGrid w:val="0"/>
        </w:rPr>
      </w:pPr>
      <w:r w:rsidRPr="001B4CA2">
        <w:rPr>
          <w:snapToGrid w:val="0"/>
        </w:rPr>
        <w:tab/>
        <w:t>Tijekom izvještajnog razdoblja u predmetima iz nadležnosti Ureda podnesena je 121 žalba, pa kada se uzme u obzir da je doneseno ukupno 427 presuda, proizlazi da je žalba podnesena protiv 28,33</w:t>
      </w:r>
      <w:r w:rsidR="003B7B56">
        <w:rPr>
          <w:snapToGrid w:val="0"/>
        </w:rPr>
        <w:t> </w:t>
      </w:r>
      <w:r w:rsidRPr="001B4CA2">
        <w:rPr>
          <w:snapToGrid w:val="0"/>
        </w:rPr>
        <w:t>% donesenih presuda ili prosječno protiv svake 3,5 presude. Od ukupno podnesene 121 žalbe zbog odluke o kazni podneseno je 99 žalbi ili 81,8</w:t>
      </w:r>
      <w:r w:rsidR="003B7B56">
        <w:rPr>
          <w:snapToGrid w:val="0"/>
        </w:rPr>
        <w:t> </w:t>
      </w:r>
      <w:r w:rsidRPr="001B4CA2">
        <w:rPr>
          <w:snapToGrid w:val="0"/>
        </w:rPr>
        <w:t xml:space="preserve">% svih žalbi. </w:t>
      </w:r>
    </w:p>
    <w:p w14:paraId="75B5C58C" w14:textId="10472DBC" w:rsidR="00EA3BDF" w:rsidRPr="001B4CA2" w:rsidRDefault="00EA3BDF" w:rsidP="00EA3BDF">
      <w:pPr>
        <w:pStyle w:val="Odlomakpopisa"/>
        <w:widowControl w:val="0"/>
        <w:ind w:left="0" w:firstLine="720"/>
        <w:rPr>
          <w:snapToGrid w:val="0"/>
        </w:rPr>
      </w:pPr>
      <w:r w:rsidRPr="001B4CA2">
        <w:rPr>
          <w:snapToGrid w:val="0"/>
        </w:rPr>
        <w:lastRenderedPageBreak/>
        <w:t xml:space="preserve">Analizirajući podatke iz tablice, </w:t>
      </w:r>
      <w:r w:rsidR="003B7B56">
        <w:rPr>
          <w:snapToGrid w:val="0"/>
        </w:rPr>
        <w:t xml:space="preserve">razvidno </w:t>
      </w:r>
      <w:r w:rsidRPr="001B4CA2">
        <w:rPr>
          <w:snapToGrid w:val="0"/>
        </w:rPr>
        <w:t>je da je u izvještajnom razdoblju podneseno više žalbi ukupno, kao i više žalbi zbog odluke o kazni u odnosu na 2021. godinu kada je žalba bila podnesena u odnosu na 16,39</w:t>
      </w:r>
      <w:r w:rsidR="003B7B56">
        <w:rPr>
          <w:snapToGrid w:val="0"/>
        </w:rPr>
        <w:t> </w:t>
      </w:r>
      <w:r w:rsidRPr="001B4CA2">
        <w:rPr>
          <w:snapToGrid w:val="0"/>
        </w:rPr>
        <w:t>% presuda ili protiv prosječno svak</w:t>
      </w:r>
      <w:r w:rsidR="003B7B56">
        <w:rPr>
          <w:snapToGrid w:val="0"/>
        </w:rPr>
        <w:t>ih</w:t>
      </w:r>
      <w:r w:rsidRPr="001B4CA2">
        <w:rPr>
          <w:snapToGrid w:val="0"/>
        </w:rPr>
        <w:t xml:space="preserve"> 6 presud</w:t>
      </w:r>
      <w:r w:rsidR="003B7B56">
        <w:rPr>
          <w:snapToGrid w:val="0"/>
        </w:rPr>
        <w:t>a</w:t>
      </w:r>
      <w:r w:rsidRPr="001B4CA2">
        <w:rPr>
          <w:snapToGrid w:val="0"/>
        </w:rPr>
        <w:t>, od čega je 58</w:t>
      </w:r>
      <w:r w:rsidR="003B7B56">
        <w:rPr>
          <w:snapToGrid w:val="0"/>
        </w:rPr>
        <w:t> </w:t>
      </w:r>
      <w:r w:rsidRPr="001B4CA2">
        <w:rPr>
          <w:snapToGrid w:val="0"/>
        </w:rPr>
        <w:t xml:space="preserve">% žalbi bilo podneseno zbog odluke o kazni, ali također više i u odnosu na sve ostale godine promatranog razdoblja. </w:t>
      </w:r>
    </w:p>
    <w:p w14:paraId="59689128" w14:textId="77777777" w:rsidR="00EA3BDF" w:rsidRPr="001B4CA2" w:rsidRDefault="00EA3BDF" w:rsidP="00EA3BDF">
      <w:pPr>
        <w:pStyle w:val="Odlomakpopisa"/>
        <w:widowControl w:val="0"/>
        <w:ind w:left="0"/>
        <w:rPr>
          <w:snapToGrid w:val="0"/>
        </w:rPr>
      </w:pPr>
    </w:p>
    <w:p w14:paraId="1B958AC5" w14:textId="51107CC3" w:rsidR="00EA3BDF" w:rsidRPr="001B4CA2" w:rsidRDefault="00EA3BDF" w:rsidP="00EA3BDF">
      <w:pPr>
        <w:pStyle w:val="Odlomakpopisa"/>
        <w:widowControl w:val="0"/>
        <w:ind w:left="0"/>
        <w:rPr>
          <w:snapToGrid w:val="0"/>
        </w:rPr>
      </w:pPr>
      <w:r w:rsidRPr="001B4CA2">
        <w:rPr>
          <w:snapToGrid w:val="0"/>
        </w:rPr>
        <w:tab/>
        <w:t xml:space="preserve">Razlog uobičajeno visoke zastupljenosti žalbi podnesenih zbog odluke o kazni naspram žalbi podnesenih iz drugih razloga najvećim je </w:t>
      </w:r>
      <w:r w:rsidR="003B7B56" w:rsidRPr="001B4CA2">
        <w:rPr>
          <w:snapToGrid w:val="0"/>
        </w:rPr>
        <w:t xml:space="preserve">dijelom </w:t>
      </w:r>
      <w:r w:rsidRPr="001B4CA2">
        <w:rPr>
          <w:snapToGrid w:val="0"/>
        </w:rPr>
        <w:t xml:space="preserve">rezultat izrazito visokog </w:t>
      </w:r>
      <w:r w:rsidR="003B7B56">
        <w:rPr>
          <w:snapToGrid w:val="0"/>
        </w:rPr>
        <w:t>udjela</w:t>
      </w:r>
      <w:r w:rsidRPr="001B4CA2">
        <w:rPr>
          <w:snapToGrid w:val="0"/>
        </w:rPr>
        <w:t xml:space="preserve"> donesenih osuđujućih presuda u predmetima iz nadležnosti Ureda koje u izvještajnoj godini participiraju s 95,31</w:t>
      </w:r>
      <w:r w:rsidR="003B7B56">
        <w:rPr>
          <w:snapToGrid w:val="0"/>
        </w:rPr>
        <w:t> </w:t>
      </w:r>
      <w:r w:rsidRPr="001B4CA2">
        <w:rPr>
          <w:snapToGrid w:val="0"/>
        </w:rPr>
        <w:t xml:space="preserve">% u ukupnom broju svih donesenih presuda. </w:t>
      </w:r>
    </w:p>
    <w:p w14:paraId="52F955DF" w14:textId="77777777" w:rsidR="00EA3BDF" w:rsidRPr="001B4CA2" w:rsidRDefault="00EA3BDF" w:rsidP="00EA3BDF">
      <w:pPr>
        <w:pStyle w:val="Odlomakpopisa"/>
        <w:widowControl w:val="0"/>
        <w:ind w:left="0"/>
        <w:rPr>
          <w:snapToGrid w:val="0"/>
        </w:rPr>
      </w:pPr>
    </w:p>
    <w:p w14:paraId="42602F97" w14:textId="6B6DEE2C" w:rsidR="00EA3BDF" w:rsidRPr="001B4CA2" w:rsidRDefault="00EA3BDF" w:rsidP="00EA3BDF">
      <w:pPr>
        <w:pStyle w:val="Odlomakpopisa"/>
        <w:widowControl w:val="0"/>
        <w:ind w:left="0"/>
        <w:rPr>
          <w:snapToGrid w:val="0"/>
        </w:rPr>
      </w:pPr>
      <w:r w:rsidRPr="001B4CA2">
        <w:rPr>
          <w:snapToGrid w:val="0"/>
        </w:rPr>
        <w:tab/>
        <w:t xml:space="preserve">Također </w:t>
      </w:r>
      <w:r w:rsidR="003B7B56">
        <w:rPr>
          <w:snapToGrid w:val="0"/>
        </w:rPr>
        <w:t xml:space="preserve">valja </w:t>
      </w:r>
      <w:r w:rsidRPr="001B4CA2">
        <w:rPr>
          <w:snapToGrid w:val="0"/>
        </w:rPr>
        <w:t xml:space="preserve">napomenuti da je od 407 osuđujućih presuda njih 239 doneseno na temelju sporazuma, pa kako protiv tih presuda nije moguće podnošenje žalbe zbog odluke o kazni, kada se uzme u obzir broj ostalih osuđujućih presuda, proizlazi da je žalbena aktivnost Ureda bila još veća te da je žalba zapravo podnesena protiv svake 1,5 presude protiv koje je bilo moguće podnošenje žalbe zbog odluke o kazni, dok je u 2021. bila podnesena protiv svake 2,3 presude protiv koje je bilo moguće podnošenje žalbe iz tog žalbenog osnova. </w:t>
      </w:r>
    </w:p>
    <w:p w14:paraId="7F0E9D0D" w14:textId="77777777" w:rsidR="00EA3BDF" w:rsidRPr="001B4CA2" w:rsidRDefault="00EA3BDF" w:rsidP="00EA3BDF">
      <w:pPr>
        <w:pStyle w:val="Odlomakpopisa"/>
        <w:widowControl w:val="0"/>
        <w:ind w:left="0"/>
        <w:rPr>
          <w:snapToGrid w:val="0"/>
        </w:rPr>
      </w:pPr>
      <w:r w:rsidRPr="001B4CA2">
        <w:rPr>
          <w:snapToGrid w:val="0"/>
        </w:rPr>
        <w:tab/>
      </w:r>
    </w:p>
    <w:p w14:paraId="6EABFCD2" w14:textId="185829E8" w:rsidR="00EA3BDF" w:rsidRPr="001B4CA2" w:rsidRDefault="00EA3BDF" w:rsidP="00EA3BDF">
      <w:pPr>
        <w:pStyle w:val="Odlomakpopisa"/>
        <w:widowControl w:val="0"/>
        <w:ind w:left="0"/>
        <w:rPr>
          <w:snapToGrid w:val="0"/>
        </w:rPr>
      </w:pPr>
      <w:r w:rsidRPr="001B4CA2">
        <w:rPr>
          <w:snapToGrid w:val="0"/>
        </w:rPr>
        <w:tab/>
        <w:t>Usvojeno je ukupno 56 žalbi (46,28</w:t>
      </w:r>
      <w:r w:rsidR="004E5197">
        <w:rPr>
          <w:snapToGrid w:val="0"/>
        </w:rPr>
        <w:t> </w:t>
      </w:r>
      <w:r w:rsidRPr="001B4CA2">
        <w:rPr>
          <w:snapToGrid w:val="0"/>
        </w:rPr>
        <w:t>%), od čega zbog odluke o kazni 37 žalbi ili 66,07</w:t>
      </w:r>
      <w:r w:rsidR="004E5197">
        <w:rPr>
          <w:snapToGrid w:val="0"/>
        </w:rPr>
        <w:t> </w:t>
      </w:r>
      <w:r w:rsidRPr="001B4CA2">
        <w:rPr>
          <w:snapToGrid w:val="0"/>
        </w:rPr>
        <w:t xml:space="preserve">% svih usvojenih žalbi. Postotak ukupno usvojenih žalbi na razini </w:t>
      </w:r>
      <w:r w:rsidR="004E5197" w:rsidRPr="001B4CA2">
        <w:rPr>
          <w:snapToGrid w:val="0"/>
        </w:rPr>
        <w:t xml:space="preserve">je </w:t>
      </w:r>
      <w:r w:rsidRPr="001B4CA2">
        <w:rPr>
          <w:snapToGrid w:val="0"/>
        </w:rPr>
        <w:t xml:space="preserve">2021. godine, ali </w:t>
      </w:r>
      <w:r w:rsidR="004E5197">
        <w:rPr>
          <w:snapToGrid w:val="0"/>
        </w:rPr>
        <w:t xml:space="preserve">je </w:t>
      </w:r>
      <w:r w:rsidRPr="001B4CA2">
        <w:rPr>
          <w:snapToGrid w:val="0"/>
        </w:rPr>
        <w:t xml:space="preserve">znatno veći u odnosu na ranija razdoblja, dok je zbog odluke o kazni u 2022. godini usvojeno znatno više žalbi nego u ranijim godinama promatranog razdoblja. </w:t>
      </w:r>
    </w:p>
    <w:p w14:paraId="570F034B" w14:textId="77777777" w:rsidR="00EA3BDF" w:rsidRPr="001B4CA2" w:rsidRDefault="00EA3BDF" w:rsidP="006262C8">
      <w:pPr>
        <w:widowControl w:val="0"/>
        <w:rPr>
          <w:snapToGrid w:val="0"/>
        </w:rPr>
      </w:pPr>
    </w:p>
    <w:p w14:paraId="7192F674" w14:textId="09F7C263" w:rsidR="00BB4D48" w:rsidRPr="001B4CA2" w:rsidRDefault="00BB4D48" w:rsidP="00D8449C">
      <w:pPr>
        <w:pStyle w:val="Naslov3"/>
        <w:tabs>
          <w:tab w:val="left" w:pos="851"/>
        </w:tabs>
        <w:ind w:left="567"/>
        <w:rPr>
          <w:rFonts w:ascii="Arial" w:hAnsi="Arial" w:cs="Arial"/>
        </w:rPr>
      </w:pPr>
      <w:bookmarkStart w:id="138" w:name="_Toc133394368"/>
      <w:r w:rsidRPr="001B4CA2">
        <w:rPr>
          <w:rFonts w:ascii="Arial" w:hAnsi="Arial" w:cs="Arial"/>
        </w:rPr>
        <w:t>Poduzim</w:t>
      </w:r>
      <w:r w:rsidR="00CE234E" w:rsidRPr="001B4CA2">
        <w:rPr>
          <w:rFonts w:ascii="Arial" w:hAnsi="Arial" w:cs="Arial"/>
        </w:rPr>
        <w:t>anje posebnih dokaznih radnji</w:t>
      </w:r>
      <w:bookmarkEnd w:id="138"/>
    </w:p>
    <w:p w14:paraId="791CE213" w14:textId="77777777" w:rsidR="00F54622" w:rsidRPr="001B4CA2" w:rsidRDefault="00F54622" w:rsidP="00CE69BE"/>
    <w:p w14:paraId="660BBC8A" w14:textId="11AFA445" w:rsidR="00EF3A91" w:rsidRPr="001B4CA2" w:rsidRDefault="00EF3A91" w:rsidP="00EF3A91">
      <w:pPr>
        <w:ind w:firstLine="709"/>
      </w:pPr>
      <w:r w:rsidRPr="001B4CA2">
        <w:t>Tijekom izvještajnog razdoblja na zahtjev Ureda za suzbijanje korupcije i organiziranog kriminaliteta suci istrage županijskih sudova izdali su ukupno 229 naloga za provođenje posebnih dokaznih radnji, što je za 61 nalog ili 21,03</w:t>
      </w:r>
      <w:r w:rsidR="004E5197">
        <w:t> </w:t>
      </w:r>
      <w:r w:rsidRPr="001B4CA2">
        <w:t>% manje</w:t>
      </w:r>
      <w:r w:rsidR="00FD08E9">
        <w:t xml:space="preserve"> </w:t>
      </w:r>
      <w:r w:rsidRPr="001B4CA2">
        <w:t>u odnosu na prethodno izvještajno razdoblje tijekom kojeg je izdano 290 naloga. Posljedično, pao je i broj osoba u odnosu na koje su posebne dokazne radnje naložene. Naime</w:t>
      </w:r>
      <w:r w:rsidR="004E5197">
        <w:t>,</w:t>
      </w:r>
      <w:r w:rsidRPr="001B4CA2">
        <w:t xml:space="preserve"> u izvještajnom razdoblju posebne </w:t>
      </w:r>
      <w:r w:rsidR="004E5197" w:rsidRPr="001B4CA2">
        <w:t xml:space="preserve">su </w:t>
      </w:r>
      <w:r w:rsidRPr="001B4CA2">
        <w:t xml:space="preserve">dokazne radnje naložene u odnosu na 358 osoba, dok je u prethodnom izvještajnom razdoblju izdano naloga u odnosu na 403 osobe. </w:t>
      </w:r>
    </w:p>
    <w:p w14:paraId="6B4CDE76" w14:textId="77777777" w:rsidR="00EF3A91" w:rsidRPr="001B4CA2" w:rsidRDefault="00EF3A91" w:rsidP="00EF3A91">
      <w:pPr>
        <w:ind w:firstLine="709"/>
      </w:pPr>
    </w:p>
    <w:p w14:paraId="7EFF3705" w14:textId="1D95F167" w:rsidR="00EF3A91" w:rsidRPr="001B4CA2" w:rsidRDefault="00EF3A91" w:rsidP="00EF3A91">
      <w:pPr>
        <w:ind w:firstLine="709"/>
      </w:pPr>
      <w:r w:rsidRPr="001B4CA2">
        <w:t>Broj posebnih dokaznih radnji koje se provedu u određenom izvještajnom</w:t>
      </w:r>
      <w:r w:rsidR="00FD08E9">
        <w:t xml:space="preserve"> </w:t>
      </w:r>
      <w:r w:rsidRPr="001B4CA2">
        <w:t xml:space="preserve">razdoblju uvjetovan je prirodom i vrstom kaznenih djela koja se kao pojavnosti ostvaruju u pojedinom izvještajnom razdoblju, a </w:t>
      </w:r>
      <w:r w:rsidR="004E5197">
        <w:t>to</w:t>
      </w:r>
      <w:r w:rsidRPr="001B4CA2">
        <w:t xml:space="preserve"> uvjetuje i mogući način njihova izviđanja.</w:t>
      </w:r>
    </w:p>
    <w:p w14:paraId="1FEEB939" w14:textId="77777777" w:rsidR="00EF3A91" w:rsidRPr="001B4CA2" w:rsidRDefault="00EF3A91" w:rsidP="00EF3A91">
      <w:pPr>
        <w:ind w:firstLine="709"/>
        <w:rPr>
          <w:i/>
        </w:rPr>
      </w:pPr>
    </w:p>
    <w:p w14:paraId="244483AB" w14:textId="77777777" w:rsidR="00EF3A91" w:rsidRPr="001B4CA2" w:rsidRDefault="00EF3A91" w:rsidP="00EF3A91">
      <w:pPr>
        <w:ind w:firstLine="709"/>
      </w:pPr>
      <w:r w:rsidRPr="001B4CA2">
        <w:t xml:space="preserve">U izvještajnom razdoblju provodile su se i posebne dokazne radnje naložene tijekom prethodnog izvještajnog razdoblja (37 naloga). </w:t>
      </w:r>
    </w:p>
    <w:p w14:paraId="737C074B" w14:textId="77777777" w:rsidR="00EF3A91" w:rsidRPr="001B4CA2" w:rsidRDefault="00EF3A91" w:rsidP="00EF3A91">
      <w:pPr>
        <w:rPr>
          <w:i/>
        </w:rPr>
      </w:pPr>
    </w:p>
    <w:p w14:paraId="7ED22033" w14:textId="68C58F53" w:rsidR="00EF3A91" w:rsidRPr="001B4CA2" w:rsidRDefault="00EF3A91" w:rsidP="00EF3A91">
      <w:pPr>
        <w:ind w:firstLine="709"/>
      </w:pPr>
      <w:r w:rsidRPr="001B4CA2">
        <w:t xml:space="preserve">Nalozi za provođenje posebnih dokaznih radnji izdani su za ukupno 684 telefonska broja, i u odnosu na 422 IMEI uređaja, dok nije izdan nijedan nalog u odnosu na e-mail adrese. Posebne dokazne radnje također su primjenjivane u odnosu na različite prostorije i objekte kao što su kuće, stanovi, osobna i službena vozila, vikendice te zatvorske ćelije. </w:t>
      </w:r>
    </w:p>
    <w:p w14:paraId="5E2A3631" w14:textId="57EE0D05" w:rsidR="00EF3A91" w:rsidRPr="001B4CA2" w:rsidRDefault="00EF3A91" w:rsidP="00EF3A91">
      <w:pPr>
        <w:ind w:firstLine="709"/>
      </w:pPr>
      <w:r w:rsidRPr="001B4CA2">
        <w:lastRenderedPageBreak/>
        <w:t>Od ukupnog broja osoba u odnosu na koje su tijekom izvještajnog razdoblja naložene posebne dokazne radnje, njih 88,54</w:t>
      </w:r>
      <w:r w:rsidR="004E5197">
        <w:t> </w:t>
      </w:r>
      <w:r w:rsidRPr="001B4CA2">
        <w:t xml:space="preserve">% naloženo </w:t>
      </w:r>
      <w:r w:rsidR="004E5197" w:rsidRPr="001B4CA2">
        <w:t xml:space="preserve">je </w:t>
      </w:r>
      <w:r w:rsidRPr="001B4CA2">
        <w:t>zbog sumnje na počinjenje kaznenih djela organiziranog kriminaliteta</w:t>
      </w:r>
      <w:r w:rsidR="004E5197">
        <w:t>,</w:t>
      </w:r>
      <w:r w:rsidRPr="001B4CA2">
        <w:t xml:space="preserve"> i to u pretežitom dijelu (48,26</w:t>
      </w:r>
      <w:r w:rsidR="004E5197">
        <w:t> </w:t>
      </w:r>
      <w:r w:rsidRPr="001B4CA2">
        <w:t xml:space="preserve">%) kaznenog djela neovlaštena proizvodnja i promet drogama iz članka 190. Kaznenog zakona/11 počinjenog u sastavu zločinačkog udruženja. Posebne dokazne radnje </w:t>
      </w:r>
      <w:r w:rsidR="004E5197" w:rsidRPr="001B4CA2">
        <w:t>nal</w:t>
      </w:r>
      <w:r w:rsidR="004E5197">
        <w:t>ože</w:t>
      </w:r>
      <w:r w:rsidR="004E5197" w:rsidRPr="001B4CA2">
        <w:t xml:space="preserve">ne </w:t>
      </w:r>
      <w:r w:rsidRPr="001B4CA2">
        <w:t>su i zbog kaznenog djela protuzakonito ulaženje, kretanje i boravak u Republici Hrvatskoj, drugoj državi članici Europske unije ili potpisnici Šengenskog sporazuma iz članka 326. Kaznenog zakona/11 počinjenog u sastavu zločinačkog udruženja (12,61</w:t>
      </w:r>
      <w:r w:rsidR="004E5197">
        <w:t> </w:t>
      </w:r>
      <w:r w:rsidRPr="001B4CA2">
        <w:t>%), kaznenog djela prijevare iz čl. 236. Kaznenog zakona/11, počinjenog u sastavu zločinačkog udruženja (9,46</w:t>
      </w:r>
      <w:r w:rsidR="004E5197">
        <w:t> </w:t>
      </w:r>
      <w:r w:rsidRPr="001B4CA2">
        <w:t>%), kaznenog djela izbjegavanje carinskog nadzora iz članka 257. Kaznenog zakona/11 počinjenog u sastavu zločinačkog udruženja (8,20</w:t>
      </w:r>
      <w:r w:rsidR="004E5197">
        <w:t> </w:t>
      </w:r>
      <w:r w:rsidRPr="001B4CA2">
        <w:t>%), kaznenog djela utaje poreza ili carine iz čl. 256. Kaznenog zakona/11 počinjenog u sastavu zločinačkog udruženja (7,57</w:t>
      </w:r>
      <w:r w:rsidR="004E5197">
        <w:t> </w:t>
      </w:r>
      <w:r w:rsidRPr="001B4CA2">
        <w:t>%).</w:t>
      </w:r>
    </w:p>
    <w:p w14:paraId="146DE4C6" w14:textId="77777777" w:rsidR="00EF3A91" w:rsidRPr="001B4CA2" w:rsidRDefault="00EF3A91" w:rsidP="00EF3A91">
      <w:pPr>
        <w:ind w:firstLine="709"/>
      </w:pPr>
    </w:p>
    <w:p w14:paraId="56EE33C7" w14:textId="4B918541" w:rsidR="00EF3A91" w:rsidRPr="001B4CA2" w:rsidRDefault="00EF3A91" w:rsidP="00EF3A91">
      <w:pPr>
        <w:ind w:firstLine="709"/>
        <w:rPr>
          <w:i/>
        </w:rPr>
      </w:pPr>
      <w:r w:rsidRPr="001B4CA2">
        <w:t xml:space="preserve">Od ukupnog broja osoba u odnosu na koje su naložene posebne dokazne radnje na koruptivna kaznena djela </w:t>
      </w:r>
      <w:r w:rsidR="004E5197" w:rsidRPr="001B4CA2">
        <w:t xml:space="preserve">odnosi </w:t>
      </w:r>
      <w:r w:rsidRPr="001B4CA2">
        <w:t>se 11,45</w:t>
      </w:r>
      <w:r w:rsidR="004E5197">
        <w:t> </w:t>
      </w:r>
      <w:r w:rsidRPr="001B4CA2">
        <w:t>%. Od tog broja najveći broj naloga (58,53</w:t>
      </w:r>
      <w:r w:rsidR="004E5197">
        <w:t> </w:t>
      </w:r>
      <w:r w:rsidRPr="001B4CA2">
        <w:t>%) izdan je zbog kaznenog djela zlouporabe položaja i ovlasti iz članka 291. Kaznenog zakona/11, a ostalo se odnosi na kazneno djelo primanja mita iz članka 293. Kaznenog zakona/11 (21,95</w:t>
      </w:r>
      <w:r w:rsidR="004E5197">
        <w:t> </w:t>
      </w:r>
      <w:r w:rsidRPr="001B4CA2">
        <w:t>%), kazneno djelo davanja mita iz članka 294. Kaznenog zakona/11 (7,31</w:t>
      </w:r>
      <w:r w:rsidR="004E5197">
        <w:t> </w:t>
      </w:r>
      <w:r w:rsidRPr="001B4CA2">
        <w:t>%), kazneno djelo primanja mita u gospodarskom poslovanju iz članka 252. Kaznenog zakona/11 (7,31</w:t>
      </w:r>
      <w:r w:rsidR="004E5197">
        <w:t> </w:t>
      </w:r>
      <w:r w:rsidRPr="001B4CA2">
        <w:t>%) i kazneno djelo trgovanja utjecajem iz članka 295. Kaznenog zakona/11 (4,87</w:t>
      </w:r>
      <w:r w:rsidR="004E5197">
        <w:t> </w:t>
      </w:r>
      <w:r w:rsidRPr="001B4CA2">
        <w:t>%).</w:t>
      </w:r>
    </w:p>
    <w:p w14:paraId="0B454DCF" w14:textId="77777777" w:rsidR="00EF3A91" w:rsidRPr="001B4CA2" w:rsidRDefault="00EF3A91" w:rsidP="00EF3A91"/>
    <w:p w14:paraId="7CC6C2FB" w14:textId="77777777" w:rsidR="00EF3A91" w:rsidRPr="001B4CA2" w:rsidRDefault="00EF3A91" w:rsidP="00EF3A91">
      <w:pPr>
        <w:ind w:firstLine="709"/>
      </w:pPr>
      <w:r w:rsidRPr="001B4CA2">
        <w:t xml:space="preserve">Zahtjevi državnog odvjetnika sucu istrage za </w:t>
      </w:r>
      <w:proofErr w:type="spellStart"/>
      <w:r w:rsidRPr="001B4CA2">
        <w:t>nalaganjem</w:t>
      </w:r>
      <w:proofErr w:type="spellEnd"/>
      <w:r w:rsidRPr="001B4CA2">
        <w:t xml:space="preserve"> posebnih dokaznih radnji u svim su slučajevima podneseni na temelju prijedloga policije. Niti jedan zahtjev nije odbijen.</w:t>
      </w:r>
    </w:p>
    <w:p w14:paraId="70330DA5" w14:textId="77777777" w:rsidR="00EF3A91" w:rsidRPr="001B4CA2" w:rsidRDefault="00EF3A91" w:rsidP="00EF3A91">
      <w:pPr>
        <w:ind w:firstLine="709"/>
      </w:pPr>
    </w:p>
    <w:p w14:paraId="719F5385" w14:textId="3CEBB84E" w:rsidR="00EF3A91" w:rsidRPr="001B4CA2" w:rsidRDefault="00EF3A91" w:rsidP="00EF3A91">
      <w:pPr>
        <w:ind w:firstLine="709"/>
      </w:pPr>
      <w:r w:rsidRPr="001B4CA2">
        <w:t>Od naloženih posebnih dokaznih radnji 15,92</w:t>
      </w:r>
      <w:r w:rsidR="004E5197">
        <w:t> </w:t>
      </w:r>
      <w:r w:rsidRPr="001B4CA2">
        <w:t xml:space="preserve">% završeno </w:t>
      </w:r>
      <w:r w:rsidR="004E5197" w:rsidRPr="001B4CA2">
        <w:t xml:space="preserve">je </w:t>
      </w:r>
      <w:r w:rsidRPr="001B4CA2">
        <w:t>prije isteka jednog mjeseca, 20,39</w:t>
      </w:r>
      <w:r w:rsidR="004E5197">
        <w:t> </w:t>
      </w:r>
      <w:r w:rsidRPr="001B4CA2">
        <w:t>% prije isteka dva mjeseca, 20,11</w:t>
      </w:r>
      <w:r w:rsidR="004E5197">
        <w:t> </w:t>
      </w:r>
      <w:r w:rsidRPr="001B4CA2">
        <w:t xml:space="preserve">% naloženih posebnih dokaznih radnji </w:t>
      </w:r>
      <w:r w:rsidR="004E5197" w:rsidRPr="001B4CA2">
        <w:t xml:space="preserve">trajalo </w:t>
      </w:r>
      <w:r w:rsidRPr="001B4CA2">
        <w:t>je između dva do tri mjeseca, 13,68</w:t>
      </w:r>
      <w:r w:rsidR="004E5197">
        <w:t> </w:t>
      </w:r>
      <w:r w:rsidRPr="001B4CA2">
        <w:t>% od tri do četiri mjeseca, 6,98% između četiri do pet mjeseci, dok su u odnosu na 8,93</w:t>
      </w:r>
      <w:r w:rsidR="004E5197">
        <w:t> </w:t>
      </w:r>
      <w:r w:rsidRPr="001B4CA2">
        <w:t xml:space="preserve">% slučajeva trajale između pet do šest mjeseci. </w:t>
      </w:r>
    </w:p>
    <w:p w14:paraId="08541AC4" w14:textId="77777777" w:rsidR="00EF3A91" w:rsidRPr="001B4CA2" w:rsidRDefault="00EF3A91" w:rsidP="00EF3A91">
      <w:pPr>
        <w:rPr>
          <w:i/>
          <w:highlight w:val="yellow"/>
        </w:rPr>
      </w:pPr>
    </w:p>
    <w:p w14:paraId="1D939803" w14:textId="2FCB0631" w:rsidR="00EF3A91" w:rsidRPr="001B4CA2" w:rsidRDefault="00EF3A91" w:rsidP="00EF3A91">
      <w:pPr>
        <w:ind w:firstLine="709"/>
      </w:pPr>
      <w:r w:rsidRPr="001B4CA2">
        <w:t>Tijekom izvještajnog razdoblja nalozi za provođenje posebnih dokaznih radnji su se, pretežito, kao i prethodnih izvještajnih godina, odnosili na radnje nadzora i tehničkog snimanja telefonskih razgovora i drugih komunikacija na daljinu iz članka 332. stavak 1. točka 1. Zakona o kaznenom postupku/08, i to samostalno ili u kombinaciji</w:t>
      </w:r>
      <w:r w:rsidR="00FD08E9">
        <w:t xml:space="preserve"> s </w:t>
      </w:r>
      <w:r w:rsidRPr="001B4CA2">
        <w:t xml:space="preserve">drugim posebnim dokaznim radnjama, od čega se najveći udio njih odnosi na tajno praćenje i tehničko snimanje osoba i predmeta iz čl. 332. stavak 1. točka 4. Zakona o kaznenom postupku/11, te nadzirani prijevoz i isporuku predmeta kaznenog djela iz članka 332. stavak 1. točka 8. Zakona o kaznenom postupku/08. </w:t>
      </w:r>
    </w:p>
    <w:p w14:paraId="423B7784" w14:textId="77777777" w:rsidR="00EF3A91" w:rsidRPr="001B4CA2" w:rsidRDefault="00EF3A91" w:rsidP="00EF3A91">
      <w:pPr>
        <w:ind w:firstLine="709"/>
        <w:rPr>
          <w:i/>
        </w:rPr>
      </w:pPr>
    </w:p>
    <w:p w14:paraId="014CBF1E" w14:textId="0091A693" w:rsidR="0020162B" w:rsidRPr="001B4CA2" w:rsidRDefault="00EF3A91" w:rsidP="00EF3A91">
      <w:pPr>
        <w:ind w:firstLine="708"/>
      </w:pPr>
      <w:r w:rsidRPr="001B4CA2">
        <w:t xml:space="preserve">Od ostalih posebnih dokaznih radnji </w:t>
      </w:r>
      <w:proofErr w:type="spellStart"/>
      <w:r w:rsidRPr="001B4CA2">
        <w:t>nalagan</w:t>
      </w:r>
      <w:proofErr w:type="spellEnd"/>
      <w:r w:rsidRPr="001B4CA2">
        <w:t xml:space="preserve"> je i ulazak u prostorije radi provođenja nadzora i tehničkog snimanja prostorija iz članka 332. stavak 1. točka 3. Zakona o kaznenom postupku/08 (13,12</w:t>
      </w:r>
      <w:r w:rsidR="004E5197">
        <w:t> </w:t>
      </w:r>
      <w:r w:rsidRPr="001B4CA2">
        <w:t xml:space="preserve">%), dokazna radnja simulirane prodaje i otkupa predmeta te simuliranog davanja </w:t>
      </w:r>
      <w:proofErr w:type="spellStart"/>
      <w:r w:rsidRPr="001B4CA2">
        <w:t>potkupnine</w:t>
      </w:r>
      <w:proofErr w:type="spellEnd"/>
      <w:r w:rsidRPr="001B4CA2">
        <w:t xml:space="preserve"> i simuliranog primanja </w:t>
      </w:r>
      <w:proofErr w:type="spellStart"/>
      <w:r w:rsidRPr="001B4CA2">
        <w:t>potkupnine</w:t>
      </w:r>
      <w:proofErr w:type="spellEnd"/>
      <w:r w:rsidRPr="001B4CA2">
        <w:t xml:space="preserve"> iz članka 332. stavak 1. točka 6. Zakon o kaznenom postupku/08 (4,46</w:t>
      </w:r>
      <w:r w:rsidR="004E5197">
        <w:t> </w:t>
      </w:r>
      <w:r w:rsidRPr="001B4CA2">
        <w:t>%), uporaba prikrivenih istražitelja i pouzdanika (2) iz članka 332. stavak 1. točka 5. Zakona o kaznenom postupku/11 (4,18</w:t>
      </w:r>
      <w:r w:rsidR="004E5197">
        <w:t> </w:t>
      </w:r>
      <w:r w:rsidRPr="001B4CA2">
        <w:t>%),</w:t>
      </w:r>
      <w:r w:rsidR="00FD08E9">
        <w:t xml:space="preserve"> </w:t>
      </w:r>
      <w:r w:rsidRPr="001B4CA2">
        <w:t xml:space="preserve">presretanje, prikupljanje i </w:t>
      </w:r>
      <w:r w:rsidRPr="001B4CA2">
        <w:lastRenderedPageBreak/>
        <w:t>snimanje računalnih podataka iz članka 332. stavak 1. točka 2. Zakona o kaznenom postupku/08 (1,39</w:t>
      </w:r>
      <w:r w:rsidR="004E5197">
        <w:t> </w:t>
      </w:r>
      <w:r w:rsidRPr="001B4CA2">
        <w:t>%).</w:t>
      </w:r>
    </w:p>
    <w:p w14:paraId="00099751" w14:textId="5EDF226C" w:rsidR="00EF3A91" w:rsidRPr="001B4CA2" w:rsidRDefault="00EF3A91" w:rsidP="00EF3A91">
      <w:pPr>
        <w:ind w:firstLine="708"/>
      </w:pPr>
      <w:r w:rsidRPr="001B4CA2">
        <w:br/>
      </w:r>
      <w:r w:rsidR="00FD08E9">
        <w:tab/>
      </w:r>
      <w:r w:rsidRPr="001B4CA2">
        <w:t>Od ukupnog broja osoba u odnosu na koje su izdani nalozi za provođenje posebnih dokaznih radnji, u odnosu na njih 292</w:t>
      </w:r>
      <w:r w:rsidR="00FD08E9">
        <w:t xml:space="preserve"> </w:t>
      </w:r>
      <w:r w:rsidR="004E5197" w:rsidRPr="001B4CA2">
        <w:t xml:space="preserve">dovršene su </w:t>
      </w:r>
      <w:r w:rsidRPr="001B4CA2">
        <w:t xml:space="preserve">posebne dokazne radnje, dok su u odnosu na 66 osoba još uvijek u tijeku. </w:t>
      </w:r>
    </w:p>
    <w:p w14:paraId="0AFEB01B" w14:textId="77777777" w:rsidR="00EF3A91" w:rsidRPr="001B4CA2" w:rsidRDefault="00EF3A91" w:rsidP="00EF3A91">
      <w:pPr>
        <w:ind w:firstLine="708"/>
      </w:pPr>
    </w:p>
    <w:p w14:paraId="67B6BFB1" w14:textId="5DF00FC5" w:rsidR="00EF3A91" w:rsidRPr="001B4CA2" w:rsidRDefault="00EF3A91" w:rsidP="00EF3A91">
      <w:pPr>
        <w:ind w:firstLine="708"/>
      </w:pPr>
      <w:r w:rsidRPr="001B4CA2">
        <w:t>Od ukupnog broja dovršenih posebnih dokaznih radnji tijekom izvještajnog razdoblja u odnosu na 162 osobe, odnosno 55,47</w:t>
      </w:r>
      <w:r w:rsidR="004E5197">
        <w:t> </w:t>
      </w:r>
      <w:r w:rsidRPr="001B4CA2">
        <w:t>%</w:t>
      </w:r>
      <w:r w:rsidR="004E5197">
        <w:t>,</w:t>
      </w:r>
      <w:r w:rsidRPr="001B4CA2">
        <w:t xml:space="preserve"> pokrenut </w:t>
      </w:r>
      <w:r w:rsidR="004E5197" w:rsidRPr="001B4CA2">
        <w:t xml:space="preserve">je </w:t>
      </w:r>
      <w:r w:rsidRPr="001B4CA2">
        <w:t>kazneni postupak.</w:t>
      </w:r>
      <w:r w:rsidRPr="001B4CA2">
        <w:rPr>
          <w:i/>
        </w:rPr>
        <w:t xml:space="preserve"> </w:t>
      </w:r>
      <w:r w:rsidRPr="001B4CA2">
        <w:t>Od toga broja pokretanjem kaznenog postupka najviše su rezultirale posebne dokazne radnje naložene za kaznena djela iz domene organiziranog kriminaliteta (88,27</w:t>
      </w:r>
      <w:r w:rsidR="004E5197">
        <w:t> </w:t>
      </w:r>
      <w:r w:rsidRPr="001B4CA2">
        <w:t xml:space="preserve">%). </w:t>
      </w:r>
    </w:p>
    <w:p w14:paraId="68E4E686" w14:textId="77777777" w:rsidR="00EF3A91" w:rsidRPr="001B4CA2" w:rsidRDefault="00EF3A91" w:rsidP="00EF3A91">
      <w:pPr>
        <w:rPr>
          <w:i/>
        </w:rPr>
      </w:pPr>
    </w:p>
    <w:p w14:paraId="306C88A9" w14:textId="235C7102" w:rsidR="00EF3A91" w:rsidRPr="001B4CA2" w:rsidRDefault="00EF3A91" w:rsidP="00EF3A91">
      <w:pPr>
        <w:ind w:right="70" w:firstLine="708"/>
        <w:contextualSpacing/>
      </w:pPr>
      <w:r w:rsidRPr="001B4CA2">
        <w:t>Osim za provođenje posebnih dokaznih radnji nalozi suca istrage izdavani su i za provjeru uspostavljanja telekomunikacijskih kontakata na temelju članka 339. a Zakona o kaznenom postupku/08 i to u odnosu na 135 osoba, odnosno 309</w:t>
      </w:r>
      <w:r w:rsidR="00FD08E9">
        <w:t xml:space="preserve"> </w:t>
      </w:r>
      <w:r w:rsidRPr="001B4CA2">
        <w:t>telefonskih brojeva i 208 brojeva IMEI uređaja.</w:t>
      </w:r>
    </w:p>
    <w:p w14:paraId="4EC37709" w14:textId="77777777" w:rsidR="00EF3A91" w:rsidRPr="001B4CA2" w:rsidRDefault="00EF3A91" w:rsidP="00EF3A91">
      <w:pPr>
        <w:rPr>
          <w:rFonts w:asciiTheme="majorHAnsi" w:hAnsiTheme="majorHAnsi"/>
          <w:b/>
        </w:rPr>
      </w:pPr>
    </w:p>
    <w:p w14:paraId="749D7B8B" w14:textId="77777777" w:rsidR="00D3013F" w:rsidRPr="001B4CA2" w:rsidRDefault="00D3013F" w:rsidP="00CE69BE">
      <w:pPr>
        <w:rPr>
          <w:rFonts w:eastAsia="Calibri"/>
        </w:rPr>
      </w:pPr>
    </w:p>
    <w:p w14:paraId="2E05AB97" w14:textId="5340AED7" w:rsidR="00CD16DE" w:rsidRPr="001B4CA2" w:rsidRDefault="00CD16DE" w:rsidP="00CE69BE">
      <w:r w:rsidRPr="001B4CA2">
        <w:br w:type="page"/>
      </w:r>
    </w:p>
    <w:p w14:paraId="1ED6B5FF" w14:textId="30773236" w:rsidR="00BB4D48" w:rsidRPr="001B4CA2" w:rsidRDefault="00566AB9" w:rsidP="00566AB9">
      <w:pPr>
        <w:pStyle w:val="Naslov1"/>
        <w:numPr>
          <w:ilvl w:val="0"/>
          <w:numId w:val="0"/>
        </w:numPr>
        <w:ind w:left="1080"/>
      </w:pPr>
      <w:bookmarkStart w:id="139" w:name="_Toc133394369"/>
      <w:r w:rsidRPr="001B4CA2">
        <w:lastRenderedPageBreak/>
        <w:t xml:space="preserve">III. </w:t>
      </w:r>
      <w:r w:rsidR="00087473" w:rsidRPr="001B4CA2">
        <w:t>IZVJEŠĆE</w:t>
      </w:r>
      <w:r w:rsidR="00BB4D48" w:rsidRPr="001B4CA2">
        <w:t xml:space="preserve"> O RADU NA POJEDINIM VRSTAMA PREDMETA I AKTUALNOJ PROBLEMATICI</w:t>
      </w:r>
      <w:r w:rsidR="00635D33" w:rsidRPr="001B4CA2">
        <w:t xml:space="preserve"> U 202</w:t>
      </w:r>
      <w:r w:rsidR="008F3210" w:rsidRPr="001B4CA2">
        <w:t>2</w:t>
      </w:r>
      <w:r w:rsidR="00635D33" w:rsidRPr="001B4CA2">
        <w:t>.</w:t>
      </w:r>
      <w:bookmarkEnd w:id="139"/>
    </w:p>
    <w:p w14:paraId="2E10C8EF" w14:textId="77777777" w:rsidR="00BB4D48" w:rsidRPr="001B4CA2" w:rsidRDefault="00BB4D48" w:rsidP="00886E1C"/>
    <w:p w14:paraId="07F77FA2" w14:textId="77777777" w:rsidR="00BC1C9E" w:rsidRPr="001B4CA2" w:rsidRDefault="00BC1C9E" w:rsidP="00886E1C"/>
    <w:p w14:paraId="54F955BC" w14:textId="5FE6AE52" w:rsidR="00BB4D48" w:rsidRPr="001B4CA2" w:rsidRDefault="00C86260" w:rsidP="00955E23">
      <w:pPr>
        <w:pStyle w:val="Naslov2"/>
        <w:tabs>
          <w:tab w:val="left" w:pos="284"/>
          <w:tab w:val="left" w:pos="426"/>
          <w:tab w:val="left" w:pos="567"/>
        </w:tabs>
        <w:ind w:left="0" w:firstLine="0"/>
        <w:rPr>
          <w:rFonts w:ascii="Arial" w:hAnsi="Arial" w:cs="Arial"/>
        </w:rPr>
      </w:pPr>
      <w:r w:rsidRPr="001B4CA2">
        <w:rPr>
          <w:rFonts w:ascii="Arial" w:hAnsi="Arial" w:cs="Arial"/>
        </w:rPr>
        <w:t xml:space="preserve"> </w:t>
      </w:r>
      <w:bookmarkStart w:id="140" w:name="_Toc133394370"/>
      <w:r w:rsidR="00BB4D48" w:rsidRPr="001B4CA2">
        <w:rPr>
          <w:rFonts w:ascii="Arial" w:hAnsi="Arial" w:cs="Arial"/>
        </w:rPr>
        <w:t xml:space="preserve">Prikaz rada na pojedinim vrstama </w:t>
      </w:r>
      <w:r w:rsidR="00635D33" w:rsidRPr="001B4CA2">
        <w:rPr>
          <w:rFonts w:ascii="Arial" w:hAnsi="Arial" w:cs="Arial"/>
        </w:rPr>
        <w:t xml:space="preserve">kaznenih </w:t>
      </w:r>
      <w:r w:rsidR="00BB4D48" w:rsidRPr="001B4CA2">
        <w:rPr>
          <w:rFonts w:ascii="Arial" w:hAnsi="Arial" w:cs="Arial"/>
        </w:rPr>
        <w:t>predmeta iz nadlež</w:t>
      </w:r>
      <w:r w:rsidR="00B24E4C" w:rsidRPr="001B4CA2">
        <w:rPr>
          <w:rFonts w:ascii="Arial" w:hAnsi="Arial" w:cs="Arial"/>
        </w:rPr>
        <w:t>nosti</w:t>
      </w:r>
      <w:r w:rsidR="00955E23" w:rsidRPr="001B4CA2">
        <w:rPr>
          <w:rFonts w:ascii="Arial" w:hAnsi="Arial" w:cs="Arial"/>
        </w:rPr>
        <w:t xml:space="preserve"> </w:t>
      </w:r>
      <w:r w:rsidR="00955E23" w:rsidRPr="001B4CA2">
        <w:rPr>
          <w:rFonts w:ascii="Arial" w:hAnsi="Arial" w:cs="Arial"/>
        </w:rPr>
        <w:tab/>
      </w:r>
      <w:r w:rsidR="00955E23" w:rsidRPr="001B4CA2">
        <w:rPr>
          <w:rFonts w:ascii="Arial" w:hAnsi="Arial" w:cs="Arial"/>
        </w:rPr>
        <w:tab/>
      </w:r>
      <w:r w:rsidR="00955E23" w:rsidRPr="001B4CA2">
        <w:rPr>
          <w:rFonts w:ascii="Arial" w:hAnsi="Arial" w:cs="Arial"/>
        </w:rPr>
        <w:tab/>
        <w:t xml:space="preserve"> </w:t>
      </w:r>
      <w:r w:rsidR="00B24E4C" w:rsidRPr="001B4CA2">
        <w:rPr>
          <w:rFonts w:ascii="Arial" w:hAnsi="Arial" w:cs="Arial"/>
        </w:rPr>
        <w:t>kaznenih odjela i USKOK</w:t>
      </w:r>
      <w:r w:rsidR="00F61A9E" w:rsidRPr="001B4CA2">
        <w:rPr>
          <w:rFonts w:ascii="Arial" w:hAnsi="Arial" w:cs="Arial"/>
        </w:rPr>
        <w:t>-</w:t>
      </w:r>
      <w:r w:rsidR="00B24E4C" w:rsidRPr="001B4CA2">
        <w:rPr>
          <w:rFonts w:ascii="Arial" w:hAnsi="Arial" w:cs="Arial"/>
        </w:rPr>
        <w:t>a</w:t>
      </w:r>
      <w:bookmarkEnd w:id="140"/>
    </w:p>
    <w:p w14:paraId="59D2D23C" w14:textId="77777777" w:rsidR="00C86260" w:rsidRPr="001B4CA2" w:rsidRDefault="00C86260" w:rsidP="006262C8"/>
    <w:p w14:paraId="01EA3CAE" w14:textId="124AF364" w:rsidR="00DB2DC0" w:rsidRPr="001B4CA2" w:rsidRDefault="00281410" w:rsidP="00955E23">
      <w:pPr>
        <w:pStyle w:val="Naslov3"/>
        <w:tabs>
          <w:tab w:val="left" w:pos="993"/>
        </w:tabs>
        <w:rPr>
          <w:rFonts w:ascii="Arial" w:hAnsi="Arial" w:cs="Arial"/>
        </w:rPr>
      </w:pPr>
      <w:r w:rsidRPr="001B4CA2">
        <w:rPr>
          <w:rFonts w:ascii="Arial" w:hAnsi="Arial" w:cs="Arial"/>
        </w:rPr>
        <w:t xml:space="preserve"> </w:t>
      </w:r>
      <w:bookmarkStart w:id="141" w:name="_Toc133394371"/>
      <w:r w:rsidR="00CE234E" w:rsidRPr="001B4CA2">
        <w:rPr>
          <w:rFonts w:ascii="Arial" w:hAnsi="Arial" w:cs="Arial"/>
        </w:rPr>
        <w:t>Kaznena</w:t>
      </w:r>
      <w:r w:rsidR="006262C8" w:rsidRPr="001B4CA2">
        <w:rPr>
          <w:rFonts w:ascii="Arial" w:hAnsi="Arial" w:cs="Arial"/>
        </w:rPr>
        <w:t xml:space="preserve"> </w:t>
      </w:r>
      <w:r w:rsidR="00CE234E" w:rsidRPr="001B4CA2">
        <w:rPr>
          <w:rFonts w:ascii="Arial" w:hAnsi="Arial" w:cs="Arial"/>
        </w:rPr>
        <w:t>djela</w:t>
      </w:r>
      <w:r w:rsidR="006262C8" w:rsidRPr="001B4CA2">
        <w:rPr>
          <w:rFonts w:ascii="Arial" w:hAnsi="Arial" w:cs="Arial"/>
        </w:rPr>
        <w:t xml:space="preserve"> </w:t>
      </w:r>
      <w:r w:rsidR="00CE234E" w:rsidRPr="001B4CA2">
        <w:rPr>
          <w:rFonts w:ascii="Arial" w:hAnsi="Arial" w:cs="Arial"/>
        </w:rPr>
        <w:t>ratnog</w:t>
      </w:r>
      <w:r w:rsidR="006262C8" w:rsidRPr="001B4CA2">
        <w:rPr>
          <w:rFonts w:ascii="Arial" w:hAnsi="Arial" w:cs="Arial"/>
        </w:rPr>
        <w:t xml:space="preserve"> </w:t>
      </w:r>
      <w:r w:rsidR="00CE234E" w:rsidRPr="001B4CA2">
        <w:rPr>
          <w:rFonts w:ascii="Arial" w:hAnsi="Arial" w:cs="Arial"/>
        </w:rPr>
        <w:t>zločina</w:t>
      </w:r>
      <w:bookmarkEnd w:id="141"/>
    </w:p>
    <w:p w14:paraId="6E301202" w14:textId="77777777" w:rsidR="00857A48" w:rsidRPr="001B4CA2" w:rsidRDefault="00857A48" w:rsidP="00857A48"/>
    <w:p w14:paraId="492A043B" w14:textId="77777777" w:rsidR="00E31575" w:rsidRPr="001B4CA2" w:rsidRDefault="00E31575" w:rsidP="00E31575">
      <w:pPr>
        <w:ind w:firstLine="708"/>
      </w:pPr>
      <w:r w:rsidRPr="001B4CA2">
        <w:t>U ovom izvještajnom razdoblju nadležna županijska državna odvjetništva zaprimila su 49 kaznenih prijava zbog kaznenih djela ratnih zločina počinjenih za vrijeme Domovinskog rata.</w:t>
      </w:r>
    </w:p>
    <w:p w14:paraId="6BF123D9" w14:textId="77777777" w:rsidR="00E31575" w:rsidRPr="001B4CA2" w:rsidRDefault="00E31575" w:rsidP="00E31575"/>
    <w:p w14:paraId="1CF92290" w14:textId="74B60895" w:rsidR="00E31575" w:rsidRPr="001B4CA2" w:rsidRDefault="00E31575" w:rsidP="00E31575">
      <w:pPr>
        <w:ind w:firstLine="708"/>
      </w:pPr>
      <w:r w:rsidRPr="001B4CA2">
        <w:t>Kako je iz prethodnog izvještajnog razdoblja u radu u državnim odvjetništvima ostalo 18 kaznenih prijava</w:t>
      </w:r>
      <w:r w:rsidR="004E5197">
        <w:t>,</w:t>
      </w:r>
      <w:r w:rsidRPr="001B4CA2">
        <w:t xml:space="preserve"> to je u radu u tim državnim odvjetništvima bilo ukupno 67 kaznenih prijava zbog tih kaznenih djela. 39 prijava riješeno je donošenjem rješenja o provođenju istrage, dok su prijave protiv 13 osoba odbačene, bilo zbog smrti potencijalnog osumnjičenika, bilo zbog nepostojanja osnovane sumnje na </w:t>
      </w:r>
      <w:proofErr w:type="spellStart"/>
      <w:r w:rsidRPr="001B4CA2">
        <w:t>učin</w:t>
      </w:r>
      <w:proofErr w:type="spellEnd"/>
      <w:r w:rsidRPr="001B4CA2">
        <w:t xml:space="preserve"> djela. 8 prijava riješeno je na drugi način</w:t>
      </w:r>
      <w:r w:rsidR="004E5197">
        <w:t>,</w:t>
      </w:r>
      <w:r w:rsidRPr="001B4CA2">
        <w:t xml:space="preserve"> i to ustupom drugom državnom odvjetništvu.</w:t>
      </w:r>
    </w:p>
    <w:p w14:paraId="1CAFA2FD" w14:textId="77777777" w:rsidR="00E31575" w:rsidRPr="001B4CA2" w:rsidRDefault="00E31575" w:rsidP="00E31575"/>
    <w:p w14:paraId="190C91FD" w14:textId="75010D6B" w:rsidR="00E31575" w:rsidRPr="001B4CA2" w:rsidRDefault="00E31575" w:rsidP="00E31575">
      <w:pPr>
        <w:ind w:firstLine="708"/>
      </w:pPr>
      <w:r w:rsidRPr="001B4CA2">
        <w:t xml:space="preserve">Na kraju 2022. godine ostalo je 7 kaznenih prijava koje nisu meritorno riješene i u tim </w:t>
      </w:r>
      <w:r w:rsidR="004E5197" w:rsidRPr="001B4CA2">
        <w:t xml:space="preserve">je </w:t>
      </w:r>
      <w:r w:rsidRPr="001B4CA2">
        <w:t>predmetima u tijeku provođenje izvida i dokaznih radnji kako bi se moglo odlučiti o eventualnom pokretanju kaznenog postupka.</w:t>
      </w:r>
    </w:p>
    <w:p w14:paraId="124954BB" w14:textId="77777777" w:rsidR="00E31575" w:rsidRPr="001B4CA2" w:rsidRDefault="00E31575" w:rsidP="00E31575"/>
    <w:p w14:paraId="224437CB" w14:textId="59D9F51D" w:rsidR="00E31575" w:rsidRPr="001B4CA2" w:rsidRDefault="00E31575" w:rsidP="00E31575">
      <w:pPr>
        <w:ind w:firstLine="708"/>
      </w:pPr>
      <w:r w:rsidRPr="001B4CA2">
        <w:t>Tijekom 2022. godine optužene su 22 osobe, a županijski sudovi nadležni za rad na predmetima zbog kaznenih djela ratnih zločina donijeli su ukupno 31 presudu</w:t>
      </w:r>
      <w:r w:rsidR="004E5197">
        <w:t>,</w:t>
      </w:r>
      <w:r w:rsidRPr="001B4CA2">
        <w:t xml:space="preserve"> pri čemu je 26 osoba osuđeno, a 5 osoba oslobođeno </w:t>
      </w:r>
      <w:r w:rsidR="004E5197" w:rsidRPr="001B4CA2">
        <w:t xml:space="preserve">je </w:t>
      </w:r>
      <w:r w:rsidRPr="001B4CA2">
        <w:t>optužbe</w:t>
      </w:r>
      <w:r w:rsidR="005F5E23" w:rsidRPr="001B4CA2">
        <w:t xml:space="preserve">. </w:t>
      </w:r>
      <w:r w:rsidRPr="001B4CA2">
        <w:t>Protiv oslobađajućih presuda nadležna su državna odvjetništva podnijela žalbe zbog pogrešno i nepotpuno utvrđenog činjeničnog stanja.</w:t>
      </w:r>
    </w:p>
    <w:p w14:paraId="2E1D2084" w14:textId="77777777" w:rsidR="00E31575" w:rsidRPr="001B4CA2" w:rsidRDefault="00E31575" w:rsidP="00E31575"/>
    <w:p w14:paraId="2E754384" w14:textId="29ABBC3A" w:rsidR="00E31575" w:rsidRPr="001B4CA2" w:rsidRDefault="00E31575" w:rsidP="00E31575">
      <w:pPr>
        <w:ind w:firstLine="708"/>
      </w:pPr>
      <w:r w:rsidRPr="001B4CA2">
        <w:t>Broj osoba (36) protiv kojih je doneseno rješenje o provođenju istrage nešto je veći nego 2021. godine (27), dok je broj optuženih osoba u uobičajenim okvirima kao i zadnjih nekoliko godina unatoč otežanom prikupljanju dokaza kod ovih kaznenih djela s obzirom na sve veći protek vremena od njihov</w:t>
      </w:r>
      <w:r w:rsidR="004E5197">
        <w:t>a</w:t>
      </w:r>
      <w:r w:rsidRPr="001B4CA2">
        <w:t xml:space="preserve"> počinjenja.</w:t>
      </w:r>
    </w:p>
    <w:p w14:paraId="63ABF771" w14:textId="77777777" w:rsidR="00E31575" w:rsidRPr="001B4CA2" w:rsidRDefault="00E31575" w:rsidP="00E31575"/>
    <w:p w14:paraId="574097BF" w14:textId="3C60BFC2" w:rsidR="00E31575" w:rsidRPr="001B4CA2" w:rsidRDefault="00E31575" w:rsidP="00E31575">
      <w:pPr>
        <w:ind w:firstLine="708"/>
      </w:pPr>
      <w:r w:rsidRPr="001B4CA2">
        <w:t>Naime, događaji koji su predmet rada na predmetima zbog kaznenih djela ratnih zločina zbili su se, neki, i prije više od trideset godina</w:t>
      </w:r>
      <w:r w:rsidR="004E5197">
        <w:t>,</w:t>
      </w:r>
      <w:r w:rsidRPr="001B4CA2">
        <w:t xml:space="preserve"> zbog čega je vrlo teško rekonstruirati događaje na mjestu počinjenja kaznenog djela jer je dio svjedoka preminuo, dio se sve teže prisjeća konkretnih događaja, ne žele svjedočiti, tako da su iskazi manjkavi, nekvalitetni, a vrlo je teško doći i do materijalne dokumentacije.</w:t>
      </w:r>
    </w:p>
    <w:p w14:paraId="640A513A" w14:textId="77777777" w:rsidR="00E31575" w:rsidRPr="001B4CA2" w:rsidRDefault="00E31575" w:rsidP="00E31575"/>
    <w:p w14:paraId="7ADB0BE9" w14:textId="05926A4A" w:rsidR="00E31575" w:rsidRPr="001B4CA2" w:rsidRDefault="00E31575" w:rsidP="00E31575">
      <w:pPr>
        <w:ind w:firstLine="708"/>
      </w:pPr>
      <w:r w:rsidRPr="001B4CA2">
        <w:t xml:space="preserve">To </w:t>
      </w:r>
      <w:r w:rsidR="005F5E23" w:rsidRPr="001B4CA2">
        <w:t>osobito</w:t>
      </w:r>
      <w:r w:rsidRPr="001B4CA2">
        <w:t xml:space="preserve"> dolazi do izražaja u radu na predmetima u kojima se prikupljaju dokazi o neposrednim počiniteljima kaznenih djela ratnih zločina. Kod tih kaznenih djela istodobno se radi i na utvrđivanju odgovornosti zapovjednika postrojbi koji je eventualno naredio </w:t>
      </w:r>
      <w:proofErr w:type="spellStart"/>
      <w:r w:rsidRPr="001B4CA2">
        <w:t>učin</w:t>
      </w:r>
      <w:proofErr w:type="spellEnd"/>
      <w:r w:rsidRPr="001B4CA2">
        <w:t xml:space="preserve"> tih kaznenih djela ili propustio spriječiti da pripadnici postrojbi kojima je on na čelu počine ta kaznena djela.</w:t>
      </w:r>
    </w:p>
    <w:p w14:paraId="4064F4C9" w14:textId="77777777" w:rsidR="00E31575" w:rsidRPr="001B4CA2" w:rsidRDefault="00E31575" w:rsidP="00E31575"/>
    <w:p w14:paraId="7C0FA8B2" w14:textId="1BF11961" w:rsidR="00E31575" w:rsidRPr="001B4CA2" w:rsidRDefault="00E31575" w:rsidP="00E31575">
      <w:pPr>
        <w:ind w:firstLine="708"/>
      </w:pPr>
      <w:r w:rsidRPr="001B4CA2">
        <w:t>U radu na predmetima ratnih zločina državni odvjetnici koriste se sustavom za praćenje predmeta u državnom odvjetništvu (CTS), a u kojem se nalaze sistematizirani po</w:t>
      </w:r>
      <w:r w:rsidR="00FD08E9">
        <w:t>datci</w:t>
      </w:r>
      <w:r w:rsidRPr="001B4CA2">
        <w:t xml:space="preserve"> o svim ratnim zločinima koji su se dogodili od 1991. godine </w:t>
      </w:r>
      <w:r w:rsidRPr="001B4CA2">
        <w:lastRenderedPageBreak/>
        <w:t>nadalje, ne samo na području Republike Hrvatske, nego i na području drugih država u kojima su žrtve hrvatski građani, a koji su se ranije nalazili u bazi ratnih zločina.</w:t>
      </w:r>
    </w:p>
    <w:p w14:paraId="7FC7A128" w14:textId="77777777" w:rsidR="00E31575" w:rsidRPr="001B4CA2" w:rsidRDefault="00E31575" w:rsidP="00E31575"/>
    <w:p w14:paraId="287E7C56" w14:textId="3EE5A77F" w:rsidR="00E31575" w:rsidRPr="001B4CA2" w:rsidRDefault="00E31575" w:rsidP="00E31575">
      <w:pPr>
        <w:ind w:firstLine="708"/>
      </w:pPr>
      <w:r w:rsidRPr="001B4CA2">
        <w:t>Pristup po</w:t>
      </w:r>
      <w:r w:rsidR="00FD08E9">
        <w:t>datci</w:t>
      </w:r>
      <w:r w:rsidRPr="001B4CA2">
        <w:t>ma koji zapravo predstavljaju spise predmeta ratnih zločina u elektron</w:t>
      </w:r>
      <w:r w:rsidR="004E5197">
        <w:t>ič</w:t>
      </w:r>
      <w:r w:rsidRPr="001B4CA2">
        <w:t xml:space="preserve">kom obliku koji su uključeni u CTS imaju svi </w:t>
      </w:r>
      <w:proofErr w:type="spellStart"/>
      <w:r w:rsidRPr="001B4CA2">
        <w:t>državnoodvjetnički</w:t>
      </w:r>
      <w:proofErr w:type="spellEnd"/>
      <w:r w:rsidRPr="001B4CA2">
        <w:t xml:space="preserve"> dužnosnici i savjetnici koji rade na tim predmetima.</w:t>
      </w:r>
    </w:p>
    <w:p w14:paraId="1774AC03" w14:textId="77777777" w:rsidR="00E31575" w:rsidRPr="001B4CA2" w:rsidRDefault="00E31575" w:rsidP="00E31575"/>
    <w:p w14:paraId="71F7AE7A" w14:textId="0B578CE8" w:rsidR="00E31575" w:rsidRPr="001B4CA2" w:rsidRDefault="00E31575" w:rsidP="00E31575">
      <w:pPr>
        <w:ind w:firstLine="708"/>
      </w:pPr>
      <w:r w:rsidRPr="001B4CA2">
        <w:t>Kako za rad državnog odvjetništva na ovoj vrsti predmeta postoji velik interes javnosti</w:t>
      </w:r>
      <w:r w:rsidR="004E5197">
        <w:t>,</w:t>
      </w:r>
      <w:r w:rsidRPr="001B4CA2">
        <w:t xml:space="preserve"> ističemo nekoliko važnijih predmeta u kojima su donesene </w:t>
      </w:r>
      <w:proofErr w:type="spellStart"/>
      <w:r w:rsidRPr="001B4CA2">
        <w:t>državnoodvjetničke</w:t>
      </w:r>
      <w:proofErr w:type="spellEnd"/>
      <w:r w:rsidRPr="001B4CA2">
        <w:t xml:space="preserve"> odluke.</w:t>
      </w:r>
    </w:p>
    <w:p w14:paraId="45ED71C9" w14:textId="77777777" w:rsidR="00E31575" w:rsidRPr="001B4CA2" w:rsidRDefault="00E31575" w:rsidP="00E31575"/>
    <w:p w14:paraId="41330269" w14:textId="38C5449F" w:rsidR="00E31575" w:rsidRPr="001B4CA2" w:rsidRDefault="00E31575" w:rsidP="00E31575">
      <w:pPr>
        <w:ind w:firstLine="708"/>
      </w:pPr>
      <w:r w:rsidRPr="001B4CA2">
        <w:t>Tako je tijekom 2022. godine podignuta optužnica protiv 3 osobe zbog kaznenog djela ratnog zločina protiv ratnih zarobljenika počinjenog tijekom 1991. godine u bolnici u Kninu kada je zlostavljan veći broj ratnih zarobljenika.</w:t>
      </w:r>
    </w:p>
    <w:p w14:paraId="5CF0608B" w14:textId="77777777" w:rsidR="00E31575" w:rsidRPr="001B4CA2" w:rsidRDefault="00E31575" w:rsidP="00E31575"/>
    <w:p w14:paraId="0CB48BA4" w14:textId="5BC7FC47" w:rsidR="00E31575" w:rsidRPr="001B4CA2" w:rsidRDefault="00E31575" w:rsidP="00E31575">
      <w:pPr>
        <w:ind w:firstLine="708"/>
      </w:pPr>
      <w:r w:rsidRPr="001B4CA2">
        <w:t xml:space="preserve">Osim toga, podignuta je optužnica protiv jedne osobe zbog usmrćenja više civila hrvatske nacionalnosti u zaseoku </w:t>
      </w:r>
      <w:proofErr w:type="spellStart"/>
      <w:r w:rsidRPr="001B4CA2">
        <w:t>Vucići</w:t>
      </w:r>
      <w:proofErr w:type="spellEnd"/>
      <w:r w:rsidRPr="001B4CA2">
        <w:t xml:space="preserve">, </w:t>
      </w:r>
      <w:r w:rsidR="004E5197">
        <w:t>o</w:t>
      </w:r>
      <w:r w:rsidRPr="001B4CA2">
        <w:t>pćina Promina.</w:t>
      </w:r>
    </w:p>
    <w:p w14:paraId="055DCF93" w14:textId="77777777" w:rsidR="00E31575" w:rsidRPr="001B4CA2" w:rsidRDefault="00E31575" w:rsidP="00E31575"/>
    <w:p w14:paraId="7AF0E855" w14:textId="673A5A34" w:rsidR="00E31575" w:rsidRPr="001B4CA2" w:rsidRDefault="00E31575" w:rsidP="00E31575">
      <w:pPr>
        <w:ind w:firstLine="708"/>
      </w:pPr>
      <w:r w:rsidRPr="001B4CA2">
        <w:t>Podignuta je optužnica i protiv jednog okrivljenika da je u svojstvu među ostalim i zapovjednika aerodroma Udbina, zajedno s još jednom osobom</w:t>
      </w:r>
      <w:r w:rsidR="005F5E23" w:rsidRPr="001B4CA2">
        <w:t xml:space="preserve"> koja je u međuvremenu preminula</w:t>
      </w:r>
      <w:r w:rsidRPr="001B4CA2">
        <w:t xml:space="preserve">, donio zajedničku odluku o neselektivnom zračnom napadu na gusto naseljene dijelove u središtu </w:t>
      </w:r>
      <w:r w:rsidR="004E5197">
        <w:t>g</w:t>
      </w:r>
      <w:r w:rsidRPr="001B4CA2">
        <w:t>rada Gospića bez odabira cilja</w:t>
      </w:r>
      <w:r w:rsidR="004E5197">
        <w:t>,</w:t>
      </w:r>
      <w:r w:rsidRPr="001B4CA2">
        <w:t xml:space="preserve"> kojom prilikom je nekoliko osoba smrtno stradalo, dio civila </w:t>
      </w:r>
      <w:r w:rsidR="004E5197" w:rsidRPr="001B4CA2">
        <w:t xml:space="preserve">zadobio </w:t>
      </w:r>
      <w:r w:rsidRPr="001B4CA2">
        <w:t xml:space="preserve">je teške tjelesne ozljede, nekoliko je </w:t>
      </w:r>
      <w:r w:rsidR="004E5197" w:rsidRPr="001B4CA2">
        <w:t xml:space="preserve">civila </w:t>
      </w:r>
      <w:r w:rsidRPr="001B4CA2">
        <w:t>dobilo lakše tjelesne ozljede, a na stambenim i poslovnim objektima i motornim vozilima nastupila je imovinska šteta.</w:t>
      </w:r>
    </w:p>
    <w:p w14:paraId="070DEBFC" w14:textId="77777777" w:rsidR="00E31575" w:rsidRPr="001B4CA2" w:rsidRDefault="00E31575" w:rsidP="00E31575"/>
    <w:p w14:paraId="3C22D3A0" w14:textId="3D5A2E6F" w:rsidR="00E31575" w:rsidRPr="001B4CA2" w:rsidRDefault="00E31575" w:rsidP="00E31575">
      <w:pPr>
        <w:ind w:firstLine="708"/>
      </w:pPr>
      <w:r w:rsidRPr="001B4CA2">
        <w:t xml:space="preserve">Također je podignuta optužnica i protiv 2 osobe da su iako znajući da pripadnici njima podređenih postrojbi neovlašteno uhićuju, zlostavljaju, ubijaju civilno stanovništvo pretežito hrvatske narodnosti, da pljačkaju njihovu imovinu, da pale i razaraju kuće i druge gospodarske objekte, da uništavaju katoličke crkve i druge kulturne objekte na tom prostoru te da bez izbora vojnih ciljeva iz topničkog oružja svih kalibara gađaju Slunj i njemu okolna mjesta, neovisno o tome što se iz tih mjesta nije pružao </w:t>
      </w:r>
      <w:r w:rsidR="004E5197">
        <w:t>ni</w:t>
      </w:r>
      <w:r w:rsidRPr="001B4CA2">
        <w:t xml:space="preserve">kakav oružani otpor, nisu poduzeli ništa da se takva nezakonita postupanja spriječe i suzbiju, a </w:t>
      </w:r>
      <w:r w:rsidR="004E5197">
        <w:t xml:space="preserve">njihovi </w:t>
      </w:r>
      <w:r w:rsidRPr="001B4CA2">
        <w:t>počinitelji kazne, pristajući na posljedice takv</w:t>
      </w:r>
      <w:r w:rsidR="004E5197">
        <w:t>a</w:t>
      </w:r>
      <w:r w:rsidRPr="001B4CA2">
        <w:t xml:space="preserve"> ponašanja, </w:t>
      </w:r>
      <w:r w:rsidR="004E5197">
        <w:t>zbog</w:t>
      </w:r>
      <w:r w:rsidRPr="001B4CA2">
        <w:t xml:space="preserve"> čega je ubijeno 60 civila, 1 civil je teško ranjen, razrušeno je 5 katoličkih crkvi, a zapaljen je i razrušen velik broj stambenih i gospodarskih objekata pretežito u vlasništvu nesrpskog pučanstva, dok je njihova imovina opljačkana.</w:t>
      </w:r>
    </w:p>
    <w:p w14:paraId="1F1D79FE" w14:textId="77777777" w:rsidR="00E31575" w:rsidRPr="001B4CA2" w:rsidRDefault="00E31575" w:rsidP="00E31575"/>
    <w:p w14:paraId="48DDC915" w14:textId="77777777" w:rsidR="00E31575" w:rsidRPr="001B4CA2" w:rsidRDefault="00E31575" w:rsidP="00E31575">
      <w:pPr>
        <w:ind w:firstLine="708"/>
      </w:pPr>
      <w:r w:rsidRPr="001B4CA2">
        <w:t>Županijsko državno odvjetništvo u Osijeku podiglo je optužnicu protiv jedne osobe zbog kaznenog djela ratnog zločina protiv civilnog stanovništva jer da je, zajedno s drugim pripadnicima TO Karanac, sudjelovala u nezakonitim uhićenjima, ispitivanju i zlostavljanju civila nesrpske nacionalnosti te protiv jedne osobe zbog zlostavljanja i nečovječnog postupanja prema jednoj osobi na području Vukovara, u logoru Velepromet.</w:t>
      </w:r>
    </w:p>
    <w:p w14:paraId="7F78133A" w14:textId="77777777" w:rsidR="00E31575" w:rsidRPr="001B4CA2" w:rsidRDefault="00E31575" w:rsidP="00E31575"/>
    <w:p w14:paraId="3C8687CA" w14:textId="77777777" w:rsidR="00E31575" w:rsidRPr="001B4CA2" w:rsidRDefault="00E31575" w:rsidP="00E31575">
      <w:pPr>
        <w:ind w:firstLine="708"/>
      </w:pPr>
      <w:r w:rsidRPr="001B4CA2">
        <w:t xml:space="preserve">To državno odvjetništvo podiglo je optužnicu i protiv jedne osobe zbog sudjelovanja u nezakonitim uhićenjima, zatvaranjima i zlostavljanju civila nesrpske narodnosti i silovanju civila nesrpske narodnosti na području mjesta </w:t>
      </w:r>
      <w:proofErr w:type="spellStart"/>
      <w:r w:rsidRPr="001B4CA2">
        <w:t>Negoslavci</w:t>
      </w:r>
      <w:proofErr w:type="spellEnd"/>
      <w:r w:rsidRPr="001B4CA2">
        <w:t xml:space="preserve"> i Petrovci.</w:t>
      </w:r>
    </w:p>
    <w:p w14:paraId="101423A2" w14:textId="77777777" w:rsidR="00E31575" w:rsidRPr="001B4CA2" w:rsidRDefault="00E31575" w:rsidP="00E31575"/>
    <w:p w14:paraId="6FA7A9C2" w14:textId="5BE93600" w:rsidR="00E31575" w:rsidRPr="001B4CA2" w:rsidRDefault="00E31575" w:rsidP="00E31575">
      <w:pPr>
        <w:ind w:firstLine="708"/>
      </w:pPr>
      <w:r w:rsidRPr="001B4CA2">
        <w:lastRenderedPageBreak/>
        <w:t xml:space="preserve">Isto tako, podignuta je optužnica protiv jedne osobe zbog zlostavljanja, nečovječnog postupanja više osoba u logorima Sremska Mitrovica i Niš na području Republike Srbije kada su prilikom ispitivanja zarobljenika </w:t>
      </w:r>
      <w:r w:rsidR="004E5197">
        <w:t xml:space="preserve">oni </w:t>
      </w:r>
      <w:r w:rsidRPr="001B4CA2">
        <w:t>fizički zlostavljani te izlagani</w:t>
      </w:r>
      <w:r w:rsidR="00FD08E9">
        <w:t xml:space="preserve"> </w:t>
      </w:r>
      <w:r w:rsidRPr="001B4CA2">
        <w:t>uvredljivim i ponižavajućim postupcima. Optuženik je</w:t>
      </w:r>
      <w:r w:rsidR="004E5197">
        <w:t>,</w:t>
      </w:r>
      <w:r w:rsidRPr="001B4CA2">
        <w:t xml:space="preserve"> naime</w:t>
      </w:r>
      <w:r w:rsidR="004E5197">
        <w:t>,</w:t>
      </w:r>
      <w:r w:rsidRPr="001B4CA2">
        <w:t xml:space="preserve"> prema tim ratnim zarobljenicima nečovječno postupao nanoseći im velike patnje i ozljede tjelesnog integriteta i zdravlja, prisiljavajući ih da daju iskaze koji su njemu odgovarali iživljavajući se na njima na izrazito okrutan i ponižavajući način.</w:t>
      </w:r>
    </w:p>
    <w:p w14:paraId="0E286241" w14:textId="77777777" w:rsidR="00E31575" w:rsidRPr="001B4CA2" w:rsidRDefault="00E31575" w:rsidP="00E31575"/>
    <w:p w14:paraId="3E4E04F2" w14:textId="77777777" w:rsidR="00E31575" w:rsidRPr="001B4CA2" w:rsidRDefault="00E31575" w:rsidP="00E31575">
      <w:pPr>
        <w:ind w:firstLine="708"/>
      </w:pPr>
      <w:r w:rsidRPr="001B4CA2">
        <w:t>U kaznenim predmetima ratnih zločina vrlo je česta situacija da se počinitelji, žrtve, svjedoci i dokazi, kao i mjesta zločina nalaze na područjima različitih država zbog čega rad na ovoj vrsti predmeta ne bi bio moguć bez suradnje s tužiteljstvima susjednih zemalja.</w:t>
      </w:r>
    </w:p>
    <w:p w14:paraId="52208DA2" w14:textId="77777777" w:rsidR="00E31575" w:rsidRPr="001B4CA2" w:rsidRDefault="00E31575" w:rsidP="00E31575"/>
    <w:p w14:paraId="45E651E6" w14:textId="77777777" w:rsidR="00E31575" w:rsidRPr="001B4CA2" w:rsidRDefault="00E31575" w:rsidP="00E31575">
      <w:pPr>
        <w:ind w:firstLine="708"/>
      </w:pPr>
      <w:r w:rsidRPr="001B4CA2">
        <w:t>Zbog toga državni odvjetnici surađuju s tužiteljskim uredima susjednih zemalja na temelju potpisanih protokola i sporazuma o suradnji u progonu počinitelja kaznenih djela ratnih zločina, zločina protiv čovječnosti i genocida te na temelju redovne međunarodne pravne pomoći putem Ministarstva pravosuđa i uprave Republike Hrvatske.</w:t>
      </w:r>
    </w:p>
    <w:p w14:paraId="2FE0BA6C" w14:textId="77777777" w:rsidR="00E31575" w:rsidRPr="001B4CA2" w:rsidRDefault="00E31575" w:rsidP="00E31575"/>
    <w:p w14:paraId="5B5CA137" w14:textId="7C527232" w:rsidR="00E31575" w:rsidRPr="001B4CA2" w:rsidRDefault="00E31575" w:rsidP="00E31575">
      <w:pPr>
        <w:ind w:firstLine="708"/>
      </w:pPr>
      <w:r w:rsidRPr="001B4CA2">
        <w:t>Državno odvjetništvo Republike Hrvatske i nadalje surađuje i s Međunarodnim rezidualnim mehanizmom za kaznene sudove (MRMKS)</w:t>
      </w:r>
      <w:r w:rsidR="004E5197">
        <w:t>,</w:t>
      </w:r>
      <w:r w:rsidRPr="001B4CA2">
        <w:t xml:space="preserve"> koji je osnova Rezolucijom Vijeća sigurnosti Ujedinjenih naroda radi preuzimanja nadležnosti, prava, obveza i osnovnih funkcija Međunarodnog kaznenog suda za bivšu Jugoslaviju (MKSJ) te u radu koristi i informatičke alate kreirane za pretraživanje njihove baze podataka.</w:t>
      </w:r>
    </w:p>
    <w:p w14:paraId="0BA1AEF9" w14:textId="77777777" w:rsidR="00E31575" w:rsidRPr="001B4CA2" w:rsidRDefault="00E31575" w:rsidP="00E31575"/>
    <w:p w14:paraId="54C240D3" w14:textId="72583BA6" w:rsidR="00E31575" w:rsidRPr="001B4CA2" w:rsidRDefault="00E31575" w:rsidP="00E31575">
      <w:pPr>
        <w:ind w:firstLine="708"/>
      </w:pPr>
      <w:r w:rsidRPr="001B4CA2">
        <w:t>Kako interes javnosti za rad na predmetima ratnih zločina ne opada, državno odvjetništvo svoj rad, u skladu sa zakonskim mogućnostima, nastoji učiniti transparentnim koliko je to moguće, pa se tako na internetskoj stranici državnog odvjetništva objavljuju podatci i radovi o procesuiranju predmeta ratnih zločina, a nadležna županijska državna odvjetništva objavljuju priopćenja o radu na aktualnim predmetima.</w:t>
      </w:r>
    </w:p>
    <w:p w14:paraId="3DF53BF4" w14:textId="77777777" w:rsidR="00E31575" w:rsidRPr="001B4CA2" w:rsidRDefault="00E31575" w:rsidP="00E31575">
      <w:pPr>
        <w:ind w:firstLine="708"/>
      </w:pPr>
    </w:p>
    <w:p w14:paraId="47BAEBDE" w14:textId="2F06B8A1" w:rsidR="00BB4D48" w:rsidRPr="001B4CA2" w:rsidRDefault="00BB4D48" w:rsidP="00D8449C">
      <w:pPr>
        <w:pStyle w:val="Naslov3"/>
        <w:tabs>
          <w:tab w:val="left" w:pos="851"/>
        </w:tabs>
        <w:ind w:left="567" w:hanging="425"/>
        <w:rPr>
          <w:rFonts w:ascii="Arial" w:hAnsi="Arial" w:cs="Arial"/>
        </w:rPr>
      </w:pPr>
      <w:bookmarkStart w:id="142" w:name="_Toc133394372"/>
      <w:r w:rsidRPr="001B4CA2">
        <w:rPr>
          <w:rFonts w:ascii="Arial" w:hAnsi="Arial" w:cs="Arial"/>
        </w:rPr>
        <w:t>Kaznena</w:t>
      </w:r>
      <w:r w:rsidR="006262C8" w:rsidRPr="001B4CA2">
        <w:rPr>
          <w:rFonts w:ascii="Arial" w:hAnsi="Arial" w:cs="Arial"/>
        </w:rPr>
        <w:t xml:space="preserve"> </w:t>
      </w:r>
      <w:r w:rsidRPr="001B4CA2">
        <w:rPr>
          <w:rFonts w:ascii="Arial" w:hAnsi="Arial" w:cs="Arial"/>
        </w:rPr>
        <w:t>djela</w:t>
      </w:r>
      <w:r w:rsidR="006262C8" w:rsidRPr="001B4CA2">
        <w:rPr>
          <w:rFonts w:ascii="Arial" w:hAnsi="Arial" w:cs="Arial"/>
        </w:rPr>
        <w:t xml:space="preserve"> </w:t>
      </w:r>
      <w:r w:rsidRPr="001B4CA2">
        <w:rPr>
          <w:rFonts w:ascii="Arial" w:hAnsi="Arial" w:cs="Arial"/>
        </w:rPr>
        <w:t>počinj</w:t>
      </w:r>
      <w:r w:rsidR="00CE234E" w:rsidRPr="001B4CA2">
        <w:rPr>
          <w:rFonts w:ascii="Arial" w:hAnsi="Arial" w:cs="Arial"/>
        </w:rPr>
        <w:t>ena</w:t>
      </w:r>
      <w:r w:rsidR="006262C8" w:rsidRPr="001B4CA2">
        <w:rPr>
          <w:rFonts w:ascii="Arial" w:hAnsi="Arial" w:cs="Arial"/>
        </w:rPr>
        <w:t xml:space="preserve"> </w:t>
      </w:r>
      <w:r w:rsidR="00CE234E" w:rsidRPr="001B4CA2">
        <w:rPr>
          <w:rFonts w:ascii="Arial" w:hAnsi="Arial" w:cs="Arial"/>
        </w:rPr>
        <w:t>i</w:t>
      </w:r>
      <w:r w:rsidR="006262C8" w:rsidRPr="001B4CA2">
        <w:rPr>
          <w:rFonts w:ascii="Arial" w:hAnsi="Arial" w:cs="Arial"/>
        </w:rPr>
        <w:t xml:space="preserve">z </w:t>
      </w:r>
      <w:r w:rsidR="00CE234E" w:rsidRPr="001B4CA2">
        <w:rPr>
          <w:rFonts w:ascii="Arial" w:hAnsi="Arial" w:cs="Arial"/>
        </w:rPr>
        <w:t>mržnje</w:t>
      </w:r>
      <w:r w:rsidR="006262C8" w:rsidRPr="001B4CA2">
        <w:rPr>
          <w:rFonts w:ascii="Arial" w:hAnsi="Arial" w:cs="Arial"/>
        </w:rPr>
        <w:t xml:space="preserve"> i </w:t>
      </w:r>
      <w:r w:rsidR="00CE234E" w:rsidRPr="001B4CA2">
        <w:rPr>
          <w:rFonts w:ascii="Arial" w:hAnsi="Arial" w:cs="Arial"/>
        </w:rPr>
        <w:t>govor</w:t>
      </w:r>
      <w:r w:rsidR="006262C8" w:rsidRPr="001B4CA2">
        <w:rPr>
          <w:rFonts w:ascii="Arial" w:hAnsi="Arial" w:cs="Arial"/>
        </w:rPr>
        <w:t xml:space="preserve"> </w:t>
      </w:r>
      <w:r w:rsidR="00CE234E" w:rsidRPr="001B4CA2">
        <w:rPr>
          <w:rFonts w:ascii="Arial" w:hAnsi="Arial" w:cs="Arial"/>
        </w:rPr>
        <w:t>mržnje</w:t>
      </w:r>
      <w:bookmarkEnd w:id="142"/>
    </w:p>
    <w:p w14:paraId="313F96D5" w14:textId="77777777" w:rsidR="00554674" w:rsidRPr="001B4CA2" w:rsidRDefault="00554674" w:rsidP="00554674"/>
    <w:p w14:paraId="59CDD534" w14:textId="5EA027FB" w:rsidR="0024689D" w:rsidRPr="001B4CA2" w:rsidRDefault="0024689D" w:rsidP="0024689D">
      <w:pPr>
        <w:ind w:firstLine="708"/>
      </w:pPr>
      <w:r w:rsidRPr="001B4CA2">
        <w:t xml:space="preserve">Kaznena djela počinjena iz mržnje (tzv. zločin iz mržnje) sva </w:t>
      </w:r>
      <w:r w:rsidR="004E5197" w:rsidRPr="001B4CA2">
        <w:t xml:space="preserve">su </w:t>
      </w:r>
      <w:r w:rsidRPr="001B4CA2">
        <w:t>kaznena djela koja su motivirana predrasudama prema specifičnim osobinama žrtve na kojima se temelji zajednički identitet skupine kao što je rasa, boja kože, jezik, vjeroispovijest, nacionalno ili etničko podrijetlo, invaliditet, spol, spolno opredjeljenje, rodni identitet. Osnovno kazneno djelo dovodi se vezu</w:t>
      </w:r>
      <w:r w:rsidR="00FD08E9">
        <w:t xml:space="preserve"> s </w:t>
      </w:r>
      <w:r w:rsidRPr="001B4CA2">
        <w:t>člankom 87. stavak 21. Kaznenog zakona koji zločin iz mržnje propisuje kao otegotnu okolnost ako teže kažnjavanje nije izričito propisano u Kaznenom zakonu. Pored toga, članak 35. Kaznenog zakona propisuje kazneno djelo javnog poticanja na nasilje i mržnju (tzv. govor mržnje).</w:t>
      </w:r>
    </w:p>
    <w:p w14:paraId="48791B3C" w14:textId="77777777" w:rsidR="0024689D" w:rsidRPr="001B4CA2" w:rsidRDefault="0024689D" w:rsidP="0024689D"/>
    <w:p w14:paraId="6916A37D" w14:textId="5E809C01" w:rsidR="0024689D" w:rsidRPr="001B4CA2" w:rsidRDefault="0024689D" w:rsidP="0024689D">
      <w:pPr>
        <w:ind w:firstLine="708"/>
      </w:pPr>
      <w:r w:rsidRPr="001B4CA2">
        <w:t>Ukupno je za ova kaznena djela prijavljeno 104 osobe. Unatoč okolnosti što je udio počinitelja iz navedene skupine kaznenih djela u ukupnom broju svih prijavljenih osoba konstantno manji od 0,5</w:t>
      </w:r>
      <w:r w:rsidR="004E5197">
        <w:t> </w:t>
      </w:r>
      <w:r w:rsidRPr="001B4CA2">
        <w:t xml:space="preserve">%, ova </w:t>
      </w:r>
      <w:r w:rsidR="004E5197" w:rsidRPr="001B4CA2">
        <w:t xml:space="preserve">se </w:t>
      </w:r>
      <w:r w:rsidRPr="001B4CA2">
        <w:t>kaznena djela zasebno prate i analiziraju jer predstavljaju značajan pokazatelj stanja zaštite ljudskih prava.</w:t>
      </w:r>
    </w:p>
    <w:p w14:paraId="248AD252" w14:textId="77777777" w:rsidR="0024689D" w:rsidRPr="001B4CA2" w:rsidRDefault="0024689D" w:rsidP="0024689D"/>
    <w:p w14:paraId="7CB35A71" w14:textId="77777777" w:rsidR="0024689D" w:rsidRPr="001B4CA2" w:rsidRDefault="0024689D" w:rsidP="0024689D">
      <w:pPr>
        <w:ind w:firstLine="708"/>
      </w:pPr>
      <w:r w:rsidRPr="001B4CA2">
        <w:t xml:space="preserve">Pad broja prijavljenih osoba (prošle godine 161 prijavljena osoba) odnosi se najvećim dijelom na policijske prijave (ukupno 54 u odnosu na ukupno 110 prijava </w:t>
      </w:r>
      <w:r w:rsidRPr="001B4CA2">
        <w:lastRenderedPageBreak/>
        <w:t>2021. godine). U odnosu na ukupan broj podnijetih prijava svih podnositelja veći je pad broja prijava za govor mržnje (ukupno 44 u odnosu na 86 prijava 2021. godine).</w:t>
      </w:r>
    </w:p>
    <w:p w14:paraId="07A1AC45" w14:textId="77777777" w:rsidR="0024689D" w:rsidRPr="001B4CA2" w:rsidRDefault="0024689D" w:rsidP="0024689D"/>
    <w:p w14:paraId="605A996C" w14:textId="13788BD6" w:rsidR="0024689D" w:rsidRPr="001B4CA2" w:rsidRDefault="0024689D" w:rsidP="0024689D">
      <w:pPr>
        <w:ind w:firstLine="708"/>
      </w:pPr>
      <w:r w:rsidRPr="001B4CA2">
        <w:t>Odluke o optuženju i odbačajima kaznenih prijava analizirat će se odvojeno za navedene skupine kaznenih djela. Za obje skupine zajednička, visoka uspješnost u postupcima pred sudom (23 osuđujuće od ukupno 24 presude), potvrđuje da državno odvjetništvo pravilno interpretira navedene zakonske odredbe.</w:t>
      </w:r>
    </w:p>
    <w:p w14:paraId="0EBCB395" w14:textId="77777777" w:rsidR="0024689D" w:rsidRPr="001B4CA2" w:rsidRDefault="0024689D" w:rsidP="0024689D"/>
    <w:p w14:paraId="78420B74" w14:textId="12993B88" w:rsidR="0024689D" w:rsidRPr="001B4CA2" w:rsidRDefault="0024689D" w:rsidP="0024689D">
      <w:pPr>
        <w:ind w:firstLine="708"/>
      </w:pPr>
      <w:r w:rsidRPr="001B4CA2">
        <w:t>Državno odvjetništvo nastavilo je sustavno pratiti rad u ovim predmetima, sudjelovati u edukativnim aktivnostima u cilju unapr</w:t>
      </w:r>
      <w:r w:rsidR="00990BD1">
        <w:t>j</w:t>
      </w:r>
      <w:r w:rsidRPr="001B4CA2">
        <w:t>eđenja kvalitete rada u ovoj skupini predmeta na svim razinama te sudjelovati u radu Radne skupine za praćenje Protokola o postupanju u predmetima zločina iz mržnje.</w:t>
      </w:r>
    </w:p>
    <w:p w14:paraId="18BE676A" w14:textId="77777777" w:rsidR="0024689D" w:rsidRPr="001B4CA2" w:rsidRDefault="0024689D" w:rsidP="0024689D"/>
    <w:p w14:paraId="5B92142A" w14:textId="77777777" w:rsidR="0024689D" w:rsidRPr="001B4CA2" w:rsidRDefault="0024689D" w:rsidP="0024689D">
      <w:pPr>
        <w:ind w:firstLine="708"/>
      </w:pPr>
      <w:r w:rsidRPr="001B4CA2">
        <w:t>Određeni pad broja prijava za kaznena djela iz ove skupine može se protumačiti dijelom i kao rezultat ustrajnog i ažurnog rada policije i državnog odvjetništva u ovim predmetima.</w:t>
      </w:r>
    </w:p>
    <w:p w14:paraId="0E1C741D" w14:textId="77777777" w:rsidR="0024689D" w:rsidRPr="001B4CA2" w:rsidRDefault="0024689D" w:rsidP="0024689D"/>
    <w:p w14:paraId="749F42BD" w14:textId="77777777" w:rsidR="0024689D" w:rsidRPr="001B4CA2" w:rsidRDefault="0024689D" w:rsidP="0024689D">
      <w:pPr>
        <w:rPr>
          <w:i/>
        </w:rPr>
      </w:pPr>
      <w:r w:rsidRPr="001B4CA2">
        <w:rPr>
          <w:i/>
        </w:rPr>
        <w:t>Zločini iz mržnje</w:t>
      </w:r>
    </w:p>
    <w:p w14:paraId="1CD0546F" w14:textId="77777777" w:rsidR="0024689D" w:rsidRPr="001B4CA2" w:rsidRDefault="0024689D" w:rsidP="0024689D"/>
    <w:p w14:paraId="7F43DEE4" w14:textId="1B8D7905" w:rsidR="0024689D" w:rsidRPr="001B4CA2" w:rsidRDefault="0024689D" w:rsidP="0024689D">
      <w:pPr>
        <w:ind w:firstLine="708"/>
      </w:pPr>
      <w:r w:rsidRPr="001B4CA2">
        <w:t>Za kaznena djela počinjena u vezi</w:t>
      </w:r>
      <w:r w:rsidR="00FD08E9">
        <w:t xml:space="preserve"> s </w:t>
      </w:r>
      <w:r w:rsidRPr="001B4CA2">
        <w:t>člankom 87. stavak 21. Kaznenog zakona primljene su prijave protiv ukupno 60 osobe. Broj prijava koje je podnijela policija (46), iako manji u odnosu na 2021. godinu (60)</w:t>
      </w:r>
      <w:r w:rsidR="00990BD1">
        <w:t>,</w:t>
      </w:r>
      <w:r w:rsidRPr="001B4CA2">
        <w:t xml:space="preserve"> znatno premašuje broj policijskih prijava za ta kaznena djela 2020. godine (28). Svi drugi podnositelji (fizičke i pravne osobe) podnijeli su ukupno samo 14 prijava. Slično je bilo 2020. i 2021. godine (15). </w:t>
      </w:r>
    </w:p>
    <w:p w14:paraId="69CAD659" w14:textId="77777777" w:rsidR="0024689D" w:rsidRPr="001B4CA2" w:rsidRDefault="0024689D" w:rsidP="0024689D"/>
    <w:p w14:paraId="258E088C" w14:textId="4C888E9D" w:rsidR="0024689D" w:rsidRPr="001B4CA2" w:rsidRDefault="0024689D" w:rsidP="0024689D">
      <w:pPr>
        <w:ind w:firstLine="708"/>
      </w:pPr>
      <w:r w:rsidRPr="001B4CA2">
        <w:t xml:space="preserve">Smanjenje broja novih prijava prati pad broja odluka (51 prema 68 iz 2021. godine). Broj </w:t>
      </w:r>
      <w:r w:rsidR="00990BD1" w:rsidRPr="001B4CA2">
        <w:t xml:space="preserve">je </w:t>
      </w:r>
      <w:r w:rsidRPr="001B4CA2">
        <w:t>podignutih optužnica u manjem padu (35 prema 42 u 2021. godini). Optuženja prevladavaju u odlukama državnog odvjetništva po prijavi. Kaznena politika državnog odvjetništva uključuje izvođenje počinitelja pred sud radi suočavanja</w:t>
      </w:r>
      <w:r w:rsidR="00FD08E9">
        <w:t xml:space="preserve"> s </w:t>
      </w:r>
      <w:r w:rsidRPr="001B4CA2">
        <w:t>ozbiljnošću i težinom ovih kaznenih djela, što je razlog za nizak udio optužnica</w:t>
      </w:r>
      <w:r w:rsidR="00FD08E9">
        <w:t xml:space="preserve"> s </w:t>
      </w:r>
      <w:r w:rsidRPr="001B4CA2">
        <w:t>prijedlogom za izdavanje kaznenog naloga.</w:t>
      </w:r>
    </w:p>
    <w:p w14:paraId="54EAB222" w14:textId="77777777" w:rsidR="0024689D" w:rsidRPr="001B4CA2" w:rsidRDefault="0024689D" w:rsidP="0024689D"/>
    <w:p w14:paraId="4AC0A2EF" w14:textId="69657148" w:rsidR="0024689D" w:rsidRPr="001B4CA2" w:rsidRDefault="0024689D" w:rsidP="0024689D">
      <w:pPr>
        <w:ind w:firstLine="708"/>
      </w:pPr>
      <w:r w:rsidRPr="001B4CA2">
        <w:t>Najčešća diskriminatorna osnova je i nadalje nacionalno odnosno etničko po</w:t>
      </w:r>
      <w:r w:rsidR="00990BD1">
        <w:t>d</w:t>
      </w:r>
      <w:r w:rsidRPr="001B4CA2">
        <w:t>rije</w:t>
      </w:r>
      <w:r w:rsidR="00990BD1">
        <w:t>t</w:t>
      </w:r>
      <w:r w:rsidRPr="001B4CA2">
        <w:t>lo i vjeroispovijest, potom spolno opredjeljenje. Kao osnovno kazneno djelo najčešće je kazneno djelo prijetnje iz članka 139. stavak 2. i 3. Kaznenog zakona. Česta su kaznena djela oštećenja tuđe stvari iz članka 235. stavak 2. KZ-a počinjena ispisivanjem grafita</w:t>
      </w:r>
      <w:r w:rsidR="00FD08E9">
        <w:t xml:space="preserve"> s </w:t>
      </w:r>
      <w:r w:rsidRPr="001B4CA2">
        <w:t>nacističkim ili fašističkim obilježjima ili uz oštećenje nacionalnih obilježja ili zastave. Kao osnovna kaznena djela pojavljuju se kaznena djela teške tjelesne ozljede iz članka 118. stavak 2. Kaznenog zakona, pokušaja teške tjelesne ozljede iz članka 118. stavak 2. u vezi članka 34. Kaznenog zakona, tjelesne ozljede iz članka 117. stavak 2. Kaznenog zakona. Pojavila su se i kaznena djela teške krađe iz članka 229. Kaznenog zakona (krađa zastave duginih boja) i povrede prava djeteta iz članka 177. stavak 2. Kaznenog zakona.</w:t>
      </w:r>
    </w:p>
    <w:p w14:paraId="5B3789D5" w14:textId="77777777" w:rsidR="0024689D" w:rsidRPr="001B4CA2" w:rsidRDefault="0024689D" w:rsidP="0024689D"/>
    <w:p w14:paraId="7CAF9681" w14:textId="510AEE8C" w:rsidR="0024689D" w:rsidRPr="001B4CA2" w:rsidRDefault="0024689D" w:rsidP="0024689D">
      <w:pPr>
        <w:ind w:firstLine="708"/>
      </w:pPr>
      <w:r w:rsidRPr="001B4CA2">
        <w:t>Udio odbačaja u ukupnom broju odluka je 31,37</w:t>
      </w:r>
      <w:r w:rsidR="00990BD1">
        <w:t> </w:t>
      </w:r>
      <w:r w:rsidRPr="001B4CA2">
        <w:t>%. Manji broj odluka o odbačaju</w:t>
      </w:r>
      <w:r w:rsidR="00FD08E9">
        <w:t xml:space="preserve"> </w:t>
      </w:r>
      <w:r w:rsidRPr="001B4CA2">
        <w:t xml:space="preserve">(16 prema 26 u 2021. godini) potvrđuje uspjeh stručne edukacije u ovom području. Najčešće se pojavljuje odbačaj za zločin iz mržnje uz osnovno kazneno djelo prijetnje iz članka 139. stavak 2. i 3. Kaznenog zakona, počinjeno u osobnom kontaktu. Ta </w:t>
      </w:r>
      <w:r w:rsidR="00990BD1" w:rsidRPr="001B4CA2">
        <w:t xml:space="preserve">su </w:t>
      </w:r>
      <w:r w:rsidRPr="001B4CA2">
        <w:t xml:space="preserve">kaznena djela često popraćena osobnim sukobima sudionika iz drugih razloga, kao što su nerazriješeni susjedski ili imovinskopravni odnosi. S tim u </w:t>
      </w:r>
      <w:r w:rsidRPr="001B4CA2">
        <w:lastRenderedPageBreak/>
        <w:t>vezi se kao razlog za odbačaj pojavljuje okolnost da nije dokazana prijetnja</w:t>
      </w:r>
      <w:r w:rsidR="00990BD1">
        <w:t>,</w:t>
      </w:r>
      <w:r w:rsidRPr="001B4CA2">
        <w:t xml:space="preserve"> odnosno da se specijalni oblik mržnje ne pojavljuje niti kao sekundarni motiv.</w:t>
      </w:r>
    </w:p>
    <w:p w14:paraId="772DC2CE" w14:textId="77777777" w:rsidR="0024689D" w:rsidRPr="001B4CA2" w:rsidRDefault="0024689D" w:rsidP="0024689D"/>
    <w:p w14:paraId="31974110" w14:textId="77777777" w:rsidR="0024689D" w:rsidRPr="001B4CA2" w:rsidRDefault="0024689D" w:rsidP="0024689D">
      <w:pPr>
        <w:rPr>
          <w:i/>
        </w:rPr>
      </w:pPr>
      <w:r w:rsidRPr="001B4CA2">
        <w:rPr>
          <w:i/>
        </w:rPr>
        <w:t>Kazneno djelo tzv. govora mržnje</w:t>
      </w:r>
    </w:p>
    <w:p w14:paraId="12A7CFC4" w14:textId="77777777" w:rsidR="0024689D" w:rsidRPr="001B4CA2" w:rsidRDefault="0024689D" w:rsidP="0024689D"/>
    <w:p w14:paraId="4ADA5A95" w14:textId="2B6E520B" w:rsidR="0024689D" w:rsidRPr="001B4CA2" w:rsidRDefault="0024689D" w:rsidP="0024689D">
      <w:pPr>
        <w:ind w:firstLine="708"/>
      </w:pPr>
      <w:r w:rsidRPr="001B4CA2">
        <w:t>Pad broja prijava od 48,83</w:t>
      </w:r>
      <w:r w:rsidR="00990BD1">
        <w:t> </w:t>
      </w:r>
      <w:r w:rsidRPr="001B4CA2">
        <w:t>% za kaznena djela iz članka 325. Kaznenog zakona (44 prema 86 iz 2021. godine) odnosi se u cijelosti na policijske prijave (8 prema 50 iz 2021. godine). Smanjenje broja policijskih prijava pokazatelj je</w:t>
      </w:r>
      <w:r w:rsidR="00FD08E9">
        <w:t xml:space="preserve"> s </w:t>
      </w:r>
      <w:r w:rsidRPr="001B4CA2">
        <w:t>jedne strane uspješno provedenog educiranja stručnih kadrova, a</w:t>
      </w:r>
      <w:r w:rsidR="00FD08E9">
        <w:t xml:space="preserve"> s </w:t>
      </w:r>
      <w:r w:rsidRPr="001B4CA2">
        <w:t xml:space="preserve">druge strane uspjeha prevencijske aktivnosti u suzbijanju govora mržnje. Broj prijava drugih podnositelja (36) zadržan je na razini 2021. godine. </w:t>
      </w:r>
    </w:p>
    <w:p w14:paraId="35D1F1CD" w14:textId="77777777" w:rsidR="0024689D" w:rsidRPr="001B4CA2" w:rsidRDefault="0024689D" w:rsidP="0024689D">
      <w:pPr>
        <w:ind w:firstLine="708"/>
      </w:pPr>
    </w:p>
    <w:p w14:paraId="52361FFC" w14:textId="4E14E3B4" w:rsidR="0024689D" w:rsidRPr="001B4CA2" w:rsidRDefault="0024689D" w:rsidP="0024689D">
      <w:pPr>
        <w:ind w:firstLine="708"/>
      </w:pPr>
      <w:r w:rsidRPr="001B4CA2">
        <w:t>Znatno manji broj policijskih prijava uzrok je značajnog pada optuženja za kaznena djela govora mržnje kojih je bilo samo 6, u odnosu na 38 optuženja 2021. godine. Zbog toga u ukupnom broju odluka za ova kaznena djela (37) prevladavaju odbačaji</w:t>
      </w:r>
      <w:r w:rsidR="00FD08E9">
        <w:t xml:space="preserve"> s </w:t>
      </w:r>
      <w:r w:rsidRPr="001B4CA2">
        <w:t>83,78</w:t>
      </w:r>
      <w:r w:rsidR="00990BD1">
        <w:t> </w:t>
      </w:r>
      <w:r w:rsidRPr="001B4CA2">
        <w:t>%. Većina odluka o odbačaju (23 od ukupno 31) odnosi se na prijave podnositelja različitih od policije. Najčešći razlog odbačaja je i nadalje okolnost da se ostvarenje obilježja kaznenog djela iz članka 325. Kaznenog zakona razlikuje od kolokvijalnog poimanja govora mržnje. Zbog toga se često prijavljuju radnje koje imaju obilježja drugih kaznenih djela koja se progone po privatnoj tužbi kao što su uvreda ili kleveta, kao i radnje koje nemaju obilježja kaznenog djela. Primjerice</w:t>
      </w:r>
      <w:r w:rsidR="00990BD1">
        <w:t>,</w:t>
      </w:r>
      <w:r w:rsidRPr="001B4CA2">
        <w:t xml:space="preserve"> odbačene su prijave zbog nedostatka obilježja javnosti, pozivanja i poticanja na nasilje i mržnju, diskriminatorne usmjerenosti na pripadnost skupini, odgovarajućih svojstva zaštićene skupine koje ne obuhvaćaju povezanost po zanimanju ili interesno povezane skupine (npr. roditelji odgojitelji ili političari nisu tom odredbom zaštićena skupina). U odnosu na nekoliko kaznenih prijava protiv novinara podnijetih od fizičkih i pravnih osoba podnositelja različitih od policije pojavila se kao osnova za odbačaj i novinarska sloboda koja se očituje u provokativnom izražavanju, uz nepostojanje motiva poticanja na nasilje odnosno mržnju.</w:t>
      </w:r>
    </w:p>
    <w:p w14:paraId="0175F093" w14:textId="77777777" w:rsidR="0024689D" w:rsidRPr="001B4CA2" w:rsidRDefault="0024689D" w:rsidP="0024689D"/>
    <w:p w14:paraId="249AEBB4" w14:textId="49EB6745" w:rsidR="0024689D" w:rsidRPr="001B4CA2" w:rsidRDefault="0024689D" w:rsidP="0024689D">
      <w:pPr>
        <w:ind w:firstLine="708"/>
      </w:pPr>
      <w:r w:rsidRPr="001B4CA2">
        <w:t xml:space="preserve">Najčešća </w:t>
      </w:r>
      <w:r w:rsidR="00990BD1" w:rsidRPr="001B4CA2">
        <w:t xml:space="preserve">je </w:t>
      </w:r>
      <w:r w:rsidRPr="001B4CA2">
        <w:t>diskriminatorna osnova i u ovoj skupini kaznenih djela nacionalno po</w:t>
      </w:r>
      <w:r w:rsidR="00990BD1">
        <w:t>d</w:t>
      </w:r>
      <w:r w:rsidRPr="001B4CA2">
        <w:t>rije</w:t>
      </w:r>
      <w:r w:rsidR="00990BD1">
        <w:t>t</w:t>
      </w:r>
      <w:r w:rsidRPr="001B4CA2">
        <w:t>lo, etničko po</w:t>
      </w:r>
      <w:r w:rsidR="00990BD1">
        <w:t>d</w:t>
      </w:r>
      <w:r w:rsidRPr="001B4CA2">
        <w:t>rije</w:t>
      </w:r>
      <w:r w:rsidR="00990BD1">
        <w:t>t</w:t>
      </w:r>
      <w:r w:rsidRPr="001B4CA2">
        <w:t>lo, vjeroispovijest</w:t>
      </w:r>
      <w:r w:rsidR="00990BD1">
        <w:t>,</w:t>
      </w:r>
      <w:r w:rsidRPr="001B4CA2">
        <w:t xml:space="preserve"> potom spolno opredjeljenje. Najčešći </w:t>
      </w:r>
      <w:r w:rsidR="00990BD1" w:rsidRPr="001B4CA2">
        <w:t xml:space="preserve">je </w:t>
      </w:r>
      <w:r w:rsidRPr="001B4CA2">
        <w:t>način počinjenja ovih kaznenih djela putem društvenih mreža.</w:t>
      </w:r>
    </w:p>
    <w:p w14:paraId="7EEB083B" w14:textId="77777777" w:rsidR="0024689D" w:rsidRPr="001B4CA2" w:rsidRDefault="0024689D" w:rsidP="0024689D">
      <w:pPr>
        <w:ind w:firstLine="708"/>
      </w:pPr>
    </w:p>
    <w:p w14:paraId="1E38B3CE" w14:textId="33F09AB2" w:rsidR="007D3AEF" w:rsidRPr="001B4CA2" w:rsidRDefault="005D30E9" w:rsidP="008E0139">
      <w:pPr>
        <w:rPr>
          <w:i/>
          <w:iCs/>
        </w:rPr>
      </w:pPr>
      <w:r>
        <w:rPr>
          <w:i/>
          <w:iCs/>
        </w:rPr>
        <w:t xml:space="preserve"> </w:t>
      </w:r>
      <w:r w:rsidR="0024689D" w:rsidRPr="001B4CA2">
        <w:rPr>
          <w:i/>
          <w:iCs/>
        </w:rPr>
        <w:t>Kaznena djela počinjena iz mržnje i govor mržnje</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608"/>
        <w:gridCol w:w="649"/>
        <w:gridCol w:w="728"/>
        <w:gridCol w:w="722"/>
        <w:gridCol w:w="962"/>
        <w:gridCol w:w="1025"/>
        <w:gridCol w:w="1044"/>
        <w:gridCol w:w="1044"/>
        <w:gridCol w:w="1045"/>
      </w:tblGrid>
      <w:tr w:rsidR="0096574E" w:rsidRPr="001B4CA2" w14:paraId="2B3E8E8C" w14:textId="77777777" w:rsidTr="00D57807">
        <w:trPr>
          <w:trHeight w:val="632"/>
          <w:jc w:val="center"/>
        </w:trPr>
        <w:tc>
          <w:tcPr>
            <w:tcW w:w="1307" w:type="dxa"/>
            <w:vMerge w:val="restart"/>
            <w:shd w:val="clear" w:color="auto" w:fill="99CCFF"/>
            <w:vAlign w:val="center"/>
          </w:tcPr>
          <w:p w14:paraId="39ABB05F" w14:textId="21B7CAA4" w:rsidR="008E0139" w:rsidRPr="001B4CA2" w:rsidRDefault="00872AC2" w:rsidP="007B6B70">
            <w:pPr>
              <w:jc w:val="center"/>
              <w:rPr>
                <w:rFonts w:eastAsia="Calibri"/>
                <w:b/>
                <w:sz w:val="18"/>
                <w:szCs w:val="18"/>
                <w:lang w:eastAsia="hr-HR"/>
              </w:rPr>
            </w:pPr>
            <w:r w:rsidRPr="001B4CA2">
              <w:rPr>
                <w:rFonts w:eastAsia="Calibri"/>
                <w:b/>
                <w:sz w:val="18"/>
                <w:szCs w:val="18"/>
                <w:lang w:eastAsia="hr-HR"/>
              </w:rPr>
              <w:t>Kazneno djelo</w:t>
            </w:r>
          </w:p>
        </w:tc>
        <w:tc>
          <w:tcPr>
            <w:tcW w:w="1257" w:type="dxa"/>
            <w:gridSpan w:val="2"/>
            <w:shd w:val="clear" w:color="auto" w:fill="99CCFF"/>
            <w:vAlign w:val="center"/>
          </w:tcPr>
          <w:p w14:paraId="0A99F220" w14:textId="0E6351C7" w:rsidR="008E0139" w:rsidRPr="001B4CA2" w:rsidRDefault="00C41F97" w:rsidP="007B6B70">
            <w:pPr>
              <w:jc w:val="center"/>
              <w:rPr>
                <w:rFonts w:eastAsia="Calibri"/>
                <w:b/>
                <w:sz w:val="18"/>
                <w:szCs w:val="18"/>
                <w:lang w:eastAsia="hr-HR"/>
              </w:rPr>
            </w:pPr>
            <w:r w:rsidRPr="001B4CA2">
              <w:rPr>
                <w:rFonts w:eastAsia="Calibri"/>
                <w:b/>
                <w:sz w:val="18"/>
                <w:szCs w:val="18"/>
                <w:lang w:eastAsia="hr-HR"/>
              </w:rPr>
              <w:t>Prijave 202</w:t>
            </w:r>
            <w:r w:rsidR="0024689D" w:rsidRPr="001B4CA2">
              <w:rPr>
                <w:rFonts w:eastAsia="Calibri"/>
                <w:b/>
                <w:sz w:val="18"/>
                <w:szCs w:val="18"/>
                <w:lang w:eastAsia="hr-HR"/>
              </w:rPr>
              <w:t>2</w:t>
            </w:r>
            <w:r w:rsidR="008E0139" w:rsidRPr="001B4CA2">
              <w:rPr>
                <w:rFonts w:eastAsia="Calibri"/>
                <w:b/>
                <w:sz w:val="18"/>
                <w:szCs w:val="18"/>
                <w:lang w:eastAsia="hr-HR"/>
              </w:rPr>
              <w:t>.</w:t>
            </w:r>
          </w:p>
        </w:tc>
        <w:tc>
          <w:tcPr>
            <w:tcW w:w="1450" w:type="dxa"/>
            <w:gridSpan w:val="2"/>
            <w:shd w:val="clear" w:color="auto" w:fill="99CCFF"/>
            <w:vAlign w:val="center"/>
          </w:tcPr>
          <w:p w14:paraId="4EEA5F49" w14:textId="169372D4" w:rsidR="008E0139" w:rsidRPr="001B4CA2" w:rsidRDefault="008E0139" w:rsidP="007B6B70">
            <w:pPr>
              <w:jc w:val="center"/>
              <w:rPr>
                <w:rFonts w:eastAsia="Calibri"/>
                <w:b/>
                <w:sz w:val="18"/>
                <w:szCs w:val="18"/>
                <w:lang w:eastAsia="hr-HR"/>
              </w:rPr>
            </w:pPr>
            <w:r w:rsidRPr="001B4CA2">
              <w:rPr>
                <w:rFonts w:eastAsia="Calibri"/>
                <w:b/>
                <w:sz w:val="18"/>
                <w:szCs w:val="18"/>
                <w:lang w:eastAsia="hr-HR"/>
              </w:rPr>
              <w:t>Rješenje o odbačaju</w:t>
            </w:r>
          </w:p>
        </w:tc>
        <w:tc>
          <w:tcPr>
            <w:tcW w:w="1987" w:type="dxa"/>
            <w:gridSpan w:val="2"/>
            <w:shd w:val="clear" w:color="auto" w:fill="99CCFF"/>
            <w:vAlign w:val="center"/>
          </w:tcPr>
          <w:p w14:paraId="10564D10" w14:textId="35C6BBCD" w:rsidR="008E0139" w:rsidRPr="001B4CA2" w:rsidRDefault="008E0139" w:rsidP="007B6B70">
            <w:pPr>
              <w:jc w:val="center"/>
              <w:rPr>
                <w:rFonts w:eastAsia="Calibri"/>
                <w:b/>
                <w:sz w:val="18"/>
                <w:szCs w:val="18"/>
                <w:lang w:eastAsia="hr-HR"/>
              </w:rPr>
            </w:pPr>
            <w:r w:rsidRPr="001B4CA2">
              <w:rPr>
                <w:rFonts w:eastAsia="Calibri"/>
                <w:b/>
                <w:sz w:val="18"/>
                <w:szCs w:val="18"/>
                <w:lang w:eastAsia="hr-HR"/>
              </w:rPr>
              <w:t>Optužnica</w:t>
            </w:r>
          </w:p>
        </w:tc>
        <w:tc>
          <w:tcPr>
            <w:tcW w:w="3133" w:type="dxa"/>
            <w:gridSpan w:val="3"/>
            <w:shd w:val="clear" w:color="auto" w:fill="99CCFF"/>
            <w:vAlign w:val="center"/>
          </w:tcPr>
          <w:p w14:paraId="59D7149C" w14:textId="672F518D" w:rsidR="008E0139" w:rsidRPr="001B4CA2" w:rsidRDefault="008E0139" w:rsidP="007B6B70">
            <w:pPr>
              <w:jc w:val="center"/>
              <w:rPr>
                <w:rFonts w:eastAsia="Calibri"/>
                <w:b/>
                <w:sz w:val="18"/>
                <w:szCs w:val="18"/>
                <w:lang w:eastAsia="hr-HR"/>
              </w:rPr>
            </w:pPr>
            <w:r w:rsidRPr="001B4CA2">
              <w:rPr>
                <w:rFonts w:eastAsia="Calibri"/>
                <w:b/>
                <w:sz w:val="18"/>
                <w:szCs w:val="18"/>
                <w:lang w:eastAsia="hr-HR"/>
              </w:rPr>
              <w:t>Presuda</w:t>
            </w:r>
          </w:p>
        </w:tc>
      </w:tr>
      <w:tr w:rsidR="0096574E" w:rsidRPr="001B4CA2" w14:paraId="574F0413" w14:textId="77777777" w:rsidTr="005D30E9">
        <w:trPr>
          <w:cantSplit/>
          <w:trHeight w:val="1502"/>
          <w:jc w:val="center"/>
        </w:trPr>
        <w:tc>
          <w:tcPr>
            <w:tcW w:w="1307" w:type="dxa"/>
            <w:vMerge/>
            <w:shd w:val="clear" w:color="auto" w:fill="99CCFF"/>
            <w:vAlign w:val="center"/>
          </w:tcPr>
          <w:p w14:paraId="4A62C830" w14:textId="77777777" w:rsidR="008715CD" w:rsidRPr="001B4CA2" w:rsidRDefault="008715CD" w:rsidP="007B6B70">
            <w:pPr>
              <w:jc w:val="center"/>
              <w:rPr>
                <w:rFonts w:eastAsia="Calibri"/>
                <w:b/>
                <w:sz w:val="18"/>
                <w:szCs w:val="18"/>
                <w:lang w:eastAsia="hr-HR"/>
              </w:rPr>
            </w:pPr>
          </w:p>
        </w:tc>
        <w:tc>
          <w:tcPr>
            <w:tcW w:w="608" w:type="dxa"/>
            <w:shd w:val="clear" w:color="auto" w:fill="99CCFF"/>
            <w:textDirection w:val="btLr"/>
            <w:vAlign w:val="center"/>
          </w:tcPr>
          <w:p w14:paraId="58688F78" w14:textId="3E54C73C" w:rsidR="008715CD" w:rsidRPr="001B4CA2" w:rsidRDefault="008715CD" w:rsidP="005970E5">
            <w:pPr>
              <w:ind w:left="113" w:right="113"/>
              <w:jc w:val="left"/>
              <w:rPr>
                <w:rFonts w:eastAsia="Calibri"/>
                <w:b/>
                <w:sz w:val="18"/>
                <w:szCs w:val="18"/>
                <w:lang w:eastAsia="hr-HR"/>
              </w:rPr>
            </w:pPr>
            <w:r w:rsidRPr="001B4CA2">
              <w:rPr>
                <w:rFonts w:eastAsia="Calibri"/>
                <w:b/>
                <w:sz w:val="18"/>
                <w:szCs w:val="18"/>
                <w:lang w:eastAsia="hr-HR"/>
              </w:rPr>
              <w:t>Policija</w:t>
            </w:r>
          </w:p>
        </w:tc>
        <w:tc>
          <w:tcPr>
            <w:tcW w:w="649" w:type="dxa"/>
            <w:shd w:val="clear" w:color="auto" w:fill="99CCFF"/>
            <w:textDirection w:val="btLr"/>
            <w:vAlign w:val="center"/>
          </w:tcPr>
          <w:p w14:paraId="4AA6B90C" w14:textId="31F34588" w:rsidR="008715CD" w:rsidRPr="001B4CA2" w:rsidRDefault="008715CD" w:rsidP="005970E5">
            <w:pPr>
              <w:ind w:left="113" w:right="113"/>
              <w:jc w:val="left"/>
              <w:rPr>
                <w:rFonts w:eastAsia="Calibri"/>
                <w:b/>
                <w:sz w:val="18"/>
                <w:szCs w:val="18"/>
                <w:lang w:eastAsia="hr-HR"/>
              </w:rPr>
            </w:pPr>
            <w:r w:rsidRPr="001B4CA2">
              <w:rPr>
                <w:rFonts w:eastAsia="Calibri"/>
                <w:b/>
                <w:sz w:val="18"/>
                <w:szCs w:val="18"/>
                <w:lang w:eastAsia="hr-HR"/>
              </w:rPr>
              <w:t>Drugi</w:t>
            </w:r>
          </w:p>
        </w:tc>
        <w:tc>
          <w:tcPr>
            <w:tcW w:w="728" w:type="dxa"/>
            <w:shd w:val="clear" w:color="auto" w:fill="99CCFF"/>
            <w:textDirection w:val="btLr"/>
            <w:vAlign w:val="center"/>
          </w:tcPr>
          <w:p w14:paraId="63C66C45" w14:textId="7E9A1C2A" w:rsidR="008715CD" w:rsidRPr="001B4CA2" w:rsidRDefault="008715CD" w:rsidP="005970E5">
            <w:pPr>
              <w:ind w:left="113" w:right="113"/>
              <w:jc w:val="left"/>
              <w:rPr>
                <w:rFonts w:eastAsia="Calibri"/>
                <w:b/>
                <w:sz w:val="18"/>
                <w:szCs w:val="18"/>
                <w:lang w:eastAsia="hr-HR"/>
              </w:rPr>
            </w:pPr>
            <w:r w:rsidRPr="001B4CA2">
              <w:rPr>
                <w:rFonts w:eastAsia="Calibri"/>
                <w:b/>
                <w:sz w:val="18"/>
                <w:szCs w:val="18"/>
                <w:lang w:eastAsia="hr-HR"/>
              </w:rPr>
              <w:t>Policija</w:t>
            </w:r>
          </w:p>
        </w:tc>
        <w:tc>
          <w:tcPr>
            <w:tcW w:w="722" w:type="dxa"/>
            <w:shd w:val="clear" w:color="auto" w:fill="99CCFF"/>
            <w:textDirection w:val="btLr"/>
            <w:vAlign w:val="center"/>
          </w:tcPr>
          <w:p w14:paraId="7915D281" w14:textId="4E08FD85" w:rsidR="008715CD" w:rsidRPr="001B4CA2" w:rsidRDefault="008715CD" w:rsidP="005970E5">
            <w:pPr>
              <w:ind w:left="113" w:right="113"/>
              <w:jc w:val="left"/>
              <w:rPr>
                <w:rFonts w:eastAsia="Calibri"/>
                <w:b/>
                <w:sz w:val="18"/>
                <w:szCs w:val="18"/>
                <w:lang w:eastAsia="hr-HR"/>
              </w:rPr>
            </w:pPr>
            <w:r w:rsidRPr="001B4CA2">
              <w:rPr>
                <w:rFonts w:eastAsia="Calibri"/>
                <w:b/>
                <w:sz w:val="18"/>
                <w:szCs w:val="18"/>
                <w:lang w:eastAsia="hr-HR"/>
              </w:rPr>
              <w:t>Drugi</w:t>
            </w:r>
          </w:p>
        </w:tc>
        <w:tc>
          <w:tcPr>
            <w:tcW w:w="962" w:type="dxa"/>
            <w:shd w:val="clear" w:color="auto" w:fill="99CCFF"/>
            <w:textDirection w:val="btLr"/>
            <w:vAlign w:val="center"/>
          </w:tcPr>
          <w:p w14:paraId="296B00BB" w14:textId="0DF557A8" w:rsidR="008715CD" w:rsidRPr="001B4CA2" w:rsidRDefault="008715CD" w:rsidP="005970E5">
            <w:pPr>
              <w:ind w:left="113" w:right="113"/>
              <w:jc w:val="left"/>
              <w:rPr>
                <w:rFonts w:eastAsia="Calibri"/>
                <w:b/>
                <w:sz w:val="18"/>
                <w:szCs w:val="18"/>
                <w:lang w:eastAsia="hr-HR"/>
              </w:rPr>
            </w:pPr>
            <w:r w:rsidRPr="001B4CA2">
              <w:rPr>
                <w:rFonts w:eastAsia="Calibri"/>
                <w:b/>
                <w:sz w:val="18"/>
                <w:szCs w:val="18"/>
                <w:lang w:eastAsia="hr-HR"/>
              </w:rPr>
              <w:t>S kaznenim nalogom</w:t>
            </w:r>
          </w:p>
        </w:tc>
        <w:tc>
          <w:tcPr>
            <w:tcW w:w="1025" w:type="dxa"/>
            <w:shd w:val="clear" w:color="auto" w:fill="99CCFF"/>
            <w:textDirection w:val="btLr"/>
            <w:vAlign w:val="center"/>
          </w:tcPr>
          <w:p w14:paraId="55399433" w14:textId="529B513F" w:rsidR="008715CD" w:rsidRPr="001B4CA2" w:rsidRDefault="008715CD" w:rsidP="005970E5">
            <w:pPr>
              <w:ind w:left="113" w:right="113"/>
              <w:jc w:val="left"/>
              <w:rPr>
                <w:rFonts w:eastAsia="Calibri"/>
                <w:b/>
                <w:sz w:val="18"/>
                <w:szCs w:val="18"/>
                <w:lang w:eastAsia="hr-HR"/>
              </w:rPr>
            </w:pPr>
            <w:r w:rsidRPr="001B4CA2">
              <w:rPr>
                <w:rFonts w:eastAsia="Calibri"/>
                <w:b/>
                <w:sz w:val="18"/>
                <w:szCs w:val="18"/>
                <w:lang w:eastAsia="hr-HR"/>
              </w:rPr>
              <w:t>Bez kaznenog naloga</w:t>
            </w:r>
          </w:p>
        </w:tc>
        <w:tc>
          <w:tcPr>
            <w:tcW w:w="1044" w:type="dxa"/>
            <w:shd w:val="clear" w:color="auto" w:fill="99CCFF"/>
            <w:textDirection w:val="btLr"/>
            <w:vAlign w:val="center"/>
          </w:tcPr>
          <w:p w14:paraId="48CF4E6C" w14:textId="1A37F6C9" w:rsidR="008715CD" w:rsidRPr="001B4CA2" w:rsidRDefault="008715CD" w:rsidP="005970E5">
            <w:pPr>
              <w:ind w:left="113" w:right="113"/>
              <w:jc w:val="left"/>
              <w:rPr>
                <w:rFonts w:eastAsia="Calibri"/>
                <w:b/>
                <w:sz w:val="18"/>
                <w:szCs w:val="18"/>
                <w:lang w:eastAsia="hr-HR"/>
              </w:rPr>
            </w:pPr>
            <w:r w:rsidRPr="001B4CA2">
              <w:rPr>
                <w:rFonts w:eastAsia="Calibri"/>
                <w:b/>
                <w:sz w:val="18"/>
                <w:szCs w:val="18"/>
                <w:lang w:eastAsia="hr-HR"/>
              </w:rPr>
              <w:t>Osuđujuća</w:t>
            </w:r>
          </w:p>
        </w:tc>
        <w:tc>
          <w:tcPr>
            <w:tcW w:w="1044" w:type="dxa"/>
            <w:shd w:val="clear" w:color="auto" w:fill="99CCFF"/>
            <w:textDirection w:val="btLr"/>
            <w:vAlign w:val="center"/>
          </w:tcPr>
          <w:p w14:paraId="11B97867" w14:textId="77777777" w:rsidR="008715CD" w:rsidRPr="001B4CA2" w:rsidRDefault="008715CD" w:rsidP="005970E5">
            <w:pPr>
              <w:ind w:left="113" w:right="113"/>
              <w:jc w:val="left"/>
              <w:rPr>
                <w:rFonts w:eastAsia="Calibri"/>
                <w:b/>
                <w:sz w:val="18"/>
                <w:szCs w:val="18"/>
                <w:lang w:eastAsia="hr-HR"/>
              </w:rPr>
            </w:pPr>
            <w:r w:rsidRPr="001B4CA2">
              <w:rPr>
                <w:rFonts w:eastAsia="Calibri"/>
                <w:b/>
                <w:sz w:val="18"/>
                <w:szCs w:val="18"/>
                <w:lang w:eastAsia="hr-HR"/>
              </w:rPr>
              <w:t>Oslobađajuća</w:t>
            </w:r>
          </w:p>
        </w:tc>
        <w:tc>
          <w:tcPr>
            <w:tcW w:w="1045" w:type="dxa"/>
            <w:shd w:val="clear" w:color="auto" w:fill="99CCFF"/>
            <w:textDirection w:val="btLr"/>
            <w:vAlign w:val="center"/>
          </w:tcPr>
          <w:p w14:paraId="1CF7539A" w14:textId="0B3CE3CA" w:rsidR="008715CD" w:rsidRPr="001B4CA2" w:rsidRDefault="008715CD" w:rsidP="005970E5">
            <w:pPr>
              <w:ind w:left="113" w:right="113"/>
              <w:jc w:val="left"/>
              <w:rPr>
                <w:rFonts w:eastAsia="Calibri"/>
                <w:b/>
                <w:sz w:val="18"/>
                <w:szCs w:val="18"/>
                <w:lang w:eastAsia="hr-HR"/>
              </w:rPr>
            </w:pPr>
            <w:r w:rsidRPr="001B4CA2">
              <w:rPr>
                <w:rFonts w:eastAsia="Calibri"/>
                <w:b/>
                <w:sz w:val="18"/>
                <w:szCs w:val="18"/>
                <w:lang w:eastAsia="hr-HR"/>
              </w:rPr>
              <w:t>Odbijajuća</w:t>
            </w:r>
          </w:p>
        </w:tc>
      </w:tr>
      <w:tr w:rsidR="0096574E" w:rsidRPr="001B4CA2" w14:paraId="2D1F7418" w14:textId="77777777" w:rsidTr="005D30E9">
        <w:trPr>
          <w:trHeight w:val="749"/>
          <w:jc w:val="center"/>
        </w:trPr>
        <w:tc>
          <w:tcPr>
            <w:tcW w:w="1307" w:type="dxa"/>
            <w:vAlign w:val="center"/>
          </w:tcPr>
          <w:p w14:paraId="19EF5D97" w14:textId="3FDA2138" w:rsidR="008715CD" w:rsidRPr="001B4CA2" w:rsidRDefault="008715CD" w:rsidP="00243E85">
            <w:pPr>
              <w:jc w:val="left"/>
              <w:rPr>
                <w:rFonts w:eastAsia="Calibri"/>
                <w:b/>
                <w:sz w:val="18"/>
                <w:szCs w:val="18"/>
                <w:lang w:eastAsia="hr-HR"/>
              </w:rPr>
            </w:pPr>
            <w:r w:rsidRPr="001B4CA2">
              <w:rPr>
                <w:rFonts w:eastAsia="Calibri"/>
                <w:b/>
                <w:sz w:val="18"/>
                <w:szCs w:val="18"/>
                <w:lang w:eastAsia="hr-HR"/>
              </w:rPr>
              <w:t xml:space="preserve">KD u vezi čl. 87. </w:t>
            </w:r>
            <w:r w:rsidR="00271C0C" w:rsidRPr="001B4CA2">
              <w:rPr>
                <w:rFonts w:eastAsia="Calibri"/>
                <w:b/>
                <w:sz w:val="18"/>
                <w:szCs w:val="18"/>
                <w:lang w:eastAsia="hr-HR"/>
              </w:rPr>
              <w:t>st</w:t>
            </w:r>
            <w:r w:rsidRPr="001B4CA2">
              <w:rPr>
                <w:rFonts w:eastAsia="Calibri"/>
                <w:b/>
                <w:sz w:val="18"/>
                <w:szCs w:val="18"/>
                <w:lang w:eastAsia="hr-HR"/>
              </w:rPr>
              <w:t>. 21. KZ (zločini iz mržnje)</w:t>
            </w:r>
          </w:p>
        </w:tc>
        <w:tc>
          <w:tcPr>
            <w:tcW w:w="608" w:type="dxa"/>
            <w:vAlign w:val="center"/>
          </w:tcPr>
          <w:p w14:paraId="1DE5964E" w14:textId="51BE3FB7" w:rsidR="008715CD" w:rsidRPr="001B4CA2" w:rsidRDefault="0024689D" w:rsidP="007B6B70">
            <w:pPr>
              <w:jc w:val="center"/>
              <w:rPr>
                <w:rFonts w:eastAsia="Calibri"/>
                <w:sz w:val="18"/>
                <w:szCs w:val="18"/>
                <w:lang w:eastAsia="hr-HR"/>
              </w:rPr>
            </w:pPr>
            <w:r w:rsidRPr="001B4CA2">
              <w:rPr>
                <w:rFonts w:eastAsia="Calibri"/>
                <w:sz w:val="18"/>
                <w:szCs w:val="18"/>
                <w:lang w:eastAsia="hr-HR"/>
              </w:rPr>
              <w:t>46</w:t>
            </w:r>
          </w:p>
        </w:tc>
        <w:tc>
          <w:tcPr>
            <w:tcW w:w="649" w:type="dxa"/>
            <w:vAlign w:val="center"/>
          </w:tcPr>
          <w:p w14:paraId="0EE61D56" w14:textId="510FCD4E" w:rsidR="008715CD" w:rsidRPr="001B4CA2" w:rsidRDefault="0024689D" w:rsidP="007B6B70">
            <w:pPr>
              <w:jc w:val="center"/>
              <w:rPr>
                <w:rFonts w:eastAsia="Calibri"/>
                <w:sz w:val="18"/>
                <w:szCs w:val="18"/>
                <w:lang w:eastAsia="hr-HR"/>
              </w:rPr>
            </w:pPr>
            <w:r w:rsidRPr="001B4CA2">
              <w:rPr>
                <w:rFonts w:eastAsia="Calibri"/>
                <w:sz w:val="18"/>
                <w:szCs w:val="18"/>
                <w:lang w:eastAsia="hr-HR"/>
              </w:rPr>
              <w:t>14</w:t>
            </w:r>
          </w:p>
        </w:tc>
        <w:tc>
          <w:tcPr>
            <w:tcW w:w="728" w:type="dxa"/>
            <w:vAlign w:val="center"/>
          </w:tcPr>
          <w:p w14:paraId="5E16E30C" w14:textId="18E9E27E" w:rsidR="008715CD" w:rsidRPr="001B4CA2" w:rsidRDefault="001F253F" w:rsidP="007B6B70">
            <w:pPr>
              <w:jc w:val="center"/>
              <w:rPr>
                <w:rFonts w:eastAsia="Calibri"/>
                <w:sz w:val="18"/>
                <w:szCs w:val="18"/>
                <w:lang w:eastAsia="hr-HR"/>
              </w:rPr>
            </w:pPr>
            <w:r w:rsidRPr="001B4CA2">
              <w:rPr>
                <w:rFonts w:eastAsia="Calibri"/>
                <w:sz w:val="18"/>
                <w:szCs w:val="18"/>
                <w:lang w:eastAsia="hr-HR"/>
              </w:rPr>
              <w:t>1</w:t>
            </w:r>
            <w:r w:rsidR="0024689D" w:rsidRPr="001B4CA2">
              <w:rPr>
                <w:rFonts w:eastAsia="Calibri"/>
                <w:sz w:val="18"/>
                <w:szCs w:val="18"/>
                <w:lang w:eastAsia="hr-HR"/>
              </w:rPr>
              <w:t>1</w:t>
            </w:r>
          </w:p>
        </w:tc>
        <w:tc>
          <w:tcPr>
            <w:tcW w:w="722" w:type="dxa"/>
            <w:vAlign w:val="center"/>
          </w:tcPr>
          <w:p w14:paraId="2D00178D" w14:textId="35CDB5C0" w:rsidR="008715CD" w:rsidRPr="001B4CA2" w:rsidRDefault="0024689D" w:rsidP="007B6B70">
            <w:pPr>
              <w:jc w:val="center"/>
              <w:rPr>
                <w:rFonts w:eastAsia="Calibri"/>
                <w:sz w:val="18"/>
                <w:szCs w:val="18"/>
                <w:lang w:eastAsia="hr-HR"/>
              </w:rPr>
            </w:pPr>
            <w:r w:rsidRPr="001B4CA2">
              <w:rPr>
                <w:rFonts w:eastAsia="Calibri"/>
                <w:sz w:val="18"/>
                <w:szCs w:val="18"/>
                <w:lang w:eastAsia="hr-HR"/>
              </w:rPr>
              <w:t>5</w:t>
            </w:r>
          </w:p>
        </w:tc>
        <w:tc>
          <w:tcPr>
            <w:tcW w:w="962" w:type="dxa"/>
            <w:vAlign w:val="center"/>
          </w:tcPr>
          <w:p w14:paraId="15EB68F2" w14:textId="58E85F6F" w:rsidR="008715CD" w:rsidRPr="001B4CA2" w:rsidRDefault="0024689D" w:rsidP="007B6B70">
            <w:pPr>
              <w:jc w:val="center"/>
              <w:rPr>
                <w:rFonts w:eastAsia="Calibri"/>
                <w:sz w:val="18"/>
                <w:szCs w:val="18"/>
                <w:lang w:eastAsia="hr-HR"/>
              </w:rPr>
            </w:pPr>
            <w:r w:rsidRPr="001B4CA2">
              <w:rPr>
                <w:rFonts w:eastAsia="Calibri"/>
                <w:sz w:val="18"/>
                <w:szCs w:val="18"/>
                <w:lang w:eastAsia="hr-HR"/>
              </w:rPr>
              <w:t>7</w:t>
            </w:r>
          </w:p>
        </w:tc>
        <w:tc>
          <w:tcPr>
            <w:tcW w:w="1025" w:type="dxa"/>
            <w:vAlign w:val="center"/>
          </w:tcPr>
          <w:p w14:paraId="7794559C" w14:textId="2842D7F4" w:rsidR="008715CD" w:rsidRPr="001B4CA2" w:rsidRDefault="0024689D" w:rsidP="007B6B70">
            <w:pPr>
              <w:jc w:val="center"/>
              <w:rPr>
                <w:rFonts w:eastAsia="Calibri"/>
                <w:sz w:val="18"/>
                <w:szCs w:val="18"/>
                <w:lang w:eastAsia="hr-HR"/>
              </w:rPr>
            </w:pPr>
            <w:r w:rsidRPr="001B4CA2">
              <w:rPr>
                <w:rFonts w:eastAsia="Calibri"/>
                <w:sz w:val="18"/>
                <w:szCs w:val="18"/>
                <w:lang w:eastAsia="hr-HR"/>
              </w:rPr>
              <w:t>28</w:t>
            </w:r>
          </w:p>
        </w:tc>
        <w:tc>
          <w:tcPr>
            <w:tcW w:w="1044" w:type="dxa"/>
            <w:vAlign w:val="center"/>
          </w:tcPr>
          <w:p w14:paraId="6CBAD96F" w14:textId="0194D2ED" w:rsidR="008715CD" w:rsidRPr="001B4CA2" w:rsidRDefault="0024689D" w:rsidP="007B6B70">
            <w:pPr>
              <w:jc w:val="center"/>
              <w:rPr>
                <w:rFonts w:eastAsia="Calibri"/>
                <w:sz w:val="18"/>
                <w:szCs w:val="18"/>
                <w:lang w:eastAsia="hr-HR"/>
              </w:rPr>
            </w:pPr>
            <w:r w:rsidRPr="001B4CA2">
              <w:rPr>
                <w:rFonts w:eastAsia="Calibri"/>
                <w:sz w:val="18"/>
                <w:szCs w:val="18"/>
                <w:lang w:eastAsia="hr-HR"/>
              </w:rPr>
              <w:t>16</w:t>
            </w:r>
          </w:p>
        </w:tc>
        <w:tc>
          <w:tcPr>
            <w:tcW w:w="1044" w:type="dxa"/>
            <w:vAlign w:val="center"/>
          </w:tcPr>
          <w:p w14:paraId="26183F30" w14:textId="3BBC49BB" w:rsidR="008715CD" w:rsidRPr="001B4CA2" w:rsidRDefault="0024689D" w:rsidP="007B6B70">
            <w:pPr>
              <w:jc w:val="center"/>
              <w:rPr>
                <w:rFonts w:eastAsia="Calibri"/>
                <w:sz w:val="18"/>
                <w:szCs w:val="18"/>
                <w:lang w:eastAsia="hr-HR"/>
              </w:rPr>
            </w:pPr>
            <w:r w:rsidRPr="001B4CA2">
              <w:rPr>
                <w:rFonts w:eastAsia="Calibri"/>
                <w:sz w:val="18"/>
                <w:szCs w:val="18"/>
                <w:lang w:eastAsia="hr-HR"/>
              </w:rPr>
              <w:t>1</w:t>
            </w:r>
          </w:p>
        </w:tc>
        <w:tc>
          <w:tcPr>
            <w:tcW w:w="1045" w:type="dxa"/>
            <w:vAlign w:val="center"/>
          </w:tcPr>
          <w:p w14:paraId="10A53643" w14:textId="6B16E33E" w:rsidR="008715CD" w:rsidRPr="001B4CA2" w:rsidRDefault="0024689D" w:rsidP="007B6B70">
            <w:pPr>
              <w:jc w:val="center"/>
              <w:rPr>
                <w:rFonts w:eastAsia="Calibri"/>
                <w:sz w:val="18"/>
                <w:szCs w:val="18"/>
                <w:lang w:eastAsia="hr-HR"/>
              </w:rPr>
            </w:pPr>
            <w:r w:rsidRPr="001B4CA2">
              <w:rPr>
                <w:rFonts w:eastAsia="Calibri"/>
                <w:sz w:val="18"/>
                <w:szCs w:val="18"/>
                <w:lang w:eastAsia="hr-HR"/>
              </w:rPr>
              <w:t>0</w:t>
            </w:r>
          </w:p>
        </w:tc>
      </w:tr>
      <w:tr w:rsidR="008715CD" w:rsidRPr="001B4CA2" w14:paraId="5FF8A0CE" w14:textId="77777777" w:rsidTr="005D30E9">
        <w:trPr>
          <w:trHeight w:val="620"/>
          <w:jc w:val="center"/>
        </w:trPr>
        <w:tc>
          <w:tcPr>
            <w:tcW w:w="1307" w:type="dxa"/>
            <w:vAlign w:val="center"/>
          </w:tcPr>
          <w:p w14:paraId="01FD9EDF" w14:textId="78D2F7E6" w:rsidR="008715CD" w:rsidRPr="001B4CA2" w:rsidRDefault="008715CD" w:rsidP="00243E85">
            <w:pPr>
              <w:jc w:val="left"/>
              <w:rPr>
                <w:rFonts w:eastAsia="Calibri"/>
                <w:b/>
                <w:sz w:val="18"/>
                <w:szCs w:val="18"/>
                <w:lang w:eastAsia="hr-HR"/>
              </w:rPr>
            </w:pPr>
            <w:r w:rsidRPr="001B4CA2">
              <w:rPr>
                <w:rFonts w:eastAsia="Calibri"/>
                <w:b/>
                <w:sz w:val="18"/>
                <w:szCs w:val="18"/>
                <w:lang w:eastAsia="hr-HR"/>
              </w:rPr>
              <w:t>KD iz čl. 325</w:t>
            </w:r>
            <w:r w:rsidR="00F60E5F" w:rsidRPr="001B4CA2">
              <w:rPr>
                <w:rFonts w:eastAsia="Calibri"/>
                <w:b/>
                <w:sz w:val="18"/>
                <w:szCs w:val="18"/>
                <w:lang w:eastAsia="hr-HR"/>
              </w:rPr>
              <w:t>.</w:t>
            </w:r>
            <w:r w:rsidRPr="001B4CA2">
              <w:rPr>
                <w:rFonts w:eastAsia="Calibri"/>
                <w:b/>
                <w:sz w:val="18"/>
                <w:szCs w:val="18"/>
                <w:lang w:eastAsia="hr-HR"/>
              </w:rPr>
              <w:t xml:space="preserve"> KZ (govor mržnje)</w:t>
            </w:r>
          </w:p>
        </w:tc>
        <w:tc>
          <w:tcPr>
            <w:tcW w:w="608" w:type="dxa"/>
            <w:vAlign w:val="center"/>
          </w:tcPr>
          <w:p w14:paraId="01336F45" w14:textId="1E051501" w:rsidR="008715CD" w:rsidRPr="001B4CA2" w:rsidRDefault="0024689D" w:rsidP="007B6B70">
            <w:pPr>
              <w:jc w:val="center"/>
              <w:rPr>
                <w:rFonts w:eastAsia="Calibri"/>
                <w:sz w:val="18"/>
                <w:szCs w:val="18"/>
                <w:lang w:eastAsia="hr-HR"/>
              </w:rPr>
            </w:pPr>
            <w:r w:rsidRPr="001B4CA2">
              <w:rPr>
                <w:rFonts w:eastAsia="Calibri"/>
                <w:sz w:val="18"/>
                <w:szCs w:val="18"/>
                <w:lang w:eastAsia="hr-HR"/>
              </w:rPr>
              <w:t>8</w:t>
            </w:r>
          </w:p>
        </w:tc>
        <w:tc>
          <w:tcPr>
            <w:tcW w:w="649" w:type="dxa"/>
            <w:vAlign w:val="center"/>
          </w:tcPr>
          <w:p w14:paraId="79C48D40" w14:textId="3FB9B389" w:rsidR="008715CD" w:rsidRPr="001B4CA2" w:rsidRDefault="0024689D" w:rsidP="007B6B70">
            <w:pPr>
              <w:jc w:val="center"/>
              <w:rPr>
                <w:rFonts w:eastAsia="Calibri"/>
                <w:sz w:val="18"/>
                <w:szCs w:val="18"/>
                <w:lang w:eastAsia="hr-HR"/>
              </w:rPr>
            </w:pPr>
            <w:r w:rsidRPr="001B4CA2">
              <w:rPr>
                <w:rFonts w:eastAsia="Calibri"/>
                <w:sz w:val="18"/>
                <w:szCs w:val="18"/>
                <w:lang w:eastAsia="hr-HR"/>
              </w:rPr>
              <w:t>36</w:t>
            </w:r>
          </w:p>
        </w:tc>
        <w:tc>
          <w:tcPr>
            <w:tcW w:w="728" w:type="dxa"/>
            <w:vAlign w:val="center"/>
          </w:tcPr>
          <w:p w14:paraId="7FFFA4DA" w14:textId="3D2479D0" w:rsidR="008715CD" w:rsidRPr="001B4CA2" w:rsidRDefault="0024689D" w:rsidP="007B6B70">
            <w:pPr>
              <w:jc w:val="center"/>
              <w:rPr>
                <w:rFonts w:eastAsia="Calibri"/>
                <w:sz w:val="18"/>
                <w:szCs w:val="18"/>
                <w:lang w:eastAsia="hr-HR"/>
              </w:rPr>
            </w:pPr>
            <w:r w:rsidRPr="001B4CA2">
              <w:rPr>
                <w:rFonts w:eastAsia="Calibri"/>
                <w:sz w:val="18"/>
                <w:szCs w:val="18"/>
                <w:lang w:eastAsia="hr-HR"/>
              </w:rPr>
              <w:t>8</w:t>
            </w:r>
          </w:p>
        </w:tc>
        <w:tc>
          <w:tcPr>
            <w:tcW w:w="722" w:type="dxa"/>
            <w:vAlign w:val="center"/>
          </w:tcPr>
          <w:p w14:paraId="046BD1F5" w14:textId="4DB8A145" w:rsidR="008715CD" w:rsidRPr="001B4CA2" w:rsidRDefault="0024689D" w:rsidP="007B6B70">
            <w:pPr>
              <w:jc w:val="center"/>
              <w:rPr>
                <w:rFonts w:eastAsia="Calibri"/>
                <w:sz w:val="18"/>
                <w:szCs w:val="18"/>
                <w:lang w:eastAsia="hr-HR"/>
              </w:rPr>
            </w:pPr>
            <w:r w:rsidRPr="001B4CA2">
              <w:rPr>
                <w:rFonts w:eastAsia="Calibri"/>
                <w:sz w:val="18"/>
                <w:szCs w:val="18"/>
                <w:lang w:eastAsia="hr-HR"/>
              </w:rPr>
              <w:t>2</w:t>
            </w:r>
            <w:r w:rsidR="001F253F" w:rsidRPr="001B4CA2">
              <w:rPr>
                <w:rFonts w:eastAsia="Calibri"/>
                <w:sz w:val="18"/>
                <w:szCs w:val="18"/>
                <w:lang w:eastAsia="hr-HR"/>
              </w:rPr>
              <w:t>3</w:t>
            </w:r>
          </w:p>
        </w:tc>
        <w:tc>
          <w:tcPr>
            <w:tcW w:w="962" w:type="dxa"/>
            <w:vAlign w:val="center"/>
          </w:tcPr>
          <w:p w14:paraId="749E5993" w14:textId="13567977" w:rsidR="008715CD" w:rsidRPr="001B4CA2" w:rsidRDefault="0024689D" w:rsidP="007B6B70">
            <w:pPr>
              <w:jc w:val="center"/>
              <w:rPr>
                <w:rFonts w:eastAsia="Calibri"/>
                <w:sz w:val="18"/>
                <w:szCs w:val="18"/>
                <w:lang w:eastAsia="hr-HR"/>
              </w:rPr>
            </w:pPr>
            <w:r w:rsidRPr="001B4CA2">
              <w:rPr>
                <w:rFonts w:eastAsia="Calibri"/>
                <w:sz w:val="18"/>
                <w:szCs w:val="18"/>
                <w:lang w:eastAsia="hr-HR"/>
              </w:rPr>
              <w:t>2</w:t>
            </w:r>
          </w:p>
        </w:tc>
        <w:tc>
          <w:tcPr>
            <w:tcW w:w="1025" w:type="dxa"/>
            <w:vAlign w:val="center"/>
          </w:tcPr>
          <w:p w14:paraId="3762583B" w14:textId="7FC5123F" w:rsidR="008715CD" w:rsidRPr="001B4CA2" w:rsidRDefault="0024689D" w:rsidP="007B6B70">
            <w:pPr>
              <w:jc w:val="center"/>
              <w:rPr>
                <w:rFonts w:eastAsia="Calibri"/>
                <w:sz w:val="18"/>
                <w:szCs w:val="18"/>
                <w:lang w:eastAsia="hr-HR"/>
              </w:rPr>
            </w:pPr>
            <w:r w:rsidRPr="001B4CA2">
              <w:rPr>
                <w:rFonts w:eastAsia="Calibri"/>
                <w:sz w:val="18"/>
                <w:szCs w:val="18"/>
                <w:lang w:eastAsia="hr-HR"/>
              </w:rPr>
              <w:t>4</w:t>
            </w:r>
          </w:p>
        </w:tc>
        <w:tc>
          <w:tcPr>
            <w:tcW w:w="1044" w:type="dxa"/>
            <w:vAlign w:val="center"/>
          </w:tcPr>
          <w:p w14:paraId="52DF9A10" w14:textId="36ECF694" w:rsidR="008715CD" w:rsidRPr="001B4CA2" w:rsidRDefault="0024689D" w:rsidP="007B6B70">
            <w:pPr>
              <w:jc w:val="center"/>
              <w:rPr>
                <w:rFonts w:eastAsia="Calibri"/>
                <w:sz w:val="18"/>
                <w:szCs w:val="18"/>
                <w:lang w:eastAsia="hr-HR"/>
              </w:rPr>
            </w:pPr>
            <w:r w:rsidRPr="001B4CA2">
              <w:rPr>
                <w:rFonts w:eastAsia="Calibri"/>
                <w:sz w:val="18"/>
                <w:szCs w:val="18"/>
                <w:lang w:eastAsia="hr-HR"/>
              </w:rPr>
              <w:t>7</w:t>
            </w:r>
          </w:p>
        </w:tc>
        <w:tc>
          <w:tcPr>
            <w:tcW w:w="1044" w:type="dxa"/>
            <w:vAlign w:val="center"/>
          </w:tcPr>
          <w:p w14:paraId="67262E5A" w14:textId="41656D17" w:rsidR="008715CD" w:rsidRPr="001B4CA2" w:rsidRDefault="0024689D" w:rsidP="007B6B70">
            <w:pPr>
              <w:jc w:val="center"/>
              <w:rPr>
                <w:rFonts w:eastAsia="Calibri"/>
                <w:sz w:val="18"/>
                <w:szCs w:val="18"/>
                <w:lang w:eastAsia="hr-HR"/>
              </w:rPr>
            </w:pPr>
            <w:r w:rsidRPr="001B4CA2">
              <w:rPr>
                <w:rFonts w:eastAsia="Calibri"/>
                <w:sz w:val="18"/>
                <w:szCs w:val="18"/>
                <w:lang w:eastAsia="hr-HR"/>
              </w:rPr>
              <w:t>0</w:t>
            </w:r>
          </w:p>
        </w:tc>
        <w:tc>
          <w:tcPr>
            <w:tcW w:w="1045" w:type="dxa"/>
            <w:vAlign w:val="center"/>
          </w:tcPr>
          <w:p w14:paraId="3ECD2B08" w14:textId="6818C432" w:rsidR="008715CD" w:rsidRPr="001B4CA2" w:rsidRDefault="0024689D" w:rsidP="007B6B70">
            <w:pPr>
              <w:jc w:val="center"/>
              <w:rPr>
                <w:rFonts w:eastAsia="Calibri"/>
                <w:sz w:val="18"/>
                <w:szCs w:val="18"/>
                <w:lang w:eastAsia="hr-HR"/>
              </w:rPr>
            </w:pPr>
            <w:r w:rsidRPr="001B4CA2">
              <w:rPr>
                <w:rFonts w:eastAsia="Calibri"/>
                <w:sz w:val="18"/>
                <w:szCs w:val="18"/>
                <w:lang w:eastAsia="hr-HR"/>
              </w:rPr>
              <w:t>0</w:t>
            </w:r>
          </w:p>
        </w:tc>
      </w:tr>
    </w:tbl>
    <w:p w14:paraId="0FB64DB6" w14:textId="77777777" w:rsidR="00720ACF" w:rsidRPr="001B4CA2" w:rsidRDefault="00720ACF" w:rsidP="008E0139"/>
    <w:p w14:paraId="69217059" w14:textId="002963FF" w:rsidR="00100AB4" w:rsidRPr="001B4CA2" w:rsidRDefault="00BB4D48" w:rsidP="00D8449C">
      <w:pPr>
        <w:pStyle w:val="Naslov3"/>
        <w:ind w:left="142" w:firstLine="0"/>
        <w:rPr>
          <w:rFonts w:ascii="Arial" w:hAnsi="Arial" w:cs="Arial"/>
        </w:rPr>
      </w:pPr>
      <w:bookmarkStart w:id="143" w:name="_Toc133394373"/>
      <w:r w:rsidRPr="001B4CA2">
        <w:rPr>
          <w:rFonts w:ascii="Arial" w:hAnsi="Arial" w:cs="Arial"/>
        </w:rPr>
        <w:lastRenderedPageBreak/>
        <w:t>Kaznen</w:t>
      </w:r>
      <w:r w:rsidR="007C2573" w:rsidRPr="001B4CA2">
        <w:rPr>
          <w:rFonts w:ascii="Arial" w:hAnsi="Arial" w:cs="Arial"/>
        </w:rPr>
        <w:t xml:space="preserve">o djelo protuzakonitog ulaženja, kretanja i </w:t>
      </w:r>
      <w:r w:rsidR="005958B1" w:rsidRPr="001B4CA2">
        <w:rPr>
          <w:rFonts w:ascii="Arial" w:hAnsi="Arial" w:cs="Arial"/>
        </w:rPr>
        <w:t>boravka</w:t>
      </w:r>
      <w:r w:rsidR="007C2573" w:rsidRPr="001B4CA2">
        <w:rPr>
          <w:rFonts w:ascii="Arial" w:hAnsi="Arial" w:cs="Arial"/>
        </w:rPr>
        <w:t xml:space="preserve"> u Republici </w:t>
      </w:r>
      <w:r w:rsidR="00D8449C" w:rsidRPr="001B4CA2">
        <w:rPr>
          <w:rFonts w:ascii="Arial" w:hAnsi="Arial" w:cs="Arial"/>
        </w:rPr>
        <w:tab/>
      </w:r>
      <w:r w:rsidR="007C2573" w:rsidRPr="001B4CA2">
        <w:rPr>
          <w:rFonts w:ascii="Arial" w:hAnsi="Arial" w:cs="Arial"/>
        </w:rPr>
        <w:t xml:space="preserve">Hrvatskoj, drugoj državi </w:t>
      </w:r>
      <w:r w:rsidR="00087473" w:rsidRPr="001B4CA2">
        <w:rPr>
          <w:rFonts w:ascii="Arial" w:hAnsi="Arial" w:cs="Arial"/>
        </w:rPr>
        <w:t>članici</w:t>
      </w:r>
      <w:r w:rsidR="007C2573" w:rsidRPr="001B4CA2">
        <w:rPr>
          <w:rFonts w:ascii="Arial" w:hAnsi="Arial" w:cs="Arial"/>
        </w:rPr>
        <w:t xml:space="preserve"> Europske unije ili potpisnici Šengenskog </w:t>
      </w:r>
      <w:r w:rsidR="00D8449C" w:rsidRPr="001B4CA2">
        <w:rPr>
          <w:rFonts w:ascii="Arial" w:hAnsi="Arial" w:cs="Arial"/>
        </w:rPr>
        <w:tab/>
      </w:r>
      <w:r w:rsidR="007C2573" w:rsidRPr="001B4CA2">
        <w:rPr>
          <w:rFonts w:ascii="Arial" w:hAnsi="Arial" w:cs="Arial"/>
        </w:rPr>
        <w:t>sporazuma</w:t>
      </w:r>
      <w:bookmarkEnd w:id="143"/>
    </w:p>
    <w:p w14:paraId="4E4243CE" w14:textId="77777777" w:rsidR="00100AB4" w:rsidRPr="001B4CA2" w:rsidRDefault="00100AB4" w:rsidP="00100AB4"/>
    <w:p w14:paraId="7B1E1B84" w14:textId="6CF4C532" w:rsidR="002015BC" w:rsidRPr="001B4CA2" w:rsidRDefault="00EC75BB" w:rsidP="002015BC">
      <w:r w:rsidRPr="001B4CA2">
        <w:tab/>
      </w:r>
      <w:r w:rsidR="002015BC" w:rsidRPr="001B4CA2">
        <w:t xml:space="preserve">U ovoj izvještajnoj godini za ovo kazneno djelo nadležna državna odvjetništva </w:t>
      </w:r>
      <w:r w:rsidR="00990BD1" w:rsidRPr="001B4CA2">
        <w:t xml:space="preserve">zaprimila </w:t>
      </w:r>
      <w:r w:rsidR="002015BC" w:rsidRPr="001B4CA2">
        <w:t>su ukupno 919 kaznenih prijava, od čega 749 kaznenih prijava protiv počinitelja kaznenog djela iz članka 326. stavka 1. KZ/11 te 170 kaznenih prijava za kazneno djelo iz članka 326. stavka 2. KZ/11.</w:t>
      </w:r>
    </w:p>
    <w:p w14:paraId="4A5D0999" w14:textId="77777777" w:rsidR="009C5ADE" w:rsidRPr="001B4CA2" w:rsidRDefault="009C5ADE" w:rsidP="00895521">
      <w:pPr>
        <w:rPr>
          <w:rFonts w:eastAsia="Times New Roman"/>
          <w:lang w:eastAsia="hr-HR"/>
        </w:rPr>
      </w:pPr>
    </w:p>
    <w:p w14:paraId="2ED8A732" w14:textId="0CE5C91B" w:rsidR="00B678D0" w:rsidRPr="001B4CA2" w:rsidRDefault="00D57807" w:rsidP="00280ADB">
      <w:pPr>
        <w:ind w:left="142" w:hanging="142"/>
        <w:rPr>
          <w:i/>
        </w:rPr>
      </w:pPr>
      <w:r>
        <w:rPr>
          <w:i/>
        </w:rPr>
        <w:t xml:space="preserve"> </w:t>
      </w:r>
      <w:r w:rsidR="00280ADB">
        <w:rPr>
          <w:i/>
        </w:rPr>
        <w:t xml:space="preserve">  </w:t>
      </w:r>
      <w:r w:rsidR="00B678D0" w:rsidRPr="001B4CA2">
        <w:rPr>
          <w:i/>
        </w:rPr>
        <w:t xml:space="preserve">Kazneno djelo protuzakonitog ulaženja, kretanja i boravka u Republici Hrvatskoj, </w:t>
      </w:r>
      <w:r>
        <w:rPr>
          <w:i/>
        </w:rPr>
        <w:t xml:space="preserve"> </w:t>
      </w:r>
      <w:r w:rsidR="00280ADB">
        <w:rPr>
          <w:i/>
        </w:rPr>
        <w:t xml:space="preserve"> </w:t>
      </w:r>
      <w:r w:rsidR="00B678D0" w:rsidRPr="001B4CA2">
        <w:rPr>
          <w:i/>
        </w:rPr>
        <w:t>drugoj dr</w:t>
      </w:r>
      <w:r w:rsidR="00EC50D6" w:rsidRPr="001B4CA2">
        <w:rPr>
          <w:i/>
        </w:rPr>
        <w:t xml:space="preserve">žavi članici </w:t>
      </w:r>
      <w:r w:rsidR="00751A8E" w:rsidRPr="001B4CA2">
        <w:rPr>
          <w:i/>
        </w:rPr>
        <w:t>E</w:t>
      </w:r>
      <w:r w:rsidR="00EC50D6" w:rsidRPr="001B4CA2">
        <w:rPr>
          <w:i/>
        </w:rPr>
        <w:t>uropske unije ili potpisnici Šengenskog sporazuma iz čl. 326. KZ/11</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289"/>
        <w:gridCol w:w="1017"/>
        <w:gridCol w:w="1016"/>
        <w:gridCol w:w="1130"/>
        <w:gridCol w:w="1182"/>
        <w:gridCol w:w="1423"/>
        <w:gridCol w:w="1055"/>
      </w:tblGrid>
      <w:tr w:rsidR="00532C41" w:rsidRPr="001B4CA2" w14:paraId="4946D7C2" w14:textId="77777777" w:rsidTr="00280ADB">
        <w:trPr>
          <w:trHeight w:val="473"/>
          <w:jc w:val="center"/>
        </w:trPr>
        <w:tc>
          <w:tcPr>
            <w:tcW w:w="857" w:type="dxa"/>
            <w:vMerge w:val="restart"/>
            <w:shd w:val="clear" w:color="auto" w:fill="99CCFF"/>
            <w:vAlign w:val="center"/>
          </w:tcPr>
          <w:p w14:paraId="4892F9B6" w14:textId="195CA711" w:rsidR="00B678D0" w:rsidRPr="001B4CA2" w:rsidRDefault="00C42E58" w:rsidP="00B678D0">
            <w:pPr>
              <w:jc w:val="center"/>
              <w:rPr>
                <w:rFonts w:eastAsia="Times New Roman"/>
                <w:b/>
                <w:bCs/>
                <w:sz w:val="18"/>
                <w:szCs w:val="18"/>
                <w:lang w:eastAsia="hr-HR"/>
              </w:rPr>
            </w:pPr>
            <w:r w:rsidRPr="001B4CA2">
              <w:rPr>
                <w:rFonts w:eastAsia="Times New Roman"/>
                <w:b/>
                <w:bCs/>
                <w:sz w:val="18"/>
                <w:szCs w:val="18"/>
                <w:lang w:eastAsia="hr-HR"/>
              </w:rPr>
              <w:t>Godina</w:t>
            </w:r>
          </w:p>
        </w:tc>
        <w:tc>
          <w:tcPr>
            <w:tcW w:w="1289" w:type="dxa"/>
            <w:vMerge w:val="restart"/>
            <w:shd w:val="clear" w:color="auto" w:fill="99CCFF"/>
            <w:noWrap/>
            <w:vAlign w:val="center"/>
            <w:hideMark/>
          </w:tcPr>
          <w:p w14:paraId="24D9B469" w14:textId="342A3AFC" w:rsidR="00B678D0" w:rsidRPr="001B4CA2" w:rsidRDefault="00B678D0" w:rsidP="00473057">
            <w:pPr>
              <w:jc w:val="center"/>
              <w:rPr>
                <w:rFonts w:eastAsia="Times New Roman"/>
                <w:b/>
                <w:bCs/>
                <w:sz w:val="18"/>
                <w:szCs w:val="18"/>
                <w:lang w:eastAsia="hr-HR"/>
              </w:rPr>
            </w:pPr>
            <w:r w:rsidRPr="001B4CA2">
              <w:rPr>
                <w:rFonts w:eastAsia="Times New Roman"/>
                <w:b/>
                <w:bCs/>
                <w:sz w:val="18"/>
                <w:szCs w:val="18"/>
                <w:lang w:eastAsia="hr-HR"/>
              </w:rPr>
              <w:t>Kazneno djelo</w:t>
            </w:r>
          </w:p>
        </w:tc>
        <w:tc>
          <w:tcPr>
            <w:tcW w:w="1017" w:type="dxa"/>
            <w:vMerge w:val="restart"/>
            <w:shd w:val="clear" w:color="auto" w:fill="99CCFF"/>
            <w:vAlign w:val="center"/>
          </w:tcPr>
          <w:p w14:paraId="49829F12" w14:textId="5325B501" w:rsidR="00B678D0" w:rsidRPr="001B4CA2" w:rsidRDefault="00B678D0" w:rsidP="00473057">
            <w:pPr>
              <w:jc w:val="center"/>
              <w:rPr>
                <w:rFonts w:eastAsia="Times New Roman"/>
                <w:b/>
                <w:bCs/>
                <w:sz w:val="18"/>
                <w:szCs w:val="18"/>
                <w:lang w:eastAsia="hr-HR"/>
              </w:rPr>
            </w:pPr>
            <w:r w:rsidRPr="001B4CA2">
              <w:rPr>
                <w:rFonts w:eastAsia="Times New Roman"/>
                <w:b/>
                <w:bCs/>
                <w:sz w:val="18"/>
                <w:szCs w:val="18"/>
                <w:lang w:eastAsia="hr-HR"/>
              </w:rPr>
              <w:t>Broj prijava</w:t>
            </w:r>
          </w:p>
        </w:tc>
        <w:tc>
          <w:tcPr>
            <w:tcW w:w="1016" w:type="dxa"/>
            <w:vMerge w:val="restart"/>
            <w:shd w:val="clear" w:color="auto" w:fill="99CCFF"/>
            <w:noWrap/>
            <w:vAlign w:val="center"/>
            <w:hideMark/>
          </w:tcPr>
          <w:p w14:paraId="12F52E9B" w14:textId="689DD0EF" w:rsidR="00B678D0" w:rsidRPr="001B4CA2" w:rsidRDefault="00B678D0" w:rsidP="00473057">
            <w:pPr>
              <w:jc w:val="center"/>
              <w:rPr>
                <w:rFonts w:eastAsia="Times New Roman"/>
                <w:b/>
                <w:bCs/>
                <w:sz w:val="18"/>
                <w:szCs w:val="18"/>
                <w:lang w:eastAsia="hr-HR"/>
              </w:rPr>
            </w:pPr>
            <w:r w:rsidRPr="001B4CA2">
              <w:rPr>
                <w:rFonts w:eastAsia="Times New Roman"/>
                <w:b/>
                <w:bCs/>
                <w:sz w:val="18"/>
                <w:szCs w:val="18"/>
                <w:lang w:eastAsia="hr-HR"/>
              </w:rPr>
              <w:t>Odbačaj</w:t>
            </w:r>
          </w:p>
        </w:tc>
        <w:tc>
          <w:tcPr>
            <w:tcW w:w="1130" w:type="dxa"/>
            <w:vMerge w:val="restart"/>
            <w:shd w:val="clear" w:color="auto" w:fill="99CCFF"/>
            <w:vAlign w:val="center"/>
          </w:tcPr>
          <w:p w14:paraId="331D5B38" w14:textId="09655E68" w:rsidR="00B678D0" w:rsidRPr="001B4CA2" w:rsidRDefault="00B678D0" w:rsidP="00473057">
            <w:pPr>
              <w:jc w:val="center"/>
              <w:rPr>
                <w:rFonts w:eastAsia="Times New Roman"/>
                <w:b/>
                <w:bCs/>
                <w:sz w:val="18"/>
                <w:szCs w:val="18"/>
                <w:lang w:eastAsia="hr-HR"/>
              </w:rPr>
            </w:pPr>
            <w:r w:rsidRPr="001B4CA2">
              <w:rPr>
                <w:rFonts w:eastAsia="Times New Roman"/>
                <w:b/>
                <w:bCs/>
                <w:sz w:val="18"/>
                <w:szCs w:val="18"/>
                <w:lang w:eastAsia="hr-HR"/>
              </w:rPr>
              <w:t>Optužnica</w:t>
            </w:r>
          </w:p>
        </w:tc>
        <w:tc>
          <w:tcPr>
            <w:tcW w:w="3660" w:type="dxa"/>
            <w:gridSpan w:val="3"/>
            <w:shd w:val="clear" w:color="auto" w:fill="99CCFF"/>
            <w:noWrap/>
            <w:vAlign w:val="center"/>
            <w:hideMark/>
          </w:tcPr>
          <w:p w14:paraId="0841397B" w14:textId="77777777" w:rsidR="00B678D0" w:rsidRPr="001B4CA2" w:rsidRDefault="00B678D0" w:rsidP="00473057">
            <w:pPr>
              <w:jc w:val="center"/>
              <w:rPr>
                <w:rFonts w:eastAsia="Times New Roman"/>
                <w:b/>
                <w:bCs/>
                <w:sz w:val="18"/>
                <w:szCs w:val="18"/>
                <w:lang w:eastAsia="hr-HR"/>
              </w:rPr>
            </w:pPr>
            <w:r w:rsidRPr="001B4CA2">
              <w:rPr>
                <w:rFonts w:eastAsia="Times New Roman"/>
                <w:b/>
                <w:bCs/>
                <w:sz w:val="18"/>
                <w:szCs w:val="18"/>
                <w:lang w:eastAsia="hr-HR"/>
              </w:rPr>
              <w:t>Presuda</w:t>
            </w:r>
          </w:p>
        </w:tc>
      </w:tr>
      <w:tr w:rsidR="00532C41" w:rsidRPr="001B4CA2" w14:paraId="40E757FA" w14:textId="77777777" w:rsidTr="00280ADB">
        <w:trPr>
          <w:trHeight w:val="339"/>
          <w:jc w:val="center"/>
        </w:trPr>
        <w:tc>
          <w:tcPr>
            <w:tcW w:w="857" w:type="dxa"/>
            <w:vMerge/>
            <w:shd w:val="clear" w:color="auto" w:fill="99CCFF"/>
            <w:vAlign w:val="center"/>
          </w:tcPr>
          <w:p w14:paraId="72171030" w14:textId="768DD1F1" w:rsidR="00B678D0" w:rsidRPr="001B4CA2" w:rsidRDefault="00B678D0" w:rsidP="00473057">
            <w:pPr>
              <w:jc w:val="center"/>
              <w:rPr>
                <w:rFonts w:eastAsia="Times New Roman"/>
                <w:sz w:val="18"/>
                <w:szCs w:val="18"/>
                <w:lang w:eastAsia="hr-HR"/>
              </w:rPr>
            </w:pPr>
          </w:p>
        </w:tc>
        <w:tc>
          <w:tcPr>
            <w:tcW w:w="1289" w:type="dxa"/>
            <w:vMerge/>
            <w:shd w:val="clear" w:color="auto" w:fill="99CCFF"/>
            <w:vAlign w:val="center"/>
          </w:tcPr>
          <w:p w14:paraId="79D4F905" w14:textId="59179084" w:rsidR="00B678D0" w:rsidRPr="001B4CA2" w:rsidRDefault="00B678D0" w:rsidP="00473057">
            <w:pPr>
              <w:jc w:val="center"/>
              <w:rPr>
                <w:rFonts w:eastAsia="Times New Roman"/>
                <w:sz w:val="18"/>
                <w:szCs w:val="18"/>
                <w:lang w:eastAsia="hr-HR"/>
              </w:rPr>
            </w:pPr>
          </w:p>
        </w:tc>
        <w:tc>
          <w:tcPr>
            <w:tcW w:w="1017" w:type="dxa"/>
            <w:vMerge/>
            <w:shd w:val="clear" w:color="auto" w:fill="99CCFF"/>
            <w:vAlign w:val="center"/>
          </w:tcPr>
          <w:p w14:paraId="7A62311F" w14:textId="7CF4DEE2" w:rsidR="00B678D0" w:rsidRPr="001B4CA2" w:rsidRDefault="00B678D0" w:rsidP="00473057">
            <w:pPr>
              <w:jc w:val="center"/>
              <w:rPr>
                <w:rFonts w:eastAsia="Times New Roman"/>
                <w:sz w:val="18"/>
                <w:szCs w:val="18"/>
                <w:lang w:eastAsia="hr-HR"/>
              </w:rPr>
            </w:pPr>
          </w:p>
        </w:tc>
        <w:tc>
          <w:tcPr>
            <w:tcW w:w="1016" w:type="dxa"/>
            <w:vMerge/>
            <w:shd w:val="clear" w:color="auto" w:fill="99CCFF"/>
            <w:vAlign w:val="center"/>
          </w:tcPr>
          <w:p w14:paraId="2403594A" w14:textId="2F842E66" w:rsidR="00B678D0" w:rsidRPr="001B4CA2" w:rsidRDefault="00B678D0" w:rsidP="00473057">
            <w:pPr>
              <w:jc w:val="center"/>
              <w:rPr>
                <w:rFonts w:eastAsia="Times New Roman"/>
                <w:sz w:val="18"/>
                <w:szCs w:val="18"/>
                <w:lang w:eastAsia="hr-HR"/>
              </w:rPr>
            </w:pPr>
          </w:p>
        </w:tc>
        <w:tc>
          <w:tcPr>
            <w:tcW w:w="1130" w:type="dxa"/>
            <w:vMerge/>
            <w:shd w:val="clear" w:color="auto" w:fill="99CCFF"/>
            <w:vAlign w:val="center"/>
          </w:tcPr>
          <w:p w14:paraId="2F853C6F" w14:textId="138D51B4" w:rsidR="00B678D0" w:rsidRPr="001B4CA2" w:rsidRDefault="00B678D0" w:rsidP="00473057">
            <w:pPr>
              <w:jc w:val="center"/>
              <w:rPr>
                <w:rFonts w:eastAsia="Times New Roman"/>
                <w:sz w:val="18"/>
                <w:szCs w:val="18"/>
                <w:lang w:eastAsia="hr-HR"/>
              </w:rPr>
            </w:pPr>
          </w:p>
        </w:tc>
        <w:tc>
          <w:tcPr>
            <w:tcW w:w="1182" w:type="dxa"/>
            <w:shd w:val="clear" w:color="auto" w:fill="99CCFF"/>
            <w:vAlign w:val="center"/>
            <w:hideMark/>
          </w:tcPr>
          <w:p w14:paraId="256C2BEB" w14:textId="77777777" w:rsidR="00B678D0" w:rsidRPr="001B4CA2" w:rsidRDefault="00B678D0" w:rsidP="00473057">
            <w:pPr>
              <w:jc w:val="center"/>
              <w:rPr>
                <w:rFonts w:eastAsia="Times New Roman"/>
                <w:sz w:val="18"/>
                <w:szCs w:val="18"/>
                <w:lang w:eastAsia="hr-HR"/>
              </w:rPr>
            </w:pPr>
            <w:r w:rsidRPr="001B4CA2">
              <w:rPr>
                <w:rFonts w:eastAsia="Times New Roman"/>
                <w:sz w:val="18"/>
                <w:szCs w:val="18"/>
                <w:lang w:eastAsia="hr-HR"/>
              </w:rPr>
              <w:t>Osuđujuća</w:t>
            </w:r>
          </w:p>
        </w:tc>
        <w:tc>
          <w:tcPr>
            <w:tcW w:w="1423" w:type="dxa"/>
            <w:shd w:val="clear" w:color="auto" w:fill="99CCFF"/>
            <w:vAlign w:val="center"/>
            <w:hideMark/>
          </w:tcPr>
          <w:p w14:paraId="41DD95B0" w14:textId="77777777" w:rsidR="00B678D0" w:rsidRPr="001B4CA2" w:rsidRDefault="00B678D0" w:rsidP="00473057">
            <w:pPr>
              <w:jc w:val="center"/>
              <w:rPr>
                <w:rFonts w:eastAsia="Times New Roman"/>
                <w:sz w:val="18"/>
                <w:szCs w:val="18"/>
                <w:lang w:eastAsia="hr-HR"/>
              </w:rPr>
            </w:pPr>
            <w:r w:rsidRPr="001B4CA2">
              <w:rPr>
                <w:rFonts w:eastAsia="Times New Roman"/>
                <w:sz w:val="18"/>
                <w:szCs w:val="18"/>
                <w:lang w:eastAsia="hr-HR"/>
              </w:rPr>
              <w:t>Oslobađajuća</w:t>
            </w:r>
          </w:p>
        </w:tc>
        <w:tc>
          <w:tcPr>
            <w:tcW w:w="1055" w:type="dxa"/>
            <w:shd w:val="clear" w:color="auto" w:fill="99CCFF"/>
            <w:vAlign w:val="center"/>
            <w:hideMark/>
          </w:tcPr>
          <w:p w14:paraId="6CC44711" w14:textId="77777777" w:rsidR="00B678D0" w:rsidRPr="001B4CA2" w:rsidRDefault="00B678D0" w:rsidP="00473057">
            <w:pPr>
              <w:jc w:val="center"/>
              <w:rPr>
                <w:rFonts w:eastAsia="Times New Roman"/>
                <w:sz w:val="18"/>
                <w:szCs w:val="18"/>
                <w:lang w:eastAsia="hr-HR"/>
              </w:rPr>
            </w:pPr>
            <w:r w:rsidRPr="001B4CA2">
              <w:rPr>
                <w:rFonts w:eastAsia="Times New Roman"/>
                <w:sz w:val="18"/>
                <w:szCs w:val="18"/>
                <w:lang w:eastAsia="hr-HR"/>
              </w:rPr>
              <w:t>Odbijajuća</w:t>
            </w:r>
          </w:p>
        </w:tc>
      </w:tr>
      <w:tr w:rsidR="00532C41" w:rsidRPr="001B4CA2" w14:paraId="2985C926" w14:textId="77777777" w:rsidTr="00280ADB">
        <w:trPr>
          <w:trHeight w:val="187"/>
          <w:jc w:val="center"/>
        </w:trPr>
        <w:tc>
          <w:tcPr>
            <w:tcW w:w="857" w:type="dxa"/>
            <w:vMerge w:val="restart"/>
            <w:shd w:val="clear" w:color="auto" w:fill="auto"/>
            <w:noWrap/>
            <w:vAlign w:val="center"/>
          </w:tcPr>
          <w:p w14:paraId="1F8FF408" w14:textId="6913A74E" w:rsidR="00D80649" w:rsidRPr="001B4CA2" w:rsidRDefault="00D80649" w:rsidP="00C1282F">
            <w:pPr>
              <w:jc w:val="center"/>
              <w:rPr>
                <w:rFonts w:eastAsia="Times New Roman"/>
                <w:b/>
                <w:sz w:val="18"/>
                <w:szCs w:val="18"/>
                <w:lang w:eastAsia="hr-HR"/>
              </w:rPr>
            </w:pPr>
            <w:r w:rsidRPr="001B4CA2">
              <w:rPr>
                <w:rFonts w:eastAsia="Times New Roman"/>
                <w:b/>
                <w:sz w:val="18"/>
                <w:szCs w:val="18"/>
                <w:lang w:eastAsia="hr-HR"/>
              </w:rPr>
              <w:t>2018.</w:t>
            </w:r>
          </w:p>
        </w:tc>
        <w:tc>
          <w:tcPr>
            <w:tcW w:w="1289" w:type="dxa"/>
            <w:shd w:val="clear" w:color="auto" w:fill="auto"/>
            <w:noWrap/>
            <w:vAlign w:val="center"/>
          </w:tcPr>
          <w:p w14:paraId="7091A401" w14:textId="650A5337" w:rsidR="00D80649" w:rsidRPr="001B4CA2" w:rsidRDefault="00D80649" w:rsidP="00C42E58">
            <w:pPr>
              <w:jc w:val="left"/>
              <w:rPr>
                <w:rFonts w:eastAsia="Times New Roman"/>
                <w:sz w:val="18"/>
                <w:szCs w:val="18"/>
                <w:lang w:eastAsia="hr-HR"/>
              </w:rPr>
            </w:pPr>
            <w:r w:rsidRPr="001B4CA2">
              <w:rPr>
                <w:rFonts w:eastAsia="Times New Roman"/>
                <w:sz w:val="18"/>
                <w:szCs w:val="18"/>
                <w:lang w:eastAsia="hr-HR"/>
              </w:rPr>
              <w:t>čl. 326. st. 1.</w:t>
            </w:r>
          </w:p>
        </w:tc>
        <w:tc>
          <w:tcPr>
            <w:tcW w:w="1017" w:type="dxa"/>
            <w:shd w:val="clear" w:color="auto" w:fill="auto"/>
            <w:noWrap/>
            <w:vAlign w:val="center"/>
          </w:tcPr>
          <w:p w14:paraId="1E4DB70C" w14:textId="25415DFC"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467</w:t>
            </w:r>
          </w:p>
        </w:tc>
        <w:tc>
          <w:tcPr>
            <w:tcW w:w="1016" w:type="dxa"/>
            <w:shd w:val="clear" w:color="auto" w:fill="auto"/>
            <w:noWrap/>
            <w:vAlign w:val="center"/>
          </w:tcPr>
          <w:p w14:paraId="2674046E" w14:textId="649A8800"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20</w:t>
            </w:r>
          </w:p>
        </w:tc>
        <w:tc>
          <w:tcPr>
            <w:tcW w:w="1130" w:type="dxa"/>
            <w:shd w:val="clear" w:color="auto" w:fill="auto"/>
            <w:noWrap/>
            <w:vAlign w:val="center"/>
          </w:tcPr>
          <w:p w14:paraId="4BDAA4DC" w14:textId="3DCB5267"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397</w:t>
            </w:r>
          </w:p>
        </w:tc>
        <w:tc>
          <w:tcPr>
            <w:tcW w:w="1182" w:type="dxa"/>
            <w:shd w:val="clear" w:color="auto" w:fill="auto"/>
            <w:noWrap/>
            <w:vAlign w:val="center"/>
          </w:tcPr>
          <w:p w14:paraId="1DF36EE8" w14:textId="203AAA15" w:rsidR="00D80649" w:rsidRPr="001B4CA2" w:rsidRDefault="00684F7C" w:rsidP="00473057">
            <w:pPr>
              <w:jc w:val="center"/>
              <w:rPr>
                <w:rFonts w:eastAsia="Times New Roman"/>
                <w:sz w:val="18"/>
                <w:szCs w:val="18"/>
                <w:lang w:eastAsia="hr-HR"/>
              </w:rPr>
            </w:pPr>
            <w:r w:rsidRPr="001B4CA2">
              <w:rPr>
                <w:rFonts w:eastAsia="Times New Roman"/>
                <w:sz w:val="18"/>
                <w:szCs w:val="18"/>
                <w:lang w:eastAsia="hr-HR"/>
              </w:rPr>
              <w:t>251</w:t>
            </w:r>
          </w:p>
        </w:tc>
        <w:tc>
          <w:tcPr>
            <w:tcW w:w="1423" w:type="dxa"/>
            <w:shd w:val="clear" w:color="auto" w:fill="auto"/>
            <w:noWrap/>
            <w:vAlign w:val="center"/>
          </w:tcPr>
          <w:p w14:paraId="1EF26BBC" w14:textId="1522B7BC" w:rsidR="00D80649" w:rsidRPr="001B4CA2" w:rsidRDefault="00684F7C" w:rsidP="00473057">
            <w:pPr>
              <w:jc w:val="center"/>
              <w:rPr>
                <w:rFonts w:eastAsia="Times New Roman"/>
                <w:sz w:val="18"/>
                <w:szCs w:val="18"/>
                <w:lang w:eastAsia="hr-HR"/>
              </w:rPr>
            </w:pPr>
            <w:r w:rsidRPr="001B4CA2">
              <w:rPr>
                <w:rFonts w:eastAsia="Times New Roman"/>
                <w:sz w:val="18"/>
                <w:szCs w:val="18"/>
                <w:lang w:eastAsia="hr-HR"/>
              </w:rPr>
              <w:t>1</w:t>
            </w:r>
          </w:p>
        </w:tc>
        <w:tc>
          <w:tcPr>
            <w:tcW w:w="1055" w:type="dxa"/>
            <w:shd w:val="clear" w:color="auto" w:fill="auto"/>
            <w:noWrap/>
            <w:vAlign w:val="center"/>
          </w:tcPr>
          <w:p w14:paraId="551BE0A4" w14:textId="4AC346A1" w:rsidR="00D80649" w:rsidRPr="001B4CA2" w:rsidRDefault="00D80649" w:rsidP="00473057">
            <w:pPr>
              <w:jc w:val="center"/>
              <w:rPr>
                <w:rFonts w:eastAsia="Times New Roman"/>
                <w:sz w:val="18"/>
                <w:szCs w:val="18"/>
                <w:lang w:eastAsia="hr-HR"/>
              </w:rPr>
            </w:pPr>
          </w:p>
        </w:tc>
      </w:tr>
      <w:tr w:rsidR="00532C41" w:rsidRPr="001B4CA2" w14:paraId="2C9A71FF" w14:textId="77777777" w:rsidTr="00280ADB">
        <w:trPr>
          <w:trHeight w:val="187"/>
          <w:jc w:val="center"/>
        </w:trPr>
        <w:tc>
          <w:tcPr>
            <w:tcW w:w="857" w:type="dxa"/>
            <w:vMerge/>
            <w:shd w:val="clear" w:color="auto" w:fill="auto"/>
            <w:noWrap/>
            <w:vAlign w:val="center"/>
          </w:tcPr>
          <w:p w14:paraId="30EC7426" w14:textId="77777777" w:rsidR="00D80649" w:rsidRPr="001B4CA2" w:rsidRDefault="00D80649" w:rsidP="00C1282F">
            <w:pPr>
              <w:jc w:val="center"/>
              <w:rPr>
                <w:rFonts w:eastAsia="Times New Roman"/>
                <w:sz w:val="18"/>
                <w:szCs w:val="18"/>
                <w:lang w:eastAsia="hr-HR"/>
              </w:rPr>
            </w:pPr>
          </w:p>
        </w:tc>
        <w:tc>
          <w:tcPr>
            <w:tcW w:w="1289" w:type="dxa"/>
            <w:shd w:val="clear" w:color="auto" w:fill="auto"/>
            <w:noWrap/>
            <w:vAlign w:val="center"/>
          </w:tcPr>
          <w:p w14:paraId="7A309916" w14:textId="76F4D530" w:rsidR="00D80649" w:rsidRPr="001B4CA2" w:rsidRDefault="00D80649" w:rsidP="00C42E58">
            <w:pPr>
              <w:jc w:val="left"/>
              <w:rPr>
                <w:rFonts w:eastAsia="Times New Roman"/>
                <w:sz w:val="18"/>
                <w:szCs w:val="18"/>
                <w:lang w:eastAsia="hr-HR"/>
              </w:rPr>
            </w:pPr>
            <w:r w:rsidRPr="001B4CA2">
              <w:rPr>
                <w:rFonts w:eastAsia="Times New Roman"/>
                <w:sz w:val="18"/>
                <w:szCs w:val="18"/>
                <w:lang w:eastAsia="hr-HR"/>
              </w:rPr>
              <w:t>čl. 326. st. 2.</w:t>
            </w:r>
          </w:p>
        </w:tc>
        <w:tc>
          <w:tcPr>
            <w:tcW w:w="1017" w:type="dxa"/>
            <w:shd w:val="clear" w:color="auto" w:fill="auto"/>
            <w:noWrap/>
            <w:vAlign w:val="center"/>
          </w:tcPr>
          <w:p w14:paraId="356DE58B" w14:textId="57BF5B85"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196</w:t>
            </w:r>
          </w:p>
        </w:tc>
        <w:tc>
          <w:tcPr>
            <w:tcW w:w="1016" w:type="dxa"/>
            <w:shd w:val="clear" w:color="auto" w:fill="auto"/>
            <w:noWrap/>
            <w:vAlign w:val="center"/>
          </w:tcPr>
          <w:p w14:paraId="540BC569" w14:textId="17604A15"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5</w:t>
            </w:r>
          </w:p>
        </w:tc>
        <w:tc>
          <w:tcPr>
            <w:tcW w:w="1130" w:type="dxa"/>
            <w:shd w:val="clear" w:color="auto" w:fill="auto"/>
            <w:noWrap/>
            <w:vAlign w:val="center"/>
          </w:tcPr>
          <w:p w14:paraId="62A124A9" w14:textId="3C24FEF4"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162</w:t>
            </w:r>
          </w:p>
        </w:tc>
        <w:tc>
          <w:tcPr>
            <w:tcW w:w="1182" w:type="dxa"/>
            <w:shd w:val="clear" w:color="auto" w:fill="auto"/>
            <w:noWrap/>
            <w:vAlign w:val="center"/>
          </w:tcPr>
          <w:p w14:paraId="5B08473A" w14:textId="059B9D95" w:rsidR="00D80649" w:rsidRPr="001B4CA2" w:rsidRDefault="00684F7C" w:rsidP="00473057">
            <w:pPr>
              <w:jc w:val="center"/>
              <w:rPr>
                <w:rFonts w:eastAsia="Times New Roman"/>
                <w:sz w:val="18"/>
                <w:szCs w:val="18"/>
                <w:lang w:eastAsia="hr-HR"/>
              </w:rPr>
            </w:pPr>
            <w:r w:rsidRPr="001B4CA2">
              <w:rPr>
                <w:rFonts w:eastAsia="Times New Roman"/>
                <w:sz w:val="18"/>
                <w:szCs w:val="18"/>
                <w:lang w:eastAsia="hr-HR"/>
              </w:rPr>
              <w:t>38</w:t>
            </w:r>
          </w:p>
        </w:tc>
        <w:tc>
          <w:tcPr>
            <w:tcW w:w="1423" w:type="dxa"/>
            <w:shd w:val="clear" w:color="auto" w:fill="auto"/>
            <w:noWrap/>
            <w:vAlign w:val="center"/>
          </w:tcPr>
          <w:p w14:paraId="67A1621F" w14:textId="5CF1265B" w:rsidR="00D80649" w:rsidRPr="001B4CA2" w:rsidRDefault="00D80649" w:rsidP="00473057">
            <w:pPr>
              <w:jc w:val="center"/>
              <w:rPr>
                <w:rFonts w:eastAsia="Times New Roman"/>
                <w:sz w:val="18"/>
                <w:szCs w:val="18"/>
                <w:lang w:eastAsia="hr-HR"/>
              </w:rPr>
            </w:pPr>
          </w:p>
        </w:tc>
        <w:tc>
          <w:tcPr>
            <w:tcW w:w="1055" w:type="dxa"/>
            <w:shd w:val="clear" w:color="auto" w:fill="auto"/>
            <w:noWrap/>
            <w:vAlign w:val="center"/>
          </w:tcPr>
          <w:p w14:paraId="353E283D" w14:textId="40795931" w:rsidR="00D80649" w:rsidRPr="001B4CA2" w:rsidRDefault="00D80649" w:rsidP="00473057">
            <w:pPr>
              <w:jc w:val="center"/>
              <w:rPr>
                <w:rFonts w:eastAsia="Times New Roman"/>
                <w:sz w:val="18"/>
                <w:szCs w:val="18"/>
                <w:lang w:eastAsia="hr-HR"/>
              </w:rPr>
            </w:pPr>
          </w:p>
        </w:tc>
      </w:tr>
      <w:tr w:rsidR="00532C41" w:rsidRPr="001B4CA2" w14:paraId="209A4B60" w14:textId="77777777" w:rsidTr="00280ADB">
        <w:trPr>
          <w:trHeight w:val="246"/>
          <w:jc w:val="center"/>
        </w:trPr>
        <w:tc>
          <w:tcPr>
            <w:tcW w:w="857" w:type="dxa"/>
            <w:vMerge/>
            <w:shd w:val="clear" w:color="auto" w:fill="auto"/>
            <w:noWrap/>
            <w:vAlign w:val="center"/>
          </w:tcPr>
          <w:p w14:paraId="04B2411F" w14:textId="1470A61C" w:rsidR="00D80649" w:rsidRPr="001B4CA2" w:rsidRDefault="00D80649" w:rsidP="00C1282F">
            <w:pPr>
              <w:jc w:val="center"/>
              <w:rPr>
                <w:rFonts w:eastAsia="Times New Roman"/>
                <w:b/>
                <w:sz w:val="18"/>
                <w:szCs w:val="18"/>
                <w:lang w:eastAsia="hr-HR"/>
              </w:rPr>
            </w:pPr>
          </w:p>
        </w:tc>
        <w:tc>
          <w:tcPr>
            <w:tcW w:w="1289" w:type="dxa"/>
            <w:shd w:val="clear" w:color="auto" w:fill="auto"/>
            <w:noWrap/>
            <w:vAlign w:val="center"/>
          </w:tcPr>
          <w:p w14:paraId="4578FB22" w14:textId="415BDB49" w:rsidR="00D80649" w:rsidRPr="001B4CA2" w:rsidRDefault="00D80649" w:rsidP="00C42E58">
            <w:pPr>
              <w:jc w:val="left"/>
              <w:rPr>
                <w:rFonts w:eastAsia="Times New Roman"/>
                <w:b/>
                <w:sz w:val="18"/>
                <w:szCs w:val="18"/>
                <w:lang w:eastAsia="hr-HR"/>
              </w:rPr>
            </w:pPr>
            <w:r w:rsidRPr="001B4CA2">
              <w:rPr>
                <w:rFonts w:eastAsia="Times New Roman"/>
                <w:b/>
                <w:sz w:val="18"/>
                <w:szCs w:val="18"/>
                <w:lang w:eastAsia="hr-HR"/>
              </w:rPr>
              <w:t>UKUPNO</w:t>
            </w:r>
          </w:p>
        </w:tc>
        <w:tc>
          <w:tcPr>
            <w:tcW w:w="1017" w:type="dxa"/>
            <w:shd w:val="clear" w:color="auto" w:fill="auto"/>
            <w:noWrap/>
            <w:vAlign w:val="center"/>
          </w:tcPr>
          <w:p w14:paraId="4D471C05" w14:textId="6326E863" w:rsidR="00D80649" w:rsidRPr="001B4CA2" w:rsidRDefault="00D80649" w:rsidP="00473057">
            <w:pPr>
              <w:jc w:val="center"/>
              <w:rPr>
                <w:rFonts w:eastAsia="Times New Roman"/>
                <w:b/>
                <w:sz w:val="18"/>
                <w:szCs w:val="18"/>
                <w:lang w:eastAsia="hr-HR"/>
              </w:rPr>
            </w:pPr>
            <w:r w:rsidRPr="001B4CA2">
              <w:rPr>
                <w:rFonts w:eastAsia="Times New Roman"/>
                <w:b/>
                <w:sz w:val="18"/>
                <w:szCs w:val="18"/>
                <w:lang w:eastAsia="hr-HR"/>
              </w:rPr>
              <w:t>663</w:t>
            </w:r>
          </w:p>
        </w:tc>
        <w:tc>
          <w:tcPr>
            <w:tcW w:w="1016" w:type="dxa"/>
            <w:shd w:val="clear" w:color="auto" w:fill="auto"/>
            <w:noWrap/>
            <w:vAlign w:val="center"/>
          </w:tcPr>
          <w:p w14:paraId="3C0ACF66" w14:textId="6406D88D" w:rsidR="00D80649" w:rsidRPr="001B4CA2" w:rsidRDefault="00D80649" w:rsidP="00473057">
            <w:pPr>
              <w:jc w:val="center"/>
              <w:rPr>
                <w:rFonts w:eastAsia="Times New Roman"/>
                <w:b/>
                <w:sz w:val="18"/>
                <w:szCs w:val="18"/>
                <w:lang w:eastAsia="hr-HR"/>
              </w:rPr>
            </w:pPr>
            <w:r w:rsidRPr="001B4CA2">
              <w:rPr>
                <w:rFonts w:eastAsia="Times New Roman"/>
                <w:b/>
                <w:sz w:val="18"/>
                <w:szCs w:val="18"/>
                <w:lang w:eastAsia="hr-HR"/>
              </w:rPr>
              <w:t>25</w:t>
            </w:r>
          </w:p>
        </w:tc>
        <w:tc>
          <w:tcPr>
            <w:tcW w:w="1130" w:type="dxa"/>
            <w:shd w:val="clear" w:color="auto" w:fill="auto"/>
            <w:noWrap/>
            <w:vAlign w:val="center"/>
          </w:tcPr>
          <w:p w14:paraId="05C33EE5" w14:textId="72559FB1" w:rsidR="00D80649" w:rsidRPr="001B4CA2" w:rsidRDefault="00D80649" w:rsidP="00473057">
            <w:pPr>
              <w:jc w:val="center"/>
              <w:rPr>
                <w:rFonts w:eastAsia="Times New Roman"/>
                <w:b/>
                <w:sz w:val="18"/>
                <w:szCs w:val="18"/>
                <w:lang w:eastAsia="hr-HR"/>
              </w:rPr>
            </w:pPr>
            <w:r w:rsidRPr="001B4CA2">
              <w:rPr>
                <w:rFonts w:eastAsia="Times New Roman"/>
                <w:b/>
                <w:sz w:val="18"/>
                <w:szCs w:val="18"/>
                <w:lang w:eastAsia="hr-HR"/>
              </w:rPr>
              <w:t>559</w:t>
            </w:r>
          </w:p>
        </w:tc>
        <w:tc>
          <w:tcPr>
            <w:tcW w:w="1182" w:type="dxa"/>
            <w:shd w:val="clear" w:color="auto" w:fill="auto"/>
            <w:noWrap/>
            <w:vAlign w:val="center"/>
          </w:tcPr>
          <w:p w14:paraId="2E508B91" w14:textId="3DF90837" w:rsidR="00D80649" w:rsidRPr="001B4CA2" w:rsidRDefault="00684F7C" w:rsidP="00473057">
            <w:pPr>
              <w:jc w:val="center"/>
              <w:rPr>
                <w:rFonts w:eastAsia="Times New Roman"/>
                <w:b/>
                <w:sz w:val="18"/>
                <w:szCs w:val="18"/>
                <w:lang w:eastAsia="hr-HR"/>
              </w:rPr>
            </w:pPr>
            <w:r w:rsidRPr="001B4CA2">
              <w:rPr>
                <w:rFonts w:eastAsia="Times New Roman"/>
                <w:b/>
                <w:sz w:val="18"/>
                <w:szCs w:val="18"/>
                <w:lang w:eastAsia="hr-HR"/>
              </w:rPr>
              <w:t>289</w:t>
            </w:r>
          </w:p>
        </w:tc>
        <w:tc>
          <w:tcPr>
            <w:tcW w:w="1423" w:type="dxa"/>
            <w:shd w:val="clear" w:color="auto" w:fill="auto"/>
            <w:noWrap/>
            <w:vAlign w:val="center"/>
          </w:tcPr>
          <w:p w14:paraId="6307123D" w14:textId="5057031D" w:rsidR="00D80649" w:rsidRPr="001B4CA2" w:rsidRDefault="00684F7C" w:rsidP="00473057">
            <w:pPr>
              <w:jc w:val="center"/>
              <w:rPr>
                <w:rFonts w:eastAsia="Times New Roman"/>
                <w:b/>
                <w:sz w:val="18"/>
                <w:szCs w:val="18"/>
                <w:lang w:eastAsia="hr-HR"/>
              </w:rPr>
            </w:pPr>
            <w:r w:rsidRPr="001B4CA2">
              <w:rPr>
                <w:rFonts w:eastAsia="Times New Roman"/>
                <w:b/>
                <w:sz w:val="18"/>
                <w:szCs w:val="18"/>
                <w:lang w:eastAsia="hr-HR"/>
              </w:rPr>
              <w:t>1</w:t>
            </w:r>
          </w:p>
        </w:tc>
        <w:tc>
          <w:tcPr>
            <w:tcW w:w="1055" w:type="dxa"/>
            <w:shd w:val="clear" w:color="auto" w:fill="auto"/>
            <w:noWrap/>
            <w:vAlign w:val="center"/>
          </w:tcPr>
          <w:p w14:paraId="2153A2D3" w14:textId="0A5F8A51" w:rsidR="00D80649" w:rsidRPr="001B4CA2" w:rsidRDefault="00D80649" w:rsidP="00473057">
            <w:pPr>
              <w:jc w:val="center"/>
              <w:rPr>
                <w:rFonts w:eastAsia="Times New Roman"/>
                <w:b/>
                <w:sz w:val="18"/>
                <w:szCs w:val="18"/>
                <w:lang w:eastAsia="hr-HR"/>
              </w:rPr>
            </w:pPr>
          </w:p>
        </w:tc>
      </w:tr>
      <w:tr w:rsidR="00532C41" w:rsidRPr="001B4CA2" w14:paraId="45AFE5C0" w14:textId="77777777" w:rsidTr="00280ADB">
        <w:trPr>
          <w:trHeight w:val="246"/>
          <w:jc w:val="center"/>
        </w:trPr>
        <w:tc>
          <w:tcPr>
            <w:tcW w:w="857" w:type="dxa"/>
            <w:vMerge w:val="restart"/>
            <w:shd w:val="clear" w:color="auto" w:fill="auto"/>
            <w:noWrap/>
            <w:vAlign w:val="center"/>
          </w:tcPr>
          <w:p w14:paraId="14880D08" w14:textId="64F8848B" w:rsidR="00D80649" w:rsidRPr="001B4CA2" w:rsidRDefault="00D80649" w:rsidP="00C1282F">
            <w:pPr>
              <w:jc w:val="center"/>
              <w:rPr>
                <w:rFonts w:eastAsia="Times New Roman"/>
                <w:b/>
                <w:sz w:val="18"/>
                <w:szCs w:val="18"/>
                <w:lang w:eastAsia="hr-HR"/>
              </w:rPr>
            </w:pPr>
            <w:r w:rsidRPr="001B4CA2">
              <w:rPr>
                <w:rFonts w:eastAsia="Times New Roman"/>
                <w:b/>
                <w:sz w:val="18"/>
                <w:szCs w:val="18"/>
                <w:lang w:eastAsia="hr-HR"/>
              </w:rPr>
              <w:t>2019.</w:t>
            </w:r>
          </w:p>
        </w:tc>
        <w:tc>
          <w:tcPr>
            <w:tcW w:w="1289" w:type="dxa"/>
            <w:shd w:val="clear" w:color="auto" w:fill="auto"/>
            <w:noWrap/>
            <w:vAlign w:val="center"/>
          </w:tcPr>
          <w:p w14:paraId="4268B15D" w14:textId="01D05FAE" w:rsidR="00D80649" w:rsidRPr="001B4CA2" w:rsidRDefault="00D80649" w:rsidP="00C42E58">
            <w:pPr>
              <w:jc w:val="left"/>
              <w:rPr>
                <w:rFonts w:eastAsia="Times New Roman"/>
                <w:sz w:val="18"/>
                <w:szCs w:val="18"/>
                <w:lang w:eastAsia="hr-HR"/>
              </w:rPr>
            </w:pPr>
            <w:r w:rsidRPr="001B4CA2">
              <w:rPr>
                <w:rFonts w:eastAsia="Times New Roman"/>
                <w:sz w:val="18"/>
                <w:szCs w:val="18"/>
                <w:lang w:eastAsia="hr-HR"/>
              </w:rPr>
              <w:t>čl. 326. st. 1.</w:t>
            </w:r>
          </w:p>
        </w:tc>
        <w:tc>
          <w:tcPr>
            <w:tcW w:w="1017" w:type="dxa"/>
            <w:shd w:val="clear" w:color="auto" w:fill="auto"/>
            <w:noWrap/>
            <w:vAlign w:val="center"/>
          </w:tcPr>
          <w:p w14:paraId="4569253C" w14:textId="66AE0D75"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850</w:t>
            </w:r>
          </w:p>
        </w:tc>
        <w:tc>
          <w:tcPr>
            <w:tcW w:w="1016" w:type="dxa"/>
            <w:shd w:val="clear" w:color="auto" w:fill="auto"/>
            <w:noWrap/>
            <w:vAlign w:val="center"/>
          </w:tcPr>
          <w:p w14:paraId="6DC65093" w14:textId="75AE79A7"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33</w:t>
            </w:r>
          </w:p>
        </w:tc>
        <w:tc>
          <w:tcPr>
            <w:tcW w:w="1130" w:type="dxa"/>
            <w:shd w:val="clear" w:color="auto" w:fill="auto"/>
            <w:noWrap/>
            <w:vAlign w:val="center"/>
          </w:tcPr>
          <w:p w14:paraId="6C0E192D" w14:textId="59DC4D53"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752</w:t>
            </w:r>
          </w:p>
        </w:tc>
        <w:tc>
          <w:tcPr>
            <w:tcW w:w="1182" w:type="dxa"/>
            <w:shd w:val="clear" w:color="auto" w:fill="auto"/>
            <w:noWrap/>
            <w:vAlign w:val="center"/>
          </w:tcPr>
          <w:p w14:paraId="73E8C443" w14:textId="15BCEA78" w:rsidR="00D80649" w:rsidRPr="001B4CA2" w:rsidRDefault="00684F7C" w:rsidP="00473057">
            <w:pPr>
              <w:jc w:val="center"/>
              <w:rPr>
                <w:rFonts w:eastAsia="Times New Roman"/>
                <w:sz w:val="18"/>
                <w:szCs w:val="18"/>
                <w:lang w:eastAsia="hr-HR"/>
              </w:rPr>
            </w:pPr>
            <w:r w:rsidRPr="001B4CA2">
              <w:rPr>
                <w:rFonts w:eastAsia="Times New Roman"/>
                <w:sz w:val="18"/>
                <w:szCs w:val="18"/>
                <w:lang w:eastAsia="hr-HR"/>
              </w:rPr>
              <w:t>486</w:t>
            </w:r>
          </w:p>
        </w:tc>
        <w:tc>
          <w:tcPr>
            <w:tcW w:w="1423" w:type="dxa"/>
            <w:shd w:val="clear" w:color="auto" w:fill="auto"/>
            <w:noWrap/>
            <w:vAlign w:val="center"/>
          </w:tcPr>
          <w:p w14:paraId="43BE345A" w14:textId="351F4AB9" w:rsidR="00D80649" w:rsidRPr="001B4CA2" w:rsidRDefault="00684F7C" w:rsidP="00473057">
            <w:pPr>
              <w:jc w:val="center"/>
              <w:rPr>
                <w:rFonts w:eastAsia="Times New Roman"/>
                <w:sz w:val="18"/>
                <w:szCs w:val="18"/>
                <w:lang w:eastAsia="hr-HR"/>
              </w:rPr>
            </w:pPr>
            <w:r w:rsidRPr="001B4CA2">
              <w:rPr>
                <w:rFonts w:eastAsia="Times New Roman"/>
                <w:sz w:val="18"/>
                <w:szCs w:val="18"/>
                <w:lang w:eastAsia="hr-HR"/>
              </w:rPr>
              <w:t>1</w:t>
            </w:r>
          </w:p>
        </w:tc>
        <w:tc>
          <w:tcPr>
            <w:tcW w:w="1055" w:type="dxa"/>
            <w:shd w:val="clear" w:color="auto" w:fill="auto"/>
            <w:noWrap/>
            <w:vAlign w:val="center"/>
          </w:tcPr>
          <w:p w14:paraId="72EB3DD4" w14:textId="468A891C" w:rsidR="00D80649" w:rsidRPr="001B4CA2" w:rsidRDefault="00684F7C" w:rsidP="00473057">
            <w:pPr>
              <w:jc w:val="center"/>
              <w:rPr>
                <w:rFonts w:eastAsia="Times New Roman"/>
                <w:sz w:val="18"/>
                <w:szCs w:val="18"/>
                <w:lang w:eastAsia="hr-HR"/>
              </w:rPr>
            </w:pPr>
            <w:r w:rsidRPr="001B4CA2">
              <w:rPr>
                <w:rFonts w:eastAsia="Times New Roman"/>
                <w:sz w:val="18"/>
                <w:szCs w:val="18"/>
                <w:lang w:eastAsia="hr-HR"/>
              </w:rPr>
              <w:t>1</w:t>
            </w:r>
          </w:p>
        </w:tc>
      </w:tr>
      <w:tr w:rsidR="00532C41" w:rsidRPr="001B4CA2" w14:paraId="534FBC61" w14:textId="77777777" w:rsidTr="00280ADB">
        <w:trPr>
          <w:trHeight w:val="246"/>
          <w:jc w:val="center"/>
        </w:trPr>
        <w:tc>
          <w:tcPr>
            <w:tcW w:w="857" w:type="dxa"/>
            <w:vMerge/>
            <w:shd w:val="clear" w:color="auto" w:fill="auto"/>
            <w:noWrap/>
            <w:vAlign w:val="center"/>
          </w:tcPr>
          <w:p w14:paraId="4C07D681" w14:textId="77777777" w:rsidR="00D80649" w:rsidRPr="001B4CA2" w:rsidRDefault="00D80649" w:rsidP="00C1282F">
            <w:pPr>
              <w:jc w:val="center"/>
              <w:rPr>
                <w:rFonts w:eastAsia="Times New Roman"/>
                <w:b/>
                <w:sz w:val="18"/>
                <w:szCs w:val="18"/>
                <w:lang w:eastAsia="hr-HR"/>
              </w:rPr>
            </w:pPr>
          </w:p>
        </w:tc>
        <w:tc>
          <w:tcPr>
            <w:tcW w:w="1289" w:type="dxa"/>
            <w:shd w:val="clear" w:color="auto" w:fill="auto"/>
            <w:noWrap/>
            <w:vAlign w:val="center"/>
          </w:tcPr>
          <w:p w14:paraId="63BCFD42" w14:textId="5B3F6F0E" w:rsidR="00D80649" w:rsidRPr="001B4CA2" w:rsidRDefault="00D80649" w:rsidP="00C42E58">
            <w:pPr>
              <w:jc w:val="left"/>
              <w:rPr>
                <w:rFonts w:eastAsia="Times New Roman"/>
                <w:sz w:val="18"/>
                <w:szCs w:val="18"/>
                <w:lang w:eastAsia="hr-HR"/>
              </w:rPr>
            </w:pPr>
            <w:r w:rsidRPr="001B4CA2">
              <w:rPr>
                <w:rFonts w:eastAsia="Times New Roman"/>
                <w:sz w:val="18"/>
                <w:szCs w:val="18"/>
                <w:lang w:eastAsia="hr-HR"/>
              </w:rPr>
              <w:t>čl. 326. st. 2.</w:t>
            </w:r>
          </w:p>
        </w:tc>
        <w:tc>
          <w:tcPr>
            <w:tcW w:w="1017" w:type="dxa"/>
            <w:shd w:val="clear" w:color="auto" w:fill="auto"/>
            <w:noWrap/>
            <w:vAlign w:val="center"/>
          </w:tcPr>
          <w:p w14:paraId="644CCA7B" w14:textId="3E472622"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243</w:t>
            </w:r>
          </w:p>
        </w:tc>
        <w:tc>
          <w:tcPr>
            <w:tcW w:w="1016" w:type="dxa"/>
            <w:shd w:val="clear" w:color="auto" w:fill="auto"/>
            <w:noWrap/>
            <w:vAlign w:val="center"/>
          </w:tcPr>
          <w:p w14:paraId="7100B409" w14:textId="417DF31B"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6</w:t>
            </w:r>
          </w:p>
        </w:tc>
        <w:tc>
          <w:tcPr>
            <w:tcW w:w="1130" w:type="dxa"/>
            <w:shd w:val="clear" w:color="auto" w:fill="auto"/>
            <w:noWrap/>
            <w:vAlign w:val="center"/>
          </w:tcPr>
          <w:p w14:paraId="4307B7ED" w14:textId="738F44F0"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208</w:t>
            </w:r>
          </w:p>
        </w:tc>
        <w:tc>
          <w:tcPr>
            <w:tcW w:w="1182" w:type="dxa"/>
            <w:shd w:val="clear" w:color="auto" w:fill="auto"/>
            <w:noWrap/>
            <w:vAlign w:val="center"/>
          </w:tcPr>
          <w:p w14:paraId="1A27E647" w14:textId="0B7BB1D3" w:rsidR="00D80649" w:rsidRPr="001B4CA2" w:rsidRDefault="00684F7C" w:rsidP="00473057">
            <w:pPr>
              <w:jc w:val="center"/>
              <w:rPr>
                <w:rFonts w:eastAsia="Times New Roman"/>
                <w:sz w:val="18"/>
                <w:szCs w:val="18"/>
                <w:lang w:eastAsia="hr-HR"/>
              </w:rPr>
            </w:pPr>
            <w:r w:rsidRPr="001B4CA2">
              <w:rPr>
                <w:rFonts w:eastAsia="Times New Roman"/>
                <w:sz w:val="18"/>
                <w:szCs w:val="18"/>
                <w:lang w:eastAsia="hr-HR"/>
              </w:rPr>
              <w:t>94</w:t>
            </w:r>
          </w:p>
        </w:tc>
        <w:tc>
          <w:tcPr>
            <w:tcW w:w="1423" w:type="dxa"/>
            <w:shd w:val="clear" w:color="auto" w:fill="auto"/>
            <w:noWrap/>
            <w:vAlign w:val="center"/>
          </w:tcPr>
          <w:p w14:paraId="07B9E9D8" w14:textId="2A59643A" w:rsidR="00D80649" w:rsidRPr="001B4CA2" w:rsidRDefault="00D80649" w:rsidP="00473057">
            <w:pPr>
              <w:jc w:val="center"/>
              <w:rPr>
                <w:rFonts w:eastAsia="Times New Roman"/>
                <w:sz w:val="18"/>
                <w:szCs w:val="18"/>
                <w:lang w:eastAsia="hr-HR"/>
              </w:rPr>
            </w:pPr>
          </w:p>
        </w:tc>
        <w:tc>
          <w:tcPr>
            <w:tcW w:w="1055" w:type="dxa"/>
            <w:shd w:val="clear" w:color="auto" w:fill="auto"/>
            <w:noWrap/>
            <w:vAlign w:val="center"/>
          </w:tcPr>
          <w:p w14:paraId="024CB1DA" w14:textId="0E49ECEB" w:rsidR="00D80649" w:rsidRPr="001B4CA2" w:rsidRDefault="00D80649" w:rsidP="00473057">
            <w:pPr>
              <w:jc w:val="center"/>
              <w:rPr>
                <w:rFonts w:eastAsia="Times New Roman"/>
                <w:sz w:val="18"/>
                <w:szCs w:val="18"/>
                <w:lang w:eastAsia="hr-HR"/>
              </w:rPr>
            </w:pPr>
          </w:p>
        </w:tc>
      </w:tr>
      <w:tr w:rsidR="00532C41" w:rsidRPr="001B4CA2" w14:paraId="407C2A48" w14:textId="77777777" w:rsidTr="00280ADB">
        <w:trPr>
          <w:trHeight w:val="246"/>
          <w:jc w:val="center"/>
        </w:trPr>
        <w:tc>
          <w:tcPr>
            <w:tcW w:w="857" w:type="dxa"/>
            <w:vMerge/>
            <w:shd w:val="clear" w:color="auto" w:fill="auto"/>
            <w:noWrap/>
            <w:vAlign w:val="center"/>
          </w:tcPr>
          <w:p w14:paraId="579AC511" w14:textId="77777777" w:rsidR="00D80649" w:rsidRPr="001B4CA2" w:rsidRDefault="00D80649" w:rsidP="00C1282F">
            <w:pPr>
              <w:jc w:val="center"/>
              <w:rPr>
                <w:rFonts w:eastAsia="Times New Roman"/>
                <w:b/>
                <w:sz w:val="18"/>
                <w:szCs w:val="18"/>
                <w:lang w:eastAsia="hr-HR"/>
              </w:rPr>
            </w:pPr>
          </w:p>
        </w:tc>
        <w:tc>
          <w:tcPr>
            <w:tcW w:w="1289" w:type="dxa"/>
            <w:shd w:val="clear" w:color="auto" w:fill="auto"/>
            <w:noWrap/>
            <w:vAlign w:val="center"/>
          </w:tcPr>
          <w:p w14:paraId="678714AF" w14:textId="2B9441BB" w:rsidR="00D80649" w:rsidRPr="001B4CA2" w:rsidRDefault="00D80649" w:rsidP="00C42E58">
            <w:pPr>
              <w:jc w:val="left"/>
              <w:rPr>
                <w:rFonts w:eastAsia="Times New Roman"/>
                <w:b/>
                <w:sz w:val="18"/>
                <w:szCs w:val="18"/>
                <w:lang w:eastAsia="hr-HR"/>
              </w:rPr>
            </w:pPr>
            <w:r w:rsidRPr="001B4CA2">
              <w:rPr>
                <w:rFonts w:eastAsia="Times New Roman"/>
                <w:b/>
                <w:sz w:val="18"/>
                <w:szCs w:val="18"/>
                <w:lang w:eastAsia="hr-HR"/>
              </w:rPr>
              <w:t>UKUPNO</w:t>
            </w:r>
          </w:p>
        </w:tc>
        <w:tc>
          <w:tcPr>
            <w:tcW w:w="1017" w:type="dxa"/>
            <w:shd w:val="clear" w:color="auto" w:fill="auto"/>
            <w:noWrap/>
            <w:vAlign w:val="center"/>
          </w:tcPr>
          <w:p w14:paraId="443172E9" w14:textId="7113CA13" w:rsidR="00D80649" w:rsidRPr="001B4CA2" w:rsidRDefault="00D80649" w:rsidP="00473057">
            <w:pPr>
              <w:jc w:val="center"/>
              <w:rPr>
                <w:rFonts w:eastAsia="Times New Roman"/>
                <w:b/>
                <w:sz w:val="18"/>
                <w:szCs w:val="18"/>
                <w:lang w:eastAsia="hr-HR"/>
              </w:rPr>
            </w:pPr>
            <w:r w:rsidRPr="001B4CA2">
              <w:rPr>
                <w:rFonts w:eastAsia="Times New Roman"/>
                <w:b/>
                <w:sz w:val="18"/>
                <w:szCs w:val="18"/>
                <w:lang w:eastAsia="hr-HR"/>
              </w:rPr>
              <w:t>1</w:t>
            </w:r>
            <w:r w:rsidR="008339D5" w:rsidRPr="001B4CA2">
              <w:rPr>
                <w:rFonts w:eastAsia="Times New Roman"/>
                <w:b/>
                <w:sz w:val="18"/>
                <w:szCs w:val="18"/>
                <w:lang w:eastAsia="hr-HR"/>
              </w:rPr>
              <w:t>.</w:t>
            </w:r>
            <w:r w:rsidRPr="001B4CA2">
              <w:rPr>
                <w:rFonts w:eastAsia="Times New Roman"/>
                <w:b/>
                <w:sz w:val="18"/>
                <w:szCs w:val="18"/>
                <w:lang w:eastAsia="hr-HR"/>
              </w:rPr>
              <w:t>093</w:t>
            </w:r>
          </w:p>
        </w:tc>
        <w:tc>
          <w:tcPr>
            <w:tcW w:w="1016" w:type="dxa"/>
            <w:shd w:val="clear" w:color="auto" w:fill="auto"/>
            <w:noWrap/>
            <w:vAlign w:val="center"/>
          </w:tcPr>
          <w:p w14:paraId="38123FB8" w14:textId="17E41AD1" w:rsidR="00D80649" w:rsidRPr="001B4CA2" w:rsidRDefault="00D80649" w:rsidP="00473057">
            <w:pPr>
              <w:jc w:val="center"/>
              <w:rPr>
                <w:rFonts w:eastAsia="Times New Roman"/>
                <w:b/>
                <w:sz w:val="18"/>
                <w:szCs w:val="18"/>
                <w:lang w:eastAsia="hr-HR"/>
              </w:rPr>
            </w:pPr>
            <w:r w:rsidRPr="001B4CA2">
              <w:rPr>
                <w:rFonts w:eastAsia="Times New Roman"/>
                <w:b/>
                <w:sz w:val="18"/>
                <w:szCs w:val="18"/>
                <w:lang w:eastAsia="hr-HR"/>
              </w:rPr>
              <w:t>39</w:t>
            </w:r>
          </w:p>
        </w:tc>
        <w:tc>
          <w:tcPr>
            <w:tcW w:w="1130" w:type="dxa"/>
            <w:shd w:val="clear" w:color="auto" w:fill="auto"/>
            <w:noWrap/>
            <w:vAlign w:val="center"/>
          </w:tcPr>
          <w:p w14:paraId="2F233EFA" w14:textId="5A549895" w:rsidR="00D80649" w:rsidRPr="001B4CA2" w:rsidRDefault="00D80649" w:rsidP="00473057">
            <w:pPr>
              <w:jc w:val="center"/>
              <w:rPr>
                <w:rFonts w:eastAsia="Times New Roman"/>
                <w:b/>
                <w:sz w:val="18"/>
                <w:szCs w:val="18"/>
                <w:lang w:eastAsia="hr-HR"/>
              </w:rPr>
            </w:pPr>
            <w:r w:rsidRPr="001B4CA2">
              <w:rPr>
                <w:rFonts w:eastAsia="Times New Roman"/>
                <w:b/>
                <w:sz w:val="18"/>
                <w:szCs w:val="18"/>
                <w:lang w:eastAsia="hr-HR"/>
              </w:rPr>
              <w:t>960</w:t>
            </w:r>
          </w:p>
        </w:tc>
        <w:tc>
          <w:tcPr>
            <w:tcW w:w="1182" w:type="dxa"/>
            <w:shd w:val="clear" w:color="auto" w:fill="auto"/>
            <w:noWrap/>
            <w:vAlign w:val="center"/>
          </w:tcPr>
          <w:p w14:paraId="7633BB15" w14:textId="23618FEB" w:rsidR="00D80649" w:rsidRPr="001B4CA2" w:rsidRDefault="00684F7C" w:rsidP="00473057">
            <w:pPr>
              <w:jc w:val="center"/>
              <w:rPr>
                <w:rFonts w:eastAsia="Times New Roman"/>
                <w:b/>
                <w:sz w:val="18"/>
                <w:szCs w:val="18"/>
                <w:lang w:eastAsia="hr-HR"/>
              </w:rPr>
            </w:pPr>
            <w:r w:rsidRPr="001B4CA2">
              <w:rPr>
                <w:rFonts w:eastAsia="Times New Roman"/>
                <w:b/>
                <w:sz w:val="18"/>
                <w:szCs w:val="18"/>
                <w:lang w:eastAsia="hr-HR"/>
              </w:rPr>
              <w:t>580</w:t>
            </w:r>
          </w:p>
        </w:tc>
        <w:tc>
          <w:tcPr>
            <w:tcW w:w="1423" w:type="dxa"/>
            <w:shd w:val="clear" w:color="auto" w:fill="auto"/>
            <w:noWrap/>
            <w:vAlign w:val="center"/>
          </w:tcPr>
          <w:p w14:paraId="399D12A9" w14:textId="04247B49" w:rsidR="00D80649" w:rsidRPr="001B4CA2" w:rsidRDefault="00684F7C" w:rsidP="00473057">
            <w:pPr>
              <w:jc w:val="center"/>
              <w:rPr>
                <w:rFonts w:eastAsia="Times New Roman"/>
                <w:b/>
                <w:sz w:val="18"/>
                <w:szCs w:val="18"/>
                <w:lang w:eastAsia="hr-HR"/>
              </w:rPr>
            </w:pPr>
            <w:r w:rsidRPr="001B4CA2">
              <w:rPr>
                <w:rFonts w:eastAsia="Times New Roman"/>
                <w:b/>
                <w:sz w:val="18"/>
                <w:szCs w:val="18"/>
                <w:lang w:eastAsia="hr-HR"/>
              </w:rPr>
              <w:t>1</w:t>
            </w:r>
          </w:p>
        </w:tc>
        <w:tc>
          <w:tcPr>
            <w:tcW w:w="1055" w:type="dxa"/>
            <w:shd w:val="clear" w:color="auto" w:fill="auto"/>
            <w:noWrap/>
            <w:vAlign w:val="center"/>
          </w:tcPr>
          <w:p w14:paraId="59E1A4CD" w14:textId="5730C5EF" w:rsidR="00D80649" w:rsidRPr="001B4CA2" w:rsidRDefault="00684F7C" w:rsidP="00473057">
            <w:pPr>
              <w:jc w:val="center"/>
              <w:rPr>
                <w:rFonts w:eastAsia="Times New Roman"/>
                <w:b/>
                <w:sz w:val="18"/>
                <w:szCs w:val="18"/>
                <w:lang w:eastAsia="hr-HR"/>
              </w:rPr>
            </w:pPr>
            <w:r w:rsidRPr="001B4CA2">
              <w:rPr>
                <w:rFonts w:eastAsia="Times New Roman"/>
                <w:b/>
                <w:sz w:val="18"/>
                <w:szCs w:val="18"/>
                <w:lang w:eastAsia="hr-HR"/>
              </w:rPr>
              <w:t>1</w:t>
            </w:r>
          </w:p>
        </w:tc>
      </w:tr>
      <w:tr w:rsidR="00532C41" w:rsidRPr="001B4CA2" w14:paraId="6AEBF7EF" w14:textId="77777777" w:rsidTr="00280ADB">
        <w:trPr>
          <w:trHeight w:val="246"/>
          <w:jc w:val="center"/>
        </w:trPr>
        <w:tc>
          <w:tcPr>
            <w:tcW w:w="857" w:type="dxa"/>
            <w:vMerge w:val="restart"/>
            <w:shd w:val="clear" w:color="auto" w:fill="auto"/>
            <w:noWrap/>
            <w:vAlign w:val="center"/>
          </w:tcPr>
          <w:p w14:paraId="7F70BEE1" w14:textId="1571A6D1" w:rsidR="00C42E58" w:rsidRPr="001B4CA2" w:rsidRDefault="00C42E58" w:rsidP="00C1282F">
            <w:pPr>
              <w:jc w:val="center"/>
              <w:rPr>
                <w:rFonts w:eastAsia="Times New Roman"/>
                <w:b/>
                <w:sz w:val="18"/>
                <w:szCs w:val="18"/>
                <w:lang w:eastAsia="hr-HR"/>
              </w:rPr>
            </w:pPr>
            <w:r w:rsidRPr="001B4CA2">
              <w:rPr>
                <w:rFonts w:eastAsia="Times New Roman"/>
                <w:b/>
                <w:sz w:val="18"/>
                <w:szCs w:val="18"/>
                <w:lang w:eastAsia="hr-HR"/>
              </w:rPr>
              <w:t>2020.</w:t>
            </w:r>
          </w:p>
        </w:tc>
        <w:tc>
          <w:tcPr>
            <w:tcW w:w="1289" w:type="dxa"/>
            <w:shd w:val="clear" w:color="auto" w:fill="auto"/>
            <w:noWrap/>
            <w:vAlign w:val="center"/>
          </w:tcPr>
          <w:p w14:paraId="2357A8BD" w14:textId="4BF586CE" w:rsidR="00D80649" w:rsidRPr="001B4CA2" w:rsidRDefault="00D80649" w:rsidP="00C42E58">
            <w:pPr>
              <w:jc w:val="left"/>
              <w:rPr>
                <w:rFonts w:eastAsia="Times New Roman"/>
                <w:sz w:val="18"/>
                <w:szCs w:val="18"/>
                <w:lang w:eastAsia="hr-HR"/>
              </w:rPr>
            </w:pPr>
            <w:r w:rsidRPr="001B4CA2">
              <w:rPr>
                <w:rFonts w:eastAsia="Times New Roman"/>
                <w:sz w:val="18"/>
                <w:szCs w:val="18"/>
                <w:lang w:eastAsia="hr-HR"/>
              </w:rPr>
              <w:t>čl. 326. st. 1.</w:t>
            </w:r>
          </w:p>
        </w:tc>
        <w:tc>
          <w:tcPr>
            <w:tcW w:w="1017" w:type="dxa"/>
            <w:shd w:val="clear" w:color="auto" w:fill="auto"/>
            <w:noWrap/>
            <w:vAlign w:val="center"/>
          </w:tcPr>
          <w:p w14:paraId="74F11CD2" w14:textId="611C8D39"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632</w:t>
            </w:r>
          </w:p>
        </w:tc>
        <w:tc>
          <w:tcPr>
            <w:tcW w:w="1016" w:type="dxa"/>
            <w:shd w:val="clear" w:color="auto" w:fill="auto"/>
            <w:noWrap/>
            <w:vAlign w:val="center"/>
          </w:tcPr>
          <w:p w14:paraId="60EB8D0A" w14:textId="24E58CC2"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24</w:t>
            </w:r>
          </w:p>
        </w:tc>
        <w:tc>
          <w:tcPr>
            <w:tcW w:w="1130" w:type="dxa"/>
            <w:shd w:val="clear" w:color="auto" w:fill="auto"/>
            <w:noWrap/>
            <w:vAlign w:val="center"/>
          </w:tcPr>
          <w:p w14:paraId="478E8FED" w14:textId="7A6E6D75"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532</w:t>
            </w:r>
          </w:p>
        </w:tc>
        <w:tc>
          <w:tcPr>
            <w:tcW w:w="1182" w:type="dxa"/>
            <w:shd w:val="clear" w:color="auto" w:fill="auto"/>
            <w:noWrap/>
            <w:vAlign w:val="center"/>
          </w:tcPr>
          <w:p w14:paraId="43344207" w14:textId="70DB00E9" w:rsidR="00D80649" w:rsidRPr="001B4CA2" w:rsidRDefault="00684F7C" w:rsidP="00473057">
            <w:pPr>
              <w:jc w:val="center"/>
              <w:rPr>
                <w:rFonts w:eastAsia="Times New Roman"/>
                <w:sz w:val="18"/>
                <w:szCs w:val="18"/>
                <w:lang w:eastAsia="hr-HR"/>
              </w:rPr>
            </w:pPr>
            <w:r w:rsidRPr="001B4CA2">
              <w:rPr>
                <w:rFonts w:eastAsia="Times New Roman"/>
                <w:sz w:val="18"/>
                <w:szCs w:val="18"/>
                <w:lang w:eastAsia="hr-HR"/>
              </w:rPr>
              <w:t>434</w:t>
            </w:r>
          </w:p>
        </w:tc>
        <w:tc>
          <w:tcPr>
            <w:tcW w:w="1423" w:type="dxa"/>
            <w:shd w:val="clear" w:color="auto" w:fill="auto"/>
            <w:noWrap/>
            <w:vAlign w:val="center"/>
          </w:tcPr>
          <w:p w14:paraId="46D5D298" w14:textId="069A4E21" w:rsidR="00D80649" w:rsidRPr="001B4CA2" w:rsidRDefault="00684F7C" w:rsidP="00473057">
            <w:pPr>
              <w:jc w:val="center"/>
              <w:rPr>
                <w:rFonts w:eastAsia="Times New Roman"/>
                <w:sz w:val="18"/>
                <w:szCs w:val="18"/>
                <w:lang w:eastAsia="hr-HR"/>
              </w:rPr>
            </w:pPr>
            <w:r w:rsidRPr="001B4CA2">
              <w:rPr>
                <w:rFonts w:eastAsia="Times New Roman"/>
                <w:sz w:val="18"/>
                <w:szCs w:val="18"/>
                <w:lang w:eastAsia="hr-HR"/>
              </w:rPr>
              <w:t>3</w:t>
            </w:r>
          </w:p>
        </w:tc>
        <w:tc>
          <w:tcPr>
            <w:tcW w:w="1055" w:type="dxa"/>
            <w:shd w:val="clear" w:color="auto" w:fill="auto"/>
            <w:noWrap/>
            <w:vAlign w:val="center"/>
          </w:tcPr>
          <w:p w14:paraId="13FCF913" w14:textId="45129C48" w:rsidR="00D80649" w:rsidRPr="001B4CA2" w:rsidRDefault="00D80649" w:rsidP="00473057">
            <w:pPr>
              <w:jc w:val="center"/>
              <w:rPr>
                <w:rFonts w:eastAsia="Times New Roman"/>
                <w:sz w:val="18"/>
                <w:szCs w:val="18"/>
                <w:lang w:eastAsia="hr-HR"/>
              </w:rPr>
            </w:pPr>
          </w:p>
        </w:tc>
      </w:tr>
      <w:tr w:rsidR="00532C41" w:rsidRPr="001B4CA2" w14:paraId="1311B1D3" w14:textId="77777777" w:rsidTr="00280ADB">
        <w:trPr>
          <w:trHeight w:val="246"/>
          <w:jc w:val="center"/>
        </w:trPr>
        <w:tc>
          <w:tcPr>
            <w:tcW w:w="857" w:type="dxa"/>
            <w:vMerge/>
            <w:shd w:val="clear" w:color="auto" w:fill="auto"/>
            <w:noWrap/>
            <w:vAlign w:val="center"/>
          </w:tcPr>
          <w:p w14:paraId="09FDB54C" w14:textId="77777777" w:rsidR="00D80649" w:rsidRPr="001B4CA2" w:rsidRDefault="00D80649" w:rsidP="00C1282F">
            <w:pPr>
              <w:jc w:val="center"/>
              <w:rPr>
                <w:rFonts w:eastAsia="Times New Roman"/>
                <w:b/>
                <w:sz w:val="18"/>
                <w:szCs w:val="18"/>
                <w:lang w:eastAsia="hr-HR"/>
              </w:rPr>
            </w:pPr>
          </w:p>
        </w:tc>
        <w:tc>
          <w:tcPr>
            <w:tcW w:w="1289" w:type="dxa"/>
            <w:shd w:val="clear" w:color="auto" w:fill="auto"/>
            <w:noWrap/>
            <w:vAlign w:val="center"/>
          </w:tcPr>
          <w:p w14:paraId="6520CCC5" w14:textId="4FF02CDA" w:rsidR="00D80649" w:rsidRPr="001B4CA2" w:rsidRDefault="00D80649" w:rsidP="00C42E58">
            <w:pPr>
              <w:jc w:val="left"/>
              <w:rPr>
                <w:rFonts w:eastAsia="Times New Roman"/>
                <w:sz w:val="18"/>
                <w:szCs w:val="18"/>
                <w:lang w:eastAsia="hr-HR"/>
              </w:rPr>
            </w:pPr>
            <w:r w:rsidRPr="001B4CA2">
              <w:rPr>
                <w:rFonts w:eastAsia="Times New Roman"/>
                <w:sz w:val="18"/>
                <w:szCs w:val="18"/>
                <w:lang w:eastAsia="hr-HR"/>
              </w:rPr>
              <w:t>čl. 326. st. 2.</w:t>
            </w:r>
          </w:p>
        </w:tc>
        <w:tc>
          <w:tcPr>
            <w:tcW w:w="1017" w:type="dxa"/>
            <w:shd w:val="clear" w:color="auto" w:fill="auto"/>
            <w:noWrap/>
            <w:vAlign w:val="center"/>
          </w:tcPr>
          <w:p w14:paraId="365C8931" w14:textId="1F62A185"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144</w:t>
            </w:r>
          </w:p>
        </w:tc>
        <w:tc>
          <w:tcPr>
            <w:tcW w:w="1016" w:type="dxa"/>
            <w:shd w:val="clear" w:color="auto" w:fill="auto"/>
            <w:noWrap/>
            <w:vAlign w:val="center"/>
          </w:tcPr>
          <w:p w14:paraId="1707FEA9" w14:textId="1555B73C"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4</w:t>
            </w:r>
          </w:p>
        </w:tc>
        <w:tc>
          <w:tcPr>
            <w:tcW w:w="1130" w:type="dxa"/>
            <w:shd w:val="clear" w:color="auto" w:fill="auto"/>
            <w:noWrap/>
            <w:vAlign w:val="center"/>
          </w:tcPr>
          <w:p w14:paraId="28C1556A" w14:textId="796A1FD4" w:rsidR="00D80649" w:rsidRPr="001B4CA2" w:rsidRDefault="00D80649" w:rsidP="00473057">
            <w:pPr>
              <w:jc w:val="center"/>
              <w:rPr>
                <w:rFonts w:eastAsia="Times New Roman"/>
                <w:sz w:val="18"/>
                <w:szCs w:val="18"/>
                <w:lang w:eastAsia="hr-HR"/>
              </w:rPr>
            </w:pPr>
            <w:r w:rsidRPr="001B4CA2">
              <w:rPr>
                <w:rFonts w:eastAsia="Times New Roman"/>
                <w:sz w:val="18"/>
                <w:szCs w:val="18"/>
                <w:lang w:eastAsia="hr-HR"/>
              </w:rPr>
              <w:t>152</w:t>
            </w:r>
          </w:p>
        </w:tc>
        <w:tc>
          <w:tcPr>
            <w:tcW w:w="1182" w:type="dxa"/>
            <w:shd w:val="clear" w:color="auto" w:fill="auto"/>
            <w:noWrap/>
            <w:vAlign w:val="center"/>
          </w:tcPr>
          <w:p w14:paraId="1BF689F1" w14:textId="1CBEE2FB" w:rsidR="00D80649" w:rsidRPr="001B4CA2" w:rsidRDefault="00684F7C" w:rsidP="00473057">
            <w:pPr>
              <w:jc w:val="center"/>
              <w:rPr>
                <w:rFonts w:eastAsia="Times New Roman"/>
                <w:sz w:val="18"/>
                <w:szCs w:val="18"/>
                <w:lang w:eastAsia="hr-HR"/>
              </w:rPr>
            </w:pPr>
            <w:r w:rsidRPr="001B4CA2">
              <w:rPr>
                <w:rFonts w:eastAsia="Times New Roman"/>
                <w:sz w:val="18"/>
                <w:szCs w:val="18"/>
                <w:lang w:eastAsia="hr-HR"/>
              </w:rPr>
              <w:t>98</w:t>
            </w:r>
          </w:p>
        </w:tc>
        <w:tc>
          <w:tcPr>
            <w:tcW w:w="1423" w:type="dxa"/>
            <w:shd w:val="clear" w:color="auto" w:fill="auto"/>
            <w:noWrap/>
            <w:vAlign w:val="center"/>
          </w:tcPr>
          <w:p w14:paraId="5C16B27F" w14:textId="4266BF84" w:rsidR="00D80649" w:rsidRPr="001B4CA2" w:rsidRDefault="00D80649" w:rsidP="00473057">
            <w:pPr>
              <w:jc w:val="center"/>
              <w:rPr>
                <w:rFonts w:eastAsia="Times New Roman"/>
                <w:sz w:val="18"/>
                <w:szCs w:val="18"/>
                <w:lang w:eastAsia="hr-HR"/>
              </w:rPr>
            </w:pPr>
          </w:p>
        </w:tc>
        <w:tc>
          <w:tcPr>
            <w:tcW w:w="1055" w:type="dxa"/>
            <w:shd w:val="clear" w:color="auto" w:fill="auto"/>
            <w:noWrap/>
            <w:vAlign w:val="center"/>
          </w:tcPr>
          <w:p w14:paraId="6DCAAB12" w14:textId="760256BC" w:rsidR="00D80649" w:rsidRPr="001B4CA2" w:rsidRDefault="00D80649" w:rsidP="00473057">
            <w:pPr>
              <w:jc w:val="center"/>
              <w:rPr>
                <w:rFonts w:eastAsia="Times New Roman"/>
                <w:sz w:val="18"/>
                <w:szCs w:val="18"/>
                <w:lang w:eastAsia="hr-HR"/>
              </w:rPr>
            </w:pPr>
          </w:p>
        </w:tc>
      </w:tr>
      <w:tr w:rsidR="00D80649" w:rsidRPr="001B4CA2" w14:paraId="5ECA3821" w14:textId="77777777" w:rsidTr="00280ADB">
        <w:trPr>
          <w:trHeight w:val="246"/>
          <w:jc w:val="center"/>
        </w:trPr>
        <w:tc>
          <w:tcPr>
            <w:tcW w:w="857" w:type="dxa"/>
            <w:vMerge/>
            <w:shd w:val="clear" w:color="auto" w:fill="auto"/>
            <w:noWrap/>
            <w:vAlign w:val="center"/>
          </w:tcPr>
          <w:p w14:paraId="1E9F31B9" w14:textId="77777777" w:rsidR="00D80649" w:rsidRPr="001B4CA2" w:rsidRDefault="00D80649" w:rsidP="00C1282F">
            <w:pPr>
              <w:jc w:val="center"/>
              <w:rPr>
                <w:rFonts w:eastAsia="Times New Roman"/>
                <w:b/>
                <w:sz w:val="18"/>
                <w:szCs w:val="18"/>
                <w:lang w:eastAsia="hr-HR"/>
              </w:rPr>
            </w:pPr>
          </w:p>
        </w:tc>
        <w:tc>
          <w:tcPr>
            <w:tcW w:w="1289" w:type="dxa"/>
            <w:shd w:val="clear" w:color="auto" w:fill="auto"/>
            <w:noWrap/>
            <w:vAlign w:val="center"/>
          </w:tcPr>
          <w:p w14:paraId="5C435BA0" w14:textId="5D69D1A2" w:rsidR="00D80649" w:rsidRPr="001B4CA2" w:rsidRDefault="00D80649" w:rsidP="00C42E58">
            <w:pPr>
              <w:jc w:val="left"/>
              <w:rPr>
                <w:rFonts w:eastAsia="Times New Roman"/>
                <w:b/>
                <w:sz w:val="18"/>
                <w:szCs w:val="18"/>
                <w:lang w:eastAsia="hr-HR"/>
              </w:rPr>
            </w:pPr>
            <w:r w:rsidRPr="001B4CA2">
              <w:rPr>
                <w:rFonts w:eastAsia="Times New Roman"/>
                <w:b/>
                <w:sz w:val="18"/>
                <w:szCs w:val="18"/>
                <w:lang w:eastAsia="hr-HR"/>
              </w:rPr>
              <w:t>UKUPNO</w:t>
            </w:r>
          </w:p>
        </w:tc>
        <w:tc>
          <w:tcPr>
            <w:tcW w:w="1017" w:type="dxa"/>
            <w:shd w:val="clear" w:color="auto" w:fill="auto"/>
            <w:noWrap/>
            <w:vAlign w:val="center"/>
          </w:tcPr>
          <w:p w14:paraId="1F1EE5AA" w14:textId="25DB2EAE" w:rsidR="00D80649" w:rsidRPr="001B4CA2" w:rsidRDefault="00D80649" w:rsidP="00473057">
            <w:pPr>
              <w:jc w:val="center"/>
              <w:rPr>
                <w:rFonts w:eastAsia="Times New Roman"/>
                <w:b/>
                <w:sz w:val="18"/>
                <w:szCs w:val="18"/>
                <w:lang w:eastAsia="hr-HR"/>
              </w:rPr>
            </w:pPr>
            <w:r w:rsidRPr="001B4CA2">
              <w:rPr>
                <w:rFonts w:eastAsia="Times New Roman"/>
                <w:b/>
                <w:sz w:val="18"/>
                <w:szCs w:val="18"/>
                <w:lang w:eastAsia="hr-HR"/>
              </w:rPr>
              <w:t>776</w:t>
            </w:r>
          </w:p>
        </w:tc>
        <w:tc>
          <w:tcPr>
            <w:tcW w:w="1016" w:type="dxa"/>
            <w:shd w:val="clear" w:color="auto" w:fill="auto"/>
            <w:noWrap/>
            <w:vAlign w:val="center"/>
          </w:tcPr>
          <w:p w14:paraId="7F5D6ABE" w14:textId="14633A96" w:rsidR="00D80649" w:rsidRPr="001B4CA2" w:rsidRDefault="00D80649" w:rsidP="00473057">
            <w:pPr>
              <w:jc w:val="center"/>
              <w:rPr>
                <w:rFonts w:eastAsia="Times New Roman"/>
                <w:b/>
                <w:sz w:val="18"/>
                <w:szCs w:val="18"/>
                <w:lang w:eastAsia="hr-HR"/>
              </w:rPr>
            </w:pPr>
            <w:r w:rsidRPr="001B4CA2">
              <w:rPr>
                <w:rFonts w:eastAsia="Times New Roman"/>
                <w:b/>
                <w:sz w:val="18"/>
                <w:szCs w:val="18"/>
                <w:lang w:eastAsia="hr-HR"/>
              </w:rPr>
              <w:t>28</w:t>
            </w:r>
          </w:p>
        </w:tc>
        <w:tc>
          <w:tcPr>
            <w:tcW w:w="1130" w:type="dxa"/>
            <w:shd w:val="clear" w:color="auto" w:fill="auto"/>
            <w:noWrap/>
            <w:vAlign w:val="center"/>
          </w:tcPr>
          <w:p w14:paraId="3DD4FFDF" w14:textId="775411A8" w:rsidR="00D80649" w:rsidRPr="001B4CA2" w:rsidRDefault="00D80649" w:rsidP="00473057">
            <w:pPr>
              <w:jc w:val="center"/>
              <w:rPr>
                <w:rFonts w:eastAsia="Times New Roman"/>
                <w:b/>
                <w:sz w:val="18"/>
                <w:szCs w:val="18"/>
                <w:lang w:eastAsia="hr-HR"/>
              </w:rPr>
            </w:pPr>
            <w:r w:rsidRPr="001B4CA2">
              <w:rPr>
                <w:rFonts w:eastAsia="Times New Roman"/>
                <w:b/>
                <w:sz w:val="18"/>
                <w:szCs w:val="18"/>
                <w:lang w:eastAsia="hr-HR"/>
              </w:rPr>
              <w:t>684</w:t>
            </w:r>
          </w:p>
        </w:tc>
        <w:tc>
          <w:tcPr>
            <w:tcW w:w="1182" w:type="dxa"/>
            <w:shd w:val="clear" w:color="auto" w:fill="auto"/>
            <w:noWrap/>
            <w:vAlign w:val="center"/>
          </w:tcPr>
          <w:p w14:paraId="2F68E9CD" w14:textId="62168615" w:rsidR="00D80649" w:rsidRPr="001B4CA2" w:rsidRDefault="00684F7C" w:rsidP="00473057">
            <w:pPr>
              <w:jc w:val="center"/>
              <w:rPr>
                <w:rFonts w:eastAsia="Times New Roman"/>
                <w:b/>
                <w:sz w:val="18"/>
                <w:szCs w:val="18"/>
                <w:lang w:eastAsia="hr-HR"/>
              </w:rPr>
            </w:pPr>
            <w:r w:rsidRPr="001B4CA2">
              <w:rPr>
                <w:rFonts w:eastAsia="Times New Roman"/>
                <w:b/>
                <w:sz w:val="18"/>
                <w:szCs w:val="18"/>
                <w:lang w:eastAsia="hr-HR"/>
              </w:rPr>
              <w:t>532</w:t>
            </w:r>
          </w:p>
        </w:tc>
        <w:tc>
          <w:tcPr>
            <w:tcW w:w="1423" w:type="dxa"/>
            <w:shd w:val="clear" w:color="auto" w:fill="auto"/>
            <w:noWrap/>
            <w:vAlign w:val="center"/>
          </w:tcPr>
          <w:p w14:paraId="66DE2481" w14:textId="5BA61732" w:rsidR="00D80649" w:rsidRPr="001B4CA2" w:rsidRDefault="00684F7C" w:rsidP="00473057">
            <w:pPr>
              <w:jc w:val="center"/>
              <w:rPr>
                <w:rFonts w:eastAsia="Times New Roman"/>
                <w:b/>
                <w:sz w:val="18"/>
                <w:szCs w:val="18"/>
                <w:lang w:eastAsia="hr-HR"/>
              </w:rPr>
            </w:pPr>
            <w:r w:rsidRPr="001B4CA2">
              <w:rPr>
                <w:rFonts w:eastAsia="Times New Roman"/>
                <w:b/>
                <w:sz w:val="18"/>
                <w:szCs w:val="18"/>
                <w:lang w:eastAsia="hr-HR"/>
              </w:rPr>
              <w:t>3</w:t>
            </w:r>
          </w:p>
        </w:tc>
        <w:tc>
          <w:tcPr>
            <w:tcW w:w="1055" w:type="dxa"/>
            <w:shd w:val="clear" w:color="auto" w:fill="auto"/>
            <w:noWrap/>
            <w:vAlign w:val="center"/>
          </w:tcPr>
          <w:p w14:paraId="732B4A31" w14:textId="52C66FAB" w:rsidR="00D80649" w:rsidRPr="001B4CA2" w:rsidRDefault="00D80649" w:rsidP="00473057">
            <w:pPr>
              <w:jc w:val="center"/>
              <w:rPr>
                <w:rFonts w:eastAsia="Times New Roman"/>
                <w:b/>
                <w:sz w:val="18"/>
                <w:szCs w:val="18"/>
                <w:lang w:eastAsia="hr-HR"/>
              </w:rPr>
            </w:pPr>
          </w:p>
        </w:tc>
      </w:tr>
      <w:tr w:rsidR="00315C04" w:rsidRPr="001B4CA2" w14:paraId="62F79E5A" w14:textId="77777777" w:rsidTr="00280ADB">
        <w:trPr>
          <w:trHeight w:val="246"/>
          <w:jc w:val="center"/>
        </w:trPr>
        <w:tc>
          <w:tcPr>
            <w:tcW w:w="857" w:type="dxa"/>
            <w:vMerge w:val="restart"/>
            <w:shd w:val="clear" w:color="auto" w:fill="auto"/>
            <w:noWrap/>
            <w:vAlign w:val="center"/>
          </w:tcPr>
          <w:p w14:paraId="26D63B95" w14:textId="7710F223" w:rsidR="00315C04" w:rsidRPr="001B4CA2" w:rsidRDefault="00315C04" w:rsidP="00C1282F">
            <w:pPr>
              <w:jc w:val="center"/>
              <w:rPr>
                <w:rFonts w:eastAsia="Times New Roman"/>
                <w:b/>
                <w:sz w:val="18"/>
                <w:szCs w:val="18"/>
                <w:lang w:eastAsia="hr-HR"/>
              </w:rPr>
            </w:pPr>
            <w:r w:rsidRPr="001B4CA2">
              <w:rPr>
                <w:rFonts w:eastAsia="Times New Roman"/>
                <w:b/>
                <w:sz w:val="18"/>
                <w:szCs w:val="18"/>
                <w:lang w:eastAsia="hr-HR"/>
              </w:rPr>
              <w:t>2021.</w:t>
            </w:r>
          </w:p>
        </w:tc>
        <w:tc>
          <w:tcPr>
            <w:tcW w:w="1289" w:type="dxa"/>
            <w:shd w:val="clear" w:color="auto" w:fill="auto"/>
            <w:noWrap/>
            <w:vAlign w:val="center"/>
          </w:tcPr>
          <w:p w14:paraId="03B87B41" w14:textId="77777777" w:rsidR="00315C04" w:rsidRPr="001B4CA2" w:rsidRDefault="00315C04" w:rsidP="00C42E58">
            <w:pPr>
              <w:jc w:val="center"/>
              <w:rPr>
                <w:rFonts w:eastAsia="Times New Roman"/>
                <w:sz w:val="18"/>
                <w:szCs w:val="18"/>
                <w:lang w:eastAsia="hr-HR"/>
              </w:rPr>
            </w:pPr>
            <w:r w:rsidRPr="001B4CA2">
              <w:rPr>
                <w:rFonts w:eastAsia="Times New Roman"/>
                <w:sz w:val="18"/>
                <w:szCs w:val="18"/>
                <w:lang w:eastAsia="hr-HR"/>
              </w:rPr>
              <w:t>čl. 326. st. 1.</w:t>
            </w:r>
          </w:p>
        </w:tc>
        <w:tc>
          <w:tcPr>
            <w:tcW w:w="1017" w:type="dxa"/>
            <w:shd w:val="clear" w:color="auto" w:fill="auto"/>
            <w:noWrap/>
            <w:vAlign w:val="center"/>
          </w:tcPr>
          <w:p w14:paraId="575D21F6" w14:textId="0F379B30" w:rsidR="00315C04" w:rsidRPr="001B4CA2" w:rsidRDefault="00315C04" w:rsidP="00315C04">
            <w:pPr>
              <w:jc w:val="center"/>
              <w:rPr>
                <w:rFonts w:eastAsia="Times New Roman"/>
                <w:sz w:val="18"/>
                <w:szCs w:val="18"/>
                <w:lang w:eastAsia="hr-HR"/>
              </w:rPr>
            </w:pPr>
            <w:r w:rsidRPr="001B4CA2">
              <w:rPr>
                <w:rFonts w:eastAsia="Times New Roman"/>
                <w:color w:val="000000"/>
                <w:sz w:val="18"/>
                <w:szCs w:val="18"/>
                <w:lang w:eastAsia="hr-HR"/>
              </w:rPr>
              <w:t>828</w:t>
            </w:r>
          </w:p>
        </w:tc>
        <w:tc>
          <w:tcPr>
            <w:tcW w:w="1016" w:type="dxa"/>
            <w:shd w:val="clear" w:color="auto" w:fill="auto"/>
            <w:noWrap/>
            <w:vAlign w:val="center"/>
          </w:tcPr>
          <w:p w14:paraId="2AECC0CC" w14:textId="63493F60" w:rsidR="00315C04" w:rsidRPr="001B4CA2" w:rsidRDefault="00315C04" w:rsidP="00315C04">
            <w:pPr>
              <w:jc w:val="center"/>
              <w:rPr>
                <w:rFonts w:eastAsia="Times New Roman"/>
                <w:sz w:val="18"/>
                <w:szCs w:val="18"/>
                <w:lang w:eastAsia="hr-HR"/>
              </w:rPr>
            </w:pPr>
            <w:r w:rsidRPr="001B4CA2">
              <w:rPr>
                <w:rFonts w:eastAsia="Times New Roman"/>
                <w:color w:val="000000"/>
                <w:sz w:val="18"/>
                <w:szCs w:val="18"/>
                <w:lang w:eastAsia="hr-HR"/>
              </w:rPr>
              <w:t>17</w:t>
            </w:r>
          </w:p>
        </w:tc>
        <w:tc>
          <w:tcPr>
            <w:tcW w:w="1130" w:type="dxa"/>
            <w:shd w:val="clear" w:color="auto" w:fill="auto"/>
            <w:noWrap/>
            <w:vAlign w:val="center"/>
          </w:tcPr>
          <w:p w14:paraId="57AD1133" w14:textId="0C1135E5" w:rsidR="00315C04" w:rsidRPr="001B4CA2" w:rsidRDefault="00315C04" w:rsidP="00315C04">
            <w:pPr>
              <w:jc w:val="center"/>
              <w:rPr>
                <w:rFonts w:eastAsia="Times New Roman"/>
                <w:sz w:val="18"/>
                <w:szCs w:val="18"/>
                <w:lang w:eastAsia="hr-HR"/>
              </w:rPr>
            </w:pPr>
            <w:r w:rsidRPr="001B4CA2">
              <w:rPr>
                <w:rFonts w:eastAsia="Times New Roman"/>
                <w:color w:val="000000"/>
                <w:sz w:val="18"/>
                <w:szCs w:val="18"/>
                <w:lang w:eastAsia="hr-HR"/>
              </w:rPr>
              <w:t>734</w:t>
            </w:r>
          </w:p>
        </w:tc>
        <w:tc>
          <w:tcPr>
            <w:tcW w:w="1182" w:type="dxa"/>
            <w:shd w:val="clear" w:color="auto" w:fill="auto"/>
            <w:noWrap/>
            <w:vAlign w:val="center"/>
          </w:tcPr>
          <w:p w14:paraId="2579A91F" w14:textId="0B4D5AE0" w:rsidR="00315C04" w:rsidRPr="001B4CA2" w:rsidRDefault="00315C04" w:rsidP="00315C04">
            <w:pPr>
              <w:jc w:val="center"/>
              <w:rPr>
                <w:rFonts w:eastAsia="Times New Roman"/>
                <w:sz w:val="18"/>
                <w:szCs w:val="18"/>
                <w:lang w:eastAsia="hr-HR"/>
              </w:rPr>
            </w:pPr>
            <w:r w:rsidRPr="001B4CA2">
              <w:rPr>
                <w:rFonts w:eastAsia="Times New Roman"/>
                <w:color w:val="000000"/>
                <w:sz w:val="18"/>
                <w:szCs w:val="18"/>
                <w:lang w:eastAsia="hr-HR"/>
              </w:rPr>
              <w:t>461</w:t>
            </w:r>
          </w:p>
        </w:tc>
        <w:tc>
          <w:tcPr>
            <w:tcW w:w="1423" w:type="dxa"/>
            <w:shd w:val="clear" w:color="auto" w:fill="auto"/>
            <w:noWrap/>
            <w:vAlign w:val="center"/>
          </w:tcPr>
          <w:p w14:paraId="4759CAB3" w14:textId="31A3FE32" w:rsidR="00315C04" w:rsidRPr="001B4CA2" w:rsidRDefault="00315C04" w:rsidP="00315C04">
            <w:pPr>
              <w:jc w:val="center"/>
              <w:rPr>
                <w:rFonts w:eastAsia="Times New Roman"/>
                <w:sz w:val="18"/>
                <w:szCs w:val="18"/>
                <w:lang w:eastAsia="hr-HR"/>
              </w:rPr>
            </w:pPr>
            <w:r w:rsidRPr="001B4CA2">
              <w:rPr>
                <w:rFonts w:eastAsia="Times New Roman"/>
                <w:color w:val="000000"/>
                <w:sz w:val="18"/>
                <w:szCs w:val="18"/>
                <w:lang w:eastAsia="hr-HR"/>
              </w:rPr>
              <w:t>5</w:t>
            </w:r>
          </w:p>
        </w:tc>
        <w:tc>
          <w:tcPr>
            <w:tcW w:w="1055" w:type="dxa"/>
            <w:shd w:val="clear" w:color="auto" w:fill="auto"/>
            <w:noWrap/>
            <w:vAlign w:val="center"/>
          </w:tcPr>
          <w:p w14:paraId="5AC216F5" w14:textId="7B5B8E31" w:rsidR="00315C04" w:rsidRPr="001B4CA2" w:rsidRDefault="00315C04" w:rsidP="00315C04">
            <w:pPr>
              <w:jc w:val="center"/>
              <w:rPr>
                <w:rFonts w:eastAsia="Times New Roman"/>
                <w:sz w:val="18"/>
                <w:szCs w:val="18"/>
                <w:lang w:eastAsia="hr-HR"/>
              </w:rPr>
            </w:pPr>
            <w:r w:rsidRPr="001B4CA2">
              <w:rPr>
                <w:rFonts w:eastAsia="Times New Roman"/>
                <w:color w:val="000000"/>
                <w:sz w:val="18"/>
                <w:szCs w:val="18"/>
                <w:lang w:eastAsia="hr-HR"/>
              </w:rPr>
              <w:t>2</w:t>
            </w:r>
          </w:p>
        </w:tc>
      </w:tr>
      <w:tr w:rsidR="00315C04" w:rsidRPr="001B4CA2" w14:paraId="59D1AA8E" w14:textId="77777777" w:rsidTr="00280ADB">
        <w:trPr>
          <w:trHeight w:val="246"/>
          <w:jc w:val="center"/>
        </w:trPr>
        <w:tc>
          <w:tcPr>
            <w:tcW w:w="857" w:type="dxa"/>
            <w:vMerge/>
            <w:shd w:val="clear" w:color="auto" w:fill="auto"/>
            <w:noWrap/>
            <w:vAlign w:val="center"/>
          </w:tcPr>
          <w:p w14:paraId="5082CB5F" w14:textId="77777777" w:rsidR="00315C04" w:rsidRPr="001B4CA2" w:rsidRDefault="00315C04" w:rsidP="00A62C3B">
            <w:pPr>
              <w:jc w:val="center"/>
              <w:rPr>
                <w:rFonts w:eastAsia="Times New Roman"/>
                <w:b/>
                <w:sz w:val="18"/>
                <w:szCs w:val="18"/>
                <w:lang w:eastAsia="hr-HR"/>
              </w:rPr>
            </w:pPr>
          </w:p>
        </w:tc>
        <w:tc>
          <w:tcPr>
            <w:tcW w:w="1289" w:type="dxa"/>
            <w:shd w:val="clear" w:color="auto" w:fill="auto"/>
            <w:noWrap/>
            <w:vAlign w:val="center"/>
          </w:tcPr>
          <w:p w14:paraId="44C0CBD6" w14:textId="77777777" w:rsidR="00315C04" w:rsidRPr="001B4CA2" w:rsidRDefault="00315C04" w:rsidP="00C42E58">
            <w:pPr>
              <w:jc w:val="center"/>
              <w:rPr>
                <w:rFonts w:eastAsia="Times New Roman"/>
                <w:sz w:val="18"/>
                <w:szCs w:val="18"/>
                <w:lang w:eastAsia="hr-HR"/>
              </w:rPr>
            </w:pPr>
            <w:r w:rsidRPr="001B4CA2">
              <w:rPr>
                <w:rFonts w:eastAsia="Times New Roman"/>
                <w:sz w:val="18"/>
                <w:szCs w:val="18"/>
                <w:lang w:eastAsia="hr-HR"/>
              </w:rPr>
              <w:t>čl. 326. st. 2.</w:t>
            </w:r>
          </w:p>
        </w:tc>
        <w:tc>
          <w:tcPr>
            <w:tcW w:w="1017" w:type="dxa"/>
            <w:shd w:val="clear" w:color="auto" w:fill="auto"/>
            <w:noWrap/>
            <w:vAlign w:val="center"/>
          </w:tcPr>
          <w:p w14:paraId="33589FCB" w14:textId="026AD954" w:rsidR="00315C04" w:rsidRPr="001B4CA2" w:rsidRDefault="00315C04" w:rsidP="00315C04">
            <w:pPr>
              <w:jc w:val="center"/>
              <w:rPr>
                <w:rFonts w:eastAsia="Times New Roman"/>
                <w:sz w:val="18"/>
                <w:szCs w:val="18"/>
                <w:lang w:eastAsia="hr-HR"/>
              </w:rPr>
            </w:pPr>
            <w:r w:rsidRPr="001B4CA2">
              <w:rPr>
                <w:rFonts w:eastAsia="Times New Roman"/>
                <w:color w:val="000000"/>
                <w:sz w:val="18"/>
                <w:szCs w:val="18"/>
                <w:lang w:eastAsia="hr-HR"/>
              </w:rPr>
              <w:t>213</w:t>
            </w:r>
          </w:p>
        </w:tc>
        <w:tc>
          <w:tcPr>
            <w:tcW w:w="1016" w:type="dxa"/>
            <w:shd w:val="clear" w:color="auto" w:fill="auto"/>
            <w:noWrap/>
            <w:vAlign w:val="center"/>
          </w:tcPr>
          <w:p w14:paraId="69F6FA6C" w14:textId="582011CE" w:rsidR="00315C04" w:rsidRPr="001B4CA2" w:rsidRDefault="00315C04" w:rsidP="00315C04">
            <w:pPr>
              <w:jc w:val="center"/>
              <w:rPr>
                <w:rFonts w:eastAsia="Times New Roman"/>
                <w:sz w:val="18"/>
                <w:szCs w:val="18"/>
                <w:lang w:eastAsia="hr-HR"/>
              </w:rPr>
            </w:pPr>
            <w:r w:rsidRPr="001B4CA2">
              <w:rPr>
                <w:rFonts w:eastAsia="Times New Roman"/>
                <w:color w:val="000000"/>
                <w:sz w:val="18"/>
                <w:szCs w:val="18"/>
                <w:lang w:eastAsia="hr-HR"/>
              </w:rPr>
              <w:t>2</w:t>
            </w:r>
          </w:p>
        </w:tc>
        <w:tc>
          <w:tcPr>
            <w:tcW w:w="1130" w:type="dxa"/>
            <w:shd w:val="clear" w:color="auto" w:fill="auto"/>
            <w:noWrap/>
            <w:vAlign w:val="center"/>
          </w:tcPr>
          <w:p w14:paraId="42F1EC9B" w14:textId="6157DEB5" w:rsidR="00315C04" w:rsidRPr="001B4CA2" w:rsidRDefault="00315C04" w:rsidP="00315C04">
            <w:pPr>
              <w:jc w:val="center"/>
              <w:rPr>
                <w:rFonts w:eastAsia="Times New Roman"/>
                <w:sz w:val="18"/>
                <w:szCs w:val="18"/>
                <w:lang w:eastAsia="hr-HR"/>
              </w:rPr>
            </w:pPr>
            <w:r w:rsidRPr="001B4CA2">
              <w:rPr>
                <w:rFonts w:eastAsia="Times New Roman"/>
                <w:color w:val="000000"/>
                <w:sz w:val="18"/>
                <w:szCs w:val="18"/>
                <w:lang w:eastAsia="hr-HR"/>
              </w:rPr>
              <w:t>202</w:t>
            </w:r>
          </w:p>
        </w:tc>
        <w:tc>
          <w:tcPr>
            <w:tcW w:w="1182" w:type="dxa"/>
            <w:shd w:val="clear" w:color="auto" w:fill="auto"/>
            <w:noWrap/>
            <w:vAlign w:val="center"/>
          </w:tcPr>
          <w:p w14:paraId="560EDB50" w14:textId="0307B28E" w:rsidR="00315C04" w:rsidRPr="001B4CA2" w:rsidRDefault="00315C04" w:rsidP="00315C04">
            <w:pPr>
              <w:jc w:val="center"/>
              <w:rPr>
                <w:rFonts w:eastAsia="Times New Roman"/>
                <w:sz w:val="18"/>
                <w:szCs w:val="18"/>
                <w:lang w:eastAsia="hr-HR"/>
              </w:rPr>
            </w:pPr>
            <w:r w:rsidRPr="001B4CA2">
              <w:rPr>
                <w:rFonts w:eastAsia="Times New Roman"/>
                <w:color w:val="000000"/>
                <w:sz w:val="18"/>
                <w:szCs w:val="18"/>
                <w:lang w:eastAsia="hr-HR"/>
              </w:rPr>
              <w:t>138</w:t>
            </w:r>
          </w:p>
        </w:tc>
        <w:tc>
          <w:tcPr>
            <w:tcW w:w="1423" w:type="dxa"/>
            <w:shd w:val="clear" w:color="auto" w:fill="auto"/>
            <w:noWrap/>
            <w:vAlign w:val="center"/>
          </w:tcPr>
          <w:p w14:paraId="13006036" w14:textId="7ACDF880" w:rsidR="00315C04" w:rsidRPr="001B4CA2" w:rsidRDefault="00315C04" w:rsidP="00315C04">
            <w:pPr>
              <w:jc w:val="center"/>
              <w:rPr>
                <w:rFonts w:eastAsia="Times New Roman"/>
                <w:sz w:val="18"/>
                <w:szCs w:val="18"/>
                <w:lang w:eastAsia="hr-HR"/>
              </w:rPr>
            </w:pPr>
          </w:p>
        </w:tc>
        <w:tc>
          <w:tcPr>
            <w:tcW w:w="1055" w:type="dxa"/>
            <w:shd w:val="clear" w:color="auto" w:fill="auto"/>
            <w:noWrap/>
            <w:vAlign w:val="center"/>
          </w:tcPr>
          <w:p w14:paraId="1077AA6C" w14:textId="21B6D940" w:rsidR="00315C04" w:rsidRPr="001B4CA2" w:rsidRDefault="00315C04" w:rsidP="00315C04">
            <w:pPr>
              <w:jc w:val="center"/>
              <w:rPr>
                <w:rFonts w:eastAsia="Times New Roman"/>
                <w:sz w:val="18"/>
                <w:szCs w:val="18"/>
                <w:lang w:eastAsia="hr-HR"/>
              </w:rPr>
            </w:pPr>
          </w:p>
        </w:tc>
      </w:tr>
      <w:tr w:rsidR="00315C04" w:rsidRPr="001B4CA2" w14:paraId="12921EA1" w14:textId="77777777" w:rsidTr="00280ADB">
        <w:trPr>
          <w:trHeight w:val="246"/>
          <w:jc w:val="center"/>
        </w:trPr>
        <w:tc>
          <w:tcPr>
            <w:tcW w:w="857" w:type="dxa"/>
            <w:vMerge/>
            <w:shd w:val="clear" w:color="auto" w:fill="auto"/>
            <w:noWrap/>
            <w:vAlign w:val="center"/>
          </w:tcPr>
          <w:p w14:paraId="5B88E1B3" w14:textId="77777777" w:rsidR="00315C04" w:rsidRPr="001B4CA2" w:rsidRDefault="00315C04" w:rsidP="00A62C3B">
            <w:pPr>
              <w:jc w:val="center"/>
              <w:rPr>
                <w:rFonts w:eastAsia="Times New Roman"/>
                <w:b/>
                <w:sz w:val="18"/>
                <w:szCs w:val="18"/>
                <w:lang w:eastAsia="hr-HR"/>
              </w:rPr>
            </w:pPr>
          </w:p>
        </w:tc>
        <w:tc>
          <w:tcPr>
            <w:tcW w:w="1289" w:type="dxa"/>
            <w:shd w:val="clear" w:color="auto" w:fill="auto"/>
            <w:noWrap/>
            <w:vAlign w:val="center"/>
          </w:tcPr>
          <w:p w14:paraId="2D47813F" w14:textId="77777777" w:rsidR="00315C04" w:rsidRPr="001B4CA2" w:rsidRDefault="00315C04" w:rsidP="00F43416">
            <w:pPr>
              <w:ind w:left="-108" w:firstLine="108"/>
              <w:rPr>
                <w:rFonts w:eastAsia="Times New Roman"/>
                <w:b/>
                <w:sz w:val="18"/>
                <w:szCs w:val="18"/>
                <w:lang w:eastAsia="hr-HR"/>
              </w:rPr>
            </w:pPr>
            <w:r w:rsidRPr="001B4CA2">
              <w:rPr>
                <w:rFonts w:eastAsia="Times New Roman"/>
                <w:b/>
                <w:sz w:val="18"/>
                <w:szCs w:val="18"/>
                <w:lang w:eastAsia="hr-HR"/>
              </w:rPr>
              <w:t>UKUPNO</w:t>
            </w:r>
          </w:p>
        </w:tc>
        <w:tc>
          <w:tcPr>
            <w:tcW w:w="1017" w:type="dxa"/>
            <w:shd w:val="clear" w:color="auto" w:fill="auto"/>
            <w:noWrap/>
            <w:vAlign w:val="center"/>
          </w:tcPr>
          <w:p w14:paraId="2B3612F9" w14:textId="6798EEF3" w:rsidR="00315C04" w:rsidRPr="001B4CA2" w:rsidRDefault="00315C04" w:rsidP="00315C04">
            <w:pPr>
              <w:jc w:val="center"/>
              <w:rPr>
                <w:rFonts w:eastAsia="Times New Roman"/>
                <w:sz w:val="18"/>
                <w:szCs w:val="18"/>
                <w:lang w:eastAsia="hr-HR"/>
              </w:rPr>
            </w:pPr>
            <w:r w:rsidRPr="001B4CA2">
              <w:rPr>
                <w:rFonts w:eastAsia="Times New Roman"/>
                <w:b/>
                <w:bCs/>
                <w:color w:val="000000"/>
                <w:sz w:val="18"/>
                <w:szCs w:val="18"/>
                <w:lang w:eastAsia="hr-HR"/>
              </w:rPr>
              <w:t>1</w:t>
            </w:r>
            <w:r w:rsidR="008339D5" w:rsidRPr="001B4CA2">
              <w:rPr>
                <w:rFonts w:eastAsia="Times New Roman"/>
                <w:b/>
                <w:bCs/>
                <w:color w:val="000000"/>
                <w:sz w:val="18"/>
                <w:szCs w:val="18"/>
                <w:lang w:eastAsia="hr-HR"/>
              </w:rPr>
              <w:t>.</w:t>
            </w:r>
            <w:r w:rsidRPr="001B4CA2">
              <w:rPr>
                <w:rFonts w:eastAsia="Times New Roman"/>
                <w:b/>
                <w:bCs/>
                <w:color w:val="000000"/>
                <w:sz w:val="18"/>
                <w:szCs w:val="18"/>
                <w:lang w:eastAsia="hr-HR"/>
              </w:rPr>
              <w:t>041</w:t>
            </w:r>
          </w:p>
        </w:tc>
        <w:tc>
          <w:tcPr>
            <w:tcW w:w="1016" w:type="dxa"/>
            <w:shd w:val="clear" w:color="auto" w:fill="auto"/>
            <w:noWrap/>
            <w:vAlign w:val="center"/>
          </w:tcPr>
          <w:p w14:paraId="5482A011" w14:textId="3A2B1272" w:rsidR="00315C04" w:rsidRPr="001B4CA2" w:rsidRDefault="00315C04" w:rsidP="00315C04">
            <w:pPr>
              <w:jc w:val="center"/>
              <w:rPr>
                <w:rFonts w:eastAsia="Times New Roman"/>
                <w:sz w:val="18"/>
                <w:szCs w:val="18"/>
                <w:lang w:eastAsia="hr-HR"/>
              </w:rPr>
            </w:pPr>
            <w:r w:rsidRPr="001B4CA2">
              <w:rPr>
                <w:rFonts w:eastAsia="Times New Roman"/>
                <w:b/>
                <w:bCs/>
                <w:color w:val="000000"/>
                <w:sz w:val="18"/>
                <w:szCs w:val="18"/>
                <w:lang w:eastAsia="hr-HR"/>
              </w:rPr>
              <w:t>19</w:t>
            </w:r>
          </w:p>
        </w:tc>
        <w:tc>
          <w:tcPr>
            <w:tcW w:w="1130" w:type="dxa"/>
            <w:shd w:val="clear" w:color="auto" w:fill="auto"/>
            <w:noWrap/>
            <w:vAlign w:val="center"/>
          </w:tcPr>
          <w:p w14:paraId="32437C33" w14:textId="216F707D" w:rsidR="00315C04" w:rsidRPr="001B4CA2" w:rsidRDefault="00315C04" w:rsidP="00315C04">
            <w:pPr>
              <w:jc w:val="center"/>
              <w:rPr>
                <w:rFonts w:eastAsia="Times New Roman"/>
                <w:sz w:val="18"/>
                <w:szCs w:val="18"/>
                <w:lang w:eastAsia="hr-HR"/>
              </w:rPr>
            </w:pPr>
            <w:r w:rsidRPr="001B4CA2">
              <w:rPr>
                <w:rFonts w:eastAsia="Times New Roman"/>
                <w:b/>
                <w:bCs/>
                <w:color w:val="000000"/>
                <w:sz w:val="18"/>
                <w:szCs w:val="18"/>
                <w:lang w:eastAsia="hr-HR"/>
              </w:rPr>
              <w:t>936</w:t>
            </w:r>
          </w:p>
        </w:tc>
        <w:tc>
          <w:tcPr>
            <w:tcW w:w="1182" w:type="dxa"/>
            <w:shd w:val="clear" w:color="auto" w:fill="auto"/>
            <w:noWrap/>
            <w:vAlign w:val="center"/>
          </w:tcPr>
          <w:p w14:paraId="62008A11" w14:textId="4B3B336A" w:rsidR="00315C04" w:rsidRPr="001B4CA2" w:rsidRDefault="00315C04" w:rsidP="00315C04">
            <w:pPr>
              <w:jc w:val="center"/>
              <w:rPr>
                <w:rFonts w:eastAsia="Times New Roman"/>
                <w:sz w:val="18"/>
                <w:szCs w:val="18"/>
                <w:lang w:eastAsia="hr-HR"/>
              </w:rPr>
            </w:pPr>
            <w:r w:rsidRPr="001B4CA2">
              <w:rPr>
                <w:rFonts w:eastAsia="Times New Roman"/>
                <w:b/>
                <w:bCs/>
                <w:color w:val="000000"/>
                <w:sz w:val="18"/>
                <w:szCs w:val="18"/>
                <w:lang w:eastAsia="hr-HR"/>
              </w:rPr>
              <w:t>599</w:t>
            </w:r>
          </w:p>
        </w:tc>
        <w:tc>
          <w:tcPr>
            <w:tcW w:w="1423" w:type="dxa"/>
            <w:shd w:val="clear" w:color="auto" w:fill="auto"/>
            <w:noWrap/>
            <w:vAlign w:val="center"/>
          </w:tcPr>
          <w:p w14:paraId="49BD8A56" w14:textId="393058B4" w:rsidR="00315C04" w:rsidRPr="001B4CA2" w:rsidRDefault="00315C04" w:rsidP="00315C04">
            <w:pPr>
              <w:jc w:val="center"/>
              <w:rPr>
                <w:rFonts w:eastAsia="Times New Roman"/>
                <w:sz w:val="18"/>
                <w:szCs w:val="18"/>
                <w:lang w:eastAsia="hr-HR"/>
              </w:rPr>
            </w:pPr>
            <w:r w:rsidRPr="001B4CA2">
              <w:rPr>
                <w:rFonts w:eastAsia="Times New Roman"/>
                <w:b/>
                <w:bCs/>
                <w:color w:val="000000"/>
                <w:sz w:val="18"/>
                <w:szCs w:val="18"/>
                <w:lang w:eastAsia="hr-HR"/>
              </w:rPr>
              <w:t>5</w:t>
            </w:r>
          </w:p>
        </w:tc>
        <w:tc>
          <w:tcPr>
            <w:tcW w:w="1055" w:type="dxa"/>
            <w:shd w:val="clear" w:color="auto" w:fill="auto"/>
            <w:noWrap/>
            <w:vAlign w:val="center"/>
          </w:tcPr>
          <w:p w14:paraId="0770EF1F" w14:textId="0EC7BA26" w:rsidR="00315C04" w:rsidRPr="001B4CA2" w:rsidRDefault="00315C04" w:rsidP="00315C04">
            <w:pPr>
              <w:jc w:val="center"/>
              <w:rPr>
                <w:rFonts w:eastAsia="Times New Roman"/>
                <w:sz w:val="18"/>
                <w:szCs w:val="18"/>
                <w:lang w:eastAsia="hr-HR"/>
              </w:rPr>
            </w:pPr>
            <w:r w:rsidRPr="001B4CA2">
              <w:rPr>
                <w:rFonts w:eastAsia="Times New Roman"/>
                <w:b/>
                <w:bCs/>
                <w:color w:val="000000"/>
                <w:sz w:val="18"/>
                <w:szCs w:val="18"/>
                <w:lang w:eastAsia="hr-HR"/>
              </w:rPr>
              <w:t>2</w:t>
            </w:r>
          </w:p>
        </w:tc>
      </w:tr>
      <w:tr w:rsidR="008558A0" w:rsidRPr="001B4CA2" w14:paraId="70603ACB" w14:textId="77777777" w:rsidTr="00280ADB">
        <w:trPr>
          <w:trHeight w:val="246"/>
          <w:jc w:val="center"/>
        </w:trPr>
        <w:tc>
          <w:tcPr>
            <w:tcW w:w="857" w:type="dxa"/>
            <w:vMerge w:val="restart"/>
            <w:shd w:val="clear" w:color="auto" w:fill="auto"/>
            <w:noWrap/>
            <w:vAlign w:val="center"/>
          </w:tcPr>
          <w:p w14:paraId="7DD79D92" w14:textId="606BD0C5" w:rsidR="008558A0" w:rsidRPr="001B4CA2" w:rsidRDefault="008558A0" w:rsidP="00A62C3B">
            <w:pPr>
              <w:jc w:val="center"/>
              <w:rPr>
                <w:rFonts w:eastAsia="Times New Roman"/>
                <w:b/>
                <w:sz w:val="18"/>
                <w:szCs w:val="18"/>
                <w:lang w:eastAsia="hr-HR"/>
              </w:rPr>
            </w:pPr>
            <w:r w:rsidRPr="001B4CA2">
              <w:rPr>
                <w:rFonts w:eastAsia="Times New Roman"/>
                <w:b/>
                <w:sz w:val="18"/>
                <w:szCs w:val="18"/>
                <w:lang w:eastAsia="hr-HR"/>
              </w:rPr>
              <w:t>2022.</w:t>
            </w:r>
          </w:p>
        </w:tc>
        <w:tc>
          <w:tcPr>
            <w:tcW w:w="1289" w:type="dxa"/>
            <w:shd w:val="clear" w:color="auto" w:fill="auto"/>
            <w:noWrap/>
            <w:vAlign w:val="center"/>
          </w:tcPr>
          <w:p w14:paraId="53C4DF3A" w14:textId="41B7301B" w:rsidR="008558A0" w:rsidRPr="001B4CA2" w:rsidRDefault="008558A0" w:rsidP="00F43416">
            <w:pPr>
              <w:ind w:left="-108" w:firstLine="108"/>
              <w:rPr>
                <w:rFonts w:eastAsia="Times New Roman"/>
                <w:b/>
                <w:sz w:val="18"/>
                <w:szCs w:val="18"/>
                <w:lang w:eastAsia="hr-HR"/>
              </w:rPr>
            </w:pPr>
            <w:r w:rsidRPr="001B4CA2">
              <w:rPr>
                <w:rFonts w:eastAsia="Times New Roman"/>
                <w:sz w:val="18"/>
                <w:szCs w:val="18"/>
                <w:lang w:eastAsia="hr-HR"/>
              </w:rPr>
              <w:t>čl. 326. st. 1.</w:t>
            </w:r>
          </w:p>
        </w:tc>
        <w:tc>
          <w:tcPr>
            <w:tcW w:w="1017" w:type="dxa"/>
            <w:shd w:val="clear" w:color="auto" w:fill="auto"/>
            <w:noWrap/>
            <w:vAlign w:val="center"/>
          </w:tcPr>
          <w:p w14:paraId="42B49135" w14:textId="4A6504FC" w:rsidR="008558A0" w:rsidRPr="001B4CA2" w:rsidRDefault="008558A0" w:rsidP="00315C04">
            <w:pPr>
              <w:jc w:val="center"/>
              <w:rPr>
                <w:rFonts w:eastAsia="Times New Roman"/>
                <w:color w:val="000000"/>
                <w:sz w:val="18"/>
                <w:szCs w:val="18"/>
                <w:lang w:eastAsia="hr-HR"/>
              </w:rPr>
            </w:pPr>
            <w:r w:rsidRPr="001B4CA2">
              <w:rPr>
                <w:rFonts w:eastAsia="Times New Roman"/>
                <w:color w:val="000000"/>
                <w:sz w:val="18"/>
                <w:szCs w:val="18"/>
                <w:lang w:eastAsia="hr-HR"/>
              </w:rPr>
              <w:t>749</w:t>
            </w:r>
          </w:p>
        </w:tc>
        <w:tc>
          <w:tcPr>
            <w:tcW w:w="1016" w:type="dxa"/>
            <w:shd w:val="clear" w:color="auto" w:fill="auto"/>
            <w:noWrap/>
            <w:vAlign w:val="center"/>
          </w:tcPr>
          <w:p w14:paraId="24336FA1" w14:textId="7BF33237" w:rsidR="008558A0" w:rsidRPr="001B4CA2" w:rsidRDefault="008558A0" w:rsidP="00315C04">
            <w:pPr>
              <w:jc w:val="center"/>
              <w:rPr>
                <w:rFonts w:eastAsia="Times New Roman"/>
                <w:color w:val="000000"/>
                <w:sz w:val="18"/>
                <w:szCs w:val="18"/>
                <w:lang w:eastAsia="hr-HR"/>
              </w:rPr>
            </w:pPr>
            <w:r w:rsidRPr="001B4CA2">
              <w:rPr>
                <w:rFonts w:eastAsia="Times New Roman"/>
                <w:color w:val="000000"/>
                <w:sz w:val="18"/>
                <w:szCs w:val="18"/>
                <w:lang w:eastAsia="hr-HR"/>
              </w:rPr>
              <w:t>20</w:t>
            </w:r>
          </w:p>
        </w:tc>
        <w:tc>
          <w:tcPr>
            <w:tcW w:w="1130" w:type="dxa"/>
            <w:shd w:val="clear" w:color="auto" w:fill="auto"/>
            <w:noWrap/>
            <w:vAlign w:val="center"/>
          </w:tcPr>
          <w:p w14:paraId="644E3101" w14:textId="08DFE426" w:rsidR="008558A0" w:rsidRPr="001B4CA2" w:rsidRDefault="008558A0" w:rsidP="00315C04">
            <w:pPr>
              <w:jc w:val="center"/>
              <w:rPr>
                <w:rFonts w:eastAsia="Times New Roman"/>
                <w:color w:val="000000"/>
                <w:sz w:val="18"/>
                <w:szCs w:val="18"/>
                <w:lang w:eastAsia="hr-HR"/>
              </w:rPr>
            </w:pPr>
            <w:r w:rsidRPr="001B4CA2">
              <w:rPr>
                <w:rFonts w:eastAsia="Times New Roman"/>
                <w:color w:val="000000"/>
                <w:sz w:val="18"/>
                <w:szCs w:val="18"/>
                <w:lang w:eastAsia="hr-HR"/>
              </w:rPr>
              <w:t>387</w:t>
            </w:r>
          </w:p>
        </w:tc>
        <w:tc>
          <w:tcPr>
            <w:tcW w:w="1182" w:type="dxa"/>
            <w:shd w:val="clear" w:color="auto" w:fill="auto"/>
            <w:noWrap/>
            <w:vAlign w:val="center"/>
          </w:tcPr>
          <w:p w14:paraId="26BAD213" w14:textId="5666B279" w:rsidR="008558A0" w:rsidRPr="001B4CA2" w:rsidRDefault="008558A0" w:rsidP="00315C04">
            <w:pPr>
              <w:jc w:val="center"/>
              <w:rPr>
                <w:rFonts w:eastAsia="Times New Roman"/>
                <w:color w:val="000000"/>
                <w:sz w:val="18"/>
                <w:szCs w:val="18"/>
                <w:lang w:eastAsia="hr-HR"/>
              </w:rPr>
            </w:pPr>
            <w:r w:rsidRPr="001B4CA2">
              <w:rPr>
                <w:rFonts w:eastAsia="Times New Roman"/>
                <w:color w:val="000000"/>
                <w:sz w:val="18"/>
                <w:szCs w:val="18"/>
                <w:lang w:eastAsia="hr-HR"/>
              </w:rPr>
              <w:t>539</w:t>
            </w:r>
          </w:p>
        </w:tc>
        <w:tc>
          <w:tcPr>
            <w:tcW w:w="1423" w:type="dxa"/>
            <w:shd w:val="clear" w:color="auto" w:fill="auto"/>
            <w:noWrap/>
            <w:vAlign w:val="center"/>
          </w:tcPr>
          <w:p w14:paraId="6819ED27" w14:textId="4922AAE3" w:rsidR="008558A0" w:rsidRPr="001B4CA2" w:rsidRDefault="008558A0" w:rsidP="00315C04">
            <w:pPr>
              <w:jc w:val="center"/>
              <w:rPr>
                <w:rFonts w:eastAsia="Times New Roman"/>
                <w:color w:val="000000"/>
                <w:sz w:val="18"/>
                <w:szCs w:val="18"/>
                <w:lang w:eastAsia="hr-HR"/>
              </w:rPr>
            </w:pPr>
            <w:r w:rsidRPr="001B4CA2">
              <w:rPr>
                <w:rFonts w:eastAsia="Times New Roman"/>
                <w:color w:val="000000"/>
                <w:sz w:val="18"/>
                <w:szCs w:val="18"/>
                <w:lang w:eastAsia="hr-HR"/>
              </w:rPr>
              <w:t>6</w:t>
            </w:r>
          </w:p>
        </w:tc>
        <w:tc>
          <w:tcPr>
            <w:tcW w:w="1055" w:type="dxa"/>
            <w:shd w:val="clear" w:color="auto" w:fill="auto"/>
            <w:noWrap/>
            <w:vAlign w:val="center"/>
          </w:tcPr>
          <w:p w14:paraId="45ABF198" w14:textId="4956C74F" w:rsidR="008558A0" w:rsidRPr="001B4CA2" w:rsidRDefault="008558A0" w:rsidP="00315C04">
            <w:pPr>
              <w:jc w:val="center"/>
              <w:rPr>
                <w:rFonts w:eastAsia="Times New Roman"/>
                <w:color w:val="000000"/>
                <w:sz w:val="18"/>
                <w:szCs w:val="18"/>
                <w:lang w:eastAsia="hr-HR"/>
              </w:rPr>
            </w:pPr>
            <w:r w:rsidRPr="001B4CA2">
              <w:rPr>
                <w:rFonts w:eastAsia="Times New Roman"/>
                <w:color w:val="000000"/>
                <w:sz w:val="18"/>
                <w:szCs w:val="18"/>
                <w:lang w:eastAsia="hr-HR"/>
              </w:rPr>
              <w:t>4</w:t>
            </w:r>
          </w:p>
        </w:tc>
      </w:tr>
      <w:tr w:rsidR="008558A0" w:rsidRPr="001B4CA2" w14:paraId="661508A1" w14:textId="77777777" w:rsidTr="00280ADB">
        <w:trPr>
          <w:trHeight w:val="246"/>
          <w:jc w:val="center"/>
        </w:trPr>
        <w:tc>
          <w:tcPr>
            <w:tcW w:w="857" w:type="dxa"/>
            <w:vMerge/>
            <w:shd w:val="clear" w:color="auto" w:fill="auto"/>
            <w:noWrap/>
            <w:vAlign w:val="center"/>
          </w:tcPr>
          <w:p w14:paraId="36BC7123" w14:textId="77777777" w:rsidR="008558A0" w:rsidRPr="001B4CA2" w:rsidRDefault="008558A0" w:rsidP="00A62C3B">
            <w:pPr>
              <w:jc w:val="center"/>
              <w:rPr>
                <w:rFonts w:eastAsia="Times New Roman"/>
                <w:b/>
                <w:sz w:val="18"/>
                <w:szCs w:val="18"/>
                <w:lang w:eastAsia="hr-HR"/>
              </w:rPr>
            </w:pPr>
          </w:p>
        </w:tc>
        <w:tc>
          <w:tcPr>
            <w:tcW w:w="1289" w:type="dxa"/>
            <w:shd w:val="clear" w:color="auto" w:fill="auto"/>
            <w:noWrap/>
            <w:vAlign w:val="center"/>
          </w:tcPr>
          <w:p w14:paraId="764D1B10" w14:textId="1E21E820" w:rsidR="008558A0" w:rsidRPr="001B4CA2" w:rsidRDefault="008558A0" w:rsidP="00F43416">
            <w:pPr>
              <w:ind w:left="-108" w:firstLine="108"/>
              <w:rPr>
                <w:rFonts w:eastAsia="Times New Roman"/>
                <w:b/>
                <w:sz w:val="18"/>
                <w:szCs w:val="18"/>
                <w:lang w:eastAsia="hr-HR"/>
              </w:rPr>
            </w:pPr>
            <w:r w:rsidRPr="001B4CA2">
              <w:rPr>
                <w:rFonts w:eastAsia="Times New Roman"/>
                <w:sz w:val="18"/>
                <w:szCs w:val="18"/>
                <w:lang w:eastAsia="hr-HR"/>
              </w:rPr>
              <w:t>čl. 326. st. 2.</w:t>
            </w:r>
          </w:p>
        </w:tc>
        <w:tc>
          <w:tcPr>
            <w:tcW w:w="1017" w:type="dxa"/>
            <w:shd w:val="clear" w:color="auto" w:fill="auto"/>
            <w:noWrap/>
            <w:vAlign w:val="center"/>
          </w:tcPr>
          <w:p w14:paraId="07141C5E" w14:textId="03D19CA6" w:rsidR="008558A0" w:rsidRPr="001B4CA2" w:rsidRDefault="008558A0" w:rsidP="00315C04">
            <w:pPr>
              <w:jc w:val="center"/>
              <w:rPr>
                <w:rFonts w:eastAsia="Times New Roman"/>
                <w:color w:val="000000"/>
                <w:sz w:val="18"/>
                <w:szCs w:val="18"/>
                <w:lang w:eastAsia="hr-HR"/>
              </w:rPr>
            </w:pPr>
            <w:r w:rsidRPr="001B4CA2">
              <w:rPr>
                <w:rFonts w:eastAsia="Times New Roman"/>
                <w:color w:val="000000"/>
                <w:sz w:val="18"/>
                <w:szCs w:val="18"/>
                <w:lang w:eastAsia="hr-HR"/>
              </w:rPr>
              <w:t>170</w:t>
            </w:r>
          </w:p>
        </w:tc>
        <w:tc>
          <w:tcPr>
            <w:tcW w:w="1016" w:type="dxa"/>
            <w:shd w:val="clear" w:color="auto" w:fill="auto"/>
            <w:noWrap/>
            <w:vAlign w:val="center"/>
          </w:tcPr>
          <w:p w14:paraId="2990F6D3" w14:textId="3BDA6CE7" w:rsidR="008558A0" w:rsidRPr="001B4CA2" w:rsidRDefault="008558A0" w:rsidP="00315C04">
            <w:pPr>
              <w:jc w:val="center"/>
              <w:rPr>
                <w:rFonts w:eastAsia="Times New Roman"/>
                <w:color w:val="000000"/>
                <w:sz w:val="18"/>
                <w:szCs w:val="18"/>
                <w:lang w:eastAsia="hr-HR"/>
              </w:rPr>
            </w:pPr>
            <w:r w:rsidRPr="001B4CA2">
              <w:rPr>
                <w:rFonts w:eastAsia="Times New Roman"/>
                <w:color w:val="000000"/>
                <w:sz w:val="18"/>
                <w:szCs w:val="18"/>
                <w:lang w:eastAsia="hr-HR"/>
              </w:rPr>
              <w:t>7</w:t>
            </w:r>
          </w:p>
        </w:tc>
        <w:tc>
          <w:tcPr>
            <w:tcW w:w="1130" w:type="dxa"/>
            <w:shd w:val="clear" w:color="auto" w:fill="auto"/>
            <w:noWrap/>
            <w:vAlign w:val="center"/>
          </w:tcPr>
          <w:p w14:paraId="3959CABA" w14:textId="743C0A5A" w:rsidR="008558A0" w:rsidRPr="001B4CA2" w:rsidRDefault="008558A0" w:rsidP="00315C04">
            <w:pPr>
              <w:jc w:val="center"/>
              <w:rPr>
                <w:rFonts w:eastAsia="Times New Roman"/>
                <w:color w:val="000000"/>
                <w:sz w:val="18"/>
                <w:szCs w:val="18"/>
                <w:lang w:eastAsia="hr-HR"/>
              </w:rPr>
            </w:pPr>
            <w:r w:rsidRPr="001B4CA2">
              <w:rPr>
                <w:rFonts w:eastAsia="Times New Roman"/>
                <w:color w:val="000000"/>
                <w:sz w:val="18"/>
                <w:szCs w:val="18"/>
                <w:lang w:eastAsia="hr-HR"/>
              </w:rPr>
              <w:t>131</w:t>
            </w:r>
          </w:p>
        </w:tc>
        <w:tc>
          <w:tcPr>
            <w:tcW w:w="1182" w:type="dxa"/>
            <w:shd w:val="clear" w:color="auto" w:fill="auto"/>
            <w:noWrap/>
            <w:vAlign w:val="center"/>
          </w:tcPr>
          <w:p w14:paraId="44C325C0" w14:textId="6783C405" w:rsidR="008558A0" w:rsidRPr="001B4CA2" w:rsidRDefault="008558A0" w:rsidP="00315C04">
            <w:pPr>
              <w:jc w:val="center"/>
              <w:rPr>
                <w:rFonts w:eastAsia="Times New Roman"/>
                <w:color w:val="000000"/>
                <w:sz w:val="18"/>
                <w:szCs w:val="18"/>
                <w:lang w:eastAsia="hr-HR"/>
              </w:rPr>
            </w:pPr>
            <w:r w:rsidRPr="001B4CA2">
              <w:rPr>
                <w:rFonts w:eastAsia="Times New Roman"/>
                <w:color w:val="000000"/>
                <w:sz w:val="18"/>
                <w:szCs w:val="18"/>
                <w:lang w:eastAsia="hr-HR"/>
              </w:rPr>
              <w:t>133</w:t>
            </w:r>
          </w:p>
        </w:tc>
        <w:tc>
          <w:tcPr>
            <w:tcW w:w="1423" w:type="dxa"/>
            <w:shd w:val="clear" w:color="auto" w:fill="auto"/>
            <w:noWrap/>
            <w:vAlign w:val="center"/>
          </w:tcPr>
          <w:p w14:paraId="0D8C0AF9" w14:textId="77777777" w:rsidR="008558A0" w:rsidRPr="001B4CA2" w:rsidRDefault="008558A0" w:rsidP="00315C04">
            <w:pPr>
              <w:jc w:val="center"/>
              <w:rPr>
                <w:rFonts w:eastAsia="Times New Roman"/>
                <w:color w:val="000000"/>
                <w:sz w:val="18"/>
                <w:szCs w:val="18"/>
                <w:lang w:eastAsia="hr-HR"/>
              </w:rPr>
            </w:pPr>
          </w:p>
        </w:tc>
        <w:tc>
          <w:tcPr>
            <w:tcW w:w="1055" w:type="dxa"/>
            <w:shd w:val="clear" w:color="auto" w:fill="auto"/>
            <w:noWrap/>
            <w:vAlign w:val="center"/>
          </w:tcPr>
          <w:p w14:paraId="508DAC3A" w14:textId="21290A9A" w:rsidR="008558A0" w:rsidRPr="001B4CA2" w:rsidRDefault="008558A0" w:rsidP="00315C04">
            <w:pPr>
              <w:jc w:val="center"/>
              <w:rPr>
                <w:rFonts w:eastAsia="Times New Roman"/>
                <w:color w:val="000000"/>
                <w:sz w:val="18"/>
                <w:szCs w:val="18"/>
                <w:lang w:eastAsia="hr-HR"/>
              </w:rPr>
            </w:pPr>
            <w:r w:rsidRPr="001B4CA2">
              <w:rPr>
                <w:rFonts w:eastAsia="Times New Roman"/>
                <w:color w:val="000000"/>
                <w:sz w:val="18"/>
                <w:szCs w:val="18"/>
                <w:lang w:eastAsia="hr-HR"/>
              </w:rPr>
              <w:t>1</w:t>
            </w:r>
          </w:p>
        </w:tc>
      </w:tr>
      <w:tr w:rsidR="008558A0" w:rsidRPr="001B4CA2" w14:paraId="16FF6B62" w14:textId="77777777" w:rsidTr="00280ADB">
        <w:trPr>
          <w:trHeight w:val="246"/>
          <w:jc w:val="center"/>
        </w:trPr>
        <w:tc>
          <w:tcPr>
            <w:tcW w:w="857" w:type="dxa"/>
            <w:vMerge/>
            <w:shd w:val="clear" w:color="auto" w:fill="auto"/>
            <w:noWrap/>
            <w:vAlign w:val="center"/>
          </w:tcPr>
          <w:p w14:paraId="4FF90757" w14:textId="77777777" w:rsidR="008558A0" w:rsidRPr="001B4CA2" w:rsidRDefault="008558A0" w:rsidP="00A62C3B">
            <w:pPr>
              <w:jc w:val="center"/>
              <w:rPr>
                <w:rFonts w:eastAsia="Times New Roman"/>
                <w:b/>
                <w:sz w:val="18"/>
                <w:szCs w:val="18"/>
                <w:lang w:eastAsia="hr-HR"/>
              </w:rPr>
            </w:pPr>
          </w:p>
        </w:tc>
        <w:tc>
          <w:tcPr>
            <w:tcW w:w="1289" w:type="dxa"/>
            <w:shd w:val="clear" w:color="auto" w:fill="auto"/>
            <w:noWrap/>
            <w:vAlign w:val="center"/>
          </w:tcPr>
          <w:p w14:paraId="1F9B824E" w14:textId="640EF2C9" w:rsidR="008558A0" w:rsidRPr="001B4CA2" w:rsidRDefault="008558A0" w:rsidP="00F43416">
            <w:pPr>
              <w:ind w:left="-108" w:firstLine="108"/>
              <w:rPr>
                <w:rFonts w:eastAsia="Times New Roman"/>
                <w:b/>
                <w:sz w:val="18"/>
                <w:szCs w:val="18"/>
                <w:lang w:eastAsia="hr-HR"/>
              </w:rPr>
            </w:pPr>
            <w:r w:rsidRPr="001B4CA2">
              <w:rPr>
                <w:rFonts w:eastAsia="Times New Roman"/>
                <w:b/>
                <w:sz w:val="18"/>
                <w:szCs w:val="18"/>
                <w:lang w:eastAsia="hr-HR"/>
              </w:rPr>
              <w:t>UKUPNO</w:t>
            </w:r>
          </w:p>
        </w:tc>
        <w:tc>
          <w:tcPr>
            <w:tcW w:w="1017" w:type="dxa"/>
            <w:shd w:val="clear" w:color="auto" w:fill="auto"/>
            <w:noWrap/>
            <w:vAlign w:val="center"/>
          </w:tcPr>
          <w:p w14:paraId="2BE29AD1" w14:textId="3C9FBD47" w:rsidR="008558A0" w:rsidRPr="001B4CA2" w:rsidRDefault="008558A0" w:rsidP="00315C04">
            <w:pPr>
              <w:jc w:val="center"/>
              <w:rPr>
                <w:rFonts w:eastAsia="Times New Roman"/>
                <w:b/>
                <w:bCs/>
                <w:color w:val="000000"/>
                <w:sz w:val="18"/>
                <w:szCs w:val="18"/>
                <w:lang w:eastAsia="hr-HR"/>
              </w:rPr>
            </w:pPr>
            <w:r w:rsidRPr="001B4CA2">
              <w:rPr>
                <w:rFonts w:eastAsia="Times New Roman"/>
                <w:b/>
                <w:bCs/>
                <w:color w:val="000000"/>
                <w:sz w:val="18"/>
                <w:szCs w:val="18"/>
                <w:lang w:eastAsia="hr-HR"/>
              </w:rPr>
              <w:t>919</w:t>
            </w:r>
          </w:p>
        </w:tc>
        <w:tc>
          <w:tcPr>
            <w:tcW w:w="1016" w:type="dxa"/>
            <w:shd w:val="clear" w:color="auto" w:fill="auto"/>
            <w:noWrap/>
            <w:vAlign w:val="center"/>
          </w:tcPr>
          <w:p w14:paraId="2F5A0B69" w14:textId="5CA5DBA1" w:rsidR="008558A0" w:rsidRPr="001B4CA2" w:rsidRDefault="008558A0" w:rsidP="00315C04">
            <w:pPr>
              <w:jc w:val="center"/>
              <w:rPr>
                <w:rFonts w:eastAsia="Times New Roman"/>
                <w:b/>
                <w:bCs/>
                <w:color w:val="000000"/>
                <w:sz w:val="18"/>
                <w:szCs w:val="18"/>
                <w:lang w:eastAsia="hr-HR"/>
              </w:rPr>
            </w:pPr>
            <w:r w:rsidRPr="001B4CA2">
              <w:rPr>
                <w:rFonts w:eastAsia="Times New Roman"/>
                <w:b/>
                <w:bCs/>
                <w:color w:val="000000"/>
                <w:sz w:val="18"/>
                <w:szCs w:val="18"/>
                <w:lang w:eastAsia="hr-HR"/>
              </w:rPr>
              <w:t>27</w:t>
            </w:r>
          </w:p>
        </w:tc>
        <w:tc>
          <w:tcPr>
            <w:tcW w:w="1130" w:type="dxa"/>
            <w:shd w:val="clear" w:color="auto" w:fill="auto"/>
            <w:noWrap/>
            <w:vAlign w:val="center"/>
          </w:tcPr>
          <w:p w14:paraId="2C747990" w14:textId="0D7AF40D" w:rsidR="008558A0" w:rsidRPr="001B4CA2" w:rsidRDefault="008558A0" w:rsidP="00315C04">
            <w:pPr>
              <w:jc w:val="center"/>
              <w:rPr>
                <w:rFonts w:eastAsia="Times New Roman"/>
                <w:b/>
                <w:bCs/>
                <w:color w:val="000000"/>
                <w:sz w:val="18"/>
                <w:szCs w:val="18"/>
                <w:lang w:eastAsia="hr-HR"/>
              </w:rPr>
            </w:pPr>
            <w:r w:rsidRPr="001B4CA2">
              <w:rPr>
                <w:rFonts w:eastAsia="Times New Roman"/>
                <w:b/>
                <w:bCs/>
                <w:color w:val="000000"/>
                <w:sz w:val="18"/>
                <w:szCs w:val="18"/>
                <w:lang w:eastAsia="hr-HR"/>
              </w:rPr>
              <w:t>518</w:t>
            </w:r>
          </w:p>
        </w:tc>
        <w:tc>
          <w:tcPr>
            <w:tcW w:w="1182" w:type="dxa"/>
            <w:shd w:val="clear" w:color="auto" w:fill="auto"/>
            <w:noWrap/>
            <w:vAlign w:val="center"/>
          </w:tcPr>
          <w:p w14:paraId="0B68488E" w14:textId="67086BF6" w:rsidR="008558A0" w:rsidRPr="001B4CA2" w:rsidRDefault="008558A0" w:rsidP="00315C04">
            <w:pPr>
              <w:jc w:val="center"/>
              <w:rPr>
                <w:rFonts w:eastAsia="Times New Roman"/>
                <w:b/>
                <w:bCs/>
                <w:color w:val="000000"/>
                <w:sz w:val="18"/>
                <w:szCs w:val="18"/>
                <w:lang w:eastAsia="hr-HR"/>
              </w:rPr>
            </w:pPr>
            <w:r w:rsidRPr="001B4CA2">
              <w:rPr>
                <w:rFonts w:eastAsia="Times New Roman"/>
                <w:b/>
                <w:bCs/>
                <w:color w:val="000000"/>
                <w:sz w:val="18"/>
                <w:szCs w:val="18"/>
                <w:lang w:eastAsia="hr-HR"/>
              </w:rPr>
              <w:t>672</w:t>
            </w:r>
          </w:p>
        </w:tc>
        <w:tc>
          <w:tcPr>
            <w:tcW w:w="1423" w:type="dxa"/>
            <w:shd w:val="clear" w:color="auto" w:fill="auto"/>
            <w:noWrap/>
            <w:vAlign w:val="center"/>
          </w:tcPr>
          <w:p w14:paraId="3AB42EC0" w14:textId="52029D3B" w:rsidR="008558A0" w:rsidRPr="001B4CA2" w:rsidRDefault="008558A0" w:rsidP="00315C04">
            <w:pPr>
              <w:jc w:val="center"/>
              <w:rPr>
                <w:rFonts w:eastAsia="Times New Roman"/>
                <w:b/>
                <w:bCs/>
                <w:color w:val="000000"/>
                <w:sz w:val="18"/>
                <w:szCs w:val="18"/>
                <w:lang w:eastAsia="hr-HR"/>
              </w:rPr>
            </w:pPr>
            <w:r w:rsidRPr="001B4CA2">
              <w:rPr>
                <w:rFonts w:eastAsia="Times New Roman"/>
                <w:b/>
                <w:bCs/>
                <w:color w:val="000000"/>
                <w:sz w:val="18"/>
                <w:szCs w:val="18"/>
                <w:lang w:eastAsia="hr-HR"/>
              </w:rPr>
              <w:t>6</w:t>
            </w:r>
          </w:p>
        </w:tc>
        <w:tc>
          <w:tcPr>
            <w:tcW w:w="1055" w:type="dxa"/>
            <w:shd w:val="clear" w:color="auto" w:fill="auto"/>
            <w:noWrap/>
            <w:vAlign w:val="center"/>
          </w:tcPr>
          <w:p w14:paraId="2D725A50" w14:textId="3E8874D0" w:rsidR="008558A0" w:rsidRPr="001B4CA2" w:rsidRDefault="008558A0" w:rsidP="00315C04">
            <w:pPr>
              <w:jc w:val="center"/>
              <w:rPr>
                <w:rFonts w:eastAsia="Times New Roman"/>
                <w:b/>
                <w:bCs/>
                <w:color w:val="000000"/>
                <w:sz w:val="18"/>
                <w:szCs w:val="18"/>
                <w:lang w:eastAsia="hr-HR"/>
              </w:rPr>
            </w:pPr>
            <w:r w:rsidRPr="001B4CA2">
              <w:rPr>
                <w:rFonts w:eastAsia="Times New Roman"/>
                <w:b/>
                <w:bCs/>
                <w:color w:val="000000"/>
                <w:sz w:val="18"/>
                <w:szCs w:val="18"/>
                <w:lang w:eastAsia="hr-HR"/>
              </w:rPr>
              <w:t>5</w:t>
            </w:r>
          </w:p>
        </w:tc>
      </w:tr>
    </w:tbl>
    <w:p w14:paraId="1AA9B51A" w14:textId="77777777" w:rsidR="002015BC" w:rsidRPr="001B4CA2" w:rsidRDefault="002015BC" w:rsidP="00100AB4">
      <w:pPr>
        <w:pStyle w:val="2"/>
        <w:spacing w:before="0" w:after="0"/>
        <w:jc w:val="both"/>
        <w:rPr>
          <w:rFonts w:cs="Arial"/>
          <w:b w:val="0"/>
        </w:rPr>
      </w:pPr>
    </w:p>
    <w:p w14:paraId="55FB39D7" w14:textId="553DC062" w:rsidR="008558A0" w:rsidRPr="001B4CA2" w:rsidRDefault="008558A0" w:rsidP="008558A0">
      <w:pPr>
        <w:ind w:firstLine="708"/>
      </w:pPr>
      <w:r w:rsidRPr="001B4CA2">
        <w:t>U prethodnoj 2021. izvještajnoj godini za ovo kazneno djelo bila je prijavljena 1.041 osoba te je u ukupnom kriminalitetu ovo kazneno djelo iznosilo 2,5</w:t>
      </w:r>
      <w:r w:rsidR="00990BD1">
        <w:t> </w:t>
      </w:r>
      <w:r w:rsidRPr="001B4CA2">
        <w:t>%, dok ove godine to iznosi 2</w:t>
      </w:r>
      <w:r w:rsidR="00990BD1">
        <w:t>,</w:t>
      </w:r>
      <w:r w:rsidRPr="001B4CA2">
        <w:t>20</w:t>
      </w:r>
      <w:r w:rsidR="00990BD1">
        <w:t> </w:t>
      </w:r>
      <w:r w:rsidRPr="001B4CA2">
        <w:t>%</w:t>
      </w:r>
      <w:r w:rsidR="00990BD1">
        <w:t>,</w:t>
      </w:r>
      <w:r w:rsidR="00FD08E9">
        <w:t xml:space="preserve"> </w:t>
      </w:r>
      <w:r w:rsidRPr="001B4CA2">
        <w:t>što je u granicama prethodnih izvještajnih razdoblja.</w:t>
      </w:r>
    </w:p>
    <w:p w14:paraId="77B31980" w14:textId="77777777" w:rsidR="005B2800" w:rsidRPr="001B4CA2" w:rsidRDefault="005B2800" w:rsidP="008558A0">
      <w:pPr>
        <w:ind w:firstLine="708"/>
      </w:pPr>
    </w:p>
    <w:p w14:paraId="2483AC0B" w14:textId="77777777" w:rsidR="005B2800" w:rsidRPr="001B4CA2" w:rsidRDefault="008558A0" w:rsidP="008558A0">
      <w:pPr>
        <w:ind w:firstLine="708"/>
      </w:pPr>
      <w:r w:rsidRPr="001B4CA2">
        <w:t>Razloge ovom neznatnom smanjenju, imajući u vidu nepromijenjene svjetske okolnosti koje su generirale počinjenje ovog kaznenog djela, moguće je pronaći u povećanoj kontroli prometnica od strane redarstvenih vlasti kao i sankcijama propisanim za ovo kazneno djelo, pogotovo za teži oblik počinjenja kada se izriču i kazne zatvora</w:t>
      </w:r>
      <w:r w:rsidR="005B2800" w:rsidRPr="001B4CA2">
        <w:t>.</w:t>
      </w:r>
    </w:p>
    <w:p w14:paraId="21E6D8DB" w14:textId="3A5D333E" w:rsidR="008558A0" w:rsidRPr="001B4CA2" w:rsidRDefault="008558A0" w:rsidP="008558A0">
      <w:pPr>
        <w:ind w:firstLine="708"/>
      </w:pPr>
      <w:r w:rsidRPr="001B4CA2">
        <w:t xml:space="preserve"> </w:t>
      </w:r>
    </w:p>
    <w:p w14:paraId="301A04AE" w14:textId="187FA3D3" w:rsidR="008558A0" w:rsidRPr="001B4CA2" w:rsidRDefault="008558A0" w:rsidP="008558A0">
      <w:pPr>
        <w:ind w:firstLine="708"/>
      </w:pPr>
      <w:r w:rsidRPr="001B4CA2">
        <w:t>Od ukupnog broja podnesenih kaznenih prijava za kazneno djelo iz članka 326. KZ/11,</w:t>
      </w:r>
      <w:r w:rsidR="00FD08E9">
        <w:t xml:space="preserve"> </w:t>
      </w:r>
      <w:r w:rsidRPr="001B4CA2">
        <w:t>827 (89,98</w:t>
      </w:r>
      <w:r w:rsidR="00990BD1">
        <w:t> </w:t>
      </w:r>
      <w:r w:rsidRPr="001B4CA2">
        <w:t>%)</w:t>
      </w:r>
      <w:r w:rsidR="00FD08E9">
        <w:t xml:space="preserve"> </w:t>
      </w:r>
      <w:r w:rsidRPr="001B4CA2">
        <w:t xml:space="preserve">kaznenih je </w:t>
      </w:r>
      <w:r w:rsidR="00990BD1" w:rsidRPr="001B4CA2">
        <w:t xml:space="preserve">prijava </w:t>
      </w:r>
      <w:r w:rsidRPr="001B4CA2">
        <w:t>podneseno protiv odraslih osoba, od čega je 21 kaznena prijava podnesena Uredu za suzbijanje korupcije i organiziranog kriminaliteta, 80 (8,7</w:t>
      </w:r>
      <w:r w:rsidR="00990BD1">
        <w:t> </w:t>
      </w:r>
      <w:r w:rsidRPr="001B4CA2">
        <w:t xml:space="preserve">%) kaznenih </w:t>
      </w:r>
      <w:r w:rsidR="00990BD1" w:rsidRPr="001B4CA2">
        <w:t xml:space="preserve">je </w:t>
      </w:r>
      <w:r w:rsidRPr="001B4CA2">
        <w:t>prijava podneseno protiv mlađih punoljetnih osoba, a</w:t>
      </w:r>
      <w:r w:rsidR="00FD08E9">
        <w:t xml:space="preserve"> </w:t>
      </w:r>
      <w:r w:rsidRPr="001B4CA2">
        <w:t>svega 9 (0,97</w:t>
      </w:r>
      <w:r w:rsidR="00990BD1">
        <w:t> </w:t>
      </w:r>
      <w:r w:rsidRPr="001B4CA2">
        <w:t>%)</w:t>
      </w:r>
      <w:r w:rsidR="00FD08E9">
        <w:t xml:space="preserve"> </w:t>
      </w:r>
      <w:r w:rsidRPr="001B4CA2">
        <w:t>protiv maloljetnih počinitelja ovog kaznenog djela te su 3 (0,32</w:t>
      </w:r>
      <w:r w:rsidR="00990BD1">
        <w:t> </w:t>
      </w:r>
      <w:r w:rsidRPr="001B4CA2">
        <w:t>%)</w:t>
      </w:r>
      <w:r w:rsidR="00FD08E9">
        <w:t xml:space="preserve"> </w:t>
      </w:r>
      <w:r w:rsidRPr="001B4CA2">
        <w:t>kaznene prijave podnesene protiv odraslih osoba u kojima se oni javljaju kao počinitelji ovog kaznenog djela na štetu maloljetnih osoba.</w:t>
      </w:r>
    </w:p>
    <w:p w14:paraId="4608F335" w14:textId="77777777" w:rsidR="005B2800" w:rsidRPr="001B4CA2" w:rsidRDefault="005B2800" w:rsidP="008558A0">
      <w:pPr>
        <w:ind w:firstLine="708"/>
      </w:pPr>
    </w:p>
    <w:p w14:paraId="713246BF" w14:textId="36EC024D" w:rsidR="008558A0" w:rsidRPr="001B4CA2" w:rsidRDefault="008558A0" w:rsidP="008558A0">
      <w:pPr>
        <w:ind w:firstLine="708"/>
      </w:pPr>
      <w:r w:rsidRPr="001B4CA2">
        <w:t>Kada se uzmu u obzir 919 kaznenih prijava za ovo kazneno djelo, u analizi</w:t>
      </w:r>
      <w:r w:rsidR="00FD08E9">
        <w:t xml:space="preserve"> </w:t>
      </w:r>
      <w:r w:rsidRPr="001B4CA2">
        <w:t>strukture njihovih pojavnih oblika, prema statističkim pokazateljima,</w:t>
      </w:r>
      <w:r w:rsidR="00FD08E9">
        <w:t xml:space="preserve"> </w:t>
      </w:r>
      <w:r w:rsidRPr="001B4CA2">
        <w:t>81,5</w:t>
      </w:r>
      <w:r w:rsidR="00990BD1">
        <w:t> </w:t>
      </w:r>
      <w:r w:rsidRPr="001B4CA2">
        <w:t xml:space="preserve">% prijava se </w:t>
      </w:r>
      <w:r w:rsidRPr="001B4CA2">
        <w:lastRenderedPageBreak/>
        <w:t>odnosi na kazneno djelo iz članka 326. stavka 1. KZ/1, a 18,5</w:t>
      </w:r>
      <w:r w:rsidR="00990BD1">
        <w:t> </w:t>
      </w:r>
      <w:r w:rsidRPr="001B4CA2">
        <w:t>% na kazneno djelo iz članka 326. stavka 2. KZ/11. Uspoređujući ovo</w:t>
      </w:r>
      <w:r w:rsidR="00FD08E9">
        <w:t xml:space="preserve"> s </w:t>
      </w:r>
      <w:r w:rsidRPr="001B4CA2">
        <w:t>prethodnom godinom kada se 80</w:t>
      </w:r>
      <w:r w:rsidR="00990BD1">
        <w:t> </w:t>
      </w:r>
      <w:r w:rsidRPr="001B4CA2">
        <w:t>% kaznenih prijava odnosilo na kazneno djelo iz članka 326. stavka 1. KZ/11, a 20</w:t>
      </w:r>
      <w:r w:rsidR="00990BD1">
        <w:t> </w:t>
      </w:r>
      <w:r w:rsidRPr="001B4CA2">
        <w:t>% na kazneno djelo iz članka 326. stavka 2. KZ/11, onda se očito može zaključiti da nema značajnih odstupanja.</w:t>
      </w:r>
    </w:p>
    <w:p w14:paraId="2CB5196E" w14:textId="77777777" w:rsidR="0020162B" w:rsidRPr="001B4CA2" w:rsidRDefault="0020162B" w:rsidP="008558A0">
      <w:pPr>
        <w:ind w:firstLine="708"/>
      </w:pPr>
    </w:p>
    <w:p w14:paraId="30D10ECA" w14:textId="172122C2" w:rsidR="008558A0" w:rsidRPr="001B4CA2" w:rsidRDefault="008558A0" w:rsidP="008558A0">
      <w:pPr>
        <w:ind w:firstLine="708"/>
      </w:pPr>
      <w:r w:rsidRPr="001B4CA2">
        <w:t>U odnosu na način počinjenja ovog kaznenog djela nema bitnih razlika u odnosu na prethodna izvještajna razdoblja te nema novih pojavnih oblika. Kao i ranije</w:t>
      </w:r>
      <w:r w:rsidR="00990BD1">
        <w:t>,</w:t>
      </w:r>
      <w:r w:rsidRPr="001B4CA2">
        <w:t xml:space="preserve"> radi se o počiniteljima koji su pojedinačno ili u dogovoru</w:t>
      </w:r>
      <w:r w:rsidR="00FD08E9">
        <w:t xml:space="preserve"> s </w:t>
      </w:r>
      <w:r w:rsidRPr="001B4CA2">
        <w:t>drugim osobama koje bi tada činile prethodnicu, za adekvatnu novčanu nagradu, preuzimale osobe koje su prije toga ilegalno ušle na teritorij Republike Hrvatske, zaobilazeći službene granične prijelaze</w:t>
      </w:r>
      <w:r w:rsidR="00FD08E9">
        <w:t xml:space="preserve"> s </w:t>
      </w:r>
      <w:r w:rsidRPr="001B4CA2">
        <w:t>Bosnom i Hercegovinom ili Srbijom</w:t>
      </w:r>
      <w:r w:rsidR="00FD08E9">
        <w:t xml:space="preserve">, </w:t>
      </w:r>
      <w:r w:rsidRPr="001B4CA2">
        <w:t xml:space="preserve">pa te osobe prevozili u osobnim, teretnim ili kombi vozilima kroz Republiku Hrvatsku prema zemljama Europske unije. </w:t>
      </w:r>
    </w:p>
    <w:p w14:paraId="41486C7A" w14:textId="77777777" w:rsidR="0020162B" w:rsidRPr="001B4CA2" w:rsidRDefault="0020162B" w:rsidP="008558A0">
      <w:pPr>
        <w:ind w:firstLine="708"/>
      </w:pPr>
    </w:p>
    <w:p w14:paraId="5F312988" w14:textId="520FC48A" w:rsidR="008558A0" w:rsidRPr="001B4CA2" w:rsidRDefault="008558A0" w:rsidP="008558A0">
      <w:pPr>
        <w:ind w:firstLine="708"/>
      </w:pPr>
      <w:r w:rsidRPr="001B4CA2">
        <w:t>U strukturi počinitelja ovog kaznenog djela, iako su većina strani državljani (Srbija, Bosna i Hercegovina, Njemačka, Italija</w:t>
      </w:r>
      <w:r w:rsidR="00FD08E9">
        <w:t xml:space="preserve">, </w:t>
      </w:r>
      <w:r w:rsidRPr="001B4CA2">
        <w:t>Slovenija Poljska, Ukrajina, Indija, Turska) ima i hrvatskih državljana</w:t>
      </w:r>
      <w:r w:rsidR="00FD08E9">
        <w:t xml:space="preserve">, </w:t>
      </w:r>
      <w:r w:rsidRPr="001B4CA2">
        <w:t>iz čega se da</w:t>
      </w:r>
      <w:r w:rsidR="00990BD1">
        <w:t>de</w:t>
      </w:r>
      <w:r w:rsidRPr="001B4CA2">
        <w:t xml:space="preserve"> zaključiti kako se radi o razgranatoj međunarodnoj mreži krijumčarenja ljudi</w:t>
      </w:r>
      <w:r w:rsidR="00990BD1">
        <w:t>,</w:t>
      </w:r>
      <w:r w:rsidRPr="001B4CA2">
        <w:t xml:space="preserve"> pri čemu organizatori navedenih kaznenih djela ostaju neotkriveni i nakon poduzimanja svih potrebnih radnji u cilju njihovog otkrivanja.</w:t>
      </w:r>
      <w:r w:rsidR="00FD08E9">
        <w:t xml:space="preserve"> </w:t>
      </w:r>
      <w:r w:rsidRPr="001B4CA2">
        <w:t>Kao migranti, odnosno osobe koje se ilegalno prevoze</w:t>
      </w:r>
      <w:r w:rsidR="00990BD1">
        <w:t>,</w:t>
      </w:r>
      <w:r w:rsidRPr="001B4CA2">
        <w:t xml:space="preserve"> najčešće</w:t>
      </w:r>
      <w:r w:rsidR="00FD08E9">
        <w:t xml:space="preserve"> </w:t>
      </w:r>
      <w:r w:rsidR="00990BD1">
        <w:t xml:space="preserve">su to </w:t>
      </w:r>
      <w:r w:rsidRPr="001B4CA2">
        <w:t xml:space="preserve">državljani </w:t>
      </w:r>
      <w:r w:rsidR="00990BD1">
        <w:t>a</w:t>
      </w:r>
      <w:r w:rsidRPr="001B4CA2">
        <w:t xml:space="preserve">fričkih i </w:t>
      </w:r>
      <w:r w:rsidR="00990BD1">
        <w:t>a</w:t>
      </w:r>
      <w:r w:rsidRPr="001B4CA2">
        <w:t>zijskih zemalja, prije svega Pakistana, Egipta, Bangladeša, Turske, Afganistana i dr., a radi se o ekonomskim migrantima ili migrantima iz ratom zahvaćenih područja.</w:t>
      </w:r>
    </w:p>
    <w:p w14:paraId="6C116131" w14:textId="77777777" w:rsidR="005B2800" w:rsidRPr="001B4CA2" w:rsidRDefault="005B2800" w:rsidP="008558A0">
      <w:pPr>
        <w:ind w:firstLine="708"/>
      </w:pPr>
    </w:p>
    <w:p w14:paraId="7C13318D" w14:textId="4469B059" w:rsidR="008558A0" w:rsidRPr="001B4CA2" w:rsidRDefault="008558A0" w:rsidP="008558A0">
      <w:pPr>
        <w:ind w:firstLine="708"/>
      </w:pPr>
      <w:r w:rsidRPr="001B4CA2">
        <w:t>Imajući u vidu da je kazneno djelo protuzakonitog ulaženja, kretnja i boravka u Republici Hrvatskoj, drugoj državi članici EU</w:t>
      </w:r>
      <w:r w:rsidR="00990BD1">
        <w:t>-a</w:t>
      </w:r>
      <w:r w:rsidRPr="001B4CA2">
        <w:t xml:space="preserve"> ili potpisnici Šengenskog sporazuma složeno kazneno djelo s međunarodnim elementom budući da su okrivljenici ili migranti strani državljani</w:t>
      </w:r>
      <w:r w:rsidR="00990BD1">
        <w:t>,</w:t>
      </w:r>
      <w:r w:rsidRPr="001B4CA2">
        <w:t xml:space="preserve"> i to većina njih su državljani država koje nisu članice Europske unije, potrebno je žurno postupanje jer takve okrivljenike policijski službenici odmah uhite i nakon kriminalističke obrade te sastavljanja kaznene prijave predaju pritvorskom nadzorniku, a dežurni državni odvjetnici trebaju takve osobe ispitati u roku od 16 sati i nakon toga predlažu istražni zatvor po čl. 123. st. 1. </w:t>
      </w:r>
      <w:proofErr w:type="spellStart"/>
      <w:r w:rsidRPr="001B4CA2">
        <w:t>toč</w:t>
      </w:r>
      <w:proofErr w:type="spellEnd"/>
      <w:r w:rsidRPr="001B4CA2">
        <w:t>. 1. ZKP/08, tj</w:t>
      </w:r>
      <w:r w:rsidR="0020162B" w:rsidRPr="001B4CA2">
        <w:t>.</w:t>
      </w:r>
      <w:r w:rsidRPr="001B4CA2">
        <w:t xml:space="preserve"> zbog opasnosti od bijega.</w:t>
      </w:r>
    </w:p>
    <w:p w14:paraId="01985226" w14:textId="77777777" w:rsidR="005B2800" w:rsidRPr="001B4CA2" w:rsidRDefault="005B2800" w:rsidP="008558A0">
      <w:pPr>
        <w:ind w:firstLine="708"/>
      </w:pPr>
    </w:p>
    <w:p w14:paraId="0760E4B0" w14:textId="6BEF8D63" w:rsidR="008558A0" w:rsidRPr="001B4CA2" w:rsidRDefault="008558A0" w:rsidP="008558A0">
      <w:pPr>
        <w:ind w:firstLine="708"/>
      </w:pPr>
      <w:r w:rsidRPr="001B4CA2">
        <w:t xml:space="preserve"> Pored toga postoje organizacijski problemi jer takvim osoba</w:t>
      </w:r>
      <w:r w:rsidR="00990BD1">
        <w:t>ma</w:t>
      </w:r>
      <w:r w:rsidRPr="001B4CA2">
        <w:t>, bilo da su okrivljenici, bilo da su migrant</w:t>
      </w:r>
      <w:r w:rsidR="00990BD1">
        <w:t xml:space="preserve">i </w:t>
      </w:r>
      <w:r w:rsidRPr="001B4CA2">
        <w:t xml:space="preserve">svjedoci, treba osigurati prevoditelje za primjerice, albanski, arapski, kurdski, farsi, pašto, </w:t>
      </w:r>
      <w:proofErr w:type="spellStart"/>
      <w:r w:rsidRPr="001B4CA2">
        <w:t>urdu</w:t>
      </w:r>
      <w:proofErr w:type="spellEnd"/>
      <w:r w:rsidRPr="001B4CA2">
        <w:t>, turski i dr. jezik</w:t>
      </w:r>
      <w:r w:rsidR="00FD08E9">
        <w:t xml:space="preserve">, </w:t>
      </w:r>
      <w:r w:rsidRPr="001B4CA2">
        <w:t>za koje jezike su tumači teško dostupni i nema ih mnogo na području Republike Hrvatske. Kako</w:t>
      </w:r>
      <w:r w:rsidR="00FD08E9">
        <w:t xml:space="preserve"> </w:t>
      </w:r>
      <w:r w:rsidRPr="001B4CA2">
        <w:t>je radi osiguranja dokaza potrebno predlagati dokazna ročišta sucu istrage jer je ispitivanje ovih svjedoka ključno za dokazivanje elementa koristoljublja, potrebno je i prisustvovati tim dokaznim ročištima, što zaht</w:t>
      </w:r>
      <w:r w:rsidR="00990BD1">
        <w:t>i</w:t>
      </w:r>
      <w:r w:rsidRPr="001B4CA2">
        <w:t xml:space="preserve">jeva dodatno angažiranje dežurnog državnog odvjetnika. </w:t>
      </w:r>
    </w:p>
    <w:p w14:paraId="0F652924" w14:textId="77777777" w:rsidR="005B2800" w:rsidRPr="001B4CA2" w:rsidRDefault="005B2800" w:rsidP="008558A0">
      <w:pPr>
        <w:ind w:firstLine="708"/>
      </w:pPr>
    </w:p>
    <w:p w14:paraId="002FFD25" w14:textId="4CD01133" w:rsidR="005B2800" w:rsidRDefault="008558A0" w:rsidP="008558A0">
      <w:pPr>
        <w:ind w:firstLine="708"/>
      </w:pPr>
      <w:r w:rsidRPr="001B4CA2">
        <w:t>Što se tiče kvalificiranog oblika kaznenog djela iz članka 326. stavka 2. KZ/11, kada okrivljenici, postupajući iz koristoljublja, omogućuju drugim osobama ne</w:t>
      </w:r>
      <w:r w:rsidR="00F47D60">
        <w:t>dopušten</w:t>
      </w:r>
      <w:r w:rsidRPr="001B4CA2">
        <w:t xml:space="preserve">o se kretati u Republici Hrvatskoj, a pri počinjenju kaznenog djela dovode u opasnost život i tijelo osoba i s njima postupaju na nečovječan i ponižavajući način, treba istaknuti da u takvim postupanjima okrivljenika ima elemenata nečovječnog i </w:t>
      </w:r>
      <w:r w:rsidRPr="001B4CA2">
        <w:lastRenderedPageBreak/>
        <w:t>ponižavajućeg postupanja u smislu članka 3. Konvencije za zaštitu ljudskih prava i temeljnih sloboda.</w:t>
      </w:r>
    </w:p>
    <w:p w14:paraId="6530A957" w14:textId="77777777" w:rsidR="00223ABD" w:rsidRPr="001B4CA2" w:rsidRDefault="00223ABD" w:rsidP="008558A0">
      <w:pPr>
        <w:ind w:firstLine="708"/>
      </w:pPr>
    </w:p>
    <w:p w14:paraId="358A538B" w14:textId="329B3486" w:rsidR="008558A0" w:rsidRPr="001B4CA2" w:rsidRDefault="008558A0" w:rsidP="008558A0">
      <w:pPr>
        <w:ind w:firstLine="708"/>
      </w:pPr>
      <w:r w:rsidRPr="001B4CA2">
        <w:t>Međutim, recentnom sudskom praksom usvojen je stav da kod ovog kvalificiranog oblika kaznenog djela opasnost mora biti konkretna, što je faktično pitanje svakog pojedinog slučaja, a sudska praksa</w:t>
      </w:r>
      <w:r w:rsidR="00FD08E9">
        <w:t xml:space="preserve"> </w:t>
      </w:r>
      <w:r w:rsidRPr="001B4CA2">
        <w:t xml:space="preserve">još nema neprijeporan i jedinstven stav o pojedinim ključnim pitanjima vezanim za ostvarenje subjektivnih i objektivnih obilježja ovog kaznenog djela pa dolazi do različitih odluka drugostupanjskih sudova.  </w:t>
      </w:r>
    </w:p>
    <w:p w14:paraId="7D640991" w14:textId="77777777" w:rsidR="005B2800" w:rsidRPr="001B4CA2" w:rsidRDefault="005B2800" w:rsidP="008558A0">
      <w:pPr>
        <w:ind w:firstLine="708"/>
      </w:pPr>
    </w:p>
    <w:p w14:paraId="16B3BB43" w14:textId="01CFF2EB" w:rsidR="008558A0" w:rsidRPr="001B4CA2" w:rsidRDefault="008558A0" w:rsidP="008558A0">
      <w:pPr>
        <w:ind w:firstLine="708"/>
      </w:pPr>
      <w:r w:rsidRPr="001B4CA2">
        <w:t>Kod ovog kaznenog djela pojavljuje se i problem dokazivanja da je djelo počinjeno iz koristoljublja jer pored negiranja od strane okrivljenika, i migranti, ispitani u svojstvu svjedoka, ne žele potvrditi da plaćaju organizaciju svojeg ilegalnog prijevoza.</w:t>
      </w:r>
    </w:p>
    <w:p w14:paraId="21A6E2EF" w14:textId="77777777" w:rsidR="005B2800" w:rsidRPr="001B4CA2" w:rsidRDefault="005B2800" w:rsidP="008558A0">
      <w:pPr>
        <w:ind w:firstLine="708"/>
      </w:pPr>
    </w:p>
    <w:p w14:paraId="0823C2EC" w14:textId="1CA18D2D" w:rsidR="008558A0" w:rsidRPr="001B4CA2" w:rsidRDefault="008558A0" w:rsidP="008558A0">
      <w:pPr>
        <w:ind w:firstLine="708"/>
      </w:pPr>
      <w:r w:rsidRPr="001B4CA2">
        <w:t xml:space="preserve">Kao i u prethodnim izvještajnim razdobljima, nije došlo do novih pojavnih oblika, odnosno načina počinjenja ovog kaznenog djela </w:t>
      </w:r>
      <w:r w:rsidR="00990BD1">
        <w:t>te se</w:t>
      </w:r>
      <w:r w:rsidRPr="001B4CA2">
        <w:t xml:space="preserve"> radi o situacijama kada okrivljenici, iz koristoljublja, svojim vozilima, koja nisu prostorno i tehnički adekvatna</w:t>
      </w:r>
      <w:r w:rsidR="00FD08E9">
        <w:t xml:space="preserve"> </w:t>
      </w:r>
      <w:r w:rsidRPr="001B4CA2">
        <w:t>za prijevoz većeg broja osoba, prevoze veći broj migranata i tako ugrožavaju život i tijelo osoba koje prevoze</w:t>
      </w:r>
      <w:r w:rsidR="00FD08E9">
        <w:t xml:space="preserve"> </w:t>
      </w:r>
      <w:r w:rsidRPr="001B4CA2">
        <w:t>pa se te osobe dovode u stanje višesatnog trpljenja i patnje, a uz to se vrijeđa i umanjuje njihovo dostojanstvo.</w:t>
      </w:r>
    </w:p>
    <w:p w14:paraId="7392BAB3" w14:textId="77777777" w:rsidR="005B2800" w:rsidRPr="001B4CA2" w:rsidRDefault="005B2800" w:rsidP="008558A0">
      <w:pPr>
        <w:ind w:firstLine="708"/>
      </w:pPr>
    </w:p>
    <w:p w14:paraId="5EF99972" w14:textId="12757EDA" w:rsidR="008558A0" w:rsidRPr="001B4CA2" w:rsidRDefault="008558A0" w:rsidP="008558A0">
      <w:pPr>
        <w:ind w:firstLine="708"/>
      </w:pPr>
      <w:r w:rsidRPr="001B4CA2">
        <w:t>U izvještajnom razdoblju doneseno je 545 odluka</w:t>
      </w:r>
      <w:r w:rsidR="00990BD1">
        <w:t>,</w:t>
      </w:r>
      <w:r w:rsidRPr="001B4CA2">
        <w:t xml:space="preserve"> od čega 518 (95,57</w:t>
      </w:r>
      <w:r w:rsidR="00990BD1">
        <w:t> </w:t>
      </w:r>
      <w:r w:rsidRPr="001B4CA2">
        <w:t>%) optuženja i 27 (4,43</w:t>
      </w:r>
      <w:r w:rsidR="00990BD1">
        <w:t> </w:t>
      </w:r>
      <w:r w:rsidRPr="001B4CA2">
        <w:t>%) odbačaja. Od 518 optuženja 387 (74,71</w:t>
      </w:r>
      <w:r w:rsidR="00990BD1">
        <w:t> </w:t>
      </w:r>
      <w:r w:rsidRPr="001B4CA2">
        <w:t xml:space="preserve">%) odnosi </w:t>
      </w:r>
      <w:r w:rsidR="00990BD1" w:rsidRPr="001B4CA2">
        <w:t xml:space="preserve">se </w:t>
      </w:r>
      <w:r w:rsidRPr="001B4CA2">
        <w:t>na kazneno djelo iz članka 326. stavka 1. KZ/11, a 131 (25,29</w:t>
      </w:r>
      <w:r w:rsidR="00990BD1">
        <w:t> </w:t>
      </w:r>
      <w:r w:rsidRPr="001B4CA2">
        <w:t>%) na kazneno djelo iz članka 326. st. 2. KZ/11</w:t>
      </w:r>
      <w:r w:rsidR="00990BD1">
        <w:t>,</w:t>
      </w:r>
      <w:r w:rsidRPr="001B4CA2">
        <w:t xml:space="preserve"> dok se od 27 donesenih rješenja o odbačaju kaznene prijave 20 (74,07</w:t>
      </w:r>
      <w:r w:rsidR="00990BD1">
        <w:t> </w:t>
      </w:r>
      <w:r w:rsidRPr="001B4CA2">
        <w:t>%) odnosi na kazneno djelo iz čl. 326. stavka 1. KZ, a 7 (25,93</w:t>
      </w:r>
      <w:r w:rsidR="00990BD1">
        <w:t> </w:t>
      </w:r>
      <w:r w:rsidRPr="001B4CA2">
        <w:t>%) na kazneno djelo iz članka 326. stavka 2. KZ</w:t>
      </w:r>
      <w:r w:rsidR="005B2800" w:rsidRPr="001B4CA2">
        <w:t>.</w:t>
      </w:r>
    </w:p>
    <w:p w14:paraId="355A88BD" w14:textId="77777777" w:rsidR="005B2800" w:rsidRPr="001B4CA2" w:rsidRDefault="005B2800" w:rsidP="008558A0">
      <w:pPr>
        <w:ind w:firstLine="708"/>
      </w:pPr>
    </w:p>
    <w:p w14:paraId="28808FB8" w14:textId="35298F9D" w:rsidR="008558A0" w:rsidRPr="001B4CA2" w:rsidRDefault="008558A0" w:rsidP="008558A0">
      <w:pPr>
        <w:ind w:firstLine="708"/>
      </w:pPr>
      <w:r w:rsidRPr="001B4CA2">
        <w:t xml:space="preserve"> Od ukupno 683 presude</w:t>
      </w:r>
      <w:r w:rsidR="00FD08E9">
        <w:t xml:space="preserve"> </w:t>
      </w:r>
      <w:r w:rsidRPr="001B4CA2">
        <w:t>672 (98,38</w:t>
      </w:r>
      <w:r w:rsidR="00990BD1">
        <w:t> </w:t>
      </w:r>
      <w:r w:rsidRPr="001B4CA2">
        <w:t>%) su osuđujuće, 6 (0,87</w:t>
      </w:r>
      <w:r w:rsidR="00990BD1">
        <w:t> </w:t>
      </w:r>
      <w:r w:rsidRPr="001B4CA2">
        <w:t>%) oslobađajućih i 5 (0,73</w:t>
      </w:r>
      <w:r w:rsidR="00990BD1">
        <w:t> </w:t>
      </w:r>
      <w:r w:rsidRPr="001B4CA2">
        <w:t xml:space="preserve">%) odbijajućih pa imajući u vidu da je u prošlogodišnjem izvještajnom razdoblju uspješnost u postupku, odnosno </w:t>
      </w:r>
      <w:proofErr w:type="spellStart"/>
      <w:r w:rsidRPr="001B4CA2">
        <w:t>ishodovanju</w:t>
      </w:r>
      <w:proofErr w:type="spellEnd"/>
      <w:r w:rsidRPr="001B4CA2">
        <w:t xml:space="preserve"> osuđujućih presuda, iznosila 98,8</w:t>
      </w:r>
      <w:r w:rsidR="00990BD1">
        <w:t> </w:t>
      </w:r>
      <w:r w:rsidRPr="001B4CA2">
        <w:t>%, tada se može zaključiti da su nadležna državna odvjetništava zadržali uspješnost u postupku kada se radi o ovom kaznenom djelu.</w:t>
      </w:r>
    </w:p>
    <w:p w14:paraId="7520CCD8" w14:textId="77777777" w:rsidR="00D3013F" w:rsidRPr="001B4CA2" w:rsidRDefault="00D3013F" w:rsidP="006244B7"/>
    <w:p w14:paraId="6F5BDF55" w14:textId="264E6125" w:rsidR="00BB4D48" w:rsidRPr="001B4CA2" w:rsidRDefault="00BB4D48" w:rsidP="00D8449C">
      <w:pPr>
        <w:pStyle w:val="Naslov3"/>
        <w:tabs>
          <w:tab w:val="left" w:pos="851"/>
        </w:tabs>
        <w:ind w:left="142" w:firstLine="0"/>
        <w:rPr>
          <w:rFonts w:ascii="Arial" w:hAnsi="Arial" w:cs="Arial"/>
        </w:rPr>
      </w:pPr>
      <w:bookmarkStart w:id="144" w:name="_Toc133394374"/>
      <w:r w:rsidRPr="001B4CA2">
        <w:rPr>
          <w:rFonts w:ascii="Arial" w:hAnsi="Arial" w:cs="Arial"/>
        </w:rPr>
        <w:t>Kaznena djela</w:t>
      </w:r>
      <w:r w:rsidR="00CE234E" w:rsidRPr="001B4CA2">
        <w:rPr>
          <w:rFonts w:ascii="Arial" w:hAnsi="Arial" w:cs="Arial"/>
        </w:rPr>
        <w:t xml:space="preserve"> </w:t>
      </w:r>
      <w:r w:rsidR="007C2573" w:rsidRPr="001B4CA2">
        <w:rPr>
          <w:rFonts w:ascii="Arial" w:hAnsi="Arial" w:cs="Arial"/>
        </w:rPr>
        <w:t>vezana za zlouporabu droga</w:t>
      </w:r>
      <w:bookmarkEnd w:id="144"/>
    </w:p>
    <w:p w14:paraId="02DE469F" w14:textId="77777777" w:rsidR="0089703A" w:rsidRPr="001B4CA2" w:rsidRDefault="0089703A" w:rsidP="0089703A"/>
    <w:p w14:paraId="0EE0C7EB" w14:textId="4F9C1CDB" w:rsidR="00F861FF" w:rsidRPr="001B4CA2" w:rsidRDefault="00280ADB" w:rsidP="00F861FF">
      <w:pPr>
        <w:widowControl w:val="0"/>
        <w:rPr>
          <w:i/>
          <w:snapToGrid w:val="0"/>
        </w:rPr>
      </w:pPr>
      <w:r>
        <w:rPr>
          <w:i/>
          <w:snapToGrid w:val="0"/>
        </w:rPr>
        <w:t xml:space="preserve">           </w:t>
      </w:r>
      <w:r w:rsidR="00F861FF" w:rsidRPr="001B4CA2">
        <w:rPr>
          <w:i/>
          <w:snapToGrid w:val="0"/>
        </w:rPr>
        <w:t xml:space="preserve">Struktura prijavljenih počinitelja kaznenih djela vezano za zlouporabu </w:t>
      </w:r>
    </w:p>
    <w:p w14:paraId="4F771612" w14:textId="7251E4F0" w:rsidR="00F861FF" w:rsidRPr="001B4CA2" w:rsidRDefault="00280ADB" w:rsidP="00F861FF">
      <w:pPr>
        <w:widowControl w:val="0"/>
        <w:rPr>
          <w:i/>
          <w:snapToGrid w:val="0"/>
        </w:rPr>
      </w:pPr>
      <w:r>
        <w:rPr>
          <w:i/>
          <w:snapToGrid w:val="0"/>
        </w:rPr>
        <w:t xml:space="preserve">          </w:t>
      </w:r>
      <w:r w:rsidR="00F861FF" w:rsidRPr="001B4CA2">
        <w:rPr>
          <w:i/>
          <w:snapToGrid w:val="0"/>
        </w:rPr>
        <w:t>droga</w:t>
      </w:r>
    </w:p>
    <w:tbl>
      <w:tblPr>
        <w:tblW w:w="7717" w:type="dxa"/>
        <w:tblInd w:w="674" w:type="dxa"/>
        <w:tblLook w:val="04A0" w:firstRow="1" w:lastRow="0" w:firstColumn="1" w:lastColumn="0" w:noHBand="0" w:noVBand="1"/>
      </w:tblPr>
      <w:tblGrid>
        <w:gridCol w:w="1716"/>
        <w:gridCol w:w="1701"/>
        <w:gridCol w:w="1280"/>
        <w:gridCol w:w="1700"/>
        <w:gridCol w:w="1320"/>
      </w:tblGrid>
      <w:tr w:rsidR="00F861FF" w:rsidRPr="001B4CA2" w14:paraId="1342E2AE" w14:textId="77777777" w:rsidTr="00280ADB">
        <w:trPr>
          <w:trHeight w:val="915"/>
        </w:trPr>
        <w:tc>
          <w:tcPr>
            <w:tcW w:w="1716" w:type="dxa"/>
            <w:tcBorders>
              <w:top w:val="single" w:sz="8" w:space="0" w:color="auto"/>
              <w:left w:val="single" w:sz="8" w:space="0" w:color="auto"/>
              <w:bottom w:val="single" w:sz="8" w:space="0" w:color="auto"/>
              <w:right w:val="single" w:sz="12" w:space="0" w:color="auto"/>
            </w:tcBorders>
            <w:shd w:val="clear" w:color="000000" w:fill="99CCFF"/>
            <w:vAlign w:val="center"/>
            <w:hideMark/>
          </w:tcPr>
          <w:p w14:paraId="2696A188" w14:textId="77777777" w:rsidR="00F861FF" w:rsidRPr="001B4CA2" w:rsidRDefault="00F861FF" w:rsidP="00CE2706">
            <w:pPr>
              <w:jc w:val="center"/>
              <w:rPr>
                <w:b/>
                <w:bCs/>
                <w:color w:val="000000"/>
                <w:sz w:val="18"/>
                <w:szCs w:val="18"/>
              </w:rPr>
            </w:pPr>
            <w:r w:rsidRPr="001B4CA2">
              <w:rPr>
                <w:b/>
                <w:bCs/>
                <w:color w:val="000000"/>
                <w:sz w:val="18"/>
                <w:szCs w:val="18"/>
              </w:rPr>
              <w:t>Godina</w:t>
            </w:r>
          </w:p>
        </w:tc>
        <w:tc>
          <w:tcPr>
            <w:tcW w:w="1701" w:type="dxa"/>
            <w:tcBorders>
              <w:top w:val="single" w:sz="8" w:space="0" w:color="auto"/>
              <w:left w:val="nil"/>
              <w:bottom w:val="single" w:sz="8" w:space="0" w:color="auto"/>
              <w:right w:val="single" w:sz="8" w:space="0" w:color="auto"/>
            </w:tcBorders>
            <w:shd w:val="clear" w:color="000000" w:fill="99CCFF"/>
            <w:vAlign w:val="center"/>
            <w:hideMark/>
          </w:tcPr>
          <w:p w14:paraId="7BBFB4F2" w14:textId="77777777" w:rsidR="00F861FF" w:rsidRPr="001B4CA2" w:rsidRDefault="00F861FF" w:rsidP="00CE2706">
            <w:pPr>
              <w:jc w:val="center"/>
              <w:rPr>
                <w:b/>
                <w:bCs/>
                <w:color w:val="000000"/>
                <w:sz w:val="18"/>
                <w:szCs w:val="18"/>
              </w:rPr>
            </w:pPr>
            <w:r w:rsidRPr="001B4CA2">
              <w:rPr>
                <w:b/>
                <w:bCs/>
                <w:color w:val="000000"/>
                <w:sz w:val="18"/>
                <w:szCs w:val="18"/>
              </w:rPr>
              <w:t>Odrasli</w:t>
            </w:r>
          </w:p>
        </w:tc>
        <w:tc>
          <w:tcPr>
            <w:tcW w:w="1280" w:type="dxa"/>
            <w:tcBorders>
              <w:top w:val="single" w:sz="8" w:space="0" w:color="auto"/>
              <w:left w:val="nil"/>
              <w:bottom w:val="single" w:sz="8" w:space="0" w:color="auto"/>
              <w:right w:val="single" w:sz="8" w:space="0" w:color="auto"/>
            </w:tcBorders>
            <w:shd w:val="clear" w:color="000000" w:fill="99CCFF"/>
            <w:vAlign w:val="center"/>
            <w:hideMark/>
          </w:tcPr>
          <w:p w14:paraId="048DA041" w14:textId="77777777" w:rsidR="00F861FF" w:rsidRPr="001B4CA2" w:rsidRDefault="00F861FF" w:rsidP="00CE2706">
            <w:pPr>
              <w:jc w:val="center"/>
              <w:rPr>
                <w:b/>
                <w:bCs/>
                <w:color w:val="000000"/>
                <w:sz w:val="18"/>
                <w:szCs w:val="18"/>
              </w:rPr>
            </w:pPr>
            <w:r w:rsidRPr="001B4CA2">
              <w:rPr>
                <w:b/>
                <w:bCs/>
                <w:color w:val="000000"/>
                <w:sz w:val="18"/>
                <w:szCs w:val="18"/>
              </w:rPr>
              <w:t>Mlađe punoljetne osobe</w:t>
            </w:r>
          </w:p>
        </w:tc>
        <w:tc>
          <w:tcPr>
            <w:tcW w:w="1700" w:type="dxa"/>
            <w:tcBorders>
              <w:top w:val="single" w:sz="8" w:space="0" w:color="auto"/>
              <w:left w:val="nil"/>
              <w:bottom w:val="single" w:sz="8" w:space="0" w:color="auto"/>
              <w:right w:val="single" w:sz="12" w:space="0" w:color="auto"/>
            </w:tcBorders>
            <w:shd w:val="clear" w:color="000000" w:fill="99CCFF"/>
            <w:vAlign w:val="center"/>
            <w:hideMark/>
          </w:tcPr>
          <w:p w14:paraId="4849864D" w14:textId="77777777" w:rsidR="00F861FF" w:rsidRPr="001B4CA2" w:rsidRDefault="00F861FF" w:rsidP="00CE2706">
            <w:pPr>
              <w:jc w:val="center"/>
              <w:rPr>
                <w:b/>
                <w:bCs/>
                <w:color w:val="000000"/>
                <w:sz w:val="18"/>
                <w:szCs w:val="18"/>
              </w:rPr>
            </w:pPr>
            <w:r w:rsidRPr="001B4CA2">
              <w:rPr>
                <w:b/>
                <w:bCs/>
                <w:color w:val="000000"/>
                <w:sz w:val="18"/>
                <w:szCs w:val="18"/>
              </w:rPr>
              <w:t>Maloljetnici</w:t>
            </w:r>
          </w:p>
        </w:tc>
        <w:tc>
          <w:tcPr>
            <w:tcW w:w="1320" w:type="dxa"/>
            <w:tcBorders>
              <w:top w:val="single" w:sz="8" w:space="0" w:color="auto"/>
              <w:left w:val="nil"/>
              <w:bottom w:val="single" w:sz="8" w:space="0" w:color="auto"/>
              <w:right w:val="single" w:sz="8" w:space="0" w:color="auto"/>
            </w:tcBorders>
            <w:shd w:val="clear" w:color="000000" w:fill="99CCFF"/>
            <w:vAlign w:val="center"/>
            <w:hideMark/>
          </w:tcPr>
          <w:p w14:paraId="47B203A6" w14:textId="77777777" w:rsidR="00F861FF" w:rsidRPr="001B4CA2" w:rsidRDefault="00F861FF" w:rsidP="00CE2706">
            <w:pPr>
              <w:jc w:val="center"/>
              <w:rPr>
                <w:b/>
                <w:bCs/>
                <w:color w:val="000000"/>
                <w:sz w:val="18"/>
                <w:szCs w:val="18"/>
              </w:rPr>
            </w:pPr>
            <w:r w:rsidRPr="001B4CA2">
              <w:rPr>
                <w:b/>
                <w:bCs/>
                <w:color w:val="000000"/>
                <w:sz w:val="18"/>
                <w:szCs w:val="18"/>
              </w:rPr>
              <w:t>Ukupno</w:t>
            </w:r>
          </w:p>
        </w:tc>
      </w:tr>
      <w:tr w:rsidR="00F861FF" w:rsidRPr="001B4CA2" w14:paraId="7C782900" w14:textId="77777777" w:rsidTr="00280ADB">
        <w:trPr>
          <w:trHeight w:val="315"/>
        </w:trPr>
        <w:tc>
          <w:tcPr>
            <w:tcW w:w="1716" w:type="dxa"/>
            <w:tcBorders>
              <w:top w:val="nil"/>
              <w:left w:val="single" w:sz="8" w:space="0" w:color="auto"/>
              <w:bottom w:val="single" w:sz="8" w:space="0" w:color="auto"/>
              <w:right w:val="single" w:sz="12" w:space="0" w:color="auto"/>
            </w:tcBorders>
            <w:shd w:val="clear" w:color="auto" w:fill="auto"/>
            <w:vAlign w:val="center"/>
            <w:hideMark/>
          </w:tcPr>
          <w:p w14:paraId="07FEEBDB" w14:textId="77777777" w:rsidR="00F861FF" w:rsidRPr="001B4CA2" w:rsidRDefault="00F861FF" w:rsidP="00CE2706">
            <w:pPr>
              <w:jc w:val="center"/>
              <w:rPr>
                <w:b/>
                <w:bCs/>
                <w:color w:val="000000"/>
                <w:sz w:val="18"/>
                <w:szCs w:val="18"/>
              </w:rPr>
            </w:pPr>
            <w:r w:rsidRPr="001B4CA2">
              <w:rPr>
                <w:b/>
                <w:bCs/>
                <w:color w:val="000000"/>
                <w:sz w:val="18"/>
                <w:szCs w:val="18"/>
              </w:rPr>
              <w:t>2018.</w:t>
            </w:r>
          </w:p>
        </w:tc>
        <w:tc>
          <w:tcPr>
            <w:tcW w:w="1701" w:type="dxa"/>
            <w:tcBorders>
              <w:top w:val="nil"/>
              <w:left w:val="nil"/>
              <w:bottom w:val="single" w:sz="8" w:space="0" w:color="auto"/>
              <w:right w:val="single" w:sz="8" w:space="0" w:color="auto"/>
            </w:tcBorders>
            <w:shd w:val="clear" w:color="auto" w:fill="auto"/>
            <w:vAlign w:val="center"/>
            <w:hideMark/>
          </w:tcPr>
          <w:p w14:paraId="59AADE57" w14:textId="77777777" w:rsidR="00F861FF" w:rsidRPr="001B4CA2" w:rsidRDefault="00F861FF" w:rsidP="00CE2706">
            <w:pPr>
              <w:jc w:val="center"/>
              <w:rPr>
                <w:color w:val="000000"/>
                <w:sz w:val="18"/>
                <w:szCs w:val="18"/>
              </w:rPr>
            </w:pPr>
            <w:r w:rsidRPr="001B4CA2">
              <w:rPr>
                <w:color w:val="000000"/>
                <w:sz w:val="18"/>
                <w:szCs w:val="18"/>
              </w:rPr>
              <w:t>898</w:t>
            </w:r>
          </w:p>
        </w:tc>
        <w:tc>
          <w:tcPr>
            <w:tcW w:w="1280" w:type="dxa"/>
            <w:tcBorders>
              <w:top w:val="nil"/>
              <w:left w:val="nil"/>
              <w:bottom w:val="single" w:sz="8" w:space="0" w:color="auto"/>
              <w:right w:val="single" w:sz="8" w:space="0" w:color="auto"/>
            </w:tcBorders>
            <w:shd w:val="clear" w:color="auto" w:fill="auto"/>
            <w:vAlign w:val="center"/>
            <w:hideMark/>
          </w:tcPr>
          <w:p w14:paraId="0B2088C6" w14:textId="77777777" w:rsidR="00F861FF" w:rsidRPr="001B4CA2" w:rsidRDefault="00F861FF" w:rsidP="00CE2706">
            <w:pPr>
              <w:jc w:val="center"/>
              <w:rPr>
                <w:color w:val="000000"/>
                <w:sz w:val="18"/>
                <w:szCs w:val="18"/>
              </w:rPr>
            </w:pPr>
            <w:r w:rsidRPr="001B4CA2">
              <w:rPr>
                <w:color w:val="000000"/>
                <w:sz w:val="18"/>
                <w:szCs w:val="18"/>
              </w:rPr>
              <w:t>196</w:t>
            </w:r>
          </w:p>
        </w:tc>
        <w:tc>
          <w:tcPr>
            <w:tcW w:w="1700" w:type="dxa"/>
            <w:tcBorders>
              <w:top w:val="nil"/>
              <w:left w:val="nil"/>
              <w:bottom w:val="single" w:sz="8" w:space="0" w:color="auto"/>
              <w:right w:val="single" w:sz="12" w:space="0" w:color="auto"/>
            </w:tcBorders>
            <w:shd w:val="clear" w:color="auto" w:fill="auto"/>
            <w:vAlign w:val="center"/>
            <w:hideMark/>
          </w:tcPr>
          <w:p w14:paraId="7A2BCD3F" w14:textId="77777777" w:rsidR="00F861FF" w:rsidRPr="001B4CA2" w:rsidRDefault="00F861FF" w:rsidP="00CE2706">
            <w:pPr>
              <w:jc w:val="center"/>
              <w:rPr>
                <w:color w:val="000000"/>
                <w:sz w:val="18"/>
                <w:szCs w:val="18"/>
              </w:rPr>
            </w:pPr>
            <w:r w:rsidRPr="001B4CA2">
              <w:rPr>
                <w:color w:val="000000"/>
                <w:sz w:val="18"/>
                <w:szCs w:val="18"/>
              </w:rPr>
              <w:t>73</w:t>
            </w:r>
          </w:p>
        </w:tc>
        <w:tc>
          <w:tcPr>
            <w:tcW w:w="1320" w:type="dxa"/>
            <w:tcBorders>
              <w:top w:val="nil"/>
              <w:left w:val="nil"/>
              <w:bottom w:val="single" w:sz="8" w:space="0" w:color="auto"/>
              <w:right w:val="single" w:sz="8" w:space="0" w:color="auto"/>
            </w:tcBorders>
            <w:shd w:val="clear" w:color="auto" w:fill="auto"/>
            <w:vAlign w:val="center"/>
            <w:hideMark/>
          </w:tcPr>
          <w:p w14:paraId="7D6DE85D" w14:textId="77777777" w:rsidR="00F861FF" w:rsidRPr="001B4CA2" w:rsidRDefault="00F861FF" w:rsidP="00CE2706">
            <w:pPr>
              <w:jc w:val="center"/>
              <w:rPr>
                <w:b/>
                <w:bCs/>
                <w:color w:val="000000"/>
                <w:sz w:val="18"/>
                <w:szCs w:val="18"/>
              </w:rPr>
            </w:pPr>
            <w:r w:rsidRPr="001B4CA2">
              <w:rPr>
                <w:b/>
                <w:bCs/>
                <w:color w:val="000000"/>
                <w:sz w:val="18"/>
                <w:szCs w:val="18"/>
              </w:rPr>
              <w:t>1.167</w:t>
            </w:r>
          </w:p>
        </w:tc>
      </w:tr>
      <w:tr w:rsidR="00F861FF" w:rsidRPr="001B4CA2" w14:paraId="5A500B56" w14:textId="77777777" w:rsidTr="00280ADB">
        <w:trPr>
          <w:trHeight w:val="315"/>
        </w:trPr>
        <w:tc>
          <w:tcPr>
            <w:tcW w:w="1716" w:type="dxa"/>
            <w:tcBorders>
              <w:top w:val="nil"/>
              <w:left w:val="single" w:sz="8" w:space="0" w:color="auto"/>
              <w:bottom w:val="single" w:sz="8" w:space="0" w:color="auto"/>
              <w:right w:val="single" w:sz="12" w:space="0" w:color="auto"/>
            </w:tcBorders>
            <w:shd w:val="clear" w:color="auto" w:fill="auto"/>
            <w:vAlign w:val="center"/>
            <w:hideMark/>
          </w:tcPr>
          <w:p w14:paraId="28C9D086" w14:textId="77777777" w:rsidR="00F861FF" w:rsidRPr="001B4CA2" w:rsidRDefault="00F861FF" w:rsidP="00CE2706">
            <w:pPr>
              <w:jc w:val="center"/>
              <w:rPr>
                <w:b/>
                <w:bCs/>
                <w:color w:val="000000"/>
                <w:sz w:val="18"/>
                <w:szCs w:val="18"/>
              </w:rPr>
            </w:pPr>
            <w:r w:rsidRPr="001B4CA2">
              <w:rPr>
                <w:b/>
                <w:bCs/>
                <w:color w:val="000000"/>
                <w:sz w:val="18"/>
                <w:szCs w:val="18"/>
              </w:rPr>
              <w:t>2019.</w:t>
            </w:r>
          </w:p>
        </w:tc>
        <w:tc>
          <w:tcPr>
            <w:tcW w:w="1701" w:type="dxa"/>
            <w:tcBorders>
              <w:top w:val="nil"/>
              <w:left w:val="nil"/>
              <w:bottom w:val="single" w:sz="8" w:space="0" w:color="auto"/>
              <w:right w:val="single" w:sz="8" w:space="0" w:color="auto"/>
            </w:tcBorders>
            <w:shd w:val="clear" w:color="auto" w:fill="auto"/>
            <w:vAlign w:val="center"/>
            <w:hideMark/>
          </w:tcPr>
          <w:p w14:paraId="61517154" w14:textId="77777777" w:rsidR="00F861FF" w:rsidRPr="001B4CA2" w:rsidRDefault="00F861FF" w:rsidP="00CE2706">
            <w:pPr>
              <w:jc w:val="center"/>
              <w:rPr>
                <w:color w:val="000000"/>
                <w:sz w:val="18"/>
                <w:szCs w:val="18"/>
              </w:rPr>
            </w:pPr>
            <w:r w:rsidRPr="001B4CA2">
              <w:rPr>
                <w:color w:val="000000"/>
                <w:sz w:val="18"/>
                <w:szCs w:val="18"/>
              </w:rPr>
              <w:t>975</w:t>
            </w:r>
          </w:p>
        </w:tc>
        <w:tc>
          <w:tcPr>
            <w:tcW w:w="1280" w:type="dxa"/>
            <w:tcBorders>
              <w:top w:val="nil"/>
              <w:left w:val="nil"/>
              <w:bottom w:val="single" w:sz="8" w:space="0" w:color="auto"/>
              <w:right w:val="single" w:sz="8" w:space="0" w:color="auto"/>
            </w:tcBorders>
            <w:shd w:val="clear" w:color="auto" w:fill="auto"/>
            <w:vAlign w:val="center"/>
            <w:hideMark/>
          </w:tcPr>
          <w:p w14:paraId="0C759CC1" w14:textId="77777777" w:rsidR="00F861FF" w:rsidRPr="001B4CA2" w:rsidRDefault="00F861FF" w:rsidP="00CE2706">
            <w:pPr>
              <w:jc w:val="center"/>
              <w:rPr>
                <w:color w:val="000000"/>
                <w:sz w:val="18"/>
                <w:szCs w:val="18"/>
              </w:rPr>
            </w:pPr>
            <w:r w:rsidRPr="001B4CA2">
              <w:rPr>
                <w:color w:val="000000"/>
                <w:sz w:val="18"/>
                <w:szCs w:val="18"/>
              </w:rPr>
              <w:t>211</w:t>
            </w:r>
          </w:p>
        </w:tc>
        <w:tc>
          <w:tcPr>
            <w:tcW w:w="1700" w:type="dxa"/>
            <w:tcBorders>
              <w:top w:val="nil"/>
              <w:left w:val="nil"/>
              <w:bottom w:val="single" w:sz="8" w:space="0" w:color="auto"/>
              <w:right w:val="single" w:sz="12" w:space="0" w:color="auto"/>
            </w:tcBorders>
            <w:shd w:val="clear" w:color="auto" w:fill="auto"/>
            <w:vAlign w:val="center"/>
            <w:hideMark/>
          </w:tcPr>
          <w:p w14:paraId="170B478C" w14:textId="77777777" w:rsidR="00F861FF" w:rsidRPr="001B4CA2" w:rsidRDefault="00F861FF" w:rsidP="00CE2706">
            <w:pPr>
              <w:jc w:val="center"/>
              <w:rPr>
                <w:color w:val="000000"/>
                <w:sz w:val="18"/>
                <w:szCs w:val="18"/>
              </w:rPr>
            </w:pPr>
            <w:r w:rsidRPr="001B4CA2">
              <w:rPr>
                <w:color w:val="000000"/>
                <w:sz w:val="18"/>
                <w:szCs w:val="18"/>
              </w:rPr>
              <w:t>86</w:t>
            </w:r>
          </w:p>
        </w:tc>
        <w:tc>
          <w:tcPr>
            <w:tcW w:w="1320" w:type="dxa"/>
            <w:tcBorders>
              <w:top w:val="nil"/>
              <w:left w:val="nil"/>
              <w:bottom w:val="single" w:sz="8" w:space="0" w:color="auto"/>
              <w:right w:val="single" w:sz="8" w:space="0" w:color="auto"/>
            </w:tcBorders>
            <w:shd w:val="clear" w:color="auto" w:fill="auto"/>
            <w:vAlign w:val="center"/>
            <w:hideMark/>
          </w:tcPr>
          <w:p w14:paraId="26C47883" w14:textId="77777777" w:rsidR="00F861FF" w:rsidRPr="001B4CA2" w:rsidRDefault="00F861FF" w:rsidP="00CE2706">
            <w:pPr>
              <w:jc w:val="center"/>
              <w:rPr>
                <w:b/>
                <w:bCs/>
                <w:color w:val="000000"/>
                <w:sz w:val="18"/>
                <w:szCs w:val="18"/>
              </w:rPr>
            </w:pPr>
            <w:r w:rsidRPr="001B4CA2">
              <w:rPr>
                <w:b/>
                <w:bCs/>
                <w:color w:val="000000"/>
                <w:sz w:val="18"/>
                <w:szCs w:val="18"/>
              </w:rPr>
              <w:t>1.272</w:t>
            </w:r>
          </w:p>
        </w:tc>
      </w:tr>
      <w:tr w:rsidR="00F861FF" w:rsidRPr="001B4CA2" w14:paraId="60D61D2D" w14:textId="77777777" w:rsidTr="00280ADB">
        <w:trPr>
          <w:trHeight w:val="315"/>
        </w:trPr>
        <w:tc>
          <w:tcPr>
            <w:tcW w:w="1716" w:type="dxa"/>
            <w:tcBorders>
              <w:top w:val="nil"/>
              <w:left w:val="single" w:sz="8" w:space="0" w:color="auto"/>
              <w:bottom w:val="single" w:sz="8" w:space="0" w:color="auto"/>
              <w:right w:val="single" w:sz="12" w:space="0" w:color="auto"/>
            </w:tcBorders>
            <w:shd w:val="clear" w:color="auto" w:fill="auto"/>
            <w:vAlign w:val="center"/>
            <w:hideMark/>
          </w:tcPr>
          <w:p w14:paraId="4BCFC299" w14:textId="77777777" w:rsidR="00F861FF" w:rsidRPr="001B4CA2" w:rsidRDefault="00F861FF" w:rsidP="00CE2706">
            <w:pPr>
              <w:jc w:val="center"/>
              <w:rPr>
                <w:b/>
                <w:bCs/>
                <w:color w:val="000000"/>
                <w:sz w:val="18"/>
                <w:szCs w:val="18"/>
              </w:rPr>
            </w:pPr>
            <w:r w:rsidRPr="001B4CA2">
              <w:rPr>
                <w:b/>
                <w:bCs/>
                <w:color w:val="000000"/>
                <w:sz w:val="18"/>
                <w:szCs w:val="18"/>
              </w:rPr>
              <w:t>2020.</w:t>
            </w:r>
          </w:p>
        </w:tc>
        <w:tc>
          <w:tcPr>
            <w:tcW w:w="1701" w:type="dxa"/>
            <w:tcBorders>
              <w:top w:val="nil"/>
              <w:left w:val="nil"/>
              <w:bottom w:val="single" w:sz="8" w:space="0" w:color="auto"/>
              <w:right w:val="single" w:sz="8" w:space="0" w:color="auto"/>
            </w:tcBorders>
            <w:shd w:val="clear" w:color="auto" w:fill="auto"/>
            <w:vAlign w:val="center"/>
            <w:hideMark/>
          </w:tcPr>
          <w:p w14:paraId="7C69580C" w14:textId="77777777" w:rsidR="00F861FF" w:rsidRPr="001B4CA2" w:rsidRDefault="00F861FF" w:rsidP="00CE2706">
            <w:pPr>
              <w:jc w:val="center"/>
              <w:rPr>
                <w:color w:val="000000"/>
                <w:sz w:val="18"/>
                <w:szCs w:val="18"/>
              </w:rPr>
            </w:pPr>
            <w:r w:rsidRPr="001B4CA2">
              <w:rPr>
                <w:color w:val="000000"/>
                <w:sz w:val="18"/>
                <w:szCs w:val="18"/>
              </w:rPr>
              <w:t>1.064</w:t>
            </w:r>
          </w:p>
        </w:tc>
        <w:tc>
          <w:tcPr>
            <w:tcW w:w="1280" w:type="dxa"/>
            <w:tcBorders>
              <w:top w:val="nil"/>
              <w:left w:val="nil"/>
              <w:bottom w:val="single" w:sz="8" w:space="0" w:color="auto"/>
              <w:right w:val="single" w:sz="8" w:space="0" w:color="auto"/>
            </w:tcBorders>
            <w:shd w:val="clear" w:color="auto" w:fill="auto"/>
            <w:vAlign w:val="center"/>
            <w:hideMark/>
          </w:tcPr>
          <w:p w14:paraId="7063B6D9" w14:textId="77777777" w:rsidR="00F861FF" w:rsidRPr="001B4CA2" w:rsidRDefault="00F861FF" w:rsidP="00CE2706">
            <w:pPr>
              <w:jc w:val="center"/>
              <w:rPr>
                <w:color w:val="000000"/>
                <w:sz w:val="18"/>
                <w:szCs w:val="18"/>
              </w:rPr>
            </w:pPr>
            <w:r w:rsidRPr="001B4CA2">
              <w:rPr>
                <w:color w:val="000000"/>
                <w:sz w:val="18"/>
                <w:szCs w:val="18"/>
              </w:rPr>
              <w:t>219</w:t>
            </w:r>
          </w:p>
        </w:tc>
        <w:tc>
          <w:tcPr>
            <w:tcW w:w="1700" w:type="dxa"/>
            <w:tcBorders>
              <w:top w:val="nil"/>
              <w:left w:val="nil"/>
              <w:bottom w:val="single" w:sz="8" w:space="0" w:color="auto"/>
              <w:right w:val="single" w:sz="12" w:space="0" w:color="auto"/>
            </w:tcBorders>
            <w:shd w:val="clear" w:color="auto" w:fill="auto"/>
            <w:vAlign w:val="center"/>
            <w:hideMark/>
          </w:tcPr>
          <w:p w14:paraId="3C6A91A7" w14:textId="77777777" w:rsidR="00F861FF" w:rsidRPr="001B4CA2" w:rsidRDefault="00F861FF" w:rsidP="00CE2706">
            <w:pPr>
              <w:jc w:val="center"/>
              <w:rPr>
                <w:color w:val="000000"/>
                <w:sz w:val="18"/>
                <w:szCs w:val="18"/>
              </w:rPr>
            </w:pPr>
            <w:r w:rsidRPr="001B4CA2">
              <w:rPr>
                <w:color w:val="000000"/>
                <w:sz w:val="18"/>
                <w:szCs w:val="18"/>
              </w:rPr>
              <w:t>46</w:t>
            </w:r>
          </w:p>
        </w:tc>
        <w:tc>
          <w:tcPr>
            <w:tcW w:w="1320" w:type="dxa"/>
            <w:tcBorders>
              <w:top w:val="nil"/>
              <w:left w:val="nil"/>
              <w:bottom w:val="single" w:sz="8" w:space="0" w:color="auto"/>
              <w:right w:val="single" w:sz="8" w:space="0" w:color="auto"/>
            </w:tcBorders>
            <w:shd w:val="clear" w:color="auto" w:fill="auto"/>
            <w:vAlign w:val="center"/>
            <w:hideMark/>
          </w:tcPr>
          <w:p w14:paraId="5F628005" w14:textId="77777777" w:rsidR="00F861FF" w:rsidRPr="001B4CA2" w:rsidRDefault="00F861FF" w:rsidP="00CE2706">
            <w:pPr>
              <w:jc w:val="center"/>
              <w:rPr>
                <w:b/>
                <w:bCs/>
                <w:color w:val="000000"/>
                <w:sz w:val="18"/>
                <w:szCs w:val="18"/>
              </w:rPr>
            </w:pPr>
            <w:r w:rsidRPr="001B4CA2">
              <w:rPr>
                <w:b/>
                <w:bCs/>
                <w:color w:val="000000"/>
                <w:sz w:val="18"/>
                <w:szCs w:val="18"/>
              </w:rPr>
              <w:t>1.329</w:t>
            </w:r>
          </w:p>
        </w:tc>
      </w:tr>
      <w:tr w:rsidR="00F861FF" w:rsidRPr="001B4CA2" w14:paraId="62AB50E9" w14:textId="77777777" w:rsidTr="00280ADB">
        <w:trPr>
          <w:trHeight w:val="315"/>
        </w:trPr>
        <w:tc>
          <w:tcPr>
            <w:tcW w:w="1716" w:type="dxa"/>
            <w:tcBorders>
              <w:top w:val="nil"/>
              <w:left w:val="single" w:sz="8" w:space="0" w:color="auto"/>
              <w:bottom w:val="single" w:sz="8" w:space="0" w:color="auto"/>
              <w:right w:val="single" w:sz="12" w:space="0" w:color="auto"/>
            </w:tcBorders>
            <w:shd w:val="clear" w:color="auto" w:fill="auto"/>
            <w:vAlign w:val="center"/>
            <w:hideMark/>
          </w:tcPr>
          <w:p w14:paraId="112A2DA1" w14:textId="77777777" w:rsidR="00F861FF" w:rsidRPr="001B4CA2" w:rsidRDefault="00F861FF" w:rsidP="00CE2706">
            <w:pPr>
              <w:jc w:val="center"/>
              <w:rPr>
                <w:b/>
                <w:bCs/>
                <w:color w:val="000000"/>
                <w:sz w:val="18"/>
                <w:szCs w:val="18"/>
              </w:rPr>
            </w:pPr>
            <w:r w:rsidRPr="001B4CA2">
              <w:rPr>
                <w:b/>
                <w:bCs/>
                <w:color w:val="000000"/>
                <w:sz w:val="18"/>
                <w:szCs w:val="18"/>
              </w:rPr>
              <w:t>2021.</w:t>
            </w:r>
          </w:p>
        </w:tc>
        <w:tc>
          <w:tcPr>
            <w:tcW w:w="1701" w:type="dxa"/>
            <w:tcBorders>
              <w:top w:val="nil"/>
              <w:left w:val="nil"/>
              <w:bottom w:val="single" w:sz="8" w:space="0" w:color="auto"/>
              <w:right w:val="single" w:sz="8" w:space="0" w:color="auto"/>
            </w:tcBorders>
            <w:shd w:val="clear" w:color="auto" w:fill="auto"/>
            <w:vAlign w:val="center"/>
            <w:hideMark/>
          </w:tcPr>
          <w:p w14:paraId="1A252AA5" w14:textId="77777777" w:rsidR="00F861FF" w:rsidRPr="001B4CA2" w:rsidRDefault="00F861FF" w:rsidP="00CE2706">
            <w:pPr>
              <w:jc w:val="center"/>
              <w:rPr>
                <w:color w:val="000000"/>
                <w:sz w:val="18"/>
                <w:szCs w:val="18"/>
              </w:rPr>
            </w:pPr>
            <w:r w:rsidRPr="001B4CA2">
              <w:rPr>
                <w:color w:val="000000"/>
                <w:sz w:val="18"/>
                <w:szCs w:val="18"/>
              </w:rPr>
              <w:t>988</w:t>
            </w:r>
          </w:p>
        </w:tc>
        <w:tc>
          <w:tcPr>
            <w:tcW w:w="1280" w:type="dxa"/>
            <w:tcBorders>
              <w:top w:val="nil"/>
              <w:left w:val="nil"/>
              <w:bottom w:val="single" w:sz="8" w:space="0" w:color="auto"/>
              <w:right w:val="single" w:sz="8" w:space="0" w:color="auto"/>
            </w:tcBorders>
            <w:shd w:val="clear" w:color="auto" w:fill="auto"/>
            <w:vAlign w:val="center"/>
            <w:hideMark/>
          </w:tcPr>
          <w:p w14:paraId="1EE1B56A" w14:textId="77777777" w:rsidR="00F861FF" w:rsidRPr="001B4CA2" w:rsidRDefault="00F861FF" w:rsidP="00CE2706">
            <w:pPr>
              <w:jc w:val="center"/>
              <w:rPr>
                <w:color w:val="000000"/>
                <w:sz w:val="18"/>
                <w:szCs w:val="18"/>
              </w:rPr>
            </w:pPr>
            <w:r w:rsidRPr="001B4CA2">
              <w:rPr>
                <w:color w:val="000000"/>
                <w:sz w:val="18"/>
                <w:szCs w:val="18"/>
              </w:rPr>
              <w:t>143</w:t>
            </w:r>
          </w:p>
        </w:tc>
        <w:tc>
          <w:tcPr>
            <w:tcW w:w="1700" w:type="dxa"/>
            <w:tcBorders>
              <w:top w:val="nil"/>
              <w:left w:val="nil"/>
              <w:bottom w:val="single" w:sz="8" w:space="0" w:color="auto"/>
              <w:right w:val="single" w:sz="12" w:space="0" w:color="auto"/>
            </w:tcBorders>
            <w:shd w:val="clear" w:color="auto" w:fill="auto"/>
            <w:vAlign w:val="center"/>
            <w:hideMark/>
          </w:tcPr>
          <w:p w14:paraId="53F96332" w14:textId="77777777" w:rsidR="00F861FF" w:rsidRPr="001B4CA2" w:rsidRDefault="00F861FF" w:rsidP="00CE2706">
            <w:pPr>
              <w:jc w:val="center"/>
              <w:rPr>
                <w:color w:val="000000"/>
                <w:sz w:val="18"/>
                <w:szCs w:val="18"/>
              </w:rPr>
            </w:pPr>
            <w:r w:rsidRPr="001B4CA2">
              <w:rPr>
                <w:color w:val="000000"/>
                <w:sz w:val="18"/>
                <w:szCs w:val="18"/>
              </w:rPr>
              <w:t>33</w:t>
            </w:r>
          </w:p>
        </w:tc>
        <w:tc>
          <w:tcPr>
            <w:tcW w:w="1320" w:type="dxa"/>
            <w:tcBorders>
              <w:top w:val="nil"/>
              <w:left w:val="nil"/>
              <w:bottom w:val="single" w:sz="8" w:space="0" w:color="auto"/>
              <w:right w:val="single" w:sz="8" w:space="0" w:color="auto"/>
            </w:tcBorders>
            <w:shd w:val="clear" w:color="auto" w:fill="auto"/>
            <w:vAlign w:val="center"/>
            <w:hideMark/>
          </w:tcPr>
          <w:p w14:paraId="215F5E24" w14:textId="77777777" w:rsidR="00F861FF" w:rsidRPr="001B4CA2" w:rsidRDefault="00F861FF" w:rsidP="00CE2706">
            <w:pPr>
              <w:jc w:val="center"/>
              <w:rPr>
                <w:b/>
                <w:bCs/>
                <w:color w:val="000000"/>
                <w:sz w:val="18"/>
                <w:szCs w:val="18"/>
              </w:rPr>
            </w:pPr>
            <w:r w:rsidRPr="001B4CA2">
              <w:rPr>
                <w:b/>
                <w:bCs/>
                <w:color w:val="000000"/>
                <w:sz w:val="18"/>
                <w:szCs w:val="18"/>
              </w:rPr>
              <w:t>1.164</w:t>
            </w:r>
          </w:p>
        </w:tc>
      </w:tr>
      <w:tr w:rsidR="00F861FF" w:rsidRPr="001B4CA2" w14:paraId="640169F4" w14:textId="77777777" w:rsidTr="00280ADB">
        <w:trPr>
          <w:trHeight w:val="315"/>
        </w:trPr>
        <w:tc>
          <w:tcPr>
            <w:tcW w:w="1716" w:type="dxa"/>
            <w:tcBorders>
              <w:top w:val="nil"/>
              <w:left w:val="single" w:sz="8" w:space="0" w:color="auto"/>
              <w:bottom w:val="single" w:sz="8" w:space="0" w:color="auto"/>
              <w:right w:val="single" w:sz="12" w:space="0" w:color="auto"/>
            </w:tcBorders>
            <w:shd w:val="clear" w:color="auto" w:fill="auto"/>
            <w:vAlign w:val="center"/>
            <w:hideMark/>
          </w:tcPr>
          <w:p w14:paraId="614BDF92" w14:textId="77777777" w:rsidR="00F861FF" w:rsidRPr="001B4CA2" w:rsidRDefault="00F861FF" w:rsidP="00CE2706">
            <w:pPr>
              <w:jc w:val="center"/>
              <w:rPr>
                <w:b/>
                <w:bCs/>
                <w:color w:val="000000"/>
                <w:sz w:val="18"/>
                <w:szCs w:val="18"/>
              </w:rPr>
            </w:pPr>
            <w:r w:rsidRPr="001B4CA2">
              <w:rPr>
                <w:b/>
                <w:bCs/>
                <w:color w:val="000000"/>
                <w:sz w:val="18"/>
                <w:szCs w:val="18"/>
              </w:rPr>
              <w:t>2022.</w:t>
            </w:r>
          </w:p>
        </w:tc>
        <w:tc>
          <w:tcPr>
            <w:tcW w:w="1701" w:type="dxa"/>
            <w:tcBorders>
              <w:top w:val="nil"/>
              <w:left w:val="nil"/>
              <w:bottom w:val="single" w:sz="8" w:space="0" w:color="auto"/>
              <w:right w:val="single" w:sz="8" w:space="0" w:color="auto"/>
            </w:tcBorders>
            <w:shd w:val="clear" w:color="auto" w:fill="auto"/>
            <w:vAlign w:val="center"/>
            <w:hideMark/>
          </w:tcPr>
          <w:p w14:paraId="36CCD794" w14:textId="77777777" w:rsidR="00F861FF" w:rsidRPr="001B4CA2" w:rsidRDefault="00F861FF" w:rsidP="00CE2706">
            <w:pPr>
              <w:jc w:val="center"/>
              <w:rPr>
                <w:color w:val="000000"/>
                <w:sz w:val="18"/>
                <w:szCs w:val="18"/>
              </w:rPr>
            </w:pPr>
            <w:r w:rsidRPr="001B4CA2">
              <w:rPr>
                <w:color w:val="000000"/>
                <w:sz w:val="18"/>
                <w:szCs w:val="18"/>
              </w:rPr>
              <w:t>1.059</w:t>
            </w:r>
          </w:p>
        </w:tc>
        <w:tc>
          <w:tcPr>
            <w:tcW w:w="1280" w:type="dxa"/>
            <w:tcBorders>
              <w:top w:val="nil"/>
              <w:left w:val="nil"/>
              <w:bottom w:val="single" w:sz="8" w:space="0" w:color="auto"/>
              <w:right w:val="single" w:sz="8" w:space="0" w:color="auto"/>
            </w:tcBorders>
            <w:shd w:val="clear" w:color="auto" w:fill="auto"/>
            <w:vAlign w:val="center"/>
            <w:hideMark/>
          </w:tcPr>
          <w:p w14:paraId="6B77260D" w14:textId="77777777" w:rsidR="00F861FF" w:rsidRPr="001B4CA2" w:rsidRDefault="00F861FF" w:rsidP="00CE2706">
            <w:pPr>
              <w:jc w:val="center"/>
              <w:rPr>
                <w:color w:val="000000"/>
                <w:sz w:val="18"/>
                <w:szCs w:val="18"/>
              </w:rPr>
            </w:pPr>
            <w:r w:rsidRPr="001B4CA2">
              <w:rPr>
                <w:color w:val="000000"/>
                <w:sz w:val="18"/>
                <w:szCs w:val="18"/>
              </w:rPr>
              <w:t>110</w:t>
            </w:r>
          </w:p>
        </w:tc>
        <w:tc>
          <w:tcPr>
            <w:tcW w:w="1700" w:type="dxa"/>
            <w:tcBorders>
              <w:top w:val="nil"/>
              <w:left w:val="nil"/>
              <w:bottom w:val="single" w:sz="8" w:space="0" w:color="auto"/>
              <w:right w:val="single" w:sz="12" w:space="0" w:color="auto"/>
            </w:tcBorders>
            <w:shd w:val="clear" w:color="auto" w:fill="auto"/>
            <w:vAlign w:val="center"/>
            <w:hideMark/>
          </w:tcPr>
          <w:p w14:paraId="54FBA008" w14:textId="77777777" w:rsidR="00F861FF" w:rsidRPr="001B4CA2" w:rsidRDefault="00F861FF" w:rsidP="00CE2706">
            <w:pPr>
              <w:jc w:val="center"/>
              <w:rPr>
                <w:color w:val="000000"/>
                <w:sz w:val="18"/>
                <w:szCs w:val="18"/>
              </w:rPr>
            </w:pPr>
            <w:r w:rsidRPr="001B4CA2">
              <w:rPr>
                <w:color w:val="000000"/>
                <w:sz w:val="18"/>
                <w:szCs w:val="18"/>
              </w:rPr>
              <w:t>45</w:t>
            </w:r>
          </w:p>
        </w:tc>
        <w:tc>
          <w:tcPr>
            <w:tcW w:w="1320" w:type="dxa"/>
            <w:tcBorders>
              <w:top w:val="nil"/>
              <w:left w:val="nil"/>
              <w:bottom w:val="single" w:sz="8" w:space="0" w:color="auto"/>
              <w:right w:val="single" w:sz="8" w:space="0" w:color="auto"/>
            </w:tcBorders>
            <w:shd w:val="clear" w:color="auto" w:fill="auto"/>
            <w:vAlign w:val="center"/>
            <w:hideMark/>
          </w:tcPr>
          <w:p w14:paraId="54372E8B" w14:textId="77777777" w:rsidR="00F861FF" w:rsidRPr="001B4CA2" w:rsidRDefault="00F861FF" w:rsidP="00CE2706">
            <w:pPr>
              <w:jc w:val="center"/>
              <w:rPr>
                <w:b/>
                <w:bCs/>
                <w:color w:val="000000"/>
                <w:sz w:val="18"/>
                <w:szCs w:val="18"/>
              </w:rPr>
            </w:pPr>
            <w:r w:rsidRPr="001B4CA2">
              <w:rPr>
                <w:b/>
                <w:bCs/>
                <w:color w:val="000000"/>
                <w:sz w:val="18"/>
                <w:szCs w:val="18"/>
              </w:rPr>
              <w:t>1.214</w:t>
            </w:r>
          </w:p>
        </w:tc>
      </w:tr>
    </w:tbl>
    <w:p w14:paraId="12D4E07E" w14:textId="77777777" w:rsidR="00F861FF" w:rsidRPr="001B4CA2" w:rsidRDefault="00F861FF" w:rsidP="00F861FF">
      <w:pPr>
        <w:widowControl w:val="0"/>
        <w:ind w:firstLine="284"/>
        <w:rPr>
          <w:b/>
          <w:snapToGrid w:val="0"/>
        </w:rPr>
      </w:pPr>
    </w:p>
    <w:p w14:paraId="36BE9A9B" w14:textId="6AAE7B1D" w:rsidR="00F861FF" w:rsidRDefault="00F861FF" w:rsidP="00F861FF">
      <w:pPr>
        <w:widowControl w:val="0"/>
        <w:ind w:firstLine="720"/>
        <w:rPr>
          <w:snapToGrid w:val="0"/>
        </w:rPr>
      </w:pPr>
      <w:r w:rsidRPr="001B4CA2">
        <w:rPr>
          <w:snapToGrid w:val="0"/>
        </w:rPr>
        <w:t xml:space="preserve">Prijavljene osobe za kaznena djela vezana uz zlouporabu droga u ovom izvještajnom razdoblju, u ukupnom broju prijavljenih osoba, sudjeluju s </w:t>
      </w:r>
      <w:r w:rsidR="00990BD1">
        <w:rPr>
          <w:snapToGrid w:val="0"/>
        </w:rPr>
        <w:t>udjelom</w:t>
      </w:r>
      <w:r w:rsidRPr="001B4CA2">
        <w:rPr>
          <w:snapToGrid w:val="0"/>
        </w:rPr>
        <w:t xml:space="preserve"> od </w:t>
      </w:r>
      <w:r w:rsidRPr="001B4CA2">
        <w:rPr>
          <w:snapToGrid w:val="0"/>
        </w:rPr>
        <w:lastRenderedPageBreak/>
        <w:t>2,92</w:t>
      </w:r>
      <w:r w:rsidR="00990BD1">
        <w:rPr>
          <w:snapToGrid w:val="0"/>
        </w:rPr>
        <w:t> </w:t>
      </w:r>
      <w:r w:rsidRPr="001B4CA2">
        <w:rPr>
          <w:snapToGrid w:val="0"/>
        </w:rPr>
        <w:t>%. Odrasli participiraju u prijavama s 87,23</w:t>
      </w:r>
      <w:r w:rsidR="00990BD1">
        <w:rPr>
          <w:snapToGrid w:val="0"/>
        </w:rPr>
        <w:t> </w:t>
      </w:r>
      <w:r w:rsidRPr="001B4CA2">
        <w:rPr>
          <w:snapToGrid w:val="0"/>
        </w:rPr>
        <w:t>%, mlađe punoljetne osobe 9,06</w:t>
      </w:r>
      <w:r w:rsidR="00990BD1">
        <w:rPr>
          <w:snapToGrid w:val="0"/>
        </w:rPr>
        <w:t> </w:t>
      </w:r>
      <w:r w:rsidRPr="001B4CA2">
        <w:rPr>
          <w:snapToGrid w:val="0"/>
        </w:rPr>
        <w:t>% i maloljetnici</w:t>
      </w:r>
      <w:r w:rsidR="00FD08E9">
        <w:rPr>
          <w:snapToGrid w:val="0"/>
        </w:rPr>
        <w:t xml:space="preserve"> s </w:t>
      </w:r>
      <w:r w:rsidRPr="001B4CA2">
        <w:rPr>
          <w:snapToGrid w:val="0"/>
        </w:rPr>
        <w:t>3,71</w:t>
      </w:r>
      <w:r w:rsidR="00990BD1">
        <w:rPr>
          <w:snapToGrid w:val="0"/>
        </w:rPr>
        <w:t> </w:t>
      </w:r>
      <w:r w:rsidRPr="001B4CA2">
        <w:rPr>
          <w:snapToGrid w:val="0"/>
        </w:rPr>
        <w:t>%. Ukup</w:t>
      </w:r>
      <w:r w:rsidR="00990BD1">
        <w:rPr>
          <w:snapToGrid w:val="0"/>
        </w:rPr>
        <w:t>an</w:t>
      </w:r>
      <w:r w:rsidRPr="001B4CA2">
        <w:rPr>
          <w:snapToGrid w:val="0"/>
        </w:rPr>
        <w:t xml:space="preserve"> broj prijavljenih osoba kojih je 1.214, u odnosu na prethodno izvještajno razdoblje pokazuje porast od 4,11</w:t>
      </w:r>
      <w:r w:rsidR="00990BD1">
        <w:rPr>
          <w:snapToGrid w:val="0"/>
        </w:rPr>
        <w:t> </w:t>
      </w:r>
      <w:r w:rsidRPr="001B4CA2">
        <w:rPr>
          <w:snapToGrid w:val="0"/>
        </w:rPr>
        <w:t>%.</w:t>
      </w:r>
    </w:p>
    <w:p w14:paraId="42B5FC6C" w14:textId="77777777" w:rsidR="00185891" w:rsidRPr="001B4CA2" w:rsidRDefault="00185891" w:rsidP="00F861FF">
      <w:pPr>
        <w:widowControl w:val="0"/>
        <w:ind w:firstLine="720"/>
        <w:rPr>
          <w:snapToGrid w:val="0"/>
        </w:rPr>
      </w:pPr>
    </w:p>
    <w:p w14:paraId="493E003A" w14:textId="463E4727" w:rsidR="00F861FF" w:rsidRPr="001B4CA2" w:rsidRDefault="00F861FF" w:rsidP="00F861FF">
      <w:pPr>
        <w:widowControl w:val="0"/>
        <w:ind w:firstLine="720"/>
        <w:rPr>
          <w:snapToGrid w:val="0"/>
        </w:rPr>
      </w:pPr>
      <w:r w:rsidRPr="001B4CA2">
        <w:rPr>
          <w:snapToGrid w:val="0"/>
        </w:rPr>
        <w:t>Kaznena djela zlouporabe opojnih droga</w:t>
      </w:r>
      <w:r w:rsidR="00990BD1">
        <w:rPr>
          <w:snapToGrid w:val="0"/>
        </w:rPr>
        <w:t>,</w:t>
      </w:r>
      <w:r w:rsidRPr="001B4CA2">
        <w:rPr>
          <w:snapToGrid w:val="0"/>
        </w:rPr>
        <w:t xml:space="preserve"> kada je u pitanju njihovo otkrivanje i prijavljivanje</w:t>
      </w:r>
      <w:r w:rsidR="00990BD1">
        <w:rPr>
          <w:snapToGrid w:val="0"/>
        </w:rPr>
        <w:t>,</w:t>
      </w:r>
      <w:r w:rsidRPr="001B4CA2">
        <w:rPr>
          <w:snapToGrid w:val="0"/>
        </w:rPr>
        <w:t xml:space="preserve"> isključivo su rezultat uspješnosti kriminalističkih istraživanja policije i njihov</w:t>
      </w:r>
      <w:r w:rsidR="00990BD1">
        <w:rPr>
          <w:snapToGrid w:val="0"/>
        </w:rPr>
        <w:t>a</w:t>
      </w:r>
      <w:r w:rsidRPr="001B4CA2">
        <w:rPr>
          <w:snapToGrid w:val="0"/>
        </w:rPr>
        <w:t xml:space="preserve"> rada. </w:t>
      </w:r>
    </w:p>
    <w:p w14:paraId="6A9B9BB1" w14:textId="77777777" w:rsidR="00F861FF" w:rsidRPr="001B4CA2" w:rsidRDefault="00F861FF" w:rsidP="00F861FF">
      <w:pPr>
        <w:widowControl w:val="0"/>
        <w:ind w:firstLine="720"/>
        <w:rPr>
          <w:snapToGrid w:val="0"/>
        </w:rPr>
      </w:pPr>
    </w:p>
    <w:p w14:paraId="0DF64A54" w14:textId="44088DCB" w:rsidR="00F861FF" w:rsidRPr="001B4CA2" w:rsidRDefault="00FD08E9" w:rsidP="00F861FF">
      <w:pPr>
        <w:widowControl w:val="0"/>
        <w:rPr>
          <w:i/>
          <w:snapToGrid w:val="0"/>
        </w:rPr>
      </w:pPr>
      <w:r>
        <w:rPr>
          <w:i/>
          <w:snapToGrid w:val="0"/>
        </w:rPr>
        <w:tab/>
      </w:r>
      <w:r w:rsidR="00F861FF" w:rsidRPr="001B4CA2">
        <w:rPr>
          <w:i/>
          <w:snapToGrid w:val="0"/>
        </w:rPr>
        <w:t>Struktura kaznenih djela vezanih za zlouporabu droga</w:t>
      </w:r>
    </w:p>
    <w:tbl>
      <w:tblPr>
        <w:tblW w:w="7560"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080"/>
        <w:gridCol w:w="1280"/>
        <w:gridCol w:w="1700"/>
      </w:tblGrid>
      <w:tr w:rsidR="00F861FF" w:rsidRPr="001B4CA2" w14:paraId="12689FAB" w14:textId="77777777" w:rsidTr="00C922F1">
        <w:trPr>
          <w:trHeight w:val="315"/>
        </w:trPr>
        <w:tc>
          <w:tcPr>
            <w:tcW w:w="2500" w:type="dxa"/>
            <w:shd w:val="clear" w:color="000000" w:fill="99CCFF"/>
            <w:vAlign w:val="center"/>
            <w:hideMark/>
          </w:tcPr>
          <w:p w14:paraId="3C8E27A5" w14:textId="77777777" w:rsidR="00F861FF" w:rsidRPr="001B4CA2" w:rsidRDefault="00F861FF" w:rsidP="00CE2706">
            <w:pPr>
              <w:jc w:val="center"/>
              <w:rPr>
                <w:b/>
                <w:bCs/>
                <w:color w:val="000000"/>
                <w:sz w:val="18"/>
                <w:szCs w:val="18"/>
              </w:rPr>
            </w:pPr>
            <w:r w:rsidRPr="001B4CA2">
              <w:rPr>
                <w:b/>
                <w:bCs/>
                <w:color w:val="000000"/>
                <w:sz w:val="18"/>
                <w:szCs w:val="18"/>
              </w:rPr>
              <w:t>Počinitelji</w:t>
            </w:r>
          </w:p>
        </w:tc>
        <w:tc>
          <w:tcPr>
            <w:tcW w:w="2080" w:type="dxa"/>
            <w:shd w:val="clear" w:color="000000" w:fill="99CCFF"/>
            <w:vAlign w:val="center"/>
            <w:hideMark/>
          </w:tcPr>
          <w:p w14:paraId="3493C872" w14:textId="77777777" w:rsidR="00F861FF" w:rsidRPr="001B4CA2" w:rsidRDefault="00F861FF" w:rsidP="00CE2706">
            <w:pPr>
              <w:jc w:val="center"/>
              <w:rPr>
                <w:b/>
                <w:bCs/>
                <w:color w:val="000000"/>
                <w:sz w:val="18"/>
                <w:szCs w:val="18"/>
              </w:rPr>
            </w:pPr>
            <w:r w:rsidRPr="001B4CA2">
              <w:rPr>
                <w:b/>
                <w:bCs/>
                <w:color w:val="000000"/>
                <w:sz w:val="18"/>
                <w:szCs w:val="18"/>
              </w:rPr>
              <w:t>Čl. 190</w:t>
            </w:r>
          </w:p>
        </w:tc>
        <w:tc>
          <w:tcPr>
            <w:tcW w:w="1280" w:type="dxa"/>
            <w:shd w:val="clear" w:color="000000" w:fill="99CCFF"/>
            <w:vAlign w:val="center"/>
            <w:hideMark/>
          </w:tcPr>
          <w:p w14:paraId="247D9FA6" w14:textId="77777777" w:rsidR="00F861FF" w:rsidRPr="001B4CA2" w:rsidRDefault="00F861FF" w:rsidP="00CE2706">
            <w:pPr>
              <w:jc w:val="center"/>
              <w:rPr>
                <w:b/>
                <w:bCs/>
                <w:color w:val="000000"/>
                <w:sz w:val="18"/>
                <w:szCs w:val="18"/>
              </w:rPr>
            </w:pPr>
            <w:r w:rsidRPr="001B4CA2">
              <w:rPr>
                <w:b/>
                <w:bCs/>
                <w:color w:val="000000"/>
                <w:sz w:val="18"/>
                <w:szCs w:val="18"/>
              </w:rPr>
              <w:t>Čl.191</w:t>
            </w:r>
          </w:p>
        </w:tc>
        <w:tc>
          <w:tcPr>
            <w:tcW w:w="1700" w:type="dxa"/>
            <w:shd w:val="clear" w:color="000000" w:fill="99CCFF"/>
            <w:vAlign w:val="center"/>
            <w:hideMark/>
          </w:tcPr>
          <w:p w14:paraId="02625BCE" w14:textId="77777777" w:rsidR="00F861FF" w:rsidRPr="001B4CA2" w:rsidRDefault="00F861FF" w:rsidP="00CE2706">
            <w:pPr>
              <w:jc w:val="center"/>
              <w:rPr>
                <w:b/>
                <w:bCs/>
                <w:color w:val="000000"/>
                <w:sz w:val="18"/>
                <w:szCs w:val="18"/>
              </w:rPr>
            </w:pPr>
            <w:r w:rsidRPr="001B4CA2">
              <w:rPr>
                <w:b/>
                <w:bCs/>
                <w:color w:val="000000"/>
                <w:sz w:val="18"/>
                <w:szCs w:val="18"/>
              </w:rPr>
              <w:t>Ukupno</w:t>
            </w:r>
          </w:p>
        </w:tc>
      </w:tr>
      <w:tr w:rsidR="00F861FF" w:rsidRPr="001B4CA2" w14:paraId="6ECD5A3E" w14:textId="77777777" w:rsidTr="00C922F1">
        <w:trPr>
          <w:trHeight w:val="365"/>
        </w:trPr>
        <w:tc>
          <w:tcPr>
            <w:tcW w:w="2500" w:type="dxa"/>
            <w:shd w:val="clear" w:color="auto" w:fill="auto"/>
            <w:vAlign w:val="center"/>
            <w:hideMark/>
          </w:tcPr>
          <w:p w14:paraId="52C20E95" w14:textId="77777777" w:rsidR="00F861FF" w:rsidRPr="001B4CA2" w:rsidRDefault="00F861FF" w:rsidP="00CE2706">
            <w:pPr>
              <w:rPr>
                <w:b/>
                <w:bCs/>
                <w:color w:val="000000"/>
                <w:sz w:val="18"/>
                <w:szCs w:val="18"/>
              </w:rPr>
            </w:pPr>
            <w:r w:rsidRPr="001B4CA2">
              <w:rPr>
                <w:b/>
                <w:bCs/>
                <w:color w:val="000000"/>
                <w:sz w:val="18"/>
                <w:szCs w:val="18"/>
              </w:rPr>
              <w:t>Odrasli</w:t>
            </w:r>
          </w:p>
        </w:tc>
        <w:tc>
          <w:tcPr>
            <w:tcW w:w="2080" w:type="dxa"/>
            <w:shd w:val="clear" w:color="auto" w:fill="auto"/>
            <w:vAlign w:val="center"/>
            <w:hideMark/>
          </w:tcPr>
          <w:p w14:paraId="79B64217" w14:textId="77777777" w:rsidR="00F861FF" w:rsidRPr="001B4CA2" w:rsidRDefault="00F861FF" w:rsidP="00CE2706">
            <w:pPr>
              <w:jc w:val="center"/>
              <w:rPr>
                <w:color w:val="000000"/>
                <w:sz w:val="18"/>
                <w:szCs w:val="18"/>
              </w:rPr>
            </w:pPr>
            <w:r w:rsidRPr="001B4CA2">
              <w:rPr>
                <w:color w:val="000000"/>
                <w:sz w:val="18"/>
                <w:szCs w:val="18"/>
              </w:rPr>
              <w:t>1000</w:t>
            </w:r>
          </w:p>
        </w:tc>
        <w:tc>
          <w:tcPr>
            <w:tcW w:w="1280" w:type="dxa"/>
            <w:shd w:val="clear" w:color="auto" w:fill="auto"/>
            <w:vAlign w:val="center"/>
            <w:hideMark/>
          </w:tcPr>
          <w:p w14:paraId="601275FF" w14:textId="77777777" w:rsidR="00F861FF" w:rsidRPr="001B4CA2" w:rsidRDefault="00F861FF" w:rsidP="00CE2706">
            <w:pPr>
              <w:jc w:val="center"/>
              <w:rPr>
                <w:color w:val="000000"/>
                <w:sz w:val="18"/>
                <w:szCs w:val="18"/>
              </w:rPr>
            </w:pPr>
            <w:r w:rsidRPr="001B4CA2">
              <w:rPr>
                <w:color w:val="000000"/>
                <w:sz w:val="18"/>
                <w:szCs w:val="18"/>
              </w:rPr>
              <w:t>59</w:t>
            </w:r>
          </w:p>
        </w:tc>
        <w:tc>
          <w:tcPr>
            <w:tcW w:w="1700" w:type="dxa"/>
            <w:shd w:val="clear" w:color="auto" w:fill="auto"/>
            <w:vAlign w:val="center"/>
            <w:hideMark/>
          </w:tcPr>
          <w:p w14:paraId="3F45AB67" w14:textId="77777777" w:rsidR="00F861FF" w:rsidRPr="001B4CA2" w:rsidRDefault="00F861FF" w:rsidP="00CE2706">
            <w:pPr>
              <w:jc w:val="center"/>
              <w:rPr>
                <w:b/>
                <w:bCs/>
                <w:color w:val="000000"/>
                <w:sz w:val="18"/>
                <w:szCs w:val="18"/>
              </w:rPr>
            </w:pPr>
            <w:r w:rsidRPr="001B4CA2">
              <w:rPr>
                <w:b/>
                <w:bCs/>
                <w:color w:val="000000"/>
                <w:sz w:val="18"/>
                <w:szCs w:val="18"/>
              </w:rPr>
              <w:t>1.059</w:t>
            </w:r>
          </w:p>
        </w:tc>
      </w:tr>
      <w:tr w:rsidR="00F861FF" w:rsidRPr="001B4CA2" w14:paraId="098B6E4F" w14:textId="77777777" w:rsidTr="00C922F1">
        <w:trPr>
          <w:trHeight w:val="365"/>
        </w:trPr>
        <w:tc>
          <w:tcPr>
            <w:tcW w:w="2500" w:type="dxa"/>
            <w:shd w:val="clear" w:color="auto" w:fill="auto"/>
            <w:vAlign w:val="center"/>
            <w:hideMark/>
          </w:tcPr>
          <w:p w14:paraId="570BF5D5" w14:textId="77777777" w:rsidR="00F861FF" w:rsidRPr="001B4CA2" w:rsidRDefault="00F861FF" w:rsidP="00CE2706">
            <w:pPr>
              <w:rPr>
                <w:b/>
                <w:bCs/>
                <w:color w:val="000000"/>
                <w:sz w:val="18"/>
                <w:szCs w:val="18"/>
              </w:rPr>
            </w:pPr>
            <w:r w:rsidRPr="001B4CA2">
              <w:rPr>
                <w:b/>
                <w:bCs/>
                <w:color w:val="000000"/>
                <w:sz w:val="18"/>
                <w:szCs w:val="18"/>
              </w:rPr>
              <w:t>Mlađe punoljetne osobe</w:t>
            </w:r>
          </w:p>
        </w:tc>
        <w:tc>
          <w:tcPr>
            <w:tcW w:w="2080" w:type="dxa"/>
            <w:shd w:val="clear" w:color="auto" w:fill="auto"/>
            <w:vAlign w:val="center"/>
            <w:hideMark/>
          </w:tcPr>
          <w:p w14:paraId="00E2C938" w14:textId="77777777" w:rsidR="00F861FF" w:rsidRPr="001B4CA2" w:rsidRDefault="00F861FF" w:rsidP="00CE2706">
            <w:pPr>
              <w:jc w:val="center"/>
              <w:rPr>
                <w:color w:val="000000"/>
                <w:sz w:val="18"/>
                <w:szCs w:val="18"/>
              </w:rPr>
            </w:pPr>
            <w:r w:rsidRPr="001B4CA2">
              <w:rPr>
                <w:color w:val="000000"/>
                <w:sz w:val="18"/>
                <w:szCs w:val="18"/>
              </w:rPr>
              <w:t>101</w:t>
            </w:r>
          </w:p>
        </w:tc>
        <w:tc>
          <w:tcPr>
            <w:tcW w:w="1280" w:type="dxa"/>
            <w:shd w:val="clear" w:color="auto" w:fill="auto"/>
            <w:vAlign w:val="center"/>
            <w:hideMark/>
          </w:tcPr>
          <w:p w14:paraId="174E1ED8" w14:textId="77777777" w:rsidR="00F861FF" w:rsidRPr="001B4CA2" w:rsidRDefault="00F861FF" w:rsidP="00CE2706">
            <w:pPr>
              <w:jc w:val="center"/>
              <w:rPr>
                <w:color w:val="000000"/>
                <w:sz w:val="18"/>
                <w:szCs w:val="18"/>
              </w:rPr>
            </w:pPr>
            <w:r w:rsidRPr="001B4CA2">
              <w:rPr>
                <w:color w:val="000000"/>
                <w:sz w:val="18"/>
                <w:szCs w:val="18"/>
              </w:rPr>
              <w:t>9</w:t>
            </w:r>
          </w:p>
        </w:tc>
        <w:tc>
          <w:tcPr>
            <w:tcW w:w="1700" w:type="dxa"/>
            <w:shd w:val="clear" w:color="auto" w:fill="auto"/>
            <w:vAlign w:val="center"/>
            <w:hideMark/>
          </w:tcPr>
          <w:p w14:paraId="2B021279" w14:textId="77777777" w:rsidR="00F861FF" w:rsidRPr="001B4CA2" w:rsidRDefault="00F861FF" w:rsidP="00CE2706">
            <w:pPr>
              <w:jc w:val="center"/>
              <w:rPr>
                <w:b/>
                <w:bCs/>
                <w:color w:val="000000"/>
                <w:sz w:val="18"/>
                <w:szCs w:val="18"/>
              </w:rPr>
            </w:pPr>
            <w:r w:rsidRPr="001B4CA2">
              <w:rPr>
                <w:b/>
                <w:bCs/>
                <w:color w:val="000000"/>
                <w:sz w:val="18"/>
                <w:szCs w:val="18"/>
              </w:rPr>
              <w:t>110</w:t>
            </w:r>
          </w:p>
        </w:tc>
      </w:tr>
      <w:tr w:rsidR="00F861FF" w:rsidRPr="001B4CA2" w14:paraId="06127EC1" w14:textId="77777777" w:rsidTr="00C922F1">
        <w:trPr>
          <w:trHeight w:val="365"/>
        </w:trPr>
        <w:tc>
          <w:tcPr>
            <w:tcW w:w="2500" w:type="dxa"/>
            <w:shd w:val="clear" w:color="auto" w:fill="auto"/>
            <w:vAlign w:val="center"/>
            <w:hideMark/>
          </w:tcPr>
          <w:p w14:paraId="45138D53" w14:textId="77777777" w:rsidR="00F861FF" w:rsidRPr="001B4CA2" w:rsidRDefault="00F861FF" w:rsidP="00CE2706">
            <w:pPr>
              <w:rPr>
                <w:b/>
                <w:bCs/>
                <w:color w:val="000000"/>
                <w:sz w:val="18"/>
                <w:szCs w:val="18"/>
              </w:rPr>
            </w:pPr>
            <w:r w:rsidRPr="001B4CA2">
              <w:rPr>
                <w:b/>
                <w:bCs/>
                <w:color w:val="000000"/>
                <w:sz w:val="18"/>
                <w:szCs w:val="18"/>
              </w:rPr>
              <w:t>Maloljetnici</w:t>
            </w:r>
          </w:p>
        </w:tc>
        <w:tc>
          <w:tcPr>
            <w:tcW w:w="2080" w:type="dxa"/>
            <w:shd w:val="clear" w:color="auto" w:fill="auto"/>
            <w:vAlign w:val="center"/>
            <w:hideMark/>
          </w:tcPr>
          <w:p w14:paraId="1A218953" w14:textId="77777777" w:rsidR="00F861FF" w:rsidRPr="001B4CA2" w:rsidRDefault="00F861FF" w:rsidP="00CE2706">
            <w:pPr>
              <w:jc w:val="center"/>
              <w:rPr>
                <w:color w:val="000000"/>
                <w:sz w:val="18"/>
                <w:szCs w:val="18"/>
              </w:rPr>
            </w:pPr>
            <w:r w:rsidRPr="001B4CA2">
              <w:rPr>
                <w:color w:val="000000"/>
                <w:sz w:val="18"/>
                <w:szCs w:val="18"/>
              </w:rPr>
              <w:t>35</w:t>
            </w:r>
          </w:p>
        </w:tc>
        <w:tc>
          <w:tcPr>
            <w:tcW w:w="1280" w:type="dxa"/>
            <w:shd w:val="clear" w:color="auto" w:fill="auto"/>
            <w:vAlign w:val="center"/>
            <w:hideMark/>
          </w:tcPr>
          <w:p w14:paraId="139E00FC" w14:textId="77777777" w:rsidR="00F861FF" w:rsidRPr="001B4CA2" w:rsidRDefault="00F861FF" w:rsidP="00CE2706">
            <w:pPr>
              <w:jc w:val="center"/>
              <w:rPr>
                <w:color w:val="000000"/>
                <w:sz w:val="18"/>
                <w:szCs w:val="18"/>
              </w:rPr>
            </w:pPr>
            <w:r w:rsidRPr="001B4CA2">
              <w:rPr>
                <w:color w:val="000000"/>
                <w:sz w:val="18"/>
                <w:szCs w:val="18"/>
              </w:rPr>
              <w:t>10</w:t>
            </w:r>
          </w:p>
        </w:tc>
        <w:tc>
          <w:tcPr>
            <w:tcW w:w="1700" w:type="dxa"/>
            <w:shd w:val="clear" w:color="auto" w:fill="auto"/>
            <w:vAlign w:val="center"/>
            <w:hideMark/>
          </w:tcPr>
          <w:p w14:paraId="2F987021" w14:textId="77777777" w:rsidR="00F861FF" w:rsidRPr="001B4CA2" w:rsidRDefault="00F861FF" w:rsidP="00CE2706">
            <w:pPr>
              <w:jc w:val="center"/>
              <w:rPr>
                <w:b/>
                <w:bCs/>
                <w:color w:val="000000"/>
                <w:sz w:val="18"/>
                <w:szCs w:val="18"/>
              </w:rPr>
            </w:pPr>
            <w:r w:rsidRPr="001B4CA2">
              <w:rPr>
                <w:b/>
                <w:bCs/>
                <w:color w:val="000000"/>
                <w:sz w:val="18"/>
                <w:szCs w:val="18"/>
              </w:rPr>
              <w:t>45</w:t>
            </w:r>
          </w:p>
        </w:tc>
      </w:tr>
      <w:tr w:rsidR="00F861FF" w:rsidRPr="001B4CA2" w14:paraId="151479A0" w14:textId="77777777" w:rsidTr="00C922F1">
        <w:trPr>
          <w:trHeight w:val="365"/>
        </w:trPr>
        <w:tc>
          <w:tcPr>
            <w:tcW w:w="2500" w:type="dxa"/>
            <w:shd w:val="clear" w:color="auto" w:fill="auto"/>
            <w:vAlign w:val="center"/>
            <w:hideMark/>
          </w:tcPr>
          <w:p w14:paraId="0E9560A6" w14:textId="77777777" w:rsidR="00F861FF" w:rsidRPr="001B4CA2" w:rsidRDefault="00F861FF" w:rsidP="00CE2706">
            <w:pPr>
              <w:rPr>
                <w:b/>
                <w:bCs/>
                <w:color w:val="000000"/>
                <w:sz w:val="18"/>
                <w:szCs w:val="18"/>
              </w:rPr>
            </w:pPr>
            <w:r w:rsidRPr="001B4CA2">
              <w:rPr>
                <w:b/>
                <w:bCs/>
                <w:color w:val="000000"/>
                <w:sz w:val="18"/>
                <w:szCs w:val="18"/>
              </w:rPr>
              <w:t>UKUPNO</w:t>
            </w:r>
          </w:p>
        </w:tc>
        <w:tc>
          <w:tcPr>
            <w:tcW w:w="2080" w:type="dxa"/>
            <w:shd w:val="clear" w:color="auto" w:fill="auto"/>
            <w:vAlign w:val="center"/>
            <w:hideMark/>
          </w:tcPr>
          <w:p w14:paraId="13A96C11" w14:textId="26980F12" w:rsidR="00F861FF" w:rsidRPr="001B4CA2" w:rsidRDefault="00F861FF" w:rsidP="00CE2706">
            <w:pPr>
              <w:jc w:val="center"/>
              <w:rPr>
                <w:b/>
                <w:bCs/>
                <w:color w:val="000000"/>
                <w:sz w:val="18"/>
                <w:szCs w:val="18"/>
              </w:rPr>
            </w:pPr>
            <w:r w:rsidRPr="001B4CA2">
              <w:rPr>
                <w:b/>
                <w:bCs/>
                <w:color w:val="000000"/>
                <w:sz w:val="18"/>
                <w:szCs w:val="18"/>
              </w:rPr>
              <w:t>1</w:t>
            </w:r>
            <w:r w:rsidR="00C922F1" w:rsidRPr="001B4CA2">
              <w:rPr>
                <w:b/>
                <w:bCs/>
                <w:color w:val="000000"/>
                <w:sz w:val="18"/>
                <w:szCs w:val="18"/>
              </w:rPr>
              <w:t>.</w:t>
            </w:r>
            <w:r w:rsidRPr="001B4CA2">
              <w:rPr>
                <w:b/>
                <w:bCs/>
                <w:color w:val="000000"/>
                <w:sz w:val="18"/>
                <w:szCs w:val="18"/>
              </w:rPr>
              <w:t>136</w:t>
            </w:r>
          </w:p>
        </w:tc>
        <w:tc>
          <w:tcPr>
            <w:tcW w:w="1280" w:type="dxa"/>
            <w:shd w:val="clear" w:color="auto" w:fill="auto"/>
            <w:vAlign w:val="center"/>
            <w:hideMark/>
          </w:tcPr>
          <w:p w14:paraId="65A37EA6" w14:textId="77777777" w:rsidR="00F861FF" w:rsidRPr="001B4CA2" w:rsidRDefault="00F861FF" w:rsidP="00CE2706">
            <w:pPr>
              <w:jc w:val="center"/>
              <w:rPr>
                <w:b/>
                <w:bCs/>
                <w:color w:val="000000"/>
                <w:sz w:val="18"/>
                <w:szCs w:val="18"/>
              </w:rPr>
            </w:pPr>
            <w:r w:rsidRPr="001B4CA2">
              <w:rPr>
                <w:b/>
                <w:bCs/>
                <w:color w:val="000000"/>
                <w:sz w:val="18"/>
                <w:szCs w:val="18"/>
              </w:rPr>
              <w:t>78</w:t>
            </w:r>
          </w:p>
        </w:tc>
        <w:tc>
          <w:tcPr>
            <w:tcW w:w="1700" w:type="dxa"/>
            <w:shd w:val="clear" w:color="auto" w:fill="auto"/>
            <w:vAlign w:val="center"/>
            <w:hideMark/>
          </w:tcPr>
          <w:p w14:paraId="4C3E822B" w14:textId="3286FE08" w:rsidR="00F861FF" w:rsidRPr="001B4CA2" w:rsidRDefault="00F861FF" w:rsidP="00CE2706">
            <w:pPr>
              <w:jc w:val="center"/>
              <w:rPr>
                <w:b/>
                <w:bCs/>
                <w:color w:val="000000"/>
                <w:sz w:val="18"/>
                <w:szCs w:val="18"/>
              </w:rPr>
            </w:pPr>
            <w:r w:rsidRPr="001B4CA2">
              <w:rPr>
                <w:b/>
                <w:bCs/>
                <w:color w:val="000000"/>
                <w:sz w:val="18"/>
                <w:szCs w:val="18"/>
              </w:rPr>
              <w:t>1</w:t>
            </w:r>
            <w:r w:rsidR="00C922F1" w:rsidRPr="001B4CA2">
              <w:rPr>
                <w:b/>
                <w:bCs/>
                <w:color w:val="000000"/>
                <w:sz w:val="18"/>
                <w:szCs w:val="18"/>
              </w:rPr>
              <w:t>.</w:t>
            </w:r>
            <w:r w:rsidRPr="001B4CA2">
              <w:rPr>
                <w:b/>
                <w:bCs/>
                <w:color w:val="000000"/>
                <w:sz w:val="18"/>
                <w:szCs w:val="18"/>
              </w:rPr>
              <w:t>214</w:t>
            </w:r>
          </w:p>
        </w:tc>
      </w:tr>
    </w:tbl>
    <w:p w14:paraId="5B0E19CC" w14:textId="1DC4FD29" w:rsidR="00F861FF" w:rsidRPr="001B4CA2" w:rsidRDefault="00F861FF" w:rsidP="00F861FF">
      <w:pPr>
        <w:widowControl w:val="0"/>
        <w:rPr>
          <w:b/>
          <w:snapToGrid w:val="0"/>
        </w:rPr>
      </w:pPr>
    </w:p>
    <w:p w14:paraId="470086DE" w14:textId="5288DC68" w:rsidR="00F861FF" w:rsidRPr="001B4CA2" w:rsidRDefault="00F861FF" w:rsidP="00F861FF">
      <w:pPr>
        <w:widowControl w:val="0"/>
        <w:ind w:firstLine="720"/>
        <w:rPr>
          <w:snapToGrid w:val="0"/>
        </w:rPr>
      </w:pPr>
      <w:r w:rsidRPr="001B4CA2">
        <w:rPr>
          <w:snapToGrid w:val="0"/>
        </w:rPr>
        <w:t>U ukupnom broju prijavljenih kaznenih djela 93,58</w:t>
      </w:r>
      <w:r w:rsidR="00990BD1">
        <w:rPr>
          <w:snapToGrid w:val="0"/>
        </w:rPr>
        <w:t> </w:t>
      </w:r>
      <w:r w:rsidRPr="001B4CA2">
        <w:rPr>
          <w:snapToGrid w:val="0"/>
        </w:rPr>
        <w:t>% čine kaznena djela iz čl. 190. Kaznenog zakona.</w:t>
      </w:r>
      <w:r w:rsidR="00FD08E9">
        <w:rPr>
          <w:snapToGrid w:val="0"/>
        </w:rPr>
        <w:t xml:space="preserve"> </w:t>
      </w:r>
      <w:r w:rsidRPr="001B4CA2">
        <w:rPr>
          <w:snapToGrid w:val="0"/>
        </w:rPr>
        <w:t>Kaznena djela iz čl. 191. Kaznenog zakona participiraju sa 6,42</w:t>
      </w:r>
      <w:r w:rsidR="00990BD1">
        <w:rPr>
          <w:snapToGrid w:val="0"/>
        </w:rPr>
        <w:t> </w:t>
      </w:r>
      <w:r w:rsidRPr="001B4CA2">
        <w:rPr>
          <w:snapToGrid w:val="0"/>
        </w:rPr>
        <w:t xml:space="preserve">%. U pogledu strukture kaznenih djela vezanih uz zlouporabu droga nema značajnih odstupanja u odnosu na prošlo izvještajno razdoblje. </w:t>
      </w:r>
    </w:p>
    <w:p w14:paraId="7A42D1BB" w14:textId="77777777" w:rsidR="00F861FF" w:rsidRPr="001B4CA2" w:rsidRDefault="00F861FF" w:rsidP="00F861FF">
      <w:pPr>
        <w:widowControl w:val="0"/>
        <w:ind w:firstLine="720"/>
        <w:rPr>
          <w:snapToGrid w:val="0"/>
        </w:rPr>
      </w:pPr>
    </w:p>
    <w:p w14:paraId="4EC3585D" w14:textId="6078EE9B" w:rsidR="00F861FF" w:rsidRPr="001B4CA2" w:rsidRDefault="004926B3" w:rsidP="00F861FF">
      <w:pPr>
        <w:widowControl w:val="0"/>
        <w:rPr>
          <w:i/>
          <w:snapToGrid w:val="0"/>
        </w:rPr>
      </w:pPr>
      <w:r>
        <w:rPr>
          <w:i/>
          <w:snapToGrid w:val="0"/>
        </w:rPr>
        <w:t xml:space="preserve">   </w:t>
      </w:r>
      <w:r w:rsidR="00F861FF" w:rsidRPr="001B4CA2">
        <w:rPr>
          <w:i/>
          <w:snapToGrid w:val="0"/>
        </w:rPr>
        <w:t xml:space="preserve">Struktura odluka za kaznena djela vezana za zlouporabu droga  </w:t>
      </w:r>
    </w:p>
    <w:tbl>
      <w:tblPr>
        <w:tblW w:w="87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080"/>
        <w:gridCol w:w="1280"/>
        <w:gridCol w:w="1700"/>
        <w:gridCol w:w="1320"/>
      </w:tblGrid>
      <w:tr w:rsidR="00F861FF" w:rsidRPr="001B4CA2" w14:paraId="5AD8EFCA" w14:textId="77777777" w:rsidTr="004926B3">
        <w:trPr>
          <w:trHeight w:val="615"/>
        </w:trPr>
        <w:tc>
          <w:tcPr>
            <w:tcW w:w="2343" w:type="dxa"/>
            <w:shd w:val="clear" w:color="000000" w:fill="99CCFF"/>
            <w:vAlign w:val="center"/>
            <w:hideMark/>
          </w:tcPr>
          <w:p w14:paraId="3721D050" w14:textId="77777777" w:rsidR="00F861FF" w:rsidRPr="001B4CA2" w:rsidRDefault="00F861FF" w:rsidP="00CE2706">
            <w:pPr>
              <w:jc w:val="center"/>
              <w:rPr>
                <w:b/>
                <w:bCs/>
                <w:color w:val="000000"/>
                <w:sz w:val="18"/>
                <w:szCs w:val="18"/>
              </w:rPr>
            </w:pPr>
            <w:r w:rsidRPr="001B4CA2">
              <w:rPr>
                <w:b/>
                <w:bCs/>
                <w:color w:val="000000"/>
                <w:sz w:val="18"/>
                <w:szCs w:val="18"/>
              </w:rPr>
              <w:t> </w:t>
            </w:r>
          </w:p>
        </w:tc>
        <w:tc>
          <w:tcPr>
            <w:tcW w:w="2080" w:type="dxa"/>
            <w:shd w:val="clear" w:color="000000" w:fill="99CCFF"/>
            <w:vAlign w:val="center"/>
            <w:hideMark/>
          </w:tcPr>
          <w:p w14:paraId="27414F73" w14:textId="77777777" w:rsidR="00F861FF" w:rsidRPr="001B4CA2" w:rsidRDefault="00F861FF" w:rsidP="00CE2706">
            <w:pPr>
              <w:jc w:val="center"/>
              <w:rPr>
                <w:b/>
                <w:bCs/>
                <w:color w:val="000000"/>
                <w:sz w:val="18"/>
                <w:szCs w:val="18"/>
              </w:rPr>
            </w:pPr>
            <w:r w:rsidRPr="001B4CA2">
              <w:rPr>
                <w:b/>
                <w:bCs/>
                <w:color w:val="000000"/>
                <w:sz w:val="18"/>
                <w:szCs w:val="18"/>
              </w:rPr>
              <w:t>Odbačeno</w:t>
            </w:r>
          </w:p>
        </w:tc>
        <w:tc>
          <w:tcPr>
            <w:tcW w:w="1280" w:type="dxa"/>
            <w:shd w:val="clear" w:color="000000" w:fill="99CCFF"/>
            <w:vAlign w:val="center"/>
            <w:hideMark/>
          </w:tcPr>
          <w:p w14:paraId="0F91C612" w14:textId="77777777" w:rsidR="00F861FF" w:rsidRPr="001B4CA2" w:rsidRDefault="00F861FF" w:rsidP="00CE2706">
            <w:pPr>
              <w:jc w:val="center"/>
              <w:rPr>
                <w:b/>
                <w:bCs/>
                <w:color w:val="000000"/>
                <w:sz w:val="18"/>
                <w:szCs w:val="18"/>
              </w:rPr>
            </w:pPr>
            <w:r w:rsidRPr="001B4CA2">
              <w:rPr>
                <w:b/>
                <w:bCs/>
                <w:color w:val="000000"/>
                <w:sz w:val="18"/>
                <w:szCs w:val="18"/>
              </w:rPr>
              <w:t>Optuženo</w:t>
            </w:r>
          </w:p>
        </w:tc>
        <w:tc>
          <w:tcPr>
            <w:tcW w:w="1700" w:type="dxa"/>
            <w:shd w:val="clear" w:color="000000" w:fill="99CCFF"/>
            <w:vAlign w:val="center"/>
            <w:hideMark/>
          </w:tcPr>
          <w:p w14:paraId="66686B77" w14:textId="77777777" w:rsidR="00F861FF" w:rsidRPr="001B4CA2" w:rsidRDefault="00F861FF" w:rsidP="00CE2706">
            <w:pPr>
              <w:jc w:val="center"/>
              <w:rPr>
                <w:b/>
                <w:bCs/>
                <w:color w:val="000000"/>
                <w:sz w:val="18"/>
                <w:szCs w:val="18"/>
              </w:rPr>
            </w:pPr>
            <w:r w:rsidRPr="001B4CA2">
              <w:rPr>
                <w:b/>
                <w:bCs/>
                <w:color w:val="000000"/>
                <w:sz w:val="18"/>
                <w:szCs w:val="18"/>
              </w:rPr>
              <w:t>Presuđeno</w:t>
            </w:r>
          </w:p>
        </w:tc>
        <w:tc>
          <w:tcPr>
            <w:tcW w:w="1320" w:type="dxa"/>
            <w:shd w:val="clear" w:color="000000" w:fill="99CCFF"/>
            <w:vAlign w:val="center"/>
            <w:hideMark/>
          </w:tcPr>
          <w:p w14:paraId="4EEFA6A5" w14:textId="77777777" w:rsidR="00F861FF" w:rsidRPr="001B4CA2" w:rsidRDefault="00F861FF" w:rsidP="00CE2706">
            <w:pPr>
              <w:jc w:val="center"/>
              <w:rPr>
                <w:b/>
                <w:bCs/>
                <w:color w:val="000000"/>
                <w:sz w:val="18"/>
                <w:szCs w:val="18"/>
              </w:rPr>
            </w:pPr>
            <w:r w:rsidRPr="001B4CA2">
              <w:rPr>
                <w:b/>
                <w:bCs/>
                <w:color w:val="000000"/>
                <w:sz w:val="18"/>
                <w:szCs w:val="18"/>
              </w:rPr>
              <w:t>Od toga osuđeno</w:t>
            </w:r>
          </w:p>
        </w:tc>
      </w:tr>
      <w:tr w:rsidR="00F861FF" w:rsidRPr="001B4CA2" w14:paraId="5789B167" w14:textId="77777777" w:rsidTr="004926B3">
        <w:trPr>
          <w:trHeight w:val="318"/>
        </w:trPr>
        <w:tc>
          <w:tcPr>
            <w:tcW w:w="2343" w:type="dxa"/>
            <w:shd w:val="clear" w:color="auto" w:fill="auto"/>
            <w:vAlign w:val="center"/>
            <w:hideMark/>
          </w:tcPr>
          <w:p w14:paraId="4F740F25" w14:textId="77777777" w:rsidR="00F861FF" w:rsidRPr="001B4CA2" w:rsidRDefault="00F861FF" w:rsidP="00CE2706">
            <w:pPr>
              <w:rPr>
                <w:b/>
                <w:bCs/>
                <w:color w:val="000000"/>
                <w:sz w:val="18"/>
                <w:szCs w:val="18"/>
              </w:rPr>
            </w:pPr>
            <w:r w:rsidRPr="001B4CA2">
              <w:rPr>
                <w:b/>
                <w:bCs/>
                <w:color w:val="000000"/>
                <w:sz w:val="18"/>
                <w:szCs w:val="18"/>
              </w:rPr>
              <w:t>Odrasli</w:t>
            </w:r>
          </w:p>
        </w:tc>
        <w:tc>
          <w:tcPr>
            <w:tcW w:w="2080" w:type="dxa"/>
            <w:shd w:val="clear" w:color="auto" w:fill="auto"/>
            <w:vAlign w:val="center"/>
            <w:hideMark/>
          </w:tcPr>
          <w:p w14:paraId="3275D476" w14:textId="77777777" w:rsidR="00F861FF" w:rsidRPr="001B4CA2" w:rsidRDefault="00F861FF" w:rsidP="00CE2706">
            <w:pPr>
              <w:jc w:val="center"/>
              <w:rPr>
                <w:color w:val="000000"/>
                <w:sz w:val="18"/>
                <w:szCs w:val="18"/>
              </w:rPr>
            </w:pPr>
            <w:r w:rsidRPr="001B4CA2">
              <w:rPr>
                <w:color w:val="000000"/>
                <w:sz w:val="18"/>
                <w:szCs w:val="18"/>
              </w:rPr>
              <w:t>72</w:t>
            </w:r>
          </w:p>
        </w:tc>
        <w:tc>
          <w:tcPr>
            <w:tcW w:w="1280" w:type="dxa"/>
            <w:shd w:val="clear" w:color="auto" w:fill="auto"/>
            <w:vAlign w:val="center"/>
            <w:hideMark/>
          </w:tcPr>
          <w:p w14:paraId="6D647A6C" w14:textId="77777777" w:rsidR="00F861FF" w:rsidRPr="001B4CA2" w:rsidRDefault="00F861FF" w:rsidP="00CE2706">
            <w:pPr>
              <w:jc w:val="center"/>
              <w:rPr>
                <w:color w:val="000000"/>
                <w:sz w:val="18"/>
                <w:szCs w:val="18"/>
              </w:rPr>
            </w:pPr>
            <w:r w:rsidRPr="001B4CA2">
              <w:rPr>
                <w:color w:val="000000"/>
                <w:sz w:val="18"/>
                <w:szCs w:val="18"/>
              </w:rPr>
              <w:t>766</w:t>
            </w:r>
          </w:p>
        </w:tc>
        <w:tc>
          <w:tcPr>
            <w:tcW w:w="1700" w:type="dxa"/>
            <w:shd w:val="clear" w:color="auto" w:fill="auto"/>
            <w:vAlign w:val="center"/>
            <w:hideMark/>
          </w:tcPr>
          <w:p w14:paraId="42B96CFB" w14:textId="77777777" w:rsidR="00F861FF" w:rsidRPr="001B4CA2" w:rsidRDefault="00F861FF" w:rsidP="00CE2706">
            <w:pPr>
              <w:jc w:val="center"/>
              <w:rPr>
                <w:color w:val="000000"/>
                <w:sz w:val="18"/>
                <w:szCs w:val="18"/>
              </w:rPr>
            </w:pPr>
            <w:r w:rsidRPr="001B4CA2">
              <w:rPr>
                <w:color w:val="000000"/>
                <w:sz w:val="18"/>
                <w:szCs w:val="18"/>
              </w:rPr>
              <w:t>881</w:t>
            </w:r>
          </w:p>
        </w:tc>
        <w:tc>
          <w:tcPr>
            <w:tcW w:w="1320" w:type="dxa"/>
            <w:shd w:val="clear" w:color="auto" w:fill="auto"/>
            <w:vAlign w:val="center"/>
            <w:hideMark/>
          </w:tcPr>
          <w:p w14:paraId="5E96BAD0" w14:textId="77777777" w:rsidR="00F861FF" w:rsidRPr="001B4CA2" w:rsidRDefault="00F861FF" w:rsidP="00CE2706">
            <w:pPr>
              <w:jc w:val="center"/>
              <w:rPr>
                <w:color w:val="000000"/>
                <w:sz w:val="18"/>
                <w:szCs w:val="18"/>
              </w:rPr>
            </w:pPr>
            <w:r w:rsidRPr="001B4CA2">
              <w:rPr>
                <w:color w:val="000000"/>
                <w:sz w:val="18"/>
                <w:szCs w:val="18"/>
              </w:rPr>
              <w:t>790</w:t>
            </w:r>
          </w:p>
        </w:tc>
      </w:tr>
      <w:tr w:rsidR="00F861FF" w:rsidRPr="001B4CA2" w14:paraId="14E9F6E7" w14:textId="77777777" w:rsidTr="004926B3">
        <w:trPr>
          <w:trHeight w:val="318"/>
        </w:trPr>
        <w:tc>
          <w:tcPr>
            <w:tcW w:w="2343" w:type="dxa"/>
            <w:shd w:val="clear" w:color="auto" w:fill="auto"/>
            <w:vAlign w:val="center"/>
            <w:hideMark/>
          </w:tcPr>
          <w:p w14:paraId="58678F36" w14:textId="77777777" w:rsidR="00F861FF" w:rsidRPr="001B4CA2" w:rsidRDefault="00F861FF" w:rsidP="00CE2706">
            <w:pPr>
              <w:rPr>
                <w:b/>
                <w:bCs/>
                <w:color w:val="000000"/>
                <w:sz w:val="18"/>
                <w:szCs w:val="18"/>
              </w:rPr>
            </w:pPr>
            <w:r w:rsidRPr="001B4CA2">
              <w:rPr>
                <w:b/>
                <w:bCs/>
                <w:color w:val="000000"/>
                <w:sz w:val="18"/>
                <w:szCs w:val="18"/>
              </w:rPr>
              <w:t>Mlađi punoljetnici</w:t>
            </w:r>
          </w:p>
        </w:tc>
        <w:tc>
          <w:tcPr>
            <w:tcW w:w="2080" w:type="dxa"/>
            <w:shd w:val="clear" w:color="auto" w:fill="auto"/>
            <w:vAlign w:val="center"/>
            <w:hideMark/>
          </w:tcPr>
          <w:p w14:paraId="17EDFFCF" w14:textId="77777777" w:rsidR="00F861FF" w:rsidRPr="001B4CA2" w:rsidRDefault="00F861FF" w:rsidP="00CE2706">
            <w:pPr>
              <w:jc w:val="center"/>
              <w:rPr>
                <w:color w:val="000000"/>
                <w:sz w:val="18"/>
                <w:szCs w:val="18"/>
              </w:rPr>
            </w:pPr>
            <w:r w:rsidRPr="001B4CA2">
              <w:rPr>
                <w:color w:val="000000"/>
                <w:sz w:val="18"/>
                <w:szCs w:val="18"/>
              </w:rPr>
              <w:t>5</w:t>
            </w:r>
          </w:p>
        </w:tc>
        <w:tc>
          <w:tcPr>
            <w:tcW w:w="1280" w:type="dxa"/>
            <w:shd w:val="clear" w:color="auto" w:fill="auto"/>
            <w:vAlign w:val="center"/>
            <w:hideMark/>
          </w:tcPr>
          <w:p w14:paraId="207B5EF9" w14:textId="77777777" w:rsidR="00F861FF" w:rsidRPr="001B4CA2" w:rsidRDefault="00F861FF" w:rsidP="00CE2706">
            <w:pPr>
              <w:jc w:val="center"/>
              <w:rPr>
                <w:color w:val="000000"/>
                <w:sz w:val="18"/>
                <w:szCs w:val="18"/>
              </w:rPr>
            </w:pPr>
            <w:r w:rsidRPr="001B4CA2">
              <w:rPr>
                <w:color w:val="000000"/>
                <w:sz w:val="18"/>
                <w:szCs w:val="18"/>
              </w:rPr>
              <w:t>102</w:t>
            </w:r>
          </w:p>
        </w:tc>
        <w:tc>
          <w:tcPr>
            <w:tcW w:w="1700" w:type="dxa"/>
            <w:shd w:val="clear" w:color="auto" w:fill="auto"/>
            <w:vAlign w:val="center"/>
            <w:hideMark/>
          </w:tcPr>
          <w:p w14:paraId="37F747D4" w14:textId="77777777" w:rsidR="00F861FF" w:rsidRPr="001B4CA2" w:rsidRDefault="00F861FF" w:rsidP="00CE2706">
            <w:pPr>
              <w:jc w:val="center"/>
              <w:rPr>
                <w:color w:val="000000"/>
                <w:sz w:val="18"/>
                <w:szCs w:val="18"/>
              </w:rPr>
            </w:pPr>
            <w:r w:rsidRPr="001B4CA2">
              <w:rPr>
                <w:color w:val="000000"/>
                <w:sz w:val="18"/>
                <w:szCs w:val="18"/>
              </w:rPr>
              <w:t>141</w:t>
            </w:r>
          </w:p>
        </w:tc>
        <w:tc>
          <w:tcPr>
            <w:tcW w:w="1320" w:type="dxa"/>
            <w:shd w:val="clear" w:color="auto" w:fill="auto"/>
            <w:vAlign w:val="center"/>
            <w:hideMark/>
          </w:tcPr>
          <w:p w14:paraId="248B73E6" w14:textId="77777777" w:rsidR="00F861FF" w:rsidRPr="001B4CA2" w:rsidRDefault="00F861FF" w:rsidP="00CE2706">
            <w:pPr>
              <w:jc w:val="center"/>
              <w:rPr>
                <w:color w:val="000000"/>
                <w:sz w:val="18"/>
                <w:szCs w:val="18"/>
              </w:rPr>
            </w:pPr>
            <w:r w:rsidRPr="001B4CA2">
              <w:rPr>
                <w:color w:val="000000"/>
                <w:sz w:val="18"/>
                <w:szCs w:val="18"/>
              </w:rPr>
              <w:t>125</w:t>
            </w:r>
          </w:p>
        </w:tc>
      </w:tr>
      <w:tr w:rsidR="00F861FF" w:rsidRPr="001B4CA2" w14:paraId="30579579" w14:textId="77777777" w:rsidTr="004926B3">
        <w:trPr>
          <w:trHeight w:val="318"/>
        </w:trPr>
        <w:tc>
          <w:tcPr>
            <w:tcW w:w="2343" w:type="dxa"/>
            <w:shd w:val="clear" w:color="auto" w:fill="auto"/>
            <w:vAlign w:val="center"/>
            <w:hideMark/>
          </w:tcPr>
          <w:p w14:paraId="6EB1C62B" w14:textId="77777777" w:rsidR="00F861FF" w:rsidRPr="001B4CA2" w:rsidRDefault="00F861FF" w:rsidP="00CE2706">
            <w:pPr>
              <w:rPr>
                <w:b/>
                <w:bCs/>
                <w:color w:val="000000"/>
                <w:sz w:val="18"/>
                <w:szCs w:val="18"/>
              </w:rPr>
            </w:pPr>
            <w:r w:rsidRPr="001B4CA2">
              <w:rPr>
                <w:b/>
                <w:bCs/>
                <w:color w:val="000000"/>
                <w:sz w:val="18"/>
                <w:szCs w:val="18"/>
              </w:rPr>
              <w:t>Maloljetnici</w:t>
            </w:r>
          </w:p>
        </w:tc>
        <w:tc>
          <w:tcPr>
            <w:tcW w:w="2080" w:type="dxa"/>
            <w:shd w:val="clear" w:color="auto" w:fill="auto"/>
            <w:vAlign w:val="center"/>
            <w:hideMark/>
          </w:tcPr>
          <w:p w14:paraId="350C600D" w14:textId="77777777" w:rsidR="00F861FF" w:rsidRPr="001B4CA2" w:rsidRDefault="00F861FF" w:rsidP="00CE2706">
            <w:pPr>
              <w:jc w:val="center"/>
              <w:rPr>
                <w:color w:val="000000"/>
                <w:sz w:val="18"/>
                <w:szCs w:val="18"/>
              </w:rPr>
            </w:pPr>
            <w:r w:rsidRPr="001B4CA2">
              <w:rPr>
                <w:color w:val="000000"/>
                <w:sz w:val="18"/>
                <w:szCs w:val="18"/>
              </w:rPr>
              <w:t>6</w:t>
            </w:r>
          </w:p>
        </w:tc>
        <w:tc>
          <w:tcPr>
            <w:tcW w:w="1280" w:type="dxa"/>
            <w:shd w:val="clear" w:color="000000" w:fill="FFFFFF"/>
            <w:vAlign w:val="center"/>
            <w:hideMark/>
          </w:tcPr>
          <w:p w14:paraId="36CD9316" w14:textId="77777777" w:rsidR="00F861FF" w:rsidRPr="001B4CA2" w:rsidRDefault="00F861FF" w:rsidP="00CE2706">
            <w:pPr>
              <w:jc w:val="center"/>
              <w:rPr>
                <w:color w:val="000000"/>
                <w:sz w:val="18"/>
                <w:szCs w:val="18"/>
              </w:rPr>
            </w:pPr>
            <w:r w:rsidRPr="001B4CA2">
              <w:rPr>
                <w:color w:val="000000"/>
                <w:sz w:val="18"/>
                <w:szCs w:val="18"/>
              </w:rPr>
              <w:t>20</w:t>
            </w:r>
          </w:p>
        </w:tc>
        <w:tc>
          <w:tcPr>
            <w:tcW w:w="1700" w:type="dxa"/>
            <w:shd w:val="clear" w:color="000000" w:fill="FFFFFF"/>
            <w:vAlign w:val="center"/>
            <w:hideMark/>
          </w:tcPr>
          <w:p w14:paraId="07908DF5" w14:textId="77777777" w:rsidR="00F861FF" w:rsidRPr="001B4CA2" w:rsidRDefault="00F861FF" w:rsidP="00CE2706">
            <w:pPr>
              <w:jc w:val="center"/>
              <w:rPr>
                <w:color w:val="000000"/>
                <w:sz w:val="18"/>
                <w:szCs w:val="18"/>
              </w:rPr>
            </w:pPr>
            <w:r w:rsidRPr="001B4CA2">
              <w:rPr>
                <w:color w:val="000000"/>
                <w:sz w:val="18"/>
                <w:szCs w:val="18"/>
              </w:rPr>
              <w:t>30</w:t>
            </w:r>
          </w:p>
        </w:tc>
        <w:tc>
          <w:tcPr>
            <w:tcW w:w="1320" w:type="dxa"/>
            <w:shd w:val="clear" w:color="000000" w:fill="FFFFFF"/>
            <w:vAlign w:val="center"/>
            <w:hideMark/>
          </w:tcPr>
          <w:p w14:paraId="4FA2B71C" w14:textId="77777777" w:rsidR="00F861FF" w:rsidRPr="001B4CA2" w:rsidRDefault="00F861FF" w:rsidP="00CE2706">
            <w:pPr>
              <w:jc w:val="center"/>
              <w:rPr>
                <w:color w:val="000000"/>
                <w:sz w:val="18"/>
                <w:szCs w:val="18"/>
              </w:rPr>
            </w:pPr>
            <w:r w:rsidRPr="001B4CA2">
              <w:rPr>
                <w:color w:val="000000"/>
                <w:sz w:val="18"/>
                <w:szCs w:val="18"/>
              </w:rPr>
              <w:t>27</w:t>
            </w:r>
          </w:p>
        </w:tc>
      </w:tr>
      <w:tr w:rsidR="00F861FF" w:rsidRPr="001B4CA2" w14:paraId="5545856C" w14:textId="77777777" w:rsidTr="004926B3">
        <w:trPr>
          <w:trHeight w:val="318"/>
        </w:trPr>
        <w:tc>
          <w:tcPr>
            <w:tcW w:w="2343" w:type="dxa"/>
            <w:shd w:val="clear" w:color="auto" w:fill="auto"/>
            <w:vAlign w:val="center"/>
            <w:hideMark/>
          </w:tcPr>
          <w:p w14:paraId="2B0E16CE" w14:textId="77777777" w:rsidR="00F861FF" w:rsidRPr="001B4CA2" w:rsidRDefault="00F861FF" w:rsidP="00CE2706">
            <w:pPr>
              <w:rPr>
                <w:b/>
                <w:bCs/>
                <w:color w:val="000000"/>
                <w:sz w:val="18"/>
                <w:szCs w:val="18"/>
              </w:rPr>
            </w:pPr>
            <w:r w:rsidRPr="001B4CA2">
              <w:rPr>
                <w:b/>
                <w:bCs/>
                <w:color w:val="000000"/>
                <w:sz w:val="18"/>
                <w:szCs w:val="18"/>
              </w:rPr>
              <w:t>UKUPNO</w:t>
            </w:r>
          </w:p>
        </w:tc>
        <w:tc>
          <w:tcPr>
            <w:tcW w:w="2080" w:type="dxa"/>
            <w:shd w:val="clear" w:color="auto" w:fill="auto"/>
            <w:vAlign w:val="center"/>
            <w:hideMark/>
          </w:tcPr>
          <w:p w14:paraId="568D9A20" w14:textId="77777777" w:rsidR="00F861FF" w:rsidRPr="001B4CA2" w:rsidRDefault="00F861FF" w:rsidP="00CE2706">
            <w:pPr>
              <w:jc w:val="center"/>
              <w:rPr>
                <w:b/>
                <w:bCs/>
                <w:color w:val="000000"/>
                <w:sz w:val="18"/>
                <w:szCs w:val="18"/>
              </w:rPr>
            </w:pPr>
            <w:r w:rsidRPr="001B4CA2">
              <w:rPr>
                <w:b/>
                <w:bCs/>
                <w:color w:val="000000"/>
                <w:sz w:val="18"/>
                <w:szCs w:val="18"/>
              </w:rPr>
              <w:t>83</w:t>
            </w:r>
          </w:p>
        </w:tc>
        <w:tc>
          <w:tcPr>
            <w:tcW w:w="1280" w:type="dxa"/>
            <w:shd w:val="clear" w:color="auto" w:fill="auto"/>
            <w:vAlign w:val="center"/>
            <w:hideMark/>
          </w:tcPr>
          <w:p w14:paraId="115EADCC" w14:textId="77777777" w:rsidR="00F861FF" w:rsidRPr="001B4CA2" w:rsidRDefault="00F861FF" w:rsidP="00CE2706">
            <w:pPr>
              <w:jc w:val="center"/>
              <w:rPr>
                <w:b/>
                <w:bCs/>
                <w:color w:val="000000"/>
                <w:sz w:val="18"/>
                <w:szCs w:val="18"/>
              </w:rPr>
            </w:pPr>
            <w:r w:rsidRPr="001B4CA2">
              <w:rPr>
                <w:b/>
                <w:bCs/>
                <w:color w:val="000000"/>
                <w:sz w:val="18"/>
                <w:szCs w:val="18"/>
              </w:rPr>
              <w:t>888</w:t>
            </w:r>
          </w:p>
        </w:tc>
        <w:tc>
          <w:tcPr>
            <w:tcW w:w="1700" w:type="dxa"/>
            <w:shd w:val="clear" w:color="auto" w:fill="auto"/>
            <w:vAlign w:val="center"/>
            <w:hideMark/>
          </w:tcPr>
          <w:p w14:paraId="783E1B5C" w14:textId="729CD05C" w:rsidR="00F861FF" w:rsidRPr="001B4CA2" w:rsidRDefault="00F861FF" w:rsidP="00CE2706">
            <w:pPr>
              <w:jc w:val="center"/>
              <w:rPr>
                <w:b/>
                <w:bCs/>
                <w:color w:val="000000"/>
                <w:sz w:val="18"/>
                <w:szCs w:val="18"/>
              </w:rPr>
            </w:pPr>
            <w:r w:rsidRPr="001B4CA2">
              <w:rPr>
                <w:b/>
                <w:bCs/>
                <w:color w:val="000000"/>
                <w:sz w:val="18"/>
                <w:szCs w:val="18"/>
              </w:rPr>
              <w:t>1</w:t>
            </w:r>
            <w:r w:rsidR="00C922F1" w:rsidRPr="001B4CA2">
              <w:rPr>
                <w:b/>
                <w:bCs/>
                <w:color w:val="000000"/>
                <w:sz w:val="18"/>
                <w:szCs w:val="18"/>
              </w:rPr>
              <w:t>.</w:t>
            </w:r>
            <w:r w:rsidRPr="001B4CA2">
              <w:rPr>
                <w:b/>
                <w:bCs/>
                <w:color w:val="000000"/>
                <w:sz w:val="18"/>
                <w:szCs w:val="18"/>
              </w:rPr>
              <w:t>052</w:t>
            </w:r>
          </w:p>
        </w:tc>
        <w:tc>
          <w:tcPr>
            <w:tcW w:w="1320" w:type="dxa"/>
            <w:shd w:val="clear" w:color="auto" w:fill="auto"/>
            <w:vAlign w:val="center"/>
            <w:hideMark/>
          </w:tcPr>
          <w:p w14:paraId="01AC97BB" w14:textId="77777777" w:rsidR="00F861FF" w:rsidRPr="001B4CA2" w:rsidRDefault="00F861FF" w:rsidP="00CE2706">
            <w:pPr>
              <w:jc w:val="center"/>
              <w:rPr>
                <w:b/>
                <w:bCs/>
                <w:color w:val="000000"/>
                <w:sz w:val="18"/>
                <w:szCs w:val="18"/>
              </w:rPr>
            </w:pPr>
            <w:r w:rsidRPr="001B4CA2">
              <w:rPr>
                <w:b/>
                <w:bCs/>
                <w:color w:val="000000"/>
                <w:sz w:val="18"/>
                <w:szCs w:val="18"/>
              </w:rPr>
              <w:t>942</w:t>
            </w:r>
          </w:p>
        </w:tc>
      </w:tr>
    </w:tbl>
    <w:p w14:paraId="485BF52F" w14:textId="77777777" w:rsidR="00F861FF" w:rsidRPr="001B4CA2" w:rsidRDefault="00F861FF" w:rsidP="00F861FF">
      <w:pPr>
        <w:widowControl w:val="0"/>
        <w:ind w:firstLine="720"/>
        <w:rPr>
          <w:b/>
          <w:snapToGrid w:val="0"/>
        </w:rPr>
      </w:pPr>
    </w:p>
    <w:p w14:paraId="0AD9F966" w14:textId="06195F94" w:rsidR="00F861FF" w:rsidRPr="001B4CA2" w:rsidRDefault="00F861FF" w:rsidP="00F861FF">
      <w:r w:rsidRPr="001B4CA2">
        <w:tab/>
        <w:t>Tijekom 2022. odbačajima i optuženjima riješene su prijave protiv 971 osobe pri čemu odbačaji sudjeluju</w:t>
      </w:r>
      <w:r w:rsidR="00FD08E9">
        <w:t xml:space="preserve"> s </w:t>
      </w:r>
      <w:r w:rsidRPr="001B4CA2">
        <w:t>8,54</w:t>
      </w:r>
      <w:r w:rsidR="00990BD1">
        <w:t> </w:t>
      </w:r>
      <w:r w:rsidRPr="001B4CA2">
        <w:t>% u strukturi donesenih odluka, dok optuženja participiraju</w:t>
      </w:r>
      <w:r w:rsidR="00FD08E9">
        <w:t xml:space="preserve"> s </w:t>
      </w:r>
      <w:r w:rsidRPr="001B4CA2">
        <w:t>91,45</w:t>
      </w:r>
      <w:r w:rsidR="00990BD1">
        <w:t> </w:t>
      </w:r>
      <w:r w:rsidRPr="001B4CA2">
        <w:t>%. U odnosu na razloge odbačaja kaznenih prijava nema bitnih odstupanja u odnosu na prošlogodišnje izvještajno razdoblje.</w:t>
      </w:r>
    </w:p>
    <w:p w14:paraId="6741720E" w14:textId="77777777" w:rsidR="00F861FF" w:rsidRPr="001B4CA2" w:rsidRDefault="00F861FF" w:rsidP="00F861FF"/>
    <w:p w14:paraId="54C15F2C" w14:textId="49763EE7" w:rsidR="00F861FF" w:rsidRPr="001B4CA2" w:rsidRDefault="00F861FF" w:rsidP="00F861FF">
      <w:r w:rsidRPr="001B4CA2">
        <w:tab/>
        <w:t>Zbog kaznenih djela zlouporabe opojnih droga presuđen</w:t>
      </w:r>
      <w:r w:rsidR="00990BD1">
        <w:t>e su</w:t>
      </w:r>
      <w:r w:rsidRPr="001B4CA2">
        <w:t xml:space="preserve"> ukupno 1.052 osobe</w:t>
      </w:r>
      <w:r w:rsidR="00990BD1">
        <w:t>,</w:t>
      </w:r>
      <w:r w:rsidRPr="001B4CA2">
        <w:t xml:space="preserve"> od čega 942 osobe osuđujućim presudama koje čine 89,54</w:t>
      </w:r>
      <w:r w:rsidR="00990BD1">
        <w:t> </w:t>
      </w:r>
      <w:r w:rsidRPr="001B4CA2">
        <w:t>% donesenih odluka i potvrđuju visoku uspješnost u procesuiranju ove vrste kaznenih djela.</w:t>
      </w:r>
    </w:p>
    <w:p w14:paraId="196CFDE4" w14:textId="77777777" w:rsidR="00F861FF" w:rsidRPr="001B4CA2" w:rsidRDefault="00F861FF" w:rsidP="00F861FF"/>
    <w:p w14:paraId="0554E4AE" w14:textId="437AE3F7" w:rsidR="00F861FF" w:rsidRPr="001B4CA2" w:rsidRDefault="00F861FF" w:rsidP="00F861FF">
      <w:r w:rsidRPr="001B4CA2">
        <w:tab/>
        <w:t>Na kaznu zatvora osuđene su ukupno 382 osobe</w:t>
      </w:r>
      <w:r w:rsidR="00990BD1">
        <w:t>,</w:t>
      </w:r>
      <w:r w:rsidRPr="001B4CA2">
        <w:t xml:space="preserve"> odnosno 40,55</w:t>
      </w:r>
      <w:r w:rsidR="00990BD1">
        <w:t> </w:t>
      </w:r>
      <w:r w:rsidRPr="001B4CA2">
        <w:t>% osuđujućih presuda odnosi se na</w:t>
      </w:r>
      <w:r w:rsidR="00FD08E9">
        <w:t xml:space="preserve"> </w:t>
      </w:r>
      <w:r w:rsidRPr="001B4CA2">
        <w:t>zatvorske kazne, od kojeg broja zatvorskih kazni je 111 kazni zatvora, odnosno 29,06</w:t>
      </w:r>
      <w:r w:rsidR="00990BD1">
        <w:t> </w:t>
      </w:r>
      <w:r w:rsidRPr="001B4CA2">
        <w:t>%, zatvorskih kazni zamijenjeno radom za opće dobro. Uvjetne osude najzastupljenija su sankcija izrečena u odnosu na 500 počinitelja kaznenih djela</w:t>
      </w:r>
      <w:r w:rsidR="00990BD1">
        <w:t>,</w:t>
      </w:r>
      <w:r w:rsidRPr="001B4CA2">
        <w:t xml:space="preserve"> odnosno 53,08</w:t>
      </w:r>
      <w:r w:rsidR="00990BD1">
        <w:t> </w:t>
      </w:r>
      <w:r w:rsidRPr="001B4CA2">
        <w:t>% od ukupnog broja osuđujućih presuda, dok su najmanje zastupljene sankcije novčane kazne.</w:t>
      </w:r>
    </w:p>
    <w:p w14:paraId="24D59A50" w14:textId="77777777" w:rsidR="00F861FF" w:rsidRPr="001B4CA2" w:rsidRDefault="00F861FF" w:rsidP="00F861FF"/>
    <w:p w14:paraId="26AEDF9C" w14:textId="3C0B6E6F" w:rsidR="00F861FF" w:rsidRPr="001B4CA2" w:rsidRDefault="00F861FF" w:rsidP="00F861FF">
      <w:r w:rsidRPr="001B4CA2">
        <w:tab/>
        <w:t>Prema maloljetnicima je izrečena 1 zatvorska kazna, 9 pridržaja izricanja maloljetničkog zatvora te 17 odgojnih mjera koje kod maloljetnika participiraju kao najzastupljenije sankcije.</w:t>
      </w:r>
    </w:p>
    <w:p w14:paraId="1D987D1B" w14:textId="77777777" w:rsidR="00492AE9" w:rsidRPr="001B4CA2" w:rsidRDefault="00492AE9" w:rsidP="00F861FF"/>
    <w:p w14:paraId="30D0338B" w14:textId="16DD6A51" w:rsidR="00F861FF" w:rsidRDefault="00F861FF" w:rsidP="00F861FF">
      <w:r w:rsidRPr="001B4CA2">
        <w:lastRenderedPageBreak/>
        <w:tab/>
        <w:t xml:space="preserve">Državna </w:t>
      </w:r>
      <w:r w:rsidR="0028615B" w:rsidRPr="001B4CA2">
        <w:t xml:space="preserve">su </w:t>
      </w:r>
      <w:r w:rsidRPr="001B4CA2">
        <w:t>odvjetništva izjavila ukupno 220 žalbi</w:t>
      </w:r>
      <w:r w:rsidR="0028615B">
        <w:t>,</w:t>
      </w:r>
      <w:r w:rsidRPr="001B4CA2">
        <w:t xml:space="preserve"> od čega zbog odluke o kazni 154 žalbe, odnosno 70</w:t>
      </w:r>
      <w:r w:rsidR="0028615B">
        <w:t> </w:t>
      </w:r>
      <w:r w:rsidRPr="001B4CA2">
        <w:t>% žalbi izjavljeno je zbog kazne (i/ili drugih razloga i odluke o kazni) jer državno odvjetništvo kaznenu politiku sudova ocjenjuje preblagom te ulaganjem žalbi nastoji utjecati na strože kazne u ovoj oblasti kriminaliteta.</w:t>
      </w:r>
    </w:p>
    <w:p w14:paraId="474454A1" w14:textId="77777777" w:rsidR="00223ABD" w:rsidRPr="001B4CA2" w:rsidRDefault="00223ABD" w:rsidP="00F861FF"/>
    <w:p w14:paraId="3E561B69" w14:textId="3B7CD0EB" w:rsidR="00F861FF" w:rsidRPr="001B4CA2" w:rsidRDefault="00F861FF" w:rsidP="00F861FF">
      <w:r w:rsidRPr="001B4CA2">
        <w:tab/>
        <w:t>Od počinitelja kaznenih djela vezanih u zlouporabi droga oduzeta je imovinska korist u izvještajnom razdoblju od 6.880.408,34 k</w:t>
      </w:r>
      <w:r w:rsidR="00223ABD">
        <w:t>una</w:t>
      </w:r>
      <w:r w:rsidR="0028615B">
        <w:t>,</w:t>
      </w:r>
      <w:r w:rsidRPr="001B4CA2">
        <w:t xml:space="preserve"> što je porast u odnosu na prethodno izvještajno razdoblje.</w:t>
      </w:r>
    </w:p>
    <w:p w14:paraId="0DF9D937" w14:textId="77777777" w:rsidR="005B2800" w:rsidRPr="001B4CA2" w:rsidRDefault="005B2800" w:rsidP="007C2573"/>
    <w:p w14:paraId="064CF49B" w14:textId="204B1B5E" w:rsidR="007C2573" w:rsidRPr="001B4CA2" w:rsidRDefault="007C2573" w:rsidP="005A0983">
      <w:pPr>
        <w:pStyle w:val="Naslov3"/>
        <w:ind w:left="426"/>
        <w:rPr>
          <w:rFonts w:ascii="Arial" w:hAnsi="Arial" w:cs="Arial"/>
        </w:rPr>
      </w:pPr>
      <w:bookmarkStart w:id="145" w:name="_Toc133394375"/>
      <w:r w:rsidRPr="001B4CA2">
        <w:rPr>
          <w:rFonts w:ascii="Arial" w:hAnsi="Arial" w:cs="Arial"/>
        </w:rPr>
        <w:t>Kazneno</w:t>
      </w:r>
      <w:r w:rsidR="006262C8" w:rsidRPr="001B4CA2">
        <w:rPr>
          <w:rFonts w:ascii="Arial" w:hAnsi="Arial" w:cs="Arial"/>
        </w:rPr>
        <w:t xml:space="preserve"> </w:t>
      </w:r>
      <w:r w:rsidRPr="001B4CA2">
        <w:rPr>
          <w:rFonts w:ascii="Arial" w:hAnsi="Arial" w:cs="Arial"/>
        </w:rPr>
        <w:t>djelo</w:t>
      </w:r>
      <w:r w:rsidR="006262C8" w:rsidRPr="001B4CA2">
        <w:rPr>
          <w:rFonts w:ascii="Arial" w:hAnsi="Arial" w:cs="Arial"/>
        </w:rPr>
        <w:t xml:space="preserve"> </w:t>
      </w:r>
      <w:r w:rsidRPr="001B4CA2">
        <w:rPr>
          <w:rFonts w:ascii="Arial" w:hAnsi="Arial" w:cs="Arial"/>
        </w:rPr>
        <w:t>nasilj</w:t>
      </w:r>
      <w:r w:rsidR="005A0983" w:rsidRPr="001B4CA2">
        <w:rPr>
          <w:rFonts w:ascii="Arial" w:hAnsi="Arial" w:cs="Arial"/>
        </w:rPr>
        <w:t>e</w:t>
      </w:r>
      <w:r w:rsidR="006262C8" w:rsidRPr="001B4CA2">
        <w:rPr>
          <w:rFonts w:ascii="Arial" w:hAnsi="Arial" w:cs="Arial"/>
        </w:rPr>
        <w:t xml:space="preserve"> </w:t>
      </w:r>
      <w:r w:rsidRPr="001B4CA2">
        <w:rPr>
          <w:rFonts w:ascii="Arial" w:hAnsi="Arial" w:cs="Arial"/>
        </w:rPr>
        <w:t>u</w:t>
      </w:r>
      <w:r w:rsidR="006262C8" w:rsidRPr="001B4CA2">
        <w:rPr>
          <w:rFonts w:ascii="Arial" w:hAnsi="Arial" w:cs="Arial"/>
        </w:rPr>
        <w:t xml:space="preserve"> </w:t>
      </w:r>
      <w:r w:rsidRPr="001B4CA2">
        <w:rPr>
          <w:rFonts w:ascii="Arial" w:hAnsi="Arial" w:cs="Arial"/>
        </w:rPr>
        <w:t>obitelji</w:t>
      </w:r>
      <w:bookmarkEnd w:id="145"/>
    </w:p>
    <w:p w14:paraId="49DAD228" w14:textId="77777777" w:rsidR="00641569" w:rsidRPr="001B4CA2" w:rsidRDefault="00641569" w:rsidP="00641569"/>
    <w:p w14:paraId="376A4830" w14:textId="08C945E7" w:rsidR="00061DE9" w:rsidRPr="001B4CA2" w:rsidRDefault="004926B3" w:rsidP="00061DE9">
      <w:pPr>
        <w:rPr>
          <w:i/>
          <w:iCs/>
          <w:snapToGrid w:val="0"/>
        </w:rPr>
      </w:pPr>
      <w:r>
        <w:rPr>
          <w:i/>
          <w:iCs/>
          <w:snapToGrid w:val="0"/>
        </w:rPr>
        <w:t xml:space="preserve">  </w:t>
      </w:r>
      <w:r w:rsidR="00061DE9" w:rsidRPr="001B4CA2">
        <w:rPr>
          <w:i/>
          <w:iCs/>
          <w:snapToGrid w:val="0"/>
        </w:rPr>
        <w:t>Kazneno djelo nasilje u obitelji</w:t>
      </w:r>
    </w:p>
    <w:tbl>
      <w:tblPr>
        <w:tblW w:w="8931" w:type="dxa"/>
        <w:tblInd w:w="108" w:type="dxa"/>
        <w:tblLayout w:type="fixed"/>
        <w:tblLook w:val="04A0" w:firstRow="1" w:lastRow="0" w:firstColumn="1" w:lastColumn="0" w:noHBand="0" w:noVBand="1"/>
      </w:tblPr>
      <w:tblGrid>
        <w:gridCol w:w="788"/>
        <w:gridCol w:w="955"/>
        <w:gridCol w:w="956"/>
        <w:gridCol w:w="955"/>
        <w:gridCol w:w="956"/>
        <w:gridCol w:w="955"/>
        <w:gridCol w:w="956"/>
        <w:gridCol w:w="803"/>
        <w:gridCol w:w="803"/>
        <w:gridCol w:w="804"/>
      </w:tblGrid>
      <w:tr w:rsidR="00061DE9" w:rsidRPr="001B4CA2" w14:paraId="2E15B571" w14:textId="77777777" w:rsidTr="00185891">
        <w:trPr>
          <w:trHeight w:val="352"/>
        </w:trPr>
        <w:tc>
          <w:tcPr>
            <w:tcW w:w="788" w:type="dxa"/>
            <w:vMerge w:val="restart"/>
            <w:tcBorders>
              <w:top w:val="single" w:sz="8" w:space="0" w:color="auto"/>
              <w:left w:val="single" w:sz="8" w:space="0" w:color="auto"/>
              <w:bottom w:val="single" w:sz="8" w:space="0" w:color="000000"/>
              <w:right w:val="single" w:sz="8" w:space="0" w:color="auto"/>
            </w:tcBorders>
            <w:shd w:val="clear" w:color="000000" w:fill="99CCFF"/>
            <w:noWrap/>
            <w:textDirection w:val="btLr"/>
            <w:vAlign w:val="center"/>
            <w:hideMark/>
          </w:tcPr>
          <w:p w14:paraId="036026FE" w14:textId="77777777" w:rsidR="00061DE9" w:rsidRPr="001B4CA2" w:rsidRDefault="00061DE9" w:rsidP="002A38E7">
            <w:pPr>
              <w:ind w:left="113" w:right="113"/>
              <w:jc w:val="left"/>
              <w:rPr>
                <w:b/>
                <w:bCs/>
                <w:color w:val="000000"/>
                <w:sz w:val="18"/>
                <w:szCs w:val="18"/>
              </w:rPr>
            </w:pPr>
            <w:r w:rsidRPr="001B4CA2">
              <w:rPr>
                <w:b/>
                <w:bCs/>
                <w:color w:val="000000"/>
                <w:sz w:val="18"/>
                <w:szCs w:val="18"/>
              </w:rPr>
              <w:t>Godina</w:t>
            </w:r>
          </w:p>
        </w:tc>
        <w:tc>
          <w:tcPr>
            <w:tcW w:w="955" w:type="dxa"/>
            <w:vMerge w:val="restart"/>
            <w:tcBorders>
              <w:top w:val="single" w:sz="8" w:space="0" w:color="auto"/>
              <w:left w:val="single" w:sz="8" w:space="0" w:color="auto"/>
              <w:bottom w:val="single" w:sz="8" w:space="0" w:color="000000"/>
              <w:right w:val="single" w:sz="8" w:space="0" w:color="auto"/>
            </w:tcBorders>
            <w:shd w:val="clear" w:color="000000" w:fill="99CCFF"/>
            <w:textDirection w:val="btLr"/>
            <w:vAlign w:val="bottom"/>
            <w:hideMark/>
          </w:tcPr>
          <w:p w14:paraId="1AC491AD" w14:textId="77777777" w:rsidR="00061DE9" w:rsidRPr="001B4CA2" w:rsidRDefault="00061DE9" w:rsidP="002A38E7">
            <w:pPr>
              <w:jc w:val="left"/>
              <w:rPr>
                <w:b/>
                <w:bCs/>
                <w:color w:val="000000"/>
                <w:sz w:val="18"/>
                <w:szCs w:val="18"/>
              </w:rPr>
            </w:pPr>
            <w:r w:rsidRPr="001B4CA2">
              <w:rPr>
                <w:b/>
                <w:bCs/>
                <w:color w:val="000000"/>
                <w:sz w:val="18"/>
                <w:szCs w:val="18"/>
              </w:rPr>
              <w:t>Ostalo u radu</w:t>
            </w:r>
          </w:p>
        </w:tc>
        <w:tc>
          <w:tcPr>
            <w:tcW w:w="956" w:type="dxa"/>
            <w:vMerge w:val="restart"/>
            <w:tcBorders>
              <w:top w:val="single" w:sz="8" w:space="0" w:color="auto"/>
              <w:left w:val="single" w:sz="8" w:space="0" w:color="auto"/>
              <w:bottom w:val="single" w:sz="8" w:space="0" w:color="000000"/>
              <w:right w:val="single" w:sz="8" w:space="0" w:color="auto"/>
            </w:tcBorders>
            <w:shd w:val="clear" w:color="000000" w:fill="99CCFF"/>
            <w:textDirection w:val="btLr"/>
            <w:vAlign w:val="bottom"/>
            <w:hideMark/>
          </w:tcPr>
          <w:p w14:paraId="0215648E" w14:textId="77777777" w:rsidR="00061DE9" w:rsidRPr="001B4CA2" w:rsidRDefault="00061DE9" w:rsidP="002A38E7">
            <w:pPr>
              <w:jc w:val="left"/>
              <w:rPr>
                <w:b/>
                <w:bCs/>
                <w:color w:val="000000"/>
                <w:sz w:val="18"/>
                <w:szCs w:val="18"/>
              </w:rPr>
            </w:pPr>
            <w:r w:rsidRPr="001B4CA2">
              <w:rPr>
                <w:b/>
                <w:bCs/>
                <w:color w:val="000000"/>
                <w:sz w:val="18"/>
                <w:szCs w:val="18"/>
              </w:rPr>
              <w:t>Prijava u izvještajnom razdoblju</w:t>
            </w:r>
          </w:p>
        </w:tc>
        <w:tc>
          <w:tcPr>
            <w:tcW w:w="955" w:type="dxa"/>
            <w:vMerge w:val="restart"/>
            <w:tcBorders>
              <w:top w:val="single" w:sz="8" w:space="0" w:color="auto"/>
              <w:left w:val="single" w:sz="8" w:space="0" w:color="auto"/>
              <w:bottom w:val="single" w:sz="8" w:space="0" w:color="000000"/>
              <w:right w:val="single" w:sz="8" w:space="0" w:color="auto"/>
            </w:tcBorders>
            <w:shd w:val="clear" w:color="000000" w:fill="99CCFF"/>
            <w:textDirection w:val="btLr"/>
            <w:vAlign w:val="bottom"/>
            <w:hideMark/>
          </w:tcPr>
          <w:p w14:paraId="09BF52BD" w14:textId="77777777" w:rsidR="00061DE9" w:rsidRPr="001B4CA2" w:rsidRDefault="00061DE9" w:rsidP="002A38E7">
            <w:pPr>
              <w:jc w:val="left"/>
              <w:rPr>
                <w:b/>
                <w:bCs/>
                <w:color w:val="000000"/>
                <w:sz w:val="18"/>
                <w:szCs w:val="18"/>
              </w:rPr>
            </w:pPr>
            <w:r w:rsidRPr="001B4CA2">
              <w:rPr>
                <w:b/>
                <w:bCs/>
                <w:color w:val="000000"/>
                <w:sz w:val="18"/>
                <w:szCs w:val="18"/>
              </w:rPr>
              <w:t>Rješenje o odbačaju</w:t>
            </w:r>
          </w:p>
        </w:tc>
        <w:tc>
          <w:tcPr>
            <w:tcW w:w="956" w:type="dxa"/>
            <w:vMerge w:val="restart"/>
            <w:tcBorders>
              <w:top w:val="single" w:sz="8" w:space="0" w:color="auto"/>
              <w:left w:val="single" w:sz="8" w:space="0" w:color="auto"/>
              <w:bottom w:val="single" w:sz="8" w:space="0" w:color="000000"/>
              <w:right w:val="single" w:sz="8" w:space="0" w:color="auto"/>
            </w:tcBorders>
            <w:shd w:val="clear" w:color="000000" w:fill="99CCFF"/>
            <w:textDirection w:val="btLr"/>
            <w:vAlign w:val="bottom"/>
            <w:hideMark/>
          </w:tcPr>
          <w:p w14:paraId="0BD5C427" w14:textId="77777777" w:rsidR="00061DE9" w:rsidRPr="001B4CA2" w:rsidRDefault="00061DE9" w:rsidP="002A38E7">
            <w:pPr>
              <w:jc w:val="left"/>
              <w:rPr>
                <w:b/>
                <w:bCs/>
                <w:color w:val="000000"/>
                <w:sz w:val="18"/>
                <w:szCs w:val="18"/>
              </w:rPr>
            </w:pPr>
            <w:r w:rsidRPr="001B4CA2">
              <w:rPr>
                <w:b/>
                <w:bCs/>
                <w:color w:val="000000"/>
                <w:sz w:val="18"/>
                <w:szCs w:val="18"/>
              </w:rPr>
              <w:t>DO pokrenulo prekršaj</w:t>
            </w:r>
          </w:p>
        </w:tc>
        <w:tc>
          <w:tcPr>
            <w:tcW w:w="955" w:type="dxa"/>
            <w:vMerge w:val="restart"/>
            <w:tcBorders>
              <w:top w:val="single" w:sz="8" w:space="0" w:color="auto"/>
              <w:left w:val="single" w:sz="8" w:space="0" w:color="auto"/>
              <w:bottom w:val="single" w:sz="8" w:space="0" w:color="000000"/>
              <w:right w:val="single" w:sz="8" w:space="0" w:color="auto"/>
            </w:tcBorders>
            <w:shd w:val="clear" w:color="000000" w:fill="99CCFF"/>
            <w:textDirection w:val="btLr"/>
            <w:vAlign w:val="bottom"/>
            <w:hideMark/>
          </w:tcPr>
          <w:p w14:paraId="22D2CC13" w14:textId="77777777" w:rsidR="00061DE9" w:rsidRPr="001B4CA2" w:rsidRDefault="00061DE9" w:rsidP="002A38E7">
            <w:pPr>
              <w:jc w:val="left"/>
              <w:rPr>
                <w:b/>
                <w:bCs/>
                <w:color w:val="000000"/>
                <w:sz w:val="18"/>
                <w:szCs w:val="18"/>
              </w:rPr>
            </w:pPr>
            <w:r w:rsidRPr="001B4CA2">
              <w:rPr>
                <w:b/>
                <w:bCs/>
                <w:color w:val="000000"/>
                <w:sz w:val="18"/>
                <w:szCs w:val="18"/>
              </w:rPr>
              <w:t>Optužnica</w:t>
            </w:r>
          </w:p>
        </w:tc>
        <w:tc>
          <w:tcPr>
            <w:tcW w:w="956" w:type="dxa"/>
            <w:vMerge w:val="restart"/>
            <w:tcBorders>
              <w:top w:val="single" w:sz="8" w:space="0" w:color="auto"/>
              <w:left w:val="single" w:sz="8" w:space="0" w:color="auto"/>
              <w:bottom w:val="single" w:sz="8" w:space="0" w:color="000000"/>
              <w:right w:val="single" w:sz="8" w:space="0" w:color="auto"/>
            </w:tcBorders>
            <w:shd w:val="clear" w:color="000000" w:fill="99CCFF"/>
            <w:textDirection w:val="btLr"/>
            <w:vAlign w:val="bottom"/>
            <w:hideMark/>
          </w:tcPr>
          <w:p w14:paraId="0BEBBD2A" w14:textId="77777777" w:rsidR="00061DE9" w:rsidRPr="001B4CA2" w:rsidRDefault="00061DE9" w:rsidP="002A38E7">
            <w:pPr>
              <w:jc w:val="left"/>
              <w:rPr>
                <w:b/>
                <w:bCs/>
                <w:color w:val="000000"/>
                <w:sz w:val="18"/>
                <w:szCs w:val="18"/>
              </w:rPr>
            </w:pPr>
            <w:r w:rsidRPr="001B4CA2">
              <w:rPr>
                <w:b/>
                <w:bCs/>
                <w:color w:val="000000"/>
                <w:sz w:val="18"/>
                <w:szCs w:val="18"/>
              </w:rPr>
              <w:t>Od toga optužnica s kaznenim nalogom</w:t>
            </w:r>
          </w:p>
        </w:tc>
        <w:tc>
          <w:tcPr>
            <w:tcW w:w="2410" w:type="dxa"/>
            <w:gridSpan w:val="3"/>
            <w:tcBorders>
              <w:top w:val="single" w:sz="8" w:space="0" w:color="auto"/>
              <w:left w:val="nil"/>
              <w:bottom w:val="single" w:sz="8" w:space="0" w:color="auto"/>
              <w:right w:val="single" w:sz="8" w:space="0" w:color="000000"/>
            </w:tcBorders>
            <w:shd w:val="clear" w:color="000000" w:fill="99CCFF"/>
            <w:vAlign w:val="center"/>
            <w:hideMark/>
          </w:tcPr>
          <w:p w14:paraId="6DC4B30C" w14:textId="77777777" w:rsidR="00061DE9" w:rsidRPr="001B4CA2" w:rsidRDefault="00061DE9" w:rsidP="002A38E7">
            <w:pPr>
              <w:jc w:val="center"/>
              <w:rPr>
                <w:b/>
                <w:bCs/>
                <w:color w:val="000000"/>
                <w:sz w:val="18"/>
                <w:szCs w:val="18"/>
              </w:rPr>
            </w:pPr>
            <w:r w:rsidRPr="001B4CA2">
              <w:rPr>
                <w:b/>
                <w:bCs/>
                <w:color w:val="000000"/>
                <w:sz w:val="18"/>
                <w:szCs w:val="18"/>
              </w:rPr>
              <w:t>Presuda</w:t>
            </w:r>
          </w:p>
        </w:tc>
      </w:tr>
      <w:tr w:rsidR="00185891" w:rsidRPr="001B4CA2" w14:paraId="37823EA1" w14:textId="77777777" w:rsidTr="00185891">
        <w:trPr>
          <w:trHeight w:val="1540"/>
        </w:trPr>
        <w:tc>
          <w:tcPr>
            <w:tcW w:w="788" w:type="dxa"/>
            <w:vMerge/>
            <w:tcBorders>
              <w:top w:val="single" w:sz="8" w:space="0" w:color="auto"/>
              <w:left w:val="single" w:sz="8" w:space="0" w:color="auto"/>
              <w:bottom w:val="single" w:sz="8" w:space="0" w:color="000000"/>
              <w:right w:val="single" w:sz="8" w:space="0" w:color="auto"/>
            </w:tcBorders>
            <w:vAlign w:val="center"/>
            <w:hideMark/>
          </w:tcPr>
          <w:p w14:paraId="11DE810D" w14:textId="77777777" w:rsidR="00061DE9" w:rsidRPr="001B4CA2" w:rsidRDefault="00061DE9" w:rsidP="002A38E7">
            <w:pPr>
              <w:rPr>
                <w:b/>
                <w:bCs/>
                <w:color w:val="000000"/>
                <w:sz w:val="18"/>
                <w:szCs w:val="18"/>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200990C3" w14:textId="77777777" w:rsidR="00061DE9" w:rsidRPr="001B4CA2" w:rsidRDefault="00061DE9" w:rsidP="002A38E7">
            <w:pPr>
              <w:rPr>
                <w:b/>
                <w:bCs/>
                <w:color w:val="000000"/>
                <w:sz w:val="18"/>
                <w:szCs w:val="18"/>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14:paraId="2A0355CB" w14:textId="77777777" w:rsidR="00061DE9" w:rsidRPr="001B4CA2" w:rsidRDefault="00061DE9" w:rsidP="002A38E7">
            <w:pPr>
              <w:rPr>
                <w:b/>
                <w:bCs/>
                <w:color w:val="000000"/>
                <w:sz w:val="18"/>
                <w:szCs w:val="18"/>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5CFF1520" w14:textId="77777777" w:rsidR="00061DE9" w:rsidRPr="001B4CA2" w:rsidRDefault="00061DE9" w:rsidP="002A38E7">
            <w:pPr>
              <w:rPr>
                <w:b/>
                <w:bCs/>
                <w:color w:val="000000"/>
                <w:sz w:val="18"/>
                <w:szCs w:val="18"/>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14:paraId="40DA584C" w14:textId="77777777" w:rsidR="00061DE9" w:rsidRPr="001B4CA2" w:rsidRDefault="00061DE9" w:rsidP="002A38E7">
            <w:pPr>
              <w:rPr>
                <w:b/>
                <w:bCs/>
                <w:color w:val="000000"/>
                <w:sz w:val="18"/>
                <w:szCs w:val="18"/>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137A3620" w14:textId="77777777" w:rsidR="00061DE9" w:rsidRPr="001B4CA2" w:rsidRDefault="00061DE9" w:rsidP="002A38E7">
            <w:pPr>
              <w:rPr>
                <w:b/>
                <w:bCs/>
                <w:color w:val="000000"/>
                <w:sz w:val="18"/>
                <w:szCs w:val="18"/>
              </w:rPr>
            </w:pPr>
          </w:p>
        </w:tc>
        <w:tc>
          <w:tcPr>
            <w:tcW w:w="956" w:type="dxa"/>
            <w:vMerge/>
            <w:tcBorders>
              <w:top w:val="single" w:sz="8" w:space="0" w:color="auto"/>
              <w:left w:val="single" w:sz="8" w:space="0" w:color="auto"/>
              <w:bottom w:val="single" w:sz="8" w:space="0" w:color="000000"/>
              <w:right w:val="single" w:sz="8" w:space="0" w:color="auto"/>
            </w:tcBorders>
            <w:vAlign w:val="center"/>
            <w:hideMark/>
          </w:tcPr>
          <w:p w14:paraId="527B2D49" w14:textId="77777777" w:rsidR="00061DE9" w:rsidRPr="001B4CA2" w:rsidRDefault="00061DE9" w:rsidP="002A38E7">
            <w:pPr>
              <w:rPr>
                <w:b/>
                <w:bCs/>
                <w:color w:val="000000"/>
                <w:sz w:val="18"/>
                <w:szCs w:val="18"/>
              </w:rPr>
            </w:pPr>
          </w:p>
        </w:tc>
        <w:tc>
          <w:tcPr>
            <w:tcW w:w="803" w:type="dxa"/>
            <w:tcBorders>
              <w:top w:val="nil"/>
              <w:left w:val="nil"/>
              <w:bottom w:val="single" w:sz="8" w:space="0" w:color="auto"/>
              <w:right w:val="single" w:sz="8" w:space="0" w:color="auto"/>
            </w:tcBorders>
            <w:shd w:val="clear" w:color="000000" w:fill="99CCFF"/>
            <w:textDirection w:val="btLr"/>
            <w:vAlign w:val="bottom"/>
            <w:hideMark/>
          </w:tcPr>
          <w:p w14:paraId="5A85242E" w14:textId="77777777" w:rsidR="00061DE9" w:rsidRPr="001B4CA2" w:rsidRDefault="00061DE9" w:rsidP="002A38E7">
            <w:pPr>
              <w:jc w:val="left"/>
              <w:rPr>
                <w:b/>
                <w:bCs/>
                <w:color w:val="000000"/>
                <w:sz w:val="18"/>
                <w:szCs w:val="18"/>
              </w:rPr>
            </w:pPr>
            <w:r w:rsidRPr="001B4CA2">
              <w:rPr>
                <w:b/>
                <w:bCs/>
                <w:color w:val="000000"/>
                <w:sz w:val="18"/>
                <w:szCs w:val="18"/>
              </w:rPr>
              <w:t>Osuđujuća</w:t>
            </w:r>
          </w:p>
        </w:tc>
        <w:tc>
          <w:tcPr>
            <w:tcW w:w="803" w:type="dxa"/>
            <w:tcBorders>
              <w:top w:val="nil"/>
              <w:left w:val="nil"/>
              <w:bottom w:val="single" w:sz="8" w:space="0" w:color="auto"/>
              <w:right w:val="single" w:sz="8" w:space="0" w:color="auto"/>
            </w:tcBorders>
            <w:shd w:val="clear" w:color="000000" w:fill="99CCFF"/>
            <w:textDirection w:val="btLr"/>
            <w:vAlign w:val="bottom"/>
            <w:hideMark/>
          </w:tcPr>
          <w:p w14:paraId="40C9F0AC" w14:textId="77777777" w:rsidR="00061DE9" w:rsidRPr="001B4CA2" w:rsidRDefault="00061DE9" w:rsidP="002A38E7">
            <w:pPr>
              <w:jc w:val="left"/>
              <w:rPr>
                <w:b/>
                <w:bCs/>
                <w:color w:val="000000"/>
                <w:sz w:val="18"/>
                <w:szCs w:val="18"/>
              </w:rPr>
            </w:pPr>
            <w:r w:rsidRPr="001B4CA2">
              <w:rPr>
                <w:b/>
                <w:bCs/>
                <w:color w:val="000000"/>
                <w:sz w:val="18"/>
                <w:szCs w:val="18"/>
              </w:rPr>
              <w:t>Oslobađajuća</w:t>
            </w:r>
          </w:p>
        </w:tc>
        <w:tc>
          <w:tcPr>
            <w:tcW w:w="804" w:type="dxa"/>
            <w:tcBorders>
              <w:top w:val="nil"/>
              <w:left w:val="nil"/>
              <w:bottom w:val="single" w:sz="8" w:space="0" w:color="auto"/>
              <w:right w:val="single" w:sz="8" w:space="0" w:color="auto"/>
            </w:tcBorders>
            <w:shd w:val="clear" w:color="000000" w:fill="99CCFF"/>
            <w:textDirection w:val="btLr"/>
            <w:vAlign w:val="bottom"/>
            <w:hideMark/>
          </w:tcPr>
          <w:p w14:paraId="1E22C8E8" w14:textId="77777777" w:rsidR="00061DE9" w:rsidRPr="001B4CA2" w:rsidRDefault="00061DE9" w:rsidP="002A38E7">
            <w:pPr>
              <w:jc w:val="left"/>
              <w:rPr>
                <w:b/>
                <w:bCs/>
                <w:color w:val="000000"/>
                <w:sz w:val="18"/>
                <w:szCs w:val="18"/>
              </w:rPr>
            </w:pPr>
            <w:r w:rsidRPr="001B4CA2">
              <w:rPr>
                <w:b/>
                <w:bCs/>
                <w:color w:val="000000"/>
                <w:sz w:val="18"/>
                <w:szCs w:val="18"/>
              </w:rPr>
              <w:t>Odbijajuća</w:t>
            </w:r>
          </w:p>
        </w:tc>
      </w:tr>
      <w:tr w:rsidR="00185891" w:rsidRPr="001B4CA2" w14:paraId="1C39DA59" w14:textId="77777777" w:rsidTr="00185891">
        <w:trPr>
          <w:trHeight w:val="296"/>
        </w:trPr>
        <w:tc>
          <w:tcPr>
            <w:tcW w:w="788" w:type="dxa"/>
            <w:tcBorders>
              <w:top w:val="nil"/>
              <w:left w:val="single" w:sz="8" w:space="0" w:color="auto"/>
              <w:bottom w:val="single" w:sz="8" w:space="0" w:color="auto"/>
              <w:right w:val="single" w:sz="8" w:space="0" w:color="auto"/>
            </w:tcBorders>
            <w:shd w:val="clear" w:color="auto" w:fill="auto"/>
            <w:noWrap/>
            <w:vAlign w:val="center"/>
            <w:hideMark/>
          </w:tcPr>
          <w:p w14:paraId="1AA971DE" w14:textId="77777777" w:rsidR="00061DE9" w:rsidRPr="001B4CA2" w:rsidRDefault="00061DE9" w:rsidP="002A38E7">
            <w:pPr>
              <w:jc w:val="center"/>
              <w:rPr>
                <w:b/>
                <w:bCs/>
                <w:color w:val="000000"/>
                <w:sz w:val="18"/>
                <w:szCs w:val="18"/>
              </w:rPr>
            </w:pPr>
            <w:r w:rsidRPr="001B4CA2">
              <w:rPr>
                <w:b/>
                <w:bCs/>
                <w:color w:val="000000"/>
                <w:sz w:val="18"/>
                <w:szCs w:val="18"/>
              </w:rPr>
              <w:t>2018.</w:t>
            </w:r>
          </w:p>
        </w:tc>
        <w:tc>
          <w:tcPr>
            <w:tcW w:w="955" w:type="dxa"/>
            <w:tcBorders>
              <w:top w:val="nil"/>
              <w:left w:val="nil"/>
              <w:bottom w:val="single" w:sz="8" w:space="0" w:color="auto"/>
              <w:right w:val="single" w:sz="8" w:space="0" w:color="auto"/>
            </w:tcBorders>
            <w:shd w:val="clear" w:color="auto" w:fill="auto"/>
            <w:noWrap/>
            <w:vAlign w:val="center"/>
            <w:hideMark/>
          </w:tcPr>
          <w:p w14:paraId="71822125" w14:textId="77777777" w:rsidR="00061DE9" w:rsidRPr="001B4CA2" w:rsidRDefault="00061DE9" w:rsidP="002A38E7">
            <w:pPr>
              <w:jc w:val="center"/>
              <w:rPr>
                <w:color w:val="000000"/>
                <w:sz w:val="18"/>
                <w:szCs w:val="18"/>
              </w:rPr>
            </w:pPr>
            <w:r w:rsidRPr="001B4CA2">
              <w:rPr>
                <w:color w:val="000000"/>
                <w:sz w:val="18"/>
                <w:szCs w:val="18"/>
              </w:rPr>
              <w:t>48</w:t>
            </w:r>
          </w:p>
        </w:tc>
        <w:tc>
          <w:tcPr>
            <w:tcW w:w="956" w:type="dxa"/>
            <w:tcBorders>
              <w:top w:val="nil"/>
              <w:left w:val="nil"/>
              <w:bottom w:val="single" w:sz="8" w:space="0" w:color="auto"/>
              <w:right w:val="single" w:sz="8" w:space="0" w:color="auto"/>
            </w:tcBorders>
            <w:shd w:val="clear" w:color="auto" w:fill="auto"/>
            <w:noWrap/>
            <w:vAlign w:val="center"/>
            <w:hideMark/>
          </w:tcPr>
          <w:p w14:paraId="283E7DEE" w14:textId="77777777" w:rsidR="00061DE9" w:rsidRPr="001B4CA2" w:rsidRDefault="00061DE9" w:rsidP="002A38E7">
            <w:pPr>
              <w:jc w:val="center"/>
              <w:rPr>
                <w:color w:val="000000"/>
                <w:sz w:val="18"/>
                <w:szCs w:val="18"/>
              </w:rPr>
            </w:pPr>
            <w:r w:rsidRPr="001B4CA2">
              <w:rPr>
                <w:color w:val="000000"/>
                <w:sz w:val="18"/>
                <w:szCs w:val="18"/>
              </w:rPr>
              <w:t>350</w:t>
            </w:r>
          </w:p>
        </w:tc>
        <w:tc>
          <w:tcPr>
            <w:tcW w:w="955" w:type="dxa"/>
            <w:tcBorders>
              <w:top w:val="nil"/>
              <w:left w:val="nil"/>
              <w:bottom w:val="single" w:sz="8" w:space="0" w:color="auto"/>
              <w:right w:val="single" w:sz="8" w:space="0" w:color="auto"/>
            </w:tcBorders>
            <w:shd w:val="clear" w:color="auto" w:fill="auto"/>
            <w:noWrap/>
            <w:vAlign w:val="center"/>
            <w:hideMark/>
          </w:tcPr>
          <w:p w14:paraId="0071E61C" w14:textId="77777777" w:rsidR="00061DE9" w:rsidRPr="001B4CA2" w:rsidRDefault="00061DE9" w:rsidP="002A38E7">
            <w:pPr>
              <w:jc w:val="center"/>
              <w:rPr>
                <w:color w:val="000000"/>
                <w:sz w:val="18"/>
                <w:szCs w:val="18"/>
              </w:rPr>
            </w:pPr>
            <w:r w:rsidRPr="001B4CA2">
              <w:rPr>
                <w:color w:val="000000"/>
                <w:sz w:val="18"/>
                <w:szCs w:val="18"/>
              </w:rPr>
              <w:t>164</w:t>
            </w:r>
          </w:p>
        </w:tc>
        <w:tc>
          <w:tcPr>
            <w:tcW w:w="956" w:type="dxa"/>
            <w:tcBorders>
              <w:top w:val="nil"/>
              <w:left w:val="nil"/>
              <w:bottom w:val="single" w:sz="8" w:space="0" w:color="auto"/>
              <w:right w:val="single" w:sz="8" w:space="0" w:color="auto"/>
            </w:tcBorders>
            <w:shd w:val="clear" w:color="auto" w:fill="auto"/>
            <w:noWrap/>
            <w:vAlign w:val="center"/>
            <w:hideMark/>
          </w:tcPr>
          <w:p w14:paraId="2C958110" w14:textId="77777777" w:rsidR="00061DE9" w:rsidRPr="001B4CA2" w:rsidRDefault="00061DE9" w:rsidP="002A38E7">
            <w:pPr>
              <w:jc w:val="center"/>
              <w:rPr>
                <w:color w:val="000000"/>
                <w:sz w:val="18"/>
                <w:szCs w:val="18"/>
              </w:rPr>
            </w:pPr>
            <w:r w:rsidRPr="001B4CA2">
              <w:rPr>
                <w:color w:val="000000"/>
                <w:sz w:val="18"/>
                <w:szCs w:val="18"/>
              </w:rPr>
              <w:t>16</w:t>
            </w:r>
          </w:p>
        </w:tc>
        <w:tc>
          <w:tcPr>
            <w:tcW w:w="955" w:type="dxa"/>
            <w:tcBorders>
              <w:top w:val="nil"/>
              <w:left w:val="nil"/>
              <w:bottom w:val="single" w:sz="8" w:space="0" w:color="auto"/>
              <w:right w:val="single" w:sz="8" w:space="0" w:color="auto"/>
            </w:tcBorders>
            <w:shd w:val="clear" w:color="auto" w:fill="auto"/>
            <w:noWrap/>
            <w:vAlign w:val="center"/>
            <w:hideMark/>
          </w:tcPr>
          <w:p w14:paraId="7E8501D3" w14:textId="77777777" w:rsidR="00061DE9" w:rsidRPr="001B4CA2" w:rsidRDefault="00061DE9" w:rsidP="002A38E7">
            <w:pPr>
              <w:jc w:val="center"/>
              <w:rPr>
                <w:color w:val="000000"/>
                <w:sz w:val="18"/>
                <w:szCs w:val="18"/>
              </w:rPr>
            </w:pPr>
            <w:r w:rsidRPr="001B4CA2">
              <w:rPr>
                <w:color w:val="000000"/>
                <w:sz w:val="18"/>
                <w:szCs w:val="18"/>
              </w:rPr>
              <w:t>40</w:t>
            </w:r>
          </w:p>
        </w:tc>
        <w:tc>
          <w:tcPr>
            <w:tcW w:w="956" w:type="dxa"/>
            <w:tcBorders>
              <w:top w:val="nil"/>
              <w:left w:val="nil"/>
              <w:bottom w:val="single" w:sz="8" w:space="0" w:color="auto"/>
              <w:right w:val="single" w:sz="8" w:space="0" w:color="auto"/>
            </w:tcBorders>
            <w:shd w:val="clear" w:color="auto" w:fill="auto"/>
            <w:noWrap/>
            <w:vAlign w:val="center"/>
            <w:hideMark/>
          </w:tcPr>
          <w:p w14:paraId="4FA3FE24" w14:textId="77777777" w:rsidR="00061DE9" w:rsidRPr="001B4CA2" w:rsidRDefault="00061DE9" w:rsidP="002A38E7">
            <w:pPr>
              <w:jc w:val="center"/>
              <w:rPr>
                <w:color w:val="000000"/>
                <w:sz w:val="18"/>
                <w:szCs w:val="18"/>
              </w:rPr>
            </w:pPr>
            <w:r w:rsidRPr="001B4CA2">
              <w:rPr>
                <w:color w:val="000000"/>
                <w:sz w:val="18"/>
                <w:szCs w:val="18"/>
              </w:rPr>
              <w:t>35</w:t>
            </w:r>
          </w:p>
        </w:tc>
        <w:tc>
          <w:tcPr>
            <w:tcW w:w="803" w:type="dxa"/>
            <w:tcBorders>
              <w:top w:val="nil"/>
              <w:left w:val="nil"/>
              <w:bottom w:val="single" w:sz="8" w:space="0" w:color="auto"/>
              <w:right w:val="single" w:sz="8" w:space="0" w:color="auto"/>
            </w:tcBorders>
            <w:shd w:val="clear" w:color="auto" w:fill="auto"/>
            <w:noWrap/>
            <w:vAlign w:val="center"/>
            <w:hideMark/>
          </w:tcPr>
          <w:p w14:paraId="61597E52" w14:textId="77777777" w:rsidR="00061DE9" w:rsidRPr="001B4CA2" w:rsidRDefault="00061DE9" w:rsidP="002A38E7">
            <w:pPr>
              <w:jc w:val="center"/>
              <w:rPr>
                <w:color w:val="000000"/>
                <w:sz w:val="18"/>
                <w:szCs w:val="18"/>
              </w:rPr>
            </w:pPr>
            <w:r w:rsidRPr="001B4CA2">
              <w:rPr>
                <w:color w:val="000000"/>
                <w:sz w:val="18"/>
                <w:szCs w:val="18"/>
              </w:rPr>
              <w:t>77</w:t>
            </w:r>
          </w:p>
        </w:tc>
        <w:tc>
          <w:tcPr>
            <w:tcW w:w="803" w:type="dxa"/>
            <w:tcBorders>
              <w:top w:val="nil"/>
              <w:left w:val="nil"/>
              <w:bottom w:val="single" w:sz="8" w:space="0" w:color="auto"/>
              <w:right w:val="single" w:sz="8" w:space="0" w:color="auto"/>
            </w:tcBorders>
            <w:shd w:val="clear" w:color="auto" w:fill="auto"/>
            <w:noWrap/>
            <w:vAlign w:val="center"/>
            <w:hideMark/>
          </w:tcPr>
          <w:p w14:paraId="4150086D" w14:textId="77777777" w:rsidR="00061DE9" w:rsidRPr="001B4CA2" w:rsidRDefault="00061DE9" w:rsidP="002A38E7">
            <w:pPr>
              <w:jc w:val="center"/>
              <w:rPr>
                <w:color w:val="000000"/>
                <w:sz w:val="18"/>
                <w:szCs w:val="18"/>
              </w:rPr>
            </w:pPr>
            <w:r w:rsidRPr="001B4CA2">
              <w:rPr>
                <w:color w:val="000000"/>
                <w:sz w:val="18"/>
                <w:szCs w:val="18"/>
              </w:rPr>
              <w:t>3</w:t>
            </w:r>
          </w:p>
        </w:tc>
        <w:tc>
          <w:tcPr>
            <w:tcW w:w="804" w:type="dxa"/>
            <w:tcBorders>
              <w:top w:val="nil"/>
              <w:left w:val="nil"/>
              <w:bottom w:val="single" w:sz="8" w:space="0" w:color="auto"/>
              <w:right w:val="single" w:sz="8" w:space="0" w:color="auto"/>
            </w:tcBorders>
            <w:shd w:val="clear" w:color="auto" w:fill="auto"/>
            <w:vAlign w:val="center"/>
            <w:hideMark/>
          </w:tcPr>
          <w:p w14:paraId="36600202" w14:textId="77777777" w:rsidR="00061DE9" w:rsidRPr="001B4CA2" w:rsidRDefault="00061DE9" w:rsidP="002A38E7">
            <w:pPr>
              <w:jc w:val="center"/>
              <w:rPr>
                <w:color w:val="000000"/>
                <w:sz w:val="18"/>
                <w:szCs w:val="18"/>
              </w:rPr>
            </w:pPr>
            <w:r w:rsidRPr="001B4CA2">
              <w:rPr>
                <w:color w:val="000000"/>
                <w:sz w:val="18"/>
                <w:szCs w:val="18"/>
              </w:rPr>
              <w:t> </w:t>
            </w:r>
          </w:p>
        </w:tc>
      </w:tr>
      <w:tr w:rsidR="00185891" w:rsidRPr="001B4CA2" w14:paraId="375929E1" w14:textId="77777777" w:rsidTr="00185891">
        <w:trPr>
          <w:trHeight w:val="296"/>
        </w:trPr>
        <w:tc>
          <w:tcPr>
            <w:tcW w:w="788" w:type="dxa"/>
            <w:tcBorders>
              <w:top w:val="nil"/>
              <w:left w:val="single" w:sz="8" w:space="0" w:color="auto"/>
              <w:bottom w:val="single" w:sz="8" w:space="0" w:color="auto"/>
              <w:right w:val="single" w:sz="8" w:space="0" w:color="auto"/>
            </w:tcBorders>
            <w:shd w:val="clear" w:color="auto" w:fill="auto"/>
            <w:noWrap/>
            <w:vAlign w:val="center"/>
            <w:hideMark/>
          </w:tcPr>
          <w:p w14:paraId="727A5714" w14:textId="77777777" w:rsidR="00061DE9" w:rsidRPr="001B4CA2" w:rsidRDefault="00061DE9" w:rsidP="002A38E7">
            <w:pPr>
              <w:jc w:val="center"/>
              <w:rPr>
                <w:b/>
                <w:bCs/>
                <w:color w:val="000000"/>
                <w:sz w:val="18"/>
                <w:szCs w:val="18"/>
              </w:rPr>
            </w:pPr>
            <w:r w:rsidRPr="001B4CA2">
              <w:rPr>
                <w:b/>
                <w:bCs/>
                <w:color w:val="000000"/>
                <w:sz w:val="18"/>
                <w:szCs w:val="18"/>
              </w:rPr>
              <w:t>2019.</w:t>
            </w:r>
          </w:p>
        </w:tc>
        <w:tc>
          <w:tcPr>
            <w:tcW w:w="955" w:type="dxa"/>
            <w:tcBorders>
              <w:top w:val="nil"/>
              <w:left w:val="nil"/>
              <w:bottom w:val="single" w:sz="8" w:space="0" w:color="auto"/>
              <w:right w:val="single" w:sz="8" w:space="0" w:color="auto"/>
            </w:tcBorders>
            <w:shd w:val="clear" w:color="auto" w:fill="auto"/>
            <w:noWrap/>
            <w:vAlign w:val="center"/>
            <w:hideMark/>
          </w:tcPr>
          <w:p w14:paraId="5A6B96CC" w14:textId="77777777" w:rsidR="00061DE9" w:rsidRPr="001B4CA2" w:rsidRDefault="00061DE9" w:rsidP="002A38E7">
            <w:pPr>
              <w:jc w:val="center"/>
              <w:rPr>
                <w:color w:val="000000"/>
                <w:sz w:val="18"/>
                <w:szCs w:val="18"/>
              </w:rPr>
            </w:pPr>
            <w:r w:rsidRPr="001B4CA2">
              <w:rPr>
                <w:color w:val="000000"/>
                <w:sz w:val="18"/>
                <w:szCs w:val="18"/>
              </w:rPr>
              <w:t>67</w:t>
            </w:r>
          </w:p>
        </w:tc>
        <w:tc>
          <w:tcPr>
            <w:tcW w:w="956" w:type="dxa"/>
            <w:tcBorders>
              <w:top w:val="nil"/>
              <w:left w:val="nil"/>
              <w:bottom w:val="single" w:sz="8" w:space="0" w:color="auto"/>
              <w:right w:val="single" w:sz="8" w:space="0" w:color="auto"/>
            </w:tcBorders>
            <w:shd w:val="clear" w:color="auto" w:fill="auto"/>
            <w:noWrap/>
            <w:vAlign w:val="center"/>
            <w:hideMark/>
          </w:tcPr>
          <w:p w14:paraId="6C84E5C0" w14:textId="77777777" w:rsidR="00061DE9" w:rsidRPr="001B4CA2" w:rsidRDefault="00061DE9" w:rsidP="002A38E7">
            <w:pPr>
              <w:jc w:val="center"/>
              <w:rPr>
                <w:color w:val="000000"/>
                <w:sz w:val="18"/>
                <w:szCs w:val="18"/>
              </w:rPr>
            </w:pPr>
            <w:r w:rsidRPr="001B4CA2">
              <w:rPr>
                <w:color w:val="000000"/>
                <w:sz w:val="18"/>
                <w:szCs w:val="18"/>
              </w:rPr>
              <w:t>414</w:t>
            </w:r>
          </w:p>
        </w:tc>
        <w:tc>
          <w:tcPr>
            <w:tcW w:w="955" w:type="dxa"/>
            <w:tcBorders>
              <w:top w:val="nil"/>
              <w:left w:val="nil"/>
              <w:bottom w:val="single" w:sz="8" w:space="0" w:color="auto"/>
              <w:right w:val="single" w:sz="8" w:space="0" w:color="auto"/>
            </w:tcBorders>
            <w:shd w:val="clear" w:color="auto" w:fill="auto"/>
            <w:noWrap/>
            <w:vAlign w:val="center"/>
            <w:hideMark/>
          </w:tcPr>
          <w:p w14:paraId="416EE831" w14:textId="77777777" w:rsidR="00061DE9" w:rsidRPr="001B4CA2" w:rsidRDefault="00061DE9" w:rsidP="002A38E7">
            <w:pPr>
              <w:jc w:val="center"/>
              <w:rPr>
                <w:color w:val="000000"/>
                <w:sz w:val="18"/>
                <w:szCs w:val="18"/>
              </w:rPr>
            </w:pPr>
            <w:r w:rsidRPr="001B4CA2">
              <w:rPr>
                <w:color w:val="000000"/>
                <w:sz w:val="18"/>
                <w:szCs w:val="18"/>
              </w:rPr>
              <w:t>153</w:t>
            </w:r>
          </w:p>
        </w:tc>
        <w:tc>
          <w:tcPr>
            <w:tcW w:w="956" w:type="dxa"/>
            <w:tcBorders>
              <w:top w:val="nil"/>
              <w:left w:val="nil"/>
              <w:bottom w:val="single" w:sz="8" w:space="0" w:color="auto"/>
              <w:right w:val="single" w:sz="8" w:space="0" w:color="auto"/>
            </w:tcBorders>
            <w:shd w:val="clear" w:color="auto" w:fill="auto"/>
            <w:noWrap/>
            <w:vAlign w:val="center"/>
            <w:hideMark/>
          </w:tcPr>
          <w:p w14:paraId="56CE79F0" w14:textId="77777777" w:rsidR="00061DE9" w:rsidRPr="001B4CA2" w:rsidRDefault="00061DE9" w:rsidP="002A38E7">
            <w:pPr>
              <w:jc w:val="center"/>
              <w:rPr>
                <w:color w:val="000000"/>
                <w:sz w:val="18"/>
                <w:szCs w:val="18"/>
              </w:rPr>
            </w:pPr>
            <w:r w:rsidRPr="001B4CA2">
              <w:rPr>
                <w:color w:val="000000"/>
                <w:sz w:val="18"/>
                <w:szCs w:val="18"/>
              </w:rPr>
              <w:t>17</w:t>
            </w:r>
          </w:p>
        </w:tc>
        <w:tc>
          <w:tcPr>
            <w:tcW w:w="955" w:type="dxa"/>
            <w:tcBorders>
              <w:top w:val="nil"/>
              <w:left w:val="nil"/>
              <w:bottom w:val="single" w:sz="8" w:space="0" w:color="auto"/>
              <w:right w:val="single" w:sz="8" w:space="0" w:color="auto"/>
            </w:tcBorders>
            <w:shd w:val="clear" w:color="auto" w:fill="auto"/>
            <w:noWrap/>
            <w:vAlign w:val="center"/>
            <w:hideMark/>
          </w:tcPr>
          <w:p w14:paraId="4A28D9BB" w14:textId="77777777" w:rsidR="00061DE9" w:rsidRPr="001B4CA2" w:rsidRDefault="00061DE9" w:rsidP="002A38E7">
            <w:pPr>
              <w:jc w:val="center"/>
              <w:rPr>
                <w:color w:val="000000"/>
                <w:sz w:val="18"/>
                <w:szCs w:val="18"/>
              </w:rPr>
            </w:pPr>
            <w:r w:rsidRPr="001B4CA2">
              <w:rPr>
                <w:color w:val="000000"/>
                <w:sz w:val="18"/>
                <w:szCs w:val="18"/>
              </w:rPr>
              <w:t>204</w:t>
            </w:r>
          </w:p>
        </w:tc>
        <w:tc>
          <w:tcPr>
            <w:tcW w:w="956" w:type="dxa"/>
            <w:tcBorders>
              <w:top w:val="nil"/>
              <w:left w:val="nil"/>
              <w:bottom w:val="single" w:sz="8" w:space="0" w:color="auto"/>
              <w:right w:val="single" w:sz="8" w:space="0" w:color="auto"/>
            </w:tcBorders>
            <w:shd w:val="clear" w:color="auto" w:fill="auto"/>
            <w:noWrap/>
            <w:vAlign w:val="center"/>
            <w:hideMark/>
          </w:tcPr>
          <w:p w14:paraId="1C35CA34" w14:textId="77777777" w:rsidR="00061DE9" w:rsidRPr="001B4CA2" w:rsidRDefault="00061DE9" w:rsidP="002A38E7">
            <w:pPr>
              <w:jc w:val="center"/>
              <w:rPr>
                <w:color w:val="000000"/>
                <w:sz w:val="18"/>
                <w:szCs w:val="18"/>
              </w:rPr>
            </w:pPr>
            <w:r w:rsidRPr="001B4CA2">
              <w:rPr>
                <w:color w:val="000000"/>
                <w:sz w:val="18"/>
                <w:szCs w:val="18"/>
              </w:rPr>
              <w:t>45</w:t>
            </w:r>
          </w:p>
        </w:tc>
        <w:tc>
          <w:tcPr>
            <w:tcW w:w="803" w:type="dxa"/>
            <w:tcBorders>
              <w:top w:val="nil"/>
              <w:left w:val="nil"/>
              <w:bottom w:val="single" w:sz="8" w:space="0" w:color="auto"/>
              <w:right w:val="single" w:sz="8" w:space="0" w:color="auto"/>
            </w:tcBorders>
            <w:shd w:val="clear" w:color="auto" w:fill="auto"/>
            <w:noWrap/>
            <w:vAlign w:val="center"/>
            <w:hideMark/>
          </w:tcPr>
          <w:p w14:paraId="569AFC9D" w14:textId="77777777" w:rsidR="00061DE9" w:rsidRPr="001B4CA2" w:rsidRDefault="00061DE9" w:rsidP="002A38E7">
            <w:pPr>
              <w:jc w:val="center"/>
              <w:rPr>
                <w:color w:val="000000"/>
                <w:sz w:val="18"/>
                <w:szCs w:val="18"/>
              </w:rPr>
            </w:pPr>
            <w:r w:rsidRPr="001B4CA2">
              <w:rPr>
                <w:color w:val="000000"/>
                <w:sz w:val="18"/>
                <w:szCs w:val="18"/>
              </w:rPr>
              <w:t>135</w:t>
            </w:r>
          </w:p>
        </w:tc>
        <w:tc>
          <w:tcPr>
            <w:tcW w:w="803" w:type="dxa"/>
            <w:tcBorders>
              <w:top w:val="nil"/>
              <w:left w:val="nil"/>
              <w:bottom w:val="single" w:sz="8" w:space="0" w:color="auto"/>
              <w:right w:val="single" w:sz="8" w:space="0" w:color="auto"/>
            </w:tcBorders>
            <w:shd w:val="clear" w:color="auto" w:fill="auto"/>
            <w:noWrap/>
            <w:vAlign w:val="center"/>
            <w:hideMark/>
          </w:tcPr>
          <w:p w14:paraId="12D9F711" w14:textId="77777777" w:rsidR="00061DE9" w:rsidRPr="001B4CA2" w:rsidRDefault="00061DE9" w:rsidP="002A38E7">
            <w:pPr>
              <w:jc w:val="center"/>
              <w:rPr>
                <w:color w:val="000000"/>
                <w:sz w:val="18"/>
                <w:szCs w:val="18"/>
              </w:rPr>
            </w:pPr>
            <w:r w:rsidRPr="001B4CA2">
              <w:rPr>
                <w:color w:val="000000"/>
                <w:sz w:val="18"/>
                <w:szCs w:val="18"/>
              </w:rPr>
              <w:t>4</w:t>
            </w:r>
          </w:p>
        </w:tc>
        <w:tc>
          <w:tcPr>
            <w:tcW w:w="804" w:type="dxa"/>
            <w:tcBorders>
              <w:top w:val="nil"/>
              <w:left w:val="nil"/>
              <w:bottom w:val="single" w:sz="8" w:space="0" w:color="auto"/>
              <w:right w:val="single" w:sz="8" w:space="0" w:color="auto"/>
            </w:tcBorders>
            <w:shd w:val="clear" w:color="auto" w:fill="auto"/>
            <w:vAlign w:val="center"/>
            <w:hideMark/>
          </w:tcPr>
          <w:p w14:paraId="4EE80D75" w14:textId="77777777" w:rsidR="00061DE9" w:rsidRPr="001B4CA2" w:rsidRDefault="00061DE9" w:rsidP="002A38E7">
            <w:pPr>
              <w:jc w:val="center"/>
              <w:rPr>
                <w:color w:val="000000"/>
                <w:sz w:val="18"/>
                <w:szCs w:val="18"/>
              </w:rPr>
            </w:pPr>
            <w:r w:rsidRPr="001B4CA2">
              <w:rPr>
                <w:color w:val="000000"/>
                <w:sz w:val="18"/>
                <w:szCs w:val="18"/>
              </w:rPr>
              <w:t>2</w:t>
            </w:r>
          </w:p>
        </w:tc>
      </w:tr>
      <w:tr w:rsidR="00185891" w:rsidRPr="001B4CA2" w14:paraId="1622D46C" w14:textId="77777777" w:rsidTr="00185891">
        <w:trPr>
          <w:trHeight w:val="296"/>
        </w:trPr>
        <w:tc>
          <w:tcPr>
            <w:tcW w:w="788" w:type="dxa"/>
            <w:tcBorders>
              <w:top w:val="nil"/>
              <w:left w:val="single" w:sz="8" w:space="0" w:color="auto"/>
              <w:bottom w:val="single" w:sz="8" w:space="0" w:color="auto"/>
              <w:right w:val="single" w:sz="8" w:space="0" w:color="auto"/>
            </w:tcBorders>
            <w:shd w:val="clear" w:color="auto" w:fill="auto"/>
            <w:noWrap/>
            <w:vAlign w:val="center"/>
            <w:hideMark/>
          </w:tcPr>
          <w:p w14:paraId="72A8778C" w14:textId="77777777" w:rsidR="00061DE9" w:rsidRPr="001B4CA2" w:rsidRDefault="00061DE9" w:rsidP="002A38E7">
            <w:pPr>
              <w:jc w:val="center"/>
              <w:rPr>
                <w:b/>
                <w:bCs/>
                <w:color w:val="000000"/>
                <w:sz w:val="18"/>
                <w:szCs w:val="18"/>
              </w:rPr>
            </w:pPr>
            <w:r w:rsidRPr="001B4CA2">
              <w:rPr>
                <w:b/>
                <w:bCs/>
                <w:color w:val="000000"/>
                <w:sz w:val="18"/>
                <w:szCs w:val="18"/>
              </w:rPr>
              <w:t>2020.</w:t>
            </w:r>
          </w:p>
        </w:tc>
        <w:tc>
          <w:tcPr>
            <w:tcW w:w="955" w:type="dxa"/>
            <w:tcBorders>
              <w:top w:val="nil"/>
              <w:left w:val="nil"/>
              <w:bottom w:val="single" w:sz="8" w:space="0" w:color="auto"/>
              <w:right w:val="single" w:sz="8" w:space="0" w:color="auto"/>
            </w:tcBorders>
            <w:shd w:val="clear" w:color="auto" w:fill="auto"/>
            <w:noWrap/>
            <w:vAlign w:val="center"/>
            <w:hideMark/>
          </w:tcPr>
          <w:p w14:paraId="43FF3BC2" w14:textId="77777777" w:rsidR="00061DE9" w:rsidRPr="001B4CA2" w:rsidRDefault="00061DE9" w:rsidP="002A38E7">
            <w:pPr>
              <w:jc w:val="center"/>
              <w:rPr>
                <w:color w:val="000000"/>
                <w:sz w:val="18"/>
                <w:szCs w:val="18"/>
              </w:rPr>
            </w:pPr>
            <w:r w:rsidRPr="001B4CA2">
              <w:rPr>
                <w:color w:val="000000"/>
                <w:sz w:val="18"/>
                <w:szCs w:val="18"/>
              </w:rPr>
              <w:t>66</w:t>
            </w:r>
          </w:p>
        </w:tc>
        <w:tc>
          <w:tcPr>
            <w:tcW w:w="956" w:type="dxa"/>
            <w:tcBorders>
              <w:top w:val="nil"/>
              <w:left w:val="nil"/>
              <w:bottom w:val="single" w:sz="8" w:space="0" w:color="auto"/>
              <w:right w:val="single" w:sz="8" w:space="0" w:color="auto"/>
            </w:tcBorders>
            <w:shd w:val="clear" w:color="auto" w:fill="auto"/>
            <w:noWrap/>
            <w:vAlign w:val="center"/>
            <w:hideMark/>
          </w:tcPr>
          <w:p w14:paraId="31A44BBB" w14:textId="77777777" w:rsidR="00061DE9" w:rsidRPr="001B4CA2" w:rsidRDefault="00061DE9" w:rsidP="002A38E7">
            <w:pPr>
              <w:jc w:val="center"/>
              <w:rPr>
                <w:color w:val="000000"/>
                <w:sz w:val="18"/>
                <w:szCs w:val="18"/>
              </w:rPr>
            </w:pPr>
            <w:r w:rsidRPr="001B4CA2">
              <w:rPr>
                <w:color w:val="000000"/>
                <w:sz w:val="18"/>
                <w:szCs w:val="18"/>
              </w:rPr>
              <w:t>698</w:t>
            </w:r>
          </w:p>
        </w:tc>
        <w:tc>
          <w:tcPr>
            <w:tcW w:w="955" w:type="dxa"/>
            <w:tcBorders>
              <w:top w:val="nil"/>
              <w:left w:val="nil"/>
              <w:bottom w:val="single" w:sz="8" w:space="0" w:color="auto"/>
              <w:right w:val="single" w:sz="8" w:space="0" w:color="auto"/>
            </w:tcBorders>
            <w:shd w:val="clear" w:color="auto" w:fill="auto"/>
            <w:noWrap/>
            <w:vAlign w:val="center"/>
            <w:hideMark/>
          </w:tcPr>
          <w:p w14:paraId="06FA1F00" w14:textId="77777777" w:rsidR="00061DE9" w:rsidRPr="001B4CA2" w:rsidRDefault="00061DE9" w:rsidP="002A38E7">
            <w:pPr>
              <w:jc w:val="center"/>
              <w:rPr>
                <w:color w:val="000000"/>
                <w:sz w:val="18"/>
                <w:szCs w:val="18"/>
              </w:rPr>
            </w:pPr>
            <w:r w:rsidRPr="001B4CA2">
              <w:rPr>
                <w:color w:val="000000"/>
                <w:sz w:val="18"/>
                <w:szCs w:val="18"/>
              </w:rPr>
              <w:t>146</w:t>
            </w:r>
          </w:p>
        </w:tc>
        <w:tc>
          <w:tcPr>
            <w:tcW w:w="956" w:type="dxa"/>
            <w:tcBorders>
              <w:top w:val="nil"/>
              <w:left w:val="nil"/>
              <w:bottom w:val="single" w:sz="8" w:space="0" w:color="auto"/>
              <w:right w:val="single" w:sz="8" w:space="0" w:color="auto"/>
            </w:tcBorders>
            <w:shd w:val="clear" w:color="auto" w:fill="auto"/>
            <w:noWrap/>
            <w:vAlign w:val="center"/>
            <w:hideMark/>
          </w:tcPr>
          <w:p w14:paraId="44840337" w14:textId="77777777" w:rsidR="00061DE9" w:rsidRPr="001B4CA2" w:rsidRDefault="00061DE9" w:rsidP="002A38E7">
            <w:pPr>
              <w:jc w:val="center"/>
              <w:rPr>
                <w:color w:val="000000"/>
                <w:sz w:val="18"/>
                <w:szCs w:val="18"/>
              </w:rPr>
            </w:pPr>
            <w:r w:rsidRPr="001B4CA2">
              <w:rPr>
                <w:color w:val="000000"/>
                <w:sz w:val="18"/>
                <w:szCs w:val="18"/>
              </w:rPr>
              <w:t>6</w:t>
            </w:r>
          </w:p>
        </w:tc>
        <w:tc>
          <w:tcPr>
            <w:tcW w:w="955" w:type="dxa"/>
            <w:tcBorders>
              <w:top w:val="nil"/>
              <w:left w:val="nil"/>
              <w:bottom w:val="single" w:sz="8" w:space="0" w:color="auto"/>
              <w:right w:val="single" w:sz="8" w:space="0" w:color="auto"/>
            </w:tcBorders>
            <w:shd w:val="clear" w:color="auto" w:fill="auto"/>
            <w:noWrap/>
            <w:vAlign w:val="center"/>
            <w:hideMark/>
          </w:tcPr>
          <w:p w14:paraId="177C2202" w14:textId="77777777" w:rsidR="00061DE9" w:rsidRPr="001B4CA2" w:rsidRDefault="00061DE9" w:rsidP="002A38E7">
            <w:pPr>
              <w:jc w:val="center"/>
              <w:rPr>
                <w:color w:val="000000"/>
                <w:sz w:val="18"/>
                <w:szCs w:val="18"/>
              </w:rPr>
            </w:pPr>
            <w:r w:rsidRPr="001B4CA2">
              <w:rPr>
                <w:color w:val="000000"/>
                <w:sz w:val="18"/>
                <w:szCs w:val="18"/>
              </w:rPr>
              <w:t>363</w:t>
            </w:r>
          </w:p>
        </w:tc>
        <w:tc>
          <w:tcPr>
            <w:tcW w:w="956" w:type="dxa"/>
            <w:tcBorders>
              <w:top w:val="nil"/>
              <w:left w:val="nil"/>
              <w:bottom w:val="single" w:sz="8" w:space="0" w:color="auto"/>
              <w:right w:val="single" w:sz="8" w:space="0" w:color="auto"/>
            </w:tcBorders>
            <w:shd w:val="clear" w:color="auto" w:fill="auto"/>
            <w:noWrap/>
            <w:vAlign w:val="center"/>
            <w:hideMark/>
          </w:tcPr>
          <w:p w14:paraId="10317614" w14:textId="77777777" w:rsidR="00061DE9" w:rsidRPr="001B4CA2" w:rsidRDefault="00061DE9" w:rsidP="002A38E7">
            <w:pPr>
              <w:jc w:val="center"/>
              <w:rPr>
                <w:color w:val="000000"/>
                <w:sz w:val="18"/>
                <w:szCs w:val="18"/>
              </w:rPr>
            </w:pPr>
            <w:r w:rsidRPr="001B4CA2">
              <w:rPr>
                <w:color w:val="000000"/>
                <w:sz w:val="18"/>
                <w:szCs w:val="18"/>
              </w:rPr>
              <w:t>45</w:t>
            </w:r>
          </w:p>
        </w:tc>
        <w:tc>
          <w:tcPr>
            <w:tcW w:w="803" w:type="dxa"/>
            <w:tcBorders>
              <w:top w:val="nil"/>
              <w:left w:val="nil"/>
              <w:bottom w:val="single" w:sz="8" w:space="0" w:color="auto"/>
              <w:right w:val="single" w:sz="8" w:space="0" w:color="auto"/>
            </w:tcBorders>
            <w:shd w:val="clear" w:color="auto" w:fill="auto"/>
            <w:noWrap/>
            <w:vAlign w:val="center"/>
            <w:hideMark/>
          </w:tcPr>
          <w:p w14:paraId="548B9E74" w14:textId="77777777" w:rsidR="00061DE9" w:rsidRPr="001B4CA2" w:rsidRDefault="00061DE9" w:rsidP="002A38E7">
            <w:pPr>
              <w:jc w:val="center"/>
              <w:rPr>
                <w:color w:val="000000"/>
                <w:sz w:val="18"/>
                <w:szCs w:val="18"/>
              </w:rPr>
            </w:pPr>
            <w:r w:rsidRPr="001B4CA2">
              <w:rPr>
                <w:color w:val="000000"/>
                <w:sz w:val="18"/>
                <w:szCs w:val="18"/>
              </w:rPr>
              <w:t>220</w:t>
            </w:r>
          </w:p>
        </w:tc>
        <w:tc>
          <w:tcPr>
            <w:tcW w:w="803" w:type="dxa"/>
            <w:tcBorders>
              <w:top w:val="nil"/>
              <w:left w:val="nil"/>
              <w:bottom w:val="single" w:sz="8" w:space="0" w:color="auto"/>
              <w:right w:val="single" w:sz="8" w:space="0" w:color="auto"/>
            </w:tcBorders>
            <w:shd w:val="clear" w:color="auto" w:fill="auto"/>
            <w:noWrap/>
            <w:vAlign w:val="center"/>
            <w:hideMark/>
          </w:tcPr>
          <w:p w14:paraId="0B4AA308" w14:textId="77777777" w:rsidR="00061DE9" w:rsidRPr="001B4CA2" w:rsidRDefault="00061DE9" w:rsidP="002A38E7">
            <w:pPr>
              <w:jc w:val="center"/>
              <w:rPr>
                <w:color w:val="000000"/>
                <w:sz w:val="18"/>
                <w:szCs w:val="18"/>
              </w:rPr>
            </w:pPr>
            <w:r w:rsidRPr="001B4CA2">
              <w:rPr>
                <w:color w:val="000000"/>
                <w:sz w:val="18"/>
                <w:szCs w:val="18"/>
              </w:rPr>
              <w:t>8</w:t>
            </w:r>
          </w:p>
        </w:tc>
        <w:tc>
          <w:tcPr>
            <w:tcW w:w="804" w:type="dxa"/>
            <w:tcBorders>
              <w:top w:val="nil"/>
              <w:left w:val="nil"/>
              <w:bottom w:val="single" w:sz="8" w:space="0" w:color="auto"/>
              <w:right w:val="single" w:sz="8" w:space="0" w:color="auto"/>
            </w:tcBorders>
            <w:shd w:val="clear" w:color="auto" w:fill="auto"/>
            <w:vAlign w:val="center"/>
            <w:hideMark/>
          </w:tcPr>
          <w:p w14:paraId="495D2A0B" w14:textId="77777777" w:rsidR="00061DE9" w:rsidRPr="001B4CA2" w:rsidRDefault="00061DE9" w:rsidP="002A38E7">
            <w:pPr>
              <w:jc w:val="center"/>
              <w:rPr>
                <w:color w:val="000000"/>
                <w:sz w:val="18"/>
                <w:szCs w:val="18"/>
              </w:rPr>
            </w:pPr>
            <w:r w:rsidRPr="001B4CA2">
              <w:rPr>
                <w:color w:val="000000"/>
                <w:sz w:val="18"/>
                <w:szCs w:val="18"/>
              </w:rPr>
              <w:t>8</w:t>
            </w:r>
          </w:p>
        </w:tc>
      </w:tr>
      <w:tr w:rsidR="00185891" w:rsidRPr="001B4CA2" w14:paraId="2B9DF799" w14:textId="77777777" w:rsidTr="00185891">
        <w:trPr>
          <w:trHeight w:val="296"/>
        </w:trPr>
        <w:tc>
          <w:tcPr>
            <w:tcW w:w="788" w:type="dxa"/>
            <w:tcBorders>
              <w:top w:val="nil"/>
              <w:left w:val="single" w:sz="8" w:space="0" w:color="auto"/>
              <w:bottom w:val="single" w:sz="8" w:space="0" w:color="auto"/>
              <w:right w:val="single" w:sz="8" w:space="0" w:color="auto"/>
            </w:tcBorders>
            <w:shd w:val="clear" w:color="auto" w:fill="auto"/>
            <w:noWrap/>
            <w:vAlign w:val="center"/>
            <w:hideMark/>
          </w:tcPr>
          <w:p w14:paraId="513BE057" w14:textId="77777777" w:rsidR="00061DE9" w:rsidRPr="001B4CA2" w:rsidRDefault="00061DE9" w:rsidP="002A38E7">
            <w:pPr>
              <w:jc w:val="center"/>
              <w:rPr>
                <w:b/>
                <w:bCs/>
                <w:color w:val="000000"/>
                <w:sz w:val="18"/>
                <w:szCs w:val="18"/>
              </w:rPr>
            </w:pPr>
            <w:r w:rsidRPr="001B4CA2">
              <w:rPr>
                <w:b/>
                <w:bCs/>
                <w:color w:val="000000"/>
                <w:sz w:val="18"/>
                <w:szCs w:val="18"/>
              </w:rPr>
              <w:t>2021.</w:t>
            </w:r>
          </w:p>
        </w:tc>
        <w:tc>
          <w:tcPr>
            <w:tcW w:w="955" w:type="dxa"/>
            <w:tcBorders>
              <w:top w:val="nil"/>
              <w:left w:val="nil"/>
              <w:bottom w:val="single" w:sz="8" w:space="0" w:color="auto"/>
              <w:right w:val="single" w:sz="8" w:space="0" w:color="auto"/>
            </w:tcBorders>
            <w:shd w:val="clear" w:color="auto" w:fill="auto"/>
            <w:noWrap/>
            <w:vAlign w:val="center"/>
            <w:hideMark/>
          </w:tcPr>
          <w:p w14:paraId="011A50C9" w14:textId="77777777" w:rsidR="00061DE9" w:rsidRPr="001B4CA2" w:rsidRDefault="00061DE9" w:rsidP="002A38E7">
            <w:pPr>
              <w:jc w:val="center"/>
              <w:rPr>
                <w:color w:val="000000"/>
                <w:sz w:val="18"/>
                <w:szCs w:val="18"/>
              </w:rPr>
            </w:pPr>
            <w:r w:rsidRPr="001B4CA2">
              <w:rPr>
                <w:color w:val="000000"/>
                <w:sz w:val="18"/>
                <w:szCs w:val="18"/>
              </w:rPr>
              <w:t>72</w:t>
            </w:r>
          </w:p>
        </w:tc>
        <w:tc>
          <w:tcPr>
            <w:tcW w:w="956" w:type="dxa"/>
            <w:tcBorders>
              <w:top w:val="nil"/>
              <w:left w:val="nil"/>
              <w:bottom w:val="single" w:sz="8" w:space="0" w:color="auto"/>
              <w:right w:val="single" w:sz="8" w:space="0" w:color="auto"/>
            </w:tcBorders>
            <w:shd w:val="clear" w:color="auto" w:fill="auto"/>
            <w:noWrap/>
            <w:vAlign w:val="center"/>
            <w:hideMark/>
          </w:tcPr>
          <w:p w14:paraId="6999E710" w14:textId="77777777" w:rsidR="00061DE9" w:rsidRPr="001B4CA2" w:rsidRDefault="00061DE9" w:rsidP="002A38E7">
            <w:pPr>
              <w:jc w:val="center"/>
              <w:rPr>
                <w:color w:val="000000"/>
                <w:sz w:val="18"/>
                <w:szCs w:val="18"/>
              </w:rPr>
            </w:pPr>
            <w:r w:rsidRPr="001B4CA2">
              <w:rPr>
                <w:color w:val="000000"/>
                <w:sz w:val="18"/>
                <w:szCs w:val="18"/>
              </w:rPr>
              <w:t>869</w:t>
            </w:r>
          </w:p>
        </w:tc>
        <w:tc>
          <w:tcPr>
            <w:tcW w:w="955" w:type="dxa"/>
            <w:tcBorders>
              <w:top w:val="nil"/>
              <w:left w:val="nil"/>
              <w:bottom w:val="single" w:sz="8" w:space="0" w:color="auto"/>
              <w:right w:val="single" w:sz="8" w:space="0" w:color="auto"/>
            </w:tcBorders>
            <w:shd w:val="clear" w:color="auto" w:fill="auto"/>
            <w:noWrap/>
            <w:vAlign w:val="center"/>
            <w:hideMark/>
          </w:tcPr>
          <w:p w14:paraId="50424BEC" w14:textId="77777777" w:rsidR="00061DE9" w:rsidRPr="001B4CA2" w:rsidRDefault="00061DE9" w:rsidP="002A38E7">
            <w:pPr>
              <w:jc w:val="center"/>
              <w:rPr>
                <w:color w:val="000000"/>
                <w:sz w:val="18"/>
                <w:szCs w:val="18"/>
              </w:rPr>
            </w:pPr>
            <w:r w:rsidRPr="001B4CA2">
              <w:rPr>
                <w:color w:val="000000"/>
                <w:sz w:val="18"/>
                <w:szCs w:val="18"/>
              </w:rPr>
              <w:t>199</w:t>
            </w:r>
          </w:p>
        </w:tc>
        <w:tc>
          <w:tcPr>
            <w:tcW w:w="956" w:type="dxa"/>
            <w:tcBorders>
              <w:top w:val="nil"/>
              <w:left w:val="nil"/>
              <w:bottom w:val="single" w:sz="8" w:space="0" w:color="auto"/>
              <w:right w:val="single" w:sz="8" w:space="0" w:color="auto"/>
            </w:tcBorders>
            <w:shd w:val="clear" w:color="auto" w:fill="auto"/>
            <w:noWrap/>
            <w:vAlign w:val="center"/>
            <w:hideMark/>
          </w:tcPr>
          <w:p w14:paraId="1A676C63" w14:textId="77777777" w:rsidR="00061DE9" w:rsidRPr="001B4CA2" w:rsidRDefault="00061DE9" w:rsidP="002A38E7">
            <w:pPr>
              <w:jc w:val="center"/>
              <w:rPr>
                <w:sz w:val="18"/>
                <w:szCs w:val="18"/>
              </w:rPr>
            </w:pPr>
            <w:r w:rsidRPr="001B4CA2">
              <w:rPr>
                <w:sz w:val="18"/>
                <w:szCs w:val="18"/>
              </w:rPr>
              <w:t>28</w:t>
            </w:r>
          </w:p>
        </w:tc>
        <w:tc>
          <w:tcPr>
            <w:tcW w:w="955" w:type="dxa"/>
            <w:tcBorders>
              <w:top w:val="nil"/>
              <w:left w:val="nil"/>
              <w:bottom w:val="single" w:sz="8" w:space="0" w:color="auto"/>
              <w:right w:val="single" w:sz="8" w:space="0" w:color="auto"/>
            </w:tcBorders>
            <w:shd w:val="clear" w:color="auto" w:fill="auto"/>
            <w:noWrap/>
            <w:vAlign w:val="center"/>
            <w:hideMark/>
          </w:tcPr>
          <w:p w14:paraId="0CB5C8AA" w14:textId="77777777" w:rsidR="00061DE9" w:rsidRPr="001B4CA2" w:rsidRDefault="00061DE9" w:rsidP="002A38E7">
            <w:pPr>
              <w:jc w:val="center"/>
              <w:rPr>
                <w:color w:val="000000"/>
                <w:sz w:val="18"/>
                <w:szCs w:val="18"/>
              </w:rPr>
            </w:pPr>
            <w:r w:rsidRPr="001B4CA2">
              <w:rPr>
                <w:color w:val="000000"/>
                <w:sz w:val="18"/>
                <w:szCs w:val="18"/>
              </w:rPr>
              <w:t>423</w:t>
            </w:r>
          </w:p>
        </w:tc>
        <w:tc>
          <w:tcPr>
            <w:tcW w:w="956" w:type="dxa"/>
            <w:tcBorders>
              <w:top w:val="nil"/>
              <w:left w:val="nil"/>
              <w:bottom w:val="single" w:sz="8" w:space="0" w:color="auto"/>
              <w:right w:val="single" w:sz="8" w:space="0" w:color="auto"/>
            </w:tcBorders>
            <w:shd w:val="clear" w:color="auto" w:fill="auto"/>
            <w:noWrap/>
            <w:vAlign w:val="center"/>
            <w:hideMark/>
          </w:tcPr>
          <w:p w14:paraId="34DFEC2A" w14:textId="77777777" w:rsidR="00061DE9" w:rsidRPr="001B4CA2" w:rsidRDefault="00061DE9" w:rsidP="002A38E7">
            <w:pPr>
              <w:jc w:val="center"/>
              <w:rPr>
                <w:color w:val="000000"/>
                <w:sz w:val="18"/>
                <w:szCs w:val="18"/>
              </w:rPr>
            </w:pPr>
            <w:r w:rsidRPr="001B4CA2">
              <w:rPr>
                <w:color w:val="000000"/>
                <w:sz w:val="18"/>
                <w:szCs w:val="18"/>
              </w:rPr>
              <w:t>26</w:t>
            </w:r>
          </w:p>
        </w:tc>
        <w:tc>
          <w:tcPr>
            <w:tcW w:w="803" w:type="dxa"/>
            <w:tcBorders>
              <w:top w:val="nil"/>
              <w:left w:val="nil"/>
              <w:bottom w:val="single" w:sz="8" w:space="0" w:color="auto"/>
              <w:right w:val="single" w:sz="8" w:space="0" w:color="auto"/>
            </w:tcBorders>
            <w:shd w:val="clear" w:color="auto" w:fill="auto"/>
            <w:noWrap/>
            <w:vAlign w:val="center"/>
            <w:hideMark/>
          </w:tcPr>
          <w:p w14:paraId="0D73C8E6" w14:textId="77777777" w:rsidR="00061DE9" w:rsidRPr="001B4CA2" w:rsidRDefault="00061DE9" w:rsidP="002A38E7">
            <w:pPr>
              <w:jc w:val="center"/>
              <w:rPr>
                <w:color w:val="000000"/>
                <w:sz w:val="18"/>
                <w:szCs w:val="18"/>
              </w:rPr>
            </w:pPr>
            <w:r w:rsidRPr="001B4CA2">
              <w:rPr>
                <w:color w:val="000000"/>
                <w:sz w:val="18"/>
                <w:szCs w:val="18"/>
              </w:rPr>
              <w:t>245</w:t>
            </w:r>
          </w:p>
        </w:tc>
        <w:tc>
          <w:tcPr>
            <w:tcW w:w="803" w:type="dxa"/>
            <w:tcBorders>
              <w:top w:val="nil"/>
              <w:left w:val="nil"/>
              <w:bottom w:val="single" w:sz="8" w:space="0" w:color="auto"/>
              <w:right w:val="single" w:sz="8" w:space="0" w:color="auto"/>
            </w:tcBorders>
            <w:shd w:val="clear" w:color="auto" w:fill="auto"/>
            <w:noWrap/>
            <w:vAlign w:val="center"/>
            <w:hideMark/>
          </w:tcPr>
          <w:p w14:paraId="2DEED787" w14:textId="77777777" w:rsidR="00061DE9" w:rsidRPr="001B4CA2" w:rsidRDefault="00061DE9" w:rsidP="002A38E7">
            <w:pPr>
              <w:jc w:val="center"/>
              <w:rPr>
                <w:color w:val="000000"/>
                <w:sz w:val="18"/>
                <w:szCs w:val="18"/>
              </w:rPr>
            </w:pPr>
            <w:r w:rsidRPr="001B4CA2">
              <w:rPr>
                <w:color w:val="000000"/>
                <w:sz w:val="18"/>
                <w:szCs w:val="18"/>
              </w:rPr>
              <w:t>5</w:t>
            </w:r>
          </w:p>
        </w:tc>
        <w:tc>
          <w:tcPr>
            <w:tcW w:w="804" w:type="dxa"/>
            <w:tcBorders>
              <w:top w:val="nil"/>
              <w:left w:val="nil"/>
              <w:bottom w:val="single" w:sz="8" w:space="0" w:color="auto"/>
              <w:right w:val="single" w:sz="8" w:space="0" w:color="auto"/>
            </w:tcBorders>
            <w:shd w:val="clear" w:color="auto" w:fill="auto"/>
            <w:vAlign w:val="center"/>
            <w:hideMark/>
          </w:tcPr>
          <w:p w14:paraId="3ECF23D2" w14:textId="77777777" w:rsidR="00061DE9" w:rsidRPr="001B4CA2" w:rsidRDefault="00061DE9" w:rsidP="002A38E7">
            <w:pPr>
              <w:jc w:val="center"/>
              <w:rPr>
                <w:color w:val="000000"/>
                <w:sz w:val="18"/>
                <w:szCs w:val="18"/>
              </w:rPr>
            </w:pPr>
            <w:r w:rsidRPr="001B4CA2">
              <w:rPr>
                <w:color w:val="000000"/>
                <w:sz w:val="18"/>
                <w:szCs w:val="18"/>
              </w:rPr>
              <w:t>3</w:t>
            </w:r>
          </w:p>
        </w:tc>
      </w:tr>
      <w:tr w:rsidR="00185891" w:rsidRPr="001B4CA2" w14:paraId="321F1DC5" w14:textId="77777777" w:rsidTr="00185891">
        <w:trPr>
          <w:trHeight w:val="296"/>
        </w:trPr>
        <w:tc>
          <w:tcPr>
            <w:tcW w:w="788" w:type="dxa"/>
            <w:tcBorders>
              <w:top w:val="nil"/>
              <w:left w:val="single" w:sz="8" w:space="0" w:color="auto"/>
              <w:bottom w:val="single" w:sz="8" w:space="0" w:color="auto"/>
              <w:right w:val="single" w:sz="8" w:space="0" w:color="auto"/>
            </w:tcBorders>
            <w:shd w:val="clear" w:color="auto" w:fill="auto"/>
            <w:noWrap/>
            <w:vAlign w:val="center"/>
            <w:hideMark/>
          </w:tcPr>
          <w:p w14:paraId="663066EC" w14:textId="77777777" w:rsidR="00061DE9" w:rsidRPr="001B4CA2" w:rsidRDefault="00061DE9" w:rsidP="002A38E7">
            <w:pPr>
              <w:jc w:val="center"/>
              <w:rPr>
                <w:b/>
                <w:bCs/>
                <w:color w:val="000000"/>
                <w:sz w:val="18"/>
                <w:szCs w:val="18"/>
              </w:rPr>
            </w:pPr>
            <w:r w:rsidRPr="001B4CA2">
              <w:rPr>
                <w:b/>
                <w:bCs/>
                <w:color w:val="000000"/>
                <w:sz w:val="18"/>
                <w:szCs w:val="18"/>
              </w:rPr>
              <w:t>2022.</w:t>
            </w:r>
          </w:p>
        </w:tc>
        <w:tc>
          <w:tcPr>
            <w:tcW w:w="955" w:type="dxa"/>
            <w:tcBorders>
              <w:top w:val="nil"/>
              <w:left w:val="nil"/>
              <w:bottom w:val="single" w:sz="8" w:space="0" w:color="auto"/>
              <w:right w:val="single" w:sz="8" w:space="0" w:color="auto"/>
            </w:tcBorders>
            <w:shd w:val="clear" w:color="auto" w:fill="auto"/>
            <w:noWrap/>
            <w:vAlign w:val="center"/>
            <w:hideMark/>
          </w:tcPr>
          <w:p w14:paraId="69E94A5E" w14:textId="77777777" w:rsidR="00061DE9" w:rsidRPr="001B4CA2" w:rsidRDefault="00061DE9" w:rsidP="002A38E7">
            <w:pPr>
              <w:jc w:val="center"/>
              <w:rPr>
                <w:color w:val="000000"/>
                <w:sz w:val="18"/>
                <w:szCs w:val="18"/>
              </w:rPr>
            </w:pPr>
            <w:r w:rsidRPr="001B4CA2">
              <w:rPr>
                <w:color w:val="000000"/>
                <w:sz w:val="18"/>
                <w:szCs w:val="18"/>
              </w:rPr>
              <w:t>133 </w:t>
            </w:r>
          </w:p>
        </w:tc>
        <w:tc>
          <w:tcPr>
            <w:tcW w:w="956" w:type="dxa"/>
            <w:tcBorders>
              <w:top w:val="nil"/>
              <w:left w:val="nil"/>
              <w:bottom w:val="single" w:sz="8" w:space="0" w:color="auto"/>
              <w:right w:val="single" w:sz="8" w:space="0" w:color="auto"/>
            </w:tcBorders>
            <w:shd w:val="clear" w:color="auto" w:fill="auto"/>
            <w:noWrap/>
            <w:vAlign w:val="center"/>
            <w:hideMark/>
          </w:tcPr>
          <w:p w14:paraId="35D6E1CC" w14:textId="77777777" w:rsidR="00061DE9" w:rsidRPr="001B4CA2" w:rsidRDefault="00061DE9" w:rsidP="002A38E7">
            <w:pPr>
              <w:jc w:val="center"/>
              <w:rPr>
                <w:color w:val="000000"/>
                <w:sz w:val="18"/>
                <w:szCs w:val="18"/>
              </w:rPr>
            </w:pPr>
            <w:r w:rsidRPr="001B4CA2">
              <w:rPr>
                <w:color w:val="000000"/>
                <w:sz w:val="18"/>
                <w:szCs w:val="18"/>
              </w:rPr>
              <w:t>1.187 </w:t>
            </w:r>
          </w:p>
        </w:tc>
        <w:tc>
          <w:tcPr>
            <w:tcW w:w="955" w:type="dxa"/>
            <w:tcBorders>
              <w:top w:val="nil"/>
              <w:left w:val="nil"/>
              <w:bottom w:val="single" w:sz="8" w:space="0" w:color="auto"/>
              <w:right w:val="single" w:sz="8" w:space="0" w:color="auto"/>
            </w:tcBorders>
            <w:shd w:val="clear" w:color="auto" w:fill="auto"/>
            <w:noWrap/>
            <w:vAlign w:val="center"/>
            <w:hideMark/>
          </w:tcPr>
          <w:p w14:paraId="0FA12D4C" w14:textId="77777777" w:rsidR="00061DE9" w:rsidRPr="001B4CA2" w:rsidRDefault="00061DE9" w:rsidP="002A38E7">
            <w:pPr>
              <w:jc w:val="center"/>
              <w:rPr>
                <w:color w:val="000000"/>
                <w:sz w:val="18"/>
                <w:szCs w:val="18"/>
              </w:rPr>
            </w:pPr>
            <w:r w:rsidRPr="001B4CA2">
              <w:rPr>
                <w:color w:val="000000"/>
                <w:sz w:val="18"/>
                <w:szCs w:val="18"/>
              </w:rPr>
              <w:t>379 </w:t>
            </w:r>
          </w:p>
        </w:tc>
        <w:tc>
          <w:tcPr>
            <w:tcW w:w="956" w:type="dxa"/>
            <w:tcBorders>
              <w:top w:val="nil"/>
              <w:left w:val="nil"/>
              <w:bottom w:val="single" w:sz="8" w:space="0" w:color="auto"/>
              <w:right w:val="single" w:sz="8" w:space="0" w:color="auto"/>
            </w:tcBorders>
            <w:shd w:val="clear" w:color="auto" w:fill="auto"/>
            <w:noWrap/>
            <w:vAlign w:val="center"/>
            <w:hideMark/>
          </w:tcPr>
          <w:p w14:paraId="35537C73" w14:textId="77777777" w:rsidR="00061DE9" w:rsidRPr="001B4CA2" w:rsidRDefault="00061DE9" w:rsidP="002A38E7">
            <w:pPr>
              <w:jc w:val="center"/>
              <w:rPr>
                <w:sz w:val="18"/>
                <w:szCs w:val="18"/>
              </w:rPr>
            </w:pPr>
            <w:r w:rsidRPr="001B4CA2">
              <w:rPr>
                <w:sz w:val="18"/>
                <w:szCs w:val="18"/>
              </w:rPr>
              <w:t>35 </w:t>
            </w:r>
          </w:p>
        </w:tc>
        <w:tc>
          <w:tcPr>
            <w:tcW w:w="955" w:type="dxa"/>
            <w:tcBorders>
              <w:top w:val="nil"/>
              <w:left w:val="nil"/>
              <w:bottom w:val="single" w:sz="8" w:space="0" w:color="auto"/>
              <w:right w:val="single" w:sz="8" w:space="0" w:color="auto"/>
            </w:tcBorders>
            <w:shd w:val="clear" w:color="auto" w:fill="auto"/>
            <w:noWrap/>
            <w:vAlign w:val="center"/>
            <w:hideMark/>
          </w:tcPr>
          <w:p w14:paraId="5EDA1853" w14:textId="77777777" w:rsidR="00061DE9" w:rsidRPr="001B4CA2" w:rsidRDefault="00061DE9" w:rsidP="002A38E7">
            <w:pPr>
              <w:jc w:val="center"/>
              <w:rPr>
                <w:color w:val="000000"/>
                <w:sz w:val="18"/>
                <w:szCs w:val="18"/>
              </w:rPr>
            </w:pPr>
            <w:r w:rsidRPr="001B4CA2">
              <w:rPr>
                <w:color w:val="000000"/>
                <w:sz w:val="18"/>
                <w:szCs w:val="18"/>
              </w:rPr>
              <w:t>557 </w:t>
            </w:r>
          </w:p>
        </w:tc>
        <w:tc>
          <w:tcPr>
            <w:tcW w:w="956" w:type="dxa"/>
            <w:tcBorders>
              <w:top w:val="nil"/>
              <w:left w:val="nil"/>
              <w:bottom w:val="single" w:sz="8" w:space="0" w:color="auto"/>
              <w:right w:val="single" w:sz="8" w:space="0" w:color="auto"/>
            </w:tcBorders>
            <w:shd w:val="clear" w:color="auto" w:fill="auto"/>
            <w:noWrap/>
            <w:vAlign w:val="center"/>
            <w:hideMark/>
          </w:tcPr>
          <w:p w14:paraId="6FE40C1B" w14:textId="77777777" w:rsidR="00061DE9" w:rsidRPr="001B4CA2" w:rsidRDefault="00061DE9" w:rsidP="002A38E7">
            <w:pPr>
              <w:jc w:val="center"/>
              <w:rPr>
                <w:color w:val="000000"/>
                <w:sz w:val="18"/>
                <w:szCs w:val="18"/>
              </w:rPr>
            </w:pPr>
            <w:r w:rsidRPr="001B4CA2">
              <w:rPr>
                <w:color w:val="000000"/>
                <w:sz w:val="18"/>
                <w:szCs w:val="18"/>
              </w:rPr>
              <w:t>36</w:t>
            </w:r>
          </w:p>
        </w:tc>
        <w:tc>
          <w:tcPr>
            <w:tcW w:w="803" w:type="dxa"/>
            <w:tcBorders>
              <w:top w:val="nil"/>
              <w:left w:val="nil"/>
              <w:bottom w:val="single" w:sz="8" w:space="0" w:color="auto"/>
              <w:right w:val="single" w:sz="8" w:space="0" w:color="auto"/>
            </w:tcBorders>
            <w:shd w:val="clear" w:color="auto" w:fill="auto"/>
            <w:noWrap/>
            <w:vAlign w:val="center"/>
            <w:hideMark/>
          </w:tcPr>
          <w:p w14:paraId="1AB14D7D" w14:textId="77777777" w:rsidR="00061DE9" w:rsidRPr="001B4CA2" w:rsidRDefault="00061DE9" w:rsidP="002A38E7">
            <w:pPr>
              <w:jc w:val="center"/>
              <w:rPr>
                <w:color w:val="000000"/>
                <w:sz w:val="18"/>
                <w:szCs w:val="18"/>
              </w:rPr>
            </w:pPr>
            <w:r w:rsidRPr="001B4CA2">
              <w:rPr>
                <w:color w:val="000000"/>
                <w:sz w:val="18"/>
                <w:szCs w:val="18"/>
              </w:rPr>
              <w:t>294</w:t>
            </w:r>
          </w:p>
        </w:tc>
        <w:tc>
          <w:tcPr>
            <w:tcW w:w="803" w:type="dxa"/>
            <w:tcBorders>
              <w:top w:val="nil"/>
              <w:left w:val="nil"/>
              <w:bottom w:val="single" w:sz="8" w:space="0" w:color="auto"/>
              <w:right w:val="single" w:sz="8" w:space="0" w:color="auto"/>
            </w:tcBorders>
            <w:shd w:val="clear" w:color="auto" w:fill="auto"/>
            <w:noWrap/>
            <w:vAlign w:val="center"/>
            <w:hideMark/>
          </w:tcPr>
          <w:p w14:paraId="1EF67A9F" w14:textId="77777777" w:rsidR="00061DE9" w:rsidRPr="001B4CA2" w:rsidRDefault="00061DE9" w:rsidP="002A38E7">
            <w:pPr>
              <w:jc w:val="center"/>
              <w:rPr>
                <w:color w:val="000000"/>
                <w:sz w:val="18"/>
                <w:szCs w:val="18"/>
              </w:rPr>
            </w:pPr>
            <w:r w:rsidRPr="001B4CA2">
              <w:rPr>
                <w:color w:val="000000"/>
                <w:sz w:val="18"/>
                <w:szCs w:val="18"/>
              </w:rPr>
              <w:t>22</w:t>
            </w:r>
          </w:p>
        </w:tc>
        <w:tc>
          <w:tcPr>
            <w:tcW w:w="804" w:type="dxa"/>
            <w:tcBorders>
              <w:top w:val="nil"/>
              <w:left w:val="nil"/>
              <w:bottom w:val="single" w:sz="8" w:space="0" w:color="auto"/>
              <w:right w:val="single" w:sz="8" w:space="0" w:color="auto"/>
            </w:tcBorders>
            <w:shd w:val="clear" w:color="auto" w:fill="auto"/>
            <w:vAlign w:val="center"/>
            <w:hideMark/>
          </w:tcPr>
          <w:p w14:paraId="70CAE0CD" w14:textId="77777777" w:rsidR="00061DE9" w:rsidRPr="001B4CA2" w:rsidRDefault="00061DE9" w:rsidP="002A38E7">
            <w:pPr>
              <w:jc w:val="center"/>
              <w:rPr>
                <w:color w:val="000000"/>
                <w:sz w:val="18"/>
                <w:szCs w:val="18"/>
              </w:rPr>
            </w:pPr>
            <w:r w:rsidRPr="001B4CA2">
              <w:rPr>
                <w:color w:val="000000"/>
                <w:sz w:val="18"/>
                <w:szCs w:val="18"/>
              </w:rPr>
              <w:t>8</w:t>
            </w:r>
          </w:p>
        </w:tc>
      </w:tr>
    </w:tbl>
    <w:p w14:paraId="6EC5EDCC" w14:textId="77777777" w:rsidR="00061DE9" w:rsidRPr="001B4CA2" w:rsidRDefault="00061DE9" w:rsidP="00061DE9">
      <w:pPr>
        <w:rPr>
          <w:snapToGrid w:val="0"/>
        </w:rPr>
      </w:pPr>
    </w:p>
    <w:p w14:paraId="3A40A624" w14:textId="77777777" w:rsidR="00061DE9" w:rsidRPr="001B4CA2" w:rsidRDefault="00061DE9" w:rsidP="00061DE9">
      <w:pPr>
        <w:ind w:firstLine="708"/>
        <w:rPr>
          <w:snapToGrid w:val="0"/>
        </w:rPr>
      </w:pPr>
      <w:r w:rsidRPr="001B4CA2">
        <w:rPr>
          <w:snapToGrid w:val="0"/>
        </w:rPr>
        <w:t>U izvještajnom razdoblju nastavlja se porast broja kaznenih prijava protiv počinitelja kaznenog djela nasilja u obitelji iz članka 179.a Kaznenog zakona.</w:t>
      </w:r>
    </w:p>
    <w:p w14:paraId="5D3296CE" w14:textId="77777777" w:rsidR="00061DE9" w:rsidRPr="001B4CA2" w:rsidRDefault="00061DE9" w:rsidP="00061DE9">
      <w:pPr>
        <w:rPr>
          <w:snapToGrid w:val="0"/>
        </w:rPr>
      </w:pPr>
    </w:p>
    <w:p w14:paraId="78D053F8" w14:textId="77777777" w:rsidR="00061DE9" w:rsidRPr="001B4CA2" w:rsidRDefault="00061DE9" w:rsidP="00061DE9">
      <w:pPr>
        <w:ind w:firstLine="708"/>
        <w:rPr>
          <w:snapToGrid w:val="0"/>
        </w:rPr>
      </w:pPr>
      <w:r w:rsidRPr="001B4CA2">
        <w:rPr>
          <w:snapToGrid w:val="0"/>
        </w:rPr>
        <w:t>U odnosu na prethodno izvještajno razdoblje (869 prijava protiv počinitelja ovog kaznenog djela) sada bilježimo porast broja prijava za 36,6 % (1.187).</w:t>
      </w:r>
    </w:p>
    <w:p w14:paraId="6B3249F3" w14:textId="77777777" w:rsidR="00061DE9" w:rsidRPr="001B4CA2" w:rsidRDefault="00061DE9" w:rsidP="00061DE9">
      <w:pPr>
        <w:rPr>
          <w:snapToGrid w:val="0"/>
        </w:rPr>
      </w:pPr>
    </w:p>
    <w:p w14:paraId="034BEF09" w14:textId="1BBD03DD" w:rsidR="00061DE9" w:rsidRPr="001B4CA2" w:rsidRDefault="00061DE9" w:rsidP="00061DE9">
      <w:pPr>
        <w:ind w:firstLine="708"/>
        <w:rPr>
          <w:snapToGrid w:val="0"/>
        </w:rPr>
      </w:pPr>
      <w:r w:rsidRPr="001B4CA2">
        <w:rPr>
          <w:snapToGrid w:val="0"/>
        </w:rPr>
        <w:t xml:space="preserve">U odnosu na prethodno izvještajno razdoblje državna su </w:t>
      </w:r>
      <w:r w:rsidR="0028615B" w:rsidRPr="001B4CA2">
        <w:rPr>
          <w:snapToGrid w:val="0"/>
        </w:rPr>
        <w:t xml:space="preserve">odvjetništva </w:t>
      </w:r>
      <w:r w:rsidRPr="001B4CA2">
        <w:rPr>
          <w:snapToGrid w:val="0"/>
        </w:rPr>
        <w:t>postupajući po kaznenim prijavama donijela ukupno 971 odluku (rješenje o odbačaju kaznene prijave, pokrenut prekršajni postupak i podignuta optužnica)</w:t>
      </w:r>
      <w:r w:rsidR="0028615B">
        <w:rPr>
          <w:snapToGrid w:val="0"/>
        </w:rPr>
        <w:t>,</w:t>
      </w:r>
      <w:r w:rsidRPr="001B4CA2">
        <w:rPr>
          <w:snapToGrid w:val="0"/>
        </w:rPr>
        <w:t xml:space="preserve"> što je 49,4 % više odluka nego u prethodnom izvještajnom razdoblju (650).</w:t>
      </w:r>
    </w:p>
    <w:p w14:paraId="131DD436" w14:textId="77777777" w:rsidR="00061DE9" w:rsidRPr="001B4CA2" w:rsidRDefault="00061DE9" w:rsidP="00061DE9">
      <w:pPr>
        <w:rPr>
          <w:snapToGrid w:val="0"/>
        </w:rPr>
      </w:pPr>
    </w:p>
    <w:p w14:paraId="7A62C7F9" w14:textId="58172B24" w:rsidR="00061DE9" w:rsidRPr="001B4CA2" w:rsidRDefault="00061DE9" w:rsidP="00061DE9">
      <w:pPr>
        <w:ind w:firstLine="708"/>
        <w:rPr>
          <w:snapToGrid w:val="0"/>
        </w:rPr>
      </w:pPr>
      <w:r w:rsidRPr="001B4CA2">
        <w:rPr>
          <w:snapToGrid w:val="0"/>
        </w:rPr>
        <w:t>Nakon što su državna odvjetništva donijela rješenje o odbačaju kaznene prijave u 9,2 % slučajeva pokrenula su prekršajni postupak prema počinitelju nekog od oblika nasilja u obitelji iz članka 10. Zakona o zaštiti od nasilja u obitelji.</w:t>
      </w:r>
    </w:p>
    <w:p w14:paraId="3A9EA0AE" w14:textId="77777777" w:rsidR="00061DE9" w:rsidRPr="001B4CA2" w:rsidRDefault="00061DE9" w:rsidP="00061DE9">
      <w:pPr>
        <w:rPr>
          <w:snapToGrid w:val="0"/>
        </w:rPr>
      </w:pPr>
    </w:p>
    <w:p w14:paraId="72870B8C" w14:textId="77777777" w:rsidR="00061DE9" w:rsidRPr="001B4CA2" w:rsidRDefault="00061DE9" w:rsidP="00061DE9">
      <w:pPr>
        <w:ind w:firstLine="708"/>
        <w:rPr>
          <w:snapToGrid w:val="0"/>
        </w:rPr>
      </w:pPr>
      <w:r w:rsidRPr="001B4CA2">
        <w:rPr>
          <w:snapToGrid w:val="0"/>
        </w:rPr>
        <w:t>Naime, kad državna odvjetništva donesu rješenje o odbačaju kaznene prijave protiv počinitelja kaznenog djela iz članka 179.a Kaznenog zakona iz razloga što prijavljeno djelo nije kazneno djelo za koje se progoni po službenoj dužnosti (članak 206. stavak 1. točka 1. Zakona o kaznenom postupku), a utvrdila su postojanje nekog od oblika nasilja propisanog u članku 10. Zakona o zaštiti od nasilja u obitelji, nadležnom općinskom sudu podnose optužni prijedlog.</w:t>
      </w:r>
    </w:p>
    <w:p w14:paraId="41D2FFFB" w14:textId="77777777" w:rsidR="00061DE9" w:rsidRPr="001B4CA2" w:rsidRDefault="00061DE9" w:rsidP="00061DE9">
      <w:pPr>
        <w:rPr>
          <w:snapToGrid w:val="0"/>
        </w:rPr>
      </w:pPr>
    </w:p>
    <w:p w14:paraId="56B31F6B" w14:textId="0BDED8C0" w:rsidR="00061DE9" w:rsidRPr="001B4CA2" w:rsidRDefault="00061DE9" w:rsidP="00061DE9">
      <w:pPr>
        <w:ind w:firstLine="708"/>
        <w:rPr>
          <w:snapToGrid w:val="0"/>
        </w:rPr>
      </w:pPr>
      <w:r w:rsidRPr="001B4CA2">
        <w:rPr>
          <w:snapToGrid w:val="0"/>
        </w:rPr>
        <w:lastRenderedPageBreak/>
        <w:t>U odnosu na prethodno izvještajno razdoblje bilježimo porast broja podignutih optužnica za 31,7 %. U ukupnom broju podignutih optužnica optužnice s kaznenim nalogom participiraju s</w:t>
      </w:r>
      <w:r w:rsidR="0028615B">
        <w:rPr>
          <w:snapToGrid w:val="0"/>
        </w:rPr>
        <w:t>a</w:t>
      </w:r>
      <w:r w:rsidRPr="001B4CA2">
        <w:rPr>
          <w:snapToGrid w:val="0"/>
        </w:rPr>
        <w:t xml:space="preserve"> 6,5 %. Za 20 % porastao je i broj osuđujućih presuda.</w:t>
      </w:r>
    </w:p>
    <w:p w14:paraId="30C9208B" w14:textId="77777777" w:rsidR="00061DE9" w:rsidRPr="001B4CA2" w:rsidRDefault="00061DE9" w:rsidP="00061DE9"/>
    <w:p w14:paraId="2EF231B7" w14:textId="7F2DFAF6" w:rsidR="00061DE9" w:rsidRPr="001B4CA2" w:rsidRDefault="00061DE9" w:rsidP="00061DE9">
      <w:pPr>
        <w:ind w:firstLine="708"/>
      </w:pPr>
      <w:r w:rsidRPr="001B4CA2">
        <w:t>Značajniji porast broja prijava protiv počinitelja kaznenog djela nasilja u obitelji u izvještajnom razdoblju bilježimo na području nadležnosti Općinskog kaznenog državnog odvjetništva u Zagrebu (323:144) te u nešto manjem obimu na području nadležnosti Općinskog državnog odvjetništva u Pazinu (41:14), Općinskog državnog odvjetništva u Požegi (31:11), Općinskog državnog odvjetništva u Varaždinu (73:41), Općinskog državnog odvjetništva u Zadru (55:36) i Općinskog državnog odvjetništva u Koprivnici (43:9).</w:t>
      </w:r>
    </w:p>
    <w:p w14:paraId="1C69FC52" w14:textId="77777777" w:rsidR="00061DE9" w:rsidRPr="001B4CA2" w:rsidRDefault="00061DE9" w:rsidP="00061DE9"/>
    <w:p w14:paraId="29018A2A" w14:textId="2201BEEF" w:rsidR="00061DE9" w:rsidRPr="001B4CA2" w:rsidRDefault="00061DE9" w:rsidP="00061DE9">
      <w:pPr>
        <w:ind w:firstLine="708"/>
      </w:pPr>
      <w:r w:rsidRPr="001B4CA2">
        <w:t>Neznatan pad broja prijava protiv počinitelja kaznenog djela iz čanka 179.a Kaznenog zakona u izvještajnom razdoblju bilježimo na području nadležnosti Općinskog državnog odvjetništva u Karlovcu i Općinskog državnog odvjetništva u Sisku, dok značajniji pad broja prijava u izvještajnom razdoblju bilježimo na području nadležnosti Općinskog državnog odvjetništva u Rijeci</w:t>
      </w:r>
      <w:r w:rsidR="00FD08E9">
        <w:t xml:space="preserve"> </w:t>
      </w:r>
      <w:r w:rsidRPr="001B4CA2">
        <w:t>za 61,2</w:t>
      </w:r>
      <w:r w:rsidR="0028615B">
        <w:t> </w:t>
      </w:r>
      <w:r w:rsidRPr="001B4CA2">
        <w:t>% (33:85).</w:t>
      </w:r>
    </w:p>
    <w:p w14:paraId="3B1E45D3" w14:textId="77777777" w:rsidR="00061DE9" w:rsidRPr="001B4CA2" w:rsidRDefault="00061DE9" w:rsidP="00061DE9"/>
    <w:p w14:paraId="13697DF5" w14:textId="4416CDD8" w:rsidR="00061DE9" w:rsidRPr="001B4CA2" w:rsidRDefault="00061DE9" w:rsidP="00061DE9">
      <w:pPr>
        <w:ind w:firstLine="708"/>
      </w:pPr>
      <w:r w:rsidRPr="001B4CA2">
        <w:t>Kao i u prethodnom izvještajnom razdoblju u odnosu na porast broja kaznenih prijava protiv počinitelja ovog kaznenog djela ponovno ukazujemo</w:t>
      </w:r>
      <w:r w:rsidR="0028615B">
        <w:t xml:space="preserve"> na to </w:t>
      </w:r>
      <w:r w:rsidRPr="001B4CA2">
        <w:t xml:space="preserve">da nije moguće govoriti o stvarnom statistički značajnom porastu broja prijavljenih za kazneno djelo iz članka 179.a Kaznenog zakona </w:t>
      </w:r>
      <w:r w:rsidR="0028615B">
        <w:t>budući</w:t>
      </w:r>
      <w:r w:rsidRPr="001B4CA2">
        <w:t xml:space="preserve"> da se nerijetko ovo kazneno djelo prijavljuje u stjecaju s nekim drugim kaznenim djelom s propisanom težom kaznom</w:t>
      </w:r>
      <w:r w:rsidR="0028615B">
        <w:t>,</w:t>
      </w:r>
      <w:r w:rsidRPr="001B4CA2">
        <w:t xml:space="preserve"> odnosno nekim od kaznenih djela iz sfere kaznenopravne zaštite djece. Međutim, potrebno je istaknuti da je i kod samih žrtava ovog kaznenog djela došlo do podizanja svijesti o njegovoj nedopuštenosti i kažnjivosti, da je došlo do veće senzibilizacije društva </w:t>
      </w:r>
      <w:r w:rsidR="0028615B">
        <w:t>zbog</w:t>
      </w:r>
      <w:r w:rsidRPr="001B4CA2">
        <w:t xml:space="preserve"> različitih kampanja i medijskih objava i do unaprjeđenja sustava potpore žrtvama kroz zakonodavni okvir i njegovu primjenu u praksi. </w:t>
      </w:r>
    </w:p>
    <w:p w14:paraId="5111CC5C" w14:textId="77777777" w:rsidR="00061DE9" w:rsidRPr="001B4CA2" w:rsidRDefault="00061DE9" w:rsidP="00061DE9"/>
    <w:p w14:paraId="32D9D3A4" w14:textId="0FDA4AA6" w:rsidR="00061DE9" w:rsidRPr="001B4CA2" w:rsidRDefault="00061DE9" w:rsidP="00061DE9">
      <w:pPr>
        <w:ind w:firstLine="708"/>
      </w:pPr>
      <w:r w:rsidRPr="001B4CA2">
        <w:t>Kako je u odnosu na prethodno navedena državna odvjetništva u kojima je zabilježen porast broja prijava počinitelja kaznenog djela iz članka 179.a Kaznenog zakona isto</w:t>
      </w:r>
      <w:r w:rsidR="0028615B">
        <w:t>dob</w:t>
      </w:r>
      <w:r w:rsidRPr="001B4CA2">
        <w:t>no došlo i do porasta broja rješenja o odbačaju kaznenih prijava</w:t>
      </w:r>
      <w:r w:rsidR="0028615B">
        <w:t>,</w:t>
      </w:r>
      <w:r w:rsidRPr="001B4CA2">
        <w:t xml:space="preserve"> potrebno je ukazati na probleme kod dokazivanja ovog kaznenog djela, pogotovo u situaciji kada se ono prijavljuje u stjecaju s nekim od kaznenih djela kaznenopravne zaštite djece u kojima se kao svjedoci pojavljuju osobe bliske okrivljeniku (članak 87. stavak 9. Kaznenog zakona) koje su puno sklonije korištenju blagodati </w:t>
      </w:r>
      <w:proofErr w:type="spellStart"/>
      <w:r w:rsidRPr="001B4CA2">
        <w:t>nesvjedočenja</w:t>
      </w:r>
      <w:proofErr w:type="spellEnd"/>
      <w:r w:rsidRPr="001B4CA2">
        <w:t>, što u nedostatku drugih dokaza ima za posljedicu donošenje rješenja o odbačaju kaznene prijave zbog nepostojanja osnovane sumnje da bi prijavljene osobe počinile kazneno djelo.</w:t>
      </w:r>
    </w:p>
    <w:p w14:paraId="78F497A5" w14:textId="77777777" w:rsidR="00EB3BEC" w:rsidRPr="001B4CA2" w:rsidRDefault="00EB3BEC" w:rsidP="00255799"/>
    <w:p w14:paraId="3ADAD41F" w14:textId="477AAD28" w:rsidR="007C2573" w:rsidRPr="001B4CA2" w:rsidRDefault="00955E23" w:rsidP="00D8449C">
      <w:pPr>
        <w:pStyle w:val="Naslov3"/>
        <w:tabs>
          <w:tab w:val="left" w:pos="709"/>
          <w:tab w:val="left" w:pos="851"/>
        </w:tabs>
        <w:ind w:left="142" w:firstLine="0"/>
        <w:rPr>
          <w:rFonts w:ascii="Arial" w:hAnsi="Arial" w:cs="Arial"/>
        </w:rPr>
      </w:pPr>
      <w:r w:rsidRPr="001B4CA2">
        <w:rPr>
          <w:rFonts w:ascii="Arial" w:hAnsi="Arial" w:cs="Arial"/>
        </w:rPr>
        <w:t xml:space="preserve"> </w:t>
      </w:r>
      <w:bookmarkStart w:id="146" w:name="_Toc133394376"/>
      <w:r w:rsidR="007C2573" w:rsidRPr="001B4CA2">
        <w:rPr>
          <w:rFonts w:ascii="Arial" w:hAnsi="Arial" w:cs="Arial"/>
        </w:rPr>
        <w:t>Kaznena djela protiv gospodarstva</w:t>
      </w:r>
      <w:bookmarkEnd w:id="146"/>
    </w:p>
    <w:p w14:paraId="47673532" w14:textId="77777777" w:rsidR="00C5203C" w:rsidRPr="001B4CA2" w:rsidRDefault="00C5203C" w:rsidP="00EF5F99"/>
    <w:p w14:paraId="2F972EE8" w14:textId="5DC10C84" w:rsidR="00255799" w:rsidRPr="001B4CA2" w:rsidRDefault="00255799" w:rsidP="00255799">
      <w:r w:rsidRPr="001B4CA2">
        <w:tab/>
        <w:t>Zbog kaznenih djela protiv gospodarstva iz Glave XXIV</w:t>
      </w:r>
      <w:r w:rsidR="0028615B">
        <w:t>.</w:t>
      </w:r>
      <w:r w:rsidRPr="001B4CA2">
        <w:t xml:space="preserve"> Kaznenog zakona u izvještajnom razdoblju prijavljene su ukupno 3</w:t>
      </w:r>
      <w:r w:rsidR="0028615B">
        <w:t>.</w:t>
      </w:r>
      <w:r w:rsidRPr="001B4CA2">
        <w:t>284 odrasle i pravne osobe. Usporedbom s po</w:t>
      </w:r>
      <w:r w:rsidR="00FD08E9">
        <w:t>datci</w:t>
      </w:r>
      <w:r w:rsidRPr="001B4CA2">
        <w:t>ma iz prethodnog razdoblja proizlazi da je prijavljena 81 osoba više ili 2,52</w:t>
      </w:r>
      <w:r w:rsidR="0028615B">
        <w:t> </w:t>
      </w:r>
      <w:r w:rsidRPr="001B4CA2">
        <w:t>% više u odnosu na 2021. godinu. Ova kaznena djela sudjeluju s</w:t>
      </w:r>
      <w:r w:rsidR="0028615B">
        <w:t>a</w:t>
      </w:r>
      <w:r w:rsidRPr="001B4CA2">
        <w:t xml:space="preserve"> 7,89</w:t>
      </w:r>
      <w:r w:rsidR="0028615B">
        <w:t> </w:t>
      </w:r>
      <w:r w:rsidRPr="001B4CA2">
        <w:t xml:space="preserve">% u ukupnom broju svih prijavljenih poznatih osoba. Međutim, maloljetne se </w:t>
      </w:r>
      <w:r w:rsidR="0028615B" w:rsidRPr="001B4CA2">
        <w:t xml:space="preserve">osobe </w:t>
      </w:r>
      <w:r w:rsidRPr="001B4CA2">
        <w:t xml:space="preserve">ne javljaju uopće kao počinitelji ovih kaznenih djela, mlađe punoljetne osobe iznimno, u zanemarivom broju i uglavnom zbog najlakših kaznenih djela, pa kada se broj prijavljenih osoba stavi u odnos s ukupnim brojem svih prijavljenih samo odraslih </w:t>
      </w:r>
      <w:r w:rsidRPr="001B4CA2">
        <w:lastRenderedPageBreak/>
        <w:t>osoba i pravnih osoba, tada real</w:t>
      </w:r>
      <w:r w:rsidR="0028615B">
        <w:t xml:space="preserve">an udio </w:t>
      </w:r>
      <w:r w:rsidRPr="001B4CA2">
        <w:t>ovih kaznenih djela iznosi 8,75</w:t>
      </w:r>
      <w:r w:rsidR="0028615B">
        <w:t> </w:t>
      </w:r>
      <w:r w:rsidRPr="001B4CA2">
        <w:t>% te je uz zanemarivo povećanje na razini prethodnih razdoblja. Od ukupnog broja na pravne osobe se odnosi 769 prijava (23,41</w:t>
      </w:r>
      <w:r w:rsidR="0028615B">
        <w:t> </w:t>
      </w:r>
      <w:r w:rsidRPr="001B4CA2">
        <w:t>%)</w:t>
      </w:r>
    </w:p>
    <w:p w14:paraId="55EF516C" w14:textId="77777777" w:rsidR="00255799" w:rsidRPr="001B4CA2" w:rsidRDefault="00255799" w:rsidP="00255799"/>
    <w:p w14:paraId="59137F97" w14:textId="4D76FF18" w:rsidR="00255799" w:rsidRPr="001B4CA2" w:rsidRDefault="00255799" w:rsidP="00255799">
      <w:r w:rsidRPr="001B4CA2">
        <w:tab/>
        <w:t xml:space="preserve">Analizirajući podatke za pojedina kaznena djela, </w:t>
      </w:r>
      <w:r w:rsidR="00310778">
        <w:t>razvidan</w:t>
      </w:r>
      <w:r w:rsidRPr="001B4CA2">
        <w:t xml:space="preserve"> je porast broja prijava zbog kaznenog djela prijevare u gospodarskom poslovanju iz čl. 247. KZ za 74 osobe ili 6,90</w:t>
      </w:r>
      <w:r w:rsidR="00310778">
        <w:t> </w:t>
      </w:r>
      <w:r w:rsidRPr="001B4CA2">
        <w:t>%, zbog kaznenog djela utaje poreza ili carine iz čl. 256. KZ za 131 osobu ili za 21,40</w:t>
      </w:r>
      <w:r w:rsidR="00310778">
        <w:t> </w:t>
      </w:r>
      <w:r w:rsidRPr="001B4CA2">
        <w:t>%, zbog kaznenog djela pranja novca iz čl. 265. KZ za 36 osoba ili 75</w:t>
      </w:r>
      <w:r w:rsidR="00310778">
        <w:t> </w:t>
      </w:r>
      <w:r w:rsidRPr="001B4CA2">
        <w:t>%, zbog kaznenog djela povrede obveze vođenja trgovačkih i poslovnih knjiga iz čl. 248. KZ za 15 osoba ili 32,60</w:t>
      </w:r>
      <w:r w:rsidR="00310778">
        <w:t> </w:t>
      </w:r>
      <w:r w:rsidRPr="001B4CA2">
        <w:t xml:space="preserve">% i zbog kaznenog djela </w:t>
      </w:r>
      <w:proofErr w:type="spellStart"/>
      <w:r w:rsidRPr="001B4CA2">
        <w:t>prouzročenja</w:t>
      </w:r>
      <w:proofErr w:type="spellEnd"/>
      <w:r w:rsidRPr="001B4CA2">
        <w:t xml:space="preserve"> stečaja iz čl. 249. KZ za 17 osoba ili za 23,94</w:t>
      </w:r>
      <w:r w:rsidR="00310778">
        <w:t> </w:t>
      </w:r>
      <w:r w:rsidRPr="001B4CA2">
        <w:t>%.</w:t>
      </w:r>
    </w:p>
    <w:p w14:paraId="5C129826" w14:textId="77777777" w:rsidR="00255799" w:rsidRPr="001B4CA2" w:rsidRDefault="00255799" w:rsidP="00255799"/>
    <w:p w14:paraId="5063D0E8" w14:textId="555B88E5" w:rsidR="00255799" w:rsidRPr="001B4CA2" w:rsidRDefault="00255799" w:rsidP="00255799">
      <w:r w:rsidRPr="001B4CA2">
        <w:tab/>
        <w:t>Nasuprot tome došlo je do pada broja prijava zbog kaznenog djela zlouporabe u gospodarskom poslovanju iz čl. 246. KZ za 118 osoba ili 14,14</w:t>
      </w:r>
      <w:r w:rsidR="00310778">
        <w:t> </w:t>
      </w:r>
      <w:r w:rsidRPr="001B4CA2">
        <w:t>%, zbog kaznenog djela izbjegavanja carinskog nadzora iz čl. 257. KZ za 23 osobe ili 40,35</w:t>
      </w:r>
      <w:r w:rsidR="00310778">
        <w:t> </w:t>
      </w:r>
      <w:r w:rsidRPr="001B4CA2">
        <w:t>%, zbog kaznenog djela subvencijske prijevare iz čl. 258. KZ za 14 osoba ili 31,11</w:t>
      </w:r>
      <w:r w:rsidR="00310778">
        <w:t> </w:t>
      </w:r>
      <w:r w:rsidRPr="001B4CA2">
        <w:t>% i zbog kaznenog djela ne</w:t>
      </w:r>
      <w:r w:rsidR="00F47D60">
        <w:t>dopušten</w:t>
      </w:r>
      <w:r w:rsidRPr="001B4CA2">
        <w:t>e trgovine iz čl. 264. KZ za 33 osobe ili 9,62</w:t>
      </w:r>
      <w:r w:rsidR="00310778">
        <w:t> </w:t>
      </w:r>
      <w:r w:rsidRPr="001B4CA2">
        <w:t>%. Zbog kaznenog djela primanja i davanja mita u postupku stečaja nije prijavljena niti jedna osoba (2021. – 9 osoba)</w:t>
      </w:r>
      <w:r w:rsidR="00310778">
        <w:t>.</w:t>
      </w:r>
      <w:r w:rsidRPr="001B4CA2">
        <w:t xml:space="preserve"> Unatoč porastu ili padu primljenih prijava za pojedina kaznena djela, u strukturi kaznenih prijava i u ovom izvještajnom razdoblju najzastupljenije su prijave zbog kaznenog djela prijevare u gospodarskom poslovanju iz čl. 247. KZ (1145) s </w:t>
      </w:r>
      <w:r w:rsidR="00310778">
        <w:t>udjelo</w:t>
      </w:r>
      <w:r w:rsidRPr="001B4CA2">
        <w:t>m od 34,86</w:t>
      </w:r>
      <w:r w:rsidR="00310778">
        <w:t> </w:t>
      </w:r>
      <w:r w:rsidRPr="001B4CA2">
        <w:t>% u ukupnom broju prijavljenih osoba</w:t>
      </w:r>
      <w:r w:rsidR="00310778">
        <w:t>,</w:t>
      </w:r>
      <w:r w:rsidRPr="001B4CA2">
        <w:t xml:space="preserve"> zbog KZ (743) s </w:t>
      </w:r>
      <w:r w:rsidR="00310778">
        <w:t>udjelo</w:t>
      </w:r>
      <w:r w:rsidRPr="001B4CA2">
        <w:t>m od 22,62</w:t>
      </w:r>
      <w:r w:rsidR="00310778">
        <w:t> </w:t>
      </w:r>
      <w:r w:rsidRPr="001B4CA2">
        <w:t>%</w:t>
      </w:r>
      <w:r w:rsidR="00310778">
        <w:t>,</w:t>
      </w:r>
      <w:r w:rsidRPr="001B4CA2">
        <w:t xml:space="preserve"> zbog kaznenog djela zlouporabe povjerenja u gospodarskom poslovanju iz čl. 246. KZ (716)</w:t>
      </w:r>
      <w:r w:rsidR="00310778">
        <w:t xml:space="preserve"> </w:t>
      </w:r>
      <w:r w:rsidRPr="001B4CA2">
        <w:t xml:space="preserve">s </w:t>
      </w:r>
      <w:r w:rsidR="00310778">
        <w:t>udjelo</w:t>
      </w:r>
      <w:r w:rsidRPr="001B4CA2">
        <w:t>m od 21,80% i kaznenog djela ne</w:t>
      </w:r>
      <w:r w:rsidR="00F47D60">
        <w:t>dopušten</w:t>
      </w:r>
      <w:r w:rsidRPr="001B4CA2">
        <w:t xml:space="preserve">e trgovine iz čl. 264 KZ (310) s </w:t>
      </w:r>
      <w:r w:rsidR="00310778">
        <w:t>udjelo</w:t>
      </w:r>
      <w:r w:rsidRPr="001B4CA2">
        <w:t>m od 9,43</w:t>
      </w:r>
      <w:r w:rsidR="00310778">
        <w:t> </w:t>
      </w:r>
      <w:r w:rsidRPr="001B4CA2">
        <w:t>%, tako da se na ova četiri kaznena djela, kao i u ranijim razdobljima, odnosi najveći dio</w:t>
      </w:r>
      <w:r w:rsidR="00310778">
        <w:t>,</w:t>
      </w:r>
      <w:r w:rsidRPr="001B4CA2">
        <w:t xml:space="preserve"> odnosno</w:t>
      </w:r>
      <w:r w:rsidR="00FD08E9">
        <w:t xml:space="preserve"> </w:t>
      </w:r>
      <w:r w:rsidRPr="001B4CA2">
        <w:t>88,73</w:t>
      </w:r>
      <w:r w:rsidR="00310778">
        <w:t> </w:t>
      </w:r>
      <w:r w:rsidRPr="001B4CA2">
        <w:t>% svih prijava zbog gospodarskih kaznenih djela.</w:t>
      </w:r>
    </w:p>
    <w:p w14:paraId="20522BBA" w14:textId="77777777" w:rsidR="00255799" w:rsidRPr="001B4CA2" w:rsidRDefault="00255799" w:rsidP="00255799"/>
    <w:p w14:paraId="0B643113" w14:textId="241C3BFE" w:rsidR="00255799" w:rsidRPr="001B4CA2" w:rsidRDefault="00255799" w:rsidP="00255799">
      <w:r w:rsidRPr="001B4CA2">
        <w:tab/>
        <w:t>U strukturi kaznenih prijava došlo je do promjena samo utoliko što je u izvještajnoj</w:t>
      </w:r>
      <w:r w:rsidR="00FD08E9">
        <w:t xml:space="preserve"> </w:t>
      </w:r>
      <w:r w:rsidRPr="001B4CA2">
        <w:t>godini iza kaznenog djela prijevare u gospodarskom poslovanju iz čl. 247. KZ kao drugo po zastupljenosti kazneno djelo utaje poreza ili carine iz čl. 256. KZ (22,62</w:t>
      </w:r>
      <w:r w:rsidR="00310778">
        <w:t> </w:t>
      </w:r>
      <w:r w:rsidRPr="001B4CA2">
        <w:t>%)</w:t>
      </w:r>
      <w:r w:rsidR="00310778">
        <w:t>,</w:t>
      </w:r>
      <w:r w:rsidRPr="001B4CA2">
        <w:t xml:space="preserve"> dok je u ranijem razdoblju to bilo kazneno djelo zlouporabe povjerenja u gospodarskom poslovanju iz čl. 246. KZ s </w:t>
      </w:r>
      <w:r w:rsidR="00310778">
        <w:t>udjelo</w:t>
      </w:r>
      <w:r w:rsidRPr="001B4CA2">
        <w:t>m od 25,92</w:t>
      </w:r>
      <w:r w:rsidR="00310778">
        <w:t> </w:t>
      </w:r>
      <w:r w:rsidRPr="001B4CA2">
        <w:t xml:space="preserve">%, a koje </w:t>
      </w:r>
      <w:r w:rsidR="00310778" w:rsidRPr="001B4CA2">
        <w:t xml:space="preserve">je </w:t>
      </w:r>
      <w:r w:rsidRPr="001B4CA2">
        <w:t>kazneno djelo u izvještajnoj 2020. godini bilo i najzastupljenije (32,58</w:t>
      </w:r>
      <w:r w:rsidR="00310778">
        <w:t> </w:t>
      </w:r>
      <w:r w:rsidRPr="001B4CA2">
        <w:t>%).</w:t>
      </w:r>
    </w:p>
    <w:p w14:paraId="1DBB69B7" w14:textId="77777777" w:rsidR="00255799" w:rsidRPr="001B4CA2" w:rsidRDefault="00255799" w:rsidP="00255799"/>
    <w:p w14:paraId="7B3F8332" w14:textId="4B6385BF" w:rsidR="00255799" w:rsidRDefault="00255799" w:rsidP="00255799">
      <w:r w:rsidRPr="001B4CA2">
        <w:tab/>
        <w:t xml:space="preserve">Razlog porasta broja prijava zbog kaznenog djela utaje poreza ili carine iz čl. 256. KZ dijelom je u povećanoj aktivnosti Ministarstva financija u provođenju poreznih nadzora, a dijelom je rezultat i kvalitetnije i intenzivnije suradnje državnih odvjetništava, Porezne uprave i policije, što nakon provedene kvalitetnije obrade od strane Porezne uprave i kriminalističkog istraživanja policije dovodi do pravilnijeg utvrđenja svih relevantnih činjenica te </w:t>
      </w:r>
      <w:r w:rsidR="00310778">
        <w:t xml:space="preserve">s </w:t>
      </w:r>
      <w:r w:rsidRPr="001B4CA2">
        <w:t xml:space="preserve">obzirom na utvrđenu stvarnu namjeru u postupanju počinitelja do pravilnog kvalificiranja određenih protupravnih postupanja odgovornih osoba trgovačkih društava kao kaznenog djela utaje poreza ili carine iz čl. 256. KZ-a, a ne kao kaznenog djela zlouporabe povjerenja u gospodarskom poslovanju iz čl. 246. KZ-a, kako su se ranije često takva postupanja nekritički označavala i prijavljivala, pa je s druge strane pad broja prijavljenih osoba zbog kaznenih djela zlouporabe povjerenja u gospodarskom poslovanju iz čl. 246. KZ-a dijelom u korelaciji s porastom broja prijavljenih osoba zbog kaznenog djela utaje poreza ili carine iz čl. 256. KZ-a, koji je </w:t>
      </w:r>
      <w:r w:rsidR="00310778" w:rsidRPr="001B4CA2">
        <w:t xml:space="preserve">trend </w:t>
      </w:r>
      <w:r w:rsidRPr="001B4CA2">
        <w:t xml:space="preserve">prisutan u cijelom promatranom razdoblju (2018-2022) te </w:t>
      </w:r>
      <w:r w:rsidR="00310778">
        <w:t xml:space="preserve">je </w:t>
      </w:r>
      <w:r w:rsidRPr="001B4CA2">
        <w:t>nastavljen i u izvještajnom.</w:t>
      </w:r>
    </w:p>
    <w:p w14:paraId="440EE054" w14:textId="77777777" w:rsidR="005D30E9" w:rsidRPr="001B4CA2" w:rsidRDefault="005D30E9" w:rsidP="00255799"/>
    <w:p w14:paraId="60D5B47A" w14:textId="151CA6C0" w:rsidR="00255799" w:rsidRPr="001B4CA2" w:rsidRDefault="00255799" w:rsidP="00255799">
      <w:r w:rsidRPr="001B4CA2">
        <w:tab/>
        <w:t>I kod</w:t>
      </w:r>
      <w:r w:rsidR="00FD08E9">
        <w:t xml:space="preserve"> </w:t>
      </w:r>
      <w:r w:rsidRPr="001B4CA2">
        <w:t xml:space="preserve">većine ostalih kaznenih djela došlo </w:t>
      </w:r>
      <w:r w:rsidR="00310778" w:rsidRPr="001B4CA2">
        <w:t xml:space="preserve">je </w:t>
      </w:r>
      <w:r w:rsidRPr="001B4CA2">
        <w:t xml:space="preserve">do povećanja ili smanjenja broja prijava, ali to nije bitnije utjecalo na promjenu same strukture kaznenih prijava, </w:t>
      </w:r>
      <w:r w:rsidR="00310778">
        <w:t>budući</w:t>
      </w:r>
      <w:r w:rsidRPr="001B4CA2">
        <w:t xml:space="preserve"> da </w:t>
      </w:r>
      <w:r w:rsidR="00310778">
        <w:t>ona</w:t>
      </w:r>
      <w:r w:rsidRPr="001B4CA2">
        <w:t xml:space="preserve"> inače sudjeluju s malim brojem prijava u ukupnom broju prijavljenih gospodarskih kaznenih djela.</w:t>
      </w:r>
    </w:p>
    <w:p w14:paraId="7FF3FBF7" w14:textId="77777777" w:rsidR="00D8449C" w:rsidRPr="001B4CA2" w:rsidRDefault="00D8449C" w:rsidP="00255799"/>
    <w:p w14:paraId="0179A928" w14:textId="77777777" w:rsidR="00255799" w:rsidRPr="001B4CA2" w:rsidRDefault="00255799" w:rsidP="00255799">
      <w:r w:rsidRPr="001B4CA2">
        <w:tab/>
        <w:t>U izvještajnom razdoblju nisu uočeni novi pojavni oblici počinjenja kaznenih djela, različiti od onih iz prethodnog razdoblja.</w:t>
      </w:r>
    </w:p>
    <w:p w14:paraId="335B082C" w14:textId="77777777" w:rsidR="00255799" w:rsidRPr="001B4CA2" w:rsidRDefault="00255799" w:rsidP="00255799"/>
    <w:p w14:paraId="46555302" w14:textId="60DB75D7" w:rsidR="00255799" w:rsidRPr="001B4CA2" w:rsidRDefault="00255799" w:rsidP="00255799">
      <w:r w:rsidRPr="001B4CA2">
        <w:tab/>
        <w:t xml:space="preserve">Kada se </w:t>
      </w:r>
      <w:proofErr w:type="spellStart"/>
      <w:r w:rsidRPr="001B4CA2">
        <w:t>novozaprimljenim</w:t>
      </w:r>
      <w:proofErr w:type="spellEnd"/>
      <w:r w:rsidRPr="001B4CA2">
        <w:t xml:space="preserve"> prijavama pribroje prijave iz prethodnog razdoblja u kojima nije bila donesena meritorna odluka državna odvjetništva u izvještajnom </w:t>
      </w:r>
      <w:r w:rsidR="00310778" w:rsidRPr="001B4CA2">
        <w:t xml:space="preserve">su </w:t>
      </w:r>
      <w:r w:rsidRPr="001B4CA2">
        <w:t>razdoblju imala u radu ukupno 5</w:t>
      </w:r>
      <w:r w:rsidR="00310778">
        <w:t>.</w:t>
      </w:r>
      <w:r w:rsidRPr="001B4CA2">
        <w:t>987 prijava, što je za 405 prijava ili za 7,25</w:t>
      </w:r>
      <w:r w:rsidR="00310778">
        <w:t> </w:t>
      </w:r>
      <w:r w:rsidRPr="001B4CA2">
        <w:t>% više u odnosu na prethodno izvještajno razdoblje (5</w:t>
      </w:r>
      <w:r w:rsidR="00310778">
        <w:t>.</w:t>
      </w:r>
      <w:r w:rsidRPr="001B4CA2">
        <w:t>582 prijave).</w:t>
      </w:r>
    </w:p>
    <w:p w14:paraId="525E3C98" w14:textId="77777777" w:rsidR="00255799" w:rsidRPr="001B4CA2" w:rsidRDefault="00255799" w:rsidP="00255799"/>
    <w:p w14:paraId="044772AE" w14:textId="5C7483C5" w:rsidR="00255799" w:rsidRPr="001B4CA2" w:rsidRDefault="00255799" w:rsidP="00255799">
      <w:r w:rsidRPr="001B4CA2">
        <w:tab/>
        <w:t xml:space="preserve">U izvještajnom </w:t>
      </w:r>
      <w:r w:rsidR="00310778" w:rsidRPr="001B4CA2">
        <w:t xml:space="preserve">je </w:t>
      </w:r>
      <w:r w:rsidRPr="001B4CA2">
        <w:t>razdoblju riješeno 3</w:t>
      </w:r>
      <w:r w:rsidR="00310778">
        <w:t>.</w:t>
      </w:r>
      <w:r w:rsidRPr="001B4CA2">
        <w:t>013 prijava ili 50,32</w:t>
      </w:r>
      <w:r w:rsidR="00310778">
        <w:t> </w:t>
      </w:r>
      <w:r w:rsidRPr="001B4CA2">
        <w:t>% svih prijava u radu, dok je u 2021. bilo riješeno 2</w:t>
      </w:r>
      <w:r w:rsidR="00310778">
        <w:t>.</w:t>
      </w:r>
      <w:r w:rsidRPr="001B4CA2">
        <w:t>907 prijava, u 2020. godini 3</w:t>
      </w:r>
      <w:r w:rsidR="00310778">
        <w:t>.</w:t>
      </w:r>
      <w:r w:rsidRPr="001B4CA2">
        <w:t>205 prijava, u 2019. godini 2</w:t>
      </w:r>
      <w:r w:rsidR="00310778">
        <w:t>.</w:t>
      </w:r>
      <w:r w:rsidRPr="001B4CA2">
        <w:t>492 prijave, a u 2018. godini 2</w:t>
      </w:r>
      <w:r w:rsidR="00310778">
        <w:t>.</w:t>
      </w:r>
      <w:r w:rsidRPr="001B4CA2">
        <w:t xml:space="preserve">517 prijava.  </w:t>
      </w:r>
    </w:p>
    <w:p w14:paraId="52C9D329" w14:textId="23B6B206" w:rsidR="00255799" w:rsidRPr="001B4CA2" w:rsidRDefault="00255799" w:rsidP="00255799"/>
    <w:p w14:paraId="30F84F8E" w14:textId="5B074DBF" w:rsidR="00255799" w:rsidRPr="001B4CA2" w:rsidRDefault="00B901B6" w:rsidP="00255799">
      <w:r w:rsidRPr="001B4CA2">
        <w:tab/>
      </w:r>
      <w:r w:rsidR="00255799" w:rsidRPr="001B4CA2">
        <w:t>Donošenjem rješenja o odbačaju kaznene prijave riješeno je 996 prijava ili 33,05</w:t>
      </w:r>
      <w:r w:rsidR="00310778">
        <w:t> </w:t>
      </w:r>
      <w:r w:rsidR="00255799" w:rsidRPr="001B4CA2">
        <w:t>% te je smanjen</w:t>
      </w:r>
      <w:r w:rsidR="00310778">
        <w:t xml:space="preserve"> udio</w:t>
      </w:r>
      <w:r w:rsidR="00255799" w:rsidRPr="001B4CA2">
        <w:t xml:space="preserve"> ove vrste odluke u ukupnom broju odluka povodom prijave u odnosu na 2021. kada je odbačajem kaznene prijave bilo riješeno 40,28</w:t>
      </w:r>
      <w:r w:rsidR="00310778">
        <w:t> </w:t>
      </w:r>
      <w:r w:rsidR="00255799" w:rsidRPr="001B4CA2">
        <w:t>% (1.171 prijava)</w:t>
      </w:r>
      <w:r w:rsidR="00310778">
        <w:t>,</w:t>
      </w:r>
      <w:r w:rsidR="00255799" w:rsidRPr="001B4CA2">
        <w:t xml:space="preserve"> a u 2020. godini 38,53</w:t>
      </w:r>
      <w:r w:rsidR="00310778">
        <w:t> </w:t>
      </w:r>
      <w:r w:rsidR="00255799" w:rsidRPr="001B4CA2">
        <w:t xml:space="preserve">% prijava. </w:t>
      </w:r>
    </w:p>
    <w:p w14:paraId="4110B987" w14:textId="77777777" w:rsidR="00255799" w:rsidRPr="001B4CA2" w:rsidRDefault="00255799" w:rsidP="00255799"/>
    <w:p w14:paraId="39AA39B3" w14:textId="4309B78F" w:rsidR="00255799" w:rsidRPr="001B4CA2" w:rsidRDefault="00255799" w:rsidP="00255799">
      <w:pPr>
        <w:ind w:firstLine="708"/>
      </w:pPr>
      <w:r w:rsidRPr="001B4CA2">
        <w:t>Službenom bilješkom o podizanju optužnice riješeno je 240 prijava ili 8</w:t>
      </w:r>
      <w:r w:rsidR="00310778">
        <w:t> </w:t>
      </w:r>
      <w:r w:rsidRPr="001B4CA2">
        <w:t xml:space="preserve">% prijava, a na optužnice s kaznenim nalogom odnose </w:t>
      </w:r>
      <w:r w:rsidR="00310778" w:rsidRPr="001B4CA2">
        <w:t xml:space="preserve">se </w:t>
      </w:r>
      <w:r w:rsidRPr="001B4CA2">
        <w:t>122 optužnice, dok je službenom bilješkom o podizanju optužnice u 2021. bilo riješeno 10,8</w:t>
      </w:r>
      <w:r w:rsidR="00310778">
        <w:t> </w:t>
      </w:r>
      <w:r w:rsidRPr="001B4CA2">
        <w:t xml:space="preserve">% svih riješenih prijava. </w:t>
      </w:r>
    </w:p>
    <w:p w14:paraId="527450B5" w14:textId="77777777" w:rsidR="00255799" w:rsidRPr="001B4CA2" w:rsidRDefault="00255799" w:rsidP="00255799"/>
    <w:p w14:paraId="534910EF" w14:textId="6932AF09" w:rsidR="00255799" w:rsidRPr="001B4CA2" w:rsidRDefault="00255799" w:rsidP="00255799">
      <w:r w:rsidRPr="001B4CA2">
        <w:tab/>
        <w:t>Službenom bilješkom o donošenju rješenja o provođenju istrage riješene su 443 prijave ili 14,7</w:t>
      </w:r>
      <w:r w:rsidR="00310778">
        <w:t> </w:t>
      </w:r>
      <w:r w:rsidRPr="001B4CA2">
        <w:t>%, a službenom bilješkom o otvaranju istraživanja 305 prijava ili 10,12</w:t>
      </w:r>
      <w:r w:rsidR="00310778">
        <w:t> </w:t>
      </w:r>
      <w:r w:rsidRPr="001B4CA2">
        <w:t>%. U odnosu na prethodno izvještajno razdoblje</w:t>
      </w:r>
      <w:r w:rsidR="00D22E4A">
        <w:t>,</w:t>
      </w:r>
      <w:r w:rsidRPr="001B4CA2">
        <w:t xml:space="preserve"> u 2022. izmijenjen je omjer </w:t>
      </w:r>
      <w:r w:rsidR="00D22E4A">
        <w:t>udjela</w:t>
      </w:r>
      <w:r w:rsidRPr="001B4CA2">
        <w:t xml:space="preserve"> između podignutih optužnica povodom prijave i otvorenih istraživanja tako što je manj</w:t>
      </w:r>
      <w:r w:rsidR="00310778">
        <w:t>i udio</w:t>
      </w:r>
      <w:r w:rsidRPr="001B4CA2">
        <w:t xml:space="preserve"> podignutih optužnica</w:t>
      </w:r>
      <w:r w:rsidR="00310778">
        <w:t>,</w:t>
      </w:r>
      <w:r w:rsidRPr="001B4CA2">
        <w:t xml:space="preserve"> a već</w:t>
      </w:r>
      <w:r w:rsidR="00310778">
        <w:t>i udio</w:t>
      </w:r>
      <w:r w:rsidRPr="001B4CA2">
        <w:t xml:space="preserve"> otvorenih istraživanja. Ostale prijave riješene su ustupom te na drugi način spajanjem i slično. Nakon dovršenog istraživanja podignute su 203 optužnice (2021</w:t>
      </w:r>
      <w:r w:rsidR="00D8449C" w:rsidRPr="001B4CA2">
        <w:t>.</w:t>
      </w:r>
      <w:r w:rsidR="00F47D60">
        <w:t xml:space="preserve"> – </w:t>
      </w:r>
      <w:r w:rsidRPr="001B4CA2">
        <w:t>193), a rješenjem odbačeno 68 prijava.</w:t>
      </w:r>
    </w:p>
    <w:p w14:paraId="351B9138" w14:textId="77777777" w:rsidR="00255799" w:rsidRPr="001B4CA2" w:rsidRDefault="00255799" w:rsidP="00255799"/>
    <w:p w14:paraId="7D9ED680" w14:textId="6015D09F" w:rsidR="00255799" w:rsidRPr="001B4CA2" w:rsidRDefault="00255799" w:rsidP="00255799">
      <w:r w:rsidRPr="001B4CA2">
        <w:tab/>
        <w:t>Na kraju izvještajnog razdoblja u odnosu na 1.463 prijave nije donesena meritorna odluka (u 2021. – 1.240)</w:t>
      </w:r>
      <w:r w:rsidR="00D22E4A">
        <w:t>,</w:t>
      </w:r>
      <w:r w:rsidRPr="001B4CA2">
        <w:t xml:space="preserve"> odnosno u radu su ostale ukupno 2.974 prijave (49,67</w:t>
      </w:r>
      <w:r w:rsidR="00310778">
        <w:t> </w:t>
      </w:r>
      <w:r w:rsidRPr="001B4CA2">
        <w:t>%)</w:t>
      </w:r>
      <w:r w:rsidR="00D22E4A">
        <w:t xml:space="preserve">, </w:t>
      </w:r>
      <w:r w:rsidRPr="001B4CA2">
        <w:t>od kojih je veći dio prijava u kojima je u tijeku provođenje izvida kod policije i drugih tijela, dok su u 2021. ostale u radu 2.703 prijave ili 48,42</w:t>
      </w:r>
      <w:r w:rsidR="00310778">
        <w:t> </w:t>
      </w:r>
      <w:r w:rsidRPr="001B4CA2">
        <w:t xml:space="preserve">%. Imajući u vidu da su državna odvjetništva u izvještajnom razdoblju zaprimila više prijava i imala ukupno u radu više prijava u odnosu na 2021., ažurnost u radu </w:t>
      </w:r>
      <w:r w:rsidR="00D22E4A" w:rsidRPr="001B4CA2">
        <w:t xml:space="preserve">zadržana </w:t>
      </w:r>
      <w:r w:rsidRPr="001B4CA2">
        <w:t xml:space="preserve">je na razini prethodnog razdoblja. </w:t>
      </w:r>
    </w:p>
    <w:p w14:paraId="5197DF70" w14:textId="77777777" w:rsidR="00255799" w:rsidRPr="001B4CA2" w:rsidRDefault="00255799" w:rsidP="00255799"/>
    <w:p w14:paraId="4A63BE1A" w14:textId="2C5395C4" w:rsidR="00255799" w:rsidRPr="001B4CA2" w:rsidRDefault="00255799" w:rsidP="00255799">
      <w:r w:rsidRPr="001B4CA2">
        <w:tab/>
        <w:t xml:space="preserve">I u ranijim izvještajnim razdobljima ukazivalo se na uobičajeno izraženu visoku negativnu selekciju u radu na prijavama zbog gospodarskih kaznenih djela, što je </w:t>
      </w:r>
      <w:r w:rsidR="00D22E4A">
        <w:t>razvidno</w:t>
      </w:r>
      <w:r w:rsidRPr="001B4CA2">
        <w:t xml:space="preserve"> i iz tablice koja sadrži podatke o broju pojedinih vrsta odluka i broju donesenih osuđujućih presuda, pri čemu se broj optuženja odnosi i na optuženja po dovršenoj istrazi. </w:t>
      </w:r>
    </w:p>
    <w:p w14:paraId="608832CE" w14:textId="77777777" w:rsidR="00280ADB" w:rsidRPr="001B4CA2" w:rsidRDefault="00280ADB" w:rsidP="00C5203C"/>
    <w:p w14:paraId="6CDAC4F6" w14:textId="05B1F586" w:rsidR="00FB0AE6" w:rsidRPr="001B4CA2" w:rsidRDefault="0062142D" w:rsidP="00544858">
      <w:pPr>
        <w:ind w:left="426"/>
        <w:rPr>
          <w:i/>
        </w:rPr>
      </w:pPr>
      <w:r w:rsidRPr="001B4CA2">
        <w:rPr>
          <w:i/>
        </w:rPr>
        <w:t xml:space="preserve">Kaznena </w:t>
      </w:r>
      <w:r w:rsidR="00544858" w:rsidRPr="001B4CA2">
        <w:rPr>
          <w:i/>
        </w:rPr>
        <w:t>djela protiv gospodarstva u 202</w:t>
      </w:r>
      <w:r w:rsidR="00255799" w:rsidRPr="001B4CA2">
        <w:rPr>
          <w:i/>
        </w:rPr>
        <w:t>2</w:t>
      </w:r>
      <w:r w:rsidR="00544858" w:rsidRPr="001B4CA2">
        <w:rPr>
          <w: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1337"/>
        <w:gridCol w:w="1337"/>
        <w:gridCol w:w="1337"/>
        <w:gridCol w:w="1337"/>
      </w:tblGrid>
      <w:tr w:rsidR="00532C41" w:rsidRPr="001B4CA2" w14:paraId="79D537D8" w14:textId="5E8016D4" w:rsidTr="00903B41">
        <w:trPr>
          <w:trHeight w:val="716"/>
          <w:jc w:val="center"/>
        </w:trPr>
        <w:tc>
          <w:tcPr>
            <w:tcW w:w="3272" w:type="dxa"/>
            <w:shd w:val="clear" w:color="auto" w:fill="99CCFF"/>
            <w:vAlign w:val="center"/>
          </w:tcPr>
          <w:p w14:paraId="12A5A155" w14:textId="6BDD313B" w:rsidR="0062142D" w:rsidRPr="001B4CA2" w:rsidRDefault="0062142D" w:rsidP="00A2623D">
            <w:pPr>
              <w:jc w:val="center"/>
              <w:rPr>
                <w:rFonts w:eastAsia="Calibri"/>
                <w:b/>
                <w:sz w:val="18"/>
                <w:szCs w:val="18"/>
                <w:lang w:eastAsia="hr-HR"/>
              </w:rPr>
            </w:pPr>
            <w:r w:rsidRPr="001B4CA2">
              <w:rPr>
                <w:rFonts w:eastAsia="Calibri"/>
                <w:b/>
                <w:sz w:val="18"/>
                <w:szCs w:val="18"/>
                <w:lang w:eastAsia="hr-HR"/>
              </w:rPr>
              <w:t>Naziv kaznenog djela</w:t>
            </w:r>
          </w:p>
        </w:tc>
        <w:tc>
          <w:tcPr>
            <w:tcW w:w="1337" w:type="dxa"/>
            <w:shd w:val="clear" w:color="auto" w:fill="99CCFF"/>
            <w:vAlign w:val="center"/>
          </w:tcPr>
          <w:p w14:paraId="772AE423" w14:textId="3A7E54D5" w:rsidR="0062142D" w:rsidRPr="001B4CA2" w:rsidRDefault="0062142D" w:rsidP="0062142D">
            <w:pPr>
              <w:jc w:val="center"/>
              <w:rPr>
                <w:rFonts w:eastAsia="Calibri"/>
                <w:b/>
                <w:sz w:val="18"/>
                <w:szCs w:val="18"/>
                <w:lang w:eastAsia="hr-HR"/>
              </w:rPr>
            </w:pPr>
            <w:r w:rsidRPr="001B4CA2">
              <w:rPr>
                <w:rFonts w:eastAsia="Calibri"/>
                <w:b/>
                <w:sz w:val="18"/>
                <w:szCs w:val="18"/>
                <w:lang w:eastAsia="hr-HR"/>
              </w:rPr>
              <w:t>Prijavljeno</w:t>
            </w:r>
          </w:p>
        </w:tc>
        <w:tc>
          <w:tcPr>
            <w:tcW w:w="1337" w:type="dxa"/>
            <w:shd w:val="clear" w:color="auto" w:fill="99CCFF"/>
            <w:vAlign w:val="center"/>
          </w:tcPr>
          <w:p w14:paraId="437EFDA3" w14:textId="7B270DE5" w:rsidR="0062142D" w:rsidRPr="001B4CA2" w:rsidRDefault="0062142D" w:rsidP="0062142D">
            <w:pPr>
              <w:jc w:val="center"/>
              <w:rPr>
                <w:rFonts w:eastAsia="Calibri"/>
                <w:b/>
                <w:sz w:val="18"/>
                <w:szCs w:val="18"/>
                <w:lang w:eastAsia="hr-HR"/>
              </w:rPr>
            </w:pPr>
            <w:r w:rsidRPr="001B4CA2">
              <w:rPr>
                <w:rFonts w:eastAsia="Calibri"/>
                <w:b/>
                <w:sz w:val="18"/>
                <w:szCs w:val="18"/>
                <w:lang w:eastAsia="hr-HR"/>
              </w:rPr>
              <w:t>Odbačeno</w:t>
            </w:r>
          </w:p>
        </w:tc>
        <w:tc>
          <w:tcPr>
            <w:tcW w:w="1337" w:type="dxa"/>
            <w:shd w:val="clear" w:color="auto" w:fill="99CCFF"/>
            <w:vAlign w:val="center"/>
          </w:tcPr>
          <w:p w14:paraId="3EC7F7EB" w14:textId="249B0375" w:rsidR="0062142D" w:rsidRPr="001B4CA2" w:rsidRDefault="0062142D" w:rsidP="0062142D">
            <w:pPr>
              <w:jc w:val="center"/>
              <w:rPr>
                <w:rFonts w:eastAsia="Calibri"/>
                <w:b/>
                <w:sz w:val="18"/>
                <w:szCs w:val="18"/>
                <w:lang w:eastAsia="hr-HR"/>
              </w:rPr>
            </w:pPr>
            <w:r w:rsidRPr="001B4CA2">
              <w:rPr>
                <w:rFonts w:eastAsia="Calibri"/>
                <w:b/>
                <w:sz w:val="18"/>
                <w:szCs w:val="18"/>
                <w:lang w:eastAsia="hr-HR"/>
              </w:rPr>
              <w:t>Optuženo</w:t>
            </w:r>
          </w:p>
        </w:tc>
        <w:tc>
          <w:tcPr>
            <w:tcW w:w="1337" w:type="dxa"/>
            <w:shd w:val="clear" w:color="auto" w:fill="99CCFF"/>
            <w:vAlign w:val="center"/>
          </w:tcPr>
          <w:p w14:paraId="72F8ACD0" w14:textId="18856B84" w:rsidR="0062142D" w:rsidRPr="001B4CA2" w:rsidRDefault="0062142D" w:rsidP="0062142D">
            <w:pPr>
              <w:jc w:val="center"/>
              <w:rPr>
                <w:rFonts w:eastAsia="Calibri"/>
                <w:b/>
                <w:sz w:val="18"/>
                <w:szCs w:val="18"/>
                <w:lang w:eastAsia="hr-HR"/>
              </w:rPr>
            </w:pPr>
            <w:r w:rsidRPr="001B4CA2">
              <w:rPr>
                <w:rFonts w:eastAsia="Calibri"/>
                <w:b/>
                <w:sz w:val="18"/>
                <w:szCs w:val="18"/>
                <w:lang w:eastAsia="hr-HR"/>
              </w:rPr>
              <w:t>Osuđujuće presude</w:t>
            </w:r>
          </w:p>
        </w:tc>
      </w:tr>
      <w:tr w:rsidR="0035329A" w:rsidRPr="001B4CA2" w14:paraId="67CDAA80" w14:textId="490A93AF" w:rsidTr="00903B41">
        <w:trPr>
          <w:trHeight w:val="394"/>
          <w:jc w:val="center"/>
        </w:trPr>
        <w:tc>
          <w:tcPr>
            <w:tcW w:w="3272" w:type="dxa"/>
            <w:shd w:val="clear" w:color="auto" w:fill="auto"/>
            <w:vAlign w:val="center"/>
          </w:tcPr>
          <w:p w14:paraId="03CC4D50" w14:textId="2118EC0A" w:rsidR="0035329A" w:rsidRPr="001B4CA2" w:rsidRDefault="0035329A" w:rsidP="00906F3F">
            <w:pPr>
              <w:jc w:val="left"/>
              <w:rPr>
                <w:rFonts w:eastAsia="Calibri"/>
                <w:sz w:val="18"/>
                <w:szCs w:val="18"/>
                <w:lang w:eastAsia="hr-HR"/>
              </w:rPr>
            </w:pPr>
            <w:r w:rsidRPr="001B4CA2">
              <w:rPr>
                <w:rFonts w:eastAsia="Times New Roman"/>
                <w:color w:val="000000"/>
                <w:sz w:val="18"/>
                <w:szCs w:val="18"/>
                <w:lang w:eastAsia="hr-HR"/>
              </w:rPr>
              <w:t>Zlouporaba povjerenja u gospodarskom poslovanju čl. 246 KZ</w:t>
            </w:r>
          </w:p>
        </w:tc>
        <w:tc>
          <w:tcPr>
            <w:tcW w:w="1337" w:type="dxa"/>
            <w:shd w:val="clear" w:color="auto" w:fill="auto"/>
            <w:vAlign w:val="center"/>
          </w:tcPr>
          <w:p w14:paraId="4FBEA27F" w14:textId="0C4EBF2D" w:rsidR="0035329A" w:rsidRPr="001B4CA2" w:rsidRDefault="00255799" w:rsidP="00906F3F">
            <w:pPr>
              <w:jc w:val="center"/>
              <w:rPr>
                <w:rFonts w:eastAsia="Calibri"/>
                <w:sz w:val="18"/>
                <w:szCs w:val="18"/>
                <w:lang w:eastAsia="hr-HR"/>
              </w:rPr>
            </w:pPr>
            <w:r w:rsidRPr="001B4CA2">
              <w:rPr>
                <w:rFonts w:eastAsia="Calibri"/>
                <w:sz w:val="18"/>
                <w:szCs w:val="18"/>
                <w:lang w:eastAsia="hr-HR"/>
              </w:rPr>
              <w:t>712</w:t>
            </w:r>
          </w:p>
        </w:tc>
        <w:tc>
          <w:tcPr>
            <w:tcW w:w="1337" w:type="dxa"/>
            <w:shd w:val="clear" w:color="auto" w:fill="auto"/>
            <w:vAlign w:val="center"/>
          </w:tcPr>
          <w:p w14:paraId="5F6CB0F6" w14:textId="6BFBE3CE" w:rsidR="0035329A" w:rsidRPr="001B4CA2" w:rsidRDefault="00255799" w:rsidP="00906F3F">
            <w:pPr>
              <w:jc w:val="center"/>
              <w:rPr>
                <w:rFonts w:eastAsia="Calibri"/>
                <w:sz w:val="18"/>
                <w:szCs w:val="18"/>
                <w:lang w:eastAsia="hr-HR"/>
              </w:rPr>
            </w:pPr>
            <w:r w:rsidRPr="001B4CA2">
              <w:rPr>
                <w:rFonts w:eastAsia="Calibri"/>
                <w:sz w:val="18"/>
                <w:szCs w:val="18"/>
                <w:lang w:eastAsia="hr-HR"/>
              </w:rPr>
              <w:t>248</w:t>
            </w:r>
          </w:p>
        </w:tc>
        <w:tc>
          <w:tcPr>
            <w:tcW w:w="1337" w:type="dxa"/>
            <w:vAlign w:val="center"/>
          </w:tcPr>
          <w:p w14:paraId="53C0618A" w14:textId="001715AF" w:rsidR="0035329A" w:rsidRPr="001B4CA2" w:rsidRDefault="00255799" w:rsidP="00906F3F">
            <w:pPr>
              <w:jc w:val="center"/>
              <w:rPr>
                <w:rFonts w:eastAsia="Calibri"/>
                <w:sz w:val="18"/>
                <w:szCs w:val="18"/>
                <w:lang w:eastAsia="hr-HR"/>
              </w:rPr>
            </w:pPr>
            <w:r w:rsidRPr="001B4CA2">
              <w:rPr>
                <w:rFonts w:eastAsia="Calibri"/>
                <w:sz w:val="18"/>
                <w:szCs w:val="18"/>
                <w:lang w:eastAsia="hr-HR"/>
              </w:rPr>
              <w:t>162</w:t>
            </w:r>
          </w:p>
        </w:tc>
        <w:tc>
          <w:tcPr>
            <w:tcW w:w="1337" w:type="dxa"/>
            <w:vAlign w:val="center"/>
          </w:tcPr>
          <w:p w14:paraId="35D07E9C" w14:textId="187B3051" w:rsidR="0035329A" w:rsidRPr="001B4CA2" w:rsidRDefault="00255799" w:rsidP="00906F3F">
            <w:pPr>
              <w:jc w:val="center"/>
              <w:rPr>
                <w:rFonts w:eastAsia="Calibri"/>
                <w:sz w:val="18"/>
                <w:szCs w:val="18"/>
                <w:lang w:eastAsia="hr-HR"/>
              </w:rPr>
            </w:pPr>
            <w:r w:rsidRPr="001B4CA2">
              <w:rPr>
                <w:rFonts w:eastAsia="Calibri"/>
                <w:sz w:val="18"/>
                <w:szCs w:val="18"/>
                <w:lang w:eastAsia="hr-HR"/>
              </w:rPr>
              <w:t>142</w:t>
            </w:r>
          </w:p>
        </w:tc>
      </w:tr>
      <w:tr w:rsidR="0035329A" w:rsidRPr="001B4CA2" w14:paraId="3A452834" w14:textId="1A95FEF1" w:rsidTr="00903B41">
        <w:trPr>
          <w:trHeight w:val="394"/>
          <w:jc w:val="center"/>
        </w:trPr>
        <w:tc>
          <w:tcPr>
            <w:tcW w:w="3272" w:type="dxa"/>
            <w:shd w:val="clear" w:color="auto" w:fill="auto"/>
            <w:vAlign w:val="center"/>
          </w:tcPr>
          <w:p w14:paraId="5812E83C" w14:textId="061F42BB" w:rsidR="0035329A" w:rsidRPr="001B4CA2" w:rsidRDefault="0035329A" w:rsidP="00906F3F">
            <w:pPr>
              <w:jc w:val="left"/>
              <w:rPr>
                <w:rFonts w:eastAsia="Calibri"/>
                <w:sz w:val="18"/>
                <w:szCs w:val="18"/>
                <w:lang w:eastAsia="hr-HR"/>
              </w:rPr>
            </w:pPr>
            <w:r w:rsidRPr="001B4CA2">
              <w:rPr>
                <w:rFonts w:eastAsia="Times New Roman"/>
                <w:color w:val="000000"/>
                <w:sz w:val="18"/>
                <w:szCs w:val="18"/>
                <w:lang w:eastAsia="hr-HR"/>
              </w:rPr>
              <w:t>Prijevara u gospodarskom poslovanju čl. 247. KZ</w:t>
            </w:r>
          </w:p>
        </w:tc>
        <w:tc>
          <w:tcPr>
            <w:tcW w:w="1337" w:type="dxa"/>
            <w:shd w:val="clear" w:color="auto" w:fill="auto"/>
            <w:vAlign w:val="center"/>
          </w:tcPr>
          <w:p w14:paraId="686429AD" w14:textId="54AD3CFE" w:rsidR="0035329A" w:rsidRPr="001B4CA2" w:rsidRDefault="00D911AE" w:rsidP="00906F3F">
            <w:pPr>
              <w:jc w:val="center"/>
              <w:rPr>
                <w:rFonts w:eastAsia="Calibri"/>
                <w:sz w:val="18"/>
                <w:szCs w:val="18"/>
                <w:lang w:eastAsia="hr-HR"/>
              </w:rPr>
            </w:pPr>
            <w:r w:rsidRPr="001B4CA2">
              <w:rPr>
                <w:rFonts w:eastAsia="Calibri"/>
                <w:sz w:val="18"/>
                <w:szCs w:val="18"/>
                <w:lang w:eastAsia="hr-HR"/>
              </w:rPr>
              <w:t>1.</w:t>
            </w:r>
            <w:r w:rsidR="00255799" w:rsidRPr="001B4CA2">
              <w:rPr>
                <w:rFonts w:eastAsia="Calibri"/>
                <w:sz w:val="18"/>
                <w:szCs w:val="18"/>
                <w:lang w:eastAsia="hr-HR"/>
              </w:rPr>
              <w:t>149</w:t>
            </w:r>
          </w:p>
        </w:tc>
        <w:tc>
          <w:tcPr>
            <w:tcW w:w="1337" w:type="dxa"/>
            <w:shd w:val="clear" w:color="auto" w:fill="auto"/>
            <w:vAlign w:val="center"/>
          </w:tcPr>
          <w:p w14:paraId="659FB08E" w14:textId="2D52B3CC" w:rsidR="0035329A" w:rsidRPr="001B4CA2" w:rsidRDefault="00255799" w:rsidP="00906F3F">
            <w:pPr>
              <w:jc w:val="center"/>
              <w:rPr>
                <w:rFonts w:eastAsia="Calibri"/>
                <w:sz w:val="18"/>
                <w:szCs w:val="18"/>
                <w:lang w:eastAsia="hr-HR"/>
              </w:rPr>
            </w:pPr>
            <w:r w:rsidRPr="001B4CA2">
              <w:rPr>
                <w:rFonts w:eastAsia="Calibri"/>
                <w:sz w:val="18"/>
                <w:szCs w:val="18"/>
                <w:lang w:eastAsia="hr-HR"/>
              </w:rPr>
              <w:t>565</w:t>
            </w:r>
          </w:p>
        </w:tc>
        <w:tc>
          <w:tcPr>
            <w:tcW w:w="1337" w:type="dxa"/>
            <w:vAlign w:val="center"/>
          </w:tcPr>
          <w:p w14:paraId="18587E8A" w14:textId="6DCE444D" w:rsidR="0035329A" w:rsidRPr="001B4CA2" w:rsidRDefault="00255799" w:rsidP="00906F3F">
            <w:pPr>
              <w:jc w:val="center"/>
              <w:rPr>
                <w:rFonts w:eastAsia="Calibri"/>
                <w:sz w:val="18"/>
                <w:szCs w:val="18"/>
                <w:lang w:eastAsia="hr-HR"/>
              </w:rPr>
            </w:pPr>
            <w:r w:rsidRPr="001B4CA2">
              <w:rPr>
                <w:rFonts w:eastAsia="Calibri"/>
                <w:sz w:val="18"/>
                <w:szCs w:val="18"/>
                <w:lang w:eastAsia="hr-HR"/>
              </w:rPr>
              <w:t>202</w:t>
            </w:r>
          </w:p>
        </w:tc>
        <w:tc>
          <w:tcPr>
            <w:tcW w:w="1337" w:type="dxa"/>
            <w:vAlign w:val="center"/>
          </w:tcPr>
          <w:p w14:paraId="076215FB" w14:textId="6AA80DC3" w:rsidR="0035329A" w:rsidRPr="001B4CA2" w:rsidRDefault="00255799" w:rsidP="00906F3F">
            <w:pPr>
              <w:jc w:val="center"/>
              <w:rPr>
                <w:rFonts w:eastAsia="Calibri"/>
                <w:sz w:val="18"/>
                <w:szCs w:val="18"/>
                <w:lang w:eastAsia="hr-HR"/>
              </w:rPr>
            </w:pPr>
            <w:r w:rsidRPr="001B4CA2">
              <w:rPr>
                <w:rFonts w:eastAsia="Calibri"/>
                <w:sz w:val="18"/>
                <w:szCs w:val="18"/>
                <w:lang w:eastAsia="hr-HR"/>
              </w:rPr>
              <w:t>135</w:t>
            </w:r>
          </w:p>
        </w:tc>
      </w:tr>
      <w:tr w:rsidR="0035329A" w:rsidRPr="001B4CA2" w14:paraId="77DA23DC" w14:textId="58F1FB06" w:rsidTr="00903B41">
        <w:trPr>
          <w:trHeight w:val="394"/>
          <w:jc w:val="center"/>
        </w:trPr>
        <w:tc>
          <w:tcPr>
            <w:tcW w:w="3272" w:type="dxa"/>
            <w:shd w:val="clear" w:color="auto" w:fill="auto"/>
            <w:vAlign w:val="center"/>
          </w:tcPr>
          <w:p w14:paraId="0A242CF5" w14:textId="22E508DD" w:rsidR="0035329A" w:rsidRPr="001B4CA2" w:rsidRDefault="0035329A" w:rsidP="00906F3F">
            <w:pPr>
              <w:jc w:val="left"/>
              <w:rPr>
                <w:rFonts w:eastAsia="Calibri"/>
                <w:sz w:val="18"/>
                <w:szCs w:val="18"/>
                <w:lang w:eastAsia="hr-HR"/>
              </w:rPr>
            </w:pPr>
            <w:r w:rsidRPr="001B4CA2">
              <w:rPr>
                <w:rFonts w:eastAsia="Times New Roman"/>
                <w:color w:val="000000"/>
                <w:sz w:val="18"/>
                <w:szCs w:val="18"/>
                <w:lang w:eastAsia="hr-HR"/>
              </w:rPr>
              <w:t>Povreda obveze vođenja trgovačkih i poslovnih knjiga čl. 248. KZ</w:t>
            </w:r>
          </w:p>
        </w:tc>
        <w:tc>
          <w:tcPr>
            <w:tcW w:w="1337" w:type="dxa"/>
            <w:shd w:val="clear" w:color="auto" w:fill="auto"/>
            <w:vAlign w:val="center"/>
          </w:tcPr>
          <w:p w14:paraId="28DD7338" w14:textId="41643322" w:rsidR="0035329A" w:rsidRPr="001B4CA2" w:rsidRDefault="00255799" w:rsidP="00906F3F">
            <w:pPr>
              <w:jc w:val="center"/>
              <w:rPr>
                <w:rFonts w:eastAsia="Calibri"/>
                <w:sz w:val="18"/>
                <w:szCs w:val="18"/>
                <w:lang w:eastAsia="hr-HR"/>
              </w:rPr>
            </w:pPr>
            <w:r w:rsidRPr="001B4CA2">
              <w:rPr>
                <w:rFonts w:eastAsia="Calibri"/>
                <w:sz w:val="18"/>
                <w:szCs w:val="18"/>
                <w:lang w:eastAsia="hr-HR"/>
              </w:rPr>
              <w:t>59</w:t>
            </w:r>
          </w:p>
        </w:tc>
        <w:tc>
          <w:tcPr>
            <w:tcW w:w="1337" w:type="dxa"/>
            <w:shd w:val="clear" w:color="auto" w:fill="auto"/>
            <w:vAlign w:val="center"/>
          </w:tcPr>
          <w:p w14:paraId="5299F85F" w14:textId="2FF97F2A" w:rsidR="0035329A" w:rsidRPr="001B4CA2" w:rsidRDefault="00255799" w:rsidP="00906F3F">
            <w:pPr>
              <w:jc w:val="center"/>
              <w:rPr>
                <w:rFonts w:eastAsia="Calibri"/>
                <w:sz w:val="18"/>
                <w:szCs w:val="18"/>
                <w:lang w:eastAsia="hr-HR"/>
              </w:rPr>
            </w:pPr>
            <w:r w:rsidRPr="001B4CA2">
              <w:rPr>
                <w:rFonts w:eastAsia="Calibri"/>
                <w:sz w:val="18"/>
                <w:szCs w:val="18"/>
                <w:lang w:eastAsia="hr-HR"/>
              </w:rPr>
              <w:t>10</w:t>
            </w:r>
          </w:p>
        </w:tc>
        <w:tc>
          <w:tcPr>
            <w:tcW w:w="1337" w:type="dxa"/>
            <w:vAlign w:val="center"/>
          </w:tcPr>
          <w:p w14:paraId="5F003F48" w14:textId="0D8D4346" w:rsidR="0035329A" w:rsidRPr="001B4CA2" w:rsidRDefault="00D911AE" w:rsidP="00906F3F">
            <w:pPr>
              <w:jc w:val="center"/>
              <w:rPr>
                <w:rFonts w:eastAsia="Calibri"/>
                <w:sz w:val="18"/>
                <w:szCs w:val="18"/>
                <w:lang w:eastAsia="hr-HR"/>
              </w:rPr>
            </w:pPr>
            <w:r w:rsidRPr="001B4CA2">
              <w:rPr>
                <w:rFonts w:eastAsia="Calibri"/>
                <w:sz w:val="18"/>
                <w:szCs w:val="18"/>
                <w:lang w:eastAsia="hr-HR"/>
              </w:rPr>
              <w:t>17</w:t>
            </w:r>
          </w:p>
        </w:tc>
        <w:tc>
          <w:tcPr>
            <w:tcW w:w="1337" w:type="dxa"/>
            <w:vAlign w:val="center"/>
          </w:tcPr>
          <w:p w14:paraId="563801E6" w14:textId="0C4A208B" w:rsidR="0035329A" w:rsidRPr="001B4CA2" w:rsidRDefault="00D911AE" w:rsidP="00906F3F">
            <w:pPr>
              <w:jc w:val="center"/>
              <w:rPr>
                <w:rFonts w:eastAsia="Calibri"/>
                <w:sz w:val="18"/>
                <w:szCs w:val="18"/>
                <w:lang w:eastAsia="hr-HR"/>
              </w:rPr>
            </w:pPr>
            <w:r w:rsidRPr="001B4CA2">
              <w:rPr>
                <w:rFonts w:eastAsia="Calibri"/>
                <w:sz w:val="18"/>
                <w:szCs w:val="18"/>
                <w:lang w:eastAsia="hr-HR"/>
              </w:rPr>
              <w:t>1</w:t>
            </w:r>
            <w:r w:rsidR="00255799" w:rsidRPr="001B4CA2">
              <w:rPr>
                <w:rFonts w:eastAsia="Calibri"/>
                <w:sz w:val="18"/>
                <w:szCs w:val="18"/>
                <w:lang w:eastAsia="hr-HR"/>
              </w:rPr>
              <w:t>8</w:t>
            </w:r>
          </w:p>
        </w:tc>
      </w:tr>
      <w:tr w:rsidR="0035329A" w:rsidRPr="001B4CA2" w14:paraId="0A649485" w14:textId="3DADC3E6" w:rsidTr="00903B41">
        <w:trPr>
          <w:trHeight w:val="394"/>
          <w:jc w:val="center"/>
        </w:trPr>
        <w:tc>
          <w:tcPr>
            <w:tcW w:w="3272" w:type="dxa"/>
            <w:shd w:val="clear" w:color="auto" w:fill="auto"/>
            <w:vAlign w:val="center"/>
          </w:tcPr>
          <w:p w14:paraId="069E967A" w14:textId="403F1518" w:rsidR="0035329A" w:rsidRPr="001B4CA2" w:rsidRDefault="0035329A" w:rsidP="00906F3F">
            <w:pPr>
              <w:jc w:val="left"/>
              <w:rPr>
                <w:rFonts w:eastAsia="Calibri"/>
                <w:sz w:val="18"/>
                <w:szCs w:val="18"/>
                <w:lang w:eastAsia="hr-HR"/>
              </w:rPr>
            </w:pPr>
            <w:proofErr w:type="spellStart"/>
            <w:r w:rsidRPr="001B4CA2">
              <w:rPr>
                <w:rFonts w:eastAsia="Times New Roman"/>
                <w:color w:val="000000"/>
                <w:sz w:val="18"/>
                <w:szCs w:val="18"/>
                <w:lang w:eastAsia="hr-HR"/>
              </w:rPr>
              <w:t>Prouzročenje</w:t>
            </w:r>
            <w:proofErr w:type="spellEnd"/>
            <w:r w:rsidRPr="001B4CA2">
              <w:rPr>
                <w:rFonts w:eastAsia="Times New Roman"/>
                <w:color w:val="000000"/>
                <w:sz w:val="18"/>
                <w:szCs w:val="18"/>
                <w:lang w:eastAsia="hr-HR"/>
              </w:rPr>
              <w:t xml:space="preserve"> stečaja čl. 249. KZ</w:t>
            </w:r>
          </w:p>
        </w:tc>
        <w:tc>
          <w:tcPr>
            <w:tcW w:w="1337" w:type="dxa"/>
            <w:shd w:val="clear" w:color="auto" w:fill="auto"/>
            <w:vAlign w:val="center"/>
          </w:tcPr>
          <w:p w14:paraId="0CFF7AD9" w14:textId="5AD71B81" w:rsidR="0035329A" w:rsidRPr="001B4CA2" w:rsidRDefault="00255799" w:rsidP="00906F3F">
            <w:pPr>
              <w:jc w:val="center"/>
              <w:rPr>
                <w:rFonts w:eastAsia="Calibri"/>
                <w:sz w:val="18"/>
                <w:szCs w:val="18"/>
                <w:lang w:eastAsia="hr-HR"/>
              </w:rPr>
            </w:pPr>
            <w:r w:rsidRPr="001B4CA2">
              <w:rPr>
                <w:rFonts w:eastAsia="Calibri"/>
                <w:sz w:val="18"/>
                <w:szCs w:val="18"/>
                <w:lang w:eastAsia="hr-HR"/>
              </w:rPr>
              <w:t>88</w:t>
            </w:r>
          </w:p>
        </w:tc>
        <w:tc>
          <w:tcPr>
            <w:tcW w:w="1337" w:type="dxa"/>
            <w:shd w:val="clear" w:color="auto" w:fill="auto"/>
            <w:vAlign w:val="center"/>
          </w:tcPr>
          <w:p w14:paraId="401896F9" w14:textId="7129BCF3" w:rsidR="0035329A" w:rsidRPr="001B4CA2" w:rsidRDefault="00255799" w:rsidP="00906F3F">
            <w:pPr>
              <w:jc w:val="center"/>
              <w:rPr>
                <w:rFonts w:eastAsia="Calibri"/>
                <w:sz w:val="18"/>
                <w:szCs w:val="18"/>
                <w:lang w:eastAsia="hr-HR"/>
              </w:rPr>
            </w:pPr>
            <w:r w:rsidRPr="001B4CA2">
              <w:rPr>
                <w:rFonts w:eastAsia="Calibri"/>
                <w:sz w:val="18"/>
                <w:szCs w:val="18"/>
                <w:lang w:eastAsia="hr-HR"/>
              </w:rPr>
              <w:t>35</w:t>
            </w:r>
          </w:p>
        </w:tc>
        <w:tc>
          <w:tcPr>
            <w:tcW w:w="1337" w:type="dxa"/>
            <w:vAlign w:val="center"/>
          </w:tcPr>
          <w:p w14:paraId="3F222E9B" w14:textId="2993B2BF" w:rsidR="0035329A" w:rsidRPr="001B4CA2" w:rsidRDefault="00255799" w:rsidP="00906F3F">
            <w:pPr>
              <w:jc w:val="center"/>
              <w:rPr>
                <w:rFonts w:eastAsia="Calibri"/>
                <w:sz w:val="18"/>
                <w:szCs w:val="18"/>
                <w:lang w:eastAsia="hr-HR"/>
              </w:rPr>
            </w:pPr>
            <w:r w:rsidRPr="001B4CA2">
              <w:rPr>
                <w:rFonts w:eastAsia="Calibri"/>
                <w:sz w:val="18"/>
                <w:szCs w:val="18"/>
                <w:lang w:eastAsia="hr-HR"/>
              </w:rPr>
              <w:t>24</w:t>
            </w:r>
          </w:p>
        </w:tc>
        <w:tc>
          <w:tcPr>
            <w:tcW w:w="1337" w:type="dxa"/>
            <w:vAlign w:val="center"/>
          </w:tcPr>
          <w:p w14:paraId="4E41253F" w14:textId="3298F1F9" w:rsidR="0035329A" w:rsidRPr="001B4CA2" w:rsidRDefault="00255799" w:rsidP="00906F3F">
            <w:pPr>
              <w:jc w:val="center"/>
              <w:rPr>
                <w:rFonts w:eastAsia="Calibri"/>
                <w:sz w:val="18"/>
                <w:szCs w:val="18"/>
                <w:lang w:eastAsia="hr-HR"/>
              </w:rPr>
            </w:pPr>
            <w:r w:rsidRPr="001B4CA2">
              <w:rPr>
                <w:rFonts w:eastAsia="Calibri"/>
                <w:sz w:val="18"/>
                <w:szCs w:val="18"/>
                <w:lang w:eastAsia="hr-HR"/>
              </w:rPr>
              <w:t>6</w:t>
            </w:r>
          </w:p>
        </w:tc>
      </w:tr>
      <w:tr w:rsidR="0035329A" w:rsidRPr="001B4CA2" w14:paraId="15DA2F55" w14:textId="343EC1CC" w:rsidTr="00903B41">
        <w:trPr>
          <w:trHeight w:val="394"/>
          <w:jc w:val="center"/>
        </w:trPr>
        <w:tc>
          <w:tcPr>
            <w:tcW w:w="3272" w:type="dxa"/>
            <w:shd w:val="clear" w:color="auto" w:fill="auto"/>
            <w:vAlign w:val="center"/>
          </w:tcPr>
          <w:p w14:paraId="4FA25F6C" w14:textId="0EA5F6EB" w:rsidR="0035329A" w:rsidRPr="001B4CA2" w:rsidRDefault="0035329A" w:rsidP="00906F3F">
            <w:pPr>
              <w:jc w:val="left"/>
              <w:rPr>
                <w:rFonts w:eastAsia="Calibri"/>
                <w:sz w:val="18"/>
                <w:szCs w:val="18"/>
                <w:lang w:eastAsia="hr-HR"/>
              </w:rPr>
            </w:pPr>
            <w:r w:rsidRPr="001B4CA2">
              <w:rPr>
                <w:rFonts w:eastAsia="Times New Roman"/>
                <w:color w:val="000000"/>
                <w:sz w:val="18"/>
                <w:szCs w:val="18"/>
                <w:lang w:eastAsia="hr-HR"/>
              </w:rPr>
              <w:t>Pogodovanje vjerovnika čl. 250. KZ</w:t>
            </w:r>
          </w:p>
        </w:tc>
        <w:tc>
          <w:tcPr>
            <w:tcW w:w="1337" w:type="dxa"/>
            <w:shd w:val="clear" w:color="auto" w:fill="auto"/>
            <w:vAlign w:val="center"/>
          </w:tcPr>
          <w:p w14:paraId="2333996A" w14:textId="70FA60F3" w:rsidR="0035329A" w:rsidRPr="001B4CA2" w:rsidRDefault="00D911AE" w:rsidP="00906F3F">
            <w:pPr>
              <w:jc w:val="center"/>
              <w:rPr>
                <w:rFonts w:eastAsia="Calibri"/>
                <w:sz w:val="18"/>
                <w:szCs w:val="18"/>
                <w:lang w:eastAsia="hr-HR"/>
              </w:rPr>
            </w:pPr>
            <w:r w:rsidRPr="001B4CA2">
              <w:rPr>
                <w:rFonts w:eastAsia="Calibri"/>
                <w:sz w:val="18"/>
                <w:szCs w:val="18"/>
                <w:lang w:eastAsia="hr-HR"/>
              </w:rPr>
              <w:t>2</w:t>
            </w:r>
            <w:r w:rsidR="00255799" w:rsidRPr="001B4CA2">
              <w:rPr>
                <w:rFonts w:eastAsia="Calibri"/>
                <w:sz w:val="18"/>
                <w:szCs w:val="18"/>
                <w:lang w:eastAsia="hr-HR"/>
              </w:rPr>
              <w:t>0</w:t>
            </w:r>
          </w:p>
        </w:tc>
        <w:tc>
          <w:tcPr>
            <w:tcW w:w="1337" w:type="dxa"/>
            <w:shd w:val="clear" w:color="auto" w:fill="auto"/>
            <w:vAlign w:val="center"/>
          </w:tcPr>
          <w:p w14:paraId="0D912F8F" w14:textId="3C79BFCC" w:rsidR="0035329A" w:rsidRPr="001B4CA2" w:rsidRDefault="00255799" w:rsidP="00906F3F">
            <w:pPr>
              <w:jc w:val="center"/>
              <w:rPr>
                <w:rFonts w:eastAsia="Calibri"/>
                <w:sz w:val="18"/>
                <w:szCs w:val="18"/>
                <w:lang w:eastAsia="hr-HR"/>
              </w:rPr>
            </w:pPr>
            <w:r w:rsidRPr="001B4CA2">
              <w:rPr>
                <w:rFonts w:eastAsia="Calibri"/>
                <w:sz w:val="18"/>
                <w:szCs w:val="18"/>
                <w:lang w:eastAsia="hr-HR"/>
              </w:rPr>
              <w:t>8</w:t>
            </w:r>
          </w:p>
        </w:tc>
        <w:tc>
          <w:tcPr>
            <w:tcW w:w="1337" w:type="dxa"/>
            <w:vAlign w:val="center"/>
          </w:tcPr>
          <w:p w14:paraId="720044D4" w14:textId="1997F222" w:rsidR="0035329A" w:rsidRPr="001B4CA2" w:rsidRDefault="00255799" w:rsidP="00906F3F">
            <w:pPr>
              <w:jc w:val="center"/>
              <w:rPr>
                <w:rFonts w:eastAsia="Calibri"/>
                <w:sz w:val="18"/>
                <w:szCs w:val="18"/>
                <w:lang w:eastAsia="hr-HR"/>
              </w:rPr>
            </w:pPr>
            <w:r w:rsidRPr="001B4CA2">
              <w:rPr>
                <w:rFonts w:eastAsia="Calibri"/>
                <w:sz w:val="18"/>
                <w:szCs w:val="18"/>
                <w:lang w:eastAsia="hr-HR"/>
              </w:rPr>
              <w:t>1</w:t>
            </w:r>
          </w:p>
        </w:tc>
        <w:tc>
          <w:tcPr>
            <w:tcW w:w="1337" w:type="dxa"/>
            <w:vAlign w:val="center"/>
          </w:tcPr>
          <w:p w14:paraId="669D75C4" w14:textId="5E48560B" w:rsidR="0035329A" w:rsidRPr="001B4CA2" w:rsidRDefault="00255799" w:rsidP="00906F3F">
            <w:pPr>
              <w:jc w:val="center"/>
              <w:rPr>
                <w:rFonts w:eastAsia="Calibri"/>
                <w:sz w:val="18"/>
                <w:szCs w:val="18"/>
                <w:lang w:eastAsia="hr-HR"/>
              </w:rPr>
            </w:pPr>
            <w:r w:rsidRPr="001B4CA2">
              <w:rPr>
                <w:rFonts w:eastAsia="Calibri"/>
                <w:sz w:val="18"/>
                <w:szCs w:val="18"/>
                <w:lang w:eastAsia="hr-HR"/>
              </w:rPr>
              <w:t>3</w:t>
            </w:r>
          </w:p>
        </w:tc>
      </w:tr>
      <w:tr w:rsidR="0035329A" w:rsidRPr="001B4CA2" w14:paraId="7BFAA176" w14:textId="41BBC50F" w:rsidTr="00903B41">
        <w:trPr>
          <w:trHeight w:val="394"/>
          <w:jc w:val="center"/>
        </w:trPr>
        <w:tc>
          <w:tcPr>
            <w:tcW w:w="3272" w:type="dxa"/>
            <w:shd w:val="clear" w:color="auto" w:fill="auto"/>
            <w:vAlign w:val="center"/>
          </w:tcPr>
          <w:p w14:paraId="6E569410" w14:textId="2C3FDBD9" w:rsidR="0035329A" w:rsidRPr="001B4CA2" w:rsidRDefault="0035329A" w:rsidP="00906F3F">
            <w:pPr>
              <w:jc w:val="left"/>
              <w:rPr>
                <w:rFonts w:eastAsia="Calibri"/>
                <w:sz w:val="18"/>
                <w:szCs w:val="18"/>
                <w:lang w:eastAsia="hr-HR"/>
              </w:rPr>
            </w:pPr>
            <w:r w:rsidRPr="001B4CA2">
              <w:rPr>
                <w:rFonts w:eastAsia="Times New Roman"/>
                <w:color w:val="000000"/>
                <w:sz w:val="18"/>
                <w:szCs w:val="18"/>
                <w:lang w:eastAsia="hr-HR"/>
              </w:rPr>
              <w:t>Utaja poreza ili carine čl. 256. KZ</w:t>
            </w:r>
          </w:p>
        </w:tc>
        <w:tc>
          <w:tcPr>
            <w:tcW w:w="1337" w:type="dxa"/>
            <w:shd w:val="clear" w:color="auto" w:fill="auto"/>
            <w:vAlign w:val="center"/>
          </w:tcPr>
          <w:p w14:paraId="0A7B0EE5" w14:textId="0291EC2F" w:rsidR="0035329A" w:rsidRPr="001B4CA2" w:rsidRDefault="00255799" w:rsidP="00906F3F">
            <w:pPr>
              <w:jc w:val="center"/>
              <w:rPr>
                <w:rFonts w:eastAsia="Calibri"/>
                <w:sz w:val="18"/>
                <w:szCs w:val="18"/>
                <w:lang w:eastAsia="hr-HR"/>
              </w:rPr>
            </w:pPr>
            <w:r w:rsidRPr="001B4CA2">
              <w:rPr>
                <w:rFonts w:eastAsia="Calibri"/>
                <w:sz w:val="18"/>
                <w:szCs w:val="18"/>
                <w:lang w:eastAsia="hr-HR"/>
              </w:rPr>
              <w:t>749</w:t>
            </w:r>
          </w:p>
        </w:tc>
        <w:tc>
          <w:tcPr>
            <w:tcW w:w="1337" w:type="dxa"/>
            <w:shd w:val="clear" w:color="auto" w:fill="auto"/>
            <w:vAlign w:val="center"/>
          </w:tcPr>
          <w:p w14:paraId="2DF71C04" w14:textId="514A091E" w:rsidR="0035329A" w:rsidRPr="001B4CA2" w:rsidRDefault="00255799" w:rsidP="00906F3F">
            <w:pPr>
              <w:jc w:val="center"/>
              <w:rPr>
                <w:rFonts w:eastAsia="Calibri"/>
                <w:sz w:val="18"/>
                <w:szCs w:val="18"/>
                <w:lang w:eastAsia="hr-HR"/>
              </w:rPr>
            </w:pPr>
            <w:r w:rsidRPr="001B4CA2">
              <w:rPr>
                <w:rFonts w:eastAsia="Calibri"/>
                <w:sz w:val="18"/>
                <w:szCs w:val="18"/>
                <w:lang w:eastAsia="hr-HR"/>
              </w:rPr>
              <w:t>85</w:t>
            </w:r>
          </w:p>
        </w:tc>
        <w:tc>
          <w:tcPr>
            <w:tcW w:w="1337" w:type="dxa"/>
            <w:vAlign w:val="center"/>
          </w:tcPr>
          <w:p w14:paraId="0CD86F5C" w14:textId="5316367E" w:rsidR="0035329A" w:rsidRPr="001B4CA2" w:rsidRDefault="00255799" w:rsidP="00906F3F">
            <w:pPr>
              <w:jc w:val="center"/>
              <w:rPr>
                <w:rFonts w:eastAsia="Calibri"/>
                <w:sz w:val="18"/>
                <w:szCs w:val="18"/>
                <w:lang w:eastAsia="hr-HR"/>
              </w:rPr>
            </w:pPr>
            <w:r w:rsidRPr="001B4CA2">
              <w:rPr>
                <w:rFonts w:eastAsia="Calibri"/>
                <w:sz w:val="18"/>
                <w:szCs w:val="18"/>
                <w:lang w:eastAsia="hr-HR"/>
              </w:rPr>
              <w:t>185</w:t>
            </w:r>
          </w:p>
        </w:tc>
        <w:tc>
          <w:tcPr>
            <w:tcW w:w="1337" w:type="dxa"/>
            <w:vAlign w:val="center"/>
          </w:tcPr>
          <w:p w14:paraId="5B8396A8" w14:textId="42A025AF" w:rsidR="0035329A" w:rsidRPr="001B4CA2" w:rsidRDefault="00255799" w:rsidP="00906F3F">
            <w:pPr>
              <w:jc w:val="center"/>
              <w:rPr>
                <w:rFonts w:eastAsia="Calibri"/>
                <w:sz w:val="18"/>
                <w:szCs w:val="18"/>
                <w:lang w:eastAsia="hr-HR"/>
              </w:rPr>
            </w:pPr>
            <w:r w:rsidRPr="001B4CA2">
              <w:rPr>
                <w:rFonts w:eastAsia="Calibri"/>
                <w:sz w:val="18"/>
                <w:szCs w:val="18"/>
                <w:lang w:eastAsia="hr-HR"/>
              </w:rPr>
              <w:t>131</w:t>
            </w:r>
          </w:p>
        </w:tc>
      </w:tr>
      <w:tr w:rsidR="0035329A" w:rsidRPr="001B4CA2" w14:paraId="73665785" w14:textId="62378C70" w:rsidTr="00903B41">
        <w:trPr>
          <w:trHeight w:val="394"/>
          <w:jc w:val="center"/>
        </w:trPr>
        <w:tc>
          <w:tcPr>
            <w:tcW w:w="3272" w:type="dxa"/>
            <w:shd w:val="clear" w:color="auto" w:fill="auto"/>
            <w:vAlign w:val="center"/>
          </w:tcPr>
          <w:p w14:paraId="59112E2B" w14:textId="79CD262D" w:rsidR="0035329A" w:rsidRPr="001B4CA2" w:rsidRDefault="0035329A" w:rsidP="00906F3F">
            <w:pPr>
              <w:jc w:val="left"/>
              <w:rPr>
                <w:rFonts w:eastAsia="Calibri"/>
                <w:sz w:val="18"/>
                <w:szCs w:val="18"/>
                <w:lang w:eastAsia="hr-HR"/>
              </w:rPr>
            </w:pPr>
            <w:r w:rsidRPr="001B4CA2">
              <w:rPr>
                <w:rFonts w:eastAsia="Times New Roman"/>
                <w:color w:val="000000"/>
                <w:sz w:val="18"/>
                <w:szCs w:val="18"/>
                <w:lang w:eastAsia="hr-HR"/>
              </w:rPr>
              <w:t>Izbjegavanje carinskog nadzora čl. 257. KZ</w:t>
            </w:r>
          </w:p>
        </w:tc>
        <w:tc>
          <w:tcPr>
            <w:tcW w:w="1337" w:type="dxa"/>
            <w:shd w:val="clear" w:color="auto" w:fill="auto"/>
            <w:vAlign w:val="center"/>
          </w:tcPr>
          <w:p w14:paraId="0324FCAB" w14:textId="338DFB70" w:rsidR="0035329A" w:rsidRPr="001B4CA2" w:rsidRDefault="00255799" w:rsidP="00906F3F">
            <w:pPr>
              <w:jc w:val="center"/>
              <w:rPr>
                <w:rFonts w:eastAsia="Calibri"/>
                <w:sz w:val="18"/>
                <w:szCs w:val="18"/>
                <w:lang w:eastAsia="hr-HR"/>
              </w:rPr>
            </w:pPr>
            <w:r w:rsidRPr="001B4CA2">
              <w:rPr>
                <w:rFonts w:eastAsia="Calibri"/>
                <w:sz w:val="18"/>
                <w:szCs w:val="18"/>
                <w:lang w:eastAsia="hr-HR"/>
              </w:rPr>
              <w:t>34</w:t>
            </w:r>
          </w:p>
        </w:tc>
        <w:tc>
          <w:tcPr>
            <w:tcW w:w="1337" w:type="dxa"/>
            <w:shd w:val="clear" w:color="auto" w:fill="auto"/>
            <w:vAlign w:val="center"/>
          </w:tcPr>
          <w:p w14:paraId="3CFDE5D1" w14:textId="204CA263" w:rsidR="0035329A" w:rsidRPr="001B4CA2" w:rsidRDefault="0035329A" w:rsidP="00906F3F">
            <w:pPr>
              <w:jc w:val="center"/>
              <w:rPr>
                <w:rFonts w:eastAsia="Calibri"/>
                <w:sz w:val="18"/>
                <w:szCs w:val="18"/>
                <w:lang w:eastAsia="hr-HR"/>
              </w:rPr>
            </w:pPr>
          </w:p>
        </w:tc>
        <w:tc>
          <w:tcPr>
            <w:tcW w:w="1337" w:type="dxa"/>
            <w:vAlign w:val="center"/>
          </w:tcPr>
          <w:p w14:paraId="141850B8" w14:textId="7988B8B7" w:rsidR="0035329A" w:rsidRPr="001B4CA2" w:rsidRDefault="00255799" w:rsidP="00906F3F">
            <w:pPr>
              <w:jc w:val="center"/>
              <w:rPr>
                <w:rFonts w:eastAsia="Calibri"/>
                <w:sz w:val="18"/>
                <w:szCs w:val="18"/>
                <w:lang w:eastAsia="hr-HR"/>
              </w:rPr>
            </w:pPr>
            <w:r w:rsidRPr="001B4CA2">
              <w:rPr>
                <w:rFonts w:eastAsia="Calibri"/>
                <w:sz w:val="18"/>
                <w:szCs w:val="18"/>
                <w:lang w:eastAsia="hr-HR"/>
              </w:rPr>
              <w:t>36</w:t>
            </w:r>
          </w:p>
        </w:tc>
        <w:tc>
          <w:tcPr>
            <w:tcW w:w="1337" w:type="dxa"/>
            <w:vAlign w:val="center"/>
          </w:tcPr>
          <w:p w14:paraId="081383A0" w14:textId="5A5F5A72" w:rsidR="0035329A" w:rsidRPr="001B4CA2" w:rsidRDefault="00255799" w:rsidP="00906F3F">
            <w:pPr>
              <w:jc w:val="center"/>
              <w:rPr>
                <w:rFonts w:eastAsia="Calibri"/>
                <w:sz w:val="18"/>
                <w:szCs w:val="18"/>
                <w:lang w:eastAsia="hr-HR"/>
              </w:rPr>
            </w:pPr>
            <w:r w:rsidRPr="001B4CA2">
              <w:rPr>
                <w:rFonts w:eastAsia="Calibri"/>
                <w:sz w:val="18"/>
                <w:szCs w:val="18"/>
                <w:lang w:eastAsia="hr-HR"/>
              </w:rPr>
              <w:t>48</w:t>
            </w:r>
          </w:p>
        </w:tc>
      </w:tr>
      <w:tr w:rsidR="0035329A" w:rsidRPr="001B4CA2" w14:paraId="73889B05" w14:textId="6FAD49EB" w:rsidTr="00903B41">
        <w:trPr>
          <w:trHeight w:val="394"/>
          <w:jc w:val="center"/>
        </w:trPr>
        <w:tc>
          <w:tcPr>
            <w:tcW w:w="3272" w:type="dxa"/>
            <w:shd w:val="clear" w:color="auto" w:fill="auto"/>
            <w:vAlign w:val="center"/>
          </w:tcPr>
          <w:p w14:paraId="38387CEE" w14:textId="50D0CCE6" w:rsidR="0035329A" w:rsidRPr="001B4CA2" w:rsidRDefault="0035329A" w:rsidP="00906F3F">
            <w:pPr>
              <w:jc w:val="left"/>
              <w:rPr>
                <w:rFonts w:eastAsia="Calibri"/>
                <w:sz w:val="18"/>
                <w:szCs w:val="18"/>
                <w:lang w:eastAsia="hr-HR"/>
              </w:rPr>
            </w:pPr>
            <w:r w:rsidRPr="001B4CA2">
              <w:rPr>
                <w:rFonts w:eastAsia="Times New Roman"/>
                <w:color w:val="000000"/>
                <w:sz w:val="18"/>
                <w:szCs w:val="18"/>
                <w:lang w:eastAsia="hr-HR"/>
              </w:rPr>
              <w:t>Subvencijska prijevara čl. 258. KZ</w:t>
            </w:r>
          </w:p>
        </w:tc>
        <w:tc>
          <w:tcPr>
            <w:tcW w:w="1337" w:type="dxa"/>
            <w:shd w:val="clear" w:color="auto" w:fill="auto"/>
            <w:vAlign w:val="center"/>
          </w:tcPr>
          <w:p w14:paraId="6A1D9ACA" w14:textId="1E013E5C" w:rsidR="0035329A" w:rsidRPr="001B4CA2" w:rsidRDefault="00255799" w:rsidP="00906F3F">
            <w:pPr>
              <w:jc w:val="center"/>
              <w:rPr>
                <w:rFonts w:eastAsia="Calibri"/>
                <w:sz w:val="18"/>
                <w:szCs w:val="18"/>
                <w:lang w:eastAsia="hr-HR"/>
              </w:rPr>
            </w:pPr>
            <w:r w:rsidRPr="001B4CA2">
              <w:rPr>
                <w:rFonts w:eastAsia="Calibri"/>
                <w:sz w:val="18"/>
                <w:szCs w:val="18"/>
                <w:lang w:eastAsia="hr-HR"/>
              </w:rPr>
              <w:t>31</w:t>
            </w:r>
          </w:p>
        </w:tc>
        <w:tc>
          <w:tcPr>
            <w:tcW w:w="1337" w:type="dxa"/>
            <w:shd w:val="clear" w:color="auto" w:fill="auto"/>
            <w:vAlign w:val="center"/>
          </w:tcPr>
          <w:p w14:paraId="0CC8198B" w14:textId="5881947D" w:rsidR="0035329A" w:rsidRPr="001B4CA2" w:rsidRDefault="00255799" w:rsidP="00906F3F">
            <w:pPr>
              <w:jc w:val="center"/>
              <w:rPr>
                <w:rFonts w:eastAsia="Calibri"/>
                <w:sz w:val="18"/>
                <w:szCs w:val="18"/>
                <w:lang w:eastAsia="hr-HR"/>
              </w:rPr>
            </w:pPr>
            <w:r w:rsidRPr="001B4CA2">
              <w:rPr>
                <w:rFonts w:eastAsia="Calibri"/>
                <w:sz w:val="18"/>
                <w:szCs w:val="18"/>
                <w:lang w:eastAsia="hr-HR"/>
              </w:rPr>
              <w:t>3</w:t>
            </w:r>
          </w:p>
        </w:tc>
        <w:tc>
          <w:tcPr>
            <w:tcW w:w="1337" w:type="dxa"/>
            <w:vAlign w:val="center"/>
          </w:tcPr>
          <w:p w14:paraId="5FBADD23" w14:textId="640BB01B" w:rsidR="0035329A" w:rsidRPr="001B4CA2" w:rsidRDefault="00255799" w:rsidP="00906F3F">
            <w:pPr>
              <w:jc w:val="center"/>
              <w:rPr>
                <w:rFonts w:eastAsia="Calibri"/>
                <w:sz w:val="18"/>
                <w:szCs w:val="18"/>
                <w:lang w:eastAsia="hr-HR"/>
              </w:rPr>
            </w:pPr>
            <w:r w:rsidRPr="001B4CA2">
              <w:rPr>
                <w:rFonts w:eastAsia="Calibri"/>
                <w:sz w:val="18"/>
                <w:szCs w:val="18"/>
                <w:lang w:eastAsia="hr-HR"/>
              </w:rPr>
              <w:t>14</w:t>
            </w:r>
          </w:p>
        </w:tc>
        <w:tc>
          <w:tcPr>
            <w:tcW w:w="1337" w:type="dxa"/>
            <w:vAlign w:val="center"/>
          </w:tcPr>
          <w:p w14:paraId="65F9B06F" w14:textId="67724444" w:rsidR="0035329A" w:rsidRPr="001B4CA2" w:rsidRDefault="00255799" w:rsidP="00906F3F">
            <w:pPr>
              <w:jc w:val="center"/>
              <w:rPr>
                <w:rFonts w:eastAsia="Calibri"/>
                <w:sz w:val="18"/>
                <w:szCs w:val="18"/>
                <w:lang w:eastAsia="hr-HR"/>
              </w:rPr>
            </w:pPr>
            <w:r w:rsidRPr="001B4CA2">
              <w:rPr>
                <w:rFonts w:eastAsia="Calibri"/>
                <w:sz w:val="18"/>
                <w:szCs w:val="18"/>
                <w:lang w:eastAsia="hr-HR"/>
              </w:rPr>
              <w:t>7</w:t>
            </w:r>
          </w:p>
        </w:tc>
      </w:tr>
      <w:tr w:rsidR="0035329A" w:rsidRPr="001B4CA2" w14:paraId="1470E603" w14:textId="77777777" w:rsidTr="00903B41">
        <w:trPr>
          <w:trHeight w:val="394"/>
          <w:jc w:val="center"/>
        </w:trPr>
        <w:tc>
          <w:tcPr>
            <w:tcW w:w="3272" w:type="dxa"/>
            <w:shd w:val="clear" w:color="auto" w:fill="auto"/>
            <w:vAlign w:val="center"/>
          </w:tcPr>
          <w:p w14:paraId="1F48812A" w14:textId="7EBB27DF" w:rsidR="0035329A" w:rsidRPr="001B4CA2" w:rsidRDefault="0035329A" w:rsidP="00906F3F">
            <w:pPr>
              <w:jc w:val="left"/>
              <w:rPr>
                <w:rFonts w:eastAsia="Calibri"/>
                <w:sz w:val="18"/>
                <w:szCs w:val="18"/>
                <w:lang w:eastAsia="hr-HR"/>
              </w:rPr>
            </w:pPr>
            <w:r w:rsidRPr="001B4CA2">
              <w:rPr>
                <w:rFonts w:eastAsia="Times New Roman"/>
                <w:color w:val="000000"/>
                <w:sz w:val="18"/>
                <w:szCs w:val="18"/>
                <w:lang w:eastAsia="hr-HR"/>
              </w:rPr>
              <w:t>Ne</w:t>
            </w:r>
            <w:r w:rsidR="00F47D60">
              <w:rPr>
                <w:rFonts w:eastAsia="Times New Roman"/>
                <w:color w:val="000000"/>
                <w:sz w:val="18"/>
                <w:szCs w:val="18"/>
                <w:lang w:eastAsia="hr-HR"/>
              </w:rPr>
              <w:t>dopušten</w:t>
            </w:r>
            <w:r w:rsidRPr="001B4CA2">
              <w:rPr>
                <w:rFonts w:eastAsia="Times New Roman"/>
                <w:color w:val="000000"/>
                <w:sz w:val="18"/>
                <w:szCs w:val="18"/>
                <w:lang w:eastAsia="hr-HR"/>
              </w:rPr>
              <w:t>a trgovina čl. 264 KZ</w:t>
            </w:r>
          </w:p>
        </w:tc>
        <w:tc>
          <w:tcPr>
            <w:tcW w:w="1337" w:type="dxa"/>
            <w:shd w:val="clear" w:color="auto" w:fill="auto"/>
            <w:vAlign w:val="center"/>
          </w:tcPr>
          <w:p w14:paraId="3B8FE746" w14:textId="03E071FC" w:rsidR="0035329A" w:rsidRPr="001B4CA2" w:rsidRDefault="00255799" w:rsidP="00906F3F">
            <w:pPr>
              <w:jc w:val="center"/>
              <w:rPr>
                <w:rFonts w:eastAsia="Calibri"/>
                <w:sz w:val="18"/>
                <w:szCs w:val="18"/>
                <w:lang w:eastAsia="hr-HR"/>
              </w:rPr>
            </w:pPr>
            <w:r w:rsidRPr="001B4CA2">
              <w:rPr>
                <w:rFonts w:eastAsia="Calibri"/>
                <w:sz w:val="18"/>
                <w:szCs w:val="18"/>
                <w:lang w:eastAsia="hr-HR"/>
              </w:rPr>
              <w:t>317</w:t>
            </w:r>
          </w:p>
        </w:tc>
        <w:tc>
          <w:tcPr>
            <w:tcW w:w="1337" w:type="dxa"/>
            <w:shd w:val="clear" w:color="auto" w:fill="auto"/>
            <w:vAlign w:val="center"/>
          </w:tcPr>
          <w:p w14:paraId="1AA8390E" w14:textId="445AFD40" w:rsidR="0035329A" w:rsidRPr="001B4CA2" w:rsidRDefault="00255799" w:rsidP="00906F3F">
            <w:pPr>
              <w:jc w:val="center"/>
              <w:rPr>
                <w:rFonts w:eastAsia="Calibri"/>
                <w:sz w:val="18"/>
                <w:szCs w:val="18"/>
                <w:lang w:eastAsia="hr-HR"/>
              </w:rPr>
            </w:pPr>
            <w:r w:rsidRPr="001B4CA2">
              <w:rPr>
                <w:rFonts w:eastAsia="Calibri"/>
                <w:sz w:val="18"/>
                <w:szCs w:val="18"/>
                <w:lang w:eastAsia="hr-HR"/>
              </w:rPr>
              <w:t>12</w:t>
            </w:r>
          </w:p>
        </w:tc>
        <w:tc>
          <w:tcPr>
            <w:tcW w:w="1337" w:type="dxa"/>
            <w:vAlign w:val="center"/>
          </w:tcPr>
          <w:p w14:paraId="42A192A5" w14:textId="105E8FE2" w:rsidR="0035329A" w:rsidRPr="001B4CA2" w:rsidRDefault="00255799" w:rsidP="00906F3F">
            <w:pPr>
              <w:jc w:val="center"/>
              <w:rPr>
                <w:rFonts w:eastAsia="Calibri"/>
                <w:sz w:val="18"/>
                <w:szCs w:val="18"/>
                <w:lang w:eastAsia="hr-HR"/>
              </w:rPr>
            </w:pPr>
            <w:r w:rsidRPr="001B4CA2">
              <w:rPr>
                <w:rFonts w:eastAsia="Calibri"/>
                <w:sz w:val="18"/>
                <w:szCs w:val="18"/>
                <w:lang w:eastAsia="hr-HR"/>
              </w:rPr>
              <w:t>236</w:t>
            </w:r>
          </w:p>
        </w:tc>
        <w:tc>
          <w:tcPr>
            <w:tcW w:w="1337" w:type="dxa"/>
            <w:vAlign w:val="center"/>
          </w:tcPr>
          <w:p w14:paraId="4B83A57F" w14:textId="2A282E62" w:rsidR="0035329A" w:rsidRPr="001B4CA2" w:rsidRDefault="00255799" w:rsidP="00906F3F">
            <w:pPr>
              <w:jc w:val="center"/>
              <w:rPr>
                <w:rFonts w:eastAsia="Calibri"/>
                <w:sz w:val="18"/>
                <w:szCs w:val="18"/>
                <w:lang w:eastAsia="hr-HR"/>
              </w:rPr>
            </w:pPr>
            <w:r w:rsidRPr="001B4CA2">
              <w:rPr>
                <w:rFonts w:eastAsia="Calibri"/>
                <w:sz w:val="18"/>
                <w:szCs w:val="18"/>
                <w:lang w:eastAsia="hr-HR"/>
              </w:rPr>
              <w:t>220</w:t>
            </w:r>
          </w:p>
        </w:tc>
      </w:tr>
      <w:tr w:rsidR="0035329A" w:rsidRPr="001B4CA2" w14:paraId="04477BF0" w14:textId="77777777" w:rsidTr="00903B41">
        <w:trPr>
          <w:trHeight w:val="394"/>
          <w:jc w:val="center"/>
        </w:trPr>
        <w:tc>
          <w:tcPr>
            <w:tcW w:w="3272" w:type="dxa"/>
            <w:shd w:val="clear" w:color="auto" w:fill="auto"/>
            <w:vAlign w:val="center"/>
          </w:tcPr>
          <w:p w14:paraId="58DA3461" w14:textId="1E598549" w:rsidR="0035329A" w:rsidRPr="001B4CA2" w:rsidRDefault="0035329A" w:rsidP="00906F3F">
            <w:pPr>
              <w:jc w:val="left"/>
              <w:rPr>
                <w:rFonts w:eastAsia="Calibri"/>
                <w:sz w:val="18"/>
                <w:szCs w:val="18"/>
                <w:lang w:eastAsia="hr-HR"/>
              </w:rPr>
            </w:pPr>
            <w:r w:rsidRPr="001B4CA2">
              <w:rPr>
                <w:rFonts w:eastAsia="Times New Roman"/>
                <w:color w:val="000000"/>
                <w:sz w:val="18"/>
                <w:szCs w:val="18"/>
                <w:lang w:eastAsia="hr-HR"/>
              </w:rPr>
              <w:t>Pranje novca čl. 265. KZ</w:t>
            </w:r>
          </w:p>
        </w:tc>
        <w:tc>
          <w:tcPr>
            <w:tcW w:w="1337" w:type="dxa"/>
            <w:shd w:val="clear" w:color="auto" w:fill="auto"/>
            <w:vAlign w:val="center"/>
          </w:tcPr>
          <w:p w14:paraId="4618644D" w14:textId="1F602A88" w:rsidR="0035329A" w:rsidRPr="001B4CA2" w:rsidRDefault="00255799" w:rsidP="00906F3F">
            <w:pPr>
              <w:jc w:val="center"/>
              <w:rPr>
                <w:rFonts w:eastAsia="Calibri"/>
                <w:sz w:val="18"/>
                <w:szCs w:val="18"/>
                <w:lang w:eastAsia="hr-HR"/>
              </w:rPr>
            </w:pPr>
            <w:r w:rsidRPr="001B4CA2">
              <w:rPr>
                <w:rFonts w:eastAsia="Calibri"/>
                <w:sz w:val="18"/>
                <w:szCs w:val="18"/>
                <w:lang w:eastAsia="hr-HR"/>
              </w:rPr>
              <w:t>84</w:t>
            </w:r>
          </w:p>
        </w:tc>
        <w:tc>
          <w:tcPr>
            <w:tcW w:w="1337" w:type="dxa"/>
            <w:shd w:val="clear" w:color="auto" w:fill="auto"/>
            <w:vAlign w:val="center"/>
          </w:tcPr>
          <w:p w14:paraId="30CCA980" w14:textId="4E1E9F89" w:rsidR="0035329A" w:rsidRPr="001B4CA2" w:rsidRDefault="00255799" w:rsidP="00906F3F">
            <w:pPr>
              <w:jc w:val="center"/>
              <w:rPr>
                <w:rFonts w:eastAsia="Calibri"/>
                <w:sz w:val="18"/>
                <w:szCs w:val="18"/>
                <w:lang w:eastAsia="hr-HR"/>
              </w:rPr>
            </w:pPr>
            <w:r w:rsidRPr="001B4CA2">
              <w:rPr>
                <w:rFonts w:eastAsia="Calibri"/>
                <w:sz w:val="18"/>
                <w:szCs w:val="18"/>
                <w:lang w:eastAsia="hr-HR"/>
              </w:rPr>
              <w:t>9</w:t>
            </w:r>
          </w:p>
        </w:tc>
        <w:tc>
          <w:tcPr>
            <w:tcW w:w="1337" w:type="dxa"/>
            <w:vAlign w:val="center"/>
          </w:tcPr>
          <w:p w14:paraId="368F70F0" w14:textId="422533C1" w:rsidR="0035329A" w:rsidRPr="001B4CA2" w:rsidRDefault="00D911AE" w:rsidP="00906F3F">
            <w:pPr>
              <w:jc w:val="center"/>
              <w:rPr>
                <w:rFonts w:eastAsia="Calibri"/>
                <w:sz w:val="18"/>
                <w:szCs w:val="18"/>
                <w:lang w:eastAsia="hr-HR"/>
              </w:rPr>
            </w:pPr>
            <w:r w:rsidRPr="001B4CA2">
              <w:rPr>
                <w:rFonts w:eastAsia="Calibri"/>
                <w:sz w:val="18"/>
                <w:szCs w:val="18"/>
                <w:lang w:eastAsia="hr-HR"/>
              </w:rPr>
              <w:t>1</w:t>
            </w:r>
            <w:r w:rsidR="00255799" w:rsidRPr="001B4CA2">
              <w:rPr>
                <w:rFonts w:eastAsia="Calibri"/>
                <w:sz w:val="18"/>
                <w:szCs w:val="18"/>
                <w:lang w:eastAsia="hr-HR"/>
              </w:rPr>
              <w:t>0</w:t>
            </w:r>
          </w:p>
        </w:tc>
        <w:tc>
          <w:tcPr>
            <w:tcW w:w="1337" w:type="dxa"/>
            <w:vAlign w:val="center"/>
          </w:tcPr>
          <w:p w14:paraId="37EC6E12" w14:textId="1B6D57F9" w:rsidR="0035329A" w:rsidRPr="001B4CA2" w:rsidRDefault="00255799" w:rsidP="00906F3F">
            <w:pPr>
              <w:jc w:val="center"/>
              <w:rPr>
                <w:rFonts w:eastAsia="Calibri"/>
                <w:sz w:val="18"/>
                <w:szCs w:val="18"/>
                <w:lang w:eastAsia="hr-HR"/>
              </w:rPr>
            </w:pPr>
            <w:r w:rsidRPr="001B4CA2">
              <w:rPr>
                <w:rFonts w:eastAsia="Calibri"/>
                <w:sz w:val="18"/>
                <w:szCs w:val="18"/>
                <w:lang w:eastAsia="hr-HR"/>
              </w:rPr>
              <w:t>8</w:t>
            </w:r>
          </w:p>
        </w:tc>
      </w:tr>
      <w:tr w:rsidR="0035329A" w:rsidRPr="001B4CA2" w14:paraId="30AC06E4" w14:textId="77777777" w:rsidTr="00903B41">
        <w:trPr>
          <w:trHeight w:val="394"/>
          <w:jc w:val="center"/>
        </w:trPr>
        <w:tc>
          <w:tcPr>
            <w:tcW w:w="3272" w:type="dxa"/>
            <w:shd w:val="clear" w:color="auto" w:fill="auto"/>
            <w:vAlign w:val="center"/>
          </w:tcPr>
          <w:p w14:paraId="4745B6FA" w14:textId="1D4D171A" w:rsidR="0035329A" w:rsidRPr="001B4CA2" w:rsidRDefault="0035329A" w:rsidP="00906F3F">
            <w:pPr>
              <w:jc w:val="left"/>
              <w:rPr>
                <w:rFonts w:eastAsia="Calibri"/>
                <w:sz w:val="18"/>
                <w:szCs w:val="18"/>
                <w:lang w:eastAsia="hr-HR"/>
              </w:rPr>
            </w:pPr>
            <w:r w:rsidRPr="001B4CA2">
              <w:rPr>
                <w:rFonts w:eastAsia="Times New Roman"/>
                <w:color w:val="000000"/>
                <w:sz w:val="18"/>
                <w:szCs w:val="18"/>
                <w:lang w:eastAsia="hr-HR"/>
              </w:rPr>
              <w:t>Ostala kaznena djela</w:t>
            </w:r>
          </w:p>
        </w:tc>
        <w:tc>
          <w:tcPr>
            <w:tcW w:w="1337" w:type="dxa"/>
            <w:shd w:val="clear" w:color="auto" w:fill="auto"/>
            <w:vAlign w:val="center"/>
          </w:tcPr>
          <w:p w14:paraId="588968D0" w14:textId="169C5BF8" w:rsidR="0035329A" w:rsidRPr="001B4CA2" w:rsidRDefault="00255799" w:rsidP="00906F3F">
            <w:pPr>
              <w:jc w:val="center"/>
              <w:rPr>
                <w:rFonts w:eastAsia="Calibri"/>
                <w:sz w:val="18"/>
                <w:szCs w:val="18"/>
                <w:lang w:eastAsia="hr-HR"/>
              </w:rPr>
            </w:pPr>
            <w:r w:rsidRPr="001B4CA2">
              <w:rPr>
                <w:rFonts w:eastAsia="Calibri"/>
                <w:sz w:val="18"/>
                <w:szCs w:val="18"/>
                <w:lang w:eastAsia="hr-HR"/>
              </w:rPr>
              <w:t>59</w:t>
            </w:r>
          </w:p>
        </w:tc>
        <w:tc>
          <w:tcPr>
            <w:tcW w:w="1337" w:type="dxa"/>
            <w:shd w:val="clear" w:color="auto" w:fill="auto"/>
            <w:vAlign w:val="center"/>
          </w:tcPr>
          <w:p w14:paraId="2A86E528" w14:textId="06D26809" w:rsidR="0035329A" w:rsidRPr="001B4CA2" w:rsidRDefault="00255799" w:rsidP="00906F3F">
            <w:pPr>
              <w:jc w:val="center"/>
              <w:rPr>
                <w:rFonts w:eastAsia="Calibri"/>
                <w:sz w:val="18"/>
                <w:szCs w:val="18"/>
                <w:lang w:eastAsia="hr-HR"/>
              </w:rPr>
            </w:pPr>
            <w:r w:rsidRPr="001B4CA2">
              <w:rPr>
                <w:rFonts w:eastAsia="Calibri"/>
                <w:sz w:val="18"/>
                <w:szCs w:val="18"/>
                <w:lang w:eastAsia="hr-HR"/>
              </w:rPr>
              <w:t>29</w:t>
            </w:r>
          </w:p>
        </w:tc>
        <w:tc>
          <w:tcPr>
            <w:tcW w:w="1337" w:type="dxa"/>
            <w:vAlign w:val="center"/>
          </w:tcPr>
          <w:p w14:paraId="1411F119" w14:textId="0CE834EF" w:rsidR="0035329A" w:rsidRPr="001B4CA2" w:rsidRDefault="00255799" w:rsidP="00906F3F">
            <w:pPr>
              <w:jc w:val="center"/>
              <w:rPr>
                <w:rFonts w:eastAsia="Calibri"/>
                <w:sz w:val="18"/>
                <w:szCs w:val="18"/>
                <w:lang w:eastAsia="hr-HR"/>
              </w:rPr>
            </w:pPr>
            <w:r w:rsidRPr="001B4CA2">
              <w:rPr>
                <w:rFonts w:eastAsia="Calibri"/>
                <w:sz w:val="18"/>
                <w:szCs w:val="18"/>
                <w:lang w:eastAsia="hr-HR"/>
              </w:rPr>
              <w:t>20</w:t>
            </w:r>
          </w:p>
        </w:tc>
        <w:tc>
          <w:tcPr>
            <w:tcW w:w="1337" w:type="dxa"/>
            <w:vAlign w:val="center"/>
          </w:tcPr>
          <w:p w14:paraId="0F5AFD17" w14:textId="2252EE18" w:rsidR="0035329A" w:rsidRPr="001B4CA2" w:rsidRDefault="0035329A" w:rsidP="00906F3F">
            <w:pPr>
              <w:jc w:val="center"/>
              <w:rPr>
                <w:rFonts w:eastAsia="Calibri"/>
                <w:sz w:val="18"/>
                <w:szCs w:val="18"/>
                <w:lang w:eastAsia="hr-HR"/>
              </w:rPr>
            </w:pPr>
          </w:p>
        </w:tc>
      </w:tr>
      <w:tr w:rsidR="0035329A" w:rsidRPr="001B4CA2" w14:paraId="314EC564" w14:textId="36F27A1A" w:rsidTr="00903B41">
        <w:trPr>
          <w:trHeight w:val="394"/>
          <w:jc w:val="center"/>
        </w:trPr>
        <w:tc>
          <w:tcPr>
            <w:tcW w:w="3272" w:type="dxa"/>
            <w:shd w:val="clear" w:color="auto" w:fill="auto"/>
            <w:vAlign w:val="center"/>
          </w:tcPr>
          <w:p w14:paraId="5AB0117D" w14:textId="29540CB6" w:rsidR="0035329A" w:rsidRPr="001B4CA2" w:rsidRDefault="0035329A" w:rsidP="00A2623D">
            <w:pPr>
              <w:jc w:val="left"/>
              <w:rPr>
                <w:rFonts w:eastAsia="Calibri"/>
                <w:b/>
                <w:sz w:val="18"/>
                <w:szCs w:val="18"/>
                <w:lang w:eastAsia="hr-HR"/>
              </w:rPr>
            </w:pPr>
            <w:r w:rsidRPr="001B4CA2">
              <w:rPr>
                <w:rFonts w:eastAsia="Calibri"/>
                <w:b/>
                <w:sz w:val="18"/>
                <w:szCs w:val="18"/>
                <w:lang w:eastAsia="hr-HR"/>
              </w:rPr>
              <w:t>UKUPNO</w:t>
            </w:r>
          </w:p>
        </w:tc>
        <w:tc>
          <w:tcPr>
            <w:tcW w:w="1337" w:type="dxa"/>
            <w:shd w:val="clear" w:color="auto" w:fill="auto"/>
            <w:vAlign w:val="center"/>
          </w:tcPr>
          <w:p w14:paraId="2F9BE039" w14:textId="7035F19A" w:rsidR="0035329A" w:rsidRPr="001B4CA2" w:rsidRDefault="00D911AE" w:rsidP="00906F3F">
            <w:pPr>
              <w:jc w:val="center"/>
              <w:rPr>
                <w:rFonts w:eastAsia="Calibri"/>
                <w:b/>
                <w:sz w:val="18"/>
                <w:szCs w:val="18"/>
                <w:lang w:eastAsia="hr-HR"/>
              </w:rPr>
            </w:pPr>
            <w:r w:rsidRPr="001B4CA2">
              <w:rPr>
                <w:rFonts w:eastAsia="Calibri"/>
                <w:b/>
                <w:sz w:val="18"/>
                <w:szCs w:val="18"/>
                <w:lang w:eastAsia="hr-HR"/>
              </w:rPr>
              <w:t>3.</w:t>
            </w:r>
            <w:r w:rsidR="00255799" w:rsidRPr="001B4CA2">
              <w:rPr>
                <w:rFonts w:eastAsia="Calibri"/>
                <w:b/>
                <w:sz w:val="18"/>
                <w:szCs w:val="18"/>
                <w:lang w:eastAsia="hr-HR"/>
              </w:rPr>
              <w:t>302</w:t>
            </w:r>
          </w:p>
        </w:tc>
        <w:tc>
          <w:tcPr>
            <w:tcW w:w="1337" w:type="dxa"/>
            <w:shd w:val="clear" w:color="auto" w:fill="auto"/>
            <w:vAlign w:val="center"/>
          </w:tcPr>
          <w:p w14:paraId="09F5AF32" w14:textId="2FCFCFA1" w:rsidR="0035329A" w:rsidRPr="001B4CA2" w:rsidRDefault="00D911AE" w:rsidP="00906F3F">
            <w:pPr>
              <w:jc w:val="center"/>
              <w:rPr>
                <w:rFonts w:eastAsia="Calibri"/>
                <w:b/>
                <w:sz w:val="18"/>
                <w:szCs w:val="18"/>
                <w:lang w:eastAsia="hr-HR"/>
              </w:rPr>
            </w:pPr>
            <w:r w:rsidRPr="001B4CA2">
              <w:rPr>
                <w:rFonts w:eastAsia="Calibri"/>
                <w:b/>
                <w:sz w:val="18"/>
                <w:szCs w:val="18"/>
                <w:lang w:eastAsia="hr-HR"/>
              </w:rPr>
              <w:t>1.</w:t>
            </w:r>
            <w:r w:rsidR="00255799" w:rsidRPr="001B4CA2">
              <w:rPr>
                <w:rFonts w:eastAsia="Calibri"/>
                <w:b/>
                <w:sz w:val="18"/>
                <w:szCs w:val="18"/>
                <w:lang w:eastAsia="hr-HR"/>
              </w:rPr>
              <w:t>004</w:t>
            </w:r>
          </w:p>
        </w:tc>
        <w:tc>
          <w:tcPr>
            <w:tcW w:w="1337" w:type="dxa"/>
            <w:vAlign w:val="center"/>
          </w:tcPr>
          <w:p w14:paraId="24CE979C" w14:textId="170137B8" w:rsidR="0035329A" w:rsidRPr="001B4CA2" w:rsidRDefault="00255799" w:rsidP="000F33F3">
            <w:pPr>
              <w:jc w:val="center"/>
              <w:rPr>
                <w:rFonts w:eastAsia="Calibri"/>
                <w:b/>
                <w:sz w:val="18"/>
                <w:szCs w:val="18"/>
                <w:lang w:eastAsia="hr-HR"/>
              </w:rPr>
            </w:pPr>
            <w:r w:rsidRPr="001B4CA2">
              <w:rPr>
                <w:rFonts w:eastAsia="Calibri"/>
                <w:b/>
                <w:sz w:val="18"/>
                <w:szCs w:val="18"/>
                <w:lang w:eastAsia="hr-HR"/>
              </w:rPr>
              <w:t>907</w:t>
            </w:r>
          </w:p>
        </w:tc>
        <w:tc>
          <w:tcPr>
            <w:tcW w:w="1337" w:type="dxa"/>
            <w:vAlign w:val="center"/>
          </w:tcPr>
          <w:p w14:paraId="0F4300E1" w14:textId="2F47FE41" w:rsidR="0035329A" w:rsidRPr="001B4CA2" w:rsidRDefault="00255799" w:rsidP="00953C0A">
            <w:pPr>
              <w:jc w:val="center"/>
              <w:rPr>
                <w:rFonts w:eastAsia="Calibri"/>
                <w:b/>
                <w:sz w:val="18"/>
                <w:szCs w:val="18"/>
                <w:lang w:eastAsia="hr-HR"/>
              </w:rPr>
            </w:pPr>
            <w:r w:rsidRPr="001B4CA2">
              <w:rPr>
                <w:rFonts w:eastAsia="Calibri"/>
                <w:b/>
                <w:sz w:val="18"/>
                <w:szCs w:val="18"/>
                <w:lang w:eastAsia="hr-HR"/>
              </w:rPr>
              <w:t>718</w:t>
            </w:r>
          </w:p>
        </w:tc>
      </w:tr>
    </w:tbl>
    <w:p w14:paraId="7B8323FA" w14:textId="77777777" w:rsidR="00FB0AE6" w:rsidRPr="001B4CA2" w:rsidRDefault="00FB0AE6" w:rsidP="00C5203C"/>
    <w:p w14:paraId="18298C8C" w14:textId="34396D68" w:rsidR="00255799" w:rsidRPr="001B4CA2" w:rsidRDefault="00255799" w:rsidP="00255799">
      <w:pPr>
        <w:ind w:firstLine="708"/>
      </w:pPr>
      <w:r w:rsidRPr="001B4CA2">
        <w:t xml:space="preserve">Najviše kaznenih prijava i u ovom izvještajnom razdoblju </w:t>
      </w:r>
      <w:r w:rsidR="00D22E4A" w:rsidRPr="001B4CA2">
        <w:t xml:space="preserve">odbačeno </w:t>
      </w:r>
      <w:r w:rsidRPr="001B4CA2">
        <w:t>je zbog kaznenog djela prijevare u gospodarskom poslovanju iz čl. 247. KZ</w:t>
      </w:r>
      <w:r w:rsidR="00D22E4A">
        <w:t>,</w:t>
      </w:r>
      <w:r w:rsidRPr="001B4CA2">
        <w:t xml:space="preserve"> i to 565 prijava ili 56,27</w:t>
      </w:r>
      <w:r w:rsidR="00310778">
        <w:t> </w:t>
      </w:r>
      <w:r w:rsidRPr="001B4CA2">
        <w:t>% svih odbačenih prijava, te kaznenog djela zlouporabe povjerenja u gospodarskom poslovanju iz čl. 246. KZ</w:t>
      </w:r>
      <w:r w:rsidR="00D22E4A">
        <w:t>,</w:t>
      </w:r>
      <w:r w:rsidRPr="001B4CA2">
        <w:t xml:space="preserve"> zbog kojeg je odbačeno 248 prijava ili 24,70</w:t>
      </w:r>
      <w:r w:rsidR="00310778">
        <w:t> </w:t>
      </w:r>
      <w:r w:rsidRPr="001B4CA2">
        <w:t>% svih odbačenih prijava, a zbog kaznenog djela utaje poreza ili carine iz čl. 256. KZ, 85 prijava ili 8,46</w:t>
      </w:r>
      <w:r w:rsidR="00310778">
        <w:t> </w:t>
      </w:r>
      <w:r w:rsidRPr="001B4CA2">
        <w:t>% svih odbačenih prijava, pa se 89,44</w:t>
      </w:r>
      <w:r w:rsidR="00310778">
        <w:t> </w:t>
      </w:r>
      <w:r w:rsidRPr="001B4CA2">
        <w:t xml:space="preserve">% svih odbačenih prijava odnosi samo na ova tri kaznena djela. </w:t>
      </w:r>
    </w:p>
    <w:p w14:paraId="0D019461" w14:textId="77777777" w:rsidR="00255799" w:rsidRPr="001B4CA2" w:rsidRDefault="00255799" w:rsidP="00255799"/>
    <w:p w14:paraId="10A60596" w14:textId="1CC7DC3D" w:rsidR="00255799" w:rsidRPr="001B4CA2" w:rsidRDefault="00255799" w:rsidP="00255799">
      <w:r w:rsidRPr="001B4CA2">
        <w:tab/>
        <w:t xml:space="preserve">Od ukupnog broja odbačenih prijava 309 prijava odbačeno </w:t>
      </w:r>
      <w:r w:rsidR="00D22E4A" w:rsidRPr="001B4CA2">
        <w:t xml:space="preserve">je </w:t>
      </w:r>
      <w:r w:rsidRPr="001B4CA2">
        <w:t>protiv pravnih osoba, od čega je samo zbog kaznenog djela prijevare u gospodarskom poslovanju iz čl. 247. KZ odbačeno 195 prijava ili 63,10</w:t>
      </w:r>
      <w:r w:rsidR="00310778">
        <w:t> </w:t>
      </w:r>
      <w:r w:rsidRPr="001B4CA2">
        <w:t>% svih odbačenih prijava protiv pravnih osoba, a zatim zbog kaznenog djela zlouporabe povjerenja u gospodarskom poslovanju iz čl. 246. KZ, 50 prijava ili 16,18</w:t>
      </w:r>
      <w:r w:rsidR="00310778">
        <w:t> </w:t>
      </w:r>
      <w:r w:rsidRPr="001B4CA2">
        <w:t>% te zbog kaznenog djela utaje poreza ili carine iz čl. 256. KZ, 40 prijava ili 12,94</w:t>
      </w:r>
      <w:r w:rsidR="00310778">
        <w:t> </w:t>
      </w:r>
      <w:r w:rsidRPr="001B4CA2">
        <w:t xml:space="preserve">% svih odbačenih prijava protiv pravnih osoba. </w:t>
      </w:r>
    </w:p>
    <w:p w14:paraId="4C3115BF" w14:textId="77777777" w:rsidR="00255799" w:rsidRPr="001B4CA2" w:rsidRDefault="00255799" w:rsidP="00255799"/>
    <w:p w14:paraId="121C1A74" w14:textId="77777777" w:rsidR="00255799" w:rsidRPr="001B4CA2" w:rsidRDefault="00255799" w:rsidP="00255799">
      <w:r w:rsidRPr="001B4CA2">
        <w:tab/>
        <w:t xml:space="preserve">U svim prethodnim izvještajnim razdobljima isticani su razlozi visokog udjela negativnih odluka i brojnih poteškoća u radu po prijavama zbog gospodarskih kaznenih djela zbog kojih je njihovo utvrđivanje i dokazivanje izrazito otežano. </w:t>
      </w:r>
    </w:p>
    <w:p w14:paraId="5B2F945A" w14:textId="77777777" w:rsidR="00255799" w:rsidRPr="001B4CA2" w:rsidRDefault="00255799" w:rsidP="00255799"/>
    <w:p w14:paraId="4B5B3416" w14:textId="7505B2DA" w:rsidR="00255799" w:rsidRPr="001B4CA2" w:rsidRDefault="00255799" w:rsidP="00255799">
      <w:r w:rsidRPr="001B4CA2">
        <w:tab/>
        <w:t xml:space="preserve">Kaznene prijave za većinu kaznenih djela u većem dijelu podnose oštećenici, često više godina nakon počinjenja kaznenog djela, bez odgovarajuće potrebne dokumentacije koja bi potkrijepila osnovanost prijava, a do koje je naknadno teško ili nemoguće doći jer su istekli zakonski rokovi za njezino čuvanje ili je uništena ili prikrivena od strane vlasnika i odgovornih osoba trgovačkih društava, pa se pokušava barem dio dokumentacije te potrebne i korisne podatke pribaviti putem banaka i drugih tijela. Također, sve je veći broj prijava za kaznena djela počinjena od </w:t>
      </w:r>
      <w:r w:rsidRPr="001B4CA2">
        <w:lastRenderedPageBreak/>
        <w:t>stranih državljana kao odgovornih osoba trgovačkih društava sa sjedištem u Republici Hrvatskoj te vezana za poslovne odnose s inozemnim pravnim subjektima, pa je dokumentaciju nužno pribavljati posredstvom međunarodne pravne pomoći</w:t>
      </w:r>
      <w:r w:rsidR="00D22E4A">
        <w:t>,</w:t>
      </w:r>
      <w:r w:rsidRPr="001B4CA2">
        <w:t xml:space="preserve"> odnosno Europskog istražnog naloga. Dakle, zbog složenosti postupanja, izostanka dokumentacije, involviranja u novčani tijek velikog broja gospodarskih subjekata te često prisutnog međunarodnog elementa</w:t>
      </w:r>
      <w:r w:rsidR="00D22E4A">
        <w:t>,</w:t>
      </w:r>
      <w:r w:rsidRPr="001B4CA2">
        <w:t xml:space="preserve"> što zaht</w:t>
      </w:r>
      <w:r w:rsidR="00D22E4A">
        <w:t>i</w:t>
      </w:r>
      <w:r w:rsidRPr="001B4CA2">
        <w:t xml:space="preserve">jeva dodatni angažman i vrijeme, izvidi za gospodarska kaznena djela, posebno najteže i najsloženija kaznena djela zlouporabe povjerenja u gospodarskom poslovanju iz čl. 246. KZ, kaznena djela utaje poreza ili carine iz čl. 256. KZ i kaznena djela pranja novca iz čl. 265. KZ traju znatno dulje u odnosu na druga kaznena djela. </w:t>
      </w:r>
      <w:r w:rsidR="00D22E4A">
        <w:t>T</w:t>
      </w:r>
      <w:r w:rsidRPr="001B4CA2">
        <w:t xml:space="preserve">e poteškoće utječu ujedno i na mogućnost te trajanje i rezultat knjigovodstveno-financijskih vještačenja koja je kod većine ovih kaznenih djela nužno provoditi i bez kojih u pravilu nije moguće ni donošenje ispravne odluke ni podizanje optužnice. To se sve, uz činjenicu da se radi često o činjenično i pravno vrlo složenim predmetima koje je inače teško dokazivati te koja za kvalitetan rad na </w:t>
      </w:r>
      <w:r w:rsidR="00D22E4A">
        <w:t>njima</w:t>
      </w:r>
      <w:r w:rsidRPr="001B4CA2">
        <w:t xml:space="preserve"> zahtijevaju dodatna potrebna znanja iz područja financija, bankarskog poslovanja, knjigovodstva i dr., u konačnici odražava i na uspjeh u postupku. </w:t>
      </w:r>
    </w:p>
    <w:p w14:paraId="04E9FF58" w14:textId="77777777" w:rsidR="00255799" w:rsidRPr="001B4CA2" w:rsidRDefault="00255799" w:rsidP="00255799"/>
    <w:p w14:paraId="1FF59429" w14:textId="515DE6F0" w:rsidR="00255799" w:rsidRPr="001B4CA2" w:rsidRDefault="00255799" w:rsidP="00255799">
      <w:r w:rsidRPr="001B4CA2">
        <w:tab/>
        <w:t>Vezano za visok udio odbačenih prijava zbog kaznenog djela pr</w:t>
      </w:r>
      <w:r w:rsidR="00D22E4A">
        <w:t>ij</w:t>
      </w:r>
      <w:r w:rsidRPr="001B4CA2">
        <w:t>evare u gospodarskom poslovanju iz čl. 247. KZ, ponovno se konstatira kako glavninu prijava i nadalje podnose oštećena trgovačka društva koja prijetnjom mogućim kaznenim postupkom pokušavaju naplatiti svoja potraživanja proiz</w:t>
      </w:r>
      <w:r w:rsidR="00D22E4A">
        <w:t>i</w:t>
      </w:r>
      <w:r w:rsidRPr="001B4CA2">
        <w:t>šla iz poslovnih odnosa (prometa roba i usluga) s drugim trgovačkim društvima, iako se provedenim izvidima ili dokaznim radnjama utvrdi da nepodmirenje obveza od strane prijavljenih osoba nije rezultat njihov</w:t>
      </w:r>
      <w:r w:rsidR="00D22E4A">
        <w:t>a</w:t>
      </w:r>
      <w:r w:rsidRPr="001B4CA2">
        <w:t xml:space="preserve"> prijevarnog postupanja</w:t>
      </w:r>
      <w:r w:rsidR="00D22E4A">
        <w:t>,</w:t>
      </w:r>
      <w:r w:rsidRPr="001B4CA2">
        <w:t xml:space="preserve"> odnosno kaznenog djela, već naknadno </w:t>
      </w:r>
      <w:proofErr w:type="spellStart"/>
      <w:r w:rsidRPr="001B4CA2">
        <w:t>nastupjelih</w:t>
      </w:r>
      <w:proofErr w:type="spellEnd"/>
      <w:r w:rsidRPr="001B4CA2">
        <w:t xml:space="preserve"> poteškoća u poslovanju i drugih objektivnih okolnosti, zbog čega se u tako velikom postotku prijave odbacuju kao neosnovane. </w:t>
      </w:r>
    </w:p>
    <w:p w14:paraId="2B419D6C" w14:textId="77777777" w:rsidR="00255799" w:rsidRPr="001B4CA2" w:rsidRDefault="00255799" w:rsidP="00255799"/>
    <w:p w14:paraId="0F40F860" w14:textId="7A5924BB" w:rsidR="00255799" w:rsidRPr="001B4CA2" w:rsidRDefault="00255799" w:rsidP="00255799">
      <w:r w:rsidRPr="001B4CA2">
        <w:tab/>
        <w:t>Kada su posrijedi pravne osobe, prijave se odbacuju i iz drugih razloga predviđenih Zakonom o odgovornosti pravnih osoba za kaznena djela, a to su najčešće prestanak postojanja pravne osobe</w:t>
      </w:r>
      <w:r w:rsidR="00D22E4A">
        <w:t>,</w:t>
      </w:r>
      <w:r w:rsidRPr="001B4CA2">
        <w:t xml:space="preserve"> odnosno </w:t>
      </w:r>
      <w:r w:rsidR="00D22E4A">
        <w:t xml:space="preserve">njezino </w:t>
      </w:r>
      <w:r w:rsidRPr="001B4CA2">
        <w:t>brisanje iz trgovačkog registra, što je procesna smetnja za pokretanje i vođenje postupka protiv pravne osobe te u slučaju kada pravna osoba nema imovine ili je tako neznatna da ne bi bila dovoljna ni za pokriće troškova postupka ili pak ako se protiv nje vodi stečajni postupak</w:t>
      </w:r>
      <w:r w:rsidR="00D22E4A">
        <w:t>. O</w:t>
      </w:r>
      <w:r w:rsidRPr="001B4CA2">
        <w:t>sim toga, dio kaznenih prijava protiv pravnih osoba odbacuje se i premda je utvrđena kaznena odgovornost pravne osobe ako prijavljenim kaznenim djelom odgovorne osobe pravna osoba nije ostvarila imovinsku korist ili nije povrijeđena neka dužnost pravne osobe, što su zakonske pretpostavke kažnjivosti pravne osobe sukladno navedenom Zakonu. To su ujedno i razlozi velikog nerazmjera broja prijavljenih te optuženih fizičkih i pravnih osoba.</w:t>
      </w:r>
    </w:p>
    <w:p w14:paraId="71D8855D" w14:textId="77777777" w:rsidR="00255799" w:rsidRPr="001B4CA2" w:rsidRDefault="00255799" w:rsidP="00255799"/>
    <w:p w14:paraId="1A812245" w14:textId="621635F2" w:rsidR="00255799" w:rsidRPr="001B4CA2" w:rsidRDefault="00255799" w:rsidP="00255799">
      <w:pPr>
        <w:ind w:firstLine="708"/>
      </w:pPr>
      <w:r w:rsidRPr="001B4CA2">
        <w:t>Kada se neposrednim optužnicama podignutim povodom kaznene prijave i nakon provedenog istraživanja pribroji 461 optužnica podignuta nakon provedene istrage, proizlazi da je u izvještajnom razdoblju podignuto ukupno 907 optužnica</w:t>
      </w:r>
      <w:r w:rsidR="00D22E4A">
        <w:t>,</w:t>
      </w:r>
      <w:r w:rsidRPr="001B4CA2">
        <w:t xml:space="preserve"> što je za 32 osobe ili 3,4</w:t>
      </w:r>
      <w:r w:rsidR="00310778">
        <w:t> </w:t>
      </w:r>
      <w:r w:rsidRPr="001B4CA2">
        <w:t>% manje u odnosu na 2021., ali više u odnosu na 2020. i 2019. Od ukupno neposrednih optužnica 221 ili 49,39</w:t>
      </w:r>
      <w:r w:rsidR="00310778">
        <w:t> </w:t>
      </w:r>
      <w:r w:rsidRPr="001B4CA2">
        <w:t xml:space="preserve">% je optužnica s kaznenim nalogom, identično kao u prethodnom razdoblju. </w:t>
      </w:r>
    </w:p>
    <w:p w14:paraId="670C70AE" w14:textId="77777777" w:rsidR="00255799" w:rsidRPr="001B4CA2" w:rsidRDefault="00255799" w:rsidP="00255799">
      <w:pPr>
        <w:ind w:firstLine="708"/>
      </w:pPr>
    </w:p>
    <w:p w14:paraId="634BA537" w14:textId="4D75121D" w:rsidR="00255799" w:rsidRPr="001B4CA2" w:rsidRDefault="00255799" w:rsidP="00255799">
      <w:pPr>
        <w:ind w:firstLine="708"/>
      </w:pPr>
      <w:r w:rsidRPr="001B4CA2">
        <w:t>Najviše neposrednih optužnica podignuto je zbog kaznenog djela ne</w:t>
      </w:r>
      <w:r w:rsidR="00F47D60">
        <w:t>dopušten</w:t>
      </w:r>
      <w:r w:rsidRPr="001B4CA2">
        <w:t xml:space="preserve">e trgovine iz čl. 264. KZ (236), s tim da je ujedno od svih optužnica s </w:t>
      </w:r>
      <w:r w:rsidRPr="001B4CA2">
        <w:lastRenderedPageBreak/>
        <w:t xml:space="preserve">kaznenim nalogom </w:t>
      </w:r>
      <w:r w:rsidR="00D22E4A">
        <w:t>više od</w:t>
      </w:r>
      <w:r w:rsidRPr="001B4CA2">
        <w:t xml:space="preserve"> 50</w:t>
      </w:r>
      <w:r w:rsidR="00310778">
        <w:t> </w:t>
      </w:r>
      <w:r w:rsidRPr="001B4CA2">
        <w:t>% podignuto zbog ovog kaznenog djela. Uz kazneno djelo ne</w:t>
      </w:r>
      <w:r w:rsidR="00F47D60">
        <w:t>dopušten</w:t>
      </w:r>
      <w:r w:rsidRPr="001B4CA2">
        <w:t xml:space="preserve">e trgovine najviše neposrednih optužnica podignuto je još zbog kaznenog djela prijevare u gospodarskom poslovanju iz čl. 247. KZ (124). </w:t>
      </w:r>
    </w:p>
    <w:p w14:paraId="680E1F4C" w14:textId="77777777" w:rsidR="00255799" w:rsidRPr="001B4CA2" w:rsidRDefault="00255799" w:rsidP="00255799">
      <w:pPr>
        <w:ind w:firstLine="708"/>
      </w:pPr>
    </w:p>
    <w:p w14:paraId="00D38B2B" w14:textId="181B33C7" w:rsidR="00255799" w:rsidRPr="001B4CA2" w:rsidRDefault="00255799" w:rsidP="00255799">
      <w:pPr>
        <w:ind w:firstLine="708"/>
      </w:pPr>
      <w:r w:rsidRPr="001B4CA2">
        <w:t xml:space="preserve">Od 907 optužnica 45 optužnica podneseno </w:t>
      </w:r>
      <w:r w:rsidR="00D22E4A" w:rsidRPr="001B4CA2">
        <w:t xml:space="preserve">je </w:t>
      </w:r>
      <w:r w:rsidRPr="001B4CA2">
        <w:t>protiv pravnih osoba, od čega su 24 optužnice ili 53,33</w:t>
      </w:r>
      <w:r w:rsidR="00310778">
        <w:t> </w:t>
      </w:r>
      <w:r w:rsidRPr="001B4CA2">
        <w:t>% podignute zbog kaznenog djela utaje poreza ili carine iz čl. 256. KZ, te 14 optužnica ili 31,11</w:t>
      </w:r>
      <w:r w:rsidR="00310778">
        <w:t> </w:t>
      </w:r>
      <w:r w:rsidRPr="001B4CA2">
        <w:t>% zbog kaznenog djela prijevare u gospodarskom poslovanju iz čl. 247 KZ.</w:t>
      </w:r>
    </w:p>
    <w:p w14:paraId="4E8E9AF4" w14:textId="77777777" w:rsidR="00255799" w:rsidRPr="001B4CA2" w:rsidRDefault="00255799" w:rsidP="00255799">
      <w:pPr>
        <w:ind w:firstLine="708"/>
      </w:pPr>
    </w:p>
    <w:p w14:paraId="4FDB7488" w14:textId="77293ED0" w:rsidR="00255799" w:rsidRPr="001B4CA2" w:rsidRDefault="00255799" w:rsidP="00255799">
      <w:pPr>
        <w:ind w:firstLine="708"/>
      </w:pPr>
      <w:r w:rsidRPr="001B4CA2">
        <w:t xml:space="preserve">U izvještajnom razdoblju </w:t>
      </w:r>
      <w:r w:rsidR="00D22E4A" w:rsidRPr="001B4CA2">
        <w:t xml:space="preserve">doneseno </w:t>
      </w:r>
      <w:r w:rsidRPr="001B4CA2">
        <w:t>je i 477 rješenja o provođenju istrage te su državna odvjetništva zajedno s istragama koje su ostale u radu iz prethodnog razdoblja (655) imala ukupno u radu istraga protiv 1.132 fizičke i pravne osobe, što je neznatno manje</w:t>
      </w:r>
      <w:r w:rsidR="00D22E4A">
        <w:t>,</w:t>
      </w:r>
      <w:r w:rsidRPr="001B4CA2">
        <w:t xml:space="preserve"> odnosno za 43 osobe ili 3,65</w:t>
      </w:r>
      <w:r w:rsidR="00310778">
        <w:t> </w:t>
      </w:r>
      <w:r w:rsidRPr="001B4CA2">
        <w:t xml:space="preserve">% manje u odnosu na 2021., a na razini prethodnih godina. </w:t>
      </w:r>
    </w:p>
    <w:p w14:paraId="31126E4F" w14:textId="77777777" w:rsidR="00255799" w:rsidRPr="001B4CA2" w:rsidRDefault="00255799" w:rsidP="00255799">
      <w:pPr>
        <w:ind w:firstLine="708"/>
      </w:pPr>
    </w:p>
    <w:p w14:paraId="2B1E8B91" w14:textId="72DC571E" w:rsidR="00255799" w:rsidRPr="001B4CA2" w:rsidRDefault="00255799" w:rsidP="00255799">
      <w:pPr>
        <w:ind w:firstLine="708"/>
      </w:pPr>
      <w:r w:rsidRPr="001B4CA2">
        <w:t>Donesene su ukupno 574 odluke (u 2021.</w:t>
      </w:r>
      <w:r w:rsidR="00F47D60">
        <w:t xml:space="preserve"> – </w:t>
      </w:r>
      <w:r w:rsidRPr="001B4CA2">
        <w:t>529)</w:t>
      </w:r>
      <w:r w:rsidR="00D22E4A">
        <w:t>,</w:t>
      </w:r>
      <w:r w:rsidRPr="001B4CA2">
        <w:t xml:space="preserve"> od čega 554 meritorne odluke, što je za 55 odluka ili 11,02</w:t>
      </w:r>
      <w:r w:rsidR="00310778">
        <w:t> </w:t>
      </w:r>
      <w:r w:rsidRPr="001B4CA2">
        <w:t xml:space="preserve">% više odluka po dovršenoj istrazi u odnosu na 2021., a 20 istraga riješeno </w:t>
      </w:r>
      <w:r w:rsidR="00D22E4A" w:rsidRPr="001B4CA2">
        <w:t xml:space="preserve">je </w:t>
      </w:r>
      <w:r w:rsidRPr="001B4CA2">
        <w:t>ustupom, spajanjem ili na drugi način. Od 554 meritorno riješene istrage u odnosu na 461 osobu (2021. – 419) istraga je riješena donošenjem službene bilješke o podizanju optužnice</w:t>
      </w:r>
      <w:r w:rsidR="00D22E4A">
        <w:t>,</w:t>
      </w:r>
      <w:r w:rsidRPr="001B4CA2">
        <w:t xml:space="preserve"> što predstavlja 83,21</w:t>
      </w:r>
      <w:r w:rsidR="00310778">
        <w:t> </w:t>
      </w:r>
      <w:r w:rsidRPr="001B4CA2">
        <w:t>% odluka donesenih po dovršenoj istrazi</w:t>
      </w:r>
      <w:r w:rsidR="00D22E4A">
        <w:t>,</w:t>
      </w:r>
      <w:r w:rsidRPr="001B4CA2">
        <w:t xml:space="preserve"> a u odnosu na 93 osobe ili 16,79</w:t>
      </w:r>
      <w:r w:rsidR="00310778">
        <w:t> </w:t>
      </w:r>
      <w:r w:rsidRPr="001B4CA2">
        <w:t xml:space="preserve">% istraga je obustavljena, koji je </w:t>
      </w:r>
      <w:r w:rsidR="00D22E4A" w:rsidRPr="001B4CA2">
        <w:t xml:space="preserve">omjer </w:t>
      </w:r>
      <w:r w:rsidRPr="001B4CA2">
        <w:t xml:space="preserve">gotovo identičan omjeru ovih odluka iz prethodnog razdoblja. </w:t>
      </w:r>
    </w:p>
    <w:p w14:paraId="4DDCFC5D" w14:textId="77777777" w:rsidR="00255799" w:rsidRPr="001B4CA2" w:rsidRDefault="00255799" w:rsidP="00255799">
      <w:pPr>
        <w:ind w:firstLine="708"/>
      </w:pPr>
    </w:p>
    <w:p w14:paraId="31CA4896" w14:textId="0A071BFA" w:rsidR="00255799" w:rsidRPr="001B4CA2" w:rsidRDefault="00255799" w:rsidP="00255799">
      <w:pPr>
        <w:ind w:firstLine="708"/>
      </w:pPr>
      <w:r w:rsidRPr="001B4CA2">
        <w:t xml:space="preserve">Na kraju izvještajnog razdoblja ostalo je u radu 558 istraga ili 88 istraga manje u odnosu na prethodnu 2021. (646 istraga). </w:t>
      </w:r>
    </w:p>
    <w:p w14:paraId="384F834D" w14:textId="77777777" w:rsidR="00255799" w:rsidRPr="001B4CA2" w:rsidRDefault="00255799" w:rsidP="00255799">
      <w:pPr>
        <w:ind w:firstLine="708"/>
      </w:pPr>
    </w:p>
    <w:p w14:paraId="5D6CEE86" w14:textId="71AC5074" w:rsidR="00255799" w:rsidRPr="001B4CA2" w:rsidRDefault="00255799" w:rsidP="00255799">
      <w:pPr>
        <w:ind w:firstLine="708"/>
      </w:pPr>
      <w:r w:rsidRPr="001B4CA2">
        <w:t xml:space="preserve">Najviše istraga u izvještajnom razdoblju </w:t>
      </w:r>
      <w:r w:rsidR="00D22E4A" w:rsidRPr="001B4CA2">
        <w:t xml:space="preserve">pokrenuto </w:t>
      </w:r>
      <w:r w:rsidRPr="001B4CA2">
        <w:t>je zbog kaznenih djela zlouporabe povjerenja u gospodarskom poslovanju iz čl. 246. KZ, kaznenog djela utaje poreza ili carine iz čl. 256. KZ i kaznenog djela prijevare u gospodarskom poslovanju iz čl. 247. KZ</w:t>
      </w:r>
      <w:r w:rsidR="00D22E4A">
        <w:t>,</w:t>
      </w:r>
      <w:r w:rsidRPr="001B4CA2">
        <w:t xml:space="preserve"> i to ukupno 394 istrage ili 82,59</w:t>
      </w:r>
      <w:r w:rsidR="00310778">
        <w:t>,</w:t>
      </w:r>
      <w:r w:rsidRPr="001B4CA2">
        <w:t>% istraga</w:t>
      </w:r>
      <w:r w:rsidR="00FD08E9">
        <w:t xml:space="preserve">, </w:t>
      </w:r>
      <w:r w:rsidRPr="001B4CA2">
        <w:t xml:space="preserve">a na ova kaznena djela </w:t>
      </w:r>
      <w:r w:rsidR="00D22E4A" w:rsidRPr="001B4CA2">
        <w:t xml:space="preserve">odnosi </w:t>
      </w:r>
      <w:r w:rsidRPr="001B4CA2">
        <w:t>se i najviše podignutih optužnica nakon dovršene istrage, 351 ili 76,13</w:t>
      </w:r>
      <w:r w:rsidR="00310778">
        <w:t> </w:t>
      </w:r>
      <w:r w:rsidRPr="001B4CA2">
        <w:t xml:space="preserve">%. </w:t>
      </w:r>
    </w:p>
    <w:p w14:paraId="37076472" w14:textId="77777777" w:rsidR="00255799" w:rsidRPr="001B4CA2" w:rsidRDefault="00255799" w:rsidP="00255799">
      <w:pPr>
        <w:ind w:firstLine="708"/>
      </w:pPr>
    </w:p>
    <w:p w14:paraId="31A5341E" w14:textId="6F1FF11F" w:rsidR="00255799" w:rsidRPr="001B4CA2" w:rsidRDefault="00255799" w:rsidP="00255799">
      <w:pPr>
        <w:ind w:firstLine="708"/>
      </w:pPr>
      <w:r w:rsidRPr="001B4CA2">
        <w:t>Sudovi su u izvještajnom razdoblju donijeli ukupno 868 presuda, što je 98 presuda ili 10,14</w:t>
      </w:r>
      <w:r w:rsidR="00310778">
        <w:t>,</w:t>
      </w:r>
      <w:r w:rsidRPr="001B4CA2">
        <w:t>% manje u odnosu na 2021. (966 presuda), te manje i u odnosu na 2020. (898).</w:t>
      </w:r>
    </w:p>
    <w:p w14:paraId="29CD4069" w14:textId="77777777" w:rsidR="00255799" w:rsidRPr="001B4CA2" w:rsidRDefault="00255799" w:rsidP="00255799">
      <w:pPr>
        <w:ind w:firstLine="708"/>
      </w:pPr>
    </w:p>
    <w:p w14:paraId="4B4E0AE9" w14:textId="422BC243" w:rsidR="00255799" w:rsidRDefault="00255799" w:rsidP="00255799">
      <w:pPr>
        <w:ind w:firstLine="708"/>
      </w:pPr>
      <w:r w:rsidRPr="001B4CA2">
        <w:t xml:space="preserve">Osuđujućih je </w:t>
      </w:r>
      <w:r w:rsidR="00D22E4A" w:rsidRPr="001B4CA2">
        <w:t xml:space="preserve">presuda </w:t>
      </w:r>
      <w:r w:rsidRPr="001B4CA2">
        <w:t>718 ili 82,71</w:t>
      </w:r>
      <w:r w:rsidR="00310778">
        <w:t> </w:t>
      </w:r>
      <w:r w:rsidRPr="001B4CA2">
        <w:t>% svih donesenih presuda (2021. – 79</w:t>
      </w:r>
      <w:r w:rsidR="00310778">
        <w:t> </w:t>
      </w:r>
      <w:r w:rsidRPr="001B4CA2">
        <w:t>%), 115 presuda ili 13,24</w:t>
      </w:r>
      <w:r w:rsidR="00310778">
        <w:t> </w:t>
      </w:r>
      <w:r w:rsidRPr="001B4CA2">
        <w:t>% je oslobađajućih (2021. – 16,45</w:t>
      </w:r>
      <w:r w:rsidR="00310778">
        <w:t> </w:t>
      </w:r>
      <w:r w:rsidRPr="001B4CA2">
        <w:t>%)</w:t>
      </w:r>
      <w:r w:rsidR="00310778">
        <w:t>,</w:t>
      </w:r>
      <w:r w:rsidRPr="001B4CA2">
        <w:t xml:space="preserve"> a 35 presuda ili 4,03</w:t>
      </w:r>
      <w:r w:rsidR="00310778">
        <w:t> </w:t>
      </w:r>
      <w:r w:rsidRPr="001B4CA2">
        <w:t>% odbijajućih (2021. – 4,55</w:t>
      </w:r>
      <w:r w:rsidR="00310778">
        <w:t> </w:t>
      </w:r>
      <w:r w:rsidRPr="001B4CA2">
        <w:t>%). Omjer pojedinih vrsta presuda ukazuje na povećanje uspješnosti državnih odvjetništava u postupku u odnosu na prethodna razdoblja, jer iako je doneseno manje presuda, poras</w:t>
      </w:r>
      <w:r w:rsidR="00310778">
        <w:t>ta</w:t>
      </w:r>
      <w:r w:rsidRPr="001B4CA2">
        <w:t xml:space="preserve">o je </w:t>
      </w:r>
      <w:r w:rsidR="00310778">
        <w:t xml:space="preserve">udio </w:t>
      </w:r>
      <w:r w:rsidRPr="001B4CA2">
        <w:t>osuđujućih presuda</w:t>
      </w:r>
      <w:r w:rsidR="00310778">
        <w:t>,</w:t>
      </w:r>
      <w:r w:rsidRPr="001B4CA2">
        <w:t xml:space="preserve"> a smanjen </w:t>
      </w:r>
      <w:r w:rsidR="00310778">
        <w:t>udio</w:t>
      </w:r>
      <w:r w:rsidRPr="001B4CA2">
        <w:t xml:space="preserve"> oslobađajućih i odbijajućih presuda. Poras</w:t>
      </w:r>
      <w:r w:rsidR="00310778">
        <w:t>ta</w:t>
      </w:r>
      <w:r w:rsidRPr="001B4CA2">
        <w:t xml:space="preserve">o je i </w:t>
      </w:r>
      <w:r w:rsidR="00310778">
        <w:t>udio</w:t>
      </w:r>
      <w:r w:rsidRPr="001B4CA2">
        <w:t xml:space="preserve"> presuda donesenih temeljem sporazuma stranaka. Od 718 osuđujućih presuda, 140 presuda ili 19,49</w:t>
      </w:r>
      <w:r w:rsidR="00310778">
        <w:t> </w:t>
      </w:r>
      <w:r w:rsidRPr="001B4CA2">
        <w:t>% ih je doneseno temeljem sporazuma, dok je takvih presuda u prethodnom razdoblju bilo doneseno 109 ili 14,28</w:t>
      </w:r>
      <w:r w:rsidR="00310778">
        <w:t> </w:t>
      </w:r>
      <w:r w:rsidRPr="001B4CA2">
        <w:t>%. Najveći broj presuda temeljem sporazuma, njih 121, donesen je u predmetima iz nadležnosti USKOK-a. Unatoč tome, još uvijek se radi o relativno malom u</w:t>
      </w:r>
      <w:r w:rsidR="00D22E4A">
        <w:t>djel</w:t>
      </w:r>
      <w:r w:rsidRPr="001B4CA2">
        <w:t xml:space="preserve">u ovih presuda, a razlog tome najviše </w:t>
      </w:r>
      <w:r w:rsidR="00D22E4A" w:rsidRPr="001B4CA2">
        <w:t xml:space="preserve">je </w:t>
      </w:r>
      <w:r w:rsidRPr="001B4CA2">
        <w:t xml:space="preserve">nezainteresiranost </w:t>
      </w:r>
      <w:r w:rsidRPr="001B4CA2">
        <w:lastRenderedPageBreak/>
        <w:t>okrivljenika</w:t>
      </w:r>
      <w:r w:rsidR="00D22E4A">
        <w:t>,</w:t>
      </w:r>
      <w:r w:rsidRPr="001B4CA2">
        <w:t xml:space="preserve"> odnosno činjenica da nisu spremni vratiti imovinsk</w:t>
      </w:r>
      <w:r w:rsidR="00D22E4A">
        <w:t>u</w:t>
      </w:r>
      <w:r w:rsidRPr="001B4CA2">
        <w:t xml:space="preserve"> korist pribavljenu kaznenim djelom niti naknaditi štetu, što je uvjet za sklapanje sporazuma. </w:t>
      </w:r>
    </w:p>
    <w:p w14:paraId="23C851BE" w14:textId="77777777" w:rsidR="00D272A4" w:rsidRPr="001B4CA2" w:rsidRDefault="00D272A4" w:rsidP="00255799">
      <w:pPr>
        <w:ind w:firstLine="708"/>
      </w:pPr>
    </w:p>
    <w:p w14:paraId="0C056D3B" w14:textId="5C636DCC" w:rsidR="00255799" w:rsidRPr="001B4CA2" w:rsidRDefault="00255799" w:rsidP="00255799">
      <w:pPr>
        <w:ind w:firstLine="708"/>
      </w:pPr>
      <w:r w:rsidRPr="001B4CA2">
        <w:t>Od 718 osuđujućih presuda 32 su protiv pravnih osoba, od čega 19 presuda zbog kaznenog djela utaje poreza ili carine iz čl. 256. KZ.</w:t>
      </w:r>
    </w:p>
    <w:p w14:paraId="473C2914" w14:textId="77777777" w:rsidR="00255799" w:rsidRPr="001B4CA2" w:rsidRDefault="00255799" w:rsidP="00255799">
      <w:pPr>
        <w:ind w:firstLine="708"/>
      </w:pPr>
    </w:p>
    <w:p w14:paraId="6A00CA64" w14:textId="5EAA9146" w:rsidR="00255799" w:rsidRPr="001B4CA2" w:rsidRDefault="00255799" w:rsidP="00255799">
      <w:pPr>
        <w:ind w:firstLine="708"/>
      </w:pPr>
      <w:r w:rsidRPr="001B4CA2">
        <w:t xml:space="preserve">I u ovom izvještajnom razdoblju najviše je </w:t>
      </w:r>
      <w:r w:rsidR="00D22E4A" w:rsidRPr="001B4CA2">
        <w:t xml:space="preserve">presuda </w:t>
      </w:r>
      <w:r w:rsidRPr="001B4CA2">
        <w:t>doneseno zbog kaznenih djela ne</w:t>
      </w:r>
      <w:r w:rsidR="00F47D60">
        <w:t>dopušten</w:t>
      </w:r>
      <w:r w:rsidRPr="001B4CA2">
        <w:t xml:space="preserve">e trgovine iz čl. 264. KZ – 224 presude, kaznenog djela zlouporabe povjerenja u gospodarskom poslovanju iz čl. 246. KZ – 205 presuda, zbog kaznenog djela prijevare u gospodarskom poslovanju iz čl. 247. KZ – 181 presuda </w:t>
      </w:r>
      <w:r w:rsidR="00D22E4A">
        <w:t>te</w:t>
      </w:r>
      <w:r w:rsidRPr="001B4CA2">
        <w:t xml:space="preserve"> zbog kaznenog djela utaje poreza ili carine – 154 presude. Zbog </w:t>
      </w:r>
      <w:r w:rsidR="00D22E4A">
        <w:t>t</w:t>
      </w:r>
      <w:r w:rsidRPr="001B4CA2">
        <w:t>a četiri kaznena djela doneseno je ukupno 88</w:t>
      </w:r>
      <w:r w:rsidR="00D22E4A">
        <w:t> </w:t>
      </w:r>
      <w:r w:rsidRPr="001B4CA2">
        <w:t>% svih donesenih presuda. Od 131 osuđujuće presude donesene zbog kaznenog djela utaje poreza ili carine iz čl. 256. KZ, čak 74 presude ili 56,48</w:t>
      </w:r>
      <w:r w:rsidR="00D22E4A">
        <w:t> </w:t>
      </w:r>
      <w:r w:rsidRPr="001B4CA2">
        <w:t xml:space="preserve">% presuda </w:t>
      </w:r>
      <w:r w:rsidR="00D22E4A" w:rsidRPr="001B4CA2">
        <w:t xml:space="preserve">doneseno </w:t>
      </w:r>
      <w:r w:rsidRPr="001B4CA2">
        <w:t>je temeljem sporazuma stranaka tako da se samo na ovo kazneno djelo odnosi 52,80</w:t>
      </w:r>
      <w:r w:rsidR="00D22E4A">
        <w:t> </w:t>
      </w:r>
      <w:r w:rsidRPr="001B4CA2">
        <w:t>% svih presuda donesenih temeljem sporazuma. Zbog kaznenog djela ne</w:t>
      </w:r>
      <w:r w:rsidR="00F47D60">
        <w:t>dopušten</w:t>
      </w:r>
      <w:r w:rsidRPr="001B4CA2">
        <w:t>e trgovine iz čl. 264. KZ koje je u nadležnosti općinskih državnih odvjetništava</w:t>
      </w:r>
      <w:r w:rsidR="00FD08E9">
        <w:t xml:space="preserve"> </w:t>
      </w:r>
      <w:r w:rsidRPr="001B4CA2">
        <w:t>i u pravilu lakše dokazivog, doneseno je 40 presuda (28,57</w:t>
      </w:r>
      <w:r w:rsidR="00D22E4A">
        <w:t> </w:t>
      </w:r>
      <w:r w:rsidRPr="001B4CA2">
        <w:t>%) temeljem sporazuma tako da na ova dva kaznena djela otpada 114 presuda ili 81,42</w:t>
      </w:r>
      <w:r w:rsidR="00D22E4A">
        <w:t> </w:t>
      </w:r>
      <w:r w:rsidRPr="001B4CA2">
        <w:t xml:space="preserve">% svih presuda donesenih temeljem sporazuma. </w:t>
      </w:r>
    </w:p>
    <w:p w14:paraId="3B614E46" w14:textId="77777777" w:rsidR="00255799" w:rsidRPr="001B4CA2" w:rsidRDefault="00255799" w:rsidP="00255799">
      <w:pPr>
        <w:ind w:firstLine="708"/>
      </w:pPr>
    </w:p>
    <w:p w14:paraId="1F049525" w14:textId="4F23705C" w:rsidR="00255799" w:rsidRPr="001B4CA2" w:rsidRDefault="00255799" w:rsidP="00255799">
      <w:pPr>
        <w:ind w:firstLine="708"/>
      </w:pPr>
      <w:r w:rsidRPr="001B4CA2">
        <w:t xml:space="preserve">Najviše oslobađajućih presuda </w:t>
      </w:r>
      <w:r w:rsidR="00110CF9" w:rsidRPr="001B4CA2">
        <w:t xml:space="preserve">doneseno </w:t>
      </w:r>
      <w:r w:rsidRPr="001B4CA2">
        <w:t xml:space="preserve">je zbog kaznenog djela zlouporabe povjerenja u gospodarskom poslovanju iz čl. 246. KZ (53 presude), kao najtežeg i najsloženijeg gospodarskog kaznenog djela. </w:t>
      </w:r>
    </w:p>
    <w:p w14:paraId="0DDA6B62" w14:textId="77777777" w:rsidR="00255799" w:rsidRPr="001B4CA2" w:rsidRDefault="00255799" w:rsidP="00255799">
      <w:pPr>
        <w:ind w:firstLine="708"/>
      </w:pPr>
    </w:p>
    <w:p w14:paraId="0F565842" w14:textId="6B9BBA99" w:rsidR="00255799" w:rsidRPr="001B4CA2" w:rsidRDefault="00255799" w:rsidP="00255799">
      <w:pPr>
        <w:ind w:firstLine="708"/>
      </w:pPr>
      <w:r w:rsidRPr="001B4CA2">
        <w:t>Na kraju izvještajnog razdoblja ostalo je 2</w:t>
      </w:r>
      <w:r w:rsidR="00110CF9">
        <w:t>.</w:t>
      </w:r>
      <w:r w:rsidRPr="001B4CA2">
        <w:t>518 nepresuđenih osoba, odnosno u radu predmeta pred sudom u odnosu na 3</w:t>
      </w:r>
      <w:r w:rsidR="00110CF9">
        <w:t>.</w:t>
      </w:r>
      <w:r w:rsidRPr="001B4CA2">
        <w:t xml:space="preserve">328 optuženih osoba (2021. </w:t>
      </w:r>
      <w:r w:rsidR="00110CF9">
        <w:t xml:space="preserve">– </w:t>
      </w:r>
      <w:r w:rsidRPr="001B4CA2">
        <w:t>3</w:t>
      </w:r>
      <w:r w:rsidR="00110CF9">
        <w:t>.</w:t>
      </w:r>
      <w:r w:rsidRPr="001B4CA2">
        <w:t>069).</w:t>
      </w:r>
    </w:p>
    <w:p w14:paraId="7E84A4A7" w14:textId="77777777" w:rsidR="00255799" w:rsidRPr="001B4CA2" w:rsidRDefault="00255799" w:rsidP="00255799">
      <w:pPr>
        <w:ind w:firstLine="708"/>
      </w:pPr>
    </w:p>
    <w:p w14:paraId="41ADA237" w14:textId="628E3B2F" w:rsidR="00255799" w:rsidRPr="001B4CA2" w:rsidRDefault="00255799" w:rsidP="00255799">
      <w:pPr>
        <w:ind w:firstLine="708"/>
      </w:pPr>
      <w:r w:rsidRPr="001B4CA2">
        <w:t>U strukturi kaznenih sankcija i dalje prevladavaju uvjetne osude, koje su izrečene u odnosu na 480 osoba (67,22</w:t>
      </w:r>
      <w:r w:rsidR="00110CF9">
        <w:t> </w:t>
      </w:r>
      <w:r w:rsidRPr="001B4CA2">
        <w:t>%)</w:t>
      </w:r>
      <w:r w:rsidR="00110CF9">
        <w:t>,</w:t>
      </w:r>
      <w:r w:rsidRPr="001B4CA2">
        <w:t xml:space="preserve"> dok je kazna zatvora izrečena u odnosu na 184 osobe ili u 25,70</w:t>
      </w:r>
      <w:r w:rsidR="00110CF9">
        <w:t> </w:t>
      </w:r>
      <w:r w:rsidRPr="001B4CA2">
        <w:t>% osuđujućih presuda (2021. – 26,86</w:t>
      </w:r>
      <w:r w:rsidR="00110CF9">
        <w:t> </w:t>
      </w:r>
      <w:r w:rsidRPr="001B4CA2">
        <w:t>%). Izrečeno je 40 novčanih kazni ili 5,66</w:t>
      </w:r>
      <w:r w:rsidR="00110CF9">
        <w:t> </w:t>
      </w:r>
      <w:r w:rsidRPr="001B4CA2">
        <w:t>% (2021. – 6,68%) te 9 uvjetnih novčanih kazni (2021. – 1). U odnosu na prethodno razdoblje</w:t>
      </w:r>
      <w:r w:rsidR="00110CF9">
        <w:t>,</w:t>
      </w:r>
      <w:r w:rsidRPr="001B4CA2">
        <w:t xml:space="preserve"> dakle, neznatno je povećan</w:t>
      </w:r>
      <w:r w:rsidR="00310778">
        <w:t xml:space="preserve"> udio</w:t>
      </w:r>
      <w:r w:rsidRPr="001B4CA2">
        <w:t xml:space="preserve"> uvjetnih osuda, a smanjen</w:t>
      </w:r>
      <w:r w:rsidR="00310778">
        <w:t xml:space="preserve"> udio</w:t>
      </w:r>
      <w:r w:rsidRPr="001B4CA2">
        <w:t xml:space="preserve"> kazne zatvora i novčane kazne, ali bez bitnijeg utjecaja na strukturu kaznenih sankcija. Kazna zatvora </w:t>
      </w:r>
      <w:r w:rsidR="00110CF9" w:rsidRPr="001B4CA2">
        <w:t xml:space="preserve">zamijenjena </w:t>
      </w:r>
      <w:r w:rsidRPr="001B4CA2">
        <w:t>je radom za opće dobro u 58 slučajeva ili 31,52</w:t>
      </w:r>
      <w:r w:rsidR="00310778">
        <w:t> </w:t>
      </w:r>
      <w:r w:rsidRPr="001B4CA2">
        <w:t>% izrečenih kazni zatvora, dok je u 2021. bilo zamijenjeno 36 kazni zatvora. Od 58 slučajeva zamjene kazne zatvora radom za opće dobro, njih 30 ili 52</w:t>
      </w:r>
      <w:r w:rsidR="00310778">
        <w:t> </w:t>
      </w:r>
      <w:r w:rsidRPr="001B4CA2">
        <w:t>%</w:t>
      </w:r>
      <w:r w:rsidR="00110CF9">
        <w:t>,</w:t>
      </w:r>
      <w:r w:rsidRPr="001B4CA2">
        <w:t xml:space="preserve"> </w:t>
      </w:r>
      <w:r w:rsidR="00110CF9" w:rsidRPr="001B4CA2">
        <w:t xml:space="preserve">odnosi </w:t>
      </w:r>
      <w:r w:rsidRPr="001B4CA2">
        <w:t>se na kazne izrečene zbog kaznenog djela ne</w:t>
      </w:r>
      <w:r w:rsidR="00F47D60">
        <w:t>dopušten</w:t>
      </w:r>
      <w:r w:rsidRPr="001B4CA2">
        <w:t xml:space="preserve">e trgovine iz čl. 264. KZ, a 14 zbog kaznenog djela utaje poreza ili carine iz čl. 256. KZ. </w:t>
      </w:r>
    </w:p>
    <w:p w14:paraId="3D34E216" w14:textId="77777777" w:rsidR="00255799" w:rsidRPr="001B4CA2" w:rsidRDefault="00255799" w:rsidP="00255799">
      <w:pPr>
        <w:ind w:firstLine="708"/>
      </w:pPr>
    </w:p>
    <w:p w14:paraId="179D8B35" w14:textId="3004C64A" w:rsidR="00255799" w:rsidRPr="001B4CA2" w:rsidRDefault="00255799" w:rsidP="00255799">
      <w:r w:rsidRPr="001B4CA2">
        <w:tab/>
        <w:t xml:space="preserve">Izrečeno je ukupno 10 sigurnosnih mjera, od čega 3 mjere zabrane obavljanja određene dužnosti ili djelatnosti, kao i u prethodnom razdoblju, </w:t>
      </w:r>
      <w:r w:rsidR="00B901B6" w:rsidRPr="001B4CA2">
        <w:t>a doneseno je i 147 odluka o oduzimanju predmeta, od čega116 odluka donesenih zbog kaznenog djela ne</w:t>
      </w:r>
      <w:r w:rsidR="00F47D60">
        <w:t>dopušten</w:t>
      </w:r>
      <w:r w:rsidR="00B901B6" w:rsidRPr="001B4CA2">
        <w:t>e trgovine iz čl. 264. KZ.</w:t>
      </w:r>
    </w:p>
    <w:p w14:paraId="66151F34" w14:textId="535AF2AB" w:rsidR="00B901B6" w:rsidRPr="001B4CA2" w:rsidRDefault="00B901B6" w:rsidP="00255799"/>
    <w:p w14:paraId="0E7FC3A7" w14:textId="32B21EE5" w:rsidR="00B901B6" w:rsidRPr="001B4CA2" w:rsidRDefault="00B901B6" w:rsidP="00B901B6">
      <w:pPr>
        <w:ind w:firstLine="708"/>
      </w:pPr>
      <w:r w:rsidRPr="001B4CA2">
        <w:t xml:space="preserve">U izvještajnom razdoblju u 139 presuda oduzeta </w:t>
      </w:r>
      <w:r w:rsidR="00110CF9" w:rsidRPr="001B4CA2">
        <w:t xml:space="preserve">je </w:t>
      </w:r>
      <w:r w:rsidRPr="001B4CA2">
        <w:t>imovinska korist pribavljena kaznenim djelima u ukupnom iznosu od 96.750.889,19 k</w:t>
      </w:r>
      <w:r w:rsidR="00D8449C" w:rsidRPr="001B4CA2">
        <w:t>n</w:t>
      </w:r>
      <w:r w:rsidRPr="001B4CA2">
        <w:t xml:space="preserve"> /</w:t>
      </w:r>
      <w:r w:rsidR="00110CF9">
        <w:t xml:space="preserve"> </w:t>
      </w:r>
      <w:r w:rsidRPr="001B4CA2">
        <w:t>12.841.049,72 EUR, što je gotovo dvostruko više u odnosu na prethodno razdoblje, odnosno za 46.566.089,62 kn</w:t>
      </w:r>
      <w:r w:rsidR="00310778">
        <w:t xml:space="preserve"> </w:t>
      </w:r>
      <w:r w:rsidRPr="001B4CA2">
        <w:t>/</w:t>
      </w:r>
      <w:r w:rsidR="00310778">
        <w:t xml:space="preserve"> </w:t>
      </w:r>
      <w:r w:rsidRPr="001B4CA2">
        <w:t>6.180.382,19 EUR ili 92,78</w:t>
      </w:r>
      <w:r w:rsidR="00310778">
        <w:t> </w:t>
      </w:r>
      <w:r w:rsidRPr="001B4CA2">
        <w:t>% više. Iznos oduzete imovinske koristi zbog gospodarskih kaznenih djela predstavlja 44,52</w:t>
      </w:r>
      <w:r w:rsidR="00310778">
        <w:t> </w:t>
      </w:r>
      <w:r w:rsidRPr="001B4CA2">
        <w:t xml:space="preserve">% ukupno oduzete imovinske koristi svim kaznenim djelima. Međutim, iznos imovinske koristi </w:t>
      </w:r>
      <w:r w:rsidRPr="001B4CA2">
        <w:lastRenderedPageBreak/>
        <w:t xml:space="preserve">stvarno pribavljene kaznenim djelima znatno je veći od iznosa imovinske koristi oduzete osuđujućim presudama, ali nisu bili ostvareni zakonski uvjeti za donošenje odluke o </w:t>
      </w:r>
      <w:r w:rsidR="00110CF9">
        <w:t xml:space="preserve">njezinu </w:t>
      </w:r>
      <w:r w:rsidRPr="001B4CA2">
        <w:t xml:space="preserve">oduzimanju, zbog činjenice što oštećenici, trgovačka društva, posebno kad su u pitanju kaznena djela zlouporabe povjerenja u gospodarskom poslovanju iz čl. 246. KZ i kaznenog djela prijevare u gospodarskom poslovanju iz čl. 247. KZ, beziznimno podnose imovinskopravni zahtjev koji ima prednost i kojeg sudovi dosuđuju, pa nije moguće oduzimanje imovinske koristi. Državna odvjetništva uvijek postavljaju imovinskopravni zahtjev kada je kaznenim djelom oštećen državni proračun, </w:t>
      </w:r>
      <w:r w:rsidR="00110CF9">
        <w:t>što</w:t>
      </w:r>
      <w:r w:rsidRPr="001B4CA2">
        <w:t xml:space="preserve"> sudovi dosuđuju. Imovinsku korist</w:t>
      </w:r>
      <w:r w:rsidR="00110CF9">
        <w:t>,</w:t>
      </w:r>
      <w:r w:rsidRPr="001B4CA2">
        <w:t xml:space="preserve"> međutim,</w:t>
      </w:r>
      <w:r w:rsidR="00FD08E9">
        <w:t xml:space="preserve"> </w:t>
      </w:r>
      <w:r w:rsidRPr="001B4CA2">
        <w:t xml:space="preserve">često nije moguće oduzeti od pravne osobe koja ju je pribavila kaznenim djelom ako u vrijeme donošenja presude pravna osoba nema imovine ili je u međuvremenu brisana iz trgovačkog registra, a nema pravnog sljednika. U tom se </w:t>
      </w:r>
      <w:r w:rsidR="00110CF9" w:rsidRPr="001B4CA2">
        <w:t xml:space="preserve">slučaju </w:t>
      </w:r>
      <w:r w:rsidRPr="001B4CA2">
        <w:t>također postavlja imovinskopravni zahtjev prema okrivljenoj odgovornoj osobi te pravne osobe. Potrebno je navesti da su znatni problemi u realizaciji</w:t>
      </w:r>
      <w:r w:rsidR="00110CF9">
        <w:t>,</w:t>
      </w:r>
      <w:r w:rsidRPr="001B4CA2">
        <w:t xml:space="preserve"> odnosno naplati oduzete imovinske koristi, tako da građansko-upravni odjeli državnih odvjetništava po proteku roka za uplatu imovinske koristi pokreću ovršni postupak tijekom kojeg se često ne naplaćuje presudom oduzeta imovinska korist, jer okrivljenici, koji sada postaju </w:t>
      </w:r>
      <w:proofErr w:type="spellStart"/>
      <w:r w:rsidRPr="001B4CA2">
        <w:t>ovršenici</w:t>
      </w:r>
      <w:proofErr w:type="spellEnd"/>
      <w:r w:rsidRPr="001B4CA2">
        <w:t xml:space="preserve">, nemaju primanja ni imovine. </w:t>
      </w:r>
    </w:p>
    <w:p w14:paraId="56819ABC" w14:textId="77777777" w:rsidR="00B901B6" w:rsidRPr="001B4CA2" w:rsidRDefault="00B901B6" w:rsidP="00B901B6">
      <w:pPr>
        <w:ind w:firstLine="708"/>
      </w:pPr>
    </w:p>
    <w:p w14:paraId="4519F98F" w14:textId="4DA3985B" w:rsidR="00B901B6" w:rsidRPr="001B4CA2" w:rsidRDefault="00B901B6" w:rsidP="00B901B6">
      <w:pPr>
        <w:ind w:firstLine="708"/>
      </w:pPr>
      <w:r w:rsidRPr="001B4CA2">
        <w:t xml:space="preserve">U odnosu na ukupno donesenih 868 presuda državna su </w:t>
      </w:r>
      <w:r w:rsidR="00110CF9" w:rsidRPr="001B4CA2">
        <w:t xml:space="preserve">odvjetništva </w:t>
      </w:r>
      <w:r w:rsidRPr="001B4CA2">
        <w:t>podnijela 222 žalbe pa proizlazi da je žalba podnesena protiv 25,57</w:t>
      </w:r>
      <w:r w:rsidR="00110CF9">
        <w:t> </w:t>
      </w:r>
      <w:r w:rsidRPr="001B4CA2">
        <w:t>% presuda ili protiv svake 3,9 presude, što je identično prethodnom razdoblju. Od toga je samo zbog odluke o kazni podneseno 67 žalbi ili 30,18% svih žalbi</w:t>
      </w:r>
      <w:r w:rsidR="00110CF9">
        <w:t>,</w:t>
      </w:r>
      <w:r w:rsidRPr="001B4CA2">
        <w:t xml:space="preserve"> dok je u 2021. zbog odluke o kazni bilo podneseno 26,53% žalbi. Osim </w:t>
      </w:r>
      <w:r w:rsidR="00110CF9">
        <w:t>t</w:t>
      </w:r>
      <w:r w:rsidRPr="001B4CA2">
        <w:t xml:space="preserve">ih, podnesene su 33 žalbe zbog kazne i drugih razloga, a sve ostale (122) podnesene </w:t>
      </w:r>
      <w:r w:rsidR="00110CF9" w:rsidRPr="001B4CA2">
        <w:t xml:space="preserve">su </w:t>
      </w:r>
      <w:r w:rsidRPr="001B4CA2">
        <w:t xml:space="preserve">zbog drugih razloga, različitih od kazne. </w:t>
      </w:r>
    </w:p>
    <w:p w14:paraId="1087C5EF" w14:textId="77777777" w:rsidR="00B901B6" w:rsidRPr="001B4CA2" w:rsidRDefault="00B901B6" w:rsidP="00B901B6">
      <w:pPr>
        <w:ind w:firstLine="708"/>
      </w:pPr>
    </w:p>
    <w:p w14:paraId="631C6FB9" w14:textId="6F890706" w:rsidR="00B901B6" w:rsidRPr="001B4CA2" w:rsidRDefault="00B901B6" w:rsidP="00B901B6">
      <w:pPr>
        <w:ind w:firstLine="708"/>
      </w:pPr>
      <w:r w:rsidRPr="001B4CA2">
        <w:t xml:space="preserve">Drugostupanjski su </w:t>
      </w:r>
      <w:r w:rsidR="00110CF9" w:rsidRPr="001B4CA2">
        <w:t xml:space="preserve">sudovi </w:t>
      </w:r>
      <w:r w:rsidRPr="001B4CA2">
        <w:t>u izvještajnom razdoblju prihvatili ukupno 82 žalbe ili 36,48</w:t>
      </w:r>
      <w:r w:rsidR="00110CF9">
        <w:t> </w:t>
      </w:r>
      <w:r w:rsidRPr="001B4CA2">
        <w:t>%</w:t>
      </w:r>
      <w:r w:rsidR="00110CF9">
        <w:t xml:space="preserve">, </w:t>
      </w:r>
      <w:r w:rsidRPr="001B4CA2">
        <w:t>od čega je 31 usvojena žalba podnesena zbog odluke o kazni ili 46,26</w:t>
      </w:r>
      <w:r w:rsidR="00110CF9">
        <w:t> </w:t>
      </w:r>
      <w:r w:rsidRPr="001B4CA2">
        <w:t xml:space="preserve">% svih podnesenih žalbi zbog odluke o kazni. </w:t>
      </w:r>
      <w:r w:rsidR="00110CF9">
        <w:t>T</w:t>
      </w:r>
      <w:r w:rsidRPr="001B4CA2">
        <w:t>o u usporedbi s po</w:t>
      </w:r>
      <w:r w:rsidR="00FD08E9">
        <w:t>datci</w:t>
      </w:r>
      <w:r w:rsidRPr="001B4CA2">
        <w:t xml:space="preserve">ma iz prethodnog razdoblja pokazuje da uspješnost državnih odvjetništava u žalbenom postupku ne odstupa značajnije, s tim da je neznatno smanjena ukupna uspješnost, a povećana uspješnost podnesenih žalbi zbog odluke o kazni.  </w:t>
      </w:r>
    </w:p>
    <w:p w14:paraId="126B41EF" w14:textId="77777777" w:rsidR="00255799" w:rsidRPr="001B4CA2" w:rsidRDefault="00255799" w:rsidP="00255799"/>
    <w:p w14:paraId="48450637" w14:textId="51F58FCC" w:rsidR="007C2573" w:rsidRPr="001B4CA2" w:rsidRDefault="007C2573" w:rsidP="00955E23">
      <w:pPr>
        <w:pStyle w:val="Naslov3"/>
        <w:tabs>
          <w:tab w:val="left" w:pos="993"/>
        </w:tabs>
        <w:ind w:left="284" w:firstLine="0"/>
        <w:rPr>
          <w:rFonts w:ascii="Arial" w:hAnsi="Arial" w:cs="Arial"/>
        </w:rPr>
      </w:pPr>
      <w:bookmarkStart w:id="147" w:name="_Toc133394377"/>
      <w:r w:rsidRPr="001B4CA2">
        <w:rPr>
          <w:rFonts w:ascii="Arial" w:hAnsi="Arial" w:cs="Arial"/>
        </w:rPr>
        <w:t>Kaznena djela organiziranog kriminaliteta</w:t>
      </w:r>
      <w:bookmarkEnd w:id="147"/>
    </w:p>
    <w:p w14:paraId="7B918166" w14:textId="77777777" w:rsidR="00F54622" w:rsidRPr="001B4CA2" w:rsidRDefault="00F54622" w:rsidP="008640CF"/>
    <w:p w14:paraId="7863D414" w14:textId="10BA8312" w:rsidR="00980191" w:rsidRPr="001B4CA2" w:rsidRDefault="00980191" w:rsidP="00980191">
      <w:pPr>
        <w:ind w:firstLine="568"/>
        <w:rPr>
          <w:rFonts w:eastAsia="Calibri"/>
        </w:rPr>
      </w:pPr>
      <w:r w:rsidRPr="001B4CA2">
        <w:rPr>
          <w:rFonts w:eastAsia="Calibri"/>
        </w:rPr>
        <w:t>Tijekom 2022. godine za kaznena djela organiziranog kriminaliteta Uredu je prijavljeno ukupno 759 osoba, od toga 9 pravnih, što čini 39,45</w:t>
      </w:r>
      <w:r w:rsidR="00110CF9">
        <w:rPr>
          <w:rFonts w:eastAsia="Calibri"/>
        </w:rPr>
        <w:t> </w:t>
      </w:r>
      <w:r w:rsidRPr="001B4CA2">
        <w:rPr>
          <w:rFonts w:eastAsia="Calibri"/>
        </w:rPr>
        <w:t>% ukupnog broja prijavljenih osoba. Kako su u proteklom izvještajnom razdoblju ova kaznena djela činila 28,56</w:t>
      </w:r>
      <w:r w:rsidR="00110CF9">
        <w:rPr>
          <w:rFonts w:eastAsia="Calibri"/>
        </w:rPr>
        <w:t> </w:t>
      </w:r>
      <w:r w:rsidRPr="001B4CA2">
        <w:rPr>
          <w:rFonts w:eastAsia="Calibri"/>
        </w:rPr>
        <w:t xml:space="preserve">% ukupnog broja prijavljenih osoba, u ovom </w:t>
      </w:r>
      <w:r w:rsidR="00110CF9" w:rsidRPr="001B4CA2">
        <w:rPr>
          <w:rFonts w:eastAsia="Calibri"/>
        </w:rPr>
        <w:t xml:space="preserve">se </w:t>
      </w:r>
      <w:r w:rsidRPr="001B4CA2">
        <w:rPr>
          <w:rFonts w:eastAsia="Calibri"/>
        </w:rPr>
        <w:t>izvještajnom razdoblju bilježi porast udjela osoba prijavljenih za kaznena djela organiziranog kriminaliteta. I u odnosu na sam broj prijavljenih osoba, kao i u prethodnom izvještajnom razdoblju, bilježi se porast broja prijavljenih za 39,01</w:t>
      </w:r>
      <w:r w:rsidR="00110CF9">
        <w:rPr>
          <w:rFonts w:eastAsia="Calibri"/>
        </w:rPr>
        <w:t> </w:t>
      </w:r>
      <w:r w:rsidRPr="001B4CA2">
        <w:rPr>
          <w:rFonts w:eastAsia="Calibri"/>
        </w:rPr>
        <w:t>%.</w:t>
      </w:r>
    </w:p>
    <w:p w14:paraId="28CBEA72" w14:textId="77777777" w:rsidR="00980191" w:rsidRPr="001B4CA2" w:rsidRDefault="00980191" w:rsidP="00980191">
      <w:pPr>
        <w:rPr>
          <w:rFonts w:eastAsia="Calibri"/>
        </w:rPr>
      </w:pPr>
    </w:p>
    <w:p w14:paraId="31EDCF89" w14:textId="6603593E" w:rsidR="00980191" w:rsidRPr="001B4CA2" w:rsidRDefault="00980191" w:rsidP="00980191">
      <w:pPr>
        <w:rPr>
          <w:rFonts w:eastAsia="Calibri"/>
        </w:rPr>
      </w:pPr>
    </w:p>
    <w:p w14:paraId="2983855A" w14:textId="359FA1C4" w:rsidR="00955E23" w:rsidRPr="001B4CA2" w:rsidRDefault="00955E23" w:rsidP="00980191">
      <w:pPr>
        <w:rPr>
          <w:rFonts w:eastAsia="Calibri"/>
        </w:rPr>
      </w:pPr>
    </w:p>
    <w:p w14:paraId="480DAE66" w14:textId="4FE862DC" w:rsidR="00955E23" w:rsidRPr="001B4CA2" w:rsidRDefault="00955E23" w:rsidP="00980191">
      <w:pPr>
        <w:rPr>
          <w:rFonts w:eastAsia="Calibri"/>
        </w:rPr>
      </w:pPr>
    </w:p>
    <w:p w14:paraId="212569AA" w14:textId="217067A3" w:rsidR="00955E23" w:rsidRDefault="00955E23" w:rsidP="00980191">
      <w:pPr>
        <w:rPr>
          <w:rFonts w:eastAsia="Calibri"/>
        </w:rPr>
      </w:pPr>
    </w:p>
    <w:p w14:paraId="32D0494F" w14:textId="77777777" w:rsidR="00280ADB" w:rsidRPr="001B4CA2" w:rsidRDefault="00280ADB" w:rsidP="00980191">
      <w:pPr>
        <w:rPr>
          <w:rFonts w:eastAsia="Calibri"/>
        </w:rPr>
      </w:pPr>
    </w:p>
    <w:p w14:paraId="228E8B0B" w14:textId="77777777" w:rsidR="00955E23" w:rsidRPr="001B4CA2" w:rsidRDefault="00955E23" w:rsidP="00980191">
      <w:pPr>
        <w:rPr>
          <w:rFonts w:eastAsia="Calibri"/>
        </w:rPr>
      </w:pPr>
    </w:p>
    <w:p w14:paraId="0B3F967C" w14:textId="77777777" w:rsidR="00980191" w:rsidRPr="001B4CA2" w:rsidRDefault="00980191" w:rsidP="00980191">
      <w:pPr>
        <w:rPr>
          <w:rFonts w:eastAsia="Calibri"/>
          <w:bCs/>
        </w:rPr>
      </w:pPr>
      <w:r w:rsidRPr="001B4CA2">
        <w:rPr>
          <w:rFonts w:eastAsia="Calibri"/>
        </w:rPr>
        <w:lastRenderedPageBreak/>
        <w:t>Tablica 1.</w:t>
      </w:r>
      <w:r w:rsidRPr="001B4CA2">
        <w:rPr>
          <w:rFonts w:eastAsia="Calibri"/>
          <w:b/>
          <w:bCs/>
        </w:rPr>
        <w:t xml:space="preserve"> </w:t>
      </w:r>
      <w:r w:rsidRPr="001B4CA2">
        <w:rPr>
          <w:rFonts w:eastAsia="Calibri"/>
          <w:bCs/>
        </w:rPr>
        <w:t>Broj prijavljenih fizičkih i pravnih osoba za organizirani kriminalitet 2018. – 2022.</w:t>
      </w:r>
    </w:p>
    <w:p w14:paraId="76648735" w14:textId="4D11DEBC" w:rsidR="00CF341D" w:rsidRPr="001B4CA2" w:rsidRDefault="00CF341D" w:rsidP="009024DF">
      <w:pPr>
        <w:ind w:left="1701"/>
        <w:rPr>
          <w:i/>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75"/>
      </w:tblGrid>
      <w:tr w:rsidR="00532C41" w:rsidRPr="001B4CA2" w14:paraId="66517C52" w14:textId="77777777" w:rsidTr="007D3AEF">
        <w:trPr>
          <w:trHeight w:val="358"/>
        </w:trPr>
        <w:tc>
          <w:tcPr>
            <w:tcW w:w="3020" w:type="dxa"/>
            <w:shd w:val="clear" w:color="auto" w:fill="99CCFF"/>
            <w:vAlign w:val="center"/>
          </w:tcPr>
          <w:p w14:paraId="09A3F51E" w14:textId="77777777" w:rsidR="00CF341D" w:rsidRPr="001B4CA2" w:rsidRDefault="00CF341D" w:rsidP="00CF341D">
            <w:pPr>
              <w:jc w:val="center"/>
              <w:rPr>
                <w:rFonts w:eastAsia="Calibri"/>
                <w:b/>
                <w:sz w:val="18"/>
                <w:szCs w:val="18"/>
                <w:lang w:eastAsia="hr-HR"/>
              </w:rPr>
            </w:pPr>
            <w:r w:rsidRPr="001B4CA2">
              <w:rPr>
                <w:rFonts w:eastAsia="Calibri"/>
                <w:b/>
                <w:sz w:val="18"/>
                <w:szCs w:val="18"/>
                <w:lang w:eastAsia="hr-HR"/>
              </w:rPr>
              <w:t>Godina</w:t>
            </w:r>
          </w:p>
        </w:tc>
        <w:tc>
          <w:tcPr>
            <w:tcW w:w="3075" w:type="dxa"/>
            <w:shd w:val="clear" w:color="auto" w:fill="99CCFF"/>
            <w:vAlign w:val="center"/>
          </w:tcPr>
          <w:p w14:paraId="71FF32EC" w14:textId="77777777" w:rsidR="00CF341D" w:rsidRPr="001B4CA2" w:rsidRDefault="00CF341D" w:rsidP="00CF341D">
            <w:pPr>
              <w:jc w:val="center"/>
              <w:rPr>
                <w:rFonts w:eastAsia="Calibri"/>
                <w:b/>
                <w:sz w:val="18"/>
                <w:szCs w:val="18"/>
                <w:lang w:eastAsia="hr-HR"/>
              </w:rPr>
            </w:pPr>
            <w:r w:rsidRPr="001B4CA2">
              <w:rPr>
                <w:rFonts w:eastAsia="Calibri"/>
                <w:b/>
                <w:sz w:val="18"/>
                <w:szCs w:val="18"/>
                <w:lang w:eastAsia="hr-HR"/>
              </w:rPr>
              <w:t>Broj</w:t>
            </w:r>
          </w:p>
        </w:tc>
      </w:tr>
      <w:tr w:rsidR="000E2DE5" w:rsidRPr="001B4CA2" w14:paraId="5393D3DC" w14:textId="77777777" w:rsidTr="007D3AEF">
        <w:trPr>
          <w:trHeight w:val="358"/>
        </w:trPr>
        <w:tc>
          <w:tcPr>
            <w:tcW w:w="3020" w:type="dxa"/>
            <w:shd w:val="clear" w:color="auto" w:fill="auto"/>
            <w:vAlign w:val="center"/>
          </w:tcPr>
          <w:p w14:paraId="5F1B47E7" w14:textId="55366095" w:rsidR="000E2DE5" w:rsidRPr="001B4CA2" w:rsidRDefault="000E2DE5" w:rsidP="00CF341D">
            <w:pPr>
              <w:jc w:val="center"/>
              <w:rPr>
                <w:rFonts w:eastAsia="Calibri"/>
                <w:sz w:val="18"/>
                <w:szCs w:val="18"/>
                <w:lang w:eastAsia="hr-HR"/>
              </w:rPr>
            </w:pPr>
            <w:r w:rsidRPr="001B4CA2">
              <w:rPr>
                <w:rFonts w:eastAsia="Calibri"/>
                <w:sz w:val="18"/>
                <w:szCs w:val="18"/>
                <w:lang w:eastAsia="hr-HR"/>
              </w:rPr>
              <w:t>201</w:t>
            </w:r>
            <w:r w:rsidR="00980191" w:rsidRPr="001B4CA2">
              <w:rPr>
                <w:rFonts w:eastAsia="Calibri"/>
                <w:sz w:val="18"/>
                <w:szCs w:val="18"/>
                <w:lang w:eastAsia="hr-HR"/>
              </w:rPr>
              <w:t>8</w:t>
            </w:r>
            <w:r w:rsidRPr="001B4CA2">
              <w:rPr>
                <w:rFonts w:eastAsia="Calibri"/>
                <w:sz w:val="18"/>
                <w:szCs w:val="18"/>
                <w:lang w:eastAsia="hr-HR"/>
              </w:rPr>
              <w:t>.</w:t>
            </w:r>
          </w:p>
        </w:tc>
        <w:tc>
          <w:tcPr>
            <w:tcW w:w="3075" w:type="dxa"/>
            <w:shd w:val="clear" w:color="auto" w:fill="auto"/>
            <w:vAlign w:val="center"/>
          </w:tcPr>
          <w:p w14:paraId="34A25B42" w14:textId="34E09FD0" w:rsidR="000E2DE5" w:rsidRPr="001B4CA2" w:rsidRDefault="00980191" w:rsidP="00CF341D">
            <w:pPr>
              <w:jc w:val="center"/>
              <w:rPr>
                <w:rFonts w:eastAsia="Calibri"/>
                <w:sz w:val="18"/>
                <w:szCs w:val="18"/>
                <w:lang w:eastAsia="hr-HR"/>
              </w:rPr>
            </w:pPr>
            <w:r w:rsidRPr="001B4CA2">
              <w:rPr>
                <w:rFonts w:eastAsia="Calibri"/>
                <w:sz w:val="18"/>
                <w:szCs w:val="18"/>
                <w:lang w:eastAsia="hr-HR"/>
              </w:rPr>
              <w:t>373</w:t>
            </w:r>
          </w:p>
        </w:tc>
      </w:tr>
      <w:tr w:rsidR="000E2DE5" w:rsidRPr="001B4CA2" w14:paraId="425BF6BE" w14:textId="77777777" w:rsidTr="007D3AEF">
        <w:trPr>
          <w:trHeight w:val="339"/>
        </w:trPr>
        <w:tc>
          <w:tcPr>
            <w:tcW w:w="3020" w:type="dxa"/>
            <w:shd w:val="clear" w:color="auto" w:fill="auto"/>
            <w:vAlign w:val="center"/>
          </w:tcPr>
          <w:p w14:paraId="69337370" w14:textId="5DC842CA" w:rsidR="000E2DE5" w:rsidRPr="001B4CA2" w:rsidRDefault="000E2DE5" w:rsidP="00CF341D">
            <w:pPr>
              <w:jc w:val="center"/>
              <w:rPr>
                <w:rFonts w:eastAsia="Calibri"/>
                <w:sz w:val="18"/>
                <w:szCs w:val="18"/>
                <w:lang w:eastAsia="hr-HR"/>
              </w:rPr>
            </w:pPr>
            <w:r w:rsidRPr="001B4CA2">
              <w:rPr>
                <w:rFonts w:eastAsia="Calibri"/>
                <w:sz w:val="18"/>
                <w:szCs w:val="18"/>
                <w:lang w:eastAsia="hr-HR"/>
              </w:rPr>
              <w:t>201</w:t>
            </w:r>
            <w:r w:rsidR="00980191" w:rsidRPr="001B4CA2">
              <w:rPr>
                <w:rFonts w:eastAsia="Calibri"/>
                <w:sz w:val="18"/>
                <w:szCs w:val="18"/>
                <w:lang w:eastAsia="hr-HR"/>
              </w:rPr>
              <w:t>9</w:t>
            </w:r>
            <w:r w:rsidRPr="001B4CA2">
              <w:rPr>
                <w:rFonts w:eastAsia="Calibri"/>
                <w:sz w:val="18"/>
                <w:szCs w:val="18"/>
                <w:lang w:eastAsia="hr-HR"/>
              </w:rPr>
              <w:t>.</w:t>
            </w:r>
          </w:p>
        </w:tc>
        <w:tc>
          <w:tcPr>
            <w:tcW w:w="3075" w:type="dxa"/>
            <w:shd w:val="clear" w:color="auto" w:fill="auto"/>
            <w:vAlign w:val="center"/>
          </w:tcPr>
          <w:p w14:paraId="75E08BB1" w14:textId="7E144CF0" w:rsidR="000E2DE5" w:rsidRPr="001B4CA2" w:rsidRDefault="00980191" w:rsidP="00CF341D">
            <w:pPr>
              <w:jc w:val="center"/>
              <w:rPr>
                <w:rFonts w:eastAsia="Calibri"/>
                <w:sz w:val="18"/>
                <w:szCs w:val="18"/>
                <w:lang w:eastAsia="hr-HR"/>
              </w:rPr>
            </w:pPr>
            <w:r w:rsidRPr="001B4CA2">
              <w:rPr>
                <w:rFonts w:eastAsia="Calibri"/>
                <w:sz w:val="18"/>
                <w:szCs w:val="18"/>
                <w:lang w:eastAsia="hr-HR"/>
              </w:rPr>
              <w:t>362</w:t>
            </w:r>
          </w:p>
        </w:tc>
      </w:tr>
      <w:tr w:rsidR="000E2DE5" w:rsidRPr="001B4CA2" w14:paraId="11DF672E" w14:textId="77777777" w:rsidTr="007D3AEF">
        <w:trPr>
          <w:trHeight w:val="339"/>
        </w:trPr>
        <w:tc>
          <w:tcPr>
            <w:tcW w:w="3020" w:type="dxa"/>
            <w:shd w:val="clear" w:color="auto" w:fill="auto"/>
            <w:vAlign w:val="center"/>
          </w:tcPr>
          <w:p w14:paraId="5D15B103" w14:textId="39155798" w:rsidR="000E2DE5" w:rsidRPr="001B4CA2" w:rsidRDefault="000E2DE5" w:rsidP="00CF341D">
            <w:pPr>
              <w:jc w:val="center"/>
              <w:rPr>
                <w:rFonts w:eastAsia="Calibri"/>
                <w:sz w:val="18"/>
                <w:szCs w:val="18"/>
                <w:lang w:eastAsia="hr-HR"/>
              </w:rPr>
            </w:pPr>
            <w:r w:rsidRPr="001B4CA2">
              <w:rPr>
                <w:rFonts w:eastAsia="Calibri"/>
                <w:sz w:val="18"/>
                <w:szCs w:val="18"/>
                <w:lang w:eastAsia="hr-HR"/>
              </w:rPr>
              <w:t>20</w:t>
            </w:r>
            <w:r w:rsidR="00980191" w:rsidRPr="001B4CA2">
              <w:rPr>
                <w:rFonts w:eastAsia="Calibri"/>
                <w:sz w:val="18"/>
                <w:szCs w:val="18"/>
                <w:lang w:eastAsia="hr-HR"/>
              </w:rPr>
              <w:t>20</w:t>
            </w:r>
            <w:r w:rsidRPr="001B4CA2">
              <w:rPr>
                <w:rFonts w:eastAsia="Calibri"/>
                <w:sz w:val="18"/>
                <w:szCs w:val="18"/>
                <w:lang w:eastAsia="hr-HR"/>
              </w:rPr>
              <w:t>.</w:t>
            </w:r>
          </w:p>
        </w:tc>
        <w:tc>
          <w:tcPr>
            <w:tcW w:w="3075" w:type="dxa"/>
            <w:shd w:val="clear" w:color="auto" w:fill="auto"/>
            <w:vAlign w:val="center"/>
          </w:tcPr>
          <w:p w14:paraId="24349FB3" w14:textId="1182CC08" w:rsidR="000E2DE5" w:rsidRPr="001B4CA2" w:rsidRDefault="00980191" w:rsidP="00CF341D">
            <w:pPr>
              <w:jc w:val="center"/>
              <w:rPr>
                <w:rFonts w:eastAsia="Calibri"/>
                <w:sz w:val="18"/>
                <w:szCs w:val="18"/>
                <w:lang w:eastAsia="hr-HR"/>
              </w:rPr>
            </w:pPr>
            <w:r w:rsidRPr="001B4CA2">
              <w:rPr>
                <w:rFonts w:eastAsia="Calibri"/>
                <w:sz w:val="18"/>
                <w:szCs w:val="18"/>
                <w:lang w:eastAsia="hr-HR"/>
              </w:rPr>
              <w:t>448</w:t>
            </w:r>
          </w:p>
        </w:tc>
      </w:tr>
      <w:tr w:rsidR="000E2DE5" w:rsidRPr="001B4CA2" w14:paraId="34A35F24" w14:textId="77777777" w:rsidTr="007D3AEF">
        <w:trPr>
          <w:trHeight w:val="339"/>
        </w:trPr>
        <w:tc>
          <w:tcPr>
            <w:tcW w:w="3020" w:type="dxa"/>
            <w:shd w:val="clear" w:color="auto" w:fill="auto"/>
            <w:vAlign w:val="center"/>
          </w:tcPr>
          <w:p w14:paraId="12E34D7C" w14:textId="3CB7BF10" w:rsidR="000E2DE5" w:rsidRPr="001B4CA2" w:rsidRDefault="000E2DE5" w:rsidP="00CF341D">
            <w:pPr>
              <w:jc w:val="center"/>
              <w:rPr>
                <w:rFonts w:eastAsia="Calibri"/>
                <w:sz w:val="18"/>
                <w:szCs w:val="18"/>
                <w:lang w:eastAsia="hr-HR"/>
              </w:rPr>
            </w:pPr>
            <w:r w:rsidRPr="001B4CA2">
              <w:rPr>
                <w:rFonts w:eastAsia="Calibri"/>
                <w:sz w:val="18"/>
                <w:szCs w:val="18"/>
                <w:lang w:eastAsia="hr-HR"/>
              </w:rPr>
              <w:t>202</w:t>
            </w:r>
            <w:r w:rsidR="00980191" w:rsidRPr="001B4CA2">
              <w:rPr>
                <w:rFonts w:eastAsia="Calibri"/>
                <w:sz w:val="18"/>
                <w:szCs w:val="18"/>
                <w:lang w:eastAsia="hr-HR"/>
              </w:rPr>
              <w:t>1</w:t>
            </w:r>
            <w:r w:rsidRPr="001B4CA2">
              <w:rPr>
                <w:rFonts w:eastAsia="Calibri"/>
                <w:sz w:val="18"/>
                <w:szCs w:val="18"/>
                <w:lang w:eastAsia="hr-HR"/>
              </w:rPr>
              <w:t>.</w:t>
            </w:r>
          </w:p>
        </w:tc>
        <w:tc>
          <w:tcPr>
            <w:tcW w:w="3075" w:type="dxa"/>
            <w:shd w:val="clear" w:color="auto" w:fill="auto"/>
            <w:vAlign w:val="center"/>
          </w:tcPr>
          <w:p w14:paraId="35205681" w14:textId="6A562B08" w:rsidR="000E2DE5" w:rsidRPr="001B4CA2" w:rsidRDefault="00980191" w:rsidP="00CF341D">
            <w:pPr>
              <w:jc w:val="center"/>
              <w:rPr>
                <w:rFonts w:eastAsia="Calibri"/>
                <w:sz w:val="18"/>
                <w:szCs w:val="18"/>
                <w:lang w:eastAsia="hr-HR"/>
              </w:rPr>
            </w:pPr>
            <w:r w:rsidRPr="001B4CA2">
              <w:rPr>
                <w:rFonts w:eastAsia="Calibri"/>
                <w:sz w:val="18"/>
                <w:szCs w:val="18"/>
                <w:lang w:eastAsia="hr-HR"/>
              </w:rPr>
              <w:t>546</w:t>
            </w:r>
          </w:p>
        </w:tc>
      </w:tr>
      <w:tr w:rsidR="000E2DE5" w:rsidRPr="001B4CA2" w14:paraId="5C55836A" w14:textId="77777777" w:rsidTr="007D3AEF">
        <w:trPr>
          <w:trHeight w:val="339"/>
        </w:trPr>
        <w:tc>
          <w:tcPr>
            <w:tcW w:w="3020" w:type="dxa"/>
            <w:shd w:val="clear" w:color="auto" w:fill="auto"/>
            <w:vAlign w:val="center"/>
          </w:tcPr>
          <w:p w14:paraId="4285F852" w14:textId="060483DC" w:rsidR="000E2DE5" w:rsidRPr="001B4CA2" w:rsidRDefault="000E2DE5" w:rsidP="00CF341D">
            <w:pPr>
              <w:jc w:val="center"/>
              <w:rPr>
                <w:rFonts w:eastAsia="Calibri"/>
                <w:sz w:val="18"/>
                <w:szCs w:val="18"/>
                <w:lang w:eastAsia="hr-HR"/>
              </w:rPr>
            </w:pPr>
            <w:r w:rsidRPr="001B4CA2">
              <w:rPr>
                <w:rFonts w:eastAsia="Calibri"/>
                <w:sz w:val="18"/>
                <w:szCs w:val="18"/>
                <w:lang w:eastAsia="hr-HR"/>
              </w:rPr>
              <w:t>202</w:t>
            </w:r>
            <w:r w:rsidR="00980191" w:rsidRPr="001B4CA2">
              <w:rPr>
                <w:rFonts w:eastAsia="Calibri"/>
                <w:sz w:val="18"/>
                <w:szCs w:val="18"/>
                <w:lang w:eastAsia="hr-HR"/>
              </w:rPr>
              <w:t>2</w:t>
            </w:r>
            <w:r w:rsidRPr="001B4CA2">
              <w:rPr>
                <w:rFonts w:eastAsia="Calibri"/>
                <w:sz w:val="18"/>
                <w:szCs w:val="18"/>
                <w:lang w:eastAsia="hr-HR"/>
              </w:rPr>
              <w:t>.</w:t>
            </w:r>
          </w:p>
        </w:tc>
        <w:tc>
          <w:tcPr>
            <w:tcW w:w="3075" w:type="dxa"/>
            <w:shd w:val="clear" w:color="auto" w:fill="auto"/>
            <w:vAlign w:val="center"/>
          </w:tcPr>
          <w:p w14:paraId="28944CDD" w14:textId="2DF28CD7" w:rsidR="000E2DE5" w:rsidRPr="001B4CA2" w:rsidRDefault="00980191" w:rsidP="00CF341D">
            <w:pPr>
              <w:jc w:val="center"/>
              <w:rPr>
                <w:rFonts w:eastAsia="Calibri"/>
                <w:sz w:val="18"/>
                <w:szCs w:val="18"/>
                <w:lang w:eastAsia="hr-HR"/>
              </w:rPr>
            </w:pPr>
            <w:r w:rsidRPr="001B4CA2">
              <w:rPr>
                <w:rFonts w:eastAsia="Calibri"/>
                <w:sz w:val="18"/>
                <w:szCs w:val="18"/>
                <w:lang w:eastAsia="hr-HR"/>
              </w:rPr>
              <w:t>759</w:t>
            </w:r>
          </w:p>
        </w:tc>
      </w:tr>
    </w:tbl>
    <w:p w14:paraId="4DE2A427" w14:textId="77777777" w:rsidR="00F54622" w:rsidRPr="001B4CA2" w:rsidRDefault="00F54622" w:rsidP="00F54622"/>
    <w:p w14:paraId="2DD304D9" w14:textId="16C36D9A" w:rsidR="00980191" w:rsidRPr="001B4CA2" w:rsidRDefault="00980191" w:rsidP="00980191">
      <w:pPr>
        <w:ind w:firstLine="708"/>
        <w:rPr>
          <w:rFonts w:eastAsia="Calibri"/>
        </w:rPr>
      </w:pPr>
      <w:r w:rsidRPr="001B4CA2">
        <w:rPr>
          <w:rFonts w:eastAsia="Calibri"/>
        </w:rPr>
        <w:t>U izvještajnom razdoblju meritorno je riješeno svih 759 prijava koje su bile u radu, i to na način da je pokrenut</w:t>
      </w:r>
      <w:r w:rsidR="00110CF9">
        <w:rPr>
          <w:rFonts w:eastAsia="Calibri"/>
        </w:rPr>
        <w:t>a</w:t>
      </w:r>
      <w:r w:rsidRPr="001B4CA2">
        <w:rPr>
          <w:rFonts w:eastAsia="Calibri"/>
        </w:rPr>
        <w:t xml:space="preserve"> 491 istraga (64,69</w:t>
      </w:r>
      <w:r w:rsidR="00110CF9">
        <w:rPr>
          <w:rFonts w:eastAsia="Calibri"/>
        </w:rPr>
        <w:t> </w:t>
      </w:r>
      <w:r w:rsidRPr="001B4CA2">
        <w:rPr>
          <w:rFonts w:eastAsia="Calibri"/>
        </w:rPr>
        <w:t>%), 261 prijav</w:t>
      </w:r>
      <w:r w:rsidR="00110CF9">
        <w:rPr>
          <w:rFonts w:eastAsia="Calibri"/>
        </w:rPr>
        <w:t>a</w:t>
      </w:r>
      <w:r w:rsidRPr="001B4CA2">
        <w:rPr>
          <w:rFonts w:eastAsia="Calibri"/>
        </w:rPr>
        <w:t xml:space="preserve"> riješen</w:t>
      </w:r>
      <w:r w:rsidR="00110CF9">
        <w:rPr>
          <w:rFonts w:eastAsia="Calibri"/>
        </w:rPr>
        <w:t>a je</w:t>
      </w:r>
      <w:r w:rsidRPr="001B4CA2">
        <w:rPr>
          <w:rFonts w:eastAsia="Calibri"/>
        </w:rPr>
        <w:t xml:space="preserve"> odbačajem (34,39</w:t>
      </w:r>
      <w:r w:rsidR="00110CF9">
        <w:rPr>
          <w:rFonts w:eastAsia="Calibri"/>
        </w:rPr>
        <w:t> </w:t>
      </w:r>
      <w:r w:rsidRPr="001B4CA2">
        <w:rPr>
          <w:rFonts w:eastAsia="Calibri"/>
        </w:rPr>
        <w:t>%), dok su u odnosu na 7 osoba</w:t>
      </w:r>
      <w:r w:rsidR="00FD08E9">
        <w:rPr>
          <w:rFonts w:eastAsia="Calibri"/>
        </w:rPr>
        <w:t xml:space="preserve"> </w:t>
      </w:r>
      <w:r w:rsidRPr="001B4CA2">
        <w:rPr>
          <w:rFonts w:eastAsia="Calibri"/>
        </w:rPr>
        <w:t>prijave riješene na drugi način, odnosno spajanjem na druge kaznene prijave (0,92</w:t>
      </w:r>
      <w:r w:rsidR="00110CF9">
        <w:rPr>
          <w:rFonts w:eastAsia="Calibri"/>
        </w:rPr>
        <w:t> </w:t>
      </w:r>
      <w:r w:rsidRPr="001B4CA2">
        <w:rPr>
          <w:rFonts w:eastAsia="Calibri"/>
        </w:rPr>
        <w:t xml:space="preserve">%). </w:t>
      </w:r>
    </w:p>
    <w:p w14:paraId="136DD1ED" w14:textId="77777777" w:rsidR="00980191" w:rsidRPr="001B4CA2" w:rsidRDefault="00980191" w:rsidP="00980191">
      <w:pPr>
        <w:rPr>
          <w:rFonts w:eastAsia="Calibri"/>
        </w:rPr>
      </w:pPr>
    </w:p>
    <w:p w14:paraId="771B2372" w14:textId="246470C2" w:rsidR="00980191" w:rsidRPr="001B4CA2" w:rsidRDefault="00980191" w:rsidP="00980191">
      <w:pPr>
        <w:ind w:firstLine="708"/>
        <w:rPr>
          <w:rFonts w:eastAsia="Calibri"/>
        </w:rPr>
      </w:pPr>
      <w:r w:rsidRPr="001B4CA2">
        <w:rPr>
          <w:rFonts w:eastAsia="Calibri"/>
        </w:rPr>
        <w:t>Kako je u prethodnom izvještajnom razdoblju pokrenuto 269 istraga, to se ovom izvještajnom razdoblju bilježi značajan porast broja donesenih rješenja o provođenju istrage za čak 82,53</w:t>
      </w:r>
      <w:r w:rsidR="00110CF9">
        <w:rPr>
          <w:rFonts w:eastAsia="Calibri"/>
        </w:rPr>
        <w:t> </w:t>
      </w:r>
      <w:r w:rsidRPr="001B4CA2">
        <w:rPr>
          <w:rFonts w:eastAsia="Calibri"/>
        </w:rPr>
        <w:t>%. Broj prijava riješenih odbačajem na razini je onog iz prethodnog izvještajnog razdoblja (2021. –</w:t>
      </w:r>
      <w:r w:rsidR="00FD08E9">
        <w:rPr>
          <w:rFonts w:eastAsia="Calibri"/>
        </w:rPr>
        <w:t xml:space="preserve"> </w:t>
      </w:r>
      <w:r w:rsidRPr="001B4CA2">
        <w:rPr>
          <w:rFonts w:eastAsia="Calibri"/>
        </w:rPr>
        <w:t xml:space="preserve">242). U odnosu na odbačene kaznene prijave </w:t>
      </w:r>
      <w:r w:rsidR="00110CF9">
        <w:rPr>
          <w:rFonts w:eastAsia="Calibri"/>
        </w:rPr>
        <w:t>riječ je</w:t>
      </w:r>
      <w:r w:rsidRPr="001B4CA2">
        <w:rPr>
          <w:rFonts w:eastAsia="Calibri"/>
        </w:rPr>
        <w:t xml:space="preserve"> o kaznenim prijavama koje su podnijeli</w:t>
      </w:r>
      <w:r w:rsidR="00FD08E9">
        <w:rPr>
          <w:rFonts w:eastAsia="Calibri"/>
        </w:rPr>
        <w:t xml:space="preserve"> </w:t>
      </w:r>
      <w:r w:rsidRPr="001B4CA2">
        <w:rPr>
          <w:rFonts w:eastAsia="Calibri"/>
        </w:rPr>
        <w:t>građani koji prijavljuju veći broj osoba za počinjenje raznih kaznenih djela za koja tvrde da su počinjenja u sastavu zločinačkog udruženja. Tako je od ukupno 258</w:t>
      </w:r>
      <w:r w:rsidR="00FD08E9">
        <w:rPr>
          <w:rFonts w:eastAsia="Calibri"/>
        </w:rPr>
        <w:t xml:space="preserve"> </w:t>
      </w:r>
      <w:r w:rsidRPr="001B4CA2">
        <w:rPr>
          <w:rFonts w:eastAsia="Calibri"/>
        </w:rPr>
        <w:t>prijavljenih osoba za kazneno djelo zločinačko udruženje iz članka 328. Kaznenog zakona/11 u odnosu na 223 prijavljene osobe doneseno rješenje o odbačaju kaznene prijave.</w:t>
      </w:r>
    </w:p>
    <w:p w14:paraId="672BCF03" w14:textId="77777777" w:rsidR="00980191" w:rsidRPr="001B4CA2" w:rsidRDefault="00980191" w:rsidP="00980191">
      <w:pPr>
        <w:rPr>
          <w:rFonts w:eastAsia="Calibri"/>
        </w:rPr>
      </w:pPr>
    </w:p>
    <w:p w14:paraId="16B19702" w14:textId="178B60C5" w:rsidR="00980191" w:rsidRPr="001B4CA2" w:rsidRDefault="00980191" w:rsidP="00980191">
      <w:pPr>
        <w:ind w:firstLine="708"/>
        <w:rPr>
          <w:rFonts w:eastAsia="Calibri"/>
        </w:rPr>
      </w:pPr>
      <w:r w:rsidRPr="001B4CA2">
        <w:rPr>
          <w:rFonts w:eastAsia="Calibri"/>
        </w:rPr>
        <w:t>Ured je tijekom ovog izvještajnog razdoblja po dovršenoj istrazi donio ukupno 292 odluke</w:t>
      </w:r>
      <w:r w:rsidR="00110CF9">
        <w:rPr>
          <w:rFonts w:eastAsia="Calibri"/>
        </w:rPr>
        <w:t>,</w:t>
      </w:r>
      <w:r w:rsidRPr="001B4CA2">
        <w:rPr>
          <w:rFonts w:eastAsia="Calibri"/>
        </w:rPr>
        <w:t xml:space="preserve"> od čega je 267 osoba optuženo (91,44</w:t>
      </w:r>
      <w:r w:rsidR="00110CF9">
        <w:rPr>
          <w:rFonts w:eastAsia="Calibri"/>
        </w:rPr>
        <w:t> </w:t>
      </w:r>
      <w:r w:rsidRPr="001B4CA2">
        <w:rPr>
          <w:rFonts w:eastAsia="Calibri"/>
        </w:rPr>
        <w:t>%), u odnosu na 18 osoba doneseno je rješenje o obustavi istrage (6,16</w:t>
      </w:r>
      <w:r w:rsidR="00110CF9">
        <w:rPr>
          <w:rFonts w:eastAsia="Calibri"/>
        </w:rPr>
        <w:t> </w:t>
      </w:r>
      <w:r w:rsidRPr="001B4CA2">
        <w:rPr>
          <w:rFonts w:eastAsia="Calibri"/>
        </w:rPr>
        <w:t>%), 1 prijava je ustupljena (0,34</w:t>
      </w:r>
      <w:r w:rsidR="00110CF9">
        <w:rPr>
          <w:rFonts w:eastAsia="Calibri"/>
        </w:rPr>
        <w:t> </w:t>
      </w:r>
      <w:r w:rsidRPr="001B4CA2">
        <w:rPr>
          <w:rFonts w:eastAsia="Calibri"/>
        </w:rPr>
        <w:t>%),</w:t>
      </w:r>
      <w:r w:rsidR="00FD08E9">
        <w:rPr>
          <w:rFonts w:eastAsia="Calibri"/>
        </w:rPr>
        <w:t xml:space="preserve"> </w:t>
      </w:r>
      <w:r w:rsidRPr="001B4CA2">
        <w:rPr>
          <w:rFonts w:eastAsia="Calibri"/>
        </w:rPr>
        <w:t>dok je 6 istraga riješeno na drugi način (2,05</w:t>
      </w:r>
      <w:r w:rsidR="00110CF9">
        <w:rPr>
          <w:rFonts w:eastAsia="Calibri"/>
        </w:rPr>
        <w:t> </w:t>
      </w:r>
      <w:r w:rsidRPr="001B4CA2">
        <w:rPr>
          <w:rFonts w:eastAsia="Calibri"/>
        </w:rPr>
        <w:t xml:space="preserve">%). Kako je Ured u 2021. godini po dovršenoj istrazi donio ukupno 258 odluka, u izvještajnom </w:t>
      </w:r>
      <w:r w:rsidR="00110CF9" w:rsidRPr="001B4CA2">
        <w:rPr>
          <w:rFonts w:eastAsia="Calibri"/>
        </w:rPr>
        <w:t xml:space="preserve">se </w:t>
      </w:r>
      <w:r w:rsidRPr="001B4CA2">
        <w:rPr>
          <w:rFonts w:eastAsia="Calibri"/>
        </w:rPr>
        <w:t>razdoblju bilježi porast broja donesenih odluka za 13,18</w:t>
      </w:r>
      <w:r w:rsidR="00110CF9">
        <w:rPr>
          <w:rFonts w:eastAsia="Calibri"/>
        </w:rPr>
        <w:t> </w:t>
      </w:r>
      <w:r w:rsidRPr="001B4CA2">
        <w:rPr>
          <w:rFonts w:eastAsia="Calibri"/>
        </w:rPr>
        <w:t>%. Pritom se bilježi porast broja podignutih optužnica</w:t>
      </w:r>
      <w:r w:rsidR="00110CF9">
        <w:rPr>
          <w:rFonts w:eastAsia="Calibri"/>
        </w:rPr>
        <w:t>,</w:t>
      </w:r>
      <w:r w:rsidRPr="001B4CA2">
        <w:rPr>
          <w:rFonts w:eastAsia="Calibri"/>
        </w:rPr>
        <w:t xml:space="preserve"> i to za 9,88</w:t>
      </w:r>
      <w:r w:rsidR="00110CF9">
        <w:rPr>
          <w:rFonts w:eastAsia="Calibri"/>
        </w:rPr>
        <w:t> </w:t>
      </w:r>
      <w:r w:rsidRPr="001B4CA2">
        <w:rPr>
          <w:rFonts w:eastAsia="Calibri"/>
        </w:rPr>
        <w:t>% (2021. – njih 243) kao i porast broja rješenja o obustavi istrage za 200</w:t>
      </w:r>
      <w:r w:rsidR="00110CF9">
        <w:rPr>
          <w:rFonts w:eastAsia="Calibri"/>
        </w:rPr>
        <w:t> </w:t>
      </w:r>
      <w:r w:rsidRPr="001B4CA2">
        <w:rPr>
          <w:rFonts w:eastAsia="Calibri"/>
        </w:rPr>
        <w:t>%, no realno se radi o 12 obustava više. Valja navesti kako se od ovih 18 obustavljenih istraga njih 13 odnosi na pravne osobe u odnosu na koje je istraga obustavljena</w:t>
      </w:r>
      <w:r w:rsidR="00110CF9">
        <w:rPr>
          <w:rFonts w:eastAsia="Calibri"/>
        </w:rPr>
        <w:t>,</w:t>
      </w:r>
      <w:r w:rsidRPr="001B4CA2">
        <w:rPr>
          <w:rFonts w:eastAsia="Calibri"/>
        </w:rPr>
        <w:t xml:space="preserve"> budući da su </w:t>
      </w:r>
      <w:r w:rsidR="00110CF9">
        <w:rPr>
          <w:rFonts w:eastAsia="Calibri"/>
        </w:rPr>
        <w:t>one</w:t>
      </w:r>
      <w:r w:rsidRPr="001B4CA2">
        <w:rPr>
          <w:rFonts w:eastAsia="Calibri"/>
        </w:rPr>
        <w:t xml:space="preserve"> prestale postojati. </w:t>
      </w:r>
    </w:p>
    <w:p w14:paraId="35FAF74D" w14:textId="77777777" w:rsidR="00980191" w:rsidRPr="001B4CA2" w:rsidRDefault="00980191" w:rsidP="00980191">
      <w:pPr>
        <w:rPr>
          <w:rFonts w:eastAsia="Calibri"/>
          <w:b/>
        </w:rPr>
      </w:pPr>
    </w:p>
    <w:p w14:paraId="77EE1B10" w14:textId="1F7EFC94" w:rsidR="00980191" w:rsidRPr="001B4CA2" w:rsidRDefault="00980191" w:rsidP="00980191">
      <w:pPr>
        <w:ind w:firstLine="708"/>
        <w:rPr>
          <w:rFonts w:eastAsia="Calibri"/>
        </w:rPr>
      </w:pPr>
      <w:r w:rsidRPr="001B4CA2">
        <w:rPr>
          <w:rFonts w:eastAsia="Calibri"/>
        </w:rPr>
        <w:t>Sudovi su u ovom izvještajnom razdoblju donijeli ukupno 250 presuda zbog kaznenih djela organiziranog kriminaliteta</w:t>
      </w:r>
      <w:r w:rsidR="00110CF9">
        <w:rPr>
          <w:rFonts w:eastAsia="Calibri"/>
        </w:rPr>
        <w:t>,</w:t>
      </w:r>
      <w:r w:rsidRPr="001B4CA2">
        <w:rPr>
          <w:rFonts w:eastAsia="Calibri"/>
        </w:rPr>
        <w:t xml:space="preserve"> što je na razini 2021. godin</w:t>
      </w:r>
      <w:r w:rsidR="00110CF9">
        <w:rPr>
          <w:rFonts w:eastAsia="Calibri"/>
        </w:rPr>
        <w:t>e</w:t>
      </w:r>
      <w:r w:rsidRPr="001B4CA2">
        <w:rPr>
          <w:rFonts w:eastAsia="Calibri"/>
        </w:rPr>
        <w:t xml:space="preserve"> kada je doneseno 238 presuda. </w:t>
      </w:r>
    </w:p>
    <w:p w14:paraId="049129B4" w14:textId="5211378B" w:rsidR="00980191" w:rsidRPr="001B4CA2" w:rsidRDefault="00980191" w:rsidP="00980191">
      <w:pPr>
        <w:rPr>
          <w:rFonts w:eastAsia="Calibri"/>
          <w:b/>
        </w:rPr>
      </w:pPr>
    </w:p>
    <w:p w14:paraId="798CBA0A" w14:textId="26CA1D14" w:rsidR="00D8449C" w:rsidRPr="001B4CA2" w:rsidRDefault="00D8449C" w:rsidP="00980191">
      <w:pPr>
        <w:rPr>
          <w:rFonts w:eastAsia="Calibri"/>
          <w:b/>
        </w:rPr>
      </w:pPr>
    </w:p>
    <w:p w14:paraId="32CA3D17" w14:textId="1396775F" w:rsidR="00D8449C" w:rsidRPr="001B4CA2" w:rsidRDefault="00D8449C" w:rsidP="00980191">
      <w:pPr>
        <w:rPr>
          <w:rFonts w:eastAsia="Calibri"/>
          <w:b/>
        </w:rPr>
      </w:pPr>
    </w:p>
    <w:p w14:paraId="0E6E2D17" w14:textId="33C479F6" w:rsidR="00D8449C" w:rsidRPr="001B4CA2" w:rsidRDefault="00D8449C" w:rsidP="00980191">
      <w:pPr>
        <w:rPr>
          <w:rFonts w:eastAsia="Calibri"/>
          <w:b/>
        </w:rPr>
      </w:pPr>
    </w:p>
    <w:p w14:paraId="1387AB76" w14:textId="56C98038" w:rsidR="00D8449C" w:rsidRPr="001B4CA2" w:rsidRDefault="00D8449C" w:rsidP="00980191">
      <w:pPr>
        <w:rPr>
          <w:rFonts w:eastAsia="Calibri"/>
          <w:b/>
        </w:rPr>
      </w:pPr>
    </w:p>
    <w:p w14:paraId="0B48C096" w14:textId="0110DE9D" w:rsidR="00D8449C" w:rsidRPr="001B4CA2" w:rsidRDefault="00D8449C" w:rsidP="00980191">
      <w:pPr>
        <w:rPr>
          <w:rFonts w:eastAsia="Calibri"/>
          <w:b/>
        </w:rPr>
      </w:pPr>
    </w:p>
    <w:p w14:paraId="7F38CF46" w14:textId="4174B102" w:rsidR="00D8449C" w:rsidRPr="001B4CA2" w:rsidRDefault="00D8449C" w:rsidP="00980191">
      <w:pPr>
        <w:rPr>
          <w:rFonts w:eastAsia="Calibri"/>
          <w:b/>
        </w:rPr>
      </w:pPr>
    </w:p>
    <w:p w14:paraId="34B7736B" w14:textId="7CD3939A" w:rsidR="00D8449C" w:rsidRPr="001B4CA2" w:rsidRDefault="00D8449C" w:rsidP="00980191">
      <w:pPr>
        <w:rPr>
          <w:rFonts w:eastAsia="Calibri"/>
          <w:b/>
        </w:rPr>
      </w:pPr>
    </w:p>
    <w:p w14:paraId="5BD282F0" w14:textId="77777777" w:rsidR="00D8449C" w:rsidRPr="001B4CA2" w:rsidRDefault="00D8449C" w:rsidP="00980191">
      <w:pPr>
        <w:rPr>
          <w:rFonts w:eastAsia="Calibri"/>
          <w:b/>
        </w:rPr>
      </w:pPr>
    </w:p>
    <w:p w14:paraId="4FF99FA7" w14:textId="77777777" w:rsidR="00980191" w:rsidRPr="001B4CA2" w:rsidRDefault="00980191" w:rsidP="00980191">
      <w:pPr>
        <w:rPr>
          <w:rFonts w:eastAsia="Calibri"/>
          <w:bCs/>
        </w:rPr>
      </w:pPr>
      <w:r w:rsidRPr="001B4CA2">
        <w:rPr>
          <w:rFonts w:eastAsia="Calibri"/>
        </w:rPr>
        <w:lastRenderedPageBreak/>
        <w:t xml:space="preserve">Tablica 2. </w:t>
      </w:r>
      <w:r w:rsidRPr="001B4CA2">
        <w:rPr>
          <w:rFonts w:eastAsia="Calibri"/>
          <w:bCs/>
        </w:rPr>
        <w:t>Broj presuda u periodu 2018. – 2022.</w:t>
      </w:r>
    </w:p>
    <w:p w14:paraId="2C0BF285" w14:textId="77777777" w:rsidR="00D3013F" w:rsidRPr="001B4CA2" w:rsidRDefault="00D3013F" w:rsidP="00F54622">
      <w:pPr>
        <w:rPr>
          <w:rFonts w:eastAsia="Calibri"/>
          <w:lang w:eastAsia="hr-HR"/>
        </w:rPr>
      </w:pPr>
    </w:p>
    <w:p w14:paraId="1749FE76" w14:textId="2FC6C3FC" w:rsidR="00CF341D" w:rsidRPr="001B4CA2" w:rsidRDefault="00CF341D" w:rsidP="008E13B7">
      <w:pPr>
        <w:ind w:left="1985"/>
        <w:rPr>
          <w:i/>
        </w:rPr>
      </w:pPr>
      <w:r w:rsidRPr="001B4CA2">
        <w:rPr>
          <w:i/>
        </w:rPr>
        <w:t>Broj presuda u razdoblju</w:t>
      </w:r>
      <w:r w:rsidR="008E13B7" w:rsidRPr="001B4CA2">
        <w:rPr>
          <w:i/>
        </w:rPr>
        <w:t xml:space="preserve"> 2017. – 2021</w:t>
      </w:r>
      <w:r w:rsidRPr="001B4CA2">
        <w:rPr>
          <w:i/>
        </w:rPr>
        <w:t>.</w:t>
      </w:r>
    </w:p>
    <w:tbl>
      <w:tblPr>
        <w:tblW w:w="0" w:type="auto"/>
        <w:tblInd w:w="1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2713"/>
      </w:tblGrid>
      <w:tr w:rsidR="000930F3" w:rsidRPr="001B4CA2" w14:paraId="0895EC22" w14:textId="77777777" w:rsidTr="00EF7FE4">
        <w:trPr>
          <w:trHeight w:val="416"/>
        </w:trPr>
        <w:tc>
          <w:tcPr>
            <w:tcW w:w="3034" w:type="dxa"/>
            <w:shd w:val="clear" w:color="auto" w:fill="99CCFF"/>
            <w:vAlign w:val="center"/>
          </w:tcPr>
          <w:p w14:paraId="0CB3AF17" w14:textId="77777777" w:rsidR="00CF341D" w:rsidRPr="001B4CA2" w:rsidRDefault="00CF341D" w:rsidP="00CF341D">
            <w:pPr>
              <w:jc w:val="center"/>
              <w:rPr>
                <w:rFonts w:eastAsia="Calibri"/>
                <w:b/>
                <w:sz w:val="18"/>
                <w:szCs w:val="18"/>
                <w:lang w:eastAsia="hr-HR"/>
              </w:rPr>
            </w:pPr>
            <w:r w:rsidRPr="001B4CA2">
              <w:rPr>
                <w:rFonts w:eastAsia="Calibri"/>
                <w:b/>
                <w:sz w:val="18"/>
                <w:szCs w:val="18"/>
                <w:lang w:eastAsia="hr-HR"/>
              </w:rPr>
              <w:t>Godina</w:t>
            </w:r>
          </w:p>
        </w:tc>
        <w:tc>
          <w:tcPr>
            <w:tcW w:w="2713" w:type="dxa"/>
            <w:shd w:val="clear" w:color="auto" w:fill="99CCFF"/>
            <w:vAlign w:val="center"/>
          </w:tcPr>
          <w:p w14:paraId="6450BE00" w14:textId="77777777" w:rsidR="00CF341D" w:rsidRPr="001B4CA2" w:rsidRDefault="00CF341D" w:rsidP="00CF341D">
            <w:pPr>
              <w:jc w:val="center"/>
              <w:rPr>
                <w:rFonts w:eastAsia="Calibri"/>
                <w:b/>
                <w:sz w:val="18"/>
                <w:szCs w:val="18"/>
                <w:lang w:eastAsia="hr-HR"/>
              </w:rPr>
            </w:pPr>
            <w:r w:rsidRPr="001B4CA2">
              <w:rPr>
                <w:rFonts w:eastAsia="Calibri"/>
                <w:b/>
                <w:sz w:val="18"/>
                <w:szCs w:val="18"/>
                <w:lang w:eastAsia="hr-HR"/>
              </w:rPr>
              <w:t>Broj</w:t>
            </w:r>
          </w:p>
        </w:tc>
      </w:tr>
      <w:tr w:rsidR="000930F3" w:rsidRPr="001B4CA2" w14:paraId="4712F421" w14:textId="77777777" w:rsidTr="00EF7FE4">
        <w:trPr>
          <w:trHeight w:val="416"/>
        </w:trPr>
        <w:tc>
          <w:tcPr>
            <w:tcW w:w="3034" w:type="dxa"/>
            <w:shd w:val="clear" w:color="auto" w:fill="auto"/>
            <w:vAlign w:val="center"/>
          </w:tcPr>
          <w:p w14:paraId="7A907791" w14:textId="153F9B2C" w:rsidR="000930F3" w:rsidRPr="001B4CA2" w:rsidRDefault="000930F3" w:rsidP="00CF341D">
            <w:pPr>
              <w:jc w:val="center"/>
              <w:rPr>
                <w:rFonts w:eastAsia="Calibri"/>
                <w:sz w:val="18"/>
                <w:szCs w:val="18"/>
                <w:lang w:eastAsia="hr-HR"/>
              </w:rPr>
            </w:pPr>
            <w:r w:rsidRPr="001B4CA2">
              <w:rPr>
                <w:rFonts w:eastAsia="Calibri"/>
                <w:sz w:val="18"/>
                <w:szCs w:val="18"/>
                <w:lang w:eastAsia="hr-HR"/>
              </w:rPr>
              <w:t>201</w:t>
            </w:r>
            <w:r w:rsidR="00980191" w:rsidRPr="001B4CA2">
              <w:rPr>
                <w:rFonts w:eastAsia="Calibri"/>
                <w:sz w:val="18"/>
                <w:szCs w:val="18"/>
                <w:lang w:eastAsia="hr-HR"/>
              </w:rPr>
              <w:t>8</w:t>
            </w:r>
            <w:r w:rsidRPr="001B4CA2">
              <w:rPr>
                <w:rFonts w:eastAsia="Calibri"/>
                <w:sz w:val="18"/>
                <w:szCs w:val="18"/>
                <w:lang w:eastAsia="hr-HR"/>
              </w:rPr>
              <w:t>.</w:t>
            </w:r>
          </w:p>
        </w:tc>
        <w:tc>
          <w:tcPr>
            <w:tcW w:w="2713" w:type="dxa"/>
            <w:shd w:val="clear" w:color="auto" w:fill="auto"/>
            <w:vAlign w:val="center"/>
          </w:tcPr>
          <w:p w14:paraId="1347DDC1" w14:textId="54552148" w:rsidR="000930F3" w:rsidRPr="001B4CA2" w:rsidRDefault="00980191" w:rsidP="00CF341D">
            <w:pPr>
              <w:jc w:val="center"/>
              <w:rPr>
                <w:rFonts w:eastAsia="Calibri"/>
                <w:sz w:val="18"/>
                <w:szCs w:val="18"/>
                <w:lang w:eastAsia="hr-HR"/>
              </w:rPr>
            </w:pPr>
            <w:r w:rsidRPr="001B4CA2">
              <w:rPr>
                <w:rFonts w:eastAsia="Calibri"/>
                <w:sz w:val="18"/>
                <w:szCs w:val="18"/>
                <w:lang w:eastAsia="hr-HR"/>
              </w:rPr>
              <w:t>141</w:t>
            </w:r>
          </w:p>
        </w:tc>
      </w:tr>
      <w:tr w:rsidR="000930F3" w:rsidRPr="001B4CA2" w14:paraId="439EFDC7" w14:textId="77777777" w:rsidTr="00EF7FE4">
        <w:trPr>
          <w:trHeight w:val="394"/>
        </w:trPr>
        <w:tc>
          <w:tcPr>
            <w:tcW w:w="3034" w:type="dxa"/>
            <w:shd w:val="clear" w:color="auto" w:fill="auto"/>
            <w:vAlign w:val="center"/>
          </w:tcPr>
          <w:p w14:paraId="3D2C669D" w14:textId="1A265593" w:rsidR="000930F3" w:rsidRPr="001B4CA2" w:rsidRDefault="000930F3" w:rsidP="00CF341D">
            <w:pPr>
              <w:jc w:val="center"/>
              <w:rPr>
                <w:rFonts w:eastAsia="Calibri"/>
                <w:sz w:val="18"/>
                <w:szCs w:val="18"/>
                <w:lang w:eastAsia="hr-HR"/>
              </w:rPr>
            </w:pPr>
            <w:r w:rsidRPr="001B4CA2">
              <w:rPr>
                <w:rFonts w:eastAsia="Calibri"/>
                <w:sz w:val="18"/>
                <w:szCs w:val="18"/>
                <w:lang w:eastAsia="hr-HR"/>
              </w:rPr>
              <w:t>201</w:t>
            </w:r>
            <w:r w:rsidR="00980191" w:rsidRPr="001B4CA2">
              <w:rPr>
                <w:rFonts w:eastAsia="Calibri"/>
                <w:sz w:val="18"/>
                <w:szCs w:val="18"/>
                <w:lang w:eastAsia="hr-HR"/>
              </w:rPr>
              <w:t>9</w:t>
            </w:r>
            <w:r w:rsidRPr="001B4CA2">
              <w:rPr>
                <w:rFonts w:eastAsia="Calibri"/>
                <w:sz w:val="18"/>
                <w:szCs w:val="18"/>
                <w:lang w:eastAsia="hr-HR"/>
              </w:rPr>
              <w:t>.</w:t>
            </w:r>
          </w:p>
        </w:tc>
        <w:tc>
          <w:tcPr>
            <w:tcW w:w="2713" w:type="dxa"/>
            <w:shd w:val="clear" w:color="auto" w:fill="auto"/>
            <w:vAlign w:val="center"/>
          </w:tcPr>
          <w:p w14:paraId="6B695998" w14:textId="2E7DA12A" w:rsidR="000930F3" w:rsidRPr="001B4CA2" w:rsidRDefault="00980191" w:rsidP="00CF341D">
            <w:pPr>
              <w:jc w:val="center"/>
              <w:rPr>
                <w:rFonts w:eastAsia="Calibri"/>
                <w:sz w:val="18"/>
                <w:szCs w:val="18"/>
                <w:lang w:eastAsia="hr-HR"/>
              </w:rPr>
            </w:pPr>
            <w:r w:rsidRPr="001B4CA2">
              <w:rPr>
                <w:rFonts w:eastAsia="Calibri"/>
                <w:sz w:val="18"/>
                <w:szCs w:val="18"/>
                <w:lang w:eastAsia="hr-HR"/>
              </w:rPr>
              <w:t>190</w:t>
            </w:r>
          </w:p>
        </w:tc>
      </w:tr>
      <w:tr w:rsidR="000930F3" w:rsidRPr="001B4CA2" w14:paraId="2E9506C8" w14:textId="77777777" w:rsidTr="00EF7FE4">
        <w:trPr>
          <w:trHeight w:val="394"/>
        </w:trPr>
        <w:tc>
          <w:tcPr>
            <w:tcW w:w="3034" w:type="dxa"/>
            <w:shd w:val="clear" w:color="auto" w:fill="auto"/>
            <w:vAlign w:val="center"/>
          </w:tcPr>
          <w:p w14:paraId="457A81CD" w14:textId="7B782749" w:rsidR="000930F3" w:rsidRPr="001B4CA2" w:rsidRDefault="000930F3" w:rsidP="00CF341D">
            <w:pPr>
              <w:jc w:val="center"/>
              <w:rPr>
                <w:rFonts w:eastAsia="Calibri"/>
                <w:sz w:val="18"/>
                <w:szCs w:val="18"/>
                <w:lang w:eastAsia="hr-HR"/>
              </w:rPr>
            </w:pPr>
            <w:r w:rsidRPr="001B4CA2">
              <w:rPr>
                <w:rFonts w:eastAsia="Calibri"/>
                <w:sz w:val="18"/>
                <w:szCs w:val="18"/>
                <w:lang w:eastAsia="hr-HR"/>
              </w:rPr>
              <w:t>20</w:t>
            </w:r>
            <w:r w:rsidR="00980191" w:rsidRPr="001B4CA2">
              <w:rPr>
                <w:rFonts w:eastAsia="Calibri"/>
                <w:sz w:val="18"/>
                <w:szCs w:val="18"/>
                <w:lang w:eastAsia="hr-HR"/>
              </w:rPr>
              <w:t>20</w:t>
            </w:r>
            <w:r w:rsidRPr="001B4CA2">
              <w:rPr>
                <w:rFonts w:eastAsia="Calibri"/>
                <w:sz w:val="18"/>
                <w:szCs w:val="18"/>
                <w:lang w:eastAsia="hr-HR"/>
              </w:rPr>
              <w:t>.</w:t>
            </w:r>
          </w:p>
        </w:tc>
        <w:tc>
          <w:tcPr>
            <w:tcW w:w="2713" w:type="dxa"/>
            <w:shd w:val="clear" w:color="auto" w:fill="auto"/>
            <w:vAlign w:val="center"/>
          </w:tcPr>
          <w:p w14:paraId="07D26C65" w14:textId="1316AD35" w:rsidR="000930F3" w:rsidRPr="001B4CA2" w:rsidRDefault="00980191" w:rsidP="00CF341D">
            <w:pPr>
              <w:jc w:val="center"/>
              <w:rPr>
                <w:rFonts w:eastAsia="Calibri"/>
                <w:sz w:val="18"/>
                <w:szCs w:val="18"/>
                <w:lang w:eastAsia="hr-HR"/>
              </w:rPr>
            </w:pPr>
            <w:r w:rsidRPr="001B4CA2">
              <w:rPr>
                <w:rFonts w:eastAsia="Calibri"/>
                <w:sz w:val="18"/>
                <w:szCs w:val="18"/>
                <w:lang w:eastAsia="hr-HR"/>
              </w:rPr>
              <w:t>151</w:t>
            </w:r>
          </w:p>
        </w:tc>
      </w:tr>
      <w:tr w:rsidR="000930F3" w:rsidRPr="001B4CA2" w14:paraId="3D698F9F" w14:textId="77777777" w:rsidTr="00EF7FE4">
        <w:trPr>
          <w:trHeight w:val="394"/>
        </w:trPr>
        <w:tc>
          <w:tcPr>
            <w:tcW w:w="3034" w:type="dxa"/>
            <w:shd w:val="clear" w:color="auto" w:fill="auto"/>
            <w:vAlign w:val="center"/>
          </w:tcPr>
          <w:p w14:paraId="2631E0F4" w14:textId="404E91F0" w:rsidR="000930F3" w:rsidRPr="001B4CA2" w:rsidRDefault="000930F3" w:rsidP="00CF341D">
            <w:pPr>
              <w:jc w:val="center"/>
              <w:rPr>
                <w:rFonts w:eastAsia="Calibri"/>
                <w:sz w:val="18"/>
                <w:szCs w:val="18"/>
                <w:lang w:eastAsia="hr-HR"/>
              </w:rPr>
            </w:pPr>
            <w:r w:rsidRPr="001B4CA2">
              <w:rPr>
                <w:rFonts w:eastAsia="Calibri"/>
                <w:sz w:val="18"/>
                <w:szCs w:val="18"/>
                <w:lang w:eastAsia="hr-HR"/>
              </w:rPr>
              <w:t>202</w:t>
            </w:r>
            <w:r w:rsidR="00980191" w:rsidRPr="001B4CA2">
              <w:rPr>
                <w:rFonts w:eastAsia="Calibri"/>
                <w:sz w:val="18"/>
                <w:szCs w:val="18"/>
                <w:lang w:eastAsia="hr-HR"/>
              </w:rPr>
              <w:t>1</w:t>
            </w:r>
            <w:r w:rsidRPr="001B4CA2">
              <w:rPr>
                <w:rFonts w:eastAsia="Calibri"/>
                <w:sz w:val="18"/>
                <w:szCs w:val="18"/>
                <w:lang w:eastAsia="hr-HR"/>
              </w:rPr>
              <w:t>.</w:t>
            </w:r>
          </w:p>
        </w:tc>
        <w:tc>
          <w:tcPr>
            <w:tcW w:w="2713" w:type="dxa"/>
            <w:shd w:val="clear" w:color="auto" w:fill="auto"/>
            <w:vAlign w:val="center"/>
          </w:tcPr>
          <w:p w14:paraId="628FB041" w14:textId="6AB70910" w:rsidR="000930F3" w:rsidRPr="001B4CA2" w:rsidRDefault="00980191" w:rsidP="00CF341D">
            <w:pPr>
              <w:jc w:val="center"/>
              <w:rPr>
                <w:rFonts w:eastAsia="Calibri"/>
                <w:sz w:val="18"/>
                <w:szCs w:val="18"/>
                <w:lang w:eastAsia="hr-HR"/>
              </w:rPr>
            </w:pPr>
            <w:r w:rsidRPr="001B4CA2">
              <w:rPr>
                <w:rFonts w:eastAsia="Calibri"/>
                <w:sz w:val="18"/>
                <w:szCs w:val="18"/>
                <w:lang w:eastAsia="hr-HR"/>
              </w:rPr>
              <w:t>238</w:t>
            </w:r>
          </w:p>
        </w:tc>
      </w:tr>
      <w:tr w:rsidR="000930F3" w:rsidRPr="001B4CA2" w14:paraId="7729A6F7" w14:textId="77777777" w:rsidTr="00EF7FE4">
        <w:trPr>
          <w:trHeight w:val="394"/>
        </w:trPr>
        <w:tc>
          <w:tcPr>
            <w:tcW w:w="3034" w:type="dxa"/>
            <w:shd w:val="clear" w:color="auto" w:fill="auto"/>
            <w:vAlign w:val="center"/>
          </w:tcPr>
          <w:p w14:paraId="15B790B8" w14:textId="1EDC86D8" w:rsidR="000930F3" w:rsidRPr="001B4CA2" w:rsidRDefault="000930F3" w:rsidP="00CF341D">
            <w:pPr>
              <w:jc w:val="center"/>
              <w:rPr>
                <w:rFonts w:eastAsia="Calibri"/>
                <w:sz w:val="18"/>
                <w:szCs w:val="18"/>
                <w:lang w:eastAsia="hr-HR"/>
              </w:rPr>
            </w:pPr>
            <w:r w:rsidRPr="001B4CA2">
              <w:rPr>
                <w:rFonts w:eastAsia="Calibri"/>
                <w:sz w:val="18"/>
                <w:szCs w:val="18"/>
                <w:lang w:eastAsia="hr-HR"/>
              </w:rPr>
              <w:t>202</w:t>
            </w:r>
            <w:r w:rsidR="00980191" w:rsidRPr="001B4CA2">
              <w:rPr>
                <w:rFonts w:eastAsia="Calibri"/>
                <w:sz w:val="18"/>
                <w:szCs w:val="18"/>
                <w:lang w:eastAsia="hr-HR"/>
              </w:rPr>
              <w:t>2</w:t>
            </w:r>
            <w:r w:rsidRPr="001B4CA2">
              <w:rPr>
                <w:rFonts w:eastAsia="Calibri"/>
                <w:sz w:val="18"/>
                <w:szCs w:val="18"/>
                <w:lang w:eastAsia="hr-HR"/>
              </w:rPr>
              <w:t>.</w:t>
            </w:r>
          </w:p>
        </w:tc>
        <w:tc>
          <w:tcPr>
            <w:tcW w:w="2713" w:type="dxa"/>
            <w:shd w:val="clear" w:color="auto" w:fill="auto"/>
            <w:vAlign w:val="center"/>
          </w:tcPr>
          <w:p w14:paraId="3E37A109" w14:textId="3670E670" w:rsidR="000930F3" w:rsidRPr="001B4CA2" w:rsidRDefault="00980191" w:rsidP="00CF341D">
            <w:pPr>
              <w:jc w:val="center"/>
              <w:rPr>
                <w:rFonts w:eastAsia="Calibri"/>
                <w:sz w:val="18"/>
                <w:szCs w:val="18"/>
                <w:lang w:eastAsia="hr-HR"/>
              </w:rPr>
            </w:pPr>
            <w:r w:rsidRPr="001B4CA2">
              <w:rPr>
                <w:rFonts w:eastAsia="Calibri"/>
                <w:sz w:val="18"/>
                <w:szCs w:val="18"/>
                <w:lang w:eastAsia="hr-HR"/>
              </w:rPr>
              <w:t>250</w:t>
            </w:r>
          </w:p>
        </w:tc>
      </w:tr>
    </w:tbl>
    <w:p w14:paraId="74407A4A" w14:textId="77777777" w:rsidR="00CF341D" w:rsidRPr="001B4CA2" w:rsidRDefault="00CF341D" w:rsidP="003C3320"/>
    <w:p w14:paraId="1CEBC01C" w14:textId="6608B3EE" w:rsidR="00980191" w:rsidRPr="001B4CA2" w:rsidRDefault="00980191" w:rsidP="00980191">
      <w:pPr>
        <w:ind w:firstLine="708"/>
        <w:rPr>
          <w:rFonts w:eastAsia="Calibri"/>
        </w:rPr>
      </w:pPr>
      <w:r w:rsidRPr="001B4CA2">
        <w:rPr>
          <w:rFonts w:eastAsia="Calibri"/>
        </w:rPr>
        <w:t>Od 250 donesenih presuda (njih 237 u odnosu na fizičke osobe te 13 u odnosu na pravne) 249 ih je osuđujućih (99,6</w:t>
      </w:r>
      <w:r w:rsidR="00110CF9">
        <w:rPr>
          <w:rFonts w:eastAsia="Calibri"/>
        </w:rPr>
        <w:t> </w:t>
      </w:r>
      <w:r w:rsidRPr="001B4CA2">
        <w:rPr>
          <w:rFonts w:eastAsia="Calibri"/>
        </w:rPr>
        <w:t>%) i jedna oslobađajuća (0,4</w:t>
      </w:r>
      <w:r w:rsidR="00110CF9">
        <w:rPr>
          <w:rFonts w:eastAsia="Calibri"/>
        </w:rPr>
        <w:t> </w:t>
      </w:r>
      <w:r w:rsidRPr="001B4CA2">
        <w:rPr>
          <w:rFonts w:eastAsia="Calibri"/>
        </w:rPr>
        <w:t>%).</w:t>
      </w:r>
      <w:r w:rsidR="00FD08E9">
        <w:rPr>
          <w:rFonts w:eastAsia="Calibri"/>
        </w:rPr>
        <w:t xml:space="preserve"> </w:t>
      </w:r>
      <w:r w:rsidRPr="001B4CA2">
        <w:rPr>
          <w:rFonts w:eastAsia="Calibri"/>
        </w:rPr>
        <w:t>Od 249 osuđujućih presuda njih 174 ili 69,88</w:t>
      </w:r>
      <w:r w:rsidR="00110CF9">
        <w:rPr>
          <w:rFonts w:eastAsia="Calibri"/>
        </w:rPr>
        <w:t> </w:t>
      </w:r>
      <w:r w:rsidRPr="001B4CA2">
        <w:rPr>
          <w:rFonts w:eastAsia="Calibri"/>
        </w:rPr>
        <w:t>% doneseno je na temelju sporazuma stranaka i na razini je prethodnog izvještajnog razdoblja kada je 191 presuda donesena na temelju sporazuma stranaka.</w:t>
      </w:r>
    </w:p>
    <w:p w14:paraId="1B35BE3A" w14:textId="77777777" w:rsidR="00980191" w:rsidRPr="001B4CA2" w:rsidRDefault="00980191" w:rsidP="00980191">
      <w:pPr>
        <w:rPr>
          <w:rFonts w:eastAsia="Calibri"/>
          <w:b/>
        </w:rPr>
      </w:pPr>
    </w:p>
    <w:p w14:paraId="77CF788E" w14:textId="135402C8" w:rsidR="00980191" w:rsidRPr="001B4CA2" w:rsidRDefault="00980191" w:rsidP="00980191">
      <w:pPr>
        <w:ind w:firstLine="708"/>
        <w:rPr>
          <w:rFonts w:eastAsia="Calibri"/>
        </w:rPr>
      </w:pPr>
      <w:r w:rsidRPr="001B4CA2">
        <w:rPr>
          <w:rFonts w:eastAsia="Calibri"/>
        </w:rPr>
        <w:t>U ovom izvještajnom razdoblju sudovi su izrekli ukupno 145 kazni zatvora</w:t>
      </w:r>
      <w:r w:rsidR="00110CF9">
        <w:rPr>
          <w:rFonts w:eastAsia="Calibri"/>
        </w:rPr>
        <w:t>,</w:t>
      </w:r>
      <w:r w:rsidRPr="001B4CA2">
        <w:rPr>
          <w:rFonts w:eastAsia="Calibri"/>
        </w:rPr>
        <w:t xml:space="preserve"> što u odnosu na osuđene 236 fizičke osobe iznosi 61,44</w:t>
      </w:r>
      <w:r w:rsidR="00110CF9">
        <w:rPr>
          <w:rFonts w:eastAsia="Calibri"/>
        </w:rPr>
        <w:t> </w:t>
      </w:r>
      <w:r w:rsidRPr="001B4CA2">
        <w:rPr>
          <w:rFonts w:eastAsia="Calibri"/>
        </w:rPr>
        <w:t>% izrečenih kaznenopravnih sankcija. U 33 slučaja izrečene kazne zatvora zamijenjene su radom za opće dobro (22,76</w:t>
      </w:r>
      <w:r w:rsidR="00110CF9">
        <w:rPr>
          <w:rFonts w:eastAsia="Calibri"/>
        </w:rPr>
        <w:t xml:space="preserve"> </w:t>
      </w:r>
      <w:r w:rsidRPr="001B4CA2">
        <w:rPr>
          <w:rFonts w:eastAsia="Calibri"/>
        </w:rPr>
        <w:t>%), dok su u odnosu na 91 fizičku osobu izrečene uvjetne osude (38,56</w:t>
      </w:r>
      <w:r w:rsidR="00110CF9">
        <w:rPr>
          <w:rFonts w:eastAsia="Calibri"/>
        </w:rPr>
        <w:t> </w:t>
      </w:r>
      <w:r w:rsidRPr="001B4CA2">
        <w:rPr>
          <w:rFonts w:eastAsia="Calibri"/>
        </w:rPr>
        <w:t>%). U odnosu na preostalih 13 pravnih osoba izrečeno je 7 novčanih kazni te 6 novčanih kazni uz primjenu uvjetne osude.</w:t>
      </w:r>
    </w:p>
    <w:p w14:paraId="6D50D658" w14:textId="77777777" w:rsidR="00980191" w:rsidRPr="001B4CA2" w:rsidRDefault="00980191" w:rsidP="00980191">
      <w:pPr>
        <w:rPr>
          <w:rFonts w:eastAsia="Calibri"/>
        </w:rPr>
      </w:pPr>
      <w:r w:rsidRPr="001B4CA2">
        <w:rPr>
          <w:rFonts w:eastAsia="Calibri"/>
        </w:rPr>
        <w:t xml:space="preserve"> </w:t>
      </w:r>
    </w:p>
    <w:p w14:paraId="513BEA6D" w14:textId="41D4FF29" w:rsidR="00980191" w:rsidRPr="001B4CA2" w:rsidRDefault="00980191" w:rsidP="00980191">
      <w:pPr>
        <w:ind w:firstLine="708"/>
        <w:rPr>
          <w:rFonts w:eastAsia="Calibri"/>
          <w:b/>
        </w:rPr>
      </w:pPr>
      <w:r w:rsidRPr="001B4CA2">
        <w:rPr>
          <w:rFonts w:eastAsia="Calibri"/>
        </w:rPr>
        <w:t>Kako su u 2021. godini zatvorske kazne sudjelovale s 67,15</w:t>
      </w:r>
      <w:r w:rsidR="00110CF9">
        <w:rPr>
          <w:rFonts w:eastAsia="Calibri"/>
        </w:rPr>
        <w:t> </w:t>
      </w:r>
      <w:r w:rsidRPr="001B4CA2">
        <w:rPr>
          <w:rFonts w:eastAsia="Calibri"/>
        </w:rPr>
        <w:t>% (od toga u 17,39</w:t>
      </w:r>
      <w:r w:rsidR="00110CF9">
        <w:rPr>
          <w:rFonts w:eastAsia="Calibri"/>
        </w:rPr>
        <w:t> </w:t>
      </w:r>
      <w:r w:rsidRPr="001B4CA2">
        <w:rPr>
          <w:rFonts w:eastAsia="Calibri"/>
        </w:rPr>
        <w:t>% slučajeva zamijenjene radom za opće dobro), dok je udio uvjetnih osuda iznosio 32,55</w:t>
      </w:r>
      <w:r w:rsidR="00110CF9">
        <w:rPr>
          <w:rFonts w:eastAsia="Calibri"/>
        </w:rPr>
        <w:t> </w:t>
      </w:r>
      <w:r w:rsidRPr="001B4CA2">
        <w:rPr>
          <w:rFonts w:eastAsia="Calibri"/>
        </w:rPr>
        <w:t>%, struktura kaznenopravnih sankcija izrečenih u 2022. godini ne odstupa od one iz prethodnog izvještajnog razdoblja.</w:t>
      </w:r>
      <w:r w:rsidRPr="001B4CA2">
        <w:rPr>
          <w:rFonts w:eastAsia="Calibri"/>
          <w:b/>
        </w:rPr>
        <w:t xml:space="preserve"> </w:t>
      </w:r>
      <w:r w:rsidRPr="001B4CA2">
        <w:rPr>
          <w:rFonts w:eastAsia="Calibri"/>
        </w:rPr>
        <w:t>I u ovom izvještajnom razdoblju izrečen je veći broj sporednih novčanih kazni, njih 63.</w:t>
      </w:r>
      <w:r w:rsidRPr="001B4CA2">
        <w:rPr>
          <w:rFonts w:eastAsia="Calibri"/>
          <w:b/>
        </w:rPr>
        <w:t xml:space="preserve">  </w:t>
      </w:r>
    </w:p>
    <w:p w14:paraId="029D2634" w14:textId="77777777" w:rsidR="00980191" w:rsidRPr="001B4CA2" w:rsidRDefault="00980191" w:rsidP="00980191">
      <w:pPr>
        <w:rPr>
          <w:rFonts w:eastAsia="Calibri"/>
          <w:b/>
        </w:rPr>
      </w:pPr>
    </w:p>
    <w:p w14:paraId="61CF3AC2" w14:textId="4FBCFBC7" w:rsidR="00980191" w:rsidRPr="001B4CA2" w:rsidRDefault="00980191" w:rsidP="00980191">
      <w:pPr>
        <w:ind w:firstLine="708"/>
        <w:rPr>
          <w:rFonts w:eastAsia="Calibri"/>
        </w:rPr>
      </w:pPr>
      <w:r w:rsidRPr="001B4CA2">
        <w:rPr>
          <w:rFonts w:eastAsia="Calibri"/>
        </w:rPr>
        <w:t>U izvještajnom razdoblju pojačana je žalbena aktivnost, pa je tako Ured podnio 61 žalbu</w:t>
      </w:r>
      <w:r w:rsidR="00110CF9">
        <w:rPr>
          <w:rFonts w:eastAsia="Calibri"/>
        </w:rPr>
        <w:t>,</w:t>
      </w:r>
      <w:r w:rsidRPr="001B4CA2">
        <w:rPr>
          <w:rFonts w:eastAsia="Calibri"/>
        </w:rPr>
        <w:t xml:space="preserve"> od čega njih 50 zbog odluke o kaznenoj sankciji (81,98</w:t>
      </w:r>
      <w:r w:rsidR="00110CF9">
        <w:rPr>
          <w:rFonts w:eastAsia="Calibri"/>
        </w:rPr>
        <w:t> </w:t>
      </w:r>
      <w:r w:rsidRPr="001B4CA2">
        <w:rPr>
          <w:rFonts w:eastAsia="Calibri"/>
        </w:rPr>
        <w:t>%), 9 zbog kazne i zbog drugih razloga (14,75</w:t>
      </w:r>
      <w:r w:rsidR="00110CF9">
        <w:rPr>
          <w:rFonts w:eastAsia="Calibri"/>
        </w:rPr>
        <w:t> </w:t>
      </w:r>
      <w:r w:rsidRPr="001B4CA2">
        <w:rPr>
          <w:rFonts w:eastAsia="Calibri"/>
        </w:rPr>
        <w:t>%) te 2 žalbe zbog osnova različitih od kazne (3,27</w:t>
      </w:r>
      <w:r w:rsidR="00110CF9">
        <w:rPr>
          <w:rFonts w:eastAsia="Calibri"/>
        </w:rPr>
        <w:t> </w:t>
      </w:r>
      <w:r w:rsidRPr="001B4CA2">
        <w:rPr>
          <w:rFonts w:eastAsia="Calibri"/>
        </w:rPr>
        <w:t xml:space="preserve">%). Za razliku od toga, u prethodnom izvještajnom razdoblju Ured je podnio ukupno 22 žalbe </w:t>
      </w:r>
      <w:r w:rsidR="00110CF9">
        <w:rPr>
          <w:rFonts w:eastAsia="Calibri"/>
        </w:rPr>
        <w:t>te</w:t>
      </w:r>
      <w:r w:rsidRPr="001B4CA2">
        <w:rPr>
          <w:rFonts w:eastAsia="Calibri"/>
        </w:rPr>
        <w:t xml:space="preserve"> navedeno predstavlja porast od 177</w:t>
      </w:r>
      <w:r w:rsidR="00110CF9">
        <w:rPr>
          <w:rFonts w:eastAsia="Calibri"/>
        </w:rPr>
        <w:t> </w:t>
      </w:r>
      <w:r w:rsidRPr="001B4CA2">
        <w:rPr>
          <w:rFonts w:eastAsia="Calibri"/>
        </w:rPr>
        <w:t>%.</w:t>
      </w:r>
    </w:p>
    <w:p w14:paraId="660E0236" w14:textId="77777777" w:rsidR="00980191" w:rsidRPr="001B4CA2" w:rsidRDefault="00980191" w:rsidP="00980191">
      <w:pPr>
        <w:rPr>
          <w:rFonts w:eastAsia="Calibri"/>
        </w:rPr>
      </w:pPr>
      <w:r w:rsidRPr="001B4CA2">
        <w:rPr>
          <w:rFonts w:eastAsia="Calibri"/>
        </w:rPr>
        <w:t xml:space="preserve"> </w:t>
      </w:r>
    </w:p>
    <w:p w14:paraId="4277CB60" w14:textId="5BD4DC44" w:rsidR="00980191" w:rsidRPr="001B4CA2" w:rsidRDefault="00980191" w:rsidP="00980191">
      <w:pPr>
        <w:ind w:firstLine="708"/>
        <w:rPr>
          <w:rFonts w:eastAsia="Calibri"/>
        </w:rPr>
      </w:pPr>
      <w:r w:rsidRPr="001B4CA2">
        <w:rPr>
          <w:rFonts w:eastAsia="Calibri"/>
        </w:rPr>
        <w:t>Od 63 odluke povodom žalbi Ureda zaprimljenih u ovom izvještajnom razdoblju u odnosu na njih 24 (38</w:t>
      </w:r>
      <w:r w:rsidR="00E52239">
        <w:rPr>
          <w:rFonts w:eastAsia="Calibri"/>
        </w:rPr>
        <w:t> </w:t>
      </w:r>
      <w:r w:rsidRPr="001B4CA2">
        <w:rPr>
          <w:rFonts w:eastAsia="Calibri"/>
        </w:rPr>
        <w:t>%) žalba je prihvaćena</w:t>
      </w:r>
      <w:r w:rsidR="00E52239">
        <w:rPr>
          <w:rFonts w:eastAsia="Calibri"/>
        </w:rPr>
        <w:t>,</w:t>
      </w:r>
      <w:r w:rsidRPr="001B4CA2">
        <w:rPr>
          <w:rFonts w:eastAsia="Calibri"/>
        </w:rPr>
        <w:t xml:space="preserve"> što je na razini prethodnog izvještajnog razdoblja (2021.</w:t>
      </w:r>
      <w:r w:rsidR="00E52239">
        <w:rPr>
          <w:rFonts w:eastAsia="Calibri"/>
        </w:rPr>
        <w:t xml:space="preserve"> –</w:t>
      </w:r>
      <w:r w:rsidRPr="001B4CA2">
        <w:rPr>
          <w:rFonts w:eastAsia="Calibri"/>
        </w:rPr>
        <w:t xml:space="preserve"> 40</w:t>
      </w:r>
      <w:r w:rsidR="00E52239">
        <w:rPr>
          <w:rFonts w:eastAsia="Calibri"/>
        </w:rPr>
        <w:t> </w:t>
      </w:r>
      <w:r w:rsidRPr="001B4CA2">
        <w:rPr>
          <w:rFonts w:eastAsia="Calibri"/>
        </w:rPr>
        <w:t>% prihvaćenih žalbi).</w:t>
      </w:r>
    </w:p>
    <w:p w14:paraId="68A06D94" w14:textId="58C0169B" w:rsidR="00CF341D" w:rsidRDefault="00CF341D" w:rsidP="00F54622">
      <w:pPr>
        <w:rPr>
          <w:rFonts w:eastAsia="Calibri"/>
          <w:lang w:eastAsia="hr-HR"/>
        </w:rPr>
      </w:pPr>
    </w:p>
    <w:p w14:paraId="5C301DFC" w14:textId="3CFB390B" w:rsidR="000268FF" w:rsidRDefault="000268FF" w:rsidP="00F54622">
      <w:pPr>
        <w:rPr>
          <w:rFonts w:eastAsia="Calibri"/>
          <w:lang w:eastAsia="hr-HR"/>
        </w:rPr>
      </w:pPr>
    </w:p>
    <w:p w14:paraId="0CC83570" w14:textId="2E21F57A" w:rsidR="000268FF" w:rsidRDefault="000268FF" w:rsidP="00F54622">
      <w:pPr>
        <w:rPr>
          <w:rFonts w:eastAsia="Calibri"/>
          <w:lang w:eastAsia="hr-HR"/>
        </w:rPr>
      </w:pPr>
    </w:p>
    <w:p w14:paraId="67D3263B" w14:textId="3EC8CBB7" w:rsidR="000268FF" w:rsidRDefault="000268FF" w:rsidP="00F54622">
      <w:pPr>
        <w:rPr>
          <w:rFonts w:eastAsia="Calibri"/>
          <w:lang w:eastAsia="hr-HR"/>
        </w:rPr>
      </w:pPr>
    </w:p>
    <w:p w14:paraId="383C0060" w14:textId="346AB8E5" w:rsidR="000268FF" w:rsidRDefault="000268FF" w:rsidP="00F54622">
      <w:pPr>
        <w:rPr>
          <w:rFonts w:eastAsia="Calibri"/>
          <w:lang w:eastAsia="hr-HR"/>
        </w:rPr>
      </w:pPr>
    </w:p>
    <w:p w14:paraId="7D43FE3B" w14:textId="56F4B1DA" w:rsidR="000268FF" w:rsidRDefault="000268FF" w:rsidP="00F54622">
      <w:pPr>
        <w:rPr>
          <w:rFonts w:eastAsia="Calibri"/>
          <w:lang w:eastAsia="hr-HR"/>
        </w:rPr>
      </w:pPr>
    </w:p>
    <w:p w14:paraId="0457CB25" w14:textId="7657F2D5" w:rsidR="00D272A4" w:rsidRDefault="00D272A4" w:rsidP="00F54622">
      <w:pPr>
        <w:rPr>
          <w:rFonts w:eastAsia="Calibri"/>
          <w:lang w:eastAsia="hr-HR"/>
        </w:rPr>
      </w:pPr>
    </w:p>
    <w:p w14:paraId="270BC5B3" w14:textId="77777777" w:rsidR="00223ABD" w:rsidRPr="001B4CA2" w:rsidRDefault="00223ABD" w:rsidP="00F54622">
      <w:pPr>
        <w:rPr>
          <w:rFonts w:eastAsia="Calibri"/>
          <w:lang w:eastAsia="hr-HR"/>
        </w:rPr>
      </w:pPr>
    </w:p>
    <w:p w14:paraId="549A6611" w14:textId="71915B57" w:rsidR="007C2573" w:rsidRPr="001B4CA2" w:rsidRDefault="007C2573" w:rsidP="00955E23">
      <w:pPr>
        <w:pStyle w:val="Naslov4"/>
        <w:tabs>
          <w:tab w:val="left" w:pos="1134"/>
        </w:tabs>
        <w:rPr>
          <w:rFonts w:ascii="Arial" w:hAnsi="Arial" w:cs="Arial"/>
        </w:rPr>
      </w:pPr>
      <w:bookmarkStart w:id="148" w:name="_Toc133394378"/>
      <w:r w:rsidRPr="001B4CA2">
        <w:rPr>
          <w:rFonts w:ascii="Arial" w:hAnsi="Arial" w:cs="Arial"/>
        </w:rPr>
        <w:lastRenderedPageBreak/>
        <w:t>Struktura kaznenih djela organiziranog kriminaliteta</w:t>
      </w:r>
      <w:bookmarkEnd w:id="148"/>
    </w:p>
    <w:p w14:paraId="7550159F" w14:textId="77777777" w:rsidR="00CF341D" w:rsidRPr="001B4CA2" w:rsidRDefault="00CF341D" w:rsidP="00CF341D"/>
    <w:p w14:paraId="1BD082F0" w14:textId="3A13942B" w:rsidR="00130281" w:rsidRPr="001B4CA2" w:rsidRDefault="00130281" w:rsidP="00130281">
      <w:pPr>
        <w:ind w:firstLine="708"/>
        <w:rPr>
          <w:rFonts w:eastAsia="Calibri"/>
        </w:rPr>
      </w:pPr>
      <w:r w:rsidRPr="001B4CA2">
        <w:rPr>
          <w:rFonts w:eastAsia="Calibri"/>
        </w:rPr>
        <w:t xml:space="preserve">Što se tiče strukture kaznenih djela organiziranog kriminaliteta, kao i u prethodnom izvještajnom razdoblju najveći broj osoba prijavljen je za kazneno djelo zločinačkog udruženja iz članka 328. Kaznenog zakona/11. Tako je u 2022. godini za </w:t>
      </w:r>
      <w:r w:rsidR="00E52239">
        <w:rPr>
          <w:rFonts w:eastAsia="Calibri"/>
        </w:rPr>
        <w:t>t</w:t>
      </w:r>
      <w:r w:rsidRPr="001B4CA2">
        <w:rPr>
          <w:rFonts w:eastAsia="Calibri"/>
        </w:rPr>
        <w:t>o kazneno djelo prijavljeno 258 osoba (33,99</w:t>
      </w:r>
      <w:r w:rsidR="00E52239">
        <w:rPr>
          <w:rFonts w:eastAsia="Calibri"/>
        </w:rPr>
        <w:t> </w:t>
      </w:r>
      <w:r w:rsidRPr="001B4CA2">
        <w:rPr>
          <w:rFonts w:eastAsia="Calibri"/>
        </w:rPr>
        <w:t>%), pri čemu je od ukupno navedenog broja prijavljenih osoba u odnosu na njih 223 prijava odbačena kao neosnovana.</w:t>
      </w:r>
    </w:p>
    <w:p w14:paraId="293BF5E6" w14:textId="77777777" w:rsidR="00130281" w:rsidRPr="001B4CA2" w:rsidRDefault="00130281" w:rsidP="00130281">
      <w:pPr>
        <w:rPr>
          <w:rFonts w:eastAsia="Calibri"/>
        </w:rPr>
      </w:pPr>
    </w:p>
    <w:p w14:paraId="7C5541AE" w14:textId="1B59C6C8" w:rsidR="00130281" w:rsidRPr="001B4CA2" w:rsidRDefault="00130281" w:rsidP="00130281">
      <w:pPr>
        <w:rPr>
          <w:rFonts w:eastAsia="Calibri"/>
        </w:rPr>
      </w:pPr>
      <w:r w:rsidRPr="001B4CA2">
        <w:rPr>
          <w:rFonts w:eastAsia="Calibri"/>
        </w:rPr>
        <w:tab/>
        <w:t>Nadalje, u ovom izvještajnom razdoblju</w:t>
      </w:r>
      <w:r w:rsidR="00FD08E9">
        <w:rPr>
          <w:rFonts w:eastAsia="Calibri"/>
        </w:rPr>
        <w:t xml:space="preserve"> </w:t>
      </w:r>
      <w:r w:rsidRPr="001B4CA2">
        <w:rPr>
          <w:rFonts w:eastAsia="Calibri"/>
        </w:rPr>
        <w:t>najzastupljenije je bilo kazneno djelo davanja mita iz članka 294. stavak 1. Kaznenog zakona/11</w:t>
      </w:r>
      <w:r w:rsidR="00E52239">
        <w:rPr>
          <w:rFonts w:eastAsia="Calibri"/>
        </w:rPr>
        <w:t>,</w:t>
      </w:r>
      <w:r w:rsidRPr="001B4CA2">
        <w:rPr>
          <w:rFonts w:eastAsia="Calibri"/>
        </w:rPr>
        <w:t xml:space="preserve"> koje</w:t>
      </w:r>
      <w:r w:rsidR="00FD08E9">
        <w:rPr>
          <w:rFonts w:eastAsia="Calibri"/>
        </w:rPr>
        <w:t xml:space="preserve"> s </w:t>
      </w:r>
      <w:r w:rsidRPr="001B4CA2">
        <w:rPr>
          <w:rFonts w:eastAsia="Calibri"/>
        </w:rPr>
        <w:t>242 prijave čini 32,15</w:t>
      </w:r>
      <w:r w:rsidR="00E52239">
        <w:rPr>
          <w:rFonts w:eastAsia="Calibri"/>
        </w:rPr>
        <w:t> </w:t>
      </w:r>
      <w:r w:rsidRPr="001B4CA2">
        <w:rPr>
          <w:rFonts w:eastAsia="Calibri"/>
        </w:rPr>
        <w:t>%, zatim slijedi kazneno djelo neovlaštene proizvodnje i prometa drogama iz članka 190. Kaznenog zakona/11 s ukupno 60 prijava ili 7,9</w:t>
      </w:r>
      <w:r w:rsidR="00E52239">
        <w:rPr>
          <w:rFonts w:eastAsia="Calibri"/>
        </w:rPr>
        <w:t> </w:t>
      </w:r>
      <w:r w:rsidRPr="001B4CA2">
        <w:rPr>
          <w:rFonts w:eastAsia="Calibri"/>
        </w:rPr>
        <w:t>%, a nakon toga kazneno djelo prijevare iz članka 236. KZ/11 s 38 prijava, odnosno 5,01</w:t>
      </w:r>
      <w:r w:rsidR="00E52239">
        <w:rPr>
          <w:rFonts w:eastAsia="Calibri"/>
        </w:rPr>
        <w:t> </w:t>
      </w:r>
      <w:r w:rsidRPr="001B4CA2">
        <w:rPr>
          <w:rFonts w:eastAsia="Calibri"/>
        </w:rPr>
        <w:t>%. Potom slijedi kazneno djelo utaje poreza ili carine iz članka 256. Kaznenog zakona/11 s ukupno 28 prijava ili 3,69</w:t>
      </w:r>
      <w:r w:rsidR="00E52239">
        <w:rPr>
          <w:rFonts w:eastAsia="Calibri"/>
        </w:rPr>
        <w:t> </w:t>
      </w:r>
      <w:r w:rsidRPr="001B4CA2">
        <w:rPr>
          <w:rFonts w:eastAsia="Calibri"/>
        </w:rPr>
        <w:t xml:space="preserve">%, 27 osoba prijavljeno </w:t>
      </w:r>
      <w:r w:rsidR="00E52239" w:rsidRPr="001B4CA2">
        <w:rPr>
          <w:rFonts w:eastAsia="Calibri"/>
        </w:rPr>
        <w:t xml:space="preserve">je </w:t>
      </w:r>
      <w:r w:rsidRPr="001B4CA2">
        <w:rPr>
          <w:rFonts w:eastAsia="Calibri"/>
        </w:rPr>
        <w:t>za kazneno djelo ne</w:t>
      </w:r>
      <w:r w:rsidR="00F47D60">
        <w:rPr>
          <w:rFonts w:eastAsia="Calibri"/>
        </w:rPr>
        <w:t>dopušten</w:t>
      </w:r>
      <w:r w:rsidRPr="001B4CA2">
        <w:rPr>
          <w:rFonts w:eastAsia="Calibri"/>
        </w:rPr>
        <w:t>e trgovine iz članka 264. Kaznenog zakona/11, što čini 3,56</w:t>
      </w:r>
      <w:r w:rsidR="00E52239">
        <w:rPr>
          <w:rFonts w:eastAsia="Calibri"/>
        </w:rPr>
        <w:t> </w:t>
      </w:r>
      <w:r w:rsidRPr="001B4CA2">
        <w:rPr>
          <w:rFonts w:eastAsia="Calibri"/>
        </w:rPr>
        <w:t>%, 21 osoba prijavljena je za kazneno djelo protuzakonitog ulaženja, kretanja i boravka u RH, drugoj članici Europske unije ili potpisnici Šengenskog sporazuma iz članka 326. Kaznenog zakona/11, što čini 2,77</w:t>
      </w:r>
      <w:r w:rsidR="00E52239">
        <w:rPr>
          <w:rFonts w:eastAsia="Calibri"/>
        </w:rPr>
        <w:t> </w:t>
      </w:r>
      <w:r w:rsidRPr="001B4CA2">
        <w:rPr>
          <w:rFonts w:eastAsia="Calibri"/>
        </w:rPr>
        <w:t>%, dok je 14 osoba prijavljeno za kazneno djelo trgovanje zaštićenim prirodnim vrijednostima iz članka 202. KZ/11, s udjelom od 1,85</w:t>
      </w:r>
      <w:r w:rsidR="00E52239">
        <w:rPr>
          <w:rFonts w:eastAsia="Calibri"/>
        </w:rPr>
        <w:t> </w:t>
      </w:r>
      <w:r w:rsidRPr="001B4CA2">
        <w:rPr>
          <w:rFonts w:eastAsia="Calibri"/>
        </w:rPr>
        <w:t>%.</w:t>
      </w:r>
      <w:r w:rsidRPr="001B4CA2">
        <w:t xml:space="preserve"> </w:t>
      </w:r>
      <w:r w:rsidRPr="001B4CA2">
        <w:rPr>
          <w:rFonts w:eastAsia="Calibri"/>
        </w:rPr>
        <w:t>Navedena kaznena djela čine 90,78</w:t>
      </w:r>
      <w:r w:rsidR="00E52239">
        <w:rPr>
          <w:rFonts w:eastAsia="Calibri"/>
        </w:rPr>
        <w:t> </w:t>
      </w:r>
      <w:r w:rsidRPr="001B4CA2">
        <w:rPr>
          <w:rFonts w:eastAsia="Calibri"/>
        </w:rPr>
        <w:t xml:space="preserve">% svih kaznenih djela iz </w:t>
      </w:r>
      <w:r w:rsidR="00E52239">
        <w:rPr>
          <w:rFonts w:eastAsia="Calibri"/>
        </w:rPr>
        <w:t>područja</w:t>
      </w:r>
      <w:r w:rsidRPr="001B4CA2">
        <w:rPr>
          <w:rFonts w:eastAsia="Calibri"/>
        </w:rPr>
        <w:t xml:space="preserve"> organiziranog kriminaliteta.</w:t>
      </w:r>
    </w:p>
    <w:p w14:paraId="2C317214" w14:textId="77777777" w:rsidR="002F217D" w:rsidRPr="001B4CA2" w:rsidRDefault="002F217D" w:rsidP="00CF341D"/>
    <w:p w14:paraId="706A0FF7" w14:textId="290943C7" w:rsidR="007C2573" w:rsidRPr="001B4CA2" w:rsidRDefault="007C2573" w:rsidP="00955E23">
      <w:pPr>
        <w:pStyle w:val="Naslov4"/>
        <w:tabs>
          <w:tab w:val="left" w:pos="1134"/>
          <w:tab w:val="left" w:pos="1418"/>
        </w:tabs>
        <w:rPr>
          <w:rFonts w:ascii="Arial" w:hAnsi="Arial" w:cs="Arial"/>
        </w:rPr>
      </w:pPr>
      <w:bookmarkStart w:id="149" w:name="_Toc133394379"/>
      <w:r w:rsidRPr="001B4CA2">
        <w:rPr>
          <w:rFonts w:ascii="Arial" w:hAnsi="Arial" w:cs="Arial"/>
        </w:rPr>
        <w:t>Struktura zločinačkih udruženja</w:t>
      </w:r>
      <w:bookmarkEnd w:id="149"/>
    </w:p>
    <w:p w14:paraId="7B1B623B" w14:textId="77777777" w:rsidR="00CF341D" w:rsidRPr="001B4CA2" w:rsidRDefault="00CF341D" w:rsidP="005B119F"/>
    <w:p w14:paraId="71551D08" w14:textId="3310BEB1" w:rsidR="00130281" w:rsidRPr="001B4CA2" w:rsidRDefault="00130281" w:rsidP="00130281">
      <w:pPr>
        <w:ind w:firstLine="708"/>
        <w:rPr>
          <w:rFonts w:eastAsia="Calibri"/>
        </w:rPr>
      </w:pPr>
      <w:r w:rsidRPr="001B4CA2">
        <w:rPr>
          <w:rFonts w:eastAsia="Calibri"/>
        </w:rPr>
        <w:t xml:space="preserve">U ovom izvještajnom razdoblju prijavljena su 32 zločinačka udruženja, od kojih njih 31 broji veći broj članova, dok su u jednom slučaju prijavljena dva člana zločinačkog udruženja. </w:t>
      </w:r>
      <w:r w:rsidR="00E52239">
        <w:rPr>
          <w:rFonts w:eastAsia="Calibri"/>
        </w:rPr>
        <w:t>Riječ je</w:t>
      </w:r>
      <w:r w:rsidRPr="001B4CA2">
        <w:rPr>
          <w:rFonts w:eastAsia="Calibri"/>
        </w:rPr>
        <w:t xml:space="preserve"> o pripadnicima transnacionalne skupine organizirane radi počinjenja kaznenih djela iz članka 326. Kaznenog zakona/11, kod koje ostali članovi zločinačkog udruženja nisu poznati. </w:t>
      </w:r>
    </w:p>
    <w:p w14:paraId="6947A793" w14:textId="77777777" w:rsidR="00130281" w:rsidRPr="001B4CA2" w:rsidRDefault="00130281" w:rsidP="00130281">
      <w:pPr>
        <w:rPr>
          <w:rFonts w:eastAsia="Calibri"/>
        </w:rPr>
      </w:pPr>
    </w:p>
    <w:p w14:paraId="7CF4B35A" w14:textId="77777777" w:rsidR="00130281" w:rsidRPr="001B4CA2" w:rsidRDefault="00130281" w:rsidP="00130281">
      <w:pPr>
        <w:ind w:firstLine="708"/>
        <w:rPr>
          <w:rFonts w:eastAsia="Calibri"/>
        </w:rPr>
      </w:pPr>
      <w:r w:rsidRPr="001B4CA2">
        <w:rPr>
          <w:rFonts w:eastAsia="Calibri"/>
        </w:rPr>
        <w:t>U donjoj tablici i grafikonu prikazane su prijavljene organizirane skupine prema broju članova.</w:t>
      </w:r>
    </w:p>
    <w:p w14:paraId="31365A7B" w14:textId="77777777" w:rsidR="00130281" w:rsidRPr="001B4CA2" w:rsidRDefault="00130281" w:rsidP="00130281">
      <w:pPr>
        <w:rPr>
          <w:rFonts w:eastAsia="Calibri"/>
        </w:rPr>
      </w:pPr>
    </w:p>
    <w:p w14:paraId="0D39F2A9" w14:textId="77777777" w:rsidR="00130281" w:rsidRPr="001B4CA2" w:rsidRDefault="00130281" w:rsidP="00130281">
      <w:pPr>
        <w:rPr>
          <w:rFonts w:eastAsia="Calibri"/>
        </w:rPr>
      </w:pPr>
      <w:r w:rsidRPr="001B4CA2">
        <w:rPr>
          <w:rFonts w:eastAsia="Calibri"/>
        </w:rPr>
        <w:t>Tablica 3. Zločinačka udruženja (čl. 328 KZ/11) – broj članova</w:t>
      </w:r>
    </w:p>
    <w:p w14:paraId="50C89C1E" w14:textId="74758616" w:rsidR="006244B7" w:rsidRPr="001B4CA2" w:rsidRDefault="006244B7" w:rsidP="005B119F">
      <w:pPr>
        <w:ind w:left="142"/>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1422"/>
        <w:gridCol w:w="1640"/>
        <w:gridCol w:w="1564"/>
        <w:gridCol w:w="1661"/>
        <w:gridCol w:w="1487"/>
      </w:tblGrid>
      <w:tr w:rsidR="00532C41" w:rsidRPr="001B4CA2" w14:paraId="4B18BDDA" w14:textId="77777777" w:rsidTr="00130281">
        <w:trPr>
          <w:trHeight w:val="633"/>
          <w:jc w:val="center"/>
        </w:trPr>
        <w:tc>
          <w:tcPr>
            <w:tcW w:w="1245" w:type="dxa"/>
            <w:shd w:val="clear" w:color="auto" w:fill="99CCFF"/>
            <w:vAlign w:val="center"/>
          </w:tcPr>
          <w:p w14:paraId="2A17F0E4" w14:textId="77777777" w:rsidR="006244B7" w:rsidRPr="001B4CA2" w:rsidRDefault="006244B7" w:rsidP="006244B7">
            <w:pPr>
              <w:jc w:val="center"/>
              <w:rPr>
                <w:rFonts w:eastAsia="Calibri"/>
                <w:b/>
                <w:sz w:val="18"/>
                <w:szCs w:val="18"/>
                <w:lang w:eastAsia="hr-HR"/>
              </w:rPr>
            </w:pPr>
            <w:r w:rsidRPr="001B4CA2">
              <w:rPr>
                <w:rFonts w:eastAsia="Calibri"/>
                <w:b/>
                <w:sz w:val="18"/>
                <w:szCs w:val="18"/>
                <w:lang w:eastAsia="hr-HR"/>
              </w:rPr>
              <w:t>Do 5</w:t>
            </w:r>
          </w:p>
          <w:p w14:paraId="73813736" w14:textId="77777777" w:rsidR="006244B7" w:rsidRPr="001B4CA2" w:rsidRDefault="006244B7" w:rsidP="006244B7">
            <w:pPr>
              <w:jc w:val="center"/>
              <w:rPr>
                <w:rFonts w:eastAsia="Calibri"/>
                <w:b/>
                <w:sz w:val="18"/>
                <w:szCs w:val="18"/>
                <w:lang w:eastAsia="hr-HR"/>
              </w:rPr>
            </w:pPr>
            <w:r w:rsidRPr="001B4CA2">
              <w:rPr>
                <w:rFonts w:eastAsia="Calibri"/>
                <w:b/>
                <w:sz w:val="18"/>
                <w:szCs w:val="18"/>
                <w:lang w:eastAsia="hr-HR"/>
              </w:rPr>
              <w:t>članova</w:t>
            </w:r>
          </w:p>
        </w:tc>
        <w:tc>
          <w:tcPr>
            <w:tcW w:w="1422" w:type="dxa"/>
            <w:shd w:val="clear" w:color="auto" w:fill="99CCFF"/>
            <w:vAlign w:val="center"/>
          </w:tcPr>
          <w:p w14:paraId="3F301165" w14:textId="77777777" w:rsidR="006244B7" w:rsidRPr="001B4CA2" w:rsidRDefault="006244B7" w:rsidP="006244B7">
            <w:pPr>
              <w:jc w:val="center"/>
              <w:rPr>
                <w:rFonts w:eastAsia="Calibri"/>
                <w:b/>
                <w:sz w:val="18"/>
                <w:szCs w:val="18"/>
                <w:lang w:eastAsia="hr-HR"/>
              </w:rPr>
            </w:pPr>
            <w:r w:rsidRPr="001B4CA2">
              <w:rPr>
                <w:rFonts w:eastAsia="Calibri"/>
                <w:b/>
                <w:sz w:val="18"/>
                <w:szCs w:val="18"/>
                <w:lang w:eastAsia="hr-HR"/>
              </w:rPr>
              <w:t>Od 5 do 10</w:t>
            </w:r>
          </w:p>
          <w:p w14:paraId="3218366B" w14:textId="77777777" w:rsidR="006244B7" w:rsidRPr="001B4CA2" w:rsidRDefault="006244B7" w:rsidP="006244B7">
            <w:pPr>
              <w:jc w:val="center"/>
              <w:rPr>
                <w:rFonts w:eastAsia="Calibri"/>
                <w:b/>
                <w:sz w:val="18"/>
                <w:szCs w:val="18"/>
                <w:lang w:eastAsia="hr-HR"/>
              </w:rPr>
            </w:pPr>
            <w:r w:rsidRPr="001B4CA2">
              <w:rPr>
                <w:rFonts w:eastAsia="Calibri"/>
                <w:b/>
                <w:sz w:val="18"/>
                <w:szCs w:val="18"/>
                <w:lang w:eastAsia="hr-HR"/>
              </w:rPr>
              <w:t>članova</w:t>
            </w:r>
          </w:p>
        </w:tc>
        <w:tc>
          <w:tcPr>
            <w:tcW w:w="1640" w:type="dxa"/>
            <w:shd w:val="clear" w:color="auto" w:fill="99CCFF"/>
            <w:vAlign w:val="center"/>
          </w:tcPr>
          <w:p w14:paraId="65EC81D5" w14:textId="77777777" w:rsidR="006244B7" w:rsidRPr="001B4CA2" w:rsidRDefault="006244B7" w:rsidP="006244B7">
            <w:pPr>
              <w:jc w:val="center"/>
              <w:rPr>
                <w:rFonts w:eastAsia="Calibri"/>
                <w:b/>
                <w:sz w:val="18"/>
                <w:szCs w:val="18"/>
                <w:lang w:eastAsia="hr-HR"/>
              </w:rPr>
            </w:pPr>
            <w:r w:rsidRPr="001B4CA2">
              <w:rPr>
                <w:rFonts w:eastAsia="Calibri"/>
                <w:b/>
                <w:sz w:val="18"/>
                <w:szCs w:val="18"/>
                <w:lang w:eastAsia="hr-HR"/>
              </w:rPr>
              <w:t>Od 11 do 15</w:t>
            </w:r>
          </w:p>
          <w:p w14:paraId="3D3DB5DA" w14:textId="77777777" w:rsidR="006244B7" w:rsidRPr="001B4CA2" w:rsidRDefault="006244B7" w:rsidP="006244B7">
            <w:pPr>
              <w:jc w:val="center"/>
              <w:rPr>
                <w:rFonts w:eastAsia="Calibri"/>
                <w:b/>
                <w:sz w:val="18"/>
                <w:szCs w:val="18"/>
                <w:lang w:eastAsia="hr-HR"/>
              </w:rPr>
            </w:pPr>
            <w:r w:rsidRPr="001B4CA2">
              <w:rPr>
                <w:rFonts w:eastAsia="Calibri"/>
                <w:b/>
                <w:sz w:val="18"/>
                <w:szCs w:val="18"/>
                <w:lang w:eastAsia="hr-HR"/>
              </w:rPr>
              <w:t>članova</w:t>
            </w:r>
          </w:p>
        </w:tc>
        <w:tc>
          <w:tcPr>
            <w:tcW w:w="1564" w:type="dxa"/>
            <w:shd w:val="clear" w:color="auto" w:fill="99CCFF"/>
            <w:vAlign w:val="center"/>
          </w:tcPr>
          <w:p w14:paraId="03762E23" w14:textId="77777777" w:rsidR="006244B7" w:rsidRPr="001B4CA2" w:rsidRDefault="006244B7" w:rsidP="006244B7">
            <w:pPr>
              <w:jc w:val="center"/>
              <w:rPr>
                <w:rFonts w:eastAsia="Calibri"/>
                <w:b/>
                <w:sz w:val="18"/>
                <w:szCs w:val="18"/>
                <w:lang w:eastAsia="hr-HR"/>
              </w:rPr>
            </w:pPr>
            <w:r w:rsidRPr="001B4CA2">
              <w:rPr>
                <w:rFonts w:eastAsia="Calibri"/>
                <w:b/>
                <w:sz w:val="18"/>
                <w:szCs w:val="18"/>
                <w:lang w:eastAsia="hr-HR"/>
              </w:rPr>
              <w:t>Od 16 do 20</w:t>
            </w:r>
          </w:p>
          <w:p w14:paraId="67D4A232" w14:textId="77777777" w:rsidR="006244B7" w:rsidRPr="001B4CA2" w:rsidRDefault="006244B7" w:rsidP="006244B7">
            <w:pPr>
              <w:jc w:val="center"/>
              <w:rPr>
                <w:rFonts w:eastAsia="Calibri"/>
                <w:b/>
                <w:sz w:val="18"/>
                <w:szCs w:val="18"/>
                <w:lang w:eastAsia="hr-HR"/>
              </w:rPr>
            </w:pPr>
            <w:r w:rsidRPr="001B4CA2">
              <w:rPr>
                <w:rFonts w:eastAsia="Calibri"/>
                <w:b/>
                <w:sz w:val="18"/>
                <w:szCs w:val="18"/>
                <w:lang w:eastAsia="hr-HR"/>
              </w:rPr>
              <w:t>članova</w:t>
            </w:r>
          </w:p>
        </w:tc>
        <w:tc>
          <w:tcPr>
            <w:tcW w:w="1661" w:type="dxa"/>
            <w:shd w:val="clear" w:color="auto" w:fill="99CCFF"/>
            <w:vAlign w:val="center"/>
          </w:tcPr>
          <w:p w14:paraId="635F3BD1" w14:textId="77777777" w:rsidR="006244B7" w:rsidRPr="001B4CA2" w:rsidRDefault="006244B7" w:rsidP="006244B7">
            <w:pPr>
              <w:jc w:val="center"/>
              <w:rPr>
                <w:rFonts w:eastAsia="Calibri"/>
                <w:b/>
                <w:sz w:val="18"/>
                <w:szCs w:val="18"/>
                <w:lang w:eastAsia="hr-HR"/>
              </w:rPr>
            </w:pPr>
            <w:r w:rsidRPr="001B4CA2">
              <w:rPr>
                <w:rFonts w:eastAsia="Calibri"/>
                <w:b/>
                <w:sz w:val="18"/>
                <w:szCs w:val="18"/>
                <w:lang w:eastAsia="hr-HR"/>
              </w:rPr>
              <w:t>Od 21 do 25</w:t>
            </w:r>
          </w:p>
          <w:p w14:paraId="5786B118" w14:textId="77777777" w:rsidR="006244B7" w:rsidRPr="001B4CA2" w:rsidRDefault="006244B7" w:rsidP="006244B7">
            <w:pPr>
              <w:jc w:val="center"/>
              <w:rPr>
                <w:rFonts w:eastAsia="Calibri"/>
                <w:b/>
                <w:sz w:val="18"/>
                <w:szCs w:val="18"/>
                <w:lang w:eastAsia="hr-HR"/>
              </w:rPr>
            </w:pPr>
            <w:r w:rsidRPr="001B4CA2">
              <w:rPr>
                <w:rFonts w:eastAsia="Calibri"/>
                <w:b/>
                <w:sz w:val="18"/>
                <w:szCs w:val="18"/>
                <w:lang w:eastAsia="hr-HR"/>
              </w:rPr>
              <w:t>članova</w:t>
            </w:r>
          </w:p>
        </w:tc>
        <w:tc>
          <w:tcPr>
            <w:tcW w:w="1487" w:type="dxa"/>
            <w:shd w:val="clear" w:color="auto" w:fill="99CCFF"/>
            <w:vAlign w:val="center"/>
          </w:tcPr>
          <w:p w14:paraId="6544BC55" w14:textId="77777777" w:rsidR="006244B7" w:rsidRPr="001B4CA2" w:rsidRDefault="006244B7" w:rsidP="006244B7">
            <w:pPr>
              <w:jc w:val="center"/>
              <w:rPr>
                <w:rFonts w:eastAsia="Calibri"/>
                <w:b/>
                <w:sz w:val="18"/>
                <w:szCs w:val="18"/>
                <w:lang w:eastAsia="hr-HR"/>
              </w:rPr>
            </w:pPr>
            <w:r w:rsidRPr="001B4CA2">
              <w:rPr>
                <w:rFonts w:eastAsia="Calibri"/>
                <w:b/>
                <w:sz w:val="18"/>
                <w:szCs w:val="18"/>
                <w:lang w:eastAsia="hr-HR"/>
              </w:rPr>
              <w:t>Od 26 i više</w:t>
            </w:r>
          </w:p>
          <w:p w14:paraId="18FA082F" w14:textId="77777777" w:rsidR="006244B7" w:rsidRPr="001B4CA2" w:rsidRDefault="006244B7" w:rsidP="006244B7">
            <w:pPr>
              <w:jc w:val="center"/>
              <w:rPr>
                <w:rFonts w:eastAsia="Calibri"/>
                <w:b/>
                <w:sz w:val="18"/>
                <w:szCs w:val="18"/>
                <w:lang w:eastAsia="hr-HR"/>
              </w:rPr>
            </w:pPr>
            <w:r w:rsidRPr="001B4CA2">
              <w:rPr>
                <w:rFonts w:eastAsia="Calibri"/>
                <w:b/>
                <w:sz w:val="18"/>
                <w:szCs w:val="18"/>
                <w:lang w:eastAsia="hr-HR"/>
              </w:rPr>
              <w:t>članova</w:t>
            </w:r>
          </w:p>
        </w:tc>
      </w:tr>
      <w:tr w:rsidR="006244B7" w:rsidRPr="001B4CA2" w14:paraId="1B792727" w14:textId="77777777" w:rsidTr="00130281">
        <w:trPr>
          <w:trHeight w:val="408"/>
          <w:jc w:val="center"/>
        </w:trPr>
        <w:tc>
          <w:tcPr>
            <w:tcW w:w="1245" w:type="dxa"/>
            <w:vAlign w:val="center"/>
          </w:tcPr>
          <w:p w14:paraId="0F3838AD" w14:textId="0976622C" w:rsidR="006244B7" w:rsidRPr="001B4CA2" w:rsidRDefault="00130281" w:rsidP="006244B7">
            <w:pPr>
              <w:jc w:val="center"/>
              <w:rPr>
                <w:rFonts w:eastAsia="Calibri"/>
                <w:sz w:val="18"/>
                <w:szCs w:val="18"/>
                <w:lang w:eastAsia="hr-HR"/>
              </w:rPr>
            </w:pPr>
            <w:r w:rsidRPr="001B4CA2">
              <w:rPr>
                <w:rFonts w:eastAsia="Calibri"/>
                <w:sz w:val="18"/>
                <w:szCs w:val="18"/>
                <w:lang w:eastAsia="hr-HR"/>
              </w:rPr>
              <w:t>7</w:t>
            </w:r>
          </w:p>
        </w:tc>
        <w:tc>
          <w:tcPr>
            <w:tcW w:w="1422" w:type="dxa"/>
            <w:vAlign w:val="center"/>
          </w:tcPr>
          <w:p w14:paraId="7AE30E93" w14:textId="42C5F810" w:rsidR="006244B7" w:rsidRPr="001B4CA2" w:rsidRDefault="002F1298" w:rsidP="006244B7">
            <w:pPr>
              <w:jc w:val="center"/>
              <w:rPr>
                <w:rFonts w:eastAsia="Calibri"/>
                <w:sz w:val="18"/>
                <w:szCs w:val="18"/>
                <w:lang w:eastAsia="hr-HR"/>
              </w:rPr>
            </w:pPr>
            <w:r w:rsidRPr="001B4CA2">
              <w:rPr>
                <w:rFonts w:eastAsia="Calibri"/>
                <w:sz w:val="18"/>
                <w:szCs w:val="18"/>
                <w:lang w:eastAsia="hr-HR"/>
              </w:rPr>
              <w:t>1</w:t>
            </w:r>
            <w:r w:rsidR="00130281" w:rsidRPr="001B4CA2">
              <w:rPr>
                <w:rFonts w:eastAsia="Calibri"/>
                <w:sz w:val="18"/>
                <w:szCs w:val="18"/>
                <w:lang w:eastAsia="hr-HR"/>
              </w:rPr>
              <w:t>7</w:t>
            </w:r>
          </w:p>
        </w:tc>
        <w:tc>
          <w:tcPr>
            <w:tcW w:w="1640" w:type="dxa"/>
            <w:vAlign w:val="center"/>
          </w:tcPr>
          <w:p w14:paraId="73B31369" w14:textId="30F932E9" w:rsidR="006244B7" w:rsidRPr="001B4CA2" w:rsidRDefault="00130281" w:rsidP="006244B7">
            <w:pPr>
              <w:jc w:val="center"/>
              <w:rPr>
                <w:rFonts w:eastAsia="Calibri"/>
                <w:sz w:val="18"/>
                <w:szCs w:val="18"/>
                <w:lang w:eastAsia="hr-HR"/>
              </w:rPr>
            </w:pPr>
            <w:r w:rsidRPr="001B4CA2">
              <w:rPr>
                <w:rFonts w:eastAsia="Calibri"/>
                <w:sz w:val="18"/>
                <w:szCs w:val="18"/>
                <w:lang w:eastAsia="hr-HR"/>
              </w:rPr>
              <w:t>4</w:t>
            </w:r>
          </w:p>
        </w:tc>
        <w:tc>
          <w:tcPr>
            <w:tcW w:w="1564" w:type="dxa"/>
            <w:vAlign w:val="center"/>
          </w:tcPr>
          <w:p w14:paraId="37FCA6A5" w14:textId="4B9015C2" w:rsidR="006244B7" w:rsidRPr="001B4CA2" w:rsidRDefault="00130281" w:rsidP="006244B7">
            <w:pPr>
              <w:jc w:val="center"/>
              <w:rPr>
                <w:rFonts w:eastAsia="Calibri"/>
                <w:sz w:val="18"/>
                <w:szCs w:val="18"/>
                <w:lang w:eastAsia="hr-HR"/>
              </w:rPr>
            </w:pPr>
            <w:r w:rsidRPr="001B4CA2">
              <w:rPr>
                <w:rFonts w:eastAsia="Calibri"/>
                <w:sz w:val="18"/>
                <w:szCs w:val="18"/>
                <w:lang w:eastAsia="hr-HR"/>
              </w:rPr>
              <w:t>2</w:t>
            </w:r>
          </w:p>
        </w:tc>
        <w:tc>
          <w:tcPr>
            <w:tcW w:w="1661" w:type="dxa"/>
            <w:vAlign w:val="center"/>
          </w:tcPr>
          <w:p w14:paraId="7291D963" w14:textId="0EAFE89D" w:rsidR="006244B7" w:rsidRPr="001B4CA2" w:rsidRDefault="00130281" w:rsidP="006244B7">
            <w:pPr>
              <w:jc w:val="center"/>
              <w:rPr>
                <w:rFonts w:eastAsia="Calibri"/>
                <w:sz w:val="18"/>
                <w:szCs w:val="18"/>
                <w:lang w:eastAsia="hr-HR"/>
              </w:rPr>
            </w:pPr>
            <w:r w:rsidRPr="001B4CA2">
              <w:rPr>
                <w:rFonts w:eastAsia="Calibri"/>
                <w:sz w:val="18"/>
                <w:szCs w:val="18"/>
                <w:lang w:eastAsia="hr-HR"/>
              </w:rPr>
              <w:t>0</w:t>
            </w:r>
          </w:p>
        </w:tc>
        <w:tc>
          <w:tcPr>
            <w:tcW w:w="1487" w:type="dxa"/>
            <w:vAlign w:val="center"/>
          </w:tcPr>
          <w:p w14:paraId="604D95D0" w14:textId="4844AA4D" w:rsidR="006244B7" w:rsidRPr="001B4CA2" w:rsidRDefault="002F1298" w:rsidP="006244B7">
            <w:pPr>
              <w:jc w:val="center"/>
              <w:rPr>
                <w:rFonts w:eastAsia="Calibri"/>
                <w:sz w:val="18"/>
                <w:szCs w:val="18"/>
                <w:lang w:eastAsia="hr-HR"/>
              </w:rPr>
            </w:pPr>
            <w:r w:rsidRPr="001B4CA2">
              <w:rPr>
                <w:rFonts w:eastAsia="Calibri"/>
                <w:sz w:val="18"/>
                <w:szCs w:val="18"/>
                <w:lang w:eastAsia="hr-HR"/>
              </w:rPr>
              <w:t>2</w:t>
            </w:r>
          </w:p>
        </w:tc>
      </w:tr>
    </w:tbl>
    <w:p w14:paraId="2225116A" w14:textId="77693D85" w:rsidR="00B22F72" w:rsidRDefault="00B22F72" w:rsidP="004852FD"/>
    <w:p w14:paraId="1B69FC66" w14:textId="77777777" w:rsidR="000268FF" w:rsidRPr="001B4CA2" w:rsidRDefault="000268FF" w:rsidP="004852FD"/>
    <w:p w14:paraId="1F8C3813" w14:textId="71B19720" w:rsidR="00130281" w:rsidRPr="001B4CA2" w:rsidRDefault="00130281" w:rsidP="00130281">
      <w:pPr>
        <w:ind w:firstLine="708"/>
        <w:rPr>
          <w:rFonts w:eastAsia="Calibri"/>
        </w:rPr>
      </w:pPr>
      <w:r w:rsidRPr="001B4CA2">
        <w:rPr>
          <w:rFonts w:eastAsia="Calibri"/>
        </w:rPr>
        <w:t>Kako je u 2021. godini bilo prijavljeno 21 zločinačko udruženje</w:t>
      </w:r>
      <w:r w:rsidR="00E52239">
        <w:rPr>
          <w:rFonts w:eastAsia="Calibri"/>
        </w:rPr>
        <w:t xml:space="preserve">, </w:t>
      </w:r>
      <w:r w:rsidRPr="001B4CA2">
        <w:rPr>
          <w:rFonts w:eastAsia="Calibri"/>
        </w:rPr>
        <w:t xml:space="preserve">u ovom </w:t>
      </w:r>
      <w:r w:rsidR="00E52239" w:rsidRPr="001B4CA2">
        <w:rPr>
          <w:rFonts w:eastAsia="Calibri"/>
        </w:rPr>
        <w:t xml:space="preserve">se </w:t>
      </w:r>
      <w:r w:rsidRPr="001B4CA2">
        <w:rPr>
          <w:rFonts w:eastAsia="Calibri"/>
        </w:rPr>
        <w:t>izvještajnom razdoblju bilježi značajan porast broj zločinačkih udruženja za 52,38</w:t>
      </w:r>
      <w:r w:rsidR="00E52239">
        <w:rPr>
          <w:rFonts w:eastAsia="Calibri"/>
        </w:rPr>
        <w:t> </w:t>
      </w:r>
      <w:r w:rsidRPr="001B4CA2">
        <w:rPr>
          <w:rFonts w:eastAsia="Calibri"/>
        </w:rPr>
        <w:t>%</w:t>
      </w:r>
      <w:r w:rsidR="00E52239">
        <w:rPr>
          <w:rFonts w:eastAsia="Calibri"/>
        </w:rPr>
        <w:t xml:space="preserve">, a to </w:t>
      </w:r>
      <w:r w:rsidRPr="001B4CA2">
        <w:rPr>
          <w:rFonts w:eastAsia="Calibri"/>
        </w:rPr>
        <w:t>je u korelaciji s povećanjem broja prijavljenih osoba iz oblasti organiziranog kriminaliteta. Najveći porast bilježi se kod zločinačkih udruženja koja broje do 5 članova (2021.</w:t>
      </w:r>
      <w:r w:rsidR="00E52239">
        <w:rPr>
          <w:rFonts w:eastAsia="Calibri"/>
        </w:rPr>
        <w:t xml:space="preserve"> –</w:t>
      </w:r>
      <w:r w:rsidRPr="001B4CA2">
        <w:rPr>
          <w:rFonts w:eastAsia="Calibri"/>
        </w:rPr>
        <w:t xml:space="preserve"> 3) te zločinačkih udruženja koja broje od 5 do 10 članova (2021.</w:t>
      </w:r>
      <w:r w:rsidR="00E52239">
        <w:rPr>
          <w:rFonts w:eastAsia="Calibri"/>
        </w:rPr>
        <w:t xml:space="preserve"> –</w:t>
      </w:r>
      <w:r w:rsidRPr="001B4CA2">
        <w:rPr>
          <w:rFonts w:eastAsia="Calibri"/>
        </w:rPr>
        <w:t xml:space="preserve"> 11). </w:t>
      </w:r>
    </w:p>
    <w:p w14:paraId="61500160" w14:textId="1017D103" w:rsidR="00130281" w:rsidRPr="001B4CA2" w:rsidRDefault="00130281" w:rsidP="00130281">
      <w:pPr>
        <w:rPr>
          <w:rFonts w:eastAsia="Calibri"/>
        </w:rPr>
      </w:pPr>
    </w:p>
    <w:p w14:paraId="52EA334D" w14:textId="77777777" w:rsidR="00280ADB" w:rsidRPr="001B4CA2" w:rsidRDefault="00280ADB" w:rsidP="00130281">
      <w:pPr>
        <w:rPr>
          <w:rFonts w:eastAsia="Calibri"/>
        </w:rPr>
      </w:pPr>
    </w:p>
    <w:p w14:paraId="45E5DF5C" w14:textId="77777777" w:rsidR="00130281" w:rsidRPr="001B4CA2" w:rsidRDefault="00130281" w:rsidP="00130281">
      <w:pPr>
        <w:rPr>
          <w:rFonts w:eastAsia="Calibri"/>
        </w:rPr>
      </w:pPr>
      <w:r w:rsidRPr="001B4CA2">
        <w:rPr>
          <w:rFonts w:eastAsia="Calibri"/>
        </w:rPr>
        <w:lastRenderedPageBreak/>
        <w:t xml:space="preserve">Tablica 4. Prikaz zločinačkih udruženja po strukturi kaznenih djela </w:t>
      </w:r>
    </w:p>
    <w:p w14:paraId="1EB6A9B6" w14:textId="77777777" w:rsidR="00130281" w:rsidRPr="001B4CA2" w:rsidRDefault="00130281" w:rsidP="00130281">
      <w:pPr>
        <w:rPr>
          <w:rFonts w:eastAsia="Calibri"/>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680"/>
        <w:gridCol w:w="1488"/>
        <w:gridCol w:w="1030"/>
      </w:tblGrid>
      <w:tr w:rsidR="00130281" w:rsidRPr="001B4CA2" w14:paraId="1C2430D9" w14:textId="77777777" w:rsidTr="002A38E7">
        <w:trPr>
          <w:trHeight w:val="433"/>
          <w:jc w:val="center"/>
        </w:trPr>
        <w:tc>
          <w:tcPr>
            <w:tcW w:w="4680" w:type="dxa"/>
            <w:tcBorders>
              <w:top w:val="double" w:sz="4" w:space="0" w:color="auto"/>
              <w:left w:val="double" w:sz="4" w:space="0" w:color="auto"/>
              <w:bottom w:val="single" w:sz="6" w:space="0" w:color="auto"/>
              <w:right w:val="single" w:sz="6" w:space="0" w:color="auto"/>
            </w:tcBorders>
            <w:shd w:val="clear" w:color="auto" w:fill="auto"/>
          </w:tcPr>
          <w:p w14:paraId="60996410" w14:textId="77777777" w:rsidR="00130281" w:rsidRPr="001B4CA2" w:rsidRDefault="00130281" w:rsidP="002A38E7">
            <w:pPr>
              <w:rPr>
                <w:rFonts w:eastAsia="Calibri"/>
                <w:sz w:val="18"/>
                <w:szCs w:val="18"/>
              </w:rPr>
            </w:pPr>
          </w:p>
          <w:p w14:paraId="77A09572" w14:textId="77777777" w:rsidR="00130281" w:rsidRPr="001B4CA2" w:rsidRDefault="00130281" w:rsidP="002A38E7">
            <w:pPr>
              <w:rPr>
                <w:rFonts w:eastAsia="Calibri"/>
                <w:sz w:val="18"/>
                <w:szCs w:val="18"/>
              </w:rPr>
            </w:pPr>
            <w:r w:rsidRPr="001B4CA2">
              <w:rPr>
                <w:rFonts w:eastAsia="Calibri"/>
                <w:sz w:val="18"/>
                <w:szCs w:val="18"/>
              </w:rPr>
              <w:t>Kaznena djela</w:t>
            </w:r>
          </w:p>
        </w:tc>
        <w:tc>
          <w:tcPr>
            <w:tcW w:w="1488" w:type="dxa"/>
            <w:tcBorders>
              <w:top w:val="double" w:sz="4" w:space="0" w:color="auto"/>
              <w:left w:val="single" w:sz="6" w:space="0" w:color="auto"/>
              <w:bottom w:val="single" w:sz="6" w:space="0" w:color="auto"/>
              <w:right w:val="single" w:sz="6" w:space="0" w:color="auto"/>
            </w:tcBorders>
            <w:shd w:val="clear" w:color="auto" w:fill="auto"/>
          </w:tcPr>
          <w:p w14:paraId="66923C3C" w14:textId="77777777" w:rsidR="00130281" w:rsidRPr="001B4CA2" w:rsidRDefault="00130281" w:rsidP="002A38E7">
            <w:pPr>
              <w:rPr>
                <w:rFonts w:eastAsia="Calibri"/>
                <w:sz w:val="18"/>
                <w:szCs w:val="18"/>
              </w:rPr>
            </w:pPr>
          </w:p>
          <w:p w14:paraId="131DB386" w14:textId="77777777" w:rsidR="00130281" w:rsidRPr="001B4CA2" w:rsidRDefault="00130281" w:rsidP="00130281">
            <w:pPr>
              <w:jc w:val="center"/>
              <w:rPr>
                <w:rFonts w:eastAsia="Calibri"/>
                <w:sz w:val="18"/>
                <w:szCs w:val="18"/>
              </w:rPr>
            </w:pPr>
            <w:r w:rsidRPr="001B4CA2">
              <w:rPr>
                <w:rFonts w:eastAsia="Calibri"/>
                <w:sz w:val="18"/>
                <w:szCs w:val="18"/>
              </w:rPr>
              <w:t>Broj zločinačkih udruženja</w:t>
            </w:r>
          </w:p>
        </w:tc>
        <w:tc>
          <w:tcPr>
            <w:tcW w:w="1030" w:type="dxa"/>
            <w:tcBorders>
              <w:top w:val="double" w:sz="4" w:space="0" w:color="auto"/>
              <w:left w:val="single" w:sz="6" w:space="0" w:color="auto"/>
              <w:bottom w:val="single" w:sz="6" w:space="0" w:color="auto"/>
              <w:right w:val="double" w:sz="4" w:space="0" w:color="auto"/>
            </w:tcBorders>
            <w:shd w:val="clear" w:color="auto" w:fill="auto"/>
          </w:tcPr>
          <w:p w14:paraId="757CDA77" w14:textId="77777777" w:rsidR="00130281" w:rsidRPr="001B4CA2" w:rsidRDefault="00130281" w:rsidP="002A38E7">
            <w:pPr>
              <w:rPr>
                <w:rFonts w:eastAsia="Calibri"/>
                <w:sz w:val="18"/>
                <w:szCs w:val="18"/>
              </w:rPr>
            </w:pPr>
          </w:p>
          <w:p w14:paraId="51D60FAD" w14:textId="77777777" w:rsidR="00130281" w:rsidRPr="001B4CA2" w:rsidRDefault="00130281" w:rsidP="002A38E7">
            <w:pPr>
              <w:rPr>
                <w:rFonts w:eastAsia="Calibri"/>
                <w:sz w:val="18"/>
                <w:szCs w:val="18"/>
              </w:rPr>
            </w:pPr>
            <w:r w:rsidRPr="001B4CA2">
              <w:rPr>
                <w:rFonts w:eastAsia="Calibri"/>
                <w:sz w:val="18"/>
                <w:szCs w:val="18"/>
              </w:rPr>
              <w:t xml:space="preserve">    %</w:t>
            </w:r>
          </w:p>
        </w:tc>
      </w:tr>
      <w:tr w:rsidR="00130281" w:rsidRPr="001B4CA2" w14:paraId="2CF9F1D8" w14:textId="77777777" w:rsidTr="00130281">
        <w:trPr>
          <w:trHeight w:val="416"/>
          <w:jc w:val="center"/>
        </w:trPr>
        <w:tc>
          <w:tcPr>
            <w:tcW w:w="4680" w:type="dxa"/>
            <w:tcBorders>
              <w:top w:val="single" w:sz="6" w:space="0" w:color="auto"/>
              <w:left w:val="double" w:sz="4" w:space="0" w:color="auto"/>
              <w:bottom w:val="single" w:sz="6" w:space="0" w:color="auto"/>
              <w:right w:val="single" w:sz="6" w:space="0" w:color="auto"/>
            </w:tcBorders>
            <w:shd w:val="clear" w:color="auto" w:fill="auto"/>
          </w:tcPr>
          <w:p w14:paraId="3372B5DF" w14:textId="77777777" w:rsidR="00130281" w:rsidRPr="001B4CA2" w:rsidRDefault="00130281" w:rsidP="002A38E7">
            <w:pPr>
              <w:rPr>
                <w:rFonts w:eastAsia="Calibri"/>
                <w:sz w:val="18"/>
                <w:szCs w:val="18"/>
              </w:rPr>
            </w:pPr>
            <w:r w:rsidRPr="001B4CA2">
              <w:rPr>
                <w:rFonts w:eastAsia="Calibri"/>
                <w:sz w:val="18"/>
                <w:szCs w:val="18"/>
              </w:rPr>
              <w:t xml:space="preserve">Trgovina narkoticima </w:t>
            </w:r>
          </w:p>
        </w:tc>
        <w:tc>
          <w:tcPr>
            <w:tcW w:w="1488" w:type="dxa"/>
            <w:tcBorders>
              <w:top w:val="single" w:sz="6" w:space="0" w:color="auto"/>
              <w:left w:val="single" w:sz="6" w:space="0" w:color="auto"/>
              <w:bottom w:val="single" w:sz="6" w:space="0" w:color="auto"/>
              <w:right w:val="single" w:sz="6" w:space="0" w:color="auto"/>
            </w:tcBorders>
            <w:shd w:val="clear" w:color="auto" w:fill="auto"/>
            <w:vAlign w:val="center"/>
          </w:tcPr>
          <w:p w14:paraId="52B7F8F6" w14:textId="77777777" w:rsidR="00130281" w:rsidRPr="001B4CA2" w:rsidRDefault="00130281" w:rsidP="00130281">
            <w:pPr>
              <w:jc w:val="center"/>
              <w:rPr>
                <w:rFonts w:eastAsia="Calibri"/>
                <w:sz w:val="18"/>
                <w:szCs w:val="18"/>
              </w:rPr>
            </w:pPr>
            <w:r w:rsidRPr="001B4CA2">
              <w:rPr>
                <w:rFonts w:eastAsia="Calibri"/>
                <w:sz w:val="18"/>
                <w:szCs w:val="18"/>
              </w:rPr>
              <w:t>13</w:t>
            </w:r>
          </w:p>
        </w:tc>
        <w:tc>
          <w:tcPr>
            <w:tcW w:w="1030" w:type="dxa"/>
            <w:tcBorders>
              <w:top w:val="single" w:sz="6" w:space="0" w:color="auto"/>
              <w:left w:val="single" w:sz="6" w:space="0" w:color="auto"/>
              <w:bottom w:val="single" w:sz="6" w:space="0" w:color="auto"/>
              <w:right w:val="double" w:sz="4" w:space="0" w:color="auto"/>
            </w:tcBorders>
            <w:shd w:val="clear" w:color="auto" w:fill="auto"/>
            <w:vAlign w:val="center"/>
          </w:tcPr>
          <w:p w14:paraId="76D6E41C" w14:textId="77777777" w:rsidR="00130281" w:rsidRPr="001B4CA2" w:rsidRDefault="00130281" w:rsidP="00130281">
            <w:pPr>
              <w:jc w:val="center"/>
              <w:rPr>
                <w:rFonts w:eastAsia="Calibri"/>
                <w:sz w:val="18"/>
                <w:szCs w:val="18"/>
              </w:rPr>
            </w:pPr>
            <w:r w:rsidRPr="001B4CA2">
              <w:rPr>
                <w:rFonts w:eastAsia="Calibri"/>
                <w:sz w:val="18"/>
                <w:szCs w:val="18"/>
              </w:rPr>
              <w:t>40,62%</w:t>
            </w:r>
          </w:p>
        </w:tc>
      </w:tr>
      <w:tr w:rsidR="00130281" w:rsidRPr="001B4CA2" w14:paraId="5829F02B" w14:textId="77777777" w:rsidTr="00130281">
        <w:trPr>
          <w:trHeight w:val="428"/>
          <w:jc w:val="center"/>
        </w:trPr>
        <w:tc>
          <w:tcPr>
            <w:tcW w:w="4680" w:type="dxa"/>
            <w:tcBorders>
              <w:top w:val="single" w:sz="6" w:space="0" w:color="auto"/>
              <w:left w:val="double" w:sz="4" w:space="0" w:color="auto"/>
              <w:bottom w:val="single" w:sz="6" w:space="0" w:color="auto"/>
              <w:right w:val="single" w:sz="6" w:space="0" w:color="auto"/>
            </w:tcBorders>
            <w:shd w:val="clear" w:color="auto" w:fill="auto"/>
          </w:tcPr>
          <w:p w14:paraId="0BBFC610" w14:textId="77777777" w:rsidR="00130281" w:rsidRPr="001B4CA2" w:rsidRDefault="00130281" w:rsidP="002A38E7">
            <w:pPr>
              <w:rPr>
                <w:rFonts w:eastAsia="Calibri"/>
                <w:sz w:val="18"/>
                <w:szCs w:val="18"/>
              </w:rPr>
            </w:pPr>
            <w:r w:rsidRPr="001B4CA2">
              <w:rPr>
                <w:rFonts w:eastAsia="Calibri"/>
                <w:sz w:val="18"/>
                <w:szCs w:val="18"/>
              </w:rPr>
              <w:t xml:space="preserve">Ilegalno prebacivanje osoba preko granice </w:t>
            </w:r>
          </w:p>
        </w:tc>
        <w:tc>
          <w:tcPr>
            <w:tcW w:w="1488" w:type="dxa"/>
            <w:tcBorders>
              <w:top w:val="single" w:sz="6" w:space="0" w:color="auto"/>
              <w:left w:val="single" w:sz="6" w:space="0" w:color="auto"/>
              <w:bottom w:val="single" w:sz="6" w:space="0" w:color="auto"/>
              <w:right w:val="single" w:sz="6" w:space="0" w:color="auto"/>
            </w:tcBorders>
            <w:shd w:val="clear" w:color="auto" w:fill="auto"/>
            <w:vAlign w:val="center"/>
          </w:tcPr>
          <w:p w14:paraId="571DF814" w14:textId="77777777" w:rsidR="00130281" w:rsidRPr="001B4CA2" w:rsidRDefault="00130281" w:rsidP="00130281">
            <w:pPr>
              <w:jc w:val="center"/>
              <w:rPr>
                <w:rFonts w:eastAsia="Calibri"/>
                <w:sz w:val="18"/>
                <w:szCs w:val="18"/>
              </w:rPr>
            </w:pPr>
            <w:r w:rsidRPr="001B4CA2">
              <w:rPr>
                <w:rFonts w:eastAsia="Calibri"/>
                <w:sz w:val="18"/>
                <w:szCs w:val="18"/>
              </w:rPr>
              <w:t>5</w:t>
            </w:r>
          </w:p>
        </w:tc>
        <w:tc>
          <w:tcPr>
            <w:tcW w:w="1030" w:type="dxa"/>
            <w:tcBorders>
              <w:top w:val="single" w:sz="6" w:space="0" w:color="auto"/>
              <w:left w:val="single" w:sz="6" w:space="0" w:color="auto"/>
              <w:bottom w:val="single" w:sz="6" w:space="0" w:color="auto"/>
              <w:right w:val="double" w:sz="4" w:space="0" w:color="auto"/>
            </w:tcBorders>
            <w:shd w:val="clear" w:color="auto" w:fill="auto"/>
            <w:vAlign w:val="center"/>
          </w:tcPr>
          <w:p w14:paraId="33C2EDCF" w14:textId="34645C19" w:rsidR="00130281" w:rsidRPr="001B4CA2" w:rsidRDefault="00130281" w:rsidP="00130281">
            <w:pPr>
              <w:jc w:val="center"/>
              <w:rPr>
                <w:rFonts w:eastAsia="Calibri"/>
                <w:sz w:val="18"/>
                <w:szCs w:val="18"/>
              </w:rPr>
            </w:pPr>
            <w:r w:rsidRPr="001B4CA2">
              <w:rPr>
                <w:rFonts w:eastAsia="Calibri"/>
                <w:sz w:val="18"/>
                <w:szCs w:val="18"/>
              </w:rPr>
              <w:t>15,63%</w:t>
            </w:r>
          </w:p>
        </w:tc>
      </w:tr>
      <w:tr w:rsidR="00130281" w:rsidRPr="001B4CA2" w14:paraId="3BAB7F1E" w14:textId="77777777" w:rsidTr="00130281">
        <w:trPr>
          <w:trHeight w:val="428"/>
          <w:jc w:val="center"/>
        </w:trPr>
        <w:tc>
          <w:tcPr>
            <w:tcW w:w="4680" w:type="dxa"/>
            <w:tcBorders>
              <w:top w:val="single" w:sz="6" w:space="0" w:color="auto"/>
              <w:left w:val="double" w:sz="4" w:space="0" w:color="auto"/>
              <w:bottom w:val="single" w:sz="6" w:space="0" w:color="auto"/>
              <w:right w:val="single" w:sz="6" w:space="0" w:color="auto"/>
            </w:tcBorders>
            <w:shd w:val="clear" w:color="auto" w:fill="auto"/>
          </w:tcPr>
          <w:p w14:paraId="5BEF96E2" w14:textId="77777777" w:rsidR="00130281" w:rsidRPr="001B4CA2" w:rsidRDefault="00130281" w:rsidP="002A38E7">
            <w:pPr>
              <w:rPr>
                <w:rFonts w:eastAsia="Calibri"/>
                <w:sz w:val="18"/>
                <w:szCs w:val="18"/>
              </w:rPr>
            </w:pPr>
            <w:r w:rsidRPr="001B4CA2">
              <w:rPr>
                <w:rFonts w:eastAsia="Calibri"/>
                <w:sz w:val="18"/>
                <w:szCs w:val="18"/>
              </w:rPr>
              <w:t xml:space="preserve">Utaja poreza ili carine </w:t>
            </w:r>
          </w:p>
        </w:tc>
        <w:tc>
          <w:tcPr>
            <w:tcW w:w="1488" w:type="dxa"/>
            <w:tcBorders>
              <w:top w:val="single" w:sz="6" w:space="0" w:color="auto"/>
              <w:left w:val="single" w:sz="6" w:space="0" w:color="auto"/>
              <w:bottom w:val="single" w:sz="6" w:space="0" w:color="auto"/>
              <w:right w:val="single" w:sz="6" w:space="0" w:color="auto"/>
            </w:tcBorders>
            <w:shd w:val="clear" w:color="auto" w:fill="auto"/>
            <w:vAlign w:val="center"/>
          </w:tcPr>
          <w:p w14:paraId="117C4035" w14:textId="77777777" w:rsidR="00130281" w:rsidRPr="001B4CA2" w:rsidRDefault="00130281" w:rsidP="00130281">
            <w:pPr>
              <w:jc w:val="center"/>
              <w:rPr>
                <w:rFonts w:eastAsia="Calibri"/>
                <w:sz w:val="18"/>
                <w:szCs w:val="18"/>
              </w:rPr>
            </w:pPr>
            <w:r w:rsidRPr="001B4CA2">
              <w:rPr>
                <w:rFonts w:eastAsia="Calibri"/>
                <w:sz w:val="18"/>
                <w:szCs w:val="18"/>
              </w:rPr>
              <w:t>3</w:t>
            </w:r>
          </w:p>
        </w:tc>
        <w:tc>
          <w:tcPr>
            <w:tcW w:w="1030" w:type="dxa"/>
            <w:tcBorders>
              <w:top w:val="single" w:sz="6" w:space="0" w:color="auto"/>
              <w:left w:val="single" w:sz="6" w:space="0" w:color="auto"/>
              <w:bottom w:val="single" w:sz="6" w:space="0" w:color="auto"/>
              <w:right w:val="double" w:sz="4" w:space="0" w:color="auto"/>
            </w:tcBorders>
            <w:shd w:val="clear" w:color="auto" w:fill="auto"/>
            <w:vAlign w:val="center"/>
          </w:tcPr>
          <w:p w14:paraId="66B7FE81" w14:textId="092DFD48" w:rsidR="00130281" w:rsidRPr="001B4CA2" w:rsidRDefault="00130281" w:rsidP="00130281">
            <w:pPr>
              <w:jc w:val="center"/>
              <w:rPr>
                <w:rFonts w:eastAsia="Calibri"/>
                <w:sz w:val="18"/>
                <w:szCs w:val="18"/>
              </w:rPr>
            </w:pPr>
            <w:r w:rsidRPr="001B4CA2">
              <w:rPr>
                <w:rFonts w:eastAsia="Calibri"/>
                <w:sz w:val="18"/>
                <w:szCs w:val="18"/>
              </w:rPr>
              <w:t>9,37%</w:t>
            </w:r>
          </w:p>
        </w:tc>
      </w:tr>
      <w:tr w:rsidR="00130281" w:rsidRPr="001B4CA2" w14:paraId="3D17F1F1" w14:textId="77777777" w:rsidTr="00130281">
        <w:trPr>
          <w:trHeight w:val="428"/>
          <w:jc w:val="center"/>
        </w:trPr>
        <w:tc>
          <w:tcPr>
            <w:tcW w:w="4680" w:type="dxa"/>
            <w:tcBorders>
              <w:top w:val="single" w:sz="6" w:space="0" w:color="auto"/>
              <w:left w:val="double" w:sz="4" w:space="0" w:color="auto"/>
              <w:bottom w:val="single" w:sz="6" w:space="0" w:color="auto"/>
              <w:right w:val="single" w:sz="6" w:space="0" w:color="auto"/>
            </w:tcBorders>
            <w:shd w:val="clear" w:color="auto" w:fill="auto"/>
          </w:tcPr>
          <w:p w14:paraId="3D387D16" w14:textId="05EB55F5" w:rsidR="00130281" w:rsidRPr="001B4CA2" w:rsidRDefault="00130281" w:rsidP="002A38E7">
            <w:pPr>
              <w:rPr>
                <w:rFonts w:eastAsia="Calibri"/>
                <w:sz w:val="18"/>
                <w:szCs w:val="18"/>
              </w:rPr>
            </w:pPr>
            <w:r w:rsidRPr="001B4CA2">
              <w:rPr>
                <w:rFonts w:eastAsia="Calibri"/>
                <w:sz w:val="18"/>
                <w:szCs w:val="18"/>
              </w:rPr>
              <w:t>Ne</w:t>
            </w:r>
            <w:r w:rsidR="00F47D60">
              <w:rPr>
                <w:rFonts w:eastAsia="Calibri"/>
                <w:sz w:val="18"/>
                <w:szCs w:val="18"/>
              </w:rPr>
              <w:t>dopušten</w:t>
            </w:r>
            <w:r w:rsidRPr="001B4CA2">
              <w:rPr>
                <w:rFonts w:eastAsia="Calibri"/>
                <w:sz w:val="18"/>
                <w:szCs w:val="18"/>
              </w:rPr>
              <w:t>a trgovina</w:t>
            </w:r>
          </w:p>
        </w:tc>
        <w:tc>
          <w:tcPr>
            <w:tcW w:w="1488" w:type="dxa"/>
            <w:tcBorders>
              <w:top w:val="single" w:sz="6" w:space="0" w:color="auto"/>
              <w:left w:val="single" w:sz="6" w:space="0" w:color="auto"/>
              <w:bottom w:val="single" w:sz="6" w:space="0" w:color="auto"/>
              <w:right w:val="single" w:sz="6" w:space="0" w:color="auto"/>
            </w:tcBorders>
            <w:shd w:val="clear" w:color="auto" w:fill="auto"/>
            <w:vAlign w:val="center"/>
          </w:tcPr>
          <w:p w14:paraId="3B239101" w14:textId="77777777" w:rsidR="00130281" w:rsidRPr="001B4CA2" w:rsidRDefault="00130281" w:rsidP="00130281">
            <w:pPr>
              <w:jc w:val="center"/>
              <w:rPr>
                <w:rFonts w:eastAsia="Calibri"/>
                <w:sz w:val="18"/>
                <w:szCs w:val="18"/>
              </w:rPr>
            </w:pPr>
            <w:r w:rsidRPr="001B4CA2">
              <w:rPr>
                <w:rFonts w:eastAsia="Calibri"/>
                <w:sz w:val="18"/>
                <w:szCs w:val="18"/>
              </w:rPr>
              <w:t>3</w:t>
            </w:r>
          </w:p>
        </w:tc>
        <w:tc>
          <w:tcPr>
            <w:tcW w:w="1030" w:type="dxa"/>
            <w:tcBorders>
              <w:top w:val="single" w:sz="6" w:space="0" w:color="auto"/>
              <w:left w:val="single" w:sz="6" w:space="0" w:color="auto"/>
              <w:bottom w:val="single" w:sz="6" w:space="0" w:color="auto"/>
              <w:right w:val="double" w:sz="4" w:space="0" w:color="auto"/>
            </w:tcBorders>
            <w:shd w:val="clear" w:color="auto" w:fill="auto"/>
            <w:vAlign w:val="center"/>
          </w:tcPr>
          <w:p w14:paraId="5E7EAF4C" w14:textId="445A7099" w:rsidR="00130281" w:rsidRPr="001B4CA2" w:rsidRDefault="00130281" w:rsidP="00130281">
            <w:pPr>
              <w:jc w:val="center"/>
              <w:rPr>
                <w:rFonts w:eastAsia="Calibri"/>
                <w:sz w:val="18"/>
                <w:szCs w:val="18"/>
              </w:rPr>
            </w:pPr>
            <w:r w:rsidRPr="001B4CA2">
              <w:rPr>
                <w:rFonts w:eastAsia="Calibri"/>
                <w:sz w:val="18"/>
                <w:szCs w:val="18"/>
              </w:rPr>
              <w:t>9,37%</w:t>
            </w:r>
          </w:p>
        </w:tc>
      </w:tr>
      <w:tr w:rsidR="00130281" w:rsidRPr="001B4CA2" w14:paraId="385BCF87" w14:textId="77777777" w:rsidTr="00130281">
        <w:trPr>
          <w:trHeight w:val="416"/>
          <w:jc w:val="center"/>
        </w:trPr>
        <w:tc>
          <w:tcPr>
            <w:tcW w:w="4680" w:type="dxa"/>
            <w:tcBorders>
              <w:top w:val="single" w:sz="6" w:space="0" w:color="auto"/>
              <w:left w:val="double" w:sz="4" w:space="0" w:color="auto"/>
              <w:bottom w:val="single" w:sz="6" w:space="0" w:color="auto"/>
              <w:right w:val="single" w:sz="6" w:space="0" w:color="auto"/>
            </w:tcBorders>
            <w:shd w:val="clear" w:color="auto" w:fill="auto"/>
          </w:tcPr>
          <w:p w14:paraId="5AA983A4" w14:textId="77777777" w:rsidR="00130281" w:rsidRPr="001B4CA2" w:rsidRDefault="00130281" w:rsidP="002A38E7">
            <w:pPr>
              <w:rPr>
                <w:rFonts w:eastAsia="Calibri"/>
                <w:sz w:val="18"/>
                <w:szCs w:val="18"/>
              </w:rPr>
            </w:pPr>
            <w:r w:rsidRPr="001B4CA2">
              <w:rPr>
                <w:rFonts w:eastAsia="Calibri"/>
                <w:sz w:val="18"/>
                <w:szCs w:val="18"/>
              </w:rPr>
              <w:t>Zlouporaba povjerenja u gospodarskom poslovanju</w:t>
            </w:r>
          </w:p>
        </w:tc>
        <w:tc>
          <w:tcPr>
            <w:tcW w:w="1488" w:type="dxa"/>
            <w:tcBorders>
              <w:top w:val="single" w:sz="6" w:space="0" w:color="auto"/>
              <w:left w:val="single" w:sz="6" w:space="0" w:color="auto"/>
              <w:bottom w:val="single" w:sz="6" w:space="0" w:color="auto"/>
              <w:right w:val="single" w:sz="6" w:space="0" w:color="auto"/>
            </w:tcBorders>
            <w:shd w:val="clear" w:color="auto" w:fill="auto"/>
            <w:vAlign w:val="center"/>
          </w:tcPr>
          <w:p w14:paraId="342C034B" w14:textId="77777777" w:rsidR="00130281" w:rsidRPr="001B4CA2" w:rsidRDefault="00130281" w:rsidP="00130281">
            <w:pPr>
              <w:jc w:val="center"/>
              <w:rPr>
                <w:rFonts w:eastAsia="Calibri"/>
                <w:sz w:val="18"/>
                <w:szCs w:val="18"/>
              </w:rPr>
            </w:pPr>
            <w:r w:rsidRPr="001B4CA2">
              <w:rPr>
                <w:rFonts w:eastAsia="Calibri"/>
                <w:sz w:val="18"/>
                <w:szCs w:val="18"/>
              </w:rPr>
              <w:t>2</w:t>
            </w:r>
          </w:p>
        </w:tc>
        <w:tc>
          <w:tcPr>
            <w:tcW w:w="1030" w:type="dxa"/>
            <w:tcBorders>
              <w:top w:val="single" w:sz="6" w:space="0" w:color="auto"/>
              <w:left w:val="single" w:sz="6" w:space="0" w:color="auto"/>
              <w:bottom w:val="single" w:sz="6" w:space="0" w:color="auto"/>
              <w:right w:val="double" w:sz="4" w:space="0" w:color="auto"/>
            </w:tcBorders>
            <w:shd w:val="clear" w:color="auto" w:fill="auto"/>
            <w:vAlign w:val="center"/>
          </w:tcPr>
          <w:p w14:paraId="1787307C" w14:textId="5C9E7552" w:rsidR="00130281" w:rsidRPr="001B4CA2" w:rsidRDefault="00130281" w:rsidP="00130281">
            <w:pPr>
              <w:jc w:val="center"/>
              <w:rPr>
                <w:rFonts w:eastAsia="Calibri"/>
                <w:sz w:val="18"/>
                <w:szCs w:val="18"/>
              </w:rPr>
            </w:pPr>
            <w:r w:rsidRPr="001B4CA2">
              <w:rPr>
                <w:rFonts w:eastAsia="Calibri"/>
                <w:sz w:val="18"/>
                <w:szCs w:val="18"/>
              </w:rPr>
              <w:t>6,25%</w:t>
            </w:r>
          </w:p>
        </w:tc>
      </w:tr>
      <w:tr w:rsidR="00130281" w:rsidRPr="001B4CA2" w14:paraId="61162460" w14:textId="77777777" w:rsidTr="00130281">
        <w:trPr>
          <w:trHeight w:val="416"/>
          <w:jc w:val="center"/>
        </w:trPr>
        <w:tc>
          <w:tcPr>
            <w:tcW w:w="4680" w:type="dxa"/>
            <w:tcBorders>
              <w:top w:val="single" w:sz="6" w:space="0" w:color="auto"/>
              <w:left w:val="double" w:sz="4" w:space="0" w:color="auto"/>
              <w:bottom w:val="single" w:sz="6" w:space="0" w:color="auto"/>
              <w:right w:val="single" w:sz="6" w:space="0" w:color="auto"/>
            </w:tcBorders>
            <w:shd w:val="clear" w:color="auto" w:fill="auto"/>
          </w:tcPr>
          <w:p w14:paraId="353536A6" w14:textId="77777777" w:rsidR="00130281" w:rsidRPr="001B4CA2" w:rsidRDefault="00130281" w:rsidP="002A38E7">
            <w:pPr>
              <w:rPr>
                <w:rFonts w:eastAsia="Calibri"/>
                <w:sz w:val="18"/>
                <w:szCs w:val="18"/>
              </w:rPr>
            </w:pPr>
            <w:r w:rsidRPr="001B4CA2">
              <w:rPr>
                <w:rFonts w:eastAsia="Calibri"/>
                <w:sz w:val="18"/>
                <w:szCs w:val="18"/>
              </w:rPr>
              <w:t>Prijevara</w:t>
            </w:r>
          </w:p>
        </w:tc>
        <w:tc>
          <w:tcPr>
            <w:tcW w:w="1488" w:type="dxa"/>
            <w:tcBorders>
              <w:top w:val="single" w:sz="6" w:space="0" w:color="auto"/>
              <w:left w:val="single" w:sz="6" w:space="0" w:color="auto"/>
              <w:bottom w:val="single" w:sz="6" w:space="0" w:color="auto"/>
              <w:right w:val="single" w:sz="6" w:space="0" w:color="auto"/>
            </w:tcBorders>
            <w:shd w:val="clear" w:color="auto" w:fill="auto"/>
            <w:vAlign w:val="center"/>
          </w:tcPr>
          <w:p w14:paraId="557E5884" w14:textId="77777777" w:rsidR="00130281" w:rsidRPr="001B4CA2" w:rsidRDefault="00130281" w:rsidP="00130281">
            <w:pPr>
              <w:jc w:val="center"/>
              <w:rPr>
                <w:rFonts w:eastAsia="Calibri"/>
                <w:sz w:val="18"/>
                <w:szCs w:val="18"/>
              </w:rPr>
            </w:pPr>
            <w:r w:rsidRPr="001B4CA2">
              <w:rPr>
                <w:rFonts w:eastAsia="Calibri"/>
                <w:sz w:val="18"/>
                <w:szCs w:val="18"/>
              </w:rPr>
              <w:t>2</w:t>
            </w:r>
          </w:p>
        </w:tc>
        <w:tc>
          <w:tcPr>
            <w:tcW w:w="1030" w:type="dxa"/>
            <w:tcBorders>
              <w:top w:val="single" w:sz="6" w:space="0" w:color="auto"/>
              <w:left w:val="single" w:sz="6" w:space="0" w:color="auto"/>
              <w:bottom w:val="single" w:sz="6" w:space="0" w:color="auto"/>
              <w:right w:val="double" w:sz="4" w:space="0" w:color="auto"/>
            </w:tcBorders>
            <w:shd w:val="clear" w:color="auto" w:fill="auto"/>
            <w:vAlign w:val="center"/>
          </w:tcPr>
          <w:p w14:paraId="6B16B477" w14:textId="4607BF87" w:rsidR="00130281" w:rsidRPr="001B4CA2" w:rsidRDefault="00130281" w:rsidP="00130281">
            <w:pPr>
              <w:jc w:val="center"/>
              <w:rPr>
                <w:rFonts w:eastAsia="Calibri"/>
                <w:sz w:val="18"/>
                <w:szCs w:val="18"/>
              </w:rPr>
            </w:pPr>
            <w:r w:rsidRPr="001B4CA2">
              <w:rPr>
                <w:rFonts w:eastAsia="Calibri"/>
                <w:sz w:val="18"/>
                <w:szCs w:val="18"/>
              </w:rPr>
              <w:t>6,25%</w:t>
            </w:r>
          </w:p>
        </w:tc>
      </w:tr>
      <w:tr w:rsidR="00130281" w:rsidRPr="001B4CA2" w14:paraId="6201151C" w14:textId="77777777" w:rsidTr="00130281">
        <w:trPr>
          <w:trHeight w:val="428"/>
          <w:jc w:val="center"/>
        </w:trPr>
        <w:tc>
          <w:tcPr>
            <w:tcW w:w="4680" w:type="dxa"/>
            <w:tcBorders>
              <w:top w:val="single" w:sz="6" w:space="0" w:color="auto"/>
              <w:left w:val="double" w:sz="4" w:space="0" w:color="auto"/>
              <w:bottom w:val="single" w:sz="6" w:space="0" w:color="auto"/>
              <w:right w:val="single" w:sz="6" w:space="0" w:color="auto"/>
            </w:tcBorders>
            <w:shd w:val="clear" w:color="auto" w:fill="auto"/>
          </w:tcPr>
          <w:p w14:paraId="297E6D7D" w14:textId="77777777" w:rsidR="00130281" w:rsidRPr="001B4CA2" w:rsidRDefault="00130281" w:rsidP="002A38E7">
            <w:pPr>
              <w:rPr>
                <w:rFonts w:eastAsia="Calibri"/>
                <w:sz w:val="18"/>
                <w:szCs w:val="18"/>
              </w:rPr>
            </w:pPr>
            <w:r w:rsidRPr="001B4CA2">
              <w:rPr>
                <w:rFonts w:eastAsia="Calibri"/>
                <w:sz w:val="18"/>
                <w:szCs w:val="18"/>
              </w:rPr>
              <w:t>Primanje i davanje mita i zlouporaba položaja i ovlasti</w:t>
            </w:r>
          </w:p>
        </w:tc>
        <w:tc>
          <w:tcPr>
            <w:tcW w:w="1488" w:type="dxa"/>
            <w:tcBorders>
              <w:top w:val="single" w:sz="6" w:space="0" w:color="auto"/>
              <w:left w:val="single" w:sz="6" w:space="0" w:color="auto"/>
              <w:bottom w:val="single" w:sz="6" w:space="0" w:color="auto"/>
              <w:right w:val="single" w:sz="6" w:space="0" w:color="auto"/>
            </w:tcBorders>
            <w:shd w:val="clear" w:color="auto" w:fill="auto"/>
            <w:vAlign w:val="center"/>
          </w:tcPr>
          <w:p w14:paraId="723B1C7D" w14:textId="77777777" w:rsidR="00130281" w:rsidRPr="001B4CA2" w:rsidRDefault="00130281" w:rsidP="00130281">
            <w:pPr>
              <w:jc w:val="center"/>
              <w:rPr>
                <w:rFonts w:eastAsia="Calibri"/>
                <w:sz w:val="18"/>
                <w:szCs w:val="18"/>
              </w:rPr>
            </w:pPr>
            <w:r w:rsidRPr="001B4CA2">
              <w:rPr>
                <w:rFonts w:eastAsia="Calibri"/>
                <w:sz w:val="18"/>
                <w:szCs w:val="18"/>
              </w:rPr>
              <w:t>2</w:t>
            </w:r>
          </w:p>
        </w:tc>
        <w:tc>
          <w:tcPr>
            <w:tcW w:w="1030" w:type="dxa"/>
            <w:tcBorders>
              <w:top w:val="single" w:sz="6" w:space="0" w:color="auto"/>
              <w:left w:val="single" w:sz="6" w:space="0" w:color="auto"/>
              <w:bottom w:val="single" w:sz="6" w:space="0" w:color="auto"/>
              <w:right w:val="double" w:sz="4" w:space="0" w:color="auto"/>
            </w:tcBorders>
            <w:shd w:val="clear" w:color="auto" w:fill="auto"/>
            <w:vAlign w:val="center"/>
          </w:tcPr>
          <w:p w14:paraId="60C0DD92" w14:textId="324B77BC" w:rsidR="00130281" w:rsidRPr="001B4CA2" w:rsidRDefault="00130281" w:rsidP="00130281">
            <w:pPr>
              <w:jc w:val="center"/>
              <w:rPr>
                <w:rFonts w:eastAsia="Calibri"/>
                <w:sz w:val="18"/>
                <w:szCs w:val="18"/>
              </w:rPr>
            </w:pPr>
            <w:r w:rsidRPr="001B4CA2">
              <w:rPr>
                <w:rFonts w:eastAsia="Calibri"/>
                <w:sz w:val="18"/>
                <w:szCs w:val="18"/>
              </w:rPr>
              <w:t>6,25%</w:t>
            </w:r>
          </w:p>
        </w:tc>
      </w:tr>
      <w:tr w:rsidR="00130281" w:rsidRPr="001B4CA2" w14:paraId="04D97F43" w14:textId="77777777" w:rsidTr="00130281">
        <w:trPr>
          <w:trHeight w:val="428"/>
          <w:jc w:val="center"/>
        </w:trPr>
        <w:tc>
          <w:tcPr>
            <w:tcW w:w="4680" w:type="dxa"/>
            <w:tcBorders>
              <w:top w:val="single" w:sz="6" w:space="0" w:color="auto"/>
              <w:left w:val="double" w:sz="4" w:space="0" w:color="auto"/>
              <w:bottom w:val="single" w:sz="6" w:space="0" w:color="auto"/>
              <w:right w:val="single" w:sz="6" w:space="0" w:color="auto"/>
            </w:tcBorders>
            <w:shd w:val="clear" w:color="auto" w:fill="auto"/>
          </w:tcPr>
          <w:p w14:paraId="5E93C2AA" w14:textId="77777777" w:rsidR="00130281" w:rsidRPr="001B4CA2" w:rsidRDefault="00130281" w:rsidP="002A38E7">
            <w:pPr>
              <w:rPr>
                <w:rFonts w:eastAsia="Calibri"/>
                <w:sz w:val="18"/>
                <w:szCs w:val="18"/>
              </w:rPr>
            </w:pPr>
            <w:r w:rsidRPr="001B4CA2">
              <w:rPr>
                <w:rFonts w:eastAsia="Calibri"/>
                <w:sz w:val="18"/>
                <w:szCs w:val="18"/>
              </w:rPr>
              <w:t>Izbjegavanje carinskog nadzora</w:t>
            </w:r>
          </w:p>
        </w:tc>
        <w:tc>
          <w:tcPr>
            <w:tcW w:w="1488" w:type="dxa"/>
            <w:tcBorders>
              <w:top w:val="single" w:sz="6" w:space="0" w:color="auto"/>
              <w:left w:val="single" w:sz="6" w:space="0" w:color="auto"/>
              <w:bottom w:val="single" w:sz="6" w:space="0" w:color="auto"/>
              <w:right w:val="single" w:sz="6" w:space="0" w:color="auto"/>
            </w:tcBorders>
            <w:shd w:val="clear" w:color="auto" w:fill="auto"/>
            <w:vAlign w:val="center"/>
          </w:tcPr>
          <w:p w14:paraId="659FD862" w14:textId="77777777" w:rsidR="00130281" w:rsidRPr="001B4CA2" w:rsidRDefault="00130281" w:rsidP="00130281">
            <w:pPr>
              <w:jc w:val="center"/>
              <w:rPr>
                <w:rFonts w:eastAsia="Calibri"/>
                <w:sz w:val="18"/>
                <w:szCs w:val="18"/>
              </w:rPr>
            </w:pPr>
            <w:r w:rsidRPr="001B4CA2">
              <w:rPr>
                <w:rFonts w:eastAsia="Calibri"/>
                <w:sz w:val="18"/>
                <w:szCs w:val="18"/>
              </w:rPr>
              <w:t>1</w:t>
            </w:r>
          </w:p>
        </w:tc>
        <w:tc>
          <w:tcPr>
            <w:tcW w:w="1030" w:type="dxa"/>
            <w:tcBorders>
              <w:top w:val="single" w:sz="6" w:space="0" w:color="auto"/>
              <w:left w:val="single" w:sz="6" w:space="0" w:color="auto"/>
              <w:bottom w:val="single" w:sz="6" w:space="0" w:color="auto"/>
              <w:right w:val="double" w:sz="4" w:space="0" w:color="auto"/>
            </w:tcBorders>
            <w:shd w:val="clear" w:color="auto" w:fill="auto"/>
            <w:vAlign w:val="center"/>
          </w:tcPr>
          <w:p w14:paraId="403D25A2" w14:textId="143D2B09" w:rsidR="00130281" w:rsidRPr="001B4CA2" w:rsidRDefault="00130281" w:rsidP="00130281">
            <w:pPr>
              <w:jc w:val="center"/>
              <w:rPr>
                <w:rFonts w:eastAsia="Calibri"/>
                <w:sz w:val="18"/>
                <w:szCs w:val="18"/>
              </w:rPr>
            </w:pPr>
            <w:r w:rsidRPr="001B4CA2">
              <w:rPr>
                <w:rFonts w:eastAsia="Calibri"/>
                <w:sz w:val="18"/>
                <w:szCs w:val="18"/>
              </w:rPr>
              <w:t>3,13%</w:t>
            </w:r>
          </w:p>
        </w:tc>
      </w:tr>
      <w:tr w:rsidR="00130281" w:rsidRPr="001B4CA2" w14:paraId="67A38294" w14:textId="77777777" w:rsidTr="00130281">
        <w:trPr>
          <w:trHeight w:val="428"/>
          <w:jc w:val="center"/>
        </w:trPr>
        <w:tc>
          <w:tcPr>
            <w:tcW w:w="4680" w:type="dxa"/>
            <w:tcBorders>
              <w:top w:val="single" w:sz="6" w:space="0" w:color="auto"/>
              <w:left w:val="double" w:sz="4" w:space="0" w:color="auto"/>
              <w:bottom w:val="single" w:sz="6" w:space="0" w:color="auto"/>
              <w:right w:val="single" w:sz="6" w:space="0" w:color="auto"/>
            </w:tcBorders>
            <w:shd w:val="clear" w:color="auto" w:fill="auto"/>
          </w:tcPr>
          <w:p w14:paraId="26F3E4CA" w14:textId="77777777" w:rsidR="00130281" w:rsidRPr="001B4CA2" w:rsidRDefault="00130281" w:rsidP="002A38E7">
            <w:pPr>
              <w:rPr>
                <w:rFonts w:eastAsia="Calibri"/>
                <w:sz w:val="18"/>
                <w:szCs w:val="18"/>
              </w:rPr>
            </w:pPr>
            <w:r w:rsidRPr="001B4CA2">
              <w:rPr>
                <w:rFonts w:eastAsia="Calibri"/>
                <w:sz w:val="18"/>
                <w:szCs w:val="18"/>
              </w:rPr>
              <w:t>Trgovanje zaštićenim prirodnim vrijednostima</w:t>
            </w:r>
          </w:p>
        </w:tc>
        <w:tc>
          <w:tcPr>
            <w:tcW w:w="1488" w:type="dxa"/>
            <w:tcBorders>
              <w:top w:val="single" w:sz="6" w:space="0" w:color="auto"/>
              <w:left w:val="single" w:sz="6" w:space="0" w:color="auto"/>
              <w:bottom w:val="single" w:sz="6" w:space="0" w:color="auto"/>
              <w:right w:val="single" w:sz="6" w:space="0" w:color="auto"/>
            </w:tcBorders>
            <w:shd w:val="clear" w:color="auto" w:fill="auto"/>
            <w:vAlign w:val="center"/>
          </w:tcPr>
          <w:p w14:paraId="759CDCBE" w14:textId="77777777" w:rsidR="00130281" w:rsidRPr="001B4CA2" w:rsidRDefault="00130281" w:rsidP="00130281">
            <w:pPr>
              <w:jc w:val="center"/>
              <w:rPr>
                <w:rFonts w:eastAsia="Calibri"/>
                <w:sz w:val="18"/>
                <w:szCs w:val="18"/>
              </w:rPr>
            </w:pPr>
            <w:r w:rsidRPr="001B4CA2">
              <w:rPr>
                <w:rFonts w:eastAsia="Calibri"/>
                <w:sz w:val="18"/>
                <w:szCs w:val="18"/>
              </w:rPr>
              <w:t>1</w:t>
            </w:r>
          </w:p>
        </w:tc>
        <w:tc>
          <w:tcPr>
            <w:tcW w:w="1030" w:type="dxa"/>
            <w:tcBorders>
              <w:top w:val="single" w:sz="6" w:space="0" w:color="auto"/>
              <w:left w:val="single" w:sz="6" w:space="0" w:color="auto"/>
              <w:bottom w:val="single" w:sz="6" w:space="0" w:color="auto"/>
              <w:right w:val="double" w:sz="4" w:space="0" w:color="auto"/>
            </w:tcBorders>
            <w:shd w:val="clear" w:color="auto" w:fill="auto"/>
            <w:vAlign w:val="center"/>
          </w:tcPr>
          <w:p w14:paraId="1DCD4A2E" w14:textId="09A8B38B" w:rsidR="00130281" w:rsidRPr="001B4CA2" w:rsidRDefault="00130281" w:rsidP="00130281">
            <w:pPr>
              <w:jc w:val="center"/>
              <w:rPr>
                <w:rFonts w:eastAsia="Calibri"/>
                <w:sz w:val="18"/>
                <w:szCs w:val="18"/>
              </w:rPr>
            </w:pPr>
            <w:r w:rsidRPr="001B4CA2">
              <w:rPr>
                <w:rFonts w:eastAsia="Calibri"/>
                <w:sz w:val="18"/>
                <w:szCs w:val="18"/>
              </w:rPr>
              <w:t>3,13%</w:t>
            </w:r>
          </w:p>
        </w:tc>
      </w:tr>
      <w:tr w:rsidR="00130281" w:rsidRPr="001B4CA2" w14:paraId="46CC990A" w14:textId="77777777" w:rsidTr="00130281">
        <w:trPr>
          <w:trHeight w:val="439"/>
          <w:jc w:val="center"/>
        </w:trPr>
        <w:tc>
          <w:tcPr>
            <w:tcW w:w="4680" w:type="dxa"/>
            <w:tcBorders>
              <w:top w:val="single" w:sz="6" w:space="0" w:color="auto"/>
              <w:left w:val="double" w:sz="4" w:space="0" w:color="auto"/>
              <w:bottom w:val="double" w:sz="4" w:space="0" w:color="auto"/>
              <w:right w:val="single" w:sz="6" w:space="0" w:color="auto"/>
            </w:tcBorders>
            <w:shd w:val="clear" w:color="auto" w:fill="auto"/>
          </w:tcPr>
          <w:p w14:paraId="06D546A1" w14:textId="77777777" w:rsidR="00130281" w:rsidRPr="001B4CA2" w:rsidRDefault="00130281" w:rsidP="002A38E7">
            <w:pPr>
              <w:rPr>
                <w:rFonts w:eastAsia="Calibri"/>
                <w:b/>
                <w:bCs/>
                <w:sz w:val="18"/>
                <w:szCs w:val="18"/>
              </w:rPr>
            </w:pPr>
            <w:r w:rsidRPr="001B4CA2">
              <w:rPr>
                <w:rFonts w:eastAsia="Calibri"/>
                <w:b/>
                <w:bCs/>
                <w:sz w:val="18"/>
                <w:szCs w:val="18"/>
              </w:rPr>
              <w:t>Ukupno</w:t>
            </w:r>
          </w:p>
          <w:p w14:paraId="3F034051" w14:textId="77777777" w:rsidR="00130281" w:rsidRPr="001B4CA2" w:rsidRDefault="00130281" w:rsidP="002A38E7">
            <w:pPr>
              <w:rPr>
                <w:rFonts w:eastAsia="Calibri"/>
                <w:b/>
                <w:bCs/>
                <w:sz w:val="18"/>
                <w:szCs w:val="18"/>
              </w:rPr>
            </w:pPr>
          </w:p>
        </w:tc>
        <w:tc>
          <w:tcPr>
            <w:tcW w:w="1488" w:type="dxa"/>
            <w:tcBorders>
              <w:top w:val="single" w:sz="6" w:space="0" w:color="auto"/>
              <w:left w:val="single" w:sz="6" w:space="0" w:color="auto"/>
              <w:bottom w:val="double" w:sz="4" w:space="0" w:color="auto"/>
              <w:right w:val="single" w:sz="6" w:space="0" w:color="auto"/>
            </w:tcBorders>
            <w:shd w:val="clear" w:color="auto" w:fill="auto"/>
            <w:vAlign w:val="center"/>
          </w:tcPr>
          <w:p w14:paraId="7AC7353F" w14:textId="77777777" w:rsidR="00130281" w:rsidRPr="001B4CA2" w:rsidRDefault="00130281" w:rsidP="00130281">
            <w:pPr>
              <w:jc w:val="center"/>
              <w:rPr>
                <w:rFonts w:eastAsia="Calibri"/>
                <w:b/>
                <w:bCs/>
                <w:sz w:val="18"/>
                <w:szCs w:val="18"/>
              </w:rPr>
            </w:pPr>
            <w:r w:rsidRPr="001B4CA2">
              <w:rPr>
                <w:rFonts w:eastAsia="Calibri"/>
                <w:b/>
                <w:bCs/>
                <w:sz w:val="18"/>
                <w:szCs w:val="18"/>
              </w:rPr>
              <w:t>32</w:t>
            </w:r>
          </w:p>
        </w:tc>
        <w:tc>
          <w:tcPr>
            <w:tcW w:w="1030" w:type="dxa"/>
            <w:tcBorders>
              <w:top w:val="single" w:sz="6" w:space="0" w:color="auto"/>
              <w:left w:val="single" w:sz="6" w:space="0" w:color="auto"/>
              <w:bottom w:val="double" w:sz="4" w:space="0" w:color="auto"/>
              <w:right w:val="double" w:sz="4" w:space="0" w:color="auto"/>
            </w:tcBorders>
            <w:shd w:val="clear" w:color="auto" w:fill="auto"/>
            <w:vAlign w:val="center"/>
          </w:tcPr>
          <w:p w14:paraId="47529936" w14:textId="27FC829C" w:rsidR="00130281" w:rsidRPr="001B4CA2" w:rsidRDefault="00130281" w:rsidP="00130281">
            <w:pPr>
              <w:jc w:val="center"/>
              <w:rPr>
                <w:rFonts w:eastAsia="Calibri"/>
                <w:b/>
                <w:bCs/>
                <w:sz w:val="18"/>
                <w:szCs w:val="18"/>
              </w:rPr>
            </w:pPr>
            <w:r w:rsidRPr="001B4CA2">
              <w:rPr>
                <w:rFonts w:eastAsia="Calibri"/>
                <w:b/>
                <w:bCs/>
                <w:sz w:val="18"/>
                <w:szCs w:val="18"/>
              </w:rPr>
              <w:t>100%</w:t>
            </w:r>
          </w:p>
        </w:tc>
      </w:tr>
    </w:tbl>
    <w:p w14:paraId="5A30149F" w14:textId="77777777" w:rsidR="00130281" w:rsidRPr="001B4CA2" w:rsidRDefault="00130281" w:rsidP="00130281">
      <w:pPr>
        <w:rPr>
          <w:rFonts w:eastAsia="Calibri"/>
        </w:rPr>
      </w:pPr>
    </w:p>
    <w:p w14:paraId="0193F62D" w14:textId="7590974A" w:rsidR="00130281" w:rsidRPr="001B4CA2" w:rsidRDefault="00130281" w:rsidP="00130281">
      <w:pPr>
        <w:ind w:firstLine="708"/>
        <w:rPr>
          <w:rFonts w:eastAsia="Calibri"/>
        </w:rPr>
      </w:pPr>
      <w:r w:rsidRPr="001B4CA2">
        <w:rPr>
          <w:rFonts w:eastAsia="Calibri"/>
        </w:rPr>
        <w:t xml:space="preserve">Najviše zločinačkih udruženja, njih 13 organizirano je radi počinjenja kaznenih djela neovlaštene proizvodnje i prometa drogama iz članka 190. stavak 2. Kaznenog zakona/11 </w:t>
      </w:r>
      <w:r w:rsidR="009A2B94">
        <w:rPr>
          <w:rFonts w:eastAsia="Calibri"/>
        </w:rPr>
        <w:t>te ona</w:t>
      </w:r>
      <w:r w:rsidRPr="001B4CA2">
        <w:rPr>
          <w:rFonts w:eastAsia="Calibri"/>
        </w:rPr>
        <w:t xml:space="preserve"> zajedno s organizatorima broje 75 osoba. Kako su u prethodnom izvještajnom razdoblju bila zabilježena 4 takva zločinačka udruženja s ukupno 19 osoba, u ovom izvještajnom razdoblju bilježi se značajan porast i broja ovih zločinačkih udruženja i broja osoba koje su se udružile za činjenje navedenog kaznenog djela. Navedeno je rezultat dovršetka opsežnih i složenih kriminalističkih istraživanja većeg broja počinitelja ovih kaznenih djela započetih tijekom 2021. godine.  </w:t>
      </w:r>
    </w:p>
    <w:p w14:paraId="2457CABB" w14:textId="77777777" w:rsidR="00130281" w:rsidRPr="001B4CA2" w:rsidRDefault="00130281" w:rsidP="00130281">
      <w:pPr>
        <w:rPr>
          <w:rFonts w:eastAsia="Calibri"/>
        </w:rPr>
      </w:pPr>
    </w:p>
    <w:p w14:paraId="57092C1E" w14:textId="20B4678B" w:rsidR="00130281" w:rsidRPr="001B4CA2" w:rsidRDefault="00130281" w:rsidP="00130281">
      <w:pPr>
        <w:ind w:firstLine="708"/>
        <w:rPr>
          <w:rFonts w:eastAsia="Calibri"/>
        </w:rPr>
      </w:pPr>
      <w:r w:rsidRPr="001B4CA2">
        <w:rPr>
          <w:rFonts w:eastAsia="Calibri"/>
        </w:rPr>
        <w:t xml:space="preserve">Po zastupljenosti na drugom su </w:t>
      </w:r>
      <w:r w:rsidR="009A2B94" w:rsidRPr="001B4CA2">
        <w:rPr>
          <w:rFonts w:eastAsia="Calibri"/>
        </w:rPr>
        <w:t xml:space="preserve">mjestu </w:t>
      </w:r>
      <w:r w:rsidRPr="001B4CA2">
        <w:rPr>
          <w:rFonts w:eastAsia="Calibri"/>
        </w:rPr>
        <w:t>zločinačka udruženja (njih 5) organizirana radi počinjenja kaznenih djela protuzakonitog ulaženja, kretanja i boravka u RH, drugoj članici Europske unije ili potpisnici Šengenskog sporazuma iz članka 326. stavak 1. Kaznenog zakona/11</w:t>
      </w:r>
      <w:r w:rsidR="009A2B94">
        <w:rPr>
          <w:rFonts w:eastAsia="Calibri"/>
        </w:rPr>
        <w:t xml:space="preserve">, a ona </w:t>
      </w:r>
      <w:r w:rsidRPr="001B4CA2">
        <w:rPr>
          <w:rFonts w:eastAsia="Calibri"/>
        </w:rPr>
        <w:t>zajedno s organizatorima broje ukupno 23 osoba. Kako je i u proteklom izvještajnom razdoblju bil</w:t>
      </w:r>
      <w:r w:rsidR="009A2B94">
        <w:rPr>
          <w:rFonts w:eastAsia="Calibri"/>
        </w:rPr>
        <w:t xml:space="preserve">o </w:t>
      </w:r>
      <w:r w:rsidRPr="001B4CA2">
        <w:rPr>
          <w:rFonts w:eastAsia="Calibri"/>
        </w:rPr>
        <w:t>zabilježeno 5 takvih zločinačkih udruženja</w:t>
      </w:r>
      <w:r w:rsidR="009A2B94">
        <w:rPr>
          <w:rFonts w:eastAsia="Calibri"/>
        </w:rPr>
        <w:t>,</w:t>
      </w:r>
      <w:r w:rsidRPr="001B4CA2">
        <w:rPr>
          <w:rFonts w:eastAsia="Calibri"/>
        </w:rPr>
        <w:t xml:space="preserve"> </w:t>
      </w:r>
      <w:r w:rsidR="009A2B94">
        <w:rPr>
          <w:rFonts w:eastAsia="Calibri"/>
        </w:rPr>
        <w:t>njihov</w:t>
      </w:r>
      <w:r w:rsidRPr="001B4CA2">
        <w:rPr>
          <w:rFonts w:eastAsia="Calibri"/>
        </w:rPr>
        <w:t xml:space="preserve"> je broj identičan prošlogodišnjem, no u ovom izvještajnom razdoblju bilježi se pad broja osoba koje su udružile za činjenje navedenog kaznenog djela za 39,47</w:t>
      </w:r>
      <w:r w:rsidR="009A2B94">
        <w:rPr>
          <w:rFonts w:eastAsia="Calibri"/>
        </w:rPr>
        <w:t> </w:t>
      </w:r>
      <w:r w:rsidRPr="001B4CA2">
        <w:rPr>
          <w:rFonts w:eastAsia="Calibri"/>
        </w:rPr>
        <w:t>% (2021.</w:t>
      </w:r>
      <w:r w:rsidR="009A2B94">
        <w:rPr>
          <w:rFonts w:eastAsia="Calibri"/>
        </w:rPr>
        <w:t xml:space="preserve"> –</w:t>
      </w:r>
      <w:r w:rsidRPr="001B4CA2">
        <w:rPr>
          <w:rFonts w:eastAsia="Calibri"/>
        </w:rPr>
        <w:t xml:space="preserve"> 38 osoba).</w:t>
      </w:r>
    </w:p>
    <w:p w14:paraId="15EE6B7B" w14:textId="77777777" w:rsidR="00130281" w:rsidRPr="001B4CA2" w:rsidRDefault="00130281" w:rsidP="00130281">
      <w:pPr>
        <w:rPr>
          <w:rFonts w:eastAsia="Calibri"/>
        </w:rPr>
      </w:pPr>
    </w:p>
    <w:p w14:paraId="769E111E" w14:textId="3FC7E968" w:rsidR="00130281" w:rsidRPr="001B4CA2" w:rsidRDefault="00130281" w:rsidP="00130281">
      <w:pPr>
        <w:ind w:firstLine="708"/>
        <w:rPr>
          <w:rFonts w:eastAsia="Calibri"/>
        </w:rPr>
      </w:pPr>
      <w:r w:rsidRPr="001B4CA2">
        <w:rPr>
          <w:rFonts w:eastAsia="Calibri"/>
        </w:rPr>
        <w:t>U izvještajnom razdoblju prijavljena su po 3 zločinačka udruženja organizirana radi počinjenja kaznenih djela utaje poreza ili carine iz članka 256. Kaznenog zakona/11 te ne</w:t>
      </w:r>
      <w:r w:rsidR="00F47D60">
        <w:rPr>
          <w:rFonts w:eastAsia="Calibri"/>
        </w:rPr>
        <w:t>dopušten</w:t>
      </w:r>
      <w:r w:rsidRPr="001B4CA2">
        <w:rPr>
          <w:rFonts w:eastAsia="Calibri"/>
        </w:rPr>
        <w:t>e trgovine iz članka 264. Kaznenog zakona/11. Navedeno je na razini proteklog izvještajnog razdoblja kada su bila prijavljena 4 zločinačka udruženja organizirana za ne</w:t>
      </w:r>
      <w:r w:rsidR="00F47D60">
        <w:rPr>
          <w:rFonts w:eastAsia="Calibri"/>
        </w:rPr>
        <w:t>dopušten</w:t>
      </w:r>
      <w:r w:rsidRPr="001B4CA2">
        <w:rPr>
          <w:rFonts w:eastAsia="Calibri"/>
        </w:rPr>
        <w:t>u trgovinu te 2 za utaju poreza ili carine.</w:t>
      </w:r>
      <w:r w:rsidR="00FD08E9">
        <w:rPr>
          <w:rFonts w:eastAsia="Calibri"/>
        </w:rPr>
        <w:t xml:space="preserve"> </w:t>
      </w:r>
      <w:r w:rsidRPr="001B4CA2">
        <w:rPr>
          <w:rFonts w:eastAsia="Calibri"/>
        </w:rPr>
        <w:t>Navedena zločinačka udruženja bilježe manji broj članova, pa se tako u 2022. godini bilježe ukupno 32 osobe koje su se udružile radi počinjenja kaznenih djela iz članka 256. Kaznenog zakona/11 (uključujući i 4 organizatora), dok su u prethodnom izvještajnom razdoblju ova zločinačka udruženja brojala ukupno 66 osoba</w:t>
      </w:r>
      <w:r w:rsidR="009A2B94">
        <w:rPr>
          <w:rFonts w:eastAsia="Calibri"/>
        </w:rPr>
        <w:t>,</w:t>
      </w:r>
      <w:r w:rsidRPr="001B4CA2">
        <w:rPr>
          <w:rFonts w:eastAsia="Calibri"/>
        </w:rPr>
        <w:t xml:space="preserve"> što predstavlja pad za 51,52</w:t>
      </w:r>
      <w:r w:rsidR="009A2B94">
        <w:rPr>
          <w:rFonts w:eastAsia="Calibri"/>
        </w:rPr>
        <w:t> </w:t>
      </w:r>
      <w:r w:rsidRPr="001B4CA2">
        <w:rPr>
          <w:rFonts w:eastAsia="Calibri"/>
        </w:rPr>
        <w:t xml:space="preserve">%. Isto tako, bilježi se pad broja osoba koje su se udružile </w:t>
      </w:r>
      <w:r w:rsidRPr="001B4CA2">
        <w:rPr>
          <w:rFonts w:eastAsia="Calibri"/>
        </w:rPr>
        <w:lastRenderedPageBreak/>
        <w:t>radi počinjenja kaznenih djela iz članka 264. Kaznenog zakona/11 za 53,73</w:t>
      </w:r>
      <w:r w:rsidR="009A2B94">
        <w:rPr>
          <w:rFonts w:eastAsia="Calibri"/>
        </w:rPr>
        <w:t> </w:t>
      </w:r>
      <w:r w:rsidRPr="001B4CA2">
        <w:rPr>
          <w:rFonts w:eastAsia="Calibri"/>
        </w:rPr>
        <w:t>% (2022.</w:t>
      </w:r>
      <w:r w:rsidR="009A2B94">
        <w:rPr>
          <w:rFonts w:eastAsia="Calibri"/>
        </w:rPr>
        <w:t xml:space="preserve"> –</w:t>
      </w:r>
      <w:r w:rsidRPr="001B4CA2">
        <w:rPr>
          <w:rFonts w:eastAsia="Calibri"/>
        </w:rPr>
        <w:t xml:space="preserve"> ukupno 31 osoba, 2021.</w:t>
      </w:r>
      <w:r w:rsidR="009A2B94">
        <w:rPr>
          <w:rFonts w:eastAsia="Calibri"/>
        </w:rPr>
        <w:t xml:space="preserve"> –</w:t>
      </w:r>
      <w:r w:rsidRPr="001B4CA2">
        <w:rPr>
          <w:rFonts w:eastAsia="Calibri"/>
        </w:rPr>
        <w:t xml:space="preserve"> ukupno 67 osoba).</w:t>
      </w:r>
    </w:p>
    <w:p w14:paraId="29039806" w14:textId="77777777" w:rsidR="00130281" w:rsidRPr="001B4CA2" w:rsidRDefault="00130281" w:rsidP="00130281">
      <w:pPr>
        <w:rPr>
          <w:rFonts w:eastAsia="Calibri"/>
        </w:rPr>
      </w:pPr>
    </w:p>
    <w:p w14:paraId="09EBD5DB" w14:textId="73520D6D" w:rsidR="00130281" w:rsidRPr="001B4CA2" w:rsidRDefault="00130281" w:rsidP="00130281">
      <w:pPr>
        <w:ind w:firstLine="708"/>
        <w:rPr>
          <w:rFonts w:eastAsia="Calibri"/>
        </w:rPr>
      </w:pPr>
      <w:r w:rsidRPr="001B4CA2">
        <w:rPr>
          <w:rFonts w:eastAsia="Calibri"/>
        </w:rPr>
        <w:t>Prethodno analizirana zločinačka udruženja čine 75</w:t>
      </w:r>
      <w:r w:rsidR="009A2B94">
        <w:rPr>
          <w:rFonts w:eastAsia="Calibri"/>
        </w:rPr>
        <w:t> </w:t>
      </w:r>
      <w:r w:rsidRPr="001B4CA2">
        <w:rPr>
          <w:rFonts w:eastAsia="Calibri"/>
        </w:rPr>
        <w:t>% svih prijavljenih zločinačkih udruženja.</w:t>
      </w:r>
    </w:p>
    <w:p w14:paraId="3777E476" w14:textId="77777777" w:rsidR="00130281" w:rsidRPr="001B4CA2" w:rsidRDefault="00130281" w:rsidP="00130281">
      <w:pPr>
        <w:rPr>
          <w:rFonts w:eastAsia="Calibri"/>
        </w:rPr>
      </w:pPr>
    </w:p>
    <w:p w14:paraId="0D845BA9" w14:textId="77777777" w:rsidR="00130281" w:rsidRPr="001B4CA2" w:rsidRDefault="00130281" w:rsidP="00130281">
      <w:pPr>
        <w:ind w:firstLine="708"/>
        <w:rPr>
          <w:rFonts w:eastAsia="Calibri"/>
        </w:rPr>
      </w:pPr>
      <w:r w:rsidRPr="001B4CA2">
        <w:rPr>
          <w:rFonts w:eastAsia="Calibri"/>
        </w:rPr>
        <w:t>I u ovom izvještajnom razdoblju kao i u 2021. godini pojavljuju se dva zločinačka udruženja radi počinjenja kaznenih djela prijevare iz članka 236. Kaznenog zakona/11 koja broje ukupno 42 osobe s organizatorima, što je identično prethodnom izvještajnom razdoblju.</w:t>
      </w:r>
    </w:p>
    <w:p w14:paraId="29BD1F3D" w14:textId="77777777" w:rsidR="00130281" w:rsidRPr="001B4CA2" w:rsidRDefault="00130281" w:rsidP="00130281">
      <w:pPr>
        <w:rPr>
          <w:rFonts w:eastAsia="Calibri"/>
        </w:rPr>
      </w:pPr>
    </w:p>
    <w:p w14:paraId="57642D84" w14:textId="242C2A8A" w:rsidR="00130281" w:rsidRPr="001B4CA2" w:rsidRDefault="00130281" w:rsidP="00130281">
      <w:pPr>
        <w:ind w:firstLine="708"/>
        <w:rPr>
          <w:rFonts w:eastAsia="Calibri"/>
        </w:rPr>
      </w:pPr>
      <w:r w:rsidRPr="001B4CA2">
        <w:rPr>
          <w:rFonts w:eastAsia="Calibri"/>
        </w:rPr>
        <w:t>Nadalje, u izvještajnom razdoblju prijavljene su organizirane skupine koje nisu zabilježene u 2021. godini. Tako je prijavljeno</w:t>
      </w:r>
      <w:r w:rsidR="00FD08E9">
        <w:rPr>
          <w:rFonts w:eastAsia="Calibri"/>
        </w:rPr>
        <w:t xml:space="preserve"> </w:t>
      </w:r>
      <w:r w:rsidRPr="001B4CA2">
        <w:rPr>
          <w:rFonts w:eastAsia="Calibri"/>
        </w:rPr>
        <w:t>jedno zločinačko udruženje organizirano radi počinjenja kaznenog djela trgovanje zaštićenim prirodnim vrijednostima iz čl. 202. KZ/11, dva zločinačka udruženja organizirana radi počinjenja kaznenog djela zlouporaba povjerenja u gospodarskom poslovanju iz članka 246. Kaznenog zakona/11 te dva zločinačka udruženja organizirana radi počinjenja kaznenog djela zlouporaba položaja i ovlasti iz članka 291. Kaznenog zakona/11, primanje mita iz članka 293. Kaznenog zakona/11 i davanje mita iz članka 294. Kaznenog zakona/11, od kojih jedno broji 243 osobe.</w:t>
      </w:r>
    </w:p>
    <w:p w14:paraId="3933104C" w14:textId="77777777" w:rsidR="00130281" w:rsidRPr="001B4CA2" w:rsidRDefault="00130281" w:rsidP="00130281">
      <w:pPr>
        <w:rPr>
          <w:rFonts w:eastAsia="Calibri"/>
        </w:rPr>
      </w:pPr>
    </w:p>
    <w:p w14:paraId="77050A4C" w14:textId="1DB96B5D" w:rsidR="00130281" w:rsidRPr="001B4CA2" w:rsidRDefault="00130281" w:rsidP="00130281">
      <w:pPr>
        <w:ind w:firstLine="708"/>
        <w:rPr>
          <w:rFonts w:eastAsia="Calibri"/>
        </w:rPr>
      </w:pPr>
      <w:r w:rsidRPr="001B4CA2">
        <w:rPr>
          <w:rFonts w:eastAsia="Calibri"/>
        </w:rPr>
        <w:t xml:space="preserve">Radi se o predmetu u kojem Ured provodi istragu protiv ukupno </w:t>
      </w:r>
      <w:r w:rsidRPr="001B4CA2">
        <w:rPr>
          <w:rFonts w:eastAsia="Calibri"/>
          <w:bCs/>
        </w:rPr>
        <w:t>243 zbog izdavanja EU digitalnih COVID</w:t>
      </w:r>
      <w:r w:rsidR="009A2B94">
        <w:rPr>
          <w:rFonts w:eastAsia="Calibri"/>
          <w:bCs/>
        </w:rPr>
        <w:t>-</w:t>
      </w:r>
      <w:r w:rsidRPr="001B4CA2">
        <w:rPr>
          <w:rFonts w:eastAsia="Calibri"/>
          <w:bCs/>
        </w:rPr>
        <w:t>potvrda bez obavljenog cijepljenja zainteresiranim necijepljenim osobama za novčanu naknadu, i to protiv 12 osoba za kaznena djela primanja i davanja mita u sastavu zločinačkog udruženja, dok se protiv 231 osobe istraga vodi zbog osnovnih kaznenih djela davanja mita s obzirom na jedinstvo dokaza i međusobnu povezanost.</w:t>
      </w:r>
      <w:r w:rsidRPr="001B4CA2">
        <w:rPr>
          <w:rFonts w:eastAsia="Calibri"/>
        </w:rPr>
        <w:t xml:space="preserve"> Navedeno je razlog naprijed istaknutom porastu</w:t>
      </w:r>
      <w:r w:rsidR="00FD08E9">
        <w:rPr>
          <w:rFonts w:eastAsia="Calibri"/>
        </w:rPr>
        <w:t xml:space="preserve"> </w:t>
      </w:r>
      <w:r w:rsidRPr="001B4CA2">
        <w:rPr>
          <w:rFonts w:eastAsia="Calibri"/>
        </w:rPr>
        <w:t>broja donesenih rješenja o provođenju istrage iz oblasti organiziranog kriminaliteta.</w:t>
      </w:r>
    </w:p>
    <w:p w14:paraId="7B96090B" w14:textId="77777777" w:rsidR="00130281" w:rsidRPr="001B4CA2" w:rsidRDefault="00130281" w:rsidP="004852FD">
      <w:pPr>
        <w:rPr>
          <w:rFonts w:eastAsia="Calibri"/>
          <w:lang w:eastAsia="hr-HR"/>
        </w:rPr>
      </w:pPr>
    </w:p>
    <w:p w14:paraId="3293A1A9" w14:textId="5B0A8A20" w:rsidR="00BB4D48" w:rsidRPr="001B4CA2" w:rsidRDefault="003328C5" w:rsidP="00D8449C">
      <w:pPr>
        <w:pStyle w:val="Naslov3"/>
        <w:tabs>
          <w:tab w:val="left" w:pos="567"/>
        </w:tabs>
        <w:ind w:left="0" w:firstLine="0"/>
        <w:rPr>
          <w:rFonts w:ascii="Arial" w:hAnsi="Arial" w:cs="Arial"/>
        </w:rPr>
      </w:pPr>
      <w:r w:rsidRPr="001B4CA2">
        <w:rPr>
          <w:rFonts w:ascii="Arial" w:hAnsi="Arial" w:cs="Arial"/>
        </w:rPr>
        <w:t xml:space="preserve"> </w:t>
      </w:r>
      <w:bookmarkStart w:id="150" w:name="_Toc133394380"/>
      <w:r w:rsidR="00CE234E" w:rsidRPr="001B4CA2">
        <w:rPr>
          <w:rFonts w:ascii="Arial" w:hAnsi="Arial" w:cs="Arial"/>
        </w:rPr>
        <w:t>Koruptivna kaznena djela</w:t>
      </w:r>
      <w:bookmarkEnd w:id="150"/>
    </w:p>
    <w:p w14:paraId="189657A2" w14:textId="77777777" w:rsidR="0042388C" w:rsidRPr="001B4CA2" w:rsidRDefault="0042388C" w:rsidP="006262C8"/>
    <w:p w14:paraId="22400777" w14:textId="5110A069" w:rsidR="0042388C" w:rsidRPr="001B4CA2" w:rsidRDefault="0042388C" w:rsidP="00D8449C">
      <w:pPr>
        <w:pStyle w:val="Naslov4"/>
        <w:tabs>
          <w:tab w:val="left" w:pos="993"/>
        </w:tabs>
        <w:ind w:left="567" w:hanging="425"/>
        <w:rPr>
          <w:rFonts w:ascii="Arial" w:hAnsi="Arial" w:cs="Arial"/>
        </w:rPr>
      </w:pPr>
      <w:bookmarkStart w:id="151" w:name="_Toc133394381"/>
      <w:r w:rsidRPr="001B4CA2">
        <w:rPr>
          <w:rFonts w:ascii="Arial" w:hAnsi="Arial" w:cs="Arial"/>
        </w:rPr>
        <w:t>Kretanje i struktura kriminaliteta</w:t>
      </w:r>
      <w:bookmarkEnd w:id="151"/>
    </w:p>
    <w:p w14:paraId="56B885D8" w14:textId="77777777" w:rsidR="00576E77" w:rsidRPr="001B4CA2" w:rsidRDefault="00576E77" w:rsidP="00576E77"/>
    <w:p w14:paraId="75A738E9" w14:textId="783F2DDC" w:rsidR="009A7C7B" w:rsidRPr="001B4CA2" w:rsidRDefault="009A7C7B" w:rsidP="009A7C7B">
      <w:pPr>
        <w:ind w:firstLine="708"/>
        <w:rPr>
          <w:rFonts w:eastAsia="Times New Roman"/>
          <w:lang w:eastAsia="hr-HR"/>
        </w:rPr>
      </w:pPr>
      <w:r w:rsidRPr="001B4CA2">
        <w:rPr>
          <w:rFonts w:eastAsia="Times New Roman"/>
          <w:lang w:eastAsia="hr-HR"/>
        </w:rPr>
        <w:t>Za koruptivna kaznena djela u izvještajnom razdoblju prijavljeno je 1</w:t>
      </w:r>
      <w:r w:rsidR="009A2B94">
        <w:rPr>
          <w:rFonts w:eastAsia="Times New Roman"/>
          <w:lang w:eastAsia="hr-HR"/>
        </w:rPr>
        <w:t>.</w:t>
      </w:r>
      <w:r w:rsidRPr="001B4CA2">
        <w:rPr>
          <w:rFonts w:eastAsia="Times New Roman"/>
          <w:lang w:eastAsia="hr-HR"/>
        </w:rPr>
        <w:t xml:space="preserve">165 osoba, što predstavlja </w:t>
      </w:r>
      <w:r w:rsidRPr="001B4CA2">
        <w:rPr>
          <w:rFonts w:eastAsia="Times New Roman"/>
          <w:color w:val="000000" w:themeColor="text1"/>
          <w:lang w:eastAsia="hr-HR"/>
        </w:rPr>
        <w:t>60,55</w:t>
      </w:r>
      <w:r w:rsidR="009A2B94">
        <w:rPr>
          <w:rFonts w:eastAsia="Times New Roman"/>
          <w:color w:val="000000" w:themeColor="text1"/>
          <w:lang w:eastAsia="hr-HR"/>
        </w:rPr>
        <w:t> </w:t>
      </w:r>
      <w:r w:rsidRPr="001B4CA2">
        <w:rPr>
          <w:rFonts w:eastAsia="Times New Roman"/>
          <w:color w:val="000000" w:themeColor="text1"/>
          <w:lang w:eastAsia="hr-HR"/>
        </w:rPr>
        <w:t xml:space="preserve">% </w:t>
      </w:r>
      <w:r w:rsidRPr="001B4CA2">
        <w:rPr>
          <w:rFonts w:eastAsia="Times New Roman"/>
          <w:color w:val="000000"/>
          <w:lang w:eastAsia="hr-HR"/>
        </w:rPr>
        <w:t xml:space="preserve">od ukupnog broja </w:t>
      </w:r>
      <w:r w:rsidRPr="001B4CA2">
        <w:rPr>
          <w:rFonts w:eastAsia="Times New Roman"/>
          <w:lang w:eastAsia="hr-HR"/>
        </w:rPr>
        <w:t>prijavljenih osoba Uredu za suzbijanje korupcije i organiziranog kriminaliteta. Trend pada broja prijavljenih osoba u odnosu na prethodna izvještajna razdoblja povezuje se</w:t>
      </w:r>
      <w:r w:rsidR="00FD08E9">
        <w:rPr>
          <w:rFonts w:eastAsia="Times New Roman"/>
          <w:lang w:eastAsia="hr-HR"/>
        </w:rPr>
        <w:t xml:space="preserve"> s </w:t>
      </w:r>
      <w:r w:rsidRPr="001B4CA2">
        <w:rPr>
          <w:rFonts w:eastAsia="Times New Roman"/>
          <w:lang w:eastAsia="hr-HR"/>
        </w:rPr>
        <w:t xml:space="preserve">padom broja zaprimljenih kaznenih prijava zbog kaznenog djela iz članka 291. Kaznenog zakona/11 podnesenih od strane fizičkih osoba. </w:t>
      </w:r>
    </w:p>
    <w:p w14:paraId="2B3F3091" w14:textId="77777777" w:rsidR="009A7C7B" w:rsidRPr="001B4CA2" w:rsidRDefault="009A7C7B" w:rsidP="009A7C7B">
      <w:pPr>
        <w:ind w:firstLine="708"/>
        <w:rPr>
          <w:rFonts w:eastAsia="Times New Roman"/>
          <w:lang w:eastAsia="hr-HR"/>
        </w:rPr>
      </w:pPr>
    </w:p>
    <w:p w14:paraId="3236F023" w14:textId="6F0A766B" w:rsidR="009A7C7B" w:rsidRPr="001B4CA2" w:rsidRDefault="009A7C7B" w:rsidP="009A7C7B">
      <w:pPr>
        <w:ind w:firstLine="708"/>
        <w:rPr>
          <w:rFonts w:eastAsia="Times New Roman"/>
          <w:lang w:eastAsia="hr-HR"/>
        </w:rPr>
      </w:pPr>
      <w:r w:rsidRPr="001B4CA2">
        <w:rPr>
          <w:rFonts w:eastAsia="Times New Roman"/>
          <w:lang w:eastAsia="hr-HR"/>
        </w:rPr>
        <w:t>Povodom zaprimljenih prijava doneseno je odluka u odnosu na 1</w:t>
      </w:r>
      <w:r w:rsidR="009A2B94">
        <w:rPr>
          <w:rFonts w:eastAsia="Times New Roman"/>
          <w:lang w:eastAsia="hr-HR"/>
        </w:rPr>
        <w:t>.</w:t>
      </w:r>
      <w:r w:rsidRPr="001B4CA2">
        <w:rPr>
          <w:rFonts w:eastAsia="Times New Roman"/>
          <w:lang w:eastAsia="hr-HR"/>
        </w:rPr>
        <w:t>165 osoba, dakle</w:t>
      </w:r>
      <w:r w:rsidR="009A2B94">
        <w:rPr>
          <w:rFonts w:eastAsia="Times New Roman"/>
          <w:lang w:eastAsia="hr-HR"/>
        </w:rPr>
        <w:t>,</w:t>
      </w:r>
      <w:r w:rsidRPr="001B4CA2">
        <w:rPr>
          <w:rFonts w:eastAsia="Times New Roman"/>
          <w:lang w:eastAsia="hr-HR"/>
        </w:rPr>
        <w:t xml:space="preserve"> na kraju izvještajnog razdoblja nije ostala nijedna prijava u radu.</w:t>
      </w:r>
    </w:p>
    <w:p w14:paraId="00A730CE" w14:textId="77777777" w:rsidR="009A7C7B" w:rsidRPr="001B4CA2" w:rsidRDefault="009A7C7B" w:rsidP="009A7C7B">
      <w:pPr>
        <w:ind w:firstLine="708"/>
        <w:rPr>
          <w:rFonts w:eastAsia="Times New Roman"/>
          <w:b/>
          <w:i/>
          <w:lang w:eastAsia="hr-HR"/>
        </w:rPr>
      </w:pPr>
    </w:p>
    <w:p w14:paraId="29080A41" w14:textId="7F6DCB6C" w:rsidR="009A7C7B" w:rsidRPr="001B4CA2" w:rsidRDefault="009A7C7B" w:rsidP="009A7C7B">
      <w:pPr>
        <w:ind w:firstLine="708"/>
        <w:rPr>
          <w:lang w:eastAsia="hr-HR"/>
        </w:rPr>
      </w:pPr>
      <w:r w:rsidRPr="001B4CA2">
        <w:rPr>
          <w:lang w:eastAsia="hr-HR"/>
        </w:rPr>
        <w:t>Rješenje o odbačaju kaznene prijave doneseno je u odnosu na 1</w:t>
      </w:r>
      <w:r w:rsidR="009A2B94">
        <w:rPr>
          <w:lang w:eastAsia="hr-HR"/>
        </w:rPr>
        <w:t>.</w:t>
      </w:r>
      <w:r w:rsidRPr="001B4CA2">
        <w:rPr>
          <w:lang w:eastAsia="hr-HR"/>
        </w:rPr>
        <w:t>025 osoba</w:t>
      </w:r>
      <w:r w:rsidR="009A2B94">
        <w:rPr>
          <w:lang w:eastAsia="hr-HR"/>
        </w:rPr>
        <w:t>,</w:t>
      </w:r>
      <w:r w:rsidRPr="001B4CA2">
        <w:rPr>
          <w:lang w:eastAsia="hr-HR"/>
        </w:rPr>
        <w:t xml:space="preserve"> što čini 87,98</w:t>
      </w:r>
      <w:r w:rsidR="009A2B94">
        <w:rPr>
          <w:lang w:eastAsia="hr-HR"/>
        </w:rPr>
        <w:t> </w:t>
      </w:r>
      <w:r w:rsidRPr="001B4CA2">
        <w:rPr>
          <w:lang w:eastAsia="hr-HR"/>
        </w:rPr>
        <w:t>%</w:t>
      </w:r>
      <w:r w:rsidR="00FD08E9">
        <w:rPr>
          <w:lang w:eastAsia="hr-HR"/>
        </w:rPr>
        <w:t xml:space="preserve"> </w:t>
      </w:r>
      <w:r w:rsidRPr="001B4CA2">
        <w:rPr>
          <w:lang w:eastAsia="hr-HR"/>
        </w:rPr>
        <w:t>ukupnog broja donesenih odluka, dok je u odnosu na 130 osoba, odnosno 11,15</w:t>
      </w:r>
      <w:r w:rsidR="009A2B94">
        <w:rPr>
          <w:lang w:eastAsia="hr-HR"/>
        </w:rPr>
        <w:t> </w:t>
      </w:r>
      <w:r w:rsidRPr="001B4CA2">
        <w:rPr>
          <w:lang w:eastAsia="hr-HR"/>
        </w:rPr>
        <w:t xml:space="preserve">% ukupnog broja donesenih odluka, doneseno rješenje o provođenju istrage.  </w:t>
      </w:r>
    </w:p>
    <w:p w14:paraId="347E3B07" w14:textId="77777777" w:rsidR="009A7C7B" w:rsidRPr="001B4CA2" w:rsidRDefault="009A7C7B" w:rsidP="009A7C7B">
      <w:pPr>
        <w:rPr>
          <w:lang w:eastAsia="hr-HR"/>
        </w:rPr>
      </w:pPr>
    </w:p>
    <w:p w14:paraId="69AB5199" w14:textId="77777777" w:rsidR="009A7C7B" w:rsidRPr="001B4CA2" w:rsidRDefault="009A7C7B" w:rsidP="009A7C7B">
      <w:pPr>
        <w:ind w:firstLine="708"/>
        <w:rPr>
          <w:lang w:eastAsia="hr-HR"/>
        </w:rPr>
      </w:pPr>
      <w:r w:rsidRPr="001B4CA2">
        <w:rPr>
          <w:lang w:eastAsia="hr-HR"/>
        </w:rPr>
        <w:lastRenderedPageBreak/>
        <w:t xml:space="preserve">Broj donesenih rješenja o odbačaju kaznene prijave valja promatrati u kontekstu broja prijavljenih osoba kao i u kontekstu strukture podnositelja i strukture prijavljenih kaznenih djela. </w:t>
      </w:r>
    </w:p>
    <w:p w14:paraId="6C6638CD" w14:textId="77777777" w:rsidR="009A7C7B" w:rsidRPr="001B4CA2" w:rsidRDefault="009A7C7B" w:rsidP="009A7C7B">
      <w:pPr>
        <w:rPr>
          <w:rFonts w:eastAsia="Times New Roman"/>
          <w:lang w:eastAsia="hr-HR"/>
        </w:rPr>
      </w:pPr>
      <w:r w:rsidRPr="001B4CA2">
        <w:rPr>
          <w:rFonts w:eastAsia="Times New Roman"/>
          <w:lang w:eastAsia="hr-HR"/>
        </w:rPr>
        <w:tab/>
      </w:r>
    </w:p>
    <w:p w14:paraId="289E0D4E" w14:textId="77777777" w:rsidR="009A7C7B" w:rsidRPr="001B4CA2" w:rsidRDefault="009A7C7B" w:rsidP="009A7C7B">
      <w:pPr>
        <w:ind w:firstLine="708"/>
        <w:rPr>
          <w:rFonts w:eastAsia="Times New Roman"/>
          <w:lang w:eastAsia="hr-HR"/>
        </w:rPr>
      </w:pPr>
      <w:r w:rsidRPr="001B4CA2">
        <w:rPr>
          <w:rFonts w:eastAsia="Times New Roman"/>
          <w:lang w:eastAsia="hr-HR"/>
        </w:rPr>
        <w:t xml:space="preserve">Za koruptivna kaznena djela protiv 3 osobe podignuta je neposredna optužnica. </w:t>
      </w:r>
    </w:p>
    <w:p w14:paraId="5271347D" w14:textId="77777777" w:rsidR="009A7C7B" w:rsidRPr="001B4CA2" w:rsidRDefault="009A7C7B" w:rsidP="009A7C7B">
      <w:pPr>
        <w:ind w:firstLine="708"/>
        <w:rPr>
          <w:rFonts w:eastAsia="Times New Roman"/>
          <w:lang w:eastAsia="hr-HR"/>
        </w:rPr>
      </w:pPr>
    </w:p>
    <w:p w14:paraId="5BF7805E" w14:textId="77777777" w:rsidR="009A7C7B" w:rsidRPr="001B4CA2" w:rsidRDefault="009A7C7B" w:rsidP="009A7C7B">
      <w:pPr>
        <w:ind w:firstLine="708"/>
        <w:rPr>
          <w:rFonts w:eastAsia="Times New Roman"/>
          <w:color w:val="000000" w:themeColor="text1"/>
          <w:lang w:eastAsia="hr-HR"/>
        </w:rPr>
      </w:pPr>
      <w:r w:rsidRPr="001B4CA2">
        <w:rPr>
          <w:rFonts w:eastAsia="Times New Roman"/>
          <w:lang w:eastAsia="hr-HR"/>
        </w:rPr>
        <w:t xml:space="preserve">Nakon dovršene istrage </w:t>
      </w:r>
      <w:r w:rsidRPr="001B4CA2">
        <w:rPr>
          <w:rFonts w:eastAsia="Times New Roman"/>
          <w:color w:val="000000" w:themeColor="text1"/>
          <w:lang w:eastAsia="hr-HR"/>
        </w:rPr>
        <w:t>p</w:t>
      </w:r>
      <w:r w:rsidRPr="001B4CA2">
        <w:rPr>
          <w:rFonts w:eastAsia="Times New Roman"/>
          <w:lang w:eastAsia="hr-HR"/>
        </w:rPr>
        <w:t>rotiv 8 osoba istraga je obustavljena nalogom državnog odvjetnika, dok je optužnica podignuta protiv</w:t>
      </w:r>
      <w:r w:rsidRPr="001B4CA2">
        <w:rPr>
          <w:rFonts w:eastAsia="Times New Roman"/>
          <w:color w:val="000000"/>
          <w:lang w:eastAsia="hr-HR"/>
        </w:rPr>
        <w:t xml:space="preserve"> 178 osoba</w:t>
      </w:r>
      <w:r w:rsidRPr="001B4CA2">
        <w:rPr>
          <w:rFonts w:eastAsia="Times New Roman"/>
          <w:color w:val="000000" w:themeColor="text1"/>
          <w:lang w:eastAsia="hr-HR"/>
        </w:rPr>
        <w:t xml:space="preserve">.  </w:t>
      </w:r>
    </w:p>
    <w:p w14:paraId="410471A3" w14:textId="77777777" w:rsidR="009A7C7B" w:rsidRPr="001B4CA2" w:rsidRDefault="009A7C7B" w:rsidP="009A7C7B">
      <w:pPr>
        <w:ind w:firstLine="708"/>
        <w:rPr>
          <w:rFonts w:eastAsia="Times New Roman"/>
          <w:color w:val="000000" w:themeColor="text1"/>
          <w:lang w:eastAsia="hr-HR"/>
        </w:rPr>
      </w:pPr>
    </w:p>
    <w:p w14:paraId="62884BBC" w14:textId="6308FDF9" w:rsidR="009A7C7B" w:rsidRPr="001B4CA2" w:rsidRDefault="009A7C7B" w:rsidP="009A7C7B">
      <w:pPr>
        <w:ind w:firstLine="708"/>
        <w:rPr>
          <w:rFonts w:eastAsia="Times New Roman"/>
          <w:i/>
          <w:color w:val="000000"/>
          <w:lang w:eastAsia="hr-HR"/>
        </w:rPr>
      </w:pPr>
      <w:r w:rsidRPr="001B4CA2">
        <w:rPr>
          <w:rFonts w:eastAsia="Times New Roman"/>
          <w:color w:val="000000"/>
          <w:lang w:eastAsia="hr-HR"/>
        </w:rPr>
        <w:t>U izvještajnom razdoblju sudovi su za koruptivna kaznena djela donijeli</w:t>
      </w:r>
      <w:r w:rsidR="00FD08E9">
        <w:rPr>
          <w:rFonts w:eastAsia="Times New Roman"/>
          <w:color w:val="000000"/>
          <w:lang w:eastAsia="hr-HR"/>
        </w:rPr>
        <w:t xml:space="preserve"> </w:t>
      </w:r>
      <w:r w:rsidRPr="001B4CA2">
        <w:rPr>
          <w:rFonts w:eastAsia="Times New Roman"/>
          <w:color w:val="000000"/>
          <w:lang w:eastAsia="hr-HR"/>
        </w:rPr>
        <w:t xml:space="preserve">presuda u odnosu na 182 osobe. </w:t>
      </w:r>
      <w:r w:rsidRPr="001B4CA2">
        <w:rPr>
          <w:rFonts w:eastAsia="Times New Roman"/>
          <w:lang w:eastAsia="hr-HR"/>
        </w:rPr>
        <w:t xml:space="preserve">Od ukupnog broja donesenih presuda 153 su osuđujuće presude </w:t>
      </w:r>
      <w:r w:rsidRPr="001B4CA2">
        <w:rPr>
          <w:rFonts w:eastAsia="Times New Roman"/>
          <w:color w:val="000000" w:themeColor="text1"/>
          <w:lang w:eastAsia="hr-HR"/>
        </w:rPr>
        <w:t>(84,06</w:t>
      </w:r>
      <w:r w:rsidR="009A2B94">
        <w:rPr>
          <w:rFonts w:eastAsia="Times New Roman"/>
          <w:color w:val="000000" w:themeColor="text1"/>
          <w:lang w:eastAsia="hr-HR"/>
        </w:rPr>
        <w:t> </w:t>
      </w:r>
      <w:r w:rsidRPr="001B4CA2">
        <w:rPr>
          <w:rFonts w:eastAsia="Times New Roman"/>
          <w:color w:val="000000" w:themeColor="text1"/>
          <w:lang w:eastAsia="hr-HR"/>
        </w:rPr>
        <w:t>%)</w:t>
      </w:r>
      <w:r w:rsidR="009A2B94">
        <w:rPr>
          <w:rFonts w:eastAsia="Times New Roman"/>
          <w:color w:val="000000" w:themeColor="text1"/>
          <w:lang w:eastAsia="hr-HR"/>
        </w:rPr>
        <w:t>,</w:t>
      </w:r>
      <w:r w:rsidRPr="001B4CA2">
        <w:rPr>
          <w:rFonts w:eastAsia="Times New Roman"/>
          <w:color w:val="000000" w:themeColor="text1"/>
          <w:lang w:eastAsia="hr-HR"/>
        </w:rPr>
        <w:t xml:space="preserve"> </w:t>
      </w:r>
      <w:r w:rsidRPr="001B4CA2">
        <w:rPr>
          <w:rFonts w:eastAsia="Times New Roman"/>
          <w:lang w:eastAsia="hr-HR"/>
        </w:rPr>
        <w:t xml:space="preserve">od čega je 65 presuda </w:t>
      </w:r>
      <w:r w:rsidRPr="001B4CA2">
        <w:rPr>
          <w:rFonts w:eastAsia="Times New Roman"/>
          <w:color w:val="000000"/>
          <w:lang w:eastAsia="hr-HR"/>
        </w:rPr>
        <w:t xml:space="preserve">doneseno na temelju sporazuma stranaka </w:t>
      </w:r>
      <w:r w:rsidRPr="001B4CA2">
        <w:rPr>
          <w:rFonts w:eastAsia="Times New Roman"/>
          <w:color w:val="000000" w:themeColor="text1"/>
          <w:lang w:eastAsia="hr-HR"/>
        </w:rPr>
        <w:t>(42,48</w:t>
      </w:r>
      <w:r w:rsidR="009A2B94">
        <w:rPr>
          <w:rFonts w:eastAsia="Times New Roman"/>
          <w:color w:val="000000" w:themeColor="text1"/>
          <w:lang w:eastAsia="hr-HR"/>
        </w:rPr>
        <w:t> </w:t>
      </w:r>
      <w:r w:rsidRPr="001B4CA2">
        <w:rPr>
          <w:rFonts w:eastAsia="Times New Roman"/>
          <w:color w:val="000000" w:themeColor="text1"/>
          <w:lang w:eastAsia="hr-HR"/>
        </w:rPr>
        <w:t xml:space="preserve">%). Osuđujućim presudama </w:t>
      </w:r>
      <w:r w:rsidRPr="001B4CA2">
        <w:rPr>
          <w:rFonts w:eastAsia="Times New Roman"/>
          <w:color w:val="000000"/>
          <w:lang w:eastAsia="hr-HR"/>
        </w:rPr>
        <w:t>65 osoba izrečena</w:t>
      </w:r>
      <w:r w:rsidRPr="001B4CA2">
        <w:rPr>
          <w:rFonts w:eastAsia="Times New Roman"/>
          <w:i/>
          <w:color w:val="000000"/>
          <w:lang w:eastAsia="hr-HR"/>
        </w:rPr>
        <w:t xml:space="preserve"> </w:t>
      </w:r>
      <w:r w:rsidRPr="001B4CA2">
        <w:rPr>
          <w:rFonts w:eastAsia="Times New Roman"/>
          <w:color w:val="000000"/>
          <w:lang w:eastAsia="hr-HR"/>
        </w:rPr>
        <w:t>je kazna zatvora,</w:t>
      </w:r>
      <w:r w:rsidRPr="001B4CA2">
        <w:rPr>
          <w:rFonts w:eastAsia="Times New Roman"/>
          <w:color w:val="000000" w:themeColor="text1"/>
          <w:lang w:eastAsia="hr-HR"/>
        </w:rPr>
        <w:t xml:space="preserve"> s time da je u odnosu na 24 osob</w:t>
      </w:r>
      <w:r w:rsidR="009A2B94">
        <w:rPr>
          <w:rFonts w:eastAsia="Times New Roman"/>
          <w:color w:val="000000" w:themeColor="text1"/>
          <w:lang w:eastAsia="hr-HR"/>
        </w:rPr>
        <w:t>e</w:t>
      </w:r>
      <w:r w:rsidRPr="001B4CA2">
        <w:rPr>
          <w:rFonts w:eastAsia="Times New Roman"/>
          <w:color w:val="000000" w:themeColor="text1"/>
          <w:lang w:eastAsia="hr-HR"/>
        </w:rPr>
        <w:t xml:space="preserve"> kazna zatvora zamijenjena radom za opće dobro.</w:t>
      </w:r>
      <w:r w:rsidR="00FD08E9">
        <w:rPr>
          <w:rFonts w:eastAsia="Times New Roman"/>
          <w:color w:val="000000" w:themeColor="text1"/>
          <w:lang w:eastAsia="hr-HR"/>
        </w:rPr>
        <w:t xml:space="preserve"> </w:t>
      </w:r>
      <w:r w:rsidRPr="001B4CA2">
        <w:rPr>
          <w:rFonts w:eastAsia="Times New Roman"/>
          <w:color w:val="000000" w:themeColor="text1"/>
          <w:lang w:eastAsia="hr-HR"/>
        </w:rPr>
        <w:t xml:space="preserve">Izrečena je 1 novčana kazna. </w:t>
      </w:r>
      <w:r w:rsidRPr="001B4CA2">
        <w:rPr>
          <w:rFonts w:eastAsia="Times New Roman"/>
          <w:color w:val="000000"/>
          <w:lang w:eastAsia="hr-HR"/>
        </w:rPr>
        <w:t xml:space="preserve">U odnosu na 87 osoba izrečena je uvjetna </w:t>
      </w:r>
      <w:r w:rsidRPr="001B4CA2">
        <w:rPr>
          <w:rFonts w:eastAsia="Times New Roman"/>
          <w:color w:val="000000" w:themeColor="text1"/>
          <w:lang w:eastAsia="hr-HR"/>
        </w:rPr>
        <w:t xml:space="preserve">osuda.  </w:t>
      </w:r>
      <w:r w:rsidRPr="001B4CA2">
        <w:rPr>
          <w:rFonts w:eastAsia="Times New Roman"/>
          <w:color w:val="000000"/>
          <w:lang w:eastAsia="hr-HR"/>
        </w:rPr>
        <w:t xml:space="preserve">Sudovi su donijeli 14 oslobađajućih presuda </w:t>
      </w:r>
      <w:r w:rsidRPr="001B4CA2">
        <w:rPr>
          <w:rFonts w:eastAsia="Times New Roman"/>
          <w:color w:val="000000" w:themeColor="text1"/>
          <w:lang w:eastAsia="hr-HR"/>
        </w:rPr>
        <w:t>(7,69</w:t>
      </w:r>
      <w:r w:rsidR="009A2B94">
        <w:rPr>
          <w:rFonts w:eastAsia="Times New Roman"/>
          <w:color w:val="000000" w:themeColor="text1"/>
          <w:lang w:eastAsia="hr-HR"/>
        </w:rPr>
        <w:t> </w:t>
      </w:r>
      <w:r w:rsidRPr="001B4CA2">
        <w:rPr>
          <w:rFonts w:eastAsia="Times New Roman"/>
          <w:color w:val="000000" w:themeColor="text1"/>
          <w:lang w:eastAsia="hr-HR"/>
        </w:rPr>
        <w:t xml:space="preserve">%) te 3 </w:t>
      </w:r>
      <w:r w:rsidRPr="001B4CA2">
        <w:rPr>
          <w:rFonts w:eastAsia="Times New Roman"/>
          <w:color w:val="000000"/>
          <w:lang w:eastAsia="hr-HR"/>
        </w:rPr>
        <w:t>odbijajuće presude (1,64%)</w:t>
      </w:r>
      <w:r w:rsidR="009A2B94">
        <w:rPr>
          <w:rFonts w:eastAsia="Times New Roman"/>
          <w:color w:val="000000"/>
          <w:lang w:eastAsia="hr-HR"/>
        </w:rPr>
        <w:t>.</w:t>
      </w:r>
      <w:r w:rsidRPr="001B4CA2">
        <w:rPr>
          <w:rFonts w:eastAsia="Times New Roman"/>
          <w:color w:val="000000"/>
          <w:lang w:eastAsia="hr-HR"/>
        </w:rPr>
        <w:t xml:space="preserve"> U odnosu na 12 osoba doneseno je rješenje o obustavi kaznenog postupka nakon potvrđivanja optužnice.</w:t>
      </w:r>
    </w:p>
    <w:p w14:paraId="21CE5D1D" w14:textId="77777777" w:rsidR="009A7C7B" w:rsidRPr="001B4CA2" w:rsidRDefault="009A7C7B" w:rsidP="009A7C7B">
      <w:pPr>
        <w:ind w:firstLine="708"/>
        <w:rPr>
          <w:rFonts w:eastAsia="Times New Roman"/>
          <w:i/>
          <w:color w:val="000000"/>
          <w:lang w:eastAsia="hr-HR"/>
        </w:rPr>
      </w:pPr>
    </w:p>
    <w:p w14:paraId="04D6F802" w14:textId="082C7A97" w:rsidR="009A7C7B" w:rsidRPr="001B4CA2" w:rsidRDefault="009A7C7B" w:rsidP="009A7C7B">
      <w:pPr>
        <w:ind w:firstLine="708"/>
        <w:rPr>
          <w:rFonts w:asciiTheme="minorHAnsi" w:hAnsiTheme="minorHAnsi" w:cstheme="minorBidi"/>
          <w:strike/>
        </w:rPr>
      </w:pPr>
      <w:r w:rsidRPr="001B4CA2">
        <w:rPr>
          <w:rFonts w:eastAsia="Times New Roman"/>
          <w:lang w:eastAsia="hr-HR"/>
        </w:rPr>
        <w:t>U izvještajnom razdoblju Ured je podnio 56 žalbi, od čega 28 zbog odluke o kazni, 17 zbog osnove različite od kazne i 11 zbog kazne i drugih osnova.</w:t>
      </w:r>
      <w:r w:rsidRPr="001B4CA2">
        <w:rPr>
          <w:rFonts w:eastAsia="Times New Roman"/>
          <w:i/>
          <w:lang w:eastAsia="hr-HR"/>
        </w:rPr>
        <w:t xml:space="preserve"> </w:t>
      </w:r>
    </w:p>
    <w:p w14:paraId="137D4B57" w14:textId="77777777" w:rsidR="00246187" w:rsidRPr="001B4CA2" w:rsidRDefault="00246187" w:rsidP="00576E77"/>
    <w:p w14:paraId="7848DBE8" w14:textId="7DE0122D" w:rsidR="0042388C" w:rsidRPr="001B4CA2" w:rsidRDefault="0042388C" w:rsidP="00955E23">
      <w:pPr>
        <w:pStyle w:val="Naslov4"/>
        <w:tabs>
          <w:tab w:val="left" w:pos="1134"/>
        </w:tabs>
        <w:rPr>
          <w:rFonts w:ascii="Arial" w:hAnsi="Arial" w:cs="Arial"/>
        </w:rPr>
      </w:pPr>
      <w:bookmarkStart w:id="152" w:name="_Toc133394382"/>
      <w:r w:rsidRPr="001B4CA2">
        <w:rPr>
          <w:rFonts w:ascii="Arial" w:hAnsi="Arial" w:cs="Arial"/>
        </w:rPr>
        <w:t>Struktura</w:t>
      </w:r>
      <w:r w:rsidR="006262C8" w:rsidRPr="001B4CA2">
        <w:rPr>
          <w:rFonts w:ascii="Arial" w:hAnsi="Arial" w:cs="Arial"/>
        </w:rPr>
        <w:t xml:space="preserve"> </w:t>
      </w:r>
      <w:r w:rsidRPr="001B4CA2">
        <w:rPr>
          <w:rFonts w:ascii="Arial" w:hAnsi="Arial" w:cs="Arial"/>
        </w:rPr>
        <w:t>koruptivnih</w:t>
      </w:r>
      <w:r w:rsidR="006262C8" w:rsidRPr="001B4CA2">
        <w:rPr>
          <w:rFonts w:ascii="Arial" w:hAnsi="Arial" w:cs="Arial"/>
        </w:rPr>
        <w:t xml:space="preserve"> </w:t>
      </w:r>
      <w:r w:rsidRPr="001B4CA2">
        <w:rPr>
          <w:rFonts w:ascii="Arial" w:hAnsi="Arial" w:cs="Arial"/>
        </w:rPr>
        <w:t>kaznenih</w:t>
      </w:r>
      <w:r w:rsidR="006262C8" w:rsidRPr="001B4CA2">
        <w:rPr>
          <w:rFonts w:ascii="Arial" w:hAnsi="Arial" w:cs="Arial"/>
        </w:rPr>
        <w:t xml:space="preserve"> </w:t>
      </w:r>
      <w:r w:rsidRPr="001B4CA2">
        <w:rPr>
          <w:rFonts w:ascii="Arial" w:hAnsi="Arial" w:cs="Arial"/>
        </w:rPr>
        <w:t>djela</w:t>
      </w:r>
      <w:bookmarkEnd w:id="152"/>
    </w:p>
    <w:p w14:paraId="474274EC" w14:textId="77777777" w:rsidR="00576E77" w:rsidRPr="001B4CA2" w:rsidRDefault="00576E77" w:rsidP="00576E77"/>
    <w:p w14:paraId="18A9D77B" w14:textId="77893204" w:rsidR="009A7C7B" w:rsidRPr="001B4CA2" w:rsidRDefault="009A7C7B" w:rsidP="009A7C7B">
      <w:pPr>
        <w:ind w:firstLine="708"/>
        <w:rPr>
          <w:rFonts w:eastAsia="Times New Roman"/>
          <w:lang w:eastAsia="hr-HR"/>
        </w:rPr>
      </w:pPr>
      <w:r w:rsidRPr="001B4CA2">
        <w:rPr>
          <w:rFonts w:eastAsia="Times New Roman"/>
          <w:lang w:eastAsia="hr-HR"/>
        </w:rPr>
        <w:t xml:space="preserve">Iz strukture prijavljenih koruptivnih kaznenih djela u izvještajnom razdoblju </w:t>
      </w:r>
      <w:r w:rsidR="009A2B94">
        <w:rPr>
          <w:rFonts w:eastAsia="Times New Roman"/>
          <w:lang w:eastAsia="hr-HR"/>
        </w:rPr>
        <w:t>razvidno</w:t>
      </w:r>
      <w:r w:rsidRPr="001B4CA2">
        <w:rPr>
          <w:rFonts w:eastAsia="Times New Roman"/>
          <w:lang w:eastAsia="hr-HR"/>
        </w:rPr>
        <w:t xml:space="preserve"> je da je od 1</w:t>
      </w:r>
      <w:r w:rsidR="009A2B94">
        <w:rPr>
          <w:rFonts w:eastAsia="Times New Roman"/>
          <w:lang w:eastAsia="hr-HR"/>
        </w:rPr>
        <w:t>.</w:t>
      </w:r>
      <w:r w:rsidRPr="001B4CA2">
        <w:rPr>
          <w:rFonts w:eastAsia="Times New Roman"/>
          <w:lang w:eastAsia="hr-HR"/>
        </w:rPr>
        <w:t>924 prijavljene osobe njih 1</w:t>
      </w:r>
      <w:r w:rsidR="009A2B94">
        <w:rPr>
          <w:rFonts w:eastAsia="Times New Roman"/>
          <w:lang w:eastAsia="hr-HR"/>
        </w:rPr>
        <w:t>.</w:t>
      </w:r>
      <w:r w:rsidRPr="001B4CA2">
        <w:rPr>
          <w:rFonts w:eastAsia="Times New Roman"/>
          <w:lang w:eastAsia="hr-HR"/>
        </w:rPr>
        <w:t>028 ili 88,24</w:t>
      </w:r>
      <w:r w:rsidR="009A2B94">
        <w:rPr>
          <w:rFonts w:eastAsia="Times New Roman"/>
          <w:lang w:eastAsia="hr-HR"/>
        </w:rPr>
        <w:t> </w:t>
      </w:r>
      <w:r w:rsidRPr="001B4CA2">
        <w:rPr>
          <w:rFonts w:eastAsia="Times New Roman"/>
          <w:lang w:eastAsia="hr-HR"/>
        </w:rPr>
        <w:t>% prijavljeno za</w:t>
      </w:r>
      <w:r w:rsidR="00FD08E9">
        <w:rPr>
          <w:rFonts w:eastAsia="Times New Roman"/>
          <w:lang w:eastAsia="hr-HR"/>
        </w:rPr>
        <w:t xml:space="preserve"> </w:t>
      </w:r>
      <w:r w:rsidRPr="001B4CA2">
        <w:rPr>
          <w:rFonts w:eastAsia="Times New Roman"/>
          <w:lang w:eastAsia="hr-HR"/>
        </w:rPr>
        <w:t>kazneno djelo zlouporabe položaja i ovlasti iz članka 291. Kaznenog zakona/11.</w:t>
      </w:r>
    </w:p>
    <w:p w14:paraId="46BC4241" w14:textId="77777777" w:rsidR="009A7C7B" w:rsidRPr="001B4CA2" w:rsidRDefault="009A7C7B" w:rsidP="009A7C7B">
      <w:pPr>
        <w:rPr>
          <w:rFonts w:eastAsia="Times New Roman"/>
          <w:color w:val="000000"/>
          <w:lang w:eastAsia="hr-HR"/>
        </w:rPr>
      </w:pPr>
    </w:p>
    <w:p w14:paraId="3F4696C6" w14:textId="2A7C9F19" w:rsidR="009A7C7B" w:rsidRPr="001B4CA2" w:rsidRDefault="009A7C7B" w:rsidP="009A7C7B">
      <w:pPr>
        <w:ind w:firstLine="708"/>
        <w:rPr>
          <w:rFonts w:eastAsia="Times New Roman"/>
          <w:lang w:eastAsia="hr-HR"/>
        </w:rPr>
      </w:pPr>
      <w:r w:rsidRPr="001B4CA2">
        <w:rPr>
          <w:rFonts w:eastAsia="Times New Roman"/>
          <w:lang w:eastAsia="hr-HR"/>
        </w:rPr>
        <w:t>Slijedi kazneno djelo primanja mita iz članka 293. stavka 1. Kaznenog zakona/11 i kazneno djelo davanje mita iz članka 294. stavka 1. Kaznenog zakona/11</w:t>
      </w:r>
      <w:r w:rsidR="00FD08E9">
        <w:rPr>
          <w:rFonts w:eastAsia="Times New Roman"/>
          <w:lang w:eastAsia="hr-HR"/>
        </w:rPr>
        <w:t xml:space="preserve"> s </w:t>
      </w:r>
      <w:r w:rsidRPr="001B4CA2">
        <w:rPr>
          <w:rFonts w:eastAsia="Times New Roman"/>
          <w:lang w:eastAsia="hr-HR"/>
        </w:rPr>
        <w:t>udjelom od 2,83</w:t>
      </w:r>
      <w:r w:rsidR="009A2B94">
        <w:rPr>
          <w:rFonts w:eastAsia="Times New Roman"/>
          <w:lang w:eastAsia="hr-HR"/>
        </w:rPr>
        <w:t> </w:t>
      </w:r>
      <w:r w:rsidRPr="001B4CA2">
        <w:rPr>
          <w:rFonts w:eastAsia="Times New Roman"/>
          <w:lang w:eastAsia="hr-HR"/>
        </w:rPr>
        <w:t>% (kaznene prijave</w:t>
      </w:r>
      <w:r w:rsidR="00FD08E9">
        <w:rPr>
          <w:rFonts w:eastAsia="Times New Roman"/>
          <w:lang w:eastAsia="hr-HR"/>
        </w:rPr>
        <w:t xml:space="preserve"> </w:t>
      </w:r>
      <w:r w:rsidRPr="001B4CA2">
        <w:rPr>
          <w:rFonts w:eastAsia="Times New Roman"/>
          <w:lang w:eastAsia="hr-HR"/>
        </w:rPr>
        <w:t xml:space="preserve">protiv 33 osobe za svako od navedenih </w:t>
      </w:r>
      <w:r w:rsidR="009A2B94" w:rsidRPr="001B4CA2">
        <w:rPr>
          <w:rFonts w:eastAsia="Times New Roman"/>
          <w:lang w:eastAsia="hr-HR"/>
        </w:rPr>
        <w:t>kaznenih</w:t>
      </w:r>
      <w:r w:rsidRPr="001B4CA2">
        <w:rPr>
          <w:rFonts w:eastAsia="Times New Roman"/>
          <w:lang w:eastAsia="hr-HR"/>
        </w:rPr>
        <w:t xml:space="preserve"> djela) u ukupnom broju prijava zbog koruptivnih kaznenih djela, a zatim kazneno djelo trgovanje utjecajem iz članka 295. stavka 1. Kaznenog zakona/11</w:t>
      </w:r>
      <w:r w:rsidR="00FD08E9">
        <w:rPr>
          <w:rFonts w:eastAsia="Times New Roman"/>
          <w:lang w:eastAsia="hr-HR"/>
        </w:rPr>
        <w:t xml:space="preserve"> s </w:t>
      </w:r>
      <w:r w:rsidRPr="001B4CA2">
        <w:rPr>
          <w:rFonts w:eastAsia="Times New Roman"/>
          <w:lang w:eastAsia="hr-HR"/>
        </w:rPr>
        <w:t>udjelom od 1,97</w:t>
      </w:r>
      <w:r w:rsidR="009A2B94">
        <w:rPr>
          <w:rFonts w:eastAsia="Times New Roman"/>
          <w:lang w:eastAsia="hr-HR"/>
        </w:rPr>
        <w:t> </w:t>
      </w:r>
      <w:r w:rsidRPr="001B4CA2">
        <w:rPr>
          <w:rFonts w:eastAsia="Times New Roman"/>
          <w:lang w:eastAsia="hr-HR"/>
        </w:rPr>
        <w:t xml:space="preserve">% (kaznene prijave protiv 23 osobe). </w:t>
      </w:r>
    </w:p>
    <w:p w14:paraId="1212F7A2" w14:textId="77777777" w:rsidR="009A7C7B" w:rsidRPr="001B4CA2" w:rsidRDefault="009A7C7B" w:rsidP="009A7C7B">
      <w:pPr>
        <w:rPr>
          <w:rFonts w:eastAsia="Times New Roman"/>
          <w:strike/>
          <w:color w:val="000000"/>
          <w:u w:val="single"/>
          <w:lang w:eastAsia="hr-HR"/>
        </w:rPr>
      </w:pPr>
    </w:p>
    <w:p w14:paraId="7CB2C330" w14:textId="58F3013D" w:rsidR="009A7C7B" w:rsidRPr="001B4CA2" w:rsidRDefault="009A7C7B" w:rsidP="009A7C7B">
      <w:r w:rsidRPr="001B4CA2">
        <w:tab/>
        <w:t xml:space="preserve">U povodu kaznenih prijava zbog kaznenog djela iz članka 293. stavka 1. Kaznenog zakona/11 u odnosu na 19 osoba doneseno </w:t>
      </w:r>
      <w:r w:rsidR="009A2B94" w:rsidRPr="001B4CA2">
        <w:t xml:space="preserve">je </w:t>
      </w:r>
      <w:r w:rsidRPr="001B4CA2">
        <w:t xml:space="preserve">rješenje o odbačaju kaznene prijave, a protiv 9 rješenje o provođenju istrage, dok je u odnosu na 5 osoba kaznena prijava riješena na drugi način. </w:t>
      </w:r>
    </w:p>
    <w:p w14:paraId="70F6F142" w14:textId="77777777" w:rsidR="009A7C7B" w:rsidRPr="001B4CA2" w:rsidRDefault="009A7C7B" w:rsidP="009A7C7B"/>
    <w:p w14:paraId="4C9275AD" w14:textId="74B6ED3E" w:rsidR="009A7C7B" w:rsidRPr="001B4CA2" w:rsidRDefault="009A7C7B" w:rsidP="009A7C7B">
      <w:r w:rsidRPr="001B4CA2">
        <w:tab/>
        <w:t xml:space="preserve">U povodu kaznenih prijava zbog kaznenog djela iz članka 294. stavka 1. Kaznenog zakona/11 u odnosu na 20 osoba </w:t>
      </w:r>
      <w:r w:rsidR="009A2B94" w:rsidRPr="001B4CA2">
        <w:t xml:space="preserve">doneseno </w:t>
      </w:r>
      <w:r w:rsidRPr="001B4CA2">
        <w:t xml:space="preserve">je rješenje o odbačaju kaznene prijave, a protiv 9 osoba </w:t>
      </w:r>
      <w:r w:rsidR="009A2B94" w:rsidRPr="001B4CA2">
        <w:t xml:space="preserve">doneseno </w:t>
      </w:r>
      <w:r w:rsidRPr="001B4CA2">
        <w:t xml:space="preserve">je rješenje o provođenju istrage, protiv 3 osobe </w:t>
      </w:r>
      <w:r w:rsidR="009A2B94" w:rsidRPr="001B4CA2">
        <w:t xml:space="preserve">podignute </w:t>
      </w:r>
      <w:r w:rsidRPr="001B4CA2">
        <w:t xml:space="preserve">su neposredne optužnice, dok je u odnosu na 1 osobu prijava riješena na drugi način. </w:t>
      </w:r>
    </w:p>
    <w:p w14:paraId="29B93BB3" w14:textId="77777777" w:rsidR="009A7C7B" w:rsidRPr="001B4CA2" w:rsidRDefault="009A7C7B" w:rsidP="009A7C7B"/>
    <w:p w14:paraId="6288978E" w14:textId="371900D7" w:rsidR="009A7C7B" w:rsidRPr="001B4CA2" w:rsidRDefault="009A7C7B" w:rsidP="009A7C7B">
      <w:r w:rsidRPr="001B4CA2">
        <w:tab/>
        <w:t>U povodu kaznenih prijava zbog kaznenog djela iz članka 295. stavka 1. Kaznenog zakona/11 u odnosu na 17 osoba doneseno je rješenj</w:t>
      </w:r>
      <w:r w:rsidR="004134EB">
        <w:t>e</w:t>
      </w:r>
      <w:r w:rsidRPr="001B4CA2">
        <w:t xml:space="preserve"> o odbačaju kaznene prijave, a protiv 6 osoba </w:t>
      </w:r>
      <w:r w:rsidR="004134EB" w:rsidRPr="001B4CA2">
        <w:t xml:space="preserve">doneseno </w:t>
      </w:r>
      <w:r w:rsidRPr="001B4CA2">
        <w:t>je rješenje o provođenju istrage.</w:t>
      </w:r>
    </w:p>
    <w:p w14:paraId="2D2B0199" w14:textId="7406481C" w:rsidR="009A7C7B" w:rsidRPr="001B4CA2" w:rsidRDefault="009A7C7B" w:rsidP="009A7C7B">
      <w:r w:rsidRPr="001B4CA2">
        <w:lastRenderedPageBreak/>
        <w:tab/>
        <w:t>Po završenoj istrazi zbog kaznenog djela iz članka 293. stavka 1. Kaznenog zakona/11 podignuto je optužnica protiv 12 osoba, zbog kaznenog djela iz članka 294. stavka 1. Kaznenog zakona/11 protiv 18 osoba,</w:t>
      </w:r>
      <w:r w:rsidR="00FD08E9">
        <w:t xml:space="preserve"> </w:t>
      </w:r>
      <w:r w:rsidRPr="001B4CA2">
        <w:t xml:space="preserve">zbog kaznenog djela iz članka 295. stavka 1. Kaznenog zakona/11 protiv 19 osoba. U odnosu na </w:t>
      </w:r>
      <w:r w:rsidR="004134EB">
        <w:t>t</w:t>
      </w:r>
      <w:r w:rsidRPr="001B4CA2">
        <w:t>a kaznena djela nijedna istraga nije obustavljena niti riješena na drugi način.</w:t>
      </w:r>
    </w:p>
    <w:p w14:paraId="65E90A58" w14:textId="77777777" w:rsidR="009A7C7B" w:rsidRPr="001B4CA2" w:rsidRDefault="009A7C7B" w:rsidP="009A7C7B"/>
    <w:p w14:paraId="383EC1EA" w14:textId="6F33A558" w:rsidR="009A7C7B" w:rsidRPr="001B4CA2" w:rsidRDefault="009A7C7B" w:rsidP="009A7C7B">
      <w:pPr>
        <w:tabs>
          <w:tab w:val="left" w:pos="1951"/>
          <w:tab w:val="right" w:leader="dot" w:pos="9062"/>
        </w:tabs>
        <w:ind w:firstLine="709"/>
      </w:pPr>
      <w:r w:rsidRPr="001B4CA2">
        <w:t>Sudovi su za kazneno djelo iz članka 293. stavka 1. Kaznenog zakona/11 donijeli ukupno presuda protiv 18 osoba</w:t>
      </w:r>
      <w:r w:rsidR="004134EB">
        <w:t>,</w:t>
      </w:r>
      <w:r w:rsidRPr="001B4CA2">
        <w:t xml:space="preserve"> od kojih je 16 osuđujućih (od toga 7 po sporazumu stranaka) i 2 oslobađajuće. Izrečeno je 14 kazni zatvora, od kojih je 5 zamijenjeno radom za opće dobro na slobodi te su izrečene 2 uvjetne osude.</w:t>
      </w:r>
    </w:p>
    <w:p w14:paraId="5AA1EFB8" w14:textId="77777777" w:rsidR="009A7C7B" w:rsidRPr="001B4CA2" w:rsidRDefault="009A7C7B" w:rsidP="009A7C7B">
      <w:pPr>
        <w:tabs>
          <w:tab w:val="left" w:pos="1951"/>
          <w:tab w:val="right" w:leader="dot" w:pos="9062"/>
        </w:tabs>
        <w:ind w:firstLine="709"/>
      </w:pPr>
    </w:p>
    <w:p w14:paraId="11764B26" w14:textId="322BC4FD" w:rsidR="009A7C7B" w:rsidRPr="001B4CA2" w:rsidRDefault="009A7C7B" w:rsidP="009A7C7B">
      <w:pPr>
        <w:tabs>
          <w:tab w:val="left" w:pos="1951"/>
          <w:tab w:val="right" w:leader="dot" w:pos="9062"/>
        </w:tabs>
        <w:ind w:firstLine="709"/>
      </w:pPr>
      <w:r w:rsidRPr="001B4CA2">
        <w:t>Za kazneno djelo iz članka 294. stavka 1. Kaznenog zakona/11 sudovi su donijeli ukupno presuda protiv 35 osoba,</w:t>
      </w:r>
      <w:r w:rsidR="00FD08E9">
        <w:t xml:space="preserve"> </w:t>
      </w:r>
      <w:r w:rsidRPr="001B4CA2">
        <w:t>od čega</w:t>
      </w:r>
      <w:r w:rsidR="00FD08E9">
        <w:t xml:space="preserve"> </w:t>
      </w:r>
      <w:r w:rsidRPr="001B4CA2">
        <w:t>34 osuđujuće (od toga 24 po sporazumu stranaka) te 1 oslobađajuću presudu. Izrečeno je 9 kazni zatvora, od kojih je 5</w:t>
      </w:r>
      <w:r w:rsidR="00FD08E9">
        <w:t xml:space="preserve"> </w:t>
      </w:r>
      <w:r w:rsidRPr="001B4CA2">
        <w:t xml:space="preserve">zamijenjeno radom za opće dobro na slobodi te </w:t>
      </w:r>
      <w:r w:rsidR="004134EB">
        <w:t>je</w:t>
      </w:r>
      <w:r w:rsidRPr="001B4CA2">
        <w:t xml:space="preserve"> izrečen</w:t>
      </w:r>
      <w:r w:rsidR="004134EB">
        <w:t>o</w:t>
      </w:r>
      <w:r w:rsidRPr="001B4CA2">
        <w:t xml:space="preserve"> 25 uvjetnih osuda. </w:t>
      </w:r>
    </w:p>
    <w:p w14:paraId="022DBA77" w14:textId="77777777" w:rsidR="009A7C7B" w:rsidRPr="001B4CA2" w:rsidRDefault="009A7C7B" w:rsidP="009A7C7B">
      <w:pPr>
        <w:tabs>
          <w:tab w:val="left" w:pos="1951"/>
          <w:tab w:val="right" w:leader="dot" w:pos="9062"/>
        </w:tabs>
        <w:ind w:firstLine="709"/>
      </w:pPr>
    </w:p>
    <w:p w14:paraId="2F57098D" w14:textId="720B3B8B" w:rsidR="009A7C7B" w:rsidRPr="001B4CA2" w:rsidRDefault="009A7C7B" w:rsidP="009A7C7B">
      <w:pPr>
        <w:tabs>
          <w:tab w:val="left" w:pos="1951"/>
          <w:tab w:val="right" w:leader="dot" w:pos="9062"/>
        </w:tabs>
        <w:ind w:firstLine="709"/>
      </w:pPr>
      <w:r w:rsidRPr="001B4CA2">
        <w:t>Za kazneno djelo iz članka 295. stavka 1. Kaznenog zakona/11 sudovi su donijeli presuda protiv 11 osoba, od čega 10</w:t>
      </w:r>
      <w:r w:rsidR="00FD08E9">
        <w:t xml:space="preserve"> </w:t>
      </w:r>
      <w:r w:rsidRPr="001B4CA2">
        <w:t>osuđujućih (od toga 4 po sporazumu stranaka) te 1 oslobađajuću presudu. Izrečene su 2 kazne zatvora i obje su zamijenjene radom za opće dobro na slobodi te je izrečeno 8 uvjetnih osuda.</w:t>
      </w:r>
    </w:p>
    <w:p w14:paraId="3916210B" w14:textId="77777777" w:rsidR="009A7C7B" w:rsidRPr="001B4CA2" w:rsidRDefault="009A7C7B" w:rsidP="009A7C7B">
      <w:pPr>
        <w:tabs>
          <w:tab w:val="left" w:pos="1951"/>
          <w:tab w:val="right" w:leader="dot" w:pos="9062"/>
        </w:tabs>
        <w:ind w:firstLine="709"/>
      </w:pPr>
    </w:p>
    <w:p w14:paraId="20FE8408" w14:textId="572471F2" w:rsidR="009A7C7B" w:rsidRPr="001B4CA2" w:rsidRDefault="009A7C7B" w:rsidP="009A7C7B">
      <w:pPr>
        <w:tabs>
          <w:tab w:val="left" w:pos="1951"/>
          <w:tab w:val="right" w:leader="dot" w:pos="9062"/>
        </w:tabs>
        <w:ind w:firstLine="709"/>
      </w:pPr>
      <w:r w:rsidRPr="001B4CA2">
        <w:t>U izvještajnom razdoblju u odnosu na kazneno djelo iz članka 293. stavak 1. Kaznenog zakona/11 podneseno je ukupno 5 žalbi, od kojih 1 zbog osnova različitih od kazne, a 4 zbog kazne i drugih razloga, u odnosu na kazneno djelo iz članka 294. stavka 1. Kaznenog zakona/11 podnesena je 1 žalba</w:t>
      </w:r>
      <w:r w:rsidR="004134EB">
        <w:t>,</w:t>
      </w:r>
      <w:r w:rsidRPr="001B4CA2">
        <w:t xml:space="preserve"> i to zbog osnova različitih od kazne, a u odnosu na kazneno djelo iz članka 295. stavka 1. Kaznenog zakona/11 podneseno je ukupno 5 žalbi</w:t>
      </w:r>
      <w:r w:rsidR="004134EB">
        <w:t>,</w:t>
      </w:r>
      <w:r w:rsidRPr="001B4CA2">
        <w:t xml:space="preserve"> od čega 4 zbog odluke o kaznenoj sankciji, a 1 zbog osnova različitih od kazne. </w:t>
      </w:r>
    </w:p>
    <w:p w14:paraId="07179078" w14:textId="77777777" w:rsidR="00D3013F" w:rsidRPr="001B4CA2" w:rsidRDefault="00D3013F" w:rsidP="006262C8">
      <w:pPr>
        <w:rPr>
          <w:rFonts w:eastAsia="Times New Roman"/>
          <w:lang w:eastAsia="hr-HR"/>
        </w:rPr>
      </w:pPr>
    </w:p>
    <w:p w14:paraId="0AC8654F" w14:textId="449DC91F" w:rsidR="0042388C" w:rsidRPr="001B4CA2" w:rsidRDefault="0042388C" w:rsidP="00955E23">
      <w:pPr>
        <w:pStyle w:val="Naslov4"/>
        <w:tabs>
          <w:tab w:val="left" w:pos="1134"/>
        </w:tabs>
        <w:rPr>
          <w:rFonts w:ascii="Arial" w:hAnsi="Arial" w:cs="Arial"/>
        </w:rPr>
      </w:pPr>
      <w:bookmarkStart w:id="153" w:name="_Toc133394383"/>
      <w:r w:rsidRPr="001B4CA2">
        <w:rPr>
          <w:rFonts w:ascii="Arial" w:hAnsi="Arial" w:cs="Arial"/>
        </w:rPr>
        <w:t>Kazneno djelo zlouporabe položaja i ovlasti</w:t>
      </w:r>
      <w:bookmarkEnd w:id="153"/>
    </w:p>
    <w:p w14:paraId="36D52ADB" w14:textId="77777777" w:rsidR="00D3013F" w:rsidRPr="001B4CA2" w:rsidRDefault="00D3013F" w:rsidP="0042388C">
      <w:pPr>
        <w:rPr>
          <w:rFonts w:eastAsia="Times New Roman"/>
          <w:lang w:eastAsia="hr-HR"/>
        </w:rPr>
      </w:pPr>
    </w:p>
    <w:p w14:paraId="0E3C7396" w14:textId="2C342AFB" w:rsidR="009A7C7B" w:rsidRPr="001B4CA2" w:rsidRDefault="009A7C7B" w:rsidP="009A7C7B">
      <w:pPr>
        <w:ind w:firstLine="708"/>
        <w:rPr>
          <w:rFonts w:eastAsia="Times New Roman"/>
          <w:lang w:eastAsia="hr-HR"/>
        </w:rPr>
      </w:pPr>
      <w:r w:rsidRPr="001B4CA2">
        <w:rPr>
          <w:rFonts w:eastAsia="Times New Roman"/>
          <w:lang w:eastAsia="hr-HR"/>
        </w:rPr>
        <w:t>Za kazneno djelo zlouporabe položaja i ovlasti iz članka 291. st. 1. i 2. Kaznenog zakona/11</w:t>
      </w:r>
      <w:r w:rsidR="00FD08E9">
        <w:rPr>
          <w:rFonts w:eastAsia="Times New Roman"/>
          <w:lang w:eastAsia="hr-HR"/>
        </w:rPr>
        <w:t xml:space="preserve"> </w:t>
      </w:r>
      <w:r w:rsidRPr="001B4CA2">
        <w:rPr>
          <w:rFonts w:eastAsia="Times New Roman"/>
          <w:lang w:eastAsia="hr-HR"/>
        </w:rPr>
        <w:t>zaprimljene su prijave protiv 1</w:t>
      </w:r>
      <w:r w:rsidR="004134EB">
        <w:rPr>
          <w:rFonts w:eastAsia="Times New Roman"/>
          <w:lang w:eastAsia="hr-HR"/>
        </w:rPr>
        <w:t>.</w:t>
      </w:r>
      <w:r w:rsidRPr="001B4CA2">
        <w:rPr>
          <w:rFonts w:eastAsia="Times New Roman"/>
          <w:lang w:eastAsia="hr-HR"/>
        </w:rPr>
        <w:t>028 osobe.</w:t>
      </w:r>
    </w:p>
    <w:p w14:paraId="402B0B72" w14:textId="77777777" w:rsidR="009A7C7B" w:rsidRPr="001B4CA2" w:rsidRDefault="009A7C7B" w:rsidP="009A7C7B">
      <w:pPr>
        <w:ind w:firstLine="708"/>
        <w:rPr>
          <w:rFonts w:eastAsia="Times New Roman"/>
          <w:lang w:eastAsia="hr-HR"/>
        </w:rPr>
      </w:pPr>
    </w:p>
    <w:p w14:paraId="4E62F8F8" w14:textId="77777777" w:rsidR="009A7C7B" w:rsidRPr="001B4CA2" w:rsidRDefault="009A7C7B" w:rsidP="009A7C7B">
      <w:pPr>
        <w:ind w:firstLine="708"/>
        <w:rPr>
          <w:rFonts w:eastAsia="Times New Roman"/>
          <w:lang w:eastAsia="hr-HR"/>
        </w:rPr>
      </w:pPr>
      <w:r w:rsidRPr="001B4CA2">
        <w:rPr>
          <w:rFonts w:eastAsia="Times New Roman"/>
          <w:lang w:eastAsia="hr-HR"/>
        </w:rPr>
        <w:t>Struktura kaznenih prijava za kazneno djelo iz članka 291. Kaznenog zakona/11 u izvještajnom razdoblju:</w:t>
      </w:r>
    </w:p>
    <w:p w14:paraId="45F612CB" w14:textId="77777777" w:rsidR="009A7C7B" w:rsidRPr="001B4CA2" w:rsidRDefault="009A7C7B" w:rsidP="009A7C7B">
      <w:pPr>
        <w:ind w:firstLine="708"/>
        <w:rPr>
          <w:rFonts w:eastAsia="Times New Roman"/>
          <w:lang w:eastAsia="hr-HR"/>
        </w:rPr>
      </w:pPr>
    </w:p>
    <w:p w14:paraId="0C3BC147" w14:textId="77777777" w:rsidR="009A7C7B" w:rsidRPr="001B4CA2" w:rsidRDefault="009A7C7B" w:rsidP="009A7C7B">
      <w:pPr>
        <w:numPr>
          <w:ilvl w:val="0"/>
          <w:numId w:val="17"/>
        </w:numPr>
        <w:rPr>
          <w:rFonts w:eastAsia="Times New Roman"/>
          <w:color w:val="000000" w:themeColor="text1"/>
          <w:lang w:eastAsia="hr-HR"/>
        </w:rPr>
      </w:pPr>
      <w:r w:rsidRPr="001B4CA2">
        <w:rPr>
          <w:rFonts w:eastAsia="Times New Roman"/>
          <w:lang w:eastAsia="hr-HR"/>
        </w:rPr>
        <w:t xml:space="preserve">za kazneno djelo iz članka 291. stavak 1. Kaznenog zakona – 639 prijava </w:t>
      </w:r>
    </w:p>
    <w:p w14:paraId="0973326D" w14:textId="51B2B066" w:rsidR="009A7C7B" w:rsidRPr="000268FF" w:rsidRDefault="009A7C7B" w:rsidP="009A7C7B">
      <w:pPr>
        <w:numPr>
          <w:ilvl w:val="0"/>
          <w:numId w:val="17"/>
        </w:numPr>
        <w:rPr>
          <w:rFonts w:eastAsia="Times New Roman"/>
          <w:color w:val="000000" w:themeColor="text1"/>
          <w:lang w:eastAsia="hr-HR"/>
        </w:rPr>
      </w:pPr>
      <w:r w:rsidRPr="001B4CA2">
        <w:rPr>
          <w:rFonts w:eastAsia="Times New Roman"/>
          <w:color w:val="000000" w:themeColor="text1"/>
          <w:lang w:eastAsia="hr-HR"/>
        </w:rPr>
        <w:t>za kazneno djelo iz članka 291. stavak 2. Kaznenog zakona – 389 prijava</w:t>
      </w:r>
      <w:r w:rsidR="004134EB">
        <w:rPr>
          <w:rFonts w:eastAsia="Times New Roman"/>
          <w:color w:val="000000" w:themeColor="text1"/>
          <w:lang w:eastAsia="hr-HR"/>
        </w:rPr>
        <w:t>.</w:t>
      </w:r>
      <w:r w:rsidRPr="001B4CA2">
        <w:rPr>
          <w:rFonts w:eastAsia="Times New Roman"/>
          <w:color w:val="000000" w:themeColor="text1"/>
          <w:lang w:eastAsia="hr-HR"/>
        </w:rPr>
        <w:t xml:space="preserve"> </w:t>
      </w:r>
    </w:p>
    <w:p w14:paraId="0A03FCEC" w14:textId="11AFC0FE" w:rsidR="009A7C7B" w:rsidRPr="001B4CA2" w:rsidRDefault="009A7C7B" w:rsidP="009A7C7B">
      <w:pPr>
        <w:ind w:firstLine="708"/>
        <w:rPr>
          <w:rFonts w:eastAsia="Times New Roman"/>
          <w:lang w:eastAsia="hr-HR"/>
        </w:rPr>
      </w:pPr>
      <w:r w:rsidRPr="001B4CA2">
        <w:rPr>
          <w:rFonts w:eastAsia="Times New Roman"/>
          <w:lang w:eastAsia="hr-HR"/>
        </w:rPr>
        <w:t>Za kazneno djelo iz članka 291. Kaznenog zakona/11 donesen</w:t>
      </w:r>
      <w:r w:rsidR="004134EB">
        <w:rPr>
          <w:rFonts w:eastAsia="Times New Roman"/>
          <w:lang w:eastAsia="hr-HR"/>
        </w:rPr>
        <w:t>a</w:t>
      </w:r>
      <w:r w:rsidRPr="001B4CA2">
        <w:rPr>
          <w:rFonts w:eastAsia="Times New Roman"/>
          <w:lang w:eastAsia="hr-HR"/>
        </w:rPr>
        <w:t xml:space="preserve"> </w:t>
      </w:r>
      <w:r w:rsidR="004134EB">
        <w:rPr>
          <w:rFonts w:eastAsia="Times New Roman"/>
          <w:lang w:eastAsia="hr-HR"/>
        </w:rPr>
        <w:t>su</w:t>
      </w:r>
      <w:r w:rsidRPr="001B4CA2">
        <w:rPr>
          <w:rFonts w:eastAsia="Times New Roman"/>
          <w:lang w:eastAsia="hr-HR"/>
        </w:rPr>
        <w:t xml:space="preserve"> rješenja o odbačaju kaznene prijave u odnosu na 933 osobe. Protiv 95 osoba </w:t>
      </w:r>
      <w:r w:rsidR="004134EB" w:rsidRPr="001B4CA2">
        <w:rPr>
          <w:rFonts w:eastAsia="Times New Roman"/>
          <w:lang w:eastAsia="hr-HR"/>
        </w:rPr>
        <w:t xml:space="preserve">doneseno </w:t>
      </w:r>
      <w:r w:rsidRPr="001B4CA2">
        <w:rPr>
          <w:rFonts w:eastAsia="Times New Roman"/>
          <w:lang w:eastAsia="hr-HR"/>
        </w:rPr>
        <w:t>je rješenje o provođenju istrage.</w:t>
      </w:r>
      <w:r w:rsidR="00FD08E9">
        <w:rPr>
          <w:rFonts w:eastAsia="Times New Roman"/>
          <w:lang w:eastAsia="hr-HR"/>
        </w:rPr>
        <w:t xml:space="preserve"> </w:t>
      </w:r>
      <w:r w:rsidRPr="001B4CA2">
        <w:rPr>
          <w:rFonts w:eastAsia="Times New Roman"/>
          <w:lang w:eastAsia="hr-HR"/>
        </w:rPr>
        <w:t xml:space="preserve">Nakon završene istrage podignuto je optužnica protiv 114 osoba, dok je u odnosu na 8 osoba doneseno rješenje o obustavi istrage. </w:t>
      </w:r>
    </w:p>
    <w:p w14:paraId="560A9498" w14:textId="77777777" w:rsidR="009A7C7B" w:rsidRPr="001B4CA2" w:rsidRDefault="009A7C7B" w:rsidP="009A7C7B">
      <w:pPr>
        <w:rPr>
          <w:rFonts w:eastAsia="Times New Roman"/>
          <w:lang w:eastAsia="hr-HR"/>
        </w:rPr>
      </w:pPr>
    </w:p>
    <w:p w14:paraId="6EF36129" w14:textId="7E67A376" w:rsidR="009A7C7B" w:rsidRPr="001B4CA2" w:rsidRDefault="009A7C7B" w:rsidP="009A7C7B">
      <w:pPr>
        <w:ind w:firstLine="708"/>
        <w:rPr>
          <w:rFonts w:eastAsia="Times New Roman"/>
          <w:lang w:eastAsia="hr-HR"/>
        </w:rPr>
      </w:pPr>
      <w:r w:rsidRPr="001B4CA2">
        <w:rPr>
          <w:rFonts w:eastAsia="Times New Roman"/>
          <w:lang w:eastAsia="hr-HR"/>
        </w:rPr>
        <w:t>Sudovi su za kazneno djelo zlouporabe položaja i ovlasti iz članka 291. Kaznenog zakona/11 iz nadležnosti Ureda za suzbijanje korupcije i organiziranog kriminaliteta donijeli osuđujućih presuda u odnosu na 64 osobe</w:t>
      </w:r>
      <w:r w:rsidR="004134EB">
        <w:rPr>
          <w:rFonts w:eastAsia="Times New Roman"/>
          <w:lang w:eastAsia="hr-HR"/>
        </w:rPr>
        <w:t>,</w:t>
      </w:r>
      <w:r w:rsidRPr="001B4CA2">
        <w:rPr>
          <w:rFonts w:eastAsia="Times New Roman"/>
          <w:lang w:eastAsia="hr-HR"/>
        </w:rPr>
        <w:t xml:space="preserve"> </w:t>
      </w:r>
      <w:r w:rsidRPr="001B4CA2">
        <w:rPr>
          <w:rFonts w:eastAsia="Times New Roman"/>
          <w:color w:val="000000" w:themeColor="text1"/>
          <w:lang w:eastAsia="hr-HR"/>
        </w:rPr>
        <w:t>od čega je 26</w:t>
      </w:r>
      <w:r w:rsidRPr="001B4CA2">
        <w:rPr>
          <w:rFonts w:eastAsia="Times New Roman"/>
          <w:lang w:eastAsia="hr-HR"/>
        </w:rPr>
        <w:t xml:space="preserve"> presuda na temelju sporazuma stranaka.</w:t>
      </w:r>
      <w:r w:rsidRPr="001B4CA2">
        <w:rPr>
          <w:rFonts w:eastAsia="Times New Roman"/>
          <w:color w:val="000000" w:themeColor="text1"/>
          <w:lang w:eastAsia="hr-HR"/>
        </w:rPr>
        <w:t xml:space="preserve"> </w:t>
      </w:r>
      <w:r w:rsidRPr="001B4CA2">
        <w:rPr>
          <w:rFonts w:eastAsia="Times New Roman"/>
          <w:lang w:eastAsia="hr-HR"/>
        </w:rPr>
        <w:t xml:space="preserve">Od ukupnog broja osuđujućih presuda u odnosu na 36 osoba </w:t>
      </w:r>
      <w:r w:rsidR="004134EB" w:rsidRPr="001B4CA2">
        <w:rPr>
          <w:rFonts w:eastAsia="Times New Roman"/>
          <w:lang w:eastAsia="hr-HR"/>
        </w:rPr>
        <w:t xml:space="preserve">izrečena </w:t>
      </w:r>
      <w:r w:rsidRPr="001B4CA2">
        <w:rPr>
          <w:rFonts w:eastAsia="Times New Roman"/>
          <w:lang w:eastAsia="hr-HR"/>
        </w:rPr>
        <w:t>je kazna zatvora,</w:t>
      </w:r>
      <w:r w:rsidRPr="001B4CA2">
        <w:rPr>
          <w:rFonts w:eastAsia="Times New Roman"/>
          <w:color w:val="000000" w:themeColor="text1"/>
          <w:lang w:eastAsia="hr-HR"/>
        </w:rPr>
        <w:t xml:space="preserve"> </w:t>
      </w:r>
      <w:r w:rsidRPr="001B4CA2">
        <w:rPr>
          <w:rFonts w:eastAsia="Times New Roman"/>
          <w:lang w:eastAsia="hr-HR"/>
        </w:rPr>
        <w:t xml:space="preserve">u odnosu na 10 osoba kazna zatvora </w:t>
      </w:r>
      <w:r w:rsidR="004134EB" w:rsidRPr="001B4CA2">
        <w:rPr>
          <w:rFonts w:eastAsia="Times New Roman"/>
          <w:lang w:eastAsia="hr-HR"/>
        </w:rPr>
        <w:lastRenderedPageBreak/>
        <w:t xml:space="preserve">zamijenjena </w:t>
      </w:r>
      <w:r w:rsidRPr="001B4CA2">
        <w:rPr>
          <w:rFonts w:eastAsia="Times New Roman"/>
          <w:lang w:eastAsia="hr-HR"/>
        </w:rPr>
        <w:t>je radom za opće dobro na slobodi.</w:t>
      </w:r>
      <w:r w:rsidRPr="001B4CA2">
        <w:rPr>
          <w:rFonts w:eastAsia="Times New Roman"/>
          <w:color w:val="000000" w:themeColor="text1"/>
          <w:lang w:eastAsia="hr-HR"/>
        </w:rPr>
        <w:t xml:space="preserve"> Novčana kazna izrečena je 1 osobi. </w:t>
      </w:r>
      <w:r w:rsidRPr="001B4CA2">
        <w:rPr>
          <w:rFonts w:eastAsia="Times New Roman"/>
          <w:lang w:eastAsia="hr-HR"/>
        </w:rPr>
        <w:t>U odnosu na 27 osoba sudovi su izrekli uvjetnu osudu.</w:t>
      </w:r>
      <w:r w:rsidRPr="001B4CA2">
        <w:rPr>
          <w:rFonts w:eastAsia="Times New Roman"/>
          <w:color w:val="000000" w:themeColor="text1"/>
          <w:lang w:eastAsia="hr-HR"/>
        </w:rPr>
        <w:t xml:space="preserve"> Oslobađajuća presuda </w:t>
      </w:r>
      <w:r w:rsidR="004134EB" w:rsidRPr="001B4CA2">
        <w:rPr>
          <w:rFonts w:eastAsia="Times New Roman"/>
          <w:color w:val="000000" w:themeColor="text1"/>
          <w:lang w:eastAsia="hr-HR"/>
        </w:rPr>
        <w:t xml:space="preserve">donesena </w:t>
      </w:r>
      <w:r w:rsidRPr="001B4CA2">
        <w:rPr>
          <w:rFonts w:eastAsia="Times New Roman"/>
          <w:color w:val="000000" w:themeColor="text1"/>
          <w:lang w:eastAsia="hr-HR"/>
        </w:rPr>
        <w:t xml:space="preserve">je u odnosu na 9 osoba, dok je u odnosu na 3 osobe donesena odbijajuća presuda. </w:t>
      </w:r>
      <w:r w:rsidRPr="001B4CA2">
        <w:rPr>
          <w:rFonts w:eastAsia="Times New Roman"/>
          <w:lang w:eastAsia="hr-HR"/>
        </w:rPr>
        <w:t>Podneseno je 10 žalbi</w:t>
      </w:r>
      <w:r w:rsidR="004134EB">
        <w:rPr>
          <w:rFonts w:eastAsia="Times New Roman"/>
          <w:lang w:eastAsia="hr-HR"/>
        </w:rPr>
        <w:t>,</w:t>
      </w:r>
      <w:r w:rsidRPr="001B4CA2">
        <w:rPr>
          <w:rFonts w:eastAsia="Times New Roman"/>
          <w:lang w:eastAsia="hr-HR"/>
        </w:rPr>
        <w:t xml:space="preserve"> i to 20 zbog kazne, 11 žalbi zbog drugih razloga i 5 žalbi zbog odluke o kazni i drugih osnova.</w:t>
      </w:r>
      <w:r w:rsidR="00FD08E9">
        <w:rPr>
          <w:rFonts w:eastAsia="Times New Roman"/>
          <w:lang w:eastAsia="hr-HR"/>
        </w:rPr>
        <w:t xml:space="preserve"> </w:t>
      </w:r>
    </w:p>
    <w:p w14:paraId="09E348DA" w14:textId="77777777" w:rsidR="009A7C7B" w:rsidRPr="001B4CA2" w:rsidRDefault="009A7C7B" w:rsidP="009A7C7B">
      <w:pPr>
        <w:ind w:firstLine="708"/>
        <w:rPr>
          <w:rFonts w:eastAsia="Times New Roman"/>
          <w:strike/>
          <w:lang w:eastAsia="hr-HR"/>
        </w:rPr>
      </w:pPr>
    </w:p>
    <w:p w14:paraId="6F6E767C" w14:textId="025E5B66" w:rsidR="009A7C7B" w:rsidRPr="001B4CA2" w:rsidRDefault="009A7C7B" w:rsidP="009A7C7B">
      <w:pPr>
        <w:rPr>
          <w:rFonts w:eastAsia="Times New Roman"/>
          <w:lang w:eastAsia="hr-HR"/>
        </w:rPr>
      </w:pPr>
      <w:r w:rsidRPr="001B4CA2">
        <w:rPr>
          <w:rFonts w:eastAsia="Times New Roman"/>
          <w:lang w:eastAsia="hr-HR"/>
        </w:rPr>
        <w:tab/>
        <w:t>Kao i u prethodnom izvještajnom razdoblju</w:t>
      </w:r>
      <w:r w:rsidR="00FD08E9">
        <w:rPr>
          <w:rFonts w:eastAsia="Times New Roman"/>
          <w:lang w:eastAsia="hr-HR"/>
        </w:rPr>
        <w:t xml:space="preserve"> </w:t>
      </w:r>
      <w:r w:rsidRPr="001B4CA2">
        <w:rPr>
          <w:rFonts w:eastAsia="Times New Roman"/>
          <w:lang w:eastAsia="hr-HR"/>
        </w:rPr>
        <w:t>procesuirana je korupcija u raznim društvenim segmentima i na različitim razinama.</w:t>
      </w:r>
      <w:r w:rsidR="00FD08E9">
        <w:rPr>
          <w:rFonts w:eastAsia="Times New Roman"/>
          <w:lang w:eastAsia="hr-HR"/>
        </w:rPr>
        <w:t xml:space="preserve"> </w:t>
      </w:r>
    </w:p>
    <w:p w14:paraId="7BC46216" w14:textId="77777777" w:rsidR="009A7C7B" w:rsidRPr="001B4CA2" w:rsidRDefault="009A7C7B" w:rsidP="009A7C7B">
      <w:pPr>
        <w:ind w:firstLine="708"/>
        <w:rPr>
          <w:rFonts w:eastAsia="Times New Roman"/>
          <w:lang w:eastAsia="hr-HR"/>
        </w:rPr>
      </w:pPr>
    </w:p>
    <w:p w14:paraId="37F3EDB0" w14:textId="0F251C18" w:rsidR="009A7C7B" w:rsidRPr="001B4CA2" w:rsidRDefault="009A7C7B" w:rsidP="009A7C7B">
      <w:pPr>
        <w:ind w:firstLine="708"/>
      </w:pPr>
      <w:r w:rsidRPr="001B4CA2">
        <w:t>Tako su nakon završene istrage protiv državne tajnice u Ministarstvu uprave i drugih visokopozicioniranih osoba u ministarstvima (bivše ministrice, pomoćnika ministara, glavnih tajnika), čelnika državnih agencija i državnih tvrtki</w:t>
      </w:r>
      <w:r w:rsidR="004134EB">
        <w:t xml:space="preserve"> te</w:t>
      </w:r>
      <w:r w:rsidRPr="001B4CA2">
        <w:t xml:space="preserve"> čelnika jedinica lokalne samouprave podignute dvije optužnice zbog kaznenih djela trgovanja utjecajem, primanja i davanja mita, zlouporabe položaja i ovlasti te primanja i davanja mita za trgovanje utjecajem. Na temelju rezultata pretraga elektroničkih podataka i s njima povezanih izvida u tom predmetu otvorena je i proširena istraga protiv još 8 osoba zbog kaznenih djela zlouporabe položaja i ovlasti, poticanja i pomaganja u zlouporabi, trgovanja utjecajem vezano za nezakonite isplate potpora/bespovratnih sredstava i nezakonitih zapošljavanja protiv tadašnja 2 ministra i potpredsjednika Vlade te jednog bivšeg ministra, pomoćnice</w:t>
      </w:r>
      <w:r w:rsidR="00FD08E9">
        <w:t xml:space="preserve"> </w:t>
      </w:r>
      <w:r w:rsidRPr="001B4CA2">
        <w:t xml:space="preserve">i pomoćnika ministra, od kojih je protiv jednog tada aktualnog ministra bio određen istražni zatvor. I u ovom je </w:t>
      </w:r>
      <w:r w:rsidR="004134EB" w:rsidRPr="001B4CA2">
        <w:t xml:space="preserve">predmetu </w:t>
      </w:r>
      <w:r w:rsidRPr="001B4CA2">
        <w:t xml:space="preserve">podignuta optužnica. Tako su po okončanju </w:t>
      </w:r>
      <w:r w:rsidR="004134EB">
        <w:t>naprijed</w:t>
      </w:r>
      <w:r w:rsidRPr="001B4CA2">
        <w:t xml:space="preserve"> navedenih istraga u ovom izvještajnom razdoblju podignute 3 optužnice protiv ukupno 41</w:t>
      </w:r>
      <w:r w:rsidRPr="001B4CA2">
        <w:rPr>
          <w:b/>
        </w:rPr>
        <w:t xml:space="preserve"> </w:t>
      </w:r>
      <w:r w:rsidRPr="001B4CA2">
        <w:t xml:space="preserve">osobe te je doneseno 12 osuđujućih presuda. </w:t>
      </w:r>
    </w:p>
    <w:p w14:paraId="23F250FB" w14:textId="77777777" w:rsidR="009A7C7B" w:rsidRPr="001B4CA2" w:rsidRDefault="009A7C7B" w:rsidP="009A7C7B">
      <w:pPr>
        <w:ind w:firstLine="708"/>
      </w:pPr>
    </w:p>
    <w:p w14:paraId="22197112" w14:textId="07DD95F0" w:rsidR="009A7C7B" w:rsidRPr="001B4CA2" w:rsidRDefault="009A7C7B" w:rsidP="009A7C7B">
      <w:pPr>
        <w:ind w:firstLine="708"/>
      </w:pPr>
      <w:r w:rsidRPr="001B4CA2">
        <w:t xml:space="preserve">Podignuta je optužnica zbog kaznenog djela zlouporabe položaja i ovlasti te nezakonitog pogodovanja protiv </w:t>
      </w:r>
      <w:r w:rsidRPr="001B4CA2">
        <w:rPr>
          <w:color w:val="181818"/>
        </w:rPr>
        <w:t>tadašnjeg ravnatelja Hrvatskog zavoda za zdravstveno osiguranje koji je kasnije obnašao funkciju ministra zdravstva</w:t>
      </w:r>
      <w:r w:rsidRPr="001B4CA2">
        <w:t xml:space="preserve">. </w:t>
      </w:r>
    </w:p>
    <w:p w14:paraId="451388BE" w14:textId="77777777" w:rsidR="009A7C7B" w:rsidRPr="001B4CA2" w:rsidRDefault="009A7C7B" w:rsidP="009A7C7B">
      <w:pPr>
        <w:ind w:firstLine="708"/>
      </w:pPr>
    </w:p>
    <w:p w14:paraId="1971CCA0" w14:textId="11F9DA4D" w:rsidR="009A7C7B" w:rsidRPr="001B4CA2" w:rsidRDefault="009A7C7B" w:rsidP="009A7C7B">
      <w:pPr>
        <w:ind w:firstLine="708"/>
      </w:pPr>
      <w:r w:rsidRPr="001B4CA2">
        <w:t xml:space="preserve">Podignuta </w:t>
      </w:r>
      <w:r w:rsidR="004134EB">
        <w:t xml:space="preserve">je </w:t>
      </w:r>
      <w:r w:rsidRPr="001B4CA2">
        <w:t>optužnica protiv jednog župana</w:t>
      </w:r>
      <w:r w:rsidRPr="001B4CA2">
        <w:rPr>
          <w:color w:val="181818"/>
        </w:rPr>
        <w:t xml:space="preserve"> </w:t>
      </w:r>
      <w:r w:rsidRPr="001B4CA2">
        <w:t xml:space="preserve">i više drugih osoba zbog počinjenja kaznenih djela trgovanja utjecajem, davanja mita za trgovanje utjecajem i zlouporabe položaja i ovlasti. </w:t>
      </w:r>
    </w:p>
    <w:p w14:paraId="3DC3C34F" w14:textId="77777777" w:rsidR="009A7C7B" w:rsidRPr="001B4CA2" w:rsidRDefault="009A7C7B" w:rsidP="009A7C7B">
      <w:pPr>
        <w:ind w:firstLine="708"/>
      </w:pPr>
    </w:p>
    <w:p w14:paraId="1A28757C" w14:textId="3938767E" w:rsidR="009A7C7B" w:rsidRPr="001B4CA2" w:rsidRDefault="009A7C7B" w:rsidP="009A7C7B">
      <w:pPr>
        <w:ind w:firstLine="708"/>
      </w:pPr>
      <w:r w:rsidRPr="001B4CA2">
        <w:t>Također je podignuta optužnica z</w:t>
      </w:r>
      <w:r w:rsidRPr="001B4CA2">
        <w:rPr>
          <w:color w:val="181818"/>
        </w:rPr>
        <w:t xml:space="preserve">bog kaznenih djela primanja i davanja mita, nezakonitog pogodovanja i dr. protiv više osoba, među kojima i protiv predsjednika uprave jednog trgovačkog društva od strateške važnosti za Republiku Hrvatsku vezano za manipulacije </w:t>
      </w:r>
      <w:r w:rsidRPr="001B4CA2">
        <w:t>velikim brojem postupaka javne nabave u okviru tog društva</w:t>
      </w:r>
      <w:r w:rsidR="004134EB">
        <w:t>,</w:t>
      </w:r>
      <w:r w:rsidRPr="001B4CA2">
        <w:t xml:space="preserve"> pri čemu su isplaćeni višemilijunski iznosi mita. </w:t>
      </w:r>
    </w:p>
    <w:p w14:paraId="1D2FC9FA" w14:textId="77777777" w:rsidR="009A7C7B" w:rsidRPr="001B4CA2" w:rsidRDefault="009A7C7B" w:rsidP="009A7C7B">
      <w:pPr>
        <w:ind w:firstLine="708"/>
      </w:pPr>
    </w:p>
    <w:p w14:paraId="16C2306E" w14:textId="4F2612D1" w:rsidR="009A7C7B" w:rsidRDefault="009A7C7B" w:rsidP="0020162B">
      <w:pPr>
        <w:ind w:firstLine="708"/>
      </w:pPr>
      <w:r w:rsidRPr="001B4CA2">
        <w:t xml:space="preserve">Nadalje, tijekom izvještajnog razdoblja otvorena je istraga protiv više osoba zbog organizirane utaje poreza i carina, ali i primanja i davanja mita vezano za dobivanje poslova u državnoj elektroenergetskoj </w:t>
      </w:r>
      <w:r w:rsidR="0020162B" w:rsidRPr="001B4CA2">
        <w:t>tvrtki</w:t>
      </w:r>
      <w:r w:rsidRPr="001B4CA2">
        <w:t xml:space="preserve"> od stratešk</w:t>
      </w:r>
      <w:r w:rsidR="004134EB">
        <w:t>e važnosti</w:t>
      </w:r>
      <w:r w:rsidRPr="001B4CA2">
        <w:t>.</w:t>
      </w:r>
      <w:r w:rsidR="00FD08E9">
        <w:t xml:space="preserve"> </w:t>
      </w:r>
    </w:p>
    <w:p w14:paraId="02ACCCFF" w14:textId="77777777" w:rsidR="000268FF" w:rsidRPr="001B4CA2" w:rsidRDefault="000268FF" w:rsidP="0020162B">
      <w:pPr>
        <w:ind w:firstLine="708"/>
      </w:pPr>
    </w:p>
    <w:p w14:paraId="32C8BC6F" w14:textId="3C336976" w:rsidR="009A7C7B" w:rsidRPr="001B4CA2" w:rsidRDefault="009A7C7B" w:rsidP="009A7C7B">
      <w:pPr>
        <w:shd w:val="clear" w:color="auto" w:fill="FFFFFF"/>
      </w:pPr>
      <w:r w:rsidRPr="001B4CA2">
        <w:tab/>
        <w:t>Procesuirana je i korupcija na lokalnoj razini. Tako je procesuirano više gradonačelnika, načelnika i pročelnika u jedinicama lokalne samouprave zbog</w:t>
      </w:r>
      <w:r w:rsidR="00FD08E9">
        <w:t xml:space="preserve"> </w:t>
      </w:r>
      <w:r w:rsidRPr="001B4CA2">
        <w:t xml:space="preserve">nezakonitog ozakonjenja nepostojećih i nelegalno izrađenih građevina, prisvajanja proračunskih sredstava, zapošljavanja, nezakonite dodjele poslova, dobivanja raznih dozvola i slično. </w:t>
      </w:r>
    </w:p>
    <w:p w14:paraId="59F1CB4F" w14:textId="77777777" w:rsidR="009A7C7B" w:rsidRPr="001B4CA2" w:rsidRDefault="009A7C7B" w:rsidP="009A7C7B">
      <w:pPr>
        <w:shd w:val="clear" w:color="auto" w:fill="FFFFFF"/>
      </w:pPr>
    </w:p>
    <w:p w14:paraId="2C117F80" w14:textId="3415BDB1" w:rsidR="009A7C7B" w:rsidRPr="001B4CA2" w:rsidRDefault="009A7C7B" w:rsidP="009A7C7B">
      <w:pPr>
        <w:shd w:val="clear" w:color="auto" w:fill="FFFFFF"/>
      </w:pPr>
      <w:r w:rsidRPr="001B4CA2">
        <w:lastRenderedPageBreak/>
        <w:tab/>
        <w:t xml:space="preserve">Procesuirana je korupcija u zatvorskom sustavu te policiji (među ostalim protiv nekoliko policijskih službenika i zbog odavanja tajnih podataka), kao i u carini, a podignuta je optužnica i protiv više poreznih službenika zbog kaznenih djela primanja i davanja mita te zlouporabe položaja i ovlasti. </w:t>
      </w:r>
    </w:p>
    <w:p w14:paraId="36551742" w14:textId="77777777" w:rsidR="009A7C7B" w:rsidRPr="001B4CA2" w:rsidRDefault="009A7C7B" w:rsidP="009A7C7B">
      <w:pPr>
        <w:shd w:val="clear" w:color="auto" w:fill="FFFFFF"/>
      </w:pPr>
    </w:p>
    <w:p w14:paraId="796A1CEF" w14:textId="486C7CEA" w:rsidR="009A7C7B" w:rsidRPr="001B4CA2" w:rsidRDefault="009A7C7B" w:rsidP="009A7C7B">
      <w:pPr>
        <w:shd w:val="clear" w:color="auto" w:fill="FFFFFF"/>
      </w:pPr>
      <w:r w:rsidRPr="001B4CA2">
        <w:tab/>
        <w:t xml:space="preserve">Procesuirana je i korupcija u zdravstvu povezana s pandemijom </w:t>
      </w:r>
      <w:r w:rsidR="004134EB">
        <w:t xml:space="preserve">virusa </w:t>
      </w:r>
      <w:r w:rsidRPr="001B4CA2">
        <w:t>C</w:t>
      </w:r>
      <w:r w:rsidR="004134EB">
        <w:t>OVID</w:t>
      </w:r>
      <w:r w:rsidRPr="001B4CA2">
        <w:t>-19. Tako je u jednom</w:t>
      </w:r>
      <w:r w:rsidR="00FD08E9">
        <w:t xml:space="preserve"> </w:t>
      </w:r>
      <w:r w:rsidRPr="001B4CA2">
        <w:t xml:space="preserve">predmetu pokrenuta istraga protiv velikog broja okrivljenika zbog kaznenih djela primanja i davanja mita, od kojih su neka počinjena u sastavu zločinačkog udruženja vezano za izdavanje lažnih </w:t>
      </w:r>
      <w:r w:rsidR="004134EB">
        <w:t>COVID-</w:t>
      </w:r>
      <w:r w:rsidRPr="001B4CA2">
        <w:t xml:space="preserve">potvrda necijepljenim osobama. Također je podignuta optužnica protiv medicinskog tehničara zbog primanja mita za </w:t>
      </w:r>
      <w:r w:rsidRPr="001B4CA2">
        <w:rPr>
          <w:color w:val="181818"/>
        </w:rPr>
        <w:t xml:space="preserve">pribavljanje pozitivnog nalaza na </w:t>
      </w:r>
      <w:r w:rsidR="004134EB">
        <w:rPr>
          <w:color w:val="181818"/>
        </w:rPr>
        <w:t>COVID</w:t>
      </w:r>
      <w:r w:rsidRPr="001B4CA2">
        <w:rPr>
          <w:color w:val="181818"/>
        </w:rPr>
        <w:t>-19 osuđeniku kako bi odgodio služenje zatvorske kazne.</w:t>
      </w:r>
    </w:p>
    <w:p w14:paraId="76E4F47B" w14:textId="77777777" w:rsidR="009A7C7B" w:rsidRPr="001B4CA2" w:rsidRDefault="009A7C7B" w:rsidP="009A7C7B">
      <w:pPr>
        <w:shd w:val="clear" w:color="auto" w:fill="FFFFFF"/>
      </w:pPr>
    </w:p>
    <w:p w14:paraId="48841608" w14:textId="0500E7F1" w:rsidR="009A7C7B" w:rsidRPr="001B4CA2" w:rsidRDefault="009A7C7B" w:rsidP="009A7C7B">
      <w:pPr>
        <w:shd w:val="clear" w:color="auto" w:fill="FFFFFF"/>
      </w:pPr>
      <w:r w:rsidRPr="001B4CA2">
        <w:tab/>
        <w:t>Procesuirana je korupcija u pravosuđu pa je tako proširena istraga protiv suca županijskog suda zbog kaznenog djela pranja novca, otvorena je istraga protiv sutkinje općinskog suda zbog primanja mita, a proširena je i istraga protiv zamjenice županijskog državnog odvjetnika zbog zlouporabe položaja i ovlasti. Također je podignuta optužnica protiv dvije sudske službenice zbog zlouporabe položaja i ovlasti odavanjem podataka o provođenju posebnih dokaznih radnji u jednom predmetu.</w:t>
      </w:r>
    </w:p>
    <w:p w14:paraId="0E4E1AC9" w14:textId="77777777" w:rsidR="009A7C7B" w:rsidRPr="001B4CA2" w:rsidRDefault="009A7C7B" w:rsidP="009A7C7B">
      <w:pPr>
        <w:shd w:val="clear" w:color="auto" w:fill="FFFFFF"/>
        <w:rPr>
          <w:rFonts w:eastAsia="Times New Roman"/>
          <w:color w:val="181818"/>
          <w:lang w:eastAsia="hr-HR"/>
        </w:rPr>
      </w:pPr>
    </w:p>
    <w:p w14:paraId="1CEBCDAA" w14:textId="55420D00" w:rsidR="000268FF" w:rsidRPr="00D272A4" w:rsidRDefault="009A7C7B" w:rsidP="00D272A4">
      <w:pPr>
        <w:ind w:firstLine="708"/>
      </w:pPr>
      <w:r w:rsidRPr="001B4CA2">
        <w:rPr>
          <w:color w:val="181818"/>
        </w:rPr>
        <w:t>U ovom izvještajnom razdoblju donesena je osuđujuća presude protiv</w:t>
      </w:r>
      <w:r w:rsidRPr="001B4CA2">
        <w:t xml:space="preserve"> bivše </w:t>
      </w:r>
      <w:proofErr w:type="spellStart"/>
      <w:r w:rsidRPr="001B4CA2">
        <w:t>županice</w:t>
      </w:r>
      <w:proofErr w:type="spellEnd"/>
      <w:r w:rsidRPr="001B4CA2">
        <w:t xml:space="preserve"> zbog više kaznenih djela zlouporabe položaja i ovlasti, primanja mita, pranja novca i dr., kojom je osuđena na zatvorsku kaznu. Također je na kaznu zatvora presuđen i bivši predstojnik Ureda predsjednika Vlade Republike Hrvatske, a na zatvorske kazne osuđene su i službene osobe Grada Zagreba, među kojima i bivši pročelnik gradskog Ureda, koje su zlouporabom položaja i ovlasti Grad Zagreb oštetile za višemilijunski iznos. Nadalje, povodom žalbe Ureda drugostupanjski </w:t>
      </w:r>
      <w:r w:rsidR="00876F16" w:rsidRPr="001B4CA2">
        <w:t xml:space="preserve">je </w:t>
      </w:r>
      <w:r w:rsidRPr="001B4CA2">
        <w:t>sud preinačio prvostupanjsku presudu bivšem saborskom zastupniku te mu je, umjesto rada za opće dobro na slobodi, izrekao bezuvjetnu kaznu zatvora.</w:t>
      </w:r>
      <w:r w:rsidR="00FD08E9">
        <w:t xml:space="preserve"> </w:t>
      </w:r>
      <w:r w:rsidRPr="001B4CA2">
        <w:t xml:space="preserve">Tijekom ovog izvještajnog razdoblja pravomoćno je presuđena na zatvorsku kaznu bivša općinska državna odvjetnica zbog zlouporabe položaja i ovlasti i krivotvorenja službene isprave te joj je u povodu žalbe Ureda za suzbijanje korupcije i organiziranog kriminaliteta drugostupanjski sud izrekao kaznu zatvora u duljem trajanju. </w:t>
      </w:r>
    </w:p>
    <w:p w14:paraId="5EC5490A" w14:textId="77777777" w:rsidR="000268FF" w:rsidRPr="001B4CA2" w:rsidRDefault="000268FF" w:rsidP="006262C8">
      <w:pPr>
        <w:rPr>
          <w:rFonts w:eastAsia="Times New Roman"/>
          <w:lang w:eastAsia="hr-HR"/>
        </w:rPr>
      </w:pPr>
    </w:p>
    <w:p w14:paraId="64ADABE1" w14:textId="4F814D2D" w:rsidR="00BB4D48" w:rsidRPr="001B4CA2" w:rsidRDefault="00BB4D48" w:rsidP="00D8449C">
      <w:pPr>
        <w:pStyle w:val="Naslov3"/>
        <w:tabs>
          <w:tab w:val="left" w:pos="709"/>
          <w:tab w:val="left" w:pos="1418"/>
        </w:tabs>
        <w:ind w:left="0" w:firstLine="0"/>
        <w:rPr>
          <w:rFonts w:ascii="Arial" w:hAnsi="Arial" w:cs="Arial"/>
        </w:rPr>
      </w:pPr>
      <w:bookmarkStart w:id="154" w:name="_Toc133394384"/>
      <w:r w:rsidRPr="001B4CA2">
        <w:rPr>
          <w:rFonts w:ascii="Arial" w:hAnsi="Arial" w:cs="Arial"/>
        </w:rPr>
        <w:t>Kaznena djela ratnog profiterstva i kaznena djela iz proce</w:t>
      </w:r>
      <w:r w:rsidR="00CE234E" w:rsidRPr="001B4CA2">
        <w:rPr>
          <w:rFonts w:ascii="Arial" w:hAnsi="Arial" w:cs="Arial"/>
        </w:rPr>
        <w:t>sa pretvorbe i</w:t>
      </w:r>
      <w:r w:rsidR="00FD08E9">
        <w:rPr>
          <w:rFonts w:ascii="Arial" w:hAnsi="Arial" w:cs="Arial"/>
        </w:rPr>
        <w:t xml:space="preserve">  </w:t>
      </w:r>
      <w:r w:rsidR="00955E23" w:rsidRPr="001B4CA2">
        <w:rPr>
          <w:rFonts w:ascii="Arial" w:hAnsi="Arial" w:cs="Arial"/>
        </w:rPr>
        <w:tab/>
      </w:r>
      <w:r w:rsidR="00CE234E" w:rsidRPr="001B4CA2">
        <w:rPr>
          <w:rFonts w:ascii="Arial" w:hAnsi="Arial" w:cs="Arial"/>
        </w:rPr>
        <w:t>privatizacije</w:t>
      </w:r>
      <w:bookmarkEnd w:id="154"/>
    </w:p>
    <w:p w14:paraId="351748DF" w14:textId="77777777" w:rsidR="00935AC4" w:rsidRPr="001B4CA2" w:rsidRDefault="00935AC4" w:rsidP="00935AC4"/>
    <w:p w14:paraId="031E2762" w14:textId="57B518A3" w:rsidR="004954A2" w:rsidRPr="001B4CA2" w:rsidRDefault="00C922F1" w:rsidP="004954A2">
      <w:r w:rsidRPr="001B4CA2">
        <w:tab/>
      </w:r>
      <w:r w:rsidR="004954A2" w:rsidRPr="001B4CA2">
        <w:t>U ovoj izvještajnoj godini nije bilo novih prijava niti osuđujućih presuda u odnosu na predmete procesuirane primjenom Zakona o nezastarijevanju kaznenih djela ratnog profiterstva i kaznenih djela iz procesa pretvorbe i privatizacije (dalje u nastavku: Zakon).</w:t>
      </w:r>
    </w:p>
    <w:p w14:paraId="5F2CF714" w14:textId="77777777" w:rsidR="0020162B" w:rsidRPr="001B4CA2" w:rsidRDefault="0020162B" w:rsidP="004954A2"/>
    <w:p w14:paraId="36D98AA2" w14:textId="16350B87" w:rsidR="004954A2" w:rsidRPr="001B4CA2" w:rsidRDefault="004954A2" w:rsidP="004954A2">
      <w:r w:rsidRPr="001B4CA2">
        <w:tab/>
        <w:t>Međutim</w:t>
      </w:r>
      <w:r w:rsidR="00876F16">
        <w:t>,</w:t>
      </w:r>
      <w:r w:rsidRPr="001B4CA2">
        <w:t xml:space="preserve"> u jednom kaznenom predmet</w:t>
      </w:r>
      <w:r w:rsidR="00876F16">
        <w:t>u</w:t>
      </w:r>
      <w:r w:rsidRPr="001B4CA2">
        <w:t xml:space="preserve"> u kojem je podignuta optužnica zbog kaznenog djela iz članka 246. stavka 1. i 2. KZ/11 i članka 5. stavka 1. točke 6. Zakona o nezastarijevanju kaznenih djela ratnog profiterstva i kaznenih djela iz procesa pretvorbe i privatizacije Visoki kazneni sud Republike Hrvatske </w:t>
      </w:r>
      <w:r w:rsidR="00876F16" w:rsidRPr="001B4CA2">
        <w:t xml:space="preserve">odbio </w:t>
      </w:r>
      <w:r w:rsidRPr="001B4CA2">
        <w:t>je žalbu državnog odvjetnika i potvrdio rješenje optužnog vijeća prvostupanjskog suda o obustavi postupka.</w:t>
      </w:r>
    </w:p>
    <w:p w14:paraId="19882FD6" w14:textId="77777777" w:rsidR="0020162B" w:rsidRPr="001B4CA2" w:rsidRDefault="0020162B" w:rsidP="004954A2"/>
    <w:p w14:paraId="52A82CE3" w14:textId="77DD21F6" w:rsidR="004954A2" w:rsidRPr="001B4CA2" w:rsidRDefault="004954A2" w:rsidP="004954A2">
      <w:r w:rsidRPr="001B4CA2">
        <w:lastRenderedPageBreak/>
        <w:tab/>
        <w:t>Kao što je to objašnjeno i u prošlogodišnjem izvještaju o radu Državnog odvjetništva Republike Hrvatske</w:t>
      </w:r>
      <w:r w:rsidR="00876F16">
        <w:t>,</w:t>
      </w:r>
      <w:r w:rsidRPr="001B4CA2">
        <w:t xml:space="preserve"> negativne sudske odluke donose se zbog, u sudskoj praksi prihvaćenog, pravnog shvaćanja Ustavnog suda Republike Hrvatske izraženog u Odluci broj U-III-4149/2014, iz kojeg proizlazi da ne postoji mogućnost </w:t>
      </w:r>
      <w:r w:rsidR="00876F16" w:rsidRPr="001B4CA2">
        <w:t>procesuiranja</w:t>
      </w:r>
      <w:r w:rsidRPr="001B4CA2">
        <w:t xml:space="preserve"> kaznenih djela primjenom ovog Zakona ako je na dan stupanja na snagu promjene Ustava iz 2010. (16. lipnja 2010.) već nastupila zastara za osnovno kazneno djelo kao i zbog pravnog shvaćanja, izraženog u navedenoj Odluci Ustavnog suda Republike Hrvatske, u odnosu na članak 7. navedenog Zakona.</w:t>
      </w:r>
      <w:r w:rsidR="00FD08E9">
        <w:t xml:space="preserve"> </w:t>
      </w:r>
    </w:p>
    <w:p w14:paraId="4BA05B31" w14:textId="77777777" w:rsidR="0020162B" w:rsidRPr="001B4CA2" w:rsidRDefault="0020162B" w:rsidP="004954A2"/>
    <w:p w14:paraId="18CEEE9D" w14:textId="796CC7FC" w:rsidR="004954A2" w:rsidRPr="001B4CA2" w:rsidRDefault="004954A2" w:rsidP="004954A2">
      <w:r w:rsidRPr="001B4CA2">
        <w:tab/>
        <w:t>Što se tiče ostalih kaznenih predmet</w:t>
      </w:r>
      <w:r w:rsidR="00876F16">
        <w:t>a</w:t>
      </w:r>
      <w:r w:rsidRPr="001B4CA2">
        <w:t xml:space="preserve"> koji se odnose na primjenu ovog Zakona u tijeku su rasprave pred nadležnim sudovima.</w:t>
      </w:r>
    </w:p>
    <w:p w14:paraId="18875462" w14:textId="77777777" w:rsidR="0020162B" w:rsidRPr="001B4CA2" w:rsidRDefault="0020162B" w:rsidP="004954A2"/>
    <w:p w14:paraId="55A4B0F6" w14:textId="71BFF84C" w:rsidR="004954A2" w:rsidRPr="001B4CA2" w:rsidRDefault="004954A2" w:rsidP="004954A2">
      <w:r w:rsidRPr="001B4CA2">
        <w:tab/>
      </w:r>
      <w:r w:rsidR="00876F16">
        <w:t>S o</w:t>
      </w:r>
      <w:r w:rsidRPr="001B4CA2">
        <w:t xml:space="preserve">bzirom na navedeno, kako je to već isticano u ranijim godišnjim izvješćima, primjenom ovog Zakona, nije izgledno očekivati u </w:t>
      </w:r>
      <w:r w:rsidR="00876F16">
        <w:t>idućim</w:t>
      </w:r>
      <w:r w:rsidRPr="001B4CA2">
        <w:t xml:space="preserve"> razdobljima promjenu zauzetih pravnih shvaćanja sudova u postupcima koji su još u tijeku.</w:t>
      </w:r>
      <w:r w:rsidR="00FD08E9">
        <w:t xml:space="preserve"> </w:t>
      </w:r>
    </w:p>
    <w:p w14:paraId="522B7C27" w14:textId="3541C4D6" w:rsidR="0042388C" w:rsidRPr="001B4CA2" w:rsidRDefault="0042388C" w:rsidP="004954A2">
      <w:pPr>
        <w:ind w:firstLine="708"/>
      </w:pPr>
    </w:p>
    <w:p w14:paraId="62762579" w14:textId="77777777" w:rsidR="00267070" w:rsidRPr="001B4CA2" w:rsidRDefault="00267070" w:rsidP="00886E1C"/>
    <w:p w14:paraId="69887290" w14:textId="329FF5D3" w:rsidR="00267070" w:rsidRPr="001B4CA2" w:rsidRDefault="00267070">
      <w:pPr>
        <w:spacing w:after="200" w:line="276" w:lineRule="auto"/>
        <w:jc w:val="left"/>
      </w:pPr>
      <w:r w:rsidRPr="001B4CA2">
        <w:br w:type="page"/>
      </w:r>
    </w:p>
    <w:p w14:paraId="41AE9B94" w14:textId="26F07C30" w:rsidR="00BB4D48" w:rsidRPr="001B4CA2" w:rsidRDefault="003C4030" w:rsidP="00D8449C">
      <w:pPr>
        <w:pStyle w:val="Naslov2"/>
        <w:tabs>
          <w:tab w:val="left" w:pos="567"/>
        </w:tabs>
        <w:rPr>
          <w:rFonts w:ascii="Arial" w:hAnsi="Arial" w:cs="Arial"/>
        </w:rPr>
      </w:pPr>
      <w:r w:rsidRPr="001B4CA2">
        <w:rPr>
          <w:rFonts w:ascii="Arial" w:hAnsi="Arial" w:cs="Arial"/>
        </w:rPr>
        <w:lastRenderedPageBreak/>
        <w:t xml:space="preserve"> </w:t>
      </w:r>
      <w:r w:rsidR="00D8449C" w:rsidRPr="001B4CA2">
        <w:rPr>
          <w:rFonts w:ascii="Arial" w:hAnsi="Arial" w:cs="Arial"/>
        </w:rPr>
        <w:tab/>
      </w:r>
      <w:bookmarkStart w:id="155" w:name="_Toc133394385"/>
      <w:r w:rsidR="00BB4D48" w:rsidRPr="001B4CA2">
        <w:rPr>
          <w:rFonts w:ascii="Arial" w:hAnsi="Arial" w:cs="Arial"/>
        </w:rPr>
        <w:t>Prikaz</w:t>
      </w:r>
      <w:r w:rsidR="006262C8" w:rsidRPr="001B4CA2">
        <w:rPr>
          <w:rFonts w:ascii="Arial" w:hAnsi="Arial" w:cs="Arial"/>
        </w:rPr>
        <w:t xml:space="preserve"> </w:t>
      </w:r>
      <w:r w:rsidR="00BB4D48" w:rsidRPr="001B4CA2">
        <w:rPr>
          <w:rFonts w:ascii="Arial" w:hAnsi="Arial" w:cs="Arial"/>
        </w:rPr>
        <w:t>rada</w:t>
      </w:r>
      <w:r w:rsidR="006262C8" w:rsidRPr="001B4CA2">
        <w:rPr>
          <w:rFonts w:ascii="Arial" w:hAnsi="Arial" w:cs="Arial"/>
        </w:rPr>
        <w:t xml:space="preserve"> </w:t>
      </w:r>
      <w:r w:rsidR="00BB4D48" w:rsidRPr="001B4CA2">
        <w:rPr>
          <w:rFonts w:ascii="Arial" w:hAnsi="Arial" w:cs="Arial"/>
        </w:rPr>
        <w:t>na</w:t>
      </w:r>
      <w:r w:rsidR="006262C8" w:rsidRPr="001B4CA2">
        <w:rPr>
          <w:rFonts w:ascii="Arial" w:hAnsi="Arial" w:cs="Arial"/>
        </w:rPr>
        <w:t xml:space="preserve"> </w:t>
      </w:r>
      <w:r w:rsidR="00BB4D48" w:rsidRPr="001B4CA2">
        <w:rPr>
          <w:rFonts w:ascii="Arial" w:hAnsi="Arial" w:cs="Arial"/>
        </w:rPr>
        <w:t>pojedinim</w:t>
      </w:r>
      <w:r w:rsidR="006262C8" w:rsidRPr="001B4CA2">
        <w:rPr>
          <w:rFonts w:ascii="Arial" w:hAnsi="Arial" w:cs="Arial"/>
        </w:rPr>
        <w:t xml:space="preserve"> </w:t>
      </w:r>
      <w:r w:rsidR="00BB4D48" w:rsidRPr="001B4CA2">
        <w:rPr>
          <w:rFonts w:ascii="Arial" w:hAnsi="Arial" w:cs="Arial"/>
        </w:rPr>
        <w:t>vrstama</w:t>
      </w:r>
      <w:r w:rsidR="006262C8" w:rsidRPr="001B4CA2">
        <w:rPr>
          <w:rFonts w:ascii="Arial" w:hAnsi="Arial" w:cs="Arial"/>
        </w:rPr>
        <w:t xml:space="preserve"> </w:t>
      </w:r>
      <w:r w:rsidR="00BB4D48" w:rsidRPr="001B4CA2">
        <w:rPr>
          <w:rFonts w:ascii="Arial" w:hAnsi="Arial" w:cs="Arial"/>
        </w:rPr>
        <w:t>predmeta</w:t>
      </w:r>
      <w:r w:rsidR="006262C8" w:rsidRPr="001B4CA2">
        <w:rPr>
          <w:rFonts w:ascii="Arial" w:hAnsi="Arial" w:cs="Arial"/>
        </w:rPr>
        <w:t xml:space="preserve"> </w:t>
      </w:r>
      <w:r w:rsidR="00BB4D48" w:rsidRPr="001B4CA2">
        <w:rPr>
          <w:rFonts w:ascii="Arial" w:hAnsi="Arial" w:cs="Arial"/>
        </w:rPr>
        <w:t>i</w:t>
      </w:r>
      <w:r w:rsidR="006262C8" w:rsidRPr="001B4CA2">
        <w:rPr>
          <w:rFonts w:ascii="Arial" w:hAnsi="Arial" w:cs="Arial"/>
        </w:rPr>
        <w:t xml:space="preserve">z </w:t>
      </w:r>
      <w:r w:rsidR="00BB4D48" w:rsidRPr="001B4CA2">
        <w:rPr>
          <w:rFonts w:ascii="Arial" w:hAnsi="Arial" w:cs="Arial"/>
        </w:rPr>
        <w:t>nadležnosti</w:t>
      </w:r>
      <w:r w:rsidR="006262C8" w:rsidRPr="001B4CA2">
        <w:rPr>
          <w:rFonts w:ascii="Arial" w:hAnsi="Arial" w:cs="Arial"/>
        </w:rPr>
        <w:t xml:space="preserve"> </w:t>
      </w:r>
      <w:r w:rsidR="00BB4D48" w:rsidRPr="001B4CA2">
        <w:rPr>
          <w:rFonts w:ascii="Arial" w:hAnsi="Arial" w:cs="Arial"/>
        </w:rPr>
        <w:t>građansko</w:t>
      </w:r>
      <w:r w:rsidR="006262C8" w:rsidRPr="001B4CA2">
        <w:rPr>
          <w:rFonts w:ascii="Arial" w:hAnsi="Arial" w:cs="Arial"/>
        </w:rPr>
        <w:t>-</w:t>
      </w:r>
      <w:r w:rsidR="00FD08E9">
        <w:rPr>
          <w:rFonts w:ascii="Arial" w:hAnsi="Arial" w:cs="Arial"/>
        </w:rPr>
        <w:t xml:space="preserve">  </w:t>
      </w:r>
      <w:r w:rsidR="00D8449C" w:rsidRPr="001B4CA2">
        <w:rPr>
          <w:rFonts w:ascii="Arial" w:hAnsi="Arial" w:cs="Arial"/>
        </w:rPr>
        <w:tab/>
      </w:r>
      <w:r w:rsidR="00BB4D48" w:rsidRPr="001B4CA2">
        <w:rPr>
          <w:rFonts w:ascii="Arial" w:hAnsi="Arial" w:cs="Arial"/>
        </w:rPr>
        <w:t>upravnih</w:t>
      </w:r>
      <w:r w:rsidR="006262C8" w:rsidRPr="001B4CA2">
        <w:rPr>
          <w:rFonts w:ascii="Arial" w:hAnsi="Arial" w:cs="Arial"/>
        </w:rPr>
        <w:t xml:space="preserve"> </w:t>
      </w:r>
      <w:r w:rsidR="00BB4D48" w:rsidRPr="001B4CA2">
        <w:rPr>
          <w:rFonts w:ascii="Arial" w:hAnsi="Arial" w:cs="Arial"/>
        </w:rPr>
        <w:t>odjela</w:t>
      </w:r>
      <w:bookmarkEnd w:id="155"/>
    </w:p>
    <w:p w14:paraId="27B634D0" w14:textId="77777777" w:rsidR="00F62BF2" w:rsidRPr="001B4CA2" w:rsidRDefault="00F62BF2" w:rsidP="006262C8"/>
    <w:p w14:paraId="6293534E" w14:textId="09CF9977" w:rsidR="00CE234E" w:rsidRPr="001B4CA2" w:rsidRDefault="00BB4D48" w:rsidP="005356FF">
      <w:pPr>
        <w:pStyle w:val="Naslov3"/>
        <w:ind w:left="851" w:hanging="709"/>
        <w:rPr>
          <w:rFonts w:ascii="Arial" w:hAnsi="Arial" w:cs="Arial"/>
        </w:rPr>
      </w:pPr>
      <w:bookmarkStart w:id="156" w:name="_Toc133394386"/>
      <w:r w:rsidRPr="001B4CA2">
        <w:rPr>
          <w:rFonts w:ascii="Arial" w:hAnsi="Arial" w:cs="Arial"/>
        </w:rPr>
        <w:t>Zastupanje Republike Hrvatske u imovinskim sporovima pred</w:t>
      </w:r>
      <w:r w:rsidR="00FD08E9">
        <w:rPr>
          <w:rFonts w:ascii="Arial" w:hAnsi="Arial" w:cs="Arial"/>
        </w:rPr>
        <w:t xml:space="preserve"> </w:t>
      </w:r>
      <w:r w:rsidR="0020162B" w:rsidRPr="001B4CA2">
        <w:rPr>
          <w:rFonts w:ascii="Arial" w:hAnsi="Arial" w:cs="Arial"/>
        </w:rPr>
        <w:t xml:space="preserve"> </w:t>
      </w:r>
      <w:r w:rsidRPr="001B4CA2">
        <w:rPr>
          <w:rFonts w:ascii="Arial" w:hAnsi="Arial" w:cs="Arial"/>
        </w:rPr>
        <w:t>inozemnim</w:t>
      </w:r>
      <w:r w:rsidR="00CE234E" w:rsidRPr="001B4CA2">
        <w:rPr>
          <w:rFonts w:ascii="Arial" w:hAnsi="Arial" w:cs="Arial"/>
        </w:rPr>
        <w:t xml:space="preserve"> sudovima i tijelima</w:t>
      </w:r>
      <w:bookmarkEnd w:id="156"/>
    </w:p>
    <w:p w14:paraId="67224DFE" w14:textId="77777777" w:rsidR="00661077" w:rsidRPr="001B4CA2" w:rsidRDefault="00661077" w:rsidP="00661077"/>
    <w:p w14:paraId="1E2038F8" w14:textId="77777777" w:rsidR="0049175B" w:rsidRPr="001B4CA2" w:rsidRDefault="0049175B" w:rsidP="0049175B">
      <w:pPr>
        <w:ind w:firstLine="708"/>
      </w:pPr>
      <w:r w:rsidRPr="001B4CA2">
        <w:t>Na temelju Zakona o državnom odvjetništvu DORH zastupa Republiku Hrvatsku u imovinskim sporovima pred stranim sudovima te međunarodnim i drugim tijelima.</w:t>
      </w:r>
    </w:p>
    <w:p w14:paraId="5536508B" w14:textId="77777777" w:rsidR="0049175B" w:rsidRPr="001B4CA2" w:rsidRDefault="0049175B" w:rsidP="0049175B"/>
    <w:p w14:paraId="1FBCC528" w14:textId="239A0B97" w:rsidR="0049175B" w:rsidRPr="001B4CA2" w:rsidRDefault="0049175B" w:rsidP="0049175B">
      <w:pPr>
        <w:ind w:firstLine="708"/>
      </w:pPr>
      <w:r w:rsidRPr="001B4CA2">
        <w:t xml:space="preserve">Ti se postupci mogu voditi pri međunarodnim tijelima ili institucijama – međunarodne arbitraže, kao </w:t>
      </w:r>
      <w:r w:rsidRPr="00876F16">
        <w:rPr>
          <w:i/>
          <w:iCs/>
        </w:rPr>
        <w:t xml:space="preserve">ad </w:t>
      </w:r>
      <w:proofErr w:type="spellStart"/>
      <w:r w:rsidRPr="00876F16">
        <w:rPr>
          <w:i/>
          <w:iCs/>
        </w:rPr>
        <w:t>hoc</w:t>
      </w:r>
      <w:proofErr w:type="spellEnd"/>
      <w:r w:rsidRPr="001B4CA2">
        <w:t xml:space="preserve"> arbitraže (bez sudjelovanja međunarodne institucije) ili pred međunarodnim sudovima</w:t>
      </w:r>
      <w:r w:rsidR="00876F16">
        <w:t>,</w:t>
      </w:r>
      <w:r w:rsidRPr="001B4CA2">
        <w:t xml:space="preserve"> odnosno sudovima drugih država. Međunarodnu arbitražu može pokrenuti ili strani investitor protiv Republike Hrvatske radi naknade štete zbog kršenja međunarodnih ugovora o poticanju i zaštiti stranih ulaganja, drugih međunarodnih ugovora koji u sebi sadrže odredbu o zaštiti stranih ulagatelja</w:t>
      </w:r>
      <w:r w:rsidR="00876F16">
        <w:t>,</w:t>
      </w:r>
      <w:r w:rsidRPr="001B4CA2">
        <w:t xml:space="preserve"> kao primjerice Ugovor o energetskoj povelji ili ugovorna strana koja je s Republikom Hrvatskom ugovorila arbitražu kao način rješavanja sporova umjesto postupka pred sudom Republike Hrvatske.</w:t>
      </w:r>
    </w:p>
    <w:p w14:paraId="27E44F26" w14:textId="77777777" w:rsidR="0049175B" w:rsidRPr="001B4CA2" w:rsidRDefault="0049175B" w:rsidP="0049175B"/>
    <w:p w14:paraId="7CBD2072" w14:textId="77777777" w:rsidR="0049175B" w:rsidRPr="001B4CA2" w:rsidRDefault="0049175B" w:rsidP="0049175B">
      <w:pPr>
        <w:pStyle w:val="Naslov6"/>
        <w:spacing w:before="0"/>
        <w:rPr>
          <w:rFonts w:ascii="Arial" w:hAnsi="Arial" w:cs="Arial"/>
          <w:color w:val="auto"/>
        </w:rPr>
      </w:pPr>
      <w:r w:rsidRPr="001B4CA2">
        <w:rPr>
          <w:rFonts w:ascii="Arial" w:hAnsi="Arial" w:cs="Arial"/>
          <w:color w:val="auto"/>
        </w:rPr>
        <w:t>Izbor stranog odvjetničkog društva</w:t>
      </w:r>
    </w:p>
    <w:p w14:paraId="7E92A5BA" w14:textId="77777777" w:rsidR="0049175B" w:rsidRPr="001B4CA2" w:rsidRDefault="0049175B" w:rsidP="0049175B"/>
    <w:p w14:paraId="5AECDB90" w14:textId="77777777" w:rsidR="0049175B" w:rsidRPr="001B4CA2" w:rsidRDefault="0049175B" w:rsidP="0049175B">
      <w:pPr>
        <w:ind w:firstLine="708"/>
      </w:pPr>
      <w:r w:rsidRPr="001B4CA2">
        <w:t>Postupak izbora odvjetnika ili stranog odvjetničkog društva propisan je Zakonom o državnom odvjetništvu i Poslovnikom državnog odvjetništva. Provođenjem postupka za izbor odvjetnika ili odvjetničkog društva za zastupanje osigurana je transparentnost izbora i ekonomičnost postupanja. U pravilu se zastupanje povjerava odvjetniku koji radi u državi u kojoj se vodi postupak kako bi zastupanje bilo na stručnoj razini te kako bi se istodobno smanjili troškovi zastupanja. Iako su nagrade i naknade za zastupanje u međunarodnim arbitražnim postupcima iznimno visoke, one nisu i ne mogu biti jedini kriterij za izbor odvjetnika, odnosno odvjetničkog društva.</w:t>
      </w:r>
    </w:p>
    <w:p w14:paraId="4BAFFB0E" w14:textId="77777777" w:rsidR="0049175B" w:rsidRPr="001B4CA2" w:rsidRDefault="0049175B" w:rsidP="0049175B"/>
    <w:p w14:paraId="393F1676" w14:textId="67BB64B6" w:rsidR="0049175B" w:rsidRPr="001B4CA2" w:rsidRDefault="0049175B" w:rsidP="0049175B">
      <w:pPr>
        <w:ind w:firstLine="708"/>
      </w:pPr>
      <w:r w:rsidRPr="001B4CA2">
        <w:t xml:space="preserve">Glavni državni odvjetnik Republike Hrvatske može, uz suglasnost Vlade Republike Hrvatske, ovlastiti stranog odvjetnika za zastupanje u ovim predmetima </w:t>
      </w:r>
      <w:r w:rsidR="007D12C6" w:rsidRPr="001B4CA2">
        <w:t>ako</w:t>
      </w:r>
      <w:r w:rsidRPr="001B4CA2">
        <w:t xml:space="preserve"> po mjerodavnom pravu države u kojoj se vodi postupak DORH ne može postupati.</w:t>
      </w:r>
    </w:p>
    <w:p w14:paraId="444D868E" w14:textId="77777777" w:rsidR="0049175B" w:rsidRPr="001B4CA2" w:rsidRDefault="0049175B" w:rsidP="0049175B"/>
    <w:p w14:paraId="6D2FDFAF" w14:textId="77777777" w:rsidR="0049175B" w:rsidRPr="001B4CA2" w:rsidRDefault="0049175B" w:rsidP="0049175B">
      <w:pPr>
        <w:ind w:firstLine="708"/>
      </w:pPr>
      <w:r w:rsidRPr="001B4CA2">
        <w:t>Na mrežnim stranicama DORH-a prethodno se objavljuje poziv odvjetnicima i odvjetničkim društvima koji imaju iskustva u zastupanju država u međunarodnim arbitražama da iskažu interes pisanim putem za zastupanje Republike Hrvatske, a sve na temelju Zakona o državnom odvjetništvu i Poslovnika državnog odvjetništva. Povjerenstvo za izbor odvjetnika u postupcima pred stranim sudovima osniva se nakon što se prikupe iskazi interesa te ono razmatra prikupljene ponude za zastupanje stranih odvjetnika i odvjetničkih društava i daje mišljenje Glavnom državnom odvjetniku Republike Hrvatske kome povjeriti zastupanje u konkretnom predmetu. Ugovor o zastupanju sklapa se nakon pribavljene suglasnosti Vlade Republike Hrvatske. Strani odvjetnik ili odvjetničko društvo zastupa Republiku Hrvatsku uz aktivno sudjelovanje DORH-a.</w:t>
      </w:r>
    </w:p>
    <w:p w14:paraId="60A51E34" w14:textId="77777777" w:rsidR="0049175B" w:rsidRPr="001B4CA2" w:rsidRDefault="0049175B" w:rsidP="0049175B"/>
    <w:p w14:paraId="3984A4CE" w14:textId="77777777" w:rsidR="0049175B" w:rsidRPr="001B4CA2" w:rsidRDefault="0049175B" w:rsidP="0049175B">
      <w:pPr>
        <w:ind w:firstLine="708"/>
      </w:pPr>
      <w:r w:rsidRPr="001B4CA2">
        <w:lastRenderedPageBreak/>
        <w:t>Glavni državni odvjetnik Republike Hrvatske može, iznimno, u hitnim slučajevima ovlastiti stručnjaka za obavljanje pojedinih radnji u postupku, o čemu je dužan izvijestiti Vladu Republike Hrvatske.</w:t>
      </w:r>
    </w:p>
    <w:p w14:paraId="08BDA6BC" w14:textId="77777777" w:rsidR="00B917C3" w:rsidRPr="001B4CA2" w:rsidRDefault="00B917C3" w:rsidP="00B917C3">
      <w:pPr>
        <w:ind w:firstLine="708"/>
      </w:pPr>
    </w:p>
    <w:p w14:paraId="42A6FC6E" w14:textId="484F8D09" w:rsidR="00BB4D48" w:rsidRPr="001B4CA2" w:rsidRDefault="00BB4D48" w:rsidP="00BC2284">
      <w:pPr>
        <w:pStyle w:val="Naslov4"/>
        <w:tabs>
          <w:tab w:val="left" w:pos="993"/>
        </w:tabs>
        <w:ind w:left="142" w:firstLine="0"/>
        <w:rPr>
          <w:rFonts w:ascii="Arial" w:hAnsi="Arial" w:cs="Arial"/>
        </w:rPr>
      </w:pPr>
      <w:bookmarkStart w:id="157" w:name="_Toc133394387"/>
      <w:r w:rsidRPr="001B4CA2">
        <w:rPr>
          <w:rFonts w:ascii="Arial" w:hAnsi="Arial" w:cs="Arial"/>
        </w:rPr>
        <w:t>Međunarodne</w:t>
      </w:r>
      <w:r w:rsidR="006262C8" w:rsidRPr="001B4CA2">
        <w:rPr>
          <w:rFonts w:ascii="Arial" w:hAnsi="Arial" w:cs="Arial"/>
        </w:rPr>
        <w:t xml:space="preserve"> </w:t>
      </w:r>
      <w:r w:rsidRPr="001B4CA2">
        <w:rPr>
          <w:rFonts w:ascii="Arial" w:hAnsi="Arial" w:cs="Arial"/>
        </w:rPr>
        <w:t>arbitraže</w:t>
      </w:r>
      <w:r w:rsidR="006262C8" w:rsidRPr="001B4CA2">
        <w:rPr>
          <w:rFonts w:ascii="Arial" w:hAnsi="Arial" w:cs="Arial"/>
        </w:rPr>
        <w:t xml:space="preserve"> </w:t>
      </w:r>
      <w:r w:rsidRPr="001B4CA2">
        <w:rPr>
          <w:rFonts w:ascii="Arial" w:hAnsi="Arial" w:cs="Arial"/>
        </w:rPr>
        <w:t>r</w:t>
      </w:r>
      <w:r w:rsidR="00A60F77" w:rsidRPr="001B4CA2">
        <w:rPr>
          <w:rFonts w:ascii="Arial" w:hAnsi="Arial" w:cs="Arial"/>
        </w:rPr>
        <w:t>adi</w:t>
      </w:r>
      <w:r w:rsidR="006262C8" w:rsidRPr="001B4CA2">
        <w:rPr>
          <w:rFonts w:ascii="Arial" w:hAnsi="Arial" w:cs="Arial"/>
        </w:rPr>
        <w:t xml:space="preserve"> </w:t>
      </w:r>
      <w:r w:rsidR="00A60F77" w:rsidRPr="001B4CA2">
        <w:rPr>
          <w:rFonts w:ascii="Arial" w:hAnsi="Arial" w:cs="Arial"/>
        </w:rPr>
        <w:t>zaštite</w:t>
      </w:r>
      <w:r w:rsidR="006262C8" w:rsidRPr="001B4CA2">
        <w:rPr>
          <w:rFonts w:ascii="Arial" w:hAnsi="Arial" w:cs="Arial"/>
        </w:rPr>
        <w:t xml:space="preserve"> </w:t>
      </w:r>
      <w:r w:rsidR="00A60F77" w:rsidRPr="001B4CA2">
        <w:rPr>
          <w:rFonts w:ascii="Arial" w:hAnsi="Arial" w:cs="Arial"/>
        </w:rPr>
        <w:t>stranih</w:t>
      </w:r>
      <w:r w:rsidR="006262C8" w:rsidRPr="001B4CA2">
        <w:rPr>
          <w:rFonts w:ascii="Arial" w:hAnsi="Arial" w:cs="Arial"/>
        </w:rPr>
        <w:t xml:space="preserve"> </w:t>
      </w:r>
      <w:r w:rsidR="00A60F77" w:rsidRPr="001B4CA2">
        <w:rPr>
          <w:rFonts w:ascii="Arial" w:hAnsi="Arial" w:cs="Arial"/>
        </w:rPr>
        <w:t>ulaganja</w:t>
      </w:r>
      <w:bookmarkEnd w:id="157"/>
    </w:p>
    <w:p w14:paraId="12E56DDE" w14:textId="77777777" w:rsidR="00BF749A" w:rsidRPr="001B4CA2" w:rsidRDefault="00BF749A" w:rsidP="00BF749A"/>
    <w:p w14:paraId="7F05C68D" w14:textId="7A236CD9" w:rsidR="00661077" w:rsidRPr="001B4CA2" w:rsidRDefault="00BB4D48" w:rsidP="00BC2284">
      <w:pPr>
        <w:pStyle w:val="Naslov5"/>
        <w:tabs>
          <w:tab w:val="left" w:pos="1276"/>
        </w:tabs>
        <w:ind w:left="284" w:firstLine="0"/>
        <w:rPr>
          <w:rFonts w:ascii="Arial" w:hAnsi="Arial" w:cs="Arial"/>
        </w:rPr>
      </w:pPr>
      <w:bookmarkStart w:id="158" w:name="_Toc133394388"/>
      <w:r w:rsidRPr="001B4CA2">
        <w:rPr>
          <w:rFonts w:ascii="Arial" w:hAnsi="Arial" w:cs="Arial"/>
        </w:rPr>
        <w:t>Prijateljsko rješavanje spora prije pokretanja arbitraže r</w:t>
      </w:r>
      <w:r w:rsidR="00A60F77" w:rsidRPr="001B4CA2">
        <w:rPr>
          <w:rFonts w:ascii="Arial" w:hAnsi="Arial" w:cs="Arial"/>
        </w:rPr>
        <w:t xml:space="preserve">adi zaštite </w:t>
      </w:r>
      <w:r w:rsidR="00955E23" w:rsidRPr="001B4CA2">
        <w:rPr>
          <w:rFonts w:ascii="Arial" w:hAnsi="Arial" w:cs="Arial"/>
        </w:rPr>
        <w:tab/>
      </w:r>
      <w:r w:rsidR="00A60F77" w:rsidRPr="001B4CA2">
        <w:rPr>
          <w:rFonts w:ascii="Arial" w:hAnsi="Arial" w:cs="Arial"/>
        </w:rPr>
        <w:t>stranih ulaganja</w:t>
      </w:r>
      <w:bookmarkEnd w:id="158"/>
    </w:p>
    <w:p w14:paraId="35E975EC" w14:textId="77777777" w:rsidR="00246187" w:rsidRPr="001B4CA2" w:rsidRDefault="00246187" w:rsidP="00F525C7"/>
    <w:p w14:paraId="6FE16DCB" w14:textId="77777777" w:rsidR="0049175B" w:rsidRPr="001B4CA2" w:rsidRDefault="0049175B" w:rsidP="0049175B">
      <w:pPr>
        <w:ind w:firstLine="708"/>
      </w:pPr>
      <w:r w:rsidRPr="001B4CA2">
        <w:t>Pogrešan i nepravilan rad državnih tijela, sudova, lokalne samouprave i regionalne samouprave, agencija čiji su osnivači Republika Hrvatska, lokalna samouprava i sl., a što je u uzročno-posljedičnoj vezi s investicijom stranog investitora, može dovesti do ove faze postupka prijateljskog rješavanja spora, a ako ne uspije, i do pokretanja arbitražnog postupka.</w:t>
      </w:r>
    </w:p>
    <w:p w14:paraId="363E0985" w14:textId="77777777" w:rsidR="0049175B" w:rsidRPr="001B4CA2" w:rsidRDefault="0049175B" w:rsidP="0049175B"/>
    <w:p w14:paraId="05000810" w14:textId="77777777" w:rsidR="0049175B" w:rsidRPr="001B4CA2" w:rsidRDefault="0049175B" w:rsidP="0049175B">
      <w:pPr>
        <w:ind w:firstLine="708"/>
      </w:pPr>
      <w:r w:rsidRPr="001B4CA2">
        <w:t>Prije pokretanja arbitražnog spora radi zaštite stranih ulaganja u pravilu se provodi postupak prijateljskog rješavanja spora sukladno sklopljenim međunarodnim ugovorima o zaštiti i poticanju stranih ulaganja. Međuresorno povjerenstvo za postupanje po zahtjevima stranih ulagača vezanim uz sporove koji proizlaze iz međunarodnih ugovora Republike Hrvatske iz područja poticanja i zaštite ulaganja (u nastavku Povjerenstvo) čine po funkciji državni tajnici iz Ministarstva vanjskih i europskih poslova, Ministarstva financija, Ministarstva gospodarstva i održivog razvoja i Ministarstva pravosuđa i uprave, jedan zamjenik Glavnog državnog odvjetnika Republike Hrvatske te predstavnik Ureda predsjednika Vlade Republike Hrvatske, a osnovala ga je Vlada Republike Hrvatske za postupanje po zahtjevima stranih ulagača.</w:t>
      </w:r>
    </w:p>
    <w:p w14:paraId="6D4211FF" w14:textId="77777777" w:rsidR="0049175B" w:rsidRPr="001B4CA2" w:rsidRDefault="0049175B" w:rsidP="0049175B"/>
    <w:p w14:paraId="1AB948B8" w14:textId="75D9EBF7" w:rsidR="0049175B" w:rsidRPr="001B4CA2" w:rsidRDefault="0049175B" w:rsidP="0049175B">
      <w:pPr>
        <w:ind w:firstLine="708"/>
      </w:pPr>
      <w:r w:rsidRPr="001B4CA2">
        <w:t>U radu ovog Povjerenstva po potrebi sudjeluju i druga nadležna tijela, ovisno o sporu te o djelokrugu iz kojega je proistekao konkretni spo</w:t>
      </w:r>
      <w:r w:rsidR="005C6906">
        <w:t>r te</w:t>
      </w:r>
      <w:r w:rsidRPr="001B4CA2">
        <w:t xml:space="preserve"> se u pravilu traži sudjelovanje predstavnika iz drugih ministarstava, po funkciji državnih tajnika, kako bi Povjerenstvo bilo osposobljeno za učinkovito donošenje odluka.</w:t>
      </w:r>
    </w:p>
    <w:p w14:paraId="51276FAB" w14:textId="77777777" w:rsidR="0049175B" w:rsidRPr="001B4CA2" w:rsidRDefault="0049175B" w:rsidP="0049175B"/>
    <w:p w14:paraId="70F3CF21" w14:textId="77777777" w:rsidR="0049175B" w:rsidRPr="001B4CA2" w:rsidRDefault="0049175B" w:rsidP="0049175B">
      <w:pPr>
        <w:ind w:firstLine="708"/>
      </w:pPr>
      <w:r w:rsidRPr="001B4CA2">
        <w:t>Povjerenstvo analizira zahtjeve ulagača, prikuplja potrebne informacije od nadležnih tijela vezano uz rješavanje zahtjeva te podnosi Vladi Republike Hrvatske prijedloge nacrta odluka za postupanje glede zahtjeva ulagača. Povjerenstvo, uz aktivno sudjelovanje DORH-a, u ovom postupku posebno analizira sve činjenice i dokaze na koje ukazuje strani investitor. Vlada Republike Hrvatske donosi odluku u svakom pojedinom predmetu za prijateljsko rješenje spora.</w:t>
      </w:r>
    </w:p>
    <w:p w14:paraId="545E274A" w14:textId="77777777" w:rsidR="0049175B" w:rsidRPr="001B4CA2" w:rsidRDefault="0049175B" w:rsidP="0049175B"/>
    <w:p w14:paraId="3B1616ED" w14:textId="77777777" w:rsidR="0049175B" w:rsidRPr="001B4CA2" w:rsidRDefault="0049175B" w:rsidP="0049175B">
      <w:pPr>
        <w:ind w:firstLine="708"/>
      </w:pPr>
      <w:r w:rsidRPr="001B4CA2">
        <w:t xml:space="preserve">Na temelju sklopljenih ugovora o zaštiti i poticanju stranih ulaganja Republika Hrvatska u pravilu odgovara za štetu u slučaju ako je </w:t>
      </w:r>
      <w:proofErr w:type="spellStart"/>
      <w:r w:rsidRPr="001B4CA2">
        <w:t>investitorova</w:t>
      </w:r>
      <w:proofErr w:type="spellEnd"/>
      <w:r w:rsidRPr="001B4CA2">
        <w:t xml:space="preserve"> investicija izvlaštena, a da mu nije određena tržišna naknada i/ili ako su tijela Republike Hrvatske (države, sudova, lokalne samouprave, agencija kojih je osnivač država ili lokalna samouprava i sl.) postupala prema njemu tako da je trpio neravnopravan tretman.</w:t>
      </w:r>
    </w:p>
    <w:p w14:paraId="597A6228" w14:textId="77777777" w:rsidR="0049175B" w:rsidRPr="001B4CA2" w:rsidRDefault="0049175B" w:rsidP="0049175B"/>
    <w:p w14:paraId="47146D20" w14:textId="7B062C4F" w:rsidR="0049175B" w:rsidRPr="001B4CA2" w:rsidRDefault="0049175B" w:rsidP="0049175B">
      <w:pPr>
        <w:ind w:firstLine="708"/>
      </w:pPr>
      <w:r w:rsidRPr="001B4CA2">
        <w:t xml:space="preserve">Pojam izvlaštenja stranog investitora </w:t>
      </w:r>
      <w:r w:rsidR="005C6906" w:rsidRPr="001B4CA2">
        <w:t xml:space="preserve">vrlo </w:t>
      </w:r>
      <w:r w:rsidRPr="001B4CA2">
        <w:t xml:space="preserve">se široko interpretira u arbitražnoj praksi Međunarodnog centra za rješavanje ulagačkih sporova te uključuje i štetu koju trpi investitor u slučaju ako bi nakon započinjanja investicije Republika Hrvatska </w:t>
      </w:r>
      <w:r w:rsidRPr="001B4CA2">
        <w:lastRenderedPageBreak/>
        <w:t>mijenjala zakonodavni okvir, što bi se odrazilo na gubitak njegovih legitimnih očekivanja.</w:t>
      </w:r>
    </w:p>
    <w:p w14:paraId="42A4C704" w14:textId="77777777" w:rsidR="00246183" w:rsidRDefault="00246183" w:rsidP="0049175B">
      <w:pPr>
        <w:ind w:firstLine="708"/>
      </w:pPr>
    </w:p>
    <w:p w14:paraId="45F2881E" w14:textId="1274BFA6" w:rsidR="0049175B" w:rsidRPr="001B4CA2" w:rsidRDefault="0049175B" w:rsidP="0049175B">
      <w:pPr>
        <w:ind w:firstLine="708"/>
      </w:pPr>
      <w:r w:rsidRPr="001B4CA2">
        <w:t xml:space="preserve">Ovu fazu postupka Povjerenstvo temeljito provodi utvrđujući sve pravno relevantne činjenice i dokaze jer </w:t>
      </w:r>
      <w:r w:rsidR="00246183" w:rsidRPr="001B4CA2">
        <w:t xml:space="preserve">je </w:t>
      </w:r>
      <w:r w:rsidRPr="001B4CA2">
        <w:t>u slučaju pokretanja arbitražnog postupka sve to dio pripreme za vođenje arbitražnog</w:t>
      </w:r>
      <w:r w:rsidR="00246183">
        <w:t>a</w:t>
      </w:r>
      <w:r w:rsidRPr="001B4CA2">
        <w:t xml:space="preserve"> postupka.</w:t>
      </w:r>
    </w:p>
    <w:p w14:paraId="045CC157" w14:textId="77777777" w:rsidR="0049175B" w:rsidRPr="001B4CA2" w:rsidRDefault="0049175B" w:rsidP="0049175B"/>
    <w:p w14:paraId="7571E34B" w14:textId="1BF9A23D" w:rsidR="0049175B" w:rsidRPr="001B4CA2" w:rsidRDefault="0049175B" w:rsidP="0049175B">
      <w:pPr>
        <w:ind w:firstLine="708"/>
      </w:pPr>
      <w:r w:rsidRPr="001B4CA2">
        <w:t xml:space="preserve">Rad DORH-a u Povjerenstvu je opsežan i temeljit jer je </w:t>
      </w:r>
      <w:r w:rsidR="00246183">
        <w:t>važno</w:t>
      </w:r>
      <w:r w:rsidRPr="001B4CA2">
        <w:t>, u suradnji sa svim nadležnim tijelima, utvrditi činjenično stanje te postoji li odgovornost Republike Hrvatske za štetu, a potom ako je utvrđena odgovornost</w:t>
      </w:r>
      <w:r w:rsidR="00246183">
        <w:t>,</w:t>
      </w:r>
      <w:r w:rsidRPr="001B4CA2">
        <w:t xml:space="preserve"> i visinu štete.</w:t>
      </w:r>
    </w:p>
    <w:p w14:paraId="2D29B965" w14:textId="77777777" w:rsidR="0049175B" w:rsidRPr="001B4CA2" w:rsidRDefault="0049175B" w:rsidP="0049175B"/>
    <w:p w14:paraId="34BA28FD" w14:textId="36037D63" w:rsidR="0049175B" w:rsidRPr="001B4CA2" w:rsidRDefault="0049175B" w:rsidP="0049175B">
      <w:pPr>
        <w:ind w:firstLine="708"/>
      </w:pPr>
      <w:r w:rsidRPr="001B4CA2">
        <w:t xml:space="preserve">Prijateljsko rješavanje spora ima </w:t>
      </w:r>
      <w:r w:rsidR="00246183">
        <w:t xml:space="preserve">i </w:t>
      </w:r>
      <w:r w:rsidRPr="001B4CA2">
        <w:t>političku dimenziju, kojom se šalje poruka stranim investitorima i prezentira Republika Hrvatska kao odgovorna i pouzdana zemlja domaćin</w:t>
      </w:r>
      <w:r w:rsidR="00246183">
        <w:t xml:space="preserve">, ali </w:t>
      </w:r>
      <w:r w:rsidRPr="001B4CA2">
        <w:t>i pravnu dimenziju, jer se utvrđuju sve bitne činjenice, procjenjuje utemeljenost zahtjeva i ishod moguće arbitraže, ali i ukazuje na potrebu promjene načina postupanja nadležnih tijela i osoba, kao i eventualne izmjene određenih propisa, a ujedno i preventivni učinak – jer argumentirano i kvalitetno pravno obrazloženo očitovanje kojim se odbija zahtjev investitora može rezultirati odustajanjem investitora od podizanja tužbe te financijski učinak, jer su troškovi vođenja arbitražnog postupka izrazito visoki (više milijuna eura).</w:t>
      </w:r>
    </w:p>
    <w:p w14:paraId="64C34ED2" w14:textId="77777777" w:rsidR="0049175B" w:rsidRPr="001B4CA2" w:rsidRDefault="0049175B" w:rsidP="0049175B"/>
    <w:p w14:paraId="33B3B11F" w14:textId="77777777" w:rsidR="0049175B" w:rsidRPr="001B4CA2" w:rsidRDefault="0049175B" w:rsidP="0049175B">
      <w:pPr>
        <w:ind w:firstLine="708"/>
      </w:pPr>
      <w:r w:rsidRPr="001B4CA2">
        <w:t>U 2022. godini nije podnesen nijedan zahtjev za prijateljsko rješavanje spora.</w:t>
      </w:r>
    </w:p>
    <w:p w14:paraId="34BA3233" w14:textId="77777777" w:rsidR="00B917C3" w:rsidRPr="001B4CA2" w:rsidRDefault="00B917C3" w:rsidP="00B917C3"/>
    <w:p w14:paraId="156BBBA1" w14:textId="4A4C7FD2" w:rsidR="00BB4D48" w:rsidRPr="001B4CA2" w:rsidRDefault="0049175B" w:rsidP="00955E23">
      <w:pPr>
        <w:pStyle w:val="Naslov5"/>
        <w:ind w:left="426" w:firstLine="0"/>
        <w:rPr>
          <w:rFonts w:ascii="Arial" w:hAnsi="Arial" w:cs="Arial"/>
        </w:rPr>
      </w:pPr>
      <w:bookmarkStart w:id="159" w:name="_Toc133394389"/>
      <w:r w:rsidRPr="001B4CA2">
        <w:t>Zastupanje u arbitražnom postupku</w:t>
      </w:r>
      <w:r w:rsidR="00F47D60">
        <w:rPr>
          <w:rFonts w:ascii="Arial" w:hAnsi="Arial" w:cs="Arial"/>
        </w:rPr>
        <w:t xml:space="preserve"> – </w:t>
      </w:r>
      <w:r w:rsidRPr="001B4CA2">
        <w:rPr>
          <w:rFonts w:ascii="Arial" w:hAnsi="Arial" w:cs="Arial"/>
        </w:rPr>
        <w:t>uloga i postupanje DORH-a</w:t>
      </w:r>
      <w:bookmarkEnd w:id="159"/>
    </w:p>
    <w:p w14:paraId="178C1CA3" w14:textId="77777777" w:rsidR="00661077" w:rsidRPr="001B4CA2" w:rsidRDefault="00661077" w:rsidP="00661077"/>
    <w:p w14:paraId="5246A87A" w14:textId="1D5B22C3" w:rsidR="0049175B" w:rsidRPr="001B4CA2" w:rsidRDefault="0049175B" w:rsidP="0049175B">
      <w:pPr>
        <w:ind w:firstLine="708"/>
      </w:pPr>
      <w:r w:rsidRPr="001B4CA2">
        <w:t xml:space="preserve">Arbitražni se postupci u predmetima koji su pokrenuti vode ili pred Međunarodnim centrom za rješavanje ulagačkih sporova (u nastavku: ICSID) prema pravilima toga centra ili prema Arbitražnim pravilima Komisije Ujedinjenih naroda za međunarodno trgovačko pravo (u nastavku: UNCITRAL), a ovisno o arbitražnoj klauzuli u međunarodnom ili trgovačkom ugovoru koji je Republika Hrvatska ratificirala ili potpisala. DORH u tim postupcima koordinira rad i dogovara strategiju obrane s odvjetničkim društvom koje zastupa Republiku Hrvatsku i daje punu pravnu podršku u pogledu tumačenja i primjene domaćeg prava, prikuplja te analizira činjenice i dokaze </w:t>
      </w:r>
      <w:r w:rsidR="00246183">
        <w:t>važne</w:t>
      </w:r>
      <w:r w:rsidRPr="001B4CA2">
        <w:t xml:space="preserve"> za postupak, koordinira rad s drugim državnim tijelima, sudovima, jedinicama lokalne i/ili područne samouprave, trgovačkim društvima, obavlja razgovore s osobama koje bi mogle imati određena saznanja o predmetu spora i dr. Osim što se time osigurava kvalitetno zastupanje interesa Republike Hrvatske u ovim postupcima, izravno se utječe i na smanjenje troškova zastupanja stranih odvjetničkih ureda.</w:t>
      </w:r>
    </w:p>
    <w:p w14:paraId="7BBA2B94" w14:textId="77777777" w:rsidR="0049175B" w:rsidRPr="001B4CA2" w:rsidRDefault="0049175B" w:rsidP="0049175B"/>
    <w:p w14:paraId="3026D61C" w14:textId="77777777" w:rsidR="0049175B" w:rsidRPr="001B4CA2" w:rsidRDefault="0049175B" w:rsidP="0049175B">
      <w:pPr>
        <w:ind w:firstLine="708"/>
      </w:pPr>
      <w:r w:rsidRPr="001B4CA2">
        <w:t>Pred ICSID-om u 2022. godini protiv Republike Hrvatske vođeno je šest arbitražnih postupaka i tri po UNCITRAL-ovim Arbitražnim pravilima, u kojima u zastupanju Republike Hrvatske sudjeluje Državno odvjetništvo Republike Hrvatske, i to:</w:t>
      </w:r>
    </w:p>
    <w:p w14:paraId="5CF0C810" w14:textId="77777777" w:rsidR="0049175B" w:rsidRPr="001B4CA2" w:rsidRDefault="0049175B" w:rsidP="0049175B"/>
    <w:p w14:paraId="1C37EA20" w14:textId="77777777" w:rsidR="0049175B" w:rsidRPr="001B4CA2" w:rsidRDefault="0049175B" w:rsidP="0049175B">
      <w:pPr>
        <w:pStyle w:val="Odlomakpopisa"/>
        <w:numPr>
          <w:ilvl w:val="0"/>
          <w:numId w:val="13"/>
        </w:numPr>
        <w:ind w:left="0" w:firstLine="0"/>
      </w:pPr>
      <w:r w:rsidRPr="001B4CA2">
        <w:t xml:space="preserve">Postupak po tužbi nizozemskog trgovačkog društva </w:t>
      </w:r>
      <w:proofErr w:type="spellStart"/>
      <w:r w:rsidRPr="001B4CA2">
        <w:t>Elitech</w:t>
      </w:r>
      <w:proofErr w:type="spellEnd"/>
      <w:r w:rsidRPr="001B4CA2">
        <w:t xml:space="preserve"> B.V. kao i Golf razvoj d.o.o. iz Zagreba radi naknade štete u iznosu 123.000.000,00 EUR. Tužitelji tvrde da su kao investitori uložili značajna sredstva za razvoj golf projekta na području grada Dubrovnika na način da su kupili zemljište i podnijeli brojnu dokumentaciju radi usklađenja prostorno-planskih akata na području Dubrovačko-</w:t>
      </w:r>
      <w:r w:rsidRPr="001B4CA2">
        <w:lastRenderedPageBreak/>
        <w:t>neretvanske županije. Tvrde da je od početka projekta prošlo više od 10 godina i da se projekt nije realizirao zbog brojnih akcija nevladinih organizacija, populističkih grupa i određenih utjecajnih političara koji su svi zajedno stvorili negativno ozračje u odnosu na projekt i utjecali na donošenje odluka upravnih tijela i sudova koji u konačnici nisu odobrili projekt. Tužitelji tvrde da su lišeni prava na očekivani profit od vrijednosti golf projekta, a što predstavlja direktno izvlaštenje bez naknade učinjene od strane Republike Hrvatske.</w:t>
      </w:r>
    </w:p>
    <w:p w14:paraId="281D9F13" w14:textId="77777777" w:rsidR="0049175B" w:rsidRPr="001B4CA2" w:rsidRDefault="0049175B" w:rsidP="0049175B"/>
    <w:p w14:paraId="136C6064" w14:textId="77777777" w:rsidR="0049175B" w:rsidRPr="001B4CA2" w:rsidRDefault="0049175B" w:rsidP="0049175B">
      <w:pPr>
        <w:ind w:firstLine="708"/>
      </w:pPr>
      <w:r w:rsidRPr="001B4CA2">
        <w:t>U ovom predmetu provedeno je ročište u listopadu 2021. godine.</w:t>
      </w:r>
    </w:p>
    <w:p w14:paraId="3FBA908E" w14:textId="77777777" w:rsidR="0049175B" w:rsidRPr="001B4CA2" w:rsidRDefault="0049175B" w:rsidP="0049175B">
      <w:pPr>
        <w:rPr>
          <w:highlight w:val="yellow"/>
        </w:rPr>
      </w:pPr>
    </w:p>
    <w:p w14:paraId="73486236" w14:textId="77777777" w:rsidR="0049175B" w:rsidRPr="001B4CA2" w:rsidRDefault="0049175B" w:rsidP="0049175B">
      <w:r w:rsidRPr="001B4CA2">
        <w:t>2.-3.</w:t>
      </w:r>
      <w:r w:rsidRPr="001B4CA2">
        <w:tab/>
        <w:t>Arbitražni postupci koje su pokrenule banke zbog navodne štete koja im je nanesena donošenjem Zakona o izmjenama i dopunama Zakona o potrošačkom kreditiranju i Zakona o izmjenama i dopunama Zakona o kreditnim institucijama. Naime, korisnicima kredita dano je pravo, a bankama nametnuta obveza da ranije sklopljene ugovore o kreditu s deviznom klauzulom s obračunskom jedinicom švicarski franak retroaktivno izmijene tako da se krediti preračunaju u eure, i to po tečaju koji je vrijedio u vrijeme sklapanja ugovora o kreditu, čime je novi obračun, kako tvrde banke, bio na njihovu štetu, kao i sav trošak konverzije kredita.</w:t>
      </w:r>
    </w:p>
    <w:p w14:paraId="3AECAE86" w14:textId="77777777" w:rsidR="0049175B" w:rsidRPr="001B4CA2" w:rsidRDefault="0049175B" w:rsidP="0049175B"/>
    <w:p w14:paraId="24F01CBA" w14:textId="77777777" w:rsidR="0049175B" w:rsidRPr="001B4CA2" w:rsidRDefault="0049175B" w:rsidP="0049175B">
      <w:pPr>
        <w:ind w:firstLine="708"/>
      </w:pPr>
      <w:r w:rsidRPr="001B4CA2">
        <w:t xml:space="preserve">Tužitelji </w:t>
      </w:r>
      <w:proofErr w:type="spellStart"/>
      <w:r w:rsidRPr="001B4CA2">
        <w:t>Addiko</w:t>
      </w:r>
      <w:proofErr w:type="spellEnd"/>
      <w:r w:rsidRPr="001B4CA2">
        <w:t xml:space="preserve"> Bank AG i </w:t>
      </w:r>
      <w:proofErr w:type="spellStart"/>
      <w:r w:rsidRPr="001B4CA2">
        <w:t>Addiko</w:t>
      </w:r>
      <w:proofErr w:type="spellEnd"/>
      <w:r w:rsidRPr="001B4CA2">
        <w:t xml:space="preserve"> Bank d.d., austrijski investitori, protiv Republike Hrvatske pokrenuli su arbitražni postupak pred ICSID-om radi naknade štete u iznosu 201.100.000,00 EUR, a nakon naših prigovora snizili su tužbeni zahtjev na 160.000.000,00 EUR. U ovom predmetu održano je ročište u ožujku 2021. godine.</w:t>
      </w:r>
    </w:p>
    <w:p w14:paraId="2A8AE171" w14:textId="77777777" w:rsidR="0049175B" w:rsidRPr="001B4CA2" w:rsidRDefault="0049175B" w:rsidP="0049175B"/>
    <w:p w14:paraId="2CF765AC" w14:textId="77777777" w:rsidR="0049175B" w:rsidRPr="001B4CA2" w:rsidRDefault="0049175B" w:rsidP="0049175B">
      <w:pPr>
        <w:ind w:firstLine="708"/>
      </w:pPr>
      <w:r w:rsidRPr="001B4CA2">
        <w:t>Francuski investitor Societe Generale S.A. pokrenuo je arbitražni postupak pred ICSID-om radi naknade štete u iznosu 37.000.000,00 EUR, te je u rujnu 2022. godine podnesen odgovor na tužbu.</w:t>
      </w:r>
    </w:p>
    <w:p w14:paraId="2A04451D" w14:textId="77777777" w:rsidR="0049175B" w:rsidRPr="001B4CA2" w:rsidRDefault="0049175B" w:rsidP="0049175B"/>
    <w:p w14:paraId="00DC23E9" w14:textId="77777777" w:rsidR="0049175B" w:rsidRPr="001B4CA2" w:rsidRDefault="0049175B" w:rsidP="0049175B">
      <w:pPr>
        <w:rPr>
          <w:snapToGrid w:val="0"/>
        </w:rPr>
      </w:pPr>
      <w:r w:rsidRPr="001B4CA2">
        <w:t>4.</w:t>
      </w:r>
      <w:r w:rsidRPr="001B4CA2">
        <w:tab/>
        <w:t xml:space="preserve">Tužitelj Marko Mihaljević, njemački investitor, pokrenuo je arbitražni postupak radi naknade štete u iznosu </w:t>
      </w:r>
      <w:r w:rsidRPr="001B4CA2">
        <w:rPr>
          <w:snapToGrid w:val="0"/>
        </w:rPr>
        <w:t>cca 200.000.000,00 EUR.</w:t>
      </w:r>
      <w:r w:rsidRPr="001B4CA2">
        <w:t xml:space="preserve"> </w:t>
      </w:r>
      <w:r w:rsidRPr="001B4CA2">
        <w:rPr>
          <w:snapToGrid w:val="0"/>
        </w:rPr>
        <w:t>U svom zahtjevu tužitelj tvrdi da je njegov otac Srećko Mihaljević izvršio ulaganje u Republiku Hrvatsku na način da je u srpnju 1993. godine kupio nekretninu od poduzeća u društvenom vlasništvu Gortan Građevinarstvo (Gortan) za cca 1 milijun EUR, koju je navodno kasnije darovao svome sinu, tužitelju Marku Mihaljeviću, a nadležna tijela lišila su podnositelja zahtjeva njegovih prava na nekretnini.</w:t>
      </w:r>
    </w:p>
    <w:p w14:paraId="185A41DE" w14:textId="77777777" w:rsidR="0049175B" w:rsidRPr="001B4CA2" w:rsidRDefault="0049175B" w:rsidP="0049175B">
      <w:pPr>
        <w:rPr>
          <w:snapToGrid w:val="0"/>
        </w:rPr>
      </w:pPr>
    </w:p>
    <w:p w14:paraId="599D992C" w14:textId="4C5159CC" w:rsidR="0049175B" w:rsidRPr="001B4CA2" w:rsidRDefault="0049175B" w:rsidP="0049175B">
      <w:pPr>
        <w:ind w:firstLine="708"/>
      </w:pPr>
      <w:r w:rsidRPr="001B4CA2">
        <w:t>U ovom predmetu u tijeku je postupak osporavanja nadležnosti te je ročište održano u studenom 2022. godine.</w:t>
      </w:r>
    </w:p>
    <w:p w14:paraId="0E0A02D1" w14:textId="77777777" w:rsidR="0049175B" w:rsidRPr="001B4CA2" w:rsidRDefault="0049175B" w:rsidP="0049175B"/>
    <w:p w14:paraId="311AD535" w14:textId="286A59B4" w:rsidR="0049175B" w:rsidRPr="001B4CA2" w:rsidRDefault="0049175B" w:rsidP="0049175B">
      <w:r w:rsidRPr="001B4CA2">
        <w:t>5.</w:t>
      </w:r>
      <w:r w:rsidRPr="001B4CA2">
        <w:tab/>
        <w:t>Podnositelji zahtjeva za arbitražu Adria Group B.V. i Adria Group Holding B.V., nizozemska trgovačka društva, ističu da je Republika Hrvatska donošenjem Zakona o postupku izvanredne uprave u trgovačkim društvima od sistemsk</w:t>
      </w:r>
      <w:r w:rsidR="00246183">
        <w:t xml:space="preserve">e važnosti </w:t>
      </w:r>
      <w:r w:rsidRPr="001B4CA2">
        <w:t>za Republiku Hrvatsku iz 2017. godine povrijedila ugovor o poticanju i uzajamnoj zaštiti ulaganja između Republike Hrvatske i Kraljevine Nizozemske te potražuju naknadu štete u iznosu više milijardi EUR.</w:t>
      </w:r>
    </w:p>
    <w:p w14:paraId="6D721E74" w14:textId="77777777" w:rsidR="0049175B" w:rsidRPr="001B4CA2" w:rsidRDefault="0049175B" w:rsidP="0049175B"/>
    <w:p w14:paraId="4E073DED" w14:textId="31C7724B" w:rsidR="0049175B" w:rsidRPr="001B4CA2" w:rsidRDefault="0049175B" w:rsidP="0049175B">
      <w:pPr>
        <w:ind w:firstLine="708"/>
      </w:pPr>
      <w:r w:rsidRPr="001B4CA2">
        <w:t xml:space="preserve">Republika Hrvatska postavila je zahtjev da se u postupku odvojeno odlučuje o nadležnosti Arbitražnog </w:t>
      </w:r>
      <w:r w:rsidR="00246183">
        <w:t>t</w:t>
      </w:r>
      <w:r w:rsidRPr="001B4CA2">
        <w:t xml:space="preserve">ribunala za odlučivanje u predmetnoj pravnoj stvari, prije rasprave o meritumu tužbenog zahtjeva te se Arbitražni tribunal izabran u ovome </w:t>
      </w:r>
      <w:r w:rsidRPr="001B4CA2">
        <w:lastRenderedPageBreak/>
        <w:t>predmetu suglasio s ovim zahtjevom. Slijedom navedenoga, u studenom</w:t>
      </w:r>
      <w:r w:rsidR="00246183">
        <w:t>e</w:t>
      </w:r>
      <w:r w:rsidRPr="001B4CA2">
        <w:t xml:space="preserve"> 2022. godine održano je ročište o nadležnosti.</w:t>
      </w:r>
    </w:p>
    <w:p w14:paraId="06DF9B9F" w14:textId="77777777" w:rsidR="0049175B" w:rsidRPr="001B4CA2" w:rsidRDefault="0049175B" w:rsidP="0049175B"/>
    <w:p w14:paraId="4B61D32A" w14:textId="68A0FECD" w:rsidR="0049175B" w:rsidRPr="001B4CA2" w:rsidRDefault="0049175B" w:rsidP="0049175B">
      <w:r w:rsidRPr="001B4CA2">
        <w:t>6.</w:t>
      </w:r>
      <w:r w:rsidRPr="001B4CA2">
        <w:tab/>
        <w:t xml:space="preserve">U 2020. godini registriran je zahtjev tužitelja </w:t>
      </w:r>
      <w:proofErr w:type="spellStart"/>
      <w:r w:rsidRPr="001B4CA2">
        <w:t>Ahron</w:t>
      </w:r>
      <w:r w:rsidR="00246183">
        <w:t>a</w:t>
      </w:r>
      <w:proofErr w:type="spellEnd"/>
      <w:r w:rsidRPr="001B4CA2">
        <w:t xml:space="preserve"> G. </w:t>
      </w:r>
      <w:proofErr w:type="spellStart"/>
      <w:r w:rsidRPr="001B4CA2">
        <w:t>Frenkela</w:t>
      </w:r>
      <w:proofErr w:type="spellEnd"/>
      <w:r w:rsidRPr="001B4CA2">
        <w:t xml:space="preserve"> pred ICSID-om. Postupak je pokrenut na temelju </w:t>
      </w:r>
      <w:proofErr w:type="spellStart"/>
      <w:r w:rsidRPr="001B4CA2">
        <w:t>BITa</w:t>
      </w:r>
      <w:proofErr w:type="spellEnd"/>
      <w:r w:rsidRPr="001B4CA2">
        <w:t xml:space="preserve"> Hrvatska – Izrael, a radi naknade štete u iznosu od 309.000.000,00 EUR. Tužitelj tvrdi da je lišen prava na očekivani profit od vrijednosti golf projekta, koji je njegova investicija, a što predstavlja direktno izvlaštenje bez naknade učinjene od strane Republike Hrvatske. Naime, iako je uložio znatna sredstva za razvoj tog projekta (kupnja zemljišta i podnošenje brojne dokumentacije u cilju usklađenja prostorno-planskih akata)</w:t>
      </w:r>
      <w:r w:rsidR="00246183">
        <w:t>,</w:t>
      </w:r>
      <w:r w:rsidRPr="001B4CA2">
        <w:t xml:space="preserve"> on se nije realizirao ni nakon više od 10 godina, a sve jer upravna tijela i sudovi nisu odobrili projekt zbog djelovanja brojnih nevladinih organizacija, populističkih grupa i političara koji su utjecali na donošenje takvih odluka.</w:t>
      </w:r>
    </w:p>
    <w:p w14:paraId="02EED923" w14:textId="77777777" w:rsidR="0049175B" w:rsidRPr="001B4CA2" w:rsidRDefault="0049175B" w:rsidP="0049175B"/>
    <w:p w14:paraId="200CD641" w14:textId="69F55E54" w:rsidR="0049175B" w:rsidRPr="001B4CA2" w:rsidRDefault="0049175B" w:rsidP="0049175B">
      <w:pPr>
        <w:ind w:firstLine="708"/>
      </w:pPr>
      <w:r w:rsidRPr="001B4CA2">
        <w:t xml:space="preserve">U ovom je </w:t>
      </w:r>
      <w:r w:rsidR="00246183" w:rsidRPr="001B4CA2">
        <w:t xml:space="preserve">predmetu </w:t>
      </w:r>
      <w:r w:rsidRPr="001B4CA2">
        <w:t xml:space="preserve">podnesen prijedlog za bifurkaciju, odnosno prigovor nenadležnosti, a Tribunal je donio odluku o zastoju ovog postupka do donošenja odluke u predmetu </w:t>
      </w:r>
      <w:proofErr w:type="spellStart"/>
      <w:r w:rsidRPr="001B4CA2">
        <w:t>Elitech</w:t>
      </w:r>
      <w:proofErr w:type="spellEnd"/>
      <w:r w:rsidRPr="001B4CA2">
        <w:t xml:space="preserve"> B.V. i Golf razvoj d.o.o. protiv Republike Hrvatske.</w:t>
      </w:r>
    </w:p>
    <w:p w14:paraId="27843A7B" w14:textId="77777777" w:rsidR="0049175B" w:rsidRPr="001B4CA2" w:rsidRDefault="0049175B" w:rsidP="0049175B"/>
    <w:p w14:paraId="16C45A60" w14:textId="77777777" w:rsidR="0049175B" w:rsidRPr="001B4CA2" w:rsidRDefault="0049175B" w:rsidP="0049175B">
      <w:r w:rsidRPr="001B4CA2">
        <w:t>7.</w:t>
      </w:r>
      <w:r w:rsidRPr="001B4CA2">
        <w:tab/>
        <w:t xml:space="preserve">Po UNCITRAL Arbitražnim pravilima, kanadski državljanin </w:t>
      </w:r>
      <w:proofErr w:type="spellStart"/>
      <w:r w:rsidRPr="001B4CA2">
        <w:t>Haakon</w:t>
      </w:r>
      <w:proofErr w:type="spellEnd"/>
      <w:r w:rsidRPr="001B4CA2">
        <w:t xml:space="preserve"> </w:t>
      </w:r>
      <w:proofErr w:type="spellStart"/>
      <w:r w:rsidRPr="001B4CA2">
        <w:t>Korsgaard</w:t>
      </w:r>
      <w:proofErr w:type="spellEnd"/>
      <w:r w:rsidRPr="001B4CA2">
        <w:t xml:space="preserve"> pokrenuo je arbitražni postupak protiv Republike Hrvatske radi naknade štete zbog navodne povrede članka 12. stavka 4. Sporazuma između Vlade Republike Hrvatske i Vlade Kanade o poticanju i zaštiti ulaganja jer mu nije omogućeno stjecanje prava vlasništva na nekretninama u Republici Hrvatskoj koje su ranije bile društveno vlasništvo s pravom korištenja društvenih poduzeća iz Republike Srbije, a prema stanju vlasništva na dan 31. prosinca 1990. U ovom postupku osporeno je da bi tužitelj izvršio ulaganje u Republiku Hrvatsku te istaknuto da se vlasnička prava ne mogu stjecati izravno na temelju Sporazuma o sukcesiji, Aneksu G. Nadalje, istaknut je prigovor da arbitražna klauzula ne pokriva pitanja sukcesije.</w:t>
      </w:r>
    </w:p>
    <w:p w14:paraId="05CBD89D" w14:textId="77777777" w:rsidR="0049175B" w:rsidRPr="001B4CA2" w:rsidRDefault="0049175B" w:rsidP="0049175B"/>
    <w:p w14:paraId="7841BA4D" w14:textId="0530A5A5" w:rsidR="0049175B" w:rsidRPr="001B4CA2" w:rsidRDefault="0049175B" w:rsidP="0049175B">
      <w:pPr>
        <w:ind w:firstLine="708"/>
        <w:rPr>
          <w:rFonts w:eastAsia="Times New Roman"/>
          <w:color w:val="181818"/>
          <w:lang w:eastAsia="hr-HR"/>
        </w:rPr>
      </w:pPr>
      <w:r w:rsidRPr="001B4CA2">
        <w:t xml:space="preserve">Arbitražno sudište je </w:t>
      </w:r>
      <w:r w:rsidRPr="001B4CA2">
        <w:rPr>
          <w:rFonts w:eastAsia="Times New Roman"/>
          <w:color w:val="181818"/>
          <w:lang w:eastAsia="hr-HR"/>
        </w:rPr>
        <w:t>7. studenog</w:t>
      </w:r>
      <w:r w:rsidR="00246183">
        <w:rPr>
          <w:rFonts w:eastAsia="Times New Roman"/>
          <w:color w:val="181818"/>
          <w:lang w:eastAsia="hr-HR"/>
        </w:rPr>
        <w:t>a</w:t>
      </w:r>
      <w:r w:rsidRPr="001B4CA2">
        <w:rPr>
          <w:rFonts w:eastAsia="Times New Roman"/>
          <w:color w:val="181818"/>
          <w:lang w:eastAsia="hr-HR"/>
        </w:rPr>
        <w:t xml:space="preserve"> 2022. objavilo odluku kojom je, prihvaćajući </w:t>
      </w:r>
      <w:r w:rsidRPr="001B4CA2">
        <w:t>tvrdnje Državnog odvjetništva Republike Hrvatske da se Aneks G Ugovora o pitanjima sukcesije ne može neposredno primijeniti nego je potrebno sklopiti bilateralni ugovor u kojem će se razriješiti svi imovinskopravni odnosi između Republike Hrvatske i Republike Srbije pa tako i pitanje ratne štete, u cijelosti odbilo tužitelja s tužbenim zahtjevom radi naknade štete u iznosu 230.000.000,00 EUR te dosudilo Republici Hrvatskoj trošak u iznosu 126.000,00 EUR.</w:t>
      </w:r>
    </w:p>
    <w:p w14:paraId="0C950FD1" w14:textId="77777777" w:rsidR="0049175B" w:rsidRPr="001B4CA2" w:rsidRDefault="0049175B" w:rsidP="0049175B"/>
    <w:p w14:paraId="4D8C7182" w14:textId="6AC0E2C3" w:rsidR="0049175B" w:rsidRPr="001B4CA2" w:rsidRDefault="0049175B" w:rsidP="0049175B">
      <w:pPr>
        <w:rPr>
          <w:lang w:eastAsia="hr-HR"/>
        </w:rPr>
      </w:pPr>
      <w:r w:rsidRPr="001B4CA2">
        <w:t>8.</w:t>
      </w:r>
      <w:r w:rsidRPr="001B4CA2">
        <w:tab/>
        <w:t xml:space="preserve">Arbitražni postupak koji su u veljači 2020. godine protiv Republike Hrvatske pokrenule </w:t>
      </w:r>
      <w:proofErr w:type="spellStart"/>
      <w:r w:rsidRPr="001B4CA2">
        <w:t>Raiffeisenbank</w:t>
      </w:r>
      <w:proofErr w:type="spellEnd"/>
      <w:r w:rsidRPr="001B4CA2">
        <w:t xml:space="preserve"> International AG i </w:t>
      </w:r>
      <w:proofErr w:type="spellStart"/>
      <w:r w:rsidRPr="001B4CA2">
        <w:t>Raiffeisenbank</w:t>
      </w:r>
      <w:proofErr w:type="spellEnd"/>
      <w:r w:rsidRPr="001B4CA2">
        <w:t xml:space="preserve"> </w:t>
      </w:r>
      <w:proofErr w:type="spellStart"/>
      <w:r w:rsidRPr="001B4CA2">
        <w:t>Austria</w:t>
      </w:r>
      <w:proofErr w:type="spellEnd"/>
      <w:r w:rsidRPr="001B4CA2">
        <w:t xml:space="preserve"> d.d. prema UNCITRAL Arbitražnim pravilima, a zbog povrede Ugovora o poticanju i zaštiti ulaganja sklopljenog</w:t>
      </w:r>
      <w:r w:rsidR="00246183">
        <w:t>a</w:t>
      </w:r>
      <w:r w:rsidRPr="001B4CA2">
        <w:t xml:space="preserve"> između Republike Hrvatske i Republike Austrije, do koje je prema tvrdnjama tužitelja došlo donošenjem Zakona o postupku izvanredne uprave u trgovačkim društvima od sistemsk</w:t>
      </w:r>
      <w:r w:rsidR="00246183">
        <w:t xml:space="preserve">e važnosti </w:t>
      </w:r>
      <w:r w:rsidRPr="001B4CA2">
        <w:t>za Republiku Hrvatsk</w:t>
      </w:r>
      <w:r w:rsidR="00246183">
        <w:t>u</w:t>
      </w:r>
      <w:r w:rsidRPr="001B4CA2">
        <w:t xml:space="preserve"> iz 2017. godine, u međuvremenu je bio u zastoju. Naime, n</w:t>
      </w:r>
      <w:r w:rsidRPr="001B4CA2">
        <w:rPr>
          <w:shd w:val="clear" w:color="auto" w:fill="FFFFFF"/>
          <w:lang w:eastAsia="hr-HR"/>
        </w:rPr>
        <w:t>akon što su se stranke suglasile oko Frankfurta kao mjesta arbitraže, Republika Hrvatska iskoristila je mogućnost propisanu njemačkim zakonom o građanskom postupku</w:t>
      </w:r>
      <w:r w:rsidRPr="001B4CA2">
        <w:rPr>
          <w:lang w:eastAsia="hr-HR"/>
        </w:rPr>
        <w:t xml:space="preserve"> te je pred Visokim regionalnim sudom u Frankfurtu (OLG-</w:t>
      </w:r>
      <w:proofErr w:type="spellStart"/>
      <w:r w:rsidRPr="001B4CA2">
        <w:rPr>
          <w:lang w:eastAsia="hr-HR"/>
        </w:rPr>
        <w:t>Oberlandesgericht</w:t>
      </w:r>
      <w:proofErr w:type="spellEnd"/>
      <w:r w:rsidRPr="001B4CA2">
        <w:rPr>
          <w:lang w:eastAsia="hr-HR"/>
        </w:rPr>
        <w:t>)</w:t>
      </w:r>
      <w:r w:rsidRPr="001B4CA2">
        <w:rPr>
          <w:b/>
          <w:lang w:eastAsia="hr-HR"/>
        </w:rPr>
        <w:t xml:space="preserve"> </w:t>
      </w:r>
      <w:r w:rsidRPr="001B4CA2">
        <w:rPr>
          <w:lang w:eastAsia="hr-HR"/>
        </w:rPr>
        <w:t>pokrenula postupak radi utvrđenja da je predmetni arbitražni postupak nedopustiv</w:t>
      </w:r>
      <w:r w:rsidRPr="00246183">
        <w:rPr>
          <w:bCs/>
          <w:lang w:eastAsia="hr-HR"/>
        </w:rPr>
        <w:t>.</w:t>
      </w:r>
      <w:r w:rsidRPr="001B4CA2">
        <w:rPr>
          <w:b/>
          <w:lang w:eastAsia="hr-HR"/>
        </w:rPr>
        <w:t xml:space="preserve"> </w:t>
      </w:r>
      <w:r w:rsidRPr="001B4CA2">
        <w:rPr>
          <w:lang w:eastAsia="hr-HR"/>
        </w:rPr>
        <w:t xml:space="preserve">Taj je sud 11. veljače 2021. donio odluku kojom je prihvaćen zahtjev Republike Hrvatske </w:t>
      </w:r>
      <w:r w:rsidRPr="001B4CA2">
        <w:rPr>
          <w:snapToGrid w:val="0"/>
        </w:rPr>
        <w:t xml:space="preserve">te je utvrđeno da je predmetni arbitražni postupak nedopustiv i da se ne može nastaviti jer je arbitražna </w:t>
      </w:r>
      <w:r w:rsidRPr="001B4CA2">
        <w:rPr>
          <w:snapToGrid w:val="0"/>
        </w:rPr>
        <w:lastRenderedPageBreak/>
        <w:t xml:space="preserve">klauzula nevaljana (a sve kao posljedica utvrđenja iz odluke Suda Europske unije u predmetu </w:t>
      </w:r>
      <w:proofErr w:type="spellStart"/>
      <w:r w:rsidRPr="001B4CA2">
        <w:rPr>
          <w:snapToGrid w:val="0"/>
        </w:rPr>
        <w:t>Achmea</w:t>
      </w:r>
      <w:proofErr w:type="spellEnd"/>
      <w:r w:rsidRPr="001B4CA2">
        <w:rPr>
          <w:snapToGrid w:val="0"/>
        </w:rPr>
        <w:t xml:space="preserve">, odnosno daljnjeg razvoja događaja s tim u vezi). </w:t>
      </w:r>
      <w:r w:rsidRPr="001B4CA2">
        <w:rPr>
          <w:lang w:eastAsia="hr-HR"/>
        </w:rPr>
        <w:t xml:space="preserve">O žalbi banaka tuženika odlučivao je njemački Savezni sud pravde </w:t>
      </w:r>
      <w:r w:rsidRPr="001B4CA2">
        <w:rPr>
          <w:iCs/>
          <w:lang w:eastAsia="hr-HR"/>
        </w:rPr>
        <w:t>(</w:t>
      </w:r>
      <w:proofErr w:type="spellStart"/>
      <w:r w:rsidRPr="001B4CA2">
        <w:rPr>
          <w:iCs/>
          <w:shd w:val="clear" w:color="auto" w:fill="FFFFFF"/>
          <w:lang w:eastAsia="hr-HR"/>
        </w:rPr>
        <w:t>Bundesgerichtshof</w:t>
      </w:r>
      <w:proofErr w:type="spellEnd"/>
      <w:r w:rsidRPr="001B4CA2">
        <w:rPr>
          <w:iCs/>
          <w:shd w:val="clear" w:color="auto" w:fill="FFFFFF"/>
          <w:lang w:eastAsia="hr-HR"/>
        </w:rPr>
        <w:t>-BGH) te je dana 30. studenoga 2021. donio odluku kojom je žalbu tuženika odbacio.</w:t>
      </w:r>
    </w:p>
    <w:p w14:paraId="1FEB64FD" w14:textId="77777777" w:rsidR="0049175B" w:rsidRPr="001B4CA2" w:rsidRDefault="0049175B" w:rsidP="0049175B">
      <w:pPr>
        <w:rPr>
          <w:shd w:val="clear" w:color="auto" w:fill="FFFFFF"/>
          <w:lang w:eastAsia="hr-HR"/>
        </w:rPr>
      </w:pPr>
    </w:p>
    <w:p w14:paraId="248E12CE" w14:textId="7C49DCE5" w:rsidR="0049175B" w:rsidRPr="001B4CA2" w:rsidRDefault="0049175B" w:rsidP="0049175B">
      <w:pPr>
        <w:ind w:firstLine="708"/>
      </w:pPr>
      <w:r w:rsidRPr="001B4CA2">
        <w:rPr>
          <w:shd w:val="clear" w:color="auto" w:fill="FFFFFF"/>
          <w:lang w:eastAsia="hr-HR"/>
        </w:rPr>
        <w:t>Nakon zaprimanja tužbe u predmetu dana 14. svibnja 2021. postupak je suglasnom odlukom stranaka bio u zastoju do donošenja odluke njemačkoga Saveznog suda pravde/BGH,</w:t>
      </w:r>
      <w:r w:rsidRPr="001B4CA2">
        <w:t xml:space="preserve"> odnosno do proteka roka od 10 dana nakon dostave te odluke strankama. Nakon proteka tog roka stranke su suglasno od Tribunala zatražile obustavu postupaka te je Tribunal 14. lipnja 2022. izdao Nalog o prekidu i odluku o troškovima kojim je proglasio arbitražni postupak okončanim u skladu s pravilom o arbitraži UNCITRAL 34(2) te dosudio Republici Hrvatskoj trošak u iznosu od 463.609,34 </w:t>
      </w:r>
      <w:r w:rsidR="00246183">
        <w:t>EUR</w:t>
      </w:r>
      <w:r w:rsidRPr="001B4CA2">
        <w:t>, a koji su iznos tužitelji 25. travnja 2022. uplatili u državni proračun Republike Hrvatske.</w:t>
      </w:r>
    </w:p>
    <w:p w14:paraId="79743AF4" w14:textId="77777777" w:rsidR="0049175B" w:rsidRPr="001B4CA2" w:rsidRDefault="0049175B" w:rsidP="0049175B"/>
    <w:p w14:paraId="7B06A5D6" w14:textId="38AC35AD" w:rsidR="0049175B" w:rsidRPr="001B4CA2" w:rsidRDefault="0049175B" w:rsidP="0049175B">
      <w:pPr>
        <w:ind w:firstLine="708"/>
      </w:pPr>
      <w:r w:rsidRPr="001B4CA2">
        <w:t>Ističe se da je pokretanjem sudskog postupka i usvajanjem zahtjeva pred njemačkim sudovima, a koji je rezultirao obustavom arbitražnog postupka, Republika Hrvatska ishodila odluku koja predstavlja presedan u međunarodnim okvirima</w:t>
      </w:r>
      <w:r w:rsidR="00246183">
        <w:t>,</w:t>
      </w:r>
      <w:r w:rsidRPr="001B4CA2">
        <w:t xml:space="preserve"> odnosno ostvaren je uspjeh koji do tada nije zabilježen u ovakvoj vrsti sporova. Ta je odluka potaknula pojedine</w:t>
      </w:r>
      <w:r w:rsidR="00FD08E9">
        <w:t xml:space="preserve"> </w:t>
      </w:r>
      <w:r w:rsidRPr="001B4CA2">
        <w:t>države članice Europske unije da i one svoje sporove slične vrste pokušaju riješiti na taj način.</w:t>
      </w:r>
    </w:p>
    <w:p w14:paraId="4915050B" w14:textId="77777777" w:rsidR="0049175B" w:rsidRPr="001B4CA2" w:rsidRDefault="0049175B" w:rsidP="0049175B"/>
    <w:p w14:paraId="466F4C0A" w14:textId="13E4C040" w:rsidR="0049175B" w:rsidRPr="001B4CA2" w:rsidRDefault="0049175B" w:rsidP="0049175B">
      <w:pPr>
        <w:rPr>
          <w:rFonts w:eastAsia="Times New Roman"/>
          <w:lang w:eastAsia="hr-HR"/>
        </w:rPr>
      </w:pPr>
      <w:r w:rsidRPr="001B4CA2">
        <w:t>9.</w:t>
      </w:r>
      <w:r w:rsidRPr="001B4CA2">
        <w:tab/>
        <w:t xml:space="preserve">Po UNCITRAL Arbitražnim pravilima </w:t>
      </w:r>
      <w:r w:rsidRPr="001B4CA2">
        <w:rPr>
          <w:snapToGrid w:val="0"/>
        </w:rPr>
        <w:t xml:space="preserve">MOL </w:t>
      </w:r>
      <w:proofErr w:type="spellStart"/>
      <w:r w:rsidRPr="001B4CA2">
        <w:rPr>
          <w:snapToGrid w:val="0"/>
        </w:rPr>
        <w:t>Hungarian</w:t>
      </w:r>
      <w:proofErr w:type="spellEnd"/>
      <w:r w:rsidRPr="001B4CA2">
        <w:rPr>
          <w:snapToGrid w:val="0"/>
        </w:rPr>
        <w:t xml:space="preserve"> Oil </w:t>
      </w:r>
      <w:proofErr w:type="spellStart"/>
      <w:r w:rsidRPr="001B4CA2">
        <w:rPr>
          <w:snapToGrid w:val="0"/>
        </w:rPr>
        <w:t>and</w:t>
      </w:r>
      <w:proofErr w:type="spellEnd"/>
      <w:r w:rsidRPr="001B4CA2">
        <w:rPr>
          <w:snapToGrid w:val="0"/>
        </w:rPr>
        <w:t xml:space="preserve"> Gas </w:t>
      </w:r>
      <w:proofErr w:type="spellStart"/>
      <w:r w:rsidRPr="001B4CA2">
        <w:rPr>
          <w:snapToGrid w:val="0"/>
        </w:rPr>
        <w:t>Plc</w:t>
      </w:r>
      <w:proofErr w:type="spellEnd"/>
      <w:r w:rsidRPr="001B4CA2">
        <w:rPr>
          <w:snapToGrid w:val="0"/>
        </w:rPr>
        <w:t>.</w:t>
      </w:r>
      <w:r w:rsidR="00246183">
        <w:rPr>
          <w:snapToGrid w:val="0"/>
        </w:rPr>
        <w:t xml:space="preserve"> </w:t>
      </w:r>
      <w:r w:rsidRPr="001B4CA2">
        <w:rPr>
          <w:snapToGrid w:val="0"/>
        </w:rPr>
        <w:t xml:space="preserve">(MOL) u listopadu </w:t>
      </w:r>
      <w:r w:rsidRPr="001B4CA2">
        <w:rPr>
          <w:rFonts w:eastAsia="Times New Roman"/>
          <w:snapToGrid w:val="0"/>
        </w:rPr>
        <w:t>2022. godine pokrenuo</w:t>
      </w:r>
      <w:r w:rsidR="00246183" w:rsidRPr="00246183">
        <w:rPr>
          <w:snapToGrid w:val="0"/>
        </w:rPr>
        <w:t xml:space="preserve"> </w:t>
      </w:r>
      <w:r w:rsidR="00246183" w:rsidRPr="001B4CA2">
        <w:rPr>
          <w:snapToGrid w:val="0"/>
        </w:rPr>
        <w:t>je</w:t>
      </w:r>
      <w:r w:rsidRPr="001B4CA2">
        <w:rPr>
          <w:rFonts w:eastAsia="Times New Roman"/>
          <w:snapToGrid w:val="0"/>
        </w:rPr>
        <w:t xml:space="preserve"> u svoje ime i u ime INA-Industrija Nafte d.d. (INA)</w:t>
      </w:r>
      <w:r w:rsidR="00246183">
        <w:rPr>
          <w:rFonts w:eastAsia="Times New Roman"/>
          <w:snapToGrid w:val="0"/>
        </w:rPr>
        <w:t>,</w:t>
      </w:r>
      <w:r w:rsidRPr="001B4CA2">
        <w:rPr>
          <w:rFonts w:eastAsia="Times New Roman"/>
          <w:snapToGrid w:val="0"/>
        </w:rPr>
        <w:t xml:space="preserve"> čiji je većinski dioničar, </w:t>
      </w:r>
      <w:r w:rsidRPr="001B4CA2">
        <w:rPr>
          <w:rFonts w:eastAsia="Times New Roman"/>
          <w:i/>
          <w:snapToGrid w:val="0"/>
        </w:rPr>
        <w:t xml:space="preserve">ad </w:t>
      </w:r>
      <w:proofErr w:type="spellStart"/>
      <w:r w:rsidRPr="001B4CA2">
        <w:rPr>
          <w:rFonts w:eastAsia="Times New Roman"/>
          <w:i/>
          <w:snapToGrid w:val="0"/>
        </w:rPr>
        <w:t>hoc</w:t>
      </w:r>
      <w:proofErr w:type="spellEnd"/>
      <w:r w:rsidRPr="001B4CA2">
        <w:rPr>
          <w:rFonts w:eastAsia="Times New Roman"/>
          <w:snapToGrid w:val="0"/>
        </w:rPr>
        <w:t xml:space="preserve"> arbitražni postupak protiv Republike Hrvatske tvrdeći da je Republika Hrvatska prekršila odredbe Glavnog ugovora o plinskom poslovanju od 30. siječnja 2009. (GMA) i Prve izmjene i dopune glavnog ugovora o plinskom poslovanju od 16. prosinca 2009. (FAGMA) kao i odredbe </w:t>
      </w:r>
      <w:proofErr w:type="spellStart"/>
      <w:r w:rsidRPr="001B4CA2">
        <w:rPr>
          <w:rFonts w:eastAsia="Times New Roman"/>
          <w:lang w:eastAsia="hr-HR"/>
        </w:rPr>
        <w:t>Međudioničarskog</w:t>
      </w:r>
      <w:proofErr w:type="spellEnd"/>
      <w:r w:rsidRPr="001B4CA2">
        <w:rPr>
          <w:rFonts w:eastAsia="Times New Roman"/>
          <w:lang w:eastAsia="hr-HR"/>
        </w:rPr>
        <w:t xml:space="preserve"> ugovora u odnosu na INA-u (SHA) </w:t>
      </w:r>
      <w:r w:rsidRPr="001B4CA2">
        <w:rPr>
          <w:rFonts w:eastAsia="Times New Roman"/>
          <w:snapToGrid w:val="0"/>
        </w:rPr>
        <w:t xml:space="preserve">od 17. srpnja 2003. te Prve izmjene i dopune </w:t>
      </w:r>
      <w:proofErr w:type="spellStart"/>
      <w:r w:rsidRPr="001B4CA2">
        <w:rPr>
          <w:rFonts w:eastAsia="Times New Roman"/>
          <w:snapToGrid w:val="0"/>
        </w:rPr>
        <w:t>međudioničarskog</w:t>
      </w:r>
      <w:proofErr w:type="spellEnd"/>
      <w:r w:rsidRPr="001B4CA2">
        <w:rPr>
          <w:rFonts w:eastAsia="Times New Roman"/>
          <w:snapToGrid w:val="0"/>
        </w:rPr>
        <w:t xml:space="preserve"> ugovora (FASHA) od 30. siječnja 2009. time što je između 2011. i 2015. godine prerano i protivno ugovorima povećala stope rudarske naknade za eksploataciju ugljikovodika koje je INA dužna plaćati. Ovaj zahtjev je bio dio spora koji je MOL pokrenuo pred </w:t>
      </w:r>
      <w:r w:rsidRPr="001B4CA2">
        <w:rPr>
          <w:rFonts w:eastAsia="Times New Roman"/>
          <w:lang w:eastAsia="hr-HR"/>
        </w:rPr>
        <w:t>ICSID-om u predmetu oznake ARB/13/32 te se Tribunal u arbitražnom pravorijeku od 5. srpnja 2022. oglasio nenadležnim u odnosu na njega, smatrajući kako se ne radi o investicijskom sporu.</w:t>
      </w:r>
    </w:p>
    <w:p w14:paraId="36C4FBB1" w14:textId="77777777" w:rsidR="0049175B" w:rsidRPr="001B4CA2" w:rsidRDefault="0049175B" w:rsidP="0049175B">
      <w:pPr>
        <w:rPr>
          <w:rFonts w:eastAsia="Times New Roman"/>
          <w:snapToGrid w:val="0"/>
        </w:rPr>
      </w:pPr>
    </w:p>
    <w:p w14:paraId="3DF889E5" w14:textId="605EBFB9" w:rsidR="0049175B" w:rsidRDefault="0049175B" w:rsidP="0049175B">
      <w:pPr>
        <w:ind w:firstLine="708"/>
        <w:rPr>
          <w:rFonts w:eastAsia="Times New Roman"/>
          <w:snapToGrid w:val="0"/>
        </w:rPr>
      </w:pPr>
      <w:r w:rsidRPr="001B4CA2">
        <w:rPr>
          <w:rFonts w:eastAsia="Times New Roman"/>
          <w:snapToGrid w:val="0"/>
        </w:rPr>
        <w:t>Tužitelj zahtijeva utvrđenje da je Republika Hrvatska povrijedila odredbe GMA, FAGMA, SHA i FASHA, naknadu štete koju su INA i MOL pretrpjeli zbog tih povreda</w:t>
      </w:r>
      <w:r w:rsidR="00246183">
        <w:rPr>
          <w:rFonts w:eastAsia="Times New Roman"/>
          <w:snapToGrid w:val="0"/>
        </w:rPr>
        <w:t>,</w:t>
      </w:r>
      <w:r w:rsidRPr="001B4CA2">
        <w:rPr>
          <w:rFonts w:eastAsia="Times New Roman"/>
          <w:snapToGrid w:val="0"/>
        </w:rPr>
        <w:t xml:space="preserve"> visina koje će se odrediti tijekom postupka kao i naknadu troškova, sve uz pripadajuću kamatu te je u tijeku konstituiranje Tribunala.</w:t>
      </w:r>
    </w:p>
    <w:p w14:paraId="2DEE10A6" w14:textId="12C3A1D2" w:rsidR="000268FF" w:rsidRDefault="000268FF" w:rsidP="0049175B">
      <w:pPr>
        <w:ind w:firstLine="708"/>
        <w:rPr>
          <w:rFonts w:eastAsia="Times New Roman"/>
          <w:snapToGrid w:val="0"/>
        </w:rPr>
      </w:pPr>
    </w:p>
    <w:p w14:paraId="7623AA7C" w14:textId="515055E6" w:rsidR="000268FF" w:rsidRDefault="000268FF" w:rsidP="0049175B">
      <w:pPr>
        <w:ind w:firstLine="708"/>
        <w:rPr>
          <w:rFonts w:eastAsia="Times New Roman"/>
          <w:snapToGrid w:val="0"/>
        </w:rPr>
      </w:pPr>
    </w:p>
    <w:p w14:paraId="11FC4654" w14:textId="1622BBF7" w:rsidR="000268FF" w:rsidRDefault="000268FF" w:rsidP="0049175B">
      <w:pPr>
        <w:ind w:firstLine="708"/>
        <w:rPr>
          <w:rFonts w:eastAsia="Times New Roman"/>
          <w:snapToGrid w:val="0"/>
        </w:rPr>
      </w:pPr>
    </w:p>
    <w:p w14:paraId="4D91B617" w14:textId="6A037582" w:rsidR="000268FF" w:rsidRDefault="000268FF" w:rsidP="0049175B">
      <w:pPr>
        <w:ind w:firstLine="708"/>
        <w:rPr>
          <w:rFonts w:eastAsia="Times New Roman"/>
          <w:snapToGrid w:val="0"/>
        </w:rPr>
      </w:pPr>
    </w:p>
    <w:p w14:paraId="21BFDE4F" w14:textId="58C04D9F" w:rsidR="000268FF" w:rsidRDefault="000268FF" w:rsidP="0049175B">
      <w:pPr>
        <w:ind w:firstLine="708"/>
        <w:rPr>
          <w:rFonts w:eastAsia="Times New Roman"/>
          <w:snapToGrid w:val="0"/>
        </w:rPr>
      </w:pPr>
    </w:p>
    <w:p w14:paraId="646EAD31" w14:textId="04F7283E" w:rsidR="000268FF" w:rsidRDefault="000268FF" w:rsidP="0049175B">
      <w:pPr>
        <w:ind w:firstLine="708"/>
        <w:rPr>
          <w:rFonts w:eastAsia="Times New Roman"/>
          <w:snapToGrid w:val="0"/>
        </w:rPr>
      </w:pPr>
    </w:p>
    <w:p w14:paraId="18CF742B" w14:textId="77777777" w:rsidR="000268FF" w:rsidRPr="001B4CA2" w:rsidRDefault="000268FF" w:rsidP="0049175B">
      <w:pPr>
        <w:ind w:firstLine="708"/>
        <w:rPr>
          <w:rFonts w:eastAsia="Times New Roman"/>
          <w:snapToGrid w:val="0"/>
        </w:rPr>
      </w:pPr>
    </w:p>
    <w:p w14:paraId="284A16E5" w14:textId="77777777" w:rsidR="00D3013F" w:rsidRPr="001B4CA2" w:rsidRDefault="00D3013F" w:rsidP="006262C8"/>
    <w:p w14:paraId="38A8C73A" w14:textId="2FEEFCF3" w:rsidR="00D3013F" w:rsidRPr="001B4CA2" w:rsidRDefault="00445C9C" w:rsidP="001C297A">
      <w:pPr>
        <w:pStyle w:val="Naslov5"/>
        <w:tabs>
          <w:tab w:val="left" w:pos="1276"/>
        </w:tabs>
        <w:ind w:left="142" w:firstLine="0"/>
      </w:pPr>
      <w:bookmarkStart w:id="160" w:name="_Toc133394390"/>
      <w:r w:rsidRPr="001B4CA2">
        <w:lastRenderedPageBreak/>
        <w:t>Troškovi arbitraža</w:t>
      </w:r>
      <w:r w:rsidR="0049175B" w:rsidRPr="001B4CA2">
        <w:t xml:space="preserve"> i sudskih postupaka pred stranim sudovima i </w:t>
      </w:r>
      <w:r w:rsidR="001C297A" w:rsidRPr="001B4CA2">
        <w:tab/>
      </w:r>
      <w:r w:rsidR="0049175B" w:rsidRPr="001B4CA2">
        <w:t>tijelima</w:t>
      </w:r>
      <w:bookmarkEnd w:id="160"/>
    </w:p>
    <w:p w14:paraId="3DEFC43A" w14:textId="77777777" w:rsidR="00D3013F" w:rsidRPr="001B4CA2" w:rsidRDefault="00D3013F" w:rsidP="00B34FEF"/>
    <w:p w14:paraId="4C417E94" w14:textId="77777777" w:rsidR="0049175B" w:rsidRPr="001B4CA2" w:rsidRDefault="0049175B" w:rsidP="0049175B">
      <w:pPr>
        <w:ind w:firstLine="708"/>
      </w:pPr>
      <w:r w:rsidRPr="001B4CA2">
        <w:t>Troškovi svih postupaka koji se vode u inozemstvu padaju na teret DORH-a te su iznimno visoki. Troškove arbitraže čine honorari stranog odvjetničkog društva, honorari i troškovi stručnih eksperata, jer prema pravilima ICSID-a domaće je pravo činjenica koja se dokazuje, troškovi prijevoda vrlo opsežne dokumentacije, honorari i troškovi vještaka, troškovi arbitara i sudišta, troškovi svjedoka, putovanja i smještaja za vrijeme trajanja rasprava itd.</w:t>
      </w:r>
    </w:p>
    <w:p w14:paraId="07A1D9E6" w14:textId="77777777" w:rsidR="0049175B" w:rsidRPr="001B4CA2" w:rsidRDefault="0049175B" w:rsidP="0049175B"/>
    <w:p w14:paraId="6730EFC5" w14:textId="77777777" w:rsidR="0049175B" w:rsidRPr="001B4CA2" w:rsidRDefault="0049175B" w:rsidP="0049175B">
      <w:pPr>
        <w:ind w:firstLine="708"/>
      </w:pPr>
      <w:r w:rsidRPr="001B4CA2">
        <w:t>Posebno treba naglasiti da je od 50.462.718 kuna (6.697.553,65 EUR),</w:t>
      </w:r>
      <w:r w:rsidRPr="001B4CA2">
        <w:rPr>
          <w:sz w:val="22"/>
          <w:szCs w:val="22"/>
        </w:rPr>
        <w:t xml:space="preserve"> </w:t>
      </w:r>
      <w:r w:rsidRPr="001B4CA2">
        <w:t>odobrenih sredstva za rad DORH-a u 2022. godini čak 56 %, odnosno 28.294.085 kuna (3.755.270,42 EUR) namijenjeno isključivo za troškove zastupanja u međunarodnim arbitražama i sudskim postupcima pred stranim sudovima i tijelima, sukladno odredbi članka 76. stavka 2. Zakona o državnom odvjetništvu.</w:t>
      </w:r>
    </w:p>
    <w:p w14:paraId="04AC36AC" w14:textId="77777777" w:rsidR="00D3013F" w:rsidRPr="001B4CA2" w:rsidRDefault="00D3013F" w:rsidP="00B34FEF"/>
    <w:p w14:paraId="60592FE3" w14:textId="14386312" w:rsidR="00BB4D48" w:rsidRPr="001B4CA2" w:rsidRDefault="00BB4D48" w:rsidP="00955E23">
      <w:pPr>
        <w:pStyle w:val="Naslov4"/>
        <w:tabs>
          <w:tab w:val="left" w:pos="851"/>
          <w:tab w:val="left" w:pos="1134"/>
        </w:tabs>
        <w:rPr>
          <w:rFonts w:ascii="Arial" w:hAnsi="Arial" w:cs="Arial"/>
        </w:rPr>
      </w:pPr>
      <w:bookmarkStart w:id="161" w:name="_Toc133394391"/>
      <w:r w:rsidRPr="001B4CA2">
        <w:rPr>
          <w:rFonts w:ascii="Arial" w:hAnsi="Arial" w:cs="Arial"/>
        </w:rPr>
        <w:t>Zastupanje</w:t>
      </w:r>
      <w:r w:rsidR="006262C8" w:rsidRPr="001B4CA2">
        <w:rPr>
          <w:rFonts w:ascii="Arial" w:hAnsi="Arial" w:cs="Arial"/>
        </w:rPr>
        <w:t xml:space="preserve"> </w:t>
      </w:r>
      <w:r w:rsidRPr="001B4CA2">
        <w:rPr>
          <w:rFonts w:ascii="Arial" w:hAnsi="Arial" w:cs="Arial"/>
        </w:rPr>
        <w:t>pred</w:t>
      </w:r>
      <w:r w:rsidR="006262C8" w:rsidRPr="001B4CA2">
        <w:rPr>
          <w:rFonts w:ascii="Arial" w:hAnsi="Arial" w:cs="Arial"/>
        </w:rPr>
        <w:t xml:space="preserve"> </w:t>
      </w:r>
      <w:r w:rsidR="00A60F77" w:rsidRPr="001B4CA2">
        <w:rPr>
          <w:rFonts w:ascii="Arial" w:hAnsi="Arial" w:cs="Arial"/>
        </w:rPr>
        <w:t>stranim</w:t>
      </w:r>
      <w:r w:rsidR="006262C8" w:rsidRPr="001B4CA2">
        <w:rPr>
          <w:rFonts w:ascii="Arial" w:hAnsi="Arial" w:cs="Arial"/>
        </w:rPr>
        <w:t xml:space="preserve"> </w:t>
      </w:r>
      <w:r w:rsidR="00A60F77" w:rsidRPr="001B4CA2">
        <w:rPr>
          <w:rFonts w:ascii="Arial" w:hAnsi="Arial" w:cs="Arial"/>
        </w:rPr>
        <w:t>sudovima</w:t>
      </w:r>
      <w:r w:rsidR="006262C8" w:rsidRPr="001B4CA2">
        <w:rPr>
          <w:rFonts w:ascii="Arial" w:hAnsi="Arial" w:cs="Arial"/>
        </w:rPr>
        <w:t xml:space="preserve"> </w:t>
      </w:r>
      <w:r w:rsidR="00A60F77" w:rsidRPr="001B4CA2">
        <w:rPr>
          <w:rFonts w:ascii="Arial" w:hAnsi="Arial" w:cs="Arial"/>
        </w:rPr>
        <w:t>i</w:t>
      </w:r>
      <w:r w:rsidR="006262C8" w:rsidRPr="001B4CA2">
        <w:rPr>
          <w:rFonts w:ascii="Arial" w:hAnsi="Arial" w:cs="Arial"/>
        </w:rPr>
        <w:t xml:space="preserve"> </w:t>
      </w:r>
      <w:r w:rsidR="00A60F77" w:rsidRPr="001B4CA2">
        <w:rPr>
          <w:rFonts w:ascii="Arial" w:hAnsi="Arial" w:cs="Arial"/>
        </w:rPr>
        <w:t>tijelima</w:t>
      </w:r>
      <w:bookmarkEnd w:id="161"/>
    </w:p>
    <w:p w14:paraId="3820A387" w14:textId="77777777" w:rsidR="00422BDD" w:rsidRPr="001B4CA2" w:rsidRDefault="00422BDD" w:rsidP="00422BDD"/>
    <w:p w14:paraId="54C0DCC3" w14:textId="77777777" w:rsidR="0049175B" w:rsidRPr="001B4CA2" w:rsidRDefault="0049175B" w:rsidP="0049175B">
      <w:pPr>
        <w:ind w:firstLine="567"/>
      </w:pPr>
      <w:r w:rsidRPr="001B4CA2">
        <w:t>U četiri je postupka DORH postupao pred sudovima drugih država:</w:t>
      </w:r>
    </w:p>
    <w:p w14:paraId="05E205E0" w14:textId="77777777" w:rsidR="0049175B" w:rsidRPr="001B4CA2" w:rsidRDefault="0049175B" w:rsidP="0049175B"/>
    <w:p w14:paraId="4B081E78" w14:textId="64581016" w:rsidR="0049175B" w:rsidRPr="001B4CA2" w:rsidRDefault="0049175B" w:rsidP="0049175B">
      <w:pPr>
        <w:pStyle w:val="Odlomakpopisa"/>
        <w:ind w:left="993"/>
      </w:pPr>
      <w:r w:rsidRPr="001B4CA2">
        <w:t>1. Pred Općinskim sudom u Tuzli u Bosni i Hercegovini protiv tuženice Republike Hrvatske vodi se parnica radi vraćanja stvari i naknade štete u iznosu od 370.000,00 k</w:t>
      </w:r>
      <w:r w:rsidR="00E152D9" w:rsidRPr="001B4CA2">
        <w:t>n</w:t>
      </w:r>
      <w:r w:rsidR="00246183">
        <w:t xml:space="preserve"> </w:t>
      </w:r>
      <w:r w:rsidR="00E152D9" w:rsidRPr="001B4CA2">
        <w:t>/</w:t>
      </w:r>
      <w:r w:rsidR="00246183">
        <w:t xml:space="preserve"> </w:t>
      </w:r>
      <w:r w:rsidR="00E152D9" w:rsidRPr="001B4CA2">
        <w:t>49.107,43 EUR</w:t>
      </w:r>
      <w:r w:rsidRPr="001B4CA2">
        <w:t xml:space="preserve">. DORH je osporio nadležnost Općinskog suda u Tuzli i tužbeni zahtjev u cijelosti, što je usvojeno </w:t>
      </w:r>
      <w:r w:rsidR="00246183">
        <w:t>te</w:t>
      </w:r>
      <w:r w:rsidRPr="001B4CA2">
        <w:t xml:space="preserve"> je </w:t>
      </w:r>
      <w:r w:rsidR="00246183" w:rsidRPr="001B4CA2">
        <w:t xml:space="preserve">tužba </w:t>
      </w:r>
      <w:r w:rsidRPr="001B4CA2">
        <w:t>odbačena. U tijeku je postupak po žalbi na navedenu odluku.</w:t>
      </w:r>
    </w:p>
    <w:p w14:paraId="1185AEFF" w14:textId="77777777" w:rsidR="0049175B" w:rsidRPr="001B4CA2" w:rsidRDefault="0049175B" w:rsidP="0049175B"/>
    <w:p w14:paraId="50973877" w14:textId="512B9D4D" w:rsidR="0049175B" w:rsidRPr="001B4CA2" w:rsidRDefault="0049175B" w:rsidP="0049175B">
      <w:pPr>
        <w:pStyle w:val="Odlomakpopisa"/>
        <w:ind w:left="993"/>
      </w:pPr>
      <w:r w:rsidRPr="001B4CA2">
        <w:t>2. Pred Općinskim sudom u Čapljini u Bosni i Hercegovini vodi se protiv tužene Republike Hrvatske parnični postupak radi naknade štete i isplate 125.576,00 k</w:t>
      </w:r>
      <w:r w:rsidR="00E152D9" w:rsidRPr="001B4CA2">
        <w:t>n</w:t>
      </w:r>
      <w:r w:rsidR="00246183">
        <w:t xml:space="preserve"> </w:t>
      </w:r>
      <w:r w:rsidR="00E152D9" w:rsidRPr="001B4CA2">
        <w:t>/</w:t>
      </w:r>
      <w:r w:rsidR="001C297A" w:rsidRPr="001B4CA2">
        <w:t xml:space="preserve"> </w:t>
      </w:r>
      <w:r w:rsidR="00E152D9" w:rsidRPr="001B4CA2">
        <w:t>16.666,79 EUR</w:t>
      </w:r>
      <w:r w:rsidRPr="001B4CA2">
        <w:t xml:space="preserve">. Tijekom ovog postupka osporena je nadležnost suda i dan je odgovor na tužbu s dokaznim prijedlozima. Općinski sud u Čapljini rješenjem iz svibnja 2022. godine oglasio </w:t>
      </w:r>
      <w:r w:rsidR="00246183" w:rsidRPr="001B4CA2">
        <w:t xml:space="preserve">se </w:t>
      </w:r>
      <w:r w:rsidRPr="001B4CA2">
        <w:t>nenadležnim i odbacio tužbu te je u tijeku postupak po žalbi tužitelja na to rješenje.</w:t>
      </w:r>
    </w:p>
    <w:p w14:paraId="545E002D" w14:textId="77777777" w:rsidR="0049175B" w:rsidRPr="001B4CA2" w:rsidRDefault="0049175B" w:rsidP="0049175B">
      <w:pPr>
        <w:rPr>
          <w:highlight w:val="yellow"/>
        </w:rPr>
      </w:pPr>
    </w:p>
    <w:p w14:paraId="35399B1C" w14:textId="77777777" w:rsidR="0049175B" w:rsidRPr="001B4CA2" w:rsidRDefault="0049175B" w:rsidP="0049175B">
      <w:pPr>
        <w:pStyle w:val="Odlomakpopisa"/>
        <w:ind w:left="1080"/>
      </w:pPr>
      <w:r w:rsidRPr="001B4CA2">
        <w:t>3. Pred Okružnim sudom Sjedinjenih Američkih Država, Južni okrug New York, protiv tuženice Republike Hrvatske, kao navodnog pravnog sljednika (</w:t>
      </w:r>
      <w:r w:rsidRPr="00246183">
        <w:rPr>
          <w:i/>
          <w:iCs/>
        </w:rPr>
        <w:t>alter ega</w:t>
      </w:r>
      <w:r w:rsidRPr="001B4CA2">
        <w:t>) Gavrilović holdinga, u ožujku 2021. godine pokrenut je postupak radi izvršenja presude zbog ogluhe donesene u drugom postupku protiv Gavrilović holdinga.</w:t>
      </w:r>
    </w:p>
    <w:p w14:paraId="7E005610" w14:textId="77777777" w:rsidR="0049175B" w:rsidRPr="001B4CA2" w:rsidRDefault="0049175B" w:rsidP="0049175B"/>
    <w:p w14:paraId="6DF29C4B" w14:textId="77777777" w:rsidR="0049175B" w:rsidRPr="001B4CA2" w:rsidRDefault="0049175B" w:rsidP="0049175B">
      <w:pPr>
        <w:pStyle w:val="Odlomakpopisa"/>
        <w:ind w:left="1080"/>
      </w:pPr>
      <w:r w:rsidRPr="001B4CA2">
        <w:t xml:space="preserve">Naime, </w:t>
      </w:r>
      <w:proofErr w:type="spellStart"/>
      <w:r w:rsidRPr="001B4CA2">
        <w:t>Tradexim</w:t>
      </w:r>
      <w:proofErr w:type="spellEnd"/>
      <w:r w:rsidRPr="001B4CA2">
        <w:t xml:space="preserve"> i Gavrilović prehrambena industrija ušli su u ugovorni odnos prema kojem je </w:t>
      </w:r>
      <w:proofErr w:type="spellStart"/>
      <w:r w:rsidRPr="001B4CA2">
        <w:t>Tradexim</w:t>
      </w:r>
      <w:proofErr w:type="spellEnd"/>
      <w:r w:rsidRPr="001B4CA2">
        <w:t xml:space="preserve"> kupio konzerve kuhane šunke od Gavrilović prehrambene industrije još 1990. godine. Budući da je pošiljka vraćena zbog neispravnosti, a </w:t>
      </w:r>
      <w:proofErr w:type="spellStart"/>
      <w:r w:rsidRPr="001B4CA2">
        <w:t>Tradexim</w:t>
      </w:r>
      <w:proofErr w:type="spellEnd"/>
      <w:r w:rsidRPr="001B4CA2">
        <w:t xml:space="preserve"> je izvršio plaćanje dijela robe, došlo je do spora te je </w:t>
      </w:r>
      <w:proofErr w:type="spellStart"/>
      <w:r w:rsidRPr="001B4CA2">
        <w:t>Tradexim</w:t>
      </w:r>
      <w:proofErr w:type="spellEnd"/>
      <w:r w:rsidRPr="001B4CA2">
        <w:t xml:space="preserve"> podnio tužbu protiv Gavrilović holdinga pred Trgovačkim sudom u Zagrebu.</w:t>
      </w:r>
    </w:p>
    <w:p w14:paraId="0F62EC73" w14:textId="77777777" w:rsidR="0049175B" w:rsidRPr="001B4CA2" w:rsidRDefault="0049175B" w:rsidP="0049175B"/>
    <w:p w14:paraId="6115AD59" w14:textId="74B36C46" w:rsidR="0049175B" w:rsidRPr="001B4CA2" w:rsidRDefault="0049175B" w:rsidP="0049175B">
      <w:pPr>
        <w:pStyle w:val="Odlomakpopisa"/>
        <w:ind w:left="1080"/>
      </w:pPr>
      <w:r w:rsidRPr="001B4CA2">
        <w:t xml:space="preserve">Trgovački sud u Zagrebu 2000. godine donio je presudu u korist </w:t>
      </w:r>
      <w:proofErr w:type="spellStart"/>
      <w:r w:rsidRPr="001B4CA2">
        <w:t>Tradexima</w:t>
      </w:r>
      <w:proofErr w:type="spellEnd"/>
      <w:r w:rsidRPr="001B4CA2">
        <w:t xml:space="preserve"> i naložio Gavrilović holdingu da isplati </w:t>
      </w:r>
      <w:proofErr w:type="spellStart"/>
      <w:r w:rsidRPr="001B4CA2">
        <w:t>Tradeximu</w:t>
      </w:r>
      <w:proofErr w:type="spellEnd"/>
      <w:r w:rsidRPr="001B4CA2">
        <w:t xml:space="preserve"> glavnicu u iznosu 385.868,25 USD uvećanu za kamate i sudske troškove u iznosu 39.327,39 </w:t>
      </w:r>
      <w:r w:rsidRPr="001B4CA2">
        <w:lastRenderedPageBreak/>
        <w:t xml:space="preserve">USD. Kako </w:t>
      </w:r>
      <w:proofErr w:type="spellStart"/>
      <w:r w:rsidRPr="001B4CA2">
        <w:t>Tradexim</w:t>
      </w:r>
      <w:proofErr w:type="spellEnd"/>
      <w:r w:rsidRPr="001B4CA2">
        <w:t xml:space="preserve"> nije uspio naplatiti dosuđeni iznos, 2019. godine pred državnim sudom u New Yorku pokrenuo </w:t>
      </w:r>
      <w:r w:rsidR="001404E3" w:rsidRPr="001B4CA2">
        <w:t xml:space="preserve">je </w:t>
      </w:r>
      <w:r w:rsidRPr="001B4CA2">
        <w:t>postupak radi priznanja i izvršenja presude Trgovačkog suda u Zagrebu protiv Gavrilović holdinga</w:t>
      </w:r>
      <w:r w:rsidR="001404E3">
        <w:t>,</w:t>
      </w:r>
      <w:r w:rsidRPr="001B4CA2">
        <w:t xml:space="preserve"> koji je u tom trenutku bio brisan iz sudskog registra Trgovačkog suda nakon okončanog stečajnog postupka.</w:t>
      </w:r>
    </w:p>
    <w:p w14:paraId="17A82AAB" w14:textId="77777777" w:rsidR="0049175B" w:rsidRPr="001B4CA2" w:rsidRDefault="0049175B" w:rsidP="0049175B"/>
    <w:p w14:paraId="7523D418" w14:textId="1AC04EA3" w:rsidR="0049175B" w:rsidRPr="001B4CA2" w:rsidRDefault="0049175B" w:rsidP="0049175B">
      <w:pPr>
        <w:pStyle w:val="Odlomakpopisa"/>
        <w:ind w:left="1080"/>
      </w:pPr>
      <w:r w:rsidRPr="001B4CA2">
        <w:t xml:space="preserve">U ožujku 2020. godine sud u New Yorku donio je presudu zbog ogluhe u korist </w:t>
      </w:r>
      <w:proofErr w:type="spellStart"/>
      <w:r w:rsidRPr="001B4CA2">
        <w:t>Tradexima</w:t>
      </w:r>
      <w:proofErr w:type="spellEnd"/>
      <w:r w:rsidRPr="001B4CA2">
        <w:t xml:space="preserve"> protiv Gavrilović holdinga (tzv. </w:t>
      </w:r>
      <w:proofErr w:type="spellStart"/>
      <w:r w:rsidRPr="001B4CA2">
        <w:rPr>
          <w:i/>
          <w:iCs/>
        </w:rPr>
        <w:t>default</w:t>
      </w:r>
      <w:proofErr w:type="spellEnd"/>
      <w:r w:rsidRPr="001B4CA2">
        <w:rPr>
          <w:i/>
          <w:iCs/>
        </w:rPr>
        <w:t xml:space="preserve"> </w:t>
      </w:r>
      <w:proofErr w:type="spellStart"/>
      <w:r w:rsidRPr="001B4CA2">
        <w:rPr>
          <w:i/>
          <w:iCs/>
        </w:rPr>
        <w:t>judgement</w:t>
      </w:r>
      <w:proofErr w:type="spellEnd"/>
      <w:r w:rsidRPr="001B4CA2">
        <w:t>), i to za iznos 1.867.423,26 USD. budući da nitko uime Gavrilović holdinga nije osporio tužbeni zahtjev.</w:t>
      </w:r>
      <w:r w:rsidR="001404E3">
        <w:t xml:space="preserve"> </w:t>
      </w:r>
      <w:r w:rsidRPr="001B4CA2">
        <w:t xml:space="preserve">Republika Hrvatska, zastupana po DORH-u i odvjetničkom društvu </w:t>
      </w:r>
      <w:proofErr w:type="spellStart"/>
      <w:r w:rsidRPr="001B4CA2">
        <w:t>Squire</w:t>
      </w:r>
      <w:proofErr w:type="spellEnd"/>
      <w:r w:rsidRPr="001B4CA2">
        <w:t xml:space="preserve"> </w:t>
      </w:r>
      <w:proofErr w:type="spellStart"/>
      <w:r w:rsidRPr="001B4CA2">
        <w:t>Patton</w:t>
      </w:r>
      <w:proofErr w:type="spellEnd"/>
      <w:r w:rsidRPr="001B4CA2">
        <w:t xml:space="preserve"> </w:t>
      </w:r>
      <w:proofErr w:type="spellStart"/>
      <w:r w:rsidRPr="001B4CA2">
        <w:t>Boggs</w:t>
      </w:r>
      <w:proofErr w:type="spellEnd"/>
      <w:r w:rsidRPr="001B4CA2">
        <w:t xml:space="preserve">, osporila je navode </w:t>
      </w:r>
      <w:proofErr w:type="spellStart"/>
      <w:r w:rsidRPr="001B4CA2">
        <w:t>Tradexima</w:t>
      </w:r>
      <w:proofErr w:type="spellEnd"/>
      <w:r w:rsidRPr="001B4CA2">
        <w:t xml:space="preserve"> te predložila da sud odbaci tužbu zbog nenadležnosti.</w:t>
      </w:r>
    </w:p>
    <w:p w14:paraId="7A8C8D8F" w14:textId="77777777" w:rsidR="0049175B" w:rsidRPr="001B4CA2" w:rsidRDefault="0049175B" w:rsidP="0049175B"/>
    <w:p w14:paraId="7D1F9611" w14:textId="77777777" w:rsidR="0049175B" w:rsidRPr="001B4CA2" w:rsidRDefault="0049175B" w:rsidP="0049175B">
      <w:pPr>
        <w:ind w:left="1080"/>
      </w:pPr>
      <w:r w:rsidRPr="001B4CA2">
        <w:t xml:space="preserve">Sud u New Yorku je 17. kolovoza 2022. donio odluku kojom je u cijelosti prihvatio zahtjev Republike Hrvatske za odbacivanje tužbe koju je podnio Mirko </w:t>
      </w:r>
      <w:proofErr w:type="spellStart"/>
      <w:r w:rsidRPr="001B4CA2">
        <w:t>Despotovich</w:t>
      </w:r>
      <w:proofErr w:type="spellEnd"/>
      <w:r w:rsidRPr="001B4CA2">
        <w:t xml:space="preserve">, koji posluje kao </w:t>
      </w:r>
      <w:proofErr w:type="spellStart"/>
      <w:r w:rsidRPr="001B4CA2">
        <w:t>Tradexim</w:t>
      </w:r>
      <w:proofErr w:type="spellEnd"/>
      <w:r w:rsidRPr="001B4CA2">
        <w:t xml:space="preserve"> International Co. California protiv Republike Hrvatske zbog stvarne nadležnosti prema Zakonu o imunitetu stranih država. Tužitelj je podnio obavijest o namjeri podnošenja žalbe te potom i žalbu, a na koju je Republika Hrvatska podnijela odgovor.</w:t>
      </w:r>
    </w:p>
    <w:p w14:paraId="3FCCF267" w14:textId="77777777" w:rsidR="0049175B" w:rsidRPr="001B4CA2" w:rsidRDefault="0049175B" w:rsidP="0049175B">
      <w:pPr>
        <w:rPr>
          <w:highlight w:val="yellow"/>
        </w:rPr>
      </w:pPr>
    </w:p>
    <w:p w14:paraId="347C265F" w14:textId="4EC9F3AE" w:rsidR="0049175B" w:rsidRPr="001B4CA2" w:rsidRDefault="0049175B" w:rsidP="0049175B">
      <w:pPr>
        <w:ind w:left="1080"/>
      </w:pPr>
      <w:r w:rsidRPr="001B4CA2">
        <w:t xml:space="preserve">4. U ožujku 2022. godine Daniel </w:t>
      </w:r>
      <w:proofErr w:type="spellStart"/>
      <w:r w:rsidRPr="001B4CA2">
        <w:t>Cavic</w:t>
      </w:r>
      <w:proofErr w:type="spellEnd"/>
      <w:r w:rsidRPr="001B4CA2">
        <w:t xml:space="preserve"> je pred sudom u Sjedinjenim Američkim </w:t>
      </w:r>
      <w:r w:rsidR="001404E3">
        <w:t>D</w:t>
      </w:r>
      <w:r w:rsidRPr="001B4CA2">
        <w:t>ržavama (Viši sud Kalifornije, okrug Orange) protiv Republike Hrvatske pokrenuo postupak u kojem je tražio od suda da Republiku Hrvatsku doda kao dodatnog dužnika u presudi zbog izostanka koju je taj sud donio 2. prosinca 2019. po njegovoj tužbi protiv „</w:t>
      </w:r>
      <w:proofErr w:type="spellStart"/>
      <w:r w:rsidRPr="001B4CA2">
        <w:t>Yugobanke</w:t>
      </w:r>
      <w:proofErr w:type="spellEnd"/>
      <w:r w:rsidRPr="001B4CA2">
        <w:t xml:space="preserve"> A.D. Beograd, a Beograd </w:t>
      </w:r>
      <w:proofErr w:type="spellStart"/>
      <w:r w:rsidRPr="001B4CA2">
        <w:t>and</w:t>
      </w:r>
      <w:proofErr w:type="spellEnd"/>
      <w:r w:rsidRPr="001B4CA2">
        <w:t xml:space="preserve"> New York </w:t>
      </w:r>
      <w:proofErr w:type="spellStart"/>
      <w:r w:rsidRPr="001B4CA2">
        <w:t>Agency</w:t>
      </w:r>
      <w:proofErr w:type="spellEnd"/>
      <w:r w:rsidRPr="001B4CA2">
        <w:t>“, radi isplate iznosa</w:t>
      </w:r>
      <w:r w:rsidR="001404E3">
        <w:t xml:space="preserve"> od</w:t>
      </w:r>
      <w:r w:rsidRPr="001B4CA2">
        <w:t xml:space="preserve"> 738.722,23 USD.</w:t>
      </w:r>
    </w:p>
    <w:p w14:paraId="19D8D2E5" w14:textId="77777777" w:rsidR="0049175B" w:rsidRPr="001B4CA2" w:rsidRDefault="0049175B" w:rsidP="0049175B"/>
    <w:p w14:paraId="2E1F6080" w14:textId="6C3F0324" w:rsidR="0049175B" w:rsidRPr="001B4CA2" w:rsidRDefault="0049175B" w:rsidP="0049175B">
      <w:pPr>
        <w:ind w:left="1080"/>
      </w:pPr>
      <w:r w:rsidRPr="001B4CA2">
        <w:t xml:space="preserve">Tužitelj svoj zahtjev obrazlaže tvrdnjom da je temeljem Ugovora o sukcesiji Republika Hrvatska djelomični vlasnik tuženika </w:t>
      </w:r>
      <w:proofErr w:type="spellStart"/>
      <w:r w:rsidRPr="001B4CA2">
        <w:t>Jugobanke</w:t>
      </w:r>
      <w:proofErr w:type="spellEnd"/>
      <w:r w:rsidRPr="001B4CA2">
        <w:t xml:space="preserve"> te s obzirom</w:t>
      </w:r>
      <w:r w:rsidR="001404E3">
        <w:t xml:space="preserve"> na to</w:t>
      </w:r>
      <w:r w:rsidRPr="001B4CA2">
        <w:t xml:space="preserve"> da ta banka više ne posluje u Sjedinjenim Američkim Državama ili Republici Hrvatskoj, da jedinu mogućnost naplate putem te presude nalazi kroz dodavanje Republike Hrvatske u presudu kao dodatnog tuženika.</w:t>
      </w:r>
    </w:p>
    <w:p w14:paraId="04C5E904" w14:textId="77777777" w:rsidR="0049175B" w:rsidRPr="001B4CA2" w:rsidRDefault="0049175B" w:rsidP="0049175B"/>
    <w:p w14:paraId="3789021D" w14:textId="7AB6C25F" w:rsidR="0049175B" w:rsidRPr="001B4CA2" w:rsidRDefault="0049175B" w:rsidP="0049175B">
      <w:pPr>
        <w:ind w:left="1080"/>
      </w:pPr>
      <w:r w:rsidRPr="001B4CA2">
        <w:t>Sud je 13. svibnja 2022. tužbeni zahtjev odbio</w:t>
      </w:r>
      <w:r w:rsidR="001404E3">
        <w:t>,</w:t>
      </w:r>
      <w:r w:rsidRPr="001B4CA2">
        <w:t xml:space="preserve"> i to prije svega </w:t>
      </w:r>
      <w:r w:rsidR="001404E3">
        <w:t>zbog</w:t>
      </w:r>
      <w:r w:rsidRPr="001B4CA2">
        <w:t xml:space="preserve"> nedostataka prilikom dostave tužbe Republici Hrvatskoj, ali također navodeći i da nisu ispunjeni zakonski uvjeti za donošenje ovakve vrste presude, odnosno </w:t>
      </w:r>
      <w:r w:rsidR="001404E3">
        <w:t>zbog</w:t>
      </w:r>
      <w:r w:rsidRPr="001B4CA2">
        <w:t xml:space="preserve"> postojanja imuniteta Republike Hrvatske prema zakonu Sjedinjenih Američkih </w:t>
      </w:r>
      <w:r w:rsidR="001404E3">
        <w:t>D</w:t>
      </w:r>
      <w:r w:rsidRPr="001B4CA2">
        <w:t>ržava o imunitetu stranih država od odgovornosti.</w:t>
      </w:r>
    </w:p>
    <w:p w14:paraId="1E22ED33" w14:textId="77777777" w:rsidR="0049175B" w:rsidRPr="001B4CA2" w:rsidRDefault="0049175B" w:rsidP="0049175B"/>
    <w:p w14:paraId="3CF28F20" w14:textId="086C52C8" w:rsidR="0049175B" w:rsidRPr="001B4CA2" w:rsidRDefault="0049175B" w:rsidP="0049175B">
      <w:pPr>
        <w:ind w:left="1068"/>
      </w:pPr>
      <w:r w:rsidRPr="001B4CA2">
        <w:t xml:space="preserve">Isti </w:t>
      </w:r>
      <w:r w:rsidR="001404E3" w:rsidRPr="001B4CA2">
        <w:t xml:space="preserve">je </w:t>
      </w:r>
      <w:r w:rsidRPr="001B4CA2">
        <w:t>tužitelj potom 16. lipnja 2022. uredno dostavio tužbu jednakog sadržaja Republici Hrvatskoj te je isti sud 14. listopada 2022. donio odluku kojom je odbio tužbeni zahtjev iz istih razloga kao i u prethodnoj odluci te je u tijeku postupak po žalbi na tu odluku.</w:t>
      </w:r>
    </w:p>
    <w:p w14:paraId="00250C00" w14:textId="77777777" w:rsidR="00D3013F" w:rsidRPr="001B4CA2" w:rsidRDefault="00D3013F" w:rsidP="0034043C"/>
    <w:p w14:paraId="2C55CD38" w14:textId="77777777" w:rsidR="00494E30" w:rsidRPr="001B4CA2" w:rsidRDefault="00494E30" w:rsidP="006262C8"/>
    <w:p w14:paraId="4B06D3A6" w14:textId="42F85FC3" w:rsidR="0014625A" w:rsidRPr="001B4CA2" w:rsidRDefault="0014625A" w:rsidP="00E152D9">
      <w:pPr>
        <w:pStyle w:val="Naslov4"/>
        <w:tabs>
          <w:tab w:val="left" w:pos="993"/>
          <w:tab w:val="left" w:pos="1134"/>
        </w:tabs>
        <w:ind w:left="0" w:hanging="142"/>
      </w:pPr>
      <w:bookmarkStart w:id="162" w:name="_Toc133394392"/>
      <w:r w:rsidRPr="001B4CA2">
        <w:lastRenderedPageBreak/>
        <w:t>Naplata novčanih tražbina Republike Hrvatske temeljem</w:t>
      </w:r>
      <w:r w:rsidR="00E152D9" w:rsidRPr="001B4CA2">
        <w:tab/>
      </w:r>
      <w:r w:rsidRPr="001B4CA2">
        <w:t xml:space="preserve">pravomoćnih i ovršnih sudskih odluka u građanskim i kaznenim </w:t>
      </w:r>
      <w:r w:rsidR="00E152D9" w:rsidRPr="001B4CA2">
        <w:tab/>
      </w:r>
      <w:r w:rsidRPr="001B4CA2">
        <w:t>stvarima</w:t>
      </w:r>
      <w:r w:rsidR="00E152D9" w:rsidRPr="001B4CA2">
        <w:t xml:space="preserve"> </w:t>
      </w:r>
      <w:r w:rsidRPr="001B4CA2">
        <w:t>s međunarodnim elementom</w:t>
      </w:r>
      <w:bookmarkEnd w:id="162"/>
    </w:p>
    <w:p w14:paraId="69D30DD8" w14:textId="77777777" w:rsidR="00E152D9" w:rsidRPr="001B4CA2" w:rsidRDefault="00E152D9" w:rsidP="0049175B">
      <w:pPr>
        <w:ind w:firstLine="360"/>
      </w:pPr>
    </w:p>
    <w:p w14:paraId="6C5CA5D8" w14:textId="60C7174B" w:rsidR="0049175B" w:rsidRPr="001B4CA2" w:rsidRDefault="00E152D9" w:rsidP="0049175B">
      <w:pPr>
        <w:ind w:firstLine="360"/>
      </w:pPr>
      <w:r w:rsidRPr="001B4CA2">
        <w:tab/>
      </w:r>
      <w:r w:rsidR="0049175B" w:rsidRPr="001B4CA2">
        <w:t>Ovisno o pravnom temelju za pružanje međunarodne pravne pomoći i pravosudne suradnje provodi se postupak naplate tražbina Republike Hrvatske na temelju pravomoćnih i ovršnih sudskih odluka od dužnika s prebivalištem ili sjedištem u drugoj državi.</w:t>
      </w:r>
    </w:p>
    <w:p w14:paraId="09ACD5D7" w14:textId="77777777" w:rsidR="00BC2284" w:rsidRPr="001B4CA2" w:rsidRDefault="00BC2284" w:rsidP="0034043C"/>
    <w:p w14:paraId="2342DF92" w14:textId="18648BFA" w:rsidR="00CD13ED" w:rsidRPr="001B4CA2" w:rsidRDefault="00CD13ED" w:rsidP="00E152D9">
      <w:pPr>
        <w:pStyle w:val="Naslov5"/>
        <w:tabs>
          <w:tab w:val="left" w:pos="1276"/>
        </w:tabs>
        <w:ind w:left="284" w:firstLine="0"/>
        <w:rPr>
          <w:rFonts w:ascii="Arial" w:hAnsi="Arial" w:cs="Arial"/>
        </w:rPr>
      </w:pPr>
      <w:bookmarkStart w:id="163" w:name="_Toc133394393"/>
      <w:r w:rsidRPr="001B4CA2">
        <w:rPr>
          <w:rFonts w:ascii="Arial" w:hAnsi="Arial" w:cs="Arial"/>
        </w:rPr>
        <w:t>Naplata</w:t>
      </w:r>
      <w:r w:rsidR="006262C8" w:rsidRPr="001B4CA2">
        <w:rPr>
          <w:rFonts w:ascii="Arial" w:hAnsi="Arial" w:cs="Arial"/>
        </w:rPr>
        <w:t xml:space="preserve"> </w:t>
      </w:r>
      <w:r w:rsidRPr="001B4CA2">
        <w:rPr>
          <w:rFonts w:ascii="Arial" w:hAnsi="Arial" w:cs="Arial"/>
        </w:rPr>
        <w:t>tražbina</w:t>
      </w:r>
      <w:r w:rsidR="006262C8" w:rsidRPr="001B4CA2">
        <w:rPr>
          <w:rFonts w:ascii="Arial" w:hAnsi="Arial" w:cs="Arial"/>
        </w:rPr>
        <w:t xml:space="preserve"> </w:t>
      </w:r>
      <w:r w:rsidRPr="001B4CA2">
        <w:rPr>
          <w:rFonts w:ascii="Arial" w:hAnsi="Arial" w:cs="Arial"/>
        </w:rPr>
        <w:t>u</w:t>
      </w:r>
      <w:r w:rsidR="006262C8" w:rsidRPr="001B4CA2">
        <w:rPr>
          <w:rFonts w:ascii="Arial" w:hAnsi="Arial" w:cs="Arial"/>
        </w:rPr>
        <w:t xml:space="preserve"> </w:t>
      </w:r>
      <w:r w:rsidRPr="001B4CA2">
        <w:rPr>
          <w:rFonts w:ascii="Arial" w:hAnsi="Arial" w:cs="Arial"/>
        </w:rPr>
        <w:t>građanskim</w:t>
      </w:r>
      <w:r w:rsidR="006262C8" w:rsidRPr="001B4CA2">
        <w:rPr>
          <w:rFonts w:ascii="Arial" w:hAnsi="Arial" w:cs="Arial"/>
        </w:rPr>
        <w:t xml:space="preserve"> </w:t>
      </w:r>
      <w:r w:rsidRPr="001B4CA2">
        <w:rPr>
          <w:rFonts w:ascii="Arial" w:hAnsi="Arial" w:cs="Arial"/>
        </w:rPr>
        <w:t>stvarima</w:t>
      </w:r>
      <w:bookmarkEnd w:id="163"/>
    </w:p>
    <w:p w14:paraId="5787AF44" w14:textId="77777777" w:rsidR="00CD13ED" w:rsidRPr="001B4CA2" w:rsidRDefault="00CD13ED" w:rsidP="00CD13ED"/>
    <w:p w14:paraId="56790900" w14:textId="77777777" w:rsidR="0049175B" w:rsidRPr="001B4CA2" w:rsidRDefault="0049175B" w:rsidP="0049175B">
      <w:pPr>
        <w:ind w:firstLine="708"/>
      </w:pPr>
      <w:r w:rsidRPr="001B4CA2">
        <w:t>Institut priznanja i ovrhe stranih sudskih odluka u odnosu na države članice Europske unije reguliran je uredbama Europske unije. Postupci priznanja i ovrhe sudskih odluka u državama članicama Europske unije provode se bez poteškoća ako dužnik ima imovinu na kojoj se može provesti ovrha.</w:t>
      </w:r>
    </w:p>
    <w:p w14:paraId="7C5B1A91" w14:textId="77777777" w:rsidR="0049175B" w:rsidRPr="001B4CA2" w:rsidRDefault="0049175B" w:rsidP="0049175B"/>
    <w:p w14:paraId="4E171726" w14:textId="77777777" w:rsidR="0049175B" w:rsidRPr="001B4CA2" w:rsidRDefault="0049175B" w:rsidP="0049175B">
      <w:pPr>
        <w:ind w:firstLine="708"/>
      </w:pPr>
      <w:r w:rsidRPr="001B4CA2">
        <w:t>S određenim državama sklopljeni su dvostrani međunarodni ugovori o pravnoj pomoći u građanskim stvarima koji su na snazi (Bosna i Hercegovina, Sjeverna Makedonija, Republika Turska i Ruska Federacija). Tim dvostranim ugovorima propisan je postupak priznanja i ovrhe stranih sudskih odluka. U praksi nema poteškoća u provođenju postupka priznanja sudskih odluka u odnosu na navedene države.</w:t>
      </w:r>
    </w:p>
    <w:p w14:paraId="66DFEAFD" w14:textId="77777777" w:rsidR="0049175B" w:rsidRPr="001B4CA2" w:rsidRDefault="0049175B" w:rsidP="0049175B"/>
    <w:p w14:paraId="3746D21D" w14:textId="4A759621" w:rsidR="0049175B" w:rsidRPr="001B4CA2" w:rsidRDefault="0049175B" w:rsidP="0049175B">
      <w:pPr>
        <w:ind w:firstLine="708"/>
      </w:pPr>
      <w:r w:rsidRPr="001B4CA2">
        <w:t>Postupak priznanja i ovrhe stranih sudskih odluka u odnosu na ostale države, koje nisu države članice Europske unije, niti su s njima sklopljeni dvostrani međunarodni ugovori, provodi se sukladno njihov</w:t>
      </w:r>
      <w:r w:rsidR="001404E3">
        <w:t>u</w:t>
      </w:r>
      <w:r w:rsidRPr="001B4CA2">
        <w:t xml:space="preserve"> unutarnjem pravu. Kod provođenja postupka priznanja i ovrhe u tim državama postavlja se pitanje svrhovitosti vođenja postupka zbog mogućih visokih troškova, koji uključuju troškove prijevoda dokumentacije te troškove angažiranja stranog odvjetnika.</w:t>
      </w:r>
    </w:p>
    <w:p w14:paraId="32F77316" w14:textId="77777777" w:rsidR="0049175B" w:rsidRPr="001B4CA2" w:rsidRDefault="0049175B" w:rsidP="0049175B"/>
    <w:p w14:paraId="5A06D095" w14:textId="7B1102FF" w:rsidR="0049175B" w:rsidRPr="001B4CA2" w:rsidRDefault="0049175B" w:rsidP="0049175B">
      <w:pPr>
        <w:ind w:firstLine="708"/>
      </w:pPr>
      <w:r w:rsidRPr="001B4CA2">
        <w:t xml:space="preserve">Tijekom 2022. godine upućeno je 10 zamolnica za priznanje i ovrhu presuda hrvatskih sudova u odnosu na troškove parničnog postupka i privremeno uzdržavanje. U 5 predmeta donesena </w:t>
      </w:r>
      <w:r w:rsidR="001404E3" w:rsidRPr="001B4CA2">
        <w:t xml:space="preserve">je </w:t>
      </w:r>
      <w:r w:rsidRPr="001B4CA2">
        <w:t>odluka stranog suda o priznanju, ali još nije proveden ovršni postupak.</w:t>
      </w:r>
    </w:p>
    <w:p w14:paraId="527CC9CE" w14:textId="77777777" w:rsidR="0049175B" w:rsidRPr="001B4CA2" w:rsidRDefault="0049175B" w:rsidP="0049175B"/>
    <w:p w14:paraId="1856D056" w14:textId="77777777" w:rsidR="0049175B" w:rsidRPr="001B4CA2" w:rsidRDefault="0049175B" w:rsidP="0049175B">
      <w:pPr>
        <w:ind w:firstLine="708"/>
      </w:pPr>
      <w:r w:rsidRPr="001B4CA2">
        <w:t>Nadalje, upućeno je 8 zamolnica za međunarodnu pravnu pomoć pribavljanjem podataka od nadležnih tijela u drugim državama, kojima je u kratkom roku udovoljeno.</w:t>
      </w:r>
    </w:p>
    <w:p w14:paraId="55832751" w14:textId="77777777" w:rsidR="0049175B" w:rsidRPr="001B4CA2" w:rsidRDefault="0049175B" w:rsidP="0049175B"/>
    <w:p w14:paraId="2388317C" w14:textId="2BAC6EEA" w:rsidR="0049175B" w:rsidRDefault="0049175B" w:rsidP="0049175B">
      <w:pPr>
        <w:ind w:firstLine="708"/>
      </w:pPr>
      <w:r w:rsidRPr="001B4CA2">
        <w:t xml:space="preserve">Nakon upućenih opomena za dugovanje dio novčanih tražbina na temelju pravomoćnih i ovršnih sudskih odluka </w:t>
      </w:r>
      <w:r w:rsidR="001404E3" w:rsidRPr="001B4CA2">
        <w:t xml:space="preserve">podmiren </w:t>
      </w:r>
      <w:r w:rsidRPr="001B4CA2">
        <w:t>je u ukupnom iznosu od 105.865,50 kuna</w:t>
      </w:r>
      <w:r w:rsidR="001404E3">
        <w:t xml:space="preserve"> </w:t>
      </w:r>
      <w:r w:rsidRPr="001B4CA2">
        <w:t>/</w:t>
      </w:r>
      <w:r w:rsidR="001C297A" w:rsidRPr="001B4CA2">
        <w:t xml:space="preserve"> </w:t>
      </w:r>
      <w:r w:rsidRPr="001B4CA2">
        <w:t>14.050,7</w:t>
      </w:r>
      <w:r w:rsidR="00223ABD">
        <w:t>6</w:t>
      </w:r>
      <w:r w:rsidRPr="001B4CA2">
        <w:t xml:space="preserve"> EUR.</w:t>
      </w:r>
    </w:p>
    <w:p w14:paraId="7B3C50E5" w14:textId="53F84957" w:rsidR="000268FF" w:rsidRDefault="000268FF" w:rsidP="0049175B">
      <w:pPr>
        <w:ind w:firstLine="708"/>
      </w:pPr>
    </w:p>
    <w:p w14:paraId="77227B06" w14:textId="0CBD0CF4" w:rsidR="000268FF" w:rsidRDefault="000268FF" w:rsidP="0049175B">
      <w:pPr>
        <w:ind w:firstLine="708"/>
        <w:rPr>
          <w:u w:val="single"/>
        </w:rPr>
      </w:pPr>
    </w:p>
    <w:p w14:paraId="4BA69DA5" w14:textId="51FA94D6" w:rsidR="000268FF" w:rsidRDefault="000268FF" w:rsidP="0049175B">
      <w:pPr>
        <w:ind w:firstLine="708"/>
        <w:rPr>
          <w:u w:val="single"/>
        </w:rPr>
      </w:pPr>
    </w:p>
    <w:p w14:paraId="152CC40A" w14:textId="7169757E" w:rsidR="000268FF" w:rsidRDefault="000268FF" w:rsidP="0049175B">
      <w:pPr>
        <w:ind w:firstLine="708"/>
        <w:rPr>
          <w:u w:val="single"/>
        </w:rPr>
      </w:pPr>
    </w:p>
    <w:p w14:paraId="75CD5603" w14:textId="77777777" w:rsidR="000268FF" w:rsidRPr="001B4CA2" w:rsidRDefault="000268FF" w:rsidP="0049175B">
      <w:pPr>
        <w:ind w:firstLine="708"/>
        <w:rPr>
          <w:u w:val="single"/>
        </w:rPr>
      </w:pPr>
    </w:p>
    <w:p w14:paraId="0CF22ACC" w14:textId="77777777" w:rsidR="004C33AF" w:rsidRPr="000268FF" w:rsidRDefault="004C33AF" w:rsidP="000E22EC"/>
    <w:p w14:paraId="2879E20F" w14:textId="489F0C66" w:rsidR="000E22EC" w:rsidRPr="001B4CA2" w:rsidRDefault="00FD08E9" w:rsidP="001C297A">
      <w:pPr>
        <w:pStyle w:val="Naslov5"/>
        <w:tabs>
          <w:tab w:val="left" w:pos="851"/>
          <w:tab w:val="left" w:pos="1134"/>
          <w:tab w:val="left" w:pos="1276"/>
        </w:tabs>
        <w:ind w:left="284" w:firstLine="0"/>
        <w:rPr>
          <w:rFonts w:ascii="Arial" w:hAnsi="Arial" w:cs="Arial"/>
        </w:rPr>
      </w:pPr>
      <w:r>
        <w:rPr>
          <w:rFonts w:ascii="Arial" w:hAnsi="Arial" w:cs="Arial"/>
        </w:rPr>
        <w:lastRenderedPageBreak/>
        <w:t xml:space="preserve"> </w:t>
      </w:r>
      <w:r w:rsidR="00604064" w:rsidRPr="001B4CA2">
        <w:rPr>
          <w:rFonts w:ascii="Arial" w:hAnsi="Arial" w:cs="Arial"/>
        </w:rPr>
        <w:t xml:space="preserve"> </w:t>
      </w:r>
      <w:bookmarkStart w:id="164" w:name="_Toc133394394"/>
      <w:r w:rsidR="000E22EC" w:rsidRPr="001B4CA2">
        <w:rPr>
          <w:rFonts w:ascii="Arial" w:hAnsi="Arial" w:cs="Arial"/>
        </w:rPr>
        <w:t>Naplata</w:t>
      </w:r>
      <w:r w:rsidR="006262C8" w:rsidRPr="001B4CA2">
        <w:rPr>
          <w:rFonts w:ascii="Arial" w:hAnsi="Arial" w:cs="Arial"/>
        </w:rPr>
        <w:t xml:space="preserve"> </w:t>
      </w:r>
      <w:r w:rsidR="000E22EC" w:rsidRPr="001B4CA2">
        <w:rPr>
          <w:rFonts w:ascii="Arial" w:hAnsi="Arial" w:cs="Arial"/>
        </w:rPr>
        <w:t>tražbina</w:t>
      </w:r>
      <w:r w:rsidR="006262C8" w:rsidRPr="001B4CA2">
        <w:rPr>
          <w:rFonts w:ascii="Arial" w:hAnsi="Arial" w:cs="Arial"/>
        </w:rPr>
        <w:t xml:space="preserve"> </w:t>
      </w:r>
      <w:r w:rsidR="000E22EC" w:rsidRPr="001B4CA2">
        <w:rPr>
          <w:rFonts w:ascii="Arial" w:hAnsi="Arial" w:cs="Arial"/>
        </w:rPr>
        <w:t>u</w:t>
      </w:r>
      <w:r w:rsidR="006262C8" w:rsidRPr="001B4CA2">
        <w:rPr>
          <w:rFonts w:ascii="Arial" w:hAnsi="Arial" w:cs="Arial"/>
        </w:rPr>
        <w:t xml:space="preserve"> </w:t>
      </w:r>
      <w:r w:rsidR="000E22EC" w:rsidRPr="001B4CA2">
        <w:rPr>
          <w:rFonts w:ascii="Arial" w:hAnsi="Arial" w:cs="Arial"/>
        </w:rPr>
        <w:t>kaznenim</w:t>
      </w:r>
      <w:r w:rsidR="006262C8" w:rsidRPr="001B4CA2">
        <w:rPr>
          <w:rFonts w:ascii="Arial" w:hAnsi="Arial" w:cs="Arial"/>
        </w:rPr>
        <w:t xml:space="preserve"> </w:t>
      </w:r>
      <w:r w:rsidR="000E22EC" w:rsidRPr="001B4CA2">
        <w:rPr>
          <w:rFonts w:ascii="Arial" w:hAnsi="Arial" w:cs="Arial"/>
        </w:rPr>
        <w:t>stvarima</w:t>
      </w:r>
      <w:bookmarkEnd w:id="164"/>
    </w:p>
    <w:p w14:paraId="3D3ACC3F" w14:textId="77777777" w:rsidR="00103987" w:rsidRPr="001B4CA2" w:rsidRDefault="00103987" w:rsidP="00103987">
      <w:pPr>
        <w:pStyle w:val="Naslov6"/>
        <w:spacing w:before="0"/>
        <w:rPr>
          <w:rFonts w:ascii="Arial" w:eastAsiaTheme="minorHAnsi" w:hAnsi="Arial" w:cs="Arial"/>
          <w:i w:val="0"/>
          <w:iCs w:val="0"/>
          <w:color w:val="auto"/>
        </w:rPr>
      </w:pPr>
    </w:p>
    <w:p w14:paraId="01CB964E" w14:textId="77777777" w:rsidR="009C6227" w:rsidRPr="001B4CA2" w:rsidRDefault="009C6227" w:rsidP="009C6227">
      <w:pPr>
        <w:pStyle w:val="Naslov6"/>
        <w:spacing w:before="0"/>
        <w:rPr>
          <w:rFonts w:ascii="Arial" w:hAnsi="Arial" w:cs="Arial"/>
          <w:color w:val="auto"/>
        </w:rPr>
      </w:pPr>
      <w:r w:rsidRPr="001B4CA2">
        <w:rPr>
          <w:rFonts w:ascii="Arial" w:hAnsi="Arial" w:cs="Arial"/>
          <w:color w:val="auto"/>
        </w:rPr>
        <w:t>Troškovi kaznenog postupka</w:t>
      </w:r>
    </w:p>
    <w:p w14:paraId="7A51D658" w14:textId="77777777" w:rsidR="009C6227" w:rsidRPr="001B4CA2" w:rsidRDefault="009C6227" w:rsidP="009C6227"/>
    <w:p w14:paraId="3098EE06" w14:textId="0193AA08" w:rsidR="009C6227" w:rsidRPr="001B4CA2" w:rsidRDefault="009C6227" w:rsidP="009C6227">
      <w:pPr>
        <w:ind w:firstLine="708"/>
        <w:rPr>
          <w:rFonts w:eastAsia="Times New Roman"/>
          <w:lang w:eastAsia="hr-HR"/>
        </w:rPr>
      </w:pPr>
      <w:r w:rsidRPr="001B4CA2">
        <w:t>Zakonom o pravosudnoj suradnji u kaznenim stvarima s državama članicama Europske unije („Narodne novine“</w:t>
      </w:r>
      <w:r w:rsidRPr="001B4CA2">
        <w:rPr>
          <w:rFonts w:eastAsia="Times New Roman"/>
          <w:lang w:eastAsia="hr-HR"/>
        </w:rPr>
        <w:t xml:space="preserve"> broj 91/10, 81/13, 124/13, 26/15, 102/17, 68/18, 70/19, 141/20) propis</w:t>
      </w:r>
      <w:r w:rsidR="001404E3">
        <w:rPr>
          <w:rFonts w:eastAsia="Times New Roman"/>
          <w:lang w:eastAsia="hr-HR"/>
        </w:rPr>
        <w:t>a</w:t>
      </w:r>
      <w:r w:rsidRPr="001B4CA2">
        <w:rPr>
          <w:rFonts w:eastAsia="Times New Roman"/>
          <w:lang w:eastAsia="hr-HR"/>
        </w:rPr>
        <w:t xml:space="preserve">no je da će nadležni sud koji je donio odluku o troškovima kaznenog postupka, koje je potrebno naplatiti od dužnika s prebivalištem u drugoj državi članici Europske unije, </w:t>
      </w:r>
      <w:r w:rsidR="001404E3">
        <w:rPr>
          <w:rFonts w:eastAsia="Times New Roman"/>
          <w:lang w:eastAsia="hr-HR"/>
        </w:rPr>
        <w:t>tu odluku</w:t>
      </w:r>
      <w:r w:rsidRPr="001B4CA2">
        <w:rPr>
          <w:rFonts w:eastAsia="Times New Roman"/>
          <w:lang w:eastAsia="hr-HR"/>
        </w:rPr>
        <w:t xml:space="preserve"> proslijediti putem Ministarstva pravosuđa i uprave Republike Hrvatske na priznanje i izvršenje nadležnom tijelu te države članice Europske unije.</w:t>
      </w:r>
    </w:p>
    <w:p w14:paraId="75F036EA" w14:textId="77777777" w:rsidR="009C6227" w:rsidRPr="001B4CA2" w:rsidRDefault="009C6227" w:rsidP="009C6227"/>
    <w:p w14:paraId="1B77ADF0" w14:textId="26243F36" w:rsidR="009C6227" w:rsidRPr="001B4CA2" w:rsidRDefault="009C6227" w:rsidP="009C6227">
      <w:pPr>
        <w:ind w:firstLine="708"/>
        <w:rPr>
          <w:rFonts w:eastAsia="Times New Roman"/>
          <w:lang w:eastAsia="hr-HR"/>
        </w:rPr>
      </w:pPr>
      <w:r w:rsidRPr="001B4CA2">
        <w:rPr>
          <w:rFonts w:eastAsia="Times New Roman"/>
          <w:lang w:eastAsia="hr-HR"/>
        </w:rPr>
        <w:t xml:space="preserve">Tijekom 2022. godine Državno odvjetništvo Republike Hrvatske zaprimilo je 6 predmeta u odnosu na troškove kaznenog postupka, koje treba priznati i izvršiti u državama članicama Europske unije te su </w:t>
      </w:r>
      <w:r w:rsidR="001404E3">
        <w:rPr>
          <w:rFonts w:eastAsia="Times New Roman"/>
          <w:lang w:eastAsia="hr-HR"/>
        </w:rPr>
        <w:t>oni</w:t>
      </w:r>
      <w:r w:rsidRPr="001B4CA2">
        <w:rPr>
          <w:rFonts w:eastAsia="Times New Roman"/>
          <w:lang w:eastAsia="hr-HR"/>
        </w:rPr>
        <w:t xml:space="preserve"> dostavljeni sudu na nadležno postupanje sukladno odredbi članka 87. Zakona o pravosudnoj suradnji u kaznenim stvarima s državama članicama Europske unije.</w:t>
      </w:r>
    </w:p>
    <w:p w14:paraId="59589EA3" w14:textId="77777777" w:rsidR="009C6227" w:rsidRPr="001B4CA2" w:rsidRDefault="009C6227" w:rsidP="009C6227"/>
    <w:p w14:paraId="37CAB3E0" w14:textId="228F5A82" w:rsidR="009C6227" w:rsidRPr="001B4CA2" w:rsidRDefault="009C6227" w:rsidP="009C6227">
      <w:pPr>
        <w:ind w:firstLine="708"/>
      </w:pPr>
      <w:r w:rsidRPr="001B4CA2">
        <w:t xml:space="preserve">Državno </w:t>
      </w:r>
      <w:r w:rsidR="001404E3" w:rsidRPr="001B4CA2">
        <w:t xml:space="preserve">je </w:t>
      </w:r>
      <w:r w:rsidRPr="001B4CA2">
        <w:t>odvjetništvo Republike Hrvatske u 15 predmeta odustalo od vođenja postupka u Republici Srbiji i Bosni i Hercegovini, sukladno članku 42. stavku 3. Zakona o državnom odvjetništvu („Narodne novine“ broj 67/18, 21/22), jer nema pravne osnove za priznanje i ovrhu sudskih odluka u dijelu koji se odnosi na troškove kaznenog postupka.</w:t>
      </w:r>
    </w:p>
    <w:p w14:paraId="766357FC" w14:textId="77777777" w:rsidR="009C6227" w:rsidRPr="001B4CA2" w:rsidRDefault="009C6227" w:rsidP="009C6227"/>
    <w:p w14:paraId="5C3366EA" w14:textId="58123336" w:rsidR="009C6227" w:rsidRPr="001B4CA2" w:rsidRDefault="009C6227" w:rsidP="009C6227">
      <w:pPr>
        <w:ind w:firstLine="708"/>
      </w:pPr>
      <w:r w:rsidRPr="001B4CA2">
        <w:t xml:space="preserve">Također je Državno odvjetništvo Republike Hrvatske u 3 predmeta odustalo od vođenja postupka za naplatu troškova kaznenog postupka od osuđenika koji su tražitelji azila. Naplata duga nije izvjesna </w:t>
      </w:r>
      <w:r w:rsidR="001404E3">
        <w:t xml:space="preserve">budući </w:t>
      </w:r>
      <w:r w:rsidRPr="001B4CA2">
        <w:t>da nema podataka o njihov</w:t>
      </w:r>
      <w:r w:rsidR="001404E3">
        <w:t>u</w:t>
      </w:r>
      <w:r w:rsidRPr="001B4CA2">
        <w:t xml:space="preserve"> prebivalištu i krajnjem odredištu.</w:t>
      </w:r>
    </w:p>
    <w:p w14:paraId="3B000F53" w14:textId="77777777" w:rsidR="009C6227" w:rsidRPr="001B4CA2" w:rsidRDefault="009C6227" w:rsidP="009C6227"/>
    <w:p w14:paraId="0C58C7B6" w14:textId="77777777" w:rsidR="009C6227" w:rsidRPr="001B4CA2" w:rsidRDefault="009C6227" w:rsidP="009C6227">
      <w:pPr>
        <w:pStyle w:val="Naslov6"/>
        <w:spacing w:before="0"/>
        <w:rPr>
          <w:rFonts w:ascii="Arial" w:hAnsi="Arial" w:cs="Arial"/>
          <w:color w:val="auto"/>
        </w:rPr>
      </w:pPr>
      <w:r w:rsidRPr="001B4CA2">
        <w:rPr>
          <w:rFonts w:ascii="Arial" w:hAnsi="Arial" w:cs="Arial"/>
          <w:color w:val="auto"/>
        </w:rPr>
        <w:t>Oduzimanje imovinske koristi</w:t>
      </w:r>
    </w:p>
    <w:p w14:paraId="44F23B74" w14:textId="77777777" w:rsidR="009C6227" w:rsidRPr="001B4CA2" w:rsidRDefault="009C6227" w:rsidP="009C6227"/>
    <w:p w14:paraId="1BDF9CAC" w14:textId="6F6CB62B" w:rsidR="009C6227" w:rsidRPr="001B4CA2" w:rsidRDefault="009C6227" w:rsidP="009C6227">
      <w:pPr>
        <w:ind w:firstLine="708"/>
      </w:pPr>
      <w:r w:rsidRPr="001B4CA2">
        <w:t>Uredbom (EU) 2018/1805 o uzajamnom priznavanju naloga za zamrzavanje i naloga za oduzimanje, koja je stupila na snagu 19. prosinca 2020. godine</w:t>
      </w:r>
      <w:r w:rsidR="001404E3">
        <w:t>,</w:t>
      </w:r>
      <w:r w:rsidRPr="001B4CA2">
        <w:t xml:space="preserve"> uređen je postupak oduzimanja imovinske koristi u odnosu na države članice Europske unije. Provedba navedene Uredbe osigurana je Zakonom o pravosudnoj suradnji u kaznenim stvarima s državama članicama Europske unije </w:t>
      </w:r>
      <w:r w:rsidR="001404E3">
        <w:t>te</w:t>
      </w:r>
      <w:r w:rsidRPr="001B4CA2">
        <w:t xml:space="preserve"> su </w:t>
      </w:r>
      <w:r w:rsidR="001404E3" w:rsidRPr="001B4CA2">
        <w:t xml:space="preserve">određena </w:t>
      </w:r>
      <w:r w:rsidRPr="001B4CA2">
        <w:t xml:space="preserve">nadležna tijela za izdavanje naloga za oduzimanje. Županijski su </w:t>
      </w:r>
      <w:r w:rsidR="001404E3" w:rsidRPr="001B4CA2">
        <w:t xml:space="preserve">sudovi </w:t>
      </w:r>
      <w:r w:rsidRPr="001B4CA2">
        <w:t>nadležni za prosljeđivanje odluka kojima se trajno oduzima imovina koje su sami donijeli, kao i za odluke općinskih sudova s područja svoje mjesne nadležnosti, nadležnom tijelu druge države članice EU</w:t>
      </w:r>
      <w:r w:rsidR="001404E3">
        <w:t>-a</w:t>
      </w:r>
      <w:r w:rsidRPr="001B4CA2">
        <w:t>, sukladno odredbi članka 7. stavka 3. navedenog Zakona.</w:t>
      </w:r>
    </w:p>
    <w:p w14:paraId="6C8A298E" w14:textId="77777777" w:rsidR="009C6227" w:rsidRPr="001B4CA2" w:rsidRDefault="009C6227" w:rsidP="009C6227"/>
    <w:p w14:paraId="0B6919D6" w14:textId="4BDCBAFE" w:rsidR="009C6227" w:rsidRPr="001B4CA2" w:rsidRDefault="009C6227" w:rsidP="009C6227">
      <w:pPr>
        <w:ind w:firstLine="708"/>
        <w:rPr>
          <w:rFonts w:eastAsia="Times New Roman"/>
          <w:lang w:eastAsia="hr-HR"/>
        </w:rPr>
      </w:pPr>
      <w:r w:rsidRPr="001B4CA2">
        <w:t xml:space="preserve">U 2022. godini Državno odvjetništvo Republike Hrvatske zaprimilo </w:t>
      </w:r>
      <w:r w:rsidR="001404E3" w:rsidRPr="001B4CA2">
        <w:t xml:space="preserve">je </w:t>
      </w:r>
      <w:r w:rsidRPr="001B4CA2">
        <w:t xml:space="preserve">17 </w:t>
      </w:r>
      <w:r w:rsidR="00492AE9" w:rsidRPr="001B4CA2">
        <w:t>zahtjeva</w:t>
      </w:r>
      <w:r w:rsidRPr="001B4CA2">
        <w:t xml:space="preserve"> za oduzimanje imovinske koristi od osuđenika s prebivalištem u državama članicama Europske unije te </w:t>
      </w:r>
      <w:r w:rsidR="001404E3">
        <w:t xml:space="preserve">ih </w:t>
      </w:r>
      <w:r w:rsidRPr="001B4CA2">
        <w:t>je dostavilo županijskim sudovima na nadležno postupanje.</w:t>
      </w:r>
    </w:p>
    <w:p w14:paraId="5A10D3EC" w14:textId="77777777" w:rsidR="009C6227" w:rsidRPr="001B4CA2" w:rsidRDefault="009C6227" w:rsidP="009C6227"/>
    <w:p w14:paraId="529EF2E1" w14:textId="77777777" w:rsidR="009C6227" w:rsidRPr="001B4CA2" w:rsidRDefault="009C6227" w:rsidP="009C6227">
      <w:pPr>
        <w:ind w:firstLine="708"/>
      </w:pPr>
      <w:r w:rsidRPr="001B4CA2">
        <w:t xml:space="preserve">Višestranim međunarodnim ugovorom – Konvencijom Vijeća Europe o pranju, traganju, privremenom oduzimanju i oduzimanju prihoda stečenog kaznenim djelom i financiranju terorizma iz 2005. godine propisan je postupak oduzimanja nezakonitog prihoda ostvarenog kaznenim djelom u odnosima s tzv. trećim državama. Državno </w:t>
      </w:r>
      <w:r w:rsidRPr="001B4CA2">
        <w:lastRenderedPageBreak/>
        <w:t>odvjetništvo Republike Hrvatske određeno je kao središnje tijelo za slanje zamolnica radi oduzimanja imovinske koristi, u skladu s člankom 33. navedene Konvencije.</w:t>
      </w:r>
    </w:p>
    <w:p w14:paraId="36D87C07" w14:textId="77777777" w:rsidR="009C6227" w:rsidRPr="001B4CA2" w:rsidRDefault="009C6227" w:rsidP="009C6227"/>
    <w:p w14:paraId="2A1AEDAA" w14:textId="77777777" w:rsidR="009C6227" w:rsidRPr="001B4CA2" w:rsidRDefault="009C6227" w:rsidP="009C6227">
      <w:pPr>
        <w:ind w:firstLine="708"/>
        <w:rPr>
          <w:sz w:val="22"/>
          <w:szCs w:val="22"/>
        </w:rPr>
      </w:pPr>
      <w:r w:rsidRPr="001B4CA2">
        <w:t>U izvještajnom razdoblju upućeno je 5 zamolnica radi oduzimanja imovinske koristi stečene kaznenim djelom nadležnom tijelu Bosne i Hercegovine i Republike Srbije. U ovim predmetima još nisu donesene odluke o priznanju i izvršenju.</w:t>
      </w:r>
    </w:p>
    <w:p w14:paraId="7829CB28" w14:textId="77777777" w:rsidR="00A82CA0" w:rsidRPr="001B4CA2" w:rsidRDefault="00A82CA0" w:rsidP="0034043C"/>
    <w:p w14:paraId="3EAE5194" w14:textId="331A664F" w:rsidR="00BB4D48" w:rsidRPr="001B4CA2" w:rsidRDefault="00BB4D48" w:rsidP="00BC2284">
      <w:pPr>
        <w:pStyle w:val="Naslov3"/>
        <w:tabs>
          <w:tab w:val="left" w:pos="567"/>
        </w:tabs>
        <w:ind w:left="426" w:hanging="284"/>
        <w:rPr>
          <w:rFonts w:ascii="Arial" w:hAnsi="Arial" w:cs="Arial"/>
        </w:rPr>
      </w:pPr>
      <w:bookmarkStart w:id="165" w:name="_Toc133394395"/>
      <w:r w:rsidRPr="001B4CA2">
        <w:rPr>
          <w:rFonts w:ascii="Arial" w:hAnsi="Arial" w:cs="Arial"/>
        </w:rPr>
        <w:t>Rad</w:t>
      </w:r>
      <w:r w:rsidR="006262C8" w:rsidRPr="001B4CA2">
        <w:rPr>
          <w:rFonts w:ascii="Arial" w:hAnsi="Arial" w:cs="Arial"/>
        </w:rPr>
        <w:t xml:space="preserve"> </w:t>
      </w:r>
      <w:r w:rsidRPr="001B4CA2">
        <w:rPr>
          <w:rFonts w:ascii="Arial" w:hAnsi="Arial" w:cs="Arial"/>
        </w:rPr>
        <w:t>na</w:t>
      </w:r>
      <w:r w:rsidR="006262C8" w:rsidRPr="001B4CA2">
        <w:rPr>
          <w:rFonts w:ascii="Arial" w:hAnsi="Arial" w:cs="Arial"/>
        </w:rPr>
        <w:t xml:space="preserve"> </w:t>
      </w:r>
      <w:r w:rsidRPr="001B4CA2">
        <w:rPr>
          <w:rFonts w:ascii="Arial" w:hAnsi="Arial" w:cs="Arial"/>
        </w:rPr>
        <w:t>predmeti</w:t>
      </w:r>
      <w:r w:rsidR="00A60F77" w:rsidRPr="001B4CA2">
        <w:rPr>
          <w:rFonts w:ascii="Arial" w:hAnsi="Arial" w:cs="Arial"/>
        </w:rPr>
        <w:t>ma</w:t>
      </w:r>
      <w:r w:rsidR="006262C8" w:rsidRPr="001B4CA2">
        <w:rPr>
          <w:rFonts w:ascii="Arial" w:hAnsi="Arial" w:cs="Arial"/>
        </w:rPr>
        <w:t xml:space="preserve"> </w:t>
      </w:r>
      <w:r w:rsidR="00A60F77" w:rsidRPr="001B4CA2">
        <w:rPr>
          <w:rFonts w:ascii="Arial" w:hAnsi="Arial" w:cs="Arial"/>
        </w:rPr>
        <w:t>davanja</w:t>
      </w:r>
      <w:r w:rsidR="006262C8" w:rsidRPr="001B4CA2">
        <w:rPr>
          <w:rFonts w:ascii="Arial" w:hAnsi="Arial" w:cs="Arial"/>
        </w:rPr>
        <w:t xml:space="preserve"> </w:t>
      </w:r>
      <w:r w:rsidR="00A60F77" w:rsidRPr="001B4CA2">
        <w:rPr>
          <w:rFonts w:ascii="Arial" w:hAnsi="Arial" w:cs="Arial"/>
        </w:rPr>
        <w:t>pravnih</w:t>
      </w:r>
      <w:r w:rsidR="006262C8" w:rsidRPr="001B4CA2">
        <w:rPr>
          <w:rFonts w:ascii="Arial" w:hAnsi="Arial" w:cs="Arial"/>
        </w:rPr>
        <w:t xml:space="preserve"> </w:t>
      </w:r>
      <w:r w:rsidR="00A60F77" w:rsidRPr="001B4CA2">
        <w:rPr>
          <w:rFonts w:ascii="Arial" w:hAnsi="Arial" w:cs="Arial"/>
        </w:rPr>
        <w:t>mišljenja</w:t>
      </w:r>
      <w:bookmarkEnd w:id="165"/>
    </w:p>
    <w:p w14:paraId="73103598" w14:textId="77777777" w:rsidR="008F3B9C" w:rsidRPr="001B4CA2" w:rsidRDefault="008F3B9C" w:rsidP="008F3B9C"/>
    <w:p w14:paraId="0EA83D84" w14:textId="77777777" w:rsidR="00CC266B" w:rsidRPr="001B4CA2" w:rsidRDefault="00CC266B" w:rsidP="00CC266B">
      <w:pPr>
        <w:ind w:firstLine="708"/>
      </w:pPr>
      <w:r w:rsidRPr="001B4CA2">
        <w:t>Zakonom o državnom odvjetništvu i Poslovnikom o radu državnog odvjetništva (Narodne novine broj 128/19) uređeno je pitanje davanja pravnih mišljenja državnog odvjetništva.</w:t>
      </w:r>
    </w:p>
    <w:p w14:paraId="674CB091" w14:textId="77777777" w:rsidR="00CC266B" w:rsidRPr="001B4CA2" w:rsidRDefault="00CC266B" w:rsidP="00CC266B"/>
    <w:p w14:paraId="041E8CB0" w14:textId="1C6B2184" w:rsidR="00CC266B" w:rsidRPr="001B4CA2" w:rsidRDefault="00CC266B" w:rsidP="00CC266B">
      <w:r w:rsidRPr="001B4CA2">
        <w:tab/>
        <w:t>Člancima 47. i 48. Zakona o državnom odvjetništvu uređeno je pitanje davanja pravnih mišljenja državnog odvjetništva na pravne poslove kojima Republika Hrvatska stječe ili otuđuje nekretnine iz svog vlasništva, a odredbama članaka 49. i</w:t>
      </w:r>
      <w:r w:rsidR="00FD08E9">
        <w:t xml:space="preserve"> </w:t>
      </w:r>
      <w:r w:rsidRPr="001B4CA2">
        <w:t>50. Zakona uređeno je pitanje davanja pravnih mišljenja u drugim slučajevima te pitanje pružanja stručne pravne pomoći državnim tijelima i pravnim osobama koje upravljaju ili gospodare nekretninama u vlasništvu Republike Hrvatske.</w:t>
      </w:r>
    </w:p>
    <w:p w14:paraId="2307DF88" w14:textId="77777777" w:rsidR="00CC266B" w:rsidRPr="001B4CA2" w:rsidRDefault="00CC266B" w:rsidP="00CC266B"/>
    <w:p w14:paraId="0017229A" w14:textId="77777777" w:rsidR="00CC266B" w:rsidRPr="001B4CA2" w:rsidRDefault="00CC266B" w:rsidP="00CC266B">
      <w:r w:rsidRPr="001B4CA2">
        <w:tab/>
        <w:t xml:space="preserve">Osim Zakona o državnom odvjetništvu i Poslovnika o radu državnog odvjetništva davanje pravnih mišljenja državnog odvjetništva uređeno je i nizom posebnih zakona. </w:t>
      </w:r>
    </w:p>
    <w:p w14:paraId="12971848" w14:textId="77777777" w:rsidR="00CC266B" w:rsidRPr="001B4CA2" w:rsidRDefault="00CC266B" w:rsidP="00CC266B"/>
    <w:p w14:paraId="498B4DAF" w14:textId="0D1B4AC5" w:rsidR="00CC266B" w:rsidRPr="001B4CA2" w:rsidRDefault="00CC266B" w:rsidP="00CC266B">
      <w:r w:rsidRPr="001B4CA2">
        <w:tab/>
        <w:t>Sukladno ustavnim i zakonskim ovlastima i dužnostima državno odvjetništvo davanjem pravnih mišljenja na nacrte zakona i drugih propisa, nacrte ugovora kojima Republika Hrvatska stječe ili otuđuje nekretnine iz svog vlasništva te na druge pravne poslove štiti se zakonitost i jednakost svih pred zakonom, štiti se imovina i imovinski interesi Republike Hrvatske te</w:t>
      </w:r>
      <w:r w:rsidR="00FD08E9">
        <w:t xml:space="preserve"> </w:t>
      </w:r>
      <w:r w:rsidRPr="001B4CA2">
        <w:t xml:space="preserve">osigurava jedinstvena primjena zakona na cijelom teritoriju Republike Hrvatske. Državno odvjetništvo davanjem pravnih mišljenja i pružanjem stručne pravne pomoći ima i preventivnu ulogu jer na taj način otklanja eventualna sporna pitanja koja se mogu pojaviti u konkretnim slučajevima u primjeni različitih zakonskih propisa, a time se ujedno preveniraju i eventualni budući sudski sporovi ugovornih strana kao i eventualna šteta koju bi Republika Hrvatska mogla trpjeti zbog spornih odredbi pravnih poslova ili poduzetih nezakonitih radnji. Jasne odredbe zakona i drugih propisa općenito pridonose i smanjenju budućih sporova, a time se posredno utječe i na učinkovitost pravosuđa. </w:t>
      </w:r>
    </w:p>
    <w:p w14:paraId="00301DAB" w14:textId="77777777" w:rsidR="00CC266B" w:rsidRPr="001B4CA2" w:rsidRDefault="00CC266B" w:rsidP="00CC266B"/>
    <w:p w14:paraId="53612557" w14:textId="61699904" w:rsidR="005B2800" w:rsidRPr="001B4CA2" w:rsidRDefault="00CC266B" w:rsidP="000268FF">
      <w:r w:rsidRPr="001B4CA2">
        <w:tab/>
        <w:t>U postupku davanja pravnog</w:t>
      </w:r>
      <w:r w:rsidR="0007660F">
        <w:t>a</w:t>
      </w:r>
      <w:r w:rsidRPr="001B4CA2">
        <w:t xml:space="preserve"> mišljenja na pravne poslove državno odvjetništvo prije svega utvrđuje je li određeni pravni posao pravno valjan, odnosno utvrđuje postoje li zapreke za sklapanje toga pravnog posla prema onim zakonima koji uređuju postupak i način raspolaganja nekretninama u vlasništvu Republike Hrvatske</w:t>
      </w:r>
      <w:r w:rsidR="0007660F">
        <w:t>,</w:t>
      </w:r>
      <w:r w:rsidRPr="001B4CA2">
        <w:t xml:space="preserve"> odnosno stjecanje nekretnina u vlasništvo Republike Hrvatske (primjerice prema Zakonu o upravljanju državnom imovinom, Zakonu o zakupu i prodaji poslovnog prostora, Zakonu o hrvatskim braniteljima iz Domovinskog rata i članovima njihovih obitelji, Zakonu o stambenom zbrinjavanju na potpomognutim područjima, Zakonu o poljoprivrednom zemljištu, Zakonu o vodama i dr.), zatim utvrđuje jesu li prodavatelji stvarni vlasnici nekretnina, postoje li kakve zapreke za raspolaganje nekretninama, jesu li odredbe ugovora jasne i određene kako u praksi ne bi stvarale dvojbe i različita tumačenja i dr. </w:t>
      </w:r>
    </w:p>
    <w:p w14:paraId="16BA207C" w14:textId="77777777" w:rsidR="005B2800" w:rsidRPr="001B4CA2" w:rsidRDefault="005B2800" w:rsidP="00FC6AC8">
      <w:pPr>
        <w:ind w:firstLine="708"/>
      </w:pPr>
    </w:p>
    <w:p w14:paraId="7247A603" w14:textId="42FDE084" w:rsidR="00CC266B" w:rsidRPr="001B4CA2" w:rsidRDefault="00FD08E9" w:rsidP="00CC266B">
      <w:pPr>
        <w:rPr>
          <w:i/>
        </w:rPr>
      </w:pPr>
      <w:r>
        <w:rPr>
          <w:i/>
        </w:rPr>
        <w:t xml:space="preserve"> </w:t>
      </w:r>
      <w:r w:rsidR="00CC266B" w:rsidRPr="001B4CA2">
        <w:rPr>
          <w:i/>
        </w:rPr>
        <w:t xml:space="preserve"> Broj i struktura predmeta davanja pravnih mišljenje u 2022. godini</w:t>
      </w:r>
    </w:p>
    <w:p w14:paraId="41B8AEC9" w14:textId="77777777" w:rsidR="00CC266B" w:rsidRPr="001B4CA2" w:rsidRDefault="00CC266B" w:rsidP="00CC266B">
      <w:r w:rsidRPr="001B4CA2">
        <w:rPr>
          <w:rFonts w:cstheme="minorHAnsi"/>
          <w:noProof/>
          <w:lang w:eastAsia="hr-HR"/>
        </w:rPr>
        <w:drawing>
          <wp:inline distT="0" distB="0" distL="0" distR="0" wp14:anchorId="22DC726C" wp14:editId="7E1E55B3">
            <wp:extent cx="5547815" cy="2674961"/>
            <wp:effectExtent l="0" t="0" r="15240" b="1143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5162BDC" w14:textId="77777777" w:rsidR="00CC266B" w:rsidRPr="001B4CA2" w:rsidRDefault="00CC266B" w:rsidP="00CC266B">
      <w:pPr>
        <w:rPr>
          <w:rFonts w:cstheme="minorHAnsi"/>
          <w:lang w:eastAsia="hr-HR"/>
        </w:rPr>
      </w:pPr>
    </w:p>
    <w:p w14:paraId="1BFB37FC" w14:textId="77777777" w:rsidR="00CC266B" w:rsidRPr="001B4CA2" w:rsidRDefault="00CC266B" w:rsidP="00CC266B">
      <w:pPr>
        <w:ind w:firstLine="708"/>
      </w:pPr>
    </w:p>
    <w:p w14:paraId="0F9F7DCA" w14:textId="72D7BA7D" w:rsidR="00CC266B" w:rsidRPr="001B4CA2" w:rsidRDefault="00CC266B" w:rsidP="00CC266B">
      <w:r w:rsidRPr="001B4CA2">
        <w:tab/>
        <w:t>Iz gornje tablice proizlazi da je ukupan broj predmeta davanja pravnih mišljenja blago porastao u odnosu na prethodno izvještajno razdoblje. Ako se pogleda struktura predmeta, tada proizlazi da je broj predmeta davanja pravnih mišljenja po Zakonu o državnom odvjetništvu u laganom padu, dok je broj predmeta davanja pravnih mišljenja po posebnim propisima u porastu.</w:t>
      </w:r>
      <w:r w:rsidR="00FD08E9">
        <w:t xml:space="preserve"> </w:t>
      </w:r>
      <w:r w:rsidRPr="001B4CA2">
        <w:t xml:space="preserve"> </w:t>
      </w:r>
    </w:p>
    <w:p w14:paraId="45D310F8" w14:textId="77777777" w:rsidR="00706949" w:rsidRPr="001B4CA2" w:rsidRDefault="00706949" w:rsidP="0034043C"/>
    <w:p w14:paraId="0B0324B6" w14:textId="77777777" w:rsidR="00BB4D48" w:rsidRPr="001B4CA2" w:rsidRDefault="00BB4D48" w:rsidP="00BC2284">
      <w:pPr>
        <w:pStyle w:val="Naslov4"/>
        <w:tabs>
          <w:tab w:val="left" w:pos="1134"/>
        </w:tabs>
        <w:rPr>
          <w:rFonts w:ascii="Arial" w:hAnsi="Arial" w:cs="Arial"/>
        </w:rPr>
      </w:pPr>
      <w:bookmarkStart w:id="166" w:name="_Toc133394396"/>
      <w:r w:rsidRPr="001B4CA2">
        <w:rPr>
          <w:rFonts w:ascii="Arial" w:hAnsi="Arial" w:cs="Arial"/>
        </w:rPr>
        <w:t>Pravna mišljenja po Za</w:t>
      </w:r>
      <w:r w:rsidR="00A60F77" w:rsidRPr="001B4CA2">
        <w:rPr>
          <w:rFonts w:ascii="Arial" w:hAnsi="Arial" w:cs="Arial"/>
        </w:rPr>
        <w:t>konu o državnom odvjetništvu</w:t>
      </w:r>
      <w:bookmarkEnd w:id="166"/>
    </w:p>
    <w:p w14:paraId="58AC544F" w14:textId="77777777" w:rsidR="006C68E3" w:rsidRPr="001B4CA2" w:rsidRDefault="006C68E3" w:rsidP="00D3013F"/>
    <w:p w14:paraId="595EBD3F" w14:textId="5C90BD83" w:rsidR="00CC266B" w:rsidRPr="001B4CA2" w:rsidRDefault="00CC266B" w:rsidP="00CC266B">
      <w:pPr>
        <w:ind w:firstLine="708"/>
      </w:pPr>
      <w:r w:rsidRPr="001B4CA2">
        <w:t>Zakon o državnom odvjetništvu sadrži odredbe koje propisuju da državno odvjetništvo daje pravno mišljenje na pravne poslove (</w:t>
      </w:r>
      <w:proofErr w:type="spellStart"/>
      <w:r w:rsidRPr="001B4CA2">
        <w:t>kogentne</w:t>
      </w:r>
      <w:proofErr w:type="spellEnd"/>
      <w:r w:rsidRPr="001B4CA2">
        <w:t xml:space="preserve"> odredbe), a također sadrži i dispozitivne odredbe koje daju samo mogućnost, ali ne i obvezu davanja pravnog mišljenja. U slučaju dispozitivnih odred</w:t>
      </w:r>
      <w:r w:rsidR="0007660F">
        <w:t>a</w:t>
      </w:r>
      <w:r w:rsidRPr="001B4CA2">
        <w:t>b</w:t>
      </w:r>
      <w:r w:rsidR="0007660F">
        <w:t>a</w:t>
      </w:r>
      <w:r w:rsidRPr="001B4CA2">
        <w:t xml:space="preserve"> državno će </w:t>
      </w:r>
      <w:r w:rsidR="0007660F" w:rsidRPr="001B4CA2">
        <w:t xml:space="preserve">odvjetništvo </w:t>
      </w:r>
      <w:r w:rsidRPr="001B4CA2">
        <w:t>u svakom konkretnom slučaju ocijeniti je li u interesu Republike Hrvatske, odnosno u cilju zaštite zakonitosti davanje pravnog mišljenja.</w:t>
      </w:r>
    </w:p>
    <w:p w14:paraId="228EED0F" w14:textId="77777777" w:rsidR="00CC266B" w:rsidRPr="001B4CA2" w:rsidRDefault="00CC266B" w:rsidP="00CC266B"/>
    <w:p w14:paraId="602923C0" w14:textId="77777777" w:rsidR="00CC266B" w:rsidRPr="001B4CA2" w:rsidRDefault="00CC266B" w:rsidP="00CC266B">
      <w:r w:rsidRPr="001B4CA2">
        <w:tab/>
        <w:t xml:space="preserve">Tako državno odvjetništvo uvijek daje pravno mišljenje na sve pravne poslove kojima Republika Hrvatska stječe ili otuđuje nekretnine iz svoga vlasništva. </w:t>
      </w:r>
    </w:p>
    <w:p w14:paraId="254D6BA5" w14:textId="77777777" w:rsidR="00CC266B" w:rsidRPr="001B4CA2" w:rsidRDefault="00CC266B" w:rsidP="00CC266B"/>
    <w:p w14:paraId="26276C30" w14:textId="7E36AC09" w:rsidR="00CC266B" w:rsidRPr="001B4CA2" w:rsidRDefault="00CC266B" w:rsidP="00CC266B">
      <w:r w:rsidRPr="001B4CA2">
        <w:tab/>
        <w:t>Nadalje, državno odvjetništvo daje pravno mišljenje u svim pitanjima koja se odnose na imovinskopravne poslove i zaštitu imovine Republike Hrvatske, prirodna bogatstva, zaštitu prirode, prava od interesa za Republiku Hrvatsku, ako se radi o predmetima koji su od osobit</w:t>
      </w:r>
      <w:r w:rsidR="0007660F">
        <w:t>e važnosti</w:t>
      </w:r>
      <w:r w:rsidRPr="001B4CA2">
        <w:t xml:space="preserve"> za Republiku Hrvatsku ili velike imovinske vrijednosti. U ovim slučajevima ako državna tijela imaju svoju pravnu službu</w:t>
      </w:r>
      <w:r w:rsidR="0007660F">
        <w:t>,</w:t>
      </w:r>
      <w:r w:rsidRPr="001B4CA2">
        <w:t xml:space="preserve"> dužna su uz zahtjev za davanje pravnog</w:t>
      </w:r>
      <w:r w:rsidR="0007660F">
        <w:t>a</w:t>
      </w:r>
      <w:r w:rsidRPr="001B4CA2">
        <w:t xml:space="preserve"> mišljenja državnog odvjetništva dostaviti i mišljenje svoje pravne službe. </w:t>
      </w:r>
    </w:p>
    <w:p w14:paraId="516E3FB5" w14:textId="77777777" w:rsidR="00CC266B" w:rsidRPr="001B4CA2" w:rsidRDefault="00CC266B" w:rsidP="00CC266B"/>
    <w:p w14:paraId="3F3B27AA" w14:textId="1127CE6B" w:rsidR="00CC266B" w:rsidRDefault="00CC266B" w:rsidP="00CC266B">
      <w:r w:rsidRPr="001B4CA2">
        <w:tab/>
        <w:t xml:space="preserve">Osim gore navedenih slučajeva u kojima je državno odvjetništvo obvezno dati pravno mišljenje, Zakon o državnom odvjetništvu propisuje i mogućnost da državno odvjetništvo daje pravno mišljenje na zahtjev državnih tijela ili pravnih osoba koje upravljaju i gospodare nekretninama u vlasništvu Republike Hrvatske kad je to </w:t>
      </w:r>
      <w:r w:rsidRPr="001B4CA2">
        <w:lastRenderedPageBreak/>
        <w:t xml:space="preserve">potrebno radi razrješavanja imovinskopravnih odnosa, izvan sudskog rješavanja sporova, kao i prevencije nastanka sporova. </w:t>
      </w:r>
    </w:p>
    <w:p w14:paraId="3F269652" w14:textId="77777777" w:rsidR="00223ABD" w:rsidRPr="001B4CA2" w:rsidRDefault="00223ABD" w:rsidP="00CC266B"/>
    <w:p w14:paraId="5B6D7382" w14:textId="77777777" w:rsidR="00CC266B" w:rsidRPr="001B4CA2" w:rsidRDefault="00CC266B" w:rsidP="00CC266B">
      <w:r w:rsidRPr="001B4CA2">
        <w:tab/>
        <w:t>Također, u određenim slučajevima državno odvjetništvo može državnim tijelima pružiti i drugu stručnu pravnu pomoć, posebno u slučajevima kad je to potrebno radi zaštite imovine imovinskih interesa Republike Hrvatske ili zaštite zakonitosti.</w:t>
      </w:r>
    </w:p>
    <w:p w14:paraId="10F51866" w14:textId="77777777" w:rsidR="00CC266B" w:rsidRPr="001B4CA2" w:rsidRDefault="00CC266B" w:rsidP="00CC266B"/>
    <w:p w14:paraId="25B5B030" w14:textId="583B2E4F" w:rsidR="00CC266B" w:rsidRPr="001B4CA2" w:rsidRDefault="00CC266B" w:rsidP="00CC266B">
      <w:r w:rsidRPr="001B4CA2">
        <w:tab/>
        <w:t xml:space="preserve"> Ako državno odvjetništvo ocijeni da bi Republika Hrvatska mogla odgovarati za štetu, državno odvjetništvo može na zahtjev pravnih osoba u vlasništvu ili pretežitom vlasništvu Republike Hrvatske, ustanovama čiji je Republika Hrvatska osnivač ili suosnivač, kao i jedinicama lokalne i područne (regionalne) samouprave dati mišljenje o imovinskopravni</w:t>
      </w:r>
      <w:r w:rsidR="0007660F">
        <w:t>m</w:t>
      </w:r>
      <w:r w:rsidRPr="001B4CA2">
        <w:t xml:space="preserve"> odnosima između tih osoba i trećih osoba ili im pružiti stručnu pravnu pomoć.</w:t>
      </w:r>
    </w:p>
    <w:p w14:paraId="4634DE94" w14:textId="77777777" w:rsidR="00CC266B" w:rsidRPr="001B4CA2" w:rsidRDefault="00CC266B" w:rsidP="00CC266B">
      <w:r w:rsidRPr="001B4CA2">
        <w:tab/>
      </w:r>
    </w:p>
    <w:p w14:paraId="754BB5FE" w14:textId="716C7765" w:rsidR="00CC266B" w:rsidRPr="001B4CA2" w:rsidRDefault="00CC266B" w:rsidP="00CC266B">
      <w:r w:rsidRPr="001B4CA2">
        <w:tab/>
        <w:t xml:space="preserve">Davanje pravnih mišljenja u ovim slučajevima pokazalo se posebno korisnim u prevenciji budućih sporova. Naime, Republika Hrvatska ne odgovara samo za štetu koju počine njezina tijela, nego u određenim slučajevima može odgovarati i za štetu koju počine i druge pravne osobe s javnim ovlastima kao i jedinice lokalne i područne (regionalne) samouprave, što je posebno važno u prevenciji međunarodnih sporova i arbitraža koje strani investitori pokreću protiv Republike Hrvatske. </w:t>
      </w:r>
    </w:p>
    <w:p w14:paraId="7491D67E" w14:textId="77777777" w:rsidR="00CC266B" w:rsidRPr="001B4CA2" w:rsidRDefault="00CC266B" w:rsidP="00CC266B"/>
    <w:p w14:paraId="19DE9E7B" w14:textId="7DBA3915" w:rsidR="00CC266B" w:rsidRPr="001B4CA2" w:rsidRDefault="00CC266B" w:rsidP="00CC266B">
      <w:r w:rsidRPr="001B4CA2">
        <w:tab/>
        <w:t xml:space="preserve">Prema Zakonu o državnom odvjetništvu najveći broj pravnih poslova na koje državno odvjetništvo daje mišljenje odnosi se na pravne poslove kojima Republika Hrvatska prodaje nekretnine u svom vlasništvu. </w:t>
      </w:r>
      <w:r w:rsidR="0007660F">
        <w:t>T</w:t>
      </w:r>
      <w:r w:rsidRPr="001B4CA2">
        <w:t xml:space="preserve">e se </w:t>
      </w:r>
      <w:r w:rsidR="0007660F" w:rsidRPr="001B4CA2">
        <w:t xml:space="preserve">nekretnine </w:t>
      </w:r>
      <w:r w:rsidRPr="001B4CA2">
        <w:t>u pravilu prodaju putem javnog natječaja, a samo iznimno</w:t>
      </w:r>
      <w:r w:rsidR="0007660F">
        <w:t>,</w:t>
      </w:r>
      <w:r w:rsidRPr="001B4CA2">
        <w:t xml:space="preserve"> i to u taksativno navedenim slučajevima</w:t>
      </w:r>
      <w:r w:rsidR="0007660F">
        <w:t>,</w:t>
      </w:r>
      <w:r w:rsidRPr="001B4CA2">
        <w:t xml:space="preserve"> Zakon o upravljanju državnom imovinom dopušta prodaju neposrednom pogodbom.</w:t>
      </w:r>
    </w:p>
    <w:p w14:paraId="0C728E28" w14:textId="77777777" w:rsidR="00CC266B" w:rsidRPr="001B4CA2" w:rsidRDefault="00CC266B" w:rsidP="00CC266B"/>
    <w:p w14:paraId="21C45439" w14:textId="39FF11A9" w:rsidR="00CC266B" w:rsidRPr="001B4CA2" w:rsidRDefault="00CC266B" w:rsidP="00CC266B">
      <w:r w:rsidRPr="001B4CA2">
        <w:tab/>
        <w:t>U postupku utvrđivanja valjanosti pravn</w:t>
      </w:r>
      <w:r w:rsidR="0007660F">
        <w:t>ih</w:t>
      </w:r>
      <w:r w:rsidRPr="001B4CA2">
        <w:t xml:space="preserve"> poslova državno odvjetništvo ispituje je li zakonito proveden javni natječaj</w:t>
      </w:r>
      <w:r w:rsidR="0007660F">
        <w:t xml:space="preserve"> i</w:t>
      </w:r>
      <w:r w:rsidRPr="001B4CA2">
        <w:t xml:space="preserve"> je li zakonito određena početna cijena na natječaju. U slučaju ako je ponovljen natječaj, utvrđuje se je li zakonito snižena početna cijena i dr. </w:t>
      </w:r>
    </w:p>
    <w:p w14:paraId="03DFD153" w14:textId="77777777" w:rsidR="00CC266B" w:rsidRPr="001B4CA2" w:rsidRDefault="00CC266B" w:rsidP="00CC266B"/>
    <w:p w14:paraId="3C6DFC9F" w14:textId="77777777" w:rsidR="00CC266B" w:rsidRPr="001B4CA2" w:rsidRDefault="00CC266B" w:rsidP="00CC266B">
      <w:r w:rsidRPr="001B4CA2">
        <w:tab/>
        <w:t xml:space="preserve">U slučajevima kad se raspolaže nekretninama neposrednom pogodbom državno odvjetništvo utvrđuje jesu li za to ispunjeni uvjeti koje taksativno propisuje članak 41. Zakona o upravljanju državnom imovinom. </w:t>
      </w:r>
    </w:p>
    <w:p w14:paraId="628144B0" w14:textId="77777777" w:rsidR="00CC266B" w:rsidRPr="001B4CA2" w:rsidRDefault="00CC266B" w:rsidP="00CC266B">
      <w:pPr>
        <w:ind w:firstLine="708"/>
      </w:pPr>
    </w:p>
    <w:p w14:paraId="1435077B" w14:textId="5B4CBDBD" w:rsidR="00CC266B" w:rsidRPr="001B4CA2" w:rsidRDefault="00CC266B" w:rsidP="00CC266B">
      <w:pPr>
        <w:ind w:firstLine="708"/>
      </w:pPr>
      <w:r w:rsidRPr="001B4CA2">
        <w:t>Nekretnine u vlasništvu Republike Hrvatske mogu se i darovati, ali samo u korist jedinica lokalne i područne (regionalne) samouprave</w:t>
      </w:r>
      <w:r w:rsidR="0007660F">
        <w:t>,</w:t>
      </w:r>
      <w:r w:rsidRPr="001B4CA2">
        <w:t xml:space="preserve"> i to iz točno određenih razloga, odnosno za određene svrhe. Potvrdu da se radi o darovanju nekretnina za određenu namjenu treba dati ministarstvo u čijoj je </w:t>
      </w:r>
      <w:r w:rsidR="0007660F" w:rsidRPr="001B4CA2">
        <w:t xml:space="preserve">nadležnosti </w:t>
      </w:r>
      <w:r w:rsidRPr="001B4CA2">
        <w:t xml:space="preserve">djelatnost </w:t>
      </w:r>
      <w:r w:rsidR="0007660F">
        <w:t>zbog</w:t>
      </w:r>
      <w:r w:rsidRPr="001B4CA2">
        <w:t xml:space="preserve"> koje</w:t>
      </w:r>
      <w:r w:rsidR="00FD08E9">
        <w:t xml:space="preserve"> </w:t>
      </w:r>
      <w:r w:rsidRPr="001B4CA2">
        <w:t xml:space="preserve">se daruje nekretnina. Broj ugovora kojima Republika Hrvatska daruje nekretnine još uvijek </w:t>
      </w:r>
      <w:r w:rsidR="0007660F" w:rsidRPr="001B4CA2">
        <w:t xml:space="preserve">je </w:t>
      </w:r>
      <w:r w:rsidRPr="001B4CA2">
        <w:t>značajan te je nastavljen trend darovanja kao i u prethodnim izvještajnim razdobljima.</w:t>
      </w:r>
    </w:p>
    <w:p w14:paraId="516CB09B" w14:textId="77777777" w:rsidR="00CC266B" w:rsidRPr="001B4CA2" w:rsidRDefault="00CC266B" w:rsidP="00CC266B">
      <w:pPr>
        <w:ind w:firstLine="708"/>
      </w:pPr>
    </w:p>
    <w:p w14:paraId="4F3DCE09" w14:textId="46618B26" w:rsidR="00CC266B" w:rsidRPr="001B4CA2" w:rsidRDefault="00CC266B" w:rsidP="00CC266B">
      <w:r w:rsidRPr="001B4CA2">
        <w:tab/>
        <w:t>U postupku davanja pravnih mišljenja o pravnoj valjanosti pravnih poslova državno odvjetništvo nije nadležno ispitivati svrhovitost</w:t>
      </w:r>
      <w:r w:rsidR="0007660F">
        <w:t>,</w:t>
      </w:r>
      <w:r w:rsidRPr="001B4CA2">
        <w:t xml:space="preserve"> odnosno razloge zbog kojih određeno državno tijelo raspolaže nekretninama, nego samo utvrđuje jesu li ispunjene pretpostavke u pogledu postupka, načina raspolaganja, kao i ovlasti tijela za raspolaganje nekretninama.</w:t>
      </w:r>
    </w:p>
    <w:p w14:paraId="17AF9CA5" w14:textId="27574739" w:rsidR="00CC266B" w:rsidRPr="001B4CA2" w:rsidRDefault="00CC266B" w:rsidP="00CC266B">
      <w:r w:rsidRPr="001B4CA2">
        <w:lastRenderedPageBreak/>
        <w:tab/>
        <w:t xml:space="preserve">Također, državno </w:t>
      </w:r>
      <w:r w:rsidR="0007660F" w:rsidRPr="001B4CA2">
        <w:t xml:space="preserve">se </w:t>
      </w:r>
      <w:r w:rsidRPr="001B4CA2">
        <w:t xml:space="preserve">odvjetništvo ne može upuštati niti u činjenicu je li cijena koja je utvrđena u ugovoru doista tržišna cijena, nego je dužno ispitati je li ovlašteni vještak u propisanim postupku i na način propisan zakonom utvrdio vrijednost nekretnine. </w:t>
      </w:r>
    </w:p>
    <w:p w14:paraId="47192FBF" w14:textId="77777777" w:rsidR="00CC266B" w:rsidRPr="001B4CA2" w:rsidRDefault="00CC266B" w:rsidP="00CC266B">
      <w:pPr>
        <w:ind w:firstLine="708"/>
      </w:pPr>
    </w:p>
    <w:p w14:paraId="2C498901" w14:textId="705D4B07" w:rsidR="00CC266B" w:rsidRPr="001B4CA2" w:rsidRDefault="00FD08E9" w:rsidP="00CC266B">
      <w:r>
        <w:rPr>
          <w:i/>
        </w:rPr>
        <w:t xml:space="preserve"> </w:t>
      </w:r>
      <w:r w:rsidR="009B73F9" w:rsidRPr="001B4CA2">
        <w:rPr>
          <w:i/>
        </w:rPr>
        <w:t xml:space="preserve"> </w:t>
      </w:r>
      <w:r w:rsidR="00CC266B" w:rsidRPr="001B4CA2">
        <w:rPr>
          <w:i/>
        </w:rPr>
        <w:t>Broj i struktura predmeta davanja pravnih mišljenja po ZDO</w:t>
      </w:r>
    </w:p>
    <w:p w14:paraId="1C19C44E" w14:textId="77777777" w:rsidR="00CC266B" w:rsidRPr="001B4CA2" w:rsidRDefault="00CC266B" w:rsidP="00CC266B">
      <w:r w:rsidRPr="001B4CA2">
        <w:rPr>
          <w:rFonts w:cstheme="minorHAnsi"/>
          <w:noProof/>
          <w:lang w:eastAsia="hr-HR"/>
        </w:rPr>
        <w:drawing>
          <wp:inline distT="0" distB="0" distL="0" distR="0" wp14:anchorId="5706F32E" wp14:editId="40AC21B9">
            <wp:extent cx="5486400" cy="3241344"/>
            <wp:effectExtent l="0" t="0" r="19050" b="1651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EFD93E7" w14:textId="6726D003" w:rsidR="001246C0" w:rsidRPr="001B4CA2" w:rsidRDefault="001246C0" w:rsidP="00CC266B"/>
    <w:p w14:paraId="5B83D8C9" w14:textId="77777777" w:rsidR="00CC266B" w:rsidRPr="001B4CA2" w:rsidRDefault="00CC266B" w:rsidP="00CC266B">
      <w:pPr>
        <w:ind w:firstLine="708"/>
      </w:pPr>
      <w:r w:rsidRPr="001B4CA2">
        <w:t>Iz gornje tablice proizlazi da je raspolaganje nekretninama u blagom padu u odnosu na prethodno izvještajno razdoblje. Ako se pogleda struktura predmeta, tada proizlazi da se najveći dio ugovora odnosi na ugovore o prodaji i ugovore o darovanju. Iako je broj predmeta ugovora o darovanju u blagom padu u odnosu na prethodno izvještajno razdoblje, još uvijek Republika Hrvatska velikim brojem nekretnina raspolaže darovanjem.</w:t>
      </w:r>
    </w:p>
    <w:p w14:paraId="2A82BECC" w14:textId="77777777" w:rsidR="00D3013F" w:rsidRPr="001B4CA2" w:rsidRDefault="00D3013F" w:rsidP="001246C0"/>
    <w:p w14:paraId="1468A853" w14:textId="77777777" w:rsidR="00BB4D48" w:rsidRPr="001B4CA2" w:rsidRDefault="00BB4D48" w:rsidP="00BC2284">
      <w:pPr>
        <w:pStyle w:val="Naslov4"/>
        <w:tabs>
          <w:tab w:val="left" w:pos="1134"/>
        </w:tabs>
        <w:rPr>
          <w:rFonts w:ascii="Arial" w:hAnsi="Arial" w:cs="Arial"/>
        </w:rPr>
      </w:pPr>
      <w:bookmarkStart w:id="167" w:name="_Toc133394397"/>
      <w:r w:rsidRPr="001B4CA2">
        <w:rPr>
          <w:rFonts w:ascii="Arial" w:hAnsi="Arial" w:cs="Arial"/>
        </w:rPr>
        <w:t>Pravna mi</w:t>
      </w:r>
      <w:r w:rsidR="00A60F77" w:rsidRPr="001B4CA2">
        <w:rPr>
          <w:rFonts w:ascii="Arial" w:hAnsi="Arial" w:cs="Arial"/>
        </w:rPr>
        <w:t>šljenja po posebnim zakonima</w:t>
      </w:r>
      <w:bookmarkEnd w:id="167"/>
    </w:p>
    <w:p w14:paraId="21FFB417" w14:textId="77777777" w:rsidR="00D3013F" w:rsidRPr="001B4CA2" w:rsidRDefault="00D3013F" w:rsidP="00D3013F"/>
    <w:p w14:paraId="1359C29E" w14:textId="14264AA7" w:rsidR="00CC266B" w:rsidRPr="001B4CA2" w:rsidRDefault="00CC266B" w:rsidP="00CC266B">
      <w:pPr>
        <w:ind w:firstLine="708"/>
      </w:pPr>
      <w:r w:rsidRPr="001B4CA2">
        <w:t xml:space="preserve">Državno odvjetništvo, kao što je naprijed navedeno, osim po Zakonu o državnom odvjetništvu, daje pravna mišljenja i temeljem niza posebnih zakona. Tako državno odvjetništvo po Zakonu o poljoprivrednom zemljištu daje pravna mišljenja na nacrte ugovora o prodaji i zakupu poljoprivrednog zemljišta u vlasništvu Republike Hrvatske te na ugovore o zakupu ribnjaka u vlasništvu Republike Hrvatske. Po Zakonu o prodaji stanova na kojima postoji stanarsko pravo državno odvjetništvo daje mišljenje na ugovore o prodaji stanova kojima upravljaju Ministarstvo obrane, Ministarstvo unutarnjih poslova i Ministarstvo graditeljstva, prostornog uređenja i državne imovine. Također državno odvjetništvo daje pravna mišljenja na anekse ugovora o prodaji stanova na kojima postoji stanarsko pravo, uglavnom na zahtjev jedinica lokalne samouprave. U najvećem dijelu radi se o prijevremenoj otplati kupoprodajne cijene stana u slučajevima kad je u osnovnom ugovoru ugovorena dugogodišnja obročna otplata. Nadalje, po Zakonu o pravima hrvatskih branitelja iz Domovinskog rata i članova njihovih obitelji državno odvjetništvo daje mišljenje na ugovore o prodaji i darovanju stanova hrvatskim braniteljima. Po Zakonu o stambenom zbrinjavanju na potpomognutim područjima i Zakonu o područjima </w:t>
      </w:r>
      <w:r w:rsidRPr="001B4CA2">
        <w:lastRenderedPageBreak/>
        <w:t>posebne državne skrbi državno odvjetništvo daje mišljenje na ugovore o prodaji i ugovore o darovanju stanova i kuća na potpomognutom području. Po Zakonu o lovstvu državno odvjetništvo daje mišljenje na nacrte ugovora o koncesiji i nacrte ugovora o zakupu državnih lovišta.</w:t>
      </w:r>
      <w:r w:rsidR="00FD08E9">
        <w:t xml:space="preserve"> </w:t>
      </w:r>
    </w:p>
    <w:p w14:paraId="758BE24A" w14:textId="77777777" w:rsidR="00CC266B" w:rsidRPr="001B4CA2" w:rsidRDefault="00CC266B" w:rsidP="00CC266B">
      <w:r w:rsidRPr="001B4CA2">
        <w:tab/>
        <w:t xml:space="preserve"> </w:t>
      </w:r>
    </w:p>
    <w:p w14:paraId="1275283F" w14:textId="222E041C" w:rsidR="00CC266B" w:rsidRPr="001B4CA2" w:rsidRDefault="00CC266B" w:rsidP="00CC266B">
      <w:r w:rsidRPr="001B4CA2">
        <w:tab/>
        <w:t>Državno odvjetništvo daje</w:t>
      </w:r>
      <w:r w:rsidRPr="001B4CA2">
        <w:rPr>
          <w:sz w:val="28"/>
        </w:rPr>
        <w:t xml:space="preserve"> </w:t>
      </w:r>
      <w:r w:rsidRPr="001B4CA2">
        <w:t>mišljenje i na izmjene ugovora o koncesiji koji se sklapaju po Zakonu o koncesijama i Zakonu o pomorskom dobru i morskim lukama, kao i druga mišljenja vezana uz primjenu tih zakona. Najveći dio pravnih mišljenja odnosi se na ugovore o izmjeni ugovora o koncesiji u pogledu trajanja roka koncesije na pomorskom dobru, a u jednom</w:t>
      </w:r>
      <w:r w:rsidR="00D16737">
        <w:t>e</w:t>
      </w:r>
      <w:r w:rsidRPr="001B4CA2">
        <w:t xml:space="preserve"> dijelu i o proširenju obuhvata koncesijskog dobra. Najčešće se radi o slučajevima da koncesionar tvrdi </w:t>
      </w:r>
      <w:r w:rsidR="00D16737">
        <w:t>kako</w:t>
      </w:r>
      <w:r w:rsidRPr="001B4CA2">
        <w:t xml:space="preserve"> je izvršio znatna ulaganja u pomorsko dobro koja mu se neće moći amortizirati u ostavljenom roku koncesije ili pak namjerava izvršiti nova ulaganja koja su nužna jer ih nameću novi propisi ili tržište.</w:t>
      </w:r>
    </w:p>
    <w:p w14:paraId="3395BA00" w14:textId="77777777" w:rsidR="00CC266B" w:rsidRPr="001B4CA2" w:rsidRDefault="00CC266B" w:rsidP="00CC266B">
      <w:r w:rsidRPr="001B4CA2">
        <w:t xml:space="preserve"> </w:t>
      </w:r>
    </w:p>
    <w:p w14:paraId="120D65EC" w14:textId="53D7B7E5" w:rsidR="00CC266B" w:rsidRPr="001B4CA2" w:rsidRDefault="00CC266B" w:rsidP="00CC266B">
      <w:r w:rsidRPr="001B4CA2">
        <w:tab/>
        <w:t>U ovim predmetima državno odvjetništvo uvijek traži da se u slučaju produljenja roka koncesije na pomorskom</w:t>
      </w:r>
      <w:r w:rsidR="00D16737">
        <w:t>e</w:t>
      </w:r>
      <w:r w:rsidRPr="001B4CA2">
        <w:t xml:space="preserve"> dobru koncesijska naknada uskladi sa Zakonom o koncesijama te da koncesionar plaća varijabilni dio koncesijske naknade prema prihodu koj</w:t>
      </w:r>
      <w:r w:rsidR="00D16737">
        <w:t>i</w:t>
      </w:r>
      <w:r w:rsidRPr="001B4CA2">
        <w:t xml:space="preserve"> ostvaruje na koncesijskom</w:t>
      </w:r>
      <w:r w:rsidR="00D16737">
        <w:t>e</w:t>
      </w:r>
      <w:r w:rsidRPr="001B4CA2">
        <w:t xml:space="preserve"> dobru. Također, u slučajevima kad se radi o znatnom produljenju roka koji nije opravdan potrebnim ulaganjima u koncesijsko dobro, ili se radi o znatnom proširenju obuhvata koncesijskog dobra državno je </w:t>
      </w:r>
      <w:r w:rsidR="00D16737" w:rsidRPr="001B4CA2">
        <w:t xml:space="preserve">odvjetništvo </w:t>
      </w:r>
      <w:r w:rsidRPr="001B4CA2">
        <w:t xml:space="preserve">odbilo dati pozitivno mišljenje jer smatra da se radi o bitnoj izmjeni ugovora te da je u tom slučaju potrebno raspisati novi natječaj. </w:t>
      </w:r>
    </w:p>
    <w:p w14:paraId="270BD2FF" w14:textId="77777777" w:rsidR="00CC266B" w:rsidRPr="001B4CA2" w:rsidRDefault="00CC266B" w:rsidP="00CC266B"/>
    <w:p w14:paraId="0BAA4653" w14:textId="5C8B3AD4" w:rsidR="00CC266B" w:rsidRPr="001B4CA2" w:rsidRDefault="00FD08E9" w:rsidP="00CC266B">
      <w:pPr>
        <w:rPr>
          <w:i/>
        </w:rPr>
      </w:pPr>
      <w:r>
        <w:rPr>
          <w:i/>
        </w:rPr>
        <w:t xml:space="preserve"> </w:t>
      </w:r>
      <w:r w:rsidR="00CC266B" w:rsidRPr="001B4CA2">
        <w:rPr>
          <w:i/>
        </w:rPr>
        <w:t>Broj i struktura predmeta davanja pravnih mišljenja po posebnim propisima</w:t>
      </w:r>
    </w:p>
    <w:p w14:paraId="1E588EC8" w14:textId="77777777" w:rsidR="00CC266B" w:rsidRPr="001B4CA2" w:rsidRDefault="00CC266B" w:rsidP="00CC266B">
      <w:r w:rsidRPr="001B4CA2">
        <w:rPr>
          <w:rFonts w:cstheme="minorHAnsi"/>
          <w:noProof/>
          <w:lang w:eastAsia="hr-HR"/>
        </w:rPr>
        <w:drawing>
          <wp:inline distT="0" distB="0" distL="0" distR="0" wp14:anchorId="24E95EE2" wp14:editId="27E9C3F1">
            <wp:extent cx="5486400" cy="3142445"/>
            <wp:effectExtent l="0" t="0" r="19050" b="2032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66A6413" w14:textId="77777777" w:rsidR="00CC266B" w:rsidRPr="001B4CA2" w:rsidRDefault="00CC266B" w:rsidP="00CC266B"/>
    <w:p w14:paraId="7A8E096F" w14:textId="77777777" w:rsidR="00CC266B" w:rsidRPr="001B4CA2" w:rsidRDefault="00CC266B" w:rsidP="00CC266B">
      <w:r w:rsidRPr="001B4CA2">
        <w:tab/>
      </w:r>
    </w:p>
    <w:p w14:paraId="360CF40A" w14:textId="77777777" w:rsidR="00CC266B" w:rsidRPr="001B4CA2" w:rsidRDefault="00CC266B" w:rsidP="00CC266B">
      <w:r w:rsidRPr="001B4CA2">
        <w:tab/>
        <w:t xml:space="preserve">Iz gornje tablice proizlazi da se najveći dio pravnih mišljenja odnosi na Zakon o poljoprivrednom zemljištu te da je broj predmeta davanja pravnih mišljenja po tom Zakonu znatno porastao u odnosu na prethodno izvještajno razdoblje. Broj predmeta davanja pravnih mišljenja po Zakonu o prodaji stanova na kojima postoji stanarsko pravo i Zakonu o zemljišnim knjigama u neznatnom je odstupanju u odnosu na </w:t>
      </w:r>
      <w:r w:rsidRPr="001B4CA2">
        <w:lastRenderedPageBreak/>
        <w:t xml:space="preserve">prethodnu godinu, dok je broj predmeta po Zakonu o lovstvu i drugim zakonima u znatnom padu u odnosu na prethodno izvještajno razdoblje. </w:t>
      </w:r>
    </w:p>
    <w:p w14:paraId="29FB0245" w14:textId="77777777" w:rsidR="00CC266B" w:rsidRPr="001B4CA2" w:rsidRDefault="00CC266B" w:rsidP="00CC266B"/>
    <w:p w14:paraId="1D92D45B" w14:textId="619B4A36" w:rsidR="00CC266B" w:rsidRPr="001B4CA2" w:rsidRDefault="00CC266B" w:rsidP="00CC266B">
      <w:r w:rsidRPr="001B4CA2">
        <w:tab/>
        <w:t xml:space="preserve">Mišljenja po Zakonu o poljoprivrednom zemljištu u najvećem </w:t>
      </w:r>
      <w:r w:rsidR="00D16737" w:rsidRPr="001B4CA2">
        <w:t xml:space="preserve">se </w:t>
      </w:r>
      <w:r w:rsidRPr="001B4CA2">
        <w:t>dijelu odnose na ugovore o dugoročnom zakupu poljoprivrednog zemljišta, a manji dio na ugovore o prodaji i ugovore o osnivanju prava služnosti na poljoprivrednom zemljištu. Velik broj predmeta davanja pravnih mišljenja po Zakonu o poljoprivrednom zemljištu u izvještajnom razdoblju kao i u prethodnom izvještajnom razdoblju posljedica je aktivnosti Ministarstva poljoprivrede u izdavanju suglasnosti na programe raspolaganja poljoprivrednim zemljištem</w:t>
      </w:r>
      <w:r w:rsidR="00D16737">
        <w:t>,</w:t>
      </w:r>
      <w:r w:rsidRPr="001B4CA2">
        <w:t xml:space="preserve"> što je preduvjet za raspisivanje natječaja za raspolaganje tim nekretninama. Stoga </w:t>
      </w:r>
      <w:r w:rsidR="00D16737">
        <w:t xml:space="preserve">se može </w:t>
      </w:r>
      <w:r w:rsidRPr="001B4CA2">
        <w:t xml:space="preserve">očekivati da će znatan broj ovih predmeta biti i u budućem izvještajnom razdoblju. </w:t>
      </w:r>
    </w:p>
    <w:p w14:paraId="404412CF" w14:textId="60A775A9" w:rsidR="003358F4" w:rsidRPr="001B4CA2" w:rsidRDefault="003358F4" w:rsidP="001B40CE">
      <w:pPr>
        <w:ind w:firstLine="708"/>
      </w:pPr>
    </w:p>
    <w:p w14:paraId="648417E2" w14:textId="43623F6C" w:rsidR="00A147E1" w:rsidRPr="001B4CA2" w:rsidRDefault="00BF749A" w:rsidP="00A147E1">
      <w:pPr>
        <w:pStyle w:val="Naslov2"/>
        <w:rPr>
          <w:rFonts w:ascii="Arial" w:hAnsi="Arial" w:cs="Arial"/>
        </w:rPr>
      </w:pPr>
      <w:r w:rsidRPr="001B4CA2">
        <w:rPr>
          <w:rFonts w:ascii="Arial" w:hAnsi="Arial" w:cs="Arial"/>
        </w:rPr>
        <w:t xml:space="preserve"> </w:t>
      </w:r>
      <w:bookmarkStart w:id="168" w:name="_Toc133394398"/>
      <w:r w:rsidR="00BB4D48" w:rsidRPr="001B4CA2">
        <w:rPr>
          <w:rFonts w:ascii="Arial" w:hAnsi="Arial" w:cs="Arial"/>
        </w:rPr>
        <w:t>Rad na predmetima zaštite zakonitosti</w:t>
      </w:r>
      <w:bookmarkEnd w:id="168"/>
    </w:p>
    <w:p w14:paraId="22FFA08F" w14:textId="77777777" w:rsidR="00AA20E1" w:rsidRPr="001B4CA2" w:rsidRDefault="00AA20E1" w:rsidP="00AA20E1"/>
    <w:p w14:paraId="5348F616" w14:textId="328B993D" w:rsidR="00A147E1" w:rsidRPr="001B4CA2" w:rsidRDefault="00BF749A" w:rsidP="00955E23">
      <w:pPr>
        <w:pStyle w:val="Naslov3"/>
        <w:tabs>
          <w:tab w:val="left" w:pos="851"/>
        </w:tabs>
        <w:rPr>
          <w:rFonts w:ascii="Arial" w:hAnsi="Arial" w:cs="Arial"/>
        </w:rPr>
      </w:pPr>
      <w:r w:rsidRPr="001B4CA2">
        <w:rPr>
          <w:rFonts w:ascii="Arial" w:hAnsi="Arial" w:cs="Arial"/>
        </w:rPr>
        <w:t xml:space="preserve"> </w:t>
      </w:r>
      <w:bookmarkStart w:id="169" w:name="_Toc133394399"/>
      <w:r w:rsidR="00BB4D48" w:rsidRPr="001B4CA2">
        <w:rPr>
          <w:rFonts w:ascii="Arial" w:hAnsi="Arial" w:cs="Arial"/>
        </w:rPr>
        <w:t>Zaštita zakonitosti u kaznenim predmeti</w:t>
      </w:r>
      <w:r w:rsidR="00A60F77" w:rsidRPr="001B4CA2">
        <w:rPr>
          <w:rFonts w:ascii="Arial" w:hAnsi="Arial" w:cs="Arial"/>
        </w:rPr>
        <w:t>ma</w:t>
      </w:r>
      <w:bookmarkEnd w:id="169"/>
    </w:p>
    <w:p w14:paraId="31157A8B" w14:textId="77777777" w:rsidR="00A147E1" w:rsidRPr="001B4CA2" w:rsidRDefault="00A147E1" w:rsidP="00A147E1"/>
    <w:p w14:paraId="0C40EA06" w14:textId="59754F4F" w:rsidR="004C7112" w:rsidRPr="001B4CA2" w:rsidRDefault="00C922F1" w:rsidP="004C7112">
      <w:pPr>
        <w:rPr>
          <w:snapToGrid w:val="0"/>
        </w:rPr>
      </w:pPr>
      <w:r w:rsidRPr="001B4CA2">
        <w:rPr>
          <w:snapToGrid w:val="0"/>
        </w:rPr>
        <w:tab/>
      </w:r>
      <w:r w:rsidR="004C7112" w:rsidRPr="001B4CA2">
        <w:rPr>
          <w:snapToGrid w:val="0"/>
        </w:rPr>
        <w:t>Odredba članka 509. Zakona o kaznenom postupku propisuje da zahtjev za zaštitu zakonitosti kao izvanredni pravni lijek može podići isključivo Glavni državni odvjetnik Republike Hrvatske. Taj pravni lijek usmjeren je protiv pravomoćnih sudskih odluka donesenih u kaznenom ili srodnom postupku u kojem se, sukladno zakonu, primjenjuju odredbe Zakona o kaznenom postupku.</w:t>
      </w:r>
    </w:p>
    <w:p w14:paraId="315EA9AB" w14:textId="77777777" w:rsidR="004C7112" w:rsidRPr="001B4CA2" w:rsidRDefault="004C7112" w:rsidP="004C7112">
      <w:pPr>
        <w:rPr>
          <w:snapToGrid w:val="0"/>
        </w:rPr>
      </w:pPr>
    </w:p>
    <w:p w14:paraId="179FD586" w14:textId="44A36E93" w:rsidR="004C7112" w:rsidRPr="001B4CA2" w:rsidRDefault="004C7112" w:rsidP="004C7112">
      <w:pPr>
        <w:rPr>
          <w:snapToGrid w:val="0"/>
        </w:rPr>
      </w:pPr>
      <w:r w:rsidRPr="001B4CA2">
        <w:rPr>
          <w:snapToGrid w:val="0"/>
        </w:rPr>
        <w:tab/>
        <w:t xml:space="preserve">Osnovna </w:t>
      </w:r>
      <w:r w:rsidR="00D16737" w:rsidRPr="001B4CA2">
        <w:rPr>
          <w:snapToGrid w:val="0"/>
        </w:rPr>
        <w:t xml:space="preserve">je </w:t>
      </w:r>
      <w:r w:rsidRPr="001B4CA2">
        <w:rPr>
          <w:snapToGrid w:val="0"/>
        </w:rPr>
        <w:t>svrha ovog pravnog lijeka ispraviti ili utvrditi povrede zakona koje su dovele do donošenja bilo koje vrste pravomoćne sudske odluke u kaznenom postupku. Zahtjev za zaštitu zakonitosti Glavni državni odvjetnik sukladno članku 509. stavku 1. Zakona o kaznenom postupku može podići ako je povrijeđen zakon, a obvezan ga je podnijeti (članak 509. stavak 2. Zakona o kaznenom postupku) ako je sudska odluka donesena u postupku na način koji predstavlja kršenje temeljnih ljudskih prava i sloboda zajamčenih Ustavom, međunarodnim pravom ili zakonom.</w:t>
      </w:r>
    </w:p>
    <w:p w14:paraId="69CF2555" w14:textId="77777777" w:rsidR="004C7112" w:rsidRPr="001B4CA2" w:rsidRDefault="004C7112" w:rsidP="004C7112">
      <w:pPr>
        <w:rPr>
          <w:snapToGrid w:val="0"/>
        </w:rPr>
      </w:pPr>
    </w:p>
    <w:p w14:paraId="4AD81BCC" w14:textId="77777777" w:rsidR="004C7112" w:rsidRPr="001B4CA2" w:rsidRDefault="004C7112" w:rsidP="004C7112">
      <w:pPr>
        <w:rPr>
          <w:snapToGrid w:val="0"/>
        </w:rPr>
      </w:pPr>
      <w:r w:rsidRPr="001B4CA2">
        <w:rPr>
          <w:snapToGrid w:val="0"/>
        </w:rPr>
        <w:tab/>
        <w:t>Podizanje tog pravnog lijeka mogu predložiti stranke ili drugi sudionici u kaznenom postupku, a inicijativa može poteći i iz državnog odvjetništva. Za podizanje tog pravnog lijeka nije propisan nikakav rok.</w:t>
      </w:r>
    </w:p>
    <w:p w14:paraId="5FAF4CDB" w14:textId="77777777" w:rsidR="004C7112" w:rsidRPr="001B4CA2" w:rsidRDefault="004C7112" w:rsidP="004C7112">
      <w:pPr>
        <w:rPr>
          <w:snapToGrid w:val="0"/>
        </w:rPr>
      </w:pPr>
    </w:p>
    <w:p w14:paraId="63244F0A" w14:textId="212743B9" w:rsidR="004C7112" w:rsidRPr="001B4CA2" w:rsidRDefault="004C7112" w:rsidP="004C7112">
      <w:pPr>
        <w:rPr>
          <w:snapToGrid w:val="0"/>
        </w:rPr>
      </w:pPr>
      <w:r w:rsidRPr="001B4CA2">
        <w:rPr>
          <w:snapToGrid w:val="0"/>
        </w:rPr>
        <w:tab/>
        <w:t>Tijekom 2022. godine Državno odvjetništvo Republike Hrvatske zaprimilo je 122 prijedloga za podizanje zahtjeva za zaštitu zakonitosti u odnosu na pravomoćne sudske odluke u kaznenim predmetima</w:t>
      </w:r>
      <w:r w:rsidR="00D16737">
        <w:rPr>
          <w:snapToGrid w:val="0"/>
        </w:rPr>
        <w:t>,</w:t>
      </w:r>
      <w:r w:rsidRPr="001B4CA2">
        <w:rPr>
          <w:snapToGrid w:val="0"/>
        </w:rPr>
        <w:t xml:space="preserve"> a kako je iz ranijeg izvještajnog razdoblja u radu ostalo 85 takvih predmeta, u ovom </w:t>
      </w:r>
      <w:r w:rsidR="00D16737" w:rsidRPr="001B4CA2">
        <w:rPr>
          <w:snapToGrid w:val="0"/>
        </w:rPr>
        <w:t xml:space="preserve">je </w:t>
      </w:r>
      <w:r w:rsidRPr="001B4CA2">
        <w:rPr>
          <w:snapToGrid w:val="0"/>
        </w:rPr>
        <w:t>izvještajnom razdoblju državno odvjetništvo radilo na ukupno 207 predmeta te vrste.</w:t>
      </w:r>
    </w:p>
    <w:p w14:paraId="02F9188A" w14:textId="77777777" w:rsidR="004C7112" w:rsidRPr="001B4CA2" w:rsidRDefault="004C7112" w:rsidP="004C7112">
      <w:pPr>
        <w:rPr>
          <w:snapToGrid w:val="0"/>
        </w:rPr>
      </w:pPr>
    </w:p>
    <w:p w14:paraId="292F1ACF" w14:textId="7D7CEF6A" w:rsidR="004C7112" w:rsidRPr="001B4CA2" w:rsidRDefault="004C7112" w:rsidP="004C7112">
      <w:pPr>
        <w:rPr>
          <w:snapToGrid w:val="0"/>
        </w:rPr>
      </w:pPr>
      <w:r w:rsidRPr="001B4CA2">
        <w:rPr>
          <w:snapToGrid w:val="0"/>
        </w:rPr>
        <w:tab/>
        <w:t>Kako o zahtjevu za zaštitu zakonitosti odlučuje Vrhovni sud Republike Hrvatske, taj pravni lijek predstavlja važno pravno sredstvo za ujednačavanje sudske prakse.</w:t>
      </w:r>
    </w:p>
    <w:p w14:paraId="3CF9A274" w14:textId="4FDA1A2D" w:rsidR="005B2800" w:rsidRPr="001B4CA2" w:rsidRDefault="005B2800" w:rsidP="004C7112">
      <w:pPr>
        <w:rPr>
          <w:snapToGrid w:val="0"/>
        </w:rPr>
      </w:pPr>
    </w:p>
    <w:p w14:paraId="7D2B089C" w14:textId="77777777" w:rsidR="005B2800" w:rsidRPr="001B4CA2" w:rsidRDefault="005B2800" w:rsidP="004C7112">
      <w:pPr>
        <w:rPr>
          <w:snapToGrid w:val="0"/>
        </w:rPr>
      </w:pPr>
    </w:p>
    <w:p w14:paraId="28BF978A" w14:textId="757954A9" w:rsidR="00AA20E1" w:rsidRPr="001B4CA2" w:rsidRDefault="00AA20E1" w:rsidP="00AA20E1"/>
    <w:p w14:paraId="4AB1CEE8" w14:textId="225B6955" w:rsidR="00604064" w:rsidRPr="001B4CA2" w:rsidRDefault="00604064" w:rsidP="00AA20E1"/>
    <w:p w14:paraId="27E4AD8F" w14:textId="77777777" w:rsidR="00604064" w:rsidRPr="001B4CA2" w:rsidRDefault="00604064" w:rsidP="00AA20E1"/>
    <w:p w14:paraId="2494FA15" w14:textId="1FDD26C8" w:rsidR="00BB4D48" w:rsidRPr="001B4CA2" w:rsidRDefault="00BF749A" w:rsidP="00955E23">
      <w:pPr>
        <w:pStyle w:val="Naslov3"/>
        <w:tabs>
          <w:tab w:val="left" w:pos="709"/>
        </w:tabs>
        <w:ind w:left="567"/>
        <w:rPr>
          <w:rFonts w:ascii="Arial" w:hAnsi="Arial" w:cs="Arial"/>
        </w:rPr>
      </w:pPr>
      <w:r w:rsidRPr="001B4CA2">
        <w:rPr>
          <w:rFonts w:ascii="Arial" w:hAnsi="Arial" w:cs="Arial"/>
        </w:rPr>
        <w:lastRenderedPageBreak/>
        <w:t xml:space="preserve"> </w:t>
      </w:r>
      <w:bookmarkStart w:id="170" w:name="_Toc133394400"/>
      <w:r w:rsidR="00BB4D48" w:rsidRPr="001B4CA2">
        <w:rPr>
          <w:rFonts w:ascii="Arial" w:hAnsi="Arial" w:cs="Arial"/>
        </w:rPr>
        <w:t>Zaštita zakonito</w:t>
      </w:r>
      <w:r w:rsidR="00A60F77" w:rsidRPr="001B4CA2">
        <w:rPr>
          <w:rFonts w:ascii="Arial" w:hAnsi="Arial" w:cs="Arial"/>
        </w:rPr>
        <w:t>sti u prekršajnim predmetima</w:t>
      </w:r>
      <w:bookmarkEnd w:id="170"/>
    </w:p>
    <w:p w14:paraId="4D713169" w14:textId="77777777" w:rsidR="00A147E1" w:rsidRPr="001B4CA2" w:rsidRDefault="00A147E1" w:rsidP="00A147E1"/>
    <w:p w14:paraId="15C5454B" w14:textId="5707448B" w:rsidR="004C7112" w:rsidRPr="001B4CA2" w:rsidRDefault="00C922F1" w:rsidP="004C7112">
      <w:pPr>
        <w:rPr>
          <w:snapToGrid w:val="0"/>
        </w:rPr>
      </w:pPr>
      <w:r w:rsidRPr="001B4CA2">
        <w:rPr>
          <w:snapToGrid w:val="0"/>
        </w:rPr>
        <w:tab/>
      </w:r>
      <w:r w:rsidR="004C7112" w:rsidRPr="001B4CA2">
        <w:rPr>
          <w:snapToGrid w:val="0"/>
        </w:rPr>
        <w:t>Zahtjev za zaštitu zakonitosti, sukladno članku 220. Prekršajnog zakona, Glavni državni odvjetnik može podići i protiv pravomoćnih sudskih odluka i protiv sudskog postupka koji je prethodio tim odlukama u prekršajnom postupku ako je povrijeđen zakon, pri čemu treba istaknuti da se, sukladno tom zakonu,</w:t>
      </w:r>
      <w:r w:rsidR="00FD08E9">
        <w:rPr>
          <w:snapToGrid w:val="0"/>
        </w:rPr>
        <w:t xml:space="preserve"> </w:t>
      </w:r>
      <w:r w:rsidR="004C7112" w:rsidRPr="001B4CA2">
        <w:rPr>
          <w:snapToGrid w:val="0"/>
        </w:rPr>
        <w:t>taj pravni lijek ne mora podići premda je povrijeđen zakon, ako povreda zakona nije utjecala na pravilnost odluke i ako se ne radi o pravnom pitanju važnom za jedinstvenost sudske prakse ili zaštitu ljudskih prava.</w:t>
      </w:r>
    </w:p>
    <w:p w14:paraId="4C000DDC" w14:textId="77777777" w:rsidR="004C7112" w:rsidRPr="001B4CA2" w:rsidRDefault="004C7112" w:rsidP="004C7112">
      <w:pPr>
        <w:rPr>
          <w:snapToGrid w:val="0"/>
        </w:rPr>
      </w:pPr>
    </w:p>
    <w:p w14:paraId="392092EE" w14:textId="77777777" w:rsidR="004C7112" w:rsidRPr="001B4CA2" w:rsidRDefault="004C7112" w:rsidP="004C7112">
      <w:pPr>
        <w:rPr>
          <w:snapToGrid w:val="0"/>
        </w:rPr>
      </w:pPr>
      <w:r w:rsidRPr="001B4CA2">
        <w:rPr>
          <w:snapToGrid w:val="0"/>
        </w:rPr>
        <w:tab/>
        <w:t xml:space="preserve">U odnosu na zahtjev za zaštitu zakonitosti u prekršajnim predmetima </w:t>
      </w:r>
      <w:proofErr w:type="spellStart"/>
      <w:r w:rsidRPr="001B4CA2">
        <w:rPr>
          <w:snapToGrid w:val="0"/>
        </w:rPr>
        <w:t>podredno</w:t>
      </w:r>
      <w:proofErr w:type="spellEnd"/>
      <w:r w:rsidRPr="001B4CA2">
        <w:rPr>
          <w:snapToGrid w:val="0"/>
        </w:rPr>
        <w:t xml:space="preserve"> se primjenjuju odredbe Zakona o kaznenom postupku koje propisuju podizanje zahtjeva za zaštitu zakonitosti tako da sve što je navedeno naprijed pod 14.1. o rokovima za podizanje, sudu nadležnom za odlučivanje o zahtjevu za zaštitu zakonitosti i vrsti sudske odluke vrijedi i za podizanje zahtjeva za zaštitu zakonitosti u prekršajnom postupku.</w:t>
      </w:r>
    </w:p>
    <w:p w14:paraId="31B17E6B" w14:textId="77777777" w:rsidR="004C7112" w:rsidRPr="001B4CA2" w:rsidRDefault="004C7112" w:rsidP="004C7112">
      <w:pPr>
        <w:rPr>
          <w:snapToGrid w:val="0"/>
        </w:rPr>
      </w:pPr>
    </w:p>
    <w:p w14:paraId="014B8D11" w14:textId="7BBAE5CA" w:rsidR="004C7112" w:rsidRPr="001B4CA2" w:rsidRDefault="004C7112" w:rsidP="004C7112">
      <w:pPr>
        <w:rPr>
          <w:snapToGrid w:val="0"/>
        </w:rPr>
      </w:pPr>
      <w:r w:rsidRPr="001B4CA2">
        <w:rPr>
          <w:snapToGrid w:val="0"/>
        </w:rPr>
        <w:tab/>
        <w:t xml:space="preserve">U ovom izvještajnom razdoblju državno odvjetništvo Republike Hrvatske zaprimilo je 70 prijedloga za podizanje zahtjeva za zaštitu zakonitosti u prekršajnim predmetima, a kako je iz ranijeg izvještajnog razdoblja ostalo 58 takvih predmeta, </w:t>
      </w:r>
      <w:r w:rsidR="00D16737" w:rsidRPr="001B4CA2">
        <w:rPr>
          <w:snapToGrid w:val="0"/>
        </w:rPr>
        <w:t xml:space="preserve">Državno </w:t>
      </w:r>
      <w:r w:rsidRPr="001B4CA2">
        <w:rPr>
          <w:snapToGrid w:val="0"/>
        </w:rPr>
        <w:t>je odvjetništvo Republike Hrvatske tijekom 2022. radilo na 128 predmeta te vrste.</w:t>
      </w:r>
    </w:p>
    <w:p w14:paraId="4A6F6F83" w14:textId="77777777" w:rsidR="004C7112" w:rsidRPr="001B4CA2" w:rsidRDefault="004C7112" w:rsidP="004C7112">
      <w:pPr>
        <w:rPr>
          <w:snapToGrid w:val="0"/>
        </w:rPr>
      </w:pPr>
    </w:p>
    <w:p w14:paraId="3015C01F" w14:textId="1A9DD1DE" w:rsidR="004C7112" w:rsidRPr="001B4CA2" w:rsidRDefault="004C7112" w:rsidP="004C7112">
      <w:pPr>
        <w:rPr>
          <w:snapToGrid w:val="0"/>
        </w:rPr>
      </w:pPr>
      <w:r w:rsidRPr="001B4CA2">
        <w:rPr>
          <w:snapToGrid w:val="0"/>
        </w:rPr>
        <w:tab/>
        <w:t>Kao i ranijih godina ponov</w:t>
      </w:r>
      <w:r w:rsidR="00D16737">
        <w:rPr>
          <w:snapToGrid w:val="0"/>
        </w:rPr>
        <w:t>n</w:t>
      </w:r>
      <w:r w:rsidRPr="001B4CA2">
        <w:rPr>
          <w:snapToGrid w:val="0"/>
        </w:rPr>
        <w:t>o ističemo</w:t>
      </w:r>
      <w:r w:rsidR="00D16737">
        <w:rPr>
          <w:snapToGrid w:val="0"/>
        </w:rPr>
        <w:t xml:space="preserve">, </w:t>
      </w:r>
      <w:r w:rsidRPr="001B4CA2">
        <w:rPr>
          <w:snapToGrid w:val="0"/>
        </w:rPr>
        <w:t>po našem mišljenju, neodgovarajuće zakonodavno rješenje kod ovog izvanrednog pravnog lijeka. Naime, temeljem članka 244. Prekršajnog zakona protiv presuda Prekršajnog suda donesenih nakon podnesenog prigovora na obvezni prekršajni nalog nije dopuštena žalba osim iznimno. Takvim je rješenjem u prekršajnom postupku rasterećen Visoki prekršajni sud Republike Hrvatske za odlučivanje o žalbama protiv presuda prvostupanjskih sudova te se takve pravomoćne presude pod uvjetima propisanima u članku 220. Prekršajnog zakona mogu pobijati isključivo zahtjevom za zaštitu zakonitosti.</w:t>
      </w:r>
    </w:p>
    <w:p w14:paraId="4D7827CC" w14:textId="77777777" w:rsidR="004C7112" w:rsidRPr="001B4CA2" w:rsidRDefault="004C7112" w:rsidP="004C7112">
      <w:pPr>
        <w:rPr>
          <w:snapToGrid w:val="0"/>
        </w:rPr>
      </w:pPr>
    </w:p>
    <w:p w14:paraId="159BA257" w14:textId="3388E833" w:rsidR="004C7112" w:rsidRPr="001B4CA2" w:rsidRDefault="004C7112" w:rsidP="004C7112">
      <w:pPr>
        <w:rPr>
          <w:snapToGrid w:val="0"/>
        </w:rPr>
      </w:pPr>
      <w:r w:rsidRPr="001B4CA2">
        <w:rPr>
          <w:snapToGrid w:val="0"/>
        </w:rPr>
        <w:tab/>
        <w:t>Posljedično tome Državno odvjetništvo Republike Hrvatske zaprima velik broj prijedloga za podizanje zahtjeva za zaštitu zakonitosti nezadovoljnih stranaka, najčešće osuđenika u prekršajnom postupku (često se radi o kaznenim radnjama manje pogibeljnosti kao što su, primjerice, komunalni prekršaji,</w:t>
      </w:r>
      <w:r w:rsidR="00FD08E9">
        <w:rPr>
          <w:snapToGrid w:val="0"/>
        </w:rPr>
        <w:t xml:space="preserve"> </w:t>
      </w:r>
      <w:r w:rsidRPr="001B4CA2">
        <w:rPr>
          <w:snapToGrid w:val="0"/>
        </w:rPr>
        <w:t>nepropisno parkiranje i sl.), pri čemu se u slučaju osnovanosti tih prijedloga podiže zahtjev za zaštitu zakonitosti jer te povrede nisu mogle biti predmet razmatranja u žalbenom postupku, a o takvim zahtjevima za zaštitu zakonitosti</w:t>
      </w:r>
      <w:r w:rsidR="00FD08E9">
        <w:rPr>
          <w:snapToGrid w:val="0"/>
        </w:rPr>
        <w:t xml:space="preserve"> </w:t>
      </w:r>
      <w:r w:rsidRPr="001B4CA2">
        <w:rPr>
          <w:snapToGrid w:val="0"/>
        </w:rPr>
        <w:t>odlučuje Vrhovni sud Republike Hrvatske u vijeću sastavljenom od 3 suca.</w:t>
      </w:r>
    </w:p>
    <w:p w14:paraId="0EAFA64C" w14:textId="77777777" w:rsidR="004C7112" w:rsidRPr="001B4CA2" w:rsidRDefault="004C7112" w:rsidP="004C7112">
      <w:pPr>
        <w:rPr>
          <w:snapToGrid w:val="0"/>
        </w:rPr>
      </w:pPr>
    </w:p>
    <w:p w14:paraId="108B076B" w14:textId="2640A8FF" w:rsidR="009A673B" w:rsidRPr="001B4CA2" w:rsidRDefault="004C7112" w:rsidP="004C7112">
      <w:pPr>
        <w:rPr>
          <w:snapToGrid w:val="0"/>
        </w:rPr>
      </w:pPr>
      <w:r w:rsidRPr="001B4CA2">
        <w:rPr>
          <w:snapToGrid w:val="0"/>
        </w:rPr>
        <w:tab/>
        <w:t>Zbog toga smatramo da bi trebalo razmotriti uvođenje djelotvornog izvanrednog pravnog lijeka u prekršajnom postupku koji bi bio na dispoziciji stranaka kako bi se omogućilo izvanredno preispitivanje zakonitosti tih pravomoćnih presuda pred Visokim prekršajnim sudom Republike Hrvatske. To bi, jednako kao i u Zakonu o kaznenom postupku, bio izvanredni pravni lijek u rukama okrivljenika, kao stranački pravni lijek u pojedinačnim slučajevima, za razliku od zahtjeva za zaštitu zakonitosti koji primarno ima načelni karakter u pravnim pitanjima važnim</w:t>
      </w:r>
      <w:r w:rsidR="00D16737">
        <w:rPr>
          <w:snapToGrid w:val="0"/>
        </w:rPr>
        <w:t>a</w:t>
      </w:r>
      <w:r w:rsidRPr="001B4CA2">
        <w:rPr>
          <w:snapToGrid w:val="0"/>
        </w:rPr>
        <w:t xml:space="preserve"> za jedinstvenost sudske prakse ili zaštitu ljudskih prava.</w:t>
      </w:r>
    </w:p>
    <w:p w14:paraId="0029C8F7" w14:textId="77777777" w:rsidR="00DC1A43" w:rsidRPr="001B4CA2" w:rsidRDefault="00DC1A43" w:rsidP="005C21C3">
      <w:pPr>
        <w:rPr>
          <w:rFonts w:eastAsia="Arial"/>
        </w:rPr>
      </w:pPr>
    </w:p>
    <w:p w14:paraId="024AB1B4" w14:textId="23AD8D74" w:rsidR="00BB4D48" w:rsidRPr="001B4CA2" w:rsidRDefault="00BB4D48" w:rsidP="00955E23">
      <w:pPr>
        <w:pStyle w:val="Naslov3"/>
        <w:tabs>
          <w:tab w:val="left" w:pos="993"/>
        </w:tabs>
        <w:rPr>
          <w:rFonts w:ascii="Arial" w:hAnsi="Arial" w:cs="Arial"/>
        </w:rPr>
      </w:pPr>
      <w:bookmarkStart w:id="171" w:name="_Toc133394401"/>
      <w:r w:rsidRPr="001B4CA2">
        <w:rPr>
          <w:rFonts w:ascii="Arial" w:hAnsi="Arial" w:cs="Arial"/>
        </w:rPr>
        <w:lastRenderedPageBreak/>
        <w:t>Izvanredno preispitivanje pravomoćn</w:t>
      </w:r>
      <w:r w:rsidR="001A5793" w:rsidRPr="001B4CA2">
        <w:rPr>
          <w:rFonts w:ascii="Arial" w:hAnsi="Arial" w:cs="Arial"/>
        </w:rPr>
        <w:t xml:space="preserve">e presude </w:t>
      </w:r>
      <w:r w:rsidR="00A60F77" w:rsidRPr="001B4CA2">
        <w:rPr>
          <w:rFonts w:ascii="Arial" w:hAnsi="Arial" w:cs="Arial"/>
        </w:rPr>
        <w:t>u upravnom sporu</w:t>
      </w:r>
      <w:bookmarkEnd w:id="171"/>
    </w:p>
    <w:p w14:paraId="6C8A438E" w14:textId="77777777" w:rsidR="003D513F" w:rsidRPr="001B4CA2" w:rsidRDefault="003D513F" w:rsidP="003D513F"/>
    <w:p w14:paraId="5902D082" w14:textId="77777777" w:rsidR="00BD094B" w:rsidRPr="001B4CA2" w:rsidRDefault="009B73F9" w:rsidP="00BD094B">
      <w:r w:rsidRPr="001B4CA2">
        <w:tab/>
      </w:r>
      <w:r w:rsidR="00BD094B" w:rsidRPr="001B4CA2">
        <w:t>Člankom 78. Zakona o upravnim sporovima propisano je ovlaštenje Državnog odvjetništva Republike Hrvatske za podnošenje izvanrednog pravnog lijeka, zahtjeva za izvanredno preispitivanje zakonitosti pravomoćnih sudskih odluka koje se donose u upravnom sporu.</w:t>
      </w:r>
    </w:p>
    <w:p w14:paraId="5C05F40D" w14:textId="77777777" w:rsidR="00BD094B" w:rsidRPr="001B4CA2" w:rsidRDefault="00BD094B" w:rsidP="00BD094B">
      <w:pPr>
        <w:rPr>
          <w:rFonts w:eastAsia="Times New Roman"/>
          <w:lang w:eastAsia="hr-HR"/>
        </w:rPr>
      </w:pPr>
    </w:p>
    <w:p w14:paraId="6B7074FB" w14:textId="77777777" w:rsidR="00BD094B" w:rsidRPr="001B4CA2" w:rsidRDefault="00BD094B" w:rsidP="00BD094B">
      <w:r w:rsidRPr="001B4CA2">
        <w:rPr>
          <w:rFonts w:eastAsia="Times New Roman"/>
          <w:lang w:eastAsia="hr-HR"/>
        </w:rPr>
        <w:tab/>
        <w:t xml:space="preserve">Stranke u upravnom sporu mogu zbog povrede zakona predložiti Državnom odvjetništvu Republike Hrvatske </w:t>
      </w:r>
      <w:r w:rsidRPr="001B4CA2">
        <w:t xml:space="preserve">podnošenje zahtjeva za izvanredno preispitivanje zakonitosti pravomoćnih sudskih odluka koje se donose u upravnom sporu (presude i rješenja) od strane prvostupanjskih upravnih sudova ili Visokog upravnog suda Republike Hrvatske. Državno odvjetništvo Republike Hrvatske ovlašteno je podnijeti ovaj izvanredni pravni lijek kada je potrebno otkloniti povrede zakona (povrede </w:t>
      </w:r>
      <w:proofErr w:type="spellStart"/>
      <w:r w:rsidRPr="001B4CA2">
        <w:t>postupovnog</w:t>
      </w:r>
      <w:proofErr w:type="spellEnd"/>
      <w:r w:rsidRPr="001B4CA2">
        <w:t xml:space="preserve"> i materijalnog prava) koje su počinjene tijekom upravnog spora, odnosno donošenjem pravomoćnih sudskih odluka u upravnom sporu u pojedinom predmetu. Ako Državno odvjetništvo Republike Hrvatske ocijeni da je potrebno podnijeti ovaj izvanredni pravni lijek, tada o tom prijedlogu odlučuje Vrhovni sud Republike Hrvatske.</w:t>
      </w:r>
    </w:p>
    <w:p w14:paraId="5444AE5A" w14:textId="77777777" w:rsidR="00BD094B" w:rsidRPr="001B4CA2" w:rsidRDefault="00BD094B" w:rsidP="00BD094B"/>
    <w:p w14:paraId="69E1A58F" w14:textId="2C49F51E" w:rsidR="00BD094B" w:rsidRPr="001B4CA2" w:rsidRDefault="00BD094B" w:rsidP="00BD094B">
      <w:r w:rsidRPr="001B4CA2">
        <w:tab/>
        <w:t xml:space="preserve">Svrha </w:t>
      </w:r>
      <w:r w:rsidR="00D16737" w:rsidRPr="001B4CA2">
        <w:t xml:space="preserve">je </w:t>
      </w:r>
      <w:r w:rsidRPr="001B4CA2">
        <w:t xml:space="preserve">podnošenja ovog pravnog lijeka u jednakom tumačenju i primjeni prava te osiguranju i usklađivanju jedinstvene sudske prakse upravnih sudova u istovrsnim predmetima, ali različitih tužitelja. Također, da bi se ostvarila ustavna funkcija Vrhovnog suda Republike Hrvatske koji kao najviši sud u državi </w:t>
      </w:r>
      <w:r w:rsidRPr="001B4CA2">
        <w:rPr>
          <w:color w:val="333333"/>
          <w:shd w:val="clear" w:color="auto" w:fill="FFFFFF"/>
        </w:rPr>
        <w:t>„</w:t>
      </w:r>
      <w:r w:rsidRPr="001B4CA2">
        <w:t>osigurava jedinstvenu primjenu prava i ravnopravnost svih u njegovoj primjeni</w:t>
      </w:r>
      <w:r w:rsidR="00D16737">
        <w:t>“</w:t>
      </w:r>
      <w:r w:rsidRPr="001B4CA2">
        <w:t xml:space="preserve"> te da bi se otklonile povrede zakona koje su u pojedinim konkretnim predmetima počinjene donošenjem pravomoćne sudske odluke. U </w:t>
      </w:r>
      <w:proofErr w:type="spellStart"/>
      <w:r w:rsidRPr="001B4CA2">
        <w:t>upravnosudskoj</w:t>
      </w:r>
      <w:proofErr w:type="spellEnd"/>
      <w:r w:rsidRPr="001B4CA2">
        <w:t xml:space="preserve"> </w:t>
      </w:r>
      <w:r w:rsidR="00D16737" w:rsidRPr="001B4CA2">
        <w:t xml:space="preserve">se </w:t>
      </w:r>
      <w:r w:rsidRPr="001B4CA2">
        <w:t>praksi nerijetko suočavamo s različitom praksom četiriju prvostupanjskih upravnih sudova i Visokog upravnog suda Republike Hrvatske koji u pojedinim identičnim predmetima (ali različitih tužitelja) donose različite odluke. Ovaj izvanredni pravni lijek osigurava jedinstvenu primjenu prava i ravnopravnost svih građana i pravnih osoba u njegovoj primjeni.</w:t>
      </w:r>
    </w:p>
    <w:p w14:paraId="0D4C4C04" w14:textId="10994A40" w:rsidR="009C64A8" w:rsidRPr="001B4CA2" w:rsidRDefault="009C64A8" w:rsidP="00BD094B">
      <w:pPr>
        <w:rPr>
          <w:snapToGrid w:val="0"/>
        </w:rPr>
      </w:pPr>
    </w:p>
    <w:p w14:paraId="430CF7FD" w14:textId="073317F3" w:rsidR="009C64A8" w:rsidRPr="001B4CA2" w:rsidRDefault="009C64A8" w:rsidP="00604064">
      <w:pPr>
        <w:pStyle w:val="Naslov4"/>
        <w:ind w:left="1134" w:hanging="850"/>
        <w:rPr>
          <w:rFonts w:ascii="Arial" w:hAnsi="Arial" w:cs="Arial"/>
        </w:rPr>
      </w:pPr>
      <w:bookmarkStart w:id="172" w:name="_Toc133394402"/>
      <w:r w:rsidRPr="001B4CA2">
        <w:rPr>
          <w:rFonts w:ascii="Arial" w:hAnsi="Arial" w:cs="Arial"/>
        </w:rPr>
        <w:t>Kretanje predmeta izvan</w:t>
      </w:r>
      <w:r w:rsidR="000457F3" w:rsidRPr="001B4CA2">
        <w:rPr>
          <w:rFonts w:ascii="Arial" w:hAnsi="Arial" w:cs="Arial"/>
        </w:rPr>
        <w:t>rednog preispitivanja pravomoćnih</w:t>
      </w:r>
      <w:r w:rsidRPr="001B4CA2">
        <w:rPr>
          <w:rFonts w:ascii="Arial" w:hAnsi="Arial" w:cs="Arial"/>
        </w:rPr>
        <w:t xml:space="preserve"> presud</w:t>
      </w:r>
      <w:r w:rsidR="000457F3" w:rsidRPr="001B4CA2">
        <w:rPr>
          <w:rFonts w:ascii="Arial" w:hAnsi="Arial" w:cs="Arial"/>
        </w:rPr>
        <w:t>a</w:t>
      </w:r>
      <w:r w:rsidR="0023510F" w:rsidRPr="001B4CA2">
        <w:rPr>
          <w:rFonts w:ascii="Arial" w:hAnsi="Arial" w:cs="Arial"/>
        </w:rPr>
        <w:t xml:space="preserve"> u upravnom sporu</w:t>
      </w:r>
      <w:bookmarkEnd w:id="172"/>
    </w:p>
    <w:p w14:paraId="0B6E9B34" w14:textId="77777777" w:rsidR="00AE5F37" w:rsidRPr="001B4CA2" w:rsidRDefault="00AE5F37" w:rsidP="00AE5F37"/>
    <w:p w14:paraId="758295BF" w14:textId="1782D7F0" w:rsidR="00BD094B" w:rsidRPr="001B4CA2" w:rsidRDefault="00BD094B" w:rsidP="00BD094B">
      <w:pPr>
        <w:ind w:firstLine="708"/>
      </w:pPr>
      <w:r w:rsidRPr="001B4CA2">
        <w:t xml:space="preserve">U 2022. godini zaprimljena </w:t>
      </w:r>
      <w:r w:rsidR="00D16737" w:rsidRPr="001B4CA2">
        <w:t xml:space="preserve">su </w:t>
      </w:r>
      <w:r w:rsidRPr="001B4CA2">
        <w:t xml:space="preserve">253 prijedloga za podnošenje zahtjeva za izvanredno preispitivanje zakonitosti pravomoćnih sudskih odluka, što je manje za 144 prijedloga koja su zaprimljena u 2021. godini ili </w:t>
      </w:r>
      <w:r w:rsidR="00D16737">
        <w:t>oko</w:t>
      </w:r>
      <w:r w:rsidRPr="001B4CA2">
        <w:t xml:space="preserve"> 35 % kada je primljeno 397 prijedloga. Iz 2021. godine ostala </w:t>
      </w:r>
      <w:r w:rsidR="00D16737" w:rsidRPr="001B4CA2">
        <w:t xml:space="preserve">su </w:t>
      </w:r>
      <w:r w:rsidRPr="001B4CA2">
        <w:t>u radu 44 predmeta tako da je ukupno bilo u radu 297 predmeta. U 39 predmeta (</w:t>
      </w:r>
      <w:r w:rsidR="00D16737">
        <w:t>oko</w:t>
      </w:r>
      <w:r w:rsidRPr="001B4CA2">
        <w:t xml:space="preserve"> 17 %) zaključeno je da je prijedlog osnovan te je podignut zahtjev za izvanredno preispitivanje pravomoćne sudske odluke, dok je u 164 predmeta (</w:t>
      </w:r>
      <w:r w:rsidR="00D16737">
        <w:t>oko</w:t>
      </w:r>
      <w:r w:rsidRPr="001B4CA2">
        <w:t xml:space="preserve"> 83 %) odbijen prijedlog za podizanje zahtjeva za izvanredno preispitivanje pravomoćnih presuda. Smanjeni broj podignutih zahtjeva u odnosu na ranije godine rezultat je izostanka (smanjenja) broja predmeta iz oblasti porezne problematike.</w:t>
      </w:r>
    </w:p>
    <w:p w14:paraId="7D3354DF" w14:textId="77777777" w:rsidR="00BD094B" w:rsidRPr="001B4CA2" w:rsidRDefault="00BD094B" w:rsidP="00BD094B"/>
    <w:p w14:paraId="3E2A7709" w14:textId="3F70009B" w:rsidR="00BD094B" w:rsidRPr="001B4CA2" w:rsidRDefault="00BD094B" w:rsidP="00BD094B">
      <w:r w:rsidRPr="001B4CA2">
        <w:tab/>
        <w:t>Nadalje, u većini predmeta (u predmetima u kojima je pokrenut upravni spor i donesena pravomoćna odluka) prijedlog za podizanje zahtjeva podnijela su državna tijela (ministarstva, agencije, jedinice lokalne samouprave i uprave i dr.), dok su u ostalom dijelu predlagatelji pravne i fizičke osobe.</w:t>
      </w:r>
    </w:p>
    <w:p w14:paraId="7E255DD8" w14:textId="74F4EF8E" w:rsidR="00BD094B" w:rsidRPr="001B4CA2" w:rsidRDefault="00BD094B" w:rsidP="00BD094B">
      <w:r w:rsidRPr="001B4CA2">
        <w:lastRenderedPageBreak/>
        <w:tab/>
        <w:t>U odnosu na prijašnje izvještajno razdoblje vidljivo je da je došlo do smanjenog broja zahtjeva stranaka za podizanje ovog izvanrednog pravnog lijeka, a ovi zahtjevi odnose se prije svega na pravnu problematiku denacionalizacije, procesne povrede ZUP-a i ZUS-a, poreznih davanja, službeničkih prava, prava branitelja, koncesijske naknade, zdravstvenog i mirovinskog osiguranja, prava na pristup informacijama, javne nabave i dr.</w:t>
      </w:r>
    </w:p>
    <w:p w14:paraId="50375D43" w14:textId="77777777" w:rsidR="00BD094B" w:rsidRPr="001B4CA2" w:rsidRDefault="00BD094B" w:rsidP="006262C8"/>
    <w:p w14:paraId="38790FD5" w14:textId="77777777" w:rsidR="007133F2" w:rsidRPr="001B4CA2" w:rsidRDefault="005F4184" w:rsidP="006262C8">
      <w:pPr>
        <w:pStyle w:val="Naslov2"/>
        <w:rPr>
          <w:rFonts w:ascii="Arial" w:hAnsi="Arial" w:cs="Arial"/>
        </w:rPr>
      </w:pPr>
      <w:r w:rsidRPr="001B4CA2">
        <w:rPr>
          <w:rFonts w:ascii="Arial" w:hAnsi="Arial" w:cs="Arial"/>
        </w:rPr>
        <w:t xml:space="preserve"> </w:t>
      </w:r>
      <w:bookmarkStart w:id="173" w:name="_Toc133394403"/>
      <w:r w:rsidR="00BB4D48" w:rsidRPr="001B4CA2">
        <w:rPr>
          <w:rFonts w:ascii="Arial" w:hAnsi="Arial" w:cs="Arial"/>
        </w:rPr>
        <w:t>Međunarodna pravna pomoć i pravosudna suradnja u kaznenim</w:t>
      </w:r>
      <w:bookmarkEnd w:id="173"/>
    </w:p>
    <w:p w14:paraId="0448068A" w14:textId="17614303" w:rsidR="00BB4D48" w:rsidRPr="001B4CA2" w:rsidRDefault="005F4184" w:rsidP="006262C8">
      <w:pPr>
        <w:pStyle w:val="Naslov2"/>
        <w:numPr>
          <w:ilvl w:val="0"/>
          <w:numId w:val="0"/>
        </w:numPr>
        <w:ind w:left="360"/>
        <w:rPr>
          <w:rFonts w:ascii="Arial" w:hAnsi="Arial" w:cs="Arial"/>
        </w:rPr>
      </w:pPr>
      <w:r w:rsidRPr="001B4CA2">
        <w:rPr>
          <w:rFonts w:ascii="Arial" w:hAnsi="Arial" w:cs="Arial"/>
        </w:rPr>
        <w:t xml:space="preserve"> </w:t>
      </w:r>
      <w:bookmarkStart w:id="174" w:name="_Toc133394404"/>
      <w:r w:rsidR="00BB4D48" w:rsidRPr="001B4CA2">
        <w:rPr>
          <w:rFonts w:ascii="Arial" w:hAnsi="Arial" w:cs="Arial"/>
        </w:rPr>
        <w:t>predmetima</w:t>
      </w:r>
      <w:bookmarkEnd w:id="174"/>
    </w:p>
    <w:p w14:paraId="160F981F" w14:textId="77777777" w:rsidR="00104F10" w:rsidRPr="001B4CA2" w:rsidRDefault="00104F10" w:rsidP="00AA20E1"/>
    <w:p w14:paraId="2BE5E95D" w14:textId="2DC4EE13" w:rsidR="006B59EB" w:rsidRPr="001B4CA2" w:rsidRDefault="00C922F1" w:rsidP="006B59EB">
      <w:r w:rsidRPr="001B4CA2">
        <w:tab/>
      </w:r>
      <w:r w:rsidR="006B59EB" w:rsidRPr="001B4CA2">
        <w:t>U 2022. godini nadležna državna odvjetništva ostvarila su međunarodnu pravnu pomoć i pravosudnu suradnju u ukupno 1</w:t>
      </w:r>
      <w:r w:rsidR="00D16737">
        <w:t>.</w:t>
      </w:r>
      <w:r w:rsidR="006B59EB" w:rsidRPr="001B4CA2">
        <w:t>693 kaznenih predmeta, što je</w:t>
      </w:r>
      <w:r w:rsidR="00FD08E9">
        <w:t xml:space="preserve"> </w:t>
      </w:r>
      <w:r w:rsidR="006B59EB" w:rsidRPr="001B4CA2">
        <w:t>na razini prethodne godine (neznatan porast od 4,6 % u odnosu na prethodnu godinu kada je ukupni broj predmeta iznosio 1</w:t>
      </w:r>
      <w:r w:rsidR="00D16737">
        <w:t>.</w:t>
      </w:r>
      <w:r w:rsidR="006B59EB" w:rsidRPr="001B4CA2">
        <w:t>618).</w:t>
      </w:r>
      <w:r w:rsidR="00FD08E9">
        <w:t xml:space="preserve"> </w:t>
      </w:r>
    </w:p>
    <w:p w14:paraId="2E3671FF" w14:textId="77777777" w:rsidR="006B59EB" w:rsidRPr="001B4CA2" w:rsidRDefault="006B59EB" w:rsidP="006B59EB"/>
    <w:p w14:paraId="79C01BF9" w14:textId="77777777" w:rsidR="006B59EB" w:rsidRPr="001B4CA2" w:rsidRDefault="006B59EB" w:rsidP="006B59EB">
      <w:pPr>
        <w:jc w:val="center"/>
      </w:pPr>
      <w:r w:rsidRPr="001B4CA2">
        <w:t>Predmeti međunarodne pravne pomoći i pravosudne suradnje</w:t>
      </w:r>
    </w:p>
    <w:p w14:paraId="59FE2594" w14:textId="221BADE0" w:rsidR="006B59EB" w:rsidRPr="001B4CA2" w:rsidRDefault="006B59EB" w:rsidP="006B59EB">
      <w:pPr>
        <w:jc w:val="center"/>
      </w:pPr>
      <w:r w:rsidRPr="001B4CA2">
        <w:t>2013.</w:t>
      </w:r>
      <w:r w:rsidR="00D16737">
        <w:t xml:space="preserve"> – </w:t>
      </w:r>
      <w:r w:rsidRPr="001B4CA2">
        <w:t>2022.</w:t>
      </w:r>
    </w:p>
    <w:p w14:paraId="05F47E01" w14:textId="77777777" w:rsidR="006B59EB" w:rsidRPr="001B4CA2" w:rsidRDefault="006B59EB" w:rsidP="006B59EB">
      <w:pPr>
        <w:jc w:val="center"/>
      </w:pPr>
    </w:p>
    <w:p w14:paraId="0F929AAC" w14:textId="77777777" w:rsidR="006B59EB" w:rsidRPr="001B4CA2" w:rsidRDefault="006B59EB" w:rsidP="006B59EB">
      <w:pPr>
        <w:jc w:val="center"/>
      </w:pPr>
    </w:p>
    <w:p w14:paraId="064475B4" w14:textId="77777777" w:rsidR="006B59EB" w:rsidRPr="001B4CA2" w:rsidRDefault="006B59EB" w:rsidP="006B59EB">
      <w:pPr>
        <w:jc w:val="center"/>
      </w:pPr>
      <w:r w:rsidRPr="001B4CA2">
        <w:rPr>
          <w:noProof/>
          <w:lang w:eastAsia="hr-HR"/>
        </w:rPr>
        <w:drawing>
          <wp:inline distT="0" distB="0" distL="0" distR="0" wp14:anchorId="17DC2B29" wp14:editId="74708FCB">
            <wp:extent cx="5486400" cy="3200400"/>
            <wp:effectExtent l="0" t="0" r="19050" b="1905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A5E41C4" w14:textId="77777777" w:rsidR="006B59EB" w:rsidRPr="001B4CA2" w:rsidRDefault="006B59EB" w:rsidP="006B59EB"/>
    <w:p w14:paraId="2D0DCA81" w14:textId="4BB4AE58" w:rsidR="006B59EB" w:rsidRPr="001B4CA2" w:rsidRDefault="006B59EB" w:rsidP="006B59EB">
      <w:r w:rsidRPr="001B4CA2">
        <w:tab/>
        <w:t>Izvještajnu 2022. godinu obilježio je broj predmeta na razini prethodne 2021. godine</w:t>
      </w:r>
      <w:r w:rsidR="006C1E1A">
        <w:t xml:space="preserve"> </w:t>
      </w:r>
      <w:r w:rsidRPr="001B4CA2">
        <w:t>u području pravosudne suradnje (1</w:t>
      </w:r>
      <w:r w:rsidR="00D16737">
        <w:t>.</w:t>
      </w:r>
      <w:r w:rsidRPr="001B4CA2">
        <w:t>111 predmeta, što predstavlja porast broja predmeta od 7</w:t>
      </w:r>
      <w:r w:rsidR="00D16737">
        <w:t> </w:t>
      </w:r>
      <w:r w:rsidRPr="001B4CA2">
        <w:t xml:space="preserve">% u odnosu na prethodnu godinu), </w:t>
      </w:r>
      <w:r w:rsidR="006C1E1A">
        <w:t>ali</w:t>
      </w:r>
      <w:r w:rsidRPr="001B4CA2">
        <w:t xml:space="preserve"> i u području</w:t>
      </w:r>
      <w:r w:rsidR="00FD08E9">
        <w:t xml:space="preserve"> </w:t>
      </w:r>
      <w:r w:rsidRPr="001B4CA2">
        <w:t xml:space="preserve">međunarodne pravne pomoći (582 predmeta, što je 0,3 % više u odnosu na prethodnu godinu). </w:t>
      </w:r>
    </w:p>
    <w:p w14:paraId="051E8997" w14:textId="77777777" w:rsidR="006B59EB" w:rsidRPr="001B4CA2" w:rsidRDefault="006B59EB" w:rsidP="006B59EB"/>
    <w:p w14:paraId="7F910758" w14:textId="3DA9E9A0" w:rsidR="006B59EB" w:rsidRPr="001B4CA2" w:rsidRDefault="006B59EB" w:rsidP="006B59EB">
      <w:pPr>
        <w:ind w:firstLine="708"/>
      </w:pPr>
      <w:r w:rsidRPr="001B4CA2">
        <w:t>Pritom je potrebno istaknuti kako je u 2022. godini, kao i u prethodnoj godini, broj predmeta pravosudne suradnje znatno veći od broja predmeta međunarodne pravne pomoći (582 predmeta međunarodne pravne pomoći u odnosu na 1</w:t>
      </w:r>
      <w:r w:rsidR="00D16737">
        <w:t>.</w:t>
      </w:r>
      <w:r w:rsidRPr="001B4CA2">
        <w:t>111 predmeta pravosudne suradnje, odnosno izraženo u posto</w:t>
      </w:r>
      <w:r w:rsidR="006C1E1A">
        <w:t>t</w:t>
      </w:r>
      <w:r w:rsidRPr="001B4CA2">
        <w:t>cima 91</w:t>
      </w:r>
      <w:r w:rsidR="00D16737">
        <w:t> </w:t>
      </w:r>
      <w:r w:rsidRPr="001B4CA2">
        <w:t xml:space="preserve">% više predmeta). Takav nerazmjer odraz </w:t>
      </w:r>
      <w:r w:rsidR="006C1E1A">
        <w:t xml:space="preserve">je </w:t>
      </w:r>
      <w:r w:rsidRPr="001B4CA2">
        <w:t>postojećeg pravnog okvira prema kojem</w:t>
      </w:r>
      <w:r w:rsidR="006C1E1A">
        <w:t>u</w:t>
      </w:r>
      <w:r w:rsidRPr="001B4CA2">
        <w:t xml:space="preserve"> državno odvjetništvo izvršava instrumente pravosudne suradnje izdane od strane nadležnih tijela država članica, ali ne i zamolnice za međunarodnu pravnu pomoć </w:t>
      </w:r>
      <w:r w:rsidRPr="001B4CA2">
        <w:lastRenderedPageBreak/>
        <w:t>provođenjem dokaznih radnji izdane od strane trećih država (državno je</w:t>
      </w:r>
      <w:r w:rsidR="00FD08E9">
        <w:t xml:space="preserve"> </w:t>
      </w:r>
      <w:r w:rsidR="006C1E1A" w:rsidRPr="001B4CA2">
        <w:t xml:space="preserve">odvjetništvo </w:t>
      </w:r>
      <w:r w:rsidRPr="001B4CA2">
        <w:t>izvršavalo instrumente pravosudne suradnje u 729 predmeta, dok je</w:t>
      </w:r>
      <w:r w:rsidR="00FD08E9">
        <w:t xml:space="preserve"> </w:t>
      </w:r>
      <w:r w:rsidRPr="001B4CA2">
        <w:t>postupalo po stranim zamolnicama za međunarodnu pravnu pomoć u 143 predmeta,</w:t>
      </w:r>
      <w:r w:rsidR="00FD08E9">
        <w:t xml:space="preserve"> </w:t>
      </w:r>
      <w:r w:rsidRPr="001B4CA2">
        <w:t>odnosno u 410</w:t>
      </w:r>
      <w:r w:rsidR="006C1E1A">
        <w:t> </w:t>
      </w:r>
      <w:r w:rsidRPr="001B4CA2">
        <w:t xml:space="preserve">% više predmeta). </w:t>
      </w:r>
    </w:p>
    <w:p w14:paraId="79D3C296" w14:textId="77777777" w:rsidR="006B59EB" w:rsidRPr="001B4CA2" w:rsidRDefault="006B59EB" w:rsidP="006B59EB">
      <w:pPr>
        <w:ind w:firstLine="708"/>
      </w:pPr>
    </w:p>
    <w:p w14:paraId="4BDCEC01" w14:textId="1C2188FD" w:rsidR="006B59EB" w:rsidRPr="001B4CA2" w:rsidRDefault="006B59EB" w:rsidP="006B59EB">
      <w:pPr>
        <w:ind w:firstLine="708"/>
      </w:pPr>
      <w:r w:rsidRPr="001B4CA2">
        <w:t>Nadalje, broj izdanih zamolnica za međunarodnu pravnu pomoć u 2022. godini veći je od broj</w:t>
      </w:r>
      <w:r w:rsidR="006C1E1A">
        <w:t>a</w:t>
      </w:r>
      <w:r w:rsidRPr="001B4CA2">
        <w:t xml:space="preserve"> izdanih naloga za pravosudnu suradnju (439 izdane zamolnice za međunarodnu pravnu pomoć u odnosu na 382 izdana naloga za pravosudnu suradnju, odnosno 15</w:t>
      </w:r>
      <w:r w:rsidR="006C1E1A">
        <w:t> </w:t>
      </w:r>
      <w:r w:rsidRPr="001B4CA2">
        <w:t>% više predmeta), što je posljedica činjenice da je veći broj predmeta u kojima se okrivljenici, svjedoci ili dokazi nalaze u trećim državama, u pravilu susjednim državama nastalim raspadom bivše države, nego</w:t>
      </w:r>
      <w:r w:rsidR="006C1E1A">
        <w:t>l</w:t>
      </w:r>
      <w:r w:rsidRPr="001B4CA2">
        <w:t>i u državama članicama Europske unije.</w:t>
      </w:r>
    </w:p>
    <w:p w14:paraId="7556B169" w14:textId="77777777" w:rsidR="006B59EB" w:rsidRPr="001B4CA2" w:rsidRDefault="006B59EB" w:rsidP="006B59EB">
      <w:pPr>
        <w:ind w:firstLine="708"/>
      </w:pPr>
    </w:p>
    <w:p w14:paraId="19E0FB30" w14:textId="3587E893" w:rsidR="006B59EB" w:rsidRPr="001B4CA2" w:rsidRDefault="006B59EB" w:rsidP="006B59EB">
      <w:pPr>
        <w:ind w:firstLine="708"/>
      </w:pPr>
      <w:r w:rsidRPr="001B4CA2">
        <w:t xml:space="preserve">U odnosu na način postupanja u predmetima međunarodne pravne pomoći i pravosudne suradnje u kaznenim stvarima, naglašavamo kako je 14. lipnja 2022. godine donesena Opća uputa o postupanju u predmetima međunarodne pravne pomoći broj: O-5/2022 koja je stupila na snagu 1. srpnja 2022. godine. Ovom Općom uputom stavljeni </w:t>
      </w:r>
      <w:r w:rsidR="006C1E1A" w:rsidRPr="001B4CA2">
        <w:t xml:space="preserve">su </w:t>
      </w:r>
      <w:r w:rsidRPr="001B4CA2">
        <w:t xml:space="preserve">izvan snage Uputa o postupanju broj: O-6/94 od 7. srpnja 1994, Naputak, broj: O-7/95 od 31. svibnja 1995., Dopuna naputka broj: O-7/95 od 11. rujna 1995., Dopuna naputka broj: O-7/1995 od 19. siječnja 1996. i 6. ožujka 1997. U sadržajnom smislu ova Opća uputa </w:t>
      </w:r>
      <w:r w:rsidR="006C1E1A">
        <w:t>ponajprije</w:t>
      </w:r>
      <w:r w:rsidRPr="001B4CA2">
        <w:t xml:space="preserve"> propisuje način postupanja u predmetima međunarodne pravna pomoći s „trećim državama“ s naglaskom na načinu komunikacija s ministarstvom nadležn</w:t>
      </w:r>
      <w:r w:rsidR="006C1E1A">
        <w:t>i</w:t>
      </w:r>
      <w:r w:rsidRPr="001B4CA2">
        <w:t xml:space="preserve">m </w:t>
      </w:r>
      <w:r w:rsidR="006C1E1A">
        <w:t>z</w:t>
      </w:r>
      <w:r w:rsidRPr="001B4CA2">
        <w:t xml:space="preserve">a poslove pravosuđa kao središnjim tijelom te na postupanju u predmetima ustupa i preuzimanja kaznenog progona. </w:t>
      </w:r>
    </w:p>
    <w:p w14:paraId="44A2D244" w14:textId="2F8CA5AB" w:rsidR="008C73DD" w:rsidRPr="001B4CA2" w:rsidRDefault="008C73DD" w:rsidP="00AA20E1"/>
    <w:p w14:paraId="41BC6A49" w14:textId="74465233" w:rsidR="001C297A" w:rsidRPr="001B4CA2" w:rsidRDefault="001C297A" w:rsidP="00AA20E1"/>
    <w:p w14:paraId="48CC6D02" w14:textId="34F34897" w:rsidR="001C297A" w:rsidRPr="001B4CA2" w:rsidRDefault="001C297A" w:rsidP="00AA20E1"/>
    <w:p w14:paraId="743498E0" w14:textId="7AFB4E62" w:rsidR="001C297A" w:rsidRPr="001B4CA2" w:rsidRDefault="001C297A" w:rsidP="00AA20E1"/>
    <w:p w14:paraId="15FAF493" w14:textId="491DA3E1" w:rsidR="001C297A" w:rsidRPr="001B4CA2" w:rsidRDefault="001C297A" w:rsidP="00AA20E1"/>
    <w:p w14:paraId="1124BF37" w14:textId="0E519D26" w:rsidR="001C297A" w:rsidRPr="001B4CA2" w:rsidRDefault="001C297A" w:rsidP="00AA20E1"/>
    <w:p w14:paraId="6C067266" w14:textId="7335BE07" w:rsidR="001C297A" w:rsidRPr="001B4CA2" w:rsidRDefault="001C297A" w:rsidP="00AA20E1"/>
    <w:p w14:paraId="6FC7FEA9" w14:textId="358D24C0" w:rsidR="001C297A" w:rsidRPr="001B4CA2" w:rsidRDefault="001C297A" w:rsidP="00AA20E1"/>
    <w:p w14:paraId="02C7B8D7" w14:textId="68B4BABE" w:rsidR="001C297A" w:rsidRPr="001B4CA2" w:rsidRDefault="001C297A" w:rsidP="00AA20E1"/>
    <w:p w14:paraId="786D0A19" w14:textId="286BF090" w:rsidR="001C297A" w:rsidRPr="001B4CA2" w:rsidRDefault="001C297A" w:rsidP="00AA20E1"/>
    <w:p w14:paraId="4FF89A8E" w14:textId="316CC0A1" w:rsidR="001C297A" w:rsidRPr="001B4CA2" w:rsidRDefault="001C297A" w:rsidP="00AA20E1"/>
    <w:p w14:paraId="3426BBD4" w14:textId="61B2C34B" w:rsidR="001C297A" w:rsidRPr="001B4CA2" w:rsidRDefault="001C297A" w:rsidP="00AA20E1"/>
    <w:p w14:paraId="21FB0CA8" w14:textId="0FD6E4C3" w:rsidR="001C297A" w:rsidRPr="001B4CA2" w:rsidRDefault="001C297A" w:rsidP="00AA20E1"/>
    <w:p w14:paraId="4212C736" w14:textId="44FA17D6" w:rsidR="001C297A" w:rsidRPr="001B4CA2" w:rsidRDefault="001C297A" w:rsidP="00AA20E1"/>
    <w:p w14:paraId="49714DC6" w14:textId="29F517FA" w:rsidR="001C297A" w:rsidRPr="001B4CA2" w:rsidRDefault="001C297A" w:rsidP="00AA20E1"/>
    <w:p w14:paraId="3AA5A4C4" w14:textId="2263CB53" w:rsidR="001C297A" w:rsidRPr="001B4CA2" w:rsidRDefault="001C297A" w:rsidP="00AA20E1"/>
    <w:p w14:paraId="697BECAB" w14:textId="3F4B6BEA" w:rsidR="001C297A" w:rsidRPr="001B4CA2" w:rsidRDefault="001C297A" w:rsidP="00AA20E1"/>
    <w:p w14:paraId="4B77D696" w14:textId="1FBDF750" w:rsidR="001C297A" w:rsidRPr="001B4CA2" w:rsidRDefault="001C297A" w:rsidP="00AA20E1"/>
    <w:p w14:paraId="55C56C96" w14:textId="07F68823" w:rsidR="001C297A" w:rsidRPr="001B4CA2" w:rsidRDefault="001C297A" w:rsidP="00AA20E1"/>
    <w:p w14:paraId="17D16788" w14:textId="492D0AA6" w:rsidR="001C297A" w:rsidRPr="001B4CA2" w:rsidRDefault="001C297A" w:rsidP="00AA20E1"/>
    <w:p w14:paraId="5FFE6762" w14:textId="0B57EEBE" w:rsidR="001C297A" w:rsidRPr="001B4CA2" w:rsidRDefault="001C297A" w:rsidP="00AA20E1"/>
    <w:p w14:paraId="476E9D41" w14:textId="32EC79FC" w:rsidR="001C297A" w:rsidRPr="001B4CA2" w:rsidRDefault="001C297A" w:rsidP="00AA20E1"/>
    <w:p w14:paraId="3510753D" w14:textId="1A8090A9" w:rsidR="001C297A" w:rsidRPr="001B4CA2" w:rsidRDefault="001C297A" w:rsidP="00AA20E1"/>
    <w:p w14:paraId="513A63FB" w14:textId="2B2005E5" w:rsidR="001C297A" w:rsidRDefault="001C297A" w:rsidP="00AA20E1"/>
    <w:p w14:paraId="068EFB0F" w14:textId="77777777" w:rsidR="000268FF" w:rsidRPr="001B4CA2" w:rsidRDefault="000268FF" w:rsidP="00AA20E1"/>
    <w:p w14:paraId="5A2F8079" w14:textId="065CA760" w:rsidR="00BB4D48" w:rsidRPr="001B4CA2" w:rsidRDefault="00A60F77" w:rsidP="00955E23">
      <w:pPr>
        <w:pStyle w:val="Naslov3"/>
        <w:tabs>
          <w:tab w:val="left" w:pos="993"/>
        </w:tabs>
        <w:ind w:left="567" w:hanging="283"/>
        <w:rPr>
          <w:rFonts w:ascii="Arial" w:hAnsi="Arial" w:cs="Arial"/>
        </w:rPr>
      </w:pPr>
      <w:bookmarkStart w:id="175" w:name="_Toc133394405"/>
      <w:r w:rsidRPr="001B4CA2">
        <w:rPr>
          <w:rFonts w:ascii="Arial" w:hAnsi="Arial" w:cs="Arial"/>
        </w:rPr>
        <w:lastRenderedPageBreak/>
        <w:t>Međunarodna pravna pomoć</w:t>
      </w:r>
      <w:bookmarkEnd w:id="175"/>
    </w:p>
    <w:p w14:paraId="18C7E9EF" w14:textId="19158901" w:rsidR="00104F10" w:rsidRPr="001B4CA2" w:rsidRDefault="00104F10" w:rsidP="00AA20E1"/>
    <w:p w14:paraId="4196BB53" w14:textId="39F21AB5" w:rsidR="006B59EB" w:rsidRPr="001B4CA2" w:rsidRDefault="006B59EB" w:rsidP="006B59EB">
      <w:pPr>
        <w:ind w:firstLine="708"/>
      </w:pPr>
      <w:r w:rsidRPr="001B4CA2">
        <w:t xml:space="preserve">Uvodno naglašavamo kako se predmeti međunarodne pravne pomoći u kaznenim stvarima odnose na suradnju s trećim državama, osim predmeta ustupa/preuzimanja kaznenog progona i dostave pismena koji se odnose na treće države, kao i države članice Europske unije. </w:t>
      </w:r>
    </w:p>
    <w:p w14:paraId="4E9D4368" w14:textId="77777777" w:rsidR="006B59EB" w:rsidRPr="001B4CA2" w:rsidRDefault="006B59EB" w:rsidP="006B59EB">
      <w:pPr>
        <w:ind w:firstLine="708"/>
      </w:pPr>
    </w:p>
    <w:p w14:paraId="5F8F54BF" w14:textId="38E39FE9" w:rsidR="006B59EB" w:rsidRPr="001B4CA2" w:rsidRDefault="006B59EB" w:rsidP="006B59EB">
      <w:r w:rsidRPr="001B4CA2">
        <w:tab/>
        <w:t xml:space="preserve">U donjoj tablici prikazano je kretanje predmeta međunarodne pravne pomoći tijekom posljednje četiri godine, a iz koje je </w:t>
      </w:r>
      <w:r w:rsidR="006C1E1A">
        <w:t>razvidno</w:t>
      </w:r>
      <w:r w:rsidRPr="001B4CA2">
        <w:t xml:space="preserve"> kako je 2022. godin</w:t>
      </w:r>
      <w:r w:rsidR="006C1E1A">
        <w:t>a</w:t>
      </w:r>
      <w:r w:rsidRPr="001B4CA2">
        <w:t xml:space="preserve"> na razini prethodne godine. </w:t>
      </w:r>
    </w:p>
    <w:p w14:paraId="0EFA333F" w14:textId="77777777" w:rsidR="001C297A" w:rsidRPr="001B4CA2" w:rsidRDefault="001C297A" w:rsidP="00104F10"/>
    <w:p w14:paraId="1ECBD442" w14:textId="61F98B1F" w:rsidR="00104F10" w:rsidRPr="001B4CA2" w:rsidRDefault="000268FF" w:rsidP="00264AA0">
      <w:pPr>
        <w:ind w:left="142"/>
        <w:rPr>
          <w:i/>
        </w:rPr>
      </w:pPr>
      <w:r>
        <w:rPr>
          <w:i/>
        </w:rPr>
        <w:t xml:space="preserve"> </w:t>
      </w:r>
      <w:r w:rsidR="00D272A4">
        <w:rPr>
          <w:i/>
        </w:rPr>
        <w:t xml:space="preserve"> </w:t>
      </w:r>
      <w:r w:rsidR="00104F10" w:rsidRPr="001B4CA2">
        <w:rPr>
          <w:i/>
        </w:rPr>
        <w:t>Međunarodna pravna pomoć u kaznenim stvarima</w:t>
      </w:r>
      <w:r w:rsidR="005C7551" w:rsidRPr="001B4CA2">
        <w:rPr>
          <w:i/>
        </w:rPr>
        <w:t xml:space="preserve"> 201</w:t>
      </w:r>
      <w:r w:rsidR="00C922F1" w:rsidRPr="001B4CA2">
        <w:rPr>
          <w:i/>
        </w:rPr>
        <w:t>9</w:t>
      </w:r>
      <w:r w:rsidR="005C7551" w:rsidRPr="001B4CA2">
        <w:rPr>
          <w:i/>
        </w:rPr>
        <w:t>. – 202</w:t>
      </w:r>
      <w:r w:rsidR="00C922F1" w:rsidRPr="001B4CA2">
        <w:rPr>
          <w:i/>
        </w:rPr>
        <w:t>2</w:t>
      </w:r>
      <w:r w:rsidR="005C7551" w:rsidRPr="001B4CA2">
        <w:rPr>
          <w:i/>
        </w:rPr>
        <w:t>.</w:t>
      </w:r>
    </w:p>
    <w:tbl>
      <w:tblPr>
        <w:tblW w:w="862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7"/>
        <w:gridCol w:w="883"/>
        <w:gridCol w:w="883"/>
        <w:gridCol w:w="883"/>
        <w:gridCol w:w="884"/>
        <w:gridCol w:w="884"/>
        <w:gridCol w:w="884"/>
        <w:gridCol w:w="884"/>
        <w:gridCol w:w="884"/>
      </w:tblGrid>
      <w:tr w:rsidR="00532C41" w:rsidRPr="001B4CA2" w14:paraId="577C4986" w14:textId="77777777" w:rsidTr="000268FF">
        <w:trPr>
          <w:trHeight w:val="344"/>
        </w:trPr>
        <w:tc>
          <w:tcPr>
            <w:tcW w:w="1560" w:type="dxa"/>
            <w:vMerge w:val="restart"/>
            <w:shd w:val="clear" w:color="auto" w:fill="98CCFF"/>
            <w:vAlign w:val="center"/>
            <w:hideMark/>
          </w:tcPr>
          <w:p w14:paraId="0C9A9CF4" w14:textId="77777777" w:rsidR="00104F10" w:rsidRPr="001B4CA2" w:rsidRDefault="00104F10" w:rsidP="007D4356">
            <w:pPr>
              <w:jc w:val="center"/>
              <w:rPr>
                <w:rFonts w:eastAsia="Times New Roman"/>
                <w:b/>
                <w:bCs/>
                <w:sz w:val="18"/>
                <w:szCs w:val="18"/>
                <w:lang w:eastAsia="hr-HR"/>
              </w:rPr>
            </w:pPr>
            <w:r w:rsidRPr="001B4CA2">
              <w:rPr>
                <w:rFonts w:eastAsia="Times New Roman"/>
                <w:b/>
                <w:bCs/>
                <w:sz w:val="18"/>
                <w:szCs w:val="18"/>
                <w:lang w:eastAsia="hr-HR"/>
              </w:rPr>
              <w:t> </w:t>
            </w:r>
          </w:p>
        </w:tc>
        <w:tc>
          <w:tcPr>
            <w:tcW w:w="1766" w:type="dxa"/>
            <w:gridSpan w:val="2"/>
            <w:shd w:val="clear" w:color="auto" w:fill="98CCFF"/>
            <w:vAlign w:val="center"/>
            <w:hideMark/>
          </w:tcPr>
          <w:p w14:paraId="2284003A" w14:textId="3A96507B" w:rsidR="00104F10" w:rsidRPr="001B4CA2" w:rsidRDefault="00264AA0" w:rsidP="007D4356">
            <w:pPr>
              <w:jc w:val="center"/>
              <w:rPr>
                <w:rFonts w:eastAsia="Times New Roman"/>
                <w:b/>
                <w:bCs/>
                <w:sz w:val="18"/>
                <w:szCs w:val="18"/>
                <w:lang w:eastAsia="hr-HR"/>
              </w:rPr>
            </w:pPr>
            <w:r w:rsidRPr="001B4CA2">
              <w:rPr>
                <w:rFonts w:eastAsia="Times New Roman"/>
                <w:b/>
                <w:bCs/>
                <w:sz w:val="18"/>
                <w:szCs w:val="18"/>
                <w:lang w:eastAsia="hr-HR"/>
              </w:rPr>
              <w:t>201</w:t>
            </w:r>
            <w:r w:rsidR="006B59EB" w:rsidRPr="001B4CA2">
              <w:rPr>
                <w:rFonts w:eastAsia="Times New Roman"/>
                <w:b/>
                <w:bCs/>
                <w:sz w:val="18"/>
                <w:szCs w:val="18"/>
                <w:lang w:eastAsia="hr-HR"/>
              </w:rPr>
              <w:t>9</w:t>
            </w:r>
            <w:r w:rsidR="00104F10" w:rsidRPr="001B4CA2">
              <w:rPr>
                <w:rFonts w:eastAsia="Times New Roman"/>
                <w:b/>
                <w:bCs/>
                <w:sz w:val="18"/>
                <w:szCs w:val="18"/>
                <w:lang w:eastAsia="hr-HR"/>
              </w:rPr>
              <w:t>.</w:t>
            </w:r>
          </w:p>
        </w:tc>
        <w:tc>
          <w:tcPr>
            <w:tcW w:w="1767" w:type="dxa"/>
            <w:gridSpan w:val="2"/>
            <w:shd w:val="clear" w:color="auto" w:fill="98CCFF"/>
            <w:vAlign w:val="center"/>
            <w:hideMark/>
          </w:tcPr>
          <w:p w14:paraId="3D0984C4" w14:textId="52BF30BE" w:rsidR="00104F10" w:rsidRPr="001B4CA2" w:rsidRDefault="00264AA0" w:rsidP="007D4356">
            <w:pPr>
              <w:jc w:val="center"/>
              <w:rPr>
                <w:rFonts w:eastAsia="Times New Roman"/>
                <w:b/>
                <w:bCs/>
                <w:sz w:val="18"/>
                <w:szCs w:val="18"/>
                <w:lang w:eastAsia="hr-HR"/>
              </w:rPr>
            </w:pPr>
            <w:r w:rsidRPr="001B4CA2">
              <w:rPr>
                <w:rFonts w:eastAsia="Times New Roman"/>
                <w:b/>
                <w:bCs/>
                <w:sz w:val="18"/>
                <w:szCs w:val="18"/>
                <w:lang w:eastAsia="hr-HR"/>
              </w:rPr>
              <w:t>20</w:t>
            </w:r>
            <w:r w:rsidR="006B59EB" w:rsidRPr="001B4CA2">
              <w:rPr>
                <w:rFonts w:eastAsia="Times New Roman"/>
                <w:b/>
                <w:bCs/>
                <w:sz w:val="18"/>
                <w:szCs w:val="18"/>
                <w:lang w:eastAsia="hr-HR"/>
              </w:rPr>
              <w:t>20</w:t>
            </w:r>
            <w:r w:rsidR="00104F10" w:rsidRPr="001B4CA2">
              <w:rPr>
                <w:rFonts w:eastAsia="Times New Roman"/>
                <w:b/>
                <w:bCs/>
                <w:sz w:val="18"/>
                <w:szCs w:val="18"/>
                <w:lang w:eastAsia="hr-HR"/>
              </w:rPr>
              <w:t>.</w:t>
            </w:r>
          </w:p>
        </w:tc>
        <w:tc>
          <w:tcPr>
            <w:tcW w:w="1768" w:type="dxa"/>
            <w:gridSpan w:val="2"/>
            <w:shd w:val="clear" w:color="auto" w:fill="98CCFF"/>
            <w:vAlign w:val="center"/>
            <w:hideMark/>
          </w:tcPr>
          <w:p w14:paraId="313728EC" w14:textId="0A8D4297" w:rsidR="00104F10" w:rsidRPr="001B4CA2" w:rsidRDefault="00264AA0" w:rsidP="007D4356">
            <w:pPr>
              <w:jc w:val="center"/>
              <w:rPr>
                <w:rFonts w:eastAsia="Times New Roman"/>
                <w:b/>
                <w:bCs/>
                <w:sz w:val="18"/>
                <w:szCs w:val="18"/>
                <w:lang w:eastAsia="hr-HR"/>
              </w:rPr>
            </w:pPr>
            <w:r w:rsidRPr="001B4CA2">
              <w:rPr>
                <w:rFonts w:eastAsia="Times New Roman"/>
                <w:b/>
                <w:bCs/>
                <w:sz w:val="18"/>
                <w:szCs w:val="18"/>
                <w:lang w:eastAsia="hr-HR"/>
              </w:rPr>
              <w:t>202</w:t>
            </w:r>
            <w:r w:rsidR="006B59EB" w:rsidRPr="001B4CA2">
              <w:rPr>
                <w:rFonts w:eastAsia="Times New Roman"/>
                <w:b/>
                <w:bCs/>
                <w:sz w:val="18"/>
                <w:szCs w:val="18"/>
                <w:lang w:eastAsia="hr-HR"/>
              </w:rPr>
              <w:t>1</w:t>
            </w:r>
            <w:r w:rsidR="00104F10" w:rsidRPr="001B4CA2">
              <w:rPr>
                <w:rFonts w:eastAsia="Times New Roman"/>
                <w:b/>
                <w:bCs/>
                <w:sz w:val="18"/>
                <w:szCs w:val="18"/>
                <w:lang w:eastAsia="hr-HR"/>
              </w:rPr>
              <w:t>.</w:t>
            </w:r>
          </w:p>
        </w:tc>
        <w:tc>
          <w:tcPr>
            <w:tcW w:w="1768" w:type="dxa"/>
            <w:gridSpan w:val="2"/>
            <w:shd w:val="clear" w:color="auto" w:fill="98CCFF"/>
            <w:vAlign w:val="center"/>
            <w:hideMark/>
          </w:tcPr>
          <w:p w14:paraId="2C29B7C8" w14:textId="05438D7A" w:rsidR="00104F10" w:rsidRPr="001B4CA2" w:rsidRDefault="00264AA0" w:rsidP="007D4356">
            <w:pPr>
              <w:jc w:val="center"/>
              <w:rPr>
                <w:rFonts w:eastAsia="Times New Roman"/>
                <w:b/>
                <w:bCs/>
                <w:sz w:val="18"/>
                <w:szCs w:val="18"/>
                <w:lang w:eastAsia="hr-HR"/>
              </w:rPr>
            </w:pPr>
            <w:r w:rsidRPr="001B4CA2">
              <w:rPr>
                <w:rFonts w:eastAsia="Times New Roman"/>
                <w:b/>
                <w:bCs/>
                <w:sz w:val="18"/>
                <w:szCs w:val="18"/>
                <w:lang w:eastAsia="hr-HR"/>
              </w:rPr>
              <w:t>202</w:t>
            </w:r>
            <w:r w:rsidR="006B59EB" w:rsidRPr="001B4CA2">
              <w:rPr>
                <w:rFonts w:eastAsia="Times New Roman"/>
                <w:b/>
                <w:bCs/>
                <w:sz w:val="18"/>
                <w:szCs w:val="18"/>
                <w:lang w:eastAsia="hr-HR"/>
              </w:rPr>
              <w:t>2</w:t>
            </w:r>
            <w:r w:rsidR="00104F10" w:rsidRPr="001B4CA2">
              <w:rPr>
                <w:rFonts w:eastAsia="Times New Roman"/>
                <w:b/>
                <w:bCs/>
                <w:sz w:val="18"/>
                <w:szCs w:val="18"/>
                <w:lang w:eastAsia="hr-HR"/>
              </w:rPr>
              <w:t>.</w:t>
            </w:r>
          </w:p>
        </w:tc>
      </w:tr>
      <w:tr w:rsidR="00532C41" w:rsidRPr="001B4CA2" w14:paraId="6AF53399" w14:textId="77777777" w:rsidTr="000268FF">
        <w:trPr>
          <w:trHeight w:val="1965"/>
        </w:trPr>
        <w:tc>
          <w:tcPr>
            <w:tcW w:w="1560" w:type="dxa"/>
            <w:vMerge/>
            <w:shd w:val="clear" w:color="auto" w:fill="98CCFF"/>
            <w:vAlign w:val="center"/>
            <w:hideMark/>
          </w:tcPr>
          <w:p w14:paraId="561D79A9" w14:textId="77777777" w:rsidR="00104F10" w:rsidRPr="001B4CA2" w:rsidRDefault="00104F10" w:rsidP="007D4356">
            <w:pPr>
              <w:jc w:val="left"/>
              <w:rPr>
                <w:rFonts w:eastAsia="Times New Roman"/>
                <w:b/>
                <w:bCs/>
                <w:sz w:val="18"/>
                <w:szCs w:val="18"/>
                <w:lang w:eastAsia="hr-HR"/>
              </w:rPr>
            </w:pPr>
          </w:p>
        </w:tc>
        <w:tc>
          <w:tcPr>
            <w:tcW w:w="883" w:type="dxa"/>
            <w:shd w:val="clear" w:color="auto" w:fill="98CCFF"/>
            <w:textDirection w:val="btLr"/>
            <w:vAlign w:val="center"/>
            <w:hideMark/>
          </w:tcPr>
          <w:p w14:paraId="43D13C62" w14:textId="77777777" w:rsidR="00104F10" w:rsidRPr="001B4CA2" w:rsidRDefault="00104F10" w:rsidP="00104F10">
            <w:pPr>
              <w:jc w:val="left"/>
              <w:rPr>
                <w:rFonts w:eastAsia="Times New Roman"/>
                <w:b/>
                <w:bCs/>
                <w:sz w:val="18"/>
                <w:szCs w:val="18"/>
                <w:lang w:eastAsia="hr-HR"/>
              </w:rPr>
            </w:pPr>
            <w:r w:rsidRPr="001B4CA2">
              <w:rPr>
                <w:rFonts w:eastAsia="Times New Roman"/>
                <w:b/>
                <w:bCs/>
                <w:sz w:val="18"/>
                <w:szCs w:val="18"/>
                <w:lang w:eastAsia="hr-HR"/>
              </w:rPr>
              <w:t>Upućene zamolnice za međunarodnu pravnu pomoć</w:t>
            </w:r>
          </w:p>
        </w:tc>
        <w:tc>
          <w:tcPr>
            <w:tcW w:w="883" w:type="dxa"/>
            <w:shd w:val="clear" w:color="auto" w:fill="98CCFF"/>
            <w:textDirection w:val="btLr"/>
            <w:vAlign w:val="center"/>
            <w:hideMark/>
          </w:tcPr>
          <w:p w14:paraId="4D065C55" w14:textId="77777777" w:rsidR="00104F10" w:rsidRPr="001B4CA2" w:rsidRDefault="00104F10" w:rsidP="00104F10">
            <w:pPr>
              <w:jc w:val="left"/>
              <w:rPr>
                <w:rFonts w:eastAsia="Times New Roman"/>
                <w:b/>
                <w:bCs/>
                <w:sz w:val="18"/>
                <w:szCs w:val="18"/>
                <w:lang w:eastAsia="hr-HR"/>
              </w:rPr>
            </w:pPr>
            <w:r w:rsidRPr="001B4CA2">
              <w:rPr>
                <w:rFonts w:eastAsia="Times New Roman"/>
                <w:b/>
                <w:bCs/>
                <w:sz w:val="18"/>
                <w:szCs w:val="18"/>
                <w:lang w:eastAsia="hr-HR"/>
              </w:rPr>
              <w:t>Izvršene zamolnice za međunarodnu pravnu pomoć</w:t>
            </w:r>
          </w:p>
        </w:tc>
        <w:tc>
          <w:tcPr>
            <w:tcW w:w="883" w:type="dxa"/>
            <w:shd w:val="clear" w:color="auto" w:fill="98CCFF"/>
            <w:textDirection w:val="btLr"/>
            <w:vAlign w:val="center"/>
            <w:hideMark/>
          </w:tcPr>
          <w:p w14:paraId="081115D4" w14:textId="77777777" w:rsidR="00104F10" w:rsidRPr="001B4CA2" w:rsidRDefault="00104F10" w:rsidP="00104F10">
            <w:pPr>
              <w:jc w:val="left"/>
              <w:rPr>
                <w:rFonts w:eastAsia="Times New Roman"/>
                <w:b/>
                <w:bCs/>
                <w:sz w:val="18"/>
                <w:szCs w:val="18"/>
                <w:lang w:eastAsia="hr-HR"/>
              </w:rPr>
            </w:pPr>
            <w:r w:rsidRPr="001B4CA2">
              <w:rPr>
                <w:rFonts w:eastAsia="Times New Roman"/>
                <w:b/>
                <w:bCs/>
                <w:sz w:val="18"/>
                <w:szCs w:val="18"/>
                <w:lang w:eastAsia="hr-HR"/>
              </w:rPr>
              <w:t>Upućene zamolnice za međunarodnu pravnu pomoć</w:t>
            </w:r>
          </w:p>
        </w:tc>
        <w:tc>
          <w:tcPr>
            <w:tcW w:w="884" w:type="dxa"/>
            <w:shd w:val="clear" w:color="auto" w:fill="98CCFF"/>
            <w:textDirection w:val="btLr"/>
            <w:vAlign w:val="center"/>
            <w:hideMark/>
          </w:tcPr>
          <w:p w14:paraId="127F1D8A" w14:textId="77777777" w:rsidR="00104F10" w:rsidRPr="001B4CA2" w:rsidRDefault="00104F10" w:rsidP="00104F10">
            <w:pPr>
              <w:jc w:val="left"/>
              <w:rPr>
                <w:rFonts w:eastAsia="Times New Roman"/>
                <w:b/>
                <w:bCs/>
                <w:sz w:val="18"/>
                <w:szCs w:val="18"/>
                <w:lang w:eastAsia="hr-HR"/>
              </w:rPr>
            </w:pPr>
            <w:r w:rsidRPr="001B4CA2">
              <w:rPr>
                <w:rFonts w:eastAsia="Times New Roman"/>
                <w:b/>
                <w:bCs/>
                <w:sz w:val="18"/>
                <w:szCs w:val="18"/>
                <w:lang w:eastAsia="hr-HR"/>
              </w:rPr>
              <w:t>Izvršene zamolnice za međunarodnu pravnu pomoć</w:t>
            </w:r>
          </w:p>
        </w:tc>
        <w:tc>
          <w:tcPr>
            <w:tcW w:w="884" w:type="dxa"/>
            <w:shd w:val="clear" w:color="auto" w:fill="98CCFF"/>
            <w:textDirection w:val="btLr"/>
            <w:vAlign w:val="center"/>
            <w:hideMark/>
          </w:tcPr>
          <w:p w14:paraId="319D0176" w14:textId="77777777" w:rsidR="00104F10" w:rsidRPr="001B4CA2" w:rsidRDefault="00104F10" w:rsidP="00104F10">
            <w:pPr>
              <w:jc w:val="left"/>
              <w:rPr>
                <w:rFonts w:eastAsia="Times New Roman"/>
                <w:b/>
                <w:bCs/>
                <w:sz w:val="18"/>
                <w:szCs w:val="18"/>
                <w:lang w:eastAsia="hr-HR"/>
              </w:rPr>
            </w:pPr>
            <w:r w:rsidRPr="001B4CA2">
              <w:rPr>
                <w:rFonts w:eastAsia="Times New Roman"/>
                <w:b/>
                <w:bCs/>
                <w:sz w:val="18"/>
                <w:szCs w:val="18"/>
                <w:lang w:eastAsia="hr-HR"/>
              </w:rPr>
              <w:t>Upućene zamolnice za međunarodnu pravnu pomoć</w:t>
            </w:r>
          </w:p>
        </w:tc>
        <w:tc>
          <w:tcPr>
            <w:tcW w:w="884" w:type="dxa"/>
            <w:shd w:val="clear" w:color="auto" w:fill="98CCFF"/>
            <w:textDirection w:val="btLr"/>
            <w:vAlign w:val="center"/>
            <w:hideMark/>
          </w:tcPr>
          <w:p w14:paraId="6F4DECE6" w14:textId="77777777" w:rsidR="00104F10" w:rsidRPr="001B4CA2" w:rsidRDefault="00104F10" w:rsidP="00104F10">
            <w:pPr>
              <w:jc w:val="left"/>
              <w:rPr>
                <w:rFonts w:eastAsia="Times New Roman"/>
                <w:b/>
                <w:bCs/>
                <w:sz w:val="18"/>
                <w:szCs w:val="18"/>
                <w:lang w:eastAsia="hr-HR"/>
              </w:rPr>
            </w:pPr>
            <w:r w:rsidRPr="001B4CA2">
              <w:rPr>
                <w:rFonts w:eastAsia="Times New Roman"/>
                <w:b/>
                <w:bCs/>
                <w:sz w:val="18"/>
                <w:szCs w:val="18"/>
                <w:lang w:eastAsia="hr-HR"/>
              </w:rPr>
              <w:t>Izvršene zamolnice za međunarodnu pravnu pomoć</w:t>
            </w:r>
          </w:p>
        </w:tc>
        <w:tc>
          <w:tcPr>
            <w:tcW w:w="884" w:type="dxa"/>
            <w:shd w:val="clear" w:color="auto" w:fill="98CCFF"/>
            <w:textDirection w:val="btLr"/>
            <w:vAlign w:val="center"/>
            <w:hideMark/>
          </w:tcPr>
          <w:p w14:paraId="1B861603" w14:textId="77777777" w:rsidR="00104F10" w:rsidRPr="001B4CA2" w:rsidRDefault="00104F10" w:rsidP="00104F10">
            <w:pPr>
              <w:jc w:val="left"/>
              <w:rPr>
                <w:rFonts w:eastAsia="Times New Roman"/>
                <w:b/>
                <w:bCs/>
                <w:sz w:val="18"/>
                <w:szCs w:val="18"/>
                <w:lang w:eastAsia="hr-HR"/>
              </w:rPr>
            </w:pPr>
            <w:r w:rsidRPr="001B4CA2">
              <w:rPr>
                <w:rFonts w:eastAsia="Times New Roman"/>
                <w:b/>
                <w:bCs/>
                <w:sz w:val="18"/>
                <w:szCs w:val="18"/>
                <w:lang w:eastAsia="hr-HR"/>
              </w:rPr>
              <w:t>Upućene zamolnice za međunarodnu pravnu pomoć</w:t>
            </w:r>
          </w:p>
        </w:tc>
        <w:tc>
          <w:tcPr>
            <w:tcW w:w="884" w:type="dxa"/>
            <w:shd w:val="clear" w:color="auto" w:fill="98CCFF"/>
            <w:textDirection w:val="btLr"/>
            <w:vAlign w:val="center"/>
            <w:hideMark/>
          </w:tcPr>
          <w:p w14:paraId="02073E7F" w14:textId="77777777" w:rsidR="00104F10" w:rsidRPr="001B4CA2" w:rsidRDefault="00104F10" w:rsidP="00104F10">
            <w:pPr>
              <w:jc w:val="left"/>
              <w:rPr>
                <w:rFonts w:eastAsia="Times New Roman"/>
                <w:b/>
                <w:bCs/>
                <w:sz w:val="18"/>
                <w:szCs w:val="18"/>
                <w:lang w:eastAsia="hr-HR"/>
              </w:rPr>
            </w:pPr>
            <w:r w:rsidRPr="001B4CA2">
              <w:rPr>
                <w:rFonts w:eastAsia="Times New Roman"/>
                <w:b/>
                <w:bCs/>
                <w:sz w:val="18"/>
                <w:szCs w:val="18"/>
                <w:lang w:eastAsia="hr-HR"/>
              </w:rPr>
              <w:t>Izvršene zamolnice za međunarodnu pravnu pomoć</w:t>
            </w:r>
          </w:p>
        </w:tc>
      </w:tr>
      <w:tr w:rsidR="00532C41" w:rsidRPr="001B4CA2" w14:paraId="4DA0CB04" w14:textId="77777777" w:rsidTr="000268FF">
        <w:trPr>
          <w:trHeight w:val="678"/>
        </w:trPr>
        <w:tc>
          <w:tcPr>
            <w:tcW w:w="1560" w:type="dxa"/>
            <w:shd w:val="clear" w:color="auto" w:fill="auto"/>
            <w:vAlign w:val="center"/>
            <w:hideMark/>
          </w:tcPr>
          <w:p w14:paraId="5BC96DE4" w14:textId="7CCE49AC" w:rsidR="00104F10" w:rsidRPr="001B4CA2" w:rsidRDefault="008F6964" w:rsidP="007D4356">
            <w:pPr>
              <w:jc w:val="left"/>
              <w:rPr>
                <w:rFonts w:eastAsia="Times New Roman"/>
                <w:sz w:val="18"/>
                <w:szCs w:val="18"/>
                <w:lang w:eastAsia="hr-HR"/>
              </w:rPr>
            </w:pPr>
            <w:r w:rsidRPr="001B4CA2">
              <w:rPr>
                <w:color w:val="333333"/>
                <w:shd w:val="clear" w:color="auto" w:fill="FFFFFF"/>
              </w:rPr>
              <w:t>„</w:t>
            </w:r>
            <w:r w:rsidR="00104F10" w:rsidRPr="001B4CA2">
              <w:rPr>
                <w:rFonts w:eastAsia="Times New Roman"/>
                <w:sz w:val="18"/>
                <w:szCs w:val="18"/>
                <w:lang w:eastAsia="hr-HR"/>
              </w:rPr>
              <w:t>Mala" međunarodna pravna pomoć</w:t>
            </w:r>
          </w:p>
        </w:tc>
        <w:tc>
          <w:tcPr>
            <w:tcW w:w="883" w:type="dxa"/>
            <w:shd w:val="clear" w:color="auto" w:fill="auto"/>
            <w:noWrap/>
            <w:vAlign w:val="center"/>
          </w:tcPr>
          <w:p w14:paraId="5989B797" w14:textId="401E68A2"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91</w:t>
            </w:r>
          </w:p>
        </w:tc>
        <w:tc>
          <w:tcPr>
            <w:tcW w:w="883" w:type="dxa"/>
            <w:shd w:val="clear" w:color="auto" w:fill="auto"/>
            <w:noWrap/>
            <w:vAlign w:val="center"/>
          </w:tcPr>
          <w:p w14:paraId="13550E0D" w14:textId="388608A1"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53</w:t>
            </w:r>
          </w:p>
        </w:tc>
        <w:tc>
          <w:tcPr>
            <w:tcW w:w="883" w:type="dxa"/>
            <w:shd w:val="clear" w:color="auto" w:fill="auto"/>
            <w:noWrap/>
            <w:vAlign w:val="center"/>
          </w:tcPr>
          <w:p w14:paraId="4108B54E" w14:textId="56CB2ECE"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163</w:t>
            </w:r>
          </w:p>
        </w:tc>
        <w:tc>
          <w:tcPr>
            <w:tcW w:w="884" w:type="dxa"/>
            <w:shd w:val="clear" w:color="auto" w:fill="auto"/>
            <w:noWrap/>
            <w:vAlign w:val="center"/>
          </w:tcPr>
          <w:p w14:paraId="06204E1A" w14:textId="17777123" w:rsidR="00104F10" w:rsidRPr="001B4CA2" w:rsidRDefault="0046393E" w:rsidP="00104F10">
            <w:pPr>
              <w:jc w:val="center"/>
              <w:rPr>
                <w:rFonts w:eastAsia="Times New Roman"/>
                <w:sz w:val="18"/>
                <w:szCs w:val="18"/>
                <w:lang w:eastAsia="hr-HR"/>
              </w:rPr>
            </w:pPr>
            <w:r w:rsidRPr="001B4CA2">
              <w:rPr>
                <w:rFonts w:eastAsia="Times New Roman"/>
                <w:sz w:val="18"/>
                <w:szCs w:val="18"/>
                <w:lang w:eastAsia="hr-HR"/>
              </w:rPr>
              <w:t>53</w:t>
            </w:r>
          </w:p>
        </w:tc>
        <w:tc>
          <w:tcPr>
            <w:tcW w:w="884" w:type="dxa"/>
            <w:shd w:val="clear" w:color="auto" w:fill="auto"/>
            <w:noWrap/>
            <w:vAlign w:val="center"/>
          </w:tcPr>
          <w:p w14:paraId="2060E9FA" w14:textId="0394FC0F"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347</w:t>
            </w:r>
          </w:p>
        </w:tc>
        <w:tc>
          <w:tcPr>
            <w:tcW w:w="884" w:type="dxa"/>
            <w:shd w:val="clear" w:color="auto" w:fill="auto"/>
            <w:noWrap/>
            <w:vAlign w:val="center"/>
          </w:tcPr>
          <w:p w14:paraId="40FCEDF1" w14:textId="7247B5C9"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66</w:t>
            </w:r>
          </w:p>
        </w:tc>
        <w:tc>
          <w:tcPr>
            <w:tcW w:w="884" w:type="dxa"/>
            <w:shd w:val="clear" w:color="auto" w:fill="auto"/>
            <w:noWrap/>
            <w:vAlign w:val="center"/>
          </w:tcPr>
          <w:p w14:paraId="42411363" w14:textId="3C755871" w:rsidR="00104F10" w:rsidRPr="001B4CA2" w:rsidRDefault="006B59EB" w:rsidP="00104F10">
            <w:pPr>
              <w:jc w:val="center"/>
              <w:rPr>
                <w:sz w:val="18"/>
                <w:szCs w:val="18"/>
              </w:rPr>
            </w:pPr>
            <w:r w:rsidRPr="001B4CA2">
              <w:rPr>
                <w:sz w:val="18"/>
                <w:szCs w:val="18"/>
              </w:rPr>
              <w:t>327</w:t>
            </w:r>
          </w:p>
        </w:tc>
        <w:tc>
          <w:tcPr>
            <w:tcW w:w="884" w:type="dxa"/>
            <w:shd w:val="clear" w:color="auto" w:fill="auto"/>
            <w:noWrap/>
            <w:vAlign w:val="center"/>
          </w:tcPr>
          <w:p w14:paraId="559198D3" w14:textId="7E414ADA" w:rsidR="00104F10" w:rsidRPr="001B4CA2" w:rsidRDefault="006B59EB" w:rsidP="00104F10">
            <w:pPr>
              <w:jc w:val="center"/>
              <w:rPr>
                <w:sz w:val="18"/>
                <w:szCs w:val="18"/>
              </w:rPr>
            </w:pPr>
            <w:r w:rsidRPr="001B4CA2">
              <w:rPr>
                <w:sz w:val="18"/>
                <w:szCs w:val="18"/>
              </w:rPr>
              <w:t>53</w:t>
            </w:r>
          </w:p>
        </w:tc>
      </w:tr>
      <w:tr w:rsidR="00532C41" w:rsidRPr="001B4CA2" w14:paraId="4CE45CB1" w14:textId="77777777" w:rsidTr="000268FF">
        <w:trPr>
          <w:trHeight w:val="599"/>
        </w:trPr>
        <w:tc>
          <w:tcPr>
            <w:tcW w:w="1560" w:type="dxa"/>
            <w:shd w:val="clear" w:color="auto" w:fill="auto"/>
            <w:vAlign w:val="center"/>
            <w:hideMark/>
          </w:tcPr>
          <w:p w14:paraId="2C9935AA" w14:textId="77777777" w:rsidR="00104F10" w:rsidRPr="001B4CA2" w:rsidRDefault="00104F10" w:rsidP="007D4356">
            <w:pPr>
              <w:jc w:val="left"/>
              <w:rPr>
                <w:rFonts w:eastAsia="Times New Roman"/>
                <w:sz w:val="18"/>
                <w:szCs w:val="18"/>
                <w:lang w:eastAsia="hr-HR"/>
              </w:rPr>
            </w:pPr>
            <w:r w:rsidRPr="001B4CA2">
              <w:rPr>
                <w:rFonts w:eastAsia="Times New Roman"/>
                <w:sz w:val="18"/>
                <w:szCs w:val="18"/>
                <w:lang w:eastAsia="hr-HR"/>
              </w:rPr>
              <w:t>Ustup/preuzimanje kaznenog progona</w:t>
            </w:r>
          </w:p>
        </w:tc>
        <w:tc>
          <w:tcPr>
            <w:tcW w:w="883" w:type="dxa"/>
            <w:shd w:val="clear" w:color="auto" w:fill="auto"/>
            <w:noWrap/>
            <w:vAlign w:val="center"/>
          </w:tcPr>
          <w:p w14:paraId="0CAC931A" w14:textId="3616CFD5"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115</w:t>
            </w:r>
          </w:p>
        </w:tc>
        <w:tc>
          <w:tcPr>
            <w:tcW w:w="883" w:type="dxa"/>
            <w:shd w:val="clear" w:color="auto" w:fill="auto"/>
            <w:noWrap/>
            <w:vAlign w:val="center"/>
          </w:tcPr>
          <w:p w14:paraId="539405D7" w14:textId="576DE392"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59</w:t>
            </w:r>
          </w:p>
        </w:tc>
        <w:tc>
          <w:tcPr>
            <w:tcW w:w="883" w:type="dxa"/>
            <w:shd w:val="clear" w:color="auto" w:fill="auto"/>
            <w:noWrap/>
            <w:vAlign w:val="center"/>
          </w:tcPr>
          <w:p w14:paraId="70B0E830" w14:textId="5CBBCC17"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79</w:t>
            </w:r>
          </w:p>
        </w:tc>
        <w:tc>
          <w:tcPr>
            <w:tcW w:w="884" w:type="dxa"/>
            <w:shd w:val="clear" w:color="auto" w:fill="auto"/>
            <w:noWrap/>
            <w:vAlign w:val="center"/>
          </w:tcPr>
          <w:p w14:paraId="4DC86688" w14:textId="5A169275"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88</w:t>
            </w:r>
          </w:p>
        </w:tc>
        <w:tc>
          <w:tcPr>
            <w:tcW w:w="884" w:type="dxa"/>
            <w:shd w:val="clear" w:color="auto" w:fill="auto"/>
            <w:noWrap/>
            <w:vAlign w:val="center"/>
          </w:tcPr>
          <w:p w14:paraId="1C125B3B" w14:textId="352DECF1"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100</w:t>
            </w:r>
          </w:p>
        </w:tc>
        <w:tc>
          <w:tcPr>
            <w:tcW w:w="884" w:type="dxa"/>
            <w:shd w:val="clear" w:color="auto" w:fill="auto"/>
            <w:noWrap/>
            <w:vAlign w:val="center"/>
          </w:tcPr>
          <w:p w14:paraId="0742A886" w14:textId="3D9E29BA"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46</w:t>
            </w:r>
          </w:p>
        </w:tc>
        <w:tc>
          <w:tcPr>
            <w:tcW w:w="884" w:type="dxa"/>
            <w:shd w:val="clear" w:color="auto" w:fill="auto"/>
            <w:noWrap/>
            <w:vAlign w:val="center"/>
          </w:tcPr>
          <w:p w14:paraId="2347D81A" w14:textId="527793AA" w:rsidR="00104F10" w:rsidRPr="001B4CA2" w:rsidRDefault="006B59EB" w:rsidP="00104F10">
            <w:pPr>
              <w:jc w:val="center"/>
              <w:rPr>
                <w:sz w:val="18"/>
                <w:szCs w:val="18"/>
              </w:rPr>
            </w:pPr>
            <w:r w:rsidRPr="001B4CA2">
              <w:rPr>
                <w:sz w:val="18"/>
                <w:szCs w:val="18"/>
              </w:rPr>
              <w:t>91</w:t>
            </w:r>
          </w:p>
        </w:tc>
        <w:tc>
          <w:tcPr>
            <w:tcW w:w="884" w:type="dxa"/>
            <w:shd w:val="clear" w:color="auto" w:fill="auto"/>
            <w:noWrap/>
            <w:vAlign w:val="center"/>
          </w:tcPr>
          <w:p w14:paraId="163A127F" w14:textId="6D572084" w:rsidR="00104F10" w:rsidRPr="001B4CA2" w:rsidRDefault="006B59EB" w:rsidP="00104F10">
            <w:pPr>
              <w:jc w:val="center"/>
              <w:rPr>
                <w:sz w:val="18"/>
                <w:szCs w:val="18"/>
              </w:rPr>
            </w:pPr>
            <w:r w:rsidRPr="001B4CA2">
              <w:rPr>
                <w:sz w:val="18"/>
                <w:szCs w:val="18"/>
              </w:rPr>
              <w:t>59</w:t>
            </w:r>
          </w:p>
        </w:tc>
      </w:tr>
      <w:tr w:rsidR="00532C41" w:rsidRPr="001B4CA2" w14:paraId="2007796B" w14:textId="77777777" w:rsidTr="000268FF">
        <w:trPr>
          <w:trHeight w:val="532"/>
        </w:trPr>
        <w:tc>
          <w:tcPr>
            <w:tcW w:w="1560" w:type="dxa"/>
            <w:shd w:val="clear" w:color="auto" w:fill="auto"/>
            <w:vAlign w:val="center"/>
            <w:hideMark/>
          </w:tcPr>
          <w:p w14:paraId="6FC4C1DF" w14:textId="77777777" w:rsidR="00104F10" w:rsidRPr="001B4CA2" w:rsidRDefault="00104F10" w:rsidP="007D4356">
            <w:pPr>
              <w:jc w:val="left"/>
              <w:rPr>
                <w:rFonts w:eastAsia="Times New Roman"/>
                <w:sz w:val="18"/>
                <w:szCs w:val="18"/>
                <w:lang w:eastAsia="hr-HR"/>
              </w:rPr>
            </w:pPr>
            <w:r w:rsidRPr="001B4CA2">
              <w:rPr>
                <w:rFonts w:eastAsia="Times New Roman"/>
                <w:sz w:val="18"/>
                <w:szCs w:val="18"/>
                <w:lang w:eastAsia="hr-HR"/>
              </w:rPr>
              <w:t>Ostali oblici suradnje</w:t>
            </w:r>
          </w:p>
        </w:tc>
        <w:tc>
          <w:tcPr>
            <w:tcW w:w="883" w:type="dxa"/>
            <w:shd w:val="clear" w:color="auto" w:fill="auto"/>
            <w:noWrap/>
            <w:vAlign w:val="center"/>
          </w:tcPr>
          <w:p w14:paraId="6A4E8477" w14:textId="1F12F9BF"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2</w:t>
            </w:r>
          </w:p>
        </w:tc>
        <w:tc>
          <w:tcPr>
            <w:tcW w:w="883" w:type="dxa"/>
            <w:shd w:val="clear" w:color="auto" w:fill="auto"/>
            <w:noWrap/>
            <w:vAlign w:val="center"/>
          </w:tcPr>
          <w:p w14:paraId="613CBE31" w14:textId="189F74F6"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17</w:t>
            </w:r>
          </w:p>
        </w:tc>
        <w:tc>
          <w:tcPr>
            <w:tcW w:w="883" w:type="dxa"/>
            <w:shd w:val="clear" w:color="auto" w:fill="auto"/>
            <w:noWrap/>
            <w:vAlign w:val="center"/>
          </w:tcPr>
          <w:p w14:paraId="72594C64" w14:textId="4194566A"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15</w:t>
            </w:r>
          </w:p>
        </w:tc>
        <w:tc>
          <w:tcPr>
            <w:tcW w:w="884" w:type="dxa"/>
            <w:shd w:val="clear" w:color="auto" w:fill="auto"/>
            <w:noWrap/>
            <w:vAlign w:val="center"/>
          </w:tcPr>
          <w:p w14:paraId="66D49C6D" w14:textId="1C629CBF"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40</w:t>
            </w:r>
          </w:p>
        </w:tc>
        <w:tc>
          <w:tcPr>
            <w:tcW w:w="884" w:type="dxa"/>
            <w:shd w:val="clear" w:color="auto" w:fill="auto"/>
            <w:noWrap/>
            <w:vAlign w:val="center"/>
          </w:tcPr>
          <w:p w14:paraId="0581E46F" w14:textId="1DA56648"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12</w:t>
            </w:r>
          </w:p>
        </w:tc>
        <w:tc>
          <w:tcPr>
            <w:tcW w:w="884" w:type="dxa"/>
            <w:shd w:val="clear" w:color="auto" w:fill="auto"/>
            <w:noWrap/>
            <w:vAlign w:val="center"/>
          </w:tcPr>
          <w:p w14:paraId="632519D7" w14:textId="27EA6CCF" w:rsidR="00104F10" w:rsidRPr="001B4CA2" w:rsidRDefault="006B59EB" w:rsidP="00104F10">
            <w:pPr>
              <w:jc w:val="center"/>
              <w:rPr>
                <w:rFonts w:eastAsia="Times New Roman"/>
                <w:sz w:val="18"/>
                <w:szCs w:val="18"/>
                <w:lang w:eastAsia="hr-HR"/>
              </w:rPr>
            </w:pPr>
            <w:r w:rsidRPr="001B4CA2">
              <w:rPr>
                <w:rFonts w:eastAsia="Times New Roman"/>
                <w:sz w:val="18"/>
                <w:szCs w:val="18"/>
                <w:lang w:eastAsia="hr-HR"/>
              </w:rPr>
              <w:t>9</w:t>
            </w:r>
          </w:p>
        </w:tc>
        <w:tc>
          <w:tcPr>
            <w:tcW w:w="884" w:type="dxa"/>
            <w:shd w:val="clear" w:color="auto" w:fill="auto"/>
            <w:noWrap/>
            <w:vAlign w:val="center"/>
          </w:tcPr>
          <w:p w14:paraId="215D2AB1" w14:textId="5937EFB9" w:rsidR="00104F10" w:rsidRPr="001B4CA2" w:rsidRDefault="006B59EB" w:rsidP="00104F10">
            <w:pPr>
              <w:jc w:val="center"/>
              <w:rPr>
                <w:sz w:val="18"/>
                <w:szCs w:val="18"/>
              </w:rPr>
            </w:pPr>
            <w:r w:rsidRPr="001B4CA2">
              <w:rPr>
                <w:sz w:val="18"/>
                <w:szCs w:val="18"/>
              </w:rPr>
              <w:t>21</w:t>
            </w:r>
          </w:p>
        </w:tc>
        <w:tc>
          <w:tcPr>
            <w:tcW w:w="884" w:type="dxa"/>
            <w:shd w:val="clear" w:color="auto" w:fill="auto"/>
            <w:noWrap/>
            <w:vAlign w:val="center"/>
          </w:tcPr>
          <w:p w14:paraId="0E3B9D1F" w14:textId="30716109" w:rsidR="00104F10" w:rsidRPr="001B4CA2" w:rsidRDefault="006B59EB" w:rsidP="00104F10">
            <w:pPr>
              <w:jc w:val="center"/>
              <w:rPr>
                <w:sz w:val="18"/>
                <w:szCs w:val="18"/>
              </w:rPr>
            </w:pPr>
            <w:r w:rsidRPr="001B4CA2">
              <w:rPr>
                <w:sz w:val="18"/>
                <w:szCs w:val="18"/>
              </w:rPr>
              <w:t>31</w:t>
            </w:r>
          </w:p>
        </w:tc>
      </w:tr>
      <w:tr w:rsidR="002A5118" w:rsidRPr="001B4CA2" w14:paraId="080AA64D" w14:textId="77777777" w:rsidTr="000268FF">
        <w:trPr>
          <w:trHeight w:val="538"/>
        </w:trPr>
        <w:tc>
          <w:tcPr>
            <w:tcW w:w="1560" w:type="dxa"/>
            <w:shd w:val="clear" w:color="auto" w:fill="auto"/>
            <w:vAlign w:val="center"/>
            <w:hideMark/>
          </w:tcPr>
          <w:p w14:paraId="59C9B877" w14:textId="77777777" w:rsidR="00104F10" w:rsidRPr="001B4CA2" w:rsidRDefault="00104F10" w:rsidP="007D4356">
            <w:pPr>
              <w:jc w:val="left"/>
              <w:rPr>
                <w:rFonts w:eastAsia="Times New Roman"/>
                <w:b/>
                <w:bCs/>
                <w:sz w:val="18"/>
                <w:szCs w:val="18"/>
                <w:lang w:eastAsia="hr-HR"/>
              </w:rPr>
            </w:pPr>
            <w:r w:rsidRPr="001B4CA2">
              <w:rPr>
                <w:rFonts w:eastAsia="Times New Roman"/>
                <w:b/>
                <w:bCs/>
                <w:sz w:val="18"/>
                <w:szCs w:val="18"/>
                <w:lang w:eastAsia="hr-HR"/>
              </w:rPr>
              <w:t>UKUPNO</w:t>
            </w:r>
          </w:p>
        </w:tc>
        <w:tc>
          <w:tcPr>
            <w:tcW w:w="883" w:type="dxa"/>
            <w:shd w:val="clear" w:color="auto" w:fill="auto"/>
            <w:noWrap/>
            <w:vAlign w:val="center"/>
          </w:tcPr>
          <w:p w14:paraId="2AB688B8" w14:textId="14823B16" w:rsidR="00104F10" w:rsidRPr="001B4CA2" w:rsidRDefault="006B59EB" w:rsidP="00104F10">
            <w:pPr>
              <w:jc w:val="center"/>
              <w:rPr>
                <w:rFonts w:eastAsia="Times New Roman"/>
                <w:b/>
                <w:bCs/>
                <w:sz w:val="18"/>
                <w:szCs w:val="18"/>
                <w:lang w:eastAsia="hr-HR"/>
              </w:rPr>
            </w:pPr>
            <w:r w:rsidRPr="001B4CA2">
              <w:rPr>
                <w:rFonts w:eastAsia="Times New Roman"/>
                <w:b/>
                <w:bCs/>
                <w:sz w:val="18"/>
                <w:szCs w:val="18"/>
                <w:lang w:eastAsia="hr-HR"/>
              </w:rPr>
              <w:t>208</w:t>
            </w:r>
          </w:p>
        </w:tc>
        <w:tc>
          <w:tcPr>
            <w:tcW w:w="883" w:type="dxa"/>
            <w:shd w:val="clear" w:color="auto" w:fill="auto"/>
            <w:noWrap/>
            <w:vAlign w:val="center"/>
          </w:tcPr>
          <w:p w14:paraId="37A7CC5E" w14:textId="507F22B7" w:rsidR="00104F10" w:rsidRPr="001B4CA2" w:rsidRDefault="0046393E" w:rsidP="00104F10">
            <w:pPr>
              <w:jc w:val="center"/>
              <w:rPr>
                <w:rFonts w:eastAsia="Times New Roman"/>
                <w:b/>
                <w:bCs/>
                <w:sz w:val="18"/>
                <w:szCs w:val="18"/>
                <w:lang w:eastAsia="hr-HR"/>
              </w:rPr>
            </w:pPr>
            <w:r w:rsidRPr="001B4CA2">
              <w:rPr>
                <w:rFonts w:eastAsia="Times New Roman"/>
                <w:b/>
                <w:bCs/>
                <w:sz w:val="18"/>
                <w:szCs w:val="18"/>
                <w:lang w:eastAsia="hr-HR"/>
              </w:rPr>
              <w:t>1</w:t>
            </w:r>
            <w:r w:rsidR="006B59EB" w:rsidRPr="001B4CA2">
              <w:rPr>
                <w:rFonts w:eastAsia="Times New Roman"/>
                <w:b/>
                <w:bCs/>
                <w:sz w:val="18"/>
                <w:szCs w:val="18"/>
                <w:lang w:eastAsia="hr-HR"/>
              </w:rPr>
              <w:t>29</w:t>
            </w:r>
          </w:p>
        </w:tc>
        <w:tc>
          <w:tcPr>
            <w:tcW w:w="883" w:type="dxa"/>
            <w:shd w:val="clear" w:color="auto" w:fill="auto"/>
            <w:noWrap/>
            <w:vAlign w:val="center"/>
          </w:tcPr>
          <w:p w14:paraId="3B57FD9A" w14:textId="646D3A40" w:rsidR="00104F10" w:rsidRPr="001B4CA2" w:rsidRDefault="0046393E" w:rsidP="00104F10">
            <w:pPr>
              <w:jc w:val="center"/>
              <w:rPr>
                <w:rFonts w:eastAsia="Times New Roman"/>
                <w:b/>
                <w:bCs/>
                <w:sz w:val="18"/>
                <w:szCs w:val="18"/>
                <w:lang w:eastAsia="hr-HR"/>
              </w:rPr>
            </w:pPr>
            <w:r w:rsidRPr="001B4CA2">
              <w:rPr>
                <w:rFonts w:eastAsia="Times New Roman"/>
                <w:b/>
                <w:bCs/>
                <w:sz w:val="18"/>
                <w:szCs w:val="18"/>
                <w:lang w:eastAsia="hr-HR"/>
              </w:rPr>
              <w:t>2</w:t>
            </w:r>
            <w:r w:rsidR="006B59EB" w:rsidRPr="001B4CA2">
              <w:rPr>
                <w:rFonts w:eastAsia="Times New Roman"/>
                <w:b/>
                <w:bCs/>
                <w:sz w:val="18"/>
                <w:szCs w:val="18"/>
                <w:lang w:eastAsia="hr-HR"/>
              </w:rPr>
              <w:t>57</w:t>
            </w:r>
          </w:p>
        </w:tc>
        <w:tc>
          <w:tcPr>
            <w:tcW w:w="884" w:type="dxa"/>
            <w:shd w:val="clear" w:color="auto" w:fill="auto"/>
            <w:noWrap/>
            <w:vAlign w:val="center"/>
          </w:tcPr>
          <w:p w14:paraId="39A8D36A" w14:textId="7B91B31C" w:rsidR="00104F10" w:rsidRPr="001B4CA2" w:rsidRDefault="006B59EB" w:rsidP="00104F10">
            <w:pPr>
              <w:jc w:val="center"/>
              <w:rPr>
                <w:rFonts w:eastAsia="Times New Roman"/>
                <w:b/>
                <w:bCs/>
                <w:sz w:val="18"/>
                <w:szCs w:val="18"/>
                <w:lang w:eastAsia="hr-HR"/>
              </w:rPr>
            </w:pPr>
            <w:r w:rsidRPr="001B4CA2">
              <w:rPr>
                <w:rFonts w:eastAsia="Times New Roman"/>
                <w:b/>
                <w:bCs/>
                <w:sz w:val="18"/>
                <w:szCs w:val="18"/>
                <w:lang w:eastAsia="hr-HR"/>
              </w:rPr>
              <w:t>181</w:t>
            </w:r>
          </w:p>
        </w:tc>
        <w:tc>
          <w:tcPr>
            <w:tcW w:w="884" w:type="dxa"/>
            <w:shd w:val="clear" w:color="auto" w:fill="auto"/>
            <w:noWrap/>
            <w:vAlign w:val="center"/>
          </w:tcPr>
          <w:p w14:paraId="1CC35483" w14:textId="798DFA95" w:rsidR="00104F10" w:rsidRPr="001B4CA2" w:rsidRDefault="006B59EB" w:rsidP="00104F10">
            <w:pPr>
              <w:jc w:val="center"/>
              <w:rPr>
                <w:rFonts w:eastAsia="Times New Roman"/>
                <w:b/>
                <w:bCs/>
                <w:sz w:val="18"/>
                <w:szCs w:val="18"/>
                <w:lang w:eastAsia="hr-HR"/>
              </w:rPr>
            </w:pPr>
            <w:r w:rsidRPr="001B4CA2">
              <w:rPr>
                <w:rFonts w:eastAsia="Times New Roman"/>
                <w:b/>
                <w:bCs/>
                <w:sz w:val="18"/>
                <w:szCs w:val="18"/>
                <w:lang w:eastAsia="hr-HR"/>
              </w:rPr>
              <w:t>459</w:t>
            </w:r>
          </w:p>
        </w:tc>
        <w:tc>
          <w:tcPr>
            <w:tcW w:w="884" w:type="dxa"/>
            <w:shd w:val="clear" w:color="auto" w:fill="auto"/>
            <w:noWrap/>
            <w:vAlign w:val="center"/>
          </w:tcPr>
          <w:p w14:paraId="0C8DF89D" w14:textId="77C3F2BC" w:rsidR="00104F10" w:rsidRPr="001B4CA2" w:rsidRDefault="0046393E" w:rsidP="00104F10">
            <w:pPr>
              <w:jc w:val="center"/>
              <w:rPr>
                <w:rFonts w:eastAsia="Times New Roman"/>
                <w:b/>
                <w:bCs/>
                <w:sz w:val="18"/>
                <w:szCs w:val="18"/>
                <w:lang w:eastAsia="hr-HR"/>
              </w:rPr>
            </w:pPr>
            <w:r w:rsidRPr="001B4CA2">
              <w:rPr>
                <w:rFonts w:eastAsia="Times New Roman"/>
                <w:b/>
                <w:bCs/>
                <w:sz w:val="18"/>
                <w:szCs w:val="18"/>
                <w:lang w:eastAsia="hr-HR"/>
              </w:rPr>
              <w:t>1</w:t>
            </w:r>
            <w:r w:rsidR="006B59EB" w:rsidRPr="001B4CA2">
              <w:rPr>
                <w:rFonts w:eastAsia="Times New Roman"/>
                <w:b/>
                <w:bCs/>
                <w:sz w:val="18"/>
                <w:szCs w:val="18"/>
                <w:lang w:eastAsia="hr-HR"/>
              </w:rPr>
              <w:t>2</w:t>
            </w:r>
            <w:r w:rsidRPr="001B4CA2">
              <w:rPr>
                <w:rFonts w:eastAsia="Times New Roman"/>
                <w:b/>
                <w:bCs/>
                <w:sz w:val="18"/>
                <w:szCs w:val="18"/>
                <w:lang w:eastAsia="hr-HR"/>
              </w:rPr>
              <w:t>1</w:t>
            </w:r>
          </w:p>
        </w:tc>
        <w:tc>
          <w:tcPr>
            <w:tcW w:w="884" w:type="dxa"/>
            <w:shd w:val="clear" w:color="auto" w:fill="auto"/>
            <w:noWrap/>
            <w:vAlign w:val="center"/>
          </w:tcPr>
          <w:p w14:paraId="3D875C67" w14:textId="1B75FFC7" w:rsidR="00104F10" w:rsidRPr="001B4CA2" w:rsidRDefault="006B59EB" w:rsidP="00104F10">
            <w:pPr>
              <w:jc w:val="center"/>
              <w:rPr>
                <w:b/>
                <w:bCs/>
                <w:sz w:val="18"/>
                <w:szCs w:val="18"/>
              </w:rPr>
            </w:pPr>
            <w:r w:rsidRPr="001B4CA2">
              <w:rPr>
                <w:b/>
                <w:bCs/>
                <w:sz w:val="18"/>
                <w:szCs w:val="18"/>
              </w:rPr>
              <w:t>439</w:t>
            </w:r>
          </w:p>
        </w:tc>
        <w:tc>
          <w:tcPr>
            <w:tcW w:w="884" w:type="dxa"/>
            <w:shd w:val="clear" w:color="auto" w:fill="auto"/>
            <w:noWrap/>
            <w:vAlign w:val="center"/>
          </w:tcPr>
          <w:p w14:paraId="0CF0AC32" w14:textId="41644CB4" w:rsidR="00104F10" w:rsidRPr="001B4CA2" w:rsidRDefault="006B59EB" w:rsidP="00104F10">
            <w:pPr>
              <w:jc w:val="center"/>
              <w:rPr>
                <w:b/>
                <w:bCs/>
                <w:sz w:val="18"/>
                <w:szCs w:val="18"/>
              </w:rPr>
            </w:pPr>
            <w:r w:rsidRPr="001B4CA2">
              <w:rPr>
                <w:b/>
                <w:bCs/>
                <w:sz w:val="18"/>
                <w:szCs w:val="18"/>
              </w:rPr>
              <w:t>143</w:t>
            </w:r>
          </w:p>
        </w:tc>
      </w:tr>
    </w:tbl>
    <w:p w14:paraId="7851A42A" w14:textId="77777777" w:rsidR="00104F10" w:rsidRPr="001B4CA2" w:rsidRDefault="00104F10" w:rsidP="00AA20E1"/>
    <w:p w14:paraId="22A9ED88" w14:textId="32CCD5C2" w:rsidR="006B59EB" w:rsidRPr="001B4CA2" w:rsidRDefault="006B59EB" w:rsidP="006B59EB">
      <w:pPr>
        <w:ind w:firstLine="708"/>
      </w:pPr>
      <w:r w:rsidRPr="001B4CA2">
        <w:t>U odnosu na prethodnu godinu tijekom 2022. godine upućeno je 4</w:t>
      </w:r>
      <w:r w:rsidR="006C1E1A">
        <w:t> </w:t>
      </w:r>
      <w:r w:rsidRPr="001B4CA2">
        <w:t>% manje zamolnica te je izvršeno 18</w:t>
      </w:r>
      <w:r w:rsidR="006C1E1A">
        <w:t> </w:t>
      </w:r>
      <w:r w:rsidRPr="001B4CA2">
        <w:t>% više zamolnic</w:t>
      </w:r>
      <w:r w:rsidR="006C1E1A">
        <w:t>a</w:t>
      </w:r>
      <w:r w:rsidRPr="001B4CA2">
        <w:t xml:space="preserve">. Pritom je primijećen znatan porast broja preuzetih kaznenih progona te je </w:t>
      </w:r>
      <w:r w:rsidR="006C1E1A">
        <w:t>on</w:t>
      </w:r>
      <w:r w:rsidRPr="001B4CA2">
        <w:t xml:space="preserve"> doseg</w:t>
      </w:r>
      <w:r w:rsidR="006C1E1A">
        <w:t>nu</w:t>
      </w:r>
      <w:r w:rsidRPr="001B4CA2">
        <w:t xml:space="preserve">o razinu </w:t>
      </w:r>
      <w:proofErr w:type="spellStart"/>
      <w:r w:rsidRPr="001B4CA2">
        <w:t>pre</w:t>
      </w:r>
      <w:r w:rsidR="006C1E1A">
        <w:t>t</w:t>
      </w:r>
      <w:r w:rsidRPr="001B4CA2">
        <w:t>pandemijske</w:t>
      </w:r>
      <w:proofErr w:type="spellEnd"/>
      <w:r w:rsidRPr="001B4CA2">
        <w:t xml:space="preserve"> 2019. godine. Broj upućenih zamolnica</w:t>
      </w:r>
      <w:r w:rsidR="006C1E1A">
        <w:t xml:space="preserve"> </w:t>
      </w:r>
      <w:r w:rsidRPr="001B4CA2">
        <w:t xml:space="preserve">za „malu“ međunarodnu pravnu pomoć, </w:t>
      </w:r>
      <w:r w:rsidR="006C1E1A">
        <w:t>ali</w:t>
      </w:r>
      <w:r w:rsidRPr="001B4CA2">
        <w:t xml:space="preserve"> i za preuzimanje kaznenog progona smanjen</w:t>
      </w:r>
      <w:r w:rsidR="006C1E1A" w:rsidRPr="006C1E1A">
        <w:t xml:space="preserve"> </w:t>
      </w:r>
      <w:r w:rsidR="006C1E1A" w:rsidRPr="001B4CA2">
        <w:t>je</w:t>
      </w:r>
      <w:r w:rsidRPr="001B4CA2">
        <w:t xml:space="preserve">, ali je i dalje veći od broja upućenih zamolnica u 2019. godini. </w:t>
      </w:r>
      <w:r w:rsidR="006C1E1A">
        <w:t>Može se</w:t>
      </w:r>
      <w:r w:rsidRPr="001B4CA2">
        <w:t xml:space="preserve"> zaključiti kako se broj predmeta međunarodne pravne pomoći post</w:t>
      </w:r>
      <w:r w:rsidR="006C1E1A">
        <w:t>u</w:t>
      </w:r>
      <w:r w:rsidRPr="001B4CA2">
        <w:t>pno vraća na stanje prije pandemije COVID-19 koju su obilježila ograničenja u kretanju, pa time i pad broj</w:t>
      </w:r>
      <w:r w:rsidR="006C1E1A">
        <w:t>a</w:t>
      </w:r>
      <w:r w:rsidRPr="001B4CA2">
        <w:t xml:space="preserve"> kaznenih djela počinjenih u inozemstvu, ali i potreba provođenja dokaznih radnji na području drugih država umjesto pozivanja okrivljenika, odnosno svjedoka radi provođenja dokazne radnje na vlastitom državnom području. </w:t>
      </w:r>
    </w:p>
    <w:p w14:paraId="6C0A47E1" w14:textId="1A050F33" w:rsidR="006B59EB" w:rsidRPr="001B4CA2" w:rsidRDefault="006B59EB" w:rsidP="006B59EB">
      <w:pPr>
        <w:ind w:firstLine="708"/>
      </w:pPr>
    </w:p>
    <w:p w14:paraId="4F24D711" w14:textId="535B8236" w:rsidR="001C297A" w:rsidRPr="001B4CA2" w:rsidRDefault="001C297A" w:rsidP="006B59EB">
      <w:pPr>
        <w:ind w:firstLine="708"/>
      </w:pPr>
    </w:p>
    <w:p w14:paraId="789F460D" w14:textId="114F6B45" w:rsidR="001C297A" w:rsidRPr="001B4CA2" w:rsidRDefault="001C297A" w:rsidP="006B59EB">
      <w:pPr>
        <w:ind w:firstLine="708"/>
      </w:pPr>
    </w:p>
    <w:p w14:paraId="2ED2E400" w14:textId="6B8194BC" w:rsidR="001C297A" w:rsidRPr="001B4CA2" w:rsidRDefault="001C297A" w:rsidP="006B59EB">
      <w:pPr>
        <w:ind w:firstLine="708"/>
      </w:pPr>
    </w:p>
    <w:p w14:paraId="6533EE19" w14:textId="14423463" w:rsidR="001C297A" w:rsidRPr="001B4CA2" w:rsidRDefault="001C297A" w:rsidP="006B59EB">
      <w:pPr>
        <w:ind w:firstLine="708"/>
      </w:pPr>
    </w:p>
    <w:p w14:paraId="4AE084BE" w14:textId="22515181" w:rsidR="001C297A" w:rsidRPr="001B4CA2" w:rsidRDefault="001C297A" w:rsidP="006B59EB">
      <w:pPr>
        <w:ind w:firstLine="708"/>
      </w:pPr>
    </w:p>
    <w:p w14:paraId="24B08B98" w14:textId="77777777" w:rsidR="001C297A" w:rsidRPr="001B4CA2" w:rsidRDefault="001C297A" w:rsidP="006B59EB">
      <w:pPr>
        <w:ind w:firstLine="708"/>
      </w:pPr>
    </w:p>
    <w:p w14:paraId="190FA55E" w14:textId="3A9AE0A6" w:rsidR="001C297A" w:rsidRPr="001B4CA2" w:rsidRDefault="006B59EB" w:rsidP="006B59EB">
      <w:pPr>
        <w:ind w:firstLine="708"/>
      </w:pPr>
      <w:r w:rsidRPr="001B4CA2">
        <w:lastRenderedPageBreak/>
        <w:t>U donjoj tablici prikazani su predmeti međunarodne pravne pomoći prema stvarnoj i mjesnoj nadležnosti u razdoblju od 1. siječnja do 31. prosinca 2022.</w:t>
      </w:r>
      <w:r w:rsidR="006C1E1A">
        <w:t xml:space="preserve"> </w:t>
      </w:r>
      <w:r w:rsidRPr="001B4CA2">
        <w:t xml:space="preserve">godine. </w:t>
      </w:r>
    </w:p>
    <w:p w14:paraId="45D1BB23" w14:textId="77777777" w:rsidR="001C297A" w:rsidRPr="001B4CA2" w:rsidRDefault="001C297A" w:rsidP="006B59EB">
      <w:pPr>
        <w:ind w:firstLine="708"/>
      </w:pPr>
    </w:p>
    <w:p w14:paraId="7702EC3C" w14:textId="11084F69" w:rsidR="00246352" w:rsidRPr="001B4CA2" w:rsidRDefault="000268FF" w:rsidP="00246352">
      <w:pPr>
        <w:ind w:left="142"/>
        <w:rPr>
          <w:i/>
        </w:rPr>
      </w:pPr>
      <w:r>
        <w:rPr>
          <w:i/>
        </w:rPr>
        <w:t xml:space="preserve">  </w:t>
      </w:r>
      <w:r w:rsidR="00246352" w:rsidRPr="001B4CA2">
        <w:rPr>
          <w:i/>
        </w:rPr>
        <w:t>Međunarodna pravna pomoć u kaznenim stvarima u 202</w:t>
      </w:r>
      <w:r w:rsidR="00C922F1" w:rsidRPr="001B4CA2">
        <w:rPr>
          <w:i/>
        </w:rPr>
        <w:t>2</w:t>
      </w:r>
      <w:r w:rsidR="00246352" w:rsidRPr="001B4CA2">
        <w:rPr>
          <w:i/>
        </w:rPr>
        <w:t>.</w:t>
      </w:r>
    </w:p>
    <w:tbl>
      <w:tblPr>
        <w:tblW w:w="862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95"/>
        <w:gridCol w:w="893"/>
        <w:gridCol w:w="910"/>
        <w:gridCol w:w="911"/>
        <w:gridCol w:w="846"/>
        <w:gridCol w:w="876"/>
        <w:gridCol w:w="798"/>
        <w:gridCol w:w="848"/>
        <w:gridCol w:w="849"/>
      </w:tblGrid>
      <w:tr w:rsidR="00246352" w:rsidRPr="001B4CA2" w14:paraId="19B7E720" w14:textId="77777777" w:rsidTr="000268FF">
        <w:trPr>
          <w:trHeight w:val="321"/>
        </w:trPr>
        <w:tc>
          <w:tcPr>
            <w:tcW w:w="1695" w:type="dxa"/>
            <w:vMerge w:val="restart"/>
            <w:shd w:val="clear" w:color="auto" w:fill="99CCFF"/>
            <w:vAlign w:val="center"/>
            <w:hideMark/>
          </w:tcPr>
          <w:p w14:paraId="38517AC7" w14:textId="77777777" w:rsidR="00246352" w:rsidRPr="001B4CA2" w:rsidRDefault="00246352" w:rsidP="002A38E7">
            <w:pPr>
              <w:rPr>
                <w:b/>
                <w:bCs/>
                <w:sz w:val="18"/>
                <w:szCs w:val="18"/>
              </w:rPr>
            </w:pPr>
          </w:p>
          <w:p w14:paraId="308D5969" w14:textId="77777777" w:rsidR="005F79DD" w:rsidRPr="001B4CA2" w:rsidRDefault="005F79DD" w:rsidP="002A38E7">
            <w:pPr>
              <w:rPr>
                <w:b/>
                <w:bCs/>
                <w:sz w:val="18"/>
                <w:szCs w:val="18"/>
              </w:rPr>
            </w:pPr>
          </w:p>
          <w:p w14:paraId="0FB98162" w14:textId="77777777" w:rsidR="005F79DD" w:rsidRPr="001B4CA2" w:rsidRDefault="005F79DD" w:rsidP="002A38E7">
            <w:pPr>
              <w:rPr>
                <w:b/>
                <w:bCs/>
                <w:sz w:val="18"/>
                <w:szCs w:val="18"/>
              </w:rPr>
            </w:pPr>
          </w:p>
          <w:p w14:paraId="10A3906C" w14:textId="77777777" w:rsidR="005F79DD" w:rsidRPr="001B4CA2" w:rsidRDefault="005F79DD" w:rsidP="002A38E7">
            <w:pPr>
              <w:rPr>
                <w:b/>
                <w:bCs/>
                <w:sz w:val="18"/>
                <w:szCs w:val="18"/>
              </w:rPr>
            </w:pPr>
          </w:p>
          <w:p w14:paraId="03245CCE" w14:textId="77777777" w:rsidR="005F79DD" w:rsidRPr="001B4CA2" w:rsidRDefault="005F79DD" w:rsidP="002A38E7">
            <w:pPr>
              <w:rPr>
                <w:b/>
                <w:bCs/>
                <w:sz w:val="18"/>
                <w:szCs w:val="18"/>
              </w:rPr>
            </w:pPr>
          </w:p>
          <w:p w14:paraId="66980325" w14:textId="77777777" w:rsidR="005F79DD" w:rsidRPr="001B4CA2" w:rsidRDefault="005F79DD" w:rsidP="002A38E7">
            <w:pPr>
              <w:rPr>
                <w:b/>
                <w:bCs/>
                <w:sz w:val="18"/>
                <w:szCs w:val="18"/>
              </w:rPr>
            </w:pPr>
          </w:p>
          <w:p w14:paraId="35F5C709" w14:textId="77777777" w:rsidR="005F79DD" w:rsidRPr="001B4CA2" w:rsidRDefault="005F79DD" w:rsidP="002A38E7">
            <w:pPr>
              <w:rPr>
                <w:b/>
                <w:bCs/>
                <w:sz w:val="18"/>
                <w:szCs w:val="18"/>
              </w:rPr>
            </w:pPr>
          </w:p>
          <w:p w14:paraId="56ACBE76" w14:textId="77777777" w:rsidR="005F79DD" w:rsidRPr="001B4CA2" w:rsidRDefault="005F79DD" w:rsidP="002A38E7">
            <w:pPr>
              <w:rPr>
                <w:b/>
                <w:bCs/>
                <w:sz w:val="18"/>
                <w:szCs w:val="18"/>
              </w:rPr>
            </w:pPr>
          </w:p>
          <w:p w14:paraId="586A23FD" w14:textId="77777777" w:rsidR="005F79DD" w:rsidRPr="001B4CA2" w:rsidRDefault="005F79DD" w:rsidP="002A38E7">
            <w:pPr>
              <w:rPr>
                <w:b/>
                <w:bCs/>
                <w:sz w:val="18"/>
                <w:szCs w:val="18"/>
              </w:rPr>
            </w:pPr>
          </w:p>
          <w:p w14:paraId="6CE944B1" w14:textId="77777777" w:rsidR="005F79DD" w:rsidRPr="001B4CA2" w:rsidRDefault="005F79DD" w:rsidP="002A38E7">
            <w:pPr>
              <w:rPr>
                <w:b/>
                <w:bCs/>
                <w:sz w:val="18"/>
                <w:szCs w:val="18"/>
              </w:rPr>
            </w:pPr>
          </w:p>
          <w:p w14:paraId="462DB966" w14:textId="7AF39007" w:rsidR="005F79DD" w:rsidRPr="001B4CA2" w:rsidRDefault="005F79DD" w:rsidP="002A38E7">
            <w:pPr>
              <w:rPr>
                <w:b/>
                <w:bCs/>
                <w:sz w:val="18"/>
                <w:szCs w:val="18"/>
              </w:rPr>
            </w:pPr>
          </w:p>
        </w:tc>
        <w:tc>
          <w:tcPr>
            <w:tcW w:w="1803" w:type="dxa"/>
            <w:gridSpan w:val="2"/>
            <w:shd w:val="clear" w:color="auto" w:fill="99CCFF"/>
            <w:vAlign w:val="center"/>
            <w:hideMark/>
          </w:tcPr>
          <w:p w14:paraId="632E64C8" w14:textId="77777777" w:rsidR="00246352" w:rsidRPr="001B4CA2" w:rsidRDefault="00246352" w:rsidP="002A38E7">
            <w:pPr>
              <w:tabs>
                <w:tab w:val="left" w:pos="1040"/>
              </w:tabs>
              <w:jc w:val="center"/>
              <w:rPr>
                <w:b/>
                <w:bCs/>
                <w:sz w:val="18"/>
                <w:szCs w:val="18"/>
              </w:rPr>
            </w:pPr>
            <w:r w:rsidRPr="001B4CA2">
              <w:rPr>
                <w:b/>
                <w:bCs/>
                <w:sz w:val="18"/>
                <w:szCs w:val="18"/>
              </w:rPr>
              <w:t>ODO</w:t>
            </w:r>
          </w:p>
        </w:tc>
        <w:tc>
          <w:tcPr>
            <w:tcW w:w="1757" w:type="dxa"/>
            <w:gridSpan w:val="2"/>
            <w:shd w:val="clear" w:color="auto" w:fill="99CCFF"/>
            <w:vAlign w:val="center"/>
            <w:hideMark/>
          </w:tcPr>
          <w:p w14:paraId="05DD27A0" w14:textId="77777777" w:rsidR="00246352" w:rsidRPr="001B4CA2" w:rsidRDefault="00246352" w:rsidP="002A38E7">
            <w:pPr>
              <w:jc w:val="center"/>
              <w:rPr>
                <w:b/>
                <w:bCs/>
                <w:sz w:val="18"/>
                <w:szCs w:val="18"/>
              </w:rPr>
            </w:pPr>
            <w:r w:rsidRPr="001B4CA2">
              <w:rPr>
                <w:b/>
                <w:bCs/>
                <w:sz w:val="18"/>
                <w:szCs w:val="18"/>
              </w:rPr>
              <w:t>ŽDO</w:t>
            </w:r>
          </w:p>
        </w:tc>
        <w:tc>
          <w:tcPr>
            <w:tcW w:w="1674" w:type="dxa"/>
            <w:gridSpan w:val="2"/>
            <w:shd w:val="clear" w:color="auto" w:fill="99CCFF"/>
            <w:vAlign w:val="center"/>
            <w:hideMark/>
          </w:tcPr>
          <w:p w14:paraId="1045C5DF" w14:textId="77777777" w:rsidR="00246352" w:rsidRPr="001B4CA2" w:rsidRDefault="00246352" w:rsidP="002A38E7">
            <w:pPr>
              <w:jc w:val="center"/>
              <w:rPr>
                <w:b/>
                <w:bCs/>
                <w:sz w:val="18"/>
                <w:szCs w:val="18"/>
              </w:rPr>
            </w:pPr>
            <w:r w:rsidRPr="001B4CA2">
              <w:rPr>
                <w:b/>
                <w:bCs/>
                <w:sz w:val="18"/>
                <w:szCs w:val="18"/>
              </w:rPr>
              <w:t>USKOK</w:t>
            </w:r>
          </w:p>
        </w:tc>
        <w:tc>
          <w:tcPr>
            <w:tcW w:w="1697" w:type="dxa"/>
            <w:gridSpan w:val="2"/>
            <w:shd w:val="clear" w:color="auto" w:fill="99CCFF"/>
            <w:vAlign w:val="center"/>
            <w:hideMark/>
          </w:tcPr>
          <w:p w14:paraId="5FC4BDF2" w14:textId="77777777" w:rsidR="00246352" w:rsidRPr="001B4CA2" w:rsidRDefault="00246352" w:rsidP="002A38E7">
            <w:pPr>
              <w:jc w:val="center"/>
              <w:rPr>
                <w:b/>
                <w:bCs/>
                <w:sz w:val="18"/>
                <w:szCs w:val="18"/>
              </w:rPr>
            </w:pPr>
            <w:r w:rsidRPr="001B4CA2">
              <w:rPr>
                <w:b/>
                <w:bCs/>
                <w:sz w:val="18"/>
                <w:szCs w:val="18"/>
              </w:rPr>
              <w:t>UKUPNO</w:t>
            </w:r>
          </w:p>
        </w:tc>
      </w:tr>
      <w:tr w:rsidR="00246352" w:rsidRPr="001B4CA2" w14:paraId="7AEB35A6" w14:textId="77777777" w:rsidTr="000268FF">
        <w:trPr>
          <w:trHeight w:val="1938"/>
        </w:trPr>
        <w:tc>
          <w:tcPr>
            <w:tcW w:w="1695" w:type="dxa"/>
            <w:vMerge/>
            <w:shd w:val="clear" w:color="auto" w:fill="99CCFF"/>
            <w:vAlign w:val="center"/>
            <w:hideMark/>
          </w:tcPr>
          <w:p w14:paraId="3F2A73EB" w14:textId="77777777" w:rsidR="00246352" w:rsidRPr="001B4CA2" w:rsidRDefault="00246352" w:rsidP="002A38E7">
            <w:pPr>
              <w:rPr>
                <w:b/>
                <w:bCs/>
                <w:sz w:val="18"/>
                <w:szCs w:val="18"/>
              </w:rPr>
            </w:pPr>
          </w:p>
        </w:tc>
        <w:tc>
          <w:tcPr>
            <w:tcW w:w="893" w:type="dxa"/>
            <w:shd w:val="clear" w:color="auto" w:fill="99CCFF"/>
            <w:textDirection w:val="btLr"/>
            <w:vAlign w:val="center"/>
            <w:hideMark/>
          </w:tcPr>
          <w:p w14:paraId="5AADC82D" w14:textId="77777777" w:rsidR="00246352" w:rsidRPr="001B4CA2" w:rsidRDefault="00246352" w:rsidP="002A38E7">
            <w:pPr>
              <w:jc w:val="left"/>
              <w:rPr>
                <w:b/>
                <w:sz w:val="18"/>
                <w:szCs w:val="18"/>
              </w:rPr>
            </w:pPr>
            <w:r w:rsidRPr="001B4CA2">
              <w:rPr>
                <w:b/>
                <w:sz w:val="18"/>
                <w:szCs w:val="18"/>
              </w:rPr>
              <w:t>Upućene zamolnice za međunarodnu pravnu pomoć</w:t>
            </w:r>
          </w:p>
        </w:tc>
        <w:tc>
          <w:tcPr>
            <w:tcW w:w="910" w:type="dxa"/>
            <w:shd w:val="clear" w:color="auto" w:fill="99CCFF"/>
            <w:textDirection w:val="btLr"/>
            <w:vAlign w:val="center"/>
            <w:hideMark/>
          </w:tcPr>
          <w:p w14:paraId="57E53CF7" w14:textId="77777777" w:rsidR="00246352" w:rsidRPr="001B4CA2" w:rsidRDefault="00246352" w:rsidP="002A38E7">
            <w:pPr>
              <w:jc w:val="left"/>
              <w:rPr>
                <w:b/>
                <w:sz w:val="18"/>
                <w:szCs w:val="18"/>
              </w:rPr>
            </w:pPr>
            <w:r w:rsidRPr="001B4CA2">
              <w:rPr>
                <w:b/>
                <w:sz w:val="18"/>
                <w:szCs w:val="18"/>
              </w:rPr>
              <w:t>Izvršene zamolnice za međunarodnu pravnu pomoć</w:t>
            </w:r>
          </w:p>
        </w:tc>
        <w:tc>
          <w:tcPr>
            <w:tcW w:w="911" w:type="dxa"/>
            <w:shd w:val="clear" w:color="auto" w:fill="99CCFF"/>
            <w:textDirection w:val="btLr"/>
            <w:vAlign w:val="center"/>
            <w:hideMark/>
          </w:tcPr>
          <w:p w14:paraId="1060A8AC" w14:textId="77777777" w:rsidR="00246352" w:rsidRPr="001B4CA2" w:rsidRDefault="00246352" w:rsidP="002A38E7">
            <w:pPr>
              <w:jc w:val="left"/>
              <w:rPr>
                <w:b/>
                <w:sz w:val="18"/>
                <w:szCs w:val="18"/>
              </w:rPr>
            </w:pPr>
            <w:r w:rsidRPr="001B4CA2">
              <w:rPr>
                <w:b/>
                <w:sz w:val="18"/>
                <w:szCs w:val="18"/>
              </w:rPr>
              <w:t>Upućene zamolnice za međunarodnu pravnu pomoć</w:t>
            </w:r>
          </w:p>
        </w:tc>
        <w:tc>
          <w:tcPr>
            <w:tcW w:w="846" w:type="dxa"/>
            <w:shd w:val="clear" w:color="auto" w:fill="99CCFF"/>
            <w:textDirection w:val="btLr"/>
            <w:vAlign w:val="center"/>
            <w:hideMark/>
          </w:tcPr>
          <w:p w14:paraId="67339943" w14:textId="77777777" w:rsidR="00246352" w:rsidRPr="001B4CA2" w:rsidRDefault="00246352" w:rsidP="002A38E7">
            <w:pPr>
              <w:jc w:val="left"/>
              <w:rPr>
                <w:b/>
                <w:sz w:val="18"/>
                <w:szCs w:val="18"/>
              </w:rPr>
            </w:pPr>
            <w:r w:rsidRPr="001B4CA2">
              <w:rPr>
                <w:b/>
                <w:sz w:val="18"/>
                <w:szCs w:val="18"/>
              </w:rPr>
              <w:t>Izvršene zamolnice za međunarodnu pravnu pomoć</w:t>
            </w:r>
          </w:p>
        </w:tc>
        <w:tc>
          <w:tcPr>
            <w:tcW w:w="876" w:type="dxa"/>
            <w:shd w:val="clear" w:color="auto" w:fill="99CCFF"/>
            <w:textDirection w:val="btLr"/>
            <w:vAlign w:val="center"/>
            <w:hideMark/>
          </w:tcPr>
          <w:p w14:paraId="418B83D2" w14:textId="77777777" w:rsidR="00246352" w:rsidRPr="001B4CA2" w:rsidRDefault="00246352" w:rsidP="002A38E7">
            <w:pPr>
              <w:jc w:val="left"/>
              <w:rPr>
                <w:b/>
                <w:sz w:val="18"/>
                <w:szCs w:val="18"/>
              </w:rPr>
            </w:pPr>
            <w:r w:rsidRPr="001B4CA2">
              <w:rPr>
                <w:b/>
                <w:sz w:val="18"/>
                <w:szCs w:val="18"/>
              </w:rPr>
              <w:t>Upućene zamolnice za međunarodnu pravnu pomoć</w:t>
            </w:r>
          </w:p>
        </w:tc>
        <w:tc>
          <w:tcPr>
            <w:tcW w:w="798" w:type="dxa"/>
            <w:shd w:val="clear" w:color="auto" w:fill="99CCFF"/>
            <w:textDirection w:val="btLr"/>
            <w:vAlign w:val="center"/>
            <w:hideMark/>
          </w:tcPr>
          <w:p w14:paraId="204CD905" w14:textId="77777777" w:rsidR="00246352" w:rsidRPr="001B4CA2" w:rsidRDefault="00246352" w:rsidP="002A38E7">
            <w:pPr>
              <w:jc w:val="left"/>
              <w:rPr>
                <w:b/>
                <w:sz w:val="18"/>
                <w:szCs w:val="18"/>
              </w:rPr>
            </w:pPr>
            <w:r w:rsidRPr="001B4CA2">
              <w:rPr>
                <w:b/>
                <w:sz w:val="18"/>
                <w:szCs w:val="18"/>
              </w:rPr>
              <w:t>Izvršene zamolnice za međunarodnu pravnu pomoć</w:t>
            </w:r>
          </w:p>
        </w:tc>
        <w:tc>
          <w:tcPr>
            <w:tcW w:w="848" w:type="dxa"/>
            <w:shd w:val="clear" w:color="auto" w:fill="99CCFF"/>
            <w:textDirection w:val="btLr"/>
            <w:vAlign w:val="center"/>
            <w:hideMark/>
          </w:tcPr>
          <w:p w14:paraId="3F2E6477" w14:textId="77777777" w:rsidR="00246352" w:rsidRPr="001B4CA2" w:rsidRDefault="00246352" w:rsidP="002A38E7">
            <w:pPr>
              <w:jc w:val="left"/>
              <w:rPr>
                <w:b/>
                <w:sz w:val="18"/>
                <w:szCs w:val="18"/>
              </w:rPr>
            </w:pPr>
            <w:r w:rsidRPr="001B4CA2">
              <w:rPr>
                <w:b/>
                <w:sz w:val="18"/>
                <w:szCs w:val="18"/>
              </w:rPr>
              <w:t>Upućene zamolnice za međunarodnu pravnu pomoć</w:t>
            </w:r>
          </w:p>
        </w:tc>
        <w:tc>
          <w:tcPr>
            <w:tcW w:w="849" w:type="dxa"/>
            <w:shd w:val="clear" w:color="auto" w:fill="99CCFF"/>
            <w:textDirection w:val="btLr"/>
            <w:vAlign w:val="center"/>
            <w:hideMark/>
          </w:tcPr>
          <w:p w14:paraId="71D1064A" w14:textId="77777777" w:rsidR="00246352" w:rsidRPr="001B4CA2" w:rsidRDefault="00246352" w:rsidP="002A38E7">
            <w:pPr>
              <w:jc w:val="left"/>
              <w:rPr>
                <w:b/>
                <w:sz w:val="18"/>
                <w:szCs w:val="18"/>
              </w:rPr>
            </w:pPr>
            <w:r w:rsidRPr="001B4CA2">
              <w:rPr>
                <w:b/>
                <w:sz w:val="18"/>
                <w:szCs w:val="18"/>
              </w:rPr>
              <w:t>Izvršene zamolnice za međunarodnu pravnu pomoć</w:t>
            </w:r>
          </w:p>
        </w:tc>
      </w:tr>
      <w:tr w:rsidR="00246352" w:rsidRPr="001B4CA2" w14:paraId="16F2248E" w14:textId="77777777" w:rsidTr="000268FF">
        <w:trPr>
          <w:trHeight w:val="669"/>
        </w:trPr>
        <w:tc>
          <w:tcPr>
            <w:tcW w:w="1695" w:type="dxa"/>
            <w:shd w:val="clear" w:color="auto" w:fill="auto"/>
            <w:vAlign w:val="center"/>
            <w:hideMark/>
          </w:tcPr>
          <w:p w14:paraId="2C760962" w14:textId="77777777" w:rsidR="00246352" w:rsidRPr="001B4CA2" w:rsidRDefault="00246352" w:rsidP="002A38E7">
            <w:pPr>
              <w:jc w:val="left"/>
              <w:rPr>
                <w:sz w:val="18"/>
                <w:szCs w:val="18"/>
              </w:rPr>
            </w:pPr>
            <w:r w:rsidRPr="001B4CA2">
              <w:rPr>
                <w:color w:val="333333"/>
                <w:shd w:val="clear" w:color="auto" w:fill="FFFFFF"/>
              </w:rPr>
              <w:t>„</w:t>
            </w:r>
            <w:r w:rsidRPr="001B4CA2">
              <w:rPr>
                <w:sz w:val="18"/>
                <w:szCs w:val="18"/>
              </w:rPr>
              <w:t>Mala" međunarodna pravna pomoć</w:t>
            </w:r>
          </w:p>
        </w:tc>
        <w:tc>
          <w:tcPr>
            <w:tcW w:w="893" w:type="dxa"/>
            <w:shd w:val="clear" w:color="auto" w:fill="auto"/>
            <w:noWrap/>
            <w:vAlign w:val="center"/>
          </w:tcPr>
          <w:p w14:paraId="4752B39E" w14:textId="77777777" w:rsidR="00246352" w:rsidRPr="001B4CA2" w:rsidRDefault="00246352" w:rsidP="002A38E7">
            <w:pPr>
              <w:jc w:val="center"/>
              <w:rPr>
                <w:sz w:val="18"/>
                <w:szCs w:val="18"/>
              </w:rPr>
            </w:pPr>
            <w:r w:rsidRPr="001B4CA2">
              <w:rPr>
                <w:sz w:val="18"/>
                <w:szCs w:val="18"/>
              </w:rPr>
              <w:t>225</w:t>
            </w:r>
          </w:p>
        </w:tc>
        <w:tc>
          <w:tcPr>
            <w:tcW w:w="910" w:type="dxa"/>
            <w:shd w:val="clear" w:color="auto" w:fill="auto"/>
            <w:noWrap/>
            <w:vAlign w:val="center"/>
          </w:tcPr>
          <w:p w14:paraId="4AC18505" w14:textId="77777777" w:rsidR="00246352" w:rsidRPr="001B4CA2" w:rsidRDefault="00246352" w:rsidP="002A38E7">
            <w:pPr>
              <w:jc w:val="center"/>
              <w:rPr>
                <w:sz w:val="18"/>
                <w:szCs w:val="18"/>
              </w:rPr>
            </w:pPr>
            <w:r w:rsidRPr="001B4CA2">
              <w:rPr>
                <w:sz w:val="18"/>
                <w:szCs w:val="18"/>
              </w:rPr>
              <w:t>15</w:t>
            </w:r>
          </w:p>
        </w:tc>
        <w:tc>
          <w:tcPr>
            <w:tcW w:w="911" w:type="dxa"/>
            <w:shd w:val="clear" w:color="auto" w:fill="auto"/>
            <w:noWrap/>
            <w:vAlign w:val="center"/>
          </w:tcPr>
          <w:p w14:paraId="7D18FBBC" w14:textId="77777777" w:rsidR="00246352" w:rsidRPr="001B4CA2" w:rsidRDefault="00246352" w:rsidP="002A38E7">
            <w:pPr>
              <w:jc w:val="center"/>
              <w:rPr>
                <w:sz w:val="18"/>
                <w:szCs w:val="18"/>
              </w:rPr>
            </w:pPr>
            <w:r w:rsidRPr="001B4CA2">
              <w:rPr>
                <w:sz w:val="18"/>
                <w:szCs w:val="18"/>
              </w:rPr>
              <w:t>88</w:t>
            </w:r>
          </w:p>
        </w:tc>
        <w:tc>
          <w:tcPr>
            <w:tcW w:w="846" w:type="dxa"/>
            <w:shd w:val="clear" w:color="auto" w:fill="auto"/>
            <w:noWrap/>
            <w:vAlign w:val="center"/>
          </w:tcPr>
          <w:p w14:paraId="427E6338" w14:textId="77777777" w:rsidR="00246352" w:rsidRPr="001B4CA2" w:rsidRDefault="00246352" w:rsidP="002A38E7">
            <w:pPr>
              <w:jc w:val="center"/>
              <w:rPr>
                <w:sz w:val="18"/>
                <w:szCs w:val="18"/>
              </w:rPr>
            </w:pPr>
            <w:r w:rsidRPr="001B4CA2">
              <w:rPr>
                <w:sz w:val="18"/>
                <w:szCs w:val="18"/>
              </w:rPr>
              <w:t>38</w:t>
            </w:r>
          </w:p>
        </w:tc>
        <w:tc>
          <w:tcPr>
            <w:tcW w:w="876" w:type="dxa"/>
            <w:shd w:val="clear" w:color="auto" w:fill="auto"/>
            <w:noWrap/>
            <w:vAlign w:val="center"/>
          </w:tcPr>
          <w:p w14:paraId="05B12201" w14:textId="77777777" w:rsidR="00246352" w:rsidRPr="001B4CA2" w:rsidRDefault="00246352" w:rsidP="002A38E7">
            <w:pPr>
              <w:jc w:val="center"/>
              <w:rPr>
                <w:sz w:val="18"/>
                <w:szCs w:val="18"/>
              </w:rPr>
            </w:pPr>
            <w:r w:rsidRPr="001B4CA2">
              <w:rPr>
                <w:sz w:val="18"/>
                <w:szCs w:val="18"/>
              </w:rPr>
              <w:t>14</w:t>
            </w:r>
          </w:p>
        </w:tc>
        <w:tc>
          <w:tcPr>
            <w:tcW w:w="798" w:type="dxa"/>
            <w:shd w:val="clear" w:color="auto" w:fill="auto"/>
            <w:noWrap/>
            <w:vAlign w:val="center"/>
          </w:tcPr>
          <w:p w14:paraId="77723EDA" w14:textId="77777777" w:rsidR="00246352" w:rsidRPr="001B4CA2" w:rsidRDefault="00246352" w:rsidP="002A38E7">
            <w:pPr>
              <w:jc w:val="center"/>
              <w:rPr>
                <w:sz w:val="18"/>
                <w:szCs w:val="18"/>
              </w:rPr>
            </w:pPr>
            <w:r w:rsidRPr="001B4CA2">
              <w:rPr>
                <w:sz w:val="18"/>
                <w:szCs w:val="18"/>
              </w:rPr>
              <w:t>0</w:t>
            </w:r>
          </w:p>
        </w:tc>
        <w:tc>
          <w:tcPr>
            <w:tcW w:w="848" w:type="dxa"/>
            <w:shd w:val="clear" w:color="auto" w:fill="auto"/>
            <w:noWrap/>
            <w:vAlign w:val="center"/>
          </w:tcPr>
          <w:p w14:paraId="74E21DC3" w14:textId="77777777" w:rsidR="00246352" w:rsidRPr="001B4CA2" w:rsidRDefault="00246352" w:rsidP="002A38E7">
            <w:pPr>
              <w:jc w:val="center"/>
              <w:rPr>
                <w:sz w:val="18"/>
                <w:szCs w:val="18"/>
              </w:rPr>
            </w:pPr>
            <w:r w:rsidRPr="001B4CA2">
              <w:rPr>
                <w:sz w:val="18"/>
                <w:szCs w:val="18"/>
              </w:rPr>
              <w:t>327</w:t>
            </w:r>
          </w:p>
        </w:tc>
        <w:tc>
          <w:tcPr>
            <w:tcW w:w="849" w:type="dxa"/>
            <w:shd w:val="clear" w:color="auto" w:fill="auto"/>
            <w:noWrap/>
            <w:vAlign w:val="center"/>
          </w:tcPr>
          <w:p w14:paraId="219CC9B0" w14:textId="77777777" w:rsidR="00246352" w:rsidRPr="001B4CA2" w:rsidRDefault="00246352" w:rsidP="002A38E7">
            <w:pPr>
              <w:jc w:val="center"/>
              <w:rPr>
                <w:sz w:val="18"/>
                <w:szCs w:val="18"/>
              </w:rPr>
            </w:pPr>
            <w:r w:rsidRPr="001B4CA2">
              <w:rPr>
                <w:sz w:val="18"/>
                <w:szCs w:val="18"/>
              </w:rPr>
              <w:t>53</w:t>
            </w:r>
          </w:p>
        </w:tc>
      </w:tr>
      <w:tr w:rsidR="00246352" w:rsidRPr="001B4CA2" w14:paraId="268A3F4F" w14:textId="77777777" w:rsidTr="000268FF">
        <w:trPr>
          <w:trHeight w:val="601"/>
        </w:trPr>
        <w:tc>
          <w:tcPr>
            <w:tcW w:w="1695" w:type="dxa"/>
            <w:shd w:val="clear" w:color="auto" w:fill="auto"/>
            <w:vAlign w:val="center"/>
            <w:hideMark/>
          </w:tcPr>
          <w:p w14:paraId="6271173A" w14:textId="77777777" w:rsidR="00246352" w:rsidRPr="001B4CA2" w:rsidRDefault="00246352" w:rsidP="002A38E7">
            <w:pPr>
              <w:jc w:val="left"/>
              <w:rPr>
                <w:sz w:val="18"/>
                <w:szCs w:val="18"/>
              </w:rPr>
            </w:pPr>
            <w:r w:rsidRPr="001B4CA2">
              <w:rPr>
                <w:sz w:val="18"/>
                <w:szCs w:val="18"/>
              </w:rPr>
              <w:t>Ustup/preuzimanje kaznenog progona</w:t>
            </w:r>
          </w:p>
        </w:tc>
        <w:tc>
          <w:tcPr>
            <w:tcW w:w="893" w:type="dxa"/>
            <w:shd w:val="clear" w:color="auto" w:fill="auto"/>
            <w:noWrap/>
            <w:vAlign w:val="center"/>
          </w:tcPr>
          <w:p w14:paraId="2794FC64" w14:textId="77777777" w:rsidR="00246352" w:rsidRPr="001B4CA2" w:rsidRDefault="00246352" w:rsidP="002A38E7">
            <w:pPr>
              <w:jc w:val="center"/>
              <w:rPr>
                <w:sz w:val="18"/>
                <w:szCs w:val="18"/>
              </w:rPr>
            </w:pPr>
            <w:r w:rsidRPr="001B4CA2">
              <w:rPr>
                <w:sz w:val="18"/>
                <w:szCs w:val="18"/>
              </w:rPr>
              <w:t>89</w:t>
            </w:r>
          </w:p>
        </w:tc>
        <w:tc>
          <w:tcPr>
            <w:tcW w:w="910" w:type="dxa"/>
            <w:shd w:val="clear" w:color="auto" w:fill="auto"/>
            <w:noWrap/>
            <w:vAlign w:val="center"/>
          </w:tcPr>
          <w:p w14:paraId="19A34685" w14:textId="77777777" w:rsidR="00246352" w:rsidRPr="001B4CA2" w:rsidRDefault="00246352" w:rsidP="002A38E7">
            <w:pPr>
              <w:jc w:val="center"/>
              <w:rPr>
                <w:sz w:val="18"/>
                <w:szCs w:val="18"/>
              </w:rPr>
            </w:pPr>
            <w:r w:rsidRPr="001B4CA2">
              <w:rPr>
                <w:sz w:val="18"/>
                <w:szCs w:val="18"/>
              </w:rPr>
              <w:t>51</w:t>
            </w:r>
          </w:p>
        </w:tc>
        <w:tc>
          <w:tcPr>
            <w:tcW w:w="911" w:type="dxa"/>
            <w:shd w:val="clear" w:color="auto" w:fill="auto"/>
            <w:noWrap/>
            <w:vAlign w:val="center"/>
          </w:tcPr>
          <w:p w14:paraId="27D52D04" w14:textId="77777777" w:rsidR="00246352" w:rsidRPr="001B4CA2" w:rsidRDefault="00246352" w:rsidP="002A38E7">
            <w:pPr>
              <w:jc w:val="center"/>
              <w:rPr>
                <w:sz w:val="18"/>
                <w:szCs w:val="18"/>
              </w:rPr>
            </w:pPr>
            <w:r w:rsidRPr="001B4CA2">
              <w:rPr>
                <w:sz w:val="18"/>
                <w:szCs w:val="18"/>
              </w:rPr>
              <w:t>2</w:t>
            </w:r>
          </w:p>
        </w:tc>
        <w:tc>
          <w:tcPr>
            <w:tcW w:w="846" w:type="dxa"/>
            <w:shd w:val="clear" w:color="auto" w:fill="auto"/>
            <w:noWrap/>
            <w:vAlign w:val="center"/>
          </w:tcPr>
          <w:p w14:paraId="382CBDFB" w14:textId="77777777" w:rsidR="00246352" w:rsidRPr="001B4CA2" w:rsidRDefault="00246352" w:rsidP="002A38E7">
            <w:pPr>
              <w:jc w:val="center"/>
              <w:rPr>
                <w:sz w:val="18"/>
                <w:szCs w:val="18"/>
              </w:rPr>
            </w:pPr>
            <w:r w:rsidRPr="001B4CA2">
              <w:rPr>
                <w:sz w:val="18"/>
                <w:szCs w:val="18"/>
              </w:rPr>
              <w:t>7</w:t>
            </w:r>
          </w:p>
        </w:tc>
        <w:tc>
          <w:tcPr>
            <w:tcW w:w="876" w:type="dxa"/>
            <w:shd w:val="clear" w:color="auto" w:fill="auto"/>
            <w:noWrap/>
            <w:vAlign w:val="center"/>
          </w:tcPr>
          <w:p w14:paraId="2781239F" w14:textId="77777777" w:rsidR="00246352" w:rsidRPr="001B4CA2" w:rsidRDefault="00246352" w:rsidP="002A38E7">
            <w:pPr>
              <w:jc w:val="center"/>
              <w:rPr>
                <w:sz w:val="18"/>
                <w:szCs w:val="18"/>
              </w:rPr>
            </w:pPr>
            <w:r w:rsidRPr="001B4CA2">
              <w:rPr>
                <w:sz w:val="18"/>
                <w:szCs w:val="18"/>
              </w:rPr>
              <w:t>0</w:t>
            </w:r>
          </w:p>
        </w:tc>
        <w:tc>
          <w:tcPr>
            <w:tcW w:w="798" w:type="dxa"/>
            <w:shd w:val="clear" w:color="auto" w:fill="auto"/>
            <w:noWrap/>
            <w:vAlign w:val="center"/>
          </w:tcPr>
          <w:p w14:paraId="204051A5" w14:textId="77777777" w:rsidR="00246352" w:rsidRPr="001B4CA2" w:rsidRDefault="00246352" w:rsidP="002A38E7">
            <w:pPr>
              <w:jc w:val="center"/>
              <w:rPr>
                <w:sz w:val="18"/>
                <w:szCs w:val="18"/>
              </w:rPr>
            </w:pPr>
            <w:r w:rsidRPr="001B4CA2">
              <w:rPr>
                <w:sz w:val="18"/>
                <w:szCs w:val="18"/>
              </w:rPr>
              <w:t>1</w:t>
            </w:r>
          </w:p>
        </w:tc>
        <w:tc>
          <w:tcPr>
            <w:tcW w:w="848" w:type="dxa"/>
            <w:shd w:val="clear" w:color="auto" w:fill="auto"/>
            <w:noWrap/>
            <w:vAlign w:val="center"/>
          </w:tcPr>
          <w:p w14:paraId="5E88FA56" w14:textId="77777777" w:rsidR="00246352" w:rsidRPr="001B4CA2" w:rsidRDefault="00246352" w:rsidP="002A38E7">
            <w:pPr>
              <w:jc w:val="center"/>
              <w:rPr>
                <w:sz w:val="18"/>
                <w:szCs w:val="18"/>
              </w:rPr>
            </w:pPr>
            <w:r w:rsidRPr="001B4CA2">
              <w:rPr>
                <w:sz w:val="18"/>
                <w:szCs w:val="18"/>
              </w:rPr>
              <w:t>91</w:t>
            </w:r>
          </w:p>
        </w:tc>
        <w:tc>
          <w:tcPr>
            <w:tcW w:w="849" w:type="dxa"/>
            <w:shd w:val="clear" w:color="auto" w:fill="auto"/>
            <w:noWrap/>
            <w:vAlign w:val="center"/>
          </w:tcPr>
          <w:p w14:paraId="47F89573" w14:textId="77777777" w:rsidR="00246352" w:rsidRPr="001B4CA2" w:rsidRDefault="00246352" w:rsidP="002A38E7">
            <w:pPr>
              <w:jc w:val="center"/>
              <w:rPr>
                <w:sz w:val="18"/>
                <w:szCs w:val="18"/>
              </w:rPr>
            </w:pPr>
            <w:r w:rsidRPr="001B4CA2">
              <w:rPr>
                <w:sz w:val="18"/>
                <w:szCs w:val="18"/>
              </w:rPr>
              <w:t>59</w:t>
            </w:r>
          </w:p>
        </w:tc>
      </w:tr>
      <w:tr w:rsidR="00246352" w:rsidRPr="001B4CA2" w14:paraId="48A64356" w14:textId="77777777" w:rsidTr="000268FF">
        <w:trPr>
          <w:trHeight w:val="429"/>
        </w:trPr>
        <w:tc>
          <w:tcPr>
            <w:tcW w:w="1695" w:type="dxa"/>
            <w:shd w:val="clear" w:color="auto" w:fill="auto"/>
            <w:vAlign w:val="center"/>
            <w:hideMark/>
          </w:tcPr>
          <w:p w14:paraId="20AB8E12" w14:textId="77777777" w:rsidR="00246352" w:rsidRPr="001B4CA2" w:rsidRDefault="00246352" w:rsidP="002A38E7">
            <w:pPr>
              <w:jc w:val="left"/>
              <w:rPr>
                <w:sz w:val="18"/>
                <w:szCs w:val="18"/>
              </w:rPr>
            </w:pPr>
            <w:r w:rsidRPr="001B4CA2">
              <w:rPr>
                <w:sz w:val="18"/>
                <w:szCs w:val="18"/>
              </w:rPr>
              <w:t>Ostalo</w:t>
            </w:r>
          </w:p>
        </w:tc>
        <w:tc>
          <w:tcPr>
            <w:tcW w:w="893" w:type="dxa"/>
            <w:shd w:val="clear" w:color="auto" w:fill="auto"/>
            <w:noWrap/>
            <w:vAlign w:val="center"/>
          </w:tcPr>
          <w:p w14:paraId="7076103E" w14:textId="77777777" w:rsidR="00246352" w:rsidRPr="001B4CA2" w:rsidRDefault="00246352" w:rsidP="002A38E7">
            <w:pPr>
              <w:jc w:val="center"/>
              <w:rPr>
                <w:sz w:val="18"/>
                <w:szCs w:val="18"/>
              </w:rPr>
            </w:pPr>
            <w:r w:rsidRPr="001B4CA2">
              <w:rPr>
                <w:sz w:val="18"/>
                <w:szCs w:val="18"/>
              </w:rPr>
              <w:t>15</w:t>
            </w:r>
          </w:p>
        </w:tc>
        <w:tc>
          <w:tcPr>
            <w:tcW w:w="910" w:type="dxa"/>
            <w:shd w:val="clear" w:color="auto" w:fill="auto"/>
            <w:noWrap/>
            <w:vAlign w:val="center"/>
          </w:tcPr>
          <w:p w14:paraId="7C5A1434" w14:textId="77777777" w:rsidR="00246352" w:rsidRPr="001B4CA2" w:rsidRDefault="00246352" w:rsidP="002A38E7">
            <w:pPr>
              <w:jc w:val="center"/>
              <w:rPr>
                <w:sz w:val="18"/>
                <w:szCs w:val="18"/>
              </w:rPr>
            </w:pPr>
            <w:r w:rsidRPr="001B4CA2">
              <w:rPr>
                <w:sz w:val="18"/>
                <w:szCs w:val="18"/>
              </w:rPr>
              <w:t>8</w:t>
            </w:r>
          </w:p>
        </w:tc>
        <w:tc>
          <w:tcPr>
            <w:tcW w:w="911" w:type="dxa"/>
            <w:shd w:val="clear" w:color="auto" w:fill="auto"/>
            <w:noWrap/>
            <w:vAlign w:val="center"/>
          </w:tcPr>
          <w:p w14:paraId="26C60E7F" w14:textId="77777777" w:rsidR="00246352" w:rsidRPr="001B4CA2" w:rsidRDefault="00246352" w:rsidP="002A38E7">
            <w:pPr>
              <w:jc w:val="center"/>
              <w:rPr>
                <w:sz w:val="18"/>
                <w:szCs w:val="18"/>
              </w:rPr>
            </w:pPr>
            <w:r w:rsidRPr="001B4CA2">
              <w:rPr>
                <w:sz w:val="18"/>
                <w:szCs w:val="18"/>
              </w:rPr>
              <w:t>6</w:t>
            </w:r>
          </w:p>
        </w:tc>
        <w:tc>
          <w:tcPr>
            <w:tcW w:w="846" w:type="dxa"/>
            <w:shd w:val="clear" w:color="auto" w:fill="auto"/>
            <w:noWrap/>
            <w:vAlign w:val="center"/>
          </w:tcPr>
          <w:p w14:paraId="1726DE81" w14:textId="77777777" w:rsidR="00246352" w:rsidRPr="001B4CA2" w:rsidRDefault="00246352" w:rsidP="002A38E7">
            <w:pPr>
              <w:jc w:val="center"/>
              <w:rPr>
                <w:sz w:val="18"/>
                <w:szCs w:val="18"/>
              </w:rPr>
            </w:pPr>
            <w:r w:rsidRPr="001B4CA2">
              <w:rPr>
                <w:sz w:val="18"/>
                <w:szCs w:val="18"/>
              </w:rPr>
              <w:t>21</w:t>
            </w:r>
          </w:p>
        </w:tc>
        <w:tc>
          <w:tcPr>
            <w:tcW w:w="876" w:type="dxa"/>
            <w:shd w:val="clear" w:color="auto" w:fill="auto"/>
            <w:noWrap/>
            <w:vAlign w:val="center"/>
          </w:tcPr>
          <w:p w14:paraId="4932AF76" w14:textId="77777777" w:rsidR="00246352" w:rsidRPr="001B4CA2" w:rsidRDefault="00246352" w:rsidP="002A38E7">
            <w:pPr>
              <w:jc w:val="center"/>
              <w:rPr>
                <w:sz w:val="18"/>
                <w:szCs w:val="18"/>
              </w:rPr>
            </w:pPr>
            <w:r w:rsidRPr="001B4CA2">
              <w:rPr>
                <w:sz w:val="18"/>
                <w:szCs w:val="18"/>
              </w:rPr>
              <w:t>0</w:t>
            </w:r>
          </w:p>
        </w:tc>
        <w:tc>
          <w:tcPr>
            <w:tcW w:w="798" w:type="dxa"/>
            <w:shd w:val="clear" w:color="auto" w:fill="auto"/>
            <w:noWrap/>
            <w:vAlign w:val="center"/>
          </w:tcPr>
          <w:p w14:paraId="38822F57" w14:textId="77777777" w:rsidR="00246352" w:rsidRPr="001B4CA2" w:rsidRDefault="00246352" w:rsidP="002A38E7">
            <w:pPr>
              <w:jc w:val="center"/>
              <w:rPr>
                <w:sz w:val="18"/>
                <w:szCs w:val="18"/>
              </w:rPr>
            </w:pPr>
            <w:r w:rsidRPr="001B4CA2">
              <w:rPr>
                <w:sz w:val="18"/>
                <w:szCs w:val="18"/>
              </w:rPr>
              <w:t>2</w:t>
            </w:r>
          </w:p>
        </w:tc>
        <w:tc>
          <w:tcPr>
            <w:tcW w:w="848" w:type="dxa"/>
            <w:shd w:val="clear" w:color="auto" w:fill="auto"/>
            <w:noWrap/>
            <w:vAlign w:val="center"/>
          </w:tcPr>
          <w:p w14:paraId="755EDE8A" w14:textId="77777777" w:rsidR="00246352" w:rsidRPr="001B4CA2" w:rsidRDefault="00246352" w:rsidP="002A38E7">
            <w:pPr>
              <w:jc w:val="center"/>
              <w:rPr>
                <w:sz w:val="18"/>
                <w:szCs w:val="18"/>
              </w:rPr>
            </w:pPr>
            <w:r w:rsidRPr="001B4CA2">
              <w:rPr>
                <w:sz w:val="18"/>
                <w:szCs w:val="18"/>
              </w:rPr>
              <w:t>21</w:t>
            </w:r>
          </w:p>
        </w:tc>
        <w:tc>
          <w:tcPr>
            <w:tcW w:w="849" w:type="dxa"/>
            <w:shd w:val="clear" w:color="auto" w:fill="auto"/>
            <w:noWrap/>
            <w:vAlign w:val="center"/>
          </w:tcPr>
          <w:p w14:paraId="538C4E57" w14:textId="77777777" w:rsidR="00246352" w:rsidRPr="001B4CA2" w:rsidRDefault="00246352" w:rsidP="002A38E7">
            <w:pPr>
              <w:jc w:val="center"/>
              <w:rPr>
                <w:sz w:val="18"/>
                <w:szCs w:val="18"/>
              </w:rPr>
            </w:pPr>
            <w:r w:rsidRPr="001B4CA2">
              <w:rPr>
                <w:sz w:val="18"/>
                <w:szCs w:val="18"/>
              </w:rPr>
              <w:t>31</w:t>
            </w:r>
          </w:p>
        </w:tc>
      </w:tr>
      <w:tr w:rsidR="00246352" w:rsidRPr="001B4CA2" w14:paraId="22AAA5BB" w14:textId="77777777" w:rsidTr="000268FF">
        <w:trPr>
          <w:trHeight w:val="440"/>
        </w:trPr>
        <w:tc>
          <w:tcPr>
            <w:tcW w:w="1695" w:type="dxa"/>
            <w:shd w:val="clear" w:color="auto" w:fill="auto"/>
            <w:vAlign w:val="center"/>
            <w:hideMark/>
          </w:tcPr>
          <w:p w14:paraId="2D720B04" w14:textId="77777777" w:rsidR="00246352" w:rsidRPr="001B4CA2" w:rsidRDefault="00246352" w:rsidP="002A38E7">
            <w:pPr>
              <w:jc w:val="left"/>
              <w:rPr>
                <w:b/>
                <w:bCs/>
                <w:sz w:val="18"/>
                <w:szCs w:val="18"/>
              </w:rPr>
            </w:pPr>
            <w:r w:rsidRPr="001B4CA2">
              <w:rPr>
                <w:b/>
                <w:bCs/>
                <w:sz w:val="18"/>
                <w:szCs w:val="18"/>
              </w:rPr>
              <w:t>UKUPNO</w:t>
            </w:r>
          </w:p>
        </w:tc>
        <w:tc>
          <w:tcPr>
            <w:tcW w:w="893" w:type="dxa"/>
            <w:shd w:val="clear" w:color="auto" w:fill="auto"/>
            <w:noWrap/>
            <w:vAlign w:val="center"/>
          </w:tcPr>
          <w:p w14:paraId="0B1D6AF4" w14:textId="77777777" w:rsidR="00246352" w:rsidRPr="001B4CA2" w:rsidRDefault="00246352" w:rsidP="002A38E7">
            <w:pPr>
              <w:jc w:val="center"/>
              <w:rPr>
                <w:b/>
                <w:bCs/>
                <w:sz w:val="18"/>
                <w:szCs w:val="18"/>
              </w:rPr>
            </w:pPr>
            <w:r w:rsidRPr="001B4CA2">
              <w:rPr>
                <w:b/>
                <w:bCs/>
                <w:sz w:val="18"/>
                <w:szCs w:val="18"/>
              </w:rPr>
              <w:t>329</w:t>
            </w:r>
          </w:p>
        </w:tc>
        <w:tc>
          <w:tcPr>
            <w:tcW w:w="910" w:type="dxa"/>
            <w:shd w:val="clear" w:color="auto" w:fill="auto"/>
            <w:noWrap/>
            <w:vAlign w:val="center"/>
          </w:tcPr>
          <w:p w14:paraId="029CC599" w14:textId="77777777" w:rsidR="00246352" w:rsidRPr="001B4CA2" w:rsidRDefault="00246352" w:rsidP="002A38E7">
            <w:pPr>
              <w:jc w:val="center"/>
              <w:rPr>
                <w:b/>
                <w:bCs/>
                <w:sz w:val="18"/>
                <w:szCs w:val="18"/>
              </w:rPr>
            </w:pPr>
            <w:r w:rsidRPr="001B4CA2">
              <w:rPr>
                <w:b/>
                <w:bCs/>
                <w:sz w:val="18"/>
                <w:szCs w:val="18"/>
              </w:rPr>
              <w:t>74</w:t>
            </w:r>
          </w:p>
        </w:tc>
        <w:tc>
          <w:tcPr>
            <w:tcW w:w="911" w:type="dxa"/>
            <w:shd w:val="clear" w:color="auto" w:fill="auto"/>
            <w:noWrap/>
            <w:vAlign w:val="center"/>
          </w:tcPr>
          <w:p w14:paraId="53551F7A" w14:textId="77777777" w:rsidR="00246352" w:rsidRPr="001B4CA2" w:rsidRDefault="00246352" w:rsidP="002A38E7">
            <w:pPr>
              <w:jc w:val="center"/>
              <w:rPr>
                <w:b/>
                <w:bCs/>
                <w:sz w:val="18"/>
                <w:szCs w:val="18"/>
              </w:rPr>
            </w:pPr>
            <w:r w:rsidRPr="001B4CA2">
              <w:rPr>
                <w:b/>
                <w:bCs/>
                <w:sz w:val="18"/>
                <w:szCs w:val="18"/>
              </w:rPr>
              <w:t>96</w:t>
            </w:r>
          </w:p>
        </w:tc>
        <w:tc>
          <w:tcPr>
            <w:tcW w:w="846" w:type="dxa"/>
            <w:shd w:val="clear" w:color="auto" w:fill="auto"/>
            <w:noWrap/>
            <w:vAlign w:val="center"/>
          </w:tcPr>
          <w:p w14:paraId="03A55B33" w14:textId="77777777" w:rsidR="00246352" w:rsidRPr="001B4CA2" w:rsidRDefault="00246352" w:rsidP="002A38E7">
            <w:pPr>
              <w:jc w:val="center"/>
              <w:rPr>
                <w:b/>
                <w:bCs/>
                <w:sz w:val="18"/>
                <w:szCs w:val="18"/>
              </w:rPr>
            </w:pPr>
            <w:r w:rsidRPr="001B4CA2">
              <w:rPr>
                <w:b/>
                <w:bCs/>
                <w:sz w:val="18"/>
                <w:szCs w:val="18"/>
              </w:rPr>
              <w:t>66</w:t>
            </w:r>
          </w:p>
        </w:tc>
        <w:tc>
          <w:tcPr>
            <w:tcW w:w="876" w:type="dxa"/>
            <w:shd w:val="clear" w:color="auto" w:fill="auto"/>
            <w:noWrap/>
            <w:vAlign w:val="center"/>
          </w:tcPr>
          <w:p w14:paraId="79A86FC4" w14:textId="77777777" w:rsidR="00246352" w:rsidRPr="001B4CA2" w:rsidRDefault="00246352" w:rsidP="002A38E7">
            <w:pPr>
              <w:jc w:val="center"/>
              <w:rPr>
                <w:b/>
                <w:bCs/>
                <w:sz w:val="18"/>
                <w:szCs w:val="18"/>
              </w:rPr>
            </w:pPr>
            <w:r w:rsidRPr="001B4CA2">
              <w:rPr>
                <w:b/>
                <w:bCs/>
                <w:sz w:val="18"/>
                <w:szCs w:val="18"/>
              </w:rPr>
              <w:t>14</w:t>
            </w:r>
          </w:p>
        </w:tc>
        <w:tc>
          <w:tcPr>
            <w:tcW w:w="798" w:type="dxa"/>
            <w:shd w:val="clear" w:color="auto" w:fill="auto"/>
            <w:noWrap/>
            <w:vAlign w:val="center"/>
          </w:tcPr>
          <w:p w14:paraId="4DD4B3E7" w14:textId="77777777" w:rsidR="00246352" w:rsidRPr="001B4CA2" w:rsidRDefault="00246352" w:rsidP="002A38E7">
            <w:pPr>
              <w:jc w:val="center"/>
              <w:rPr>
                <w:b/>
                <w:bCs/>
                <w:sz w:val="18"/>
                <w:szCs w:val="18"/>
              </w:rPr>
            </w:pPr>
            <w:r w:rsidRPr="001B4CA2">
              <w:rPr>
                <w:b/>
                <w:bCs/>
                <w:sz w:val="18"/>
                <w:szCs w:val="18"/>
              </w:rPr>
              <w:t>3</w:t>
            </w:r>
          </w:p>
        </w:tc>
        <w:tc>
          <w:tcPr>
            <w:tcW w:w="848" w:type="dxa"/>
            <w:shd w:val="clear" w:color="auto" w:fill="auto"/>
            <w:noWrap/>
            <w:vAlign w:val="center"/>
          </w:tcPr>
          <w:p w14:paraId="74068EF0" w14:textId="77777777" w:rsidR="00246352" w:rsidRPr="001B4CA2" w:rsidRDefault="00246352" w:rsidP="002A38E7">
            <w:pPr>
              <w:jc w:val="center"/>
              <w:rPr>
                <w:b/>
                <w:bCs/>
                <w:sz w:val="18"/>
                <w:szCs w:val="18"/>
              </w:rPr>
            </w:pPr>
            <w:r w:rsidRPr="001B4CA2">
              <w:rPr>
                <w:b/>
                <w:bCs/>
                <w:sz w:val="18"/>
                <w:szCs w:val="18"/>
              </w:rPr>
              <w:t>439</w:t>
            </w:r>
          </w:p>
        </w:tc>
        <w:tc>
          <w:tcPr>
            <w:tcW w:w="849" w:type="dxa"/>
            <w:shd w:val="clear" w:color="auto" w:fill="auto"/>
            <w:noWrap/>
            <w:vAlign w:val="center"/>
          </w:tcPr>
          <w:p w14:paraId="3AA68E37" w14:textId="77777777" w:rsidR="00246352" w:rsidRPr="001B4CA2" w:rsidRDefault="00246352" w:rsidP="002A38E7">
            <w:pPr>
              <w:jc w:val="center"/>
              <w:rPr>
                <w:b/>
                <w:bCs/>
                <w:sz w:val="18"/>
                <w:szCs w:val="18"/>
              </w:rPr>
            </w:pPr>
            <w:r w:rsidRPr="001B4CA2">
              <w:rPr>
                <w:b/>
                <w:bCs/>
                <w:sz w:val="18"/>
                <w:szCs w:val="18"/>
              </w:rPr>
              <w:t>143</w:t>
            </w:r>
          </w:p>
        </w:tc>
      </w:tr>
    </w:tbl>
    <w:p w14:paraId="3E8599A7" w14:textId="77777777" w:rsidR="006B59EB" w:rsidRPr="001B4CA2" w:rsidRDefault="006B59EB" w:rsidP="006B59EB">
      <w:pPr>
        <w:ind w:firstLine="708"/>
      </w:pPr>
    </w:p>
    <w:p w14:paraId="2664828C" w14:textId="6AE0005D" w:rsidR="006B59EB" w:rsidRPr="001B4CA2" w:rsidRDefault="006B59EB" w:rsidP="006B59EB">
      <w:pPr>
        <w:ind w:firstLine="708"/>
      </w:pPr>
      <w:r w:rsidRPr="001B4CA2">
        <w:t>Kao i prethodnih godina zamolnice za međunarodnu pravnu pomoć</w:t>
      </w:r>
      <w:r w:rsidR="00FD08E9">
        <w:t xml:space="preserve"> </w:t>
      </w:r>
      <w:r w:rsidRPr="001B4CA2">
        <w:t>upućene su uglavnom u predmetima iz općinske nadležnosti (75 % upućenih zamolnica čine zamolnice općinskih državnih odvjetništava). Navedene zamolnice uglavnom se upućuju susjednim „trećim“ državama (Republika Srbija, Crna Gora, Bosna i Hercegovina), kao i Sjedinjenim Američkim Državama, a radi provođenja dokaznih radnji ispitivanja ili pribavljanja dokumentacije,</w:t>
      </w:r>
      <w:r w:rsidR="00FD08E9">
        <w:t xml:space="preserve"> </w:t>
      </w:r>
      <w:r w:rsidRPr="001B4CA2">
        <w:t>i to većinom u postupcima zbog kaznenih djela protiv gospodarstva, kaznenih djela protiv imovine, kaznenih djela krivotvorenja, kaznenih djela protiv računalnih sustava, programa i podataka, kaznenih djelima protiv sigurnosti prometa, kaznenih djela neovlaštene proizvodnje i prometa drogama te u predmetima kaznenopravne zaštite djece.</w:t>
      </w:r>
    </w:p>
    <w:p w14:paraId="78F0F764" w14:textId="77777777" w:rsidR="006B59EB" w:rsidRPr="001B4CA2" w:rsidRDefault="006B59EB" w:rsidP="006B59EB">
      <w:pPr>
        <w:ind w:firstLine="708"/>
      </w:pPr>
    </w:p>
    <w:p w14:paraId="4F4FC2EB" w14:textId="62A91340" w:rsidR="006B59EB" w:rsidRPr="001B4CA2" w:rsidRDefault="006B59EB" w:rsidP="006B59EB">
      <w:pPr>
        <w:ind w:firstLine="708"/>
      </w:pPr>
      <w:r w:rsidRPr="001B4CA2">
        <w:t>Zamolnice za međunarodnu pravnu pomoć upućene trećim državama u predmetima iz županijske nadležnosti, uglavnom se odnose na postupke zbog kaznenog djela zlouporabe povjerenja u gospodarskom poslovanju iz članka 246. KZ/11 i kaznenih djela protiv čovječnosti i ljudskog dostojanstva iz Glave IX</w:t>
      </w:r>
      <w:r w:rsidR="006C1E1A">
        <w:t>.</w:t>
      </w:r>
      <w:r w:rsidRPr="001B4CA2">
        <w:t xml:space="preserve"> Kaznenog zakona.</w:t>
      </w:r>
    </w:p>
    <w:p w14:paraId="41F59A7F" w14:textId="77777777" w:rsidR="006B59EB" w:rsidRPr="001B4CA2" w:rsidRDefault="006B59EB" w:rsidP="006B59EB"/>
    <w:p w14:paraId="0634CDE9" w14:textId="64F9C5F1" w:rsidR="006B59EB" w:rsidRPr="001B4CA2" w:rsidRDefault="006B59EB" w:rsidP="006B59EB">
      <w:r w:rsidRPr="001B4CA2">
        <w:tab/>
        <w:t xml:space="preserve">U odnosu na mjesnu nadležnost, najveći broj zamolnica za „malu“ međunarodnu pravnu pomoć, upućen je s područja Županijskog državnog odvjetništva u Zagrebu (47) i Puli (35), a najveći broj zamolnica za „malu“ međunarodnu pravnu pomoć </w:t>
      </w:r>
      <w:r w:rsidR="006C1E1A" w:rsidRPr="001B4CA2">
        <w:t xml:space="preserve">izvršen </w:t>
      </w:r>
      <w:r w:rsidRPr="001B4CA2">
        <w:t>je na području</w:t>
      </w:r>
      <w:r w:rsidR="00FD08E9">
        <w:t xml:space="preserve"> </w:t>
      </w:r>
      <w:r w:rsidRPr="001B4CA2">
        <w:t>Županijskog</w:t>
      </w:r>
      <w:r w:rsidR="006C1E1A">
        <w:t>a</w:t>
      </w:r>
      <w:r w:rsidRPr="001B4CA2">
        <w:t xml:space="preserve"> državnog odvjetništva u Rijeci (14).</w:t>
      </w:r>
    </w:p>
    <w:p w14:paraId="32CC19F8" w14:textId="77777777" w:rsidR="006B59EB" w:rsidRPr="001B4CA2" w:rsidRDefault="006B59EB" w:rsidP="006B59EB">
      <w:pPr>
        <w:ind w:firstLine="708"/>
      </w:pPr>
    </w:p>
    <w:p w14:paraId="39B06C9E" w14:textId="06DB32F5" w:rsidR="006C1E1A" w:rsidRPr="001B4CA2" w:rsidRDefault="006B59EB" w:rsidP="001C297A">
      <w:pPr>
        <w:ind w:firstLine="708"/>
      </w:pPr>
      <w:r w:rsidRPr="001B4CA2">
        <w:t xml:space="preserve">Teritorijalno, najveći broj predmeta ustupila su državna odvjetništva s područja Županijskog državnog odvjetništva u Puli (22) i Rijeci (15). Najveći broj predmeta u kojima je po zamolnici strane države preuzet kazneni progon zabilježen je u državnim odvjetništvima s područja Županijskog državnog odvjetništva u Zagrebu (11) i Varaždinu (9). </w:t>
      </w:r>
    </w:p>
    <w:p w14:paraId="6B607F77" w14:textId="0BE1B3F8" w:rsidR="00BB4D48" w:rsidRPr="001B4CA2" w:rsidRDefault="00A60F77" w:rsidP="00955E23">
      <w:pPr>
        <w:pStyle w:val="Naslov3"/>
        <w:ind w:left="0" w:firstLine="0"/>
        <w:rPr>
          <w:rFonts w:ascii="Arial" w:hAnsi="Arial" w:cs="Arial"/>
        </w:rPr>
      </w:pPr>
      <w:bookmarkStart w:id="176" w:name="_Toc133394406"/>
      <w:r w:rsidRPr="001B4CA2">
        <w:rPr>
          <w:rFonts w:ascii="Arial" w:hAnsi="Arial" w:cs="Arial"/>
        </w:rPr>
        <w:lastRenderedPageBreak/>
        <w:t>Pravosudna suradnja</w:t>
      </w:r>
      <w:bookmarkEnd w:id="176"/>
    </w:p>
    <w:p w14:paraId="5BD93F68" w14:textId="13C04349" w:rsidR="007D4356" w:rsidRPr="001B4CA2" w:rsidRDefault="007D4356" w:rsidP="007D4356"/>
    <w:p w14:paraId="2BB11900" w14:textId="2A1F3539" w:rsidR="00AD5978" w:rsidRPr="001B4CA2" w:rsidRDefault="00AD5978" w:rsidP="00AD5978">
      <w:pPr>
        <w:ind w:firstLine="708"/>
      </w:pPr>
      <w:r w:rsidRPr="001B4CA2">
        <w:t>Uvodno naglašavamo kako se predmeti pravosudne suradnje</w:t>
      </w:r>
      <w:r w:rsidR="00FD08E9">
        <w:t xml:space="preserve"> </w:t>
      </w:r>
      <w:r w:rsidRPr="001B4CA2">
        <w:t xml:space="preserve">odnose na suradnju s državama članicama Europske unije koje primjenjuju oblike pravosudne suradnje propisane Zakonom o pravosudnoj suradnji u kaznenim stvarima s državama članicama Europske unije (Narodne novine broj </w:t>
      </w:r>
      <w:hyperlink r:id="rId53" w:tgtFrame="_blank" w:history="1">
        <w:r w:rsidRPr="001B4CA2">
          <w:t>91/10</w:t>
        </w:r>
      </w:hyperlink>
      <w:r w:rsidRPr="001B4CA2">
        <w:t>,</w:t>
      </w:r>
      <w:r w:rsidR="00D272A4">
        <w:t xml:space="preserve"> </w:t>
      </w:r>
      <w:hyperlink r:id="rId54" w:tgtFrame="_blank" w:history="1">
        <w:r w:rsidRPr="001B4CA2">
          <w:t>81/13</w:t>
        </w:r>
      </w:hyperlink>
      <w:r w:rsidRPr="001B4CA2">
        <w:t>,</w:t>
      </w:r>
      <w:r w:rsidR="00D272A4">
        <w:t xml:space="preserve"> </w:t>
      </w:r>
      <w:hyperlink r:id="rId55" w:tgtFrame="_blank" w:history="1">
        <w:r w:rsidRPr="001B4CA2">
          <w:t>124/13</w:t>
        </w:r>
      </w:hyperlink>
      <w:r w:rsidRPr="001B4CA2">
        <w:t>,</w:t>
      </w:r>
      <w:r w:rsidR="00D272A4">
        <w:t xml:space="preserve"> </w:t>
      </w:r>
      <w:hyperlink r:id="rId56" w:tgtFrame="_blank" w:history="1">
        <w:r w:rsidRPr="001B4CA2">
          <w:t>26/15</w:t>
        </w:r>
      </w:hyperlink>
      <w:r w:rsidRPr="001B4CA2">
        <w:t>,</w:t>
      </w:r>
      <w:r w:rsidR="00D272A4">
        <w:t xml:space="preserve"> </w:t>
      </w:r>
      <w:hyperlink r:id="rId57" w:tgtFrame="_blank" w:history="1">
        <w:r w:rsidRPr="001B4CA2">
          <w:t>102/17</w:t>
        </w:r>
      </w:hyperlink>
      <w:r w:rsidRPr="001B4CA2">
        <w:t>,</w:t>
      </w:r>
      <w:r w:rsidR="00D272A4">
        <w:t xml:space="preserve"> </w:t>
      </w:r>
      <w:hyperlink r:id="rId58" w:tgtFrame="_blank" w:history="1">
        <w:r w:rsidRPr="001B4CA2">
          <w:t>68/18</w:t>
        </w:r>
      </w:hyperlink>
      <w:r w:rsidRPr="001B4CA2">
        <w:t>,</w:t>
      </w:r>
      <w:r w:rsidR="00D272A4">
        <w:t xml:space="preserve"> </w:t>
      </w:r>
      <w:hyperlink r:id="rId59" w:tgtFrame="_blank" w:history="1">
        <w:r w:rsidRPr="001B4CA2">
          <w:t>70/19</w:t>
        </w:r>
      </w:hyperlink>
      <w:r w:rsidRPr="001B4CA2">
        <w:t>,</w:t>
      </w:r>
      <w:r w:rsidR="00D272A4">
        <w:t xml:space="preserve"> </w:t>
      </w:r>
      <w:hyperlink r:id="rId60" w:history="1">
        <w:r w:rsidRPr="001B4CA2">
          <w:t>141/20</w:t>
        </w:r>
      </w:hyperlink>
      <w:r w:rsidRPr="001B4CA2">
        <w:t>; dalje u tekstu: ZPSKS-EU</w:t>
      </w:r>
      <w:r w:rsidR="00F47D60">
        <w:t>)</w:t>
      </w:r>
      <w:r w:rsidRPr="001B4CA2">
        <w:t xml:space="preserve"> te na određene oblike pravosudne suradnje s Republikom Islandom, Kraljevinom Norveškom i Ujedinjenim </w:t>
      </w:r>
      <w:r w:rsidR="006C1E1A">
        <w:t>K</w:t>
      </w:r>
      <w:r w:rsidRPr="001B4CA2">
        <w:t xml:space="preserve">raljevstvom Velike Britanije i Sjeverne Irske u odnosu na koje se </w:t>
      </w:r>
      <w:proofErr w:type="spellStart"/>
      <w:r w:rsidRPr="001B4CA2">
        <w:t>podredno</w:t>
      </w:r>
      <w:proofErr w:type="spellEnd"/>
      <w:r w:rsidRPr="001B4CA2">
        <w:t xml:space="preserve"> primjenjuje ZSPSKS-EU. </w:t>
      </w:r>
    </w:p>
    <w:p w14:paraId="4418D909" w14:textId="77777777" w:rsidR="00AD5978" w:rsidRPr="001B4CA2" w:rsidRDefault="00AD5978" w:rsidP="00AD5978">
      <w:pPr>
        <w:ind w:firstLine="851"/>
      </w:pPr>
    </w:p>
    <w:p w14:paraId="084B056A" w14:textId="77777777" w:rsidR="00AD5978" w:rsidRPr="001B4CA2" w:rsidRDefault="00AD5978" w:rsidP="00AD5978">
      <w:r w:rsidRPr="001B4CA2">
        <w:tab/>
        <w:t>U donjoj tablici prikazano je kretanje po vrsti predmeta pravosudne suradnje tijekom posljednje četiri godine.</w:t>
      </w:r>
    </w:p>
    <w:p w14:paraId="411B7080" w14:textId="77777777" w:rsidR="00AD5978" w:rsidRPr="001B4CA2" w:rsidRDefault="00AD5978" w:rsidP="00AD5978"/>
    <w:p w14:paraId="54B7B2CB" w14:textId="0C3ECA40" w:rsidR="00AD5978" w:rsidRPr="001B4CA2" w:rsidRDefault="00D272A4" w:rsidP="00AD5978">
      <w:pPr>
        <w:ind w:left="142"/>
        <w:rPr>
          <w:i/>
        </w:rPr>
      </w:pPr>
      <w:r>
        <w:rPr>
          <w:i/>
        </w:rPr>
        <w:t xml:space="preserve">  </w:t>
      </w:r>
      <w:r w:rsidR="00AD5978" w:rsidRPr="001B4CA2">
        <w:rPr>
          <w:i/>
        </w:rPr>
        <w:t>Pravosudna suradnja u kaznenim stvarima 2019. – 2022.</w:t>
      </w:r>
    </w:p>
    <w:tbl>
      <w:tblPr>
        <w:tblW w:w="889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7"/>
        <w:gridCol w:w="1028"/>
        <w:gridCol w:w="989"/>
        <w:gridCol w:w="1028"/>
        <w:gridCol w:w="989"/>
        <w:gridCol w:w="1028"/>
        <w:gridCol w:w="989"/>
        <w:gridCol w:w="1028"/>
        <w:gridCol w:w="901"/>
      </w:tblGrid>
      <w:tr w:rsidR="00AD5978" w:rsidRPr="001B4CA2" w14:paraId="3CBE2D50" w14:textId="77777777" w:rsidTr="00D272A4">
        <w:trPr>
          <w:trHeight w:val="335"/>
        </w:trPr>
        <w:tc>
          <w:tcPr>
            <w:tcW w:w="910" w:type="dxa"/>
            <w:vMerge w:val="restart"/>
            <w:shd w:val="clear" w:color="000000" w:fill="99CCFF"/>
            <w:vAlign w:val="center"/>
            <w:hideMark/>
          </w:tcPr>
          <w:p w14:paraId="2652FCD9" w14:textId="77777777" w:rsidR="00AD5978" w:rsidRPr="000268FF" w:rsidRDefault="00AD5978" w:rsidP="002A38E7">
            <w:pPr>
              <w:rPr>
                <w:b/>
                <w:bCs/>
                <w:sz w:val="16"/>
                <w:szCs w:val="16"/>
              </w:rPr>
            </w:pPr>
            <w:r w:rsidRPr="000268FF">
              <w:rPr>
                <w:b/>
                <w:bCs/>
                <w:sz w:val="16"/>
                <w:szCs w:val="16"/>
              </w:rPr>
              <w:t> </w:t>
            </w:r>
          </w:p>
        </w:tc>
        <w:tc>
          <w:tcPr>
            <w:tcW w:w="2017" w:type="dxa"/>
            <w:gridSpan w:val="2"/>
            <w:shd w:val="clear" w:color="000000" w:fill="99CCFF"/>
            <w:vAlign w:val="center"/>
            <w:hideMark/>
          </w:tcPr>
          <w:p w14:paraId="58BAE846" w14:textId="77777777" w:rsidR="00AD5978" w:rsidRPr="000268FF" w:rsidRDefault="00AD5978" w:rsidP="002A38E7">
            <w:pPr>
              <w:jc w:val="center"/>
              <w:rPr>
                <w:b/>
                <w:bCs/>
                <w:sz w:val="16"/>
                <w:szCs w:val="16"/>
              </w:rPr>
            </w:pPr>
            <w:r w:rsidRPr="000268FF">
              <w:rPr>
                <w:b/>
                <w:bCs/>
                <w:sz w:val="16"/>
                <w:szCs w:val="16"/>
              </w:rPr>
              <w:t>2019.</w:t>
            </w:r>
          </w:p>
        </w:tc>
        <w:tc>
          <w:tcPr>
            <w:tcW w:w="2017" w:type="dxa"/>
            <w:gridSpan w:val="2"/>
            <w:shd w:val="clear" w:color="000000" w:fill="99CCFF"/>
            <w:vAlign w:val="center"/>
            <w:hideMark/>
          </w:tcPr>
          <w:p w14:paraId="156D9E4C" w14:textId="77777777" w:rsidR="00AD5978" w:rsidRPr="000268FF" w:rsidRDefault="00AD5978" w:rsidP="002A38E7">
            <w:pPr>
              <w:jc w:val="center"/>
              <w:rPr>
                <w:b/>
                <w:bCs/>
                <w:sz w:val="16"/>
                <w:szCs w:val="16"/>
              </w:rPr>
            </w:pPr>
            <w:r w:rsidRPr="000268FF">
              <w:rPr>
                <w:b/>
                <w:bCs/>
                <w:sz w:val="16"/>
                <w:szCs w:val="16"/>
              </w:rPr>
              <w:t>2020.</w:t>
            </w:r>
          </w:p>
        </w:tc>
        <w:tc>
          <w:tcPr>
            <w:tcW w:w="2017" w:type="dxa"/>
            <w:gridSpan w:val="2"/>
            <w:shd w:val="clear" w:color="000000" w:fill="99CCFF"/>
            <w:vAlign w:val="center"/>
            <w:hideMark/>
          </w:tcPr>
          <w:p w14:paraId="295E8D6C" w14:textId="77777777" w:rsidR="00AD5978" w:rsidRPr="000268FF" w:rsidRDefault="00AD5978" w:rsidP="002A38E7">
            <w:pPr>
              <w:jc w:val="center"/>
              <w:rPr>
                <w:b/>
                <w:bCs/>
                <w:sz w:val="16"/>
                <w:szCs w:val="16"/>
              </w:rPr>
            </w:pPr>
            <w:r w:rsidRPr="000268FF">
              <w:rPr>
                <w:b/>
                <w:bCs/>
                <w:sz w:val="16"/>
                <w:szCs w:val="16"/>
              </w:rPr>
              <w:t>2021.</w:t>
            </w:r>
          </w:p>
        </w:tc>
        <w:tc>
          <w:tcPr>
            <w:tcW w:w="1929" w:type="dxa"/>
            <w:gridSpan w:val="2"/>
            <w:shd w:val="clear" w:color="000000" w:fill="99CCFF"/>
            <w:vAlign w:val="center"/>
            <w:hideMark/>
          </w:tcPr>
          <w:p w14:paraId="2B642A79" w14:textId="77777777" w:rsidR="00AD5978" w:rsidRPr="000268FF" w:rsidRDefault="00AD5978" w:rsidP="002A38E7">
            <w:pPr>
              <w:jc w:val="center"/>
              <w:rPr>
                <w:b/>
                <w:bCs/>
                <w:sz w:val="16"/>
                <w:szCs w:val="16"/>
              </w:rPr>
            </w:pPr>
            <w:r w:rsidRPr="000268FF">
              <w:rPr>
                <w:b/>
                <w:bCs/>
                <w:sz w:val="16"/>
                <w:szCs w:val="16"/>
              </w:rPr>
              <w:t>2022.</w:t>
            </w:r>
          </w:p>
        </w:tc>
      </w:tr>
      <w:tr w:rsidR="00AD5978" w:rsidRPr="001B4CA2" w14:paraId="3052CA29" w14:textId="77777777" w:rsidTr="00D272A4">
        <w:trPr>
          <w:trHeight w:val="852"/>
        </w:trPr>
        <w:tc>
          <w:tcPr>
            <w:tcW w:w="910" w:type="dxa"/>
            <w:vMerge/>
            <w:vAlign w:val="center"/>
            <w:hideMark/>
          </w:tcPr>
          <w:p w14:paraId="66DD293B" w14:textId="77777777" w:rsidR="00AD5978" w:rsidRPr="000268FF" w:rsidRDefault="00AD5978" w:rsidP="002A38E7">
            <w:pPr>
              <w:rPr>
                <w:b/>
                <w:bCs/>
                <w:sz w:val="16"/>
                <w:szCs w:val="16"/>
              </w:rPr>
            </w:pPr>
          </w:p>
        </w:tc>
        <w:tc>
          <w:tcPr>
            <w:tcW w:w="1028" w:type="dxa"/>
            <w:shd w:val="clear" w:color="000000" w:fill="99CCFF"/>
            <w:vAlign w:val="center"/>
            <w:hideMark/>
          </w:tcPr>
          <w:p w14:paraId="4D83AE19" w14:textId="77777777" w:rsidR="00AD5978" w:rsidRPr="000268FF" w:rsidRDefault="00AD5978" w:rsidP="002A38E7">
            <w:pPr>
              <w:jc w:val="left"/>
              <w:rPr>
                <w:b/>
                <w:sz w:val="16"/>
                <w:szCs w:val="16"/>
              </w:rPr>
            </w:pPr>
            <w:r w:rsidRPr="000268FF">
              <w:rPr>
                <w:b/>
                <w:sz w:val="16"/>
                <w:szCs w:val="16"/>
              </w:rPr>
              <w:t>RH kao država izdavanja</w:t>
            </w:r>
          </w:p>
        </w:tc>
        <w:tc>
          <w:tcPr>
            <w:tcW w:w="989" w:type="dxa"/>
            <w:shd w:val="clear" w:color="000000" w:fill="99CCFF"/>
            <w:vAlign w:val="center"/>
            <w:hideMark/>
          </w:tcPr>
          <w:p w14:paraId="4FBAE3FA" w14:textId="77777777" w:rsidR="00AD5978" w:rsidRPr="000268FF" w:rsidRDefault="00AD5978" w:rsidP="002A38E7">
            <w:pPr>
              <w:jc w:val="left"/>
              <w:rPr>
                <w:b/>
                <w:sz w:val="16"/>
                <w:szCs w:val="16"/>
              </w:rPr>
            </w:pPr>
            <w:r w:rsidRPr="000268FF">
              <w:rPr>
                <w:b/>
                <w:sz w:val="16"/>
                <w:szCs w:val="16"/>
              </w:rPr>
              <w:t>RH kao država izvršenja</w:t>
            </w:r>
          </w:p>
        </w:tc>
        <w:tc>
          <w:tcPr>
            <w:tcW w:w="1028" w:type="dxa"/>
            <w:shd w:val="clear" w:color="000000" w:fill="99CCFF"/>
            <w:vAlign w:val="center"/>
            <w:hideMark/>
          </w:tcPr>
          <w:p w14:paraId="4FC8C111" w14:textId="77777777" w:rsidR="00AD5978" w:rsidRPr="000268FF" w:rsidRDefault="00AD5978" w:rsidP="002A38E7">
            <w:pPr>
              <w:jc w:val="left"/>
              <w:rPr>
                <w:b/>
                <w:sz w:val="16"/>
                <w:szCs w:val="16"/>
              </w:rPr>
            </w:pPr>
            <w:r w:rsidRPr="000268FF">
              <w:rPr>
                <w:b/>
                <w:sz w:val="16"/>
                <w:szCs w:val="16"/>
              </w:rPr>
              <w:t>RH kao država izdavanja</w:t>
            </w:r>
          </w:p>
        </w:tc>
        <w:tc>
          <w:tcPr>
            <w:tcW w:w="989" w:type="dxa"/>
            <w:shd w:val="clear" w:color="000000" w:fill="99CCFF"/>
            <w:vAlign w:val="center"/>
            <w:hideMark/>
          </w:tcPr>
          <w:p w14:paraId="63A37B72" w14:textId="77777777" w:rsidR="00AD5978" w:rsidRPr="000268FF" w:rsidRDefault="00AD5978" w:rsidP="002A38E7">
            <w:pPr>
              <w:jc w:val="left"/>
              <w:rPr>
                <w:b/>
                <w:sz w:val="16"/>
                <w:szCs w:val="16"/>
              </w:rPr>
            </w:pPr>
            <w:r w:rsidRPr="000268FF">
              <w:rPr>
                <w:b/>
                <w:sz w:val="16"/>
                <w:szCs w:val="16"/>
              </w:rPr>
              <w:t>RH kao država izvršenja</w:t>
            </w:r>
          </w:p>
        </w:tc>
        <w:tc>
          <w:tcPr>
            <w:tcW w:w="1028" w:type="dxa"/>
            <w:shd w:val="clear" w:color="000000" w:fill="99CCFF"/>
            <w:vAlign w:val="center"/>
            <w:hideMark/>
          </w:tcPr>
          <w:p w14:paraId="11C3AF31" w14:textId="77777777" w:rsidR="00AD5978" w:rsidRPr="000268FF" w:rsidRDefault="00AD5978" w:rsidP="002A38E7">
            <w:pPr>
              <w:jc w:val="left"/>
              <w:rPr>
                <w:b/>
                <w:sz w:val="16"/>
                <w:szCs w:val="16"/>
              </w:rPr>
            </w:pPr>
            <w:r w:rsidRPr="000268FF">
              <w:rPr>
                <w:b/>
                <w:sz w:val="16"/>
                <w:szCs w:val="16"/>
              </w:rPr>
              <w:t>RH kao država izdavanja</w:t>
            </w:r>
          </w:p>
        </w:tc>
        <w:tc>
          <w:tcPr>
            <w:tcW w:w="989" w:type="dxa"/>
            <w:shd w:val="clear" w:color="000000" w:fill="99CCFF"/>
            <w:vAlign w:val="center"/>
            <w:hideMark/>
          </w:tcPr>
          <w:p w14:paraId="1B24980F" w14:textId="77777777" w:rsidR="00AD5978" w:rsidRPr="000268FF" w:rsidRDefault="00AD5978" w:rsidP="002A38E7">
            <w:pPr>
              <w:jc w:val="left"/>
              <w:rPr>
                <w:b/>
                <w:sz w:val="16"/>
                <w:szCs w:val="16"/>
              </w:rPr>
            </w:pPr>
            <w:r w:rsidRPr="000268FF">
              <w:rPr>
                <w:b/>
                <w:sz w:val="16"/>
                <w:szCs w:val="16"/>
              </w:rPr>
              <w:t>RH kao država izvršenja</w:t>
            </w:r>
          </w:p>
        </w:tc>
        <w:tc>
          <w:tcPr>
            <w:tcW w:w="1028" w:type="dxa"/>
            <w:shd w:val="clear" w:color="000000" w:fill="99CCFF"/>
            <w:vAlign w:val="center"/>
            <w:hideMark/>
          </w:tcPr>
          <w:p w14:paraId="65EA4632" w14:textId="77777777" w:rsidR="00AD5978" w:rsidRPr="000268FF" w:rsidRDefault="00AD5978" w:rsidP="002A38E7">
            <w:pPr>
              <w:jc w:val="left"/>
              <w:rPr>
                <w:b/>
                <w:sz w:val="16"/>
                <w:szCs w:val="16"/>
              </w:rPr>
            </w:pPr>
            <w:r w:rsidRPr="000268FF">
              <w:rPr>
                <w:b/>
                <w:sz w:val="16"/>
                <w:szCs w:val="16"/>
              </w:rPr>
              <w:t>RH kao država izdavanja</w:t>
            </w:r>
          </w:p>
        </w:tc>
        <w:tc>
          <w:tcPr>
            <w:tcW w:w="901" w:type="dxa"/>
            <w:shd w:val="clear" w:color="000000" w:fill="99CCFF"/>
            <w:vAlign w:val="center"/>
            <w:hideMark/>
          </w:tcPr>
          <w:p w14:paraId="6793E8B1" w14:textId="77777777" w:rsidR="00AD5978" w:rsidRPr="000268FF" w:rsidRDefault="00AD5978" w:rsidP="002A38E7">
            <w:pPr>
              <w:jc w:val="left"/>
              <w:rPr>
                <w:b/>
                <w:sz w:val="16"/>
                <w:szCs w:val="16"/>
              </w:rPr>
            </w:pPr>
            <w:r w:rsidRPr="000268FF">
              <w:rPr>
                <w:b/>
                <w:sz w:val="16"/>
                <w:szCs w:val="16"/>
              </w:rPr>
              <w:t>RH kao država izvršenja</w:t>
            </w:r>
          </w:p>
        </w:tc>
      </w:tr>
      <w:tr w:rsidR="00AD5978" w:rsidRPr="001B4CA2" w14:paraId="16707921" w14:textId="77777777" w:rsidTr="00D272A4">
        <w:trPr>
          <w:trHeight w:val="913"/>
        </w:trPr>
        <w:tc>
          <w:tcPr>
            <w:tcW w:w="910" w:type="dxa"/>
            <w:shd w:val="clear" w:color="auto" w:fill="auto"/>
            <w:vAlign w:val="center"/>
            <w:hideMark/>
          </w:tcPr>
          <w:p w14:paraId="73224409" w14:textId="77777777" w:rsidR="00AD5978" w:rsidRPr="000268FF" w:rsidRDefault="00AD5978" w:rsidP="002A38E7">
            <w:pPr>
              <w:rPr>
                <w:sz w:val="18"/>
                <w:szCs w:val="18"/>
              </w:rPr>
            </w:pPr>
            <w:r w:rsidRPr="000268FF">
              <w:rPr>
                <w:sz w:val="18"/>
                <w:szCs w:val="18"/>
              </w:rPr>
              <w:t>Europski uhidbeni nalog</w:t>
            </w:r>
          </w:p>
        </w:tc>
        <w:tc>
          <w:tcPr>
            <w:tcW w:w="1028" w:type="dxa"/>
            <w:shd w:val="clear" w:color="auto" w:fill="auto"/>
            <w:noWrap/>
            <w:vAlign w:val="center"/>
          </w:tcPr>
          <w:p w14:paraId="0498EF81" w14:textId="77777777" w:rsidR="00AD5978" w:rsidRPr="000268FF" w:rsidRDefault="00AD5978" w:rsidP="002A38E7">
            <w:pPr>
              <w:jc w:val="center"/>
              <w:rPr>
                <w:sz w:val="16"/>
                <w:szCs w:val="16"/>
              </w:rPr>
            </w:pPr>
            <w:r w:rsidRPr="000268FF">
              <w:rPr>
                <w:sz w:val="16"/>
                <w:szCs w:val="16"/>
              </w:rPr>
              <w:t>51</w:t>
            </w:r>
          </w:p>
        </w:tc>
        <w:tc>
          <w:tcPr>
            <w:tcW w:w="989" w:type="dxa"/>
            <w:shd w:val="clear" w:color="auto" w:fill="auto"/>
            <w:noWrap/>
            <w:vAlign w:val="center"/>
          </w:tcPr>
          <w:p w14:paraId="7A28E06E" w14:textId="77777777" w:rsidR="00AD5978" w:rsidRPr="000268FF" w:rsidRDefault="00AD5978" w:rsidP="002A38E7">
            <w:pPr>
              <w:jc w:val="center"/>
              <w:rPr>
                <w:sz w:val="16"/>
                <w:szCs w:val="16"/>
              </w:rPr>
            </w:pPr>
            <w:r w:rsidRPr="000268FF">
              <w:rPr>
                <w:sz w:val="16"/>
                <w:szCs w:val="16"/>
              </w:rPr>
              <w:t>154</w:t>
            </w:r>
          </w:p>
        </w:tc>
        <w:tc>
          <w:tcPr>
            <w:tcW w:w="1028" w:type="dxa"/>
            <w:shd w:val="clear" w:color="auto" w:fill="auto"/>
            <w:noWrap/>
            <w:vAlign w:val="center"/>
            <w:hideMark/>
          </w:tcPr>
          <w:p w14:paraId="0D36E17D" w14:textId="77777777" w:rsidR="00AD5978" w:rsidRPr="000268FF" w:rsidRDefault="00AD5978" w:rsidP="002A38E7">
            <w:pPr>
              <w:jc w:val="center"/>
              <w:rPr>
                <w:sz w:val="16"/>
                <w:szCs w:val="16"/>
              </w:rPr>
            </w:pPr>
            <w:r w:rsidRPr="000268FF">
              <w:rPr>
                <w:sz w:val="16"/>
                <w:szCs w:val="16"/>
              </w:rPr>
              <w:t>43</w:t>
            </w:r>
          </w:p>
        </w:tc>
        <w:tc>
          <w:tcPr>
            <w:tcW w:w="989" w:type="dxa"/>
            <w:shd w:val="clear" w:color="auto" w:fill="auto"/>
            <w:noWrap/>
            <w:vAlign w:val="center"/>
            <w:hideMark/>
          </w:tcPr>
          <w:p w14:paraId="0D751FE7" w14:textId="77777777" w:rsidR="00AD5978" w:rsidRPr="000268FF" w:rsidRDefault="00AD5978" w:rsidP="002A38E7">
            <w:pPr>
              <w:jc w:val="center"/>
              <w:rPr>
                <w:sz w:val="16"/>
                <w:szCs w:val="16"/>
              </w:rPr>
            </w:pPr>
            <w:r w:rsidRPr="000268FF">
              <w:rPr>
                <w:sz w:val="16"/>
                <w:szCs w:val="16"/>
              </w:rPr>
              <w:t>114</w:t>
            </w:r>
          </w:p>
        </w:tc>
        <w:tc>
          <w:tcPr>
            <w:tcW w:w="1028" w:type="dxa"/>
            <w:shd w:val="clear" w:color="auto" w:fill="auto"/>
            <w:noWrap/>
            <w:vAlign w:val="center"/>
            <w:hideMark/>
          </w:tcPr>
          <w:p w14:paraId="615589D4" w14:textId="77777777" w:rsidR="00AD5978" w:rsidRPr="000268FF" w:rsidRDefault="00AD5978" w:rsidP="002A38E7">
            <w:pPr>
              <w:jc w:val="center"/>
              <w:rPr>
                <w:sz w:val="16"/>
                <w:szCs w:val="16"/>
              </w:rPr>
            </w:pPr>
            <w:r w:rsidRPr="000268FF">
              <w:rPr>
                <w:sz w:val="16"/>
                <w:szCs w:val="16"/>
              </w:rPr>
              <w:t>101</w:t>
            </w:r>
          </w:p>
        </w:tc>
        <w:tc>
          <w:tcPr>
            <w:tcW w:w="989" w:type="dxa"/>
            <w:shd w:val="clear" w:color="auto" w:fill="auto"/>
            <w:noWrap/>
            <w:vAlign w:val="center"/>
            <w:hideMark/>
          </w:tcPr>
          <w:p w14:paraId="29956A9A" w14:textId="77777777" w:rsidR="00AD5978" w:rsidRPr="000268FF" w:rsidRDefault="00AD5978" w:rsidP="002A38E7">
            <w:pPr>
              <w:jc w:val="center"/>
              <w:rPr>
                <w:sz w:val="16"/>
                <w:szCs w:val="16"/>
              </w:rPr>
            </w:pPr>
            <w:r w:rsidRPr="000268FF">
              <w:rPr>
                <w:sz w:val="16"/>
                <w:szCs w:val="16"/>
              </w:rPr>
              <w:t>105</w:t>
            </w:r>
          </w:p>
        </w:tc>
        <w:tc>
          <w:tcPr>
            <w:tcW w:w="1028" w:type="dxa"/>
            <w:shd w:val="clear" w:color="auto" w:fill="auto"/>
            <w:noWrap/>
            <w:vAlign w:val="center"/>
          </w:tcPr>
          <w:p w14:paraId="64274E97" w14:textId="77777777" w:rsidR="00AD5978" w:rsidRPr="000268FF" w:rsidRDefault="00AD5978" w:rsidP="002A38E7">
            <w:pPr>
              <w:jc w:val="center"/>
              <w:rPr>
                <w:sz w:val="16"/>
                <w:szCs w:val="16"/>
              </w:rPr>
            </w:pPr>
            <w:r w:rsidRPr="000268FF">
              <w:rPr>
                <w:sz w:val="16"/>
                <w:szCs w:val="16"/>
              </w:rPr>
              <w:t>88</w:t>
            </w:r>
          </w:p>
        </w:tc>
        <w:tc>
          <w:tcPr>
            <w:tcW w:w="901" w:type="dxa"/>
            <w:shd w:val="clear" w:color="auto" w:fill="auto"/>
            <w:noWrap/>
            <w:vAlign w:val="center"/>
          </w:tcPr>
          <w:p w14:paraId="52FEDCFB" w14:textId="77777777" w:rsidR="00AD5978" w:rsidRPr="000268FF" w:rsidRDefault="00AD5978" w:rsidP="002A38E7">
            <w:pPr>
              <w:jc w:val="center"/>
              <w:rPr>
                <w:sz w:val="16"/>
                <w:szCs w:val="16"/>
              </w:rPr>
            </w:pPr>
            <w:r w:rsidRPr="000268FF">
              <w:rPr>
                <w:sz w:val="16"/>
                <w:szCs w:val="16"/>
              </w:rPr>
              <w:t>155</w:t>
            </w:r>
          </w:p>
        </w:tc>
      </w:tr>
      <w:tr w:rsidR="00AD5978" w:rsidRPr="001B4CA2" w14:paraId="7ED73B77" w14:textId="77777777" w:rsidTr="00D272A4">
        <w:trPr>
          <w:trHeight w:val="805"/>
        </w:trPr>
        <w:tc>
          <w:tcPr>
            <w:tcW w:w="910" w:type="dxa"/>
            <w:shd w:val="clear" w:color="auto" w:fill="auto"/>
            <w:vAlign w:val="center"/>
            <w:hideMark/>
          </w:tcPr>
          <w:p w14:paraId="73E3A8B3" w14:textId="77777777" w:rsidR="00AD5978" w:rsidRPr="000268FF" w:rsidRDefault="00AD5978" w:rsidP="002A38E7">
            <w:pPr>
              <w:rPr>
                <w:sz w:val="18"/>
                <w:szCs w:val="18"/>
              </w:rPr>
            </w:pPr>
            <w:r w:rsidRPr="000268FF">
              <w:rPr>
                <w:sz w:val="18"/>
                <w:szCs w:val="18"/>
              </w:rPr>
              <w:t>Europski istražni nalog</w:t>
            </w:r>
          </w:p>
        </w:tc>
        <w:tc>
          <w:tcPr>
            <w:tcW w:w="1028" w:type="dxa"/>
            <w:shd w:val="clear" w:color="auto" w:fill="auto"/>
            <w:noWrap/>
            <w:vAlign w:val="center"/>
          </w:tcPr>
          <w:p w14:paraId="7FCBC054" w14:textId="77777777" w:rsidR="00AD5978" w:rsidRPr="000268FF" w:rsidRDefault="00AD5978" w:rsidP="002A38E7">
            <w:pPr>
              <w:jc w:val="center"/>
              <w:rPr>
                <w:sz w:val="16"/>
                <w:szCs w:val="16"/>
              </w:rPr>
            </w:pPr>
            <w:r w:rsidRPr="000268FF">
              <w:rPr>
                <w:sz w:val="16"/>
                <w:szCs w:val="16"/>
              </w:rPr>
              <w:t>222</w:t>
            </w:r>
          </w:p>
        </w:tc>
        <w:tc>
          <w:tcPr>
            <w:tcW w:w="989" w:type="dxa"/>
            <w:shd w:val="clear" w:color="auto" w:fill="auto"/>
            <w:noWrap/>
            <w:vAlign w:val="center"/>
          </w:tcPr>
          <w:p w14:paraId="469E4689" w14:textId="77777777" w:rsidR="00AD5978" w:rsidRPr="000268FF" w:rsidRDefault="00AD5978" w:rsidP="002A38E7">
            <w:pPr>
              <w:jc w:val="center"/>
              <w:rPr>
                <w:sz w:val="16"/>
                <w:szCs w:val="16"/>
              </w:rPr>
            </w:pPr>
            <w:r w:rsidRPr="000268FF">
              <w:rPr>
                <w:sz w:val="16"/>
                <w:szCs w:val="16"/>
              </w:rPr>
              <w:t>361</w:t>
            </w:r>
          </w:p>
        </w:tc>
        <w:tc>
          <w:tcPr>
            <w:tcW w:w="1028" w:type="dxa"/>
            <w:shd w:val="clear" w:color="auto" w:fill="auto"/>
            <w:noWrap/>
            <w:vAlign w:val="center"/>
            <w:hideMark/>
          </w:tcPr>
          <w:p w14:paraId="4104BE86" w14:textId="77777777" w:rsidR="00AD5978" w:rsidRPr="000268FF" w:rsidRDefault="00AD5978" w:rsidP="002A38E7">
            <w:pPr>
              <w:jc w:val="center"/>
              <w:rPr>
                <w:sz w:val="16"/>
                <w:szCs w:val="16"/>
              </w:rPr>
            </w:pPr>
            <w:r w:rsidRPr="000268FF">
              <w:rPr>
                <w:sz w:val="16"/>
                <w:szCs w:val="16"/>
              </w:rPr>
              <w:t>216</w:t>
            </w:r>
          </w:p>
        </w:tc>
        <w:tc>
          <w:tcPr>
            <w:tcW w:w="989" w:type="dxa"/>
            <w:shd w:val="clear" w:color="auto" w:fill="auto"/>
            <w:noWrap/>
            <w:vAlign w:val="center"/>
            <w:hideMark/>
          </w:tcPr>
          <w:p w14:paraId="6E0E02D4" w14:textId="77777777" w:rsidR="00AD5978" w:rsidRPr="000268FF" w:rsidRDefault="00AD5978" w:rsidP="002A38E7">
            <w:pPr>
              <w:jc w:val="center"/>
              <w:rPr>
                <w:sz w:val="16"/>
                <w:szCs w:val="16"/>
              </w:rPr>
            </w:pPr>
            <w:r w:rsidRPr="000268FF">
              <w:rPr>
                <w:sz w:val="16"/>
                <w:szCs w:val="16"/>
              </w:rPr>
              <w:t>432</w:t>
            </w:r>
          </w:p>
        </w:tc>
        <w:tc>
          <w:tcPr>
            <w:tcW w:w="1028" w:type="dxa"/>
            <w:shd w:val="clear" w:color="auto" w:fill="auto"/>
            <w:noWrap/>
            <w:vAlign w:val="center"/>
            <w:hideMark/>
          </w:tcPr>
          <w:p w14:paraId="2A8F6B4A" w14:textId="77777777" w:rsidR="00AD5978" w:rsidRPr="000268FF" w:rsidRDefault="00AD5978" w:rsidP="002A38E7">
            <w:pPr>
              <w:jc w:val="center"/>
              <w:rPr>
                <w:sz w:val="16"/>
                <w:szCs w:val="16"/>
              </w:rPr>
            </w:pPr>
            <w:r w:rsidRPr="000268FF">
              <w:rPr>
                <w:sz w:val="16"/>
                <w:szCs w:val="16"/>
              </w:rPr>
              <w:t>270</w:t>
            </w:r>
          </w:p>
        </w:tc>
        <w:tc>
          <w:tcPr>
            <w:tcW w:w="989" w:type="dxa"/>
            <w:shd w:val="clear" w:color="auto" w:fill="auto"/>
            <w:noWrap/>
            <w:vAlign w:val="center"/>
            <w:hideMark/>
          </w:tcPr>
          <w:p w14:paraId="5B13BB7D" w14:textId="77777777" w:rsidR="00AD5978" w:rsidRPr="000268FF" w:rsidRDefault="00AD5978" w:rsidP="002A38E7">
            <w:pPr>
              <w:jc w:val="center"/>
              <w:rPr>
                <w:sz w:val="16"/>
                <w:szCs w:val="16"/>
              </w:rPr>
            </w:pPr>
            <w:r w:rsidRPr="000268FF">
              <w:rPr>
                <w:sz w:val="16"/>
                <w:szCs w:val="16"/>
              </w:rPr>
              <w:t>411</w:t>
            </w:r>
          </w:p>
        </w:tc>
        <w:tc>
          <w:tcPr>
            <w:tcW w:w="1028" w:type="dxa"/>
            <w:shd w:val="clear" w:color="auto" w:fill="auto"/>
            <w:noWrap/>
            <w:vAlign w:val="center"/>
          </w:tcPr>
          <w:p w14:paraId="1F0CA0CD" w14:textId="77777777" w:rsidR="00AD5978" w:rsidRPr="000268FF" w:rsidRDefault="00AD5978" w:rsidP="002A38E7">
            <w:pPr>
              <w:jc w:val="center"/>
              <w:rPr>
                <w:sz w:val="16"/>
                <w:szCs w:val="16"/>
              </w:rPr>
            </w:pPr>
            <w:r w:rsidRPr="000268FF">
              <w:rPr>
                <w:sz w:val="16"/>
                <w:szCs w:val="16"/>
              </w:rPr>
              <w:t>286</w:t>
            </w:r>
          </w:p>
        </w:tc>
        <w:tc>
          <w:tcPr>
            <w:tcW w:w="901" w:type="dxa"/>
            <w:shd w:val="clear" w:color="auto" w:fill="auto"/>
            <w:noWrap/>
            <w:vAlign w:val="center"/>
          </w:tcPr>
          <w:p w14:paraId="42818BA6" w14:textId="77777777" w:rsidR="00AD5978" w:rsidRPr="000268FF" w:rsidRDefault="00AD5978" w:rsidP="002A38E7">
            <w:pPr>
              <w:jc w:val="center"/>
              <w:rPr>
                <w:sz w:val="16"/>
                <w:szCs w:val="16"/>
              </w:rPr>
            </w:pPr>
            <w:r w:rsidRPr="000268FF">
              <w:rPr>
                <w:sz w:val="16"/>
                <w:szCs w:val="16"/>
              </w:rPr>
              <w:t>472</w:t>
            </w:r>
          </w:p>
        </w:tc>
      </w:tr>
      <w:tr w:rsidR="00AD5978" w:rsidRPr="001B4CA2" w14:paraId="66B48700" w14:textId="77777777" w:rsidTr="00D272A4">
        <w:trPr>
          <w:trHeight w:val="702"/>
        </w:trPr>
        <w:tc>
          <w:tcPr>
            <w:tcW w:w="910" w:type="dxa"/>
            <w:shd w:val="clear" w:color="auto" w:fill="auto"/>
            <w:noWrap/>
            <w:vAlign w:val="center"/>
            <w:hideMark/>
          </w:tcPr>
          <w:p w14:paraId="22112E1B" w14:textId="77777777" w:rsidR="00AD5978" w:rsidRPr="000268FF" w:rsidRDefault="00AD5978" w:rsidP="002A38E7">
            <w:pPr>
              <w:rPr>
                <w:sz w:val="18"/>
                <w:szCs w:val="18"/>
              </w:rPr>
            </w:pPr>
            <w:r w:rsidRPr="000268FF">
              <w:rPr>
                <w:sz w:val="18"/>
                <w:szCs w:val="18"/>
              </w:rPr>
              <w:t>Ostalo</w:t>
            </w:r>
          </w:p>
        </w:tc>
        <w:tc>
          <w:tcPr>
            <w:tcW w:w="1028" w:type="dxa"/>
            <w:shd w:val="clear" w:color="auto" w:fill="auto"/>
            <w:noWrap/>
            <w:vAlign w:val="center"/>
          </w:tcPr>
          <w:p w14:paraId="08228E9D" w14:textId="77777777" w:rsidR="00AD5978" w:rsidRPr="000268FF" w:rsidRDefault="00AD5978" w:rsidP="002A38E7">
            <w:pPr>
              <w:jc w:val="center"/>
              <w:rPr>
                <w:sz w:val="16"/>
                <w:szCs w:val="16"/>
              </w:rPr>
            </w:pPr>
            <w:r w:rsidRPr="000268FF">
              <w:rPr>
                <w:sz w:val="16"/>
                <w:szCs w:val="16"/>
              </w:rPr>
              <w:t>9</w:t>
            </w:r>
          </w:p>
        </w:tc>
        <w:tc>
          <w:tcPr>
            <w:tcW w:w="989" w:type="dxa"/>
            <w:shd w:val="clear" w:color="auto" w:fill="auto"/>
            <w:noWrap/>
            <w:vAlign w:val="center"/>
          </w:tcPr>
          <w:p w14:paraId="30C5D77B" w14:textId="77777777" w:rsidR="00AD5978" w:rsidRPr="000268FF" w:rsidRDefault="00AD5978" w:rsidP="002A38E7">
            <w:pPr>
              <w:jc w:val="center"/>
              <w:rPr>
                <w:sz w:val="16"/>
                <w:szCs w:val="16"/>
              </w:rPr>
            </w:pPr>
            <w:r w:rsidRPr="000268FF">
              <w:rPr>
                <w:sz w:val="16"/>
                <w:szCs w:val="16"/>
              </w:rPr>
              <w:t>15</w:t>
            </w:r>
          </w:p>
        </w:tc>
        <w:tc>
          <w:tcPr>
            <w:tcW w:w="1028" w:type="dxa"/>
            <w:shd w:val="clear" w:color="auto" w:fill="auto"/>
            <w:noWrap/>
            <w:vAlign w:val="center"/>
            <w:hideMark/>
          </w:tcPr>
          <w:p w14:paraId="30E8573C" w14:textId="77777777" w:rsidR="00AD5978" w:rsidRPr="000268FF" w:rsidRDefault="00AD5978" w:rsidP="002A38E7">
            <w:pPr>
              <w:jc w:val="center"/>
              <w:rPr>
                <w:sz w:val="16"/>
                <w:szCs w:val="16"/>
              </w:rPr>
            </w:pPr>
            <w:r w:rsidRPr="000268FF">
              <w:rPr>
                <w:sz w:val="16"/>
                <w:szCs w:val="16"/>
              </w:rPr>
              <w:t>11</w:t>
            </w:r>
          </w:p>
        </w:tc>
        <w:tc>
          <w:tcPr>
            <w:tcW w:w="989" w:type="dxa"/>
            <w:shd w:val="clear" w:color="auto" w:fill="auto"/>
            <w:noWrap/>
            <w:vAlign w:val="center"/>
            <w:hideMark/>
          </w:tcPr>
          <w:p w14:paraId="5C67728F" w14:textId="77777777" w:rsidR="00AD5978" w:rsidRPr="000268FF" w:rsidRDefault="00AD5978" w:rsidP="002A38E7">
            <w:pPr>
              <w:jc w:val="center"/>
              <w:rPr>
                <w:sz w:val="16"/>
                <w:szCs w:val="16"/>
              </w:rPr>
            </w:pPr>
            <w:r w:rsidRPr="000268FF">
              <w:rPr>
                <w:sz w:val="16"/>
                <w:szCs w:val="16"/>
              </w:rPr>
              <w:t>107</w:t>
            </w:r>
          </w:p>
        </w:tc>
        <w:tc>
          <w:tcPr>
            <w:tcW w:w="1028" w:type="dxa"/>
            <w:shd w:val="clear" w:color="auto" w:fill="auto"/>
            <w:noWrap/>
            <w:vAlign w:val="center"/>
            <w:hideMark/>
          </w:tcPr>
          <w:p w14:paraId="07A2C905" w14:textId="77777777" w:rsidR="00AD5978" w:rsidRPr="000268FF" w:rsidRDefault="00AD5978" w:rsidP="002A38E7">
            <w:pPr>
              <w:jc w:val="center"/>
              <w:rPr>
                <w:sz w:val="16"/>
                <w:szCs w:val="16"/>
              </w:rPr>
            </w:pPr>
            <w:r w:rsidRPr="000268FF">
              <w:rPr>
                <w:sz w:val="16"/>
                <w:szCs w:val="16"/>
              </w:rPr>
              <w:t>0</w:t>
            </w:r>
          </w:p>
        </w:tc>
        <w:tc>
          <w:tcPr>
            <w:tcW w:w="989" w:type="dxa"/>
            <w:shd w:val="clear" w:color="auto" w:fill="auto"/>
            <w:noWrap/>
            <w:vAlign w:val="center"/>
            <w:hideMark/>
          </w:tcPr>
          <w:p w14:paraId="0B067BF8" w14:textId="77777777" w:rsidR="00AD5978" w:rsidRPr="000268FF" w:rsidRDefault="00AD5978" w:rsidP="002A38E7">
            <w:pPr>
              <w:jc w:val="center"/>
              <w:rPr>
                <w:sz w:val="16"/>
                <w:szCs w:val="16"/>
              </w:rPr>
            </w:pPr>
            <w:r w:rsidRPr="000268FF">
              <w:rPr>
                <w:sz w:val="16"/>
                <w:szCs w:val="16"/>
              </w:rPr>
              <w:t>151</w:t>
            </w:r>
          </w:p>
        </w:tc>
        <w:tc>
          <w:tcPr>
            <w:tcW w:w="1028" w:type="dxa"/>
            <w:shd w:val="clear" w:color="auto" w:fill="auto"/>
            <w:noWrap/>
            <w:vAlign w:val="center"/>
          </w:tcPr>
          <w:p w14:paraId="12CE8096" w14:textId="77777777" w:rsidR="00AD5978" w:rsidRPr="000268FF" w:rsidRDefault="00AD5978" w:rsidP="002A38E7">
            <w:pPr>
              <w:jc w:val="center"/>
              <w:rPr>
                <w:sz w:val="16"/>
                <w:szCs w:val="16"/>
              </w:rPr>
            </w:pPr>
            <w:r w:rsidRPr="000268FF">
              <w:rPr>
                <w:sz w:val="16"/>
                <w:szCs w:val="16"/>
              </w:rPr>
              <w:t>8</w:t>
            </w:r>
          </w:p>
        </w:tc>
        <w:tc>
          <w:tcPr>
            <w:tcW w:w="901" w:type="dxa"/>
            <w:shd w:val="clear" w:color="auto" w:fill="auto"/>
            <w:noWrap/>
            <w:vAlign w:val="center"/>
          </w:tcPr>
          <w:p w14:paraId="1727A368" w14:textId="77777777" w:rsidR="00AD5978" w:rsidRPr="000268FF" w:rsidRDefault="00AD5978" w:rsidP="002A38E7">
            <w:pPr>
              <w:jc w:val="center"/>
              <w:rPr>
                <w:sz w:val="16"/>
                <w:szCs w:val="16"/>
              </w:rPr>
            </w:pPr>
            <w:r w:rsidRPr="000268FF">
              <w:rPr>
                <w:sz w:val="16"/>
                <w:szCs w:val="16"/>
              </w:rPr>
              <w:t>102</w:t>
            </w:r>
          </w:p>
        </w:tc>
      </w:tr>
      <w:tr w:rsidR="00AD5978" w:rsidRPr="001B4CA2" w14:paraId="65D156C4" w14:textId="77777777" w:rsidTr="00D272A4">
        <w:trPr>
          <w:trHeight w:val="698"/>
        </w:trPr>
        <w:tc>
          <w:tcPr>
            <w:tcW w:w="910" w:type="dxa"/>
            <w:shd w:val="clear" w:color="auto" w:fill="auto"/>
            <w:vAlign w:val="center"/>
            <w:hideMark/>
          </w:tcPr>
          <w:p w14:paraId="36ABEA03" w14:textId="77777777" w:rsidR="00AD5978" w:rsidRPr="000268FF" w:rsidRDefault="00AD5978" w:rsidP="002A38E7">
            <w:pPr>
              <w:rPr>
                <w:b/>
                <w:bCs/>
                <w:sz w:val="18"/>
                <w:szCs w:val="18"/>
              </w:rPr>
            </w:pPr>
            <w:r w:rsidRPr="000268FF">
              <w:rPr>
                <w:b/>
                <w:bCs/>
                <w:sz w:val="18"/>
                <w:szCs w:val="18"/>
              </w:rPr>
              <w:t>UKUPNO</w:t>
            </w:r>
          </w:p>
        </w:tc>
        <w:tc>
          <w:tcPr>
            <w:tcW w:w="1028" w:type="dxa"/>
            <w:shd w:val="clear" w:color="auto" w:fill="auto"/>
            <w:noWrap/>
            <w:vAlign w:val="center"/>
          </w:tcPr>
          <w:p w14:paraId="7C3D34DA" w14:textId="77777777" w:rsidR="00AD5978" w:rsidRPr="000268FF" w:rsidRDefault="00AD5978" w:rsidP="002A38E7">
            <w:pPr>
              <w:jc w:val="center"/>
              <w:rPr>
                <w:b/>
                <w:bCs/>
                <w:sz w:val="16"/>
                <w:szCs w:val="16"/>
              </w:rPr>
            </w:pPr>
            <w:r w:rsidRPr="000268FF">
              <w:rPr>
                <w:b/>
                <w:bCs/>
                <w:sz w:val="16"/>
                <w:szCs w:val="16"/>
              </w:rPr>
              <w:t>282</w:t>
            </w:r>
          </w:p>
        </w:tc>
        <w:tc>
          <w:tcPr>
            <w:tcW w:w="989" w:type="dxa"/>
            <w:shd w:val="clear" w:color="auto" w:fill="auto"/>
            <w:noWrap/>
            <w:vAlign w:val="center"/>
          </w:tcPr>
          <w:p w14:paraId="53217F23" w14:textId="77777777" w:rsidR="00AD5978" w:rsidRPr="000268FF" w:rsidRDefault="00AD5978" w:rsidP="002A38E7">
            <w:pPr>
              <w:jc w:val="center"/>
              <w:rPr>
                <w:b/>
                <w:bCs/>
                <w:sz w:val="16"/>
                <w:szCs w:val="16"/>
              </w:rPr>
            </w:pPr>
            <w:r w:rsidRPr="000268FF">
              <w:rPr>
                <w:b/>
                <w:bCs/>
                <w:sz w:val="16"/>
                <w:szCs w:val="16"/>
              </w:rPr>
              <w:t>530</w:t>
            </w:r>
          </w:p>
        </w:tc>
        <w:tc>
          <w:tcPr>
            <w:tcW w:w="1028" w:type="dxa"/>
            <w:shd w:val="clear" w:color="auto" w:fill="auto"/>
            <w:noWrap/>
            <w:vAlign w:val="center"/>
            <w:hideMark/>
          </w:tcPr>
          <w:p w14:paraId="471749F1" w14:textId="77777777" w:rsidR="00AD5978" w:rsidRPr="000268FF" w:rsidRDefault="00AD5978" w:rsidP="002A38E7">
            <w:pPr>
              <w:jc w:val="center"/>
              <w:rPr>
                <w:b/>
                <w:bCs/>
                <w:sz w:val="16"/>
                <w:szCs w:val="16"/>
              </w:rPr>
            </w:pPr>
            <w:r w:rsidRPr="000268FF">
              <w:rPr>
                <w:b/>
                <w:bCs/>
                <w:sz w:val="16"/>
                <w:szCs w:val="16"/>
              </w:rPr>
              <w:t>270</w:t>
            </w:r>
          </w:p>
        </w:tc>
        <w:tc>
          <w:tcPr>
            <w:tcW w:w="989" w:type="dxa"/>
            <w:shd w:val="clear" w:color="auto" w:fill="auto"/>
            <w:noWrap/>
            <w:vAlign w:val="center"/>
            <w:hideMark/>
          </w:tcPr>
          <w:p w14:paraId="637C6F6D" w14:textId="77777777" w:rsidR="00AD5978" w:rsidRPr="000268FF" w:rsidRDefault="00AD5978" w:rsidP="002A38E7">
            <w:pPr>
              <w:jc w:val="center"/>
              <w:rPr>
                <w:b/>
                <w:bCs/>
                <w:sz w:val="16"/>
                <w:szCs w:val="16"/>
              </w:rPr>
            </w:pPr>
            <w:r w:rsidRPr="000268FF">
              <w:rPr>
                <w:b/>
                <w:bCs/>
                <w:sz w:val="16"/>
                <w:szCs w:val="16"/>
              </w:rPr>
              <w:t>653</w:t>
            </w:r>
          </w:p>
        </w:tc>
        <w:tc>
          <w:tcPr>
            <w:tcW w:w="1028" w:type="dxa"/>
            <w:shd w:val="clear" w:color="auto" w:fill="auto"/>
            <w:noWrap/>
            <w:vAlign w:val="center"/>
            <w:hideMark/>
          </w:tcPr>
          <w:p w14:paraId="37CB9060" w14:textId="77777777" w:rsidR="00AD5978" w:rsidRPr="000268FF" w:rsidRDefault="00AD5978" w:rsidP="002A38E7">
            <w:pPr>
              <w:jc w:val="center"/>
              <w:rPr>
                <w:b/>
                <w:bCs/>
                <w:sz w:val="16"/>
                <w:szCs w:val="16"/>
              </w:rPr>
            </w:pPr>
            <w:r w:rsidRPr="000268FF">
              <w:rPr>
                <w:b/>
                <w:bCs/>
                <w:sz w:val="16"/>
                <w:szCs w:val="16"/>
              </w:rPr>
              <w:t>371</w:t>
            </w:r>
          </w:p>
        </w:tc>
        <w:tc>
          <w:tcPr>
            <w:tcW w:w="989" w:type="dxa"/>
            <w:shd w:val="clear" w:color="auto" w:fill="auto"/>
            <w:noWrap/>
            <w:vAlign w:val="center"/>
            <w:hideMark/>
          </w:tcPr>
          <w:p w14:paraId="176E7C4F" w14:textId="77777777" w:rsidR="00AD5978" w:rsidRPr="000268FF" w:rsidRDefault="00AD5978" w:rsidP="002A38E7">
            <w:pPr>
              <w:jc w:val="center"/>
              <w:rPr>
                <w:b/>
                <w:bCs/>
                <w:sz w:val="16"/>
                <w:szCs w:val="16"/>
              </w:rPr>
            </w:pPr>
            <w:r w:rsidRPr="000268FF">
              <w:rPr>
                <w:b/>
                <w:bCs/>
                <w:sz w:val="16"/>
                <w:szCs w:val="16"/>
              </w:rPr>
              <w:t>667</w:t>
            </w:r>
          </w:p>
        </w:tc>
        <w:tc>
          <w:tcPr>
            <w:tcW w:w="1028" w:type="dxa"/>
            <w:shd w:val="clear" w:color="auto" w:fill="auto"/>
            <w:noWrap/>
            <w:vAlign w:val="center"/>
          </w:tcPr>
          <w:p w14:paraId="04A3967B" w14:textId="77777777" w:rsidR="00AD5978" w:rsidRPr="000268FF" w:rsidRDefault="00AD5978" w:rsidP="002A38E7">
            <w:pPr>
              <w:jc w:val="center"/>
              <w:rPr>
                <w:b/>
                <w:bCs/>
                <w:sz w:val="16"/>
                <w:szCs w:val="16"/>
              </w:rPr>
            </w:pPr>
            <w:r w:rsidRPr="000268FF">
              <w:rPr>
                <w:b/>
                <w:bCs/>
                <w:sz w:val="16"/>
                <w:szCs w:val="16"/>
              </w:rPr>
              <w:t>382</w:t>
            </w:r>
          </w:p>
        </w:tc>
        <w:tc>
          <w:tcPr>
            <w:tcW w:w="901" w:type="dxa"/>
            <w:shd w:val="clear" w:color="auto" w:fill="auto"/>
            <w:noWrap/>
            <w:vAlign w:val="center"/>
          </w:tcPr>
          <w:p w14:paraId="12D08D81" w14:textId="77777777" w:rsidR="00AD5978" w:rsidRPr="000268FF" w:rsidRDefault="00AD5978" w:rsidP="002A38E7">
            <w:pPr>
              <w:jc w:val="center"/>
              <w:rPr>
                <w:b/>
                <w:bCs/>
                <w:sz w:val="16"/>
                <w:szCs w:val="16"/>
              </w:rPr>
            </w:pPr>
            <w:r w:rsidRPr="000268FF">
              <w:rPr>
                <w:b/>
                <w:bCs/>
                <w:sz w:val="16"/>
                <w:szCs w:val="16"/>
              </w:rPr>
              <w:t>729</w:t>
            </w:r>
          </w:p>
        </w:tc>
      </w:tr>
    </w:tbl>
    <w:p w14:paraId="2AFA934B" w14:textId="77777777" w:rsidR="00AD5978" w:rsidRPr="001B4CA2" w:rsidRDefault="00AD5978" w:rsidP="00AD5978"/>
    <w:p w14:paraId="69F161E9" w14:textId="7D4A91B9" w:rsidR="00AD5978" w:rsidRPr="001B4CA2" w:rsidRDefault="00AD5978" w:rsidP="00AD5978">
      <w:pPr>
        <w:ind w:firstLine="708"/>
      </w:pPr>
      <w:r w:rsidRPr="001B4CA2">
        <w:t>Kao što je uvodno navedeno</w:t>
      </w:r>
      <w:r w:rsidR="006C1E1A">
        <w:t>,</w:t>
      </w:r>
      <w:r w:rsidRPr="001B4CA2">
        <w:t xml:space="preserve"> u 2022. godin</w:t>
      </w:r>
      <w:r w:rsidR="006C1E1A">
        <w:t>i</w:t>
      </w:r>
      <w:r w:rsidRPr="001B4CA2">
        <w:t xml:space="preserve"> </w:t>
      </w:r>
      <w:r w:rsidR="006C1E1A">
        <w:t>za</w:t>
      </w:r>
      <w:r w:rsidRPr="001B4CA2">
        <w:t>bilježen je trend stagnacije ukupnog broja predmeta pravosudne suradnje. Unatoč neznatnom porastu ukupnog broja predmeta pravosudne suradnje, primijećen je trend porasta broj</w:t>
      </w:r>
      <w:r w:rsidR="006C1E1A">
        <w:t>a</w:t>
      </w:r>
      <w:r w:rsidRPr="001B4CA2">
        <w:t xml:space="preserve"> predmeta pravosudne suradnje u kojima Republika Hrvatska postupa kao država izvršenja (porast od 9,3 %), i to u odnosu na broj izvršenih europskih uhidbenih naloga (porast od 47,6</w:t>
      </w:r>
      <w:r w:rsidR="006C1E1A">
        <w:t> </w:t>
      </w:r>
      <w:r w:rsidRPr="001B4CA2">
        <w:t xml:space="preserve">%), </w:t>
      </w:r>
      <w:r w:rsidR="006C1E1A">
        <w:t>ali</w:t>
      </w:r>
      <w:r w:rsidRPr="001B4CA2">
        <w:t xml:space="preserve"> i u odnosu na broj izvršenih europskih istražnih naloga (porast od 14,8</w:t>
      </w:r>
      <w:r w:rsidR="006C1E1A">
        <w:t> </w:t>
      </w:r>
      <w:r w:rsidRPr="001B4CA2">
        <w:t xml:space="preserve">%). Navedeni trend odraz je ukidanja protuepidemijskih mjera koje su tijekom 2020. i 2021. godine </w:t>
      </w:r>
      <w:r w:rsidRPr="001B4CA2">
        <w:rPr>
          <w:i/>
        </w:rPr>
        <w:t>de facto</w:t>
      </w:r>
      <w:r w:rsidRPr="001B4CA2">
        <w:t xml:space="preserve"> ograničavale slobodu kretanja u okviru Europske unije</w:t>
      </w:r>
      <w:r w:rsidR="006C1E1A">
        <w:t xml:space="preserve"> te</w:t>
      </w:r>
      <w:r w:rsidRPr="001B4CA2">
        <w:t xml:space="preserve"> otežavale postupke predaje traženih osoba i</w:t>
      </w:r>
      <w:r w:rsidR="00FD08E9">
        <w:t xml:space="preserve"> </w:t>
      </w:r>
      <w:r w:rsidRPr="001B4CA2">
        <w:t xml:space="preserve">provođenja dokaznih radnji. </w:t>
      </w:r>
    </w:p>
    <w:p w14:paraId="6C46144A" w14:textId="77777777" w:rsidR="00AD5978" w:rsidRPr="001B4CA2" w:rsidRDefault="00AD5978" w:rsidP="00AD5978">
      <w:pPr>
        <w:ind w:firstLine="708"/>
      </w:pPr>
    </w:p>
    <w:p w14:paraId="57854342" w14:textId="778BFF03" w:rsidR="00AD5978" w:rsidRPr="001B4CA2" w:rsidRDefault="00FD08E9" w:rsidP="00AD5978">
      <w:r>
        <w:tab/>
      </w:r>
      <w:r w:rsidR="00AD5978" w:rsidRPr="001B4CA2">
        <w:t>U donjoj tablici prikazano je kretanje broja predmeta pravosudne suradnje u 2021. godini po vrsti predmeta te stvarnoj nadležnosti.</w:t>
      </w:r>
    </w:p>
    <w:p w14:paraId="4293F851" w14:textId="004F44B5" w:rsidR="001C297A" w:rsidRPr="001B4CA2" w:rsidRDefault="001C297A" w:rsidP="00AD5978"/>
    <w:p w14:paraId="7C0B9217" w14:textId="62F0815A" w:rsidR="001C297A" w:rsidRPr="001B4CA2" w:rsidRDefault="001C297A" w:rsidP="00AD5978"/>
    <w:p w14:paraId="3F9F51CE" w14:textId="5E122C31" w:rsidR="001C297A" w:rsidRPr="001B4CA2" w:rsidRDefault="001C297A" w:rsidP="00AD5978"/>
    <w:p w14:paraId="7A364444" w14:textId="0EE5D732" w:rsidR="001C297A" w:rsidRPr="001B4CA2" w:rsidRDefault="001C297A" w:rsidP="00AD5978"/>
    <w:p w14:paraId="227D619F" w14:textId="77777777" w:rsidR="001C297A" w:rsidRPr="001B4CA2" w:rsidRDefault="001C297A" w:rsidP="00AD5978"/>
    <w:p w14:paraId="2E7215DE" w14:textId="3F7DDB2A" w:rsidR="00AD5978" w:rsidRDefault="00AD5978" w:rsidP="00AD5978"/>
    <w:p w14:paraId="5A4DBCDD" w14:textId="77777777" w:rsidR="000268FF" w:rsidRPr="001B4CA2" w:rsidRDefault="000268FF" w:rsidP="00AD5978"/>
    <w:p w14:paraId="69BDA5C9" w14:textId="5FE1BFE8" w:rsidR="00AD5978" w:rsidRPr="001B4CA2" w:rsidRDefault="000268FF" w:rsidP="00AD5978">
      <w:pPr>
        <w:ind w:left="142"/>
        <w:rPr>
          <w:i/>
        </w:rPr>
      </w:pPr>
      <w:r>
        <w:rPr>
          <w:i/>
        </w:rPr>
        <w:lastRenderedPageBreak/>
        <w:t xml:space="preserve"> </w:t>
      </w:r>
      <w:r w:rsidR="00D272A4">
        <w:rPr>
          <w:i/>
        </w:rPr>
        <w:t xml:space="preserve"> </w:t>
      </w:r>
      <w:r w:rsidR="00AD5978" w:rsidRPr="001B4CA2">
        <w:rPr>
          <w:i/>
        </w:rPr>
        <w:t>Pravosudna suradnja u kaznenim stvarima u 2022. godini</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7"/>
        <w:gridCol w:w="1026"/>
        <w:gridCol w:w="986"/>
        <w:gridCol w:w="960"/>
        <w:gridCol w:w="901"/>
        <w:gridCol w:w="1084"/>
        <w:gridCol w:w="992"/>
        <w:gridCol w:w="992"/>
        <w:gridCol w:w="901"/>
      </w:tblGrid>
      <w:tr w:rsidR="00AD5978" w:rsidRPr="001B4CA2" w14:paraId="5BCBA2B0" w14:textId="77777777" w:rsidTr="000268FF">
        <w:trPr>
          <w:trHeight w:val="315"/>
        </w:trPr>
        <w:tc>
          <w:tcPr>
            <w:tcW w:w="997" w:type="dxa"/>
            <w:vMerge w:val="restart"/>
            <w:shd w:val="clear" w:color="000000" w:fill="99CCFF"/>
            <w:vAlign w:val="center"/>
            <w:hideMark/>
          </w:tcPr>
          <w:p w14:paraId="2B8DFC71" w14:textId="77777777" w:rsidR="00AD5978" w:rsidRPr="001B4CA2" w:rsidRDefault="00AD5978" w:rsidP="002A38E7">
            <w:pPr>
              <w:rPr>
                <w:b/>
                <w:bCs/>
                <w:sz w:val="18"/>
                <w:szCs w:val="18"/>
              </w:rPr>
            </w:pPr>
            <w:r w:rsidRPr="001B4CA2">
              <w:rPr>
                <w:b/>
                <w:bCs/>
                <w:sz w:val="18"/>
                <w:szCs w:val="18"/>
              </w:rPr>
              <w:t> </w:t>
            </w:r>
          </w:p>
        </w:tc>
        <w:tc>
          <w:tcPr>
            <w:tcW w:w="2012" w:type="dxa"/>
            <w:gridSpan w:val="2"/>
            <w:shd w:val="clear" w:color="000000" w:fill="99CCFF"/>
            <w:vAlign w:val="center"/>
            <w:hideMark/>
          </w:tcPr>
          <w:p w14:paraId="011A4E86" w14:textId="77777777" w:rsidR="00AD5978" w:rsidRPr="000268FF" w:rsidRDefault="00AD5978" w:rsidP="002A38E7">
            <w:pPr>
              <w:jc w:val="center"/>
              <w:rPr>
                <w:b/>
                <w:bCs/>
                <w:sz w:val="16"/>
                <w:szCs w:val="16"/>
              </w:rPr>
            </w:pPr>
            <w:r w:rsidRPr="000268FF">
              <w:rPr>
                <w:b/>
                <w:bCs/>
                <w:sz w:val="16"/>
                <w:szCs w:val="16"/>
              </w:rPr>
              <w:t>ODO</w:t>
            </w:r>
          </w:p>
        </w:tc>
        <w:tc>
          <w:tcPr>
            <w:tcW w:w="1861" w:type="dxa"/>
            <w:gridSpan w:val="2"/>
            <w:shd w:val="clear" w:color="000000" w:fill="99CCFF"/>
            <w:vAlign w:val="center"/>
            <w:hideMark/>
          </w:tcPr>
          <w:p w14:paraId="69432B7E" w14:textId="77777777" w:rsidR="00AD5978" w:rsidRPr="000268FF" w:rsidRDefault="00AD5978" w:rsidP="002A38E7">
            <w:pPr>
              <w:jc w:val="center"/>
              <w:rPr>
                <w:b/>
                <w:bCs/>
                <w:sz w:val="16"/>
                <w:szCs w:val="16"/>
              </w:rPr>
            </w:pPr>
            <w:r w:rsidRPr="000268FF">
              <w:rPr>
                <w:b/>
                <w:bCs/>
                <w:sz w:val="16"/>
                <w:szCs w:val="16"/>
              </w:rPr>
              <w:t>ŽDO</w:t>
            </w:r>
          </w:p>
        </w:tc>
        <w:tc>
          <w:tcPr>
            <w:tcW w:w="2076" w:type="dxa"/>
            <w:gridSpan w:val="2"/>
            <w:shd w:val="clear" w:color="000000" w:fill="99CCFF"/>
            <w:vAlign w:val="center"/>
            <w:hideMark/>
          </w:tcPr>
          <w:p w14:paraId="50E85F2F" w14:textId="77777777" w:rsidR="00AD5978" w:rsidRPr="000268FF" w:rsidRDefault="00AD5978" w:rsidP="002A38E7">
            <w:pPr>
              <w:jc w:val="center"/>
              <w:rPr>
                <w:b/>
                <w:bCs/>
                <w:sz w:val="16"/>
                <w:szCs w:val="16"/>
              </w:rPr>
            </w:pPr>
            <w:r w:rsidRPr="000268FF">
              <w:rPr>
                <w:b/>
                <w:bCs/>
                <w:sz w:val="16"/>
                <w:szCs w:val="16"/>
              </w:rPr>
              <w:t>USKOK</w:t>
            </w:r>
          </w:p>
        </w:tc>
        <w:tc>
          <w:tcPr>
            <w:tcW w:w="1843" w:type="dxa"/>
            <w:gridSpan w:val="2"/>
            <w:shd w:val="clear" w:color="000000" w:fill="99CCFF"/>
            <w:vAlign w:val="center"/>
            <w:hideMark/>
          </w:tcPr>
          <w:p w14:paraId="7D986E47" w14:textId="77777777" w:rsidR="00AD5978" w:rsidRPr="000268FF" w:rsidRDefault="00AD5978" w:rsidP="002A38E7">
            <w:pPr>
              <w:jc w:val="center"/>
              <w:rPr>
                <w:b/>
                <w:bCs/>
                <w:sz w:val="16"/>
                <w:szCs w:val="16"/>
              </w:rPr>
            </w:pPr>
            <w:r w:rsidRPr="000268FF">
              <w:rPr>
                <w:b/>
                <w:bCs/>
                <w:sz w:val="16"/>
                <w:szCs w:val="16"/>
              </w:rPr>
              <w:t>UKUPNO</w:t>
            </w:r>
          </w:p>
        </w:tc>
      </w:tr>
      <w:tr w:rsidR="000268FF" w:rsidRPr="001B4CA2" w14:paraId="65DAA29D" w14:textId="77777777" w:rsidTr="000268FF">
        <w:trPr>
          <w:trHeight w:val="885"/>
        </w:trPr>
        <w:tc>
          <w:tcPr>
            <w:tcW w:w="997" w:type="dxa"/>
            <w:vMerge/>
            <w:vAlign w:val="center"/>
            <w:hideMark/>
          </w:tcPr>
          <w:p w14:paraId="2E2D0E62" w14:textId="77777777" w:rsidR="00AD5978" w:rsidRPr="001B4CA2" w:rsidRDefault="00AD5978" w:rsidP="002A38E7">
            <w:pPr>
              <w:rPr>
                <w:b/>
                <w:bCs/>
                <w:sz w:val="18"/>
                <w:szCs w:val="18"/>
              </w:rPr>
            </w:pPr>
          </w:p>
        </w:tc>
        <w:tc>
          <w:tcPr>
            <w:tcW w:w="1026" w:type="dxa"/>
            <w:shd w:val="clear" w:color="000000" w:fill="99CCFF"/>
            <w:vAlign w:val="center"/>
            <w:hideMark/>
          </w:tcPr>
          <w:p w14:paraId="118D9448" w14:textId="77777777" w:rsidR="00AD5978" w:rsidRPr="000268FF" w:rsidRDefault="00AD5978" w:rsidP="002A38E7">
            <w:pPr>
              <w:jc w:val="left"/>
              <w:rPr>
                <w:b/>
                <w:sz w:val="16"/>
                <w:szCs w:val="16"/>
              </w:rPr>
            </w:pPr>
            <w:r w:rsidRPr="000268FF">
              <w:rPr>
                <w:b/>
                <w:sz w:val="16"/>
                <w:szCs w:val="16"/>
              </w:rPr>
              <w:t>RH kao država izdavanja</w:t>
            </w:r>
          </w:p>
        </w:tc>
        <w:tc>
          <w:tcPr>
            <w:tcW w:w="986" w:type="dxa"/>
            <w:shd w:val="clear" w:color="000000" w:fill="99CCFF"/>
            <w:vAlign w:val="center"/>
            <w:hideMark/>
          </w:tcPr>
          <w:p w14:paraId="7F7E36FD" w14:textId="77777777" w:rsidR="00AD5978" w:rsidRPr="000268FF" w:rsidRDefault="00AD5978" w:rsidP="002A38E7">
            <w:pPr>
              <w:jc w:val="left"/>
              <w:rPr>
                <w:b/>
                <w:sz w:val="16"/>
                <w:szCs w:val="16"/>
              </w:rPr>
            </w:pPr>
            <w:r w:rsidRPr="000268FF">
              <w:rPr>
                <w:b/>
                <w:sz w:val="16"/>
                <w:szCs w:val="16"/>
              </w:rPr>
              <w:t>RH kao država izvršenja</w:t>
            </w:r>
          </w:p>
        </w:tc>
        <w:tc>
          <w:tcPr>
            <w:tcW w:w="960" w:type="dxa"/>
            <w:shd w:val="clear" w:color="000000" w:fill="99CCFF"/>
            <w:vAlign w:val="center"/>
            <w:hideMark/>
          </w:tcPr>
          <w:p w14:paraId="281087E4" w14:textId="77777777" w:rsidR="00AD5978" w:rsidRPr="000268FF" w:rsidRDefault="00AD5978" w:rsidP="002A38E7">
            <w:pPr>
              <w:jc w:val="left"/>
              <w:rPr>
                <w:b/>
                <w:sz w:val="16"/>
                <w:szCs w:val="16"/>
              </w:rPr>
            </w:pPr>
            <w:r w:rsidRPr="000268FF">
              <w:rPr>
                <w:b/>
                <w:sz w:val="16"/>
                <w:szCs w:val="16"/>
              </w:rPr>
              <w:t>RH kao država izdavanja</w:t>
            </w:r>
          </w:p>
        </w:tc>
        <w:tc>
          <w:tcPr>
            <w:tcW w:w="901" w:type="dxa"/>
            <w:shd w:val="clear" w:color="000000" w:fill="99CCFF"/>
            <w:vAlign w:val="center"/>
            <w:hideMark/>
          </w:tcPr>
          <w:p w14:paraId="1D39F299" w14:textId="77777777" w:rsidR="00AD5978" w:rsidRPr="000268FF" w:rsidRDefault="00AD5978" w:rsidP="002A38E7">
            <w:pPr>
              <w:jc w:val="left"/>
              <w:rPr>
                <w:b/>
                <w:sz w:val="16"/>
                <w:szCs w:val="16"/>
              </w:rPr>
            </w:pPr>
            <w:r w:rsidRPr="000268FF">
              <w:rPr>
                <w:b/>
                <w:sz w:val="16"/>
                <w:szCs w:val="16"/>
              </w:rPr>
              <w:t>RH kao država izvršenja</w:t>
            </w:r>
          </w:p>
        </w:tc>
        <w:tc>
          <w:tcPr>
            <w:tcW w:w="1084" w:type="dxa"/>
            <w:shd w:val="clear" w:color="000000" w:fill="99CCFF"/>
            <w:vAlign w:val="center"/>
            <w:hideMark/>
          </w:tcPr>
          <w:p w14:paraId="531C96F8" w14:textId="77777777" w:rsidR="00AD5978" w:rsidRPr="000268FF" w:rsidRDefault="00AD5978" w:rsidP="002A38E7">
            <w:pPr>
              <w:jc w:val="left"/>
              <w:rPr>
                <w:b/>
                <w:sz w:val="16"/>
                <w:szCs w:val="16"/>
              </w:rPr>
            </w:pPr>
            <w:r w:rsidRPr="000268FF">
              <w:rPr>
                <w:b/>
                <w:sz w:val="16"/>
                <w:szCs w:val="16"/>
              </w:rPr>
              <w:t>RH kao država izdavanja</w:t>
            </w:r>
          </w:p>
        </w:tc>
        <w:tc>
          <w:tcPr>
            <w:tcW w:w="992" w:type="dxa"/>
            <w:shd w:val="clear" w:color="000000" w:fill="99CCFF"/>
            <w:vAlign w:val="center"/>
            <w:hideMark/>
          </w:tcPr>
          <w:p w14:paraId="0AD89B90" w14:textId="77777777" w:rsidR="00AD5978" w:rsidRPr="000268FF" w:rsidRDefault="00AD5978" w:rsidP="002A38E7">
            <w:pPr>
              <w:jc w:val="left"/>
              <w:rPr>
                <w:b/>
                <w:sz w:val="16"/>
                <w:szCs w:val="16"/>
              </w:rPr>
            </w:pPr>
            <w:r w:rsidRPr="000268FF">
              <w:rPr>
                <w:b/>
                <w:sz w:val="16"/>
                <w:szCs w:val="16"/>
              </w:rPr>
              <w:t>RH kao država izvršenja</w:t>
            </w:r>
          </w:p>
        </w:tc>
        <w:tc>
          <w:tcPr>
            <w:tcW w:w="992" w:type="dxa"/>
            <w:shd w:val="clear" w:color="000000" w:fill="99CCFF"/>
            <w:vAlign w:val="center"/>
            <w:hideMark/>
          </w:tcPr>
          <w:p w14:paraId="32D49345" w14:textId="77777777" w:rsidR="00AD5978" w:rsidRPr="000268FF" w:rsidRDefault="00AD5978" w:rsidP="002A38E7">
            <w:pPr>
              <w:jc w:val="left"/>
              <w:rPr>
                <w:b/>
                <w:sz w:val="16"/>
                <w:szCs w:val="16"/>
              </w:rPr>
            </w:pPr>
            <w:r w:rsidRPr="000268FF">
              <w:rPr>
                <w:b/>
                <w:sz w:val="16"/>
                <w:szCs w:val="16"/>
              </w:rPr>
              <w:t>RH kao država izdavanja</w:t>
            </w:r>
          </w:p>
        </w:tc>
        <w:tc>
          <w:tcPr>
            <w:tcW w:w="851" w:type="dxa"/>
            <w:shd w:val="clear" w:color="000000" w:fill="99CCFF"/>
            <w:vAlign w:val="center"/>
            <w:hideMark/>
          </w:tcPr>
          <w:p w14:paraId="20227B23" w14:textId="77777777" w:rsidR="00AD5978" w:rsidRPr="000268FF" w:rsidRDefault="00AD5978" w:rsidP="002A38E7">
            <w:pPr>
              <w:jc w:val="left"/>
              <w:rPr>
                <w:b/>
                <w:sz w:val="16"/>
                <w:szCs w:val="16"/>
              </w:rPr>
            </w:pPr>
            <w:r w:rsidRPr="000268FF">
              <w:rPr>
                <w:b/>
                <w:sz w:val="16"/>
                <w:szCs w:val="16"/>
              </w:rPr>
              <w:t>RH kao država izvršenja</w:t>
            </w:r>
          </w:p>
        </w:tc>
      </w:tr>
      <w:tr w:rsidR="000268FF" w:rsidRPr="001B4CA2" w14:paraId="4F38860D" w14:textId="77777777" w:rsidTr="000268FF">
        <w:trPr>
          <w:trHeight w:val="735"/>
        </w:trPr>
        <w:tc>
          <w:tcPr>
            <w:tcW w:w="997" w:type="dxa"/>
            <w:shd w:val="clear" w:color="auto" w:fill="auto"/>
            <w:vAlign w:val="center"/>
            <w:hideMark/>
          </w:tcPr>
          <w:p w14:paraId="0F9D4405" w14:textId="77777777" w:rsidR="00AD5978" w:rsidRPr="001B4CA2" w:rsidRDefault="00AD5978" w:rsidP="002A38E7">
            <w:pPr>
              <w:rPr>
                <w:sz w:val="18"/>
                <w:szCs w:val="18"/>
              </w:rPr>
            </w:pPr>
            <w:r w:rsidRPr="001B4CA2">
              <w:rPr>
                <w:sz w:val="18"/>
                <w:szCs w:val="18"/>
              </w:rPr>
              <w:t>Europski uhidbeni nalog</w:t>
            </w:r>
          </w:p>
        </w:tc>
        <w:tc>
          <w:tcPr>
            <w:tcW w:w="1026" w:type="dxa"/>
            <w:shd w:val="clear" w:color="auto" w:fill="auto"/>
            <w:noWrap/>
            <w:vAlign w:val="center"/>
          </w:tcPr>
          <w:p w14:paraId="1F472545" w14:textId="77777777" w:rsidR="00AD5978" w:rsidRPr="001B4CA2" w:rsidRDefault="00AD5978" w:rsidP="002A38E7">
            <w:pPr>
              <w:jc w:val="center"/>
              <w:rPr>
                <w:sz w:val="18"/>
                <w:szCs w:val="18"/>
              </w:rPr>
            </w:pPr>
            <w:r w:rsidRPr="001B4CA2">
              <w:rPr>
                <w:sz w:val="18"/>
                <w:szCs w:val="18"/>
              </w:rPr>
              <w:t>46</w:t>
            </w:r>
          </w:p>
        </w:tc>
        <w:tc>
          <w:tcPr>
            <w:tcW w:w="986" w:type="dxa"/>
            <w:shd w:val="clear" w:color="auto" w:fill="auto"/>
            <w:noWrap/>
            <w:vAlign w:val="center"/>
          </w:tcPr>
          <w:p w14:paraId="076D9D6A" w14:textId="77777777" w:rsidR="00AD5978" w:rsidRPr="001B4CA2" w:rsidRDefault="00AD5978" w:rsidP="002A38E7">
            <w:pPr>
              <w:jc w:val="center"/>
              <w:rPr>
                <w:sz w:val="18"/>
                <w:szCs w:val="18"/>
              </w:rPr>
            </w:pPr>
            <w:r w:rsidRPr="001B4CA2">
              <w:rPr>
                <w:sz w:val="18"/>
                <w:szCs w:val="18"/>
              </w:rPr>
              <w:t>1</w:t>
            </w:r>
          </w:p>
        </w:tc>
        <w:tc>
          <w:tcPr>
            <w:tcW w:w="960" w:type="dxa"/>
            <w:shd w:val="clear" w:color="auto" w:fill="auto"/>
            <w:noWrap/>
            <w:vAlign w:val="center"/>
          </w:tcPr>
          <w:p w14:paraId="133C9AB7" w14:textId="77777777" w:rsidR="00AD5978" w:rsidRPr="001B4CA2" w:rsidRDefault="00AD5978" w:rsidP="002A38E7">
            <w:pPr>
              <w:jc w:val="center"/>
              <w:rPr>
                <w:sz w:val="18"/>
                <w:szCs w:val="18"/>
              </w:rPr>
            </w:pPr>
            <w:r w:rsidRPr="001B4CA2">
              <w:rPr>
                <w:sz w:val="18"/>
                <w:szCs w:val="18"/>
              </w:rPr>
              <w:t>24</w:t>
            </w:r>
          </w:p>
        </w:tc>
        <w:tc>
          <w:tcPr>
            <w:tcW w:w="901" w:type="dxa"/>
            <w:shd w:val="clear" w:color="auto" w:fill="auto"/>
            <w:noWrap/>
            <w:vAlign w:val="center"/>
          </w:tcPr>
          <w:p w14:paraId="17082298" w14:textId="77777777" w:rsidR="00AD5978" w:rsidRPr="001B4CA2" w:rsidRDefault="00AD5978" w:rsidP="002A38E7">
            <w:pPr>
              <w:jc w:val="center"/>
              <w:rPr>
                <w:sz w:val="18"/>
                <w:szCs w:val="18"/>
              </w:rPr>
            </w:pPr>
            <w:r w:rsidRPr="001B4CA2">
              <w:rPr>
                <w:sz w:val="18"/>
                <w:szCs w:val="18"/>
              </w:rPr>
              <w:t>154</w:t>
            </w:r>
          </w:p>
        </w:tc>
        <w:tc>
          <w:tcPr>
            <w:tcW w:w="1084" w:type="dxa"/>
            <w:shd w:val="clear" w:color="auto" w:fill="auto"/>
            <w:noWrap/>
            <w:vAlign w:val="center"/>
          </w:tcPr>
          <w:p w14:paraId="2E23D8F8" w14:textId="77777777" w:rsidR="00AD5978" w:rsidRPr="001B4CA2" w:rsidRDefault="00AD5978" w:rsidP="002A38E7">
            <w:pPr>
              <w:jc w:val="center"/>
              <w:rPr>
                <w:sz w:val="18"/>
                <w:szCs w:val="18"/>
              </w:rPr>
            </w:pPr>
            <w:r w:rsidRPr="001B4CA2">
              <w:rPr>
                <w:sz w:val="18"/>
                <w:szCs w:val="18"/>
              </w:rPr>
              <w:t>18</w:t>
            </w:r>
          </w:p>
        </w:tc>
        <w:tc>
          <w:tcPr>
            <w:tcW w:w="992" w:type="dxa"/>
            <w:shd w:val="clear" w:color="auto" w:fill="auto"/>
            <w:noWrap/>
            <w:vAlign w:val="center"/>
          </w:tcPr>
          <w:p w14:paraId="30475AF7" w14:textId="77777777" w:rsidR="00AD5978" w:rsidRPr="001B4CA2" w:rsidRDefault="00AD5978" w:rsidP="002A38E7">
            <w:pPr>
              <w:jc w:val="center"/>
              <w:rPr>
                <w:sz w:val="18"/>
                <w:szCs w:val="18"/>
              </w:rPr>
            </w:pPr>
            <w:r w:rsidRPr="001B4CA2">
              <w:rPr>
                <w:sz w:val="18"/>
                <w:szCs w:val="18"/>
              </w:rPr>
              <w:t>0</w:t>
            </w:r>
          </w:p>
        </w:tc>
        <w:tc>
          <w:tcPr>
            <w:tcW w:w="992" w:type="dxa"/>
            <w:shd w:val="clear" w:color="auto" w:fill="auto"/>
            <w:noWrap/>
            <w:vAlign w:val="center"/>
          </w:tcPr>
          <w:p w14:paraId="3C798A66" w14:textId="77777777" w:rsidR="00AD5978" w:rsidRPr="001B4CA2" w:rsidRDefault="00AD5978" w:rsidP="002A38E7">
            <w:pPr>
              <w:jc w:val="center"/>
              <w:rPr>
                <w:sz w:val="18"/>
                <w:szCs w:val="18"/>
              </w:rPr>
            </w:pPr>
            <w:r w:rsidRPr="001B4CA2">
              <w:rPr>
                <w:sz w:val="18"/>
                <w:szCs w:val="18"/>
              </w:rPr>
              <w:t>88</w:t>
            </w:r>
          </w:p>
        </w:tc>
        <w:tc>
          <w:tcPr>
            <w:tcW w:w="851" w:type="dxa"/>
            <w:shd w:val="clear" w:color="auto" w:fill="auto"/>
            <w:noWrap/>
            <w:vAlign w:val="center"/>
          </w:tcPr>
          <w:p w14:paraId="1DBF4EA3" w14:textId="77777777" w:rsidR="00AD5978" w:rsidRPr="001B4CA2" w:rsidRDefault="00AD5978" w:rsidP="002A38E7">
            <w:pPr>
              <w:jc w:val="center"/>
              <w:rPr>
                <w:sz w:val="18"/>
                <w:szCs w:val="18"/>
              </w:rPr>
            </w:pPr>
            <w:r w:rsidRPr="001B4CA2">
              <w:rPr>
                <w:sz w:val="18"/>
                <w:szCs w:val="18"/>
              </w:rPr>
              <w:t>155</w:t>
            </w:r>
          </w:p>
        </w:tc>
      </w:tr>
      <w:tr w:rsidR="000268FF" w:rsidRPr="001B4CA2" w14:paraId="57AC42B1" w14:textId="77777777" w:rsidTr="000268FF">
        <w:trPr>
          <w:trHeight w:val="735"/>
        </w:trPr>
        <w:tc>
          <w:tcPr>
            <w:tcW w:w="997" w:type="dxa"/>
            <w:shd w:val="clear" w:color="auto" w:fill="auto"/>
            <w:vAlign w:val="center"/>
            <w:hideMark/>
          </w:tcPr>
          <w:p w14:paraId="467B7B76" w14:textId="77777777" w:rsidR="00AD5978" w:rsidRPr="001B4CA2" w:rsidRDefault="00AD5978" w:rsidP="002A38E7">
            <w:pPr>
              <w:rPr>
                <w:sz w:val="18"/>
                <w:szCs w:val="18"/>
              </w:rPr>
            </w:pPr>
            <w:r w:rsidRPr="001B4CA2">
              <w:rPr>
                <w:sz w:val="18"/>
                <w:szCs w:val="18"/>
              </w:rPr>
              <w:t>Europski istražni nalog</w:t>
            </w:r>
          </w:p>
        </w:tc>
        <w:tc>
          <w:tcPr>
            <w:tcW w:w="1026" w:type="dxa"/>
            <w:shd w:val="clear" w:color="auto" w:fill="auto"/>
            <w:noWrap/>
            <w:vAlign w:val="center"/>
          </w:tcPr>
          <w:p w14:paraId="0A3C3670" w14:textId="77777777" w:rsidR="00AD5978" w:rsidRPr="001B4CA2" w:rsidRDefault="00AD5978" w:rsidP="002A38E7">
            <w:pPr>
              <w:jc w:val="center"/>
              <w:rPr>
                <w:sz w:val="18"/>
                <w:szCs w:val="18"/>
              </w:rPr>
            </w:pPr>
            <w:r w:rsidRPr="001B4CA2">
              <w:rPr>
                <w:sz w:val="18"/>
                <w:szCs w:val="18"/>
              </w:rPr>
              <w:t>224</w:t>
            </w:r>
          </w:p>
        </w:tc>
        <w:tc>
          <w:tcPr>
            <w:tcW w:w="986" w:type="dxa"/>
            <w:shd w:val="clear" w:color="auto" w:fill="auto"/>
            <w:noWrap/>
            <w:vAlign w:val="center"/>
          </w:tcPr>
          <w:p w14:paraId="43010EA0" w14:textId="77777777" w:rsidR="00AD5978" w:rsidRPr="001B4CA2" w:rsidRDefault="00AD5978" w:rsidP="002A38E7">
            <w:pPr>
              <w:jc w:val="center"/>
              <w:rPr>
                <w:sz w:val="18"/>
                <w:szCs w:val="18"/>
              </w:rPr>
            </w:pPr>
            <w:r w:rsidRPr="001B4CA2">
              <w:rPr>
                <w:sz w:val="18"/>
                <w:szCs w:val="18"/>
              </w:rPr>
              <w:t>2</w:t>
            </w:r>
          </w:p>
        </w:tc>
        <w:tc>
          <w:tcPr>
            <w:tcW w:w="960" w:type="dxa"/>
            <w:shd w:val="clear" w:color="auto" w:fill="auto"/>
            <w:noWrap/>
            <w:vAlign w:val="center"/>
          </w:tcPr>
          <w:p w14:paraId="1A9AE2D9" w14:textId="77777777" w:rsidR="00AD5978" w:rsidRPr="001B4CA2" w:rsidRDefault="00AD5978" w:rsidP="002A38E7">
            <w:pPr>
              <w:jc w:val="center"/>
              <w:rPr>
                <w:sz w:val="18"/>
                <w:szCs w:val="18"/>
              </w:rPr>
            </w:pPr>
            <w:r w:rsidRPr="001B4CA2">
              <w:rPr>
                <w:sz w:val="18"/>
                <w:szCs w:val="18"/>
              </w:rPr>
              <w:t>37</w:t>
            </w:r>
          </w:p>
        </w:tc>
        <w:tc>
          <w:tcPr>
            <w:tcW w:w="901" w:type="dxa"/>
            <w:shd w:val="clear" w:color="auto" w:fill="auto"/>
            <w:noWrap/>
            <w:vAlign w:val="center"/>
          </w:tcPr>
          <w:p w14:paraId="42FD66B0" w14:textId="77777777" w:rsidR="00AD5978" w:rsidRPr="001B4CA2" w:rsidRDefault="00AD5978" w:rsidP="002A38E7">
            <w:pPr>
              <w:jc w:val="center"/>
              <w:rPr>
                <w:sz w:val="18"/>
                <w:szCs w:val="18"/>
              </w:rPr>
            </w:pPr>
            <w:r w:rsidRPr="001B4CA2">
              <w:rPr>
                <w:sz w:val="18"/>
                <w:szCs w:val="18"/>
              </w:rPr>
              <w:t>470</w:t>
            </w:r>
          </w:p>
        </w:tc>
        <w:tc>
          <w:tcPr>
            <w:tcW w:w="1084" w:type="dxa"/>
            <w:shd w:val="clear" w:color="auto" w:fill="auto"/>
            <w:noWrap/>
            <w:vAlign w:val="center"/>
          </w:tcPr>
          <w:p w14:paraId="0E594F33" w14:textId="77777777" w:rsidR="00AD5978" w:rsidRPr="001B4CA2" w:rsidRDefault="00AD5978" w:rsidP="002A38E7">
            <w:pPr>
              <w:jc w:val="center"/>
              <w:rPr>
                <w:sz w:val="18"/>
                <w:szCs w:val="18"/>
              </w:rPr>
            </w:pPr>
            <w:r w:rsidRPr="001B4CA2">
              <w:rPr>
                <w:sz w:val="18"/>
                <w:szCs w:val="18"/>
              </w:rPr>
              <w:t>25</w:t>
            </w:r>
          </w:p>
        </w:tc>
        <w:tc>
          <w:tcPr>
            <w:tcW w:w="992" w:type="dxa"/>
            <w:shd w:val="clear" w:color="auto" w:fill="auto"/>
            <w:noWrap/>
            <w:vAlign w:val="center"/>
          </w:tcPr>
          <w:p w14:paraId="1340022A" w14:textId="77777777" w:rsidR="00AD5978" w:rsidRPr="001B4CA2" w:rsidRDefault="00AD5978" w:rsidP="002A38E7">
            <w:pPr>
              <w:jc w:val="center"/>
              <w:rPr>
                <w:sz w:val="18"/>
                <w:szCs w:val="18"/>
              </w:rPr>
            </w:pPr>
            <w:r w:rsidRPr="001B4CA2">
              <w:rPr>
                <w:sz w:val="18"/>
                <w:szCs w:val="18"/>
              </w:rPr>
              <w:t>0</w:t>
            </w:r>
          </w:p>
        </w:tc>
        <w:tc>
          <w:tcPr>
            <w:tcW w:w="992" w:type="dxa"/>
            <w:shd w:val="clear" w:color="auto" w:fill="auto"/>
            <w:noWrap/>
            <w:vAlign w:val="center"/>
          </w:tcPr>
          <w:p w14:paraId="199FC64C" w14:textId="77777777" w:rsidR="00AD5978" w:rsidRPr="001B4CA2" w:rsidRDefault="00AD5978" w:rsidP="002A38E7">
            <w:pPr>
              <w:jc w:val="center"/>
              <w:rPr>
                <w:sz w:val="18"/>
                <w:szCs w:val="18"/>
              </w:rPr>
            </w:pPr>
            <w:r w:rsidRPr="001B4CA2">
              <w:rPr>
                <w:sz w:val="18"/>
                <w:szCs w:val="18"/>
              </w:rPr>
              <w:t>286</w:t>
            </w:r>
          </w:p>
        </w:tc>
        <w:tc>
          <w:tcPr>
            <w:tcW w:w="851" w:type="dxa"/>
            <w:shd w:val="clear" w:color="auto" w:fill="auto"/>
            <w:noWrap/>
            <w:vAlign w:val="center"/>
          </w:tcPr>
          <w:p w14:paraId="21871E90" w14:textId="77777777" w:rsidR="00AD5978" w:rsidRPr="001B4CA2" w:rsidRDefault="00AD5978" w:rsidP="002A38E7">
            <w:pPr>
              <w:jc w:val="center"/>
              <w:rPr>
                <w:sz w:val="18"/>
                <w:szCs w:val="18"/>
              </w:rPr>
            </w:pPr>
            <w:r w:rsidRPr="001B4CA2">
              <w:rPr>
                <w:sz w:val="18"/>
                <w:szCs w:val="18"/>
              </w:rPr>
              <w:t>472</w:t>
            </w:r>
          </w:p>
        </w:tc>
      </w:tr>
      <w:tr w:rsidR="000268FF" w:rsidRPr="001B4CA2" w14:paraId="109ED168" w14:textId="77777777" w:rsidTr="000268FF">
        <w:trPr>
          <w:trHeight w:val="739"/>
        </w:trPr>
        <w:tc>
          <w:tcPr>
            <w:tcW w:w="997" w:type="dxa"/>
            <w:shd w:val="clear" w:color="auto" w:fill="auto"/>
            <w:noWrap/>
            <w:vAlign w:val="center"/>
            <w:hideMark/>
          </w:tcPr>
          <w:p w14:paraId="06876BFA" w14:textId="77777777" w:rsidR="00AD5978" w:rsidRPr="001B4CA2" w:rsidRDefault="00AD5978" w:rsidP="002A38E7">
            <w:pPr>
              <w:rPr>
                <w:sz w:val="18"/>
                <w:szCs w:val="18"/>
              </w:rPr>
            </w:pPr>
            <w:r w:rsidRPr="001B4CA2">
              <w:rPr>
                <w:sz w:val="18"/>
                <w:szCs w:val="18"/>
              </w:rPr>
              <w:t>Ostalo</w:t>
            </w:r>
          </w:p>
        </w:tc>
        <w:tc>
          <w:tcPr>
            <w:tcW w:w="1026" w:type="dxa"/>
            <w:shd w:val="clear" w:color="auto" w:fill="auto"/>
            <w:noWrap/>
            <w:vAlign w:val="center"/>
          </w:tcPr>
          <w:p w14:paraId="144609F9" w14:textId="77777777" w:rsidR="00AD5978" w:rsidRPr="001B4CA2" w:rsidRDefault="00AD5978" w:rsidP="002A38E7">
            <w:pPr>
              <w:jc w:val="center"/>
              <w:rPr>
                <w:sz w:val="18"/>
                <w:szCs w:val="18"/>
              </w:rPr>
            </w:pPr>
            <w:r w:rsidRPr="001B4CA2">
              <w:rPr>
                <w:sz w:val="18"/>
                <w:szCs w:val="18"/>
              </w:rPr>
              <w:t>4</w:t>
            </w:r>
          </w:p>
        </w:tc>
        <w:tc>
          <w:tcPr>
            <w:tcW w:w="986" w:type="dxa"/>
            <w:shd w:val="clear" w:color="auto" w:fill="auto"/>
            <w:noWrap/>
            <w:vAlign w:val="center"/>
          </w:tcPr>
          <w:p w14:paraId="5DF9591E" w14:textId="77777777" w:rsidR="00AD5978" w:rsidRPr="001B4CA2" w:rsidRDefault="00AD5978" w:rsidP="002A38E7">
            <w:pPr>
              <w:jc w:val="center"/>
              <w:rPr>
                <w:sz w:val="18"/>
                <w:szCs w:val="18"/>
              </w:rPr>
            </w:pPr>
            <w:r w:rsidRPr="001B4CA2">
              <w:rPr>
                <w:sz w:val="18"/>
                <w:szCs w:val="18"/>
              </w:rPr>
              <w:t>58</w:t>
            </w:r>
          </w:p>
        </w:tc>
        <w:tc>
          <w:tcPr>
            <w:tcW w:w="960" w:type="dxa"/>
            <w:shd w:val="clear" w:color="auto" w:fill="auto"/>
            <w:noWrap/>
            <w:vAlign w:val="center"/>
          </w:tcPr>
          <w:p w14:paraId="41DCAE90" w14:textId="77777777" w:rsidR="00AD5978" w:rsidRPr="001B4CA2" w:rsidRDefault="00AD5978" w:rsidP="002A38E7">
            <w:pPr>
              <w:jc w:val="center"/>
              <w:rPr>
                <w:sz w:val="18"/>
                <w:szCs w:val="18"/>
              </w:rPr>
            </w:pPr>
            <w:r w:rsidRPr="001B4CA2">
              <w:rPr>
                <w:sz w:val="18"/>
                <w:szCs w:val="18"/>
              </w:rPr>
              <w:t>2</w:t>
            </w:r>
          </w:p>
        </w:tc>
        <w:tc>
          <w:tcPr>
            <w:tcW w:w="901" w:type="dxa"/>
            <w:shd w:val="clear" w:color="auto" w:fill="auto"/>
            <w:noWrap/>
            <w:vAlign w:val="center"/>
          </w:tcPr>
          <w:p w14:paraId="4A219BE9" w14:textId="77777777" w:rsidR="00AD5978" w:rsidRPr="001B4CA2" w:rsidRDefault="00AD5978" w:rsidP="002A38E7">
            <w:pPr>
              <w:jc w:val="center"/>
              <w:rPr>
                <w:sz w:val="18"/>
                <w:szCs w:val="18"/>
              </w:rPr>
            </w:pPr>
            <w:r w:rsidRPr="001B4CA2">
              <w:rPr>
                <w:sz w:val="18"/>
                <w:szCs w:val="18"/>
              </w:rPr>
              <w:t>43</w:t>
            </w:r>
          </w:p>
        </w:tc>
        <w:tc>
          <w:tcPr>
            <w:tcW w:w="1084" w:type="dxa"/>
            <w:shd w:val="clear" w:color="auto" w:fill="auto"/>
            <w:noWrap/>
            <w:vAlign w:val="center"/>
          </w:tcPr>
          <w:p w14:paraId="06670C12" w14:textId="77777777" w:rsidR="00AD5978" w:rsidRPr="001B4CA2" w:rsidRDefault="00AD5978" w:rsidP="002A38E7">
            <w:pPr>
              <w:jc w:val="center"/>
              <w:rPr>
                <w:sz w:val="18"/>
                <w:szCs w:val="18"/>
              </w:rPr>
            </w:pPr>
            <w:r w:rsidRPr="001B4CA2">
              <w:rPr>
                <w:sz w:val="18"/>
                <w:szCs w:val="18"/>
              </w:rPr>
              <w:t>2</w:t>
            </w:r>
          </w:p>
        </w:tc>
        <w:tc>
          <w:tcPr>
            <w:tcW w:w="992" w:type="dxa"/>
            <w:shd w:val="clear" w:color="auto" w:fill="auto"/>
            <w:noWrap/>
            <w:vAlign w:val="center"/>
          </w:tcPr>
          <w:p w14:paraId="3A46BA86" w14:textId="77777777" w:rsidR="00AD5978" w:rsidRPr="001B4CA2" w:rsidRDefault="00AD5978" w:rsidP="002A38E7">
            <w:pPr>
              <w:jc w:val="center"/>
              <w:rPr>
                <w:sz w:val="18"/>
                <w:szCs w:val="18"/>
              </w:rPr>
            </w:pPr>
            <w:r w:rsidRPr="001B4CA2">
              <w:rPr>
                <w:sz w:val="18"/>
                <w:szCs w:val="18"/>
              </w:rPr>
              <w:t>1</w:t>
            </w:r>
          </w:p>
        </w:tc>
        <w:tc>
          <w:tcPr>
            <w:tcW w:w="992" w:type="dxa"/>
            <w:shd w:val="clear" w:color="auto" w:fill="auto"/>
            <w:noWrap/>
            <w:vAlign w:val="center"/>
          </w:tcPr>
          <w:p w14:paraId="466E720F" w14:textId="77777777" w:rsidR="00AD5978" w:rsidRPr="001B4CA2" w:rsidRDefault="00AD5978" w:rsidP="002A38E7">
            <w:pPr>
              <w:jc w:val="center"/>
              <w:rPr>
                <w:sz w:val="18"/>
                <w:szCs w:val="18"/>
              </w:rPr>
            </w:pPr>
            <w:r w:rsidRPr="001B4CA2">
              <w:rPr>
                <w:sz w:val="18"/>
                <w:szCs w:val="18"/>
              </w:rPr>
              <w:t>8</w:t>
            </w:r>
          </w:p>
        </w:tc>
        <w:tc>
          <w:tcPr>
            <w:tcW w:w="851" w:type="dxa"/>
            <w:shd w:val="clear" w:color="auto" w:fill="auto"/>
            <w:noWrap/>
            <w:vAlign w:val="center"/>
          </w:tcPr>
          <w:p w14:paraId="161A78F3" w14:textId="77777777" w:rsidR="00AD5978" w:rsidRPr="001B4CA2" w:rsidRDefault="00AD5978" w:rsidP="002A38E7">
            <w:pPr>
              <w:jc w:val="center"/>
              <w:rPr>
                <w:sz w:val="18"/>
                <w:szCs w:val="18"/>
              </w:rPr>
            </w:pPr>
            <w:r w:rsidRPr="001B4CA2">
              <w:rPr>
                <w:sz w:val="18"/>
                <w:szCs w:val="18"/>
              </w:rPr>
              <w:t>102</w:t>
            </w:r>
          </w:p>
        </w:tc>
      </w:tr>
      <w:tr w:rsidR="000268FF" w:rsidRPr="001B4CA2" w14:paraId="36DD5557" w14:textId="77777777" w:rsidTr="000268FF">
        <w:trPr>
          <w:trHeight w:val="691"/>
        </w:trPr>
        <w:tc>
          <w:tcPr>
            <w:tcW w:w="997" w:type="dxa"/>
            <w:shd w:val="clear" w:color="auto" w:fill="auto"/>
            <w:vAlign w:val="center"/>
            <w:hideMark/>
          </w:tcPr>
          <w:p w14:paraId="37D42F11" w14:textId="77777777" w:rsidR="00AD5978" w:rsidRPr="001B4CA2" w:rsidRDefault="00AD5978" w:rsidP="002A38E7">
            <w:pPr>
              <w:rPr>
                <w:b/>
                <w:bCs/>
                <w:sz w:val="18"/>
                <w:szCs w:val="18"/>
              </w:rPr>
            </w:pPr>
            <w:r w:rsidRPr="001B4CA2">
              <w:rPr>
                <w:b/>
                <w:bCs/>
                <w:sz w:val="18"/>
                <w:szCs w:val="18"/>
              </w:rPr>
              <w:t>UKUPNO</w:t>
            </w:r>
          </w:p>
        </w:tc>
        <w:tc>
          <w:tcPr>
            <w:tcW w:w="1026" w:type="dxa"/>
            <w:shd w:val="clear" w:color="auto" w:fill="auto"/>
            <w:noWrap/>
            <w:vAlign w:val="center"/>
          </w:tcPr>
          <w:p w14:paraId="621E6010" w14:textId="77777777" w:rsidR="00AD5978" w:rsidRPr="001B4CA2" w:rsidRDefault="00AD5978" w:rsidP="002A38E7">
            <w:pPr>
              <w:jc w:val="center"/>
              <w:rPr>
                <w:b/>
                <w:bCs/>
                <w:sz w:val="18"/>
                <w:szCs w:val="18"/>
              </w:rPr>
            </w:pPr>
            <w:r w:rsidRPr="001B4CA2">
              <w:rPr>
                <w:b/>
                <w:bCs/>
                <w:sz w:val="18"/>
                <w:szCs w:val="18"/>
              </w:rPr>
              <w:t>274</w:t>
            </w:r>
          </w:p>
        </w:tc>
        <w:tc>
          <w:tcPr>
            <w:tcW w:w="986" w:type="dxa"/>
            <w:shd w:val="clear" w:color="auto" w:fill="auto"/>
            <w:noWrap/>
            <w:vAlign w:val="center"/>
          </w:tcPr>
          <w:p w14:paraId="42582B31" w14:textId="77777777" w:rsidR="00AD5978" w:rsidRPr="001B4CA2" w:rsidRDefault="00AD5978" w:rsidP="002A38E7">
            <w:pPr>
              <w:jc w:val="center"/>
              <w:rPr>
                <w:b/>
                <w:bCs/>
                <w:sz w:val="18"/>
                <w:szCs w:val="18"/>
              </w:rPr>
            </w:pPr>
            <w:r w:rsidRPr="001B4CA2">
              <w:rPr>
                <w:b/>
                <w:bCs/>
                <w:sz w:val="18"/>
                <w:szCs w:val="18"/>
              </w:rPr>
              <w:t>61</w:t>
            </w:r>
          </w:p>
        </w:tc>
        <w:tc>
          <w:tcPr>
            <w:tcW w:w="960" w:type="dxa"/>
            <w:shd w:val="clear" w:color="auto" w:fill="auto"/>
            <w:noWrap/>
            <w:vAlign w:val="center"/>
          </w:tcPr>
          <w:p w14:paraId="4B7DC76C" w14:textId="77777777" w:rsidR="00AD5978" w:rsidRPr="001B4CA2" w:rsidRDefault="00AD5978" w:rsidP="002A38E7">
            <w:pPr>
              <w:jc w:val="center"/>
              <w:rPr>
                <w:b/>
                <w:bCs/>
                <w:sz w:val="18"/>
                <w:szCs w:val="18"/>
              </w:rPr>
            </w:pPr>
            <w:r w:rsidRPr="001B4CA2">
              <w:rPr>
                <w:b/>
                <w:bCs/>
                <w:sz w:val="18"/>
                <w:szCs w:val="18"/>
              </w:rPr>
              <w:t>63</w:t>
            </w:r>
          </w:p>
        </w:tc>
        <w:tc>
          <w:tcPr>
            <w:tcW w:w="901" w:type="dxa"/>
            <w:shd w:val="clear" w:color="auto" w:fill="auto"/>
            <w:noWrap/>
            <w:vAlign w:val="center"/>
          </w:tcPr>
          <w:p w14:paraId="33586528" w14:textId="77777777" w:rsidR="00AD5978" w:rsidRPr="001B4CA2" w:rsidRDefault="00AD5978" w:rsidP="002A38E7">
            <w:pPr>
              <w:jc w:val="center"/>
              <w:rPr>
                <w:b/>
                <w:bCs/>
                <w:sz w:val="18"/>
                <w:szCs w:val="18"/>
              </w:rPr>
            </w:pPr>
            <w:r w:rsidRPr="001B4CA2">
              <w:rPr>
                <w:b/>
                <w:bCs/>
                <w:sz w:val="18"/>
                <w:szCs w:val="18"/>
              </w:rPr>
              <w:t>667</w:t>
            </w:r>
          </w:p>
        </w:tc>
        <w:tc>
          <w:tcPr>
            <w:tcW w:w="1084" w:type="dxa"/>
            <w:shd w:val="clear" w:color="auto" w:fill="auto"/>
            <w:noWrap/>
            <w:vAlign w:val="center"/>
          </w:tcPr>
          <w:p w14:paraId="612D9116" w14:textId="77777777" w:rsidR="00AD5978" w:rsidRPr="001B4CA2" w:rsidRDefault="00AD5978" w:rsidP="002A38E7">
            <w:pPr>
              <w:jc w:val="center"/>
              <w:rPr>
                <w:b/>
                <w:bCs/>
                <w:sz w:val="18"/>
                <w:szCs w:val="18"/>
              </w:rPr>
            </w:pPr>
            <w:r w:rsidRPr="001B4CA2">
              <w:rPr>
                <w:b/>
                <w:bCs/>
                <w:sz w:val="18"/>
                <w:szCs w:val="18"/>
              </w:rPr>
              <w:t>45</w:t>
            </w:r>
          </w:p>
        </w:tc>
        <w:tc>
          <w:tcPr>
            <w:tcW w:w="992" w:type="dxa"/>
            <w:shd w:val="clear" w:color="auto" w:fill="auto"/>
            <w:noWrap/>
            <w:vAlign w:val="center"/>
          </w:tcPr>
          <w:p w14:paraId="2C23E5DD" w14:textId="77777777" w:rsidR="00AD5978" w:rsidRPr="001B4CA2" w:rsidRDefault="00AD5978" w:rsidP="002A38E7">
            <w:pPr>
              <w:jc w:val="center"/>
              <w:rPr>
                <w:b/>
                <w:bCs/>
                <w:sz w:val="18"/>
                <w:szCs w:val="18"/>
              </w:rPr>
            </w:pPr>
            <w:r w:rsidRPr="001B4CA2">
              <w:rPr>
                <w:b/>
                <w:bCs/>
                <w:sz w:val="18"/>
                <w:szCs w:val="18"/>
              </w:rPr>
              <w:t>1</w:t>
            </w:r>
          </w:p>
        </w:tc>
        <w:tc>
          <w:tcPr>
            <w:tcW w:w="992" w:type="dxa"/>
            <w:shd w:val="clear" w:color="auto" w:fill="auto"/>
            <w:noWrap/>
            <w:vAlign w:val="center"/>
          </w:tcPr>
          <w:p w14:paraId="78362633" w14:textId="77777777" w:rsidR="00AD5978" w:rsidRPr="001B4CA2" w:rsidRDefault="00AD5978" w:rsidP="002A38E7">
            <w:pPr>
              <w:jc w:val="center"/>
              <w:rPr>
                <w:b/>
                <w:bCs/>
                <w:sz w:val="18"/>
                <w:szCs w:val="18"/>
              </w:rPr>
            </w:pPr>
            <w:r w:rsidRPr="001B4CA2">
              <w:rPr>
                <w:b/>
                <w:bCs/>
                <w:sz w:val="18"/>
                <w:szCs w:val="18"/>
              </w:rPr>
              <w:t>382</w:t>
            </w:r>
          </w:p>
        </w:tc>
        <w:tc>
          <w:tcPr>
            <w:tcW w:w="851" w:type="dxa"/>
            <w:shd w:val="clear" w:color="auto" w:fill="auto"/>
            <w:noWrap/>
            <w:vAlign w:val="center"/>
          </w:tcPr>
          <w:p w14:paraId="50646757" w14:textId="77777777" w:rsidR="00AD5978" w:rsidRPr="001B4CA2" w:rsidRDefault="00AD5978" w:rsidP="002A38E7">
            <w:pPr>
              <w:jc w:val="center"/>
              <w:rPr>
                <w:b/>
                <w:bCs/>
                <w:sz w:val="18"/>
                <w:szCs w:val="18"/>
              </w:rPr>
            </w:pPr>
            <w:r w:rsidRPr="001B4CA2">
              <w:rPr>
                <w:b/>
                <w:bCs/>
                <w:sz w:val="18"/>
                <w:szCs w:val="18"/>
              </w:rPr>
              <w:t>729</w:t>
            </w:r>
          </w:p>
        </w:tc>
      </w:tr>
    </w:tbl>
    <w:p w14:paraId="641FB130" w14:textId="77777777" w:rsidR="00AD5978" w:rsidRPr="001B4CA2" w:rsidRDefault="00AD5978" w:rsidP="00AD5978"/>
    <w:p w14:paraId="2EDD5C53" w14:textId="6B8CB1C8" w:rsidR="00AD5978" w:rsidRPr="001B4CA2" w:rsidRDefault="00AD5978" w:rsidP="00AD5978">
      <w:pPr>
        <w:ind w:firstLine="708"/>
      </w:pPr>
      <w:r w:rsidRPr="001B4CA2">
        <w:t>S obzirom na stvarnu nadležnost najveći broj europskih uhidbenih naloga izdan je od strane USKOK-a (18)</w:t>
      </w:r>
      <w:r w:rsidR="00FD08E9">
        <w:t xml:space="preserve"> </w:t>
      </w:r>
      <w:r w:rsidRPr="001B4CA2">
        <w:t xml:space="preserve">te Općinskog državnog odvjetništva u Osijeku (15), dok je najveći broj europskih istražnih naloga također izdan od strane USKOK-a (25), Općinskog državnog </w:t>
      </w:r>
      <w:r w:rsidR="00604064" w:rsidRPr="001B4CA2">
        <w:t>odvjetništva</w:t>
      </w:r>
      <w:r w:rsidRPr="001B4CA2">
        <w:t xml:space="preserve"> u Pazinu i Zadru</w:t>
      </w:r>
      <w:r w:rsidR="00FD08E9">
        <w:t xml:space="preserve"> </w:t>
      </w:r>
      <w:r w:rsidRPr="001B4CA2">
        <w:t>(21).</w:t>
      </w:r>
    </w:p>
    <w:p w14:paraId="7D2BA67A" w14:textId="77777777" w:rsidR="00AD5978" w:rsidRPr="001B4CA2" w:rsidRDefault="00AD5978" w:rsidP="00AD5978">
      <w:pPr>
        <w:ind w:firstLine="708"/>
      </w:pPr>
    </w:p>
    <w:p w14:paraId="76155802" w14:textId="427FA2F8" w:rsidR="00AD5978" w:rsidRPr="001B4CA2" w:rsidRDefault="006C1E1A" w:rsidP="00604064">
      <w:pPr>
        <w:ind w:firstLine="708"/>
      </w:pPr>
      <w:r>
        <w:t>Za</w:t>
      </w:r>
      <w:r w:rsidR="00AD5978" w:rsidRPr="001B4CA2">
        <w:t xml:space="preserve"> mjesnu nadležnost potrebno je istaknuti kako je najveći broj europskih uhidbenih naloga izdan na područjima Županijskog državnog odvjetništva u Osijek</w:t>
      </w:r>
      <w:r>
        <w:t>u</w:t>
      </w:r>
      <w:r w:rsidR="00AD5978" w:rsidRPr="001B4CA2">
        <w:t xml:space="preserve"> (22)</w:t>
      </w:r>
      <w:r w:rsidR="00FD08E9">
        <w:t xml:space="preserve">, </w:t>
      </w:r>
      <w:r w:rsidR="00AD5978" w:rsidRPr="001B4CA2">
        <w:t>dok je najveći broj europskih istražnih naloga izdan na područjima Županijskog</w:t>
      </w:r>
      <w:r>
        <w:t>a</w:t>
      </w:r>
      <w:r w:rsidR="00AD5978" w:rsidRPr="001B4CA2">
        <w:t xml:space="preserve"> državnog odvjetništva u Puli (40) i</w:t>
      </w:r>
      <w:r w:rsidR="00FD08E9">
        <w:t xml:space="preserve"> </w:t>
      </w:r>
      <w:r w:rsidR="00AD5978" w:rsidRPr="001B4CA2">
        <w:t>Županijskog</w:t>
      </w:r>
      <w:r>
        <w:t>a</w:t>
      </w:r>
      <w:r w:rsidR="00AD5978" w:rsidRPr="001B4CA2">
        <w:t xml:space="preserve"> državnog odvjetništva u Varaždin</w:t>
      </w:r>
      <w:r>
        <w:t>u</w:t>
      </w:r>
      <w:r w:rsidR="00AD5978" w:rsidRPr="001B4CA2">
        <w:t xml:space="preserve"> (31).</w:t>
      </w:r>
      <w:r w:rsidR="00FD08E9">
        <w:t xml:space="preserve"> </w:t>
      </w:r>
    </w:p>
    <w:p w14:paraId="2BDE3F76" w14:textId="6F8A3959" w:rsidR="00AD5978" w:rsidRPr="001B4CA2" w:rsidRDefault="00AD5978" w:rsidP="00AD5978">
      <w:r w:rsidRPr="001B4CA2">
        <w:tab/>
        <w:t>S druge strane, najveći broj izvršenih europskih uhidbenih naloga zabilježen je na području Županijskog</w:t>
      </w:r>
      <w:r w:rsidR="006C1E1A">
        <w:t>a</w:t>
      </w:r>
      <w:r w:rsidRPr="001B4CA2">
        <w:t xml:space="preserve"> državnog odvjetništva u Vukovaru (30) i Županijskog</w:t>
      </w:r>
      <w:r w:rsidR="006C1E1A">
        <w:t>a</w:t>
      </w:r>
      <w:r w:rsidRPr="001B4CA2">
        <w:t xml:space="preserve"> državnog odvjetništva u Zagrebu (24), koji </w:t>
      </w:r>
      <w:r w:rsidR="006C1E1A" w:rsidRPr="001B4CA2">
        <w:t xml:space="preserve">je </w:t>
      </w:r>
      <w:r w:rsidRPr="001B4CA2">
        <w:t>broj predmeta uvjetovan geografskim položajem navedenih državnih odvjetništva, odnosno blizinom državne granice. Županijsko državno odvjetništvo u Zagrebu, kao i u prethodnom izvještajnom razdoblju, i dalje ima najveći broj predmeta izvršenih europskih istražnih naloga (179), pri čemu se broj izvršenih predmeta povećao za 6</w:t>
      </w:r>
      <w:r w:rsidR="006C1E1A">
        <w:t>,</w:t>
      </w:r>
      <w:r w:rsidRPr="001B4CA2">
        <w:t>5</w:t>
      </w:r>
      <w:r w:rsidR="006C1E1A">
        <w:t> </w:t>
      </w:r>
      <w:r w:rsidRPr="001B4CA2">
        <w:t xml:space="preserve">% u odnosu na 2021. godinu. </w:t>
      </w:r>
    </w:p>
    <w:p w14:paraId="01BFEF78" w14:textId="2534AF9E" w:rsidR="00AD5978" w:rsidRPr="001B4CA2" w:rsidRDefault="00AD5978" w:rsidP="00AD5978"/>
    <w:p w14:paraId="3B52793B" w14:textId="2106FB37" w:rsidR="00AD5978" w:rsidRPr="001B4CA2" w:rsidRDefault="00AD5978" w:rsidP="00AD5978">
      <w:pPr>
        <w:ind w:firstLine="708"/>
      </w:pPr>
      <w:r w:rsidRPr="001B4CA2">
        <w:t xml:space="preserve">Države članice Europske unije, s čijim </w:t>
      </w:r>
      <w:r w:rsidR="006C1E1A" w:rsidRPr="001B4CA2">
        <w:t xml:space="preserve">je </w:t>
      </w:r>
      <w:r w:rsidRPr="001B4CA2">
        <w:t xml:space="preserve">pravosudnim tijelima ostvarena suradnja u najvećem opsegu, </w:t>
      </w:r>
      <w:r w:rsidR="006C1E1A">
        <w:t>je</w:t>
      </w:r>
      <w:r w:rsidRPr="001B4CA2">
        <w:t xml:space="preserve">su Savezna Republika Njemačka, Republika Austrija, Republika Slovenija, Mađarska i Talijanska Republika. </w:t>
      </w:r>
    </w:p>
    <w:p w14:paraId="66018D79" w14:textId="77777777" w:rsidR="00AD5978" w:rsidRPr="001B4CA2" w:rsidRDefault="00AD5978" w:rsidP="00AD5978">
      <w:pPr>
        <w:ind w:firstLine="708"/>
      </w:pPr>
    </w:p>
    <w:p w14:paraId="649D3EE9" w14:textId="23E02FBE" w:rsidR="00AD5978" w:rsidRPr="001B4CA2" w:rsidRDefault="00AD5978" w:rsidP="00AD5978">
      <w:r w:rsidRPr="001B4CA2">
        <w:tab/>
        <w:t>Struktura kriminaliteta u kaznenim predmetima pravosudne suradnje ostvarene sa zemljama članicama Europske unije odnosi se u najvećoj mjeri na kaznena djela počinjena u okviru zločinačkog udruženja, kaznena djela zlouporabe opojne droge, pranja novca, utaje poreza ili carina, zlouporabe povjerenja u gospodarskom poslovanju, krivotvorenja isprava, kaznena djela protiv imovine, kibernetičkog kriminaliteta te protuzakonitog ulaženja, kretanja i boravka u Republici Hrvatskoj.</w:t>
      </w:r>
    </w:p>
    <w:p w14:paraId="7F835652" w14:textId="77777777" w:rsidR="00AD5978" w:rsidRPr="001B4CA2" w:rsidRDefault="00AD5978" w:rsidP="00AD5978">
      <w:pPr>
        <w:rPr>
          <w:highlight w:val="yellow"/>
        </w:rPr>
      </w:pPr>
    </w:p>
    <w:p w14:paraId="6C937448" w14:textId="3F7CA57D" w:rsidR="00AD5978" w:rsidRPr="001B4CA2" w:rsidRDefault="00AD5978" w:rsidP="00AD5978">
      <w:r w:rsidRPr="001B4CA2">
        <w:tab/>
        <w:t xml:space="preserve">Europski istražni nalozi izdani su i izvršavani u svrhu provođenja različitih dokaznih radnji (pribavljanje bankovnih podatka o ovlašteniku računa i obavljenim </w:t>
      </w:r>
      <w:r w:rsidRPr="001B4CA2">
        <w:lastRenderedPageBreak/>
        <w:t>transakcijama, ispitivanje okrivljenika, ispitivanje svjedoka,</w:t>
      </w:r>
      <w:r w:rsidR="00FD08E9">
        <w:t xml:space="preserve"> </w:t>
      </w:r>
      <w:r w:rsidRPr="001B4CA2">
        <w:t>po</w:t>
      </w:r>
      <w:r w:rsidR="00FD08E9">
        <w:t>datci</w:t>
      </w:r>
      <w:r w:rsidRPr="001B4CA2">
        <w:t xml:space="preserve"> o osobama koje imaju pretplatu na određeni telefonski broj / IP adresu, pretrage doma, drugih prostorija, po</w:t>
      </w:r>
      <w:r w:rsidR="00FD08E9">
        <w:t>datci</w:t>
      </w:r>
      <w:r w:rsidRPr="001B4CA2">
        <w:t xml:space="preserve"> o telekomunikacijskim kontaktima te pribavljanje dokumentacije i ostalih podataka), pri čemu se često jednim europskim istražnim nalogom traži provođenje više, </w:t>
      </w:r>
      <w:r w:rsidR="006C1E1A">
        <w:t>kat</w:t>
      </w:r>
      <w:r w:rsidRPr="001B4CA2">
        <w:t>kad uvjetovanih, dokaznih radnji, tako da se izvršavanja europskog istražnog naloga pretvara u provođenje istrage za državu izdavanja. Tijekom 2022. godine nastavio se trend porasta primjene dokazne radnje ispitivanja svjedoka i okrivljenika putem videokonferencijske veze.</w:t>
      </w:r>
    </w:p>
    <w:p w14:paraId="6FE0EEF5" w14:textId="77777777" w:rsidR="00AD5978" w:rsidRPr="001B4CA2" w:rsidRDefault="00AD5978" w:rsidP="00AD5978"/>
    <w:p w14:paraId="233C1023" w14:textId="247E9562" w:rsidR="00AD5978" w:rsidRPr="001B4CA2" w:rsidRDefault="00AD5978" w:rsidP="00AD5978">
      <w:r w:rsidRPr="001B4CA2">
        <w:tab/>
        <w:t xml:space="preserve">Porast broja izdanih europskih istražnih naloga odnosi se na europske istražne naloge izdane u predmetima iz općinske nadležnosti, a koji </w:t>
      </w:r>
      <w:r w:rsidR="006C1E1A" w:rsidRPr="001B4CA2">
        <w:t xml:space="preserve">je </w:t>
      </w:r>
      <w:r w:rsidRPr="001B4CA2">
        <w:t>porast posljedica povećanja broja kaznenih djela prijevare počinjenih putem računalnih sustava (presretanjem elektroničke komunikacije, korištenjem društvenih mreža u svrhu stupanja u kontakt s potencijalnim žrtvama i sl.)</w:t>
      </w:r>
      <w:r w:rsidR="00FD08E9">
        <w:t xml:space="preserve"> </w:t>
      </w:r>
      <w:r w:rsidRPr="001B4CA2">
        <w:t>i kaznenih djela pranja novca.</w:t>
      </w:r>
    </w:p>
    <w:p w14:paraId="5243CE2E" w14:textId="77777777" w:rsidR="00AD5978" w:rsidRPr="001B4CA2" w:rsidRDefault="00AD5978" w:rsidP="00AD5978"/>
    <w:p w14:paraId="0E498EC9" w14:textId="2B5645B7" w:rsidR="00AD5978" w:rsidRPr="001B4CA2" w:rsidRDefault="00AD5978" w:rsidP="00AD5978">
      <w:pPr>
        <w:ind w:firstLine="360"/>
      </w:pPr>
      <w:r w:rsidRPr="001B4CA2">
        <w:t xml:space="preserve">Pod pojmom „ostalo“ predmeti pravosudne suradnje </w:t>
      </w:r>
      <w:r w:rsidR="00D93604" w:rsidRPr="001B4CA2">
        <w:t xml:space="preserve">odnose </w:t>
      </w:r>
      <w:r w:rsidRPr="001B4CA2">
        <w:t>se na priznanje i izvršenje naloga za osiguranje imovine, naloga za oduzimanja imovine te stranih presuda kojima su izrečene kazne zatvora ili druge mjere lišenja slobode. Nastavljen je trend povećanja broja predmeta u kojima su određene privremene mjere osiguranja oduzimanja imovinske koristi u postupku priznanja i izvršenja stranih naloga za osiguranje imovine.</w:t>
      </w:r>
      <w:r w:rsidR="00FD08E9">
        <w:t xml:space="preserve"> </w:t>
      </w:r>
      <w:r w:rsidRPr="001B4CA2">
        <w:t>Tako je primjerice Županijsko državno odvjetništvo u Puli zaprimilo nalog za osiguranje imovine izdan od strane pravosudnih tijela Republike Slovenije te je u postupku njegov</w:t>
      </w:r>
      <w:r w:rsidR="00D93604">
        <w:t>a</w:t>
      </w:r>
      <w:r w:rsidRPr="001B4CA2">
        <w:t xml:space="preserve"> priznanja i izvršenja određena privremena mjera osiguranja oduzimanja imovinske koristi zabranom raspolaganja nekretninom vrijednosti 40.000,00 </w:t>
      </w:r>
      <w:r w:rsidR="00E152D9" w:rsidRPr="001B4CA2">
        <w:t>EUR</w:t>
      </w:r>
      <w:r w:rsidRPr="001B4CA2">
        <w:t xml:space="preserve">. U tri predmeta Općinsko državno odvjetništvo u Čakovcu </w:t>
      </w:r>
      <w:r w:rsidR="00D93604" w:rsidRPr="001B4CA2">
        <w:t xml:space="preserve">izdalo </w:t>
      </w:r>
      <w:r w:rsidRPr="001B4CA2">
        <w:t xml:space="preserve">je naloge za osiguranje imovine sukladno Uredbi 2018/1805 kojima je zatražilo osiguranje novčanih sredstava u iznosu od 25.842,76 </w:t>
      </w:r>
      <w:r w:rsidR="00E152D9" w:rsidRPr="001B4CA2">
        <w:t>EUR</w:t>
      </w:r>
      <w:r w:rsidRPr="001B4CA2">
        <w:t xml:space="preserve">. </w:t>
      </w:r>
    </w:p>
    <w:p w14:paraId="73EDF994" w14:textId="77777777" w:rsidR="00AD5978" w:rsidRPr="001B4CA2" w:rsidRDefault="00AD5978" w:rsidP="006262C8"/>
    <w:p w14:paraId="7006EC71" w14:textId="6744F382" w:rsidR="00BB4D48" w:rsidRPr="001B4CA2" w:rsidRDefault="0084121E" w:rsidP="00955E23">
      <w:pPr>
        <w:pStyle w:val="Naslov3"/>
        <w:tabs>
          <w:tab w:val="left" w:pos="993"/>
        </w:tabs>
        <w:rPr>
          <w:rFonts w:ascii="Arial" w:hAnsi="Arial" w:cs="Arial"/>
        </w:rPr>
      </w:pPr>
      <w:bookmarkStart w:id="177" w:name="_Toc133394407"/>
      <w:r w:rsidRPr="001B4CA2">
        <w:rPr>
          <w:rFonts w:ascii="Arial" w:hAnsi="Arial" w:cs="Arial"/>
        </w:rPr>
        <w:t>Suradnja putem E</w:t>
      </w:r>
      <w:r w:rsidR="00B25DDE" w:rsidRPr="001B4CA2">
        <w:rPr>
          <w:rFonts w:ascii="Arial" w:hAnsi="Arial" w:cs="Arial"/>
        </w:rPr>
        <w:t>UROJUST-a</w:t>
      </w:r>
      <w:r w:rsidRPr="001B4CA2">
        <w:rPr>
          <w:rFonts w:ascii="Arial" w:hAnsi="Arial" w:cs="Arial"/>
        </w:rPr>
        <w:t xml:space="preserve"> i Europske pravosudne mreže </w:t>
      </w:r>
      <w:r w:rsidR="00A60F77" w:rsidRPr="001B4CA2">
        <w:rPr>
          <w:rFonts w:ascii="Arial" w:hAnsi="Arial" w:cs="Arial"/>
        </w:rPr>
        <w:t>(EJN)</w:t>
      </w:r>
      <w:bookmarkEnd w:id="177"/>
    </w:p>
    <w:p w14:paraId="34662571" w14:textId="77777777" w:rsidR="0029740D" w:rsidRPr="001B4CA2" w:rsidRDefault="0029740D" w:rsidP="0029740D"/>
    <w:p w14:paraId="65F033C9" w14:textId="41CD1A24" w:rsidR="005F79DD" w:rsidRPr="001B4CA2" w:rsidRDefault="005F79DD" w:rsidP="005F79DD">
      <w:r w:rsidRPr="001B4CA2">
        <w:tab/>
      </w:r>
      <w:r w:rsidR="00AD5978" w:rsidRPr="001B4CA2">
        <w:t>Kao i prethodnih godina, izvještaji više državnih odvjetništava, a posebno Ureda za suzbijanje korupcije i organiziranog kriminaliteta i Županijskog državnog odvjetništva u Zagrebu, proizlazi da se često koristilo EUROJUST i Europsku pravosudnu mrež</w:t>
      </w:r>
      <w:r w:rsidR="00D93604">
        <w:t>u</w:t>
      </w:r>
      <w:r w:rsidR="00AD5978" w:rsidRPr="001B4CA2">
        <w:t xml:space="preserve"> (EPMKS) radi </w:t>
      </w:r>
      <w:r w:rsidR="00D93604">
        <w:t>učinkovitijeg</w:t>
      </w:r>
      <w:r w:rsidR="00AD5978" w:rsidRPr="001B4CA2">
        <w:t xml:space="preserve"> izvršavanja zamolnica za međunarodnu pravnu pomoć i koordinaciju postupanja sa svim oblicima pravosudne suradnje, što u bitnome doprinosi bržoj razmjeni informacija i konkretnih dokaza i posljedično bržem procesuiranju kaznenih predmeta s međunarodnim elementom.</w:t>
      </w:r>
    </w:p>
    <w:p w14:paraId="4BA4555F" w14:textId="77777777" w:rsidR="005F79DD" w:rsidRPr="001B4CA2" w:rsidRDefault="005F79DD" w:rsidP="005F79DD"/>
    <w:p w14:paraId="4F97B2EF" w14:textId="43FEB772" w:rsidR="00AD5978" w:rsidRPr="001B4CA2" w:rsidRDefault="005F79DD" w:rsidP="005F79DD">
      <w:r w:rsidRPr="001B4CA2">
        <w:tab/>
      </w:r>
      <w:r w:rsidR="00AD5978" w:rsidRPr="001B4CA2">
        <w:t>Prema izvještaju za 2022. godinu zamjenika Glavnog državnog odvjetnika Republike Hrvatske, koji je Nacionalni član Republike Hrvatske u EUROJUST-u, tijekom 2022.</w:t>
      </w:r>
      <w:r w:rsidR="00FD08E9">
        <w:t xml:space="preserve"> </w:t>
      </w:r>
      <w:r w:rsidR="00AD5978" w:rsidRPr="001B4CA2">
        <w:t>zaprimljeno je 335 predmeta, što predstavlja povećanje od 9</w:t>
      </w:r>
      <w:r w:rsidR="00D93604">
        <w:t> </w:t>
      </w:r>
      <w:r w:rsidR="00AD5978" w:rsidRPr="001B4CA2">
        <w:t xml:space="preserve">% u odnosu na 2021. godinu kada </w:t>
      </w:r>
      <w:r w:rsidR="00D93604">
        <w:t>su</w:t>
      </w:r>
      <w:r w:rsidR="00AD5978" w:rsidRPr="001B4CA2">
        <w:t xml:space="preserve"> ukupno zaprimljen</w:t>
      </w:r>
      <w:r w:rsidR="00D93604">
        <w:t>a</w:t>
      </w:r>
      <w:r w:rsidR="00AD5978" w:rsidRPr="001B4CA2">
        <w:t xml:space="preserve"> 303 predmeta.</w:t>
      </w:r>
      <w:r w:rsidR="00FD08E9">
        <w:t xml:space="preserve"> </w:t>
      </w:r>
      <w:r w:rsidR="00AD5978" w:rsidRPr="001B4CA2">
        <w:t xml:space="preserve">Ovo povećanje predmeta pokazuje trend povratka na situaciju kakva je bila prije pandemije </w:t>
      </w:r>
      <w:r w:rsidR="00D93604">
        <w:t xml:space="preserve">virusa </w:t>
      </w:r>
      <w:r w:rsidR="00AD5978" w:rsidRPr="001B4CA2">
        <w:t>COVID</w:t>
      </w:r>
      <w:r w:rsidR="00D93604">
        <w:t>-</w:t>
      </w:r>
      <w:r w:rsidR="00AD5978" w:rsidRPr="001B4CA2">
        <w:t>19.</w:t>
      </w:r>
      <w:r w:rsidR="00FD08E9">
        <w:t xml:space="preserve"> </w:t>
      </w:r>
    </w:p>
    <w:p w14:paraId="09B85DF5" w14:textId="39B70094" w:rsidR="00AD5978" w:rsidRPr="001B4CA2" w:rsidRDefault="00AD5978" w:rsidP="00AD5978">
      <w:pPr>
        <w:spacing w:after="100" w:afterAutospacing="1"/>
        <w:ind w:firstLine="708"/>
      </w:pPr>
      <w:r w:rsidRPr="001B4CA2">
        <w:t>Struktura zaprimljenih zahtjeva pokazuje da je najviše zahtjeva za pravnu pomoć zaprimljeno od strane država članica EU</w:t>
      </w:r>
      <w:r w:rsidR="00D93604">
        <w:t>-a</w:t>
      </w:r>
      <w:r w:rsidRPr="001B4CA2">
        <w:t xml:space="preserve"> (103 zahtjeva, dakle: 60,9</w:t>
      </w:r>
      <w:r w:rsidR="00D93604">
        <w:t> </w:t>
      </w:r>
      <w:r w:rsidRPr="001B4CA2">
        <w:t>%), dok je domaćih zahtjeva bilo 56 ili 33,1</w:t>
      </w:r>
      <w:r w:rsidR="00D93604">
        <w:t> </w:t>
      </w:r>
      <w:r w:rsidRPr="001B4CA2">
        <w:t>%. Bilo je i 10 zahtjeva za pravnu pomoć zaprimljenih od strane „trećih država“ – 5,9</w:t>
      </w:r>
      <w:r w:rsidR="00D93604">
        <w:t> </w:t>
      </w:r>
      <w:r w:rsidRPr="001B4CA2">
        <w:t xml:space="preserve">%. Što se tiče zahtjeva za pravnu pomoć zaprimljenih od domaćih pravosudnih tijela, 2022. godine najviše je zahtjeva </w:t>
      </w:r>
      <w:r w:rsidRPr="001B4CA2">
        <w:lastRenderedPageBreak/>
        <w:t>zaprimljeno od državnih odvjetništava (ukupno 43 zahtjeva ili 76,7</w:t>
      </w:r>
      <w:r w:rsidR="00D93604">
        <w:t> </w:t>
      </w:r>
      <w:r w:rsidRPr="001B4CA2">
        <w:t>%). Od toga je zaprimljeno 15 (34,8</w:t>
      </w:r>
      <w:r w:rsidR="00D93604">
        <w:t> </w:t>
      </w:r>
      <w:r w:rsidRPr="001B4CA2">
        <w:t>%), zahtjeva od strane USKOK-a,</w:t>
      </w:r>
      <w:r w:rsidR="00FD08E9">
        <w:t xml:space="preserve"> </w:t>
      </w:r>
      <w:r w:rsidRPr="001B4CA2">
        <w:t>11 (25,5</w:t>
      </w:r>
      <w:r w:rsidR="00D93604">
        <w:t> </w:t>
      </w:r>
      <w:r w:rsidRPr="001B4CA2">
        <w:t>%) zahtjeva od strane Županijskih državnih odvjetništava te 16</w:t>
      </w:r>
      <w:r w:rsidR="00FD08E9">
        <w:t xml:space="preserve"> </w:t>
      </w:r>
      <w:r w:rsidRPr="001B4CA2">
        <w:t>(37,2</w:t>
      </w:r>
      <w:r w:rsidR="00D93604">
        <w:t> </w:t>
      </w:r>
      <w:r w:rsidRPr="001B4CA2">
        <w:t xml:space="preserve">%) zahtjeva od strane Općinskih državnih odvjetništava. </w:t>
      </w:r>
    </w:p>
    <w:p w14:paraId="00F93F66" w14:textId="0646FF0B" w:rsidR="00AD5978" w:rsidRPr="001B4CA2" w:rsidRDefault="00AD5978" w:rsidP="00AD5978">
      <w:pPr>
        <w:spacing w:after="100" w:afterAutospacing="1"/>
        <w:ind w:firstLine="708"/>
      </w:pPr>
      <w:r w:rsidRPr="001B4CA2">
        <w:t>Zahtjevi za pravnu pomoć u sadržajnom smislu odnosili su se na nadopunu</w:t>
      </w:r>
      <w:r w:rsidR="00FD08E9">
        <w:t xml:space="preserve"> </w:t>
      </w:r>
      <w:r w:rsidRPr="001B4CA2">
        <w:t>ili pojašnjenje proturječnosti obrazaca u slučajevima kada to nije bilo moguće ishoditi kroz neposrednu suradnju pravosudnih tijela ili posredstvom osoba</w:t>
      </w:r>
      <w:r w:rsidR="00D93604">
        <w:t xml:space="preserve"> za</w:t>
      </w:r>
      <w:r w:rsidRPr="001B4CA2">
        <w:t xml:space="preserve"> </w:t>
      </w:r>
      <w:r w:rsidR="00D93604" w:rsidRPr="001B4CA2">
        <w:t xml:space="preserve">kontakt </w:t>
      </w:r>
      <w:r w:rsidRPr="001B4CA2">
        <w:t>Europske pravosudne mreže u kaznenim stvarima, kao i u svrhu isto</w:t>
      </w:r>
      <w:r w:rsidR="00D93604">
        <w:t>dob</w:t>
      </w:r>
      <w:r w:rsidRPr="001B4CA2">
        <w:t xml:space="preserve">nog provođenja određenih dokaznih radnji na području različitih država članica Europske unije </w:t>
      </w:r>
      <w:r w:rsidR="00F47D60">
        <w:t>(</w:t>
      </w:r>
      <w:r w:rsidRPr="001B4CA2">
        <w:t>tzv. „</w:t>
      </w:r>
      <w:proofErr w:type="spellStart"/>
      <w:r w:rsidRPr="001B4CA2">
        <w:rPr>
          <w:i/>
          <w:iCs/>
        </w:rPr>
        <w:t>action</w:t>
      </w:r>
      <w:proofErr w:type="spellEnd"/>
      <w:r w:rsidRPr="001B4CA2">
        <w:rPr>
          <w:i/>
          <w:iCs/>
        </w:rPr>
        <w:t xml:space="preserve"> </w:t>
      </w:r>
      <w:proofErr w:type="spellStart"/>
      <w:r w:rsidRPr="001B4CA2">
        <w:rPr>
          <w:i/>
          <w:iCs/>
        </w:rPr>
        <w:t>day</w:t>
      </w:r>
      <w:proofErr w:type="spellEnd"/>
      <w:r w:rsidRPr="001B4CA2">
        <w:t>“).</w:t>
      </w:r>
      <w:r w:rsidR="00FD08E9">
        <w:t xml:space="preserve"> </w:t>
      </w:r>
    </w:p>
    <w:p w14:paraId="7501D2CA" w14:textId="1D20BFB2" w:rsidR="00AD5978" w:rsidRPr="001B4CA2" w:rsidRDefault="00AD5978" w:rsidP="00AD5978">
      <w:r w:rsidRPr="001B4CA2">
        <w:tab/>
        <w:t>Prema izvještaju za 2022. godinu nacionalnog predstavnika za Europsku pravosudnu mrežu u kaznenim stvarima (EPMKS) u Državnom odvjetništvu Republike Hrvatske proizlazi kako su kontaktne osobe imenovane na državnim odvjetništvima postupale u 66 predmeta, što predstavlja udio od 32</w:t>
      </w:r>
      <w:r w:rsidR="00D93604">
        <w:t>,</w:t>
      </w:r>
      <w:r w:rsidRPr="001B4CA2">
        <w:t xml:space="preserve">7 % u ukupnome broju predmeta EPMKS-a </w:t>
      </w:r>
      <w:r w:rsidR="00F47D60">
        <w:t>(</w:t>
      </w:r>
      <w:r w:rsidRPr="001B4CA2">
        <w:t xml:space="preserve">kontaktne točke </w:t>
      </w:r>
      <w:r w:rsidR="00D93604" w:rsidRPr="001B4CA2">
        <w:t xml:space="preserve">prijavile </w:t>
      </w:r>
      <w:r w:rsidRPr="001B4CA2">
        <w:t>su 202 predmeta u 2022. godini), kao i smanjenje od 55 % u odnosu na 2021. godin</w:t>
      </w:r>
      <w:r w:rsidR="00D93604">
        <w:t>u</w:t>
      </w:r>
      <w:r w:rsidRPr="001B4CA2">
        <w:t xml:space="preserve">. </w:t>
      </w:r>
      <w:r w:rsidR="00D93604">
        <w:t>Valja</w:t>
      </w:r>
      <w:r w:rsidRPr="001B4CA2">
        <w:t xml:space="preserve"> istaknuti kako 2021. godina bilježi pad broja prijavljenih predmeta od 40</w:t>
      </w:r>
      <w:r w:rsidR="00D93604">
        <w:t> </w:t>
      </w:r>
      <w:r w:rsidRPr="001B4CA2">
        <w:t xml:space="preserve">%. Navedeno smanjenje posljedica je činjenice da velik dio predmeta u kojima je korišten EPMKS nije registriran od većine osoba </w:t>
      </w:r>
      <w:r w:rsidR="00D93604">
        <w:t xml:space="preserve">za </w:t>
      </w:r>
      <w:r w:rsidR="00D93604" w:rsidRPr="001B4CA2">
        <w:t xml:space="preserve">kontakt </w:t>
      </w:r>
      <w:r w:rsidRPr="001B4CA2">
        <w:t>(samo 30</w:t>
      </w:r>
      <w:r w:rsidR="00D93604">
        <w:t> </w:t>
      </w:r>
      <w:r w:rsidRPr="001B4CA2">
        <w:t xml:space="preserve">% osoba </w:t>
      </w:r>
      <w:r w:rsidR="00D93604">
        <w:t xml:space="preserve">za </w:t>
      </w:r>
      <w:r w:rsidR="00D93604" w:rsidRPr="001B4CA2">
        <w:t xml:space="preserve">kontakt podnijelo </w:t>
      </w:r>
      <w:r w:rsidRPr="001B4CA2">
        <w:t>je izvješće o svojim aktivnostima).</w:t>
      </w:r>
      <w:r w:rsidR="00FD08E9">
        <w:t xml:space="preserve"> </w:t>
      </w:r>
      <w:r w:rsidRPr="001B4CA2">
        <w:t>U odnosu na vrstu postupka u kojem je ostvarena suradnja najveći dio predmeta odnosi se na požurivanje postupanj</w:t>
      </w:r>
      <w:r w:rsidR="00D93604">
        <w:t>a</w:t>
      </w:r>
      <w:r w:rsidRPr="001B4CA2">
        <w:t xml:space="preserve"> po europskom uhidbenom nalogu te uručenje pismena. U odnosu na strukturu kriminaliteta i uključene države najveći dio predmeta odnosio se na kaznena djela protiv imovine te pranje novca,</w:t>
      </w:r>
      <w:r w:rsidR="00FD08E9">
        <w:t xml:space="preserve"> </w:t>
      </w:r>
      <w:r w:rsidRPr="001B4CA2">
        <w:t xml:space="preserve">a pomoć je u najvećoj mjeri tražena/pružana Republici Sloveniji, Republici Austriji te SR Njemačkoj. </w:t>
      </w:r>
    </w:p>
    <w:p w14:paraId="640E342D" w14:textId="77777777" w:rsidR="0029740D" w:rsidRPr="001B4CA2" w:rsidRDefault="0029740D" w:rsidP="0029740D"/>
    <w:p w14:paraId="5B3088A1" w14:textId="289E3062" w:rsidR="00EA0661" w:rsidRPr="001B4CA2" w:rsidRDefault="00EA0661" w:rsidP="00955E23">
      <w:pPr>
        <w:pStyle w:val="Naslov4"/>
        <w:tabs>
          <w:tab w:val="left" w:pos="1134"/>
        </w:tabs>
        <w:rPr>
          <w:rFonts w:ascii="Arial" w:hAnsi="Arial" w:cs="Arial"/>
        </w:rPr>
      </w:pPr>
      <w:bookmarkStart w:id="178" w:name="_Toc133394408"/>
      <w:r w:rsidRPr="001B4CA2">
        <w:rPr>
          <w:rFonts w:ascii="Arial" w:hAnsi="Arial" w:cs="Arial"/>
        </w:rPr>
        <w:t>Međunarodna suradnja</w:t>
      </w:r>
      <w:bookmarkEnd w:id="178"/>
    </w:p>
    <w:p w14:paraId="17AC4848" w14:textId="47EC3480" w:rsidR="005D7FDE" w:rsidRPr="001B4CA2" w:rsidRDefault="005D7FDE" w:rsidP="00A73E7A"/>
    <w:p w14:paraId="138DF8B3" w14:textId="4A3E0904" w:rsidR="00AD5978" w:rsidRPr="001B4CA2" w:rsidRDefault="005F79DD" w:rsidP="00AD5978">
      <w:pPr>
        <w:rPr>
          <w:bCs/>
          <w:color w:val="181818"/>
          <w:shd w:val="clear" w:color="auto" w:fill="FFFFFF"/>
        </w:rPr>
      </w:pPr>
      <w:r w:rsidRPr="001B4CA2">
        <w:tab/>
      </w:r>
      <w:r w:rsidR="00AD5978" w:rsidRPr="001B4CA2">
        <w:t xml:space="preserve">Državno odvjetništvo Republike Hrvatske i niža državna odvjetništva nastavila su i 2022. godine aktivno sudjelovati u radu tijela regionalnih i univerzalnih međunarodnih organizacija, razvijati i jačati suradnju s tužiteljstvima drugih država sukladno odredbama tužiteljskih memoranduma/protokola, ali i kroz sudjelovanje svojih predstavnika </w:t>
      </w:r>
      <w:r w:rsidR="00D93604">
        <w:t>te</w:t>
      </w:r>
      <w:r w:rsidR="00AD5978" w:rsidRPr="001B4CA2">
        <w:t xml:space="preserve"> tijelima i mrežama osnovanih u okviru Europske unije i Vijeća Europe (GRECO, MONEYVAL, Konferencija stranaka Varšavske konvencije, T-CY) te međunarodnih udruženja tužitelja (</w:t>
      </w:r>
      <w:r w:rsidR="00AD5978" w:rsidRPr="001B4CA2">
        <w:rPr>
          <w:bCs/>
          <w:color w:val="181818"/>
          <w:shd w:val="clear" w:color="auto" w:fill="FFFFFF"/>
        </w:rPr>
        <w:t>Glavna državna odvjetnica Republike Hrvatske sudjelovala je na 27. godišnjoj konferenciji i općem sastanku Međunarodnog udruženja tužitelja održanoj od 25. do 29. rujna 2022. u Tbilisiju,</w:t>
      </w:r>
      <w:r w:rsidR="00FD08E9">
        <w:rPr>
          <w:bCs/>
          <w:color w:val="181818"/>
          <w:shd w:val="clear" w:color="auto" w:fill="FFFFFF"/>
        </w:rPr>
        <w:t xml:space="preserve"> </w:t>
      </w:r>
      <w:r w:rsidR="00AD5978" w:rsidRPr="001B4CA2">
        <w:rPr>
          <w:bCs/>
          <w:color w:val="181818"/>
          <w:shd w:val="clear" w:color="auto" w:fill="FFFFFF"/>
        </w:rPr>
        <w:t xml:space="preserve">Republika Gruzija). </w:t>
      </w:r>
    </w:p>
    <w:p w14:paraId="488AB834" w14:textId="77777777" w:rsidR="00AD5978" w:rsidRPr="001B4CA2" w:rsidRDefault="00AD5978" w:rsidP="00AD5978">
      <w:pPr>
        <w:ind w:firstLine="708"/>
        <w:rPr>
          <w:bCs/>
          <w:color w:val="181818"/>
          <w:shd w:val="clear" w:color="auto" w:fill="FFFFFF"/>
        </w:rPr>
      </w:pPr>
    </w:p>
    <w:p w14:paraId="0CC98BAE" w14:textId="3A366023" w:rsidR="00AD5978" w:rsidRPr="001B4CA2" w:rsidRDefault="00AD5978" w:rsidP="00AD5978">
      <w:pPr>
        <w:ind w:firstLine="708"/>
        <w:rPr>
          <w:bCs/>
          <w:color w:val="181818"/>
          <w:shd w:val="clear" w:color="auto" w:fill="FFFFFF"/>
        </w:rPr>
      </w:pPr>
      <w:r w:rsidRPr="001B4CA2">
        <w:t xml:space="preserve">U prosincu 2022. godine predstavnici Državnog odvjetništva Republike Hrvatske i </w:t>
      </w:r>
      <w:r w:rsidRPr="001B4CA2">
        <w:rPr>
          <w:bCs/>
          <w:color w:val="181818"/>
          <w:shd w:val="clear" w:color="auto" w:fill="FFFFFF"/>
        </w:rPr>
        <w:t>Županijskog državnog odvjetništva u Zagrebu održali su sastanak s izaslanstvom Ureda glavnog tužitelja Ukrajine radi upoznavanja sa sustavom podrške žrtvama i svjedocima u Republici Hrvatskoj.</w:t>
      </w:r>
    </w:p>
    <w:p w14:paraId="6B2A9F06" w14:textId="5D239394" w:rsidR="001C297A" w:rsidRPr="001B4CA2" w:rsidRDefault="001C297A" w:rsidP="00AD5978">
      <w:pPr>
        <w:ind w:firstLine="708"/>
        <w:rPr>
          <w:bCs/>
          <w:color w:val="181818"/>
          <w:shd w:val="clear" w:color="auto" w:fill="FFFFFF"/>
        </w:rPr>
      </w:pPr>
    </w:p>
    <w:p w14:paraId="38E16BE8" w14:textId="3AF586A3" w:rsidR="001C297A" w:rsidRPr="001B4CA2" w:rsidRDefault="001C297A" w:rsidP="00AD5978">
      <w:pPr>
        <w:ind w:firstLine="708"/>
        <w:rPr>
          <w:bCs/>
          <w:color w:val="181818"/>
          <w:shd w:val="clear" w:color="auto" w:fill="FFFFFF"/>
        </w:rPr>
      </w:pPr>
    </w:p>
    <w:p w14:paraId="783AEF82" w14:textId="77777777" w:rsidR="001C297A" w:rsidRPr="001B4CA2" w:rsidRDefault="001C297A" w:rsidP="00AD5978">
      <w:pPr>
        <w:ind w:firstLine="708"/>
        <w:rPr>
          <w:bCs/>
          <w:color w:val="181818"/>
          <w:shd w:val="clear" w:color="auto" w:fill="FFFFFF"/>
        </w:rPr>
      </w:pPr>
    </w:p>
    <w:p w14:paraId="4792228B" w14:textId="77777777" w:rsidR="008C73DD" w:rsidRPr="001B4CA2" w:rsidRDefault="008C73DD" w:rsidP="00EA0661"/>
    <w:p w14:paraId="47F25C3F" w14:textId="4D3D0201" w:rsidR="00EA0661" w:rsidRPr="001B4CA2" w:rsidRDefault="00EA0661" w:rsidP="00604064">
      <w:pPr>
        <w:pStyle w:val="Naslov4"/>
        <w:ind w:left="1276" w:hanging="992"/>
        <w:rPr>
          <w:rFonts w:ascii="Arial" w:hAnsi="Arial" w:cs="Arial"/>
        </w:rPr>
      </w:pPr>
      <w:bookmarkStart w:id="179" w:name="_Toc133394409"/>
      <w:r w:rsidRPr="001B4CA2">
        <w:rPr>
          <w:rFonts w:ascii="Arial" w:hAnsi="Arial" w:cs="Arial"/>
        </w:rPr>
        <w:lastRenderedPageBreak/>
        <w:t>Suradnja s Uredom zastupnika Republike Hrvatske pred Europskim sudom za ljudska prava</w:t>
      </w:r>
      <w:bookmarkEnd w:id="179"/>
    </w:p>
    <w:p w14:paraId="3745AC1D" w14:textId="77777777" w:rsidR="005D7FDE" w:rsidRPr="001B4CA2" w:rsidRDefault="005D7FDE" w:rsidP="00E56E7E"/>
    <w:p w14:paraId="4A7AE286" w14:textId="5312F615" w:rsidR="00AD5978" w:rsidRPr="001B4CA2" w:rsidRDefault="00AD5978" w:rsidP="00AD5978">
      <w:pPr>
        <w:ind w:firstLine="708"/>
      </w:pPr>
      <w:r w:rsidRPr="001B4CA2">
        <w:t>Člankom 10. Uredbe o Uredu zastupnika Republike Hrvatske pred Europskim sudom za ljudska prava (Narodne novine, broj 18/12 i 84/18) propisano je da su sva državna tijela dužna surađivati sa zastupnikom i njegovim Uredom, omogućiti mu nesmetan rad te mu učiniti dostupnim sve relevantne činjenice i isprave potrebne za uredno obavljanje poslova zastupanja pred Europskim sudom za ljudska prava (dalje u tekstu: ESLJP) i izvršenje presuda navedenog Suda.</w:t>
      </w:r>
    </w:p>
    <w:p w14:paraId="6750FFFA" w14:textId="77777777" w:rsidR="00AD5978" w:rsidRPr="001B4CA2" w:rsidRDefault="00AD5978" w:rsidP="00AD5978">
      <w:pPr>
        <w:ind w:firstLine="708"/>
      </w:pPr>
    </w:p>
    <w:p w14:paraId="2978F6BC" w14:textId="2EB44228" w:rsidR="00AD5978" w:rsidRPr="001B4CA2" w:rsidRDefault="00AD5978" w:rsidP="00AD5978">
      <w:pPr>
        <w:ind w:firstLine="708"/>
      </w:pPr>
      <w:r w:rsidRPr="001B4CA2">
        <w:t xml:space="preserve">U izvještajnom </w:t>
      </w:r>
      <w:r w:rsidR="00D93604" w:rsidRPr="001B4CA2">
        <w:t xml:space="preserve">je </w:t>
      </w:r>
      <w:r w:rsidRPr="001B4CA2">
        <w:t>razdoblju Državno odvjetništvo Republike Hrvatske na traženje Ureda zastupnika dostavilo tri očitovanja o postupanju državnog odvjetništva u građanskim predmetima kao i relevantnu dokumentaciju, a odnosi se na zahtjev</w:t>
      </w:r>
      <w:r w:rsidR="0039704F">
        <w:t>e</w:t>
      </w:r>
      <w:r w:rsidRPr="001B4CA2">
        <w:t xml:space="preserve"> povodom navodne povrede članka 3. Konvencije za zaštitu ljudskih prava i temeljnih sloboda (zabrana mučenja, nečovječnog i ponižavajućeg postupanja ili kažnjavanja zbog neodgovarajućih uvjeta u zatvorima) te članka 1. Protokola broj 1. uz Konvenciju</w:t>
      </w:r>
      <w:r w:rsidR="00FD08E9">
        <w:t xml:space="preserve"> </w:t>
      </w:r>
      <w:r w:rsidRPr="001B4CA2">
        <w:t>(pravo na mirno uživanje vlasništva), samostalno ili zajedno</w:t>
      </w:r>
      <w:r w:rsidR="00FD08E9">
        <w:t xml:space="preserve"> s </w:t>
      </w:r>
      <w:r w:rsidRPr="001B4CA2">
        <w:t>povredom prava na pošteno suđenje (članak 6. Konvencije), odnosno povrede prava na život (članak 2. Konvencije) te prava na privat</w:t>
      </w:r>
      <w:r w:rsidR="0039704F">
        <w:t>a</w:t>
      </w:r>
      <w:r w:rsidRPr="001B4CA2">
        <w:t>n život (članak 8. Konvencije).</w:t>
      </w:r>
    </w:p>
    <w:p w14:paraId="209E46C4" w14:textId="77777777" w:rsidR="00AD5978" w:rsidRPr="001B4CA2" w:rsidRDefault="00AD5978" w:rsidP="00AD5978">
      <w:pPr>
        <w:ind w:firstLine="708"/>
      </w:pPr>
    </w:p>
    <w:p w14:paraId="730D9714" w14:textId="369C6DDB" w:rsidR="00AD5978" w:rsidRPr="001B4CA2" w:rsidRDefault="00AD5978" w:rsidP="00AD5978">
      <w:pPr>
        <w:ind w:firstLine="708"/>
      </w:pPr>
      <w:r w:rsidRPr="001B4CA2">
        <w:t xml:space="preserve">U odnosu na kaznene predmete Državno odvjetništvo Republike Hrvatske dostavilo je osam očitovanja, a vezano </w:t>
      </w:r>
      <w:r w:rsidR="0039704F">
        <w:t>z</w:t>
      </w:r>
      <w:r w:rsidRPr="001B4CA2">
        <w:t xml:space="preserve">a istaknute navodne povrede članka 3. Konvencije (zabrana mučenja), članka 5. Konvencije (pravo na slobodu i sigurnost), zatim članka 6. Konvencije (pravo na pošteno suđenje), kao i članka 8. Konvencije (pravo na poštovanje privatnog i obiteljskog života) te članka 1. Protokola 1. uz Konvenciju (zaštita vlasništva). </w:t>
      </w:r>
    </w:p>
    <w:p w14:paraId="6B69DE36" w14:textId="77777777" w:rsidR="00AD5978" w:rsidRPr="001B4CA2" w:rsidRDefault="00AD5978" w:rsidP="00AD5978">
      <w:pPr>
        <w:ind w:firstLine="708"/>
      </w:pPr>
    </w:p>
    <w:p w14:paraId="577EB8E0" w14:textId="2C56436D" w:rsidR="00AD5978" w:rsidRPr="001B4CA2" w:rsidRDefault="00AD5978" w:rsidP="00AD5978">
      <w:pPr>
        <w:ind w:firstLine="708"/>
      </w:pPr>
      <w:r w:rsidRPr="001B4CA2">
        <w:t>U izvještajnom razdoblju Uredu zastupnika dostavljena su dodatna očitovanja u najmanje pet predmeta koji se tiču kaznenih postupaka, a navedeno upućuje na zaključak da se u slučaju postupaka koji su pokrenuti pred ESLJP</w:t>
      </w:r>
      <w:r w:rsidR="0039704F">
        <w:t>-om</w:t>
      </w:r>
      <w:r w:rsidRPr="001B4CA2">
        <w:t xml:space="preserve"> protiv Republike Hrvatske često radi o dugotrajnim postupcima tijekom kojih se razvija kontinuirana suradnja između Ureda zastupnika i Državnog odvjetništva Republike Hrvatske.</w:t>
      </w:r>
    </w:p>
    <w:p w14:paraId="33873B93" w14:textId="77777777" w:rsidR="00AD5978" w:rsidRPr="001B4CA2" w:rsidRDefault="00AD5978" w:rsidP="00AD5978">
      <w:pPr>
        <w:ind w:firstLine="708"/>
      </w:pPr>
      <w:r w:rsidRPr="001B4CA2">
        <w:t xml:space="preserve"> </w:t>
      </w:r>
    </w:p>
    <w:p w14:paraId="660533D7" w14:textId="77777777" w:rsidR="00AD5978" w:rsidRPr="001B4CA2" w:rsidRDefault="00AD5978" w:rsidP="00AD5978">
      <w:pPr>
        <w:widowControl w:val="0"/>
        <w:ind w:firstLine="708"/>
      </w:pPr>
      <w:r w:rsidRPr="001B4CA2">
        <w:t>Ujedno je tijekom 2022. dostavljeno i jedno očitovanje povodom obavijesti Ureda zastupnika o pozivu zastupnika Francuske Republike upućenom državama strankama Konvencije za zaštitu ljudskih prava i temeljnih sloboda da razmotre miješanje u spor kao treće strane u predmetu koji je svojim zahtjevom pokrenuo jedan podnositelj zahtjeva protiv Francuske Republike, dok se jedno očitovanje odnosilo na postupak koji je u tijeku pred Velikim vijećem ESLJP-a povodom zahtjeva više fizičkih osoba iz Portugala protiv Portugala i 32 druge države (među kojima je i Republika Hrvatska), a koji se odnosi na emisiju stakleničkih plinova koje ispuštaju tužene države i koje utječe na globalno zatopljenje.</w:t>
      </w:r>
    </w:p>
    <w:p w14:paraId="70A2BD35" w14:textId="77777777" w:rsidR="00AD5978" w:rsidRPr="001B4CA2" w:rsidRDefault="00AD5978" w:rsidP="00AD5978">
      <w:pPr>
        <w:widowControl w:val="0"/>
        <w:ind w:firstLine="708"/>
      </w:pPr>
    </w:p>
    <w:p w14:paraId="2E418EFE" w14:textId="54D5EA05" w:rsidR="00AD5978" w:rsidRPr="001B4CA2" w:rsidRDefault="00AD5978" w:rsidP="00AD5978">
      <w:pPr>
        <w:ind w:firstLine="708"/>
      </w:pPr>
      <w:r w:rsidRPr="001B4CA2">
        <w:t>Nadalje, upravo tijekom izvještajnog razdoblja imenovani su novi predstavnici Državnog odvjetništva u svojstvu člana i zamjenika člana u Stručnom savjetu za izvršenje presuda i odluka ESLJP</w:t>
      </w:r>
      <w:r w:rsidR="0039704F">
        <w:t>-a</w:t>
      </w:r>
      <w:r w:rsidRPr="001B4CA2">
        <w:t>, pri čemu je jedan predstavnik zadužen za praćenje izvršenja presuda ESLJP</w:t>
      </w:r>
      <w:r w:rsidR="0039704F">
        <w:t>-a</w:t>
      </w:r>
      <w:r w:rsidRPr="001B4CA2">
        <w:t xml:space="preserve"> iz područja kaznenog prava, a drugi predstavnik iz područja građanskog i upravnog prava</w:t>
      </w:r>
      <w:r w:rsidR="0039704F">
        <w:t xml:space="preserve"> </w:t>
      </w:r>
      <w:r w:rsidRPr="001B4CA2">
        <w:t>kako bi se što stručnije pristupilo postupku nadzora nad izvršenjem presuda ESLJP</w:t>
      </w:r>
      <w:r w:rsidR="0039704F">
        <w:t>-a</w:t>
      </w:r>
      <w:r w:rsidRPr="001B4CA2">
        <w:t xml:space="preserve">, jer po konačnosti tih presuda za tuženu </w:t>
      </w:r>
      <w:r w:rsidRPr="001B4CA2">
        <w:lastRenderedPageBreak/>
        <w:t xml:space="preserve">državu nastaju obveze pružanja adekvatnog odgovora radi popravljanja povreda utvrđenih u </w:t>
      </w:r>
      <w:r w:rsidR="0039704F">
        <w:t>njima</w:t>
      </w:r>
      <w:r w:rsidRPr="001B4CA2">
        <w:t>.</w:t>
      </w:r>
      <w:r w:rsidR="00FD08E9">
        <w:t xml:space="preserve"> </w:t>
      </w:r>
      <w:r w:rsidRPr="001B4CA2">
        <w:t xml:space="preserve"> </w:t>
      </w:r>
    </w:p>
    <w:p w14:paraId="2417801D" w14:textId="77777777" w:rsidR="00AD5978" w:rsidRPr="001B4CA2" w:rsidRDefault="00AD5978" w:rsidP="00AD5978">
      <w:pPr>
        <w:ind w:firstLine="708"/>
      </w:pPr>
    </w:p>
    <w:p w14:paraId="349AAA35" w14:textId="77777777" w:rsidR="00AD5978" w:rsidRPr="001B4CA2" w:rsidRDefault="00AD5978" w:rsidP="00AD5978">
      <w:pPr>
        <w:ind w:firstLine="708"/>
      </w:pPr>
      <w:r w:rsidRPr="001B4CA2">
        <w:t xml:space="preserve">U izvještajnom razdoblju Državno odvjetništvo Republike Hrvatske dostavilo je Uredu zastupnika ukupno pet preliminarnih upitnika, i to jedan za građansko-upravne predmete i </w:t>
      </w:r>
      <w:r w:rsidRPr="001B4CA2">
        <w:softHyphen/>
      </w:r>
      <w:r w:rsidRPr="001B4CA2">
        <w:softHyphen/>
        <w:t xml:space="preserve">četiri za kaznene predmete, od kojih se samo jedan upitnik odnosio na presudu u kojoj je ESLJP utvrdio povredu Konvencije </w:t>
      </w:r>
      <w:proofErr w:type="spellStart"/>
      <w:r w:rsidRPr="001B4CA2">
        <w:t>državnoodvjetničkim</w:t>
      </w:r>
      <w:proofErr w:type="spellEnd"/>
      <w:r w:rsidRPr="001B4CA2">
        <w:t xml:space="preserve"> postupanjem, u smislu povrede </w:t>
      </w:r>
      <w:proofErr w:type="spellStart"/>
      <w:r w:rsidRPr="001B4CA2">
        <w:t>postupovnog</w:t>
      </w:r>
      <w:proofErr w:type="spellEnd"/>
      <w:r w:rsidRPr="001B4CA2">
        <w:t xml:space="preserve"> aspekta članka 3. Konvencije zbog neprovođenja učinkovite istrage.</w:t>
      </w:r>
    </w:p>
    <w:p w14:paraId="2C808CA5" w14:textId="77777777" w:rsidR="00AD5978" w:rsidRPr="001B4CA2" w:rsidRDefault="00AD5978" w:rsidP="00AD5978">
      <w:pPr>
        <w:ind w:firstLine="708"/>
      </w:pPr>
    </w:p>
    <w:p w14:paraId="5AA0642A" w14:textId="1833B6C8" w:rsidR="00AD5978" w:rsidRPr="001B4CA2" w:rsidRDefault="00AD5978" w:rsidP="00AD5978">
      <w:pPr>
        <w:ind w:firstLine="708"/>
      </w:pPr>
      <w:r w:rsidRPr="001B4CA2">
        <w:t>Državno odvjetništvo Republike Hrvatske po potrebi daje sugestije ili primjedbe na nacrt akcijskog plana ili akcijskog izvješća koje mu dostavi Ured te u okviru svoje nadležnosti sudjeluje u poduzimanju mjera izvršenja, a kroz suradnju s Odjelom za izvršenje presuda i odluka ESLJP</w:t>
      </w:r>
      <w:r w:rsidR="0039704F">
        <w:t>-a</w:t>
      </w:r>
      <w:r w:rsidRPr="001B4CA2">
        <w:t xml:space="preserve"> aktivno sudjeluje u postupcima izvršenja presuda i odluka ESLJP</w:t>
      </w:r>
      <w:r w:rsidR="0039704F">
        <w:t>-a</w:t>
      </w:r>
      <w:r w:rsidRPr="001B4CA2">
        <w:t xml:space="preserve">. </w:t>
      </w:r>
    </w:p>
    <w:p w14:paraId="562F915F" w14:textId="77777777" w:rsidR="00AD5978" w:rsidRPr="001B4CA2" w:rsidRDefault="00AD5978" w:rsidP="00AD5978">
      <w:pPr>
        <w:ind w:firstLine="708"/>
      </w:pPr>
    </w:p>
    <w:p w14:paraId="79E8DBD9" w14:textId="11DCA993" w:rsidR="00AD5978" w:rsidRPr="001B4CA2" w:rsidRDefault="00AD5978" w:rsidP="00AD5978">
      <w:pPr>
        <w:ind w:firstLine="708"/>
      </w:pPr>
      <w:r w:rsidRPr="001B4CA2">
        <w:t xml:space="preserve">Posebna </w:t>
      </w:r>
      <w:r w:rsidR="0039704F">
        <w:t>pozornost</w:t>
      </w:r>
      <w:r w:rsidRPr="001B4CA2">
        <w:t xml:space="preserve"> poklanja se predmetima koja su u pojačanom nadzoru OMVE-a. Tako je presuda M.</w:t>
      </w:r>
      <w:r w:rsidR="0039704F">
        <w:t xml:space="preserve"> </w:t>
      </w:r>
      <w:r w:rsidRPr="001B4CA2">
        <w:t>H. i dr. protiv Hrvatske iz 2021. prva presuda koja se odnosi na migrante ušla u pojačani nadzor OMVE-a nad izvršenjem, a u 2022. u odnosu na Republiku Hrvatsku u pojačanom nadzoru OMVE</w:t>
      </w:r>
      <w:r w:rsidR="0039704F">
        <w:t>-a</w:t>
      </w:r>
      <w:r w:rsidRPr="001B4CA2">
        <w:t xml:space="preserve"> se nalazi i </w:t>
      </w:r>
      <w:proofErr w:type="spellStart"/>
      <w:r w:rsidRPr="001B4CA2">
        <w:t>Statileo</w:t>
      </w:r>
      <w:proofErr w:type="spellEnd"/>
      <w:r w:rsidRPr="001B4CA2">
        <w:t xml:space="preserve"> grupa presuda</w:t>
      </w:r>
      <w:r w:rsidR="00F47D60">
        <w:t xml:space="preserve"> – </w:t>
      </w:r>
      <w:r w:rsidRPr="001B4CA2">
        <w:t xml:space="preserve">povreda </w:t>
      </w:r>
      <w:r w:rsidR="0039704F">
        <w:t xml:space="preserve">prava </w:t>
      </w:r>
      <w:r w:rsidRPr="001B4CA2">
        <w:t xml:space="preserve">vlasnika stanova u kojima žive zaštićeni najmoprimci, povreda čl. 1. Protokola broj 1 uz Konvenciju. </w:t>
      </w:r>
    </w:p>
    <w:p w14:paraId="75471B13" w14:textId="77777777" w:rsidR="00AD5978" w:rsidRPr="001B4CA2" w:rsidRDefault="00AD5978" w:rsidP="00AD5978">
      <w:pPr>
        <w:ind w:firstLine="708"/>
      </w:pPr>
    </w:p>
    <w:p w14:paraId="43E6A2DC" w14:textId="588D3175" w:rsidR="00AD5978" w:rsidRPr="001B4CA2" w:rsidRDefault="00AD5978" w:rsidP="00AD5978">
      <w:pPr>
        <w:ind w:firstLine="708"/>
      </w:pPr>
      <w:r w:rsidRPr="001B4CA2">
        <w:t xml:space="preserve">Tijekom 2022. Državno odvjetništvo Republike Hrvatske s Uredom zastupnika održalo </w:t>
      </w:r>
      <w:r w:rsidR="0039704F" w:rsidRPr="001B4CA2">
        <w:t xml:space="preserve">je </w:t>
      </w:r>
      <w:r w:rsidRPr="001B4CA2">
        <w:t>više radnih sastanaka na kojima su razmatrane prikladne mjere izvršenja navedenih presuda ESLJP</w:t>
      </w:r>
      <w:r w:rsidR="0039704F">
        <w:t>-a</w:t>
      </w:r>
      <w:r w:rsidRPr="001B4CA2">
        <w:t xml:space="preserve">, kao i s nižim državnim odvjetništvima u vezi </w:t>
      </w:r>
      <w:r w:rsidR="0039704F">
        <w:t xml:space="preserve">s </w:t>
      </w:r>
      <w:r w:rsidRPr="001B4CA2">
        <w:t>predmet</w:t>
      </w:r>
      <w:r w:rsidR="0039704F">
        <w:t>ima</w:t>
      </w:r>
      <w:r w:rsidRPr="001B4CA2">
        <w:t xml:space="preserve"> koji se tiču izvršenja presuda ESLJP</w:t>
      </w:r>
      <w:r w:rsidR="0039704F">
        <w:t>-a</w:t>
      </w:r>
      <w:r w:rsidRPr="001B4CA2">
        <w:t>, odnosno novih predmeta iste problematike o kojoj već postoji sudska praksa ESLJP</w:t>
      </w:r>
      <w:r w:rsidR="0039704F">
        <w:t>-a</w:t>
      </w:r>
      <w:r w:rsidR="00F47D60">
        <w:t xml:space="preserve"> – </w:t>
      </w:r>
      <w:r w:rsidRPr="001B4CA2">
        <w:t>stjecanje prava vlasništva dosjelošću na nekretninama u bivšem društvenom vlasništvu, povreda prava vlasnika stanova u kojima žive zaštićeni najmoprimci.</w:t>
      </w:r>
    </w:p>
    <w:p w14:paraId="0202AE9D" w14:textId="77777777" w:rsidR="00AD5978" w:rsidRPr="001B4CA2" w:rsidRDefault="00AD5978" w:rsidP="00AD5978">
      <w:pPr>
        <w:ind w:firstLine="708"/>
      </w:pPr>
    </w:p>
    <w:p w14:paraId="3BF16499" w14:textId="7C0EA057" w:rsidR="00AD5978" w:rsidRPr="001B4CA2" w:rsidRDefault="0039704F" w:rsidP="00AD5978">
      <w:pPr>
        <w:widowControl w:val="0"/>
        <w:spacing w:after="160"/>
        <w:ind w:firstLine="708"/>
      </w:pPr>
      <w:r>
        <w:t>Valja</w:t>
      </w:r>
      <w:r w:rsidR="00AD5978" w:rsidRPr="001B4CA2">
        <w:t xml:space="preserve"> istaknuti da su tijekom izvještajnog razdoblja zatvoreni nadzori nad izvršenjem dviju bitnih grupa predmeta protiv Hrvatske: </w:t>
      </w:r>
      <w:proofErr w:type="spellStart"/>
      <w:r w:rsidR="00AD5978" w:rsidRPr="001B4CA2">
        <w:t>Skendžić</w:t>
      </w:r>
      <w:proofErr w:type="spellEnd"/>
      <w:r w:rsidR="00AD5978" w:rsidRPr="001B4CA2">
        <w:t>-Krznarić grupa predmeta, koja se odnosi na pet presuda u kojima je utvrđena povreda procesnog aspekta članka 2. Konvencije zbog neučinkovitih istraga ratnih zločina</w:t>
      </w:r>
      <w:r>
        <w:t>, a</w:t>
      </w:r>
      <w:r w:rsidR="00AD5978" w:rsidRPr="001B4CA2">
        <w:t xml:space="preserve"> nalazile su se u pojačanom nadzoru OMVE-a, te V.D. grupa predmeta koja se odnosi na četiri presude u kojima je ESLJP utvrdio da je Republika Hrvatska povrijedila pravo podnositelja zahtjeva na zabranu mučenja i nečovječnog postupanja iz članka 3. Konvencije u procesnom smislu</w:t>
      </w:r>
      <w:r>
        <w:t>,</w:t>
      </w:r>
      <w:r w:rsidR="00AD5978" w:rsidRPr="001B4CA2">
        <w:t xml:space="preserve"> i to zbog neprovođenja učinkovite istrage zbog navoda o zlostavljanju podnositelja od strane policijskih službenika. </w:t>
      </w:r>
    </w:p>
    <w:p w14:paraId="36AD17D4" w14:textId="6BED870C" w:rsidR="00AD5978" w:rsidRPr="001B4CA2" w:rsidRDefault="00AD5978" w:rsidP="00AD5978">
      <w:pPr>
        <w:ind w:firstLine="708"/>
      </w:pPr>
      <w:r w:rsidRPr="001B4CA2">
        <w:t>Sukladno Zakonu o državnom odvjetništvu (Narodne novine, broj 67/18 i 21/22) u Državnom odvjetništvu Republike Hrvatske i u županijskim državnim odvjetništvima određene su osobe za praćenje sudske prakse ESLJP</w:t>
      </w:r>
      <w:r w:rsidR="0039704F">
        <w:t>-a</w:t>
      </w:r>
      <w:r w:rsidRPr="001B4CA2">
        <w:t xml:space="preserve"> koje pružaju pomoć u pravilnoj primjeni propisa i sudske prakse ESLJP</w:t>
      </w:r>
      <w:r w:rsidR="0039704F">
        <w:t>-a</w:t>
      </w:r>
      <w:r w:rsidRPr="001B4CA2">
        <w:t xml:space="preserve"> relevantne za rad državnog odvjetništva, a radi kvalitetnog i pravilnog zastupanja Republike Hrvatske, odnosno postupanja i rada u konkretnim predmetima.</w:t>
      </w:r>
    </w:p>
    <w:p w14:paraId="2977ED1E" w14:textId="77777777" w:rsidR="00AD5978" w:rsidRPr="001B4CA2" w:rsidRDefault="00AD5978" w:rsidP="00AD5978">
      <w:pPr>
        <w:ind w:firstLine="708"/>
      </w:pPr>
    </w:p>
    <w:p w14:paraId="78D06E36" w14:textId="0A81F891" w:rsidR="00AD5978" w:rsidRPr="001B4CA2" w:rsidRDefault="00AD5978" w:rsidP="00AD5978">
      <w:pPr>
        <w:ind w:firstLine="708"/>
      </w:pPr>
      <w:r w:rsidRPr="001B4CA2">
        <w:t>S obzirom d</w:t>
      </w:r>
      <w:r w:rsidR="0039704F">
        <w:t xml:space="preserve">na to </w:t>
      </w:r>
      <w:r w:rsidRPr="001B4CA2">
        <w:t>a je sudska praksa ESLJP</w:t>
      </w:r>
      <w:r w:rsidR="0039704F">
        <w:t>-a</w:t>
      </w:r>
      <w:r w:rsidRPr="001B4CA2">
        <w:t xml:space="preserve"> sastavni dio sustava Konvencije koju je u svom svakodnevnom radu u obvezi primjenjivati i državno odvjetništvo, Državno odvjetništvo Republike Hrvatske redov</w:t>
      </w:r>
      <w:r w:rsidR="0039704F">
        <w:t>it</w:t>
      </w:r>
      <w:r w:rsidRPr="001B4CA2">
        <w:t xml:space="preserve">o obavještava niža </w:t>
      </w:r>
      <w:r w:rsidRPr="001B4CA2">
        <w:lastRenderedPageBreak/>
        <w:t>državna odvjetništva o svim važnijim presudama i odlukama ESLJP</w:t>
      </w:r>
      <w:r w:rsidR="0039704F">
        <w:t>-a</w:t>
      </w:r>
      <w:r w:rsidRPr="001B4CA2">
        <w:t xml:space="preserve"> koje su </w:t>
      </w:r>
      <w:r w:rsidR="0039704F">
        <w:t>važne</w:t>
      </w:r>
      <w:r w:rsidRPr="001B4CA2">
        <w:t xml:space="preserve"> za rad državnog odvjetništva u građansko-upravnim i kaznenim predmetima, o objavljenim publikacijama Ureda</w:t>
      </w:r>
      <w:r w:rsidR="00F47D60">
        <w:t xml:space="preserve"> – </w:t>
      </w:r>
      <w:r w:rsidRPr="001B4CA2">
        <w:t>analizama presuda i odluka, pregledu najvažnijih presuda i odluka ESLJP</w:t>
      </w:r>
      <w:r w:rsidR="0039704F">
        <w:t>-a</w:t>
      </w:r>
      <w:r w:rsidRPr="001B4CA2">
        <w:t xml:space="preserve"> u pojedinim razdobljima te o prijevodima Vodiča kroz pojedine članke Konvencije i Protokole uz Konvenciju koje je objavio ESLJP i dr.</w:t>
      </w:r>
    </w:p>
    <w:p w14:paraId="6F211768" w14:textId="77777777" w:rsidR="00AD5978" w:rsidRPr="001B4CA2" w:rsidRDefault="00AD5978" w:rsidP="00AD5978">
      <w:pPr>
        <w:ind w:firstLine="708"/>
      </w:pPr>
    </w:p>
    <w:p w14:paraId="638BF27B" w14:textId="0478BE07" w:rsidR="00AD5978" w:rsidRPr="001B4CA2" w:rsidRDefault="00AD5978" w:rsidP="00AD5978">
      <w:pPr>
        <w:ind w:firstLine="708"/>
      </w:pPr>
      <w:r w:rsidRPr="001B4CA2">
        <w:t>Kako je za potpuno i pravilno razumijevanje konvencijskih standarda nužno stalno stručno usavršavanje u tom području, savjetnici i zamjenici u državnim odvjetništvima u</w:t>
      </w:r>
      <w:r w:rsidR="00FD08E9">
        <w:t xml:space="preserve"> </w:t>
      </w:r>
      <w:r w:rsidRPr="001B4CA2">
        <w:t xml:space="preserve">2022. sudjelovali </w:t>
      </w:r>
      <w:r w:rsidR="0039704F" w:rsidRPr="001B4CA2">
        <w:t>su</w:t>
      </w:r>
      <w:r w:rsidR="0039704F">
        <w:t xml:space="preserve"> </w:t>
      </w:r>
      <w:r w:rsidRPr="001B4CA2">
        <w:t>na više radionica u organizaciji Pravosudne akademije na temu konvencijskog prava.</w:t>
      </w:r>
    </w:p>
    <w:p w14:paraId="6FA8044F" w14:textId="77777777" w:rsidR="008C73DD" w:rsidRPr="001B4CA2" w:rsidRDefault="008C73DD" w:rsidP="00EA0661"/>
    <w:p w14:paraId="54A9A0C3" w14:textId="124CCD0F" w:rsidR="00BB4D48" w:rsidRPr="001B4CA2" w:rsidRDefault="00326934" w:rsidP="001C297A">
      <w:pPr>
        <w:pStyle w:val="Naslov3"/>
        <w:tabs>
          <w:tab w:val="left" w:pos="709"/>
        </w:tabs>
        <w:ind w:left="284" w:hanging="142"/>
        <w:rPr>
          <w:rFonts w:ascii="Arial" w:hAnsi="Arial" w:cs="Arial"/>
        </w:rPr>
      </w:pPr>
      <w:r w:rsidRPr="001B4CA2">
        <w:rPr>
          <w:rFonts w:ascii="Arial" w:hAnsi="Arial" w:cs="Arial"/>
        </w:rPr>
        <w:t xml:space="preserve"> </w:t>
      </w:r>
      <w:bookmarkStart w:id="180" w:name="_Toc133394410"/>
      <w:r w:rsidR="00BB4D48" w:rsidRPr="001B4CA2">
        <w:rPr>
          <w:rFonts w:ascii="Arial" w:hAnsi="Arial" w:cs="Arial"/>
        </w:rPr>
        <w:t>Suradnja</w:t>
      </w:r>
      <w:r w:rsidR="006262C8" w:rsidRPr="001B4CA2">
        <w:rPr>
          <w:rFonts w:ascii="Arial" w:hAnsi="Arial" w:cs="Arial"/>
        </w:rPr>
        <w:t xml:space="preserve"> </w:t>
      </w:r>
      <w:r w:rsidR="00BB4D48" w:rsidRPr="001B4CA2">
        <w:rPr>
          <w:rFonts w:ascii="Arial" w:hAnsi="Arial" w:cs="Arial"/>
        </w:rPr>
        <w:t>na</w:t>
      </w:r>
      <w:r w:rsidR="006262C8" w:rsidRPr="001B4CA2">
        <w:rPr>
          <w:rFonts w:ascii="Arial" w:hAnsi="Arial" w:cs="Arial"/>
        </w:rPr>
        <w:t xml:space="preserve"> </w:t>
      </w:r>
      <w:r w:rsidR="00BB4D48" w:rsidRPr="001B4CA2">
        <w:rPr>
          <w:rFonts w:ascii="Arial" w:hAnsi="Arial" w:cs="Arial"/>
        </w:rPr>
        <w:t>t</w:t>
      </w:r>
      <w:r w:rsidR="00A60F77" w:rsidRPr="001B4CA2">
        <w:rPr>
          <w:rFonts w:ascii="Arial" w:hAnsi="Arial" w:cs="Arial"/>
        </w:rPr>
        <w:t>emelju</w:t>
      </w:r>
      <w:r w:rsidR="006262C8" w:rsidRPr="001B4CA2">
        <w:rPr>
          <w:rFonts w:ascii="Arial" w:hAnsi="Arial" w:cs="Arial"/>
        </w:rPr>
        <w:t xml:space="preserve"> </w:t>
      </w:r>
      <w:r w:rsidR="00A60F77" w:rsidRPr="001B4CA2">
        <w:rPr>
          <w:rFonts w:ascii="Arial" w:hAnsi="Arial" w:cs="Arial"/>
        </w:rPr>
        <w:t>Protokola</w:t>
      </w:r>
      <w:r w:rsidR="006262C8" w:rsidRPr="001B4CA2">
        <w:rPr>
          <w:rFonts w:ascii="Arial" w:hAnsi="Arial" w:cs="Arial"/>
        </w:rPr>
        <w:t>/</w:t>
      </w:r>
      <w:r w:rsidR="00A60F77" w:rsidRPr="001B4CA2">
        <w:rPr>
          <w:rFonts w:ascii="Arial" w:hAnsi="Arial" w:cs="Arial"/>
        </w:rPr>
        <w:t>Memoranduma</w:t>
      </w:r>
      <w:bookmarkEnd w:id="180"/>
    </w:p>
    <w:p w14:paraId="292A71B7" w14:textId="32011107" w:rsidR="005D7FDE" w:rsidRPr="001B4CA2" w:rsidRDefault="005D7FDE" w:rsidP="00886E1C"/>
    <w:p w14:paraId="0418F078" w14:textId="1B0CA4C6" w:rsidR="00205030" w:rsidRPr="001B4CA2" w:rsidRDefault="00205030" w:rsidP="00205030">
      <w:pPr>
        <w:ind w:firstLine="708"/>
      </w:pPr>
      <w:r w:rsidRPr="001B4CA2">
        <w:t>Tijekom 2022. Državno odvjetništvo Republike Hrvatske i niža državna odvjetništva nastavila su neposrednu suradnju razmjenom podataka i pružanja raznih oblika pomoći prema tužiteljstvima drugih zemalja na temelju Protokola, odnosno Memoranduma o suglasnosti u ostvarivanju i unaprjeđenju međusobne suradnje u borbi protiv svih oblika teškog kriminala. Ne uočava se trend porasta tog oblika suradnje u odnosu na prethodne godine s obzirom na značajnu aktivnost u području suradnje</w:t>
      </w:r>
      <w:r w:rsidR="00FD08E9">
        <w:t xml:space="preserve"> s </w:t>
      </w:r>
      <w:r w:rsidRPr="001B4CA2">
        <w:t>Nacionalnim članom u EUROJUST-u i u EPMKS</w:t>
      </w:r>
      <w:r w:rsidR="0039704F">
        <w:t>-u</w:t>
      </w:r>
      <w:r w:rsidRPr="001B4CA2">
        <w:t xml:space="preserve"> i u odnosu na „treće“ države.</w:t>
      </w:r>
    </w:p>
    <w:p w14:paraId="4BCDD853" w14:textId="77777777" w:rsidR="00205030" w:rsidRPr="001B4CA2" w:rsidRDefault="00205030" w:rsidP="00205030">
      <w:pPr>
        <w:ind w:firstLine="708"/>
      </w:pPr>
    </w:p>
    <w:p w14:paraId="32F0D2DA" w14:textId="1D696E07" w:rsidR="00205030" w:rsidRPr="001B4CA2" w:rsidRDefault="00205030" w:rsidP="00205030">
      <w:pPr>
        <w:ind w:firstLine="708"/>
      </w:pPr>
      <w:r w:rsidRPr="001B4CA2">
        <w:t xml:space="preserve">Kao i ranijih godina navedeni tužiteljski protokoli/sporazumi i dalje su važan oblik suradnje s državnim odvjetništvima trećih država, posebno Republikom Srbijom, Crnom Gorom i Bosnom i Hercegovinom u </w:t>
      </w:r>
      <w:proofErr w:type="spellStart"/>
      <w:r w:rsidRPr="001B4CA2">
        <w:t>predistražnim</w:t>
      </w:r>
      <w:proofErr w:type="spellEnd"/>
      <w:r w:rsidRPr="001B4CA2">
        <w:t xml:space="preserve"> fazama postupka, najčešće u predmetima ratnih zločina i</w:t>
      </w:r>
      <w:r w:rsidR="00FD08E9">
        <w:t xml:space="preserve"> </w:t>
      </w:r>
      <w:r w:rsidRPr="001B4CA2">
        <w:t>u svrhu dostavljanja relevantnih informacija o svjedocima i osumnjičenicima, provođenja izvida i obavljanja obavijesnih razgovora.</w:t>
      </w:r>
    </w:p>
    <w:p w14:paraId="5BD5C1D8" w14:textId="77777777" w:rsidR="00205030" w:rsidRPr="001B4CA2" w:rsidRDefault="00205030" w:rsidP="00205030">
      <w:pPr>
        <w:ind w:firstLine="708"/>
      </w:pPr>
    </w:p>
    <w:p w14:paraId="327A74B4" w14:textId="6470D582" w:rsidR="00205030" w:rsidRPr="001B4CA2" w:rsidRDefault="00205030" w:rsidP="00205030">
      <w:pPr>
        <w:ind w:firstLine="568"/>
      </w:pPr>
      <w:r w:rsidRPr="001B4CA2">
        <w:t xml:space="preserve">Uredu za suzbijanje korupcije i organiziranog kriminaliteta tijekom izvještajne </w:t>
      </w:r>
      <w:r w:rsidR="0039704F" w:rsidRPr="001B4CA2">
        <w:t xml:space="preserve">je </w:t>
      </w:r>
      <w:r w:rsidRPr="001B4CA2">
        <w:t>godine temeljem Protokola o suglasnosti u ostvarivanju međusobne suradnje u borbi protiv svih oblika teškog kriminala između Državnog odvjetništva Republike Hrvatske i Tužiteljstva Bosne i Hercegovine dostavljen dokazni materijal Tužiteljstvu Bosne i Hercegovine koji se odnosio na osobu koja je državljanin te države.</w:t>
      </w:r>
    </w:p>
    <w:p w14:paraId="1EDBF330" w14:textId="77777777" w:rsidR="00205030" w:rsidRPr="001B4CA2" w:rsidRDefault="00205030" w:rsidP="00205030">
      <w:pPr>
        <w:ind w:firstLine="568"/>
      </w:pPr>
    </w:p>
    <w:p w14:paraId="770D2B16" w14:textId="77777777" w:rsidR="00205030" w:rsidRPr="001B4CA2" w:rsidRDefault="00205030" w:rsidP="00205030">
      <w:pPr>
        <w:ind w:firstLine="568"/>
      </w:pPr>
      <w:r w:rsidRPr="001B4CA2">
        <w:t xml:space="preserve">U postupcima zbog kaznenih djela ratnih zločina, sukladno odredbama Protokola/Memoranduma sklopljenim s Tužiteljstvom za ratne zločine Republike Srbije, odnosno Tužiteljstvom Bosne i Hercegovine, Županijsko državno odvjetništvo u Osijeku, Slavonskom Brodu, Rijeci, Zagrebu i Splitu ostvarilo je suradnju s tužiteljstvima susjednih država, a u cilju pribavljanja potrebnih informacija. </w:t>
      </w:r>
    </w:p>
    <w:p w14:paraId="26722773" w14:textId="272415F6" w:rsidR="008C73DD" w:rsidRDefault="008C73DD" w:rsidP="00886E1C"/>
    <w:p w14:paraId="2E6B3A16" w14:textId="77777777" w:rsidR="00223ABD" w:rsidRPr="001B4CA2" w:rsidRDefault="00223ABD" w:rsidP="00886E1C"/>
    <w:p w14:paraId="6EC4CE96" w14:textId="54E5D8ED" w:rsidR="008C73DD" w:rsidRPr="001B4CA2" w:rsidRDefault="003459F6" w:rsidP="001C297A">
      <w:pPr>
        <w:pStyle w:val="Naslov3"/>
        <w:tabs>
          <w:tab w:val="left" w:pos="284"/>
          <w:tab w:val="left" w:pos="851"/>
        </w:tabs>
        <w:ind w:left="284" w:hanging="142"/>
        <w:rPr>
          <w:rFonts w:ascii="Arial" w:hAnsi="Arial" w:cs="Arial"/>
        </w:rPr>
      </w:pPr>
      <w:bookmarkStart w:id="181" w:name="_Toc133394411"/>
      <w:r w:rsidRPr="001B4CA2">
        <w:rPr>
          <w:rFonts w:ascii="Arial" w:hAnsi="Arial" w:cs="Arial"/>
        </w:rPr>
        <w:t>Suradnja s uredom Europskog javnog tužitelja – EPPO</w:t>
      </w:r>
      <w:bookmarkEnd w:id="181"/>
    </w:p>
    <w:p w14:paraId="0F36337A" w14:textId="77777777" w:rsidR="008C73DD" w:rsidRPr="001B4CA2" w:rsidRDefault="008C73DD" w:rsidP="00302E6B"/>
    <w:p w14:paraId="3CF44824" w14:textId="57BBCDBE" w:rsidR="00AF5F10" w:rsidRPr="001B4CA2" w:rsidRDefault="005F79DD" w:rsidP="00AF5F10">
      <w:pPr>
        <w:widowControl w:val="0"/>
      </w:pPr>
      <w:r w:rsidRPr="001B4CA2">
        <w:tab/>
      </w:r>
      <w:r w:rsidR="00AF5F10" w:rsidRPr="001B4CA2">
        <w:t>Uredbom Vijeća (EU)</w:t>
      </w:r>
      <w:r w:rsidR="00AF5F10" w:rsidRPr="001B4CA2">
        <w:rPr>
          <w:rFonts w:eastAsia="Arial"/>
          <w:shd w:val="clear" w:color="auto" w:fill="FFFFFF"/>
        </w:rPr>
        <w:t xml:space="preserve"> 2017/1939 o provedbi pojačane suradnje u vezi s osnivanjem Ureda europskog javnog tužitelja (</w:t>
      </w:r>
      <w:r w:rsidR="00AF5F10" w:rsidRPr="001B4CA2">
        <w:rPr>
          <w:rFonts w:eastAsia="Arial"/>
          <w:color w:val="333333"/>
          <w:shd w:val="clear" w:color="auto" w:fill="FFFFFF"/>
        </w:rPr>
        <w:t>„</w:t>
      </w:r>
      <w:r w:rsidR="00AF5F10" w:rsidRPr="001B4CA2">
        <w:rPr>
          <w:rFonts w:eastAsia="Arial"/>
          <w:shd w:val="clear" w:color="auto" w:fill="FFFFFF"/>
        </w:rPr>
        <w:t xml:space="preserve">EPPO" – </w:t>
      </w:r>
      <w:r w:rsidR="00AF5F10" w:rsidRPr="0039704F">
        <w:rPr>
          <w:rFonts w:eastAsia="Arial"/>
          <w:i/>
          <w:iCs/>
          <w:shd w:val="clear" w:color="auto" w:fill="FFFFFF"/>
        </w:rPr>
        <w:t xml:space="preserve">European </w:t>
      </w:r>
      <w:proofErr w:type="spellStart"/>
      <w:r w:rsidR="00AF5F10" w:rsidRPr="0039704F">
        <w:rPr>
          <w:rFonts w:eastAsia="Arial"/>
          <w:i/>
          <w:iCs/>
          <w:shd w:val="clear" w:color="auto" w:fill="FFFFFF"/>
        </w:rPr>
        <w:t>public</w:t>
      </w:r>
      <w:proofErr w:type="spellEnd"/>
      <w:r w:rsidR="00AF5F10" w:rsidRPr="0039704F">
        <w:rPr>
          <w:rFonts w:eastAsia="Arial"/>
          <w:i/>
          <w:iCs/>
          <w:shd w:val="clear" w:color="auto" w:fill="FFFFFF"/>
        </w:rPr>
        <w:t xml:space="preserve"> </w:t>
      </w:r>
      <w:proofErr w:type="spellStart"/>
      <w:r w:rsidR="00AF5F10" w:rsidRPr="0039704F">
        <w:rPr>
          <w:rFonts w:eastAsia="Arial"/>
          <w:i/>
          <w:iCs/>
          <w:shd w:val="clear" w:color="auto" w:fill="FFFFFF"/>
        </w:rPr>
        <w:t>prosecutor</w:t>
      </w:r>
      <w:proofErr w:type="spellEnd"/>
      <w:r w:rsidR="00AF5F10" w:rsidRPr="0039704F">
        <w:rPr>
          <w:rFonts w:eastAsia="Arial"/>
          <w:i/>
          <w:iCs/>
          <w:shd w:val="clear" w:color="auto" w:fill="FFFFFF"/>
        </w:rPr>
        <w:t xml:space="preserve"> </w:t>
      </w:r>
      <w:proofErr w:type="spellStart"/>
      <w:r w:rsidR="00AF5F10" w:rsidRPr="0039704F">
        <w:rPr>
          <w:rFonts w:eastAsia="Arial"/>
          <w:i/>
          <w:iCs/>
          <w:shd w:val="clear" w:color="auto" w:fill="FFFFFF"/>
        </w:rPr>
        <w:t>office</w:t>
      </w:r>
      <w:proofErr w:type="spellEnd"/>
      <w:r w:rsidR="00AF5F10" w:rsidRPr="001B4CA2">
        <w:rPr>
          <w:rFonts w:eastAsia="Arial"/>
          <w:shd w:val="clear" w:color="auto" w:fill="FFFFFF"/>
        </w:rPr>
        <w:t>) od 20. studenog</w:t>
      </w:r>
      <w:r w:rsidR="0039704F">
        <w:rPr>
          <w:rFonts w:eastAsia="Arial"/>
          <w:shd w:val="clear" w:color="auto" w:fill="FFFFFF"/>
        </w:rPr>
        <w:t>a</w:t>
      </w:r>
      <w:r w:rsidR="00AF5F10" w:rsidRPr="001B4CA2">
        <w:rPr>
          <w:rFonts w:eastAsia="Arial"/>
          <w:shd w:val="clear" w:color="auto" w:fill="FFFFFF"/>
        </w:rPr>
        <w:t xml:space="preserve"> 2017. osnovan je Ured europskog javnog tužitelja kao neovisno pravosudno tijelo Europske unije zaduženo za kazneni progon protiv počinitelja kaznenih djela protiv financijskih interesa Europske unije određenih Direktivom (EU) 2017/1371 Europskog parlamenta i Vijeća od 5. srpnja 2017. o suzbijanju prijevara počinjenih protiv financijskih interesa Unije kaznenopravnim </w:t>
      </w:r>
      <w:r w:rsidR="00AF5F10" w:rsidRPr="001B4CA2">
        <w:rPr>
          <w:rFonts w:eastAsia="Arial"/>
          <w:shd w:val="clear" w:color="auto" w:fill="FFFFFF"/>
        </w:rPr>
        <w:lastRenderedPageBreak/>
        <w:t>sredstvima te kaznenih djela koja su s njima neodvojivo povezana (dalje u tekstu – PIF Direktiva).</w:t>
      </w:r>
    </w:p>
    <w:p w14:paraId="02806A85" w14:textId="77777777" w:rsidR="00AF5F10" w:rsidRPr="001B4CA2" w:rsidRDefault="00AF5F10" w:rsidP="00AF5F10">
      <w:pPr>
        <w:rPr>
          <w:rFonts w:eastAsia="Arial"/>
          <w:shd w:val="clear" w:color="auto" w:fill="FFFFFF"/>
        </w:rPr>
      </w:pPr>
    </w:p>
    <w:p w14:paraId="138310D7" w14:textId="77777777" w:rsidR="00AF5F10" w:rsidRPr="001B4CA2" w:rsidRDefault="00AF5F10" w:rsidP="00AF5F10">
      <w:pPr>
        <w:widowControl w:val="0"/>
        <w:ind w:firstLine="708"/>
        <w:rPr>
          <w:snapToGrid w:val="0"/>
        </w:rPr>
      </w:pPr>
      <w:r w:rsidRPr="001B4CA2">
        <w:rPr>
          <w:snapToGrid w:val="0"/>
        </w:rPr>
        <w:t>Ured europskog javnog tužitelja započeo je s radom 1. lipnja 2021. sukladno Provedbenoj odluci Komisije (EU) 2021/856 od 25. svibnja 2021. (Službeni list EU L 188/100 od 28. svibnja 2021.) i time postao funkcionalan u izvršavanju svoje nadležnosti u 22 sudjelujuće države članice Europske unije: Austriji, Belgiji, Bugarskoj, Cipru, Češkoj, Finskoj, Francuskoj, Grčkoj, Hrvatskoj, Italiji, Litvi, Luksemburgu, Malti, Nizozemskoj, Njemačkoj, Portugalu, Rumunjskoj, Slovačkoj, Sloveniji, Španjolskoj, Latviji i Estoniji.</w:t>
      </w:r>
    </w:p>
    <w:p w14:paraId="2629B524" w14:textId="77777777" w:rsidR="00AF5F10" w:rsidRPr="001B4CA2" w:rsidRDefault="00AF5F10" w:rsidP="00AF5F10">
      <w:pPr>
        <w:widowControl w:val="0"/>
        <w:ind w:firstLine="708"/>
        <w:rPr>
          <w:snapToGrid w:val="0"/>
        </w:rPr>
      </w:pPr>
    </w:p>
    <w:p w14:paraId="2916F6ED" w14:textId="77777777" w:rsidR="00AF5F10" w:rsidRPr="001B4CA2" w:rsidRDefault="00AF5F10" w:rsidP="00AF5F10">
      <w:pPr>
        <w:ind w:firstLine="708"/>
        <w:rPr>
          <w:rFonts w:eastAsia="Arial"/>
          <w:shd w:val="clear" w:color="auto" w:fill="FFFFFF"/>
        </w:rPr>
      </w:pPr>
      <w:r w:rsidRPr="001B4CA2">
        <w:rPr>
          <w:rFonts w:eastAsia="Arial"/>
          <w:shd w:val="clear" w:color="auto" w:fill="FFFFFF"/>
        </w:rPr>
        <w:t>Odnos EPPO-a i nacionalnih tijela kaznenog progona utemeljen je na načelu lojalne suradnje i Uredbom propisanom sustavu (po)dijeljene nadležnosti (</w:t>
      </w:r>
      <w:proofErr w:type="spellStart"/>
      <w:r w:rsidRPr="001B4CA2">
        <w:rPr>
          <w:rFonts w:eastAsia="Arial"/>
          <w:i/>
          <w:iCs/>
          <w:shd w:val="clear" w:color="auto" w:fill="FFFFFF"/>
        </w:rPr>
        <w:t>shared</w:t>
      </w:r>
      <w:proofErr w:type="spellEnd"/>
      <w:r w:rsidRPr="001B4CA2">
        <w:rPr>
          <w:rFonts w:eastAsia="Arial"/>
          <w:i/>
          <w:iCs/>
          <w:shd w:val="clear" w:color="auto" w:fill="FFFFFF"/>
        </w:rPr>
        <w:t xml:space="preserve"> </w:t>
      </w:r>
      <w:proofErr w:type="spellStart"/>
      <w:r w:rsidRPr="001B4CA2">
        <w:rPr>
          <w:rFonts w:eastAsia="Arial"/>
          <w:i/>
          <w:iCs/>
          <w:shd w:val="clear" w:color="auto" w:fill="FFFFFF"/>
        </w:rPr>
        <w:t>competence</w:t>
      </w:r>
      <w:proofErr w:type="spellEnd"/>
      <w:r w:rsidRPr="001B4CA2">
        <w:rPr>
          <w:rFonts w:eastAsia="Arial"/>
          <w:shd w:val="clear" w:color="auto" w:fill="FFFFFF"/>
        </w:rPr>
        <w:t>) između EPPO-a i nacionalnih tužiteljskih tijela u suzbijanju kaznenih djela koja utječu na financijske interese Unije, koji je odnos snažno određen pravom EPPO-a na preuzimanje predmeta (</w:t>
      </w:r>
      <w:proofErr w:type="spellStart"/>
      <w:r w:rsidRPr="001B4CA2">
        <w:rPr>
          <w:rFonts w:eastAsia="Arial"/>
          <w:i/>
          <w:iCs/>
          <w:shd w:val="clear" w:color="auto" w:fill="FFFFFF"/>
        </w:rPr>
        <w:t>right</w:t>
      </w:r>
      <w:proofErr w:type="spellEnd"/>
      <w:r w:rsidRPr="001B4CA2">
        <w:rPr>
          <w:rFonts w:eastAsia="Arial"/>
          <w:i/>
          <w:iCs/>
          <w:shd w:val="clear" w:color="auto" w:fill="FFFFFF"/>
        </w:rPr>
        <w:t xml:space="preserve"> </w:t>
      </w:r>
      <w:proofErr w:type="spellStart"/>
      <w:r w:rsidRPr="001B4CA2">
        <w:rPr>
          <w:rFonts w:eastAsia="Arial"/>
          <w:i/>
          <w:iCs/>
          <w:shd w:val="clear" w:color="auto" w:fill="FFFFFF"/>
        </w:rPr>
        <w:t>of</w:t>
      </w:r>
      <w:proofErr w:type="spellEnd"/>
      <w:r w:rsidRPr="001B4CA2">
        <w:rPr>
          <w:rFonts w:eastAsia="Arial"/>
          <w:i/>
          <w:iCs/>
          <w:shd w:val="clear" w:color="auto" w:fill="FFFFFF"/>
        </w:rPr>
        <w:t xml:space="preserve"> </w:t>
      </w:r>
      <w:proofErr w:type="spellStart"/>
      <w:r w:rsidRPr="001B4CA2">
        <w:rPr>
          <w:rFonts w:eastAsia="Arial"/>
          <w:i/>
          <w:iCs/>
          <w:shd w:val="clear" w:color="auto" w:fill="FFFFFF"/>
        </w:rPr>
        <w:t>evocation</w:t>
      </w:r>
      <w:proofErr w:type="spellEnd"/>
      <w:r w:rsidRPr="001B4CA2">
        <w:rPr>
          <w:rFonts w:eastAsia="Arial"/>
          <w:i/>
          <w:iCs/>
          <w:shd w:val="clear" w:color="auto" w:fill="FFFFFF"/>
        </w:rPr>
        <w:t xml:space="preserve"> </w:t>
      </w:r>
      <w:proofErr w:type="spellStart"/>
      <w:r w:rsidRPr="001B4CA2">
        <w:rPr>
          <w:rFonts w:eastAsia="Arial"/>
          <w:i/>
          <w:iCs/>
          <w:shd w:val="clear" w:color="auto" w:fill="FFFFFF"/>
        </w:rPr>
        <w:t>of</w:t>
      </w:r>
      <w:proofErr w:type="spellEnd"/>
      <w:r w:rsidRPr="001B4CA2">
        <w:rPr>
          <w:rFonts w:eastAsia="Arial"/>
          <w:i/>
          <w:iCs/>
          <w:shd w:val="clear" w:color="auto" w:fill="FFFFFF"/>
        </w:rPr>
        <w:t xml:space="preserve"> </w:t>
      </w:r>
      <w:proofErr w:type="spellStart"/>
      <w:r w:rsidRPr="001B4CA2">
        <w:rPr>
          <w:rFonts w:eastAsia="Arial"/>
          <w:i/>
          <w:iCs/>
          <w:shd w:val="clear" w:color="auto" w:fill="FFFFFF"/>
        </w:rPr>
        <w:t>the</w:t>
      </w:r>
      <w:proofErr w:type="spellEnd"/>
      <w:r w:rsidRPr="001B4CA2">
        <w:rPr>
          <w:rFonts w:eastAsia="Arial"/>
          <w:i/>
          <w:iCs/>
          <w:shd w:val="clear" w:color="auto" w:fill="FFFFFF"/>
        </w:rPr>
        <w:t xml:space="preserve"> EPPO</w:t>
      </w:r>
      <w:r w:rsidRPr="001B4CA2">
        <w:rPr>
          <w:rFonts w:eastAsia="Arial"/>
          <w:shd w:val="clear" w:color="auto" w:fill="FFFFFF"/>
        </w:rPr>
        <w:t>).</w:t>
      </w:r>
    </w:p>
    <w:p w14:paraId="710BBB8F" w14:textId="77777777" w:rsidR="00AF5F10" w:rsidRPr="001B4CA2" w:rsidRDefault="00AF5F10" w:rsidP="00AF5F10">
      <w:pPr>
        <w:widowControl w:val="0"/>
        <w:ind w:firstLine="708"/>
        <w:rPr>
          <w:snapToGrid w:val="0"/>
        </w:rPr>
      </w:pPr>
    </w:p>
    <w:p w14:paraId="6A275881" w14:textId="5AD0D2FB" w:rsidR="00AF5F10" w:rsidRPr="001B4CA2" w:rsidRDefault="00AF5F10" w:rsidP="00AF5F10">
      <w:pPr>
        <w:widowControl w:val="0"/>
        <w:ind w:firstLine="708"/>
        <w:rPr>
          <w:snapToGrid w:val="0"/>
        </w:rPr>
      </w:pPr>
      <w:r w:rsidRPr="001B4CA2">
        <w:rPr>
          <w:snapToGrid w:val="0"/>
        </w:rPr>
        <w:t>Nadležnost EPPO-a (materijalna) određena je člankom 22. i člankom 25. stavak 2. i 3. Uredbe Vijeća (EU) 2017/1939 od 12. listopada 2017. o provedbi pojačane suradnje u vezi s osnivanjem Ureda europskog javno</w:t>
      </w:r>
      <w:r w:rsidR="0039704F">
        <w:rPr>
          <w:snapToGrid w:val="0"/>
        </w:rPr>
        <w:t>g</w:t>
      </w:r>
      <w:r w:rsidRPr="001B4CA2">
        <w:rPr>
          <w:snapToGrid w:val="0"/>
        </w:rPr>
        <w:t xml:space="preserve"> tužitelja (EPPO) (Službeni list EU L 283/1 od 31. listopada 2017.).</w:t>
      </w:r>
    </w:p>
    <w:p w14:paraId="027B3AF0" w14:textId="77777777" w:rsidR="00AF5F10" w:rsidRPr="001B4CA2" w:rsidRDefault="00AF5F10" w:rsidP="00AF5F10">
      <w:pPr>
        <w:widowControl w:val="0"/>
        <w:ind w:firstLine="708"/>
        <w:rPr>
          <w:snapToGrid w:val="0"/>
        </w:rPr>
      </w:pPr>
    </w:p>
    <w:p w14:paraId="4C90B625" w14:textId="5187D0B7" w:rsidR="00AF5F10" w:rsidRPr="001B4CA2" w:rsidRDefault="00AF5F10" w:rsidP="00AF5F10">
      <w:pPr>
        <w:widowControl w:val="0"/>
        <w:ind w:firstLine="708"/>
        <w:rPr>
          <w:snapToGrid w:val="0"/>
        </w:rPr>
      </w:pPr>
      <w:r w:rsidRPr="001B4CA2">
        <w:rPr>
          <w:snapToGrid w:val="0"/>
        </w:rPr>
        <w:t>Člankom 22. stavak 1. Uredbe Vijeća (EU) 2017/1939 propisano je da je EPPO nadležan za kaznena djela koja utječu na financijske interese Unije koja su predviđena u Direktivi (EU) 2017/1371, kako je provedena u nacionalnom pravu, bez obzira na to bi li se to kažnjivo postupanje s nacionalnim pravom moglo kvalificirati kao druga vrsta kaznenog djela. U pogledu kaznenih djela iz članka 3. stavak 2. točke (d) Direktive (</w:t>
      </w:r>
      <w:r w:rsidR="0039704F">
        <w:rPr>
          <w:snapToGrid w:val="0"/>
        </w:rPr>
        <w:t>p</w:t>
      </w:r>
      <w:r w:rsidRPr="001B4CA2">
        <w:rPr>
          <w:snapToGrid w:val="0"/>
        </w:rPr>
        <w:t>rijevara koja štetno utječe na financijske interese Unije, u odnosu na prihod koji proizlazi iz vlastitih sredstava na temelju PDV-a kažnjivom se smatra svaka radnja ili propuštanje koji su počinjeni u prekograničnim sustavima prijevara) EPPO je nadležan samo ako su radnje ili propuštanja počinjeni s namjerom povezani s državnim područjem dvi</w:t>
      </w:r>
      <w:r w:rsidR="0039704F">
        <w:rPr>
          <w:snapToGrid w:val="0"/>
        </w:rPr>
        <w:t>ju</w:t>
      </w:r>
      <w:r w:rsidRPr="001B4CA2">
        <w:rPr>
          <w:snapToGrid w:val="0"/>
        </w:rPr>
        <w:t xml:space="preserve"> ili više država članica i ako su uzrokovali ukupnu štetu od najmanje 10 milijuna eura.</w:t>
      </w:r>
    </w:p>
    <w:p w14:paraId="66A882AE" w14:textId="77777777" w:rsidR="00AF5F10" w:rsidRPr="001B4CA2" w:rsidRDefault="00AF5F10" w:rsidP="00AF5F10">
      <w:pPr>
        <w:widowControl w:val="0"/>
        <w:ind w:firstLine="708"/>
        <w:rPr>
          <w:snapToGrid w:val="0"/>
        </w:rPr>
      </w:pPr>
    </w:p>
    <w:p w14:paraId="69AA4ADD" w14:textId="77777777" w:rsidR="00AF5F10" w:rsidRPr="001B4CA2" w:rsidRDefault="00AF5F10" w:rsidP="00AF5F10">
      <w:pPr>
        <w:widowControl w:val="0"/>
        <w:ind w:firstLine="708"/>
        <w:rPr>
          <w:snapToGrid w:val="0"/>
        </w:rPr>
      </w:pPr>
      <w:r w:rsidRPr="001B4CA2">
        <w:rPr>
          <w:snapToGrid w:val="0"/>
        </w:rPr>
        <w:t>Stavkom 2. propisano je da je EPPO nadležan i za kaznena djela u vezi sa sudjelovanjem u zločinačkoj organizaciji ako je u središtu kriminalnih aktivnosti takve organizacije počinjenje nekog od kaznenih djela iz stavka 1., kao i za svako drugo kazneno djelo koje je neodvojivo povezano s kažnjivim djelom iz stavka 1. (stavak 3.).</w:t>
      </w:r>
    </w:p>
    <w:p w14:paraId="4506F194" w14:textId="77777777" w:rsidR="00AF5F10" w:rsidRPr="001B4CA2" w:rsidRDefault="00AF5F10" w:rsidP="00AF5F10">
      <w:pPr>
        <w:widowControl w:val="0"/>
        <w:ind w:firstLine="708"/>
        <w:rPr>
          <w:snapToGrid w:val="0"/>
        </w:rPr>
      </w:pPr>
    </w:p>
    <w:p w14:paraId="366E86D2" w14:textId="77777777" w:rsidR="00AF5F10" w:rsidRPr="001B4CA2" w:rsidRDefault="00AF5F10" w:rsidP="00AF5F10">
      <w:pPr>
        <w:widowControl w:val="0"/>
        <w:ind w:firstLine="708"/>
        <w:rPr>
          <w:snapToGrid w:val="0"/>
        </w:rPr>
      </w:pPr>
      <w:r w:rsidRPr="001B4CA2">
        <w:rPr>
          <w:snapToGrid w:val="0"/>
        </w:rPr>
        <w:t>S druge strane EPPO ni u kojem slučaju nije nadležan za kaznena djela povezana s nacionalnim izravnim porezima, uključujući kaznena djela koja su s njima neodvojivo povezana (stavak 4.).</w:t>
      </w:r>
    </w:p>
    <w:p w14:paraId="4936E7C7" w14:textId="77777777" w:rsidR="00AF5F10" w:rsidRPr="001B4CA2" w:rsidRDefault="00AF5F10" w:rsidP="00AF5F10">
      <w:pPr>
        <w:widowControl w:val="0"/>
        <w:ind w:firstLine="708"/>
        <w:rPr>
          <w:snapToGrid w:val="0"/>
        </w:rPr>
      </w:pPr>
    </w:p>
    <w:p w14:paraId="2B569552" w14:textId="62A02EEA" w:rsidR="00AF5F10" w:rsidRDefault="00AF5F10" w:rsidP="00AF5F10">
      <w:pPr>
        <w:widowControl w:val="0"/>
        <w:ind w:firstLine="708"/>
        <w:rPr>
          <w:snapToGrid w:val="0"/>
        </w:rPr>
      </w:pPr>
      <w:r w:rsidRPr="001B4CA2">
        <w:rPr>
          <w:snapToGrid w:val="0"/>
        </w:rPr>
        <w:t xml:space="preserve">U pogledu nadležnosti posebno </w:t>
      </w:r>
      <w:r w:rsidR="0039704F">
        <w:rPr>
          <w:snapToGrid w:val="0"/>
        </w:rPr>
        <w:t>valja</w:t>
      </w:r>
      <w:r w:rsidRPr="001B4CA2">
        <w:rPr>
          <w:snapToGrid w:val="0"/>
        </w:rPr>
        <w:t xml:space="preserve"> istaknuti odredbu članka 25. stavak 2. kojim je ograničena nadležnost EPPO-a na način da ako je kaznenim djelom iz članka 22. prouzročena ili bi mogla biti prouzročena šteta financijskim interesima Unije u iznosu manjem od 10.000 </w:t>
      </w:r>
      <w:r w:rsidR="00E152D9" w:rsidRPr="001B4CA2">
        <w:rPr>
          <w:snapToGrid w:val="0"/>
        </w:rPr>
        <w:t>EUR</w:t>
      </w:r>
      <w:r w:rsidRPr="001B4CA2">
        <w:rPr>
          <w:snapToGrid w:val="0"/>
        </w:rPr>
        <w:t>, EPPO može izvršavati svoju nadležnost samo ako predmet ima posljedicu na razini Unije zbog koj</w:t>
      </w:r>
      <w:r w:rsidR="0039704F">
        <w:rPr>
          <w:snapToGrid w:val="0"/>
        </w:rPr>
        <w:t>e</w:t>
      </w:r>
      <w:r w:rsidRPr="001B4CA2">
        <w:rPr>
          <w:snapToGrid w:val="0"/>
        </w:rPr>
        <w:t xml:space="preserve"> je potrebno da EPPO provede istragu ili ako postoje razlozi za sumnju da su kazneno djelo počinili </w:t>
      </w:r>
      <w:r w:rsidRPr="001B4CA2">
        <w:rPr>
          <w:snapToGrid w:val="0"/>
        </w:rPr>
        <w:lastRenderedPageBreak/>
        <w:t>dužnosnici ili drugi službenici Unije ili članovi institucija Unije.</w:t>
      </w:r>
    </w:p>
    <w:p w14:paraId="3634A771" w14:textId="77777777" w:rsidR="00223ABD" w:rsidRPr="001B4CA2" w:rsidRDefault="00223ABD" w:rsidP="00AF5F10">
      <w:pPr>
        <w:widowControl w:val="0"/>
        <w:ind w:firstLine="708"/>
        <w:rPr>
          <w:snapToGrid w:val="0"/>
        </w:rPr>
      </w:pPr>
    </w:p>
    <w:p w14:paraId="33AB3259" w14:textId="77777777" w:rsidR="00AF5F10" w:rsidRPr="001B4CA2" w:rsidRDefault="00AF5F10" w:rsidP="00AF5F10">
      <w:pPr>
        <w:widowControl w:val="0"/>
        <w:ind w:firstLine="708"/>
        <w:rPr>
          <w:snapToGrid w:val="0"/>
        </w:rPr>
      </w:pPr>
      <w:r w:rsidRPr="001B4CA2">
        <w:rPr>
          <w:snapToGrid w:val="0"/>
        </w:rPr>
        <w:t>U skladu s odredbom članka 24. stavak 1. Uredbe nadležna tijela država članica dužna su obavijestiti EPPO o svakom kažnjivom postupanju na štetu financijskih interesa EU-a počinjenih nakon 20. studenoga 2017., koje je moguće podvesti pod članak 22. i članak 25. stavak 2. i 3. Uredbe.</w:t>
      </w:r>
    </w:p>
    <w:p w14:paraId="49B745B7" w14:textId="77777777" w:rsidR="00AF5F10" w:rsidRPr="001B4CA2" w:rsidRDefault="00AF5F10" w:rsidP="00AF5F10">
      <w:pPr>
        <w:widowControl w:val="0"/>
        <w:ind w:firstLine="708"/>
        <w:rPr>
          <w:snapToGrid w:val="0"/>
        </w:rPr>
      </w:pPr>
    </w:p>
    <w:p w14:paraId="16FA5EF7" w14:textId="4516B52A" w:rsidR="00AF5F10" w:rsidRPr="001B4CA2" w:rsidRDefault="00AF5F10" w:rsidP="00AF5F10">
      <w:pPr>
        <w:widowControl w:val="0"/>
        <w:ind w:firstLine="708"/>
        <w:rPr>
          <w:snapToGrid w:val="0"/>
        </w:rPr>
      </w:pPr>
      <w:r w:rsidRPr="001B4CA2">
        <w:rPr>
          <w:snapToGrid w:val="0"/>
        </w:rPr>
        <w:t xml:space="preserve">Kada se sagleda materijalna i vremenska nadležnost EPPO-a </w:t>
      </w:r>
      <w:r w:rsidR="0039704F">
        <w:rPr>
          <w:snapToGrid w:val="0"/>
        </w:rPr>
        <w:t>može se</w:t>
      </w:r>
      <w:r w:rsidRPr="001B4CA2">
        <w:rPr>
          <w:snapToGrid w:val="0"/>
        </w:rPr>
        <w:t xml:space="preserve"> zaključiti da se radi o relativno uskoj, vremenski determiniranoj nadležnosti, tako da državna odvjetništva imaju u radu velik broj predmeta formiranih povodom sumnje na počinjenje kaznenih djela kojima je došlo i do ugroze financijski</w:t>
      </w:r>
      <w:r w:rsidR="0039704F">
        <w:rPr>
          <w:snapToGrid w:val="0"/>
        </w:rPr>
        <w:t>h</w:t>
      </w:r>
      <w:r w:rsidRPr="001B4CA2">
        <w:rPr>
          <w:snapToGrid w:val="0"/>
        </w:rPr>
        <w:t xml:space="preserve"> interesa Unije, ali zbog ograničene nadležnosti EPPO-a u tim predmetima i nadalje postupaju redovna državna odvjetništva.</w:t>
      </w:r>
    </w:p>
    <w:p w14:paraId="1E19E946" w14:textId="77777777" w:rsidR="00AF5F10" w:rsidRPr="001B4CA2" w:rsidRDefault="00AF5F10" w:rsidP="00AF5F10">
      <w:pPr>
        <w:rPr>
          <w:lang w:eastAsia="en-GB"/>
        </w:rPr>
      </w:pPr>
    </w:p>
    <w:p w14:paraId="6316D71A" w14:textId="56CFB50E" w:rsidR="00AF5F10" w:rsidRPr="001B4CA2" w:rsidRDefault="00AF5F10" w:rsidP="00AF5F10">
      <w:pPr>
        <w:rPr>
          <w:lang w:eastAsia="en-GB"/>
        </w:rPr>
      </w:pPr>
      <w:r w:rsidRPr="001B4CA2">
        <w:rPr>
          <w:lang w:eastAsia="en-GB"/>
        </w:rPr>
        <w:tab/>
        <w:t xml:space="preserve">Izvještajnu godinu obilježila je intenzivna komunikacija između EPPO-a i Državnog odvjetništva Republike </w:t>
      </w:r>
      <w:r w:rsidR="0039704F">
        <w:rPr>
          <w:lang w:eastAsia="en-GB"/>
        </w:rPr>
        <w:t>H</w:t>
      </w:r>
      <w:r w:rsidRPr="001B4CA2">
        <w:rPr>
          <w:lang w:eastAsia="en-GB"/>
        </w:rPr>
        <w:t>rvatske kao centralnog nacionalnog tijela zaduženog za komunikaciju sukladno odredbama Zakona o provedbi Uredbe Vijeća (EU) 2017/1939</w:t>
      </w:r>
      <w:r w:rsidR="00FD08E9">
        <w:rPr>
          <w:lang w:eastAsia="en-GB"/>
        </w:rPr>
        <w:t xml:space="preserve"> </w:t>
      </w:r>
      <w:r w:rsidRPr="001B4CA2">
        <w:rPr>
          <w:lang w:eastAsia="en-GB"/>
        </w:rPr>
        <w:t xml:space="preserve">o provedbi pojačane suradnje u vezi s osnivanjem Ureda europskog javnog tužitelja ("EPPO") (Narodne novine broj: 146/2020). </w:t>
      </w:r>
    </w:p>
    <w:p w14:paraId="7E46F4E1" w14:textId="77777777" w:rsidR="00AF5F10" w:rsidRPr="001B4CA2" w:rsidRDefault="00AF5F10" w:rsidP="00AF5F10">
      <w:pPr>
        <w:rPr>
          <w:lang w:eastAsia="en-GB"/>
        </w:rPr>
      </w:pPr>
    </w:p>
    <w:p w14:paraId="032D6649" w14:textId="163C756D" w:rsidR="00AF5F10" w:rsidRPr="001B4CA2" w:rsidRDefault="00AF5F10" w:rsidP="00AF5F10">
      <w:pPr>
        <w:widowControl w:val="0"/>
        <w:ind w:firstLine="708"/>
        <w:rPr>
          <w:snapToGrid w:val="0"/>
        </w:rPr>
      </w:pPr>
      <w:r w:rsidRPr="001B4CA2">
        <w:rPr>
          <w:lang w:eastAsia="en-GB"/>
        </w:rPr>
        <w:t>Tijekom 2022. godine, povodom obavijesti redovnih državnih odvjetništava i Ureda za suzbijanje korupcije i organiziranog kriminaliteta dostavljenih Državnom odvjetništvu Republike Hrvatske, sukladno Naputku Glavne državne odvjetnice Republike Hrvatske,</w:t>
      </w:r>
      <w:r w:rsidR="00FD08E9">
        <w:rPr>
          <w:lang w:eastAsia="en-GB"/>
        </w:rPr>
        <w:t xml:space="preserve"> </w:t>
      </w:r>
      <w:r w:rsidRPr="001B4CA2">
        <w:rPr>
          <w:snapToGrid w:val="0"/>
        </w:rPr>
        <w:t xml:space="preserve">kojim su jasno propisani kriteriji o obvezi obavještavanja EPPO-a sukladno Uredbi, strukturu obavijesti, kao i obvezu državnih odvjetništava da kontinuirano </w:t>
      </w:r>
      <w:r w:rsidR="0039704F">
        <w:rPr>
          <w:snapToGrid w:val="0"/>
        </w:rPr>
        <w:t>provode</w:t>
      </w:r>
      <w:r w:rsidRPr="001B4CA2">
        <w:rPr>
          <w:snapToGrid w:val="0"/>
        </w:rPr>
        <w:t xml:space="preserve"> analizu svih predmeta iz moguće nadležnosti EPPO-</w:t>
      </w:r>
      <w:r w:rsidR="0039704F">
        <w:rPr>
          <w:snapToGrid w:val="0"/>
        </w:rPr>
        <w:t>a</w:t>
      </w:r>
      <w:r w:rsidRPr="001B4CA2">
        <w:rPr>
          <w:snapToGrid w:val="0"/>
        </w:rPr>
        <w:t xml:space="preserve"> te povodom dostavljanja informacija Državnom odvjetništvu Republike Hrvatske od strane EPPO-a i traženja informacija od Državnog odvjetništva Republike Hrvatske, u Državnom odvjetništvu formirano je 140 predmeta (2021</w:t>
      </w:r>
      <w:r w:rsidR="00E152D9" w:rsidRPr="001B4CA2">
        <w:rPr>
          <w:snapToGrid w:val="0"/>
        </w:rPr>
        <w:t>.</w:t>
      </w:r>
      <w:r w:rsidR="00F47D60">
        <w:rPr>
          <w:snapToGrid w:val="0"/>
        </w:rPr>
        <w:t xml:space="preserve"> – </w:t>
      </w:r>
      <w:r w:rsidRPr="001B4CA2">
        <w:rPr>
          <w:snapToGrid w:val="0"/>
        </w:rPr>
        <w:t>23 predmeta).</w:t>
      </w:r>
    </w:p>
    <w:p w14:paraId="7FB9AC72" w14:textId="77777777" w:rsidR="00AF5F10" w:rsidRPr="001B4CA2" w:rsidRDefault="00AF5F10" w:rsidP="00AF5F10">
      <w:pPr>
        <w:widowControl w:val="0"/>
        <w:ind w:firstLine="708"/>
        <w:rPr>
          <w:snapToGrid w:val="0"/>
        </w:rPr>
      </w:pPr>
    </w:p>
    <w:p w14:paraId="11199EE2" w14:textId="77777777" w:rsidR="00AF5F10" w:rsidRPr="001B4CA2" w:rsidRDefault="00AF5F10" w:rsidP="00AF5F10">
      <w:pPr>
        <w:widowControl w:val="0"/>
        <w:ind w:firstLine="708"/>
        <w:rPr>
          <w:snapToGrid w:val="0"/>
        </w:rPr>
      </w:pPr>
      <w:r w:rsidRPr="001B4CA2">
        <w:rPr>
          <w:snapToGrid w:val="0"/>
        </w:rPr>
        <w:t>Redovna državna odvjetništva i Ured za suzbijanje korupcije i organiziranog kriminaliteta dostavili su Državnom odvjetništvu obavijesti o formiranju ukupno 63 predmeta, od koji je 26 predmeta dostavljeno EPPO-u po propisanoj proceduri radi provođenja postupka verifikacije.</w:t>
      </w:r>
    </w:p>
    <w:p w14:paraId="207016BF" w14:textId="74EB5B1D" w:rsidR="00AF5F10" w:rsidRPr="001B4CA2" w:rsidRDefault="00AF5F10" w:rsidP="00AF5F10">
      <w:pPr>
        <w:widowControl w:val="0"/>
        <w:ind w:firstLine="708"/>
        <w:rPr>
          <w:snapToGrid w:val="0"/>
        </w:rPr>
      </w:pPr>
      <w:r w:rsidRPr="001B4CA2">
        <w:rPr>
          <w:snapToGrid w:val="0"/>
        </w:rPr>
        <w:t xml:space="preserve">Od dostavljenih 26 obavijesti o formiranim predmetima EPPO je donio odluku o preuzimanju u odnosu na 9 predmeta, dok je u odnosu na 17 predmeta donesena odluka o </w:t>
      </w:r>
      <w:proofErr w:type="spellStart"/>
      <w:r w:rsidRPr="001B4CA2">
        <w:rPr>
          <w:snapToGrid w:val="0"/>
        </w:rPr>
        <w:t>nepreuzimanju</w:t>
      </w:r>
      <w:proofErr w:type="spellEnd"/>
      <w:r w:rsidRPr="001B4CA2">
        <w:rPr>
          <w:snapToGrid w:val="0"/>
        </w:rPr>
        <w:t xml:space="preserve">. U tih 17 predmeta nastavilo se postupanje od strane nadležnih državnih odvjetništava, uz obvezu da ako se tijekom izvida prikupe dokazi i nove činjenice koje bi EPPO-u mogli dati razloge da preispita svoju odluku o </w:t>
      </w:r>
      <w:proofErr w:type="spellStart"/>
      <w:r w:rsidRPr="001B4CA2">
        <w:rPr>
          <w:snapToGrid w:val="0"/>
        </w:rPr>
        <w:t>nepreuzimanju</w:t>
      </w:r>
      <w:proofErr w:type="spellEnd"/>
      <w:r w:rsidRPr="001B4CA2">
        <w:rPr>
          <w:snapToGrid w:val="0"/>
        </w:rPr>
        <w:t xml:space="preserve"> predmeta, da se o tome izvijesti EPPO, sukladno članku 27. (7) Uredbe Vijeća EU</w:t>
      </w:r>
      <w:r w:rsidR="0076138E">
        <w:rPr>
          <w:snapToGrid w:val="0"/>
        </w:rPr>
        <w:t>-a</w:t>
      </w:r>
      <w:r w:rsidRPr="001B4CA2">
        <w:rPr>
          <w:snapToGrid w:val="0"/>
        </w:rPr>
        <w:t xml:space="preserve"> 2017/1939.</w:t>
      </w:r>
    </w:p>
    <w:p w14:paraId="07255DE7" w14:textId="77777777" w:rsidR="00AF5F10" w:rsidRPr="001B4CA2" w:rsidRDefault="00AF5F10" w:rsidP="00AF5F10">
      <w:pPr>
        <w:widowControl w:val="0"/>
        <w:ind w:firstLine="708"/>
        <w:rPr>
          <w:snapToGrid w:val="0"/>
        </w:rPr>
      </w:pPr>
    </w:p>
    <w:p w14:paraId="3F902974" w14:textId="378FE1B1" w:rsidR="00AF5F10" w:rsidRPr="001B4CA2" w:rsidRDefault="00AF5F10" w:rsidP="00AF5F10">
      <w:pPr>
        <w:widowControl w:val="0"/>
        <w:ind w:firstLine="708"/>
        <w:rPr>
          <w:snapToGrid w:val="0"/>
        </w:rPr>
      </w:pPr>
      <w:r w:rsidRPr="001B4CA2">
        <w:rPr>
          <w:snapToGrid w:val="0"/>
        </w:rPr>
        <w:t xml:space="preserve">U odnosu na dostavljene obavijesti u 37 predmeta </w:t>
      </w:r>
      <w:r w:rsidR="0076138E">
        <w:rPr>
          <w:snapToGrid w:val="0"/>
        </w:rPr>
        <w:t>provedena</w:t>
      </w:r>
      <w:r w:rsidRPr="001B4CA2">
        <w:rPr>
          <w:snapToGrid w:val="0"/>
        </w:rPr>
        <w:t xml:space="preserve"> je analiza do tada prikupljenih podataka u svim predmetima</w:t>
      </w:r>
      <w:r w:rsidR="0076138E">
        <w:rPr>
          <w:snapToGrid w:val="0"/>
        </w:rPr>
        <w:t>, a</w:t>
      </w:r>
      <w:r w:rsidRPr="001B4CA2">
        <w:rPr>
          <w:snapToGrid w:val="0"/>
        </w:rPr>
        <w:t xml:space="preserve"> kako je utvrđeno od strane Državnog odvjetništva Republike Hrvatske</w:t>
      </w:r>
      <w:r w:rsidR="00FD08E9">
        <w:rPr>
          <w:snapToGrid w:val="0"/>
        </w:rPr>
        <w:t xml:space="preserve"> </w:t>
      </w:r>
      <w:r w:rsidRPr="001B4CA2">
        <w:rPr>
          <w:snapToGrid w:val="0"/>
        </w:rPr>
        <w:t xml:space="preserve">da nisu ispunjeni uvjeti iz Uredbe, u tim predmetima rad su nastavila nadležna državna odvjetništva uz obvezu dostavljanja svih podataka o postupanju i meritornoj </w:t>
      </w:r>
      <w:proofErr w:type="spellStart"/>
      <w:r w:rsidRPr="001B4CA2">
        <w:rPr>
          <w:snapToGrid w:val="0"/>
        </w:rPr>
        <w:t>državnoodvjetničkoj</w:t>
      </w:r>
      <w:proofErr w:type="spellEnd"/>
      <w:r w:rsidRPr="001B4CA2">
        <w:rPr>
          <w:snapToGrid w:val="0"/>
        </w:rPr>
        <w:t xml:space="preserve"> odluci.</w:t>
      </w:r>
    </w:p>
    <w:p w14:paraId="18932C5F" w14:textId="77777777" w:rsidR="00AF5F10" w:rsidRPr="001B4CA2" w:rsidRDefault="00AF5F10" w:rsidP="00AF5F10">
      <w:pPr>
        <w:widowControl w:val="0"/>
        <w:ind w:firstLine="708"/>
        <w:rPr>
          <w:snapToGrid w:val="0"/>
        </w:rPr>
      </w:pPr>
    </w:p>
    <w:p w14:paraId="6119FB32" w14:textId="46BDC70F" w:rsidR="00AF5F10" w:rsidRPr="001B4CA2" w:rsidRDefault="00AF5F10" w:rsidP="00AF5F10">
      <w:pPr>
        <w:widowControl w:val="0"/>
        <w:ind w:firstLine="708"/>
        <w:rPr>
          <w:snapToGrid w:val="0"/>
        </w:rPr>
      </w:pPr>
      <w:r w:rsidRPr="001B4CA2">
        <w:rPr>
          <w:snapToGrid w:val="0"/>
        </w:rPr>
        <w:t>Tijekom izvještajne godine Državno odvjetništvo Republike Hrvatske na traženje EPPO-a dostavi</w:t>
      </w:r>
      <w:r w:rsidR="0076138E">
        <w:rPr>
          <w:snapToGrid w:val="0"/>
        </w:rPr>
        <w:t>l</w:t>
      </w:r>
      <w:r w:rsidRPr="001B4CA2">
        <w:rPr>
          <w:snapToGrid w:val="0"/>
        </w:rPr>
        <w:t xml:space="preserve">o </w:t>
      </w:r>
      <w:r w:rsidR="0076138E" w:rsidRPr="001B4CA2">
        <w:rPr>
          <w:snapToGrid w:val="0"/>
        </w:rPr>
        <w:t xml:space="preserve">je </w:t>
      </w:r>
      <w:r w:rsidRPr="001B4CA2">
        <w:rPr>
          <w:snapToGrid w:val="0"/>
        </w:rPr>
        <w:t xml:space="preserve">tražene informacije u 31 predmetu, dok je EPPO </w:t>
      </w:r>
      <w:r w:rsidRPr="001B4CA2">
        <w:rPr>
          <w:snapToGrid w:val="0"/>
        </w:rPr>
        <w:lastRenderedPageBreak/>
        <w:t>Državnom odvjetništvu Republike Hrvatske dostavio informacije o zaprimljenim prijavama</w:t>
      </w:r>
      <w:r w:rsidR="0076138E">
        <w:rPr>
          <w:snapToGrid w:val="0"/>
        </w:rPr>
        <w:t>,</w:t>
      </w:r>
      <w:r w:rsidRPr="001B4CA2">
        <w:rPr>
          <w:snapToGrid w:val="0"/>
        </w:rPr>
        <w:t xml:space="preserve"> za koje su ocijenili da nisu u njihovoj nadležnosti, povodom čega je formirano 39 predmeta koji su dostavljeni na postupanje nadležnim državnim odvjetništvima.</w:t>
      </w:r>
    </w:p>
    <w:p w14:paraId="3CC6A054" w14:textId="77777777" w:rsidR="00AF5F10" w:rsidRPr="001B4CA2" w:rsidRDefault="00AF5F10" w:rsidP="00AF5F10">
      <w:pPr>
        <w:widowControl w:val="0"/>
        <w:ind w:firstLine="708"/>
        <w:rPr>
          <w:snapToGrid w:val="0"/>
        </w:rPr>
      </w:pPr>
    </w:p>
    <w:p w14:paraId="2B019753" w14:textId="4CC341BA" w:rsidR="00AF5F10" w:rsidRPr="001B4CA2" w:rsidRDefault="00AF5F10" w:rsidP="00AF5F10">
      <w:pPr>
        <w:widowControl w:val="0"/>
        <w:ind w:firstLine="708"/>
        <w:rPr>
          <w:snapToGrid w:val="0"/>
        </w:rPr>
      </w:pPr>
      <w:r w:rsidRPr="001B4CA2">
        <w:rPr>
          <w:snapToGrid w:val="0"/>
        </w:rPr>
        <w:t>Osim navedenog</w:t>
      </w:r>
      <w:r w:rsidR="0076138E">
        <w:rPr>
          <w:snapToGrid w:val="0"/>
        </w:rPr>
        <w:t>a,</w:t>
      </w:r>
      <w:r w:rsidRPr="001B4CA2">
        <w:rPr>
          <w:snapToGrid w:val="0"/>
        </w:rPr>
        <w:t xml:space="preserve"> EPPO je dostavio i obavijest u dva predmeta (jedna o pokretanju, a druga o nepokretanju istrage). </w:t>
      </w:r>
    </w:p>
    <w:p w14:paraId="771718B3" w14:textId="77777777" w:rsidR="00AF5F10" w:rsidRPr="001B4CA2" w:rsidRDefault="00AF5F10" w:rsidP="00AF5F10">
      <w:pPr>
        <w:widowControl w:val="0"/>
        <w:ind w:firstLine="708"/>
        <w:rPr>
          <w:snapToGrid w:val="0"/>
        </w:rPr>
      </w:pPr>
    </w:p>
    <w:p w14:paraId="4C1B8B28" w14:textId="3A704716" w:rsidR="00AF5F10" w:rsidRPr="001B4CA2" w:rsidRDefault="00AF5F10" w:rsidP="00AF5F10">
      <w:pPr>
        <w:widowControl w:val="0"/>
        <w:ind w:firstLine="708"/>
        <w:rPr>
          <w:snapToGrid w:val="0"/>
        </w:rPr>
      </w:pPr>
      <w:r w:rsidRPr="001B4CA2">
        <w:rPr>
          <w:snapToGrid w:val="0"/>
        </w:rPr>
        <w:t xml:space="preserve">U jednom predmetu, na zamolbu EPPO-a, Glavna državna odvjetnica dala je suglasnost da istragu provodi EPPO, budući da je ocijenjeno </w:t>
      </w:r>
      <w:r w:rsidR="00CB77CE">
        <w:rPr>
          <w:snapToGrid w:val="0"/>
        </w:rPr>
        <w:t>kako</w:t>
      </w:r>
      <w:r w:rsidRPr="001B4CA2">
        <w:rPr>
          <w:snapToGrid w:val="0"/>
        </w:rPr>
        <w:t xml:space="preserve"> će EPPO lakše provesti istragu </w:t>
      </w:r>
      <w:r w:rsidR="00CB77CE">
        <w:rPr>
          <w:snapToGrid w:val="0"/>
        </w:rPr>
        <w:t>jer</w:t>
      </w:r>
      <w:r w:rsidRPr="001B4CA2">
        <w:rPr>
          <w:snapToGrid w:val="0"/>
        </w:rPr>
        <w:t xml:space="preserve"> je prije zaprimanja kaznene prijave u Uredu za suzbijanje korupcije i organiziranog kriminaliteta istragu pokrenuo Europski delegirani tužitelj u Italiji, a </w:t>
      </w:r>
      <w:r w:rsidR="00CB77CE">
        <w:rPr>
          <w:snapToGrid w:val="0"/>
        </w:rPr>
        <w:t xml:space="preserve">riječ je </w:t>
      </w:r>
      <w:r w:rsidRPr="001B4CA2">
        <w:rPr>
          <w:snapToGrid w:val="0"/>
        </w:rPr>
        <w:t>o transnacionalnom organiziranom kriminalu počinjenog jednim dijelom na štetu financijskih interesa EU</w:t>
      </w:r>
      <w:r w:rsidR="00CB77CE">
        <w:rPr>
          <w:snapToGrid w:val="0"/>
        </w:rPr>
        <w:t>-a</w:t>
      </w:r>
      <w:r w:rsidRPr="001B4CA2">
        <w:rPr>
          <w:snapToGrid w:val="0"/>
        </w:rPr>
        <w:t>.</w:t>
      </w:r>
    </w:p>
    <w:p w14:paraId="57B64862" w14:textId="77777777" w:rsidR="00AF5F10" w:rsidRPr="001B4CA2" w:rsidRDefault="00AF5F10" w:rsidP="00AF5F10">
      <w:pPr>
        <w:widowControl w:val="0"/>
        <w:ind w:firstLine="708"/>
        <w:rPr>
          <w:snapToGrid w:val="0"/>
        </w:rPr>
      </w:pPr>
    </w:p>
    <w:p w14:paraId="0703C30D" w14:textId="0EE8C91A" w:rsidR="00AF5F10" w:rsidRPr="001B4CA2" w:rsidRDefault="00AF5F10" w:rsidP="00AF5F10">
      <w:pPr>
        <w:widowControl w:val="0"/>
        <w:ind w:firstLine="708"/>
        <w:rPr>
          <w:snapToGrid w:val="0"/>
        </w:rPr>
      </w:pPr>
      <w:r w:rsidRPr="001B4CA2">
        <w:rPr>
          <w:snapToGrid w:val="0"/>
        </w:rPr>
        <w:t xml:space="preserve">Komunikacija između </w:t>
      </w:r>
      <w:r w:rsidRPr="001B4CA2">
        <w:rPr>
          <w:lang w:eastAsia="en-GB"/>
        </w:rPr>
        <w:t xml:space="preserve">Državnog odvjetništva Republike Hrvatske i EPPO-a je profesionalna i odvija se gotovo na dnevnoj razini razmjenom informacija, održavanjem konzultativnih sastanaka tako da se pravni okvir određen Uredbom i Zakonom u cijelosti poštuje. </w:t>
      </w:r>
    </w:p>
    <w:p w14:paraId="365E8F55" w14:textId="77777777" w:rsidR="00AF5F10" w:rsidRPr="001B4CA2" w:rsidRDefault="00AF5F10" w:rsidP="00AF5F10">
      <w:pPr>
        <w:rPr>
          <w:lang w:eastAsia="en-GB"/>
        </w:rPr>
      </w:pPr>
    </w:p>
    <w:p w14:paraId="15208786" w14:textId="68B93D87" w:rsidR="00130281" w:rsidRPr="001B4CA2" w:rsidRDefault="00AF5F10" w:rsidP="00AF5F10">
      <w:pPr>
        <w:widowControl w:val="0"/>
        <w:rPr>
          <w:lang w:eastAsia="en-GB"/>
        </w:rPr>
      </w:pPr>
      <w:r w:rsidRPr="001B4CA2">
        <w:rPr>
          <w:lang w:eastAsia="en-GB"/>
        </w:rPr>
        <w:tab/>
        <w:t xml:space="preserve">Zaključno se </w:t>
      </w:r>
      <w:r w:rsidR="00CB77CE" w:rsidRPr="001B4CA2">
        <w:rPr>
          <w:lang w:eastAsia="en-GB"/>
        </w:rPr>
        <w:t xml:space="preserve">može </w:t>
      </w:r>
      <w:r w:rsidRPr="001B4CA2">
        <w:rPr>
          <w:lang w:eastAsia="en-GB"/>
        </w:rPr>
        <w:t xml:space="preserve">dati ocjena da je suradnja između Državnog odvjetništva Republike Hrvatske i EPPO-a </w:t>
      </w:r>
      <w:r w:rsidR="00CB77CE">
        <w:rPr>
          <w:lang w:eastAsia="en-GB"/>
        </w:rPr>
        <w:t>iznimno</w:t>
      </w:r>
      <w:r w:rsidRPr="001B4CA2">
        <w:rPr>
          <w:lang w:eastAsia="en-GB"/>
        </w:rPr>
        <w:t xml:space="preserve"> dobra i učinkovita.</w:t>
      </w:r>
      <w:r w:rsidR="00130281" w:rsidRPr="001B4CA2">
        <w:rPr>
          <w:snapToGrid w:val="0"/>
        </w:rPr>
        <w:tab/>
      </w:r>
      <w:r w:rsidR="00130281" w:rsidRPr="001B4CA2">
        <w:rPr>
          <w:snapToGrid w:val="0"/>
        </w:rPr>
        <w:tab/>
      </w:r>
      <w:r w:rsidR="00130281" w:rsidRPr="001B4CA2">
        <w:rPr>
          <w:snapToGrid w:val="0"/>
        </w:rPr>
        <w:tab/>
      </w:r>
      <w:r w:rsidR="00130281" w:rsidRPr="001B4CA2">
        <w:rPr>
          <w:snapToGrid w:val="0"/>
        </w:rPr>
        <w:tab/>
      </w:r>
    </w:p>
    <w:p w14:paraId="540219E3" w14:textId="77777777" w:rsidR="008C73DD" w:rsidRPr="001B4CA2" w:rsidRDefault="008C73DD" w:rsidP="00886E1C"/>
    <w:p w14:paraId="1A6D5069" w14:textId="5004F1E0" w:rsidR="0045594F" w:rsidRPr="001B4CA2" w:rsidRDefault="0045594F">
      <w:pPr>
        <w:spacing w:after="200" w:line="276" w:lineRule="auto"/>
        <w:jc w:val="left"/>
      </w:pPr>
      <w:r w:rsidRPr="001B4CA2">
        <w:br w:type="page"/>
      </w:r>
    </w:p>
    <w:p w14:paraId="4E7AF716" w14:textId="439C8E84" w:rsidR="00BB4D48" w:rsidRPr="001B4CA2" w:rsidRDefault="00326934" w:rsidP="00886E1C">
      <w:pPr>
        <w:pStyle w:val="Naslov2"/>
        <w:rPr>
          <w:rFonts w:ascii="Arial" w:hAnsi="Arial" w:cs="Arial"/>
        </w:rPr>
      </w:pPr>
      <w:r w:rsidRPr="001B4CA2">
        <w:rPr>
          <w:rFonts w:ascii="Arial" w:hAnsi="Arial" w:cs="Arial"/>
        </w:rPr>
        <w:lastRenderedPageBreak/>
        <w:t xml:space="preserve"> </w:t>
      </w:r>
      <w:bookmarkStart w:id="182" w:name="_Toc133394412"/>
      <w:r w:rsidR="00BB4D48" w:rsidRPr="001B4CA2">
        <w:rPr>
          <w:rFonts w:ascii="Arial" w:hAnsi="Arial" w:cs="Arial"/>
        </w:rPr>
        <w:t>Nadzor</w:t>
      </w:r>
      <w:r w:rsidR="006262C8" w:rsidRPr="001B4CA2">
        <w:rPr>
          <w:rFonts w:ascii="Arial" w:hAnsi="Arial" w:cs="Arial"/>
        </w:rPr>
        <w:t xml:space="preserve"> </w:t>
      </w:r>
      <w:r w:rsidR="00BB4D48" w:rsidRPr="001B4CA2">
        <w:rPr>
          <w:rFonts w:ascii="Arial" w:hAnsi="Arial" w:cs="Arial"/>
        </w:rPr>
        <w:t>nad</w:t>
      </w:r>
      <w:r w:rsidR="006262C8" w:rsidRPr="001B4CA2">
        <w:rPr>
          <w:rFonts w:ascii="Arial" w:hAnsi="Arial" w:cs="Arial"/>
        </w:rPr>
        <w:t xml:space="preserve"> </w:t>
      </w:r>
      <w:r w:rsidR="00BB4D48" w:rsidRPr="001B4CA2">
        <w:rPr>
          <w:rFonts w:ascii="Arial" w:hAnsi="Arial" w:cs="Arial"/>
        </w:rPr>
        <w:t>radom</w:t>
      </w:r>
      <w:r w:rsidR="006262C8" w:rsidRPr="001B4CA2">
        <w:rPr>
          <w:rFonts w:ascii="Arial" w:hAnsi="Arial" w:cs="Arial"/>
        </w:rPr>
        <w:t xml:space="preserve"> i </w:t>
      </w:r>
      <w:r w:rsidR="00BB4D48" w:rsidRPr="001B4CA2">
        <w:rPr>
          <w:rFonts w:ascii="Arial" w:hAnsi="Arial" w:cs="Arial"/>
        </w:rPr>
        <w:t>postupanjem</w:t>
      </w:r>
      <w:r w:rsidR="006262C8" w:rsidRPr="001B4CA2">
        <w:rPr>
          <w:rFonts w:ascii="Arial" w:hAnsi="Arial" w:cs="Arial"/>
        </w:rPr>
        <w:t xml:space="preserve"> </w:t>
      </w:r>
      <w:r w:rsidR="00BB4D48" w:rsidRPr="001B4CA2">
        <w:rPr>
          <w:rFonts w:ascii="Arial" w:hAnsi="Arial" w:cs="Arial"/>
        </w:rPr>
        <w:t>nižih</w:t>
      </w:r>
      <w:r w:rsidR="006262C8" w:rsidRPr="001B4CA2">
        <w:rPr>
          <w:rFonts w:ascii="Arial" w:hAnsi="Arial" w:cs="Arial"/>
        </w:rPr>
        <w:t xml:space="preserve"> </w:t>
      </w:r>
      <w:r w:rsidR="00BB4D48" w:rsidRPr="001B4CA2">
        <w:rPr>
          <w:rFonts w:ascii="Arial" w:hAnsi="Arial" w:cs="Arial"/>
        </w:rPr>
        <w:t>državnih</w:t>
      </w:r>
      <w:r w:rsidR="006262C8" w:rsidRPr="001B4CA2">
        <w:rPr>
          <w:rFonts w:ascii="Arial" w:hAnsi="Arial" w:cs="Arial"/>
        </w:rPr>
        <w:t xml:space="preserve"> </w:t>
      </w:r>
      <w:r w:rsidR="00BB4D48" w:rsidRPr="001B4CA2">
        <w:rPr>
          <w:rFonts w:ascii="Arial" w:hAnsi="Arial" w:cs="Arial"/>
        </w:rPr>
        <w:t>odvjetništava</w:t>
      </w:r>
      <w:bookmarkEnd w:id="182"/>
    </w:p>
    <w:p w14:paraId="35BECBFE" w14:textId="77777777" w:rsidR="00EA0661" w:rsidRPr="001B4CA2" w:rsidRDefault="00EA0661" w:rsidP="00EA0661"/>
    <w:p w14:paraId="5E65E95F" w14:textId="0CC61C0A" w:rsidR="00BB4D48" w:rsidRPr="001B4CA2" w:rsidRDefault="00A60F77" w:rsidP="00955E23">
      <w:pPr>
        <w:pStyle w:val="Naslov3"/>
        <w:tabs>
          <w:tab w:val="left" w:pos="993"/>
        </w:tabs>
        <w:rPr>
          <w:rFonts w:ascii="Arial" w:hAnsi="Arial" w:cs="Arial"/>
        </w:rPr>
      </w:pPr>
      <w:bookmarkStart w:id="183" w:name="_Toc133394413"/>
      <w:r w:rsidRPr="001B4CA2">
        <w:rPr>
          <w:rFonts w:ascii="Arial" w:hAnsi="Arial" w:cs="Arial"/>
        </w:rPr>
        <w:t>Vrste</w:t>
      </w:r>
      <w:r w:rsidR="006262C8" w:rsidRPr="001B4CA2">
        <w:rPr>
          <w:rFonts w:ascii="Arial" w:hAnsi="Arial" w:cs="Arial"/>
        </w:rPr>
        <w:t xml:space="preserve"> </w:t>
      </w:r>
      <w:r w:rsidRPr="001B4CA2">
        <w:rPr>
          <w:rFonts w:ascii="Arial" w:hAnsi="Arial" w:cs="Arial"/>
        </w:rPr>
        <w:t>nadzora</w:t>
      </w:r>
      <w:bookmarkEnd w:id="183"/>
    </w:p>
    <w:p w14:paraId="4FFBD1B1" w14:textId="77777777" w:rsidR="00AE1789" w:rsidRPr="001B4CA2" w:rsidRDefault="00AE1789" w:rsidP="00EA0661"/>
    <w:p w14:paraId="11BCBAD4" w14:textId="4423EB6B" w:rsidR="006E6CAE" w:rsidRPr="001B4CA2" w:rsidRDefault="006E6CAE" w:rsidP="006E6CAE">
      <w:pPr>
        <w:ind w:firstLine="708"/>
        <w:rPr>
          <w:rFonts w:eastAsia="Arial"/>
          <w:snapToGrid w:val="0"/>
        </w:rPr>
      </w:pPr>
      <w:r w:rsidRPr="001B4CA2">
        <w:rPr>
          <w:rFonts w:eastAsia="Arial"/>
          <w:snapToGrid w:val="0"/>
        </w:rPr>
        <w:t xml:space="preserve">Provođenje nadzorne i instruktivne djelatnosti unutar državnog odvjetništva jedan je od temeljnih preduvjeta za uspješno i pravilno funkcioniranje državnog odvjetništva </w:t>
      </w:r>
      <w:r w:rsidR="00CB77CE">
        <w:rPr>
          <w:rFonts w:eastAsia="Arial"/>
          <w:snapToGrid w:val="0"/>
        </w:rPr>
        <w:t>zbog čega</w:t>
      </w:r>
      <w:r w:rsidRPr="001B4CA2">
        <w:rPr>
          <w:rFonts w:eastAsia="Arial"/>
          <w:snapToGrid w:val="0"/>
        </w:rPr>
        <w:t xml:space="preserve"> se u Državnom odvjetništvu Republike Hrvatske, a potom i u županijskim državnim odvjetništvima pridaje posebna važnost kontinuiranom provođenju nadzorne i instruktivne djelatnosti u odnosu na niža državna odvjetništva te </w:t>
      </w:r>
      <w:r w:rsidR="00CB77CE">
        <w:rPr>
          <w:rFonts w:eastAsia="Arial"/>
          <w:snapToGrid w:val="0"/>
        </w:rPr>
        <w:t>se</w:t>
      </w:r>
      <w:r w:rsidR="00CB77CE" w:rsidRPr="001B4CA2">
        <w:rPr>
          <w:rFonts w:eastAsia="Arial"/>
          <w:snapToGrid w:val="0"/>
        </w:rPr>
        <w:t xml:space="preserve"> </w:t>
      </w:r>
      <w:r w:rsidRPr="001B4CA2">
        <w:rPr>
          <w:rFonts w:eastAsia="Arial"/>
          <w:snapToGrid w:val="0"/>
        </w:rPr>
        <w:t>pored već postojećih razvija</w:t>
      </w:r>
      <w:r w:rsidR="00CB77CE">
        <w:rPr>
          <w:rFonts w:eastAsia="Arial"/>
          <w:snapToGrid w:val="0"/>
        </w:rPr>
        <w:t xml:space="preserve">ju </w:t>
      </w:r>
      <w:r w:rsidRPr="001B4CA2">
        <w:rPr>
          <w:rFonts w:eastAsia="Arial"/>
          <w:snapToGrid w:val="0"/>
        </w:rPr>
        <w:t>i nov</w:t>
      </w:r>
      <w:r w:rsidR="00CB77CE">
        <w:rPr>
          <w:rFonts w:eastAsia="Arial"/>
          <w:snapToGrid w:val="0"/>
        </w:rPr>
        <w:t>i</w:t>
      </w:r>
      <w:r w:rsidRPr="001B4CA2">
        <w:rPr>
          <w:rFonts w:eastAsia="Arial"/>
          <w:snapToGrid w:val="0"/>
        </w:rPr>
        <w:t xml:space="preserve"> modalitet</w:t>
      </w:r>
      <w:r w:rsidR="00CB77CE">
        <w:rPr>
          <w:rFonts w:eastAsia="Arial"/>
          <w:snapToGrid w:val="0"/>
        </w:rPr>
        <w:t>i</w:t>
      </w:r>
      <w:r w:rsidRPr="001B4CA2">
        <w:rPr>
          <w:rFonts w:eastAsia="Arial"/>
          <w:snapToGrid w:val="0"/>
        </w:rPr>
        <w:t xml:space="preserve"> i način</w:t>
      </w:r>
      <w:r w:rsidR="00CB77CE">
        <w:rPr>
          <w:rFonts w:eastAsia="Arial"/>
          <w:snapToGrid w:val="0"/>
        </w:rPr>
        <w:t>i</w:t>
      </w:r>
      <w:r w:rsidRPr="001B4CA2">
        <w:rPr>
          <w:rFonts w:eastAsia="Arial"/>
          <w:snapToGrid w:val="0"/>
        </w:rPr>
        <w:t xml:space="preserve"> praćenja rada.</w:t>
      </w:r>
    </w:p>
    <w:p w14:paraId="1058058D" w14:textId="77777777" w:rsidR="006E6CAE" w:rsidRPr="001B4CA2" w:rsidRDefault="006E6CAE" w:rsidP="006E6CAE">
      <w:pPr>
        <w:rPr>
          <w:rFonts w:eastAsia="Arial"/>
          <w:snapToGrid w:val="0"/>
        </w:rPr>
      </w:pPr>
    </w:p>
    <w:p w14:paraId="1BD99DFC" w14:textId="77777777" w:rsidR="006E6CAE" w:rsidRPr="001B4CA2" w:rsidRDefault="006E6CAE" w:rsidP="006E6CAE">
      <w:pPr>
        <w:ind w:firstLine="708"/>
        <w:rPr>
          <w:rFonts w:eastAsia="Arial"/>
          <w:snapToGrid w:val="0"/>
        </w:rPr>
      </w:pPr>
      <w:r w:rsidRPr="001B4CA2">
        <w:rPr>
          <w:rFonts w:eastAsia="Arial"/>
          <w:snapToGrid w:val="0"/>
        </w:rPr>
        <w:t>Radi ostvarivanja ove zadaće u Državnom odvjetništvu Republike Hrvatske, i to unutar Ureda Glavne državne odvjetnice, osnovan je Odsjek za unutarnji nadzor u djelokrug kojeg ulazi provođenje nadzora nad radom nižih državnih odvjetništava, sudjelovanje u pregledima rada nižih državnih odvjetništava, vođenje mjesečne i godišnje statistike te skrb o stručnom usavršavanju državnih odvjetnika i zamjenika državnih odvjetnika, savjetnika, vježbenika i drugih službenika i namještenika. Pored toga, u slučaju utvrđenih poremećaja u radu u pojedinim državnim odvjetništvima, Odsjek nadzornu funkciju ostvaruje i provođenjem izvanrednih potpunih ili djelomičnih pregleda rada te davanjem smjernica za otklanjanje uočenih nepravilnosti.</w:t>
      </w:r>
    </w:p>
    <w:p w14:paraId="068E8306" w14:textId="77777777" w:rsidR="006E6CAE" w:rsidRPr="001B4CA2" w:rsidRDefault="006E6CAE" w:rsidP="006E6CAE">
      <w:pPr>
        <w:rPr>
          <w:rFonts w:eastAsia="Arial"/>
          <w:snapToGrid w:val="0"/>
        </w:rPr>
      </w:pPr>
    </w:p>
    <w:p w14:paraId="244532AE" w14:textId="310B3D71" w:rsidR="006E6CAE" w:rsidRPr="001B4CA2" w:rsidRDefault="006E6CAE" w:rsidP="006E6CAE">
      <w:pPr>
        <w:ind w:firstLine="708"/>
        <w:rPr>
          <w:rFonts w:eastAsia="Arial"/>
          <w:snapToGrid w:val="0"/>
        </w:rPr>
      </w:pPr>
      <w:r w:rsidRPr="001B4CA2">
        <w:rPr>
          <w:rFonts w:eastAsia="Arial"/>
          <w:snapToGrid w:val="0"/>
        </w:rPr>
        <w:t>Polazeći od zakonom propisanog hijerarhijskog ustroja državnog odvjetništva, Državno odvjetništvo Republike Hrvatske posebno nadzire, prati i usmjerava rad nižih državnih odvjetništava te provodi preglede rada županijskih državnih odvjetništava i Ureda za suzbijanje korupcije i organiziranog kriminaliteta, a po potrebi i preglede rada općinskih državnih odvjetništava, dok</w:t>
      </w:r>
      <w:r w:rsidR="00FD08E9">
        <w:rPr>
          <w:rFonts w:eastAsia="Arial"/>
          <w:snapToGrid w:val="0"/>
        </w:rPr>
        <w:t xml:space="preserve"> </w:t>
      </w:r>
      <w:r w:rsidRPr="001B4CA2">
        <w:rPr>
          <w:rFonts w:eastAsia="Arial"/>
          <w:snapToGrid w:val="0"/>
        </w:rPr>
        <w:t xml:space="preserve">Županijska državna odvjetništva obavljaju preglede rada područnih općinskih državnih odvjetništava. </w:t>
      </w:r>
    </w:p>
    <w:p w14:paraId="0DB60B37" w14:textId="77777777" w:rsidR="006E6CAE" w:rsidRPr="001B4CA2" w:rsidRDefault="006E6CAE" w:rsidP="006E6CAE">
      <w:pPr>
        <w:ind w:firstLine="708"/>
        <w:rPr>
          <w:rFonts w:eastAsia="Arial"/>
          <w:snapToGrid w:val="0"/>
        </w:rPr>
      </w:pPr>
    </w:p>
    <w:p w14:paraId="1BD8F3D5" w14:textId="77777777" w:rsidR="006E6CAE" w:rsidRPr="001B4CA2" w:rsidRDefault="006E6CAE" w:rsidP="006E6CAE">
      <w:pPr>
        <w:ind w:firstLine="708"/>
        <w:rPr>
          <w:rFonts w:eastAsia="Arial"/>
          <w:snapToGrid w:val="0"/>
        </w:rPr>
      </w:pPr>
      <w:r w:rsidRPr="001B4CA2">
        <w:rPr>
          <w:rFonts w:eastAsia="Arial"/>
          <w:snapToGrid w:val="0"/>
        </w:rPr>
        <w:t>Značajan dio nadzorne funkcije ostvaruje se i kroz preglede rada pojedinih državnih odvjetnika, zamjenika ili savjetnika prilikom prijave na oglas za premještaj ili za imenovanje na mjesto državnog odvjetnika ili zamjenika državnog odvjetnika, a i kroz Zakonom o državnom odvjetništvu propisanu obvezu dostavljanja izvješća o radu na posebno važnim i složenim predmetima.</w:t>
      </w:r>
    </w:p>
    <w:p w14:paraId="6D0EE45B" w14:textId="77777777" w:rsidR="006E6CAE" w:rsidRPr="001B4CA2" w:rsidRDefault="006E6CAE" w:rsidP="006E6CAE">
      <w:pPr>
        <w:rPr>
          <w:rFonts w:eastAsia="Arial"/>
          <w:snapToGrid w:val="0"/>
        </w:rPr>
      </w:pPr>
    </w:p>
    <w:p w14:paraId="6F5B56D0" w14:textId="1740DC2A" w:rsidR="006E6CAE" w:rsidRPr="001B4CA2" w:rsidRDefault="006E6CAE" w:rsidP="006E6CAE">
      <w:pPr>
        <w:ind w:firstLine="708"/>
        <w:rPr>
          <w:rFonts w:eastAsia="Arial"/>
          <w:snapToGrid w:val="0"/>
        </w:rPr>
      </w:pPr>
      <w:r w:rsidRPr="001B4CA2">
        <w:rPr>
          <w:rFonts w:eastAsia="Arial"/>
          <w:snapToGrid w:val="0"/>
        </w:rPr>
        <w:t>Nadalje, uvid u cjelokupan rad na pojedinačnom predmetu ostvaruje se i kroz rad na drugostupanjskim predmetima oformljenim</w:t>
      </w:r>
      <w:r w:rsidR="00CB77CE">
        <w:rPr>
          <w:rFonts w:eastAsia="Arial"/>
          <w:snapToGrid w:val="0"/>
        </w:rPr>
        <w:t>a</w:t>
      </w:r>
      <w:r w:rsidRPr="001B4CA2">
        <w:rPr>
          <w:rFonts w:eastAsia="Arial"/>
          <w:snapToGrid w:val="0"/>
        </w:rPr>
        <w:t xml:space="preserve"> na temelju podnesenih žalbi državnog odvjetnika ili okrivljenika i odgovora na žalbu protiv presude i drugih odluka prvostupanjskih sudova, kao i putem rada na predmetima povodom izvanrednih pravnih lijekova, a posebno zahtjeva za zaštitu zakonitosti. Na taj način više državno odvjetništvo stječe cjelovit uvid u rad na predmetu, upoznaje se s eventualnim nedostatcima i propustima u radu te o uočenom izvješćuje niže državno odvjetništvo.</w:t>
      </w:r>
    </w:p>
    <w:p w14:paraId="1E1E6F29" w14:textId="77777777" w:rsidR="006E6CAE" w:rsidRPr="001B4CA2" w:rsidRDefault="006E6CAE" w:rsidP="006E6CAE">
      <w:pPr>
        <w:rPr>
          <w:rFonts w:eastAsia="Arial"/>
          <w:snapToGrid w:val="0"/>
        </w:rPr>
      </w:pPr>
    </w:p>
    <w:p w14:paraId="109B4CA4" w14:textId="77777777" w:rsidR="006E6CAE" w:rsidRPr="001B4CA2" w:rsidRDefault="006E6CAE" w:rsidP="006E6CAE">
      <w:pPr>
        <w:ind w:firstLine="708"/>
        <w:rPr>
          <w:rFonts w:eastAsia="Arial"/>
          <w:snapToGrid w:val="0"/>
        </w:rPr>
      </w:pPr>
      <w:r w:rsidRPr="001B4CA2">
        <w:rPr>
          <w:rFonts w:eastAsia="Arial"/>
          <w:snapToGrid w:val="0"/>
        </w:rPr>
        <w:t>Važan oblik nadzora provodi se i kroz izradu i dostavljanje mjesečnih, tromjesečnih i godišnjih statističkih izvješća, a koja izvješća svojim ustrojem i strukturom podataka koji se dostavljaju omogućuju kvalitetan uvid u rad svakog državnog odvjetništva te u rad i opterećenost pojedinog državnog odvjetnika i zamjenika.</w:t>
      </w:r>
    </w:p>
    <w:p w14:paraId="30D7F3C4" w14:textId="77777777" w:rsidR="006E6CAE" w:rsidRPr="001B4CA2" w:rsidRDefault="006E6CAE" w:rsidP="006E6CAE">
      <w:pPr>
        <w:ind w:firstLine="708"/>
        <w:rPr>
          <w:rFonts w:eastAsia="Arial"/>
          <w:snapToGrid w:val="0"/>
        </w:rPr>
      </w:pPr>
    </w:p>
    <w:p w14:paraId="67AF64EA" w14:textId="0D422F23" w:rsidR="006E6CAE" w:rsidRPr="001B4CA2" w:rsidRDefault="006E6CAE" w:rsidP="006E6CAE">
      <w:pPr>
        <w:ind w:firstLine="708"/>
        <w:rPr>
          <w:rFonts w:eastAsia="Times New Roman"/>
          <w:lang w:eastAsia="hr-HR"/>
        </w:rPr>
      </w:pPr>
      <w:r w:rsidRPr="001B4CA2">
        <w:rPr>
          <w:rFonts w:eastAsia="Arial"/>
          <w:snapToGrid w:val="0"/>
        </w:rPr>
        <w:lastRenderedPageBreak/>
        <w:t>Radi ujednačavanja prakse državnih odvjetništava Glavna državna odvjetnica Republike Hrvatske u 2022. godini donijela je Opću uputu broj O</w:t>
      </w:r>
      <w:r w:rsidR="00F47D60">
        <w:rPr>
          <w:rFonts w:eastAsia="Arial"/>
          <w:snapToGrid w:val="0"/>
        </w:rPr>
        <w:t xml:space="preserve"> – </w:t>
      </w:r>
      <w:r w:rsidRPr="001B4CA2">
        <w:rPr>
          <w:rFonts w:eastAsia="Arial"/>
          <w:snapToGrid w:val="0"/>
        </w:rPr>
        <w:t xml:space="preserve">4/2022 </w:t>
      </w:r>
      <w:r w:rsidRPr="001B4CA2">
        <w:rPr>
          <w:rFonts w:eastAsia="Times New Roman"/>
          <w:lang w:eastAsia="hr-HR"/>
        </w:rPr>
        <w:t xml:space="preserve">o izvještavanju o radu državnog odvjetništva kojom se propisuje statističko praćenje rada u pojedinom državnom odvjetništvu, izvještavanje o </w:t>
      </w:r>
      <w:proofErr w:type="spellStart"/>
      <w:r w:rsidRPr="001B4CA2">
        <w:rPr>
          <w:rFonts w:eastAsia="Times New Roman"/>
          <w:lang w:eastAsia="hr-HR"/>
        </w:rPr>
        <w:t>izvanpostupovnim</w:t>
      </w:r>
      <w:proofErr w:type="spellEnd"/>
      <w:r w:rsidRPr="001B4CA2">
        <w:rPr>
          <w:rFonts w:eastAsia="Times New Roman"/>
          <w:lang w:eastAsia="hr-HR"/>
        </w:rPr>
        <w:t xml:space="preserve"> aktivnostima i </w:t>
      </w:r>
      <w:r w:rsidR="00CB77CE">
        <w:rPr>
          <w:rFonts w:eastAsia="Times New Roman"/>
          <w:lang w:eastAsia="hr-HR"/>
        </w:rPr>
        <w:t>važnijim</w:t>
      </w:r>
      <w:r w:rsidRPr="001B4CA2">
        <w:rPr>
          <w:rFonts w:eastAsia="Times New Roman"/>
          <w:lang w:eastAsia="hr-HR"/>
        </w:rPr>
        <w:t xml:space="preserve"> predmetima sukladno Zakonu o državnom odvjetništvu.</w:t>
      </w:r>
    </w:p>
    <w:p w14:paraId="2855C267" w14:textId="77777777" w:rsidR="001B32DE" w:rsidRPr="001B4CA2" w:rsidRDefault="001B32DE" w:rsidP="006E6CAE">
      <w:pPr>
        <w:ind w:firstLine="708"/>
        <w:rPr>
          <w:rFonts w:eastAsia="Times New Roman"/>
          <w:lang w:eastAsia="hr-HR"/>
        </w:rPr>
      </w:pPr>
    </w:p>
    <w:p w14:paraId="4EBF667C" w14:textId="743CD74B" w:rsidR="006E6CAE" w:rsidRPr="001B4CA2" w:rsidRDefault="006E6CAE" w:rsidP="006E6CAE">
      <w:pPr>
        <w:ind w:firstLine="708"/>
        <w:rPr>
          <w:rFonts w:eastAsia="Arial"/>
          <w:snapToGrid w:val="0"/>
        </w:rPr>
      </w:pPr>
      <w:r w:rsidRPr="001B4CA2">
        <w:rPr>
          <w:rFonts w:eastAsia="Arial"/>
          <w:snapToGrid w:val="0"/>
        </w:rPr>
        <w:t>Ovdje se posebno ističe važnost uvođenja i kontinuiranog razvoja CTS-a (</w:t>
      </w:r>
      <w:proofErr w:type="spellStart"/>
      <w:r w:rsidRPr="00CB77CE">
        <w:rPr>
          <w:rFonts w:eastAsia="Arial"/>
          <w:i/>
          <w:iCs/>
          <w:snapToGrid w:val="0"/>
        </w:rPr>
        <w:t>Case</w:t>
      </w:r>
      <w:proofErr w:type="spellEnd"/>
      <w:r w:rsidRPr="00CB77CE">
        <w:rPr>
          <w:rFonts w:eastAsia="Arial"/>
          <w:i/>
          <w:iCs/>
          <w:snapToGrid w:val="0"/>
        </w:rPr>
        <w:t xml:space="preserve"> </w:t>
      </w:r>
      <w:proofErr w:type="spellStart"/>
      <w:r w:rsidRPr="00CB77CE">
        <w:rPr>
          <w:rFonts w:eastAsia="Arial"/>
          <w:i/>
          <w:iCs/>
          <w:snapToGrid w:val="0"/>
        </w:rPr>
        <w:t>Tracking</w:t>
      </w:r>
      <w:proofErr w:type="spellEnd"/>
      <w:r w:rsidRPr="00CB77CE">
        <w:rPr>
          <w:rFonts w:eastAsia="Arial"/>
          <w:i/>
          <w:iCs/>
          <w:snapToGrid w:val="0"/>
        </w:rPr>
        <w:t xml:space="preserve"> System</w:t>
      </w:r>
      <w:r w:rsidRPr="001B4CA2">
        <w:rPr>
          <w:rFonts w:eastAsia="Arial"/>
          <w:snapToGrid w:val="0"/>
        </w:rPr>
        <w:t>), odnosno informacijskog sustava za praćenje predmeta u državnom odvjetništvu, koji omogućuje neposredan uvid u rad, sadržaj odluka nižih državnih odvjetništava i ažurnost na razini državnog odvjetništva, ali i pojedinog državnog odvjetnika i zamjenika. Uvođenje i stalno unapređivanje CTS sustava u velikoj je mjeri olakšalo i ubrzalo provođenje nadzora rada državnog odvjetništva.</w:t>
      </w:r>
    </w:p>
    <w:p w14:paraId="1FCB7818" w14:textId="77777777" w:rsidR="006E6CAE" w:rsidRPr="001B4CA2" w:rsidRDefault="006E6CAE" w:rsidP="006E6CAE">
      <w:pPr>
        <w:rPr>
          <w:rFonts w:eastAsia="Arial"/>
          <w:snapToGrid w:val="0"/>
        </w:rPr>
      </w:pPr>
    </w:p>
    <w:p w14:paraId="5BCAEA6A" w14:textId="77777777" w:rsidR="006E6CAE" w:rsidRPr="001B4CA2" w:rsidRDefault="006E6CAE" w:rsidP="006E6CAE">
      <w:pPr>
        <w:ind w:firstLine="708"/>
        <w:rPr>
          <w:rFonts w:eastAsia="Arial"/>
          <w:snapToGrid w:val="0"/>
        </w:rPr>
      </w:pPr>
      <w:r w:rsidRPr="001B4CA2">
        <w:rPr>
          <w:rFonts w:eastAsia="Arial"/>
          <w:snapToGrid w:val="0"/>
        </w:rPr>
        <w:t>Nadzorna funkcija državnog odvjetništva u velikoj se mjeri ostvaruje i kroz rad na predstavkama i pritužbama građana.</w:t>
      </w:r>
    </w:p>
    <w:p w14:paraId="128FB91B" w14:textId="77777777" w:rsidR="006E6CAE" w:rsidRPr="001B4CA2" w:rsidRDefault="006E6CAE" w:rsidP="006E6CAE">
      <w:pPr>
        <w:rPr>
          <w:rFonts w:eastAsia="Arial"/>
          <w:snapToGrid w:val="0"/>
        </w:rPr>
      </w:pPr>
    </w:p>
    <w:p w14:paraId="2EBCF70F" w14:textId="77777777" w:rsidR="006E6CAE" w:rsidRPr="001B4CA2" w:rsidRDefault="006E6CAE" w:rsidP="006E6CAE">
      <w:pPr>
        <w:ind w:firstLine="708"/>
        <w:rPr>
          <w:rFonts w:eastAsia="Arial"/>
          <w:snapToGrid w:val="0"/>
        </w:rPr>
      </w:pPr>
      <w:r w:rsidRPr="001B4CA2">
        <w:rPr>
          <w:rFonts w:eastAsia="Arial"/>
          <w:snapToGrid w:val="0"/>
        </w:rPr>
        <w:t xml:space="preserve">Kontinuirano provođenje nadzorne funkcije omogućuje stjecanje kvalitetnog uvida u rad pojedinog državnog odvjetništva, državnih odvjetnika, zamjenika državnih odvjetnika i savjetnika, što je jedan od bitnih preduvjeta za predlaganje imenovanja novih državnih odvjetnika i zamjenika, za njihovo napredovanje, ali i razrješenje u onim slučajevima kada je to nužno kako bi se osiguralo funkcioniranje državnog odvjetništva. </w:t>
      </w:r>
    </w:p>
    <w:p w14:paraId="225EC169" w14:textId="77777777" w:rsidR="006E6CAE" w:rsidRPr="001B4CA2" w:rsidRDefault="006E6CAE" w:rsidP="006E6CAE">
      <w:pPr>
        <w:rPr>
          <w:rFonts w:eastAsia="Arial"/>
          <w:snapToGrid w:val="0"/>
        </w:rPr>
      </w:pPr>
    </w:p>
    <w:p w14:paraId="282E8D26" w14:textId="44A3332E" w:rsidR="006E6CAE" w:rsidRPr="001B4CA2" w:rsidRDefault="006E6CAE" w:rsidP="006E6CAE">
      <w:pPr>
        <w:ind w:firstLine="708"/>
        <w:rPr>
          <w:rFonts w:eastAsia="Times New Roman"/>
          <w:lang w:eastAsia="hr-HR"/>
        </w:rPr>
      </w:pPr>
      <w:r w:rsidRPr="001B4CA2">
        <w:rPr>
          <w:rFonts w:eastAsia="Arial"/>
          <w:snapToGrid w:val="0"/>
        </w:rPr>
        <w:t xml:space="preserve">Osim nadzorne uloge viša državna odvjetništva </w:t>
      </w:r>
      <w:r w:rsidR="00CB77CE">
        <w:rPr>
          <w:rFonts w:eastAsia="Arial"/>
          <w:snapToGrid w:val="0"/>
        </w:rPr>
        <w:t>izvode</w:t>
      </w:r>
      <w:r w:rsidRPr="001B4CA2">
        <w:rPr>
          <w:rFonts w:eastAsia="Arial"/>
          <w:snapToGrid w:val="0"/>
        </w:rPr>
        <w:t xml:space="preserve"> i </w:t>
      </w:r>
      <w:r w:rsidRPr="001B4CA2">
        <w:rPr>
          <w:rFonts w:eastAsia="Times New Roman"/>
          <w:lang w:eastAsia="hr-HR"/>
        </w:rPr>
        <w:t>instruktivnu djelatnost</w:t>
      </w:r>
      <w:r w:rsidR="00CB77CE">
        <w:rPr>
          <w:rFonts w:eastAsia="Times New Roman"/>
          <w:lang w:eastAsia="hr-HR"/>
        </w:rPr>
        <w:t>,</w:t>
      </w:r>
      <w:r w:rsidRPr="001B4CA2">
        <w:rPr>
          <w:rFonts w:eastAsia="Times New Roman"/>
          <w:lang w:eastAsia="hr-HR"/>
        </w:rPr>
        <w:t xml:space="preserve"> i to davanjem uputa i smjernica, dostavljanjem pisanih obrazloženih podnesaka o propustima ili pogreškama uočenima u radu na predmetima te davanjem uputa za njihovo otklanjanje.</w:t>
      </w:r>
    </w:p>
    <w:p w14:paraId="1CE9A088" w14:textId="77777777" w:rsidR="006E6CAE" w:rsidRPr="001B4CA2" w:rsidRDefault="006E6CAE" w:rsidP="006E6CAE">
      <w:pPr>
        <w:ind w:firstLine="708"/>
        <w:rPr>
          <w:rFonts w:eastAsia="Times New Roman"/>
          <w:lang w:eastAsia="hr-HR"/>
        </w:rPr>
      </w:pPr>
    </w:p>
    <w:p w14:paraId="49C03DF3" w14:textId="77777777" w:rsidR="006E6CAE" w:rsidRPr="001B4CA2" w:rsidRDefault="006E6CAE" w:rsidP="006E6CAE">
      <w:pPr>
        <w:ind w:firstLine="708"/>
        <w:rPr>
          <w:rFonts w:eastAsia="Arial"/>
          <w:snapToGrid w:val="0"/>
        </w:rPr>
      </w:pPr>
      <w:r w:rsidRPr="001B4CA2">
        <w:rPr>
          <w:rFonts w:eastAsia="Arial"/>
          <w:snapToGrid w:val="0"/>
        </w:rPr>
        <w:t>Kako su modaliteti provođenja nadzora brojni i obuhvaćaju sve faze postupanja, u nastavku se daje poseban osvrt u odnosu na neke od najvažnijih oblika nadzora.</w:t>
      </w:r>
    </w:p>
    <w:p w14:paraId="41FD8803" w14:textId="0D30BCD6" w:rsidR="00EA0661" w:rsidRPr="001B4CA2" w:rsidRDefault="00EA0661" w:rsidP="00EA0661"/>
    <w:p w14:paraId="06B6CE50" w14:textId="77777777" w:rsidR="00BB4D48" w:rsidRPr="001B4CA2" w:rsidRDefault="00BB4D48" w:rsidP="00955E23">
      <w:pPr>
        <w:pStyle w:val="Naslov4"/>
        <w:tabs>
          <w:tab w:val="left" w:pos="1134"/>
        </w:tabs>
        <w:rPr>
          <w:rFonts w:ascii="Arial" w:hAnsi="Arial" w:cs="Arial"/>
        </w:rPr>
      </w:pPr>
      <w:bookmarkStart w:id="184" w:name="_Toc133394414"/>
      <w:r w:rsidRPr="001B4CA2">
        <w:rPr>
          <w:rFonts w:ascii="Arial" w:hAnsi="Arial" w:cs="Arial"/>
        </w:rPr>
        <w:t xml:space="preserve">Predmeti </w:t>
      </w:r>
      <w:r w:rsidR="00A60F77" w:rsidRPr="001B4CA2">
        <w:rPr>
          <w:rFonts w:ascii="Arial" w:hAnsi="Arial" w:cs="Arial"/>
        </w:rPr>
        <w:t>povodom pravnih lijekova</w:t>
      </w:r>
      <w:bookmarkEnd w:id="184"/>
    </w:p>
    <w:p w14:paraId="4372835D" w14:textId="64B4C17E" w:rsidR="001B470E" w:rsidRPr="001B4CA2" w:rsidRDefault="001B470E" w:rsidP="00584BBE">
      <w:pPr>
        <w:rPr>
          <w:snapToGrid w:val="0"/>
        </w:rPr>
      </w:pPr>
    </w:p>
    <w:p w14:paraId="41C627F3" w14:textId="55094F93" w:rsidR="006E6CAE" w:rsidRPr="001B4CA2" w:rsidRDefault="006E6CAE" w:rsidP="006E6CAE">
      <w:pPr>
        <w:ind w:firstLine="708"/>
        <w:rPr>
          <w:rFonts w:eastAsia="Arial"/>
          <w:snapToGrid w:val="0"/>
        </w:rPr>
      </w:pPr>
      <w:r w:rsidRPr="001B4CA2">
        <w:rPr>
          <w:rFonts w:eastAsia="Arial"/>
          <w:snapToGrid w:val="0"/>
        </w:rPr>
        <w:t xml:space="preserve">Postupanje u predmetima povodom redovitih ili izvanrednih pravnih lijekova jedan je od važnih oblika provođenja nadzora nad radom nižih državnih odvjetništava jer se kroz </w:t>
      </w:r>
      <w:r w:rsidR="00CB77CE">
        <w:rPr>
          <w:rFonts w:eastAsia="Arial"/>
          <w:snapToGrid w:val="0"/>
        </w:rPr>
        <w:t>t</w:t>
      </w:r>
      <w:r w:rsidRPr="001B4CA2">
        <w:rPr>
          <w:rFonts w:eastAsia="Arial"/>
          <w:snapToGrid w:val="0"/>
        </w:rPr>
        <w:t>aj oblik nadzora stječe cjelovit uvid u rad nižeg državnog odvjetništva u konkretnim predmetima, i to u odnosu na iskazanu stručnost u radu, ažurnost u postupanju, odnosno poštivanje zakonskih i instruktivnih rokova.</w:t>
      </w:r>
    </w:p>
    <w:p w14:paraId="69F75C4F" w14:textId="77777777" w:rsidR="006E6CAE" w:rsidRPr="001B4CA2" w:rsidRDefault="006E6CAE" w:rsidP="006E6CAE">
      <w:pPr>
        <w:rPr>
          <w:rFonts w:eastAsia="Arial"/>
          <w:snapToGrid w:val="0"/>
        </w:rPr>
      </w:pPr>
    </w:p>
    <w:p w14:paraId="147C1EE0" w14:textId="605E194E" w:rsidR="006E6CAE" w:rsidRPr="001B4CA2" w:rsidRDefault="006E6CAE" w:rsidP="006E6CAE">
      <w:pPr>
        <w:ind w:firstLine="708"/>
        <w:rPr>
          <w:rFonts w:eastAsia="Arial"/>
          <w:snapToGrid w:val="0"/>
        </w:rPr>
      </w:pPr>
      <w:r w:rsidRPr="001B4CA2">
        <w:rPr>
          <w:rFonts w:eastAsia="Arial"/>
          <w:snapToGrid w:val="0"/>
        </w:rPr>
        <w:t>Stupanjem na snagu Zakona o područjima i sjedištima sudova 1. travnja 2015. (Narodne novine, broj 128/2014), kojim su za odlučivanje o žalbama protiv presuda općinskih sudova u kaznenim predmetima određeni svi županijski sudovi, posljedično čemu pojedino županijsko državno odvjetništvo više ne postupa samo po žalbama protiv odluka općinskih sudova sa svoga područja, nego i općinskih sudova iz cijele Republike Hrvatske, takvom načinu postupanja prilagođeno je i provođenje nadzorne djelatnosti županijskih državnih odvjetništava. Sukladno članku 342. Poslovnika državnog odvjetništva, državno odvjetništvo koje postupa po pravnim lijekovima o uočenim nedostatcima u radu dužno je izvijestiti državno odvjetništvo koje je nadređeno državnom odvjetništvu o čijem se pravnom lijeku radi.</w:t>
      </w:r>
    </w:p>
    <w:p w14:paraId="78B9344A" w14:textId="69E44741" w:rsidR="006E6CAE" w:rsidRPr="001B4CA2" w:rsidRDefault="006E6CAE" w:rsidP="006E6CAE">
      <w:pPr>
        <w:ind w:firstLine="708"/>
      </w:pPr>
      <w:r w:rsidRPr="001B4CA2">
        <w:rPr>
          <w:rFonts w:eastAsia="Arial"/>
          <w:snapToGrid w:val="0"/>
        </w:rPr>
        <w:lastRenderedPageBreak/>
        <w:t xml:space="preserve">U svojim izvješćima županijska državna odvjetništva ukazuju na činjenicu da s obzirom </w:t>
      </w:r>
      <w:r w:rsidR="00B01CC6">
        <w:rPr>
          <w:rFonts w:eastAsia="Arial"/>
          <w:snapToGrid w:val="0"/>
        </w:rPr>
        <w:t xml:space="preserve">na to </w:t>
      </w:r>
      <w:r w:rsidRPr="001B4CA2">
        <w:rPr>
          <w:rFonts w:eastAsia="Arial"/>
          <w:snapToGrid w:val="0"/>
        </w:rPr>
        <w:t xml:space="preserve">da </w:t>
      </w:r>
      <w:r w:rsidRPr="001B4CA2">
        <w:t>žalbene predmete rješavaju svi drugostupanjski sudovi na teritoriju Republike Hrvatske</w:t>
      </w:r>
      <w:r w:rsidR="00B01CC6">
        <w:t xml:space="preserve"> te</w:t>
      </w:r>
      <w:r w:rsidRPr="001B4CA2">
        <w:t xml:space="preserve"> da se</w:t>
      </w:r>
      <w:r w:rsidRPr="001B4CA2">
        <w:rPr>
          <w:color w:val="FF0000"/>
        </w:rPr>
        <w:t xml:space="preserve"> </w:t>
      </w:r>
      <w:r w:rsidRPr="001B4CA2">
        <w:t xml:space="preserve">kontrola rada nižeg državnog odvjetništva koja se </w:t>
      </w:r>
      <w:r w:rsidR="00B01CC6">
        <w:t>provodi</w:t>
      </w:r>
      <w:r w:rsidRPr="001B4CA2">
        <w:t xml:space="preserve"> povodom izjavljenih pravnih lijekova nešto umanjila, jer je sužena mogućnost nadzora višeg državnog odvjetništva nad radom nižeg državnog odvjetništva s područja iste mjesne nadležnosti.</w:t>
      </w:r>
    </w:p>
    <w:p w14:paraId="7417EE92" w14:textId="77777777" w:rsidR="006E6CAE" w:rsidRPr="001B4CA2" w:rsidRDefault="006E6CAE" w:rsidP="006E6CAE">
      <w:pPr>
        <w:ind w:firstLine="708"/>
      </w:pPr>
    </w:p>
    <w:p w14:paraId="55284243" w14:textId="77777777" w:rsidR="006E6CAE" w:rsidRPr="001B4CA2" w:rsidRDefault="006E6CAE" w:rsidP="006E6CAE">
      <w:pPr>
        <w:ind w:firstLine="708"/>
        <w:rPr>
          <w:rFonts w:eastAsia="Arial"/>
          <w:snapToGrid w:val="0"/>
        </w:rPr>
      </w:pPr>
      <w:r w:rsidRPr="001B4CA2">
        <w:t xml:space="preserve">Međutim, s druge strane ističu prednost što su </w:t>
      </w:r>
      <w:r w:rsidRPr="001B4CA2">
        <w:rPr>
          <w:rFonts w:eastAsia="Calibri"/>
        </w:rPr>
        <w:t>za odlučivanje o žalbama protiv odluka općinskih sudova u kaznenim predmetima određeni svi županijski sudovi, što omogućuje uvid u rad i praksu drugih općinskih državnih odvjetništava u Republici Hrvatskoj.</w:t>
      </w:r>
    </w:p>
    <w:p w14:paraId="0482DB7C" w14:textId="77777777" w:rsidR="006E6CAE" w:rsidRPr="001B4CA2" w:rsidRDefault="006E6CAE" w:rsidP="006E6CAE">
      <w:pPr>
        <w:rPr>
          <w:rFonts w:eastAsia="Arial"/>
          <w:snapToGrid w:val="0"/>
        </w:rPr>
      </w:pPr>
    </w:p>
    <w:p w14:paraId="2B2AE10A" w14:textId="758E672B" w:rsidR="006E6CAE" w:rsidRPr="001B4CA2" w:rsidRDefault="006E6CAE" w:rsidP="006E6CAE">
      <w:pPr>
        <w:ind w:firstLine="708"/>
        <w:rPr>
          <w:rFonts w:eastAsia="Arial"/>
          <w:snapToGrid w:val="0"/>
        </w:rPr>
      </w:pPr>
      <w:r w:rsidRPr="001B4CA2">
        <w:rPr>
          <w:rFonts w:eastAsia="Arial"/>
          <w:snapToGrid w:val="0"/>
        </w:rPr>
        <w:t>O svim primjedbama utvrđenim</w:t>
      </w:r>
      <w:r w:rsidR="00B01CC6">
        <w:rPr>
          <w:rFonts w:eastAsia="Arial"/>
          <w:snapToGrid w:val="0"/>
        </w:rPr>
        <w:t>a</w:t>
      </w:r>
      <w:r w:rsidRPr="001B4CA2">
        <w:rPr>
          <w:rFonts w:eastAsia="Arial"/>
          <w:snapToGrid w:val="0"/>
        </w:rPr>
        <w:t xml:space="preserve"> u postupku povodom žalbi vodi se posebna evidencija koja se uzima u obzir kod donošenja ocjene o radu državnih odvjetnika i zamjenika državnih odvjetnika. Također se na redovitim sastancima ukazuje na uočene nedostatke u radu te se po potrebi daju smjernice za poboljšanje rada u svim fazama </w:t>
      </w:r>
      <w:proofErr w:type="spellStart"/>
      <w:r w:rsidRPr="001B4CA2">
        <w:rPr>
          <w:rFonts w:eastAsia="Arial"/>
          <w:snapToGrid w:val="0"/>
        </w:rPr>
        <w:t>državnoodvjetničkog</w:t>
      </w:r>
      <w:proofErr w:type="spellEnd"/>
      <w:r w:rsidRPr="001B4CA2">
        <w:rPr>
          <w:rFonts w:eastAsia="Arial"/>
          <w:snapToGrid w:val="0"/>
        </w:rPr>
        <w:t xml:space="preserve"> postupanja.</w:t>
      </w:r>
    </w:p>
    <w:p w14:paraId="270810EE" w14:textId="77777777" w:rsidR="006E6CAE" w:rsidRPr="001B4CA2" w:rsidRDefault="006E6CAE" w:rsidP="006E6CAE">
      <w:pPr>
        <w:rPr>
          <w:rFonts w:eastAsia="Arial"/>
          <w:snapToGrid w:val="0"/>
        </w:rPr>
      </w:pPr>
    </w:p>
    <w:p w14:paraId="7B7E3B32" w14:textId="7318E5AA" w:rsidR="006E6CAE" w:rsidRPr="001B4CA2" w:rsidRDefault="006E6CAE" w:rsidP="006E6CAE">
      <w:pPr>
        <w:ind w:firstLine="708"/>
        <w:rPr>
          <w:rFonts w:eastAsia="Arial"/>
          <w:snapToGrid w:val="0"/>
        </w:rPr>
      </w:pPr>
      <w:r w:rsidRPr="001B4CA2">
        <w:rPr>
          <w:rFonts w:eastAsia="Arial"/>
          <w:snapToGrid w:val="0"/>
        </w:rPr>
        <w:t>Imajući u vidu brojnost drugostupanjskih predmeta osnovanih povodom redovitih pravnih lijekova protiv prvostupanjskih odluka sudova, pri čemu je tijekom izvještajne godine u državnim odvjetništvima bio u radu 9</w:t>
      </w:r>
      <w:r w:rsidR="00B01CC6">
        <w:rPr>
          <w:rFonts w:eastAsia="Arial"/>
          <w:snapToGrid w:val="0"/>
        </w:rPr>
        <w:t>.</w:t>
      </w:r>
      <w:r w:rsidRPr="001B4CA2">
        <w:rPr>
          <w:rFonts w:eastAsia="Arial"/>
          <w:snapToGrid w:val="0"/>
        </w:rPr>
        <w:t>591 takav predmet, razvidno je kako se radom na tim predmetima dobiva potpun uvid u sve segmente rada na pojedinom predmetu, a što doprinosi poboljšanju kvalitete i ujednačavanju postupanja nižih državnih odvjetništava.</w:t>
      </w:r>
    </w:p>
    <w:p w14:paraId="34D0B1CB" w14:textId="77777777" w:rsidR="008C73DD" w:rsidRPr="001B4CA2" w:rsidRDefault="008C73DD" w:rsidP="00584BBE"/>
    <w:p w14:paraId="2E157CA6" w14:textId="206E0B9E" w:rsidR="00BB4D48" w:rsidRPr="001B4CA2" w:rsidRDefault="00BB4D48" w:rsidP="00955E23">
      <w:pPr>
        <w:pStyle w:val="Naslov4"/>
        <w:tabs>
          <w:tab w:val="left" w:pos="1134"/>
        </w:tabs>
        <w:rPr>
          <w:rFonts w:ascii="Arial" w:hAnsi="Arial" w:cs="Arial"/>
        </w:rPr>
      </w:pPr>
      <w:bookmarkStart w:id="185" w:name="_Toc133394415"/>
      <w:r w:rsidRPr="001B4CA2">
        <w:rPr>
          <w:rFonts w:ascii="Arial" w:hAnsi="Arial" w:cs="Arial"/>
        </w:rPr>
        <w:t>Pregledi</w:t>
      </w:r>
      <w:r w:rsidR="006262C8" w:rsidRPr="001B4CA2">
        <w:rPr>
          <w:rFonts w:ascii="Arial" w:hAnsi="Arial" w:cs="Arial"/>
        </w:rPr>
        <w:t xml:space="preserve"> </w:t>
      </w:r>
      <w:r w:rsidRPr="001B4CA2">
        <w:rPr>
          <w:rFonts w:ascii="Arial" w:hAnsi="Arial" w:cs="Arial"/>
        </w:rPr>
        <w:t>rada</w:t>
      </w:r>
      <w:r w:rsidR="006262C8" w:rsidRPr="001B4CA2">
        <w:rPr>
          <w:rFonts w:ascii="Arial" w:hAnsi="Arial" w:cs="Arial"/>
        </w:rPr>
        <w:t xml:space="preserve"> </w:t>
      </w:r>
      <w:r w:rsidR="00CE234E" w:rsidRPr="001B4CA2">
        <w:rPr>
          <w:rFonts w:ascii="Arial" w:hAnsi="Arial" w:cs="Arial"/>
        </w:rPr>
        <w:t>n</w:t>
      </w:r>
      <w:r w:rsidR="00A60F77" w:rsidRPr="001B4CA2">
        <w:rPr>
          <w:rFonts w:ascii="Arial" w:hAnsi="Arial" w:cs="Arial"/>
        </w:rPr>
        <w:t>ižih</w:t>
      </w:r>
      <w:r w:rsidR="006262C8" w:rsidRPr="001B4CA2">
        <w:rPr>
          <w:rFonts w:ascii="Arial" w:hAnsi="Arial" w:cs="Arial"/>
        </w:rPr>
        <w:t xml:space="preserve"> </w:t>
      </w:r>
      <w:r w:rsidR="00A60F77" w:rsidRPr="001B4CA2">
        <w:rPr>
          <w:rFonts w:ascii="Arial" w:hAnsi="Arial" w:cs="Arial"/>
        </w:rPr>
        <w:t>državnih</w:t>
      </w:r>
      <w:r w:rsidR="006262C8" w:rsidRPr="001B4CA2">
        <w:rPr>
          <w:rFonts w:ascii="Arial" w:hAnsi="Arial" w:cs="Arial"/>
        </w:rPr>
        <w:t xml:space="preserve"> </w:t>
      </w:r>
      <w:r w:rsidR="00A60F77" w:rsidRPr="001B4CA2">
        <w:rPr>
          <w:rFonts w:ascii="Arial" w:hAnsi="Arial" w:cs="Arial"/>
        </w:rPr>
        <w:t>odvjetništava</w:t>
      </w:r>
      <w:bookmarkEnd w:id="185"/>
    </w:p>
    <w:p w14:paraId="54D4D74B" w14:textId="77777777" w:rsidR="00F7652F" w:rsidRPr="001B4CA2" w:rsidRDefault="00F7652F" w:rsidP="00584BBE">
      <w:pPr>
        <w:rPr>
          <w:bCs/>
          <w:lang w:eastAsia="hr-HR"/>
        </w:rPr>
      </w:pPr>
    </w:p>
    <w:p w14:paraId="6EE747D8" w14:textId="77777777" w:rsidR="006E6CAE" w:rsidRPr="001B4CA2" w:rsidRDefault="006E6CAE" w:rsidP="006E6CAE">
      <w:pPr>
        <w:ind w:firstLine="708"/>
        <w:rPr>
          <w:rFonts w:eastAsia="Arial"/>
          <w:bCs/>
          <w:lang w:eastAsia="hr-HR"/>
        </w:rPr>
      </w:pPr>
      <w:r w:rsidRPr="001B4CA2">
        <w:rPr>
          <w:rFonts w:eastAsia="Arial"/>
          <w:bCs/>
          <w:lang w:eastAsia="hr-HR"/>
        </w:rPr>
        <w:t>Državno odvjetništvo</w:t>
      </w:r>
      <w:r w:rsidRPr="001B4CA2">
        <w:rPr>
          <w:rFonts w:eastAsia="Arial"/>
          <w:b/>
          <w:bCs/>
          <w:lang w:eastAsia="hr-HR"/>
        </w:rPr>
        <w:t xml:space="preserve"> </w:t>
      </w:r>
      <w:r w:rsidRPr="001B4CA2">
        <w:rPr>
          <w:rFonts w:eastAsia="Arial"/>
          <w:bCs/>
          <w:lang w:eastAsia="hr-HR"/>
        </w:rPr>
        <w:t xml:space="preserve">Republike Hrvatske, s obzirom na zakonom propisanu subordinaciju, obavlja pregled rada županijskih državnih odvjetništava i Ureda za suzbijanje korupcije i organiziranog kriminaliteta, a ako ocijeni potrebnim, i rada pojedinog općinskog državnog odvjetništva. </w:t>
      </w:r>
    </w:p>
    <w:p w14:paraId="39BC25B3" w14:textId="77777777" w:rsidR="006E6CAE" w:rsidRPr="001B4CA2" w:rsidRDefault="006E6CAE" w:rsidP="006E6CAE">
      <w:pPr>
        <w:ind w:firstLine="708"/>
        <w:rPr>
          <w:rFonts w:eastAsia="Arial"/>
          <w:bCs/>
          <w:lang w:eastAsia="hr-HR"/>
        </w:rPr>
      </w:pPr>
    </w:p>
    <w:p w14:paraId="01FF242A" w14:textId="77777777" w:rsidR="006E6CAE" w:rsidRPr="001B4CA2" w:rsidRDefault="006E6CAE" w:rsidP="006E6CAE">
      <w:pPr>
        <w:ind w:firstLine="708"/>
        <w:rPr>
          <w:rFonts w:eastAsia="Arial"/>
          <w:bCs/>
          <w:lang w:eastAsia="hr-HR"/>
        </w:rPr>
      </w:pPr>
      <w:r w:rsidRPr="001B4CA2">
        <w:rPr>
          <w:rFonts w:eastAsia="Arial"/>
          <w:bCs/>
          <w:lang w:eastAsia="hr-HR"/>
        </w:rPr>
        <w:t>Županijska državna odvjetništva obavljaju pregled cjelokupnog rada općinskih državnih odvjetništava na svom području barem jednom u dvije godine, a po potrebi i djelomične preglede rada.</w:t>
      </w:r>
    </w:p>
    <w:p w14:paraId="341B1475" w14:textId="77777777" w:rsidR="006E6CAE" w:rsidRPr="001B4CA2" w:rsidRDefault="006E6CAE" w:rsidP="006E6CAE">
      <w:pPr>
        <w:rPr>
          <w:rFonts w:eastAsia="Arial"/>
          <w:bCs/>
          <w:lang w:eastAsia="hr-HR"/>
        </w:rPr>
      </w:pPr>
    </w:p>
    <w:p w14:paraId="0DECA500" w14:textId="1D2B7576" w:rsidR="006E6CAE" w:rsidRPr="001B4CA2" w:rsidRDefault="006E6CAE" w:rsidP="006E6CAE">
      <w:pPr>
        <w:ind w:firstLine="708"/>
        <w:rPr>
          <w:rFonts w:eastAsia="Arial"/>
          <w:bCs/>
          <w:lang w:eastAsia="hr-HR"/>
        </w:rPr>
      </w:pPr>
      <w:r w:rsidRPr="001B4CA2">
        <w:rPr>
          <w:rFonts w:eastAsia="Arial"/>
          <w:bCs/>
          <w:lang w:eastAsia="hr-HR"/>
        </w:rPr>
        <w:t xml:space="preserve">Svrha </w:t>
      </w:r>
      <w:r w:rsidR="00B01CC6" w:rsidRPr="001B4CA2">
        <w:rPr>
          <w:rFonts w:eastAsia="Arial"/>
          <w:bCs/>
          <w:lang w:eastAsia="hr-HR"/>
        </w:rPr>
        <w:t xml:space="preserve">je </w:t>
      </w:r>
      <w:r w:rsidRPr="001B4CA2">
        <w:rPr>
          <w:rFonts w:eastAsia="Arial"/>
          <w:bCs/>
          <w:lang w:eastAsia="hr-HR"/>
        </w:rPr>
        <w:t>i cilj ovih pregleda da državno odvjetništvo koje je obavilo pregled upozori niže državno odvjetništvo na nezakonitosti i nepravilnosti koje su uočene u postupanju, a koje je ono dužno otkloniti te da ujednači postupanje unutar državnih odvjetništava.</w:t>
      </w:r>
    </w:p>
    <w:p w14:paraId="4A82A8F9" w14:textId="77777777" w:rsidR="006E6CAE" w:rsidRPr="001B4CA2" w:rsidRDefault="006E6CAE" w:rsidP="006E6CAE">
      <w:pPr>
        <w:rPr>
          <w:rFonts w:eastAsia="Arial"/>
          <w:bCs/>
          <w:lang w:eastAsia="hr-HR"/>
        </w:rPr>
      </w:pPr>
    </w:p>
    <w:p w14:paraId="1199263C" w14:textId="77777777" w:rsidR="006E6CAE" w:rsidRPr="001B4CA2" w:rsidRDefault="006E6CAE" w:rsidP="006E6CAE">
      <w:pPr>
        <w:ind w:firstLine="708"/>
        <w:rPr>
          <w:rFonts w:eastAsia="Arial"/>
          <w:bCs/>
          <w:lang w:eastAsia="hr-HR"/>
        </w:rPr>
      </w:pPr>
      <w:r w:rsidRPr="001B4CA2">
        <w:rPr>
          <w:rFonts w:eastAsia="Arial"/>
          <w:bCs/>
          <w:lang w:eastAsia="hr-HR"/>
        </w:rPr>
        <w:t xml:space="preserve">Pregled rada obuhvaća rad kaznenih i građansko-upravnih odjela određenog državnog odvjetništva, </w:t>
      </w:r>
      <w:proofErr w:type="spellStart"/>
      <w:r w:rsidRPr="001B4CA2">
        <w:rPr>
          <w:rFonts w:eastAsia="Arial"/>
          <w:bCs/>
          <w:lang w:eastAsia="hr-HR"/>
        </w:rPr>
        <w:t>državnoodvjetničke</w:t>
      </w:r>
      <w:proofErr w:type="spellEnd"/>
      <w:r w:rsidRPr="001B4CA2">
        <w:rPr>
          <w:rFonts w:eastAsia="Arial"/>
          <w:bCs/>
          <w:lang w:eastAsia="hr-HR"/>
        </w:rPr>
        <w:t xml:space="preserve"> uprave te rad pisarnice.</w:t>
      </w:r>
    </w:p>
    <w:p w14:paraId="3B5C941A" w14:textId="77777777" w:rsidR="006E6CAE" w:rsidRPr="001B4CA2" w:rsidRDefault="006E6CAE" w:rsidP="006E6CAE">
      <w:pPr>
        <w:ind w:firstLine="708"/>
        <w:rPr>
          <w:rFonts w:eastAsia="Arial"/>
          <w:bCs/>
          <w:lang w:eastAsia="hr-HR"/>
        </w:rPr>
      </w:pPr>
    </w:p>
    <w:p w14:paraId="69AA8E26" w14:textId="74CBE96D" w:rsidR="006E6CAE" w:rsidRPr="001B4CA2" w:rsidRDefault="006E6CAE" w:rsidP="006E6CAE">
      <w:pPr>
        <w:pStyle w:val="Bezproreda"/>
        <w:ind w:firstLine="708"/>
      </w:pPr>
      <w:r w:rsidRPr="001B4CA2">
        <w:rPr>
          <w:rFonts w:eastAsia="Arial"/>
          <w:bCs/>
          <w:lang w:eastAsia="hr-HR"/>
        </w:rPr>
        <w:t xml:space="preserve">Tijekom 2022. godine temeljem Odluke Glavne državne odvjetnice Republike Hrvatske broj </w:t>
      </w:r>
      <w:r w:rsidRPr="001B4CA2">
        <w:rPr>
          <w:rFonts w:eastAsia="Times New Roman"/>
          <w:snapToGrid w:val="0"/>
        </w:rPr>
        <w:t>OGR-89/2021</w:t>
      </w:r>
      <w:r w:rsidRPr="001B4CA2">
        <w:t xml:space="preserve"> obavljen je djelomič</w:t>
      </w:r>
      <w:r w:rsidR="00B01CC6">
        <w:t>a</w:t>
      </w:r>
      <w:r w:rsidRPr="001B4CA2">
        <w:t>n pregled rada Županijskog državnog odvjetništva u Zagrebu i Općinskog državnog odvjetništva u Zagrebu</w:t>
      </w:r>
      <w:r w:rsidR="00B01CC6">
        <w:t>,</w:t>
      </w:r>
      <w:r w:rsidRPr="001B4CA2">
        <w:t xml:space="preserve"> i to pregled rada građansko-upravnih odjela, a temeljem Odluke broj </w:t>
      </w:r>
      <w:r w:rsidRPr="001B4CA2">
        <w:rPr>
          <w:rFonts w:eastAsia="Times New Roman"/>
          <w:snapToGrid w:val="0"/>
        </w:rPr>
        <w:t>OGR-97/2021</w:t>
      </w:r>
      <w:r w:rsidRPr="001B4CA2">
        <w:t xml:space="preserve"> obavljen je djelomič</w:t>
      </w:r>
      <w:r w:rsidR="00B01CC6">
        <w:t>a</w:t>
      </w:r>
      <w:r w:rsidRPr="001B4CA2">
        <w:t xml:space="preserve">n pregled rada Ureda za suzbijanje korupcije i organiziranog </w:t>
      </w:r>
      <w:r w:rsidRPr="001B4CA2">
        <w:lastRenderedPageBreak/>
        <w:t>kriminaliteta</w:t>
      </w:r>
      <w:r w:rsidR="00B01CC6">
        <w:t>,</w:t>
      </w:r>
      <w:r w:rsidRPr="001B4CA2">
        <w:t xml:space="preserve"> i to pregled rada poslova i predmeta </w:t>
      </w:r>
      <w:proofErr w:type="spellStart"/>
      <w:r w:rsidRPr="001B4CA2">
        <w:t>državnoodvjetničke</w:t>
      </w:r>
      <w:proofErr w:type="spellEnd"/>
      <w:r w:rsidRPr="001B4CA2">
        <w:t xml:space="preserve"> uprave i rada pisarnice. </w:t>
      </w:r>
    </w:p>
    <w:p w14:paraId="4F1C2670" w14:textId="77777777" w:rsidR="006E6CAE" w:rsidRPr="001B4CA2" w:rsidRDefault="006E6CAE" w:rsidP="006E6CAE">
      <w:pPr>
        <w:pStyle w:val="Bezproreda"/>
        <w:ind w:firstLine="708"/>
      </w:pPr>
    </w:p>
    <w:p w14:paraId="05FB8057" w14:textId="05BC101D" w:rsidR="006E6CAE" w:rsidRPr="001B4CA2" w:rsidRDefault="006E6CAE" w:rsidP="006E6CAE">
      <w:pPr>
        <w:pStyle w:val="Bezproreda"/>
        <w:ind w:firstLine="708"/>
      </w:pPr>
      <w:r w:rsidRPr="001B4CA2">
        <w:t>Povodom Zaključaka sjednice Proširenog kolegija održane 8. rujna 2022. u Državnom odvjetništvu Republike Hrvatske županijska državna odvjetništva izvršila su pregled rada općinskih državnih odvjetništava u predmetima</w:t>
      </w:r>
      <w:r w:rsidR="00FD08E9">
        <w:t xml:space="preserve"> </w:t>
      </w:r>
      <w:r w:rsidRPr="001B4CA2">
        <w:t xml:space="preserve">protiv počinitelja kaznenih djela nasilja u obitelji iz čl. 179. a Kaznenog zakona/11 počinjenog kao samostalno kazneno djelo ili u stjecaju s nekim od kaznenih djela protiv života i tijela </w:t>
      </w:r>
      <w:r w:rsidR="00B01CC6">
        <w:t>te</w:t>
      </w:r>
      <w:r w:rsidRPr="001B4CA2">
        <w:t xml:space="preserve"> protiv osobne slobode za razdoblje od 1. siječnja 2020. zaključno do 31. kolovoza 2022.</w:t>
      </w:r>
    </w:p>
    <w:p w14:paraId="1C77416E" w14:textId="77777777" w:rsidR="006E6CAE" w:rsidRPr="001B4CA2" w:rsidRDefault="006E6CAE" w:rsidP="006E6CAE">
      <w:pPr>
        <w:pStyle w:val="Bezproreda"/>
        <w:ind w:firstLine="708"/>
      </w:pPr>
    </w:p>
    <w:p w14:paraId="2615D8CD" w14:textId="77777777" w:rsidR="006E6CAE" w:rsidRPr="001B4CA2" w:rsidRDefault="006E6CAE" w:rsidP="006E6CAE">
      <w:pPr>
        <w:pStyle w:val="Bezproreda"/>
        <w:ind w:firstLine="708"/>
      </w:pPr>
      <w:r w:rsidRPr="001B4CA2">
        <w:t xml:space="preserve">Djelomične preglede rada općinskih državnih odvjetništava obavilo je Županijsko državno odvjetništvo u Bjelovaru, Županijsko državno odvjetništvo u Karlovcu, Županijsko državno odvjetništvo u Rijeci i Županijsko državno odvjetništvo u Vukovaru. </w:t>
      </w:r>
    </w:p>
    <w:p w14:paraId="2F2B0106" w14:textId="77777777" w:rsidR="006E6CAE" w:rsidRPr="001B4CA2" w:rsidRDefault="006E6CAE" w:rsidP="006E6CAE">
      <w:pPr>
        <w:pStyle w:val="Bezproreda"/>
        <w:ind w:firstLine="708"/>
      </w:pPr>
    </w:p>
    <w:p w14:paraId="1FD300C6" w14:textId="77777777" w:rsidR="006E6CAE" w:rsidRPr="001B4CA2" w:rsidRDefault="006E6CAE" w:rsidP="006E6CAE">
      <w:pPr>
        <w:ind w:firstLine="708"/>
        <w:rPr>
          <w:rFonts w:eastAsia="Arial"/>
          <w:bCs/>
          <w:lang w:eastAsia="hr-HR"/>
        </w:rPr>
      </w:pPr>
      <w:r w:rsidRPr="001B4CA2">
        <w:rPr>
          <w:rFonts w:eastAsia="Arial"/>
          <w:bCs/>
          <w:lang w:eastAsia="hr-HR"/>
        </w:rPr>
        <w:t>Osim ove vrste pregleda redovito se provode pregledi rada državnih odvjetnika, zamjenika državnog odvjetnika i savjetnika u situacijama kada se prijave na oglas za premještaj ili imenovanje na mjesto državnog odvjetnika ili zamjenika, a pregledava se rad u razdoblju od dvije godine koje prethodi prijavi na oglas za imenovanje ili premještaj.</w:t>
      </w:r>
    </w:p>
    <w:p w14:paraId="7CD16B3E" w14:textId="77777777" w:rsidR="006E6CAE" w:rsidRPr="001B4CA2" w:rsidRDefault="006E6CAE" w:rsidP="006E6CAE">
      <w:pPr>
        <w:ind w:firstLine="708"/>
        <w:rPr>
          <w:rFonts w:eastAsia="Arial"/>
          <w:bCs/>
          <w:lang w:eastAsia="hr-HR"/>
        </w:rPr>
      </w:pPr>
    </w:p>
    <w:p w14:paraId="090C1606" w14:textId="142E6112" w:rsidR="006E6CAE" w:rsidRPr="001B4CA2" w:rsidRDefault="006E6CAE" w:rsidP="006E6CAE">
      <w:pPr>
        <w:ind w:firstLine="708"/>
        <w:rPr>
          <w:rFonts w:eastAsia="Arial"/>
          <w:bCs/>
          <w:lang w:eastAsia="hr-HR"/>
        </w:rPr>
      </w:pPr>
      <w:r w:rsidRPr="001B4CA2">
        <w:rPr>
          <w:rFonts w:eastAsia="Arial"/>
          <w:bCs/>
          <w:lang w:eastAsia="hr-HR"/>
        </w:rPr>
        <w:t>Osim pregleda rada koj</w:t>
      </w:r>
      <w:r w:rsidR="00B01CC6">
        <w:rPr>
          <w:rFonts w:eastAsia="Arial"/>
          <w:bCs/>
          <w:lang w:eastAsia="hr-HR"/>
        </w:rPr>
        <w:t>e</w:t>
      </w:r>
      <w:r w:rsidRPr="001B4CA2">
        <w:rPr>
          <w:rFonts w:eastAsia="Arial"/>
          <w:bCs/>
          <w:lang w:eastAsia="hr-HR"/>
        </w:rPr>
        <w:t xml:space="preserve"> provode državna odvjetništva sukladno Zakonu o državnom odvjetništvu i Poslovniku državnog odvjetništva nove mogućnosti nadzora rada državnih odvjetništava i rada zamjenika </w:t>
      </w:r>
      <w:r w:rsidR="002B2A50">
        <w:rPr>
          <w:rFonts w:eastAsia="Arial"/>
          <w:bCs/>
          <w:lang w:eastAsia="hr-HR"/>
        </w:rPr>
        <w:t>te</w:t>
      </w:r>
      <w:r w:rsidRPr="001B4CA2">
        <w:rPr>
          <w:rFonts w:eastAsia="Arial"/>
          <w:bCs/>
          <w:lang w:eastAsia="hr-HR"/>
        </w:rPr>
        <w:t xml:space="preserve"> savjetnika daje CTS sustav koji je upravo u tom smjeru nadograđen tijekom 2022. godine.</w:t>
      </w:r>
    </w:p>
    <w:p w14:paraId="2FB59842" w14:textId="77777777" w:rsidR="006E6CAE" w:rsidRPr="001B4CA2" w:rsidRDefault="006E6CAE" w:rsidP="006E6CAE">
      <w:pPr>
        <w:ind w:firstLine="708"/>
        <w:rPr>
          <w:rFonts w:eastAsia="Arial"/>
          <w:bCs/>
          <w:lang w:eastAsia="hr-HR"/>
        </w:rPr>
      </w:pPr>
    </w:p>
    <w:p w14:paraId="649ED8AB" w14:textId="524EA8C9" w:rsidR="006E6CAE" w:rsidRPr="001B4CA2" w:rsidRDefault="006E6CAE" w:rsidP="006E6CAE">
      <w:pPr>
        <w:pStyle w:val="Tekstualnidio"/>
        <w:ind w:firstLine="360"/>
      </w:pPr>
      <w:r w:rsidRPr="001B4CA2">
        <w:t>CTS sustav</w:t>
      </w:r>
      <w:r w:rsidR="00FD08E9">
        <w:t xml:space="preserve"> </w:t>
      </w:r>
      <w:r w:rsidRPr="001B4CA2">
        <w:t xml:space="preserve">omogućuje neposredan uvid u rad pojedinog državnog odvjetništva i svakog </w:t>
      </w:r>
      <w:proofErr w:type="spellStart"/>
      <w:r w:rsidRPr="001B4CA2">
        <w:t>rješavatelja</w:t>
      </w:r>
      <w:proofErr w:type="spellEnd"/>
      <w:r w:rsidRPr="001B4CA2">
        <w:t xml:space="preserve"> te daje mogućnost praćenja opterećenosti, ažurnosti, uspješnosti, kvalitete odluka i podnesaka i slično.</w:t>
      </w:r>
    </w:p>
    <w:p w14:paraId="3CEAF6E8" w14:textId="77777777" w:rsidR="006E6CAE" w:rsidRPr="001B4CA2" w:rsidRDefault="006E6CAE" w:rsidP="006E6CAE">
      <w:pPr>
        <w:pStyle w:val="Tekstualnidio"/>
        <w:ind w:firstLine="360"/>
      </w:pPr>
      <w:r w:rsidRPr="001B4CA2">
        <w:t xml:space="preserve"> </w:t>
      </w:r>
    </w:p>
    <w:p w14:paraId="1D0EF382" w14:textId="0096DC9B" w:rsidR="006E6CAE" w:rsidRPr="001B4CA2" w:rsidRDefault="006E6CAE" w:rsidP="006E6CAE">
      <w:pPr>
        <w:pStyle w:val="Tekstualnidio"/>
        <w:ind w:firstLine="360"/>
        <w:rPr>
          <w:color w:val="000000" w:themeColor="text1"/>
        </w:rPr>
      </w:pPr>
      <w:r w:rsidRPr="001B4CA2">
        <w:t>Također CTS sustav daje prikaz podataka o ispunjenju okvirnih mjerila i uspješnosti u prvostupanjskom i žalbenom postupku, koji po</w:t>
      </w:r>
      <w:r w:rsidR="00FD08E9">
        <w:t>datci</w:t>
      </w:r>
      <w:r w:rsidRPr="001B4CA2">
        <w:t xml:space="preserve"> su relevantni za ocjenjivanje državnih odvjetnika i omogućuju kvalitetno praćenje rada pojedinog </w:t>
      </w:r>
      <w:proofErr w:type="spellStart"/>
      <w:r w:rsidRPr="001B4CA2">
        <w:rPr>
          <w:color w:val="000000" w:themeColor="text1"/>
        </w:rPr>
        <w:t>rješavatelja</w:t>
      </w:r>
      <w:proofErr w:type="spellEnd"/>
      <w:r w:rsidR="002B2A50">
        <w:rPr>
          <w:color w:val="000000" w:themeColor="text1"/>
        </w:rPr>
        <w:t xml:space="preserve">, ali </w:t>
      </w:r>
      <w:r w:rsidRPr="001B4CA2">
        <w:rPr>
          <w:color w:val="000000" w:themeColor="text1"/>
        </w:rPr>
        <w:t>i državnih odvjetništava.</w:t>
      </w:r>
    </w:p>
    <w:p w14:paraId="1F292D86" w14:textId="77777777" w:rsidR="008C73DD" w:rsidRPr="001B4CA2" w:rsidRDefault="008C73DD" w:rsidP="006262C8"/>
    <w:p w14:paraId="095BBEE1" w14:textId="77777777" w:rsidR="00BB4D48" w:rsidRPr="001B4CA2" w:rsidRDefault="00A60F77" w:rsidP="00955E23">
      <w:pPr>
        <w:pStyle w:val="Naslov4"/>
        <w:tabs>
          <w:tab w:val="left" w:pos="1134"/>
        </w:tabs>
        <w:rPr>
          <w:rFonts w:ascii="Arial" w:hAnsi="Arial" w:cs="Arial"/>
        </w:rPr>
      </w:pPr>
      <w:bookmarkStart w:id="186" w:name="_Toc133394416"/>
      <w:r w:rsidRPr="001B4CA2">
        <w:rPr>
          <w:rFonts w:ascii="Arial" w:hAnsi="Arial" w:cs="Arial"/>
        </w:rPr>
        <w:t>Predstavke i pritužbe</w:t>
      </w:r>
      <w:bookmarkEnd w:id="186"/>
    </w:p>
    <w:p w14:paraId="738C6C5B" w14:textId="77777777" w:rsidR="00584BBE" w:rsidRPr="001B4CA2" w:rsidRDefault="00584BBE" w:rsidP="00584BBE"/>
    <w:p w14:paraId="32F7E284" w14:textId="6EF4B071" w:rsidR="006E6CAE" w:rsidRPr="001B4CA2" w:rsidRDefault="006E6CAE" w:rsidP="006E6CAE">
      <w:pPr>
        <w:ind w:firstLine="708"/>
        <w:rPr>
          <w:rFonts w:eastAsia="Arial"/>
        </w:rPr>
      </w:pPr>
      <w:r w:rsidRPr="001B4CA2">
        <w:rPr>
          <w:rFonts w:eastAsia="Arial"/>
        </w:rPr>
        <w:t>Jedan od oblika provođenja nadzora nad radom nižih državnih odvjetništava je</w:t>
      </w:r>
      <w:r w:rsidR="002B2A50">
        <w:rPr>
          <w:rFonts w:eastAsia="Arial"/>
        </w:rPr>
        <w:t>st i</w:t>
      </w:r>
      <w:r w:rsidRPr="001B4CA2">
        <w:rPr>
          <w:rFonts w:eastAsia="Arial"/>
        </w:rPr>
        <w:t xml:space="preserve"> nadzor koji se provodi kroz rad na predmetima predstavki i pritužbi građana. </w:t>
      </w:r>
    </w:p>
    <w:p w14:paraId="6AB9A802" w14:textId="77777777" w:rsidR="006E6CAE" w:rsidRPr="001B4CA2" w:rsidRDefault="006E6CAE" w:rsidP="006E6CAE">
      <w:pPr>
        <w:ind w:firstLine="708"/>
        <w:rPr>
          <w:rFonts w:eastAsia="Arial"/>
        </w:rPr>
      </w:pPr>
    </w:p>
    <w:p w14:paraId="6F6F4E8F" w14:textId="78973ED1" w:rsidR="006E6CAE" w:rsidRPr="001B4CA2" w:rsidRDefault="006E6CAE" w:rsidP="006E6CAE">
      <w:pPr>
        <w:ind w:firstLine="708"/>
        <w:rPr>
          <w:rFonts w:eastAsia="Arial"/>
        </w:rPr>
      </w:pPr>
      <w:r w:rsidRPr="001B4CA2">
        <w:rPr>
          <w:rFonts w:eastAsia="Arial"/>
        </w:rPr>
        <w:t>U najvećem su broju slučajeva podnositelji predstavki i pritužbi podnositelji kaznenih prijava, zatim žrtve i oštećenici, okrivljenici te drugi građani nezadovoljni tijekom ili ishodom kaznenog postupka.</w:t>
      </w:r>
    </w:p>
    <w:p w14:paraId="1C25AB21" w14:textId="77777777" w:rsidR="006E6CAE" w:rsidRPr="001B4CA2" w:rsidRDefault="006E6CAE" w:rsidP="006E6CAE">
      <w:pPr>
        <w:rPr>
          <w:rFonts w:eastAsia="Arial"/>
        </w:rPr>
      </w:pPr>
    </w:p>
    <w:p w14:paraId="0D8A12E3" w14:textId="78D4D103" w:rsidR="006E6CAE" w:rsidRPr="001B4CA2" w:rsidRDefault="006E6CAE" w:rsidP="00604064">
      <w:pPr>
        <w:ind w:firstLine="708"/>
        <w:rPr>
          <w:rFonts w:eastAsia="Arial"/>
        </w:rPr>
      </w:pPr>
      <w:r w:rsidRPr="001B4CA2">
        <w:rPr>
          <w:rFonts w:eastAsia="Arial"/>
        </w:rPr>
        <w:t>Najveći broj podnesenih prituž</w:t>
      </w:r>
      <w:r w:rsidR="002B2A50">
        <w:rPr>
          <w:rFonts w:eastAsia="Arial"/>
        </w:rPr>
        <w:t>a</w:t>
      </w:r>
      <w:r w:rsidRPr="001B4CA2">
        <w:rPr>
          <w:rFonts w:eastAsia="Arial"/>
        </w:rPr>
        <w:t>b</w:t>
      </w:r>
      <w:r w:rsidR="002B2A50">
        <w:rPr>
          <w:rFonts w:eastAsia="Arial"/>
        </w:rPr>
        <w:t>a</w:t>
      </w:r>
      <w:r w:rsidRPr="001B4CA2">
        <w:rPr>
          <w:rFonts w:eastAsia="Arial"/>
        </w:rPr>
        <w:t xml:space="preserve"> odnosi se na rad u kaznenim predmetima, a što je i razumljivo budući da je Zakonom o kaznenom postupku propisano pravo sudionika u postupku na podnošenje pritužbe višem državnom odvjetništvu, i to u različitim fazama postupka, dok se samo iznimno stranke pritužuju na postupanje u predmetima građansko</w:t>
      </w:r>
      <w:r w:rsidR="002B2A50">
        <w:rPr>
          <w:rFonts w:eastAsia="Arial"/>
        </w:rPr>
        <w:t>-</w:t>
      </w:r>
      <w:r w:rsidRPr="001B4CA2">
        <w:rPr>
          <w:rFonts w:eastAsia="Arial"/>
        </w:rPr>
        <w:t>upravnog odjela.</w:t>
      </w:r>
    </w:p>
    <w:p w14:paraId="05034E88" w14:textId="6DAF5161" w:rsidR="006E6CAE" w:rsidRPr="001B4CA2" w:rsidRDefault="006E6CAE" w:rsidP="006E6CAE">
      <w:pPr>
        <w:ind w:firstLine="708"/>
        <w:rPr>
          <w:rFonts w:eastAsia="Arial"/>
        </w:rPr>
      </w:pPr>
      <w:r w:rsidRPr="001B4CA2">
        <w:rPr>
          <w:rFonts w:eastAsia="Arial"/>
        </w:rPr>
        <w:lastRenderedPageBreak/>
        <w:t>Najčešći razlog podnošenja prituž</w:t>
      </w:r>
      <w:r w:rsidR="002B2A50">
        <w:rPr>
          <w:rFonts w:eastAsia="Arial"/>
        </w:rPr>
        <w:t>a</w:t>
      </w:r>
      <w:r w:rsidRPr="001B4CA2">
        <w:rPr>
          <w:rFonts w:eastAsia="Arial"/>
        </w:rPr>
        <w:t>b</w:t>
      </w:r>
      <w:r w:rsidR="002B2A50">
        <w:rPr>
          <w:rFonts w:eastAsia="Arial"/>
        </w:rPr>
        <w:t>a</w:t>
      </w:r>
      <w:r w:rsidRPr="001B4CA2">
        <w:rPr>
          <w:rFonts w:eastAsia="Arial"/>
        </w:rPr>
        <w:t xml:space="preserve"> </w:t>
      </w:r>
      <w:r w:rsidR="002B2A50" w:rsidRPr="001B4CA2">
        <w:rPr>
          <w:rFonts w:eastAsia="Arial"/>
        </w:rPr>
        <w:t>je</w:t>
      </w:r>
      <w:r w:rsidR="002B2A50">
        <w:rPr>
          <w:rFonts w:eastAsia="Arial"/>
        </w:rPr>
        <w:t>st</w:t>
      </w:r>
      <w:r w:rsidR="002B2A50" w:rsidRPr="001B4CA2">
        <w:rPr>
          <w:rFonts w:eastAsia="Arial"/>
        </w:rPr>
        <w:t xml:space="preserve"> </w:t>
      </w:r>
      <w:r w:rsidRPr="001B4CA2">
        <w:rPr>
          <w:rFonts w:eastAsia="Arial"/>
        </w:rPr>
        <w:t xml:space="preserve">nezadovoljstvo rješenjima o odbačaju kaznene prijave. Iako su u rješenju, kao meritornoj </w:t>
      </w:r>
      <w:proofErr w:type="spellStart"/>
      <w:r w:rsidRPr="001B4CA2">
        <w:rPr>
          <w:rFonts w:eastAsia="Arial"/>
        </w:rPr>
        <w:t>državnoodvjetničkoj</w:t>
      </w:r>
      <w:proofErr w:type="spellEnd"/>
      <w:r w:rsidRPr="001B4CA2">
        <w:rPr>
          <w:rFonts w:eastAsia="Arial"/>
        </w:rPr>
        <w:t xml:space="preserve"> odluci, žrtve i oštećenici poučeni o svom zakonskom pravu na preuzimanje kaznenog progona, kao i radnjama koje su radi preuzimanja progona ovlašteni poduzeti pred nadležnim sudom, ipak se u najvećem broju slučajeva ne koriste pravom na sudsko preispitivanje zakonitosti i valjanosti donesenog rješenja, nego pribjegavaju podnošenju pritužbi na rad, a kojima nastoje ishoditi drugačiju odluku i pri čemu nisu vezani nikakvim rokovima (za razliku od izjave za preuzimanje progona pred sudom). Najveći dio ovih pritužaba nakon provedenog nadzora rada ocijenjen je neosnovanim.</w:t>
      </w:r>
    </w:p>
    <w:p w14:paraId="6AE8767E" w14:textId="77777777" w:rsidR="006E6CAE" w:rsidRPr="001B4CA2" w:rsidRDefault="006E6CAE" w:rsidP="006E6CAE">
      <w:pPr>
        <w:rPr>
          <w:rFonts w:eastAsia="Arial"/>
        </w:rPr>
      </w:pPr>
    </w:p>
    <w:p w14:paraId="7316BDBA" w14:textId="79D1DF0F" w:rsidR="006E6CAE" w:rsidRPr="001B4CA2" w:rsidRDefault="006E6CAE" w:rsidP="006E6CAE">
      <w:pPr>
        <w:suppressAutoHyphens/>
        <w:ind w:right="-1" w:firstLine="1134"/>
        <w:rPr>
          <w:rFonts w:eastAsia="Calibri"/>
          <w:spacing w:val="-3"/>
        </w:rPr>
      </w:pPr>
      <w:r w:rsidRPr="001B4CA2">
        <w:rPr>
          <w:rFonts w:eastAsia="Calibri"/>
          <w:spacing w:val="-3"/>
        </w:rPr>
        <w:t>Nadalje,</w:t>
      </w:r>
      <w:r w:rsidR="00FD08E9">
        <w:rPr>
          <w:rFonts w:eastAsia="Calibri"/>
          <w:spacing w:val="-3"/>
        </w:rPr>
        <w:t xml:space="preserve"> </w:t>
      </w:r>
      <w:r w:rsidRPr="001B4CA2">
        <w:rPr>
          <w:rFonts w:eastAsia="Calibri"/>
          <w:spacing w:val="-3"/>
        </w:rPr>
        <w:t>podnositelji u pritužbama iznose više razloga zbog kojih izražavaju nezadovoljstvo postupanjem državnog odvjetnika, i to uglavnom zbog toga što smatraju da odluka nije donesena u roku, da se postupanje u predmetu odugovlači, a uz to da nisu niti obav</w:t>
      </w:r>
      <w:r w:rsidR="002B2A50">
        <w:rPr>
          <w:rFonts w:eastAsia="Calibri"/>
          <w:spacing w:val="-3"/>
        </w:rPr>
        <w:t>i</w:t>
      </w:r>
      <w:r w:rsidRPr="001B4CA2">
        <w:rPr>
          <w:rFonts w:eastAsia="Calibri"/>
          <w:spacing w:val="-3"/>
        </w:rPr>
        <w:t>ješteni o postupanju državnog odvjetnika.</w:t>
      </w:r>
    </w:p>
    <w:p w14:paraId="4A796F72" w14:textId="77777777" w:rsidR="006E6CAE" w:rsidRPr="001B4CA2" w:rsidRDefault="006E6CAE" w:rsidP="006E6CAE">
      <w:pPr>
        <w:suppressAutoHyphens/>
        <w:ind w:right="-1" w:firstLine="1134"/>
        <w:rPr>
          <w:rFonts w:eastAsia="Calibri"/>
          <w:spacing w:val="-3"/>
        </w:rPr>
      </w:pPr>
    </w:p>
    <w:p w14:paraId="2FB55164" w14:textId="77777777" w:rsidR="006E6CAE" w:rsidRPr="001B4CA2" w:rsidRDefault="006E6CAE" w:rsidP="006E6CAE">
      <w:pPr>
        <w:ind w:firstLine="708"/>
        <w:rPr>
          <w:rFonts w:eastAsia="Arial"/>
        </w:rPr>
      </w:pPr>
      <w:r w:rsidRPr="001B4CA2">
        <w:rPr>
          <w:rFonts w:eastAsia="Arial"/>
        </w:rPr>
        <w:t xml:space="preserve">U predmetima u kojima su pritužbe zbog odugovlačenja ocijenjene osnovanima, dani su nalozi za poduzimanje potrebnih radnji te su određeni rokovi za donošenje meritorne </w:t>
      </w:r>
      <w:proofErr w:type="spellStart"/>
      <w:r w:rsidRPr="001B4CA2">
        <w:rPr>
          <w:rFonts w:eastAsia="Arial"/>
        </w:rPr>
        <w:t>državnoodvjetničke</w:t>
      </w:r>
      <w:proofErr w:type="spellEnd"/>
      <w:r w:rsidRPr="001B4CA2">
        <w:rPr>
          <w:rFonts w:eastAsia="Arial"/>
        </w:rPr>
        <w:t xml:space="preserve"> odluke. Pritužbe podnesene zbog izostanka obavijesti o poduzetim radnjama u najvećem su broju ocijenjene neosnovanima iz razloga što obavijest traže ili osobe koje na to nemaju zakonsko pravo ili stranka pogrešno drži da obavijest treba dobiti automatski bez pisanog zahtjeva i nevezano za bilo kakve rokove.</w:t>
      </w:r>
    </w:p>
    <w:p w14:paraId="5A002F29" w14:textId="77777777" w:rsidR="006E6CAE" w:rsidRPr="001B4CA2" w:rsidRDefault="006E6CAE" w:rsidP="006E6CAE">
      <w:pPr>
        <w:ind w:firstLine="708"/>
        <w:rPr>
          <w:rFonts w:eastAsia="Arial"/>
        </w:rPr>
      </w:pPr>
    </w:p>
    <w:p w14:paraId="541E1CD2" w14:textId="4A19F757" w:rsidR="006E6CAE" w:rsidRPr="001B4CA2" w:rsidRDefault="006E6CAE" w:rsidP="006E6CAE">
      <w:pPr>
        <w:ind w:firstLine="708"/>
        <w:rPr>
          <w:rFonts w:eastAsia="Times New Roman"/>
          <w:lang w:eastAsia="hr-HR"/>
        </w:rPr>
      </w:pPr>
      <w:r w:rsidRPr="001B4CA2">
        <w:rPr>
          <w:rFonts w:eastAsia="Arial"/>
        </w:rPr>
        <w:t xml:space="preserve">Analizom rada po pritužbama zaključuje se da </w:t>
      </w:r>
      <w:r w:rsidRPr="001B4CA2">
        <w:rPr>
          <w:rFonts w:eastAsia="Times New Roman"/>
          <w:lang w:eastAsia="hr-HR"/>
        </w:rPr>
        <w:t>su građani koji se u tom smislu pojavljuju kao podnositelji predstavki</w:t>
      </w:r>
      <w:r w:rsidR="002B2A50">
        <w:rPr>
          <w:rFonts w:eastAsia="Times New Roman"/>
          <w:lang w:eastAsia="hr-HR"/>
        </w:rPr>
        <w:t>,</w:t>
      </w:r>
      <w:r w:rsidRPr="001B4CA2">
        <w:rPr>
          <w:rFonts w:eastAsia="Times New Roman"/>
          <w:lang w:eastAsia="hr-HR"/>
        </w:rPr>
        <w:t xml:space="preserve"> odnosno prituž</w:t>
      </w:r>
      <w:r w:rsidR="002B2A50">
        <w:rPr>
          <w:rFonts w:eastAsia="Times New Roman"/>
          <w:lang w:eastAsia="hr-HR"/>
        </w:rPr>
        <w:t>a</w:t>
      </w:r>
      <w:r w:rsidRPr="001B4CA2">
        <w:rPr>
          <w:rFonts w:eastAsia="Times New Roman"/>
          <w:lang w:eastAsia="hr-HR"/>
        </w:rPr>
        <w:t>b</w:t>
      </w:r>
      <w:r w:rsidR="002B2A50">
        <w:rPr>
          <w:rFonts w:eastAsia="Times New Roman"/>
          <w:lang w:eastAsia="hr-HR"/>
        </w:rPr>
        <w:t>a</w:t>
      </w:r>
      <w:r w:rsidRPr="001B4CA2">
        <w:rPr>
          <w:rFonts w:eastAsia="Times New Roman"/>
          <w:lang w:eastAsia="hr-HR"/>
        </w:rPr>
        <w:t xml:space="preserve"> sve više upućeni u svoja prava i mogućnosti da kroz </w:t>
      </w:r>
      <w:r w:rsidR="002B2A50">
        <w:rPr>
          <w:rFonts w:eastAsia="Times New Roman"/>
          <w:lang w:eastAsia="hr-HR"/>
        </w:rPr>
        <w:t>njih</w:t>
      </w:r>
      <w:r w:rsidRPr="001B4CA2">
        <w:rPr>
          <w:rFonts w:eastAsia="Times New Roman"/>
          <w:lang w:eastAsia="hr-HR"/>
        </w:rPr>
        <w:t xml:space="preserve"> ostvaruju kontrolnu funkciju</w:t>
      </w:r>
      <w:r w:rsidR="002B2A50">
        <w:rPr>
          <w:rFonts w:eastAsia="Times New Roman"/>
          <w:lang w:eastAsia="hr-HR"/>
        </w:rPr>
        <w:t xml:space="preserve">, ali </w:t>
      </w:r>
      <w:r w:rsidRPr="001B4CA2">
        <w:rPr>
          <w:rFonts w:eastAsia="Times New Roman"/>
          <w:lang w:eastAsia="hr-HR"/>
        </w:rPr>
        <w:t xml:space="preserve">i ukazuju na </w:t>
      </w:r>
      <w:r w:rsidR="002B2A50">
        <w:rPr>
          <w:rFonts w:eastAsia="Times New Roman"/>
          <w:lang w:eastAsia="hr-HR"/>
        </w:rPr>
        <w:t>moguće</w:t>
      </w:r>
      <w:r w:rsidRPr="001B4CA2">
        <w:rPr>
          <w:rFonts w:eastAsia="Times New Roman"/>
          <w:lang w:eastAsia="hr-HR"/>
        </w:rPr>
        <w:t xml:space="preserve"> nepravilnosti u radu državnog odvjetništva pa iako su pritužbe samo u manjem postotku osnovane one predstavljaju važnu komponentu u nadzoru rada nižih državnih odvjetništava.</w:t>
      </w:r>
    </w:p>
    <w:p w14:paraId="224497D5" w14:textId="77777777" w:rsidR="006E6CAE" w:rsidRPr="001B4CA2" w:rsidRDefault="006E6CAE" w:rsidP="006E6CAE">
      <w:pPr>
        <w:ind w:firstLine="708"/>
        <w:rPr>
          <w:rFonts w:eastAsia="Times New Roman"/>
          <w:lang w:eastAsia="hr-HR"/>
        </w:rPr>
      </w:pPr>
    </w:p>
    <w:p w14:paraId="3C817D4D" w14:textId="381D186E" w:rsidR="006E6CAE" w:rsidRPr="001B4CA2" w:rsidRDefault="006E6CAE" w:rsidP="006E6CAE">
      <w:pPr>
        <w:ind w:firstLine="708"/>
        <w:rPr>
          <w:rFonts w:eastAsia="Calibri"/>
          <w:spacing w:val="-3"/>
        </w:rPr>
      </w:pPr>
      <w:r w:rsidRPr="001B4CA2">
        <w:rPr>
          <w:rFonts w:eastAsia="Times New Roman"/>
          <w:lang w:eastAsia="hr-HR"/>
        </w:rPr>
        <w:t>Posebno treba ista</w:t>
      </w:r>
      <w:r w:rsidR="002B2A50">
        <w:rPr>
          <w:rFonts w:eastAsia="Times New Roman"/>
          <w:lang w:eastAsia="hr-HR"/>
        </w:rPr>
        <w:t>knut</w:t>
      </w:r>
      <w:r w:rsidRPr="001B4CA2">
        <w:rPr>
          <w:rFonts w:eastAsia="Times New Roman"/>
          <w:lang w:eastAsia="hr-HR"/>
        </w:rPr>
        <w:t>i pritužbe u</w:t>
      </w:r>
      <w:r w:rsidRPr="001B4CA2">
        <w:rPr>
          <w:rFonts w:eastAsia="Calibri"/>
          <w:spacing w:val="-3"/>
        </w:rPr>
        <w:t xml:space="preserve"> odnosu na postupanje Kaznenih odjela iz nadležnosti Županijskog državnog odvjetništva u Zagrebu,</w:t>
      </w:r>
      <w:r w:rsidR="00FD08E9">
        <w:rPr>
          <w:rFonts w:eastAsia="Calibri"/>
          <w:spacing w:val="-3"/>
        </w:rPr>
        <w:t xml:space="preserve"> </w:t>
      </w:r>
      <w:r w:rsidRPr="001B4CA2">
        <w:rPr>
          <w:rFonts w:eastAsia="Calibri"/>
          <w:spacing w:val="-3"/>
        </w:rPr>
        <w:t>Općinskog državnog odvjetništva u Zlataru i Općinskog kaznenog državnog odvjetništva u Zagrebu</w:t>
      </w:r>
      <w:r w:rsidR="002B2A50">
        <w:rPr>
          <w:rFonts w:eastAsia="Calibri"/>
          <w:spacing w:val="-3"/>
        </w:rPr>
        <w:t>,</w:t>
      </w:r>
      <w:r w:rsidRPr="001B4CA2">
        <w:rPr>
          <w:rFonts w:eastAsia="Calibri"/>
          <w:spacing w:val="-3"/>
        </w:rPr>
        <w:t xml:space="preserve"> gdje je</w:t>
      </w:r>
      <w:r w:rsidR="00FD08E9">
        <w:rPr>
          <w:rFonts w:eastAsia="Calibri"/>
          <w:spacing w:val="-3"/>
        </w:rPr>
        <w:t xml:space="preserve"> </w:t>
      </w:r>
      <w:r w:rsidRPr="001B4CA2">
        <w:rPr>
          <w:rFonts w:eastAsia="Calibri"/>
          <w:spacing w:val="-3"/>
        </w:rPr>
        <w:t>utvrđeno da se od 110 ukupno primljenih prituž</w:t>
      </w:r>
      <w:r w:rsidR="002B2A50">
        <w:rPr>
          <w:rFonts w:eastAsia="Calibri"/>
          <w:spacing w:val="-3"/>
        </w:rPr>
        <w:t>a</w:t>
      </w:r>
      <w:r w:rsidRPr="001B4CA2">
        <w:rPr>
          <w:rFonts w:eastAsia="Calibri"/>
          <w:spacing w:val="-3"/>
        </w:rPr>
        <w:t>b</w:t>
      </w:r>
      <w:r w:rsidR="002B2A50">
        <w:rPr>
          <w:rFonts w:eastAsia="Calibri"/>
          <w:spacing w:val="-3"/>
        </w:rPr>
        <w:t>a</w:t>
      </w:r>
      <w:r w:rsidRPr="001B4CA2">
        <w:rPr>
          <w:rFonts w:eastAsia="Calibri"/>
          <w:spacing w:val="-3"/>
        </w:rPr>
        <w:t>, od kojih su 4 ustupljene drugom mjesno nadležnom županijskom državnom odvjetništvu, 10 prituž</w:t>
      </w:r>
      <w:r w:rsidR="002B2A50">
        <w:rPr>
          <w:rFonts w:eastAsia="Calibri"/>
          <w:spacing w:val="-3"/>
        </w:rPr>
        <w:t>a</w:t>
      </w:r>
      <w:r w:rsidRPr="001B4CA2">
        <w:rPr>
          <w:rFonts w:eastAsia="Calibri"/>
          <w:spacing w:val="-3"/>
        </w:rPr>
        <w:t>b</w:t>
      </w:r>
      <w:r w:rsidR="002B2A50">
        <w:rPr>
          <w:rFonts w:eastAsia="Calibri"/>
          <w:spacing w:val="-3"/>
        </w:rPr>
        <w:t>a</w:t>
      </w:r>
      <w:r w:rsidRPr="001B4CA2">
        <w:rPr>
          <w:rFonts w:eastAsia="Calibri"/>
          <w:spacing w:val="-3"/>
        </w:rPr>
        <w:t xml:space="preserve"> odnosi na rad Županijskog državnog odvjetništva u Zagrebu,</w:t>
      </w:r>
      <w:r w:rsidR="00FD08E9">
        <w:rPr>
          <w:rFonts w:eastAsia="Calibri"/>
          <w:spacing w:val="-3"/>
        </w:rPr>
        <w:t xml:space="preserve"> </w:t>
      </w:r>
      <w:r w:rsidRPr="001B4CA2">
        <w:rPr>
          <w:rFonts w:eastAsia="Calibri"/>
          <w:spacing w:val="-3"/>
        </w:rPr>
        <w:t>6 prituž</w:t>
      </w:r>
      <w:r w:rsidR="002B2A50">
        <w:rPr>
          <w:rFonts w:eastAsia="Calibri"/>
          <w:spacing w:val="-3"/>
        </w:rPr>
        <w:t>a</w:t>
      </w:r>
      <w:r w:rsidRPr="001B4CA2">
        <w:rPr>
          <w:rFonts w:eastAsia="Calibri"/>
          <w:spacing w:val="-3"/>
        </w:rPr>
        <w:t>b</w:t>
      </w:r>
      <w:r w:rsidR="002B2A50">
        <w:rPr>
          <w:rFonts w:eastAsia="Calibri"/>
          <w:spacing w:val="-3"/>
        </w:rPr>
        <w:t>a</w:t>
      </w:r>
      <w:r w:rsidRPr="001B4CA2">
        <w:rPr>
          <w:rFonts w:eastAsia="Calibri"/>
          <w:spacing w:val="-3"/>
        </w:rPr>
        <w:t xml:space="preserve"> u odnosu na rad Općinskog državnog odvjetništva u Zlataru i 90 u odnosu na rad Općinskog kaznenog državnog odvjetništva u Zagrebu.</w:t>
      </w:r>
    </w:p>
    <w:p w14:paraId="4EB0D248" w14:textId="77777777" w:rsidR="006E6CAE" w:rsidRPr="001B4CA2" w:rsidRDefault="006E6CAE" w:rsidP="006E6CAE">
      <w:pPr>
        <w:suppressAutoHyphens/>
        <w:ind w:right="-1" w:firstLine="708"/>
        <w:rPr>
          <w:rFonts w:eastAsia="Calibri"/>
          <w:spacing w:val="-3"/>
        </w:rPr>
      </w:pPr>
    </w:p>
    <w:p w14:paraId="707FEFCA" w14:textId="5E2D5561" w:rsidR="006E6CAE" w:rsidRPr="001B4CA2" w:rsidRDefault="006E6CAE" w:rsidP="006E6CAE">
      <w:pPr>
        <w:suppressAutoHyphens/>
        <w:ind w:right="-1" w:firstLine="1134"/>
        <w:rPr>
          <w:rFonts w:eastAsia="Calibri"/>
          <w:spacing w:val="-3"/>
        </w:rPr>
      </w:pPr>
      <w:r w:rsidRPr="001B4CA2">
        <w:rPr>
          <w:rFonts w:eastAsia="Calibri"/>
          <w:spacing w:val="-3"/>
        </w:rPr>
        <w:t xml:space="preserve">Od tog broja primljenih </w:t>
      </w:r>
      <w:r w:rsidR="002B2A50" w:rsidRPr="001B4CA2">
        <w:rPr>
          <w:rFonts w:eastAsia="Calibri"/>
          <w:spacing w:val="-3"/>
        </w:rPr>
        <w:t>prituž</w:t>
      </w:r>
      <w:r w:rsidR="002B2A50">
        <w:rPr>
          <w:rFonts w:eastAsia="Calibri"/>
          <w:spacing w:val="-3"/>
        </w:rPr>
        <w:t>a</w:t>
      </w:r>
      <w:r w:rsidR="002B2A50" w:rsidRPr="001B4CA2">
        <w:rPr>
          <w:rFonts w:eastAsia="Calibri"/>
          <w:spacing w:val="-3"/>
        </w:rPr>
        <w:t>b</w:t>
      </w:r>
      <w:r w:rsidR="002B2A50">
        <w:rPr>
          <w:rFonts w:eastAsia="Calibri"/>
          <w:spacing w:val="-3"/>
        </w:rPr>
        <w:t>a</w:t>
      </w:r>
      <w:r w:rsidRPr="001B4CA2">
        <w:rPr>
          <w:rFonts w:eastAsia="Calibri"/>
          <w:spacing w:val="-3"/>
        </w:rPr>
        <w:t xml:space="preserve">, u odnosu na 34 pritužbe utvrđeno </w:t>
      </w:r>
      <w:r w:rsidR="002B2A50" w:rsidRPr="001B4CA2">
        <w:rPr>
          <w:rFonts w:eastAsia="Calibri"/>
          <w:spacing w:val="-3"/>
        </w:rPr>
        <w:t xml:space="preserve">je </w:t>
      </w:r>
      <w:r w:rsidRPr="001B4CA2">
        <w:rPr>
          <w:rFonts w:eastAsia="Calibri"/>
          <w:spacing w:val="-3"/>
        </w:rPr>
        <w:t>da su osnovane, dakle</w:t>
      </w:r>
      <w:r w:rsidR="002B2A50">
        <w:rPr>
          <w:rFonts w:eastAsia="Calibri"/>
          <w:spacing w:val="-3"/>
        </w:rPr>
        <w:t>,</w:t>
      </w:r>
      <w:r w:rsidRPr="001B4CA2">
        <w:rPr>
          <w:rFonts w:eastAsia="Calibri"/>
          <w:spacing w:val="-3"/>
        </w:rPr>
        <w:t xml:space="preserve"> dok su u drugim državnim odvjetništvima pritužbe osnovane samo iznimno, na području Županijskog državnog odvjetništva u Zagrebu usvojena je gotovo svaka treća pritužba.</w:t>
      </w:r>
    </w:p>
    <w:p w14:paraId="771F1E34" w14:textId="77777777" w:rsidR="006E6CAE" w:rsidRPr="001B4CA2" w:rsidRDefault="006E6CAE" w:rsidP="006E6CAE">
      <w:pPr>
        <w:suppressAutoHyphens/>
        <w:ind w:right="-1"/>
        <w:rPr>
          <w:rFonts w:eastAsia="Calibri"/>
          <w:spacing w:val="-3"/>
        </w:rPr>
      </w:pPr>
    </w:p>
    <w:p w14:paraId="7FD69A9C" w14:textId="0C316400" w:rsidR="006E6CAE" w:rsidRPr="001B4CA2" w:rsidRDefault="006E6CAE" w:rsidP="006E6CAE">
      <w:pPr>
        <w:suppressAutoHyphens/>
        <w:ind w:right="-1" w:firstLine="1134"/>
        <w:rPr>
          <w:rFonts w:eastAsia="Calibri"/>
          <w:spacing w:val="-3"/>
        </w:rPr>
      </w:pPr>
      <w:r w:rsidRPr="001B4CA2">
        <w:rPr>
          <w:rFonts w:eastAsia="Calibri"/>
          <w:spacing w:val="-3"/>
        </w:rPr>
        <w:t>Razlog tome nalazimo u činjenici da se uglavnom radi o pritužbama procesne naravi</w:t>
      </w:r>
      <w:r w:rsidR="002B2A50">
        <w:rPr>
          <w:rFonts w:eastAsia="Calibri"/>
          <w:spacing w:val="-3"/>
        </w:rPr>
        <w:t>,</w:t>
      </w:r>
      <w:r w:rsidRPr="001B4CA2">
        <w:rPr>
          <w:rFonts w:eastAsia="Calibri"/>
          <w:spacing w:val="-3"/>
        </w:rPr>
        <w:t xml:space="preserve"> i to zbog dugotrajnog postupanja, </w:t>
      </w:r>
      <w:proofErr w:type="spellStart"/>
      <w:r w:rsidRPr="001B4CA2">
        <w:rPr>
          <w:rFonts w:eastAsia="Calibri"/>
          <w:spacing w:val="-3"/>
        </w:rPr>
        <w:t>nepostupanja</w:t>
      </w:r>
      <w:proofErr w:type="spellEnd"/>
      <w:r w:rsidRPr="001B4CA2">
        <w:rPr>
          <w:rFonts w:eastAsia="Calibri"/>
          <w:spacing w:val="-3"/>
        </w:rPr>
        <w:t xml:space="preserve"> u predmetu ili neažurnog postupanja, nemogućnosti kopiranja i pribave kopija spisa, neobavještavanja oštećenika o poduzetim radnjama, </w:t>
      </w:r>
      <w:proofErr w:type="spellStart"/>
      <w:r w:rsidRPr="001B4CA2">
        <w:rPr>
          <w:rFonts w:eastAsia="Calibri"/>
          <w:spacing w:val="-3"/>
        </w:rPr>
        <w:t>nedonošenja</w:t>
      </w:r>
      <w:proofErr w:type="spellEnd"/>
      <w:r w:rsidRPr="001B4CA2">
        <w:rPr>
          <w:rFonts w:eastAsia="Calibri"/>
          <w:spacing w:val="-3"/>
        </w:rPr>
        <w:t xml:space="preserve"> odluke u roku od </w:t>
      </w:r>
      <w:r w:rsidRPr="001B4CA2">
        <w:rPr>
          <w:rFonts w:eastAsia="Calibri"/>
          <w:spacing w:val="-3"/>
        </w:rPr>
        <w:lastRenderedPageBreak/>
        <w:t xml:space="preserve">šest mjeseci i </w:t>
      </w:r>
      <w:proofErr w:type="spellStart"/>
      <w:r w:rsidRPr="001B4CA2">
        <w:rPr>
          <w:rFonts w:eastAsia="Calibri"/>
          <w:spacing w:val="-3"/>
        </w:rPr>
        <w:t>nedonošenja</w:t>
      </w:r>
      <w:proofErr w:type="spellEnd"/>
      <w:r w:rsidRPr="001B4CA2">
        <w:rPr>
          <w:rFonts w:eastAsia="Calibri"/>
          <w:spacing w:val="-3"/>
        </w:rPr>
        <w:t xml:space="preserve"> rješenja o troškovima obrane, a za koje propuste postoje objektivni razlozi.</w:t>
      </w:r>
    </w:p>
    <w:p w14:paraId="66F65E43" w14:textId="77777777" w:rsidR="006E6CAE" w:rsidRPr="001B4CA2" w:rsidRDefault="006E6CAE" w:rsidP="006E6CAE">
      <w:pPr>
        <w:suppressAutoHyphens/>
        <w:ind w:right="-1" w:firstLine="1134"/>
        <w:rPr>
          <w:rFonts w:eastAsia="Calibri"/>
          <w:spacing w:val="-3"/>
        </w:rPr>
      </w:pPr>
    </w:p>
    <w:p w14:paraId="148B1978" w14:textId="09F2CFF8" w:rsidR="006E6CAE" w:rsidRPr="001B4CA2" w:rsidRDefault="006E6CAE" w:rsidP="006E6CAE">
      <w:pPr>
        <w:suppressAutoHyphens/>
        <w:ind w:right="-1" w:firstLine="1134"/>
        <w:rPr>
          <w:rFonts w:eastAsia="Calibri"/>
          <w:spacing w:val="-3"/>
        </w:rPr>
      </w:pPr>
      <w:r w:rsidRPr="001B4CA2">
        <w:rPr>
          <w:rFonts w:eastAsia="Calibri"/>
          <w:spacing w:val="-3"/>
        </w:rPr>
        <w:t>Naime, kada je riječ o pritužbama podnesenim</w:t>
      </w:r>
      <w:r w:rsidR="002B2A50">
        <w:rPr>
          <w:rFonts w:eastAsia="Calibri"/>
          <w:spacing w:val="-3"/>
        </w:rPr>
        <w:t>a</w:t>
      </w:r>
      <w:r w:rsidRPr="001B4CA2">
        <w:rPr>
          <w:rFonts w:eastAsia="Calibri"/>
          <w:spacing w:val="-3"/>
        </w:rPr>
        <w:t xml:space="preserve"> iz navedenih razloga</w:t>
      </w:r>
      <w:r w:rsidR="002B2A50">
        <w:rPr>
          <w:rFonts w:eastAsia="Calibri"/>
          <w:spacing w:val="-3"/>
        </w:rPr>
        <w:t>,</w:t>
      </w:r>
      <w:r w:rsidRPr="001B4CA2">
        <w:rPr>
          <w:rFonts w:eastAsia="Calibri"/>
          <w:spacing w:val="-3"/>
        </w:rPr>
        <w:t xml:space="preserve"> važno je naglasiti da u Općinskom kaznenom državnom odvjetništvu u Zagrebu nepravo</w:t>
      </w:r>
      <w:r w:rsidR="002B2A50">
        <w:rPr>
          <w:rFonts w:eastAsia="Calibri"/>
          <w:spacing w:val="-3"/>
        </w:rPr>
        <w:t>dob</w:t>
      </w:r>
      <w:r w:rsidRPr="001B4CA2">
        <w:rPr>
          <w:rFonts w:eastAsia="Calibri"/>
          <w:spacing w:val="-3"/>
        </w:rPr>
        <w:t xml:space="preserve">no postupa zbog preopterećenosti zamjenika (prosječno se na radu </w:t>
      </w:r>
      <w:r w:rsidR="002B2A50" w:rsidRPr="001B4CA2">
        <w:rPr>
          <w:rFonts w:eastAsia="Calibri"/>
          <w:spacing w:val="-3"/>
        </w:rPr>
        <w:t>nalazi</w:t>
      </w:r>
      <w:r w:rsidRPr="001B4CA2">
        <w:rPr>
          <w:rFonts w:eastAsia="Calibri"/>
          <w:spacing w:val="-3"/>
        </w:rPr>
        <w:t xml:space="preserve"> samo oko 40</w:t>
      </w:r>
      <w:r w:rsidR="002B2A50">
        <w:rPr>
          <w:rFonts w:eastAsia="Calibri"/>
          <w:spacing w:val="-3"/>
        </w:rPr>
        <w:t> </w:t>
      </w:r>
      <w:r w:rsidRPr="001B4CA2">
        <w:rPr>
          <w:rFonts w:eastAsia="Calibri"/>
          <w:spacing w:val="-3"/>
        </w:rPr>
        <w:t xml:space="preserve">% zamjenika) koji su zaduženi prevelikim brojem predmeta, velikim brojem rasprava i radom u službi dežurstva te obvezom da se u zatvorskim predmetima postupa žurno. </w:t>
      </w:r>
    </w:p>
    <w:p w14:paraId="375CBE00" w14:textId="77777777" w:rsidR="006E6CAE" w:rsidRPr="001B4CA2" w:rsidRDefault="006E6CAE" w:rsidP="006E6CAE">
      <w:pPr>
        <w:suppressAutoHyphens/>
        <w:ind w:right="-1" w:firstLine="1134"/>
        <w:rPr>
          <w:rFonts w:eastAsia="Calibri"/>
          <w:spacing w:val="-3"/>
        </w:rPr>
      </w:pPr>
    </w:p>
    <w:p w14:paraId="7BF1E2AF" w14:textId="0B6E1287" w:rsidR="006E6CAE" w:rsidRPr="001B4CA2" w:rsidRDefault="006E6CAE" w:rsidP="006E6CAE">
      <w:pPr>
        <w:suppressAutoHyphens/>
        <w:ind w:right="-1" w:firstLine="1134"/>
        <w:rPr>
          <w:rFonts w:eastAsia="Calibri"/>
          <w:spacing w:val="-3"/>
        </w:rPr>
      </w:pPr>
      <w:r w:rsidRPr="001B4CA2">
        <w:rPr>
          <w:rFonts w:eastAsia="Calibri"/>
          <w:spacing w:val="-3"/>
        </w:rPr>
        <w:t xml:space="preserve">Kao što je isticano i u ranijim izvještajnim razdobljima, odlučivanje o osnovanosti </w:t>
      </w:r>
      <w:r w:rsidR="002B2A50" w:rsidRPr="001B4CA2">
        <w:rPr>
          <w:rFonts w:eastAsia="Calibri"/>
          <w:spacing w:val="-3"/>
        </w:rPr>
        <w:t>prituž</w:t>
      </w:r>
      <w:r w:rsidR="002B2A50">
        <w:rPr>
          <w:rFonts w:eastAsia="Calibri"/>
          <w:spacing w:val="-3"/>
        </w:rPr>
        <w:t>a</w:t>
      </w:r>
      <w:r w:rsidR="002B2A50" w:rsidRPr="001B4CA2">
        <w:rPr>
          <w:rFonts w:eastAsia="Calibri"/>
          <w:spacing w:val="-3"/>
        </w:rPr>
        <w:t>b</w:t>
      </w:r>
      <w:r w:rsidR="002B2A50">
        <w:rPr>
          <w:rFonts w:eastAsia="Calibri"/>
          <w:spacing w:val="-3"/>
        </w:rPr>
        <w:t>a</w:t>
      </w:r>
      <w:r w:rsidR="002B2A50" w:rsidRPr="001B4CA2">
        <w:rPr>
          <w:rFonts w:eastAsia="Calibri"/>
          <w:spacing w:val="-3"/>
        </w:rPr>
        <w:t xml:space="preserve"> </w:t>
      </w:r>
      <w:r w:rsidRPr="001B4CA2">
        <w:rPr>
          <w:rFonts w:eastAsia="Calibri"/>
          <w:spacing w:val="-3"/>
        </w:rPr>
        <w:t>na rad nižeg državnog odvjetništva zaht</w:t>
      </w:r>
      <w:r w:rsidR="002B2A50">
        <w:rPr>
          <w:rFonts w:eastAsia="Calibri"/>
          <w:spacing w:val="-3"/>
        </w:rPr>
        <w:t>i</w:t>
      </w:r>
      <w:r w:rsidRPr="001B4CA2">
        <w:rPr>
          <w:rFonts w:eastAsia="Calibri"/>
          <w:spacing w:val="-3"/>
        </w:rPr>
        <w:t xml:space="preserve">jeva od višeg državnog odvjetnika svestranu analizu tog rada, što uključuje cjelovito razmatranje spisa predmeta. U cilju donošenja odluke o pritužbi potrebno je analizirati dinamiku i tijek poduzimanja radnji i kvalitetu donesene </w:t>
      </w:r>
      <w:proofErr w:type="spellStart"/>
      <w:r w:rsidRPr="001B4CA2">
        <w:rPr>
          <w:rFonts w:eastAsia="Calibri"/>
          <w:spacing w:val="-3"/>
        </w:rPr>
        <w:t>državnoodvjetničke</w:t>
      </w:r>
      <w:proofErr w:type="spellEnd"/>
      <w:r w:rsidRPr="001B4CA2">
        <w:rPr>
          <w:rFonts w:eastAsia="Calibri"/>
          <w:spacing w:val="-3"/>
        </w:rPr>
        <w:t xml:space="preserve"> odluke. O svakom propustu uočenom tijekom postupka nadzora upozorava se niže državno odvjetništvo koje je radnje potrebno izvršiti u cilju otklanjanja propusta.</w:t>
      </w:r>
    </w:p>
    <w:p w14:paraId="099247DE" w14:textId="77777777" w:rsidR="006E6CAE" w:rsidRPr="001B4CA2" w:rsidRDefault="006E6CAE" w:rsidP="006E6CAE">
      <w:pPr>
        <w:suppressAutoHyphens/>
        <w:ind w:right="-1" w:firstLine="708"/>
        <w:rPr>
          <w:rFonts w:eastAsia="Calibri"/>
          <w:spacing w:val="-3"/>
        </w:rPr>
      </w:pPr>
      <w:r w:rsidRPr="001B4CA2">
        <w:rPr>
          <w:rFonts w:eastAsia="Calibri"/>
          <w:spacing w:val="-3"/>
        </w:rPr>
        <w:t xml:space="preserve"> </w:t>
      </w:r>
    </w:p>
    <w:p w14:paraId="4BDBBF87" w14:textId="2658D8BC" w:rsidR="006E6CAE" w:rsidRPr="001B4CA2" w:rsidRDefault="006E6CAE" w:rsidP="006E6CAE">
      <w:pPr>
        <w:suppressAutoHyphens/>
        <w:ind w:right="-1" w:firstLine="1134"/>
        <w:rPr>
          <w:rFonts w:eastAsia="Calibri"/>
          <w:spacing w:val="-3"/>
        </w:rPr>
      </w:pPr>
      <w:r w:rsidRPr="001B4CA2">
        <w:rPr>
          <w:rFonts w:eastAsia="Calibri"/>
          <w:spacing w:val="-3"/>
        </w:rPr>
        <w:t>Upravo rad u predmetima pritužbe omoguć</w:t>
      </w:r>
      <w:r w:rsidR="002B2A50">
        <w:rPr>
          <w:rFonts w:eastAsia="Calibri"/>
          <w:spacing w:val="-3"/>
        </w:rPr>
        <w:t>uje</w:t>
      </w:r>
      <w:r w:rsidRPr="001B4CA2">
        <w:rPr>
          <w:rFonts w:eastAsia="Calibri"/>
          <w:spacing w:val="-3"/>
        </w:rPr>
        <w:t xml:space="preserve"> višem državnom odvjetniku upoznavanje s načinom rada nižeg državnog odvjetništva, pojedinačnog referenta koji postupa u predmetu, </w:t>
      </w:r>
      <w:r w:rsidR="002B2A50">
        <w:rPr>
          <w:rFonts w:eastAsia="Calibri"/>
          <w:spacing w:val="-3"/>
        </w:rPr>
        <w:t>ali</w:t>
      </w:r>
      <w:r w:rsidRPr="001B4CA2">
        <w:rPr>
          <w:rFonts w:eastAsia="Calibri"/>
          <w:spacing w:val="-3"/>
        </w:rPr>
        <w:t xml:space="preserve"> i cjelokupnog unutarnjeg ustroja nižeg državnog odvjetništva, koje i samo po primitku pritužbe ima priliku ispraviti nepravilnost ili propust na koji je ukazano pritužbom. Postupanje višeg državnog odvjetnika usmjereno je, iako </w:t>
      </w:r>
      <w:r w:rsidR="002B2A50">
        <w:rPr>
          <w:rFonts w:eastAsia="Calibri"/>
          <w:spacing w:val="-3"/>
        </w:rPr>
        <w:t>ponajprije</w:t>
      </w:r>
      <w:r w:rsidRPr="001B4CA2">
        <w:rPr>
          <w:rFonts w:eastAsia="Calibri"/>
          <w:spacing w:val="-3"/>
        </w:rPr>
        <w:t xml:space="preserve"> na dostavljanje podnositelju pritužbe, odnosno građaninu obavijest o osnovanosti njegove pritužbe,</w:t>
      </w:r>
      <w:r w:rsidR="00FD08E9">
        <w:rPr>
          <w:rFonts w:eastAsia="Calibri"/>
          <w:spacing w:val="-3"/>
        </w:rPr>
        <w:t xml:space="preserve"> </w:t>
      </w:r>
      <w:r w:rsidRPr="001B4CA2">
        <w:rPr>
          <w:rFonts w:eastAsia="Calibri"/>
          <w:spacing w:val="-3"/>
        </w:rPr>
        <w:t>na savjetodavnu ulogu u odnosu na nižeg državnog odvjetnika. Zaključci državnog odvjetnika o primjeni prava, utvrđenim činjenicama, ukazivanje na ispravan način rada pridonose poboljšanju kvalitete rada te sprječavaju ponavljanje nepravilnosti</w:t>
      </w:r>
      <w:r w:rsidR="002B2A50">
        <w:rPr>
          <w:rFonts w:eastAsia="Calibri"/>
          <w:spacing w:val="-3"/>
        </w:rPr>
        <w:t>,</w:t>
      </w:r>
      <w:r w:rsidRPr="001B4CA2">
        <w:rPr>
          <w:rFonts w:eastAsia="Calibri"/>
          <w:spacing w:val="-3"/>
        </w:rPr>
        <w:t xml:space="preserve"> odnosno pogrešaka u radu.</w:t>
      </w:r>
    </w:p>
    <w:p w14:paraId="484F7A81" w14:textId="77777777" w:rsidR="006E6CAE" w:rsidRPr="001B4CA2" w:rsidRDefault="006E6CAE" w:rsidP="006E6CAE"/>
    <w:p w14:paraId="6FE0377E" w14:textId="77777777" w:rsidR="00C975D9" w:rsidRPr="001B4CA2" w:rsidRDefault="00C975D9" w:rsidP="00C975D9"/>
    <w:p w14:paraId="2B64A9F8" w14:textId="77777777" w:rsidR="00897242" w:rsidRPr="001B4CA2" w:rsidRDefault="00897242" w:rsidP="00C975D9"/>
    <w:p w14:paraId="1FB677A9" w14:textId="77777777" w:rsidR="00CD16DE" w:rsidRPr="001B4CA2" w:rsidRDefault="00CD16DE" w:rsidP="00886E1C">
      <w:r w:rsidRPr="001B4CA2">
        <w:br w:type="page"/>
      </w:r>
    </w:p>
    <w:p w14:paraId="7D285B1C" w14:textId="3955489A" w:rsidR="00BB4D48" w:rsidRPr="001B4CA2" w:rsidRDefault="00D44B3C" w:rsidP="00D44B3C">
      <w:pPr>
        <w:pStyle w:val="Naslov1"/>
        <w:numPr>
          <w:ilvl w:val="0"/>
          <w:numId w:val="0"/>
        </w:numPr>
        <w:ind w:left="567"/>
      </w:pPr>
      <w:bookmarkStart w:id="187" w:name="_Toc133394417"/>
      <w:r w:rsidRPr="001B4CA2">
        <w:lastRenderedPageBreak/>
        <w:t xml:space="preserve">IV. </w:t>
      </w:r>
      <w:r w:rsidR="00BB4D48" w:rsidRPr="001B4CA2">
        <w:t>IZVJEŠĆE O MATERIJALNIM I FINANCIJSKIM UVJETIMA ZA RAD DRŽAVNOG ODVJETNIŠTVA</w:t>
      </w:r>
      <w:r w:rsidR="0084121E" w:rsidRPr="001B4CA2">
        <w:t xml:space="preserve"> TE STANJU I OPTEREĆENOSTI LJUDSKIH POTENCIJALA DRŽAVNOG ODVJETNIŠTVA</w:t>
      </w:r>
      <w:bookmarkEnd w:id="187"/>
    </w:p>
    <w:p w14:paraId="278CE7D3" w14:textId="77777777" w:rsidR="00354BAE" w:rsidRPr="001B4CA2" w:rsidRDefault="00354BAE" w:rsidP="00354BAE"/>
    <w:p w14:paraId="383CA790" w14:textId="77777777" w:rsidR="00BC5954" w:rsidRPr="001B4CA2" w:rsidRDefault="00BC5954" w:rsidP="00354BAE"/>
    <w:p w14:paraId="103C3756" w14:textId="7C996864" w:rsidR="00BB4D48" w:rsidRPr="001B4CA2" w:rsidRDefault="00326934" w:rsidP="00886E1C">
      <w:pPr>
        <w:pStyle w:val="Naslov2"/>
        <w:rPr>
          <w:rFonts w:ascii="Arial" w:hAnsi="Arial" w:cs="Arial"/>
        </w:rPr>
      </w:pPr>
      <w:r w:rsidRPr="001B4CA2">
        <w:rPr>
          <w:rFonts w:ascii="Arial" w:hAnsi="Arial" w:cs="Arial"/>
        </w:rPr>
        <w:t xml:space="preserve"> </w:t>
      </w:r>
      <w:bookmarkStart w:id="188" w:name="_Toc133394418"/>
      <w:r w:rsidR="00BB4D48" w:rsidRPr="001B4CA2">
        <w:rPr>
          <w:rFonts w:ascii="Arial" w:hAnsi="Arial" w:cs="Arial"/>
        </w:rPr>
        <w:t xml:space="preserve">Materijalni i financijski uvjeti </w:t>
      </w:r>
      <w:r w:rsidR="00CE234E" w:rsidRPr="001B4CA2">
        <w:rPr>
          <w:rFonts w:ascii="Arial" w:hAnsi="Arial" w:cs="Arial"/>
        </w:rPr>
        <w:t>za rad državnog odvjetništva</w:t>
      </w:r>
      <w:bookmarkEnd w:id="188"/>
    </w:p>
    <w:p w14:paraId="57C1B93B" w14:textId="77777777" w:rsidR="005A74B2" w:rsidRPr="001B4CA2" w:rsidRDefault="005A74B2" w:rsidP="005A74B2"/>
    <w:p w14:paraId="77EF5EA6" w14:textId="77777777" w:rsidR="00A76F9A" w:rsidRPr="001B4CA2" w:rsidRDefault="00A76F9A" w:rsidP="00A76F9A">
      <w:pPr>
        <w:ind w:firstLine="709"/>
      </w:pPr>
      <w:r w:rsidRPr="001B4CA2">
        <w:t>Iako je Ministarstvo pravosuđa i uprave tijekom 2022. nastavilo s opremanjem državnih odvjetništava računalnom opremom, stanje se nije bitno popravilo. Naime, opremljenost državnih odvjetništava nužnom informatičkom opremom, ponajprije opremom za snimanje te računalima i prijenosnim računalima, još uvijek nije zadovoljavajuća.</w:t>
      </w:r>
    </w:p>
    <w:p w14:paraId="350F03D0" w14:textId="77777777" w:rsidR="00A76F9A" w:rsidRPr="001B4CA2" w:rsidRDefault="00A76F9A" w:rsidP="00A76F9A"/>
    <w:p w14:paraId="1C11FFA2" w14:textId="0EFB833C" w:rsidR="00A76F9A" w:rsidRPr="001B4CA2" w:rsidRDefault="00A76F9A" w:rsidP="00A76F9A">
      <w:pPr>
        <w:ind w:firstLine="708"/>
      </w:pPr>
      <w:r w:rsidRPr="001B4CA2">
        <w:t>Problemi u popunjavanju radnih mjesta službenika i namještenika na svim razinama, a na koje smo ukazali i u zadnjem izvješću o radu u 2021.</w:t>
      </w:r>
      <w:r w:rsidR="002B2A50">
        <w:t>,</w:t>
      </w:r>
      <w:r w:rsidRPr="001B4CA2">
        <w:t xml:space="preserve"> nisu riješeni. Dapače, </w:t>
      </w:r>
      <w:r w:rsidR="002B2A50">
        <w:t>t</w:t>
      </w:r>
      <w:r w:rsidRPr="001B4CA2">
        <w:t>i su problemi postali još izraženiji i počinju dovoditi u pitanje redov</w:t>
      </w:r>
      <w:r w:rsidR="002B2A50">
        <w:t>it</w:t>
      </w:r>
      <w:r w:rsidRPr="001B4CA2">
        <w:t>o funkcioniranje pojedinih državnih odvjetništava.</w:t>
      </w:r>
      <w:r w:rsidR="00FD08E9">
        <w:t xml:space="preserve"> </w:t>
      </w:r>
      <w:r w:rsidRPr="001B4CA2">
        <w:t xml:space="preserve">Naime, zbog izrazito niskih plaća iskusni i za rad u državnim odvjetništvima educirani službenici i namještenici odlaze iz državnih odvjetništava, nerijetko u druga državna tijela i institucije, dok se oglasi za popunjavanje njihovih radnih mjesta ponavljaju po nekoliko puta. </w:t>
      </w:r>
    </w:p>
    <w:p w14:paraId="79889EBF" w14:textId="77777777" w:rsidR="00A76F9A" w:rsidRPr="001B4CA2" w:rsidRDefault="00A76F9A" w:rsidP="00A76F9A"/>
    <w:p w14:paraId="093F0EBC" w14:textId="61E64E57" w:rsidR="00A76F9A" w:rsidRPr="001B4CA2" w:rsidRDefault="00A76F9A" w:rsidP="00A76F9A">
      <w:pPr>
        <w:ind w:firstLine="708"/>
      </w:pPr>
      <w:r w:rsidRPr="001B4CA2">
        <w:t>Ovaj je problem posebno izražen u Uredu za suzbijanje korupcije i organiziranog kriminaliteta</w:t>
      </w:r>
      <w:r w:rsidR="002B2A50">
        <w:t>,</w:t>
      </w:r>
      <w:r w:rsidRPr="001B4CA2">
        <w:t xml:space="preserve"> na što je upozoravano i u ranijim izvješćima. </w:t>
      </w:r>
    </w:p>
    <w:p w14:paraId="5324F3D3" w14:textId="77777777" w:rsidR="00A76F9A" w:rsidRPr="001B4CA2" w:rsidRDefault="00A76F9A" w:rsidP="00A76F9A"/>
    <w:p w14:paraId="4BAAC1F7" w14:textId="77777777" w:rsidR="00A76F9A" w:rsidRPr="001B4CA2" w:rsidRDefault="00A76F9A" w:rsidP="00A76F9A">
      <w:pPr>
        <w:ind w:firstLine="708"/>
      </w:pPr>
      <w:r w:rsidRPr="001B4CA2">
        <w:t xml:space="preserve">Kako bi se osiguralo pravodobno obavljanje zakonom propisanih poslova te poduzimanje potrebnih </w:t>
      </w:r>
      <w:proofErr w:type="spellStart"/>
      <w:r w:rsidRPr="001B4CA2">
        <w:t>državnoodvjetničkih</w:t>
      </w:r>
      <w:proofErr w:type="spellEnd"/>
      <w:r w:rsidRPr="001B4CA2">
        <w:t xml:space="preserve"> radnji u složenim predmetima, nerijetko s velikim brojem okrivljenika, u iznimno kratkim rokovima, službenici zaposleni u USKOK-u gotovo svakodnevno poslove koji ne trpe odgodu obavljaju izvan redovitog radnog vremena, što uz niske plaće koje primaju rezultira odlascima službenika na bolje plaćena radna mjesta.</w:t>
      </w:r>
    </w:p>
    <w:p w14:paraId="70DFF22D" w14:textId="77777777" w:rsidR="00A76F9A" w:rsidRPr="001B4CA2" w:rsidRDefault="00A76F9A" w:rsidP="00A76F9A"/>
    <w:p w14:paraId="5A5A9332" w14:textId="77777777" w:rsidR="00A76F9A" w:rsidRPr="001B4CA2" w:rsidRDefault="00A76F9A" w:rsidP="00A76F9A">
      <w:pPr>
        <w:ind w:firstLine="708"/>
      </w:pPr>
      <w:r w:rsidRPr="001B4CA2">
        <w:t>Iako je Ministarstvu pravosuđa i uprave ukazivano na ovaj problem te su davani određeni prijedlozi, još uvijek nije pronađeno odgovarajuće rješenje.</w:t>
      </w:r>
    </w:p>
    <w:p w14:paraId="5FCDBFE7" w14:textId="77777777" w:rsidR="00A76F9A" w:rsidRPr="001B4CA2" w:rsidRDefault="00A76F9A" w:rsidP="00A76F9A"/>
    <w:p w14:paraId="7347D97B" w14:textId="090D9EBD" w:rsidR="00A76F9A" w:rsidRPr="001B4CA2" w:rsidRDefault="00A76F9A" w:rsidP="00A76F9A">
      <w:pPr>
        <w:ind w:firstLine="708"/>
      </w:pPr>
      <w:r w:rsidRPr="001B4CA2">
        <w:t xml:space="preserve">Stoga je za uredno i pravodobno obavljanje zakonom propisanih poslova nužno u što kraćem roku povećati koeficijente za obračun plaća službenicima i namještenicima u državnim odvjetništvima kako bi se zaposlio dovoljan broj službenika i namještenika </w:t>
      </w:r>
      <w:r w:rsidR="002B2A50">
        <w:t>te</w:t>
      </w:r>
      <w:r w:rsidRPr="001B4CA2">
        <w:t xml:space="preserve"> time osigurao neometan rad državnih odvjetništava.</w:t>
      </w:r>
    </w:p>
    <w:p w14:paraId="0C326FBB" w14:textId="77777777" w:rsidR="008C73DD" w:rsidRPr="001B4CA2" w:rsidRDefault="008C73DD" w:rsidP="00886E1C">
      <w:pPr>
        <w:rPr>
          <w:rFonts w:eastAsia="Arial"/>
        </w:rPr>
      </w:pPr>
    </w:p>
    <w:p w14:paraId="42783105" w14:textId="56D314AB" w:rsidR="00BB4D48" w:rsidRPr="001B4CA2" w:rsidRDefault="00BB4D48" w:rsidP="00C77F3A">
      <w:pPr>
        <w:pStyle w:val="Naslov3"/>
        <w:tabs>
          <w:tab w:val="left" w:pos="567"/>
          <w:tab w:val="left" w:pos="1134"/>
        </w:tabs>
        <w:ind w:left="426"/>
        <w:rPr>
          <w:rFonts w:ascii="Arial" w:hAnsi="Arial" w:cs="Arial"/>
        </w:rPr>
      </w:pPr>
      <w:bookmarkStart w:id="189" w:name="_Toc133394419"/>
      <w:r w:rsidRPr="001B4CA2">
        <w:rPr>
          <w:rFonts w:ascii="Arial" w:hAnsi="Arial" w:cs="Arial"/>
        </w:rPr>
        <w:t>Smj</w:t>
      </w:r>
      <w:r w:rsidR="00114C08" w:rsidRPr="001B4CA2">
        <w:rPr>
          <w:rFonts w:ascii="Arial" w:hAnsi="Arial" w:cs="Arial"/>
        </w:rPr>
        <w:t>eštaj i opremljenost prostora/</w:t>
      </w:r>
      <w:r w:rsidRPr="001B4CA2">
        <w:rPr>
          <w:rFonts w:ascii="Arial" w:hAnsi="Arial" w:cs="Arial"/>
        </w:rPr>
        <w:t xml:space="preserve">procjena </w:t>
      </w:r>
      <w:r w:rsidR="00E82FB5" w:rsidRPr="001B4CA2">
        <w:rPr>
          <w:rFonts w:ascii="Arial" w:hAnsi="Arial" w:cs="Arial"/>
        </w:rPr>
        <w:t xml:space="preserve">utjecaja </w:t>
      </w:r>
      <w:r w:rsidRPr="001B4CA2">
        <w:rPr>
          <w:rFonts w:ascii="Arial" w:hAnsi="Arial" w:cs="Arial"/>
        </w:rPr>
        <w:t>nedostatka</w:t>
      </w:r>
      <w:r w:rsidR="00FD08E9">
        <w:rPr>
          <w:rFonts w:ascii="Arial" w:hAnsi="Arial" w:cs="Arial"/>
        </w:rPr>
        <w:t xml:space="preserve"> </w:t>
      </w:r>
      <w:r w:rsidRPr="001B4CA2">
        <w:rPr>
          <w:rFonts w:ascii="Arial" w:hAnsi="Arial" w:cs="Arial"/>
        </w:rPr>
        <w:t>opreme i</w:t>
      </w:r>
      <w:r w:rsidR="00FD08E9">
        <w:rPr>
          <w:rFonts w:ascii="Arial" w:hAnsi="Arial" w:cs="Arial"/>
        </w:rPr>
        <w:t xml:space="preserve"> </w:t>
      </w:r>
      <w:r w:rsidR="00CF30BC" w:rsidRPr="001B4CA2">
        <w:rPr>
          <w:rFonts w:ascii="Arial" w:hAnsi="Arial" w:cs="Arial"/>
        </w:rPr>
        <w:t xml:space="preserve"> </w:t>
      </w:r>
      <w:r w:rsidR="00C77F3A">
        <w:rPr>
          <w:rFonts w:ascii="Arial" w:hAnsi="Arial" w:cs="Arial"/>
        </w:rPr>
        <w:t xml:space="preserve">  </w:t>
      </w:r>
      <w:r w:rsidR="00C77F3A">
        <w:rPr>
          <w:rFonts w:ascii="Arial" w:hAnsi="Arial" w:cs="Arial"/>
        </w:rPr>
        <w:tab/>
      </w:r>
      <w:r w:rsidRPr="001B4CA2">
        <w:rPr>
          <w:rFonts w:ascii="Arial" w:hAnsi="Arial" w:cs="Arial"/>
        </w:rPr>
        <w:t xml:space="preserve">poslovnog prostora na </w:t>
      </w:r>
      <w:r w:rsidR="00CE234E" w:rsidRPr="001B4CA2">
        <w:rPr>
          <w:rFonts w:ascii="Arial" w:hAnsi="Arial" w:cs="Arial"/>
        </w:rPr>
        <w:t xml:space="preserve">učinkovit rad u </w:t>
      </w:r>
      <w:r w:rsidR="0084121E" w:rsidRPr="001B4CA2">
        <w:rPr>
          <w:rFonts w:ascii="Arial" w:hAnsi="Arial" w:cs="Arial"/>
        </w:rPr>
        <w:t>202</w:t>
      </w:r>
      <w:r w:rsidR="00176E07" w:rsidRPr="001B4CA2">
        <w:rPr>
          <w:rFonts w:ascii="Arial" w:hAnsi="Arial" w:cs="Arial"/>
        </w:rPr>
        <w:t>2</w:t>
      </w:r>
      <w:r w:rsidR="00CE234E" w:rsidRPr="001B4CA2">
        <w:rPr>
          <w:rFonts w:ascii="Arial" w:hAnsi="Arial" w:cs="Arial"/>
        </w:rPr>
        <w:t>. godini</w:t>
      </w:r>
      <w:bookmarkEnd w:id="189"/>
    </w:p>
    <w:p w14:paraId="3DB1C688" w14:textId="77777777" w:rsidR="00EF5F99" w:rsidRPr="001B4CA2" w:rsidRDefault="00EF5F99" w:rsidP="00886E1C"/>
    <w:p w14:paraId="6DB17FB6" w14:textId="2066CBD5" w:rsidR="00F0643D" w:rsidRPr="001B4CA2" w:rsidRDefault="00F0643D" w:rsidP="00A76F9A">
      <w:pPr>
        <w:pStyle w:val="Naslov4"/>
        <w:tabs>
          <w:tab w:val="left" w:pos="1134"/>
        </w:tabs>
        <w:rPr>
          <w:rFonts w:ascii="Arial" w:hAnsi="Arial" w:cs="Arial"/>
        </w:rPr>
      </w:pPr>
      <w:bookmarkStart w:id="190" w:name="_Toc133394420"/>
      <w:r w:rsidRPr="001B4CA2">
        <w:rPr>
          <w:rFonts w:ascii="Arial" w:hAnsi="Arial" w:cs="Arial"/>
        </w:rPr>
        <w:t>Smještajni kapaciteti</w:t>
      </w:r>
      <w:bookmarkEnd w:id="190"/>
    </w:p>
    <w:p w14:paraId="294FD532" w14:textId="09995B19" w:rsidR="00F0643D" w:rsidRPr="001B4CA2" w:rsidRDefault="00F0643D" w:rsidP="00A73E7A"/>
    <w:p w14:paraId="7D840BE8" w14:textId="1BF7C398" w:rsidR="00A76F9A" w:rsidRPr="001B4CA2" w:rsidRDefault="00A76F9A" w:rsidP="00A76F9A">
      <w:pPr>
        <w:ind w:firstLine="708"/>
      </w:pPr>
      <w:r w:rsidRPr="001B4CA2">
        <w:t>Tijekom 2022. godine nastavljen je rad na rješavanju problema osiguranja odgovarajućeg</w:t>
      </w:r>
      <w:r w:rsidR="002B2A50">
        <w:t>a</w:t>
      </w:r>
      <w:r w:rsidRPr="001B4CA2">
        <w:t xml:space="preserve"> poslovnog prostora za rad državnih odvjetništava uz angažman Ministarstva pravosuđa i uprave.</w:t>
      </w:r>
    </w:p>
    <w:p w14:paraId="4DC9AD01" w14:textId="77777777" w:rsidR="00A76F9A" w:rsidRPr="001B4CA2" w:rsidRDefault="00A76F9A" w:rsidP="00A76F9A">
      <w:pPr>
        <w:ind w:firstLine="708"/>
      </w:pPr>
    </w:p>
    <w:p w14:paraId="4CFEE497" w14:textId="7486E15C" w:rsidR="00A76F9A" w:rsidRPr="001B4CA2" w:rsidRDefault="00A76F9A" w:rsidP="00A76F9A">
      <w:pPr>
        <w:ind w:firstLine="708"/>
      </w:pPr>
      <w:r w:rsidRPr="001B4CA2">
        <w:lastRenderedPageBreak/>
        <w:t>Dugogodišnji problem prostora koj</w:t>
      </w:r>
      <w:r w:rsidR="002B2A50">
        <w:t>i</w:t>
      </w:r>
      <w:r w:rsidRPr="001B4CA2">
        <w:t xml:space="preserve"> koristi Županijsko državno odvjetništvo u Rijeci s USKOK-om Odsjek Rijeka u potpunosti je riješen krajem 2022. preseljenjem u zgradu HT-a</w:t>
      </w:r>
      <w:r w:rsidR="002B2A50">
        <w:t>,</w:t>
      </w:r>
      <w:r w:rsidR="00FD08E9">
        <w:t xml:space="preserve"> s </w:t>
      </w:r>
      <w:r w:rsidRPr="001B4CA2">
        <w:t>kojim je resorno Ministarstvo sklopilo ugovor o zakupu.</w:t>
      </w:r>
    </w:p>
    <w:p w14:paraId="69945DE7" w14:textId="77777777" w:rsidR="00A76F9A" w:rsidRPr="001B4CA2" w:rsidRDefault="00A76F9A" w:rsidP="00A76F9A"/>
    <w:p w14:paraId="7BE35A14" w14:textId="6D1E712D" w:rsidR="00A76F9A" w:rsidRPr="001B4CA2" w:rsidRDefault="00A76F9A" w:rsidP="00A76F9A">
      <w:pPr>
        <w:ind w:firstLine="708"/>
      </w:pPr>
      <w:r w:rsidRPr="001B4CA2">
        <w:t>Zgrada Državnog odvjetništva Republike Hrvatske u Gajevoj ulici u Zagrebu teško je oštećena u potresu</w:t>
      </w:r>
      <w:r w:rsidR="002B2A50">
        <w:t>,</w:t>
      </w:r>
      <w:r w:rsidRPr="001B4CA2">
        <w:t xml:space="preserve"> zbog čega je velik broj radnih prostorija u kojima su radili zamjenici Glavne državne odvjetnice Republike Hrvatske, savjetnici i službenici izvan uporabe. Na kraju 2022. započela je strukturna obnova zgrade. Radovi koji su u tijeku, buka i prašina, česti prekidi u radu informatičkog sustava, nestanci struje, </w:t>
      </w:r>
      <w:r w:rsidR="002B2A50">
        <w:t xml:space="preserve">nestanci </w:t>
      </w:r>
      <w:r w:rsidRPr="001B4CA2">
        <w:t>vode zbog presijecanja vodova i cijevi, uz činjenicu da veći broj osoba koristi isti radni prostor</w:t>
      </w:r>
      <w:r w:rsidR="002B2A50">
        <w:t>,</w:t>
      </w:r>
      <w:r w:rsidRPr="001B4CA2">
        <w:t xml:space="preserve"> ne samo da </w:t>
      </w:r>
      <w:r w:rsidR="002B2A50">
        <w:t>izrazito</w:t>
      </w:r>
      <w:r w:rsidRPr="001B4CA2">
        <w:t xml:space="preserve"> otežavaju uvjete rada već dovode u pitanje i sam rad. </w:t>
      </w:r>
    </w:p>
    <w:p w14:paraId="5C03B86F" w14:textId="77777777" w:rsidR="00A76F9A" w:rsidRPr="001B4CA2" w:rsidRDefault="00A76F9A" w:rsidP="00A76F9A"/>
    <w:p w14:paraId="15C76E3E" w14:textId="77777777" w:rsidR="00A76F9A" w:rsidRPr="001B4CA2" w:rsidRDefault="00A76F9A" w:rsidP="00A76F9A">
      <w:pPr>
        <w:ind w:firstLine="708"/>
      </w:pPr>
      <w:r w:rsidRPr="001B4CA2">
        <w:t>Ured za suzbijanje korupcije i organiziranog kriminaliteta koristi prostor u Vlaškoj ulici u Zagrebu temeljem ugovora o zakupu. Bez obzira na to što je predviđena mogućnost produljenja ugovora o zakupu, neupitna je potreba osiguranja dugoročnog rješenja smještaja sjedišta Ureda u adekvatnom prostoru u državnom vlasništvu.</w:t>
      </w:r>
    </w:p>
    <w:p w14:paraId="1EDCF3ED" w14:textId="77777777" w:rsidR="00A76F9A" w:rsidRPr="001B4CA2" w:rsidRDefault="00A76F9A" w:rsidP="00A76F9A"/>
    <w:p w14:paraId="1D8695CE" w14:textId="7E43E979" w:rsidR="00A76F9A" w:rsidRPr="001B4CA2" w:rsidRDefault="00A76F9A" w:rsidP="00A76F9A">
      <w:pPr>
        <w:ind w:firstLine="708"/>
      </w:pPr>
      <w:r w:rsidRPr="001B4CA2">
        <w:t>Na temelju Zakona o provedbi Uredbe vijeća Europe (EU) 2017/1939 od 12. listopada 2017. o provedbi pojačane suradnje u vezi s osnivanjem Ureda Europskog javnog tužitelja (EPPO) u sastavu Ureda za suzbijanje korupcije i organiziranog kriminaliteta ustrojen je novi odjel – Odjel delegiranih europskih tužitelja koji je započeo s radom u lipnju 2021. godine. Ured europskog javnog tužitelja smješten je u zgradi u državnom vlasništvu, koja</w:t>
      </w:r>
      <w:r w:rsidR="00FD08E9">
        <w:t xml:space="preserve"> </w:t>
      </w:r>
      <w:r w:rsidRPr="001B4CA2">
        <w:t>je obnovljena i opremljena sredstvima Ministarstva pravosuđa i uprave.</w:t>
      </w:r>
    </w:p>
    <w:p w14:paraId="4F2DB6FC" w14:textId="77777777" w:rsidR="00A76F9A" w:rsidRPr="001B4CA2" w:rsidRDefault="00A76F9A" w:rsidP="00A76F9A"/>
    <w:p w14:paraId="27D1AF66" w14:textId="5B9EE9A2" w:rsidR="00A76F9A" w:rsidRPr="001B4CA2" w:rsidRDefault="00A76F9A" w:rsidP="00A76F9A">
      <w:pPr>
        <w:ind w:firstLine="708"/>
      </w:pPr>
      <w:r w:rsidRPr="001B4CA2">
        <w:t>Kao i ranijih godina ponov</w:t>
      </w:r>
      <w:r w:rsidR="002B2A50">
        <w:t>n</w:t>
      </w:r>
      <w:r w:rsidRPr="001B4CA2">
        <w:t>o se ukazuje na neadekvatnost i nedostatnost prostora u kojem radi Županijsko državno odvjetništvo u Bjelovaru, koji su dodatno devastirali razorni potresi u Zagrebu i na Ban</w:t>
      </w:r>
      <w:r w:rsidR="003E3007">
        <w:t>ovin</w:t>
      </w:r>
      <w:r w:rsidRPr="001B4CA2">
        <w:t>i. Općinsko državno odvjetništvo u Bjelovaru također radi u neadekvatnim uvjetima</w:t>
      </w:r>
      <w:r w:rsidR="003E3007">
        <w:t>:</w:t>
      </w:r>
      <w:r w:rsidRPr="001B4CA2">
        <w:t xml:space="preserve"> po dva zamjenika kaznenog odjela i zapisničar dijele „veće“ urede površine 11</w:t>
      </w:r>
      <w:r w:rsidR="003E3007">
        <w:t xml:space="preserve"> </w:t>
      </w:r>
      <w:r w:rsidRPr="001B4CA2">
        <w:t>m2, dok je građansko-upravni odjel smješten u adekvatnom, ali dislociranom prostoru.</w:t>
      </w:r>
    </w:p>
    <w:p w14:paraId="3242AB54" w14:textId="77777777" w:rsidR="00A76F9A" w:rsidRPr="001B4CA2" w:rsidRDefault="00A76F9A" w:rsidP="00A76F9A">
      <w:pPr>
        <w:ind w:firstLine="708"/>
      </w:pPr>
    </w:p>
    <w:p w14:paraId="42B39619" w14:textId="77777777" w:rsidR="00A76F9A" w:rsidRPr="001B4CA2" w:rsidRDefault="00A76F9A" w:rsidP="00A76F9A">
      <w:pPr>
        <w:ind w:firstLine="708"/>
      </w:pPr>
      <w:r w:rsidRPr="001B4CA2">
        <w:t>Arhiv Općinskog državnog odvjetništva u Bjelovaru smješten je u podrumskim prostorijama zgrade u sjedištu koji zbog količine vlage i temperature zraka ne zadovoljava uvjete propisane Pravilnikom o upravljanju dokumentarnim gradivom izvan arhiva (Narodne novine, broj: 105/20), što je i utvrđeno provedenim stručnim nadzorom po stručnoj osobi Državnog arhiva u Bjelovaru.</w:t>
      </w:r>
    </w:p>
    <w:p w14:paraId="7E921C16" w14:textId="77777777" w:rsidR="00A76F9A" w:rsidRPr="001B4CA2" w:rsidRDefault="00A76F9A" w:rsidP="00A76F9A">
      <w:pPr>
        <w:ind w:firstLine="708"/>
      </w:pPr>
    </w:p>
    <w:p w14:paraId="464C847C" w14:textId="7A75C6E3" w:rsidR="00A76F9A" w:rsidRPr="001B4CA2" w:rsidRDefault="00A76F9A" w:rsidP="00A76F9A">
      <w:pPr>
        <w:ind w:firstLine="708"/>
      </w:pPr>
      <w:r w:rsidRPr="001B4CA2">
        <w:t>Županijsko državno odvjetništvo u Dubrovniku zajedno</w:t>
      </w:r>
      <w:r w:rsidR="00FD08E9">
        <w:t xml:space="preserve"> s </w:t>
      </w:r>
      <w:r w:rsidRPr="001B4CA2">
        <w:t>Općinskim državnim odvjetništvom u Dubrovniku već dugi niz godina radi u neadekvatnim uvjetima. Zamjenici državnog odvjetnika u kaznenim odjelima rade u iznimno malim uredima u kojima provode i dokazne radnje</w:t>
      </w:r>
      <w:r w:rsidR="00FD08E9">
        <w:t xml:space="preserve"> </w:t>
      </w:r>
      <w:r w:rsidRPr="001B4CA2">
        <w:t>ispitivanja svjedoka</w:t>
      </w:r>
      <w:r w:rsidR="003E3007">
        <w:t>,</w:t>
      </w:r>
      <w:r w:rsidRPr="001B4CA2">
        <w:t xml:space="preserve"> dok savjetnici u Općinskom državnom odvjetništvu rade u sobi za ispitivanje u podrumu zgrade. Zbog nedostatka prostora onemogućeno je zapošljavanje novih, potrebnih službenika.</w:t>
      </w:r>
    </w:p>
    <w:p w14:paraId="008352B5" w14:textId="77777777" w:rsidR="00A76F9A" w:rsidRPr="001B4CA2" w:rsidRDefault="00A76F9A" w:rsidP="00A76F9A"/>
    <w:p w14:paraId="67F26FB8" w14:textId="01BA60ED" w:rsidR="00A76F9A" w:rsidRPr="001B4CA2" w:rsidRDefault="00A76F9A" w:rsidP="00A76F9A">
      <w:pPr>
        <w:ind w:firstLine="708"/>
      </w:pPr>
      <w:r w:rsidRPr="001B4CA2">
        <w:t>U neadekvatnom i nedostatnom poslovnom prostoru rade i Općinsko državno odvjetništvo u Sisku, Vukovaru, Zadru, Čakovcu, Gospiću</w:t>
      </w:r>
      <w:r w:rsidR="003E3007">
        <w:t>,</w:t>
      </w:r>
      <w:r w:rsidRPr="001B4CA2">
        <w:t xml:space="preserve"> u kojima je više osoba smješteno u premale prostorije te nema prostora za čuvanje arhive.</w:t>
      </w:r>
    </w:p>
    <w:p w14:paraId="5AB4E1B3" w14:textId="32D8F49C" w:rsidR="00A76F9A" w:rsidRPr="001B4CA2" w:rsidRDefault="00A76F9A" w:rsidP="00A76F9A">
      <w:pPr>
        <w:ind w:firstLine="708"/>
      </w:pPr>
      <w:r w:rsidRPr="001B4CA2">
        <w:lastRenderedPageBreak/>
        <w:t>Pri tome treba istaknuti da Općinsko državno odvjetništvo u Sisku koristi prostor u Sisku temeljem ugovora o zakupu koji je istekao još 2018. godine</w:t>
      </w:r>
      <w:r w:rsidR="003E3007">
        <w:t>, a</w:t>
      </w:r>
      <w:r w:rsidRPr="001B4CA2">
        <w:t xml:space="preserve"> koji se smatra prešutno produljenim. Međutim, zgrada je prodana drugom vlasniku. Nije poznato koje su namjere novog vlasnika</w:t>
      </w:r>
      <w:r w:rsidR="003E3007">
        <w:t xml:space="preserve"> te</w:t>
      </w:r>
      <w:r w:rsidRPr="001B4CA2">
        <w:t xml:space="preserve"> </w:t>
      </w:r>
      <w:r w:rsidR="003E3007">
        <w:t>hoće li</w:t>
      </w:r>
      <w:r w:rsidRPr="001B4CA2">
        <w:t xml:space="preserve"> tražiti njihovo iseljenje. Trajno rješenje treba tražiti u dogovoru sa županijom kojoj je država darovala više nekretnina. </w:t>
      </w:r>
    </w:p>
    <w:p w14:paraId="68437388" w14:textId="77777777" w:rsidR="00A76F9A" w:rsidRPr="001B4CA2" w:rsidRDefault="00A76F9A" w:rsidP="00A76F9A"/>
    <w:p w14:paraId="7EB40AA2" w14:textId="7D414F2C" w:rsidR="00A76F9A" w:rsidRPr="001B4CA2" w:rsidRDefault="00A76F9A" w:rsidP="00A76F9A">
      <w:pPr>
        <w:ind w:firstLine="708"/>
      </w:pPr>
      <w:r w:rsidRPr="001B4CA2">
        <w:t>Županijsko državno odvjetništvo u Splitu, kao i Općinsko državno odvjetništvo u Splitu, obzirom na broj dužnosnika, službenika i namještenika, suočeni su s nedostatkom prostora. Unatoč dosadašnjoj reorganizaciji korištenja prostorija te pregrađivanja većih prostorija u više manjih problem nedostatka prostora nije riješen. Također im nedostaje prostor za arhivsku građu.</w:t>
      </w:r>
    </w:p>
    <w:p w14:paraId="5C08EE13" w14:textId="77777777" w:rsidR="00A76F9A" w:rsidRPr="001B4CA2" w:rsidRDefault="00A76F9A" w:rsidP="00A76F9A">
      <w:pPr>
        <w:ind w:firstLine="708"/>
      </w:pPr>
    </w:p>
    <w:p w14:paraId="5DA2273E" w14:textId="367D2C0E" w:rsidR="00A76F9A" w:rsidRPr="001B4CA2" w:rsidRDefault="00A76F9A" w:rsidP="00A76F9A">
      <w:pPr>
        <w:ind w:firstLine="708"/>
      </w:pPr>
      <w:r w:rsidRPr="001B4CA2">
        <w:t xml:space="preserve">Općinsko državno odvjetništvo u Varaždinu smješteno je u zgradu u državnom vlasništvu koju koriste i Ministarstvo mora, prometa i infrastrukture, Državni inspektorat i Ministarstvo unutarnjih poslova. Smještajni uvjeti Općinskog državnog odvjetništva u Varaždinu zadovoljavajući </w:t>
      </w:r>
      <w:r w:rsidR="003E3007" w:rsidRPr="001B4CA2">
        <w:t xml:space="preserve">su </w:t>
      </w:r>
      <w:r w:rsidRPr="001B4CA2">
        <w:t xml:space="preserve">u smislu kvadrature poslovnog prostora, broja i veličine raspoloživih prostorija. Međutim, kao što je isticano i ranijih godina, stare i dotrajale toplinske i električne instalacije otežavaju rad i općenito nepovoljno utječu na funkcionalnost poslovne zgrade i radne uvjete. Povremeno dolazi do otjecanja vode iz dotrajalih radijatora, bilo je više intervencija u vidu sporadične sanacije dijelova krovišta zbog propuštana </w:t>
      </w:r>
      <w:r w:rsidR="003E3007">
        <w:t>zbog</w:t>
      </w:r>
      <w:r w:rsidRPr="001B4CA2">
        <w:t xml:space="preserve"> većih oborina, popravaka u dijelu sanitarnog čvora. Zbog istrošenosti pojedinih elemenata i sklopova dizala nužno je promptno izvršiti rekonstrukciju i modernizaciju dizala u cilju povećanja sigurnosti i funkcionalnosti.</w:t>
      </w:r>
    </w:p>
    <w:p w14:paraId="30C85548" w14:textId="77777777" w:rsidR="00A76F9A" w:rsidRPr="001B4CA2" w:rsidRDefault="00A76F9A" w:rsidP="00A76F9A">
      <w:pPr>
        <w:ind w:firstLine="708"/>
      </w:pPr>
    </w:p>
    <w:p w14:paraId="107C8A3E" w14:textId="0CBDD1D7" w:rsidR="00A76F9A" w:rsidRPr="001B4CA2" w:rsidRDefault="00A76F9A" w:rsidP="00A76F9A">
      <w:pPr>
        <w:ind w:firstLine="708"/>
      </w:pPr>
      <w:r w:rsidRPr="001B4CA2">
        <w:t>Općinsko državno odvjetništvo u Vukovaru smješteno je u potkrovlju dvorišne</w:t>
      </w:r>
      <w:r w:rsidR="00FD08E9">
        <w:t xml:space="preserve"> </w:t>
      </w:r>
      <w:r w:rsidRPr="001B4CA2">
        <w:t>zgrade Palače pravde koji ima korisnu površinu od 197,58 m2 u koji je smješteno 28 zaposlenih osoba.</w:t>
      </w:r>
    </w:p>
    <w:p w14:paraId="14D03342" w14:textId="77777777" w:rsidR="00A76F9A" w:rsidRPr="001B4CA2" w:rsidRDefault="00A76F9A" w:rsidP="00A76F9A">
      <w:pPr>
        <w:ind w:firstLine="708"/>
      </w:pPr>
    </w:p>
    <w:p w14:paraId="124B3070" w14:textId="77777777" w:rsidR="00A76F9A" w:rsidRPr="001B4CA2" w:rsidRDefault="00A76F9A" w:rsidP="00A76F9A">
      <w:pPr>
        <w:ind w:firstLine="708"/>
      </w:pPr>
      <w:r w:rsidRPr="001B4CA2">
        <w:t>Pojedina državna odvjetništva i dalje ukazuju na problem nedostatka i starost namještaja kojim su opremljena, kao i na nepostojanje ili na neodgovarajuću klimatizaciju.</w:t>
      </w:r>
    </w:p>
    <w:p w14:paraId="698DFAC6" w14:textId="77777777" w:rsidR="00A76F9A" w:rsidRPr="001B4CA2" w:rsidRDefault="00A76F9A" w:rsidP="00A76F9A">
      <w:pPr>
        <w:ind w:firstLine="708"/>
      </w:pPr>
    </w:p>
    <w:p w14:paraId="06DA5FB7" w14:textId="6790E359" w:rsidR="00A76F9A" w:rsidRPr="001B4CA2" w:rsidRDefault="00A76F9A" w:rsidP="00A76F9A">
      <w:pPr>
        <w:ind w:firstLine="708"/>
      </w:pPr>
      <w:r w:rsidRPr="001B4CA2">
        <w:t xml:space="preserve">Općinsko državno odvjetništvo u Zadru smješteno je na dvije različite lokacije pa je tako Kazneni odjel smješten u zgradi Trgovačkog suda u Zadru, dok je Građansko-upravni odjel smješten u stanu u stambenoj zgradi na Poluotoku. U Kaznenom odjelu radi ukupno 40 zaposlenika koji koriste ukupno 17 </w:t>
      </w:r>
      <w:r w:rsidR="003E3007">
        <w:t>ureda</w:t>
      </w:r>
      <w:r w:rsidRPr="001B4CA2">
        <w:t>. Jed</w:t>
      </w:r>
      <w:r w:rsidR="003E3007">
        <w:t>an</w:t>
      </w:r>
      <w:r w:rsidRPr="001B4CA2">
        <w:t xml:space="preserve"> </w:t>
      </w:r>
      <w:r w:rsidR="003E3007">
        <w:t>ured</w:t>
      </w:r>
      <w:r w:rsidRPr="001B4CA2">
        <w:t xml:space="preserve"> od 15 m2 dijele dva zamjenika općinske državne odvjetnice i </w:t>
      </w:r>
      <w:proofErr w:type="spellStart"/>
      <w:r w:rsidRPr="001B4CA2">
        <w:t>državnoodvjetnička</w:t>
      </w:r>
      <w:proofErr w:type="spellEnd"/>
      <w:r w:rsidRPr="001B4CA2">
        <w:t xml:space="preserve"> zapisničarka, s tim da </w:t>
      </w:r>
      <w:r w:rsidR="003E3007">
        <w:t>uredi</w:t>
      </w:r>
      <w:r w:rsidRPr="001B4CA2">
        <w:t xml:space="preserve"> u kojima se nalaze </w:t>
      </w:r>
      <w:proofErr w:type="spellStart"/>
      <w:r w:rsidRPr="001B4CA2">
        <w:t>upisničari</w:t>
      </w:r>
      <w:proofErr w:type="spellEnd"/>
      <w:r w:rsidRPr="001B4CA2">
        <w:t xml:space="preserve"> služe i kao arhiva. Neadekvatnost prostora za rad utječe i na svakodnevno obavljanje poslova jer zamjenici obavljaju i dokazne radnje ispitivanja svjedoka, a takva </w:t>
      </w:r>
      <w:r w:rsidR="003E3007" w:rsidRPr="001B4CA2">
        <w:t xml:space="preserve">se </w:t>
      </w:r>
      <w:r w:rsidRPr="001B4CA2">
        <w:t xml:space="preserve">ispitivanja obavljaju u </w:t>
      </w:r>
      <w:r w:rsidR="003E3007">
        <w:t>uredima</w:t>
      </w:r>
      <w:r w:rsidRPr="001B4CA2">
        <w:t xml:space="preserve"> gdje zamjenici rade, pri čemu drugi zamjenik s kojim dijeli </w:t>
      </w:r>
      <w:r w:rsidR="003E3007">
        <w:t>ured</w:t>
      </w:r>
      <w:r w:rsidRPr="001B4CA2">
        <w:t xml:space="preserve"> ne može raditi jer su u svako</w:t>
      </w:r>
      <w:r w:rsidR="003E3007">
        <w:t xml:space="preserve">m uredu </w:t>
      </w:r>
      <w:r w:rsidRPr="001B4CA2">
        <w:t xml:space="preserve">dva zamjenika sa zapisničarom. </w:t>
      </w:r>
    </w:p>
    <w:p w14:paraId="0296A489" w14:textId="77777777" w:rsidR="00A76F9A" w:rsidRPr="001B4CA2" w:rsidRDefault="00A76F9A" w:rsidP="00A76F9A">
      <w:pPr>
        <w:ind w:firstLine="708"/>
      </w:pPr>
    </w:p>
    <w:p w14:paraId="6832BFF5" w14:textId="62286AB4" w:rsidR="00A76F9A" w:rsidRPr="001B4CA2" w:rsidRDefault="00A76F9A" w:rsidP="00A76F9A">
      <w:pPr>
        <w:ind w:firstLine="708"/>
      </w:pPr>
      <w:r w:rsidRPr="001B4CA2">
        <w:t xml:space="preserve">Građansko-upravni odjel dislociran </w:t>
      </w:r>
      <w:r w:rsidR="003E3007" w:rsidRPr="001B4CA2">
        <w:t xml:space="preserve">je </w:t>
      </w:r>
      <w:r w:rsidRPr="001B4CA2">
        <w:t xml:space="preserve">i smješten u stambenoj zgradi udaljenoj 1,5 km od Ureda općinske državne odvjetnice. Radni se </w:t>
      </w:r>
      <w:r w:rsidR="003E3007" w:rsidRPr="001B4CA2">
        <w:t xml:space="preserve">prostor </w:t>
      </w:r>
      <w:r w:rsidRPr="001B4CA2">
        <w:t>sastoji od 6 prostorija ukupne površine oko 100 m2 u kojima radi 17 zaposlenika, a što iznosi 5,8 m2 po</w:t>
      </w:r>
      <w:r w:rsidR="00FD08E9">
        <w:t xml:space="preserve"> </w:t>
      </w:r>
      <w:r w:rsidRPr="001B4CA2">
        <w:t>zaposleniku, što je apsolutno nedostatno i neprimjereno</w:t>
      </w:r>
      <w:r w:rsidR="00FD08E9">
        <w:t xml:space="preserve"> </w:t>
      </w:r>
      <w:r w:rsidRPr="001B4CA2">
        <w:t xml:space="preserve">za pravilno i uredno obavljanje poslova. Osim toga, radi se o derutnim prostorijama stana u koje se nije </w:t>
      </w:r>
      <w:r w:rsidRPr="001B4CA2">
        <w:lastRenderedPageBreak/>
        <w:t>godinama ulagalo, zbog čega je taj prostor potpuno neadekvatan za obavljanje poslova.</w:t>
      </w:r>
    </w:p>
    <w:p w14:paraId="7DFB0FF1" w14:textId="77777777" w:rsidR="00A76F9A" w:rsidRPr="001B4CA2" w:rsidRDefault="00A76F9A" w:rsidP="00A76F9A">
      <w:pPr>
        <w:ind w:firstLine="708"/>
      </w:pPr>
    </w:p>
    <w:p w14:paraId="239F7DA6" w14:textId="1E48C5F6" w:rsidR="00A76F9A" w:rsidRPr="001B4CA2" w:rsidRDefault="00A76F9A" w:rsidP="00A76F9A">
      <w:pPr>
        <w:ind w:firstLine="708"/>
      </w:pPr>
      <w:r w:rsidRPr="001B4CA2">
        <w:t>Za dugoročno rješenje smještaja</w:t>
      </w:r>
      <w:r w:rsidR="003E3007">
        <w:t>,</w:t>
      </w:r>
      <w:r w:rsidRPr="001B4CA2">
        <w:t xml:space="preserve"> a time i pravilno, uredno i učinkovito obavljanje </w:t>
      </w:r>
      <w:proofErr w:type="spellStart"/>
      <w:r w:rsidRPr="001B4CA2">
        <w:t>državnoodvjetničkih</w:t>
      </w:r>
      <w:proofErr w:type="spellEnd"/>
      <w:r w:rsidRPr="001B4CA2">
        <w:t xml:space="preserve"> zadaća potrebno je osigurati</w:t>
      </w:r>
      <w:r w:rsidR="00FD08E9">
        <w:t xml:space="preserve"> </w:t>
      </w:r>
      <w:r w:rsidRPr="001B4CA2">
        <w:t xml:space="preserve">nove adekvatne prostore u kojima bi bila smještena oba </w:t>
      </w:r>
      <w:r w:rsidR="003E3007">
        <w:t>o</w:t>
      </w:r>
      <w:r w:rsidRPr="001B4CA2">
        <w:t>djela.</w:t>
      </w:r>
    </w:p>
    <w:p w14:paraId="38A40EC4" w14:textId="77777777" w:rsidR="00A76F9A" w:rsidRPr="001B4CA2" w:rsidRDefault="00A76F9A" w:rsidP="00A76F9A">
      <w:pPr>
        <w:ind w:firstLine="708"/>
      </w:pPr>
    </w:p>
    <w:p w14:paraId="08D7374B" w14:textId="56F6610A" w:rsidR="00A76F9A" w:rsidRPr="001B4CA2" w:rsidRDefault="00A76F9A" w:rsidP="00A76F9A">
      <w:pPr>
        <w:ind w:firstLine="708"/>
      </w:pPr>
      <w:r w:rsidRPr="001B4CA2">
        <w:t>Prostor koji koristi Županijsko državno odvjetništvo u Zagrebu zadovoljava njegove potrebe</w:t>
      </w:r>
      <w:r w:rsidR="003E3007">
        <w:t>,</w:t>
      </w:r>
      <w:r w:rsidRPr="001B4CA2">
        <w:t xml:space="preserve"> što nije slučaj</w:t>
      </w:r>
      <w:r w:rsidR="00FD08E9">
        <w:t xml:space="preserve"> s </w:t>
      </w:r>
      <w:r w:rsidRPr="001B4CA2">
        <w:t>prostorom Općinskog kaznenog državnog odvjetništva u Zagrebu. Ako dođe do realizacije Plana popunjavanja za 2023. godinu</w:t>
      </w:r>
      <w:r w:rsidR="003E3007">
        <w:t>,</w:t>
      </w:r>
      <w:r w:rsidRPr="001B4CA2">
        <w:t xml:space="preserve"> za novoimenovane zamjenike neće biti dovoljno prostora. Stoga će se dio zamjenika morati preseliti na novu dislociranu lokaciju.</w:t>
      </w:r>
    </w:p>
    <w:p w14:paraId="4370F3AA" w14:textId="77777777" w:rsidR="00A76F9A" w:rsidRPr="001B4CA2" w:rsidRDefault="00A76F9A" w:rsidP="00A76F9A">
      <w:pPr>
        <w:ind w:firstLine="708"/>
      </w:pPr>
    </w:p>
    <w:p w14:paraId="5F409C2B" w14:textId="77777777" w:rsidR="00A76F9A" w:rsidRPr="001B4CA2" w:rsidRDefault="00A76F9A" w:rsidP="00A76F9A">
      <w:pPr>
        <w:ind w:firstLine="708"/>
      </w:pPr>
      <w:r w:rsidRPr="001B4CA2">
        <w:t>Županijsko državno odvjetništvo u Zagrebu, Općinsko kazneno državno odvjetništvo u Zagrebu i Općinsko državno odvjetništvo u Zlataru imaju zajedničku službu dežurstva u Selskoj cesti u Zagrebu. Radi realizacije projekta „Trg pravde“ mora se rušiti zgrada u kojoj se nalazi Služba dežurstva i preseliti na novu lokaciju.</w:t>
      </w:r>
    </w:p>
    <w:p w14:paraId="4CB40E8A" w14:textId="77777777" w:rsidR="00A76F9A" w:rsidRPr="001B4CA2" w:rsidRDefault="00A76F9A" w:rsidP="00A76F9A">
      <w:pPr>
        <w:ind w:firstLine="708"/>
      </w:pPr>
    </w:p>
    <w:p w14:paraId="329E93B5" w14:textId="11397943" w:rsidR="00A76F9A" w:rsidRPr="001B4CA2" w:rsidRDefault="00A76F9A" w:rsidP="00A76F9A">
      <w:pPr>
        <w:ind w:firstLine="708"/>
      </w:pPr>
      <w:r w:rsidRPr="001B4CA2">
        <w:t>Kako će tijekom 2023. biti srušena i dva pomoćna objekta u dvorištu Općinskog kaznenog državnog odvjetništva u Zagrebu u kojem je trenutno smještena arhiva</w:t>
      </w:r>
      <w:r w:rsidR="003E3007">
        <w:t>,</w:t>
      </w:r>
      <w:r w:rsidRPr="001B4CA2">
        <w:t xml:space="preserve"> u prvoj polovici godine bit</w:t>
      </w:r>
      <w:r w:rsidR="003E3007">
        <w:t xml:space="preserve"> će </w:t>
      </w:r>
      <w:r w:rsidRPr="001B4CA2">
        <w:t>potrebno preseliti cjelokupnu arhivu ovog državnog odvjetništva.</w:t>
      </w:r>
    </w:p>
    <w:p w14:paraId="08955CDA" w14:textId="77777777" w:rsidR="00A76F9A" w:rsidRPr="001B4CA2" w:rsidRDefault="00A76F9A" w:rsidP="00A76F9A">
      <w:pPr>
        <w:ind w:firstLine="708"/>
      </w:pPr>
    </w:p>
    <w:p w14:paraId="6517BF5B" w14:textId="76AF1429" w:rsidR="00A76F9A" w:rsidRPr="001B4CA2" w:rsidRDefault="00A76F9A" w:rsidP="00A76F9A">
      <w:pPr>
        <w:ind w:firstLine="708"/>
      </w:pPr>
      <w:r w:rsidRPr="001B4CA2">
        <w:t>Slijedom navedenog</w:t>
      </w:r>
      <w:r w:rsidR="003E3007">
        <w:t xml:space="preserve">a može se </w:t>
      </w:r>
      <w:r w:rsidRPr="001B4CA2">
        <w:t>očekivati da će se to odraziti na ažurnost u radu i kvalitetu odluka.</w:t>
      </w:r>
    </w:p>
    <w:p w14:paraId="5B14EDAF" w14:textId="77777777" w:rsidR="00A76F9A" w:rsidRPr="001B4CA2" w:rsidRDefault="00A76F9A" w:rsidP="00A76F9A"/>
    <w:p w14:paraId="4CEF346E" w14:textId="35A56474" w:rsidR="00A76F9A" w:rsidRPr="001B4CA2" w:rsidRDefault="00A76F9A" w:rsidP="00A76F9A">
      <w:pPr>
        <w:ind w:firstLine="708"/>
      </w:pPr>
      <w:r w:rsidRPr="001B4CA2">
        <w:t>Kao i u prošlom izvještajnom razdoblju i ove godine više državnih odvjetništava ukazuje na potrebu osiguranja prostora po pravosudnoj policiji, ne samo za vrijeme nego i izvan radnog vremena, posebno tijekom obavljanja poslova dežurstva u službenim prostorijama, odnosno na potrebu nabavljanja opreme za videonadzor radi povećanja sigurnosti zaposlenika i dužnosnika i time omogućivanja neometanog</w:t>
      </w:r>
      <w:r w:rsidR="003E3007">
        <w:t>a</w:t>
      </w:r>
      <w:r w:rsidRPr="001B4CA2">
        <w:t xml:space="preserve"> rada.</w:t>
      </w:r>
    </w:p>
    <w:p w14:paraId="6EDF6B8E" w14:textId="77777777" w:rsidR="008C73DD" w:rsidRPr="001B4CA2" w:rsidRDefault="008C73DD" w:rsidP="00886E1C"/>
    <w:p w14:paraId="3F81C348" w14:textId="755F7520" w:rsidR="00F0643D" w:rsidRPr="001B4CA2" w:rsidRDefault="0084121E" w:rsidP="00A76F9A">
      <w:pPr>
        <w:pStyle w:val="Naslov4"/>
        <w:tabs>
          <w:tab w:val="left" w:pos="1134"/>
        </w:tabs>
        <w:rPr>
          <w:rFonts w:ascii="Arial" w:hAnsi="Arial" w:cs="Arial"/>
        </w:rPr>
      </w:pPr>
      <w:bookmarkStart w:id="191" w:name="_Toc133394421"/>
      <w:r w:rsidRPr="001B4CA2">
        <w:rPr>
          <w:rFonts w:ascii="Arial" w:hAnsi="Arial" w:cs="Arial"/>
        </w:rPr>
        <w:t>Službena vozila</w:t>
      </w:r>
      <w:bookmarkEnd w:id="191"/>
    </w:p>
    <w:p w14:paraId="4339E93C" w14:textId="77777777" w:rsidR="00AD622D" w:rsidRPr="001B4CA2" w:rsidRDefault="00AD622D" w:rsidP="00AD622D">
      <w:pPr>
        <w:rPr>
          <w:rFonts w:eastAsia="Arial"/>
        </w:rPr>
      </w:pPr>
    </w:p>
    <w:p w14:paraId="293660A8" w14:textId="44E7C127" w:rsidR="00A76F9A" w:rsidRPr="001B4CA2" w:rsidRDefault="00A76F9A" w:rsidP="00A76F9A">
      <w:pPr>
        <w:ind w:firstLine="708"/>
      </w:pPr>
      <w:r w:rsidRPr="001B4CA2">
        <w:t>Kao i ranijih godina ponov</w:t>
      </w:r>
      <w:r w:rsidR="003E3007">
        <w:t>n</w:t>
      </w:r>
      <w:r w:rsidRPr="001B4CA2">
        <w:t>o se ističe da državna odvjetništva nemaju dovoljan broj</w:t>
      </w:r>
      <w:r w:rsidR="003E3007">
        <w:t>,</w:t>
      </w:r>
      <w:r w:rsidRPr="001B4CA2">
        <w:t xml:space="preserve"> odnosno ne raspolažu adekvatnim i sigurnim službenim vozilima. Prosjek starosti službenih vozila koja su se koristila nerijetko je bio 15 i više godina.</w:t>
      </w:r>
    </w:p>
    <w:p w14:paraId="2626DE2E" w14:textId="77777777" w:rsidR="00A76F9A" w:rsidRPr="001B4CA2" w:rsidRDefault="00A76F9A" w:rsidP="00A76F9A"/>
    <w:p w14:paraId="3C2659B0" w14:textId="002A3A1B" w:rsidR="00A76F9A" w:rsidRPr="001B4CA2" w:rsidRDefault="00A76F9A" w:rsidP="00A76F9A">
      <w:pPr>
        <w:ind w:firstLine="708"/>
      </w:pPr>
      <w:r w:rsidRPr="001B4CA2">
        <w:t xml:space="preserve">U 2022. godini Ministarstvo pravosuđa i uprave osiguralo je sredstva za nabavu službenih vozila putem financijskog leasinga te su na taj način u pojedinim državnim odvjetništvima nabavljena odgovarajuća službena vozila </w:t>
      </w:r>
      <w:r w:rsidR="00F47D60">
        <w:t>(</w:t>
      </w:r>
      <w:r w:rsidRPr="001B4CA2">
        <w:t xml:space="preserve">u Državnom odvjetništvu Republike Hrvatske jedno novo vozilo, u USKOK-u 6 novih vozila, </w:t>
      </w:r>
      <w:r w:rsidR="003E3007">
        <w:t xml:space="preserve">u </w:t>
      </w:r>
      <w:r w:rsidRPr="001B4CA2">
        <w:t xml:space="preserve">Puli 2 nova vozila, </w:t>
      </w:r>
      <w:r w:rsidR="003E3007">
        <w:t xml:space="preserve">u </w:t>
      </w:r>
      <w:r w:rsidRPr="001B4CA2">
        <w:t xml:space="preserve">Rijeci jedno, </w:t>
      </w:r>
      <w:r w:rsidR="003E3007">
        <w:t xml:space="preserve">u </w:t>
      </w:r>
      <w:r w:rsidRPr="001B4CA2">
        <w:t xml:space="preserve">Sisku jedno, </w:t>
      </w:r>
      <w:r w:rsidR="003E3007">
        <w:t xml:space="preserve">u </w:t>
      </w:r>
      <w:r w:rsidRPr="001B4CA2">
        <w:t xml:space="preserve">Slavonskom Brodu jedno vozilo, u Splitu dva, </w:t>
      </w:r>
      <w:r w:rsidR="003E3007">
        <w:t xml:space="preserve">u </w:t>
      </w:r>
      <w:r w:rsidRPr="001B4CA2">
        <w:t xml:space="preserve">Šibeniku jedno i </w:t>
      </w:r>
      <w:r w:rsidR="003E3007">
        <w:t xml:space="preserve">u </w:t>
      </w:r>
      <w:r w:rsidRPr="001B4CA2">
        <w:t>Varaždinu jedno vozilo).</w:t>
      </w:r>
    </w:p>
    <w:p w14:paraId="264B79A6" w14:textId="77777777" w:rsidR="00A76F9A" w:rsidRPr="001B4CA2" w:rsidRDefault="00A76F9A" w:rsidP="00A76F9A"/>
    <w:p w14:paraId="38869E6F" w14:textId="77777777" w:rsidR="00A76F9A" w:rsidRPr="001B4CA2" w:rsidRDefault="00A76F9A" w:rsidP="00A76F9A">
      <w:pPr>
        <w:ind w:firstLine="708"/>
      </w:pPr>
      <w:r w:rsidRPr="001B4CA2">
        <w:t>Od Ministarstva pravosuđa i uprave očekuje se poduzimanje potrebnih radnji i osiguranje novčanih sredstava kako bi se nastavila i ubrzala zamjena starih i nabava novih odgovarajućih vozila.</w:t>
      </w:r>
    </w:p>
    <w:p w14:paraId="1F78ECF5" w14:textId="77777777" w:rsidR="00A76F9A" w:rsidRPr="001B4CA2" w:rsidRDefault="00A76F9A" w:rsidP="00A76F9A"/>
    <w:p w14:paraId="7D27244E" w14:textId="085C1DDE" w:rsidR="00A76F9A" w:rsidRPr="001B4CA2" w:rsidRDefault="00A76F9A" w:rsidP="00A76F9A">
      <w:pPr>
        <w:ind w:firstLine="708"/>
      </w:pPr>
      <w:r w:rsidRPr="001B4CA2">
        <w:lastRenderedPageBreak/>
        <w:t>Pored toga, nužno je za više županijskih državnih odvjetništava nabaviti dodatna odgovarajuća službena vozila, jer državni odvjetnici iz tih odvjetništava postupaju ne samo pred sudovima u sjedištima svog državnog odvjetništva, već i pred sudovima izvan sjedišta, pa će za ta državna odvjetništva biti nužno nabaviti dodatna vozila, sukladno odredbama Poslovnika državnog odvjetništva donesenog po Ministarstvu pravosuđa i uprave krajem 2019. godine. Tako građansko-upravni odjeli županijskih državnih odvjetništava u Sisku, Puli i Vukovaru zastupaju isključivo pred sudovima izvan svog sjedišta</w:t>
      </w:r>
      <w:r w:rsidR="003E3007">
        <w:t>,</w:t>
      </w:r>
      <w:r w:rsidRPr="001B4CA2">
        <w:t xml:space="preserve"> zbog čega svakodnevno putuju u Zagreb i Osijek</w:t>
      </w:r>
      <w:r w:rsidR="003E3007">
        <w:t>,</w:t>
      </w:r>
      <w:r w:rsidRPr="001B4CA2">
        <w:t xml:space="preserve"> odnosno Rijeku i Pazin pa zamjenici državnih odvjetnika putuju svojim osobnim automobilima zbog čega imaju velike troškove koje im ne pokriva visina naknade za korištenje osobnog automobila u službene svrhe.</w:t>
      </w:r>
    </w:p>
    <w:p w14:paraId="154E9769" w14:textId="77777777" w:rsidR="008C73DD" w:rsidRPr="001B4CA2" w:rsidRDefault="008C73DD" w:rsidP="00AD622D">
      <w:pPr>
        <w:rPr>
          <w:rFonts w:eastAsia="Arial"/>
        </w:rPr>
      </w:pPr>
    </w:p>
    <w:p w14:paraId="6A1D3C7E" w14:textId="607490D2" w:rsidR="0084121E" w:rsidRPr="001B4CA2" w:rsidRDefault="0084121E" w:rsidP="00A76F9A">
      <w:pPr>
        <w:pStyle w:val="Naslov4"/>
        <w:tabs>
          <w:tab w:val="left" w:pos="1134"/>
        </w:tabs>
        <w:rPr>
          <w:rFonts w:ascii="Arial" w:hAnsi="Arial" w:cs="Arial"/>
        </w:rPr>
      </w:pPr>
      <w:bookmarkStart w:id="192" w:name="_Toc133394422"/>
      <w:r w:rsidRPr="001B4CA2">
        <w:rPr>
          <w:rFonts w:ascii="Arial" w:hAnsi="Arial" w:cs="Arial"/>
        </w:rPr>
        <w:t>Oprema</w:t>
      </w:r>
      <w:bookmarkEnd w:id="192"/>
    </w:p>
    <w:p w14:paraId="60AD94C1" w14:textId="77777777" w:rsidR="005868C3" w:rsidRPr="001B4CA2" w:rsidRDefault="005868C3" w:rsidP="005868C3"/>
    <w:p w14:paraId="5198D52F" w14:textId="77777777" w:rsidR="00A76F9A" w:rsidRPr="001B4CA2" w:rsidRDefault="00A76F9A" w:rsidP="00A76F9A">
      <w:pPr>
        <w:ind w:firstLine="708"/>
      </w:pPr>
      <w:r w:rsidRPr="001B4CA2">
        <w:t>U uvodu ovog poglavlja već je navedeno da je opremljenost IT opremom relativno zadovoljavajuća.</w:t>
      </w:r>
    </w:p>
    <w:p w14:paraId="6F3752CC" w14:textId="77777777" w:rsidR="00A76F9A" w:rsidRPr="001B4CA2" w:rsidRDefault="00A76F9A" w:rsidP="00A76F9A"/>
    <w:p w14:paraId="38705D70" w14:textId="50F27715" w:rsidR="00A76F9A" w:rsidRPr="001B4CA2" w:rsidRDefault="00A76F9A" w:rsidP="00A76F9A">
      <w:pPr>
        <w:ind w:firstLine="709"/>
      </w:pPr>
      <w:r w:rsidRPr="001B4CA2">
        <w:t>Prije svega, ponov</w:t>
      </w:r>
      <w:r w:rsidR="003E3007">
        <w:t>n</w:t>
      </w:r>
      <w:r w:rsidRPr="001B4CA2">
        <w:t>o se ističe problem zastarjelosti postojeće opreme za snimanje dokaznih radnji ispitivanja okrivljenika. Snimanje ove dokazne radnje sukladno odredbi članka 275. Zakona o kaznenom postupku je obvezno. Bez zakonito provedene i snimljene dokazne radnje ispitivanja okrivljenika nije moguće (izuzev u slučaju suđenja u odsutnosti) podići optužnicu.</w:t>
      </w:r>
    </w:p>
    <w:p w14:paraId="49BD58F2" w14:textId="77777777" w:rsidR="00A76F9A" w:rsidRPr="001B4CA2" w:rsidRDefault="00A76F9A" w:rsidP="00A76F9A"/>
    <w:p w14:paraId="000A0BCB" w14:textId="77777777" w:rsidR="00A76F9A" w:rsidRPr="001B4CA2" w:rsidRDefault="00A76F9A" w:rsidP="00A76F9A">
      <w:pPr>
        <w:ind w:firstLine="709"/>
      </w:pPr>
      <w:r w:rsidRPr="001B4CA2">
        <w:t>Zbog zastarjelosti postojeće opreme koja se svakodnevno koristi, a koja je za redovita državna odvjetništva nabavljena prije 11 godina, često dolazi do smetnji, što rezultira lošom kvalitetom zvuka i slike, čime se dovodi u pitanje mogućnost korištenja rezultata provedene dokazne radnje u postupku.</w:t>
      </w:r>
    </w:p>
    <w:p w14:paraId="1C730FFD" w14:textId="77777777" w:rsidR="00A76F9A" w:rsidRPr="001B4CA2" w:rsidRDefault="00A76F9A" w:rsidP="00A76F9A"/>
    <w:p w14:paraId="05391AF5" w14:textId="00CF4BA1" w:rsidR="00A76F9A" w:rsidRPr="001B4CA2" w:rsidRDefault="00A76F9A" w:rsidP="00A76F9A">
      <w:pPr>
        <w:ind w:firstLine="709"/>
      </w:pPr>
      <w:r w:rsidRPr="001B4CA2">
        <w:t>Stoga je u idućem razdoblju nužno nabaviti novu adekvatnu opremu za provođenje dokazne radnje prvog ispitivanja okrivljenika za sva državna odvjetništva</w:t>
      </w:r>
      <w:r w:rsidR="003E3007">
        <w:t>,</w:t>
      </w:r>
      <w:r w:rsidRPr="001B4CA2">
        <w:t xml:space="preserve"> uključujući i Ured za suzbijanje korupcije i organiziranog kriminaliteta.</w:t>
      </w:r>
    </w:p>
    <w:p w14:paraId="7ACBD309" w14:textId="77777777" w:rsidR="00A76F9A" w:rsidRPr="001B4CA2" w:rsidRDefault="00A76F9A" w:rsidP="00A76F9A"/>
    <w:p w14:paraId="786BFCA6" w14:textId="2B9521A7" w:rsidR="00A76F9A" w:rsidRPr="001B4CA2" w:rsidRDefault="00A76F9A" w:rsidP="00A76F9A">
      <w:pPr>
        <w:ind w:firstLine="708"/>
      </w:pPr>
      <w:r w:rsidRPr="001B4CA2">
        <w:t>Nadalje, više općinskih i županijskih državnih odvjetništava, pa i Ured za suzbijanje korupcije i organiziranog kriminaliteta još uvijek nemaju dovoljno adekvatnih računala, već za rad koriste i računala stara osam i više godina, što učestalo stvara poteškoće u radu. Kako se u radu na predmetima sve više koriste digitalni dokazi</w:t>
      </w:r>
      <w:r w:rsidR="003E3007">
        <w:t>,</w:t>
      </w:r>
      <w:r w:rsidRPr="001B4CA2">
        <w:t xml:space="preserve"> potrebna su računala</w:t>
      </w:r>
      <w:r w:rsidR="00FD08E9">
        <w:t xml:space="preserve"> s </w:t>
      </w:r>
      <w:r w:rsidRPr="001B4CA2">
        <w:t>većim monitorima, većom memorijom i jačim procesorima. Također, nedostaju adekvatna prijenosna računala.</w:t>
      </w:r>
    </w:p>
    <w:p w14:paraId="61C85A39" w14:textId="77777777" w:rsidR="00A76F9A" w:rsidRPr="001B4CA2" w:rsidRDefault="00A76F9A" w:rsidP="00A76F9A">
      <w:pPr>
        <w:ind w:firstLine="708"/>
      </w:pPr>
    </w:p>
    <w:p w14:paraId="5E3A2887" w14:textId="3DB5D6C7" w:rsidR="00A76F9A" w:rsidRPr="001B4CA2" w:rsidRDefault="00A76F9A" w:rsidP="00A76F9A">
      <w:pPr>
        <w:ind w:firstLine="708"/>
      </w:pPr>
      <w:r w:rsidRPr="001B4CA2">
        <w:t>Iako je epidemija SARS-COV</w:t>
      </w:r>
      <w:r w:rsidR="003E3007">
        <w:t>ID</w:t>
      </w:r>
      <w:r w:rsidRPr="001B4CA2">
        <w:t xml:space="preserve"> virusom jenjala, ispitivanja okrivljenika i svjedoka u kaznenim predmetima provode se u posebnim situacijama na daljinu, zbog čega su povećane potrebe za sudjelovanjem na online ročištima. Nakon e-komunikacije između državnog odvjetništva i sudova u parničnim predmetima, zemljišno-knjižnim i ovršnim predmetima u 2023. uvedena </w:t>
      </w:r>
      <w:r w:rsidR="003E3007" w:rsidRPr="001B4CA2">
        <w:t xml:space="preserve">je </w:t>
      </w:r>
      <w:r w:rsidRPr="001B4CA2">
        <w:t>e-komunikacija i u kaznenim predmetima</w:t>
      </w:r>
      <w:r w:rsidR="003E3007">
        <w:t>,</w:t>
      </w:r>
      <w:r w:rsidRPr="001B4CA2">
        <w:t xml:space="preserve"> što dodatno usporava i onemoguć</w:t>
      </w:r>
      <w:r w:rsidR="003E3007">
        <w:t>uje</w:t>
      </w:r>
      <w:r w:rsidRPr="001B4CA2">
        <w:t xml:space="preserve"> prijenos veće količine podataka jer postojeća računalna infrastruktura ne zadovoljava potrebe pravosuđa u cjelini, a što je u nadležnosti Ministarstva pravosuđa i uprave.</w:t>
      </w:r>
    </w:p>
    <w:p w14:paraId="7831AB7D" w14:textId="77777777" w:rsidR="00A76F9A" w:rsidRPr="001B4CA2" w:rsidRDefault="00A76F9A" w:rsidP="00A76F9A"/>
    <w:p w14:paraId="248CE28F" w14:textId="77777777" w:rsidR="00A76F9A" w:rsidRPr="001B4CA2" w:rsidRDefault="00A76F9A" w:rsidP="00A76F9A">
      <w:pPr>
        <w:ind w:firstLine="708"/>
      </w:pPr>
      <w:r w:rsidRPr="001B4CA2">
        <w:t>Također, dio državnih odvjetništava koristi stari i dotrajali namještaj, neprimjeren za rad jednog pravosudnog tijela.</w:t>
      </w:r>
    </w:p>
    <w:p w14:paraId="1FBC501B" w14:textId="77777777" w:rsidR="00480124" w:rsidRPr="001B4CA2" w:rsidRDefault="00480124" w:rsidP="005A6EBE">
      <w:pPr>
        <w:rPr>
          <w:rFonts w:eastAsia="Arial"/>
        </w:rPr>
      </w:pPr>
    </w:p>
    <w:p w14:paraId="00B26A45" w14:textId="77777777" w:rsidR="00BB4D48" w:rsidRPr="001B4CA2" w:rsidRDefault="00BB4D48" w:rsidP="00A76F9A">
      <w:pPr>
        <w:pStyle w:val="Naslov3"/>
        <w:tabs>
          <w:tab w:val="left" w:pos="993"/>
        </w:tabs>
        <w:rPr>
          <w:rFonts w:ascii="Arial" w:hAnsi="Arial" w:cs="Arial"/>
        </w:rPr>
      </w:pPr>
      <w:bookmarkStart w:id="193" w:name="_Toc133394423"/>
      <w:r w:rsidRPr="001B4CA2">
        <w:rPr>
          <w:rFonts w:ascii="Arial" w:hAnsi="Arial" w:cs="Arial"/>
        </w:rPr>
        <w:t>Odobrena financijska sredstva za ra</w:t>
      </w:r>
      <w:r w:rsidR="00CE234E" w:rsidRPr="001B4CA2">
        <w:rPr>
          <w:rFonts w:ascii="Arial" w:hAnsi="Arial" w:cs="Arial"/>
        </w:rPr>
        <w:t>d državnih odvjetništava</w:t>
      </w:r>
      <w:bookmarkEnd w:id="193"/>
    </w:p>
    <w:p w14:paraId="358796D4" w14:textId="77777777" w:rsidR="00A76F9A" w:rsidRPr="001B4CA2" w:rsidRDefault="00A76F9A" w:rsidP="00A76F9A">
      <w:pPr>
        <w:ind w:firstLine="708"/>
        <w:rPr>
          <w:rFonts w:eastAsia="Calibri"/>
        </w:rPr>
      </w:pPr>
    </w:p>
    <w:tbl>
      <w:tblPr>
        <w:tblW w:w="4884" w:type="pct"/>
        <w:tblInd w:w="108" w:type="dxa"/>
        <w:tblLayout w:type="fixed"/>
        <w:tblLook w:val="04A0" w:firstRow="1" w:lastRow="0" w:firstColumn="1" w:lastColumn="0" w:noHBand="0" w:noVBand="1"/>
      </w:tblPr>
      <w:tblGrid>
        <w:gridCol w:w="993"/>
        <w:gridCol w:w="1276"/>
        <w:gridCol w:w="1277"/>
        <w:gridCol w:w="1276"/>
        <w:gridCol w:w="1277"/>
        <w:gridCol w:w="1417"/>
        <w:gridCol w:w="1557"/>
      </w:tblGrid>
      <w:tr w:rsidR="00EA06F0" w:rsidRPr="001B4CA2" w14:paraId="22752E41" w14:textId="77777777" w:rsidTr="000268FF">
        <w:trPr>
          <w:trHeight w:val="343"/>
        </w:trPr>
        <w:tc>
          <w:tcPr>
            <w:tcW w:w="547" w:type="pct"/>
            <w:vMerge w:val="restart"/>
            <w:tcBorders>
              <w:top w:val="single" w:sz="4" w:space="0" w:color="auto"/>
              <w:left w:val="single" w:sz="4" w:space="0" w:color="auto"/>
              <w:right w:val="single" w:sz="4" w:space="0" w:color="auto"/>
            </w:tcBorders>
            <w:shd w:val="clear" w:color="auto" w:fill="99CCFF"/>
            <w:noWrap/>
            <w:vAlign w:val="bottom"/>
            <w:hideMark/>
          </w:tcPr>
          <w:p w14:paraId="2DB205A1" w14:textId="77777777" w:rsidR="00A76F9A" w:rsidRPr="000268FF" w:rsidRDefault="00A76F9A" w:rsidP="00443DAF">
            <w:pPr>
              <w:jc w:val="left"/>
              <w:rPr>
                <w:rFonts w:eastAsia="Times New Roman"/>
                <w:sz w:val="16"/>
                <w:szCs w:val="16"/>
                <w:lang w:eastAsia="hr-HR"/>
              </w:rPr>
            </w:pPr>
          </w:p>
        </w:tc>
        <w:tc>
          <w:tcPr>
            <w:tcW w:w="1407" w:type="pct"/>
            <w:gridSpan w:val="2"/>
            <w:tcBorders>
              <w:top w:val="single" w:sz="4" w:space="0" w:color="auto"/>
              <w:left w:val="nil"/>
              <w:bottom w:val="single" w:sz="4" w:space="0" w:color="auto"/>
              <w:right w:val="single" w:sz="4" w:space="0" w:color="auto"/>
            </w:tcBorders>
            <w:shd w:val="clear" w:color="auto" w:fill="99CCFF"/>
            <w:noWrap/>
            <w:vAlign w:val="center"/>
            <w:hideMark/>
          </w:tcPr>
          <w:p w14:paraId="218EB753" w14:textId="77777777" w:rsidR="00A76F9A" w:rsidRPr="000268FF" w:rsidRDefault="00A76F9A" w:rsidP="00443DAF">
            <w:pPr>
              <w:jc w:val="center"/>
              <w:rPr>
                <w:rFonts w:eastAsia="Times New Roman"/>
                <w:b/>
                <w:sz w:val="16"/>
                <w:szCs w:val="16"/>
                <w:lang w:eastAsia="hr-HR"/>
              </w:rPr>
            </w:pPr>
            <w:r w:rsidRPr="000268FF">
              <w:rPr>
                <w:rFonts w:eastAsia="Times New Roman"/>
                <w:b/>
                <w:sz w:val="16"/>
                <w:szCs w:val="16"/>
                <w:lang w:eastAsia="hr-HR"/>
              </w:rPr>
              <w:t>Plan prihoda (kn)</w:t>
            </w:r>
          </w:p>
        </w:tc>
        <w:tc>
          <w:tcPr>
            <w:tcW w:w="1407" w:type="pct"/>
            <w:gridSpan w:val="2"/>
            <w:tcBorders>
              <w:top w:val="single" w:sz="4" w:space="0" w:color="auto"/>
              <w:left w:val="nil"/>
              <w:bottom w:val="single" w:sz="4" w:space="0" w:color="auto"/>
              <w:right w:val="single" w:sz="4" w:space="0" w:color="auto"/>
            </w:tcBorders>
            <w:shd w:val="clear" w:color="auto" w:fill="99CCFF"/>
            <w:noWrap/>
            <w:vAlign w:val="center"/>
            <w:hideMark/>
          </w:tcPr>
          <w:p w14:paraId="7B1BA9B7" w14:textId="77777777" w:rsidR="00A76F9A" w:rsidRPr="000268FF" w:rsidRDefault="00A76F9A" w:rsidP="00443DAF">
            <w:pPr>
              <w:jc w:val="center"/>
              <w:rPr>
                <w:rFonts w:eastAsia="Times New Roman"/>
                <w:b/>
                <w:sz w:val="16"/>
                <w:szCs w:val="16"/>
                <w:lang w:eastAsia="hr-HR"/>
              </w:rPr>
            </w:pPr>
            <w:r w:rsidRPr="000268FF">
              <w:rPr>
                <w:rFonts w:eastAsia="Times New Roman"/>
                <w:b/>
                <w:sz w:val="16"/>
                <w:szCs w:val="16"/>
                <w:lang w:eastAsia="hr-HR"/>
              </w:rPr>
              <w:t>Izvršenje (kn)</w:t>
            </w:r>
          </w:p>
        </w:tc>
        <w:tc>
          <w:tcPr>
            <w:tcW w:w="1639" w:type="pct"/>
            <w:gridSpan w:val="2"/>
            <w:tcBorders>
              <w:top w:val="single" w:sz="4" w:space="0" w:color="auto"/>
              <w:left w:val="nil"/>
              <w:bottom w:val="single" w:sz="4" w:space="0" w:color="auto"/>
              <w:right w:val="single" w:sz="4" w:space="0" w:color="auto"/>
            </w:tcBorders>
            <w:shd w:val="clear" w:color="auto" w:fill="99CCFF"/>
            <w:vAlign w:val="center"/>
            <w:hideMark/>
          </w:tcPr>
          <w:p w14:paraId="6F4AC504" w14:textId="77777777" w:rsidR="00A76F9A" w:rsidRPr="000268FF" w:rsidRDefault="00A76F9A" w:rsidP="00443DAF">
            <w:pPr>
              <w:jc w:val="center"/>
              <w:rPr>
                <w:rFonts w:eastAsia="Times New Roman"/>
                <w:b/>
                <w:sz w:val="16"/>
                <w:szCs w:val="16"/>
                <w:lang w:eastAsia="hr-HR"/>
              </w:rPr>
            </w:pPr>
            <w:r w:rsidRPr="000268FF">
              <w:rPr>
                <w:rFonts w:eastAsia="Times New Roman"/>
                <w:b/>
                <w:sz w:val="16"/>
                <w:szCs w:val="16"/>
                <w:lang w:eastAsia="hr-HR"/>
              </w:rPr>
              <w:t>Ukupni rashodi (kn)</w:t>
            </w:r>
          </w:p>
        </w:tc>
      </w:tr>
      <w:tr w:rsidR="000268FF" w:rsidRPr="001B4CA2" w14:paraId="7E9B1B4C" w14:textId="77777777" w:rsidTr="000268FF">
        <w:trPr>
          <w:trHeight w:val="548"/>
        </w:trPr>
        <w:tc>
          <w:tcPr>
            <w:tcW w:w="547" w:type="pct"/>
            <w:vMerge/>
            <w:tcBorders>
              <w:left w:val="single" w:sz="4" w:space="0" w:color="auto"/>
              <w:bottom w:val="single" w:sz="4" w:space="0" w:color="auto"/>
              <w:right w:val="single" w:sz="4" w:space="0" w:color="auto"/>
            </w:tcBorders>
            <w:shd w:val="clear" w:color="auto" w:fill="99CCFF"/>
            <w:noWrap/>
            <w:vAlign w:val="bottom"/>
          </w:tcPr>
          <w:p w14:paraId="047C3A93" w14:textId="77777777" w:rsidR="00A76F9A" w:rsidRPr="000268FF" w:rsidRDefault="00A76F9A" w:rsidP="00443DAF">
            <w:pPr>
              <w:jc w:val="left"/>
              <w:rPr>
                <w:rFonts w:eastAsia="Times New Roman"/>
                <w:sz w:val="16"/>
                <w:szCs w:val="16"/>
                <w:lang w:eastAsia="hr-HR"/>
              </w:rPr>
            </w:pPr>
          </w:p>
        </w:tc>
        <w:tc>
          <w:tcPr>
            <w:tcW w:w="703" w:type="pct"/>
            <w:tcBorders>
              <w:top w:val="single" w:sz="4" w:space="0" w:color="auto"/>
              <w:left w:val="nil"/>
              <w:bottom w:val="single" w:sz="4" w:space="0" w:color="auto"/>
              <w:right w:val="single" w:sz="4" w:space="0" w:color="auto"/>
            </w:tcBorders>
            <w:shd w:val="clear" w:color="auto" w:fill="99CCFF"/>
            <w:noWrap/>
            <w:vAlign w:val="center"/>
          </w:tcPr>
          <w:p w14:paraId="2CDFCD67" w14:textId="77777777" w:rsidR="00A76F9A" w:rsidRPr="000268FF" w:rsidRDefault="00A76F9A" w:rsidP="00443DAF">
            <w:pPr>
              <w:jc w:val="center"/>
              <w:rPr>
                <w:rFonts w:eastAsia="Times New Roman"/>
                <w:sz w:val="16"/>
                <w:szCs w:val="16"/>
                <w:lang w:eastAsia="hr-HR"/>
              </w:rPr>
            </w:pPr>
            <w:r w:rsidRPr="000268FF">
              <w:rPr>
                <w:rFonts w:eastAsia="Times New Roman"/>
                <w:sz w:val="16"/>
                <w:szCs w:val="16"/>
                <w:lang w:eastAsia="hr-HR"/>
              </w:rPr>
              <w:t>2021.</w:t>
            </w:r>
          </w:p>
        </w:tc>
        <w:tc>
          <w:tcPr>
            <w:tcW w:w="704" w:type="pct"/>
            <w:tcBorders>
              <w:top w:val="single" w:sz="4" w:space="0" w:color="auto"/>
              <w:left w:val="nil"/>
              <w:bottom w:val="single" w:sz="4" w:space="0" w:color="auto"/>
              <w:right w:val="single" w:sz="4" w:space="0" w:color="auto"/>
            </w:tcBorders>
            <w:shd w:val="clear" w:color="auto" w:fill="99CCFF"/>
            <w:vAlign w:val="center"/>
          </w:tcPr>
          <w:p w14:paraId="20D7C482" w14:textId="77777777" w:rsidR="00A76F9A" w:rsidRPr="000268FF" w:rsidRDefault="00A76F9A" w:rsidP="00443DAF">
            <w:pPr>
              <w:jc w:val="center"/>
              <w:rPr>
                <w:rFonts w:eastAsia="Times New Roman"/>
                <w:sz w:val="16"/>
                <w:szCs w:val="16"/>
                <w:lang w:eastAsia="hr-HR"/>
              </w:rPr>
            </w:pPr>
            <w:r w:rsidRPr="000268FF">
              <w:rPr>
                <w:rFonts w:eastAsia="Times New Roman"/>
                <w:sz w:val="16"/>
                <w:szCs w:val="16"/>
                <w:lang w:eastAsia="hr-HR"/>
              </w:rPr>
              <w:t>2022.</w:t>
            </w:r>
          </w:p>
        </w:tc>
        <w:tc>
          <w:tcPr>
            <w:tcW w:w="703" w:type="pct"/>
            <w:tcBorders>
              <w:top w:val="single" w:sz="4" w:space="0" w:color="auto"/>
              <w:left w:val="nil"/>
              <w:bottom w:val="single" w:sz="4" w:space="0" w:color="auto"/>
              <w:right w:val="single" w:sz="4" w:space="0" w:color="auto"/>
            </w:tcBorders>
            <w:shd w:val="clear" w:color="auto" w:fill="99CCFF"/>
            <w:noWrap/>
            <w:vAlign w:val="center"/>
          </w:tcPr>
          <w:p w14:paraId="109A6BC6" w14:textId="77777777" w:rsidR="00A76F9A" w:rsidRPr="000268FF" w:rsidRDefault="00A76F9A" w:rsidP="00443DAF">
            <w:pPr>
              <w:jc w:val="center"/>
              <w:rPr>
                <w:rFonts w:eastAsia="Times New Roman"/>
                <w:sz w:val="16"/>
                <w:szCs w:val="16"/>
                <w:lang w:eastAsia="hr-HR"/>
              </w:rPr>
            </w:pPr>
            <w:r w:rsidRPr="000268FF">
              <w:rPr>
                <w:rFonts w:eastAsia="Times New Roman"/>
                <w:sz w:val="16"/>
                <w:szCs w:val="16"/>
                <w:lang w:eastAsia="hr-HR"/>
              </w:rPr>
              <w:t>2021.</w:t>
            </w:r>
          </w:p>
        </w:tc>
        <w:tc>
          <w:tcPr>
            <w:tcW w:w="704" w:type="pct"/>
            <w:tcBorders>
              <w:top w:val="single" w:sz="4" w:space="0" w:color="auto"/>
              <w:left w:val="nil"/>
              <w:bottom w:val="single" w:sz="4" w:space="0" w:color="auto"/>
              <w:right w:val="single" w:sz="4" w:space="0" w:color="auto"/>
            </w:tcBorders>
            <w:shd w:val="clear" w:color="auto" w:fill="99CCFF"/>
            <w:vAlign w:val="center"/>
          </w:tcPr>
          <w:p w14:paraId="0F25356B" w14:textId="77777777" w:rsidR="00A76F9A" w:rsidRPr="000268FF" w:rsidRDefault="00A76F9A" w:rsidP="00443DAF">
            <w:pPr>
              <w:jc w:val="center"/>
              <w:rPr>
                <w:rFonts w:eastAsia="Times New Roman"/>
                <w:sz w:val="16"/>
                <w:szCs w:val="16"/>
                <w:lang w:eastAsia="hr-HR"/>
              </w:rPr>
            </w:pPr>
            <w:r w:rsidRPr="000268FF">
              <w:rPr>
                <w:rFonts w:eastAsia="Times New Roman"/>
                <w:sz w:val="16"/>
                <w:szCs w:val="16"/>
                <w:lang w:eastAsia="hr-HR"/>
              </w:rPr>
              <w:t>2022.</w:t>
            </w:r>
          </w:p>
        </w:tc>
        <w:tc>
          <w:tcPr>
            <w:tcW w:w="781" w:type="pct"/>
            <w:tcBorders>
              <w:top w:val="single" w:sz="4" w:space="0" w:color="auto"/>
              <w:left w:val="nil"/>
              <w:bottom w:val="single" w:sz="4" w:space="0" w:color="auto"/>
              <w:right w:val="single" w:sz="4" w:space="0" w:color="auto"/>
            </w:tcBorders>
            <w:shd w:val="clear" w:color="auto" w:fill="99CCFF"/>
            <w:vAlign w:val="center"/>
          </w:tcPr>
          <w:p w14:paraId="217EFCF9" w14:textId="77777777" w:rsidR="00A76F9A" w:rsidRPr="000268FF" w:rsidRDefault="00A76F9A" w:rsidP="00443DAF">
            <w:pPr>
              <w:jc w:val="center"/>
              <w:rPr>
                <w:rFonts w:eastAsia="Times New Roman"/>
                <w:sz w:val="16"/>
                <w:szCs w:val="16"/>
                <w:lang w:eastAsia="hr-HR"/>
              </w:rPr>
            </w:pPr>
            <w:r w:rsidRPr="000268FF">
              <w:rPr>
                <w:rFonts w:eastAsia="Times New Roman"/>
                <w:sz w:val="16"/>
                <w:szCs w:val="16"/>
                <w:lang w:eastAsia="hr-HR"/>
              </w:rPr>
              <w:t>2021.</w:t>
            </w:r>
          </w:p>
        </w:tc>
        <w:tc>
          <w:tcPr>
            <w:tcW w:w="858" w:type="pct"/>
            <w:tcBorders>
              <w:top w:val="single" w:sz="4" w:space="0" w:color="auto"/>
              <w:left w:val="nil"/>
              <w:bottom w:val="single" w:sz="4" w:space="0" w:color="auto"/>
              <w:right w:val="single" w:sz="4" w:space="0" w:color="auto"/>
            </w:tcBorders>
            <w:shd w:val="clear" w:color="auto" w:fill="99CCFF"/>
            <w:vAlign w:val="center"/>
          </w:tcPr>
          <w:p w14:paraId="1FBBB1A7" w14:textId="77777777" w:rsidR="00A76F9A" w:rsidRPr="000268FF" w:rsidRDefault="00A76F9A" w:rsidP="00443DAF">
            <w:pPr>
              <w:jc w:val="center"/>
              <w:rPr>
                <w:rFonts w:eastAsia="Times New Roman"/>
                <w:sz w:val="16"/>
                <w:szCs w:val="16"/>
                <w:lang w:eastAsia="hr-HR"/>
              </w:rPr>
            </w:pPr>
            <w:r w:rsidRPr="000268FF">
              <w:rPr>
                <w:rFonts w:eastAsia="Times New Roman"/>
                <w:sz w:val="16"/>
                <w:szCs w:val="16"/>
                <w:lang w:eastAsia="hr-HR"/>
              </w:rPr>
              <w:t>2022.</w:t>
            </w:r>
          </w:p>
        </w:tc>
      </w:tr>
      <w:tr w:rsidR="000268FF" w:rsidRPr="001B4CA2" w14:paraId="6720B276" w14:textId="77777777" w:rsidTr="000268FF">
        <w:trPr>
          <w:cantSplit/>
          <w:trHeight w:val="803"/>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1F732554" w14:textId="77777777" w:rsidR="00A76F9A" w:rsidRPr="000268FF" w:rsidRDefault="00A76F9A" w:rsidP="00443DAF">
            <w:pPr>
              <w:jc w:val="center"/>
              <w:rPr>
                <w:rFonts w:eastAsia="Times New Roman"/>
                <w:b/>
                <w:bCs/>
                <w:sz w:val="16"/>
                <w:szCs w:val="16"/>
                <w:lang w:eastAsia="hr-HR"/>
              </w:rPr>
            </w:pPr>
            <w:r w:rsidRPr="000268FF">
              <w:rPr>
                <w:rFonts w:eastAsia="Times New Roman"/>
                <w:b/>
                <w:bCs/>
                <w:sz w:val="16"/>
                <w:szCs w:val="16"/>
                <w:lang w:eastAsia="hr-HR"/>
              </w:rPr>
              <w:t>DORH</w:t>
            </w:r>
          </w:p>
        </w:tc>
        <w:tc>
          <w:tcPr>
            <w:tcW w:w="703" w:type="pct"/>
            <w:tcBorders>
              <w:top w:val="nil"/>
              <w:left w:val="nil"/>
              <w:bottom w:val="single" w:sz="4" w:space="0" w:color="auto"/>
              <w:right w:val="single" w:sz="4" w:space="0" w:color="auto"/>
            </w:tcBorders>
            <w:shd w:val="clear" w:color="auto" w:fill="auto"/>
            <w:noWrap/>
            <w:vAlign w:val="center"/>
          </w:tcPr>
          <w:p w14:paraId="1F6BBE97" w14:textId="77777777" w:rsidR="00A76F9A" w:rsidRPr="000268FF" w:rsidRDefault="00A76F9A" w:rsidP="00443DAF">
            <w:pPr>
              <w:jc w:val="center"/>
              <w:rPr>
                <w:rFonts w:eastAsia="Times New Roman"/>
                <w:sz w:val="15"/>
                <w:szCs w:val="15"/>
                <w:lang w:eastAsia="hr-HR"/>
              </w:rPr>
            </w:pPr>
            <w:r w:rsidRPr="000268FF">
              <w:rPr>
                <w:rFonts w:eastAsia="Times New Roman"/>
                <w:color w:val="000000"/>
                <w:sz w:val="15"/>
                <w:szCs w:val="15"/>
                <w:lang w:eastAsia="hr-HR"/>
              </w:rPr>
              <w:t>65.790.615,00</w:t>
            </w:r>
          </w:p>
        </w:tc>
        <w:tc>
          <w:tcPr>
            <w:tcW w:w="704" w:type="pct"/>
            <w:tcBorders>
              <w:top w:val="nil"/>
              <w:left w:val="nil"/>
              <w:bottom w:val="single" w:sz="4" w:space="0" w:color="auto"/>
              <w:right w:val="single" w:sz="4" w:space="0" w:color="auto"/>
            </w:tcBorders>
            <w:shd w:val="clear" w:color="auto" w:fill="auto"/>
            <w:vAlign w:val="center"/>
          </w:tcPr>
          <w:p w14:paraId="037B6DBE" w14:textId="77777777" w:rsidR="00A76F9A" w:rsidRPr="000268FF" w:rsidRDefault="00A76F9A" w:rsidP="00443DAF">
            <w:pPr>
              <w:jc w:val="right"/>
              <w:rPr>
                <w:rFonts w:eastAsia="Times New Roman"/>
                <w:sz w:val="15"/>
                <w:szCs w:val="15"/>
                <w:lang w:eastAsia="hr-HR"/>
              </w:rPr>
            </w:pPr>
            <w:r w:rsidRPr="000268FF">
              <w:rPr>
                <w:rFonts w:eastAsia="Times New Roman"/>
                <w:sz w:val="15"/>
                <w:szCs w:val="15"/>
                <w:lang w:eastAsia="hr-HR"/>
              </w:rPr>
              <w:t>50.462.718,00</w:t>
            </w:r>
          </w:p>
        </w:tc>
        <w:tc>
          <w:tcPr>
            <w:tcW w:w="703" w:type="pct"/>
            <w:tcBorders>
              <w:top w:val="nil"/>
              <w:left w:val="nil"/>
              <w:bottom w:val="single" w:sz="4" w:space="0" w:color="auto"/>
              <w:right w:val="single" w:sz="4" w:space="0" w:color="auto"/>
            </w:tcBorders>
            <w:shd w:val="clear" w:color="auto" w:fill="auto"/>
            <w:noWrap/>
            <w:vAlign w:val="center"/>
          </w:tcPr>
          <w:p w14:paraId="312DBF0E" w14:textId="77777777" w:rsidR="00A76F9A" w:rsidRPr="000268FF" w:rsidRDefault="00A76F9A" w:rsidP="00443DAF">
            <w:pPr>
              <w:jc w:val="right"/>
              <w:rPr>
                <w:rFonts w:eastAsia="Times New Roman"/>
                <w:sz w:val="15"/>
                <w:szCs w:val="15"/>
                <w:lang w:eastAsia="hr-HR"/>
              </w:rPr>
            </w:pPr>
            <w:r w:rsidRPr="000268FF">
              <w:rPr>
                <w:rFonts w:eastAsia="Times New Roman"/>
                <w:color w:val="000000"/>
                <w:sz w:val="15"/>
                <w:szCs w:val="15"/>
                <w:lang w:eastAsia="hr-HR"/>
              </w:rPr>
              <w:t>65.567.264,68</w:t>
            </w:r>
          </w:p>
        </w:tc>
        <w:tc>
          <w:tcPr>
            <w:tcW w:w="704" w:type="pct"/>
            <w:tcBorders>
              <w:top w:val="nil"/>
              <w:left w:val="nil"/>
              <w:bottom w:val="single" w:sz="4" w:space="0" w:color="auto"/>
              <w:right w:val="single" w:sz="4" w:space="0" w:color="auto"/>
            </w:tcBorders>
            <w:shd w:val="clear" w:color="auto" w:fill="auto"/>
            <w:vAlign w:val="center"/>
          </w:tcPr>
          <w:p w14:paraId="43075C4B" w14:textId="77777777" w:rsidR="00A76F9A" w:rsidRPr="000268FF" w:rsidRDefault="00A76F9A" w:rsidP="00443DAF">
            <w:pPr>
              <w:jc w:val="right"/>
              <w:rPr>
                <w:rFonts w:eastAsia="Times New Roman"/>
                <w:sz w:val="15"/>
                <w:szCs w:val="15"/>
                <w:lang w:eastAsia="hr-HR"/>
              </w:rPr>
            </w:pPr>
            <w:r w:rsidRPr="000268FF">
              <w:rPr>
                <w:rFonts w:eastAsia="Times New Roman"/>
                <w:sz w:val="15"/>
                <w:szCs w:val="15"/>
                <w:lang w:eastAsia="hr-HR"/>
              </w:rPr>
              <w:t>49.413.020,96</w:t>
            </w:r>
          </w:p>
        </w:tc>
        <w:tc>
          <w:tcPr>
            <w:tcW w:w="781" w:type="pct"/>
            <w:tcBorders>
              <w:top w:val="nil"/>
              <w:left w:val="nil"/>
              <w:bottom w:val="single" w:sz="4" w:space="0" w:color="auto"/>
              <w:right w:val="single" w:sz="4" w:space="0" w:color="auto"/>
            </w:tcBorders>
            <w:shd w:val="clear" w:color="auto" w:fill="auto"/>
            <w:noWrap/>
            <w:vAlign w:val="center"/>
          </w:tcPr>
          <w:p w14:paraId="0C6C8BC8" w14:textId="77777777" w:rsidR="00A76F9A" w:rsidRPr="000268FF" w:rsidRDefault="00A76F9A" w:rsidP="00443DAF">
            <w:pPr>
              <w:jc w:val="right"/>
              <w:rPr>
                <w:rFonts w:eastAsia="Times New Roman"/>
                <w:color w:val="000000"/>
                <w:sz w:val="15"/>
                <w:szCs w:val="15"/>
                <w:lang w:eastAsia="hr-HR"/>
              </w:rPr>
            </w:pPr>
            <w:r w:rsidRPr="000268FF">
              <w:rPr>
                <w:rFonts w:eastAsia="Times New Roman"/>
                <w:color w:val="000000"/>
                <w:sz w:val="15"/>
                <w:szCs w:val="15"/>
                <w:lang w:eastAsia="hr-HR"/>
              </w:rPr>
              <w:t>62.151.155,00</w:t>
            </w:r>
          </w:p>
        </w:tc>
        <w:tc>
          <w:tcPr>
            <w:tcW w:w="858" w:type="pct"/>
            <w:tcBorders>
              <w:top w:val="nil"/>
              <w:left w:val="nil"/>
              <w:bottom w:val="single" w:sz="4" w:space="0" w:color="auto"/>
              <w:right w:val="single" w:sz="4" w:space="0" w:color="auto"/>
            </w:tcBorders>
            <w:shd w:val="clear" w:color="auto" w:fill="auto"/>
            <w:vAlign w:val="center"/>
          </w:tcPr>
          <w:p w14:paraId="3B3B25AA" w14:textId="77777777" w:rsidR="00A76F9A" w:rsidRPr="000268FF" w:rsidRDefault="00A76F9A" w:rsidP="00443DAF">
            <w:pPr>
              <w:jc w:val="right"/>
              <w:rPr>
                <w:rFonts w:eastAsia="Times New Roman"/>
                <w:color w:val="000000"/>
                <w:sz w:val="15"/>
                <w:szCs w:val="15"/>
                <w:lang w:eastAsia="hr-HR"/>
              </w:rPr>
            </w:pPr>
            <w:r w:rsidRPr="000268FF">
              <w:rPr>
                <w:rFonts w:eastAsia="Times New Roman"/>
                <w:color w:val="000000"/>
                <w:sz w:val="15"/>
                <w:szCs w:val="15"/>
                <w:lang w:eastAsia="hr-HR"/>
              </w:rPr>
              <w:t>52.034.310,32</w:t>
            </w:r>
          </w:p>
        </w:tc>
      </w:tr>
      <w:tr w:rsidR="000268FF" w:rsidRPr="001B4CA2" w14:paraId="737B33A0" w14:textId="77777777" w:rsidTr="000268FF">
        <w:trPr>
          <w:cantSplit/>
          <w:trHeight w:val="981"/>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6C6B528C" w14:textId="77777777" w:rsidR="00A76F9A" w:rsidRPr="000268FF" w:rsidRDefault="00A76F9A" w:rsidP="00443DAF">
            <w:pPr>
              <w:jc w:val="center"/>
              <w:rPr>
                <w:rFonts w:eastAsia="Times New Roman"/>
                <w:b/>
                <w:bCs/>
                <w:sz w:val="16"/>
                <w:szCs w:val="16"/>
                <w:lang w:eastAsia="hr-HR"/>
              </w:rPr>
            </w:pPr>
            <w:r w:rsidRPr="000268FF">
              <w:rPr>
                <w:rFonts w:eastAsia="Times New Roman"/>
                <w:b/>
                <w:bCs/>
                <w:sz w:val="16"/>
                <w:szCs w:val="16"/>
                <w:lang w:eastAsia="hr-HR"/>
              </w:rPr>
              <w:t>USKOK</w:t>
            </w:r>
          </w:p>
        </w:tc>
        <w:tc>
          <w:tcPr>
            <w:tcW w:w="703" w:type="pct"/>
            <w:tcBorders>
              <w:top w:val="nil"/>
              <w:left w:val="nil"/>
              <w:bottom w:val="single" w:sz="4" w:space="0" w:color="auto"/>
              <w:right w:val="single" w:sz="4" w:space="0" w:color="auto"/>
            </w:tcBorders>
            <w:shd w:val="clear" w:color="auto" w:fill="auto"/>
            <w:noWrap/>
            <w:vAlign w:val="center"/>
          </w:tcPr>
          <w:p w14:paraId="6C4AC476" w14:textId="77777777" w:rsidR="00A76F9A" w:rsidRPr="000268FF" w:rsidRDefault="00A76F9A" w:rsidP="00443DAF">
            <w:pPr>
              <w:jc w:val="right"/>
              <w:rPr>
                <w:rFonts w:eastAsia="Times New Roman"/>
                <w:sz w:val="15"/>
                <w:szCs w:val="15"/>
                <w:lang w:eastAsia="hr-HR"/>
              </w:rPr>
            </w:pPr>
            <w:r w:rsidRPr="000268FF">
              <w:rPr>
                <w:rFonts w:eastAsia="Times New Roman"/>
                <w:color w:val="000000"/>
                <w:sz w:val="15"/>
                <w:szCs w:val="15"/>
                <w:lang w:eastAsia="hr-HR"/>
              </w:rPr>
              <w:t>27.280.600,00</w:t>
            </w:r>
          </w:p>
        </w:tc>
        <w:tc>
          <w:tcPr>
            <w:tcW w:w="704" w:type="pct"/>
            <w:tcBorders>
              <w:top w:val="nil"/>
              <w:left w:val="nil"/>
              <w:bottom w:val="single" w:sz="4" w:space="0" w:color="auto"/>
              <w:right w:val="single" w:sz="4" w:space="0" w:color="auto"/>
            </w:tcBorders>
            <w:shd w:val="clear" w:color="auto" w:fill="auto"/>
            <w:vAlign w:val="center"/>
          </w:tcPr>
          <w:p w14:paraId="0B5FC999" w14:textId="77777777" w:rsidR="00A76F9A" w:rsidRPr="000268FF" w:rsidRDefault="00A76F9A" w:rsidP="00443DAF">
            <w:pPr>
              <w:jc w:val="right"/>
              <w:rPr>
                <w:rFonts w:eastAsia="Times New Roman"/>
                <w:sz w:val="15"/>
                <w:szCs w:val="15"/>
                <w:lang w:eastAsia="hr-HR"/>
              </w:rPr>
            </w:pPr>
            <w:r w:rsidRPr="000268FF">
              <w:rPr>
                <w:rFonts w:eastAsia="Times New Roman"/>
                <w:sz w:val="15"/>
                <w:szCs w:val="15"/>
                <w:lang w:eastAsia="hr-HR"/>
              </w:rPr>
              <w:t>29.997.525,00</w:t>
            </w:r>
          </w:p>
        </w:tc>
        <w:tc>
          <w:tcPr>
            <w:tcW w:w="703" w:type="pct"/>
            <w:tcBorders>
              <w:top w:val="nil"/>
              <w:left w:val="nil"/>
              <w:bottom w:val="single" w:sz="4" w:space="0" w:color="auto"/>
              <w:right w:val="single" w:sz="4" w:space="0" w:color="auto"/>
            </w:tcBorders>
            <w:shd w:val="clear" w:color="auto" w:fill="auto"/>
            <w:noWrap/>
            <w:vAlign w:val="center"/>
          </w:tcPr>
          <w:p w14:paraId="74C5A741" w14:textId="77777777" w:rsidR="00A76F9A" w:rsidRPr="000268FF" w:rsidRDefault="00A76F9A" w:rsidP="00443DAF">
            <w:pPr>
              <w:jc w:val="right"/>
              <w:rPr>
                <w:rFonts w:eastAsia="Times New Roman"/>
                <w:sz w:val="15"/>
                <w:szCs w:val="15"/>
                <w:lang w:eastAsia="hr-HR"/>
              </w:rPr>
            </w:pPr>
            <w:r w:rsidRPr="000268FF">
              <w:rPr>
                <w:rFonts w:eastAsia="Times New Roman"/>
                <w:color w:val="000000"/>
                <w:sz w:val="15"/>
                <w:szCs w:val="15"/>
                <w:lang w:eastAsia="hr-HR"/>
              </w:rPr>
              <w:t>27.249.059,52</w:t>
            </w:r>
          </w:p>
        </w:tc>
        <w:tc>
          <w:tcPr>
            <w:tcW w:w="704" w:type="pct"/>
            <w:tcBorders>
              <w:top w:val="nil"/>
              <w:left w:val="nil"/>
              <w:bottom w:val="single" w:sz="4" w:space="0" w:color="auto"/>
              <w:right w:val="single" w:sz="4" w:space="0" w:color="auto"/>
            </w:tcBorders>
            <w:shd w:val="clear" w:color="auto" w:fill="auto"/>
            <w:vAlign w:val="center"/>
          </w:tcPr>
          <w:p w14:paraId="5DAE5D0D" w14:textId="77777777" w:rsidR="00A76F9A" w:rsidRPr="000268FF" w:rsidRDefault="00A76F9A" w:rsidP="00443DAF">
            <w:pPr>
              <w:jc w:val="right"/>
              <w:rPr>
                <w:rFonts w:eastAsia="Times New Roman"/>
                <w:sz w:val="15"/>
                <w:szCs w:val="15"/>
                <w:lang w:eastAsia="hr-HR"/>
              </w:rPr>
            </w:pPr>
            <w:r w:rsidRPr="000268FF">
              <w:rPr>
                <w:rFonts w:eastAsia="Times New Roman"/>
                <w:sz w:val="15"/>
                <w:szCs w:val="15"/>
                <w:lang w:eastAsia="hr-HR"/>
              </w:rPr>
              <w:t>29.529.679,40</w:t>
            </w:r>
          </w:p>
        </w:tc>
        <w:tc>
          <w:tcPr>
            <w:tcW w:w="781" w:type="pct"/>
            <w:tcBorders>
              <w:top w:val="nil"/>
              <w:left w:val="nil"/>
              <w:bottom w:val="single" w:sz="4" w:space="0" w:color="auto"/>
              <w:right w:val="single" w:sz="4" w:space="0" w:color="auto"/>
            </w:tcBorders>
            <w:shd w:val="clear" w:color="auto" w:fill="auto"/>
            <w:noWrap/>
            <w:vAlign w:val="center"/>
          </w:tcPr>
          <w:p w14:paraId="0534A00E" w14:textId="77777777" w:rsidR="00A76F9A" w:rsidRPr="000268FF" w:rsidRDefault="00A76F9A" w:rsidP="00443DAF">
            <w:pPr>
              <w:jc w:val="right"/>
              <w:rPr>
                <w:rFonts w:eastAsia="Times New Roman"/>
                <w:color w:val="000000"/>
                <w:sz w:val="15"/>
                <w:szCs w:val="15"/>
                <w:lang w:eastAsia="hr-HR"/>
              </w:rPr>
            </w:pPr>
            <w:r w:rsidRPr="000268FF">
              <w:rPr>
                <w:rFonts w:eastAsia="Times New Roman"/>
                <w:color w:val="000000"/>
                <w:sz w:val="15"/>
                <w:szCs w:val="15"/>
                <w:lang w:eastAsia="hr-HR"/>
              </w:rPr>
              <w:t>26.216.662,00</w:t>
            </w:r>
          </w:p>
        </w:tc>
        <w:tc>
          <w:tcPr>
            <w:tcW w:w="858" w:type="pct"/>
            <w:tcBorders>
              <w:top w:val="nil"/>
              <w:left w:val="nil"/>
              <w:bottom w:val="single" w:sz="4" w:space="0" w:color="auto"/>
              <w:right w:val="single" w:sz="4" w:space="0" w:color="auto"/>
            </w:tcBorders>
            <w:shd w:val="clear" w:color="auto" w:fill="auto"/>
            <w:vAlign w:val="center"/>
          </w:tcPr>
          <w:p w14:paraId="4EECF4E1" w14:textId="77777777" w:rsidR="00A76F9A" w:rsidRPr="000268FF" w:rsidRDefault="00A76F9A" w:rsidP="00443DAF">
            <w:pPr>
              <w:jc w:val="right"/>
              <w:rPr>
                <w:rFonts w:eastAsia="Times New Roman"/>
                <w:sz w:val="15"/>
                <w:szCs w:val="15"/>
                <w:lang w:eastAsia="hr-HR"/>
              </w:rPr>
            </w:pPr>
            <w:r w:rsidRPr="000268FF">
              <w:rPr>
                <w:rFonts w:eastAsia="Times New Roman"/>
                <w:sz w:val="15"/>
                <w:szCs w:val="15"/>
                <w:lang w:eastAsia="hr-HR"/>
              </w:rPr>
              <w:t>30.797.607,83</w:t>
            </w:r>
          </w:p>
        </w:tc>
      </w:tr>
      <w:tr w:rsidR="000268FF" w:rsidRPr="001B4CA2" w14:paraId="16C0FFC3" w14:textId="77777777" w:rsidTr="000268FF">
        <w:trPr>
          <w:cantSplit/>
          <w:trHeight w:val="969"/>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587883CC" w14:textId="77777777" w:rsidR="00A76F9A" w:rsidRPr="000268FF" w:rsidRDefault="00A76F9A" w:rsidP="00443DAF">
            <w:pPr>
              <w:jc w:val="center"/>
              <w:rPr>
                <w:rFonts w:eastAsia="Times New Roman"/>
                <w:b/>
                <w:bCs/>
                <w:sz w:val="16"/>
                <w:szCs w:val="16"/>
                <w:lang w:eastAsia="hr-HR"/>
              </w:rPr>
            </w:pPr>
            <w:r w:rsidRPr="000268FF">
              <w:rPr>
                <w:rFonts w:eastAsia="Times New Roman"/>
                <w:b/>
                <w:bCs/>
                <w:sz w:val="16"/>
                <w:szCs w:val="16"/>
                <w:lang w:eastAsia="hr-HR"/>
              </w:rPr>
              <w:t>ŽDO-SVI</w:t>
            </w:r>
          </w:p>
        </w:tc>
        <w:tc>
          <w:tcPr>
            <w:tcW w:w="703" w:type="pct"/>
            <w:tcBorders>
              <w:top w:val="nil"/>
              <w:left w:val="nil"/>
              <w:bottom w:val="single" w:sz="4" w:space="0" w:color="auto"/>
              <w:right w:val="single" w:sz="4" w:space="0" w:color="auto"/>
            </w:tcBorders>
            <w:shd w:val="clear" w:color="auto" w:fill="auto"/>
            <w:noWrap/>
            <w:vAlign w:val="center"/>
          </w:tcPr>
          <w:p w14:paraId="226520EC" w14:textId="77777777" w:rsidR="00A76F9A" w:rsidRPr="000268FF" w:rsidRDefault="00A76F9A" w:rsidP="00443DAF">
            <w:pPr>
              <w:jc w:val="right"/>
              <w:rPr>
                <w:rFonts w:eastAsia="Times New Roman"/>
                <w:color w:val="000000"/>
                <w:sz w:val="15"/>
                <w:szCs w:val="15"/>
                <w:lang w:eastAsia="hr-HR"/>
              </w:rPr>
            </w:pPr>
            <w:r w:rsidRPr="000268FF">
              <w:rPr>
                <w:rFonts w:eastAsia="Times New Roman"/>
                <w:color w:val="000000"/>
                <w:sz w:val="15"/>
                <w:szCs w:val="15"/>
                <w:lang w:eastAsia="hr-HR"/>
              </w:rPr>
              <w:t>105.640.500,00</w:t>
            </w:r>
          </w:p>
        </w:tc>
        <w:tc>
          <w:tcPr>
            <w:tcW w:w="704" w:type="pct"/>
            <w:tcBorders>
              <w:top w:val="nil"/>
              <w:left w:val="nil"/>
              <w:bottom w:val="single" w:sz="4" w:space="0" w:color="auto"/>
              <w:right w:val="single" w:sz="4" w:space="0" w:color="auto"/>
            </w:tcBorders>
            <w:shd w:val="clear" w:color="auto" w:fill="auto"/>
            <w:vAlign w:val="center"/>
          </w:tcPr>
          <w:p w14:paraId="1CACC239" w14:textId="77777777" w:rsidR="00A76F9A" w:rsidRPr="000268FF" w:rsidRDefault="00A76F9A" w:rsidP="00443DAF">
            <w:pPr>
              <w:jc w:val="right"/>
              <w:rPr>
                <w:rFonts w:eastAsia="Times New Roman"/>
                <w:sz w:val="15"/>
                <w:szCs w:val="15"/>
                <w:lang w:eastAsia="hr-HR"/>
              </w:rPr>
            </w:pPr>
            <w:r w:rsidRPr="000268FF">
              <w:rPr>
                <w:rFonts w:eastAsia="Times New Roman"/>
                <w:sz w:val="15"/>
                <w:szCs w:val="15"/>
                <w:lang w:eastAsia="hr-HR"/>
              </w:rPr>
              <w:t>114.320.457,00</w:t>
            </w:r>
          </w:p>
        </w:tc>
        <w:tc>
          <w:tcPr>
            <w:tcW w:w="703" w:type="pct"/>
            <w:tcBorders>
              <w:top w:val="nil"/>
              <w:left w:val="nil"/>
              <w:bottom w:val="single" w:sz="4" w:space="0" w:color="auto"/>
              <w:right w:val="single" w:sz="4" w:space="0" w:color="auto"/>
            </w:tcBorders>
            <w:shd w:val="clear" w:color="auto" w:fill="auto"/>
            <w:noWrap/>
            <w:vAlign w:val="center"/>
          </w:tcPr>
          <w:p w14:paraId="2AA3B8EF" w14:textId="77777777" w:rsidR="00A76F9A" w:rsidRPr="000268FF" w:rsidRDefault="00A76F9A" w:rsidP="00443DAF">
            <w:pPr>
              <w:jc w:val="center"/>
              <w:rPr>
                <w:rFonts w:eastAsia="Times New Roman"/>
                <w:sz w:val="15"/>
                <w:szCs w:val="15"/>
                <w:lang w:eastAsia="hr-HR"/>
              </w:rPr>
            </w:pPr>
            <w:r w:rsidRPr="000268FF">
              <w:rPr>
                <w:rFonts w:eastAsia="Times New Roman"/>
                <w:color w:val="000000"/>
                <w:sz w:val="15"/>
                <w:szCs w:val="15"/>
                <w:lang w:eastAsia="hr-HR"/>
              </w:rPr>
              <w:t>105.527.699,93</w:t>
            </w:r>
          </w:p>
        </w:tc>
        <w:tc>
          <w:tcPr>
            <w:tcW w:w="704" w:type="pct"/>
            <w:tcBorders>
              <w:top w:val="nil"/>
              <w:left w:val="nil"/>
              <w:bottom w:val="single" w:sz="4" w:space="0" w:color="auto"/>
              <w:right w:val="single" w:sz="4" w:space="0" w:color="auto"/>
            </w:tcBorders>
            <w:shd w:val="clear" w:color="auto" w:fill="auto"/>
            <w:vAlign w:val="center"/>
          </w:tcPr>
          <w:p w14:paraId="65FA7373" w14:textId="77777777" w:rsidR="00A76F9A" w:rsidRPr="000268FF" w:rsidRDefault="00A76F9A" w:rsidP="00443DAF">
            <w:pPr>
              <w:jc w:val="right"/>
              <w:rPr>
                <w:rFonts w:eastAsia="Times New Roman"/>
                <w:sz w:val="15"/>
                <w:szCs w:val="15"/>
                <w:lang w:eastAsia="hr-HR"/>
              </w:rPr>
            </w:pPr>
            <w:r w:rsidRPr="000268FF">
              <w:rPr>
                <w:rFonts w:eastAsia="Times New Roman"/>
                <w:sz w:val="15"/>
                <w:szCs w:val="15"/>
                <w:lang w:eastAsia="hr-HR"/>
              </w:rPr>
              <w:t>114.196.685,84</w:t>
            </w:r>
          </w:p>
        </w:tc>
        <w:tc>
          <w:tcPr>
            <w:tcW w:w="781" w:type="pct"/>
            <w:tcBorders>
              <w:top w:val="nil"/>
              <w:left w:val="nil"/>
              <w:bottom w:val="single" w:sz="4" w:space="0" w:color="auto"/>
              <w:right w:val="single" w:sz="4" w:space="0" w:color="auto"/>
            </w:tcBorders>
            <w:shd w:val="clear" w:color="auto" w:fill="auto"/>
            <w:noWrap/>
            <w:vAlign w:val="center"/>
          </w:tcPr>
          <w:p w14:paraId="542BFFAF" w14:textId="77777777" w:rsidR="00A76F9A" w:rsidRPr="000268FF" w:rsidRDefault="00A76F9A" w:rsidP="00443DAF">
            <w:pPr>
              <w:jc w:val="right"/>
              <w:rPr>
                <w:rFonts w:eastAsia="Times New Roman"/>
                <w:color w:val="000000"/>
                <w:sz w:val="15"/>
                <w:szCs w:val="15"/>
                <w:lang w:eastAsia="hr-HR"/>
              </w:rPr>
            </w:pPr>
            <w:r w:rsidRPr="000268FF">
              <w:rPr>
                <w:rFonts w:eastAsia="Times New Roman"/>
                <w:color w:val="000000"/>
                <w:sz w:val="15"/>
                <w:szCs w:val="15"/>
                <w:lang w:eastAsia="hr-HR"/>
              </w:rPr>
              <w:t>106.885.501,00</w:t>
            </w:r>
          </w:p>
        </w:tc>
        <w:tc>
          <w:tcPr>
            <w:tcW w:w="858" w:type="pct"/>
            <w:tcBorders>
              <w:top w:val="nil"/>
              <w:left w:val="nil"/>
              <w:bottom w:val="single" w:sz="4" w:space="0" w:color="auto"/>
              <w:right w:val="single" w:sz="4" w:space="0" w:color="auto"/>
            </w:tcBorders>
            <w:shd w:val="clear" w:color="auto" w:fill="auto"/>
            <w:vAlign w:val="center"/>
          </w:tcPr>
          <w:p w14:paraId="36FCAE8C" w14:textId="77777777" w:rsidR="00A76F9A" w:rsidRPr="000268FF" w:rsidRDefault="00A76F9A" w:rsidP="00443DAF">
            <w:pPr>
              <w:jc w:val="right"/>
              <w:rPr>
                <w:rFonts w:eastAsia="Times New Roman"/>
                <w:sz w:val="15"/>
                <w:szCs w:val="15"/>
                <w:lang w:eastAsia="hr-HR"/>
              </w:rPr>
            </w:pPr>
            <w:r w:rsidRPr="000268FF">
              <w:rPr>
                <w:rFonts w:eastAsia="Times New Roman"/>
                <w:sz w:val="15"/>
                <w:szCs w:val="15"/>
                <w:lang w:eastAsia="hr-HR"/>
              </w:rPr>
              <w:t>115.611.350,65</w:t>
            </w:r>
          </w:p>
        </w:tc>
      </w:tr>
      <w:tr w:rsidR="000268FF" w:rsidRPr="001B4CA2" w14:paraId="2205C8B8" w14:textId="77777777" w:rsidTr="000268FF">
        <w:trPr>
          <w:cantSplit/>
          <w:trHeight w:val="1039"/>
        </w:trPr>
        <w:tc>
          <w:tcPr>
            <w:tcW w:w="547" w:type="pct"/>
            <w:tcBorders>
              <w:top w:val="nil"/>
              <w:left w:val="single" w:sz="4" w:space="0" w:color="auto"/>
              <w:bottom w:val="single" w:sz="4" w:space="0" w:color="auto"/>
              <w:right w:val="single" w:sz="4" w:space="0" w:color="auto"/>
            </w:tcBorders>
            <w:shd w:val="clear" w:color="auto" w:fill="auto"/>
            <w:noWrap/>
            <w:vAlign w:val="center"/>
            <w:hideMark/>
          </w:tcPr>
          <w:p w14:paraId="05209996" w14:textId="77777777" w:rsidR="00A76F9A" w:rsidRPr="000268FF" w:rsidRDefault="00A76F9A" w:rsidP="00443DAF">
            <w:pPr>
              <w:jc w:val="center"/>
              <w:rPr>
                <w:rFonts w:eastAsia="Times New Roman"/>
                <w:b/>
                <w:bCs/>
                <w:sz w:val="16"/>
                <w:szCs w:val="16"/>
                <w:lang w:eastAsia="hr-HR"/>
              </w:rPr>
            </w:pPr>
            <w:r w:rsidRPr="000268FF">
              <w:rPr>
                <w:rFonts w:eastAsia="Times New Roman"/>
                <w:b/>
                <w:bCs/>
                <w:sz w:val="16"/>
                <w:szCs w:val="16"/>
                <w:lang w:eastAsia="hr-HR"/>
              </w:rPr>
              <w:t>ODO-SVI</w:t>
            </w:r>
          </w:p>
        </w:tc>
        <w:tc>
          <w:tcPr>
            <w:tcW w:w="703" w:type="pct"/>
            <w:tcBorders>
              <w:top w:val="nil"/>
              <w:left w:val="nil"/>
              <w:bottom w:val="single" w:sz="4" w:space="0" w:color="auto"/>
              <w:right w:val="single" w:sz="4" w:space="0" w:color="auto"/>
            </w:tcBorders>
            <w:shd w:val="clear" w:color="auto" w:fill="auto"/>
            <w:noWrap/>
            <w:vAlign w:val="center"/>
          </w:tcPr>
          <w:p w14:paraId="4EB0B661" w14:textId="77777777" w:rsidR="00A76F9A" w:rsidRPr="000268FF" w:rsidRDefault="00A76F9A" w:rsidP="00443DAF">
            <w:pPr>
              <w:rPr>
                <w:rFonts w:eastAsia="Times New Roman"/>
                <w:color w:val="000000"/>
                <w:sz w:val="15"/>
                <w:szCs w:val="15"/>
                <w:lang w:eastAsia="hr-HR"/>
              </w:rPr>
            </w:pPr>
            <w:r w:rsidRPr="000268FF">
              <w:rPr>
                <w:rFonts w:eastAsia="Times New Roman"/>
                <w:color w:val="000000"/>
                <w:sz w:val="15"/>
                <w:szCs w:val="15"/>
                <w:lang w:eastAsia="hr-HR"/>
              </w:rPr>
              <w:t>220.547.877,00</w:t>
            </w:r>
          </w:p>
        </w:tc>
        <w:tc>
          <w:tcPr>
            <w:tcW w:w="704" w:type="pct"/>
            <w:tcBorders>
              <w:top w:val="nil"/>
              <w:left w:val="nil"/>
              <w:bottom w:val="single" w:sz="4" w:space="0" w:color="auto"/>
              <w:right w:val="single" w:sz="4" w:space="0" w:color="auto"/>
            </w:tcBorders>
            <w:shd w:val="clear" w:color="auto" w:fill="auto"/>
            <w:vAlign w:val="center"/>
          </w:tcPr>
          <w:p w14:paraId="6C518B7D" w14:textId="77777777" w:rsidR="00A76F9A" w:rsidRPr="000268FF" w:rsidRDefault="00A76F9A" w:rsidP="00443DAF">
            <w:pPr>
              <w:rPr>
                <w:rFonts w:eastAsia="Times New Roman"/>
                <w:sz w:val="15"/>
                <w:szCs w:val="15"/>
                <w:lang w:eastAsia="hr-HR"/>
              </w:rPr>
            </w:pPr>
            <w:r w:rsidRPr="000268FF">
              <w:rPr>
                <w:rFonts w:eastAsia="Times New Roman"/>
                <w:sz w:val="15"/>
                <w:szCs w:val="15"/>
                <w:lang w:eastAsia="hr-HR"/>
              </w:rPr>
              <w:t>226.976.409,00</w:t>
            </w:r>
          </w:p>
        </w:tc>
        <w:tc>
          <w:tcPr>
            <w:tcW w:w="703" w:type="pct"/>
            <w:tcBorders>
              <w:top w:val="nil"/>
              <w:left w:val="nil"/>
              <w:bottom w:val="single" w:sz="4" w:space="0" w:color="auto"/>
              <w:right w:val="single" w:sz="4" w:space="0" w:color="auto"/>
            </w:tcBorders>
            <w:shd w:val="clear" w:color="auto" w:fill="auto"/>
            <w:noWrap/>
            <w:vAlign w:val="center"/>
          </w:tcPr>
          <w:p w14:paraId="0F613BF7" w14:textId="77777777" w:rsidR="00A76F9A" w:rsidRPr="000268FF" w:rsidRDefault="00A76F9A" w:rsidP="00443DAF">
            <w:pPr>
              <w:jc w:val="right"/>
              <w:rPr>
                <w:rFonts w:eastAsia="Times New Roman"/>
                <w:sz w:val="15"/>
                <w:szCs w:val="15"/>
                <w:lang w:eastAsia="hr-HR"/>
              </w:rPr>
            </w:pPr>
            <w:r w:rsidRPr="000268FF">
              <w:rPr>
                <w:rFonts w:eastAsia="Times New Roman"/>
                <w:color w:val="000000"/>
                <w:sz w:val="15"/>
                <w:szCs w:val="15"/>
                <w:lang w:eastAsia="hr-HR"/>
              </w:rPr>
              <w:t>220.391.634,79</w:t>
            </w:r>
          </w:p>
        </w:tc>
        <w:tc>
          <w:tcPr>
            <w:tcW w:w="704" w:type="pct"/>
            <w:tcBorders>
              <w:top w:val="nil"/>
              <w:left w:val="nil"/>
              <w:bottom w:val="single" w:sz="4" w:space="0" w:color="auto"/>
              <w:right w:val="single" w:sz="4" w:space="0" w:color="auto"/>
            </w:tcBorders>
            <w:shd w:val="clear" w:color="auto" w:fill="auto"/>
            <w:vAlign w:val="center"/>
          </w:tcPr>
          <w:p w14:paraId="20462875" w14:textId="77777777" w:rsidR="00A76F9A" w:rsidRPr="000268FF" w:rsidRDefault="00A76F9A" w:rsidP="00443DAF">
            <w:pPr>
              <w:jc w:val="right"/>
              <w:rPr>
                <w:rFonts w:eastAsia="Times New Roman"/>
                <w:sz w:val="15"/>
                <w:szCs w:val="15"/>
                <w:lang w:eastAsia="hr-HR"/>
              </w:rPr>
            </w:pPr>
            <w:r w:rsidRPr="000268FF">
              <w:rPr>
                <w:rFonts w:eastAsia="Times New Roman"/>
                <w:sz w:val="15"/>
                <w:szCs w:val="15"/>
                <w:lang w:eastAsia="hr-HR"/>
              </w:rPr>
              <w:t>226.718.031,84</w:t>
            </w:r>
          </w:p>
        </w:tc>
        <w:tc>
          <w:tcPr>
            <w:tcW w:w="781" w:type="pct"/>
            <w:tcBorders>
              <w:top w:val="nil"/>
              <w:left w:val="nil"/>
              <w:bottom w:val="single" w:sz="4" w:space="0" w:color="auto"/>
              <w:right w:val="single" w:sz="4" w:space="0" w:color="auto"/>
            </w:tcBorders>
            <w:shd w:val="clear" w:color="auto" w:fill="auto"/>
            <w:noWrap/>
            <w:vAlign w:val="center"/>
          </w:tcPr>
          <w:p w14:paraId="3E8ACD0C" w14:textId="77777777" w:rsidR="00A76F9A" w:rsidRPr="000268FF" w:rsidRDefault="00A76F9A" w:rsidP="00443DAF">
            <w:pPr>
              <w:jc w:val="right"/>
              <w:rPr>
                <w:rFonts w:eastAsia="Times New Roman"/>
                <w:sz w:val="15"/>
                <w:szCs w:val="15"/>
                <w:lang w:eastAsia="hr-HR"/>
              </w:rPr>
            </w:pPr>
            <w:r w:rsidRPr="000268FF">
              <w:rPr>
                <w:rFonts w:eastAsia="Times New Roman"/>
                <w:color w:val="000000"/>
                <w:sz w:val="15"/>
                <w:szCs w:val="15"/>
                <w:lang w:eastAsia="hr-HR"/>
              </w:rPr>
              <w:t>221.970.036,00</w:t>
            </w:r>
          </w:p>
        </w:tc>
        <w:tc>
          <w:tcPr>
            <w:tcW w:w="858" w:type="pct"/>
            <w:tcBorders>
              <w:top w:val="nil"/>
              <w:left w:val="nil"/>
              <w:bottom w:val="single" w:sz="4" w:space="0" w:color="auto"/>
              <w:right w:val="single" w:sz="4" w:space="0" w:color="auto"/>
            </w:tcBorders>
            <w:shd w:val="clear" w:color="auto" w:fill="auto"/>
            <w:vAlign w:val="center"/>
          </w:tcPr>
          <w:p w14:paraId="6DE91634" w14:textId="77777777" w:rsidR="00A76F9A" w:rsidRPr="000268FF" w:rsidRDefault="00A76F9A" w:rsidP="00443DAF">
            <w:pPr>
              <w:jc w:val="right"/>
              <w:rPr>
                <w:rFonts w:eastAsia="Times New Roman"/>
                <w:sz w:val="15"/>
                <w:szCs w:val="15"/>
                <w:lang w:eastAsia="hr-HR"/>
              </w:rPr>
            </w:pPr>
            <w:r w:rsidRPr="000268FF">
              <w:rPr>
                <w:rFonts w:eastAsia="Times New Roman"/>
                <w:sz w:val="15"/>
                <w:szCs w:val="15"/>
                <w:lang w:eastAsia="hr-HR"/>
              </w:rPr>
              <w:t>227.605.637,14</w:t>
            </w:r>
          </w:p>
        </w:tc>
      </w:tr>
      <w:tr w:rsidR="000268FF" w:rsidRPr="001B4CA2" w14:paraId="23015974" w14:textId="77777777" w:rsidTr="000268FF">
        <w:trPr>
          <w:cantSplit/>
          <w:trHeight w:val="1127"/>
        </w:trPr>
        <w:tc>
          <w:tcPr>
            <w:tcW w:w="547" w:type="pct"/>
            <w:tcBorders>
              <w:top w:val="nil"/>
              <w:left w:val="single" w:sz="4" w:space="0" w:color="auto"/>
              <w:bottom w:val="single" w:sz="4" w:space="0" w:color="auto"/>
              <w:right w:val="single" w:sz="4" w:space="0" w:color="auto"/>
            </w:tcBorders>
            <w:shd w:val="clear" w:color="auto" w:fill="99CCFF"/>
            <w:noWrap/>
            <w:vAlign w:val="center"/>
            <w:hideMark/>
          </w:tcPr>
          <w:p w14:paraId="52F21030" w14:textId="77777777" w:rsidR="00A76F9A" w:rsidRPr="000268FF" w:rsidRDefault="00A76F9A" w:rsidP="00443DAF">
            <w:pPr>
              <w:jc w:val="center"/>
              <w:rPr>
                <w:rFonts w:eastAsia="Times New Roman"/>
                <w:b/>
                <w:bCs/>
                <w:sz w:val="16"/>
                <w:szCs w:val="16"/>
                <w:lang w:eastAsia="hr-HR"/>
              </w:rPr>
            </w:pPr>
            <w:r w:rsidRPr="000268FF">
              <w:rPr>
                <w:rFonts w:eastAsia="Times New Roman"/>
                <w:b/>
                <w:bCs/>
                <w:sz w:val="16"/>
                <w:szCs w:val="16"/>
                <w:lang w:eastAsia="hr-HR"/>
              </w:rPr>
              <w:t>UKUPNO</w:t>
            </w:r>
          </w:p>
        </w:tc>
        <w:tc>
          <w:tcPr>
            <w:tcW w:w="703" w:type="pct"/>
            <w:tcBorders>
              <w:top w:val="nil"/>
              <w:left w:val="nil"/>
              <w:bottom w:val="single" w:sz="4" w:space="0" w:color="auto"/>
              <w:right w:val="single" w:sz="4" w:space="0" w:color="auto"/>
            </w:tcBorders>
            <w:shd w:val="clear" w:color="auto" w:fill="99CCFF"/>
            <w:noWrap/>
            <w:vAlign w:val="center"/>
          </w:tcPr>
          <w:p w14:paraId="2B63D702" w14:textId="77777777" w:rsidR="00A76F9A" w:rsidRPr="000268FF" w:rsidRDefault="00A76F9A" w:rsidP="00443DAF">
            <w:pPr>
              <w:jc w:val="left"/>
              <w:rPr>
                <w:rFonts w:eastAsia="Times New Roman"/>
                <w:b/>
                <w:bCs/>
                <w:color w:val="000000"/>
                <w:sz w:val="15"/>
                <w:szCs w:val="15"/>
                <w:lang w:eastAsia="hr-HR"/>
              </w:rPr>
            </w:pPr>
            <w:r w:rsidRPr="000268FF">
              <w:rPr>
                <w:rFonts w:eastAsia="Times New Roman"/>
                <w:b/>
                <w:bCs/>
                <w:color w:val="000000"/>
                <w:sz w:val="15"/>
                <w:szCs w:val="15"/>
                <w:lang w:eastAsia="hr-HR"/>
              </w:rPr>
              <w:t>419.259.592,00</w:t>
            </w:r>
          </w:p>
        </w:tc>
        <w:tc>
          <w:tcPr>
            <w:tcW w:w="704" w:type="pct"/>
            <w:tcBorders>
              <w:top w:val="nil"/>
              <w:left w:val="nil"/>
              <w:bottom w:val="single" w:sz="4" w:space="0" w:color="auto"/>
              <w:right w:val="single" w:sz="4" w:space="0" w:color="auto"/>
            </w:tcBorders>
            <w:shd w:val="clear" w:color="auto" w:fill="99CCFF"/>
            <w:vAlign w:val="center"/>
          </w:tcPr>
          <w:p w14:paraId="303C2BD6" w14:textId="77777777" w:rsidR="00A76F9A" w:rsidRPr="000268FF" w:rsidRDefault="00A76F9A" w:rsidP="000268FF">
            <w:pPr>
              <w:jc w:val="center"/>
              <w:rPr>
                <w:rFonts w:eastAsia="Times New Roman"/>
                <w:b/>
                <w:bCs/>
                <w:sz w:val="15"/>
                <w:szCs w:val="15"/>
                <w:lang w:eastAsia="hr-HR"/>
              </w:rPr>
            </w:pPr>
            <w:r w:rsidRPr="000268FF">
              <w:rPr>
                <w:rFonts w:eastAsia="Times New Roman"/>
                <w:b/>
                <w:bCs/>
                <w:sz w:val="15"/>
                <w:szCs w:val="15"/>
                <w:lang w:eastAsia="hr-HR"/>
              </w:rPr>
              <w:t>421.757.109,00</w:t>
            </w:r>
          </w:p>
        </w:tc>
        <w:tc>
          <w:tcPr>
            <w:tcW w:w="703" w:type="pct"/>
            <w:tcBorders>
              <w:top w:val="nil"/>
              <w:left w:val="nil"/>
              <w:bottom w:val="single" w:sz="4" w:space="0" w:color="auto"/>
              <w:right w:val="single" w:sz="4" w:space="0" w:color="auto"/>
            </w:tcBorders>
            <w:shd w:val="clear" w:color="auto" w:fill="99CCFF"/>
            <w:noWrap/>
            <w:vAlign w:val="center"/>
          </w:tcPr>
          <w:p w14:paraId="0F6A8EDB" w14:textId="77777777" w:rsidR="00A76F9A" w:rsidRPr="000268FF" w:rsidRDefault="00A76F9A" w:rsidP="000268FF">
            <w:pPr>
              <w:jc w:val="center"/>
              <w:rPr>
                <w:rFonts w:eastAsia="Times New Roman"/>
                <w:b/>
                <w:bCs/>
                <w:sz w:val="15"/>
                <w:szCs w:val="15"/>
                <w:lang w:eastAsia="hr-HR"/>
              </w:rPr>
            </w:pPr>
            <w:r w:rsidRPr="000268FF">
              <w:rPr>
                <w:rFonts w:eastAsia="Times New Roman"/>
                <w:b/>
                <w:bCs/>
                <w:color w:val="000000"/>
                <w:sz w:val="15"/>
                <w:szCs w:val="15"/>
                <w:lang w:eastAsia="hr-HR"/>
              </w:rPr>
              <w:t>418.735.658,92</w:t>
            </w:r>
          </w:p>
        </w:tc>
        <w:tc>
          <w:tcPr>
            <w:tcW w:w="704" w:type="pct"/>
            <w:tcBorders>
              <w:top w:val="nil"/>
              <w:left w:val="nil"/>
              <w:bottom w:val="single" w:sz="4" w:space="0" w:color="auto"/>
              <w:right w:val="single" w:sz="4" w:space="0" w:color="auto"/>
            </w:tcBorders>
            <w:shd w:val="clear" w:color="auto" w:fill="99CCFF"/>
            <w:vAlign w:val="center"/>
          </w:tcPr>
          <w:p w14:paraId="05F7206F" w14:textId="77777777" w:rsidR="00A76F9A" w:rsidRPr="000268FF" w:rsidRDefault="00A76F9A" w:rsidP="000268FF">
            <w:pPr>
              <w:jc w:val="center"/>
              <w:rPr>
                <w:rFonts w:eastAsia="Times New Roman"/>
                <w:b/>
                <w:bCs/>
                <w:sz w:val="15"/>
                <w:szCs w:val="15"/>
                <w:lang w:eastAsia="hr-HR"/>
              </w:rPr>
            </w:pPr>
            <w:r w:rsidRPr="000268FF">
              <w:rPr>
                <w:rFonts w:eastAsia="Times New Roman"/>
                <w:b/>
                <w:bCs/>
                <w:sz w:val="15"/>
                <w:szCs w:val="15"/>
                <w:lang w:eastAsia="hr-HR"/>
              </w:rPr>
              <w:t>419.857.418,04</w:t>
            </w:r>
          </w:p>
        </w:tc>
        <w:tc>
          <w:tcPr>
            <w:tcW w:w="781" w:type="pct"/>
            <w:tcBorders>
              <w:top w:val="nil"/>
              <w:left w:val="nil"/>
              <w:bottom w:val="single" w:sz="4" w:space="0" w:color="auto"/>
              <w:right w:val="single" w:sz="4" w:space="0" w:color="auto"/>
            </w:tcBorders>
            <w:shd w:val="clear" w:color="auto" w:fill="99CCFF"/>
            <w:noWrap/>
            <w:vAlign w:val="center"/>
          </w:tcPr>
          <w:p w14:paraId="74A3F0A1" w14:textId="77777777" w:rsidR="00A76F9A" w:rsidRPr="000268FF" w:rsidRDefault="00A76F9A" w:rsidP="000268FF">
            <w:pPr>
              <w:jc w:val="center"/>
              <w:rPr>
                <w:rFonts w:eastAsia="Times New Roman"/>
                <w:b/>
                <w:bCs/>
                <w:color w:val="000000"/>
                <w:sz w:val="15"/>
                <w:szCs w:val="15"/>
                <w:lang w:eastAsia="hr-HR"/>
              </w:rPr>
            </w:pPr>
            <w:r w:rsidRPr="000268FF">
              <w:rPr>
                <w:rFonts w:eastAsia="Times New Roman"/>
                <w:b/>
                <w:bCs/>
                <w:color w:val="000000"/>
                <w:sz w:val="15"/>
                <w:szCs w:val="15"/>
                <w:lang w:eastAsia="hr-HR"/>
              </w:rPr>
              <w:t>417.223.354,00</w:t>
            </w:r>
          </w:p>
        </w:tc>
        <w:tc>
          <w:tcPr>
            <w:tcW w:w="858" w:type="pct"/>
            <w:tcBorders>
              <w:top w:val="nil"/>
              <w:left w:val="nil"/>
              <w:bottom w:val="single" w:sz="4" w:space="0" w:color="auto"/>
              <w:right w:val="single" w:sz="4" w:space="0" w:color="auto"/>
            </w:tcBorders>
            <w:shd w:val="clear" w:color="auto" w:fill="99CCFF"/>
            <w:vAlign w:val="center"/>
          </w:tcPr>
          <w:p w14:paraId="50533411" w14:textId="77777777" w:rsidR="00A76F9A" w:rsidRPr="000268FF" w:rsidRDefault="00A76F9A" w:rsidP="000268FF">
            <w:pPr>
              <w:jc w:val="center"/>
              <w:rPr>
                <w:rFonts w:eastAsia="Times New Roman"/>
                <w:b/>
                <w:bCs/>
                <w:sz w:val="15"/>
                <w:szCs w:val="15"/>
                <w:lang w:eastAsia="hr-HR"/>
              </w:rPr>
            </w:pPr>
            <w:r w:rsidRPr="000268FF">
              <w:rPr>
                <w:rFonts w:eastAsia="Times New Roman"/>
                <w:b/>
                <w:bCs/>
                <w:sz w:val="15"/>
                <w:szCs w:val="15"/>
                <w:lang w:eastAsia="hr-HR"/>
              </w:rPr>
              <w:t>426.048.905,94</w:t>
            </w:r>
          </w:p>
        </w:tc>
      </w:tr>
    </w:tbl>
    <w:p w14:paraId="4F21D37E" w14:textId="77777777" w:rsidR="00A76F9A" w:rsidRPr="001B4CA2" w:rsidRDefault="00A76F9A" w:rsidP="00A76F9A"/>
    <w:p w14:paraId="5FBB5772" w14:textId="03FD72D4" w:rsidR="00A76F9A" w:rsidRPr="001B4CA2" w:rsidRDefault="00A76F9A" w:rsidP="00A76F9A">
      <w:pPr>
        <w:ind w:firstLine="708"/>
      </w:pPr>
      <w:r w:rsidRPr="001B4CA2">
        <w:t>Ukupno odobrena sredstva za rad svih državnih odvjetništava u 2022. godini povećana su za iznos od 0,6</w:t>
      </w:r>
      <w:r w:rsidR="003E3007">
        <w:t> </w:t>
      </w:r>
      <w:r w:rsidRPr="001B4CA2">
        <w:t xml:space="preserve">% u odnosu na prethodnu godinu. </w:t>
      </w:r>
    </w:p>
    <w:p w14:paraId="3116A5FA" w14:textId="77777777" w:rsidR="00A76F9A" w:rsidRPr="001B4CA2" w:rsidRDefault="00A76F9A" w:rsidP="00A76F9A"/>
    <w:p w14:paraId="4CEA416F" w14:textId="293210E9" w:rsidR="00A76F9A" w:rsidRPr="001B4CA2" w:rsidRDefault="00A76F9A" w:rsidP="00A76F9A">
      <w:pPr>
        <w:ind w:firstLine="708"/>
      </w:pPr>
      <w:r w:rsidRPr="001B4CA2">
        <w:t>Uredu za suzbijanje korupcije i organiziranog kriminaliteta u prošloj godini osigurano je ukupno 29.997.525,00 k</w:t>
      </w:r>
      <w:r w:rsidR="00546793" w:rsidRPr="001B4CA2">
        <w:t>n</w:t>
      </w:r>
      <w:r w:rsidR="003E3007">
        <w:t xml:space="preserve"> </w:t>
      </w:r>
      <w:r w:rsidRPr="001B4CA2">
        <w:t>/</w:t>
      </w:r>
      <w:r w:rsidR="00C71624" w:rsidRPr="001B4CA2">
        <w:t xml:space="preserve"> </w:t>
      </w:r>
      <w:r w:rsidR="00546793" w:rsidRPr="001B4CA2">
        <w:t>3.981.355,76 EUR</w:t>
      </w:r>
      <w:r w:rsidRPr="001B4CA2">
        <w:t xml:space="preserve"> od toga 28.149.488,56</w:t>
      </w:r>
      <w:r w:rsidR="00546793" w:rsidRPr="001B4CA2">
        <w:t xml:space="preserve"> kn</w:t>
      </w:r>
      <w:r w:rsidR="003E3007">
        <w:t xml:space="preserve"> </w:t>
      </w:r>
      <w:r w:rsidRPr="001B4CA2">
        <w:t xml:space="preserve">/ </w:t>
      </w:r>
      <w:r w:rsidR="00546793" w:rsidRPr="001B4CA2">
        <w:t>3.736.079,18 EUR</w:t>
      </w:r>
      <w:r w:rsidRPr="001B4CA2">
        <w:t xml:space="preserve"> za potrebe Ureda</w:t>
      </w:r>
      <w:r w:rsidR="00546793" w:rsidRPr="001B4CA2">
        <w:t>,</w:t>
      </w:r>
      <w:r w:rsidRPr="001B4CA2">
        <w:t xml:space="preserve"> a 1.848.036,44</w:t>
      </w:r>
      <w:r w:rsidR="00546793" w:rsidRPr="001B4CA2">
        <w:t xml:space="preserve"> kn</w:t>
      </w:r>
      <w:r w:rsidR="003E3007">
        <w:t xml:space="preserve"> </w:t>
      </w:r>
      <w:r w:rsidRPr="001B4CA2">
        <w:t>/</w:t>
      </w:r>
      <w:r w:rsidR="00C71624" w:rsidRPr="001B4CA2">
        <w:t xml:space="preserve"> </w:t>
      </w:r>
      <w:r w:rsidR="00546793" w:rsidRPr="001B4CA2">
        <w:t>24</w:t>
      </w:r>
      <w:r w:rsidR="00D272A4">
        <w:t>5</w:t>
      </w:r>
      <w:r w:rsidR="00546793" w:rsidRPr="001B4CA2">
        <w:t>.</w:t>
      </w:r>
      <w:r w:rsidR="00D272A4">
        <w:t>276</w:t>
      </w:r>
      <w:r w:rsidR="00546793" w:rsidRPr="001B4CA2">
        <w:t>,</w:t>
      </w:r>
      <w:r w:rsidR="00D272A4">
        <w:t>58</w:t>
      </w:r>
      <w:r w:rsidR="00546793" w:rsidRPr="001B4CA2">
        <w:t xml:space="preserve"> EUR</w:t>
      </w:r>
      <w:r w:rsidRPr="001B4CA2">
        <w:t xml:space="preserve"> za potrebe Odjela delegiranih europskih tužitelja. Od iznosa sredstava osiguranih za potrebe Odjela delegiranih europskih tužitelja 1.243.439,96 </w:t>
      </w:r>
      <w:r w:rsidR="00546793" w:rsidRPr="001B4CA2">
        <w:t>kn</w:t>
      </w:r>
      <w:r w:rsidR="003E3007">
        <w:t xml:space="preserve"> </w:t>
      </w:r>
      <w:r w:rsidR="00546793" w:rsidRPr="001B4CA2">
        <w:t>/</w:t>
      </w:r>
      <w:r w:rsidR="00C71624" w:rsidRPr="001B4CA2">
        <w:t xml:space="preserve"> </w:t>
      </w:r>
      <w:r w:rsidR="00546793" w:rsidRPr="001B4CA2">
        <w:t>165.032,84 EUR</w:t>
      </w:r>
      <w:r w:rsidRPr="001B4CA2">
        <w:t xml:space="preserve"> </w:t>
      </w:r>
      <w:r w:rsidR="003E3007" w:rsidRPr="001B4CA2">
        <w:t xml:space="preserve">rashodi </w:t>
      </w:r>
      <w:r w:rsidRPr="001B4CA2">
        <w:t xml:space="preserve">su za zaposlene službenike i namještenike tog Odjela, dok je iznos od 604.596,48 </w:t>
      </w:r>
      <w:r w:rsidR="00546793" w:rsidRPr="001B4CA2">
        <w:t>kn</w:t>
      </w:r>
      <w:r w:rsidR="003E3007">
        <w:t xml:space="preserve"> </w:t>
      </w:r>
      <w:r w:rsidR="00546793" w:rsidRPr="001B4CA2">
        <w:t>/</w:t>
      </w:r>
      <w:r w:rsidR="00C71624" w:rsidRPr="001B4CA2">
        <w:t xml:space="preserve"> </w:t>
      </w:r>
      <w:r w:rsidR="00546793" w:rsidRPr="001B4CA2">
        <w:t>80.243,74 EUR</w:t>
      </w:r>
      <w:r w:rsidRPr="001B4CA2">
        <w:t xml:space="preserve"> utrošen na materijalne rashode i rashode za nabavu nefinancijske imovine.</w:t>
      </w:r>
    </w:p>
    <w:p w14:paraId="29F3025B" w14:textId="04E4AAFB" w:rsidR="00546793" w:rsidRPr="001B4CA2" w:rsidRDefault="00546793" w:rsidP="00A76F9A">
      <w:pPr>
        <w:ind w:firstLine="708"/>
      </w:pPr>
    </w:p>
    <w:p w14:paraId="5380094B" w14:textId="71F15F3B" w:rsidR="001C297A" w:rsidRPr="001B4CA2" w:rsidRDefault="001C297A" w:rsidP="00A76F9A">
      <w:pPr>
        <w:ind w:firstLine="708"/>
      </w:pPr>
    </w:p>
    <w:p w14:paraId="53DF443B" w14:textId="3749778E" w:rsidR="001C297A" w:rsidRPr="001B4CA2" w:rsidRDefault="001C297A" w:rsidP="00A76F9A">
      <w:pPr>
        <w:ind w:firstLine="708"/>
      </w:pPr>
    </w:p>
    <w:p w14:paraId="187C608C" w14:textId="7690AC27" w:rsidR="001C297A" w:rsidRPr="001B4CA2" w:rsidRDefault="001C297A" w:rsidP="00A76F9A">
      <w:pPr>
        <w:ind w:firstLine="708"/>
      </w:pPr>
    </w:p>
    <w:p w14:paraId="27295772" w14:textId="780C6CE1" w:rsidR="001C297A" w:rsidRPr="001B4CA2" w:rsidRDefault="001C297A" w:rsidP="00A76F9A">
      <w:pPr>
        <w:ind w:firstLine="708"/>
      </w:pPr>
    </w:p>
    <w:p w14:paraId="0FB9E3FC" w14:textId="696BF1EB" w:rsidR="001C297A" w:rsidRPr="001B4CA2" w:rsidRDefault="001C297A" w:rsidP="00A76F9A">
      <w:pPr>
        <w:ind w:firstLine="708"/>
      </w:pPr>
    </w:p>
    <w:p w14:paraId="6D2CA720" w14:textId="65145FE6" w:rsidR="001C297A" w:rsidRPr="001B4CA2" w:rsidRDefault="001C297A" w:rsidP="00A76F9A">
      <w:pPr>
        <w:ind w:firstLine="708"/>
      </w:pPr>
    </w:p>
    <w:p w14:paraId="59AFDC56" w14:textId="4AA4AAA8" w:rsidR="001C297A" w:rsidRPr="001B4CA2" w:rsidRDefault="001C297A" w:rsidP="00A76F9A">
      <w:pPr>
        <w:ind w:firstLine="708"/>
      </w:pPr>
    </w:p>
    <w:p w14:paraId="2A33B996" w14:textId="1D637F12" w:rsidR="001C297A" w:rsidRPr="001B4CA2" w:rsidRDefault="001C297A" w:rsidP="00A76F9A">
      <w:pPr>
        <w:ind w:firstLine="708"/>
      </w:pPr>
    </w:p>
    <w:p w14:paraId="0D0E8546" w14:textId="00BF8AAC" w:rsidR="001C297A" w:rsidRDefault="001C297A" w:rsidP="00A76F9A">
      <w:pPr>
        <w:ind w:firstLine="708"/>
      </w:pPr>
    </w:p>
    <w:p w14:paraId="4F379BA9" w14:textId="235B7E8F" w:rsidR="00D272A4" w:rsidRDefault="00D272A4" w:rsidP="00A76F9A">
      <w:pPr>
        <w:ind w:firstLine="708"/>
      </w:pPr>
    </w:p>
    <w:p w14:paraId="081302ED" w14:textId="77777777" w:rsidR="00D272A4" w:rsidRPr="001B4CA2" w:rsidRDefault="00D272A4" w:rsidP="00A76F9A">
      <w:pPr>
        <w:ind w:firstLine="708"/>
      </w:pPr>
    </w:p>
    <w:p w14:paraId="15A1667C" w14:textId="77777777" w:rsidR="001C297A" w:rsidRPr="001B4CA2" w:rsidRDefault="001C297A" w:rsidP="00A76F9A">
      <w:pPr>
        <w:ind w:firstLine="708"/>
      </w:pPr>
    </w:p>
    <w:p w14:paraId="2B7FA1E5" w14:textId="77777777" w:rsidR="00A76F9A" w:rsidRPr="001B4CA2" w:rsidRDefault="00A76F9A" w:rsidP="00A76F9A">
      <w:pPr>
        <w:ind w:firstLine="708"/>
      </w:pPr>
      <w:r w:rsidRPr="001B4CA2">
        <w:lastRenderedPageBreak/>
        <w:t>Struktura ukupno odobrenih i izvršenih sredstava za sva državna odvjetništva prikazana je u donjoj tablici:</w:t>
      </w:r>
    </w:p>
    <w:p w14:paraId="4B1E11BE" w14:textId="77777777" w:rsidR="00A76F9A" w:rsidRPr="001B4CA2" w:rsidRDefault="00A76F9A" w:rsidP="00A76F9A">
      <w:pPr>
        <w:rPr>
          <w:rFonts w:eastAsia="Calibri"/>
        </w:rPr>
      </w:pPr>
    </w:p>
    <w:tbl>
      <w:tblPr>
        <w:tblW w:w="7143" w:type="dxa"/>
        <w:tblInd w:w="984" w:type="dxa"/>
        <w:tblLook w:val="04A0" w:firstRow="1" w:lastRow="0" w:firstColumn="1" w:lastColumn="0" w:noHBand="0" w:noVBand="1"/>
      </w:tblPr>
      <w:tblGrid>
        <w:gridCol w:w="2348"/>
        <w:gridCol w:w="2287"/>
        <w:gridCol w:w="2508"/>
      </w:tblGrid>
      <w:tr w:rsidR="00A76F9A" w:rsidRPr="001B4CA2" w14:paraId="1D38A70D" w14:textId="77777777" w:rsidTr="00443DAF">
        <w:trPr>
          <w:trHeight w:val="639"/>
        </w:trPr>
        <w:tc>
          <w:tcPr>
            <w:tcW w:w="2348"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5B9B815C" w14:textId="77777777" w:rsidR="00A76F9A" w:rsidRPr="001B4CA2" w:rsidRDefault="00A76F9A" w:rsidP="00443DAF">
            <w:pPr>
              <w:jc w:val="left"/>
              <w:rPr>
                <w:rFonts w:eastAsia="Times New Roman"/>
                <w:sz w:val="18"/>
                <w:szCs w:val="18"/>
                <w:lang w:eastAsia="hr-HR"/>
              </w:rPr>
            </w:pPr>
            <w:r w:rsidRPr="001B4CA2">
              <w:rPr>
                <w:rFonts w:eastAsia="Times New Roman"/>
                <w:sz w:val="18"/>
                <w:szCs w:val="18"/>
                <w:lang w:eastAsia="hr-HR"/>
              </w:rPr>
              <w:t> </w:t>
            </w:r>
          </w:p>
        </w:tc>
        <w:tc>
          <w:tcPr>
            <w:tcW w:w="2287" w:type="dxa"/>
            <w:tcBorders>
              <w:top w:val="single" w:sz="4" w:space="0" w:color="auto"/>
              <w:left w:val="nil"/>
              <w:bottom w:val="single" w:sz="4" w:space="0" w:color="auto"/>
              <w:right w:val="single" w:sz="4" w:space="0" w:color="auto"/>
            </w:tcBorders>
            <w:shd w:val="clear" w:color="auto" w:fill="99CCFF"/>
            <w:noWrap/>
            <w:vAlign w:val="center"/>
            <w:hideMark/>
          </w:tcPr>
          <w:p w14:paraId="77BE905E" w14:textId="77777777" w:rsidR="00A76F9A" w:rsidRPr="001B4CA2" w:rsidRDefault="00A76F9A" w:rsidP="00443DAF">
            <w:pPr>
              <w:jc w:val="center"/>
              <w:rPr>
                <w:rFonts w:eastAsia="Times New Roman"/>
                <w:b/>
                <w:sz w:val="18"/>
                <w:szCs w:val="18"/>
                <w:lang w:eastAsia="hr-HR"/>
              </w:rPr>
            </w:pPr>
            <w:r w:rsidRPr="001B4CA2">
              <w:rPr>
                <w:rFonts w:eastAsia="Times New Roman"/>
                <w:b/>
                <w:sz w:val="18"/>
                <w:szCs w:val="18"/>
                <w:lang w:eastAsia="hr-HR"/>
              </w:rPr>
              <w:t>Odobren plan (kn)</w:t>
            </w:r>
          </w:p>
        </w:tc>
        <w:tc>
          <w:tcPr>
            <w:tcW w:w="2508" w:type="dxa"/>
            <w:tcBorders>
              <w:top w:val="single" w:sz="4" w:space="0" w:color="auto"/>
              <w:left w:val="nil"/>
              <w:bottom w:val="single" w:sz="4" w:space="0" w:color="auto"/>
              <w:right w:val="single" w:sz="4" w:space="0" w:color="auto"/>
            </w:tcBorders>
            <w:shd w:val="clear" w:color="auto" w:fill="99CCFF"/>
            <w:noWrap/>
            <w:vAlign w:val="center"/>
            <w:hideMark/>
          </w:tcPr>
          <w:p w14:paraId="64B56034" w14:textId="77777777" w:rsidR="00A76F9A" w:rsidRPr="001B4CA2" w:rsidRDefault="00A76F9A" w:rsidP="00443DAF">
            <w:pPr>
              <w:jc w:val="center"/>
              <w:rPr>
                <w:rFonts w:eastAsia="Times New Roman"/>
                <w:b/>
                <w:sz w:val="18"/>
                <w:szCs w:val="18"/>
                <w:lang w:eastAsia="hr-HR"/>
              </w:rPr>
            </w:pPr>
            <w:r w:rsidRPr="001B4CA2">
              <w:rPr>
                <w:rFonts w:eastAsia="Times New Roman"/>
                <w:b/>
                <w:sz w:val="18"/>
                <w:szCs w:val="18"/>
                <w:lang w:eastAsia="hr-HR"/>
              </w:rPr>
              <w:t>Izvršen plan (kn)</w:t>
            </w:r>
          </w:p>
        </w:tc>
      </w:tr>
      <w:tr w:rsidR="00A76F9A" w:rsidRPr="001B4CA2" w14:paraId="11813785" w14:textId="77777777" w:rsidTr="00443DAF">
        <w:trPr>
          <w:trHeight w:val="546"/>
        </w:trPr>
        <w:tc>
          <w:tcPr>
            <w:tcW w:w="2348" w:type="dxa"/>
            <w:tcBorders>
              <w:top w:val="nil"/>
              <w:left w:val="single" w:sz="4" w:space="0" w:color="auto"/>
              <w:bottom w:val="single" w:sz="4" w:space="0" w:color="auto"/>
              <w:right w:val="single" w:sz="4" w:space="0" w:color="auto"/>
            </w:tcBorders>
            <w:shd w:val="clear" w:color="auto" w:fill="auto"/>
            <w:noWrap/>
            <w:vAlign w:val="center"/>
            <w:hideMark/>
          </w:tcPr>
          <w:p w14:paraId="216D5060" w14:textId="77777777" w:rsidR="00A76F9A" w:rsidRPr="001B4CA2" w:rsidRDefault="00A76F9A" w:rsidP="00443DAF">
            <w:pPr>
              <w:jc w:val="left"/>
              <w:rPr>
                <w:rFonts w:eastAsia="Times New Roman"/>
                <w:sz w:val="18"/>
                <w:szCs w:val="18"/>
                <w:lang w:eastAsia="hr-HR"/>
              </w:rPr>
            </w:pPr>
            <w:r w:rsidRPr="001B4CA2">
              <w:rPr>
                <w:rFonts w:eastAsia="Times New Roman"/>
                <w:sz w:val="18"/>
                <w:szCs w:val="18"/>
                <w:lang w:eastAsia="hr-HR"/>
              </w:rPr>
              <w:t>Rashodi za zaposlene</w:t>
            </w:r>
          </w:p>
        </w:tc>
        <w:tc>
          <w:tcPr>
            <w:tcW w:w="2287" w:type="dxa"/>
            <w:tcBorders>
              <w:top w:val="nil"/>
              <w:left w:val="nil"/>
              <w:bottom w:val="single" w:sz="4" w:space="0" w:color="auto"/>
              <w:right w:val="single" w:sz="4" w:space="0" w:color="auto"/>
            </w:tcBorders>
            <w:shd w:val="clear" w:color="auto" w:fill="auto"/>
            <w:noWrap/>
            <w:vAlign w:val="center"/>
          </w:tcPr>
          <w:p w14:paraId="79B1449E" w14:textId="77777777" w:rsidR="00A76F9A" w:rsidRPr="001B4CA2" w:rsidRDefault="00A76F9A" w:rsidP="00443DAF">
            <w:pPr>
              <w:jc w:val="center"/>
              <w:rPr>
                <w:rFonts w:eastAsia="Times New Roman"/>
                <w:sz w:val="18"/>
                <w:szCs w:val="18"/>
                <w:lang w:eastAsia="hr-HR"/>
              </w:rPr>
            </w:pPr>
            <w:r w:rsidRPr="001B4CA2">
              <w:rPr>
                <w:rFonts w:eastAsia="Times New Roman"/>
                <w:sz w:val="18"/>
                <w:szCs w:val="18"/>
                <w:lang w:eastAsia="hr-HR"/>
              </w:rPr>
              <w:t>318.901.939,00</w:t>
            </w:r>
          </w:p>
        </w:tc>
        <w:tc>
          <w:tcPr>
            <w:tcW w:w="2508" w:type="dxa"/>
            <w:tcBorders>
              <w:top w:val="nil"/>
              <w:left w:val="nil"/>
              <w:bottom w:val="single" w:sz="4" w:space="0" w:color="auto"/>
              <w:right w:val="single" w:sz="4" w:space="0" w:color="auto"/>
            </w:tcBorders>
            <w:shd w:val="clear" w:color="auto" w:fill="auto"/>
            <w:noWrap/>
            <w:vAlign w:val="center"/>
          </w:tcPr>
          <w:p w14:paraId="20A2681F" w14:textId="77777777" w:rsidR="00A76F9A" w:rsidRPr="001B4CA2" w:rsidRDefault="00A76F9A" w:rsidP="00443DAF">
            <w:pPr>
              <w:jc w:val="center"/>
              <w:rPr>
                <w:rFonts w:eastAsia="Times New Roman"/>
                <w:color w:val="000000"/>
                <w:sz w:val="18"/>
                <w:szCs w:val="18"/>
                <w:lang w:eastAsia="hr-HR"/>
              </w:rPr>
            </w:pPr>
            <w:r w:rsidRPr="001B4CA2">
              <w:rPr>
                <w:rFonts w:eastAsia="Times New Roman"/>
                <w:color w:val="000000"/>
                <w:sz w:val="18"/>
                <w:szCs w:val="18"/>
                <w:lang w:eastAsia="hr-HR"/>
              </w:rPr>
              <w:t>318.305.544,53</w:t>
            </w:r>
          </w:p>
        </w:tc>
      </w:tr>
      <w:tr w:rsidR="00A76F9A" w:rsidRPr="001B4CA2" w14:paraId="6C0BD42C" w14:textId="77777777" w:rsidTr="00443DAF">
        <w:trPr>
          <w:trHeight w:val="457"/>
        </w:trPr>
        <w:tc>
          <w:tcPr>
            <w:tcW w:w="2348" w:type="dxa"/>
            <w:tcBorders>
              <w:top w:val="nil"/>
              <w:left w:val="single" w:sz="4" w:space="0" w:color="auto"/>
              <w:bottom w:val="single" w:sz="4" w:space="0" w:color="auto"/>
              <w:right w:val="single" w:sz="4" w:space="0" w:color="auto"/>
            </w:tcBorders>
            <w:shd w:val="clear" w:color="auto" w:fill="auto"/>
            <w:noWrap/>
            <w:vAlign w:val="center"/>
            <w:hideMark/>
          </w:tcPr>
          <w:p w14:paraId="253B9D05" w14:textId="77777777" w:rsidR="00A76F9A" w:rsidRPr="001B4CA2" w:rsidRDefault="00A76F9A" w:rsidP="00443DAF">
            <w:pPr>
              <w:jc w:val="left"/>
              <w:rPr>
                <w:rFonts w:eastAsia="Times New Roman"/>
                <w:sz w:val="18"/>
                <w:szCs w:val="18"/>
                <w:lang w:eastAsia="hr-HR"/>
              </w:rPr>
            </w:pPr>
            <w:r w:rsidRPr="001B4CA2">
              <w:rPr>
                <w:rFonts w:eastAsia="Times New Roman"/>
                <w:sz w:val="18"/>
                <w:szCs w:val="18"/>
                <w:lang w:eastAsia="hr-HR"/>
              </w:rPr>
              <w:t>Materijalni rashodi</w:t>
            </w:r>
          </w:p>
        </w:tc>
        <w:tc>
          <w:tcPr>
            <w:tcW w:w="2287" w:type="dxa"/>
            <w:tcBorders>
              <w:top w:val="nil"/>
              <w:left w:val="nil"/>
              <w:bottom w:val="single" w:sz="4" w:space="0" w:color="auto"/>
              <w:right w:val="single" w:sz="4" w:space="0" w:color="auto"/>
            </w:tcBorders>
            <w:shd w:val="clear" w:color="auto" w:fill="auto"/>
            <w:noWrap/>
            <w:vAlign w:val="center"/>
          </w:tcPr>
          <w:p w14:paraId="7B038907" w14:textId="77777777" w:rsidR="00A76F9A" w:rsidRPr="001B4CA2" w:rsidRDefault="00A76F9A" w:rsidP="00443DAF">
            <w:pPr>
              <w:jc w:val="center"/>
              <w:rPr>
                <w:rFonts w:eastAsia="Times New Roman"/>
                <w:color w:val="000000"/>
                <w:sz w:val="18"/>
                <w:szCs w:val="18"/>
                <w:lang w:eastAsia="hr-HR"/>
              </w:rPr>
            </w:pPr>
            <w:r w:rsidRPr="001B4CA2">
              <w:rPr>
                <w:rFonts w:eastAsia="Times New Roman"/>
                <w:color w:val="000000"/>
                <w:sz w:val="18"/>
                <w:szCs w:val="18"/>
                <w:lang w:eastAsia="hr-HR"/>
              </w:rPr>
              <w:t>99.222.269,00</w:t>
            </w:r>
          </w:p>
        </w:tc>
        <w:tc>
          <w:tcPr>
            <w:tcW w:w="2508" w:type="dxa"/>
            <w:tcBorders>
              <w:top w:val="nil"/>
              <w:left w:val="nil"/>
              <w:bottom w:val="single" w:sz="4" w:space="0" w:color="auto"/>
              <w:right w:val="single" w:sz="4" w:space="0" w:color="auto"/>
            </w:tcBorders>
            <w:shd w:val="clear" w:color="auto" w:fill="auto"/>
            <w:noWrap/>
            <w:vAlign w:val="center"/>
          </w:tcPr>
          <w:p w14:paraId="51ACC4EF" w14:textId="77777777" w:rsidR="00A76F9A" w:rsidRPr="001B4CA2" w:rsidRDefault="00A76F9A" w:rsidP="00443DAF">
            <w:pPr>
              <w:jc w:val="center"/>
              <w:rPr>
                <w:rFonts w:eastAsia="Times New Roman"/>
                <w:color w:val="000000"/>
                <w:sz w:val="18"/>
                <w:szCs w:val="18"/>
                <w:lang w:eastAsia="hr-HR"/>
              </w:rPr>
            </w:pPr>
            <w:r w:rsidRPr="001B4CA2">
              <w:rPr>
                <w:rFonts w:eastAsia="Times New Roman"/>
                <w:color w:val="000000"/>
                <w:sz w:val="18"/>
                <w:szCs w:val="18"/>
                <w:lang w:eastAsia="hr-HR"/>
              </w:rPr>
              <w:t>98.344.975,66</w:t>
            </w:r>
          </w:p>
        </w:tc>
      </w:tr>
      <w:tr w:rsidR="00A76F9A" w:rsidRPr="001B4CA2" w14:paraId="7372899B" w14:textId="77777777" w:rsidTr="00443DAF">
        <w:trPr>
          <w:trHeight w:val="526"/>
        </w:trPr>
        <w:tc>
          <w:tcPr>
            <w:tcW w:w="2348" w:type="dxa"/>
            <w:tcBorders>
              <w:top w:val="nil"/>
              <w:left w:val="single" w:sz="4" w:space="0" w:color="auto"/>
              <w:bottom w:val="single" w:sz="4" w:space="0" w:color="auto"/>
              <w:right w:val="single" w:sz="4" w:space="0" w:color="auto"/>
            </w:tcBorders>
            <w:shd w:val="clear" w:color="auto" w:fill="auto"/>
            <w:noWrap/>
            <w:vAlign w:val="center"/>
            <w:hideMark/>
          </w:tcPr>
          <w:p w14:paraId="1CD7838A" w14:textId="77777777" w:rsidR="00A76F9A" w:rsidRPr="001B4CA2" w:rsidRDefault="00A76F9A" w:rsidP="00443DAF">
            <w:pPr>
              <w:jc w:val="left"/>
              <w:rPr>
                <w:rFonts w:eastAsia="Times New Roman"/>
                <w:sz w:val="18"/>
                <w:szCs w:val="18"/>
                <w:lang w:eastAsia="hr-HR"/>
              </w:rPr>
            </w:pPr>
            <w:r w:rsidRPr="001B4CA2">
              <w:rPr>
                <w:rFonts w:eastAsia="Times New Roman"/>
                <w:sz w:val="18"/>
                <w:szCs w:val="18"/>
                <w:lang w:eastAsia="hr-HR"/>
              </w:rPr>
              <w:t>Financijski rashodi</w:t>
            </w:r>
          </w:p>
        </w:tc>
        <w:tc>
          <w:tcPr>
            <w:tcW w:w="2287" w:type="dxa"/>
            <w:tcBorders>
              <w:top w:val="nil"/>
              <w:left w:val="nil"/>
              <w:bottom w:val="single" w:sz="4" w:space="0" w:color="auto"/>
              <w:right w:val="single" w:sz="4" w:space="0" w:color="auto"/>
            </w:tcBorders>
            <w:shd w:val="clear" w:color="auto" w:fill="auto"/>
            <w:noWrap/>
            <w:vAlign w:val="center"/>
          </w:tcPr>
          <w:p w14:paraId="12DDF9CF" w14:textId="77777777" w:rsidR="00A76F9A" w:rsidRPr="001B4CA2" w:rsidRDefault="00A76F9A" w:rsidP="00443DAF">
            <w:pPr>
              <w:jc w:val="center"/>
              <w:rPr>
                <w:rFonts w:eastAsia="Times New Roman"/>
                <w:sz w:val="18"/>
                <w:szCs w:val="18"/>
                <w:lang w:eastAsia="hr-HR"/>
              </w:rPr>
            </w:pPr>
            <w:r w:rsidRPr="001B4CA2">
              <w:rPr>
                <w:rFonts w:eastAsia="Times New Roman"/>
                <w:sz w:val="18"/>
                <w:szCs w:val="18"/>
                <w:lang w:eastAsia="hr-HR"/>
              </w:rPr>
              <w:t>1.848.325,00</w:t>
            </w:r>
          </w:p>
        </w:tc>
        <w:tc>
          <w:tcPr>
            <w:tcW w:w="2508" w:type="dxa"/>
            <w:tcBorders>
              <w:top w:val="nil"/>
              <w:left w:val="nil"/>
              <w:bottom w:val="single" w:sz="4" w:space="0" w:color="auto"/>
              <w:right w:val="single" w:sz="4" w:space="0" w:color="auto"/>
            </w:tcBorders>
            <w:shd w:val="clear" w:color="auto" w:fill="auto"/>
            <w:noWrap/>
            <w:vAlign w:val="center"/>
          </w:tcPr>
          <w:p w14:paraId="68C54846" w14:textId="77777777" w:rsidR="00A76F9A" w:rsidRPr="001B4CA2" w:rsidRDefault="00A76F9A" w:rsidP="00443DAF">
            <w:pPr>
              <w:jc w:val="center"/>
              <w:rPr>
                <w:rFonts w:eastAsia="Times New Roman"/>
                <w:color w:val="000000"/>
                <w:sz w:val="18"/>
                <w:szCs w:val="18"/>
                <w:lang w:eastAsia="hr-HR"/>
              </w:rPr>
            </w:pPr>
            <w:r w:rsidRPr="001B4CA2">
              <w:rPr>
                <w:rFonts w:eastAsia="Times New Roman"/>
                <w:color w:val="000000"/>
                <w:sz w:val="18"/>
                <w:szCs w:val="18"/>
                <w:lang w:eastAsia="hr-HR"/>
              </w:rPr>
              <w:t>1.773.010,22</w:t>
            </w:r>
          </w:p>
        </w:tc>
      </w:tr>
      <w:tr w:rsidR="00A76F9A" w:rsidRPr="001B4CA2" w14:paraId="07D711F4" w14:textId="77777777" w:rsidTr="00443DAF">
        <w:trPr>
          <w:trHeight w:val="565"/>
        </w:trPr>
        <w:tc>
          <w:tcPr>
            <w:tcW w:w="2348" w:type="dxa"/>
            <w:tcBorders>
              <w:top w:val="nil"/>
              <w:left w:val="single" w:sz="4" w:space="0" w:color="auto"/>
              <w:bottom w:val="single" w:sz="4" w:space="0" w:color="auto"/>
              <w:right w:val="single" w:sz="4" w:space="0" w:color="auto"/>
            </w:tcBorders>
            <w:shd w:val="clear" w:color="auto" w:fill="auto"/>
            <w:vAlign w:val="center"/>
            <w:hideMark/>
          </w:tcPr>
          <w:p w14:paraId="0C15F9E5" w14:textId="77777777" w:rsidR="00A76F9A" w:rsidRPr="001B4CA2" w:rsidRDefault="00A76F9A" w:rsidP="00443DAF">
            <w:pPr>
              <w:jc w:val="left"/>
              <w:rPr>
                <w:rFonts w:eastAsia="Times New Roman"/>
                <w:sz w:val="18"/>
                <w:szCs w:val="18"/>
                <w:lang w:eastAsia="hr-HR"/>
              </w:rPr>
            </w:pPr>
            <w:r w:rsidRPr="001B4CA2">
              <w:rPr>
                <w:rFonts w:eastAsia="Times New Roman"/>
                <w:sz w:val="18"/>
                <w:szCs w:val="18"/>
                <w:lang w:eastAsia="hr-HR"/>
              </w:rPr>
              <w:t>Rashodi za nabavu dugotrajne imovine</w:t>
            </w:r>
          </w:p>
        </w:tc>
        <w:tc>
          <w:tcPr>
            <w:tcW w:w="2287" w:type="dxa"/>
            <w:tcBorders>
              <w:top w:val="nil"/>
              <w:left w:val="nil"/>
              <w:bottom w:val="single" w:sz="4" w:space="0" w:color="auto"/>
              <w:right w:val="single" w:sz="4" w:space="0" w:color="auto"/>
            </w:tcBorders>
            <w:shd w:val="clear" w:color="auto" w:fill="auto"/>
            <w:noWrap/>
            <w:vAlign w:val="center"/>
          </w:tcPr>
          <w:p w14:paraId="42207FF6" w14:textId="77777777" w:rsidR="00A76F9A" w:rsidRPr="001B4CA2" w:rsidRDefault="00A76F9A" w:rsidP="00443DAF">
            <w:pPr>
              <w:jc w:val="center"/>
              <w:rPr>
                <w:rFonts w:eastAsia="Times New Roman"/>
                <w:sz w:val="18"/>
                <w:szCs w:val="18"/>
                <w:lang w:eastAsia="hr-HR"/>
              </w:rPr>
            </w:pPr>
            <w:r w:rsidRPr="001B4CA2">
              <w:rPr>
                <w:rFonts w:eastAsia="Times New Roman"/>
                <w:sz w:val="18"/>
                <w:szCs w:val="18"/>
                <w:lang w:eastAsia="hr-HR"/>
              </w:rPr>
              <w:t>1.784.576,00</w:t>
            </w:r>
          </w:p>
        </w:tc>
        <w:tc>
          <w:tcPr>
            <w:tcW w:w="2508" w:type="dxa"/>
            <w:tcBorders>
              <w:top w:val="nil"/>
              <w:left w:val="nil"/>
              <w:bottom w:val="single" w:sz="4" w:space="0" w:color="auto"/>
              <w:right w:val="single" w:sz="4" w:space="0" w:color="auto"/>
            </w:tcBorders>
            <w:shd w:val="clear" w:color="auto" w:fill="auto"/>
            <w:noWrap/>
            <w:vAlign w:val="center"/>
          </w:tcPr>
          <w:p w14:paraId="73D9DBED" w14:textId="77777777" w:rsidR="00A76F9A" w:rsidRPr="001B4CA2" w:rsidRDefault="00A76F9A" w:rsidP="00443DAF">
            <w:pPr>
              <w:jc w:val="center"/>
              <w:rPr>
                <w:rFonts w:eastAsia="Times New Roman"/>
                <w:color w:val="000000"/>
                <w:sz w:val="18"/>
                <w:szCs w:val="18"/>
                <w:lang w:eastAsia="hr-HR"/>
              </w:rPr>
            </w:pPr>
            <w:r w:rsidRPr="001B4CA2">
              <w:rPr>
                <w:rFonts w:eastAsia="Times New Roman"/>
                <w:color w:val="000000"/>
                <w:sz w:val="18"/>
                <w:szCs w:val="18"/>
                <w:lang w:eastAsia="hr-HR"/>
              </w:rPr>
              <w:t>1.433.887,63</w:t>
            </w:r>
          </w:p>
        </w:tc>
      </w:tr>
      <w:tr w:rsidR="00A76F9A" w:rsidRPr="001B4CA2" w14:paraId="63CC3732" w14:textId="77777777" w:rsidTr="00443DAF">
        <w:trPr>
          <w:trHeight w:val="429"/>
        </w:trPr>
        <w:tc>
          <w:tcPr>
            <w:tcW w:w="2348" w:type="dxa"/>
            <w:tcBorders>
              <w:top w:val="nil"/>
              <w:left w:val="single" w:sz="4" w:space="0" w:color="auto"/>
              <w:bottom w:val="single" w:sz="4" w:space="0" w:color="auto"/>
              <w:right w:val="single" w:sz="4" w:space="0" w:color="auto"/>
            </w:tcBorders>
            <w:shd w:val="clear" w:color="auto" w:fill="99CCFF"/>
            <w:noWrap/>
            <w:vAlign w:val="center"/>
            <w:hideMark/>
          </w:tcPr>
          <w:p w14:paraId="60D8850C" w14:textId="77777777" w:rsidR="00A76F9A" w:rsidRPr="001B4CA2" w:rsidRDefault="00A76F9A" w:rsidP="00443DAF">
            <w:pPr>
              <w:jc w:val="left"/>
              <w:rPr>
                <w:rFonts w:eastAsia="Times New Roman"/>
                <w:b/>
                <w:bCs/>
                <w:sz w:val="18"/>
                <w:szCs w:val="18"/>
                <w:lang w:eastAsia="hr-HR"/>
              </w:rPr>
            </w:pPr>
            <w:r w:rsidRPr="001B4CA2">
              <w:rPr>
                <w:rFonts w:eastAsia="Times New Roman"/>
                <w:b/>
                <w:bCs/>
                <w:sz w:val="18"/>
                <w:szCs w:val="18"/>
                <w:lang w:eastAsia="hr-HR"/>
              </w:rPr>
              <w:t>UKUPNO</w:t>
            </w:r>
          </w:p>
        </w:tc>
        <w:tc>
          <w:tcPr>
            <w:tcW w:w="2287" w:type="dxa"/>
            <w:tcBorders>
              <w:top w:val="nil"/>
              <w:left w:val="nil"/>
              <w:bottom w:val="single" w:sz="4" w:space="0" w:color="auto"/>
              <w:right w:val="single" w:sz="4" w:space="0" w:color="auto"/>
            </w:tcBorders>
            <w:shd w:val="clear" w:color="auto" w:fill="99CCFF"/>
            <w:noWrap/>
            <w:vAlign w:val="center"/>
          </w:tcPr>
          <w:p w14:paraId="6D74FB2B" w14:textId="77777777" w:rsidR="00A76F9A" w:rsidRPr="001B4CA2" w:rsidRDefault="00A76F9A" w:rsidP="00443DAF">
            <w:pPr>
              <w:jc w:val="center"/>
              <w:rPr>
                <w:rFonts w:eastAsia="Times New Roman"/>
                <w:b/>
                <w:bCs/>
                <w:color w:val="000000"/>
                <w:sz w:val="18"/>
                <w:szCs w:val="18"/>
                <w:lang w:eastAsia="hr-HR"/>
              </w:rPr>
            </w:pPr>
            <w:r w:rsidRPr="001B4CA2">
              <w:rPr>
                <w:rFonts w:eastAsia="Times New Roman"/>
                <w:b/>
                <w:bCs/>
                <w:color w:val="000000"/>
                <w:sz w:val="18"/>
                <w:szCs w:val="18"/>
                <w:lang w:eastAsia="hr-HR"/>
              </w:rPr>
              <w:t>421.757.109,00</w:t>
            </w:r>
          </w:p>
        </w:tc>
        <w:tc>
          <w:tcPr>
            <w:tcW w:w="2508" w:type="dxa"/>
            <w:tcBorders>
              <w:top w:val="nil"/>
              <w:left w:val="nil"/>
              <w:bottom w:val="single" w:sz="4" w:space="0" w:color="auto"/>
              <w:right w:val="single" w:sz="4" w:space="0" w:color="auto"/>
            </w:tcBorders>
            <w:shd w:val="clear" w:color="auto" w:fill="99CCFF"/>
            <w:noWrap/>
            <w:vAlign w:val="center"/>
          </w:tcPr>
          <w:p w14:paraId="3BD48A58" w14:textId="77777777" w:rsidR="00A76F9A" w:rsidRPr="001B4CA2" w:rsidRDefault="00A76F9A" w:rsidP="00443DAF">
            <w:pPr>
              <w:jc w:val="center"/>
              <w:rPr>
                <w:rFonts w:eastAsia="Times New Roman"/>
                <w:b/>
                <w:bCs/>
                <w:color w:val="000000"/>
                <w:sz w:val="18"/>
                <w:szCs w:val="18"/>
                <w:lang w:eastAsia="hr-HR"/>
              </w:rPr>
            </w:pPr>
            <w:r w:rsidRPr="001B4CA2">
              <w:rPr>
                <w:rFonts w:eastAsia="Times New Roman"/>
                <w:b/>
                <w:bCs/>
                <w:color w:val="000000"/>
                <w:sz w:val="18"/>
                <w:szCs w:val="18"/>
                <w:lang w:eastAsia="hr-HR"/>
              </w:rPr>
              <w:t>419.857.418,04</w:t>
            </w:r>
          </w:p>
        </w:tc>
      </w:tr>
    </w:tbl>
    <w:p w14:paraId="21BAA4C9" w14:textId="77777777" w:rsidR="00A76F9A" w:rsidRPr="001B4CA2" w:rsidRDefault="00A76F9A" w:rsidP="00A76F9A">
      <w:pPr>
        <w:ind w:firstLine="708"/>
      </w:pPr>
    </w:p>
    <w:p w14:paraId="10506D78" w14:textId="7B319C10" w:rsidR="00A76F9A" w:rsidRPr="001B4CA2" w:rsidRDefault="00A76F9A" w:rsidP="00A76F9A">
      <w:pPr>
        <w:ind w:firstLine="708"/>
      </w:pPr>
      <w:r w:rsidRPr="001B4CA2">
        <w:t>U strukturi odobrenih sredstava za rad državnih odvjetništava u 2022. godini 75,6</w:t>
      </w:r>
      <w:r w:rsidR="003E3007">
        <w:t> </w:t>
      </w:r>
      <w:r w:rsidRPr="001B4CA2">
        <w:t xml:space="preserve">% rashodi </w:t>
      </w:r>
      <w:r w:rsidR="003E3007" w:rsidRPr="001B4CA2">
        <w:t xml:space="preserve">su </w:t>
      </w:r>
      <w:r w:rsidRPr="001B4CA2">
        <w:t>za zaposlene</w:t>
      </w:r>
      <w:r w:rsidR="003E3007">
        <w:t>,</w:t>
      </w:r>
      <w:r w:rsidRPr="001B4CA2">
        <w:t xml:space="preserve"> i to u najvećoj mjeri rashodi za plaće.</w:t>
      </w:r>
    </w:p>
    <w:p w14:paraId="78843BC7" w14:textId="77777777" w:rsidR="00A76F9A" w:rsidRPr="001B4CA2" w:rsidRDefault="00A76F9A" w:rsidP="00A76F9A">
      <w:pPr>
        <w:ind w:firstLine="708"/>
      </w:pPr>
    </w:p>
    <w:p w14:paraId="03F6416D" w14:textId="77777777" w:rsidR="00A76F9A" w:rsidRPr="001B4CA2" w:rsidRDefault="00A76F9A" w:rsidP="00A76F9A">
      <w:pPr>
        <w:ind w:firstLine="708"/>
      </w:pPr>
      <w:r w:rsidRPr="001B4CA2">
        <w:t>U donjoj tablici iskazana su odobrena i izvršena financijska sredstva za potrebe Državnog odvjetništva Republike Hrvatske u petogodišnjem razdoblju.</w:t>
      </w:r>
    </w:p>
    <w:p w14:paraId="2B091271" w14:textId="77777777" w:rsidR="00A76F9A" w:rsidRPr="001B4CA2" w:rsidRDefault="00A76F9A" w:rsidP="00A76F9A">
      <w:pPr>
        <w:ind w:firstLine="708"/>
      </w:pPr>
    </w:p>
    <w:tbl>
      <w:tblPr>
        <w:tblW w:w="8932" w:type="dxa"/>
        <w:jc w:val="center"/>
        <w:tblLook w:val="04A0" w:firstRow="1" w:lastRow="0" w:firstColumn="1" w:lastColumn="0" w:noHBand="0" w:noVBand="1"/>
      </w:tblPr>
      <w:tblGrid>
        <w:gridCol w:w="1838"/>
        <w:gridCol w:w="2414"/>
        <w:gridCol w:w="2413"/>
        <w:gridCol w:w="2267"/>
      </w:tblGrid>
      <w:tr w:rsidR="00A76F9A" w:rsidRPr="001B4CA2" w14:paraId="5716916B" w14:textId="77777777" w:rsidTr="00546793">
        <w:trPr>
          <w:trHeight w:val="479"/>
          <w:jc w:val="center"/>
        </w:trPr>
        <w:tc>
          <w:tcPr>
            <w:tcW w:w="1838" w:type="dxa"/>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6153EA9" w14:textId="77777777" w:rsidR="00A76F9A" w:rsidRPr="001B4CA2" w:rsidRDefault="00A76F9A" w:rsidP="00443DAF">
            <w:pPr>
              <w:jc w:val="center"/>
              <w:rPr>
                <w:rFonts w:eastAsia="Times New Roman"/>
                <w:b/>
                <w:sz w:val="18"/>
                <w:szCs w:val="18"/>
                <w:lang w:eastAsia="hr-HR"/>
              </w:rPr>
            </w:pPr>
            <w:r w:rsidRPr="001B4CA2">
              <w:rPr>
                <w:rFonts w:eastAsia="Times New Roman"/>
                <w:b/>
                <w:sz w:val="18"/>
                <w:szCs w:val="18"/>
                <w:lang w:eastAsia="hr-HR"/>
              </w:rPr>
              <w:t>DORH</w:t>
            </w:r>
          </w:p>
        </w:tc>
        <w:tc>
          <w:tcPr>
            <w:tcW w:w="2414" w:type="dxa"/>
            <w:tcBorders>
              <w:top w:val="single" w:sz="4" w:space="0" w:color="auto"/>
              <w:left w:val="nil"/>
              <w:bottom w:val="single" w:sz="4" w:space="0" w:color="auto"/>
              <w:right w:val="single" w:sz="4" w:space="0" w:color="auto"/>
            </w:tcBorders>
            <w:shd w:val="clear" w:color="auto" w:fill="99CCFF"/>
            <w:noWrap/>
            <w:vAlign w:val="center"/>
            <w:hideMark/>
          </w:tcPr>
          <w:p w14:paraId="4811A96B" w14:textId="77777777" w:rsidR="00A76F9A" w:rsidRPr="001B4CA2" w:rsidRDefault="00A76F9A" w:rsidP="00443DAF">
            <w:pPr>
              <w:jc w:val="center"/>
              <w:rPr>
                <w:rFonts w:eastAsia="Times New Roman"/>
                <w:b/>
                <w:sz w:val="18"/>
                <w:szCs w:val="18"/>
                <w:lang w:eastAsia="hr-HR"/>
              </w:rPr>
            </w:pPr>
            <w:r w:rsidRPr="001B4CA2">
              <w:rPr>
                <w:rFonts w:eastAsia="Times New Roman"/>
                <w:b/>
                <w:sz w:val="18"/>
                <w:szCs w:val="18"/>
                <w:lang w:eastAsia="hr-HR"/>
              </w:rPr>
              <w:t>Plan (kn)</w:t>
            </w:r>
          </w:p>
        </w:tc>
        <w:tc>
          <w:tcPr>
            <w:tcW w:w="2413" w:type="dxa"/>
            <w:tcBorders>
              <w:top w:val="single" w:sz="4" w:space="0" w:color="auto"/>
              <w:left w:val="nil"/>
              <w:bottom w:val="single" w:sz="4" w:space="0" w:color="auto"/>
              <w:right w:val="single" w:sz="4" w:space="0" w:color="auto"/>
            </w:tcBorders>
            <w:shd w:val="clear" w:color="auto" w:fill="99CCFF"/>
            <w:noWrap/>
            <w:vAlign w:val="center"/>
            <w:hideMark/>
          </w:tcPr>
          <w:p w14:paraId="689D4769" w14:textId="77777777" w:rsidR="00A76F9A" w:rsidRPr="001B4CA2" w:rsidRDefault="00A76F9A" w:rsidP="00443DAF">
            <w:pPr>
              <w:jc w:val="center"/>
              <w:rPr>
                <w:rFonts w:eastAsia="Times New Roman"/>
                <w:b/>
                <w:sz w:val="18"/>
                <w:szCs w:val="18"/>
                <w:lang w:eastAsia="hr-HR"/>
              </w:rPr>
            </w:pPr>
            <w:r w:rsidRPr="001B4CA2">
              <w:rPr>
                <w:rFonts w:eastAsia="Times New Roman"/>
                <w:b/>
                <w:sz w:val="18"/>
                <w:szCs w:val="18"/>
                <w:lang w:eastAsia="hr-HR"/>
              </w:rPr>
              <w:t>Izvršenje (kn)</w:t>
            </w:r>
          </w:p>
        </w:tc>
        <w:tc>
          <w:tcPr>
            <w:tcW w:w="2267" w:type="dxa"/>
            <w:tcBorders>
              <w:top w:val="single" w:sz="4" w:space="0" w:color="auto"/>
              <w:left w:val="nil"/>
              <w:bottom w:val="single" w:sz="4" w:space="0" w:color="auto"/>
              <w:right w:val="single" w:sz="4" w:space="0" w:color="auto"/>
            </w:tcBorders>
            <w:shd w:val="clear" w:color="auto" w:fill="99CCFF"/>
          </w:tcPr>
          <w:p w14:paraId="74C9634E" w14:textId="77777777" w:rsidR="00A76F9A" w:rsidRPr="001B4CA2" w:rsidRDefault="00A76F9A" w:rsidP="00443DAF">
            <w:pPr>
              <w:jc w:val="center"/>
              <w:rPr>
                <w:rFonts w:eastAsia="Times New Roman"/>
                <w:b/>
                <w:sz w:val="18"/>
                <w:szCs w:val="18"/>
                <w:lang w:eastAsia="hr-HR"/>
              </w:rPr>
            </w:pPr>
            <w:r w:rsidRPr="001B4CA2">
              <w:rPr>
                <w:rFonts w:eastAsia="Times New Roman"/>
                <w:b/>
                <w:sz w:val="18"/>
                <w:szCs w:val="18"/>
                <w:lang w:eastAsia="hr-HR"/>
              </w:rPr>
              <w:t xml:space="preserve">Izvršenje (kn) </w:t>
            </w:r>
          </w:p>
          <w:p w14:paraId="6CF39135" w14:textId="77777777" w:rsidR="00A76F9A" w:rsidRPr="001B4CA2" w:rsidRDefault="00A76F9A" w:rsidP="00443DAF">
            <w:pPr>
              <w:jc w:val="center"/>
              <w:rPr>
                <w:rFonts w:eastAsia="Times New Roman"/>
                <w:b/>
                <w:sz w:val="18"/>
                <w:szCs w:val="18"/>
                <w:lang w:eastAsia="hr-HR"/>
              </w:rPr>
            </w:pPr>
            <w:r w:rsidRPr="001B4CA2">
              <w:rPr>
                <w:rFonts w:eastAsia="Times New Roman"/>
                <w:b/>
                <w:sz w:val="18"/>
                <w:szCs w:val="18"/>
                <w:lang w:eastAsia="hr-HR"/>
              </w:rPr>
              <w:t>– bez arbitraža</w:t>
            </w:r>
          </w:p>
        </w:tc>
      </w:tr>
      <w:tr w:rsidR="00A76F9A" w:rsidRPr="001B4CA2" w14:paraId="5352D0EA" w14:textId="77777777" w:rsidTr="00546793">
        <w:trPr>
          <w:trHeight w:val="469"/>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17D596C2" w14:textId="77777777" w:rsidR="00A76F9A" w:rsidRPr="001B4CA2" w:rsidRDefault="00A76F9A" w:rsidP="00443DAF">
            <w:pPr>
              <w:jc w:val="center"/>
              <w:rPr>
                <w:rFonts w:eastAsia="Times New Roman"/>
                <w:bCs/>
                <w:sz w:val="18"/>
                <w:szCs w:val="18"/>
                <w:lang w:eastAsia="hr-HR"/>
              </w:rPr>
            </w:pPr>
            <w:r w:rsidRPr="001B4CA2">
              <w:rPr>
                <w:rFonts w:eastAsia="Times New Roman"/>
                <w:bCs/>
                <w:color w:val="000000"/>
                <w:sz w:val="18"/>
                <w:szCs w:val="18"/>
                <w:lang w:eastAsia="hr-HR"/>
              </w:rPr>
              <w:t>2019.</w:t>
            </w:r>
          </w:p>
        </w:tc>
        <w:tc>
          <w:tcPr>
            <w:tcW w:w="2414" w:type="dxa"/>
            <w:tcBorders>
              <w:top w:val="nil"/>
              <w:left w:val="nil"/>
              <w:bottom w:val="single" w:sz="4" w:space="0" w:color="auto"/>
              <w:right w:val="single" w:sz="4" w:space="0" w:color="auto"/>
            </w:tcBorders>
            <w:shd w:val="clear" w:color="auto" w:fill="auto"/>
            <w:noWrap/>
            <w:vAlign w:val="center"/>
          </w:tcPr>
          <w:p w14:paraId="78053EA1" w14:textId="77777777" w:rsidR="00A76F9A" w:rsidRPr="001B4CA2" w:rsidRDefault="00A76F9A" w:rsidP="00443DAF">
            <w:pPr>
              <w:jc w:val="center"/>
              <w:rPr>
                <w:rFonts w:eastAsia="Times New Roman"/>
                <w:sz w:val="18"/>
                <w:szCs w:val="18"/>
                <w:lang w:eastAsia="hr-HR"/>
              </w:rPr>
            </w:pPr>
            <w:r w:rsidRPr="001B4CA2">
              <w:rPr>
                <w:rFonts w:eastAsia="Times New Roman"/>
                <w:color w:val="000000"/>
                <w:sz w:val="18"/>
                <w:szCs w:val="18"/>
                <w:lang w:eastAsia="hr-HR"/>
              </w:rPr>
              <w:t>103.176.931,00</w:t>
            </w:r>
          </w:p>
        </w:tc>
        <w:tc>
          <w:tcPr>
            <w:tcW w:w="2413" w:type="dxa"/>
            <w:tcBorders>
              <w:top w:val="nil"/>
              <w:left w:val="nil"/>
              <w:bottom w:val="single" w:sz="4" w:space="0" w:color="auto"/>
              <w:right w:val="single" w:sz="4" w:space="0" w:color="auto"/>
            </w:tcBorders>
            <w:shd w:val="clear" w:color="auto" w:fill="auto"/>
            <w:noWrap/>
            <w:vAlign w:val="center"/>
          </w:tcPr>
          <w:p w14:paraId="7C40A27E" w14:textId="77777777" w:rsidR="00A76F9A" w:rsidRPr="001B4CA2" w:rsidRDefault="00A76F9A" w:rsidP="00443DAF">
            <w:pPr>
              <w:jc w:val="center"/>
              <w:rPr>
                <w:rFonts w:eastAsia="Times New Roman"/>
                <w:sz w:val="18"/>
                <w:szCs w:val="18"/>
                <w:lang w:eastAsia="hr-HR"/>
              </w:rPr>
            </w:pPr>
            <w:r w:rsidRPr="001B4CA2">
              <w:rPr>
                <w:rFonts w:eastAsia="Times New Roman"/>
                <w:color w:val="000000"/>
                <w:sz w:val="18"/>
                <w:szCs w:val="18"/>
                <w:lang w:eastAsia="hr-HR"/>
              </w:rPr>
              <w:t>103.147.330,28</w:t>
            </w:r>
          </w:p>
        </w:tc>
        <w:tc>
          <w:tcPr>
            <w:tcW w:w="2267" w:type="dxa"/>
            <w:tcBorders>
              <w:top w:val="nil"/>
              <w:left w:val="nil"/>
              <w:bottom w:val="single" w:sz="4" w:space="0" w:color="auto"/>
              <w:right w:val="single" w:sz="4" w:space="0" w:color="auto"/>
            </w:tcBorders>
            <w:shd w:val="clear" w:color="auto" w:fill="auto"/>
            <w:vAlign w:val="center"/>
          </w:tcPr>
          <w:p w14:paraId="56A6AD4A" w14:textId="77777777" w:rsidR="00A76F9A" w:rsidRPr="001B4CA2" w:rsidRDefault="00A76F9A" w:rsidP="00443DAF">
            <w:pPr>
              <w:jc w:val="center"/>
              <w:rPr>
                <w:rFonts w:eastAsia="Times New Roman"/>
                <w:sz w:val="18"/>
                <w:szCs w:val="18"/>
                <w:lang w:eastAsia="hr-HR"/>
              </w:rPr>
            </w:pPr>
            <w:r w:rsidRPr="001B4CA2">
              <w:rPr>
                <w:rFonts w:eastAsia="Times New Roman"/>
                <w:color w:val="000000"/>
                <w:sz w:val="18"/>
                <w:szCs w:val="18"/>
                <w:lang w:eastAsia="hr-HR"/>
              </w:rPr>
              <w:t>20.388.330,28</w:t>
            </w:r>
          </w:p>
        </w:tc>
      </w:tr>
      <w:tr w:rsidR="00A76F9A" w:rsidRPr="001B4CA2" w14:paraId="083BA84C" w14:textId="77777777" w:rsidTr="00546793">
        <w:trPr>
          <w:trHeight w:val="446"/>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2B258377" w14:textId="77777777" w:rsidR="00A76F9A" w:rsidRPr="001B4CA2" w:rsidRDefault="00A76F9A" w:rsidP="00443DAF">
            <w:pPr>
              <w:jc w:val="center"/>
              <w:rPr>
                <w:rFonts w:eastAsia="Times New Roman"/>
                <w:bCs/>
                <w:sz w:val="18"/>
                <w:szCs w:val="18"/>
                <w:lang w:eastAsia="hr-HR"/>
              </w:rPr>
            </w:pPr>
            <w:r w:rsidRPr="001B4CA2">
              <w:rPr>
                <w:rFonts w:eastAsia="Times New Roman"/>
                <w:bCs/>
                <w:color w:val="000000"/>
                <w:sz w:val="18"/>
                <w:szCs w:val="18"/>
                <w:lang w:eastAsia="hr-HR"/>
              </w:rPr>
              <w:t>2020.</w:t>
            </w:r>
          </w:p>
        </w:tc>
        <w:tc>
          <w:tcPr>
            <w:tcW w:w="2414" w:type="dxa"/>
            <w:tcBorders>
              <w:top w:val="nil"/>
              <w:left w:val="nil"/>
              <w:bottom w:val="single" w:sz="4" w:space="0" w:color="auto"/>
              <w:right w:val="single" w:sz="4" w:space="0" w:color="auto"/>
            </w:tcBorders>
            <w:shd w:val="clear" w:color="auto" w:fill="auto"/>
            <w:noWrap/>
            <w:vAlign w:val="center"/>
          </w:tcPr>
          <w:p w14:paraId="593139A1" w14:textId="77777777" w:rsidR="00A76F9A" w:rsidRPr="001B4CA2" w:rsidRDefault="00A76F9A" w:rsidP="00443DAF">
            <w:pPr>
              <w:jc w:val="center"/>
              <w:rPr>
                <w:rFonts w:eastAsia="Times New Roman"/>
                <w:sz w:val="18"/>
                <w:szCs w:val="18"/>
                <w:lang w:eastAsia="hr-HR"/>
              </w:rPr>
            </w:pPr>
            <w:r w:rsidRPr="001B4CA2">
              <w:rPr>
                <w:rFonts w:eastAsia="Times New Roman"/>
                <w:color w:val="000000"/>
                <w:sz w:val="18"/>
                <w:szCs w:val="18"/>
                <w:lang w:eastAsia="hr-HR"/>
              </w:rPr>
              <w:t>84.016.954,00</w:t>
            </w:r>
          </w:p>
        </w:tc>
        <w:tc>
          <w:tcPr>
            <w:tcW w:w="2413" w:type="dxa"/>
            <w:tcBorders>
              <w:top w:val="nil"/>
              <w:left w:val="nil"/>
              <w:bottom w:val="single" w:sz="4" w:space="0" w:color="auto"/>
              <w:right w:val="single" w:sz="4" w:space="0" w:color="auto"/>
            </w:tcBorders>
            <w:shd w:val="clear" w:color="auto" w:fill="auto"/>
            <w:noWrap/>
            <w:vAlign w:val="center"/>
          </w:tcPr>
          <w:p w14:paraId="507CC7AE" w14:textId="77777777" w:rsidR="00A76F9A" w:rsidRPr="001B4CA2" w:rsidRDefault="00A76F9A" w:rsidP="00443DAF">
            <w:pPr>
              <w:jc w:val="center"/>
              <w:rPr>
                <w:rFonts w:eastAsia="Times New Roman"/>
                <w:sz w:val="18"/>
                <w:szCs w:val="18"/>
                <w:lang w:eastAsia="hr-HR"/>
              </w:rPr>
            </w:pPr>
            <w:r w:rsidRPr="001B4CA2">
              <w:rPr>
                <w:rFonts w:eastAsia="Times New Roman"/>
                <w:color w:val="000000"/>
                <w:sz w:val="18"/>
                <w:szCs w:val="18"/>
                <w:lang w:eastAsia="hr-HR"/>
              </w:rPr>
              <w:t>83.941.141,94</w:t>
            </w:r>
          </w:p>
        </w:tc>
        <w:tc>
          <w:tcPr>
            <w:tcW w:w="2267" w:type="dxa"/>
            <w:tcBorders>
              <w:top w:val="nil"/>
              <w:left w:val="nil"/>
              <w:bottom w:val="single" w:sz="4" w:space="0" w:color="auto"/>
              <w:right w:val="single" w:sz="4" w:space="0" w:color="auto"/>
            </w:tcBorders>
            <w:shd w:val="clear" w:color="auto" w:fill="auto"/>
            <w:vAlign w:val="center"/>
          </w:tcPr>
          <w:p w14:paraId="5E053128" w14:textId="77777777" w:rsidR="00A76F9A" w:rsidRPr="001B4CA2" w:rsidRDefault="00A76F9A" w:rsidP="00443DAF">
            <w:pPr>
              <w:jc w:val="center"/>
              <w:rPr>
                <w:rFonts w:eastAsia="Times New Roman"/>
                <w:sz w:val="18"/>
                <w:szCs w:val="18"/>
                <w:lang w:eastAsia="hr-HR"/>
              </w:rPr>
            </w:pPr>
            <w:r w:rsidRPr="001B4CA2">
              <w:rPr>
                <w:rFonts w:eastAsia="Times New Roman"/>
                <w:color w:val="000000"/>
                <w:sz w:val="18"/>
                <w:szCs w:val="18"/>
                <w:lang w:eastAsia="hr-HR"/>
              </w:rPr>
              <w:t>21.692.141,94</w:t>
            </w:r>
          </w:p>
        </w:tc>
      </w:tr>
      <w:tr w:rsidR="00A76F9A" w:rsidRPr="001B4CA2" w14:paraId="572C034E" w14:textId="77777777" w:rsidTr="00546793">
        <w:trPr>
          <w:trHeight w:val="452"/>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73B41A23" w14:textId="77777777" w:rsidR="00A76F9A" w:rsidRPr="001B4CA2" w:rsidRDefault="00A76F9A" w:rsidP="00443DAF">
            <w:pPr>
              <w:jc w:val="center"/>
              <w:rPr>
                <w:rFonts w:eastAsia="Times New Roman"/>
                <w:bCs/>
                <w:sz w:val="18"/>
                <w:szCs w:val="18"/>
                <w:lang w:eastAsia="hr-HR"/>
              </w:rPr>
            </w:pPr>
            <w:r w:rsidRPr="001B4CA2">
              <w:rPr>
                <w:rFonts w:eastAsia="Times New Roman"/>
                <w:bCs/>
                <w:color w:val="000000"/>
                <w:sz w:val="18"/>
                <w:szCs w:val="18"/>
                <w:lang w:eastAsia="hr-HR"/>
              </w:rPr>
              <w:t>2021.</w:t>
            </w:r>
          </w:p>
        </w:tc>
        <w:tc>
          <w:tcPr>
            <w:tcW w:w="2414" w:type="dxa"/>
            <w:tcBorders>
              <w:top w:val="nil"/>
              <w:left w:val="nil"/>
              <w:bottom w:val="single" w:sz="4" w:space="0" w:color="auto"/>
              <w:right w:val="single" w:sz="4" w:space="0" w:color="auto"/>
            </w:tcBorders>
            <w:shd w:val="clear" w:color="auto" w:fill="auto"/>
            <w:noWrap/>
            <w:vAlign w:val="center"/>
          </w:tcPr>
          <w:p w14:paraId="5F5BA933" w14:textId="77777777" w:rsidR="00A76F9A" w:rsidRPr="001B4CA2" w:rsidRDefault="00A76F9A" w:rsidP="00443DAF">
            <w:pPr>
              <w:jc w:val="center"/>
              <w:rPr>
                <w:rFonts w:eastAsia="Times New Roman"/>
                <w:sz w:val="18"/>
                <w:szCs w:val="18"/>
                <w:lang w:eastAsia="hr-HR"/>
              </w:rPr>
            </w:pPr>
            <w:r w:rsidRPr="001B4CA2">
              <w:rPr>
                <w:rFonts w:eastAsia="Times New Roman"/>
                <w:color w:val="000000"/>
                <w:sz w:val="18"/>
                <w:szCs w:val="18"/>
                <w:lang w:eastAsia="hr-HR"/>
              </w:rPr>
              <w:t>65.790.615,00</w:t>
            </w:r>
          </w:p>
        </w:tc>
        <w:tc>
          <w:tcPr>
            <w:tcW w:w="2413" w:type="dxa"/>
            <w:tcBorders>
              <w:top w:val="nil"/>
              <w:left w:val="nil"/>
              <w:bottom w:val="single" w:sz="4" w:space="0" w:color="auto"/>
              <w:right w:val="single" w:sz="4" w:space="0" w:color="auto"/>
            </w:tcBorders>
            <w:shd w:val="clear" w:color="auto" w:fill="auto"/>
            <w:noWrap/>
            <w:vAlign w:val="center"/>
          </w:tcPr>
          <w:p w14:paraId="5A76E65D" w14:textId="77777777" w:rsidR="00A76F9A" w:rsidRPr="001B4CA2" w:rsidRDefault="00A76F9A" w:rsidP="00443DAF">
            <w:pPr>
              <w:jc w:val="center"/>
              <w:rPr>
                <w:rFonts w:eastAsia="Times New Roman"/>
                <w:sz w:val="18"/>
                <w:szCs w:val="18"/>
                <w:lang w:eastAsia="hr-HR"/>
              </w:rPr>
            </w:pPr>
            <w:r w:rsidRPr="001B4CA2">
              <w:rPr>
                <w:rFonts w:eastAsia="Times New Roman"/>
                <w:color w:val="000000"/>
                <w:sz w:val="18"/>
                <w:szCs w:val="18"/>
                <w:lang w:eastAsia="hr-HR"/>
              </w:rPr>
              <w:t>65.567.264,68</w:t>
            </w:r>
          </w:p>
        </w:tc>
        <w:tc>
          <w:tcPr>
            <w:tcW w:w="2267" w:type="dxa"/>
            <w:tcBorders>
              <w:top w:val="nil"/>
              <w:left w:val="nil"/>
              <w:bottom w:val="single" w:sz="4" w:space="0" w:color="auto"/>
              <w:right w:val="single" w:sz="4" w:space="0" w:color="auto"/>
            </w:tcBorders>
            <w:shd w:val="clear" w:color="auto" w:fill="auto"/>
            <w:vAlign w:val="center"/>
          </w:tcPr>
          <w:p w14:paraId="1E7059A6" w14:textId="77777777" w:rsidR="00A76F9A" w:rsidRPr="001B4CA2" w:rsidRDefault="00A76F9A" w:rsidP="00443DAF">
            <w:pPr>
              <w:jc w:val="center"/>
              <w:rPr>
                <w:rFonts w:eastAsia="Times New Roman"/>
                <w:sz w:val="18"/>
                <w:szCs w:val="18"/>
                <w:lang w:eastAsia="hr-HR"/>
              </w:rPr>
            </w:pPr>
            <w:r w:rsidRPr="001B4CA2">
              <w:rPr>
                <w:rFonts w:eastAsia="Times New Roman"/>
                <w:color w:val="000000"/>
                <w:sz w:val="18"/>
                <w:szCs w:val="18"/>
                <w:lang w:eastAsia="hr-HR"/>
              </w:rPr>
              <w:t>21.465.264,68</w:t>
            </w:r>
          </w:p>
        </w:tc>
      </w:tr>
      <w:tr w:rsidR="00A76F9A" w:rsidRPr="001B4CA2" w14:paraId="6D4DDB0A" w14:textId="77777777" w:rsidTr="00546793">
        <w:trPr>
          <w:trHeight w:val="459"/>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4E87A48C" w14:textId="77777777" w:rsidR="00A76F9A" w:rsidRPr="001B4CA2" w:rsidRDefault="00A76F9A" w:rsidP="00443DAF">
            <w:pPr>
              <w:jc w:val="center"/>
              <w:rPr>
                <w:rFonts w:eastAsia="Times New Roman"/>
                <w:bCs/>
                <w:sz w:val="18"/>
                <w:szCs w:val="18"/>
                <w:lang w:eastAsia="hr-HR"/>
              </w:rPr>
            </w:pPr>
            <w:r w:rsidRPr="001B4CA2">
              <w:rPr>
                <w:rFonts w:eastAsia="Times New Roman"/>
                <w:bCs/>
                <w:color w:val="000000"/>
                <w:sz w:val="18"/>
                <w:szCs w:val="18"/>
                <w:lang w:eastAsia="hr-HR"/>
              </w:rPr>
              <w:t>2022.</w:t>
            </w:r>
          </w:p>
        </w:tc>
        <w:tc>
          <w:tcPr>
            <w:tcW w:w="2414" w:type="dxa"/>
            <w:tcBorders>
              <w:top w:val="nil"/>
              <w:left w:val="nil"/>
              <w:bottom w:val="single" w:sz="4" w:space="0" w:color="auto"/>
              <w:right w:val="single" w:sz="4" w:space="0" w:color="auto"/>
            </w:tcBorders>
            <w:shd w:val="clear" w:color="auto" w:fill="auto"/>
            <w:noWrap/>
            <w:vAlign w:val="center"/>
          </w:tcPr>
          <w:p w14:paraId="44C06733" w14:textId="77777777" w:rsidR="00A76F9A" w:rsidRPr="001B4CA2" w:rsidRDefault="00A76F9A" w:rsidP="00443DAF">
            <w:pPr>
              <w:jc w:val="center"/>
              <w:rPr>
                <w:rFonts w:eastAsia="Times New Roman"/>
                <w:sz w:val="18"/>
                <w:szCs w:val="18"/>
                <w:lang w:eastAsia="hr-HR"/>
              </w:rPr>
            </w:pPr>
            <w:r w:rsidRPr="001B4CA2">
              <w:rPr>
                <w:rFonts w:eastAsia="Times New Roman"/>
                <w:sz w:val="18"/>
                <w:szCs w:val="18"/>
                <w:lang w:eastAsia="hr-HR"/>
              </w:rPr>
              <w:t>50.462.718,00</w:t>
            </w:r>
          </w:p>
        </w:tc>
        <w:tc>
          <w:tcPr>
            <w:tcW w:w="2413" w:type="dxa"/>
            <w:tcBorders>
              <w:top w:val="nil"/>
              <w:left w:val="nil"/>
              <w:bottom w:val="single" w:sz="4" w:space="0" w:color="auto"/>
              <w:right w:val="single" w:sz="4" w:space="0" w:color="auto"/>
            </w:tcBorders>
            <w:shd w:val="clear" w:color="auto" w:fill="auto"/>
            <w:noWrap/>
            <w:vAlign w:val="center"/>
          </w:tcPr>
          <w:p w14:paraId="2443EF4A" w14:textId="77777777" w:rsidR="00A76F9A" w:rsidRPr="001B4CA2" w:rsidRDefault="00A76F9A" w:rsidP="00443DAF">
            <w:pPr>
              <w:jc w:val="center"/>
              <w:rPr>
                <w:rFonts w:eastAsia="Times New Roman"/>
                <w:sz w:val="18"/>
                <w:szCs w:val="18"/>
                <w:lang w:eastAsia="hr-HR"/>
              </w:rPr>
            </w:pPr>
            <w:r w:rsidRPr="001B4CA2">
              <w:rPr>
                <w:rFonts w:eastAsia="Times New Roman"/>
                <w:sz w:val="18"/>
                <w:szCs w:val="18"/>
                <w:lang w:eastAsia="hr-HR"/>
              </w:rPr>
              <w:t>49.413.020,96</w:t>
            </w:r>
          </w:p>
        </w:tc>
        <w:tc>
          <w:tcPr>
            <w:tcW w:w="2267" w:type="dxa"/>
            <w:tcBorders>
              <w:top w:val="nil"/>
              <w:left w:val="nil"/>
              <w:bottom w:val="single" w:sz="4" w:space="0" w:color="auto"/>
              <w:right w:val="single" w:sz="4" w:space="0" w:color="auto"/>
            </w:tcBorders>
            <w:shd w:val="clear" w:color="auto" w:fill="auto"/>
            <w:vAlign w:val="center"/>
          </w:tcPr>
          <w:p w14:paraId="5D3FA29A" w14:textId="77777777" w:rsidR="00A76F9A" w:rsidRPr="001B4CA2" w:rsidRDefault="00A76F9A" w:rsidP="00443DAF">
            <w:pPr>
              <w:jc w:val="center"/>
              <w:rPr>
                <w:rFonts w:eastAsia="Times New Roman"/>
                <w:sz w:val="18"/>
                <w:szCs w:val="18"/>
                <w:lang w:eastAsia="hr-HR"/>
              </w:rPr>
            </w:pPr>
            <w:r w:rsidRPr="001B4CA2">
              <w:rPr>
                <w:rFonts w:eastAsia="Times New Roman"/>
                <w:sz w:val="18"/>
                <w:szCs w:val="18"/>
                <w:lang w:eastAsia="hr-HR"/>
              </w:rPr>
              <w:t>20.974.297,69</w:t>
            </w:r>
          </w:p>
        </w:tc>
      </w:tr>
    </w:tbl>
    <w:p w14:paraId="450D1CAA" w14:textId="77777777" w:rsidR="00A76F9A" w:rsidRPr="001B4CA2" w:rsidRDefault="00A76F9A" w:rsidP="00A76F9A">
      <w:pPr>
        <w:ind w:firstLine="708"/>
      </w:pPr>
    </w:p>
    <w:p w14:paraId="23118E82" w14:textId="212BCA87" w:rsidR="00A76F9A" w:rsidRPr="001B4CA2" w:rsidRDefault="00A76F9A" w:rsidP="00A76F9A">
      <w:r w:rsidRPr="001B4CA2">
        <w:tab/>
        <w:t xml:space="preserve">Na smanjenje ukupnog iznosa odobrenih financijskih sredstava </w:t>
      </w:r>
      <w:r w:rsidR="003E3007">
        <w:t>tijekom</w:t>
      </w:r>
      <w:r w:rsidRPr="001B4CA2">
        <w:t xml:space="preserve"> 5 godina utjecalo je smanjenje troškova zastupanja u međunarodnim arbitražama koji sudjeluju u visokom postotku. Od ukupno odobrenih sredstava za rad DORH-a u 2022. godini 56 %, odnosno 28.294.085,00 </w:t>
      </w:r>
      <w:r w:rsidR="00C71624" w:rsidRPr="001B4CA2">
        <w:t>kn/</w:t>
      </w:r>
      <w:r w:rsidR="003E3007">
        <w:t xml:space="preserve"> </w:t>
      </w:r>
      <w:r w:rsidR="00C71624" w:rsidRPr="001B4CA2">
        <w:t xml:space="preserve"> 3.755.270,42 EUR</w:t>
      </w:r>
      <w:r w:rsidRPr="001B4CA2">
        <w:t xml:space="preserve"> bili </w:t>
      </w:r>
      <w:r w:rsidR="003E3007" w:rsidRPr="001B4CA2">
        <w:t xml:space="preserve">su </w:t>
      </w:r>
      <w:r w:rsidRPr="001B4CA2">
        <w:t>isključivo troškovi zastupanja u međunarodnim arbitražama</w:t>
      </w:r>
      <w:r w:rsidR="003E3007">
        <w:t>,</w:t>
      </w:r>
      <w:r w:rsidRPr="001B4CA2">
        <w:t xml:space="preserve"> dok su u 2021. godini navedeni troškovi sudjelovali u čak 67</w:t>
      </w:r>
      <w:r w:rsidR="003E3007">
        <w:t> </w:t>
      </w:r>
      <w:r w:rsidRPr="001B4CA2">
        <w:t>% ukupno odobrenih sredstava.</w:t>
      </w:r>
    </w:p>
    <w:p w14:paraId="7394E884" w14:textId="77777777" w:rsidR="00A76F9A" w:rsidRPr="001B4CA2" w:rsidRDefault="00A76F9A" w:rsidP="00A76F9A"/>
    <w:p w14:paraId="32A9013F" w14:textId="701402CB" w:rsidR="00A76F9A" w:rsidRPr="001B4CA2" w:rsidRDefault="00546793" w:rsidP="00A76F9A">
      <w:r w:rsidRPr="001B4CA2">
        <w:tab/>
      </w:r>
      <w:r w:rsidR="00A76F9A" w:rsidRPr="001B4CA2">
        <w:t>Međutim, kad se oduzmu troškovi arbitraža</w:t>
      </w:r>
      <w:r w:rsidR="003E3007">
        <w:t>,</w:t>
      </w:r>
      <w:r w:rsidR="00A76F9A" w:rsidRPr="001B4CA2">
        <w:t xml:space="preserve"> sredstva potrebna za rad Državnog odvjetništva Republike Hrvatske iznosila su 20.974.297,69 </w:t>
      </w:r>
      <w:r w:rsidRPr="001B4CA2">
        <w:t>kn</w:t>
      </w:r>
      <w:r w:rsidR="003E3007">
        <w:t>,</w:t>
      </w:r>
      <w:r w:rsidR="00C71624" w:rsidRPr="001B4CA2">
        <w:t xml:space="preserve"> odnosno</w:t>
      </w:r>
      <w:r w:rsidRPr="001B4CA2">
        <w:t xml:space="preserve"> 2.</w:t>
      </w:r>
      <w:r w:rsidR="00C71624" w:rsidRPr="001B4CA2">
        <w:t>783.767,69</w:t>
      </w:r>
      <w:r w:rsidRPr="001B4CA2">
        <w:t xml:space="preserve"> EUR</w:t>
      </w:r>
    </w:p>
    <w:p w14:paraId="7C2E5A66" w14:textId="520C1B7E" w:rsidR="00861D9B" w:rsidRPr="001B4CA2" w:rsidRDefault="00861D9B" w:rsidP="00EA46DF">
      <w:pPr>
        <w:ind w:firstLine="708"/>
      </w:pPr>
      <w:r w:rsidRPr="001B4CA2">
        <w:br w:type="page"/>
      </w:r>
    </w:p>
    <w:p w14:paraId="1BA1C005" w14:textId="41B2B881" w:rsidR="00290E50" w:rsidRPr="001B4CA2" w:rsidRDefault="00D44B3C" w:rsidP="002873B8">
      <w:pPr>
        <w:pStyle w:val="Naslov1"/>
        <w:numPr>
          <w:ilvl w:val="0"/>
          <w:numId w:val="0"/>
        </w:numPr>
      </w:pPr>
      <w:bookmarkStart w:id="194" w:name="_Toc133394424"/>
      <w:r w:rsidRPr="00A6441C">
        <w:lastRenderedPageBreak/>
        <w:t xml:space="preserve">V. </w:t>
      </w:r>
      <w:r w:rsidR="00BB4D48" w:rsidRPr="00A6441C">
        <w:t>ZAKLJUČNO</w:t>
      </w:r>
      <w:bookmarkEnd w:id="194"/>
    </w:p>
    <w:p w14:paraId="005D04AF" w14:textId="77777777" w:rsidR="00290E50" w:rsidRPr="001B4CA2" w:rsidRDefault="00290E50" w:rsidP="00290E50"/>
    <w:p w14:paraId="059089FE" w14:textId="77777777" w:rsidR="00A6441C" w:rsidRPr="00406D5E" w:rsidRDefault="00A6441C" w:rsidP="00A6441C">
      <w:pPr>
        <w:ind w:firstLine="709"/>
        <w:rPr>
          <w:rFonts w:eastAsia="Calibri"/>
        </w:rPr>
      </w:pPr>
      <w:r>
        <w:rPr>
          <w:rFonts w:eastAsia="Calibri"/>
        </w:rPr>
        <w:t>Rezultati rada ostvareni u 2022</w:t>
      </w:r>
      <w:r w:rsidRPr="00406D5E">
        <w:rPr>
          <w:rFonts w:eastAsia="Calibri"/>
        </w:rPr>
        <w:t xml:space="preserve">. godini </w:t>
      </w:r>
      <w:r>
        <w:rPr>
          <w:rFonts w:eastAsia="Calibri"/>
        </w:rPr>
        <w:t xml:space="preserve">pokazuju </w:t>
      </w:r>
      <w:r w:rsidRPr="00406D5E">
        <w:rPr>
          <w:rFonts w:eastAsia="Calibri"/>
        </w:rPr>
        <w:t xml:space="preserve">da su državna odvjetništva na svim razinama i u svim vrstama predmeta na kojima su radila, usprkos </w:t>
      </w:r>
      <w:proofErr w:type="spellStart"/>
      <w:r w:rsidRPr="00406D5E">
        <w:rPr>
          <w:rFonts w:eastAsia="Calibri"/>
        </w:rPr>
        <w:t>potkapacitiranosti</w:t>
      </w:r>
      <w:proofErr w:type="spellEnd"/>
      <w:r w:rsidRPr="00406D5E">
        <w:rPr>
          <w:rFonts w:eastAsia="Calibri"/>
        </w:rPr>
        <w:t xml:space="preserve">, iznadprosječnim zalaganjem </w:t>
      </w:r>
      <w:proofErr w:type="spellStart"/>
      <w:r w:rsidRPr="00406D5E">
        <w:rPr>
          <w:rFonts w:eastAsia="Calibri"/>
        </w:rPr>
        <w:t>državnoodvjetničkih</w:t>
      </w:r>
      <w:proofErr w:type="spellEnd"/>
      <w:r w:rsidRPr="00406D5E">
        <w:rPr>
          <w:rFonts w:eastAsia="Calibri"/>
        </w:rPr>
        <w:t xml:space="preserve"> dužnosnika i svih drugih zaposlenika zadržala </w:t>
      </w:r>
      <w:r>
        <w:rPr>
          <w:rFonts w:eastAsia="Calibri"/>
        </w:rPr>
        <w:t xml:space="preserve">visok </w:t>
      </w:r>
      <w:r w:rsidRPr="00406D5E">
        <w:rPr>
          <w:rFonts w:eastAsia="Calibri"/>
        </w:rPr>
        <w:t>stupanj ažurnosti, kvalitete i uspješnosti i time uspješno ispunila svoju ustavnu i zakonsku zadaću.</w:t>
      </w:r>
    </w:p>
    <w:p w14:paraId="150A8634" w14:textId="77777777" w:rsidR="00A6441C" w:rsidRPr="00406D5E" w:rsidRDefault="00A6441C" w:rsidP="00A6441C">
      <w:pPr>
        <w:rPr>
          <w:rFonts w:eastAsia="Calibri"/>
        </w:rPr>
      </w:pPr>
    </w:p>
    <w:p w14:paraId="4FCB43D1" w14:textId="77777777" w:rsidR="00A6441C" w:rsidRDefault="00A6441C" w:rsidP="00A6441C">
      <w:pPr>
        <w:ind w:firstLine="709"/>
        <w:rPr>
          <w:rFonts w:eastAsia="Calibri"/>
        </w:rPr>
      </w:pPr>
      <w:r>
        <w:rPr>
          <w:rFonts w:eastAsia="Calibri"/>
        </w:rPr>
        <w:t>Visoku razinu</w:t>
      </w:r>
      <w:r w:rsidRPr="00406D5E">
        <w:rPr>
          <w:rFonts w:eastAsia="Calibri"/>
        </w:rPr>
        <w:t xml:space="preserve"> učinkovitosti</w:t>
      </w:r>
      <w:r>
        <w:rPr>
          <w:rFonts w:eastAsia="Calibri"/>
        </w:rPr>
        <w:t xml:space="preserve"> koja je postignuta 2021. i 2022. godine bit će teško održati u 2023. zbog kadrovske </w:t>
      </w:r>
      <w:proofErr w:type="spellStart"/>
      <w:r>
        <w:rPr>
          <w:rFonts w:eastAsia="Calibri"/>
        </w:rPr>
        <w:t>potkapacitiranosti</w:t>
      </w:r>
      <w:proofErr w:type="spellEnd"/>
      <w:r>
        <w:rPr>
          <w:rFonts w:eastAsia="Calibri"/>
        </w:rPr>
        <w:t>, ali i zbog nezadovoljstva svih zaposlenika njihovim materijalnim položajem i uvjetima rada koji su u većem broju državnih odvjetništava vrlo loši. To su razlozi zbog kojih iskusni državni odvjetnici i zamjenici napuštaju državno odvjetništvo i odlaze na sudove ili u odvjetništvo.</w:t>
      </w:r>
    </w:p>
    <w:p w14:paraId="43F59B57" w14:textId="77777777" w:rsidR="00A6441C" w:rsidRDefault="00A6441C" w:rsidP="00A6441C">
      <w:pPr>
        <w:rPr>
          <w:rFonts w:eastAsia="Calibri"/>
        </w:rPr>
      </w:pPr>
    </w:p>
    <w:p w14:paraId="40554075" w14:textId="77777777" w:rsidR="00A6441C" w:rsidRDefault="00A6441C" w:rsidP="00A6441C">
      <w:pPr>
        <w:ind w:firstLine="709"/>
        <w:rPr>
          <w:rFonts w:eastAsia="Calibri"/>
        </w:rPr>
      </w:pPr>
      <w:r>
        <w:rPr>
          <w:rFonts w:eastAsia="Calibri"/>
        </w:rPr>
        <w:t xml:space="preserve">Stoga je apsolutni prioritet podići plaće i priznati pravo na druga materijalna  primanja </w:t>
      </w:r>
      <w:proofErr w:type="spellStart"/>
      <w:r>
        <w:rPr>
          <w:rFonts w:eastAsia="Calibri"/>
        </w:rPr>
        <w:t>državnoodvjetničkim</w:t>
      </w:r>
      <w:proofErr w:type="spellEnd"/>
      <w:r>
        <w:rPr>
          <w:rFonts w:eastAsia="Calibri"/>
        </w:rPr>
        <w:t xml:space="preserve"> dužnosnicima, ali i službenicima i namještenicima jer su stotine tisuće kuna potrošene na oglase na koje se nitko nije javio ili je odustao prije nego što je postupak dovršen.</w:t>
      </w:r>
    </w:p>
    <w:p w14:paraId="219698E7" w14:textId="77777777" w:rsidR="00A6441C" w:rsidRDefault="00A6441C" w:rsidP="00A6441C">
      <w:pPr>
        <w:ind w:firstLine="709"/>
        <w:rPr>
          <w:rFonts w:eastAsia="Calibri"/>
        </w:rPr>
      </w:pPr>
    </w:p>
    <w:p w14:paraId="2974ABF0" w14:textId="77777777" w:rsidR="00A6441C" w:rsidRDefault="00A6441C" w:rsidP="00A6441C">
      <w:pPr>
        <w:ind w:firstLine="709"/>
        <w:rPr>
          <w:rFonts w:eastAsia="Calibri"/>
        </w:rPr>
      </w:pPr>
      <w:r>
        <w:rPr>
          <w:rFonts w:eastAsia="Calibri"/>
        </w:rPr>
        <w:t>D</w:t>
      </w:r>
      <w:r w:rsidRPr="008C6B9B">
        <w:rPr>
          <w:rFonts w:eastAsia="Calibri"/>
        </w:rPr>
        <w:t xml:space="preserve">ržavno </w:t>
      </w:r>
      <w:r>
        <w:rPr>
          <w:rFonts w:eastAsia="Calibri"/>
        </w:rPr>
        <w:t xml:space="preserve">je </w:t>
      </w:r>
      <w:r w:rsidRPr="008C6B9B">
        <w:rPr>
          <w:rFonts w:eastAsia="Calibri"/>
        </w:rPr>
        <w:t xml:space="preserve">odvjetništvo </w:t>
      </w:r>
      <w:r>
        <w:rPr>
          <w:rFonts w:eastAsia="Calibri"/>
        </w:rPr>
        <w:t xml:space="preserve">nužno </w:t>
      </w:r>
      <w:r w:rsidRPr="00406D5E">
        <w:rPr>
          <w:rFonts w:eastAsia="Calibri"/>
        </w:rPr>
        <w:t>kadrovski ekipirati i ojačati</w:t>
      </w:r>
      <w:r>
        <w:rPr>
          <w:rFonts w:eastAsia="Calibri"/>
        </w:rPr>
        <w:t xml:space="preserve"> jer ćemo se vrlo brzo naći u situaciji da nećemo moći ažurno izvršavati svoje zadaće</w:t>
      </w:r>
      <w:r w:rsidRPr="00406D5E">
        <w:rPr>
          <w:rFonts w:eastAsia="Calibri"/>
        </w:rPr>
        <w:t xml:space="preserve">. Naime, zbog zaostataka u radu sudova </w:t>
      </w:r>
      <w:r>
        <w:rPr>
          <w:rFonts w:eastAsia="Calibri"/>
        </w:rPr>
        <w:t xml:space="preserve">i </w:t>
      </w:r>
      <w:r w:rsidRPr="00406D5E">
        <w:rPr>
          <w:rFonts w:eastAsia="Calibri"/>
        </w:rPr>
        <w:t xml:space="preserve">u prošloj </w:t>
      </w:r>
      <w:r>
        <w:rPr>
          <w:rFonts w:eastAsia="Calibri"/>
        </w:rPr>
        <w:t xml:space="preserve">je </w:t>
      </w:r>
      <w:r w:rsidRPr="00406D5E">
        <w:rPr>
          <w:rFonts w:eastAsia="Calibri"/>
        </w:rPr>
        <w:t xml:space="preserve">godini </w:t>
      </w:r>
      <w:r>
        <w:rPr>
          <w:rFonts w:eastAsia="Calibri"/>
        </w:rPr>
        <w:t xml:space="preserve">nastavljeno s </w:t>
      </w:r>
      <w:r w:rsidRPr="00406D5E">
        <w:rPr>
          <w:rFonts w:eastAsia="Calibri"/>
        </w:rPr>
        <w:t>imenovan</w:t>
      </w:r>
      <w:r>
        <w:rPr>
          <w:rFonts w:eastAsia="Calibri"/>
        </w:rPr>
        <w:t>jem većeg</w:t>
      </w:r>
      <w:r w:rsidRPr="00406D5E">
        <w:rPr>
          <w:rFonts w:eastAsia="Calibri"/>
        </w:rPr>
        <w:t xml:space="preserve"> broj</w:t>
      </w:r>
      <w:r>
        <w:rPr>
          <w:rFonts w:eastAsia="Calibri"/>
        </w:rPr>
        <w:t>a</w:t>
      </w:r>
      <w:r w:rsidRPr="00406D5E">
        <w:rPr>
          <w:rFonts w:eastAsia="Calibri"/>
        </w:rPr>
        <w:t xml:space="preserve"> novih sudaca</w:t>
      </w:r>
      <w:r>
        <w:rPr>
          <w:rFonts w:eastAsia="Calibri"/>
        </w:rPr>
        <w:t>,</w:t>
      </w:r>
      <w:r w:rsidRPr="00406D5E">
        <w:rPr>
          <w:rFonts w:eastAsia="Calibri"/>
        </w:rPr>
        <w:t xml:space="preserve"> zbog čega se </w:t>
      </w:r>
      <w:r>
        <w:rPr>
          <w:rFonts w:eastAsia="Calibri"/>
        </w:rPr>
        <w:t xml:space="preserve">nastavio trend povećanja </w:t>
      </w:r>
      <w:r w:rsidRPr="00406D5E">
        <w:rPr>
          <w:rFonts w:eastAsia="Calibri"/>
        </w:rPr>
        <w:t>broj</w:t>
      </w:r>
      <w:r>
        <w:rPr>
          <w:rFonts w:eastAsia="Calibri"/>
        </w:rPr>
        <w:t>a</w:t>
      </w:r>
      <w:r w:rsidRPr="00406D5E">
        <w:rPr>
          <w:rFonts w:eastAsia="Calibri"/>
        </w:rPr>
        <w:t xml:space="preserve"> ročišta i rasprava </w:t>
      </w:r>
      <w:r>
        <w:rPr>
          <w:rFonts w:eastAsia="Calibri"/>
        </w:rPr>
        <w:t xml:space="preserve">u kaznenim predmetima. </w:t>
      </w:r>
      <w:r w:rsidRPr="00406D5E">
        <w:rPr>
          <w:rFonts w:eastAsia="Calibri"/>
        </w:rPr>
        <w:t>Slij</w:t>
      </w:r>
      <w:r>
        <w:rPr>
          <w:rFonts w:eastAsia="Calibri"/>
        </w:rPr>
        <w:t>edom toga, državni odvjetnici je</w:t>
      </w:r>
      <w:r w:rsidRPr="00406D5E">
        <w:rPr>
          <w:rFonts w:eastAsia="Calibri"/>
        </w:rPr>
        <w:t xml:space="preserve">su i bit će puno više angažirani na zastupanju pred sudovima, zbog čega se neće moći u istoj mjeri kao do sada posvetiti radu na </w:t>
      </w:r>
      <w:proofErr w:type="spellStart"/>
      <w:r w:rsidRPr="00406D5E">
        <w:rPr>
          <w:rFonts w:eastAsia="Calibri"/>
        </w:rPr>
        <w:t>državnoodvjetničkim</w:t>
      </w:r>
      <w:proofErr w:type="spellEnd"/>
      <w:r w:rsidRPr="00406D5E">
        <w:rPr>
          <w:rFonts w:eastAsia="Calibri"/>
        </w:rPr>
        <w:t xml:space="preserve"> predmetima pa će neizbježno doći do pada ažurnosti u radu.</w:t>
      </w:r>
      <w:r>
        <w:rPr>
          <w:rFonts w:eastAsia="Calibri"/>
        </w:rPr>
        <w:t xml:space="preserve"> </w:t>
      </w:r>
    </w:p>
    <w:p w14:paraId="7BF4DDBE" w14:textId="77777777" w:rsidR="00A6441C" w:rsidRPr="00406D5E" w:rsidRDefault="00A6441C" w:rsidP="00A6441C">
      <w:pPr>
        <w:rPr>
          <w:rFonts w:eastAsia="Calibri"/>
        </w:rPr>
      </w:pPr>
    </w:p>
    <w:p w14:paraId="7BEBADC4" w14:textId="77777777" w:rsidR="00A6441C" w:rsidRPr="00406D5E" w:rsidRDefault="00A6441C" w:rsidP="00A6441C">
      <w:pPr>
        <w:ind w:firstLine="709"/>
        <w:rPr>
          <w:rFonts w:eastAsia="Calibri"/>
        </w:rPr>
      </w:pPr>
      <w:r w:rsidRPr="00406D5E">
        <w:rPr>
          <w:rFonts w:eastAsia="Calibri"/>
        </w:rPr>
        <w:t>Stoga je potrebno popuniti broj zamjenika državnih odvjetnika u skladu sa važećim Okvirnim mjerilima za rad te</w:t>
      </w:r>
      <w:r>
        <w:rPr>
          <w:rFonts w:eastAsia="Calibri"/>
        </w:rPr>
        <w:t>,</w:t>
      </w:r>
      <w:r w:rsidRPr="00406D5E">
        <w:rPr>
          <w:rFonts w:eastAsia="Calibri"/>
        </w:rPr>
        <w:t xml:space="preserve"> imajući u vidu prosječnu dob državnih odvjetnika i zamjenika</w:t>
      </w:r>
      <w:r>
        <w:rPr>
          <w:rFonts w:eastAsia="Calibri"/>
        </w:rPr>
        <w:t>,</w:t>
      </w:r>
      <w:r w:rsidRPr="00406D5E">
        <w:rPr>
          <w:rFonts w:eastAsia="Calibri"/>
        </w:rPr>
        <w:t xml:space="preserve"> taj broj povećati za onoliki broj zamjenika koji će u sljedećih 5 godina otići u mirovinu po sili zakona.</w:t>
      </w:r>
      <w:r>
        <w:rPr>
          <w:rFonts w:eastAsia="Calibri"/>
        </w:rPr>
        <w:t xml:space="preserve"> Međutim, zbog slabog interesa za rad u pravosuđu zbog dugotrajnog školovanja, </w:t>
      </w:r>
      <w:proofErr w:type="spellStart"/>
      <w:r>
        <w:rPr>
          <w:rFonts w:eastAsia="Calibri"/>
        </w:rPr>
        <w:t>vježbeništva</w:t>
      </w:r>
      <w:proofErr w:type="spellEnd"/>
      <w:r>
        <w:rPr>
          <w:rFonts w:eastAsia="Calibri"/>
        </w:rPr>
        <w:t xml:space="preserve">, obveze pohađanja državne škole, niskih primanja i općeg podcjenjivačkog stava prema pravosuđu sve je manje pravnika koji žele raditi u pravosuđu. Zato je prije svega potrebno značajno povećati broj vježbenika, </w:t>
      </w:r>
      <w:r w:rsidRPr="00910BF3">
        <w:rPr>
          <w:rFonts w:eastAsia="Calibri"/>
        </w:rPr>
        <w:t xml:space="preserve">od kojih bi dio </w:t>
      </w:r>
      <w:r>
        <w:rPr>
          <w:rFonts w:eastAsia="Calibri"/>
        </w:rPr>
        <w:t xml:space="preserve">nakon položenog pravosudnog ispita </w:t>
      </w:r>
      <w:r w:rsidRPr="00910BF3">
        <w:rPr>
          <w:rFonts w:eastAsia="Calibri"/>
        </w:rPr>
        <w:t>sigurno ostao raditi u pravosuđu</w:t>
      </w:r>
      <w:r>
        <w:rPr>
          <w:rFonts w:eastAsia="Calibri"/>
        </w:rPr>
        <w:t xml:space="preserve">, ali i pojednostavniti postupak izbora i vratiti izbor vježbenika u nadležnost sudova i državnih odvjetništava. Osim toga, dok oni steknu uvjete za zamjenike, dio starije generacije otići će iz sustava. </w:t>
      </w:r>
    </w:p>
    <w:p w14:paraId="1B76400D" w14:textId="77777777" w:rsidR="00A6441C" w:rsidRPr="00406D5E" w:rsidRDefault="00A6441C" w:rsidP="00A6441C">
      <w:pPr>
        <w:rPr>
          <w:rFonts w:eastAsia="Calibri"/>
        </w:rPr>
      </w:pPr>
    </w:p>
    <w:p w14:paraId="2283F257" w14:textId="77777777" w:rsidR="00A6441C" w:rsidRPr="00406D5E" w:rsidRDefault="00A6441C" w:rsidP="00A6441C">
      <w:pPr>
        <w:ind w:firstLine="709"/>
        <w:rPr>
          <w:rFonts w:eastAsia="Calibri"/>
        </w:rPr>
      </w:pPr>
      <w:r w:rsidRPr="00406D5E">
        <w:rPr>
          <w:rFonts w:eastAsia="Calibri"/>
        </w:rPr>
        <w:t>Također je potrebna izmjena i dopuna određenih zakona, na što je već ukazano u ovom izvješću.</w:t>
      </w:r>
    </w:p>
    <w:p w14:paraId="3AF4AF40" w14:textId="77777777" w:rsidR="00A6441C" w:rsidRPr="00406D5E" w:rsidRDefault="00A6441C" w:rsidP="00A6441C">
      <w:pPr>
        <w:rPr>
          <w:rFonts w:eastAsia="Calibri"/>
        </w:rPr>
      </w:pPr>
    </w:p>
    <w:p w14:paraId="57F3F434" w14:textId="77777777" w:rsidR="00A6441C" w:rsidRPr="00406D5E" w:rsidRDefault="00A6441C" w:rsidP="00A6441C">
      <w:pPr>
        <w:ind w:firstLine="709"/>
        <w:rPr>
          <w:rFonts w:eastAsia="Calibri"/>
        </w:rPr>
      </w:pPr>
      <w:r w:rsidRPr="00406D5E">
        <w:rPr>
          <w:rFonts w:eastAsia="Calibri"/>
        </w:rPr>
        <w:t xml:space="preserve">Nadalje, potrebno je više koristiti </w:t>
      </w:r>
      <w:proofErr w:type="spellStart"/>
      <w:r w:rsidRPr="00406D5E">
        <w:rPr>
          <w:rFonts w:eastAsia="Calibri"/>
        </w:rPr>
        <w:t>postupovne</w:t>
      </w:r>
      <w:proofErr w:type="spellEnd"/>
      <w:r w:rsidRPr="00406D5E">
        <w:rPr>
          <w:rFonts w:eastAsia="Calibri"/>
        </w:rPr>
        <w:t xml:space="preserve"> institute koji omogućuju učinkovito postupanje i skraćivanje postupaka u kojima sudjeluje državno od</w:t>
      </w:r>
      <w:r>
        <w:rPr>
          <w:rFonts w:eastAsia="Calibri"/>
        </w:rPr>
        <w:t>vjetništvo, provoditi</w:t>
      </w:r>
      <w:r w:rsidRPr="00406D5E">
        <w:rPr>
          <w:rFonts w:eastAsia="Calibri"/>
        </w:rPr>
        <w:t xml:space="preserve"> neposredan nadzor nad nižim državnim odvjetništvima, nastaviti s edukacijom dužnosnika i službenika o korištenju jedinstvenog informacijskog sustava CTS, ali i osigurati državnim odvjetništvima potrebne materijalno-financijske uvjete za rad kako bi se mogli učinkovitije suprotstaviti </w:t>
      </w:r>
      <w:r w:rsidRPr="00406D5E">
        <w:rPr>
          <w:rFonts w:eastAsia="Calibri"/>
        </w:rPr>
        <w:lastRenderedPageBreak/>
        <w:t>korupciji, organiziranom kriminalu i gospodarskom kriminalu te zaštiti</w:t>
      </w:r>
      <w:r>
        <w:rPr>
          <w:rFonts w:eastAsia="Calibri"/>
        </w:rPr>
        <w:t>ti</w:t>
      </w:r>
      <w:r w:rsidRPr="00406D5E">
        <w:rPr>
          <w:rFonts w:eastAsia="Calibri"/>
        </w:rPr>
        <w:t xml:space="preserve"> imovin</w:t>
      </w:r>
      <w:r>
        <w:rPr>
          <w:rFonts w:eastAsia="Calibri"/>
        </w:rPr>
        <w:t>u</w:t>
      </w:r>
      <w:r w:rsidRPr="00406D5E">
        <w:rPr>
          <w:rFonts w:eastAsia="Calibri"/>
        </w:rPr>
        <w:t xml:space="preserve"> Republike Hrvatske.</w:t>
      </w:r>
    </w:p>
    <w:p w14:paraId="610905B8" w14:textId="38FE3896" w:rsidR="00213EE7" w:rsidRPr="001B4CA2" w:rsidRDefault="00213EE7" w:rsidP="00213EE7">
      <w:pPr>
        <w:ind w:firstLine="709"/>
        <w:rPr>
          <w:rFonts w:eastAsia="Calibri"/>
        </w:rPr>
      </w:pPr>
    </w:p>
    <w:p w14:paraId="4A9ABA4A" w14:textId="77777777" w:rsidR="00A20603" w:rsidRPr="001B4CA2" w:rsidRDefault="00A20603" w:rsidP="00290E50">
      <w:pPr>
        <w:rPr>
          <w:rFonts w:eastAsia="Calibri"/>
        </w:rPr>
      </w:pPr>
    </w:p>
    <w:p w14:paraId="36110C15" w14:textId="77777777" w:rsidR="00A20603" w:rsidRPr="001B4CA2" w:rsidRDefault="00A20603" w:rsidP="00290E50">
      <w:pPr>
        <w:rPr>
          <w:rFonts w:eastAsia="Calibri"/>
        </w:rPr>
      </w:pPr>
    </w:p>
    <w:p w14:paraId="6DD0448F" w14:textId="44BB607B" w:rsidR="003E44F5" w:rsidRPr="001B4CA2" w:rsidRDefault="00370040" w:rsidP="00F14D87">
      <w:pPr>
        <w:ind w:left="4956"/>
        <w:jc w:val="center"/>
        <w:rPr>
          <w:rFonts w:eastAsia="Calibri"/>
        </w:rPr>
      </w:pPr>
      <w:r w:rsidRPr="001B4CA2">
        <w:rPr>
          <w:rFonts w:eastAsia="Calibri"/>
        </w:rPr>
        <w:t>GLAVNA DRŽAVNA ODVJETNICA</w:t>
      </w:r>
    </w:p>
    <w:p w14:paraId="69E31616" w14:textId="77777777" w:rsidR="003E44F5" w:rsidRPr="001B4CA2" w:rsidRDefault="003E44F5" w:rsidP="00F14D87">
      <w:pPr>
        <w:ind w:left="4956"/>
        <w:jc w:val="center"/>
        <w:rPr>
          <w:rFonts w:eastAsia="Calibri"/>
        </w:rPr>
      </w:pPr>
      <w:r w:rsidRPr="001B4CA2">
        <w:rPr>
          <w:rFonts w:eastAsia="Calibri"/>
        </w:rPr>
        <w:t>REPUBLIKE HRVATSKE</w:t>
      </w:r>
    </w:p>
    <w:p w14:paraId="47D338A9" w14:textId="77777777" w:rsidR="003E44F5" w:rsidRPr="001B4CA2" w:rsidRDefault="003E44F5" w:rsidP="00F14D87">
      <w:pPr>
        <w:ind w:left="4956"/>
        <w:jc w:val="center"/>
        <w:rPr>
          <w:rFonts w:eastAsia="Calibri"/>
        </w:rPr>
      </w:pPr>
    </w:p>
    <w:p w14:paraId="0D31901A" w14:textId="506DA424" w:rsidR="003E44F5" w:rsidRDefault="003E44F5" w:rsidP="00F14D87">
      <w:pPr>
        <w:ind w:left="4956"/>
        <w:jc w:val="center"/>
        <w:rPr>
          <w:rFonts w:eastAsia="Calibri"/>
        </w:rPr>
      </w:pPr>
      <w:r w:rsidRPr="001B4CA2">
        <w:rPr>
          <w:rFonts w:eastAsia="Calibri"/>
        </w:rPr>
        <w:t>Zlata Hrvoj-Šipek</w:t>
      </w:r>
    </w:p>
    <w:p w14:paraId="193ED039" w14:textId="19C6D7B4" w:rsidR="006468F5" w:rsidRDefault="006468F5" w:rsidP="00F14D87">
      <w:pPr>
        <w:ind w:left="4956"/>
        <w:jc w:val="center"/>
        <w:rPr>
          <w:rFonts w:eastAsia="Calibri"/>
        </w:rPr>
      </w:pPr>
    </w:p>
    <w:p w14:paraId="7C4DC251" w14:textId="4E24AAE4" w:rsidR="006468F5" w:rsidRDefault="006468F5" w:rsidP="00F14D87">
      <w:pPr>
        <w:ind w:left="4956"/>
        <w:jc w:val="center"/>
        <w:rPr>
          <w:rFonts w:eastAsia="Calibri"/>
        </w:rPr>
      </w:pPr>
    </w:p>
    <w:p w14:paraId="6FBCC444" w14:textId="37C263EF" w:rsidR="006468F5" w:rsidRDefault="006468F5" w:rsidP="00F14D87">
      <w:pPr>
        <w:ind w:left="4956"/>
        <w:jc w:val="center"/>
        <w:rPr>
          <w:rFonts w:eastAsia="Calibri"/>
        </w:rPr>
      </w:pPr>
    </w:p>
    <w:p w14:paraId="37808BC9" w14:textId="597F6E31" w:rsidR="006468F5" w:rsidRDefault="006468F5" w:rsidP="00F14D87">
      <w:pPr>
        <w:ind w:left="4956"/>
        <w:jc w:val="center"/>
        <w:rPr>
          <w:rFonts w:eastAsia="Calibri"/>
        </w:rPr>
      </w:pPr>
    </w:p>
    <w:p w14:paraId="08B33548" w14:textId="5E0FB8B6" w:rsidR="006468F5" w:rsidRDefault="006468F5" w:rsidP="00F14D87">
      <w:pPr>
        <w:ind w:left="4956"/>
        <w:jc w:val="center"/>
        <w:rPr>
          <w:rFonts w:eastAsia="Calibri"/>
        </w:rPr>
      </w:pPr>
    </w:p>
    <w:p w14:paraId="2D1226B5" w14:textId="4730BCE9" w:rsidR="006468F5" w:rsidRDefault="006468F5" w:rsidP="006468F5">
      <w:pPr>
        <w:tabs>
          <w:tab w:val="left" w:pos="3381"/>
        </w:tabs>
        <w:rPr>
          <w:rFonts w:asciiTheme="minorHAnsi" w:hAnsiTheme="minorHAnsi" w:cstheme="minorBidi"/>
          <w:szCs w:val="22"/>
        </w:rPr>
      </w:pPr>
      <w:r w:rsidRPr="006468F5">
        <w:rPr>
          <w:rFonts w:asciiTheme="minorHAnsi" w:hAnsiTheme="minorHAnsi" w:cstheme="minorBidi"/>
          <w:b/>
          <w:szCs w:val="22"/>
        </w:rPr>
        <w:t>DODATAK</w:t>
      </w:r>
      <w:r w:rsidRPr="006468F5">
        <w:rPr>
          <w:rFonts w:asciiTheme="minorHAnsi" w:hAnsiTheme="minorHAnsi" w:cstheme="minorBidi"/>
          <w:szCs w:val="22"/>
        </w:rPr>
        <w:t xml:space="preserve">: Izvješće o radu </w:t>
      </w:r>
      <w:proofErr w:type="spellStart"/>
      <w:r w:rsidRPr="006468F5">
        <w:rPr>
          <w:rFonts w:asciiTheme="minorHAnsi" w:hAnsiTheme="minorHAnsi" w:cstheme="minorBidi"/>
          <w:szCs w:val="22"/>
        </w:rPr>
        <w:t>Državnoodvjetničkog</w:t>
      </w:r>
      <w:proofErr w:type="spellEnd"/>
      <w:r w:rsidRPr="006468F5">
        <w:rPr>
          <w:rFonts w:asciiTheme="minorHAnsi" w:hAnsiTheme="minorHAnsi" w:cstheme="minorBidi"/>
          <w:szCs w:val="22"/>
        </w:rPr>
        <w:t xml:space="preserve"> vijeća u 202</w:t>
      </w:r>
      <w:r>
        <w:rPr>
          <w:rFonts w:asciiTheme="minorHAnsi" w:hAnsiTheme="minorHAnsi" w:cstheme="minorBidi"/>
          <w:szCs w:val="22"/>
        </w:rPr>
        <w:t>2</w:t>
      </w:r>
      <w:r w:rsidRPr="006468F5">
        <w:rPr>
          <w:rFonts w:asciiTheme="minorHAnsi" w:hAnsiTheme="minorHAnsi" w:cstheme="minorBidi"/>
          <w:szCs w:val="22"/>
        </w:rPr>
        <w:t>. godini.</w:t>
      </w:r>
    </w:p>
    <w:p w14:paraId="33CC05EB" w14:textId="350BE8F4" w:rsidR="00E415F4" w:rsidRDefault="00E415F4" w:rsidP="006468F5">
      <w:pPr>
        <w:tabs>
          <w:tab w:val="left" w:pos="3381"/>
        </w:tabs>
        <w:rPr>
          <w:rFonts w:asciiTheme="minorHAnsi" w:hAnsiTheme="minorHAnsi" w:cstheme="minorBidi"/>
          <w:szCs w:val="22"/>
        </w:rPr>
      </w:pPr>
    </w:p>
    <w:p w14:paraId="24F4B7A7" w14:textId="5B36416E" w:rsidR="00E415F4" w:rsidRDefault="00E415F4" w:rsidP="006468F5">
      <w:pPr>
        <w:tabs>
          <w:tab w:val="left" w:pos="3381"/>
        </w:tabs>
        <w:rPr>
          <w:rFonts w:asciiTheme="minorHAnsi" w:hAnsiTheme="minorHAnsi" w:cstheme="minorBidi"/>
          <w:szCs w:val="22"/>
        </w:rPr>
      </w:pPr>
    </w:p>
    <w:p w14:paraId="4B7908E7" w14:textId="7D576DFD" w:rsidR="00E415F4" w:rsidRDefault="00E415F4" w:rsidP="006468F5">
      <w:pPr>
        <w:tabs>
          <w:tab w:val="left" w:pos="3381"/>
        </w:tabs>
        <w:rPr>
          <w:rFonts w:asciiTheme="minorHAnsi" w:hAnsiTheme="minorHAnsi" w:cstheme="minorBidi"/>
          <w:szCs w:val="22"/>
        </w:rPr>
      </w:pPr>
    </w:p>
    <w:p w14:paraId="1E238E94" w14:textId="55218D6B" w:rsidR="00E415F4" w:rsidRDefault="00E415F4" w:rsidP="006468F5">
      <w:pPr>
        <w:tabs>
          <w:tab w:val="left" w:pos="3381"/>
        </w:tabs>
        <w:rPr>
          <w:rFonts w:asciiTheme="minorHAnsi" w:hAnsiTheme="minorHAnsi" w:cstheme="minorBidi"/>
          <w:szCs w:val="22"/>
        </w:rPr>
      </w:pPr>
    </w:p>
    <w:p w14:paraId="033B30EB" w14:textId="10D06231" w:rsidR="00E415F4" w:rsidRDefault="00E415F4" w:rsidP="006468F5">
      <w:pPr>
        <w:tabs>
          <w:tab w:val="left" w:pos="3381"/>
        </w:tabs>
        <w:rPr>
          <w:rFonts w:asciiTheme="minorHAnsi" w:hAnsiTheme="minorHAnsi" w:cstheme="minorBidi"/>
          <w:szCs w:val="22"/>
        </w:rPr>
      </w:pPr>
    </w:p>
    <w:p w14:paraId="2553BBD6" w14:textId="1859B68B" w:rsidR="00E415F4" w:rsidRDefault="00E415F4" w:rsidP="006468F5">
      <w:pPr>
        <w:tabs>
          <w:tab w:val="left" w:pos="3381"/>
        </w:tabs>
        <w:rPr>
          <w:rFonts w:asciiTheme="minorHAnsi" w:hAnsiTheme="minorHAnsi" w:cstheme="minorBidi"/>
          <w:szCs w:val="22"/>
        </w:rPr>
      </w:pPr>
    </w:p>
    <w:p w14:paraId="44BCB602" w14:textId="169F3775" w:rsidR="00E415F4" w:rsidRDefault="00E415F4" w:rsidP="006468F5">
      <w:pPr>
        <w:tabs>
          <w:tab w:val="left" w:pos="3381"/>
        </w:tabs>
        <w:rPr>
          <w:rFonts w:asciiTheme="minorHAnsi" w:hAnsiTheme="minorHAnsi" w:cstheme="minorBidi"/>
          <w:szCs w:val="22"/>
        </w:rPr>
      </w:pPr>
    </w:p>
    <w:p w14:paraId="751F36FA" w14:textId="498D0CDB" w:rsidR="00E415F4" w:rsidRDefault="00E415F4" w:rsidP="006468F5">
      <w:pPr>
        <w:tabs>
          <w:tab w:val="left" w:pos="3381"/>
        </w:tabs>
        <w:rPr>
          <w:rFonts w:asciiTheme="minorHAnsi" w:hAnsiTheme="minorHAnsi" w:cstheme="minorBidi"/>
          <w:szCs w:val="22"/>
        </w:rPr>
      </w:pPr>
    </w:p>
    <w:p w14:paraId="43330719" w14:textId="17A4263F" w:rsidR="00E415F4" w:rsidRDefault="00E415F4" w:rsidP="006468F5">
      <w:pPr>
        <w:tabs>
          <w:tab w:val="left" w:pos="3381"/>
        </w:tabs>
        <w:rPr>
          <w:rFonts w:asciiTheme="minorHAnsi" w:hAnsiTheme="minorHAnsi" w:cstheme="minorBidi"/>
          <w:szCs w:val="22"/>
        </w:rPr>
      </w:pPr>
    </w:p>
    <w:p w14:paraId="0F5C0267" w14:textId="57D4CFC8" w:rsidR="00E415F4" w:rsidRDefault="00E415F4" w:rsidP="006468F5">
      <w:pPr>
        <w:tabs>
          <w:tab w:val="left" w:pos="3381"/>
        </w:tabs>
        <w:rPr>
          <w:rFonts w:asciiTheme="minorHAnsi" w:hAnsiTheme="minorHAnsi" w:cstheme="minorBidi"/>
          <w:szCs w:val="22"/>
        </w:rPr>
      </w:pPr>
    </w:p>
    <w:p w14:paraId="1A34057F" w14:textId="58C3AACF" w:rsidR="00E415F4" w:rsidRDefault="00E415F4" w:rsidP="006468F5">
      <w:pPr>
        <w:tabs>
          <w:tab w:val="left" w:pos="3381"/>
        </w:tabs>
        <w:rPr>
          <w:rFonts w:asciiTheme="minorHAnsi" w:hAnsiTheme="minorHAnsi" w:cstheme="minorBidi"/>
          <w:szCs w:val="22"/>
        </w:rPr>
      </w:pPr>
    </w:p>
    <w:p w14:paraId="657CA096" w14:textId="79298F14" w:rsidR="00E415F4" w:rsidRDefault="00E415F4" w:rsidP="006468F5">
      <w:pPr>
        <w:tabs>
          <w:tab w:val="left" w:pos="3381"/>
        </w:tabs>
        <w:rPr>
          <w:rFonts w:asciiTheme="minorHAnsi" w:hAnsiTheme="minorHAnsi" w:cstheme="minorBidi"/>
          <w:szCs w:val="22"/>
        </w:rPr>
      </w:pPr>
    </w:p>
    <w:p w14:paraId="4A62E462" w14:textId="4EE04FA7" w:rsidR="00E415F4" w:rsidRDefault="00E415F4" w:rsidP="006468F5">
      <w:pPr>
        <w:tabs>
          <w:tab w:val="left" w:pos="3381"/>
        </w:tabs>
        <w:rPr>
          <w:rFonts w:asciiTheme="minorHAnsi" w:hAnsiTheme="minorHAnsi" w:cstheme="minorBidi"/>
          <w:szCs w:val="22"/>
        </w:rPr>
      </w:pPr>
    </w:p>
    <w:p w14:paraId="0E5CA186" w14:textId="12AD3BB8" w:rsidR="00E415F4" w:rsidRDefault="00E415F4" w:rsidP="006468F5">
      <w:pPr>
        <w:tabs>
          <w:tab w:val="left" w:pos="3381"/>
        </w:tabs>
        <w:rPr>
          <w:rFonts w:asciiTheme="minorHAnsi" w:hAnsiTheme="minorHAnsi" w:cstheme="minorBidi"/>
          <w:szCs w:val="22"/>
        </w:rPr>
      </w:pPr>
    </w:p>
    <w:p w14:paraId="1AD8B180" w14:textId="061E430F" w:rsidR="00E415F4" w:rsidRDefault="00E415F4" w:rsidP="006468F5">
      <w:pPr>
        <w:tabs>
          <w:tab w:val="left" w:pos="3381"/>
        </w:tabs>
        <w:rPr>
          <w:rFonts w:asciiTheme="minorHAnsi" w:hAnsiTheme="minorHAnsi" w:cstheme="minorBidi"/>
          <w:szCs w:val="22"/>
        </w:rPr>
      </w:pPr>
    </w:p>
    <w:p w14:paraId="51FF5BD5" w14:textId="4C72DBDC" w:rsidR="00E415F4" w:rsidRDefault="00E415F4" w:rsidP="006468F5">
      <w:pPr>
        <w:tabs>
          <w:tab w:val="left" w:pos="3381"/>
        </w:tabs>
        <w:rPr>
          <w:rFonts w:asciiTheme="minorHAnsi" w:hAnsiTheme="minorHAnsi" w:cstheme="minorBidi"/>
          <w:szCs w:val="22"/>
        </w:rPr>
      </w:pPr>
    </w:p>
    <w:p w14:paraId="6D696CD2" w14:textId="0080B5B2" w:rsidR="00E415F4" w:rsidRDefault="00E415F4" w:rsidP="006468F5">
      <w:pPr>
        <w:tabs>
          <w:tab w:val="left" w:pos="3381"/>
        </w:tabs>
        <w:rPr>
          <w:rFonts w:asciiTheme="minorHAnsi" w:hAnsiTheme="minorHAnsi" w:cstheme="minorBidi"/>
          <w:szCs w:val="22"/>
        </w:rPr>
      </w:pPr>
    </w:p>
    <w:p w14:paraId="64C71573" w14:textId="448EC7ED" w:rsidR="00E415F4" w:rsidRDefault="00E415F4" w:rsidP="006468F5">
      <w:pPr>
        <w:tabs>
          <w:tab w:val="left" w:pos="3381"/>
        </w:tabs>
        <w:rPr>
          <w:rFonts w:asciiTheme="minorHAnsi" w:hAnsiTheme="minorHAnsi" w:cstheme="minorBidi"/>
          <w:szCs w:val="22"/>
        </w:rPr>
      </w:pPr>
    </w:p>
    <w:p w14:paraId="3498AAA9" w14:textId="5FD7EDE2" w:rsidR="00E415F4" w:rsidRDefault="00E415F4" w:rsidP="006468F5">
      <w:pPr>
        <w:tabs>
          <w:tab w:val="left" w:pos="3381"/>
        </w:tabs>
        <w:rPr>
          <w:rFonts w:asciiTheme="minorHAnsi" w:hAnsiTheme="minorHAnsi" w:cstheme="minorBidi"/>
          <w:szCs w:val="22"/>
        </w:rPr>
      </w:pPr>
    </w:p>
    <w:p w14:paraId="79CDE4CB" w14:textId="6ACF3CF3" w:rsidR="00E415F4" w:rsidRDefault="00E415F4" w:rsidP="006468F5">
      <w:pPr>
        <w:tabs>
          <w:tab w:val="left" w:pos="3381"/>
        </w:tabs>
        <w:rPr>
          <w:rFonts w:asciiTheme="minorHAnsi" w:hAnsiTheme="minorHAnsi" w:cstheme="minorBidi"/>
          <w:szCs w:val="22"/>
        </w:rPr>
      </w:pPr>
    </w:p>
    <w:p w14:paraId="2B622433" w14:textId="6F137DFC" w:rsidR="00E415F4" w:rsidRDefault="00E415F4" w:rsidP="006468F5">
      <w:pPr>
        <w:tabs>
          <w:tab w:val="left" w:pos="3381"/>
        </w:tabs>
        <w:rPr>
          <w:rFonts w:asciiTheme="minorHAnsi" w:hAnsiTheme="minorHAnsi" w:cstheme="minorBidi"/>
          <w:szCs w:val="22"/>
        </w:rPr>
      </w:pPr>
    </w:p>
    <w:p w14:paraId="59D514FF" w14:textId="5E935C91" w:rsidR="00E415F4" w:rsidRDefault="00E415F4" w:rsidP="006468F5">
      <w:pPr>
        <w:tabs>
          <w:tab w:val="left" w:pos="3381"/>
        </w:tabs>
        <w:rPr>
          <w:rFonts w:asciiTheme="minorHAnsi" w:hAnsiTheme="minorHAnsi" w:cstheme="minorBidi"/>
          <w:szCs w:val="22"/>
        </w:rPr>
      </w:pPr>
    </w:p>
    <w:p w14:paraId="56531006" w14:textId="4B9A9EDB" w:rsidR="00E415F4" w:rsidRDefault="00E415F4" w:rsidP="006468F5">
      <w:pPr>
        <w:tabs>
          <w:tab w:val="left" w:pos="3381"/>
        </w:tabs>
        <w:rPr>
          <w:rFonts w:asciiTheme="minorHAnsi" w:hAnsiTheme="minorHAnsi" w:cstheme="minorBidi"/>
          <w:szCs w:val="22"/>
        </w:rPr>
      </w:pPr>
    </w:p>
    <w:p w14:paraId="05CD07E3" w14:textId="25B43827" w:rsidR="00E415F4" w:rsidRDefault="00E415F4" w:rsidP="006468F5">
      <w:pPr>
        <w:tabs>
          <w:tab w:val="left" w:pos="3381"/>
        </w:tabs>
        <w:rPr>
          <w:rFonts w:asciiTheme="minorHAnsi" w:hAnsiTheme="minorHAnsi" w:cstheme="minorBidi"/>
          <w:szCs w:val="22"/>
        </w:rPr>
      </w:pPr>
    </w:p>
    <w:p w14:paraId="0DDAFBD9" w14:textId="24FC78D8" w:rsidR="00E415F4" w:rsidRDefault="00E415F4" w:rsidP="006468F5">
      <w:pPr>
        <w:tabs>
          <w:tab w:val="left" w:pos="3381"/>
        </w:tabs>
        <w:rPr>
          <w:rFonts w:asciiTheme="minorHAnsi" w:hAnsiTheme="minorHAnsi" w:cstheme="minorBidi"/>
          <w:szCs w:val="22"/>
        </w:rPr>
      </w:pPr>
    </w:p>
    <w:p w14:paraId="04B4B51D" w14:textId="2394C752" w:rsidR="00E415F4" w:rsidRDefault="00E415F4" w:rsidP="006468F5">
      <w:pPr>
        <w:tabs>
          <w:tab w:val="left" w:pos="3381"/>
        </w:tabs>
        <w:rPr>
          <w:rFonts w:asciiTheme="minorHAnsi" w:hAnsiTheme="minorHAnsi" w:cstheme="minorBidi"/>
          <w:szCs w:val="22"/>
        </w:rPr>
      </w:pPr>
    </w:p>
    <w:p w14:paraId="1DAF4798" w14:textId="685A4B89" w:rsidR="00E415F4" w:rsidRDefault="00E415F4" w:rsidP="006468F5">
      <w:pPr>
        <w:tabs>
          <w:tab w:val="left" w:pos="3381"/>
        </w:tabs>
        <w:rPr>
          <w:rFonts w:asciiTheme="minorHAnsi" w:hAnsiTheme="minorHAnsi" w:cstheme="minorBidi"/>
          <w:szCs w:val="22"/>
        </w:rPr>
      </w:pPr>
    </w:p>
    <w:p w14:paraId="6B10C53F" w14:textId="7D6BF31A" w:rsidR="00E415F4" w:rsidRDefault="00E415F4" w:rsidP="006468F5">
      <w:pPr>
        <w:tabs>
          <w:tab w:val="left" w:pos="3381"/>
        </w:tabs>
        <w:rPr>
          <w:rFonts w:asciiTheme="minorHAnsi" w:hAnsiTheme="minorHAnsi" w:cstheme="minorBidi"/>
          <w:szCs w:val="22"/>
        </w:rPr>
      </w:pPr>
    </w:p>
    <w:p w14:paraId="315A17F8" w14:textId="685651BE" w:rsidR="00E415F4" w:rsidRDefault="00E415F4" w:rsidP="006468F5">
      <w:pPr>
        <w:tabs>
          <w:tab w:val="left" w:pos="3381"/>
        </w:tabs>
        <w:rPr>
          <w:rFonts w:asciiTheme="minorHAnsi" w:hAnsiTheme="minorHAnsi" w:cstheme="minorBidi"/>
          <w:szCs w:val="22"/>
        </w:rPr>
      </w:pPr>
    </w:p>
    <w:p w14:paraId="528ADF42" w14:textId="34A3BCC5" w:rsidR="00E415F4" w:rsidRDefault="00E415F4" w:rsidP="006468F5">
      <w:pPr>
        <w:tabs>
          <w:tab w:val="left" w:pos="3381"/>
        </w:tabs>
        <w:rPr>
          <w:rFonts w:asciiTheme="minorHAnsi" w:hAnsiTheme="minorHAnsi" w:cstheme="minorBidi"/>
          <w:szCs w:val="22"/>
        </w:rPr>
      </w:pPr>
    </w:p>
    <w:p w14:paraId="088DAA96" w14:textId="3DD5E7E0" w:rsidR="00E415F4" w:rsidRDefault="00E415F4" w:rsidP="006468F5">
      <w:pPr>
        <w:tabs>
          <w:tab w:val="left" w:pos="3381"/>
        </w:tabs>
        <w:rPr>
          <w:rFonts w:asciiTheme="minorHAnsi" w:hAnsiTheme="minorHAnsi" w:cstheme="minorBidi"/>
          <w:szCs w:val="22"/>
        </w:rPr>
      </w:pPr>
    </w:p>
    <w:p w14:paraId="522D5CBB" w14:textId="314B6267" w:rsidR="00E415F4" w:rsidRDefault="00E415F4" w:rsidP="006468F5">
      <w:pPr>
        <w:tabs>
          <w:tab w:val="left" w:pos="3381"/>
        </w:tabs>
        <w:rPr>
          <w:rFonts w:asciiTheme="minorHAnsi" w:hAnsiTheme="minorHAnsi" w:cstheme="minorBidi"/>
          <w:szCs w:val="22"/>
        </w:rPr>
      </w:pPr>
    </w:p>
    <w:p w14:paraId="1C2E08BE" w14:textId="77777777" w:rsidR="006468F5" w:rsidRPr="001B4CA2" w:rsidRDefault="006468F5" w:rsidP="00F14D87">
      <w:pPr>
        <w:ind w:left="4956"/>
        <w:jc w:val="center"/>
        <w:rPr>
          <w:rFonts w:eastAsia="Calibri"/>
        </w:rPr>
      </w:pPr>
    </w:p>
    <w:sectPr w:rsidR="006468F5" w:rsidRPr="001B4CA2" w:rsidSect="007418AF">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7019" w14:textId="77777777" w:rsidR="0021263E" w:rsidRDefault="0021263E" w:rsidP="00886E1C">
      <w:r>
        <w:separator/>
      </w:r>
    </w:p>
  </w:endnote>
  <w:endnote w:type="continuationSeparator" w:id="0">
    <w:p w14:paraId="2A2FD5EA" w14:textId="77777777" w:rsidR="0021263E" w:rsidRDefault="0021263E" w:rsidP="0088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638138"/>
      <w:docPartObj>
        <w:docPartGallery w:val="Page Numbers (Bottom of Page)"/>
        <w:docPartUnique/>
      </w:docPartObj>
    </w:sdtPr>
    <w:sdtContent>
      <w:p w14:paraId="272749FC" w14:textId="55F9D7CD" w:rsidR="00A6441C" w:rsidRDefault="00A6441C" w:rsidP="001D4F0F">
        <w:pPr>
          <w:pStyle w:val="Podnoje"/>
          <w:jc w:val="center"/>
        </w:pPr>
        <w:r>
          <w:fldChar w:fldCharType="begin"/>
        </w:r>
        <w:r>
          <w:instrText>PAGE   \* MERGEFORMAT</w:instrText>
        </w:r>
        <w:r>
          <w:fldChar w:fldCharType="separate"/>
        </w:r>
        <w:r w:rsidR="00657554">
          <w:rPr>
            <w:noProof/>
          </w:rPr>
          <w:t>22</w:t>
        </w:r>
        <w:r w:rsidR="00657554">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6A0C" w14:textId="77777777" w:rsidR="0021263E" w:rsidRDefault="0021263E" w:rsidP="00886E1C">
      <w:r>
        <w:separator/>
      </w:r>
    </w:p>
  </w:footnote>
  <w:footnote w:type="continuationSeparator" w:id="0">
    <w:p w14:paraId="70CDC637" w14:textId="77777777" w:rsidR="0021263E" w:rsidRDefault="0021263E" w:rsidP="00886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3134" w14:textId="3A1BA32F" w:rsidR="005A7C41" w:rsidRDefault="005A7C41" w:rsidP="00B010E6">
    <w:pPr>
      <w:pStyle w:val="Zaglavlj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5238" w14:textId="6E5C77D3" w:rsidR="0038564D" w:rsidRDefault="0038564D">
    <w:pPr>
      <w:pStyle w:val="Zaglavlje"/>
      <w:jc w:val="right"/>
    </w:pPr>
  </w:p>
  <w:p w14:paraId="27D9B1C2" w14:textId="77777777" w:rsidR="0038564D" w:rsidRDefault="0038564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364607"/>
      <w:docPartObj>
        <w:docPartGallery w:val="Page Numbers (Top of Page)"/>
        <w:docPartUnique/>
      </w:docPartObj>
    </w:sdtPr>
    <w:sdtContent>
      <w:p w14:paraId="64F8ABC2" w14:textId="77777777" w:rsidR="00743EF4" w:rsidRDefault="00743EF4" w:rsidP="00B010E6">
        <w:pPr>
          <w:pStyle w:val="Zaglavlje"/>
          <w:jc w:val="right"/>
        </w:pPr>
        <w:r>
          <w:fldChar w:fldCharType="begin"/>
        </w:r>
        <w:r>
          <w:instrText>PAGE   \* MERGEFORMAT</w:instrText>
        </w:r>
        <w:r>
          <w:fldChar w:fldCharType="separate"/>
        </w:r>
        <w:r w:rsidR="00657554">
          <w:rPr>
            <w:noProof/>
          </w:rPr>
          <w:t>22</w:t>
        </w:r>
        <w:r w:rsidR="00657554">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7D6"/>
    <w:multiLevelType w:val="hybridMultilevel"/>
    <w:tmpl w:val="1A1E52B6"/>
    <w:lvl w:ilvl="0" w:tplc="259C4DA4">
      <w:start w:val="1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13601FB"/>
    <w:multiLevelType w:val="hybridMultilevel"/>
    <w:tmpl w:val="2BE2E7FC"/>
    <w:lvl w:ilvl="0" w:tplc="91F6EFE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506A39"/>
    <w:multiLevelType w:val="hybridMultilevel"/>
    <w:tmpl w:val="1CCAC0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225FB0"/>
    <w:multiLevelType w:val="hybridMultilevel"/>
    <w:tmpl w:val="C04804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3547F3"/>
    <w:multiLevelType w:val="hybridMultilevel"/>
    <w:tmpl w:val="1C286F2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0C04A7"/>
    <w:multiLevelType w:val="hybridMultilevel"/>
    <w:tmpl w:val="55C86116"/>
    <w:lvl w:ilvl="0" w:tplc="399804EE">
      <w:start w:val="1"/>
      <w:numFmt w:val="upperRoman"/>
      <w:lvlText w:val="%1. DIO"/>
      <w:lvlJc w:val="righ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15:restartNumberingAfterBreak="0">
    <w:nsid w:val="1A97408A"/>
    <w:multiLevelType w:val="hybridMultilevel"/>
    <w:tmpl w:val="2FA6384A"/>
    <w:lvl w:ilvl="0" w:tplc="F0DAA1E8">
      <w:start w:val="1"/>
      <w:numFmt w:val="upperRoman"/>
      <w:pStyle w:val="Naslov1"/>
      <w:lvlText w:val="%1."/>
      <w:lvlJc w:val="righ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1B47321B"/>
    <w:multiLevelType w:val="hybridMultilevel"/>
    <w:tmpl w:val="0BEEF7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942541"/>
    <w:multiLevelType w:val="hybridMultilevel"/>
    <w:tmpl w:val="AEEAF0B4"/>
    <w:lvl w:ilvl="0" w:tplc="041A0017">
      <w:start w:val="5"/>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D210F9"/>
    <w:multiLevelType w:val="hybridMultilevel"/>
    <w:tmpl w:val="94B0A3B2"/>
    <w:lvl w:ilvl="0" w:tplc="67963EC0">
      <w:start w:val="1"/>
      <w:numFmt w:val="lowerLetter"/>
      <w:lvlText w:val="%1)"/>
      <w:lvlJc w:val="left"/>
      <w:pPr>
        <w:ind w:left="495" w:hanging="360"/>
      </w:pPr>
      <w:rPr>
        <w:rFonts w:hint="default"/>
      </w:rPr>
    </w:lvl>
    <w:lvl w:ilvl="1" w:tplc="041A0019" w:tentative="1">
      <w:start w:val="1"/>
      <w:numFmt w:val="lowerLetter"/>
      <w:lvlText w:val="%2."/>
      <w:lvlJc w:val="left"/>
      <w:pPr>
        <w:ind w:left="1215" w:hanging="360"/>
      </w:pPr>
    </w:lvl>
    <w:lvl w:ilvl="2" w:tplc="041A001B" w:tentative="1">
      <w:start w:val="1"/>
      <w:numFmt w:val="lowerRoman"/>
      <w:lvlText w:val="%3."/>
      <w:lvlJc w:val="right"/>
      <w:pPr>
        <w:ind w:left="1935" w:hanging="180"/>
      </w:pPr>
    </w:lvl>
    <w:lvl w:ilvl="3" w:tplc="041A000F" w:tentative="1">
      <w:start w:val="1"/>
      <w:numFmt w:val="decimal"/>
      <w:lvlText w:val="%4."/>
      <w:lvlJc w:val="left"/>
      <w:pPr>
        <w:ind w:left="2655" w:hanging="360"/>
      </w:pPr>
    </w:lvl>
    <w:lvl w:ilvl="4" w:tplc="041A0019" w:tentative="1">
      <w:start w:val="1"/>
      <w:numFmt w:val="lowerLetter"/>
      <w:lvlText w:val="%5."/>
      <w:lvlJc w:val="left"/>
      <w:pPr>
        <w:ind w:left="3375" w:hanging="360"/>
      </w:pPr>
    </w:lvl>
    <w:lvl w:ilvl="5" w:tplc="041A001B" w:tentative="1">
      <w:start w:val="1"/>
      <w:numFmt w:val="lowerRoman"/>
      <w:lvlText w:val="%6."/>
      <w:lvlJc w:val="right"/>
      <w:pPr>
        <w:ind w:left="4095" w:hanging="180"/>
      </w:pPr>
    </w:lvl>
    <w:lvl w:ilvl="6" w:tplc="041A000F" w:tentative="1">
      <w:start w:val="1"/>
      <w:numFmt w:val="decimal"/>
      <w:lvlText w:val="%7."/>
      <w:lvlJc w:val="left"/>
      <w:pPr>
        <w:ind w:left="4815" w:hanging="360"/>
      </w:pPr>
    </w:lvl>
    <w:lvl w:ilvl="7" w:tplc="041A0019" w:tentative="1">
      <w:start w:val="1"/>
      <w:numFmt w:val="lowerLetter"/>
      <w:lvlText w:val="%8."/>
      <w:lvlJc w:val="left"/>
      <w:pPr>
        <w:ind w:left="5535" w:hanging="360"/>
      </w:pPr>
    </w:lvl>
    <w:lvl w:ilvl="8" w:tplc="041A001B" w:tentative="1">
      <w:start w:val="1"/>
      <w:numFmt w:val="lowerRoman"/>
      <w:lvlText w:val="%9."/>
      <w:lvlJc w:val="right"/>
      <w:pPr>
        <w:ind w:left="6255" w:hanging="180"/>
      </w:pPr>
    </w:lvl>
  </w:abstractNum>
  <w:abstractNum w:abstractNumId="10" w15:restartNumberingAfterBreak="0">
    <w:nsid w:val="263B6C44"/>
    <w:multiLevelType w:val="hybridMultilevel"/>
    <w:tmpl w:val="DDCA3FB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7745032"/>
    <w:multiLevelType w:val="hybridMultilevel"/>
    <w:tmpl w:val="88F0E2C6"/>
    <w:lvl w:ilvl="0" w:tplc="399804EE">
      <w:start w:val="1"/>
      <w:numFmt w:val="upperRoman"/>
      <w:lvlText w:val="%1. DIO"/>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F8C50C9"/>
    <w:multiLevelType w:val="hybridMultilevel"/>
    <w:tmpl w:val="EDF688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1E6A32"/>
    <w:multiLevelType w:val="multilevel"/>
    <w:tmpl w:val="DC62345C"/>
    <w:lvl w:ilvl="0">
      <w:start w:val="1"/>
      <w:numFmt w:val="decimal"/>
      <w:pStyle w:val="Naslov2"/>
      <w:lvlText w:val="%1."/>
      <w:lvlJc w:val="left"/>
      <w:pPr>
        <w:ind w:left="360" w:hanging="360"/>
      </w:pPr>
    </w:lvl>
    <w:lvl w:ilvl="1">
      <w:start w:val="1"/>
      <w:numFmt w:val="decimal"/>
      <w:pStyle w:val="Naslov3"/>
      <w:lvlText w:val="%1.%2."/>
      <w:lvlJc w:val="left"/>
      <w:pPr>
        <w:ind w:left="716" w:hanging="432"/>
      </w:pPr>
    </w:lvl>
    <w:lvl w:ilvl="2">
      <w:start w:val="1"/>
      <w:numFmt w:val="decimal"/>
      <w:pStyle w:val="Naslov4"/>
      <w:lvlText w:val="%1.%2.%3."/>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Naslov5"/>
      <w:lvlText w:val="%1.%2.%3.%4."/>
      <w:lvlJc w:val="left"/>
      <w:pPr>
        <w:ind w:left="107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424F60"/>
    <w:multiLevelType w:val="hybridMultilevel"/>
    <w:tmpl w:val="010A18B0"/>
    <w:lvl w:ilvl="0" w:tplc="95D46C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0F6D6D"/>
    <w:multiLevelType w:val="hybridMultilevel"/>
    <w:tmpl w:val="99FCCD20"/>
    <w:lvl w:ilvl="0" w:tplc="3662CE6C">
      <w:start w:val="1"/>
      <w:numFmt w:val="lowerLetter"/>
      <w:lvlText w:val="%1)"/>
      <w:lvlJc w:val="left"/>
      <w:pPr>
        <w:ind w:left="360" w:hanging="360"/>
      </w:pPr>
      <w:rPr>
        <w:rFonts w:hint="default"/>
        <w:color w:val="000000" w:themeColor="text1"/>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2E0629"/>
    <w:multiLevelType w:val="hybridMultilevel"/>
    <w:tmpl w:val="572CA95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5430756"/>
    <w:multiLevelType w:val="hybridMultilevel"/>
    <w:tmpl w:val="58924EE6"/>
    <w:lvl w:ilvl="0" w:tplc="FCE219C8">
      <w:numFmt w:val="bullet"/>
      <w:lvlText w:val="-"/>
      <w:lvlJc w:val="left"/>
      <w:pPr>
        <w:tabs>
          <w:tab w:val="num" w:pos="1068"/>
        </w:tabs>
        <w:ind w:left="1068"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15:restartNumberingAfterBreak="0">
    <w:nsid w:val="3B7820F2"/>
    <w:multiLevelType w:val="hybridMultilevel"/>
    <w:tmpl w:val="236C6262"/>
    <w:lvl w:ilvl="0" w:tplc="041A0017">
      <w:start w:val="1"/>
      <w:numFmt w:val="lowerLetter"/>
      <w:lvlText w:val="%1)"/>
      <w:lvlJc w:val="left"/>
      <w:pPr>
        <w:ind w:left="783" w:hanging="360"/>
      </w:pPr>
    </w:lvl>
    <w:lvl w:ilvl="1" w:tplc="041A0019" w:tentative="1">
      <w:start w:val="1"/>
      <w:numFmt w:val="lowerLetter"/>
      <w:lvlText w:val="%2."/>
      <w:lvlJc w:val="left"/>
      <w:pPr>
        <w:ind w:left="1503" w:hanging="360"/>
      </w:pPr>
    </w:lvl>
    <w:lvl w:ilvl="2" w:tplc="041A001B" w:tentative="1">
      <w:start w:val="1"/>
      <w:numFmt w:val="lowerRoman"/>
      <w:lvlText w:val="%3."/>
      <w:lvlJc w:val="right"/>
      <w:pPr>
        <w:ind w:left="2223" w:hanging="180"/>
      </w:pPr>
    </w:lvl>
    <w:lvl w:ilvl="3" w:tplc="041A000F" w:tentative="1">
      <w:start w:val="1"/>
      <w:numFmt w:val="decimal"/>
      <w:lvlText w:val="%4."/>
      <w:lvlJc w:val="left"/>
      <w:pPr>
        <w:ind w:left="2943" w:hanging="360"/>
      </w:pPr>
    </w:lvl>
    <w:lvl w:ilvl="4" w:tplc="041A0019" w:tentative="1">
      <w:start w:val="1"/>
      <w:numFmt w:val="lowerLetter"/>
      <w:lvlText w:val="%5."/>
      <w:lvlJc w:val="left"/>
      <w:pPr>
        <w:ind w:left="3663" w:hanging="360"/>
      </w:pPr>
    </w:lvl>
    <w:lvl w:ilvl="5" w:tplc="041A001B" w:tentative="1">
      <w:start w:val="1"/>
      <w:numFmt w:val="lowerRoman"/>
      <w:lvlText w:val="%6."/>
      <w:lvlJc w:val="right"/>
      <w:pPr>
        <w:ind w:left="4383" w:hanging="180"/>
      </w:pPr>
    </w:lvl>
    <w:lvl w:ilvl="6" w:tplc="041A000F" w:tentative="1">
      <w:start w:val="1"/>
      <w:numFmt w:val="decimal"/>
      <w:lvlText w:val="%7."/>
      <w:lvlJc w:val="left"/>
      <w:pPr>
        <w:ind w:left="5103" w:hanging="360"/>
      </w:pPr>
    </w:lvl>
    <w:lvl w:ilvl="7" w:tplc="041A0019" w:tentative="1">
      <w:start w:val="1"/>
      <w:numFmt w:val="lowerLetter"/>
      <w:lvlText w:val="%8."/>
      <w:lvlJc w:val="left"/>
      <w:pPr>
        <w:ind w:left="5823" w:hanging="360"/>
      </w:pPr>
    </w:lvl>
    <w:lvl w:ilvl="8" w:tplc="041A001B" w:tentative="1">
      <w:start w:val="1"/>
      <w:numFmt w:val="lowerRoman"/>
      <w:lvlText w:val="%9."/>
      <w:lvlJc w:val="right"/>
      <w:pPr>
        <w:ind w:left="6543" w:hanging="180"/>
      </w:pPr>
    </w:lvl>
  </w:abstractNum>
  <w:abstractNum w:abstractNumId="19" w15:restartNumberingAfterBreak="0">
    <w:nsid w:val="42F31E47"/>
    <w:multiLevelType w:val="hybridMultilevel"/>
    <w:tmpl w:val="6A7EE1E6"/>
    <w:lvl w:ilvl="0" w:tplc="399804EE">
      <w:start w:val="1"/>
      <w:numFmt w:val="upperRoman"/>
      <w:lvlText w:val="%1. DIO"/>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4C457FC"/>
    <w:multiLevelType w:val="hybridMultilevel"/>
    <w:tmpl w:val="66CAAEE2"/>
    <w:lvl w:ilvl="0" w:tplc="82F0C6F2">
      <w:start w:val="1"/>
      <w:numFmt w:val="lowerLetter"/>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A921392"/>
    <w:multiLevelType w:val="hybridMultilevel"/>
    <w:tmpl w:val="99FCCD20"/>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065923"/>
    <w:multiLevelType w:val="hybridMultilevel"/>
    <w:tmpl w:val="99FCCD20"/>
    <w:lvl w:ilvl="0" w:tplc="FFFFFFFF">
      <w:start w:val="1"/>
      <w:numFmt w:val="lowerLetter"/>
      <w:lvlText w:val="%1)"/>
      <w:lvlJc w:val="left"/>
      <w:pPr>
        <w:ind w:left="36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8B46AF"/>
    <w:multiLevelType w:val="hybridMultilevel"/>
    <w:tmpl w:val="6B503760"/>
    <w:lvl w:ilvl="0" w:tplc="3E0E29A8">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4" w15:restartNumberingAfterBreak="0">
    <w:nsid w:val="59277E03"/>
    <w:multiLevelType w:val="hybridMultilevel"/>
    <w:tmpl w:val="7F4A9B62"/>
    <w:lvl w:ilvl="0" w:tplc="6860A2A0">
      <w:start w:val="1"/>
      <w:numFmt w:val="lowerLetter"/>
      <w:lvlText w:val="%1)"/>
      <w:lvlJc w:val="left"/>
      <w:pPr>
        <w:ind w:left="720" w:hanging="360"/>
      </w:pPr>
      <w:rPr>
        <w:rFonts w:asciiTheme="minorHAnsi" w:hAnsiTheme="minorHAnsi" w:cstheme="minorBidi"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C416F1B"/>
    <w:multiLevelType w:val="hybridMultilevel"/>
    <w:tmpl w:val="1B888174"/>
    <w:lvl w:ilvl="0" w:tplc="B85418C8">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2FE63C4"/>
    <w:multiLevelType w:val="hybridMultilevel"/>
    <w:tmpl w:val="522E4818"/>
    <w:lvl w:ilvl="0" w:tplc="91F6EFE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31C74EC"/>
    <w:multiLevelType w:val="hybridMultilevel"/>
    <w:tmpl w:val="70A61072"/>
    <w:lvl w:ilvl="0" w:tplc="44A00A60">
      <w:start w:val="1"/>
      <w:numFmt w:val="bullet"/>
      <w:lvlText w:val="-"/>
      <w:lvlJc w:val="left"/>
      <w:pPr>
        <w:ind w:left="4309" w:hanging="360"/>
      </w:pPr>
      <w:rPr>
        <w:rFonts w:ascii="Times New Roman" w:hAnsi="Times New Roman" w:cs="Times New Roman" w:hint="default"/>
      </w:rPr>
    </w:lvl>
    <w:lvl w:ilvl="1" w:tplc="041A0003" w:tentative="1">
      <w:start w:val="1"/>
      <w:numFmt w:val="bullet"/>
      <w:lvlText w:val="o"/>
      <w:lvlJc w:val="left"/>
      <w:pPr>
        <w:ind w:left="5029" w:hanging="360"/>
      </w:pPr>
      <w:rPr>
        <w:rFonts w:ascii="Courier New" w:hAnsi="Courier New" w:cs="Courier New" w:hint="default"/>
      </w:rPr>
    </w:lvl>
    <w:lvl w:ilvl="2" w:tplc="041A0005" w:tentative="1">
      <w:start w:val="1"/>
      <w:numFmt w:val="bullet"/>
      <w:lvlText w:val=""/>
      <w:lvlJc w:val="left"/>
      <w:pPr>
        <w:ind w:left="5749" w:hanging="360"/>
      </w:pPr>
      <w:rPr>
        <w:rFonts w:ascii="Wingdings" w:hAnsi="Wingdings" w:hint="default"/>
      </w:rPr>
    </w:lvl>
    <w:lvl w:ilvl="3" w:tplc="041A0001" w:tentative="1">
      <w:start w:val="1"/>
      <w:numFmt w:val="bullet"/>
      <w:lvlText w:val=""/>
      <w:lvlJc w:val="left"/>
      <w:pPr>
        <w:ind w:left="6469" w:hanging="360"/>
      </w:pPr>
      <w:rPr>
        <w:rFonts w:ascii="Symbol" w:hAnsi="Symbol" w:hint="default"/>
      </w:rPr>
    </w:lvl>
    <w:lvl w:ilvl="4" w:tplc="041A0003" w:tentative="1">
      <w:start w:val="1"/>
      <w:numFmt w:val="bullet"/>
      <w:lvlText w:val="o"/>
      <w:lvlJc w:val="left"/>
      <w:pPr>
        <w:ind w:left="7189" w:hanging="360"/>
      </w:pPr>
      <w:rPr>
        <w:rFonts w:ascii="Courier New" w:hAnsi="Courier New" w:cs="Courier New" w:hint="default"/>
      </w:rPr>
    </w:lvl>
    <w:lvl w:ilvl="5" w:tplc="041A0005" w:tentative="1">
      <w:start w:val="1"/>
      <w:numFmt w:val="bullet"/>
      <w:lvlText w:val=""/>
      <w:lvlJc w:val="left"/>
      <w:pPr>
        <w:ind w:left="7909" w:hanging="360"/>
      </w:pPr>
      <w:rPr>
        <w:rFonts w:ascii="Wingdings" w:hAnsi="Wingdings" w:hint="default"/>
      </w:rPr>
    </w:lvl>
    <w:lvl w:ilvl="6" w:tplc="041A0001" w:tentative="1">
      <w:start w:val="1"/>
      <w:numFmt w:val="bullet"/>
      <w:lvlText w:val=""/>
      <w:lvlJc w:val="left"/>
      <w:pPr>
        <w:ind w:left="8629" w:hanging="360"/>
      </w:pPr>
      <w:rPr>
        <w:rFonts w:ascii="Symbol" w:hAnsi="Symbol" w:hint="default"/>
      </w:rPr>
    </w:lvl>
    <w:lvl w:ilvl="7" w:tplc="041A0003" w:tentative="1">
      <w:start w:val="1"/>
      <w:numFmt w:val="bullet"/>
      <w:lvlText w:val="o"/>
      <w:lvlJc w:val="left"/>
      <w:pPr>
        <w:ind w:left="9349" w:hanging="360"/>
      </w:pPr>
      <w:rPr>
        <w:rFonts w:ascii="Courier New" w:hAnsi="Courier New" w:cs="Courier New" w:hint="default"/>
      </w:rPr>
    </w:lvl>
    <w:lvl w:ilvl="8" w:tplc="041A0005" w:tentative="1">
      <w:start w:val="1"/>
      <w:numFmt w:val="bullet"/>
      <w:lvlText w:val=""/>
      <w:lvlJc w:val="left"/>
      <w:pPr>
        <w:ind w:left="10069" w:hanging="360"/>
      </w:pPr>
      <w:rPr>
        <w:rFonts w:ascii="Wingdings" w:hAnsi="Wingdings" w:hint="default"/>
      </w:rPr>
    </w:lvl>
  </w:abstractNum>
  <w:abstractNum w:abstractNumId="28" w15:restartNumberingAfterBreak="0">
    <w:nsid w:val="63981D5B"/>
    <w:multiLevelType w:val="hybridMultilevel"/>
    <w:tmpl w:val="AA249794"/>
    <w:lvl w:ilvl="0" w:tplc="91F6EFEE">
      <w:start w:val="1"/>
      <w:numFmt w:val="bullet"/>
      <w:lvlText w:val="­"/>
      <w:lvlJc w:val="left"/>
      <w:pPr>
        <w:ind w:left="644" w:hanging="360"/>
      </w:pPr>
      <w:rPr>
        <w:rFonts w:ascii="Arial" w:hAnsi="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9" w15:restartNumberingAfterBreak="0">
    <w:nsid w:val="63F85F5D"/>
    <w:multiLevelType w:val="hybridMultilevel"/>
    <w:tmpl w:val="AD008090"/>
    <w:lvl w:ilvl="0" w:tplc="A98CF55E">
      <w:start w:val="1"/>
      <w:numFmt w:val="lowerLetter"/>
      <w:lvlText w:val="%1)"/>
      <w:lvlJc w:val="left"/>
      <w:pPr>
        <w:ind w:left="1003" w:hanging="360"/>
      </w:pPr>
      <w:rPr>
        <w:rFonts w:ascii="Arial" w:hAnsi="Arial" w:cs="Arial" w:hint="default"/>
      </w:rPr>
    </w:lvl>
    <w:lvl w:ilvl="1" w:tplc="041A0019" w:tentative="1">
      <w:start w:val="1"/>
      <w:numFmt w:val="lowerLetter"/>
      <w:lvlText w:val="%2."/>
      <w:lvlJc w:val="left"/>
      <w:pPr>
        <w:ind w:left="1723" w:hanging="360"/>
      </w:pPr>
    </w:lvl>
    <w:lvl w:ilvl="2" w:tplc="041A001B" w:tentative="1">
      <w:start w:val="1"/>
      <w:numFmt w:val="lowerRoman"/>
      <w:lvlText w:val="%3."/>
      <w:lvlJc w:val="right"/>
      <w:pPr>
        <w:ind w:left="2443" w:hanging="180"/>
      </w:pPr>
    </w:lvl>
    <w:lvl w:ilvl="3" w:tplc="041A000F" w:tentative="1">
      <w:start w:val="1"/>
      <w:numFmt w:val="decimal"/>
      <w:lvlText w:val="%4."/>
      <w:lvlJc w:val="left"/>
      <w:pPr>
        <w:ind w:left="3163" w:hanging="360"/>
      </w:pPr>
    </w:lvl>
    <w:lvl w:ilvl="4" w:tplc="041A0019" w:tentative="1">
      <w:start w:val="1"/>
      <w:numFmt w:val="lowerLetter"/>
      <w:lvlText w:val="%5."/>
      <w:lvlJc w:val="left"/>
      <w:pPr>
        <w:ind w:left="3883" w:hanging="360"/>
      </w:pPr>
    </w:lvl>
    <w:lvl w:ilvl="5" w:tplc="041A001B" w:tentative="1">
      <w:start w:val="1"/>
      <w:numFmt w:val="lowerRoman"/>
      <w:lvlText w:val="%6."/>
      <w:lvlJc w:val="right"/>
      <w:pPr>
        <w:ind w:left="4603" w:hanging="180"/>
      </w:pPr>
    </w:lvl>
    <w:lvl w:ilvl="6" w:tplc="041A000F" w:tentative="1">
      <w:start w:val="1"/>
      <w:numFmt w:val="decimal"/>
      <w:lvlText w:val="%7."/>
      <w:lvlJc w:val="left"/>
      <w:pPr>
        <w:ind w:left="5323" w:hanging="360"/>
      </w:pPr>
    </w:lvl>
    <w:lvl w:ilvl="7" w:tplc="041A0019" w:tentative="1">
      <w:start w:val="1"/>
      <w:numFmt w:val="lowerLetter"/>
      <w:lvlText w:val="%8."/>
      <w:lvlJc w:val="left"/>
      <w:pPr>
        <w:ind w:left="6043" w:hanging="360"/>
      </w:pPr>
    </w:lvl>
    <w:lvl w:ilvl="8" w:tplc="041A001B" w:tentative="1">
      <w:start w:val="1"/>
      <w:numFmt w:val="lowerRoman"/>
      <w:lvlText w:val="%9."/>
      <w:lvlJc w:val="right"/>
      <w:pPr>
        <w:ind w:left="6763" w:hanging="180"/>
      </w:pPr>
    </w:lvl>
  </w:abstractNum>
  <w:abstractNum w:abstractNumId="30" w15:restartNumberingAfterBreak="0">
    <w:nsid w:val="660A59C1"/>
    <w:multiLevelType w:val="hybridMultilevel"/>
    <w:tmpl w:val="1A20AA2A"/>
    <w:lvl w:ilvl="0" w:tplc="91F6EFE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6AF10E9"/>
    <w:multiLevelType w:val="hybridMultilevel"/>
    <w:tmpl w:val="2B5A66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A8D7BC2"/>
    <w:multiLevelType w:val="hybridMultilevel"/>
    <w:tmpl w:val="99FCCD20"/>
    <w:lvl w:ilvl="0" w:tplc="3662CE6C">
      <w:start w:val="1"/>
      <w:numFmt w:val="lowerLetter"/>
      <w:lvlText w:val="%1)"/>
      <w:lvlJc w:val="left"/>
      <w:pPr>
        <w:ind w:left="36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C2F191A"/>
    <w:multiLevelType w:val="hybridMultilevel"/>
    <w:tmpl w:val="5B30AFBA"/>
    <w:lvl w:ilvl="0" w:tplc="041A0017">
      <w:start w:val="1"/>
      <w:numFmt w:val="lowerLetter"/>
      <w:lvlText w:val="%1)"/>
      <w:lvlJc w:val="left"/>
      <w:pPr>
        <w:ind w:left="578" w:hanging="360"/>
      </w:p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34" w15:restartNumberingAfterBreak="0">
    <w:nsid w:val="6F9027C3"/>
    <w:multiLevelType w:val="hybridMultilevel"/>
    <w:tmpl w:val="0CE8640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865DDC"/>
    <w:multiLevelType w:val="hybridMultilevel"/>
    <w:tmpl w:val="5E960866"/>
    <w:lvl w:ilvl="0" w:tplc="249E1A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D54606"/>
    <w:multiLevelType w:val="hybridMultilevel"/>
    <w:tmpl w:val="1E8A12EA"/>
    <w:lvl w:ilvl="0" w:tplc="91F6EFE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63A6A73"/>
    <w:multiLevelType w:val="hybridMultilevel"/>
    <w:tmpl w:val="91249E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6A14A82"/>
    <w:multiLevelType w:val="hybridMultilevel"/>
    <w:tmpl w:val="99FCCD20"/>
    <w:lvl w:ilvl="0" w:tplc="3662CE6C">
      <w:start w:val="1"/>
      <w:numFmt w:val="lowerLetter"/>
      <w:lvlText w:val="%1)"/>
      <w:lvlJc w:val="left"/>
      <w:pPr>
        <w:ind w:left="36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943481A"/>
    <w:multiLevelType w:val="hybridMultilevel"/>
    <w:tmpl w:val="DB109B9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42066397">
    <w:abstractNumId w:val="11"/>
  </w:num>
  <w:num w:numId="2" w16cid:durableId="811866008">
    <w:abstractNumId w:val="35"/>
  </w:num>
  <w:num w:numId="3" w16cid:durableId="1412237372">
    <w:abstractNumId w:val="19"/>
  </w:num>
  <w:num w:numId="4" w16cid:durableId="1468468676">
    <w:abstractNumId w:val="5"/>
  </w:num>
  <w:num w:numId="5" w16cid:durableId="1082681578">
    <w:abstractNumId w:val="6"/>
  </w:num>
  <w:num w:numId="6" w16cid:durableId="1372656576">
    <w:abstractNumId w:val="13"/>
  </w:num>
  <w:num w:numId="7" w16cid:durableId="1431661503">
    <w:abstractNumId w:val="14"/>
  </w:num>
  <w:num w:numId="8" w16cid:durableId="948899867">
    <w:abstractNumId w:val="28"/>
  </w:num>
  <w:num w:numId="9" w16cid:durableId="1456023317">
    <w:abstractNumId w:val="1"/>
  </w:num>
  <w:num w:numId="10" w16cid:durableId="1179275687">
    <w:abstractNumId w:val="26"/>
  </w:num>
  <w:num w:numId="11" w16cid:durableId="38014076">
    <w:abstractNumId w:val="30"/>
  </w:num>
  <w:num w:numId="12" w16cid:durableId="97719951">
    <w:abstractNumId w:val="36"/>
  </w:num>
  <w:num w:numId="13" w16cid:durableId="1545412411">
    <w:abstractNumId w:val="25"/>
  </w:num>
  <w:num w:numId="14" w16cid:durableId="1260722088">
    <w:abstractNumId w:val="15"/>
  </w:num>
  <w:num w:numId="15" w16cid:durableId="1687710781">
    <w:abstractNumId w:val="15"/>
    <w:lvlOverride w:ilvl="0">
      <w:startOverride w:val="5"/>
    </w:lvlOverride>
  </w:num>
  <w:num w:numId="16" w16cid:durableId="1781994523">
    <w:abstractNumId w:val="15"/>
    <w:lvlOverride w:ilvl="0">
      <w:startOverride w:val="1"/>
    </w:lvlOverride>
  </w:num>
  <w:num w:numId="17" w16cid:durableId="20186539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3433">
    <w:abstractNumId w:val="27"/>
  </w:num>
  <w:num w:numId="19" w16cid:durableId="1120611539">
    <w:abstractNumId w:val="38"/>
  </w:num>
  <w:num w:numId="20" w16cid:durableId="898981511">
    <w:abstractNumId w:val="32"/>
  </w:num>
  <w:num w:numId="21" w16cid:durableId="695347607">
    <w:abstractNumId w:val="33"/>
  </w:num>
  <w:num w:numId="22" w16cid:durableId="757562887">
    <w:abstractNumId w:val="18"/>
  </w:num>
  <w:num w:numId="23" w16cid:durableId="1404717375">
    <w:abstractNumId w:val="13"/>
  </w:num>
  <w:num w:numId="24" w16cid:durableId="601035988">
    <w:abstractNumId w:val="13"/>
  </w:num>
  <w:num w:numId="25" w16cid:durableId="509028105">
    <w:abstractNumId w:val="13"/>
  </w:num>
  <w:num w:numId="26" w16cid:durableId="3173961">
    <w:abstractNumId w:val="12"/>
  </w:num>
  <w:num w:numId="27" w16cid:durableId="1291133849">
    <w:abstractNumId w:val="3"/>
  </w:num>
  <w:num w:numId="28" w16cid:durableId="781195518">
    <w:abstractNumId w:val="23"/>
  </w:num>
  <w:num w:numId="29" w16cid:durableId="694774925">
    <w:abstractNumId w:val="7"/>
  </w:num>
  <w:num w:numId="30" w16cid:durableId="15709667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604170">
    <w:abstractNumId w:val="0"/>
  </w:num>
  <w:num w:numId="32" w16cid:durableId="740174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6347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3371804">
    <w:abstractNumId w:val="21"/>
  </w:num>
  <w:num w:numId="35" w16cid:durableId="855072865">
    <w:abstractNumId w:val="22"/>
  </w:num>
  <w:num w:numId="36" w16cid:durableId="85730387">
    <w:abstractNumId w:val="31"/>
  </w:num>
  <w:num w:numId="37" w16cid:durableId="1249075784">
    <w:abstractNumId w:val="2"/>
  </w:num>
  <w:num w:numId="38" w16cid:durableId="1746685147">
    <w:abstractNumId w:val="37"/>
  </w:num>
  <w:num w:numId="39" w16cid:durableId="689064080">
    <w:abstractNumId w:val="24"/>
  </w:num>
  <w:num w:numId="40" w16cid:durableId="1783568328">
    <w:abstractNumId w:val="29"/>
  </w:num>
  <w:num w:numId="41" w16cid:durableId="1751386881">
    <w:abstractNumId w:val="39"/>
  </w:num>
  <w:num w:numId="42" w16cid:durableId="2011787331">
    <w:abstractNumId w:val="8"/>
  </w:num>
  <w:num w:numId="43" w16cid:durableId="952245367">
    <w:abstractNumId w:val="34"/>
  </w:num>
  <w:num w:numId="44" w16cid:durableId="497769537">
    <w:abstractNumId w:val="20"/>
  </w:num>
  <w:num w:numId="45" w16cid:durableId="1951664304">
    <w:abstractNumId w:val="16"/>
  </w:num>
  <w:num w:numId="46" w16cid:durableId="1218400952">
    <w:abstractNumId w:val="10"/>
  </w:num>
  <w:num w:numId="47" w16cid:durableId="492766635">
    <w:abstractNumId w:val="9"/>
  </w:num>
  <w:num w:numId="48" w16cid:durableId="1657302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D48"/>
    <w:rsid w:val="00000300"/>
    <w:rsid w:val="00000631"/>
    <w:rsid w:val="000007FD"/>
    <w:rsid w:val="00000AFE"/>
    <w:rsid w:val="00000BC0"/>
    <w:rsid w:val="00000D41"/>
    <w:rsid w:val="000016A6"/>
    <w:rsid w:val="000016FC"/>
    <w:rsid w:val="00001861"/>
    <w:rsid w:val="00001BE6"/>
    <w:rsid w:val="00001FA9"/>
    <w:rsid w:val="00002032"/>
    <w:rsid w:val="0000215B"/>
    <w:rsid w:val="0000218F"/>
    <w:rsid w:val="00002457"/>
    <w:rsid w:val="00003538"/>
    <w:rsid w:val="0000513E"/>
    <w:rsid w:val="000057D7"/>
    <w:rsid w:val="00005913"/>
    <w:rsid w:val="00005CA9"/>
    <w:rsid w:val="00006039"/>
    <w:rsid w:val="00006049"/>
    <w:rsid w:val="000066B7"/>
    <w:rsid w:val="000069EB"/>
    <w:rsid w:val="000078CB"/>
    <w:rsid w:val="000103E5"/>
    <w:rsid w:val="000105C0"/>
    <w:rsid w:val="00010E28"/>
    <w:rsid w:val="000110AA"/>
    <w:rsid w:val="000126C2"/>
    <w:rsid w:val="00012A23"/>
    <w:rsid w:val="000132C7"/>
    <w:rsid w:val="00013630"/>
    <w:rsid w:val="000146C0"/>
    <w:rsid w:val="00014A36"/>
    <w:rsid w:val="00014E66"/>
    <w:rsid w:val="000150D5"/>
    <w:rsid w:val="00015BAB"/>
    <w:rsid w:val="00016950"/>
    <w:rsid w:val="000169EF"/>
    <w:rsid w:val="00016FF3"/>
    <w:rsid w:val="0001757D"/>
    <w:rsid w:val="00017793"/>
    <w:rsid w:val="00017CF2"/>
    <w:rsid w:val="000205C3"/>
    <w:rsid w:val="00021151"/>
    <w:rsid w:val="00021432"/>
    <w:rsid w:val="00021CEA"/>
    <w:rsid w:val="0002228E"/>
    <w:rsid w:val="00022C6D"/>
    <w:rsid w:val="00022EFB"/>
    <w:rsid w:val="0002334C"/>
    <w:rsid w:val="000239EB"/>
    <w:rsid w:val="00024096"/>
    <w:rsid w:val="000249B3"/>
    <w:rsid w:val="00024C8C"/>
    <w:rsid w:val="00024E6E"/>
    <w:rsid w:val="000254F9"/>
    <w:rsid w:val="00025805"/>
    <w:rsid w:val="000268FF"/>
    <w:rsid w:val="000308AC"/>
    <w:rsid w:val="0003111F"/>
    <w:rsid w:val="0003184C"/>
    <w:rsid w:val="00031BB4"/>
    <w:rsid w:val="00031F6C"/>
    <w:rsid w:val="00031FDC"/>
    <w:rsid w:val="00032358"/>
    <w:rsid w:val="00032367"/>
    <w:rsid w:val="00032849"/>
    <w:rsid w:val="00032C88"/>
    <w:rsid w:val="00032EA3"/>
    <w:rsid w:val="00033085"/>
    <w:rsid w:val="000339FD"/>
    <w:rsid w:val="00033DDA"/>
    <w:rsid w:val="000347BA"/>
    <w:rsid w:val="00034D93"/>
    <w:rsid w:val="00036144"/>
    <w:rsid w:val="000363FC"/>
    <w:rsid w:val="0003646C"/>
    <w:rsid w:val="000367FF"/>
    <w:rsid w:val="00036AD2"/>
    <w:rsid w:val="00037D77"/>
    <w:rsid w:val="00040087"/>
    <w:rsid w:val="000402E0"/>
    <w:rsid w:val="0004063B"/>
    <w:rsid w:val="00041408"/>
    <w:rsid w:val="00041C4B"/>
    <w:rsid w:val="00042524"/>
    <w:rsid w:val="0004297B"/>
    <w:rsid w:val="00042B73"/>
    <w:rsid w:val="0004346C"/>
    <w:rsid w:val="000435BA"/>
    <w:rsid w:val="00043701"/>
    <w:rsid w:val="00043AA9"/>
    <w:rsid w:val="00044B84"/>
    <w:rsid w:val="000457F3"/>
    <w:rsid w:val="00045C9C"/>
    <w:rsid w:val="00045CE3"/>
    <w:rsid w:val="00045DF7"/>
    <w:rsid w:val="000463AF"/>
    <w:rsid w:val="00046CE4"/>
    <w:rsid w:val="00046EFD"/>
    <w:rsid w:val="0005150A"/>
    <w:rsid w:val="00053DF4"/>
    <w:rsid w:val="000545C3"/>
    <w:rsid w:val="0005460E"/>
    <w:rsid w:val="00054A44"/>
    <w:rsid w:val="00055365"/>
    <w:rsid w:val="00055FBE"/>
    <w:rsid w:val="000567AB"/>
    <w:rsid w:val="00056912"/>
    <w:rsid w:val="00056EED"/>
    <w:rsid w:val="000573AC"/>
    <w:rsid w:val="00057B9D"/>
    <w:rsid w:val="000603B4"/>
    <w:rsid w:val="0006180D"/>
    <w:rsid w:val="00061DE9"/>
    <w:rsid w:val="00061FA4"/>
    <w:rsid w:val="00062C42"/>
    <w:rsid w:val="00062F32"/>
    <w:rsid w:val="000630C7"/>
    <w:rsid w:val="000630DB"/>
    <w:rsid w:val="00063177"/>
    <w:rsid w:val="0006322E"/>
    <w:rsid w:val="0006386D"/>
    <w:rsid w:val="00064445"/>
    <w:rsid w:val="00064774"/>
    <w:rsid w:val="00064893"/>
    <w:rsid w:val="000653C7"/>
    <w:rsid w:val="000656E7"/>
    <w:rsid w:val="00066408"/>
    <w:rsid w:val="000676E9"/>
    <w:rsid w:val="000679DC"/>
    <w:rsid w:val="00067D42"/>
    <w:rsid w:val="00070B93"/>
    <w:rsid w:val="00070DB4"/>
    <w:rsid w:val="000711B3"/>
    <w:rsid w:val="00071DBD"/>
    <w:rsid w:val="00071E09"/>
    <w:rsid w:val="000731FF"/>
    <w:rsid w:val="0007407C"/>
    <w:rsid w:val="000740F7"/>
    <w:rsid w:val="00074E38"/>
    <w:rsid w:val="000759FD"/>
    <w:rsid w:val="000764B3"/>
    <w:rsid w:val="0007660F"/>
    <w:rsid w:val="0007682F"/>
    <w:rsid w:val="00076841"/>
    <w:rsid w:val="00076F19"/>
    <w:rsid w:val="0007797A"/>
    <w:rsid w:val="00077F73"/>
    <w:rsid w:val="00083081"/>
    <w:rsid w:val="000835EC"/>
    <w:rsid w:val="000842EF"/>
    <w:rsid w:val="000847C6"/>
    <w:rsid w:val="00084D6E"/>
    <w:rsid w:val="000850B0"/>
    <w:rsid w:val="000857CC"/>
    <w:rsid w:val="00085C8D"/>
    <w:rsid w:val="00085DBA"/>
    <w:rsid w:val="00086764"/>
    <w:rsid w:val="0008716B"/>
    <w:rsid w:val="00087473"/>
    <w:rsid w:val="0009064B"/>
    <w:rsid w:val="0009209B"/>
    <w:rsid w:val="00092624"/>
    <w:rsid w:val="00092760"/>
    <w:rsid w:val="00092F4B"/>
    <w:rsid w:val="000930F3"/>
    <w:rsid w:val="00093B8D"/>
    <w:rsid w:val="000943FC"/>
    <w:rsid w:val="00095A8B"/>
    <w:rsid w:val="00095B1C"/>
    <w:rsid w:val="00095C40"/>
    <w:rsid w:val="00095F08"/>
    <w:rsid w:val="00096D5F"/>
    <w:rsid w:val="00096EE4"/>
    <w:rsid w:val="000976E6"/>
    <w:rsid w:val="000A0EF8"/>
    <w:rsid w:val="000A1A2D"/>
    <w:rsid w:val="000A2F2F"/>
    <w:rsid w:val="000A3306"/>
    <w:rsid w:val="000A3586"/>
    <w:rsid w:val="000A371C"/>
    <w:rsid w:val="000A39D8"/>
    <w:rsid w:val="000A3E84"/>
    <w:rsid w:val="000A3E96"/>
    <w:rsid w:val="000A4689"/>
    <w:rsid w:val="000A4FBF"/>
    <w:rsid w:val="000A59F6"/>
    <w:rsid w:val="000A65F3"/>
    <w:rsid w:val="000A6A80"/>
    <w:rsid w:val="000A7029"/>
    <w:rsid w:val="000A7498"/>
    <w:rsid w:val="000A7527"/>
    <w:rsid w:val="000A7BC7"/>
    <w:rsid w:val="000A7E13"/>
    <w:rsid w:val="000B0077"/>
    <w:rsid w:val="000B06F5"/>
    <w:rsid w:val="000B0DAE"/>
    <w:rsid w:val="000B110E"/>
    <w:rsid w:val="000B1F60"/>
    <w:rsid w:val="000B1F8E"/>
    <w:rsid w:val="000B2B9C"/>
    <w:rsid w:val="000B3191"/>
    <w:rsid w:val="000B31BC"/>
    <w:rsid w:val="000B3FFB"/>
    <w:rsid w:val="000B4227"/>
    <w:rsid w:val="000B426A"/>
    <w:rsid w:val="000B4593"/>
    <w:rsid w:val="000B45BD"/>
    <w:rsid w:val="000B5648"/>
    <w:rsid w:val="000B616D"/>
    <w:rsid w:val="000B6448"/>
    <w:rsid w:val="000B6E38"/>
    <w:rsid w:val="000B750F"/>
    <w:rsid w:val="000C00FF"/>
    <w:rsid w:val="000C0255"/>
    <w:rsid w:val="000C0D34"/>
    <w:rsid w:val="000C1B51"/>
    <w:rsid w:val="000C1EE2"/>
    <w:rsid w:val="000C229B"/>
    <w:rsid w:val="000C229C"/>
    <w:rsid w:val="000C24C2"/>
    <w:rsid w:val="000C2895"/>
    <w:rsid w:val="000C2C25"/>
    <w:rsid w:val="000C32AA"/>
    <w:rsid w:val="000C367B"/>
    <w:rsid w:val="000C383E"/>
    <w:rsid w:val="000C3B1A"/>
    <w:rsid w:val="000C3B1F"/>
    <w:rsid w:val="000C3DA1"/>
    <w:rsid w:val="000C43D0"/>
    <w:rsid w:val="000C44F2"/>
    <w:rsid w:val="000C4914"/>
    <w:rsid w:val="000C4BE3"/>
    <w:rsid w:val="000C4D45"/>
    <w:rsid w:val="000C4F0B"/>
    <w:rsid w:val="000C5911"/>
    <w:rsid w:val="000C5948"/>
    <w:rsid w:val="000C5CB6"/>
    <w:rsid w:val="000C5FC5"/>
    <w:rsid w:val="000C61F8"/>
    <w:rsid w:val="000C791E"/>
    <w:rsid w:val="000D0259"/>
    <w:rsid w:val="000D1125"/>
    <w:rsid w:val="000D1BA7"/>
    <w:rsid w:val="000D1CC6"/>
    <w:rsid w:val="000D2038"/>
    <w:rsid w:val="000D23DB"/>
    <w:rsid w:val="000D2407"/>
    <w:rsid w:val="000D2475"/>
    <w:rsid w:val="000D2DC0"/>
    <w:rsid w:val="000D3E8C"/>
    <w:rsid w:val="000D459C"/>
    <w:rsid w:val="000D45E5"/>
    <w:rsid w:val="000D4773"/>
    <w:rsid w:val="000D4841"/>
    <w:rsid w:val="000D50AA"/>
    <w:rsid w:val="000D5174"/>
    <w:rsid w:val="000D528D"/>
    <w:rsid w:val="000D5EDC"/>
    <w:rsid w:val="000D6205"/>
    <w:rsid w:val="000D6702"/>
    <w:rsid w:val="000D6E09"/>
    <w:rsid w:val="000D72CB"/>
    <w:rsid w:val="000D7F09"/>
    <w:rsid w:val="000E02A1"/>
    <w:rsid w:val="000E0AF2"/>
    <w:rsid w:val="000E20C5"/>
    <w:rsid w:val="000E22EC"/>
    <w:rsid w:val="000E27BB"/>
    <w:rsid w:val="000E2DE5"/>
    <w:rsid w:val="000E3E61"/>
    <w:rsid w:val="000E3FCF"/>
    <w:rsid w:val="000E4567"/>
    <w:rsid w:val="000E489F"/>
    <w:rsid w:val="000E511E"/>
    <w:rsid w:val="000E682B"/>
    <w:rsid w:val="000E6A78"/>
    <w:rsid w:val="000E6F6B"/>
    <w:rsid w:val="000E7314"/>
    <w:rsid w:val="000F00CE"/>
    <w:rsid w:val="000F070D"/>
    <w:rsid w:val="000F093C"/>
    <w:rsid w:val="000F1332"/>
    <w:rsid w:val="000F1CF4"/>
    <w:rsid w:val="000F252B"/>
    <w:rsid w:val="000F2CE2"/>
    <w:rsid w:val="000F2F8D"/>
    <w:rsid w:val="000F30AC"/>
    <w:rsid w:val="000F33F3"/>
    <w:rsid w:val="000F4310"/>
    <w:rsid w:val="000F55A4"/>
    <w:rsid w:val="000F5754"/>
    <w:rsid w:val="000F5846"/>
    <w:rsid w:val="000F588F"/>
    <w:rsid w:val="000F634C"/>
    <w:rsid w:val="000F67CB"/>
    <w:rsid w:val="000F68C6"/>
    <w:rsid w:val="000F694F"/>
    <w:rsid w:val="000F6968"/>
    <w:rsid w:val="000F73A9"/>
    <w:rsid w:val="000F7801"/>
    <w:rsid w:val="000F7E16"/>
    <w:rsid w:val="000F7F8C"/>
    <w:rsid w:val="00100365"/>
    <w:rsid w:val="0010046F"/>
    <w:rsid w:val="00100472"/>
    <w:rsid w:val="001004C1"/>
    <w:rsid w:val="0010053E"/>
    <w:rsid w:val="00100AB4"/>
    <w:rsid w:val="00102308"/>
    <w:rsid w:val="00102951"/>
    <w:rsid w:val="001031DB"/>
    <w:rsid w:val="00103553"/>
    <w:rsid w:val="0010371F"/>
    <w:rsid w:val="00103987"/>
    <w:rsid w:val="00104652"/>
    <w:rsid w:val="001047B1"/>
    <w:rsid w:val="00104F10"/>
    <w:rsid w:val="00105040"/>
    <w:rsid w:val="00105573"/>
    <w:rsid w:val="001062B6"/>
    <w:rsid w:val="00106FB8"/>
    <w:rsid w:val="0010745A"/>
    <w:rsid w:val="0010750F"/>
    <w:rsid w:val="00107E67"/>
    <w:rsid w:val="00110019"/>
    <w:rsid w:val="00110CF9"/>
    <w:rsid w:val="00110DFC"/>
    <w:rsid w:val="00111C17"/>
    <w:rsid w:val="001125B6"/>
    <w:rsid w:val="0011352D"/>
    <w:rsid w:val="001135EC"/>
    <w:rsid w:val="00114C08"/>
    <w:rsid w:val="00116D8C"/>
    <w:rsid w:val="00117458"/>
    <w:rsid w:val="001206B2"/>
    <w:rsid w:val="001206D8"/>
    <w:rsid w:val="0012135C"/>
    <w:rsid w:val="00121826"/>
    <w:rsid w:val="0012223E"/>
    <w:rsid w:val="00122F39"/>
    <w:rsid w:val="0012349E"/>
    <w:rsid w:val="00123571"/>
    <w:rsid w:val="00123AE0"/>
    <w:rsid w:val="00123D89"/>
    <w:rsid w:val="0012433A"/>
    <w:rsid w:val="001246C0"/>
    <w:rsid w:val="0012493B"/>
    <w:rsid w:val="001254A1"/>
    <w:rsid w:val="0012562E"/>
    <w:rsid w:val="00126274"/>
    <w:rsid w:val="0012703C"/>
    <w:rsid w:val="00127DB4"/>
    <w:rsid w:val="00127F10"/>
    <w:rsid w:val="00130281"/>
    <w:rsid w:val="00130417"/>
    <w:rsid w:val="001306E2"/>
    <w:rsid w:val="001306F9"/>
    <w:rsid w:val="00130CC3"/>
    <w:rsid w:val="001313C9"/>
    <w:rsid w:val="0013226A"/>
    <w:rsid w:val="001333BE"/>
    <w:rsid w:val="00133777"/>
    <w:rsid w:val="001346C4"/>
    <w:rsid w:val="001354D4"/>
    <w:rsid w:val="001356F1"/>
    <w:rsid w:val="00136416"/>
    <w:rsid w:val="001367C3"/>
    <w:rsid w:val="00136B18"/>
    <w:rsid w:val="001371AE"/>
    <w:rsid w:val="00137F20"/>
    <w:rsid w:val="001404E3"/>
    <w:rsid w:val="00140990"/>
    <w:rsid w:val="00140BD1"/>
    <w:rsid w:val="001414F4"/>
    <w:rsid w:val="0014177E"/>
    <w:rsid w:val="0014194F"/>
    <w:rsid w:val="0014247A"/>
    <w:rsid w:val="001438D4"/>
    <w:rsid w:val="001445BD"/>
    <w:rsid w:val="0014475A"/>
    <w:rsid w:val="001451F1"/>
    <w:rsid w:val="0014625A"/>
    <w:rsid w:val="00146982"/>
    <w:rsid w:val="00146A1F"/>
    <w:rsid w:val="00146F2F"/>
    <w:rsid w:val="001471C9"/>
    <w:rsid w:val="001479E8"/>
    <w:rsid w:val="0015021C"/>
    <w:rsid w:val="00150A4A"/>
    <w:rsid w:val="00150EBC"/>
    <w:rsid w:val="00150F25"/>
    <w:rsid w:val="00151399"/>
    <w:rsid w:val="00151CDD"/>
    <w:rsid w:val="00151FA8"/>
    <w:rsid w:val="001524D4"/>
    <w:rsid w:val="00153897"/>
    <w:rsid w:val="00154294"/>
    <w:rsid w:val="00154805"/>
    <w:rsid w:val="00154EBA"/>
    <w:rsid w:val="0015546B"/>
    <w:rsid w:val="00155623"/>
    <w:rsid w:val="001565C9"/>
    <w:rsid w:val="00156646"/>
    <w:rsid w:val="0015692D"/>
    <w:rsid w:val="00156A01"/>
    <w:rsid w:val="001572C4"/>
    <w:rsid w:val="0016032D"/>
    <w:rsid w:val="001603DE"/>
    <w:rsid w:val="0016047E"/>
    <w:rsid w:val="0016095C"/>
    <w:rsid w:val="0016171F"/>
    <w:rsid w:val="00161E5E"/>
    <w:rsid w:val="00162F8B"/>
    <w:rsid w:val="00163AEC"/>
    <w:rsid w:val="001640D5"/>
    <w:rsid w:val="00164A70"/>
    <w:rsid w:val="0016516C"/>
    <w:rsid w:val="00165744"/>
    <w:rsid w:val="00165795"/>
    <w:rsid w:val="001662E9"/>
    <w:rsid w:val="00166CCE"/>
    <w:rsid w:val="00166EBC"/>
    <w:rsid w:val="001675F5"/>
    <w:rsid w:val="00170147"/>
    <w:rsid w:val="00170819"/>
    <w:rsid w:val="00170B25"/>
    <w:rsid w:val="00171B8B"/>
    <w:rsid w:val="00171E38"/>
    <w:rsid w:val="001721E3"/>
    <w:rsid w:val="0017233C"/>
    <w:rsid w:val="001726F9"/>
    <w:rsid w:val="0017377A"/>
    <w:rsid w:val="001744D3"/>
    <w:rsid w:val="00174627"/>
    <w:rsid w:val="00174E62"/>
    <w:rsid w:val="00175120"/>
    <w:rsid w:val="0017540A"/>
    <w:rsid w:val="00175A04"/>
    <w:rsid w:val="001764A2"/>
    <w:rsid w:val="00176E07"/>
    <w:rsid w:val="001773CB"/>
    <w:rsid w:val="00177789"/>
    <w:rsid w:val="00177FC6"/>
    <w:rsid w:val="00180636"/>
    <w:rsid w:val="001826E8"/>
    <w:rsid w:val="00182882"/>
    <w:rsid w:val="00183627"/>
    <w:rsid w:val="00183E45"/>
    <w:rsid w:val="00184760"/>
    <w:rsid w:val="00184BD1"/>
    <w:rsid w:val="00184CB6"/>
    <w:rsid w:val="00184D3B"/>
    <w:rsid w:val="00184F15"/>
    <w:rsid w:val="00184FC6"/>
    <w:rsid w:val="00185891"/>
    <w:rsid w:val="001858B2"/>
    <w:rsid w:val="00185F83"/>
    <w:rsid w:val="00186E00"/>
    <w:rsid w:val="00186F1E"/>
    <w:rsid w:val="00187634"/>
    <w:rsid w:val="00187715"/>
    <w:rsid w:val="00187C0C"/>
    <w:rsid w:val="00187EBE"/>
    <w:rsid w:val="00187F80"/>
    <w:rsid w:val="00191C36"/>
    <w:rsid w:val="00191DD5"/>
    <w:rsid w:val="00192EF7"/>
    <w:rsid w:val="001941F8"/>
    <w:rsid w:val="00194B77"/>
    <w:rsid w:val="00195292"/>
    <w:rsid w:val="00195343"/>
    <w:rsid w:val="0019574F"/>
    <w:rsid w:val="0019698B"/>
    <w:rsid w:val="001970F2"/>
    <w:rsid w:val="00197521"/>
    <w:rsid w:val="001975FC"/>
    <w:rsid w:val="001978B2"/>
    <w:rsid w:val="00197AE0"/>
    <w:rsid w:val="001A0183"/>
    <w:rsid w:val="001A0304"/>
    <w:rsid w:val="001A49CB"/>
    <w:rsid w:val="001A51AE"/>
    <w:rsid w:val="001A5273"/>
    <w:rsid w:val="001A5793"/>
    <w:rsid w:val="001A5DAD"/>
    <w:rsid w:val="001A5DC5"/>
    <w:rsid w:val="001A7478"/>
    <w:rsid w:val="001B0265"/>
    <w:rsid w:val="001B05CD"/>
    <w:rsid w:val="001B0946"/>
    <w:rsid w:val="001B09DC"/>
    <w:rsid w:val="001B0FB3"/>
    <w:rsid w:val="001B2668"/>
    <w:rsid w:val="001B27E1"/>
    <w:rsid w:val="001B29A5"/>
    <w:rsid w:val="001B32DE"/>
    <w:rsid w:val="001B40CE"/>
    <w:rsid w:val="001B46DB"/>
    <w:rsid w:val="001B470E"/>
    <w:rsid w:val="001B4CA2"/>
    <w:rsid w:val="001B5A79"/>
    <w:rsid w:val="001B5DA3"/>
    <w:rsid w:val="001B6441"/>
    <w:rsid w:val="001B6804"/>
    <w:rsid w:val="001B75D2"/>
    <w:rsid w:val="001B7A40"/>
    <w:rsid w:val="001C048E"/>
    <w:rsid w:val="001C049D"/>
    <w:rsid w:val="001C08B8"/>
    <w:rsid w:val="001C1325"/>
    <w:rsid w:val="001C1468"/>
    <w:rsid w:val="001C154D"/>
    <w:rsid w:val="001C1698"/>
    <w:rsid w:val="001C1971"/>
    <w:rsid w:val="001C1F69"/>
    <w:rsid w:val="001C2607"/>
    <w:rsid w:val="001C2851"/>
    <w:rsid w:val="001C297A"/>
    <w:rsid w:val="001C38B9"/>
    <w:rsid w:val="001C39B5"/>
    <w:rsid w:val="001C413F"/>
    <w:rsid w:val="001C45AA"/>
    <w:rsid w:val="001C471B"/>
    <w:rsid w:val="001C495C"/>
    <w:rsid w:val="001C4EAE"/>
    <w:rsid w:val="001C4FDC"/>
    <w:rsid w:val="001C54E3"/>
    <w:rsid w:val="001C6124"/>
    <w:rsid w:val="001C64D3"/>
    <w:rsid w:val="001C6810"/>
    <w:rsid w:val="001C6B50"/>
    <w:rsid w:val="001C723F"/>
    <w:rsid w:val="001C7B16"/>
    <w:rsid w:val="001C7C00"/>
    <w:rsid w:val="001C7DE5"/>
    <w:rsid w:val="001D066E"/>
    <w:rsid w:val="001D1584"/>
    <w:rsid w:val="001D17E7"/>
    <w:rsid w:val="001D2396"/>
    <w:rsid w:val="001D2F6D"/>
    <w:rsid w:val="001D2FE1"/>
    <w:rsid w:val="001D3434"/>
    <w:rsid w:val="001D3643"/>
    <w:rsid w:val="001D3810"/>
    <w:rsid w:val="001D3B23"/>
    <w:rsid w:val="001D3D90"/>
    <w:rsid w:val="001D3E73"/>
    <w:rsid w:val="001D4F0F"/>
    <w:rsid w:val="001D5970"/>
    <w:rsid w:val="001D5D86"/>
    <w:rsid w:val="001D5EAA"/>
    <w:rsid w:val="001D6C60"/>
    <w:rsid w:val="001D6DE1"/>
    <w:rsid w:val="001D72A1"/>
    <w:rsid w:val="001D7564"/>
    <w:rsid w:val="001E03AD"/>
    <w:rsid w:val="001E1B4E"/>
    <w:rsid w:val="001E2D78"/>
    <w:rsid w:val="001E3ECA"/>
    <w:rsid w:val="001E4200"/>
    <w:rsid w:val="001E4CFF"/>
    <w:rsid w:val="001E55D4"/>
    <w:rsid w:val="001E5A13"/>
    <w:rsid w:val="001E691F"/>
    <w:rsid w:val="001E6C1A"/>
    <w:rsid w:val="001E6E00"/>
    <w:rsid w:val="001E7795"/>
    <w:rsid w:val="001E7E8D"/>
    <w:rsid w:val="001F0211"/>
    <w:rsid w:val="001F0897"/>
    <w:rsid w:val="001F0BC1"/>
    <w:rsid w:val="001F1A57"/>
    <w:rsid w:val="001F1A8C"/>
    <w:rsid w:val="001F2127"/>
    <w:rsid w:val="001F2467"/>
    <w:rsid w:val="001F253F"/>
    <w:rsid w:val="001F2B39"/>
    <w:rsid w:val="001F303E"/>
    <w:rsid w:val="001F3173"/>
    <w:rsid w:val="001F355D"/>
    <w:rsid w:val="001F4309"/>
    <w:rsid w:val="001F4AE9"/>
    <w:rsid w:val="001F4BFF"/>
    <w:rsid w:val="001F518D"/>
    <w:rsid w:val="001F53E7"/>
    <w:rsid w:val="001F53EB"/>
    <w:rsid w:val="001F56B2"/>
    <w:rsid w:val="001F6510"/>
    <w:rsid w:val="001F68D4"/>
    <w:rsid w:val="001F6A7C"/>
    <w:rsid w:val="001F6D22"/>
    <w:rsid w:val="001F72B1"/>
    <w:rsid w:val="001F72F0"/>
    <w:rsid w:val="001F7854"/>
    <w:rsid w:val="001F7909"/>
    <w:rsid w:val="001F7D80"/>
    <w:rsid w:val="00200A1C"/>
    <w:rsid w:val="002015BC"/>
    <w:rsid w:val="0020162B"/>
    <w:rsid w:val="00202713"/>
    <w:rsid w:val="002028CB"/>
    <w:rsid w:val="00203A15"/>
    <w:rsid w:val="00204175"/>
    <w:rsid w:val="00204F0C"/>
    <w:rsid w:val="00205030"/>
    <w:rsid w:val="00205391"/>
    <w:rsid w:val="00205464"/>
    <w:rsid w:val="0020571E"/>
    <w:rsid w:val="00206547"/>
    <w:rsid w:val="002069E9"/>
    <w:rsid w:val="00206E4E"/>
    <w:rsid w:val="00207498"/>
    <w:rsid w:val="00210A67"/>
    <w:rsid w:val="00210AD0"/>
    <w:rsid w:val="00210D8A"/>
    <w:rsid w:val="00211055"/>
    <w:rsid w:val="0021263E"/>
    <w:rsid w:val="00212996"/>
    <w:rsid w:val="00212C14"/>
    <w:rsid w:val="0021368E"/>
    <w:rsid w:val="00213EE7"/>
    <w:rsid w:val="002154A7"/>
    <w:rsid w:val="00216814"/>
    <w:rsid w:val="00216DDE"/>
    <w:rsid w:val="00216DE2"/>
    <w:rsid w:val="0021749D"/>
    <w:rsid w:val="0022058B"/>
    <w:rsid w:val="002206F3"/>
    <w:rsid w:val="00220A50"/>
    <w:rsid w:val="0022147C"/>
    <w:rsid w:val="00221B1C"/>
    <w:rsid w:val="00221BE4"/>
    <w:rsid w:val="0022258F"/>
    <w:rsid w:val="00222A44"/>
    <w:rsid w:val="00222C2E"/>
    <w:rsid w:val="002237CB"/>
    <w:rsid w:val="00223ABD"/>
    <w:rsid w:val="002248E2"/>
    <w:rsid w:val="00224A83"/>
    <w:rsid w:val="00225477"/>
    <w:rsid w:val="00225636"/>
    <w:rsid w:val="002260F2"/>
    <w:rsid w:val="002266CF"/>
    <w:rsid w:val="002271CC"/>
    <w:rsid w:val="0022751C"/>
    <w:rsid w:val="00227EBC"/>
    <w:rsid w:val="00230912"/>
    <w:rsid w:val="002309FD"/>
    <w:rsid w:val="00230D30"/>
    <w:rsid w:val="00231700"/>
    <w:rsid w:val="00231C88"/>
    <w:rsid w:val="00231D08"/>
    <w:rsid w:val="00231D6F"/>
    <w:rsid w:val="00232875"/>
    <w:rsid w:val="002336D8"/>
    <w:rsid w:val="00233CB2"/>
    <w:rsid w:val="00234520"/>
    <w:rsid w:val="00234C0E"/>
    <w:rsid w:val="0023510F"/>
    <w:rsid w:val="0023557B"/>
    <w:rsid w:val="00235BEB"/>
    <w:rsid w:val="00236C74"/>
    <w:rsid w:val="00237414"/>
    <w:rsid w:val="00240F9B"/>
    <w:rsid w:val="00241F09"/>
    <w:rsid w:val="0024287A"/>
    <w:rsid w:val="00242AA5"/>
    <w:rsid w:val="002430A4"/>
    <w:rsid w:val="00243783"/>
    <w:rsid w:val="00243E85"/>
    <w:rsid w:val="002443B2"/>
    <w:rsid w:val="00244691"/>
    <w:rsid w:val="002451C5"/>
    <w:rsid w:val="0024568B"/>
    <w:rsid w:val="00245B44"/>
    <w:rsid w:val="00246183"/>
    <w:rsid w:val="00246187"/>
    <w:rsid w:val="00246352"/>
    <w:rsid w:val="0024689D"/>
    <w:rsid w:val="00247DB5"/>
    <w:rsid w:val="00250093"/>
    <w:rsid w:val="0025078C"/>
    <w:rsid w:val="00250B92"/>
    <w:rsid w:val="00251BDA"/>
    <w:rsid w:val="00252D3B"/>
    <w:rsid w:val="00253082"/>
    <w:rsid w:val="00253293"/>
    <w:rsid w:val="00253654"/>
    <w:rsid w:val="00253EF3"/>
    <w:rsid w:val="00254404"/>
    <w:rsid w:val="00254989"/>
    <w:rsid w:val="00255664"/>
    <w:rsid w:val="00255799"/>
    <w:rsid w:val="00255825"/>
    <w:rsid w:val="00255C3F"/>
    <w:rsid w:val="0025630E"/>
    <w:rsid w:val="00256738"/>
    <w:rsid w:val="00257791"/>
    <w:rsid w:val="00257844"/>
    <w:rsid w:val="0025789A"/>
    <w:rsid w:val="00257B3A"/>
    <w:rsid w:val="00257FA8"/>
    <w:rsid w:val="002607C7"/>
    <w:rsid w:val="00260E5C"/>
    <w:rsid w:val="00260EC9"/>
    <w:rsid w:val="0026157A"/>
    <w:rsid w:val="0026165C"/>
    <w:rsid w:val="002616E9"/>
    <w:rsid w:val="00261720"/>
    <w:rsid w:val="00261C52"/>
    <w:rsid w:val="00261FE8"/>
    <w:rsid w:val="00262A63"/>
    <w:rsid w:val="00264AA0"/>
    <w:rsid w:val="00265301"/>
    <w:rsid w:val="0026573D"/>
    <w:rsid w:val="0026654F"/>
    <w:rsid w:val="0026693C"/>
    <w:rsid w:val="00267070"/>
    <w:rsid w:val="00267182"/>
    <w:rsid w:val="0026728E"/>
    <w:rsid w:val="002677FD"/>
    <w:rsid w:val="002702B6"/>
    <w:rsid w:val="00270815"/>
    <w:rsid w:val="0027096C"/>
    <w:rsid w:val="00270ABC"/>
    <w:rsid w:val="00270D45"/>
    <w:rsid w:val="0027163F"/>
    <w:rsid w:val="002718E5"/>
    <w:rsid w:val="002718EF"/>
    <w:rsid w:val="00271C0C"/>
    <w:rsid w:val="00272A1C"/>
    <w:rsid w:val="00273356"/>
    <w:rsid w:val="00273BD9"/>
    <w:rsid w:val="00273EEF"/>
    <w:rsid w:val="00274092"/>
    <w:rsid w:val="00274453"/>
    <w:rsid w:val="002745D3"/>
    <w:rsid w:val="0027495C"/>
    <w:rsid w:val="002762F8"/>
    <w:rsid w:val="00276E9F"/>
    <w:rsid w:val="00276F7E"/>
    <w:rsid w:val="002807CB"/>
    <w:rsid w:val="00280ADB"/>
    <w:rsid w:val="00281145"/>
    <w:rsid w:val="00281368"/>
    <w:rsid w:val="00281410"/>
    <w:rsid w:val="00281846"/>
    <w:rsid w:val="00282F36"/>
    <w:rsid w:val="0028357E"/>
    <w:rsid w:val="00283A8D"/>
    <w:rsid w:val="002840F8"/>
    <w:rsid w:val="00284CA8"/>
    <w:rsid w:val="00284D54"/>
    <w:rsid w:val="00284FF1"/>
    <w:rsid w:val="002860EF"/>
    <w:rsid w:val="0028615B"/>
    <w:rsid w:val="002861F2"/>
    <w:rsid w:val="00286D07"/>
    <w:rsid w:val="00286EFD"/>
    <w:rsid w:val="00286F24"/>
    <w:rsid w:val="002873B8"/>
    <w:rsid w:val="00287632"/>
    <w:rsid w:val="00287BB7"/>
    <w:rsid w:val="00287E60"/>
    <w:rsid w:val="00290E50"/>
    <w:rsid w:val="002914DF"/>
    <w:rsid w:val="00292D91"/>
    <w:rsid w:val="00292E2E"/>
    <w:rsid w:val="002935EB"/>
    <w:rsid w:val="00293BF4"/>
    <w:rsid w:val="00294264"/>
    <w:rsid w:val="0029488A"/>
    <w:rsid w:val="002954D6"/>
    <w:rsid w:val="00295A5E"/>
    <w:rsid w:val="00295BE8"/>
    <w:rsid w:val="00296580"/>
    <w:rsid w:val="00297354"/>
    <w:rsid w:val="0029740D"/>
    <w:rsid w:val="0029779E"/>
    <w:rsid w:val="0029786C"/>
    <w:rsid w:val="00297BA2"/>
    <w:rsid w:val="002A0197"/>
    <w:rsid w:val="002A032E"/>
    <w:rsid w:val="002A03BB"/>
    <w:rsid w:val="002A136D"/>
    <w:rsid w:val="002A17F5"/>
    <w:rsid w:val="002A196E"/>
    <w:rsid w:val="002A1B03"/>
    <w:rsid w:val="002A21EA"/>
    <w:rsid w:val="002A30A5"/>
    <w:rsid w:val="002A30BE"/>
    <w:rsid w:val="002A313C"/>
    <w:rsid w:val="002A3184"/>
    <w:rsid w:val="002A32E3"/>
    <w:rsid w:val="002A4083"/>
    <w:rsid w:val="002A47B2"/>
    <w:rsid w:val="002A505D"/>
    <w:rsid w:val="002A5118"/>
    <w:rsid w:val="002A543B"/>
    <w:rsid w:val="002A5F81"/>
    <w:rsid w:val="002A6879"/>
    <w:rsid w:val="002A68B4"/>
    <w:rsid w:val="002A752D"/>
    <w:rsid w:val="002B1DAF"/>
    <w:rsid w:val="002B20FA"/>
    <w:rsid w:val="002B237B"/>
    <w:rsid w:val="002B25EC"/>
    <w:rsid w:val="002B29D2"/>
    <w:rsid w:val="002B2A50"/>
    <w:rsid w:val="002B2A8C"/>
    <w:rsid w:val="002B2C9F"/>
    <w:rsid w:val="002B32E7"/>
    <w:rsid w:val="002B34B2"/>
    <w:rsid w:val="002B34F2"/>
    <w:rsid w:val="002B3547"/>
    <w:rsid w:val="002B41C2"/>
    <w:rsid w:val="002B44B9"/>
    <w:rsid w:val="002B64CE"/>
    <w:rsid w:val="002B69DB"/>
    <w:rsid w:val="002B7854"/>
    <w:rsid w:val="002C148A"/>
    <w:rsid w:val="002C1B34"/>
    <w:rsid w:val="002C1C3D"/>
    <w:rsid w:val="002C40F6"/>
    <w:rsid w:val="002C4C6F"/>
    <w:rsid w:val="002C4E0A"/>
    <w:rsid w:val="002C4F94"/>
    <w:rsid w:val="002C543E"/>
    <w:rsid w:val="002C5D43"/>
    <w:rsid w:val="002C635A"/>
    <w:rsid w:val="002C73FD"/>
    <w:rsid w:val="002C7592"/>
    <w:rsid w:val="002C7819"/>
    <w:rsid w:val="002C7C86"/>
    <w:rsid w:val="002D03D0"/>
    <w:rsid w:val="002D0E77"/>
    <w:rsid w:val="002D0F20"/>
    <w:rsid w:val="002D35A2"/>
    <w:rsid w:val="002D4597"/>
    <w:rsid w:val="002D5607"/>
    <w:rsid w:val="002D59D6"/>
    <w:rsid w:val="002D5D43"/>
    <w:rsid w:val="002D6310"/>
    <w:rsid w:val="002D65C1"/>
    <w:rsid w:val="002D66E3"/>
    <w:rsid w:val="002D6E0F"/>
    <w:rsid w:val="002D6EFB"/>
    <w:rsid w:val="002D71D6"/>
    <w:rsid w:val="002D76C2"/>
    <w:rsid w:val="002D7F32"/>
    <w:rsid w:val="002E0993"/>
    <w:rsid w:val="002E0A97"/>
    <w:rsid w:val="002E181C"/>
    <w:rsid w:val="002E1AC2"/>
    <w:rsid w:val="002E1B98"/>
    <w:rsid w:val="002E2215"/>
    <w:rsid w:val="002E27A3"/>
    <w:rsid w:val="002E3066"/>
    <w:rsid w:val="002E317B"/>
    <w:rsid w:val="002E3305"/>
    <w:rsid w:val="002E3BAC"/>
    <w:rsid w:val="002E4DF5"/>
    <w:rsid w:val="002E5291"/>
    <w:rsid w:val="002E5674"/>
    <w:rsid w:val="002E6881"/>
    <w:rsid w:val="002E757C"/>
    <w:rsid w:val="002E76DA"/>
    <w:rsid w:val="002E7BEA"/>
    <w:rsid w:val="002E7E3F"/>
    <w:rsid w:val="002F1298"/>
    <w:rsid w:val="002F1BBE"/>
    <w:rsid w:val="002F1C51"/>
    <w:rsid w:val="002F201B"/>
    <w:rsid w:val="002F202B"/>
    <w:rsid w:val="002F217D"/>
    <w:rsid w:val="002F2566"/>
    <w:rsid w:val="002F292E"/>
    <w:rsid w:val="002F2E8D"/>
    <w:rsid w:val="002F319B"/>
    <w:rsid w:val="002F32EC"/>
    <w:rsid w:val="002F3AB0"/>
    <w:rsid w:val="002F4CFF"/>
    <w:rsid w:val="002F4EE2"/>
    <w:rsid w:val="002F65F0"/>
    <w:rsid w:val="002F78C0"/>
    <w:rsid w:val="0030040D"/>
    <w:rsid w:val="00300B8C"/>
    <w:rsid w:val="003013DF"/>
    <w:rsid w:val="00301CF9"/>
    <w:rsid w:val="0030205D"/>
    <w:rsid w:val="00302E6B"/>
    <w:rsid w:val="00303534"/>
    <w:rsid w:val="00303F97"/>
    <w:rsid w:val="0030400F"/>
    <w:rsid w:val="0030462A"/>
    <w:rsid w:val="003048C7"/>
    <w:rsid w:val="00304E6A"/>
    <w:rsid w:val="0030670B"/>
    <w:rsid w:val="0030713B"/>
    <w:rsid w:val="0030714F"/>
    <w:rsid w:val="003074AD"/>
    <w:rsid w:val="00307E5D"/>
    <w:rsid w:val="00310130"/>
    <w:rsid w:val="00310778"/>
    <w:rsid w:val="00310FD7"/>
    <w:rsid w:val="003118A9"/>
    <w:rsid w:val="00312026"/>
    <w:rsid w:val="00313B5F"/>
    <w:rsid w:val="00313CFA"/>
    <w:rsid w:val="00313EE5"/>
    <w:rsid w:val="00314102"/>
    <w:rsid w:val="003150B2"/>
    <w:rsid w:val="0031528E"/>
    <w:rsid w:val="003157E4"/>
    <w:rsid w:val="00315C04"/>
    <w:rsid w:val="00315FEE"/>
    <w:rsid w:val="00316072"/>
    <w:rsid w:val="003165EE"/>
    <w:rsid w:val="003169E3"/>
    <w:rsid w:val="00316CDF"/>
    <w:rsid w:val="00317040"/>
    <w:rsid w:val="00317073"/>
    <w:rsid w:val="0031775F"/>
    <w:rsid w:val="00317764"/>
    <w:rsid w:val="0032053C"/>
    <w:rsid w:val="003211B5"/>
    <w:rsid w:val="00321583"/>
    <w:rsid w:val="0032162C"/>
    <w:rsid w:val="0032236C"/>
    <w:rsid w:val="003225FD"/>
    <w:rsid w:val="003235FB"/>
    <w:rsid w:val="00323BC6"/>
    <w:rsid w:val="0032461B"/>
    <w:rsid w:val="00324BE6"/>
    <w:rsid w:val="00325A65"/>
    <w:rsid w:val="00325CF2"/>
    <w:rsid w:val="003261EF"/>
    <w:rsid w:val="003265D8"/>
    <w:rsid w:val="003266DA"/>
    <w:rsid w:val="00326934"/>
    <w:rsid w:val="00326D0A"/>
    <w:rsid w:val="0032762A"/>
    <w:rsid w:val="00327A30"/>
    <w:rsid w:val="00327A34"/>
    <w:rsid w:val="00327BE5"/>
    <w:rsid w:val="00330926"/>
    <w:rsid w:val="00330B81"/>
    <w:rsid w:val="00330D2D"/>
    <w:rsid w:val="00330D8A"/>
    <w:rsid w:val="00330F0A"/>
    <w:rsid w:val="00331D70"/>
    <w:rsid w:val="00331E4F"/>
    <w:rsid w:val="00331E69"/>
    <w:rsid w:val="0033258B"/>
    <w:rsid w:val="003328C5"/>
    <w:rsid w:val="00333D84"/>
    <w:rsid w:val="00333F08"/>
    <w:rsid w:val="003346A7"/>
    <w:rsid w:val="00334B4D"/>
    <w:rsid w:val="00334CA9"/>
    <w:rsid w:val="0033501D"/>
    <w:rsid w:val="003358F4"/>
    <w:rsid w:val="00336E7C"/>
    <w:rsid w:val="0034043C"/>
    <w:rsid w:val="00340666"/>
    <w:rsid w:val="003407CD"/>
    <w:rsid w:val="00340E27"/>
    <w:rsid w:val="003421F1"/>
    <w:rsid w:val="0034270C"/>
    <w:rsid w:val="003427AC"/>
    <w:rsid w:val="00342D05"/>
    <w:rsid w:val="00342F01"/>
    <w:rsid w:val="00343018"/>
    <w:rsid w:val="00343DB1"/>
    <w:rsid w:val="00343FE3"/>
    <w:rsid w:val="00344453"/>
    <w:rsid w:val="00344C18"/>
    <w:rsid w:val="003459F6"/>
    <w:rsid w:val="003478A5"/>
    <w:rsid w:val="00347FBD"/>
    <w:rsid w:val="003500BB"/>
    <w:rsid w:val="003508DA"/>
    <w:rsid w:val="003514C8"/>
    <w:rsid w:val="00351C27"/>
    <w:rsid w:val="00351C7A"/>
    <w:rsid w:val="00352568"/>
    <w:rsid w:val="00352E9A"/>
    <w:rsid w:val="0035329A"/>
    <w:rsid w:val="00353D9E"/>
    <w:rsid w:val="003540DE"/>
    <w:rsid w:val="00354172"/>
    <w:rsid w:val="00354BAE"/>
    <w:rsid w:val="0035536C"/>
    <w:rsid w:val="003555B6"/>
    <w:rsid w:val="003556FC"/>
    <w:rsid w:val="00355744"/>
    <w:rsid w:val="00356404"/>
    <w:rsid w:val="003568A1"/>
    <w:rsid w:val="0035718E"/>
    <w:rsid w:val="0035720A"/>
    <w:rsid w:val="00357C81"/>
    <w:rsid w:val="00357F8B"/>
    <w:rsid w:val="00360024"/>
    <w:rsid w:val="003609DC"/>
    <w:rsid w:val="00360D60"/>
    <w:rsid w:val="0036100E"/>
    <w:rsid w:val="0036110E"/>
    <w:rsid w:val="0036183C"/>
    <w:rsid w:val="00361E72"/>
    <w:rsid w:val="00362B20"/>
    <w:rsid w:val="00362C69"/>
    <w:rsid w:val="003630A8"/>
    <w:rsid w:val="003630DC"/>
    <w:rsid w:val="003643E9"/>
    <w:rsid w:val="00364DDC"/>
    <w:rsid w:val="00365407"/>
    <w:rsid w:val="00365D62"/>
    <w:rsid w:val="0036623D"/>
    <w:rsid w:val="003669F8"/>
    <w:rsid w:val="00366E9A"/>
    <w:rsid w:val="003679A3"/>
    <w:rsid w:val="00370040"/>
    <w:rsid w:val="003716E6"/>
    <w:rsid w:val="003717D2"/>
    <w:rsid w:val="00371AC4"/>
    <w:rsid w:val="00371B67"/>
    <w:rsid w:val="00373179"/>
    <w:rsid w:val="00373757"/>
    <w:rsid w:val="00373B2A"/>
    <w:rsid w:val="0037407C"/>
    <w:rsid w:val="003745EE"/>
    <w:rsid w:val="003749C6"/>
    <w:rsid w:val="00374A55"/>
    <w:rsid w:val="00374AB5"/>
    <w:rsid w:val="0037588D"/>
    <w:rsid w:val="00377379"/>
    <w:rsid w:val="003773C7"/>
    <w:rsid w:val="00380CEB"/>
    <w:rsid w:val="00380FCA"/>
    <w:rsid w:val="0038129C"/>
    <w:rsid w:val="0038196F"/>
    <w:rsid w:val="0038209A"/>
    <w:rsid w:val="0038232C"/>
    <w:rsid w:val="0038238C"/>
    <w:rsid w:val="0038247F"/>
    <w:rsid w:val="003834B4"/>
    <w:rsid w:val="00383572"/>
    <w:rsid w:val="00384426"/>
    <w:rsid w:val="00384497"/>
    <w:rsid w:val="00384707"/>
    <w:rsid w:val="00384838"/>
    <w:rsid w:val="00384893"/>
    <w:rsid w:val="00384969"/>
    <w:rsid w:val="00384CC9"/>
    <w:rsid w:val="00384E45"/>
    <w:rsid w:val="00385480"/>
    <w:rsid w:val="0038564D"/>
    <w:rsid w:val="00385814"/>
    <w:rsid w:val="00385B86"/>
    <w:rsid w:val="0038714B"/>
    <w:rsid w:val="00387EA5"/>
    <w:rsid w:val="00391159"/>
    <w:rsid w:val="00391C91"/>
    <w:rsid w:val="003926DB"/>
    <w:rsid w:val="00392F1D"/>
    <w:rsid w:val="00393198"/>
    <w:rsid w:val="0039328D"/>
    <w:rsid w:val="00393580"/>
    <w:rsid w:val="00394B1E"/>
    <w:rsid w:val="00395916"/>
    <w:rsid w:val="00395E61"/>
    <w:rsid w:val="0039620F"/>
    <w:rsid w:val="0039652C"/>
    <w:rsid w:val="00396A82"/>
    <w:rsid w:val="0039704F"/>
    <w:rsid w:val="003976D7"/>
    <w:rsid w:val="00397CEE"/>
    <w:rsid w:val="003A0BCE"/>
    <w:rsid w:val="003A1575"/>
    <w:rsid w:val="003A1792"/>
    <w:rsid w:val="003A1BB1"/>
    <w:rsid w:val="003A2573"/>
    <w:rsid w:val="003A26AE"/>
    <w:rsid w:val="003A3FF0"/>
    <w:rsid w:val="003A4216"/>
    <w:rsid w:val="003A443E"/>
    <w:rsid w:val="003A45F4"/>
    <w:rsid w:val="003A49AA"/>
    <w:rsid w:val="003A518D"/>
    <w:rsid w:val="003A52B6"/>
    <w:rsid w:val="003A5493"/>
    <w:rsid w:val="003A5863"/>
    <w:rsid w:val="003A651E"/>
    <w:rsid w:val="003A723A"/>
    <w:rsid w:val="003A799F"/>
    <w:rsid w:val="003A7A9C"/>
    <w:rsid w:val="003A7D24"/>
    <w:rsid w:val="003A7F16"/>
    <w:rsid w:val="003B1278"/>
    <w:rsid w:val="003B1477"/>
    <w:rsid w:val="003B1558"/>
    <w:rsid w:val="003B16A0"/>
    <w:rsid w:val="003B1817"/>
    <w:rsid w:val="003B214D"/>
    <w:rsid w:val="003B29A1"/>
    <w:rsid w:val="003B2F36"/>
    <w:rsid w:val="003B2FB4"/>
    <w:rsid w:val="003B317B"/>
    <w:rsid w:val="003B340E"/>
    <w:rsid w:val="003B3CBB"/>
    <w:rsid w:val="003B42C1"/>
    <w:rsid w:val="003B51C6"/>
    <w:rsid w:val="003B57F4"/>
    <w:rsid w:val="003B5BDB"/>
    <w:rsid w:val="003B63E7"/>
    <w:rsid w:val="003B7B56"/>
    <w:rsid w:val="003C0C45"/>
    <w:rsid w:val="003C0C6F"/>
    <w:rsid w:val="003C11E7"/>
    <w:rsid w:val="003C19DD"/>
    <w:rsid w:val="003C1BA6"/>
    <w:rsid w:val="003C1C75"/>
    <w:rsid w:val="003C224E"/>
    <w:rsid w:val="003C239A"/>
    <w:rsid w:val="003C2408"/>
    <w:rsid w:val="003C2597"/>
    <w:rsid w:val="003C3320"/>
    <w:rsid w:val="003C33E7"/>
    <w:rsid w:val="003C4030"/>
    <w:rsid w:val="003C4406"/>
    <w:rsid w:val="003C466B"/>
    <w:rsid w:val="003C519B"/>
    <w:rsid w:val="003C5A18"/>
    <w:rsid w:val="003C6294"/>
    <w:rsid w:val="003C63C7"/>
    <w:rsid w:val="003C6676"/>
    <w:rsid w:val="003C6B28"/>
    <w:rsid w:val="003C75DA"/>
    <w:rsid w:val="003C791A"/>
    <w:rsid w:val="003C7AD5"/>
    <w:rsid w:val="003D212B"/>
    <w:rsid w:val="003D26D0"/>
    <w:rsid w:val="003D2847"/>
    <w:rsid w:val="003D3E20"/>
    <w:rsid w:val="003D451C"/>
    <w:rsid w:val="003D4BEA"/>
    <w:rsid w:val="003D507B"/>
    <w:rsid w:val="003D513F"/>
    <w:rsid w:val="003D5231"/>
    <w:rsid w:val="003D5965"/>
    <w:rsid w:val="003D59FE"/>
    <w:rsid w:val="003D5D1D"/>
    <w:rsid w:val="003D6280"/>
    <w:rsid w:val="003D664D"/>
    <w:rsid w:val="003D6B39"/>
    <w:rsid w:val="003D6ED1"/>
    <w:rsid w:val="003D7409"/>
    <w:rsid w:val="003D7587"/>
    <w:rsid w:val="003D7AC5"/>
    <w:rsid w:val="003E03D6"/>
    <w:rsid w:val="003E211B"/>
    <w:rsid w:val="003E2418"/>
    <w:rsid w:val="003E3007"/>
    <w:rsid w:val="003E3E2E"/>
    <w:rsid w:val="003E3F2A"/>
    <w:rsid w:val="003E44F5"/>
    <w:rsid w:val="003E567C"/>
    <w:rsid w:val="003E57BE"/>
    <w:rsid w:val="003E5B7D"/>
    <w:rsid w:val="003E5DB2"/>
    <w:rsid w:val="003E60AA"/>
    <w:rsid w:val="003E6571"/>
    <w:rsid w:val="003E6A9F"/>
    <w:rsid w:val="003E713C"/>
    <w:rsid w:val="003E7259"/>
    <w:rsid w:val="003E781D"/>
    <w:rsid w:val="003E79A0"/>
    <w:rsid w:val="003F066C"/>
    <w:rsid w:val="003F087D"/>
    <w:rsid w:val="003F177A"/>
    <w:rsid w:val="003F1CB6"/>
    <w:rsid w:val="003F2F47"/>
    <w:rsid w:val="003F312F"/>
    <w:rsid w:val="003F331B"/>
    <w:rsid w:val="003F6471"/>
    <w:rsid w:val="003F7583"/>
    <w:rsid w:val="00400755"/>
    <w:rsid w:val="00400DE6"/>
    <w:rsid w:val="0040138A"/>
    <w:rsid w:val="00401768"/>
    <w:rsid w:val="0040191F"/>
    <w:rsid w:val="00403134"/>
    <w:rsid w:val="0040317B"/>
    <w:rsid w:val="004035B4"/>
    <w:rsid w:val="00403A6B"/>
    <w:rsid w:val="004043B5"/>
    <w:rsid w:val="00404D46"/>
    <w:rsid w:val="00406814"/>
    <w:rsid w:val="00406CC3"/>
    <w:rsid w:val="00406D5E"/>
    <w:rsid w:val="004102B5"/>
    <w:rsid w:val="004103D5"/>
    <w:rsid w:val="00410E18"/>
    <w:rsid w:val="00411BAD"/>
    <w:rsid w:val="00412682"/>
    <w:rsid w:val="0041345C"/>
    <w:rsid w:val="004134EB"/>
    <w:rsid w:val="00414550"/>
    <w:rsid w:val="00414DD1"/>
    <w:rsid w:val="00415379"/>
    <w:rsid w:val="004155FD"/>
    <w:rsid w:val="0041561D"/>
    <w:rsid w:val="00415A80"/>
    <w:rsid w:val="00415CC9"/>
    <w:rsid w:val="00415E65"/>
    <w:rsid w:val="00415FF2"/>
    <w:rsid w:val="00416A3F"/>
    <w:rsid w:val="00416BA5"/>
    <w:rsid w:val="00416DC1"/>
    <w:rsid w:val="00416FF1"/>
    <w:rsid w:val="00417864"/>
    <w:rsid w:val="00417875"/>
    <w:rsid w:val="004202AF"/>
    <w:rsid w:val="004203EF"/>
    <w:rsid w:val="004215B3"/>
    <w:rsid w:val="0042274F"/>
    <w:rsid w:val="00422BDD"/>
    <w:rsid w:val="00423174"/>
    <w:rsid w:val="004231D9"/>
    <w:rsid w:val="0042388C"/>
    <w:rsid w:val="00424D9C"/>
    <w:rsid w:val="00425039"/>
    <w:rsid w:val="00426005"/>
    <w:rsid w:val="004261D1"/>
    <w:rsid w:val="00426FB8"/>
    <w:rsid w:val="004272D9"/>
    <w:rsid w:val="00427C86"/>
    <w:rsid w:val="0043003B"/>
    <w:rsid w:val="004305CF"/>
    <w:rsid w:val="004315D3"/>
    <w:rsid w:val="0043213A"/>
    <w:rsid w:val="0043367F"/>
    <w:rsid w:val="00434487"/>
    <w:rsid w:val="00434E4E"/>
    <w:rsid w:val="004363CA"/>
    <w:rsid w:val="004366A5"/>
    <w:rsid w:val="00436C25"/>
    <w:rsid w:val="00437B31"/>
    <w:rsid w:val="00441225"/>
    <w:rsid w:val="00441858"/>
    <w:rsid w:val="00441872"/>
    <w:rsid w:val="00441897"/>
    <w:rsid w:val="00441973"/>
    <w:rsid w:val="004422C8"/>
    <w:rsid w:val="004427B9"/>
    <w:rsid w:val="0044363C"/>
    <w:rsid w:val="00443794"/>
    <w:rsid w:val="004444AA"/>
    <w:rsid w:val="00444773"/>
    <w:rsid w:val="00444F08"/>
    <w:rsid w:val="00445C9C"/>
    <w:rsid w:val="00446019"/>
    <w:rsid w:val="004464BA"/>
    <w:rsid w:val="00446555"/>
    <w:rsid w:val="00450B15"/>
    <w:rsid w:val="00451180"/>
    <w:rsid w:val="00454001"/>
    <w:rsid w:val="0045437D"/>
    <w:rsid w:val="00454A54"/>
    <w:rsid w:val="00454ABB"/>
    <w:rsid w:val="00454F03"/>
    <w:rsid w:val="00454F65"/>
    <w:rsid w:val="00455542"/>
    <w:rsid w:val="0045594F"/>
    <w:rsid w:val="00455E99"/>
    <w:rsid w:val="00456587"/>
    <w:rsid w:val="004567FB"/>
    <w:rsid w:val="00456CFF"/>
    <w:rsid w:val="00457155"/>
    <w:rsid w:val="00460FC5"/>
    <w:rsid w:val="00461C5C"/>
    <w:rsid w:val="00461C70"/>
    <w:rsid w:val="00462422"/>
    <w:rsid w:val="00462F92"/>
    <w:rsid w:val="004636AE"/>
    <w:rsid w:val="0046393E"/>
    <w:rsid w:val="00463AB4"/>
    <w:rsid w:val="0046431A"/>
    <w:rsid w:val="00464E94"/>
    <w:rsid w:val="0046631F"/>
    <w:rsid w:val="00466D1A"/>
    <w:rsid w:val="004672C6"/>
    <w:rsid w:val="004678B3"/>
    <w:rsid w:val="00467BA7"/>
    <w:rsid w:val="004701C5"/>
    <w:rsid w:val="004702C4"/>
    <w:rsid w:val="00470BBE"/>
    <w:rsid w:val="00470D58"/>
    <w:rsid w:val="0047145D"/>
    <w:rsid w:val="00472785"/>
    <w:rsid w:val="004727BC"/>
    <w:rsid w:val="004729A3"/>
    <w:rsid w:val="00472B89"/>
    <w:rsid w:val="00473057"/>
    <w:rsid w:val="004732EC"/>
    <w:rsid w:val="004735C5"/>
    <w:rsid w:val="00473955"/>
    <w:rsid w:val="0047416D"/>
    <w:rsid w:val="00474507"/>
    <w:rsid w:val="00474B0E"/>
    <w:rsid w:val="0047537B"/>
    <w:rsid w:val="004754FC"/>
    <w:rsid w:val="00475B01"/>
    <w:rsid w:val="00475CF9"/>
    <w:rsid w:val="00475FE7"/>
    <w:rsid w:val="004760DB"/>
    <w:rsid w:val="004766C4"/>
    <w:rsid w:val="004767B7"/>
    <w:rsid w:val="004768A3"/>
    <w:rsid w:val="00476EAD"/>
    <w:rsid w:val="00477683"/>
    <w:rsid w:val="00477ECB"/>
    <w:rsid w:val="00477F6A"/>
    <w:rsid w:val="00480124"/>
    <w:rsid w:val="004808F5"/>
    <w:rsid w:val="0048158B"/>
    <w:rsid w:val="00481B63"/>
    <w:rsid w:val="00481C00"/>
    <w:rsid w:val="00483177"/>
    <w:rsid w:val="00483327"/>
    <w:rsid w:val="00483364"/>
    <w:rsid w:val="004841DC"/>
    <w:rsid w:val="0048449A"/>
    <w:rsid w:val="00484F03"/>
    <w:rsid w:val="004852FD"/>
    <w:rsid w:val="004858A0"/>
    <w:rsid w:val="00486794"/>
    <w:rsid w:val="00486881"/>
    <w:rsid w:val="004903DC"/>
    <w:rsid w:val="00490AB4"/>
    <w:rsid w:val="00491288"/>
    <w:rsid w:val="0049175B"/>
    <w:rsid w:val="00491CF5"/>
    <w:rsid w:val="004926B3"/>
    <w:rsid w:val="004929D7"/>
    <w:rsid w:val="00492AE9"/>
    <w:rsid w:val="00492EE4"/>
    <w:rsid w:val="00493203"/>
    <w:rsid w:val="00493DD8"/>
    <w:rsid w:val="00494059"/>
    <w:rsid w:val="004943D9"/>
    <w:rsid w:val="0049464C"/>
    <w:rsid w:val="00494E30"/>
    <w:rsid w:val="00495281"/>
    <w:rsid w:val="0049531B"/>
    <w:rsid w:val="004954A2"/>
    <w:rsid w:val="0049670D"/>
    <w:rsid w:val="0049739B"/>
    <w:rsid w:val="00497C0D"/>
    <w:rsid w:val="00497C11"/>
    <w:rsid w:val="004A055D"/>
    <w:rsid w:val="004A0C72"/>
    <w:rsid w:val="004A0F1C"/>
    <w:rsid w:val="004A1103"/>
    <w:rsid w:val="004A1CB3"/>
    <w:rsid w:val="004A2708"/>
    <w:rsid w:val="004A286B"/>
    <w:rsid w:val="004A2D44"/>
    <w:rsid w:val="004A3A2D"/>
    <w:rsid w:val="004A445A"/>
    <w:rsid w:val="004A4CAD"/>
    <w:rsid w:val="004A630A"/>
    <w:rsid w:val="004A6341"/>
    <w:rsid w:val="004A6386"/>
    <w:rsid w:val="004A6C04"/>
    <w:rsid w:val="004A6F3C"/>
    <w:rsid w:val="004A6F95"/>
    <w:rsid w:val="004A70AD"/>
    <w:rsid w:val="004B0320"/>
    <w:rsid w:val="004B0B29"/>
    <w:rsid w:val="004B17EC"/>
    <w:rsid w:val="004B18F1"/>
    <w:rsid w:val="004B1AF7"/>
    <w:rsid w:val="004B1F3B"/>
    <w:rsid w:val="004B2281"/>
    <w:rsid w:val="004B2420"/>
    <w:rsid w:val="004B3322"/>
    <w:rsid w:val="004B392F"/>
    <w:rsid w:val="004B4024"/>
    <w:rsid w:val="004B4670"/>
    <w:rsid w:val="004B467D"/>
    <w:rsid w:val="004B4839"/>
    <w:rsid w:val="004B4AAE"/>
    <w:rsid w:val="004B4D48"/>
    <w:rsid w:val="004B5062"/>
    <w:rsid w:val="004B5F68"/>
    <w:rsid w:val="004B6DA4"/>
    <w:rsid w:val="004B70FF"/>
    <w:rsid w:val="004C0139"/>
    <w:rsid w:val="004C12AD"/>
    <w:rsid w:val="004C1589"/>
    <w:rsid w:val="004C167F"/>
    <w:rsid w:val="004C2821"/>
    <w:rsid w:val="004C2A66"/>
    <w:rsid w:val="004C334D"/>
    <w:rsid w:val="004C33AF"/>
    <w:rsid w:val="004C3A47"/>
    <w:rsid w:val="004C3E6E"/>
    <w:rsid w:val="004C4677"/>
    <w:rsid w:val="004C47F4"/>
    <w:rsid w:val="004C4CD9"/>
    <w:rsid w:val="004C55C5"/>
    <w:rsid w:val="004C57B2"/>
    <w:rsid w:val="004C59B9"/>
    <w:rsid w:val="004C5CAC"/>
    <w:rsid w:val="004C7112"/>
    <w:rsid w:val="004C750B"/>
    <w:rsid w:val="004C7C84"/>
    <w:rsid w:val="004C7D50"/>
    <w:rsid w:val="004D037D"/>
    <w:rsid w:val="004D0E79"/>
    <w:rsid w:val="004D10AF"/>
    <w:rsid w:val="004D157F"/>
    <w:rsid w:val="004D189E"/>
    <w:rsid w:val="004D2810"/>
    <w:rsid w:val="004D3861"/>
    <w:rsid w:val="004D41F0"/>
    <w:rsid w:val="004D4CD0"/>
    <w:rsid w:val="004D4D45"/>
    <w:rsid w:val="004D5167"/>
    <w:rsid w:val="004D546A"/>
    <w:rsid w:val="004D5DB7"/>
    <w:rsid w:val="004D6B93"/>
    <w:rsid w:val="004D6E08"/>
    <w:rsid w:val="004D6E75"/>
    <w:rsid w:val="004E0C37"/>
    <w:rsid w:val="004E1875"/>
    <w:rsid w:val="004E1A2B"/>
    <w:rsid w:val="004E2705"/>
    <w:rsid w:val="004E2A5D"/>
    <w:rsid w:val="004E2F3C"/>
    <w:rsid w:val="004E30FF"/>
    <w:rsid w:val="004E3761"/>
    <w:rsid w:val="004E3F03"/>
    <w:rsid w:val="004E423B"/>
    <w:rsid w:val="004E42D9"/>
    <w:rsid w:val="004E460D"/>
    <w:rsid w:val="004E4B5B"/>
    <w:rsid w:val="004E4FCD"/>
    <w:rsid w:val="004E5197"/>
    <w:rsid w:val="004E5D7D"/>
    <w:rsid w:val="004E6471"/>
    <w:rsid w:val="004E6594"/>
    <w:rsid w:val="004E7518"/>
    <w:rsid w:val="004F0B08"/>
    <w:rsid w:val="004F0E66"/>
    <w:rsid w:val="004F191C"/>
    <w:rsid w:val="004F19BF"/>
    <w:rsid w:val="004F1FCA"/>
    <w:rsid w:val="004F3BB8"/>
    <w:rsid w:val="004F3F9F"/>
    <w:rsid w:val="004F4009"/>
    <w:rsid w:val="004F4192"/>
    <w:rsid w:val="004F4484"/>
    <w:rsid w:val="004F4E5C"/>
    <w:rsid w:val="004F560D"/>
    <w:rsid w:val="004F7187"/>
    <w:rsid w:val="004F7DFA"/>
    <w:rsid w:val="005009BF"/>
    <w:rsid w:val="00500C8D"/>
    <w:rsid w:val="00500D12"/>
    <w:rsid w:val="00500F89"/>
    <w:rsid w:val="00501212"/>
    <w:rsid w:val="005014BA"/>
    <w:rsid w:val="00501FD5"/>
    <w:rsid w:val="005031AF"/>
    <w:rsid w:val="0050468B"/>
    <w:rsid w:val="005046F0"/>
    <w:rsid w:val="00504DFD"/>
    <w:rsid w:val="00505031"/>
    <w:rsid w:val="00505D96"/>
    <w:rsid w:val="0050783A"/>
    <w:rsid w:val="00507D1A"/>
    <w:rsid w:val="0051061D"/>
    <w:rsid w:val="0051086D"/>
    <w:rsid w:val="00510D2D"/>
    <w:rsid w:val="00511B4D"/>
    <w:rsid w:val="00511D83"/>
    <w:rsid w:val="00511E8B"/>
    <w:rsid w:val="0051325A"/>
    <w:rsid w:val="005139B7"/>
    <w:rsid w:val="00513F72"/>
    <w:rsid w:val="0051462F"/>
    <w:rsid w:val="0051509B"/>
    <w:rsid w:val="00515B0B"/>
    <w:rsid w:val="00515F25"/>
    <w:rsid w:val="00520FBF"/>
    <w:rsid w:val="005225E6"/>
    <w:rsid w:val="0052260C"/>
    <w:rsid w:val="005236DB"/>
    <w:rsid w:val="00523A7B"/>
    <w:rsid w:val="00523B88"/>
    <w:rsid w:val="005241E5"/>
    <w:rsid w:val="005244AC"/>
    <w:rsid w:val="00524B24"/>
    <w:rsid w:val="00524ED2"/>
    <w:rsid w:val="0052523B"/>
    <w:rsid w:val="00525DB0"/>
    <w:rsid w:val="00526715"/>
    <w:rsid w:val="00526B21"/>
    <w:rsid w:val="00527322"/>
    <w:rsid w:val="005275AA"/>
    <w:rsid w:val="00527701"/>
    <w:rsid w:val="00527749"/>
    <w:rsid w:val="00527CE4"/>
    <w:rsid w:val="00527E77"/>
    <w:rsid w:val="00527E88"/>
    <w:rsid w:val="00530235"/>
    <w:rsid w:val="00530C9C"/>
    <w:rsid w:val="00530F23"/>
    <w:rsid w:val="00531495"/>
    <w:rsid w:val="0053151D"/>
    <w:rsid w:val="005319DA"/>
    <w:rsid w:val="00532C41"/>
    <w:rsid w:val="00532DCF"/>
    <w:rsid w:val="005331CE"/>
    <w:rsid w:val="00533C98"/>
    <w:rsid w:val="00534345"/>
    <w:rsid w:val="005344A6"/>
    <w:rsid w:val="00534B26"/>
    <w:rsid w:val="00534D6D"/>
    <w:rsid w:val="005354AD"/>
    <w:rsid w:val="005356FF"/>
    <w:rsid w:val="0053652C"/>
    <w:rsid w:val="00536B6C"/>
    <w:rsid w:val="00536D29"/>
    <w:rsid w:val="00536F41"/>
    <w:rsid w:val="005370CA"/>
    <w:rsid w:val="005373A1"/>
    <w:rsid w:val="0053773F"/>
    <w:rsid w:val="005404C5"/>
    <w:rsid w:val="0054058A"/>
    <w:rsid w:val="00540F85"/>
    <w:rsid w:val="00542189"/>
    <w:rsid w:val="00542216"/>
    <w:rsid w:val="00542553"/>
    <w:rsid w:val="005428B3"/>
    <w:rsid w:val="005430BF"/>
    <w:rsid w:val="00543478"/>
    <w:rsid w:val="00544718"/>
    <w:rsid w:val="00544841"/>
    <w:rsid w:val="00544858"/>
    <w:rsid w:val="00544C1C"/>
    <w:rsid w:val="00544F46"/>
    <w:rsid w:val="005452D2"/>
    <w:rsid w:val="00545BFB"/>
    <w:rsid w:val="00545CDF"/>
    <w:rsid w:val="00546041"/>
    <w:rsid w:val="0054662F"/>
    <w:rsid w:val="00546793"/>
    <w:rsid w:val="00546D39"/>
    <w:rsid w:val="005477EC"/>
    <w:rsid w:val="00550340"/>
    <w:rsid w:val="0055050C"/>
    <w:rsid w:val="00550750"/>
    <w:rsid w:val="0055085A"/>
    <w:rsid w:val="00550E33"/>
    <w:rsid w:val="005510D6"/>
    <w:rsid w:val="0055187E"/>
    <w:rsid w:val="00551D35"/>
    <w:rsid w:val="00552435"/>
    <w:rsid w:val="00552D98"/>
    <w:rsid w:val="00552ED3"/>
    <w:rsid w:val="00553629"/>
    <w:rsid w:val="005538FF"/>
    <w:rsid w:val="00553952"/>
    <w:rsid w:val="00553EB5"/>
    <w:rsid w:val="00553FC9"/>
    <w:rsid w:val="00554674"/>
    <w:rsid w:val="00554846"/>
    <w:rsid w:val="005548B2"/>
    <w:rsid w:val="00554A3B"/>
    <w:rsid w:val="00554DA5"/>
    <w:rsid w:val="00554F55"/>
    <w:rsid w:val="005550BE"/>
    <w:rsid w:val="005551A8"/>
    <w:rsid w:val="005551A9"/>
    <w:rsid w:val="00555314"/>
    <w:rsid w:val="00556708"/>
    <w:rsid w:val="00556988"/>
    <w:rsid w:val="00557C69"/>
    <w:rsid w:val="0056037D"/>
    <w:rsid w:val="00560A35"/>
    <w:rsid w:val="00560BCF"/>
    <w:rsid w:val="0056129E"/>
    <w:rsid w:val="005614F0"/>
    <w:rsid w:val="005623B3"/>
    <w:rsid w:val="00562652"/>
    <w:rsid w:val="00562E40"/>
    <w:rsid w:val="00563920"/>
    <w:rsid w:val="00563DDC"/>
    <w:rsid w:val="00564599"/>
    <w:rsid w:val="00564E29"/>
    <w:rsid w:val="00565429"/>
    <w:rsid w:val="005655FB"/>
    <w:rsid w:val="00565883"/>
    <w:rsid w:val="00566AB9"/>
    <w:rsid w:val="00566DEB"/>
    <w:rsid w:val="005679D0"/>
    <w:rsid w:val="0057088C"/>
    <w:rsid w:val="005709C4"/>
    <w:rsid w:val="00570BA4"/>
    <w:rsid w:val="005710F8"/>
    <w:rsid w:val="00571159"/>
    <w:rsid w:val="00571E8A"/>
    <w:rsid w:val="00571F3A"/>
    <w:rsid w:val="00571FD1"/>
    <w:rsid w:val="00572247"/>
    <w:rsid w:val="005723BD"/>
    <w:rsid w:val="005727FC"/>
    <w:rsid w:val="00573AB1"/>
    <w:rsid w:val="00573B74"/>
    <w:rsid w:val="00574442"/>
    <w:rsid w:val="00574A09"/>
    <w:rsid w:val="00574D12"/>
    <w:rsid w:val="00574D22"/>
    <w:rsid w:val="00574DB3"/>
    <w:rsid w:val="0057515F"/>
    <w:rsid w:val="005761CF"/>
    <w:rsid w:val="005762CD"/>
    <w:rsid w:val="00576520"/>
    <w:rsid w:val="00576E67"/>
    <w:rsid w:val="00576E77"/>
    <w:rsid w:val="00577AA9"/>
    <w:rsid w:val="00577F51"/>
    <w:rsid w:val="00580358"/>
    <w:rsid w:val="005816F7"/>
    <w:rsid w:val="00581C67"/>
    <w:rsid w:val="00581D44"/>
    <w:rsid w:val="0058321F"/>
    <w:rsid w:val="00583282"/>
    <w:rsid w:val="00583A2F"/>
    <w:rsid w:val="00584318"/>
    <w:rsid w:val="00584BBE"/>
    <w:rsid w:val="00584D4C"/>
    <w:rsid w:val="00584FBB"/>
    <w:rsid w:val="0058649D"/>
    <w:rsid w:val="005868C3"/>
    <w:rsid w:val="00590AB1"/>
    <w:rsid w:val="00590F85"/>
    <w:rsid w:val="005913B1"/>
    <w:rsid w:val="00591E56"/>
    <w:rsid w:val="00592268"/>
    <w:rsid w:val="00592587"/>
    <w:rsid w:val="005925D9"/>
    <w:rsid w:val="005932F4"/>
    <w:rsid w:val="00593B0B"/>
    <w:rsid w:val="00593BD9"/>
    <w:rsid w:val="00593E75"/>
    <w:rsid w:val="00593FD6"/>
    <w:rsid w:val="00594B5B"/>
    <w:rsid w:val="005951B9"/>
    <w:rsid w:val="005958B1"/>
    <w:rsid w:val="00595E04"/>
    <w:rsid w:val="0059685A"/>
    <w:rsid w:val="00596CF2"/>
    <w:rsid w:val="00596ED8"/>
    <w:rsid w:val="005970E5"/>
    <w:rsid w:val="005971EA"/>
    <w:rsid w:val="005978AA"/>
    <w:rsid w:val="005A0983"/>
    <w:rsid w:val="005A1661"/>
    <w:rsid w:val="005A1717"/>
    <w:rsid w:val="005A1A5E"/>
    <w:rsid w:val="005A1F37"/>
    <w:rsid w:val="005A2CA5"/>
    <w:rsid w:val="005A2DFA"/>
    <w:rsid w:val="005A3684"/>
    <w:rsid w:val="005A3B90"/>
    <w:rsid w:val="005A4179"/>
    <w:rsid w:val="005A4623"/>
    <w:rsid w:val="005A467B"/>
    <w:rsid w:val="005A48F0"/>
    <w:rsid w:val="005A54E6"/>
    <w:rsid w:val="005A5E99"/>
    <w:rsid w:val="005A5F74"/>
    <w:rsid w:val="005A6269"/>
    <w:rsid w:val="005A6544"/>
    <w:rsid w:val="005A6EBE"/>
    <w:rsid w:val="005A74B2"/>
    <w:rsid w:val="005A76BE"/>
    <w:rsid w:val="005A7B67"/>
    <w:rsid w:val="005A7C41"/>
    <w:rsid w:val="005A7D16"/>
    <w:rsid w:val="005A7FBF"/>
    <w:rsid w:val="005B007C"/>
    <w:rsid w:val="005B119F"/>
    <w:rsid w:val="005B197C"/>
    <w:rsid w:val="005B1C1A"/>
    <w:rsid w:val="005B2800"/>
    <w:rsid w:val="005B29A5"/>
    <w:rsid w:val="005B2D23"/>
    <w:rsid w:val="005B36C3"/>
    <w:rsid w:val="005B4856"/>
    <w:rsid w:val="005B523B"/>
    <w:rsid w:val="005B552D"/>
    <w:rsid w:val="005B6191"/>
    <w:rsid w:val="005B65BF"/>
    <w:rsid w:val="005B6BEC"/>
    <w:rsid w:val="005B70BE"/>
    <w:rsid w:val="005B7440"/>
    <w:rsid w:val="005B7CCC"/>
    <w:rsid w:val="005B7F80"/>
    <w:rsid w:val="005C0116"/>
    <w:rsid w:val="005C0541"/>
    <w:rsid w:val="005C08F9"/>
    <w:rsid w:val="005C09B9"/>
    <w:rsid w:val="005C0DC3"/>
    <w:rsid w:val="005C178F"/>
    <w:rsid w:val="005C1835"/>
    <w:rsid w:val="005C1897"/>
    <w:rsid w:val="005C21C3"/>
    <w:rsid w:val="005C2E1C"/>
    <w:rsid w:val="005C3FD2"/>
    <w:rsid w:val="005C41D0"/>
    <w:rsid w:val="005C4846"/>
    <w:rsid w:val="005C4992"/>
    <w:rsid w:val="005C4994"/>
    <w:rsid w:val="005C4A9A"/>
    <w:rsid w:val="005C5506"/>
    <w:rsid w:val="005C5F49"/>
    <w:rsid w:val="005C6906"/>
    <w:rsid w:val="005C7551"/>
    <w:rsid w:val="005C789D"/>
    <w:rsid w:val="005C7BD0"/>
    <w:rsid w:val="005D0308"/>
    <w:rsid w:val="005D1286"/>
    <w:rsid w:val="005D1697"/>
    <w:rsid w:val="005D2BD5"/>
    <w:rsid w:val="005D30E9"/>
    <w:rsid w:val="005D343F"/>
    <w:rsid w:val="005D3619"/>
    <w:rsid w:val="005D45CC"/>
    <w:rsid w:val="005D4608"/>
    <w:rsid w:val="005D4639"/>
    <w:rsid w:val="005D4D05"/>
    <w:rsid w:val="005D53ED"/>
    <w:rsid w:val="005D5FE5"/>
    <w:rsid w:val="005D617F"/>
    <w:rsid w:val="005D6447"/>
    <w:rsid w:val="005D7CD6"/>
    <w:rsid w:val="005D7FDE"/>
    <w:rsid w:val="005E1022"/>
    <w:rsid w:val="005E11B6"/>
    <w:rsid w:val="005E1379"/>
    <w:rsid w:val="005E15D1"/>
    <w:rsid w:val="005E1D36"/>
    <w:rsid w:val="005E23D7"/>
    <w:rsid w:val="005E2538"/>
    <w:rsid w:val="005E2C2A"/>
    <w:rsid w:val="005E2E01"/>
    <w:rsid w:val="005E3C3C"/>
    <w:rsid w:val="005E4199"/>
    <w:rsid w:val="005E4A3D"/>
    <w:rsid w:val="005E5006"/>
    <w:rsid w:val="005E5136"/>
    <w:rsid w:val="005E517C"/>
    <w:rsid w:val="005E5456"/>
    <w:rsid w:val="005E5855"/>
    <w:rsid w:val="005E62AE"/>
    <w:rsid w:val="005E6396"/>
    <w:rsid w:val="005E6942"/>
    <w:rsid w:val="005E79BE"/>
    <w:rsid w:val="005E7CE6"/>
    <w:rsid w:val="005E7EAF"/>
    <w:rsid w:val="005E7FBB"/>
    <w:rsid w:val="005F0230"/>
    <w:rsid w:val="005F1C47"/>
    <w:rsid w:val="005F1C70"/>
    <w:rsid w:val="005F384E"/>
    <w:rsid w:val="005F3D00"/>
    <w:rsid w:val="005F3EF1"/>
    <w:rsid w:val="005F4184"/>
    <w:rsid w:val="005F47D1"/>
    <w:rsid w:val="005F50B7"/>
    <w:rsid w:val="005F5A14"/>
    <w:rsid w:val="005F5BF5"/>
    <w:rsid w:val="005F5D89"/>
    <w:rsid w:val="005F5E23"/>
    <w:rsid w:val="005F61EE"/>
    <w:rsid w:val="005F68AD"/>
    <w:rsid w:val="005F695B"/>
    <w:rsid w:val="005F6A54"/>
    <w:rsid w:val="005F741F"/>
    <w:rsid w:val="005F7968"/>
    <w:rsid w:val="005F79DD"/>
    <w:rsid w:val="0060074A"/>
    <w:rsid w:val="00600898"/>
    <w:rsid w:val="00600BD9"/>
    <w:rsid w:val="00600D45"/>
    <w:rsid w:val="00600DC9"/>
    <w:rsid w:val="006013D4"/>
    <w:rsid w:val="00601B28"/>
    <w:rsid w:val="00601E4B"/>
    <w:rsid w:val="006021CB"/>
    <w:rsid w:val="00602D11"/>
    <w:rsid w:val="0060343D"/>
    <w:rsid w:val="0060365D"/>
    <w:rsid w:val="00604064"/>
    <w:rsid w:val="0060540E"/>
    <w:rsid w:val="006055CC"/>
    <w:rsid w:val="0060595B"/>
    <w:rsid w:val="00605B7E"/>
    <w:rsid w:val="00605BB9"/>
    <w:rsid w:val="00605DF9"/>
    <w:rsid w:val="00606320"/>
    <w:rsid w:val="00607B4E"/>
    <w:rsid w:val="006102AE"/>
    <w:rsid w:val="00610C14"/>
    <w:rsid w:val="00610D3A"/>
    <w:rsid w:val="00610FDB"/>
    <w:rsid w:val="006114F1"/>
    <w:rsid w:val="006115E3"/>
    <w:rsid w:val="00611CA2"/>
    <w:rsid w:val="0061245E"/>
    <w:rsid w:val="00612ACE"/>
    <w:rsid w:val="0061314B"/>
    <w:rsid w:val="006132D3"/>
    <w:rsid w:val="006141C3"/>
    <w:rsid w:val="00614A27"/>
    <w:rsid w:val="00614E42"/>
    <w:rsid w:val="00615629"/>
    <w:rsid w:val="00616090"/>
    <w:rsid w:val="0061731E"/>
    <w:rsid w:val="006179D7"/>
    <w:rsid w:val="006209E3"/>
    <w:rsid w:val="006211D0"/>
    <w:rsid w:val="0062142D"/>
    <w:rsid w:val="00622BD8"/>
    <w:rsid w:val="00623069"/>
    <w:rsid w:val="00623402"/>
    <w:rsid w:val="006234AA"/>
    <w:rsid w:val="0062356A"/>
    <w:rsid w:val="006244B7"/>
    <w:rsid w:val="00625610"/>
    <w:rsid w:val="006259CE"/>
    <w:rsid w:val="006262C8"/>
    <w:rsid w:val="00626F91"/>
    <w:rsid w:val="00627129"/>
    <w:rsid w:val="00627517"/>
    <w:rsid w:val="0062752B"/>
    <w:rsid w:val="006277CB"/>
    <w:rsid w:val="0063023F"/>
    <w:rsid w:val="0063029B"/>
    <w:rsid w:val="006308B3"/>
    <w:rsid w:val="00630BED"/>
    <w:rsid w:val="00630CAB"/>
    <w:rsid w:val="006312D3"/>
    <w:rsid w:val="0063147F"/>
    <w:rsid w:val="006315C8"/>
    <w:rsid w:val="006318D1"/>
    <w:rsid w:val="00631BB6"/>
    <w:rsid w:val="006321C4"/>
    <w:rsid w:val="006322E5"/>
    <w:rsid w:val="00632C31"/>
    <w:rsid w:val="00633194"/>
    <w:rsid w:val="006338FA"/>
    <w:rsid w:val="006343A9"/>
    <w:rsid w:val="006344FE"/>
    <w:rsid w:val="00634B89"/>
    <w:rsid w:val="00634C7E"/>
    <w:rsid w:val="00634D32"/>
    <w:rsid w:val="006355C6"/>
    <w:rsid w:val="006356B6"/>
    <w:rsid w:val="00635922"/>
    <w:rsid w:val="00635D33"/>
    <w:rsid w:val="00635D95"/>
    <w:rsid w:val="00636697"/>
    <w:rsid w:val="0063740A"/>
    <w:rsid w:val="00637E9D"/>
    <w:rsid w:val="00640BFE"/>
    <w:rsid w:val="006411D1"/>
    <w:rsid w:val="00641569"/>
    <w:rsid w:val="00641E0A"/>
    <w:rsid w:val="00643788"/>
    <w:rsid w:val="00644097"/>
    <w:rsid w:val="00644575"/>
    <w:rsid w:val="00644B0E"/>
    <w:rsid w:val="00644F95"/>
    <w:rsid w:val="006450AD"/>
    <w:rsid w:val="006450E9"/>
    <w:rsid w:val="006454CC"/>
    <w:rsid w:val="00645FFF"/>
    <w:rsid w:val="00646253"/>
    <w:rsid w:val="006462FC"/>
    <w:rsid w:val="006468F5"/>
    <w:rsid w:val="006475E2"/>
    <w:rsid w:val="00647BA9"/>
    <w:rsid w:val="00647BAF"/>
    <w:rsid w:val="006506C9"/>
    <w:rsid w:val="006516A3"/>
    <w:rsid w:val="006519BB"/>
    <w:rsid w:val="00651B2D"/>
    <w:rsid w:val="00652313"/>
    <w:rsid w:val="006527EE"/>
    <w:rsid w:val="00654DEC"/>
    <w:rsid w:val="00654FA7"/>
    <w:rsid w:val="00655494"/>
    <w:rsid w:val="00656BEC"/>
    <w:rsid w:val="00657014"/>
    <w:rsid w:val="00657554"/>
    <w:rsid w:val="00657C28"/>
    <w:rsid w:val="00661077"/>
    <w:rsid w:val="00661422"/>
    <w:rsid w:val="00662F10"/>
    <w:rsid w:val="00663639"/>
    <w:rsid w:val="006638B0"/>
    <w:rsid w:val="00663965"/>
    <w:rsid w:val="00663A07"/>
    <w:rsid w:val="00663EE6"/>
    <w:rsid w:val="00664560"/>
    <w:rsid w:val="00664DD0"/>
    <w:rsid w:val="00664E64"/>
    <w:rsid w:val="0066509E"/>
    <w:rsid w:val="006650B7"/>
    <w:rsid w:val="006653EC"/>
    <w:rsid w:val="00665A6B"/>
    <w:rsid w:val="00665CD0"/>
    <w:rsid w:val="00667393"/>
    <w:rsid w:val="006707DE"/>
    <w:rsid w:val="00670F8C"/>
    <w:rsid w:val="006712A0"/>
    <w:rsid w:val="00671B63"/>
    <w:rsid w:val="0067213E"/>
    <w:rsid w:val="006728DB"/>
    <w:rsid w:val="00672C7A"/>
    <w:rsid w:val="006730B5"/>
    <w:rsid w:val="00673779"/>
    <w:rsid w:val="00673938"/>
    <w:rsid w:val="00674FCB"/>
    <w:rsid w:val="006757E2"/>
    <w:rsid w:val="0067587F"/>
    <w:rsid w:val="006759A3"/>
    <w:rsid w:val="00675BF0"/>
    <w:rsid w:val="00675EAE"/>
    <w:rsid w:val="00676E42"/>
    <w:rsid w:val="0067751C"/>
    <w:rsid w:val="006806D3"/>
    <w:rsid w:val="006814E5"/>
    <w:rsid w:val="00681735"/>
    <w:rsid w:val="00681810"/>
    <w:rsid w:val="006822B8"/>
    <w:rsid w:val="00682FF4"/>
    <w:rsid w:val="006830E4"/>
    <w:rsid w:val="0068368F"/>
    <w:rsid w:val="00683BB6"/>
    <w:rsid w:val="00684924"/>
    <w:rsid w:val="00684B2F"/>
    <w:rsid w:val="00684F7C"/>
    <w:rsid w:val="006850B7"/>
    <w:rsid w:val="006852C1"/>
    <w:rsid w:val="00686C7F"/>
    <w:rsid w:val="00686F9F"/>
    <w:rsid w:val="00687221"/>
    <w:rsid w:val="00690584"/>
    <w:rsid w:val="006920AF"/>
    <w:rsid w:val="00692123"/>
    <w:rsid w:val="0069293A"/>
    <w:rsid w:val="0069323D"/>
    <w:rsid w:val="00693370"/>
    <w:rsid w:val="00693679"/>
    <w:rsid w:val="00693DB8"/>
    <w:rsid w:val="00694037"/>
    <w:rsid w:val="00694167"/>
    <w:rsid w:val="00695375"/>
    <w:rsid w:val="0069743A"/>
    <w:rsid w:val="00697785"/>
    <w:rsid w:val="00697855"/>
    <w:rsid w:val="00697AA4"/>
    <w:rsid w:val="006A0E10"/>
    <w:rsid w:val="006A14E1"/>
    <w:rsid w:val="006A1678"/>
    <w:rsid w:val="006A177B"/>
    <w:rsid w:val="006A1F25"/>
    <w:rsid w:val="006A219B"/>
    <w:rsid w:val="006A2747"/>
    <w:rsid w:val="006A2BBC"/>
    <w:rsid w:val="006A3132"/>
    <w:rsid w:val="006A31CC"/>
    <w:rsid w:val="006A3A0E"/>
    <w:rsid w:val="006A3E95"/>
    <w:rsid w:val="006A43AD"/>
    <w:rsid w:val="006A5645"/>
    <w:rsid w:val="006A5C8E"/>
    <w:rsid w:val="006A5FD3"/>
    <w:rsid w:val="006A638C"/>
    <w:rsid w:val="006A7277"/>
    <w:rsid w:val="006B023A"/>
    <w:rsid w:val="006B0276"/>
    <w:rsid w:val="006B0881"/>
    <w:rsid w:val="006B0F0E"/>
    <w:rsid w:val="006B18A6"/>
    <w:rsid w:val="006B1C43"/>
    <w:rsid w:val="006B1EAD"/>
    <w:rsid w:val="006B27EC"/>
    <w:rsid w:val="006B2DEA"/>
    <w:rsid w:val="006B2F3C"/>
    <w:rsid w:val="006B493E"/>
    <w:rsid w:val="006B567F"/>
    <w:rsid w:val="006B5925"/>
    <w:rsid w:val="006B59EB"/>
    <w:rsid w:val="006B5A80"/>
    <w:rsid w:val="006B6378"/>
    <w:rsid w:val="006B645E"/>
    <w:rsid w:val="006B6528"/>
    <w:rsid w:val="006B6B05"/>
    <w:rsid w:val="006B6C5F"/>
    <w:rsid w:val="006B6DA2"/>
    <w:rsid w:val="006B6DE9"/>
    <w:rsid w:val="006B791F"/>
    <w:rsid w:val="006B7AF1"/>
    <w:rsid w:val="006B7BCC"/>
    <w:rsid w:val="006C02F6"/>
    <w:rsid w:val="006C09C7"/>
    <w:rsid w:val="006C1CDD"/>
    <w:rsid w:val="006C1E1A"/>
    <w:rsid w:val="006C267A"/>
    <w:rsid w:val="006C2A8B"/>
    <w:rsid w:val="006C2B15"/>
    <w:rsid w:val="006C2F89"/>
    <w:rsid w:val="006C5503"/>
    <w:rsid w:val="006C5C07"/>
    <w:rsid w:val="006C6060"/>
    <w:rsid w:val="006C6106"/>
    <w:rsid w:val="006C6717"/>
    <w:rsid w:val="006C68E3"/>
    <w:rsid w:val="006C6A19"/>
    <w:rsid w:val="006C6C5C"/>
    <w:rsid w:val="006C6D83"/>
    <w:rsid w:val="006C78C4"/>
    <w:rsid w:val="006C7AF6"/>
    <w:rsid w:val="006D03FA"/>
    <w:rsid w:val="006D052F"/>
    <w:rsid w:val="006D09CA"/>
    <w:rsid w:val="006D0DB3"/>
    <w:rsid w:val="006D17D4"/>
    <w:rsid w:val="006D20E4"/>
    <w:rsid w:val="006D30B1"/>
    <w:rsid w:val="006D324F"/>
    <w:rsid w:val="006D3714"/>
    <w:rsid w:val="006D40C6"/>
    <w:rsid w:val="006D443F"/>
    <w:rsid w:val="006D47C2"/>
    <w:rsid w:val="006D4A74"/>
    <w:rsid w:val="006D4E11"/>
    <w:rsid w:val="006D5B94"/>
    <w:rsid w:val="006D60AD"/>
    <w:rsid w:val="006D64D1"/>
    <w:rsid w:val="006D7250"/>
    <w:rsid w:val="006D7285"/>
    <w:rsid w:val="006D72CC"/>
    <w:rsid w:val="006E045C"/>
    <w:rsid w:val="006E0867"/>
    <w:rsid w:val="006E0BF0"/>
    <w:rsid w:val="006E12F8"/>
    <w:rsid w:val="006E1490"/>
    <w:rsid w:val="006E1B61"/>
    <w:rsid w:val="006E2525"/>
    <w:rsid w:val="006E2B48"/>
    <w:rsid w:val="006E3179"/>
    <w:rsid w:val="006E3772"/>
    <w:rsid w:val="006E404C"/>
    <w:rsid w:val="006E4451"/>
    <w:rsid w:val="006E461C"/>
    <w:rsid w:val="006E51BB"/>
    <w:rsid w:val="006E53E8"/>
    <w:rsid w:val="006E54F8"/>
    <w:rsid w:val="006E5BF9"/>
    <w:rsid w:val="006E63F3"/>
    <w:rsid w:val="006E6CAE"/>
    <w:rsid w:val="006E6D7C"/>
    <w:rsid w:val="006E7601"/>
    <w:rsid w:val="006E791D"/>
    <w:rsid w:val="006F03CE"/>
    <w:rsid w:val="006F047A"/>
    <w:rsid w:val="006F1452"/>
    <w:rsid w:val="006F1615"/>
    <w:rsid w:val="006F2526"/>
    <w:rsid w:val="006F25AC"/>
    <w:rsid w:val="006F2A53"/>
    <w:rsid w:val="006F2CA0"/>
    <w:rsid w:val="006F3456"/>
    <w:rsid w:val="006F3F8E"/>
    <w:rsid w:val="006F413D"/>
    <w:rsid w:val="006F535B"/>
    <w:rsid w:val="006F6A23"/>
    <w:rsid w:val="006F78E9"/>
    <w:rsid w:val="00700CEC"/>
    <w:rsid w:val="00700E00"/>
    <w:rsid w:val="00700F9A"/>
    <w:rsid w:val="00701FCE"/>
    <w:rsid w:val="00702333"/>
    <w:rsid w:val="00702EA9"/>
    <w:rsid w:val="00703516"/>
    <w:rsid w:val="00704C3F"/>
    <w:rsid w:val="00704D06"/>
    <w:rsid w:val="00706949"/>
    <w:rsid w:val="00707140"/>
    <w:rsid w:val="007076C9"/>
    <w:rsid w:val="00707A69"/>
    <w:rsid w:val="00710776"/>
    <w:rsid w:val="00710CC1"/>
    <w:rsid w:val="00711599"/>
    <w:rsid w:val="007115C1"/>
    <w:rsid w:val="007118FC"/>
    <w:rsid w:val="00711D69"/>
    <w:rsid w:val="0071230D"/>
    <w:rsid w:val="00712389"/>
    <w:rsid w:val="00712B91"/>
    <w:rsid w:val="00712C18"/>
    <w:rsid w:val="007133F2"/>
    <w:rsid w:val="007140A2"/>
    <w:rsid w:val="00714C85"/>
    <w:rsid w:val="00714FEB"/>
    <w:rsid w:val="007153DD"/>
    <w:rsid w:val="00715C66"/>
    <w:rsid w:val="00715DFD"/>
    <w:rsid w:val="00715FCC"/>
    <w:rsid w:val="00716191"/>
    <w:rsid w:val="00716A9C"/>
    <w:rsid w:val="00716CCE"/>
    <w:rsid w:val="007170DB"/>
    <w:rsid w:val="00717547"/>
    <w:rsid w:val="007179A3"/>
    <w:rsid w:val="00717FC9"/>
    <w:rsid w:val="00720091"/>
    <w:rsid w:val="007200AD"/>
    <w:rsid w:val="0072068B"/>
    <w:rsid w:val="0072082C"/>
    <w:rsid w:val="00720ACF"/>
    <w:rsid w:val="00720F6E"/>
    <w:rsid w:val="00721458"/>
    <w:rsid w:val="007216F1"/>
    <w:rsid w:val="007216F7"/>
    <w:rsid w:val="00721A07"/>
    <w:rsid w:val="00722798"/>
    <w:rsid w:val="007231F7"/>
    <w:rsid w:val="00723ADA"/>
    <w:rsid w:val="00723E32"/>
    <w:rsid w:val="0072418E"/>
    <w:rsid w:val="00725A43"/>
    <w:rsid w:val="00725ABD"/>
    <w:rsid w:val="00725E90"/>
    <w:rsid w:val="00726C36"/>
    <w:rsid w:val="00726CB2"/>
    <w:rsid w:val="00727861"/>
    <w:rsid w:val="00727AFE"/>
    <w:rsid w:val="007300B4"/>
    <w:rsid w:val="00730162"/>
    <w:rsid w:val="00730C46"/>
    <w:rsid w:val="00730DBC"/>
    <w:rsid w:val="00730E3F"/>
    <w:rsid w:val="00731A2B"/>
    <w:rsid w:val="007326B9"/>
    <w:rsid w:val="007329EC"/>
    <w:rsid w:val="00732A27"/>
    <w:rsid w:val="00732BE9"/>
    <w:rsid w:val="00732D10"/>
    <w:rsid w:val="00732DB3"/>
    <w:rsid w:val="00732DD6"/>
    <w:rsid w:val="00733943"/>
    <w:rsid w:val="00733976"/>
    <w:rsid w:val="00733D65"/>
    <w:rsid w:val="00733DC4"/>
    <w:rsid w:val="00733E8D"/>
    <w:rsid w:val="00734003"/>
    <w:rsid w:val="007343A8"/>
    <w:rsid w:val="0073479F"/>
    <w:rsid w:val="00735C5F"/>
    <w:rsid w:val="00735CD5"/>
    <w:rsid w:val="00736389"/>
    <w:rsid w:val="00736ACC"/>
    <w:rsid w:val="00736D4E"/>
    <w:rsid w:val="00737310"/>
    <w:rsid w:val="00737701"/>
    <w:rsid w:val="007379D7"/>
    <w:rsid w:val="00740362"/>
    <w:rsid w:val="007407B0"/>
    <w:rsid w:val="00740D2A"/>
    <w:rsid w:val="007410C2"/>
    <w:rsid w:val="00741715"/>
    <w:rsid w:val="007418AF"/>
    <w:rsid w:val="00741F36"/>
    <w:rsid w:val="00742FF3"/>
    <w:rsid w:val="007433FB"/>
    <w:rsid w:val="00743982"/>
    <w:rsid w:val="00743EF4"/>
    <w:rsid w:val="0074494B"/>
    <w:rsid w:val="00744C0E"/>
    <w:rsid w:val="007451EE"/>
    <w:rsid w:val="007456D7"/>
    <w:rsid w:val="00746274"/>
    <w:rsid w:val="007464FA"/>
    <w:rsid w:val="0074687F"/>
    <w:rsid w:val="0074711F"/>
    <w:rsid w:val="00747299"/>
    <w:rsid w:val="0075086D"/>
    <w:rsid w:val="00750C8B"/>
    <w:rsid w:val="00750D2A"/>
    <w:rsid w:val="00750DCA"/>
    <w:rsid w:val="00751391"/>
    <w:rsid w:val="007514C0"/>
    <w:rsid w:val="00751A8E"/>
    <w:rsid w:val="007522D2"/>
    <w:rsid w:val="00752607"/>
    <w:rsid w:val="00752B9B"/>
    <w:rsid w:val="00753708"/>
    <w:rsid w:val="00753B7C"/>
    <w:rsid w:val="00753EFD"/>
    <w:rsid w:val="0075427C"/>
    <w:rsid w:val="007548B9"/>
    <w:rsid w:val="007549FA"/>
    <w:rsid w:val="0075514F"/>
    <w:rsid w:val="00755368"/>
    <w:rsid w:val="007558E4"/>
    <w:rsid w:val="007571C1"/>
    <w:rsid w:val="00757350"/>
    <w:rsid w:val="007574B1"/>
    <w:rsid w:val="0075757A"/>
    <w:rsid w:val="007576C9"/>
    <w:rsid w:val="00760AAE"/>
    <w:rsid w:val="00760FAC"/>
    <w:rsid w:val="007611FF"/>
    <w:rsid w:val="0076138E"/>
    <w:rsid w:val="007615A3"/>
    <w:rsid w:val="00761623"/>
    <w:rsid w:val="00761633"/>
    <w:rsid w:val="00761724"/>
    <w:rsid w:val="00761A32"/>
    <w:rsid w:val="007622F1"/>
    <w:rsid w:val="00762F26"/>
    <w:rsid w:val="007630D5"/>
    <w:rsid w:val="0076379A"/>
    <w:rsid w:val="00763B08"/>
    <w:rsid w:val="00764B3B"/>
    <w:rsid w:val="00764EC9"/>
    <w:rsid w:val="007659B7"/>
    <w:rsid w:val="00765AF5"/>
    <w:rsid w:val="00765AFE"/>
    <w:rsid w:val="00766A28"/>
    <w:rsid w:val="00766F26"/>
    <w:rsid w:val="007672C1"/>
    <w:rsid w:val="0077005C"/>
    <w:rsid w:val="007700A3"/>
    <w:rsid w:val="007702D1"/>
    <w:rsid w:val="00770864"/>
    <w:rsid w:val="00772846"/>
    <w:rsid w:val="007731A0"/>
    <w:rsid w:val="00773286"/>
    <w:rsid w:val="00773E87"/>
    <w:rsid w:val="0077437F"/>
    <w:rsid w:val="00774899"/>
    <w:rsid w:val="00774CC1"/>
    <w:rsid w:val="00774F94"/>
    <w:rsid w:val="0077523A"/>
    <w:rsid w:val="00775C6D"/>
    <w:rsid w:val="007760DD"/>
    <w:rsid w:val="007765D8"/>
    <w:rsid w:val="00777B10"/>
    <w:rsid w:val="00781550"/>
    <w:rsid w:val="00782898"/>
    <w:rsid w:val="0078339D"/>
    <w:rsid w:val="00784FBE"/>
    <w:rsid w:val="007854D3"/>
    <w:rsid w:val="0078663B"/>
    <w:rsid w:val="00786F39"/>
    <w:rsid w:val="00787342"/>
    <w:rsid w:val="0079007C"/>
    <w:rsid w:val="00790225"/>
    <w:rsid w:val="00791308"/>
    <w:rsid w:val="0079191D"/>
    <w:rsid w:val="007920AE"/>
    <w:rsid w:val="007927CD"/>
    <w:rsid w:val="00792F8F"/>
    <w:rsid w:val="0079343E"/>
    <w:rsid w:val="00793869"/>
    <w:rsid w:val="00795865"/>
    <w:rsid w:val="00796064"/>
    <w:rsid w:val="0079689E"/>
    <w:rsid w:val="00797609"/>
    <w:rsid w:val="00797AC5"/>
    <w:rsid w:val="00797CA7"/>
    <w:rsid w:val="007A00D3"/>
    <w:rsid w:val="007A070B"/>
    <w:rsid w:val="007A0D62"/>
    <w:rsid w:val="007A134A"/>
    <w:rsid w:val="007A1B76"/>
    <w:rsid w:val="007A1B92"/>
    <w:rsid w:val="007A1D94"/>
    <w:rsid w:val="007A20CF"/>
    <w:rsid w:val="007A2309"/>
    <w:rsid w:val="007A2386"/>
    <w:rsid w:val="007A393B"/>
    <w:rsid w:val="007A4390"/>
    <w:rsid w:val="007A4F01"/>
    <w:rsid w:val="007A529F"/>
    <w:rsid w:val="007A539E"/>
    <w:rsid w:val="007A546C"/>
    <w:rsid w:val="007A6DA5"/>
    <w:rsid w:val="007A6E27"/>
    <w:rsid w:val="007A6E70"/>
    <w:rsid w:val="007B094E"/>
    <w:rsid w:val="007B1146"/>
    <w:rsid w:val="007B163C"/>
    <w:rsid w:val="007B1F93"/>
    <w:rsid w:val="007B2075"/>
    <w:rsid w:val="007B21AF"/>
    <w:rsid w:val="007B2341"/>
    <w:rsid w:val="007B2B97"/>
    <w:rsid w:val="007B2D5E"/>
    <w:rsid w:val="007B4335"/>
    <w:rsid w:val="007B4445"/>
    <w:rsid w:val="007B49D7"/>
    <w:rsid w:val="007B4D4B"/>
    <w:rsid w:val="007B4E2F"/>
    <w:rsid w:val="007B5105"/>
    <w:rsid w:val="007B5CA8"/>
    <w:rsid w:val="007B6A13"/>
    <w:rsid w:val="007B6B70"/>
    <w:rsid w:val="007B6DCF"/>
    <w:rsid w:val="007B6DD5"/>
    <w:rsid w:val="007B731F"/>
    <w:rsid w:val="007B7434"/>
    <w:rsid w:val="007B7DB5"/>
    <w:rsid w:val="007B7DED"/>
    <w:rsid w:val="007B7EE7"/>
    <w:rsid w:val="007C0480"/>
    <w:rsid w:val="007C04D6"/>
    <w:rsid w:val="007C06D9"/>
    <w:rsid w:val="007C0F0F"/>
    <w:rsid w:val="007C133B"/>
    <w:rsid w:val="007C13A4"/>
    <w:rsid w:val="007C166B"/>
    <w:rsid w:val="007C169D"/>
    <w:rsid w:val="007C17A1"/>
    <w:rsid w:val="007C199F"/>
    <w:rsid w:val="007C2573"/>
    <w:rsid w:val="007C34D8"/>
    <w:rsid w:val="007C4141"/>
    <w:rsid w:val="007C43C8"/>
    <w:rsid w:val="007C50CA"/>
    <w:rsid w:val="007C5E8A"/>
    <w:rsid w:val="007C5FF0"/>
    <w:rsid w:val="007C61D4"/>
    <w:rsid w:val="007C68E7"/>
    <w:rsid w:val="007C73AE"/>
    <w:rsid w:val="007C7815"/>
    <w:rsid w:val="007D073A"/>
    <w:rsid w:val="007D0F1B"/>
    <w:rsid w:val="007D12C6"/>
    <w:rsid w:val="007D1441"/>
    <w:rsid w:val="007D144C"/>
    <w:rsid w:val="007D1611"/>
    <w:rsid w:val="007D1F24"/>
    <w:rsid w:val="007D2259"/>
    <w:rsid w:val="007D22F5"/>
    <w:rsid w:val="007D250D"/>
    <w:rsid w:val="007D278E"/>
    <w:rsid w:val="007D2A2F"/>
    <w:rsid w:val="007D2A47"/>
    <w:rsid w:val="007D2B0C"/>
    <w:rsid w:val="007D3AEF"/>
    <w:rsid w:val="007D4356"/>
    <w:rsid w:val="007D49A7"/>
    <w:rsid w:val="007D5362"/>
    <w:rsid w:val="007D71E5"/>
    <w:rsid w:val="007D73AA"/>
    <w:rsid w:val="007D7ABD"/>
    <w:rsid w:val="007E10BD"/>
    <w:rsid w:val="007E12C9"/>
    <w:rsid w:val="007E163E"/>
    <w:rsid w:val="007E19CE"/>
    <w:rsid w:val="007E2761"/>
    <w:rsid w:val="007E3773"/>
    <w:rsid w:val="007E37F3"/>
    <w:rsid w:val="007E3AA0"/>
    <w:rsid w:val="007E454E"/>
    <w:rsid w:val="007E4CAB"/>
    <w:rsid w:val="007E52DB"/>
    <w:rsid w:val="007E5EE3"/>
    <w:rsid w:val="007E61AB"/>
    <w:rsid w:val="007E68E6"/>
    <w:rsid w:val="007E6E59"/>
    <w:rsid w:val="007E7B92"/>
    <w:rsid w:val="007E7CAA"/>
    <w:rsid w:val="007E7F98"/>
    <w:rsid w:val="007F02EA"/>
    <w:rsid w:val="007F05A6"/>
    <w:rsid w:val="007F08C8"/>
    <w:rsid w:val="007F0A39"/>
    <w:rsid w:val="007F0C70"/>
    <w:rsid w:val="007F199B"/>
    <w:rsid w:val="007F1FB0"/>
    <w:rsid w:val="007F2132"/>
    <w:rsid w:val="007F238B"/>
    <w:rsid w:val="007F2C9C"/>
    <w:rsid w:val="007F312A"/>
    <w:rsid w:val="007F3554"/>
    <w:rsid w:val="007F3D8F"/>
    <w:rsid w:val="007F4361"/>
    <w:rsid w:val="007F48DF"/>
    <w:rsid w:val="007F4A51"/>
    <w:rsid w:val="007F4A5B"/>
    <w:rsid w:val="007F549B"/>
    <w:rsid w:val="007F581C"/>
    <w:rsid w:val="007F62BF"/>
    <w:rsid w:val="007F65D6"/>
    <w:rsid w:val="007F7138"/>
    <w:rsid w:val="007F746A"/>
    <w:rsid w:val="007F7586"/>
    <w:rsid w:val="007F7680"/>
    <w:rsid w:val="007F7A98"/>
    <w:rsid w:val="007F7BA1"/>
    <w:rsid w:val="00800158"/>
    <w:rsid w:val="00800217"/>
    <w:rsid w:val="00800696"/>
    <w:rsid w:val="00800ADB"/>
    <w:rsid w:val="00801602"/>
    <w:rsid w:val="00801AC4"/>
    <w:rsid w:val="0080218A"/>
    <w:rsid w:val="008022FF"/>
    <w:rsid w:val="00802D69"/>
    <w:rsid w:val="00802E58"/>
    <w:rsid w:val="008032FA"/>
    <w:rsid w:val="00803FDE"/>
    <w:rsid w:val="00804238"/>
    <w:rsid w:val="008061C7"/>
    <w:rsid w:val="008063BB"/>
    <w:rsid w:val="00806655"/>
    <w:rsid w:val="00806987"/>
    <w:rsid w:val="00806A4F"/>
    <w:rsid w:val="00806AE8"/>
    <w:rsid w:val="00806E11"/>
    <w:rsid w:val="00810E11"/>
    <w:rsid w:val="00811004"/>
    <w:rsid w:val="008111A3"/>
    <w:rsid w:val="008118A1"/>
    <w:rsid w:val="00811DB6"/>
    <w:rsid w:val="00811EC2"/>
    <w:rsid w:val="00811FD7"/>
    <w:rsid w:val="008120B9"/>
    <w:rsid w:val="008121BD"/>
    <w:rsid w:val="00812BB5"/>
    <w:rsid w:val="00813908"/>
    <w:rsid w:val="00814E45"/>
    <w:rsid w:val="008159FD"/>
    <w:rsid w:val="008166BC"/>
    <w:rsid w:val="00817459"/>
    <w:rsid w:val="00817A31"/>
    <w:rsid w:val="00820275"/>
    <w:rsid w:val="008202C4"/>
    <w:rsid w:val="00820550"/>
    <w:rsid w:val="00820959"/>
    <w:rsid w:val="0082123E"/>
    <w:rsid w:val="00821C91"/>
    <w:rsid w:val="0082230C"/>
    <w:rsid w:val="008228C0"/>
    <w:rsid w:val="0082326B"/>
    <w:rsid w:val="00823578"/>
    <w:rsid w:val="00824574"/>
    <w:rsid w:val="008253D4"/>
    <w:rsid w:val="008263E0"/>
    <w:rsid w:val="00826BD3"/>
    <w:rsid w:val="008307AF"/>
    <w:rsid w:val="00830E64"/>
    <w:rsid w:val="0083119D"/>
    <w:rsid w:val="00831792"/>
    <w:rsid w:val="00831EF2"/>
    <w:rsid w:val="0083207F"/>
    <w:rsid w:val="008320F4"/>
    <w:rsid w:val="00832410"/>
    <w:rsid w:val="008325B5"/>
    <w:rsid w:val="00832EFF"/>
    <w:rsid w:val="008332C8"/>
    <w:rsid w:val="0083352F"/>
    <w:rsid w:val="008338F9"/>
    <w:rsid w:val="0083390D"/>
    <w:rsid w:val="008339AB"/>
    <w:rsid w:val="008339D5"/>
    <w:rsid w:val="00834866"/>
    <w:rsid w:val="00834E6E"/>
    <w:rsid w:val="008352D2"/>
    <w:rsid w:val="00835670"/>
    <w:rsid w:val="008357D3"/>
    <w:rsid w:val="00835C2B"/>
    <w:rsid w:val="00835F2E"/>
    <w:rsid w:val="008378D1"/>
    <w:rsid w:val="00837BBA"/>
    <w:rsid w:val="00837DAF"/>
    <w:rsid w:val="00840195"/>
    <w:rsid w:val="008403DB"/>
    <w:rsid w:val="00840C0E"/>
    <w:rsid w:val="00840D9C"/>
    <w:rsid w:val="0084121E"/>
    <w:rsid w:val="00841BBC"/>
    <w:rsid w:val="00841C36"/>
    <w:rsid w:val="0084288C"/>
    <w:rsid w:val="008434C6"/>
    <w:rsid w:val="008443EC"/>
    <w:rsid w:val="00844997"/>
    <w:rsid w:val="008461B4"/>
    <w:rsid w:val="00846A56"/>
    <w:rsid w:val="00847ED1"/>
    <w:rsid w:val="008508CE"/>
    <w:rsid w:val="00850EC1"/>
    <w:rsid w:val="008514AE"/>
    <w:rsid w:val="00851B72"/>
    <w:rsid w:val="00852592"/>
    <w:rsid w:val="008525B8"/>
    <w:rsid w:val="00852949"/>
    <w:rsid w:val="0085332C"/>
    <w:rsid w:val="00853460"/>
    <w:rsid w:val="008537CB"/>
    <w:rsid w:val="00853E67"/>
    <w:rsid w:val="0085406E"/>
    <w:rsid w:val="008548BF"/>
    <w:rsid w:val="008554FE"/>
    <w:rsid w:val="008558A0"/>
    <w:rsid w:val="00855F10"/>
    <w:rsid w:val="0085688E"/>
    <w:rsid w:val="00856CD1"/>
    <w:rsid w:val="00856FF4"/>
    <w:rsid w:val="00857462"/>
    <w:rsid w:val="0085748F"/>
    <w:rsid w:val="008574F3"/>
    <w:rsid w:val="00857A48"/>
    <w:rsid w:val="00860A05"/>
    <w:rsid w:val="00860C42"/>
    <w:rsid w:val="00861251"/>
    <w:rsid w:val="0086127D"/>
    <w:rsid w:val="008615D5"/>
    <w:rsid w:val="00861C43"/>
    <w:rsid w:val="00861D9B"/>
    <w:rsid w:val="00861ECA"/>
    <w:rsid w:val="00862874"/>
    <w:rsid w:val="00862D90"/>
    <w:rsid w:val="00863C30"/>
    <w:rsid w:val="008640CF"/>
    <w:rsid w:val="00865057"/>
    <w:rsid w:val="00865FD2"/>
    <w:rsid w:val="00866DE2"/>
    <w:rsid w:val="00867A47"/>
    <w:rsid w:val="00867C3F"/>
    <w:rsid w:val="00870884"/>
    <w:rsid w:val="00870A51"/>
    <w:rsid w:val="00870E59"/>
    <w:rsid w:val="0087152A"/>
    <w:rsid w:val="008715CD"/>
    <w:rsid w:val="00872171"/>
    <w:rsid w:val="00872AC2"/>
    <w:rsid w:val="00873A86"/>
    <w:rsid w:val="00873B57"/>
    <w:rsid w:val="00873C14"/>
    <w:rsid w:val="008743BD"/>
    <w:rsid w:val="008745FA"/>
    <w:rsid w:val="0087546A"/>
    <w:rsid w:val="008759B2"/>
    <w:rsid w:val="00875AD7"/>
    <w:rsid w:val="00875F3A"/>
    <w:rsid w:val="00876F16"/>
    <w:rsid w:val="0087715B"/>
    <w:rsid w:val="00877D27"/>
    <w:rsid w:val="0088023D"/>
    <w:rsid w:val="00880562"/>
    <w:rsid w:val="008807F7"/>
    <w:rsid w:val="00881B90"/>
    <w:rsid w:val="00881D06"/>
    <w:rsid w:val="00882537"/>
    <w:rsid w:val="00882E68"/>
    <w:rsid w:val="00883190"/>
    <w:rsid w:val="00883367"/>
    <w:rsid w:val="00884786"/>
    <w:rsid w:val="008850EC"/>
    <w:rsid w:val="008857E1"/>
    <w:rsid w:val="00885BB0"/>
    <w:rsid w:val="00886A05"/>
    <w:rsid w:val="00886E1C"/>
    <w:rsid w:val="0088707B"/>
    <w:rsid w:val="00890854"/>
    <w:rsid w:val="00891651"/>
    <w:rsid w:val="00891694"/>
    <w:rsid w:val="0089180A"/>
    <w:rsid w:val="00891E94"/>
    <w:rsid w:val="00892352"/>
    <w:rsid w:val="008930E8"/>
    <w:rsid w:val="008931B3"/>
    <w:rsid w:val="008935CE"/>
    <w:rsid w:val="0089442D"/>
    <w:rsid w:val="008944F2"/>
    <w:rsid w:val="00895521"/>
    <w:rsid w:val="00895BB0"/>
    <w:rsid w:val="008960B1"/>
    <w:rsid w:val="00896270"/>
    <w:rsid w:val="0089703A"/>
    <w:rsid w:val="00897242"/>
    <w:rsid w:val="00897EB7"/>
    <w:rsid w:val="008A00B6"/>
    <w:rsid w:val="008A059C"/>
    <w:rsid w:val="008A0EAF"/>
    <w:rsid w:val="008A1433"/>
    <w:rsid w:val="008A19E2"/>
    <w:rsid w:val="008A1D45"/>
    <w:rsid w:val="008A2867"/>
    <w:rsid w:val="008A37EA"/>
    <w:rsid w:val="008A3CF2"/>
    <w:rsid w:val="008A3F37"/>
    <w:rsid w:val="008A46A1"/>
    <w:rsid w:val="008A5343"/>
    <w:rsid w:val="008A5927"/>
    <w:rsid w:val="008A5B3C"/>
    <w:rsid w:val="008A6123"/>
    <w:rsid w:val="008B0222"/>
    <w:rsid w:val="008B02D9"/>
    <w:rsid w:val="008B0696"/>
    <w:rsid w:val="008B0C56"/>
    <w:rsid w:val="008B1AA0"/>
    <w:rsid w:val="008B1AC8"/>
    <w:rsid w:val="008B1B25"/>
    <w:rsid w:val="008B26F2"/>
    <w:rsid w:val="008B2EDE"/>
    <w:rsid w:val="008B30B1"/>
    <w:rsid w:val="008B41E8"/>
    <w:rsid w:val="008B41F6"/>
    <w:rsid w:val="008B434E"/>
    <w:rsid w:val="008B48DD"/>
    <w:rsid w:val="008B5439"/>
    <w:rsid w:val="008B59D2"/>
    <w:rsid w:val="008B7596"/>
    <w:rsid w:val="008B7B29"/>
    <w:rsid w:val="008B7BC3"/>
    <w:rsid w:val="008C1830"/>
    <w:rsid w:val="008C35CF"/>
    <w:rsid w:val="008C3B05"/>
    <w:rsid w:val="008C43BB"/>
    <w:rsid w:val="008C5957"/>
    <w:rsid w:val="008C5993"/>
    <w:rsid w:val="008C6703"/>
    <w:rsid w:val="008C6B5C"/>
    <w:rsid w:val="008C73DD"/>
    <w:rsid w:val="008C74D6"/>
    <w:rsid w:val="008C7577"/>
    <w:rsid w:val="008C7F50"/>
    <w:rsid w:val="008C7FE2"/>
    <w:rsid w:val="008D1827"/>
    <w:rsid w:val="008D203E"/>
    <w:rsid w:val="008D2482"/>
    <w:rsid w:val="008D2BFE"/>
    <w:rsid w:val="008D31A2"/>
    <w:rsid w:val="008D329A"/>
    <w:rsid w:val="008D3D49"/>
    <w:rsid w:val="008D41CE"/>
    <w:rsid w:val="008D41F9"/>
    <w:rsid w:val="008D42C7"/>
    <w:rsid w:val="008D4B89"/>
    <w:rsid w:val="008D4CB0"/>
    <w:rsid w:val="008D5110"/>
    <w:rsid w:val="008D5ABC"/>
    <w:rsid w:val="008D60EA"/>
    <w:rsid w:val="008D6441"/>
    <w:rsid w:val="008D7A43"/>
    <w:rsid w:val="008D7F00"/>
    <w:rsid w:val="008E0139"/>
    <w:rsid w:val="008E0184"/>
    <w:rsid w:val="008E0329"/>
    <w:rsid w:val="008E0DA8"/>
    <w:rsid w:val="008E1073"/>
    <w:rsid w:val="008E1145"/>
    <w:rsid w:val="008E13B7"/>
    <w:rsid w:val="008E24E6"/>
    <w:rsid w:val="008E2BEB"/>
    <w:rsid w:val="008E391C"/>
    <w:rsid w:val="008E415E"/>
    <w:rsid w:val="008E4386"/>
    <w:rsid w:val="008E4D04"/>
    <w:rsid w:val="008E50E4"/>
    <w:rsid w:val="008E5208"/>
    <w:rsid w:val="008E593E"/>
    <w:rsid w:val="008E597E"/>
    <w:rsid w:val="008E6411"/>
    <w:rsid w:val="008E6BD6"/>
    <w:rsid w:val="008E700C"/>
    <w:rsid w:val="008E704B"/>
    <w:rsid w:val="008E7069"/>
    <w:rsid w:val="008E786D"/>
    <w:rsid w:val="008F00DB"/>
    <w:rsid w:val="008F0380"/>
    <w:rsid w:val="008F0464"/>
    <w:rsid w:val="008F052F"/>
    <w:rsid w:val="008F083A"/>
    <w:rsid w:val="008F10B5"/>
    <w:rsid w:val="008F3210"/>
    <w:rsid w:val="008F324B"/>
    <w:rsid w:val="008F3A13"/>
    <w:rsid w:val="008F3B9C"/>
    <w:rsid w:val="008F43B8"/>
    <w:rsid w:val="008F4697"/>
    <w:rsid w:val="008F4775"/>
    <w:rsid w:val="008F4F83"/>
    <w:rsid w:val="008F5175"/>
    <w:rsid w:val="008F5232"/>
    <w:rsid w:val="008F5236"/>
    <w:rsid w:val="008F591A"/>
    <w:rsid w:val="008F595C"/>
    <w:rsid w:val="008F5B59"/>
    <w:rsid w:val="008F5BE3"/>
    <w:rsid w:val="008F5E4E"/>
    <w:rsid w:val="008F61A7"/>
    <w:rsid w:val="008F641C"/>
    <w:rsid w:val="008F6964"/>
    <w:rsid w:val="008F6EAD"/>
    <w:rsid w:val="008F6F93"/>
    <w:rsid w:val="008F78B2"/>
    <w:rsid w:val="009000CC"/>
    <w:rsid w:val="0090046D"/>
    <w:rsid w:val="00901CDD"/>
    <w:rsid w:val="00902304"/>
    <w:rsid w:val="009024DF"/>
    <w:rsid w:val="00902C26"/>
    <w:rsid w:val="00902D26"/>
    <w:rsid w:val="00903311"/>
    <w:rsid w:val="00903A04"/>
    <w:rsid w:val="00903B41"/>
    <w:rsid w:val="00903E1D"/>
    <w:rsid w:val="00904747"/>
    <w:rsid w:val="00904841"/>
    <w:rsid w:val="00906DE9"/>
    <w:rsid w:val="00906F3F"/>
    <w:rsid w:val="00907289"/>
    <w:rsid w:val="00910863"/>
    <w:rsid w:val="00911470"/>
    <w:rsid w:val="0091160F"/>
    <w:rsid w:val="00911F97"/>
    <w:rsid w:val="0091201A"/>
    <w:rsid w:val="00912131"/>
    <w:rsid w:val="00912350"/>
    <w:rsid w:val="00912878"/>
    <w:rsid w:val="009128E5"/>
    <w:rsid w:val="009137B2"/>
    <w:rsid w:val="00913B43"/>
    <w:rsid w:val="009153C3"/>
    <w:rsid w:val="00915D87"/>
    <w:rsid w:val="00915E05"/>
    <w:rsid w:val="00915FB5"/>
    <w:rsid w:val="009160C1"/>
    <w:rsid w:val="009161DC"/>
    <w:rsid w:val="00916B25"/>
    <w:rsid w:val="00916DAB"/>
    <w:rsid w:val="00917489"/>
    <w:rsid w:val="00920231"/>
    <w:rsid w:val="0092046C"/>
    <w:rsid w:val="00920A57"/>
    <w:rsid w:val="00920FF9"/>
    <w:rsid w:val="009213D3"/>
    <w:rsid w:val="00921EC2"/>
    <w:rsid w:val="009222EF"/>
    <w:rsid w:val="00922BD0"/>
    <w:rsid w:val="00922F56"/>
    <w:rsid w:val="00923250"/>
    <w:rsid w:val="00923B53"/>
    <w:rsid w:val="00923D22"/>
    <w:rsid w:val="0092468B"/>
    <w:rsid w:val="0092494A"/>
    <w:rsid w:val="00924C9A"/>
    <w:rsid w:val="00925589"/>
    <w:rsid w:val="00925867"/>
    <w:rsid w:val="00925CFF"/>
    <w:rsid w:val="00926451"/>
    <w:rsid w:val="00926775"/>
    <w:rsid w:val="009268FB"/>
    <w:rsid w:val="00926F00"/>
    <w:rsid w:val="0092780B"/>
    <w:rsid w:val="00927D1B"/>
    <w:rsid w:val="00930092"/>
    <w:rsid w:val="009300CB"/>
    <w:rsid w:val="009305B5"/>
    <w:rsid w:val="00930CFB"/>
    <w:rsid w:val="0093209F"/>
    <w:rsid w:val="009327BB"/>
    <w:rsid w:val="00932F4E"/>
    <w:rsid w:val="00933301"/>
    <w:rsid w:val="00933BDD"/>
    <w:rsid w:val="00934673"/>
    <w:rsid w:val="009346AF"/>
    <w:rsid w:val="00934E27"/>
    <w:rsid w:val="00934F42"/>
    <w:rsid w:val="009350E2"/>
    <w:rsid w:val="00935193"/>
    <w:rsid w:val="00935A9E"/>
    <w:rsid w:val="00935AC4"/>
    <w:rsid w:val="00936857"/>
    <w:rsid w:val="0094010C"/>
    <w:rsid w:val="0094026C"/>
    <w:rsid w:val="00940398"/>
    <w:rsid w:val="00941038"/>
    <w:rsid w:val="00941995"/>
    <w:rsid w:val="00942474"/>
    <w:rsid w:val="009426EF"/>
    <w:rsid w:val="009429C4"/>
    <w:rsid w:val="00942C48"/>
    <w:rsid w:val="00943AE4"/>
    <w:rsid w:val="00943DD5"/>
    <w:rsid w:val="00944762"/>
    <w:rsid w:val="00945B5B"/>
    <w:rsid w:val="00945E3F"/>
    <w:rsid w:val="009461F8"/>
    <w:rsid w:val="009462FE"/>
    <w:rsid w:val="00946B95"/>
    <w:rsid w:val="00947821"/>
    <w:rsid w:val="00947C1B"/>
    <w:rsid w:val="00950154"/>
    <w:rsid w:val="0095051F"/>
    <w:rsid w:val="00950ACF"/>
    <w:rsid w:val="00952586"/>
    <w:rsid w:val="009529B2"/>
    <w:rsid w:val="00952D0C"/>
    <w:rsid w:val="009530E5"/>
    <w:rsid w:val="0095321D"/>
    <w:rsid w:val="00953B74"/>
    <w:rsid w:val="00953C0A"/>
    <w:rsid w:val="00953FD0"/>
    <w:rsid w:val="00955887"/>
    <w:rsid w:val="00955E23"/>
    <w:rsid w:val="00956059"/>
    <w:rsid w:val="009560F2"/>
    <w:rsid w:val="009563BF"/>
    <w:rsid w:val="00956EE1"/>
    <w:rsid w:val="00957EED"/>
    <w:rsid w:val="00957F3D"/>
    <w:rsid w:val="00960527"/>
    <w:rsid w:val="00960577"/>
    <w:rsid w:val="00960868"/>
    <w:rsid w:val="00960D1D"/>
    <w:rsid w:val="00961484"/>
    <w:rsid w:val="00961DFC"/>
    <w:rsid w:val="00961E24"/>
    <w:rsid w:val="0096204A"/>
    <w:rsid w:val="00962150"/>
    <w:rsid w:val="00962542"/>
    <w:rsid w:val="00962706"/>
    <w:rsid w:val="009629D1"/>
    <w:rsid w:val="009636AA"/>
    <w:rsid w:val="00963804"/>
    <w:rsid w:val="009641B9"/>
    <w:rsid w:val="00964C0B"/>
    <w:rsid w:val="00964E8D"/>
    <w:rsid w:val="00965045"/>
    <w:rsid w:val="00965363"/>
    <w:rsid w:val="00965570"/>
    <w:rsid w:val="0096574E"/>
    <w:rsid w:val="00966CA3"/>
    <w:rsid w:val="009671DA"/>
    <w:rsid w:val="009676D7"/>
    <w:rsid w:val="009676DC"/>
    <w:rsid w:val="009704DE"/>
    <w:rsid w:val="009705EE"/>
    <w:rsid w:val="009711CB"/>
    <w:rsid w:val="00971A8C"/>
    <w:rsid w:val="00971F80"/>
    <w:rsid w:val="00972967"/>
    <w:rsid w:val="00972CDB"/>
    <w:rsid w:val="009732F3"/>
    <w:rsid w:val="00974AE0"/>
    <w:rsid w:val="00974DB8"/>
    <w:rsid w:val="00975266"/>
    <w:rsid w:val="009753D6"/>
    <w:rsid w:val="0097646D"/>
    <w:rsid w:val="009765AD"/>
    <w:rsid w:val="00977252"/>
    <w:rsid w:val="00977F91"/>
    <w:rsid w:val="00980191"/>
    <w:rsid w:val="0098023C"/>
    <w:rsid w:val="00980294"/>
    <w:rsid w:val="00980561"/>
    <w:rsid w:val="00980AF3"/>
    <w:rsid w:val="009812F2"/>
    <w:rsid w:val="009817B9"/>
    <w:rsid w:val="00981EE8"/>
    <w:rsid w:val="00982442"/>
    <w:rsid w:val="009825A9"/>
    <w:rsid w:val="00982BFC"/>
    <w:rsid w:val="00982D15"/>
    <w:rsid w:val="0098369D"/>
    <w:rsid w:val="00983DC0"/>
    <w:rsid w:val="0098419C"/>
    <w:rsid w:val="0098493D"/>
    <w:rsid w:val="009849C3"/>
    <w:rsid w:val="00984F1A"/>
    <w:rsid w:val="00985DD0"/>
    <w:rsid w:val="009875BE"/>
    <w:rsid w:val="009879CB"/>
    <w:rsid w:val="009901E4"/>
    <w:rsid w:val="0099022A"/>
    <w:rsid w:val="00990BD1"/>
    <w:rsid w:val="00991816"/>
    <w:rsid w:val="00991F37"/>
    <w:rsid w:val="0099255D"/>
    <w:rsid w:val="009928C4"/>
    <w:rsid w:val="009935F5"/>
    <w:rsid w:val="009940AC"/>
    <w:rsid w:val="0099421D"/>
    <w:rsid w:val="00994D13"/>
    <w:rsid w:val="00996F51"/>
    <w:rsid w:val="0099799A"/>
    <w:rsid w:val="00997D62"/>
    <w:rsid w:val="00997FDC"/>
    <w:rsid w:val="009A00EC"/>
    <w:rsid w:val="009A1172"/>
    <w:rsid w:val="009A1E7E"/>
    <w:rsid w:val="009A28B8"/>
    <w:rsid w:val="009A2B94"/>
    <w:rsid w:val="009A32AC"/>
    <w:rsid w:val="009A3896"/>
    <w:rsid w:val="009A4379"/>
    <w:rsid w:val="009A5BB6"/>
    <w:rsid w:val="009A642C"/>
    <w:rsid w:val="009A644A"/>
    <w:rsid w:val="009A673B"/>
    <w:rsid w:val="009A68E2"/>
    <w:rsid w:val="009A6C7A"/>
    <w:rsid w:val="009A6F4B"/>
    <w:rsid w:val="009A727B"/>
    <w:rsid w:val="009A73F3"/>
    <w:rsid w:val="009A7C7B"/>
    <w:rsid w:val="009A7FD3"/>
    <w:rsid w:val="009B119C"/>
    <w:rsid w:val="009B163E"/>
    <w:rsid w:val="009B1B20"/>
    <w:rsid w:val="009B2A6E"/>
    <w:rsid w:val="009B2BF8"/>
    <w:rsid w:val="009B2E51"/>
    <w:rsid w:val="009B33C0"/>
    <w:rsid w:val="009B3632"/>
    <w:rsid w:val="009B3941"/>
    <w:rsid w:val="009B3E2C"/>
    <w:rsid w:val="009B3F61"/>
    <w:rsid w:val="009B57DA"/>
    <w:rsid w:val="009B61D4"/>
    <w:rsid w:val="009B65E0"/>
    <w:rsid w:val="009B675F"/>
    <w:rsid w:val="009B6B3E"/>
    <w:rsid w:val="009B6D48"/>
    <w:rsid w:val="009B727E"/>
    <w:rsid w:val="009B73F9"/>
    <w:rsid w:val="009B7A2D"/>
    <w:rsid w:val="009C0CEA"/>
    <w:rsid w:val="009C101F"/>
    <w:rsid w:val="009C12CF"/>
    <w:rsid w:val="009C142C"/>
    <w:rsid w:val="009C2317"/>
    <w:rsid w:val="009C23CF"/>
    <w:rsid w:val="009C28C9"/>
    <w:rsid w:val="009C3E93"/>
    <w:rsid w:val="009C44B2"/>
    <w:rsid w:val="009C4D5B"/>
    <w:rsid w:val="009C5083"/>
    <w:rsid w:val="009C5440"/>
    <w:rsid w:val="009C5A22"/>
    <w:rsid w:val="009C5ADE"/>
    <w:rsid w:val="009C5AEE"/>
    <w:rsid w:val="009C6227"/>
    <w:rsid w:val="009C64A8"/>
    <w:rsid w:val="009C7E16"/>
    <w:rsid w:val="009D03D7"/>
    <w:rsid w:val="009D03FB"/>
    <w:rsid w:val="009D04A7"/>
    <w:rsid w:val="009D07D1"/>
    <w:rsid w:val="009D08C8"/>
    <w:rsid w:val="009D10F5"/>
    <w:rsid w:val="009D1440"/>
    <w:rsid w:val="009D1E7E"/>
    <w:rsid w:val="009D2A00"/>
    <w:rsid w:val="009D3734"/>
    <w:rsid w:val="009D3839"/>
    <w:rsid w:val="009D39B0"/>
    <w:rsid w:val="009D43BC"/>
    <w:rsid w:val="009D4D37"/>
    <w:rsid w:val="009D4E6A"/>
    <w:rsid w:val="009D6416"/>
    <w:rsid w:val="009D74A3"/>
    <w:rsid w:val="009D7B47"/>
    <w:rsid w:val="009D7F90"/>
    <w:rsid w:val="009E03D2"/>
    <w:rsid w:val="009E10FE"/>
    <w:rsid w:val="009E11EE"/>
    <w:rsid w:val="009E17B6"/>
    <w:rsid w:val="009E1830"/>
    <w:rsid w:val="009E18D9"/>
    <w:rsid w:val="009E1CF6"/>
    <w:rsid w:val="009E2640"/>
    <w:rsid w:val="009E26CC"/>
    <w:rsid w:val="009E4221"/>
    <w:rsid w:val="009E46E3"/>
    <w:rsid w:val="009E4D73"/>
    <w:rsid w:val="009E4DD4"/>
    <w:rsid w:val="009E546D"/>
    <w:rsid w:val="009E5DED"/>
    <w:rsid w:val="009E6BA5"/>
    <w:rsid w:val="009E6D91"/>
    <w:rsid w:val="009E6F66"/>
    <w:rsid w:val="009E7131"/>
    <w:rsid w:val="009E730D"/>
    <w:rsid w:val="009F06B9"/>
    <w:rsid w:val="009F1040"/>
    <w:rsid w:val="009F12FB"/>
    <w:rsid w:val="009F153A"/>
    <w:rsid w:val="009F17C2"/>
    <w:rsid w:val="009F20D4"/>
    <w:rsid w:val="009F2BFC"/>
    <w:rsid w:val="009F310A"/>
    <w:rsid w:val="009F31AA"/>
    <w:rsid w:val="009F43BD"/>
    <w:rsid w:val="009F47EA"/>
    <w:rsid w:val="009F50B0"/>
    <w:rsid w:val="009F50CC"/>
    <w:rsid w:val="009F5A63"/>
    <w:rsid w:val="009F6772"/>
    <w:rsid w:val="009F68B0"/>
    <w:rsid w:val="009F6A5F"/>
    <w:rsid w:val="009F6B4E"/>
    <w:rsid w:val="009F6BA3"/>
    <w:rsid w:val="009F6DAF"/>
    <w:rsid w:val="009F7464"/>
    <w:rsid w:val="009F7BC6"/>
    <w:rsid w:val="009F7F5E"/>
    <w:rsid w:val="00A020F8"/>
    <w:rsid w:val="00A02277"/>
    <w:rsid w:val="00A02AF6"/>
    <w:rsid w:val="00A039EC"/>
    <w:rsid w:val="00A03F42"/>
    <w:rsid w:val="00A03F93"/>
    <w:rsid w:val="00A04784"/>
    <w:rsid w:val="00A04BE8"/>
    <w:rsid w:val="00A05EBD"/>
    <w:rsid w:val="00A0617E"/>
    <w:rsid w:val="00A0643B"/>
    <w:rsid w:val="00A0749A"/>
    <w:rsid w:val="00A07C78"/>
    <w:rsid w:val="00A07E2F"/>
    <w:rsid w:val="00A105F4"/>
    <w:rsid w:val="00A107B7"/>
    <w:rsid w:val="00A1090D"/>
    <w:rsid w:val="00A116C3"/>
    <w:rsid w:val="00A123E3"/>
    <w:rsid w:val="00A12B38"/>
    <w:rsid w:val="00A1378A"/>
    <w:rsid w:val="00A13E88"/>
    <w:rsid w:val="00A13FBF"/>
    <w:rsid w:val="00A1415D"/>
    <w:rsid w:val="00A14207"/>
    <w:rsid w:val="00A1429F"/>
    <w:rsid w:val="00A147E1"/>
    <w:rsid w:val="00A15054"/>
    <w:rsid w:val="00A1518E"/>
    <w:rsid w:val="00A1550E"/>
    <w:rsid w:val="00A15B9B"/>
    <w:rsid w:val="00A15CD6"/>
    <w:rsid w:val="00A16962"/>
    <w:rsid w:val="00A16BBF"/>
    <w:rsid w:val="00A16CD9"/>
    <w:rsid w:val="00A170C9"/>
    <w:rsid w:val="00A1777F"/>
    <w:rsid w:val="00A20603"/>
    <w:rsid w:val="00A2069E"/>
    <w:rsid w:val="00A206F4"/>
    <w:rsid w:val="00A20DFC"/>
    <w:rsid w:val="00A2170A"/>
    <w:rsid w:val="00A21A01"/>
    <w:rsid w:val="00A22418"/>
    <w:rsid w:val="00A22AB7"/>
    <w:rsid w:val="00A23A60"/>
    <w:rsid w:val="00A23F6F"/>
    <w:rsid w:val="00A24FD1"/>
    <w:rsid w:val="00A251B2"/>
    <w:rsid w:val="00A261A9"/>
    <w:rsid w:val="00A2623D"/>
    <w:rsid w:val="00A26450"/>
    <w:rsid w:val="00A26FC0"/>
    <w:rsid w:val="00A27A7C"/>
    <w:rsid w:val="00A30077"/>
    <w:rsid w:val="00A314C3"/>
    <w:rsid w:val="00A315E0"/>
    <w:rsid w:val="00A3261A"/>
    <w:rsid w:val="00A32BD4"/>
    <w:rsid w:val="00A33311"/>
    <w:rsid w:val="00A338EF"/>
    <w:rsid w:val="00A339F0"/>
    <w:rsid w:val="00A34217"/>
    <w:rsid w:val="00A3496D"/>
    <w:rsid w:val="00A34C7F"/>
    <w:rsid w:val="00A35181"/>
    <w:rsid w:val="00A35183"/>
    <w:rsid w:val="00A35C1E"/>
    <w:rsid w:val="00A36A2F"/>
    <w:rsid w:val="00A36CBD"/>
    <w:rsid w:val="00A370B1"/>
    <w:rsid w:val="00A40C8B"/>
    <w:rsid w:val="00A40F99"/>
    <w:rsid w:val="00A41E35"/>
    <w:rsid w:val="00A42312"/>
    <w:rsid w:val="00A425E9"/>
    <w:rsid w:val="00A4391A"/>
    <w:rsid w:val="00A43C76"/>
    <w:rsid w:val="00A43DEC"/>
    <w:rsid w:val="00A4477A"/>
    <w:rsid w:val="00A449D4"/>
    <w:rsid w:val="00A44FB3"/>
    <w:rsid w:val="00A45E84"/>
    <w:rsid w:val="00A460F7"/>
    <w:rsid w:val="00A467B5"/>
    <w:rsid w:val="00A468DF"/>
    <w:rsid w:val="00A469DA"/>
    <w:rsid w:val="00A46F31"/>
    <w:rsid w:val="00A46F36"/>
    <w:rsid w:val="00A47120"/>
    <w:rsid w:val="00A47B94"/>
    <w:rsid w:val="00A47BCF"/>
    <w:rsid w:val="00A50655"/>
    <w:rsid w:val="00A51355"/>
    <w:rsid w:val="00A51487"/>
    <w:rsid w:val="00A5175B"/>
    <w:rsid w:val="00A517C6"/>
    <w:rsid w:val="00A51DEC"/>
    <w:rsid w:val="00A51E6B"/>
    <w:rsid w:val="00A52319"/>
    <w:rsid w:val="00A524A7"/>
    <w:rsid w:val="00A529F2"/>
    <w:rsid w:val="00A52B1D"/>
    <w:rsid w:val="00A53A6D"/>
    <w:rsid w:val="00A53E16"/>
    <w:rsid w:val="00A54554"/>
    <w:rsid w:val="00A54676"/>
    <w:rsid w:val="00A553BC"/>
    <w:rsid w:val="00A55749"/>
    <w:rsid w:val="00A55F9E"/>
    <w:rsid w:val="00A56F8E"/>
    <w:rsid w:val="00A578EC"/>
    <w:rsid w:val="00A60085"/>
    <w:rsid w:val="00A60CB5"/>
    <w:rsid w:val="00A60F77"/>
    <w:rsid w:val="00A61108"/>
    <w:rsid w:val="00A61FCC"/>
    <w:rsid w:val="00A62992"/>
    <w:rsid w:val="00A62C3B"/>
    <w:rsid w:val="00A63566"/>
    <w:rsid w:val="00A63E85"/>
    <w:rsid w:val="00A63F67"/>
    <w:rsid w:val="00A6441C"/>
    <w:rsid w:val="00A647E9"/>
    <w:rsid w:val="00A648B1"/>
    <w:rsid w:val="00A64C1F"/>
    <w:rsid w:val="00A654F4"/>
    <w:rsid w:val="00A658A7"/>
    <w:rsid w:val="00A65E23"/>
    <w:rsid w:val="00A66796"/>
    <w:rsid w:val="00A66A48"/>
    <w:rsid w:val="00A66D09"/>
    <w:rsid w:val="00A67149"/>
    <w:rsid w:val="00A675B9"/>
    <w:rsid w:val="00A676A0"/>
    <w:rsid w:val="00A67909"/>
    <w:rsid w:val="00A67941"/>
    <w:rsid w:val="00A67AD0"/>
    <w:rsid w:val="00A67E98"/>
    <w:rsid w:val="00A70BDB"/>
    <w:rsid w:val="00A7148C"/>
    <w:rsid w:val="00A723B7"/>
    <w:rsid w:val="00A73675"/>
    <w:rsid w:val="00A73B8A"/>
    <w:rsid w:val="00A73DED"/>
    <w:rsid w:val="00A73E7A"/>
    <w:rsid w:val="00A73F74"/>
    <w:rsid w:val="00A7403D"/>
    <w:rsid w:val="00A7409C"/>
    <w:rsid w:val="00A740C2"/>
    <w:rsid w:val="00A74C30"/>
    <w:rsid w:val="00A74FDE"/>
    <w:rsid w:val="00A756E1"/>
    <w:rsid w:val="00A7589F"/>
    <w:rsid w:val="00A759AF"/>
    <w:rsid w:val="00A75EB2"/>
    <w:rsid w:val="00A75F26"/>
    <w:rsid w:val="00A76A78"/>
    <w:rsid w:val="00A76EF4"/>
    <w:rsid w:val="00A76F9A"/>
    <w:rsid w:val="00A7729A"/>
    <w:rsid w:val="00A7774C"/>
    <w:rsid w:val="00A77F20"/>
    <w:rsid w:val="00A80266"/>
    <w:rsid w:val="00A804EF"/>
    <w:rsid w:val="00A81E52"/>
    <w:rsid w:val="00A82CA0"/>
    <w:rsid w:val="00A82DE9"/>
    <w:rsid w:val="00A8415F"/>
    <w:rsid w:val="00A843B5"/>
    <w:rsid w:val="00A847F6"/>
    <w:rsid w:val="00A84870"/>
    <w:rsid w:val="00A8514C"/>
    <w:rsid w:val="00A8576C"/>
    <w:rsid w:val="00A857DF"/>
    <w:rsid w:val="00A86C54"/>
    <w:rsid w:val="00A86C58"/>
    <w:rsid w:val="00A87317"/>
    <w:rsid w:val="00A900F3"/>
    <w:rsid w:val="00A9060A"/>
    <w:rsid w:val="00A906DB"/>
    <w:rsid w:val="00A91A67"/>
    <w:rsid w:val="00A921FE"/>
    <w:rsid w:val="00A92749"/>
    <w:rsid w:val="00A92934"/>
    <w:rsid w:val="00A931A5"/>
    <w:rsid w:val="00A93B9E"/>
    <w:rsid w:val="00A93FF9"/>
    <w:rsid w:val="00A942F9"/>
    <w:rsid w:val="00A9502C"/>
    <w:rsid w:val="00A95143"/>
    <w:rsid w:val="00A953CB"/>
    <w:rsid w:val="00A959CC"/>
    <w:rsid w:val="00A95CE6"/>
    <w:rsid w:val="00A96A29"/>
    <w:rsid w:val="00A970F8"/>
    <w:rsid w:val="00A9782B"/>
    <w:rsid w:val="00A97AFB"/>
    <w:rsid w:val="00A97EFE"/>
    <w:rsid w:val="00AA059F"/>
    <w:rsid w:val="00AA0B15"/>
    <w:rsid w:val="00AA1716"/>
    <w:rsid w:val="00AA20E1"/>
    <w:rsid w:val="00AA2169"/>
    <w:rsid w:val="00AA2EAD"/>
    <w:rsid w:val="00AA389F"/>
    <w:rsid w:val="00AA39B5"/>
    <w:rsid w:val="00AA412E"/>
    <w:rsid w:val="00AA432D"/>
    <w:rsid w:val="00AA5344"/>
    <w:rsid w:val="00AA5A08"/>
    <w:rsid w:val="00AA64C5"/>
    <w:rsid w:val="00AA68E5"/>
    <w:rsid w:val="00AA74EB"/>
    <w:rsid w:val="00AA7E19"/>
    <w:rsid w:val="00AB0097"/>
    <w:rsid w:val="00AB02EA"/>
    <w:rsid w:val="00AB1315"/>
    <w:rsid w:val="00AB15F3"/>
    <w:rsid w:val="00AB2119"/>
    <w:rsid w:val="00AB25C9"/>
    <w:rsid w:val="00AB39C2"/>
    <w:rsid w:val="00AB44C6"/>
    <w:rsid w:val="00AB4D19"/>
    <w:rsid w:val="00AB4DBE"/>
    <w:rsid w:val="00AB4DED"/>
    <w:rsid w:val="00AB5411"/>
    <w:rsid w:val="00AB6D2A"/>
    <w:rsid w:val="00AB6D7B"/>
    <w:rsid w:val="00AB6E58"/>
    <w:rsid w:val="00AB6EBE"/>
    <w:rsid w:val="00AB75C1"/>
    <w:rsid w:val="00AC05AF"/>
    <w:rsid w:val="00AC07F1"/>
    <w:rsid w:val="00AC2438"/>
    <w:rsid w:val="00AC2499"/>
    <w:rsid w:val="00AC30B7"/>
    <w:rsid w:val="00AC3221"/>
    <w:rsid w:val="00AC32EB"/>
    <w:rsid w:val="00AC350B"/>
    <w:rsid w:val="00AC5233"/>
    <w:rsid w:val="00AC6091"/>
    <w:rsid w:val="00AC6803"/>
    <w:rsid w:val="00AC6AE5"/>
    <w:rsid w:val="00AC7905"/>
    <w:rsid w:val="00AD178D"/>
    <w:rsid w:val="00AD1AF6"/>
    <w:rsid w:val="00AD1B4F"/>
    <w:rsid w:val="00AD1D83"/>
    <w:rsid w:val="00AD20C7"/>
    <w:rsid w:val="00AD2B24"/>
    <w:rsid w:val="00AD4369"/>
    <w:rsid w:val="00AD43EC"/>
    <w:rsid w:val="00AD4406"/>
    <w:rsid w:val="00AD4447"/>
    <w:rsid w:val="00AD5125"/>
    <w:rsid w:val="00AD5978"/>
    <w:rsid w:val="00AD5CE9"/>
    <w:rsid w:val="00AD622D"/>
    <w:rsid w:val="00AD6778"/>
    <w:rsid w:val="00AD6E00"/>
    <w:rsid w:val="00AD776F"/>
    <w:rsid w:val="00AD77F1"/>
    <w:rsid w:val="00AE0313"/>
    <w:rsid w:val="00AE0993"/>
    <w:rsid w:val="00AE1789"/>
    <w:rsid w:val="00AE1A4A"/>
    <w:rsid w:val="00AE1B21"/>
    <w:rsid w:val="00AE1BB5"/>
    <w:rsid w:val="00AE2189"/>
    <w:rsid w:val="00AE2891"/>
    <w:rsid w:val="00AE333B"/>
    <w:rsid w:val="00AE3F57"/>
    <w:rsid w:val="00AE46A9"/>
    <w:rsid w:val="00AE4969"/>
    <w:rsid w:val="00AE4ED7"/>
    <w:rsid w:val="00AE51F0"/>
    <w:rsid w:val="00AE5206"/>
    <w:rsid w:val="00AE5254"/>
    <w:rsid w:val="00AE5374"/>
    <w:rsid w:val="00AE53F3"/>
    <w:rsid w:val="00AE5746"/>
    <w:rsid w:val="00AE57E0"/>
    <w:rsid w:val="00AE5F37"/>
    <w:rsid w:val="00AE61B8"/>
    <w:rsid w:val="00AE632C"/>
    <w:rsid w:val="00AE695A"/>
    <w:rsid w:val="00AE7E05"/>
    <w:rsid w:val="00AE7E33"/>
    <w:rsid w:val="00AF11AE"/>
    <w:rsid w:val="00AF12FE"/>
    <w:rsid w:val="00AF1CAA"/>
    <w:rsid w:val="00AF26AD"/>
    <w:rsid w:val="00AF2DE1"/>
    <w:rsid w:val="00AF2EE0"/>
    <w:rsid w:val="00AF359B"/>
    <w:rsid w:val="00AF38D4"/>
    <w:rsid w:val="00AF55E3"/>
    <w:rsid w:val="00AF5661"/>
    <w:rsid w:val="00AF5F10"/>
    <w:rsid w:val="00AF5F4D"/>
    <w:rsid w:val="00AF70C7"/>
    <w:rsid w:val="00B01009"/>
    <w:rsid w:val="00B010E6"/>
    <w:rsid w:val="00B01342"/>
    <w:rsid w:val="00B01CC6"/>
    <w:rsid w:val="00B03CEB"/>
    <w:rsid w:val="00B04AA5"/>
    <w:rsid w:val="00B05396"/>
    <w:rsid w:val="00B0557B"/>
    <w:rsid w:val="00B05804"/>
    <w:rsid w:val="00B05DE3"/>
    <w:rsid w:val="00B05E6D"/>
    <w:rsid w:val="00B05F13"/>
    <w:rsid w:val="00B05F5A"/>
    <w:rsid w:val="00B06098"/>
    <w:rsid w:val="00B0673F"/>
    <w:rsid w:val="00B068D8"/>
    <w:rsid w:val="00B06BB4"/>
    <w:rsid w:val="00B06D0A"/>
    <w:rsid w:val="00B07D42"/>
    <w:rsid w:val="00B10598"/>
    <w:rsid w:val="00B10BD2"/>
    <w:rsid w:val="00B10CAA"/>
    <w:rsid w:val="00B10D9A"/>
    <w:rsid w:val="00B10EF7"/>
    <w:rsid w:val="00B110B1"/>
    <w:rsid w:val="00B110F9"/>
    <w:rsid w:val="00B114DF"/>
    <w:rsid w:val="00B115A1"/>
    <w:rsid w:val="00B1197C"/>
    <w:rsid w:val="00B1199C"/>
    <w:rsid w:val="00B119EA"/>
    <w:rsid w:val="00B11FDD"/>
    <w:rsid w:val="00B1219A"/>
    <w:rsid w:val="00B121A8"/>
    <w:rsid w:val="00B125C6"/>
    <w:rsid w:val="00B127B1"/>
    <w:rsid w:val="00B15DA9"/>
    <w:rsid w:val="00B167F1"/>
    <w:rsid w:val="00B17681"/>
    <w:rsid w:val="00B179D1"/>
    <w:rsid w:val="00B2061B"/>
    <w:rsid w:val="00B20F75"/>
    <w:rsid w:val="00B21A4E"/>
    <w:rsid w:val="00B21E7F"/>
    <w:rsid w:val="00B223DB"/>
    <w:rsid w:val="00B22408"/>
    <w:rsid w:val="00B22B72"/>
    <w:rsid w:val="00B22DBF"/>
    <w:rsid w:val="00B22F72"/>
    <w:rsid w:val="00B2375E"/>
    <w:rsid w:val="00B238BA"/>
    <w:rsid w:val="00B243B1"/>
    <w:rsid w:val="00B243C8"/>
    <w:rsid w:val="00B2489D"/>
    <w:rsid w:val="00B24DE9"/>
    <w:rsid w:val="00B24E4C"/>
    <w:rsid w:val="00B2521F"/>
    <w:rsid w:val="00B257E8"/>
    <w:rsid w:val="00B25DDE"/>
    <w:rsid w:val="00B26CD2"/>
    <w:rsid w:val="00B27AF8"/>
    <w:rsid w:val="00B27C7D"/>
    <w:rsid w:val="00B3106C"/>
    <w:rsid w:val="00B31365"/>
    <w:rsid w:val="00B31BF1"/>
    <w:rsid w:val="00B333BA"/>
    <w:rsid w:val="00B33678"/>
    <w:rsid w:val="00B33A17"/>
    <w:rsid w:val="00B33BE5"/>
    <w:rsid w:val="00B34B96"/>
    <w:rsid w:val="00B34FEF"/>
    <w:rsid w:val="00B35159"/>
    <w:rsid w:val="00B35375"/>
    <w:rsid w:val="00B353CE"/>
    <w:rsid w:val="00B3567C"/>
    <w:rsid w:val="00B35AC2"/>
    <w:rsid w:val="00B35DA1"/>
    <w:rsid w:val="00B35F75"/>
    <w:rsid w:val="00B36670"/>
    <w:rsid w:val="00B36A94"/>
    <w:rsid w:val="00B37394"/>
    <w:rsid w:val="00B3768E"/>
    <w:rsid w:val="00B378F9"/>
    <w:rsid w:val="00B37F87"/>
    <w:rsid w:val="00B408EE"/>
    <w:rsid w:val="00B409A7"/>
    <w:rsid w:val="00B42DA7"/>
    <w:rsid w:val="00B42E63"/>
    <w:rsid w:val="00B4303B"/>
    <w:rsid w:val="00B4370C"/>
    <w:rsid w:val="00B43A02"/>
    <w:rsid w:val="00B44FD7"/>
    <w:rsid w:val="00B45008"/>
    <w:rsid w:val="00B45100"/>
    <w:rsid w:val="00B45463"/>
    <w:rsid w:val="00B462BC"/>
    <w:rsid w:val="00B46836"/>
    <w:rsid w:val="00B46A72"/>
    <w:rsid w:val="00B46DCF"/>
    <w:rsid w:val="00B471DE"/>
    <w:rsid w:val="00B5001A"/>
    <w:rsid w:val="00B502EB"/>
    <w:rsid w:val="00B50660"/>
    <w:rsid w:val="00B51861"/>
    <w:rsid w:val="00B51F1D"/>
    <w:rsid w:val="00B520B2"/>
    <w:rsid w:val="00B5268F"/>
    <w:rsid w:val="00B53229"/>
    <w:rsid w:val="00B53247"/>
    <w:rsid w:val="00B533D6"/>
    <w:rsid w:val="00B53B37"/>
    <w:rsid w:val="00B53DA7"/>
    <w:rsid w:val="00B53EA9"/>
    <w:rsid w:val="00B54457"/>
    <w:rsid w:val="00B54D27"/>
    <w:rsid w:val="00B55293"/>
    <w:rsid w:val="00B55ED5"/>
    <w:rsid w:val="00B56480"/>
    <w:rsid w:val="00B56830"/>
    <w:rsid w:val="00B56B4A"/>
    <w:rsid w:val="00B575AA"/>
    <w:rsid w:val="00B57817"/>
    <w:rsid w:val="00B60753"/>
    <w:rsid w:val="00B60D7F"/>
    <w:rsid w:val="00B60DBD"/>
    <w:rsid w:val="00B60E79"/>
    <w:rsid w:val="00B621C1"/>
    <w:rsid w:val="00B62E4E"/>
    <w:rsid w:val="00B632E0"/>
    <w:rsid w:val="00B63833"/>
    <w:rsid w:val="00B63CAE"/>
    <w:rsid w:val="00B63CDB"/>
    <w:rsid w:val="00B63D94"/>
    <w:rsid w:val="00B63E2B"/>
    <w:rsid w:val="00B6435E"/>
    <w:rsid w:val="00B6436F"/>
    <w:rsid w:val="00B6475C"/>
    <w:rsid w:val="00B65C9B"/>
    <w:rsid w:val="00B65D7D"/>
    <w:rsid w:val="00B666CD"/>
    <w:rsid w:val="00B66794"/>
    <w:rsid w:val="00B66A64"/>
    <w:rsid w:val="00B67073"/>
    <w:rsid w:val="00B6715B"/>
    <w:rsid w:val="00B678D0"/>
    <w:rsid w:val="00B67941"/>
    <w:rsid w:val="00B67961"/>
    <w:rsid w:val="00B70287"/>
    <w:rsid w:val="00B7032C"/>
    <w:rsid w:val="00B708F2"/>
    <w:rsid w:val="00B70ACE"/>
    <w:rsid w:val="00B70C14"/>
    <w:rsid w:val="00B70CD2"/>
    <w:rsid w:val="00B70FBA"/>
    <w:rsid w:val="00B7106F"/>
    <w:rsid w:val="00B7150A"/>
    <w:rsid w:val="00B71CA9"/>
    <w:rsid w:val="00B72051"/>
    <w:rsid w:val="00B72092"/>
    <w:rsid w:val="00B721B0"/>
    <w:rsid w:val="00B723A5"/>
    <w:rsid w:val="00B72600"/>
    <w:rsid w:val="00B73C21"/>
    <w:rsid w:val="00B740B9"/>
    <w:rsid w:val="00B74BE6"/>
    <w:rsid w:val="00B74EE2"/>
    <w:rsid w:val="00B74F6D"/>
    <w:rsid w:val="00B7527F"/>
    <w:rsid w:val="00B75D01"/>
    <w:rsid w:val="00B76016"/>
    <w:rsid w:val="00B7717F"/>
    <w:rsid w:val="00B77205"/>
    <w:rsid w:val="00B77704"/>
    <w:rsid w:val="00B77A7D"/>
    <w:rsid w:val="00B81341"/>
    <w:rsid w:val="00B815AC"/>
    <w:rsid w:val="00B81A48"/>
    <w:rsid w:val="00B8233A"/>
    <w:rsid w:val="00B828AF"/>
    <w:rsid w:val="00B833B7"/>
    <w:rsid w:val="00B836AD"/>
    <w:rsid w:val="00B83715"/>
    <w:rsid w:val="00B84491"/>
    <w:rsid w:val="00B849D9"/>
    <w:rsid w:val="00B860A4"/>
    <w:rsid w:val="00B872C0"/>
    <w:rsid w:val="00B8739D"/>
    <w:rsid w:val="00B8749D"/>
    <w:rsid w:val="00B87D63"/>
    <w:rsid w:val="00B90115"/>
    <w:rsid w:val="00B901B6"/>
    <w:rsid w:val="00B901FE"/>
    <w:rsid w:val="00B904F8"/>
    <w:rsid w:val="00B906A0"/>
    <w:rsid w:val="00B90876"/>
    <w:rsid w:val="00B90A06"/>
    <w:rsid w:val="00B90EE8"/>
    <w:rsid w:val="00B917C3"/>
    <w:rsid w:val="00B9182C"/>
    <w:rsid w:val="00B92035"/>
    <w:rsid w:val="00B92A4D"/>
    <w:rsid w:val="00B92D4A"/>
    <w:rsid w:val="00B92E40"/>
    <w:rsid w:val="00B9314D"/>
    <w:rsid w:val="00B935A3"/>
    <w:rsid w:val="00B9395A"/>
    <w:rsid w:val="00B93CCC"/>
    <w:rsid w:val="00B93FDA"/>
    <w:rsid w:val="00B94289"/>
    <w:rsid w:val="00B94346"/>
    <w:rsid w:val="00B944C1"/>
    <w:rsid w:val="00B94ECB"/>
    <w:rsid w:val="00B95C19"/>
    <w:rsid w:val="00B95F54"/>
    <w:rsid w:val="00B962AC"/>
    <w:rsid w:val="00B9684F"/>
    <w:rsid w:val="00B96BF2"/>
    <w:rsid w:val="00BA04F1"/>
    <w:rsid w:val="00BA1090"/>
    <w:rsid w:val="00BA23FB"/>
    <w:rsid w:val="00BA2980"/>
    <w:rsid w:val="00BA3808"/>
    <w:rsid w:val="00BA387B"/>
    <w:rsid w:val="00BA39FF"/>
    <w:rsid w:val="00BA583D"/>
    <w:rsid w:val="00BA5AD3"/>
    <w:rsid w:val="00BA5D41"/>
    <w:rsid w:val="00BA6EDA"/>
    <w:rsid w:val="00BA7382"/>
    <w:rsid w:val="00BA73A0"/>
    <w:rsid w:val="00BA7BB6"/>
    <w:rsid w:val="00BA7BBF"/>
    <w:rsid w:val="00BB02F2"/>
    <w:rsid w:val="00BB08E9"/>
    <w:rsid w:val="00BB18F0"/>
    <w:rsid w:val="00BB1968"/>
    <w:rsid w:val="00BB1CAB"/>
    <w:rsid w:val="00BB1E25"/>
    <w:rsid w:val="00BB2120"/>
    <w:rsid w:val="00BB274F"/>
    <w:rsid w:val="00BB27EB"/>
    <w:rsid w:val="00BB285A"/>
    <w:rsid w:val="00BB3BB6"/>
    <w:rsid w:val="00BB3F2F"/>
    <w:rsid w:val="00BB4D48"/>
    <w:rsid w:val="00BB51BF"/>
    <w:rsid w:val="00BB5E0E"/>
    <w:rsid w:val="00BB618A"/>
    <w:rsid w:val="00BB7255"/>
    <w:rsid w:val="00BB748F"/>
    <w:rsid w:val="00BB74F3"/>
    <w:rsid w:val="00BB767C"/>
    <w:rsid w:val="00BB7B71"/>
    <w:rsid w:val="00BC0174"/>
    <w:rsid w:val="00BC04B1"/>
    <w:rsid w:val="00BC05E0"/>
    <w:rsid w:val="00BC0D61"/>
    <w:rsid w:val="00BC11B0"/>
    <w:rsid w:val="00BC1771"/>
    <w:rsid w:val="00BC1C9E"/>
    <w:rsid w:val="00BC2284"/>
    <w:rsid w:val="00BC233B"/>
    <w:rsid w:val="00BC2606"/>
    <w:rsid w:val="00BC277B"/>
    <w:rsid w:val="00BC28A9"/>
    <w:rsid w:val="00BC2DCB"/>
    <w:rsid w:val="00BC337F"/>
    <w:rsid w:val="00BC3591"/>
    <w:rsid w:val="00BC3CE8"/>
    <w:rsid w:val="00BC44C4"/>
    <w:rsid w:val="00BC4CAE"/>
    <w:rsid w:val="00BC52C3"/>
    <w:rsid w:val="00BC52FE"/>
    <w:rsid w:val="00BC5339"/>
    <w:rsid w:val="00BC5537"/>
    <w:rsid w:val="00BC5954"/>
    <w:rsid w:val="00BC6496"/>
    <w:rsid w:val="00BC68C7"/>
    <w:rsid w:val="00BD081A"/>
    <w:rsid w:val="00BD094B"/>
    <w:rsid w:val="00BD1452"/>
    <w:rsid w:val="00BD2A5E"/>
    <w:rsid w:val="00BD301F"/>
    <w:rsid w:val="00BD3838"/>
    <w:rsid w:val="00BD3A73"/>
    <w:rsid w:val="00BD3BDA"/>
    <w:rsid w:val="00BD40C9"/>
    <w:rsid w:val="00BD457D"/>
    <w:rsid w:val="00BD7424"/>
    <w:rsid w:val="00BD76F5"/>
    <w:rsid w:val="00BE03DC"/>
    <w:rsid w:val="00BE06A9"/>
    <w:rsid w:val="00BE0962"/>
    <w:rsid w:val="00BE0972"/>
    <w:rsid w:val="00BE17AB"/>
    <w:rsid w:val="00BE196A"/>
    <w:rsid w:val="00BE2D27"/>
    <w:rsid w:val="00BE2ECC"/>
    <w:rsid w:val="00BE32B7"/>
    <w:rsid w:val="00BE3588"/>
    <w:rsid w:val="00BE38B1"/>
    <w:rsid w:val="00BE3CB0"/>
    <w:rsid w:val="00BE49D6"/>
    <w:rsid w:val="00BE53D2"/>
    <w:rsid w:val="00BE56EA"/>
    <w:rsid w:val="00BE5F2E"/>
    <w:rsid w:val="00BE612F"/>
    <w:rsid w:val="00BE61D2"/>
    <w:rsid w:val="00BE7340"/>
    <w:rsid w:val="00BE7EB1"/>
    <w:rsid w:val="00BF065E"/>
    <w:rsid w:val="00BF066C"/>
    <w:rsid w:val="00BF1713"/>
    <w:rsid w:val="00BF1B89"/>
    <w:rsid w:val="00BF1E1D"/>
    <w:rsid w:val="00BF1FBB"/>
    <w:rsid w:val="00BF29FF"/>
    <w:rsid w:val="00BF2A61"/>
    <w:rsid w:val="00BF3738"/>
    <w:rsid w:val="00BF399F"/>
    <w:rsid w:val="00BF4BB8"/>
    <w:rsid w:val="00BF4FB0"/>
    <w:rsid w:val="00BF508A"/>
    <w:rsid w:val="00BF5124"/>
    <w:rsid w:val="00BF5485"/>
    <w:rsid w:val="00BF5610"/>
    <w:rsid w:val="00BF58E7"/>
    <w:rsid w:val="00BF6053"/>
    <w:rsid w:val="00BF6879"/>
    <w:rsid w:val="00BF6E8C"/>
    <w:rsid w:val="00BF749A"/>
    <w:rsid w:val="00BF7B8A"/>
    <w:rsid w:val="00BF7FB1"/>
    <w:rsid w:val="00C00267"/>
    <w:rsid w:val="00C0080C"/>
    <w:rsid w:val="00C00C3D"/>
    <w:rsid w:val="00C02ADD"/>
    <w:rsid w:val="00C02D5E"/>
    <w:rsid w:val="00C02EC4"/>
    <w:rsid w:val="00C037DC"/>
    <w:rsid w:val="00C037FF"/>
    <w:rsid w:val="00C03C7A"/>
    <w:rsid w:val="00C05D82"/>
    <w:rsid w:val="00C05E83"/>
    <w:rsid w:val="00C06181"/>
    <w:rsid w:val="00C0667A"/>
    <w:rsid w:val="00C07771"/>
    <w:rsid w:val="00C07B24"/>
    <w:rsid w:val="00C1068B"/>
    <w:rsid w:val="00C10DE7"/>
    <w:rsid w:val="00C12413"/>
    <w:rsid w:val="00C1241B"/>
    <w:rsid w:val="00C1282F"/>
    <w:rsid w:val="00C12A18"/>
    <w:rsid w:val="00C12AD2"/>
    <w:rsid w:val="00C12F07"/>
    <w:rsid w:val="00C134AD"/>
    <w:rsid w:val="00C13798"/>
    <w:rsid w:val="00C13E4F"/>
    <w:rsid w:val="00C1424C"/>
    <w:rsid w:val="00C14785"/>
    <w:rsid w:val="00C151EE"/>
    <w:rsid w:val="00C15219"/>
    <w:rsid w:val="00C15392"/>
    <w:rsid w:val="00C15538"/>
    <w:rsid w:val="00C155CC"/>
    <w:rsid w:val="00C15DA4"/>
    <w:rsid w:val="00C17B3E"/>
    <w:rsid w:val="00C204CD"/>
    <w:rsid w:val="00C20DBB"/>
    <w:rsid w:val="00C2106D"/>
    <w:rsid w:val="00C2165E"/>
    <w:rsid w:val="00C22005"/>
    <w:rsid w:val="00C220AA"/>
    <w:rsid w:val="00C22BAE"/>
    <w:rsid w:val="00C232C6"/>
    <w:rsid w:val="00C2397C"/>
    <w:rsid w:val="00C23C88"/>
    <w:rsid w:val="00C23DC3"/>
    <w:rsid w:val="00C244C9"/>
    <w:rsid w:val="00C24BAB"/>
    <w:rsid w:val="00C24BAE"/>
    <w:rsid w:val="00C250A7"/>
    <w:rsid w:val="00C26B94"/>
    <w:rsid w:val="00C27D58"/>
    <w:rsid w:val="00C27EBE"/>
    <w:rsid w:val="00C305BC"/>
    <w:rsid w:val="00C32128"/>
    <w:rsid w:val="00C32340"/>
    <w:rsid w:val="00C323BA"/>
    <w:rsid w:val="00C327EB"/>
    <w:rsid w:val="00C32C63"/>
    <w:rsid w:val="00C33BB3"/>
    <w:rsid w:val="00C33F8F"/>
    <w:rsid w:val="00C3415C"/>
    <w:rsid w:val="00C3437A"/>
    <w:rsid w:val="00C3552E"/>
    <w:rsid w:val="00C3679E"/>
    <w:rsid w:val="00C368E4"/>
    <w:rsid w:val="00C36D57"/>
    <w:rsid w:val="00C37A21"/>
    <w:rsid w:val="00C37A47"/>
    <w:rsid w:val="00C37C50"/>
    <w:rsid w:val="00C407EC"/>
    <w:rsid w:val="00C41B86"/>
    <w:rsid w:val="00C41F97"/>
    <w:rsid w:val="00C42B2E"/>
    <w:rsid w:val="00C42E58"/>
    <w:rsid w:val="00C42F0F"/>
    <w:rsid w:val="00C43467"/>
    <w:rsid w:val="00C4437D"/>
    <w:rsid w:val="00C449D7"/>
    <w:rsid w:val="00C44D87"/>
    <w:rsid w:val="00C44E81"/>
    <w:rsid w:val="00C45070"/>
    <w:rsid w:val="00C4577F"/>
    <w:rsid w:val="00C45F97"/>
    <w:rsid w:val="00C46010"/>
    <w:rsid w:val="00C46FF7"/>
    <w:rsid w:val="00C47A9A"/>
    <w:rsid w:val="00C47DE7"/>
    <w:rsid w:val="00C505DB"/>
    <w:rsid w:val="00C505F7"/>
    <w:rsid w:val="00C506BF"/>
    <w:rsid w:val="00C5184C"/>
    <w:rsid w:val="00C51AAC"/>
    <w:rsid w:val="00C51D6E"/>
    <w:rsid w:val="00C5203C"/>
    <w:rsid w:val="00C522EC"/>
    <w:rsid w:val="00C52E63"/>
    <w:rsid w:val="00C52F2B"/>
    <w:rsid w:val="00C53499"/>
    <w:rsid w:val="00C53E0E"/>
    <w:rsid w:val="00C5456D"/>
    <w:rsid w:val="00C54926"/>
    <w:rsid w:val="00C54F5F"/>
    <w:rsid w:val="00C55BF5"/>
    <w:rsid w:val="00C55DE6"/>
    <w:rsid w:val="00C5663F"/>
    <w:rsid w:val="00C569DE"/>
    <w:rsid w:val="00C56D54"/>
    <w:rsid w:val="00C57003"/>
    <w:rsid w:val="00C57216"/>
    <w:rsid w:val="00C57A99"/>
    <w:rsid w:val="00C60A0A"/>
    <w:rsid w:val="00C60F9E"/>
    <w:rsid w:val="00C6119A"/>
    <w:rsid w:val="00C611B7"/>
    <w:rsid w:val="00C61241"/>
    <w:rsid w:val="00C61FA8"/>
    <w:rsid w:val="00C62874"/>
    <w:rsid w:val="00C62A7B"/>
    <w:rsid w:val="00C62D6C"/>
    <w:rsid w:val="00C6316D"/>
    <w:rsid w:val="00C63212"/>
    <w:rsid w:val="00C63267"/>
    <w:rsid w:val="00C632D2"/>
    <w:rsid w:val="00C63318"/>
    <w:rsid w:val="00C63D13"/>
    <w:rsid w:val="00C63D1C"/>
    <w:rsid w:val="00C64410"/>
    <w:rsid w:val="00C64A6A"/>
    <w:rsid w:val="00C65B1F"/>
    <w:rsid w:val="00C660A9"/>
    <w:rsid w:val="00C66D1F"/>
    <w:rsid w:val="00C675F8"/>
    <w:rsid w:val="00C67EA8"/>
    <w:rsid w:val="00C67F3E"/>
    <w:rsid w:val="00C704B6"/>
    <w:rsid w:val="00C709AA"/>
    <w:rsid w:val="00C70A78"/>
    <w:rsid w:val="00C70AE8"/>
    <w:rsid w:val="00C70DE4"/>
    <w:rsid w:val="00C70F4F"/>
    <w:rsid w:val="00C71203"/>
    <w:rsid w:val="00C71415"/>
    <w:rsid w:val="00C71624"/>
    <w:rsid w:val="00C71E18"/>
    <w:rsid w:val="00C71F84"/>
    <w:rsid w:val="00C7216E"/>
    <w:rsid w:val="00C7252D"/>
    <w:rsid w:val="00C725BB"/>
    <w:rsid w:val="00C73D82"/>
    <w:rsid w:val="00C750DF"/>
    <w:rsid w:val="00C7524F"/>
    <w:rsid w:val="00C76985"/>
    <w:rsid w:val="00C76AE5"/>
    <w:rsid w:val="00C775C4"/>
    <w:rsid w:val="00C777B5"/>
    <w:rsid w:val="00C77F3A"/>
    <w:rsid w:val="00C80407"/>
    <w:rsid w:val="00C806F5"/>
    <w:rsid w:val="00C80BB6"/>
    <w:rsid w:val="00C80DAF"/>
    <w:rsid w:val="00C81134"/>
    <w:rsid w:val="00C814A1"/>
    <w:rsid w:val="00C8153B"/>
    <w:rsid w:val="00C819B2"/>
    <w:rsid w:val="00C81BB3"/>
    <w:rsid w:val="00C821D7"/>
    <w:rsid w:val="00C8243D"/>
    <w:rsid w:val="00C82C14"/>
    <w:rsid w:val="00C8347E"/>
    <w:rsid w:val="00C83828"/>
    <w:rsid w:val="00C84305"/>
    <w:rsid w:val="00C8442F"/>
    <w:rsid w:val="00C84E31"/>
    <w:rsid w:val="00C84EEE"/>
    <w:rsid w:val="00C85565"/>
    <w:rsid w:val="00C85EC2"/>
    <w:rsid w:val="00C85EF1"/>
    <w:rsid w:val="00C85F2A"/>
    <w:rsid w:val="00C86260"/>
    <w:rsid w:val="00C86330"/>
    <w:rsid w:val="00C86CFB"/>
    <w:rsid w:val="00C86EAD"/>
    <w:rsid w:val="00C87E2D"/>
    <w:rsid w:val="00C904A7"/>
    <w:rsid w:val="00C90779"/>
    <w:rsid w:val="00C91089"/>
    <w:rsid w:val="00C91538"/>
    <w:rsid w:val="00C918AA"/>
    <w:rsid w:val="00C91BC4"/>
    <w:rsid w:val="00C922F1"/>
    <w:rsid w:val="00C92B4D"/>
    <w:rsid w:val="00C92D7A"/>
    <w:rsid w:val="00C93183"/>
    <w:rsid w:val="00C936D9"/>
    <w:rsid w:val="00C93B72"/>
    <w:rsid w:val="00C93C55"/>
    <w:rsid w:val="00C94F5D"/>
    <w:rsid w:val="00C956AF"/>
    <w:rsid w:val="00C95A4A"/>
    <w:rsid w:val="00C95CD3"/>
    <w:rsid w:val="00C96957"/>
    <w:rsid w:val="00C9757D"/>
    <w:rsid w:val="00C975D9"/>
    <w:rsid w:val="00C979FE"/>
    <w:rsid w:val="00CA0112"/>
    <w:rsid w:val="00CA03EB"/>
    <w:rsid w:val="00CA0FFF"/>
    <w:rsid w:val="00CA2221"/>
    <w:rsid w:val="00CA349B"/>
    <w:rsid w:val="00CA34C4"/>
    <w:rsid w:val="00CA3ECD"/>
    <w:rsid w:val="00CA4907"/>
    <w:rsid w:val="00CA5062"/>
    <w:rsid w:val="00CA560A"/>
    <w:rsid w:val="00CA5C57"/>
    <w:rsid w:val="00CA6CFB"/>
    <w:rsid w:val="00CB0EBB"/>
    <w:rsid w:val="00CB1409"/>
    <w:rsid w:val="00CB1BE9"/>
    <w:rsid w:val="00CB1F4A"/>
    <w:rsid w:val="00CB203B"/>
    <w:rsid w:val="00CB364D"/>
    <w:rsid w:val="00CB39D2"/>
    <w:rsid w:val="00CB48F1"/>
    <w:rsid w:val="00CB51A0"/>
    <w:rsid w:val="00CB58C4"/>
    <w:rsid w:val="00CB5ADD"/>
    <w:rsid w:val="00CB6799"/>
    <w:rsid w:val="00CB77CE"/>
    <w:rsid w:val="00CB7AE5"/>
    <w:rsid w:val="00CC0450"/>
    <w:rsid w:val="00CC248F"/>
    <w:rsid w:val="00CC266B"/>
    <w:rsid w:val="00CC33DB"/>
    <w:rsid w:val="00CC3505"/>
    <w:rsid w:val="00CC3B93"/>
    <w:rsid w:val="00CC4202"/>
    <w:rsid w:val="00CC42CC"/>
    <w:rsid w:val="00CC4422"/>
    <w:rsid w:val="00CC45BC"/>
    <w:rsid w:val="00CC51C4"/>
    <w:rsid w:val="00CC6E8F"/>
    <w:rsid w:val="00CC78EA"/>
    <w:rsid w:val="00CC7B02"/>
    <w:rsid w:val="00CC7F2E"/>
    <w:rsid w:val="00CD1215"/>
    <w:rsid w:val="00CD13ED"/>
    <w:rsid w:val="00CD16DE"/>
    <w:rsid w:val="00CD1A54"/>
    <w:rsid w:val="00CD247B"/>
    <w:rsid w:val="00CD2662"/>
    <w:rsid w:val="00CD31AD"/>
    <w:rsid w:val="00CD334C"/>
    <w:rsid w:val="00CD340C"/>
    <w:rsid w:val="00CD3DD1"/>
    <w:rsid w:val="00CD44B7"/>
    <w:rsid w:val="00CD4726"/>
    <w:rsid w:val="00CD5EC8"/>
    <w:rsid w:val="00CD738B"/>
    <w:rsid w:val="00CE023E"/>
    <w:rsid w:val="00CE0387"/>
    <w:rsid w:val="00CE0F45"/>
    <w:rsid w:val="00CE1174"/>
    <w:rsid w:val="00CE143B"/>
    <w:rsid w:val="00CE20F2"/>
    <w:rsid w:val="00CE21C8"/>
    <w:rsid w:val="00CE234E"/>
    <w:rsid w:val="00CE330E"/>
    <w:rsid w:val="00CE36AD"/>
    <w:rsid w:val="00CE4413"/>
    <w:rsid w:val="00CE47E1"/>
    <w:rsid w:val="00CE5C6F"/>
    <w:rsid w:val="00CE6656"/>
    <w:rsid w:val="00CE69BE"/>
    <w:rsid w:val="00CE6C91"/>
    <w:rsid w:val="00CE7637"/>
    <w:rsid w:val="00CE7DDA"/>
    <w:rsid w:val="00CE7EF2"/>
    <w:rsid w:val="00CF1140"/>
    <w:rsid w:val="00CF14BF"/>
    <w:rsid w:val="00CF17C9"/>
    <w:rsid w:val="00CF26B7"/>
    <w:rsid w:val="00CF2A72"/>
    <w:rsid w:val="00CF2F6F"/>
    <w:rsid w:val="00CF3029"/>
    <w:rsid w:val="00CF30BC"/>
    <w:rsid w:val="00CF336B"/>
    <w:rsid w:val="00CF341D"/>
    <w:rsid w:val="00CF370B"/>
    <w:rsid w:val="00CF3B5B"/>
    <w:rsid w:val="00CF4B70"/>
    <w:rsid w:val="00CF5961"/>
    <w:rsid w:val="00CF5A39"/>
    <w:rsid w:val="00CF5AAB"/>
    <w:rsid w:val="00CF6AF2"/>
    <w:rsid w:val="00CF6B11"/>
    <w:rsid w:val="00CF6B42"/>
    <w:rsid w:val="00CF738A"/>
    <w:rsid w:val="00CF78BD"/>
    <w:rsid w:val="00CF799D"/>
    <w:rsid w:val="00CF7DF6"/>
    <w:rsid w:val="00D00817"/>
    <w:rsid w:val="00D00E83"/>
    <w:rsid w:val="00D019FD"/>
    <w:rsid w:val="00D01DB9"/>
    <w:rsid w:val="00D0204C"/>
    <w:rsid w:val="00D02218"/>
    <w:rsid w:val="00D022CC"/>
    <w:rsid w:val="00D038A8"/>
    <w:rsid w:val="00D03BF3"/>
    <w:rsid w:val="00D03E6F"/>
    <w:rsid w:val="00D052B0"/>
    <w:rsid w:val="00D057EB"/>
    <w:rsid w:val="00D07D7E"/>
    <w:rsid w:val="00D1039E"/>
    <w:rsid w:val="00D105A8"/>
    <w:rsid w:val="00D1096C"/>
    <w:rsid w:val="00D1117C"/>
    <w:rsid w:val="00D131AB"/>
    <w:rsid w:val="00D13205"/>
    <w:rsid w:val="00D1372E"/>
    <w:rsid w:val="00D138F8"/>
    <w:rsid w:val="00D13AF3"/>
    <w:rsid w:val="00D14286"/>
    <w:rsid w:val="00D146AE"/>
    <w:rsid w:val="00D14FF6"/>
    <w:rsid w:val="00D157AC"/>
    <w:rsid w:val="00D15EFE"/>
    <w:rsid w:val="00D1644F"/>
    <w:rsid w:val="00D16737"/>
    <w:rsid w:val="00D16AA7"/>
    <w:rsid w:val="00D16AD1"/>
    <w:rsid w:val="00D17248"/>
    <w:rsid w:val="00D1727D"/>
    <w:rsid w:val="00D174D2"/>
    <w:rsid w:val="00D2012D"/>
    <w:rsid w:val="00D203FA"/>
    <w:rsid w:val="00D21717"/>
    <w:rsid w:val="00D21AB4"/>
    <w:rsid w:val="00D22087"/>
    <w:rsid w:val="00D228FC"/>
    <w:rsid w:val="00D22E4A"/>
    <w:rsid w:val="00D23340"/>
    <w:rsid w:val="00D23546"/>
    <w:rsid w:val="00D24825"/>
    <w:rsid w:val="00D24ABA"/>
    <w:rsid w:val="00D24B00"/>
    <w:rsid w:val="00D24E74"/>
    <w:rsid w:val="00D25AD4"/>
    <w:rsid w:val="00D2633B"/>
    <w:rsid w:val="00D26427"/>
    <w:rsid w:val="00D2666B"/>
    <w:rsid w:val="00D2689F"/>
    <w:rsid w:val="00D26B5F"/>
    <w:rsid w:val="00D26D88"/>
    <w:rsid w:val="00D26E0F"/>
    <w:rsid w:val="00D272A4"/>
    <w:rsid w:val="00D27455"/>
    <w:rsid w:val="00D3013F"/>
    <w:rsid w:val="00D30AF5"/>
    <w:rsid w:val="00D3125D"/>
    <w:rsid w:val="00D32460"/>
    <w:rsid w:val="00D329FA"/>
    <w:rsid w:val="00D33542"/>
    <w:rsid w:val="00D34C36"/>
    <w:rsid w:val="00D34F34"/>
    <w:rsid w:val="00D352FD"/>
    <w:rsid w:val="00D355C9"/>
    <w:rsid w:val="00D357F0"/>
    <w:rsid w:val="00D35876"/>
    <w:rsid w:val="00D366CD"/>
    <w:rsid w:val="00D367CC"/>
    <w:rsid w:val="00D401CD"/>
    <w:rsid w:val="00D40CDA"/>
    <w:rsid w:val="00D41CDE"/>
    <w:rsid w:val="00D42107"/>
    <w:rsid w:val="00D430D1"/>
    <w:rsid w:val="00D4331E"/>
    <w:rsid w:val="00D4336F"/>
    <w:rsid w:val="00D4352C"/>
    <w:rsid w:val="00D4379B"/>
    <w:rsid w:val="00D43D38"/>
    <w:rsid w:val="00D43E3C"/>
    <w:rsid w:val="00D43EE5"/>
    <w:rsid w:val="00D44669"/>
    <w:rsid w:val="00D44B3C"/>
    <w:rsid w:val="00D4577F"/>
    <w:rsid w:val="00D45E00"/>
    <w:rsid w:val="00D46775"/>
    <w:rsid w:val="00D47719"/>
    <w:rsid w:val="00D479F7"/>
    <w:rsid w:val="00D501EA"/>
    <w:rsid w:val="00D5042F"/>
    <w:rsid w:val="00D51348"/>
    <w:rsid w:val="00D520C7"/>
    <w:rsid w:val="00D521F7"/>
    <w:rsid w:val="00D52BDC"/>
    <w:rsid w:val="00D52C07"/>
    <w:rsid w:val="00D537F7"/>
    <w:rsid w:val="00D53904"/>
    <w:rsid w:val="00D53E28"/>
    <w:rsid w:val="00D5482A"/>
    <w:rsid w:val="00D55EE9"/>
    <w:rsid w:val="00D56269"/>
    <w:rsid w:val="00D57150"/>
    <w:rsid w:val="00D57500"/>
    <w:rsid w:val="00D57807"/>
    <w:rsid w:val="00D57984"/>
    <w:rsid w:val="00D57B98"/>
    <w:rsid w:val="00D60325"/>
    <w:rsid w:val="00D603BB"/>
    <w:rsid w:val="00D606F5"/>
    <w:rsid w:val="00D60D66"/>
    <w:rsid w:val="00D620B2"/>
    <w:rsid w:val="00D620F6"/>
    <w:rsid w:val="00D628AC"/>
    <w:rsid w:val="00D62EBF"/>
    <w:rsid w:val="00D63A5C"/>
    <w:rsid w:val="00D64846"/>
    <w:rsid w:val="00D64AA4"/>
    <w:rsid w:val="00D65352"/>
    <w:rsid w:val="00D65482"/>
    <w:rsid w:val="00D658C1"/>
    <w:rsid w:val="00D65DA2"/>
    <w:rsid w:val="00D66673"/>
    <w:rsid w:val="00D6702D"/>
    <w:rsid w:val="00D6774B"/>
    <w:rsid w:val="00D70D55"/>
    <w:rsid w:val="00D71340"/>
    <w:rsid w:val="00D71E2B"/>
    <w:rsid w:val="00D733E3"/>
    <w:rsid w:val="00D734E8"/>
    <w:rsid w:val="00D73655"/>
    <w:rsid w:val="00D739D8"/>
    <w:rsid w:val="00D74B1C"/>
    <w:rsid w:val="00D75A10"/>
    <w:rsid w:val="00D75E72"/>
    <w:rsid w:val="00D76336"/>
    <w:rsid w:val="00D7640D"/>
    <w:rsid w:val="00D76614"/>
    <w:rsid w:val="00D76FD7"/>
    <w:rsid w:val="00D776A0"/>
    <w:rsid w:val="00D80035"/>
    <w:rsid w:val="00D802FD"/>
    <w:rsid w:val="00D8037B"/>
    <w:rsid w:val="00D8059C"/>
    <w:rsid w:val="00D80649"/>
    <w:rsid w:val="00D80A1E"/>
    <w:rsid w:val="00D80F32"/>
    <w:rsid w:val="00D8216D"/>
    <w:rsid w:val="00D82319"/>
    <w:rsid w:val="00D8273E"/>
    <w:rsid w:val="00D82790"/>
    <w:rsid w:val="00D82818"/>
    <w:rsid w:val="00D82B2F"/>
    <w:rsid w:val="00D8391A"/>
    <w:rsid w:val="00D83C16"/>
    <w:rsid w:val="00D8431F"/>
    <w:rsid w:val="00D84499"/>
    <w:rsid w:val="00D8449C"/>
    <w:rsid w:val="00D847E0"/>
    <w:rsid w:val="00D85687"/>
    <w:rsid w:val="00D86A9E"/>
    <w:rsid w:val="00D86D04"/>
    <w:rsid w:val="00D87CAC"/>
    <w:rsid w:val="00D87D87"/>
    <w:rsid w:val="00D9062F"/>
    <w:rsid w:val="00D90CA5"/>
    <w:rsid w:val="00D90CBE"/>
    <w:rsid w:val="00D911AE"/>
    <w:rsid w:val="00D91600"/>
    <w:rsid w:val="00D91A32"/>
    <w:rsid w:val="00D91B38"/>
    <w:rsid w:val="00D92E3A"/>
    <w:rsid w:val="00D931FD"/>
    <w:rsid w:val="00D9320E"/>
    <w:rsid w:val="00D93604"/>
    <w:rsid w:val="00D937A3"/>
    <w:rsid w:val="00D9437E"/>
    <w:rsid w:val="00D946A9"/>
    <w:rsid w:val="00D946B8"/>
    <w:rsid w:val="00D94901"/>
    <w:rsid w:val="00D95C3D"/>
    <w:rsid w:val="00D966CD"/>
    <w:rsid w:val="00D96975"/>
    <w:rsid w:val="00D96D01"/>
    <w:rsid w:val="00D96E0F"/>
    <w:rsid w:val="00D97772"/>
    <w:rsid w:val="00DA00C9"/>
    <w:rsid w:val="00DA0CA5"/>
    <w:rsid w:val="00DA0F86"/>
    <w:rsid w:val="00DA1C6A"/>
    <w:rsid w:val="00DA1D44"/>
    <w:rsid w:val="00DA3DE8"/>
    <w:rsid w:val="00DA409E"/>
    <w:rsid w:val="00DA484E"/>
    <w:rsid w:val="00DA49BC"/>
    <w:rsid w:val="00DA5C56"/>
    <w:rsid w:val="00DA605F"/>
    <w:rsid w:val="00DA688A"/>
    <w:rsid w:val="00DA6CED"/>
    <w:rsid w:val="00DA75B0"/>
    <w:rsid w:val="00DA7AA0"/>
    <w:rsid w:val="00DA7BF6"/>
    <w:rsid w:val="00DB0238"/>
    <w:rsid w:val="00DB03C5"/>
    <w:rsid w:val="00DB04C0"/>
    <w:rsid w:val="00DB0D7F"/>
    <w:rsid w:val="00DB158C"/>
    <w:rsid w:val="00DB1E4E"/>
    <w:rsid w:val="00DB2423"/>
    <w:rsid w:val="00DB27A5"/>
    <w:rsid w:val="00DB283B"/>
    <w:rsid w:val="00DB2DC0"/>
    <w:rsid w:val="00DB3108"/>
    <w:rsid w:val="00DB31BB"/>
    <w:rsid w:val="00DB36BF"/>
    <w:rsid w:val="00DB48A9"/>
    <w:rsid w:val="00DB5646"/>
    <w:rsid w:val="00DB5711"/>
    <w:rsid w:val="00DB5D49"/>
    <w:rsid w:val="00DB606C"/>
    <w:rsid w:val="00DB67E2"/>
    <w:rsid w:val="00DB6D83"/>
    <w:rsid w:val="00DB79D5"/>
    <w:rsid w:val="00DB7A24"/>
    <w:rsid w:val="00DB7F0F"/>
    <w:rsid w:val="00DC076C"/>
    <w:rsid w:val="00DC1017"/>
    <w:rsid w:val="00DC1039"/>
    <w:rsid w:val="00DC1692"/>
    <w:rsid w:val="00DC1769"/>
    <w:rsid w:val="00DC1A43"/>
    <w:rsid w:val="00DC21E6"/>
    <w:rsid w:val="00DC2695"/>
    <w:rsid w:val="00DC2B03"/>
    <w:rsid w:val="00DC2F6A"/>
    <w:rsid w:val="00DC3A9F"/>
    <w:rsid w:val="00DC3F97"/>
    <w:rsid w:val="00DC422C"/>
    <w:rsid w:val="00DC476D"/>
    <w:rsid w:val="00DC6CC9"/>
    <w:rsid w:val="00DC7896"/>
    <w:rsid w:val="00DC7B3F"/>
    <w:rsid w:val="00DD0936"/>
    <w:rsid w:val="00DD1394"/>
    <w:rsid w:val="00DD1EE2"/>
    <w:rsid w:val="00DD2166"/>
    <w:rsid w:val="00DD2587"/>
    <w:rsid w:val="00DD38F2"/>
    <w:rsid w:val="00DD3AB8"/>
    <w:rsid w:val="00DD47D3"/>
    <w:rsid w:val="00DD5273"/>
    <w:rsid w:val="00DD59A7"/>
    <w:rsid w:val="00DD5D75"/>
    <w:rsid w:val="00DD63B9"/>
    <w:rsid w:val="00DD66FC"/>
    <w:rsid w:val="00DD67EB"/>
    <w:rsid w:val="00DD759A"/>
    <w:rsid w:val="00DD780B"/>
    <w:rsid w:val="00DD781E"/>
    <w:rsid w:val="00DD7F85"/>
    <w:rsid w:val="00DE0144"/>
    <w:rsid w:val="00DE016A"/>
    <w:rsid w:val="00DE04C7"/>
    <w:rsid w:val="00DE0A3B"/>
    <w:rsid w:val="00DE0CC0"/>
    <w:rsid w:val="00DE1281"/>
    <w:rsid w:val="00DE1527"/>
    <w:rsid w:val="00DE267A"/>
    <w:rsid w:val="00DE2C40"/>
    <w:rsid w:val="00DE3F17"/>
    <w:rsid w:val="00DE5DCD"/>
    <w:rsid w:val="00DE689E"/>
    <w:rsid w:val="00DE71FB"/>
    <w:rsid w:val="00DE7699"/>
    <w:rsid w:val="00DF021F"/>
    <w:rsid w:val="00DF051C"/>
    <w:rsid w:val="00DF0F3A"/>
    <w:rsid w:val="00DF166F"/>
    <w:rsid w:val="00DF1DFF"/>
    <w:rsid w:val="00DF2364"/>
    <w:rsid w:val="00DF285B"/>
    <w:rsid w:val="00DF33BB"/>
    <w:rsid w:val="00DF422B"/>
    <w:rsid w:val="00DF454A"/>
    <w:rsid w:val="00DF5A56"/>
    <w:rsid w:val="00DF5B60"/>
    <w:rsid w:val="00DF65F2"/>
    <w:rsid w:val="00DF69D3"/>
    <w:rsid w:val="00DF6AFD"/>
    <w:rsid w:val="00DF6C78"/>
    <w:rsid w:val="00DF6FB2"/>
    <w:rsid w:val="00DF70C7"/>
    <w:rsid w:val="00DF7706"/>
    <w:rsid w:val="00DF7F38"/>
    <w:rsid w:val="00E004D0"/>
    <w:rsid w:val="00E01B23"/>
    <w:rsid w:val="00E0268E"/>
    <w:rsid w:val="00E02F0F"/>
    <w:rsid w:val="00E0347A"/>
    <w:rsid w:val="00E04401"/>
    <w:rsid w:val="00E048D3"/>
    <w:rsid w:val="00E04A05"/>
    <w:rsid w:val="00E05E8D"/>
    <w:rsid w:val="00E060A5"/>
    <w:rsid w:val="00E0661B"/>
    <w:rsid w:val="00E067FE"/>
    <w:rsid w:val="00E06EDD"/>
    <w:rsid w:val="00E06F20"/>
    <w:rsid w:val="00E0713F"/>
    <w:rsid w:val="00E072E0"/>
    <w:rsid w:val="00E07660"/>
    <w:rsid w:val="00E10646"/>
    <w:rsid w:val="00E1095F"/>
    <w:rsid w:val="00E1174D"/>
    <w:rsid w:val="00E1190D"/>
    <w:rsid w:val="00E11B38"/>
    <w:rsid w:val="00E11E3B"/>
    <w:rsid w:val="00E11F2A"/>
    <w:rsid w:val="00E12B32"/>
    <w:rsid w:val="00E13575"/>
    <w:rsid w:val="00E14B48"/>
    <w:rsid w:val="00E14F08"/>
    <w:rsid w:val="00E14F0E"/>
    <w:rsid w:val="00E152D9"/>
    <w:rsid w:val="00E153B6"/>
    <w:rsid w:val="00E15462"/>
    <w:rsid w:val="00E15E3F"/>
    <w:rsid w:val="00E1626B"/>
    <w:rsid w:val="00E16AE2"/>
    <w:rsid w:val="00E17E49"/>
    <w:rsid w:val="00E207E5"/>
    <w:rsid w:val="00E2086A"/>
    <w:rsid w:val="00E2102B"/>
    <w:rsid w:val="00E21352"/>
    <w:rsid w:val="00E21B9C"/>
    <w:rsid w:val="00E21E72"/>
    <w:rsid w:val="00E22233"/>
    <w:rsid w:val="00E228EB"/>
    <w:rsid w:val="00E22FA5"/>
    <w:rsid w:val="00E23BCA"/>
    <w:rsid w:val="00E23D0A"/>
    <w:rsid w:val="00E23E7A"/>
    <w:rsid w:val="00E23F86"/>
    <w:rsid w:val="00E246A1"/>
    <w:rsid w:val="00E25F56"/>
    <w:rsid w:val="00E262DD"/>
    <w:rsid w:val="00E2647F"/>
    <w:rsid w:val="00E266F9"/>
    <w:rsid w:val="00E26936"/>
    <w:rsid w:val="00E26F7B"/>
    <w:rsid w:val="00E308FF"/>
    <w:rsid w:val="00E31575"/>
    <w:rsid w:val="00E31FF6"/>
    <w:rsid w:val="00E3232B"/>
    <w:rsid w:val="00E33041"/>
    <w:rsid w:val="00E33703"/>
    <w:rsid w:val="00E338A5"/>
    <w:rsid w:val="00E34533"/>
    <w:rsid w:val="00E34BF2"/>
    <w:rsid w:val="00E35777"/>
    <w:rsid w:val="00E35831"/>
    <w:rsid w:val="00E35B40"/>
    <w:rsid w:val="00E35F28"/>
    <w:rsid w:val="00E37693"/>
    <w:rsid w:val="00E37CB2"/>
    <w:rsid w:val="00E41295"/>
    <w:rsid w:val="00E415F4"/>
    <w:rsid w:val="00E42453"/>
    <w:rsid w:val="00E4284F"/>
    <w:rsid w:val="00E42DD7"/>
    <w:rsid w:val="00E44318"/>
    <w:rsid w:val="00E44D24"/>
    <w:rsid w:val="00E44F2A"/>
    <w:rsid w:val="00E454D1"/>
    <w:rsid w:val="00E4597A"/>
    <w:rsid w:val="00E459BE"/>
    <w:rsid w:val="00E46C43"/>
    <w:rsid w:val="00E4721C"/>
    <w:rsid w:val="00E474D2"/>
    <w:rsid w:val="00E50030"/>
    <w:rsid w:val="00E50789"/>
    <w:rsid w:val="00E50B71"/>
    <w:rsid w:val="00E50E0B"/>
    <w:rsid w:val="00E51C69"/>
    <w:rsid w:val="00E51E44"/>
    <w:rsid w:val="00E51FEC"/>
    <w:rsid w:val="00E52239"/>
    <w:rsid w:val="00E529E3"/>
    <w:rsid w:val="00E53058"/>
    <w:rsid w:val="00E53371"/>
    <w:rsid w:val="00E53B25"/>
    <w:rsid w:val="00E542FE"/>
    <w:rsid w:val="00E54BDC"/>
    <w:rsid w:val="00E557AF"/>
    <w:rsid w:val="00E55DD1"/>
    <w:rsid w:val="00E568E7"/>
    <w:rsid w:val="00E56DE8"/>
    <w:rsid w:val="00E56E7E"/>
    <w:rsid w:val="00E57995"/>
    <w:rsid w:val="00E601E4"/>
    <w:rsid w:val="00E604E2"/>
    <w:rsid w:val="00E6050A"/>
    <w:rsid w:val="00E60AB3"/>
    <w:rsid w:val="00E60DE1"/>
    <w:rsid w:val="00E61265"/>
    <w:rsid w:val="00E62DCA"/>
    <w:rsid w:val="00E6420A"/>
    <w:rsid w:val="00E649D1"/>
    <w:rsid w:val="00E654F3"/>
    <w:rsid w:val="00E6573F"/>
    <w:rsid w:val="00E65CCA"/>
    <w:rsid w:val="00E667DB"/>
    <w:rsid w:val="00E670C7"/>
    <w:rsid w:val="00E674F0"/>
    <w:rsid w:val="00E67D1A"/>
    <w:rsid w:val="00E67D39"/>
    <w:rsid w:val="00E705AC"/>
    <w:rsid w:val="00E70EED"/>
    <w:rsid w:val="00E7101E"/>
    <w:rsid w:val="00E721A2"/>
    <w:rsid w:val="00E72286"/>
    <w:rsid w:val="00E72ADE"/>
    <w:rsid w:val="00E72C1F"/>
    <w:rsid w:val="00E73941"/>
    <w:rsid w:val="00E74ED8"/>
    <w:rsid w:val="00E7539A"/>
    <w:rsid w:val="00E75720"/>
    <w:rsid w:val="00E75E59"/>
    <w:rsid w:val="00E76142"/>
    <w:rsid w:val="00E76931"/>
    <w:rsid w:val="00E800B0"/>
    <w:rsid w:val="00E809A9"/>
    <w:rsid w:val="00E81068"/>
    <w:rsid w:val="00E8110F"/>
    <w:rsid w:val="00E81747"/>
    <w:rsid w:val="00E8176C"/>
    <w:rsid w:val="00E824AB"/>
    <w:rsid w:val="00E82844"/>
    <w:rsid w:val="00E82E60"/>
    <w:rsid w:val="00E82FB5"/>
    <w:rsid w:val="00E8372A"/>
    <w:rsid w:val="00E838D9"/>
    <w:rsid w:val="00E839BD"/>
    <w:rsid w:val="00E8487E"/>
    <w:rsid w:val="00E849CC"/>
    <w:rsid w:val="00E84A7C"/>
    <w:rsid w:val="00E84DA2"/>
    <w:rsid w:val="00E85795"/>
    <w:rsid w:val="00E85FAD"/>
    <w:rsid w:val="00E874EE"/>
    <w:rsid w:val="00E90053"/>
    <w:rsid w:val="00E901DA"/>
    <w:rsid w:val="00E91465"/>
    <w:rsid w:val="00E91DFE"/>
    <w:rsid w:val="00E92D6A"/>
    <w:rsid w:val="00E93230"/>
    <w:rsid w:val="00E9340A"/>
    <w:rsid w:val="00E934BE"/>
    <w:rsid w:val="00E94376"/>
    <w:rsid w:val="00E943E2"/>
    <w:rsid w:val="00E946A5"/>
    <w:rsid w:val="00E94B6B"/>
    <w:rsid w:val="00E95C6E"/>
    <w:rsid w:val="00E9605A"/>
    <w:rsid w:val="00E963FC"/>
    <w:rsid w:val="00E96D4E"/>
    <w:rsid w:val="00E96E23"/>
    <w:rsid w:val="00E96F73"/>
    <w:rsid w:val="00E976BD"/>
    <w:rsid w:val="00E979F0"/>
    <w:rsid w:val="00E97A26"/>
    <w:rsid w:val="00EA05C8"/>
    <w:rsid w:val="00EA0661"/>
    <w:rsid w:val="00EA06C7"/>
    <w:rsid w:val="00EA06F0"/>
    <w:rsid w:val="00EA17CF"/>
    <w:rsid w:val="00EA18A5"/>
    <w:rsid w:val="00EA1A47"/>
    <w:rsid w:val="00EA1E24"/>
    <w:rsid w:val="00EA2375"/>
    <w:rsid w:val="00EA2688"/>
    <w:rsid w:val="00EA2DD1"/>
    <w:rsid w:val="00EA3BDF"/>
    <w:rsid w:val="00EA3E36"/>
    <w:rsid w:val="00EA4455"/>
    <w:rsid w:val="00EA46DF"/>
    <w:rsid w:val="00EA4D89"/>
    <w:rsid w:val="00EA50F8"/>
    <w:rsid w:val="00EA664A"/>
    <w:rsid w:val="00EA7267"/>
    <w:rsid w:val="00EA7596"/>
    <w:rsid w:val="00EA7911"/>
    <w:rsid w:val="00EB0022"/>
    <w:rsid w:val="00EB0A5E"/>
    <w:rsid w:val="00EB0A77"/>
    <w:rsid w:val="00EB127B"/>
    <w:rsid w:val="00EB1407"/>
    <w:rsid w:val="00EB2E90"/>
    <w:rsid w:val="00EB30DE"/>
    <w:rsid w:val="00EB3BEC"/>
    <w:rsid w:val="00EB4057"/>
    <w:rsid w:val="00EB49A0"/>
    <w:rsid w:val="00EB51D7"/>
    <w:rsid w:val="00EB52F0"/>
    <w:rsid w:val="00EB6151"/>
    <w:rsid w:val="00EB64AE"/>
    <w:rsid w:val="00EB7013"/>
    <w:rsid w:val="00EB7A58"/>
    <w:rsid w:val="00EB7E6B"/>
    <w:rsid w:val="00EC0151"/>
    <w:rsid w:val="00EC031F"/>
    <w:rsid w:val="00EC0682"/>
    <w:rsid w:val="00EC071F"/>
    <w:rsid w:val="00EC0AFC"/>
    <w:rsid w:val="00EC1287"/>
    <w:rsid w:val="00EC128A"/>
    <w:rsid w:val="00EC1D01"/>
    <w:rsid w:val="00EC2424"/>
    <w:rsid w:val="00EC2446"/>
    <w:rsid w:val="00EC3883"/>
    <w:rsid w:val="00EC428C"/>
    <w:rsid w:val="00EC4736"/>
    <w:rsid w:val="00EC4850"/>
    <w:rsid w:val="00EC50D6"/>
    <w:rsid w:val="00EC548E"/>
    <w:rsid w:val="00EC5647"/>
    <w:rsid w:val="00EC5939"/>
    <w:rsid w:val="00EC5AE7"/>
    <w:rsid w:val="00EC699B"/>
    <w:rsid w:val="00EC6B3B"/>
    <w:rsid w:val="00EC6D5B"/>
    <w:rsid w:val="00EC75BB"/>
    <w:rsid w:val="00EC7A50"/>
    <w:rsid w:val="00EC7CD9"/>
    <w:rsid w:val="00EC7E99"/>
    <w:rsid w:val="00ED19F4"/>
    <w:rsid w:val="00ED1F7A"/>
    <w:rsid w:val="00ED216E"/>
    <w:rsid w:val="00ED28BF"/>
    <w:rsid w:val="00ED408E"/>
    <w:rsid w:val="00ED4C93"/>
    <w:rsid w:val="00ED4DD4"/>
    <w:rsid w:val="00ED5585"/>
    <w:rsid w:val="00ED5BA2"/>
    <w:rsid w:val="00ED5FB8"/>
    <w:rsid w:val="00ED7943"/>
    <w:rsid w:val="00ED7977"/>
    <w:rsid w:val="00ED7ABE"/>
    <w:rsid w:val="00ED7D8C"/>
    <w:rsid w:val="00EE0093"/>
    <w:rsid w:val="00EE0381"/>
    <w:rsid w:val="00EE0AD1"/>
    <w:rsid w:val="00EE10D5"/>
    <w:rsid w:val="00EE14FE"/>
    <w:rsid w:val="00EE23C3"/>
    <w:rsid w:val="00EE2ECA"/>
    <w:rsid w:val="00EE3682"/>
    <w:rsid w:val="00EE3CD6"/>
    <w:rsid w:val="00EE4110"/>
    <w:rsid w:val="00EE4BCA"/>
    <w:rsid w:val="00EE5A33"/>
    <w:rsid w:val="00EE5D57"/>
    <w:rsid w:val="00EE5ED9"/>
    <w:rsid w:val="00EE68A5"/>
    <w:rsid w:val="00EE6BA4"/>
    <w:rsid w:val="00EE74D3"/>
    <w:rsid w:val="00EE7D4F"/>
    <w:rsid w:val="00EF2A8C"/>
    <w:rsid w:val="00EF3164"/>
    <w:rsid w:val="00EF3290"/>
    <w:rsid w:val="00EF33EE"/>
    <w:rsid w:val="00EF3A91"/>
    <w:rsid w:val="00EF3B3A"/>
    <w:rsid w:val="00EF40A8"/>
    <w:rsid w:val="00EF4286"/>
    <w:rsid w:val="00EF47CC"/>
    <w:rsid w:val="00EF49E0"/>
    <w:rsid w:val="00EF4AFA"/>
    <w:rsid w:val="00EF4D7B"/>
    <w:rsid w:val="00EF4EF4"/>
    <w:rsid w:val="00EF5564"/>
    <w:rsid w:val="00EF5EB6"/>
    <w:rsid w:val="00EF5F99"/>
    <w:rsid w:val="00EF60D1"/>
    <w:rsid w:val="00EF65E8"/>
    <w:rsid w:val="00EF7BA1"/>
    <w:rsid w:val="00EF7F94"/>
    <w:rsid w:val="00EF7FE4"/>
    <w:rsid w:val="00F010F4"/>
    <w:rsid w:val="00F02682"/>
    <w:rsid w:val="00F0284D"/>
    <w:rsid w:val="00F02D2F"/>
    <w:rsid w:val="00F0343E"/>
    <w:rsid w:val="00F03A30"/>
    <w:rsid w:val="00F046B4"/>
    <w:rsid w:val="00F04B79"/>
    <w:rsid w:val="00F0555A"/>
    <w:rsid w:val="00F056DF"/>
    <w:rsid w:val="00F05C9E"/>
    <w:rsid w:val="00F05ECD"/>
    <w:rsid w:val="00F062E4"/>
    <w:rsid w:val="00F0643D"/>
    <w:rsid w:val="00F064CF"/>
    <w:rsid w:val="00F065AE"/>
    <w:rsid w:val="00F06F33"/>
    <w:rsid w:val="00F07626"/>
    <w:rsid w:val="00F07E44"/>
    <w:rsid w:val="00F07F30"/>
    <w:rsid w:val="00F108DC"/>
    <w:rsid w:val="00F10FAE"/>
    <w:rsid w:val="00F126BA"/>
    <w:rsid w:val="00F12A8D"/>
    <w:rsid w:val="00F12F67"/>
    <w:rsid w:val="00F134B6"/>
    <w:rsid w:val="00F13700"/>
    <w:rsid w:val="00F138CE"/>
    <w:rsid w:val="00F13ED6"/>
    <w:rsid w:val="00F141CA"/>
    <w:rsid w:val="00F14D87"/>
    <w:rsid w:val="00F15FC4"/>
    <w:rsid w:val="00F162AB"/>
    <w:rsid w:val="00F16FE7"/>
    <w:rsid w:val="00F17708"/>
    <w:rsid w:val="00F1789D"/>
    <w:rsid w:val="00F20335"/>
    <w:rsid w:val="00F2147C"/>
    <w:rsid w:val="00F2178A"/>
    <w:rsid w:val="00F21C26"/>
    <w:rsid w:val="00F226A4"/>
    <w:rsid w:val="00F22C63"/>
    <w:rsid w:val="00F22CEC"/>
    <w:rsid w:val="00F238C9"/>
    <w:rsid w:val="00F239E9"/>
    <w:rsid w:val="00F23C22"/>
    <w:rsid w:val="00F24642"/>
    <w:rsid w:val="00F24A52"/>
    <w:rsid w:val="00F25645"/>
    <w:rsid w:val="00F25821"/>
    <w:rsid w:val="00F26840"/>
    <w:rsid w:val="00F26EC6"/>
    <w:rsid w:val="00F274F8"/>
    <w:rsid w:val="00F27A07"/>
    <w:rsid w:val="00F30551"/>
    <w:rsid w:val="00F315B3"/>
    <w:rsid w:val="00F315B4"/>
    <w:rsid w:val="00F323E9"/>
    <w:rsid w:val="00F3334E"/>
    <w:rsid w:val="00F336E8"/>
    <w:rsid w:val="00F33EE6"/>
    <w:rsid w:val="00F342C8"/>
    <w:rsid w:val="00F354CE"/>
    <w:rsid w:val="00F35978"/>
    <w:rsid w:val="00F35E53"/>
    <w:rsid w:val="00F360AB"/>
    <w:rsid w:val="00F37DFC"/>
    <w:rsid w:val="00F406D8"/>
    <w:rsid w:val="00F418BB"/>
    <w:rsid w:val="00F41C55"/>
    <w:rsid w:val="00F421A5"/>
    <w:rsid w:val="00F4267A"/>
    <w:rsid w:val="00F42F75"/>
    <w:rsid w:val="00F43132"/>
    <w:rsid w:val="00F43416"/>
    <w:rsid w:val="00F43AAC"/>
    <w:rsid w:val="00F43C49"/>
    <w:rsid w:val="00F43D18"/>
    <w:rsid w:val="00F43F3D"/>
    <w:rsid w:val="00F44762"/>
    <w:rsid w:val="00F44D0C"/>
    <w:rsid w:val="00F44E71"/>
    <w:rsid w:val="00F44FA4"/>
    <w:rsid w:val="00F451B1"/>
    <w:rsid w:val="00F452CD"/>
    <w:rsid w:val="00F452E6"/>
    <w:rsid w:val="00F45A2F"/>
    <w:rsid w:val="00F46015"/>
    <w:rsid w:val="00F4608C"/>
    <w:rsid w:val="00F46267"/>
    <w:rsid w:val="00F4640C"/>
    <w:rsid w:val="00F46A9C"/>
    <w:rsid w:val="00F46F95"/>
    <w:rsid w:val="00F47D60"/>
    <w:rsid w:val="00F47E4A"/>
    <w:rsid w:val="00F47F05"/>
    <w:rsid w:val="00F50610"/>
    <w:rsid w:val="00F50AAA"/>
    <w:rsid w:val="00F50D1F"/>
    <w:rsid w:val="00F50EE6"/>
    <w:rsid w:val="00F518B3"/>
    <w:rsid w:val="00F51B2E"/>
    <w:rsid w:val="00F525C7"/>
    <w:rsid w:val="00F528C9"/>
    <w:rsid w:val="00F52B42"/>
    <w:rsid w:val="00F53938"/>
    <w:rsid w:val="00F539ED"/>
    <w:rsid w:val="00F54027"/>
    <w:rsid w:val="00F5415A"/>
    <w:rsid w:val="00F54622"/>
    <w:rsid w:val="00F54775"/>
    <w:rsid w:val="00F54A69"/>
    <w:rsid w:val="00F54C7B"/>
    <w:rsid w:val="00F555A4"/>
    <w:rsid w:val="00F55C10"/>
    <w:rsid w:val="00F55CE2"/>
    <w:rsid w:val="00F55D63"/>
    <w:rsid w:val="00F55E1B"/>
    <w:rsid w:val="00F56917"/>
    <w:rsid w:val="00F56BEA"/>
    <w:rsid w:val="00F572F7"/>
    <w:rsid w:val="00F57710"/>
    <w:rsid w:val="00F57A73"/>
    <w:rsid w:val="00F60E5F"/>
    <w:rsid w:val="00F61286"/>
    <w:rsid w:val="00F61A86"/>
    <w:rsid w:val="00F61A9E"/>
    <w:rsid w:val="00F625BB"/>
    <w:rsid w:val="00F625C7"/>
    <w:rsid w:val="00F62643"/>
    <w:rsid w:val="00F62652"/>
    <w:rsid w:val="00F62BF2"/>
    <w:rsid w:val="00F636B1"/>
    <w:rsid w:val="00F6396D"/>
    <w:rsid w:val="00F63CBA"/>
    <w:rsid w:val="00F6411F"/>
    <w:rsid w:val="00F6521D"/>
    <w:rsid w:val="00F65325"/>
    <w:rsid w:val="00F65801"/>
    <w:rsid w:val="00F659AB"/>
    <w:rsid w:val="00F65DF9"/>
    <w:rsid w:val="00F6608B"/>
    <w:rsid w:val="00F6663A"/>
    <w:rsid w:val="00F66829"/>
    <w:rsid w:val="00F66924"/>
    <w:rsid w:val="00F66A86"/>
    <w:rsid w:val="00F670EC"/>
    <w:rsid w:val="00F67E6C"/>
    <w:rsid w:val="00F701AB"/>
    <w:rsid w:val="00F705ED"/>
    <w:rsid w:val="00F70E0A"/>
    <w:rsid w:val="00F70F1E"/>
    <w:rsid w:val="00F712A6"/>
    <w:rsid w:val="00F7155E"/>
    <w:rsid w:val="00F72119"/>
    <w:rsid w:val="00F72830"/>
    <w:rsid w:val="00F72A34"/>
    <w:rsid w:val="00F73445"/>
    <w:rsid w:val="00F73616"/>
    <w:rsid w:val="00F7380D"/>
    <w:rsid w:val="00F73C56"/>
    <w:rsid w:val="00F73D69"/>
    <w:rsid w:val="00F740F4"/>
    <w:rsid w:val="00F745B7"/>
    <w:rsid w:val="00F74935"/>
    <w:rsid w:val="00F74A1A"/>
    <w:rsid w:val="00F74A6B"/>
    <w:rsid w:val="00F74D57"/>
    <w:rsid w:val="00F74EEB"/>
    <w:rsid w:val="00F75505"/>
    <w:rsid w:val="00F76394"/>
    <w:rsid w:val="00F7652F"/>
    <w:rsid w:val="00F76962"/>
    <w:rsid w:val="00F76EB9"/>
    <w:rsid w:val="00F77093"/>
    <w:rsid w:val="00F771B9"/>
    <w:rsid w:val="00F77AC7"/>
    <w:rsid w:val="00F800FB"/>
    <w:rsid w:val="00F80762"/>
    <w:rsid w:val="00F81D43"/>
    <w:rsid w:val="00F82676"/>
    <w:rsid w:val="00F8395E"/>
    <w:rsid w:val="00F840A2"/>
    <w:rsid w:val="00F8498C"/>
    <w:rsid w:val="00F84FF6"/>
    <w:rsid w:val="00F85D59"/>
    <w:rsid w:val="00F8602A"/>
    <w:rsid w:val="00F861FF"/>
    <w:rsid w:val="00F86668"/>
    <w:rsid w:val="00F868B4"/>
    <w:rsid w:val="00F86DC4"/>
    <w:rsid w:val="00F874F5"/>
    <w:rsid w:val="00F87780"/>
    <w:rsid w:val="00F879D8"/>
    <w:rsid w:val="00F87C6C"/>
    <w:rsid w:val="00F90501"/>
    <w:rsid w:val="00F905B1"/>
    <w:rsid w:val="00F906FC"/>
    <w:rsid w:val="00F90934"/>
    <w:rsid w:val="00F91BA4"/>
    <w:rsid w:val="00F9263D"/>
    <w:rsid w:val="00F92A3A"/>
    <w:rsid w:val="00F92DD0"/>
    <w:rsid w:val="00F9302C"/>
    <w:rsid w:val="00F93051"/>
    <w:rsid w:val="00F9350D"/>
    <w:rsid w:val="00F937D0"/>
    <w:rsid w:val="00F9406A"/>
    <w:rsid w:val="00F94147"/>
    <w:rsid w:val="00F944B0"/>
    <w:rsid w:val="00F94D60"/>
    <w:rsid w:val="00F9580C"/>
    <w:rsid w:val="00F95AAA"/>
    <w:rsid w:val="00F95D60"/>
    <w:rsid w:val="00F95EE6"/>
    <w:rsid w:val="00F96550"/>
    <w:rsid w:val="00F96B81"/>
    <w:rsid w:val="00F96C31"/>
    <w:rsid w:val="00F96E08"/>
    <w:rsid w:val="00F970B8"/>
    <w:rsid w:val="00F972E7"/>
    <w:rsid w:val="00F975A0"/>
    <w:rsid w:val="00FA0647"/>
    <w:rsid w:val="00FA0D2B"/>
    <w:rsid w:val="00FA30F4"/>
    <w:rsid w:val="00FA3119"/>
    <w:rsid w:val="00FA336C"/>
    <w:rsid w:val="00FA44CF"/>
    <w:rsid w:val="00FA50FE"/>
    <w:rsid w:val="00FA5556"/>
    <w:rsid w:val="00FA566F"/>
    <w:rsid w:val="00FA571F"/>
    <w:rsid w:val="00FA5C4D"/>
    <w:rsid w:val="00FA5CE7"/>
    <w:rsid w:val="00FA6FF8"/>
    <w:rsid w:val="00FA7311"/>
    <w:rsid w:val="00FA76F7"/>
    <w:rsid w:val="00FA7CD8"/>
    <w:rsid w:val="00FA7E48"/>
    <w:rsid w:val="00FB0AE6"/>
    <w:rsid w:val="00FB0DBD"/>
    <w:rsid w:val="00FB0E61"/>
    <w:rsid w:val="00FB145E"/>
    <w:rsid w:val="00FB1C62"/>
    <w:rsid w:val="00FB2684"/>
    <w:rsid w:val="00FB26C8"/>
    <w:rsid w:val="00FB2B5D"/>
    <w:rsid w:val="00FB41DB"/>
    <w:rsid w:val="00FB4904"/>
    <w:rsid w:val="00FB4C6A"/>
    <w:rsid w:val="00FB53B4"/>
    <w:rsid w:val="00FB53B6"/>
    <w:rsid w:val="00FB64F8"/>
    <w:rsid w:val="00FB6BC0"/>
    <w:rsid w:val="00FB7EEA"/>
    <w:rsid w:val="00FC1019"/>
    <w:rsid w:val="00FC1474"/>
    <w:rsid w:val="00FC1A7E"/>
    <w:rsid w:val="00FC1EC6"/>
    <w:rsid w:val="00FC2249"/>
    <w:rsid w:val="00FC2A6B"/>
    <w:rsid w:val="00FC4853"/>
    <w:rsid w:val="00FC4BEA"/>
    <w:rsid w:val="00FC4BF6"/>
    <w:rsid w:val="00FC4CA5"/>
    <w:rsid w:val="00FC59DA"/>
    <w:rsid w:val="00FC60D2"/>
    <w:rsid w:val="00FC63C3"/>
    <w:rsid w:val="00FC63F7"/>
    <w:rsid w:val="00FC6423"/>
    <w:rsid w:val="00FC6AC8"/>
    <w:rsid w:val="00FC6DC7"/>
    <w:rsid w:val="00FD04BC"/>
    <w:rsid w:val="00FD06AC"/>
    <w:rsid w:val="00FD06ED"/>
    <w:rsid w:val="00FD08E9"/>
    <w:rsid w:val="00FD113A"/>
    <w:rsid w:val="00FD1947"/>
    <w:rsid w:val="00FD1D67"/>
    <w:rsid w:val="00FD20AF"/>
    <w:rsid w:val="00FD27DD"/>
    <w:rsid w:val="00FD2F80"/>
    <w:rsid w:val="00FD35EE"/>
    <w:rsid w:val="00FD39F1"/>
    <w:rsid w:val="00FD3CE2"/>
    <w:rsid w:val="00FD418A"/>
    <w:rsid w:val="00FD431F"/>
    <w:rsid w:val="00FD479D"/>
    <w:rsid w:val="00FD4F34"/>
    <w:rsid w:val="00FD5EED"/>
    <w:rsid w:val="00FD6621"/>
    <w:rsid w:val="00FD69B0"/>
    <w:rsid w:val="00FD777F"/>
    <w:rsid w:val="00FD7797"/>
    <w:rsid w:val="00FD7989"/>
    <w:rsid w:val="00FD7C95"/>
    <w:rsid w:val="00FE039A"/>
    <w:rsid w:val="00FE040D"/>
    <w:rsid w:val="00FE0497"/>
    <w:rsid w:val="00FE09D4"/>
    <w:rsid w:val="00FE0B24"/>
    <w:rsid w:val="00FE0EC9"/>
    <w:rsid w:val="00FE1743"/>
    <w:rsid w:val="00FE1761"/>
    <w:rsid w:val="00FE17AB"/>
    <w:rsid w:val="00FE188C"/>
    <w:rsid w:val="00FE1E09"/>
    <w:rsid w:val="00FE28EE"/>
    <w:rsid w:val="00FE3452"/>
    <w:rsid w:val="00FE4A57"/>
    <w:rsid w:val="00FE4B83"/>
    <w:rsid w:val="00FE4D87"/>
    <w:rsid w:val="00FE502C"/>
    <w:rsid w:val="00FE58F7"/>
    <w:rsid w:val="00FE5F24"/>
    <w:rsid w:val="00FE60EB"/>
    <w:rsid w:val="00FE645C"/>
    <w:rsid w:val="00FE6C1E"/>
    <w:rsid w:val="00FE6E1E"/>
    <w:rsid w:val="00FE6EE8"/>
    <w:rsid w:val="00FE74B1"/>
    <w:rsid w:val="00FE75AA"/>
    <w:rsid w:val="00FE75F6"/>
    <w:rsid w:val="00FE7C2E"/>
    <w:rsid w:val="00FE7E52"/>
    <w:rsid w:val="00FF03A5"/>
    <w:rsid w:val="00FF2203"/>
    <w:rsid w:val="00FF2530"/>
    <w:rsid w:val="00FF2B91"/>
    <w:rsid w:val="00FF3516"/>
    <w:rsid w:val="00FF3EC3"/>
    <w:rsid w:val="00FF42FD"/>
    <w:rsid w:val="00FF4318"/>
    <w:rsid w:val="00FF504D"/>
    <w:rsid w:val="00FF572B"/>
    <w:rsid w:val="00FF5B0E"/>
    <w:rsid w:val="00FF6FD9"/>
    <w:rsid w:val="00FF72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E3F1"/>
  <w15:docId w15:val="{3FF84710-0CBA-42C5-867D-EEC9B02D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E1C"/>
    <w:pPr>
      <w:spacing w:after="0" w:line="240" w:lineRule="auto"/>
      <w:jc w:val="both"/>
    </w:pPr>
  </w:style>
  <w:style w:type="paragraph" w:styleId="Naslov1">
    <w:name w:val="heading 1"/>
    <w:basedOn w:val="Normal"/>
    <w:next w:val="Normal"/>
    <w:link w:val="Naslov1Char"/>
    <w:uiPriority w:val="9"/>
    <w:qFormat/>
    <w:rsid w:val="007326B9"/>
    <w:pPr>
      <w:keepNext/>
      <w:keepLines/>
      <w:numPr>
        <w:numId w:val="5"/>
      </w:numPr>
      <w:ind w:left="567" w:hanging="283"/>
      <w:jc w:val="center"/>
      <w:outlineLvl w:val="0"/>
    </w:pPr>
    <w:rPr>
      <w:rFonts w:eastAsiaTheme="majorEastAsia"/>
      <w:b/>
      <w:bCs/>
      <w:sz w:val="28"/>
      <w:szCs w:val="28"/>
    </w:rPr>
  </w:style>
  <w:style w:type="paragraph" w:styleId="Naslov2">
    <w:name w:val="heading 2"/>
    <w:basedOn w:val="Normal"/>
    <w:next w:val="Normal"/>
    <w:link w:val="Naslov2Char"/>
    <w:uiPriority w:val="9"/>
    <w:unhideWhenUsed/>
    <w:qFormat/>
    <w:rsid w:val="00197521"/>
    <w:pPr>
      <w:keepNext/>
      <w:keepLines/>
      <w:numPr>
        <w:numId w:val="6"/>
      </w:numPr>
      <w:outlineLvl w:val="1"/>
    </w:pPr>
    <w:rPr>
      <w:rFonts w:asciiTheme="majorHAnsi" w:eastAsiaTheme="majorEastAsia" w:hAnsiTheme="majorHAnsi" w:cstheme="majorBidi"/>
      <w:b/>
      <w:bCs/>
      <w:szCs w:val="26"/>
    </w:rPr>
  </w:style>
  <w:style w:type="paragraph" w:styleId="Naslov3">
    <w:name w:val="heading 3"/>
    <w:basedOn w:val="Naslov2"/>
    <w:next w:val="Normal"/>
    <w:link w:val="Naslov3Char"/>
    <w:uiPriority w:val="9"/>
    <w:unhideWhenUsed/>
    <w:qFormat/>
    <w:rsid w:val="00B45008"/>
    <w:pPr>
      <w:numPr>
        <w:ilvl w:val="1"/>
      </w:numPr>
      <w:outlineLvl w:val="2"/>
    </w:pPr>
  </w:style>
  <w:style w:type="paragraph" w:styleId="Naslov4">
    <w:name w:val="heading 4"/>
    <w:basedOn w:val="Naslov3"/>
    <w:next w:val="Normal"/>
    <w:link w:val="Naslov4Char"/>
    <w:uiPriority w:val="9"/>
    <w:unhideWhenUsed/>
    <w:qFormat/>
    <w:rsid w:val="00B45008"/>
    <w:pPr>
      <w:numPr>
        <w:ilvl w:val="2"/>
      </w:numPr>
      <w:outlineLvl w:val="3"/>
    </w:pPr>
  </w:style>
  <w:style w:type="paragraph" w:styleId="Naslov5">
    <w:name w:val="heading 5"/>
    <w:basedOn w:val="Naslov4"/>
    <w:next w:val="Normal"/>
    <w:link w:val="Naslov5Char"/>
    <w:uiPriority w:val="9"/>
    <w:unhideWhenUsed/>
    <w:qFormat/>
    <w:rsid w:val="00A60F77"/>
    <w:pPr>
      <w:numPr>
        <w:ilvl w:val="3"/>
      </w:numPr>
      <w:outlineLvl w:val="4"/>
    </w:pPr>
  </w:style>
  <w:style w:type="paragraph" w:styleId="Naslov6">
    <w:name w:val="heading 6"/>
    <w:basedOn w:val="Normal"/>
    <w:next w:val="Normal"/>
    <w:link w:val="Naslov6Char"/>
    <w:uiPriority w:val="9"/>
    <w:unhideWhenUsed/>
    <w:qFormat/>
    <w:rsid w:val="000E22E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326B9"/>
    <w:rPr>
      <w:rFonts w:ascii="Arial" w:eastAsiaTheme="majorEastAsia" w:hAnsi="Arial" w:cs="Arial"/>
      <w:b/>
      <w:bCs/>
      <w:sz w:val="28"/>
      <w:szCs w:val="28"/>
    </w:rPr>
  </w:style>
  <w:style w:type="character" w:customStyle="1" w:styleId="Naslov2Char">
    <w:name w:val="Naslov 2 Char"/>
    <w:basedOn w:val="Zadanifontodlomka"/>
    <w:link w:val="Naslov2"/>
    <w:uiPriority w:val="9"/>
    <w:rsid w:val="00197521"/>
    <w:rPr>
      <w:rFonts w:asciiTheme="majorHAnsi" w:eastAsiaTheme="majorEastAsia" w:hAnsiTheme="majorHAnsi" w:cstheme="majorBidi"/>
      <w:b/>
      <w:bCs/>
      <w:sz w:val="24"/>
      <w:szCs w:val="26"/>
    </w:rPr>
  </w:style>
  <w:style w:type="character" w:customStyle="1" w:styleId="Naslov3Char">
    <w:name w:val="Naslov 3 Char"/>
    <w:basedOn w:val="Zadanifontodlomka"/>
    <w:link w:val="Naslov3"/>
    <w:uiPriority w:val="9"/>
    <w:rsid w:val="00B45008"/>
    <w:rPr>
      <w:rFonts w:asciiTheme="majorHAnsi" w:eastAsiaTheme="majorEastAsia" w:hAnsiTheme="majorHAnsi" w:cstheme="majorBidi"/>
      <w:b/>
      <w:bCs/>
      <w:sz w:val="24"/>
      <w:szCs w:val="26"/>
    </w:rPr>
  </w:style>
  <w:style w:type="character" w:customStyle="1" w:styleId="Naslov4Char">
    <w:name w:val="Naslov 4 Char"/>
    <w:basedOn w:val="Zadanifontodlomka"/>
    <w:link w:val="Naslov4"/>
    <w:uiPriority w:val="9"/>
    <w:rsid w:val="00B45008"/>
    <w:rPr>
      <w:rFonts w:asciiTheme="majorHAnsi" w:eastAsiaTheme="majorEastAsia" w:hAnsiTheme="majorHAnsi" w:cstheme="majorBidi"/>
      <w:b/>
      <w:bCs/>
      <w:sz w:val="24"/>
      <w:szCs w:val="26"/>
    </w:rPr>
  </w:style>
  <w:style w:type="character" w:customStyle="1" w:styleId="Naslov5Char">
    <w:name w:val="Naslov 5 Char"/>
    <w:basedOn w:val="Zadanifontodlomka"/>
    <w:link w:val="Naslov5"/>
    <w:uiPriority w:val="9"/>
    <w:rsid w:val="00A60F77"/>
    <w:rPr>
      <w:rFonts w:asciiTheme="majorHAnsi" w:eastAsiaTheme="majorEastAsia" w:hAnsiTheme="majorHAnsi" w:cstheme="majorBidi"/>
      <w:b/>
      <w:bCs/>
      <w:sz w:val="24"/>
      <w:szCs w:val="26"/>
    </w:rPr>
  </w:style>
  <w:style w:type="paragraph" w:styleId="Tekstbalonia">
    <w:name w:val="Balloon Text"/>
    <w:basedOn w:val="Normal"/>
    <w:link w:val="TekstbaloniaChar"/>
    <w:uiPriority w:val="99"/>
    <w:semiHidden/>
    <w:unhideWhenUsed/>
    <w:rsid w:val="00B24E4C"/>
    <w:rPr>
      <w:rFonts w:ascii="Tahoma" w:hAnsi="Tahoma" w:cs="Tahoma"/>
      <w:sz w:val="16"/>
      <w:szCs w:val="16"/>
    </w:rPr>
  </w:style>
  <w:style w:type="character" w:customStyle="1" w:styleId="TekstbaloniaChar">
    <w:name w:val="Tekst balončića Char"/>
    <w:basedOn w:val="Zadanifontodlomka"/>
    <w:link w:val="Tekstbalonia"/>
    <w:uiPriority w:val="99"/>
    <w:semiHidden/>
    <w:rsid w:val="00B24E4C"/>
    <w:rPr>
      <w:rFonts w:ascii="Tahoma" w:hAnsi="Tahoma" w:cs="Tahoma"/>
      <w:sz w:val="16"/>
      <w:szCs w:val="16"/>
    </w:rPr>
  </w:style>
  <w:style w:type="paragraph" w:styleId="Sadraj1">
    <w:name w:val="toc 1"/>
    <w:basedOn w:val="Normal"/>
    <w:next w:val="Normal"/>
    <w:autoRedefine/>
    <w:uiPriority w:val="39"/>
    <w:unhideWhenUsed/>
    <w:rsid w:val="00806AE8"/>
    <w:pPr>
      <w:spacing w:after="100"/>
    </w:pPr>
  </w:style>
  <w:style w:type="paragraph" w:styleId="Sadraj2">
    <w:name w:val="toc 2"/>
    <w:basedOn w:val="Normal"/>
    <w:next w:val="Normal"/>
    <w:autoRedefine/>
    <w:uiPriority w:val="39"/>
    <w:unhideWhenUsed/>
    <w:rsid w:val="00806AE8"/>
    <w:pPr>
      <w:spacing w:after="100"/>
      <w:ind w:left="220"/>
    </w:pPr>
  </w:style>
  <w:style w:type="paragraph" w:styleId="Sadraj3">
    <w:name w:val="toc 3"/>
    <w:basedOn w:val="Normal"/>
    <w:next w:val="Normal"/>
    <w:autoRedefine/>
    <w:uiPriority w:val="39"/>
    <w:unhideWhenUsed/>
    <w:rsid w:val="00806AE8"/>
    <w:pPr>
      <w:spacing w:after="100"/>
      <w:ind w:left="440"/>
    </w:pPr>
  </w:style>
  <w:style w:type="paragraph" w:styleId="Sadraj4">
    <w:name w:val="toc 4"/>
    <w:basedOn w:val="Normal"/>
    <w:next w:val="Normal"/>
    <w:autoRedefine/>
    <w:uiPriority w:val="39"/>
    <w:unhideWhenUsed/>
    <w:rsid w:val="00806AE8"/>
    <w:pPr>
      <w:spacing w:after="100"/>
      <w:ind w:left="660"/>
    </w:pPr>
  </w:style>
  <w:style w:type="paragraph" w:styleId="Sadraj5">
    <w:name w:val="toc 5"/>
    <w:basedOn w:val="Normal"/>
    <w:next w:val="Normal"/>
    <w:autoRedefine/>
    <w:uiPriority w:val="39"/>
    <w:unhideWhenUsed/>
    <w:rsid w:val="00806AE8"/>
    <w:pPr>
      <w:spacing w:after="100"/>
      <w:ind w:left="880"/>
    </w:pPr>
  </w:style>
  <w:style w:type="character" w:styleId="Hiperveza">
    <w:name w:val="Hyperlink"/>
    <w:basedOn w:val="Zadanifontodlomka"/>
    <w:uiPriority w:val="99"/>
    <w:unhideWhenUsed/>
    <w:rsid w:val="00806AE8"/>
    <w:rPr>
      <w:color w:val="0000FF" w:themeColor="hyperlink"/>
      <w:u w:val="single"/>
    </w:rPr>
  </w:style>
  <w:style w:type="paragraph" w:styleId="Sadraj6">
    <w:name w:val="toc 6"/>
    <w:basedOn w:val="Normal"/>
    <w:next w:val="Normal"/>
    <w:autoRedefine/>
    <w:uiPriority w:val="39"/>
    <w:unhideWhenUsed/>
    <w:rsid w:val="005E15D1"/>
    <w:pPr>
      <w:spacing w:after="100"/>
      <w:ind w:left="1100"/>
    </w:pPr>
    <w:rPr>
      <w:rFonts w:eastAsiaTheme="minorEastAsia"/>
      <w:lang w:eastAsia="hr-HR"/>
    </w:rPr>
  </w:style>
  <w:style w:type="paragraph" w:styleId="Sadraj7">
    <w:name w:val="toc 7"/>
    <w:basedOn w:val="Normal"/>
    <w:next w:val="Normal"/>
    <w:autoRedefine/>
    <w:uiPriority w:val="39"/>
    <w:unhideWhenUsed/>
    <w:rsid w:val="005E15D1"/>
    <w:pPr>
      <w:spacing w:after="100"/>
      <w:ind w:left="1320"/>
    </w:pPr>
    <w:rPr>
      <w:rFonts w:eastAsiaTheme="minorEastAsia"/>
      <w:lang w:eastAsia="hr-HR"/>
    </w:rPr>
  </w:style>
  <w:style w:type="paragraph" w:styleId="Sadraj8">
    <w:name w:val="toc 8"/>
    <w:basedOn w:val="Normal"/>
    <w:next w:val="Normal"/>
    <w:autoRedefine/>
    <w:uiPriority w:val="39"/>
    <w:unhideWhenUsed/>
    <w:rsid w:val="005E15D1"/>
    <w:pPr>
      <w:spacing w:after="100"/>
      <w:ind w:left="1540"/>
    </w:pPr>
    <w:rPr>
      <w:rFonts w:eastAsiaTheme="minorEastAsia"/>
      <w:lang w:eastAsia="hr-HR"/>
    </w:rPr>
  </w:style>
  <w:style w:type="paragraph" w:styleId="Sadraj9">
    <w:name w:val="toc 9"/>
    <w:basedOn w:val="Normal"/>
    <w:next w:val="Normal"/>
    <w:autoRedefine/>
    <w:uiPriority w:val="39"/>
    <w:unhideWhenUsed/>
    <w:rsid w:val="005E15D1"/>
    <w:pPr>
      <w:spacing w:after="100"/>
      <w:ind w:left="1760"/>
    </w:pPr>
    <w:rPr>
      <w:rFonts w:eastAsiaTheme="minorEastAsia"/>
      <w:lang w:eastAsia="hr-HR"/>
    </w:rPr>
  </w:style>
  <w:style w:type="paragraph" w:styleId="Tekstfusnote">
    <w:name w:val="footnote text"/>
    <w:basedOn w:val="Normal"/>
    <w:link w:val="TekstfusnoteChar"/>
    <w:uiPriority w:val="99"/>
    <w:unhideWhenUsed/>
    <w:rsid w:val="004903DC"/>
    <w:rPr>
      <w:sz w:val="20"/>
      <w:szCs w:val="20"/>
    </w:rPr>
  </w:style>
  <w:style w:type="character" w:customStyle="1" w:styleId="TekstfusnoteChar">
    <w:name w:val="Tekst fusnote Char"/>
    <w:basedOn w:val="Zadanifontodlomka"/>
    <w:link w:val="Tekstfusnote"/>
    <w:uiPriority w:val="99"/>
    <w:rsid w:val="004903DC"/>
    <w:rPr>
      <w:sz w:val="20"/>
      <w:szCs w:val="20"/>
    </w:rPr>
  </w:style>
  <w:style w:type="character" w:styleId="Referencafusnote">
    <w:name w:val="footnote reference"/>
    <w:basedOn w:val="Zadanifontodlomka"/>
    <w:uiPriority w:val="99"/>
    <w:semiHidden/>
    <w:unhideWhenUsed/>
    <w:rsid w:val="004903DC"/>
    <w:rPr>
      <w:vertAlign w:val="superscript"/>
    </w:rPr>
  </w:style>
  <w:style w:type="paragraph" w:styleId="Zaglavlje">
    <w:name w:val="header"/>
    <w:basedOn w:val="Normal"/>
    <w:link w:val="ZaglavljeChar"/>
    <w:uiPriority w:val="99"/>
    <w:unhideWhenUsed/>
    <w:rsid w:val="00293BF4"/>
    <w:pPr>
      <w:tabs>
        <w:tab w:val="center" w:pos="4536"/>
        <w:tab w:val="right" w:pos="9072"/>
      </w:tabs>
    </w:pPr>
  </w:style>
  <w:style w:type="character" w:customStyle="1" w:styleId="ZaglavljeChar">
    <w:name w:val="Zaglavlje Char"/>
    <w:basedOn w:val="Zadanifontodlomka"/>
    <w:link w:val="Zaglavlje"/>
    <w:uiPriority w:val="99"/>
    <w:rsid w:val="00293BF4"/>
  </w:style>
  <w:style w:type="paragraph" w:styleId="Podnoje">
    <w:name w:val="footer"/>
    <w:basedOn w:val="Normal"/>
    <w:link w:val="PodnojeChar"/>
    <w:uiPriority w:val="99"/>
    <w:unhideWhenUsed/>
    <w:rsid w:val="00293BF4"/>
    <w:pPr>
      <w:tabs>
        <w:tab w:val="center" w:pos="4536"/>
        <w:tab w:val="right" w:pos="9072"/>
      </w:tabs>
    </w:pPr>
  </w:style>
  <w:style w:type="character" w:customStyle="1" w:styleId="PodnojeChar">
    <w:name w:val="Podnožje Char"/>
    <w:basedOn w:val="Zadanifontodlomka"/>
    <w:link w:val="Podnoje"/>
    <w:uiPriority w:val="99"/>
    <w:rsid w:val="00293BF4"/>
  </w:style>
  <w:style w:type="paragraph" w:styleId="Odlomakpopisa">
    <w:name w:val="List Paragraph"/>
    <w:basedOn w:val="Normal"/>
    <w:uiPriority w:val="34"/>
    <w:qFormat/>
    <w:rsid w:val="00192EF7"/>
    <w:pPr>
      <w:ind w:left="720"/>
      <w:contextualSpacing/>
    </w:pPr>
  </w:style>
  <w:style w:type="table" w:customStyle="1" w:styleId="Reetkatablice2">
    <w:name w:val="Rešetka tablice2"/>
    <w:basedOn w:val="Obinatablica"/>
    <w:next w:val="Reetkatablice"/>
    <w:uiPriority w:val="59"/>
    <w:rsid w:val="00AE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AE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rsid w:val="0074036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740362"/>
    <w:pPr>
      <w:spacing w:after="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FF4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8443EC"/>
    <w:rPr>
      <w:sz w:val="16"/>
      <w:szCs w:val="16"/>
    </w:rPr>
  </w:style>
  <w:style w:type="paragraph" w:styleId="Tekstkomentara">
    <w:name w:val="annotation text"/>
    <w:basedOn w:val="Normal"/>
    <w:link w:val="TekstkomentaraChar"/>
    <w:uiPriority w:val="99"/>
    <w:unhideWhenUsed/>
    <w:rsid w:val="008443EC"/>
    <w:rPr>
      <w:sz w:val="20"/>
      <w:szCs w:val="20"/>
    </w:rPr>
  </w:style>
  <w:style w:type="character" w:customStyle="1" w:styleId="TekstkomentaraChar">
    <w:name w:val="Tekst komentara Char"/>
    <w:basedOn w:val="Zadanifontodlomka"/>
    <w:link w:val="Tekstkomentara"/>
    <w:uiPriority w:val="99"/>
    <w:rsid w:val="008443EC"/>
    <w:rPr>
      <w:sz w:val="20"/>
      <w:szCs w:val="20"/>
    </w:rPr>
  </w:style>
  <w:style w:type="paragraph" w:styleId="Predmetkomentara">
    <w:name w:val="annotation subject"/>
    <w:basedOn w:val="Tekstkomentara"/>
    <w:next w:val="Tekstkomentara"/>
    <w:link w:val="PredmetkomentaraChar"/>
    <w:uiPriority w:val="99"/>
    <w:semiHidden/>
    <w:unhideWhenUsed/>
    <w:rsid w:val="008443EC"/>
    <w:rPr>
      <w:b/>
      <w:bCs/>
    </w:rPr>
  </w:style>
  <w:style w:type="character" w:customStyle="1" w:styleId="PredmetkomentaraChar">
    <w:name w:val="Predmet komentara Char"/>
    <w:basedOn w:val="TekstkomentaraChar"/>
    <w:link w:val="Predmetkomentara"/>
    <w:uiPriority w:val="99"/>
    <w:semiHidden/>
    <w:rsid w:val="008443EC"/>
    <w:rPr>
      <w:b/>
      <w:bCs/>
      <w:sz w:val="20"/>
      <w:szCs w:val="20"/>
    </w:rPr>
  </w:style>
  <w:style w:type="paragraph" w:styleId="Revizija">
    <w:name w:val="Revision"/>
    <w:hidden/>
    <w:uiPriority w:val="99"/>
    <w:semiHidden/>
    <w:rsid w:val="00C91BC4"/>
    <w:pPr>
      <w:spacing w:after="0" w:line="240" w:lineRule="auto"/>
    </w:pPr>
  </w:style>
  <w:style w:type="table" w:customStyle="1" w:styleId="Reetkatablice5">
    <w:name w:val="Rešetka tablice5"/>
    <w:basedOn w:val="Obinatablica"/>
    <w:next w:val="Reetkatablice"/>
    <w:uiPriority w:val="59"/>
    <w:rsid w:val="00262A63"/>
    <w:pPr>
      <w:spacing w:after="0" w:line="240" w:lineRule="auto"/>
    </w:pPr>
    <w:rPr>
      <w:rFonts w:ascii="Cambria" w:eastAsia="Times New Roman" w:hAnsi="Cambria"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262A63"/>
    <w:pPr>
      <w:spacing w:after="0" w:line="240" w:lineRule="auto"/>
    </w:pPr>
    <w:rPr>
      <w:rFonts w:ascii="Cambria" w:eastAsia="Times New Roman" w:hAnsi="Cambria"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262A63"/>
    <w:pPr>
      <w:spacing w:after="0" w:line="240" w:lineRule="auto"/>
    </w:pPr>
    <w:rPr>
      <w:rFonts w:ascii="Cambria" w:eastAsia="Times New Roman" w:hAnsi="Cambria"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262A63"/>
    <w:pPr>
      <w:spacing w:after="0" w:line="240" w:lineRule="auto"/>
    </w:pPr>
    <w:rPr>
      <w:rFonts w:ascii="Cambria" w:eastAsia="Times New Roman" w:hAnsi="Cambria"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59"/>
    <w:rsid w:val="00C85565"/>
    <w:pPr>
      <w:spacing w:after="0" w:line="240" w:lineRule="auto"/>
    </w:pPr>
    <w:rPr>
      <w:rFonts w:ascii="Cambria" w:eastAsia="Times New Roman" w:hAnsi="Cambria"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51509B"/>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uiPriority w:val="59"/>
    <w:rsid w:val="0055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8">
    <w:name w:val="Rešetka tablice38"/>
    <w:basedOn w:val="Obinatablica"/>
    <w:uiPriority w:val="59"/>
    <w:rsid w:val="00385480"/>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81">
    <w:name w:val="Rešetka tablice381"/>
    <w:basedOn w:val="Obinatablica"/>
    <w:uiPriority w:val="59"/>
    <w:rsid w:val="00385480"/>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3">
    <w:name w:val="Rešetka tablice63"/>
    <w:basedOn w:val="Obinatablica"/>
    <w:uiPriority w:val="59"/>
    <w:rsid w:val="0044601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3">
    <w:name w:val="Rešetka tablice73"/>
    <w:basedOn w:val="Obinatablica"/>
    <w:uiPriority w:val="59"/>
    <w:rsid w:val="0044601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446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1">
    <w:name w:val="Rešetka tablice81"/>
    <w:basedOn w:val="Obinatablica"/>
    <w:uiPriority w:val="59"/>
    <w:rsid w:val="007C5E8A"/>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2">
    <w:name w:val="Rešetka tablice82"/>
    <w:basedOn w:val="Obinatablica"/>
    <w:uiPriority w:val="59"/>
    <w:rsid w:val="007C5E8A"/>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uiPriority w:val="59"/>
    <w:rsid w:val="00B90A0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1">
    <w:name w:val="Rešetka tablice91"/>
    <w:basedOn w:val="Obinatablica"/>
    <w:uiPriority w:val="59"/>
    <w:rsid w:val="0015021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0">
    <w:name w:val="Rešetka tablice10"/>
    <w:basedOn w:val="Obinatablica"/>
    <w:next w:val="Reetkatablice"/>
    <w:uiPriority w:val="39"/>
    <w:rsid w:val="00837DAF"/>
    <w:pPr>
      <w:spacing w:after="0" w:line="240" w:lineRule="auto"/>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1">
    <w:name w:val="Rešetka tablice11"/>
    <w:basedOn w:val="Obinatablica"/>
    <w:next w:val="Reetkatablice"/>
    <w:uiPriority w:val="39"/>
    <w:rsid w:val="00CE69BE"/>
    <w:pPr>
      <w:spacing w:after="0" w:line="240" w:lineRule="auto"/>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2">
    <w:name w:val="Rešetka tablice12"/>
    <w:basedOn w:val="Obinatablica"/>
    <w:next w:val="Reetkatablice"/>
    <w:uiPriority w:val="39"/>
    <w:rsid w:val="006244B7"/>
    <w:pPr>
      <w:spacing w:after="0" w:line="240" w:lineRule="auto"/>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Naslov">
    <w:name w:val="TOC Heading"/>
    <w:basedOn w:val="Naslov1"/>
    <w:next w:val="Normal"/>
    <w:uiPriority w:val="39"/>
    <w:semiHidden/>
    <w:unhideWhenUsed/>
    <w:qFormat/>
    <w:rsid w:val="00CF14BF"/>
    <w:pPr>
      <w:numPr>
        <w:numId w:val="0"/>
      </w:numPr>
      <w:spacing w:before="480"/>
      <w:jc w:val="both"/>
      <w:outlineLvl w:val="9"/>
    </w:pPr>
    <w:rPr>
      <w:rFonts w:asciiTheme="majorHAnsi" w:hAnsiTheme="majorHAnsi" w:cstheme="majorBidi"/>
      <w:color w:val="365F91" w:themeColor="accent1" w:themeShade="BF"/>
    </w:rPr>
  </w:style>
  <w:style w:type="paragraph" w:styleId="Bezproreda">
    <w:name w:val="No Spacing"/>
    <w:uiPriority w:val="1"/>
    <w:qFormat/>
    <w:rsid w:val="000567AB"/>
    <w:pPr>
      <w:spacing w:after="0" w:line="240" w:lineRule="auto"/>
      <w:jc w:val="both"/>
    </w:pPr>
  </w:style>
  <w:style w:type="paragraph" w:styleId="StandardWeb">
    <w:name w:val="Normal (Web)"/>
    <w:basedOn w:val="Normal"/>
    <w:uiPriority w:val="99"/>
    <w:unhideWhenUsed/>
    <w:rsid w:val="00B03CEB"/>
    <w:rPr>
      <w:rFonts w:ascii="Times New Roman" w:hAnsi="Times New Roman" w:cs="Times New Roman"/>
    </w:rPr>
  </w:style>
  <w:style w:type="paragraph" w:customStyle="1" w:styleId="2">
    <w:name w:val="2."/>
    <w:basedOn w:val="Normal"/>
    <w:link w:val="2Char"/>
    <w:qFormat/>
    <w:rsid w:val="00100AB4"/>
    <w:pPr>
      <w:spacing w:before="120" w:after="120"/>
      <w:jc w:val="left"/>
    </w:pPr>
    <w:rPr>
      <w:rFonts w:eastAsia="Times New Roman" w:cs="Times New Roman"/>
      <w:b/>
      <w:lang w:eastAsia="hr-HR"/>
    </w:rPr>
  </w:style>
  <w:style w:type="character" w:customStyle="1" w:styleId="2Char">
    <w:name w:val="2. Char"/>
    <w:basedOn w:val="Zadanifontodlomka"/>
    <w:link w:val="2"/>
    <w:rsid w:val="00100AB4"/>
    <w:rPr>
      <w:rFonts w:ascii="Arial" w:eastAsia="Times New Roman" w:hAnsi="Arial" w:cs="Times New Roman"/>
      <w:b/>
      <w:sz w:val="24"/>
      <w:szCs w:val="24"/>
      <w:lang w:eastAsia="hr-HR"/>
    </w:rPr>
  </w:style>
  <w:style w:type="paragraph" w:customStyle="1" w:styleId="Tekstualnidio">
    <w:name w:val="Tekstualni dio"/>
    <w:basedOn w:val="Normal"/>
    <w:link w:val="TekstualnidioChar"/>
    <w:qFormat/>
    <w:rsid w:val="00100AB4"/>
    <w:rPr>
      <w:rFonts w:eastAsia="Times New Roman" w:cs="Times New Roman"/>
      <w:lang w:eastAsia="hr-HR"/>
    </w:rPr>
  </w:style>
  <w:style w:type="character" w:customStyle="1" w:styleId="TekstualnidioChar">
    <w:name w:val="Tekstualni dio Char"/>
    <w:basedOn w:val="Zadanifontodlomka"/>
    <w:link w:val="Tekstualnidio"/>
    <w:rsid w:val="00100AB4"/>
    <w:rPr>
      <w:rFonts w:ascii="Arial" w:eastAsia="Times New Roman" w:hAnsi="Arial" w:cs="Times New Roman"/>
      <w:sz w:val="24"/>
      <w:szCs w:val="24"/>
      <w:lang w:eastAsia="hr-HR"/>
    </w:rPr>
  </w:style>
  <w:style w:type="table" w:customStyle="1" w:styleId="Reetkatablice13">
    <w:name w:val="Rešetka tablice13"/>
    <w:basedOn w:val="Obinatablica"/>
    <w:next w:val="Reetkatablice"/>
    <w:uiPriority w:val="59"/>
    <w:rsid w:val="000D50AA"/>
    <w:pPr>
      <w:spacing w:after="0" w:line="240" w:lineRule="auto"/>
    </w:pPr>
    <w:rPr>
      <w:rFonts w:ascii="Cambria" w:eastAsia="Times New Roman" w:hAnsi="Cambria"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4">
    <w:name w:val="Rešetka tablice14"/>
    <w:basedOn w:val="Obinatablica"/>
    <w:next w:val="Reetkatablice"/>
    <w:uiPriority w:val="59"/>
    <w:rsid w:val="000D50AA"/>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basedOn w:val="Zadanifontodlomka"/>
    <w:uiPriority w:val="22"/>
    <w:qFormat/>
    <w:rsid w:val="00981EE8"/>
    <w:rPr>
      <w:b/>
      <w:bCs/>
    </w:rPr>
  </w:style>
  <w:style w:type="character" w:customStyle="1" w:styleId="Naslov6Char">
    <w:name w:val="Naslov 6 Char"/>
    <w:basedOn w:val="Zadanifontodlomka"/>
    <w:link w:val="Naslov6"/>
    <w:uiPriority w:val="9"/>
    <w:rsid w:val="000E22EC"/>
    <w:rPr>
      <w:rFonts w:asciiTheme="majorHAnsi" w:eastAsiaTheme="majorEastAsia" w:hAnsiTheme="majorHAnsi" w:cstheme="majorBidi"/>
      <w:i/>
      <w:iCs/>
      <w:color w:val="243F60" w:themeColor="accent1" w:themeShade="7F"/>
      <w:sz w:val="24"/>
    </w:rPr>
  </w:style>
  <w:style w:type="character" w:customStyle="1" w:styleId="Nerijeenospominjanje1">
    <w:name w:val="Neriješeno spominjanje1"/>
    <w:basedOn w:val="Zadanifontodlomka"/>
    <w:uiPriority w:val="99"/>
    <w:semiHidden/>
    <w:unhideWhenUsed/>
    <w:rsid w:val="00F9580C"/>
    <w:rPr>
      <w:color w:val="605E5C"/>
      <w:shd w:val="clear" w:color="auto" w:fill="E1DFDD"/>
    </w:rPr>
  </w:style>
  <w:style w:type="character" w:styleId="Nerijeenospominjanje">
    <w:name w:val="Unresolved Mention"/>
    <w:basedOn w:val="Zadanifontodlomka"/>
    <w:uiPriority w:val="99"/>
    <w:semiHidden/>
    <w:unhideWhenUsed/>
    <w:rsid w:val="00B46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3124">
      <w:bodyDiv w:val="1"/>
      <w:marLeft w:val="0"/>
      <w:marRight w:val="0"/>
      <w:marTop w:val="0"/>
      <w:marBottom w:val="0"/>
      <w:divBdr>
        <w:top w:val="none" w:sz="0" w:space="0" w:color="auto"/>
        <w:left w:val="none" w:sz="0" w:space="0" w:color="auto"/>
        <w:bottom w:val="none" w:sz="0" w:space="0" w:color="auto"/>
        <w:right w:val="none" w:sz="0" w:space="0" w:color="auto"/>
      </w:divBdr>
    </w:div>
    <w:div w:id="125009910">
      <w:bodyDiv w:val="1"/>
      <w:marLeft w:val="0"/>
      <w:marRight w:val="0"/>
      <w:marTop w:val="0"/>
      <w:marBottom w:val="0"/>
      <w:divBdr>
        <w:top w:val="none" w:sz="0" w:space="0" w:color="auto"/>
        <w:left w:val="none" w:sz="0" w:space="0" w:color="auto"/>
        <w:bottom w:val="none" w:sz="0" w:space="0" w:color="auto"/>
        <w:right w:val="none" w:sz="0" w:space="0" w:color="auto"/>
      </w:divBdr>
    </w:div>
    <w:div w:id="172888329">
      <w:bodyDiv w:val="1"/>
      <w:marLeft w:val="0"/>
      <w:marRight w:val="0"/>
      <w:marTop w:val="0"/>
      <w:marBottom w:val="0"/>
      <w:divBdr>
        <w:top w:val="none" w:sz="0" w:space="0" w:color="auto"/>
        <w:left w:val="none" w:sz="0" w:space="0" w:color="auto"/>
        <w:bottom w:val="none" w:sz="0" w:space="0" w:color="auto"/>
        <w:right w:val="none" w:sz="0" w:space="0" w:color="auto"/>
      </w:divBdr>
    </w:div>
    <w:div w:id="257446070">
      <w:bodyDiv w:val="1"/>
      <w:marLeft w:val="0"/>
      <w:marRight w:val="0"/>
      <w:marTop w:val="0"/>
      <w:marBottom w:val="0"/>
      <w:divBdr>
        <w:top w:val="none" w:sz="0" w:space="0" w:color="auto"/>
        <w:left w:val="none" w:sz="0" w:space="0" w:color="auto"/>
        <w:bottom w:val="none" w:sz="0" w:space="0" w:color="auto"/>
        <w:right w:val="none" w:sz="0" w:space="0" w:color="auto"/>
      </w:divBdr>
    </w:div>
    <w:div w:id="376007381">
      <w:bodyDiv w:val="1"/>
      <w:marLeft w:val="0"/>
      <w:marRight w:val="0"/>
      <w:marTop w:val="0"/>
      <w:marBottom w:val="0"/>
      <w:divBdr>
        <w:top w:val="none" w:sz="0" w:space="0" w:color="auto"/>
        <w:left w:val="none" w:sz="0" w:space="0" w:color="auto"/>
        <w:bottom w:val="none" w:sz="0" w:space="0" w:color="auto"/>
        <w:right w:val="none" w:sz="0" w:space="0" w:color="auto"/>
      </w:divBdr>
    </w:div>
    <w:div w:id="471295716">
      <w:bodyDiv w:val="1"/>
      <w:marLeft w:val="0"/>
      <w:marRight w:val="0"/>
      <w:marTop w:val="0"/>
      <w:marBottom w:val="0"/>
      <w:divBdr>
        <w:top w:val="none" w:sz="0" w:space="0" w:color="auto"/>
        <w:left w:val="none" w:sz="0" w:space="0" w:color="auto"/>
        <w:bottom w:val="none" w:sz="0" w:space="0" w:color="auto"/>
        <w:right w:val="none" w:sz="0" w:space="0" w:color="auto"/>
      </w:divBdr>
    </w:div>
    <w:div w:id="501697567">
      <w:bodyDiv w:val="1"/>
      <w:marLeft w:val="0"/>
      <w:marRight w:val="0"/>
      <w:marTop w:val="0"/>
      <w:marBottom w:val="0"/>
      <w:divBdr>
        <w:top w:val="none" w:sz="0" w:space="0" w:color="auto"/>
        <w:left w:val="none" w:sz="0" w:space="0" w:color="auto"/>
        <w:bottom w:val="none" w:sz="0" w:space="0" w:color="auto"/>
        <w:right w:val="none" w:sz="0" w:space="0" w:color="auto"/>
      </w:divBdr>
    </w:div>
    <w:div w:id="556628987">
      <w:bodyDiv w:val="1"/>
      <w:marLeft w:val="0"/>
      <w:marRight w:val="0"/>
      <w:marTop w:val="0"/>
      <w:marBottom w:val="0"/>
      <w:divBdr>
        <w:top w:val="none" w:sz="0" w:space="0" w:color="auto"/>
        <w:left w:val="none" w:sz="0" w:space="0" w:color="auto"/>
        <w:bottom w:val="none" w:sz="0" w:space="0" w:color="auto"/>
        <w:right w:val="none" w:sz="0" w:space="0" w:color="auto"/>
      </w:divBdr>
    </w:div>
    <w:div w:id="564996554">
      <w:bodyDiv w:val="1"/>
      <w:marLeft w:val="0"/>
      <w:marRight w:val="0"/>
      <w:marTop w:val="0"/>
      <w:marBottom w:val="0"/>
      <w:divBdr>
        <w:top w:val="none" w:sz="0" w:space="0" w:color="auto"/>
        <w:left w:val="none" w:sz="0" w:space="0" w:color="auto"/>
        <w:bottom w:val="none" w:sz="0" w:space="0" w:color="auto"/>
        <w:right w:val="none" w:sz="0" w:space="0" w:color="auto"/>
      </w:divBdr>
    </w:div>
    <w:div w:id="651494257">
      <w:bodyDiv w:val="1"/>
      <w:marLeft w:val="0"/>
      <w:marRight w:val="0"/>
      <w:marTop w:val="0"/>
      <w:marBottom w:val="0"/>
      <w:divBdr>
        <w:top w:val="none" w:sz="0" w:space="0" w:color="auto"/>
        <w:left w:val="none" w:sz="0" w:space="0" w:color="auto"/>
        <w:bottom w:val="none" w:sz="0" w:space="0" w:color="auto"/>
        <w:right w:val="none" w:sz="0" w:space="0" w:color="auto"/>
      </w:divBdr>
    </w:div>
    <w:div w:id="652566286">
      <w:bodyDiv w:val="1"/>
      <w:marLeft w:val="0"/>
      <w:marRight w:val="0"/>
      <w:marTop w:val="0"/>
      <w:marBottom w:val="0"/>
      <w:divBdr>
        <w:top w:val="none" w:sz="0" w:space="0" w:color="auto"/>
        <w:left w:val="none" w:sz="0" w:space="0" w:color="auto"/>
        <w:bottom w:val="none" w:sz="0" w:space="0" w:color="auto"/>
        <w:right w:val="none" w:sz="0" w:space="0" w:color="auto"/>
      </w:divBdr>
    </w:div>
    <w:div w:id="688458564">
      <w:bodyDiv w:val="1"/>
      <w:marLeft w:val="0"/>
      <w:marRight w:val="0"/>
      <w:marTop w:val="0"/>
      <w:marBottom w:val="0"/>
      <w:divBdr>
        <w:top w:val="none" w:sz="0" w:space="0" w:color="auto"/>
        <w:left w:val="none" w:sz="0" w:space="0" w:color="auto"/>
        <w:bottom w:val="none" w:sz="0" w:space="0" w:color="auto"/>
        <w:right w:val="none" w:sz="0" w:space="0" w:color="auto"/>
      </w:divBdr>
    </w:div>
    <w:div w:id="704864973">
      <w:bodyDiv w:val="1"/>
      <w:marLeft w:val="0"/>
      <w:marRight w:val="0"/>
      <w:marTop w:val="0"/>
      <w:marBottom w:val="0"/>
      <w:divBdr>
        <w:top w:val="none" w:sz="0" w:space="0" w:color="auto"/>
        <w:left w:val="none" w:sz="0" w:space="0" w:color="auto"/>
        <w:bottom w:val="none" w:sz="0" w:space="0" w:color="auto"/>
        <w:right w:val="none" w:sz="0" w:space="0" w:color="auto"/>
      </w:divBdr>
    </w:div>
    <w:div w:id="743067159">
      <w:bodyDiv w:val="1"/>
      <w:marLeft w:val="0"/>
      <w:marRight w:val="0"/>
      <w:marTop w:val="0"/>
      <w:marBottom w:val="0"/>
      <w:divBdr>
        <w:top w:val="none" w:sz="0" w:space="0" w:color="auto"/>
        <w:left w:val="none" w:sz="0" w:space="0" w:color="auto"/>
        <w:bottom w:val="none" w:sz="0" w:space="0" w:color="auto"/>
        <w:right w:val="none" w:sz="0" w:space="0" w:color="auto"/>
      </w:divBdr>
    </w:div>
    <w:div w:id="765544151">
      <w:bodyDiv w:val="1"/>
      <w:marLeft w:val="0"/>
      <w:marRight w:val="0"/>
      <w:marTop w:val="0"/>
      <w:marBottom w:val="0"/>
      <w:divBdr>
        <w:top w:val="none" w:sz="0" w:space="0" w:color="auto"/>
        <w:left w:val="none" w:sz="0" w:space="0" w:color="auto"/>
        <w:bottom w:val="none" w:sz="0" w:space="0" w:color="auto"/>
        <w:right w:val="none" w:sz="0" w:space="0" w:color="auto"/>
      </w:divBdr>
    </w:div>
    <w:div w:id="807742419">
      <w:bodyDiv w:val="1"/>
      <w:marLeft w:val="0"/>
      <w:marRight w:val="0"/>
      <w:marTop w:val="0"/>
      <w:marBottom w:val="0"/>
      <w:divBdr>
        <w:top w:val="none" w:sz="0" w:space="0" w:color="auto"/>
        <w:left w:val="none" w:sz="0" w:space="0" w:color="auto"/>
        <w:bottom w:val="none" w:sz="0" w:space="0" w:color="auto"/>
        <w:right w:val="none" w:sz="0" w:space="0" w:color="auto"/>
      </w:divBdr>
    </w:div>
    <w:div w:id="868836888">
      <w:bodyDiv w:val="1"/>
      <w:marLeft w:val="0"/>
      <w:marRight w:val="0"/>
      <w:marTop w:val="0"/>
      <w:marBottom w:val="0"/>
      <w:divBdr>
        <w:top w:val="none" w:sz="0" w:space="0" w:color="auto"/>
        <w:left w:val="none" w:sz="0" w:space="0" w:color="auto"/>
        <w:bottom w:val="none" w:sz="0" w:space="0" w:color="auto"/>
        <w:right w:val="none" w:sz="0" w:space="0" w:color="auto"/>
      </w:divBdr>
    </w:div>
    <w:div w:id="1047146845">
      <w:bodyDiv w:val="1"/>
      <w:marLeft w:val="0"/>
      <w:marRight w:val="0"/>
      <w:marTop w:val="0"/>
      <w:marBottom w:val="0"/>
      <w:divBdr>
        <w:top w:val="none" w:sz="0" w:space="0" w:color="auto"/>
        <w:left w:val="none" w:sz="0" w:space="0" w:color="auto"/>
        <w:bottom w:val="none" w:sz="0" w:space="0" w:color="auto"/>
        <w:right w:val="none" w:sz="0" w:space="0" w:color="auto"/>
      </w:divBdr>
    </w:div>
    <w:div w:id="1103186274">
      <w:bodyDiv w:val="1"/>
      <w:marLeft w:val="0"/>
      <w:marRight w:val="0"/>
      <w:marTop w:val="0"/>
      <w:marBottom w:val="0"/>
      <w:divBdr>
        <w:top w:val="none" w:sz="0" w:space="0" w:color="auto"/>
        <w:left w:val="none" w:sz="0" w:space="0" w:color="auto"/>
        <w:bottom w:val="none" w:sz="0" w:space="0" w:color="auto"/>
        <w:right w:val="none" w:sz="0" w:space="0" w:color="auto"/>
      </w:divBdr>
    </w:div>
    <w:div w:id="1140153993">
      <w:bodyDiv w:val="1"/>
      <w:marLeft w:val="0"/>
      <w:marRight w:val="0"/>
      <w:marTop w:val="0"/>
      <w:marBottom w:val="0"/>
      <w:divBdr>
        <w:top w:val="none" w:sz="0" w:space="0" w:color="auto"/>
        <w:left w:val="none" w:sz="0" w:space="0" w:color="auto"/>
        <w:bottom w:val="none" w:sz="0" w:space="0" w:color="auto"/>
        <w:right w:val="none" w:sz="0" w:space="0" w:color="auto"/>
      </w:divBdr>
    </w:div>
    <w:div w:id="1186166300">
      <w:bodyDiv w:val="1"/>
      <w:marLeft w:val="0"/>
      <w:marRight w:val="0"/>
      <w:marTop w:val="0"/>
      <w:marBottom w:val="0"/>
      <w:divBdr>
        <w:top w:val="none" w:sz="0" w:space="0" w:color="auto"/>
        <w:left w:val="none" w:sz="0" w:space="0" w:color="auto"/>
        <w:bottom w:val="none" w:sz="0" w:space="0" w:color="auto"/>
        <w:right w:val="none" w:sz="0" w:space="0" w:color="auto"/>
      </w:divBdr>
    </w:div>
    <w:div w:id="1247350222">
      <w:bodyDiv w:val="1"/>
      <w:marLeft w:val="0"/>
      <w:marRight w:val="0"/>
      <w:marTop w:val="0"/>
      <w:marBottom w:val="0"/>
      <w:divBdr>
        <w:top w:val="none" w:sz="0" w:space="0" w:color="auto"/>
        <w:left w:val="none" w:sz="0" w:space="0" w:color="auto"/>
        <w:bottom w:val="none" w:sz="0" w:space="0" w:color="auto"/>
        <w:right w:val="none" w:sz="0" w:space="0" w:color="auto"/>
      </w:divBdr>
    </w:div>
    <w:div w:id="1305544302">
      <w:bodyDiv w:val="1"/>
      <w:marLeft w:val="0"/>
      <w:marRight w:val="0"/>
      <w:marTop w:val="0"/>
      <w:marBottom w:val="0"/>
      <w:divBdr>
        <w:top w:val="none" w:sz="0" w:space="0" w:color="auto"/>
        <w:left w:val="none" w:sz="0" w:space="0" w:color="auto"/>
        <w:bottom w:val="none" w:sz="0" w:space="0" w:color="auto"/>
        <w:right w:val="none" w:sz="0" w:space="0" w:color="auto"/>
      </w:divBdr>
    </w:div>
    <w:div w:id="1310204745">
      <w:bodyDiv w:val="1"/>
      <w:marLeft w:val="0"/>
      <w:marRight w:val="0"/>
      <w:marTop w:val="0"/>
      <w:marBottom w:val="0"/>
      <w:divBdr>
        <w:top w:val="none" w:sz="0" w:space="0" w:color="auto"/>
        <w:left w:val="none" w:sz="0" w:space="0" w:color="auto"/>
        <w:bottom w:val="none" w:sz="0" w:space="0" w:color="auto"/>
        <w:right w:val="none" w:sz="0" w:space="0" w:color="auto"/>
      </w:divBdr>
    </w:div>
    <w:div w:id="1322123552">
      <w:bodyDiv w:val="1"/>
      <w:marLeft w:val="0"/>
      <w:marRight w:val="0"/>
      <w:marTop w:val="0"/>
      <w:marBottom w:val="0"/>
      <w:divBdr>
        <w:top w:val="none" w:sz="0" w:space="0" w:color="auto"/>
        <w:left w:val="none" w:sz="0" w:space="0" w:color="auto"/>
        <w:bottom w:val="none" w:sz="0" w:space="0" w:color="auto"/>
        <w:right w:val="none" w:sz="0" w:space="0" w:color="auto"/>
      </w:divBdr>
    </w:div>
    <w:div w:id="1370257788">
      <w:bodyDiv w:val="1"/>
      <w:marLeft w:val="0"/>
      <w:marRight w:val="0"/>
      <w:marTop w:val="0"/>
      <w:marBottom w:val="0"/>
      <w:divBdr>
        <w:top w:val="none" w:sz="0" w:space="0" w:color="auto"/>
        <w:left w:val="none" w:sz="0" w:space="0" w:color="auto"/>
        <w:bottom w:val="none" w:sz="0" w:space="0" w:color="auto"/>
        <w:right w:val="none" w:sz="0" w:space="0" w:color="auto"/>
      </w:divBdr>
    </w:div>
    <w:div w:id="1377199777">
      <w:bodyDiv w:val="1"/>
      <w:marLeft w:val="0"/>
      <w:marRight w:val="0"/>
      <w:marTop w:val="0"/>
      <w:marBottom w:val="0"/>
      <w:divBdr>
        <w:top w:val="none" w:sz="0" w:space="0" w:color="auto"/>
        <w:left w:val="none" w:sz="0" w:space="0" w:color="auto"/>
        <w:bottom w:val="none" w:sz="0" w:space="0" w:color="auto"/>
        <w:right w:val="none" w:sz="0" w:space="0" w:color="auto"/>
      </w:divBdr>
    </w:div>
    <w:div w:id="1440174225">
      <w:bodyDiv w:val="1"/>
      <w:marLeft w:val="0"/>
      <w:marRight w:val="0"/>
      <w:marTop w:val="0"/>
      <w:marBottom w:val="0"/>
      <w:divBdr>
        <w:top w:val="none" w:sz="0" w:space="0" w:color="auto"/>
        <w:left w:val="none" w:sz="0" w:space="0" w:color="auto"/>
        <w:bottom w:val="none" w:sz="0" w:space="0" w:color="auto"/>
        <w:right w:val="none" w:sz="0" w:space="0" w:color="auto"/>
      </w:divBdr>
    </w:div>
    <w:div w:id="1462504006">
      <w:bodyDiv w:val="1"/>
      <w:marLeft w:val="0"/>
      <w:marRight w:val="0"/>
      <w:marTop w:val="0"/>
      <w:marBottom w:val="0"/>
      <w:divBdr>
        <w:top w:val="none" w:sz="0" w:space="0" w:color="auto"/>
        <w:left w:val="none" w:sz="0" w:space="0" w:color="auto"/>
        <w:bottom w:val="none" w:sz="0" w:space="0" w:color="auto"/>
        <w:right w:val="none" w:sz="0" w:space="0" w:color="auto"/>
      </w:divBdr>
    </w:div>
    <w:div w:id="1507400940">
      <w:bodyDiv w:val="1"/>
      <w:marLeft w:val="0"/>
      <w:marRight w:val="0"/>
      <w:marTop w:val="0"/>
      <w:marBottom w:val="0"/>
      <w:divBdr>
        <w:top w:val="none" w:sz="0" w:space="0" w:color="auto"/>
        <w:left w:val="none" w:sz="0" w:space="0" w:color="auto"/>
        <w:bottom w:val="none" w:sz="0" w:space="0" w:color="auto"/>
        <w:right w:val="none" w:sz="0" w:space="0" w:color="auto"/>
      </w:divBdr>
    </w:div>
    <w:div w:id="1531911848">
      <w:bodyDiv w:val="1"/>
      <w:marLeft w:val="0"/>
      <w:marRight w:val="0"/>
      <w:marTop w:val="0"/>
      <w:marBottom w:val="0"/>
      <w:divBdr>
        <w:top w:val="none" w:sz="0" w:space="0" w:color="auto"/>
        <w:left w:val="none" w:sz="0" w:space="0" w:color="auto"/>
        <w:bottom w:val="none" w:sz="0" w:space="0" w:color="auto"/>
        <w:right w:val="none" w:sz="0" w:space="0" w:color="auto"/>
      </w:divBdr>
    </w:div>
    <w:div w:id="1644970401">
      <w:bodyDiv w:val="1"/>
      <w:marLeft w:val="0"/>
      <w:marRight w:val="0"/>
      <w:marTop w:val="0"/>
      <w:marBottom w:val="0"/>
      <w:divBdr>
        <w:top w:val="none" w:sz="0" w:space="0" w:color="auto"/>
        <w:left w:val="none" w:sz="0" w:space="0" w:color="auto"/>
        <w:bottom w:val="none" w:sz="0" w:space="0" w:color="auto"/>
        <w:right w:val="none" w:sz="0" w:space="0" w:color="auto"/>
      </w:divBdr>
    </w:div>
    <w:div w:id="1705594960">
      <w:bodyDiv w:val="1"/>
      <w:marLeft w:val="0"/>
      <w:marRight w:val="0"/>
      <w:marTop w:val="0"/>
      <w:marBottom w:val="0"/>
      <w:divBdr>
        <w:top w:val="none" w:sz="0" w:space="0" w:color="auto"/>
        <w:left w:val="none" w:sz="0" w:space="0" w:color="auto"/>
        <w:bottom w:val="none" w:sz="0" w:space="0" w:color="auto"/>
        <w:right w:val="none" w:sz="0" w:space="0" w:color="auto"/>
      </w:divBdr>
    </w:div>
    <w:div w:id="1759520099">
      <w:bodyDiv w:val="1"/>
      <w:marLeft w:val="0"/>
      <w:marRight w:val="0"/>
      <w:marTop w:val="0"/>
      <w:marBottom w:val="0"/>
      <w:divBdr>
        <w:top w:val="none" w:sz="0" w:space="0" w:color="auto"/>
        <w:left w:val="none" w:sz="0" w:space="0" w:color="auto"/>
        <w:bottom w:val="none" w:sz="0" w:space="0" w:color="auto"/>
        <w:right w:val="none" w:sz="0" w:space="0" w:color="auto"/>
      </w:divBdr>
    </w:div>
    <w:div w:id="1765683911">
      <w:bodyDiv w:val="1"/>
      <w:marLeft w:val="0"/>
      <w:marRight w:val="0"/>
      <w:marTop w:val="0"/>
      <w:marBottom w:val="0"/>
      <w:divBdr>
        <w:top w:val="none" w:sz="0" w:space="0" w:color="auto"/>
        <w:left w:val="none" w:sz="0" w:space="0" w:color="auto"/>
        <w:bottom w:val="none" w:sz="0" w:space="0" w:color="auto"/>
        <w:right w:val="none" w:sz="0" w:space="0" w:color="auto"/>
      </w:divBdr>
    </w:div>
    <w:div w:id="1817800851">
      <w:bodyDiv w:val="1"/>
      <w:marLeft w:val="0"/>
      <w:marRight w:val="0"/>
      <w:marTop w:val="0"/>
      <w:marBottom w:val="0"/>
      <w:divBdr>
        <w:top w:val="none" w:sz="0" w:space="0" w:color="auto"/>
        <w:left w:val="none" w:sz="0" w:space="0" w:color="auto"/>
        <w:bottom w:val="none" w:sz="0" w:space="0" w:color="auto"/>
        <w:right w:val="none" w:sz="0" w:space="0" w:color="auto"/>
      </w:divBdr>
    </w:div>
    <w:div w:id="1857115851">
      <w:bodyDiv w:val="1"/>
      <w:marLeft w:val="0"/>
      <w:marRight w:val="0"/>
      <w:marTop w:val="0"/>
      <w:marBottom w:val="0"/>
      <w:divBdr>
        <w:top w:val="none" w:sz="0" w:space="0" w:color="auto"/>
        <w:left w:val="none" w:sz="0" w:space="0" w:color="auto"/>
        <w:bottom w:val="none" w:sz="0" w:space="0" w:color="auto"/>
        <w:right w:val="none" w:sz="0" w:space="0" w:color="auto"/>
      </w:divBdr>
    </w:div>
    <w:div w:id="1868987037">
      <w:bodyDiv w:val="1"/>
      <w:marLeft w:val="0"/>
      <w:marRight w:val="0"/>
      <w:marTop w:val="0"/>
      <w:marBottom w:val="0"/>
      <w:divBdr>
        <w:top w:val="none" w:sz="0" w:space="0" w:color="auto"/>
        <w:left w:val="none" w:sz="0" w:space="0" w:color="auto"/>
        <w:bottom w:val="none" w:sz="0" w:space="0" w:color="auto"/>
        <w:right w:val="none" w:sz="0" w:space="0" w:color="auto"/>
      </w:divBdr>
    </w:div>
    <w:div w:id="1876234499">
      <w:bodyDiv w:val="1"/>
      <w:marLeft w:val="0"/>
      <w:marRight w:val="0"/>
      <w:marTop w:val="0"/>
      <w:marBottom w:val="0"/>
      <w:divBdr>
        <w:top w:val="none" w:sz="0" w:space="0" w:color="auto"/>
        <w:left w:val="none" w:sz="0" w:space="0" w:color="auto"/>
        <w:bottom w:val="none" w:sz="0" w:space="0" w:color="auto"/>
        <w:right w:val="none" w:sz="0" w:space="0" w:color="auto"/>
      </w:divBdr>
    </w:div>
    <w:div w:id="1924483239">
      <w:bodyDiv w:val="1"/>
      <w:marLeft w:val="0"/>
      <w:marRight w:val="0"/>
      <w:marTop w:val="0"/>
      <w:marBottom w:val="0"/>
      <w:divBdr>
        <w:top w:val="none" w:sz="0" w:space="0" w:color="auto"/>
        <w:left w:val="none" w:sz="0" w:space="0" w:color="auto"/>
        <w:bottom w:val="none" w:sz="0" w:space="0" w:color="auto"/>
        <w:right w:val="none" w:sz="0" w:space="0" w:color="auto"/>
      </w:divBdr>
    </w:div>
    <w:div w:id="2056852935">
      <w:bodyDiv w:val="1"/>
      <w:marLeft w:val="0"/>
      <w:marRight w:val="0"/>
      <w:marTop w:val="0"/>
      <w:marBottom w:val="0"/>
      <w:divBdr>
        <w:top w:val="none" w:sz="0" w:space="0" w:color="auto"/>
        <w:left w:val="none" w:sz="0" w:space="0" w:color="auto"/>
        <w:bottom w:val="none" w:sz="0" w:space="0" w:color="auto"/>
        <w:right w:val="none" w:sz="0" w:space="0" w:color="auto"/>
      </w:divBdr>
    </w:div>
    <w:div w:id="2111117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header" Target="header3.xml"/><Relationship Id="rId26" Type="http://schemas.openxmlformats.org/officeDocument/2006/relationships/hyperlink" Target="https://www.zakon.hr/cms.htm?id=3492" TargetMode="External"/><Relationship Id="rId39" Type="http://schemas.openxmlformats.org/officeDocument/2006/relationships/hyperlink" Target="https://www.zakon.hr/cms.htm?id=39365" TargetMode="External"/><Relationship Id="rId21" Type="http://schemas.openxmlformats.org/officeDocument/2006/relationships/hyperlink" Target="http://narodne-novine.nn.hr/clanci/sluzbeni/1998_01_1_1.html" TargetMode="External"/><Relationship Id="rId34" Type="http://schemas.openxmlformats.org/officeDocument/2006/relationships/hyperlink" Target="https://www.zakon.hr/cms.htm?id=39355" TargetMode="External"/><Relationship Id="rId42" Type="http://schemas.openxmlformats.org/officeDocument/2006/relationships/hyperlink" Target="https://narodne-novine.nn.hr/clanci/sluzbeni/2011_12_152_3144.html" TargetMode="External"/><Relationship Id="rId47" Type="http://schemas.openxmlformats.org/officeDocument/2006/relationships/hyperlink" Target="https://www.zakon.hr/cms.htm?id=51850" TargetMode="External"/><Relationship Id="rId50" Type="http://schemas.openxmlformats.org/officeDocument/2006/relationships/chart" Target="charts/chart7.xml"/><Relationship Id="rId55" Type="http://schemas.openxmlformats.org/officeDocument/2006/relationships/hyperlink" Target="https://www.zakon.hr/cms.htm?id=52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zakon.hr/cms.htm?id=3498" TargetMode="External"/><Relationship Id="rId11" Type="http://schemas.openxmlformats.org/officeDocument/2006/relationships/chart" Target="charts/chart3.xml"/><Relationship Id="rId24" Type="http://schemas.openxmlformats.org/officeDocument/2006/relationships/hyperlink" Target="https://www.zakon.hr/cms.htm?id=3488" TargetMode="External"/><Relationship Id="rId32" Type="http://schemas.openxmlformats.org/officeDocument/2006/relationships/hyperlink" Target="https://www.zakon.hr/cms.htm?id=51853" TargetMode="External"/><Relationship Id="rId37" Type="http://schemas.openxmlformats.org/officeDocument/2006/relationships/hyperlink" Target="https://www.zakon.hr/cms.htm?id=39361" TargetMode="External"/><Relationship Id="rId40" Type="http://schemas.openxmlformats.org/officeDocument/2006/relationships/hyperlink" Target="https://www.zakon.hr/cms.htm?id=39367" TargetMode="External"/><Relationship Id="rId45" Type="http://schemas.openxmlformats.org/officeDocument/2006/relationships/hyperlink" Target="https://www.zakon.hr/cms.htm?id=39353" TargetMode="External"/><Relationship Id="rId53" Type="http://schemas.openxmlformats.org/officeDocument/2006/relationships/hyperlink" Target="https://www.zakon.hr/cms.htm?id=458" TargetMode="External"/><Relationship Id="rId58" Type="http://schemas.openxmlformats.org/officeDocument/2006/relationships/hyperlink" Target="https://www.zakon.hr/cms.htm?id=31269"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narodne-novine.nn.hr/clanci/sluzbeni/1995_01_1_1.html" TargetMode="External"/><Relationship Id="rId14" Type="http://schemas.openxmlformats.org/officeDocument/2006/relationships/header" Target="header1.xml"/><Relationship Id="rId22" Type="http://schemas.openxmlformats.org/officeDocument/2006/relationships/hyperlink" Target="http://narodne-novine.nn.hr/clanci/sluzbeni/1999_03_30_609.html" TargetMode="External"/><Relationship Id="rId27" Type="http://schemas.openxmlformats.org/officeDocument/2006/relationships/hyperlink" Target="https://www.zakon.hr/cms.htm?id=3494" TargetMode="External"/><Relationship Id="rId30" Type="http://schemas.openxmlformats.org/officeDocument/2006/relationships/hyperlink" Target="https://www.zakon.hr/cms.htm?id=14155" TargetMode="External"/><Relationship Id="rId35" Type="http://schemas.openxmlformats.org/officeDocument/2006/relationships/hyperlink" Target="https://www.zakon.hr/cms.htm?id=39357" TargetMode="External"/><Relationship Id="rId43" Type="http://schemas.openxmlformats.org/officeDocument/2006/relationships/hyperlink" Target="https://www.zakon.hr/cms.htm?id=39371" TargetMode="External"/><Relationship Id="rId48" Type="http://schemas.openxmlformats.org/officeDocument/2006/relationships/hyperlink" Target="https://www.zakon.hr/cms.htm?id=53938" TargetMode="External"/><Relationship Id="rId56" Type="http://schemas.openxmlformats.org/officeDocument/2006/relationships/hyperlink" Target="https://www.zakon.hr/cms.htm?id=5894" TargetMode="External"/><Relationship Id="rId8" Type="http://schemas.openxmlformats.org/officeDocument/2006/relationships/image" Target="media/image1.png"/><Relationship Id="rId51" Type="http://schemas.openxmlformats.org/officeDocument/2006/relationships/chart" Target="charts/chart8.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image" Target="media/image2.emf"/><Relationship Id="rId25" Type="http://schemas.openxmlformats.org/officeDocument/2006/relationships/hyperlink" Target="https://www.zakon.hr/cms.htm?id=3490" TargetMode="External"/><Relationship Id="rId33" Type="http://schemas.openxmlformats.org/officeDocument/2006/relationships/hyperlink" Target="https://narodne-novine.nn.hr/clanci/sluzbeni/1993_12_111_2133.html" TargetMode="External"/><Relationship Id="rId38" Type="http://schemas.openxmlformats.org/officeDocument/2006/relationships/hyperlink" Target="https://www.zakon.hr/cms.htm?id=39363" TargetMode="External"/><Relationship Id="rId46" Type="http://schemas.openxmlformats.org/officeDocument/2006/relationships/hyperlink" Target="https://www.zakon.hr/cms.htm?id=39375" TargetMode="External"/><Relationship Id="rId59" Type="http://schemas.openxmlformats.org/officeDocument/2006/relationships/hyperlink" Target="https://www.zakon.hr/cms.htm?id=39891" TargetMode="External"/><Relationship Id="rId20" Type="http://schemas.openxmlformats.org/officeDocument/2006/relationships/hyperlink" Target="http://narodne-novine.nn.hr/clanci/sluzbeni/1996_07_57_1163.html" TargetMode="External"/><Relationship Id="rId41" Type="http://schemas.openxmlformats.org/officeDocument/2006/relationships/hyperlink" Target="https://www.zakon.hr/cms.htm?id=39369" TargetMode="External"/><Relationship Id="rId54" Type="http://schemas.openxmlformats.org/officeDocument/2006/relationships/hyperlink" Target="https://www.zakon.hr/cms.htm?id=45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narodne-novine.nn.hr/clanci/sluzbeni/1999_05_45_874.html" TargetMode="External"/><Relationship Id="rId28" Type="http://schemas.openxmlformats.org/officeDocument/2006/relationships/hyperlink" Target="https://www.zakon.hr/cms.htm?id=3496" TargetMode="External"/><Relationship Id="rId36" Type="http://schemas.openxmlformats.org/officeDocument/2006/relationships/hyperlink" Target="https://www.zakon.hr/cms.htm?id=39359" TargetMode="External"/><Relationship Id="rId49" Type="http://schemas.openxmlformats.org/officeDocument/2006/relationships/chart" Target="charts/chart6.xml"/><Relationship Id="rId57" Type="http://schemas.openxmlformats.org/officeDocument/2006/relationships/hyperlink" Target="https://www.zakon.hr/cms.htm?id=22325" TargetMode="External"/><Relationship Id="rId10" Type="http://schemas.openxmlformats.org/officeDocument/2006/relationships/chart" Target="charts/chart2.xml"/><Relationship Id="rId31" Type="http://schemas.openxmlformats.org/officeDocument/2006/relationships/hyperlink" Target="https://www.zakon.hr/cms.htm?id=39377" TargetMode="External"/><Relationship Id="rId44" Type="http://schemas.openxmlformats.org/officeDocument/2006/relationships/hyperlink" Target="https://www.zakon.hr/cms.htm?id=39373" TargetMode="External"/><Relationship Id="rId52" Type="http://schemas.openxmlformats.org/officeDocument/2006/relationships/chart" Target="charts/chart9.xml"/><Relationship Id="rId60" Type="http://schemas.openxmlformats.org/officeDocument/2006/relationships/hyperlink" Target="https://www.zakon.hr/cms.htm?id=46642"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Grafikon%20u%20programu%20Microsoft%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Grafikon%20u%20programu%20Microsoft%20Word"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orhdc03\korisnickipodaci\Podaci%20s%20C\Javna%20mapa\GODI&#352;NJE%20IZVJE&#352;&#262;E%202021\I%20dio%20izvje&#353;&#263;a%2010.3.202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orhdc03\korisnickipodaci\Podaci%20s%20C\Javna%20mapa\GODI&#352;NJE%20IZVJE&#352;&#262;E%202021\I%20dio%20izvje&#353;&#263;a%2010.3.2022.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300">
                <a:solidFill>
                  <a:srgbClr val="FF0000"/>
                </a:solidFill>
              </a:defRPr>
            </a:pPr>
            <a:r>
              <a:rPr lang="en-US" sz="1300">
                <a:solidFill>
                  <a:sysClr val="windowText" lastClr="000000"/>
                </a:solidFill>
              </a:rPr>
              <a:t>Priljev predmeta po državnim odvjetništvima</a:t>
            </a:r>
          </a:p>
        </c:rich>
      </c:tx>
      <c:overlay val="0"/>
    </c:title>
    <c:autoTitleDeleted val="0"/>
    <c:plotArea>
      <c:layout>
        <c:manualLayout>
          <c:layoutTarget val="inner"/>
          <c:xMode val="edge"/>
          <c:yMode val="edge"/>
          <c:x val="0.11157067085584392"/>
          <c:y val="0.1162449993491901"/>
          <c:w val="0.83671784253670967"/>
          <c:h val="0.70407818489666418"/>
        </c:manualLayout>
      </c:layout>
      <c:barChart>
        <c:barDir val="bar"/>
        <c:grouping val="clustered"/>
        <c:varyColors val="0"/>
        <c:ser>
          <c:idx val="4"/>
          <c:order val="0"/>
          <c:tx>
            <c:strRef>
              <c:f>List1!$A$105</c:f>
              <c:strCache>
                <c:ptCount val="1"/>
                <c:pt idx="0">
                  <c:v>2022</c:v>
                </c:pt>
              </c:strCache>
            </c:strRef>
          </c:tx>
          <c:invertIfNegative val="0"/>
          <c:dLbls>
            <c:spPr>
              <a:noFill/>
              <a:ln>
                <a:noFill/>
              </a:ln>
              <a:effectLst/>
            </c:spPr>
            <c:txPr>
              <a:bodyPr/>
              <a:lstStyle/>
              <a:p>
                <a:pPr>
                  <a:defRPr sz="1000" b="1"/>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List1!$B$100:$E$100</c:f>
              <c:strCache>
                <c:ptCount val="4"/>
                <c:pt idx="0">
                  <c:v>ODO</c:v>
                </c:pt>
                <c:pt idx="1">
                  <c:v>ŽDO</c:v>
                </c:pt>
                <c:pt idx="2">
                  <c:v>USKOK</c:v>
                </c:pt>
                <c:pt idx="3">
                  <c:v>DORH</c:v>
                </c:pt>
              </c:strCache>
            </c:strRef>
          </c:cat>
          <c:val>
            <c:numRef>
              <c:f>List1!$B$105:$E$105</c:f>
              <c:numCache>
                <c:formatCode>#,##0</c:formatCode>
                <c:ptCount val="4"/>
                <c:pt idx="0">
                  <c:v>167600</c:v>
                </c:pt>
                <c:pt idx="1">
                  <c:v>34220</c:v>
                </c:pt>
                <c:pt idx="2">
                  <c:v>3493</c:v>
                </c:pt>
                <c:pt idx="3">
                  <c:v>5848</c:v>
                </c:pt>
              </c:numCache>
            </c:numRef>
          </c:val>
          <c:extLst>
            <c:ext xmlns:c16="http://schemas.microsoft.com/office/drawing/2014/chart" uri="{C3380CC4-5D6E-409C-BE32-E72D297353CC}">
              <c16:uniqueId val="{00000000-04BC-4D3A-B1C6-51F1E0234791}"/>
            </c:ext>
          </c:extLst>
        </c:ser>
        <c:ser>
          <c:idx val="3"/>
          <c:order val="1"/>
          <c:tx>
            <c:strRef>
              <c:f>List1!$A$104</c:f>
              <c:strCache>
                <c:ptCount val="1"/>
                <c:pt idx="0">
                  <c:v>2021</c:v>
                </c:pt>
              </c:strCache>
            </c:strRef>
          </c:tx>
          <c:invertIfNegative val="0"/>
          <c:dLbls>
            <c:spPr>
              <a:noFill/>
              <a:ln>
                <a:noFill/>
              </a:ln>
              <a:effectLst/>
            </c:spPr>
            <c:txPr>
              <a:bodyPr/>
              <a:lstStyle/>
              <a:p>
                <a:pPr>
                  <a:defRPr sz="1000" b="1"/>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List1!$B$100:$E$100</c:f>
              <c:strCache>
                <c:ptCount val="4"/>
                <c:pt idx="0">
                  <c:v>ODO</c:v>
                </c:pt>
                <c:pt idx="1">
                  <c:v>ŽDO</c:v>
                </c:pt>
                <c:pt idx="2">
                  <c:v>USKOK</c:v>
                </c:pt>
                <c:pt idx="3">
                  <c:v>DORH</c:v>
                </c:pt>
              </c:strCache>
            </c:strRef>
          </c:cat>
          <c:val>
            <c:numRef>
              <c:f>List1!$B$104:$E$104</c:f>
              <c:numCache>
                <c:formatCode>#,##0</c:formatCode>
                <c:ptCount val="4"/>
                <c:pt idx="0">
                  <c:v>182350</c:v>
                </c:pt>
                <c:pt idx="1">
                  <c:v>34806</c:v>
                </c:pt>
                <c:pt idx="2">
                  <c:v>3454</c:v>
                </c:pt>
                <c:pt idx="3">
                  <c:v>6398</c:v>
                </c:pt>
              </c:numCache>
            </c:numRef>
          </c:val>
          <c:extLst>
            <c:ext xmlns:c16="http://schemas.microsoft.com/office/drawing/2014/chart" uri="{C3380CC4-5D6E-409C-BE32-E72D297353CC}">
              <c16:uniqueId val="{00000001-04BC-4D3A-B1C6-51F1E0234791}"/>
            </c:ext>
          </c:extLst>
        </c:ser>
        <c:ser>
          <c:idx val="2"/>
          <c:order val="2"/>
          <c:tx>
            <c:strRef>
              <c:f>List1!$A$103</c:f>
              <c:strCache>
                <c:ptCount val="1"/>
                <c:pt idx="0">
                  <c:v>2020</c:v>
                </c:pt>
              </c:strCache>
            </c:strRef>
          </c:tx>
          <c:invertIfNegative val="0"/>
          <c:dLbls>
            <c:spPr>
              <a:noFill/>
              <a:ln>
                <a:noFill/>
              </a:ln>
              <a:effectLst/>
            </c:spPr>
            <c:txPr>
              <a:bodyPr/>
              <a:lstStyle/>
              <a:p>
                <a:pPr>
                  <a:defRPr sz="1000" b="1"/>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List1!$B$100:$E$100</c:f>
              <c:strCache>
                <c:ptCount val="4"/>
                <c:pt idx="0">
                  <c:v>ODO</c:v>
                </c:pt>
                <c:pt idx="1">
                  <c:v>ŽDO</c:v>
                </c:pt>
                <c:pt idx="2">
                  <c:v>USKOK</c:v>
                </c:pt>
                <c:pt idx="3">
                  <c:v>DORH</c:v>
                </c:pt>
              </c:strCache>
            </c:strRef>
          </c:cat>
          <c:val>
            <c:numRef>
              <c:f>List1!$B$103:$E$103</c:f>
              <c:numCache>
                <c:formatCode>#,##0</c:formatCode>
                <c:ptCount val="4"/>
                <c:pt idx="0">
                  <c:v>172348</c:v>
                </c:pt>
                <c:pt idx="1">
                  <c:v>31995</c:v>
                </c:pt>
                <c:pt idx="2">
                  <c:v>3335</c:v>
                </c:pt>
                <c:pt idx="3">
                  <c:v>5571</c:v>
                </c:pt>
              </c:numCache>
            </c:numRef>
          </c:val>
          <c:extLst>
            <c:ext xmlns:c16="http://schemas.microsoft.com/office/drawing/2014/chart" uri="{C3380CC4-5D6E-409C-BE32-E72D297353CC}">
              <c16:uniqueId val="{00000002-04BC-4D3A-B1C6-51F1E0234791}"/>
            </c:ext>
          </c:extLst>
        </c:ser>
        <c:ser>
          <c:idx val="1"/>
          <c:order val="3"/>
          <c:tx>
            <c:strRef>
              <c:f>List1!$A$102</c:f>
              <c:strCache>
                <c:ptCount val="1"/>
                <c:pt idx="0">
                  <c:v>2019</c:v>
                </c:pt>
              </c:strCache>
            </c:strRef>
          </c:tx>
          <c:invertIfNegative val="0"/>
          <c:dLbls>
            <c:spPr>
              <a:noFill/>
              <a:ln>
                <a:noFill/>
              </a:ln>
              <a:effectLst/>
            </c:spPr>
            <c:txPr>
              <a:bodyPr/>
              <a:lstStyle/>
              <a:p>
                <a:pPr>
                  <a:defRPr sz="1000" b="1"/>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List1!$B$100:$E$100</c:f>
              <c:strCache>
                <c:ptCount val="4"/>
                <c:pt idx="0">
                  <c:v>ODO</c:v>
                </c:pt>
                <c:pt idx="1">
                  <c:v>ŽDO</c:v>
                </c:pt>
                <c:pt idx="2">
                  <c:v>USKOK</c:v>
                </c:pt>
                <c:pt idx="3">
                  <c:v>DORH</c:v>
                </c:pt>
              </c:strCache>
            </c:strRef>
          </c:cat>
          <c:val>
            <c:numRef>
              <c:f>List1!$B$102:$E$102</c:f>
              <c:numCache>
                <c:formatCode>#,##0</c:formatCode>
                <c:ptCount val="4"/>
                <c:pt idx="0">
                  <c:v>177229</c:v>
                </c:pt>
                <c:pt idx="1">
                  <c:v>31579</c:v>
                </c:pt>
                <c:pt idx="2">
                  <c:v>1553</c:v>
                </c:pt>
                <c:pt idx="3">
                  <c:v>5327</c:v>
                </c:pt>
              </c:numCache>
            </c:numRef>
          </c:val>
          <c:extLst>
            <c:ext xmlns:c16="http://schemas.microsoft.com/office/drawing/2014/chart" uri="{C3380CC4-5D6E-409C-BE32-E72D297353CC}">
              <c16:uniqueId val="{00000003-04BC-4D3A-B1C6-51F1E0234791}"/>
            </c:ext>
          </c:extLst>
        </c:ser>
        <c:ser>
          <c:idx val="0"/>
          <c:order val="4"/>
          <c:tx>
            <c:strRef>
              <c:f>List1!$A$101</c:f>
              <c:strCache>
                <c:ptCount val="1"/>
                <c:pt idx="0">
                  <c:v>2018</c:v>
                </c:pt>
              </c:strCache>
            </c:strRef>
          </c:tx>
          <c:invertIfNegative val="0"/>
          <c:dLbls>
            <c:spPr>
              <a:noFill/>
              <a:ln>
                <a:noFill/>
              </a:ln>
              <a:effectLst/>
            </c:spPr>
            <c:txPr>
              <a:bodyPr/>
              <a:lstStyle/>
              <a:p>
                <a:pPr>
                  <a:defRPr sz="1000" b="1"/>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List1!$B$100:$E$100</c:f>
              <c:strCache>
                <c:ptCount val="4"/>
                <c:pt idx="0">
                  <c:v>ODO</c:v>
                </c:pt>
                <c:pt idx="1">
                  <c:v>ŽDO</c:v>
                </c:pt>
                <c:pt idx="2">
                  <c:v>USKOK</c:v>
                </c:pt>
                <c:pt idx="3">
                  <c:v>DORH</c:v>
                </c:pt>
              </c:strCache>
            </c:strRef>
          </c:cat>
          <c:val>
            <c:numRef>
              <c:f>List1!$B$101:$E$101</c:f>
              <c:numCache>
                <c:formatCode>#,##0</c:formatCode>
                <c:ptCount val="4"/>
                <c:pt idx="0">
                  <c:v>142575</c:v>
                </c:pt>
                <c:pt idx="1">
                  <c:v>31468</c:v>
                </c:pt>
                <c:pt idx="2">
                  <c:v>1427</c:v>
                </c:pt>
                <c:pt idx="3">
                  <c:v>5040</c:v>
                </c:pt>
              </c:numCache>
            </c:numRef>
          </c:val>
          <c:extLst>
            <c:ext xmlns:c16="http://schemas.microsoft.com/office/drawing/2014/chart" uri="{C3380CC4-5D6E-409C-BE32-E72D297353CC}">
              <c16:uniqueId val="{00000004-04BC-4D3A-B1C6-51F1E0234791}"/>
            </c:ext>
          </c:extLst>
        </c:ser>
        <c:dLbls>
          <c:dLblPos val="outEnd"/>
          <c:showLegendKey val="0"/>
          <c:showVal val="1"/>
          <c:showCatName val="0"/>
          <c:showSerName val="0"/>
          <c:showPercent val="0"/>
          <c:showBubbleSize val="0"/>
        </c:dLbls>
        <c:gapWidth val="150"/>
        <c:axId val="169358848"/>
        <c:axId val="169360384"/>
      </c:barChart>
      <c:catAx>
        <c:axId val="169358848"/>
        <c:scaling>
          <c:orientation val="minMax"/>
        </c:scaling>
        <c:delete val="0"/>
        <c:axPos val="l"/>
        <c:numFmt formatCode="General" sourceLinked="1"/>
        <c:majorTickMark val="out"/>
        <c:minorTickMark val="none"/>
        <c:tickLblPos val="nextTo"/>
        <c:txPr>
          <a:bodyPr/>
          <a:lstStyle/>
          <a:p>
            <a:pPr>
              <a:defRPr sz="1050" b="1"/>
            </a:pPr>
            <a:endParaRPr lang="sr-Latn-RS"/>
          </a:p>
        </c:txPr>
        <c:crossAx val="169360384"/>
        <c:crosses val="autoZero"/>
        <c:auto val="1"/>
        <c:lblAlgn val="ctr"/>
        <c:lblOffset val="100"/>
        <c:noMultiLvlLbl val="0"/>
      </c:catAx>
      <c:valAx>
        <c:axId val="169360384"/>
        <c:scaling>
          <c:orientation val="minMax"/>
        </c:scaling>
        <c:delete val="0"/>
        <c:axPos val="b"/>
        <c:numFmt formatCode="#,##0" sourceLinked="1"/>
        <c:majorTickMark val="out"/>
        <c:minorTickMark val="none"/>
        <c:tickLblPos val="nextTo"/>
        <c:txPr>
          <a:bodyPr/>
          <a:lstStyle/>
          <a:p>
            <a:pPr>
              <a:defRPr sz="900"/>
            </a:pPr>
            <a:endParaRPr lang="sr-Latn-RS"/>
          </a:p>
        </c:txPr>
        <c:crossAx val="169358848"/>
        <c:crosses val="autoZero"/>
        <c:crossBetween val="between"/>
      </c:valAx>
    </c:plotArea>
    <c:legend>
      <c:legendPos val="b"/>
      <c:overlay val="0"/>
      <c:txPr>
        <a:bodyPr/>
        <a:lstStyle/>
        <a:p>
          <a:pPr>
            <a:defRPr sz="1050" b="1"/>
          </a:pPr>
          <a:endParaRPr lang="sr-Latn-R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mn-lt"/>
                <a:ea typeface="+mn-ea"/>
                <a:cs typeface="+mn-cs"/>
              </a:defRPr>
            </a:pPr>
            <a:r>
              <a:rPr lang="en-US" sz="1300" b="1">
                <a:solidFill>
                  <a:sysClr val="windowText" lastClr="000000"/>
                </a:solidFill>
              </a:rPr>
              <a:t>Prikaz riješenih predmeta po državnim odvjetništvima </a:t>
            </a:r>
          </a:p>
        </c:rich>
      </c:tx>
      <c:layout>
        <c:manualLayout>
          <c:xMode val="edge"/>
          <c:yMode val="edge"/>
          <c:x val="0.13180452025305514"/>
          <c:y val="2.5457602703375971E-2"/>
        </c:manualLayout>
      </c:layout>
      <c:overlay val="0"/>
      <c:spPr>
        <a:noFill/>
        <a:ln>
          <a:noFill/>
        </a:ln>
        <a:effectLst/>
      </c:spPr>
    </c:title>
    <c:autoTitleDeleted val="0"/>
    <c:plotArea>
      <c:layout/>
      <c:barChart>
        <c:barDir val="bar"/>
        <c:grouping val="clustered"/>
        <c:varyColors val="0"/>
        <c:ser>
          <c:idx val="4"/>
          <c:order val="0"/>
          <c:tx>
            <c:strRef>
              <c:f>'[Grafikon u programu Microsoft Word]List1'!$A$7</c:f>
              <c:strCache>
                <c:ptCount val="1"/>
                <c:pt idx="0">
                  <c:v>2022</c:v>
                </c:pt>
              </c:strCache>
            </c:strRef>
          </c:tx>
          <c:spPr>
            <a:solidFill>
              <a:schemeClr val="accent1">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 u programu Microsoft Word]List1'!$B$2:$E$2</c:f>
              <c:strCache>
                <c:ptCount val="4"/>
                <c:pt idx="0">
                  <c:v>ODO</c:v>
                </c:pt>
                <c:pt idx="1">
                  <c:v>ŽDO</c:v>
                </c:pt>
                <c:pt idx="2">
                  <c:v>USKOK</c:v>
                </c:pt>
                <c:pt idx="3">
                  <c:v>DORH</c:v>
                </c:pt>
              </c:strCache>
            </c:strRef>
          </c:cat>
          <c:val>
            <c:numRef>
              <c:f>'[Grafikon u programu Microsoft Word]List1'!$B$7:$E$7</c:f>
              <c:numCache>
                <c:formatCode>#,##0</c:formatCode>
                <c:ptCount val="4"/>
                <c:pt idx="0">
                  <c:v>163193</c:v>
                </c:pt>
                <c:pt idx="1">
                  <c:v>34457</c:v>
                </c:pt>
                <c:pt idx="2">
                  <c:v>3306</c:v>
                </c:pt>
                <c:pt idx="3">
                  <c:v>5705</c:v>
                </c:pt>
              </c:numCache>
            </c:numRef>
          </c:val>
          <c:extLst>
            <c:ext xmlns:c16="http://schemas.microsoft.com/office/drawing/2014/chart" uri="{C3380CC4-5D6E-409C-BE32-E72D297353CC}">
              <c16:uniqueId val="{00000000-62E2-4C86-ABFC-9AE2E1C64B31}"/>
            </c:ext>
          </c:extLst>
        </c:ser>
        <c:ser>
          <c:idx val="3"/>
          <c:order val="1"/>
          <c:tx>
            <c:strRef>
              <c:f>'[Grafikon u programu Microsoft Word]List1'!$A$6</c:f>
              <c:strCache>
                <c:ptCount val="1"/>
                <c:pt idx="0">
                  <c:v>2021</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 u programu Microsoft Word]List1'!$B$2:$E$2</c:f>
              <c:strCache>
                <c:ptCount val="4"/>
                <c:pt idx="0">
                  <c:v>ODO</c:v>
                </c:pt>
                <c:pt idx="1">
                  <c:v>ŽDO</c:v>
                </c:pt>
                <c:pt idx="2">
                  <c:v>USKOK</c:v>
                </c:pt>
                <c:pt idx="3">
                  <c:v>DORH</c:v>
                </c:pt>
              </c:strCache>
            </c:strRef>
          </c:cat>
          <c:val>
            <c:numRef>
              <c:f>'[Grafikon u programu Microsoft Word]List1'!$B$6:$E$6</c:f>
              <c:numCache>
                <c:formatCode>#,##0</c:formatCode>
                <c:ptCount val="4"/>
                <c:pt idx="0">
                  <c:v>182943</c:v>
                </c:pt>
                <c:pt idx="1">
                  <c:v>34925</c:v>
                </c:pt>
                <c:pt idx="2">
                  <c:v>3308</c:v>
                </c:pt>
                <c:pt idx="3">
                  <c:v>6574</c:v>
                </c:pt>
              </c:numCache>
            </c:numRef>
          </c:val>
          <c:extLst>
            <c:ext xmlns:c16="http://schemas.microsoft.com/office/drawing/2014/chart" uri="{C3380CC4-5D6E-409C-BE32-E72D297353CC}">
              <c16:uniqueId val="{00000001-62E2-4C86-ABFC-9AE2E1C64B31}"/>
            </c:ext>
          </c:extLst>
        </c:ser>
        <c:ser>
          <c:idx val="2"/>
          <c:order val="2"/>
          <c:tx>
            <c:strRef>
              <c:f>'[Grafikon u programu Microsoft Word]List1'!$A$5</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 u programu Microsoft Word]List1'!$B$2:$E$2</c:f>
              <c:strCache>
                <c:ptCount val="4"/>
                <c:pt idx="0">
                  <c:v>ODO</c:v>
                </c:pt>
                <c:pt idx="1">
                  <c:v>ŽDO</c:v>
                </c:pt>
                <c:pt idx="2">
                  <c:v>USKOK</c:v>
                </c:pt>
                <c:pt idx="3">
                  <c:v>DORH</c:v>
                </c:pt>
              </c:strCache>
            </c:strRef>
          </c:cat>
          <c:val>
            <c:numRef>
              <c:f>'[Grafikon u programu Microsoft Word]List1'!$B$5:$E$5</c:f>
              <c:numCache>
                <c:formatCode>#,##0</c:formatCode>
                <c:ptCount val="4"/>
                <c:pt idx="0">
                  <c:v>172904</c:v>
                </c:pt>
                <c:pt idx="1">
                  <c:v>31758</c:v>
                </c:pt>
                <c:pt idx="2">
                  <c:v>3025</c:v>
                </c:pt>
                <c:pt idx="3">
                  <c:v>5584</c:v>
                </c:pt>
              </c:numCache>
            </c:numRef>
          </c:val>
          <c:extLst>
            <c:ext xmlns:c16="http://schemas.microsoft.com/office/drawing/2014/chart" uri="{C3380CC4-5D6E-409C-BE32-E72D297353CC}">
              <c16:uniqueId val="{00000002-62E2-4C86-ABFC-9AE2E1C64B31}"/>
            </c:ext>
          </c:extLst>
        </c:ser>
        <c:ser>
          <c:idx val="1"/>
          <c:order val="3"/>
          <c:tx>
            <c:strRef>
              <c:f>'[Grafikon u programu Microsoft Word]List1'!$A$4</c:f>
              <c:strCache>
                <c:ptCount val="1"/>
                <c:pt idx="0">
                  <c:v>2019</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 u programu Microsoft Word]List1'!$B$2:$E$2</c:f>
              <c:strCache>
                <c:ptCount val="4"/>
                <c:pt idx="0">
                  <c:v>ODO</c:v>
                </c:pt>
                <c:pt idx="1">
                  <c:v>ŽDO</c:v>
                </c:pt>
                <c:pt idx="2">
                  <c:v>USKOK</c:v>
                </c:pt>
                <c:pt idx="3">
                  <c:v>DORH</c:v>
                </c:pt>
              </c:strCache>
            </c:strRef>
          </c:cat>
          <c:val>
            <c:numRef>
              <c:f>'[Grafikon u programu Microsoft Word]List1'!$B$4:$E$4</c:f>
              <c:numCache>
                <c:formatCode>#,##0</c:formatCode>
                <c:ptCount val="4"/>
                <c:pt idx="0">
                  <c:v>179437</c:v>
                </c:pt>
                <c:pt idx="1">
                  <c:v>32536</c:v>
                </c:pt>
                <c:pt idx="2">
                  <c:v>1626</c:v>
                </c:pt>
                <c:pt idx="3">
                  <c:v>5899</c:v>
                </c:pt>
              </c:numCache>
            </c:numRef>
          </c:val>
          <c:extLst>
            <c:ext xmlns:c16="http://schemas.microsoft.com/office/drawing/2014/chart" uri="{C3380CC4-5D6E-409C-BE32-E72D297353CC}">
              <c16:uniqueId val="{00000003-62E2-4C86-ABFC-9AE2E1C64B31}"/>
            </c:ext>
          </c:extLst>
        </c:ser>
        <c:ser>
          <c:idx val="0"/>
          <c:order val="4"/>
          <c:tx>
            <c:strRef>
              <c:f>'[Grafikon u programu Microsoft Word]List1'!$A$3</c:f>
              <c:strCache>
                <c:ptCount val="1"/>
                <c:pt idx="0">
                  <c:v>2018</c:v>
                </c:pt>
              </c:strCache>
            </c:strRef>
          </c:tx>
          <c:spPr>
            <a:solidFill>
              <a:schemeClr val="accent1">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 u programu Microsoft Word]List1'!$B$2:$E$2</c:f>
              <c:strCache>
                <c:ptCount val="4"/>
                <c:pt idx="0">
                  <c:v>ODO</c:v>
                </c:pt>
                <c:pt idx="1">
                  <c:v>ŽDO</c:v>
                </c:pt>
                <c:pt idx="2">
                  <c:v>USKOK</c:v>
                </c:pt>
                <c:pt idx="3">
                  <c:v>DORH</c:v>
                </c:pt>
              </c:strCache>
            </c:strRef>
          </c:cat>
          <c:val>
            <c:numRef>
              <c:f>'[Grafikon u programu Microsoft Word]List1'!$B$3:$E$3</c:f>
              <c:numCache>
                <c:formatCode>#,##0</c:formatCode>
                <c:ptCount val="4"/>
                <c:pt idx="0">
                  <c:v>149200</c:v>
                </c:pt>
                <c:pt idx="1">
                  <c:v>32044</c:v>
                </c:pt>
                <c:pt idx="2">
                  <c:v>1492</c:v>
                </c:pt>
                <c:pt idx="3">
                  <c:v>5242</c:v>
                </c:pt>
              </c:numCache>
            </c:numRef>
          </c:val>
          <c:extLst>
            <c:ext xmlns:c16="http://schemas.microsoft.com/office/drawing/2014/chart" uri="{C3380CC4-5D6E-409C-BE32-E72D297353CC}">
              <c16:uniqueId val="{00000004-62E2-4C86-ABFC-9AE2E1C64B31}"/>
            </c:ext>
          </c:extLst>
        </c:ser>
        <c:dLbls>
          <c:showLegendKey val="0"/>
          <c:showVal val="0"/>
          <c:showCatName val="0"/>
          <c:showSerName val="0"/>
          <c:showPercent val="0"/>
          <c:showBubbleSize val="0"/>
        </c:dLbls>
        <c:gapWidth val="182"/>
        <c:axId val="257750912"/>
        <c:axId val="257752448"/>
      </c:barChart>
      <c:catAx>
        <c:axId val="257750912"/>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7752448"/>
        <c:crosses val="autoZero"/>
        <c:auto val="1"/>
        <c:lblAlgn val="ctr"/>
        <c:lblOffset val="100"/>
        <c:noMultiLvlLbl val="0"/>
      </c:catAx>
      <c:valAx>
        <c:axId val="2577524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5775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mn-lt"/>
                <a:ea typeface="+mn-ea"/>
                <a:cs typeface="+mn-cs"/>
              </a:defRPr>
            </a:pPr>
            <a:r>
              <a:rPr lang="en-US" sz="1300">
                <a:solidFill>
                  <a:sysClr val="windowText" lastClr="000000"/>
                </a:solidFill>
              </a:rPr>
              <a:t>Prikaz neriješenih predmeta po državnim odvjetništ</a:t>
            </a:r>
            <a:r>
              <a:rPr lang="hr-HR" sz="1300">
                <a:solidFill>
                  <a:sysClr val="windowText" lastClr="000000"/>
                </a:solidFill>
              </a:rPr>
              <a:t>vima</a:t>
            </a:r>
            <a:endParaRPr lang="en-US" sz="1300">
              <a:solidFill>
                <a:sysClr val="windowText" lastClr="000000"/>
              </a:solidFill>
            </a:endParaRPr>
          </a:p>
        </c:rich>
      </c:tx>
      <c:overlay val="0"/>
      <c:spPr>
        <a:noFill/>
        <a:ln>
          <a:noFill/>
        </a:ln>
        <a:effectLst/>
      </c:spPr>
    </c:title>
    <c:autoTitleDeleted val="0"/>
    <c:plotArea>
      <c:layout/>
      <c:barChart>
        <c:barDir val="bar"/>
        <c:grouping val="clustered"/>
        <c:varyColors val="0"/>
        <c:ser>
          <c:idx val="4"/>
          <c:order val="0"/>
          <c:tx>
            <c:strRef>
              <c:f>'[Grafikon u programu Microsoft Word]List1'!$A$36</c:f>
              <c:strCache>
                <c:ptCount val="1"/>
                <c:pt idx="0">
                  <c:v>2022</c:v>
                </c:pt>
              </c:strCache>
            </c:strRef>
          </c:tx>
          <c:spPr>
            <a:solidFill>
              <a:schemeClr val="accent1">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 u programu Microsoft Word]List1'!$B$31:$E$31</c:f>
              <c:strCache>
                <c:ptCount val="4"/>
                <c:pt idx="0">
                  <c:v>ODO</c:v>
                </c:pt>
                <c:pt idx="1">
                  <c:v>ŽDO</c:v>
                </c:pt>
                <c:pt idx="2">
                  <c:v>USKOK</c:v>
                </c:pt>
                <c:pt idx="3">
                  <c:v>DORH</c:v>
                </c:pt>
              </c:strCache>
            </c:strRef>
          </c:cat>
          <c:val>
            <c:numRef>
              <c:f>'[Grafikon u programu Microsoft Word]List1'!$B$36:$E$36</c:f>
              <c:numCache>
                <c:formatCode>#,##0</c:formatCode>
                <c:ptCount val="4"/>
                <c:pt idx="0">
                  <c:v>39106</c:v>
                </c:pt>
                <c:pt idx="1">
                  <c:v>3617</c:v>
                </c:pt>
                <c:pt idx="2">
                  <c:v>872</c:v>
                </c:pt>
                <c:pt idx="3">
                  <c:v>1098</c:v>
                </c:pt>
              </c:numCache>
            </c:numRef>
          </c:val>
          <c:extLst>
            <c:ext xmlns:c16="http://schemas.microsoft.com/office/drawing/2014/chart" uri="{C3380CC4-5D6E-409C-BE32-E72D297353CC}">
              <c16:uniqueId val="{00000000-CF23-427F-9524-47237D3E59C0}"/>
            </c:ext>
          </c:extLst>
        </c:ser>
        <c:ser>
          <c:idx val="3"/>
          <c:order val="1"/>
          <c:tx>
            <c:strRef>
              <c:f>'[Grafikon u programu Microsoft Word]List1'!$A$35</c:f>
              <c:strCache>
                <c:ptCount val="1"/>
                <c:pt idx="0">
                  <c:v>2021</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 u programu Microsoft Word]List1'!$B$31:$E$31</c:f>
              <c:strCache>
                <c:ptCount val="4"/>
                <c:pt idx="0">
                  <c:v>ODO</c:v>
                </c:pt>
                <c:pt idx="1">
                  <c:v>ŽDO</c:v>
                </c:pt>
                <c:pt idx="2">
                  <c:v>USKOK</c:v>
                </c:pt>
                <c:pt idx="3">
                  <c:v>DORH</c:v>
                </c:pt>
              </c:strCache>
            </c:strRef>
          </c:cat>
          <c:val>
            <c:numRef>
              <c:f>'[Grafikon u programu Microsoft Word]List1'!$B$35:$E$35</c:f>
              <c:numCache>
                <c:formatCode>#,##0</c:formatCode>
                <c:ptCount val="4"/>
                <c:pt idx="0">
                  <c:v>34737</c:v>
                </c:pt>
                <c:pt idx="1">
                  <c:v>3769</c:v>
                </c:pt>
                <c:pt idx="2">
                  <c:v>695</c:v>
                </c:pt>
                <c:pt idx="3">
                  <c:v>1061</c:v>
                </c:pt>
              </c:numCache>
            </c:numRef>
          </c:val>
          <c:extLst>
            <c:ext xmlns:c16="http://schemas.microsoft.com/office/drawing/2014/chart" uri="{C3380CC4-5D6E-409C-BE32-E72D297353CC}">
              <c16:uniqueId val="{00000001-CF23-427F-9524-47237D3E59C0}"/>
            </c:ext>
          </c:extLst>
        </c:ser>
        <c:ser>
          <c:idx val="2"/>
          <c:order val="2"/>
          <c:tx>
            <c:strRef>
              <c:f>'[Grafikon u programu Microsoft Word]List1'!$A$34</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 u programu Microsoft Word]List1'!$B$31:$E$31</c:f>
              <c:strCache>
                <c:ptCount val="4"/>
                <c:pt idx="0">
                  <c:v>ODO</c:v>
                </c:pt>
                <c:pt idx="1">
                  <c:v>ŽDO</c:v>
                </c:pt>
                <c:pt idx="2">
                  <c:v>USKOK</c:v>
                </c:pt>
                <c:pt idx="3">
                  <c:v>DORH</c:v>
                </c:pt>
              </c:strCache>
            </c:strRef>
          </c:cat>
          <c:val>
            <c:numRef>
              <c:f>'[Grafikon u programu Microsoft Word]List1'!$B$34:$E$34</c:f>
              <c:numCache>
                <c:formatCode>#,##0</c:formatCode>
                <c:ptCount val="4"/>
                <c:pt idx="0">
                  <c:v>35211</c:v>
                </c:pt>
                <c:pt idx="1">
                  <c:v>3954</c:v>
                </c:pt>
                <c:pt idx="2">
                  <c:v>507</c:v>
                </c:pt>
                <c:pt idx="3">
                  <c:v>1293</c:v>
                </c:pt>
              </c:numCache>
            </c:numRef>
          </c:val>
          <c:extLst>
            <c:ext xmlns:c16="http://schemas.microsoft.com/office/drawing/2014/chart" uri="{C3380CC4-5D6E-409C-BE32-E72D297353CC}">
              <c16:uniqueId val="{00000002-CF23-427F-9524-47237D3E59C0}"/>
            </c:ext>
          </c:extLst>
        </c:ser>
        <c:ser>
          <c:idx val="1"/>
          <c:order val="3"/>
          <c:tx>
            <c:strRef>
              <c:f>'[Grafikon u programu Microsoft Word]List1'!$A$33</c:f>
              <c:strCache>
                <c:ptCount val="1"/>
                <c:pt idx="0">
                  <c:v>2019</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 u programu Microsoft Word]List1'!$B$31:$E$31</c:f>
              <c:strCache>
                <c:ptCount val="4"/>
                <c:pt idx="0">
                  <c:v>ODO</c:v>
                </c:pt>
                <c:pt idx="1">
                  <c:v>ŽDO</c:v>
                </c:pt>
                <c:pt idx="2">
                  <c:v>USKOK</c:v>
                </c:pt>
                <c:pt idx="3">
                  <c:v>DORH</c:v>
                </c:pt>
              </c:strCache>
            </c:strRef>
          </c:cat>
          <c:val>
            <c:numRef>
              <c:f>'[Grafikon u programu Microsoft Word]List1'!$B$33:$E$33</c:f>
              <c:numCache>
                <c:formatCode>#,##0</c:formatCode>
                <c:ptCount val="4"/>
                <c:pt idx="0">
                  <c:v>40940</c:v>
                </c:pt>
                <c:pt idx="1">
                  <c:v>3682</c:v>
                </c:pt>
                <c:pt idx="2">
                  <c:v>652</c:v>
                </c:pt>
                <c:pt idx="3">
                  <c:v>1705</c:v>
                </c:pt>
              </c:numCache>
            </c:numRef>
          </c:val>
          <c:extLst>
            <c:ext xmlns:c16="http://schemas.microsoft.com/office/drawing/2014/chart" uri="{C3380CC4-5D6E-409C-BE32-E72D297353CC}">
              <c16:uniqueId val="{00000003-CF23-427F-9524-47237D3E59C0}"/>
            </c:ext>
          </c:extLst>
        </c:ser>
        <c:ser>
          <c:idx val="0"/>
          <c:order val="4"/>
          <c:tx>
            <c:strRef>
              <c:f>'[Grafikon u programu Microsoft Word]List1'!$A$32</c:f>
              <c:strCache>
                <c:ptCount val="1"/>
                <c:pt idx="0">
                  <c:v>2018</c:v>
                </c:pt>
              </c:strCache>
            </c:strRef>
          </c:tx>
          <c:spPr>
            <a:solidFill>
              <a:schemeClr val="accent1">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'[Grafikon u programu Microsoft Word]List1'!$B$31:$E$31</c:f>
              <c:strCache>
                <c:ptCount val="4"/>
                <c:pt idx="0">
                  <c:v>ODO</c:v>
                </c:pt>
                <c:pt idx="1">
                  <c:v>ŽDO</c:v>
                </c:pt>
                <c:pt idx="2">
                  <c:v>USKOK</c:v>
                </c:pt>
                <c:pt idx="3">
                  <c:v>DORH</c:v>
                </c:pt>
              </c:strCache>
            </c:strRef>
          </c:cat>
          <c:val>
            <c:numRef>
              <c:f>'[Grafikon u programu Microsoft Word]List1'!$B$32:$E$32</c:f>
              <c:numCache>
                <c:formatCode>#,##0</c:formatCode>
                <c:ptCount val="4"/>
                <c:pt idx="0">
                  <c:v>58170</c:v>
                </c:pt>
                <c:pt idx="1">
                  <c:v>4863</c:v>
                </c:pt>
                <c:pt idx="2">
                  <c:v>710</c:v>
                </c:pt>
                <c:pt idx="3">
                  <c:v>2225</c:v>
                </c:pt>
              </c:numCache>
            </c:numRef>
          </c:val>
          <c:extLst>
            <c:ext xmlns:c16="http://schemas.microsoft.com/office/drawing/2014/chart" uri="{C3380CC4-5D6E-409C-BE32-E72D297353CC}">
              <c16:uniqueId val="{00000004-CF23-427F-9524-47237D3E59C0}"/>
            </c:ext>
          </c:extLst>
        </c:ser>
        <c:dLbls>
          <c:dLblPos val="outEnd"/>
          <c:showLegendKey val="0"/>
          <c:showVal val="1"/>
          <c:showCatName val="0"/>
          <c:showSerName val="0"/>
          <c:showPercent val="0"/>
          <c:showBubbleSize val="0"/>
        </c:dLbls>
        <c:gapWidth val="182"/>
        <c:axId val="306547328"/>
        <c:axId val="306557312"/>
      </c:barChart>
      <c:catAx>
        <c:axId val="306547328"/>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6557312"/>
        <c:crosses val="autoZero"/>
        <c:auto val="1"/>
        <c:lblAlgn val="ctr"/>
        <c:lblOffset val="100"/>
        <c:noMultiLvlLbl val="0"/>
      </c:catAx>
      <c:valAx>
        <c:axId val="3065573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06547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r>
              <a:rPr lang="en-US" sz="1000">
                <a:solidFill>
                  <a:sysClr val="windowText" lastClr="000000"/>
                </a:solidFill>
              </a:rPr>
              <a:t>Prikaz kretanja Clearance Rate (CR) po državnim odvjetništvima </a:t>
            </a:r>
          </a:p>
        </c:rich>
      </c:tx>
      <c:overlay val="0"/>
      <c:spPr>
        <a:noFill/>
        <a:ln>
          <a:noFill/>
        </a:ln>
        <a:effectLst/>
      </c:spPr>
    </c:title>
    <c:autoTitleDeleted val="0"/>
    <c:plotArea>
      <c:layout/>
      <c:barChart>
        <c:barDir val="col"/>
        <c:grouping val="clustered"/>
        <c:varyColors val="0"/>
        <c:ser>
          <c:idx val="1"/>
          <c:order val="0"/>
          <c:tx>
            <c:strRef>
              <c:f>Grafovi!$A$56</c:f>
              <c:strCache>
                <c:ptCount val="1"/>
                <c:pt idx="0">
                  <c:v>2018</c:v>
                </c:pt>
              </c:strCache>
            </c:strRef>
          </c:tx>
          <c:spPr>
            <a:solidFill>
              <a:schemeClr val="accent1">
                <a:shade val="7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Grafovi!$B$55:$E$55</c:f>
              <c:strCache>
                <c:ptCount val="4"/>
                <c:pt idx="0">
                  <c:v>ODO</c:v>
                </c:pt>
                <c:pt idx="1">
                  <c:v>ŽDO</c:v>
                </c:pt>
                <c:pt idx="2">
                  <c:v>USKOK</c:v>
                </c:pt>
                <c:pt idx="3">
                  <c:v>DORH</c:v>
                </c:pt>
              </c:strCache>
            </c:strRef>
          </c:cat>
          <c:val>
            <c:numRef>
              <c:f>Grafovi!$B$56:$E$56</c:f>
              <c:numCache>
                <c:formatCode>0%</c:formatCode>
                <c:ptCount val="4"/>
                <c:pt idx="0">
                  <c:v>1.05</c:v>
                </c:pt>
                <c:pt idx="1">
                  <c:v>1.02</c:v>
                </c:pt>
                <c:pt idx="2">
                  <c:v>1.05</c:v>
                </c:pt>
                <c:pt idx="3">
                  <c:v>1.04</c:v>
                </c:pt>
              </c:numCache>
            </c:numRef>
          </c:val>
          <c:extLst>
            <c:ext xmlns:c16="http://schemas.microsoft.com/office/drawing/2014/chart" uri="{C3380CC4-5D6E-409C-BE32-E72D297353CC}">
              <c16:uniqueId val="{00000000-0DC2-4A7B-BA87-F27DFE191ADA}"/>
            </c:ext>
          </c:extLst>
        </c:ser>
        <c:ser>
          <c:idx val="2"/>
          <c:order val="1"/>
          <c:tx>
            <c:strRef>
              <c:f>Grafovi!$A$57</c:f>
              <c:strCache>
                <c:ptCount val="1"/>
                <c:pt idx="0">
                  <c:v>2019</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Grafovi!$B$55:$E$55</c:f>
              <c:strCache>
                <c:ptCount val="4"/>
                <c:pt idx="0">
                  <c:v>ODO</c:v>
                </c:pt>
                <c:pt idx="1">
                  <c:v>ŽDO</c:v>
                </c:pt>
                <c:pt idx="2">
                  <c:v>USKOK</c:v>
                </c:pt>
                <c:pt idx="3">
                  <c:v>DORH</c:v>
                </c:pt>
              </c:strCache>
            </c:strRef>
          </c:cat>
          <c:val>
            <c:numRef>
              <c:f>Grafovi!$B$57:$E$57</c:f>
              <c:numCache>
                <c:formatCode>0%</c:formatCode>
                <c:ptCount val="4"/>
                <c:pt idx="0">
                  <c:v>1.01</c:v>
                </c:pt>
                <c:pt idx="1">
                  <c:v>1.03</c:v>
                </c:pt>
                <c:pt idx="2">
                  <c:v>1.05</c:v>
                </c:pt>
                <c:pt idx="3">
                  <c:v>1.1100000000000001</c:v>
                </c:pt>
              </c:numCache>
            </c:numRef>
          </c:val>
          <c:extLst>
            <c:ext xmlns:c16="http://schemas.microsoft.com/office/drawing/2014/chart" uri="{C3380CC4-5D6E-409C-BE32-E72D297353CC}">
              <c16:uniqueId val="{00000001-0DC2-4A7B-BA87-F27DFE191ADA}"/>
            </c:ext>
          </c:extLst>
        </c:ser>
        <c:ser>
          <c:idx val="3"/>
          <c:order val="2"/>
          <c:tx>
            <c:strRef>
              <c:f>Grafovi!$A$58</c:f>
              <c:strCache>
                <c:ptCount val="1"/>
                <c:pt idx="0">
                  <c:v>2020</c:v>
                </c:pt>
              </c:strCache>
            </c:strRef>
          </c:tx>
          <c:spPr>
            <a:solidFill>
              <a:schemeClr val="accent1">
                <a:tint val="77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Grafovi!$B$55:$E$55</c:f>
              <c:strCache>
                <c:ptCount val="4"/>
                <c:pt idx="0">
                  <c:v>ODO</c:v>
                </c:pt>
                <c:pt idx="1">
                  <c:v>ŽDO</c:v>
                </c:pt>
                <c:pt idx="2">
                  <c:v>USKOK</c:v>
                </c:pt>
                <c:pt idx="3">
                  <c:v>DORH</c:v>
                </c:pt>
              </c:strCache>
            </c:strRef>
          </c:cat>
          <c:val>
            <c:numRef>
              <c:f>Grafovi!$B$58:$E$58</c:f>
              <c:numCache>
                <c:formatCode>0%</c:formatCode>
                <c:ptCount val="4"/>
                <c:pt idx="0">
                  <c:v>1</c:v>
                </c:pt>
                <c:pt idx="1">
                  <c:v>0.99</c:v>
                </c:pt>
                <c:pt idx="2">
                  <c:v>1.04</c:v>
                </c:pt>
                <c:pt idx="3">
                  <c:v>1</c:v>
                </c:pt>
              </c:numCache>
            </c:numRef>
          </c:val>
          <c:extLst>
            <c:ext xmlns:c16="http://schemas.microsoft.com/office/drawing/2014/chart" uri="{C3380CC4-5D6E-409C-BE32-E72D297353CC}">
              <c16:uniqueId val="{00000002-0DC2-4A7B-BA87-F27DFE191ADA}"/>
            </c:ext>
          </c:extLst>
        </c:ser>
        <c:ser>
          <c:idx val="4"/>
          <c:order val="3"/>
          <c:tx>
            <c:strRef>
              <c:f>Grafovi!$A$59</c:f>
              <c:strCache>
                <c:ptCount val="1"/>
                <c:pt idx="0">
                  <c:v>2021</c:v>
                </c:pt>
              </c:strCache>
            </c:strRef>
          </c:tx>
          <c:spPr>
            <a:solidFill>
              <a:schemeClr val="accent1">
                <a:tint val="54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Grafovi!$B$55:$E$55</c:f>
              <c:strCache>
                <c:ptCount val="4"/>
                <c:pt idx="0">
                  <c:v>ODO</c:v>
                </c:pt>
                <c:pt idx="1">
                  <c:v>ŽDO</c:v>
                </c:pt>
                <c:pt idx="2">
                  <c:v>USKOK</c:v>
                </c:pt>
                <c:pt idx="3">
                  <c:v>DORH</c:v>
                </c:pt>
              </c:strCache>
            </c:strRef>
          </c:cat>
          <c:val>
            <c:numRef>
              <c:f>Grafovi!$B$59:$E$59</c:f>
              <c:numCache>
                <c:formatCode>0%</c:formatCode>
                <c:ptCount val="4"/>
                <c:pt idx="0">
                  <c:v>1</c:v>
                </c:pt>
                <c:pt idx="1">
                  <c:v>1</c:v>
                </c:pt>
                <c:pt idx="2">
                  <c:v>0.96</c:v>
                </c:pt>
                <c:pt idx="3">
                  <c:v>1.03</c:v>
                </c:pt>
              </c:numCache>
            </c:numRef>
          </c:val>
          <c:extLst>
            <c:ext xmlns:c16="http://schemas.microsoft.com/office/drawing/2014/chart" uri="{C3380CC4-5D6E-409C-BE32-E72D297353CC}">
              <c16:uniqueId val="{00000003-0DC2-4A7B-BA87-F27DFE191ADA}"/>
            </c:ext>
          </c:extLst>
        </c:ser>
        <c:ser>
          <c:idx val="0"/>
          <c:order val="4"/>
          <c:tx>
            <c:strRef>
              <c:f>Grafovi!$A$60</c:f>
              <c:strCache>
                <c:ptCount val="1"/>
                <c:pt idx="0">
                  <c:v>2022</c:v>
                </c:pt>
              </c:strCache>
            </c:strRef>
          </c:tx>
          <c:spPr>
            <a:solidFill>
              <a:schemeClr val="accent1">
                <a:shade val="53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Grafovi!$B$55:$E$55</c:f>
              <c:strCache>
                <c:ptCount val="4"/>
                <c:pt idx="0">
                  <c:v>ODO</c:v>
                </c:pt>
                <c:pt idx="1">
                  <c:v>ŽDO</c:v>
                </c:pt>
                <c:pt idx="2">
                  <c:v>USKOK</c:v>
                </c:pt>
                <c:pt idx="3">
                  <c:v>DORH</c:v>
                </c:pt>
              </c:strCache>
            </c:strRef>
          </c:cat>
          <c:val>
            <c:numRef>
              <c:f>Grafovi!$B$60:$E$60</c:f>
              <c:numCache>
                <c:formatCode>0%</c:formatCode>
                <c:ptCount val="4"/>
                <c:pt idx="0">
                  <c:v>0.97</c:v>
                </c:pt>
                <c:pt idx="1">
                  <c:v>1.01</c:v>
                </c:pt>
                <c:pt idx="2">
                  <c:v>0.95</c:v>
                </c:pt>
                <c:pt idx="3">
                  <c:v>0.98</c:v>
                </c:pt>
              </c:numCache>
            </c:numRef>
          </c:val>
          <c:extLst>
            <c:ext xmlns:c16="http://schemas.microsoft.com/office/drawing/2014/chart" uri="{C3380CC4-5D6E-409C-BE32-E72D297353CC}">
              <c16:uniqueId val="{00000004-0DC2-4A7B-BA87-F27DFE191ADA}"/>
            </c:ext>
          </c:extLst>
        </c:ser>
        <c:dLbls>
          <c:dLblPos val="outEnd"/>
          <c:showLegendKey val="0"/>
          <c:showVal val="1"/>
          <c:showCatName val="0"/>
          <c:showSerName val="0"/>
          <c:showPercent val="0"/>
          <c:showBubbleSize val="0"/>
        </c:dLbls>
        <c:gapWidth val="444"/>
        <c:overlap val="-90"/>
        <c:axId val="308272512"/>
        <c:axId val="309798016"/>
      </c:barChart>
      <c:catAx>
        <c:axId val="308272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sr-Latn-RS"/>
          </a:p>
        </c:txPr>
        <c:crossAx val="309798016"/>
        <c:crosses val="autoZero"/>
        <c:auto val="1"/>
        <c:lblAlgn val="ctr"/>
        <c:lblOffset val="100"/>
        <c:noMultiLvlLbl val="0"/>
      </c:catAx>
      <c:valAx>
        <c:axId val="309798016"/>
        <c:scaling>
          <c:orientation val="minMax"/>
        </c:scaling>
        <c:delete val="1"/>
        <c:axPos val="l"/>
        <c:numFmt formatCode="0%" sourceLinked="1"/>
        <c:majorTickMark val="none"/>
        <c:minorTickMark val="none"/>
        <c:tickLblPos val="nextTo"/>
        <c:crossAx val="308272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mj-lt"/>
                <a:ea typeface="+mj-ea"/>
                <a:cs typeface="+mj-cs"/>
              </a:defRPr>
            </a:pPr>
            <a:r>
              <a:rPr lang="en-US" sz="1100">
                <a:solidFill>
                  <a:sysClr val="windowText" lastClr="000000"/>
                </a:solidFill>
              </a:rPr>
              <a:t>Prikaz kretanja indikatora Disposition Time (DT) po državnim odvjetništvima</a:t>
            </a:r>
          </a:p>
        </c:rich>
      </c:tx>
      <c:overlay val="0"/>
      <c:spPr>
        <a:noFill/>
        <a:ln>
          <a:noFill/>
        </a:ln>
        <a:effectLst/>
      </c:spPr>
    </c:title>
    <c:autoTitleDeleted val="0"/>
    <c:plotArea>
      <c:layout/>
      <c:barChart>
        <c:barDir val="col"/>
        <c:grouping val="clustered"/>
        <c:varyColors val="0"/>
        <c:ser>
          <c:idx val="1"/>
          <c:order val="0"/>
          <c:tx>
            <c:strRef>
              <c:f>Grafovi!$A$78</c:f>
              <c:strCache>
                <c:ptCount val="1"/>
                <c:pt idx="0">
                  <c:v>2018</c:v>
                </c:pt>
              </c:strCache>
            </c:strRef>
          </c:tx>
          <c:spPr>
            <a:solidFill>
              <a:schemeClr val="accent1">
                <a:shade val="76000"/>
              </a:schemeClr>
            </a:solidFill>
            <a:ln>
              <a:noFill/>
            </a:ln>
            <a:effectLst/>
          </c:spPr>
          <c:invertIfNegative val="0"/>
          <c:dLbls>
            <c:spPr>
              <a:noFill/>
              <a:ln>
                <a:noFill/>
              </a:ln>
              <a:effectLst/>
            </c:spPr>
            <c:txPr>
              <a:bodyPr rot="3600000" spcFirstLastPara="1" vertOverflow="ellipsis"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Grafovi!$B$77:$E$77</c:f>
              <c:strCache>
                <c:ptCount val="4"/>
                <c:pt idx="0">
                  <c:v>ODO</c:v>
                </c:pt>
                <c:pt idx="1">
                  <c:v>ŽDO</c:v>
                </c:pt>
                <c:pt idx="2">
                  <c:v>USKOK</c:v>
                </c:pt>
                <c:pt idx="3">
                  <c:v>DORH</c:v>
                </c:pt>
              </c:strCache>
            </c:strRef>
          </c:cat>
          <c:val>
            <c:numRef>
              <c:f>Grafovi!$B$78:$E$78</c:f>
              <c:numCache>
                <c:formatCode>#,##0.0</c:formatCode>
                <c:ptCount val="4"/>
                <c:pt idx="0">
                  <c:v>142.30000000000001</c:v>
                </c:pt>
                <c:pt idx="1">
                  <c:v>55.4</c:v>
                </c:pt>
                <c:pt idx="2">
                  <c:v>173.7</c:v>
                </c:pt>
                <c:pt idx="3">
                  <c:v>154.9</c:v>
                </c:pt>
              </c:numCache>
            </c:numRef>
          </c:val>
          <c:extLst>
            <c:ext xmlns:c16="http://schemas.microsoft.com/office/drawing/2014/chart" uri="{C3380CC4-5D6E-409C-BE32-E72D297353CC}">
              <c16:uniqueId val="{00000000-DBB0-40A2-A4FE-846078F7533D}"/>
            </c:ext>
          </c:extLst>
        </c:ser>
        <c:ser>
          <c:idx val="2"/>
          <c:order val="1"/>
          <c:tx>
            <c:strRef>
              <c:f>Grafovi!$A$79</c:f>
              <c:strCache>
                <c:ptCount val="1"/>
                <c:pt idx="0">
                  <c:v>2019</c:v>
                </c:pt>
              </c:strCache>
            </c:strRef>
          </c:tx>
          <c:spPr>
            <a:solidFill>
              <a:schemeClr val="accent1"/>
            </a:solidFill>
            <a:ln>
              <a:noFill/>
            </a:ln>
            <a:effectLst/>
          </c:spPr>
          <c:invertIfNegative val="0"/>
          <c:dLbls>
            <c:spPr>
              <a:noFill/>
              <a:ln>
                <a:noFill/>
              </a:ln>
              <a:effectLst/>
            </c:spPr>
            <c:txPr>
              <a:bodyPr rot="3600000" spcFirstLastPara="1" vertOverflow="ellipsis"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Grafovi!$B$77:$E$77</c:f>
              <c:strCache>
                <c:ptCount val="4"/>
                <c:pt idx="0">
                  <c:v>ODO</c:v>
                </c:pt>
                <c:pt idx="1">
                  <c:v>ŽDO</c:v>
                </c:pt>
                <c:pt idx="2">
                  <c:v>USKOK</c:v>
                </c:pt>
                <c:pt idx="3">
                  <c:v>DORH</c:v>
                </c:pt>
              </c:strCache>
            </c:strRef>
          </c:cat>
          <c:val>
            <c:numRef>
              <c:f>Grafovi!$B$79:$E$79</c:f>
              <c:numCache>
                <c:formatCode>#,##0.0</c:formatCode>
                <c:ptCount val="4"/>
                <c:pt idx="0">
                  <c:v>83.3</c:v>
                </c:pt>
                <c:pt idx="1">
                  <c:v>41.3</c:v>
                </c:pt>
                <c:pt idx="2">
                  <c:v>146.4</c:v>
                </c:pt>
                <c:pt idx="3">
                  <c:v>105.5</c:v>
                </c:pt>
              </c:numCache>
            </c:numRef>
          </c:val>
          <c:extLst>
            <c:ext xmlns:c16="http://schemas.microsoft.com/office/drawing/2014/chart" uri="{C3380CC4-5D6E-409C-BE32-E72D297353CC}">
              <c16:uniqueId val="{00000001-DBB0-40A2-A4FE-846078F7533D}"/>
            </c:ext>
          </c:extLst>
        </c:ser>
        <c:ser>
          <c:idx val="3"/>
          <c:order val="2"/>
          <c:tx>
            <c:strRef>
              <c:f>Grafovi!$A$80</c:f>
              <c:strCache>
                <c:ptCount val="1"/>
                <c:pt idx="0">
                  <c:v>2020</c:v>
                </c:pt>
              </c:strCache>
            </c:strRef>
          </c:tx>
          <c:spPr>
            <a:solidFill>
              <a:schemeClr val="accent1">
                <a:tint val="77000"/>
              </a:schemeClr>
            </a:solidFill>
            <a:ln>
              <a:noFill/>
            </a:ln>
            <a:effectLst/>
          </c:spPr>
          <c:invertIfNegative val="0"/>
          <c:dLbls>
            <c:spPr>
              <a:noFill/>
              <a:ln>
                <a:noFill/>
              </a:ln>
              <a:effectLst/>
            </c:spPr>
            <c:txPr>
              <a:bodyPr rot="3600000" spcFirstLastPara="1" vertOverflow="ellipsis"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Grafovi!$B$77:$E$77</c:f>
              <c:strCache>
                <c:ptCount val="4"/>
                <c:pt idx="0">
                  <c:v>ODO</c:v>
                </c:pt>
                <c:pt idx="1">
                  <c:v>ŽDO</c:v>
                </c:pt>
                <c:pt idx="2">
                  <c:v>USKOK</c:v>
                </c:pt>
                <c:pt idx="3">
                  <c:v>DORH</c:v>
                </c:pt>
              </c:strCache>
            </c:strRef>
          </c:cat>
          <c:val>
            <c:numRef>
              <c:f>Grafovi!$B$80:$E$80</c:f>
              <c:numCache>
                <c:formatCode>#,##0.0</c:formatCode>
                <c:ptCount val="4"/>
                <c:pt idx="0">
                  <c:v>74.3</c:v>
                </c:pt>
                <c:pt idx="1">
                  <c:v>45.4</c:v>
                </c:pt>
                <c:pt idx="2">
                  <c:v>63.8</c:v>
                </c:pt>
                <c:pt idx="3">
                  <c:v>84.5</c:v>
                </c:pt>
              </c:numCache>
            </c:numRef>
          </c:val>
          <c:extLst>
            <c:ext xmlns:c16="http://schemas.microsoft.com/office/drawing/2014/chart" uri="{C3380CC4-5D6E-409C-BE32-E72D297353CC}">
              <c16:uniqueId val="{00000002-DBB0-40A2-A4FE-846078F7533D}"/>
            </c:ext>
          </c:extLst>
        </c:ser>
        <c:ser>
          <c:idx val="4"/>
          <c:order val="3"/>
          <c:tx>
            <c:strRef>
              <c:f>Grafovi!$A$81</c:f>
              <c:strCache>
                <c:ptCount val="1"/>
                <c:pt idx="0">
                  <c:v>2021</c:v>
                </c:pt>
              </c:strCache>
            </c:strRef>
          </c:tx>
          <c:spPr>
            <a:solidFill>
              <a:schemeClr val="accent1">
                <a:tint val="54000"/>
              </a:schemeClr>
            </a:solidFill>
            <a:ln>
              <a:noFill/>
            </a:ln>
            <a:effectLst/>
          </c:spPr>
          <c:invertIfNegative val="0"/>
          <c:dLbls>
            <c:spPr>
              <a:noFill/>
              <a:ln>
                <a:noFill/>
              </a:ln>
              <a:effectLst/>
            </c:spPr>
            <c:txPr>
              <a:bodyPr rot="3600000" spcFirstLastPara="1" vertOverflow="ellipsis"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Grafovi!$B$77:$E$77</c:f>
              <c:strCache>
                <c:ptCount val="4"/>
                <c:pt idx="0">
                  <c:v>ODO</c:v>
                </c:pt>
                <c:pt idx="1">
                  <c:v>ŽDO</c:v>
                </c:pt>
                <c:pt idx="2">
                  <c:v>USKOK</c:v>
                </c:pt>
                <c:pt idx="3">
                  <c:v>DORH</c:v>
                </c:pt>
              </c:strCache>
            </c:strRef>
          </c:cat>
          <c:val>
            <c:numRef>
              <c:f>Grafovi!$B$81:$E$81</c:f>
              <c:numCache>
                <c:formatCode>#,##0.0</c:formatCode>
                <c:ptCount val="4"/>
                <c:pt idx="0">
                  <c:v>69.3</c:v>
                </c:pt>
                <c:pt idx="1">
                  <c:v>39.4</c:v>
                </c:pt>
                <c:pt idx="2">
                  <c:v>76.7</c:v>
                </c:pt>
                <c:pt idx="3">
                  <c:v>58.9</c:v>
                </c:pt>
              </c:numCache>
            </c:numRef>
          </c:val>
          <c:extLst>
            <c:ext xmlns:c16="http://schemas.microsoft.com/office/drawing/2014/chart" uri="{C3380CC4-5D6E-409C-BE32-E72D297353CC}">
              <c16:uniqueId val="{00000003-DBB0-40A2-A4FE-846078F7533D}"/>
            </c:ext>
          </c:extLst>
        </c:ser>
        <c:ser>
          <c:idx val="0"/>
          <c:order val="4"/>
          <c:tx>
            <c:strRef>
              <c:f>Grafovi!$A$82</c:f>
              <c:strCache>
                <c:ptCount val="1"/>
                <c:pt idx="0">
                  <c:v>2022</c:v>
                </c:pt>
              </c:strCache>
            </c:strRef>
          </c:tx>
          <c:spPr>
            <a:solidFill>
              <a:schemeClr val="accent1">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Grafovi!$B$77:$E$77</c:f>
              <c:strCache>
                <c:ptCount val="4"/>
                <c:pt idx="0">
                  <c:v>ODO</c:v>
                </c:pt>
                <c:pt idx="1">
                  <c:v>ŽDO</c:v>
                </c:pt>
                <c:pt idx="2">
                  <c:v>USKOK</c:v>
                </c:pt>
                <c:pt idx="3">
                  <c:v>DORH</c:v>
                </c:pt>
              </c:strCache>
            </c:strRef>
          </c:cat>
          <c:val>
            <c:numRef>
              <c:f>Grafovi!$B$82:$E$82</c:f>
              <c:numCache>
                <c:formatCode>0.00</c:formatCode>
                <c:ptCount val="4"/>
                <c:pt idx="0" formatCode="0.0">
                  <c:v>87.5</c:v>
                </c:pt>
                <c:pt idx="1">
                  <c:v>38.299999999999997</c:v>
                </c:pt>
                <c:pt idx="2">
                  <c:v>96.3</c:v>
                </c:pt>
                <c:pt idx="3">
                  <c:v>70.2</c:v>
                </c:pt>
              </c:numCache>
            </c:numRef>
          </c:val>
          <c:extLst>
            <c:ext xmlns:c16="http://schemas.microsoft.com/office/drawing/2014/chart" uri="{C3380CC4-5D6E-409C-BE32-E72D297353CC}">
              <c16:uniqueId val="{00000004-DBB0-40A2-A4FE-846078F7533D}"/>
            </c:ext>
          </c:extLst>
        </c:ser>
        <c:dLbls>
          <c:dLblPos val="outEnd"/>
          <c:showLegendKey val="0"/>
          <c:showVal val="1"/>
          <c:showCatName val="0"/>
          <c:showSerName val="0"/>
          <c:showPercent val="0"/>
          <c:showBubbleSize val="0"/>
        </c:dLbls>
        <c:gapWidth val="267"/>
        <c:overlap val="-43"/>
        <c:axId val="335282944"/>
        <c:axId val="335284480"/>
      </c:barChart>
      <c:catAx>
        <c:axId val="33528294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sr-Latn-RS"/>
          </a:p>
        </c:txPr>
        <c:crossAx val="335284480"/>
        <c:crosses val="autoZero"/>
        <c:auto val="1"/>
        <c:lblAlgn val="ctr"/>
        <c:lblOffset val="100"/>
        <c:noMultiLvlLbl val="0"/>
      </c:catAx>
      <c:valAx>
        <c:axId val="335284480"/>
        <c:scaling>
          <c:orientation val="minMax"/>
        </c:scaling>
        <c:delete val="0"/>
        <c:axPos val="l"/>
        <c:majorGridlines>
          <c:spPr>
            <a:ln w="9525" cap="flat" cmpd="sng" algn="ctr">
              <a:solidFill>
                <a:schemeClr val="dk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crossAx val="33528294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r-Latn-R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Pravna mišljenja po ZDO</c:v>
                </c:pt>
                <c:pt idx="1">
                  <c:v>Pravna mišljenja po posebnim propisima</c:v>
                </c:pt>
                <c:pt idx="2">
                  <c:v>Druga mišljenja</c:v>
                </c:pt>
                <c:pt idx="3">
                  <c:v>Ukupno</c:v>
                </c:pt>
              </c:strCache>
            </c:strRef>
          </c:cat>
          <c:val>
            <c:numRef>
              <c:f>Sheet1!$B$2:$B$5</c:f>
              <c:numCache>
                <c:formatCode>General</c:formatCode>
                <c:ptCount val="4"/>
                <c:pt idx="0">
                  <c:v>1929</c:v>
                </c:pt>
                <c:pt idx="1">
                  <c:v>1811</c:v>
                </c:pt>
                <c:pt idx="2">
                  <c:v>108</c:v>
                </c:pt>
                <c:pt idx="3">
                  <c:v>3848</c:v>
                </c:pt>
              </c:numCache>
            </c:numRef>
          </c:val>
          <c:extLst>
            <c:ext xmlns:c16="http://schemas.microsoft.com/office/drawing/2014/chart" uri="{C3380CC4-5D6E-409C-BE32-E72D297353CC}">
              <c16:uniqueId val="{00000000-DED5-4690-AA5B-8EE37BD864A0}"/>
            </c:ext>
          </c:extLst>
        </c:ser>
        <c:ser>
          <c:idx val="1"/>
          <c:order val="1"/>
          <c:tx>
            <c:strRef>
              <c:f>Sheet1!$C$1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Pravna mišljenja po ZDO</c:v>
                </c:pt>
                <c:pt idx="1">
                  <c:v>Pravna mišljenja po posebnim propisima</c:v>
                </c:pt>
                <c:pt idx="2">
                  <c:v>Druga mišljenja</c:v>
                </c:pt>
                <c:pt idx="3">
                  <c:v>Ukupno</c:v>
                </c:pt>
              </c:strCache>
            </c:strRef>
          </c:cat>
          <c:val>
            <c:numRef>
              <c:f>Sheet1!$C$2:$C$5</c:f>
              <c:numCache>
                <c:formatCode>General</c:formatCode>
                <c:ptCount val="4"/>
                <c:pt idx="0">
                  <c:v>1883</c:v>
                </c:pt>
                <c:pt idx="1">
                  <c:v>1830</c:v>
                </c:pt>
                <c:pt idx="2">
                  <c:v>106</c:v>
                </c:pt>
                <c:pt idx="3">
                  <c:v>3819</c:v>
                </c:pt>
              </c:numCache>
            </c:numRef>
          </c:val>
          <c:extLst>
            <c:ext xmlns:c16="http://schemas.microsoft.com/office/drawing/2014/chart" uri="{C3380CC4-5D6E-409C-BE32-E72D297353CC}">
              <c16:uniqueId val="{00000001-DED5-4690-AA5B-8EE37BD864A0}"/>
            </c:ext>
          </c:extLst>
        </c:ser>
        <c:ser>
          <c:idx val="2"/>
          <c:order val="2"/>
          <c:tx>
            <c:strRef>
              <c:f>Sheet1!$D$1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Pravna mišljenja po ZDO</c:v>
                </c:pt>
                <c:pt idx="1">
                  <c:v>Pravna mišljenja po posebnim propisima</c:v>
                </c:pt>
                <c:pt idx="2">
                  <c:v>Druga mišljenja</c:v>
                </c:pt>
                <c:pt idx="3">
                  <c:v>Ukupno</c:v>
                </c:pt>
              </c:strCache>
            </c:strRef>
          </c:cat>
          <c:val>
            <c:numRef>
              <c:f>Sheet1!$D$2:$D$5</c:f>
              <c:numCache>
                <c:formatCode>General</c:formatCode>
                <c:ptCount val="4"/>
                <c:pt idx="0">
                  <c:v>1690</c:v>
                </c:pt>
                <c:pt idx="1">
                  <c:v>2039</c:v>
                </c:pt>
                <c:pt idx="2">
                  <c:v>118</c:v>
                </c:pt>
                <c:pt idx="3">
                  <c:v>3970</c:v>
                </c:pt>
              </c:numCache>
            </c:numRef>
          </c:val>
          <c:extLst>
            <c:ext xmlns:c16="http://schemas.microsoft.com/office/drawing/2014/chart" uri="{C3380CC4-5D6E-409C-BE32-E72D297353CC}">
              <c16:uniqueId val="{00000002-DED5-4690-AA5B-8EE37BD864A0}"/>
            </c:ext>
          </c:extLst>
        </c:ser>
        <c:dLbls>
          <c:showLegendKey val="0"/>
          <c:showVal val="1"/>
          <c:showCatName val="0"/>
          <c:showSerName val="0"/>
          <c:showPercent val="0"/>
          <c:showBubbleSize val="0"/>
        </c:dLbls>
        <c:gapWidth val="75"/>
        <c:axId val="335313152"/>
        <c:axId val="335335424"/>
      </c:barChart>
      <c:catAx>
        <c:axId val="335313152"/>
        <c:scaling>
          <c:orientation val="minMax"/>
        </c:scaling>
        <c:delete val="0"/>
        <c:axPos val="b"/>
        <c:numFmt formatCode="General" sourceLinked="0"/>
        <c:majorTickMark val="none"/>
        <c:minorTickMark val="none"/>
        <c:tickLblPos val="nextTo"/>
        <c:crossAx val="335335424"/>
        <c:crosses val="autoZero"/>
        <c:auto val="1"/>
        <c:lblAlgn val="ctr"/>
        <c:lblOffset val="100"/>
        <c:noMultiLvlLbl val="0"/>
      </c:catAx>
      <c:valAx>
        <c:axId val="335335424"/>
        <c:scaling>
          <c:orientation val="minMax"/>
        </c:scaling>
        <c:delete val="0"/>
        <c:axPos val="l"/>
        <c:numFmt formatCode="General" sourceLinked="1"/>
        <c:majorTickMark val="none"/>
        <c:minorTickMark val="none"/>
        <c:tickLblPos val="nextTo"/>
        <c:crossAx val="335313152"/>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Ugovori o prodaji</c:v>
                </c:pt>
                <c:pt idx="1">
                  <c:v>Ugovori o darovanju</c:v>
                </c:pt>
                <c:pt idx="2">
                  <c:v>Ugovori o kupnji</c:v>
                </c:pt>
                <c:pt idx="3">
                  <c:v>Ostalo</c:v>
                </c:pt>
              </c:strCache>
            </c:strRef>
          </c:cat>
          <c:val>
            <c:numRef>
              <c:f>Sheet1!$B$2:$B$5</c:f>
              <c:numCache>
                <c:formatCode>General</c:formatCode>
                <c:ptCount val="4"/>
                <c:pt idx="0">
                  <c:v>836</c:v>
                </c:pt>
                <c:pt idx="1">
                  <c:v>751</c:v>
                </c:pt>
                <c:pt idx="2">
                  <c:v>149</c:v>
                </c:pt>
                <c:pt idx="3">
                  <c:v>193</c:v>
                </c:pt>
              </c:numCache>
            </c:numRef>
          </c:val>
          <c:extLst>
            <c:ext xmlns:c16="http://schemas.microsoft.com/office/drawing/2014/chart" uri="{C3380CC4-5D6E-409C-BE32-E72D297353CC}">
              <c16:uniqueId val="{00000000-6AAB-4076-9DC3-3F36733BBCF5}"/>
            </c:ext>
          </c:extLst>
        </c:ser>
        <c:ser>
          <c:idx val="1"/>
          <c:order val="1"/>
          <c:tx>
            <c:strRef>
              <c:f>Sheet1!$C$1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Ugovori o prodaji</c:v>
                </c:pt>
                <c:pt idx="1">
                  <c:v>Ugovori o darovanju</c:v>
                </c:pt>
                <c:pt idx="2">
                  <c:v>Ugovori o kupnji</c:v>
                </c:pt>
                <c:pt idx="3">
                  <c:v>Ostalo</c:v>
                </c:pt>
              </c:strCache>
            </c:strRef>
          </c:cat>
          <c:val>
            <c:numRef>
              <c:f>Sheet1!$C$2:$C$5</c:f>
              <c:numCache>
                <c:formatCode>General</c:formatCode>
                <c:ptCount val="4"/>
                <c:pt idx="0">
                  <c:v>883</c:v>
                </c:pt>
                <c:pt idx="1">
                  <c:v>709</c:v>
                </c:pt>
                <c:pt idx="2">
                  <c:v>102</c:v>
                </c:pt>
                <c:pt idx="3">
                  <c:v>189</c:v>
                </c:pt>
              </c:numCache>
            </c:numRef>
          </c:val>
          <c:extLst>
            <c:ext xmlns:c16="http://schemas.microsoft.com/office/drawing/2014/chart" uri="{C3380CC4-5D6E-409C-BE32-E72D297353CC}">
              <c16:uniqueId val="{00000001-6AAB-4076-9DC3-3F36733BBCF5}"/>
            </c:ext>
          </c:extLst>
        </c:ser>
        <c:ser>
          <c:idx val="2"/>
          <c:order val="2"/>
          <c:tx>
            <c:strRef>
              <c:f>Sheet1!$D$1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Ugovori o prodaji</c:v>
                </c:pt>
                <c:pt idx="1">
                  <c:v>Ugovori o darovanju</c:v>
                </c:pt>
                <c:pt idx="2">
                  <c:v>Ugovori o kupnji</c:v>
                </c:pt>
                <c:pt idx="3">
                  <c:v>Ostalo</c:v>
                </c:pt>
              </c:strCache>
            </c:strRef>
          </c:cat>
          <c:val>
            <c:numRef>
              <c:f>Sheet1!$D$2:$D$5</c:f>
              <c:numCache>
                <c:formatCode>General</c:formatCode>
                <c:ptCount val="4"/>
                <c:pt idx="0">
                  <c:v>846</c:v>
                </c:pt>
                <c:pt idx="1">
                  <c:v>587</c:v>
                </c:pt>
                <c:pt idx="2">
                  <c:v>64</c:v>
                </c:pt>
                <c:pt idx="3">
                  <c:v>41</c:v>
                </c:pt>
              </c:numCache>
            </c:numRef>
          </c:val>
          <c:extLst>
            <c:ext xmlns:c16="http://schemas.microsoft.com/office/drawing/2014/chart" uri="{C3380CC4-5D6E-409C-BE32-E72D297353CC}">
              <c16:uniqueId val="{00000002-6AAB-4076-9DC3-3F36733BBCF5}"/>
            </c:ext>
          </c:extLst>
        </c:ser>
        <c:dLbls>
          <c:showLegendKey val="0"/>
          <c:showVal val="1"/>
          <c:showCatName val="0"/>
          <c:showSerName val="0"/>
          <c:showPercent val="0"/>
          <c:showBubbleSize val="0"/>
        </c:dLbls>
        <c:gapWidth val="75"/>
        <c:axId val="335441280"/>
        <c:axId val="335447168"/>
      </c:barChart>
      <c:catAx>
        <c:axId val="335441280"/>
        <c:scaling>
          <c:orientation val="minMax"/>
        </c:scaling>
        <c:delete val="0"/>
        <c:axPos val="b"/>
        <c:numFmt formatCode="General" sourceLinked="0"/>
        <c:majorTickMark val="none"/>
        <c:minorTickMark val="none"/>
        <c:tickLblPos val="nextTo"/>
        <c:crossAx val="335447168"/>
        <c:crosses val="autoZero"/>
        <c:auto val="1"/>
        <c:lblAlgn val="ctr"/>
        <c:lblOffset val="100"/>
        <c:noMultiLvlLbl val="0"/>
      </c:catAx>
      <c:valAx>
        <c:axId val="335447168"/>
        <c:scaling>
          <c:orientation val="minMax"/>
        </c:scaling>
        <c:delete val="0"/>
        <c:axPos val="l"/>
        <c:numFmt formatCode="General" sourceLinked="1"/>
        <c:majorTickMark val="none"/>
        <c:minorTickMark val="none"/>
        <c:tickLblPos val="nextTo"/>
        <c:crossAx val="335441280"/>
        <c:crosses val="autoZero"/>
        <c:crossBetween val="between"/>
      </c:valAx>
    </c:plotArea>
    <c:legend>
      <c:legendPos val="b"/>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Zakon o prodaji stanova - stanarsko pravo</c:v>
                </c:pt>
                <c:pt idx="1">
                  <c:v>Zakon o poljoprivrednom zemljištu</c:v>
                </c:pt>
                <c:pt idx="2">
                  <c:v>Zakon o zemljišnim knjigama</c:v>
                </c:pt>
                <c:pt idx="3">
                  <c:v>Zakon o lovstvu</c:v>
                </c:pt>
                <c:pt idx="4">
                  <c:v>Drugi zakoni</c:v>
                </c:pt>
              </c:strCache>
            </c:strRef>
          </c:cat>
          <c:val>
            <c:numRef>
              <c:f>Sheet1!$B$2:$B$6</c:f>
              <c:numCache>
                <c:formatCode>General</c:formatCode>
                <c:ptCount val="5"/>
                <c:pt idx="0">
                  <c:v>300</c:v>
                </c:pt>
                <c:pt idx="1">
                  <c:v>1049</c:v>
                </c:pt>
                <c:pt idx="2">
                  <c:v>292</c:v>
                </c:pt>
                <c:pt idx="3">
                  <c:v>86</c:v>
                </c:pt>
                <c:pt idx="4">
                  <c:v>84</c:v>
                </c:pt>
              </c:numCache>
            </c:numRef>
          </c:val>
          <c:extLst>
            <c:ext xmlns:c16="http://schemas.microsoft.com/office/drawing/2014/chart" uri="{C3380CC4-5D6E-409C-BE32-E72D297353CC}">
              <c16:uniqueId val="{00000000-1E59-4C21-A6F0-2E3503C3229A}"/>
            </c:ext>
          </c:extLst>
        </c:ser>
        <c:ser>
          <c:idx val="1"/>
          <c:order val="1"/>
          <c:tx>
            <c:strRef>
              <c:f>Sheet1!$C$1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Zakon o prodaji stanova - stanarsko pravo</c:v>
                </c:pt>
                <c:pt idx="1">
                  <c:v>Zakon o poljoprivrednom zemljištu</c:v>
                </c:pt>
                <c:pt idx="2">
                  <c:v>Zakon o zemljišnim knjigama</c:v>
                </c:pt>
                <c:pt idx="3">
                  <c:v>Zakon o lovstvu</c:v>
                </c:pt>
                <c:pt idx="4">
                  <c:v>Drugi zakoni</c:v>
                </c:pt>
              </c:strCache>
            </c:strRef>
          </c:cat>
          <c:val>
            <c:numRef>
              <c:f>Sheet1!$C$2:$C$6</c:f>
              <c:numCache>
                <c:formatCode>General</c:formatCode>
                <c:ptCount val="5"/>
                <c:pt idx="0">
                  <c:v>305</c:v>
                </c:pt>
                <c:pt idx="1">
                  <c:v>1085</c:v>
                </c:pt>
                <c:pt idx="2">
                  <c:v>328</c:v>
                </c:pt>
                <c:pt idx="3">
                  <c:v>34</c:v>
                </c:pt>
                <c:pt idx="4">
                  <c:v>78</c:v>
                </c:pt>
              </c:numCache>
            </c:numRef>
          </c:val>
          <c:extLst>
            <c:ext xmlns:c16="http://schemas.microsoft.com/office/drawing/2014/chart" uri="{C3380CC4-5D6E-409C-BE32-E72D297353CC}">
              <c16:uniqueId val="{00000001-1E59-4C21-A6F0-2E3503C3229A}"/>
            </c:ext>
          </c:extLst>
        </c:ser>
        <c:ser>
          <c:idx val="2"/>
          <c:order val="2"/>
          <c:tx>
            <c:strRef>
              <c:f>Sheet1!$D$1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Zakon o prodaji stanova - stanarsko pravo</c:v>
                </c:pt>
                <c:pt idx="1">
                  <c:v>Zakon o poljoprivrednom zemljištu</c:v>
                </c:pt>
                <c:pt idx="2">
                  <c:v>Zakon o zemljišnim knjigama</c:v>
                </c:pt>
                <c:pt idx="3">
                  <c:v>Zakon o lovstvu</c:v>
                </c:pt>
                <c:pt idx="4">
                  <c:v>Drugi zakoni</c:v>
                </c:pt>
              </c:strCache>
            </c:strRef>
          </c:cat>
          <c:val>
            <c:numRef>
              <c:f>Sheet1!$D$2:$D$6</c:f>
              <c:numCache>
                <c:formatCode>General</c:formatCode>
                <c:ptCount val="5"/>
                <c:pt idx="0">
                  <c:v>352</c:v>
                </c:pt>
                <c:pt idx="1">
                  <c:v>1318</c:v>
                </c:pt>
                <c:pt idx="2">
                  <c:v>282</c:v>
                </c:pt>
                <c:pt idx="3">
                  <c:v>3</c:v>
                </c:pt>
                <c:pt idx="4">
                  <c:v>15</c:v>
                </c:pt>
              </c:numCache>
            </c:numRef>
          </c:val>
          <c:extLst>
            <c:ext xmlns:c16="http://schemas.microsoft.com/office/drawing/2014/chart" uri="{C3380CC4-5D6E-409C-BE32-E72D297353CC}">
              <c16:uniqueId val="{00000002-1E59-4C21-A6F0-2E3503C3229A}"/>
            </c:ext>
          </c:extLst>
        </c:ser>
        <c:dLbls>
          <c:showLegendKey val="0"/>
          <c:showVal val="1"/>
          <c:showCatName val="0"/>
          <c:showSerName val="0"/>
          <c:showPercent val="0"/>
          <c:showBubbleSize val="0"/>
        </c:dLbls>
        <c:gapWidth val="75"/>
        <c:axId val="336265984"/>
        <c:axId val="336267520"/>
      </c:barChart>
      <c:catAx>
        <c:axId val="336265984"/>
        <c:scaling>
          <c:orientation val="minMax"/>
        </c:scaling>
        <c:delete val="0"/>
        <c:axPos val="b"/>
        <c:numFmt formatCode="General" sourceLinked="0"/>
        <c:majorTickMark val="none"/>
        <c:minorTickMark val="none"/>
        <c:tickLblPos val="nextTo"/>
        <c:crossAx val="336267520"/>
        <c:crosses val="autoZero"/>
        <c:auto val="1"/>
        <c:lblAlgn val="ctr"/>
        <c:lblOffset val="100"/>
        <c:noMultiLvlLbl val="0"/>
      </c:catAx>
      <c:valAx>
        <c:axId val="336267520"/>
        <c:scaling>
          <c:orientation val="minMax"/>
        </c:scaling>
        <c:delete val="0"/>
        <c:axPos val="l"/>
        <c:numFmt formatCode="General" sourceLinked="1"/>
        <c:majorTickMark val="none"/>
        <c:minorTickMark val="none"/>
        <c:tickLblPos val="nextTo"/>
        <c:crossAx val="336265984"/>
        <c:crosses val="autoZero"/>
        <c:crossBetween val="between"/>
      </c:valAx>
    </c:plotArea>
    <c:legend>
      <c:legendPos val="b"/>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Skup 1</c:v>
                </c:pt>
              </c:strCache>
            </c:strRef>
          </c:tx>
          <c:invertIfNegative val="0"/>
          <c:cat>
            <c:numRef>
              <c:f>List1!$A$2:$A$11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List1!$B$2:$B$11</c:f>
              <c:numCache>
                <c:formatCode>General</c:formatCode>
                <c:ptCount val="10"/>
                <c:pt idx="0">
                  <c:v>450</c:v>
                </c:pt>
                <c:pt idx="1">
                  <c:v>652</c:v>
                </c:pt>
                <c:pt idx="2">
                  <c:v>695</c:v>
                </c:pt>
                <c:pt idx="3">
                  <c:v>808</c:v>
                </c:pt>
                <c:pt idx="4">
                  <c:v>717</c:v>
                </c:pt>
                <c:pt idx="5">
                  <c:v>1037</c:v>
                </c:pt>
                <c:pt idx="6">
                  <c:v>1149</c:v>
                </c:pt>
                <c:pt idx="7">
                  <c:v>1361</c:v>
                </c:pt>
                <c:pt idx="8">
                  <c:v>1618</c:v>
                </c:pt>
                <c:pt idx="9">
                  <c:v>1693</c:v>
                </c:pt>
              </c:numCache>
            </c:numRef>
          </c:val>
          <c:extLst>
            <c:ext xmlns:c16="http://schemas.microsoft.com/office/drawing/2014/chart" uri="{C3380CC4-5D6E-409C-BE32-E72D297353CC}">
              <c16:uniqueId val="{00000000-3A0B-4995-9E67-CF8AE03382A3}"/>
            </c:ext>
          </c:extLst>
        </c:ser>
        <c:ser>
          <c:idx val="1"/>
          <c:order val="1"/>
          <c:tx>
            <c:strRef>
              <c:f>List1!$C$1</c:f>
              <c:strCache>
                <c:ptCount val="1"/>
                <c:pt idx="0">
                  <c:v>Stupac1</c:v>
                </c:pt>
              </c:strCache>
            </c:strRef>
          </c:tx>
          <c:invertIfNegative val="0"/>
          <c:cat>
            <c:numRef>
              <c:f>List1!$A$2:$A$11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List1!$C$2:$C$11</c:f>
              <c:numCache>
                <c:formatCode>General</c:formatCode>
                <c:ptCount val="10"/>
              </c:numCache>
            </c:numRef>
          </c:val>
          <c:extLst>
            <c:ext xmlns:c16="http://schemas.microsoft.com/office/drawing/2014/chart" uri="{C3380CC4-5D6E-409C-BE32-E72D297353CC}">
              <c16:uniqueId val="{00000001-3A0B-4995-9E67-CF8AE03382A3}"/>
            </c:ext>
          </c:extLst>
        </c:ser>
        <c:ser>
          <c:idx val="2"/>
          <c:order val="2"/>
          <c:tx>
            <c:strRef>
              <c:f>List1!$D$1</c:f>
              <c:strCache>
                <c:ptCount val="1"/>
                <c:pt idx="0">
                  <c:v>Stupac2</c:v>
                </c:pt>
              </c:strCache>
            </c:strRef>
          </c:tx>
          <c:invertIfNegative val="0"/>
          <c:cat>
            <c:numRef>
              <c:f>List1!$A$2:$A$11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List1!$D$2:$D$11</c:f>
              <c:numCache>
                <c:formatCode>General</c:formatCode>
                <c:ptCount val="10"/>
              </c:numCache>
            </c:numRef>
          </c:val>
          <c:extLst>
            <c:ext xmlns:c16="http://schemas.microsoft.com/office/drawing/2014/chart" uri="{C3380CC4-5D6E-409C-BE32-E72D297353CC}">
              <c16:uniqueId val="{00000002-3A0B-4995-9E67-CF8AE03382A3}"/>
            </c:ext>
          </c:extLst>
        </c:ser>
        <c:dLbls>
          <c:showLegendKey val="0"/>
          <c:showVal val="0"/>
          <c:showCatName val="0"/>
          <c:showSerName val="0"/>
          <c:showPercent val="0"/>
          <c:showBubbleSize val="0"/>
        </c:dLbls>
        <c:gapWidth val="150"/>
        <c:shape val="cylinder"/>
        <c:axId val="336282752"/>
        <c:axId val="336284288"/>
        <c:axId val="0"/>
      </c:bar3DChart>
      <c:catAx>
        <c:axId val="336282752"/>
        <c:scaling>
          <c:orientation val="minMax"/>
        </c:scaling>
        <c:delete val="0"/>
        <c:axPos val="b"/>
        <c:numFmt formatCode="General" sourceLinked="1"/>
        <c:majorTickMark val="out"/>
        <c:minorTickMark val="none"/>
        <c:tickLblPos val="nextTo"/>
        <c:crossAx val="336284288"/>
        <c:crosses val="autoZero"/>
        <c:auto val="1"/>
        <c:lblAlgn val="ctr"/>
        <c:lblOffset val="100"/>
        <c:noMultiLvlLbl val="0"/>
      </c:catAx>
      <c:valAx>
        <c:axId val="336284288"/>
        <c:scaling>
          <c:orientation val="minMax"/>
        </c:scaling>
        <c:delete val="0"/>
        <c:axPos val="l"/>
        <c:majorGridlines/>
        <c:numFmt formatCode="General" sourceLinked="1"/>
        <c:majorTickMark val="out"/>
        <c:minorTickMark val="none"/>
        <c:tickLblPos val="nextTo"/>
        <c:crossAx val="336282752"/>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0.07289</cdr:x>
      <cdr:y>0.33239</cdr:y>
    </cdr:from>
    <cdr:to>
      <cdr:x>1</cdr:x>
      <cdr:y>0.33521</cdr:y>
    </cdr:to>
    <cdr:cxnSp macro="">
      <cdr:nvCxnSpPr>
        <cdr:cNvPr id="3" name="Ravni poveznik 2"/>
        <cdr:cNvCxnSpPr/>
      </cdr:nvCxnSpPr>
      <cdr:spPr>
        <a:xfrm xmlns:a="http://schemas.openxmlformats.org/drawingml/2006/main">
          <a:off x="476249" y="1123951"/>
          <a:ext cx="6057901" cy="9525"/>
        </a:xfrm>
        <a:prstGeom xmlns:a="http://schemas.openxmlformats.org/drawingml/2006/main" prst="line">
          <a:avLst/>
        </a:prstGeom>
        <a:ln xmlns:a="http://schemas.openxmlformats.org/drawingml/2006/main" w="12700">
          <a:prstDash val="dash"/>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ičn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37E1-C925-4AEF-853A-626F3F45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258</Pages>
  <Words>91641</Words>
  <Characters>522355</Characters>
  <Application>Microsoft Office Word</Application>
  <DocSecurity>0</DocSecurity>
  <Lines>4352</Lines>
  <Paragraphs>1225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 Hrvoj-Šipek</dc:creator>
  <cp:lastModifiedBy>Slađana Alilovic</cp:lastModifiedBy>
  <cp:revision>31</cp:revision>
  <cp:lastPrinted>2023-04-25T13:05:00Z</cp:lastPrinted>
  <dcterms:created xsi:type="dcterms:W3CDTF">2023-04-24T13:45:00Z</dcterms:created>
  <dcterms:modified xsi:type="dcterms:W3CDTF">2023-04-26T07:38:00Z</dcterms:modified>
</cp:coreProperties>
</file>